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3.xml" ContentType="application/vnd.openxmlformats-officedocument.wordprocessingml.footer+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015930" w14:textId="77777777" w:rsidR="002A411B" w:rsidRPr="00702882" w:rsidRDefault="002A411B" w:rsidP="00C66AC4">
      <w:pPr>
        <w:jc w:val="center"/>
        <w:rPr>
          <w:rFonts w:eastAsiaTheme="minorEastAsia"/>
          <w:b/>
          <w:bCs/>
          <w:color w:val="7030A0"/>
          <w:sz w:val="28"/>
          <w:szCs w:val="28"/>
        </w:rPr>
      </w:pPr>
    </w:p>
    <w:p w14:paraId="568DD30F" w14:textId="00540B09" w:rsidR="00AF6702" w:rsidRPr="00777C52" w:rsidRDefault="00AF6702" w:rsidP="00777C52">
      <w:pPr>
        <w:jc w:val="center"/>
        <w:rPr>
          <w:rFonts w:eastAsiaTheme="minorEastAsia"/>
          <w:b/>
          <w:bCs/>
          <w:sz w:val="28"/>
          <w:szCs w:val="28"/>
        </w:rPr>
      </w:pPr>
      <w:r w:rsidRPr="00702882">
        <w:rPr>
          <w:b/>
          <w:bCs/>
          <w:sz w:val="28"/>
          <w:szCs w:val="28"/>
        </w:rPr>
        <w:t>Making Budget Stabilization Funds Work</w:t>
      </w:r>
    </w:p>
    <w:p w14:paraId="353D6883" w14:textId="4A3F8ACD" w:rsidR="002A411B" w:rsidRPr="00702882" w:rsidRDefault="002A411B" w:rsidP="00C66AC4">
      <w:pPr>
        <w:tabs>
          <w:tab w:val="left" w:pos="1627"/>
        </w:tabs>
        <w:rPr>
          <w:rFonts w:eastAsiaTheme="minorEastAsia"/>
          <w:b/>
          <w:bCs/>
          <w:sz w:val="28"/>
          <w:szCs w:val="28"/>
        </w:rPr>
      </w:pPr>
      <w:r w:rsidRPr="00702882">
        <w:rPr>
          <w:rFonts w:eastAsiaTheme="minorEastAsia"/>
          <w:b/>
          <w:bCs/>
          <w:sz w:val="28"/>
          <w:szCs w:val="28"/>
        </w:rPr>
        <w:t xml:space="preserve">                                 </w:t>
      </w:r>
    </w:p>
    <w:p w14:paraId="1ABD657D" w14:textId="77777777" w:rsidR="00272488" w:rsidRDefault="00272488" w:rsidP="00C66AC4">
      <w:pPr>
        <w:tabs>
          <w:tab w:val="left" w:pos="1627"/>
        </w:tabs>
        <w:rPr>
          <w:rFonts w:eastAsiaTheme="minorEastAsia"/>
          <w:b/>
          <w:bCs/>
          <w:sz w:val="28"/>
          <w:szCs w:val="28"/>
        </w:rPr>
      </w:pPr>
    </w:p>
    <w:p w14:paraId="5C424BC0" w14:textId="77777777" w:rsidR="00482DA3" w:rsidRPr="00702882" w:rsidRDefault="00482DA3" w:rsidP="00C66AC4">
      <w:pPr>
        <w:tabs>
          <w:tab w:val="left" w:pos="1627"/>
        </w:tabs>
        <w:rPr>
          <w:rFonts w:eastAsiaTheme="minorEastAsia"/>
          <w:b/>
          <w:bCs/>
          <w:sz w:val="28"/>
          <w:szCs w:val="28"/>
        </w:rPr>
      </w:pPr>
    </w:p>
    <w:p w14:paraId="156479D0" w14:textId="77777777" w:rsidR="00272488" w:rsidRPr="00702882" w:rsidRDefault="00272488" w:rsidP="00C66AC4">
      <w:pPr>
        <w:tabs>
          <w:tab w:val="left" w:pos="1627"/>
        </w:tabs>
        <w:rPr>
          <w:rFonts w:eastAsiaTheme="minorEastAsia"/>
          <w:b/>
          <w:bCs/>
          <w:sz w:val="28"/>
          <w:szCs w:val="28"/>
        </w:rPr>
      </w:pPr>
    </w:p>
    <w:p w14:paraId="3CA99CCE" w14:textId="77777777" w:rsidR="00272488" w:rsidRPr="00702882" w:rsidRDefault="00272488" w:rsidP="00C66AC4">
      <w:pPr>
        <w:tabs>
          <w:tab w:val="left" w:pos="1627"/>
        </w:tabs>
        <w:rPr>
          <w:rFonts w:eastAsiaTheme="minorEastAsia"/>
          <w:b/>
          <w:bCs/>
          <w:sz w:val="28"/>
          <w:szCs w:val="28"/>
        </w:rPr>
      </w:pPr>
    </w:p>
    <w:p w14:paraId="07187AB1" w14:textId="77777777" w:rsidR="00272488" w:rsidRPr="00702882" w:rsidRDefault="00272488" w:rsidP="00C66AC4">
      <w:pPr>
        <w:tabs>
          <w:tab w:val="left" w:pos="1627"/>
        </w:tabs>
        <w:rPr>
          <w:rFonts w:eastAsiaTheme="minorEastAsia"/>
          <w:b/>
          <w:bCs/>
          <w:sz w:val="28"/>
          <w:szCs w:val="28"/>
        </w:rPr>
      </w:pPr>
    </w:p>
    <w:p w14:paraId="732A79FB" w14:textId="77777777" w:rsidR="00272488" w:rsidRPr="00702882" w:rsidRDefault="00272488" w:rsidP="00C66AC4">
      <w:pPr>
        <w:tabs>
          <w:tab w:val="left" w:pos="1627"/>
        </w:tabs>
        <w:rPr>
          <w:rFonts w:eastAsiaTheme="minorEastAsia"/>
          <w:b/>
          <w:bCs/>
          <w:sz w:val="28"/>
          <w:szCs w:val="28"/>
        </w:rPr>
      </w:pPr>
    </w:p>
    <w:p w14:paraId="0F1BAA79" w14:textId="77777777" w:rsidR="00272488" w:rsidRPr="00702882" w:rsidRDefault="00272488" w:rsidP="00C66AC4">
      <w:pPr>
        <w:tabs>
          <w:tab w:val="left" w:pos="1627"/>
        </w:tabs>
        <w:rPr>
          <w:rFonts w:eastAsiaTheme="minorEastAsia"/>
          <w:b/>
          <w:bCs/>
          <w:sz w:val="28"/>
          <w:szCs w:val="28"/>
        </w:rPr>
      </w:pPr>
    </w:p>
    <w:p w14:paraId="6B7CD110" w14:textId="77777777" w:rsidR="002A411B" w:rsidRPr="00702882" w:rsidRDefault="002A411B" w:rsidP="00C66AC4">
      <w:pPr>
        <w:jc w:val="center"/>
        <w:rPr>
          <w:rFonts w:eastAsiaTheme="minorEastAsia"/>
        </w:rPr>
      </w:pPr>
      <w:r w:rsidRPr="00702882">
        <w:rPr>
          <w:rFonts w:eastAsiaTheme="minorEastAsia"/>
        </w:rPr>
        <w:t>BY</w:t>
      </w:r>
    </w:p>
    <w:p w14:paraId="47ABD04A" w14:textId="15DF99A7" w:rsidR="00AF6702" w:rsidRPr="00702882" w:rsidRDefault="00AF6702" w:rsidP="00C66AC4">
      <w:pPr>
        <w:jc w:val="center"/>
      </w:pPr>
      <w:r w:rsidRPr="00702882">
        <w:t>EUNJOO CHOI</w:t>
      </w:r>
      <w:r w:rsidRPr="00702882">
        <w:br/>
        <w:t>M.A., Georgetown University, 2013</w:t>
      </w:r>
    </w:p>
    <w:p w14:paraId="25628705" w14:textId="3E164D2D" w:rsidR="00AF6702" w:rsidRPr="00702882" w:rsidRDefault="00AF6702" w:rsidP="00C66AC4">
      <w:pPr>
        <w:jc w:val="center"/>
      </w:pPr>
      <w:r w:rsidRPr="00702882">
        <w:t>B.A., Sogang University, 2005</w:t>
      </w:r>
    </w:p>
    <w:p w14:paraId="2A04BA05" w14:textId="77777777" w:rsidR="00272488" w:rsidRPr="00702882" w:rsidRDefault="00272488" w:rsidP="00C66AC4">
      <w:pPr>
        <w:tabs>
          <w:tab w:val="left" w:pos="6309"/>
        </w:tabs>
        <w:jc w:val="center"/>
        <w:rPr>
          <w:rFonts w:eastAsiaTheme="minorEastAsia"/>
        </w:rPr>
      </w:pPr>
    </w:p>
    <w:p w14:paraId="33D575B3" w14:textId="77777777" w:rsidR="00272488" w:rsidRPr="00702882" w:rsidRDefault="00272488" w:rsidP="00C66AC4">
      <w:pPr>
        <w:tabs>
          <w:tab w:val="left" w:pos="6309"/>
        </w:tabs>
        <w:jc w:val="center"/>
        <w:rPr>
          <w:rFonts w:eastAsiaTheme="minorEastAsia"/>
        </w:rPr>
      </w:pPr>
    </w:p>
    <w:p w14:paraId="6F4AA424" w14:textId="77777777" w:rsidR="00272488" w:rsidRPr="00702882" w:rsidRDefault="00272488" w:rsidP="00C66AC4">
      <w:pPr>
        <w:tabs>
          <w:tab w:val="left" w:pos="6309"/>
        </w:tabs>
        <w:jc w:val="center"/>
        <w:rPr>
          <w:rFonts w:eastAsiaTheme="minorEastAsia"/>
        </w:rPr>
      </w:pPr>
    </w:p>
    <w:p w14:paraId="0054204B" w14:textId="77777777" w:rsidR="00272488" w:rsidRPr="00702882" w:rsidRDefault="00272488" w:rsidP="00C66AC4">
      <w:pPr>
        <w:tabs>
          <w:tab w:val="left" w:pos="6309"/>
        </w:tabs>
        <w:jc w:val="center"/>
        <w:rPr>
          <w:rFonts w:eastAsiaTheme="minorEastAsia"/>
        </w:rPr>
      </w:pPr>
    </w:p>
    <w:p w14:paraId="40865F98" w14:textId="77777777" w:rsidR="00272488" w:rsidRPr="00702882" w:rsidRDefault="00272488" w:rsidP="00C66AC4">
      <w:pPr>
        <w:tabs>
          <w:tab w:val="left" w:pos="6309"/>
        </w:tabs>
        <w:jc w:val="center"/>
        <w:rPr>
          <w:rFonts w:eastAsiaTheme="minorEastAsia"/>
        </w:rPr>
      </w:pPr>
    </w:p>
    <w:p w14:paraId="1C653BBD" w14:textId="77777777" w:rsidR="006B21FA" w:rsidRPr="00702882" w:rsidRDefault="006B21FA" w:rsidP="00C66AC4">
      <w:pPr>
        <w:tabs>
          <w:tab w:val="left" w:pos="6309"/>
        </w:tabs>
        <w:jc w:val="center"/>
        <w:rPr>
          <w:rFonts w:eastAsiaTheme="minorEastAsia"/>
        </w:rPr>
      </w:pPr>
    </w:p>
    <w:p w14:paraId="7DCC992A" w14:textId="77777777" w:rsidR="00272488" w:rsidRPr="00702882" w:rsidRDefault="00272488" w:rsidP="00C66AC4">
      <w:pPr>
        <w:tabs>
          <w:tab w:val="left" w:pos="6309"/>
        </w:tabs>
        <w:jc w:val="center"/>
        <w:rPr>
          <w:rFonts w:eastAsiaTheme="minorEastAsia"/>
        </w:rPr>
      </w:pPr>
    </w:p>
    <w:p w14:paraId="45CAF869" w14:textId="77777777" w:rsidR="00272488" w:rsidRPr="00702882" w:rsidRDefault="00272488" w:rsidP="00C66AC4">
      <w:pPr>
        <w:tabs>
          <w:tab w:val="left" w:pos="6309"/>
        </w:tabs>
        <w:jc w:val="center"/>
        <w:rPr>
          <w:rFonts w:eastAsiaTheme="minorEastAsia"/>
        </w:rPr>
      </w:pPr>
    </w:p>
    <w:p w14:paraId="4B4279F6" w14:textId="16A8AB84" w:rsidR="00272488" w:rsidRPr="00702882" w:rsidRDefault="002A411B" w:rsidP="00C66AC4">
      <w:pPr>
        <w:tabs>
          <w:tab w:val="left" w:pos="6309"/>
        </w:tabs>
        <w:jc w:val="center"/>
        <w:rPr>
          <w:b/>
          <w:bCs/>
          <w:sz w:val="28"/>
          <w:szCs w:val="28"/>
        </w:rPr>
      </w:pPr>
      <w:r w:rsidRPr="00702882">
        <w:rPr>
          <w:rFonts w:eastAsiaTheme="minorEastAsia"/>
        </w:rPr>
        <w:t>THESIS</w:t>
      </w:r>
    </w:p>
    <w:p w14:paraId="7BA48B97" w14:textId="77777777" w:rsidR="002A411B" w:rsidRPr="00702882" w:rsidRDefault="00AF6702" w:rsidP="00C66AC4">
      <w:pPr>
        <w:pStyle w:val="ad"/>
        <w:contextualSpacing/>
        <w:jc w:val="center"/>
        <w:rPr>
          <w:rFonts w:eastAsiaTheme="minorEastAsia"/>
        </w:rPr>
      </w:pPr>
      <w:r w:rsidRPr="00702882">
        <w:t xml:space="preserve">Submitted as partial fulfillment of the requirements </w:t>
      </w:r>
    </w:p>
    <w:p w14:paraId="73771F04" w14:textId="2E37346D" w:rsidR="00AF6702" w:rsidRPr="00702882" w:rsidRDefault="00AF6702" w:rsidP="00C66AC4">
      <w:pPr>
        <w:pStyle w:val="ad"/>
        <w:contextualSpacing/>
        <w:jc w:val="center"/>
      </w:pPr>
      <w:r w:rsidRPr="00702882">
        <w:t>for the degree of</w:t>
      </w:r>
      <w:r w:rsidR="002A411B" w:rsidRPr="00702882">
        <w:rPr>
          <w:rFonts w:eastAsiaTheme="minorEastAsia"/>
        </w:rPr>
        <w:t xml:space="preserve"> </w:t>
      </w:r>
      <w:r w:rsidRPr="00702882">
        <w:t xml:space="preserve">Doctor of Philosophy in </w:t>
      </w:r>
      <w:r w:rsidR="0036482C" w:rsidRPr="00702882">
        <w:t xml:space="preserve">Public </w:t>
      </w:r>
      <w:r w:rsidR="00482DA3">
        <w:rPr>
          <w:rFonts w:eastAsiaTheme="minorEastAsia" w:hint="eastAsia"/>
        </w:rPr>
        <w:t>Administration</w:t>
      </w:r>
      <w:r w:rsidRPr="00702882">
        <w:t xml:space="preserve"> </w:t>
      </w:r>
    </w:p>
    <w:p w14:paraId="3BEDC61A" w14:textId="652F3046" w:rsidR="00AF6702" w:rsidRPr="00702882" w:rsidRDefault="00AF6702" w:rsidP="00C66AC4">
      <w:pPr>
        <w:pStyle w:val="ad"/>
        <w:contextualSpacing/>
        <w:jc w:val="center"/>
      </w:pPr>
      <w:r w:rsidRPr="00702882">
        <w:t>in the Graduate College of</w:t>
      </w:r>
      <w:r w:rsidR="002A411B" w:rsidRPr="00702882">
        <w:rPr>
          <w:rFonts w:eastAsiaTheme="minorEastAsia"/>
        </w:rPr>
        <w:t xml:space="preserve"> the</w:t>
      </w:r>
      <w:r w:rsidRPr="00702882">
        <w:t xml:space="preserve"> </w:t>
      </w:r>
    </w:p>
    <w:p w14:paraId="2BD5B1C8" w14:textId="4AB1B906" w:rsidR="00AF6702" w:rsidRPr="00702882" w:rsidRDefault="00AF6702" w:rsidP="00C66AC4">
      <w:pPr>
        <w:pStyle w:val="ad"/>
        <w:contextualSpacing/>
        <w:jc w:val="center"/>
        <w:rPr>
          <w:rFonts w:eastAsiaTheme="minorEastAsia"/>
        </w:rPr>
      </w:pPr>
      <w:r w:rsidRPr="00702882">
        <w:t>University of Illinois Chicago</w:t>
      </w:r>
      <w:r w:rsidR="002A411B" w:rsidRPr="00702882">
        <w:rPr>
          <w:rFonts w:eastAsiaTheme="minorEastAsia"/>
        </w:rPr>
        <w:t>, 2024</w:t>
      </w:r>
    </w:p>
    <w:p w14:paraId="2CA88D58" w14:textId="77777777" w:rsidR="00272488" w:rsidRPr="00702882" w:rsidRDefault="00272488" w:rsidP="00C66AC4">
      <w:pPr>
        <w:pStyle w:val="ad"/>
        <w:contextualSpacing/>
        <w:rPr>
          <w:rFonts w:eastAsiaTheme="minorEastAsia"/>
        </w:rPr>
      </w:pPr>
    </w:p>
    <w:p w14:paraId="00CEFA42" w14:textId="77777777" w:rsidR="00272488" w:rsidRDefault="00272488" w:rsidP="00C66AC4">
      <w:pPr>
        <w:pStyle w:val="ad"/>
        <w:contextualSpacing/>
        <w:rPr>
          <w:rFonts w:eastAsiaTheme="minorEastAsia"/>
        </w:rPr>
      </w:pPr>
    </w:p>
    <w:p w14:paraId="55C124D5" w14:textId="77777777" w:rsidR="00190E1E" w:rsidRPr="00702882" w:rsidRDefault="00190E1E" w:rsidP="00C66AC4">
      <w:pPr>
        <w:pStyle w:val="ad"/>
        <w:contextualSpacing/>
        <w:rPr>
          <w:rFonts w:eastAsiaTheme="minorEastAsia"/>
        </w:rPr>
      </w:pPr>
    </w:p>
    <w:p w14:paraId="025DFBF2" w14:textId="15121EA5" w:rsidR="00272488" w:rsidRDefault="00190E1E" w:rsidP="00C66AC4">
      <w:pPr>
        <w:pStyle w:val="ad"/>
        <w:contextualSpacing/>
        <w:jc w:val="center"/>
        <w:rPr>
          <w:rFonts w:eastAsiaTheme="minorEastAsia"/>
        </w:rPr>
      </w:pPr>
      <w:r w:rsidRPr="00190E1E">
        <w:rPr>
          <w:rFonts w:eastAsiaTheme="minorEastAsia"/>
        </w:rPr>
        <w:t>Chicago, Illinois</w:t>
      </w:r>
    </w:p>
    <w:p w14:paraId="363D1969" w14:textId="77777777" w:rsidR="003813B7" w:rsidRPr="00702882" w:rsidRDefault="003813B7" w:rsidP="00C66AC4">
      <w:pPr>
        <w:pStyle w:val="ad"/>
        <w:contextualSpacing/>
        <w:jc w:val="center"/>
        <w:rPr>
          <w:rFonts w:eastAsiaTheme="minorEastAsia"/>
        </w:rPr>
      </w:pPr>
    </w:p>
    <w:p w14:paraId="4307A33F" w14:textId="77777777" w:rsidR="00272488" w:rsidRPr="00702882" w:rsidRDefault="00272488" w:rsidP="00C66AC4">
      <w:pPr>
        <w:pStyle w:val="ad"/>
        <w:contextualSpacing/>
        <w:jc w:val="center"/>
        <w:rPr>
          <w:rFonts w:eastAsiaTheme="minorEastAsia"/>
        </w:rPr>
      </w:pPr>
    </w:p>
    <w:p w14:paraId="25997B13" w14:textId="77777777" w:rsidR="00272488" w:rsidRPr="00702882" w:rsidRDefault="00272488" w:rsidP="00C66AC4">
      <w:pPr>
        <w:pStyle w:val="ad"/>
        <w:contextualSpacing/>
        <w:jc w:val="center"/>
        <w:rPr>
          <w:rFonts w:eastAsiaTheme="minorEastAsia"/>
        </w:rPr>
      </w:pPr>
    </w:p>
    <w:p w14:paraId="5A639831" w14:textId="77777777" w:rsidR="00272488" w:rsidRPr="00702882" w:rsidRDefault="00272488" w:rsidP="00C66AC4">
      <w:pPr>
        <w:pStyle w:val="ad"/>
        <w:contextualSpacing/>
        <w:jc w:val="center"/>
        <w:rPr>
          <w:rFonts w:eastAsiaTheme="minorEastAsia"/>
        </w:rPr>
      </w:pPr>
    </w:p>
    <w:p w14:paraId="758B9A3B" w14:textId="77777777" w:rsidR="00DB70A4" w:rsidRPr="00702882" w:rsidRDefault="00AF6702" w:rsidP="00C66AC4">
      <w:pPr>
        <w:pStyle w:val="ad"/>
        <w:contextualSpacing/>
        <w:rPr>
          <w:rFonts w:eastAsiaTheme="minorEastAsia"/>
        </w:rPr>
      </w:pPr>
      <w:r w:rsidRPr="00702882">
        <w:t>Defense Committee:</w:t>
      </w:r>
    </w:p>
    <w:p w14:paraId="2CDCC4D2" w14:textId="77777777" w:rsidR="006B21FA" w:rsidRPr="00702882" w:rsidRDefault="006B21FA" w:rsidP="00C66AC4">
      <w:pPr>
        <w:pStyle w:val="ad"/>
        <w:contextualSpacing/>
        <w:rPr>
          <w:rFonts w:eastAsiaTheme="minorEastAsia"/>
        </w:rPr>
      </w:pPr>
    </w:p>
    <w:p w14:paraId="571583AA" w14:textId="621915AD" w:rsidR="00DB70A4" w:rsidRPr="00702882" w:rsidRDefault="00DB70A4" w:rsidP="00C66AC4">
      <w:pPr>
        <w:pStyle w:val="ad"/>
        <w:ind w:firstLineChars="600" w:firstLine="1440"/>
        <w:contextualSpacing/>
        <w:rPr>
          <w:rFonts w:eastAsiaTheme="minorEastAsia"/>
        </w:rPr>
      </w:pPr>
      <w:r w:rsidRPr="00702882">
        <w:t>Yonghong Wu, Chair and Advisor</w:t>
      </w:r>
    </w:p>
    <w:p w14:paraId="32378F8D" w14:textId="188AE227" w:rsidR="00DB70A4" w:rsidRPr="00702882" w:rsidRDefault="00DB70A4" w:rsidP="00C66AC4">
      <w:pPr>
        <w:pStyle w:val="ad"/>
        <w:ind w:firstLineChars="600" w:firstLine="1440"/>
        <w:contextualSpacing/>
        <w:rPr>
          <w:rFonts w:eastAsiaTheme="minorEastAsia"/>
        </w:rPr>
      </w:pPr>
      <w:r w:rsidRPr="00702882">
        <w:t>Rebecca Hendrick</w:t>
      </w:r>
    </w:p>
    <w:p w14:paraId="69287A6B" w14:textId="77777777" w:rsidR="00DB70A4" w:rsidRPr="00702882" w:rsidRDefault="00DB70A4" w:rsidP="00C66AC4">
      <w:pPr>
        <w:pStyle w:val="ad"/>
        <w:ind w:firstLineChars="600" w:firstLine="1440"/>
        <w:contextualSpacing/>
        <w:rPr>
          <w:rFonts w:eastAsiaTheme="minorEastAsia"/>
        </w:rPr>
      </w:pPr>
      <w:r w:rsidRPr="00702882">
        <w:t xml:space="preserve">David Merriman </w:t>
      </w:r>
    </w:p>
    <w:p w14:paraId="3BA35617" w14:textId="2C7A4151" w:rsidR="00DB70A4" w:rsidRPr="00702882" w:rsidRDefault="00DB70A4" w:rsidP="00C66AC4">
      <w:pPr>
        <w:pStyle w:val="ad"/>
        <w:ind w:firstLineChars="600" w:firstLine="1440"/>
        <w:contextualSpacing/>
        <w:rPr>
          <w:rFonts w:eastAsiaTheme="minorEastAsia"/>
        </w:rPr>
      </w:pPr>
      <w:r w:rsidRPr="00702882">
        <w:t>Michael D. Siciliano</w:t>
      </w:r>
    </w:p>
    <w:p w14:paraId="1A061065" w14:textId="040960D7" w:rsidR="00DB70A4" w:rsidRPr="00702882" w:rsidRDefault="00DB70A4" w:rsidP="00C66AC4">
      <w:pPr>
        <w:pStyle w:val="ad"/>
        <w:ind w:firstLineChars="600" w:firstLine="1440"/>
        <w:contextualSpacing/>
        <w:rPr>
          <w:rFonts w:eastAsiaTheme="minorEastAsia"/>
        </w:rPr>
      </w:pPr>
      <w:r w:rsidRPr="00702882">
        <w:t>Kenneth Kriz</w:t>
      </w:r>
      <w:r w:rsidRPr="00702882">
        <w:rPr>
          <w:rFonts w:eastAsiaTheme="minorEastAsia"/>
        </w:rPr>
        <w:t xml:space="preserve">, </w:t>
      </w:r>
      <w:r w:rsidRPr="00702882">
        <w:t>University of Illinois</w:t>
      </w:r>
      <w:r w:rsidR="001A1CEE" w:rsidRPr="00702882">
        <w:rPr>
          <w:rFonts w:eastAsiaTheme="minorEastAsia"/>
        </w:rPr>
        <w:t xml:space="preserve">, </w:t>
      </w:r>
      <w:r w:rsidRPr="00702882">
        <w:t>Springfield</w:t>
      </w:r>
    </w:p>
    <w:p w14:paraId="217A3A0C" w14:textId="77777777" w:rsidR="006B21FA" w:rsidRPr="00702882" w:rsidRDefault="006B21FA" w:rsidP="00C66AC4">
      <w:pPr>
        <w:pStyle w:val="ad"/>
        <w:spacing w:line="480" w:lineRule="auto"/>
        <w:contextualSpacing/>
        <w:rPr>
          <w:rFonts w:eastAsiaTheme="minorEastAsia"/>
        </w:rPr>
      </w:pPr>
    </w:p>
    <w:p w14:paraId="50BC12D3" w14:textId="7C904D00" w:rsidR="00344830" w:rsidRPr="00702882" w:rsidRDefault="00374CCC" w:rsidP="00344830">
      <w:pPr>
        <w:pStyle w:val="ad"/>
        <w:spacing w:line="480" w:lineRule="auto"/>
        <w:ind w:firstLineChars="295" w:firstLine="708"/>
        <w:contextualSpacing/>
        <w:rPr>
          <w:rFonts w:eastAsiaTheme="minorEastAsia"/>
        </w:rPr>
      </w:pPr>
      <w:r w:rsidRPr="00702882">
        <w:rPr>
          <w:rFonts w:eastAsiaTheme="minorEastAsia"/>
        </w:rPr>
        <w:lastRenderedPageBreak/>
        <w:t xml:space="preserve">This thesis is dedicated to my parents without whom it would never have been accomplished. </w:t>
      </w:r>
    </w:p>
    <w:p w14:paraId="64975D7F" w14:textId="77777777" w:rsidR="00344830" w:rsidRPr="00702882" w:rsidRDefault="00344830" w:rsidP="00344830">
      <w:pPr>
        <w:pStyle w:val="ad"/>
        <w:spacing w:line="480" w:lineRule="auto"/>
        <w:contextualSpacing/>
        <w:rPr>
          <w:rFonts w:eastAsiaTheme="minorEastAsia"/>
        </w:rPr>
      </w:pPr>
    </w:p>
    <w:p w14:paraId="6D3405F5" w14:textId="77777777" w:rsidR="00374CCC" w:rsidRPr="00702882" w:rsidRDefault="00374CCC" w:rsidP="00C66AC4">
      <w:pPr>
        <w:pStyle w:val="ad"/>
        <w:spacing w:line="480" w:lineRule="auto"/>
        <w:contextualSpacing/>
        <w:rPr>
          <w:rFonts w:eastAsiaTheme="minorEastAsia"/>
        </w:rPr>
      </w:pPr>
    </w:p>
    <w:p w14:paraId="19800562" w14:textId="77777777" w:rsidR="0085568A" w:rsidRPr="00702882" w:rsidRDefault="0085568A" w:rsidP="00C66AC4">
      <w:pPr>
        <w:pStyle w:val="ad"/>
        <w:spacing w:line="480" w:lineRule="auto"/>
        <w:contextualSpacing/>
        <w:rPr>
          <w:rFonts w:eastAsiaTheme="minorEastAsia"/>
        </w:rPr>
      </w:pPr>
    </w:p>
    <w:p w14:paraId="4A036843" w14:textId="77777777" w:rsidR="0085568A" w:rsidRPr="00702882" w:rsidRDefault="0085568A" w:rsidP="00C66AC4">
      <w:pPr>
        <w:pStyle w:val="ad"/>
        <w:spacing w:line="480" w:lineRule="auto"/>
        <w:contextualSpacing/>
        <w:rPr>
          <w:rFonts w:eastAsiaTheme="minorEastAsia"/>
        </w:rPr>
      </w:pPr>
    </w:p>
    <w:p w14:paraId="135793DD" w14:textId="77777777" w:rsidR="0085568A" w:rsidRPr="00702882" w:rsidRDefault="0085568A" w:rsidP="00C66AC4">
      <w:pPr>
        <w:pStyle w:val="ad"/>
        <w:spacing w:line="480" w:lineRule="auto"/>
        <w:contextualSpacing/>
        <w:rPr>
          <w:rFonts w:eastAsiaTheme="minorEastAsia"/>
        </w:rPr>
      </w:pPr>
    </w:p>
    <w:p w14:paraId="4FCD3818" w14:textId="77777777" w:rsidR="0085568A" w:rsidRPr="00702882" w:rsidRDefault="0085568A" w:rsidP="00C66AC4">
      <w:pPr>
        <w:pStyle w:val="ad"/>
        <w:spacing w:line="480" w:lineRule="auto"/>
        <w:contextualSpacing/>
        <w:rPr>
          <w:rFonts w:eastAsiaTheme="minorEastAsia"/>
        </w:rPr>
      </w:pPr>
    </w:p>
    <w:p w14:paraId="521671EA" w14:textId="77777777" w:rsidR="0085568A" w:rsidRPr="00702882" w:rsidRDefault="0085568A" w:rsidP="00C66AC4">
      <w:pPr>
        <w:pStyle w:val="ad"/>
        <w:spacing w:line="480" w:lineRule="auto"/>
        <w:contextualSpacing/>
        <w:rPr>
          <w:rFonts w:eastAsiaTheme="minorEastAsia"/>
        </w:rPr>
      </w:pPr>
    </w:p>
    <w:p w14:paraId="6F5F6ED8" w14:textId="77777777" w:rsidR="0085568A" w:rsidRPr="00702882" w:rsidRDefault="0085568A" w:rsidP="00C66AC4">
      <w:pPr>
        <w:pStyle w:val="ad"/>
        <w:spacing w:line="480" w:lineRule="auto"/>
        <w:contextualSpacing/>
        <w:rPr>
          <w:rFonts w:eastAsiaTheme="minorEastAsia"/>
        </w:rPr>
      </w:pPr>
    </w:p>
    <w:p w14:paraId="2A1E9142" w14:textId="77777777" w:rsidR="0085568A" w:rsidRPr="00702882" w:rsidRDefault="0085568A" w:rsidP="00C66AC4">
      <w:pPr>
        <w:pStyle w:val="ad"/>
        <w:spacing w:line="480" w:lineRule="auto"/>
        <w:contextualSpacing/>
        <w:rPr>
          <w:rFonts w:eastAsiaTheme="minorEastAsia"/>
        </w:rPr>
      </w:pPr>
    </w:p>
    <w:p w14:paraId="200339B8" w14:textId="77777777" w:rsidR="0085568A" w:rsidRPr="00702882" w:rsidRDefault="0085568A" w:rsidP="00C66AC4">
      <w:pPr>
        <w:pStyle w:val="ad"/>
        <w:spacing w:line="480" w:lineRule="auto"/>
        <w:contextualSpacing/>
        <w:rPr>
          <w:rFonts w:eastAsiaTheme="minorEastAsia"/>
        </w:rPr>
      </w:pPr>
    </w:p>
    <w:p w14:paraId="7F5937D6" w14:textId="77777777" w:rsidR="0085568A" w:rsidRPr="00702882" w:rsidRDefault="0085568A" w:rsidP="00C66AC4">
      <w:pPr>
        <w:pStyle w:val="ad"/>
        <w:spacing w:line="480" w:lineRule="auto"/>
        <w:contextualSpacing/>
        <w:rPr>
          <w:rFonts w:eastAsiaTheme="minorEastAsia"/>
        </w:rPr>
      </w:pPr>
    </w:p>
    <w:p w14:paraId="0BFA517A" w14:textId="77777777" w:rsidR="0085568A" w:rsidRPr="00702882" w:rsidRDefault="0085568A" w:rsidP="00C66AC4">
      <w:pPr>
        <w:pStyle w:val="ad"/>
        <w:spacing w:line="480" w:lineRule="auto"/>
        <w:contextualSpacing/>
        <w:rPr>
          <w:rFonts w:eastAsiaTheme="minorEastAsia"/>
        </w:rPr>
      </w:pPr>
    </w:p>
    <w:p w14:paraId="3671E456" w14:textId="77777777" w:rsidR="0085568A" w:rsidRPr="00702882" w:rsidRDefault="0085568A" w:rsidP="00C66AC4">
      <w:pPr>
        <w:pStyle w:val="ad"/>
        <w:spacing w:line="480" w:lineRule="auto"/>
        <w:contextualSpacing/>
        <w:rPr>
          <w:rFonts w:eastAsiaTheme="minorEastAsia"/>
        </w:rPr>
      </w:pPr>
    </w:p>
    <w:p w14:paraId="3782356E" w14:textId="77777777" w:rsidR="0085568A" w:rsidRPr="00702882" w:rsidRDefault="0085568A" w:rsidP="00C66AC4">
      <w:pPr>
        <w:pStyle w:val="ad"/>
        <w:spacing w:line="480" w:lineRule="auto"/>
        <w:contextualSpacing/>
        <w:rPr>
          <w:rFonts w:eastAsiaTheme="minorEastAsia"/>
        </w:rPr>
      </w:pPr>
    </w:p>
    <w:p w14:paraId="0EB48055" w14:textId="77777777" w:rsidR="0085568A" w:rsidRPr="00702882" w:rsidRDefault="0085568A" w:rsidP="00C66AC4">
      <w:pPr>
        <w:pStyle w:val="ad"/>
        <w:spacing w:line="480" w:lineRule="auto"/>
        <w:contextualSpacing/>
        <w:rPr>
          <w:rFonts w:eastAsiaTheme="minorEastAsia"/>
        </w:rPr>
      </w:pPr>
    </w:p>
    <w:p w14:paraId="08A0BFB1" w14:textId="77777777" w:rsidR="0085568A" w:rsidRPr="00702882" w:rsidRDefault="0085568A" w:rsidP="00C66AC4">
      <w:pPr>
        <w:pStyle w:val="ad"/>
        <w:spacing w:line="480" w:lineRule="auto"/>
        <w:contextualSpacing/>
        <w:rPr>
          <w:rFonts w:eastAsiaTheme="minorEastAsia"/>
        </w:rPr>
      </w:pPr>
    </w:p>
    <w:p w14:paraId="3DF13D49" w14:textId="77777777" w:rsidR="0085568A" w:rsidRPr="00702882" w:rsidRDefault="0085568A" w:rsidP="00C66AC4">
      <w:pPr>
        <w:pStyle w:val="ad"/>
        <w:spacing w:line="480" w:lineRule="auto"/>
        <w:contextualSpacing/>
        <w:rPr>
          <w:rFonts w:eastAsiaTheme="minorEastAsia"/>
        </w:rPr>
      </w:pPr>
    </w:p>
    <w:p w14:paraId="4D7EDA63" w14:textId="77777777" w:rsidR="00171AB2" w:rsidRPr="00702882" w:rsidRDefault="00171AB2" w:rsidP="00C66AC4">
      <w:pPr>
        <w:pStyle w:val="ad"/>
        <w:spacing w:line="480" w:lineRule="auto"/>
        <w:contextualSpacing/>
        <w:rPr>
          <w:rFonts w:eastAsiaTheme="minorEastAsia"/>
        </w:rPr>
      </w:pPr>
    </w:p>
    <w:p w14:paraId="36FE7F27" w14:textId="77777777" w:rsidR="00171AB2" w:rsidRPr="00702882" w:rsidRDefault="00171AB2" w:rsidP="00C66AC4">
      <w:pPr>
        <w:pStyle w:val="ad"/>
        <w:spacing w:line="480" w:lineRule="auto"/>
        <w:contextualSpacing/>
        <w:rPr>
          <w:rFonts w:eastAsiaTheme="minorEastAsia"/>
        </w:rPr>
      </w:pPr>
    </w:p>
    <w:p w14:paraId="3C931EC9" w14:textId="77777777" w:rsidR="0085568A" w:rsidRPr="00702882" w:rsidRDefault="0085568A" w:rsidP="00C66AC4">
      <w:pPr>
        <w:pStyle w:val="ad"/>
        <w:spacing w:line="480" w:lineRule="auto"/>
        <w:contextualSpacing/>
        <w:rPr>
          <w:rFonts w:eastAsiaTheme="minorEastAsia"/>
        </w:rPr>
      </w:pPr>
    </w:p>
    <w:p w14:paraId="6A5F02CA" w14:textId="77777777" w:rsidR="0085568A" w:rsidRPr="00702882" w:rsidRDefault="0085568A" w:rsidP="00C66AC4">
      <w:pPr>
        <w:pStyle w:val="ad"/>
        <w:spacing w:line="480" w:lineRule="auto"/>
        <w:contextualSpacing/>
        <w:rPr>
          <w:rFonts w:eastAsiaTheme="minorEastAsia"/>
        </w:rPr>
      </w:pPr>
    </w:p>
    <w:p w14:paraId="1179C3EA" w14:textId="2188132C" w:rsidR="0085568A" w:rsidRDefault="0085568A" w:rsidP="00171AB2">
      <w:pPr>
        <w:pStyle w:val="ad"/>
        <w:spacing w:line="480" w:lineRule="auto"/>
        <w:contextualSpacing/>
        <w:jc w:val="center"/>
        <w:rPr>
          <w:rFonts w:eastAsiaTheme="minorEastAsia"/>
          <w:b/>
          <w:bCs/>
        </w:rPr>
      </w:pPr>
      <w:r w:rsidRPr="00702882">
        <w:rPr>
          <w:rFonts w:eastAsiaTheme="minorEastAsia"/>
          <w:b/>
          <w:bCs/>
        </w:rPr>
        <w:lastRenderedPageBreak/>
        <w:t>ACKNOWLEDGEMENTS</w:t>
      </w:r>
    </w:p>
    <w:p w14:paraId="005B3A8B" w14:textId="77777777" w:rsidR="00B7758F" w:rsidRPr="00702882" w:rsidRDefault="00B7758F" w:rsidP="00171AB2">
      <w:pPr>
        <w:pStyle w:val="ad"/>
        <w:spacing w:line="480" w:lineRule="auto"/>
        <w:contextualSpacing/>
        <w:jc w:val="center"/>
        <w:rPr>
          <w:rFonts w:eastAsiaTheme="minorEastAsia"/>
          <w:b/>
          <w:bCs/>
        </w:rPr>
      </w:pPr>
    </w:p>
    <w:p w14:paraId="1725D51A" w14:textId="77777777" w:rsidR="00171AB2" w:rsidRPr="00702882" w:rsidRDefault="00171AB2" w:rsidP="00171AB2">
      <w:pPr>
        <w:spacing w:line="480" w:lineRule="auto"/>
        <w:ind w:firstLineChars="236" w:firstLine="566"/>
      </w:pPr>
      <w:bookmarkStart w:id="0" w:name="_Hlk165392339"/>
      <w:r w:rsidRPr="00702882">
        <w:t>I am deeply indebted to numerous individuals whose contributions have been instrumental in the completion of this dissertation. First and foremost, I express my heartfelt gratitude to my academic advisor, Dr. Yonghong Wu, whose unwavering support and guidance throughout my Ph.D. journey have been invaluable. Dr. Wu consistently encouraged me to expand the horizons of my research and provided invaluable insights in shaping this dissertation. I also extend my gratitude to my academic mentor, Dr. Rebecca Hendrick, whose meticulousness and intellect have profoundly influenced my academic growth. Her mentorship laid the foundation for this work, and I am truly grateful for her contributions.</w:t>
      </w:r>
    </w:p>
    <w:p w14:paraId="30A69AF4" w14:textId="6A5E0BB5" w:rsidR="00F629E1" w:rsidRPr="00702882" w:rsidRDefault="00171AB2" w:rsidP="00F629E1">
      <w:pPr>
        <w:spacing w:line="480" w:lineRule="auto"/>
        <w:ind w:firstLineChars="236" w:firstLine="566"/>
        <w:rPr>
          <w:rFonts w:eastAsiaTheme="minorEastAsia"/>
        </w:rPr>
      </w:pPr>
      <w:r w:rsidRPr="00702882">
        <w:t xml:space="preserve">I am equally thankful to my committee members, Drs. David Merriman, Michael D. Siciliano, and Kenneth Kriz, for their scholarly guidance and expertise. Dr. Merriman's insights into measurement and analytical frameworks have been instrumental in refining this research. Dr. Siciliano's methodological expertise and support have been invaluable in navigating methodological challenges. </w:t>
      </w:r>
      <w:r w:rsidR="00F629E1" w:rsidRPr="00702882">
        <w:rPr>
          <w:rFonts w:eastAsiaTheme="minorEastAsia"/>
        </w:rPr>
        <w:t xml:space="preserve">Dr. Kriz's knowledge in our field, along with his encouragement to explore diverse literature, has added depth to my dissertation. </w:t>
      </w:r>
      <w:r w:rsidRPr="00702882">
        <w:t xml:space="preserve">Special appreciation is due to Dr. Kelly LeRoux for her encouragement and support. Her mentorship and wisdom have been pivotal in advancing my academic journey. </w:t>
      </w:r>
    </w:p>
    <w:p w14:paraId="5C4BF90C" w14:textId="0F961886" w:rsidR="0041017D" w:rsidRPr="00702882" w:rsidRDefault="00171AB2" w:rsidP="00F629E1">
      <w:pPr>
        <w:spacing w:line="480" w:lineRule="auto"/>
        <w:ind w:firstLineChars="236" w:firstLine="566"/>
      </w:pPr>
      <w:r w:rsidRPr="00702882">
        <w:t xml:space="preserve">I am indebted to the professors who shaped my academic foundation during my master's and bachelor's degrees. I am thankful to Dr. Kilkon Ko for his steadfast belief in my potential and fortitude, serving as a consistent source of motivation during my Ph.D. journey. </w:t>
      </w:r>
      <w:r w:rsidR="0041017D" w:rsidRPr="00702882">
        <w:rPr>
          <w:rFonts w:eastAsiaTheme="minorEastAsia"/>
        </w:rPr>
        <w:t xml:space="preserve">Dr. Eusebio Mujal-Leon's insightful guidance has been invaluable, and I am deeply grateful for his mentorship at Georgetown University. Additionally, Dr. Matthew Rudolph's expertise in Asian </w:t>
      </w:r>
      <w:r w:rsidR="0041017D" w:rsidRPr="00702882">
        <w:rPr>
          <w:rFonts w:eastAsiaTheme="minorEastAsia"/>
        </w:rPr>
        <w:lastRenderedPageBreak/>
        <w:t>political economy has been inspiring, and I am thankful for his contributions to my academic growth. I also express my gratitude to Dr. Josep Colomer for his guidance in game theory at Georgetown University and support during the Ph.D. application process.</w:t>
      </w:r>
      <w:r w:rsidR="003C7473" w:rsidRPr="00702882">
        <w:rPr>
          <w:rFonts w:eastAsiaTheme="minorEastAsia"/>
        </w:rPr>
        <w:t xml:space="preserve"> </w:t>
      </w:r>
      <w:r w:rsidR="003C7473" w:rsidRPr="00702882">
        <w:t>Additionally, I extend my heartfelt thanks to Dr. Changki Park for his warm encouragement during challenging times.</w:t>
      </w:r>
    </w:p>
    <w:p w14:paraId="27E1CFFC" w14:textId="574FEA02" w:rsidR="00171AB2" w:rsidRPr="00702882" w:rsidRDefault="00171AB2" w:rsidP="001A0CA1">
      <w:pPr>
        <w:spacing w:line="480" w:lineRule="auto"/>
        <w:ind w:firstLineChars="236" w:firstLine="566"/>
        <w:rPr>
          <w:rFonts w:eastAsiaTheme="minorEastAsia"/>
        </w:rPr>
      </w:pPr>
      <w:r w:rsidRPr="00702882">
        <w:t xml:space="preserve">I am particularly grateful to Dr. Yoonhwan Shin for igniting my research interests in Southeast Asian regions. </w:t>
      </w:r>
      <w:r w:rsidR="001A0CA1" w:rsidRPr="00702882">
        <w:rPr>
          <w:rFonts w:eastAsiaTheme="minorEastAsia"/>
        </w:rPr>
        <w:t xml:space="preserve">I am also grateful to Dr. Hocheol Son, who sparked my interest in studying and supported my pursuit of education abroad. </w:t>
      </w:r>
      <w:r w:rsidRPr="00702882">
        <w:t xml:space="preserve">Dr. Sekeol Kim's support during difficult times has been deeply appreciated. The memory of Dr. Pattana Kitiarsa's admirable character continues to inspire me; although he is no longer with us, his impact on my academic journey remains profound. </w:t>
      </w:r>
    </w:p>
    <w:p w14:paraId="1CF4B45D" w14:textId="0C34E31C" w:rsidR="00171AB2" w:rsidRPr="00702882" w:rsidRDefault="00171AB2" w:rsidP="00171AB2">
      <w:pPr>
        <w:spacing w:line="480" w:lineRule="auto"/>
        <w:ind w:firstLineChars="236" w:firstLine="566"/>
      </w:pPr>
      <w:r w:rsidRPr="00702882">
        <w:t xml:space="preserve">I extend heartfelt appreciation to my friends at the University of Illinois Chicago, especially Victor Hugg and Di Qiao, for their enduring friendship and shared memories. I am also thankful to Jooyoon Hwang, Hyunjung Park, Juyeon Hong, </w:t>
      </w:r>
      <w:r w:rsidR="00FB38E3" w:rsidRPr="00702882">
        <w:rPr>
          <w:rFonts w:eastAsiaTheme="minorEastAsia"/>
        </w:rPr>
        <w:t xml:space="preserve">Jihyun </w:t>
      </w:r>
      <w:r w:rsidR="00634808" w:rsidRPr="00702882">
        <w:rPr>
          <w:rFonts w:eastAsiaTheme="minorEastAsia"/>
        </w:rPr>
        <w:t xml:space="preserve">Hannah </w:t>
      </w:r>
      <w:r w:rsidR="00FB38E3" w:rsidRPr="00702882">
        <w:rPr>
          <w:rFonts w:eastAsiaTheme="minorEastAsia"/>
        </w:rPr>
        <w:t xml:space="preserve">Paik, </w:t>
      </w:r>
      <w:r w:rsidRPr="00702882">
        <w:t>and Samuel Choi for their encouragement and camaraderie.</w:t>
      </w:r>
    </w:p>
    <w:p w14:paraId="1DE38E80" w14:textId="4D07BC33" w:rsidR="00171AB2" w:rsidRPr="00702882" w:rsidRDefault="00171AB2" w:rsidP="00046FBB">
      <w:pPr>
        <w:spacing w:line="480" w:lineRule="auto"/>
        <w:ind w:firstLineChars="236" w:firstLine="566"/>
        <w:rPr>
          <w:rFonts w:eastAsiaTheme="minorEastAsia"/>
        </w:rPr>
      </w:pPr>
      <w:r w:rsidRPr="00702882">
        <w:t xml:space="preserve">Finally, I am profoundly grateful to my family for their unwavering support and sacrifices. To my parents, Kichang Choi and Chasook Kwon, I owe a debt of gratitude for their boundless love and encouragement. I appreciate the </w:t>
      </w:r>
      <w:r w:rsidR="00046FBB" w:rsidRPr="00702882">
        <w:rPr>
          <w:rFonts w:eastAsiaTheme="minorEastAsia"/>
        </w:rPr>
        <w:t>constant</w:t>
      </w:r>
      <w:r w:rsidRPr="00702882">
        <w:t xml:space="preserve"> support of my husband, Dr. Hyowon Park.</w:t>
      </w:r>
      <w:r w:rsidR="00046FBB" w:rsidRPr="00702882">
        <w:rPr>
          <w:rFonts w:eastAsiaTheme="minorEastAsia"/>
        </w:rPr>
        <w:t xml:space="preserve"> </w:t>
      </w:r>
      <w:r w:rsidRPr="00702882">
        <w:t xml:space="preserve">Even though I joked that if </w:t>
      </w:r>
      <w:r w:rsidR="0041017D" w:rsidRPr="00702882">
        <w:rPr>
          <w:rFonts w:eastAsiaTheme="minorEastAsia"/>
        </w:rPr>
        <w:t>my husband</w:t>
      </w:r>
      <w:r w:rsidRPr="00702882">
        <w:t xml:space="preserve"> had helped with household chores, I could have finished my Ph.D. three years earlier, without you standing by me during difficult times, I wouldn't have been able to complete my degree. To my beloved children, Ryan Park and Amber</w:t>
      </w:r>
      <w:r w:rsidR="00AA62CA" w:rsidRPr="00702882">
        <w:rPr>
          <w:rFonts w:eastAsiaTheme="minorEastAsia"/>
        </w:rPr>
        <w:t xml:space="preserve"> </w:t>
      </w:r>
      <w:r w:rsidRPr="00702882">
        <w:t>Park, your presence fills my life with joy and purpose.</w:t>
      </w:r>
    </w:p>
    <w:p w14:paraId="3DDE79C6" w14:textId="77777777" w:rsidR="00171AB2" w:rsidRPr="00702882" w:rsidRDefault="00171AB2" w:rsidP="00171AB2">
      <w:pPr>
        <w:spacing w:line="480" w:lineRule="auto"/>
        <w:ind w:firstLineChars="236" w:firstLine="566"/>
      </w:pPr>
      <w:r w:rsidRPr="00702882">
        <w:t>This dissertation is a testament to the collective support and encouragement of these individuals, without whom this journey would not have been possible.</w:t>
      </w:r>
      <w:bookmarkEnd w:id="0"/>
    </w:p>
    <w:p w14:paraId="0B41AB5E" w14:textId="5D37ADAC" w:rsidR="0085568A" w:rsidRPr="00702882" w:rsidRDefault="0085568A" w:rsidP="00C66AC4">
      <w:pPr>
        <w:pStyle w:val="ad"/>
        <w:spacing w:line="480" w:lineRule="auto"/>
        <w:contextualSpacing/>
        <w:rPr>
          <w:rFonts w:eastAsiaTheme="minorEastAsia"/>
          <w:color w:val="7030A0"/>
        </w:rPr>
        <w:sectPr w:rsidR="0085568A" w:rsidRPr="00702882" w:rsidSect="008512E5">
          <w:footerReference w:type="even" r:id="rId8"/>
          <w:footerReference w:type="default" r:id="rId9"/>
          <w:pgSz w:w="12240" w:h="15840"/>
          <w:pgMar w:top="1440" w:right="1440" w:bottom="1440" w:left="1440" w:header="720" w:footer="720" w:gutter="0"/>
          <w:pgNumType w:fmt="lowerRoman" w:start="1"/>
          <w:cols w:space="720"/>
          <w:titlePg/>
          <w:docGrid w:linePitch="360"/>
        </w:sectPr>
      </w:pPr>
    </w:p>
    <w:sdt>
      <w:sdtPr>
        <w:rPr>
          <w:rFonts w:ascii="Times New Roman" w:eastAsia="Times New Roman" w:hAnsi="Times New Roman" w:cs="Times New Roman"/>
          <w:b w:val="0"/>
          <w:bCs w:val="0"/>
          <w:color w:val="auto"/>
          <w:sz w:val="24"/>
          <w:szCs w:val="24"/>
          <w:lang w:eastAsia="ko-KR"/>
        </w:rPr>
        <w:id w:val="-2109734954"/>
        <w:docPartObj>
          <w:docPartGallery w:val="Table of Contents"/>
          <w:docPartUnique/>
        </w:docPartObj>
      </w:sdtPr>
      <w:sdtEndPr>
        <w:rPr>
          <w:noProof/>
        </w:rPr>
      </w:sdtEndPr>
      <w:sdtContent>
        <w:p w14:paraId="7157F835" w14:textId="0FC811B0" w:rsidR="00AF6702" w:rsidRPr="00702882" w:rsidRDefault="00AF6702" w:rsidP="00547DCE">
          <w:pPr>
            <w:pStyle w:val="TOC"/>
            <w:spacing w:line="240" w:lineRule="auto"/>
            <w:jc w:val="center"/>
            <w:rPr>
              <w:rFonts w:ascii="Times New Roman" w:hAnsi="Times New Roman" w:cs="Times New Roman"/>
              <w:color w:val="auto"/>
              <w:sz w:val="24"/>
              <w:szCs w:val="24"/>
              <w:lang w:eastAsia="ko-KR"/>
            </w:rPr>
          </w:pPr>
          <w:r w:rsidRPr="00702882">
            <w:rPr>
              <w:rFonts w:ascii="Times New Roman" w:hAnsi="Times New Roman" w:cs="Times New Roman"/>
              <w:color w:val="auto"/>
              <w:sz w:val="24"/>
              <w:szCs w:val="24"/>
            </w:rPr>
            <w:t>T</w:t>
          </w:r>
          <w:r w:rsidR="00547DCE" w:rsidRPr="00702882">
            <w:rPr>
              <w:rFonts w:ascii="Times New Roman" w:hAnsi="Times New Roman" w:cs="Times New Roman"/>
              <w:color w:val="auto"/>
              <w:sz w:val="24"/>
              <w:szCs w:val="24"/>
              <w:lang w:eastAsia="ko-KR"/>
            </w:rPr>
            <w:t>ABLE OF CONTENTS</w:t>
          </w:r>
        </w:p>
        <w:p w14:paraId="56D9F8E5" w14:textId="77777777" w:rsidR="00AF6702" w:rsidRPr="00702882" w:rsidRDefault="00AF6702" w:rsidP="009B6A15">
          <w:pPr>
            <w:rPr>
              <w:lang w:eastAsia="en-US"/>
            </w:rPr>
          </w:pPr>
        </w:p>
        <w:p w14:paraId="2A611488" w14:textId="77777777" w:rsidR="006852BF" w:rsidRPr="00702882" w:rsidRDefault="00000000" w:rsidP="006852BF">
          <w:pPr>
            <w:pStyle w:val="a3"/>
            <w:numPr>
              <w:ilvl w:val="0"/>
              <w:numId w:val="22"/>
            </w:numPr>
            <w:tabs>
              <w:tab w:val="right" w:leader="middleDot" w:pos="10080"/>
            </w:tabs>
            <w:jc w:val="both"/>
            <w:rPr>
              <w:rFonts w:ascii="Times New Roman" w:hAnsi="Times New Roman" w:cs="Times New Roman"/>
            </w:rPr>
          </w:pPr>
          <w:hyperlink w:anchor="Introduction" w:history="1">
            <w:r w:rsidR="00AF6702" w:rsidRPr="00702882">
              <w:rPr>
                <w:rStyle w:val="aa"/>
                <w:rFonts w:ascii="Times New Roman" w:hAnsi="Times New Roman" w:cs="Times New Roman"/>
                <w:color w:val="auto"/>
                <w:u w:val="none"/>
              </w:rPr>
              <w:t>Introduction</w:t>
            </w:r>
          </w:hyperlink>
          <w:r w:rsidR="00AF6702" w:rsidRPr="00702882">
            <w:rPr>
              <w:rFonts w:ascii="Times New Roman" w:hAnsi="Times New Roman" w:cs="Times New Roman"/>
            </w:rPr>
            <w:tab/>
            <w:t>1</w:t>
          </w:r>
        </w:p>
        <w:p w14:paraId="0D0867FE" w14:textId="77777777" w:rsidR="006852BF" w:rsidRPr="00702882" w:rsidRDefault="00000000" w:rsidP="006852BF">
          <w:pPr>
            <w:pStyle w:val="a3"/>
            <w:numPr>
              <w:ilvl w:val="1"/>
              <w:numId w:val="22"/>
            </w:numPr>
            <w:tabs>
              <w:tab w:val="right" w:leader="middleDot" w:pos="10080"/>
            </w:tabs>
            <w:jc w:val="both"/>
            <w:rPr>
              <w:rFonts w:ascii="Times New Roman" w:hAnsi="Times New Roman" w:cs="Times New Roman"/>
            </w:rPr>
          </w:pPr>
          <w:hyperlink w:anchor="StatementoftheProblem" w:history="1">
            <w:r w:rsidR="00AF6702" w:rsidRPr="00702882">
              <w:rPr>
                <w:rStyle w:val="aa"/>
                <w:rFonts w:ascii="Times New Roman" w:hAnsi="Times New Roman" w:cs="Times New Roman"/>
                <w:color w:val="auto"/>
                <w:u w:val="none"/>
              </w:rPr>
              <w:t>Statement of the Problem</w:t>
            </w:r>
          </w:hyperlink>
          <w:r w:rsidR="00AF6702" w:rsidRPr="00702882">
            <w:rPr>
              <w:rFonts w:ascii="Times New Roman" w:hAnsi="Times New Roman" w:cs="Times New Roman"/>
            </w:rPr>
            <w:tab/>
            <w:t>1</w:t>
          </w:r>
        </w:p>
        <w:p w14:paraId="0D9755AA" w14:textId="77777777" w:rsidR="006852BF" w:rsidRPr="00702882" w:rsidRDefault="00000000" w:rsidP="006852BF">
          <w:pPr>
            <w:pStyle w:val="a3"/>
            <w:numPr>
              <w:ilvl w:val="1"/>
              <w:numId w:val="22"/>
            </w:numPr>
            <w:tabs>
              <w:tab w:val="right" w:leader="middleDot" w:pos="10080"/>
            </w:tabs>
            <w:jc w:val="both"/>
            <w:rPr>
              <w:rFonts w:ascii="Times New Roman" w:hAnsi="Times New Roman" w:cs="Times New Roman"/>
            </w:rPr>
          </w:pPr>
          <w:hyperlink w:anchor="SignificanceoftheStudy" w:history="1">
            <w:r w:rsidR="00AF6702" w:rsidRPr="00702882">
              <w:rPr>
                <w:rStyle w:val="aa"/>
                <w:rFonts w:ascii="Times New Roman" w:hAnsi="Times New Roman" w:cs="Times New Roman"/>
                <w:color w:val="auto"/>
                <w:u w:val="none"/>
              </w:rPr>
              <w:t>Significance of the Study</w:t>
            </w:r>
          </w:hyperlink>
          <w:r w:rsidR="00AF6702" w:rsidRPr="00702882">
            <w:rPr>
              <w:rFonts w:ascii="Times New Roman" w:hAnsi="Times New Roman" w:cs="Times New Roman"/>
            </w:rPr>
            <w:tab/>
            <w:t>2</w:t>
          </w:r>
        </w:p>
        <w:p w14:paraId="7102E513" w14:textId="6AC7C9D8" w:rsidR="00AF6702" w:rsidRPr="00702882" w:rsidRDefault="00000000" w:rsidP="006852BF">
          <w:pPr>
            <w:pStyle w:val="a3"/>
            <w:numPr>
              <w:ilvl w:val="1"/>
              <w:numId w:val="22"/>
            </w:numPr>
            <w:tabs>
              <w:tab w:val="right" w:leader="middleDot" w:pos="10080"/>
            </w:tabs>
            <w:jc w:val="both"/>
            <w:rPr>
              <w:rFonts w:ascii="Times New Roman" w:hAnsi="Times New Roman" w:cs="Times New Roman"/>
            </w:rPr>
          </w:pPr>
          <w:hyperlink w:anchor="PlanoftheProposal" w:history="1">
            <w:r w:rsidR="00AF6702" w:rsidRPr="00702882">
              <w:rPr>
                <w:rStyle w:val="aa"/>
                <w:rFonts w:ascii="Times New Roman" w:hAnsi="Times New Roman" w:cs="Times New Roman"/>
                <w:color w:val="auto"/>
                <w:u w:val="none"/>
              </w:rPr>
              <w:t>Plan of the Proposal</w:t>
            </w:r>
          </w:hyperlink>
          <w:r w:rsidR="00AF6702" w:rsidRPr="00702882">
            <w:rPr>
              <w:rFonts w:ascii="Times New Roman" w:hAnsi="Times New Roman" w:cs="Times New Roman"/>
            </w:rPr>
            <w:tab/>
          </w:r>
          <w:r w:rsidR="000F2D2D" w:rsidRPr="00702882">
            <w:rPr>
              <w:rFonts w:ascii="Times New Roman" w:hAnsi="Times New Roman" w:cs="Times New Roman"/>
            </w:rPr>
            <w:t>5</w:t>
          </w:r>
        </w:p>
        <w:p w14:paraId="424E3C8A" w14:textId="77777777" w:rsidR="00DC640E" w:rsidRPr="00702882" w:rsidRDefault="00DC640E" w:rsidP="009B6A15">
          <w:pPr>
            <w:pStyle w:val="a3"/>
            <w:tabs>
              <w:tab w:val="right" w:leader="middleDot" w:pos="10080"/>
            </w:tabs>
            <w:ind w:left="360"/>
            <w:jc w:val="both"/>
            <w:rPr>
              <w:rFonts w:ascii="Times New Roman" w:hAnsi="Times New Roman" w:cs="Times New Roman"/>
            </w:rPr>
          </w:pPr>
        </w:p>
        <w:p w14:paraId="0503AB57" w14:textId="77777777" w:rsidR="006852BF" w:rsidRPr="00702882" w:rsidRDefault="00000000" w:rsidP="006852BF">
          <w:pPr>
            <w:pStyle w:val="a3"/>
            <w:numPr>
              <w:ilvl w:val="0"/>
              <w:numId w:val="22"/>
            </w:numPr>
            <w:tabs>
              <w:tab w:val="right" w:leader="middleDot" w:pos="10080"/>
            </w:tabs>
            <w:jc w:val="both"/>
            <w:rPr>
              <w:rFonts w:ascii="Times New Roman" w:hAnsi="Times New Roman" w:cs="Times New Roman"/>
            </w:rPr>
          </w:pPr>
          <w:hyperlink w:anchor="BUDGETSTABILIZATIONFUNDS" w:history="1">
            <w:r w:rsidR="00AF6702" w:rsidRPr="00702882">
              <w:rPr>
                <w:rStyle w:val="aa"/>
                <w:rFonts w:ascii="Times New Roman" w:hAnsi="Times New Roman" w:cs="Times New Roman"/>
                <w:color w:val="auto"/>
                <w:u w:val="none"/>
              </w:rPr>
              <w:t>Budget Stabilization Funds</w:t>
            </w:r>
          </w:hyperlink>
          <w:r w:rsidR="00AF6702" w:rsidRPr="00702882">
            <w:rPr>
              <w:rFonts w:ascii="Times New Roman" w:hAnsi="Times New Roman" w:cs="Times New Roman"/>
            </w:rPr>
            <w:tab/>
          </w:r>
          <w:r w:rsidR="000F2D2D" w:rsidRPr="00702882">
            <w:rPr>
              <w:rFonts w:ascii="Times New Roman" w:hAnsi="Times New Roman" w:cs="Times New Roman"/>
            </w:rPr>
            <w:t>6</w:t>
          </w:r>
        </w:p>
        <w:p w14:paraId="02E9A4F0" w14:textId="2372C531" w:rsidR="00AF6702" w:rsidRPr="00702882" w:rsidRDefault="00000000" w:rsidP="006852BF">
          <w:pPr>
            <w:pStyle w:val="a3"/>
            <w:numPr>
              <w:ilvl w:val="1"/>
              <w:numId w:val="22"/>
            </w:numPr>
            <w:tabs>
              <w:tab w:val="right" w:leader="middleDot" w:pos="10080"/>
            </w:tabs>
            <w:jc w:val="both"/>
            <w:rPr>
              <w:rFonts w:ascii="Times New Roman" w:hAnsi="Times New Roman" w:cs="Times New Roman"/>
            </w:rPr>
          </w:pPr>
          <w:hyperlink w:anchor="AdoptionandPurposeofBudgetStabilization" w:history="1">
            <w:r w:rsidR="00AF6702" w:rsidRPr="00702882">
              <w:rPr>
                <w:rStyle w:val="aa"/>
                <w:rFonts w:ascii="Times New Roman" w:hAnsi="Times New Roman" w:cs="Times New Roman"/>
                <w:color w:val="auto"/>
                <w:u w:val="none"/>
              </w:rPr>
              <w:t>Adoption and Purpose of Budget Stabilization</w:t>
            </w:r>
          </w:hyperlink>
          <w:r w:rsidR="00AF6702" w:rsidRPr="00702882">
            <w:rPr>
              <w:rFonts w:ascii="Times New Roman" w:hAnsi="Times New Roman" w:cs="Times New Roman"/>
            </w:rPr>
            <w:t xml:space="preserve"> Funds</w:t>
          </w:r>
          <w:r w:rsidR="00AF6702" w:rsidRPr="00702882">
            <w:rPr>
              <w:rFonts w:ascii="Times New Roman" w:hAnsi="Times New Roman" w:cs="Times New Roman"/>
            </w:rPr>
            <w:tab/>
          </w:r>
          <w:r w:rsidR="000F2D2D" w:rsidRPr="00702882">
            <w:rPr>
              <w:rFonts w:ascii="Times New Roman" w:hAnsi="Times New Roman" w:cs="Times New Roman"/>
            </w:rPr>
            <w:t>6</w:t>
          </w:r>
        </w:p>
        <w:p w14:paraId="5869354C" w14:textId="1F9BA194"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CharacterizationofBSFRules" w:history="1">
            <w:r w:rsidR="00AF6702" w:rsidRPr="00702882">
              <w:rPr>
                <w:rStyle w:val="aa"/>
                <w:rFonts w:ascii="Times New Roman" w:hAnsi="Times New Roman" w:cs="Times New Roman"/>
                <w:color w:val="auto"/>
                <w:u w:val="none"/>
              </w:rPr>
              <w:t>Characterization of BSF Rules</w:t>
            </w:r>
          </w:hyperlink>
          <w:r w:rsidR="00AF6702" w:rsidRPr="00702882">
            <w:rPr>
              <w:rFonts w:ascii="Times New Roman" w:hAnsi="Times New Roman" w:cs="Times New Roman"/>
            </w:rPr>
            <w:t xml:space="preserve"> in the Literature</w:t>
          </w:r>
          <w:r w:rsidR="00AF6702" w:rsidRPr="00702882">
            <w:rPr>
              <w:rFonts w:ascii="Times New Roman" w:hAnsi="Times New Roman" w:cs="Times New Roman"/>
            </w:rPr>
            <w:tab/>
          </w:r>
          <w:r w:rsidR="009161D6" w:rsidRPr="00702882">
            <w:rPr>
              <w:rFonts w:ascii="Times New Roman" w:hAnsi="Times New Roman" w:cs="Times New Roman"/>
            </w:rPr>
            <w:t>10</w:t>
          </w:r>
        </w:p>
        <w:p w14:paraId="572E8199" w14:textId="19B6B95D"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ConceptualizationandOperationalization" w:history="1">
            <w:r w:rsidR="00AF6702" w:rsidRPr="00702882">
              <w:rPr>
                <w:rStyle w:val="aa"/>
                <w:rFonts w:ascii="Times New Roman" w:hAnsi="Times New Roman" w:cs="Times New Roman"/>
                <w:color w:val="auto"/>
                <w:u w:val="none"/>
              </w:rPr>
              <w:t>Conceptualization and Operationalization</w:t>
            </w:r>
          </w:hyperlink>
          <w:r w:rsidR="00AF6702" w:rsidRPr="00702882">
            <w:rPr>
              <w:rFonts w:ascii="Times New Roman" w:hAnsi="Times New Roman" w:cs="Times New Roman"/>
            </w:rPr>
            <w:t xml:space="preserve"> of BSF Rule Stringency</w:t>
          </w:r>
          <w:r w:rsidR="00AF6702" w:rsidRPr="00702882">
            <w:rPr>
              <w:rFonts w:ascii="Times New Roman" w:hAnsi="Times New Roman" w:cs="Times New Roman"/>
            </w:rPr>
            <w:tab/>
            <w:t>1</w:t>
          </w:r>
          <w:r w:rsidR="009D2555" w:rsidRPr="00702882">
            <w:rPr>
              <w:rFonts w:ascii="Times New Roman" w:hAnsi="Times New Roman" w:cs="Times New Roman"/>
            </w:rPr>
            <w:t>3</w:t>
          </w:r>
        </w:p>
        <w:p w14:paraId="2E2EA506" w14:textId="0CE90D7F"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OperationalDefinitionsofBSFRules" w:history="1">
            <w:r w:rsidR="00AF6702" w:rsidRPr="00702882">
              <w:rPr>
                <w:rStyle w:val="aa"/>
                <w:rFonts w:ascii="Times New Roman" w:hAnsi="Times New Roman" w:cs="Times New Roman"/>
                <w:color w:val="auto"/>
                <w:u w:val="none"/>
              </w:rPr>
              <w:t>Operational Definitions of BSF Rules</w:t>
            </w:r>
          </w:hyperlink>
          <w:r w:rsidR="00AF6702" w:rsidRPr="00702882">
            <w:rPr>
              <w:rFonts w:ascii="Times New Roman" w:hAnsi="Times New Roman" w:cs="Times New Roman"/>
            </w:rPr>
            <w:tab/>
            <w:t>1</w:t>
          </w:r>
          <w:r w:rsidR="00C00315" w:rsidRPr="00702882">
            <w:rPr>
              <w:rFonts w:ascii="Times New Roman" w:hAnsi="Times New Roman" w:cs="Times New Roman"/>
            </w:rPr>
            <w:t>7</w:t>
          </w:r>
        </w:p>
        <w:p w14:paraId="4E7D93DF" w14:textId="77B3A15B"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FrequenciesofBSFStatuteCategories" w:history="1">
            <w:r w:rsidR="00AF6702" w:rsidRPr="00702882">
              <w:rPr>
                <w:rStyle w:val="aa"/>
                <w:rFonts w:ascii="Times New Roman" w:hAnsi="Times New Roman" w:cs="Times New Roman"/>
                <w:color w:val="auto"/>
                <w:u w:val="none"/>
              </w:rPr>
              <w:t>Frequencies of BSF Statute Categories</w:t>
            </w:r>
          </w:hyperlink>
          <w:r w:rsidR="00AF6702" w:rsidRPr="00702882">
            <w:rPr>
              <w:rFonts w:ascii="Times New Roman" w:hAnsi="Times New Roman" w:cs="Times New Roman"/>
            </w:rPr>
            <w:tab/>
            <w:t>3</w:t>
          </w:r>
          <w:r w:rsidR="00C82E86" w:rsidRPr="00702882">
            <w:rPr>
              <w:rFonts w:ascii="Times New Roman" w:hAnsi="Times New Roman" w:cs="Times New Roman"/>
            </w:rPr>
            <w:t>7</w:t>
          </w:r>
        </w:p>
        <w:p w14:paraId="048A7AE4" w14:textId="77777777" w:rsidR="00DC640E" w:rsidRPr="00702882" w:rsidRDefault="00DC640E" w:rsidP="00DC640E">
          <w:pPr>
            <w:pStyle w:val="a3"/>
            <w:tabs>
              <w:tab w:val="right" w:leader="middleDot" w:pos="10080"/>
            </w:tabs>
            <w:ind w:left="716"/>
            <w:jc w:val="both"/>
            <w:rPr>
              <w:rFonts w:ascii="Times New Roman" w:hAnsi="Times New Roman" w:cs="Times New Roman"/>
            </w:rPr>
          </w:pPr>
        </w:p>
        <w:p w14:paraId="2ADE6AC7" w14:textId="77777777" w:rsidR="006852BF" w:rsidRPr="00702882" w:rsidRDefault="00000000" w:rsidP="006852BF">
          <w:pPr>
            <w:pStyle w:val="a3"/>
            <w:numPr>
              <w:ilvl w:val="0"/>
              <w:numId w:val="22"/>
            </w:numPr>
            <w:tabs>
              <w:tab w:val="right" w:leader="middleDot" w:pos="10080"/>
            </w:tabs>
            <w:jc w:val="both"/>
            <w:rPr>
              <w:rFonts w:ascii="Times New Roman" w:hAnsi="Times New Roman" w:cs="Times New Roman"/>
            </w:rPr>
          </w:pPr>
          <w:hyperlink w:anchor="LITERATUREREVIEW" w:history="1">
            <w:r w:rsidR="00AF6702" w:rsidRPr="00702882">
              <w:rPr>
                <w:rStyle w:val="aa"/>
                <w:rFonts w:ascii="Times New Roman" w:hAnsi="Times New Roman" w:cs="Times New Roman"/>
                <w:color w:val="auto"/>
                <w:u w:val="none"/>
              </w:rPr>
              <w:t>Literature Review</w:t>
            </w:r>
          </w:hyperlink>
          <w:r w:rsidR="00AF6702" w:rsidRPr="00702882">
            <w:rPr>
              <w:rFonts w:ascii="Times New Roman" w:hAnsi="Times New Roman" w:cs="Times New Roman"/>
            </w:rPr>
            <w:tab/>
          </w:r>
          <w:r w:rsidR="00C85DB5" w:rsidRPr="00702882">
            <w:rPr>
              <w:rFonts w:ascii="Times New Roman" w:hAnsi="Times New Roman" w:cs="Times New Roman"/>
            </w:rPr>
            <w:t>41</w:t>
          </w:r>
        </w:p>
        <w:p w14:paraId="0EEE2217" w14:textId="77777777" w:rsidR="006852BF" w:rsidRPr="00702882" w:rsidRDefault="00000000" w:rsidP="006852BF">
          <w:pPr>
            <w:pStyle w:val="a3"/>
            <w:numPr>
              <w:ilvl w:val="1"/>
              <w:numId w:val="22"/>
            </w:numPr>
            <w:tabs>
              <w:tab w:val="right" w:leader="middleDot" w:pos="10080"/>
            </w:tabs>
            <w:jc w:val="both"/>
            <w:rPr>
              <w:rFonts w:ascii="Times New Roman" w:hAnsi="Times New Roman" w:cs="Times New Roman"/>
            </w:rPr>
          </w:pPr>
          <w:hyperlink w:anchor="PublicChoiceTheory" w:history="1">
            <w:r w:rsidR="00AF6702" w:rsidRPr="00702882">
              <w:rPr>
                <w:rStyle w:val="aa"/>
                <w:rFonts w:ascii="Times New Roman" w:hAnsi="Times New Roman" w:cs="Times New Roman"/>
                <w:color w:val="auto"/>
                <w:u w:val="none"/>
              </w:rPr>
              <w:t>Public Choice Theory</w:t>
            </w:r>
          </w:hyperlink>
          <w:r w:rsidR="00AF6702" w:rsidRPr="00702882">
            <w:rPr>
              <w:rFonts w:ascii="Times New Roman" w:hAnsi="Times New Roman" w:cs="Times New Roman"/>
            </w:rPr>
            <w:tab/>
          </w:r>
          <w:r w:rsidR="00C85DB5" w:rsidRPr="00702882">
            <w:rPr>
              <w:rFonts w:ascii="Times New Roman" w:hAnsi="Times New Roman" w:cs="Times New Roman"/>
            </w:rPr>
            <w:t>42</w:t>
          </w:r>
        </w:p>
        <w:p w14:paraId="70B96349" w14:textId="77777777" w:rsidR="006852BF" w:rsidRPr="00702882" w:rsidRDefault="00000000" w:rsidP="006852BF">
          <w:pPr>
            <w:pStyle w:val="a3"/>
            <w:numPr>
              <w:ilvl w:val="1"/>
              <w:numId w:val="22"/>
            </w:numPr>
            <w:tabs>
              <w:tab w:val="right" w:leader="middleDot" w:pos="10080"/>
            </w:tabs>
            <w:jc w:val="both"/>
            <w:rPr>
              <w:rFonts w:ascii="Times New Roman" w:hAnsi="Times New Roman" w:cs="Times New Roman"/>
            </w:rPr>
          </w:pPr>
          <w:hyperlink w:anchor="PoliticalEconomyofFiscalInstitutions" w:history="1">
            <w:r w:rsidR="00AF6702" w:rsidRPr="00702882">
              <w:rPr>
                <w:rStyle w:val="aa"/>
                <w:rFonts w:ascii="Times New Roman" w:hAnsi="Times New Roman" w:cs="Times New Roman"/>
                <w:color w:val="auto"/>
                <w:u w:val="none"/>
              </w:rPr>
              <w:t>Political Economy of Fiscal Institutions</w:t>
            </w:r>
          </w:hyperlink>
          <w:r w:rsidR="00AF6702" w:rsidRPr="00702882">
            <w:rPr>
              <w:rFonts w:ascii="Times New Roman" w:hAnsi="Times New Roman" w:cs="Times New Roman"/>
            </w:rPr>
            <w:tab/>
          </w:r>
          <w:r w:rsidR="00F61102" w:rsidRPr="00702882">
            <w:rPr>
              <w:rFonts w:ascii="Times New Roman" w:hAnsi="Times New Roman" w:cs="Times New Roman"/>
            </w:rPr>
            <w:t>44</w:t>
          </w:r>
        </w:p>
        <w:p w14:paraId="1452CC81" w14:textId="77777777" w:rsidR="006852BF" w:rsidRPr="00702882" w:rsidRDefault="00000000" w:rsidP="006852BF">
          <w:pPr>
            <w:pStyle w:val="a3"/>
            <w:numPr>
              <w:ilvl w:val="1"/>
              <w:numId w:val="22"/>
            </w:numPr>
            <w:tabs>
              <w:tab w:val="right" w:leader="middleDot" w:pos="10080"/>
            </w:tabs>
            <w:jc w:val="both"/>
            <w:rPr>
              <w:rFonts w:ascii="Times New Roman" w:hAnsi="Times New Roman" w:cs="Times New Roman"/>
            </w:rPr>
          </w:pPr>
          <w:hyperlink w:anchor="NewInstitutionalEconomics" w:history="1">
            <w:r w:rsidR="00AF6702" w:rsidRPr="00702882">
              <w:rPr>
                <w:rStyle w:val="aa"/>
                <w:rFonts w:ascii="Times New Roman" w:hAnsi="Times New Roman" w:cs="Times New Roman"/>
                <w:color w:val="auto"/>
                <w:u w:val="none"/>
              </w:rPr>
              <w:t>New Institutional Economics</w:t>
            </w:r>
          </w:hyperlink>
          <w:r w:rsidR="00AF6702" w:rsidRPr="00702882">
            <w:rPr>
              <w:rFonts w:ascii="Times New Roman" w:hAnsi="Times New Roman" w:cs="Times New Roman"/>
            </w:rPr>
            <w:tab/>
          </w:r>
          <w:r w:rsidR="00F61102" w:rsidRPr="00702882">
            <w:rPr>
              <w:rFonts w:ascii="Times New Roman" w:hAnsi="Times New Roman" w:cs="Times New Roman"/>
            </w:rPr>
            <w:t>46</w:t>
          </w:r>
        </w:p>
        <w:p w14:paraId="68BAD807" w14:textId="50F9A599" w:rsidR="00AF6702" w:rsidRPr="00702882" w:rsidRDefault="00000000" w:rsidP="006852BF">
          <w:pPr>
            <w:pStyle w:val="a3"/>
            <w:numPr>
              <w:ilvl w:val="1"/>
              <w:numId w:val="22"/>
            </w:numPr>
            <w:tabs>
              <w:tab w:val="right" w:leader="middleDot" w:pos="10080"/>
            </w:tabs>
            <w:jc w:val="both"/>
            <w:rPr>
              <w:rFonts w:ascii="Times New Roman" w:hAnsi="Times New Roman" w:cs="Times New Roman"/>
            </w:rPr>
          </w:pPr>
          <w:hyperlink w:anchor="FiscalSlackModel" w:history="1">
            <w:r w:rsidR="00AF6702" w:rsidRPr="00702882">
              <w:rPr>
                <w:rStyle w:val="aa"/>
                <w:rFonts w:ascii="Times New Roman" w:hAnsi="Times New Roman" w:cs="Times New Roman"/>
                <w:color w:val="auto"/>
                <w:u w:val="none"/>
              </w:rPr>
              <w:t>Fiscal Slack Model</w:t>
            </w:r>
          </w:hyperlink>
          <w:r w:rsidR="00AF6702" w:rsidRPr="00702882">
            <w:rPr>
              <w:rFonts w:ascii="Times New Roman" w:hAnsi="Times New Roman" w:cs="Times New Roman"/>
            </w:rPr>
            <w:tab/>
          </w:r>
          <w:r w:rsidR="00F61102" w:rsidRPr="00702882">
            <w:rPr>
              <w:rFonts w:ascii="Times New Roman" w:hAnsi="Times New Roman" w:cs="Times New Roman"/>
            </w:rPr>
            <w:t>4</w:t>
          </w:r>
          <w:r w:rsidR="00AF6702" w:rsidRPr="00702882">
            <w:rPr>
              <w:rFonts w:ascii="Times New Roman" w:hAnsi="Times New Roman" w:cs="Times New Roman"/>
            </w:rPr>
            <w:t>9</w:t>
          </w:r>
        </w:p>
        <w:p w14:paraId="442C6302" w14:textId="77777777" w:rsidR="00DC640E" w:rsidRPr="00702882" w:rsidRDefault="00DC640E" w:rsidP="009B6A15">
          <w:pPr>
            <w:pStyle w:val="a3"/>
            <w:tabs>
              <w:tab w:val="right" w:leader="middleDot" w:pos="10080"/>
            </w:tabs>
            <w:ind w:left="360"/>
            <w:jc w:val="both"/>
            <w:rPr>
              <w:rFonts w:ascii="Times New Roman" w:hAnsi="Times New Roman" w:cs="Times New Roman"/>
            </w:rPr>
          </w:pPr>
        </w:p>
        <w:p w14:paraId="62FE65A6" w14:textId="7AB60463" w:rsidR="00AF6702" w:rsidRPr="00702882" w:rsidRDefault="00000000" w:rsidP="009B6A15">
          <w:pPr>
            <w:pStyle w:val="a3"/>
            <w:numPr>
              <w:ilvl w:val="0"/>
              <w:numId w:val="22"/>
            </w:numPr>
            <w:tabs>
              <w:tab w:val="right" w:leader="middleDot" w:pos="10080"/>
            </w:tabs>
            <w:jc w:val="both"/>
            <w:rPr>
              <w:rFonts w:ascii="Times New Roman" w:hAnsi="Times New Roman" w:cs="Times New Roman"/>
            </w:rPr>
          </w:pPr>
          <w:hyperlink w:anchor="CONCEPTUALFRAMEWORKANDHYPOTHESES" w:history="1">
            <w:r w:rsidR="00AF6702" w:rsidRPr="00702882">
              <w:rPr>
                <w:rStyle w:val="aa"/>
                <w:rFonts w:ascii="Times New Roman" w:hAnsi="Times New Roman" w:cs="Times New Roman"/>
                <w:color w:val="auto"/>
                <w:u w:val="none"/>
              </w:rPr>
              <w:t>Conceptual Framework and Hypotheses</w:t>
            </w:r>
          </w:hyperlink>
          <w:r w:rsidR="00AF6702" w:rsidRPr="00702882">
            <w:rPr>
              <w:rFonts w:ascii="Times New Roman" w:hAnsi="Times New Roman" w:cs="Times New Roman"/>
            </w:rPr>
            <w:tab/>
          </w:r>
          <w:r w:rsidR="0058556F" w:rsidRPr="00702882">
            <w:rPr>
              <w:rFonts w:ascii="Times New Roman" w:hAnsi="Times New Roman" w:cs="Times New Roman"/>
            </w:rPr>
            <w:t>52</w:t>
          </w:r>
        </w:p>
        <w:p w14:paraId="548E7ABA" w14:textId="2D52B68E"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ConceptualFramework" w:history="1">
            <w:r w:rsidR="00AF6702" w:rsidRPr="00702882">
              <w:rPr>
                <w:rStyle w:val="aa"/>
                <w:rFonts w:ascii="Times New Roman" w:hAnsi="Times New Roman" w:cs="Times New Roman"/>
                <w:color w:val="auto"/>
                <w:u w:val="none"/>
              </w:rPr>
              <w:t>Conceptual Framework</w:t>
            </w:r>
          </w:hyperlink>
          <w:r w:rsidR="00AF6702" w:rsidRPr="00702882">
            <w:rPr>
              <w:rFonts w:ascii="Times New Roman" w:hAnsi="Times New Roman" w:cs="Times New Roman"/>
            </w:rPr>
            <w:tab/>
          </w:r>
          <w:r w:rsidR="0058556F" w:rsidRPr="00702882">
            <w:rPr>
              <w:rFonts w:ascii="Times New Roman" w:hAnsi="Times New Roman" w:cs="Times New Roman"/>
            </w:rPr>
            <w:t>52</w:t>
          </w:r>
        </w:p>
        <w:p w14:paraId="79072136" w14:textId="4BE182DA"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Hypotheses" w:history="1">
            <w:r w:rsidR="00AF6702" w:rsidRPr="00702882">
              <w:rPr>
                <w:rStyle w:val="aa"/>
                <w:rFonts w:ascii="Times New Roman" w:hAnsi="Times New Roman" w:cs="Times New Roman"/>
                <w:color w:val="auto"/>
                <w:u w:val="none"/>
              </w:rPr>
              <w:t>Hypotheses</w:t>
            </w:r>
          </w:hyperlink>
          <w:r w:rsidR="00AF6702" w:rsidRPr="00702882">
            <w:rPr>
              <w:rFonts w:ascii="Times New Roman" w:hAnsi="Times New Roman" w:cs="Times New Roman"/>
            </w:rPr>
            <w:tab/>
          </w:r>
          <w:r w:rsidR="0058556F" w:rsidRPr="00702882">
            <w:rPr>
              <w:rFonts w:ascii="Times New Roman" w:hAnsi="Times New Roman" w:cs="Times New Roman"/>
            </w:rPr>
            <w:t>58</w:t>
          </w:r>
        </w:p>
        <w:p w14:paraId="08C674A6" w14:textId="77777777" w:rsidR="00DC640E" w:rsidRPr="00702882" w:rsidRDefault="00DC640E" w:rsidP="00DC640E">
          <w:pPr>
            <w:pStyle w:val="a3"/>
            <w:tabs>
              <w:tab w:val="right" w:leader="middleDot" w:pos="10080"/>
            </w:tabs>
            <w:ind w:left="716"/>
            <w:jc w:val="both"/>
            <w:rPr>
              <w:rFonts w:ascii="Times New Roman" w:hAnsi="Times New Roman" w:cs="Times New Roman"/>
            </w:rPr>
          </w:pPr>
        </w:p>
        <w:p w14:paraId="2192072F" w14:textId="19110211" w:rsidR="00AF6702" w:rsidRPr="00702882" w:rsidRDefault="00000000" w:rsidP="009B6A15">
          <w:pPr>
            <w:pStyle w:val="a3"/>
            <w:numPr>
              <w:ilvl w:val="0"/>
              <w:numId w:val="22"/>
            </w:numPr>
            <w:tabs>
              <w:tab w:val="right" w:leader="middleDot" w:pos="10080"/>
            </w:tabs>
            <w:jc w:val="both"/>
            <w:rPr>
              <w:rFonts w:ascii="Times New Roman" w:hAnsi="Times New Roman" w:cs="Times New Roman"/>
            </w:rPr>
          </w:pPr>
          <w:hyperlink w:anchor="DATAANDMEASURES" w:history="1">
            <w:r w:rsidR="00AF6702" w:rsidRPr="00702882">
              <w:rPr>
                <w:rStyle w:val="aa"/>
                <w:rFonts w:ascii="Times New Roman" w:hAnsi="Times New Roman" w:cs="Times New Roman"/>
                <w:color w:val="auto"/>
                <w:u w:val="none"/>
              </w:rPr>
              <w:t>Data and Measures</w:t>
            </w:r>
          </w:hyperlink>
          <w:r w:rsidR="00AF6702" w:rsidRPr="00702882">
            <w:rPr>
              <w:rFonts w:ascii="Times New Roman" w:hAnsi="Times New Roman" w:cs="Times New Roman"/>
            </w:rPr>
            <w:tab/>
          </w:r>
          <w:r w:rsidR="00544507" w:rsidRPr="00702882">
            <w:rPr>
              <w:rFonts w:ascii="Times New Roman" w:hAnsi="Times New Roman" w:cs="Times New Roman"/>
            </w:rPr>
            <w:t>70</w:t>
          </w:r>
        </w:p>
        <w:p w14:paraId="7A2A6592" w14:textId="778A2905"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IndependentandDependentVariables" w:history="1">
            <w:r w:rsidR="00AF6702" w:rsidRPr="00702882">
              <w:rPr>
                <w:rStyle w:val="aa"/>
                <w:rFonts w:ascii="Times New Roman" w:hAnsi="Times New Roman" w:cs="Times New Roman"/>
                <w:color w:val="auto"/>
                <w:u w:val="none"/>
              </w:rPr>
              <w:t>Independent and Dependent Variables</w:t>
            </w:r>
          </w:hyperlink>
          <w:r w:rsidR="00AF6702" w:rsidRPr="00702882">
            <w:rPr>
              <w:rFonts w:ascii="Times New Roman" w:hAnsi="Times New Roman" w:cs="Times New Roman"/>
            </w:rPr>
            <w:tab/>
          </w:r>
          <w:r w:rsidR="00544507" w:rsidRPr="00702882">
            <w:rPr>
              <w:rFonts w:ascii="Times New Roman" w:hAnsi="Times New Roman" w:cs="Times New Roman"/>
            </w:rPr>
            <w:t>71</w:t>
          </w:r>
        </w:p>
        <w:p w14:paraId="356718B1" w14:textId="20EEB11A" w:rsidR="00AF6702" w:rsidRPr="00702882" w:rsidRDefault="00000000" w:rsidP="00715369">
          <w:pPr>
            <w:pStyle w:val="a3"/>
            <w:numPr>
              <w:ilvl w:val="1"/>
              <w:numId w:val="22"/>
            </w:numPr>
            <w:tabs>
              <w:tab w:val="right" w:leader="middleDot" w:pos="10080"/>
            </w:tabs>
            <w:jc w:val="both"/>
            <w:rPr>
              <w:rFonts w:ascii="Times New Roman" w:hAnsi="Times New Roman" w:cs="Times New Roman"/>
            </w:rPr>
          </w:pPr>
          <w:hyperlink w:anchor="ControlVariables" w:history="1">
            <w:r w:rsidR="00AF6702" w:rsidRPr="00702882">
              <w:rPr>
                <w:rStyle w:val="aa"/>
                <w:rFonts w:ascii="Times New Roman" w:hAnsi="Times New Roman" w:cs="Times New Roman"/>
                <w:color w:val="auto"/>
                <w:u w:val="none"/>
              </w:rPr>
              <w:t>Control Variables</w:t>
            </w:r>
          </w:hyperlink>
          <w:r w:rsidR="00AF6702" w:rsidRPr="00702882">
            <w:rPr>
              <w:rFonts w:ascii="Times New Roman" w:hAnsi="Times New Roman" w:cs="Times New Roman"/>
            </w:rPr>
            <w:tab/>
          </w:r>
          <w:r w:rsidR="00544507" w:rsidRPr="00702882">
            <w:rPr>
              <w:rFonts w:ascii="Times New Roman" w:hAnsi="Times New Roman" w:cs="Times New Roman"/>
            </w:rPr>
            <w:t>74</w:t>
          </w:r>
        </w:p>
        <w:p w14:paraId="7F01465C" w14:textId="77777777" w:rsidR="00DC640E" w:rsidRPr="00702882" w:rsidRDefault="00DC640E" w:rsidP="00DC640E">
          <w:pPr>
            <w:pStyle w:val="a3"/>
            <w:tabs>
              <w:tab w:val="right" w:leader="middleDot" w:pos="10080"/>
            </w:tabs>
            <w:ind w:left="716"/>
            <w:jc w:val="both"/>
            <w:rPr>
              <w:rFonts w:ascii="Times New Roman" w:hAnsi="Times New Roman" w:cs="Times New Roman"/>
            </w:rPr>
          </w:pPr>
        </w:p>
        <w:p w14:paraId="4F2AFF30" w14:textId="1E94632E" w:rsidR="00AF6702" w:rsidRPr="00702882" w:rsidRDefault="00000000" w:rsidP="009B6A15">
          <w:pPr>
            <w:pStyle w:val="a3"/>
            <w:numPr>
              <w:ilvl w:val="0"/>
              <w:numId w:val="22"/>
            </w:numPr>
            <w:tabs>
              <w:tab w:val="right" w:leader="middleDot" w:pos="10080"/>
            </w:tabs>
            <w:jc w:val="both"/>
            <w:rPr>
              <w:rFonts w:ascii="Times New Roman" w:hAnsi="Times New Roman" w:cs="Times New Roman"/>
            </w:rPr>
          </w:pPr>
          <w:hyperlink w:anchor="QUANTITATIVEANALYSIS" w:history="1">
            <w:r w:rsidR="00AF6702" w:rsidRPr="00702882">
              <w:rPr>
                <w:rStyle w:val="aa"/>
                <w:rFonts w:ascii="Times New Roman" w:hAnsi="Times New Roman" w:cs="Times New Roman"/>
                <w:color w:val="auto"/>
                <w:u w:val="none"/>
              </w:rPr>
              <w:t>Quantitative Analysis</w:t>
            </w:r>
          </w:hyperlink>
          <w:r w:rsidR="00AF6702" w:rsidRPr="00702882">
            <w:rPr>
              <w:rFonts w:ascii="Times New Roman" w:hAnsi="Times New Roman" w:cs="Times New Roman"/>
            </w:rPr>
            <w:tab/>
          </w:r>
          <w:r w:rsidR="00715369" w:rsidRPr="00702882">
            <w:rPr>
              <w:rFonts w:ascii="Times New Roman" w:hAnsi="Times New Roman" w:cs="Times New Roman"/>
            </w:rPr>
            <w:t>77</w:t>
          </w:r>
        </w:p>
        <w:p w14:paraId="3F8CB9D1" w14:textId="6530F8E8"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PanelDataAnalysis" w:history="1">
            <w:r w:rsidR="00AF6702" w:rsidRPr="00702882">
              <w:rPr>
                <w:rStyle w:val="aa"/>
                <w:rFonts w:ascii="Times New Roman" w:hAnsi="Times New Roman" w:cs="Times New Roman"/>
                <w:color w:val="auto"/>
                <w:u w:val="none"/>
              </w:rPr>
              <w:t>Panel Data Analysis</w:t>
            </w:r>
          </w:hyperlink>
          <w:r w:rsidR="00AF6702" w:rsidRPr="00702882">
            <w:rPr>
              <w:rFonts w:ascii="Times New Roman" w:hAnsi="Times New Roman" w:cs="Times New Roman"/>
            </w:rPr>
            <w:tab/>
          </w:r>
          <w:r w:rsidR="00F15EA5" w:rsidRPr="00702882">
            <w:rPr>
              <w:rFonts w:ascii="Times New Roman" w:hAnsi="Times New Roman" w:cs="Times New Roman"/>
            </w:rPr>
            <w:t>78</w:t>
          </w:r>
        </w:p>
        <w:p w14:paraId="14C1578D" w14:textId="0A4BBC57"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ResultsfromPanelDataAnalysis" w:history="1">
            <w:r w:rsidR="00AF6702" w:rsidRPr="00702882">
              <w:rPr>
                <w:rStyle w:val="aa"/>
                <w:rFonts w:ascii="Times New Roman" w:hAnsi="Times New Roman" w:cs="Times New Roman"/>
                <w:color w:val="auto"/>
                <w:u w:val="none"/>
              </w:rPr>
              <w:t>Results from Panel Data Analysis</w:t>
            </w:r>
          </w:hyperlink>
          <w:r w:rsidR="00AF6702" w:rsidRPr="00702882">
            <w:rPr>
              <w:rFonts w:ascii="Times New Roman" w:hAnsi="Times New Roman" w:cs="Times New Roman"/>
            </w:rPr>
            <w:tab/>
          </w:r>
          <w:r w:rsidR="00F15EA5" w:rsidRPr="00702882">
            <w:rPr>
              <w:rFonts w:ascii="Times New Roman" w:hAnsi="Times New Roman" w:cs="Times New Roman"/>
            </w:rPr>
            <w:t>84</w:t>
          </w:r>
        </w:p>
        <w:p w14:paraId="584880C8" w14:textId="4137675E"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GeneralizedSyntheticControlMethod" w:history="1">
            <w:r w:rsidR="00AF6702" w:rsidRPr="00702882">
              <w:rPr>
                <w:rStyle w:val="aa"/>
                <w:rFonts w:ascii="Times New Roman" w:hAnsi="Times New Roman" w:cs="Times New Roman"/>
                <w:color w:val="auto"/>
                <w:u w:val="none"/>
              </w:rPr>
              <w:t>Generalized Synthetic Control Method</w:t>
            </w:r>
          </w:hyperlink>
          <w:r w:rsidR="00AF6702" w:rsidRPr="00702882">
            <w:rPr>
              <w:rFonts w:ascii="Times New Roman" w:hAnsi="Times New Roman" w:cs="Times New Roman"/>
            </w:rPr>
            <w:tab/>
          </w:r>
          <w:r w:rsidR="00330F49" w:rsidRPr="00702882">
            <w:rPr>
              <w:rFonts w:ascii="Times New Roman" w:hAnsi="Times New Roman" w:cs="Times New Roman"/>
            </w:rPr>
            <w:t>112</w:t>
          </w:r>
        </w:p>
        <w:p w14:paraId="70815A36" w14:textId="5B7477FF"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ResultsfromGeneralizedSyntheticContr" w:history="1">
            <w:r w:rsidR="005104CE" w:rsidRPr="00702882">
              <w:rPr>
                <w:rStyle w:val="aa"/>
                <w:rFonts w:ascii="Times New Roman" w:hAnsi="Times New Roman" w:cs="Times New Roman"/>
                <w:color w:val="auto"/>
                <w:u w:val="none"/>
              </w:rPr>
              <w:t>Results from Generalized Synthetic Contr</w:t>
            </w:r>
          </w:hyperlink>
          <w:r w:rsidR="00AF6702" w:rsidRPr="00702882">
            <w:rPr>
              <w:rFonts w:ascii="Times New Roman" w:hAnsi="Times New Roman" w:cs="Times New Roman"/>
            </w:rPr>
            <w:t>Method</w:t>
          </w:r>
          <w:r w:rsidR="00AF6702" w:rsidRPr="00702882">
            <w:rPr>
              <w:rFonts w:ascii="Times New Roman" w:hAnsi="Times New Roman" w:cs="Times New Roman"/>
            </w:rPr>
            <w:tab/>
          </w:r>
          <w:r w:rsidR="00330F49" w:rsidRPr="00702882">
            <w:rPr>
              <w:rFonts w:ascii="Times New Roman" w:hAnsi="Times New Roman" w:cs="Times New Roman"/>
            </w:rPr>
            <w:t>117</w:t>
          </w:r>
        </w:p>
        <w:p w14:paraId="4F8390F5" w14:textId="77777777" w:rsidR="00DC640E" w:rsidRPr="00702882" w:rsidRDefault="00DC640E" w:rsidP="00DC640E">
          <w:pPr>
            <w:pStyle w:val="a3"/>
            <w:tabs>
              <w:tab w:val="right" w:leader="middleDot" w:pos="10080"/>
            </w:tabs>
            <w:ind w:left="716"/>
            <w:jc w:val="both"/>
            <w:rPr>
              <w:rFonts w:ascii="Times New Roman" w:hAnsi="Times New Roman" w:cs="Times New Roman"/>
            </w:rPr>
          </w:pPr>
        </w:p>
        <w:p w14:paraId="2D6EB67D" w14:textId="531D2578" w:rsidR="00AF6702" w:rsidRPr="00702882" w:rsidRDefault="00000000" w:rsidP="009B6A15">
          <w:pPr>
            <w:pStyle w:val="a3"/>
            <w:numPr>
              <w:ilvl w:val="0"/>
              <w:numId w:val="22"/>
            </w:numPr>
            <w:tabs>
              <w:tab w:val="right" w:leader="middleDot" w:pos="10080"/>
            </w:tabs>
            <w:jc w:val="both"/>
            <w:rPr>
              <w:rFonts w:ascii="Times New Roman" w:hAnsi="Times New Roman" w:cs="Times New Roman"/>
            </w:rPr>
          </w:pPr>
          <w:hyperlink w:anchor="QUALITATIVEANALYSIS" w:history="1">
            <w:r w:rsidR="00AF6702" w:rsidRPr="00702882">
              <w:rPr>
                <w:rStyle w:val="aa"/>
                <w:rFonts w:ascii="Times New Roman" w:hAnsi="Times New Roman" w:cs="Times New Roman"/>
                <w:color w:val="auto"/>
                <w:u w:val="none"/>
              </w:rPr>
              <w:t>Qualitative Analysis</w:t>
            </w:r>
          </w:hyperlink>
          <w:r w:rsidR="00AF6702" w:rsidRPr="00702882">
            <w:rPr>
              <w:rFonts w:ascii="Times New Roman" w:hAnsi="Times New Roman" w:cs="Times New Roman"/>
            </w:rPr>
            <w:tab/>
            <w:t>1</w:t>
          </w:r>
          <w:r w:rsidR="000F6665" w:rsidRPr="00702882">
            <w:rPr>
              <w:rFonts w:ascii="Times New Roman" w:hAnsi="Times New Roman" w:cs="Times New Roman"/>
            </w:rPr>
            <w:t>26</w:t>
          </w:r>
        </w:p>
        <w:p w14:paraId="0B5BB068" w14:textId="01CE879B"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CaseStudies" w:history="1">
            <w:r w:rsidR="00AF6702" w:rsidRPr="00702882">
              <w:rPr>
                <w:rStyle w:val="aa"/>
                <w:rFonts w:ascii="Times New Roman" w:hAnsi="Times New Roman" w:cs="Times New Roman"/>
                <w:color w:val="auto"/>
                <w:u w:val="none"/>
              </w:rPr>
              <w:t>Case Studies</w:t>
            </w:r>
          </w:hyperlink>
          <w:r w:rsidR="00AF6702" w:rsidRPr="00702882">
            <w:rPr>
              <w:rFonts w:ascii="Times New Roman" w:hAnsi="Times New Roman" w:cs="Times New Roman"/>
            </w:rPr>
            <w:tab/>
            <w:t>1</w:t>
          </w:r>
          <w:r w:rsidR="000F6665" w:rsidRPr="00702882">
            <w:rPr>
              <w:rFonts w:ascii="Times New Roman" w:hAnsi="Times New Roman" w:cs="Times New Roman"/>
            </w:rPr>
            <w:t>26</w:t>
          </w:r>
        </w:p>
        <w:p w14:paraId="578B34D6" w14:textId="410DA5B7"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DocumentAnalysis" w:history="1">
            <w:r w:rsidR="00AF6702" w:rsidRPr="00702882">
              <w:rPr>
                <w:rStyle w:val="aa"/>
                <w:rFonts w:ascii="Times New Roman" w:hAnsi="Times New Roman" w:cs="Times New Roman"/>
                <w:color w:val="auto"/>
                <w:u w:val="none"/>
              </w:rPr>
              <w:t>Document Analysis</w:t>
            </w:r>
          </w:hyperlink>
          <w:r w:rsidR="00AF6702" w:rsidRPr="00702882">
            <w:rPr>
              <w:rFonts w:ascii="Times New Roman" w:hAnsi="Times New Roman" w:cs="Times New Roman"/>
            </w:rPr>
            <w:tab/>
            <w:t>1</w:t>
          </w:r>
          <w:r w:rsidR="00EA37B5" w:rsidRPr="00702882">
            <w:rPr>
              <w:rFonts w:ascii="Times New Roman" w:hAnsi="Times New Roman" w:cs="Times New Roman"/>
            </w:rPr>
            <w:t>27</w:t>
          </w:r>
        </w:p>
        <w:p w14:paraId="1276D248" w14:textId="282B1672"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DepositTiedtoRevenueVolatility" w:history="1">
            <w:r w:rsidR="00AF6702" w:rsidRPr="00702882">
              <w:rPr>
                <w:rStyle w:val="aa"/>
                <w:rFonts w:ascii="Times New Roman" w:hAnsi="Times New Roman" w:cs="Times New Roman"/>
                <w:color w:val="auto"/>
                <w:u w:val="none"/>
              </w:rPr>
              <w:t>Deposit Tied to Revenue Volatility</w:t>
            </w:r>
          </w:hyperlink>
          <w:r w:rsidR="00AF6702" w:rsidRPr="00702882">
            <w:rPr>
              <w:rFonts w:ascii="Times New Roman" w:hAnsi="Times New Roman" w:cs="Times New Roman"/>
            </w:rPr>
            <w:tab/>
            <w:t>1</w:t>
          </w:r>
          <w:r w:rsidR="00EA37B5" w:rsidRPr="00702882">
            <w:rPr>
              <w:rFonts w:ascii="Times New Roman" w:hAnsi="Times New Roman" w:cs="Times New Roman"/>
            </w:rPr>
            <w:t>28</w:t>
          </w:r>
        </w:p>
        <w:p w14:paraId="736DD424" w14:textId="174F4E70"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DepositRevenueSurplus" w:history="1">
            <w:r w:rsidR="00AF6702" w:rsidRPr="00702882">
              <w:rPr>
                <w:rStyle w:val="aa"/>
                <w:rFonts w:ascii="Times New Roman" w:hAnsi="Times New Roman" w:cs="Times New Roman"/>
                <w:color w:val="auto"/>
                <w:u w:val="none"/>
              </w:rPr>
              <w:t>Deposit Revenue Surplus</w:t>
            </w:r>
          </w:hyperlink>
          <w:r w:rsidR="00AF6702" w:rsidRPr="00702882">
            <w:rPr>
              <w:rFonts w:ascii="Times New Roman" w:hAnsi="Times New Roman" w:cs="Times New Roman"/>
            </w:rPr>
            <w:tab/>
            <w:t>1</w:t>
          </w:r>
          <w:r w:rsidR="00085EED" w:rsidRPr="00702882">
            <w:rPr>
              <w:rFonts w:ascii="Times New Roman" w:hAnsi="Times New Roman" w:cs="Times New Roman"/>
            </w:rPr>
            <w:t>38</w:t>
          </w:r>
        </w:p>
        <w:p w14:paraId="57706DED" w14:textId="26D4017C"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FundingSource" w:history="1">
            <w:r w:rsidR="00AF6702" w:rsidRPr="00702882">
              <w:rPr>
                <w:rStyle w:val="aa"/>
                <w:rFonts w:ascii="Times New Roman" w:hAnsi="Times New Roman" w:cs="Times New Roman"/>
                <w:color w:val="auto"/>
                <w:u w:val="none"/>
              </w:rPr>
              <w:t>Funding Source</w:t>
            </w:r>
          </w:hyperlink>
          <w:r w:rsidR="00AF6702" w:rsidRPr="00702882">
            <w:rPr>
              <w:rFonts w:ascii="Times New Roman" w:hAnsi="Times New Roman" w:cs="Times New Roman"/>
            </w:rPr>
            <w:tab/>
            <w:t>1</w:t>
          </w:r>
          <w:r w:rsidR="006969CE" w:rsidRPr="00702882">
            <w:rPr>
              <w:rFonts w:ascii="Times New Roman" w:hAnsi="Times New Roman" w:cs="Times New Roman"/>
            </w:rPr>
            <w:t>4</w:t>
          </w:r>
          <w:r w:rsidR="00AF6702" w:rsidRPr="00702882">
            <w:rPr>
              <w:rFonts w:ascii="Times New Roman" w:hAnsi="Times New Roman" w:cs="Times New Roman"/>
            </w:rPr>
            <w:t>7</w:t>
          </w:r>
        </w:p>
        <w:p w14:paraId="0F35F8E3" w14:textId="7AAB4359"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RepaymentProvision" w:history="1">
            <w:r w:rsidR="00AF6702" w:rsidRPr="00702882">
              <w:rPr>
                <w:rStyle w:val="aa"/>
                <w:rFonts w:ascii="Times New Roman" w:hAnsi="Times New Roman" w:cs="Times New Roman"/>
                <w:color w:val="auto"/>
                <w:u w:val="none"/>
              </w:rPr>
              <w:t>Repayment Provision</w:t>
            </w:r>
          </w:hyperlink>
          <w:r w:rsidR="00AF6702" w:rsidRPr="00702882">
            <w:rPr>
              <w:rFonts w:ascii="Times New Roman" w:hAnsi="Times New Roman" w:cs="Times New Roman"/>
            </w:rPr>
            <w:tab/>
            <w:t>1</w:t>
          </w:r>
          <w:r w:rsidR="006852CE" w:rsidRPr="00702882">
            <w:rPr>
              <w:rFonts w:ascii="Times New Roman" w:hAnsi="Times New Roman" w:cs="Times New Roman"/>
            </w:rPr>
            <w:t>57</w:t>
          </w:r>
        </w:p>
        <w:p w14:paraId="5A552BAB" w14:textId="77777777" w:rsidR="00DC640E" w:rsidRPr="00702882" w:rsidRDefault="00DC640E" w:rsidP="00DC640E">
          <w:pPr>
            <w:pStyle w:val="a3"/>
            <w:tabs>
              <w:tab w:val="right" w:leader="middleDot" w:pos="10080"/>
            </w:tabs>
            <w:ind w:left="716"/>
            <w:jc w:val="both"/>
            <w:rPr>
              <w:rFonts w:ascii="Times New Roman" w:hAnsi="Times New Roman" w:cs="Times New Roman"/>
            </w:rPr>
          </w:pPr>
        </w:p>
        <w:p w14:paraId="2499E380" w14:textId="002816DD" w:rsidR="00AF6702" w:rsidRPr="00702882" w:rsidRDefault="00000000" w:rsidP="009B6A15">
          <w:pPr>
            <w:pStyle w:val="a3"/>
            <w:numPr>
              <w:ilvl w:val="0"/>
              <w:numId w:val="22"/>
            </w:numPr>
            <w:tabs>
              <w:tab w:val="right" w:leader="middleDot" w:pos="10080"/>
            </w:tabs>
            <w:jc w:val="both"/>
            <w:rPr>
              <w:rFonts w:ascii="Times New Roman" w:hAnsi="Times New Roman" w:cs="Times New Roman"/>
            </w:rPr>
          </w:pPr>
          <w:hyperlink w:anchor="FinalRemarks" w:history="1">
            <w:r w:rsidR="00AF6702" w:rsidRPr="00702882">
              <w:rPr>
                <w:rStyle w:val="aa"/>
                <w:rFonts w:ascii="Times New Roman" w:hAnsi="Times New Roman" w:cs="Times New Roman"/>
                <w:color w:val="auto"/>
                <w:u w:val="none"/>
              </w:rPr>
              <w:t>Final Remarks</w:t>
            </w:r>
          </w:hyperlink>
          <w:r w:rsidR="00AF6702" w:rsidRPr="00702882">
            <w:rPr>
              <w:rFonts w:ascii="Times New Roman" w:hAnsi="Times New Roman" w:cs="Times New Roman"/>
            </w:rPr>
            <w:tab/>
            <w:t>1</w:t>
          </w:r>
          <w:r w:rsidR="006852CE" w:rsidRPr="00702882">
            <w:rPr>
              <w:rFonts w:ascii="Times New Roman" w:hAnsi="Times New Roman" w:cs="Times New Roman"/>
            </w:rPr>
            <w:t>66</w:t>
          </w:r>
        </w:p>
        <w:p w14:paraId="3EB96078" w14:textId="5D8A7969"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Conclusion" w:history="1">
            <w:r w:rsidR="00AF6702" w:rsidRPr="00702882">
              <w:rPr>
                <w:rStyle w:val="aa"/>
                <w:rFonts w:ascii="Times New Roman" w:hAnsi="Times New Roman" w:cs="Times New Roman"/>
                <w:color w:val="auto"/>
                <w:u w:val="none"/>
              </w:rPr>
              <w:t>Conclusion</w:t>
            </w:r>
          </w:hyperlink>
          <w:r w:rsidR="00AF6702" w:rsidRPr="00702882">
            <w:rPr>
              <w:rFonts w:ascii="Times New Roman" w:hAnsi="Times New Roman" w:cs="Times New Roman"/>
            </w:rPr>
            <w:tab/>
            <w:t>1</w:t>
          </w:r>
          <w:r w:rsidR="006852CE" w:rsidRPr="00702882">
            <w:rPr>
              <w:rFonts w:ascii="Times New Roman" w:hAnsi="Times New Roman" w:cs="Times New Roman"/>
            </w:rPr>
            <w:t>66</w:t>
          </w:r>
        </w:p>
        <w:p w14:paraId="68B6B38F" w14:textId="38538F5F" w:rsidR="00AF6702" w:rsidRPr="00702882" w:rsidRDefault="00000000" w:rsidP="009B6A15">
          <w:pPr>
            <w:pStyle w:val="a3"/>
            <w:numPr>
              <w:ilvl w:val="1"/>
              <w:numId w:val="22"/>
            </w:numPr>
            <w:tabs>
              <w:tab w:val="right" w:leader="middleDot" w:pos="10080"/>
            </w:tabs>
            <w:jc w:val="both"/>
            <w:rPr>
              <w:rFonts w:ascii="Times New Roman" w:hAnsi="Times New Roman" w:cs="Times New Roman"/>
            </w:rPr>
          </w:pPr>
          <w:hyperlink w:anchor="ContributionsandLimitations" w:history="1">
            <w:r w:rsidR="00AF6702" w:rsidRPr="00702882">
              <w:rPr>
                <w:rStyle w:val="aa"/>
                <w:rFonts w:ascii="Times New Roman" w:hAnsi="Times New Roman" w:cs="Times New Roman"/>
                <w:color w:val="auto"/>
                <w:u w:val="none"/>
              </w:rPr>
              <w:t>Contributions and Limitations</w:t>
            </w:r>
          </w:hyperlink>
          <w:r w:rsidR="00AF6702" w:rsidRPr="00702882">
            <w:rPr>
              <w:rFonts w:ascii="Times New Roman" w:hAnsi="Times New Roman" w:cs="Times New Roman"/>
            </w:rPr>
            <w:tab/>
            <w:t>1</w:t>
          </w:r>
          <w:r w:rsidR="006852CE" w:rsidRPr="00702882">
            <w:rPr>
              <w:rFonts w:ascii="Times New Roman" w:hAnsi="Times New Roman" w:cs="Times New Roman"/>
            </w:rPr>
            <w:t>68</w:t>
          </w:r>
        </w:p>
        <w:p w14:paraId="352C9CC3" w14:textId="448FA0B3" w:rsidR="00AF6702" w:rsidRPr="00702882" w:rsidRDefault="00000000" w:rsidP="00DC640E">
          <w:pPr>
            <w:pStyle w:val="a3"/>
            <w:numPr>
              <w:ilvl w:val="1"/>
              <w:numId w:val="22"/>
            </w:numPr>
            <w:tabs>
              <w:tab w:val="right" w:leader="middleDot" w:pos="10080"/>
            </w:tabs>
            <w:jc w:val="both"/>
            <w:rPr>
              <w:rFonts w:ascii="Times New Roman" w:hAnsi="Times New Roman" w:cs="Times New Roman"/>
            </w:rPr>
          </w:pPr>
          <w:hyperlink w:anchor="PolicyImplications" w:history="1">
            <w:r w:rsidR="005104CE" w:rsidRPr="00702882">
              <w:rPr>
                <w:rStyle w:val="aa"/>
                <w:rFonts w:ascii="Times New Roman" w:hAnsi="Times New Roman" w:cs="Times New Roman"/>
                <w:color w:val="auto"/>
                <w:u w:val="none"/>
              </w:rPr>
              <w:t>Policy Implications</w:t>
            </w:r>
          </w:hyperlink>
          <w:r w:rsidR="00AF6702" w:rsidRPr="00702882">
            <w:rPr>
              <w:rFonts w:ascii="Times New Roman" w:hAnsi="Times New Roman" w:cs="Times New Roman"/>
            </w:rPr>
            <w:tab/>
            <w:t>1</w:t>
          </w:r>
          <w:r w:rsidR="00453500" w:rsidRPr="00702882">
            <w:rPr>
              <w:rFonts w:ascii="Times New Roman" w:hAnsi="Times New Roman" w:cs="Times New Roman"/>
            </w:rPr>
            <w:t>72</w:t>
          </w:r>
        </w:p>
        <w:p w14:paraId="48290F18" w14:textId="2785CBA9" w:rsidR="00AF6702" w:rsidRPr="00702882" w:rsidRDefault="00000000" w:rsidP="009B6A15">
          <w:pPr>
            <w:tabs>
              <w:tab w:val="right" w:leader="middleDot" w:pos="10080"/>
            </w:tabs>
            <w:jc w:val="both"/>
            <w:rPr>
              <w:rFonts w:eastAsiaTheme="minorEastAsia"/>
            </w:rPr>
          </w:pPr>
          <w:hyperlink w:anchor="Appendix" w:history="1">
            <w:r w:rsidR="00063C2F" w:rsidRPr="00702882">
              <w:rPr>
                <w:rStyle w:val="aa"/>
                <w:rFonts w:eastAsiaTheme="minorEastAsia"/>
                <w:color w:val="auto"/>
                <w:u w:val="none"/>
              </w:rPr>
              <w:t>Appendix</w:t>
            </w:r>
          </w:hyperlink>
          <w:r w:rsidR="00AF6702" w:rsidRPr="00702882">
            <w:tab/>
            <w:t>1</w:t>
          </w:r>
          <w:r w:rsidR="00105609" w:rsidRPr="00702882">
            <w:rPr>
              <w:rFonts w:eastAsiaTheme="minorEastAsia"/>
            </w:rPr>
            <w:t>74</w:t>
          </w:r>
        </w:p>
        <w:p w14:paraId="259F9872" w14:textId="77777777" w:rsidR="004B33B1" w:rsidRPr="00702882" w:rsidRDefault="004B33B1" w:rsidP="009B6A15">
          <w:pPr>
            <w:tabs>
              <w:tab w:val="right" w:leader="middleDot" w:pos="10080"/>
            </w:tabs>
            <w:jc w:val="both"/>
            <w:rPr>
              <w:rFonts w:eastAsiaTheme="minorEastAsia"/>
            </w:rPr>
          </w:pPr>
        </w:p>
        <w:p w14:paraId="4E954DE0" w14:textId="57F195E5" w:rsidR="00063C2F" w:rsidRPr="00702882" w:rsidRDefault="00000000" w:rsidP="009B6A15">
          <w:pPr>
            <w:tabs>
              <w:tab w:val="right" w:leader="middleDot" w:pos="10080"/>
            </w:tabs>
            <w:jc w:val="both"/>
            <w:rPr>
              <w:rFonts w:eastAsiaTheme="minorEastAsia"/>
            </w:rPr>
          </w:pPr>
          <w:hyperlink w:anchor="CITEDLITERATURE" w:history="1">
            <w:r w:rsidR="00063C2F" w:rsidRPr="00702882">
              <w:rPr>
                <w:rStyle w:val="aa"/>
                <w:rFonts w:eastAsiaTheme="minorEastAsia"/>
                <w:color w:val="auto"/>
                <w:u w:val="none"/>
              </w:rPr>
              <w:t>Cited Literature</w:t>
            </w:r>
          </w:hyperlink>
          <w:r w:rsidR="00AF6702" w:rsidRPr="00702882">
            <w:tab/>
            <w:t>1</w:t>
          </w:r>
          <w:r w:rsidR="00FF21B9" w:rsidRPr="00702882">
            <w:rPr>
              <w:rFonts w:eastAsiaTheme="minorEastAsia"/>
            </w:rPr>
            <w:t>88</w:t>
          </w:r>
        </w:p>
        <w:p w14:paraId="299275D5" w14:textId="77777777" w:rsidR="004B33B1" w:rsidRPr="00702882" w:rsidRDefault="004B33B1" w:rsidP="009B6A15">
          <w:pPr>
            <w:tabs>
              <w:tab w:val="right" w:leader="middleDot" w:pos="10080"/>
            </w:tabs>
            <w:jc w:val="both"/>
            <w:rPr>
              <w:rFonts w:eastAsiaTheme="minorEastAsia"/>
            </w:rPr>
          </w:pPr>
        </w:p>
        <w:p w14:paraId="02B66CDF" w14:textId="04FF13F5" w:rsidR="00063C2F" w:rsidRPr="00702882" w:rsidRDefault="00000000" w:rsidP="00063C2F">
          <w:pPr>
            <w:tabs>
              <w:tab w:val="right" w:leader="middleDot" w:pos="10080"/>
            </w:tabs>
            <w:jc w:val="both"/>
            <w:rPr>
              <w:rFonts w:eastAsiaTheme="minorEastAsia"/>
            </w:rPr>
          </w:pPr>
          <w:hyperlink w:anchor="VITA" w:history="1">
            <w:r w:rsidR="00FC0523" w:rsidRPr="00FC0523">
              <w:rPr>
                <w:rStyle w:val="aa"/>
                <w:rFonts w:eastAsiaTheme="minorEastAsia" w:hint="eastAsia"/>
                <w:color w:val="auto"/>
                <w:u w:val="none"/>
              </w:rPr>
              <w:t>Vita</w:t>
            </w:r>
          </w:hyperlink>
          <w:r w:rsidR="00063C2F" w:rsidRPr="00702882">
            <w:tab/>
            <w:t>1</w:t>
          </w:r>
          <w:r w:rsidR="00FF21B9" w:rsidRPr="00702882">
            <w:rPr>
              <w:rFonts w:eastAsiaTheme="minorEastAsia"/>
            </w:rPr>
            <w:t>96</w:t>
          </w:r>
        </w:p>
        <w:p w14:paraId="6A34E81A" w14:textId="2B7B4D00" w:rsidR="00AF6702" w:rsidRPr="00702882" w:rsidRDefault="00000000" w:rsidP="009B6A15">
          <w:pPr>
            <w:tabs>
              <w:tab w:val="right" w:leader="middleDot" w:pos="10080"/>
            </w:tabs>
            <w:jc w:val="both"/>
            <w:rPr>
              <w:noProof/>
            </w:rPr>
          </w:pPr>
        </w:p>
      </w:sdtContent>
    </w:sdt>
    <w:p w14:paraId="0AB92C3A" w14:textId="77777777" w:rsidR="00AF6702" w:rsidRPr="00702882" w:rsidRDefault="00AF6702" w:rsidP="009B6A15">
      <w:pPr>
        <w:tabs>
          <w:tab w:val="right" w:leader="middleDot" w:pos="10080"/>
        </w:tabs>
        <w:jc w:val="both"/>
        <w:rPr>
          <w:rFonts w:eastAsiaTheme="minorEastAsia"/>
          <w:color w:val="7030A0"/>
        </w:rPr>
      </w:pPr>
    </w:p>
    <w:p w14:paraId="45DF383F" w14:textId="77777777" w:rsidR="00DC640E" w:rsidRPr="00702882" w:rsidRDefault="00DC640E" w:rsidP="009B6A15">
      <w:pPr>
        <w:tabs>
          <w:tab w:val="right" w:leader="middleDot" w:pos="10080"/>
        </w:tabs>
        <w:jc w:val="both"/>
        <w:rPr>
          <w:rFonts w:eastAsiaTheme="minorEastAsia"/>
          <w:color w:val="7030A0"/>
        </w:rPr>
      </w:pPr>
    </w:p>
    <w:p w14:paraId="33961733" w14:textId="77777777" w:rsidR="00DC640E" w:rsidRPr="00702882" w:rsidRDefault="00DC640E" w:rsidP="009B6A15">
      <w:pPr>
        <w:tabs>
          <w:tab w:val="right" w:leader="middleDot" w:pos="10080"/>
        </w:tabs>
        <w:jc w:val="both"/>
        <w:rPr>
          <w:rFonts w:eastAsiaTheme="minorEastAsia"/>
          <w:color w:val="7030A0"/>
        </w:rPr>
      </w:pPr>
    </w:p>
    <w:p w14:paraId="714548A9" w14:textId="77777777" w:rsidR="00DC640E" w:rsidRPr="00702882" w:rsidRDefault="00DC640E" w:rsidP="009B6A15">
      <w:pPr>
        <w:tabs>
          <w:tab w:val="right" w:leader="middleDot" w:pos="10080"/>
        </w:tabs>
        <w:jc w:val="both"/>
        <w:rPr>
          <w:rFonts w:eastAsiaTheme="minorEastAsia"/>
          <w:color w:val="7030A0"/>
        </w:rPr>
      </w:pPr>
    </w:p>
    <w:p w14:paraId="7282B5D8" w14:textId="77777777" w:rsidR="00DC640E" w:rsidRPr="00702882" w:rsidRDefault="00DC640E" w:rsidP="009B6A15">
      <w:pPr>
        <w:tabs>
          <w:tab w:val="right" w:leader="middleDot" w:pos="10080"/>
        </w:tabs>
        <w:jc w:val="both"/>
        <w:rPr>
          <w:rFonts w:eastAsiaTheme="minorEastAsia"/>
          <w:color w:val="7030A0"/>
        </w:rPr>
      </w:pPr>
    </w:p>
    <w:p w14:paraId="2A8073AD" w14:textId="77777777" w:rsidR="00DC640E" w:rsidRPr="00702882" w:rsidRDefault="00DC640E" w:rsidP="009B6A15">
      <w:pPr>
        <w:tabs>
          <w:tab w:val="right" w:leader="middleDot" w:pos="10080"/>
        </w:tabs>
        <w:jc w:val="both"/>
        <w:rPr>
          <w:rFonts w:eastAsiaTheme="minorEastAsia"/>
          <w:color w:val="7030A0"/>
        </w:rPr>
      </w:pPr>
    </w:p>
    <w:p w14:paraId="3A7689B4" w14:textId="77777777" w:rsidR="00DC640E" w:rsidRPr="00702882" w:rsidRDefault="00DC640E" w:rsidP="009B6A15">
      <w:pPr>
        <w:tabs>
          <w:tab w:val="right" w:leader="middleDot" w:pos="10080"/>
        </w:tabs>
        <w:jc w:val="both"/>
        <w:rPr>
          <w:rFonts w:eastAsiaTheme="minorEastAsia"/>
          <w:color w:val="7030A0"/>
        </w:rPr>
      </w:pPr>
    </w:p>
    <w:p w14:paraId="0471B176" w14:textId="77777777" w:rsidR="00DC640E" w:rsidRPr="00702882" w:rsidRDefault="00DC640E" w:rsidP="009B6A15">
      <w:pPr>
        <w:tabs>
          <w:tab w:val="right" w:leader="middleDot" w:pos="10080"/>
        </w:tabs>
        <w:jc w:val="both"/>
        <w:rPr>
          <w:rFonts w:eastAsiaTheme="minorEastAsia"/>
          <w:color w:val="7030A0"/>
        </w:rPr>
      </w:pPr>
    </w:p>
    <w:p w14:paraId="73951528" w14:textId="77777777" w:rsidR="00DC640E" w:rsidRPr="00702882" w:rsidRDefault="00DC640E" w:rsidP="009B6A15">
      <w:pPr>
        <w:tabs>
          <w:tab w:val="right" w:leader="middleDot" w:pos="10080"/>
        </w:tabs>
        <w:jc w:val="both"/>
        <w:rPr>
          <w:rFonts w:eastAsiaTheme="minorEastAsia"/>
          <w:color w:val="7030A0"/>
        </w:rPr>
      </w:pPr>
    </w:p>
    <w:p w14:paraId="3AF92795" w14:textId="77777777" w:rsidR="00DC640E" w:rsidRPr="00702882" w:rsidRDefault="00DC640E" w:rsidP="009B6A15">
      <w:pPr>
        <w:tabs>
          <w:tab w:val="right" w:leader="middleDot" w:pos="10080"/>
        </w:tabs>
        <w:jc w:val="both"/>
        <w:rPr>
          <w:rFonts w:eastAsiaTheme="minorEastAsia"/>
          <w:color w:val="7030A0"/>
        </w:rPr>
      </w:pPr>
    </w:p>
    <w:p w14:paraId="091D47BE" w14:textId="77777777" w:rsidR="00DC640E" w:rsidRPr="00702882" w:rsidRDefault="00DC640E" w:rsidP="009B6A15">
      <w:pPr>
        <w:tabs>
          <w:tab w:val="right" w:leader="middleDot" w:pos="10080"/>
        </w:tabs>
        <w:jc w:val="both"/>
        <w:rPr>
          <w:rFonts w:eastAsiaTheme="minorEastAsia"/>
          <w:color w:val="7030A0"/>
        </w:rPr>
      </w:pPr>
    </w:p>
    <w:p w14:paraId="5401DB4D" w14:textId="77777777" w:rsidR="00DC640E" w:rsidRPr="00702882" w:rsidRDefault="00DC640E" w:rsidP="009B6A15">
      <w:pPr>
        <w:tabs>
          <w:tab w:val="right" w:leader="middleDot" w:pos="10080"/>
        </w:tabs>
        <w:jc w:val="both"/>
        <w:rPr>
          <w:rFonts w:eastAsiaTheme="minorEastAsia"/>
          <w:color w:val="7030A0"/>
        </w:rPr>
      </w:pPr>
    </w:p>
    <w:p w14:paraId="4B6AC0E6" w14:textId="77777777" w:rsidR="00DC640E" w:rsidRPr="00702882" w:rsidRDefault="00DC640E" w:rsidP="009B6A15">
      <w:pPr>
        <w:tabs>
          <w:tab w:val="right" w:leader="middleDot" w:pos="10080"/>
        </w:tabs>
        <w:jc w:val="both"/>
        <w:rPr>
          <w:rFonts w:eastAsiaTheme="minorEastAsia"/>
          <w:color w:val="7030A0"/>
        </w:rPr>
      </w:pPr>
    </w:p>
    <w:p w14:paraId="464DD399" w14:textId="77777777" w:rsidR="00DC640E" w:rsidRPr="00702882" w:rsidRDefault="00DC640E" w:rsidP="009B6A15">
      <w:pPr>
        <w:tabs>
          <w:tab w:val="right" w:leader="middleDot" w:pos="10080"/>
        </w:tabs>
        <w:jc w:val="both"/>
        <w:rPr>
          <w:rFonts w:eastAsiaTheme="minorEastAsia"/>
          <w:color w:val="7030A0"/>
        </w:rPr>
      </w:pPr>
    </w:p>
    <w:p w14:paraId="5C4E4DFB" w14:textId="77777777" w:rsidR="00DC640E" w:rsidRPr="00702882" w:rsidRDefault="00DC640E" w:rsidP="009B6A15">
      <w:pPr>
        <w:tabs>
          <w:tab w:val="right" w:leader="middleDot" w:pos="10080"/>
        </w:tabs>
        <w:jc w:val="both"/>
        <w:rPr>
          <w:rFonts w:eastAsiaTheme="minorEastAsia"/>
          <w:color w:val="7030A0"/>
        </w:rPr>
      </w:pPr>
    </w:p>
    <w:p w14:paraId="38B061B3" w14:textId="77777777" w:rsidR="00DC640E" w:rsidRPr="00702882" w:rsidRDefault="00DC640E" w:rsidP="009B6A15">
      <w:pPr>
        <w:tabs>
          <w:tab w:val="right" w:leader="middleDot" w:pos="10080"/>
        </w:tabs>
        <w:jc w:val="both"/>
        <w:rPr>
          <w:rFonts w:eastAsiaTheme="minorEastAsia"/>
          <w:color w:val="7030A0"/>
        </w:rPr>
      </w:pPr>
    </w:p>
    <w:p w14:paraId="76F08788" w14:textId="77777777" w:rsidR="00DC640E" w:rsidRPr="00702882" w:rsidRDefault="00DC640E" w:rsidP="009B6A15">
      <w:pPr>
        <w:tabs>
          <w:tab w:val="right" w:leader="middleDot" w:pos="10080"/>
        </w:tabs>
        <w:jc w:val="both"/>
        <w:rPr>
          <w:rFonts w:eastAsiaTheme="minorEastAsia"/>
          <w:color w:val="7030A0"/>
        </w:rPr>
      </w:pPr>
    </w:p>
    <w:p w14:paraId="179D2C1D" w14:textId="77777777" w:rsidR="00DC640E" w:rsidRPr="00702882" w:rsidRDefault="00DC640E" w:rsidP="009B6A15">
      <w:pPr>
        <w:tabs>
          <w:tab w:val="right" w:leader="middleDot" w:pos="10080"/>
        </w:tabs>
        <w:jc w:val="both"/>
        <w:rPr>
          <w:rFonts w:eastAsiaTheme="minorEastAsia"/>
          <w:color w:val="7030A0"/>
        </w:rPr>
      </w:pPr>
    </w:p>
    <w:p w14:paraId="5FA24FFE" w14:textId="77777777" w:rsidR="00DC640E" w:rsidRPr="00702882" w:rsidRDefault="00DC640E" w:rsidP="009B6A15">
      <w:pPr>
        <w:tabs>
          <w:tab w:val="right" w:leader="middleDot" w:pos="10080"/>
        </w:tabs>
        <w:jc w:val="both"/>
        <w:rPr>
          <w:rFonts w:eastAsiaTheme="minorEastAsia"/>
          <w:color w:val="7030A0"/>
        </w:rPr>
      </w:pPr>
    </w:p>
    <w:p w14:paraId="6AEEE696" w14:textId="77777777" w:rsidR="00DC640E" w:rsidRPr="00702882" w:rsidRDefault="00DC640E" w:rsidP="009B6A15">
      <w:pPr>
        <w:tabs>
          <w:tab w:val="right" w:leader="middleDot" w:pos="10080"/>
        </w:tabs>
        <w:jc w:val="both"/>
        <w:rPr>
          <w:rFonts w:eastAsiaTheme="minorEastAsia"/>
          <w:color w:val="7030A0"/>
        </w:rPr>
      </w:pPr>
    </w:p>
    <w:p w14:paraId="2A1FEB11" w14:textId="77777777" w:rsidR="00DC640E" w:rsidRPr="00702882" w:rsidRDefault="00DC640E" w:rsidP="009B6A15">
      <w:pPr>
        <w:tabs>
          <w:tab w:val="right" w:leader="middleDot" w:pos="10080"/>
        </w:tabs>
        <w:jc w:val="both"/>
        <w:rPr>
          <w:rFonts w:eastAsiaTheme="minorEastAsia"/>
          <w:color w:val="7030A0"/>
        </w:rPr>
      </w:pPr>
    </w:p>
    <w:p w14:paraId="318E99AB" w14:textId="77777777" w:rsidR="00DC640E" w:rsidRPr="00702882" w:rsidRDefault="00DC640E" w:rsidP="009B6A15">
      <w:pPr>
        <w:tabs>
          <w:tab w:val="right" w:leader="middleDot" w:pos="10080"/>
        </w:tabs>
        <w:jc w:val="both"/>
        <w:rPr>
          <w:rFonts w:eastAsiaTheme="minorEastAsia"/>
          <w:color w:val="7030A0"/>
        </w:rPr>
      </w:pPr>
    </w:p>
    <w:p w14:paraId="04BF2889" w14:textId="77777777" w:rsidR="00DC640E" w:rsidRPr="00702882" w:rsidRDefault="00DC640E" w:rsidP="009B6A15">
      <w:pPr>
        <w:tabs>
          <w:tab w:val="right" w:leader="middleDot" w:pos="10080"/>
        </w:tabs>
        <w:jc w:val="both"/>
        <w:rPr>
          <w:rFonts w:eastAsiaTheme="minorEastAsia"/>
          <w:color w:val="7030A0"/>
        </w:rPr>
      </w:pPr>
    </w:p>
    <w:p w14:paraId="16E540EF" w14:textId="77777777" w:rsidR="00DC640E" w:rsidRPr="00702882" w:rsidRDefault="00DC640E" w:rsidP="009B6A15">
      <w:pPr>
        <w:tabs>
          <w:tab w:val="right" w:leader="middleDot" w:pos="10080"/>
        </w:tabs>
        <w:jc w:val="both"/>
        <w:rPr>
          <w:rFonts w:eastAsiaTheme="minorEastAsia"/>
          <w:color w:val="7030A0"/>
        </w:rPr>
      </w:pPr>
    </w:p>
    <w:p w14:paraId="2A336846" w14:textId="77777777" w:rsidR="00DC640E" w:rsidRPr="00702882" w:rsidRDefault="00DC640E" w:rsidP="009B6A15">
      <w:pPr>
        <w:tabs>
          <w:tab w:val="right" w:leader="middleDot" w:pos="10080"/>
        </w:tabs>
        <w:jc w:val="both"/>
        <w:rPr>
          <w:rFonts w:eastAsiaTheme="minorEastAsia"/>
          <w:color w:val="7030A0"/>
        </w:rPr>
      </w:pPr>
    </w:p>
    <w:p w14:paraId="16DCF489" w14:textId="77777777" w:rsidR="00DC640E" w:rsidRPr="00702882" w:rsidRDefault="00DC640E" w:rsidP="009B6A15">
      <w:pPr>
        <w:tabs>
          <w:tab w:val="right" w:leader="middleDot" w:pos="10080"/>
        </w:tabs>
        <w:jc w:val="both"/>
        <w:rPr>
          <w:rFonts w:eastAsiaTheme="minorEastAsia"/>
          <w:color w:val="7030A0"/>
        </w:rPr>
      </w:pPr>
    </w:p>
    <w:p w14:paraId="0639722A" w14:textId="77777777" w:rsidR="00DC640E" w:rsidRPr="00702882" w:rsidRDefault="00DC640E" w:rsidP="009B6A15">
      <w:pPr>
        <w:tabs>
          <w:tab w:val="right" w:leader="middleDot" w:pos="10080"/>
        </w:tabs>
        <w:jc w:val="both"/>
        <w:rPr>
          <w:rFonts w:eastAsiaTheme="minorEastAsia"/>
          <w:color w:val="7030A0"/>
        </w:rPr>
      </w:pPr>
    </w:p>
    <w:p w14:paraId="1C4FCE40" w14:textId="77777777" w:rsidR="00DC640E" w:rsidRPr="00702882" w:rsidRDefault="00DC640E" w:rsidP="009B6A15">
      <w:pPr>
        <w:tabs>
          <w:tab w:val="right" w:leader="middleDot" w:pos="10080"/>
        </w:tabs>
        <w:jc w:val="both"/>
        <w:rPr>
          <w:rFonts w:eastAsiaTheme="minorEastAsia"/>
          <w:color w:val="7030A0"/>
        </w:rPr>
      </w:pPr>
    </w:p>
    <w:p w14:paraId="18331A4C" w14:textId="77777777" w:rsidR="00DC640E" w:rsidRPr="00702882" w:rsidRDefault="00DC640E" w:rsidP="009B6A15">
      <w:pPr>
        <w:tabs>
          <w:tab w:val="right" w:leader="middleDot" w:pos="10080"/>
        </w:tabs>
        <w:jc w:val="both"/>
        <w:rPr>
          <w:rFonts w:eastAsiaTheme="minorEastAsia"/>
          <w:color w:val="7030A0"/>
        </w:rPr>
      </w:pPr>
    </w:p>
    <w:p w14:paraId="2977410B" w14:textId="77777777" w:rsidR="00DC640E" w:rsidRPr="00702882" w:rsidRDefault="00DC640E" w:rsidP="009B6A15">
      <w:pPr>
        <w:tabs>
          <w:tab w:val="right" w:leader="middleDot" w:pos="10080"/>
        </w:tabs>
        <w:jc w:val="both"/>
        <w:rPr>
          <w:rFonts w:eastAsiaTheme="minorEastAsia"/>
          <w:color w:val="7030A0"/>
        </w:rPr>
      </w:pPr>
    </w:p>
    <w:p w14:paraId="29864D7E" w14:textId="77777777" w:rsidR="00DC640E" w:rsidRPr="00702882" w:rsidRDefault="00DC640E" w:rsidP="009B6A15">
      <w:pPr>
        <w:tabs>
          <w:tab w:val="right" w:leader="middleDot" w:pos="10080"/>
        </w:tabs>
        <w:jc w:val="both"/>
        <w:rPr>
          <w:rFonts w:eastAsiaTheme="minorEastAsia"/>
          <w:color w:val="7030A0"/>
        </w:rPr>
      </w:pPr>
    </w:p>
    <w:p w14:paraId="5D239A73" w14:textId="77777777" w:rsidR="00DC640E" w:rsidRPr="00702882" w:rsidRDefault="00DC640E" w:rsidP="009B6A15">
      <w:pPr>
        <w:tabs>
          <w:tab w:val="right" w:leader="middleDot" w:pos="10080"/>
        </w:tabs>
        <w:jc w:val="both"/>
        <w:rPr>
          <w:rFonts w:eastAsiaTheme="minorEastAsia"/>
          <w:color w:val="7030A0"/>
        </w:rPr>
      </w:pPr>
    </w:p>
    <w:p w14:paraId="3FD55C08" w14:textId="77777777" w:rsidR="00DC640E" w:rsidRPr="00702882" w:rsidRDefault="00DC640E" w:rsidP="009B6A15">
      <w:pPr>
        <w:tabs>
          <w:tab w:val="right" w:leader="middleDot" w:pos="10080"/>
        </w:tabs>
        <w:jc w:val="both"/>
        <w:rPr>
          <w:rFonts w:eastAsiaTheme="minorEastAsia"/>
          <w:color w:val="7030A0"/>
        </w:rPr>
      </w:pPr>
    </w:p>
    <w:p w14:paraId="4B0759DF" w14:textId="77777777" w:rsidR="00DC640E" w:rsidRPr="00702882" w:rsidRDefault="00DC640E" w:rsidP="009B6A15">
      <w:pPr>
        <w:tabs>
          <w:tab w:val="right" w:leader="middleDot" w:pos="10080"/>
        </w:tabs>
        <w:jc w:val="both"/>
        <w:rPr>
          <w:rFonts w:eastAsiaTheme="minorEastAsia"/>
          <w:color w:val="7030A0"/>
        </w:rPr>
      </w:pPr>
    </w:p>
    <w:p w14:paraId="154914F9" w14:textId="77777777" w:rsidR="00DC640E" w:rsidRPr="00702882" w:rsidRDefault="00DC640E" w:rsidP="009B6A15">
      <w:pPr>
        <w:tabs>
          <w:tab w:val="right" w:leader="middleDot" w:pos="10080"/>
        </w:tabs>
        <w:jc w:val="both"/>
        <w:rPr>
          <w:rFonts w:eastAsiaTheme="minorEastAsia"/>
          <w:color w:val="7030A0"/>
        </w:rPr>
      </w:pPr>
    </w:p>
    <w:p w14:paraId="0239C7BD" w14:textId="77777777" w:rsidR="00DC640E" w:rsidRPr="00702882" w:rsidRDefault="00DC640E" w:rsidP="009B6A15">
      <w:pPr>
        <w:tabs>
          <w:tab w:val="right" w:leader="middleDot" w:pos="10080"/>
        </w:tabs>
        <w:jc w:val="both"/>
        <w:rPr>
          <w:rFonts w:eastAsiaTheme="minorEastAsia"/>
          <w:color w:val="7030A0"/>
        </w:rPr>
      </w:pPr>
    </w:p>
    <w:p w14:paraId="6DF7D67A" w14:textId="77777777" w:rsidR="00DC640E" w:rsidRPr="00702882" w:rsidRDefault="00DC640E" w:rsidP="009B6A15">
      <w:pPr>
        <w:tabs>
          <w:tab w:val="right" w:leader="middleDot" w:pos="10080"/>
        </w:tabs>
        <w:jc w:val="both"/>
        <w:rPr>
          <w:rFonts w:eastAsiaTheme="minorEastAsia"/>
          <w:color w:val="7030A0"/>
        </w:rPr>
      </w:pPr>
    </w:p>
    <w:p w14:paraId="7C8672F3" w14:textId="77777777" w:rsidR="00DC640E" w:rsidRPr="00702882" w:rsidRDefault="00DC640E" w:rsidP="009B6A15">
      <w:pPr>
        <w:tabs>
          <w:tab w:val="right" w:leader="middleDot" w:pos="10080"/>
        </w:tabs>
        <w:jc w:val="both"/>
        <w:rPr>
          <w:rFonts w:eastAsiaTheme="minorEastAsia"/>
          <w:color w:val="7030A0"/>
        </w:rPr>
      </w:pPr>
    </w:p>
    <w:p w14:paraId="21D2FC1A" w14:textId="77777777" w:rsidR="004B33B1" w:rsidRPr="00702882" w:rsidRDefault="004B33B1" w:rsidP="009B6A15">
      <w:pPr>
        <w:tabs>
          <w:tab w:val="right" w:leader="middleDot" w:pos="10080"/>
        </w:tabs>
        <w:jc w:val="both"/>
        <w:rPr>
          <w:rFonts w:eastAsiaTheme="minorEastAsia"/>
          <w:color w:val="7030A0"/>
        </w:rPr>
      </w:pPr>
    </w:p>
    <w:p w14:paraId="7CE26D6E" w14:textId="77777777" w:rsidR="00AF6702" w:rsidRPr="00702882" w:rsidRDefault="00AF6702" w:rsidP="009B6A15">
      <w:pPr>
        <w:jc w:val="center"/>
        <w:rPr>
          <w:rFonts w:eastAsiaTheme="minorEastAsia"/>
          <w:b/>
          <w:bCs/>
          <w:color w:val="7030A0"/>
        </w:rPr>
      </w:pPr>
    </w:p>
    <w:p w14:paraId="4A60F594" w14:textId="04BA09CF" w:rsidR="00441C21" w:rsidRPr="00702882" w:rsidRDefault="00AF6702" w:rsidP="00441C21">
      <w:pPr>
        <w:spacing w:line="480" w:lineRule="auto"/>
        <w:jc w:val="center"/>
        <w:rPr>
          <w:rFonts w:eastAsiaTheme="minorEastAsia"/>
          <w:b/>
          <w:bCs/>
        </w:rPr>
      </w:pPr>
      <w:r w:rsidRPr="00702882">
        <w:rPr>
          <w:rFonts w:eastAsiaTheme="minorEastAsia"/>
          <w:b/>
          <w:bCs/>
        </w:rPr>
        <w:lastRenderedPageBreak/>
        <w:t>L</w:t>
      </w:r>
      <w:r w:rsidR="00026C56" w:rsidRPr="00702882">
        <w:rPr>
          <w:rFonts w:eastAsiaTheme="minorEastAsia"/>
          <w:b/>
          <w:bCs/>
        </w:rPr>
        <w:t>IST OF TABLES</w:t>
      </w:r>
    </w:p>
    <w:p w14:paraId="104BBB01" w14:textId="4F1E8FC2"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StateBudgetStabilizationFunds" w:history="1">
        <w:r w:rsidR="00AF6702" w:rsidRPr="00702882">
          <w:rPr>
            <w:rStyle w:val="aa"/>
            <w:rFonts w:ascii="Times New Roman" w:hAnsi="Times New Roman" w:cs="Times New Roman"/>
            <w:color w:val="auto"/>
            <w:u w:val="none"/>
          </w:rPr>
          <w:t>State Budget Stabilization Funds</w:t>
        </w:r>
      </w:hyperlink>
      <w:r w:rsidR="00AF6702" w:rsidRPr="00702882">
        <w:rPr>
          <w:rFonts w:ascii="Times New Roman" w:hAnsi="Times New Roman" w:cs="Times New Roman"/>
        </w:rPr>
        <w:tab/>
      </w:r>
      <w:r w:rsidR="009457A9" w:rsidRPr="00702882">
        <w:rPr>
          <w:rFonts w:ascii="Times New Roman" w:hAnsi="Times New Roman" w:cs="Times New Roman"/>
        </w:rPr>
        <w:t>8</w:t>
      </w:r>
    </w:p>
    <w:p w14:paraId="4451DF2B" w14:textId="6FF3696E"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TheMeasurementofBSFStructuralFeatures" w:history="1">
        <w:r w:rsidR="00AF6702" w:rsidRPr="00702882">
          <w:rPr>
            <w:rStyle w:val="aa"/>
            <w:rFonts w:ascii="Times New Roman" w:hAnsi="Times New Roman" w:cs="Times New Roman"/>
            <w:color w:val="auto"/>
            <w:u w:val="none"/>
          </w:rPr>
          <w:t>The Measurement of BSF Structural Features</w:t>
        </w:r>
      </w:hyperlink>
      <w:r w:rsidR="00AF6702" w:rsidRPr="00702882">
        <w:rPr>
          <w:rFonts w:ascii="Times New Roman" w:hAnsi="Times New Roman" w:cs="Times New Roman"/>
        </w:rPr>
        <w:tab/>
      </w:r>
      <w:r w:rsidR="009457A9" w:rsidRPr="00702882">
        <w:rPr>
          <w:rFonts w:ascii="Times New Roman" w:hAnsi="Times New Roman" w:cs="Times New Roman"/>
        </w:rPr>
        <w:t>11</w:t>
      </w:r>
    </w:p>
    <w:p w14:paraId="13EB4B3E" w14:textId="4671DE67"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SummaryofBSFStructuralFeaturesand" w:history="1">
        <w:r w:rsidR="00AF6702" w:rsidRPr="00702882">
          <w:rPr>
            <w:rStyle w:val="aa"/>
            <w:rFonts w:ascii="Times New Roman" w:hAnsi="Times New Roman" w:cs="Times New Roman"/>
            <w:color w:val="auto"/>
            <w:u w:val="none"/>
          </w:rPr>
          <w:t>Summary of BSF Structural Features</w:t>
        </w:r>
      </w:hyperlink>
      <w:r w:rsidR="00AF6702" w:rsidRPr="00702882">
        <w:rPr>
          <w:rFonts w:ascii="Times New Roman" w:hAnsi="Times New Roman" w:cs="Times New Roman"/>
        </w:rPr>
        <w:t xml:space="preserve"> and Hypothetical Stringency</w:t>
      </w:r>
      <w:bookmarkStart w:id="1" w:name="SummaryofBSFStructuralFeaturesand"/>
      <w:bookmarkEnd w:id="1"/>
      <w:r w:rsidR="00AF6702" w:rsidRPr="00702882">
        <w:rPr>
          <w:rFonts w:ascii="Times New Roman" w:hAnsi="Times New Roman" w:cs="Times New Roman"/>
        </w:rPr>
        <w:tab/>
        <w:t>1</w:t>
      </w:r>
      <w:r w:rsidR="009457A9" w:rsidRPr="00702882">
        <w:rPr>
          <w:rFonts w:ascii="Times New Roman" w:hAnsi="Times New Roman" w:cs="Times New Roman"/>
        </w:rPr>
        <w:t>6</w:t>
      </w:r>
    </w:p>
    <w:p w14:paraId="44B23C1A" w14:textId="613A93B0"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FrequencyofBSFStructuralFeaturesin" w:history="1">
        <w:r w:rsidR="00AF6702" w:rsidRPr="00702882">
          <w:rPr>
            <w:rStyle w:val="aa"/>
            <w:rFonts w:ascii="Times New Roman" w:hAnsi="Times New Roman" w:cs="Times New Roman"/>
            <w:color w:val="auto"/>
            <w:u w:val="none"/>
          </w:rPr>
          <w:t>Frequency of BSF Str</w:t>
        </w:r>
        <w:bookmarkStart w:id="2" w:name="FrequencyofBSFStructuralFeaturesin"/>
        <w:bookmarkEnd w:id="2"/>
        <w:r w:rsidR="00AF6702" w:rsidRPr="00702882">
          <w:rPr>
            <w:rStyle w:val="aa"/>
            <w:rFonts w:ascii="Times New Roman" w:hAnsi="Times New Roman" w:cs="Times New Roman"/>
            <w:color w:val="auto"/>
            <w:u w:val="none"/>
          </w:rPr>
          <w:t>uctural Features in 2020</w:t>
        </w:r>
      </w:hyperlink>
      <w:r w:rsidR="00AF6702" w:rsidRPr="00702882">
        <w:rPr>
          <w:rFonts w:ascii="Times New Roman" w:hAnsi="Times New Roman" w:cs="Times New Roman"/>
        </w:rPr>
        <w:tab/>
      </w:r>
      <w:r w:rsidR="009457A9" w:rsidRPr="00702882">
        <w:rPr>
          <w:rFonts w:ascii="Times New Roman" w:hAnsi="Times New Roman" w:cs="Times New Roman"/>
        </w:rPr>
        <w:t>34</w:t>
      </w:r>
    </w:p>
    <w:p w14:paraId="04B87C3A" w14:textId="63B3C8EC"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SummaryofHypotheses" w:history="1">
        <w:r w:rsidR="00AF6702" w:rsidRPr="00702882">
          <w:rPr>
            <w:rStyle w:val="aa"/>
            <w:rFonts w:ascii="Times New Roman" w:hAnsi="Times New Roman" w:cs="Times New Roman"/>
            <w:color w:val="auto"/>
            <w:u w:val="none"/>
          </w:rPr>
          <w:t>Summary of Hypotheses</w:t>
        </w:r>
      </w:hyperlink>
      <w:r w:rsidR="00AF6702" w:rsidRPr="00702882">
        <w:rPr>
          <w:rFonts w:ascii="Times New Roman" w:hAnsi="Times New Roman" w:cs="Times New Roman"/>
        </w:rPr>
        <w:tab/>
      </w:r>
      <w:r w:rsidR="009457A9" w:rsidRPr="00702882">
        <w:rPr>
          <w:rFonts w:ascii="Times New Roman" w:hAnsi="Times New Roman" w:cs="Times New Roman"/>
        </w:rPr>
        <w:t>57</w:t>
      </w:r>
    </w:p>
    <w:p w14:paraId="34827B30" w14:textId="5C379586"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OperationalizationofVariablesandData" w:history="1">
        <w:r w:rsidR="00AF6702" w:rsidRPr="00702882">
          <w:rPr>
            <w:rStyle w:val="aa"/>
            <w:rFonts w:ascii="Times New Roman" w:hAnsi="Times New Roman" w:cs="Times New Roman"/>
            <w:color w:val="auto"/>
            <w:u w:val="none"/>
          </w:rPr>
          <w:t>Operationalization of Variables and</w:t>
        </w:r>
      </w:hyperlink>
      <w:r w:rsidR="00AF6702" w:rsidRPr="00702882">
        <w:rPr>
          <w:rFonts w:ascii="Times New Roman" w:hAnsi="Times New Roman" w:cs="Times New Roman"/>
        </w:rPr>
        <w:t xml:space="preserve"> Data Source</w:t>
      </w:r>
      <w:r w:rsidR="00AF6702" w:rsidRPr="00702882">
        <w:rPr>
          <w:rFonts w:ascii="Times New Roman" w:hAnsi="Times New Roman" w:cs="Times New Roman"/>
        </w:rPr>
        <w:tab/>
      </w:r>
      <w:r w:rsidR="009457A9" w:rsidRPr="00702882">
        <w:rPr>
          <w:rFonts w:ascii="Times New Roman" w:hAnsi="Times New Roman" w:cs="Times New Roman"/>
        </w:rPr>
        <w:t>68</w:t>
      </w:r>
    </w:p>
    <w:p w14:paraId="0CBCAA2C" w14:textId="1582D687"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DescriptiveStatistics" w:history="1">
        <w:r w:rsidR="00AF6702" w:rsidRPr="00702882">
          <w:rPr>
            <w:rStyle w:val="aa"/>
            <w:rFonts w:ascii="Times New Roman" w:hAnsi="Times New Roman" w:cs="Times New Roman"/>
            <w:color w:val="auto"/>
            <w:u w:val="none"/>
          </w:rPr>
          <w:t>Descriptive Statistics</w:t>
        </w:r>
        <w:bookmarkStart w:id="3" w:name="DescriptiveStatistics"/>
        <w:bookmarkEnd w:id="3"/>
      </w:hyperlink>
      <w:r w:rsidR="00AF6702" w:rsidRPr="00702882">
        <w:rPr>
          <w:rFonts w:ascii="Times New Roman" w:hAnsi="Times New Roman" w:cs="Times New Roman"/>
        </w:rPr>
        <w:tab/>
      </w:r>
      <w:r w:rsidR="009457A9" w:rsidRPr="00702882">
        <w:rPr>
          <w:rFonts w:ascii="Times New Roman" w:hAnsi="Times New Roman" w:cs="Times New Roman"/>
        </w:rPr>
        <w:t>69</w:t>
      </w:r>
    </w:p>
    <w:p w14:paraId="3CD90345" w14:textId="01F4BB88"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CorrelationCoefficients" w:history="1">
        <w:r w:rsidR="00AF6702" w:rsidRPr="00702882">
          <w:rPr>
            <w:rStyle w:val="aa"/>
            <w:rFonts w:ascii="Times New Roman" w:hAnsi="Times New Roman" w:cs="Times New Roman"/>
            <w:color w:val="auto"/>
            <w:u w:val="none"/>
          </w:rPr>
          <w:t>Correlation Coefficients</w:t>
        </w:r>
        <w:bookmarkStart w:id="4" w:name="CorrelationCoefficients"/>
        <w:bookmarkEnd w:id="4"/>
      </w:hyperlink>
      <w:r w:rsidR="00AF6702" w:rsidRPr="00702882">
        <w:rPr>
          <w:rFonts w:ascii="Times New Roman" w:hAnsi="Times New Roman" w:cs="Times New Roman"/>
        </w:rPr>
        <w:tab/>
        <w:t>7</w:t>
      </w:r>
      <w:r w:rsidR="009457A9" w:rsidRPr="00702882">
        <w:rPr>
          <w:rFonts w:ascii="Times New Roman" w:hAnsi="Times New Roman" w:cs="Times New Roman"/>
        </w:rPr>
        <w:t>2</w:t>
      </w:r>
    </w:p>
    <w:p w14:paraId="6C5F4B20" w14:textId="18747670"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PanelDataModelsTheEffectsofBSFStructures" w:history="1">
        <w:r w:rsidR="00AF6702" w:rsidRPr="00702882">
          <w:rPr>
            <w:rStyle w:val="aa"/>
            <w:rFonts w:ascii="Times New Roman" w:hAnsi="Times New Roman" w:cs="Times New Roman"/>
            <w:color w:val="auto"/>
            <w:u w:val="none"/>
          </w:rPr>
          <w:t>Fixed Effects Models</w:t>
        </w:r>
      </w:hyperlink>
      <w:r w:rsidR="00AF6702" w:rsidRPr="00702882">
        <w:rPr>
          <w:rStyle w:val="aa"/>
          <w:rFonts w:ascii="Times New Roman" w:hAnsi="Times New Roman" w:cs="Times New Roman"/>
          <w:color w:val="auto"/>
          <w:u w:val="none"/>
        </w:rPr>
        <w:t>: Effects of BSF Structures on BSF Levels</w:t>
      </w:r>
      <w:r w:rsidR="00AF6702" w:rsidRPr="00702882">
        <w:rPr>
          <w:rFonts w:ascii="Times New Roman" w:hAnsi="Times New Roman" w:cs="Times New Roman"/>
        </w:rPr>
        <w:tab/>
      </w:r>
      <w:r w:rsidR="00662C28" w:rsidRPr="00702882">
        <w:rPr>
          <w:rFonts w:ascii="Times New Roman" w:hAnsi="Times New Roman" w:cs="Times New Roman"/>
        </w:rPr>
        <w:t>80</w:t>
      </w:r>
    </w:p>
    <w:p w14:paraId="78A61366" w14:textId="1A9A7CBA"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FixedEffectsModelswithReducedVariable" w:history="1">
        <w:r w:rsidR="00AF6702" w:rsidRPr="00702882">
          <w:rPr>
            <w:rStyle w:val="aa"/>
            <w:rFonts w:ascii="Times New Roman" w:hAnsi="Times New Roman" w:cs="Times New Roman"/>
            <w:color w:val="auto"/>
            <w:u w:val="none"/>
          </w:rPr>
          <w:t>Fixed Effects Models with Reduced Variables</w:t>
        </w:r>
      </w:hyperlink>
      <w:r w:rsidR="000D7BD5" w:rsidRPr="00702882">
        <w:rPr>
          <w:rStyle w:val="aa"/>
          <w:rFonts w:ascii="Times New Roman" w:hAnsi="Times New Roman" w:cs="Times New Roman"/>
          <w:color w:val="auto"/>
          <w:u w:val="none"/>
        </w:rPr>
        <w:t>: Effects of BSF Structures on BSF Levels</w:t>
      </w:r>
      <w:r w:rsidR="00AF6702" w:rsidRPr="00702882">
        <w:rPr>
          <w:rFonts w:ascii="Times New Roman" w:hAnsi="Times New Roman" w:cs="Times New Roman"/>
        </w:rPr>
        <w:tab/>
      </w:r>
      <w:r w:rsidR="00662C28" w:rsidRPr="00702882">
        <w:rPr>
          <w:rFonts w:ascii="Times New Roman" w:hAnsi="Times New Roman" w:cs="Times New Roman"/>
        </w:rPr>
        <w:t>81</w:t>
      </w:r>
    </w:p>
    <w:p w14:paraId="16433BB9" w14:textId="3231F0DC"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PooledOLSModels" w:history="1">
        <w:r w:rsidR="00AF6702" w:rsidRPr="00702882">
          <w:rPr>
            <w:rStyle w:val="aa"/>
            <w:rFonts w:ascii="Times New Roman" w:hAnsi="Times New Roman" w:cs="Times New Roman"/>
            <w:color w:val="auto"/>
            <w:u w:val="none"/>
          </w:rPr>
          <w:t>Pooled OLS Models</w:t>
        </w:r>
      </w:hyperlink>
      <w:r w:rsidR="000D7BD5" w:rsidRPr="00702882">
        <w:rPr>
          <w:rStyle w:val="aa"/>
          <w:rFonts w:ascii="Times New Roman" w:hAnsi="Times New Roman" w:cs="Times New Roman"/>
          <w:color w:val="auto"/>
          <w:u w:val="none"/>
        </w:rPr>
        <w:t>: Effects of BSF Structures on BSF Levels</w:t>
      </w:r>
      <w:r w:rsidR="00AF6702" w:rsidRPr="00702882">
        <w:rPr>
          <w:rFonts w:ascii="Times New Roman" w:hAnsi="Times New Roman" w:cs="Times New Roman"/>
        </w:rPr>
        <w:tab/>
      </w:r>
      <w:r w:rsidR="00662C28" w:rsidRPr="00702882">
        <w:rPr>
          <w:rFonts w:ascii="Times New Roman" w:hAnsi="Times New Roman" w:cs="Times New Roman"/>
        </w:rPr>
        <w:t>82</w:t>
      </w:r>
    </w:p>
    <w:p w14:paraId="1E8973F8" w14:textId="39A0BC73" w:rsidR="00AF6702" w:rsidRPr="00702882" w:rsidRDefault="00AF6702" w:rsidP="00441C21">
      <w:pPr>
        <w:pStyle w:val="a3"/>
        <w:numPr>
          <w:ilvl w:val="0"/>
          <w:numId w:val="30"/>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Comparison of Model Performance Indices</w:t>
      </w:r>
      <w:r w:rsidR="00662C28" w:rsidRPr="00702882">
        <w:rPr>
          <w:rFonts w:ascii="Times New Roman" w:hAnsi="Times New Roman" w:cs="Times New Roman"/>
        </w:rPr>
        <w:t xml:space="preserve"> for Fixed Effects Models</w:t>
      </w:r>
      <w:r w:rsidR="00EE480C" w:rsidRPr="00702882">
        <w:rPr>
          <w:rFonts w:ascii="Times New Roman" w:hAnsi="Times New Roman" w:cs="Times New Roman"/>
        </w:rPr>
        <w:t xml:space="preserve"> (DV: BSF)</w:t>
      </w:r>
      <w:r w:rsidRPr="00702882">
        <w:rPr>
          <w:rFonts w:ascii="Times New Roman" w:hAnsi="Times New Roman" w:cs="Times New Roman"/>
        </w:rPr>
        <w:tab/>
        <w:t>8</w:t>
      </w:r>
      <w:r w:rsidR="00662C28" w:rsidRPr="00702882">
        <w:rPr>
          <w:rFonts w:ascii="Times New Roman" w:hAnsi="Times New Roman" w:cs="Times New Roman"/>
        </w:rPr>
        <w:t>6</w:t>
      </w:r>
    </w:p>
    <w:p w14:paraId="1A32ABEA" w14:textId="72B36E42" w:rsidR="00AF6702" w:rsidRPr="00702882" w:rsidRDefault="00AF6702" w:rsidP="00441C21">
      <w:pPr>
        <w:pStyle w:val="a3"/>
        <w:numPr>
          <w:ilvl w:val="0"/>
          <w:numId w:val="30"/>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Comparison of Model Performance Indices between Different Models</w:t>
      </w:r>
      <w:r w:rsidR="00EE480C" w:rsidRPr="00702882">
        <w:rPr>
          <w:rFonts w:ascii="Times New Roman" w:hAnsi="Times New Roman" w:cs="Times New Roman"/>
        </w:rPr>
        <w:t xml:space="preserve"> (DV: BSF)</w:t>
      </w:r>
      <w:r w:rsidRPr="00702882">
        <w:rPr>
          <w:rFonts w:ascii="Times New Roman" w:hAnsi="Times New Roman" w:cs="Times New Roman"/>
        </w:rPr>
        <w:tab/>
      </w:r>
      <w:r w:rsidR="00662C28" w:rsidRPr="00702882">
        <w:rPr>
          <w:rFonts w:ascii="Times New Roman" w:hAnsi="Times New Roman" w:cs="Times New Roman"/>
        </w:rPr>
        <w:t>87</w:t>
      </w:r>
    </w:p>
    <w:p w14:paraId="24F9FA0A" w14:textId="0896BF1E" w:rsidR="00AF6702"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PanelDataModelsTheEffectsofBSF" w:history="1">
        <w:r w:rsidR="00AF6702" w:rsidRPr="00702882">
          <w:rPr>
            <w:rStyle w:val="aa"/>
            <w:rFonts w:ascii="Times New Roman" w:hAnsi="Times New Roman" w:cs="Times New Roman"/>
            <w:color w:val="auto"/>
            <w:u w:val="none"/>
          </w:rPr>
          <w:t>Fixed Effects Models: Effects of BSF</w:t>
        </w:r>
      </w:hyperlink>
      <w:r w:rsidR="00AF6702" w:rsidRPr="00702882">
        <w:rPr>
          <w:rStyle w:val="aa"/>
          <w:rFonts w:ascii="Times New Roman" w:hAnsi="Times New Roman" w:cs="Times New Roman"/>
          <w:color w:val="auto"/>
          <w:u w:val="none"/>
        </w:rPr>
        <w:t xml:space="preserve"> Structures</w:t>
      </w:r>
      <w:r w:rsidR="00AF6702" w:rsidRPr="00702882">
        <w:rPr>
          <w:rFonts w:ascii="Times New Roman" w:hAnsi="Times New Roman" w:cs="Times New Roman"/>
        </w:rPr>
        <w:t xml:space="preserve"> on GFB Levels</w:t>
      </w:r>
      <w:r w:rsidR="00AF6702" w:rsidRPr="00702882">
        <w:rPr>
          <w:rFonts w:ascii="Times New Roman" w:hAnsi="Times New Roman" w:cs="Times New Roman"/>
        </w:rPr>
        <w:tab/>
      </w:r>
      <w:r w:rsidR="00662C28" w:rsidRPr="00702882">
        <w:rPr>
          <w:rFonts w:ascii="Times New Roman" w:hAnsi="Times New Roman" w:cs="Times New Roman"/>
        </w:rPr>
        <w:t>9</w:t>
      </w:r>
      <w:r w:rsidR="00AF6702" w:rsidRPr="00702882">
        <w:rPr>
          <w:rFonts w:ascii="Times New Roman" w:hAnsi="Times New Roman" w:cs="Times New Roman"/>
        </w:rPr>
        <w:t>7</w:t>
      </w:r>
    </w:p>
    <w:p w14:paraId="0CBDE2EA" w14:textId="0B2D72A2" w:rsidR="00662C28" w:rsidRPr="00702882" w:rsidRDefault="00000000" w:rsidP="00441C21">
      <w:pPr>
        <w:pStyle w:val="a3"/>
        <w:numPr>
          <w:ilvl w:val="0"/>
          <w:numId w:val="30"/>
        </w:numPr>
        <w:tabs>
          <w:tab w:val="right" w:leader="middleDot" w:pos="10080"/>
        </w:tabs>
        <w:spacing w:line="480" w:lineRule="auto"/>
        <w:jc w:val="both"/>
        <w:rPr>
          <w:rFonts w:ascii="Times New Roman" w:hAnsi="Times New Roman" w:cs="Times New Roman"/>
        </w:rPr>
      </w:pPr>
      <w:hyperlink w:anchor="PanelDataModelsTheEffectsofBSF" w:history="1">
        <w:r w:rsidR="00662C28" w:rsidRPr="00702882">
          <w:rPr>
            <w:rStyle w:val="aa"/>
            <w:rFonts w:ascii="Times New Roman" w:hAnsi="Times New Roman" w:cs="Times New Roman"/>
            <w:color w:val="auto"/>
            <w:u w:val="none"/>
          </w:rPr>
          <w:t>Fixed Effects Models with Reduced Variables</w:t>
        </w:r>
      </w:hyperlink>
      <w:r w:rsidR="00662C28" w:rsidRPr="00702882">
        <w:rPr>
          <w:rStyle w:val="aa"/>
          <w:rFonts w:ascii="Times New Roman" w:hAnsi="Times New Roman" w:cs="Times New Roman"/>
          <w:color w:val="auto"/>
          <w:u w:val="none"/>
        </w:rPr>
        <w:t>: Effects of BSF Structures on GFB Levels</w:t>
      </w:r>
      <w:r w:rsidR="00662C28" w:rsidRPr="00702882">
        <w:rPr>
          <w:rFonts w:ascii="Times New Roman" w:hAnsi="Times New Roman" w:cs="Times New Roman"/>
        </w:rPr>
        <w:tab/>
        <w:t>98</w:t>
      </w:r>
    </w:p>
    <w:p w14:paraId="78B5DA0D" w14:textId="1A636F85" w:rsidR="00AF6702" w:rsidRPr="00702882" w:rsidRDefault="00AF6702" w:rsidP="00441C21">
      <w:pPr>
        <w:pStyle w:val="a3"/>
        <w:numPr>
          <w:ilvl w:val="0"/>
          <w:numId w:val="30"/>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Pooled OLS Models</w:t>
      </w:r>
      <w:r w:rsidR="00662C28" w:rsidRPr="00702882">
        <w:rPr>
          <w:rFonts w:ascii="Times New Roman" w:hAnsi="Times New Roman" w:cs="Times New Roman"/>
        </w:rPr>
        <w:t>:</w:t>
      </w:r>
      <w:r w:rsidR="00662C28" w:rsidRPr="00702882">
        <w:rPr>
          <w:rStyle w:val="aa"/>
          <w:rFonts w:ascii="Times New Roman" w:hAnsi="Times New Roman" w:cs="Times New Roman"/>
          <w:color w:val="auto"/>
          <w:u w:val="none"/>
        </w:rPr>
        <w:t xml:space="preserve"> Effects of BSF Structures on GFB Levels</w:t>
      </w:r>
      <w:r w:rsidRPr="00702882">
        <w:rPr>
          <w:rFonts w:ascii="Times New Roman" w:hAnsi="Times New Roman" w:cs="Times New Roman"/>
        </w:rPr>
        <w:tab/>
      </w:r>
      <w:r w:rsidR="00662C28" w:rsidRPr="00702882">
        <w:rPr>
          <w:rFonts w:ascii="Times New Roman" w:hAnsi="Times New Roman" w:cs="Times New Roman"/>
        </w:rPr>
        <w:t>9</w:t>
      </w:r>
      <w:r w:rsidRPr="00702882">
        <w:rPr>
          <w:rFonts w:ascii="Times New Roman" w:hAnsi="Times New Roman" w:cs="Times New Roman"/>
        </w:rPr>
        <w:t>9</w:t>
      </w:r>
    </w:p>
    <w:p w14:paraId="3E664FB9" w14:textId="1057D362" w:rsidR="00F8435D" w:rsidRPr="00702882" w:rsidRDefault="00AF6702" w:rsidP="00441C21">
      <w:pPr>
        <w:pStyle w:val="a3"/>
        <w:numPr>
          <w:ilvl w:val="0"/>
          <w:numId w:val="30"/>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Comparison of Model Performance Indices for Fixed Effects Models</w:t>
      </w:r>
      <w:r w:rsidR="00EE480C" w:rsidRPr="00702882">
        <w:rPr>
          <w:rFonts w:ascii="Times New Roman" w:hAnsi="Times New Roman" w:cs="Times New Roman"/>
        </w:rPr>
        <w:t xml:space="preserve"> (DV: GFB)</w:t>
      </w:r>
      <w:r w:rsidRPr="00702882">
        <w:rPr>
          <w:rFonts w:ascii="Times New Roman" w:hAnsi="Times New Roman" w:cs="Times New Roman"/>
        </w:rPr>
        <w:tab/>
      </w:r>
      <w:r w:rsidR="00EE480C" w:rsidRPr="00702882">
        <w:rPr>
          <w:rFonts w:ascii="Times New Roman" w:hAnsi="Times New Roman" w:cs="Times New Roman"/>
        </w:rPr>
        <w:t>101</w:t>
      </w:r>
    </w:p>
    <w:p w14:paraId="07E0EDED" w14:textId="2EA8C072" w:rsidR="00AF6702" w:rsidRPr="00702882" w:rsidRDefault="00AF6702" w:rsidP="00441C21">
      <w:pPr>
        <w:pStyle w:val="a3"/>
        <w:numPr>
          <w:ilvl w:val="0"/>
          <w:numId w:val="30"/>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Comparison of Model Performance Indices between Different Models</w:t>
      </w:r>
      <w:r w:rsidR="00EE480C" w:rsidRPr="00702882">
        <w:rPr>
          <w:rFonts w:ascii="Times New Roman" w:hAnsi="Times New Roman" w:cs="Times New Roman"/>
        </w:rPr>
        <w:t xml:space="preserve"> (DV: GFB)</w:t>
      </w:r>
      <w:r w:rsidRPr="00702882">
        <w:rPr>
          <w:rFonts w:ascii="Times New Roman" w:hAnsi="Times New Roman" w:cs="Times New Roman"/>
        </w:rPr>
        <w:tab/>
      </w:r>
      <w:r w:rsidR="00EE480C" w:rsidRPr="00702882">
        <w:rPr>
          <w:rFonts w:ascii="Times New Roman" w:hAnsi="Times New Roman" w:cs="Times New Roman"/>
        </w:rPr>
        <w:t>103</w:t>
      </w:r>
    </w:p>
    <w:p w14:paraId="5B144C4D" w14:textId="232469FE" w:rsidR="00AF6702" w:rsidRPr="00702882" w:rsidRDefault="00AF6702" w:rsidP="00441C21">
      <w:pPr>
        <w:pStyle w:val="a3"/>
        <w:numPr>
          <w:ilvl w:val="0"/>
          <w:numId w:val="30"/>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Effect of Deposit Tied to Revenue Volatility on BSF Levels</w:t>
      </w:r>
      <w:r w:rsidRPr="00702882">
        <w:rPr>
          <w:rFonts w:ascii="Times New Roman" w:hAnsi="Times New Roman" w:cs="Times New Roman"/>
        </w:rPr>
        <w:tab/>
      </w:r>
      <w:r w:rsidR="000A2C55" w:rsidRPr="00702882">
        <w:rPr>
          <w:rFonts w:ascii="Times New Roman" w:hAnsi="Times New Roman" w:cs="Times New Roman"/>
        </w:rPr>
        <w:t>116</w:t>
      </w:r>
    </w:p>
    <w:p w14:paraId="34C01072" w14:textId="72D119CC" w:rsidR="00AF6702" w:rsidRPr="00702882" w:rsidRDefault="00AF6702" w:rsidP="00441C21">
      <w:pPr>
        <w:pStyle w:val="a3"/>
        <w:numPr>
          <w:ilvl w:val="0"/>
          <w:numId w:val="30"/>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Effect of Deposit Tied to Revenue Volatility on GFB Levels</w:t>
      </w:r>
      <w:r w:rsidRPr="00702882">
        <w:rPr>
          <w:rFonts w:ascii="Times New Roman" w:hAnsi="Times New Roman" w:cs="Times New Roman"/>
        </w:rPr>
        <w:tab/>
      </w:r>
      <w:r w:rsidR="000A2C55" w:rsidRPr="00702882">
        <w:rPr>
          <w:rFonts w:ascii="Times New Roman" w:hAnsi="Times New Roman" w:cs="Times New Roman"/>
        </w:rPr>
        <w:t>121</w:t>
      </w:r>
    </w:p>
    <w:p w14:paraId="25FE40D9" w14:textId="5E5776EA" w:rsidR="00AF6702" w:rsidRPr="00702882" w:rsidRDefault="00000000" w:rsidP="009B6A15">
      <w:pPr>
        <w:pStyle w:val="a3"/>
        <w:numPr>
          <w:ilvl w:val="0"/>
          <w:numId w:val="30"/>
        </w:numPr>
        <w:tabs>
          <w:tab w:val="right" w:leader="middleDot" w:pos="10080"/>
        </w:tabs>
        <w:spacing w:line="480" w:lineRule="auto"/>
        <w:jc w:val="both"/>
        <w:rPr>
          <w:rFonts w:ascii="Times New Roman" w:hAnsi="Times New Roman" w:cs="Times New Roman"/>
        </w:rPr>
      </w:pPr>
      <w:hyperlink w:anchor="SummaryofHypothesesandResults" w:history="1">
        <w:r w:rsidR="00AF6702" w:rsidRPr="00702882">
          <w:rPr>
            <w:rStyle w:val="aa"/>
            <w:rFonts w:ascii="Times New Roman" w:hAnsi="Times New Roman" w:cs="Times New Roman"/>
            <w:color w:val="auto"/>
            <w:u w:val="none"/>
          </w:rPr>
          <w:t>Summary of Hypotheses and Results</w:t>
        </w:r>
      </w:hyperlink>
      <w:r w:rsidR="00AF6702" w:rsidRPr="00702882">
        <w:rPr>
          <w:rFonts w:ascii="Times New Roman" w:hAnsi="Times New Roman" w:cs="Times New Roman"/>
        </w:rPr>
        <w:tab/>
      </w:r>
      <w:r w:rsidR="000A2C55" w:rsidRPr="00702882">
        <w:rPr>
          <w:rFonts w:ascii="Times New Roman" w:hAnsi="Times New Roman" w:cs="Times New Roman"/>
        </w:rPr>
        <w:t>124</w:t>
      </w:r>
    </w:p>
    <w:p w14:paraId="260A95D5" w14:textId="77777777" w:rsidR="00AF6702" w:rsidRPr="00702882" w:rsidRDefault="00AF6702" w:rsidP="009B6A15">
      <w:pPr>
        <w:rPr>
          <w:rFonts w:eastAsiaTheme="minorEastAsia"/>
          <w:b/>
          <w:bCs/>
          <w:color w:val="7030A0"/>
        </w:rPr>
      </w:pPr>
    </w:p>
    <w:p w14:paraId="629DBC99" w14:textId="77777777" w:rsidR="00AF6702" w:rsidRPr="00702882" w:rsidRDefault="00AF6702" w:rsidP="009B6A15">
      <w:pPr>
        <w:rPr>
          <w:rFonts w:eastAsiaTheme="minorEastAsia"/>
          <w:b/>
          <w:bCs/>
          <w:color w:val="7030A0"/>
        </w:rPr>
      </w:pPr>
    </w:p>
    <w:p w14:paraId="2EE3D022" w14:textId="7016F1E9" w:rsidR="00441C21" w:rsidRPr="00702882" w:rsidRDefault="00C144E1" w:rsidP="00441C21">
      <w:pPr>
        <w:spacing w:line="480" w:lineRule="auto"/>
        <w:jc w:val="center"/>
        <w:rPr>
          <w:rFonts w:eastAsiaTheme="minorEastAsia"/>
          <w:b/>
          <w:bCs/>
        </w:rPr>
      </w:pPr>
      <w:r w:rsidRPr="00702882">
        <w:rPr>
          <w:rFonts w:eastAsiaTheme="minorEastAsia"/>
          <w:b/>
          <w:bCs/>
        </w:rPr>
        <w:lastRenderedPageBreak/>
        <w:t>LIST OF FIGURES</w:t>
      </w:r>
    </w:p>
    <w:p w14:paraId="3774FFB8" w14:textId="26BF47F9" w:rsidR="00AF6702" w:rsidRPr="00702882" w:rsidRDefault="00000000" w:rsidP="00441C21">
      <w:pPr>
        <w:pStyle w:val="a3"/>
        <w:numPr>
          <w:ilvl w:val="0"/>
          <w:numId w:val="31"/>
        </w:numPr>
        <w:tabs>
          <w:tab w:val="right" w:leader="middleDot" w:pos="10080"/>
        </w:tabs>
        <w:spacing w:line="480" w:lineRule="auto"/>
        <w:jc w:val="both"/>
        <w:rPr>
          <w:rFonts w:ascii="Times New Roman" w:hAnsi="Times New Roman" w:cs="Times New Roman"/>
        </w:rPr>
      </w:pPr>
      <w:hyperlink w:anchor="CausalPathDiagramDerivedfrom" w:history="1">
        <w:r w:rsidR="00AF6702" w:rsidRPr="00702882">
          <w:rPr>
            <w:rStyle w:val="aa"/>
            <w:rFonts w:ascii="Times New Roman" w:hAnsi="Times New Roman" w:cs="Times New Roman"/>
            <w:color w:val="auto"/>
            <w:u w:val="none"/>
          </w:rPr>
          <w:t>Causal Path Diagram Derived from</w:t>
        </w:r>
      </w:hyperlink>
      <w:r w:rsidR="00AF6702" w:rsidRPr="00702882">
        <w:rPr>
          <w:rFonts w:ascii="Times New Roman" w:hAnsi="Times New Roman" w:cs="Times New Roman"/>
        </w:rPr>
        <w:t xml:space="preserve"> the Literature</w:t>
      </w:r>
      <w:r w:rsidR="00AF6702" w:rsidRPr="00702882">
        <w:rPr>
          <w:rFonts w:ascii="Times New Roman" w:hAnsi="Times New Roman" w:cs="Times New Roman"/>
        </w:rPr>
        <w:tab/>
      </w:r>
      <w:r w:rsidR="002B1084" w:rsidRPr="00702882">
        <w:rPr>
          <w:rFonts w:ascii="Times New Roman" w:hAnsi="Times New Roman" w:cs="Times New Roman"/>
        </w:rPr>
        <w:t>52</w:t>
      </w:r>
    </w:p>
    <w:p w14:paraId="7D801CD0" w14:textId="14B7C0C7" w:rsidR="00C52DC2" w:rsidRPr="00702882" w:rsidRDefault="00000000" w:rsidP="00441C21">
      <w:pPr>
        <w:pStyle w:val="a3"/>
        <w:numPr>
          <w:ilvl w:val="0"/>
          <w:numId w:val="31"/>
        </w:numPr>
        <w:tabs>
          <w:tab w:val="right" w:leader="middleDot" w:pos="10080"/>
        </w:tabs>
        <w:spacing w:line="480" w:lineRule="auto"/>
        <w:jc w:val="both"/>
        <w:rPr>
          <w:rFonts w:ascii="Times New Roman" w:hAnsi="Times New Roman" w:cs="Times New Roman"/>
        </w:rPr>
      </w:pPr>
      <w:hyperlink w:anchor="BSFBalancesasaShareofTotalBalance" w:history="1">
        <w:r w:rsidR="00AF6702" w:rsidRPr="00702882">
          <w:rPr>
            <w:rStyle w:val="aa"/>
            <w:rFonts w:ascii="Times New Roman" w:hAnsi="Times New Roman" w:cs="Times New Roman"/>
            <w:color w:val="auto"/>
            <w:u w:val="none"/>
          </w:rPr>
          <w:t>BSF Balances as a Share of Total Balances</w:t>
        </w:r>
      </w:hyperlink>
      <w:r w:rsidR="00AF6702" w:rsidRPr="00702882">
        <w:rPr>
          <w:rFonts w:ascii="Times New Roman" w:hAnsi="Times New Roman" w:cs="Times New Roman"/>
        </w:rPr>
        <w:tab/>
      </w:r>
      <w:r w:rsidR="002B1084" w:rsidRPr="00702882">
        <w:rPr>
          <w:rFonts w:ascii="Times New Roman" w:hAnsi="Times New Roman" w:cs="Times New Roman"/>
        </w:rPr>
        <w:t>62</w:t>
      </w:r>
    </w:p>
    <w:p w14:paraId="78970DFF" w14:textId="600A76DD" w:rsidR="00C52DC2" w:rsidRPr="00702882" w:rsidRDefault="00AF6702" w:rsidP="00441C21">
      <w:pPr>
        <w:pStyle w:val="a3"/>
        <w:numPr>
          <w:ilvl w:val="0"/>
          <w:numId w:val="31"/>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Interaction Effects of Source and Unemployment on BSF Levels</w:t>
      </w:r>
      <w:r w:rsidRPr="00702882">
        <w:rPr>
          <w:rFonts w:ascii="Times New Roman" w:hAnsi="Times New Roman" w:cs="Times New Roman"/>
        </w:rPr>
        <w:tab/>
      </w:r>
      <w:r w:rsidR="002B1084" w:rsidRPr="00702882">
        <w:rPr>
          <w:rFonts w:ascii="Times New Roman" w:hAnsi="Times New Roman" w:cs="Times New Roman"/>
        </w:rPr>
        <w:t>89</w:t>
      </w:r>
    </w:p>
    <w:p w14:paraId="2CA7E4AF" w14:textId="0FCE907B" w:rsidR="00C52DC2" w:rsidRPr="00702882" w:rsidRDefault="00AF6702" w:rsidP="00441C21">
      <w:pPr>
        <w:pStyle w:val="a3"/>
        <w:numPr>
          <w:ilvl w:val="0"/>
          <w:numId w:val="31"/>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Interaction Effects of Cap and Deposit Revenue Surplus on BSF Levels</w:t>
      </w:r>
      <w:r w:rsidRPr="00702882">
        <w:rPr>
          <w:rFonts w:ascii="Times New Roman" w:hAnsi="Times New Roman" w:cs="Times New Roman"/>
        </w:rPr>
        <w:tab/>
      </w:r>
      <w:r w:rsidR="002B1084" w:rsidRPr="00702882">
        <w:rPr>
          <w:rFonts w:ascii="Times New Roman" w:hAnsi="Times New Roman" w:cs="Times New Roman"/>
        </w:rPr>
        <w:t>91</w:t>
      </w:r>
    </w:p>
    <w:p w14:paraId="089A7F3E" w14:textId="396ACA95" w:rsidR="00C52DC2" w:rsidRPr="00702882" w:rsidRDefault="00AF6702" w:rsidP="00441C21">
      <w:pPr>
        <w:pStyle w:val="a3"/>
        <w:numPr>
          <w:ilvl w:val="0"/>
          <w:numId w:val="31"/>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Interaction Effects of Repayment Provision and Unemployment</w:t>
      </w:r>
      <w:r w:rsidR="002B1084" w:rsidRPr="00702882">
        <w:rPr>
          <w:rFonts w:ascii="Times New Roman" w:hAnsi="Times New Roman" w:cs="Times New Roman"/>
        </w:rPr>
        <w:t xml:space="preserve"> Rate</w:t>
      </w:r>
      <w:r w:rsidRPr="00702882">
        <w:rPr>
          <w:rFonts w:ascii="Times New Roman" w:hAnsi="Times New Roman" w:cs="Times New Roman"/>
        </w:rPr>
        <w:t xml:space="preserve"> on BSF Levels</w:t>
      </w:r>
      <w:r w:rsidRPr="00702882">
        <w:rPr>
          <w:rFonts w:ascii="Times New Roman" w:hAnsi="Times New Roman" w:cs="Times New Roman"/>
        </w:rPr>
        <w:tab/>
      </w:r>
      <w:r w:rsidR="002B1084" w:rsidRPr="00702882">
        <w:rPr>
          <w:rFonts w:ascii="Times New Roman" w:hAnsi="Times New Roman" w:cs="Times New Roman"/>
        </w:rPr>
        <w:t>9</w:t>
      </w:r>
      <w:r w:rsidRPr="00702882">
        <w:rPr>
          <w:rFonts w:ascii="Times New Roman" w:hAnsi="Times New Roman" w:cs="Times New Roman"/>
        </w:rPr>
        <w:t>4</w:t>
      </w:r>
    </w:p>
    <w:p w14:paraId="079DCA9F" w14:textId="4EE35786" w:rsidR="00C52DC2" w:rsidRPr="00702882" w:rsidRDefault="00AF6702" w:rsidP="00441C21">
      <w:pPr>
        <w:pStyle w:val="a3"/>
        <w:numPr>
          <w:ilvl w:val="0"/>
          <w:numId w:val="31"/>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 xml:space="preserve">Interaction Effects of Source and Unemployment </w:t>
      </w:r>
      <w:r w:rsidR="002B1084" w:rsidRPr="00702882">
        <w:rPr>
          <w:rFonts w:ascii="Times New Roman" w:hAnsi="Times New Roman" w:cs="Times New Roman"/>
        </w:rPr>
        <w:t xml:space="preserve">Rate </w:t>
      </w:r>
      <w:r w:rsidRPr="00702882">
        <w:rPr>
          <w:rFonts w:ascii="Times New Roman" w:hAnsi="Times New Roman" w:cs="Times New Roman"/>
        </w:rPr>
        <w:t>on GFB Levels</w:t>
      </w:r>
      <w:r w:rsidRPr="00702882">
        <w:rPr>
          <w:rFonts w:ascii="Times New Roman" w:hAnsi="Times New Roman" w:cs="Times New Roman"/>
        </w:rPr>
        <w:tab/>
      </w:r>
      <w:r w:rsidR="002B1084" w:rsidRPr="00702882">
        <w:rPr>
          <w:rFonts w:ascii="Times New Roman" w:hAnsi="Times New Roman" w:cs="Times New Roman"/>
        </w:rPr>
        <w:t>105</w:t>
      </w:r>
    </w:p>
    <w:p w14:paraId="014F8E37" w14:textId="7A4B6789" w:rsidR="00BA469E" w:rsidRPr="00702882" w:rsidRDefault="00AF6702" w:rsidP="00BA469E">
      <w:pPr>
        <w:pStyle w:val="a3"/>
        <w:numPr>
          <w:ilvl w:val="0"/>
          <w:numId w:val="31"/>
        </w:numPr>
        <w:tabs>
          <w:tab w:val="right" w:leader="middleDot" w:pos="10080"/>
        </w:tabs>
        <w:jc w:val="both"/>
        <w:rPr>
          <w:rFonts w:ascii="Times New Roman" w:hAnsi="Times New Roman" w:cs="Times New Roman"/>
        </w:rPr>
      </w:pPr>
      <w:r w:rsidRPr="00702882">
        <w:rPr>
          <w:rFonts w:ascii="Times New Roman" w:hAnsi="Times New Roman" w:cs="Times New Roman"/>
        </w:rPr>
        <w:t xml:space="preserve">Interaction Effects of Deposit Tied to Revenue </w:t>
      </w:r>
      <w:r w:rsidR="002B1084" w:rsidRPr="00702882">
        <w:rPr>
          <w:rFonts w:ascii="Times New Roman" w:hAnsi="Times New Roman" w:cs="Times New Roman"/>
        </w:rPr>
        <w:t>V</w:t>
      </w:r>
      <w:r w:rsidRPr="00702882">
        <w:rPr>
          <w:rFonts w:ascii="Times New Roman" w:hAnsi="Times New Roman" w:cs="Times New Roman"/>
        </w:rPr>
        <w:t xml:space="preserve">olatility and Unemployment </w:t>
      </w:r>
      <w:r w:rsidR="002B1084" w:rsidRPr="00702882">
        <w:rPr>
          <w:rFonts w:ascii="Times New Roman" w:hAnsi="Times New Roman" w:cs="Times New Roman"/>
        </w:rPr>
        <w:t xml:space="preserve">Rate </w:t>
      </w:r>
      <w:r w:rsidRPr="00702882">
        <w:rPr>
          <w:rFonts w:ascii="Times New Roman" w:hAnsi="Times New Roman" w:cs="Times New Roman"/>
        </w:rPr>
        <w:t>on GFB Levels</w:t>
      </w:r>
      <w:r w:rsidRPr="00702882">
        <w:rPr>
          <w:rFonts w:ascii="Times New Roman" w:hAnsi="Times New Roman" w:cs="Times New Roman"/>
        </w:rPr>
        <w:tab/>
      </w:r>
      <w:r w:rsidR="002B1084" w:rsidRPr="00702882">
        <w:rPr>
          <w:rFonts w:ascii="Times New Roman" w:hAnsi="Times New Roman" w:cs="Times New Roman"/>
        </w:rPr>
        <w:t>107</w:t>
      </w:r>
    </w:p>
    <w:p w14:paraId="790AF33D" w14:textId="77777777" w:rsidR="00BA469E" w:rsidRPr="00702882" w:rsidRDefault="00BA469E" w:rsidP="00BA469E">
      <w:pPr>
        <w:pStyle w:val="a3"/>
        <w:tabs>
          <w:tab w:val="right" w:leader="middleDot" w:pos="10080"/>
        </w:tabs>
        <w:ind w:left="360"/>
        <w:jc w:val="both"/>
        <w:rPr>
          <w:rFonts w:ascii="Times New Roman" w:hAnsi="Times New Roman" w:cs="Times New Roman"/>
        </w:rPr>
      </w:pPr>
    </w:p>
    <w:p w14:paraId="7AA10973" w14:textId="06BE709C" w:rsidR="00AF6702" w:rsidRPr="00702882" w:rsidRDefault="00AF6702" w:rsidP="00BA469E">
      <w:pPr>
        <w:pStyle w:val="a3"/>
        <w:numPr>
          <w:ilvl w:val="0"/>
          <w:numId w:val="31"/>
        </w:numPr>
        <w:tabs>
          <w:tab w:val="right" w:leader="middleDot" w:pos="10080"/>
        </w:tabs>
        <w:jc w:val="both"/>
        <w:rPr>
          <w:rFonts w:ascii="Times New Roman" w:hAnsi="Times New Roman" w:cs="Times New Roman"/>
        </w:rPr>
      </w:pPr>
      <w:r w:rsidRPr="00702882">
        <w:rPr>
          <w:rFonts w:ascii="Times New Roman" w:hAnsi="Times New Roman" w:cs="Times New Roman"/>
        </w:rPr>
        <w:t>Interaction Effects of Withdrawal Tied to Revenue Volatility and Withdrawal Limit on GFB Levels</w:t>
      </w:r>
      <w:r w:rsidRPr="00702882">
        <w:rPr>
          <w:rFonts w:ascii="Times New Roman" w:hAnsi="Times New Roman" w:cs="Times New Roman"/>
        </w:rPr>
        <w:tab/>
      </w:r>
      <w:r w:rsidR="002B1084" w:rsidRPr="00702882">
        <w:rPr>
          <w:rFonts w:ascii="Times New Roman" w:hAnsi="Times New Roman" w:cs="Times New Roman"/>
        </w:rPr>
        <w:t>108</w:t>
      </w:r>
    </w:p>
    <w:p w14:paraId="29A3175B" w14:textId="77777777" w:rsidR="00BA469E" w:rsidRPr="00702882" w:rsidRDefault="00BA469E" w:rsidP="00BA469E">
      <w:pPr>
        <w:pStyle w:val="a3"/>
        <w:tabs>
          <w:tab w:val="right" w:leader="middleDot" w:pos="10080"/>
        </w:tabs>
        <w:ind w:left="360"/>
        <w:jc w:val="both"/>
        <w:rPr>
          <w:rFonts w:ascii="Times New Roman" w:hAnsi="Times New Roman" w:cs="Times New Roman"/>
        </w:rPr>
      </w:pPr>
    </w:p>
    <w:p w14:paraId="0EF488A0" w14:textId="6BFE0287" w:rsidR="00AF6702" w:rsidRPr="00702882" w:rsidRDefault="00AF6702" w:rsidP="00441C21">
      <w:pPr>
        <w:pStyle w:val="a3"/>
        <w:numPr>
          <w:ilvl w:val="0"/>
          <w:numId w:val="31"/>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 xml:space="preserve">ATT of </w:t>
      </w:r>
      <w:r w:rsidR="002B1084" w:rsidRPr="00702882">
        <w:rPr>
          <w:rFonts w:ascii="Times New Roman" w:hAnsi="Times New Roman" w:cs="Times New Roman"/>
        </w:rPr>
        <w:t>D</w:t>
      </w:r>
      <w:r w:rsidRPr="00702882">
        <w:rPr>
          <w:rFonts w:ascii="Times New Roman" w:hAnsi="Times New Roman" w:cs="Times New Roman"/>
        </w:rPr>
        <w:t xml:space="preserve">eposit </w:t>
      </w:r>
      <w:r w:rsidR="002B1084" w:rsidRPr="00702882">
        <w:rPr>
          <w:rFonts w:ascii="Times New Roman" w:hAnsi="Times New Roman" w:cs="Times New Roman"/>
        </w:rPr>
        <w:t>T</w:t>
      </w:r>
      <w:r w:rsidRPr="00702882">
        <w:rPr>
          <w:rFonts w:ascii="Times New Roman" w:hAnsi="Times New Roman" w:cs="Times New Roman"/>
        </w:rPr>
        <w:t xml:space="preserve">ied to </w:t>
      </w:r>
      <w:r w:rsidR="002B1084" w:rsidRPr="00702882">
        <w:rPr>
          <w:rFonts w:ascii="Times New Roman" w:hAnsi="Times New Roman" w:cs="Times New Roman"/>
        </w:rPr>
        <w:t>R</w:t>
      </w:r>
      <w:r w:rsidRPr="00702882">
        <w:rPr>
          <w:rFonts w:ascii="Times New Roman" w:hAnsi="Times New Roman" w:cs="Times New Roman"/>
        </w:rPr>
        <w:t xml:space="preserve">evenue </w:t>
      </w:r>
      <w:r w:rsidR="002B1084" w:rsidRPr="00702882">
        <w:rPr>
          <w:rFonts w:ascii="Times New Roman" w:hAnsi="Times New Roman" w:cs="Times New Roman"/>
        </w:rPr>
        <w:t>V</w:t>
      </w:r>
      <w:r w:rsidRPr="00702882">
        <w:rPr>
          <w:rFonts w:ascii="Times New Roman" w:hAnsi="Times New Roman" w:cs="Times New Roman"/>
        </w:rPr>
        <w:t>olatility on BSF levels over time</w:t>
      </w:r>
      <w:r w:rsidRPr="00702882">
        <w:rPr>
          <w:rFonts w:ascii="Times New Roman" w:hAnsi="Times New Roman" w:cs="Times New Roman"/>
        </w:rPr>
        <w:tab/>
      </w:r>
      <w:r w:rsidR="007F3CC0" w:rsidRPr="00702882">
        <w:rPr>
          <w:rFonts w:ascii="Times New Roman" w:hAnsi="Times New Roman" w:cs="Times New Roman"/>
        </w:rPr>
        <w:t>120</w:t>
      </w:r>
    </w:p>
    <w:p w14:paraId="562A21BD" w14:textId="4E260C81" w:rsidR="00AF6702" w:rsidRPr="00702882" w:rsidRDefault="00AF6702" w:rsidP="00441C21">
      <w:pPr>
        <w:pStyle w:val="a3"/>
        <w:numPr>
          <w:ilvl w:val="0"/>
          <w:numId w:val="31"/>
        </w:numPr>
        <w:tabs>
          <w:tab w:val="right" w:leader="middleDot" w:pos="10080"/>
        </w:tabs>
        <w:spacing w:line="480" w:lineRule="auto"/>
        <w:jc w:val="both"/>
        <w:rPr>
          <w:rFonts w:ascii="Times New Roman" w:hAnsi="Times New Roman" w:cs="Times New Roman"/>
        </w:rPr>
      </w:pPr>
      <w:r w:rsidRPr="00702882">
        <w:rPr>
          <w:rFonts w:ascii="Times New Roman" w:hAnsi="Times New Roman" w:cs="Times New Roman"/>
        </w:rPr>
        <w:t>ATT of</w:t>
      </w:r>
      <w:r w:rsidR="002B1084" w:rsidRPr="00702882">
        <w:rPr>
          <w:rFonts w:ascii="Times New Roman" w:hAnsi="Times New Roman" w:cs="Times New Roman"/>
        </w:rPr>
        <w:t xml:space="preserve"> Deposit Tied to Revenue Volatility</w:t>
      </w:r>
      <w:r w:rsidRPr="00702882">
        <w:rPr>
          <w:rFonts w:ascii="Times New Roman" w:hAnsi="Times New Roman" w:cs="Times New Roman"/>
        </w:rPr>
        <w:t xml:space="preserve"> on GFB levels over time</w:t>
      </w:r>
      <w:r w:rsidRPr="00702882">
        <w:rPr>
          <w:rFonts w:ascii="Times New Roman" w:hAnsi="Times New Roman" w:cs="Times New Roman"/>
        </w:rPr>
        <w:tab/>
      </w:r>
      <w:r w:rsidR="007F3CC0" w:rsidRPr="00702882">
        <w:rPr>
          <w:rFonts w:ascii="Times New Roman" w:hAnsi="Times New Roman" w:cs="Times New Roman"/>
        </w:rPr>
        <w:t>122</w:t>
      </w:r>
    </w:p>
    <w:bookmarkStart w:id="5" w:name="TrendsofBudgetStabilizationFunds"/>
    <w:p w14:paraId="295D31AB" w14:textId="7F353E54" w:rsidR="00AF6702" w:rsidRPr="00702882" w:rsidRDefault="00AF6702" w:rsidP="00F7478A">
      <w:pPr>
        <w:pStyle w:val="a3"/>
        <w:numPr>
          <w:ilvl w:val="0"/>
          <w:numId w:val="31"/>
        </w:numPr>
        <w:tabs>
          <w:tab w:val="right" w:leader="middleDot" w:pos="10080"/>
        </w:tabs>
        <w:jc w:val="both"/>
        <w:rPr>
          <w:rFonts w:ascii="Times New Roman" w:hAnsi="Times New Roman" w:cs="Times New Roman"/>
        </w:rPr>
      </w:pPr>
      <w:r w:rsidRPr="00702882">
        <w:rPr>
          <w:rFonts w:ascii="Times New Roman" w:hAnsi="Times New Roman" w:cs="Times New Roman"/>
        </w:rPr>
        <w:fldChar w:fldCharType="begin"/>
      </w:r>
      <w:r w:rsidRPr="00702882">
        <w:rPr>
          <w:rFonts w:ascii="Times New Roman" w:hAnsi="Times New Roman" w:cs="Times New Roman"/>
        </w:rPr>
        <w:instrText>HYPERLINK  \l "TrendsofBudgetStabilizationFunds"</w:instrText>
      </w:r>
      <w:r w:rsidRPr="00702882">
        <w:rPr>
          <w:rFonts w:ascii="Times New Roman" w:hAnsi="Times New Roman" w:cs="Times New Roman"/>
        </w:rPr>
      </w:r>
      <w:r w:rsidRPr="00702882">
        <w:rPr>
          <w:rFonts w:ascii="Times New Roman" w:hAnsi="Times New Roman" w:cs="Times New Roman"/>
        </w:rPr>
        <w:fldChar w:fldCharType="separate"/>
      </w:r>
      <w:r w:rsidRPr="00702882">
        <w:rPr>
          <w:rStyle w:val="aa"/>
          <w:rFonts w:ascii="Times New Roman" w:hAnsi="Times New Roman" w:cs="Times New Roman"/>
          <w:color w:val="auto"/>
          <w:u w:val="none"/>
        </w:rPr>
        <w:t>Trends of Budget Stabilization Funds’ Levels</w:t>
      </w:r>
      <w:bookmarkEnd w:id="5"/>
      <w:r w:rsidRPr="00702882">
        <w:rPr>
          <w:rFonts w:ascii="Times New Roman" w:hAnsi="Times New Roman" w:cs="Times New Roman"/>
        </w:rPr>
        <w:fldChar w:fldCharType="end"/>
      </w:r>
      <w:r w:rsidR="00F7478A" w:rsidRPr="00702882">
        <w:rPr>
          <w:rFonts w:ascii="Times New Roman" w:hAnsi="Times New Roman" w:cs="Times New Roman"/>
        </w:rPr>
        <w:t>: Arizona, Connecticut, Indiana, Michigan, and Virginia</w:t>
      </w:r>
      <w:r w:rsidRPr="00702882">
        <w:rPr>
          <w:rFonts w:ascii="Times New Roman" w:hAnsi="Times New Roman" w:cs="Times New Roman"/>
        </w:rPr>
        <w:tab/>
        <w:t>1</w:t>
      </w:r>
      <w:r w:rsidR="007F3CC0" w:rsidRPr="00702882">
        <w:rPr>
          <w:rFonts w:ascii="Times New Roman" w:hAnsi="Times New Roman" w:cs="Times New Roman"/>
        </w:rPr>
        <w:t>29</w:t>
      </w:r>
    </w:p>
    <w:p w14:paraId="40050CB7" w14:textId="77777777" w:rsidR="00F7478A" w:rsidRPr="00702882" w:rsidRDefault="00F7478A" w:rsidP="00F7478A">
      <w:pPr>
        <w:pStyle w:val="a3"/>
        <w:tabs>
          <w:tab w:val="right" w:leader="middleDot" w:pos="10080"/>
        </w:tabs>
        <w:ind w:left="360"/>
        <w:jc w:val="both"/>
        <w:rPr>
          <w:rFonts w:ascii="Times New Roman" w:hAnsi="Times New Roman" w:cs="Times New Roman"/>
        </w:rPr>
      </w:pPr>
    </w:p>
    <w:p w14:paraId="77473713" w14:textId="7A5FAB9E" w:rsidR="00AF6702" w:rsidRPr="00702882" w:rsidRDefault="00000000" w:rsidP="00441C21">
      <w:pPr>
        <w:pStyle w:val="a3"/>
        <w:numPr>
          <w:ilvl w:val="0"/>
          <w:numId w:val="31"/>
        </w:numPr>
        <w:tabs>
          <w:tab w:val="right" w:leader="middleDot" w:pos="10080"/>
        </w:tabs>
        <w:spacing w:line="480" w:lineRule="auto"/>
        <w:jc w:val="both"/>
        <w:rPr>
          <w:rFonts w:ascii="Times New Roman" w:hAnsi="Times New Roman" w:cs="Times New Roman"/>
        </w:rPr>
      </w:pPr>
      <w:hyperlink w:anchor="TrendsofBudgetStabilization" w:history="1">
        <w:r w:rsidR="00AF6702" w:rsidRPr="00702882">
          <w:rPr>
            <w:rStyle w:val="aa"/>
            <w:rFonts w:ascii="Times New Roman" w:hAnsi="Times New Roman" w:cs="Times New Roman"/>
            <w:color w:val="auto"/>
            <w:u w:val="none"/>
          </w:rPr>
          <w:t>Trends of Budget Stabilization Funds’</w:t>
        </w:r>
      </w:hyperlink>
      <w:r w:rsidR="00AF6702" w:rsidRPr="00702882">
        <w:rPr>
          <w:rFonts w:ascii="Times New Roman" w:hAnsi="Times New Roman" w:cs="Times New Roman"/>
        </w:rPr>
        <w:t xml:space="preserve"> Levels</w:t>
      </w:r>
      <w:r w:rsidR="00281E60" w:rsidRPr="00702882">
        <w:rPr>
          <w:rFonts w:ascii="Times New Roman" w:hAnsi="Times New Roman" w:cs="Times New Roman"/>
        </w:rPr>
        <w:t>: Nebraska and New Hampshire</w:t>
      </w:r>
      <w:r w:rsidR="00AF6702" w:rsidRPr="00702882">
        <w:rPr>
          <w:rFonts w:ascii="Times New Roman" w:hAnsi="Times New Roman" w:cs="Times New Roman"/>
        </w:rPr>
        <w:tab/>
        <w:t>1</w:t>
      </w:r>
      <w:r w:rsidR="007F3CC0" w:rsidRPr="00702882">
        <w:rPr>
          <w:rFonts w:ascii="Times New Roman" w:hAnsi="Times New Roman" w:cs="Times New Roman"/>
        </w:rPr>
        <w:t>39</w:t>
      </w:r>
    </w:p>
    <w:p w14:paraId="0218B876" w14:textId="0C3B9615" w:rsidR="00AF6702" w:rsidRPr="00702882" w:rsidRDefault="00000000" w:rsidP="00441C21">
      <w:pPr>
        <w:pStyle w:val="a3"/>
        <w:numPr>
          <w:ilvl w:val="0"/>
          <w:numId w:val="31"/>
        </w:numPr>
        <w:tabs>
          <w:tab w:val="right" w:leader="middleDot" w:pos="10080"/>
        </w:tabs>
        <w:spacing w:line="480" w:lineRule="auto"/>
        <w:jc w:val="both"/>
        <w:rPr>
          <w:rFonts w:ascii="Times New Roman" w:hAnsi="Times New Roman" w:cs="Times New Roman"/>
        </w:rPr>
      </w:pPr>
      <w:hyperlink w:anchor="TrendsofBudgetStabiliza" w:history="1">
        <w:r w:rsidR="00AF6702" w:rsidRPr="00702882">
          <w:rPr>
            <w:rStyle w:val="aa"/>
            <w:rFonts w:ascii="Times New Roman" w:hAnsi="Times New Roman" w:cs="Times New Roman"/>
            <w:color w:val="auto"/>
            <w:u w:val="none"/>
          </w:rPr>
          <w:t>Trends of Budget Stabiliza</w:t>
        </w:r>
      </w:hyperlink>
      <w:r w:rsidR="00AF6702" w:rsidRPr="00702882">
        <w:rPr>
          <w:rFonts w:ascii="Times New Roman" w:hAnsi="Times New Roman" w:cs="Times New Roman"/>
        </w:rPr>
        <w:t>tion Funds’ Levels</w:t>
      </w:r>
      <w:bookmarkStart w:id="6" w:name="TrendsofBudgetStabiliza"/>
      <w:bookmarkEnd w:id="6"/>
      <w:r w:rsidR="00CA2A5E" w:rsidRPr="00702882">
        <w:rPr>
          <w:rFonts w:ascii="Times New Roman" w:hAnsi="Times New Roman" w:cs="Times New Roman"/>
        </w:rPr>
        <w:t>: Hawaii, Louisiana, and Texas</w:t>
      </w:r>
      <w:r w:rsidR="00AF6702" w:rsidRPr="00702882">
        <w:rPr>
          <w:rFonts w:ascii="Times New Roman" w:hAnsi="Times New Roman" w:cs="Times New Roman"/>
        </w:rPr>
        <w:tab/>
        <w:t>1</w:t>
      </w:r>
      <w:r w:rsidR="007F3CC0" w:rsidRPr="00702882">
        <w:rPr>
          <w:rFonts w:ascii="Times New Roman" w:hAnsi="Times New Roman" w:cs="Times New Roman"/>
        </w:rPr>
        <w:t>48</w:t>
      </w:r>
    </w:p>
    <w:p w14:paraId="0969315B" w14:textId="249ACAB2" w:rsidR="00AF6702" w:rsidRPr="00702882" w:rsidRDefault="00000000" w:rsidP="00CA2A5E">
      <w:pPr>
        <w:pStyle w:val="a3"/>
        <w:numPr>
          <w:ilvl w:val="0"/>
          <w:numId w:val="31"/>
        </w:numPr>
        <w:tabs>
          <w:tab w:val="right" w:leader="middleDot" w:pos="10080"/>
        </w:tabs>
        <w:jc w:val="both"/>
        <w:rPr>
          <w:rFonts w:ascii="Times New Roman" w:hAnsi="Times New Roman" w:cs="Times New Roman"/>
        </w:rPr>
      </w:pPr>
      <w:hyperlink w:anchor="TrendsofBudgetStabiliza" w:history="1">
        <w:r w:rsidR="00AF6702" w:rsidRPr="00702882">
          <w:rPr>
            <w:rStyle w:val="aa"/>
            <w:rFonts w:ascii="Times New Roman" w:hAnsi="Times New Roman" w:cs="Times New Roman"/>
            <w:color w:val="auto"/>
            <w:u w:val="none"/>
          </w:rPr>
          <w:t>Trends of Budget Stabiliza</w:t>
        </w:r>
      </w:hyperlink>
      <w:r w:rsidR="00AF6702" w:rsidRPr="00702882">
        <w:rPr>
          <w:rFonts w:ascii="Times New Roman" w:hAnsi="Times New Roman" w:cs="Times New Roman"/>
        </w:rPr>
        <w:t>tion Funds’ Levels</w:t>
      </w:r>
      <w:r w:rsidR="00CA2A5E" w:rsidRPr="00702882">
        <w:rPr>
          <w:rFonts w:ascii="Times New Roman" w:hAnsi="Times New Roman" w:cs="Times New Roman"/>
        </w:rPr>
        <w:t>: Illinois, Mississippi, Missouri, and Rhode Island</w:t>
      </w:r>
      <w:r w:rsidR="00AF6702" w:rsidRPr="00702882">
        <w:rPr>
          <w:rFonts w:ascii="Times New Roman" w:hAnsi="Times New Roman" w:cs="Times New Roman"/>
        </w:rPr>
        <w:tab/>
        <w:t>1</w:t>
      </w:r>
      <w:r w:rsidR="007F3CC0" w:rsidRPr="00702882">
        <w:rPr>
          <w:rFonts w:ascii="Times New Roman" w:hAnsi="Times New Roman" w:cs="Times New Roman"/>
        </w:rPr>
        <w:t>59</w:t>
      </w:r>
    </w:p>
    <w:p w14:paraId="2397232A" w14:textId="77777777" w:rsidR="00AF6702" w:rsidRPr="00702882" w:rsidRDefault="00AF6702" w:rsidP="00441C21">
      <w:pPr>
        <w:tabs>
          <w:tab w:val="right" w:leader="middleDot" w:pos="10080"/>
        </w:tabs>
        <w:spacing w:line="480" w:lineRule="auto"/>
        <w:jc w:val="both"/>
        <w:rPr>
          <w:rFonts w:eastAsiaTheme="minorEastAsia"/>
          <w:color w:val="7030A0"/>
        </w:rPr>
      </w:pPr>
    </w:p>
    <w:p w14:paraId="782CC814" w14:textId="77777777" w:rsidR="00AF6702" w:rsidRPr="00702882" w:rsidRDefault="00AF6702" w:rsidP="00441C21">
      <w:pPr>
        <w:spacing w:line="480" w:lineRule="auto"/>
        <w:rPr>
          <w:rFonts w:eastAsiaTheme="minorEastAsia"/>
          <w:b/>
          <w:bCs/>
          <w:color w:val="7030A0"/>
        </w:rPr>
      </w:pPr>
    </w:p>
    <w:p w14:paraId="6904A34F" w14:textId="77777777" w:rsidR="00AF6702" w:rsidRPr="00702882" w:rsidRDefault="00AF6702" w:rsidP="009B6A15">
      <w:pPr>
        <w:rPr>
          <w:rFonts w:eastAsiaTheme="minorEastAsia"/>
          <w:b/>
          <w:bCs/>
          <w:color w:val="7030A0"/>
        </w:rPr>
      </w:pPr>
    </w:p>
    <w:p w14:paraId="684F7929" w14:textId="77777777" w:rsidR="0028197F" w:rsidRPr="00702882" w:rsidRDefault="0028197F" w:rsidP="009B6A15">
      <w:pPr>
        <w:rPr>
          <w:rFonts w:eastAsiaTheme="minorEastAsia"/>
          <w:b/>
          <w:bCs/>
          <w:color w:val="7030A0"/>
        </w:rPr>
      </w:pPr>
    </w:p>
    <w:p w14:paraId="20721773" w14:textId="77777777" w:rsidR="0028197F" w:rsidRPr="00702882" w:rsidRDefault="0028197F" w:rsidP="009B6A15">
      <w:pPr>
        <w:rPr>
          <w:rFonts w:eastAsiaTheme="minorEastAsia"/>
          <w:b/>
          <w:bCs/>
          <w:color w:val="7030A0"/>
        </w:rPr>
      </w:pPr>
    </w:p>
    <w:p w14:paraId="12303DEB" w14:textId="77777777" w:rsidR="0028197F" w:rsidRPr="00702882" w:rsidRDefault="0028197F" w:rsidP="009B6A15">
      <w:pPr>
        <w:rPr>
          <w:rFonts w:eastAsiaTheme="minorEastAsia"/>
          <w:b/>
          <w:bCs/>
          <w:color w:val="7030A0"/>
        </w:rPr>
      </w:pPr>
    </w:p>
    <w:p w14:paraId="550E81F2" w14:textId="77777777" w:rsidR="00441C21" w:rsidRPr="00702882" w:rsidRDefault="00441C21" w:rsidP="009B6A15">
      <w:pPr>
        <w:rPr>
          <w:rFonts w:eastAsiaTheme="minorEastAsia"/>
          <w:b/>
          <w:bCs/>
          <w:color w:val="7030A0"/>
        </w:rPr>
      </w:pPr>
    </w:p>
    <w:p w14:paraId="1F815ACE" w14:textId="77777777" w:rsidR="00BA469E" w:rsidRPr="00702882" w:rsidRDefault="00BA469E" w:rsidP="009B6A15">
      <w:pPr>
        <w:rPr>
          <w:rFonts w:eastAsiaTheme="minorEastAsia"/>
          <w:b/>
          <w:bCs/>
          <w:color w:val="7030A0"/>
        </w:rPr>
      </w:pPr>
    </w:p>
    <w:p w14:paraId="5571ED86" w14:textId="77777777" w:rsidR="00BA469E" w:rsidRPr="00702882" w:rsidRDefault="00BA469E" w:rsidP="009B6A15">
      <w:pPr>
        <w:rPr>
          <w:rFonts w:eastAsiaTheme="minorEastAsia"/>
          <w:b/>
          <w:bCs/>
          <w:color w:val="7030A0"/>
        </w:rPr>
      </w:pPr>
    </w:p>
    <w:p w14:paraId="03CC5462" w14:textId="77777777" w:rsidR="0028197F" w:rsidRPr="00702882" w:rsidRDefault="0028197F" w:rsidP="009B6A15">
      <w:pPr>
        <w:rPr>
          <w:rFonts w:eastAsiaTheme="minorEastAsia"/>
          <w:b/>
          <w:bCs/>
          <w:color w:val="7030A0"/>
        </w:rPr>
      </w:pPr>
    </w:p>
    <w:p w14:paraId="09FACD27" w14:textId="77777777" w:rsidR="0028197F" w:rsidRPr="00702882" w:rsidRDefault="0028197F" w:rsidP="009B6A15">
      <w:pPr>
        <w:rPr>
          <w:rFonts w:eastAsiaTheme="minorEastAsia"/>
          <w:b/>
          <w:bCs/>
          <w:color w:val="7030A0"/>
        </w:rPr>
      </w:pPr>
    </w:p>
    <w:p w14:paraId="1F26E982" w14:textId="4380C62F" w:rsidR="006F6815" w:rsidRPr="00702882" w:rsidRDefault="00B15EBE" w:rsidP="006E09F2">
      <w:pPr>
        <w:tabs>
          <w:tab w:val="left" w:pos="3261"/>
        </w:tabs>
        <w:spacing w:line="480" w:lineRule="auto"/>
        <w:jc w:val="center"/>
        <w:rPr>
          <w:rFonts w:eastAsiaTheme="minorEastAsia"/>
          <w:b/>
          <w:bCs/>
        </w:rPr>
      </w:pPr>
      <w:r w:rsidRPr="00702882">
        <w:rPr>
          <w:rFonts w:eastAsiaTheme="minorEastAsia"/>
          <w:b/>
          <w:bCs/>
        </w:rPr>
        <w:lastRenderedPageBreak/>
        <w:t xml:space="preserve">LIST OF ABBREVIATIONS </w:t>
      </w:r>
    </w:p>
    <w:p w14:paraId="30FB7326" w14:textId="77777777" w:rsidR="001625FB" w:rsidRPr="00702882" w:rsidRDefault="001625FB" w:rsidP="006E09F2">
      <w:pPr>
        <w:tabs>
          <w:tab w:val="left" w:pos="3261"/>
        </w:tabs>
        <w:spacing w:line="480" w:lineRule="auto"/>
        <w:jc w:val="center"/>
        <w:rPr>
          <w:rFonts w:eastAsiaTheme="minorEastAsia"/>
          <w:b/>
          <w:bCs/>
        </w:rPr>
      </w:pPr>
    </w:p>
    <w:tbl>
      <w:tblPr>
        <w:tblStyle w:val="a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5669"/>
      </w:tblGrid>
      <w:tr w:rsidR="006E09F2" w:rsidRPr="00702882" w14:paraId="77DC7D34" w14:textId="77777777" w:rsidTr="001625FB">
        <w:trPr>
          <w:jc w:val="center"/>
        </w:trPr>
        <w:tc>
          <w:tcPr>
            <w:tcW w:w="1413" w:type="dxa"/>
          </w:tcPr>
          <w:p w14:paraId="2AC6C6F8" w14:textId="66F97CE5" w:rsidR="00055EF7" w:rsidRPr="00702882" w:rsidRDefault="00055EF7" w:rsidP="006E09F2">
            <w:pPr>
              <w:tabs>
                <w:tab w:val="left" w:pos="3261"/>
              </w:tabs>
              <w:spacing w:line="480" w:lineRule="auto"/>
              <w:rPr>
                <w:rFonts w:eastAsiaTheme="minorEastAsia"/>
              </w:rPr>
            </w:pPr>
            <w:r w:rsidRPr="00702882">
              <w:rPr>
                <w:rFonts w:eastAsiaTheme="minorEastAsia"/>
              </w:rPr>
              <w:t>ACFR</w:t>
            </w:r>
          </w:p>
        </w:tc>
        <w:tc>
          <w:tcPr>
            <w:tcW w:w="5669" w:type="dxa"/>
          </w:tcPr>
          <w:p w14:paraId="26CBE9FE" w14:textId="5C2F986A" w:rsidR="00055EF7" w:rsidRPr="00702882" w:rsidRDefault="00055EF7" w:rsidP="006E09F2">
            <w:pPr>
              <w:tabs>
                <w:tab w:val="left" w:pos="3261"/>
              </w:tabs>
              <w:spacing w:line="480" w:lineRule="auto"/>
              <w:rPr>
                <w:rFonts w:eastAsiaTheme="minorEastAsia"/>
              </w:rPr>
            </w:pPr>
            <w:r w:rsidRPr="00702882">
              <w:rPr>
                <w:rFonts w:eastAsiaTheme="minorEastAsia"/>
              </w:rPr>
              <w:t>Annual Comprehensive Financial Reports</w:t>
            </w:r>
          </w:p>
        </w:tc>
      </w:tr>
      <w:tr w:rsidR="006E09F2" w:rsidRPr="00702882" w14:paraId="65749A20" w14:textId="77777777" w:rsidTr="001625FB">
        <w:trPr>
          <w:jc w:val="center"/>
        </w:trPr>
        <w:tc>
          <w:tcPr>
            <w:tcW w:w="1413" w:type="dxa"/>
          </w:tcPr>
          <w:p w14:paraId="04234C72" w14:textId="45137D39" w:rsidR="00230B24" w:rsidRPr="00702882" w:rsidRDefault="00230B24" w:rsidP="006E09F2">
            <w:pPr>
              <w:tabs>
                <w:tab w:val="left" w:pos="3261"/>
              </w:tabs>
              <w:spacing w:line="480" w:lineRule="auto"/>
              <w:rPr>
                <w:rFonts w:eastAsiaTheme="minorEastAsia"/>
              </w:rPr>
            </w:pPr>
            <w:r w:rsidRPr="00702882">
              <w:rPr>
                <w:rFonts w:eastAsiaTheme="minorEastAsia"/>
              </w:rPr>
              <w:t>BBR</w:t>
            </w:r>
          </w:p>
        </w:tc>
        <w:tc>
          <w:tcPr>
            <w:tcW w:w="5669" w:type="dxa"/>
          </w:tcPr>
          <w:p w14:paraId="593871DA" w14:textId="7DD9A234" w:rsidR="00230B24" w:rsidRPr="00702882" w:rsidRDefault="00230B24" w:rsidP="006E09F2">
            <w:pPr>
              <w:tabs>
                <w:tab w:val="left" w:pos="3261"/>
              </w:tabs>
              <w:spacing w:line="480" w:lineRule="auto"/>
              <w:rPr>
                <w:rFonts w:eastAsiaTheme="minorEastAsia"/>
              </w:rPr>
            </w:pPr>
            <w:r w:rsidRPr="00702882">
              <w:rPr>
                <w:rFonts w:eastAsiaTheme="minorEastAsia"/>
              </w:rPr>
              <w:t>B</w:t>
            </w:r>
            <w:r w:rsidRPr="00702882">
              <w:t xml:space="preserve">udget </w:t>
            </w:r>
            <w:r w:rsidRPr="00702882">
              <w:rPr>
                <w:rFonts w:eastAsiaTheme="minorEastAsia"/>
              </w:rPr>
              <w:t>B</w:t>
            </w:r>
            <w:r w:rsidRPr="00702882">
              <w:t xml:space="preserve">alancing </w:t>
            </w:r>
            <w:r w:rsidRPr="00702882">
              <w:rPr>
                <w:rFonts w:eastAsiaTheme="minorEastAsia"/>
              </w:rPr>
              <w:t>R</w:t>
            </w:r>
            <w:r w:rsidRPr="00702882">
              <w:t>equirements</w:t>
            </w:r>
          </w:p>
        </w:tc>
      </w:tr>
      <w:tr w:rsidR="006E09F2" w:rsidRPr="00702882" w14:paraId="11ACC9FF" w14:textId="77777777" w:rsidTr="001625FB">
        <w:trPr>
          <w:jc w:val="center"/>
        </w:trPr>
        <w:tc>
          <w:tcPr>
            <w:tcW w:w="1413" w:type="dxa"/>
          </w:tcPr>
          <w:p w14:paraId="04985470" w14:textId="44EA0062" w:rsidR="006F6815" w:rsidRPr="00702882" w:rsidRDefault="006F6815" w:rsidP="006E09F2">
            <w:pPr>
              <w:tabs>
                <w:tab w:val="left" w:pos="3261"/>
              </w:tabs>
              <w:spacing w:line="480" w:lineRule="auto"/>
              <w:rPr>
                <w:rFonts w:eastAsiaTheme="minorEastAsia"/>
              </w:rPr>
            </w:pPr>
            <w:r w:rsidRPr="00702882">
              <w:rPr>
                <w:rFonts w:eastAsiaTheme="minorEastAsia"/>
              </w:rPr>
              <w:t>BSF</w:t>
            </w:r>
          </w:p>
        </w:tc>
        <w:tc>
          <w:tcPr>
            <w:tcW w:w="5669" w:type="dxa"/>
          </w:tcPr>
          <w:p w14:paraId="62EBF898" w14:textId="5A9F565F" w:rsidR="006F6815" w:rsidRPr="00702882" w:rsidRDefault="006F6815" w:rsidP="006E09F2">
            <w:pPr>
              <w:tabs>
                <w:tab w:val="left" w:pos="3261"/>
              </w:tabs>
              <w:spacing w:line="480" w:lineRule="auto"/>
              <w:rPr>
                <w:rFonts w:eastAsiaTheme="minorEastAsia"/>
              </w:rPr>
            </w:pPr>
            <w:r w:rsidRPr="00702882">
              <w:rPr>
                <w:rFonts w:eastAsiaTheme="minorEastAsia"/>
              </w:rPr>
              <w:t>Budget Stabilization Fund</w:t>
            </w:r>
          </w:p>
        </w:tc>
      </w:tr>
      <w:tr w:rsidR="006E09F2" w:rsidRPr="00702882" w14:paraId="631A0CF7" w14:textId="77777777" w:rsidTr="001625FB">
        <w:trPr>
          <w:jc w:val="center"/>
        </w:trPr>
        <w:tc>
          <w:tcPr>
            <w:tcW w:w="1413" w:type="dxa"/>
          </w:tcPr>
          <w:p w14:paraId="1B6DA39B" w14:textId="51FB2281" w:rsidR="00D432C5" w:rsidRPr="00702882" w:rsidRDefault="00D432C5" w:rsidP="006E09F2">
            <w:pPr>
              <w:tabs>
                <w:tab w:val="left" w:pos="3261"/>
              </w:tabs>
              <w:spacing w:line="480" w:lineRule="auto"/>
              <w:rPr>
                <w:rFonts w:eastAsiaTheme="minorEastAsia"/>
              </w:rPr>
            </w:pPr>
            <w:r w:rsidRPr="00702882">
              <w:t>CBPP</w:t>
            </w:r>
          </w:p>
        </w:tc>
        <w:tc>
          <w:tcPr>
            <w:tcW w:w="5669" w:type="dxa"/>
          </w:tcPr>
          <w:p w14:paraId="582A1FFD" w14:textId="55E51FA0" w:rsidR="00D432C5" w:rsidRPr="00702882" w:rsidRDefault="00D432C5" w:rsidP="006E09F2">
            <w:pPr>
              <w:tabs>
                <w:tab w:val="left" w:pos="3261"/>
              </w:tabs>
              <w:spacing w:line="480" w:lineRule="auto"/>
              <w:rPr>
                <w:rFonts w:eastAsiaTheme="minorEastAsia"/>
              </w:rPr>
            </w:pPr>
            <w:r w:rsidRPr="00702882">
              <w:t>Center on Budget and Policy Priorities</w:t>
            </w:r>
          </w:p>
        </w:tc>
      </w:tr>
      <w:tr w:rsidR="006E09F2" w:rsidRPr="00702882" w14:paraId="0ED6A059" w14:textId="77777777" w:rsidTr="001625FB">
        <w:trPr>
          <w:jc w:val="center"/>
        </w:trPr>
        <w:tc>
          <w:tcPr>
            <w:tcW w:w="1413" w:type="dxa"/>
          </w:tcPr>
          <w:p w14:paraId="449D1AF3" w14:textId="18CA567D" w:rsidR="00954E8E" w:rsidRPr="00702882" w:rsidRDefault="00954E8E" w:rsidP="006E09F2">
            <w:pPr>
              <w:tabs>
                <w:tab w:val="left" w:pos="3261"/>
              </w:tabs>
              <w:spacing w:line="480" w:lineRule="auto"/>
              <w:rPr>
                <w:rFonts w:eastAsiaTheme="minorEastAsia"/>
              </w:rPr>
            </w:pPr>
            <w:r w:rsidRPr="00702882">
              <w:rPr>
                <w:rFonts w:eastAsiaTheme="minorEastAsia"/>
              </w:rPr>
              <w:t>CCFC</w:t>
            </w:r>
          </w:p>
        </w:tc>
        <w:tc>
          <w:tcPr>
            <w:tcW w:w="5669" w:type="dxa"/>
          </w:tcPr>
          <w:p w14:paraId="5A1FBE5B" w14:textId="7547E027" w:rsidR="00954E8E" w:rsidRPr="00702882" w:rsidRDefault="00335D5E" w:rsidP="006E09F2">
            <w:pPr>
              <w:tabs>
                <w:tab w:val="left" w:pos="3261"/>
              </w:tabs>
              <w:spacing w:line="480" w:lineRule="auto"/>
              <w:rPr>
                <w:rFonts w:eastAsiaTheme="minorEastAsia"/>
              </w:rPr>
            </w:pPr>
            <w:r w:rsidRPr="00702882">
              <w:rPr>
                <w:rFonts w:eastAsiaTheme="minorEastAsia"/>
              </w:rPr>
              <w:t>Countercyclical Fiscal Capacity</w:t>
            </w:r>
          </w:p>
        </w:tc>
      </w:tr>
      <w:tr w:rsidR="006E09F2" w:rsidRPr="00702882" w14:paraId="229E3B59" w14:textId="77777777" w:rsidTr="001625FB">
        <w:trPr>
          <w:jc w:val="center"/>
        </w:trPr>
        <w:tc>
          <w:tcPr>
            <w:tcW w:w="1413" w:type="dxa"/>
          </w:tcPr>
          <w:p w14:paraId="15AEB591" w14:textId="5F6145D0" w:rsidR="00954E8E" w:rsidRPr="00702882" w:rsidRDefault="00954E8E" w:rsidP="006E09F2">
            <w:pPr>
              <w:tabs>
                <w:tab w:val="left" w:pos="3261"/>
              </w:tabs>
              <w:spacing w:line="480" w:lineRule="auto"/>
              <w:rPr>
                <w:rFonts w:eastAsiaTheme="minorEastAsia"/>
              </w:rPr>
            </w:pPr>
            <w:r w:rsidRPr="00702882">
              <w:rPr>
                <w:rFonts w:eastAsiaTheme="minorEastAsia"/>
              </w:rPr>
              <w:t>EEC</w:t>
            </w:r>
          </w:p>
        </w:tc>
        <w:tc>
          <w:tcPr>
            <w:tcW w:w="5669" w:type="dxa"/>
          </w:tcPr>
          <w:p w14:paraId="6A78428E" w14:textId="2B577F2E" w:rsidR="00954E8E" w:rsidRPr="00702882" w:rsidRDefault="00954E8E" w:rsidP="006E09F2">
            <w:pPr>
              <w:tabs>
                <w:tab w:val="left" w:pos="3261"/>
              </w:tabs>
              <w:spacing w:line="480" w:lineRule="auto"/>
            </w:pPr>
            <w:r w:rsidRPr="00702882">
              <w:t>Economic Estimates Commission</w:t>
            </w:r>
          </w:p>
        </w:tc>
      </w:tr>
      <w:tr w:rsidR="006E09F2" w:rsidRPr="00702882" w14:paraId="43DC5EB8" w14:textId="77777777" w:rsidTr="001625FB">
        <w:trPr>
          <w:jc w:val="center"/>
        </w:trPr>
        <w:tc>
          <w:tcPr>
            <w:tcW w:w="1413" w:type="dxa"/>
          </w:tcPr>
          <w:p w14:paraId="2CCDE8E5" w14:textId="06E5260A" w:rsidR="006F6815" w:rsidRPr="00702882" w:rsidRDefault="006F6815" w:rsidP="006E09F2">
            <w:pPr>
              <w:tabs>
                <w:tab w:val="left" w:pos="3261"/>
              </w:tabs>
              <w:spacing w:line="480" w:lineRule="auto"/>
              <w:rPr>
                <w:rFonts w:eastAsiaTheme="minorEastAsia"/>
              </w:rPr>
            </w:pPr>
            <w:r w:rsidRPr="00702882">
              <w:rPr>
                <w:rFonts w:eastAsiaTheme="minorEastAsia"/>
              </w:rPr>
              <w:t>GFB</w:t>
            </w:r>
          </w:p>
        </w:tc>
        <w:tc>
          <w:tcPr>
            <w:tcW w:w="5669" w:type="dxa"/>
          </w:tcPr>
          <w:p w14:paraId="726C67F0" w14:textId="053D94D3" w:rsidR="006F6815" w:rsidRPr="00702882" w:rsidRDefault="00490D74" w:rsidP="006E09F2">
            <w:pPr>
              <w:tabs>
                <w:tab w:val="left" w:pos="3261"/>
              </w:tabs>
              <w:spacing w:line="480" w:lineRule="auto"/>
              <w:rPr>
                <w:rFonts w:eastAsiaTheme="minorEastAsia"/>
              </w:rPr>
            </w:pPr>
            <w:r w:rsidRPr="00702882">
              <w:rPr>
                <w:rFonts w:eastAsiaTheme="minorEastAsia"/>
              </w:rPr>
              <w:t xml:space="preserve">Unassigned </w:t>
            </w:r>
            <w:r w:rsidR="006F6815" w:rsidRPr="00702882">
              <w:rPr>
                <w:rFonts w:eastAsiaTheme="minorEastAsia"/>
              </w:rPr>
              <w:t xml:space="preserve">General Fund </w:t>
            </w:r>
            <w:r w:rsidRPr="00702882">
              <w:rPr>
                <w:rFonts w:eastAsiaTheme="minorEastAsia"/>
              </w:rPr>
              <w:t xml:space="preserve">Ending </w:t>
            </w:r>
            <w:r w:rsidR="006F6815" w:rsidRPr="00702882">
              <w:rPr>
                <w:rFonts w:eastAsiaTheme="minorEastAsia"/>
              </w:rPr>
              <w:t>Balance</w:t>
            </w:r>
          </w:p>
        </w:tc>
      </w:tr>
      <w:tr w:rsidR="006E09F2" w:rsidRPr="00702882" w14:paraId="32AA42AA" w14:textId="77777777" w:rsidTr="001625FB">
        <w:trPr>
          <w:jc w:val="center"/>
        </w:trPr>
        <w:tc>
          <w:tcPr>
            <w:tcW w:w="1413" w:type="dxa"/>
          </w:tcPr>
          <w:p w14:paraId="532C0567" w14:textId="32A01526" w:rsidR="006F6815" w:rsidRPr="00702882" w:rsidRDefault="00DF3894" w:rsidP="006E09F2">
            <w:pPr>
              <w:tabs>
                <w:tab w:val="left" w:pos="3261"/>
              </w:tabs>
              <w:spacing w:line="480" w:lineRule="auto"/>
              <w:rPr>
                <w:rFonts w:eastAsiaTheme="minorEastAsia"/>
              </w:rPr>
            </w:pPr>
            <w:r w:rsidRPr="00702882">
              <w:rPr>
                <w:rFonts w:eastAsiaTheme="minorEastAsia"/>
              </w:rPr>
              <w:t>GSCM</w:t>
            </w:r>
          </w:p>
        </w:tc>
        <w:tc>
          <w:tcPr>
            <w:tcW w:w="5669" w:type="dxa"/>
          </w:tcPr>
          <w:p w14:paraId="5AD82FAF" w14:textId="500C5815" w:rsidR="006F6815" w:rsidRPr="00702882" w:rsidRDefault="00DF3894" w:rsidP="006E09F2">
            <w:pPr>
              <w:tabs>
                <w:tab w:val="left" w:pos="3261"/>
              </w:tabs>
              <w:spacing w:line="480" w:lineRule="auto"/>
              <w:rPr>
                <w:rFonts w:eastAsiaTheme="minorEastAsia"/>
              </w:rPr>
            </w:pPr>
            <w:r w:rsidRPr="00702882">
              <w:rPr>
                <w:rFonts w:eastAsiaTheme="minorEastAsia"/>
              </w:rPr>
              <w:t>Generalized Synthetic Control Method</w:t>
            </w:r>
          </w:p>
        </w:tc>
      </w:tr>
      <w:tr w:rsidR="006E09F2" w:rsidRPr="00702882" w14:paraId="7475B450" w14:textId="77777777" w:rsidTr="001625FB">
        <w:trPr>
          <w:jc w:val="center"/>
        </w:trPr>
        <w:tc>
          <w:tcPr>
            <w:tcW w:w="1413" w:type="dxa"/>
          </w:tcPr>
          <w:p w14:paraId="76435480" w14:textId="45BC2BFA" w:rsidR="00BF7E19" w:rsidRPr="00702882" w:rsidRDefault="00BF7E19" w:rsidP="006E09F2">
            <w:pPr>
              <w:tabs>
                <w:tab w:val="left" w:pos="3261"/>
              </w:tabs>
              <w:spacing w:line="480" w:lineRule="auto"/>
              <w:rPr>
                <w:rFonts w:eastAsiaTheme="minorEastAsia"/>
              </w:rPr>
            </w:pPr>
            <w:r w:rsidRPr="00702882">
              <w:rPr>
                <w:rFonts w:eastAsiaTheme="minorEastAsia"/>
              </w:rPr>
              <w:t>GSP</w:t>
            </w:r>
          </w:p>
        </w:tc>
        <w:tc>
          <w:tcPr>
            <w:tcW w:w="5669" w:type="dxa"/>
          </w:tcPr>
          <w:p w14:paraId="100D9765" w14:textId="48EED676" w:rsidR="00BF7E19" w:rsidRPr="00702882" w:rsidRDefault="00BF7E19" w:rsidP="006E09F2">
            <w:pPr>
              <w:tabs>
                <w:tab w:val="left" w:pos="3261"/>
              </w:tabs>
              <w:spacing w:line="480" w:lineRule="auto"/>
              <w:rPr>
                <w:rFonts w:eastAsiaTheme="minorEastAsia"/>
              </w:rPr>
            </w:pPr>
            <w:r w:rsidRPr="00702882">
              <w:rPr>
                <w:rFonts w:eastAsiaTheme="minorEastAsia"/>
              </w:rPr>
              <w:t>Gross State Product</w:t>
            </w:r>
          </w:p>
        </w:tc>
      </w:tr>
      <w:tr w:rsidR="006E09F2" w:rsidRPr="00702882" w14:paraId="05AFC733" w14:textId="77777777" w:rsidTr="001625FB">
        <w:trPr>
          <w:jc w:val="center"/>
        </w:trPr>
        <w:tc>
          <w:tcPr>
            <w:tcW w:w="1413" w:type="dxa"/>
          </w:tcPr>
          <w:p w14:paraId="47433F30" w14:textId="7B8F1A42" w:rsidR="00BF7E19" w:rsidRPr="00702882" w:rsidRDefault="00BF7E19" w:rsidP="006E09F2">
            <w:pPr>
              <w:tabs>
                <w:tab w:val="left" w:pos="3261"/>
              </w:tabs>
              <w:spacing w:line="480" w:lineRule="auto"/>
              <w:rPr>
                <w:rFonts w:eastAsiaTheme="minorEastAsia"/>
              </w:rPr>
            </w:pPr>
            <w:r w:rsidRPr="00702882">
              <w:rPr>
                <w:rFonts w:eastAsiaTheme="minorEastAsia"/>
              </w:rPr>
              <w:t>IGR</w:t>
            </w:r>
          </w:p>
        </w:tc>
        <w:tc>
          <w:tcPr>
            <w:tcW w:w="5669" w:type="dxa"/>
          </w:tcPr>
          <w:p w14:paraId="79DBF0BF" w14:textId="17183115" w:rsidR="00BF7E19" w:rsidRPr="00702882" w:rsidRDefault="00BF7E19" w:rsidP="006E09F2">
            <w:pPr>
              <w:tabs>
                <w:tab w:val="left" w:pos="3261"/>
              </w:tabs>
              <w:spacing w:line="480" w:lineRule="auto"/>
              <w:rPr>
                <w:rFonts w:eastAsiaTheme="minorEastAsia"/>
              </w:rPr>
            </w:pPr>
            <w:r w:rsidRPr="00702882">
              <w:rPr>
                <w:rFonts w:eastAsiaTheme="minorEastAsia"/>
              </w:rPr>
              <w:t>Intergovernmental Revenue</w:t>
            </w:r>
          </w:p>
        </w:tc>
      </w:tr>
      <w:tr w:rsidR="006E09F2" w:rsidRPr="00702882" w14:paraId="3E42E81D" w14:textId="77777777" w:rsidTr="001625FB">
        <w:trPr>
          <w:jc w:val="center"/>
        </w:trPr>
        <w:tc>
          <w:tcPr>
            <w:tcW w:w="1413" w:type="dxa"/>
          </w:tcPr>
          <w:p w14:paraId="48CC316C" w14:textId="15852197" w:rsidR="006F6815" w:rsidRPr="00702882" w:rsidRDefault="00D432C5" w:rsidP="006E09F2">
            <w:pPr>
              <w:tabs>
                <w:tab w:val="left" w:pos="3261"/>
              </w:tabs>
              <w:spacing w:line="480" w:lineRule="auto"/>
              <w:rPr>
                <w:rFonts w:eastAsiaTheme="minorEastAsia"/>
              </w:rPr>
            </w:pPr>
            <w:r w:rsidRPr="00702882">
              <w:t>NCSL</w:t>
            </w:r>
          </w:p>
        </w:tc>
        <w:tc>
          <w:tcPr>
            <w:tcW w:w="5669" w:type="dxa"/>
          </w:tcPr>
          <w:p w14:paraId="5C90E8E1" w14:textId="6B7552E6" w:rsidR="006F6815" w:rsidRPr="00702882" w:rsidRDefault="00D432C5" w:rsidP="006E09F2">
            <w:pPr>
              <w:tabs>
                <w:tab w:val="left" w:pos="3261"/>
              </w:tabs>
              <w:spacing w:line="480" w:lineRule="auto"/>
              <w:rPr>
                <w:rFonts w:eastAsiaTheme="minorEastAsia"/>
              </w:rPr>
            </w:pPr>
            <w:r w:rsidRPr="00702882">
              <w:t>National Conference of State Legislatures</w:t>
            </w:r>
          </w:p>
        </w:tc>
      </w:tr>
      <w:tr w:rsidR="006E09F2" w:rsidRPr="00702882" w14:paraId="0C47E2D5" w14:textId="77777777" w:rsidTr="001625FB">
        <w:trPr>
          <w:jc w:val="center"/>
        </w:trPr>
        <w:tc>
          <w:tcPr>
            <w:tcW w:w="1413" w:type="dxa"/>
          </w:tcPr>
          <w:p w14:paraId="27CF7B5A" w14:textId="5A87A018" w:rsidR="006F6815" w:rsidRPr="00702882" w:rsidRDefault="00DF3894" w:rsidP="006E09F2">
            <w:pPr>
              <w:tabs>
                <w:tab w:val="left" w:pos="3261"/>
              </w:tabs>
              <w:spacing w:line="480" w:lineRule="auto"/>
              <w:rPr>
                <w:rFonts w:eastAsiaTheme="minorEastAsia"/>
              </w:rPr>
            </w:pPr>
            <w:r w:rsidRPr="00702882">
              <w:rPr>
                <w:rFonts w:eastAsiaTheme="minorEastAsia"/>
              </w:rPr>
              <w:t>NIE</w:t>
            </w:r>
          </w:p>
        </w:tc>
        <w:tc>
          <w:tcPr>
            <w:tcW w:w="5669" w:type="dxa"/>
          </w:tcPr>
          <w:p w14:paraId="5DBBE4DD" w14:textId="5B4D4FC8" w:rsidR="006F6815" w:rsidRPr="00702882" w:rsidRDefault="00DF3894" w:rsidP="006E09F2">
            <w:pPr>
              <w:tabs>
                <w:tab w:val="left" w:pos="3261"/>
              </w:tabs>
              <w:spacing w:line="480" w:lineRule="auto"/>
              <w:rPr>
                <w:rFonts w:eastAsiaTheme="minorEastAsia"/>
              </w:rPr>
            </w:pPr>
            <w:r w:rsidRPr="00702882">
              <w:rPr>
                <w:rFonts w:eastAsiaTheme="minorEastAsia"/>
              </w:rPr>
              <w:t>New Institutional Economics</w:t>
            </w:r>
          </w:p>
        </w:tc>
      </w:tr>
      <w:tr w:rsidR="006E09F2" w:rsidRPr="00702882" w14:paraId="41BD1A3F" w14:textId="77777777" w:rsidTr="001625FB">
        <w:trPr>
          <w:jc w:val="center"/>
        </w:trPr>
        <w:tc>
          <w:tcPr>
            <w:tcW w:w="1413" w:type="dxa"/>
          </w:tcPr>
          <w:p w14:paraId="37009ADA" w14:textId="4575D965" w:rsidR="007E25DD" w:rsidRPr="00702882" w:rsidRDefault="007E25DD" w:rsidP="006E09F2">
            <w:pPr>
              <w:tabs>
                <w:tab w:val="left" w:pos="3261"/>
              </w:tabs>
              <w:spacing w:line="480" w:lineRule="auto"/>
              <w:rPr>
                <w:rFonts w:eastAsiaTheme="minorEastAsia"/>
              </w:rPr>
            </w:pPr>
            <w:r w:rsidRPr="00702882">
              <w:rPr>
                <w:rFonts w:eastAsiaTheme="minorEastAsia"/>
              </w:rPr>
              <w:t>NCEI</w:t>
            </w:r>
          </w:p>
        </w:tc>
        <w:tc>
          <w:tcPr>
            <w:tcW w:w="5669" w:type="dxa"/>
          </w:tcPr>
          <w:p w14:paraId="2D416B46" w14:textId="0EA4B71C" w:rsidR="007E25DD" w:rsidRPr="00702882" w:rsidRDefault="007E25DD" w:rsidP="006E09F2">
            <w:pPr>
              <w:tabs>
                <w:tab w:val="left" w:pos="3261"/>
              </w:tabs>
              <w:spacing w:line="480" w:lineRule="auto"/>
              <w:rPr>
                <w:rFonts w:eastAsiaTheme="minorEastAsia"/>
              </w:rPr>
            </w:pPr>
            <w:r w:rsidRPr="00702882">
              <w:t>National Centers for Environmental Information</w:t>
            </w:r>
          </w:p>
        </w:tc>
      </w:tr>
      <w:tr w:rsidR="006E09F2" w:rsidRPr="00702882" w14:paraId="3A79AD2F" w14:textId="77777777" w:rsidTr="001625FB">
        <w:trPr>
          <w:jc w:val="center"/>
        </w:trPr>
        <w:tc>
          <w:tcPr>
            <w:tcW w:w="1413" w:type="dxa"/>
          </w:tcPr>
          <w:p w14:paraId="2FF6AA0D" w14:textId="01E26D6C" w:rsidR="00C2600E" w:rsidRPr="00702882" w:rsidRDefault="00C2600E" w:rsidP="006E09F2">
            <w:pPr>
              <w:tabs>
                <w:tab w:val="left" w:pos="3261"/>
              </w:tabs>
              <w:spacing w:line="480" w:lineRule="auto"/>
              <w:rPr>
                <w:rFonts w:eastAsiaTheme="minorEastAsia"/>
              </w:rPr>
            </w:pPr>
            <w:r w:rsidRPr="00702882">
              <w:rPr>
                <w:rFonts w:eastAsiaTheme="minorEastAsia"/>
              </w:rPr>
              <w:t>PBC</w:t>
            </w:r>
          </w:p>
        </w:tc>
        <w:tc>
          <w:tcPr>
            <w:tcW w:w="5669" w:type="dxa"/>
          </w:tcPr>
          <w:p w14:paraId="24E68499" w14:textId="68F5C87A" w:rsidR="00C2600E" w:rsidRPr="00702882" w:rsidRDefault="00C2600E" w:rsidP="006E09F2">
            <w:pPr>
              <w:tabs>
                <w:tab w:val="left" w:pos="3261"/>
              </w:tabs>
              <w:spacing w:line="480" w:lineRule="auto"/>
              <w:rPr>
                <w:rFonts w:eastAsiaTheme="minorEastAsia"/>
              </w:rPr>
            </w:pPr>
            <w:r w:rsidRPr="00702882">
              <w:t>Political Budget Cycle</w:t>
            </w:r>
          </w:p>
        </w:tc>
      </w:tr>
      <w:tr w:rsidR="006E09F2" w:rsidRPr="00702882" w14:paraId="56AB27F0" w14:textId="77777777" w:rsidTr="001625FB">
        <w:trPr>
          <w:jc w:val="center"/>
        </w:trPr>
        <w:tc>
          <w:tcPr>
            <w:tcW w:w="1413" w:type="dxa"/>
          </w:tcPr>
          <w:p w14:paraId="242C37C5" w14:textId="75E0E629" w:rsidR="009300B1" w:rsidRPr="00702882" w:rsidRDefault="009300B1" w:rsidP="006E09F2">
            <w:pPr>
              <w:tabs>
                <w:tab w:val="left" w:pos="3261"/>
              </w:tabs>
              <w:spacing w:line="480" w:lineRule="auto"/>
              <w:rPr>
                <w:rFonts w:eastAsiaTheme="minorEastAsia"/>
              </w:rPr>
            </w:pPr>
            <w:r w:rsidRPr="00702882">
              <w:rPr>
                <w:rFonts w:eastAsiaTheme="minorEastAsia"/>
              </w:rPr>
              <w:t>RSF</w:t>
            </w:r>
          </w:p>
        </w:tc>
        <w:tc>
          <w:tcPr>
            <w:tcW w:w="5669" w:type="dxa"/>
          </w:tcPr>
          <w:p w14:paraId="4F645203" w14:textId="7F27FCC6" w:rsidR="009300B1" w:rsidRPr="00702882" w:rsidRDefault="009300B1" w:rsidP="006E09F2">
            <w:pPr>
              <w:tabs>
                <w:tab w:val="left" w:pos="3261"/>
              </w:tabs>
              <w:spacing w:line="480" w:lineRule="auto"/>
              <w:rPr>
                <w:rFonts w:eastAsiaTheme="minorEastAsia"/>
              </w:rPr>
            </w:pPr>
            <w:r w:rsidRPr="00702882">
              <w:t>Revenue Stabilization Fund</w:t>
            </w:r>
          </w:p>
        </w:tc>
      </w:tr>
      <w:tr w:rsidR="001625FB" w:rsidRPr="00702882" w14:paraId="5D25D036" w14:textId="77777777" w:rsidTr="001625FB">
        <w:trPr>
          <w:jc w:val="center"/>
        </w:trPr>
        <w:tc>
          <w:tcPr>
            <w:tcW w:w="1413" w:type="dxa"/>
          </w:tcPr>
          <w:p w14:paraId="7671BDB3" w14:textId="17B7CC80" w:rsidR="006F6815" w:rsidRPr="00702882" w:rsidRDefault="00D432C5" w:rsidP="006E09F2">
            <w:pPr>
              <w:tabs>
                <w:tab w:val="left" w:pos="3261"/>
              </w:tabs>
              <w:spacing w:line="480" w:lineRule="auto"/>
              <w:rPr>
                <w:rFonts w:eastAsiaTheme="minorEastAsia"/>
              </w:rPr>
            </w:pPr>
            <w:r w:rsidRPr="00702882">
              <w:rPr>
                <w:rFonts w:eastAsiaTheme="minorEastAsia"/>
              </w:rPr>
              <w:t>TEL</w:t>
            </w:r>
          </w:p>
        </w:tc>
        <w:tc>
          <w:tcPr>
            <w:tcW w:w="5669" w:type="dxa"/>
          </w:tcPr>
          <w:p w14:paraId="04877F28" w14:textId="047AF6EA" w:rsidR="006F6815" w:rsidRPr="00702882" w:rsidRDefault="00D432C5" w:rsidP="006E09F2">
            <w:pPr>
              <w:tabs>
                <w:tab w:val="left" w:pos="3261"/>
              </w:tabs>
              <w:spacing w:line="480" w:lineRule="auto"/>
              <w:rPr>
                <w:rFonts w:eastAsiaTheme="minorEastAsia"/>
              </w:rPr>
            </w:pPr>
            <w:r w:rsidRPr="00702882">
              <w:t>Tax and Expenditure Limits</w:t>
            </w:r>
          </w:p>
        </w:tc>
      </w:tr>
    </w:tbl>
    <w:p w14:paraId="7EFB2CAC" w14:textId="77777777" w:rsidR="00F50572" w:rsidRPr="00702882" w:rsidRDefault="00F50572" w:rsidP="006E09F2">
      <w:pPr>
        <w:tabs>
          <w:tab w:val="left" w:pos="3261"/>
        </w:tabs>
        <w:spacing w:line="480" w:lineRule="auto"/>
        <w:rPr>
          <w:rFonts w:eastAsiaTheme="minorEastAsia"/>
        </w:rPr>
      </w:pPr>
    </w:p>
    <w:p w14:paraId="2DEB875D" w14:textId="77777777" w:rsidR="00F50572" w:rsidRPr="00702882" w:rsidRDefault="00F50572" w:rsidP="006E09F2">
      <w:pPr>
        <w:tabs>
          <w:tab w:val="left" w:pos="3261"/>
        </w:tabs>
        <w:spacing w:line="480" w:lineRule="auto"/>
        <w:rPr>
          <w:rFonts w:eastAsiaTheme="minorEastAsia"/>
        </w:rPr>
      </w:pPr>
    </w:p>
    <w:p w14:paraId="66A6DAC9" w14:textId="04EDB2A8" w:rsidR="00FE709C" w:rsidRPr="00702882" w:rsidRDefault="006F6815" w:rsidP="006E09F2">
      <w:pPr>
        <w:tabs>
          <w:tab w:val="left" w:pos="3261"/>
        </w:tabs>
        <w:spacing w:line="480" w:lineRule="auto"/>
        <w:rPr>
          <w:rFonts w:eastAsiaTheme="minorEastAsia"/>
        </w:rPr>
      </w:pPr>
      <w:r w:rsidRPr="00702882">
        <w:rPr>
          <w:rFonts w:eastAsiaTheme="minorEastAsia"/>
        </w:rPr>
        <w:t xml:space="preserve"> </w:t>
      </w:r>
    </w:p>
    <w:p w14:paraId="41E59FA8" w14:textId="77777777" w:rsidR="00BA4D66" w:rsidRPr="00702882" w:rsidRDefault="00BA4D66" w:rsidP="006E09F2">
      <w:pPr>
        <w:tabs>
          <w:tab w:val="left" w:pos="3261"/>
        </w:tabs>
        <w:spacing w:line="480" w:lineRule="auto"/>
        <w:rPr>
          <w:rFonts w:eastAsiaTheme="minorEastAsia"/>
          <w:b/>
          <w:bCs/>
        </w:rPr>
      </w:pPr>
    </w:p>
    <w:p w14:paraId="4A75B59C" w14:textId="77777777" w:rsidR="00FE709C" w:rsidRPr="00702882" w:rsidRDefault="00FE709C" w:rsidP="006E09F2">
      <w:pPr>
        <w:tabs>
          <w:tab w:val="left" w:pos="3261"/>
        </w:tabs>
        <w:jc w:val="center"/>
        <w:rPr>
          <w:rFonts w:eastAsiaTheme="minorEastAsia"/>
          <w:b/>
          <w:bCs/>
        </w:rPr>
      </w:pPr>
    </w:p>
    <w:p w14:paraId="2F0B4277" w14:textId="77777777" w:rsidR="00B15EBE" w:rsidRPr="00702882" w:rsidRDefault="00B15EBE" w:rsidP="006E09F2">
      <w:pPr>
        <w:tabs>
          <w:tab w:val="left" w:pos="3261"/>
        </w:tabs>
        <w:rPr>
          <w:rFonts w:eastAsiaTheme="minorEastAsia"/>
          <w:b/>
          <w:bCs/>
        </w:rPr>
      </w:pPr>
    </w:p>
    <w:p w14:paraId="221E92C1" w14:textId="72D23010" w:rsidR="0028197F" w:rsidRPr="00702882" w:rsidRDefault="0028197F" w:rsidP="006E09F2">
      <w:pPr>
        <w:tabs>
          <w:tab w:val="left" w:pos="3261"/>
        </w:tabs>
        <w:jc w:val="center"/>
        <w:rPr>
          <w:rFonts w:eastAsiaTheme="minorEastAsia"/>
          <w:b/>
          <w:bCs/>
        </w:rPr>
      </w:pPr>
      <w:r w:rsidRPr="00702882">
        <w:rPr>
          <w:rFonts w:eastAsiaTheme="minorEastAsia"/>
          <w:b/>
          <w:bCs/>
        </w:rPr>
        <w:lastRenderedPageBreak/>
        <w:t>SUMMARY</w:t>
      </w:r>
    </w:p>
    <w:p w14:paraId="5AC2FB4B" w14:textId="77777777" w:rsidR="003433BC" w:rsidRPr="00702882" w:rsidRDefault="003433BC" w:rsidP="006E09F2">
      <w:pPr>
        <w:tabs>
          <w:tab w:val="left" w:pos="3261"/>
        </w:tabs>
        <w:rPr>
          <w:rFonts w:eastAsiaTheme="minorEastAsia"/>
          <w:b/>
          <w:bCs/>
        </w:rPr>
      </w:pPr>
    </w:p>
    <w:p w14:paraId="2A24F90E" w14:textId="77777777" w:rsidR="00FE709C" w:rsidRPr="00702882" w:rsidRDefault="00FE709C" w:rsidP="006E09F2">
      <w:pPr>
        <w:tabs>
          <w:tab w:val="left" w:pos="3261"/>
        </w:tabs>
        <w:rPr>
          <w:rFonts w:eastAsiaTheme="minorEastAsia"/>
          <w:b/>
          <w:bCs/>
        </w:rPr>
      </w:pPr>
    </w:p>
    <w:p w14:paraId="4C4DBB7C" w14:textId="70DCB679" w:rsidR="00FE709C" w:rsidRPr="00702882" w:rsidRDefault="00FE709C" w:rsidP="006E09F2">
      <w:pPr>
        <w:tabs>
          <w:tab w:val="left" w:pos="3261"/>
        </w:tabs>
        <w:spacing w:line="480" w:lineRule="auto"/>
        <w:ind w:firstLineChars="295" w:firstLine="708"/>
        <w:rPr>
          <w:rFonts w:eastAsiaTheme="minorEastAsia"/>
        </w:rPr>
      </w:pPr>
      <w:r w:rsidRPr="00702882">
        <w:rPr>
          <w:rFonts w:eastAsiaTheme="minorEastAsia"/>
        </w:rPr>
        <w:t xml:space="preserve">The dissertation investigates the influence of Budget Stabilization Fund (BSF) rules' </w:t>
      </w:r>
      <w:r w:rsidR="000E398D" w:rsidRPr="00702882">
        <w:rPr>
          <w:rFonts w:eastAsiaTheme="minorEastAsia"/>
        </w:rPr>
        <w:t>stringency</w:t>
      </w:r>
      <w:r w:rsidRPr="00702882">
        <w:rPr>
          <w:rFonts w:eastAsiaTheme="minorEastAsia"/>
        </w:rPr>
        <w:t xml:space="preserve"> on fiscal slack levels within state governments in the United States. BSFs are utilized by states to stabilize budgets during economic downturns, but the stringency of rules governing BSF deposits and withdrawals varies considerably among states. Drawing upon New Institutional Economics (NIE), the study aims to elucidate how the strictness of these rules affects states' saving and spending patterns.</w:t>
      </w:r>
    </w:p>
    <w:p w14:paraId="6FA02F2C" w14:textId="3B77F363" w:rsidR="00FE709C" w:rsidRPr="00702882" w:rsidRDefault="00FE709C" w:rsidP="006E09F2">
      <w:pPr>
        <w:tabs>
          <w:tab w:val="left" w:pos="3261"/>
        </w:tabs>
        <w:spacing w:line="480" w:lineRule="auto"/>
        <w:ind w:firstLineChars="295" w:firstLine="708"/>
        <w:rPr>
          <w:rFonts w:eastAsiaTheme="minorEastAsia"/>
        </w:rPr>
      </w:pPr>
      <w:r w:rsidRPr="00702882">
        <w:rPr>
          <w:rFonts w:eastAsiaTheme="minorEastAsia"/>
        </w:rPr>
        <w:t>Using Fixed Effects and Generalized Synthetic Control Method (GSCM) models, significant insights into states' saving and spending behaviors are generated. The findings suggest that stringent deposit rules positively impact BSF levels, emphasizing the importance of clearly defined saving obligations within BSF frameworks. However, the impact of stringent withdrawal rules on BSF levels is not significant, which could be attributed to their inherent relationship with BSF usage and collinearity concerns with certain deposit requirements.</w:t>
      </w:r>
    </w:p>
    <w:p w14:paraId="4E408FF7" w14:textId="03C0E3DA" w:rsidR="00FE709C" w:rsidRPr="00702882" w:rsidRDefault="00FE709C" w:rsidP="006E09F2">
      <w:pPr>
        <w:tabs>
          <w:tab w:val="left" w:pos="3261"/>
        </w:tabs>
        <w:spacing w:line="480" w:lineRule="auto"/>
        <w:ind w:firstLineChars="295" w:firstLine="708"/>
        <w:rPr>
          <w:rFonts w:eastAsiaTheme="minorEastAsia"/>
        </w:rPr>
      </w:pPr>
      <w:r w:rsidRPr="00702882">
        <w:rPr>
          <w:rFonts w:eastAsiaTheme="minorEastAsia"/>
        </w:rPr>
        <w:t>In Fixed Effects models, it is observed that stringent withdrawal rules influence General Fund Balance (GFB) levels, whereas stringent deposit rules do not. States implementing both linking withdrawal to revenue volatility and imposing a withdrawal limit tend to have higher GFB levels, indicating a preference for maintaining funds in the GFB account over utilizing the BSF when faced with multiple stringent regulations.</w:t>
      </w:r>
    </w:p>
    <w:p w14:paraId="662A2374" w14:textId="4C72065F" w:rsidR="00FE709C" w:rsidRPr="00702882" w:rsidRDefault="00FE709C" w:rsidP="006E09F2">
      <w:pPr>
        <w:tabs>
          <w:tab w:val="left" w:pos="3261"/>
        </w:tabs>
        <w:spacing w:line="480" w:lineRule="auto"/>
        <w:ind w:firstLineChars="295" w:firstLine="708"/>
        <w:rPr>
          <w:rFonts w:eastAsiaTheme="minorEastAsia"/>
        </w:rPr>
      </w:pPr>
      <w:r w:rsidRPr="00702882">
        <w:rPr>
          <w:rFonts w:eastAsiaTheme="minorEastAsia"/>
        </w:rPr>
        <w:t xml:space="preserve">In </w:t>
      </w:r>
      <w:r w:rsidR="000E398D" w:rsidRPr="00702882">
        <w:rPr>
          <w:rFonts w:eastAsiaTheme="minorEastAsia"/>
        </w:rPr>
        <w:t>sum</w:t>
      </w:r>
      <w:r w:rsidRPr="00702882">
        <w:rPr>
          <w:rFonts w:eastAsiaTheme="minorEastAsia"/>
        </w:rPr>
        <w:t xml:space="preserve">, the study highlights the significance of stringent deposit rules in enhancing BSF levels for fiscal stabilization. Additionally, it underscores the impact of stringent withdrawal rules on GFB levels, prompting nuanced considerations in devising effective fiscal management strategies for state governments. </w:t>
      </w:r>
    </w:p>
    <w:p w14:paraId="1C651D19" w14:textId="77777777" w:rsidR="00AF6702" w:rsidRPr="00702882" w:rsidRDefault="00AF6702" w:rsidP="00ED399C">
      <w:pPr>
        <w:rPr>
          <w:rFonts w:eastAsiaTheme="minorEastAsia"/>
          <w:b/>
          <w:bCs/>
          <w:color w:val="7030A0"/>
        </w:rPr>
        <w:sectPr w:rsidR="00AF6702" w:rsidRPr="00702882" w:rsidSect="008F54DB">
          <w:pgSz w:w="12240" w:h="15840"/>
          <w:pgMar w:top="1440" w:right="1440" w:bottom="1440" w:left="1440" w:header="720" w:footer="720" w:gutter="0"/>
          <w:pgNumType w:fmt="lowerRoman"/>
          <w:cols w:space="720"/>
          <w:docGrid w:linePitch="360"/>
        </w:sectPr>
      </w:pPr>
    </w:p>
    <w:p w14:paraId="6E1A12A2" w14:textId="77777777" w:rsidR="00AF6702" w:rsidRPr="00702882" w:rsidRDefault="00AF6702" w:rsidP="00C66AC4">
      <w:pPr>
        <w:spacing w:line="480" w:lineRule="auto"/>
        <w:jc w:val="center"/>
        <w:rPr>
          <w:b/>
          <w:bCs/>
        </w:rPr>
      </w:pPr>
      <w:r w:rsidRPr="00702882">
        <w:rPr>
          <w:b/>
          <w:bCs/>
        </w:rPr>
        <w:lastRenderedPageBreak/>
        <w:t xml:space="preserve">1. </w:t>
      </w:r>
      <w:bookmarkStart w:id="7" w:name="Introduction"/>
      <w:r w:rsidRPr="00702882">
        <w:rPr>
          <w:b/>
          <w:bCs/>
        </w:rPr>
        <w:t>INTRODUCTION</w:t>
      </w:r>
      <w:bookmarkEnd w:id="7"/>
    </w:p>
    <w:p w14:paraId="7949C6C9" w14:textId="439CF2B7" w:rsidR="00AF6702" w:rsidRPr="00702882" w:rsidRDefault="00AF6702" w:rsidP="004439C4">
      <w:pPr>
        <w:spacing w:line="480" w:lineRule="auto"/>
        <w:rPr>
          <w:rFonts w:eastAsiaTheme="minorEastAsia"/>
          <w:b/>
          <w:bCs/>
        </w:rPr>
      </w:pPr>
    </w:p>
    <w:p w14:paraId="1E5C09A1" w14:textId="77777777" w:rsidR="00AF6702" w:rsidRPr="00702882" w:rsidRDefault="00AF6702" w:rsidP="00C66AC4">
      <w:pPr>
        <w:spacing w:line="480" w:lineRule="auto"/>
        <w:rPr>
          <w:b/>
          <w:bCs/>
        </w:rPr>
      </w:pPr>
      <w:r w:rsidRPr="00702882">
        <w:rPr>
          <w:b/>
          <w:bCs/>
        </w:rPr>
        <w:t xml:space="preserve">1.1 </w:t>
      </w:r>
      <w:bookmarkStart w:id="8" w:name="StatementoftheProblem"/>
      <w:r w:rsidRPr="00702882">
        <w:rPr>
          <w:b/>
          <w:bCs/>
        </w:rPr>
        <w:t>Statement of the Problem</w:t>
      </w:r>
      <w:bookmarkEnd w:id="8"/>
      <w:r w:rsidRPr="00702882">
        <w:rPr>
          <w:b/>
          <w:bCs/>
        </w:rPr>
        <w:t xml:space="preserve"> </w:t>
      </w:r>
    </w:p>
    <w:p w14:paraId="4BEA1BA9" w14:textId="1698BD29" w:rsidR="00AF6702" w:rsidRPr="00702882" w:rsidRDefault="00AF6702" w:rsidP="00C66AC4">
      <w:pPr>
        <w:spacing w:line="480" w:lineRule="auto"/>
        <w:ind w:firstLine="720"/>
        <w:rPr>
          <w:rFonts w:eastAsiaTheme="minorEastAsia"/>
        </w:rPr>
      </w:pPr>
      <w:r w:rsidRPr="00702882">
        <w:t>The dissertation investigates how the stringency of Budget Stabilization Fund rules influences the levels of fiscal slack in state governments, focusing on two key sources: budget stabilization funds (BSFs) and unassigned general fund ending balances (GFBs)</w:t>
      </w:r>
      <w:r w:rsidRPr="00702882">
        <w:rPr>
          <w:rFonts w:eastAsiaTheme="minorEastAsia"/>
        </w:rPr>
        <w:t xml:space="preserve"> </w:t>
      </w:r>
      <w:r w:rsidRPr="00702882">
        <w:t xml:space="preserve">as defined by </w:t>
      </w:r>
      <w:r w:rsidR="00DD0D56" w:rsidRPr="00702882">
        <w:t xml:space="preserve">National Association of State Budget Officers </w:t>
      </w:r>
      <w:r w:rsidR="00DD0D56" w:rsidRPr="00702882">
        <w:rPr>
          <w:rFonts w:eastAsiaTheme="minorEastAsia"/>
        </w:rPr>
        <w:t>(</w:t>
      </w:r>
      <w:r w:rsidRPr="00702882">
        <w:t>NASBO</w:t>
      </w:r>
      <w:r w:rsidR="00DD0D56" w:rsidRPr="00702882">
        <w:rPr>
          <w:rFonts w:eastAsiaTheme="minorEastAsia"/>
        </w:rPr>
        <w:t>)</w:t>
      </w:r>
      <w:r w:rsidRPr="00702882">
        <w:t xml:space="preserve"> in the Fiscal Survey of the States</w:t>
      </w:r>
      <w:r w:rsidR="00DD0D56" w:rsidRPr="00702882">
        <w:rPr>
          <w:rFonts w:eastAsiaTheme="minorEastAsia"/>
        </w:rPr>
        <w:t xml:space="preserve"> </w:t>
      </w:r>
      <w:sdt>
        <w:sdtPr>
          <w:rPr>
            <w:rFonts w:eastAsiaTheme="minorEastAsia"/>
            <w:color w:val="000000"/>
          </w:rPr>
          <w:tag w:val="MENDELEY_CITATION_v3_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"/>
          <w:id w:val="-2006502503"/>
          <w:placeholder>
            <w:docPart w:val="DefaultPlaceholder_-1854013440"/>
          </w:placeholder>
        </w:sdtPr>
        <w:sdtContent>
          <w:r w:rsidR="00F520AD" w:rsidRPr="00F520AD">
            <w:rPr>
              <w:rFonts w:eastAsiaTheme="minorEastAsia"/>
              <w:color w:val="000000"/>
            </w:rPr>
            <w:t>(National Association of State Budget Officers, 2018).</w:t>
          </w:r>
        </w:sdtContent>
      </w:sdt>
      <w:r w:rsidRPr="00702882">
        <w:rPr>
          <w:rStyle w:val="a5"/>
        </w:rPr>
        <w:footnoteReference w:id="1"/>
      </w:r>
      <w:r w:rsidR="00DD0D56" w:rsidRPr="00702882">
        <w:rPr>
          <w:rFonts w:eastAsiaTheme="minorEastAsia"/>
        </w:rPr>
        <w:t xml:space="preserve"> </w:t>
      </w:r>
      <w:r w:rsidRPr="00702882">
        <w:t xml:space="preserve">BSFs, designed to exert countercyclical effects on state budget actions during fiscal stress </w:t>
      </w:r>
      <w:sdt>
        <w:sdtPr>
          <w:rPr>
            <w:color w:val="000000"/>
          </w:rPr>
          <w:tag w:val="MENDELEY_CITATION_v3_eyJjaXRhdGlvbklEIjoiTUVOREVMRVlfQ0lUQVRJT05fYzBhZTA4MWQtMWYzYS00NjlkLThlZDAtMzZhMGExYjc1ZDgwIiwicHJvcGVydGllcyI6eyJub3RlSW5kZXgiOjB9LCJpc0VkaXRlZCI6ZmFsc2UsIm1hbnVhbE92ZXJyaWRlIjp7ImlzTWFudWFsbHlPdmVycmlkZGVuIjpmYWxzZSwiY2l0ZXByb2NUZXh0IjoiKEhvdS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XX0="/>
          <w:id w:val="1879661890"/>
          <w:placeholder>
            <w:docPart w:val="DefaultPlaceholder_-1854013440"/>
          </w:placeholder>
        </w:sdtPr>
        <w:sdtContent>
          <w:r w:rsidR="00F520AD" w:rsidRPr="00F520AD">
            <w:rPr>
              <w:color w:val="000000"/>
            </w:rPr>
            <w:t>(Hou, 2004)</w:t>
          </w:r>
        </w:sdtContent>
      </w:sdt>
      <w:r w:rsidRPr="00702882">
        <w:t>, have been adopted by all U.S. states except Colorado, with a majority established in the 1980s following the 1980-82 recession (see Table 1).</w:t>
      </w:r>
      <w:r w:rsidRPr="00702882">
        <w:rPr>
          <w:rFonts w:eastAsiaTheme="minorEastAsia"/>
        </w:rPr>
        <w:t xml:space="preserve"> </w:t>
      </w:r>
      <w:r w:rsidRPr="00702882">
        <w:t xml:space="preserve">Despite widespread adoption, BSFs have evolved differently, resulting in significant variation in institutional rules governing deposit and withdrawal across states. While some states have stringent policies, others do not. For example, Arizona follows a well-defined formula based on </w:t>
      </w:r>
      <w:r w:rsidR="008A4B74" w:rsidRPr="00702882">
        <w:rPr>
          <w:rFonts w:eastAsiaTheme="minorEastAsia"/>
        </w:rPr>
        <w:t>“</w:t>
      </w:r>
      <w:r w:rsidRPr="00702882">
        <w:t>the difference between the annual growth rate and the trend growth rate multiplied by total general fund revenue</w:t>
      </w:r>
      <w:r w:rsidR="008A4B74" w:rsidRPr="00702882">
        <w:rPr>
          <w:rFonts w:eastAsiaTheme="minorEastAsia"/>
        </w:rPr>
        <w:t>”</w:t>
      </w:r>
      <w:r w:rsidRPr="00702882">
        <w:t xml:space="preserve"> (A.R.S. § 35-144), while Alaska and Texas mandate a supermajority vote for fund use (Alaska Stat. § 37.05.540; Tex. Const. Art. III, § 49-g). In contrast, Illinois lacks clear withdrawal conditions or voting requirements (30 ILCS 122). </w:t>
      </w:r>
    </w:p>
    <w:p w14:paraId="6F3408BE" w14:textId="666D5226" w:rsidR="00AF6702" w:rsidRPr="00702882" w:rsidRDefault="00AF6702" w:rsidP="00C66AC4">
      <w:pPr>
        <w:spacing w:line="480" w:lineRule="auto"/>
        <w:ind w:firstLine="720"/>
        <w:rPr>
          <w:rFonts w:eastAsiaTheme="minorEastAsia"/>
        </w:rPr>
      </w:pPr>
      <w:r w:rsidRPr="00702882">
        <w:t xml:space="preserve">Recognizing that BSFs primarily serve as emergency funds during tough fiscal times, their availability and use should ideally reduce reliance on other budget-balancing measures, such as tax increases and expenditure reductions. Unassigned general fund balances (GFBs) also </w:t>
      </w:r>
      <w:r w:rsidRPr="00702882">
        <w:lastRenderedPageBreak/>
        <w:t xml:space="preserve">act as significant emergency funds, reducing the need for additional revenue sources. Therefore, it is crucial to expand the investigation of BSF rule impact to include states' GFBs, exploring the relationship and potential tradeoffs between BSFs and GFBs at the state level for budget balancing from 2002 to 2020 </w:t>
      </w:r>
      <w:sdt>
        <w:sdtPr>
          <w:rPr>
            <w:color w:val="000000"/>
          </w:rPr>
          <w:tag w:val="MENDELEY_CITATION_v3_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"/>
          <w:id w:val="621342113"/>
          <w:placeholder>
            <w:docPart w:val="DefaultPlaceholder_-1854013440"/>
          </w:placeholder>
        </w:sdtPr>
        <w:sdtContent>
          <w:r w:rsidR="00F520AD" w:rsidRPr="00F520AD">
            <w:rPr>
              <w:color w:val="000000"/>
            </w:rPr>
            <w:t>(GASB, 1999)</w:t>
          </w:r>
        </w:sdtContent>
      </w:sdt>
      <w:r w:rsidRPr="00702882">
        <w:t>.</w:t>
      </w:r>
      <w:r w:rsidRPr="00702882">
        <w:rPr>
          <w:rFonts w:eastAsiaTheme="minorEastAsia"/>
        </w:rPr>
        <w:t xml:space="preserve"> </w:t>
      </w:r>
      <w:r w:rsidRPr="00702882">
        <w:t>This study addresses key questions: What determines fiscal reserve levels? Does the stringency of BSF rules influence state savings and spending behavior? More specifically, do more stringent deposit and withdrawal rules contribute to increased levels of BSFs (and/or GFBs), or do states circumvent these stringent deposit and withdrawal requirements?</w:t>
      </w:r>
      <w:r w:rsidRPr="00702882">
        <w:rPr>
          <w:rFonts w:eastAsiaTheme="minorEastAsia"/>
        </w:rPr>
        <w:t xml:space="preserve"> </w:t>
      </w:r>
      <w:r w:rsidRPr="00702882">
        <w:t xml:space="preserve">Is there a tradeoff between BSF and GFB levels? </w:t>
      </w:r>
    </w:p>
    <w:p w14:paraId="3A4065DF" w14:textId="77777777" w:rsidR="00AF6702" w:rsidRPr="00702882" w:rsidRDefault="00AF6702" w:rsidP="00C66AC4">
      <w:pPr>
        <w:spacing w:line="480" w:lineRule="auto"/>
        <w:ind w:firstLine="720"/>
      </w:pPr>
      <w:r w:rsidRPr="00702882">
        <w:t>To answer these questions, the research has three objectives: conceptualizing BSF rule stringency, examining the impact of structural characteristics of BSF rules on state savings and spending behavior, and understanding the interplay among BSF rules, BSF, and GFB levels. By addressing these objectives, this research enhances our comprehensive understanding of the impact of institutional constraints on the accumulation of fiscal slack, thereby contributing to a deeper comprehension of the relationships between BSF rules, fiscal capacity, and state fiscal behavior.</w:t>
      </w:r>
    </w:p>
    <w:p w14:paraId="5390F7CC" w14:textId="77777777" w:rsidR="00AF6702" w:rsidRPr="00702882" w:rsidRDefault="00AF6702" w:rsidP="00C66AC4">
      <w:pPr>
        <w:tabs>
          <w:tab w:val="left" w:pos="5670"/>
        </w:tabs>
        <w:spacing w:line="480" w:lineRule="auto"/>
        <w:rPr>
          <w:rFonts w:eastAsiaTheme="minorEastAsia"/>
          <w:b/>
          <w:bCs/>
          <w:color w:val="7030A0"/>
        </w:rPr>
      </w:pPr>
      <w:r w:rsidRPr="00702882">
        <w:rPr>
          <w:rFonts w:eastAsiaTheme="minorEastAsia"/>
          <w:b/>
          <w:bCs/>
          <w:color w:val="7030A0"/>
        </w:rPr>
        <w:tab/>
      </w:r>
    </w:p>
    <w:p w14:paraId="7B7F3A80" w14:textId="77777777" w:rsidR="00AF6702" w:rsidRPr="00702882" w:rsidRDefault="00AF6702" w:rsidP="00C66AC4">
      <w:pPr>
        <w:spacing w:line="480" w:lineRule="auto"/>
        <w:rPr>
          <w:b/>
          <w:bCs/>
        </w:rPr>
      </w:pPr>
      <w:r w:rsidRPr="00702882">
        <w:rPr>
          <w:b/>
          <w:bCs/>
        </w:rPr>
        <w:t xml:space="preserve">1.2 </w:t>
      </w:r>
      <w:bookmarkStart w:id="9" w:name="SignificanceoftheStudy"/>
      <w:r w:rsidRPr="00702882">
        <w:rPr>
          <w:b/>
          <w:bCs/>
        </w:rPr>
        <w:t>Significance of the Study</w:t>
      </w:r>
      <w:bookmarkEnd w:id="9"/>
    </w:p>
    <w:p w14:paraId="5AF44832" w14:textId="11C75D4A" w:rsidR="00AF6702" w:rsidRPr="00702882" w:rsidRDefault="00AF6702" w:rsidP="00C66AC4">
      <w:pPr>
        <w:spacing w:line="480" w:lineRule="auto"/>
        <w:ind w:firstLine="720"/>
        <w:rPr>
          <w:rFonts w:eastAsiaTheme="minorEastAsia"/>
          <w:color w:val="7030A0"/>
        </w:rPr>
      </w:pPr>
      <w:r w:rsidRPr="00702882">
        <w:t xml:space="preserve">There has been a long-running debate about the determinants of the size of budget stabilization fund. However, prior research has been conceptually, theoretically, and methodologically limited as follows. First, the stringency of BSF rules has yet to be conceptualized in a systematic way when analyzing the effects of the BSF rules on state savings and spending behavior. Although several studies have attempted to examine the impact of stringent BSF rules on fiscal stress </w:t>
      </w:r>
      <w:sdt>
        <w:sdtPr>
          <w:tag w:val="MENDELEY_CITATION_v3_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"/>
          <w:id w:val="-887020848"/>
          <w:placeholder>
            <w:docPart w:val="506A130DD6E9461FAC2EB6C837516CED"/>
          </w:placeholder>
        </w:sdtPr>
        <w:sdtContent>
          <w:r w:rsidR="00F520AD">
            <w:t>(Douglas &amp; Gaddie, 2002; Sobel &amp; Holcombe, 1996)</w:t>
          </w:r>
        </w:sdtContent>
      </w:sdt>
      <w:r w:rsidRPr="00702882">
        <w:t xml:space="preserve"> and </w:t>
      </w:r>
      <w:r w:rsidRPr="00702882">
        <w:lastRenderedPageBreak/>
        <w:t xml:space="preserve">have investigated the determinants of BSF rule stringency </w:t>
      </w:r>
      <w:sdt>
        <w:sdtPr>
          <w:rPr>
            <w:color w:val="000000"/>
          </w:rPr>
          <w:tag w:val="MENDELEY_CITATION_v3_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"/>
          <w:id w:val="-765917964"/>
          <w:placeholder>
            <w:docPart w:val="506A130DD6E9461FAC2EB6C837516CED"/>
          </w:placeholder>
        </w:sdtPr>
        <w:sdtContent>
          <w:r w:rsidR="00F520AD" w:rsidRPr="00F520AD">
            <w:rPr>
              <w:color w:val="000000"/>
            </w:rPr>
            <w:t>(Rodríguez-Tejedo, 2012; Wagner, 2004)</w:t>
          </w:r>
        </w:sdtContent>
      </w:sdt>
      <w:r w:rsidRPr="00702882">
        <w:t xml:space="preserve">, none of them define BSF rule stringency. Stringency is implicitly assumed to be a synonym for strictness, restrictiveness, or tightness. It is important to know which attributes of BSF rules in particular encourage </w:t>
      </w:r>
      <w:r w:rsidRPr="00702882">
        <w:rPr>
          <w:rFonts w:eastAsia="바탕"/>
        </w:rPr>
        <w:t>a state</w:t>
      </w:r>
      <w:r w:rsidRPr="00702882">
        <w:t xml:space="preserve"> to save more money or curb unnecessary withdrawals from BSF. Therefore, this study conceptualizes the stringency of the BSF by considering attributes, such as precision and degree of obligation, encompassing aspects like saving obligations, withdrawal conditions, and withdrawal restrictions, as detailed in section 2.3.</w:t>
      </w:r>
    </w:p>
    <w:p w14:paraId="68827E34" w14:textId="77777777" w:rsidR="00AF6702" w:rsidRPr="00702882" w:rsidRDefault="00AF6702" w:rsidP="00C66AC4">
      <w:pPr>
        <w:spacing w:line="480" w:lineRule="auto"/>
        <w:ind w:firstLine="720"/>
        <w:rPr>
          <w:rFonts w:eastAsiaTheme="minorEastAsia"/>
        </w:rPr>
      </w:pPr>
      <w:r w:rsidRPr="00702882">
        <w:rPr>
          <w:rFonts w:eastAsiaTheme="minorEastAsia"/>
        </w:rPr>
        <w:t>A set of obligations or commitments compels public officials or legislators to undertake specific actions (obligation) or refrain from particular actions (restriction). Clearly and coherently defined rules prevent public officials or legislators from interpreting and implementing regulations discretionarily (precision). Notably, the conceptualization of BSF rule stringency has not been undertaken in previous research. By delving into the conceptualization of BSF rule stringency, the study aims to identify the specific regulatory features that effectively contribute to bolstering BSF balance levels.</w:t>
      </w:r>
    </w:p>
    <w:p w14:paraId="71307B23" w14:textId="77777777" w:rsidR="00AF6702" w:rsidRPr="00702882" w:rsidRDefault="00AF6702" w:rsidP="00C66AC4">
      <w:pPr>
        <w:spacing w:line="480" w:lineRule="auto"/>
        <w:ind w:firstLine="720"/>
      </w:pPr>
      <w:r w:rsidRPr="00702882">
        <w:t>Secondly, there exists limited theoretical and empirical knowledge regarding the impact of BSF rules on unassigned GFB, commonly referred to as unreserved undesignated balances (UUB). While GFB serves as a crucial savings instrument, research at the state level predominantly delves into the relationship between BSF structural features and corresponding balance levels. Given that most BSFs derive funding from general funds, it logically follows that the stringency of BSF rules plays a role in influencing GFB levels. Furthermore, exploring how BSF rules shape a state’s reliance on GFB becomes pertinent, as each state exhibits a distinct dependence on either BSF or GFB.</w:t>
      </w:r>
      <w:r w:rsidRPr="00702882">
        <w:rPr>
          <w:rFonts w:eastAsiaTheme="minorEastAsia"/>
        </w:rPr>
        <w:t xml:space="preserve"> </w:t>
      </w:r>
      <w:r w:rsidRPr="00702882">
        <w:t xml:space="preserve">Our investigation into the impact of BSF rule stringency on GFB levels contributes to a more comprehensive understanding of the determinants influencing </w:t>
      </w:r>
      <w:r w:rsidRPr="00702882">
        <w:lastRenderedPageBreak/>
        <w:t>GFB levels. Moreover, it sheds light on the intricate relationship between BSF and GFB levels, enriching our comprehension of this dynamic interplay.</w:t>
      </w:r>
    </w:p>
    <w:p w14:paraId="6BF0DD48" w14:textId="75AFABEB" w:rsidR="00AF6702" w:rsidRPr="00702882" w:rsidRDefault="00AF6702" w:rsidP="00C66AC4">
      <w:pPr>
        <w:spacing w:line="480" w:lineRule="auto"/>
        <w:ind w:firstLine="720"/>
        <w:rPr>
          <w:rFonts w:eastAsiaTheme="minorEastAsia"/>
        </w:rPr>
      </w:pPr>
      <w:r w:rsidRPr="00702882">
        <w:rPr>
          <w:rFonts w:eastAsiaTheme="minorEastAsia"/>
        </w:rPr>
        <w:t xml:space="preserve">Finally, numerous prior studies have overlooked crucial structural features of BSFs, including repayment provisions, spending limits, and the interactions among these vital structural features, when empirically assessing their impact on BSF balance levels (refer to Table 2). Neglecting these essential structural features and their interactions can result in a misrepresentation of the relationship between BSF rules and their size. This research incorporates </w:t>
      </w:r>
      <w:r w:rsidRPr="00702882">
        <w:rPr>
          <w:rFonts w:eastAsiaTheme="minorEastAsia"/>
          <w:i/>
          <w:iCs/>
        </w:rPr>
        <w:t>fourteen</w:t>
      </w:r>
      <w:r w:rsidRPr="00702882">
        <w:rPr>
          <w:rFonts w:eastAsiaTheme="minorEastAsia"/>
        </w:rPr>
        <w:t xml:space="preserve"> structural dimensions of BSFs and empirically investigates their effects on BSF balance levels. From a methodological standpoint, this study makes a significant contribution by elucidating the causal relationship between the stringency of BSF rules and the size of the BSF. Employing the Generalized Synthetic Control Method (GSCM), the research scrutinizes the causal effects of BSF rule stringency on BSF and GFB. </w:t>
      </w:r>
      <w:r w:rsidRPr="00702882">
        <w:t xml:space="preserve">The GSCM is a statistical technique that is used to analyze the causal effects of BSF policy changes on BSF balances for treatment group and comparison group </w:t>
      </w:r>
      <w:sdt>
        <w:sdtPr>
          <w:rPr>
            <w:color w:val="000000"/>
          </w:rPr>
          <w:tag w:val="MENDELEY_CITATION_v3_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"/>
          <w:id w:val="-2123371474"/>
          <w:placeholder>
            <w:docPart w:val="A8204E284AB740B88D3300B652FFDEDA"/>
          </w:placeholder>
        </w:sdtPr>
        <w:sdtContent>
          <w:r w:rsidR="00F520AD" w:rsidRPr="00F520AD">
            <w:rPr>
              <w:color w:val="000000"/>
            </w:rPr>
            <w:t>(Xu, 2017a)</w:t>
          </w:r>
        </w:sdtContent>
      </w:sdt>
      <w:r w:rsidRPr="00702882">
        <w:rPr>
          <w:rFonts w:eastAsiaTheme="minorEastAsia"/>
        </w:rPr>
        <w:t>.</w:t>
      </w:r>
    </w:p>
    <w:p w14:paraId="1265FED5" w14:textId="63257B8E" w:rsidR="00AF6702" w:rsidRPr="00702882" w:rsidRDefault="00AF6702" w:rsidP="00C66AC4">
      <w:pPr>
        <w:spacing w:line="480" w:lineRule="auto"/>
        <w:ind w:firstLine="720"/>
        <w:rPr>
          <w:rFonts w:eastAsiaTheme="minorEastAsia"/>
        </w:rPr>
      </w:pPr>
      <w:r w:rsidRPr="00702882">
        <w:rPr>
          <w:rFonts w:eastAsiaTheme="minorEastAsia"/>
        </w:rPr>
        <w:t xml:space="preserve">This study seeks to deepen our understanding of the factors shaping BSF balances. The empirical findings </w:t>
      </w:r>
      <w:r w:rsidR="00B8203A" w:rsidRPr="00702882">
        <w:rPr>
          <w:rFonts w:eastAsiaTheme="minorEastAsia"/>
        </w:rPr>
        <w:t>i</w:t>
      </w:r>
      <w:r w:rsidRPr="00702882">
        <w:rPr>
          <w:rFonts w:eastAsiaTheme="minorEastAsia"/>
        </w:rPr>
        <w:t>n this dissertation present valuable policy implications, proposing strategies for states to create fiscal reserves as a precaution against fiscal stress. The study’s results allow us to identify the importance of specific BSF rules and offer guidance on their prioritization concerning their impact on BSF balance levels. It is my hope that this paper will yield further insights, thereby contributing to the advancement of theories and policies governing Budget Stabilization Funds.</w:t>
      </w:r>
    </w:p>
    <w:p w14:paraId="6DEDE59A" w14:textId="77777777" w:rsidR="00AF6702" w:rsidRPr="00702882" w:rsidRDefault="00AF6702" w:rsidP="00C66AC4">
      <w:pPr>
        <w:spacing w:line="480" w:lineRule="auto"/>
        <w:rPr>
          <w:rFonts w:eastAsiaTheme="minorEastAsia"/>
          <w:color w:val="7030A0"/>
        </w:rPr>
      </w:pPr>
    </w:p>
    <w:p w14:paraId="5A8E35F0" w14:textId="77777777" w:rsidR="00AF6702" w:rsidRPr="00702882" w:rsidRDefault="00AF6702" w:rsidP="00C66AC4">
      <w:pPr>
        <w:spacing w:line="480" w:lineRule="auto"/>
        <w:rPr>
          <w:rFonts w:eastAsiaTheme="minorEastAsia"/>
          <w:color w:val="7030A0"/>
        </w:rPr>
      </w:pPr>
    </w:p>
    <w:p w14:paraId="5C19EDE7" w14:textId="77777777" w:rsidR="00AF6702" w:rsidRPr="00702882" w:rsidRDefault="00AF6702" w:rsidP="00C66AC4">
      <w:pPr>
        <w:spacing w:line="480" w:lineRule="auto"/>
        <w:rPr>
          <w:b/>
          <w:bCs/>
        </w:rPr>
      </w:pPr>
      <w:r w:rsidRPr="00702882">
        <w:rPr>
          <w:b/>
          <w:bCs/>
        </w:rPr>
        <w:lastRenderedPageBreak/>
        <w:t xml:space="preserve">1.3 </w:t>
      </w:r>
      <w:bookmarkStart w:id="10" w:name="PlanoftheProposal"/>
      <w:r w:rsidRPr="00702882">
        <w:rPr>
          <w:b/>
          <w:bCs/>
        </w:rPr>
        <w:t xml:space="preserve">Plan of the Proposal </w:t>
      </w:r>
      <w:bookmarkEnd w:id="10"/>
    </w:p>
    <w:p w14:paraId="69C8AC2E" w14:textId="6958FC7D" w:rsidR="00AF6702" w:rsidRPr="00702882" w:rsidRDefault="00AF6702" w:rsidP="000A5995">
      <w:pPr>
        <w:spacing w:line="480" w:lineRule="auto"/>
        <w:ind w:firstLine="720"/>
        <w:rPr>
          <w:rFonts w:eastAsiaTheme="minorEastAsia"/>
        </w:rPr>
      </w:pPr>
      <w:r w:rsidRPr="00702882">
        <w:t>This research proposal is structured as follows: Chapter Two delves into the landscape of Budget Stabilization Funds (BSF) in the U.S., addressing i) the timeline of BSF adoption by states, ii) the rationale behind implementing BSF policies, and iii) the variations in BSF structural features across states.</w:t>
      </w:r>
      <w:r w:rsidRPr="00702882">
        <w:rPr>
          <w:rFonts w:eastAsiaTheme="minorEastAsia"/>
        </w:rPr>
        <w:t xml:space="preserve"> </w:t>
      </w:r>
      <w:r w:rsidRPr="00702882">
        <w:t xml:space="preserve">Chapter Three provides a literature review on BSFs and their relationship with General Funds. Chapter Four introduces hypotheses outlining the </w:t>
      </w:r>
      <w:r w:rsidR="000A5995" w:rsidRPr="00702882">
        <w:rPr>
          <w:rFonts w:eastAsiaTheme="minorEastAsia"/>
        </w:rPr>
        <w:t>relationships</w:t>
      </w:r>
      <w:r w:rsidRPr="00702882">
        <w:t xml:space="preserve"> between the stringency of BSF rules and levels of both BSF and General Fund Balances (GFB). Chapter Five details the operationalization of variables and outlines the data sources. </w:t>
      </w:r>
      <w:r w:rsidR="000A5995" w:rsidRPr="00702882">
        <w:rPr>
          <w:rFonts w:eastAsiaTheme="minorEastAsia"/>
        </w:rPr>
        <w:t>Chapter Six presents the quantitative research design, estimation methodology, and findings.</w:t>
      </w:r>
      <w:r w:rsidR="000A5995" w:rsidRPr="00702882">
        <w:rPr>
          <w:rFonts w:eastAsiaTheme="minorEastAsia"/>
          <w:color w:val="7030A0"/>
        </w:rPr>
        <w:t xml:space="preserve"> </w:t>
      </w:r>
      <w:r w:rsidRPr="00702882">
        <w:t xml:space="preserve">Chapter Seven incorporates a qualitative analysis of documents, including legal documents, budget documents, local newspapers, etc., to account for contextual factors. </w:t>
      </w:r>
      <w:r w:rsidR="000A5995" w:rsidRPr="00702882">
        <w:rPr>
          <w:rFonts w:eastAsiaTheme="minorEastAsia"/>
        </w:rPr>
        <w:t xml:space="preserve">Finally, Chapter Eight provides a comprehensive summary and engages in a discussion of the key findings presented in this dissertation. </w:t>
      </w:r>
      <w:r w:rsidRPr="00702882">
        <w:t>It explores the contributions and limitations of these findings, offers insights into potential avenues for future research within the realm of financial management scholarship, and reflects on the possible policy implications arising from this study.</w:t>
      </w:r>
    </w:p>
    <w:p w14:paraId="528244D0" w14:textId="77777777" w:rsidR="00AF6702" w:rsidRPr="00702882" w:rsidRDefault="00AF6702" w:rsidP="00C66AC4">
      <w:pPr>
        <w:spacing w:line="480" w:lineRule="auto"/>
        <w:rPr>
          <w:color w:val="7030A0"/>
        </w:rPr>
      </w:pPr>
    </w:p>
    <w:p w14:paraId="6A96D32D" w14:textId="77777777" w:rsidR="00AF6702" w:rsidRPr="00702882" w:rsidRDefault="00AF6702" w:rsidP="00C66AC4">
      <w:pPr>
        <w:spacing w:line="480" w:lineRule="auto"/>
        <w:rPr>
          <w:rFonts w:eastAsiaTheme="minorEastAsia"/>
          <w:color w:val="7030A0"/>
        </w:rPr>
      </w:pPr>
    </w:p>
    <w:p w14:paraId="3730499A" w14:textId="77777777" w:rsidR="00AF6702" w:rsidRPr="00702882" w:rsidRDefault="00AF6702" w:rsidP="00C66AC4">
      <w:pPr>
        <w:spacing w:line="480" w:lineRule="auto"/>
        <w:rPr>
          <w:rFonts w:eastAsiaTheme="minorEastAsia"/>
          <w:color w:val="7030A0"/>
        </w:rPr>
      </w:pPr>
    </w:p>
    <w:p w14:paraId="52847422" w14:textId="77777777" w:rsidR="00AF6702" w:rsidRPr="00702882" w:rsidRDefault="00AF6702" w:rsidP="00C66AC4">
      <w:pPr>
        <w:spacing w:line="480" w:lineRule="auto"/>
        <w:rPr>
          <w:rFonts w:eastAsiaTheme="minorEastAsia"/>
          <w:color w:val="7030A0"/>
        </w:rPr>
      </w:pPr>
    </w:p>
    <w:p w14:paraId="3E68185D" w14:textId="77777777" w:rsidR="00AF6702" w:rsidRPr="00702882" w:rsidRDefault="00AF6702" w:rsidP="00C66AC4">
      <w:pPr>
        <w:spacing w:line="480" w:lineRule="auto"/>
        <w:rPr>
          <w:rFonts w:eastAsiaTheme="minorEastAsia"/>
          <w:b/>
          <w:bCs/>
          <w:color w:val="7030A0"/>
        </w:rPr>
      </w:pPr>
    </w:p>
    <w:p w14:paraId="3A7B83B9" w14:textId="77777777" w:rsidR="00AF6702" w:rsidRPr="00702882" w:rsidRDefault="00AF6702" w:rsidP="00C66AC4">
      <w:pPr>
        <w:spacing w:line="480" w:lineRule="auto"/>
        <w:jc w:val="center"/>
        <w:rPr>
          <w:b/>
          <w:bCs/>
          <w:color w:val="7030A0"/>
        </w:rPr>
      </w:pPr>
    </w:p>
    <w:p w14:paraId="35F411A2" w14:textId="77777777" w:rsidR="00AF6702" w:rsidRPr="00702882" w:rsidRDefault="00AF6702" w:rsidP="00C66AC4">
      <w:pPr>
        <w:spacing w:line="480" w:lineRule="auto"/>
        <w:rPr>
          <w:rFonts w:eastAsiaTheme="minorEastAsia"/>
          <w:b/>
          <w:bCs/>
          <w:color w:val="7030A0"/>
        </w:rPr>
      </w:pPr>
    </w:p>
    <w:p w14:paraId="760E0AF1" w14:textId="77777777" w:rsidR="004439C4" w:rsidRPr="00702882" w:rsidRDefault="004439C4" w:rsidP="00C66AC4">
      <w:pPr>
        <w:spacing w:line="480" w:lineRule="auto"/>
        <w:rPr>
          <w:rFonts w:eastAsiaTheme="minorEastAsia"/>
          <w:b/>
          <w:bCs/>
          <w:color w:val="7030A0"/>
        </w:rPr>
      </w:pPr>
    </w:p>
    <w:p w14:paraId="6F55545B" w14:textId="77777777" w:rsidR="00AF6702" w:rsidRPr="00702882" w:rsidRDefault="00AF6702" w:rsidP="00C66AC4">
      <w:pPr>
        <w:spacing w:line="480" w:lineRule="auto"/>
        <w:jc w:val="center"/>
        <w:rPr>
          <w:b/>
          <w:bCs/>
        </w:rPr>
      </w:pPr>
      <w:r w:rsidRPr="00702882">
        <w:rPr>
          <w:b/>
          <w:bCs/>
        </w:rPr>
        <w:lastRenderedPageBreak/>
        <w:t xml:space="preserve">2. </w:t>
      </w:r>
      <w:bookmarkStart w:id="11" w:name="BUDGETSTABILIZATIONFUNDS"/>
      <w:r w:rsidRPr="00702882">
        <w:rPr>
          <w:b/>
          <w:bCs/>
        </w:rPr>
        <w:t>BUDGET STABILIZATION FUNDS</w:t>
      </w:r>
      <w:bookmarkEnd w:id="11"/>
    </w:p>
    <w:p w14:paraId="37922577" w14:textId="77777777" w:rsidR="00AF6702" w:rsidRPr="00702882" w:rsidRDefault="00AF6702" w:rsidP="00C66AC4">
      <w:pPr>
        <w:spacing w:line="480" w:lineRule="auto"/>
        <w:rPr>
          <w:b/>
          <w:bCs/>
        </w:rPr>
      </w:pPr>
    </w:p>
    <w:p w14:paraId="7CB40A30" w14:textId="77777777" w:rsidR="00AF6702" w:rsidRPr="00702882" w:rsidRDefault="00AF6702" w:rsidP="00C66AC4">
      <w:pPr>
        <w:spacing w:line="480" w:lineRule="auto"/>
        <w:rPr>
          <w:b/>
          <w:bCs/>
        </w:rPr>
      </w:pPr>
      <w:r w:rsidRPr="00702882">
        <w:rPr>
          <w:b/>
          <w:bCs/>
        </w:rPr>
        <w:t xml:space="preserve">2.1 </w:t>
      </w:r>
      <w:bookmarkStart w:id="12" w:name="AdoptionandPurposeofBudgetStabilization"/>
      <w:r w:rsidRPr="00702882">
        <w:rPr>
          <w:b/>
          <w:bCs/>
        </w:rPr>
        <w:t>Adoption and Purpose of Budget Stabilization Funds</w:t>
      </w:r>
      <w:bookmarkEnd w:id="12"/>
    </w:p>
    <w:p w14:paraId="21F7C9FA" w14:textId="4CE078E0" w:rsidR="00AF6702" w:rsidRPr="00702882" w:rsidRDefault="00AF6702" w:rsidP="00C66AC4">
      <w:pPr>
        <w:spacing w:line="480" w:lineRule="auto"/>
        <w:ind w:firstLine="720"/>
      </w:pPr>
      <w:r w:rsidRPr="00702882">
        <w:t xml:space="preserve">BSF structural characteristics refer to “the detailed legal language as prescribed in state statutes or constitutions” regarding the operation of state BSFs </w:t>
      </w:r>
      <w:sdt>
        <w:sdtPr>
          <w:rPr>
            <w:color w:val="000000"/>
          </w:rPr>
          <w:tag w:val="MENDELEY_CITATION_v3_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"/>
          <w:id w:val="-1884166416"/>
          <w:placeholder>
            <w:docPart w:val="6FD4B83145ED4515AAD43365D61EE90C"/>
          </w:placeholder>
        </w:sdtPr>
        <w:sdtContent>
          <w:r w:rsidR="00F520AD" w:rsidRPr="00F520AD">
            <w:rPr>
              <w:color w:val="000000"/>
            </w:rPr>
            <w:t>(Hou, 2004, p. 40)</w:t>
          </w:r>
        </w:sdtContent>
      </w:sdt>
      <w:r w:rsidRPr="00702882">
        <w:t>. Currently, all 50 states in the U.S., except Colorado, have BSFs or implemented a similar policy. Although</w:t>
      </w:r>
      <w:r w:rsidR="00D17656" w:rsidRPr="00702882">
        <w:rPr>
          <w:rFonts w:eastAsiaTheme="minorEastAsia"/>
        </w:rPr>
        <w:t xml:space="preserve"> </w:t>
      </w:r>
      <w:r w:rsidRPr="00702882">
        <w:t xml:space="preserve">Colorado does not </w:t>
      </w:r>
      <w:r w:rsidR="00D17656" w:rsidRPr="00702882">
        <w:rPr>
          <w:rFonts w:eastAsiaTheme="minorEastAsia"/>
        </w:rPr>
        <w:t>maintain</w:t>
      </w:r>
      <w:r w:rsidRPr="00702882">
        <w:t xml:space="preserve"> an official BSF, it has a “required reserve” that helps stabilize budget (NCSL, 2018). Table 1 State Budget Stabilization Funds provides years that BSF enacted. The oldest BSF is the Tax Stabilization Reserve Fund, adopted by New York in 1946. Florida is the second oldest state, establishing the BSF in 1959. New Mexico’s Operating Reserve was built in 1966. In the late 1970s, seven states, including California, Connecticut, Georgia, Michigan, New Mexico (for the second BSF), South Carolina, and Tennessee created their BSFs.</w:t>
      </w:r>
    </w:p>
    <w:p w14:paraId="3A0C3D15" w14:textId="77777777" w:rsidR="00AF6702" w:rsidRPr="00702882" w:rsidRDefault="00AF6702" w:rsidP="00C66AC4">
      <w:pPr>
        <w:spacing w:line="480" w:lineRule="auto"/>
        <w:ind w:firstLine="720"/>
      </w:pPr>
      <w:r w:rsidRPr="00702882">
        <w:t xml:space="preserve">After the recession that occurred in 1980-82, twenty-four states had adopted and implemented their BSFs. Thirteen BSFs were constructed in the 1990s, Illinois and Arkansas adopted the BSFs in 2001 and 2002, respectively. New York built its second BSF, called Rainy Day Reserve Fund, in 2007. Kansas and Montana recently established their BSFs in 2017. From the widespread adoption of BSFs at the state level, a natural question that arises is “why do almost all states in the U.S. adopt and implement BSF policies?” </w:t>
      </w:r>
    </w:p>
    <w:p w14:paraId="60B5B188" w14:textId="462E02F1" w:rsidR="00AF6702" w:rsidRPr="00702882" w:rsidRDefault="00AF6702" w:rsidP="009E450D">
      <w:pPr>
        <w:spacing w:line="480" w:lineRule="auto"/>
        <w:ind w:firstLine="720"/>
        <w:rPr>
          <w:rFonts w:eastAsiaTheme="minorEastAsia"/>
        </w:rPr>
      </w:pPr>
      <w:r w:rsidRPr="00702882">
        <w:t>There are disagreements in the literature regarding the motives for BSF adoption. One of the dominant views is that</w:t>
      </w:r>
      <w:r w:rsidR="009E450D" w:rsidRPr="00702882">
        <w:rPr>
          <w:rFonts w:eastAsiaTheme="minorEastAsia"/>
        </w:rPr>
        <w:t xml:space="preserve"> </w:t>
      </w:r>
      <w:r w:rsidR="009E450D" w:rsidRPr="00702882">
        <w:t>states have adopted BSFs because policymakers recognize the need for funds to alleviate fiscal stress during economic downturns</w:t>
      </w:r>
      <w:r w:rsidRPr="00702882">
        <w:t xml:space="preserve"> </w:t>
      </w:r>
      <w:sdt>
        <w:sdtPr>
          <w:tag w:val="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"/>
          <w:id w:val="-186456721"/>
          <w:placeholder>
            <w:docPart w:val="C49C0C76B5F14B28A09D74EE35CF23DD"/>
          </w:placeholder>
        </w:sdtPr>
        <w:sdtContent>
          <w:r w:rsidR="00F520AD">
            <w:t>(Douglas &amp; Gaddie, 2002; Gold, 1991; Hou, 2003; Sobel &amp; Holcombe, 1996)</w:t>
          </w:r>
        </w:sdtContent>
      </w:sdt>
      <w:r w:rsidRPr="00702882">
        <w:t xml:space="preserve">. In contrast to the perspective that views BSF adoption as the result of </w:t>
      </w:r>
      <w:r w:rsidR="00464C1E" w:rsidRPr="00702882">
        <w:rPr>
          <w:rFonts w:eastAsiaTheme="minorEastAsia"/>
        </w:rPr>
        <w:t>deliberate</w:t>
      </w:r>
      <w:r w:rsidRPr="00702882">
        <w:t xml:space="preserve"> recognition by policymakers</w:t>
      </w:r>
      <w:r w:rsidR="00953E2A" w:rsidRPr="00702882">
        <w:rPr>
          <w:rFonts w:eastAsiaTheme="minorEastAsia"/>
        </w:rPr>
        <w:t xml:space="preserve"> </w:t>
      </w:r>
      <w:sdt>
        <w:sdtPr>
          <w:rPr>
            <w:rFonts w:eastAsiaTheme="minorEastAsia"/>
            <w:color w:val="000000"/>
          </w:rPr>
          <w:tag w:val="MENDELEY_CITATION_v3_eyJjaXRhdGlvbklEIjoiTUVOREVMRVlfQ0lUQVRJT05fMGFlZTVjMWEtOWZiNi00ZGY5LWEyZTYtMDJmNTExZDI5ZGZjIiwicHJvcGVydGllcyI6eyJub3RlSW5kZXgiOjB9LCJpc0VkaXRlZCI6ZmFsc2UsIm1hbnVhbE92ZXJyaWRlIjp7ImlzTWFudWFsbHlPdmVycmlkZGVuIjpmYWxzZSwiY2l0ZXByb2NUZXh0IjoiKEhvdS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XX0="/>
          <w:id w:val="687406078"/>
          <w:placeholder>
            <w:docPart w:val="DefaultPlaceholder_-1854013440"/>
          </w:placeholder>
        </w:sdtPr>
        <w:sdtContent>
          <w:r w:rsidR="00F520AD" w:rsidRPr="00F520AD">
            <w:rPr>
              <w:rFonts w:eastAsiaTheme="minorEastAsia"/>
              <w:color w:val="000000"/>
            </w:rPr>
            <w:t>(Hou, 2004)</w:t>
          </w:r>
        </w:sdtContent>
      </w:sdt>
      <w:r w:rsidRPr="00702882">
        <w:t xml:space="preserve">, others raise doubts </w:t>
      </w:r>
      <w:r w:rsidRPr="00702882">
        <w:lastRenderedPageBreak/>
        <w:t xml:space="preserve">about the intention of BSF adoption and its effectiveness in fiscal stabilization. Wagner and Sobel (2006) offer an alternative argument that BSFs are established to avoid existing fiscal constraints caused by Tax and Expenditure Limits (TELs), rather than preparing for fiscal shocks during economic downturns </w:t>
      </w:r>
      <w:sdt>
        <w:sdtPr>
          <w:tag w:val="MENDELEY_CITATION_v3_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"/>
          <w:id w:val="1415905354"/>
          <w:placeholder>
            <w:docPart w:val="C49C0C76B5F14B28A09D74EE35CF23DD"/>
          </w:placeholder>
        </w:sdtPr>
        <w:sdtContent>
          <w:r w:rsidR="00F520AD">
            <w:t>(Wagner &amp; Sobel, 2006)</w:t>
          </w:r>
        </w:sdtContent>
      </w:sdt>
      <w:r w:rsidRPr="00702882">
        <w:t xml:space="preserve">. </w:t>
      </w:r>
      <w:r w:rsidR="009E450D" w:rsidRPr="00702882">
        <w:rPr>
          <w:rFonts w:eastAsiaTheme="minorEastAsia"/>
        </w:rPr>
        <w:t>They</w:t>
      </w:r>
      <w:r w:rsidRPr="00702882">
        <w:t xml:space="preserve"> (2006) find i) a positive association between TELs and BSF adoption rate and ii) a negative association between TELs and stringent deposit/withdrawal rules.</w:t>
      </w:r>
    </w:p>
    <w:p w14:paraId="43D6F651" w14:textId="4C68EB44" w:rsidR="006A6A23" w:rsidRPr="00702882" w:rsidRDefault="00AF6702" w:rsidP="00EC76F9">
      <w:pPr>
        <w:shd w:val="clear" w:color="auto" w:fill="FFFFFF"/>
        <w:spacing w:line="480" w:lineRule="auto"/>
        <w:ind w:firstLine="720"/>
      </w:pPr>
      <w:r w:rsidRPr="00702882">
        <w:t xml:space="preserve">The debate about the motives for adopting BSFs led to research on the determinants of BSF characteristics because it is believed that the motives for BSFs affect their characteristics. For example, if the main purpose of BSF adoption is to circumvent political and institutional restrictions, BSF rules are likely to be loosely structured to gain easy access to funds (Wagner &amp; Sobel, 2006). In contrast, if the key motive for creating BSFs is to relieve fiscal stress, BSF rules will be strictly structured to ward off spending pressures and the overuse of general fund balances </w:t>
      </w:r>
      <w:sdt>
        <w:sdtPr>
          <w:rPr>
            <w:color w:val="000000"/>
          </w:rPr>
          <w:tag w:val="MENDELEY_CITATION_v3_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"/>
          <w:id w:val="1735744848"/>
          <w:placeholder>
            <w:docPart w:val="C49C0C76B5F14B28A09D74EE35CF23DD"/>
          </w:placeholder>
        </w:sdtPr>
        <w:sdtContent>
          <w:r w:rsidR="00F520AD" w:rsidRPr="00F520AD">
            <w:rPr>
              <w:color w:val="000000"/>
            </w:rPr>
            <w:t>(Hou, 2003)</w:t>
          </w:r>
        </w:sdtContent>
      </w:sdt>
      <w:r w:rsidRPr="00702882">
        <w:t xml:space="preserve">. </w:t>
      </w:r>
      <w:r w:rsidR="00EC76F9" w:rsidRPr="00702882">
        <w:t>Rodriguez-Tejedo (2012) finds that the stringency of BSF rules depends on political, institutional, and fiscal factors within the state. Specifically, larger state senates and expenditure volatility are associated with weaker deposit and withdrawal rules, while the volatility of tax revenues is linked to stricter withdrawal rules.</w:t>
      </w:r>
      <w:sdt>
        <w:sdtPr>
          <w:rPr>
            <w:rFonts w:eastAsiaTheme="minorEastAsia"/>
            <w:color w:val="000000"/>
          </w:rPr>
          <w:tag w:val="MENDELEY_CITATION_v3_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"/>
          <w:id w:val="-646435094"/>
          <w:placeholder>
            <w:docPart w:val="DefaultPlaceholder_-1854013440"/>
          </w:placeholder>
        </w:sdtPr>
        <w:sdtContent>
          <w:r w:rsidR="00F520AD" w:rsidRPr="00F520AD">
            <w:rPr>
              <w:rFonts w:eastAsiaTheme="minorEastAsia"/>
              <w:color w:val="000000"/>
            </w:rPr>
            <w:t>(Rodríguez-Tejedo, 2012)</w:t>
          </w:r>
        </w:sdtContent>
      </w:sdt>
      <w:r w:rsidR="00AE471A" w:rsidRPr="00702882">
        <w:rPr>
          <w:rFonts w:eastAsiaTheme="minorEastAsia"/>
        </w:rPr>
        <w:t>.</w:t>
      </w:r>
    </w:p>
    <w:p w14:paraId="720684CB" w14:textId="77777777" w:rsidR="000A5995" w:rsidRPr="00702882" w:rsidRDefault="000A5995" w:rsidP="00C66AC4">
      <w:pPr>
        <w:shd w:val="clear" w:color="auto" w:fill="FFFFFF"/>
        <w:spacing w:line="480" w:lineRule="auto"/>
        <w:rPr>
          <w:rFonts w:eastAsiaTheme="minorEastAsia"/>
          <w:b/>
          <w:bCs/>
          <w:color w:val="7030A0"/>
        </w:rPr>
      </w:pPr>
    </w:p>
    <w:p w14:paraId="7D1F75B3" w14:textId="77777777" w:rsidR="009E450D" w:rsidRPr="00702882" w:rsidRDefault="009E450D" w:rsidP="00C66AC4">
      <w:pPr>
        <w:shd w:val="clear" w:color="auto" w:fill="FFFFFF"/>
        <w:spacing w:line="480" w:lineRule="auto"/>
        <w:rPr>
          <w:rFonts w:eastAsiaTheme="minorEastAsia"/>
          <w:b/>
          <w:bCs/>
          <w:color w:val="7030A0"/>
        </w:rPr>
      </w:pPr>
    </w:p>
    <w:p w14:paraId="23693364" w14:textId="77777777" w:rsidR="009E450D" w:rsidRPr="00702882" w:rsidRDefault="009E450D" w:rsidP="00C66AC4">
      <w:pPr>
        <w:shd w:val="clear" w:color="auto" w:fill="FFFFFF"/>
        <w:spacing w:line="480" w:lineRule="auto"/>
        <w:rPr>
          <w:rFonts w:eastAsiaTheme="minorEastAsia"/>
          <w:b/>
          <w:bCs/>
          <w:color w:val="7030A0"/>
        </w:rPr>
      </w:pPr>
    </w:p>
    <w:p w14:paraId="175458EA" w14:textId="77777777" w:rsidR="009E450D" w:rsidRPr="00702882" w:rsidRDefault="009E450D" w:rsidP="00C66AC4">
      <w:pPr>
        <w:shd w:val="clear" w:color="auto" w:fill="FFFFFF"/>
        <w:spacing w:line="480" w:lineRule="auto"/>
        <w:rPr>
          <w:rFonts w:eastAsiaTheme="minorEastAsia"/>
          <w:b/>
          <w:bCs/>
          <w:color w:val="7030A0"/>
        </w:rPr>
      </w:pPr>
    </w:p>
    <w:p w14:paraId="510A8F7C" w14:textId="77777777" w:rsidR="009E450D" w:rsidRPr="00702882" w:rsidRDefault="009E450D" w:rsidP="00C66AC4">
      <w:pPr>
        <w:shd w:val="clear" w:color="auto" w:fill="FFFFFF"/>
        <w:spacing w:line="480" w:lineRule="auto"/>
        <w:rPr>
          <w:rFonts w:eastAsiaTheme="minorEastAsia"/>
          <w:b/>
          <w:bCs/>
          <w:color w:val="7030A0"/>
        </w:rPr>
      </w:pPr>
    </w:p>
    <w:p w14:paraId="2F53AA87" w14:textId="77777777" w:rsidR="009E450D" w:rsidRPr="00702882" w:rsidRDefault="009E450D" w:rsidP="00C66AC4">
      <w:pPr>
        <w:shd w:val="clear" w:color="auto" w:fill="FFFFFF"/>
        <w:spacing w:line="480" w:lineRule="auto"/>
        <w:rPr>
          <w:rFonts w:eastAsiaTheme="minorEastAsia"/>
          <w:b/>
          <w:bCs/>
          <w:color w:val="7030A0"/>
        </w:rPr>
      </w:pPr>
    </w:p>
    <w:p w14:paraId="2F0070B4" w14:textId="77777777" w:rsidR="001E2763" w:rsidRPr="00702882" w:rsidRDefault="001E2763" w:rsidP="00C66AC4">
      <w:pPr>
        <w:shd w:val="clear" w:color="auto" w:fill="FFFFFF"/>
        <w:spacing w:line="480" w:lineRule="auto"/>
        <w:rPr>
          <w:rFonts w:eastAsiaTheme="minorEastAsia"/>
          <w:b/>
          <w:bCs/>
          <w:color w:val="7030A0"/>
        </w:rPr>
      </w:pPr>
    </w:p>
    <w:p w14:paraId="6BC6A9FF" w14:textId="4627FA8A" w:rsidR="009E450D" w:rsidRPr="00702882" w:rsidRDefault="009E450D" w:rsidP="009E450D">
      <w:pPr>
        <w:spacing w:line="480" w:lineRule="auto"/>
        <w:jc w:val="center"/>
        <w:rPr>
          <w:b/>
          <w:bCs/>
        </w:rPr>
      </w:pPr>
      <w:r w:rsidRPr="00702882">
        <w:rPr>
          <w:b/>
          <w:bCs/>
        </w:rPr>
        <w:lastRenderedPageBreak/>
        <w:t xml:space="preserve">Table </w:t>
      </w:r>
      <w:r w:rsidR="00F149E0" w:rsidRPr="00702882">
        <w:rPr>
          <w:rFonts w:eastAsiaTheme="minorEastAsia"/>
          <w:b/>
          <w:bCs/>
        </w:rPr>
        <w:t>1</w:t>
      </w:r>
      <w:r w:rsidRPr="00702882">
        <w:rPr>
          <w:b/>
          <w:bCs/>
        </w:rPr>
        <w:t>. State Budget Stabilization Fund</w:t>
      </w:r>
      <w:bookmarkStart w:id="13" w:name="StateBudgetStabilizationFunds"/>
      <w:bookmarkEnd w:id="13"/>
      <w:r w:rsidRPr="00702882">
        <w:rPr>
          <w:b/>
          <w:bCs/>
        </w:rPr>
        <w:t>s</w:t>
      </w:r>
    </w:p>
    <w:tbl>
      <w:tblPr>
        <w:tblW w:w="9175" w:type="dxa"/>
        <w:tblInd w:w="113" w:type="dxa"/>
        <w:tblLook w:val="04A0" w:firstRow="1" w:lastRow="0" w:firstColumn="1" w:lastColumn="0" w:noHBand="0" w:noVBand="1"/>
      </w:tblPr>
      <w:tblGrid>
        <w:gridCol w:w="1705"/>
        <w:gridCol w:w="5940"/>
        <w:gridCol w:w="1530"/>
      </w:tblGrid>
      <w:tr w:rsidR="00EC76F9" w:rsidRPr="00702882" w14:paraId="4D2B88AA" w14:textId="77777777" w:rsidTr="00D91E84">
        <w:trPr>
          <w:trHeight w:val="57"/>
          <w:tblHeader/>
        </w:trPr>
        <w:tc>
          <w:tcPr>
            <w:tcW w:w="1705" w:type="dxa"/>
            <w:tcBorders>
              <w:top w:val="single" w:sz="8" w:space="0" w:color="auto"/>
              <w:bottom w:val="single" w:sz="8" w:space="0" w:color="auto"/>
            </w:tcBorders>
            <w:shd w:val="clear" w:color="auto" w:fill="auto"/>
            <w:noWrap/>
            <w:hideMark/>
          </w:tcPr>
          <w:p w14:paraId="3F749984" w14:textId="77777777" w:rsidR="009E450D" w:rsidRPr="00702882" w:rsidRDefault="009E450D" w:rsidP="00D91E84">
            <w:pPr>
              <w:rPr>
                <w:sz w:val="22"/>
              </w:rPr>
            </w:pPr>
            <w:r w:rsidRPr="00702882">
              <w:rPr>
                <w:sz w:val="22"/>
                <w:szCs w:val="22"/>
              </w:rPr>
              <w:t xml:space="preserve">State </w:t>
            </w:r>
          </w:p>
        </w:tc>
        <w:tc>
          <w:tcPr>
            <w:tcW w:w="5940" w:type="dxa"/>
            <w:tcBorders>
              <w:top w:val="single" w:sz="8" w:space="0" w:color="auto"/>
              <w:bottom w:val="single" w:sz="8" w:space="0" w:color="auto"/>
            </w:tcBorders>
            <w:shd w:val="clear" w:color="auto" w:fill="auto"/>
            <w:noWrap/>
            <w:hideMark/>
          </w:tcPr>
          <w:p w14:paraId="77323CC9" w14:textId="77777777" w:rsidR="009E450D" w:rsidRPr="00702882" w:rsidRDefault="009E450D" w:rsidP="00D91E84">
            <w:pPr>
              <w:rPr>
                <w:sz w:val="22"/>
              </w:rPr>
            </w:pPr>
            <w:r w:rsidRPr="00702882">
              <w:rPr>
                <w:sz w:val="22"/>
                <w:szCs w:val="22"/>
              </w:rPr>
              <w:t>Fund Name</w:t>
            </w:r>
          </w:p>
        </w:tc>
        <w:tc>
          <w:tcPr>
            <w:tcW w:w="1530" w:type="dxa"/>
            <w:tcBorders>
              <w:top w:val="single" w:sz="8" w:space="0" w:color="auto"/>
              <w:bottom w:val="single" w:sz="8" w:space="0" w:color="auto"/>
            </w:tcBorders>
            <w:shd w:val="clear" w:color="auto" w:fill="auto"/>
            <w:hideMark/>
          </w:tcPr>
          <w:p w14:paraId="5D52D112" w14:textId="77777777" w:rsidR="009E450D" w:rsidRPr="00702882" w:rsidRDefault="009E450D" w:rsidP="00D91E84">
            <w:pPr>
              <w:rPr>
                <w:sz w:val="22"/>
              </w:rPr>
            </w:pPr>
            <w:r w:rsidRPr="00702882">
              <w:rPr>
                <w:sz w:val="22"/>
                <w:szCs w:val="22"/>
              </w:rPr>
              <w:t>Years enacted</w:t>
            </w:r>
          </w:p>
        </w:tc>
      </w:tr>
      <w:tr w:rsidR="00EC76F9" w:rsidRPr="00702882" w14:paraId="5B740D2A" w14:textId="77777777" w:rsidTr="00D91E84">
        <w:trPr>
          <w:trHeight w:val="57"/>
        </w:trPr>
        <w:tc>
          <w:tcPr>
            <w:tcW w:w="1705" w:type="dxa"/>
            <w:vMerge w:val="restart"/>
            <w:tcBorders>
              <w:top w:val="single" w:sz="8" w:space="0" w:color="auto"/>
            </w:tcBorders>
            <w:shd w:val="clear" w:color="auto" w:fill="auto"/>
            <w:noWrap/>
            <w:hideMark/>
          </w:tcPr>
          <w:p w14:paraId="1A26B588" w14:textId="77777777" w:rsidR="009E450D" w:rsidRPr="00702882" w:rsidRDefault="009E450D" w:rsidP="00D91E84">
            <w:pPr>
              <w:rPr>
                <w:sz w:val="22"/>
              </w:rPr>
            </w:pPr>
            <w:r w:rsidRPr="00702882">
              <w:rPr>
                <w:sz w:val="22"/>
                <w:szCs w:val="22"/>
              </w:rPr>
              <w:t>Alabama</w:t>
            </w:r>
          </w:p>
        </w:tc>
        <w:tc>
          <w:tcPr>
            <w:tcW w:w="5940" w:type="dxa"/>
            <w:tcBorders>
              <w:top w:val="single" w:sz="8" w:space="0" w:color="auto"/>
            </w:tcBorders>
            <w:shd w:val="clear" w:color="auto" w:fill="auto"/>
            <w:noWrap/>
            <w:hideMark/>
          </w:tcPr>
          <w:p w14:paraId="5A0ED8BA" w14:textId="77777777" w:rsidR="009E450D" w:rsidRPr="00702882" w:rsidRDefault="009E450D" w:rsidP="00D91E84">
            <w:pPr>
              <w:rPr>
                <w:sz w:val="22"/>
                <w:szCs w:val="22"/>
              </w:rPr>
            </w:pPr>
            <w:r w:rsidRPr="00702882">
              <w:rPr>
                <w:sz w:val="22"/>
                <w:szCs w:val="22"/>
              </w:rPr>
              <w:t>Education Trust Fund Rainy Day Account</w:t>
            </w:r>
            <w:r w:rsidRPr="00702882">
              <w:rPr>
                <w:rStyle w:val="a5"/>
                <w:sz w:val="22"/>
                <w:szCs w:val="22"/>
              </w:rPr>
              <w:footnoteReference w:id="2"/>
            </w:r>
          </w:p>
        </w:tc>
        <w:tc>
          <w:tcPr>
            <w:tcW w:w="1530" w:type="dxa"/>
            <w:tcBorders>
              <w:top w:val="single" w:sz="8" w:space="0" w:color="auto"/>
            </w:tcBorders>
            <w:shd w:val="clear" w:color="auto" w:fill="auto"/>
            <w:hideMark/>
          </w:tcPr>
          <w:p w14:paraId="069D4BDD" w14:textId="77777777" w:rsidR="009E450D" w:rsidRPr="00702882" w:rsidRDefault="009E450D" w:rsidP="00D91E84">
            <w:pPr>
              <w:rPr>
                <w:sz w:val="22"/>
              </w:rPr>
            </w:pPr>
            <w:r w:rsidRPr="00702882">
              <w:rPr>
                <w:sz w:val="22"/>
                <w:szCs w:val="22"/>
              </w:rPr>
              <w:t>2002</w:t>
            </w:r>
          </w:p>
        </w:tc>
      </w:tr>
      <w:tr w:rsidR="00EC76F9" w:rsidRPr="00702882" w14:paraId="008C1130" w14:textId="77777777" w:rsidTr="00D91E84">
        <w:trPr>
          <w:trHeight w:val="57"/>
        </w:trPr>
        <w:tc>
          <w:tcPr>
            <w:tcW w:w="1705" w:type="dxa"/>
            <w:vMerge/>
            <w:shd w:val="clear" w:color="auto" w:fill="auto"/>
            <w:noWrap/>
          </w:tcPr>
          <w:p w14:paraId="0E29E0B9" w14:textId="77777777" w:rsidR="009E450D" w:rsidRPr="00702882" w:rsidRDefault="009E450D" w:rsidP="00D91E84">
            <w:pPr>
              <w:rPr>
                <w:sz w:val="22"/>
                <w:szCs w:val="22"/>
              </w:rPr>
            </w:pPr>
          </w:p>
        </w:tc>
        <w:tc>
          <w:tcPr>
            <w:tcW w:w="5940" w:type="dxa"/>
            <w:shd w:val="clear" w:color="auto" w:fill="auto"/>
            <w:noWrap/>
          </w:tcPr>
          <w:p w14:paraId="779ED239" w14:textId="77777777" w:rsidR="009E450D" w:rsidRPr="00702882" w:rsidRDefault="009E450D" w:rsidP="00D91E84">
            <w:pPr>
              <w:rPr>
                <w:sz w:val="22"/>
                <w:szCs w:val="22"/>
              </w:rPr>
            </w:pPr>
            <w:r w:rsidRPr="00702882">
              <w:rPr>
                <w:sz w:val="22"/>
                <w:szCs w:val="22"/>
              </w:rPr>
              <w:t>General Fund Rainy Day Account</w:t>
            </w:r>
          </w:p>
        </w:tc>
        <w:tc>
          <w:tcPr>
            <w:tcW w:w="1530" w:type="dxa"/>
            <w:shd w:val="clear" w:color="auto" w:fill="auto"/>
          </w:tcPr>
          <w:p w14:paraId="22F3DDAE" w14:textId="77777777" w:rsidR="009E450D" w:rsidRPr="00702882" w:rsidRDefault="009E450D" w:rsidP="00D91E84">
            <w:pPr>
              <w:rPr>
                <w:sz w:val="22"/>
                <w:szCs w:val="22"/>
              </w:rPr>
            </w:pPr>
            <w:r w:rsidRPr="00702882">
              <w:rPr>
                <w:sz w:val="22"/>
                <w:szCs w:val="22"/>
              </w:rPr>
              <w:t>2008</w:t>
            </w:r>
          </w:p>
        </w:tc>
      </w:tr>
      <w:tr w:rsidR="00EC76F9" w:rsidRPr="00702882" w14:paraId="4146FCF4" w14:textId="77777777" w:rsidTr="00D91E84">
        <w:trPr>
          <w:trHeight w:val="57"/>
        </w:trPr>
        <w:tc>
          <w:tcPr>
            <w:tcW w:w="1705" w:type="dxa"/>
            <w:vMerge w:val="restart"/>
            <w:shd w:val="clear" w:color="auto" w:fill="auto"/>
            <w:noWrap/>
            <w:hideMark/>
          </w:tcPr>
          <w:p w14:paraId="187C2207" w14:textId="77777777" w:rsidR="009E450D" w:rsidRPr="00702882" w:rsidRDefault="009E450D" w:rsidP="00D91E84">
            <w:pPr>
              <w:rPr>
                <w:sz w:val="22"/>
              </w:rPr>
            </w:pPr>
            <w:r w:rsidRPr="00702882">
              <w:rPr>
                <w:sz w:val="22"/>
                <w:szCs w:val="22"/>
              </w:rPr>
              <w:t>Alaska</w:t>
            </w:r>
          </w:p>
        </w:tc>
        <w:tc>
          <w:tcPr>
            <w:tcW w:w="5940" w:type="dxa"/>
            <w:shd w:val="clear" w:color="auto" w:fill="auto"/>
            <w:noWrap/>
            <w:hideMark/>
          </w:tcPr>
          <w:p w14:paraId="6D3213E0" w14:textId="77777777" w:rsidR="009E450D" w:rsidRPr="00702882" w:rsidRDefault="009E450D" w:rsidP="00D91E84">
            <w:pPr>
              <w:rPr>
                <w:sz w:val="22"/>
              </w:rPr>
            </w:pPr>
            <w:r w:rsidRPr="00702882">
              <w:rPr>
                <w:sz w:val="22"/>
                <w:szCs w:val="22"/>
              </w:rPr>
              <w:t>Constitutional Budget Reserve Fund</w:t>
            </w:r>
          </w:p>
        </w:tc>
        <w:tc>
          <w:tcPr>
            <w:tcW w:w="1530" w:type="dxa"/>
            <w:shd w:val="clear" w:color="auto" w:fill="auto"/>
            <w:hideMark/>
          </w:tcPr>
          <w:p w14:paraId="35315998" w14:textId="77777777" w:rsidR="009E450D" w:rsidRPr="00702882" w:rsidRDefault="009E450D" w:rsidP="00D91E84">
            <w:pPr>
              <w:rPr>
                <w:sz w:val="22"/>
              </w:rPr>
            </w:pPr>
            <w:r w:rsidRPr="00702882">
              <w:rPr>
                <w:sz w:val="22"/>
                <w:szCs w:val="22"/>
              </w:rPr>
              <w:t>1990</w:t>
            </w:r>
          </w:p>
        </w:tc>
      </w:tr>
      <w:tr w:rsidR="00EC76F9" w:rsidRPr="00702882" w14:paraId="0B709FE5" w14:textId="77777777" w:rsidTr="00D91E84">
        <w:trPr>
          <w:trHeight w:val="57"/>
        </w:trPr>
        <w:tc>
          <w:tcPr>
            <w:tcW w:w="1705" w:type="dxa"/>
            <w:vMerge/>
            <w:vAlign w:val="center"/>
            <w:hideMark/>
          </w:tcPr>
          <w:p w14:paraId="5B62E339" w14:textId="77777777" w:rsidR="009E450D" w:rsidRPr="00702882" w:rsidRDefault="009E450D" w:rsidP="00D91E84">
            <w:pPr>
              <w:rPr>
                <w:sz w:val="22"/>
              </w:rPr>
            </w:pPr>
          </w:p>
        </w:tc>
        <w:tc>
          <w:tcPr>
            <w:tcW w:w="5940" w:type="dxa"/>
            <w:shd w:val="clear" w:color="auto" w:fill="auto"/>
            <w:noWrap/>
            <w:hideMark/>
          </w:tcPr>
          <w:p w14:paraId="7BB3DF97" w14:textId="77777777" w:rsidR="009E450D" w:rsidRPr="00702882" w:rsidRDefault="009E450D" w:rsidP="00D91E84">
            <w:pPr>
              <w:rPr>
                <w:sz w:val="22"/>
              </w:rPr>
            </w:pPr>
            <w:r w:rsidRPr="00702882">
              <w:rPr>
                <w:sz w:val="22"/>
                <w:szCs w:val="22"/>
              </w:rPr>
              <w:t>Budget Reserve Fund</w:t>
            </w:r>
          </w:p>
        </w:tc>
        <w:tc>
          <w:tcPr>
            <w:tcW w:w="1530" w:type="dxa"/>
            <w:shd w:val="clear" w:color="auto" w:fill="auto"/>
            <w:hideMark/>
          </w:tcPr>
          <w:p w14:paraId="3E95948C" w14:textId="77777777" w:rsidR="009E450D" w:rsidRPr="00702882" w:rsidRDefault="009E450D" w:rsidP="00D91E84">
            <w:pPr>
              <w:rPr>
                <w:sz w:val="22"/>
              </w:rPr>
            </w:pPr>
            <w:r w:rsidRPr="00702882">
              <w:rPr>
                <w:sz w:val="22"/>
                <w:szCs w:val="22"/>
              </w:rPr>
              <w:t>2013</w:t>
            </w:r>
          </w:p>
        </w:tc>
      </w:tr>
      <w:tr w:rsidR="00EC76F9" w:rsidRPr="00702882" w14:paraId="78E4A120" w14:textId="77777777" w:rsidTr="00D91E84">
        <w:trPr>
          <w:trHeight w:val="57"/>
        </w:trPr>
        <w:tc>
          <w:tcPr>
            <w:tcW w:w="1705" w:type="dxa"/>
            <w:shd w:val="clear" w:color="auto" w:fill="auto"/>
            <w:noWrap/>
            <w:hideMark/>
          </w:tcPr>
          <w:p w14:paraId="7AB2D048" w14:textId="77777777" w:rsidR="009E450D" w:rsidRPr="00702882" w:rsidRDefault="009E450D" w:rsidP="00D91E84">
            <w:pPr>
              <w:rPr>
                <w:sz w:val="22"/>
              </w:rPr>
            </w:pPr>
            <w:r w:rsidRPr="00702882">
              <w:rPr>
                <w:sz w:val="22"/>
                <w:szCs w:val="22"/>
              </w:rPr>
              <w:t>Arizona</w:t>
            </w:r>
          </w:p>
        </w:tc>
        <w:tc>
          <w:tcPr>
            <w:tcW w:w="5940" w:type="dxa"/>
            <w:shd w:val="clear" w:color="auto" w:fill="auto"/>
            <w:noWrap/>
            <w:hideMark/>
          </w:tcPr>
          <w:p w14:paraId="38ED4DEC" w14:textId="77777777" w:rsidR="009E450D" w:rsidRPr="00702882" w:rsidRDefault="009E450D" w:rsidP="00D91E84">
            <w:pPr>
              <w:rPr>
                <w:sz w:val="22"/>
              </w:rPr>
            </w:pPr>
            <w:r w:rsidRPr="00702882">
              <w:rPr>
                <w:sz w:val="22"/>
                <w:szCs w:val="22"/>
              </w:rPr>
              <w:t>Budget Stabilization Fund</w:t>
            </w:r>
          </w:p>
        </w:tc>
        <w:tc>
          <w:tcPr>
            <w:tcW w:w="1530" w:type="dxa"/>
            <w:shd w:val="clear" w:color="auto" w:fill="auto"/>
            <w:hideMark/>
          </w:tcPr>
          <w:p w14:paraId="02D322A4" w14:textId="77777777" w:rsidR="009E450D" w:rsidRPr="00702882" w:rsidRDefault="009E450D" w:rsidP="00D91E84">
            <w:pPr>
              <w:rPr>
                <w:sz w:val="22"/>
              </w:rPr>
            </w:pPr>
            <w:r w:rsidRPr="00702882">
              <w:rPr>
                <w:sz w:val="22"/>
                <w:szCs w:val="22"/>
              </w:rPr>
              <w:t>1990</w:t>
            </w:r>
          </w:p>
        </w:tc>
      </w:tr>
      <w:tr w:rsidR="00EC76F9" w:rsidRPr="00702882" w14:paraId="0D9D20CE" w14:textId="77777777" w:rsidTr="00D91E84">
        <w:trPr>
          <w:trHeight w:val="57"/>
        </w:trPr>
        <w:tc>
          <w:tcPr>
            <w:tcW w:w="1705" w:type="dxa"/>
            <w:vMerge w:val="restart"/>
            <w:shd w:val="clear" w:color="auto" w:fill="auto"/>
            <w:noWrap/>
            <w:hideMark/>
          </w:tcPr>
          <w:p w14:paraId="760647A1" w14:textId="77777777" w:rsidR="009E450D" w:rsidRPr="00702882" w:rsidRDefault="009E450D" w:rsidP="00D91E84">
            <w:pPr>
              <w:rPr>
                <w:sz w:val="22"/>
              </w:rPr>
            </w:pPr>
            <w:r w:rsidRPr="00702882">
              <w:rPr>
                <w:sz w:val="22"/>
                <w:szCs w:val="22"/>
              </w:rPr>
              <w:t>Arkansas</w:t>
            </w:r>
          </w:p>
        </w:tc>
        <w:tc>
          <w:tcPr>
            <w:tcW w:w="5940" w:type="dxa"/>
            <w:shd w:val="clear" w:color="auto" w:fill="auto"/>
            <w:noWrap/>
            <w:hideMark/>
          </w:tcPr>
          <w:p w14:paraId="69F6D7C2" w14:textId="77777777" w:rsidR="009E450D" w:rsidRPr="00702882" w:rsidRDefault="009E450D" w:rsidP="00D91E84">
            <w:pPr>
              <w:rPr>
                <w:sz w:val="22"/>
              </w:rPr>
            </w:pPr>
            <w:r w:rsidRPr="00702882">
              <w:rPr>
                <w:sz w:val="22"/>
                <w:szCs w:val="22"/>
              </w:rPr>
              <w:t>Long Term Reserve Fund</w:t>
            </w:r>
          </w:p>
        </w:tc>
        <w:tc>
          <w:tcPr>
            <w:tcW w:w="1530" w:type="dxa"/>
            <w:shd w:val="clear" w:color="auto" w:fill="auto"/>
            <w:hideMark/>
          </w:tcPr>
          <w:p w14:paraId="3DC01973" w14:textId="77777777" w:rsidR="009E450D" w:rsidRPr="00702882" w:rsidRDefault="009E450D" w:rsidP="00D91E84">
            <w:pPr>
              <w:rPr>
                <w:sz w:val="22"/>
              </w:rPr>
            </w:pPr>
            <w:r w:rsidRPr="00702882">
              <w:rPr>
                <w:sz w:val="22"/>
                <w:szCs w:val="22"/>
              </w:rPr>
              <w:t>2002</w:t>
            </w:r>
          </w:p>
        </w:tc>
      </w:tr>
      <w:tr w:rsidR="00EC76F9" w:rsidRPr="00702882" w14:paraId="083B765C" w14:textId="77777777" w:rsidTr="00D91E84">
        <w:trPr>
          <w:trHeight w:val="57"/>
        </w:trPr>
        <w:tc>
          <w:tcPr>
            <w:tcW w:w="1705" w:type="dxa"/>
            <w:vMerge/>
            <w:vAlign w:val="center"/>
            <w:hideMark/>
          </w:tcPr>
          <w:p w14:paraId="60003203" w14:textId="77777777" w:rsidR="009E450D" w:rsidRPr="00702882" w:rsidRDefault="009E450D" w:rsidP="00D91E84">
            <w:pPr>
              <w:rPr>
                <w:sz w:val="22"/>
              </w:rPr>
            </w:pPr>
          </w:p>
        </w:tc>
        <w:tc>
          <w:tcPr>
            <w:tcW w:w="5940" w:type="dxa"/>
            <w:shd w:val="clear" w:color="auto" w:fill="auto"/>
            <w:noWrap/>
            <w:hideMark/>
          </w:tcPr>
          <w:p w14:paraId="028B7941" w14:textId="77777777" w:rsidR="009E450D" w:rsidRPr="00702882" w:rsidRDefault="009E450D" w:rsidP="00D91E84">
            <w:pPr>
              <w:rPr>
                <w:sz w:val="22"/>
              </w:rPr>
            </w:pPr>
            <w:r w:rsidRPr="00702882">
              <w:rPr>
                <w:sz w:val="22"/>
                <w:szCs w:val="22"/>
              </w:rPr>
              <w:t xml:space="preserve">Rainy Day Fund </w:t>
            </w:r>
          </w:p>
        </w:tc>
        <w:tc>
          <w:tcPr>
            <w:tcW w:w="1530" w:type="dxa"/>
            <w:shd w:val="clear" w:color="auto" w:fill="auto"/>
            <w:hideMark/>
          </w:tcPr>
          <w:p w14:paraId="3BB77620" w14:textId="77777777" w:rsidR="009E450D" w:rsidRPr="00702882" w:rsidRDefault="009E450D" w:rsidP="00D91E84">
            <w:pPr>
              <w:rPr>
                <w:sz w:val="22"/>
              </w:rPr>
            </w:pPr>
            <w:r w:rsidRPr="00702882">
              <w:rPr>
                <w:sz w:val="22"/>
                <w:szCs w:val="22"/>
              </w:rPr>
              <w:t>2017</w:t>
            </w:r>
          </w:p>
        </w:tc>
      </w:tr>
      <w:tr w:rsidR="00EC76F9" w:rsidRPr="00702882" w14:paraId="09C35866" w14:textId="77777777" w:rsidTr="00D91E84">
        <w:trPr>
          <w:trHeight w:val="57"/>
        </w:trPr>
        <w:tc>
          <w:tcPr>
            <w:tcW w:w="1705" w:type="dxa"/>
            <w:vMerge w:val="restart"/>
            <w:shd w:val="clear" w:color="auto" w:fill="auto"/>
            <w:noWrap/>
            <w:hideMark/>
          </w:tcPr>
          <w:p w14:paraId="6C384B89" w14:textId="77777777" w:rsidR="009E450D" w:rsidRPr="00702882" w:rsidRDefault="009E450D" w:rsidP="00D91E84">
            <w:pPr>
              <w:rPr>
                <w:sz w:val="22"/>
              </w:rPr>
            </w:pPr>
            <w:r w:rsidRPr="00702882">
              <w:rPr>
                <w:sz w:val="22"/>
                <w:szCs w:val="22"/>
              </w:rPr>
              <w:t xml:space="preserve">California </w:t>
            </w:r>
          </w:p>
        </w:tc>
        <w:tc>
          <w:tcPr>
            <w:tcW w:w="5940" w:type="dxa"/>
            <w:shd w:val="clear" w:color="auto" w:fill="auto"/>
            <w:noWrap/>
            <w:hideMark/>
          </w:tcPr>
          <w:p w14:paraId="46B6B5BD" w14:textId="77777777" w:rsidR="009E450D" w:rsidRPr="00702882" w:rsidRDefault="009E450D" w:rsidP="00D91E84">
            <w:pPr>
              <w:rPr>
                <w:sz w:val="22"/>
              </w:rPr>
            </w:pPr>
            <w:r w:rsidRPr="00702882">
              <w:rPr>
                <w:sz w:val="22"/>
                <w:szCs w:val="22"/>
              </w:rPr>
              <w:t xml:space="preserve">Special Fund for Economic Uncertainties </w:t>
            </w:r>
          </w:p>
        </w:tc>
        <w:tc>
          <w:tcPr>
            <w:tcW w:w="1530" w:type="dxa"/>
            <w:shd w:val="clear" w:color="auto" w:fill="auto"/>
            <w:hideMark/>
          </w:tcPr>
          <w:p w14:paraId="6A66EDF2" w14:textId="77777777" w:rsidR="009E450D" w:rsidRPr="00702882" w:rsidRDefault="009E450D" w:rsidP="00D91E84">
            <w:pPr>
              <w:rPr>
                <w:sz w:val="22"/>
              </w:rPr>
            </w:pPr>
            <w:r w:rsidRPr="00702882">
              <w:rPr>
                <w:sz w:val="22"/>
                <w:szCs w:val="22"/>
              </w:rPr>
              <w:t>1980</w:t>
            </w:r>
          </w:p>
        </w:tc>
      </w:tr>
      <w:tr w:rsidR="00EC76F9" w:rsidRPr="00702882" w14:paraId="147565F2" w14:textId="77777777" w:rsidTr="00D91E84">
        <w:trPr>
          <w:trHeight w:val="57"/>
        </w:trPr>
        <w:tc>
          <w:tcPr>
            <w:tcW w:w="1705" w:type="dxa"/>
            <w:vMerge/>
            <w:vAlign w:val="center"/>
            <w:hideMark/>
          </w:tcPr>
          <w:p w14:paraId="262301B8" w14:textId="77777777" w:rsidR="009E450D" w:rsidRPr="00702882" w:rsidRDefault="009E450D" w:rsidP="00D91E84">
            <w:pPr>
              <w:rPr>
                <w:sz w:val="22"/>
              </w:rPr>
            </w:pPr>
          </w:p>
        </w:tc>
        <w:tc>
          <w:tcPr>
            <w:tcW w:w="5940" w:type="dxa"/>
            <w:shd w:val="clear" w:color="auto" w:fill="auto"/>
            <w:noWrap/>
            <w:hideMark/>
          </w:tcPr>
          <w:p w14:paraId="2805C052" w14:textId="77777777" w:rsidR="009E450D" w:rsidRPr="00702882" w:rsidRDefault="009E450D" w:rsidP="00D91E84">
            <w:pPr>
              <w:rPr>
                <w:sz w:val="22"/>
              </w:rPr>
            </w:pPr>
            <w:r w:rsidRPr="00702882">
              <w:rPr>
                <w:sz w:val="22"/>
                <w:szCs w:val="22"/>
              </w:rPr>
              <w:t>Budget Stabilization Account</w:t>
            </w:r>
          </w:p>
        </w:tc>
        <w:tc>
          <w:tcPr>
            <w:tcW w:w="1530" w:type="dxa"/>
            <w:shd w:val="clear" w:color="auto" w:fill="auto"/>
            <w:hideMark/>
          </w:tcPr>
          <w:p w14:paraId="7FAFC069" w14:textId="77777777" w:rsidR="009E450D" w:rsidRPr="00702882" w:rsidRDefault="009E450D" w:rsidP="00D91E84">
            <w:pPr>
              <w:rPr>
                <w:sz w:val="22"/>
              </w:rPr>
            </w:pPr>
            <w:r w:rsidRPr="00702882">
              <w:rPr>
                <w:sz w:val="22"/>
                <w:szCs w:val="22"/>
              </w:rPr>
              <w:t>1980</w:t>
            </w:r>
          </w:p>
        </w:tc>
      </w:tr>
      <w:tr w:rsidR="00EC76F9" w:rsidRPr="00702882" w14:paraId="6B10D6C4" w14:textId="77777777" w:rsidTr="00D91E84">
        <w:trPr>
          <w:trHeight w:val="57"/>
        </w:trPr>
        <w:tc>
          <w:tcPr>
            <w:tcW w:w="1705" w:type="dxa"/>
            <w:shd w:val="clear" w:color="auto" w:fill="auto"/>
            <w:noWrap/>
            <w:hideMark/>
          </w:tcPr>
          <w:p w14:paraId="76D4BAAB" w14:textId="77777777" w:rsidR="009E450D" w:rsidRPr="00702882" w:rsidRDefault="009E450D" w:rsidP="00D91E84">
            <w:pPr>
              <w:rPr>
                <w:sz w:val="22"/>
              </w:rPr>
            </w:pPr>
            <w:r w:rsidRPr="00702882">
              <w:rPr>
                <w:sz w:val="22"/>
                <w:szCs w:val="22"/>
              </w:rPr>
              <w:t>Colorado</w:t>
            </w:r>
          </w:p>
        </w:tc>
        <w:tc>
          <w:tcPr>
            <w:tcW w:w="5940" w:type="dxa"/>
            <w:shd w:val="clear" w:color="auto" w:fill="auto"/>
            <w:noWrap/>
            <w:hideMark/>
          </w:tcPr>
          <w:p w14:paraId="5A0A3671" w14:textId="1D4B441C" w:rsidR="009E450D" w:rsidRPr="00702882" w:rsidRDefault="009E450D" w:rsidP="00D91E84">
            <w:pPr>
              <w:rPr>
                <w:sz w:val="22"/>
              </w:rPr>
            </w:pPr>
            <w:r w:rsidRPr="00702882">
              <w:rPr>
                <w:sz w:val="22"/>
                <w:szCs w:val="22"/>
              </w:rPr>
              <w:t>Required Reserve (</w:t>
            </w:r>
            <w:r w:rsidR="00F149E0" w:rsidRPr="00702882">
              <w:rPr>
                <w:rFonts w:eastAsiaTheme="minorEastAsia"/>
                <w:sz w:val="22"/>
                <w:szCs w:val="22"/>
              </w:rPr>
              <w:t>It is not</w:t>
            </w:r>
            <w:r w:rsidRPr="00702882">
              <w:rPr>
                <w:sz w:val="22"/>
                <w:szCs w:val="22"/>
              </w:rPr>
              <w:t xml:space="preserve"> </w:t>
            </w:r>
            <w:r w:rsidR="00F149E0" w:rsidRPr="00702882">
              <w:rPr>
                <w:rFonts w:eastAsiaTheme="minorEastAsia"/>
                <w:sz w:val="22"/>
                <w:szCs w:val="22"/>
              </w:rPr>
              <w:t xml:space="preserve">an </w:t>
            </w:r>
            <w:r w:rsidRPr="00702882">
              <w:rPr>
                <w:sz w:val="22"/>
                <w:szCs w:val="22"/>
              </w:rPr>
              <w:t>official BSF)</w:t>
            </w:r>
          </w:p>
        </w:tc>
        <w:tc>
          <w:tcPr>
            <w:tcW w:w="1530" w:type="dxa"/>
            <w:shd w:val="clear" w:color="auto" w:fill="auto"/>
            <w:hideMark/>
          </w:tcPr>
          <w:p w14:paraId="54D784DC" w14:textId="77777777" w:rsidR="009E450D" w:rsidRPr="00702882" w:rsidRDefault="009E450D" w:rsidP="00D91E84">
            <w:pPr>
              <w:rPr>
                <w:sz w:val="22"/>
              </w:rPr>
            </w:pPr>
            <w:r w:rsidRPr="00702882">
              <w:rPr>
                <w:sz w:val="22"/>
                <w:szCs w:val="22"/>
              </w:rPr>
              <w:t>1985</w:t>
            </w:r>
          </w:p>
        </w:tc>
      </w:tr>
      <w:tr w:rsidR="00EC76F9" w:rsidRPr="00702882" w14:paraId="795CA855" w14:textId="77777777" w:rsidTr="00D91E84">
        <w:trPr>
          <w:trHeight w:val="57"/>
        </w:trPr>
        <w:tc>
          <w:tcPr>
            <w:tcW w:w="1705" w:type="dxa"/>
            <w:shd w:val="clear" w:color="auto" w:fill="auto"/>
            <w:noWrap/>
            <w:hideMark/>
          </w:tcPr>
          <w:p w14:paraId="000C1E29" w14:textId="77777777" w:rsidR="009E450D" w:rsidRPr="00702882" w:rsidRDefault="009E450D" w:rsidP="00D91E84">
            <w:pPr>
              <w:rPr>
                <w:sz w:val="22"/>
              </w:rPr>
            </w:pPr>
            <w:r w:rsidRPr="00702882">
              <w:rPr>
                <w:sz w:val="22"/>
                <w:szCs w:val="22"/>
              </w:rPr>
              <w:t>Connecticut</w:t>
            </w:r>
          </w:p>
        </w:tc>
        <w:tc>
          <w:tcPr>
            <w:tcW w:w="5940" w:type="dxa"/>
            <w:shd w:val="clear" w:color="auto" w:fill="auto"/>
            <w:noWrap/>
            <w:hideMark/>
          </w:tcPr>
          <w:p w14:paraId="6BEDAF3B" w14:textId="77777777" w:rsidR="009E450D" w:rsidRPr="00702882" w:rsidRDefault="009E450D" w:rsidP="00D91E84">
            <w:pPr>
              <w:rPr>
                <w:sz w:val="22"/>
              </w:rPr>
            </w:pPr>
            <w:r w:rsidRPr="00702882">
              <w:rPr>
                <w:sz w:val="22"/>
                <w:szCs w:val="22"/>
              </w:rPr>
              <w:t xml:space="preserve">Budget Reserve Fund </w:t>
            </w:r>
          </w:p>
        </w:tc>
        <w:tc>
          <w:tcPr>
            <w:tcW w:w="1530" w:type="dxa"/>
            <w:shd w:val="clear" w:color="auto" w:fill="auto"/>
            <w:hideMark/>
          </w:tcPr>
          <w:p w14:paraId="18686E50" w14:textId="77777777" w:rsidR="009E450D" w:rsidRPr="00702882" w:rsidRDefault="009E450D" w:rsidP="00D91E84">
            <w:pPr>
              <w:rPr>
                <w:sz w:val="22"/>
              </w:rPr>
            </w:pPr>
            <w:r w:rsidRPr="00702882">
              <w:rPr>
                <w:sz w:val="22"/>
                <w:szCs w:val="22"/>
              </w:rPr>
              <w:t>1978</w:t>
            </w:r>
          </w:p>
        </w:tc>
      </w:tr>
      <w:tr w:rsidR="00EC76F9" w:rsidRPr="00702882" w14:paraId="7DDDAFDE" w14:textId="77777777" w:rsidTr="00D91E84">
        <w:trPr>
          <w:trHeight w:val="57"/>
        </w:trPr>
        <w:tc>
          <w:tcPr>
            <w:tcW w:w="1705" w:type="dxa"/>
            <w:shd w:val="clear" w:color="auto" w:fill="auto"/>
            <w:noWrap/>
            <w:hideMark/>
          </w:tcPr>
          <w:p w14:paraId="72B2CAB3" w14:textId="77777777" w:rsidR="009E450D" w:rsidRPr="00702882" w:rsidRDefault="009E450D" w:rsidP="00D91E84">
            <w:pPr>
              <w:rPr>
                <w:sz w:val="22"/>
              </w:rPr>
            </w:pPr>
            <w:r w:rsidRPr="00702882">
              <w:rPr>
                <w:sz w:val="22"/>
                <w:szCs w:val="22"/>
              </w:rPr>
              <w:t>Delaware</w:t>
            </w:r>
          </w:p>
        </w:tc>
        <w:tc>
          <w:tcPr>
            <w:tcW w:w="5940" w:type="dxa"/>
            <w:shd w:val="clear" w:color="auto" w:fill="auto"/>
            <w:noWrap/>
            <w:hideMark/>
          </w:tcPr>
          <w:p w14:paraId="50171EC0" w14:textId="77777777" w:rsidR="009E450D" w:rsidRPr="00702882" w:rsidRDefault="009E450D" w:rsidP="00D91E84">
            <w:pPr>
              <w:rPr>
                <w:sz w:val="22"/>
              </w:rPr>
            </w:pPr>
            <w:r w:rsidRPr="00702882">
              <w:rPr>
                <w:sz w:val="22"/>
                <w:szCs w:val="22"/>
              </w:rPr>
              <w:t xml:space="preserve">Budget Reserve Fund </w:t>
            </w:r>
          </w:p>
        </w:tc>
        <w:tc>
          <w:tcPr>
            <w:tcW w:w="1530" w:type="dxa"/>
            <w:shd w:val="clear" w:color="auto" w:fill="auto"/>
            <w:hideMark/>
          </w:tcPr>
          <w:p w14:paraId="220390FB" w14:textId="77777777" w:rsidR="009E450D" w:rsidRPr="00702882" w:rsidRDefault="009E450D" w:rsidP="00D91E84">
            <w:pPr>
              <w:rPr>
                <w:sz w:val="22"/>
              </w:rPr>
            </w:pPr>
            <w:r w:rsidRPr="00702882">
              <w:rPr>
                <w:sz w:val="22"/>
                <w:szCs w:val="22"/>
              </w:rPr>
              <w:t>1980</w:t>
            </w:r>
          </w:p>
        </w:tc>
      </w:tr>
      <w:tr w:rsidR="00EC76F9" w:rsidRPr="00702882" w14:paraId="7F59A977" w14:textId="77777777" w:rsidTr="00D91E84">
        <w:trPr>
          <w:trHeight w:val="57"/>
        </w:trPr>
        <w:tc>
          <w:tcPr>
            <w:tcW w:w="1705" w:type="dxa"/>
            <w:shd w:val="clear" w:color="auto" w:fill="auto"/>
            <w:noWrap/>
            <w:hideMark/>
          </w:tcPr>
          <w:p w14:paraId="3CB0CAD0" w14:textId="77777777" w:rsidR="009E450D" w:rsidRPr="00702882" w:rsidRDefault="009E450D" w:rsidP="00D91E84">
            <w:pPr>
              <w:rPr>
                <w:sz w:val="22"/>
              </w:rPr>
            </w:pPr>
            <w:r w:rsidRPr="00702882">
              <w:rPr>
                <w:sz w:val="22"/>
                <w:szCs w:val="22"/>
              </w:rPr>
              <w:t xml:space="preserve">Florida </w:t>
            </w:r>
          </w:p>
        </w:tc>
        <w:tc>
          <w:tcPr>
            <w:tcW w:w="5940" w:type="dxa"/>
            <w:shd w:val="clear" w:color="auto" w:fill="auto"/>
            <w:noWrap/>
            <w:hideMark/>
          </w:tcPr>
          <w:p w14:paraId="65616E71" w14:textId="77777777" w:rsidR="009E450D" w:rsidRPr="00702882" w:rsidRDefault="009E450D" w:rsidP="00D91E84">
            <w:pPr>
              <w:rPr>
                <w:sz w:val="22"/>
              </w:rPr>
            </w:pPr>
            <w:r w:rsidRPr="00702882">
              <w:rPr>
                <w:sz w:val="22"/>
                <w:szCs w:val="22"/>
              </w:rPr>
              <w:t xml:space="preserve">Budget Stabilization Fund </w:t>
            </w:r>
          </w:p>
        </w:tc>
        <w:tc>
          <w:tcPr>
            <w:tcW w:w="1530" w:type="dxa"/>
            <w:shd w:val="clear" w:color="auto" w:fill="auto"/>
            <w:hideMark/>
          </w:tcPr>
          <w:p w14:paraId="65D6DFEE" w14:textId="77777777" w:rsidR="009E450D" w:rsidRPr="00702882" w:rsidRDefault="009E450D" w:rsidP="00D91E84">
            <w:pPr>
              <w:rPr>
                <w:sz w:val="22"/>
              </w:rPr>
            </w:pPr>
            <w:r w:rsidRPr="00702882">
              <w:rPr>
                <w:sz w:val="22"/>
                <w:szCs w:val="22"/>
              </w:rPr>
              <w:t>1959</w:t>
            </w:r>
          </w:p>
        </w:tc>
      </w:tr>
      <w:tr w:rsidR="00EC76F9" w:rsidRPr="00702882" w14:paraId="1108339C" w14:textId="77777777" w:rsidTr="00D91E84">
        <w:trPr>
          <w:trHeight w:val="57"/>
        </w:trPr>
        <w:tc>
          <w:tcPr>
            <w:tcW w:w="1705" w:type="dxa"/>
            <w:shd w:val="clear" w:color="auto" w:fill="auto"/>
            <w:noWrap/>
            <w:hideMark/>
          </w:tcPr>
          <w:p w14:paraId="2DC72BAC" w14:textId="77777777" w:rsidR="009E450D" w:rsidRPr="00702882" w:rsidRDefault="009E450D" w:rsidP="00D91E84">
            <w:pPr>
              <w:rPr>
                <w:sz w:val="22"/>
              </w:rPr>
            </w:pPr>
            <w:r w:rsidRPr="00702882">
              <w:rPr>
                <w:sz w:val="22"/>
                <w:szCs w:val="22"/>
              </w:rPr>
              <w:t>Georgia</w:t>
            </w:r>
          </w:p>
        </w:tc>
        <w:tc>
          <w:tcPr>
            <w:tcW w:w="5940" w:type="dxa"/>
            <w:shd w:val="clear" w:color="auto" w:fill="auto"/>
            <w:noWrap/>
            <w:hideMark/>
          </w:tcPr>
          <w:p w14:paraId="4CE33F9F" w14:textId="77777777" w:rsidR="009E450D" w:rsidRPr="00702882" w:rsidRDefault="009E450D" w:rsidP="00D91E84">
            <w:pPr>
              <w:rPr>
                <w:sz w:val="22"/>
              </w:rPr>
            </w:pPr>
            <w:r w:rsidRPr="00702882">
              <w:rPr>
                <w:sz w:val="22"/>
                <w:szCs w:val="22"/>
              </w:rPr>
              <w:t>Revenue Shortfall Reserve</w:t>
            </w:r>
          </w:p>
        </w:tc>
        <w:tc>
          <w:tcPr>
            <w:tcW w:w="1530" w:type="dxa"/>
            <w:shd w:val="clear" w:color="auto" w:fill="auto"/>
            <w:hideMark/>
          </w:tcPr>
          <w:p w14:paraId="450CA44F" w14:textId="77777777" w:rsidR="009E450D" w:rsidRPr="00702882" w:rsidRDefault="009E450D" w:rsidP="00D91E84">
            <w:pPr>
              <w:rPr>
                <w:sz w:val="22"/>
              </w:rPr>
            </w:pPr>
            <w:r w:rsidRPr="00702882">
              <w:rPr>
                <w:sz w:val="22"/>
                <w:szCs w:val="22"/>
              </w:rPr>
              <w:t>1976</w:t>
            </w:r>
          </w:p>
        </w:tc>
      </w:tr>
      <w:tr w:rsidR="00EC76F9" w:rsidRPr="00702882" w14:paraId="47E9BEF9" w14:textId="77777777" w:rsidTr="00D91E84">
        <w:trPr>
          <w:trHeight w:val="57"/>
        </w:trPr>
        <w:tc>
          <w:tcPr>
            <w:tcW w:w="1705" w:type="dxa"/>
            <w:shd w:val="clear" w:color="auto" w:fill="auto"/>
            <w:noWrap/>
            <w:hideMark/>
          </w:tcPr>
          <w:p w14:paraId="02B09109" w14:textId="77777777" w:rsidR="009E450D" w:rsidRPr="00702882" w:rsidRDefault="009E450D" w:rsidP="00D91E84">
            <w:pPr>
              <w:rPr>
                <w:sz w:val="22"/>
              </w:rPr>
            </w:pPr>
            <w:r w:rsidRPr="00702882">
              <w:rPr>
                <w:sz w:val="22"/>
                <w:szCs w:val="22"/>
              </w:rPr>
              <w:t>Hawaii</w:t>
            </w:r>
          </w:p>
        </w:tc>
        <w:tc>
          <w:tcPr>
            <w:tcW w:w="5940" w:type="dxa"/>
            <w:shd w:val="clear" w:color="auto" w:fill="auto"/>
            <w:noWrap/>
            <w:hideMark/>
          </w:tcPr>
          <w:p w14:paraId="4AB8C3EF" w14:textId="77777777" w:rsidR="009E450D" w:rsidRPr="00702882" w:rsidRDefault="009E450D" w:rsidP="00D91E84">
            <w:pPr>
              <w:rPr>
                <w:sz w:val="22"/>
              </w:rPr>
            </w:pPr>
            <w:r w:rsidRPr="00702882">
              <w:rPr>
                <w:sz w:val="22"/>
                <w:szCs w:val="22"/>
              </w:rPr>
              <w:t>Emergency and budget reserve fund</w:t>
            </w:r>
          </w:p>
        </w:tc>
        <w:tc>
          <w:tcPr>
            <w:tcW w:w="1530" w:type="dxa"/>
            <w:shd w:val="clear" w:color="auto" w:fill="auto"/>
            <w:hideMark/>
          </w:tcPr>
          <w:p w14:paraId="2D419479" w14:textId="77777777" w:rsidR="009E450D" w:rsidRPr="00702882" w:rsidRDefault="009E450D" w:rsidP="00D91E84">
            <w:pPr>
              <w:rPr>
                <w:sz w:val="22"/>
              </w:rPr>
            </w:pPr>
            <w:r w:rsidRPr="00702882">
              <w:rPr>
                <w:sz w:val="22"/>
                <w:szCs w:val="22"/>
              </w:rPr>
              <w:t>1999</w:t>
            </w:r>
          </w:p>
        </w:tc>
      </w:tr>
      <w:tr w:rsidR="00EC76F9" w:rsidRPr="00702882" w14:paraId="18F176EE" w14:textId="77777777" w:rsidTr="00D91E84">
        <w:trPr>
          <w:trHeight w:val="57"/>
        </w:trPr>
        <w:tc>
          <w:tcPr>
            <w:tcW w:w="1705" w:type="dxa"/>
            <w:shd w:val="clear" w:color="auto" w:fill="auto"/>
            <w:noWrap/>
            <w:hideMark/>
          </w:tcPr>
          <w:p w14:paraId="6D502834" w14:textId="77777777" w:rsidR="009E450D" w:rsidRPr="00702882" w:rsidRDefault="009E450D" w:rsidP="00D91E84">
            <w:pPr>
              <w:rPr>
                <w:sz w:val="22"/>
              </w:rPr>
            </w:pPr>
            <w:r w:rsidRPr="00702882">
              <w:rPr>
                <w:sz w:val="22"/>
                <w:szCs w:val="22"/>
              </w:rPr>
              <w:t>Idaho</w:t>
            </w:r>
          </w:p>
        </w:tc>
        <w:tc>
          <w:tcPr>
            <w:tcW w:w="5940" w:type="dxa"/>
            <w:shd w:val="clear" w:color="auto" w:fill="auto"/>
            <w:noWrap/>
            <w:hideMark/>
          </w:tcPr>
          <w:p w14:paraId="37233340" w14:textId="77777777" w:rsidR="009E450D" w:rsidRPr="00702882" w:rsidRDefault="009E450D" w:rsidP="00D91E84">
            <w:pPr>
              <w:rPr>
                <w:sz w:val="22"/>
              </w:rPr>
            </w:pPr>
            <w:r w:rsidRPr="00702882">
              <w:rPr>
                <w:sz w:val="22"/>
                <w:szCs w:val="22"/>
              </w:rPr>
              <w:t>Budget stabilization fund</w:t>
            </w:r>
          </w:p>
        </w:tc>
        <w:tc>
          <w:tcPr>
            <w:tcW w:w="1530" w:type="dxa"/>
            <w:shd w:val="clear" w:color="auto" w:fill="auto"/>
            <w:hideMark/>
          </w:tcPr>
          <w:p w14:paraId="5C71E881" w14:textId="77777777" w:rsidR="009E450D" w:rsidRPr="00702882" w:rsidRDefault="009E450D" w:rsidP="00D91E84">
            <w:pPr>
              <w:rPr>
                <w:sz w:val="22"/>
              </w:rPr>
            </w:pPr>
            <w:r w:rsidRPr="00702882">
              <w:rPr>
                <w:sz w:val="22"/>
                <w:szCs w:val="22"/>
              </w:rPr>
              <w:t>1984</w:t>
            </w:r>
          </w:p>
        </w:tc>
      </w:tr>
      <w:tr w:rsidR="00EC76F9" w:rsidRPr="00702882" w14:paraId="489B40C3" w14:textId="77777777" w:rsidTr="00D91E84">
        <w:trPr>
          <w:trHeight w:val="57"/>
        </w:trPr>
        <w:tc>
          <w:tcPr>
            <w:tcW w:w="1705" w:type="dxa"/>
            <w:shd w:val="clear" w:color="auto" w:fill="auto"/>
            <w:noWrap/>
            <w:hideMark/>
          </w:tcPr>
          <w:p w14:paraId="026C48AE" w14:textId="77777777" w:rsidR="009E450D" w:rsidRPr="00702882" w:rsidRDefault="009E450D" w:rsidP="00D91E84">
            <w:pPr>
              <w:rPr>
                <w:sz w:val="22"/>
              </w:rPr>
            </w:pPr>
            <w:r w:rsidRPr="00702882">
              <w:rPr>
                <w:sz w:val="22"/>
                <w:szCs w:val="22"/>
              </w:rPr>
              <w:t>Illinois</w:t>
            </w:r>
          </w:p>
        </w:tc>
        <w:tc>
          <w:tcPr>
            <w:tcW w:w="5940" w:type="dxa"/>
            <w:shd w:val="clear" w:color="auto" w:fill="auto"/>
            <w:noWrap/>
            <w:hideMark/>
          </w:tcPr>
          <w:p w14:paraId="0F2CE1E1" w14:textId="77777777" w:rsidR="009E450D" w:rsidRPr="00702882" w:rsidRDefault="009E450D" w:rsidP="00D91E84">
            <w:pPr>
              <w:rPr>
                <w:sz w:val="22"/>
              </w:rPr>
            </w:pPr>
            <w:r w:rsidRPr="00702882">
              <w:rPr>
                <w:sz w:val="22"/>
                <w:szCs w:val="22"/>
              </w:rPr>
              <w:t xml:space="preserve">Budget Stabilization Fund </w:t>
            </w:r>
          </w:p>
        </w:tc>
        <w:tc>
          <w:tcPr>
            <w:tcW w:w="1530" w:type="dxa"/>
            <w:shd w:val="clear" w:color="auto" w:fill="auto"/>
            <w:noWrap/>
            <w:hideMark/>
          </w:tcPr>
          <w:p w14:paraId="47E21DBA" w14:textId="77777777" w:rsidR="009E450D" w:rsidRPr="00702882" w:rsidRDefault="009E450D" w:rsidP="00D91E84">
            <w:pPr>
              <w:rPr>
                <w:sz w:val="22"/>
              </w:rPr>
            </w:pPr>
            <w:r w:rsidRPr="00702882">
              <w:rPr>
                <w:sz w:val="22"/>
                <w:szCs w:val="22"/>
              </w:rPr>
              <w:t>2001</w:t>
            </w:r>
          </w:p>
        </w:tc>
      </w:tr>
      <w:tr w:rsidR="00EC76F9" w:rsidRPr="00702882" w14:paraId="269B434E" w14:textId="77777777" w:rsidTr="00D91E84">
        <w:trPr>
          <w:trHeight w:val="57"/>
        </w:trPr>
        <w:tc>
          <w:tcPr>
            <w:tcW w:w="1705" w:type="dxa"/>
            <w:shd w:val="clear" w:color="auto" w:fill="auto"/>
            <w:noWrap/>
            <w:hideMark/>
          </w:tcPr>
          <w:p w14:paraId="07104AAA" w14:textId="77777777" w:rsidR="009E450D" w:rsidRPr="00702882" w:rsidRDefault="009E450D" w:rsidP="00D91E84">
            <w:pPr>
              <w:rPr>
                <w:sz w:val="22"/>
              </w:rPr>
            </w:pPr>
            <w:r w:rsidRPr="00702882">
              <w:rPr>
                <w:sz w:val="22"/>
                <w:szCs w:val="22"/>
              </w:rPr>
              <w:t>Indiana</w:t>
            </w:r>
          </w:p>
        </w:tc>
        <w:tc>
          <w:tcPr>
            <w:tcW w:w="5940" w:type="dxa"/>
            <w:shd w:val="clear" w:color="auto" w:fill="auto"/>
            <w:noWrap/>
            <w:hideMark/>
          </w:tcPr>
          <w:p w14:paraId="170D1CB9" w14:textId="77777777" w:rsidR="009E450D" w:rsidRPr="00702882" w:rsidRDefault="009E450D" w:rsidP="00D91E84">
            <w:pPr>
              <w:rPr>
                <w:sz w:val="22"/>
              </w:rPr>
            </w:pPr>
            <w:r w:rsidRPr="00702882">
              <w:rPr>
                <w:sz w:val="22"/>
                <w:szCs w:val="22"/>
              </w:rPr>
              <w:t xml:space="preserve">Counter-Cyclical Revenue and Economic Stabilization Fund </w:t>
            </w:r>
          </w:p>
        </w:tc>
        <w:tc>
          <w:tcPr>
            <w:tcW w:w="1530" w:type="dxa"/>
            <w:shd w:val="clear" w:color="auto" w:fill="auto"/>
            <w:hideMark/>
          </w:tcPr>
          <w:p w14:paraId="6D13AB30" w14:textId="77777777" w:rsidR="009E450D" w:rsidRPr="00702882" w:rsidRDefault="009E450D" w:rsidP="00D91E84">
            <w:pPr>
              <w:rPr>
                <w:sz w:val="22"/>
              </w:rPr>
            </w:pPr>
            <w:r w:rsidRPr="00702882">
              <w:rPr>
                <w:sz w:val="22"/>
                <w:szCs w:val="22"/>
              </w:rPr>
              <w:t>1982</w:t>
            </w:r>
          </w:p>
        </w:tc>
      </w:tr>
      <w:tr w:rsidR="00EC76F9" w:rsidRPr="00702882" w14:paraId="5089B11D" w14:textId="77777777" w:rsidTr="00D91E84">
        <w:trPr>
          <w:trHeight w:val="57"/>
        </w:trPr>
        <w:tc>
          <w:tcPr>
            <w:tcW w:w="1705" w:type="dxa"/>
            <w:shd w:val="clear" w:color="auto" w:fill="auto"/>
            <w:noWrap/>
            <w:hideMark/>
          </w:tcPr>
          <w:p w14:paraId="2D71CC59" w14:textId="77777777" w:rsidR="009E450D" w:rsidRPr="00702882" w:rsidRDefault="009E450D" w:rsidP="00D91E84">
            <w:pPr>
              <w:rPr>
                <w:sz w:val="22"/>
              </w:rPr>
            </w:pPr>
            <w:r w:rsidRPr="00702882">
              <w:rPr>
                <w:sz w:val="22"/>
                <w:szCs w:val="22"/>
              </w:rPr>
              <w:t>Iowa</w:t>
            </w:r>
          </w:p>
        </w:tc>
        <w:tc>
          <w:tcPr>
            <w:tcW w:w="5940" w:type="dxa"/>
            <w:shd w:val="clear" w:color="auto" w:fill="auto"/>
            <w:noWrap/>
            <w:hideMark/>
          </w:tcPr>
          <w:p w14:paraId="01B930FA" w14:textId="77777777" w:rsidR="009E450D" w:rsidRPr="00702882" w:rsidRDefault="009E450D" w:rsidP="00D91E84">
            <w:pPr>
              <w:rPr>
                <w:sz w:val="22"/>
              </w:rPr>
            </w:pPr>
            <w:r w:rsidRPr="00702882">
              <w:rPr>
                <w:sz w:val="22"/>
                <w:szCs w:val="22"/>
              </w:rPr>
              <w:t>Cash Reserve Fund</w:t>
            </w:r>
          </w:p>
        </w:tc>
        <w:tc>
          <w:tcPr>
            <w:tcW w:w="1530" w:type="dxa"/>
            <w:shd w:val="clear" w:color="auto" w:fill="auto"/>
            <w:hideMark/>
          </w:tcPr>
          <w:p w14:paraId="3898949A" w14:textId="77777777" w:rsidR="009E450D" w:rsidRPr="00702882" w:rsidRDefault="009E450D" w:rsidP="00D91E84">
            <w:pPr>
              <w:rPr>
                <w:sz w:val="22"/>
              </w:rPr>
            </w:pPr>
            <w:r w:rsidRPr="00702882">
              <w:rPr>
                <w:sz w:val="22"/>
                <w:szCs w:val="22"/>
              </w:rPr>
              <w:t>1992</w:t>
            </w:r>
          </w:p>
        </w:tc>
      </w:tr>
      <w:tr w:rsidR="00EC76F9" w:rsidRPr="00702882" w14:paraId="75C2EEDF" w14:textId="77777777" w:rsidTr="00D91E84">
        <w:trPr>
          <w:trHeight w:val="57"/>
        </w:trPr>
        <w:tc>
          <w:tcPr>
            <w:tcW w:w="1705" w:type="dxa"/>
            <w:shd w:val="clear" w:color="auto" w:fill="auto"/>
            <w:noWrap/>
            <w:hideMark/>
          </w:tcPr>
          <w:p w14:paraId="4D5C75DC" w14:textId="77777777" w:rsidR="009E450D" w:rsidRPr="00702882" w:rsidRDefault="009E450D" w:rsidP="00D91E84">
            <w:pPr>
              <w:rPr>
                <w:sz w:val="22"/>
              </w:rPr>
            </w:pPr>
            <w:r w:rsidRPr="00702882">
              <w:rPr>
                <w:sz w:val="22"/>
                <w:szCs w:val="22"/>
              </w:rPr>
              <w:t>Kansas</w:t>
            </w:r>
          </w:p>
        </w:tc>
        <w:tc>
          <w:tcPr>
            <w:tcW w:w="5940" w:type="dxa"/>
            <w:shd w:val="clear" w:color="auto" w:fill="auto"/>
            <w:noWrap/>
            <w:hideMark/>
          </w:tcPr>
          <w:p w14:paraId="6F2247F8" w14:textId="77777777" w:rsidR="009E450D" w:rsidRPr="00702882" w:rsidRDefault="009E450D" w:rsidP="00D91E84">
            <w:pPr>
              <w:rPr>
                <w:sz w:val="22"/>
              </w:rPr>
            </w:pPr>
            <w:r w:rsidRPr="00702882">
              <w:rPr>
                <w:sz w:val="22"/>
                <w:szCs w:val="22"/>
              </w:rPr>
              <w:t>Budget Stabilization Fund</w:t>
            </w:r>
          </w:p>
        </w:tc>
        <w:tc>
          <w:tcPr>
            <w:tcW w:w="1530" w:type="dxa"/>
            <w:shd w:val="clear" w:color="auto" w:fill="auto"/>
            <w:hideMark/>
          </w:tcPr>
          <w:p w14:paraId="112FE723" w14:textId="77777777" w:rsidR="009E450D" w:rsidRPr="00702882" w:rsidRDefault="009E450D" w:rsidP="00D91E84">
            <w:pPr>
              <w:rPr>
                <w:sz w:val="22"/>
              </w:rPr>
            </w:pPr>
            <w:r w:rsidRPr="00702882">
              <w:rPr>
                <w:sz w:val="22"/>
                <w:szCs w:val="22"/>
              </w:rPr>
              <w:t>2017</w:t>
            </w:r>
          </w:p>
        </w:tc>
      </w:tr>
      <w:tr w:rsidR="00EC76F9" w:rsidRPr="00702882" w14:paraId="7ADCF990" w14:textId="77777777" w:rsidTr="00D91E84">
        <w:trPr>
          <w:trHeight w:val="57"/>
        </w:trPr>
        <w:tc>
          <w:tcPr>
            <w:tcW w:w="1705" w:type="dxa"/>
            <w:shd w:val="clear" w:color="auto" w:fill="auto"/>
            <w:noWrap/>
            <w:hideMark/>
          </w:tcPr>
          <w:p w14:paraId="5252D3F3" w14:textId="77777777" w:rsidR="009E450D" w:rsidRPr="00702882" w:rsidRDefault="009E450D" w:rsidP="00D91E84">
            <w:pPr>
              <w:rPr>
                <w:sz w:val="22"/>
              </w:rPr>
            </w:pPr>
            <w:r w:rsidRPr="00702882">
              <w:rPr>
                <w:sz w:val="22"/>
                <w:szCs w:val="22"/>
              </w:rPr>
              <w:t>Kentucky</w:t>
            </w:r>
          </w:p>
        </w:tc>
        <w:tc>
          <w:tcPr>
            <w:tcW w:w="5940" w:type="dxa"/>
            <w:shd w:val="clear" w:color="auto" w:fill="auto"/>
            <w:noWrap/>
            <w:hideMark/>
          </w:tcPr>
          <w:p w14:paraId="4E9A03B1" w14:textId="77777777" w:rsidR="009E450D" w:rsidRPr="00702882" w:rsidRDefault="009E450D" w:rsidP="00D91E84">
            <w:pPr>
              <w:rPr>
                <w:sz w:val="22"/>
              </w:rPr>
            </w:pPr>
            <w:r w:rsidRPr="00702882">
              <w:rPr>
                <w:sz w:val="22"/>
                <w:szCs w:val="22"/>
              </w:rPr>
              <w:t>Budget Reserve Trust Fund</w:t>
            </w:r>
          </w:p>
        </w:tc>
        <w:tc>
          <w:tcPr>
            <w:tcW w:w="1530" w:type="dxa"/>
            <w:shd w:val="clear" w:color="auto" w:fill="auto"/>
            <w:hideMark/>
          </w:tcPr>
          <w:p w14:paraId="058C8528" w14:textId="77777777" w:rsidR="009E450D" w:rsidRPr="00702882" w:rsidRDefault="009E450D" w:rsidP="00D91E84">
            <w:pPr>
              <w:rPr>
                <w:sz w:val="22"/>
              </w:rPr>
            </w:pPr>
            <w:r w:rsidRPr="00702882">
              <w:rPr>
                <w:sz w:val="22"/>
                <w:szCs w:val="22"/>
              </w:rPr>
              <w:t>1983</w:t>
            </w:r>
          </w:p>
        </w:tc>
      </w:tr>
      <w:tr w:rsidR="00EC76F9" w:rsidRPr="00702882" w14:paraId="2E3A33C3" w14:textId="77777777" w:rsidTr="00D91E84">
        <w:trPr>
          <w:trHeight w:val="57"/>
        </w:trPr>
        <w:tc>
          <w:tcPr>
            <w:tcW w:w="1705" w:type="dxa"/>
            <w:shd w:val="clear" w:color="auto" w:fill="auto"/>
            <w:noWrap/>
            <w:hideMark/>
          </w:tcPr>
          <w:p w14:paraId="0A5F05B2" w14:textId="77777777" w:rsidR="009E450D" w:rsidRPr="00702882" w:rsidRDefault="009E450D" w:rsidP="00D91E84">
            <w:pPr>
              <w:rPr>
                <w:sz w:val="22"/>
              </w:rPr>
            </w:pPr>
            <w:r w:rsidRPr="00702882">
              <w:rPr>
                <w:sz w:val="22"/>
                <w:szCs w:val="22"/>
              </w:rPr>
              <w:t>Louisiana</w:t>
            </w:r>
          </w:p>
        </w:tc>
        <w:tc>
          <w:tcPr>
            <w:tcW w:w="5940" w:type="dxa"/>
            <w:shd w:val="clear" w:color="auto" w:fill="auto"/>
            <w:noWrap/>
            <w:hideMark/>
          </w:tcPr>
          <w:p w14:paraId="7A6A4538" w14:textId="77777777" w:rsidR="009E450D" w:rsidRPr="00702882" w:rsidRDefault="009E450D" w:rsidP="00D91E84">
            <w:pPr>
              <w:rPr>
                <w:sz w:val="22"/>
                <w:szCs w:val="22"/>
              </w:rPr>
            </w:pPr>
            <w:r w:rsidRPr="00702882">
              <w:rPr>
                <w:sz w:val="22"/>
                <w:szCs w:val="22"/>
              </w:rPr>
              <w:t xml:space="preserve">Budget Stabilization Fund </w:t>
            </w:r>
          </w:p>
          <w:p w14:paraId="59EE6117" w14:textId="77777777" w:rsidR="009E450D" w:rsidRPr="00702882" w:rsidRDefault="009E450D" w:rsidP="00D91E84">
            <w:pPr>
              <w:rPr>
                <w:sz w:val="22"/>
              </w:rPr>
            </w:pPr>
            <w:r w:rsidRPr="00702882">
              <w:rPr>
                <w:sz w:val="22"/>
                <w:szCs w:val="22"/>
              </w:rPr>
              <w:t>(Revenue Stabilization and Mineral Trust Fund)</w:t>
            </w:r>
          </w:p>
        </w:tc>
        <w:tc>
          <w:tcPr>
            <w:tcW w:w="1530" w:type="dxa"/>
            <w:shd w:val="clear" w:color="auto" w:fill="auto"/>
            <w:hideMark/>
          </w:tcPr>
          <w:p w14:paraId="290F90FD" w14:textId="77777777" w:rsidR="009E450D" w:rsidRPr="00702882" w:rsidRDefault="009E450D" w:rsidP="00D91E84">
            <w:pPr>
              <w:rPr>
                <w:sz w:val="22"/>
                <w:szCs w:val="22"/>
              </w:rPr>
            </w:pPr>
            <w:r w:rsidRPr="00702882">
              <w:rPr>
                <w:sz w:val="22"/>
                <w:szCs w:val="22"/>
              </w:rPr>
              <w:t xml:space="preserve">1997 </w:t>
            </w:r>
          </w:p>
          <w:p w14:paraId="553A0763" w14:textId="77777777" w:rsidR="009E450D" w:rsidRPr="00702882" w:rsidRDefault="009E450D" w:rsidP="00D91E84">
            <w:pPr>
              <w:rPr>
                <w:sz w:val="22"/>
              </w:rPr>
            </w:pPr>
            <w:r w:rsidRPr="00702882">
              <w:rPr>
                <w:sz w:val="22"/>
                <w:szCs w:val="22"/>
              </w:rPr>
              <w:t>(1991)</w:t>
            </w:r>
          </w:p>
        </w:tc>
      </w:tr>
      <w:tr w:rsidR="00EC76F9" w:rsidRPr="00702882" w14:paraId="6D381E31" w14:textId="77777777" w:rsidTr="00D91E84">
        <w:trPr>
          <w:trHeight w:val="57"/>
        </w:trPr>
        <w:tc>
          <w:tcPr>
            <w:tcW w:w="1705" w:type="dxa"/>
            <w:shd w:val="clear" w:color="auto" w:fill="auto"/>
            <w:noWrap/>
            <w:hideMark/>
          </w:tcPr>
          <w:p w14:paraId="09E08EAB" w14:textId="77777777" w:rsidR="009E450D" w:rsidRPr="00702882" w:rsidRDefault="009E450D" w:rsidP="00D91E84">
            <w:pPr>
              <w:rPr>
                <w:sz w:val="22"/>
              </w:rPr>
            </w:pPr>
            <w:r w:rsidRPr="00702882">
              <w:rPr>
                <w:sz w:val="22"/>
                <w:szCs w:val="22"/>
              </w:rPr>
              <w:t>Maine</w:t>
            </w:r>
          </w:p>
        </w:tc>
        <w:tc>
          <w:tcPr>
            <w:tcW w:w="5940" w:type="dxa"/>
            <w:shd w:val="clear" w:color="auto" w:fill="auto"/>
            <w:noWrap/>
            <w:hideMark/>
          </w:tcPr>
          <w:p w14:paraId="06CDECE6" w14:textId="77777777" w:rsidR="009E450D" w:rsidRPr="00702882" w:rsidRDefault="009E450D" w:rsidP="00D91E84">
            <w:pPr>
              <w:rPr>
                <w:sz w:val="22"/>
              </w:rPr>
            </w:pPr>
            <w:r w:rsidRPr="00702882">
              <w:rPr>
                <w:sz w:val="22"/>
                <w:szCs w:val="22"/>
              </w:rPr>
              <w:t xml:space="preserve">Budget Stabilization Fund </w:t>
            </w:r>
          </w:p>
        </w:tc>
        <w:tc>
          <w:tcPr>
            <w:tcW w:w="1530" w:type="dxa"/>
            <w:shd w:val="clear" w:color="auto" w:fill="auto"/>
            <w:hideMark/>
          </w:tcPr>
          <w:p w14:paraId="2505DE91" w14:textId="77777777" w:rsidR="009E450D" w:rsidRPr="00702882" w:rsidRDefault="009E450D" w:rsidP="00D91E84">
            <w:pPr>
              <w:rPr>
                <w:sz w:val="22"/>
              </w:rPr>
            </w:pPr>
            <w:r w:rsidRPr="00702882">
              <w:rPr>
                <w:sz w:val="22"/>
                <w:szCs w:val="22"/>
              </w:rPr>
              <w:t>1985</w:t>
            </w:r>
          </w:p>
        </w:tc>
      </w:tr>
      <w:tr w:rsidR="00EC76F9" w:rsidRPr="00702882" w14:paraId="13C92EFD" w14:textId="77777777" w:rsidTr="00D91E84">
        <w:trPr>
          <w:trHeight w:val="57"/>
        </w:trPr>
        <w:tc>
          <w:tcPr>
            <w:tcW w:w="1705" w:type="dxa"/>
            <w:shd w:val="clear" w:color="auto" w:fill="auto"/>
            <w:noWrap/>
            <w:hideMark/>
          </w:tcPr>
          <w:p w14:paraId="1CEB1C83" w14:textId="77777777" w:rsidR="009E450D" w:rsidRPr="00702882" w:rsidRDefault="009E450D" w:rsidP="00D91E84">
            <w:pPr>
              <w:rPr>
                <w:sz w:val="22"/>
              </w:rPr>
            </w:pPr>
            <w:r w:rsidRPr="00702882">
              <w:rPr>
                <w:sz w:val="22"/>
                <w:szCs w:val="22"/>
              </w:rPr>
              <w:t>Maryland</w:t>
            </w:r>
          </w:p>
        </w:tc>
        <w:tc>
          <w:tcPr>
            <w:tcW w:w="5940" w:type="dxa"/>
            <w:shd w:val="clear" w:color="auto" w:fill="auto"/>
            <w:noWrap/>
            <w:hideMark/>
          </w:tcPr>
          <w:p w14:paraId="02B197D9" w14:textId="77777777" w:rsidR="009E450D" w:rsidRPr="00702882" w:rsidRDefault="009E450D" w:rsidP="00D91E84">
            <w:pPr>
              <w:rPr>
                <w:sz w:val="22"/>
              </w:rPr>
            </w:pPr>
            <w:r w:rsidRPr="00702882">
              <w:rPr>
                <w:sz w:val="22"/>
                <w:szCs w:val="22"/>
              </w:rPr>
              <w:t xml:space="preserve">Revenue Stabilization Account </w:t>
            </w:r>
          </w:p>
        </w:tc>
        <w:tc>
          <w:tcPr>
            <w:tcW w:w="1530" w:type="dxa"/>
            <w:shd w:val="clear" w:color="auto" w:fill="auto"/>
            <w:hideMark/>
          </w:tcPr>
          <w:p w14:paraId="721B1388" w14:textId="77777777" w:rsidR="009E450D" w:rsidRPr="00702882" w:rsidRDefault="009E450D" w:rsidP="00D91E84">
            <w:pPr>
              <w:rPr>
                <w:sz w:val="22"/>
              </w:rPr>
            </w:pPr>
            <w:r w:rsidRPr="00702882">
              <w:rPr>
                <w:sz w:val="22"/>
                <w:szCs w:val="22"/>
              </w:rPr>
              <w:t>1986</w:t>
            </w:r>
          </w:p>
        </w:tc>
      </w:tr>
      <w:tr w:rsidR="00EC76F9" w:rsidRPr="00702882" w14:paraId="5F03D01C" w14:textId="77777777" w:rsidTr="00D91E84">
        <w:trPr>
          <w:trHeight w:val="57"/>
        </w:trPr>
        <w:tc>
          <w:tcPr>
            <w:tcW w:w="1705" w:type="dxa"/>
            <w:shd w:val="clear" w:color="auto" w:fill="auto"/>
            <w:noWrap/>
            <w:hideMark/>
          </w:tcPr>
          <w:p w14:paraId="281C5D94" w14:textId="77777777" w:rsidR="009E450D" w:rsidRPr="00702882" w:rsidRDefault="009E450D" w:rsidP="00D91E84">
            <w:pPr>
              <w:rPr>
                <w:sz w:val="22"/>
              </w:rPr>
            </w:pPr>
            <w:r w:rsidRPr="00702882">
              <w:rPr>
                <w:sz w:val="22"/>
                <w:szCs w:val="22"/>
              </w:rPr>
              <w:t>Massachusetts</w:t>
            </w:r>
          </w:p>
        </w:tc>
        <w:tc>
          <w:tcPr>
            <w:tcW w:w="5940" w:type="dxa"/>
            <w:shd w:val="clear" w:color="auto" w:fill="auto"/>
            <w:noWrap/>
            <w:hideMark/>
          </w:tcPr>
          <w:p w14:paraId="633EBD0C" w14:textId="77777777" w:rsidR="009E450D" w:rsidRPr="00702882" w:rsidRDefault="009E450D" w:rsidP="00D91E84">
            <w:pPr>
              <w:rPr>
                <w:sz w:val="22"/>
              </w:rPr>
            </w:pPr>
            <w:r w:rsidRPr="00702882">
              <w:rPr>
                <w:sz w:val="22"/>
                <w:szCs w:val="22"/>
              </w:rPr>
              <w:t>Commonwealth Stabilization Fund</w:t>
            </w:r>
          </w:p>
        </w:tc>
        <w:tc>
          <w:tcPr>
            <w:tcW w:w="1530" w:type="dxa"/>
            <w:shd w:val="clear" w:color="auto" w:fill="auto"/>
            <w:hideMark/>
          </w:tcPr>
          <w:p w14:paraId="78E75DBB" w14:textId="77777777" w:rsidR="009E450D" w:rsidRPr="00702882" w:rsidRDefault="009E450D" w:rsidP="00D91E84">
            <w:pPr>
              <w:rPr>
                <w:sz w:val="22"/>
              </w:rPr>
            </w:pPr>
            <w:r w:rsidRPr="00702882">
              <w:rPr>
                <w:sz w:val="22"/>
                <w:szCs w:val="22"/>
              </w:rPr>
              <w:t>1986</w:t>
            </w:r>
          </w:p>
        </w:tc>
      </w:tr>
      <w:tr w:rsidR="00EC76F9" w:rsidRPr="00702882" w14:paraId="4ED26F12" w14:textId="77777777" w:rsidTr="00D91E84">
        <w:trPr>
          <w:trHeight w:val="57"/>
        </w:trPr>
        <w:tc>
          <w:tcPr>
            <w:tcW w:w="1705" w:type="dxa"/>
            <w:shd w:val="clear" w:color="auto" w:fill="auto"/>
            <w:noWrap/>
            <w:hideMark/>
          </w:tcPr>
          <w:p w14:paraId="3053A1B5" w14:textId="77777777" w:rsidR="009E450D" w:rsidRPr="00702882" w:rsidRDefault="009E450D" w:rsidP="00D91E84">
            <w:pPr>
              <w:rPr>
                <w:sz w:val="22"/>
              </w:rPr>
            </w:pPr>
            <w:r w:rsidRPr="00702882">
              <w:rPr>
                <w:sz w:val="22"/>
                <w:szCs w:val="22"/>
              </w:rPr>
              <w:t>Michigan</w:t>
            </w:r>
          </w:p>
        </w:tc>
        <w:tc>
          <w:tcPr>
            <w:tcW w:w="5940" w:type="dxa"/>
            <w:shd w:val="clear" w:color="auto" w:fill="auto"/>
            <w:noWrap/>
            <w:hideMark/>
          </w:tcPr>
          <w:p w14:paraId="136F66F0" w14:textId="77777777" w:rsidR="009E450D" w:rsidRPr="00702882" w:rsidRDefault="009E450D" w:rsidP="00D91E84">
            <w:pPr>
              <w:rPr>
                <w:sz w:val="22"/>
              </w:rPr>
            </w:pPr>
            <w:r w:rsidRPr="00702882">
              <w:rPr>
                <w:sz w:val="22"/>
                <w:szCs w:val="22"/>
              </w:rPr>
              <w:t>Counter-Cyclical Budget and Economic Stabilization Fund</w:t>
            </w:r>
          </w:p>
        </w:tc>
        <w:tc>
          <w:tcPr>
            <w:tcW w:w="1530" w:type="dxa"/>
            <w:shd w:val="clear" w:color="auto" w:fill="auto"/>
            <w:hideMark/>
          </w:tcPr>
          <w:p w14:paraId="33CCB1EC" w14:textId="77777777" w:rsidR="009E450D" w:rsidRPr="00702882" w:rsidRDefault="009E450D" w:rsidP="00D91E84">
            <w:pPr>
              <w:rPr>
                <w:sz w:val="22"/>
              </w:rPr>
            </w:pPr>
            <w:r w:rsidRPr="00702882">
              <w:rPr>
                <w:sz w:val="22"/>
                <w:szCs w:val="22"/>
              </w:rPr>
              <w:t>1977</w:t>
            </w:r>
          </w:p>
        </w:tc>
      </w:tr>
      <w:tr w:rsidR="00EC76F9" w:rsidRPr="00702882" w14:paraId="631DFC8C" w14:textId="77777777" w:rsidTr="00D91E84">
        <w:trPr>
          <w:trHeight w:val="57"/>
        </w:trPr>
        <w:tc>
          <w:tcPr>
            <w:tcW w:w="1705" w:type="dxa"/>
            <w:shd w:val="clear" w:color="auto" w:fill="auto"/>
            <w:noWrap/>
            <w:hideMark/>
          </w:tcPr>
          <w:p w14:paraId="79FBD230" w14:textId="77777777" w:rsidR="009E450D" w:rsidRPr="00702882" w:rsidRDefault="009E450D" w:rsidP="00D91E84">
            <w:pPr>
              <w:rPr>
                <w:sz w:val="22"/>
              </w:rPr>
            </w:pPr>
            <w:r w:rsidRPr="00702882">
              <w:rPr>
                <w:sz w:val="22"/>
                <w:szCs w:val="22"/>
              </w:rPr>
              <w:t>Minnesota</w:t>
            </w:r>
          </w:p>
        </w:tc>
        <w:tc>
          <w:tcPr>
            <w:tcW w:w="5940" w:type="dxa"/>
            <w:shd w:val="clear" w:color="auto" w:fill="auto"/>
            <w:noWrap/>
            <w:hideMark/>
          </w:tcPr>
          <w:p w14:paraId="4CBB74AC" w14:textId="77777777" w:rsidR="009E450D" w:rsidRPr="00702882" w:rsidRDefault="009E450D" w:rsidP="00D91E84">
            <w:pPr>
              <w:rPr>
                <w:sz w:val="22"/>
              </w:rPr>
            </w:pPr>
            <w:r w:rsidRPr="00702882">
              <w:rPr>
                <w:sz w:val="22"/>
                <w:szCs w:val="22"/>
              </w:rPr>
              <w:t>Budget Reserve and Cash Flow Accounts</w:t>
            </w:r>
          </w:p>
        </w:tc>
        <w:tc>
          <w:tcPr>
            <w:tcW w:w="1530" w:type="dxa"/>
            <w:shd w:val="clear" w:color="auto" w:fill="auto"/>
            <w:hideMark/>
          </w:tcPr>
          <w:p w14:paraId="4E77C06D" w14:textId="77777777" w:rsidR="009E450D" w:rsidRPr="00702882" w:rsidRDefault="009E450D" w:rsidP="00D91E84">
            <w:pPr>
              <w:rPr>
                <w:sz w:val="22"/>
              </w:rPr>
            </w:pPr>
            <w:r w:rsidRPr="00702882">
              <w:rPr>
                <w:sz w:val="22"/>
                <w:szCs w:val="22"/>
              </w:rPr>
              <w:t>1983</w:t>
            </w:r>
          </w:p>
        </w:tc>
      </w:tr>
      <w:tr w:rsidR="00EC76F9" w:rsidRPr="00702882" w14:paraId="450E12C9" w14:textId="77777777" w:rsidTr="00D91E84">
        <w:trPr>
          <w:trHeight w:val="57"/>
        </w:trPr>
        <w:tc>
          <w:tcPr>
            <w:tcW w:w="1705" w:type="dxa"/>
            <w:shd w:val="clear" w:color="auto" w:fill="auto"/>
            <w:noWrap/>
            <w:hideMark/>
          </w:tcPr>
          <w:p w14:paraId="106E76BB" w14:textId="77777777" w:rsidR="009E450D" w:rsidRPr="00702882" w:rsidRDefault="009E450D" w:rsidP="00D91E84">
            <w:pPr>
              <w:rPr>
                <w:sz w:val="22"/>
              </w:rPr>
            </w:pPr>
            <w:r w:rsidRPr="00702882">
              <w:rPr>
                <w:sz w:val="22"/>
                <w:szCs w:val="22"/>
              </w:rPr>
              <w:t>Mississippi</w:t>
            </w:r>
          </w:p>
        </w:tc>
        <w:tc>
          <w:tcPr>
            <w:tcW w:w="5940" w:type="dxa"/>
            <w:shd w:val="clear" w:color="auto" w:fill="auto"/>
            <w:noWrap/>
            <w:hideMark/>
          </w:tcPr>
          <w:p w14:paraId="78CD9EAD" w14:textId="77777777" w:rsidR="009E450D" w:rsidRPr="00702882" w:rsidRDefault="009E450D" w:rsidP="00D91E84">
            <w:pPr>
              <w:rPr>
                <w:sz w:val="22"/>
              </w:rPr>
            </w:pPr>
            <w:r w:rsidRPr="00702882">
              <w:rPr>
                <w:sz w:val="22"/>
                <w:szCs w:val="22"/>
              </w:rPr>
              <w:t>Working Cash-Stabilization Reserve Fund</w:t>
            </w:r>
          </w:p>
        </w:tc>
        <w:tc>
          <w:tcPr>
            <w:tcW w:w="1530" w:type="dxa"/>
            <w:shd w:val="clear" w:color="auto" w:fill="auto"/>
            <w:hideMark/>
          </w:tcPr>
          <w:p w14:paraId="034D3C47" w14:textId="77777777" w:rsidR="009E450D" w:rsidRPr="00702882" w:rsidRDefault="009E450D" w:rsidP="00D91E84">
            <w:pPr>
              <w:rPr>
                <w:sz w:val="22"/>
              </w:rPr>
            </w:pPr>
            <w:r w:rsidRPr="00702882">
              <w:rPr>
                <w:sz w:val="22"/>
                <w:szCs w:val="22"/>
              </w:rPr>
              <w:t>1992</w:t>
            </w:r>
          </w:p>
        </w:tc>
      </w:tr>
      <w:tr w:rsidR="00EC76F9" w:rsidRPr="00702882" w14:paraId="4067C449" w14:textId="77777777" w:rsidTr="00D91E84">
        <w:trPr>
          <w:trHeight w:val="57"/>
        </w:trPr>
        <w:tc>
          <w:tcPr>
            <w:tcW w:w="1705" w:type="dxa"/>
            <w:shd w:val="clear" w:color="auto" w:fill="auto"/>
            <w:noWrap/>
            <w:hideMark/>
          </w:tcPr>
          <w:p w14:paraId="47F37C31" w14:textId="77777777" w:rsidR="009E450D" w:rsidRPr="00702882" w:rsidRDefault="009E450D" w:rsidP="00D91E84">
            <w:pPr>
              <w:rPr>
                <w:sz w:val="22"/>
              </w:rPr>
            </w:pPr>
            <w:r w:rsidRPr="00702882">
              <w:rPr>
                <w:sz w:val="22"/>
                <w:szCs w:val="22"/>
              </w:rPr>
              <w:t>Missouri</w:t>
            </w:r>
          </w:p>
        </w:tc>
        <w:tc>
          <w:tcPr>
            <w:tcW w:w="5940" w:type="dxa"/>
            <w:shd w:val="clear" w:color="auto" w:fill="auto"/>
            <w:noWrap/>
            <w:hideMark/>
          </w:tcPr>
          <w:p w14:paraId="62F0461B" w14:textId="77777777" w:rsidR="009E450D" w:rsidRPr="00702882" w:rsidRDefault="009E450D" w:rsidP="00D91E84">
            <w:pPr>
              <w:rPr>
                <w:sz w:val="22"/>
              </w:rPr>
            </w:pPr>
            <w:r w:rsidRPr="00702882">
              <w:rPr>
                <w:sz w:val="22"/>
                <w:szCs w:val="22"/>
              </w:rPr>
              <w:t>Budget Reserve Fund</w:t>
            </w:r>
          </w:p>
        </w:tc>
        <w:tc>
          <w:tcPr>
            <w:tcW w:w="1530" w:type="dxa"/>
            <w:shd w:val="clear" w:color="auto" w:fill="auto"/>
            <w:hideMark/>
          </w:tcPr>
          <w:p w14:paraId="36BE5FA3" w14:textId="77777777" w:rsidR="009E450D" w:rsidRPr="00702882" w:rsidRDefault="009E450D" w:rsidP="00D91E84">
            <w:pPr>
              <w:rPr>
                <w:sz w:val="22"/>
              </w:rPr>
            </w:pPr>
            <w:r w:rsidRPr="00702882">
              <w:rPr>
                <w:sz w:val="22"/>
                <w:szCs w:val="22"/>
              </w:rPr>
              <w:t>1986</w:t>
            </w:r>
          </w:p>
        </w:tc>
      </w:tr>
      <w:tr w:rsidR="00EC76F9" w:rsidRPr="00702882" w14:paraId="11BB1EB8" w14:textId="77777777" w:rsidTr="00D91E84">
        <w:trPr>
          <w:trHeight w:val="57"/>
        </w:trPr>
        <w:tc>
          <w:tcPr>
            <w:tcW w:w="1705" w:type="dxa"/>
            <w:shd w:val="clear" w:color="auto" w:fill="auto"/>
            <w:noWrap/>
            <w:hideMark/>
          </w:tcPr>
          <w:p w14:paraId="67E1F6B7" w14:textId="77777777" w:rsidR="009E450D" w:rsidRPr="00702882" w:rsidRDefault="009E450D" w:rsidP="00D91E84">
            <w:pPr>
              <w:rPr>
                <w:sz w:val="22"/>
              </w:rPr>
            </w:pPr>
            <w:r w:rsidRPr="00702882">
              <w:rPr>
                <w:sz w:val="22"/>
                <w:szCs w:val="22"/>
              </w:rPr>
              <w:t>Montana</w:t>
            </w:r>
          </w:p>
        </w:tc>
        <w:tc>
          <w:tcPr>
            <w:tcW w:w="5940" w:type="dxa"/>
            <w:shd w:val="clear" w:color="auto" w:fill="auto"/>
            <w:noWrap/>
            <w:hideMark/>
          </w:tcPr>
          <w:p w14:paraId="62C2AE48" w14:textId="77777777" w:rsidR="009E450D" w:rsidRPr="00702882" w:rsidRDefault="009E450D" w:rsidP="00D91E84">
            <w:pPr>
              <w:rPr>
                <w:sz w:val="22"/>
              </w:rPr>
            </w:pPr>
            <w:r w:rsidRPr="00702882">
              <w:rPr>
                <w:sz w:val="22"/>
                <w:szCs w:val="22"/>
              </w:rPr>
              <w:t>Budget Stabilization Reserve Fund</w:t>
            </w:r>
          </w:p>
        </w:tc>
        <w:tc>
          <w:tcPr>
            <w:tcW w:w="1530" w:type="dxa"/>
            <w:shd w:val="clear" w:color="auto" w:fill="auto"/>
            <w:hideMark/>
          </w:tcPr>
          <w:p w14:paraId="61A4FE42" w14:textId="77777777" w:rsidR="009E450D" w:rsidRPr="00702882" w:rsidRDefault="009E450D" w:rsidP="00D91E84">
            <w:pPr>
              <w:rPr>
                <w:sz w:val="22"/>
              </w:rPr>
            </w:pPr>
            <w:r w:rsidRPr="00702882">
              <w:rPr>
                <w:sz w:val="22"/>
                <w:szCs w:val="22"/>
              </w:rPr>
              <w:t>2017</w:t>
            </w:r>
          </w:p>
        </w:tc>
      </w:tr>
      <w:tr w:rsidR="00EC76F9" w:rsidRPr="00702882" w14:paraId="1EB988CC" w14:textId="77777777" w:rsidTr="00D91E84">
        <w:trPr>
          <w:trHeight w:val="57"/>
        </w:trPr>
        <w:tc>
          <w:tcPr>
            <w:tcW w:w="1705" w:type="dxa"/>
            <w:shd w:val="clear" w:color="auto" w:fill="auto"/>
            <w:noWrap/>
            <w:hideMark/>
          </w:tcPr>
          <w:p w14:paraId="52962C2B" w14:textId="77777777" w:rsidR="009E450D" w:rsidRPr="00702882" w:rsidRDefault="009E450D" w:rsidP="00D91E84">
            <w:pPr>
              <w:rPr>
                <w:sz w:val="22"/>
              </w:rPr>
            </w:pPr>
            <w:r w:rsidRPr="00702882">
              <w:rPr>
                <w:sz w:val="22"/>
                <w:szCs w:val="22"/>
              </w:rPr>
              <w:t>Nebraska</w:t>
            </w:r>
          </w:p>
        </w:tc>
        <w:tc>
          <w:tcPr>
            <w:tcW w:w="5940" w:type="dxa"/>
            <w:shd w:val="clear" w:color="auto" w:fill="auto"/>
            <w:noWrap/>
            <w:hideMark/>
          </w:tcPr>
          <w:p w14:paraId="662957B8" w14:textId="77777777" w:rsidR="009E450D" w:rsidRPr="00702882" w:rsidRDefault="009E450D" w:rsidP="00D91E84">
            <w:pPr>
              <w:rPr>
                <w:sz w:val="22"/>
              </w:rPr>
            </w:pPr>
            <w:r w:rsidRPr="00702882">
              <w:rPr>
                <w:sz w:val="22"/>
                <w:szCs w:val="22"/>
              </w:rPr>
              <w:t>Cash Reserve Fund</w:t>
            </w:r>
          </w:p>
        </w:tc>
        <w:tc>
          <w:tcPr>
            <w:tcW w:w="1530" w:type="dxa"/>
            <w:shd w:val="clear" w:color="auto" w:fill="auto"/>
            <w:hideMark/>
          </w:tcPr>
          <w:p w14:paraId="5B170F79" w14:textId="77777777" w:rsidR="009E450D" w:rsidRPr="00702882" w:rsidRDefault="009E450D" w:rsidP="00D91E84">
            <w:pPr>
              <w:rPr>
                <w:sz w:val="22"/>
              </w:rPr>
            </w:pPr>
            <w:r w:rsidRPr="00702882">
              <w:rPr>
                <w:sz w:val="22"/>
                <w:szCs w:val="22"/>
              </w:rPr>
              <w:t>1983</w:t>
            </w:r>
          </w:p>
        </w:tc>
      </w:tr>
      <w:tr w:rsidR="00EC76F9" w:rsidRPr="00702882" w14:paraId="2CCFC45D" w14:textId="77777777" w:rsidTr="00D91E84">
        <w:trPr>
          <w:trHeight w:val="57"/>
        </w:trPr>
        <w:tc>
          <w:tcPr>
            <w:tcW w:w="1705" w:type="dxa"/>
            <w:shd w:val="clear" w:color="auto" w:fill="auto"/>
            <w:noWrap/>
            <w:hideMark/>
          </w:tcPr>
          <w:p w14:paraId="4EC1CCE8" w14:textId="77777777" w:rsidR="009E450D" w:rsidRPr="00702882" w:rsidRDefault="009E450D" w:rsidP="00D91E84">
            <w:pPr>
              <w:rPr>
                <w:sz w:val="22"/>
              </w:rPr>
            </w:pPr>
            <w:r w:rsidRPr="00702882">
              <w:rPr>
                <w:sz w:val="22"/>
                <w:szCs w:val="22"/>
              </w:rPr>
              <w:t>Nevada</w:t>
            </w:r>
          </w:p>
        </w:tc>
        <w:tc>
          <w:tcPr>
            <w:tcW w:w="5940" w:type="dxa"/>
            <w:shd w:val="clear" w:color="auto" w:fill="auto"/>
            <w:noWrap/>
            <w:hideMark/>
          </w:tcPr>
          <w:p w14:paraId="7BDEAF1A" w14:textId="77777777" w:rsidR="009E450D" w:rsidRPr="00702882" w:rsidRDefault="009E450D" w:rsidP="00D91E84">
            <w:pPr>
              <w:rPr>
                <w:sz w:val="22"/>
              </w:rPr>
            </w:pPr>
            <w:r w:rsidRPr="00702882">
              <w:rPr>
                <w:sz w:val="22"/>
                <w:szCs w:val="22"/>
              </w:rPr>
              <w:t>Account to Stabilize Operation of State Government</w:t>
            </w:r>
          </w:p>
        </w:tc>
        <w:tc>
          <w:tcPr>
            <w:tcW w:w="1530" w:type="dxa"/>
            <w:shd w:val="clear" w:color="auto" w:fill="auto"/>
            <w:hideMark/>
          </w:tcPr>
          <w:p w14:paraId="28F07BF2" w14:textId="77777777" w:rsidR="009E450D" w:rsidRPr="00702882" w:rsidRDefault="009E450D" w:rsidP="00D91E84">
            <w:pPr>
              <w:rPr>
                <w:sz w:val="22"/>
              </w:rPr>
            </w:pPr>
            <w:r w:rsidRPr="00702882">
              <w:rPr>
                <w:sz w:val="22"/>
                <w:szCs w:val="22"/>
              </w:rPr>
              <w:t>1991</w:t>
            </w:r>
          </w:p>
        </w:tc>
      </w:tr>
      <w:tr w:rsidR="00EC76F9" w:rsidRPr="00702882" w14:paraId="7B9DE5EF" w14:textId="77777777" w:rsidTr="00D91E84">
        <w:trPr>
          <w:trHeight w:val="57"/>
        </w:trPr>
        <w:tc>
          <w:tcPr>
            <w:tcW w:w="1705" w:type="dxa"/>
            <w:shd w:val="clear" w:color="auto" w:fill="auto"/>
            <w:noWrap/>
            <w:hideMark/>
          </w:tcPr>
          <w:p w14:paraId="39ACE845" w14:textId="77777777" w:rsidR="009E450D" w:rsidRPr="00702882" w:rsidRDefault="009E450D" w:rsidP="00D91E84">
            <w:pPr>
              <w:rPr>
                <w:sz w:val="22"/>
              </w:rPr>
            </w:pPr>
            <w:r w:rsidRPr="00702882">
              <w:rPr>
                <w:sz w:val="22"/>
                <w:szCs w:val="22"/>
              </w:rPr>
              <w:t>New Hampshire</w:t>
            </w:r>
          </w:p>
        </w:tc>
        <w:tc>
          <w:tcPr>
            <w:tcW w:w="5940" w:type="dxa"/>
            <w:shd w:val="clear" w:color="auto" w:fill="auto"/>
            <w:noWrap/>
            <w:hideMark/>
          </w:tcPr>
          <w:p w14:paraId="395779A8" w14:textId="77777777" w:rsidR="009E450D" w:rsidRPr="00702882" w:rsidRDefault="009E450D" w:rsidP="00D91E84">
            <w:pPr>
              <w:rPr>
                <w:sz w:val="22"/>
              </w:rPr>
            </w:pPr>
            <w:r w:rsidRPr="00702882">
              <w:rPr>
                <w:sz w:val="22"/>
                <w:szCs w:val="22"/>
              </w:rPr>
              <w:t>Revenue Stabilization Reserve Account</w:t>
            </w:r>
          </w:p>
        </w:tc>
        <w:tc>
          <w:tcPr>
            <w:tcW w:w="1530" w:type="dxa"/>
            <w:shd w:val="clear" w:color="auto" w:fill="auto"/>
            <w:hideMark/>
          </w:tcPr>
          <w:p w14:paraId="6BE2ECA8" w14:textId="77777777" w:rsidR="009E450D" w:rsidRPr="00702882" w:rsidRDefault="009E450D" w:rsidP="00D91E84">
            <w:pPr>
              <w:rPr>
                <w:sz w:val="22"/>
              </w:rPr>
            </w:pPr>
            <w:r w:rsidRPr="00702882">
              <w:rPr>
                <w:sz w:val="22"/>
                <w:szCs w:val="22"/>
              </w:rPr>
              <w:t>1986</w:t>
            </w:r>
          </w:p>
        </w:tc>
      </w:tr>
      <w:tr w:rsidR="00EC76F9" w:rsidRPr="00702882" w14:paraId="48877269" w14:textId="77777777" w:rsidTr="00D91E84">
        <w:trPr>
          <w:trHeight w:val="57"/>
        </w:trPr>
        <w:tc>
          <w:tcPr>
            <w:tcW w:w="1705" w:type="dxa"/>
            <w:shd w:val="clear" w:color="auto" w:fill="auto"/>
            <w:noWrap/>
            <w:hideMark/>
          </w:tcPr>
          <w:p w14:paraId="738AFA3B" w14:textId="77777777" w:rsidR="009E450D" w:rsidRPr="00702882" w:rsidRDefault="009E450D" w:rsidP="00D91E84">
            <w:pPr>
              <w:rPr>
                <w:sz w:val="22"/>
              </w:rPr>
            </w:pPr>
            <w:r w:rsidRPr="00702882">
              <w:rPr>
                <w:sz w:val="22"/>
                <w:szCs w:val="22"/>
              </w:rPr>
              <w:t>New Jersey</w:t>
            </w:r>
          </w:p>
        </w:tc>
        <w:tc>
          <w:tcPr>
            <w:tcW w:w="5940" w:type="dxa"/>
            <w:shd w:val="clear" w:color="auto" w:fill="auto"/>
            <w:noWrap/>
            <w:hideMark/>
          </w:tcPr>
          <w:p w14:paraId="35AEA5BE" w14:textId="77777777" w:rsidR="009E450D" w:rsidRPr="00702882" w:rsidRDefault="009E450D" w:rsidP="00D91E84">
            <w:pPr>
              <w:rPr>
                <w:sz w:val="22"/>
              </w:rPr>
            </w:pPr>
            <w:r w:rsidRPr="00702882">
              <w:rPr>
                <w:sz w:val="22"/>
                <w:szCs w:val="22"/>
              </w:rPr>
              <w:t>Surplus Revenue Fund</w:t>
            </w:r>
          </w:p>
        </w:tc>
        <w:tc>
          <w:tcPr>
            <w:tcW w:w="1530" w:type="dxa"/>
            <w:shd w:val="clear" w:color="auto" w:fill="auto"/>
            <w:hideMark/>
          </w:tcPr>
          <w:p w14:paraId="08192AB1" w14:textId="77777777" w:rsidR="009E450D" w:rsidRPr="00702882" w:rsidRDefault="009E450D" w:rsidP="00D91E84">
            <w:pPr>
              <w:rPr>
                <w:sz w:val="22"/>
              </w:rPr>
            </w:pPr>
            <w:r w:rsidRPr="00702882">
              <w:rPr>
                <w:sz w:val="22"/>
                <w:szCs w:val="22"/>
              </w:rPr>
              <w:t>1990</w:t>
            </w:r>
          </w:p>
        </w:tc>
      </w:tr>
      <w:tr w:rsidR="00EC76F9" w:rsidRPr="00702882" w14:paraId="2194440A" w14:textId="77777777" w:rsidTr="00D91E84">
        <w:trPr>
          <w:trHeight w:val="57"/>
        </w:trPr>
        <w:tc>
          <w:tcPr>
            <w:tcW w:w="1705" w:type="dxa"/>
            <w:vMerge w:val="restart"/>
            <w:shd w:val="clear" w:color="auto" w:fill="auto"/>
            <w:noWrap/>
            <w:hideMark/>
          </w:tcPr>
          <w:p w14:paraId="0F3D0322" w14:textId="77777777" w:rsidR="009E450D" w:rsidRPr="00702882" w:rsidRDefault="009E450D" w:rsidP="00D91E84">
            <w:pPr>
              <w:rPr>
                <w:sz w:val="22"/>
              </w:rPr>
            </w:pPr>
            <w:r w:rsidRPr="00702882">
              <w:rPr>
                <w:sz w:val="22"/>
                <w:szCs w:val="22"/>
              </w:rPr>
              <w:t>New Mexico</w:t>
            </w:r>
          </w:p>
        </w:tc>
        <w:tc>
          <w:tcPr>
            <w:tcW w:w="5940" w:type="dxa"/>
            <w:shd w:val="clear" w:color="auto" w:fill="auto"/>
            <w:noWrap/>
            <w:hideMark/>
          </w:tcPr>
          <w:p w14:paraId="32ADF2CA" w14:textId="77777777" w:rsidR="009E450D" w:rsidRPr="00702882" w:rsidRDefault="009E450D" w:rsidP="00D91E84">
            <w:pPr>
              <w:rPr>
                <w:sz w:val="22"/>
              </w:rPr>
            </w:pPr>
            <w:r w:rsidRPr="00702882">
              <w:rPr>
                <w:sz w:val="22"/>
                <w:szCs w:val="22"/>
              </w:rPr>
              <w:t>Operating Reserve</w:t>
            </w:r>
          </w:p>
        </w:tc>
        <w:tc>
          <w:tcPr>
            <w:tcW w:w="1530" w:type="dxa"/>
            <w:shd w:val="clear" w:color="auto" w:fill="auto"/>
            <w:hideMark/>
          </w:tcPr>
          <w:p w14:paraId="5647F524" w14:textId="77777777" w:rsidR="009E450D" w:rsidRPr="00702882" w:rsidRDefault="009E450D" w:rsidP="00D91E84">
            <w:pPr>
              <w:rPr>
                <w:sz w:val="22"/>
              </w:rPr>
            </w:pPr>
            <w:r w:rsidRPr="00702882">
              <w:rPr>
                <w:sz w:val="22"/>
                <w:szCs w:val="22"/>
              </w:rPr>
              <w:t>1978</w:t>
            </w:r>
          </w:p>
        </w:tc>
      </w:tr>
      <w:tr w:rsidR="00EC76F9" w:rsidRPr="00702882" w14:paraId="17824FDA" w14:textId="77777777" w:rsidTr="00D91E84">
        <w:trPr>
          <w:trHeight w:val="57"/>
        </w:trPr>
        <w:tc>
          <w:tcPr>
            <w:tcW w:w="1705" w:type="dxa"/>
            <w:vMerge/>
            <w:vAlign w:val="center"/>
            <w:hideMark/>
          </w:tcPr>
          <w:p w14:paraId="500304EE" w14:textId="77777777" w:rsidR="009E450D" w:rsidRPr="00702882" w:rsidRDefault="009E450D" w:rsidP="00D91E84">
            <w:pPr>
              <w:rPr>
                <w:sz w:val="22"/>
              </w:rPr>
            </w:pPr>
          </w:p>
        </w:tc>
        <w:tc>
          <w:tcPr>
            <w:tcW w:w="5940" w:type="dxa"/>
            <w:shd w:val="clear" w:color="auto" w:fill="auto"/>
            <w:noWrap/>
            <w:hideMark/>
          </w:tcPr>
          <w:p w14:paraId="1EE0FB60" w14:textId="77777777" w:rsidR="009E450D" w:rsidRPr="00702882" w:rsidRDefault="009E450D" w:rsidP="00D91E84">
            <w:pPr>
              <w:rPr>
                <w:sz w:val="22"/>
              </w:rPr>
            </w:pPr>
            <w:r w:rsidRPr="00702882">
              <w:rPr>
                <w:sz w:val="22"/>
                <w:szCs w:val="22"/>
              </w:rPr>
              <w:t>Tax Stabilization Reserve</w:t>
            </w:r>
          </w:p>
        </w:tc>
        <w:tc>
          <w:tcPr>
            <w:tcW w:w="1530" w:type="dxa"/>
            <w:shd w:val="clear" w:color="auto" w:fill="auto"/>
            <w:hideMark/>
          </w:tcPr>
          <w:p w14:paraId="38184E58" w14:textId="77777777" w:rsidR="009E450D" w:rsidRPr="00702882" w:rsidRDefault="009E450D" w:rsidP="00D91E84">
            <w:pPr>
              <w:rPr>
                <w:sz w:val="22"/>
              </w:rPr>
            </w:pPr>
            <w:r w:rsidRPr="00702882">
              <w:rPr>
                <w:sz w:val="22"/>
                <w:szCs w:val="22"/>
              </w:rPr>
              <w:t>1978</w:t>
            </w:r>
          </w:p>
        </w:tc>
      </w:tr>
      <w:tr w:rsidR="00EC76F9" w:rsidRPr="00702882" w14:paraId="0BDD9E1A" w14:textId="77777777" w:rsidTr="00D91E84">
        <w:trPr>
          <w:trHeight w:val="57"/>
        </w:trPr>
        <w:tc>
          <w:tcPr>
            <w:tcW w:w="1705" w:type="dxa"/>
            <w:vMerge w:val="restart"/>
            <w:shd w:val="clear" w:color="auto" w:fill="auto"/>
            <w:hideMark/>
          </w:tcPr>
          <w:p w14:paraId="7D3E156A" w14:textId="77777777" w:rsidR="009E450D" w:rsidRPr="00702882" w:rsidRDefault="009E450D" w:rsidP="00D91E84">
            <w:pPr>
              <w:rPr>
                <w:sz w:val="22"/>
              </w:rPr>
            </w:pPr>
            <w:r w:rsidRPr="00702882">
              <w:rPr>
                <w:sz w:val="22"/>
                <w:szCs w:val="22"/>
              </w:rPr>
              <w:t>New York</w:t>
            </w:r>
          </w:p>
        </w:tc>
        <w:tc>
          <w:tcPr>
            <w:tcW w:w="5940" w:type="dxa"/>
            <w:shd w:val="clear" w:color="auto" w:fill="auto"/>
            <w:noWrap/>
            <w:hideMark/>
          </w:tcPr>
          <w:p w14:paraId="51C87EB0" w14:textId="77777777" w:rsidR="009E450D" w:rsidRPr="00702882" w:rsidRDefault="009E450D" w:rsidP="00D91E84">
            <w:pPr>
              <w:rPr>
                <w:sz w:val="22"/>
              </w:rPr>
            </w:pPr>
            <w:r w:rsidRPr="00702882">
              <w:rPr>
                <w:sz w:val="22"/>
                <w:szCs w:val="22"/>
              </w:rPr>
              <w:t>Tax Stabilization Reserve Fund</w:t>
            </w:r>
          </w:p>
        </w:tc>
        <w:tc>
          <w:tcPr>
            <w:tcW w:w="1530" w:type="dxa"/>
            <w:shd w:val="clear" w:color="auto" w:fill="auto"/>
            <w:hideMark/>
          </w:tcPr>
          <w:p w14:paraId="13B11775" w14:textId="77777777" w:rsidR="009E450D" w:rsidRPr="00702882" w:rsidRDefault="009E450D" w:rsidP="00D91E84">
            <w:pPr>
              <w:rPr>
                <w:sz w:val="22"/>
              </w:rPr>
            </w:pPr>
            <w:r w:rsidRPr="00702882">
              <w:rPr>
                <w:sz w:val="22"/>
                <w:szCs w:val="22"/>
              </w:rPr>
              <w:t>1946</w:t>
            </w:r>
          </w:p>
        </w:tc>
      </w:tr>
      <w:tr w:rsidR="00EC76F9" w:rsidRPr="00702882" w14:paraId="528B7AAB" w14:textId="77777777" w:rsidTr="00D91E84">
        <w:trPr>
          <w:trHeight w:val="57"/>
        </w:trPr>
        <w:tc>
          <w:tcPr>
            <w:tcW w:w="1705" w:type="dxa"/>
            <w:vMerge/>
            <w:vAlign w:val="center"/>
            <w:hideMark/>
          </w:tcPr>
          <w:p w14:paraId="50070092" w14:textId="77777777" w:rsidR="009E450D" w:rsidRPr="00702882" w:rsidRDefault="009E450D" w:rsidP="00D91E84">
            <w:pPr>
              <w:rPr>
                <w:sz w:val="22"/>
              </w:rPr>
            </w:pPr>
          </w:p>
        </w:tc>
        <w:tc>
          <w:tcPr>
            <w:tcW w:w="5940" w:type="dxa"/>
            <w:shd w:val="clear" w:color="auto" w:fill="auto"/>
            <w:noWrap/>
            <w:hideMark/>
          </w:tcPr>
          <w:p w14:paraId="37ADB290" w14:textId="77777777" w:rsidR="009E450D" w:rsidRPr="00702882" w:rsidRDefault="009E450D" w:rsidP="00D91E84">
            <w:pPr>
              <w:rPr>
                <w:sz w:val="22"/>
              </w:rPr>
            </w:pPr>
            <w:r w:rsidRPr="00702882">
              <w:rPr>
                <w:sz w:val="22"/>
                <w:szCs w:val="22"/>
              </w:rPr>
              <w:t>Rainy Day Reserve Fund</w:t>
            </w:r>
          </w:p>
        </w:tc>
        <w:tc>
          <w:tcPr>
            <w:tcW w:w="1530" w:type="dxa"/>
            <w:shd w:val="clear" w:color="auto" w:fill="auto"/>
            <w:hideMark/>
          </w:tcPr>
          <w:p w14:paraId="1DA809C5" w14:textId="77777777" w:rsidR="009E450D" w:rsidRPr="00702882" w:rsidRDefault="009E450D" w:rsidP="00D91E84">
            <w:pPr>
              <w:rPr>
                <w:sz w:val="22"/>
              </w:rPr>
            </w:pPr>
            <w:r w:rsidRPr="00702882">
              <w:rPr>
                <w:sz w:val="22"/>
                <w:szCs w:val="22"/>
              </w:rPr>
              <w:t>2007</w:t>
            </w:r>
          </w:p>
        </w:tc>
      </w:tr>
      <w:tr w:rsidR="00EC76F9" w:rsidRPr="00702882" w14:paraId="4886C713" w14:textId="77777777" w:rsidTr="00D91E84">
        <w:trPr>
          <w:trHeight w:val="57"/>
        </w:trPr>
        <w:tc>
          <w:tcPr>
            <w:tcW w:w="1705" w:type="dxa"/>
            <w:shd w:val="clear" w:color="auto" w:fill="auto"/>
            <w:noWrap/>
            <w:hideMark/>
          </w:tcPr>
          <w:p w14:paraId="4BEDE37D" w14:textId="77777777" w:rsidR="009E450D" w:rsidRPr="00702882" w:rsidRDefault="009E450D" w:rsidP="00D91E84">
            <w:pPr>
              <w:rPr>
                <w:sz w:val="22"/>
              </w:rPr>
            </w:pPr>
            <w:r w:rsidRPr="00702882">
              <w:rPr>
                <w:sz w:val="22"/>
                <w:szCs w:val="22"/>
              </w:rPr>
              <w:t>North Carolina</w:t>
            </w:r>
          </w:p>
        </w:tc>
        <w:tc>
          <w:tcPr>
            <w:tcW w:w="5940" w:type="dxa"/>
            <w:shd w:val="clear" w:color="auto" w:fill="auto"/>
            <w:noWrap/>
            <w:hideMark/>
          </w:tcPr>
          <w:p w14:paraId="003D056F" w14:textId="77777777" w:rsidR="009E450D" w:rsidRPr="00702882" w:rsidRDefault="009E450D" w:rsidP="00D91E84">
            <w:pPr>
              <w:rPr>
                <w:sz w:val="22"/>
              </w:rPr>
            </w:pPr>
            <w:r w:rsidRPr="00702882">
              <w:rPr>
                <w:sz w:val="22"/>
                <w:szCs w:val="22"/>
              </w:rPr>
              <w:t>Savings Reserve</w:t>
            </w:r>
          </w:p>
        </w:tc>
        <w:tc>
          <w:tcPr>
            <w:tcW w:w="1530" w:type="dxa"/>
            <w:shd w:val="clear" w:color="auto" w:fill="auto"/>
            <w:hideMark/>
          </w:tcPr>
          <w:p w14:paraId="400630B1" w14:textId="77777777" w:rsidR="009E450D" w:rsidRPr="00702882" w:rsidRDefault="009E450D" w:rsidP="00D91E84">
            <w:pPr>
              <w:rPr>
                <w:sz w:val="22"/>
              </w:rPr>
            </w:pPr>
            <w:r w:rsidRPr="00702882">
              <w:rPr>
                <w:sz w:val="22"/>
                <w:szCs w:val="22"/>
              </w:rPr>
              <w:t>1991</w:t>
            </w:r>
          </w:p>
        </w:tc>
      </w:tr>
      <w:tr w:rsidR="00EC76F9" w:rsidRPr="00702882" w14:paraId="61D9135F" w14:textId="77777777" w:rsidTr="00D91E84">
        <w:trPr>
          <w:trHeight w:val="57"/>
        </w:trPr>
        <w:tc>
          <w:tcPr>
            <w:tcW w:w="1705" w:type="dxa"/>
            <w:shd w:val="clear" w:color="auto" w:fill="auto"/>
            <w:noWrap/>
            <w:hideMark/>
          </w:tcPr>
          <w:p w14:paraId="759004C8" w14:textId="77777777" w:rsidR="009E450D" w:rsidRPr="00702882" w:rsidRDefault="009E450D" w:rsidP="00D91E84">
            <w:pPr>
              <w:rPr>
                <w:sz w:val="22"/>
              </w:rPr>
            </w:pPr>
            <w:r w:rsidRPr="00702882">
              <w:rPr>
                <w:sz w:val="22"/>
                <w:szCs w:val="22"/>
              </w:rPr>
              <w:t>North Dakota</w:t>
            </w:r>
          </w:p>
        </w:tc>
        <w:tc>
          <w:tcPr>
            <w:tcW w:w="5940" w:type="dxa"/>
            <w:shd w:val="clear" w:color="auto" w:fill="auto"/>
            <w:noWrap/>
            <w:hideMark/>
          </w:tcPr>
          <w:p w14:paraId="3114678A" w14:textId="77777777" w:rsidR="009E450D" w:rsidRPr="00702882" w:rsidRDefault="009E450D" w:rsidP="00D91E84">
            <w:pPr>
              <w:rPr>
                <w:sz w:val="22"/>
              </w:rPr>
            </w:pPr>
            <w:r w:rsidRPr="00702882">
              <w:rPr>
                <w:sz w:val="22"/>
                <w:szCs w:val="22"/>
              </w:rPr>
              <w:t xml:space="preserve">Budget Stabilization Fund </w:t>
            </w:r>
          </w:p>
        </w:tc>
        <w:tc>
          <w:tcPr>
            <w:tcW w:w="1530" w:type="dxa"/>
            <w:shd w:val="clear" w:color="auto" w:fill="auto"/>
            <w:hideMark/>
          </w:tcPr>
          <w:p w14:paraId="76D4EEC6" w14:textId="77777777" w:rsidR="009E450D" w:rsidRPr="00702882" w:rsidRDefault="009E450D" w:rsidP="00D91E84">
            <w:pPr>
              <w:rPr>
                <w:sz w:val="22"/>
              </w:rPr>
            </w:pPr>
            <w:r w:rsidRPr="00702882">
              <w:rPr>
                <w:sz w:val="22"/>
                <w:szCs w:val="22"/>
              </w:rPr>
              <w:t>1987</w:t>
            </w:r>
          </w:p>
        </w:tc>
      </w:tr>
      <w:tr w:rsidR="00EC76F9" w:rsidRPr="00702882" w14:paraId="5167BF2B" w14:textId="77777777" w:rsidTr="00D91E84">
        <w:trPr>
          <w:trHeight w:val="57"/>
        </w:trPr>
        <w:tc>
          <w:tcPr>
            <w:tcW w:w="1705" w:type="dxa"/>
            <w:shd w:val="clear" w:color="auto" w:fill="auto"/>
            <w:noWrap/>
            <w:hideMark/>
          </w:tcPr>
          <w:p w14:paraId="5FC8FDA6" w14:textId="77777777" w:rsidR="009E450D" w:rsidRPr="00702882" w:rsidRDefault="009E450D" w:rsidP="00D91E84">
            <w:pPr>
              <w:rPr>
                <w:sz w:val="22"/>
              </w:rPr>
            </w:pPr>
            <w:r w:rsidRPr="00702882">
              <w:rPr>
                <w:sz w:val="22"/>
                <w:szCs w:val="22"/>
              </w:rPr>
              <w:t>Ohio</w:t>
            </w:r>
          </w:p>
        </w:tc>
        <w:tc>
          <w:tcPr>
            <w:tcW w:w="5940" w:type="dxa"/>
            <w:shd w:val="clear" w:color="auto" w:fill="auto"/>
            <w:noWrap/>
            <w:hideMark/>
          </w:tcPr>
          <w:p w14:paraId="3CB7B6DA" w14:textId="77777777" w:rsidR="009E450D" w:rsidRPr="00702882" w:rsidRDefault="009E450D" w:rsidP="00D91E84">
            <w:pPr>
              <w:rPr>
                <w:sz w:val="22"/>
              </w:rPr>
            </w:pPr>
            <w:r w:rsidRPr="00702882">
              <w:rPr>
                <w:sz w:val="22"/>
                <w:szCs w:val="22"/>
              </w:rPr>
              <w:t xml:space="preserve">Budget Stabilization Fund </w:t>
            </w:r>
          </w:p>
        </w:tc>
        <w:tc>
          <w:tcPr>
            <w:tcW w:w="1530" w:type="dxa"/>
            <w:shd w:val="clear" w:color="auto" w:fill="auto"/>
            <w:hideMark/>
          </w:tcPr>
          <w:p w14:paraId="6EEE9219" w14:textId="77777777" w:rsidR="009E450D" w:rsidRPr="00702882" w:rsidRDefault="009E450D" w:rsidP="00D91E84">
            <w:pPr>
              <w:rPr>
                <w:sz w:val="22"/>
              </w:rPr>
            </w:pPr>
            <w:r w:rsidRPr="00702882">
              <w:rPr>
                <w:sz w:val="22"/>
                <w:szCs w:val="22"/>
              </w:rPr>
              <w:t>1989</w:t>
            </w:r>
          </w:p>
        </w:tc>
      </w:tr>
      <w:tr w:rsidR="00EC76F9" w:rsidRPr="00702882" w14:paraId="7EDA6F7A" w14:textId="77777777" w:rsidTr="00D91E84">
        <w:trPr>
          <w:trHeight w:val="57"/>
        </w:trPr>
        <w:tc>
          <w:tcPr>
            <w:tcW w:w="1705" w:type="dxa"/>
            <w:shd w:val="clear" w:color="auto" w:fill="auto"/>
            <w:noWrap/>
            <w:hideMark/>
          </w:tcPr>
          <w:p w14:paraId="141DB8A7" w14:textId="77777777" w:rsidR="009E450D" w:rsidRPr="00702882" w:rsidRDefault="009E450D" w:rsidP="00D91E84">
            <w:pPr>
              <w:rPr>
                <w:sz w:val="22"/>
              </w:rPr>
            </w:pPr>
            <w:r w:rsidRPr="00702882">
              <w:rPr>
                <w:sz w:val="22"/>
                <w:szCs w:val="22"/>
              </w:rPr>
              <w:t>Oklahoma</w:t>
            </w:r>
          </w:p>
        </w:tc>
        <w:tc>
          <w:tcPr>
            <w:tcW w:w="5940" w:type="dxa"/>
            <w:shd w:val="clear" w:color="auto" w:fill="auto"/>
            <w:noWrap/>
            <w:hideMark/>
          </w:tcPr>
          <w:p w14:paraId="5341A4F3" w14:textId="77777777" w:rsidR="009E450D" w:rsidRPr="00702882" w:rsidRDefault="009E450D" w:rsidP="00D91E84">
            <w:pPr>
              <w:rPr>
                <w:sz w:val="22"/>
              </w:rPr>
            </w:pPr>
            <w:r w:rsidRPr="00702882">
              <w:rPr>
                <w:sz w:val="22"/>
                <w:szCs w:val="22"/>
              </w:rPr>
              <w:t>Constitutional Reserve Fund</w:t>
            </w:r>
          </w:p>
        </w:tc>
        <w:tc>
          <w:tcPr>
            <w:tcW w:w="1530" w:type="dxa"/>
            <w:shd w:val="clear" w:color="auto" w:fill="auto"/>
            <w:hideMark/>
          </w:tcPr>
          <w:p w14:paraId="1861E6A8" w14:textId="77777777" w:rsidR="009E450D" w:rsidRPr="00702882" w:rsidRDefault="009E450D" w:rsidP="00D91E84">
            <w:pPr>
              <w:rPr>
                <w:sz w:val="22"/>
              </w:rPr>
            </w:pPr>
            <w:r w:rsidRPr="00702882">
              <w:rPr>
                <w:sz w:val="22"/>
                <w:szCs w:val="22"/>
              </w:rPr>
              <w:t>1985</w:t>
            </w:r>
          </w:p>
        </w:tc>
      </w:tr>
      <w:tr w:rsidR="00EC76F9" w:rsidRPr="00702882" w14:paraId="18D02E85" w14:textId="77777777" w:rsidTr="00D91E84">
        <w:trPr>
          <w:trHeight w:val="57"/>
        </w:trPr>
        <w:tc>
          <w:tcPr>
            <w:tcW w:w="1705" w:type="dxa"/>
            <w:shd w:val="clear" w:color="auto" w:fill="auto"/>
            <w:noWrap/>
            <w:hideMark/>
          </w:tcPr>
          <w:p w14:paraId="1CF3A138" w14:textId="77777777" w:rsidR="009E450D" w:rsidRPr="00702882" w:rsidRDefault="009E450D" w:rsidP="00D91E84">
            <w:pPr>
              <w:rPr>
                <w:sz w:val="22"/>
              </w:rPr>
            </w:pPr>
            <w:r w:rsidRPr="00702882">
              <w:rPr>
                <w:sz w:val="22"/>
                <w:szCs w:val="22"/>
              </w:rPr>
              <w:lastRenderedPageBreak/>
              <w:t>Oregon</w:t>
            </w:r>
          </w:p>
        </w:tc>
        <w:tc>
          <w:tcPr>
            <w:tcW w:w="5940" w:type="dxa"/>
            <w:shd w:val="clear" w:color="auto" w:fill="auto"/>
            <w:noWrap/>
            <w:hideMark/>
          </w:tcPr>
          <w:p w14:paraId="497CAB99" w14:textId="77777777" w:rsidR="009E450D" w:rsidRPr="00702882" w:rsidRDefault="009E450D" w:rsidP="00D91E84">
            <w:pPr>
              <w:rPr>
                <w:sz w:val="22"/>
              </w:rPr>
            </w:pPr>
            <w:r w:rsidRPr="00702882">
              <w:rPr>
                <w:sz w:val="22"/>
                <w:szCs w:val="22"/>
              </w:rPr>
              <w:t>Rainy Day Fund</w:t>
            </w:r>
            <w:r w:rsidRPr="00702882">
              <w:rPr>
                <w:rStyle w:val="a5"/>
                <w:sz w:val="22"/>
                <w:szCs w:val="22"/>
              </w:rPr>
              <w:footnoteReference w:id="3"/>
            </w:r>
            <w:r w:rsidRPr="00702882">
              <w:rPr>
                <w:sz w:val="22"/>
                <w:szCs w:val="22"/>
              </w:rPr>
              <w:t xml:space="preserve"> </w:t>
            </w:r>
          </w:p>
        </w:tc>
        <w:tc>
          <w:tcPr>
            <w:tcW w:w="1530" w:type="dxa"/>
            <w:shd w:val="clear" w:color="auto" w:fill="auto"/>
            <w:hideMark/>
          </w:tcPr>
          <w:p w14:paraId="4ECFE6A5" w14:textId="77777777" w:rsidR="009E450D" w:rsidRPr="00702882" w:rsidRDefault="009E450D" w:rsidP="00D91E84">
            <w:pPr>
              <w:rPr>
                <w:sz w:val="22"/>
              </w:rPr>
            </w:pPr>
            <w:r w:rsidRPr="00702882">
              <w:rPr>
                <w:sz w:val="22"/>
                <w:szCs w:val="22"/>
              </w:rPr>
              <w:t>2007</w:t>
            </w:r>
          </w:p>
        </w:tc>
      </w:tr>
      <w:tr w:rsidR="00EC76F9" w:rsidRPr="00702882" w14:paraId="63A65FB5" w14:textId="77777777" w:rsidTr="00D91E84">
        <w:trPr>
          <w:trHeight w:val="57"/>
        </w:trPr>
        <w:tc>
          <w:tcPr>
            <w:tcW w:w="1705" w:type="dxa"/>
            <w:shd w:val="clear" w:color="auto" w:fill="auto"/>
            <w:noWrap/>
            <w:hideMark/>
          </w:tcPr>
          <w:p w14:paraId="05957159" w14:textId="77777777" w:rsidR="009E450D" w:rsidRPr="00702882" w:rsidRDefault="009E450D" w:rsidP="00D91E84">
            <w:pPr>
              <w:rPr>
                <w:sz w:val="22"/>
              </w:rPr>
            </w:pPr>
            <w:r w:rsidRPr="00702882">
              <w:rPr>
                <w:sz w:val="22"/>
                <w:szCs w:val="22"/>
              </w:rPr>
              <w:t>Pennsylvania</w:t>
            </w:r>
          </w:p>
        </w:tc>
        <w:tc>
          <w:tcPr>
            <w:tcW w:w="5940" w:type="dxa"/>
            <w:shd w:val="clear" w:color="auto" w:fill="auto"/>
            <w:noWrap/>
            <w:hideMark/>
          </w:tcPr>
          <w:p w14:paraId="512A0C51" w14:textId="77777777" w:rsidR="009E450D" w:rsidRPr="00702882" w:rsidRDefault="009E450D" w:rsidP="00D91E84">
            <w:pPr>
              <w:rPr>
                <w:sz w:val="22"/>
              </w:rPr>
            </w:pPr>
            <w:r w:rsidRPr="00702882">
              <w:rPr>
                <w:sz w:val="22"/>
                <w:szCs w:val="22"/>
              </w:rPr>
              <w:t>Budget Stabilization Reserve Fund</w:t>
            </w:r>
          </w:p>
        </w:tc>
        <w:tc>
          <w:tcPr>
            <w:tcW w:w="1530" w:type="dxa"/>
            <w:shd w:val="clear" w:color="auto" w:fill="auto"/>
            <w:hideMark/>
          </w:tcPr>
          <w:p w14:paraId="552766FA" w14:textId="77777777" w:rsidR="009E450D" w:rsidRPr="00702882" w:rsidRDefault="009E450D" w:rsidP="00D91E84">
            <w:pPr>
              <w:rPr>
                <w:sz w:val="22"/>
              </w:rPr>
            </w:pPr>
            <w:r w:rsidRPr="00702882">
              <w:rPr>
                <w:sz w:val="22"/>
                <w:szCs w:val="22"/>
              </w:rPr>
              <w:t>1985</w:t>
            </w:r>
          </w:p>
        </w:tc>
      </w:tr>
      <w:tr w:rsidR="00EC76F9" w:rsidRPr="00702882" w14:paraId="49A9684D" w14:textId="77777777" w:rsidTr="00D91E84">
        <w:trPr>
          <w:trHeight w:val="57"/>
        </w:trPr>
        <w:tc>
          <w:tcPr>
            <w:tcW w:w="1705" w:type="dxa"/>
            <w:shd w:val="clear" w:color="auto" w:fill="auto"/>
            <w:noWrap/>
            <w:hideMark/>
          </w:tcPr>
          <w:p w14:paraId="00B28943" w14:textId="77777777" w:rsidR="009E450D" w:rsidRPr="00702882" w:rsidRDefault="009E450D" w:rsidP="00D91E84">
            <w:pPr>
              <w:rPr>
                <w:sz w:val="22"/>
              </w:rPr>
            </w:pPr>
            <w:r w:rsidRPr="00702882">
              <w:rPr>
                <w:sz w:val="22"/>
                <w:szCs w:val="22"/>
              </w:rPr>
              <w:t>Rhode Island</w:t>
            </w:r>
          </w:p>
        </w:tc>
        <w:tc>
          <w:tcPr>
            <w:tcW w:w="5940" w:type="dxa"/>
            <w:shd w:val="clear" w:color="auto" w:fill="auto"/>
            <w:noWrap/>
            <w:hideMark/>
          </w:tcPr>
          <w:p w14:paraId="5C486F08" w14:textId="77777777" w:rsidR="009E450D" w:rsidRPr="00702882" w:rsidRDefault="009E450D" w:rsidP="00D91E84">
            <w:pPr>
              <w:rPr>
                <w:sz w:val="22"/>
              </w:rPr>
            </w:pPr>
            <w:r w:rsidRPr="00702882">
              <w:rPr>
                <w:sz w:val="22"/>
                <w:szCs w:val="22"/>
              </w:rPr>
              <w:t>State budget reserve and cash stabilization account</w:t>
            </w:r>
          </w:p>
        </w:tc>
        <w:tc>
          <w:tcPr>
            <w:tcW w:w="1530" w:type="dxa"/>
            <w:shd w:val="clear" w:color="auto" w:fill="auto"/>
            <w:hideMark/>
          </w:tcPr>
          <w:p w14:paraId="61D87FBD" w14:textId="77777777" w:rsidR="009E450D" w:rsidRPr="00702882" w:rsidRDefault="009E450D" w:rsidP="00D91E84">
            <w:pPr>
              <w:rPr>
                <w:sz w:val="22"/>
              </w:rPr>
            </w:pPr>
            <w:r w:rsidRPr="00702882">
              <w:rPr>
                <w:sz w:val="22"/>
                <w:szCs w:val="22"/>
              </w:rPr>
              <w:t>1985</w:t>
            </w:r>
          </w:p>
        </w:tc>
      </w:tr>
      <w:tr w:rsidR="00EC76F9" w:rsidRPr="00702882" w14:paraId="24814457" w14:textId="77777777" w:rsidTr="00D91E84">
        <w:trPr>
          <w:trHeight w:val="57"/>
        </w:trPr>
        <w:tc>
          <w:tcPr>
            <w:tcW w:w="1705" w:type="dxa"/>
            <w:vMerge w:val="restart"/>
            <w:shd w:val="clear" w:color="auto" w:fill="auto"/>
            <w:noWrap/>
            <w:hideMark/>
          </w:tcPr>
          <w:p w14:paraId="0313285E" w14:textId="77777777" w:rsidR="009E450D" w:rsidRPr="00702882" w:rsidRDefault="009E450D" w:rsidP="00D91E84">
            <w:pPr>
              <w:rPr>
                <w:sz w:val="22"/>
              </w:rPr>
            </w:pPr>
            <w:r w:rsidRPr="00702882">
              <w:rPr>
                <w:sz w:val="22"/>
                <w:szCs w:val="22"/>
              </w:rPr>
              <w:t>South Carolina</w:t>
            </w:r>
          </w:p>
        </w:tc>
        <w:tc>
          <w:tcPr>
            <w:tcW w:w="5940" w:type="dxa"/>
            <w:shd w:val="clear" w:color="auto" w:fill="auto"/>
            <w:noWrap/>
            <w:hideMark/>
          </w:tcPr>
          <w:p w14:paraId="11006230" w14:textId="77777777" w:rsidR="009E450D" w:rsidRPr="00702882" w:rsidRDefault="009E450D" w:rsidP="00D91E84">
            <w:pPr>
              <w:rPr>
                <w:sz w:val="22"/>
              </w:rPr>
            </w:pPr>
            <w:r w:rsidRPr="00702882">
              <w:rPr>
                <w:sz w:val="22"/>
                <w:szCs w:val="22"/>
              </w:rPr>
              <w:t>General Reserve Fund</w:t>
            </w:r>
          </w:p>
        </w:tc>
        <w:tc>
          <w:tcPr>
            <w:tcW w:w="1530" w:type="dxa"/>
            <w:shd w:val="clear" w:color="auto" w:fill="auto"/>
            <w:hideMark/>
          </w:tcPr>
          <w:p w14:paraId="56C37C38" w14:textId="77777777" w:rsidR="009E450D" w:rsidRPr="00702882" w:rsidRDefault="009E450D" w:rsidP="00D91E84">
            <w:pPr>
              <w:rPr>
                <w:sz w:val="22"/>
              </w:rPr>
            </w:pPr>
            <w:r w:rsidRPr="00702882">
              <w:rPr>
                <w:sz w:val="22"/>
                <w:szCs w:val="22"/>
              </w:rPr>
              <w:t>1977</w:t>
            </w:r>
          </w:p>
        </w:tc>
      </w:tr>
      <w:tr w:rsidR="00EC76F9" w:rsidRPr="00702882" w14:paraId="3319294A" w14:textId="77777777" w:rsidTr="00D91E84">
        <w:trPr>
          <w:trHeight w:val="57"/>
        </w:trPr>
        <w:tc>
          <w:tcPr>
            <w:tcW w:w="1705" w:type="dxa"/>
            <w:vMerge/>
            <w:shd w:val="clear" w:color="auto" w:fill="auto"/>
            <w:noWrap/>
          </w:tcPr>
          <w:p w14:paraId="0E2788D6" w14:textId="77777777" w:rsidR="009E450D" w:rsidRPr="00702882" w:rsidRDefault="009E450D" w:rsidP="00D91E84">
            <w:pPr>
              <w:rPr>
                <w:sz w:val="22"/>
                <w:szCs w:val="22"/>
              </w:rPr>
            </w:pPr>
          </w:p>
        </w:tc>
        <w:tc>
          <w:tcPr>
            <w:tcW w:w="5940" w:type="dxa"/>
            <w:shd w:val="clear" w:color="auto" w:fill="auto"/>
            <w:noWrap/>
          </w:tcPr>
          <w:p w14:paraId="1DB93B4F" w14:textId="77777777" w:rsidR="009E450D" w:rsidRPr="00702882" w:rsidRDefault="009E450D" w:rsidP="00D91E84">
            <w:pPr>
              <w:rPr>
                <w:sz w:val="22"/>
                <w:szCs w:val="22"/>
              </w:rPr>
            </w:pPr>
            <w:r w:rsidRPr="00702882">
              <w:rPr>
                <w:sz w:val="22"/>
                <w:szCs w:val="22"/>
              </w:rPr>
              <w:t>Capital Reserve Fund</w:t>
            </w:r>
          </w:p>
        </w:tc>
        <w:tc>
          <w:tcPr>
            <w:tcW w:w="1530" w:type="dxa"/>
            <w:shd w:val="clear" w:color="auto" w:fill="auto"/>
          </w:tcPr>
          <w:p w14:paraId="6624F6B3" w14:textId="77777777" w:rsidR="009E450D" w:rsidRPr="00702882" w:rsidRDefault="009E450D" w:rsidP="00D91E84">
            <w:pPr>
              <w:rPr>
                <w:sz w:val="22"/>
                <w:szCs w:val="22"/>
              </w:rPr>
            </w:pPr>
            <w:r w:rsidRPr="00702882">
              <w:rPr>
                <w:sz w:val="22"/>
                <w:szCs w:val="22"/>
              </w:rPr>
              <w:t>1988</w:t>
            </w:r>
          </w:p>
        </w:tc>
      </w:tr>
      <w:tr w:rsidR="00EC76F9" w:rsidRPr="00702882" w14:paraId="08FB0FC2" w14:textId="77777777" w:rsidTr="00D91E84">
        <w:trPr>
          <w:trHeight w:val="57"/>
        </w:trPr>
        <w:tc>
          <w:tcPr>
            <w:tcW w:w="1705" w:type="dxa"/>
            <w:vMerge/>
            <w:shd w:val="clear" w:color="auto" w:fill="auto"/>
            <w:noWrap/>
          </w:tcPr>
          <w:p w14:paraId="6751C3D0" w14:textId="77777777" w:rsidR="009E450D" w:rsidRPr="00702882" w:rsidRDefault="009E450D" w:rsidP="00D91E84">
            <w:pPr>
              <w:rPr>
                <w:sz w:val="22"/>
                <w:szCs w:val="22"/>
              </w:rPr>
            </w:pPr>
          </w:p>
        </w:tc>
        <w:tc>
          <w:tcPr>
            <w:tcW w:w="5940" w:type="dxa"/>
            <w:shd w:val="clear" w:color="auto" w:fill="auto"/>
            <w:noWrap/>
          </w:tcPr>
          <w:p w14:paraId="46D1EACA" w14:textId="77777777" w:rsidR="009E450D" w:rsidRPr="00702882" w:rsidRDefault="009E450D" w:rsidP="00D91E84">
            <w:pPr>
              <w:rPr>
                <w:rFonts w:eastAsiaTheme="minorEastAsia"/>
                <w:sz w:val="22"/>
                <w:szCs w:val="22"/>
              </w:rPr>
            </w:pPr>
            <w:r w:rsidRPr="00702882">
              <w:rPr>
                <w:rFonts w:eastAsiaTheme="minorEastAsia"/>
                <w:sz w:val="22"/>
                <w:szCs w:val="22"/>
              </w:rPr>
              <w:t>Contingency Reserve Fund</w:t>
            </w:r>
          </w:p>
        </w:tc>
        <w:tc>
          <w:tcPr>
            <w:tcW w:w="1530" w:type="dxa"/>
            <w:shd w:val="clear" w:color="auto" w:fill="auto"/>
          </w:tcPr>
          <w:p w14:paraId="7E291441" w14:textId="77777777" w:rsidR="009E450D" w:rsidRPr="00702882" w:rsidRDefault="009E450D" w:rsidP="00D91E84">
            <w:pPr>
              <w:rPr>
                <w:rFonts w:eastAsiaTheme="minorEastAsia"/>
                <w:sz w:val="22"/>
                <w:szCs w:val="22"/>
              </w:rPr>
            </w:pPr>
            <w:r w:rsidRPr="00702882">
              <w:rPr>
                <w:rFonts w:eastAsiaTheme="minorEastAsia"/>
                <w:sz w:val="22"/>
                <w:szCs w:val="22"/>
              </w:rPr>
              <w:t>2007</w:t>
            </w:r>
          </w:p>
        </w:tc>
      </w:tr>
      <w:tr w:rsidR="00EC76F9" w:rsidRPr="00702882" w14:paraId="01C4AC2B" w14:textId="77777777" w:rsidTr="00D91E84">
        <w:trPr>
          <w:trHeight w:val="57"/>
        </w:trPr>
        <w:tc>
          <w:tcPr>
            <w:tcW w:w="1705" w:type="dxa"/>
            <w:shd w:val="clear" w:color="auto" w:fill="auto"/>
            <w:noWrap/>
            <w:hideMark/>
          </w:tcPr>
          <w:p w14:paraId="2298289F" w14:textId="77777777" w:rsidR="009E450D" w:rsidRPr="00702882" w:rsidRDefault="009E450D" w:rsidP="00D91E84">
            <w:pPr>
              <w:rPr>
                <w:sz w:val="22"/>
              </w:rPr>
            </w:pPr>
            <w:r w:rsidRPr="00702882">
              <w:rPr>
                <w:sz w:val="22"/>
                <w:szCs w:val="22"/>
              </w:rPr>
              <w:t>South Dakota</w:t>
            </w:r>
          </w:p>
        </w:tc>
        <w:tc>
          <w:tcPr>
            <w:tcW w:w="5940" w:type="dxa"/>
            <w:shd w:val="clear" w:color="auto" w:fill="auto"/>
            <w:noWrap/>
            <w:hideMark/>
          </w:tcPr>
          <w:p w14:paraId="425B1681" w14:textId="77777777" w:rsidR="009E450D" w:rsidRPr="00702882" w:rsidRDefault="009E450D" w:rsidP="00D91E84">
            <w:pPr>
              <w:rPr>
                <w:sz w:val="22"/>
              </w:rPr>
            </w:pPr>
            <w:r w:rsidRPr="00702882">
              <w:rPr>
                <w:sz w:val="22"/>
                <w:szCs w:val="22"/>
              </w:rPr>
              <w:t>General Reserve Fund</w:t>
            </w:r>
          </w:p>
        </w:tc>
        <w:tc>
          <w:tcPr>
            <w:tcW w:w="1530" w:type="dxa"/>
            <w:shd w:val="clear" w:color="auto" w:fill="auto"/>
            <w:hideMark/>
          </w:tcPr>
          <w:p w14:paraId="3B7B3C4A" w14:textId="77777777" w:rsidR="009E450D" w:rsidRPr="00702882" w:rsidRDefault="009E450D" w:rsidP="00D91E84">
            <w:pPr>
              <w:rPr>
                <w:sz w:val="22"/>
              </w:rPr>
            </w:pPr>
            <w:r w:rsidRPr="00702882">
              <w:rPr>
                <w:sz w:val="22"/>
                <w:szCs w:val="22"/>
              </w:rPr>
              <w:t>1991</w:t>
            </w:r>
          </w:p>
        </w:tc>
      </w:tr>
      <w:tr w:rsidR="00EC76F9" w:rsidRPr="00702882" w14:paraId="501C3C5A" w14:textId="77777777" w:rsidTr="00D91E84">
        <w:trPr>
          <w:trHeight w:val="57"/>
        </w:trPr>
        <w:tc>
          <w:tcPr>
            <w:tcW w:w="1705" w:type="dxa"/>
            <w:shd w:val="clear" w:color="auto" w:fill="auto"/>
            <w:noWrap/>
            <w:hideMark/>
          </w:tcPr>
          <w:p w14:paraId="710D9375" w14:textId="77777777" w:rsidR="009E450D" w:rsidRPr="00702882" w:rsidRDefault="009E450D" w:rsidP="00D91E84">
            <w:pPr>
              <w:rPr>
                <w:sz w:val="22"/>
              </w:rPr>
            </w:pPr>
            <w:r w:rsidRPr="00702882">
              <w:rPr>
                <w:sz w:val="22"/>
                <w:szCs w:val="22"/>
              </w:rPr>
              <w:t>Tennessee</w:t>
            </w:r>
          </w:p>
        </w:tc>
        <w:tc>
          <w:tcPr>
            <w:tcW w:w="5940" w:type="dxa"/>
            <w:shd w:val="clear" w:color="auto" w:fill="auto"/>
            <w:noWrap/>
            <w:hideMark/>
          </w:tcPr>
          <w:p w14:paraId="30DEE54B" w14:textId="77777777" w:rsidR="009E450D" w:rsidRPr="00702882" w:rsidRDefault="009E450D" w:rsidP="00D91E84">
            <w:pPr>
              <w:rPr>
                <w:sz w:val="22"/>
              </w:rPr>
            </w:pPr>
            <w:r w:rsidRPr="00702882">
              <w:rPr>
                <w:sz w:val="22"/>
                <w:szCs w:val="22"/>
              </w:rPr>
              <w:t>Reserve for Revenue Fluctuations</w:t>
            </w:r>
          </w:p>
        </w:tc>
        <w:tc>
          <w:tcPr>
            <w:tcW w:w="1530" w:type="dxa"/>
            <w:shd w:val="clear" w:color="auto" w:fill="auto"/>
            <w:hideMark/>
          </w:tcPr>
          <w:p w14:paraId="720F4D7A" w14:textId="77777777" w:rsidR="009E450D" w:rsidRPr="00702882" w:rsidRDefault="009E450D" w:rsidP="00D91E84">
            <w:pPr>
              <w:rPr>
                <w:sz w:val="22"/>
              </w:rPr>
            </w:pPr>
            <w:r w:rsidRPr="00702882">
              <w:rPr>
                <w:sz w:val="22"/>
                <w:szCs w:val="22"/>
              </w:rPr>
              <w:t>1972</w:t>
            </w:r>
          </w:p>
        </w:tc>
      </w:tr>
      <w:tr w:rsidR="00EC76F9" w:rsidRPr="00702882" w14:paraId="26C14B0B" w14:textId="77777777" w:rsidTr="00D91E84">
        <w:trPr>
          <w:trHeight w:val="57"/>
        </w:trPr>
        <w:tc>
          <w:tcPr>
            <w:tcW w:w="1705" w:type="dxa"/>
            <w:shd w:val="clear" w:color="auto" w:fill="auto"/>
            <w:noWrap/>
            <w:hideMark/>
          </w:tcPr>
          <w:p w14:paraId="66442C6C" w14:textId="77777777" w:rsidR="009E450D" w:rsidRPr="00702882" w:rsidRDefault="009E450D" w:rsidP="00D91E84">
            <w:pPr>
              <w:rPr>
                <w:sz w:val="22"/>
              </w:rPr>
            </w:pPr>
            <w:r w:rsidRPr="00702882">
              <w:rPr>
                <w:sz w:val="22"/>
                <w:szCs w:val="22"/>
              </w:rPr>
              <w:t>Texas</w:t>
            </w:r>
          </w:p>
        </w:tc>
        <w:tc>
          <w:tcPr>
            <w:tcW w:w="5940" w:type="dxa"/>
            <w:shd w:val="clear" w:color="auto" w:fill="auto"/>
            <w:noWrap/>
            <w:hideMark/>
          </w:tcPr>
          <w:p w14:paraId="6069225E" w14:textId="77777777" w:rsidR="009E450D" w:rsidRPr="00702882" w:rsidRDefault="009E450D" w:rsidP="00D91E84">
            <w:pPr>
              <w:rPr>
                <w:sz w:val="22"/>
              </w:rPr>
            </w:pPr>
            <w:r w:rsidRPr="00702882">
              <w:rPr>
                <w:sz w:val="22"/>
                <w:szCs w:val="22"/>
              </w:rPr>
              <w:t>Economic Stabilization Fund</w:t>
            </w:r>
          </w:p>
        </w:tc>
        <w:tc>
          <w:tcPr>
            <w:tcW w:w="1530" w:type="dxa"/>
            <w:shd w:val="clear" w:color="auto" w:fill="auto"/>
            <w:hideMark/>
          </w:tcPr>
          <w:p w14:paraId="3C586902" w14:textId="77777777" w:rsidR="009E450D" w:rsidRPr="00702882" w:rsidRDefault="009E450D" w:rsidP="00D91E84">
            <w:pPr>
              <w:rPr>
                <w:sz w:val="22"/>
              </w:rPr>
            </w:pPr>
            <w:r w:rsidRPr="00702882">
              <w:rPr>
                <w:sz w:val="22"/>
                <w:szCs w:val="22"/>
              </w:rPr>
              <w:t>1988</w:t>
            </w:r>
          </w:p>
        </w:tc>
      </w:tr>
      <w:tr w:rsidR="00EC76F9" w:rsidRPr="00702882" w14:paraId="2DC4737F" w14:textId="77777777" w:rsidTr="00D91E84">
        <w:trPr>
          <w:trHeight w:val="57"/>
        </w:trPr>
        <w:tc>
          <w:tcPr>
            <w:tcW w:w="1705" w:type="dxa"/>
            <w:shd w:val="clear" w:color="auto" w:fill="auto"/>
            <w:noWrap/>
            <w:hideMark/>
          </w:tcPr>
          <w:p w14:paraId="6068AC40" w14:textId="77777777" w:rsidR="009E450D" w:rsidRPr="00702882" w:rsidRDefault="009E450D" w:rsidP="00D91E84">
            <w:pPr>
              <w:rPr>
                <w:sz w:val="22"/>
              </w:rPr>
            </w:pPr>
            <w:r w:rsidRPr="00702882">
              <w:rPr>
                <w:sz w:val="22"/>
                <w:szCs w:val="22"/>
              </w:rPr>
              <w:t>Utah</w:t>
            </w:r>
          </w:p>
        </w:tc>
        <w:tc>
          <w:tcPr>
            <w:tcW w:w="5940" w:type="dxa"/>
            <w:shd w:val="clear" w:color="auto" w:fill="auto"/>
            <w:noWrap/>
            <w:hideMark/>
          </w:tcPr>
          <w:p w14:paraId="2AA5097D" w14:textId="77777777" w:rsidR="009E450D" w:rsidRPr="00702882" w:rsidRDefault="009E450D" w:rsidP="00D91E84">
            <w:pPr>
              <w:rPr>
                <w:sz w:val="22"/>
              </w:rPr>
            </w:pPr>
            <w:r w:rsidRPr="00702882">
              <w:rPr>
                <w:sz w:val="22"/>
                <w:szCs w:val="22"/>
              </w:rPr>
              <w:t>Budget Reserve Account</w:t>
            </w:r>
          </w:p>
        </w:tc>
        <w:tc>
          <w:tcPr>
            <w:tcW w:w="1530" w:type="dxa"/>
            <w:shd w:val="clear" w:color="auto" w:fill="auto"/>
            <w:hideMark/>
          </w:tcPr>
          <w:p w14:paraId="1869CC04" w14:textId="77777777" w:rsidR="009E450D" w:rsidRPr="00702882" w:rsidRDefault="009E450D" w:rsidP="00D91E84">
            <w:pPr>
              <w:rPr>
                <w:sz w:val="22"/>
              </w:rPr>
            </w:pPr>
            <w:r w:rsidRPr="00702882">
              <w:rPr>
                <w:sz w:val="22"/>
                <w:szCs w:val="22"/>
              </w:rPr>
              <w:t>1986</w:t>
            </w:r>
          </w:p>
        </w:tc>
      </w:tr>
      <w:tr w:rsidR="00EC76F9" w:rsidRPr="00702882" w14:paraId="0F3C5A1C" w14:textId="77777777" w:rsidTr="00D91E84">
        <w:trPr>
          <w:trHeight w:val="57"/>
        </w:trPr>
        <w:tc>
          <w:tcPr>
            <w:tcW w:w="1705" w:type="dxa"/>
            <w:vMerge w:val="restart"/>
            <w:shd w:val="clear" w:color="auto" w:fill="auto"/>
            <w:noWrap/>
            <w:hideMark/>
          </w:tcPr>
          <w:p w14:paraId="648F91E5" w14:textId="77777777" w:rsidR="009E450D" w:rsidRPr="00702882" w:rsidRDefault="009E450D" w:rsidP="00D91E84">
            <w:pPr>
              <w:rPr>
                <w:sz w:val="22"/>
              </w:rPr>
            </w:pPr>
            <w:r w:rsidRPr="00702882">
              <w:rPr>
                <w:sz w:val="22"/>
                <w:szCs w:val="22"/>
              </w:rPr>
              <w:t>Vermont</w:t>
            </w:r>
          </w:p>
        </w:tc>
        <w:tc>
          <w:tcPr>
            <w:tcW w:w="5940" w:type="dxa"/>
            <w:shd w:val="clear" w:color="auto" w:fill="auto"/>
            <w:noWrap/>
            <w:hideMark/>
          </w:tcPr>
          <w:p w14:paraId="72DCF852" w14:textId="77777777" w:rsidR="009E450D" w:rsidRPr="00702882" w:rsidRDefault="009E450D" w:rsidP="00D91E84">
            <w:pPr>
              <w:rPr>
                <w:sz w:val="22"/>
              </w:rPr>
            </w:pPr>
            <w:r w:rsidRPr="00702882">
              <w:rPr>
                <w:sz w:val="22"/>
                <w:szCs w:val="22"/>
              </w:rPr>
              <w:t>General Fund Budget Stabilization Reserve</w:t>
            </w:r>
          </w:p>
        </w:tc>
        <w:tc>
          <w:tcPr>
            <w:tcW w:w="1530" w:type="dxa"/>
            <w:shd w:val="clear" w:color="auto" w:fill="auto"/>
            <w:hideMark/>
          </w:tcPr>
          <w:p w14:paraId="222F64D7" w14:textId="77777777" w:rsidR="009E450D" w:rsidRPr="00702882" w:rsidRDefault="009E450D" w:rsidP="00D91E84">
            <w:pPr>
              <w:rPr>
                <w:sz w:val="22"/>
              </w:rPr>
            </w:pPr>
            <w:r w:rsidRPr="00702882">
              <w:rPr>
                <w:sz w:val="22"/>
                <w:szCs w:val="22"/>
              </w:rPr>
              <w:t>1987</w:t>
            </w:r>
          </w:p>
        </w:tc>
      </w:tr>
      <w:tr w:rsidR="00EC76F9" w:rsidRPr="00702882" w14:paraId="2DA2FAF8" w14:textId="77777777" w:rsidTr="00D91E84">
        <w:trPr>
          <w:trHeight w:val="57"/>
        </w:trPr>
        <w:tc>
          <w:tcPr>
            <w:tcW w:w="1705" w:type="dxa"/>
            <w:vMerge/>
            <w:vAlign w:val="center"/>
            <w:hideMark/>
          </w:tcPr>
          <w:p w14:paraId="19599B06" w14:textId="77777777" w:rsidR="009E450D" w:rsidRPr="00702882" w:rsidRDefault="009E450D" w:rsidP="00D91E84">
            <w:pPr>
              <w:rPr>
                <w:sz w:val="22"/>
              </w:rPr>
            </w:pPr>
          </w:p>
        </w:tc>
        <w:tc>
          <w:tcPr>
            <w:tcW w:w="5940" w:type="dxa"/>
            <w:shd w:val="clear" w:color="auto" w:fill="auto"/>
            <w:noWrap/>
            <w:hideMark/>
          </w:tcPr>
          <w:p w14:paraId="1D9CE729" w14:textId="77777777" w:rsidR="009E450D" w:rsidRPr="00702882" w:rsidRDefault="009E450D" w:rsidP="00D91E84">
            <w:pPr>
              <w:rPr>
                <w:sz w:val="22"/>
              </w:rPr>
            </w:pPr>
            <w:r w:rsidRPr="00702882">
              <w:rPr>
                <w:sz w:val="22"/>
                <w:szCs w:val="22"/>
              </w:rPr>
              <w:t>General Fund Surplus Reserve</w:t>
            </w:r>
          </w:p>
        </w:tc>
        <w:tc>
          <w:tcPr>
            <w:tcW w:w="1530" w:type="dxa"/>
            <w:shd w:val="clear" w:color="auto" w:fill="auto"/>
            <w:hideMark/>
          </w:tcPr>
          <w:p w14:paraId="275CC94B" w14:textId="77777777" w:rsidR="009E450D" w:rsidRPr="00702882" w:rsidRDefault="009E450D" w:rsidP="00D91E84">
            <w:pPr>
              <w:rPr>
                <w:sz w:val="22"/>
              </w:rPr>
            </w:pPr>
            <w:r w:rsidRPr="00702882">
              <w:rPr>
                <w:sz w:val="22"/>
                <w:szCs w:val="22"/>
              </w:rPr>
              <w:t>1999</w:t>
            </w:r>
          </w:p>
        </w:tc>
      </w:tr>
      <w:tr w:rsidR="00EC76F9" w:rsidRPr="00702882" w14:paraId="2ED73D90" w14:textId="77777777" w:rsidTr="00D91E84">
        <w:trPr>
          <w:trHeight w:val="57"/>
        </w:trPr>
        <w:tc>
          <w:tcPr>
            <w:tcW w:w="1705" w:type="dxa"/>
            <w:shd w:val="clear" w:color="auto" w:fill="auto"/>
            <w:noWrap/>
            <w:hideMark/>
          </w:tcPr>
          <w:p w14:paraId="6082C2D3" w14:textId="77777777" w:rsidR="009E450D" w:rsidRPr="00702882" w:rsidRDefault="009E450D" w:rsidP="00D91E84">
            <w:pPr>
              <w:rPr>
                <w:sz w:val="22"/>
              </w:rPr>
            </w:pPr>
            <w:r w:rsidRPr="00702882">
              <w:rPr>
                <w:sz w:val="22"/>
                <w:szCs w:val="22"/>
              </w:rPr>
              <w:t>Virginia</w:t>
            </w:r>
          </w:p>
        </w:tc>
        <w:tc>
          <w:tcPr>
            <w:tcW w:w="5940" w:type="dxa"/>
            <w:shd w:val="clear" w:color="auto" w:fill="auto"/>
            <w:noWrap/>
            <w:hideMark/>
          </w:tcPr>
          <w:p w14:paraId="1379047A" w14:textId="77777777" w:rsidR="009E450D" w:rsidRPr="00702882" w:rsidRDefault="009E450D" w:rsidP="00D91E84">
            <w:pPr>
              <w:rPr>
                <w:sz w:val="22"/>
              </w:rPr>
            </w:pPr>
            <w:r w:rsidRPr="00702882">
              <w:rPr>
                <w:sz w:val="22"/>
                <w:szCs w:val="22"/>
              </w:rPr>
              <w:t xml:space="preserve">Revenue Stabilization Fund </w:t>
            </w:r>
          </w:p>
        </w:tc>
        <w:tc>
          <w:tcPr>
            <w:tcW w:w="1530" w:type="dxa"/>
            <w:shd w:val="clear" w:color="auto" w:fill="auto"/>
            <w:hideMark/>
          </w:tcPr>
          <w:p w14:paraId="24AD7E69" w14:textId="77777777" w:rsidR="009E450D" w:rsidRPr="00702882" w:rsidRDefault="009E450D" w:rsidP="00D91E84">
            <w:pPr>
              <w:rPr>
                <w:sz w:val="22"/>
              </w:rPr>
            </w:pPr>
            <w:r w:rsidRPr="00702882">
              <w:rPr>
                <w:sz w:val="22"/>
                <w:szCs w:val="22"/>
              </w:rPr>
              <w:t>1992</w:t>
            </w:r>
          </w:p>
        </w:tc>
      </w:tr>
      <w:tr w:rsidR="00EC76F9" w:rsidRPr="00702882" w14:paraId="1E933B9F" w14:textId="77777777" w:rsidTr="00D91E84">
        <w:trPr>
          <w:trHeight w:val="57"/>
        </w:trPr>
        <w:tc>
          <w:tcPr>
            <w:tcW w:w="1705" w:type="dxa"/>
            <w:shd w:val="clear" w:color="auto" w:fill="auto"/>
            <w:noWrap/>
            <w:hideMark/>
          </w:tcPr>
          <w:p w14:paraId="126198BA" w14:textId="77777777" w:rsidR="009E450D" w:rsidRPr="00702882" w:rsidRDefault="009E450D" w:rsidP="00D91E84">
            <w:pPr>
              <w:rPr>
                <w:sz w:val="22"/>
              </w:rPr>
            </w:pPr>
            <w:r w:rsidRPr="00702882">
              <w:rPr>
                <w:sz w:val="22"/>
                <w:szCs w:val="22"/>
              </w:rPr>
              <w:t>Washington</w:t>
            </w:r>
          </w:p>
        </w:tc>
        <w:tc>
          <w:tcPr>
            <w:tcW w:w="5940" w:type="dxa"/>
            <w:shd w:val="clear" w:color="auto" w:fill="auto"/>
            <w:noWrap/>
            <w:hideMark/>
          </w:tcPr>
          <w:p w14:paraId="452CE220" w14:textId="77777777" w:rsidR="009E450D" w:rsidRPr="00702882" w:rsidRDefault="009E450D" w:rsidP="00D91E84">
            <w:pPr>
              <w:rPr>
                <w:sz w:val="22"/>
              </w:rPr>
            </w:pPr>
            <w:r w:rsidRPr="00702882">
              <w:rPr>
                <w:sz w:val="22"/>
                <w:szCs w:val="22"/>
              </w:rPr>
              <w:t>Emergency Reserve Fund</w:t>
            </w:r>
          </w:p>
        </w:tc>
        <w:tc>
          <w:tcPr>
            <w:tcW w:w="1530" w:type="dxa"/>
            <w:shd w:val="clear" w:color="auto" w:fill="auto"/>
            <w:hideMark/>
          </w:tcPr>
          <w:p w14:paraId="65EBB532" w14:textId="77777777" w:rsidR="009E450D" w:rsidRPr="00702882" w:rsidRDefault="009E450D" w:rsidP="00D91E84">
            <w:pPr>
              <w:rPr>
                <w:sz w:val="22"/>
              </w:rPr>
            </w:pPr>
            <w:r w:rsidRPr="00702882">
              <w:rPr>
                <w:sz w:val="22"/>
                <w:szCs w:val="22"/>
              </w:rPr>
              <w:t>1981</w:t>
            </w:r>
          </w:p>
        </w:tc>
      </w:tr>
      <w:tr w:rsidR="00EC76F9" w:rsidRPr="00702882" w14:paraId="745FCBFD" w14:textId="77777777" w:rsidTr="00D91E84">
        <w:trPr>
          <w:trHeight w:val="57"/>
        </w:trPr>
        <w:tc>
          <w:tcPr>
            <w:tcW w:w="1705" w:type="dxa"/>
            <w:shd w:val="clear" w:color="auto" w:fill="auto"/>
            <w:noWrap/>
            <w:hideMark/>
          </w:tcPr>
          <w:p w14:paraId="1163114A" w14:textId="77777777" w:rsidR="009E450D" w:rsidRPr="00702882" w:rsidRDefault="009E450D" w:rsidP="00D91E84">
            <w:pPr>
              <w:rPr>
                <w:sz w:val="22"/>
              </w:rPr>
            </w:pPr>
            <w:r w:rsidRPr="00702882">
              <w:rPr>
                <w:sz w:val="22"/>
                <w:szCs w:val="22"/>
              </w:rPr>
              <w:t>West Virginia</w:t>
            </w:r>
          </w:p>
        </w:tc>
        <w:tc>
          <w:tcPr>
            <w:tcW w:w="5940" w:type="dxa"/>
            <w:shd w:val="clear" w:color="auto" w:fill="auto"/>
            <w:noWrap/>
            <w:hideMark/>
          </w:tcPr>
          <w:p w14:paraId="209B0526" w14:textId="77777777" w:rsidR="009E450D" w:rsidRPr="00702882" w:rsidRDefault="009E450D" w:rsidP="00D91E84">
            <w:pPr>
              <w:rPr>
                <w:sz w:val="22"/>
              </w:rPr>
            </w:pPr>
            <w:r w:rsidRPr="00702882">
              <w:rPr>
                <w:sz w:val="22"/>
                <w:szCs w:val="22"/>
              </w:rPr>
              <w:t>Revenue Shortfall Reserve Fund</w:t>
            </w:r>
          </w:p>
        </w:tc>
        <w:tc>
          <w:tcPr>
            <w:tcW w:w="1530" w:type="dxa"/>
            <w:shd w:val="clear" w:color="auto" w:fill="auto"/>
            <w:hideMark/>
          </w:tcPr>
          <w:p w14:paraId="76213E4B" w14:textId="77777777" w:rsidR="009E450D" w:rsidRPr="00702882" w:rsidRDefault="009E450D" w:rsidP="00D91E84">
            <w:pPr>
              <w:rPr>
                <w:sz w:val="22"/>
              </w:rPr>
            </w:pPr>
            <w:r w:rsidRPr="00702882">
              <w:rPr>
                <w:sz w:val="22"/>
                <w:szCs w:val="22"/>
              </w:rPr>
              <w:t>1994</w:t>
            </w:r>
          </w:p>
        </w:tc>
      </w:tr>
      <w:tr w:rsidR="00EC76F9" w:rsidRPr="00702882" w14:paraId="7F38C6BD" w14:textId="77777777" w:rsidTr="00D91E84">
        <w:trPr>
          <w:trHeight w:val="57"/>
        </w:trPr>
        <w:tc>
          <w:tcPr>
            <w:tcW w:w="1705" w:type="dxa"/>
            <w:shd w:val="clear" w:color="auto" w:fill="auto"/>
            <w:noWrap/>
            <w:hideMark/>
          </w:tcPr>
          <w:p w14:paraId="1A2195C9" w14:textId="77777777" w:rsidR="009E450D" w:rsidRPr="00702882" w:rsidRDefault="009E450D" w:rsidP="00D91E84">
            <w:pPr>
              <w:rPr>
                <w:sz w:val="22"/>
              </w:rPr>
            </w:pPr>
            <w:r w:rsidRPr="00702882">
              <w:rPr>
                <w:sz w:val="22"/>
                <w:szCs w:val="22"/>
              </w:rPr>
              <w:t>Wisconsin</w:t>
            </w:r>
          </w:p>
        </w:tc>
        <w:tc>
          <w:tcPr>
            <w:tcW w:w="5940" w:type="dxa"/>
            <w:shd w:val="clear" w:color="auto" w:fill="auto"/>
            <w:noWrap/>
            <w:hideMark/>
          </w:tcPr>
          <w:p w14:paraId="157BF0A7" w14:textId="77777777" w:rsidR="009E450D" w:rsidRPr="00702882" w:rsidRDefault="009E450D" w:rsidP="00D91E84">
            <w:pPr>
              <w:rPr>
                <w:sz w:val="22"/>
              </w:rPr>
            </w:pPr>
            <w:r w:rsidRPr="00702882">
              <w:rPr>
                <w:sz w:val="22"/>
                <w:szCs w:val="22"/>
              </w:rPr>
              <w:t>Budget Stabilization Fund</w:t>
            </w:r>
          </w:p>
        </w:tc>
        <w:tc>
          <w:tcPr>
            <w:tcW w:w="1530" w:type="dxa"/>
            <w:shd w:val="clear" w:color="auto" w:fill="auto"/>
            <w:hideMark/>
          </w:tcPr>
          <w:p w14:paraId="4ECBE5B9" w14:textId="77777777" w:rsidR="009E450D" w:rsidRPr="00702882" w:rsidRDefault="009E450D" w:rsidP="00D91E84">
            <w:pPr>
              <w:rPr>
                <w:sz w:val="22"/>
              </w:rPr>
            </w:pPr>
            <w:r w:rsidRPr="00702882">
              <w:rPr>
                <w:sz w:val="22"/>
                <w:szCs w:val="22"/>
              </w:rPr>
              <w:t>1985</w:t>
            </w:r>
          </w:p>
        </w:tc>
      </w:tr>
      <w:tr w:rsidR="00EC76F9" w:rsidRPr="00702882" w14:paraId="47384D8F" w14:textId="77777777" w:rsidTr="00D91E84">
        <w:trPr>
          <w:trHeight w:val="57"/>
        </w:trPr>
        <w:tc>
          <w:tcPr>
            <w:tcW w:w="1705" w:type="dxa"/>
            <w:tcBorders>
              <w:bottom w:val="single" w:sz="8" w:space="0" w:color="auto"/>
            </w:tcBorders>
            <w:shd w:val="clear" w:color="auto" w:fill="auto"/>
            <w:noWrap/>
            <w:hideMark/>
          </w:tcPr>
          <w:p w14:paraId="402D4D60" w14:textId="77777777" w:rsidR="009E450D" w:rsidRPr="00702882" w:rsidRDefault="009E450D" w:rsidP="00D91E84">
            <w:pPr>
              <w:rPr>
                <w:sz w:val="22"/>
              </w:rPr>
            </w:pPr>
            <w:r w:rsidRPr="00702882">
              <w:rPr>
                <w:sz w:val="22"/>
                <w:szCs w:val="22"/>
              </w:rPr>
              <w:t>Wyoming</w:t>
            </w:r>
          </w:p>
        </w:tc>
        <w:tc>
          <w:tcPr>
            <w:tcW w:w="5940" w:type="dxa"/>
            <w:tcBorders>
              <w:bottom w:val="single" w:sz="8" w:space="0" w:color="auto"/>
            </w:tcBorders>
            <w:shd w:val="clear" w:color="auto" w:fill="auto"/>
            <w:noWrap/>
            <w:hideMark/>
          </w:tcPr>
          <w:p w14:paraId="24FE3A83" w14:textId="77777777" w:rsidR="009E450D" w:rsidRPr="00702882" w:rsidRDefault="009E450D" w:rsidP="00D91E84">
            <w:pPr>
              <w:rPr>
                <w:sz w:val="22"/>
              </w:rPr>
            </w:pPr>
            <w:r w:rsidRPr="00702882">
              <w:rPr>
                <w:sz w:val="22"/>
                <w:szCs w:val="22"/>
              </w:rPr>
              <w:t>Budget Reserve Account</w:t>
            </w:r>
          </w:p>
        </w:tc>
        <w:tc>
          <w:tcPr>
            <w:tcW w:w="1530" w:type="dxa"/>
            <w:tcBorders>
              <w:bottom w:val="single" w:sz="8" w:space="0" w:color="auto"/>
            </w:tcBorders>
            <w:shd w:val="clear" w:color="auto" w:fill="auto"/>
            <w:hideMark/>
          </w:tcPr>
          <w:p w14:paraId="481776E0" w14:textId="77777777" w:rsidR="009E450D" w:rsidRPr="00702882" w:rsidRDefault="009E450D" w:rsidP="00D91E84">
            <w:pPr>
              <w:rPr>
                <w:sz w:val="22"/>
              </w:rPr>
            </w:pPr>
            <w:r w:rsidRPr="00702882">
              <w:rPr>
                <w:sz w:val="22"/>
                <w:szCs w:val="22"/>
              </w:rPr>
              <w:t>1982</w:t>
            </w:r>
          </w:p>
        </w:tc>
      </w:tr>
    </w:tbl>
    <w:p w14:paraId="56044D26" w14:textId="77777777" w:rsidR="009E450D" w:rsidRPr="00702882" w:rsidRDefault="009E450D" w:rsidP="009E450D">
      <w:pPr>
        <w:ind w:leftChars="59" w:left="142"/>
        <w:contextualSpacing/>
        <w:rPr>
          <w:rFonts w:eastAsiaTheme="minorEastAsia"/>
          <w:sz w:val="20"/>
          <w:szCs w:val="20"/>
        </w:rPr>
      </w:pPr>
      <w:r w:rsidRPr="00702882">
        <w:rPr>
          <w:rFonts w:eastAsiaTheme="minorEastAsia"/>
          <w:sz w:val="20"/>
          <w:szCs w:val="20"/>
        </w:rPr>
        <w:t>Source: Primary sources derived from the constitutions and statutes of individual U.S. states, cross-referenced with the research conducted by Hou (2004)</w:t>
      </w:r>
    </w:p>
    <w:p w14:paraId="2058050E" w14:textId="77777777" w:rsidR="009E450D" w:rsidRPr="00702882" w:rsidRDefault="009E450D" w:rsidP="00C66AC4">
      <w:pPr>
        <w:shd w:val="clear" w:color="auto" w:fill="FFFFFF"/>
        <w:spacing w:line="480" w:lineRule="auto"/>
        <w:rPr>
          <w:rFonts w:eastAsiaTheme="minorEastAsia"/>
          <w:b/>
          <w:bCs/>
        </w:rPr>
      </w:pPr>
    </w:p>
    <w:p w14:paraId="2EF5E8BB" w14:textId="77777777" w:rsidR="008F229C" w:rsidRPr="00702882" w:rsidRDefault="008F229C" w:rsidP="00C66AC4">
      <w:pPr>
        <w:shd w:val="clear" w:color="auto" w:fill="FFFFFF"/>
        <w:spacing w:line="480" w:lineRule="auto"/>
        <w:rPr>
          <w:rFonts w:eastAsiaTheme="minorEastAsia"/>
          <w:b/>
          <w:bCs/>
          <w:color w:val="7030A0"/>
        </w:rPr>
      </w:pPr>
    </w:p>
    <w:p w14:paraId="0D648983" w14:textId="77777777" w:rsidR="008F229C" w:rsidRPr="00702882" w:rsidRDefault="008F229C" w:rsidP="00C66AC4">
      <w:pPr>
        <w:shd w:val="clear" w:color="auto" w:fill="FFFFFF"/>
        <w:spacing w:line="480" w:lineRule="auto"/>
        <w:rPr>
          <w:rFonts w:eastAsiaTheme="minorEastAsia"/>
          <w:b/>
          <w:bCs/>
          <w:color w:val="7030A0"/>
        </w:rPr>
      </w:pPr>
    </w:p>
    <w:p w14:paraId="3502810D" w14:textId="77777777" w:rsidR="008F229C" w:rsidRPr="00702882" w:rsidRDefault="008F229C" w:rsidP="00C66AC4">
      <w:pPr>
        <w:shd w:val="clear" w:color="auto" w:fill="FFFFFF"/>
        <w:spacing w:line="480" w:lineRule="auto"/>
        <w:rPr>
          <w:rFonts w:eastAsiaTheme="minorEastAsia"/>
          <w:b/>
          <w:bCs/>
          <w:color w:val="7030A0"/>
        </w:rPr>
      </w:pPr>
    </w:p>
    <w:p w14:paraId="54D45AF7" w14:textId="77777777" w:rsidR="008F229C" w:rsidRPr="00702882" w:rsidRDefault="008F229C" w:rsidP="00C66AC4">
      <w:pPr>
        <w:shd w:val="clear" w:color="auto" w:fill="FFFFFF"/>
        <w:spacing w:line="480" w:lineRule="auto"/>
        <w:rPr>
          <w:rFonts w:eastAsiaTheme="minorEastAsia"/>
          <w:b/>
          <w:bCs/>
          <w:color w:val="7030A0"/>
        </w:rPr>
      </w:pPr>
    </w:p>
    <w:p w14:paraId="6951D02F" w14:textId="77777777" w:rsidR="008F229C" w:rsidRPr="00702882" w:rsidRDefault="008F229C" w:rsidP="00C66AC4">
      <w:pPr>
        <w:shd w:val="clear" w:color="auto" w:fill="FFFFFF"/>
        <w:spacing w:line="480" w:lineRule="auto"/>
        <w:rPr>
          <w:rFonts w:eastAsiaTheme="minorEastAsia"/>
          <w:b/>
          <w:bCs/>
          <w:color w:val="7030A0"/>
        </w:rPr>
      </w:pPr>
    </w:p>
    <w:p w14:paraId="310798E6" w14:textId="77777777" w:rsidR="008F229C" w:rsidRPr="00702882" w:rsidRDefault="008F229C" w:rsidP="00C66AC4">
      <w:pPr>
        <w:shd w:val="clear" w:color="auto" w:fill="FFFFFF"/>
        <w:spacing w:line="480" w:lineRule="auto"/>
        <w:rPr>
          <w:rFonts w:eastAsiaTheme="minorEastAsia"/>
          <w:b/>
          <w:bCs/>
          <w:color w:val="7030A0"/>
        </w:rPr>
      </w:pPr>
    </w:p>
    <w:p w14:paraId="034752F5" w14:textId="77777777" w:rsidR="008F229C" w:rsidRPr="00702882" w:rsidRDefault="008F229C" w:rsidP="00C66AC4">
      <w:pPr>
        <w:shd w:val="clear" w:color="auto" w:fill="FFFFFF"/>
        <w:spacing w:line="480" w:lineRule="auto"/>
        <w:rPr>
          <w:rFonts w:eastAsiaTheme="minorEastAsia"/>
          <w:b/>
          <w:bCs/>
          <w:color w:val="7030A0"/>
        </w:rPr>
      </w:pPr>
    </w:p>
    <w:p w14:paraId="39C58AF4" w14:textId="77777777" w:rsidR="008F229C" w:rsidRPr="00702882" w:rsidRDefault="008F229C" w:rsidP="00C66AC4">
      <w:pPr>
        <w:shd w:val="clear" w:color="auto" w:fill="FFFFFF"/>
        <w:spacing w:line="480" w:lineRule="auto"/>
        <w:rPr>
          <w:rFonts w:eastAsiaTheme="minorEastAsia"/>
          <w:b/>
          <w:bCs/>
          <w:color w:val="7030A0"/>
        </w:rPr>
      </w:pPr>
    </w:p>
    <w:p w14:paraId="7B2BD7F4" w14:textId="77777777" w:rsidR="008F229C" w:rsidRPr="00702882" w:rsidRDefault="008F229C" w:rsidP="00C66AC4">
      <w:pPr>
        <w:shd w:val="clear" w:color="auto" w:fill="FFFFFF"/>
        <w:spacing w:line="480" w:lineRule="auto"/>
        <w:rPr>
          <w:rFonts w:eastAsiaTheme="minorEastAsia"/>
          <w:b/>
          <w:bCs/>
          <w:color w:val="7030A0"/>
        </w:rPr>
      </w:pPr>
    </w:p>
    <w:p w14:paraId="55A3B8F8" w14:textId="77777777" w:rsidR="008F229C" w:rsidRPr="00702882" w:rsidRDefault="008F229C" w:rsidP="00C66AC4">
      <w:pPr>
        <w:shd w:val="clear" w:color="auto" w:fill="FFFFFF"/>
        <w:spacing w:line="480" w:lineRule="auto"/>
        <w:rPr>
          <w:rFonts w:eastAsiaTheme="minorEastAsia"/>
          <w:b/>
          <w:bCs/>
          <w:color w:val="7030A0"/>
        </w:rPr>
      </w:pPr>
    </w:p>
    <w:p w14:paraId="512DA396" w14:textId="77777777" w:rsidR="008F229C" w:rsidRPr="00702882" w:rsidRDefault="008F229C" w:rsidP="00C66AC4">
      <w:pPr>
        <w:shd w:val="clear" w:color="auto" w:fill="FFFFFF"/>
        <w:spacing w:line="480" w:lineRule="auto"/>
        <w:rPr>
          <w:rFonts w:eastAsiaTheme="minorEastAsia"/>
          <w:b/>
          <w:bCs/>
          <w:color w:val="7030A0"/>
        </w:rPr>
      </w:pPr>
    </w:p>
    <w:p w14:paraId="07F1B709" w14:textId="04FBF689" w:rsidR="00AF6702" w:rsidRPr="00702882" w:rsidRDefault="00AF6702" w:rsidP="00C66AC4">
      <w:pPr>
        <w:shd w:val="clear" w:color="auto" w:fill="FFFFFF"/>
        <w:spacing w:line="480" w:lineRule="auto"/>
        <w:rPr>
          <w:b/>
          <w:bCs/>
        </w:rPr>
      </w:pPr>
      <w:r w:rsidRPr="00702882">
        <w:rPr>
          <w:b/>
          <w:bCs/>
        </w:rPr>
        <w:lastRenderedPageBreak/>
        <w:t xml:space="preserve">2.2 </w:t>
      </w:r>
      <w:bookmarkStart w:id="14" w:name="CharacterizationofBSFRules"/>
      <w:r w:rsidRPr="00702882">
        <w:rPr>
          <w:b/>
          <w:bCs/>
        </w:rPr>
        <w:t xml:space="preserve">Characterization of BSF Rules in the Literature </w:t>
      </w:r>
      <w:bookmarkEnd w:id="14"/>
    </w:p>
    <w:p w14:paraId="5F077ED4" w14:textId="77777777" w:rsidR="00AF6702" w:rsidRPr="00702882" w:rsidRDefault="00AF6702" w:rsidP="00C66AC4">
      <w:pPr>
        <w:shd w:val="clear" w:color="auto" w:fill="FFFFFF"/>
        <w:spacing w:line="480" w:lineRule="auto"/>
        <w:ind w:firstLine="720"/>
      </w:pPr>
      <w:r w:rsidRPr="00702882">
        <w:t>In the previous section, I discussed that the motives for BSFs affect BSF structural features. This section aims to provide the details of BSF policies. Specifically, I will define the key characteristics of BSF structural dimensions that affect or represent stringency and other important structural features of BSF. I will then classify states on these different dimensions using documentation of BSF-enabling legislation from associations, interest groups, and state statutes from 2002 to 2020. In my research, these characteristics are a proximate cause of size of BSF and a more remote cause of state fiscal behavior, elaborated in Chapter 5. Thus, the theoretical construct of stringency is important to define and operationalize.</w:t>
      </w:r>
    </w:p>
    <w:p w14:paraId="3D996B73" w14:textId="2BDC06CE" w:rsidR="00AF6702" w:rsidRPr="00702882" w:rsidRDefault="00AF6702" w:rsidP="00C66AC4">
      <w:pPr>
        <w:spacing w:line="480" w:lineRule="auto"/>
        <w:ind w:firstLine="720"/>
      </w:pPr>
      <w:r w:rsidRPr="00702882">
        <w:t xml:space="preserve">Several studies have attempted to identify the common elements of BSF structure. Wagner (2004) categorizes BSF deposit and withdrawal requirements, ranking them on a scale from 1 to 4: 1) deposit (or withdrawal) by legislative appropriation; 2) deposits by a revenue surplus (or withdrawals in the event of a revenue shortfall); 3) deposits based on rules tied to economic growth (or withdrawal based on formulas tied to economic decline); 4) deposit based on formulas (or withdrawal based on supermajority approval). He finds that BSFs governed by strict deposit and withdrawal rules reduce state borrowing costs </w:t>
      </w:r>
      <w:sdt>
        <w:sdtPr>
          <w:rPr>
            <w:color w:val="000000"/>
          </w:rPr>
          <w:tag w:val="MENDELEY_CITATION_v3_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"/>
          <w:id w:val="2078853345"/>
          <w:placeholder>
            <w:docPart w:val="704D66DD777F40379D93954A50668602"/>
          </w:placeholder>
        </w:sdtPr>
        <w:sdtContent>
          <w:r w:rsidR="00F520AD" w:rsidRPr="00F520AD">
            <w:rPr>
              <w:color w:val="000000"/>
            </w:rPr>
            <w:t>(Wagner, 2004)</w:t>
          </w:r>
        </w:sdtContent>
      </w:sdt>
      <w:r w:rsidRPr="00702882">
        <w:t>.</w:t>
      </w:r>
    </w:p>
    <w:p w14:paraId="0F3DBEC9" w14:textId="2B20BFBA" w:rsidR="00D36AAC" w:rsidRPr="00702882" w:rsidRDefault="00AF6702" w:rsidP="00D474F7">
      <w:pPr>
        <w:spacing w:line="480" w:lineRule="auto"/>
        <w:ind w:firstLine="720"/>
        <w:rPr>
          <w:rFonts w:eastAsiaTheme="minorEastAsia"/>
        </w:rPr>
      </w:pPr>
      <w:r w:rsidRPr="00702882">
        <w:t xml:space="preserve">Hou (2004) introduces four structural features of BSFs that are commonly found from state statutes, such as 1) purpose of use (e.g., revenue shortfall, cash flow, emergencies, and any purpose), 2) source of funds (e.g., by formula, from </w:t>
      </w:r>
      <w:r w:rsidR="00280A67" w:rsidRPr="00702882">
        <w:rPr>
          <w:rFonts w:eastAsiaTheme="minorEastAsia"/>
        </w:rPr>
        <w:t>revenue</w:t>
      </w:r>
      <w:r w:rsidRPr="00702882">
        <w:t xml:space="preserve"> surplus, by appropriation, from special revenue), 3) maximum allowable balance, and 4) approval procedure for use (e.g., executive discretion, appropriation of legislature, predetermined formula). Hou (2004) finds that higher caps and deposit/withdrawal by formula have positive and significant effects on BSF balance, while withdrawal for any purpose and for revenue shortfalls decrease the BSF balance. </w:t>
      </w:r>
    </w:p>
    <w:p w14:paraId="67B3DDB8" w14:textId="77777777" w:rsidR="00AF6702" w:rsidRPr="00702882" w:rsidRDefault="00AF6702" w:rsidP="00C66AC4">
      <w:pPr>
        <w:shd w:val="clear" w:color="auto" w:fill="FFFFFF"/>
        <w:spacing w:line="480" w:lineRule="auto"/>
        <w:jc w:val="center"/>
        <w:rPr>
          <w:b/>
          <w:bCs/>
        </w:rPr>
      </w:pPr>
      <w:r w:rsidRPr="00702882">
        <w:rPr>
          <w:b/>
          <w:bCs/>
        </w:rPr>
        <w:lastRenderedPageBreak/>
        <w:t xml:space="preserve">Table 2. </w:t>
      </w:r>
      <w:bookmarkStart w:id="15" w:name="TheMeasurementofBSFStructuralFeatures"/>
      <w:r w:rsidRPr="00702882">
        <w:rPr>
          <w:b/>
          <w:bCs/>
        </w:rPr>
        <w:t>The Measurement of BSF Structural Features</w:t>
      </w:r>
      <w:bookmarkEnd w:id="15"/>
    </w:p>
    <w:tbl>
      <w:tblPr>
        <w:tblStyle w:val="PlainTable41"/>
        <w:tblW w:w="9504" w:type="dxa"/>
        <w:jc w:val="center"/>
        <w:tblLook w:val="04A0" w:firstRow="1" w:lastRow="0" w:firstColumn="1" w:lastColumn="0" w:noHBand="0" w:noVBand="1"/>
      </w:tblPr>
      <w:tblGrid>
        <w:gridCol w:w="2700"/>
        <w:gridCol w:w="1980"/>
        <w:gridCol w:w="4824"/>
      </w:tblGrid>
      <w:tr w:rsidR="00040161" w:rsidRPr="00702882" w14:paraId="0B8E3959" w14:textId="77777777" w:rsidTr="00AE6820">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700" w:type="dxa"/>
            <w:tcBorders>
              <w:top w:val="single" w:sz="8" w:space="0" w:color="auto"/>
              <w:bottom w:val="single" w:sz="8" w:space="0" w:color="auto"/>
            </w:tcBorders>
            <w:shd w:val="clear" w:color="auto" w:fill="auto"/>
          </w:tcPr>
          <w:p w14:paraId="7A4DCAF6" w14:textId="77777777" w:rsidR="00AF6702" w:rsidRPr="00702882" w:rsidRDefault="00AF6702" w:rsidP="00EA2DAC">
            <w:pPr>
              <w:rPr>
                <w:b w:val="0"/>
                <w:bCs w:val="0"/>
                <w:sz w:val="22"/>
                <w:szCs w:val="22"/>
              </w:rPr>
            </w:pPr>
            <w:r w:rsidRPr="00702882">
              <w:rPr>
                <w:b w:val="0"/>
                <w:bCs w:val="0"/>
                <w:sz w:val="22"/>
                <w:szCs w:val="22"/>
              </w:rPr>
              <w:t>Authors</w:t>
            </w:r>
          </w:p>
        </w:tc>
        <w:tc>
          <w:tcPr>
            <w:tcW w:w="1980" w:type="dxa"/>
            <w:tcBorders>
              <w:top w:val="single" w:sz="8" w:space="0" w:color="auto"/>
              <w:bottom w:val="single" w:sz="8" w:space="0" w:color="auto"/>
            </w:tcBorders>
            <w:shd w:val="clear" w:color="auto" w:fill="auto"/>
          </w:tcPr>
          <w:p w14:paraId="15702785" w14:textId="77777777" w:rsidR="00AF6702" w:rsidRPr="00702882" w:rsidRDefault="00AF6702" w:rsidP="00EA2DAC">
            <w:pPr>
              <w:cnfStyle w:val="100000000000" w:firstRow="1" w:lastRow="0" w:firstColumn="0" w:lastColumn="0" w:oddVBand="0" w:evenVBand="0" w:oddHBand="0" w:evenHBand="0" w:firstRowFirstColumn="0" w:firstRowLastColumn="0" w:lastRowFirstColumn="0" w:lastRowLastColumn="0"/>
              <w:rPr>
                <w:b w:val="0"/>
                <w:bCs w:val="0"/>
                <w:sz w:val="22"/>
                <w:szCs w:val="22"/>
              </w:rPr>
            </w:pPr>
            <w:r w:rsidRPr="00702882">
              <w:rPr>
                <w:b w:val="0"/>
                <w:bCs w:val="0"/>
                <w:sz w:val="22"/>
                <w:szCs w:val="22"/>
              </w:rPr>
              <w:t>Empirical Analysis</w:t>
            </w:r>
          </w:p>
        </w:tc>
        <w:tc>
          <w:tcPr>
            <w:tcW w:w="4824" w:type="dxa"/>
            <w:tcBorders>
              <w:top w:val="single" w:sz="8" w:space="0" w:color="auto"/>
              <w:bottom w:val="single" w:sz="8" w:space="0" w:color="auto"/>
            </w:tcBorders>
            <w:shd w:val="clear" w:color="auto" w:fill="auto"/>
          </w:tcPr>
          <w:p w14:paraId="0AA8DF61" w14:textId="77777777" w:rsidR="00AF6702" w:rsidRPr="00702882" w:rsidRDefault="00AF6702" w:rsidP="00EA2DAC">
            <w:pPr>
              <w:cnfStyle w:val="100000000000" w:firstRow="1" w:lastRow="0" w:firstColumn="0" w:lastColumn="0" w:oddVBand="0" w:evenVBand="0" w:oddHBand="0" w:evenHBand="0" w:firstRowFirstColumn="0" w:firstRowLastColumn="0" w:lastRowFirstColumn="0" w:lastRowLastColumn="0"/>
              <w:rPr>
                <w:b w:val="0"/>
                <w:bCs w:val="0"/>
                <w:sz w:val="22"/>
                <w:szCs w:val="22"/>
              </w:rPr>
            </w:pPr>
            <w:r w:rsidRPr="00702882">
              <w:rPr>
                <w:b w:val="0"/>
                <w:bCs w:val="0"/>
                <w:sz w:val="22"/>
                <w:szCs w:val="22"/>
              </w:rPr>
              <w:t>Classification of BSF structural features</w:t>
            </w:r>
          </w:p>
        </w:tc>
      </w:tr>
      <w:tr w:rsidR="00040161" w:rsidRPr="00702882" w14:paraId="121171D0" w14:textId="77777777" w:rsidTr="00AE6820">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2700" w:type="dxa"/>
            <w:tcBorders>
              <w:top w:val="single" w:sz="8" w:space="0" w:color="auto"/>
            </w:tcBorders>
            <w:shd w:val="clear" w:color="auto" w:fill="auto"/>
          </w:tcPr>
          <w:p w14:paraId="6A3ACC25" w14:textId="77777777" w:rsidR="00AF6702" w:rsidRPr="00702882" w:rsidRDefault="00AF6702" w:rsidP="00EA2DAC">
            <w:pPr>
              <w:rPr>
                <w:b w:val="0"/>
                <w:bCs w:val="0"/>
                <w:sz w:val="22"/>
                <w:szCs w:val="22"/>
              </w:rPr>
            </w:pPr>
            <w:r w:rsidRPr="00702882">
              <w:rPr>
                <w:b w:val="0"/>
                <w:bCs w:val="0"/>
                <w:sz w:val="22"/>
                <w:szCs w:val="22"/>
              </w:rPr>
              <w:t>Sobel &amp; Holcombe (1996)</w:t>
            </w:r>
          </w:p>
        </w:tc>
        <w:tc>
          <w:tcPr>
            <w:tcW w:w="1980" w:type="dxa"/>
            <w:tcBorders>
              <w:top w:val="single" w:sz="8" w:space="0" w:color="auto"/>
            </w:tcBorders>
            <w:shd w:val="clear" w:color="auto" w:fill="auto"/>
          </w:tcPr>
          <w:p w14:paraId="6CB685D9"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Yes</w:t>
            </w:r>
          </w:p>
        </w:tc>
        <w:tc>
          <w:tcPr>
            <w:tcW w:w="4824" w:type="dxa"/>
            <w:tcBorders>
              <w:top w:val="single" w:sz="8" w:space="0" w:color="auto"/>
            </w:tcBorders>
            <w:shd w:val="clear" w:color="auto" w:fill="auto"/>
          </w:tcPr>
          <w:p w14:paraId="3139D0F1"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Deposit requirement, withdrawal requirement (binary), cap</w:t>
            </w:r>
          </w:p>
        </w:tc>
      </w:tr>
      <w:tr w:rsidR="00040161" w:rsidRPr="00702882" w14:paraId="77AAC911" w14:textId="77777777" w:rsidTr="00AE6820">
        <w:trPr>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4247FE3F" w14:textId="77777777" w:rsidR="00AF6702" w:rsidRPr="00702882" w:rsidRDefault="00AF6702" w:rsidP="00EA2DAC">
            <w:pPr>
              <w:rPr>
                <w:b w:val="0"/>
                <w:bCs w:val="0"/>
                <w:sz w:val="22"/>
                <w:szCs w:val="22"/>
              </w:rPr>
            </w:pPr>
            <w:r w:rsidRPr="00702882">
              <w:rPr>
                <w:b w:val="0"/>
                <w:bCs w:val="0"/>
                <w:sz w:val="22"/>
                <w:szCs w:val="22"/>
              </w:rPr>
              <w:t>Douglas &amp; Gaddie (2002)</w:t>
            </w:r>
          </w:p>
        </w:tc>
        <w:tc>
          <w:tcPr>
            <w:tcW w:w="1980" w:type="dxa"/>
            <w:shd w:val="clear" w:color="auto" w:fill="auto"/>
          </w:tcPr>
          <w:p w14:paraId="5EF18DE0"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Yes</w:t>
            </w:r>
          </w:p>
        </w:tc>
        <w:tc>
          <w:tcPr>
            <w:tcW w:w="4824" w:type="dxa"/>
            <w:shd w:val="clear" w:color="auto" w:fill="auto"/>
          </w:tcPr>
          <w:p w14:paraId="73DCC627"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Deposit requirement, withdrawal requirement (binary), cap</w:t>
            </w:r>
          </w:p>
        </w:tc>
      </w:tr>
      <w:tr w:rsidR="004E0EE4" w:rsidRPr="005E2B35" w14:paraId="67172D2C" w14:textId="77777777" w:rsidTr="00AE6820">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5A917202" w14:textId="52CC154B" w:rsidR="004E0EE4" w:rsidRPr="005E2B35" w:rsidRDefault="005E2B35" w:rsidP="00EA2DAC">
            <w:pPr>
              <w:rPr>
                <w:b w:val="0"/>
                <w:bCs w:val="0"/>
                <w:sz w:val="22"/>
                <w:szCs w:val="22"/>
              </w:rPr>
            </w:pPr>
            <w:r w:rsidRPr="005E2B35">
              <w:rPr>
                <w:b w:val="0"/>
                <w:bCs w:val="0"/>
                <w:sz w:val="22"/>
                <w:szCs w:val="22"/>
              </w:rPr>
              <w:t>Gonzalez &amp; Paqueo (2003)</w:t>
            </w:r>
          </w:p>
        </w:tc>
        <w:tc>
          <w:tcPr>
            <w:tcW w:w="1980" w:type="dxa"/>
            <w:shd w:val="clear" w:color="auto" w:fill="auto"/>
          </w:tcPr>
          <w:p w14:paraId="18CF90F1" w14:textId="0E9BD0B5" w:rsidR="004E0EE4" w:rsidRPr="005E2B35" w:rsidRDefault="004E0EE4" w:rsidP="00EA2DAC">
            <w:pPr>
              <w:cnfStyle w:val="000000100000" w:firstRow="0" w:lastRow="0" w:firstColumn="0" w:lastColumn="0" w:oddVBand="0" w:evenVBand="0" w:oddHBand="1" w:evenHBand="0" w:firstRowFirstColumn="0" w:firstRowLastColumn="0" w:lastRowFirstColumn="0" w:lastRowLastColumn="0"/>
              <w:rPr>
                <w:rFonts w:eastAsiaTheme="minorEastAsia"/>
                <w:sz w:val="22"/>
                <w:szCs w:val="22"/>
              </w:rPr>
            </w:pPr>
            <w:r w:rsidRPr="005E2B35">
              <w:rPr>
                <w:rFonts w:eastAsiaTheme="minorEastAsia"/>
                <w:sz w:val="22"/>
                <w:szCs w:val="22"/>
              </w:rPr>
              <w:t>Yes</w:t>
            </w:r>
          </w:p>
        </w:tc>
        <w:tc>
          <w:tcPr>
            <w:tcW w:w="4824" w:type="dxa"/>
            <w:shd w:val="clear" w:color="auto" w:fill="auto"/>
          </w:tcPr>
          <w:p w14:paraId="6DF83BB3" w14:textId="7B7414B6" w:rsidR="004E0EE4" w:rsidRPr="005E2B35" w:rsidRDefault="004E0EE4" w:rsidP="00EA2DAC">
            <w:pPr>
              <w:cnfStyle w:val="000000100000" w:firstRow="0" w:lastRow="0" w:firstColumn="0" w:lastColumn="0" w:oddVBand="0" w:evenVBand="0" w:oddHBand="1" w:evenHBand="0" w:firstRowFirstColumn="0" w:firstRowLastColumn="0" w:lastRowFirstColumn="0" w:lastRowLastColumn="0"/>
              <w:rPr>
                <w:sz w:val="22"/>
                <w:szCs w:val="22"/>
              </w:rPr>
            </w:pPr>
            <w:r w:rsidRPr="005E2B35">
              <w:rPr>
                <w:sz w:val="22"/>
                <w:szCs w:val="22"/>
              </w:rPr>
              <w:t>Deposit requirement, withdrawal requirement (binary), cap</w:t>
            </w:r>
          </w:p>
        </w:tc>
      </w:tr>
      <w:tr w:rsidR="00040161" w:rsidRPr="00702882" w14:paraId="420C4F48" w14:textId="77777777" w:rsidTr="00AE6820">
        <w:trPr>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2A4A5933" w14:textId="77777777" w:rsidR="00AF6702" w:rsidRPr="00677DEE" w:rsidRDefault="00AF6702" w:rsidP="00EA2DAC">
            <w:pPr>
              <w:rPr>
                <w:sz w:val="22"/>
                <w:szCs w:val="22"/>
              </w:rPr>
            </w:pPr>
            <w:r w:rsidRPr="00677DEE">
              <w:rPr>
                <w:b w:val="0"/>
                <w:bCs w:val="0"/>
                <w:sz w:val="22"/>
                <w:szCs w:val="22"/>
              </w:rPr>
              <w:t>Wagner (2003)</w:t>
            </w:r>
            <w:r w:rsidRPr="00677DEE">
              <w:rPr>
                <w:rStyle w:val="a5"/>
                <w:b w:val="0"/>
                <w:bCs w:val="0"/>
                <w:sz w:val="22"/>
                <w:szCs w:val="22"/>
              </w:rPr>
              <w:footnoteReference w:id="4"/>
            </w:r>
          </w:p>
        </w:tc>
        <w:tc>
          <w:tcPr>
            <w:tcW w:w="1980" w:type="dxa"/>
            <w:shd w:val="clear" w:color="auto" w:fill="auto"/>
          </w:tcPr>
          <w:p w14:paraId="014CC74F"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Yes</w:t>
            </w:r>
          </w:p>
        </w:tc>
        <w:tc>
          <w:tcPr>
            <w:tcW w:w="4824" w:type="dxa"/>
            <w:shd w:val="clear" w:color="auto" w:fill="auto"/>
          </w:tcPr>
          <w:p w14:paraId="7986C3A3"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Ranked deposit and withdrawal methods on four scales: 1) by legislative appropriation; 2) by a revenue surplus or revenue shortfall; 3) by economic volatility; 4) by supermajority vote</w:t>
            </w:r>
          </w:p>
        </w:tc>
      </w:tr>
      <w:tr w:rsidR="00040161" w:rsidRPr="00702882" w14:paraId="03C172CA" w14:textId="77777777" w:rsidTr="00AE6820">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6D4A6754" w14:textId="77777777" w:rsidR="00AF6702" w:rsidRPr="00702882" w:rsidRDefault="00AF6702" w:rsidP="00EA2DAC">
            <w:pPr>
              <w:rPr>
                <w:b w:val="0"/>
                <w:bCs w:val="0"/>
                <w:sz w:val="22"/>
                <w:szCs w:val="22"/>
              </w:rPr>
            </w:pPr>
            <w:r w:rsidRPr="00702882">
              <w:rPr>
                <w:b w:val="0"/>
                <w:bCs w:val="0"/>
                <w:sz w:val="22"/>
                <w:szCs w:val="22"/>
              </w:rPr>
              <w:t>Hou (2004)</w:t>
            </w:r>
          </w:p>
        </w:tc>
        <w:tc>
          <w:tcPr>
            <w:tcW w:w="1980" w:type="dxa"/>
            <w:shd w:val="clear" w:color="auto" w:fill="auto"/>
          </w:tcPr>
          <w:p w14:paraId="5A6AEA1D"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Yes</w:t>
            </w:r>
          </w:p>
        </w:tc>
        <w:tc>
          <w:tcPr>
            <w:tcW w:w="4824" w:type="dxa"/>
            <w:shd w:val="clear" w:color="auto" w:fill="auto"/>
          </w:tcPr>
          <w:p w14:paraId="52A44A41" w14:textId="7C46D180"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 xml:space="preserve">Purposes, funding sources (by formula, from </w:t>
            </w:r>
            <w:r w:rsidR="00280A67" w:rsidRPr="00702882">
              <w:rPr>
                <w:rFonts w:eastAsiaTheme="minorEastAsia"/>
                <w:sz w:val="22"/>
                <w:szCs w:val="22"/>
              </w:rPr>
              <w:t>revenue</w:t>
            </w:r>
            <w:r w:rsidRPr="00702882">
              <w:rPr>
                <w:sz w:val="22"/>
                <w:szCs w:val="22"/>
              </w:rPr>
              <w:t xml:space="preserve"> surplus, by appropriation, from special revenue), caps, and procedure for use (executive discretion, appropriation of legislature, predetermined formula)</w:t>
            </w:r>
          </w:p>
        </w:tc>
      </w:tr>
      <w:tr w:rsidR="00040161" w:rsidRPr="00702882" w14:paraId="03BB4290" w14:textId="77777777" w:rsidTr="00AE6820">
        <w:trPr>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2F5D5453" w14:textId="77777777" w:rsidR="00AF6702" w:rsidRPr="00702882" w:rsidRDefault="00AF6702" w:rsidP="00EA2DAC">
            <w:pPr>
              <w:rPr>
                <w:b w:val="0"/>
                <w:bCs w:val="0"/>
                <w:sz w:val="22"/>
                <w:szCs w:val="22"/>
              </w:rPr>
            </w:pPr>
            <w:r w:rsidRPr="00702882">
              <w:rPr>
                <w:b w:val="0"/>
                <w:bCs w:val="0"/>
                <w:sz w:val="22"/>
                <w:szCs w:val="22"/>
              </w:rPr>
              <w:t>Thatcher (2008)</w:t>
            </w:r>
          </w:p>
        </w:tc>
        <w:tc>
          <w:tcPr>
            <w:tcW w:w="1980" w:type="dxa"/>
            <w:shd w:val="clear" w:color="auto" w:fill="auto"/>
          </w:tcPr>
          <w:p w14:paraId="2A78BCAF"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No</w:t>
            </w:r>
          </w:p>
        </w:tc>
        <w:tc>
          <w:tcPr>
            <w:tcW w:w="4824" w:type="dxa"/>
            <w:shd w:val="clear" w:color="auto" w:fill="auto"/>
          </w:tcPr>
          <w:p w14:paraId="74EB58D1"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Legal authorization, use of multiple funds, method for deposit, methods for withdrawal, repayment provision, and caps on the size of the funds</w:t>
            </w:r>
          </w:p>
        </w:tc>
      </w:tr>
      <w:tr w:rsidR="00040161" w:rsidRPr="00702882" w14:paraId="5CD2C2DA" w14:textId="77777777" w:rsidTr="00AE6820">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41F552DF" w14:textId="77777777" w:rsidR="00AF6702" w:rsidRPr="00702882" w:rsidRDefault="00AF6702" w:rsidP="00EA2DAC">
            <w:pPr>
              <w:rPr>
                <w:b w:val="0"/>
                <w:bCs w:val="0"/>
                <w:sz w:val="22"/>
                <w:szCs w:val="22"/>
              </w:rPr>
            </w:pPr>
            <w:r w:rsidRPr="00702882">
              <w:rPr>
                <w:b w:val="0"/>
                <w:bCs w:val="0"/>
                <w:sz w:val="22"/>
                <w:szCs w:val="22"/>
              </w:rPr>
              <w:t>McNichol (2014)</w:t>
            </w:r>
          </w:p>
        </w:tc>
        <w:tc>
          <w:tcPr>
            <w:tcW w:w="1980" w:type="dxa"/>
            <w:shd w:val="clear" w:color="auto" w:fill="auto"/>
          </w:tcPr>
          <w:p w14:paraId="7B791691"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No</w:t>
            </w:r>
          </w:p>
        </w:tc>
        <w:tc>
          <w:tcPr>
            <w:tcW w:w="4824" w:type="dxa"/>
            <w:shd w:val="clear" w:color="auto" w:fill="auto"/>
          </w:tcPr>
          <w:p w14:paraId="6F63A58B"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Method for deposit, cap, repayment provision</w:t>
            </w:r>
          </w:p>
        </w:tc>
      </w:tr>
      <w:tr w:rsidR="00040161" w:rsidRPr="00702882" w14:paraId="153F1318" w14:textId="77777777" w:rsidTr="00AE6820">
        <w:trPr>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1C89FAB1" w14:textId="48802A23" w:rsidR="00AF6702" w:rsidRPr="00702882" w:rsidRDefault="00E770C9" w:rsidP="00EA2DAC">
            <w:pPr>
              <w:rPr>
                <w:b w:val="0"/>
                <w:bCs w:val="0"/>
                <w:sz w:val="22"/>
                <w:szCs w:val="22"/>
              </w:rPr>
            </w:pPr>
            <w:r w:rsidRPr="00702882">
              <w:rPr>
                <w:rFonts w:eastAsiaTheme="minorEastAsia"/>
                <w:b w:val="0"/>
                <w:bCs w:val="0"/>
                <w:sz w:val="22"/>
                <w:szCs w:val="22"/>
              </w:rPr>
              <w:t xml:space="preserve">The </w:t>
            </w:r>
            <w:r w:rsidR="00AF6702" w:rsidRPr="00702882">
              <w:rPr>
                <w:b w:val="0"/>
                <w:bCs w:val="0"/>
                <w:sz w:val="22"/>
                <w:szCs w:val="22"/>
              </w:rPr>
              <w:t>Pew Charitable Trusts (2014)</w:t>
            </w:r>
          </w:p>
        </w:tc>
        <w:tc>
          <w:tcPr>
            <w:tcW w:w="1980" w:type="dxa"/>
            <w:shd w:val="clear" w:color="auto" w:fill="auto"/>
          </w:tcPr>
          <w:p w14:paraId="74631570"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No</w:t>
            </w:r>
          </w:p>
        </w:tc>
        <w:tc>
          <w:tcPr>
            <w:tcW w:w="4824" w:type="dxa"/>
            <w:shd w:val="clear" w:color="auto" w:fill="auto"/>
          </w:tcPr>
          <w:p w14:paraId="183A7249"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Method for deposit, including deposit tied to economic or revenue volatility</w:t>
            </w:r>
          </w:p>
        </w:tc>
      </w:tr>
      <w:tr w:rsidR="00040161" w:rsidRPr="00702882" w14:paraId="418989F9" w14:textId="77777777" w:rsidTr="00AE6820">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2FCC3884" w14:textId="77777777" w:rsidR="00AF6702" w:rsidRPr="00702882" w:rsidRDefault="00AF6702" w:rsidP="00EA2DAC">
            <w:pPr>
              <w:rPr>
                <w:b w:val="0"/>
                <w:bCs w:val="0"/>
                <w:sz w:val="22"/>
                <w:szCs w:val="22"/>
              </w:rPr>
            </w:pPr>
            <w:r w:rsidRPr="00702882">
              <w:rPr>
                <w:b w:val="0"/>
                <w:bCs w:val="0"/>
                <w:sz w:val="22"/>
                <w:szCs w:val="22"/>
              </w:rPr>
              <w:t>NASBO (2015)</w:t>
            </w:r>
          </w:p>
        </w:tc>
        <w:tc>
          <w:tcPr>
            <w:tcW w:w="1980" w:type="dxa"/>
            <w:shd w:val="clear" w:color="auto" w:fill="auto"/>
          </w:tcPr>
          <w:p w14:paraId="48A0EDA7"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No</w:t>
            </w:r>
          </w:p>
        </w:tc>
        <w:tc>
          <w:tcPr>
            <w:tcW w:w="4824" w:type="dxa"/>
            <w:shd w:val="clear" w:color="auto" w:fill="auto"/>
          </w:tcPr>
          <w:p w14:paraId="60CA075E"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Funding source, method for deposit, cap (minimum &amp; maximum size required), procedure for use</w:t>
            </w:r>
          </w:p>
        </w:tc>
      </w:tr>
      <w:tr w:rsidR="00040161" w:rsidRPr="00702882" w14:paraId="35D5C40C" w14:textId="77777777" w:rsidTr="00AE6820">
        <w:trPr>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547EF3B7" w14:textId="45853DA5" w:rsidR="00AF6702" w:rsidRPr="00702882" w:rsidRDefault="00E770C9" w:rsidP="00EA2DAC">
            <w:pPr>
              <w:rPr>
                <w:b w:val="0"/>
                <w:bCs w:val="0"/>
                <w:sz w:val="22"/>
                <w:szCs w:val="22"/>
              </w:rPr>
            </w:pPr>
            <w:r w:rsidRPr="00702882">
              <w:rPr>
                <w:rFonts w:eastAsiaTheme="minorEastAsia"/>
                <w:b w:val="0"/>
                <w:bCs w:val="0"/>
                <w:sz w:val="22"/>
                <w:szCs w:val="22"/>
              </w:rPr>
              <w:t xml:space="preserve">The </w:t>
            </w:r>
            <w:r w:rsidR="00AF6702" w:rsidRPr="00702882">
              <w:rPr>
                <w:b w:val="0"/>
                <w:bCs w:val="0"/>
                <w:sz w:val="22"/>
                <w:szCs w:val="22"/>
              </w:rPr>
              <w:t>Pew Charitable Trusts (2017)</w:t>
            </w:r>
          </w:p>
        </w:tc>
        <w:tc>
          <w:tcPr>
            <w:tcW w:w="1980" w:type="dxa"/>
            <w:shd w:val="clear" w:color="auto" w:fill="auto"/>
          </w:tcPr>
          <w:p w14:paraId="2558A0A7"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No</w:t>
            </w:r>
          </w:p>
        </w:tc>
        <w:tc>
          <w:tcPr>
            <w:tcW w:w="4824" w:type="dxa"/>
            <w:shd w:val="clear" w:color="auto" w:fill="auto"/>
          </w:tcPr>
          <w:p w14:paraId="5417F318"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Method for withdrawal, including withdrawal tied to economic or revenue volatility</w:t>
            </w:r>
          </w:p>
        </w:tc>
      </w:tr>
      <w:tr w:rsidR="00040161" w:rsidRPr="00702882" w14:paraId="12CF1D1B" w14:textId="77777777" w:rsidTr="00AE6820">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64CEE283" w14:textId="77777777" w:rsidR="00AF6702" w:rsidRPr="00702882" w:rsidRDefault="00AF6702" w:rsidP="00EA2DAC">
            <w:pPr>
              <w:rPr>
                <w:b w:val="0"/>
                <w:bCs w:val="0"/>
                <w:sz w:val="22"/>
                <w:szCs w:val="22"/>
              </w:rPr>
            </w:pPr>
            <w:r w:rsidRPr="00702882">
              <w:rPr>
                <w:b w:val="0"/>
                <w:bCs w:val="0"/>
                <w:sz w:val="22"/>
                <w:szCs w:val="22"/>
              </w:rPr>
              <w:t>NCSL (2018)</w:t>
            </w:r>
          </w:p>
        </w:tc>
        <w:tc>
          <w:tcPr>
            <w:tcW w:w="1980" w:type="dxa"/>
            <w:shd w:val="clear" w:color="auto" w:fill="auto"/>
          </w:tcPr>
          <w:p w14:paraId="6FD4B9D7"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No</w:t>
            </w:r>
          </w:p>
        </w:tc>
        <w:tc>
          <w:tcPr>
            <w:tcW w:w="4824" w:type="dxa"/>
            <w:shd w:val="clear" w:color="auto" w:fill="auto"/>
          </w:tcPr>
          <w:p w14:paraId="4EEA6FC8"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Deposit rule, withdrawal rule, repayment, and fund size</w:t>
            </w:r>
          </w:p>
        </w:tc>
      </w:tr>
      <w:tr w:rsidR="00040161" w:rsidRPr="00702882" w14:paraId="4489CB0E" w14:textId="77777777" w:rsidTr="00AE6820">
        <w:trPr>
          <w:trHeight w:val="567"/>
          <w:jc w:val="center"/>
        </w:trPr>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2E9C594B" w14:textId="77777777" w:rsidR="00AF6702" w:rsidRPr="00702882" w:rsidRDefault="00AF6702" w:rsidP="00EA2DAC">
            <w:pPr>
              <w:rPr>
                <w:b w:val="0"/>
                <w:bCs w:val="0"/>
                <w:sz w:val="22"/>
                <w:szCs w:val="22"/>
              </w:rPr>
            </w:pPr>
            <w:r w:rsidRPr="00702882">
              <w:rPr>
                <w:b w:val="0"/>
                <w:bCs w:val="0"/>
                <w:sz w:val="22"/>
                <w:szCs w:val="22"/>
              </w:rPr>
              <w:t>Hendrick, Choi, &amp; Kan (2019)</w:t>
            </w:r>
          </w:p>
        </w:tc>
        <w:tc>
          <w:tcPr>
            <w:tcW w:w="1980" w:type="dxa"/>
            <w:shd w:val="clear" w:color="auto" w:fill="auto"/>
          </w:tcPr>
          <w:p w14:paraId="3F1A6CD6"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No</w:t>
            </w:r>
          </w:p>
        </w:tc>
        <w:tc>
          <w:tcPr>
            <w:tcW w:w="4824" w:type="dxa"/>
            <w:shd w:val="clear" w:color="auto" w:fill="auto"/>
          </w:tcPr>
          <w:p w14:paraId="73CE185E"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Purpose, funding source, cap, deposit by revenue surplus, repayment provision, deposit tied to volatility (formula), withdrawal by revenue shortfall, voting requirement, withdrawal limit</w:t>
            </w:r>
          </w:p>
        </w:tc>
      </w:tr>
      <w:tr w:rsidR="00040161" w:rsidRPr="00702882" w14:paraId="4EC907E2" w14:textId="77777777" w:rsidTr="00AE6820">
        <w:trPr>
          <w:cnfStyle w:val="000000100000" w:firstRow="0" w:lastRow="0" w:firstColumn="0" w:lastColumn="0" w:oddVBand="0" w:evenVBand="0" w:oddHBand="1" w:evenHBand="0" w:firstRowFirstColumn="0" w:firstRowLastColumn="0" w:lastRowFirstColumn="0" w:lastRowLastColumn="0"/>
          <w:trHeight w:val="567"/>
          <w:jc w:val="center"/>
        </w:trPr>
        <w:sdt>
          <w:sdtPr>
            <w:rPr>
              <w:color w:val="000000"/>
              <w:sz w:val="22"/>
              <w:szCs w:val="22"/>
            </w:rPr>
            <w:tag w:val="MENDELEY_CITATION_v3_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"/>
            <w:id w:val="372197750"/>
            <w:placeholder>
              <w:docPart w:val="DefaultPlaceholder_-1854013440"/>
            </w:placeholder>
          </w:sdtPr>
          <w:sdtContent>
            <w:tc>
              <w:tcPr>
                <w:cnfStyle w:val="001000000000" w:firstRow="0" w:lastRow="0" w:firstColumn="1" w:lastColumn="0" w:oddVBand="0" w:evenVBand="0" w:oddHBand="0" w:evenHBand="0" w:firstRowFirstColumn="0" w:firstRowLastColumn="0" w:lastRowFirstColumn="0" w:lastRowLastColumn="0"/>
                <w:tcW w:w="2700" w:type="dxa"/>
                <w:shd w:val="clear" w:color="auto" w:fill="auto"/>
              </w:tcPr>
              <w:p w14:paraId="753FAA21" w14:textId="4EF575AC" w:rsidR="00AF6702" w:rsidRPr="00702882" w:rsidRDefault="00F520AD" w:rsidP="00EA2DAC">
                <w:pPr>
                  <w:rPr>
                    <w:b w:val="0"/>
                    <w:bCs w:val="0"/>
                    <w:sz w:val="22"/>
                    <w:szCs w:val="22"/>
                  </w:rPr>
                </w:pPr>
                <w:r w:rsidRPr="00F520AD">
                  <w:rPr>
                    <w:b w:val="0"/>
                    <w:bCs w:val="0"/>
                    <w:color w:val="000000"/>
                    <w:sz w:val="22"/>
                    <w:szCs w:val="22"/>
                  </w:rPr>
                  <w:t>The Volcker Alliance (2021)</w:t>
                </w:r>
              </w:p>
            </w:tc>
          </w:sdtContent>
        </w:sdt>
        <w:tc>
          <w:tcPr>
            <w:tcW w:w="1980" w:type="dxa"/>
            <w:shd w:val="clear" w:color="auto" w:fill="auto"/>
          </w:tcPr>
          <w:p w14:paraId="266EB039"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 xml:space="preserve">No </w:t>
            </w:r>
          </w:p>
        </w:tc>
        <w:tc>
          <w:tcPr>
            <w:tcW w:w="4824" w:type="dxa"/>
            <w:shd w:val="clear" w:color="auto" w:fill="auto"/>
          </w:tcPr>
          <w:p w14:paraId="7F6B3479" w14:textId="77777777" w:rsidR="00AF6702" w:rsidRPr="00702882" w:rsidRDefault="00AF6702" w:rsidP="00EA2DAC">
            <w:pPr>
              <w:cnfStyle w:val="000000100000" w:firstRow="0" w:lastRow="0" w:firstColumn="0" w:lastColumn="0" w:oddVBand="0" w:evenVBand="0" w:oddHBand="1" w:evenHBand="0" w:firstRowFirstColumn="0" w:firstRowLastColumn="0" w:lastRowFirstColumn="0" w:lastRowLastColumn="0"/>
              <w:rPr>
                <w:sz w:val="22"/>
                <w:szCs w:val="22"/>
              </w:rPr>
            </w:pPr>
            <w:r w:rsidRPr="00702882">
              <w:rPr>
                <w:sz w:val="22"/>
                <w:szCs w:val="22"/>
              </w:rPr>
              <w:t>Purpose, funding source, cap, deposit by revenue surplus, repayment provision, deposit tied to volatility (formula), withdrawal by revenue shortfall, voting requirement, withdrawal limit</w:t>
            </w:r>
          </w:p>
        </w:tc>
      </w:tr>
      <w:tr w:rsidR="00040161" w:rsidRPr="00702882" w14:paraId="2498CF11" w14:textId="77777777" w:rsidTr="00AE6820">
        <w:trPr>
          <w:trHeight w:val="567"/>
          <w:jc w:val="center"/>
        </w:trPr>
        <w:tc>
          <w:tcPr>
            <w:cnfStyle w:val="001000000000" w:firstRow="0" w:lastRow="0" w:firstColumn="1" w:lastColumn="0" w:oddVBand="0" w:evenVBand="0" w:oddHBand="0" w:evenHBand="0" w:firstRowFirstColumn="0" w:firstRowLastColumn="0" w:lastRowFirstColumn="0" w:lastRowLastColumn="0"/>
            <w:tcW w:w="2700" w:type="dxa"/>
            <w:tcBorders>
              <w:bottom w:val="single" w:sz="8" w:space="0" w:color="auto"/>
            </w:tcBorders>
            <w:shd w:val="clear" w:color="auto" w:fill="auto"/>
          </w:tcPr>
          <w:p w14:paraId="114041BF" w14:textId="6BB1B926" w:rsidR="00AF6702" w:rsidRPr="00702882" w:rsidRDefault="00000000" w:rsidP="00EA2DAC">
            <w:pPr>
              <w:rPr>
                <w:rFonts w:eastAsiaTheme="minorEastAsia"/>
                <w:b w:val="0"/>
                <w:bCs w:val="0"/>
                <w:sz w:val="22"/>
                <w:szCs w:val="22"/>
              </w:rPr>
            </w:pPr>
            <w:sdt>
              <w:sdtPr>
                <w:rPr>
                  <w:color w:val="000000"/>
                  <w:sz w:val="22"/>
                  <w:szCs w:val="22"/>
                </w:rPr>
                <w:tag w:val="MENDELEY_CITATION_v3_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"/>
                <w:id w:val="1970313187"/>
                <w:placeholder>
                  <w:docPart w:val="DefaultPlaceholder_-1854013440"/>
                </w:placeholder>
              </w:sdtPr>
              <w:sdtContent>
                <w:r w:rsidR="00F520AD" w:rsidRPr="00F520AD">
                  <w:rPr>
                    <w:b w:val="0"/>
                    <w:bCs w:val="0"/>
                    <w:color w:val="000000"/>
                    <w:sz w:val="22"/>
                    <w:szCs w:val="22"/>
                  </w:rPr>
                  <w:t>Buerger et al. (2022)</w:t>
                </w:r>
              </w:sdtContent>
            </w:sdt>
          </w:p>
        </w:tc>
        <w:tc>
          <w:tcPr>
            <w:tcW w:w="1980" w:type="dxa"/>
            <w:tcBorders>
              <w:bottom w:val="single" w:sz="8" w:space="0" w:color="auto"/>
            </w:tcBorders>
            <w:shd w:val="clear" w:color="auto" w:fill="auto"/>
          </w:tcPr>
          <w:p w14:paraId="6926EB4A"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Yes</w:t>
            </w:r>
          </w:p>
        </w:tc>
        <w:tc>
          <w:tcPr>
            <w:tcW w:w="4824" w:type="dxa"/>
            <w:tcBorders>
              <w:bottom w:val="single" w:sz="8" w:space="0" w:color="auto"/>
            </w:tcBorders>
            <w:shd w:val="clear" w:color="auto" w:fill="auto"/>
          </w:tcPr>
          <w:p w14:paraId="151D6AD9" w14:textId="77777777" w:rsidR="00AF6702" w:rsidRPr="00702882" w:rsidRDefault="00AF6702" w:rsidP="00EA2DAC">
            <w:pPr>
              <w:cnfStyle w:val="000000000000" w:firstRow="0" w:lastRow="0" w:firstColumn="0" w:lastColumn="0" w:oddVBand="0" w:evenVBand="0" w:oddHBand="0" w:evenHBand="0" w:firstRowFirstColumn="0" w:firstRowLastColumn="0" w:lastRowFirstColumn="0" w:lastRowLastColumn="0"/>
              <w:rPr>
                <w:sz w:val="22"/>
                <w:szCs w:val="22"/>
              </w:rPr>
            </w:pPr>
            <w:r w:rsidRPr="00702882">
              <w:rPr>
                <w:sz w:val="22"/>
                <w:szCs w:val="22"/>
              </w:rPr>
              <w:t>Wagner (2003)’s deposit and withdrawal methods, cap, repayment provision</w:t>
            </w:r>
          </w:p>
        </w:tc>
      </w:tr>
    </w:tbl>
    <w:p w14:paraId="154C768D" w14:textId="77777777" w:rsidR="00AF6702" w:rsidRPr="00702882" w:rsidRDefault="00AF6702" w:rsidP="00C66AC4">
      <w:pPr>
        <w:spacing w:line="480" w:lineRule="auto"/>
        <w:rPr>
          <w:rFonts w:eastAsiaTheme="minorEastAsia"/>
          <w:color w:val="7030A0"/>
        </w:rPr>
      </w:pPr>
    </w:p>
    <w:p w14:paraId="316CBB9E" w14:textId="4059F759" w:rsidR="00AF6702" w:rsidRPr="00702882" w:rsidRDefault="00D474F7" w:rsidP="00D474F7">
      <w:pPr>
        <w:spacing w:line="480" w:lineRule="auto"/>
        <w:ind w:firstLine="720"/>
        <w:rPr>
          <w:rFonts w:eastAsiaTheme="minorEastAsia"/>
        </w:rPr>
      </w:pPr>
      <w:r w:rsidRPr="00702882">
        <w:lastRenderedPageBreak/>
        <w:t xml:space="preserve">The National Conference of State Legislatures (NCSL) (2018) proposes four structural features of BSFs, including deposit rule, withdrawal rule, repayment, and fund size. The report by the Center on Budget and Policy Priorities (CBPP) discusses the determinants of BSF replenishment and recent legislative efforts that require fund replenishment </w:t>
      </w:r>
      <w:sdt>
        <w:sdtPr>
          <w:rPr>
            <w:color w:val="000000"/>
          </w:rPr>
          <w:tag w:val="MENDELEY_CITATION_v3_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"/>
          <w:id w:val="259258429"/>
          <w:placeholder>
            <w:docPart w:val="0AA308565366424893AF21D900D62A75"/>
          </w:placeholder>
        </w:sdtPr>
        <w:sdtContent>
          <w:r w:rsidR="00F520AD" w:rsidRPr="00F520AD">
            <w:rPr>
              <w:color w:val="000000"/>
            </w:rPr>
            <w:t>(McNichol, 2014)</w:t>
          </w:r>
        </w:sdtContent>
      </w:sdt>
      <w:r w:rsidRPr="00702882">
        <w:t xml:space="preserve">. The Pew Charitable Trusts (2014, 2017) highlights the importance of deposit and withdrawal requirements tied to economic or revenue volatility. However, most empirical research focuses on particular characteristics of BSF, instead of covering all structural features in a comprehensive and systematical manner (See, Table 2). </w:t>
      </w:r>
    </w:p>
    <w:p w14:paraId="33665F4F" w14:textId="2A0B5CE3" w:rsidR="00AF6702" w:rsidRPr="00702882" w:rsidRDefault="00AF6702" w:rsidP="00C66AC4">
      <w:pPr>
        <w:spacing w:line="480" w:lineRule="auto"/>
        <w:ind w:firstLine="720"/>
        <w:rPr>
          <w:rFonts w:eastAsiaTheme="minorEastAsia"/>
        </w:rPr>
      </w:pPr>
      <w:r w:rsidRPr="00702882">
        <w:t xml:space="preserve">Hendrick, Choi and Kan (2019) integrate the aforementioned BSF structural features, discussing nine structural dimensions: 1) purpose, 2) cap on BSF balance level, 3) deposit rules, and 4) withdrawal rules, which fall into four categories (e.g., deposit/withdrawal by governor’s discretion, legislative appropriation, revenue surplus or revenue shortfall, and formula), 5) repayment provision, 6) deposit tied to volatility and 7) withdrawal tied to volatility, 8) voting requirements for use, and 9) spending limits. </w:t>
      </w:r>
      <w:r w:rsidRPr="00702882">
        <w:rPr>
          <w:rFonts w:eastAsiaTheme="minorEastAsia"/>
        </w:rPr>
        <w:t xml:space="preserve">The Volcker Alliance recently released a working paper that closely aligns with the study conducted by Hendrick et al. in 2019 </w:t>
      </w:r>
      <w:sdt>
        <w:sdtPr>
          <w:rPr>
            <w:rFonts w:eastAsiaTheme="minorEastAsia"/>
            <w:color w:val="000000"/>
          </w:rPr>
          <w:tag w:val="MENDELEY_CITATION_v3_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"/>
          <w:id w:val="966865806"/>
          <w:placeholder>
            <w:docPart w:val="A8204E284AB740B88D3300B652FFDEDA"/>
          </w:placeholder>
        </w:sdtPr>
        <w:sdtContent>
          <w:r w:rsidR="00F520AD" w:rsidRPr="00F520AD">
            <w:rPr>
              <w:rFonts w:eastAsiaTheme="minorEastAsia"/>
              <w:color w:val="000000"/>
            </w:rPr>
            <w:t>(The Volcker Alliance, 2021)</w:t>
          </w:r>
        </w:sdtContent>
      </w:sdt>
      <w:r w:rsidRPr="00702882">
        <w:rPr>
          <w:rFonts w:eastAsiaTheme="minorEastAsia"/>
        </w:rPr>
        <w:t xml:space="preserve">. This paper investigates the effectiveness of different states’ BSF strategies. </w:t>
      </w:r>
    </w:p>
    <w:p w14:paraId="531CC56D" w14:textId="7C16CF6C" w:rsidR="009B7C87" w:rsidRPr="00702882" w:rsidRDefault="00AF6702" w:rsidP="009B7C87">
      <w:pPr>
        <w:spacing w:line="480" w:lineRule="auto"/>
        <w:ind w:firstLine="720"/>
        <w:rPr>
          <w:rFonts w:eastAsiaTheme="minorEastAsia"/>
        </w:rPr>
      </w:pPr>
      <w:r w:rsidRPr="00702882">
        <w:t xml:space="preserve">Building upon the research conducted by Hendrick et al. (2019), this study introduces </w:t>
      </w:r>
      <w:r w:rsidRPr="00702882">
        <w:rPr>
          <w:rFonts w:eastAsiaTheme="minorEastAsia"/>
        </w:rPr>
        <w:t>fourteen</w:t>
      </w:r>
      <w:r w:rsidRPr="00702882">
        <w:t xml:space="preserve"> structural dimensions related to state BSFs. </w:t>
      </w:r>
      <w:r w:rsidRPr="00702882">
        <w:rPr>
          <w:rFonts w:eastAsiaTheme="minorEastAsia"/>
        </w:rPr>
        <w:t xml:space="preserve">However, there are distinctions between the BSF structural features implemented in this study and those in previous research. In contrast to previous studies that relied on rank-ordered categorical variables, our methodology adopts a numerical representation for the variables, a distinction that will be elaborated upon in subsequent sections. For example, we express BSF structural features, such as the cap on BSF deposit and the source of funding, as percentages of general fund expenditures. Additionally, the </w:t>
      </w:r>
      <w:r w:rsidRPr="00702882">
        <w:rPr>
          <w:rFonts w:eastAsiaTheme="minorEastAsia"/>
        </w:rPr>
        <w:lastRenderedPageBreak/>
        <w:t>deposit by revenue surplus is quantified as a percentage of the general fund surplus, while withdrawal by legislature is expressed as a fraction of the total number of votes. The repayment provision is categorized into four groups based on the number of years required for repayment. Employing numerical variables enables precise measurement and facilitates the identification of which BSF structural features have the most significant impact on improving BSF balance levels.</w:t>
      </w:r>
      <w:r w:rsidR="009B7C87" w:rsidRPr="00702882">
        <w:rPr>
          <w:rFonts w:eastAsiaTheme="minorEastAsia"/>
        </w:rPr>
        <w:t xml:space="preserve"> </w:t>
      </w:r>
      <w:r w:rsidRPr="00702882">
        <w:rPr>
          <w:rFonts w:eastAsiaTheme="minorEastAsia"/>
        </w:rPr>
        <w:t>Other variables, such as number, deposit by legislature, deposit tied to revenue volatility, withdrawal based on shortfall, and withdrawal tied to revenue volatility, are treated as binary variables due to the difficulty in expressing them numerically.</w:t>
      </w:r>
    </w:p>
    <w:p w14:paraId="6EEAD939" w14:textId="25D0B782" w:rsidR="00AF6702" w:rsidRPr="00702882" w:rsidRDefault="00AF6702" w:rsidP="00C66AC4">
      <w:pPr>
        <w:spacing w:line="480" w:lineRule="auto"/>
        <w:ind w:firstLine="720"/>
        <w:rPr>
          <w:rFonts w:eastAsiaTheme="minorEastAsia"/>
        </w:rPr>
      </w:pPr>
      <w:r w:rsidRPr="00702882">
        <w:rPr>
          <w:rFonts w:eastAsiaTheme="minorEastAsia"/>
        </w:rPr>
        <w:t xml:space="preserve">The rationale behind this approach is rooted in the absence of interval-level measurement for the ranking of BSF deposit and withdrawal rule categories. For instance, Wagner’s rank-order deposit and withdrawal rules employ a scale with four levels, wherein legislative deposit (or withdrawal) is assigned a value of 1, while deposit by formula (or a supermajority vote for withdrawal) is assigned a value of 4. This ranking presupposes the strictness of each rule without offering a precise interval-level measurement, relying instead on the subjective judgment of the researcher. Thus, our numerical and dummy variables for BSF rules reduce subjectivity in data interpretation, while enhancing precision and objectivity compared to Wagner’s rank-ordered variables. </w:t>
      </w:r>
    </w:p>
    <w:p w14:paraId="25EA772B" w14:textId="77777777" w:rsidR="00D36AAC" w:rsidRPr="00702882" w:rsidRDefault="00D36AAC" w:rsidP="00C66AC4">
      <w:pPr>
        <w:spacing w:line="480" w:lineRule="auto"/>
        <w:rPr>
          <w:rFonts w:eastAsiaTheme="minorEastAsia"/>
          <w:b/>
          <w:bCs/>
        </w:rPr>
      </w:pPr>
    </w:p>
    <w:p w14:paraId="429C54D2" w14:textId="4ECCE7EE" w:rsidR="00AF6702" w:rsidRPr="00702882" w:rsidRDefault="00AF6702" w:rsidP="00C66AC4">
      <w:pPr>
        <w:spacing w:line="480" w:lineRule="auto"/>
        <w:rPr>
          <w:b/>
          <w:bCs/>
        </w:rPr>
      </w:pPr>
      <w:r w:rsidRPr="00702882">
        <w:rPr>
          <w:b/>
          <w:bCs/>
        </w:rPr>
        <w:t xml:space="preserve">2.3 </w:t>
      </w:r>
      <w:bookmarkStart w:id="16" w:name="ConceptualizationandOperationalization"/>
      <w:r w:rsidRPr="00702882">
        <w:rPr>
          <w:b/>
          <w:bCs/>
        </w:rPr>
        <w:t>Conceptualization and Operationalization of BSF Rule Stringency</w:t>
      </w:r>
      <w:bookmarkEnd w:id="16"/>
    </w:p>
    <w:p w14:paraId="026ED289" w14:textId="42984C2D" w:rsidR="00AF6702" w:rsidRPr="00702882" w:rsidRDefault="00AF6702" w:rsidP="00C66AC4">
      <w:pPr>
        <w:spacing w:line="480" w:lineRule="auto"/>
        <w:ind w:firstLine="720"/>
        <w:rPr>
          <w:rFonts w:eastAsiaTheme="minorEastAsia"/>
          <w:color w:val="7030A0"/>
        </w:rPr>
      </w:pPr>
      <w:r w:rsidRPr="00702882">
        <w:t xml:space="preserve">A notable void in the literature on BSF is the absence of a clear definition for the stringency of BSF rules. The term “stringency” is inherently ambiguous, allowing for varied interpretations. Some may perceive stringent BSF rules as a means of compelling individuals to save substantial amounts of money. Conversely, others, such as </w:t>
      </w:r>
      <w:sdt>
        <w:sdtPr>
          <w:rPr>
            <w:color w:val="000000"/>
          </w:rPr>
          <w:tag w:val="MENDELEY_CITATION_v3_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"/>
          <w:id w:val="-651066260"/>
          <w:placeholder>
            <w:docPart w:val="F72DEF104D1A401C83BE45AF6F0BFA2C"/>
          </w:placeholder>
        </w:sdtPr>
        <w:sdtContent>
          <w:r w:rsidR="00F520AD" w:rsidRPr="00F520AD">
            <w:rPr>
              <w:color w:val="000000"/>
            </w:rPr>
            <w:t>Hou (2004)</w:t>
          </w:r>
        </w:sdtContent>
      </w:sdt>
      <w:r w:rsidRPr="00702882">
        <w:t xml:space="preserve">, might view </w:t>
      </w:r>
      <w:r w:rsidRPr="00702882">
        <w:lastRenderedPageBreak/>
        <w:t>stringent rules as a mechanism to curtail the discretionary powers of public officials or politicians in managing or utilizing these funds. In essence, each requirement within the framework of BSF may exhibit varying degrees or types of stringency. However, in the current literature, stringency is generally assumed to be synonymous with strictness, restrictiveness, or tightness. The absence of a clear conceptualization of BSF rule stringency has led to discrepancies in determining the least stringent BSF rule. Hou (2004), for instance, identifies deposit/withdrawal by executive discretion as the least stringent, contrasting with Wagner (2004), who considers deposit/withdrawal by legislative appropriation as the least stringent category, thereby contributing to conflicting perspectives in the literature.</w:t>
      </w:r>
    </w:p>
    <w:p w14:paraId="708F87DD" w14:textId="0984B2AD" w:rsidR="00AF6702" w:rsidRPr="00702882" w:rsidRDefault="00AF6702" w:rsidP="00C66AC4">
      <w:pPr>
        <w:spacing w:line="480" w:lineRule="auto"/>
        <w:ind w:firstLine="720"/>
      </w:pPr>
      <w:r w:rsidRPr="00702882">
        <w:t>Therefore, this study conceptualizes the stringency of BSF rules by examining distinct characteristics, such as</w:t>
      </w:r>
      <w:r w:rsidRPr="00702882">
        <w:rPr>
          <w:rFonts w:eastAsiaTheme="minorEastAsia"/>
        </w:rPr>
        <w:t xml:space="preserve"> </w:t>
      </w:r>
      <w:r w:rsidRPr="00702882">
        <w:rPr>
          <w:rFonts w:eastAsiaTheme="minorEastAsia"/>
          <w:i/>
          <w:iCs/>
        </w:rPr>
        <w:t>the</w:t>
      </w:r>
      <w:r w:rsidRPr="00702882">
        <w:rPr>
          <w:i/>
          <w:iCs/>
        </w:rPr>
        <w:t xml:space="preserve"> </w:t>
      </w:r>
      <w:r w:rsidRPr="00702882">
        <w:rPr>
          <w:rFonts w:eastAsiaTheme="minorEastAsia"/>
          <w:i/>
          <w:iCs/>
        </w:rPr>
        <w:t>degree of</w:t>
      </w:r>
      <w:r w:rsidRPr="00702882">
        <w:rPr>
          <w:rFonts w:eastAsiaTheme="minorEastAsia"/>
        </w:rPr>
        <w:t xml:space="preserve"> </w:t>
      </w:r>
      <w:r w:rsidRPr="00702882">
        <w:rPr>
          <w:i/>
          <w:iCs/>
        </w:rPr>
        <w:t>precision and the degree of obligation</w:t>
      </w:r>
      <w:r w:rsidRPr="00702882">
        <w:t>, encompassing aspects like saving obligations, withdrawal conditions, and withdrawal restrictions.</w:t>
      </w:r>
      <w:r w:rsidRPr="00702882">
        <w:rPr>
          <w:rFonts w:eastAsiaTheme="minorEastAsia"/>
        </w:rPr>
        <w:t xml:space="preserve"> </w:t>
      </w:r>
      <w:r w:rsidRPr="00702882">
        <w:t xml:space="preserve">The concepts of precision and obligation are proposed by </w:t>
      </w:r>
      <w:sdt>
        <w:sdtPr>
          <w:rPr>
            <w:color w:val="000000"/>
          </w:rPr>
          <w:tag w:val="MENDELEY_CITATION_v3_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"/>
          <w:id w:val="32698767"/>
          <w:placeholder>
            <w:docPart w:val="72E3E4B0A425485EB3BD37AAFA431683"/>
          </w:placeholder>
        </w:sdtPr>
        <w:sdtContent>
          <w:r w:rsidR="00F520AD" w:rsidRPr="00F520AD">
            <w:rPr>
              <w:color w:val="000000"/>
            </w:rPr>
            <w:t>Abbott et al. (2000)</w:t>
          </w:r>
        </w:sdtContent>
      </w:sdt>
      <w:r w:rsidRPr="00702882">
        <w:t xml:space="preserve">: </w:t>
      </w:r>
      <w:r w:rsidR="00F10888" w:rsidRPr="00702882">
        <w:rPr>
          <w:rFonts w:eastAsiaTheme="minorEastAsia"/>
        </w:rPr>
        <w:t>“</w:t>
      </w:r>
      <w:r w:rsidRPr="00702882">
        <w:t>precision</w:t>
      </w:r>
      <w:r w:rsidR="00F10888" w:rsidRPr="00702882">
        <w:rPr>
          <w:rFonts w:eastAsiaTheme="minorEastAsia"/>
        </w:rPr>
        <w:t>”</w:t>
      </w:r>
      <w:r w:rsidRPr="00702882">
        <w:t xml:space="preserve"> refers to rules that clearly describe the “requirement, authority, or prohibition” of particular actions by government officials; </w:t>
      </w:r>
      <w:r w:rsidR="00F10888" w:rsidRPr="00702882">
        <w:rPr>
          <w:rFonts w:eastAsiaTheme="minorEastAsia"/>
        </w:rPr>
        <w:t>“</w:t>
      </w:r>
      <w:r w:rsidRPr="00702882">
        <w:t>obligation</w:t>
      </w:r>
      <w:r w:rsidR="00F10888" w:rsidRPr="00702882">
        <w:rPr>
          <w:rFonts w:eastAsiaTheme="minorEastAsia"/>
        </w:rPr>
        <w:t>”</w:t>
      </w:r>
      <w:r w:rsidRPr="00702882">
        <w:t xml:space="preserve"> means that a set of rules or commitments bind the behavior of public officials, subjecting them to scrutiny under the rules or procedures. These concepts are applied to the context of BSF rules for this study. </w:t>
      </w:r>
    </w:p>
    <w:p w14:paraId="15B5956A" w14:textId="74A3C299" w:rsidR="00F10888" w:rsidRPr="00702882" w:rsidRDefault="00AF6702" w:rsidP="00F10888">
      <w:pPr>
        <w:spacing w:line="480" w:lineRule="auto"/>
        <w:ind w:firstLine="720"/>
        <w:rPr>
          <w:rFonts w:eastAsiaTheme="minorEastAsia"/>
          <w:color w:val="C00000"/>
        </w:rPr>
      </w:pPr>
      <w:r w:rsidRPr="00702882">
        <w:t>Obligation, in the form of binding rules, comprises i) mandatory savings requirements, ii) spending conditions contingent on fiscal conditions, and iii) restrictions on withdrawal.</w:t>
      </w:r>
      <w:r w:rsidRPr="00702882">
        <w:rPr>
          <w:rFonts w:eastAsiaTheme="minorEastAsia"/>
        </w:rPr>
        <w:t xml:space="preserve"> </w:t>
      </w:r>
      <w:r w:rsidRPr="00702882">
        <w:rPr>
          <w:i/>
          <w:iCs/>
        </w:rPr>
        <w:t>Savings obligation</w:t>
      </w:r>
      <w:r w:rsidRPr="00702882">
        <w:t xml:space="preserve"> refers to a set of commitments</w:t>
      </w:r>
      <w:r w:rsidRPr="00702882">
        <w:rPr>
          <w:i/>
          <w:iCs/>
        </w:rPr>
        <w:t xml:space="preserve"> </w:t>
      </w:r>
      <w:r w:rsidRPr="00702882">
        <w:t xml:space="preserve">requiring a state to deposit a certain amount of unrestricted general funds in BSF. </w:t>
      </w:r>
      <w:r w:rsidRPr="00702882">
        <w:rPr>
          <w:i/>
          <w:iCs/>
        </w:rPr>
        <w:t>Spending conditions</w:t>
      </w:r>
      <w:r w:rsidRPr="00702882">
        <w:t xml:space="preserve"> represent a set of conditions under which a state can withdraw money from BSF. </w:t>
      </w:r>
      <w:r w:rsidRPr="00702882">
        <w:rPr>
          <w:rFonts w:eastAsiaTheme="minorEastAsia"/>
          <w:i/>
          <w:iCs/>
        </w:rPr>
        <w:t>Withdrawal restrictions</w:t>
      </w:r>
      <w:r w:rsidRPr="00702882">
        <w:rPr>
          <w:rFonts w:eastAsiaTheme="minorEastAsia"/>
        </w:rPr>
        <w:t xml:space="preserve"> </w:t>
      </w:r>
      <w:r w:rsidRPr="00702882">
        <w:t>refer to a set of rules that are designed to regulate or limit the</w:t>
      </w:r>
      <w:r w:rsidRPr="00702882">
        <w:rPr>
          <w:rFonts w:eastAsiaTheme="minorEastAsia"/>
        </w:rPr>
        <w:t xml:space="preserve"> </w:t>
      </w:r>
      <w:r w:rsidRPr="00702882">
        <w:t xml:space="preserve">use of BSF. </w:t>
      </w:r>
      <w:r w:rsidR="00F10888" w:rsidRPr="00702882">
        <w:rPr>
          <w:rFonts w:eastAsiaTheme="minorEastAsia"/>
        </w:rPr>
        <w:t xml:space="preserve">The degree of obligation is quantified in monetary </w:t>
      </w:r>
      <w:r w:rsidR="00F10888" w:rsidRPr="00702882">
        <w:rPr>
          <w:rFonts w:eastAsiaTheme="minorEastAsia"/>
        </w:rPr>
        <w:lastRenderedPageBreak/>
        <w:t>terms, indicating the amount of money, such as a percentage of the general fund revenue surplus, deposited into the BSF, the permissible amount that can be withdrawn from the BSF, or the designated repayment period.</w:t>
      </w:r>
    </w:p>
    <w:p w14:paraId="64853F83" w14:textId="77777777" w:rsidR="00AF6702" w:rsidRPr="00702882" w:rsidRDefault="00AF6702" w:rsidP="00C66AC4">
      <w:pPr>
        <w:spacing w:line="480" w:lineRule="auto"/>
        <w:ind w:firstLine="720"/>
        <w:rPr>
          <w:rFonts w:eastAsiaTheme="minorEastAsia"/>
        </w:rPr>
      </w:pPr>
      <w:r w:rsidRPr="00702882">
        <w:t xml:space="preserve">Precision denotes rules that </w:t>
      </w:r>
      <w:r w:rsidRPr="00702882">
        <w:rPr>
          <w:i/>
          <w:iCs/>
        </w:rPr>
        <w:t xml:space="preserve">precisely </w:t>
      </w:r>
      <w:r w:rsidRPr="00702882">
        <w:t>define the savings obligation, withdrawal conditions, or withdrawal restrictions, by using objective indicators (e.g., annual growth rates, employment growth rates, or actual growth in tax revenues) and formula or by linking BSF deposit to a specific tax that can generate a large amount of revenue. It is assumed that the level of stringency is determined collectively by precision and degree of obligation. If deposit requirements are precisely defined with a strong degree of obligation, the stringency of those rules will be high. Withdrawal requirements that impose restrictions on BSF withdrawals can be considered strict rules.</w:t>
      </w:r>
      <w:r w:rsidRPr="00702882">
        <w:rPr>
          <w:rFonts w:eastAsiaTheme="minorEastAsia"/>
        </w:rPr>
        <w:t xml:space="preserve"> </w:t>
      </w:r>
      <w:r w:rsidRPr="00702882">
        <w:t xml:space="preserve">In contrast, a low level of stringency is characterized by a lack of precision and a weak degree of obligation. The level of BSF rule stringency will be discussed in more detail in Section of 2.4. Operational Definitions of BSF Rules. </w:t>
      </w:r>
    </w:p>
    <w:p w14:paraId="66E27D39" w14:textId="77777777" w:rsidR="00AF6702" w:rsidRPr="00702882" w:rsidRDefault="00AF6702" w:rsidP="00C66AC4">
      <w:pPr>
        <w:spacing w:line="480" w:lineRule="auto"/>
        <w:ind w:firstLine="720"/>
        <w:rPr>
          <w:color w:val="7030A0"/>
        </w:rPr>
      </w:pPr>
    </w:p>
    <w:p w14:paraId="19EADE7C" w14:textId="77777777" w:rsidR="00AF6702" w:rsidRPr="00702882" w:rsidRDefault="00AF6702" w:rsidP="00C66AC4">
      <w:pPr>
        <w:spacing w:line="480" w:lineRule="auto"/>
        <w:ind w:firstLine="720"/>
        <w:rPr>
          <w:color w:val="7030A0"/>
        </w:rPr>
      </w:pPr>
    </w:p>
    <w:p w14:paraId="6265E84D" w14:textId="38C6E2C5" w:rsidR="00AF6702" w:rsidRPr="00702882" w:rsidRDefault="00AF6702" w:rsidP="00C66AC4">
      <w:pPr>
        <w:spacing w:line="480" w:lineRule="auto"/>
        <w:rPr>
          <w:rFonts w:eastAsiaTheme="minorEastAsia"/>
          <w:color w:val="7030A0"/>
        </w:rPr>
        <w:sectPr w:rsidR="00AF6702" w:rsidRPr="00702882" w:rsidSect="008512E5">
          <w:pgSz w:w="12240" w:h="15840"/>
          <w:pgMar w:top="1440" w:right="1440" w:bottom="1440" w:left="1440" w:header="720" w:footer="720" w:gutter="0"/>
          <w:pgNumType w:start="1"/>
          <w:cols w:space="720"/>
          <w:docGrid w:linePitch="360"/>
        </w:sectPr>
      </w:pPr>
    </w:p>
    <w:p w14:paraId="7A8DC715" w14:textId="77777777" w:rsidR="00AF6702" w:rsidRPr="00702882" w:rsidRDefault="00AF6702" w:rsidP="00C66AC4">
      <w:pPr>
        <w:spacing w:before="240" w:line="480" w:lineRule="auto"/>
        <w:contextualSpacing/>
        <w:jc w:val="center"/>
        <w:rPr>
          <w:rFonts w:eastAsiaTheme="minorEastAsia"/>
          <w:b/>
          <w:bCs/>
        </w:rPr>
      </w:pPr>
      <w:r w:rsidRPr="00702882">
        <w:rPr>
          <w:b/>
          <w:bCs/>
        </w:rPr>
        <w:lastRenderedPageBreak/>
        <w:t>Table 3. Summary of BSF Structural Features and Hypothetical Stringency</w:t>
      </w:r>
    </w:p>
    <w:tbl>
      <w:tblPr>
        <w:tblStyle w:val="a7"/>
        <w:tblW w:w="9067" w:type="dxa"/>
        <w:jc w:val="center"/>
        <w:tblLayout w:type="fixed"/>
        <w:tblLook w:val="04A0" w:firstRow="1" w:lastRow="0" w:firstColumn="1" w:lastColumn="0" w:noHBand="0" w:noVBand="1"/>
      </w:tblPr>
      <w:tblGrid>
        <w:gridCol w:w="1696"/>
        <w:gridCol w:w="3544"/>
        <w:gridCol w:w="1275"/>
        <w:gridCol w:w="1276"/>
        <w:gridCol w:w="1276"/>
      </w:tblGrid>
      <w:tr w:rsidR="005F33FF" w:rsidRPr="00702882" w14:paraId="51179663" w14:textId="77777777" w:rsidTr="008E617F">
        <w:trPr>
          <w:trHeight w:val="397"/>
          <w:jc w:val="center"/>
        </w:trPr>
        <w:tc>
          <w:tcPr>
            <w:tcW w:w="1696" w:type="dxa"/>
            <w:tcBorders>
              <w:top w:val="single" w:sz="8" w:space="0" w:color="auto"/>
              <w:bottom w:val="single" w:sz="8" w:space="0" w:color="auto"/>
            </w:tcBorders>
            <w:shd w:val="clear" w:color="auto" w:fill="D5DCE4" w:themeFill="text2" w:themeFillTint="33"/>
            <w:vAlign w:val="center"/>
          </w:tcPr>
          <w:p w14:paraId="2C1B6D29" w14:textId="77777777" w:rsidR="00AF6702" w:rsidRPr="00702882" w:rsidRDefault="00AF6702" w:rsidP="00D36AAC">
            <w:pPr>
              <w:jc w:val="center"/>
              <w:rPr>
                <w:b/>
                <w:bCs/>
                <w:sz w:val="21"/>
                <w:szCs w:val="21"/>
              </w:rPr>
            </w:pPr>
            <w:r w:rsidRPr="00702882">
              <w:rPr>
                <w:b/>
                <w:bCs/>
                <w:sz w:val="21"/>
                <w:szCs w:val="21"/>
              </w:rPr>
              <w:t>Variables</w:t>
            </w:r>
          </w:p>
        </w:tc>
        <w:tc>
          <w:tcPr>
            <w:tcW w:w="3544" w:type="dxa"/>
            <w:tcBorders>
              <w:top w:val="single" w:sz="8" w:space="0" w:color="auto"/>
              <w:bottom w:val="single" w:sz="8" w:space="0" w:color="auto"/>
            </w:tcBorders>
            <w:shd w:val="clear" w:color="auto" w:fill="D5DCE4" w:themeFill="text2" w:themeFillTint="33"/>
            <w:vAlign w:val="center"/>
          </w:tcPr>
          <w:p w14:paraId="3337938A" w14:textId="77777777" w:rsidR="00AF6702" w:rsidRPr="00702882" w:rsidRDefault="00AF6702" w:rsidP="00D36AAC">
            <w:pPr>
              <w:jc w:val="center"/>
              <w:rPr>
                <w:b/>
                <w:bCs/>
                <w:sz w:val="21"/>
                <w:szCs w:val="21"/>
              </w:rPr>
            </w:pPr>
            <w:r w:rsidRPr="00702882">
              <w:rPr>
                <w:b/>
                <w:bCs/>
                <w:sz w:val="21"/>
                <w:szCs w:val="21"/>
              </w:rPr>
              <w:t>Operational Definitions</w:t>
            </w:r>
          </w:p>
        </w:tc>
        <w:tc>
          <w:tcPr>
            <w:tcW w:w="1275" w:type="dxa"/>
            <w:tcBorders>
              <w:top w:val="single" w:sz="8" w:space="0" w:color="auto"/>
              <w:bottom w:val="single" w:sz="8" w:space="0" w:color="auto"/>
            </w:tcBorders>
            <w:shd w:val="clear" w:color="auto" w:fill="D5DCE4" w:themeFill="text2" w:themeFillTint="33"/>
            <w:vAlign w:val="center"/>
          </w:tcPr>
          <w:p w14:paraId="7623E035" w14:textId="53E7C32C" w:rsidR="00AF6702" w:rsidRPr="00702882" w:rsidRDefault="005F33FF" w:rsidP="00D36AAC">
            <w:pPr>
              <w:jc w:val="center"/>
              <w:rPr>
                <w:rFonts w:eastAsiaTheme="minorEastAsia"/>
                <w:b/>
                <w:bCs/>
                <w:sz w:val="21"/>
                <w:szCs w:val="21"/>
              </w:rPr>
            </w:pPr>
            <w:r w:rsidRPr="00702882">
              <w:rPr>
                <w:rFonts w:eastAsiaTheme="minorEastAsia"/>
                <w:b/>
                <w:bCs/>
                <w:sz w:val="21"/>
                <w:szCs w:val="21"/>
              </w:rPr>
              <w:t xml:space="preserve">Degree of </w:t>
            </w:r>
            <w:r w:rsidR="00AF6702" w:rsidRPr="00702882">
              <w:rPr>
                <w:b/>
                <w:bCs/>
                <w:sz w:val="21"/>
                <w:szCs w:val="21"/>
              </w:rPr>
              <w:t>Precision</w:t>
            </w:r>
          </w:p>
        </w:tc>
        <w:tc>
          <w:tcPr>
            <w:tcW w:w="1276" w:type="dxa"/>
            <w:tcBorders>
              <w:top w:val="single" w:sz="8" w:space="0" w:color="auto"/>
              <w:bottom w:val="single" w:sz="8" w:space="0" w:color="auto"/>
            </w:tcBorders>
            <w:shd w:val="clear" w:color="auto" w:fill="D5DCE4" w:themeFill="text2" w:themeFillTint="33"/>
            <w:vAlign w:val="center"/>
          </w:tcPr>
          <w:p w14:paraId="595D519B" w14:textId="77777777" w:rsidR="00AF6702" w:rsidRPr="00702882" w:rsidRDefault="00AF6702" w:rsidP="00D36AAC">
            <w:pPr>
              <w:jc w:val="center"/>
              <w:rPr>
                <w:rFonts w:eastAsiaTheme="minorEastAsia"/>
                <w:b/>
                <w:bCs/>
                <w:sz w:val="21"/>
                <w:szCs w:val="21"/>
              </w:rPr>
            </w:pPr>
            <w:r w:rsidRPr="00702882">
              <w:rPr>
                <w:b/>
                <w:bCs/>
                <w:sz w:val="21"/>
                <w:szCs w:val="21"/>
              </w:rPr>
              <w:t>Degree of Obligation</w:t>
            </w:r>
          </w:p>
        </w:tc>
        <w:tc>
          <w:tcPr>
            <w:tcW w:w="1276" w:type="dxa"/>
            <w:tcBorders>
              <w:top w:val="single" w:sz="8" w:space="0" w:color="auto"/>
              <w:bottom w:val="single" w:sz="8" w:space="0" w:color="auto"/>
            </w:tcBorders>
            <w:shd w:val="clear" w:color="auto" w:fill="D5DCE4" w:themeFill="text2" w:themeFillTint="33"/>
            <w:vAlign w:val="center"/>
          </w:tcPr>
          <w:p w14:paraId="6C1086FD" w14:textId="77777777" w:rsidR="00AF6702" w:rsidRPr="00702882" w:rsidRDefault="00AF6702" w:rsidP="00D36AAC">
            <w:pPr>
              <w:jc w:val="center"/>
              <w:rPr>
                <w:b/>
                <w:bCs/>
                <w:sz w:val="21"/>
                <w:szCs w:val="21"/>
              </w:rPr>
            </w:pPr>
            <w:r w:rsidRPr="00702882">
              <w:rPr>
                <w:b/>
                <w:bCs/>
                <w:sz w:val="21"/>
                <w:szCs w:val="21"/>
              </w:rPr>
              <w:t>Level of Stringency</w:t>
            </w:r>
          </w:p>
        </w:tc>
      </w:tr>
      <w:tr w:rsidR="005F33FF" w:rsidRPr="00702882" w14:paraId="12F7E129" w14:textId="77777777" w:rsidTr="008E617F">
        <w:trPr>
          <w:trHeight w:val="397"/>
          <w:jc w:val="center"/>
        </w:trPr>
        <w:tc>
          <w:tcPr>
            <w:tcW w:w="9067" w:type="dxa"/>
            <w:gridSpan w:val="5"/>
            <w:shd w:val="clear" w:color="auto" w:fill="D5DCE4" w:themeFill="text2" w:themeFillTint="33"/>
            <w:vAlign w:val="center"/>
          </w:tcPr>
          <w:p w14:paraId="10F1452F" w14:textId="77777777" w:rsidR="00AF6702" w:rsidRPr="00702882" w:rsidRDefault="00AF6702" w:rsidP="00D36AAC">
            <w:pPr>
              <w:rPr>
                <w:rFonts w:eastAsiaTheme="minorEastAsia"/>
                <w:sz w:val="21"/>
                <w:szCs w:val="21"/>
              </w:rPr>
            </w:pPr>
            <w:r w:rsidRPr="00702882">
              <w:rPr>
                <w:sz w:val="21"/>
                <w:szCs w:val="21"/>
              </w:rPr>
              <w:t>DEPOSIT REQUIREMENTS</w:t>
            </w:r>
          </w:p>
        </w:tc>
      </w:tr>
      <w:tr w:rsidR="005F33FF" w:rsidRPr="00702882" w14:paraId="0AF64151" w14:textId="77777777" w:rsidTr="008E617F">
        <w:trPr>
          <w:trHeight w:val="397"/>
          <w:jc w:val="center"/>
        </w:trPr>
        <w:tc>
          <w:tcPr>
            <w:tcW w:w="1696" w:type="dxa"/>
            <w:vAlign w:val="center"/>
          </w:tcPr>
          <w:p w14:paraId="4A85A781" w14:textId="77777777" w:rsidR="00AF6702" w:rsidRPr="00702882" w:rsidRDefault="00AF6702" w:rsidP="00D36AAC">
            <w:pPr>
              <w:rPr>
                <w:rFonts w:eastAsiaTheme="minorEastAsia"/>
                <w:b/>
                <w:bCs/>
                <w:sz w:val="21"/>
                <w:szCs w:val="21"/>
              </w:rPr>
            </w:pPr>
            <w:r w:rsidRPr="00702882">
              <w:rPr>
                <w:rFonts w:eastAsiaTheme="minorEastAsia"/>
                <w:b/>
                <w:bCs/>
                <w:sz w:val="21"/>
                <w:szCs w:val="21"/>
              </w:rPr>
              <w:t>Source of funding</w:t>
            </w:r>
          </w:p>
        </w:tc>
        <w:tc>
          <w:tcPr>
            <w:tcW w:w="3544" w:type="dxa"/>
            <w:tcBorders>
              <w:top w:val="single" w:sz="4" w:space="0" w:color="auto"/>
            </w:tcBorders>
            <w:vAlign w:val="center"/>
          </w:tcPr>
          <w:p w14:paraId="0477CFE4" w14:textId="4C3D76EE" w:rsidR="00AF6702" w:rsidRPr="00702882" w:rsidRDefault="00AF6702" w:rsidP="00D36AAC">
            <w:pPr>
              <w:rPr>
                <w:rFonts w:eastAsiaTheme="minorEastAsia"/>
                <w:sz w:val="21"/>
                <w:szCs w:val="21"/>
              </w:rPr>
            </w:pPr>
            <w:r w:rsidRPr="00702882">
              <w:rPr>
                <w:sz w:val="21"/>
                <w:szCs w:val="21"/>
              </w:rPr>
              <w:t>The amount of special revenue</w:t>
            </w:r>
            <w:r w:rsidRPr="00702882">
              <w:rPr>
                <w:rFonts w:eastAsiaTheme="minorEastAsia"/>
                <w:sz w:val="21"/>
                <w:szCs w:val="21"/>
              </w:rPr>
              <w:t xml:space="preserve"> </w:t>
            </w:r>
            <w:r w:rsidRPr="00702882">
              <w:rPr>
                <w:sz w:val="21"/>
                <w:szCs w:val="21"/>
              </w:rPr>
              <w:t>that</w:t>
            </w:r>
            <w:r w:rsidRPr="00702882">
              <w:rPr>
                <w:rFonts w:eastAsiaTheme="minorEastAsia"/>
                <w:sz w:val="21"/>
                <w:szCs w:val="21"/>
              </w:rPr>
              <w:t xml:space="preserve"> is </w:t>
            </w:r>
            <w:r w:rsidRPr="00702882">
              <w:rPr>
                <w:sz w:val="21"/>
                <w:szCs w:val="21"/>
              </w:rPr>
              <w:t>deposited</w:t>
            </w:r>
          </w:p>
        </w:tc>
        <w:tc>
          <w:tcPr>
            <w:tcW w:w="1275" w:type="dxa"/>
            <w:vAlign w:val="center"/>
          </w:tcPr>
          <w:p w14:paraId="036F1102" w14:textId="77777777" w:rsidR="00AF6702" w:rsidRPr="00702882" w:rsidRDefault="00AF6702" w:rsidP="00D36AAC">
            <w:pPr>
              <w:jc w:val="center"/>
              <w:rPr>
                <w:sz w:val="21"/>
                <w:szCs w:val="21"/>
              </w:rPr>
            </w:pPr>
            <w:r w:rsidRPr="00702882">
              <w:rPr>
                <w:sz w:val="21"/>
                <w:szCs w:val="21"/>
              </w:rPr>
              <w:t>1</w:t>
            </w:r>
          </w:p>
        </w:tc>
        <w:tc>
          <w:tcPr>
            <w:tcW w:w="1276" w:type="dxa"/>
            <w:vAlign w:val="center"/>
          </w:tcPr>
          <w:p w14:paraId="56EC2F86" w14:textId="77777777" w:rsidR="00AF6702" w:rsidRPr="00702882" w:rsidRDefault="00AF6702" w:rsidP="00D36AAC">
            <w:pPr>
              <w:jc w:val="center"/>
              <w:rPr>
                <w:sz w:val="21"/>
                <w:szCs w:val="21"/>
              </w:rPr>
            </w:pPr>
            <w:r w:rsidRPr="00702882">
              <w:rPr>
                <w:sz w:val="21"/>
                <w:szCs w:val="21"/>
              </w:rPr>
              <w:t>1</w:t>
            </w:r>
          </w:p>
        </w:tc>
        <w:tc>
          <w:tcPr>
            <w:tcW w:w="1276" w:type="dxa"/>
            <w:vAlign w:val="center"/>
          </w:tcPr>
          <w:p w14:paraId="3DE8118E" w14:textId="77777777" w:rsidR="00AF6702" w:rsidRPr="00702882" w:rsidRDefault="00AF6702" w:rsidP="00D36AAC">
            <w:pPr>
              <w:jc w:val="center"/>
              <w:rPr>
                <w:sz w:val="21"/>
                <w:szCs w:val="21"/>
              </w:rPr>
            </w:pPr>
            <w:r w:rsidRPr="00702882">
              <w:rPr>
                <w:sz w:val="21"/>
                <w:szCs w:val="21"/>
              </w:rPr>
              <w:t>2</w:t>
            </w:r>
          </w:p>
        </w:tc>
      </w:tr>
      <w:tr w:rsidR="005F33FF" w:rsidRPr="00702882" w14:paraId="550AE5DC" w14:textId="77777777" w:rsidTr="008E617F">
        <w:trPr>
          <w:trHeight w:val="397"/>
          <w:jc w:val="center"/>
        </w:trPr>
        <w:tc>
          <w:tcPr>
            <w:tcW w:w="1696" w:type="dxa"/>
            <w:tcBorders>
              <w:top w:val="single" w:sz="4" w:space="0" w:color="auto"/>
            </w:tcBorders>
            <w:vAlign w:val="center"/>
          </w:tcPr>
          <w:p w14:paraId="243473E7" w14:textId="77777777" w:rsidR="00AF6702" w:rsidRPr="00702882" w:rsidRDefault="00AF6702" w:rsidP="00D36AAC">
            <w:pPr>
              <w:rPr>
                <w:b/>
                <w:bCs/>
                <w:sz w:val="21"/>
                <w:szCs w:val="21"/>
              </w:rPr>
            </w:pPr>
            <w:r w:rsidRPr="00702882">
              <w:rPr>
                <w:b/>
                <w:bCs/>
                <w:sz w:val="21"/>
                <w:szCs w:val="21"/>
              </w:rPr>
              <w:t xml:space="preserve">Deposit by executive </w:t>
            </w:r>
          </w:p>
        </w:tc>
        <w:tc>
          <w:tcPr>
            <w:tcW w:w="3544" w:type="dxa"/>
            <w:tcBorders>
              <w:top w:val="single" w:sz="4" w:space="0" w:color="auto"/>
            </w:tcBorders>
            <w:vAlign w:val="center"/>
          </w:tcPr>
          <w:p w14:paraId="0B4F3698" w14:textId="77777777" w:rsidR="00AF6702" w:rsidRPr="00702882" w:rsidRDefault="00AF6702" w:rsidP="00D36AAC">
            <w:pPr>
              <w:rPr>
                <w:sz w:val="21"/>
                <w:szCs w:val="21"/>
              </w:rPr>
            </w:pPr>
            <w:r w:rsidRPr="00702882">
              <w:rPr>
                <w:sz w:val="21"/>
                <w:szCs w:val="21"/>
              </w:rPr>
              <w:t>Deposit by governor, commissioner, treasurer, or comptrollers</w:t>
            </w:r>
          </w:p>
        </w:tc>
        <w:tc>
          <w:tcPr>
            <w:tcW w:w="1275" w:type="dxa"/>
            <w:tcBorders>
              <w:top w:val="single" w:sz="4" w:space="0" w:color="auto"/>
            </w:tcBorders>
            <w:vAlign w:val="center"/>
          </w:tcPr>
          <w:p w14:paraId="78EE183E" w14:textId="77777777" w:rsidR="00AF6702" w:rsidRPr="00702882" w:rsidRDefault="00AF6702" w:rsidP="00D36AAC">
            <w:pPr>
              <w:jc w:val="center"/>
              <w:rPr>
                <w:sz w:val="21"/>
                <w:szCs w:val="21"/>
              </w:rPr>
            </w:pPr>
            <w:r w:rsidRPr="00702882">
              <w:rPr>
                <w:sz w:val="21"/>
                <w:szCs w:val="21"/>
              </w:rPr>
              <w:t>0</w:t>
            </w:r>
          </w:p>
        </w:tc>
        <w:tc>
          <w:tcPr>
            <w:tcW w:w="1276" w:type="dxa"/>
            <w:tcBorders>
              <w:top w:val="single" w:sz="4" w:space="0" w:color="auto"/>
            </w:tcBorders>
            <w:vAlign w:val="center"/>
          </w:tcPr>
          <w:p w14:paraId="6124F71C" w14:textId="77777777" w:rsidR="00AF6702" w:rsidRPr="00702882" w:rsidRDefault="00AF6702" w:rsidP="00D36AAC">
            <w:pPr>
              <w:jc w:val="center"/>
              <w:rPr>
                <w:sz w:val="21"/>
                <w:szCs w:val="21"/>
              </w:rPr>
            </w:pPr>
            <w:r w:rsidRPr="00702882">
              <w:rPr>
                <w:sz w:val="21"/>
                <w:szCs w:val="21"/>
              </w:rPr>
              <w:t>0</w:t>
            </w:r>
          </w:p>
        </w:tc>
        <w:tc>
          <w:tcPr>
            <w:tcW w:w="1276" w:type="dxa"/>
            <w:tcBorders>
              <w:top w:val="single" w:sz="4" w:space="0" w:color="auto"/>
            </w:tcBorders>
            <w:vAlign w:val="center"/>
          </w:tcPr>
          <w:p w14:paraId="6228DF49" w14:textId="77777777" w:rsidR="00AF6702" w:rsidRPr="00702882" w:rsidRDefault="00AF6702" w:rsidP="00D36AAC">
            <w:pPr>
              <w:jc w:val="center"/>
              <w:rPr>
                <w:sz w:val="21"/>
                <w:szCs w:val="21"/>
              </w:rPr>
            </w:pPr>
            <w:r w:rsidRPr="00702882">
              <w:rPr>
                <w:sz w:val="21"/>
                <w:szCs w:val="21"/>
              </w:rPr>
              <w:t>0</w:t>
            </w:r>
          </w:p>
        </w:tc>
      </w:tr>
      <w:tr w:rsidR="005F33FF" w:rsidRPr="00702882" w14:paraId="674FB2A0" w14:textId="77777777" w:rsidTr="008E617F">
        <w:trPr>
          <w:trHeight w:val="397"/>
          <w:jc w:val="center"/>
        </w:trPr>
        <w:tc>
          <w:tcPr>
            <w:tcW w:w="1696" w:type="dxa"/>
            <w:vAlign w:val="center"/>
          </w:tcPr>
          <w:p w14:paraId="1E2109CE" w14:textId="77777777" w:rsidR="00AF6702" w:rsidRPr="00702882" w:rsidRDefault="00AF6702" w:rsidP="00D36AAC">
            <w:pPr>
              <w:rPr>
                <w:b/>
                <w:bCs/>
                <w:sz w:val="21"/>
                <w:szCs w:val="21"/>
              </w:rPr>
            </w:pPr>
            <w:r w:rsidRPr="00702882">
              <w:rPr>
                <w:b/>
                <w:bCs/>
                <w:sz w:val="21"/>
                <w:szCs w:val="21"/>
              </w:rPr>
              <w:t>Deposit by legislature</w:t>
            </w:r>
          </w:p>
        </w:tc>
        <w:tc>
          <w:tcPr>
            <w:tcW w:w="3544" w:type="dxa"/>
            <w:vAlign w:val="center"/>
          </w:tcPr>
          <w:p w14:paraId="7481F85A" w14:textId="77777777" w:rsidR="00AF6702" w:rsidRPr="00702882" w:rsidRDefault="00AF6702" w:rsidP="00D36AAC">
            <w:pPr>
              <w:rPr>
                <w:sz w:val="21"/>
                <w:szCs w:val="21"/>
              </w:rPr>
            </w:pPr>
            <w:r w:rsidRPr="00702882">
              <w:rPr>
                <w:sz w:val="21"/>
                <w:szCs w:val="21"/>
              </w:rPr>
              <w:t>Deposit by legislative appropriation</w:t>
            </w:r>
          </w:p>
        </w:tc>
        <w:tc>
          <w:tcPr>
            <w:tcW w:w="1275" w:type="dxa"/>
            <w:vAlign w:val="center"/>
          </w:tcPr>
          <w:p w14:paraId="392190B4" w14:textId="25C3F564" w:rsidR="00AF6702" w:rsidRPr="00702882" w:rsidRDefault="00AF6702" w:rsidP="00D36AAC">
            <w:pPr>
              <w:jc w:val="center"/>
              <w:rPr>
                <w:rFonts w:eastAsiaTheme="minorEastAsia"/>
                <w:sz w:val="21"/>
                <w:szCs w:val="21"/>
              </w:rPr>
            </w:pPr>
            <w:r w:rsidRPr="00702882">
              <w:rPr>
                <w:rFonts w:eastAsiaTheme="minorEastAsia"/>
                <w:sz w:val="21"/>
                <w:szCs w:val="21"/>
              </w:rPr>
              <w:t>0</w:t>
            </w:r>
          </w:p>
        </w:tc>
        <w:tc>
          <w:tcPr>
            <w:tcW w:w="1276" w:type="dxa"/>
            <w:vAlign w:val="center"/>
          </w:tcPr>
          <w:p w14:paraId="57B9148B" w14:textId="6C6B78EC" w:rsidR="00AF6702" w:rsidRPr="00702882" w:rsidRDefault="00AF6702" w:rsidP="00D36AAC">
            <w:pPr>
              <w:jc w:val="center"/>
              <w:rPr>
                <w:rFonts w:eastAsiaTheme="minorEastAsia"/>
                <w:sz w:val="21"/>
                <w:szCs w:val="21"/>
              </w:rPr>
            </w:pPr>
            <w:r w:rsidRPr="00702882">
              <w:rPr>
                <w:sz w:val="21"/>
                <w:szCs w:val="21"/>
              </w:rPr>
              <w:t>0</w:t>
            </w:r>
            <w:r w:rsidR="00EA2DAC" w:rsidRPr="00702882">
              <w:rPr>
                <w:rFonts w:eastAsiaTheme="minorEastAsia"/>
                <w:sz w:val="21"/>
                <w:szCs w:val="21"/>
              </w:rPr>
              <w:t>.5</w:t>
            </w:r>
          </w:p>
        </w:tc>
        <w:tc>
          <w:tcPr>
            <w:tcW w:w="1276" w:type="dxa"/>
            <w:vAlign w:val="center"/>
          </w:tcPr>
          <w:p w14:paraId="7255F973" w14:textId="77777777" w:rsidR="00AF6702" w:rsidRPr="00702882" w:rsidRDefault="00AF6702" w:rsidP="00D36AAC">
            <w:pPr>
              <w:jc w:val="center"/>
              <w:rPr>
                <w:rFonts w:eastAsiaTheme="minorEastAsia"/>
                <w:sz w:val="21"/>
                <w:szCs w:val="21"/>
              </w:rPr>
            </w:pPr>
            <w:r w:rsidRPr="00702882">
              <w:rPr>
                <w:rFonts w:eastAsiaTheme="minorEastAsia"/>
                <w:sz w:val="21"/>
                <w:szCs w:val="21"/>
              </w:rPr>
              <w:t>0.5</w:t>
            </w:r>
          </w:p>
        </w:tc>
      </w:tr>
      <w:tr w:rsidR="005F33FF" w:rsidRPr="00702882" w14:paraId="5502C6CD" w14:textId="77777777" w:rsidTr="008E617F">
        <w:trPr>
          <w:trHeight w:val="397"/>
          <w:jc w:val="center"/>
        </w:trPr>
        <w:tc>
          <w:tcPr>
            <w:tcW w:w="1696" w:type="dxa"/>
            <w:vAlign w:val="center"/>
          </w:tcPr>
          <w:p w14:paraId="77849C15" w14:textId="77777777" w:rsidR="00AF6702" w:rsidRPr="00702882" w:rsidRDefault="00AF6702" w:rsidP="00D36AAC">
            <w:pPr>
              <w:rPr>
                <w:b/>
                <w:bCs/>
                <w:sz w:val="21"/>
                <w:szCs w:val="21"/>
              </w:rPr>
            </w:pPr>
            <w:r w:rsidRPr="00702882">
              <w:rPr>
                <w:b/>
                <w:bCs/>
                <w:sz w:val="21"/>
                <w:szCs w:val="21"/>
              </w:rPr>
              <w:t xml:space="preserve">Deposit by surplus </w:t>
            </w:r>
          </w:p>
        </w:tc>
        <w:tc>
          <w:tcPr>
            <w:tcW w:w="3544" w:type="dxa"/>
            <w:vAlign w:val="center"/>
          </w:tcPr>
          <w:p w14:paraId="3564CA6A" w14:textId="77777777" w:rsidR="00AF6702" w:rsidRPr="00702882" w:rsidRDefault="00AF6702" w:rsidP="00D36AAC">
            <w:pPr>
              <w:rPr>
                <w:rFonts w:eastAsiaTheme="minorEastAsia"/>
                <w:sz w:val="21"/>
                <w:szCs w:val="21"/>
              </w:rPr>
            </w:pPr>
            <w:r w:rsidRPr="00702882">
              <w:rPr>
                <w:rFonts w:eastAsiaTheme="minorEastAsia"/>
                <w:sz w:val="21"/>
                <w:szCs w:val="21"/>
              </w:rPr>
              <w:t>The percentage of the general fund surplus that needs to be deposited.</w:t>
            </w:r>
          </w:p>
        </w:tc>
        <w:tc>
          <w:tcPr>
            <w:tcW w:w="1275" w:type="dxa"/>
            <w:vAlign w:val="center"/>
          </w:tcPr>
          <w:p w14:paraId="76B616DA" w14:textId="77777777" w:rsidR="00AF6702" w:rsidRPr="00702882" w:rsidRDefault="00AF6702" w:rsidP="00D36AAC">
            <w:pPr>
              <w:jc w:val="center"/>
              <w:rPr>
                <w:sz w:val="21"/>
                <w:szCs w:val="21"/>
              </w:rPr>
            </w:pPr>
            <w:r w:rsidRPr="00702882">
              <w:rPr>
                <w:sz w:val="21"/>
                <w:szCs w:val="21"/>
              </w:rPr>
              <w:t>1</w:t>
            </w:r>
          </w:p>
        </w:tc>
        <w:tc>
          <w:tcPr>
            <w:tcW w:w="1276" w:type="dxa"/>
            <w:vAlign w:val="center"/>
          </w:tcPr>
          <w:p w14:paraId="42979AF0" w14:textId="77777777" w:rsidR="00AF6702" w:rsidRPr="00702882" w:rsidRDefault="00AF6702" w:rsidP="00D36AAC">
            <w:pPr>
              <w:jc w:val="center"/>
              <w:rPr>
                <w:rFonts w:eastAsiaTheme="minorEastAsia"/>
                <w:sz w:val="21"/>
                <w:szCs w:val="21"/>
              </w:rPr>
            </w:pPr>
            <w:r w:rsidRPr="00702882">
              <w:rPr>
                <w:rFonts w:eastAsiaTheme="minorEastAsia"/>
                <w:sz w:val="21"/>
                <w:szCs w:val="21"/>
              </w:rPr>
              <w:t>1</w:t>
            </w:r>
          </w:p>
        </w:tc>
        <w:tc>
          <w:tcPr>
            <w:tcW w:w="1276" w:type="dxa"/>
            <w:vAlign w:val="center"/>
          </w:tcPr>
          <w:p w14:paraId="4D1FB8D6" w14:textId="77777777" w:rsidR="00AF6702" w:rsidRPr="00702882" w:rsidRDefault="00AF6702" w:rsidP="00D36AAC">
            <w:pPr>
              <w:jc w:val="center"/>
              <w:rPr>
                <w:rFonts w:eastAsiaTheme="minorEastAsia"/>
                <w:sz w:val="21"/>
                <w:szCs w:val="21"/>
              </w:rPr>
            </w:pPr>
            <w:r w:rsidRPr="00702882">
              <w:rPr>
                <w:rFonts w:eastAsiaTheme="minorEastAsia"/>
                <w:sz w:val="21"/>
                <w:szCs w:val="21"/>
              </w:rPr>
              <w:t>2</w:t>
            </w:r>
          </w:p>
        </w:tc>
      </w:tr>
      <w:tr w:rsidR="005F33FF" w:rsidRPr="00702882" w14:paraId="2B2CE27B" w14:textId="77777777" w:rsidTr="008E617F">
        <w:trPr>
          <w:trHeight w:val="397"/>
          <w:jc w:val="center"/>
        </w:trPr>
        <w:tc>
          <w:tcPr>
            <w:tcW w:w="1696" w:type="dxa"/>
            <w:tcBorders>
              <w:bottom w:val="single" w:sz="4" w:space="0" w:color="auto"/>
            </w:tcBorders>
            <w:vAlign w:val="center"/>
          </w:tcPr>
          <w:p w14:paraId="6691973D" w14:textId="77777777" w:rsidR="00AF6702" w:rsidRPr="00702882" w:rsidRDefault="00AF6702" w:rsidP="00D36AAC">
            <w:pPr>
              <w:rPr>
                <w:b/>
                <w:bCs/>
                <w:sz w:val="21"/>
                <w:szCs w:val="21"/>
              </w:rPr>
            </w:pPr>
            <w:r w:rsidRPr="00702882">
              <w:rPr>
                <w:b/>
                <w:bCs/>
                <w:sz w:val="21"/>
                <w:szCs w:val="21"/>
              </w:rPr>
              <w:t>Deposit tied to volatility</w:t>
            </w:r>
          </w:p>
        </w:tc>
        <w:tc>
          <w:tcPr>
            <w:tcW w:w="3544" w:type="dxa"/>
            <w:tcBorders>
              <w:bottom w:val="single" w:sz="4" w:space="0" w:color="auto"/>
            </w:tcBorders>
            <w:shd w:val="clear" w:color="auto" w:fill="auto"/>
            <w:vAlign w:val="center"/>
          </w:tcPr>
          <w:p w14:paraId="7A63E728" w14:textId="77777777" w:rsidR="00AF6702" w:rsidRPr="00702882" w:rsidRDefault="00AF6702" w:rsidP="00D36AAC">
            <w:pPr>
              <w:rPr>
                <w:sz w:val="21"/>
                <w:szCs w:val="21"/>
              </w:rPr>
            </w:pPr>
            <w:r w:rsidRPr="00702882">
              <w:rPr>
                <w:rFonts w:eastAsiaTheme="minorEastAsia"/>
                <w:sz w:val="21"/>
                <w:szCs w:val="21"/>
              </w:rPr>
              <w:t>Deposit</w:t>
            </w:r>
            <w:r w:rsidRPr="00702882">
              <w:rPr>
                <w:sz w:val="21"/>
                <w:szCs w:val="21"/>
              </w:rPr>
              <w:t xml:space="preserve"> money linked to economic or revenue fluctuation</w:t>
            </w:r>
          </w:p>
        </w:tc>
        <w:tc>
          <w:tcPr>
            <w:tcW w:w="1275" w:type="dxa"/>
            <w:tcBorders>
              <w:bottom w:val="single" w:sz="4" w:space="0" w:color="auto"/>
            </w:tcBorders>
            <w:vAlign w:val="center"/>
          </w:tcPr>
          <w:p w14:paraId="65A7EE3A" w14:textId="77777777" w:rsidR="00AF6702" w:rsidRPr="00702882" w:rsidRDefault="00AF6702" w:rsidP="00D36AAC">
            <w:pPr>
              <w:jc w:val="center"/>
              <w:rPr>
                <w:sz w:val="21"/>
                <w:szCs w:val="21"/>
              </w:rPr>
            </w:pPr>
            <w:r w:rsidRPr="00702882">
              <w:rPr>
                <w:sz w:val="21"/>
                <w:szCs w:val="21"/>
              </w:rPr>
              <w:t>1</w:t>
            </w:r>
          </w:p>
        </w:tc>
        <w:tc>
          <w:tcPr>
            <w:tcW w:w="1276" w:type="dxa"/>
            <w:tcBorders>
              <w:bottom w:val="single" w:sz="4" w:space="0" w:color="auto"/>
            </w:tcBorders>
            <w:vAlign w:val="center"/>
          </w:tcPr>
          <w:p w14:paraId="766B1B48" w14:textId="77777777" w:rsidR="00AF6702" w:rsidRPr="00702882" w:rsidRDefault="00AF6702" w:rsidP="00D36AAC">
            <w:pPr>
              <w:jc w:val="center"/>
              <w:rPr>
                <w:sz w:val="21"/>
                <w:szCs w:val="21"/>
              </w:rPr>
            </w:pPr>
            <w:r w:rsidRPr="00702882">
              <w:rPr>
                <w:sz w:val="21"/>
                <w:szCs w:val="21"/>
              </w:rPr>
              <w:t>1</w:t>
            </w:r>
          </w:p>
        </w:tc>
        <w:tc>
          <w:tcPr>
            <w:tcW w:w="1276" w:type="dxa"/>
            <w:tcBorders>
              <w:bottom w:val="single" w:sz="4" w:space="0" w:color="auto"/>
            </w:tcBorders>
            <w:vAlign w:val="center"/>
          </w:tcPr>
          <w:p w14:paraId="06028ECC" w14:textId="77777777" w:rsidR="00AF6702" w:rsidRPr="00702882" w:rsidRDefault="00AF6702" w:rsidP="00D36AAC">
            <w:pPr>
              <w:jc w:val="center"/>
              <w:rPr>
                <w:sz w:val="21"/>
                <w:szCs w:val="21"/>
              </w:rPr>
            </w:pPr>
            <w:r w:rsidRPr="00702882">
              <w:rPr>
                <w:sz w:val="21"/>
                <w:szCs w:val="21"/>
              </w:rPr>
              <w:t>2</w:t>
            </w:r>
          </w:p>
        </w:tc>
      </w:tr>
      <w:tr w:rsidR="005F33FF" w:rsidRPr="00702882" w14:paraId="0DA47702" w14:textId="77777777" w:rsidTr="008E617F">
        <w:trPr>
          <w:trHeight w:val="397"/>
          <w:jc w:val="center"/>
        </w:trPr>
        <w:tc>
          <w:tcPr>
            <w:tcW w:w="1696" w:type="dxa"/>
            <w:tcBorders>
              <w:bottom w:val="single" w:sz="4" w:space="0" w:color="auto"/>
            </w:tcBorders>
            <w:vAlign w:val="center"/>
          </w:tcPr>
          <w:p w14:paraId="73F94F43" w14:textId="77777777" w:rsidR="00AF6702" w:rsidRPr="00702882" w:rsidRDefault="00AF6702" w:rsidP="00D36AAC">
            <w:pPr>
              <w:rPr>
                <w:b/>
                <w:bCs/>
                <w:sz w:val="21"/>
                <w:szCs w:val="21"/>
              </w:rPr>
            </w:pPr>
            <w:r w:rsidRPr="00702882">
              <w:rPr>
                <w:b/>
                <w:bCs/>
                <w:sz w:val="21"/>
                <w:szCs w:val="21"/>
              </w:rPr>
              <w:t>Deposit funds in other ways</w:t>
            </w:r>
          </w:p>
        </w:tc>
        <w:tc>
          <w:tcPr>
            <w:tcW w:w="3544" w:type="dxa"/>
            <w:tcBorders>
              <w:bottom w:val="single" w:sz="4" w:space="0" w:color="auto"/>
            </w:tcBorders>
            <w:vAlign w:val="center"/>
          </w:tcPr>
          <w:p w14:paraId="3E62C197" w14:textId="77777777" w:rsidR="00AF6702" w:rsidRPr="00702882" w:rsidRDefault="00AF6702" w:rsidP="00D36AAC">
            <w:pPr>
              <w:rPr>
                <w:sz w:val="21"/>
                <w:szCs w:val="21"/>
              </w:rPr>
            </w:pPr>
            <w:r w:rsidRPr="00702882">
              <w:rPr>
                <w:sz w:val="21"/>
                <w:szCs w:val="21"/>
              </w:rPr>
              <w:t>Deposit money in various ways</w:t>
            </w:r>
          </w:p>
          <w:p w14:paraId="6DA98842" w14:textId="77777777" w:rsidR="00AF6702" w:rsidRPr="00702882" w:rsidRDefault="00AF6702" w:rsidP="00D36AAC">
            <w:pPr>
              <w:rPr>
                <w:sz w:val="21"/>
                <w:szCs w:val="21"/>
              </w:rPr>
            </w:pPr>
            <w:r w:rsidRPr="00702882">
              <w:rPr>
                <w:sz w:val="21"/>
                <w:szCs w:val="21"/>
              </w:rPr>
              <w:t>(e.g., Deposit linked to BSF balance.)</w:t>
            </w:r>
          </w:p>
        </w:tc>
        <w:tc>
          <w:tcPr>
            <w:tcW w:w="1275" w:type="dxa"/>
            <w:tcBorders>
              <w:bottom w:val="single" w:sz="4" w:space="0" w:color="auto"/>
            </w:tcBorders>
            <w:vAlign w:val="center"/>
          </w:tcPr>
          <w:p w14:paraId="1BDD33FB" w14:textId="77777777" w:rsidR="00AF6702" w:rsidRPr="00702882" w:rsidRDefault="00AF6702" w:rsidP="00D36AAC">
            <w:pPr>
              <w:jc w:val="center"/>
              <w:rPr>
                <w:sz w:val="21"/>
                <w:szCs w:val="21"/>
              </w:rPr>
            </w:pPr>
            <w:r w:rsidRPr="00702882">
              <w:rPr>
                <w:sz w:val="21"/>
                <w:szCs w:val="21"/>
              </w:rPr>
              <w:t>1</w:t>
            </w:r>
          </w:p>
        </w:tc>
        <w:tc>
          <w:tcPr>
            <w:tcW w:w="1276" w:type="dxa"/>
            <w:tcBorders>
              <w:bottom w:val="single" w:sz="4" w:space="0" w:color="auto"/>
            </w:tcBorders>
            <w:vAlign w:val="center"/>
          </w:tcPr>
          <w:p w14:paraId="101FDC29" w14:textId="77777777" w:rsidR="00AF6702" w:rsidRPr="00702882" w:rsidRDefault="00AF6702" w:rsidP="00D36AAC">
            <w:pPr>
              <w:jc w:val="center"/>
              <w:rPr>
                <w:sz w:val="21"/>
                <w:szCs w:val="21"/>
              </w:rPr>
            </w:pPr>
            <w:r w:rsidRPr="00702882">
              <w:rPr>
                <w:sz w:val="21"/>
                <w:szCs w:val="21"/>
              </w:rPr>
              <w:t>0</w:t>
            </w:r>
          </w:p>
        </w:tc>
        <w:tc>
          <w:tcPr>
            <w:tcW w:w="1276" w:type="dxa"/>
            <w:tcBorders>
              <w:bottom w:val="single" w:sz="4" w:space="0" w:color="auto"/>
            </w:tcBorders>
            <w:vAlign w:val="center"/>
          </w:tcPr>
          <w:p w14:paraId="314DB84F" w14:textId="77777777" w:rsidR="00AF6702" w:rsidRPr="00702882" w:rsidRDefault="00AF6702" w:rsidP="00D36AAC">
            <w:pPr>
              <w:jc w:val="center"/>
              <w:rPr>
                <w:sz w:val="21"/>
                <w:szCs w:val="21"/>
              </w:rPr>
            </w:pPr>
            <w:r w:rsidRPr="00702882">
              <w:rPr>
                <w:sz w:val="21"/>
                <w:szCs w:val="21"/>
              </w:rPr>
              <w:t>1</w:t>
            </w:r>
          </w:p>
        </w:tc>
      </w:tr>
      <w:tr w:rsidR="005F33FF" w:rsidRPr="00702882" w14:paraId="19DB29C9" w14:textId="77777777" w:rsidTr="008E617F">
        <w:trPr>
          <w:trHeight w:val="397"/>
          <w:jc w:val="center"/>
        </w:trPr>
        <w:tc>
          <w:tcPr>
            <w:tcW w:w="1696" w:type="dxa"/>
            <w:tcBorders>
              <w:top w:val="single" w:sz="4" w:space="0" w:color="auto"/>
              <w:left w:val="single" w:sz="4" w:space="0" w:color="auto"/>
              <w:bottom w:val="single" w:sz="4" w:space="0" w:color="auto"/>
              <w:right w:val="single" w:sz="4" w:space="0" w:color="auto"/>
            </w:tcBorders>
            <w:vAlign w:val="center"/>
          </w:tcPr>
          <w:p w14:paraId="79764610" w14:textId="77777777" w:rsidR="00AF6702" w:rsidRPr="00702882" w:rsidRDefault="00AF6702" w:rsidP="00D36AAC">
            <w:pPr>
              <w:rPr>
                <w:rFonts w:eastAsiaTheme="minorEastAsia"/>
                <w:b/>
                <w:bCs/>
                <w:sz w:val="21"/>
                <w:szCs w:val="21"/>
              </w:rPr>
            </w:pPr>
            <w:r w:rsidRPr="00702882">
              <w:rPr>
                <w:b/>
                <w:bCs/>
                <w:sz w:val="21"/>
                <w:szCs w:val="21"/>
              </w:rPr>
              <w:t>Cap</w:t>
            </w:r>
          </w:p>
        </w:tc>
        <w:tc>
          <w:tcPr>
            <w:tcW w:w="3544" w:type="dxa"/>
            <w:tcBorders>
              <w:top w:val="single" w:sz="4" w:space="0" w:color="auto"/>
              <w:left w:val="single" w:sz="4" w:space="0" w:color="auto"/>
              <w:bottom w:val="single" w:sz="4" w:space="0" w:color="auto"/>
              <w:right w:val="single" w:sz="4" w:space="0" w:color="auto"/>
            </w:tcBorders>
            <w:vAlign w:val="center"/>
          </w:tcPr>
          <w:p w14:paraId="496AD8CF" w14:textId="77777777" w:rsidR="00AF6702" w:rsidRPr="00702882" w:rsidRDefault="00AF6702" w:rsidP="00D36AAC">
            <w:pPr>
              <w:rPr>
                <w:rFonts w:eastAsiaTheme="minorEastAsia"/>
                <w:sz w:val="21"/>
                <w:szCs w:val="21"/>
              </w:rPr>
            </w:pPr>
            <w:r w:rsidRPr="00702882">
              <w:rPr>
                <w:rFonts w:eastAsiaTheme="minorEastAsia"/>
                <w:sz w:val="21"/>
                <w:szCs w:val="21"/>
              </w:rPr>
              <w:t>The cap on the BSF levels expressed as a share of general fund expenditures</w:t>
            </w:r>
          </w:p>
        </w:tc>
        <w:tc>
          <w:tcPr>
            <w:tcW w:w="1275" w:type="dxa"/>
            <w:tcBorders>
              <w:top w:val="single" w:sz="4" w:space="0" w:color="auto"/>
              <w:left w:val="single" w:sz="4" w:space="0" w:color="auto"/>
              <w:bottom w:val="single" w:sz="4" w:space="0" w:color="auto"/>
              <w:right w:val="single" w:sz="4" w:space="0" w:color="auto"/>
            </w:tcBorders>
            <w:vAlign w:val="center"/>
          </w:tcPr>
          <w:p w14:paraId="230C66ED" w14:textId="77777777" w:rsidR="00AF6702" w:rsidRPr="00702882" w:rsidRDefault="00AF6702" w:rsidP="00D36AAC">
            <w:pPr>
              <w:jc w:val="center"/>
              <w:rPr>
                <w:sz w:val="21"/>
                <w:szCs w:val="21"/>
              </w:rPr>
            </w:pPr>
            <w:r w:rsidRPr="00702882">
              <w:rPr>
                <w:sz w:val="21"/>
                <w:szCs w:val="21"/>
              </w:rPr>
              <w:t>1</w:t>
            </w:r>
          </w:p>
        </w:tc>
        <w:tc>
          <w:tcPr>
            <w:tcW w:w="1276" w:type="dxa"/>
            <w:tcBorders>
              <w:top w:val="single" w:sz="4" w:space="0" w:color="auto"/>
              <w:left w:val="single" w:sz="4" w:space="0" w:color="auto"/>
              <w:bottom w:val="single" w:sz="4" w:space="0" w:color="auto"/>
              <w:right w:val="single" w:sz="4" w:space="0" w:color="auto"/>
            </w:tcBorders>
            <w:vAlign w:val="center"/>
          </w:tcPr>
          <w:p w14:paraId="2DD550E4" w14:textId="77777777" w:rsidR="00AF6702" w:rsidRPr="00702882" w:rsidRDefault="00AF6702" w:rsidP="00D36AAC">
            <w:pPr>
              <w:jc w:val="center"/>
              <w:rPr>
                <w:rFonts w:eastAsiaTheme="minorEastAsia"/>
                <w:sz w:val="21"/>
                <w:szCs w:val="21"/>
              </w:rPr>
            </w:pPr>
            <w:r w:rsidRPr="00702882">
              <w:rPr>
                <w:rFonts w:eastAsiaTheme="minorEastAsia"/>
                <w:sz w:val="21"/>
                <w:szCs w:val="21"/>
              </w:rPr>
              <w:t>1</w:t>
            </w:r>
          </w:p>
        </w:tc>
        <w:tc>
          <w:tcPr>
            <w:tcW w:w="1276" w:type="dxa"/>
            <w:tcBorders>
              <w:top w:val="single" w:sz="4" w:space="0" w:color="auto"/>
              <w:left w:val="single" w:sz="4" w:space="0" w:color="auto"/>
              <w:bottom w:val="single" w:sz="4" w:space="0" w:color="auto"/>
              <w:right w:val="single" w:sz="4" w:space="0" w:color="auto"/>
            </w:tcBorders>
            <w:vAlign w:val="center"/>
          </w:tcPr>
          <w:p w14:paraId="6B8CF68B" w14:textId="77777777" w:rsidR="00AF6702" w:rsidRPr="00702882" w:rsidRDefault="00AF6702" w:rsidP="00D36AAC">
            <w:pPr>
              <w:jc w:val="center"/>
              <w:rPr>
                <w:rFonts w:eastAsiaTheme="minorEastAsia"/>
                <w:sz w:val="21"/>
                <w:szCs w:val="21"/>
              </w:rPr>
            </w:pPr>
            <w:r w:rsidRPr="00702882">
              <w:rPr>
                <w:rFonts w:eastAsiaTheme="minorEastAsia"/>
                <w:sz w:val="21"/>
                <w:szCs w:val="21"/>
              </w:rPr>
              <w:t>2</w:t>
            </w:r>
          </w:p>
        </w:tc>
      </w:tr>
      <w:tr w:rsidR="005F33FF" w:rsidRPr="00702882" w14:paraId="072F496F" w14:textId="77777777" w:rsidTr="008E617F">
        <w:trPr>
          <w:trHeight w:val="397"/>
          <w:jc w:val="center"/>
        </w:trPr>
        <w:tc>
          <w:tcPr>
            <w:tcW w:w="9067" w:type="dxa"/>
            <w:gridSpan w:val="5"/>
            <w:tcBorders>
              <w:top w:val="single" w:sz="4" w:space="0" w:color="auto"/>
              <w:left w:val="single" w:sz="4" w:space="0" w:color="auto"/>
              <w:bottom w:val="single" w:sz="4" w:space="0" w:color="auto"/>
              <w:right w:val="single" w:sz="4" w:space="0" w:color="auto"/>
            </w:tcBorders>
            <w:shd w:val="clear" w:color="auto" w:fill="D5DCE4" w:themeFill="text2" w:themeFillTint="33"/>
            <w:vAlign w:val="center"/>
          </w:tcPr>
          <w:p w14:paraId="07DEBE18" w14:textId="77777777" w:rsidR="00AF6702" w:rsidRPr="00702882" w:rsidRDefault="00AF6702" w:rsidP="00D36AAC">
            <w:pPr>
              <w:jc w:val="both"/>
              <w:rPr>
                <w:rFonts w:eastAsiaTheme="minorEastAsia"/>
                <w:sz w:val="21"/>
                <w:szCs w:val="21"/>
              </w:rPr>
            </w:pPr>
            <w:r w:rsidRPr="00702882">
              <w:rPr>
                <w:sz w:val="21"/>
                <w:szCs w:val="21"/>
              </w:rPr>
              <w:t>WITHDRAWAL REQUIREMENTS</w:t>
            </w:r>
          </w:p>
        </w:tc>
      </w:tr>
      <w:tr w:rsidR="005F33FF" w:rsidRPr="00702882" w14:paraId="1DB8DD0F" w14:textId="77777777" w:rsidTr="008E617F">
        <w:trPr>
          <w:trHeight w:val="397"/>
          <w:jc w:val="center"/>
        </w:trPr>
        <w:tc>
          <w:tcPr>
            <w:tcW w:w="1696" w:type="dxa"/>
            <w:tcBorders>
              <w:top w:val="single" w:sz="4" w:space="0" w:color="auto"/>
            </w:tcBorders>
            <w:vAlign w:val="center"/>
          </w:tcPr>
          <w:p w14:paraId="3C20C8F8" w14:textId="77777777" w:rsidR="00AF6702" w:rsidRPr="00702882" w:rsidRDefault="00AF6702" w:rsidP="00D36AAC">
            <w:pPr>
              <w:rPr>
                <w:b/>
                <w:bCs/>
                <w:sz w:val="21"/>
                <w:szCs w:val="21"/>
              </w:rPr>
            </w:pPr>
            <w:r w:rsidRPr="00702882">
              <w:rPr>
                <w:b/>
                <w:bCs/>
                <w:sz w:val="21"/>
                <w:szCs w:val="21"/>
              </w:rPr>
              <w:t>Withdraw by executive</w:t>
            </w:r>
          </w:p>
        </w:tc>
        <w:tc>
          <w:tcPr>
            <w:tcW w:w="3544" w:type="dxa"/>
            <w:tcBorders>
              <w:top w:val="single" w:sz="4" w:space="0" w:color="auto"/>
            </w:tcBorders>
            <w:vAlign w:val="center"/>
          </w:tcPr>
          <w:p w14:paraId="50CA9AEC" w14:textId="71F98BE2" w:rsidR="00AF6702" w:rsidRPr="00702882" w:rsidRDefault="00AF6702" w:rsidP="00D36AAC">
            <w:pPr>
              <w:rPr>
                <w:rFonts w:eastAsiaTheme="minorEastAsia"/>
                <w:sz w:val="21"/>
                <w:szCs w:val="21"/>
              </w:rPr>
            </w:pPr>
            <w:r w:rsidRPr="00702882">
              <w:rPr>
                <w:sz w:val="21"/>
                <w:szCs w:val="21"/>
              </w:rPr>
              <w:t xml:space="preserve">Withdrawal by governor, commissioner, </w:t>
            </w:r>
            <w:r w:rsidR="008E617F" w:rsidRPr="00702882">
              <w:rPr>
                <w:rFonts w:eastAsiaTheme="minorEastAsia"/>
                <w:sz w:val="21"/>
                <w:szCs w:val="21"/>
              </w:rPr>
              <w:t xml:space="preserve">or </w:t>
            </w:r>
            <w:r w:rsidRPr="00702882">
              <w:rPr>
                <w:sz w:val="21"/>
                <w:szCs w:val="21"/>
              </w:rPr>
              <w:t>treasurer</w:t>
            </w:r>
          </w:p>
        </w:tc>
        <w:tc>
          <w:tcPr>
            <w:tcW w:w="1275" w:type="dxa"/>
            <w:tcBorders>
              <w:top w:val="single" w:sz="4" w:space="0" w:color="auto"/>
            </w:tcBorders>
            <w:vAlign w:val="center"/>
          </w:tcPr>
          <w:p w14:paraId="07A63EDB" w14:textId="77777777" w:rsidR="00AF6702" w:rsidRPr="00702882" w:rsidRDefault="00AF6702" w:rsidP="00D36AAC">
            <w:pPr>
              <w:jc w:val="center"/>
              <w:rPr>
                <w:sz w:val="21"/>
                <w:szCs w:val="21"/>
              </w:rPr>
            </w:pPr>
            <w:r w:rsidRPr="00702882">
              <w:rPr>
                <w:sz w:val="21"/>
                <w:szCs w:val="21"/>
              </w:rPr>
              <w:t>0</w:t>
            </w:r>
          </w:p>
        </w:tc>
        <w:tc>
          <w:tcPr>
            <w:tcW w:w="1276" w:type="dxa"/>
            <w:tcBorders>
              <w:top w:val="single" w:sz="4" w:space="0" w:color="auto"/>
            </w:tcBorders>
            <w:vAlign w:val="center"/>
          </w:tcPr>
          <w:p w14:paraId="0FC61959" w14:textId="77777777" w:rsidR="00AF6702" w:rsidRPr="00702882" w:rsidRDefault="00AF6702" w:rsidP="00D36AAC">
            <w:pPr>
              <w:jc w:val="center"/>
              <w:rPr>
                <w:sz w:val="21"/>
                <w:szCs w:val="21"/>
              </w:rPr>
            </w:pPr>
            <w:r w:rsidRPr="00702882">
              <w:rPr>
                <w:sz w:val="21"/>
                <w:szCs w:val="21"/>
              </w:rPr>
              <w:t>0</w:t>
            </w:r>
          </w:p>
        </w:tc>
        <w:tc>
          <w:tcPr>
            <w:tcW w:w="1276" w:type="dxa"/>
            <w:tcBorders>
              <w:top w:val="single" w:sz="4" w:space="0" w:color="auto"/>
              <w:bottom w:val="single" w:sz="4" w:space="0" w:color="auto"/>
            </w:tcBorders>
            <w:vAlign w:val="center"/>
          </w:tcPr>
          <w:p w14:paraId="3DC7313E" w14:textId="77777777" w:rsidR="00AF6702" w:rsidRPr="00702882" w:rsidRDefault="00AF6702" w:rsidP="00D36AAC">
            <w:pPr>
              <w:jc w:val="center"/>
              <w:rPr>
                <w:sz w:val="21"/>
                <w:szCs w:val="21"/>
              </w:rPr>
            </w:pPr>
            <w:r w:rsidRPr="00702882">
              <w:rPr>
                <w:sz w:val="21"/>
                <w:szCs w:val="21"/>
              </w:rPr>
              <w:t>0</w:t>
            </w:r>
          </w:p>
        </w:tc>
      </w:tr>
      <w:tr w:rsidR="005F33FF" w:rsidRPr="00702882" w14:paraId="0D57C079" w14:textId="77777777" w:rsidTr="008E617F">
        <w:trPr>
          <w:trHeight w:val="397"/>
          <w:jc w:val="center"/>
        </w:trPr>
        <w:tc>
          <w:tcPr>
            <w:tcW w:w="1696" w:type="dxa"/>
            <w:vMerge w:val="restart"/>
            <w:shd w:val="clear" w:color="auto" w:fill="auto"/>
            <w:vAlign w:val="center"/>
          </w:tcPr>
          <w:p w14:paraId="58055181" w14:textId="77777777" w:rsidR="00EA2DAC" w:rsidRPr="00702882" w:rsidRDefault="00EA2DAC" w:rsidP="00EA2DAC">
            <w:pPr>
              <w:rPr>
                <w:rFonts w:eastAsiaTheme="minorEastAsia"/>
                <w:b/>
                <w:bCs/>
                <w:sz w:val="21"/>
                <w:szCs w:val="21"/>
              </w:rPr>
            </w:pPr>
            <w:r w:rsidRPr="00702882">
              <w:rPr>
                <w:b/>
                <w:bCs/>
                <w:sz w:val="21"/>
                <w:szCs w:val="21"/>
              </w:rPr>
              <w:t xml:space="preserve">Withdraw by legislature </w:t>
            </w:r>
          </w:p>
        </w:tc>
        <w:tc>
          <w:tcPr>
            <w:tcW w:w="3544" w:type="dxa"/>
            <w:shd w:val="clear" w:color="auto" w:fill="auto"/>
            <w:vAlign w:val="center"/>
          </w:tcPr>
          <w:p w14:paraId="5F149F86" w14:textId="77777777" w:rsidR="00EA2DAC" w:rsidRPr="00702882" w:rsidRDefault="00EA2DAC" w:rsidP="00EA2DAC">
            <w:pPr>
              <w:rPr>
                <w:rFonts w:eastAsiaTheme="minorEastAsia"/>
                <w:sz w:val="21"/>
                <w:szCs w:val="21"/>
              </w:rPr>
            </w:pPr>
            <w:r w:rsidRPr="00702882">
              <w:rPr>
                <w:rFonts w:eastAsiaTheme="minorEastAsia"/>
                <w:sz w:val="21"/>
                <w:szCs w:val="21"/>
              </w:rPr>
              <w:t xml:space="preserve">1. </w:t>
            </w:r>
            <w:r w:rsidRPr="00702882">
              <w:rPr>
                <w:sz w:val="21"/>
                <w:szCs w:val="21"/>
              </w:rPr>
              <w:t>Withdrawal by a simple majority</w:t>
            </w:r>
            <w:r w:rsidRPr="00702882">
              <w:rPr>
                <w:rFonts w:eastAsiaTheme="minorEastAsia"/>
                <w:sz w:val="21"/>
                <w:szCs w:val="21"/>
              </w:rPr>
              <w:t xml:space="preserve"> vote </w:t>
            </w:r>
          </w:p>
        </w:tc>
        <w:tc>
          <w:tcPr>
            <w:tcW w:w="1275" w:type="dxa"/>
            <w:vAlign w:val="center"/>
          </w:tcPr>
          <w:p w14:paraId="3538B378" w14:textId="2F778EEC" w:rsidR="00EA2DAC" w:rsidRPr="00702882" w:rsidRDefault="00EA2DAC" w:rsidP="00EA2DAC">
            <w:pPr>
              <w:jc w:val="center"/>
              <w:rPr>
                <w:rFonts w:eastAsiaTheme="minorEastAsia"/>
                <w:sz w:val="21"/>
                <w:szCs w:val="21"/>
              </w:rPr>
            </w:pPr>
            <w:r w:rsidRPr="00702882">
              <w:rPr>
                <w:sz w:val="21"/>
                <w:szCs w:val="21"/>
              </w:rPr>
              <w:t>0</w:t>
            </w:r>
          </w:p>
        </w:tc>
        <w:tc>
          <w:tcPr>
            <w:tcW w:w="1276" w:type="dxa"/>
            <w:vAlign w:val="center"/>
          </w:tcPr>
          <w:p w14:paraId="5B49C9A0" w14:textId="400C7069" w:rsidR="00EA2DAC" w:rsidRPr="00702882" w:rsidRDefault="00EA2DAC" w:rsidP="00EA2DAC">
            <w:pPr>
              <w:jc w:val="center"/>
              <w:rPr>
                <w:rFonts w:eastAsiaTheme="minorEastAsia"/>
                <w:sz w:val="21"/>
                <w:szCs w:val="21"/>
              </w:rPr>
            </w:pPr>
            <w:r w:rsidRPr="00702882">
              <w:rPr>
                <w:sz w:val="21"/>
                <w:szCs w:val="21"/>
              </w:rPr>
              <w:t>0.5</w:t>
            </w:r>
          </w:p>
        </w:tc>
        <w:tc>
          <w:tcPr>
            <w:tcW w:w="1276" w:type="dxa"/>
            <w:tcBorders>
              <w:top w:val="single" w:sz="4" w:space="0" w:color="auto"/>
              <w:bottom w:val="single" w:sz="4" w:space="0" w:color="auto"/>
            </w:tcBorders>
            <w:vAlign w:val="center"/>
          </w:tcPr>
          <w:p w14:paraId="38C8E075" w14:textId="77777777" w:rsidR="00EA2DAC" w:rsidRPr="00702882" w:rsidRDefault="00EA2DAC" w:rsidP="00EA2DAC">
            <w:pPr>
              <w:jc w:val="center"/>
              <w:rPr>
                <w:rFonts w:eastAsiaTheme="minorEastAsia"/>
                <w:sz w:val="21"/>
                <w:szCs w:val="21"/>
              </w:rPr>
            </w:pPr>
            <w:r w:rsidRPr="00702882">
              <w:rPr>
                <w:sz w:val="21"/>
                <w:szCs w:val="21"/>
              </w:rPr>
              <w:t>0.5</w:t>
            </w:r>
          </w:p>
        </w:tc>
      </w:tr>
      <w:tr w:rsidR="005F33FF" w:rsidRPr="00702882" w14:paraId="59FDBEFA" w14:textId="77777777" w:rsidTr="008E617F">
        <w:trPr>
          <w:trHeight w:val="397"/>
          <w:jc w:val="center"/>
        </w:trPr>
        <w:tc>
          <w:tcPr>
            <w:tcW w:w="1696" w:type="dxa"/>
            <w:vMerge/>
            <w:shd w:val="clear" w:color="auto" w:fill="auto"/>
            <w:vAlign w:val="center"/>
          </w:tcPr>
          <w:p w14:paraId="7A7F9EDF" w14:textId="77777777" w:rsidR="00EA2DAC" w:rsidRPr="00702882" w:rsidRDefault="00EA2DAC" w:rsidP="00EA2DAC">
            <w:pPr>
              <w:rPr>
                <w:b/>
                <w:bCs/>
                <w:sz w:val="21"/>
                <w:szCs w:val="21"/>
              </w:rPr>
            </w:pPr>
          </w:p>
        </w:tc>
        <w:tc>
          <w:tcPr>
            <w:tcW w:w="3544" w:type="dxa"/>
            <w:shd w:val="clear" w:color="auto" w:fill="auto"/>
            <w:vAlign w:val="center"/>
          </w:tcPr>
          <w:p w14:paraId="0CFEC4B4" w14:textId="77777777" w:rsidR="00EA2DAC" w:rsidRPr="00702882" w:rsidRDefault="00EA2DAC" w:rsidP="00EA2DAC">
            <w:pPr>
              <w:rPr>
                <w:rFonts w:eastAsiaTheme="minorEastAsia"/>
                <w:sz w:val="21"/>
                <w:szCs w:val="21"/>
              </w:rPr>
            </w:pPr>
            <w:r w:rsidRPr="00702882">
              <w:rPr>
                <w:rFonts w:eastAsiaTheme="minorEastAsia"/>
                <w:sz w:val="21"/>
                <w:szCs w:val="21"/>
              </w:rPr>
              <w:t xml:space="preserve">2. </w:t>
            </w:r>
            <w:r w:rsidRPr="00702882">
              <w:rPr>
                <w:sz w:val="21"/>
                <w:szCs w:val="21"/>
              </w:rPr>
              <w:t xml:space="preserve">Withdrawal by </w:t>
            </w:r>
            <w:r w:rsidRPr="00702882">
              <w:rPr>
                <w:rFonts w:eastAsiaTheme="minorEastAsia"/>
                <w:sz w:val="21"/>
                <w:szCs w:val="21"/>
              </w:rPr>
              <w:t>3/5 votes of the legislature</w:t>
            </w:r>
          </w:p>
        </w:tc>
        <w:tc>
          <w:tcPr>
            <w:tcW w:w="1275" w:type="dxa"/>
            <w:vAlign w:val="center"/>
          </w:tcPr>
          <w:p w14:paraId="24CCF240" w14:textId="1AF33B34" w:rsidR="00EA2DAC" w:rsidRPr="00702882" w:rsidRDefault="00EA2DAC" w:rsidP="00EA2DAC">
            <w:pPr>
              <w:jc w:val="center"/>
              <w:rPr>
                <w:rFonts w:eastAsiaTheme="minorEastAsia"/>
                <w:sz w:val="21"/>
                <w:szCs w:val="21"/>
              </w:rPr>
            </w:pPr>
            <w:r w:rsidRPr="00702882">
              <w:rPr>
                <w:rFonts w:eastAsiaTheme="minorEastAsia"/>
                <w:sz w:val="21"/>
                <w:szCs w:val="21"/>
              </w:rPr>
              <w:t>0</w:t>
            </w:r>
          </w:p>
        </w:tc>
        <w:tc>
          <w:tcPr>
            <w:tcW w:w="1276" w:type="dxa"/>
            <w:vAlign w:val="center"/>
          </w:tcPr>
          <w:p w14:paraId="65765851" w14:textId="3AE1A953" w:rsidR="00EA2DAC" w:rsidRPr="00702882" w:rsidRDefault="00EA2DAC" w:rsidP="00EA2DAC">
            <w:pPr>
              <w:jc w:val="center"/>
              <w:rPr>
                <w:rFonts w:eastAsiaTheme="minorEastAsia"/>
                <w:sz w:val="21"/>
                <w:szCs w:val="21"/>
              </w:rPr>
            </w:pPr>
            <w:r w:rsidRPr="00702882">
              <w:rPr>
                <w:rFonts w:eastAsiaTheme="minorEastAsia"/>
                <w:sz w:val="21"/>
                <w:szCs w:val="21"/>
              </w:rPr>
              <w:t>0.6</w:t>
            </w:r>
          </w:p>
        </w:tc>
        <w:tc>
          <w:tcPr>
            <w:tcW w:w="1276" w:type="dxa"/>
            <w:tcBorders>
              <w:top w:val="single" w:sz="4" w:space="0" w:color="auto"/>
              <w:bottom w:val="single" w:sz="4" w:space="0" w:color="auto"/>
            </w:tcBorders>
            <w:vAlign w:val="center"/>
          </w:tcPr>
          <w:p w14:paraId="0826F7D1" w14:textId="77777777" w:rsidR="00EA2DAC" w:rsidRPr="00702882" w:rsidRDefault="00EA2DAC" w:rsidP="00EA2DAC">
            <w:pPr>
              <w:jc w:val="center"/>
              <w:rPr>
                <w:sz w:val="21"/>
                <w:szCs w:val="21"/>
              </w:rPr>
            </w:pPr>
            <w:r w:rsidRPr="00702882">
              <w:rPr>
                <w:rFonts w:eastAsiaTheme="minorEastAsia"/>
                <w:sz w:val="21"/>
                <w:szCs w:val="21"/>
              </w:rPr>
              <w:t>0.6</w:t>
            </w:r>
          </w:p>
        </w:tc>
      </w:tr>
      <w:tr w:rsidR="005F33FF" w:rsidRPr="00702882" w14:paraId="0F7FEB48" w14:textId="77777777" w:rsidTr="008E617F">
        <w:trPr>
          <w:trHeight w:val="397"/>
          <w:jc w:val="center"/>
        </w:trPr>
        <w:tc>
          <w:tcPr>
            <w:tcW w:w="1696" w:type="dxa"/>
            <w:vMerge/>
            <w:shd w:val="clear" w:color="auto" w:fill="auto"/>
            <w:vAlign w:val="center"/>
          </w:tcPr>
          <w:p w14:paraId="7694638B" w14:textId="77777777" w:rsidR="00EA2DAC" w:rsidRPr="00702882" w:rsidRDefault="00EA2DAC" w:rsidP="00EA2DAC">
            <w:pPr>
              <w:rPr>
                <w:b/>
                <w:bCs/>
                <w:sz w:val="21"/>
                <w:szCs w:val="21"/>
              </w:rPr>
            </w:pPr>
          </w:p>
        </w:tc>
        <w:tc>
          <w:tcPr>
            <w:tcW w:w="3544" w:type="dxa"/>
            <w:shd w:val="clear" w:color="auto" w:fill="auto"/>
            <w:vAlign w:val="center"/>
          </w:tcPr>
          <w:p w14:paraId="35BBCCD3" w14:textId="77777777" w:rsidR="00EA2DAC" w:rsidRPr="00702882" w:rsidRDefault="00EA2DAC" w:rsidP="00EA2DAC">
            <w:pPr>
              <w:rPr>
                <w:rFonts w:eastAsiaTheme="minorEastAsia"/>
                <w:sz w:val="21"/>
                <w:szCs w:val="21"/>
              </w:rPr>
            </w:pPr>
            <w:r w:rsidRPr="00702882">
              <w:rPr>
                <w:rFonts w:eastAsiaTheme="minorEastAsia"/>
                <w:sz w:val="21"/>
                <w:szCs w:val="21"/>
              </w:rPr>
              <w:t xml:space="preserve">3. </w:t>
            </w:r>
            <w:r w:rsidRPr="00702882">
              <w:rPr>
                <w:sz w:val="21"/>
                <w:szCs w:val="21"/>
              </w:rPr>
              <w:t xml:space="preserve">Withdrawal by </w:t>
            </w:r>
            <w:r w:rsidRPr="00702882">
              <w:rPr>
                <w:rFonts w:eastAsiaTheme="minorEastAsia"/>
                <w:sz w:val="21"/>
                <w:szCs w:val="21"/>
              </w:rPr>
              <w:t>2/3 votes of the legislature</w:t>
            </w:r>
          </w:p>
        </w:tc>
        <w:tc>
          <w:tcPr>
            <w:tcW w:w="1275" w:type="dxa"/>
            <w:vAlign w:val="center"/>
          </w:tcPr>
          <w:p w14:paraId="00AD81EA" w14:textId="4318C15F" w:rsidR="00EA2DAC" w:rsidRPr="00702882" w:rsidRDefault="00EA2DAC" w:rsidP="00EA2DAC">
            <w:pPr>
              <w:jc w:val="center"/>
              <w:rPr>
                <w:rFonts w:eastAsiaTheme="minorEastAsia"/>
                <w:sz w:val="21"/>
                <w:szCs w:val="21"/>
              </w:rPr>
            </w:pPr>
            <w:r w:rsidRPr="00702882">
              <w:rPr>
                <w:rFonts w:eastAsiaTheme="minorEastAsia"/>
                <w:sz w:val="21"/>
                <w:szCs w:val="21"/>
              </w:rPr>
              <w:t>0</w:t>
            </w:r>
          </w:p>
        </w:tc>
        <w:tc>
          <w:tcPr>
            <w:tcW w:w="1276" w:type="dxa"/>
            <w:vAlign w:val="center"/>
          </w:tcPr>
          <w:p w14:paraId="1B5D9785" w14:textId="1DACF4A8" w:rsidR="00EA2DAC" w:rsidRPr="00702882" w:rsidRDefault="00EA2DAC" w:rsidP="00EA2DAC">
            <w:pPr>
              <w:jc w:val="center"/>
              <w:rPr>
                <w:rFonts w:eastAsiaTheme="minorEastAsia"/>
                <w:sz w:val="21"/>
                <w:szCs w:val="21"/>
              </w:rPr>
            </w:pPr>
            <w:r w:rsidRPr="00702882">
              <w:rPr>
                <w:rFonts w:eastAsiaTheme="minorEastAsia"/>
                <w:sz w:val="21"/>
                <w:szCs w:val="21"/>
              </w:rPr>
              <w:t>0.67</w:t>
            </w:r>
          </w:p>
        </w:tc>
        <w:tc>
          <w:tcPr>
            <w:tcW w:w="1276" w:type="dxa"/>
            <w:tcBorders>
              <w:top w:val="single" w:sz="4" w:space="0" w:color="auto"/>
              <w:bottom w:val="single" w:sz="4" w:space="0" w:color="auto"/>
            </w:tcBorders>
            <w:vAlign w:val="center"/>
          </w:tcPr>
          <w:p w14:paraId="708A94EB" w14:textId="77777777" w:rsidR="00EA2DAC" w:rsidRPr="00702882" w:rsidRDefault="00EA2DAC" w:rsidP="00EA2DAC">
            <w:pPr>
              <w:jc w:val="center"/>
              <w:rPr>
                <w:sz w:val="21"/>
                <w:szCs w:val="21"/>
              </w:rPr>
            </w:pPr>
            <w:r w:rsidRPr="00702882">
              <w:rPr>
                <w:rFonts w:eastAsiaTheme="minorEastAsia"/>
                <w:sz w:val="21"/>
                <w:szCs w:val="21"/>
              </w:rPr>
              <w:t>0.67</w:t>
            </w:r>
          </w:p>
        </w:tc>
      </w:tr>
      <w:tr w:rsidR="005F33FF" w:rsidRPr="00702882" w14:paraId="152AE976" w14:textId="77777777" w:rsidTr="008E617F">
        <w:trPr>
          <w:trHeight w:val="397"/>
          <w:jc w:val="center"/>
        </w:trPr>
        <w:tc>
          <w:tcPr>
            <w:tcW w:w="1696" w:type="dxa"/>
            <w:vMerge/>
            <w:shd w:val="clear" w:color="auto" w:fill="auto"/>
            <w:vAlign w:val="center"/>
          </w:tcPr>
          <w:p w14:paraId="3971D43E" w14:textId="77777777" w:rsidR="00EA2DAC" w:rsidRPr="00702882" w:rsidRDefault="00EA2DAC" w:rsidP="00EA2DAC">
            <w:pPr>
              <w:rPr>
                <w:b/>
                <w:bCs/>
                <w:sz w:val="21"/>
                <w:szCs w:val="21"/>
              </w:rPr>
            </w:pPr>
          </w:p>
        </w:tc>
        <w:tc>
          <w:tcPr>
            <w:tcW w:w="3544" w:type="dxa"/>
            <w:shd w:val="clear" w:color="auto" w:fill="auto"/>
            <w:vAlign w:val="center"/>
          </w:tcPr>
          <w:p w14:paraId="5EE81302" w14:textId="77777777" w:rsidR="00EA2DAC" w:rsidRPr="00702882" w:rsidRDefault="00EA2DAC" w:rsidP="00EA2DAC">
            <w:pPr>
              <w:rPr>
                <w:rFonts w:eastAsiaTheme="minorEastAsia"/>
                <w:sz w:val="21"/>
                <w:szCs w:val="21"/>
              </w:rPr>
            </w:pPr>
            <w:r w:rsidRPr="00702882">
              <w:rPr>
                <w:rFonts w:eastAsiaTheme="minorEastAsia"/>
                <w:sz w:val="21"/>
                <w:szCs w:val="21"/>
              </w:rPr>
              <w:t xml:space="preserve">4. </w:t>
            </w:r>
            <w:r w:rsidRPr="00702882">
              <w:rPr>
                <w:sz w:val="21"/>
                <w:szCs w:val="21"/>
              </w:rPr>
              <w:t xml:space="preserve">Withdrawal by </w:t>
            </w:r>
            <w:r w:rsidRPr="00702882">
              <w:rPr>
                <w:rFonts w:eastAsiaTheme="minorEastAsia"/>
                <w:sz w:val="21"/>
                <w:szCs w:val="21"/>
              </w:rPr>
              <w:t>3/4 votes of the legislature</w:t>
            </w:r>
          </w:p>
        </w:tc>
        <w:tc>
          <w:tcPr>
            <w:tcW w:w="1275" w:type="dxa"/>
            <w:vAlign w:val="center"/>
          </w:tcPr>
          <w:p w14:paraId="082E0E52" w14:textId="59E204EC" w:rsidR="00EA2DAC" w:rsidRPr="00702882" w:rsidRDefault="00EA2DAC" w:rsidP="00EA2DAC">
            <w:pPr>
              <w:jc w:val="center"/>
              <w:rPr>
                <w:rFonts w:eastAsiaTheme="minorEastAsia"/>
                <w:sz w:val="21"/>
                <w:szCs w:val="21"/>
              </w:rPr>
            </w:pPr>
            <w:r w:rsidRPr="00702882">
              <w:rPr>
                <w:rFonts w:eastAsiaTheme="minorEastAsia"/>
                <w:sz w:val="21"/>
                <w:szCs w:val="21"/>
              </w:rPr>
              <w:t>0</w:t>
            </w:r>
          </w:p>
        </w:tc>
        <w:tc>
          <w:tcPr>
            <w:tcW w:w="1276" w:type="dxa"/>
            <w:vAlign w:val="center"/>
          </w:tcPr>
          <w:p w14:paraId="69E8040D" w14:textId="24E0898D" w:rsidR="00EA2DAC" w:rsidRPr="00702882" w:rsidRDefault="00EA2DAC" w:rsidP="00EA2DAC">
            <w:pPr>
              <w:jc w:val="center"/>
              <w:rPr>
                <w:rFonts w:eastAsiaTheme="minorEastAsia"/>
                <w:sz w:val="21"/>
                <w:szCs w:val="21"/>
              </w:rPr>
            </w:pPr>
            <w:r w:rsidRPr="00702882">
              <w:rPr>
                <w:rFonts w:eastAsiaTheme="minorEastAsia"/>
                <w:sz w:val="21"/>
                <w:szCs w:val="21"/>
              </w:rPr>
              <w:t>0.75</w:t>
            </w:r>
          </w:p>
        </w:tc>
        <w:tc>
          <w:tcPr>
            <w:tcW w:w="1276" w:type="dxa"/>
            <w:tcBorders>
              <w:top w:val="single" w:sz="4" w:space="0" w:color="auto"/>
              <w:bottom w:val="single" w:sz="4" w:space="0" w:color="auto"/>
            </w:tcBorders>
            <w:vAlign w:val="center"/>
          </w:tcPr>
          <w:p w14:paraId="04F063A2" w14:textId="77777777" w:rsidR="00EA2DAC" w:rsidRPr="00702882" w:rsidRDefault="00EA2DAC" w:rsidP="00EA2DAC">
            <w:pPr>
              <w:jc w:val="center"/>
              <w:rPr>
                <w:rFonts w:eastAsiaTheme="minorEastAsia"/>
                <w:sz w:val="21"/>
                <w:szCs w:val="21"/>
              </w:rPr>
            </w:pPr>
            <w:r w:rsidRPr="00702882">
              <w:rPr>
                <w:rFonts w:eastAsiaTheme="minorEastAsia"/>
                <w:sz w:val="21"/>
                <w:szCs w:val="21"/>
              </w:rPr>
              <w:t>0.75</w:t>
            </w:r>
          </w:p>
        </w:tc>
      </w:tr>
      <w:tr w:rsidR="005F33FF" w:rsidRPr="00702882" w14:paraId="763A093A" w14:textId="77777777" w:rsidTr="008E617F">
        <w:trPr>
          <w:trHeight w:val="397"/>
          <w:jc w:val="center"/>
        </w:trPr>
        <w:tc>
          <w:tcPr>
            <w:tcW w:w="1696" w:type="dxa"/>
            <w:tcBorders>
              <w:bottom w:val="single" w:sz="4" w:space="0" w:color="auto"/>
            </w:tcBorders>
            <w:shd w:val="clear" w:color="auto" w:fill="auto"/>
            <w:vAlign w:val="center"/>
          </w:tcPr>
          <w:p w14:paraId="2A4B22C5" w14:textId="77777777" w:rsidR="00EA2DAC" w:rsidRPr="00702882" w:rsidRDefault="00EA2DAC" w:rsidP="00EA2DAC">
            <w:pPr>
              <w:rPr>
                <w:b/>
                <w:bCs/>
                <w:sz w:val="21"/>
                <w:szCs w:val="21"/>
              </w:rPr>
            </w:pPr>
            <w:r w:rsidRPr="00702882">
              <w:rPr>
                <w:b/>
                <w:bCs/>
                <w:sz w:val="21"/>
                <w:szCs w:val="21"/>
              </w:rPr>
              <w:t>Withdraw by budget shortfall</w:t>
            </w:r>
          </w:p>
        </w:tc>
        <w:tc>
          <w:tcPr>
            <w:tcW w:w="3544" w:type="dxa"/>
            <w:tcBorders>
              <w:bottom w:val="single" w:sz="4" w:space="0" w:color="auto"/>
            </w:tcBorders>
            <w:shd w:val="clear" w:color="auto" w:fill="auto"/>
            <w:vAlign w:val="center"/>
          </w:tcPr>
          <w:p w14:paraId="1F819D4F" w14:textId="0D78597C" w:rsidR="00EA2DAC" w:rsidRPr="00702882" w:rsidRDefault="00EA2DAC" w:rsidP="00EA2DAC">
            <w:pPr>
              <w:rPr>
                <w:sz w:val="21"/>
                <w:szCs w:val="21"/>
              </w:rPr>
            </w:pPr>
            <w:r w:rsidRPr="00702882">
              <w:rPr>
                <w:sz w:val="21"/>
                <w:szCs w:val="21"/>
              </w:rPr>
              <w:t>Withdraw money from their BSFs to cover budget shortfalls</w:t>
            </w:r>
          </w:p>
        </w:tc>
        <w:tc>
          <w:tcPr>
            <w:tcW w:w="1275" w:type="dxa"/>
            <w:tcBorders>
              <w:bottom w:val="single" w:sz="4" w:space="0" w:color="auto"/>
            </w:tcBorders>
            <w:vAlign w:val="center"/>
          </w:tcPr>
          <w:p w14:paraId="4A7CACF3" w14:textId="09E80CE7" w:rsidR="00EA2DAC" w:rsidRPr="00702882" w:rsidRDefault="003E5EEC" w:rsidP="00EA2DAC">
            <w:pPr>
              <w:jc w:val="center"/>
              <w:rPr>
                <w:rFonts w:eastAsiaTheme="minorEastAsia"/>
                <w:sz w:val="21"/>
                <w:szCs w:val="21"/>
              </w:rPr>
            </w:pPr>
            <w:r w:rsidRPr="00702882">
              <w:rPr>
                <w:rFonts w:eastAsiaTheme="minorEastAsia"/>
                <w:sz w:val="21"/>
                <w:szCs w:val="21"/>
              </w:rPr>
              <w:t>1</w:t>
            </w:r>
          </w:p>
        </w:tc>
        <w:tc>
          <w:tcPr>
            <w:tcW w:w="1276" w:type="dxa"/>
            <w:tcBorders>
              <w:bottom w:val="single" w:sz="4" w:space="0" w:color="auto"/>
            </w:tcBorders>
            <w:vAlign w:val="center"/>
          </w:tcPr>
          <w:p w14:paraId="2C03CA88" w14:textId="77777777" w:rsidR="00EA2DAC" w:rsidRPr="00702882" w:rsidRDefault="00EA2DAC" w:rsidP="00EA2DAC">
            <w:pPr>
              <w:jc w:val="center"/>
              <w:rPr>
                <w:sz w:val="21"/>
                <w:szCs w:val="21"/>
              </w:rPr>
            </w:pPr>
            <w:r w:rsidRPr="00702882">
              <w:rPr>
                <w:sz w:val="21"/>
                <w:szCs w:val="21"/>
              </w:rPr>
              <w:t>1</w:t>
            </w:r>
          </w:p>
        </w:tc>
        <w:tc>
          <w:tcPr>
            <w:tcW w:w="1276" w:type="dxa"/>
            <w:tcBorders>
              <w:top w:val="single" w:sz="4" w:space="0" w:color="auto"/>
              <w:bottom w:val="single" w:sz="4" w:space="0" w:color="auto"/>
            </w:tcBorders>
            <w:vAlign w:val="center"/>
          </w:tcPr>
          <w:p w14:paraId="287D9E99" w14:textId="64396A47" w:rsidR="00EA2DAC" w:rsidRPr="00702882" w:rsidRDefault="003E5EEC" w:rsidP="00EA2DAC">
            <w:pPr>
              <w:jc w:val="center"/>
              <w:rPr>
                <w:rFonts w:eastAsiaTheme="minorEastAsia"/>
                <w:sz w:val="21"/>
                <w:szCs w:val="21"/>
              </w:rPr>
            </w:pPr>
            <w:r w:rsidRPr="00702882">
              <w:rPr>
                <w:rFonts w:eastAsiaTheme="minorEastAsia"/>
                <w:sz w:val="21"/>
                <w:szCs w:val="21"/>
              </w:rPr>
              <w:t>2</w:t>
            </w:r>
          </w:p>
        </w:tc>
      </w:tr>
      <w:tr w:rsidR="005F33FF" w:rsidRPr="00702882" w14:paraId="73FF848E" w14:textId="77777777" w:rsidTr="008E617F">
        <w:trPr>
          <w:trHeight w:val="397"/>
          <w:jc w:val="center"/>
        </w:trPr>
        <w:tc>
          <w:tcPr>
            <w:tcW w:w="1696" w:type="dxa"/>
            <w:tcBorders>
              <w:bottom w:val="single" w:sz="4" w:space="0" w:color="auto"/>
            </w:tcBorders>
            <w:shd w:val="clear" w:color="auto" w:fill="auto"/>
            <w:vAlign w:val="center"/>
          </w:tcPr>
          <w:p w14:paraId="2B80F85F" w14:textId="7B530358" w:rsidR="00EA2DAC" w:rsidRPr="00702882" w:rsidRDefault="00EA2DAC" w:rsidP="00EA2DAC">
            <w:pPr>
              <w:rPr>
                <w:rFonts w:eastAsiaTheme="minorEastAsia"/>
                <w:b/>
                <w:bCs/>
                <w:sz w:val="21"/>
                <w:szCs w:val="21"/>
              </w:rPr>
            </w:pPr>
            <w:r w:rsidRPr="00702882">
              <w:rPr>
                <w:b/>
                <w:bCs/>
                <w:sz w:val="21"/>
                <w:szCs w:val="21"/>
              </w:rPr>
              <w:t>Withdrawal tied to volatility</w:t>
            </w:r>
          </w:p>
        </w:tc>
        <w:tc>
          <w:tcPr>
            <w:tcW w:w="3544" w:type="dxa"/>
            <w:tcBorders>
              <w:bottom w:val="single" w:sz="4" w:space="0" w:color="auto"/>
            </w:tcBorders>
            <w:shd w:val="clear" w:color="auto" w:fill="auto"/>
            <w:vAlign w:val="center"/>
          </w:tcPr>
          <w:p w14:paraId="0DC5298F" w14:textId="45863F8D" w:rsidR="00EA2DAC" w:rsidRPr="00702882" w:rsidRDefault="00EA2DAC" w:rsidP="00EA2DAC">
            <w:pPr>
              <w:rPr>
                <w:rFonts w:eastAsiaTheme="minorEastAsia"/>
                <w:sz w:val="21"/>
                <w:szCs w:val="21"/>
              </w:rPr>
            </w:pPr>
            <w:r w:rsidRPr="00702882">
              <w:rPr>
                <w:sz w:val="21"/>
                <w:szCs w:val="21"/>
              </w:rPr>
              <w:t>Withdraw money from BSFs based on revenue fluctuation</w:t>
            </w:r>
          </w:p>
        </w:tc>
        <w:tc>
          <w:tcPr>
            <w:tcW w:w="1275" w:type="dxa"/>
            <w:tcBorders>
              <w:bottom w:val="single" w:sz="4" w:space="0" w:color="auto"/>
            </w:tcBorders>
            <w:vAlign w:val="center"/>
          </w:tcPr>
          <w:p w14:paraId="5FD80CA4" w14:textId="77777777" w:rsidR="00EA2DAC" w:rsidRPr="00702882" w:rsidRDefault="00EA2DAC" w:rsidP="00EA2DAC">
            <w:pPr>
              <w:jc w:val="center"/>
              <w:rPr>
                <w:sz w:val="21"/>
                <w:szCs w:val="21"/>
              </w:rPr>
            </w:pPr>
            <w:r w:rsidRPr="00702882">
              <w:rPr>
                <w:sz w:val="21"/>
                <w:szCs w:val="21"/>
              </w:rPr>
              <w:t>1</w:t>
            </w:r>
          </w:p>
        </w:tc>
        <w:tc>
          <w:tcPr>
            <w:tcW w:w="1276" w:type="dxa"/>
            <w:tcBorders>
              <w:bottom w:val="single" w:sz="4" w:space="0" w:color="auto"/>
            </w:tcBorders>
            <w:vAlign w:val="center"/>
          </w:tcPr>
          <w:p w14:paraId="7E69EA88" w14:textId="77777777" w:rsidR="00EA2DAC" w:rsidRPr="00702882" w:rsidRDefault="00EA2DAC" w:rsidP="00EA2DAC">
            <w:pPr>
              <w:jc w:val="center"/>
              <w:rPr>
                <w:sz w:val="21"/>
                <w:szCs w:val="21"/>
              </w:rPr>
            </w:pPr>
            <w:r w:rsidRPr="00702882">
              <w:rPr>
                <w:sz w:val="21"/>
                <w:szCs w:val="21"/>
              </w:rPr>
              <w:t>1</w:t>
            </w:r>
          </w:p>
        </w:tc>
        <w:tc>
          <w:tcPr>
            <w:tcW w:w="1276" w:type="dxa"/>
            <w:tcBorders>
              <w:bottom w:val="single" w:sz="4" w:space="0" w:color="auto"/>
            </w:tcBorders>
            <w:vAlign w:val="center"/>
          </w:tcPr>
          <w:p w14:paraId="40576662" w14:textId="77777777" w:rsidR="00EA2DAC" w:rsidRPr="00702882" w:rsidRDefault="00EA2DAC" w:rsidP="00EA2DAC">
            <w:pPr>
              <w:jc w:val="center"/>
              <w:rPr>
                <w:sz w:val="21"/>
                <w:szCs w:val="21"/>
              </w:rPr>
            </w:pPr>
            <w:r w:rsidRPr="00702882">
              <w:rPr>
                <w:sz w:val="21"/>
                <w:szCs w:val="21"/>
              </w:rPr>
              <w:t>2</w:t>
            </w:r>
          </w:p>
        </w:tc>
      </w:tr>
      <w:tr w:rsidR="005F33FF" w:rsidRPr="00702882" w14:paraId="414FA54D" w14:textId="77777777" w:rsidTr="008E617F">
        <w:trPr>
          <w:trHeight w:val="397"/>
          <w:jc w:val="center"/>
        </w:trPr>
        <w:tc>
          <w:tcPr>
            <w:tcW w:w="9067" w:type="dxa"/>
            <w:gridSpan w:val="5"/>
            <w:tcBorders>
              <w:bottom w:val="single" w:sz="4" w:space="0" w:color="auto"/>
            </w:tcBorders>
            <w:shd w:val="clear" w:color="auto" w:fill="D5DCE4" w:themeFill="text2" w:themeFillTint="33"/>
            <w:vAlign w:val="center"/>
          </w:tcPr>
          <w:p w14:paraId="2C8D3C50" w14:textId="77777777" w:rsidR="00EA2DAC" w:rsidRPr="00702882" w:rsidRDefault="00EA2DAC" w:rsidP="00EA2DAC">
            <w:pPr>
              <w:jc w:val="both"/>
              <w:rPr>
                <w:sz w:val="21"/>
                <w:szCs w:val="21"/>
              </w:rPr>
            </w:pPr>
            <w:r w:rsidRPr="00702882">
              <w:rPr>
                <w:sz w:val="21"/>
                <w:szCs w:val="21"/>
              </w:rPr>
              <w:t>RESTRICTIONS ON WITHDRAWAL</w:t>
            </w:r>
          </w:p>
        </w:tc>
      </w:tr>
      <w:tr w:rsidR="005F33FF" w:rsidRPr="00702882" w14:paraId="5990A5BF" w14:textId="77777777" w:rsidTr="008E617F">
        <w:tblPrEx>
          <w:jc w:val="left"/>
        </w:tblPrEx>
        <w:trPr>
          <w:trHeight w:val="397"/>
        </w:trPr>
        <w:tc>
          <w:tcPr>
            <w:tcW w:w="1696" w:type="dxa"/>
            <w:vAlign w:val="center"/>
          </w:tcPr>
          <w:p w14:paraId="27854574" w14:textId="77777777" w:rsidR="00EA2DAC" w:rsidRPr="00702882" w:rsidRDefault="00EA2DAC" w:rsidP="00EA2DAC">
            <w:pPr>
              <w:rPr>
                <w:b/>
                <w:bCs/>
                <w:sz w:val="21"/>
                <w:szCs w:val="21"/>
              </w:rPr>
            </w:pPr>
            <w:r w:rsidRPr="00702882">
              <w:rPr>
                <w:b/>
                <w:bCs/>
                <w:sz w:val="21"/>
                <w:szCs w:val="21"/>
              </w:rPr>
              <w:t>Withdrawal limit</w:t>
            </w:r>
          </w:p>
        </w:tc>
        <w:tc>
          <w:tcPr>
            <w:tcW w:w="3544" w:type="dxa"/>
          </w:tcPr>
          <w:p w14:paraId="3EC63BBF" w14:textId="222A4FA0" w:rsidR="00EA2DAC" w:rsidRPr="00702882" w:rsidRDefault="00EA2DAC" w:rsidP="00EA2DAC">
            <w:pPr>
              <w:rPr>
                <w:rFonts w:eastAsiaTheme="minorEastAsia"/>
                <w:sz w:val="21"/>
                <w:szCs w:val="21"/>
              </w:rPr>
            </w:pPr>
            <w:r w:rsidRPr="00702882">
              <w:rPr>
                <w:sz w:val="21"/>
                <w:szCs w:val="21"/>
              </w:rPr>
              <w:t xml:space="preserve">Limit withdrawal to a certain amount of </w:t>
            </w:r>
            <w:r w:rsidR="008E617F" w:rsidRPr="00702882">
              <w:rPr>
                <w:rFonts w:eastAsiaTheme="minorEastAsia"/>
                <w:sz w:val="21"/>
                <w:szCs w:val="21"/>
              </w:rPr>
              <w:t>money</w:t>
            </w:r>
          </w:p>
        </w:tc>
        <w:tc>
          <w:tcPr>
            <w:tcW w:w="1275" w:type="dxa"/>
            <w:vAlign w:val="center"/>
          </w:tcPr>
          <w:p w14:paraId="55EEE899" w14:textId="77777777" w:rsidR="00EA2DAC" w:rsidRPr="00702882" w:rsidRDefault="00EA2DAC" w:rsidP="00EA2DAC">
            <w:pPr>
              <w:jc w:val="center"/>
              <w:rPr>
                <w:rFonts w:eastAsiaTheme="minorEastAsia"/>
                <w:sz w:val="21"/>
                <w:szCs w:val="21"/>
              </w:rPr>
            </w:pPr>
            <w:r w:rsidRPr="00702882">
              <w:rPr>
                <w:sz w:val="21"/>
                <w:szCs w:val="21"/>
              </w:rPr>
              <w:t>1</w:t>
            </w:r>
          </w:p>
        </w:tc>
        <w:tc>
          <w:tcPr>
            <w:tcW w:w="1276" w:type="dxa"/>
            <w:vAlign w:val="center"/>
          </w:tcPr>
          <w:p w14:paraId="495E2A18" w14:textId="77777777" w:rsidR="00EA2DAC" w:rsidRPr="00702882" w:rsidRDefault="00EA2DAC" w:rsidP="00EA2DAC">
            <w:pPr>
              <w:jc w:val="center"/>
              <w:rPr>
                <w:rFonts w:eastAsiaTheme="minorEastAsia"/>
                <w:sz w:val="21"/>
                <w:szCs w:val="21"/>
              </w:rPr>
            </w:pPr>
            <w:r w:rsidRPr="00702882">
              <w:rPr>
                <w:sz w:val="21"/>
                <w:szCs w:val="21"/>
              </w:rPr>
              <w:t>1</w:t>
            </w:r>
          </w:p>
        </w:tc>
        <w:tc>
          <w:tcPr>
            <w:tcW w:w="1276" w:type="dxa"/>
            <w:vAlign w:val="center"/>
          </w:tcPr>
          <w:p w14:paraId="3C81C5DE" w14:textId="77777777" w:rsidR="00EA2DAC" w:rsidRPr="00702882" w:rsidRDefault="00EA2DAC" w:rsidP="00EA2DAC">
            <w:pPr>
              <w:jc w:val="center"/>
              <w:rPr>
                <w:rFonts w:eastAsiaTheme="minorEastAsia"/>
                <w:sz w:val="21"/>
                <w:szCs w:val="21"/>
              </w:rPr>
            </w:pPr>
            <w:r w:rsidRPr="00702882">
              <w:rPr>
                <w:sz w:val="21"/>
                <w:szCs w:val="21"/>
              </w:rPr>
              <w:t>2</w:t>
            </w:r>
          </w:p>
        </w:tc>
      </w:tr>
      <w:tr w:rsidR="005F33FF" w:rsidRPr="00702882" w14:paraId="40F40752" w14:textId="77777777" w:rsidTr="008E617F">
        <w:tblPrEx>
          <w:jc w:val="left"/>
        </w:tblPrEx>
        <w:trPr>
          <w:trHeight w:val="397"/>
        </w:trPr>
        <w:tc>
          <w:tcPr>
            <w:tcW w:w="1696" w:type="dxa"/>
            <w:vMerge w:val="restart"/>
            <w:vAlign w:val="center"/>
          </w:tcPr>
          <w:p w14:paraId="1D3370E6" w14:textId="77777777" w:rsidR="00EA2DAC" w:rsidRPr="00702882" w:rsidRDefault="00EA2DAC" w:rsidP="00EA2DAC">
            <w:pPr>
              <w:rPr>
                <w:b/>
                <w:bCs/>
                <w:sz w:val="21"/>
                <w:szCs w:val="21"/>
              </w:rPr>
            </w:pPr>
            <w:r w:rsidRPr="00702882">
              <w:rPr>
                <w:b/>
                <w:bCs/>
                <w:sz w:val="21"/>
                <w:szCs w:val="21"/>
              </w:rPr>
              <w:t xml:space="preserve">Repayment provision </w:t>
            </w:r>
          </w:p>
        </w:tc>
        <w:tc>
          <w:tcPr>
            <w:tcW w:w="3544" w:type="dxa"/>
            <w:vAlign w:val="center"/>
          </w:tcPr>
          <w:p w14:paraId="597ED93B" w14:textId="77777777" w:rsidR="00EA2DAC" w:rsidRPr="00702882" w:rsidRDefault="00EA2DAC" w:rsidP="00EA2DAC">
            <w:pPr>
              <w:jc w:val="both"/>
              <w:rPr>
                <w:rFonts w:eastAsiaTheme="minorEastAsia"/>
                <w:sz w:val="21"/>
                <w:szCs w:val="21"/>
              </w:rPr>
            </w:pPr>
            <w:r w:rsidRPr="00702882">
              <w:rPr>
                <w:sz w:val="21"/>
                <w:szCs w:val="21"/>
              </w:rPr>
              <w:t>1. Repayment required but no deadline</w:t>
            </w:r>
          </w:p>
        </w:tc>
        <w:tc>
          <w:tcPr>
            <w:tcW w:w="1275" w:type="dxa"/>
            <w:vAlign w:val="center"/>
          </w:tcPr>
          <w:p w14:paraId="726096AE" w14:textId="77777777" w:rsidR="00EA2DAC" w:rsidRPr="00702882" w:rsidRDefault="00EA2DAC" w:rsidP="00EA2DAC">
            <w:pPr>
              <w:jc w:val="center"/>
              <w:rPr>
                <w:sz w:val="21"/>
                <w:szCs w:val="21"/>
              </w:rPr>
            </w:pPr>
            <w:r w:rsidRPr="00702882">
              <w:rPr>
                <w:sz w:val="21"/>
                <w:szCs w:val="21"/>
              </w:rPr>
              <w:t>0</w:t>
            </w:r>
          </w:p>
        </w:tc>
        <w:tc>
          <w:tcPr>
            <w:tcW w:w="1276" w:type="dxa"/>
            <w:vAlign w:val="center"/>
          </w:tcPr>
          <w:p w14:paraId="7E8180C7" w14:textId="77777777" w:rsidR="00EA2DAC" w:rsidRPr="00702882" w:rsidRDefault="00EA2DAC" w:rsidP="00EA2DAC">
            <w:pPr>
              <w:jc w:val="center"/>
              <w:rPr>
                <w:rFonts w:eastAsiaTheme="minorEastAsia"/>
                <w:sz w:val="21"/>
                <w:szCs w:val="21"/>
              </w:rPr>
            </w:pPr>
            <w:r w:rsidRPr="00702882">
              <w:rPr>
                <w:sz w:val="21"/>
                <w:szCs w:val="21"/>
              </w:rPr>
              <w:t>0.25</w:t>
            </w:r>
          </w:p>
        </w:tc>
        <w:tc>
          <w:tcPr>
            <w:tcW w:w="1276" w:type="dxa"/>
            <w:vAlign w:val="center"/>
          </w:tcPr>
          <w:p w14:paraId="49363DF7" w14:textId="77777777" w:rsidR="00EA2DAC" w:rsidRPr="00702882" w:rsidRDefault="00EA2DAC" w:rsidP="00EA2DAC">
            <w:pPr>
              <w:jc w:val="center"/>
              <w:rPr>
                <w:rFonts w:eastAsiaTheme="minorEastAsia"/>
                <w:sz w:val="21"/>
                <w:szCs w:val="21"/>
              </w:rPr>
            </w:pPr>
            <w:r w:rsidRPr="00702882">
              <w:rPr>
                <w:sz w:val="21"/>
                <w:szCs w:val="21"/>
              </w:rPr>
              <w:t>0.25</w:t>
            </w:r>
          </w:p>
        </w:tc>
      </w:tr>
      <w:tr w:rsidR="005F33FF" w:rsidRPr="00702882" w14:paraId="5CF41E40" w14:textId="77777777" w:rsidTr="008E617F">
        <w:tblPrEx>
          <w:jc w:val="left"/>
        </w:tblPrEx>
        <w:trPr>
          <w:trHeight w:val="397"/>
        </w:trPr>
        <w:tc>
          <w:tcPr>
            <w:tcW w:w="1696" w:type="dxa"/>
            <w:vMerge/>
            <w:vAlign w:val="center"/>
          </w:tcPr>
          <w:p w14:paraId="6CC99F6A" w14:textId="77777777" w:rsidR="00EA2DAC" w:rsidRPr="00702882" w:rsidRDefault="00EA2DAC" w:rsidP="00EA2DAC">
            <w:pPr>
              <w:rPr>
                <w:b/>
                <w:bCs/>
                <w:sz w:val="21"/>
                <w:szCs w:val="21"/>
              </w:rPr>
            </w:pPr>
          </w:p>
        </w:tc>
        <w:tc>
          <w:tcPr>
            <w:tcW w:w="3544" w:type="dxa"/>
            <w:vAlign w:val="center"/>
          </w:tcPr>
          <w:p w14:paraId="0DF5A26B" w14:textId="77777777" w:rsidR="00EA2DAC" w:rsidRPr="00702882" w:rsidRDefault="00EA2DAC" w:rsidP="00EA2DAC">
            <w:pPr>
              <w:jc w:val="both"/>
              <w:rPr>
                <w:rFonts w:eastAsiaTheme="minorEastAsia"/>
                <w:sz w:val="21"/>
                <w:szCs w:val="21"/>
              </w:rPr>
            </w:pPr>
            <w:r w:rsidRPr="00702882">
              <w:rPr>
                <w:sz w:val="21"/>
                <w:szCs w:val="21"/>
              </w:rPr>
              <w:t>2. Repay money spent within 4-6 years</w:t>
            </w:r>
          </w:p>
        </w:tc>
        <w:tc>
          <w:tcPr>
            <w:tcW w:w="1275" w:type="dxa"/>
            <w:vAlign w:val="center"/>
          </w:tcPr>
          <w:p w14:paraId="23648E8E" w14:textId="77777777" w:rsidR="00EA2DAC" w:rsidRPr="00702882" w:rsidRDefault="00EA2DAC" w:rsidP="00EA2DAC">
            <w:pPr>
              <w:jc w:val="center"/>
              <w:rPr>
                <w:rFonts w:eastAsiaTheme="minorEastAsia"/>
                <w:sz w:val="21"/>
                <w:szCs w:val="21"/>
              </w:rPr>
            </w:pPr>
            <w:r w:rsidRPr="00702882">
              <w:rPr>
                <w:sz w:val="21"/>
                <w:szCs w:val="21"/>
              </w:rPr>
              <w:t>1</w:t>
            </w:r>
          </w:p>
        </w:tc>
        <w:tc>
          <w:tcPr>
            <w:tcW w:w="1276" w:type="dxa"/>
            <w:vAlign w:val="center"/>
          </w:tcPr>
          <w:p w14:paraId="63BDB374" w14:textId="77777777" w:rsidR="00EA2DAC" w:rsidRPr="00702882" w:rsidRDefault="00EA2DAC" w:rsidP="00EA2DAC">
            <w:pPr>
              <w:jc w:val="center"/>
              <w:rPr>
                <w:rFonts w:eastAsiaTheme="minorEastAsia"/>
                <w:sz w:val="21"/>
                <w:szCs w:val="21"/>
              </w:rPr>
            </w:pPr>
            <w:r w:rsidRPr="00702882">
              <w:rPr>
                <w:sz w:val="21"/>
                <w:szCs w:val="21"/>
              </w:rPr>
              <w:t>0.5</w:t>
            </w:r>
          </w:p>
        </w:tc>
        <w:tc>
          <w:tcPr>
            <w:tcW w:w="1276" w:type="dxa"/>
            <w:vAlign w:val="center"/>
          </w:tcPr>
          <w:p w14:paraId="7F9A491F" w14:textId="77777777" w:rsidR="00EA2DAC" w:rsidRPr="00702882" w:rsidRDefault="00EA2DAC" w:rsidP="00EA2DAC">
            <w:pPr>
              <w:jc w:val="center"/>
              <w:rPr>
                <w:rFonts w:eastAsiaTheme="minorEastAsia"/>
                <w:sz w:val="21"/>
                <w:szCs w:val="21"/>
              </w:rPr>
            </w:pPr>
            <w:r w:rsidRPr="00702882">
              <w:rPr>
                <w:sz w:val="21"/>
                <w:szCs w:val="21"/>
              </w:rPr>
              <w:t>1.5</w:t>
            </w:r>
          </w:p>
        </w:tc>
      </w:tr>
      <w:tr w:rsidR="005F33FF" w:rsidRPr="00702882" w14:paraId="27C884B1" w14:textId="77777777" w:rsidTr="008E617F">
        <w:tblPrEx>
          <w:jc w:val="left"/>
        </w:tblPrEx>
        <w:trPr>
          <w:trHeight w:val="397"/>
        </w:trPr>
        <w:tc>
          <w:tcPr>
            <w:tcW w:w="1696" w:type="dxa"/>
            <w:vMerge/>
            <w:vAlign w:val="center"/>
          </w:tcPr>
          <w:p w14:paraId="1C395DFC" w14:textId="77777777" w:rsidR="00EA2DAC" w:rsidRPr="00702882" w:rsidRDefault="00EA2DAC" w:rsidP="00EA2DAC">
            <w:pPr>
              <w:rPr>
                <w:b/>
                <w:bCs/>
                <w:sz w:val="21"/>
                <w:szCs w:val="21"/>
              </w:rPr>
            </w:pPr>
          </w:p>
        </w:tc>
        <w:tc>
          <w:tcPr>
            <w:tcW w:w="3544" w:type="dxa"/>
            <w:vAlign w:val="center"/>
          </w:tcPr>
          <w:p w14:paraId="5FD75321" w14:textId="77777777" w:rsidR="00EA2DAC" w:rsidRPr="00702882" w:rsidRDefault="00EA2DAC" w:rsidP="00EA2DAC">
            <w:pPr>
              <w:jc w:val="both"/>
              <w:rPr>
                <w:sz w:val="21"/>
                <w:szCs w:val="21"/>
              </w:rPr>
            </w:pPr>
            <w:r w:rsidRPr="00702882">
              <w:rPr>
                <w:sz w:val="21"/>
                <w:szCs w:val="21"/>
              </w:rPr>
              <w:t>3. Repay money spent within 2-3 years</w:t>
            </w:r>
          </w:p>
        </w:tc>
        <w:tc>
          <w:tcPr>
            <w:tcW w:w="1275" w:type="dxa"/>
            <w:vAlign w:val="center"/>
          </w:tcPr>
          <w:p w14:paraId="629CF6DF" w14:textId="77777777" w:rsidR="00EA2DAC" w:rsidRPr="00702882" w:rsidRDefault="00EA2DAC" w:rsidP="00EA2DAC">
            <w:pPr>
              <w:jc w:val="center"/>
              <w:rPr>
                <w:sz w:val="21"/>
                <w:szCs w:val="21"/>
              </w:rPr>
            </w:pPr>
            <w:r w:rsidRPr="00702882">
              <w:rPr>
                <w:sz w:val="21"/>
                <w:szCs w:val="21"/>
              </w:rPr>
              <w:t>1</w:t>
            </w:r>
          </w:p>
        </w:tc>
        <w:tc>
          <w:tcPr>
            <w:tcW w:w="1276" w:type="dxa"/>
            <w:vAlign w:val="center"/>
          </w:tcPr>
          <w:p w14:paraId="3AB7B9B4" w14:textId="77777777" w:rsidR="00EA2DAC" w:rsidRPr="00702882" w:rsidRDefault="00EA2DAC" w:rsidP="00EA2DAC">
            <w:pPr>
              <w:jc w:val="center"/>
              <w:rPr>
                <w:sz w:val="21"/>
                <w:szCs w:val="21"/>
              </w:rPr>
            </w:pPr>
            <w:r w:rsidRPr="00702882">
              <w:rPr>
                <w:sz w:val="21"/>
                <w:szCs w:val="21"/>
              </w:rPr>
              <w:t>0.75</w:t>
            </w:r>
          </w:p>
        </w:tc>
        <w:tc>
          <w:tcPr>
            <w:tcW w:w="1276" w:type="dxa"/>
            <w:vAlign w:val="center"/>
          </w:tcPr>
          <w:p w14:paraId="355C0F6C" w14:textId="77777777" w:rsidR="00EA2DAC" w:rsidRPr="00702882" w:rsidRDefault="00EA2DAC" w:rsidP="00EA2DAC">
            <w:pPr>
              <w:jc w:val="center"/>
              <w:rPr>
                <w:sz w:val="21"/>
                <w:szCs w:val="21"/>
              </w:rPr>
            </w:pPr>
            <w:r w:rsidRPr="00702882">
              <w:rPr>
                <w:sz w:val="21"/>
                <w:szCs w:val="21"/>
              </w:rPr>
              <w:t>1.75</w:t>
            </w:r>
          </w:p>
        </w:tc>
      </w:tr>
      <w:tr w:rsidR="005F33FF" w:rsidRPr="00702882" w14:paraId="5767E7DD" w14:textId="77777777" w:rsidTr="008E617F">
        <w:tblPrEx>
          <w:jc w:val="left"/>
        </w:tblPrEx>
        <w:trPr>
          <w:trHeight w:val="397"/>
        </w:trPr>
        <w:tc>
          <w:tcPr>
            <w:tcW w:w="1696" w:type="dxa"/>
            <w:vMerge/>
            <w:vAlign w:val="center"/>
          </w:tcPr>
          <w:p w14:paraId="529747B3" w14:textId="77777777" w:rsidR="00EA2DAC" w:rsidRPr="00702882" w:rsidRDefault="00EA2DAC" w:rsidP="00EA2DAC">
            <w:pPr>
              <w:rPr>
                <w:b/>
                <w:bCs/>
                <w:sz w:val="21"/>
                <w:szCs w:val="21"/>
              </w:rPr>
            </w:pPr>
          </w:p>
        </w:tc>
        <w:tc>
          <w:tcPr>
            <w:tcW w:w="3544" w:type="dxa"/>
            <w:vAlign w:val="center"/>
          </w:tcPr>
          <w:p w14:paraId="10A69039" w14:textId="77777777" w:rsidR="00EA2DAC" w:rsidRPr="00702882" w:rsidRDefault="00EA2DAC" w:rsidP="00EA2DAC">
            <w:pPr>
              <w:jc w:val="both"/>
              <w:rPr>
                <w:sz w:val="21"/>
                <w:szCs w:val="21"/>
              </w:rPr>
            </w:pPr>
            <w:r w:rsidRPr="00702882">
              <w:rPr>
                <w:sz w:val="21"/>
                <w:szCs w:val="21"/>
              </w:rPr>
              <w:t>4. Repay money spent within a 1 year</w:t>
            </w:r>
          </w:p>
        </w:tc>
        <w:tc>
          <w:tcPr>
            <w:tcW w:w="1275" w:type="dxa"/>
            <w:vAlign w:val="center"/>
          </w:tcPr>
          <w:p w14:paraId="60F7874A" w14:textId="77777777" w:rsidR="00EA2DAC" w:rsidRPr="00702882" w:rsidRDefault="00EA2DAC" w:rsidP="00EA2DAC">
            <w:pPr>
              <w:jc w:val="center"/>
              <w:rPr>
                <w:sz w:val="21"/>
                <w:szCs w:val="21"/>
              </w:rPr>
            </w:pPr>
            <w:r w:rsidRPr="00702882">
              <w:rPr>
                <w:sz w:val="21"/>
                <w:szCs w:val="21"/>
              </w:rPr>
              <w:t>1</w:t>
            </w:r>
          </w:p>
        </w:tc>
        <w:tc>
          <w:tcPr>
            <w:tcW w:w="1276" w:type="dxa"/>
            <w:vAlign w:val="center"/>
          </w:tcPr>
          <w:p w14:paraId="130DFEA6" w14:textId="77777777" w:rsidR="00EA2DAC" w:rsidRPr="00702882" w:rsidRDefault="00EA2DAC" w:rsidP="00EA2DAC">
            <w:pPr>
              <w:jc w:val="center"/>
              <w:rPr>
                <w:sz w:val="21"/>
                <w:szCs w:val="21"/>
              </w:rPr>
            </w:pPr>
            <w:r w:rsidRPr="00702882">
              <w:rPr>
                <w:sz w:val="21"/>
                <w:szCs w:val="21"/>
              </w:rPr>
              <w:t>1</w:t>
            </w:r>
          </w:p>
        </w:tc>
        <w:tc>
          <w:tcPr>
            <w:tcW w:w="1276" w:type="dxa"/>
            <w:vAlign w:val="center"/>
          </w:tcPr>
          <w:p w14:paraId="1AEED4D6" w14:textId="77777777" w:rsidR="00EA2DAC" w:rsidRPr="00702882" w:rsidRDefault="00EA2DAC" w:rsidP="00EA2DAC">
            <w:pPr>
              <w:jc w:val="center"/>
              <w:rPr>
                <w:sz w:val="21"/>
                <w:szCs w:val="21"/>
              </w:rPr>
            </w:pPr>
            <w:r w:rsidRPr="00702882">
              <w:rPr>
                <w:sz w:val="21"/>
                <w:szCs w:val="21"/>
              </w:rPr>
              <w:t>2</w:t>
            </w:r>
          </w:p>
        </w:tc>
      </w:tr>
      <w:tr w:rsidR="005F33FF" w:rsidRPr="00702882" w14:paraId="7D270F1F" w14:textId="77777777" w:rsidTr="008E617F">
        <w:tblPrEx>
          <w:jc w:val="left"/>
        </w:tblPrEx>
        <w:trPr>
          <w:trHeight w:val="397"/>
        </w:trPr>
        <w:tc>
          <w:tcPr>
            <w:tcW w:w="9067" w:type="dxa"/>
            <w:gridSpan w:val="5"/>
            <w:shd w:val="clear" w:color="auto" w:fill="D5DCE4" w:themeFill="text2" w:themeFillTint="33"/>
            <w:vAlign w:val="center"/>
          </w:tcPr>
          <w:p w14:paraId="4836E61F" w14:textId="77777777" w:rsidR="00EA2DAC" w:rsidRPr="00702882" w:rsidRDefault="00EA2DAC" w:rsidP="00EA2DAC">
            <w:pPr>
              <w:rPr>
                <w:rFonts w:eastAsiaTheme="minorEastAsia"/>
                <w:sz w:val="21"/>
                <w:szCs w:val="21"/>
              </w:rPr>
            </w:pPr>
            <w:r w:rsidRPr="00702882">
              <w:rPr>
                <w:rFonts w:eastAsiaTheme="minorEastAsia"/>
                <w:sz w:val="21"/>
                <w:szCs w:val="21"/>
              </w:rPr>
              <w:t>NUMBER</w:t>
            </w:r>
          </w:p>
        </w:tc>
      </w:tr>
      <w:tr w:rsidR="005F33FF" w:rsidRPr="00702882" w14:paraId="279B8B53" w14:textId="77777777" w:rsidTr="008E617F">
        <w:tblPrEx>
          <w:jc w:val="left"/>
        </w:tblPrEx>
        <w:trPr>
          <w:trHeight w:val="397"/>
        </w:trPr>
        <w:tc>
          <w:tcPr>
            <w:tcW w:w="1696" w:type="dxa"/>
            <w:tcBorders>
              <w:top w:val="single" w:sz="4" w:space="0" w:color="auto"/>
              <w:bottom w:val="single" w:sz="8" w:space="0" w:color="auto"/>
            </w:tcBorders>
            <w:vAlign w:val="center"/>
          </w:tcPr>
          <w:p w14:paraId="5E7C0CA0" w14:textId="77777777" w:rsidR="00EA2DAC" w:rsidRPr="00702882" w:rsidRDefault="00EA2DAC" w:rsidP="00EA2DAC">
            <w:pPr>
              <w:rPr>
                <w:b/>
                <w:bCs/>
                <w:sz w:val="21"/>
                <w:szCs w:val="21"/>
              </w:rPr>
            </w:pPr>
            <w:r w:rsidRPr="00702882">
              <w:rPr>
                <w:b/>
                <w:bCs/>
                <w:sz w:val="21"/>
                <w:szCs w:val="21"/>
              </w:rPr>
              <w:t>Number of BSFs</w:t>
            </w:r>
          </w:p>
        </w:tc>
        <w:tc>
          <w:tcPr>
            <w:tcW w:w="3544" w:type="dxa"/>
            <w:tcBorders>
              <w:top w:val="single" w:sz="4" w:space="0" w:color="auto"/>
              <w:bottom w:val="single" w:sz="8" w:space="0" w:color="auto"/>
            </w:tcBorders>
            <w:vAlign w:val="center"/>
          </w:tcPr>
          <w:p w14:paraId="57FD3369" w14:textId="77777777" w:rsidR="00EA2DAC" w:rsidRPr="00702882" w:rsidRDefault="00EA2DAC" w:rsidP="00EA2DAC">
            <w:pPr>
              <w:jc w:val="both"/>
              <w:rPr>
                <w:sz w:val="21"/>
                <w:szCs w:val="21"/>
              </w:rPr>
            </w:pPr>
            <w:r w:rsidRPr="00702882">
              <w:rPr>
                <w:sz w:val="21"/>
                <w:szCs w:val="21"/>
              </w:rPr>
              <w:t>The number of BSFs for general funds</w:t>
            </w:r>
          </w:p>
        </w:tc>
        <w:tc>
          <w:tcPr>
            <w:tcW w:w="1275" w:type="dxa"/>
            <w:tcBorders>
              <w:top w:val="single" w:sz="4" w:space="0" w:color="auto"/>
              <w:bottom w:val="single" w:sz="8" w:space="0" w:color="auto"/>
            </w:tcBorders>
            <w:vAlign w:val="center"/>
          </w:tcPr>
          <w:p w14:paraId="27AA2275" w14:textId="77777777" w:rsidR="00EA2DAC" w:rsidRPr="00702882" w:rsidRDefault="00EA2DAC" w:rsidP="00EA2DAC">
            <w:pPr>
              <w:jc w:val="center"/>
              <w:rPr>
                <w:sz w:val="21"/>
                <w:szCs w:val="21"/>
              </w:rPr>
            </w:pPr>
            <w:r w:rsidRPr="00702882">
              <w:rPr>
                <w:sz w:val="21"/>
                <w:szCs w:val="21"/>
              </w:rPr>
              <w:t>-</w:t>
            </w:r>
          </w:p>
        </w:tc>
        <w:tc>
          <w:tcPr>
            <w:tcW w:w="1276" w:type="dxa"/>
            <w:tcBorders>
              <w:top w:val="single" w:sz="4" w:space="0" w:color="auto"/>
              <w:bottom w:val="single" w:sz="8" w:space="0" w:color="auto"/>
            </w:tcBorders>
            <w:vAlign w:val="center"/>
          </w:tcPr>
          <w:p w14:paraId="44F897C7" w14:textId="77777777" w:rsidR="00EA2DAC" w:rsidRPr="00702882" w:rsidRDefault="00EA2DAC" w:rsidP="00EA2DAC">
            <w:pPr>
              <w:jc w:val="center"/>
              <w:rPr>
                <w:sz w:val="21"/>
                <w:szCs w:val="21"/>
              </w:rPr>
            </w:pPr>
            <w:r w:rsidRPr="00702882">
              <w:rPr>
                <w:sz w:val="21"/>
                <w:szCs w:val="21"/>
              </w:rPr>
              <w:t>-</w:t>
            </w:r>
          </w:p>
        </w:tc>
        <w:tc>
          <w:tcPr>
            <w:tcW w:w="1276" w:type="dxa"/>
            <w:tcBorders>
              <w:top w:val="single" w:sz="4" w:space="0" w:color="auto"/>
              <w:bottom w:val="single" w:sz="8" w:space="0" w:color="auto"/>
            </w:tcBorders>
            <w:vAlign w:val="center"/>
          </w:tcPr>
          <w:p w14:paraId="0FE38CC1" w14:textId="77777777" w:rsidR="00EA2DAC" w:rsidRPr="00702882" w:rsidRDefault="00EA2DAC" w:rsidP="00EA2DAC">
            <w:pPr>
              <w:jc w:val="center"/>
              <w:rPr>
                <w:sz w:val="21"/>
                <w:szCs w:val="21"/>
              </w:rPr>
            </w:pPr>
            <w:r w:rsidRPr="00702882">
              <w:rPr>
                <w:sz w:val="21"/>
                <w:szCs w:val="21"/>
              </w:rPr>
              <w:t>-</w:t>
            </w:r>
          </w:p>
        </w:tc>
      </w:tr>
    </w:tbl>
    <w:p w14:paraId="153CC65F" w14:textId="77777777" w:rsidR="00AF6702" w:rsidRPr="00702882" w:rsidRDefault="00AF6702" w:rsidP="008E617F">
      <w:pPr>
        <w:spacing w:before="240"/>
        <w:ind w:right="-166"/>
        <w:contextualSpacing/>
        <w:rPr>
          <w:rFonts w:eastAsiaTheme="minorEastAsia"/>
          <w:sz w:val="20"/>
          <w:szCs w:val="20"/>
        </w:rPr>
      </w:pPr>
      <w:r w:rsidRPr="00702882">
        <w:rPr>
          <w:sz w:val="20"/>
          <w:szCs w:val="20"/>
        </w:rPr>
        <w:t xml:space="preserve">Note: 0 – 0.5 represents “low,” 1 – 1.5 represents “moderate,” and 1.75 – 2 represents “high” stringency. </w:t>
      </w:r>
    </w:p>
    <w:p w14:paraId="5D13D67D" w14:textId="0C351E2C" w:rsidR="00280A67" w:rsidRPr="00702882" w:rsidRDefault="00AF6702" w:rsidP="008E617F">
      <w:pPr>
        <w:spacing w:before="240"/>
        <w:ind w:right="-166"/>
        <w:contextualSpacing/>
        <w:rPr>
          <w:rFonts w:eastAsiaTheme="minorEastAsia"/>
          <w:sz w:val="20"/>
          <w:szCs w:val="20"/>
        </w:rPr>
      </w:pPr>
      <w:r w:rsidRPr="00702882">
        <w:rPr>
          <w:sz w:val="20"/>
          <w:szCs w:val="20"/>
        </w:rPr>
        <w:t xml:space="preserve">Source: Author’s classification of BSF structural features from Hou (2004), Hendrick, Choi, and Kan (2019), NCSL (2018), and </w:t>
      </w:r>
      <w:r w:rsidR="00D018C3" w:rsidRPr="00702882">
        <w:rPr>
          <w:rFonts w:eastAsiaTheme="minorEastAsia"/>
          <w:sz w:val="20"/>
          <w:szCs w:val="20"/>
        </w:rPr>
        <w:t xml:space="preserve">The </w:t>
      </w:r>
      <w:r w:rsidR="00FA202D" w:rsidRPr="00702882">
        <w:rPr>
          <w:sz w:val="20"/>
          <w:szCs w:val="20"/>
        </w:rPr>
        <w:t>Pew Charitable Trusts</w:t>
      </w:r>
      <w:r w:rsidRPr="00702882">
        <w:rPr>
          <w:sz w:val="20"/>
          <w:szCs w:val="20"/>
        </w:rPr>
        <w:t xml:space="preserve"> (2014, 2017).</w:t>
      </w:r>
    </w:p>
    <w:p w14:paraId="60B5C3F5" w14:textId="77777777" w:rsidR="008E617F" w:rsidRPr="00702882" w:rsidRDefault="008E617F" w:rsidP="008E617F">
      <w:pPr>
        <w:spacing w:before="240"/>
        <w:ind w:right="-166"/>
        <w:contextualSpacing/>
        <w:rPr>
          <w:rFonts w:eastAsiaTheme="minorEastAsia"/>
          <w:color w:val="7030A0"/>
          <w:sz w:val="20"/>
          <w:szCs w:val="20"/>
        </w:rPr>
      </w:pPr>
    </w:p>
    <w:p w14:paraId="3AD36822" w14:textId="77777777" w:rsidR="00AF6702" w:rsidRPr="00702882" w:rsidRDefault="00AF6702" w:rsidP="00C66AC4">
      <w:pPr>
        <w:spacing w:line="480" w:lineRule="auto"/>
        <w:rPr>
          <w:b/>
          <w:bCs/>
        </w:rPr>
      </w:pPr>
      <w:r w:rsidRPr="00702882">
        <w:rPr>
          <w:b/>
          <w:bCs/>
        </w:rPr>
        <w:lastRenderedPageBreak/>
        <w:t xml:space="preserve">2.4 </w:t>
      </w:r>
      <w:bookmarkStart w:id="17" w:name="OperationalDefinitionsofBSFRules"/>
      <w:r w:rsidRPr="00702882">
        <w:rPr>
          <w:b/>
          <w:bCs/>
        </w:rPr>
        <w:t>Operational Definitions of BSF Rules</w:t>
      </w:r>
      <w:bookmarkEnd w:id="17"/>
    </w:p>
    <w:p w14:paraId="5B4EA177" w14:textId="67628F61" w:rsidR="00AF6702" w:rsidRPr="00702882" w:rsidRDefault="00AF6702" w:rsidP="00C66AC4">
      <w:pPr>
        <w:spacing w:line="480" w:lineRule="auto"/>
        <w:ind w:firstLine="720"/>
        <w:rPr>
          <w:rFonts w:eastAsiaTheme="minorEastAsia"/>
        </w:rPr>
      </w:pPr>
      <w:r w:rsidRPr="00702882">
        <w:t xml:space="preserve">In this section, I will define </w:t>
      </w:r>
      <w:r w:rsidRPr="00702882">
        <w:rPr>
          <w:rFonts w:eastAsiaTheme="minorEastAsia"/>
        </w:rPr>
        <w:t>fourteen</w:t>
      </w:r>
      <w:r w:rsidRPr="00702882">
        <w:t xml:space="preserve"> distinct structural features of BSF functioning and categorize them based on the previously mentioned concepts of stringency, encompassing i) </w:t>
      </w:r>
      <w:r w:rsidR="007831DA" w:rsidRPr="00702882">
        <w:rPr>
          <w:rFonts w:eastAsiaTheme="minorEastAsia"/>
        </w:rPr>
        <w:t xml:space="preserve">degree of </w:t>
      </w:r>
      <w:r w:rsidRPr="00702882">
        <w:t xml:space="preserve">precision and ii) degree of obligation. It is crucial to note that among the </w:t>
      </w:r>
      <w:r w:rsidRPr="00702882">
        <w:rPr>
          <w:rFonts w:eastAsiaTheme="minorEastAsia"/>
        </w:rPr>
        <w:t>fourteen</w:t>
      </w:r>
      <w:r w:rsidRPr="00702882">
        <w:t xml:space="preserve"> structural features of BSF, some are considered stringent, while others do not meet the criteria for stringency. Chapter 5 will elaborate on a set of hypotheses grounded in the concepts of stringency, making this section primarily dedicated to elucidating the structural features of BSF.</w:t>
      </w:r>
    </w:p>
    <w:p w14:paraId="72952626" w14:textId="77777777" w:rsidR="00AF6702" w:rsidRPr="00702882" w:rsidRDefault="00AF6702" w:rsidP="00C66AC4">
      <w:pPr>
        <w:spacing w:line="480" w:lineRule="auto"/>
        <w:ind w:firstLine="720"/>
        <w:rPr>
          <w:rFonts w:eastAsiaTheme="minorEastAsia"/>
        </w:rPr>
      </w:pPr>
      <w:r w:rsidRPr="00702882">
        <w:t>Table 3 provides a summary of the BSF structural features, presenting operational definitions and hypothesized stringency for each variable. Within Table 3, the BSF structural features are organized into four groups: first, deposit requirements pertain to guidelines on how to save funds; second, withdrawal requirements outline stipulations on how to use funds; third, withdrawal restrictions specify requirements designed to limit the imprudent use of BSF; and fourth, the number of BSF indicates whether a state has more than one BSF for general funds.</w:t>
      </w:r>
    </w:p>
    <w:p w14:paraId="5EE56A6D" w14:textId="10A46B25" w:rsidR="00AF6702" w:rsidRPr="00702882" w:rsidRDefault="00AF6702" w:rsidP="00C66AC4">
      <w:pPr>
        <w:spacing w:line="480" w:lineRule="auto"/>
        <w:ind w:firstLine="720"/>
        <w:rPr>
          <w:rFonts w:eastAsiaTheme="minorEastAsia"/>
        </w:rPr>
      </w:pPr>
      <w:r w:rsidRPr="00702882">
        <w:t>The deposit and withdrawal requirements</w:t>
      </w:r>
      <w:r w:rsidR="00E05824" w:rsidRPr="00702882">
        <w:rPr>
          <w:rFonts w:eastAsiaTheme="minorEastAsia"/>
        </w:rPr>
        <w:t xml:space="preserve"> are</w:t>
      </w:r>
      <w:r w:rsidRPr="00702882">
        <w:t xml:space="preserve"> two pivotal dimensions of BSF, profoundly influencing its size and effectiveness as a countercyclical tool </w:t>
      </w:r>
      <w:sdt>
        <w:sdtPr>
          <w:rPr>
            <w:color w:val="000000"/>
          </w:rPr>
          <w:tag w:val="MENDELEY_CITATION_v3_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"/>
          <w:id w:val="1017888694"/>
          <w:placeholder>
            <w:docPart w:val="42532A2A200E42DAAFFEA24F38C1AC46"/>
          </w:placeholder>
        </w:sdtPr>
        <w:sdtContent>
          <w:r w:rsidR="00F520AD" w:rsidRPr="00F520AD">
            <w:rPr>
              <w:color w:val="000000"/>
            </w:rPr>
            <w:t>(National Conference of State Legislatures, 2018; The Pew Charitable Trusts, 2014; The Pew Charitable Trusts, 2017)</w:t>
          </w:r>
        </w:sdtContent>
      </w:sdt>
      <w:r w:rsidRPr="00702882">
        <w:rPr>
          <w:rFonts w:eastAsiaTheme="minorEastAsia"/>
        </w:rPr>
        <w:t xml:space="preserve">. </w:t>
      </w:r>
      <w:r w:rsidRPr="00702882">
        <w:t xml:space="preserve">These requirements exert control over the “flow of money in and out of the fund” </w:t>
      </w:r>
      <w:sdt>
        <w:sdtPr>
          <w:rPr>
            <w:color w:val="000000"/>
          </w:rPr>
          <w:tag w:val="MENDELEY_CITATION_v3_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"/>
          <w:id w:val="-668946361"/>
          <w:placeholder>
            <w:docPart w:val="FB5711102EEE46BFB2D9DE356E17CDDE"/>
          </w:placeholder>
        </w:sdtPr>
        <w:sdtContent>
          <w:r w:rsidR="00F520AD" w:rsidRPr="00F520AD">
            <w:rPr>
              <w:color w:val="000000"/>
            </w:rPr>
            <w:t>(Rodríguez-Tejedo, 2012)</w:t>
          </w:r>
        </w:sdtContent>
      </w:sdt>
      <w:r w:rsidRPr="00702882">
        <w:t xml:space="preserve">. </w:t>
      </w:r>
      <w:r w:rsidRPr="00702882">
        <w:rPr>
          <w:rFonts w:eastAsiaTheme="minorEastAsia"/>
        </w:rPr>
        <w:t>Dimension 1 concerns the source of funding. Dimensions 2 to 6 encompass requirements that delineate who primarily decide the BSF deposit and how funds should be saved. Dimension 7 represents a cap on the balance levels, varying from 2 percent to</w:t>
      </w:r>
      <w:r w:rsidR="00E05824" w:rsidRPr="00702882">
        <w:rPr>
          <w:rFonts w:eastAsiaTheme="minorEastAsia"/>
        </w:rPr>
        <w:t xml:space="preserve"> </w:t>
      </w:r>
      <w:r w:rsidRPr="00702882">
        <w:rPr>
          <w:rFonts w:eastAsiaTheme="minorEastAsia"/>
        </w:rPr>
        <w:t>100 percent of the total general fund receipts or expenditures.</w:t>
      </w:r>
    </w:p>
    <w:p w14:paraId="2230C3B9" w14:textId="77777777" w:rsidR="00AF6702" w:rsidRPr="00702882" w:rsidRDefault="00AF6702" w:rsidP="00C66AC4">
      <w:pPr>
        <w:spacing w:line="480" w:lineRule="auto"/>
        <w:ind w:firstLine="720"/>
        <w:rPr>
          <w:rFonts w:eastAsiaTheme="minorEastAsia"/>
        </w:rPr>
      </w:pPr>
      <w:r w:rsidRPr="00702882">
        <w:rPr>
          <w:rFonts w:eastAsiaTheme="minorEastAsia"/>
        </w:rPr>
        <w:lastRenderedPageBreak/>
        <w:t xml:space="preserve">Dimensions 8 to 11 cover withdrawal requirements, indicating who predominantly decides withdrawal from BSF and how funds should be utilized. Dimensions 12 and 13 denote restrictions pertaining to withdrawal. Dimension 12, </w:t>
      </w:r>
      <w:r w:rsidRPr="00702882">
        <w:t xml:space="preserve">withdrawal limits, signifies a state that restricts the amount of withdrawal. </w:t>
      </w:r>
      <w:r w:rsidRPr="00702882">
        <w:rPr>
          <w:rFonts w:eastAsiaTheme="minorEastAsia"/>
        </w:rPr>
        <w:t>Dimension 13,</w:t>
      </w:r>
      <w:r w:rsidRPr="00702882">
        <w:t xml:space="preserve"> repayment provisions, assesses whether a withdrawal must be repaid. Repayment within a specific period makes it challenging for states to utilize BSF.</w:t>
      </w:r>
      <w:r w:rsidRPr="00702882">
        <w:rPr>
          <w:rFonts w:eastAsiaTheme="minorEastAsia"/>
        </w:rPr>
        <w:t xml:space="preserve"> </w:t>
      </w:r>
      <w:r w:rsidRPr="00702882">
        <w:t>Dimension 1</w:t>
      </w:r>
      <w:r w:rsidRPr="00702882">
        <w:rPr>
          <w:rFonts w:eastAsiaTheme="minorEastAsia"/>
        </w:rPr>
        <w:t>4</w:t>
      </w:r>
      <w:r w:rsidRPr="00702882">
        <w:t xml:space="preserve"> represents the number of BSF.</w:t>
      </w:r>
    </w:p>
    <w:p w14:paraId="43D147CE" w14:textId="6E00AF19" w:rsidR="00AF6702" w:rsidRPr="00702882" w:rsidRDefault="00AF6702" w:rsidP="00C66AC4">
      <w:pPr>
        <w:shd w:val="clear" w:color="auto" w:fill="FFFFFF"/>
        <w:spacing w:line="480" w:lineRule="auto"/>
        <w:ind w:firstLine="720"/>
        <w:rPr>
          <w:rFonts w:eastAsiaTheme="minorEastAsia"/>
        </w:rPr>
      </w:pPr>
      <w:r w:rsidRPr="00702882">
        <w:t>The column of</w:t>
      </w:r>
      <w:r w:rsidRPr="00702882">
        <w:rPr>
          <w:rFonts w:eastAsiaTheme="minorEastAsia"/>
        </w:rPr>
        <w:t xml:space="preserve"> </w:t>
      </w:r>
      <w:r w:rsidR="00E05824" w:rsidRPr="00702882">
        <w:rPr>
          <w:rFonts w:eastAsiaTheme="minorEastAsia"/>
          <w:b/>
          <w:bCs/>
          <w:i/>
          <w:iCs/>
        </w:rPr>
        <w:t>Degree of</w:t>
      </w:r>
      <w:r w:rsidR="00E05824" w:rsidRPr="00702882">
        <w:rPr>
          <w:rFonts w:eastAsiaTheme="minorEastAsia"/>
        </w:rPr>
        <w:t xml:space="preserve"> </w:t>
      </w:r>
      <w:r w:rsidRPr="00702882">
        <w:rPr>
          <w:b/>
          <w:bCs/>
          <w:i/>
          <w:iCs/>
        </w:rPr>
        <w:t>Precision</w:t>
      </w:r>
      <w:r w:rsidRPr="00702882">
        <w:rPr>
          <w:i/>
          <w:iCs/>
        </w:rPr>
        <w:t xml:space="preserve"> </w:t>
      </w:r>
      <w:r w:rsidRPr="00702882">
        <w:t>indicates requirements that specify the</w:t>
      </w:r>
      <w:r w:rsidRPr="00702882">
        <w:rPr>
          <w:rFonts w:eastAsiaTheme="minorEastAsia"/>
        </w:rPr>
        <w:t xml:space="preserve"> </w:t>
      </w:r>
      <w:r w:rsidRPr="00702882">
        <w:t xml:space="preserve">conditions for BSF deposit and withdrawal from BSF, ranging from 0 to 1. 1 represents that the </w:t>
      </w:r>
      <w:r w:rsidRPr="00702882">
        <w:rPr>
          <w:rFonts w:eastAsia="바탕"/>
        </w:rPr>
        <w:t>deposit or withdrawal condition of BSF rule</w:t>
      </w:r>
      <w:r w:rsidRPr="00702882">
        <w:t xml:space="preserve"> is precisely defined, while 0 indicates that the deposit or withdrawal condition of BSF rule is not well defined.</w:t>
      </w:r>
      <w:r w:rsidRPr="00702882">
        <w:rPr>
          <w:rFonts w:eastAsiaTheme="minorEastAsia"/>
        </w:rPr>
        <w:t xml:space="preserve"> </w:t>
      </w:r>
    </w:p>
    <w:p w14:paraId="766E1E61" w14:textId="77777777" w:rsidR="00C01AF6" w:rsidRPr="00702882" w:rsidRDefault="00AF6702" w:rsidP="00C66AC4">
      <w:pPr>
        <w:shd w:val="clear" w:color="auto" w:fill="FFFFFF"/>
        <w:spacing w:line="480" w:lineRule="auto"/>
        <w:ind w:firstLine="720"/>
        <w:rPr>
          <w:rFonts w:eastAsiaTheme="minorEastAsia"/>
        </w:rPr>
      </w:pPr>
      <w:r w:rsidRPr="00702882">
        <w:t xml:space="preserve">The column of </w:t>
      </w:r>
      <w:r w:rsidRPr="00702882">
        <w:rPr>
          <w:b/>
          <w:bCs/>
          <w:i/>
          <w:iCs/>
        </w:rPr>
        <w:t>Degree of Obligation</w:t>
      </w:r>
      <w:r w:rsidRPr="00702882">
        <w:t xml:space="preserve"> shows the degree or intensity of obligation, ranging from 0 to 1.</w:t>
      </w:r>
      <w:r w:rsidRPr="00702882">
        <w:rPr>
          <w:rFonts w:eastAsiaTheme="minorEastAsia"/>
        </w:rPr>
        <w:t xml:space="preserve"> For example,</w:t>
      </w:r>
      <w:r w:rsidRPr="00702882">
        <w:t xml:space="preserve"> "deposit by surplus" is a numerical variable, with larger required amounts </w:t>
      </w:r>
      <w:r w:rsidRPr="00702882">
        <w:rPr>
          <w:rFonts w:eastAsiaTheme="minorEastAsia"/>
        </w:rPr>
        <w:t xml:space="preserve">of revenue surplus </w:t>
      </w:r>
      <w:r w:rsidRPr="00702882">
        <w:t>to be deposited indicating a h</w:t>
      </w:r>
      <w:r w:rsidRPr="00702882">
        <w:rPr>
          <w:rFonts w:eastAsiaTheme="minorEastAsia"/>
        </w:rPr>
        <w:t>igher</w:t>
      </w:r>
      <w:r w:rsidRPr="00702882">
        <w:t xml:space="preserve"> level of saving obligation. This in turn leads to an escalation in stringency.</w:t>
      </w:r>
      <w:r w:rsidRPr="00702882">
        <w:rPr>
          <w:rFonts w:eastAsiaTheme="minorEastAsia"/>
        </w:rPr>
        <w:t xml:space="preserve"> Similarly, the cap on BSF level is also a numerical variable, where a higher cap indicates a greater level of saving obligation.</w:t>
      </w:r>
    </w:p>
    <w:p w14:paraId="787824EF" w14:textId="342DD598" w:rsidR="00C01AF6" w:rsidRPr="00702882" w:rsidRDefault="00AF6702" w:rsidP="00C01AF6">
      <w:pPr>
        <w:shd w:val="clear" w:color="auto" w:fill="FFFFFF"/>
        <w:spacing w:line="480" w:lineRule="auto"/>
        <w:ind w:firstLine="720"/>
        <w:rPr>
          <w:rFonts w:eastAsiaTheme="minorEastAsia"/>
        </w:rPr>
      </w:pPr>
      <w:r w:rsidRPr="00702882">
        <w:rPr>
          <w:rFonts w:eastAsiaTheme="minorEastAsia"/>
        </w:rPr>
        <w:t>The level of obligation for the "repayment provision" is categorized into four distinct levels, each associated with a specific deadline for repayment borrowed from BSF.</w:t>
      </w:r>
      <w:r w:rsidR="00C01AF6" w:rsidRPr="00702882">
        <w:rPr>
          <w:rFonts w:eastAsiaTheme="minorEastAsia"/>
        </w:rPr>
        <w:t xml:space="preserve"> </w:t>
      </w:r>
      <w:r w:rsidRPr="00702882">
        <w:rPr>
          <w:rFonts w:eastAsiaTheme="minorEastAsia"/>
        </w:rPr>
        <w:t xml:space="preserve">The degree of obligation for </w:t>
      </w:r>
      <w:r w:rsidRPr="00702882">
        <w:t>"</w:t>
      </w:r>
      <w:r w:rsidRPr="00702882">
        <w:rPr>
          <w:rFonts w:eastAsiaTheme="minorEastAsia"/>
        </w:rPr>
        <w:t>withdrawal limit</w:t>
      </w:r>
      <w:r w:rsidRPr="00702882">
        <w:t>"</w:t>
      </w:r>
      <w:r w:rsidRPr="00702882">
        <w:rPr>
          <w:rFonts w:eastAsiaTheme="minorEastAsia"/>
        </w:rPr>
        <w:t xml:space="preserve"> indicates the extent of restrictions or prohibitions on the amount of withdrawals from BSF.</w:t>
      </w:r>
    </w:p>
    <w:p w14:paraId="2FCCA444" w14:textId="50982960" w:rsidR="00AF6702" w:rsidRPr="00702882" w:rsidRDefault="00AF6702" w:rsidP="00C01AF6">
      <w:pPr>
        <w:shd w:val="clear" w:color="auto" w:fill="FFFFFF"/>
        <w:spacing w:line="480" w:lineRule="auto"/>
        <w:ind w:firstLine="720"/>
        <w:rPr>
          <w:rFonts w:eastAsiaTheme="minorEastAsia"/>
        </w:rPr>
      </w:pPr>
      <w:r w:rsidRPr="00702882">
        <w:rPr>
          <w:rFonts w:eastAsiaTheme="minorEastAsia"/>
        </w:rPr>
        <w:t>The Level of Stringency is determined by the sum of the degree of precision and the degree of obligation (or restriction), which ranges from 0 to 2. A score of 0 to 0.5 represents "low" stringency, 1 to 1.5 represents "moderate" stringency, and 1.75 to 2 represents "high" stringency.</w:t>
      </w:r>
    </w:p>
    <w:p w14:paraId="58C6812B" w14:textId="77777777" w:rsidR="00AF6702" w:rsidRPr="00702882" w:rsidRDefault="00AF6702" w:rsidP="00C66AC4">
      <w:pPr>
        <w:spacing w:line="480" w:lineRule="auto"/>
        <w:rPr>
          <w:b/>
          <w:bCs/>
          <w:color w:val="7030A0"/>
        </w:rPr>
      </w:pPr>
    </w:p>
    <w:p w14:paraId="52563EDD" w14:textId="77777777" w:rsidR="00AF6702" w:rsidRPr="00702882" w:rsidRDefault="00AF6702" w:rsidP="00C66AC4">
      <w:pPr>
        <w:spacing w:line="480" w:lineRule="auto"/>
        <w:ind w:firstLine="360"/>
        <w:rPr>
          <w:b/>
          <w:bCs/>
          <w:i/>
          <w:iCs/>
        </w:rPr>
      </w:pPr>
      <w:r w:rsidRPr="00702882">
        <w:rPr>
          <w:b/>
          <w:bCs/>
          <w:i/>
          <w:iCs/>
        </w:rPr>
        <w:lastRenderedPageBreak/>
        <w:t>2.4.1 Funding Source</w:t>
      </w:r>
    </w:p>
    <w:p w14:paraId="51B681DF" w14:textId="71BEA44B" w:rsidR="00AF6702" w:rsidRPr="00702882" w:rsidRDefault="00AF6702" w:rsidP="00C66AC4">
      <w:pPr>
        <w:spacing w:line="480" w:lineRule="auto"/>
        <w:ind w:firstLine="720"/>
        <w:rPr>
          <w:rFonts w:eastAsiaTheme="minorEastAsia"/>
        </w:rPr>
      </w:pPr>
      <w:r w:rsidRPr="00702882">
        <w:t xml:space="preserve">General funds are primary sources to fund BSF in most states, while some states have adopted special revenue as a main source of BSF (Hou, 2004). For example, Alaska and Wyoming use </w:t>
      </w:r>
      <w:r w:rsidRPr="00702882">
        <w:rPr>
          <w:i/>
          <w:iCs/>
        </w:rPr>
        <w:t>severance tax revenue</w:t>
      </w:r>
      <w:r w:rsidRPr="00702882">
        <w:t xml:space="preserve"> generated by natural resources to fund their BSFs (</w:t>
      </w:r>
      <w:bookmarkStart w:id="18" w:name="_Hlk168720657"/>
      <w:r w:rsidR="00C22B5F" w:rsidRPr="00702882">
        <w:t>Alaska Const. art. IX, § 17</w:t>
      </w:r>
      <w:bookmarkEnd w:id="18"/>
      <w:r w:rsidR="00C22B5F" w:rsidRPr="00702882">
        <w:rPr>
          <w:rFonts w:eastAsiaTheme="minorEastAsia"/>
        </w:rPr>
        <w:t xml:space="preserve">; </w:t>
      </w:r>
      <w:r w:rsidRPr="00702882">
        <w:t>Wyo. Stat. § 39-14-801).</w:t>
      </w:r>
      <w:r w:rsidR="007B7E38" w:rsidRPr="00702882">
        <w:t xml:space="preserve"> In Hawaii, contributions to the Emergency and Budget Reserve (EBR) fund include appropriations approved by the legislature as well as a segment of the tobacco settlement funds, as outlined in Hawaii Revised Statutes, Chapter 328L</w:t>
      </w:r>
      <w:r w:rsidRPr="00702882">
        <w:t>.</w:t>
      </w:r>
      <w:r w:rsidRPr="00702882">
        <w:rPr>
          <w:rStyle w:val="a5"/>
        </w:rPr>
        <w:footnoteReference w:id="5"/>
      </w:r>
      <w:r w:rsidRPr="00702882">
        <w:t xml:space="preserve"> Nebraska receives Federal Funds for undesignated general government purposes, federal revenue sharing, or general fiscal relief of the state (R.R.S. Neb. § 84-612).</w:t>
      </w:r>
      <w:r w:rsidR="00304F3F" w:rsidRPr="00702882">
        <w:rPr>
          <w:rFonts w:eastAsiaTheme="minorEastAsia"/>
        </w:rPr>
        <w:t xml:space="preserve"> </w:t>
      </w:r>
    </w:p>
    <w:p w14:paraId="61A11CD4" w14:textId="7999FBDD" w:rsidR="00AF6702" w:rsidRPr="00702882" w:rsidRDefault="00AF6702" w:rsidP="00C66AC4">
      <w:pPr>
        <w:spacing w:line="480" w:lineRule="auto"/>
        <w:ind w:firstLine="720"/>
      </w:pPr>
      <w:r w:rsidRPr="00702882">
        <w:rPr>
          <w:b/>
          <w:bCs/>
          <w:i/>
          <w:iCs/>
        </w:rPr>
        <w:t>Stringency</w:t>
      </w:r>
      <w:r w:rsidRPr="00702882">
        <w:t xml:space="preserve">: Special revenue as a funding source is the more specific condition for a deposit because special revenue should be used only for funding BSF unlike general funds that can be used for other purposes. Thus, it receives </w:t>
      </w:r>
      <w:r w:rsidR="002E42B3" w:rsidRPr="00702882">
        <w:rPr>
          <w:rFonts w:eastAsiaTheme="minorEastAsia"/>
        </w:rPr>
        <w:t>one</w:t>
      </w:r>
      <w:r w:rsidRPr="00702882">
        <w:t xml:space="preserve"> point for the precision. However, the special revenue of each state for funding BSF has different </w:t>
      </w:r>
      <w:r w:rsidRPr="00702882">
        <w:rPr>
          <w:i/>
          <w:iCs/>
        </w:rPr>
        <w:t>tax capacity (or revenue-generating capacity)</w:t>
      </w:r>
      <w:r w:rsidRPr="00702882">
        <w:t xml:space="preserve">, denoting the “maximum tax revenue that could be collected” in a state </w:t>
      </w:r>
      <w:sdt>
        <w:sdtPr>
          <w:tag w:val="MENDELEY_CITATION_v3_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"/>
          <w:id w:val="89985821"/>
          <w:placeholder>
            <w:docPart w:val="3A2D72A584534AA8996F7F3D2354C85D"/>
          </w:placeholder>
        </w:sdtPr>
        <w:sdtContent>
          <w:r w:rsidR="00F520AD">
            <w:t>(Castro &amp; Camarillo, 2014, pp. 51-52)</w:t>
          </w:r>
        </w:sdtContent>
      </w:sdt>
      <w:r w:rsidRPr="00702882">
        <w:t>. For example, severance tax revenue is a main source of revenue in a few states: in 2019, severance tax revenue accounted for 7 percent of Alaska’s state and local general revenue and 8 percent of Wyoming’s state and local general revenue, respectively.</w:t>
      </w:r>
      <w:r w:rsidRPr="00702882">
        <w:rPr>
          <w:rStyle w:val="a5"/>
        </w:rPr>
        <w:footnoteReference w:id="6"/>
      </w:r>
      <w:r w:rsidRPr="00702882">
        <w:t xml:space="preserve"> 7 – 8 percent of general fund revenue is much greater than 0.4 percent of general fund revenue, the amount of revenue collected from severance taxes in most U.S. states in 2019. </w:t>
      </w:r>
    </w:p>
    <w:p w14:paraId="7CDBE287" w14:textId="1125C17F" w:rsidR="00AF6702" w:rsidRPr="00702882" w:rsidRDefault="00AF6702" w:rsidP="004A4804">
      <w:pPr>
        <w:spacing w:line="480" w:lineRule="auto"/>
        <w:ind w:firstLine="720"/>
        <w:rPr>
          <w:rFonts w:eastAsiaTheme="minorEastAsia"/>
          <w:bCs/>
        </w:rPr>
      </w:pPr>
      <w:r w:rsidRPr="00702882">
        <w:lastRenderedPageBreak/>
        <w:t xml:space="preserve">Thus, the impact of special revenue on BSF balance levels depends on </w:t>
      </w:r>
      <w:r w:rsidRPr="00702882">
        <w:rPr>
          <w:i/>
          <w:iCs/>
        </w:rPr>
        <w:t>tax or revenue capacity of funding source</w:t>
      </w:r>
      <w:r w:rsidRPr="00702882">
        <w:t xml:space="preserve">. </w:t>
      </w:r>
      <w:r w:rsidR="004A4804" w:rsidRPr="00702882">
        <w:rPr>
          <w:rFonts w:eastAsiaTheme="minorEastAsia"/>
          <w:bCs/>
        </w:rPr>
        <w:t xml:space="preserve">If a BSF is funded from a source with higher revenue-generating capacity, it is deemed to have a greater savings obligation compared to a BSF that is linked to a source with lower revenue capacity. </w:t>
      </w:r>
      <w:r w:rsidRPr="00702882">
        <w:rPr>
          <w:bCs/>
        </w:rPr>
        <w:t>Greater amounts of special revenue deposited denote a heightened level of saving obligation, thereby leading to increased stringency.</w:t>
      </w:r>
      <w:r w:rsidRPr="00702882">
        <w:rPr>
          <w:rFonts w:eastAsiaTheme="minorEastAsia"/>
          <w:bCs/>
        </w:rPr>
        <w:t xml:space="preserve"> </w:t>
      </w:r>
      <w:r w:rsidRPr="00702882">
        <w:t xml:space="preserve">Thus, it receives </w:t>
      </w:r>
      <w:r w:rsidR="00BC4B65" w:rsidRPr="00702882">
        <w:rPr>
          <w:rFonts w:eastAsiaTheme="minorEastAsia"/>
        </w:rPr>
        <w:t>one</w:t>
      </w:r>
      <w:r w:rsidRPr="00702882">
        <w:t xml:space="preserve"> point for the </w:t>
      </w:r>
      <w:r w:rsidRPr="00702882">
        <w:rPr>
          <w:rFonts w:eastAsiaTheme="minorEastAsia"/>
        </w:rPr>
        <w:t>obligation</w:t>
      </w:r>
      <w:r w:rsidRPr="00702882">
        <w:t>.</w:t>
      </w:r>
      <w:r w:rsidRPr="00702882">
        <w:rPr>
          <w:rFonts w:eastAsiaTheme="minorEastAsia"/>
          <w:bCs/>
        </w:rPr>
        <w:t xml:space="preserve"> However,</w:t>
      </w:r>
      <w:r w:rsidRPr="00702882">
        <w:rPr>
          <w:bCs/>
        </w:rPr>
        <w:t xml:space="preserve"> windfall is not recurring revenue, and its amount is relatively small compared to tax revenue. Hence, funding source from non-tax revenue is considered to have less savings obligation or lower level of stringency than funding source derived from specific tax revenue.</w:t>
      </w:r>
    </w:p>
    <w:p w14:paraId="1A8E5C5E" w14:textId="77777777" w:rsidR="00AF6702" w:rsidRPr="00702882" w:rsidRDefault="00AF6702" w:rsidP="00C66AC4">
      <w:pPr>
        <w:spacing w:line="480" w:lineRule="auto"/>
        <w:rPr>
          <w:b/>
          <w:bCs/>
          <w:color w:val="7030A0"/>
        </w:rPr>
      </w:pPr>
    </w:p>
    <w:p w14:paraId="627A376C" w14:textId="77777777" w:rsidR="00AF6702" w:rsidRPr="00702882" w:rsidRDefault="00AF6702" w:rsidP="00C66AC4">
      <w:pPr>
        <w:spacing w:line="480" w:lineRule="auto"/>
        <w:ind w:firstLine="360"/>
        <w:rPr>
          <w:b/>
          <w:bCs/>
          <w:i/>
          <w:iCs/>
        </w:rPr>
      </w:pPr>
      <w:r w:rsidRPr="00702882">
        <w:rPr>
          <w:b/>
          <w:bCs/>
          <w:i/>
          <w:iCs/>
        </w:rPr>
        <w:t>2.4.2 Deposit/Withdrawal by Executive Decision</w:t>
      </w:r>
    </w:p>
    <w:p w14:paraId="05AD09B2" w14:textId="57B9FB6E" w:rsidR="00AF6702" w:rsidRPr="00702882" w:rsidRDefault="00AF6702" w:rsidP="00C66AC4">
      <w:pPr>
        <w:spacing w:line="480" w:lineRule="auto"/>
        <w:ind w:firstLine="720"/>
        <w:rPr>
          <w:rFonts w:eastAsiaTheme="minorEastAsia"/>
        </w:rPr>
      </w:pPr>
      <w:r w:rsidRPr="00702882">
        <w:t xml:space="preserve">Deposit by executive decision denotes that BSF deposit is mainly determined by a governor or financial officer (e.g., Treasurer, Comptroller or Commissioner) who is empowered to manage BSF without a legislative appropriation </w:t>
      </w:r>
      <w:sdt>
        <w:sdtPr>
          <w:rPr>
            <w:color w:val="000000"/>
          </w:rPr>
          <w:tag w:val="MENDELEY_CITATION_v3_eyJwcm9wZXJ0aWVzIjp7Im5vdGVJbmRleCI6MH0sImNpdGF0aW9uSUQiOiJNRU5ERUxFWV9DSVRBVElPTl8zZWQ4YjU5MC03YzAxLTRhNzAtOGVmZi05YTVlYjA5YmEwYWMiLCJpc0VkaXRlZCI6ZmFsc2UsIm1hbnVhbE92ZXJyaWRlIjp7ImlzTWFudWFsbHlPdmVycmlkZW4iOmZhbHNlLCJtYW51YWxPdmVycmlkZVRleHQiOiIiLCJjaXRlcHJvY1RleHQiOiIoSG91LCAyMDA0KSIsImlzTWFudWFsbHlPdmVycmlkZGVuIjpmYWxzZX0sImNpdGF0aW9uSXRlbXMiOlt7ImlkIjoiZWM3OTk3N2UtNGM2Mi0zZDNhLWI1NzQtYzc0ZjBkNTJiZTcwIiwiaXNUZW1wb3JhcnkiOmZhbHNl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fV19"/>
          <w:id w:val="1493303925"/>
          <w:placeholder>
            <w:docPart w:val="0D17C245741046B2B7CCEC3943DB903E"/>
          </w:placeholder>
        </w:sdtPr>
        <w:sdtContent>
          <w:r w:rsidR="00F520AD" w:rsidRPr="00F520AD">
            <w:rPr>
              <w:color w:val="000000"/>
            </w:rPr>
            <w:t>(Hou, 2004)</w:t>
          </w:r>
        </w:sdtContent>
      </w:sdt>
      <w:r w:rsidRPr="00702882">
        <w:t>.</w:t>
      </w:r>
      <w:r w:rsidRPr="00702882">
        <w:rPr>
          <w:rFonts w:eastAsiaTheme="minorEastAsia"/>
        </w:rPr>
        <w:t xml:space="preserve"> In the early days of the adoption of BSF, some governments permitted the use of the governor's discretion for depositing and withdrawing money from the BSFs. In Florida, as an example, the Working Capital Fund can hold up to 10% of the net revenue from the General Revenue Fund, with </w:t>
      </w:r>
      <w:r w:rsidRPr="00702882">
        <w:rPr>
          <w:rFonts w:eastAsiaTheme="minorEastAsia"/>
          <w:i/>
          <w:iCs/>
        </w:rPr>
        <w:t xml:space="preserve">surplus amounts determined and transferred by the Executive Office of the Governor </w:t>
      </w:r>
      <w:r w:rsidRPr="00702882">
        <w:rPr>
          <w:rFonts w:eastAsiaTheme="minorEastAsia"/>
        </w:rPr>
        <w:t>each year by September 15th.</w:t>
      </w:r>
      <w:r w:rsidRPr="00702882">
        <w:rPr>
          <w:rStyle w:val="a5"/>
        </w:rPr>
        <w:footnoteReference w:id="7"/>
      </w:r>
      <w:r w:rsidRPr="00702882">
        <w:rPr>
          <w:rFonts w:eastAsiaTheme="minorEastAsia"/>
        </w:rPr>
        <w:t xml:space="preserve"> In 1998, however, a Florida amendment modified the deposit rule, mandating legislative approval when both the governor and the chief financial officer transfer funds to the BSF.</w:t>
      </w:r>
      <w:r w:rsidRPr="00702882">
        <w:rPr>
          <w:rStyle w:val="a5"/>
          <w:rFonts w:eastAsiaTheme="minorEastAsia"/>
        </w:rPr>
        <w:footnoteReference w:id="8"/>
      </w:r>
      <w:r w:rsidRPr="00702882">
        <w:rPr>
          <w:rFonts w:eastAsiaTheme="minorEastAsia"/>
        </w:rPr>
        <w:t xml:space="preserve"> </w:t>
      </w:r>
    </w:p>
    <w:p w14:paraId="246B5F2E" w14:textId="77777777" w:rsidR="00CF5B8F" w:rsidRPr="00702882" w:rsidRDefault="00AF6702" w:rsidP="00CF5B8F">
      <w:pPr>
        <w:spacing w:line="480" w:lineRule="auto"/>
        <w:ind w:firstLine="720"/>
        <w:rPr>
          <w:rFonts w:eastAsiaTheme="minorEastAsia"/>
        </w:rPr>
      </w:pPr>
      <w:r w:rsidRPr="00702882">
        <w:rPr>
          <w:rFonts w:eastAsiaTheme="minorEastAsia"/>
        </w:rPr>
        <w:lastRenderedPageBreak/>
        <w:t>These days, it is rare for budget fund deposits or withdrawals to be solely determined by the governor or the executive branch. Instead, executive deposits are allowed under specific conditions as follows: In situations where deposit-related formulas require calculation by executives (e.g., in Connecticut)</w:t>
      </w:r>
      <w:r w:rsidR="00CF5B8F" w:rsidRPr="00702882">
        <w:rPr>
          <w:rFonts w:eastAsiaTheme="minorEastAsia"/>
        </w:rPr>
        <w:t>,</w:t>
      </w:r>
      <w:r w:rsidRPr="00702882">
        <w:rPr>
          <w:rStyle w:val="a5"/>
          <w:rFonts w:eastAsiaTheme="minorEastAsia"/>
        </w:rPr>
        <w:footnoteReference w:id="9"/>
      </w:r>
      <w:r w:rsidRPr="00702882">
        <w:rPr>
          <w:rFonts w:eastAsiaTheme="minorEastAsia"/>
        </w:rPr>
        <w:t xml:space="preserve"> or when a predetermined percentage of the general fund, earmarked for deposit into BSF, is in place (e.g., in California), or when a revenue surplus automatically mandates allocation to BSF (e.g., in Minnesota)</w:t>
      </w:r>
      <w:r w:rsidR="00CF5B8F" w:rsidRPr="00702882">
        <w:rPr>
          <w:rFonts w:eastAsiaTheme="minorEastAsia"/>
        </w:rPr>
        <w:t>,</w:t>
      </w:r>
      <w:r w:rsidRPr="00702882">
        <w:rPr>
          <w:rStyle w:val="a5"/>
          <w:rFonts w:eastAsiaTheme="minorEastAsia"/>
        </w:rPr>
        <w:footnoteReference w:id="10"/>
      </w:r>
      <w:r w:rsidR="00CF5B8F" w:rsidRPr="00702882">
        <w:rPr>
          <w:rFonts w:eastAsiaTheme="minorEastAsia"/>
        </w:rPr>
        <w:t xml:space="preserve"> </w:t>
      </w:r>
      <w:r w:rsidRPr="00702882">
        <w:rPr>
          <w:rFonts w:eastAsiaTheme="minorEastAsia"/>
        </w:rPr>
        <w:t>executives typically possess the authority to allocate funds accordingly.</w:t>
      </w:r>
      <w:r w:rsidR="00CF5B8F" w:rsidRPr="00702882">
        <w:rPr>
          <w:rFonts w:eastAsiaTheme="minorEastAsia"/>
        </w:rPr>
        <w:t xml:space="preserve"> </w:t>
      </w:r>
    </w:p>
    <w:p w14:paraId="3E7CCC98" w14:textId="7B5FC73D" w:rsidR="00AF6702" w:rsidRPr="00702882" w:rsidRDefault="00AF6702" w:rsidP="00CF5B8F">
      <w:pPr>
        <w:spacing w:line="480" w:lineRule="auto"/>
        <w:ind w:firstLine="720"/>
        <w:rPr>
          <w:rFonts w:eastAsiaTheme="minorEastAsia"/>
        </w:rPr>
      </w:pPr>
      <w:r w:rsidRPr="00702882">
        <w:rPr>
          <w:rFonts w:eastAsiaTheme="minorEastAsia"/>
        </w:rPr>
        <w:t>In the 2014 Legislative Session, for example, Governor Dayton enacted a law that mandated up to 33% of any projected current biennium surplus, as determined by the Budget and Economic Forecast, to be automatically credited to Minnesota's budget reserve account.</w:t>
      </w:r>
      <w:r w:rsidRPr="00702882">
        <w:rPr>
          <w:rStyle w:val="a5"/>
          <w:rFonts w:eastAsiaTheme="minorEastAsia"/>
        </w:rPr>
        <w:footnoteReference w:id="11"/>
      </w:r>
      <w:r w:rsidRPr="00702882">
        <w:rPr>
          <w:rFonts w:eastAsiaTheme="minorEastAsia"/>
        </w:rPr>
        <w:t xml:space="preserve"> </w:t>
      </w:r>
      <w:r w:rsidRPr="00702882">
        <w:t>It's worth noting that in California, the Legislature holds the authority to allocate additional funds to the Budget Stabilization Account (BSA) via statutory measures; however, such transfers to the BSA can be suspended through an executive order issued by the Governor.</w:t>
      </w:r>
      <w:r w:rsidRPr="00702882">
        <w:rPr>
          <w:rStyle w:val="a5"/>
        </w:rPr>
        <w:footnoteReference w:id="12"/>
      </w:r>
    </w:p>
    <w:p w14:paraId="54C1A72E" w14:textId="4A68F715" w:rsidR="00AF6702" w:rsidRPr="00702882" w:rsidRDefault="00AF6702" w:rsidP="00C66AC4">
      <w:pPr>
        <w:spacing w:line="480" w:lineRule="auto"/>
        <w:ind w:firstLine="720"/>
        <w:rPr>
          <w:rFonts w:eastAsiaTheme="minorEastAsia"/>
          <w:color w:val="7030A0"/>
        </w:rPr>
      </w:pPr>
      <w:r w:rsidRPr="00702882">
        <w:t xml:space="preserve">Like deposit by executive decision, withdrawal by executive decision represents that a governor or financial officer decides withdrawal from BSF without a legislative approval </w:t>
      </w:r>
      <w:sdt>
        <w:sdtPr>
          <w:rPr>
            <w:color w:val="000000"/>
          </w:rPr>
          <w:tag w:val="MENDELEY_CITATION_v3_eyJwcm9wZXJ0aWVzIjp7Im5vdGVJbmRleCI6MH0sImlzRWRpdGVkIjpmYWxzZSwiY2l0YXRpb25JRCI6Ik1FTkRFTEVZX0NJVEFUSU9OXzZlMzk4NDU1LWJkZGEtNDg0My1iMDZjLTc1Mjc0OTk1ODM0YiIsIm1hbnVhbE92ZXJyaWRlIjp7ImlzTWFudWFsbHlPdmVycmlkZW4iOmZhbHNlLCJtYW51YWxPdmVycmlkZVRleHQiOiIiLCJjaXRlcHJvY1RleHQiOiIoSG91LCAyMDA0KSIsImlzTWFudWFsbHlPdmVycmlkZGVuIjpmYWxzZX0sImNpdGF0aW9uSXRlbXMiOlt7ImlkIjoiZWM3OTk3N2UtNGM2Mi0zZDNhLWI1NzQtYzc0ZjBkNTJiZTcwIiwiaXNUZW1wb3JhcnkiOmZhbHNl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fV19"/>
          <w:id w:val="1251165883"/>
          <w:placeholder>
            <w:docPart w:val="1206804CF85C416AB6E13CBF628E1BBD"/>
          </w:placeholder>
        </w:sdtPr>
        <w:sdtContent>
          <w:r w:rsidR="00F520AD" w:rsidRPr="00F520AD">
            <w:rPr>
              <w:color w:val="000000"/>
            </w:rPr>
            <w:t>(Hou, 2004)</w:t>
          </w:r>
        </w:sdtContent>
      </w:sdt>
      <w:r w:rsidRPr="00702882">
        <w:t xml:space="preserve">. In Florida, for example, the governor can order a temporary transfer of money from the fund to meet deficiencies in a particular fund (Fla. Stat. § 215.18). </w:t>
      </w:r>
      <w:r w:rsidRPr="00702882">
        <w:rPr>
          <w:rFonts w:eastAsiaTheme="minorEastAsia"/>
        </w:rPr>
        <w:t xml:space="preserve">In Mississippi, the Working Cash-Stabilization Reserve Fund (WCSRF) serves as a resource that the State Treasurer can utilize to address cash flow deficiencies within the State General Fund when the Executive Director of the Department of Finance and Administration certifies the need for such access (Miss. Code Ann. § 27-103-203). It should be noted that both the Governor and </w:t>
      </w:r>
      <w:r w:rsidRPr="00702882">
        <w:rPr>
          <w:rFonts w:eastAsiaTheme="minorEastAsia"/>
        </w:rPr>
        <w:lastRenderedPageBreak/>
        <w:t>the legislature have independently utilized Mississippi's WCSRF with their approvals, a topic to be elaborated upon in the Qualitative Analysis chapter.</w:t>
      </w:r>
      <w:r w:rsidRPr="00702882">
        <w:rPr>
          <w:rStyle w:val="a5"/>
        </w:rPr>
        <w:footnoteReference w:id="13"/>
      </w:r>
    </w:p>
    <w:p w14:paraId="6358A5BE" w14:textId="77777777" w:rsidR="0001103C" w:rsidRPr="00702882" w:rsidRDefault="00AF6702" w:rsidP="00C66AC4">
      <w:pPr>
        <w:spacing w:line="480" w:lineRule="auto"/>
        <w:ind w:firstLine="720"/>
        <w:rPr>
          <w:rFonts w:eastAsiaTheme="minorEastAsia"/>
        </w:rPr>
      </w:pPr>
      <w:r w:rsidRPr="00702882">
        <w:rPr>
          <w:b/>
          <w:bCs/>
          <w:i/>
          <w:iCs/>
        </w:rPr>
        <w:t>Stringency</w:t>
      </w:r>
      <w:r w:rsidRPr="00702882">
        <w:t>: According to the literature (Hou, 2004), executive deposits or withdrawals were seen as the least stringent rule. Consequently, these requirements are perceived as lenient from this standpoint.</w:t>
      </w:r>
      <w:r w:rsidRPr="00702882">
        <w:rPr>
          <w:rFonts w:eastAsiaTheme="minorEastAsia"/>
        </w:rPr>
        <w:t xml:space="preserve"> However, it should be noted that there have been very few instances of depositing or withdrawing money from the BSF solely based on the governor's discretion in recent times. Over time, BSF policies have evolved to employ precise methods that reduce the discretion of the executive or politicians to encourage greater savings over the past two decades. </w:t>
      </w:r>
    </w:p>
    <w:p w14:paraId="24375FE3" w14:textId="6F8F3106" w:rsidR="00AF6702" w:rsidRPr="00702882" w:rsidRDefault="00AF6702" w:rsidP="00C66AC4">
      <w:pPr>
        <w:spacing w:line="480" w:lineRule="auto"/>
        <w:ind w:firstLine="720"/>
        <w:rPr>
          <w:rFonts w:eastAsiaTheme="minorEastAsia"/>
        </w:rPr>
      </w:pPr>
      <w:r w:rsidRPr="00702882">
        <w:rPr>
          <w:rFonts w:eastAsiaTheme="minorEastAsia"/>
        </w:rPr>
        <w:t xml:space="preserve">To reflect such trends, “deposit by the executive” should be understood not as the executive deciding how much to save directly, but rather as </w:t>
      </w:r>
      <w:r w:rsidRPr="00702882">
        <w:rPr>
          <w:rFonts w:eastAsiaTheme="minorEastAsia"/>
          <w:i/>
          <w:iCs/>
        </w:rPr>
        <w:t>the execution of specific methods</w:t>
      </w:r>
      <w:r w:rsidRPr="00702882">
        <w:rPr>
          <w:rFonts w:eastAsiaTheme="minorEastAsia"/>
        </w:rPr>
        <w:t>. These methods include depositing funds into the BSF, following established formulas for BSF deposits, allocating a predetermined percentage of the general fund to the BSF, and transferring mandated savings from revenue surpluses to achieve this goal.</w:t>
      </w:r>
    </w:p>
    <w:p w14:paraId="7B664893" w14:textId="061E62C1" w:rsidR="00AF6702" w:rsidRPr="00702882" w:rsidRDefault="00AF6702" w:rsidP="00C66AC4">
      <w:pPr>
        <w:spacing w:line="480" w:lineRule="auto"/>
        <w:ind w:firstLine="720"/>
        <w:rPr>
          <w:rFonts w:eastAsiaTheme="minorEastAsia"/>
        </w:rPr>
      </w:pPr>
      <w:r w:rsidRPr="00702882">
        <w:rPr>
          <w:rFonts w:eastAsiaTheme="minorEastAsia"/>
        </w:rPr>
        <w:t>Thus</w:t>
      </w:r>
      <w:r w:rsidRPr="00702882">
        <w:rPr>
          <w:rFonts w:eastAsia="바탕"/>
        </w:rPr>
        <w:t>, when the executive makes deposits, it is done with accompanying information specifying the conditions under which the BSF should be funded.</w:t>
      </w:r>
      <w:r w:rsidRPr="00702882">
        <w:rPr>
          <w:rFonts w:eastAsiaTheme="minorEastAsia"/>
        </w:rPr>
        <w:t xml:space="preserve"> Similarly, the discretion of the executive branch, such as the governor</w:t>
      </w:r>
      <w:r w:rsidR="0001103C" w:rsidRPr="00702882">
        <w:rPr>
          <w:rFonts w:eastAsiaTheme="minorEastAsia"/>
        </w:rPr>
        <w:t>’</w:t>
      </w:r>
      <w:r w:rsidRPr="00702882">
        <w:rPr>
          <w:rFonts w:eastAsiaTheme="minorEastAsia"/>
        </w:rPr>
        <w:t>s discretion, in matters of withdrawal has become increasingly uncommon except in cases of emergencies. In certain states, like Florida, emergency provisions grant the Governor to utilize the Budget Stabilization Fund in the event of a declared state of emergency.</w:t>
      </w:r>
      <w:r w:rsidRPr="00702882">
        <w:rPr>
          <w:rStyle w:val="a5"/>
        </w:rPr>
        <w:footnoteReference w:id="14"/>
      </w:r>
    </w:p>
    <w:p w14:paraId="1DFB29B0" w14:textId="77777777" w:rsidR="00AF6702" w:rsidRPr="00702882" w:rsidRDefault="00AF6702" w:rsidP="00C66AC4">
      <w:pPr>
        <w:spacing w:line="480" w:lineRule="auto"/>
        <w:rPr>
          <w:rFonts w:eastAsiaTheme="minorEastAsia"/>
          <w:color w:val="7030A0"/>
        </w:rPr>
      </w:pPr>
    </w:p>
    <w:p w14:paraId="2CFA5697" w14:textId="77777777" w:rsidR="0001103C" w:rsidRPr="00702882" w:rsidRDefault="0001103C" w:rsidP="00C66AC4">
      <w:pPr>
        <w:spacing w:line="480" w:lineRule="auto"/>
        <w:rPr>
          <w:rFonts w:eastAsiaTheme="minorEastAsia"/>
          <w:color w:val="7030A0"/>
        </w:rPr>
      </w:pPr>
    </w:p>
    <w:p w14:paraId="477B0932" w14:textId="77777777" w:rsidR="00AF6702" w:rsidRPr="00702882" w:rsidRDefault="00AF6702" w:rsidP="00C66AC4">
      <w:pPr>
        <w:spacing w:line="480" w:lineRule="auto"/>
        <w:ind w:firstLine="360"/>
        <w:rPr>
          <w:b/>
          <w:bCs/>
          <w:i/>
          <w:iCs/>
        </w:rPr>
      </w:pPr>
      <w:r w:rsidRPr="00702882">
        <w:rPr>
          <w:b/>
          <w:bCs/>
          <w:i/>
          <w:iCs/>
        </w:rPr>
        <w:lastRenderedPageBreak/>
        <w:t>2.4.3 Deposit/Withdrawal by Legislative Appropriation</w:t>
      </w:r>
    </w:p>
    <w:p w14:paraId="67163CB0" w14:textId="16E684C4" w:rsidR="00CB4AF6" w:rsidRPr="00702882" w:rsidRDefault="00AF6702" w:rsidP="00C66AC4">
      <w:pPr>
        <w:spacing w:line="480" w:lineRule="auto"/>
        <w:ind w:firstLine="720"/>
        <w:rPr>
          <w:rFonts w:eastAsiaTheme="minorEastAsia"/>
        </w:rPr>
      </w:pPr>
      <w:r w:rsidRPr="00702882">
        <w:t>Deposit or withdrawal by legislative appropriation indicates that legislators hold the primary authority in making decisions regarding the allocation or withdrawal of funds from BSFs.</w:t>
      </w:r>
      <w:r w:rsidRPr="00702882">
        <w:rPr>
          <w:rFonts w:eastAsiaTheme="minorEastAsia"/>
        </w:rPr>
        <w:t xml:space="preserve"> </w:t>
      </w:r>
      <w:r w:rsidRPr="00702882">
        <w:t xml:space="preserve">In the literature, legislative approval is viewed as the more restrictive procedure for the use of BSF because it limits executive discretion </w:t>
      </w:r>
      <w:sdt>
        <w:sdtPr>
          <w:rPr>
            <w:color w:val="000000"/>
          </w:rPr>
          <w:tag w:val="MENDELEY_CITATION_v3_eyJjaXRhdGlvbklEIjoiTUVOREVMRVlfQ0lUQVRJT05fYzI5ODhiMDgtNTg1Yy00ZjVjLWFjNjctMDRhODNjMDE5ZTFmIiwicHJvcGVydGllcyI6eyJub3RlSW5kZXgiOjB9LCJpc0VkaXRlZCI6ZmFsc2UsIm1hbnVhbE92ZXJyaWRlIjp7ImlzTWFudWFsbHlPdmVycmlkZGVuIjpmYWxzZSwiY2l0ZXByb2NUZXh0IjoiKEhvdS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XX0="/>
          <w:id w:val="612941001"/>
          <w:placeholder>
            <w:docPart w:val="BDB4506CC6B34C3B97B4E32AA97E26DB"/>
          </w:placeholder>
        </w:sdtPr>
        <w:sdtContent>
          <w:r w:rsidR="00F520AD" w:rsidRPr="00F520AD">
            <w:rPr>
              <w:color w:val="000000"/>
            </w:rPr>
            <w:t>(Hou, 2004)</w:t>
          </w:r>
        </w:sdtContent>
      </w:sdt>
      <w:r w:rsidRPr="00702882">
        <w:t xml:space="preserve">. In Illinois, for example, the General Assembly makes an appropriation for the Budget Stabilization Fund (30 ILCS 122). </w:t>
      </w:r>
    </w:p>
    <w:p w14:paraId="561CAF36" w14:textId="0F5FBE5A" w:rsidR="00AF6702" w:rsidRPr="00702882" w:rsidRDefault="00AF6702" w:rsidP="00C66AC4">
      <w:pPr>
        <w:spacing w:line="480" w:lineRule="auto"/>
        <w:ind w:firstLine="720"/>
        <w:rPr>
          <w:rFonts w:eastAsiaTheme="minorEastAsia"/>
        </w:rPr>
      </w:pPr>
      <w:r w:rsidRPr="00702882">
        <w:t>Withdrawal by legislative appropriations occurs when legislators can decide to withdraw from BSFs. In Ohio, the governor submits to General Assembly proposals for transfers from the BSF to the general fund (ORC Ann. § 131.43). In Delaware, the revenue estimate and estimated unencumbered funds are determined through a joint resolution approved by the General Assembly and the Governor (Del. Const. Art. VIII, § 6).</w:t>
      </w:r>
      <w:r w:rsidRPr="00702882">
        <w:rPr>
          <w:rFonts w:eastAsiaTheme="minorEastAsia"/>
        </w:rPr>
        <w:t xml:space="preserve"> In Delaware, the executive branch does not autonomously decide on the revenue surplus allocation for BSF deposits. Hence, it falls under category "1" for deposit by legislative appropriation.</w:t>
      </w:r>
    </w:p>
    <w:p w14:paraId="257A819C" w14:textId="77777777" w:rsidR="00AF6702" w:rsidRPr="00702882" w:rsidRDefault="00AF6702" w:rsidP="00C66AC4">
      <w:pPr>
        <w:spacing w:line="480" w:lineRule="auto"/>
        <w:ind w:firstLine="720"/>
      </w:pPr>
      <w:r w:rsidRPr="00702882">
        <w:t>Supermajority vote requirements could represent a greater support for the use of BSF. In Alaska, the Constitutional Budget Reserve Fund (CBRF) can be appropriated for any public purpose “with a three-quarters vote of both House and Senate” (Alaska Const. Art. IX, § 17). In Delaware, the General Assembly by a three-fifths vote of the members elected to each House can appropriate from the Budget Reserve Account to compensate for revenue reductions (29 Del. C. § 6533).</w:t>
      </w:r>
    </w:p>
    <w:p w14:paraId="4CC88149" w14:textId="253FD7D9" w:rsidR="00C0748A" w:rsidRPr="00702882" w:rsidRDefault="00AF6702" w:rsidP="00C0748A">
      <w:pPr>
        <w:spacing w:line="480" w:lineRule="auto"/>
        <w:ind w:firstLine="720"/>
        <w:rPr>
          <w:rFonts w:eastAsiaTheme="minorEastAsia"/>
          <w:color w:val="FF0000"/>
        </w:rPr>
      </w:pPr>
      <w:r w:rsidRPr="00702882">
        <w:rPr>
          <w:b/>
          <w:bCs/>
          <w:i/>
          <w:iCs/>
        </w:rPr>
        <w:t>Stringency</w:t>
      </w:r>
      <w:r w:rsidRPr="00702882">
        <w:t>: Deposit by legislature does not require a state to save unrestricted general funds.</w:t>
      </w:r>
      <w:r w:rsidR="00C0748A" w:rsidRPr="00702882">
        <w:rPr>
          <w:rFonts w:eastAsiaTheme="minorEastAsia"/>
        </w:rPr>
        <w:t xml:space="preserve"> Thus, deposits by legislative appropriation lack specificity regarding the conditions under which funds can be deposited into the BSF. Unlike deposits from revenue surpluses or those contingent upon revenue or economic volatility, they result in a lack of precision.</w:t>
      </w:r>
    </w:p>
    <w:p w14:paraId="350828A5" w14:textId="659FA6D6" w:rsidR="002546AC" w:rsidRPr="00702882" w:rsidRDefault="00AF6702" w:rsidP="002546AC">
      <w:pPr>
        <w:spacing w:line="480" w:lineRule="auto"/>
        <w:ind w:firstLine="720"/>
        <w:rPr>
          <w:rFonts w:eastAsiaTheme="minorEastAsia"/>
        </w:rPr>
      </w:pPr>
      <w:r w:rsidRPr="00702882">
        <w:rPr>
          <w:rFonts w:eastAsiaTheme="minorEastAsia"/>
        </w:rPr>
        <w:lastRenderedPageBreak/>
        <w:t>To determine the level of obligation, withdrawing funds by the legislature necessitate</w:t>
      </w:r>
      <w:r w:rsidR="00C0748A" w:rsidRPr="00702882">
        <w:rPr>
          <w:rFonts w:eastAsiaTheme="minorEastAsia"/>
        </w:rPr>
        <w:t>s</w:t>
      </w:r>
      <w:r w:rsidRPr="00702882">
        <w:rPr>
          <w:rFonts w:eastAsiaTheme="minorEastAsia"/>
        </w:rPr>
        <w:t xml:space="preserve"> a specific number of votes from legislators.</w:t>
      </w:r>
      <w:r w:rsidR="002546AC" w:rsidRPr="00702882">
        <w:rPr>
          <w:rFonts w:eastAsiaTheme="minorEastAsia"/>
        </w:rPr>
        <w:t xml:space="preserve"> </w:t>
      </w:r>
      <w:r w:rsidR="002546AC" w:rsidRPr="00702882">
        <w:rPr>
          <w:rFonts w:eastAsia="바탕"/>
        </w:rPr>
        <w:t xml:space="preserve">For instance, a supermajority vote requirement </w:t>
      </w:r>
      <w:r w:rsidR="002546AC" w:rsidRPr="00702882">
        <w:t>is designed to prevent a “tyranny of the majority” and promote careful deliberation and compromise to reach a supermajority.</w:t>
      </w:r>
      <w:r w:rsidR="002546AC" w:rsidRPr="00702882">
        <w:rPr>
          <w:rStyle w:val="a5"/>
        </w:rPr>
        <w:footnoteReference w:id="15"/>
      </w:r>
      <w:r w:rsidR="002546AC" w:rsidRPr="00702882">
        <w:rPr>
          <w:rFonts w:eastAsia="바탕"/>
        </w:rPr>
        <w:t xml:space="preserve"> In other words, a supermajority vote requirement creates greater obstacles for states seeking to transfer funds from the BSF to the general fund compared to a simple majority vote. In scholarly discussions, this aspect is often seen as a means of imposing restrictions on the executive's discretion (Hou, 2004; Wagner, 2004).</w:t>
      </w:r>
    </w:p>
    <w:p w14:paraId="30FB1CF6" w14:textId="32CA467D" w:rsidR="00235A05" w:rsidRPr="00702882" w:rsidRDefault="00AF6702" w:rsidP="00235A05">
      <w:pPr>
        <w:spacing w:line="480" w:lineRule="auto"/>
        <w:ind w:firstLine="720"/>
        <w:rPr>
          <w:rFonts w:eastAsia="바탕"/>
        </w:rPr>
      </w:pPr>
      <w:r w:rsidRPr="00702882">
        <w:rPr>
          <w:rFonts w:eastAsiaTheme="minorEastAsia"/>
        </w:rPr>
        <w:t>Therefore, the degree of obligation is indicated by the proportion of legislative votes required</w:t>
      </w:r>
      <w:r w:rsidR="002546AC" w:rsidRPr="00702882">
        <w:rPr>
          <w:rFonts w:eastAsiaTheme="minorEastAsia"/>
        </w:rPr>
        <w:t xml:space="preserve"> in this study. </w:t>
      </w:r>
      <w:r w:rsidRPr="00702882">
        <w:rPr>
          <w:rFonts w:eastAsia="바탕"/>
        </w:rPr>
        <w:t xml:space="preserve">The supermajority vote requires more than 60 percent (3/5), 67 percent (2/3), or 75 percent (3/4) of votes, respectively, while a simple majority vote needs only more than 50 percent of votes cast. </w:t>
      </w:r>
      <w:r w:rsidR="00235A05" w:rsidRPr="00702882">
        <w:rPr>
          <w:rFonts w:eastAsia="바탕"/>
        </w:rPr>
        <w:t>Hence, as the required number of votes increases, so does the level of obligation. Specifically, a simple majority for withdrawal is assigned a value of 0.5, 3/5 votes a value of 0.6, 2/3 votes a value of 0.67, and 3/4 votes a value of 0.75 for the degree of obligation.</w:t>
      </w:r>
    </w:p>
    <w:p w14:paraId="7428522D" w14:textId="111B8B39" w:rsidR="00AF6702" w:rsidRPr="00702882" w:rsidRDefault="00AF6702" w:rsidP="002546AC">
      <w:pPr>
        <w:spacing w:line="480" w:lineRule="auto"/>
        <w:ind w:firstLine="720"/>
        <w:rPr>
          <w:rFonts w:eastAsia="바탕"/>
        </w:rPr>
      </w:pPr>
      <w:r w:rsidRPr="00702882">
        <w:rPr>
          <w:rFonts w:eastAsia="바탕"/>
        </w:rPr>
        <w:t>Nonetheless, it is crucial to highlight that this study avoids classifying the voting requirement as a precise withdrawal condition, especially considering that certain states, like Alaska and New Hampshire, allow the use of their BSFs for “any purpose,” a rather loosely defined term.</w:t>
      </w:r>
      <w:r w:rsidRPr="00702882">
        <w:rPr>
          <w:rStyle w:val="a5"/>
          <w:rFonts w:eastAsia="바탕"/>
        </w:rPr>
        <w:footnoteReference w:id="16"/>
      </w:r>
      <w:r w:rsidR="00503A19" w:rsidRPr="00702882">
        <w:rPr>
          <w:rFonts w:eastAsia="바탕"/>
        </w:rPr>
        <w:t xml:space="preserve"> </w:t>
      </w:r>
      <w:r w:rsidRPr="00702882">
        <w:rPr>
          <w:rFonts w:eastAsia="바탕"/>
        </w:rPr>
        <w:t xml:space="preserve">Therefore, it receives </w:t>
      </w:r>
      <w:r w:rsidR="00682063" w:rsidRPr="00702882">
        <w:rPr>
          <w:rFonts w:eastAsia="바탕"/>
        </w:rPr>
        <w:t>zero</w:t>
      </w:r>
      <w:r w:rsidRPr="00702882">
        <w:rPr>
          <w:rFonts w:eastAsia="바탕"/>
        </w:rPr>
        <w:t xml:space="preserve"> point for the precision.</w:t>
      </w:r>
    </w:p>
    <w:p w14:paraId="142A7CED" w14:textId="77777777" w:rsidR="00AF6702" w:rsidRPr="00702882" w:rsidRDefault="00AF6702" w:rsidP="00C66AC4">
      <w:pPr>
        <w:spacing w:line="480" w:lineRule="auto"/>
        <w:rPr>
          <w:rFonts w:eastAsia="바탕"/>
          <w:color w:val="7030A0"/>
        </w:rPr>
      </w:pPr>
    </w:p>
    <w:p w14:paraId="2739CD36" w14:textId="77777777" w:rsidR="00DC4AAE" w:rsidRPr="00702882" w:rsidRDefault="00DC4AAE" w:rsidP="00C66AC4">
      <w:pPr>
        <w:spacing w:line="480" w:lineRule="auto"/>
        <w:rPr>
          <w:rFonts w:eastAsia="바탕"/>
          <w:color w:val="7030A0"/>
        </w:rPr>
      </w:pPr>
    </w:p>
    <w:p w14:paraId="762CFF59" w14:textId="77777777" w:rsidR="00DC4AAE" w:rsidRPr="00702882" w:rsidRDefault="00DC4AAE" w:rsidP="00C66AC4">
      <w:pPr>
        <w:spacing w:line="480" w:lineRule="auto"/>
        <w:rPr>
          <w:rFonts w:eastAsia="바탕"/>
          <w:color w:val="7030A0"/>
        </w:rPr>
      </w:pPr>
    </w:p>
    <w:p w14:paraId="3D073ACF" w14:textId="77777777" w:rsidR="00AF6702" w:rsidRPr="00702882" w:rsidRDefault="00AF6702" w:rsidP="00C66AC4">
      <w:pPr>
        <w:spacing w:line="480" w:lineRule="auto"/>
        <w:ind w:firstLine="360"/>
        <w:rPr>
          <w:b/>
          <w:bCs/>
          <w:i/>
          <w:iCs/>
        </w:rPr>
      </w:pPr>
      <w:r w:rsidRPr="00702882">
        <w:rPr>
          <w:b/>
          <w:bCs/>
          <w:i/>
          <w:iCs/>
        </w:rPr>
        <w:lastRenderedPageBreak/>
        <w:t xml:space="preserve">2.4.4 Deposit/Withdrawal by Revenue Surplus/Shortfall </w:t>
      </w:r>
    </w:p>
    <w:p w14:paraId="00EABD17" w14:textId="0DBB92F5" w:rsidR="00AF6702" w:rsidRPr="00702882" w:rsidRDefault="00AF6702" w:rsidP="00C66AC4">
      <w:pPr>
        <w:spacing w:line="480" w:lineRule="auto"/>
        <w:ind w:firstLine="720"/>
        <w:rPr>
          <w:rFonts w:eastAsiaTheme="minorEastAsia"/>
        </w:rPr>
      </w:pPr>
      <w:r w:rsidRPr="00702882">
        <w:t>The majority of states in the U.S., 30 states, deposit money into their BSFs when revenue surplus occurs. However, some states do not save all surplus but do a small portion of the surplus. In Kansas, 10 percent of the unencumbered ending balance in the general fund can be deposited into the BSF before August 15, 2021 (K.S.A. § 75-6706).</w:t>
      </w:r>
      <w:r w:rsidR="00D26191" w:rsidRPr="00702882">
        <w:rPr>
          <w:rFonts w:eastAsiaTheme="minorEastAsia"/>
        </w:rPr>
        <w:t xml:space="preserve"> </w:t>
      </w:r>
      <w:r w:rsidR="00076599" w:rsidRPr="00702882">
        <w:t xml:space="preserve">In Georgia, any surplus funds at the end of the fiscal year are </w:t>
      </w:r>
      <w:r w:rsidR="00D26191" w:rsidRPr="00702882">
        <w:t>combined</w:t>
      </w:r>
      <w:r w:rsidR="00076599" w:rsidRPr="00702882">
        <w:t xml:space="preserve"> and earmarked for the Revenue Shortfall Reserve</w:t>
      </w:r>
      <w:r w:rsidR="00076599" w:rsidRPr="00702882">
        <w:rPr>
          <w:rFonts w:eastAsiaTheme="minorEastAsia"/>
        </w:rPr>
        <w:t xml:space="preserve"> </w:t>
      </w:r>
      <w:r w:rsidRPr="00702882">
        <w:t xml:space="preserve">(O.C.G.A. § 45-12-71). In New Mexico, any remaining unexpended or unencumbered balance at the end of fiscal year will be </w:t>
      </w:r>
      <w:r w:rsidRPr="00702882">
        <w:rPr>
          <w:i/>
          <w:iCs/>
        </w:rPr>
        <w:t xml:space="preserve">automatically </w:t>
      </w:r>
      <w:r w:rsidRPr="00702882">
        <w:t>returned to the tax stabilization reserve.</w:t>
      </w:r>
      <w:r w:rsidRPr="00702882">
        <w:rPr>
          <w:rStyle w:val="a5"/>
        </w:rPr>
        <w:footnoteReference w:id="17"/>
      </w:r>
      <w:r w:rsidR="00D26191" w:rsidRPr="00702882">
        <w:rPr>
          <w:rFonts w:eastAsiaTheme="minorEastAsia"/>
        </w:rPr>
        <w:t xml:space="preserve"> </w:t>
      </w:r>
      <w:r w:rsidRPr="00702882">
        <w:rPr>
          <w:rFonts w:eastAsiaTheme="minorEastAsia"/>
        </w:rPr>
        <w:t>For this reason, this variable is quantitatively expressed as a proportion of the general fund surplus, ranging from 0.1 (representing 10% of the general fund surplus) to 1 (representing 100% of the general fund surplus).</w:t>
      </w:r>
    </w:p>
    <w:p w14:paraId="4864BDBF" w14:textId="77777777" w:rsidR="00AF6702" w:rsidRPr="00702882" w:rsidRDefault="00AF6702" w:rsidP="00C66AC4">
      <w:pPr>
        <w:spacing w:line="480" w:lineRule="auto"/>
        <w:ind w:firstLine="720"/>
        <w:rPr>
          <w:rFonts w:eastAsiaTheme="minorEastAsia"/>
        </w:rPr>
      </w:pPr>
      <w:r w:rsidRPr="00702882">
        <w:t xml:space="preserve">Withdrawal by revenue shortfall refers to withdrawals that are made to address budget shortfalls. Budget shortfalls are also expressed as “budget deficits” (Miss. Code Ann. § 27-103-203) or budget gaps caused by forecast errors in Oregon (ORS § 293.144). In Mississippi, the executive director of the Department of Finance and Administration transfers from the Working Cash-Stabilization Reserve Fund to the general fund to cover deficits and to meet cash-flow needs (Miss. Code Ann. § 27-103-203). </w:t>
      </w:r>
    </w:p>
    <w:p w14:paraId="5BD03089" w14:textId="615D0BA8" w:rsidR="00AF6702" w:rsidRPr="00702882" w:rsidRDefault="00AF6702" w:rsidP="00C66AC4">
      <w:pPr>
        <w:spacing w:line="480" w:lineRule="auto"/>
        <w:ind w:firstLine="720"/>
        <w:rPr>
          <w:rFonts w:eastAsiaTheme="minorEastAsia"/>
          <w:color w:val="7030A0"/>
        </w:rPr>
      </w:pPr>
      <w:r w:rsidRPr="00702882">
        <w:rPr>
          <w:rFonts w:eastAsiaTheme="minorEastAsia"/>
        </w:rPr>
        <w:t xml:space="preserve">In certain states, like Idaho and Florida, the utilization of Budget Stabilization Funds is permissible for addressing expenses stemming from significant disasters or emergencies (Idaho Code §57-814; Fla. Stat. § 216.222). However, emergency withdrawals may be considered as responses to revenue shortfalls, given that emergency situations often necessitate increased expenditures. Furthermore, the cost variable associated with disasters is </w:t>
      </w:r>
      <w:r w:rsidRPr="00702882">
        <w:rPr>
          <w:rFonts w:eastAsiaTheme="minorEastAsia"/>
        </w:rPr>
        <w:lastRenderedPageBreak/>
        <w:t xml:space="preserve">included into our empirical models. </w:t>
      </w:r>
      <w:r w:rsidR="005D685D" w:rsidRPr="00702882">
        <w:rPr>
          <w:rFonts w:eastAsiaTheme="minorEastAsia"/>
        </w:rPr>
        <w:t>Therefore, the structural characteristic known as withdrawal for emergency use is excluded from our analysis.</w:t>
      </w:r>
    </w:p>
    <w:p w14:paraId="5CE2EF81" w14:textId="7D7ABF78" w:rsidR="00AF6702" w:rsidRPr="00702882" w:rsidRDefault="00AF6702" w:rsidP="00C66AC4">
      <w:pPr>
        <w:spacing w:line="480" w:lineRule="auto"/>
        <w:ind w:firstLine="720"/>
        <w:rPr>
          <w:rFonts w:eastAsiaTheme="minorEastAsia"/>
        </w:rPr>
      </w:pPr>
      <w:r w:rsidRPr="00702882">
        <w:rPr>
          <w:b/>
          <w:bCs/>
          <w:i/>
          <w:iCs/>
        </w:rPr>
        <w:t>Stringency</w:t>
      </w:r>
      <w:r w:rsidRPr="00702882">
        <w:t xml:space="preserve">: Requiring depositing revenue surplus in BSF is an obligation for savings. The degree of obligation depends on the specific proportion of revenue surplus that must be allocated to the BSF. Depositing all revenue surplus in BSF is a greater savings obligation than depositing a small portion of revenue surplus. A higher level of revenue surplus required to be deposited into BSF is deemed more stringent. </w:t>
      </w:r>
      <w:r w:rsidRPr="00702882">
        <w:rPr>
          <w:rFonts w:eastAsiaTheme="minorEastAsia"/>
        </w:rPr>
        <w:t xml:space="preserve">Since it accurately delineates the proportion of the revenue surplus, it earns </w:t>
      </w:r>
      <w:r w:rsidR="00503A19" w:rsidRPr="00702882">
        <w:rPr>
          <w:rFonts w:eastAsiaTheme="minorEastAsia"/>
        </w:rPr>
        <w:t>one</w:t>
      </w:r>
      <w:r w:rsidRPr="00702882">
        <w:rPr>
          <w:rFonts w:eastAsiaTheme="minorEastAsia"/>
        </w:rPr>
        <w:t xml:space="preserve"> point for the precision of deposit conditions. </w:t>
      </w:r>
    </w:p>
    <w:p w14:paraId="090B0BBF" w14:textId="6CFFF2D3" w:rsidR="00AF6702" w:rsidRPr="00702882" w:rsidRDefault="00D26191" w:rsidP="00ED6D46">
      <w:pPr>
        <w:spacing w:line="480" w:lineRule="auto"/>
        <w:ind w:firstLine="720"/>
        <w:rPr>
          <w:rFonts w:eastAsiaTheme="minorEastAsia"/>
        </w:rPr>
      </w:pPr>
      <w:r w:rsidRPr="00702882">
        <w:t>"</w:t>
      </w:r>
      <w:r w:rsidR="00AF6702" w:rsidRPr="00702882">
        <w:t>Withdrawal by revenue shortfall</w:t>
      </w:r>
      <w:r w:rsidRPr="00702882">
        <w:t>"</w:t>
      </w:r>
      <w:r w:rsidR="00AF6702" w:rsidRPr="00702882">
        <w:t xml:space="preserve"> permits a state to access its BSF exclusively in cases of a revenue deficit.</w:t>
      </w:r>
      <w:r w:rsidR="00AF6702" w:rsidRPr="00702882">
        <w:rPr>
          <w:rFonts w:eastAsiaTheme="minorEastAsia"/>
        </w:rPr>
        <w:t xml:space="preserve"> </w:t>
      </w:r>
      <w:r w:rsidR="00AF6702" w:rsidRPr="00702882">
        <w:t xml:space="preserve">This requirement is linked to a specific purpose, such as fiscal stabilization, thereby preventing the BSF from being used for other purposes. </w:t>
      </w:r>
      <w:r w:rsidR="00ED6D46" w:rsidRPr="00702882">
        <w:rPr>
          <w:rFonts w:eastAsiaTheme="minorEastAsia"/>
        </w:rPr>
        <w:t xml:space="preserve">Thus, it is awarded </w:t>
      </w:r>
      <w:r w:rsidR="00D06B0E" w:rsidRPr="00702882">
        <w:rPr>
          <w:rFonts w:eastAsiaTheme="minorEastAsia"/>
        </w:rPr>
        <w:t>one</w:t>
      </w:r>
      <w:r w:rsidR="00ED6D46" w:rsidRPr="00702882">
        <w:rPr>
          <w:rFonts w:eastAsiaTheme="minorEastAsia"/>
        </w:rPr>
        <w:t xml:space="preserve"> point for the precision of the withdrawal conditions. </w:t>
      </w:r>
      <w:r w:rsidR="00AF6702" w:rsidRPr="00702882">
        <w:t>However, some states do not provide a clear definition of budget shortfall. Without clear definition,</w:t>
      </w:r>
      <w:r w:rsidRPr="00702882">
        <w:rPr>
          <w:rFonts w:eastAsiaTheme="minorEastAsia"/>
        </w:rPr>
        <w:t xml:space="preserve"> </w:t>
      </w:r>
      <w:r w:rsidRPr="00702882">
        <w:t>"withdrawal based on revenue shortfall" can be susceptible to manipulation by either the governor or legislators seeking to increase spending in order to gain popular support</w:t>
      </w:r>
      <w:r w:rsidRPr="00702882">
        <w:rPr>
          <w:rFonts w:eastAsiaTheme="minorEastAsia"/>
        </w:rPr>
        <w:t xml:space="preserve"> </w:t>
      </w:r>
      <w:r w:rsidR="00AF6702" w:rsidRPr="00702882">
        <w:t>(Hou, 2004; Rose 2008).</w:t>
      </w:r>
      <w:r w:rsidR="00AF6702" w:rsidRPr="00702882">
        <w:rPr>
          <w:rStyle w:val="a5"/>
        </w:rPr>
        <w:footnoteReference w:id="18"/>
      </w:r>
      <w:r w:rsidR="00AF6702" w:rsidRPr="00702882">
        <w:t xml:space="preserve"> </w:t>
      </w:r>
    </w:p>
    <w:p w14:paraId="07CE56BD" w14:textId="77777777" w:rsidR="00AF6702" w:rsidRPr="00702882" w:rsidRDefault="00AF6702" w:rsidP="00C66AC4">
      <w:pPr>
        <w:spacing w:line="480" w:lineRule="auto"/>
        <w:rPr>
          <w:rFonts w:eastAsiaTheme="minorEastAsia"/>
        </w:rPr>
      </w:pPr>
    </w:p>
    <w:p w14:paraId="11E2348E" w14:textId="77777777" w:rsidR="00AF6702" w:rsidRPr="00702882" w:rsidRDefault="00AF6702" w:rsidP="00C66AC4">
      <w:pPr>
        <w:spacing w:line="480" w:lineRule="auto"/>
        <w:ind w:firstLine="360"/>
        <w:rPr>
          <w:b/>
          <w:bCs/>
          <w:i/>
          <w:iCs/>
        </w:rPr>
      </w:pPr>
      <w:r w:rsidRPr="00702882">
        <w:rPr>
          <w:b/>
          <w:bCs/>
          <w:i/>
          <w:iCs/>
        </w:rPr>
        <w:t>2.4.5 Deposit/withdrawal tied to revenue volatility (formula)</w:t>
      </w:r>
    </w:p>
    <w:p w14:paraId="16A8E24D" w14:textId="33479FC5" w:rsidR="00BC67B5" w:rsidRPr="00702882" w:rsidRDefault="00AF6702" w:rsidP="00BC67B5">
      <w:pPr>
        <w:spacing w:line="480" w:lineRule="auto"/>
        <w:ind w:firstLine="720"/>
        <w:rPr>
          <w:rFonts w:eastAsiaTheme="minorEastAsia"/>
        </w:rPr>
      </w:pPr>
      <w:r w:rsidRPr="00702882">
        <w:t>Deposit tied to revenue or economic volatility refers to saving money linked to economic or revenue fluctuation (</w:t>
      </w:r>
      <w:r w:rsidR="00710E06" w:rsidRPr="00702882">
        <w:rPr>
          <w:rFonts w:eastAsia="맑은 고딕"/>
        </w:rPr>
        <w:t xml:space="preserve">The </w:t>
      </w:r>
      <w:r w:rsidR="00710E06" w:rsidRPr="00702882">
        <w:t>Pew Charitable Trusts</w:t>
      </w:r>
      <w:r w:rsidRPr="00702882">
        <w:t>, 2017).</w:t>
      </w:r>
      <w:r w:rsidR="009C2275" w:rsidRPr="00702882">
        <w:rPr>
          <w:rFonts w:eastAsiaTheme="minorEastAsia"/>
        </w:rPr>
        <w:t xml:space="preserve"> It is worth noting that there is no clear definition of what constitutes deposits (or withdrawals) tied to revenue volatility, but different understandings exist in the literature.</w:t>
      </w:r>
      <w:r w:rsidR="004B4BD7" w:rsidRPr="00702882">
        <w:rPr>
          <w:rFonts w:eastAsiaTheme="minorEastAsia"/>
        </w:rPr>
        <w:t xml:space="preserve"> </w:t>
      </w:r>
      <w:r w:rsidRPr="00702882">
        <w:t xml:space="preserve">For example, Wagner (2004) differentiates “deposit by positive revenue growth” from “deposit by formula” in his </w:t>
      </w:r>
      <w:r w:rsidRPr="00702882">
        <w:lastRenderedPageBreak/>
        <w:t xml:space="preserve">categories of BSF rule stringency (p. 787). </w:t>
      </w:r>
      <w:r w:rsidR="004B4BD7" w:rsidRPr="00702882">
        <w:rPr>
          <w:rFonts w:eastAsiaTheme="minorEastAsia"/>
        </w:rPr>
        <w:t>In contrast, Hou (2004) exclusively incorporates "deposit by formula" into his models, without distinguishing these from deposits tied to revenue or economic volatility.</w:t>
      </w:r>
      <w:r w:rsidR="00BC67B5" w:rsidRPr="00702882">
        <w:rPr>
          <w:rFonts w:eastAsiaTheme="minorEastAsia"/>
        </w:rPr>
        <w:t xml:space="preserve"> This omission may be attributed to the fact that certain states' formulas incorporate economic or revenue volatility indicators (e.g., year-over-year revenue increases or trend growth rates that smooth out short-term fluctuations) when determining the deposit amounts into their BSFs.</w:t>
      </w:r>
    </w:p>
    <w:p w14:paraId="2F94C4D5" w14:textId="77777777" w:rsidR="008851F2" w:rsidRPr="00702882" w:rsidRDefault="00AF6702" w:rsidP="00C66AC4">
      <w:pPr>
        <w:spacing w:line="480" w:lineRule="auto"/>
        <w:ind w:firstLine="720"/>
        <w:rPr>
          <w:rFonts w:eastAsiaTheme="minorEastAsia"/>
        </w:rPr>
      </w:pPr>
      <w:r w:rsidRPr="00702882">
        <w:t xml:space="preserve">To avoid any confusion regarding the notion of deposit or withdrawal tied to revenue volatility, the study proposes the following definitions: first, “formula-based volatility” pertains to deposits and withdrawals associated with economic or revenue fluctuations calculated using a formula that reflects objective economic indicators (annual growth rate, employment growth rate, real tax revenue growth rate, etc.); second, </w:t>
      </w:r>
      <w:r w:rsidRPr="00702882">
        <w:rPr>
          <w:i/>
          <w:iCs/>
        </w:rPr>
        <w:t>proportion-based volatility</w:t>
      </w:r>
      <w:r w:rsidRPr="00702882">
        <w:t xml:space="preserve"> refers to deposit or withdrawal linked to a certain proportion of general fund revenues or expenditures.</w:t>
      </w:r>
      <w:r w:rsidR="008851F2" w:rsidRPr="00702882">
        <w:rPr>
          <w:rFonts w:eastAsiaTheme="minorEastAsia"/>
        </w:rPr>
        <w:t xml:space="preserve"> </w:t>
      </w:r>
    </w:p>
    <w:p w14:paraId="27BD88FA" w14:textId="1AA583C1" w:rsidR="008851F2" w:rsidRPr="00702882" w:rsidRDefault="005424C8" w:rsidP="005424C8">
      <w:pPr>
        <w:spacing w:line="480" w:lineRule="auto"/>
        <w:ind w:firstLine="720"/>
        <w:rPr>
          <w:rFonts w:eastAsiaTheme="minorEastAsia"/>
        </w:rPr>
      </w:pPr>
      <w:r w:rsidRPr="00702882">
        <w:rPr>
          <w:rFonts w:eastAsiaTheme="minorEastAsia"/>
        </w:rPr>
        <w:t>Arizona's BSF is an example of a formula-based approach to managing volatility, as it uses a statutory formula to determine deposits or withdrawals based on the annual growth rate of real adjusted Arizona Personal Income compared to its 7-year trend growth rate (A.R.S. § 35-144). The annual growth rate reflects year-over-year increases in personal income, adjusted for inflation, indicating current economic performance. The 7-year trend growth rate provides a stable long-term average for comparison. If the annual growth rate exceeds this trend, deposits are made into the BSF; if it falls short, withdrawals may occur to support the budget during economic downturns.</w:t>
      </w:r>
    </w:p>
    <w:p w14:paraId="41B3FDA2" w14:textId="3954AE79" w:rsidR="005424C8" w:rsidRPr="00702882" w:rsidRDefault="005424C8" w:rsidP="00AB45D0">
      <w:pPr>
        <w:spacing w:line="480" w:lineRule="auto"/>
        <w:ind w:firstLine="720"/>
        <w:rPr>
          <w:rFonts w:eastAsiaTheme="minorEastAsia"/>
        </w:rPr>
      </w:pPr>
      <w:r w:rsidRPr="00702882">
        <w:rPr>
          <w:rFonts w:eastAsiaTheme="minorEastAsia"/>
        </w:rPr>
        <w:t xml:space="preserve">Massachusetts’ Budget Stabilization Fund (BSF) exemplifies proportion-based volatility management by depositing 0.5 percent of its total tax revenues into the fund annually. This fixed-percentage approach ensures consistent contributions, allowing the state </w:t>
      </w:r>
      <w:r w:rsidRPr="00702882">
        <w:rPr>
          <w:rFonts w:eastAsiaTheme="minorEastAsia"/>
        </w:rPr>
        <w:lastRenderedPageBreak/>
        <w:t>to build up reserves during periods of revenue growth.</w:t>
      </w:r>
      <w:r w:rsidR="00AB45D0" w:rsidRPr="00702882">
        <w:rPr>
          <w:rFonts w:eastAsiaTheme="minorEastAsia"/>
        </w:rPr>
        <w:t xml:space="preserve"> </w:t>
      </w:r>
      <w:r w:rsidRPr="00702882">
        <w:rPr>
          <w:rFonts w:eastAsiaTheme="minorEastAsia"/>
        </w:rPr>
        <w:t>These reserves can then be used to stabilize the budget during economic downturns, automatically adjusting contributions in line with revenue changes to enhance fiscal resilience.</w:t>
      </w:r>
    </w:p>
    <w:p w14:paraId="13ABBE1D" w14:textId="0C4B1F21" w:rsidR="00AF6702" w:rsidRPr="00702882" w:rsidRDefault="00AF6702" w:rsidP="00C66AC4">
      <w:pPr>
        <w:spacing w:line="480" w:lineRule="auto"/>
        <w:ind w:firstLine="720"/>
        <w:rPr>
          <w:rFonts w:eastAsia="바탕"/>
        </w:rPr>
      </w:pPr>
      <w:r w:rsidRPr="00702882">
        <w:t>Withdrawal tied to revenue or economic volatility refers to withdrawal conditions that are based on downward fluctuations in the economy or revenue; when revenue or economic indicators fall below a specific growth rate or baselines, states transfer money from their BSFs to general funds (</w:t>
      </w:r>
      <w:r w:rsidR="00DE529E" w:rsidRPr="00702882">
        <w:rPr>
          <w:rFonts w:eastAsia="맑은 고딕"/>
        </w:rPr>
        <w:t xml:space="preserve">The </w:t>
      </w:r>
      <w:r w:rsidR="00DE529E" w:rsidRPr="00702882">
        <w:t>Pew Charitable Trusts</w:t>
      </w:r>
      <w:r w:rsidRPr="00702882">
        <w:t xml:space="preserve">, 2017). </w:t>
      </w:r>
      <w:r w:rsidR="00673EEF" w:rsidRPr="00702882">
        <w:rPr>
          <w:rFonts w:eastAsia="바탕"/>
        </w:rPr>
        <w:t xml:space="preserve">In Minnesota, the budget reserve can be accessed in instances where decreased growth in total wages, retail sales, or employment indicates economic downturns </w:t>
      </w:r>
      <w:r w:rsidRPr="00702882">
        <w:rPr>
          <w:rFonts w:eastAsia="바탕"/>
        </w:rPr>
        <w:t>(Minn. Stat. § 16A.152).</w:t>
      </w:r>
      <w:r w:rsidR="00673EEF" w:rsidRPr="00702882">
        <w:rPr>
          <w:rFonts w:eastAsia="바탕"/>
        </w:rPr>
        <w:t xml:space="preserve"> Arkansas can tap into its BSF if the official forecast of gross general revenue indicates a projected increase of less than </w:t>
      </w:r>
      <w:r w:rsidR="00B77FB3" w:rsidRPr="00702882">
        <w:rPr>
          <w:rFonts w:eastAsia="바탕"/>
        </w:rPr>
        <w:t>three</w:t>
      </w:r>
      <w:r w:rsidR="00673EEF" w:rsidRPr="00702882">
        <w:rPr>
          <w:rFonts w:eastAsia="바탕"/>
        </w:rPr>
        <w:t xml:space="preserve"> percent compared to the previous year </w:t>
      </w:r>
      <w:r w:rsidRPr="00702882">
        <w:rPr>
          <w:rFonts w:eastAsia="바탕"/>
        </w:rPr>
        <w:t>(A.C.A. § 19-6-486).</w:t>
      </w:r>
      <w:r w:rsidR="00AB45D0" w:rsidRPr="00702882">
        <w:rPr>
          <w:rFonts w:eastAsia="바탕"/>
        </w:rPr>
        <w:t xml:space="preserve"> </w:t>
      </w:r>
    </w:p>
    <w:p w14:paraId="759260DD" w14:textId="57E58415" w:rsidR="00AF6702" w:rsidRPr="00702882" w:rsidRDefault="00AF6702" w:rsidP="00B77FB3">
      <w:pPr>
        <w:spacing w:line="480" w:lineRule="auto"/>
        <w:ind w:firstLine="720"/>
        <w:rPr>
          <w:rFonts w:eastAsiaTheme="minorEastAsia"/>
        </w:rPr>
      </w:pPr>
      <w:r w:rsidRPr="00702882">
        <w:rPr>
          <w:b/>
          <w:bCs/>
          <w:i/>
          <w:iCs/>
        </w:rPr>
        <w:t>Stringency</w:t>
      </w:r>
      <w:r w:rsidRPr="00702882">
        <w:t xml:space="preserve">: Deposit by formula helps ensure that states save unobligated general funds into their BSFs during boom years (Hendrick et al., 2019; Hou, 2004; </w:t>
      </w:r>
      <w:r w:rsidR="008F42AD" w:rsidRPr="00702882">
        <w:rPr>
          <w:rFonts w:eastAsia="맑은 고딕"/>
        </w:rPr>
        <w:t xml:space="preserve">The </w:t>
      </w:r>
      <w:r w:rsidR="008F42AD" w:rsidRPr="00702882">
        <w:t>Pew Charitable Trusts</w:t>
      </w:r>
      <w:r w:rsidRPr="00702882">
        <w:t xml:space="preserve">, 2014; Wagner 2004). </w:t>
      </w:r>
      <w:r w:rsidR="00416081" w:rsidRPr="00702882">
        <w:t>Thus, it has a high degree of obligation due to mandatory savings requirements triggered by revenue increases or economic growth.</w:t>
      </w:r>
      <w:r w:rsidR="00416081" w:rsidRPr="00702882">
        <w:rPr>
          <w:rFonts w:eastAsiaTheme="minorEastAsia"/>
        </w:rPr>
        <w:t xml:space="preserve"> </w:t>
      </w:r>
      <w:r w:rsidRPr="00702882">
        <w:t>By the same token, withdrawal by formula does not allow states to make unnecessary withdrawal but permits them to use their BSFs only when there is weak or negative revenue or economic growth.</w:t>
      </w:r>
      <w:r w:rsidR="0036545E" w:rsidRPr="00702882">
        <w:rPr>
          <w:rFonts w:eastAsiaTheme="minorEastAsia"/>
        </w:rPr>
        <w:t xml:space="preserve"> </w:t>
      </w:r>
      <w:r w:rsidR="00B77FB3" w:rsidRPr="00702882">
        <w:rPr>
          <w:rFonts w:eastAsiaTheme="minorEastAsia"/>
        </w:rPr>
        <w:t xml:space="preserve">Thus, deposits and withdrawals tied to revenue or economic volatility receive one point for obligation. A clearly defined formula limits executive or legislative discretion in determining the amount of deposits or withdrawals. Consequently, deposits and withdrawals tied to revenue or economic volatility also receive one point for precision. </w:t>
      </w:r>
      <w:r w:rsidRPr="00702882">
        <w:t>However, states adopt numerous formulas and economic indicators to tie deposits/withdrawals with revenue volatility; thus, it makes generalization difficult.</w:t>
      </w:r>
      <w:r w:rsidRPr="00702882">
        <w:rPr>
          <w:b/>
          <w:bCs/>
        </w:rPr>
        <w:t xml:space="preserve"> </w:t>
      </w:r>
      <w:r w:rsidRPr="00702882">
        <w:t xml:space="preserve">I will delve into </w:t>
      </w:r>
      <w:r w:rsidRPr="00702882">
        <w:rPr>
          <w:rFonts w:eastAsiaTheme="minorEastAsia"/>
        </w:rPr>
        <w:t>the</w:t>
      </w:r>
      <w:r w:rsidRPr="00702882">
        <w:t xml:space="preserve"> deposit tied to revenue volatility in Section 7. Qualitative Analysis.</w:t>
      </w:r>
    </w:p>
    <w:p w14:paraId="0B9AFF8A" w14:textId="77777777" w:rsidR="00AF6702" w:rsidRPr="00702882" w:rsidRDefault="00AF6702" w:rsidP="00C66AC4">
      <w:pPr>
        <w:spacing w:line="480" w:lineRule="auto"/>
        <w:ind w:firstLine="360"/>
        <w:rPr>
          <w:b/>
          <w:bCs/>
          <w:i/>
          <w:iCs/>
        </w:rPr>
      </w:pPr>
      <w:r w:rsidRPr="00702882">
        <w:rPr>
          <w:b/>
          <w:bCs/>
          <w:i/>
          <w:iCs/>
        </w:rPr>
        <w:lastRenderedPageBreak/>
        <w:t>2.4.6 Deposit in Other Ways</w:t>
      </w:r>
    </w:p>
    <w:p w14:paraId="544A1158" w14:textId="3EE76739" w:rsidR="00AF6702" w:rsidRPr="00702882" w:rsidRDefault="00AF6702" w:rsidP="00C66AC4">
      <w:pPr>
        <w:spacing w:line="480" w:lineRule="auto"/>
        <w:ind w:firstLine="720"/>
        <w:rPr>
          <w:rFonts w:eastAsiaTheme="minorEastAsia"/>
        </w:rPr>
      </w:pPr>
      <w:r w:rsidRPr="00702882">
        <w:t xml:space="preserve">The deposit rules of four states do not fit into any classification of the deposit rules discussed before. Some of them adopted minimum deposit requirement that obliges to maintain a certain percentage of general fund revenues in their BSFs (Hou, 2004). In Maryland, if the account balance is “below 3 percent of the estimated General Fund revenues for that fiscal year,” </w:t>
      </w:r>
      <w:r w:rsidR="00673EEF" w:rsidRPr="00702882">
        <w:rPr>
          <w:rFonts w:eastAsiaTheme="minorEastAsia"/>
        </w:rPr>
        <w:t>t</w:t>
      </w:r>
      <w:r w:rsidR="00673EEF" w:rsidRPr="00702882">
        <w:t>he Governor will include in the budget bill an appropriation to the Account of at least $100 million</w:t>
      </w:r>
      <w:r w:rsidR="00673EEF" w:rsidRPr="00702882">
        <w:rPr>
          <w:rFonts w:eastAsiaTheme="minorEastAsia"/>
        </w:rPr>
        <w:t xml:space="preserve"> </w:t>
      </w:r>
      <w:r w:rsidRPr="00702882">
        <w:t>(Md. State Finance &amp; Procurement Code Ann. Section 7-311).</w:t>
      </w:r>
      <w:r w:rsidRPr="00702882">
        <w:rPr>
          <w:rStyle w:val="a5"/>
        </w:rPr>
        <w:footnoteReference w:id="19"/>
      </w:r>
      <w:r w:rsidRPr="00702882">
        <w:t xml:space="preserve"> </w:t>
      </w:r>
      <w:r w:rsidR="00673EEF" w:rsidRPr="00702882">
        <w:t>The state of Ohio mandates maintaining an amount of money in the</w:t>
      </w:r>
      <w:r w:rsidR="00673EEF" w:rsidRPr="00702882">
        <w:rPr>
          <w:rFonts w:eastAsiaTheme="minorEastAsia"/>
        </w:rPr>
        <w:t xml:space="preserve"> BSF</w:t>
      </w:r>
      <w:r w:rsidR="00673EEF" w:rsidRPr="00702882">
        <w:t xml:space="preserve"> equivalent to 8.5 percent of the general fund revenues from the preceding fiscal year</w:t>
      </w:r>
      <w:r w:rsidR="00673EEF" w:rsidRPr="00702882">
        <w:rPr>
          <w:rFonts w:eastAsiaTheme="minorEastAsia"/>
        </w:rPr>
        <w:t xml:space="preserve"> </w:t>
      </w:r>
      <w:r w:rsidRPr="00702882">
        <w:t>(ORC Ann. 131.43).</w:t>
      </w:r>
    </w:p>
    <w:p w14:paraId="3888505C" w14:textId="77777777" w:rsidR="00AF6702" w:rsidRPr="00702882" w:rsidRDefault="00AF6702" w:rsidP="00C66AC4">
      <w:pPr>
        <w:spacing w:line="480" w:lineRule="auto"/>
        <w:ind w:firstLine="720"/>
        <w:rPr>
          <w:rFonts w:eastAsiaTheme="minorEastAsia"/>
        </w:rPr>
      </w:pPr>
      <w:r w:rsidRPr="00702882">
        <w:rPr>
          <w:b/>
          <w:bCs/>
          <w:i/>
          <w:iCs/>
        </w:rPr>
        <w:t>Stringency</w:t>
      </w:r>
      <w:r w:rsidRPr="00702882">
        <w:t>: Deposit requirements of Maryland and Ohio oblige states to retain a certain proportion of revenues in their BSFs, such as “3 percent of the general fund revenue” for Maryland or “8.5 percent of the general fund revenue” for Ohio. However, these thresholds do not induce states to save more than a fixed percentage of the general fund revenue. For example, if Ohio already has more than 8.5 percent of the general fund revenues in its BSF, the state is not required to save more revenue even when there is revenue surplus. Therefore, the level of savings commitment is comparatively less stringent in comparison to depositing funds based on revenue surplus or linking deposits to revenue volatility. The requirement for states to allocate additional funds when a revenue surplus is generated applies to both deposits based on revenue surplus and deposits tied to revenue volatility.</w:t>
      </w:r>
    </w:p>
    <w:p w14:paraId="607FA8C5" w14:textId="77777777" w:rsidR="00AF6702" w:rsidRPr="00702882" w:rsidRDefault="00AF6702" w:rsidP="00C66AC4">
      <w:pPr>
        <w:spacing w:line="480" w:lineRule="auto"/>
        <w:ind w:firstLine="720"/>
        <w:rPr>
          <w:rFonts w:eastAsiaTheme="minorEastAsia"/>
          <w:color w:val="7030A0"/>
        </w:rPr>
      </w:pPr>
    </w:p>
    <w:p w14:paraId="5868446F" w14:textId="77777777" w:rsidR="00AE159C" w:rsidRPr="00702882" w:rsidRDefault="00AE159C" w:rsidP="00C66AC4">
      <w:pPr>
        <w:spacing w:line="480" w:lineRule="auto"/>
        <w:ind w:firstLine="720"/>
        <w:rPr>
          <w:rFonts w:eastAsiaTheme="minorEastAsia"/>
          <w:color w:val="7030A0"/>
        </w:rPr>
      </w:pPr>
    </w:p>
    <w:p w14:paraId="1C7A751F" w14:textId="77777777" w:rsidR="00AF6702" w:rsidRPr="00702882" w:rsidRDefault="00AF6702" w:rsidP="00C66AC4">
      <w:pPr>
        <w:spacing w:line="480" w:lineRule="auto"/>
        <w:ind w:firstLine="360"/>
        <w:rPr>
          <w:b/>
          <w:bCs/>
          <w:i/>
          <w:iCs/>
        </w:rPr>
      </w:pPr>
      <w:r w:rsidRPr="00702882">
        <w:rPr>
          <w:b/>
          <w:bCs/>
          <w:i/>
          <w:iCs/>
        </w:rPr>
        <w:lastRenderedPageBreak/>
        <w:t>2.4.7 Caps on BSF balances</w:t>
      </w:r>
    </w:p>
    <w:p w14:paraId="4A954C36" w14:textId="46BDB9A9" w:rsidR="00C84914" w:rsidRPr="00702882" w:rsidRDefault="00AF6702" w:rsidP="00C66AC4">
      <w:pPr>
        <w:spacing w:line="480" w:lineRule="auto"/>
        <w:ind w:firstLine="720"/>
        <w:rPr>
          <w:rFonts w:eastAsiaTheme="minorEastAsia"/>
        </w:rPr>
      </w:pPr>
      <w:r w:rsidRPr="00702882">
        <w:t xml:space="preserve">States impose different levels of caps on the amount of money that must be maintained in their BSFs (Hou 2004; McNichol 2014). </w:t>
      </w:r>
      <w:r w:rsidR="00C84914" w:rsidRPr="00702882">
        <w:t>Hou (2004) categorized the caps into four ranges based on balance levels expressed as a percentage of each state's general fund expenditures: 1) Cap I: 2 to 4 percent</w:t>
      </w:r>
      <w:r w:rsidR="00C84914" w:rsidRPr="00702882">
        <w:rPr>
          <w:rFonts w:eastAsiaTheme="minorEastAsia"/>
        </w:rPr>
        <w:t xml:space="preserve">, </w:t>
      </w:r>
      <w:r w:rsidR="00C84914" w:rsidRPr="00702882">
        <w:t>2) Cap II: 4 to 7 percent</w:t>
      </w:r>
      <w:r w:rsidR="00C84914" w:rsidRPr="00702882">
        <w:rPr>
          <w:rFonts w:eastAsiaTheme="minorEastAsia"/>
        </w:rPr>
        <w:t xml:space="preserve">, </w:t>
      </w:r>
      <w:r w:rsidR="00C84914" w:rsidRPr="00702882">
        <w:t>3) Cap III: 7 to 12 percent</w:t>
      </w:r>
      <w:r w:rsidR="00C84914" w:rsidRPr="00702882">
        <w:rPr>
          <w:rFonts w:eastAsiaTheme="minorEastAsia"/>
        </w:rPr>
        <w:t xml:space="preserve">, and </w:t>
      </w:r>
      <w:r w:rsidR="00C84914" w:rsidRPr="00702882">
        <w:t>4) Cap IV: No limit</w:t>
      </w:r>
      <w:r w:rsidR="00C84914" w:rsidRPr="00702882">
        <w:rPr>
          <w:rFonts w:eastAsiaTheme="minorEastAsia"/>
        </w:rPr>
        <w:t xml:space="preserve"> </w:t>
      </w:r>
      <w:sdt>
        <w:sdtPr>
          <w:rPr>
            <w:rFonts w:eastAsiaTheme="minorEastAsia"/>
            <w:color w:val="000000"/>
          </w:rPr>
          <w:tag w:val="MENDELEY_CITATION_v3_eyJjaXRhdGlvbklEIjoiTUVOREVMRVlfQ0lUQVRJT05fOGNhY2UxMDEtOTg4Ny00NGNhLTk0NmEtZjE5ZTBlNDA4NTc4IiwicHJvcGVydGllcyI6eyJub3RlSW5kZXgiOjB9LCJpc0VkaXRlZCI6ZmFsc2UsIm1hbnVhbE92ZXJyaWRlIjp7ImlzTWFudWFsbHlPdmVycmlkZGVuIjpmYWxzZSwiY2l0ZXByb2NUZXh0IjoiKEhvdS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XX0="/>
          <w:id w:val="90443119"/>
          <w:placeholder>
            <w:docPart w:val="DefaultPlaceholder_-1854013440"/>
          </w:placeholder>
        </w:sdtPr>
        <w:sdtContent>
          <w:r w:rsidR="00F520AD" w:rsidRPr="00F520AD">
            <w:rPr>
              <w:rFonts w:eastAsiaTheme="minorEastAsia"/>
              <w:color w:val="000000"/>
            </w:rPr>
            <w:t>(Hou, 2004)</w:t>
          </w:r>
        </w:sdtContent>
      </w:sdt>
      <w:r w:rsidR="00C84914" w:rsidRPr="00702882">
        <w:rPr>
          <w:rFonts w:eastAsiaTheme="minorEastAsia"/>
        </w:rPr>
        <w:t xml:space="preserve">. </w:t>
      </w:r>
      <w:r w:rsidR="00C84914" w:rsidRPr="00702882">
        <w:t>In his study, Hou (2004) used the 5 percent rule as a benchmark (the medium cap), as 21 states adopted this rule.</w:t>
      </w:r>
      <w:r w:rsidR="008F0FB8" w:rsidRPr="00702882">
        <w:rPr>
          <w:rFonts w:eastAsiaTheme="minorEastAsia"/>
        </w:rPr>
        <w:t xml:space="preserve"> </w:t>
      </w:r>
    </w:p>
    <w:p w14:paraId="13353786" w14:textId="7A9C5E65" w:rsidR="00AF6702" w:rsidRPr="00702882" w:rsidRDefault="00AF6702" w:rsidP="00C66AC4">
      <w:pPr>
        <w:spacing w:line="480" w:lineRule="auto"/>
        <w:ind w:firstLine="720"/>
      </w:pPr>
      <w:r w:rsidRPr="00702882">
        <w:t xml:space="preserve">However, several studies claim that the 5 percent rule is not enough to provide an adequate financial cushion </w:t>
      </w:r>
      <w:sdt>
        <w:sdtPr>
          <w:tag w:val="MENDELEY_CITATION_v3_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"/>
          <w:id w:val="181409158"/>
          <w:placeholder>
            <w:docPart w:val="C50D9189A1594675BB06AF137AF06CB0"/>
          </w:placeholder>
        </w:sdtPr>
        <w:sdtContent>
          <w:r w:rsidR="00F520AD">
            <w:t>(Joyce, 2001; McNichol, 2014; Navin &amp; Navin, 2003; The Pew Charitable Trusts, 2014)</w:t>
          </w:r>
        </w:sdtContent>
      </w:sdt>
      <w:r w:rsidRPr="00702882">
        <w:t xml:space="preserve">. 12 states out of 21 states increased their caps on BSF balance levels, and now only 9 states use this range (2-5%). </w:t>
      </w:r>
      <w:r w:rsidRPr="00702882">
        <w:rPr>
          <w:rFonts w:eastAsiaTheme="minorEastAsia"/>
        </w:rPr>
        <w:t>Furthermore, certain states (e.g., Utah’s Budget Reserve Account in 2012 and 2015) increase the cap by 1 – 2 percent, rendering the large interval of the category from 4 to 5 percent unable to capture this minor adjustment. To enhance precision and sensitivity to subtle changes, this study employs a numerical variable for the cap, represented as a percentage of general fund expenditures, rather than utilizing a categorical variable with a wide interval.</w:t>
      </w:r>
    </w:p>
    <w:p w14:paraId="3DD78721" w14:textId="595B7F40" w:rsidR="00AF6702" w:rsidRPr="00702882" w:rsidRDefault="00AF6702" w:rsidP="006335D3">
      <w:pPr>
        <w:spacing w:line="480" w:lineRule="auto"/>
        <w:ind w:firstLine="720"/>
        <w:rPr>
          <w:rFonts w:eastAsiaTheme="minorEastAsia"/>
          <w:bCs/>
        </w:rPr>
      </w:pPr>
      <w:r w:rsidRPr="00702882">
        <w:rPr>
          <w:b/>
          <w:bCs/>
          <w:i/>
          <w:iCs/>
        </w:rPr>
        <w:t>Stringency</w:t>
      </w:r>
      <w:r w:rsidRPr="00702882">
        <w:t xml:space="preserve">: The lexical meaning of the “cap” is a limit that is placed on BSF balance. In practice, however, it does not limit the size of BSF balance because states have rarely reached their cap levels; instead, the cap works as a “target not yet reached” (Hou, 2004). </w:t>
      </w:r>
      <w:r w:rsidRPr="00702882">
        <w:rPr>
          <w:bCs/>
        </w:rPr>
        <w:t xml:space="preserve">The level of stringency depends on the level of the cap. The higher the cap, the greater the target a state can reach. The higher cap allows states to deposit more money into their BSFs, thus it has greater savings obligation than the lower cap level. The cap is precisely defined with specific cap levels, expressed as the percentage of general fund revenues or expenditures, thus </w:t>
      </w:r>
      <w:r w:rsidR="007537F5" w:rsidRPr="00702882">
        <w:rPr>
          <w:rFonts w:eastAsiaTheme="minorEastAsia"/>
          <w:bCs/>
        </w:rPr>
        <w:t>one</w:t>
      </w:r>
      <w:r w:rsidRPr="00702882">
        <w:rPr>
          <w:bCs/>
        </w:rPr>
        <w:t xml:space="preserve"> point is given for the precision of </w:t>
      </w:r>
      <w:r w:rsidRPr="00702882">
        <w:rPr>
          <w:rFonts w:eastAsiaTheme="minorEastAsia"/>
          <w:bCs/>
        </w:rPr>
        <w:t>saving condition</w:t>
      </w:r>
      <w:r w:rsidRPr="00702882">
        <w:rPr>
          <w:bCs/>
        </w:rPr>
        <w:t>.</w:t>
      </w:r>
    </w:p>
    <w:p w14:paraId="1067E451" w14:textId="77777777" w:rsidR="00AF6702" w:rsidRPr="00702882" w:rsidRDefault="00AF6702" w:rsidP="00C66AC4">
      <w:pPr>
        <w:spacing w:line="480" w:lineRule="auto"/>
        <w:ind w:firstLine="360"/>
        <w:rPr>
          <w:b/>
          <w:bCs/>
          <w:i/>
          <w:iCs/>
        </w:rPr>
      </w:pPr>
      <w:r w:rsidRPr="00702882">
        <w:rPr>
          <w:b/>
          <w:bCs/>
          <w:i/>
          <w:iCs/>
        </w:rPr>
        <w:lastRenderedPageBreak/>
        <w:t xml:space="preserve">2.4.8 Withdrawal Limits </w:t>
      </w:r>
    </w:p>
    <w:p w14:paraId="7CAEBD68" w14:textId="2D7B3FBD" w:rsidR="00AF6702" w:rsidRPr="00702882" w:rsidRDefault="00AF6702" w:rsidP="00C66AC4">
      <w:pPr>
        <w:spacing w:line="480" w:lineRule="auto"/>
        <w:ind w:firstLine="720"/>
        <w:rPr>
          <w:rFonts w:eastAsiaTheme="minorEastAsia"/>
        </w:rPr>
      </w:pPr>
      <w:r w:rsidRPr="00702882">
        <w:t xml:space="preserve">During the first year of the Great Recession, nine states used the entirety of their BSF balances </w:t>
      </w:r>
      <w:sdt>
        <w:sdtPr>
          <w:rPr>
            <w:color w:val="000000"/>
          </w:rPr>
          <w:tag w:val="MENDELEY_CITATION_v3_eyJjaXRhdGlvbklEIjoiTUVOREVMRVlfQ0lUQVRJT05fMjgxMDU5MWUtZWYzMy00ZjJkLWIyMWItYmYwY2Y2NTliYjViIiwicHJvcGVydGllcyI6eyJub3RlSW5kZXgiOjB9LCJpc0VkaXRlZCI6ZmFsc2UsIm1hbnVhbE92ZXJyaWRlIjp7ImlzTWFudWFsbHlPdmVycmlkZGVuIjpmYWxzZSwiY2l0ZXByb2NUZXh0IjoiKFRoZSBQZXcgQ2hhcml0YWJsZSBUcnVzdHMsIDIwMTcpIiwibWFudWFsT3ZlcnJpZGVUZXh0IjoiIn0sImNpdGF0aW9uSXRlbXMiOlt7ImlkIjoiYTIzYTcwNGMtMDc4MS0zMDdhLWE1Y2MtZmNiYzdhODU2YTQ3Ii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LCJpc1RlbXBvcmFyeSI6ZmFsc2V9XX0="/>
          <w:id w:val="-656688820"/>
          <w:placeholder>
            <w:docPart w:val="8EB609DFBD26478192D11C82737E0DED"/>
          </w:placeholder>
        </w:sdtPr>
        <w:sdtContent>
          <w:r w:rsidR="00F520AD" w:rsidRPr="00F520AD">
            <w:rPr>
              <w:color w:val="000000"/>
            </w:rPr>
            <w:t>(The Pew Charitable Trusts, 2017)</w:t>
          </w:r>
        </w:sdtContent>
      </w:sdt>
      <w:r w:rsidRPr="00702882">
        <w:t>. To prevent such fund depletion, many states have set spending limits, ensuring a portion of the BSF balance remains for future use</w:t>
      </w:r>
      <w:r w:rsidR="003D7C4F" w:rsidRPr="00702882">
        <w:rPr>
          <w:color w:val="000000"/>
        </w:rPr>
        <w:t xml:space="preserve"> </w:t>
      </w:r>
      <w:sdt>
        <w:sdtPr>
          <w:rPr>
            <w:color w:val="000000"/>
          </w:rPr>
          <w:tag w:val="MENDELEY_CITATION_v3_eyJjaXRhdGlvbklEIjoiTUVOREVMRVlfQ0lUQVRJT05fYzZlYjRlNGYtOGNhZS00NGU1LWIxYTMtOTM1NmY0YWI2OWFiIiwicHJvcGVydGllcyI6eyJub3RlSW5kZXgiOjB9LCJpc0VkaXRlZCI6ZmFsc2UsIm1hbnVhbE92ZXJyaWRlIjp7ImlzTWFudWFsbHlPdmVycmlkZGVuIjpmYWxzZSwiY2l0ZXByb2NUZXh0IjoiKFRoZSBQZXcgQ2hhcml0YWJsZSBUcnVzdHMsIDIwMTcpIiwibWFudWFsT3ZlcnJpZGVUZXh0IjoiIn0sImNpdGF0aW9uSXRlbXMiOlt7ImlkIjoiYTIzYTcwNGMtMDc4MS0zMDdhLWE1Y2MtZmNiYzdhODU2YTQ3Ii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LCJpc1RlbXBvcmFyeSI6ZmFsc2V9XX0="/>
          <w:id w:val="-676647513"/>
          <w:placeholder>
            <w:docPart w:val="AF64FE8F55294D09BA10917883D0BC6E"/>
          </w:placeholder>
        </w:sdtPr>
        <w:sdtContent>
          <w:r w:rsidR="00F520AD" w:rsidRPr="00F520AD">
            <w:rPr>
              <w:color w:val="000000"/>
            </w:rPr>
            <w:t>(The Pew Charitable Trusts, 2017)</w:t>
          </w:r>
        </w:sdtContent>
      </w:sdt>
      <w:r w:rsidR="003D7C4F" w:rsidRPr="00702882">
        <w:t>.</w:t>
      </w:r>
      <w:r w:rsidR="003D7C4F" w:rsidRPr="00702882">
        <w:rPr>
          <w:rFonts w:eastAsiaTheme="minorEastAsia"/>
        </w:rPr>
        <w:t xml:space="preserve"> </w:t>
      </w:r>
      <w:r w:rsidRPr="00702882">
        <w:t xml:space="preserve">Some states limit the same amount of money withdrawn from their BSFs regardless of BSF balance level or the scale of a budget shortfall, called a “static limit,” while others limit the proportion of the BSF balance or the proportion of the budget shortfall, called a “proportional limit” </w:t>
      </w:r>
      <w:sdt>
        <w:sdtPr>
          <w:rPr>
            <w:color w:val="000000"/>
          </w:rPr>
          <w:tag w:val="MENDELEY_CITATION_v3_eyJjaXRhdGlvbklEIjoiTUVOREVMRVlfQ0lUQVRJT05fMGI5NjRmMTItNTVhOS00NWU2LWE4YjMtNDQwOWI1YmNhZTJhIiwicHJvcGVydGllcyI6eyJub3RlSW5kZXgiOjB9LCJpc0VkaXRlZCI6ZmFsc2UsIm1hbnVhbE92ZXJyaWRlIjp7ImlzTWFudWFsbHlPdmVycmlkZGVuIjpmYWxzZSwiY2l0ZXByb2NUZXh0IjoiKFRoZSBQZXcgQ2hhcml0YWJsZSBUcnVzdHMsIDIwMTcpIiwibWFudWFsT3ZlcnJpZGVUZXh0IjoiIn0sImNpdGF0aW9uSXRlbXMiOlt7ImlkIjoiYTIzYTcwNGMtMDc4MS0zMDdhLWE1Y2MtZmNiYzdhODU2YTQ3Ii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LCJpc1RlbXBvcmFyeSI6ZmFsc2V9XX0="/>
          <w:id w:val="813911968"/>
          <w:placeholder>
            <w:docPart w:val="DefaultPlaceholder_-1854013440"/>
          </w:placeholder>
        </w:sdtPr>
        <w:sdtContent>
          <w:r w:rsidR="00F520AD" w:rsidRPr="00F520AD">
            <w:rPr>
              <w:color w:val="000000"/>
            </w:rPr>
            <w:t>(The Pew Charitable Trusts, 2017)</w:t>
          </w:r>
        </w:sdtContent>
      </w:sdt>
      <w:r w:rsidRPr="00702882">
        <w:t>.</w:t>
      </w:r>
    </w:p>
    <w:p w14:paraId="56A531A5" w14:textId="4F888D5F" w:rsidR="00AF6702" w:rsidRPr="00702882" w:rsidRDefault="00AF6702" w:rsidP="00C66AC4">
      <w:pPr>
        <w:spacing w:line="480" w:lineRule="auto"/>
        <w:ind w:firstLine="720"/>
      </w:pPr>
      <w:r w:rsidRPr="00702882">
        <w:t xml:space="preserve">Alabama and North Carolina provide examples of a proportional withdrawal limit. Expenditures from their BSFs should not </w:t>
      </w:r>
      <w:r w:rsidR="00BA3048" w:rsidRPr="00702882">
        <w:rPr>
          <w:rFonts w:eastAsiaTheme="minorEastAsia"/>
        </w:rPr>
        <w:t>surpass</w:t>
      </w:r>
      <w:r w:rsidRPr="00702882">
        <w:t xml:space="preserve"> 10 percent of the p</w:t>
      </w:r>
      <w:r w:rsidR="00BA3048" w:rsidRPr="00702882">
        <w:rPr>
          <w:rFonts w:eastAsiaTheme="minorEastAsia"/>
        </w:rPr>
        <w:t>rior</w:t>
      </w:r>
      <w:r w:rsidRPr="00702882">
        <w:t xml:space="preserve"> fiscal year’s general fund appropriations in Alabama (Alabama Const. Art. XIV, [sec.260.02]) and in North Carolina (N.C. Gen. Stat. § 143C-4-2). Mississippi’s Working Cash Stabilization Reserve Fund is an example of a static limit. Mississippi can transfer money “not more than fifty million dollars” from the Reserve Fund to general funds to reduce the deficit (Miss. Code Ann. § 27-103-203). </w:t>
      </w:r>
    </w:p>
    <w:p w14:paraId="39240C58" w14:textId="1D80AB7A" w:rsidR="00582BA6" w:rsidRPr="00702882" w:rsidRDefault="00AF6702" w:rsidP="00951E75">
      <w:pPr>
        <w:spacing w:line="480" w:lineRule="auto"/>
        <w:ind w:firstLine="720"/>
        <w:rPr>
          <w:rFonts w:eastAsiaTheme="minorEastAsia"/>
        </w:rPr>
      </w:pPr>
      <w:r w:rsidRPr="00702882">
        <w:rPr>
          <w:b/>
          <w:bCs/>
          <w:i/>
          <w:iCs/>
        </w:rPr>
        <w:t>Stringency</w:t>
      </w:r>
      <w:r w:rsidRPr="00702882">
        <w:t xml:space="preserve">: Withdrawal limit specifies the exact amount of money that can be withdrawn from a state’s BSF. It restricts policymakers' discretion in deciding the amount of BSF spending, preventing the levels of BSF balances from drastically decreasing (Hendrick et al., 2019). </w:t>
      </w:r>
      <w:r w:rsidR="00D709BE" w:rsidRPr="00702882">
        <w:rPr>
          <w:rFonts w:eastAsiaTheme="minorEastAsia"/>
        </w:rPr>
        <w:t xml:space="preserve">The restrictive nature of the withdrawal limit can be seen as more demanding than BSF requirements that do not have a limit on the amount of withdrawal, so it receives one point for obligation (or restriction). Additionally, as the withdrawal limit precisely defines the amount of money that can be used, it earns one point for precision. </w:t>
      </w:r>
      <w:r w:rsidRPr="00702882">
        <w:t>However, as the amounts and methods of the withdrawal limit vary from state to state, further research and careful interpretation are needed to determine the stringency of this requirement.</w:t>
      </w:r>
      <w:r w:rsidR="00D709BE" w:rsidRPr="00702882">
        <w:rPr>
          <w:rFonts w:eastAsiaTheme="minorEastAsia"/>
        </w:rPr>
        <w:t xml:space="preserve"> </w:t>
      </w:r>
    </w:p>
    <w:p w14:paraId="74A973B3" w14:textId="77777777" w:rsidR="00AF6702" w:rsidRPr="00702882" w:rsidRDefault="00AF6702" w:rsidP="00C66AC4">
      <w:pPr>
        <w:spacing w:line="480" w:lineRule="auto"/>
        <w:ind w:firstLine="360"/>
        <w:rPr>
          <w:b/>
          <w:bCs/>
          <w:i/>
          <w:iCs/>
        </w:rPr>
      </w:pPr>
      <w:r w:rsidRPr="00702882">
        <w:rPr>
          <w:b/>
          <w:bCs/>
          <w:i/>
          <w:iCs/>
        </w:rPr>
        <w:lastRenderedPageBreak/>
        <w:t>2.4.9 Repayment Provision</w:t>
      </w:r>
    </w:p>
    <w:p w14:paraId="23C8863A" w14:textId="15B3E3DD" w:rsidR="00AF6702" w:rsidRPr="00702882" w:rsidRDefault="00AF6702" w:rsidP="00C66AC4">
      <w:pPr>
        <w:spacing w:line="480" w:lineRule="auto"/>
        <w:ind w:firstLine="720"/>
        <w:rPr>
          <w:rFonts w:eastAsiaTheme="minorEastAsia"/>
          <w:b/>
          <w:bCs/>
        </w:rPr>
      </w:pPr>
      <w:r w:rsidRPr="00702882">
        <w:t xml:space="preserve">Repayment provision requires states to repay any money drawn down on the BSF within a specified period. Strict repayment provisions are designed to maintain sufficient BSF balances as states are concerned about credit ratings and preparation for the next economic downturn </w:t>
      </w:r>
      <w:sdt>
        <w:sdtPr>
          <w:rPr>
            <w:color w:val="000000"/>
          </w:rPr>
          <w:tag w:val="MENDELEY_CITATION_v3_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"/>
          <w:id w:val="258346324"/>
          <w:placeholder>
            <w:docPart w:val="DefaultPlaceholder_-1854013440"/>
          </w:placeholder>
        </w:sdtPr>
        <w:sdtContent>
          <w:r w:rsidR="00F520AD" w:rsidRPr="00F520AD">
            <w:rPr>
              <w:color w:val="000000"/>
            </w:rPr>
            <w:t>(The Pew Charitable Trust, 2017)</w:t>
          </w:r>
        </w:sdtContent>
      </w:sdt>
      <w:r w:rsidRPr="00702882">
        <w:t>. A specific repayment period is stipulated in the statutes of most states. For example, the state of Missouri must repay money withdrawn from the Budget Reserve Fund</w:t>
      </w:r>
      <w:r w:rsidR="00145FFE" w:rsidRPr="00702882">
        <w:rPr>
          <w:rFonts w:eastAsiaTheme="minorEastAsia"/>
        </w:rPr>
        <w:t xml:space="preserve"> along</w:t>
      </w:r>
      <w:r w:rsidRPr="00702882">
        <w:t xml:space="preserve"> with interest over the </w:t>
      </w:r>
      <w:r w:rsidR="00145FFE" w:rsidRPr="00702882">
        <w:rPr>
          <w:rFonts w:eastAsiaTheme="minorEastAsia"/>
        </w:rPr>
        <w:t>subsequent</w:t>
      </w:r>
      <w:r w:rsidRPr="00702882">
        <w:t xml:space="preserve"> three fiscal years (Mo. Const. Art. IV, § 27(a)). Minnesota’s statute requires the state to restore the budget reserve based on the economic cycle without specifying a repayment schedule (Minn. Stat. § 16A.152). This study divides repayment provision into</w:t>
      </w:r>
      <w:r w:rsidRPr="00702882">
        <w:rPr>
          <w:rFonts w:eastAsiaTheme="minorEastAsia"/>
        </w:rPr>
        <w:t xml:space="preserve"> four</w:t>
      </w:r>
      <w:r w:rsidRPr="00702882">
        <w:t xml:space="preserve"> operationalized groups: 1) a repayment period is not specified, 2) repay money spent within six years, 3) within three years, and 4) within a one year </w:t>
      </w:r>
      <w:sdt>
        <w:sdtPr>
          <w:rPr>
            <w:color w:val="000000"/>
          </w:rPr>
          <w:tag w:val="MENDELEY_CITATION_v3_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fV19"/>
          <w:id w:val="-103270838"/>
          <w:placeholder>
            <w:docPart w:val="71CE7E37EC214CB69A1C04E5C7CC70B5"/>
          </w:placeholder>
        </w:sdtPr>
        <w:sdtContent>
          <w:r w:rsidR="00F520AD" w:rsidRPr="00F520AD">
            <w:rPr>
              <w:color w:val="000000"/>
            </w:rPr>
            <w:t>(Hendrick et al., 2019; The Pew Charitable Trusts, 2017)</w:t>
          </w:r>
        </w:sdtContent>
      </w:sdt>
      <w:r w:rsidRPr="00702882">
        <w:t>.</w:t>
      </w:r>
    </w:p>
    <w:p w14:paraId="40140328" w14:textId="31A65705" w:rsidR="00AF6702" w:rsidRPr="00702882" w:rsidRDefault="00AF6702" w:rsidP="00BC28B9">
      <w:pPr>
        <w:spacing w:line="480" w:lineRule="auto"/>
        <w:ind w:firstLine="720"/>
        <w:rPr>
          <w:rFonts w:eastAsiaTheme="minorEastAsia"/>
          <w:color w:val="C00000"/>
        </w:rPr>
      </w:pPr>
      <w:r w:rsidRPr="00702882">
        <w:rPr>
          <w:b/>
          <w:bCs/>
          <w:i/>
          <w:iCs/>
        </w:rPr>
        <w:t>Stringency</w:t>
      </w:r>
      <w:r w:rsidRPr="00702882">
        <w:t xml:space="preserve">: Specific repayment terms make this requirement stringent because it forces a state government to restore the funds within a certain period. Repayment provisions with short repayment schedule made it difficult for states to use their BSFs even during the first year of the Great Recession despite substantial decreases in general fund revenue </w:t>
      </w:r>
      <w:sdt>
        <w:sdtPr>
          <w:rPr>
            <w:color w:val="000000"/>
          </w:rPr>
          <w:tag w:val="MENDELEY_CITATION_v3_eyJjaXRhdGlvbklEIjoiTUVOREVMRVlfQ0lUQVRJT05fNTllZjU2ODMtNzEwZC00YTkzLTkzZWQtYjY3OGFhYzE2YTUzIiwicHJvcGVydGllcyI6eyJub3RlSW5kZXgiOjB9LCJpc0VkaXRlZCI6ZmFsc2UsIm1hbnVhbE92ZXJyaWRlIjp7ImlzTWFudWFsbHlPdmVycmlkZGVuIjpmYWxzZSwiY2l0ZXByb2NUZXh0IjoiKFRoZSBQZXcgQ2hhcml0YWJsZSBUcnVzdHMsIDIwMTcpIiwibWFudWFsT3ZlcnJpZGVUZXh0IjoiIn0sImNpdGF0aW9uSXRlbXMiOlt7ImlkIjoiYTIzYTcwNGMtMDc4MS0zMDdhLWE1Y2MtZmNiYzdhODU2YTQ3Ii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LCJpc1RlbXBvcmFyeSI6ZmFsc2V9XX0="/>
          <w:id w:val="149722855"/>
          <w:placeholder>
            <w:docPart w:val="1A0AD3C0C7534B71B6EEDA1CAB602AF0"/>
          </w:placeholder>
        </w:sdtPr>
        <w:sdtContent>
          <w:r w:rsidR="00F520AD" w:rsidRPr="00F520AD">
            <w:rPr>
              <w:color w:val="000000"/>
            </w:rPr>
            <w:t>(The Pew Charitable Trusts, 2017)</w:t>
          </w:r>
        </w:sdtContent>
      </w:sdt>
      <w:r w:rsidRPr="00702882">
        <w:t xml:space="preserve">. Thus, the degree of obligation is expressed as the length of the repayment period and shorter repayment schedule indicates greater degree of stringency. Specific repayment terms make the requirement more precise. In contrast, repayment provision without specifying a repayment term is not considered stringent because repayment is flexibly made based on economic or budget conditions. Therefore, for its </w:t>
      </w:r>
      <w:r w:rsidRPr="00702882">
        <w:rPr>
          <w:rFonts w:eastAsiaTheme="minorEastAsia"/>
        </w:rPr>
        <w:t xml:space="preserve">degree of obligation, </w:t>
      </w:r>
      <w:r w:rsidRPr="00702882">
        <w:t>a “repay</w:t>
      </w:r>
      <w:r w:rsidRPr="00702882">
        <w:rPr>
          <w:rFonts w:eastAsiaTheme="minorEastAsia"/>
        </w:rPr>
        <w:t xml:space="preserve"> money borrowed from BSF within </w:t>
      </w:r>
      <w:r w:rsidR="00582BA6" w:rsidRPr="00702882">
        <w:rPr>
          <w:rFonts w:eastAsiaTheme="minorEastAsia"/>
        </w:rPr>
        <w:t>one</w:t>
      </w:r>
      <w:r w:rsidRPr="00702882">
        <w:rPr>
          <w:rFonts w:eastAsiaTheme="minorEastAsia"/>
        </w:rPr>
        <w:t xml:space="preserve"> year</w:t>
      </w:r>
      <w:r w:rsidRPr="00702882">
        <w:t xml:space="preserve">” is assigned </w:t>
      </w:r>
      <w:r w:rsidR="00582BA6" w:rsidRPr="00702882">
        <w:rPr>
          <w:rFonts w:eastAsiaTheme="minorEastAsia"/>
        </w:rPr>
        <w:t>one</w:t>
      </w:r>
      <w:r w:rsidRPr="00702882">
        <w:t xml:space="preserve"> point, whereas a “repayment</w:t>
      </w:r>
      <w:r w:rsidRPr="00702882">
        <w:rPr>
          <w:rFonts w:eastAsiaTheme="minorEastAsia"/>
        </w:rPr>
        <w:t xml:space="preserve"> required without deadline</w:t>
      </w:r>
      <w:r w:rsidRPr="00702882">
        <w:t>” receives 0.</w:t>
      </w:r>
      <w:r w:rsidRPr="00702882">
        <w:rPr>
          <w:rFonts w:eastAsiaTheme="minorEastAsia"/>
        </w:rPr>
        <w:t>25</w:t>
      </w:r>
      <w:r w:rsidRPr="00702882">
        <w:t xml:space="preserve"> points.</w:t>
      </w:r>
    </w:p>
    <w:p w14:paraId="5AC9F942" w14:textId="77777777" w:rsidR="00AF6702" w:rsidRPr="00702882" w:rsidRDefault="00AF6702" w:rsidP="00C66AC4">
      <w:pPr>
        <w:spacing w:line="480" w:lineRule="auto"/>
        <w:rPr>
          <w:rFonts w:eastAsiaTheme="minorEastAsia"/>
          <w:color w:val="7030A0"/>
        </w:rPr>
      </w:pPr>
    </w:p>
    <w:p w14:paraId="116C501E" w14:textId="77777777" w:rsidR="00AF6702" w:rsidRPr="00702882" w:rsidRDefault="00AF6702" w:rsidP="00C66AC4">
      <w:pPr>
        <w:spacing w:line="480" w:lineRule="auto"/>
        <w:ind w:firstLine="360"/>
        <w:rPr>
          <w:b/>
          <w:bCs/>
          <w:i/>
          <w:iCs/>
        </w:rPr>
      </w:pPr>
      <w:r w:rsidRPr="00702882">
        <w:rPr>
          <w:b/>
          <w:bCs/>
          <w:i/>
          <w:iCs/>
        </w:rPr>
        <w:lastRenderedPageBreak/>
        <w:t>2.4.10 Number of BSF</w:t>
      </w:r>
    </w:p>
    <w:p w14:paraId="034A3B09" w14:textId="3CD60B8E" w:rsidR="00AF6702" w:rsidRPr="00702882" w:rsidRDefault="00AF6702" w:rsidP="00C66AC4">
      <w:pPr>
        <w:pStyle w:val="ac"/>
        <w:spacing w:line="480" w:lineRule="auto"/>
        <w:ind w:firstLine="720"/>
        <w:rPr>
          <w:rFonts w:eastAsiaTheme="minorEastAsia"/>
          <w:sz w:val="24"/>
          <w:szCs w:val="24"/>
        </w:rPr>
      </w:pPr>
      <w:r w:rsidRPr="00702882">
        <w:rPr>
          <w:sz w:val="24"/>
          <w:szCs w:val="24"/>
        </w:rPr>
        <w:t xml:space="preserve">States, such as Alaska, California, New Mexico, and New York, maintain at least two operating BSFs for general funds separately </w:t>
      </w:r>
      <w:sdt>
        <w:sdtPr>
          <w:rPr>
            <w:color w:val="000000"/>
            <w:sz w:val="24"/>
            <w:szCs w:val="24"/>
          </w:rPr>
          <w:tag w:val="MENDELEY_CITATION_v3_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"/>
          <w:id w:val="1162748573"/>
          <w:placeholder>
            <w:docPart w:val="E3314C9663964F019238567ABA3B1980"/>
          </w:placeholder>
        </w:sdtPr>
        <w:sdtContent>
          <w:r w:rsidR="00F520AD" w:rsidRPr="00F520AD">
            <w:rPr>
              <w:color w:val="000000"/>
              <w:sz w:val="24"/>
              <w:szCs w:val="24"/>
            </w:rPr>
            <w:t>(Thatcher, 2008)</w:t>
          </w:r>
        </w:sdtContent>
      </w:sdt>
      <w:r w:rsidRPr="00702882">
        <w:rPr>
          <w:sz w:val="24"/>
          <w:szCs w:val="24"/>
        </w:rPr>
        <w:t>. Additional BSF may reflect particular service demand and spending needs or spending pressure of states.</w:t>
      </w:r>
      <w:r w:rsidRPr="00702882">
        <w:rPr>
          <w:rStyle w:val="a5"/>
          <w:sz w:val="24"/>
          <w:szCs w:val="24"/>
        </w:rPr>
        <w:footnoteReference w:id="20"/>
      </w:r>
      <w:r w:rsidRPr="00702882">
        <w:rPr>
          <w:sz w:val="24"/>
          <w:szCs w:val="24"/>
        </w:rPr>
        <w:t xml:space="preserve"> The General Fund Balance Reserve of Vermont is an example of an additional BSF designed to prevent the state from spending unreserved fund balance, which is different from Budget Stabilization Trust Fund (Vermont Statutes, Title 32, Section 308c). </w:t>
      </w:r>
      <w:r w:rsidR="001F477E" w:rsidRPr="00702882">
        <w:rPr>
          <w:rFonts w:eastAsiaTheme="minorEastAsia"/>
          <w:sz w:val="24"/>
          <w:szCs w:val="24"/>
        </w:rPr>
        <w:t>Following the fulfillment of other reserve obligations, any surplus from the end of the fiscal year within the general fund should be allocated to bolster the General Fund Balance Reserve</w:t>
      </w:r>
      <w:r w:rsidRPr="00702882">
        <w:rPr>
          <w:sz w:val="24"/>
          <w:szCs w:val="24"/>
        </w:rPr>
        <w:t xml:space="preserve"> (Vermont Statutes, Title 32, Section 308e). </w:t>
      </w:r>
    </w:p>
    <w:p w14:paraId="59CB799C" w14:textId="0F9DDDF7" w:rsidR="00D55118" w:rsidRPr="00702882" w:rsidRDefault="00AF6702" w:rsidP="007643CF">
      <w:pPr>
        <w:spacing w:line="480" w:lineRule="auto"/>
        <w:ind w:firstLine="720"/>
        <w:rPr>
          <w:rFonts w:eastAsiaTheme="minorEastAsia"/>
        </w:rPr>
      </w:pPr>
      <w:r w:rsidRPr="00702882">
        <w:rPr>
          <w:b/>
          <w:bCs/>
          <w:i/>
          <w:iCs/>
        </w:rPr>
        <w:t>Stringency</w:t>
      </w:r>
      <w:r w:rsidRPr="00702882">
        <w:t xml:space="preserve">: The number of BSF is not a structural feature, but an additional fiscal reserve. Thus, the level of stringency depends on the structural features of extra BSFs. However, if states are required to deposit any remaining general fund balances into their second BSF, the extra BSF will work as legal enforcement to restrict discretionary spending of unreserved general funds (Hou, 2004). However, there are also additional BSFs designed for easier access. Alaska established its second BSF in 2013, called Statutory Budget Reserve Fund (SBRF), which can be transferred to the general fund by the legislature with a simple majority vote (Alaska Stat. § 37.05.540). This can be considered less stringent withdrawal requirement than the Constitutional Budget Reserve Fund (CBRF), which requires a three-fourths supermajority vote (Alaska Const. Art. IX, § 17). Thus, the stringency of extra BSF varies according to its structural features. For this reason, no hypothesis is made about the stringency of the number of BSF. </w:t>
      </w:r>
    </w:p>
    <w:p w14:paraId="12973E54" w14:textId="77777777" w:rsidR="007643CF" w:rsidRPr="00702882" w:rsidRDefault="007643CF" w:rsidP="007643CF">
      <w:pPr>
        <w:spacing w:line="480" w:lineRule="auto"/>
        <w:ind w:firstLine="720"/>
        <w:rPr>
          <w:rFonts w:eastAsiaTheme="minorEastAsia"/>
          <w:color w:val="7030A0"/>
        </w:rPr>
      </w:pPr>
    </w:p>
    <w:p w14:paraId="23DB5865" w14:textId="77777777" w:rsidR="00AF6702" w:rsidRPr="00702882" w:rsidRDefault="00AF6702" w:rsidP="00C66AC4">
      <w:pPr>
        <w:spacing w:line="480" w:lineRule="auto"/>
        <w:jc w:val="center"/>
        <w:rPr>
          <w:b/>
          <w:bCs/>
        </w:rPr>
      </w:pPr>
      <w:r w:rsidRPr="00702882">
        <w:rPr>
          <w:b/>
          <w:bCs/>
        </w:rPr>
        <w:lastRenderedPageBreak/>
        <w:t xml:space="preserve">Table 4. </w:t>
      </w:r>
      <w:bookmarkStart w:id="19" w:name="_Hlk157180212"/>
      <w:r w:rsidRPr="00702882">
        <w:rPr>
          <w:b/>
          <w:bCs/>
        </w:rPr>
        <w:t>Frequency of BSF Structural Features in 2020</w:t>
      </w:r>
      <w:bookmarkEnd w:id="19"/>
    </w:p>
    <w:tbl>
      <w:tblPr>
        <w:tblStyle w:val="a7"/>
        <w:tblW w:w="9067" w:type="dxa"/>
        <w:jc w:val="center"/>
        <w:tblLayout w:type="fixed"/>
        <w:tblLook w:val="04A0" w:firstRow="1" w:lastRow="0" w:firstColumn="1" w:lastColumn="0" w:noHBand="0" w:noVBand="1"/>
      </w:tblPr>
      <w:tblGrid>
        <w:gridCol w:w="1696"/>
        <w:gridCol w:w="6384"/>
        <w:gridCol w:w="987"/>
      </w:tblGrid>
      <w:tr w:rsidR="00F17429" w:rsidRPr="00702882" w14:paraId="0BFAB86A" w14:textId="77777777" w:rsidTr="00BA3659">
        <w:trPr>
          <w:tblHeader/>
          <w:jc w:val="center"/>
        </w:trPr>
        <w:tc>
          <w:tcPr>
            <w:tcW w:w="1696" w:type="dxa"/>
          </w:tcPr>
          <w:p w14:paraId="30DACD6B" w14:textId="77777777" w:rsidR="00AF6702" w:rsidRPr="00702882" w:rsidRDefault="00AF6702" w:rsidP="00BA3659">
            <w:pPr>
              <w:rPr>
                <w:b/>
                <w:bCs/>
                <w:sz w:val="20"/>
                <w:szCs w:val="20"/>
              </w:rPr>
            </w:pPr>
            <w:bookmarkStart w:id="20" w:name="_Hlk161299962"/>
            <w:r w:rsidRPr="00702882">
              <w:rPr>
                <w:b/>
                <w:bCs/>
                <w:sz w:val="20"/>
                <w:szCs w:val="20"/>
              </w:rPr>
              <w:t>BSF Rule</w:t>
            </w:r>
          </w:p>
        </w:tc>
        <w:tc>
          <w:tcPr>
            <w:tcW w:w="6384" w:type="dxa"/>
          </w:tcPr>
          <w:p w14:paraId="55075A96" w14:textId="77777777" w:rsidR="00AF6702" w:rsidRPr="00702882" w:rsidRDefault="00AF6702" w:rsidP="00BA3659">
            <w:pPr>
              <w:jc w:val="center"/>
              <w:rPr>
                <w:b/>
                <w:bCs/>
                <w:sz w:val="20"/>
                <w:szCs w:val="20"/>
              </w:rPr>
            </w:pPr>
            <w:r w:rsidRPr="00702882">
              <w:rPr>
                <w:b/>
                <w:bCs/>
                <w:sz w:val="20"/>
                <w:szCs w:val="20"/>
              </w:rPr>
              <w:t>States</w:t>
            </w:r>
          </w:p>
        </w:tc>
        <w:tc>
          <w:tcPr>
            <w:tcW w:w="987" w:type="dxa"/>
          </w:tcPr>
          <w:p w14:paraId="162B08BB" w14:textId="77777777" w:rsidR="00AF6702" w:rsidRPr="00702882" w:rsidRDefault="00AF6702" w:rsidP="00BA3659">
            <w:pPr>
              <w:jc w:val="center"/>
              <w:rPr>
                <w:b/>
                <w:bCs/>
                <w:sz w:val="20"/>
                <w:szCs w:val="20"/>
              </w:rPr>
            </w:pPr>
            <w:r w:rsidRPr="00702882">
              <w:rPr>
                <w:b/>
                <w:bCs/>
                <w:sz w:val="20"/>
                <w:szCs w:val="20"/>
              </w:rPr>
              <w:t>Freq.</w:t>
            </w:r>
          </w:p>
        </w:tc>
      </w:tr>
      <w:tr w:rsidR="00F17429" w:rsidRPr="00702882" w14:paraId="6B659AC6" w14:textId="77777777" w:rsidTr="00BA3659">
        <w:trPr>
          <w:jc w:val="center"/>
        </w:trPr>
        <w:tc>
          <w:tcPr>
            <w:tcW w:w="1696" w:type="dxa"/>
            <w:vMerge w:val="restart"/>
          </w:tcPr>
          <w:p w14:paraId="2C81831D" w14:textId="77777777" w:rsidR="00AF6702" w:rsidRPr="00702882" w:rsidRDefault="00AF6702" w:rsidP="00BA3659">
            <w:pPr>
              <w:rPr>
                <w:sz w:val="20"/>
                <w:szCs w:val="20"/>
              </w:rPr>
            </w:pPr>
            <w:r w:rsidRPr="00702882">
              <w:rPr>
                <w:sz w:val="20"/>
                <w:szCs w:val="20"/>
              </w:rPr>
              <w:t>Funding source</w:t>
            </w:r>
          </w:p>
        </w:tc>
        <w:tc>
          <w:tcPr>
            <w:tcW w:w="6384" w:type="dxa"/>
          </w:tcPr>
          <w:p w14:paraId="7F8FC9BF" w14:textId="77777777" w:rsidR="00AF6702" w:rsidRPr="00702882" w:rsidRDefault="00AF6702" w:rsidP="00BA3659">
            <w:pPr>
              <w:rPr>
                <w:sz w:val="20"/>
                <w:szCs w:val="20"/>
              </w:rPr>
            </w:pPr>
            <w:r w:rsidRPr="00702882">
              <w:rPr>
                <w:b/>
                <w:bCs/>
                <w:sz w:val="20"/>
                <w:szCs w:val="20"/>
              </w:rPr>
              <w:t>Non-tax revenue/small portion of tax revenue:</w:t>
            </w:r>
            <w:r w:rsidRPr="00702882">
              <w:rPr>
                <w:sz w:val="20"/>
                <w:szCs w:val="20"/>
              </w:rPr>
              <w:t xml:space="preserve"> Hawaii, West Virginia (Revenue Shortfall Reserve Fund-Part B), Nebraska (for fiscal years 200</w:t>
            </w:r>
            <w:r w:rsidRPr="00702882">
              <w:rPr>
                <w:rFonts w:eastAsiaTheme="minorEastAsia"/>
                <w:sz w:val="20"/>
                <w:szCs w:val="20"/>
              </w:rPr>
              <w:t>4</w:t>
            </w:r>
            <w:r w:rsidRPr="00702882">
              <w:rPr>
                <w:sz w:val="20"/>
                <w:szCs w:val="20"/>
              </w:rPr>
              <w:t>, 2005, and 2006)</w:t>
            </w:r>
            <w:r w:rsidRPr="00702882">
              <w:rPr>
                <w:rStyle w:val="a5"/>
                <w:sz w:val="20"/>
                <w:szCs w:val="20"/>
              </w:rPr>
              <w:footnoteReference w:id="21"/>
            </w:r>
          </w:p>
        </w:tc>
        <w:tc>
          <w:tcPr>
            <w:tcW w:w="987" w:type="dxa"/>
          </w:tcPr>
          <w:p w14:paraId="4A3B98E6" w14:textId="77777777" w:rsidR="00AF6702" w:rsidRPr="00702882" w:rsidRDefault="00AF6702" w:rsidP="00BA3659">
            <w:pPr>
              <w:jc w:val="center"/>
              <w:rPr>
                <w:sz w:val="20"/>
                <w:szCs w:val="20"/>
              </w:rPr>
            </w:pPr>
            <w:r w:rsidRPr="00702882">
              <w:rPr>
                <w:sz w:val="20"/>
                <w:szCs w:val="20"/>
              </w:rPr>
              <w:t>3</w:t>
            </w:r>
          </w:p>
        </w:tc>
      </w:tr>
      <w:tr w:rsidR="00F17429" w:rsidRPr="00702882" w14:paraId="5DF11E8B" w14:textId="77777777" w:rsidTr="00BA3659">
        <w:trPr>
          <w:jc w:val="center"/>
        </w:trPr>
        <w:tc>
          <w:tcPr>
            <w:tcW w:w="1696" w:type="dxa"/>
            <w:vMerge/>
          </w:tcPr>
          <w:p w14:paraId="33EF9B5C" w14:textId="77777777" w:rsidR="00AF6702" w:rsidRPr="00702882" w:rsidRDefault="00AF6702" w:rsidP="00BA3659">
            <w:pPr>
              <w:rPr>
                <w:sz w:val="20"/>
                <w:szCs w:val="20"/>
              </w:rPr>
            </w:pPr>
          </w:p>
        </w:tc>
        <w:tc>
          <w:tcPr>
            <w:tcW w:w="6384" w:type="dxa"/>
          </w:tcPr>
          <w:p w14:paraId="0A27F4F6" w14:textId="77777777" w:rsidR="00AF6702" w:rsidRPr="00702882" w:rsidRDefault="00AF6702" w:rsidP="00BA3659">
            <w:pPr>
              <w:rPr>
                <w:sz w:val="20"/>
                <w:szCs w:val="20"/>
              </w:rPr>
            </w:pPr>
            <w:r w:rsidRPr="00702882">
              <w:rPr>
                <w:b/>
                <w:bCs/>
                <w:sz w:val="21"/>
                <w:szCs w:val="21"/>
              </w:rPr>
              <w:t>Tax revenue from natural resources</w:t>
            </w:r>
            <w:r w:rsidRPr="00702882">
              <w:rPr>
                <w:b/>
                <w:bCs/>
                <w:sz w:val="20"/>
                <w:szCs w:val="20"/>
              </w:rPr>
              <w:t>:</w:t>
            </w:r>
            <w:r w:rsidRPr="00702882">
              <w:rPr>
                <w:sz w:val="20"/>
                <w:szCs w:val="20"/>
              </w:rPr>
              <w:t xml:space="preserve"> Alabama, Alaska, Louisiana, Oklahoma, Texas, Wyoming</w:t>
            </w:r>
          </w:p>
        </w:tc>
        <w:tc>
          <w:tcPr>
            <w:tcW w:w="987" w:type="dxa"/>
          </w:tcPr>
          <w:p w14:paraId="39ED415B" w14:textId="77777777" w:rsidR="00AF6702" w:rsidRPr="00702882" w:rsidRDefault="00AF6702" w:rsidP="00BA3659">
            <w:pPr>
              <w:jc w:val="center"/>
              <w:rPr>
                <w:sz w:val="20"/>
                <w:szCs w:val="20"/>
              </w:rPr>
            </w:pPr>
            <w:r w:rsidRPr="00702882">
              <w:rPr>
                <w:sz w:val="20"/>
                <w:szCs w:val="20"/>
              </w:rPr>
              <w:t>6</w:t>
            </w:r>
          </w:p>
        </w:tc>
      </w:tr>
      <w:tr w:rsidR="00F17429" w:rsidRPr="00702882" w14:paraId="2E4A265A" w14:textId="77777777" w:rsidTr="00BA3659">
        <w:trPr>
          <w:jc w:val="center"/>
        </w:trPr>
        <w:tc>
          <w:tcPr>
            <w:tcW w:w="1696" w:type="dxa"/>
          </w:tcPr>
          <w:p w14:paraId="062D9636" w14:textId="77777777" w:rsidR="00AF6702" w:rsidRPr="00702882" w:rsidRDefault="00AF6702" w:rsidP="00BA3659">
            <w:pPr>
              <w:rPr>
                <w:sz w:val="20"/>
                <w:szCs w:val="20"/>
              </w:rPr>
            </w:pPr>
            <w:r w:rsidRPr="00702882">
              <w:rPr>
                <w:sz w:val="20"/>
                <w:szCs w:val="20"/>
              </w:rPr>
              <w:t>Deposit by executive</w:t>
            </w:r>
          </w:p>
        </w:tc>
        <w:tc>
          <w:tcPr>
            <w:tcW w:w="6384" w:type="dxa"/>
          </w:tcPr>
          <w:p w14:paraId="1DE855AF" w14:textId="77777777" w:rsidR="00AF6702" w:rsidRPr="00702882" w:rsidRDefault="00AF6702" w:rsidP="00BA3659">
            <w:pPr>
              <w:rPr>
                <w:sz w:val="20"/>
                <w:szCs w:val="20"/>
              </w:rPr>
            </w:pPr>
            <w:r w:rsidRPr="00702882">
              <w:rPr>
                <w:sz w:val="20"/>
                <w:szCs w:val="20"/>
              </w:rPr>
              <w:t>California (Special Fund for Economic Uncertainties), Idaho, Kansas, Kentucky, Maine, Maryland, Massachusetts, Minnesota, Mississippi, Missouri, Montana,</w:t>
            </w:r>
            <w:r w:rsidRPr="00702882">
              <w:rPr>
                <w:rFonts w:eastAsiaTheme="minorEastAsia"/>
                <w:sz w:val="20"/>
                <w:szCs w:val="20"/>
              </w:rPr>
              <w:t xml:space="preserve"> </w:t>
            </w:r>
            <w:r w:rsidRPr="00702882">
              <w:rPr>
                <w:sz w:val="20"/>
                <w:szCs w:val="20"/>
              </w:rPr>
              <w:t>Nebraska, Nevada</w:t>
            </w:r>
            <w:r w:rsidRPr="00702882">
              <w:rPr>
                <w:rStyle w:val="a5"/>
                <w:sz w:val="20"/>
                <w:szCs w:val="20"/>
              </w:rPr>
              <w:footnoteReference w:id="22"/>
            </w:r>
            <w:r w:rsidRPr="00702882">
              <w:rPr>
                <w:sz w:val="20"/>
                <w:szCs w:val="20"/>
              </w:rPr>
              <w:t>, New Hampshire, New York, N. Carolina, N. Dakota, Ohio, Oklahoma (Constitutional Reserve Fund), Rhode Island, S. Dakota, Texas, Utah, W. Virginia, Wisconsin</w:t>
            </w:r>
          </w:p>
        </w:tc>
        <w:tc>
          <w:tcPr>
            <w:tcW w:w="987" w:type="dxa"/>
          </w:tcPr>
          <w:p w14:paraId="752BD9A9" w14:textId="77777777" w:rsidR="00AF6702" w:rsidRPr="00702882" w:rsidRDefault="00AF6702" w:rsidP="00BA3659">
            <w:pPr>
              <w:jc w:val="center"/>
              <w:rPr>
                <w:sz w:val="20"/>
                <w:szCs w:val="20"/>
              </w:rPr>
            </w:pPr>
            <w:r w:rsidRPr="00702882">
              <w:rPr>
                <w:sz w:val="20"/>
                <w:szCs w:val="20"/>
              </w:rPr>
              <w:t>25</w:t>
            </w:r>
          </w:p>
        </w:tc>
      </w:tr>
      <w:tr w:rsidR="00F17429" w:rsidRPr="00702882" w14:paraId="354815BE" w14:textId="77777777" w:rsidTr="00BA3659">
        <w:trPr>
          <w:jc w:val="center"/>
        </w:trPr>
        <w:tc>
          <w:tcPr>
            <w:tcW w:w="1696" w:type="dxa"/>
          </w:tcPr>
          <w:p w14:paraId="6DAE0B35" w14:textId="77777777" w:rsidR="00AF6702" w:rsidRPr="00702882" w:rsidRDefault="00AF6702" w:rsidP="00BA3659">
            <w:pPr>
              <w:rPr>
                <w:sz w:val="20"/>
                <w:szCs w:val="20"/>
              </w:rPr>
            </w:pPr>
            <w:r w:rsidRPr="00702882">
              <w:rPr>
                <w:sz w:val="20"/>
                <w:szCs w:val="20"/>
              </w:rPr>
              <w:t>Deposit by legislature</w:t>
            </w:r>
          </w:p>
        </w:tc>
        <w:tc>
          <w:tcPr>
            <w:tcW w:w="6384" w:type="dxa"/>
          </w:tcPr>
          <w:p w14:paraId="48F0D927" w14:textId="77777777" w:rsidR="00AF6702" w:rsidRPr="00702882" w:rsidRDefault="00AF6702" w:rsidP="00BA3659">
            <w:pPr>
              <w:rPr>
                <w:sz w:val="20"/>
                <w:szCs w:val="20"/>
              </w:rPr>
            </w:pPr>
            <w:r w:rsidRPr="00702882">
              <w:rPr>
                <w:rFonts w:eastAsiaTheme="minorEastAsia"/>
                <w:sz w:val="20"/>
                <w:szCs w:val="20"/>
              </w:rPr>
              <w:t xml:space="preserve">Alabama, </w:t>
            </w:r>
            <w:r w:rsidRPr="00702882">
              <w:rPr>
                <w:sz w:val="20"/>
                <w:szCs w:val="20"/>
              </w:rPr>
              <w:t>Arizona, Arkansas, California (Budget Stabilization Account), Delaware</w:t>
            </w:r>
            <w:r w:rsidRPr="00702882">
              <w:rPr>
                <w:rStyle w:val="a5"/>
                <w:sz w:val="20"/>
                <w:szCs w:val="20"/>
              </w:rPr>
              <w:footnoteReference w:id="23"/>
            </w:r>
            <w:r w:rsidRPr="00702882">
              <w:rPr>
                <w:sz w:val="20"/>
                <w:szCs w:val="20"/>
              </w:rPr>
              <w:t xml:space="preserve">, Florida, Hawaii, </w:t>
            </w:r>
            <w:r w:rsidRPr="00702882">
              <w:rPr>
                <w:rFonts w:eastAsiaTheme="minorEastAsia"/>
                <w:sz w:val="20"/>
                <w:szCs w:val="20"/>
              </w:rPr>
              <w:t xml:space="preserve">Illinois, Louisiana, </w:t>
            </w:r>
            <w:r w:rsidRPr="00702882">
              <w:rPr>
                <w:sz w:val="20"/>
                <w:szCs w:val="20"/>
              </w:rPr>
              <w:t>Michigan, New Mexico, Oklahoma (Revenue Stabilization Fund), Oregon, Pennsylvania</w:t>
            </w:r>
            <w:r w:rsidRPr="00702882">
              <w:rPr>
                <w:rStyle w:val="a5"/>
                <w:sz w:val="20"/>
                <w:szCs w:val="20"/>
              </w:rPr>
              <w:footnoteReference w:id="24"/>
            </w:r>
            <w:r w:rsidRPr="00702882">
              <w:rPr>
                <w:sz w:val="20"/>
                <w:szCs w:val="20"/>
              </w:rPr>
              <w:t>, South Carolina, Tennessee</w:t>
            </w:r>
            <w:r w:rsidRPr="00702882">
              <w:rPr>
                <w:rStyle w:val="a5"/>
                <w:sz w:val="20"/>
                <w:szCs w:val="20"/>
              </w:rPr>
              <w:footnoteReference w:id="25"/>
            </w:r>
            <w:r w:rsidRPr="00702882">
              <w:rPr>
                <w:sz w:val="20"/>
                <w:szCs w:val="20"/>
              </w:rPr>
              <w:t>, Texas, Virginia</w:t>
            </w:r>
          </w:p>
        </w:tc>
        <w:tc>
          <w:tcPr>
            <w:tcW w:w="987" w:type="dxa"/>
          </w:tcPr>
          <w:p w14:paraId="5AC79265" w14:textId="77777777" w:rsidR="00AF6702" w:rsidRPr="00702882" w:rsidRDefault="00AF6702" w:rsidP="00BA3659">
            <w:pPr>
              <w:jc w:val="center"/>
              <w:rPr>
                <w:rFonts w:eastAsiaTheme="minorEastAsia"/>
                <w:sz w:val="20"/>
                <w:szCs w:val="20"/>
              </w:rPr>
            </w:pPr>
            <w:r w:rsidRPr="00702882">
              <w:rPr>
                <w:sz w:val="20"/>
                <w:szCs w:val="20"/>
              </w:rPr>
              <w:t>1</w:t>
            </w:r>
            <w:r w:rsidRPr="00702882">
              <w:rPr>
                <w:rFonts w:eastAsiaTheme="minorEastAsia"/>
                <w:sz w:val="20"/>
                <w:szCs w:val="20"/>
              </w:rPr>
              <w:t>8</w:t>
            </w:r>
          </w:p>
        </w:tc>
      </w:tr>
      <w:tr w:rsidR="00F17429" w:rsidRPr="00702882" w14:paraId="44CBD8EA" w14:textId="77777777" w:rsidTr="00BA3659">
        <w:trPr>
          <w:trHeight w:val="694"/>
          <w:jc w:val="center"/>
        </w:trPr>
        <w:tc>
          <w:tcPr>
            <w:tcW w:w="1696" w:type="dxa"/>
            <w:vMerge w:val="restart"/>
          </w:tcPr>
          <w:p w14:paraId="2976E6D4" w14:textId="77777777" w:rsidR="00AF6702" w:rsidRPr="00702882" w:rsidRDefault="00AF6702" w:rsidP="00BA3659">
            <w:pPr>
              <w:rPr>
                <w:sz w:val="20"/>
                <w:szCs w:val="20"/>
              </w:rPr>
            </w:pPr>
            <w:r w:rsidRPr="00702882">
              <w:rPr>
                <w:sz w:val="20"/>
                <w:szCs w:val="20"/>
              </w:rPr>
              <w:t>Deposit by revenue surplus</w:t>
            </w:r>
          </w:p>
          <w:p w14:paraId="51820D75" w14:textId="77777777" w:rsidR="00AF6702" w:rsidRPr="00702882" w:rsidRDefault="00AF6702" w:rsidP="00BA3659">
            <w:pPr>
              <w:rPr>
                <w:sz w:val="20"/>
                <w:szCs w:val="20"/>
              </w:rPr>
            </w:pPr>
          </w:p>
          <w:p w14:paraId="054B356C" w14:textId="77777777" w:rsidR="00AF6702" w:rsidRPr="00702882" w:rsidRDefault="00AF6702" w:rsidP="00BA3659">
            <w:pPr>
              <w:rPr>
                <w:sz w:val="20"/>
                <w:szCs w:val="20"/>
              </w:rPr>
            </w:pPr>
          </w:p>
          <w:p w14:paraId="314D23A3" w14:textId="77777777" w:rsidR="00AF6702" w:rsidRPr="00702882" w:rsidRDefault="00AF6702" w:rsidP="00BA3659">
            <w:pPr>
              <w:rPr>
                <w:sz w:val="20"/>
                <w:szCs w:val="20"/>
              </w:rPr>
            </w:pPr>
          </w:p>
          <w:p w14:paraId="775CEEEA" w14:textId="77777777" w:rsidR="00AF6702" w:rsidRPr="00702882" w:rsidRDefault="00AF6702" w:rsidP="00BA3659">
            <w:pPr>
              <w:jc w:val="center"/>
              <w:rPr>
                <w:sz w:val="20"/>
                <w:szCs w:val="20"/>
              </w:rPr>
            </w:pPr>
          </w:p>
        </w:tc>
        <w:tc>
          <w:tcPr>
            <w:tcW w:w="6384" w:type="dxa"/>
          </w:tcPr>
          <w:p w14:paraId="43468AE2" w14:textId="77777777" w:rsidR="00AF6702" w:rsidRPr="00702882" w:rsidRDefault="00AF6702" w:rsidP="00BA3659">
            <w:pPr>
              <w:rPr>
                <w:rFonts w:eastAsiaTheme="minorEastAsia"/>
                <w:sz w:val="20"/>
                <w:szCs w:val="20"/>
              </w:rPr>
            </w:pPr>
            <w:r w:rsidRPr="00702882">
              <w:rPr>
                <w:sz w:val="20"/>
                <w:szCs w:val="20"/>
              </w:rPr>
              <w:t xml:space="preserve"> </w:t>
            </w:r>
            <m:oMath>
              <m:r>
                <m:rPr>
                  <m:sty m:val="bi"/>
                </m:rPr>
                <w:rPr>
                  <w:rFonts w:ascii="Cambria Math" w:hAnsi="Cambria Math"/>
                  <w:sz w:val="20"/>
                  <w:szCs w:val="20"/>
                </w:rPr>
                <m:t xml:space="preserve">≤ </m:t>
              </m:r>
            </m:oMath>
            <w:r w:rsidRPr="00702882">
              <w:rPr>
                <w:rFonts w:eastAsiaTheme="minorEastAsia"/>
                <w:b/>
                <w:bCs/>
                <w:sz w:val="20"/>
                <w:szCs w:val="20"/>
              </w:rPr>
              <w:t>40</w:t>
            </w:r>
            <w:r w:rsidRPr="00702882">
              <w:rPr>
                <w:b/>
                <w:bCs/>
                <w:sz w:val="20"/>
                <w:szCs w:val="20"/>
              </w:rPr>
              <w:t xml:space="preserve"> % of GF surplus</w:t>
            </w:r>
            <w:r w:rsidRPr="00702882">
              <w:rPr>
                <w:sz w:val="20"/>
                <w:szCs w:val="20"/>
              </w:rPr>
              <w:t>: Hawaii,</w:t>
            </w:r>
            <w:r w:rsidRPr="00702882">
              <w:rPr>
                <w:rFonts w:eastAsiaTheme="minorEastAsia"/>
                <w:sz w:val="20"/>
                <w:szCs w:val="20"/>
              </w:rPr>
              <w:t xml:space="preserve"> </w:t>
            </w:r>
            <w:r w:rsidRPr="00702882">
              <w:rPr>
                <w:sz w:val="20"/>
                <w:szCs w:val="20"/>
              </w:rPr>
              <w:t>Louisiana,</w:t>
            </w:r>
            <w:r w:rsidRPr="00702882">
              <w:rPr>
                <w:rFonts w:eastAsiaTheme="minorEastAsia"/>
                <w:sz w:val="20"/>
                <w:szCs w:val="20"/>
              </w:rPr>
              <w:t xml:space="preserve"> Maine, </w:t>
            </w:r>
            <w:r w:rsidRPr="00702882">
              <w:rPr>
                <w:sz w:val="20"/>
                <w:szCs w:val="20"/>
              </w:rPr>
              <w:t>Minnesota, Nevada, Texas, Utah, W. Virginia, Wisconsin</w:t>
            </w:r>
          </w:p>
        </w:tc>
        <w:tc>
          <w:tcPr>
            <w:tcW w:w="987" w:type="dxa"/>
          </w:tcPr>
          <w:p w14:paraId="044ACDF5" w14:textId="77777777" w:rsidR="00AF6702" w:rsidRPr="00702882" w:rsidRDefault="00AF6702" w:rsidP="00BA3659">
            <w:pPr>
              <w:jc w:val="center"/>
              <w:rPr>
                <w:rFonts w:eastAsiaTheme="minorEastAsia"/>
                <w:sz w:val="20"/>
                <w:szCs w:val="20"/>
              </w:rPr>
            </w:pPr>
            <w:r w:rsidRPr="00702882">
              <w:rPr>
                <w:rFonts w:eastAsiaTheme="minorEastAsia"/>
                <w:sz w:val="20"/>
                <w:szCs w:val="20"/>
              </w:rPr>
              <w:t>9</w:t>
            </w:r>
          </w:p>
        </w:tc>
      </w:tr>
      <w:tr w:rsidR="00F17429" w:rsidRPr="00702882" w14:paraId="6198E416" w14:textId="77777777" w:rsidTr="00BA3659">
        <w:trPr>
          <w:trHeight w:val="694"/>
          <w:jc w:val="center"/>
        </w:trPr>
        <w:tc>
          <w:tcPr>
            <w:tcW w:w="1696" w:type="dxa"/>
            <w:vMerge/>
          </w:tcPr>
          <w:p w14:paraId="5B4D6997" w14:textId="77777777" w:rsidR="00AF6702" w:rsidRPr="00702882" w:rsidRDefault="00AF6702" w:rsidP="00BA3659">
            <w:pPr>
              <w:rPr>
                <w:sz w:val="20"/>
                <w:szCs w:val="20"/>
              </w:rPr>
            </w:pPr>
          </w:p>
        </w:tc>
        <w:tc>
          <w:tcPr>
            <w:tcW w:w="6384" w:type="dxa"/>
          </w:tcPr>
          <w:p w14:paraId="43D8A4DD" w14:textId="77777777" w:rsidR="00AF6702" w:rsidRPr="00702882" w:rsidRDefault="00AF6702" w:rsidP="00BA3659">
            <w:pPr>
              <w:rPr>
                <w:rFonts w:eastAsiaTheme="minorEastAsia"/>
                <w:sz w:val="20"/>
                <w:szCs w:val="20"/>
              </w:rPr>
            </w:pPr>
            <w:r w:rsidRPr="00702882">
              <w:rPr>
                <w:rFonts w:eastAsiaTheme="minorEastAsia"/>
                <w:b/>
                <w:bCs/>
                <w:sz w:val="20"/>
                <w:szCs w:val="20"/>
              </w:rPr>
              <w:t xml:space="preserve">50  </w:t>
            </w:r>
            <m:oMath>
              <m:r>
                <m:rPr>
                  <m:sty m:val="bi"/>
                </m:rPr>
                <w:rPr>
                  <w:rFonts w:ascii="Cambria Math" w:hAnsi="Cambria Math"/>
                  <w:sz w:val="20"/>
                  <w:szCs w:val="20"/>
                </w:rPr>
                <m:t>≤</m:t>
              </m:r>
            </m:oMath>
            <w:r w:rsidRPr="00702882">
              <w:rPr>
                <w:rFonts w:eastAsiaTheme="minorEastAsia"/>
                <w:b/>
                <w:bCs/>
                <w:sz w:val="20"/>
                <w:szCs w:val="20"/>
              </w:rPr>
              <w:t xml:space="preserve"> The Amount of Deposit </w:t>
            </w:r>
            <m:oMath>
              <m:r>
                <m:rPr>
                  <m:sty m:val="bi"/>
                </m:rPr>
                <w:rPr>
                  <w:rFonts w:ascii="Cambria Math" w:hAnsi="Cambria Math"/>
                  <w:sz w:val="20"/>
                  <w:szCs w:val="20"/>
                </w:rPr>
                <m:t xml:space="preserve">≤ </m:t>
              </m:r>
            </m:oMath>
            <w:r w:rsidRPr="00702882">
              <w:rPr>
                <w:rFonts w:eastAsiaTheme="minorEastAsia"/>
                <w:b/>
                <w:bCs/>
                <w:sz w:val="20"/>
                <w:szCs w:val="20"/>
              </w:rPr>
              <w:t>6</w:t>
            </w:r>
            <w:r w:rsidRPr="00702882">
              <w:rPr>
                <w:b/>
                <w:bCs/>
                <w:sz w:val="20"/>
                <w:szCs w:val="20"/>
              </w:rPr>
              <w:t>0 % of GF surplus</w:t>
            </w:r>
            <w:r w:rsidRPr="00702882">
              <w:rPr>
                <w:sz w:val="20"/>
                <w:szCs w:val="20"/>
              </w:rPr>
              <w:t>: Idaho,</w:t>
            </w:r>
            <w:r w:rsidRPr="00702882">
              <w:rPr>
                <w:rFonts w:eastAsiaTheme="minorEastAsia"/>
                <w:sz w:val="20"/>
                <w:szCs w:val="20"/>
              </w:rPr>
              <w:t xml:space="preserve"> </w:t>
            </w:r>
            <w:r w:rsidRPr="00702882">
              <w:rPr>
                <w:sz w:val="20"/>
                <w:szCs w:val="20"/>
              </w:rPr>
              <w:t xml:space="preserve">Kansas, </w:t>
            </w:r>
            <w:r w:rsidRPr="00702882">
              <w:rPr>
                <w:rFonts w:eastAsiaTheme="minorEastAsia"/>
                <w:sz w:val="20"/>
                <w:szCs w:val="20"/>
              </w:rPr>
              <w:t xml:space="preserve">Kentucky, </w:t>
            </w:r>
            <w:r w:rsidRPr="00702882">
              <w:rPr>
                <w:sz w:val="20"/>
                <w:szCs w:val="20"/>
              </w:rPr>
              <w:t>Massachusetts,</w:t>
            </w:r>
            <w:r w:rsidRPr="00702882">
              <w:rPr>
                <w:rFonts w:eastAsiaTheme="minorEastAsia"/>
                <w:sz w:val="20"/>
                <w:szCs w:val="20"/>
              </w:rPr>
              <w:t xml:space="preserve"> Mississippi, Mississippi, Montana, New Jersey, Texas, West Virginia, and Wisconsin</w:t>
            </w:r>
          </w:p>
        </w:tc>
        <w:tc>
          <w:tcPr>
            <w:tcW w:w="987" w:type="dxa"/>
          </w:tcPr>
          <w:p w14:paraId="69399869" w14:textId="77777777" w:rsidR="00AF6702" w:rsidRPr="00702882" w:rsidRDefault="00AF6702" w:rsidP="00BA3659">
            <w:pPr>
              <w:jc w:val="center"/>
              <w:rPr>
                <w:rFonts w:eastAsiaTheme="minorEastAsia"/>
                <w:sz w:val="20"/>
                <w:szCs w:val="20"/>
              </w:rPr>
            </w:pPr>
            <w:r w:rsidRPr="00702882">
              <w:rPr>
                <w:rFonts w:eastAsiaTheme="minorEastAsia"/>
                <w:sz w:val="20"/>
                <w:szCs w:val="20"/>
              </w:rPr>
              <w:t>11</w:t>
            </w:r>
          </w:p>
        </w:tc>
      </w:tr>
      <w:tr w:rsidR="00F17429" w:rsidRPr="00702882" w14:paraId="49CD0B5C" w14:textId="77777777" w:rsidTr="00BA3659">
        <w:trPr>
          <w:jc w:val="center"/>
        </w:trPr>
        <w:tc>
          <w:tcPr>
            <w:tcW w:w="1696" w:type="dxa"/>
            <w:vMerge/>
          </w:tcPr>
          <w:p w14:paraId="41730811" w14:textId="77777777" w:rsidR="00AF6702" w:rsidRPr="00702882" w:rsidRDefault="00AF6702" w:rsidP="00BA3659">
            <w:pPr>
              <w:rPr>
                <w:sz w:val="20"/>
                <w:szCs w:val="20"/>
              </w:rPr>
            </w:pPr>
          </w:p>
        </w:tc>
        <w:tc>
          <w:tcPr>
            <w:tcW w:w="6384" w:type="dxa"/>
          </w:tcPr>
          <w:p w14:paraId="7509597A" w14:textId="77777777" w:rsidR="00AF6702" w:rsidRPr="00702882" w:rsidRDefault="00AF6702" w:rsidP="00BA3659">
            <w:pPr>
              <w:pStyle w:val="a3"/>
              <w:ind w:left="0"/>
              <w:rPr>
                <w:rFonts w:ascii="Times New Roman" w:hAnsi="Times New Roman" w:cs="Times New Roman"/>
                <w:sz w:val="20"/>
                <w:szCs w:val="20"/>
              </w:rPr>
            </w:pPr>
            <w:r w:rsidRPr="00702882">
              <w:rPr>
                <w:rFonts w:ascii="Times New Roman" w:hAnsi="Times New Roman" w:cs="Times New Roman"/>
                <w:b/>
                <w:bCs/>
                <w:sz w:val="20"/>
                <w:szCs w:val="20"/>
              </w:rPr>
              <w:t>100 % of GF surplus:</w:t>
            </w:r>
            <w:r w:rsidRPr="00702882">
              <w:rPr>
                <w:rFonts w:ascii="Times New Roman" w:hAnsi="Times New Roman" w:cs="Times New Roman"/>
                <w:sz w:val="20"/>
                <w:szCs w:val="20"/>
              </w:rPr>
              <w:t xml:space="preserve"> California (Special Fund for Economic Uncertainties), Delaware, Georgia, Iowa, Nebraska, New Hampshire, New Mexico, New York, N. Dakota, Oklahoma (Constitutional Reserve Fund), Pennsylvania, S. Dakota, Vermont</w:t>
            </w:r>
          </w:p>
        </w:tc>
        <w:tc>
          <w:tcPr>
            <w:tcW w:w="987" w:type="dxa"/>
          </w:tcPr>
          <w:p w14:paraId="02BA8D58" w14:textId="77777777" w:rsidR="00AF6702" w:rsidRPr="00702882" w:rsidRDefault="00AF6702" w:rsidP="00BA3659">
            <w:pPr>
              <w:jc w:val="center"/>
              <w:rPr>
                <w:rFonts w:eastAsiaTheme="minorEastAsia"/>
                <w:sz w:val="20"/>
                <w:szCs w:val="20"/>
              </w:rPr>
            </w:pPr>
            <w:r w:rsidRPr="00702882">
              <w:rPr>
                <w:sz w:val="20"/>
                <w:szCs w:val="20"/>
              </w:rPr>
              <w:t>1</w:t>
            </w:r>
            <w:r w:rsidRPr="00702882">
              <w:rPr>
                <w:rFonts w:eastAsiaTheme="minorEastAsia"/>
                <w:sz w:val="20"/>
                <w:szCs w:val="20"/>
              </w:rPr>
              <w:t>3</w:t>
            </w:r>
          </w:p>
        </w:tc>
      </w:tr>
      <w:tr w:rsidR="00F17429" w:rsidRPr="00702882" w14:paraId="35AB9226" w14:textId="77777777" w:rsidTr="00BA3659">
        <w:trPr>
          <w:jc w:val="center"/>
        </w:trPr>
        <w:tc>
          <w:tcPr>
            <w:tcW w:w="1696" w:type="dxa"/>
          </w:tcPr>
          <w:p w14:paraId="5A39B093" w14:textId="77777777" w:rsidR="00AF6702" w:rsidRPr="00702882" w:rsidRDefault="00AF6702" w:rsidP="00BA3659">
            <w:pPr>
              <w:rPr>
                <w:sz w:val="20"/>
                <w:szCs w:val="20"/>
              </w:rPr>
            </w:pPr>
            <w:r w:rsidRPr="00702882">
              <w:rPr>
                <w:sz w:val="20"/>
                <w:szCs w:val="20"/>
              </w:rPr>
              <w:t>Deposit tied to volatility</w:t>
            </w:r>
          </w:p>
        </w:tc>
        <w:tc>
          <w:tcPr>
            <w:tcW w:w="6384" w:type="dxa"/>
          </w:tcPr>
          <w:p w14:paraId="7237D450" w14:textId="77777777" w:rsidR="00AF6702" w:rsidRPr="00702882" w:rsidRDefault="00AF6702" w:rsidP="00BA3659">
            <w:pPr>
              <w:rPr>
                <w:sz w:val="20"/>
                <w:szCs w:val="20"/>
              </w:rPr>
            </w:pPr>
            <w:r w:rsidRPr="00702882">
              <w:rPr>
                <w:sz w:val="20"/>
                <w:szCs w:val="20"/>
              </w:rPr>
              <w:t>Arizona, California, Connecticut, Florida, Indiana, Iowa, Massachusetts, Michigan, Nevada, North Carolina, Oklahoma (Revenue Stabilization Fund), Oregon, Rhode Island, Tennessee, Texas, Virginia, Washington</w:t>
            </w:r>
          </w:p>
        </w:tc>
        <w:tc>
          <w:tcPr>
            <w:tcW w:w="987" w:type="dxa"/>
          </w:tcPr>
          <w:p w14:paraId="62D8E3E4" w14:textId="77777777" w:rsidR="00AF6702" w:rsidRPr="00702882" w:rsidRDefault="00AF6702" w:rsidP="00BA3659">
            <w:pPr>
              <w:jc w:val="center"/>
              <w:rPr>
                <w:sz w:val="20"/>
                <w:szCs w:val="20"/>
              </w:rPr>
            </w:pPr>
            <w:r w:rsidRPr="00702882">
              <w:rPr>
                <w:sz w:val="20"/>
                <w:szCs w:val="20"/>
              </w:rPr>
              <w:t>17</w:t>
            </w:r>
          </w:p>
        </w:tc>
      </w:tr>
      <w:tr w:rsidR="00F17429" w:rsidRPr="00702882" w14:paraId="07727501" w14:textId="77777777" w:rsidTr="00BA3659">
        <w:trPr>
          <w:jc w:val="center"/>
        </w:trPr>
        <w:tc>
          <w:tcPr>
            <w:tcW w:w="1696" w:type="dxa"/>
          </w:tcPr>
          <w:p w14:paraId="12127A00" w14:textId="77777777" w:rsidR="00AF6702" w:rsidRPr="00702882" w:rsidRDefault="00AF6702" w:rsidP="00BA3659">
            <w:pPr>
              <w:rPr>
                <w:sz w:val="20"/>
                <w:szCs w:val="20"/>
              </w:rPr>
            </w:pPr>
            <w:r w:rsidRPr="00702882">
              <w:rPr>
                <w:sz w:val="20"/>
                <w:szCs w:val="20"/>
              </w:rPr>
              <w:lastRenderedPageBreak/>
              <w:t>Deposit in other ways</w:t>
            </w:r>
          </w:p>
        </w:tc>
        <w:tc>
          <w:tcPr>
            <w:tcW w:w="6384" w:type="dxa"/>
          </w:tcPr>
          <w:p w14:paraId="69DEFC55" w14:textId="77777777" w:rsidR="00AF6702" w:rsidRPr="00702882" w:rsidRDefault="00AF6702" w:rsidP="00BA3659">
            <w:pPr>
              <w:rPr>
                <w:sz w:val="20"/>
                <w:szCs w:val="20"/>
              </w:rPr>
            </w:pPr>
            <w:r w:rsidRPr="00702882">
              <w:rPr>
                <w:sz w:val="20"/>
                <w:szCs w:val="20"/>
              </w:rPr>
              <w:t>Maryland, Missouri, Ohio, S. Carolina</w:t>
            </w:r>
          </w:p>
        </w:tc>
        <w:tc>
          <w:tcPr>
            <w:tcW w:w="987" w:type="dxa"/>
          </w:tcPr>
          <w:p w14:paraId="2A833AC6" w14:textId="77777777" w:rsidR="00AF6702" w:rsidRPr="00702882" w:rsidRDefault="00AF6702" w:rsidP="00BA3659">
            <w:pPr>
              <w:jc w:val="center"/>
              <w:rPr>
                <w:rFonts w:eastAsiaTheme="minorEastAsia"/>
                <w:sz w:val="20"/>
                <w:szCs w:val="20"/>
              </w:rPr>
            </w:pPr>
            <w:r w:rsidRPr="00702882">
              <w:rPr>
                <w:rFonts w:eastAsiaTheme="minorEastAsia"/>
                <w:sz w:val="20"/>
                <w:szCs w:val="20"/>
              </w:rPr>
              <w:t>4</w:t>
            </w:r>
          </w:p>
        </w:tc>
      </w:tr>
      <w:tr w:rsidR="00F17429" w:rsidRPr="00702882" w14:paraId="5D73DDCB" w14:textId="77777777" w:rsidTr="00BA3659">
        <w:trPr>
          <w:jc w:val="center"/>
        </w:trPr>
        <w:tc>
          <w:tcPr>
            <w:tcW w:w="1696" w:type="dxa"/>
            <w:vMerge w:val="restart"/>
          </w:tcPr>
          <w:p w14:paraId="4CFF6E3F" w14:textId="77777777" w:rsidR="00AF6702" w:rsidRPr="00702882" w:rsidRDefault="00AF6702" w:rsidP="00BA3659">
            <w:pPr>
              <w:rPr>
                <w:sz w:val="20"/>
                <w:szCs w:val="20"/>
              </w:rPr>
            </w:pPr>
            <w:r w:rsidRPr="00702882">
              <w:rPr>
                <w:sz w:val="20"/>
                <w:szCs w:val="20"/>
              </w:rPr>
              <w:t>Cap</w:t>
            </w:r>
          </w:p>
        </w:tc>
        <w:tc>
          <w:tcPr>
            <w:tcW w:w="6384" w:type="dxa"/>
          </w:tcPr>
          <w:p w14:paraId="7E353A47" w14:textId="77777777" w:rsidR="00AF6702" w:rsidRPr="00702882" w:rsidRDefault="00AF6702" w:rsidP="00BA3659">
            <w:pPr>
              <w:rPr>
                <w:rFonts w:eastAsiaTheme="minorEastAsia"/>
                <w:sz w:val="20"/>
                <w:szCs w:val="20"/>
              </w:rPr>
            </w:pPr>
            <w:r w:rsidRPr="00702882">
              <w:rPr>
                <w:sz w:val="20"/>
                <w:szCs w:val="20"/>
              </w:rPr>
              <w:t xml:space="preserve">1. </w:t>
            </w:r>
            <w:r w:rsidRPr="00702882">
              <w:rPr>
                <w:b/>
                <w:bCs/>
                <w:sz w:val="20"/>
                <w:szCs w:val="20"/>
              </w:rPr>
              <w:t xml:space="preserve">2-5 % of GF expenditures: </w:t>
            </w:r>
            <w:r w:rsidRPr="00702882">
              <w:rPr>
                <w:sz w:val="20"/>
                <w:szCs w:val="20"/>
              </w:rPr>
              <w:t>Delaware, Illinois, Kentucky, Louisiana, New Hampshire</w:t>
            </w:r>
            <w:r w:rsidRPr="00702882">
              <w:rPr>
                <w:rStyle w:val="a5"/>
              </w:rPr>
              <w:footnoteReference w:id="26"/>
            </w:r>
            <w:r w:rsidRPr="00702882">
              <w:rPr>
                <w:sz w:val="20"/>
                <w:szCs w:val="20"/>
              </w:rPr>
              <w:t>, New Jersey, New York, Rhode Island, S. Carolina, Vermont, Wisconsin</w:t>
            </w:r>
          </w:p>
          <w:p w14:paraId="5B09BC5D" w14:textId="77777777" w:rsidR="00AF6702" w:rsidRPr="00702882" w:rsidRDefault="00AF6702" w:rsidP="00BA3659">
            <w:pPr>
              <w:rPr>
                <w:rFonts w:eastAsiaTheme="minorEastAsia"/>
                <w:sz w:val="20"/>
                <w:szCs w:val="20"/>
              </w:rPr>
            </w:pPr>
          </w:p>
        </w:tc>
        <w:tc>
          <w:tcPr>
            <w:tcW w:w="987" w:type="dxa"/>
          </w:tcPr>
          <w:p w14:paraId="1F8C1E51" w14:textId="77777777" w:rsidR="00AF6702" w:rsidRPr="00702882" w:rsidRDefault="00AF6702" w:rsidP="00BA3659">
            <w:pPr>
              <w:contextualSpacing/>
              <w:jc w:val="center"/>
              <w:rPr>
                <w:sz w:val="20"/>
                <w:szCs w:val="20"/>
              </w:rPr>
            </w:pPr>
            <w:r w:rsidRPr="00702882">
              <w:rPr>
                <w:sz w:val="20"/>
                <w:szCs w:val="20"/>
              </w:rPr>
              <w:t>11</w:t>
            </w:r>
          </w:p>
        </w:tc>
      </w:tr>
      <w:tr w:rsidR="00F17429" w:rsidRPr="00702882" w14:paraId="139A36CA" w14:textId="77777777" w:rsidTr="00BA3659">
        <w:trPr>
          <w:jc w:val="center"/>
        </w:trPr>
        <w:tc>
          <w:tcPr>
            <w:tcW w:w="1696" w:type="dxa"/>
            <w:vMerge/>
          </w:tcPr>
          <w:p w14:paraId="4110A2D1" w14:textId="77777777" w:rsidR="00AF6702" w:rsidRPr="00702882" w:rsidRDefault="00AF6702" w:rsidP="00BA3659">
            <w:pPr>
              <w:rPr>
                <w:sz w:val="20"/>
                <w:szCs w:val="20"/>
              </w:rPr>
            </w:pPr>
          </w:p>
        </w:tc>
        <w:tc>
          <w:tcPr>
            <w:tcW w:w="6384" w:type="dxa"/>
          </w:tcPr>
          <w:p w14:paraId="3642FF3F" w14:textId="77777777" w:rsidR="00AF6702" w:rsidRPr="00702882" w:rsidRDefault="00AF6702" w:rsidP="00BA3659">
            <w:pPr>
              <w:rPr>
                <w:rFonts w:eastAsiaTheme="minorEastAsia"/>
                <w:sz w:val="20"/>
                <w:szCs w:val="20"/>
              </w:rPr>
            </w:pPr>
            <w:r w:rsidRPr="00702882">
              <w:rPr>
                <w:sz w:val="20"/>
                <w:szCs w:val="20"/>
              </w:rPr>
              <w:t xml:space="preserve">2. </w:t>
            </w:r>
            <w:r w:rsidRPr="00702882">
              <w:rPr>
                <w:b/>
                <w:bCs/>
                <w:sz w:val="20"/>
                <w:szCs w:val="20"/>
              </w:rPr>
              <w:t>6-9 % of GF expenditures:</w:t>
            </w:r>
            <w:r w:rsidRPr="00702882">
              <w:rPr>
                <w:sz w:val="20"/>
                <w:szCs w:val="20"/>
              </w:rPr>
              <w:t xml:space="preserve"> Indiana, Iowa, Maryland, Mississippi, Missouri, New Mexico (Operating Reserve), N. Carolina, Ohio, Oregon, Pennsylvania, Tennessee, Utah</w:t>
            </w:r>
          </w:p>
          <w:p w14:paraId="4346ED20" w14:textId="77777777" w:rsidR="00AF6702" w:rsidRPr="00702882" w:rsidRDefault="00AF6702" w:rsidP="00BA3659">
            <w:pPr>
              <w:rPr>
                <w:rFonts w:eastAsiaTheme="minorEastAsia"/>
                <w:sz w:val="20"/>
                <w:szCs w:val="20"/>
              </w:rPr>
            </w:pPr>
          </w:p>
        </w:tc>
        <w:tc>
          <w:tcPr>
            <w:tcW w:w="987" w:type="dxa"/>
          </w:tcPr>
          <w:p w14:paraId="1303CB48" w14:textId="77777777" w:rsidR="00AF6702" w:rsidRPr="00702882" w:rsidRDefault="00AF6702" w:rsidP="00BA3659">
            <w:pPr>
              <w:contextualSpacing/>
              <w:jc w:val="center"/>
              <w:rPr>
                <w:sz w:val="20"/>
                <w:szCs w:val="20"/>
              </w:rPr>
            </w:pPr>
            <w:r w:rsidRPr="00702882">
              <w:rPr>
                <w:sz w:val="20"/>
                <w:szCs w:val="20"/>
              </w:rPr>
              <w:t>12</w:t>
            </w:r>
          </w:p>
        </w:tc>
      </w:tr>
      <w:tr w:rsidR="00F17429" w:rsidRPr="00702882" w14:paraId="10A0AC48" w14:textId="77777777" w:rsidTr="00BA3659">
        <w:trPr>
          <w:jc w:val="center"/>
        </w:trPr>
        <w:tc>
          <w:tcPr>
            <w:tcW w:w="1696" w:type="dxa"/>
            <w:vMerge/>
          </w:tcPr>
          <w:p w14:paraId="1E34AE9D" w14:textId="77777777" w:rsidR="00AF6702" w:rsidRPr="00702882" w:rsidRDefault="00AF6702" w:rsidP="00BA3659">
            <w:pPr>
              <w:rPr>
                <w:sz w:val="20"/>
                <w:szCs w:val="20"/>
              </w:rPr>
            </w:pPr>
          </w:p>
        </w:tc>
        <w:tc>
          <w:tcPr>
            <w:tcW w:w="6384" w:type="dxa"/>
          </w:tcPr>
          <w:p w14:paraId="661B7E98" w14:textId="77777777" w:rsidR="00AF6702" w:rsidRPr="00702882" w:rsidRDefault="00AF6702" w:rsidP="00BA3659">
            <w:pPr>
              <w:rPr>
                <w:rFonts w:eastAsiaTheme="minorEastAsia"/>
                <w:sz w:val="20"/>
                <w:szCs w:val="20"/>
              </w:rPr>
            </w:pPr>
            <w:r w:rsidRPr="00702882">
              <w:rPr>
                <w:sz w:val="20"/>
                <w:szCs w:val="20"/>
              </w:rPr>
              <w:t xml:space="preserve">3. </w:t>
            </w:r>
            <w:r w:rsidRPr="00702882">
              <w:rPr>
                <w:b/>
                <w:bCs/>
                <w:sz w:val="20"/>
                <w:szCs w:val="20"/>
              </w:rPr>
              <w:t>10-14 % of GF expenditures:</w:t>
            </w:r>
            <w:r w:rsidRPr="00702882">
              <w:rPr>
                <w:sz w:val="20"/>
                <w:szCs w:val="20"/>
              </w:rPr>
              <w:t xml:space="preserve"> Arizona, California (Budget Stabilization Account), Florida, Hawaii, Idaho</w:t>
            </w:r>
            <w:r w:rsidRPr="00702882">
              <w:rPr>
                <w:rStyle w:val="a5"/>
              </w:rPr>
              <w:footnoteReference w:id="27"/>
            </w:r>
            <w:r w:rsidRPr="00702882">
              <w:rPr>
                <w:sz w:val="20"/>
                <w:szCs w:val="20"/>
              </w:rPr>
              <w:t>, S. Dakota, Texas, Washington, W. Virginia</w:t>
            </w:r>
          </w:p>
          <w:p w14:paraId="47D48AF3" w14:textId="77777777" w:rsidR="00AF6702" w:rsidRPr="00702882" w:rsidRDefault="00AF6702" w:rsidP="00BA3659">
            <w:pPr>
              <w:rPr>
                <w:rFonts w:eastAsiaTheme="minorEastAsia"/>
                <w:sz w:val="20"/>
                <w:szCs w:val="20"/>
              </w:rPr>
            </w:pPr>
          </w:p>
        </w:tc>
        <w:tc>
          <w:tcPr>
            <w:tcW w:w="987" w:type="dxa"/>
          </w:tcPr>
          <w:p w14:paraId="3FE35E2D" w14:textId="77777777" w:rsidR="00AF6702" w:rsidRPr="00702882" w:rsidRDefault="00AF6702" w:rsidP="00BA3659">
            <w:pPr>
              <w:contextualSpacing/>
              <w:jc w:val="center"/>
              <w:rPr>
                <w:sz w:val="20"/>
                <w:szCs w:val="20"/>
              </w:rPr>
            </w:pPr>
            <w:r w:rsidRPr="00702882">
              <w:rPr>
                <w:sz w:val="20"/>
                <w:szCs w:val="20"/>
              </w:rPr>
              <w:t>9</w:t>
            </w:r>
          </w:p>
        </w:tc>
      </w:tr>
      <w:tr w:rsidR="00F17429" w:rsidRPr="00702882" w14:paraId="078E8475" w14:textId="77777777" w:rsidTr="00BA3659">
        <w:trPr>
          <w:jc w:val="center"/>
        </w:trPr>
        <w:tc>
          <w:tcPr>
            <w:tcW w:w="1696" w:type="dxa"/>
            <w:vMerge/>
          </w:tcPr>
          <w:p w14:paraId="7EFE0804" w14:textId="77777777" w:rsidR="00AF6702" w:rsidRPr="00702882" w:rsidRDefault="00AF6702" w:rsidP="00BA3659">
            <w:pPr>
              <w:rPr>
                <w:sz w:val="20"/>
                <w:szCs w:val="20"/>
              </w:rPr>
            </w:pPr>
          </w:p>
        </w:tc>
        <w:tc>
          <w:tcPr>
            <w:tcW w:w="6384" w:type="dxa"/>
          </w:tcPr>
          <w:p w14:paraId="728674B1" w14:textId="77777777" w:rsidR="00AF6702" w:rsidRPr="00702882" w:rsidRDefault="00AF6702" w:rsidP="00BA3659">
            <w:pPr>
              <w:rPr>
                <w:rFonts w:eastAsiaTheme="minorEastAsia"/>
                <w:sz w:val="20"/>
                <w:szCs w:val="20"/>
              </w:rPr>
            </w:pPr>
            <w:r w:rsidRPr="00702882">
              <w:rPr>
                <w:sz w:val="20"/>
                <w:szCs w:val="20"/>
              </w:rPr>
              <w:t xml:space="preserve">4. </w:t>
            </w:r>
            <w:r w:rsidRPr="00702882">
              <w:rPr>
                <w:b/>
                <w:bCs/>
                <w:sz w:val="20"/>
                <w:szCs w:val="20"/>
              </w:rPr>
              <w:t>More than 15 % or no limit:</w:t>
            </w:r>
            <w:r w:rsidRPr="00702882">
              <w:rPr>
                <w:sz w:val="20"/>
                <w:szCs w:val="20"/>
              </w:rPr>
              <w:t xml:space="preserve"> Alabama, Alaska, </w:t>
            </w:r>
            <w:r w:rsidRPr="00702882">
              <w:rPr>
                <w:rFonts w:eastAsiaTheme="minorEastAsia"/>
                <w:sz w:val="20"/>
                <w:szCs w:val="20"/>
              </w:rPr>
              <w:t>California (</w:t>
            </w:r>
            <w:r w:rsidRPr="00702882">
              <w:rPr>
                <w:sz w:val="20"/>
                <w:szCs w:val="20"/>
              </w:rPr>
              <w:t>Special Fund for Economic Uncertainties), Connecticut, Georgia, Maine, Massachusetts, Michigan, Minnesota, Nebraska, Nevada, North Dakota, Oklahoma, Virginia, Wyoming</w:t>
            </w:r>
          </w:p>
          <w:p w14:paraId="2B37923A" w14:textId="77777777" w:rsidR="00AF6702" w:rsidRPr="00702882" w:rsidRDefault="00AF6702" w:rsidP="00BA3659">
            <w:pPr>
              <w:rPr>
                <w:rFonts w:eastAsiaTheme="minorEastAsia"/>
                <w:sz w:val="20"/>
                <w:szCs w:val="20"/>
              </w:rPr>
            </w:pPr>
          </w:p>
        </w:tc>
        <w:tc>
          <w:tcPr>
            <w:tcW w:w="987" w:type="dxa"/>
          </w:tcPr>
          <w:p w14:paraId="0DF19284" w14:textId="77777777" w:rsidR="00AF6702" w:rsidRPr="00702882" w:rsidRDefault="00AF6702" w:rsidP="00BA3659">
            <w:pPr>
              <w:contextualSpacing/>
              <w:jc w:val="center"/>
              <w:rPr>
                <w:sz w:val="20"/>
                <w:szCs w:val="20"/>
              </w:rPr>
            </w:pPr>
            <w:r w:rsidRPr="00702882">
              <w:rPr>
                <w:sz w:val="20"/>
                <w:szCs w:val="20"/>
              </w:rPr>
              <w:t>15</w:t>
            </w:r>
          </w:p>
        </w:tc>
      </w:tr>
      <w:tr w:rsidR="00F17429" w:rsidRPr="00702882" w14:paraId="79961A2A" w14:textId="77777777" w:rsidTr="00BA3659">
        <w:trPr>
          <w:jc w:val="center"/>
        </w:trPr>
        <w:tc>
          <w:tcPr>
            <w:tcW w:w="1696" w:type="dxa"/>
          </w:tcPr>
          <w:p w14:paraId="017C4051" w14:textId="77777777" w:rsidR="00AF6702" w:rsidRPr="00702882" w:rsidRDefault="00AF6702" w:rsidP="00BA3659">
            <w:pPr>
              <w:rPr>
                <w:sz w:val="20"/>
                <w:szCs w:val="20"/>
              </w:rPr>
            </w:pPr>
            <w:r w:rsidRPr="00702882">
              <w:rPr>
                <w:sz w:val="20"/>
                <w:szCs w:val="20"/>
              </w:rPr>
              <w:t>Withdrawal by executive</w:t>
            </w:r>
          </w:p>
        </w:tc>
        <w:tc>
          <w:tcPr>
            <w:tcW w:w="6384" w:type="dxa"/>
          </w:tcPr>
          <w:p w14:paraId="16BC25AA" w14:textId="77777777" w:rsidR="00AF6702" w:rsidRPr="00702882" w:rsidRDefault="00AF6702" w:rsidP="00BA3659">
            <w:pPr>
              <w:contextualSpacing/>
              <w:rPr>
                <w:sz w:val="20"/>
                <w:szCs w:val="20"/>
              </w:rPr>
            </w:pPr>
            <w:r w:rsidRPr="00702882">
              <w:rPr>
                <w:sz w:val="20"/>
                <w:szCs w:val="20"/>
              </w:rPr>
              <w:t>Alabama, California</w:t>
            </w:r>
            <w:r w:rsidRPr="00702882">
              <w:rPr>
                <w:rFonts w:eastAsiaTheme="minorEastAsia"/>
                <w:sz w:val="20"/>
                <w:szCs w:val="20"/>
              </w:rPr>
              <w:t>,</w:t>
            </w:r>
            <w:r w:rsidRPr="00702882">
              <w:rPr>
                <w:sz w:val="20"/>
                <w:szCs w:val="20"/>
              </w:rPr>
              <w:t xml:space="preserve"> </w:t>
            </w:r>
            <w:r w:rsidRPr="00702882">
              <w:rPr>
                <w:rFonts w:eastAsiaTheme="minorEastAsia"/>
                <w:sz w:val="20"/>
                <w:szCs w:val="20"/>
              </w:rPr>
              <w:t xml:space="preserve">Florida, </w:t>
            </w:r>
            <w:r w:rsidRPr="00702882">
              <w:rPr>
                <w:sz w:val="20"/>
                <w:szCs w:val="20"/>
              </w:rPr>
              <w:t>Illinois</w:t>
            </w:r>
            <w:r w:rsidRPr="00702882">
              <w:rPr>
                <w:rStyle w:val="a5"/>
                <w:sz w:val="20"/>
                <w:szCs w:val="20"/>
              </w:rPr>
              <w:footnoteReference w:id="28"/>
            </w:r>
            <w:r w:rsidRPr="00702882">
              <w:rPr>
                <w:sz w:val="20"/>
                <w:szCs w:val="20"/>
              </w:rPr>
              <w:t>, Indiana</w:t>
            </w:r>
            <w:r w:rsidRPr="00702882">
              <w:rPr>
                <w:rStyle w:val="a5"/>
                <w:sz w:val="20"/>
                <w:szCs w:val="20"/>
              </w:rPr>
              <w:footnoteReference w:id="29"/>
            </w:r>
            <w:r w:rsidRPr="00702882">
              <w:rPr>
                <w:sz w:val="20"/>
                <w:szCs w:val="20"/>
              </w:rPr>
              <w:t>, Maine</w:t>
            </w:r>
            <w:r w:rsidRPr="00702882">
              <w:rPr>
                <w:rStyle w:val="a5"/>
                <w:sz w:val="20"/>
                <w:szCs w:val="20"/>
              </w:rPr>
              <w:footnoteReference w:id="30"/>
            </w:r>
            <w:r w:rsidRPr="00702882">
              <w:rPr>
                <w:sz w:val="20"/>
                <w:szCs w:val="20"/>
              </w:rPr>
              <w:t>, Minnesota, Mississippi, Montana</w:t>
            </w:r>
            <w:r w:rsidRPr="00702882">
              <w:rPr>
                <w:rStyle w:val="a5"/>
                <w:sz w:val="20"/>
                <w:szCs w:val="20"/>
              </w:rPr>
              <w:footnoteReference w:id="31"/>
            </w:r>
            <w:r w:rsidRPr="00702882">
              <w:rPr>
                <w:sz w:val="20"/>
                <w:szCs w:val="20"/>
              </w:rPr>
              <w:t>, Nebraska, New Jersey</w:t>
            </w:r>
            <w:r w:rsidRPr="00702882">
              <w:rPr>
                <w:rStyle w:val="a5"/>
                <w:sz w:val="20"/>
                <w:szCs w:val="20"/>
              </w:rPr>
              <w:footnoteReference w:id="32"/>
            </w:r>
            <w:r w:rsidRPr="00702882">
              <w:rPr>
                <w:sz w:val="20"/>
                <w:szCs w:val="20"/>
              </w:rPr>
              <w:t>, New Hampshire, N. Dakota</w:t>
            </w:r>
            <w:r w:rsidRPr="00702882">
              <w:rPr>
                <w:rStyle w:val="a5"/>
                <w:sz w:val="20"/>
                <w:szCs w:val="20"/>
              </w:rPr>
              <w:footnoteReference w:id="33"/>
            </w:r>
            <w:r w:rsidRPr="00702882">
              <w:rPr>
                <w:sz w:val="20"/>
                <w:szCs w:val="20"/>
              </w:rPr>
              <w:t xml:space="preserve">, </w:t>
            </w:r>
          </w:p>
          <w:p w14:paraId="4AFDB41D" w14:textId="77777777" w:rsidR="00AF6702" w:rsidRPr="00702882" w:rsidRDefault="00AF6702" w:rsidP="00BA3659">
            <w:pPr>
              <w:contextualSpacing/>
              <w:rPr>
                <w:rFonts w:eastAsiaTheme="minorEastAsia"/>
                <w:sz w:val="20"/>
                <w:szCs w:val="20"/>
              </w:rPr>
            </w:pPr>
            <w:r w:rsidRPr="00702882">
              <w:rPr>
                <w:sz w:val="20"/>
                <w:szCs w:val="20"/>
              </w:rPr>
              <w:t xml:space="preserve">New York, </w:t>
            </w:r>
            <w:r w:rsidRPr="00702882">
              <w:rPr>
                <w:rFonts w:eastAsiaTheme="minorEastAsia"/>
                <w:sz w:val="20"/>
                <w:szCs w:val="20"/>
              </w:rPr>
              <w:t>Oklahoma (Revenue Stabilization Fund)</w:t>
            </w:r>
            <w:r w:rsidRPr="00702882">
              <w:rPr>
                <w:rStyle w:val="a5"/>
                <w:rFonts w:eastAsiaTheme="minorEastAsia"/>
                <w:sz w:val="20"/>
                <w:szCs w:val="20"/>
              </w:rPr>
              <w:footnoteReference w:id="34"/>
            </w:r>
            <w:r w:rsidRPr="00702882">
              <w:rPr>
                <w:rFonts w:eastAsiaTheme="minorEastAsia"/>
                <w:sz w:val="20"/>
                <w:szCs w:val="20"/>
              </w:rPr>
              <w:t xml:space="preserve">, </w:t>
            </w:r>
            <w:r w:rsidRPr="00702882">
              <w:rPr>
                <w:sz w:val="20"/>
                <w:szCs w:val="20"/>
              </w:rPr>
              <w:t>Tennessee, Texas, Vermont, W. Virginia, Wisconsin</w:t>
            </w:r>
          </w:p>
        </w:tc>
        <w:tc>
          <w:tcPr>
            <w:tcW w:w="987" w:type="dxa"/>
          </w:tcPr>
          <w:p w14:paraId="01F39B36" w14:textId="77777777" w:rsidR="00AF6702" w:rsidRPr="00702882" w:rsidRDefault="00AF6702" w:rsidP="00BA3659">
            <w:pPr>
              <w:contextualSpacing/>
              <w:jc w:val="center"/>
              <w:rPr>
                <w:rFonts w:eastAsiaTheme="minorEastAsia"/>
                <w:sz w:val="20"/>
                <w:szCs w:val="20"/>
              </w:rPr>
            </w:pPr>
            <w:r w:rsidRPr="00702882">
              <w:rPr>
                <w:rFonts w:eastAsiaTheme="minorEastAsia"/>
                <w:sz w:val="20"/>
                <w:szCs w:val="20"/>
              </w:rPr>
              <w:t>20</w:t>
            </w:r>
          </w:p>
        </w:tc>
      </w:tr>
      <w:tr w:rsidR="00F17429" w:rsidRPr="00702882" w14:paraId="1D1E1B07" w14:textId="77777777" w:rsidTr="00BA3659">
        <w:trPr>
          <w:jc w:val="center"/>
        </w:trPr>
        <w:tc>
          <w:tcPr>
            <w:tcW w:w="1696" w:type="dxa"/>
            <w:vMerge w:val="restart"/>
          </w:tcPr>
          <w:p w14:paraId="0E76BC44" w14:textId="77777777" w:rsidR="00AF6702" w:rsidRPr="00702882" w:rsidRDefault="00AF6702" w:rsidP="00BA3659">
            <w:pPr>
              <w:rPr>
                <w:sz w:val="20"/>
                <w:szCs w:val="20"/>
              </w:rPr>
            </w:pPr>
            <w:r w:rsidRPr="00702882">
              <w:rPr>
                <w:sz w:val="20"/>
                <w:szCs w:val="20"/>
              </w:rPr>
              <w:lastRenderedPageBreak/>
              <w:t>Withdrawal by legislature</w:t>
            </w:r>
          </w:p>
          <w:p w14:paraId="7C21429C" w14:textId="77777777" w:rsidR="00AF6702" w:rsidRPr="00702882" w:rsidRDefault="00AF6702" w:rsidP="00BA3659">
            <w:pPr>
              <w:rPr>
                <w:sz w:val="20"/>
                <w:szCs w:val="20"/>
              </w:rPr>
            </w:pPr>
          </w:p>
        </w:tc>
        <w:tc>
          <w:tcPr>
            <w:tcW w:w="6384" w:type="dxa"/>
          </w:tcPr>
          <w:p w14:paraId="23054692" w14:textId="77777777" w:rsidR="00AF6702" w:rsidRPr="00702882" w:rsidRDefault="00AF6702" w:rsidP="00BA3659">
            <w:pPr>
              <w:rPr>
                <w:sz w:val="20"/>
                <w:szCs w:val="20"/>
              </w:rPr>
            </w:pPr>
            <w:r w:rsidRPr="00702882">
              <w:rPr>
                <w:b/>
                <w:bCs/>
                <w:sz w:val="20"/>
                <w:szCs w:val="20"/>
              </w:rPr>
              <w:t>1. Simple majority vote</w:t>
            </w:r>
            <w:r w:rsidRPr="00702882">
              <w:rPr>
                <w:sz w:val="20"/>
                <w:szCs w:val="20"/>
              </w:rPr>
              <w:t>: Alaska (Statutory Budget Reserve Fund), Arizona</w:t>
            </w:r>
            <w:r w:rsidRPr="00702882">
              <w:rPr>
                <w:rStyle w:val="a5"/>
              </w:rPr>
              <w:footnoteReference w:id="35"/>
            </w:r>
            <w:r w:rsidRPr="00702882">
              <w:rPr>
                <w:sz w:val="20"/>
                <w:szCs w:val="20"/>
              </w:rPr>
              <w:t>, Arkansas (Rainy Day Fund), Georgia, Idaho, Illinois, Iowa (Economic Emergency Fund), Kansas, Kentucky, Maine, Maryland, Massachusetts, Montana, Nebraska</w:t>
            </w:r>
            <w:r w:rsidRPr="00702882">
              <w:rPr>
                <w:rStyle w:val="a5"/>
                <w:sz w:val="20"/>
                <w:szCs w:val="20"/>
              </w:rPr>
              <w:footnoteReference w:id="36"/>
            </w:r>
            <w:r w:rsidRPr="00702882">
              <w:rPr>
                <w:sz w:val="20"/>
                <w:szCs w:val="20"/>
              </w:rPr>
              <w:t xml:space="preserve">, Nevada, New Jersey, New Mexico, Ohio, Oklahoma (Revenue Stabilization Fund), </w:t>
            </w:r>
          </w:p>
          <w:p w14:paraId="1C711819" w14:textId="77777777" w:rsidR="00AF6702" w:rsidRPr="00702882" w:rsidRDefault="00AF6702" w:rsidP="00BA3659">
            <w:pPr>
              <w:rPr>
                <w:sz w:val="20"/>
                <w:szCs w:val="20"/>
              </w:rPr>
            </w:pPr>
            <w:r w:rsidRPr="00702882">
              <w:rPr>
                <w:sz w:val="20"/>
                <w:szCs w:val="20"/>
              </w:rPr>
              <w:t>Rhode Island, S. Carolina (General Reserve Fund), Utah, Vermont (General Fund Surplus Reserve), Virginia, W. Virginia, Wisconsin, Wyoming</w:t>
            </w:r>
          </w:p>
        </w:tc>
        <w:tc>
          <w:tcPr>
            <w:tcW w:w="987" w:type="dxa"/>
          </w:tcPr>
          <w:p w14:paraId="39B62E61" w14:textId="77777777" w:rsidR="00AF6702" w:rsidRPr="00702882" w:rsidRDefault="00AF6702" w:rsidP="00BA3659">
            <w:pPr>
              <w:contextualSpacing/>
              <w:jc w:val="center"/>
              <w:rPr>
                <w:sz w:val="20"/>
                <w:szCs w:val="20"/>
              </w:rPr>
            </w:pPr>
            <w:r w:rsidRPr="00702882">
              <w:rPr>
                <w:sz w:val="20"/>
                <w:szCs w:val="20"/>
              </w:rPr>
              <w:t>27</w:t>
            </w:r>
          </w:p>
        </w:tc>
      </w:tr>
      <w:tr w:rsidR="00F17429" w:rsidRPr="00702882" w14:paraId="3AD3B39F" w14:textId="77777777" w:rsidTr="00BA3659">
        <w:trPr>
          <w:jc w:val="center"/>
        </w:trPr>
        <w:tc>
          <w:tcPr>
            <w:tcW w:w="1696" w:type="dxa"/>
            <w:vMerge/>
          </w:tcPr>
          <w:p w14:paraId="26FFA294" w14:textId="77777777" w:rsidR="00AF6702" w:rsidRPr="00702882" w:rsidRDefault="00AF6702" w:rsidP="00BA3659">
            <w:pPr>
              <w:rPr>
                <w:sz w:val="20"/>
                <w:szCs w:val="20"/>
              </w:rPr>
            </w:pPr>
          </w:p>
        </w:tc>
        <w:tc>
          <w:tcPr>
            <w:tcW w:w="6384" w:type="dxa"/>
          </w:tcPr>
          <w:p w14:paraId="380CC2BC" w14:textId="77777777" w:rsidR="00AF6702" w:rsidRPr="00702882" w:rsidRDefault="00AF6702" w:rsidP="00BA3659">
            <w:pPr>
              <w:contextualSpacing/>
              <w:rPr>
                <w:sz w:val="20"/>
                <w:szCs w:val="20"/>
              </w:rPr>
            </w:pPr>
            <w:r w:rsidRPr="00702882">
              <w:rPr>
                <w:b/>
                <w:bCs/>
                <w:sz w:val="20"/>
                <w:szCs w:val="20"/>
              </w:rPr>
              <w:t>2. 3/5 supermajority votes</w:t>
            </w:r>
            <w:r w:rsidRPr="00702882">
              <w:rPr>
                <w:sz w:val="20"/>
                <w:szCs w:val="20"/>
              </w:rPr>
              <w:t>: Delaware, Iowa (Cash Reserve Fund), Oregon (Rainy Day Fund), Washington</w:t>
            </w:r>
          </w:p>
        </w:tc>
        <w:tc>
          <w:tcPr>
            <w:tcW w:w="987" w:type="dxa"/>
          </w:tcPr>
          <w:p w14:paraId="5C977E43" w14:textId="77777777" w:rsidR="00AF6702" w:rsidRPr="00702882" w:rsidRDefault="00AF6702" w:rsidP="00BA3659">
            <w:pPr>
              <w:contextualSpacing/>
              <w:jc w:val="center"/>
              <w:rPr>
                <w:sz w:val="20"/>
                <w:szCs w:val="20"/>
              </w:rPr>
            </w:pPr>
            <w:r w:rsidRPr="00702882">
              <w:rPr>
                <w:sz w:val="20"/>
                <w:szCs w:val="20"/>
              </w:rPr>
              <w:t>4</w:t>
            </w:r>
          </w:p>
        </w:tc>
      </w:tr>
      <w:tr w:rsidR="00F17429" w:rsidRPr="00702882" w14:paraId="3FE8F78B" w14:textId="77777777" w:rsidTr="00BA3659">
        <w:trPr>
          <w:jc w:val="center"/>
        </w:trPr>
        <w:tc>
          <w:tcPr>
            <w:tcW w:w="1696" w:type="dxa"/>
            <w:vMerge/>
          </w:tcPr>
          <w:p w14:paraId="669EA816" w14:textId="77777777" w:rsidR="00AF6702" w:rsidRPr="00702882" w:rsidRDefault="00AF6702" w:rsidP="00BA3659">
            <w:pPr>
              <w:rPr>
                <w:sz w:val="20"/>
                <w:szCs w:val="20"/>
              </w:rPr>
            </w:pPr>
          </w:p>
        </w:tc>
        <w:tc>
          <w:tcPr>
            <w:tcW w:w="6384" w:type="dxa"/>
          </w:tcPr>
          <w:p w14:paraId="6FA33F36" w14:textId="77777777" w:rsidR="00AF6702" w:rsidRPr="00702882" w:rsidRDefault="00AF6702" w:rsidP="00BA3659">
            <w:pPr>
              <w:rPr>
                <w:sz w:val="20"/>
                <w:szCs w:val="20"/>
              </w:rPr>
            </w:pPr>
            <w:r w:rsidRPr="00702882">
              <w:rPr>
                <w:b/>
                <w:bCs/>
                <w:sz w:val="20"/>
                <w:szCs w:val="20"/>
              </w:rPr>
              <w:t>3. 2/3 supermajority votes</w:t>
            </w:r>
            <w:r w:rsidRPr="00702882">
              <w:rPr>
                <w:sz w:val="20"/>
                <w:szCs w:val="20"/>
              </w:rPr>
              <w:t xml:space="preserve">: Arkansas, Hawaii, Louisiana, Michigan, Missouri, New Hampshire, New Mexico (Tax Stabilization Reserve), N. Carolina, Oklahoma (Constitutional Reserve Fund), Pennsylvania, S. Carolina (Capital Reserve Fund), </w:t>
            </w:r>
          </w:p>
          <w:p w14:paraId="64BCF80C" w14:textId="77777777" w:rsidR="00AF6702" w:rsidRPr="00702882" w:rsidRDefault="00AF6702" w:rsidP="00BA3659">
            <w:pPr>
              <w:contextualSpacing/>
              <w:rPr>
                <w:sz w:val="20"/>
                <w:szCs w:val="20"/>
              </w:rPr>
            </w:pPr>
            <w:r w:rsidRPr="00702882">
              <w:rPr>
                <w:sz w:val="20"/>
                <w:szCs w:val="20"/>
              </w:rPr>
              <w:t>S. Dakota, Texas</w:t>
            </w:r>
          </w:p>
        </w:tc>
        <w:tc>
          <w:tcPr>
            <w:tcW w:w="987" w:type="dxa"/>
          </w:tcPr>
          <w:p w14:paraId="4084C0E5" w14:textId="77777777" w:rsidR="00AF6702" w:rsidRPr="00702882" w:rsidRDefault="00AF6702" w:rsidP="00BA3659">
            <w:pPr>
              <w:contextualSpacing/>
              <w:jc w:val="center"/>
              <w:rPr>
                <w:sz w:val="20"/>
                <w:szCs w:val="20"/>
              </w:rPr>
            </w:pPr>
            <w:r w:rsidRPr="00702882">
              <w:rPr>
                <w:sz w:val="20"/>
                <w:szCs w:val="20"/>
              </w:rPr>
              <w:t>13</w:t>
            </w:r>
          </w:p>
        </w:tc>
      </w:tr>
      <w:tr w:rsidR="00F17429" w:rsidRPr="00702882" w14:paraId="7BF8E6EC" w14:textId="77777777" w:rsidTr="00BA3659">
        <w:trPr>
          <w:jc w:val="center"/>
        </w:trPr>
        <w:tc>
          <w:tcPr>
            <w:tcW w:w="1696" w:type="dxa"/>
            <w:vMerge/>
          </w:tcPr>
          <w:p w14:paraId="676D6DFB" w14:textId="77777777" w:rsidR="00AF6702" w:rsidRPr="00702882" w:rsidRDefault="00AF6702" w:rsidP="00BA3659">
            <w:pPr>
              <w:rPr>
                <w:sz w:val="20"/>
                <w:szCs w:val="20"/>
              </w:rPr>
            </w:pPr>
          </w:p>
        </w:tc>
        <w:tc>
          <w:tcPr>
            <w:tcW w:w="6384" w:type="dxa"/>
          </w:tcPr>
          <w:p w14:paraId="6C2111E5" w14:textId="77777777" w:rsidR="00AF6702" w:rsidRPr="00702882" w:rsidRDefault="00AF6702" w:rsidP="00BA3659">
            <w:pPr>
              <w:contextualSpacing/>
              <w:rPr>
                <w:sz w:val="20"/>
                <w:szCs w:val="20"/>
              </w:rPr>
            </w:pPr>
            <w:r w:rsidRPr="00702882">
              <w:rPr>
                <w:b/>
                <w:bCs/>
                <w:sz w:val="20"/>
                <w:szCs w:val="20"/>
              </w:rPr>
              <w:t>4. 3/4 supermajority votes</w:t>
            </w:r>
            <w:r w:rsidRPr="00702882">
              <w:rPr>
                <w:sz w:val="20"/>
                <w:szCs w:val="20"/>
              </w:rPr>
              <w:t>: Alaska (Constitutional Budget Reserve Fund)</w:t>
            </w:r>
          </w:p>
        </w:tc>
        <w:tc>
          <w:tcPr>
            <w:tcW w:w="987" w:type="dxa"/>
          </w:tcPr>
          <w:p w14:paraId="4BB8649E" w14:textId="77777777" w:rsidR="00AF6702" w:rsidRPr="00702882" w:rsidRDefault="00AF6702" w:rsidP="00BA3659">
            <w:pPr>
              <w:contextualSpacing/>
              <w:jc w:val="center"/>
              <w:rPr>
                <w:sz w:val="20"/>
                <w:szCs w:val="20"/>
              </w:rPr>
            </w:pPr>
            <w:r w:rsidRPr="00702882">
              <w:rPr>
                <w:sz w:val="20"/>
                <w:szCs w:val="20"/>
              </w:rPr>
              <w:t>1</w:t>
            </w:r>
          </w:p>
        </w:tc>
      </w:tr>
      <w:tr w:rsidR="00F17429" w:rsidRPr="00702882" w14:paraId="1B64E7D9" w14:textId="77777777" w:rsidTr="00BA3659">
        <w:trPr>
          <w:jc w:val="center"/>
        </w:trPr>
        <w:tc>
          <w:tcPr>
            <w:tcW w:w="1696" w:type="dxa"/>
          </w:tcPr>
          <w:p w14:paraId="16BFF0A9" w14:textId="77777777" w:rsidR="00AF6702" w:rsidRPr="00702882" w:rsidRDefault="00AF6702" w:rsidP="00BA3659">
            <w:pPr>
              <w:rPr>
                <w:sz w:val="20"/>
                <w:szCs w:val="20"/>
              </w:rPr>
            </w:pPr>
            <w:r w:rsidRPr="00702882">
              <w:rPr>
                <w:sz w:val="20"/>
                <w:szCs w:val="20"/>
              </w:rPr>
              <w:t>Withdrawal by revenue shortfalls</w:t>
            </w:r>
          </w:p>
        </w:tc>
        <w:tc>
          <w:tcPr>
            <w:tcW w:w="6384" w:type="dxa"/>
          </w:tcPr>
          <w:p w14:paraId="5C803FDC" w14:textId="77777777" w:rsidR="00AF6702" w:rsidRPr="00702882" w:rsidRDefault="00AF6702" w:rsidP="00BA3659">
            <w:pPr>
              <w:rPr>
                <w:sz w:val="20"/>
                <w:szCs w:val="20"/>
              </w:rPr>
            </w:pPr>
            <w:r w:rsidRPr="00702882">
              <w:rPr>
                <w:sz w:val="20"/>
                <w:szCs w:val="20"/>
              </w:rPr>
              <w:t>Alabama, Arkansas, California (Special Fund for Economic Uncertainties), Delaware, Florida, Georgia, Hawaii, Idaho, Iowa, Illinois, Indiana, Iowa (Cash Reserve Fund), Louisiana, Massachusetts, Minnesota, Mississippi, Missouri, Montana, Nebraska, New Hampshire, New Jersey, New Mexico, New York (Tax Stabilization Reserve Fund), N. Carolina, N. Dakota, Oklahoma, Pennsylvania, Rhode Island, S. Carolina, S. Dakota, Tennessee, Texas, Utah, Vermont, Virginia, W. Virginia, Wisconsin, Wyoming</w:t>
            </w:r>
          </w:p>
        </w:tc>
        <w:tc>
          <w:tcPr>
            <w:tcW w:w="987" w:type="dxa"/>
          </w:tcPr>
          <w:p w14:paraId="3F1ECB2A" w14:textId="77777777" w:rsidR="00AF6702" w:rsidRPr="00702882" w:rsidRDefault="00AF6702" w:rsidP="00BA3659">
            <w:pPr>
              <w:jc w:val="center"/>
              <w:rPr>
                <w:sz w:val="20"/>
                <w:szCs w:val="20"/>
              </w:rPr>
            </w:pPr>
            <w:r w:rsidRPr="00702882">
              <w:rPr>
                <w:sz w:val="20"/>
                <w:szCs w:val="20"/>
              </w:rPr>
              <w:t>38</w:t>
            </w:r>
          </w:p>
        </w:tc>
      </w:tr>
      <w:tr w:rsidR="00F17429" w:rsidRPr="00702882" w14:paraId="4882A68F" w14:textId="77777777" w:rsidTr="00BA3659">
        <w:trPr>
          <w:jc w:val="center"/>
        </w:trPr>
        <w:tc>
          <w:tcPr>
            <w:tcW w:w="1696" w:type="dxa"/>
          </w:tcPr>
          <w:p w14:paraId="091F1E4B" w14:textId="77777777" w:rsidR="00AF6702" w:rsidRPr="00702882" w:rsidRDefault="00AF6702" w:rsidP="00BA3659">
            <w:pPr>
              <w:rPr>
                <w:sz w:val="20"/>
                <w:szCs w:val="20"/>
              </w:rPr>
            </w:pPr>
            <w:r w:rsidRPr="00702882">
              <w:rPr>
                <w:sz w:val="20"/>
                <w:szCs w:val="20"/>
              </w:rPr>
              <w:t>Withdrawal tied to volatility</w:t>
            </w:r>
          </w:p>
        </w:tc>
        <w:tc>
          <w:tcPr>
            <w:tcW w:w="6384" w:type="dxa"/>
          </w:tcPr>
          <w:p w14:paraId="09D9C80A" w14:textId="77777777" w:rsidR="00AF6702" w:rsidRPr="00702882" w:rsidRDefault="00AF6702" w:rsidP="00BA3659">
            <w:pPr>
              <w:rPr>
                <w:sz w:val="20"/>
                <w:szCs w:val="20"/>
              </w:rPr>
            </w:pPr>
            <w:r w:rsidRPr="00702882">
              <w:rPr>
                <w:sz w:val="20"/>
                <w:szCs w:val="20"/>
              </w:rPr>
              <w:t>Arizona, California (Budget Stabilization Account), Connecticut, Indiana, Michigan, New York (Rainy Day Reserve Fund), Oklahoma, Oregon, Texas, Washington</w:t>
            </w:r>
          </w:p>
        </w:tc>
        <w:tc>
          <w:tcPr>
            <w:tcW w:w="987" w:type="dxa"/>
          </w:tcPr>
          <w:p w14:paraId="02DBE23B" w14:textId="77777777" w:rsidR="00AF6702" w:rsidRPr="00702882" w:rsidRDefault="00AF6702" w:rsidP="00BA3659">
            <w:pPr>
              <w:jc w:val="center"/>
              <w:rPr>
                <w:sz w:val="20"/>
                <w:szCs w:val="20"/>
              </w:rPr>
            </w:pPr>
            <w:r w:rsidRPr="00702882">
              <w:rPr>
                <w:sz w:val="20"/>
                <w:szCs w:val="20"/>
              </w:rPr>
              <w:t>10</w:t>
            </w:r>
          </w:p>
        </w:tc>
      </w:tr>
      <w:tr w:rsidR="00F17429" w:rsidRPr="00702882" w14:paraId="1D3A2E79" w14:textId="77777777" w:rsidTr="00BA3659">
        <w:trPr>
          <w:jc w:val="center"/>
        </w:trPr>
        <w:tc>
          <w:tcPr>
            <w:tcW w:w="1696" w:type="dxa"/>
          </w:tcPr>
          <w:p w14:paraId="573C8D79" w14:textId="77777777" w:rsidR="00AF6702" w:rsidRPr="00702882" w:rsidRDefault="00AF6702" w:rsidP="00BA3659">
            <w:pPr>
              <w:rPr>
                <w:sz w:val="20"/>
                <w:szCs w:val="20"/>
              </w:rPr>
            </w:pPr>
            <w:r w:rsidRPr="00702882">
              <w:rPr>
                <w:sz w:val="20"/>
                <w:szCs w:val="20"/>
              </w:rPr>
              <w:t>Withdrawal limits</w:t>
            </w:r>
          </w:p>
        </w:tc>
        <w:tc>
          <w:tcPr>
            <w:tcW w:w="6384" w:type="dxa"/>
          </w:tcPr>
          <w:p w14:paraId="490C3D6A" w14:textId="77777777" w:rsidR="00AF6702" w:rsidRPr="00702882" w:rsidRDefault="00AF6702" w:rsidP="00BA3659">
            <w:pPr>
              <w:rPr>
                <w:sz w:val="20"/>
                <w:szCs w:val="20"/>
              </w:rPr>
            </w:pPr>
            <w:r w:rsidRPr="00702882">
              <w:rPr>
                <w:sz w:val="20"/>
                <w:szCs w:val="20"/>
              </w:rPr>
              <w:t>Alabama, Alaska, California (Budget Stabilization Account), Hawaii, Idaho, Iowa (Cash Reserve Fund), Louisiana, Michigan, Mississippi, Missouri, N. Carolina, Oklahoma, Oregon (Rainy Day Fund), Tennessee, Vermont (General Fund Surplus Reserve), Virginia, W. Virginia</w:t>
            </w:r>
          </w:p>
        </w:tc>
        <w:tc>
          <w:tcPr>
            <w:tcW w:w="987" w:type="dxa"/>
          </w:tcPr>
          <w:p w14:paraId="759CD8E8" w14:textId="77777777" w:rsidR="00AF6702" w:rsidRPr="00702882" w:rsidRDefault="00AF6702" w:rsidP="00BA3659">
            <w:pPr>
              <w:jc w:val="center"/>
              <w:rPr>
                <w:sz w:val="20"/>
                <w:szCs w:val="20"/>
              </w:rPr>
            </w:pPr>
            <w:r w:rsidRPr="00702882">
              <w:rPr>
                <w:sz w:val="20"/>
                <w:szCs w:val="20"/>
              </w:rPr>
              <w:t>17</w:t>
            </w:r>
          </w:p>
        </w:tc>
      </w:tr>
      <w:tr w:rsidR="00F17429" w:rsidRPr="00702882" w14:paraId="013841EF" w14:textId="77777777" w:rsidTr="00BA3659">
        <w:trPr>
          <w:jc w:val="center"/>
        </w:trPr>
        <w:tc>
          <w:tcPr>
            <w:tcW w:w="1696" w:type="dxa"/>
            <w:vMerge w:val="restart"/>
          </w:tcPr>
          <w:p w14:paraId="5C15AAE7" w14:textId="77777777" w:rsidR="00AF6702" w:rsidRPr="00702882" w:rsidRDefault="00AF6702" w:rsidP="00BA3659">
            <w:pPr>
              <w:rPr>
                <w:sz w:val="20"/>
                <w:szCs w:val="20"/>
              </w:rPr>
            </w:pPr>
            <w:r w:rsidRPr="00702882">
              <w:rPr>
                <w:sz w:val="20"/>
                <w:szCs w:val="20"/>
              </w:rPr>
              <w:t>Repayment provision</w:t>
            </w:r>
          </w:p>
        </w:tc>
        <w:tc>
          <w:tcPr>
            <w:tcW w:w="6384" w:type="dxa"/>
          </w:tcPr>
          <w:p w14:paraId="464A3CAE" w14:textId="77777777" w:rsidR="00AF6702" w:rsidRPr="00702882" w:rsidRDefault="00AF6702" w:rsidP="00BA3659">
            <w:pPr>
              <w:rPr>
                <w:b/>
                <w:bCs/>
                <w:sz w:val="20"/>
                <w:szCs w:val="20"/>
              </w:rPr>
            </w:pPr>
            <w:r w:rsidRPr="00702882">
              <w:rPr>
                <w:b/>
                <w:bCs/>
                <w:sz w:val="20"/>
                <w:szCs w:val="20"/>
              </w:rPr>
              <w:t>No repayment period</w:t>
            </w:r>
            <w:r w:rsidRPr="00702882">
              <w:rPr>
                <w:sz w:val="20"/>
                <w:szCs w:val="20"/>
              </w:rPr>
              <w:t>: Alabama, Arkansas (Long Term Reserve Fund), California (Special Fund for Economic Uncertainties), Minnesota, Pennsylvania</w:t>
            </w:r>
          </w:p>
        </w:tc>
        <w:tc>
          <w:tcPr>
            <w:tcW w:w="987" w:type="dxa"/>
          </w:tcPr>
          <w:p w14:paraId="2906B41B" w14:textId="77777777" w:rsidR="00AF6702" w:rsidRPr="00702882" w:rsidRDefault="00AF6702" w:rsidP="00BA3659">
            <w:pPr>
              <w:jc w:val="center"/>
              <w:rPr>
                <w:sz w:val="20"/>
                <w:szCs w:val="20"/>
              </w:rPr>
            </w:pPr>
            <w:r w:rsidRPr="00702882">
              <w:rPr>
                <w:sz w:val="20"/>
                <w:szCs w:val="20"/>
              </w:rPr>
              <w:t>5</w:t>
            </w:r>
          </w:p>
        </w:tc>
      </w:tr>
      <w:tr w:rsidR="00F17429" w:rsidRPr="00702882" w14:paraId="505269AB" w14:textId="77777777" w:rsidTr="00BA3659">
        <w:trPr>
          <w:jc w:val="center"/>
        </w:trPr>
        <w:tc>
          <w:tcPr>
            <w:tcW w:w="1696" w:type="dxa"/>
            <w:vMerge/>
          </w:tcPr>
          <w:p w14:paraId="6646244C" w14:textId="77777777" w:rsidR="00AF6702" w:rsidRPr="00702882" w:rsidRDefault="00AF6702" w:rsidP="00BA3659">
            <w:pPr>
              <w:rPr>
                <w:sz w:val="20"/>
                <w:szCs w:val="20"/>
              </w:rPr>
            </w:pPr>
          </w:p>
        </w:tc>
        <w:tc>
          <w:tcPr>
            <w:tcW w:w="6384" w:type="dxa"/>
          </w:tcPr>
          <w:p w14:paraId="2BEB5379" w14:textId="77777777" w:rsidR="00AF6702" w:rsidRPr="00702882" w:rsidRDefault="00AF6702" w:rsidP="00BA3659">
            <w:pPr>
              <w:rPr>
                <w:sz w:val="20"/>
                <w:szCs w:val="20"/>
              </w:rPr>
            </w:pPr>
            <w:r w:rsidRPr="00702882">
              <w:rPr>
                <w:b/>
                <w:bCs/>
                <w:sz w:val="20"/>
                <w:szCs w:val="20"/>
              </w:rPr>
              <w:t>Repay within 4-6 years</w:t>
            </w:r>
            <w:r w:rsidRPr="00702882">
              <w:rPr>
                <w:sz w:val="20"/>
                <w:szCs w:val="20"/>
              </w:rPr>
              <w:t xml:space="preserve">: Florida, New York (Tax Stabilization Reserve Fund), </w:t>
            </w:r>
          </w:p>
          <w:p w14:paraId="7DEE226B" w14:textId="77777777" w:rsidR="00AF6702" w:rsidRPr="00702882" w:rsidRDefault="00AF6702" w:rsidP="00BA3659">
            <w:pPr>
              <w:rPr>
                <w:b/>
                <w:bCs/>
                <w:sz w:val="20"/>
                <w:szCs w:val="20"/>
              </w:rPr>
            </w:pPr>
            <w:r w:rsidRPr="00702882">
              <w:rPr>
                <w:sz w:val="20"/>
                <w:szCs w:val="20"/>
              </w:rPr>
              <w:t>South Carolina (General Reserve Fund)</w:t>
            </w:r>
          </w:p>
        </w:tc>
        <w:tc>
          <w:tcPr>
            <w:tcW w:w="987" w:type="dxa"/>
          </w:tcPr>
          <w:p w14:paraId="33AB5E6E" w14:textId="77777777" w:rsidR="00AF6702" w:rsidRPr="00702882" w:rsidRDefault="00AF6702" w:rsidP="00BA3659">
            <w:pPr>
              <w:jc w:val="center"/>
              <w:rPr>
                <w:sz w:val="20"/>
                <w:szCs w:val="20"/>
              </w:rPr>
            </w:pPr>
            <w:r w:rsidRPr="00702882">
              <w:rPr>
                <w:sz w:val="20"/>
                <w:szCs w:val="20"/>
              </w:rPr>
              <w:t>3</w:t>
            </w:r>
          </w:p>
        </w:tc>
      </w:tr>
      <w:tr w:rsidR="00F17429" w:rsidRPr="00702882" w14:paraId="378F44EA" w14:textId="77777777" w:rsidTr="00BA3659">
        <w:trPr>
          <w:jc w:val="center"/>
        </w:trPr>
        <w:tc>
          <w:tcPr>
            <w:tcW w:w="1696" w:type="dxa"/>
            <w:vMerge/>
          </w:tcPr>
          <w:p w14:paraId="04AC9872" w14:textId="77777777" w:rsidR="00AF6702" w:rsidRPr="00702882" w:rsidRDefault="00AF6702" w:rsidP="00BA3659">
            <w:pPr>
              <w:rPr>
                <w:sz w:val="20"/>
                <w:szCs w:val="20"/>
              </w:rPr>
            </w:pPr>
          </w:p>
        </w:tc>
        <w:tc>
          <w:tcPr>
            <w:tcW w:w="6384" w:type="dxa"/>
          </w:tcPr>
          <w:p w14:paraId="6C61004A" w14:textId="77777777" w:rsidR="00AF6702" w:rsidRPr="00702882" w:rsidRDefault="00AF6702" w:rsidP="00BA3659">
            <w:pPr>
              <w:rPr>
                <w:b/>
                <w:bCs/>
                <w:sz w:val="20"/>
                <w:szCs w:val="20"/>
              </w:rPr>
            </w:pPr>
            <w:r w:rsidRPr="00702882">
              <w:rPr>
                <w:b/>
                <w:bCs/>
                <w:sz w:val="20"/>
                <w:szCs w:val="20"/>
              </w:rPr>
              <w:t>Repay within 2-3 years</w:t>
            </w:r>
            <w:r w:rsidRPr="00702882">
              <w:rPr>
                <w:sz w:val="20"/>
                <w:szCs w:val="20"/>
              </w:rPr>
              <w:t>: Missouri, New York (Rainy Day Reserve Fund)</w:t>
            </w:r>
          </w:p>
        </w:tc>
        <w:tc>
          <w:tcPr>
            <w:tcW w:w="987" w:type="dxa"/>
          </w:tcPr>
          <w:p w14:paraId="6054FD88" w14:textId="77777777" w:rsidR="00AF6702" w:rsidRPr="00702882" w:rsidRDefault="00AF6702" w:rsidP="00BA3659">
            <w:pPr>
              <w:jc w:val="center"/>
              <w:rPr>
                <w:sz w:val="20"/>
                <w:szCs w:val="20"/>
              </w:rPr>
            </w:pPr>
            <w:r w:rsidRPr="00702882">
              <w:rPr>
                <w:sz w:val="20"/>
                <w:szCs w:val="20"/>
              </w:rPr>
              <w:t>2</w:t>
            </w:r>
          </w:p>
        </w:tc>
      </w:tr>
      <w:tr w:rsidR="00F17429" w:rsidRPr="00702882" w14:paraId="6D150C03" w14:textId="77777777" w:rsidTr="00BA3659">
        <w:trPr>
          <w:jc w:val="center"/>
        </w:trPr>
        <w:tc>
          <w:tcPr>
            <w:tcW w:w="1696" w:type="dxa"/>
            <w:vMerge/>
          </w:tcPr>
          <w:p w14:paraId="0E539E2D" w14:textId="77777777" w:rsidR="00AF6702" w:rsidRPr="00702882" w:rsidRDefault="00AF6702" w:rsidP="00BA3659">
            <w:pPr>
              <w:rPr>
                <w:sz w:val="20"/>
                <w:szCs w:val="20"/>
              </w:rPr>
            </w:pPr>
          </w:p>
        </w:tc>
        <w:tc>
          <w:tcPr>
            <w:tcW w:w="6384" w:type="dxa"/>
          </w:tcPr>
          <w:p w14:paraId="38E7DDAB" w14:textId="77777777" w:rsidR="00AF6702" w:rsidRPr="00702882" w:rsidRDefault="00AF6702" w:rsidP="00BA3659">
            <w:pPr>
              <w:rPr>
                <w:b/>
                <w:bCs/>
                <w:sz w:val="20"/>
                <w:szCs w:val="20"/>
              </w:rPr>
            </w:pPr>
            <w:r w:rsidRPr="00702882">
              <w:rPr>
                <w:b/>
                <w:bCs/>
                <w:sz w:val="20"/>
                <w:szCs w:val="20"/>
              </w:rPr>
              <w:t>Repay within a year</w:t>
            </w:r>
            <w:r w:rsidRPr="00702882">
              <w:rPr>
                <w:sz w:val="20"/>
                <w:szCs w:val="20"/>
              </w:rPr>
              <w:t>: Alaska (Constitutional Budget Reserve Fund), Illinois, Iowa, Mississippi, Rhode Island, Texas, W. Virginia</w:t>
            </w:r>
          </w:p>
        </w:tc>
        <w:tc>
          <w:tcPr>
            <w:tcW w:w="987" w:type="dxa"/>
          </w:tcPr>
          <w:p w14:paraId="322FC13D" w14:textId="77777777" w:rsidR="00AF6702" w:rsidRPr="00702882" w:rsidRDefault="00AF6702" w:rsidP="00BA3659">
            <w:pPr>
              <w:jc w:val="center"/>
              <w:rPr>
                <w:sz w:val="20"/>
                <w:szCs w:val="20"/>
              </w:rPr>
            </w:pPr>
            <w:r w:rsidRPr="00702882">
              <w:rPr>
                <w:sz w:val="20"/>
                <w:szCs w:val="20"/>
              </w:rPr>
              <w:t>7</w:t>
            </w:r>
          </w:p>
        </w:tc>
      </w:tr>
      <w:tr w:rsidR="00F17429" w:rsidRPr="00702882" w14:paraId="3B50EBAE" w14:textId="77777777" w:rsidTr="00BA3659">
        <w:trPr>
          <w:jc w:val="center"/>
        </w:trPr>
        <w:tc>
          <w:tcPr>
            <w:tcW w:w="1696" w:type="dxa"/>
          </w:tcPr>
          <w:p w14:paraId="5B7ABA89" w14:textId="77777777" w:rsidR="00AF6702" w:rsidRPr="00702882" w:rsidRDefault="00AF6702" w:rsidP="00BA3659">
            <w:pPr>
              <w:rPr>
                <w:sz w:val="20"/>
                <w:szCs w:val="20"/>
              </w:rPr>
            </w:pPr>
            <w:r w:rsidRPr="00702882">
              <w:rPr>
                <w:sz w:val="20"/>
                <w:szCs w:val="20"/>
              </w:rPr>
              <w:t>Number of BSF</w:t>
            </w:r>
          </w:p>
        </w:tc>
        <w:tc>
          <w:tcPr>
            <w:tcW w:w="6384" w:type="dxa"/>
          </w:tcPr>
          <w:p w14:paraId="0E5305E5" w14:textId="77777777" w:rsidR="00AF6702" w:rsidRPr="00702882" w:rsidRDefault="00AF6702" w:rsidP="00BA3659">
            <w:pPr>
              <w:rPr>
                <w:sz w:val="20"/>
                <w:szCs w:val="20"/>
              </w:rPr>
            </w:pPr>
            <w:r w:rsidRPr="00702882">
              <w:rPr>
                <w:sz w:val="20"/>
                <w:szCs w:val="20"/>
              </w:rPr>
              <w:t xml:space="preserve">Alaska, </w:t>
            </w:r>
            <w:r w:rsidRPr="00702882">
              <w:rPr>
                <w:rFonts w:eastAsiaTheme="minorEastAsia"/>
                <w:sz w:val="20"/>
                <w:szCs w:val="20"/>
              </w:rPr>
              <w:t xml:space="preserve">Arkansas, </w:t>
            </w:r>
            <w:r w:rsidRPr="00702882">
              <w:rPr>
                <w:sz w:val="20"/>
                <w:szCs w:val="20"/>
              </w:rPr>
              <w:t xml:space="preserve">California, Iowa, Nevada, New Mexico, New York, Oklahoma, </w:t>
            </w:r>
            <w:r w:rsidRPr="00702882">
              <w:rPr>
                <w:rFonts w:eastAsiaTheme="minorEastAsia"/>
                <w:sz w:val="20"/>
                <w:szCs w:val="20"/>
              </w:rPr>
              <w:t xml:space="preserve">S. Carolina, </w:t>
            </w:r>
            <w:r w:rsidRPr="00702882">
              <w:rPr>
                <w:sz w:val="20"/>
                <w:szCs w:val="20"/>
              </w:rPr>
              <w:t>Vermont, W. Virginia, Wyoming</w:t>
            </w:r>
          </w:p>
        </w:tc>
        <w:tc>
          <w:tcPr>
            <w:tcW w:w="987" w:type="dxa"/>
          </w:tcPr>
          <w:p w14:paraId="2215D9CA" w14:textId="77777777" w:rsidR="00AF6702" w:rsidRPr="00702882" w:rsidRDefault="00AF6702" w:rsidP="00BA3659">
            <w:pPr>
              <w:jc w:val="center"/>
              <w:rPr>
                <w:rFonts w:eastAsiaTheme="minorEastAsia"/>
                <w:sz w:val="20"/>
                <w:szCs w:val="20"/>
              </w:rPr>
            </w:pPr>
            <w:r w:rsidRPr="00702882">
              <w:rPr>
                <w:sz w:val="20"/>
                <w:szCs w:val="20"/>
              </w:rPr>
              <w:t>1</w:t>
            </w:r>
            <w:r w:rsidRPr="00702882">
              <w:rPr>
                <w:rFonts w:eastAsiaTheme="minorEastAsia"/>
                <w:sz w:val="20"/>
                <w:szCs w:val="20"/>
              </w:rPr>
              <w:t>2</w:t>
            </w:r>
          </w:p>
        </w:tc>
      </w:tr>
    </w:tbl>
    <w:bookmarkEnd w:id="20"/>
    <w:p w14:paraId="2A6E4F20" w14:textId="77777777" w:rsidR="00AF6702" w:rsidRPr="00702882" w:rsidRDefault="00AF6702" w:rsidP="00C66AC4">
      <w:pPr>
        <w:spacing w:before="120" w:line="480" w:lineRule="auto"/>
        <w:rPr>
          <w:sz w:val="21"/>
          <w:szCs w:val="21"/>
        </w:rPr>
      </w:pPr>
      <w:r w:rsidRPr="00702882">
        <w:rPr>
          <w:sz w:val="21"/>
          <w:szCs w:val="21"/>
        </w:rPr>
        <w:t xml:space="preserve">Note: The State of Colorado is not included in Table 4 as the State does not have an official BSF. </w:t>
      </w:r>
    </w:p>
    <w:p w14:paraId="45CC0D35" w14:textId="77777777" w:rsidR="00BA3659" w:rsidRPr="00702882" w:rsidRDefault="00BA3659" w:rsidP="00C66AC4">
      <w:pPr>
        <w:spacing w:before="120" w:line="480" w:lineRule="auto"/>
        <w:contextualSpacing/>
        <w:rPr>
          <w:rFonts w:eastAsiaTheme="minorEastAsia"/>
          <w:b/>
          <w:bCs/>
        </w:rPr>
      </w:pPr>
    </w:p>
    <w:p w14:paraId="7F79FF30" w14:textId="44B09835" w:rsidR="00AF6702" w:rsidRPr="00702882" w:rsidRDefault="00AF6702" w:rsidP="00C66AC4">
      <w:pPr>
        <w:spacing w:before="120" w:line="480" w:lineRule="auto"/>
        <w:contextualSpacing/>
        <w:rPr>
          <w:sz w:val="22"/>
          <w:szCs w:val="22"/>
        </w:rPr>
      </w:pPr>
      <w:r w:rsidRPr="00702882">
        <w:rPr>
          <w:b/>
          <w:bCs/>
        </w:rPr>
        <w:lastRenderedPageBreak/>
        <w:t xml:space="preserve">2.5 </w:t>
      </w:r>
      <w:bookmarkStart w:id="21" w:name="FrequenciesofBSFStatuteCategories"/>
      <w:r w:rsidRPr="00702882">
        <w:rPr>
          <w:b/>
          <w:bCs/>
        </w:rPr>
        <w:t xml:space="preserve">Frequencies of BSF Statute Categories </w:t>
      </w:r>
      <w:bookmarkEnd w:id="21"/>
    </w:p>
    <w:p w14:paraId="063FC835" w14:textId="1C7C8443" w:rsidR="00AF6702" w:rsidRPr="00702882" w:rsidRDefault="00AF6702" w:rsidP="00C66AC4">
      <w:pPr>
        <w:spacing w:line="480" w:lineRule="auto"/>
        <w:ind w:firstLine="720"/>
        <w:rPr>
          <w:color w:val="7030A0"/>
        </w:rPr>
      </w:pPr>
      <w:r w:rsidRPr="00702882">
        <w:t>Table 4 shows the frequency of BSF structural features in 2020. All states except Colorado are included in the Table. First, three states, including Hawaii</w:t>
      </w:r>
      <w:r w:rsidRPr="00702882">
        <w:rPr>
          <w:rStyle w:val="a5"/>
        </w:rPr>
        <w:footnoteReference w:id="37"/>
      </w:r>
      <w:r w:rsidRPr="00702882">
        <w:t>, Nebraska, and West Virginia</w:t>
      </w:r>
      <w:r w:rsidRPr="00702882">
        <w:rPr>
          <w:rStyle w:val="a5"/>
        </w:rPr>
        <w:footnoteReference w:id="38"/>
      </w:r>
      <w:r w:rsidRPr="00702882">
        <w:t xml:space="preserve"> use non-tax revenue, such as tobacco settlement fund or federal fund to finance their BSFs. Tax revenue on natural resources as a primary source of BSFs are used by six states, including, Alabama, Alaska, Louisiana, Oklahoma, Texas, and Wyoming. Deposit requirements include i) deposit by executive, ii) deposit by legislature, iii) deposit by surplus, iv) deposit</w:t>
      </w:r>
      <w:r w:rsidR="0003100E" w:rsidRPr="00702882">
        <w:rPr>
          <w:rFonts w:eastAsiaTheme="minorEastAsia"/>
        </w:rPr>
        <w:t xml:space="preserve"> tied to revenue or economic volatility</w:t>
      </w:r>
      <w:r w:rsidRPr="00702882">
        <w:t xml:space="preserve">, and v) deposit in other ways, as shown in table 4. In twenty-five states, officials in the executive branch are responsible for making deposits into the BSF, whereas in </w:t>
      </w:r>
      <w:r w:rsidRPr="00702882">
        <w:rPr>
          <w:rFonts w:eastAsiaTheme="minorEastAsia"/>
        </w:rPr>
        <w:t>eighteen</w:t>
      </w:r>
      <w:r w:rsidRPr="00702882">
        <w:t xml:space="preserve"> states, deposits into the fund are made through legislative appropriation.</w:t>
      </w:r>
    </w:p>
    <w:p w14:paraId="3FA8A6D5" w14:textId="77777777" w:rsidR="00D979DA" w:rsidRPr="00702882" w:rsidRDefault="00AF6702" w:rsidP="00D979DA">
      <w:pPr>
        <w:spacing w:line="480" w:lineRule="auto"/>
        <w:ind w:firstLine="720"/>
        <w:rPr>
          <w:rFonts w:eastAsiaTheme="minorEastAsia"/>
        </w:rPr>
      </w:pPr>
      <w:r w:rsidRPr="00702882">
        <w:t xml:space="preserve">The most prevalent deposit method is “depositing revenue surplus,” which is utilized by </w:t>
      </w:r>
      <w:r w:rsidR="00FF427A" w:rsidRPr="00702882">
        <w:rPr>
          <w:rFonts w:eastAsiaTheme="minorEastAsia"/>
        </w:rPr>
        <w:t>33</w:t>
      </w:r>
      <w:r w:rsidRPr="00702882">
        <w:t xml:space="preserve"> states. In Hawaii, five percent of the general fund balances is deposited into their BSF</w:t>
      </w:r>
      <w:r w:rsidRPr="00702882">
        <w:rPr>
          <w:rFonts w:eastAsiaTheme="minorEastAsia"/>
        </w:rPr>
        <w:t xml:space="preserve">. Kansas initially deposited ten percent of its general fund surplus into its BSF, but subsequently raised the allocation to 50 percent in 2020. </w:t>
      </w:r>
      <w:r w:rsidRPr="00702882">
        <w:t>Utah and Nevada save 25 percent and 40 percent of their general fund balances, respectively.</w:t>
      </w:r>
      <w:r w:rsidRPr="00702882">
        <w:rPr>
          <w:rStyle w:val="a5"/>
        </w:rPr>
        <w:footnoteReference w:id="39"/>
      </w:r>
      <w:r w:rsidRPr="00702882">
        <w:t xml:space="preserve"> States, including Idaho, Kentucky, Massachusetts, Mississippi, Montana, New Jersey, Texas, West Virginia, and </w:t>
      </w:r>
      <w:r w:rsidRPr="00702882">
        <w:lastRenderedPageBreak/>
        <w:t>Wisconsin, need to deposit about half of the general fund surplus into their BSFs.</w:t>
      </w:r>
      <w:r w:rsidRPr="00702882">
        <w:rPr>
          <w:rStyle w:val="a5"/>
        </w:rPr>
        <w:footnoteReference w:id="40"/>
      </w:r>
      <w:r w:rsidR="00D979DA" w:rsidRPr="00702882">
        <w:rPr>
          <w:rFonts w:eastAsiaTheme="minorEastAsia"/>
          <w:color w:val="7030A0"/>
        </w:rPr>
        <w:t xml:space="preserve"> </w:t>
      </w:r>
      <w:r w:rsidRPr="00702882">
        <w:t xml:space="preserve">BSFs in </w:t>
      </w:r>
      <w:r w:rsidRPr="00702882">
        <w:rPr>
          <w:rFonts w:eastAsiaTheme="minorEastAsia"/>
        </w:rPr>
        <w:t>thirteen</w:t>
      </w:r>
      <w:r w:rsidRPr="00702882">
        <w:t xml:space="preserve"> states are required to save all</w:t>
      </w:r>
      <w:r w:rsidRPr="00702882">
        <w:rPr>
          <w:rFonts w:eastAsiaTheme="minorEastAsia"/>
        </w:rPr>
        <w:t xml:space="preserve"> </w:t>
      </w:r>
      <w:r w:rsidRPr="00702882">
        <w:t>surplus</w:t>
      </w:r>
      <w:r w:rsidRPr="00702882">
        <w:rPr>
          <w:rFonts w:eastAsiaTheme="minorEastAsia"/>
        </w:rPr>
        <w:t xml:space="preserve"> from the general fund. </w:t>
      </w:r>
    </w:p>
    <w:p w14:paraId="36A5CBA9" w14:textId="12A78511" w:rsidR="00AF6702" w:rsidRPr="00702882" w:rsidRDefault="00AF6702" w:rsidP="00D979DA">
      <w:pPr>
        <w:spacing w:line="480" w:lineRule="auto"/>
        <w:ind w:firstLine="720"/>
        <w:rPr>
          <w:rFonts w:eastAsiaTheme="minorEastAsia"/>
        </w:rPr>
      </w:pPr>
      <w:r w:rsidRPr="00702882">
        <w:t xml:space="preserve">Seventeen states link deposit to revenue or economic volatility. </w:t>
      </w:r>
      <w:r w:rsidRPr="00702882">
        <w:rPr>
          <w:rFonts w:eastAsiaTheme="minorEastAsia"/>
        </w:rPr>
        <w:t>Among them, n</w:t>
      </w:r>
      <w:r w:rsidRPr="00702882">
        <w:t>ine states, including Arizona, California, Connecticut, Florida, Indiana, Michigan, Oklahoma, Texas, and Washington, link both deposit and withdrawal to revenue or economic volatility.</w:t>
      </w:r>
      <w:r w:rsidRPr="00702882">
        <w:rPr>
          <w:rFonts w:eastAsiaTheme="minorEastAsia"/>
        </w:rPr>
        <w:t xml:space="preserve"> </w:t>
      </w:r>
      <w:r w:rsidRPr="00702882">
        <w:t xml:space="preserve">The deposit requirements of </w:t>
      </w:r>
      <w:r w:rsidRPr="00702882">
        <w:rPr>
          <w:rFonts w:eastAsiaTheme="minorEastAsia"/>
        </w:rPr>
        <w:t>four</w:t>
      </w:r>
      <w:r w:rsidRPr="00702882">
        <w:t xml:space="preserve"> states’ BSFs do not fit into any categories. </w:t>
      </w:r>
    </w:p>
    <w:p w14:paraId="1182EB0A" w14:textId="5DCD445A" w:rsidR="00AF6702" w:rsidRPr="00702882" w:rsidRDefault="00AF6702" w:rsidP="00C66AC4">
      <w:pPr>
        <w:spacing w:line="480" w:lineRule="auto"/>
        <w:ind w:firstLine="720"/>
        <w:rPr>
          <w:rFonts w:eastAsiaTheme="minorEastAsia"/>
        </w:rPr>
      </w:pPr>
      <w:r w:rsidRPr="00702882">
        <w:rPr>
          <w:rFonts w:eastAsiaTheme="minorEastAsia"/>
        </w:rPr>
        <w:t>Eleven</w:t>
      </w:r>
      <w:r w:rsidRPr="00702882">
        <w:t xml:space="preserve"> states have adopted a low-cap range of 2-5% for their BSFs, while </w:t>
      </w:r>
      <w:r w:rsidRPr="00702882">
        <w:rPr>
          <w:rFonts w:eastAsiaTheme="minorEastAsia"/>
        </w:rPr>
        <w:t>twelve</w:t>
      </w:r>
      <w:r w:rsidRPr="00702882">
        <w:t xml:space="preserve"> states have implemented a medium-cap range of 6-9%.</w:t>
      </w:r>
      <w:r w:rsidR="00954305" w:rsidRPr="00702882">
        <w:rPr>
          <w:rFonts w:eastAsiaTheme="minorEastAsia"/>
        </w:rPr>
        <w:t xml:space="preserve"> The cap of New Mexico's Operating Reserve is set at 8 percent of the total recurring appropriations from the general fund for the preceding fiscal year.</w:t>
      </w:r>
      <w:r w:rsidRPr="00702882">
        <w:rPr>
          <w:rFonts w:eastAsiaTheme="minorEastAsia"/>
        </w:rPr>
        <w:t xml:space="preserve"> </w:t>
      </w:r>
      <w:r w:rsidRPr="00702882">
        <w:t>In this study, however, the cap of New Mexico’s BSF is coded 4</w:t>
      </w:r>
      <w:r w:rsidR="00954305" w:rsidRPr="00702882">
        <w:rPr>
          <w:rFonts w:eastAsiaTheme="minorEastAsia"/>
        </w:rPr>
        <w:t>. This is because when the sum of the excess revenue and the balance in the Operating Reserve exceeds 8% of the appropriations from the general fund for the previous fiscal year, the surplus should be directed to the Tax Stabilization Reserve, the second BSF of New Mexico</w:t>
      </w:r>
      <w:r w:rsidRPr="00702882">
        <w:t xml:space="preserve"> (N.M. Stat. Ann. § 6-4-4).</w:t>
      </w:r>
      <w:r w:rsidR="00954305" w:rsidRPr="00702882">
        <w:rPr>
          <w:rFonts w:eastAsiaTheme="minorEastAsia"/>
        </w:rPr>
        <w:t xml:space="preserve"> </w:t>
      </w:r>
    </w:p>
    <w:p w14:paraId="667F8D89" w14:textId="60A1A05E" w:rsidR="00AF6702" w:rsidRPr="00702882" w:rsidRDefault="00AF6702" w:rsidP="00C66AC4">
      <w:pPr>
        <w:spacing w:line="480" w:lineRule="auto"/>
        <w:ind w:firstLine="720"/>
        <w:rPr>
          <w:rFonts w:eastAsiaTheme="minorEastAsia"/>
        </w:rPr>
      </w:pPr>
      <w:r w:rsidRPr="00702882">
        <w:rPr>
          <w:rFonts w:eastAsiaTheme="minorEastAsia"/>
        </w:rPr>
        <w:t xml:space="preserve">Nine </w:t>
      </w:r>
      <w:r w:rsidRPr="00702882">
        <w:t xml:space="preserve">states use the range of high cap (10-14%). The remaining states are classified into the category of very high cap (more than 15%). Among them, Alaska, Alabama, Nebraska, and Wyoming have no cap. Arkansas is coded 0 because the state does not have the fixed cap, but the cap is determined by the General Assembly (A.C.A. § 19-6-486). Minnesota also does not place the fixed cap on the Budget and Cash Flow Reserve Accounts, but the cap is determined based on the </w:t>
      </w:r>
      <w:r w:rsidR="00BD1C87" w:rsidRPr="00702882">
        <w:rPr>
          <w:rFonts w:eastAsiaTheme="minorEastAsia"/>
        </w:rPr>
        <w:t>fluctuation</w:t>
      </w:r>
      <w:r w:rsidRPr="00702882">
        <w:t xml:space="preserve"> of the general fund’s tax structure (Minn. Stat. § 16A.152).</w:t>
      </w:r>
      <w:r w:rsidRPr="00702882">
        <w:rPr>
          <w:rStyle w:val="a5"/>
        </w:rPr>
        <w:footnoteReference w:id="41"/>
      </w:r>
    </w:p>
    <w:p w14:paraId="4665B5BC" w14:textId="77777777" w:rsidR="00AF6702" w:rsidRPr="00702882" w:rsidRDefault="00AF6702" w:rsidP="00C66AC4">
      <w:pPr>
        <w:spacing w:line="480" w:lineRule="auto"/>
        <w:ind w:firstLine="720"/>
        <w:rPr>
          <w:rFonts w:eastAsiaTheme="minorEastAsia"/>
        </w:rPr>
      </w:pPr>
      <w:r w:rsidRPr="00702882">
        <w:lastRenderedPageBreak/>
        <w:t>Withdrawal requirements have four categories, including withdrawal by executive, withdrawal by legislature, withdrawal based on revenue shortfalls, and withdrawal tied to revenue volatility, shown in table 4. The category of “withdrawal by revenue shortfall” has the highest proportion, about 7</w:t>
      </w:r>
      <w:r w:rsidRPr="00702882">
        <w:rPr>
          <w:rFonts w:eastAsiaTheme="minorEastAsia"/>
        </w:rPr>
        <w:t>6</w:t>
      </w:r>
      <w:r w:rsidRPr="00702882">
        <w:t xml:space="preserve"> percent, as thirty-</w:t>
      </w:r>
      <w:r w:rsidRPr="00702882">
        <w:rPr>
          <w:rFonts w:eastAsiaTheme="minorEastAsia"/>
        </w:rPr>
        <w:t>eight</w:t>
      </w:r>
      <w:r w:rsidRPr="00702882">
        <w:t xml:space="preserve"> states have adopted this method. “Withdrawal by executive” is utilized by twenty states. </w:t>
      </w:r>
      <w:r w:rsidRPr="00702882">
        <w:rPr>
          <w:rFonts w:eastAsiaTheme="minorEastAsia"/>
        </w:rPr>
        <w:t>Ten</w:t>
      </w:r>
      <w:r w:rsidRPr="00702882">
        <w:t xml:space="preserve"> states, representing roughly 2</w:t>
      </w:r>
      <w:r w:rsidRPr="00702882">
        <w:rPr>
          <w:rFonts w:eastAsiaTheme="minorEastAsia"/>
        </w:rPr>
        <w:t>0</w:t>
      </w:r>
      <w:r w:rsidRPr="00702882">
        <w:t xml:space="preserve"> percent, employ the “withdrawal tied to revenue volatility</w:t>
      </w:r>
      <w:r w:rsidRPr="00702882">
        <w:rPr>
          <w:rFonts w:eastAsiaTheme="minorEastAsia"/>
        </w:rPr>
        <w:t xml:space="preserve">” approach. </w:t>
      </w:r>
    </w:p>
    <w:p w14:paraId="46F9B587" w14:textId="77777777" w:rsidR="00AF6702" w:rsidRPr="00702882" w:rsidRDefault="00AF6702" w:rsidP="00C66AC4">
      <w:pPr>
        <w:spacing w:line="480" w:lineRule="auto"/>
        <w:ind w:firstLine="720"/>
        <w:rPr>
          <w:rFonts w:eastAsiaTheme="minorEastAsia"/>
        </w:rPr>
      </w:pPr>
      <w:r w:rsidRPr="00702882">
        <w:rPr>
          <w:rFonts w:eastAsiaTheme="minorEastAsia"/>
        </w:rPr>
        <w:t xml:space="preserve">“Withdrawal by a simple majority vote of the legislature” serves as the second most prevalent withdrawal method and is employed by twenty-seven states, constituting approximately 55 percent of the total. </w:t>
      </w:r>
      <w:r w:rsidRPr="00702882">
        <w:t>Eighteen states, 36 percent, require a supermajority vote of the legislature for the use of BSF. Among them, four states, including Delaware, Iowa, Oregon, and Washington, adopt three-fifths supermajority vote for withdrawal. Thirteen states require two-thirds supermajority vote to withdraw money from their BSFs. Only one state, Alaska, uses a three-fourth supermajority vote to use its BSF.</w:t>
      </w:r>
    </w:p>
    <w:p w14:paraId="74B5D9C6" w14:textId="77777777" w:rsidR="00AF6702" w:rsidRPr="00702882" w:rsidRDefault="00AF6702" w:rsidP="00C66AC4">
      <w:pPr>
        <w:spacing w:line="480" w:lineRule="auto"/>
        <w:ind w:firstLine="720"/>
      </w:pPr>
      <w:r w:rsidRPr="00702882">
        <w:t xml:space="preserve">Seventeen states limit the amount of money (or the proportion of BSF balance) that can be withdrawn from BSFs. Iowa cannot use its Cash Reserve Fund if an appropriation results in the fund’s balance being less than “three and three-fourths percent of the adjusted revenue estimate” for the year (Iowa Code § 8.56). Meanwhile, the Economic Emergency Fund, Iowa’s second reserve, has no withdrawal limit, like the Cash Reserve Fund (Iowa Code § 8.55). </w:t>
      </w:r>
    </w:p>
    <w:p w14:paraId="7F708A0C" w14:textId="08212BFC" w:rsidR="00AF6702" w:rsidRPr="00702882" w:rsidRDefault="00AF6702" w:rsidP="00C66AC4">
      <w:pPr>
        <w:spacing w:line="480" w:lineRule="auto"/>
        <w:ind w:firstLine="720"/>
        <w:rPr>
          <w:color w:val="7030A0"/>
        </w:rPr>
      </w:pPr>
      <w:r w:rsidRPr="00702882">
        <w:t xml:space="preserve">Repayment provisions are adopted by seventeen states, accounting for 35 percentage of the total. Seven states, including Alaska, Arkansas, Illinois, Iowa, Mississippi, Rhode Island, Texas, and West Virginia, require repaying money borrowed from BSFs within one </w:t>
      </w:r>
      <w:r w:rsidRPr="00702882">
        <w:lastRenderedPageBreak/>
        <w:t xml:space="preserve">year. Missouri and New York must replenish the fund used within </w:t>
      </w:r>
      <w:r w:rsidR="00EC1A5D" w:rsidRPr="00702882">
        <w:rPr>
          <w:rFonts w:eastAsiaTheme="minorEastAsia"/>
        </w:rPr>
        <w:t>three</w:t>
      </w:r>
      <w:r w:rsidRPr="00702882">
        <w:t xml:space="preserve"> years. Florida and South Carolina need to pay back money previously borrowed from the fund within </w:t>
      </w:r>
      <w:r w:rsidR="00EC1A5D" w:rsidRPr="00702882">
        <w:rPr>
          <w:rFonts w:eastAsiaTheme="minorEastAsia"/>
        </w:rPr>
        <w:t>six</w:t>
      </w:r>
      <w:r w:rsidRPr="00702882">
        <w:t xml:space="preserve"> years. Alabama, </w:t>
      </w:r>
      <w:r w:rsidRPr="00702882">
        <w:rPr>
          <w:rFonts w:eastAsiaTheme="minorEastAsia"/>
        </w:rPr>
        <w:t xml:space="preserve">Arkansas, California, </w:t>
      </w:r>
      <w:r w:rsidRPr="00702882">
        <w:t xml:space="preserve">Minnesota, and Pennsylvania have the repayment provision but does not specify the period for replenishment. </w:t>
      </w:r>
    </w:p>
    <w:p w14:paraId="1B6CD7C9" w14:textId="77777777" w:rsidR="00AF6702" w:rsidRPr="00702882" w:rsidRDefault="00AF6702" w:rsidP="00C66AC4">
      <w:pPr>
        <w:spacing w:line="480" w:lineRule="auto"/>
        <w:ind w:firstLine="720"/>
      </w:pPr>
      <w:r w:rsidRPr="00702882">
        <w:rPr>
          <w:rFonts w:eastAsiaTheme="minorEastAsia"/>
        </w:rPr>
        <w:t>Twelve</w:t>
      </w:r>
      <w:r w:rsidRPr="00702882">
        <w:t xml:space="preserve"> states, accounting for about 2</w:t>
      </w:r>
      <w:r w:rsidRPr="00702882">
        <w:rPr>
          <w:rFonts w:eastAsiaTheme="minorEastAsia"/>
        </w:rPr>
        <w:t>4</w:t>
      </w:r>
      <w:r w:rsidRPr="00702882">
        <w:t xml:space="preserve"> percent of the total, have at least two operating BSFs for general funds. These states include Alaska,</w:t>
      </w:r>
      <w:r w:rsidRPr="00702882">
        <w:rPr>
          <w:rFonts w:eastAsiaTheme="minorEastAsia"/>
        </w:rPr>
        <w:t xml:space="preserve"> Arkansas,</w:t>
      </w:r>
      <w:r w:rsidRPr="00702882">
        <w:t xml:space="preserve"> California, Iowa, Nevada, New Mexico, New York, Oklahoma,</w:t>
      </w:r>
      <w:r w:rsidRPr="00702882">
        <w:rPr>
          <w:rFonts w:eastAsiaTheme="minorEastAsia"/>
        </w:rPr>
        <w:t xml:space="preserve"> South Carolina,</w:t>
      </w:r>
      <w:r w:rsidRPr="00702882">
        <w:t xml:space="preserve"> Vermont, West Virginia, and Wyoming. </w:t>
      </w:r>
    </w:p>
    <w:p w14:paraId="399F0360" w14:textId="77777777" w:rsidR="00AF6702" w:rsidRPr="00702882" w:rsidRDefault="00AF6702" w:rsidP="00C66AC4">
      <w:pPr>
        <w:spacing w:line="480" w:lineRule="auto"/>
        <w:ind w:firstLine="720"/>
        <w:rPr>
          <w:color w:val="7030A0"/>
        </w:rPr>
      </w:pPr>
    </w:p>
    <w:p w14:paraId="24514D0C" w14:textId="77777777" w:rsidR="00AF6702" w:rsidRPr="00702882" w:rsidRDefault="00AF6702" w:rsidP="00C66AC4">
      <w:pPr>
        <w:spacing w:line="480" w:lineRule="auto"/>
        <w:ind w:firstLine="720"/>
        <w:rPr>
          <w:color w:val="7030A0"/>
        </w:rPr>
      </w:pPr>
    </w:p>
    <w:p w14:paraId="5E0590A9" w14:textId="77777777" w:rsidR="00AF6702" w:rsidRPr="00702882" w:rsidRDefault="00AF6702" w:rsidP="00C66AC4">
      <w:pPr>
        <w:spacing w:line="480" w:lineRule="auto"/>
        <w:ind w:firstLine="720"/>
        <w:rPr>
          <w:color w:val="7030A0"/>
        </w:rPr>
      </w:pPr>
    </w:p>
    <w:p w14:paraId="168B924B" w14:textId="77777777" w:rsidR="00AF6702" w:rsidRPr="00702882" w:rsidRDefault="00AF6702" w:rsidP="00C66AC4">
      <w:pPr>
        <w:spacing w:line="480" w:lineRule="auto"/>
        <w:ind w:firstLine="720"/>
        <w:rPr>
          <w:color w:val="7030A0"/>
        </w:rPr>
      </w:pPr>
    </w:p>
    <w:p w14:paraId="0377F422" w14:textId="77777777" w:rsidR="00AF6702" w:rsidRPr="00702882" w:rsidRDefault="00AF6702" w:rsidP="00C66AC4">
      <w:pPr>
        <w:spacing w:line="480" w:lineRule="auto"/>
        <w:ind w:firstLine="720"/>
        <w:rPr>
          <w:color w:val="7030A0"/>
        </w:rPr>
      </w:pPr>
    </w:p>
    <w:p w14:paraId="2BDD6843" w14:textId="77777777" w:rsidR="00AF6702" w:rsidRPr="00702882" w:rsidRDefault="00AF6702" w:rsidP="00C66AC4">
      <w:pPr>
        <w:spacing w:line="480" w:lineRule="auto"/>
        <w:ind w:firstLine="720"/>
        <w:rPr>
          <w:color w:val="7030A0"/>
        </w:rPr>
      </w:pPr>
    </w:p>
    <w:p w14:paraId="67F596BF" w14:textId="77777777" w:rsidR="00AF6702" w:rsidRPr="00702882" w:rsidRDefault="00AF6702" w:rsidP="00C66AC4">
      <w:pPr>
        <w:spacing w:line="480" w:lineRule="auto"/>
        <w:ind w:firstLine="720"/>
        <w:rPr>
          <w:color w:val="7030A0"/>
        </w:rPr>
      </w:pPr>
    </w:p>
    <w:p w14:paraId="53A5175E" w14:textId="77777777" w:rsidR="00AF6702" w:rsidRPr="00702882" w:rsidRDefault="00AF6702" w:rsidP="00C66AC4">
      <w:pPr>
        <w:spacing w:line="480" w:lineRule="auto"/>
        <w:ind w:firstLine="720"/>
        <w:rPr>
          <w:color w:val="7030A0"/>
        </w:rPr>
      </w:pPr>
    </w:p>
    <w:p w14:paraId="7F7E6642" w14:textId="77777777" w:rsidR="00AF6702" w:rsidRPr="00702882" w:rsidRDefault="00AF6702" w:rsidP="00C66AC4">
      <w:pPr>
        <w:spacing w:line="480" w:lineRule="auto"/>
        <w:ind w:firstLine="720"/>
        <w:rPr>
          <w:rFonts w:eastAsiaTheme="minorEastAsia"/>
          <w:color w:val="7030A0"/>
        </w:rPr>
      </w:pPr>
    </w:p>
    <w:p w14:paraId="2F25EE82" w14:textId="77777777" w:rsidR="00AF6702" w:rsidRPr="00702882" w:rsidRDefault="00AF6702" w:rsidP="00C66AC4">
      <w:pPr>
        <w:spacing w:line="480" w:lineRule="auto"/>
        <w:ind w:firstLine="720"/>
        <w:rPr>
          <w:rFonts w:eastAsiaTheme="minorEastAsia"/>
          <w:color w:val="7030A0"/>
        </w:rPr>
      </w:pPr>
    </w:p>
    <w:p w14:paraId="5D3BC6DE" w14:textId="77777777" w:rsidR="00AF6702" w:rsidRPr="00702882" w:rsidRDefault="00AF6702" w:rsidP="00C66AC4">
      <w:pPr>
        <w:spacing w:line="480" w:lineRule="auto"/>
        <w:ind w:firstLine="720"/>
        <w:rPr>
          <w:rFonts w:eastAsiaTheme="minorEastAsia"/>
          <w:color w:val="7030A0"/>
        </w:rPr>
      </w:pPr>
    </w:p>
    <w:p w14:paraId="59492417" w14:textId="77777777" w:rsidR="00AF6702" w:rsidRPr="00702882" w:rsidRDefault="00AF6702" w:rsidP="00C66AC4">
      <w:pPr>
        <w:spacing w:line="480" w:lineRule="auto"/>
        <w:ind w:firstLine="720"/>
        <w:rPr>
          <w:rFonts w:eastAsiaTheme="minorEastAsia"/>
          <w:color w:val="7030A0"/>
        </w:rPr>
      </w:pPr>
    </w:p>
    <w:p w14:paraId="65FA6058" w14:textId="77777777" w:rsidR="00AF6702" w:rsidRPr="00702882" w:rsidRDefault="00AF6702" w:rsidP="00C66AC4">
      <w:pPr>
        <w:spacing w:line="480" w:lineRule="auto"/>
        <w:ind w:firstLine="720"/>
        <w:rPr>
          <w:rFonts w:eastAsiaTheme="minorEastAsia"/>
          <w:color w:val="7030A0"/>
        </w:rPr>
      </w:pPr>
    </w:p>
    <w:p w14:paraId="514EEF94" w14:textId="77777777" w:rsidR="00AF6702" w:rsidRPr="00702882" w:rsidRDefault="00AF6702" w:rsidP="00C66AC4">
      <w:pPr>
        <w:spacing w:line="480" w:lineRule="auto"/>
        <w:ind w:firstLine="720"/>
        <w:rPr>
          <w:rFonts w:eastAsiaTheme="minorEastAsia"/>
          <w:color w:val="7030A0"/>
        </w:rPr>
      </w:pPr>
    </w:p>
    <w:p w14:paraId="5C49D1E9" w14:textId="77777777" w:rsidR="00AF6702" w:rsidRPr="00702882" w:rsidRDefault="00AF6702" w:rsidP="00C66AC4">
      <w:pPr>
        <w:spacing w:line="480" w:lineRule="auto"/>
        <w:ind w:firstLine="720"/>
        <w:rPr>
          <w:rFonts w:eastAsiaTheme="minorEastAsia"/>
          <w:color w:val="7030A0"/>
        </w:rPr>
      </w:pPr>
    </w:p>
    <w:p w14:paraId="5B05C7E9" w14:textId="77777777" w:rsidR="00B52A3E" w:rsidRPr="00702882" w:rsidRDefault="00B52A3E" w:rsidP="00C66AC4">
      <w:pPr>
        <w:spacing w:line="480" w:lineRule="auto"/>
        <w:rPr>
          <w:rFonts w:eastAsiaTheme="minorEastAsia"/>
          <w:color w:val="7030A0"/>
        </w:rPr>
      </w:pPr>
    </w:p>
    <w:p w14:paraId="7AF2A441" w14:textId="77777777" w:rsidR="00AF6702" w:rsidRPr="00702882" w:rsidRDefault="00AF6702" w:rsidP="00C66AC4">
      <w:pPr>
        <w:spacing w:line="480" w:lineRule="auto"/>
        <w:jc w:val="center"/>
        <w:rPr>
          <w:b/>
          <w:bCs/>
        </w:rPr>
      </w:pPr>
      <w:r w:rsidRPr="00702882">
        <w:rPr>
          <w:b/>
          <w:bCs/>
        </w:rPr>
        <w:lastRenderedPageBreak/>
        <w:t xml:space="preserve">3. </w:t>
      </w:r>
      <w:bookmarkStart w:id="22" w:name="LITERATUREREVIEW"/>
      <w:r w:rsidRPr="00702882">
        <w:rPr>
          <w:b/>
          <w:bCs/>
        </w:rPr>
        <w:t>LITERATURE REVIEW</w:t>
      </w:r>
      <w:bookmarkEnd w:id="22"/>
    </w:p>
    <w:p w14:paraId="4994411B" w14:textId="77777777" w:rsidR="00AF6702" w:rsidRPr="00702882" w:rsidRDefault="00AF6702" w:rsidP="00C66AC4">
      <w:pPr>
        <w:spacing w:line="480" w:lineRule="auto"/>
        <w:rPr>
          <w:b/>
          <w:bCs/>
          <w:color w:val="7030A0"/>
        </w:rPr>
      </w:pPr>
    </w:p>
    <w:p w14:paraId="585BDE83" w14:textId="69D603F8" w:rsidR="005F67D2" w:rsidRPr="00702882" w:rsidRDefault="00AF6702" w:rsidP="006F6074">
      <w:pPr>
        <w:spacing w:line="480" w:lineRule="auto"/>
        <w:ind w:firstLine="720"/>
        <w:rPr>
          <w:rFonts w:eastAsiaTheme="minorEastAsia"/>
        </w:rPr>
      </w:pPr>
      <w:r w:rsidRPr="00702882">
        <w:t xml:space="preserve">With the </w:t>
      </w:r>
      <w:r w:rsidR="00BD1C87" w:rsidRPr="00702882">
        <w:rPr>
          <w:rFonts w:eastAsiaTheme="minorEastAsia"/>
        </w:rPr>
        <w:t>extensive</w:t>
      </w:r>
      <w:r w:rsidRPr="00702882">
        <w:t xml:space="preserve"> adoption of BSF in the 1980s, scholars have </w:t>
      </w:r>
      <w:r w:rsidR="00BD1C87" w:rsidRPr="00702882">
        <w:rPr>
          <w:rFonts w:eastAsiaTheme="minorEastAsia"/>
        </w:rPr>
        <w:t>conducted studies on</w:t>
      </w:r>
      <w:r w:rsidRPr="00702882">
        <w:t xml:space="preserve"> i) motive or purpose of BSF adoption </w:t>
      </w:r>
      <w:sdt>
        <w:sdtPr>
          <w:tag w:val="MENDELEY_CITATION_v3_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"/>
          <w:id w:val="418217536"/>
          <w:placeholder>
            <w:docPart w:val="37194F732CEF4CCDA545A4000024AF76"/>
          </w:placeholder>
        </w:sdtPr>
        <w:sdtContent>
          <w:r w:rsidR="00F520AD">
            <w:t>(Lee &amp; Chen, 2022; Wagner &amp; Sobel, 2006)</w:t>
          </w:r>
        </w:sdtContent>
      </w:sdt>
      <w:r w:rsidRPr="00702882">
        <w:t xml:space="preserve">, ii) determinants of BSF structural features </w:t>
      </w:r>
      <w:sdt>
        <w:sdtPr>
          <w:rPr>
            <w:color w:val="000000"/>
          </w:rPr>
          <w:tag w:val="MENDELEY_CITATION_v3_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"/>
          <w:id w:val="-1277860696"/>
          <w:placeholder>
            <w:docPart w:val="37194F732CEF4CCDA545A4000024AF76"/>
          </w:placeholder>
        </w:sdtPr>
        <w:sdtContent>
          <w:r w:rsidR="00F520AD" w:rsidRPr="00F520AD">
            <w:rPr>
              <w:color w:val="000000"/>
            </w:rPr>
            <w:t>(Rodríguez-Tejedo, 2012)</w:t>
          </w:r>
        </w:sdtContent>
      </w:sdt>
      <w:r w:rsidRPr="00702882">
        <w:t xml:space="preserve">, iii) their impacts on the budget stabilization or fiscal performance </w:t>
      </w:r>
      <w:sdt>
        <w:sdtPr>
          <w:rPr>
            <w:color w:val="000000"/>
          </w:rPr>
          <w:tag w:val="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"/>
          <w:id w:val="-825278610"/>
          <w:placeholder>
            <w:docPart w:val="37194F732CEF4CCDA545A4000024AF76"/>
          </w:placeholder>
        </w:sdtPr>
        <w:sdtContent>
          <w:r w:rsidR="00F520AD">
            <w:t>(Choi, 2022; Douglas &amp; Gaddie, 2002; Hou, 2003; Hou &amp; Moynihan, 2008; Sobel &amp; Holcombe, 1996)</w:t>
          </w:r>
        </w:sdtContent>
      </w:sdt>
      <w:r w:rsidRPr="00702882">
        <w:t xml:space="preserve">, and iv) optimal fiscal reserves </w:t>
      </w:r>
      <w:sdt>
        <w:sdtPr>
          <w:rPr>
            <w:color w:val="000000"/>
          </w:rPr>
          <w:tag w:val="MENDELEY_CITATION_v3_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"/>
          <w:id w:val="-1058776701"/>
          <w:placeholder>
            <w:docPart w:val="1D00F5552DF94928AFA76BE1EF3A22DB"/>
          </w:placeholder>
        </w:sdtPr>
        <w:sdtContent>
          <w:r w:rsidR="00F520AD" w:rsidRPr="00F520AD">
            <w:rPr>
              <w:color w:val="000000"/>
            </w:rPr>
            <w:t>(Kriz, 2003; Kriz, 2015)</w:t>
          </w:r>
        </w:sdtContent>
      </w:sdt>
      <w:r w:rsidRPr="00702882">
        <w:t xml:space="preserve"> over the last three decades. The most important debate in the literature is whether BSFs achieve the desired policy objective, budget stabilization. </w:t>
      </w:r>
    </w:p>
    <w:p w14:paraId="2C48D95B" w14:textId="3148E8CF" w:rsidR="00AF6702" w:rsidRPr="00702882" w:rsidRDefault="00AF6702" w:rsidP="006F6074">
      <w:pPr>
        <w:spacing w:line="480" w:lineRule="auto"/>
        <w:ind w:firstLine="720"/>
        <w:rPr>
          <w:rFonts w:eastAsiaTheme="minorEastAsia"/>
        </w:rPr>
      </w:pPr>
      <w:r w:rsidRPr="00702882">
        <w:t>Empirical studies have found that BSFs</w:t>
      </w:r>
      <w:r w:rsidR="00197FD1" w:rsidRPr="00702882">
        <w:t xml:space="preserve"> exhibit </w:t>
      </w:r>
      <w:r w:rsidR="00FB047A" w:rsidRPr="00702882">
        <w:rPr>
          <w:rFonts w:eastAsiaTheme="minorEastAsia"/>
        </w:rPr>
        <w:t>“</w:t>
      </w:r>
      <w:r w:rsidR="00197FD1" w:rsidRPr="00702882">
        <w:t>countercyclical effects</w:t>
      </w:r>
      <w:r w:rsidR="00FB047A" w:rsidRPr="00702882">
        <w:rPr>
          <w:rFonts w:eastAsiaTheme="minorEastAsia"/>
        </w:rPr>
        <w:t>”</w:t>
      </w:r>
      <w:r w:rsidR="00197FD1" w:rsidRPr="00702882">
        <w:t xml:space="preserve"> with the business cycle </w:t>
      </w:r>
      <w:sdt>
        <w:sdtPr>
          <w:rPr>
            <w:color w:val="000000"/>
          </w:rPr>
          <w:tag w:val="MENDELEY_CITATION_v3_eyJjaXRhdGlvbklEIjoiTUVOREVMRVlfQ0lUQVRJT05fMzllYTI5NTMtM2Y5Mi00MjY2LThkNDItNTJkN2IxMThlNmMxIiwicHJvcGVydGllcyI6eyJub3RlSW5kZXgiOjB9LCJpc0VkaXRlZCI6ZmFsc2UsIm1hbnVhbE92ZXJyaWRlIjp7ImlzTWFudWFsbHlPdmVycmlkZGVuIjpmYWxzZSwiY2l0ZXByb2NUZXh0IjoiKEhvdSwgMjAwMy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"/>
          <w:id w:val="543407712"/>
          <w:placeholder>
            <w:docPart w:val="DefaultPlaceholder_-1854013440"/>
          </w:placeholder>
        </w:sdtPr>
        <w:sdtContent>
          <w:r w:rsidR="00F520AD" w:rsidRPr="00F520AD">
            <w:rPr>
              <w:color w:val="000000"/>
            </w:rPr>
            <w:t>(Hou, 2003, 2004)</w:t>
          </w:r>
        </w:sdtContent>
      </w:sdt>
      <w:r w:rsidR="00197FD1" w:rsidRPr="00702882">
        <w:t xml:space="preserve"> and assist in mitigating </w:t>
      </w:r>
      <w:r w:rsidR="00FB047A" w:rsidRPr="00702882">
        <w:rPr>
          <w:rFonts w:eastAsiaTheme="minorEastAsia"/>
        </w:rPr>
        <w:t>“</w:t>
      </w:r>
      <w:r w:rsidR="00197FD1" w:rsidRPr="00702882">
        <w:t>fiscal stress</w:t>
      </w:r>
      <w:r w:rsidR="00FB047A" w:rsidRPr="00702882">
        <w:rPr>
          <w:rFonts w:eastAsiaTheme="minorEastAsia"/>
        </w:rPr>
        <w:t>”</w:t>
      </w:r>
      <w:r w:rsidR="00197FD1" w:rsidRPr="00702882">
        <w:t xml:space="preserve"> induced by recession</w:t>
      </w:r>
      <w:r w:rsidR="00197FD1" w:rsidRPr="00702882">
        <w:rPr>
          <w:rFonts w:eastAsiaTheme="minorEastAsia"/>
        </w:rPr>
        <w:t xml:space="preserve"> </w:t>
      </w:r>
      <w:sdt>
        <w:sdtPr>
          <w:tag w:val="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"/>
          <w:id w:val="535547159"/>
          <w:placeholder>
            <w:docPart w:val="2421EE9D1D4148BDB747397F22A2B774"/>
          </w:placeholder>
        </w:sdtPr>
        <w:sdtContent>
          <w:r w:rsidR="00F520AD">
            <w:t>(Douglas &amp; Gaddie, 2002; Hou, 2003; Hou &amp; Moynihan, 2008; Maag &amp; Merriman, 2001; Sobel &amp; Holcombe, 1996)</w:t>
          </w:r>
        </w:sdtContent>
      </w:sdt>
      <w:r w:rsidRPr="00702882">
        <w:t xml:space="preserve">. However, the association between BSFs and fiscal condition does not necessarily mean that all BSF policies work well at any time. The remaining questions are </w:t>
      </w:r>
      <w:r w:rsidRPr="00702882">
        <w:rPr>
          <w:i/>
          <w:iCs/>
        </w:rPr>
        <w:t xml:space="preserve">under which conditions states can build effective budget stabilization funds, and which BSF policies most contribute to improving fiscal performance. </w:t>
      </w:r>
    </w:p>
    <w:p w14:paraId="01C73F78" w14:textId="1A13C531" w:rsidR="00AF6702" w:rsidRPr="00702882" w:rsidRDefault="00AF6702" w:rsidP="006F6074">
      <w:pPr>
        <w:spacing w:line="480" w:lineRule="auto"/>
        <w:ind w:firstLine="720"/>
        <w:rPr>
          <w:rFonts w:eastAsiaTheme="minorEastAsia"/>
          <w:color w:val="7030A0"/>
        </w:rPr>
      </w:pPr>
      <w:r w:rsidRPr="00702882">
        <w:t>Different theoretical perspectives have been put forward to account for variation in BSF policies and their impacts on fiscal performance.</w:t>
      </w:r>
      <w:r w:rsidRPr="00702882">
        <w:rPr>
          <w:b/>
          <w:bCs/>
          <w:i/>
          <w:iCs/>
        </w:rPr>
        <w:t xml:space="preserve"> </w:t>
      </w:r>
      <w:r w:rsidRPr="00702882">
        <w:t xml:space="preserve">Theoretical perspectives stemming from New Institutional Economics (NIE) have remained central and most influential in the studies of Budget Stabilization Funds. New Institutional Economics (NIE) theorists view stringent BSF rules as effective enforcements that shape the behavior of public officials and policymakers </w:t>
      </w:r>
      <w:sdt>
        <w:sdtPr>
          <w:tag w:val="MENDELEY_CITATION_v3_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"/>
          <w:id w:val="-1826199968"/>
          <w:placeholder>
            <w:docPart w:val="F0EA541C6B3E4EE0A27BABE5E1BEF622"/>
          </w:placeholder>
        </w:sdtPr>
        <w:sdtContent>
          <w:r w:rsidR="00F520AD">
            <w:t>(Hou et al., 2003; Hou &amp; Moynihan, 2008)</w:t>
          </w:r>
        </w:sdtContent>
      </w:sdt>
      <w:r w:rsidRPr="00702882">
        <w:t>.</w:t>
      </w:r>
      <w:r w:rsidR="00880BDD" w:rsidRPr="00702882">
        <w:rPr>
          <w:rFonts w:eastAsiaTheme="minorEastAsia"/>
        </w:rPr>
        <w:t xml:space="preserve"> </w:t>
      </w:r>
      <w:r w:rsidRPr="00702882">
        <w:t xml:space="preserve">In contrast to </w:t>
      </w:r>
      <w:r w:rsidR="00880BDD" w:rsidRPr="00702882">
        <w:rPr>
          <w:rFonts w:eastAsiaTheme="minorEastAsia"/>
        </w:rPr>
        <w:t>NIE</w:t>
      </w:r>
      <w:r w:rsidRPr="00702882">
        <w:t xml:space="preserve">, principal-agent theoretical perspectives do not treat BSF rules as effective enforcements, assuming that </w:t>
      </w:r>
      <w:r w:rsidRPr="00702882">
        <w:lastRenderedPageBreak/>
        <w:t xml:space="preserve">lawmakers and government officials circumvent such rules to pursue their own interests </w:t>
      </w:r>
      <w:sdt>
        <w:sdtPr>
          <w:rPr>
            <w:color w:val="000000"/>
          </w:rPr>
          <w:tag w:val="MENDELEY_CITATION_v3_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"/>
          <w:id w:val="-123239027"/>
          <w:placeholder>
            <w:docPart w:val="F0EA541C6B3E4EE0A27BABE5E1BEF622"/>
          </w:placeholder>
        </w:sdtPr>
        <w:sdtContent>
          <w:r w:rsidR="00F520AD" w:rsidRPr="00F520AD">
            <w:rPr>
              <w:color w:val="000000"/>
            </w:rPr>
            <w:t>(Rose, 2008)</w:t>
          </w:r>
        </w:sdtContent>
      </w:sdt>
      <w:r w:rsidRPr="00702882">
        <w:t xml:space="preserve">. </w:t>
      </w:r>
    </w:p>
    <w:p w14:paraId="53DA960A" w14:textId="56134581" w:rsidR="00AF6702" w:rsidRPr="00702882" w:rsidRDefault="00AF6702" w:rsidP="00C66AC4">
      <w:pPr>
        <w:spacing w:line="480" w:lineRule="auto"/>
        <w:ind w:firstLine="720"/>
        <w:rPr>
          <w:rFonts w:eastAsiaTheme="minorEastAsia"/>
        </w:rPr>
      </w:pPr>
      <w:r w:rsidRPr="00702882">
        <w:t xml:space="preserve">Organizational theorists treat fiscal reserves as “slack resources” that are necessary to adapt to changing environments </w:t>
      </w:r>
      <w:sdt>
        <w:sdtPr>
          <w:rPr>
            <w:color w:val="000000"/>
          </w:rPr>
          <w:tag w:val="MENDELEY_CITATION_v3_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"/>
          <w:id w:val="-1214195300"/>
          <w:placeholder>
            <w:docPart w:val="DefaultPlaceholder_-1854013440"/>
          </w:placeholder>
        </w:sdtPr>
        <w:sdtContent>
          <w:r w:rsidR="00F520AD" w:rsidRPr="00F520AD">
            <w:rPr>
              <w:color w:val="000000"/>
            </w:rPr>
            <w:t>(Hendrick, 2006)</w:t>
          </w:r>
        </w:sdtContent>
      </w:sdt>
      <w:r w:rsidRPr="00702882">
        <w:t xml:space="preserve">. Hence, both </w:t>
      </w:r>
      <w:r w:rsidR="000F03DD" w:rsidRPr="00702882">
        <w:rPr>
          <w:rFonts w:eastAsiaTheme="minorEastAsia"/>
        </w:rPr>
        <w:t>NIE</w:t>
      </w:r>
      <w:r w:rsidRPr="00702882">
        <w:t xml:space="preserve"> and organizational theorists focus on the role and effectiveness of BSFs in stabilizing state budget and improving fiscal performance. Recently, organizational learning theory sheds new light on the relationship between a government’s past experiences and saving behavior </w:t>
      </w:r>
      <w:sdt>
        <w:sdtPr>
          <w:tag w:val="MENDELEY_CITATION_v3_eyJwcm9wZXJ0aWVzIjp7Im5vdGVJbmRleCI6MH0sImNpdGF0aW9uSUQiOiJNRU5ERUxFWV9DSVRBVElPTl9kNGNlMmIwOS01ZmE4LTQzMDQtOWEyYS1iNTdhOWMwMjJhMTYiLCJpc0VkaXRlZCI6ZmFsc2UsIm1hbnVhbE92ZXJyaWRlIjp7ImlzTWFudWFsbHlPdmVycmlkZGVuIjpmYWxzZSwibWFudWFsT3ZlcnJpZGVUZXh0IjoiIiwiY2l0ZXByb2NUZXh0IjoiKExlZSAmIzM4OyBDaGVuLCAyMDIyOyBTY2hlaW4sIDE5OTMpIn0sImNpdGF0aW9uSXRlbXMiOlt7ImlkIjoiNzQ0MjFkZGYtMDNlNC0zZTk3LWExMzItM2UyNjE2NDI5ODljIiwiaXNUZW1wb3JhcnkiOmZhbHNl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
          <w:id w:val="1240594925"/>
          <w:placeholder>
            <w:docPart w:val="37194F732CEF4CCDA545A4000024AF76"/>
          </w:placeholder>
        </w:sdtPr>
        <w:sdtContent>
          <w:r w:rsidR="00F520AD">
            <w:t>(Lee &amp; Chen, 2022; Schein, 1993)</w:t>
          </w:r>
        </w:sdtContent>
      </w:sdt>
      <w:r w:rsidRPr="00702882">
        <w:t>. The following subsections will explain theoretical perspectives on BSFs in more detail and engage them in a debate to understand disagreement in the literature.</w:t>
      </w:r>
    </w:p>
    <w:p w14:paraId="5E1F2516" w14:textId="77777777" w:rsidR="00880BDD" w:rsidRPr="00702882" w:rsidRDefault="00880BDD" w:rsidP="00C66AC4">
      <w:pPr>
        <w:spacing w:line="480" w:lineRule="auto"/>
        <w:ind w:firstLine="720"/>
        <w:rPr>
          <w:rFonts w:eastAsiaTheme="minorEastAsia"/>
          <w:color w:val="7030A0"/>
        </w:rPr>
      </w:pPr>
    </w:p>
    <w:p w14:paraId="03BAE75D" w14:textId="77777777" w:rsidR="00AF6702" w:rsidRPr="00702882" w:rsidRDefault="00AF6702" w:rsidP="00C66AC4">
      <w:pPr>
        <w:spacing w:line="480" w:lineRule="auto"/>
        <w:rPr>
          <w:b/>
          <w:bCs/>
        </w:rPr>
      </w:pPr>
      <w:r w:rsidRPr="00702882">
        <w:rPr>
          <w:b/>
          <w:bCs/>
        </w:rPr>
        <w:t xml:space="preserve">3.1 </w:t>
      </w:r>
      <w:bookmarkStart w:id="23" w:name="PublicChoiceTheory"/>
      <w:r w:rsidRPr="00702882">
        <w:rPr>
          <w:b/>
          <w:bCs/>
        </w:rPr>
        <w:t>Public Choice Theory</w:t>
      </w:r>
      <w:bookmarkEnd w:id="23"/>
    </w:p>
    <w:p w14:paraId="344A8A37" w14:textId="56EF03FB" w:rsidR="00AF6702" w:rsidRPr="00702882" w:rsidRDefault="00AF6702" w:rsidP="00C66AC4">
      <w:pPr>
        <w:spacing w:line="480" w:lineRule="auto"/>
        <w:ind w:firstLine="720"/>
        <w:rPr>
          <w:rFonts w:eastAsia="바탕"/>
        </w:rPr>
      </w:pPr>
      <w:r w:rsidRPr="00702882">
        <w:rPr>
          <w:rFonts w:eastAsia="바탕"/>
        </w:rPr>
        <w:t xml:space="preserve">In a democratic system, the responsiveness of those in power to citizens' demands and interests is crucial, as they rely on the support of the electorate for reelection </w:t>
      </w:r>
      <w:sdt>
        <w:sdtPr>
          <w:rPr>
            <w:rFonts w:eastAsia="바탕"/>
            <w:color w:val="000000"/>
          </w:rPr>
          <w:tag w:val="MENDELEY_CITATION_v3_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"/>
          <w:id w:val="-749187541"/>
          <w:placeholder>
            <w:docPart w:val="4D4793D74DE642CDAAABB845F9215B6C"/>
          </w:placeholder>
        </w:sdtPr>
        <w:sdtContent>
          <w:r w:rsidR="00F520AD" w:rsidRPr="00F520AD">
            <w:rPr>
              <w:rFonts w:eastAsia="바탕"/>
              <w:color w:val="000000"/>
            </w:rPr>
            <w:t>(Downs, 1961)</w:t>
          </w:r>
        </w:sdtContent>
      </w:sdt>
      <w:r w:rsidRPr="00702882">
        <w:rPr>
          <w:rFonts w:eastAsia="바탕"/>
        </w:rPr>
        <w:t xml:space="preserve">. Elected politicians, therefore, make budgetary decisions that align with voters' needs </w:t>
      </w:r>
      <w:sdt>
        <w:sdtPr>
          <w:rPr>
            <w:rFonts w:eastAsia="바탕"/>
          </w:rPr>
          <w:tag w:val="MENDELEY_CITATION_v3_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"/>
          <w:id w:val="239148697"/>
          <w:placeholder>
            <w:docPart w:val="4D4793D74DE642CDAAABB845F9215B6C"/>
          </w:placeholder>
        </w:sdtPr>
        <w:sdtContent>
          <w:r w:rsidR="00F520AD">
            <w:t>(Buchanan &amp; Wagner, 1977)</w:t>
          </w:r>
        </w:sdtContent>
      </w:sdt>
      <w:r w:rsidRPr="00702882">
        <w:rPr>
          <w:rFonts w:eastAsia="바탕"/>
        </w:rPr>
        <w:t xml:space="preserve">. The demand-side models of public choice, influenced by spending pressures and voter demands, anticipate the continuous delivery of public services even in the face of decreasing revenues during recessions. Consequently, political support gained through budgetary alignment with voters' needs and preferences tends to drive an increase in expenditures </w:t>
      </w:r>
      <w:sdt>
        <w:sdtPr>
          <w:rPr>
            <w:rFonts w:eastAsia="바탕"/>
            <w:color w:val="000000"/>
          </w:rPr>
          <w:tag w:val="MENDELEY_CITATION_v3_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"/>
          <w:id w:val="939882519"/>
          <w:placeholder>
            <w:docPart w:val="40C32C7376604D638A87FD7D90D209AA"/>
          </w:placeholder>
        </w:sdtPr>
        <w:sdtContent>
          <w:r w:rsidR="00F520AD" w:rsidRPr="00F520AD">
            <w:rPr>
              <w:rFonts w:eastAsia="바탕"/>
              <w:color w:val="000000"/>
            </w:rPr>
            <w:t>(Kwak, 2014)</w:t>
          </w:r>
        </w:sdtContent>
      </w:sdt>
      <w:r w:rsidRPr="00702882">
        <w:rPr>
          <w:rFonts w:eastAsia="바탕"/>
        </w:rPr>
        <w:t>.</w:t>
      </w:r>
    </w:p>
    <w:p w14:paraId="2AA538FF" w14:textId="0FB0DB11" w:rsidR="00AF6702" w:rsidRPr="00702882" w:rsidRDefault="00AF6702" w:rsidP="00C66AC4">
      <w:pPr>
        <w:spacing w:line="480" w:lineRule="auto"/>
        <w:ind w:firstLine="720"/>
        <w:rPr>
          <w:rFonts w:eastAsiaTheme="minorEastAsia"/>
          <w:color w:val="7030A0"/>
        </w:rPr>
      </w:pPr>
      <w:r w:rsidRPr="00702882">
        <w:rPr>
          <w:rFonts w:eastAsia="바탕"/>
        </w:rPr>
        <w:t xml:space="preserve">If consumer voters can express their policy preferences by moving to other jurisdictions where their demands or policy preferences are most realized </w:t>
      </w:r>
      <w:sdt>
        <w:sdtPr>
          <w:rPr>
            <w:color w:val="000000"/>
          </w:rPr>
          <w:tag w:val="MENDELEY_CITATION_v3_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"/>
          <w:id w:val="2037469456"/>
          <w:placeholder>
            <w:docPart w:val="5E84A2147BD94C83AA87E3A0A7921EC7"/>
          </w:placeholder>
        </w:sdtPr>
        <w:sdtContent>
          <w:r w:rsidR="00F520AD" w:rsidRPr="00F520AD">
            <w:rPr>
              <w:color w:val="000000"/>
            </w:rPr>
            <w:t>(Tiebout, 1956)</w:t>
          </w:r>
        </w:sdtContent>
      </w:sdt>
      <w:r w:rsidRPr="00702882">
        <w:t xml:space="preserve">, </w:t>
      </w:r>
      <w:r w:rsidRPr="00702882">
        <w:rPr>
          <w:rFonts w:eastAsia="바탕"/>
        </w:rPr>
        <w:t xml:space="preserve">fiscal policy for services may be </w:t>
      </w:r>
      <w:r w:rsidR="00473E5E" w:rsidRPr="00702882">
        <w:rPr>
          <w:rFonts w:eastAsia="바탕"/>
        </w:rPr>
        <w:t>implemented</w:t>
      </w:r>
      <w:r w:rsidRPr="00702882">
        <w:rPr>
          <w:rFonts w:eastAsia="바탕"/>
        </w:rPr>
        <w:t xml:space="preserve"> to attract citizens by </w:t>
      </w:r>
      <w:r w:rsidR="00473E5E" w:rsidRPr="00702882">
        <w:rPr>
          <w:rFonts w:eastAsia="바탕"/>
        </w:rPr>
        <w:t>meeting</w:t>
      </w:r>
      <w:r w:rsidRPr="00702882">
        <w:rPr>
          <w:rFonts w:eastAsia="바탕"/>
        </w:rPr>
        <w:t xml:space="preserve"> voters policy preferences </w:t>
      </w:r>
      <w:sdt>
        <w:sdtPr>
          <w:tag w:val="MENDELEY_CITATION_v3_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"/>
          <w:id w:val="448362660"/>
          <w:placeholder>
            <w:docPart w:val="5E84A2147BD94C83AA87E3A0A7921EC7"/>
          </w:placeholder>
        </w:sdtPr>
        <w:sdtContent>
          <w:r w:rsidR="00F520AD">
            <w:t>(Tausanovitch &amp; Warshaw, 2014)</w:t>
          </w:r>
        </w:sdtContent>
      </w:sdt>
      <w:r w:rsidRPr="00702882">
        <w:t xml:space="preserve">. </w:t>
      </w:r>
      <w:r w:rsidRPr="00702882">
        <w:rPr>
          <w:rFonts w:eastAsia="바탕"/>
        </w:rPr>
        <w:t>Voters may assess the performance of their own incumbents to those of other jurisdictions that would affect elections;</w:t>
      </w:r>
      <w:r w:rsidRPr="00702882">
        <w:t xml:space="preserve"> this comparative </w:t>
      </w:r>
      <w:r w:rsidRPr="00702882">
        <w:lastRenderedPageBreak/>
        <w:t xml:space="preserve">assessment of incumbents' performance by voters, especially in relation to neighboring jurisdictions, plays a pivotal role in shaping subnational policy decisions to meet voters' expectations </w:t>
      </w:r>
      <w:sdt>
        <w:sdtPr>
          <w:tag w:val="MENDELEY_CITATION_v3_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"/>
          <w:id w:val="-1939675765"/>
          <w:placeholder>
            <w:docPart w:val="5E84A2147BD94C83AA87E3A0A7921EC7"/>
          </w:placeholder>
        </w:sdtPr>
        <w:sdtContent>
          <w:r w:rsidR="00F520AD">
            <w:t>(Besley &amp; Case, 1995; Salmon, 1987; Shleifer, 1985)</w:t>
          </w:r>
        </w:sdtContent>
      </w:sdt>
      <w:r w:rsidRPr="00702882">
        <w:t>.</w:t>
      </w:r>
    </w:p>
    <w:p w14:paraId="1F886063" w14:textId="47407F69" w:rsidR="00AF6702" w:rsidRPr="00702882" w:rsidRDefault="00AF6702" w:rsidP="00C66AC4">
      <w:pPr>
        <w:spacing w:line="480" w:lineRule="auto"/>
        <w:ind w:firstLine="720"/>
      </w:pPr>
      <w:r w:rsidRPr="00702882">
        <w:t>While demand-side models view politicians and bureaucrats as agents responsive to voters' needs, principal-agent theorists delve into the intricacies of agents' rent-seeking behavior and the common pool problem. The latter arises when politicians allocate tax revenue to targeted public policies, introducing complexities into the decision-making process</w:t>
      </w:r>
      <w:r w:rsidRPr="00702882">
        <w:rPr>
          <w:rFonts w:eastAsiaTheme="minorEastAsia"/>
        </w:rPr>
        <w:t xml:space="preserve"> </w:t>
      </w:r>
      <w:sdt>
        <w:sdtPr>
          <w:tag w:val="MENDELEY_CITATION_v3_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"/>
          <w:id w:val="-2106262833"/>
          <w:placeholder>
            <w:docPart w:val="2C43DCDADE364A8E87927A111246E3E3"/>
          </w:placeholder>
        </w:sdtPr>
        <w:sdtContent>
          <w:r w:rsidR="00F520AD">
            <w:t>(von Hagen, 2008; von Hagen &amp; Harden, 2019)</w:t>
          </w:r>
        </w:sdtContent>
      </w:sdt>
      <w:r w:rsidRPr="00702882">
        <w:t>. Political Budget Cycle (PBC) theory sheds light on opportunistic incumbents manipulating microeconomic performance before elections to increase re-election chances</w:t>
      </w:r>
      <w:r w:rsidRPr="00702882">
        <w:rPr>
          <w:rFonts w:eastAsiaTheme="minorEastAsia"/>
        </w:rPr>
        <w:t xml:space="preserve"> </w:t>
      </w:r>
      <w:sdt>
        <w:sdtPr>
          <w:rPr>
            <w:color w:val="000000"/>
          </w:rPr>
          <w:tag w:val="MENDELEY_CITATION_v3_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"/>
          <w:id w:val="355924539"/>
          <w:placeholder>
            <w:docPart w:val="036F070F66474029860845A3B62BC07A"/>
          </w:placeholder>
        </w:sdtPr>
        <w:sdtContent>
          <w:r w:rsidR="00F520AD" w:rsidRPr="00F520AD">
            <w:rPr>
              <w:color w:val="000000"/>
            </w:rPr>
            <w:t>(Nordhaus, 1975; Rogoff, 1990; Ryu et al., 2020)</w:t>
          </w:r>
        </w:sdtContent>
      </w:sdt>
      <w:r w:rsidRPr="00702882">
        <w:t>. The myopic tendencies of voters, favoring politicians who allocate funds to targeted programs beneficial to specific voter groups, underscore the challenges in equitable resource allocation</w:t>
      </w:r>
      <w:r w:rsidRPr="00702882">
        <w:rPr>
          <w:rFonts w:eastAsiaTheme="minorEastAsia"/>
        </w:rPr>
        <w:t xml:space="preserve"> </w:t>
      </w:r>
      <w:sdt>
        <w:sdtPr>
          <w:tag w:val="MENDELEY_CITATION_v3_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"/>
          <w:id w:val="-1144195254"/>
          <w:placeholder>
            <w:docPart w:val="4BDA0D873E404AA9BCC1342997C67604"/>
          </w:placeholder>
        </w:sdtPr>
        <w:sdtContent>
          <w:r w:rsidR="00F520AD">
            <w:t>(Drazen &amp; Eslava, 2006)</w:t>
          </w:r>
        </w:sdtContent>
      </w:sdt>
      <w:r w:rsidRPr="00702882">
        <w:t xml:space="preserve">. </w:t>
      </w:r>
    </w:p>
    <w:p w14:paraId="4DE66FF5" w14:textId="69B5DD29" w:rsidR="00AF6702" w:rsidRPr="00702882" w:rsidRDefault="00AF6702" w:rsidP="00C66AC4">
      <w:pPr>
        <w:spacing w:line="480" w:lineRule="auto"/>
        <w:ind w:firstLine="720"/>
      </w:pPr>
      <w:r w:rsidRPr="00702882">
        <w:t xml:space="preserve">From PBC theory, </w:t>
      </w:r>
      <w:r w:rsidR="00B73BDD" w:rsidRPr="00702882">
        <w:rPr>
          <w:rFonts w:eastAsiaTheme="minorEastAsia"/>
          <w:b/>
          <w:bCs/>
          <w:i/>
          <w:iCs/>
        </w:rPr>
        <w:t>p</w:t>
      </w:r>
      <w:r w:rsidR="00B73BDD" w:rsidRPr="00702882">
        <w:rPr>
          <w:b/>
          <w:bCs/>
          <w:i/>
          <w:iCs/>
        </w:rPr>
        <w:t xml:space="preserve">oliticians are expected to draw money from the BSF to navigate around such unpopular measures, such as tax increases and spending cuts, especially when an election is </w:t>
      </w:r>
      <w:r w:rsidR="00B73BDD" w:rsidRPr="00702882">
        <w:rPr>
          <w:rFonts w:eastAsiaTheme="minorEastAsia"/>
          <w:b/>
          <w:bCs/>
          <w:i/>
          <w:iCs/>
        </w:rPr>
        <w:t>imminent</w:t>
      </w:r>
      <w:r w:rsidR="00B73BDD" w:rsidRPr="00702882">
        <w:rPr>
          <w:rFonts w:eastAsiaTheme="minorEastAsia"/>
        </w:rPr>
        <w:t xml:space="preserve"> </w:t>
      </w:r>
      <w:r w:rsidRPr="00702882">
        <w:t>(Rose, 2008). Empirical evidence supports this notion, with studies revealing a pattern of incumbents utilizing fiscal reserves in the lead-up to elections while adopting a more conservative approach in post-election periods</w:t>
      </w:r>
      <w:r w:rsidRPr="00702882">
        <w:rPr>
          <w:rFonts w:eastAsiaTheme="minorEastAsia"/>
        </w:rPr>
        <w:t xml:space="preserve"> </w:t>
      </w:r>
      <w:sdt>
        <w:sdtPr>
          <w:tag w:val="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"/>
          <w:id w:val="916134675"/>
          <w:placeholder>
            <w:docPart w:val="63217239E5E343AB8EA373A0E3CC2AF1"/>
          </w:placeholder>
        </w:sdtPr>
        <w:sdtContent>
          <w:r w:rsidR="00F520AD">
            <w:t>(Kneebone &amp; Mckenzie, 2001; Persson et al., 2003; Rose, 2008; Ryu et al., 2020)</w:t>
          </w:r>
        </w:sdtContent>
      </w:sdt>
      <w:r w:rsidRPr="00702882">
        <w:t xml:space="preserve">. </w:t>
      </w:r>
    </w:p>
    <w:p w14:paraId="1C61FA79" w14:textId="07502930" w:rsidR="00AF6702" w:rsidRPr="00702882" w:rsidRDefault="00C94DFD" w:rsidP="00C66AC4">
      <w:pPr>
        <w:spacing w:line="480" w:lineRule="auto"/>
        <w:ind w:firstLine="720"/>
        <w:rPr>
          <w:rFonts w:eastAsiaTheme="minorEastAsia"/>
          <w:color w:val="7030A0"/>
        </w:rPr>
      </w:pPr>
      <w:r w:rsidRPr="00702882">
        <w:rPr>
          <w:rFonts w:eastAsiaTheme="minorEastAsia"/>
        </w:rPr>
        <w:t xml:space="preserve">Rose (2008) found that lawmakers withdraw nearly three times more funds in response to a deficit shock of a certain magnitude during an election year compared to a non-election year. Additionally, this effect is more pronounced when incumbents are eligible for re-election than when they face term limits. </w:t>
      </w:r>
      <w:r w:rsidR="00AF6702" w:rsidRPr="00702882">
        <w:rPr>
          <w:rFonts w:eastAsiaTheme="minorEastAsia"/>
        </w:rPr>
        <w:t xml:space="preserve">In accordance with the principal-agent theory, Ryu et al. (2020) also found that politicians tend to view a BSF as a secondary savings </w:t>
      </w:r>
      <w:r w:rsidR="00AF6702" w:rsidRPr="00702882">
        <w:rPr>
          <w:rFonts w:eastAsiaTheme="minorEastAsia"/>
        </w:rPr>
        <w:lastRenderedPageBreak/>
        <w:t xml:space="preserve">account, enabling them to navigate around stringent TELs and accumulate more BSFs following elections. </w:t>
      </w:r>
      <w:r w:rsidR="00AF6702" w:rsidRPr="00702882">
        <w:t xml:space="preserve">In contrast, Kwak (2014) found that election years do not have a significant impact on fiscal policy. </w:t>
      </w:r>
    </w:p>
    <w:p w14:paraId="75D2C015" w14:textId="4AC613F8" w:rsidR="00AF6702" w:rsidRPr="00702882" w:rsidRDefault="00AF6702" w:rsidP="00C66AC4">
      <w:pPr>
        <w:spacing w:line="480" w:lineRule="auto"/>
        <w:ind w:firstLine="720"/>
        <w:rPr>
          <w:rFonts w:eastAsiaTheme="minorEastAsia"/>
        </w:rPr>
      </w:pPr>
      <w:r w:rsidRPr="00702882">
        <w:rPr>
          <w:rFonts w:eastAsiaTheme="minorEastAsia"/>
        </w:rPr>
        <w:t xml:space="preserve">In addition to BSFs, prior studies indicate a trend where General Fund Balances (GFBs) tend to diminish in the periods preceding and during elections. As election years approach, there is a tendency for politicians to draw from reserves in order to either reduce taxes or increase spending. This strategy holds particular appeal to key voter demographics such as the elderly, healthcare providers, parents, teachers, and taxpayers </w:t>
      </w:r>
      <w:sdt>
        <w:sdtPr>
          <w:rPr>
            <w:rFonts w:eastAsiaTheme="minorEastAsia"/>
            <w:color w:val="000000"/>
          </w:rPr>
          <w:tag w:val="MENDELEY_CITATION_v3_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"/>
          <w:id w:val="-1396126714"/>
          <w:placeholder>
            <w:docPart w:val="A8204E284AB740B88D3300B652FFDEDA"/>
          </w:placeholder>
        </w:sdtPr>
        <w:sdtContent>
          <w:r w:rsidR="00F520AD" w:rsidRPr="00F520AD">
            <w:rPr>
              <w:rFonts w:eastAsiaTheme="minorEastAsia"/>
              <w:color w:val="000000"/>
            </w:rPr>
            <w:t>(Lauth, 2003).</w:t>
          </w:r>
        </w:sdtContent>
      </w:sdt>
      <w:r w:rsidRPr="00702882">
        <w:rPr>
          <w:rFonts w:eastAsiaTheme="minorEastAsia"/>
        </w:rPr>
        <w:t xml:space="preserve"> </w:t>
      </w:r>
      <w:sdt>
        <w:sdtPr>
          <w:rPr>
            <w:rFonts w:eastAsiaTheme="minorEastAsia"/>
            <w:color w:val="000000"/>
          </w:rPr>
          <w:tag w:val="MENDELEY_CITATION_v3_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"/>
          <w:id w:val="587204080"/>
          <w:placeholder>
            <w:docPart w:val="67FD2155C53041D0805230C15B6FB9DD"/>
          </w:placeholder>
        </w:sdtPr>
        <w:sdtContent>
          <w:r w:rsidR="00F520AD" w:rsidRPr="00F520AD">
            <w:rPr>
              <w:rFonts w:eastAsiaTheme="minorEastAsia"/>
              <w:color w:val="000000"/>
            </w:rPr>
            <w:t>Rose (2006)</w:t>
          </w:r>
        </w:sdtContent>
      </w:sdt>
      <w:r w:rsidRPr="00702882">
        <w:rPr>
          <w:rFonts w:eastAsiaTheme="minorEastAsia"/>
        </w:rPr>
        <w:t xml:space="preserve"> also demonstrates a decrease in GFBs during election years followed by growth in the two years subsequent to the election year. </w:t>
      </w:r>
    </w:p>
    <w:p w14:paraId="311FD473" w14:textId="31FE1B13" w:rsidR="00AF6702" w:rsidRPr="00702882" w:rsidRDefault="00AF6702" w:rsidP="00C66AC4">
      <w:pPr>
        <w:spacing w:line="480" w:lineRule="auto"/>
        <w:ind w:firstLine="720"/>
        <w:rPr>
          <w:rFonts w:eastAsiaTheme="minorEastAsia"/>
        </w:rPr>
      </w:pPr>
      <w:r w:rsidRPr="00702882">
        <w:rPr>
          <w:rFonts w:eastAsiaTheme="minorEastAsia"/>
        </w:rPr>
        <w:t>In sum, from the perspective of Political Budget Cycle (PBC) theory, there is an anticipation that both BSF and GFB levels will decrease in the periods leading up to and during elections. This suggests a pattern where incumbents might strategically reduce these fiscal reserves during electoral periods, potentially for short-term political advantages.</w:t>
      </w:r>
    </w:p>
    <w:p w14:paraId="2D260C21" w14:textId="77777777" w:rsidR="00AF6702" w:rsidRPr="00702882" w:rsidRDefault="00AF6702" w:rsidP="00C66AC4">
      <w:pPr>
        <w:spacing w:line="480" w:lineRule="auto"/>
        <w:rPr>
          <w:rFonts w:eastAsiaTheme="minorEastAsia"/>
        </w:rPr>
      </w:pPr>
    </w:p>
    <w:p w14:paraId="27AC2B5A" w14:textId="77777777" w:rsidR="00AF6702" w:rsidRPr="00702882" w:rsidRDefault="00AF6702" w:rsidP="00C66AC4">
      <w:pPr>
        <w:spacing w:line="480" w:lineRule="auto"/>
        <w:rPr>
          <w:b/>
          <w:bCs/>
        </w:rPr>
      </w:pPr>
      <w:r w:rsidRPr="00702882">
        <w:rPr>
          <w:b/>
          <w:bCs/>
        </w:rPr>
        <w:t xml:space="preserve">3.2 </w:t>
      </w:r>
      <w:bookmarkStart w:id="24" w:name="PoliticalEconomyofFiscalInstitutions"/>
      <w:r w:rsidRPr="00702882">
        <w:rPr>
          <w:b/>
          <w:bCs/>
        </w:rPr>
        <w:t>Political Economy of Fiscal Institutions</w:t>
      </w:r>
      <w:bookmarkEnd w:id="24"/>
      <w:r w:rsidRPr="00702882">
        <w:rPr>
          <w:b/>
          <w:bCs/>
        </w:rPr>
        <w:t xml:space="preserve"> </w:t>
      </w:r>
    </w:p>
    <w:p w14:paraId="1307DB9D" w14:textId="5C89D85D" w:rsidR="00AF6702" w:rsidRPr="00702882" w:rsidRDefault="00AF6702" w:rsidP="00C66AC4">
      <w:pPr>
        <w:spacing w:line="480" w:lineRule="auto"/>
        <w:ind w:firstLine="720"/>
        <w:rPr>
          <w:color w:val="7030A0"/>
        </w:rPr>
      </w:pPr>
      <w:r w:rsidRPr="00702882">
        <w:t xml:space="preserve">Fiscal institutions governing the decisions over public finances are intended to shape fiscal behavior or fiscal policy to alleviate the principal-agent problems and the common pool problem </w:t>
      </w:r>
      <w:sdt>
        <w:sdtPr>
          <w:tag w:val="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"/>
          <w:id w:val="1082643915"/>
          <w:placeholder>
            <w:docPart w:val="C10FD97E2E09471EA29ED167724EA384"/>
          </w:placeholder>
        </w:sdtPr>
        <w:sdtContent>
          <w:r w:rsidR="00F520AD">
            <w:t>(Alesina et al., 1998; Alt &amp; Lassen, 2006; Alt &amp; Lowry, 2003; Brooks &amp; Phillips, 2010; Eichengreen &amp; Bayoumi, 1994; Johnson &amp; Kriz, 2005; von Hagen, 2008)</w:t>
          </w:r>
        </w:sdtContent>
      </w:sdt>
      <w:r w:rsidRPr="00702882">
        <w:t xml:space="preserve">. Fiscal institutions that exist in U.S. states include different budget balancing requirements (BBRs), restrictions on tax and spending (TELs) or debt levels, and various requirements for fiscal reserves, including budget stabilizations and general fund balances. The aim of BBRs is to limit their public-sector debts and deficits </w:t>
      </w:r>
      <w:sdt>
        <w:sdtPr>
          <w:tag w:val="MENDELEY_CITATION_v3_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"/>
          <w:id w:val="-1498256055"/>
          <w:placeholder>
            <w:docPart w:val="DF0714C7E71A4B2C8D779C8DABFF9715"/>
          </w:placeholder>
        </w:sdtPr>
        <w:sdtContent>
          <w:r w:rsidR="00F520AD">
            <w:t>(Eichengreen &amp; Bayoumi, 1994)</w:t>
          </w:r>
        </w:sdtContent>
      </w:sdt>
      <w:r w:rsidRPr="00702882">
        <w:t xml:space="preserve">. TELs are </w:t>
      </w:r>
      <w:r w:rsidRPr="00702882">
        <w:lastRenderedPageBreak/>
        <w:t xml:space="preserve">designed to limit the growth of government from either the revenue or spending </w:t>
      </w:r>
      <w:sdt>
        <w:sdtPr>
          <w:tag w:val="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"/>
          <w:id w:val="-1958871716"/>
          <w:placeholder>
            <w:docPart w:val="CFCAE04C2BFD4D67AFF93C85F7758913"/>
          </w:placeholder>
        </w:sdtPr>
        <w:sdtContent>
          <w:r w:rsidR="00F520AD">
            <w:t>(Brooks &amp; Phillips, 2010; Dye et al., 2011; Mullins &amp; Joyce, 1996; Shadbegian, 1996; Sun, 2014)</w:t>
          </w:r>
        </w:sdtContent>
      </w:sdt>
      <w:r w:rsidRPr="00702882">
        <w:t>.</w:t>
      </w:r>
    </w:p>
    <w:p w14:paraId="2F80C730" w14:textId="7146D83C" w:rsidR="00AF6702" w:rsidRPr="00702882" w:rsidRDefault="00AF6702" w:rsidP="00C66AC4">
      <w:pPr>
        <w:spacing w:line="480" w:lineRule="auto"/>
        <w:ind w:firstLine="720"/>
      </w:pPr>
      <w:r w:rsidRPr="00702882">
        <w:t xml:space="preserve">However, there is a disagreement regarding whether stringent fiscal rules effectively enforce </w:t>
      </w:r>
      <w:r w:rsidRPr="00702882">
        <w:rPr>
          <w:i/>
          <w:iCs/>
        </w:rPr>
        <w:t>budget discipline</w:t>
      </w:r>
      <w:r w:rsidRPr="00702882">
        <w:t xml:space="preserve"> or create stronger </w:t>
      </w:r>
      <w:r w:rsidRPr="00702882">
        <w:rPr>
          <w:i/>
          <w:iCs/>
        </w:rPr>
        <w:t>incentives for rent-seeking</w:t>
      </w:r>
      <w:r w:rsidRPr="00702882">
        <w:t xml:space="preserve">. Theoretical perspective stemming from political economics claims that budgetary institutions contribute to decreasing budget deficits and enabling governments to respond to fiscal shocks efficiently </w:t>
      </w:r>
      <w:sdt>
        <w:sdtPr>
          <w:tag w:val="MENDELEY_CITATION_v3_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"/>
          <w:id w:val="855235081"/>
          <w:placeholder>
            <w:docPart w:val="713008AED1E44CFDAE0CACE5BA800405"/>
          </w:placeholder>
        </w:sdtPr>
        <w:sdtContent>
          <w:r w:rsidR="00F520AD">
            <w:t>(Alesina &amp; Perotti, 1996; Eichengreen &amp; Bayoumi, 1994; Hou &amp; Smith, 2006)</w:t>
          </w:r>
        </w:sdtContent>
      </w:sdt>
      <w:r w:rsidRPr="00702882">
        <w:t xml:space="preserve">. This perspective assumes that the </w:t>
      </w:r>
      <w:r w:rsidRPr="00702882">
        <w:rPr>
          <w:i/>
          <w:iCs/>
        </w:rPr>
        <w:t>explicitly designed rules</w:t>
      </w:r>
      <w:r w:rsidRPr="00702882">
        <w:t xml:space="preserve"> prevent public officials from using revenues in ways that do not reflect the taxpayers’ preferences </w:t>
      </w:r>
      <w:sdt>
        <w:sdtPr>
          <w:tag w:val="MENDELEY_CITATION_v3_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"/>
          <w:id w:val="159974666"/>
          <w:placeholder>
            <w:docPart w:val="3E16FC80A17F4E3FAE6AC0E4F7B08BAA"/>
          </w:placeholder>
        </w:sdtPr>
        <w:sdtContent>
          <w:r w:rsidR="00F520AD">
            <w:t>(Johnson &amp; Kriz, 2005)</w:t>
          </w:r>
        </w:sdtContent>
      </w:sdt>
      <w:r w:rsidRPr="00702882">
        <w:t xml:space="preserve">. In contrast, there is literature concerned about the </w:t>
      </w:r>
      <w:r w:rsidRPr="00702882">
        <w:rPr>
          <w:i/>
          <w:iCs/>
        </w:rPr>
        <w:t>negative side</w:t>
      </w:r>
      <w:r w:rsidRPr="00702882">
        <w:t xml:space="preserve"> of fiscal constraints. </w:t>
      </w:r>
      <w:sdt>
        <w:sdtPr>
          <w:rPr>
            <w:color w:val="000000"/>
          </w:rPr>
          <w:tag w:val="MENDELEY_CITATION_v3_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"/>
          <w:id w:val="-1937977740"/>
          <w:placeholder>
            <w:docPart w:val="3D716CA7D6594D2A8C12C4B96D208A02"/>
          </w:placeholder>
        </w:sdtPr>
        <w:sdtContent>
          <w:r w:rsidR="00F520AD" w:rsidRPr="00F520AD">
            <w:rPr>
              <w:color w:val="000000"/>
            </w:rPr>
            <w:t>Poterba (1994)</w:t>
          </w:r>
        </w:sdtContent>
      </w:sdt>
      <w:r w:rsidRPr="00702882">
        <w:t xml:space="preserve"> argues that budgetary institutions lead to inefficient and slower adjustments to external shocks, thereby causing fiscal instability. </w:t>
      </w:r>
    </w:p>
    <w:p w14:paraId="7A665C44" w14:textId="4CE7E4EF" w:rsidR="00AF6702" w:rsidRPr="00702882" w:rsidRDefault="00AF6702" w:rsidP="00C66AC4">
      <w:pPr>
        <w:spacing w:line="480" w:lineRule="auto"/>
        <w:ind w:firstLine="720"/>
        <w:rPr>
          <w:rFonts w:eastAsiaTheme="minorEastAsia"/>
        </w:rPr>
      </w:pPr>
      <w:r w:rsidRPr="00702882">
        <w:t xml:space="preserve">Considering the debate about the effects of fiscal institutions on fiscal outcomes, it is worth examining how institutional factors affect budgetary responses and what relationships they have with BSFs. Regarding the relationship BBRs and BSFs, empirical studies have suggested that strict BBRs, such as deficit carryover restrictions, have a significant impact on BSF balance levels (Hou, 2004), general fund balances </w:t>
      </w:r>
      <w:sdt>
        <w:sdtPr>
          <w:tag w:val="MENDELEY_CITATION_v3_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"/>
          <w:id w:val="1730109553"/>
          <w:placeholder>
            <w:docPart w:val="FFD685197063494888939653994B2E8B"/>
          </w:placeholder>
        </w:sdtPr>
        <w:sdtContent>
          <w:r w:rsidR="00F520AD">
            <w:t>(Hou &amp; Smith, 2006)</w:t>
          </w:r>
        </w:sdtContent>
      </w:sdt>
      <w:r w:rsidRPr="00702882">
        <w:t xml:space="preserve">, and borrowing costs (Wagner, 2004). In contrast, Rose (2008) did not find such evidence. Regarding the relationship between TELs and BSFs, </w:t>
      </w:r>
      <w:sdt>
        <w:sdtPr>
          <w:rPr>
            <w:color w:val="000000"/>
          </w:rPr>
          <w:tag w:val="MENDELEY_CITATION_v3_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"/>
          <w:id w:val="454994554"/>
          <w:placeholder>
            <w:docPart w:val="A8204E284AB740B88D3300B652FFDEDA"/>
          </w:placeholder>
        </w:sdtPr>
        <w:sdtContent>
          <w:r w:rsidR="00F520AD" w:rsidRPr="00F520AD">
            <w:rPr>
              <w:color w:val="000000"/>
            </w:rPr>
            <w:t>Hou and Duncombe (2008)</w:t>
          </w:r>
        </w:sdtContent>
      </w:sdt>
      <w:r w:rsidRPr="00702882">
        <w:rPr>
          <w:rFonts w:eastAsiaTheme="minorEastAsia"/>
        </w:rPr>
        <w:t xml:space="preserve"> </w:t>
      </w:r>
      <w:r w:rsidRPr="00702882">
        <w:t>assert that the imposition of expenditure limits leads to a substantial rise in total savings. Furthermore</w:t>
      </w:r>
      <w:r w:rsidR="00F35F83" w:rsidRPr="00702882">
        <w:rPr>
          <w:rFonts w:eastAsiaTheme="minorEastAsia"/>
        </w:rPr>
        <w:t>,</w:t>
      </w:r>
      <w:r w:rsidRPr="00702882">
        <w:t xml:space="preserve"> </w:t>
      </w:r>
      <w:sdt>
        <w:sdtPr>
          <w:rPr>
            <w:color w:val="000000"/>
          </w:rPr>
          <w:tag w:val="MENDELEY_CITATION_v3_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"/>
          <w:id w:val="920831883"/>
          <w:placeholder>
            <w:docPart w:val="DefaultPlaceholder_-1854013440"/>
          </w:placeholder>
        </w:sdtPr>
        <w:sdtContent>
          <w:r w:rsidR="00F520AD" w:rsidRPr="00F520AD">
            <w:rPr>
              <w:color w:val="000000"/>
            </w:rPr>
            <w:t>Hou and Smith (2010)</w:t>
          </w:r>
        </w:sdtContent>
      </w:sdt>
      <w:r w:rsidR="00471B5D" w:rsidRPr="00702882">
        <w:rPr>
          <w:rFonts w:eastAsiaTheme="minorEastAsia"/>
          <w:color w:val="000000"/>
        </w:rPr>
        <w:t xml:space="preserve"> </w:t>
      </w:r>
      <w:r w:rsidRPr="00702882">
        <w:t>break down reserves into distinct types and find that expenditure limits contribute to achieving the probability of having a surplus in the overall balance. Conversely, revenue limits diminish the probability of surplus.</w:t>
      </w:r>
    </w:p>
    <w:p w14:paraId="43EEA91E" w14:textId="16D7A3BD" w:rsidR="00AF6702" w:rsidRPr="00702882" w:rsidRDefault="00AF6702" w:rsidP="00C66AC4">
      <w:pPr>
        <w:spacing w:line="480" w:lineRule="auto"/>
        <w:ind w:firstLine="720"/>
        <w:rPr>
          <w:rFonts w:eastAsiaTheme="minorEastAsia"/>
        </w:rPr>
      </w:pPr>
      <w:r w:rsidRPr="00702882">
        <w:lastRenderedPageBreak/>
        <w:t xml:space="preserve">As outlined by Wagner and Sobel (2006), states implementing TELs tend to encounter fiscal stress, prompting them to turn to BSFs as a strategy to circumvent TELs and augment reserves. This outcome suggests the possibility that states with stringent TELs may accumulate more funds in their BSFs under less stringent rules governing BSF operations </w:t>
      </w:r>
      <w:sdt>
        <w:sdtPr>
          <w:tag w:val="MENDELEY_CITATION_v3_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"/>
          <w:id w:val="856244902"/>
          <w:placeholder>
            <w:docPart w:val="A8204E284AB740B88D3300B652FFDEDA"/>
          </w:placeholder>
        </w:sdtPr>
        <w:sdtContent>
          <w:r w:rsidR="00F520AD">
            <w:t>(Wagner &amp; Sobel, 2006)</w:t>
          </w:r>
        </w:sdtContent>
      </w:sdt>
      <w:r w:rsidRPr="00702882">
        <w:t xml:space="preserve">. In contrast to Wagner and Sobel (2006), Maher et al. (2017) observe a lack of a significant relationship between the stringency of TELs and the levels of BSFs. However, they do identify a negative association between stringency and the levels of GFBs </w:t>
      </w:r>
      <w:sdt>
        <w:sdtPr>
          <w:rPr>
            <w:color w:val="000000"/>
          </w:rPr>
          <w:tag w:val="MENDELEY_CITATION_v3_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"/>
          <w:id w:val="-863206906"/>
          <w:placeholder>
            <w:docPart w:val="A8204E284AB740B88D3300B652FFDEDA"/>
          </w:placeholder>
        </w:sdtPr>
        <w:sdtContent>
          <w:r w:rsidR="00F520AD" w:rsidRPr="00F520AD">
            <w:rPr>
              <w:color w:val="000000"/>
            </w:rPr>
            <w:t>(Maher et al., 2017)</w:t>
          </w:r>
        </w:sdtContent>
      </w:sdt>
      <w:r w:rsidRPr="00702882">
        <w:t>.</w:t>
      </w:r>
      <w:r w:rsidRPr="00702882">
        <w:rPr>
          <w:rFonts w:eastAsiaTheme="minorEastAsia"/>
        </w:rPr>
        <w:t xml:space="preserve"> </w:t>
      </w:r>
      <w:sdt>
        <w:sdtPr>
          <w:rPr>
            <w:color w:val="000000"/>
          </w:rPr>
          <w:tag w:val="MENDELEY_CITATION_v3_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"/>
          <w:id w:val="1210466356"/>
          <w:placeholder>
            <w:docPart w:val="2D97E2891E2E44529126A1C9F2474111"/>
          </w:placeholder>
        </w:sdtPr>
        <w:sdtContent>
          <w:r w:rsidR="00F520AD" w:rsidRPr="00F520AD">
            <w:rPr>
              <w:color w:val="000000"/>
            </w:rPr>
            <w:t>Ryu et al. (2020)</w:t>
          </w:r>
        </w:sdtContent>
      </w:sdt>
      <w:r w:rsidRPr="00702882">
        <w:t xml:space="preserve"> find that states with stri</w:t>
      </w:r>
      <w:r w:rsidR="002C2C7C" w:rsidRPr="00702882">
        <w:rPr>
          <w:rFonts w:eastAsiaTheme="minorEastAsia"/>
        </w:rPr>
        <w:t>ngent</w:t>
      </w:r>
      <w:r w:rsidRPr="00702882">
        <w:t xml:space="preserve"> TELs spend </w:t>
      </w:r>
      <w:r w:rsidR="005C1196" w:rsidRPr="00702882">
        <w:rPr>
          <w:rFonts w:eastAsiaTheme="minorEastAsia"/>
        </w:rPr>
        <w:t>fewer</w:t>
      </w:r>
      <w:r w:rsidRPr="00702882">
        <w:t xml:space="preserve"> general funds, </w:t>
      </w:r>
      <w:r w:rsidR="002C2C7C" w:rsidRPr="00702882">
        <w:rPr>
          <w:rFonts w:eastAsiaTheme="minorEastAsia"/>
        </w:rPr>
        <w:t>whereas</w:t>
      </w:r>
      <w:r w:rsidRPr="00702882">
        <w:t xml:space="preserve"> </w:t>
      </w:r>
      <w:r w:rsidR="006B05CA" w:rsidRPr="00702882">
        <w:rPr>
          <w:rFonts w:eastAsiaTheme="minorEastAsia"/>
        </w:rPr>
        <w:t>directing</w:t>
      </w:r>
      <w:r w:rsidRPr="00702882">
        <w:t xml:space="preserve"> more </w:t>
      </w:r>
      <w:r w:rsidR="006B05CA" w:rsidRPr="00702882">
        <w:rPr>
          <w:rFonts w:eastAsiaTheme="minorEastAsia"/>
        </w:rPr>
        <w:t xml:space="preserve">towards savings in </w:t>
      </w:r>
      <w:r w:rsidRPr="00702882">
        <w:t>BSFs</w:t>
      </w:r>
      <w:r w:rsidR="006B05CA" w:rsidRPr="00702882">
        <w:rPr>
          <w:rFonts w:eastAsiaTheme="minorEastAsia"/>
        </w:rPr>
        <w:t>,</w:t>
      </w:r>
      <w:r w:rsidRPr="00702882">
        <w:t xml:space="preserve"> especially </w:t>
      </w:r>
      <w:r w:rsidR="006B05CA" w:rsidRPr="00702882">
        <w:rPr>
          <w:rFonts w:eastAsiaTheme="minorEastAsia"/>
        </w:rPr>
        <w:t xml:space="preserve">following </w:t>
      </w:r>
      <w:r w:rsidRPr="00702882">
        <w:t xml:space="preserve">elections. </w:t>
      </w:r>
      <w:r w:rsidRPr="00702882">
        <w:rPr>
          <w:rFonts w:eastAsiaTheme="minorEastAsia"/>
        </w:rPr>
        <w:t xml:space="preserve">The research indicates that imposing restrictions on the use of BSFs can act as a safeguard against opportunistic saving behavior in postelection years. </w:t>
      </w:r>
    </w:p>
    <w:p w14:paraId="35DACD06" w14:textId="77777777" w:rsidR="00AF6702" w:rsidRPr="00702882" w:rsidRDefault="00AF6702" w:rsidP="00C66AC4">
      <w:pPr>
        <w:spacing w:line="480" w:lineRule="auto"/>
        <w:ind w:firstLine="720"/>
        <w:rPr>
          <w:color w:val="7030A0"/>
        </w:rPr>
      </w:pPr>
    </w:p>
    <w:p w14:paraId="25F832F4" w14:textId="77777777" w:rsidR="00AF6702" w:rsidRPr="00702882" w:rsidRDefault="00AF6702" w:rsidP="00C66AC4">
      <w:pPr>
        <w:spacing w:line="480" w:lineRule="auto"/>
        <w:rPr>
          <w:b/>
          <w:bCs/>
        </w:rPr>
      </w:pPr>
      <w:r w:rsidRPr="00702882">
        <w:rPr>
          <w:b/>
          <w:bCs/>
        </w:rPr>
        <w:t>3.3 Ne</w:t>
      </w:r>
      <w:bookmarkStart w:id="25" w:name="NewInstitutionalEconomics"/>
      <w:bookmarkEnd w:id="25"/>
      <w:r w:rsidRPr="00702882">
        <w:rPr>
          <w:b/>
          <w:bCs/>
        </w:rPr>
        <w:t>w Institutional Economics</w:t>
      </w:r>
    </w:p>
    <w:p w14:paraId="3DC770F7" w14:textId="05653A74" w:rsidR="00AF6702" w:rsidRPr="00702882" w:rsidRDefault="00AF6702" w:rsidP="00C66AC4">
      <w:pPr>
        <w:spacing w:line="480" w:lineRule="auto"/>
        <w:ind w:firstLine="720"/>
        <w:rPr>
          <w:rFonts w:eastAsiaTheme="minorEastAsia"/>
        </w:rPr>
      </w:pPr>
      <w:r w:rsidRPr="00702882">
        <w:t>Contrary to the assertion that adopting Budget Stabilization Funds (BSF) primarily aims to bypass political and institutional constraints (Wagner &amp; Sobel, 2006), the perspective from New Institutional Economics (NIE) suggests that policymakers adopt BSF based on reasoned recognition (Hou, 2003). This recognition arises from the critical necessity to prudently allocate financial resources in anticipation of economic downturns, refraining from improper utilization as a coping mechanism for fiscal shocks.</w:t>
      </w:r>
      <w:r w:rsidRPr="00702882">
        <w:rPr>
          <w:rFonts w:eastAsiaTheme="minorEastAsia"/>
        </w:rPr>
        <w:t xml:space="preserve"> </w:t>
      </w:r>
      <w:r w:rsidRPr="00702882">
        <w:t xml:space="preserve">This perspective emphasizes the maintenance of stability and fiscal health as crucial criteria for evaluating government fiscal performance </w:t>
      </w:r>
      <w:sdt>
        <w:sdtPr>
          <w:rPr>
            <w:color w:val="000000"/>
          </w:rPr>
          <w:tag w:val="MENDELEY_CITATION_v3_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"/>
          <w:id w:val="-1293975043"/>
          <w:placeholder>
            <w:docPart w:val="5FF1538B2F72403A8330045DEF1B0A88"/>
          </w:placeholder>
        </w:sdtPr>
        <w:sdtContent>
          <w:r w:rsidR="00F520AD" w:rsidRPr="00F520AD">
            <w:rPr>
              <w:color w:val="000000"/>
            </w:rPr>
            <w:t>(Hou et al., 2003)</w:t>
          </w:r>
        </w:sdtContent>
      </w:sdt>
      <w:r w:rsidRPr="00702882">
        <w:t xml:space="preserve">. Government capacity, as determined by factors such as fiscal reserves, plays a key role in fiscal performance </w:t>
      </w:r>
      <w:sdt>
        <w:sdtPr>
          <w:tag w:val="MENDELEY_CITATION_v3_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"/>
          <w:id w:val="1615787234"/>
          <w:placeholder>
            <w:docPart w:val="4CB5C5958E9847599C2711971FB0FC45"/>
          </w:placeholder>
        </w:sdtPr>
        <w:sdtContent>
          <w:r w:rsidR="00F520AD">
            <w:t>(Ingraham &amp; Donahue, 2000; Lynn et al., 2000; O’Toole &amp; Meier, 1999)</w:t>
          </w:r>
        </w:sdtContent>
      </w:sdt>
      <w:r w:rsidRPr="00702882">
        <w:t>.</w:t>
      </w:r>
    </w:p>
    <w:p w14:paraId="274581A8" w14:textId="0B34D837" w:rsidR="00AF6702" w:rsidRPr="00702882" w:rsidRDefault="00AF6702" w:rsidP="00C66AC4">
      <w:pPr>
        <w:spacing w:line="480" w:lineRule="auto"/>
        <w:ind w:firstLine="720"/>
        <w:rPr>
          <w:rFonts w:eastAsiaTheme="minorEastAsia"/>
        </w:rPr>
      </w:pPr>
      <w:r w:rsidRPr="00702882">
        <w:lastRenderedPageBreak/>
        <w:t xml:space="preserve">The NIE perspective underscores the significance of institutions, including rules and guidelines governing fiscal management, in shaping policymakers' behavior. To connect government capacity to fiscal performance, Hou and Moynihan (2008) introduce the concept of </w:t>
      </w:r>
      <w:r w:rsidR="00541562" w:rsidRPr="00702882">
        <w:rPr>
          <w:rFonts w:eastAsiaTheme="minorEastAsia"/>
        </w:rPr>
        <w:t>“</w:t>
      </w:r>
      <w:r w:rsidRPr="00702882">
        <w:t>Countercyclical Fiscal Capacity (CCFC).</w:t>
      </w:r>
      <w:r w:rsidR="00541562" w:rsidRPr="00702882">
        <w:rPr>
          <w:rFonts w:eastAsiaTheme="minorEastAsia"/>
        </w:rPr>
        <w:t>”</w:t>
      </w:r>
      <w:r w:rsidRPr="00702882">
        <w:t xml:space="preserve"> </w:t>
      </w:r>
      <w:r w:rsidR="00541562" w:rsidRPr="00702882">
        <w:t>This concept involves the development and utilization of financial tools that enable governments to uphold program stability in response to fiscal strain</w:t>
      </w:r>
      <w:r w:rsidR="00541562" w:rsidRPr="00702882">
        <w:rPr>
          <w:rFonts w:eastAsiaTheme="minorEastAsia"/>
        </w:rPr>
        <w:t xml:space="preserve">. </w:t>
      </w:r>
      <w:r w:rsidR="006E3779" w:rsidRPr="00702882">
        <w:rPr>
          <w:rFonts w:eastAsiaTheme="minorEastAsia"/>
        </w:rPr>
        <w:t>“</w:t>
      </w:r>
      <w:r w:rsidRPr="00702882">
        <w:t>Government capacity,</w:t>
      </w:r>
      <w:r w:rsidR="006E3779" w:rsidRPr="00702882">
        <w:rPr>
          <w:rFonts w:eastAsiaTheme="minorEastAsia"/>
        </w:rPr>
        <w:t>”</w:t>
      </w:r>
      <w:r w:rsidRPr="00702882">
        <w:t xml:space="preserve"> conceptualized </w:t>
      </w:r>
      <w:r w:rsidR="006E3779" w:rsidRPr="00702882">
        <w:rPr>
          <w:rFonts w:eastAsiaTheme="minorEastAsia"/>
        </w:rPr>
        <w:t>through</w:t>
      </w:r>
      <w:r w:rsidRPr="00702882">
        <w:t xml:space="preserve"> fiscal reserves, relies on rules that explicitly guide and restrict the behavior of public officials and politicians regarding deposit and withdrawal, aligning with the NIE perspective </w:t>
      </w:r>
      <w:sdt>
        <w:sdtPr>
          <w:tag w:val="MENDELEY_CITATION_v3_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"/>
          <w:id w:val="1510249423"/>
          <w:placeholder>
            <w:docPart w:val="C724AEF42DE84FE5A0F43D1DAF3744FB"/>
          </w:placeholder>
        </w:sdtPr>
        <w:sdtContent>
          <w:r w:rsidR="00F520AD">
            <w:t>(Hou et al., 2003; Hou &amp; Moynihan, 2008)</w:t>
          </w:r>
        </w:sdtContent>
      </w:sdt>
      <w:r w:rsidRPr="00702882">
        <w:t>.</w:t>
      </w:r>
    </w:p>
    <w:p w14:paraId="308BE046" w14:textId="767A6FAA" w:rsidR="00AF6702" w:rsidRPr="00702882" w:rsidRDefault="00541562" w:rsidP="00C66AC4">
      <w:pPr>
        <w:spacing w:line="480" w:lineRule="auto"/>
        <w:ind w:firstLine="720"/>
        <w:rPr>
          <w:rFonts w:eastAsiaTheme="minorEastAsia"/>
        </w:rPr>
      </w:pPr>
      <w:r w:rsidRPr="00702882">
        <w:rPr>
          <w:rFonts w:eastAsiaTheme="minorEastAsia"/>
        </w:rPr>
        <w:t xml:space="preserve">CCFC views stringent constitutional or statutory </w:t>
      </w:r>
      <w:r w:rsidR="00F741E0" w:rsidRPr="00702882">
        <w:rPr>
          <w:rFonts w:eastAsiaTheme="minorEastAsia"/>
        </w:rPr>
        <w:t>requirements</w:t>
      </w:r>
      <w:r w:rsidRPr="00702882">
        <w:rPr>
          <w:rFonts w:eastAsiaTheme="minorEastAsia"/>
        </w:rPr>
        <w:t xml:space="preserve"> concerning BSF deposit and withdrawal as </w:t>
      </w:r>
      <w:r w:rsidR="00F741E0" w:rsidRPr="00702882">
        <w:rPr>
          <w:rFonts w:eastAsiaTheme="minorEastAsia"/>
        </w:rPr>
        <w:t>“</w:t>
      </w:r>
      <w:r w:rsidRPr="00702882">
        <w:rPr>
          <w:rFonts w:eastAsiaTheme="minorEastAsia"/>
        </w:rPr>
        <w:t>effective enforcement mechanisms</w:t>
      </w:r>
      <w:r w:rsidR="00F741E0" w:rsidRPr="00702882">
        <w:rPr>
          <w:rFonts w:eastAsiaTheme="minorEastAsia"/>
        </w:rPr>
        <w:t>”</w:t>
      </w:r>
      <w:r w:rsidRPr="00702882">
        <w:rPr>
          <w:rFonts w:eastAsiaTheme="minorEastAsia"/>
        </w:rPr>
        <w:t xml:space="preserve"> that can mitigate spending pressures and curb </w:t>
      </w:r>
      <w:r w:rsidR="00F741E0" w:rsidRPr="00702882">
        <w:rPr>
          <w:rFonts w:eastAsiaTheme="minorEastAsia"/>
        </w:rPr>
        <w:t>mis</w:t>
      </w:r>
      <w:r w:rsidRPr="00702882">
        <w:rPr>
          <w:rFonts w:eastAsiaTheme="minorEastAsia"/>
        </w:rPr>
        <w:t xml:space="preserve">use of financial resources </w:t>
      </w:r>
      <w:sdt>
        <w:sdtPr>
          <w:tag w:val="MENDELEY_CITATION_v3_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"/>
          <w:id w:val="971024202"/>
          <w:placeholder>
            <w:docPart w:val="42051F5078DD4D3BAE40A62C19BC8F93"/>
          </w:placeholder>
        </w:sdtPr>
        <w:sdtContent>
          <w:r w:rsidR="00F520AD">
            <w:t>(Hou, 2004; Hou et al., 2003; Hou &amp; Moynihan, 2008)</w:t>
          </w:r>
        </w:sdtContent>
      </w:sdt>
      <w:r w:rsidR="00AF6702" w:rsidRPr="00702882">
        <w:t xml:space="preserve">. If the stringent rules help governments to save funds, this improves government management capacity; therefore, the size of BSFs can be viewed as an “intermediate measure of fiscal performance” or “countercyclical fiscal capacity” (Hou &amp; Moynihan, 2008). From this perspective, it is expected that </w:t>
      </w:r>
      <w:r w:rsidR="00AF6702" w:rsidRPr="00702882">
        <w:rPr>
          <w:b/>
          <w:bCs/>
          <w:i/>
          <w:iCs/>
        </w:rPr>
        <w:t>stringent structural features of BSF rules, which prevent unnecessary spending, lead to greater BSF balances</w:t>
      </w:r>
      <w:r w:rsidR="00AF6702" w:rsidRPr="00702882">
        <w:t xml:space="preserve">. </w:t>
      </w:r>
    </w:p>
    <w:p w14:paraId="0127B9E5" w14:textId="4BF6848A" w:rsidR="00AF6702" w:rsidRPr="00702882" w:rsidRDefault="007B0DD0" w:rsidP="00C66AC4">
      <w:pPr>
        <w:spacing w:line="480" w:lineRule="auto"/>
        <w:ind w:firstLine="720"/>
        <w:rPr>
          <w:color w:val="7030A0"/>
        </w:rPr>
      </w:pPr>
      <w:r w:rsidRPr="00702882">
        <w:t>Empirical research generally indicates that funds subject to stringent deposit requirements result in higher balances and decrease expenditure volatility</w:t>
      </w:r>
      <w:r w:rsidRPr="00702882">
        <w:rPr>
          <w:rFonts w:eastAsiaTheme="minorEastAsia"/>
        </w:rPr>
        <w:t xml:space="preserve"> </w:t>
      </w:r>
      <w:sdt>
        <w:sdtPr>
          <w:tag w:val="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"/>
          <w:id w:val="-1401368277"/>
          <w:placeholder>
            <w:docPart w:val="A8204E284AB740B88D3300B652FFDEDA"/>
          </w:placeholder>
        </w:sdtPr>
        <w:sdtContent>
          <w:r w:rsidR="00F520AD">
            <w:t>(Douglas &amp; Gaddie, 2002; Hou, 2003, 2004; Knight &amp; Levinson, 1999; Sobel &amp; Holcombe, 1996)</w:t>
          </w:r>
        </w:sdtContent>
      </w:sdt>
      <w:r w:rsidR="00AF6702" w:rsidRPr="00702882">
        <w:t>.</w:t>
      </w:r>
      <w:r w:rsidR="00AF6702" w:rsidRPr="00702882">
        <w:rPr>
          <w:rFonts w:eastAsiaTheme="minorEastAsia"/>
        </w:rPr>
        <w:t xml:space="preserve"> </w:t>
      </w:r>
      <w:r w:rsidR="00AF6702" w:rsidRPr="00702882">
        <w:t xml:space="preserve">In their study, Sobel and Holcombe (1996) use key variables such as “saving requirement,” “cap on BSF,” “cap percentage,” and “withdrawal requirement” to evaluate the influence of these factors on alleviating or exacerbating state fiscal stress amid the 1989–1992 recessionary </w:t>
      </w:r>
      <w:r w:rsidR="00AF6702" w:rsidRPr="00702882">
        <w:lastRenderedPageBreak/>
        <w:t>period.</w:t>
      </w:r>
      <w:r w:rsidR="00AF6702" w:rsidRPr="00702882">
        <w:rPr>
          <w:rStyle w:val="a5"/>
        </w:rPr>
        <w:footnoteReference w:id="42"/>
      </w:r>
      <w:r w:rsidR="00AF6702" w:rsidRPr="00702882">
        <w:t xml:space="preserve"> Their findings indicate that states adopting stringent deposit regulations, including “cap” and “required savings,” tend to deposit more funds and undergo less fiscal stress compared to states without such stringent rules.</w:t>
      </w:r>
    </w:p>
    <w:p w14:paraId="6C133F36" w14:textId="289D0AC7" w:rsidR="00AF6702" w:rsidRPr="00702882" w:rsidRDefault="00AF6702" w:rsidP="00C66AC4">
      <w:pPr>
        <w:spacing w:line="480" w:lineRule="auto"/>
        <w:ind w:firstLineChars="295" w:firstLine="708"/>
        <w:rPr>
          <w:lang w:eastAsia="en-US"/>
        </w:rPr>
      </w:pPr>
      <w:r w:rsidRPr="00702882">
        <w:t>In a subsequent study, Douglas and Gaddie (2002) revisited the same dataset, employing the identical model used by Sobel and Holcombe (1996). However, they opted for a distinct set of features in their analysis, including variables such as “withdrawal by formula,” “supermajority vote requirement for BSF use,” “savings requirements,” and “multiple funds.”</w:t>
      </w:r>
      <w:r w:rsidR="008F7704" w:rsidRPr="00702882">
        <w:rPr>
          <w:rFonts w:eastAsiaTheme="minorEastAsia"/>
        </w:rPr>
        <w:t xml:space="preserve"> </w:t>
      </w:r>
      <w:r w:rsidR="008F7704" w:rsidRPr="00702882">
        <w:t>Douglas and Gaddie</w:t>
      </w:r>
      <w:r w:rsidRPr="00702882">
        <w:t xml:space="preserve"> (2002) find “savings requirements” and “multiple BSFs” exert significant influences in mitigating the fiscal stress of states.</w:t>
      </w:r>
    </w:p>
    <w:p w14:paraId="396CDD3A" w14:textId="77777777" w:rsidR="00AF6702" w:rsidRPr="00702882" w:rsidRDefault="00AF6702" w:rsidP="00C66AC4">
      <w:pPr>
        <w:spacing w:line="480" w:lineRule="auto"/>
        <w:ind w:firstLine="720"/>
        <w:rPr>
          <w:rFonts w:eastAsiaTheme="minorEastAsia"/>
        </w:rPr>
      </w:pPr>
      <w:r w:rsidRPr="00702882">
        <w:t>Hou (2004) observes that the implementation of stringent deposit rules, characterized by features, such as a “high cap” and “deposit by formula” and “general fund surplus,” coupled with stringent withdrawal rules, including “withdrawal by formula” and “legislative approval,” contributes to the enhancement of BSF levels. These findings illustrate that the structural features of the BSF contribute to a decrease in fiscal stress by effectively smoothing expenditures over the business cycle.</w:t>
      </w:r>
    </w:p>
    <w:p w14:paraId="206FBA96" w14:textId="095A1B3C" w:rsidR="00AF6702" w:rsidRPr="00702882" w:rsidRDefault="00AF6702" w:rsidP="00C66AC4">
      <w:pPr>
        <w:spacing w:line="480" w:lineRule="auto"/>
        <w:ind w:firstLine="720"/>
      </w:pPr>
      <w:r w:rsidRPr="00702882">
        <w:t xml:space="preserve">In investigating the relationship between BSF and GFB, Buerger et al. (2022) </w:t>
      </w:r>
      <w:r w:rsidRPr="00702882">
        <w:rPr>
          <w:rFonts w:eastAsiaTheme="minorEastAsia"/>
        </w:rPr>
        <w:t xml:space="preserve">find </w:t>
      </w:r>
      <w:r w:rsidRPr="00702882">
        <w:t xml:space="preserve">that strict deposit and withdrawal rules, such as using formulas tied to economic volatility, improve the association between the business cycle and savings. Conversely, stringent caps on BSFs diminish supplementation effects, while replenishment rule shows strong supplementation effects after fund transfers, but decreases these effects during other periods </w:t>
      </w:r>
      <w:sdt>
        <w:sdtPr>
          <w:rPr>
            <w:color w:val="000000"/>
          </w:rPr>
          <w:tag w:val="MENDELEY_CITATION_v3_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"/>
          <w:id w:val="1892696801"/>
          <w:placeholder>
            <w:docPart w:val="A8204E284AB740B88D3300B652FFDEDA"/>
          </w:placeholder>
        </w:sdtPr>
        <w:sdtContent>
          <w:r w:rsidR="00F520AD" w:rsidRPr="00F520AD">
            <w:rPr>
              <w:color w:val="000000"/>
            </w:rPr>
            <w:t>(Buerger et al., 2022)</w:t>
          </w:r>
        </w:sdtContent>
      </w:sdt>
      <w:r w:rsidRPr="00702882">
        <w:t xml:space="preserve">. </w:t>
      </w:r>
    </w:p>
    <w:p w14:paraId="7955CF06" w14:textId="777ABFD4" w:rsidR="00AF6702" w:rsidRPr="00702882" w:rsidRDefault="00AF6702" w:rsidP="00C66AC4">
      <w:pPr>
        <w:spacing w:line="480" w:lineRule="auto"/>
        <w:ind w:firstLine="720"/>
      </w:pPr>
      <w:r w:rsidRPr="00702882">
        <w:rPr>
          <w:rFonts w:eastAsiaTheme="minorEastAsia"/>
        </w:rPr>
        <w:lastRenderedPageBreak/>
        <w:t xml:space="preserve">In contrast to the aforementioned studies, </w:t>
      </w:r>
      <w:sdt>
        <w:sdtPr>
          <w:rPr>
            <w:color w:val="000000"/>
          </w:rPr>
          <w:tag w:val="MENDELEY_CITATION_v3_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"/>
          <w:id w:val="270134534"/>
          <w:placeholder>
            <w:docPart w:val="4CA93E7727824914B65A8BF982DC6A59"/>
          </w:placeholder>
        </w:sdtPr>
        <w:sdtContent>
          <w:r w:rsidR="00F520AD" w:rsidRPr="00F520AD">
            <w:rPr>
              <w:color w:val="000000"/>
            </w:rPr>
            <w:t>Rose (2008)</w:t>
          </w:r>
        </w:sdtContent>
      </w:sdt>
      <w:r w:rsidRPr="00702882">
        <w:t xml:space="preserve"> finds that </w:t>
      </w:r>
      <w:r w:rsidRPr="00702882">
        <w:rPr>
          <w:rFonts w:eastAsiaTheme="minorEastAsia"/>
        </w:rPr>
        <w:t xml:space="preserve">strict rules </w:t>
      </w:r>
      <w:r w:rsidRPr="00702882">
        <w:t>(e.g., formula, legislative appropriation, and supermajority requirement)</w:t>
      </w:r>
      <w:r w:rsidRPr="00702882">
        <w:rPr>
          <w:rFonts w:eastAsiaTheme="minorEastAsia"/>
        </w:rPr>
        <w:t xml:space="preserve"> have negligible impact on reducing withdrawal from BSFs. Surprisingly, rules that involve a greater number of politicians in the decision-making process, such as requiring the governor's approval for withdrawals, prove effective in curbing opportunistic behavior. These results suggest that strict formula rules do not entirely eliminate political intervention. Consequently, decisions regarding BSFs seem to be more aligned with a political process rather than a purely budgetary one.</w:t>
      </w:r>
    </w:p>
    <w:p w14:paraId="6BF424C5" w14:textId="77777777" w:rsidR="00AF6702" w:rsidRPr="00702882" w:rsidRDefault="00AF6702" w:rsidP="00C66AC4">
      <w:pPr>
        <w:spacing w:line="480" w:lineRule="auto"/>
        <w:rPr>
          <w:rFonts w:eastAsiaTheme="minorEastAsia"/>
          <w:color w:val="7030A0"/>
        </w:rPr>
      </w:pPr>
    </w:p>
    <w:p w14:paraId="103382B2" w14:textId="77777777" w:rsidR="00AF6702" w:rsidRPr="00702882" w:rsidRDefault="00AF6702" w:rsidP="00C66AC4">
      <w:pPr>
        <w:spacing w:line="480" w:lineRule="auto"/>
        <w:rPr>
          <w:b/>
          <w:bCs/>
        </w:rPr>
      </w:pPr>
      <w:r w:rsidRPr="00702882">
        <w:rPr>
          <w:b/>
          <w:bCs/>
        </w:rPr>
        <w:t xml:space="preserve">3.4 </w:t>
      </w:r>
      <w:bookmarkStart w:id="26" w:name="FiscalSlackModel"/>
      <w:r w:rsidRPr="00702882">
        <w:rPr>
          <w:b/>
          <w:bCs/>
        </w:rPr>
        <w:t xml:space="preserve">Fiscal Slack Model </w:t>
      </w:r>
      <w:bookmarkEnd w:id="26"/>
    </w:p>
    <w:p w14:paraId="23299426" w14:textId="18C6FA46" w:rsidR="00AF6702" w:rsidRPr="00702882" w:rsidRDefault="00AF6702" w:rsidP="00C66AC4">
      <w:pPr>
        <w:spacing w:line="480" w:lineRule="auto"/>
        <w:ind w:firstLine="720"/>
      </w:pPr>
      <w:r w:rsidRPr="00702882">
        <w:t xml:space="preserve">At the local level, governments do not have BSFs like state governments, but rely on unreserved GFB, which is an informal slack resource, for budget stabilization </w:t>
      </w:r>
      <w:sdt>
        <w:sdtPr>
          <w:tag w:val="MENDELEY_CITATION_v3_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"/>
          <w:id w:val="1883742884"/>
          <w:placeholder>
            <w:docPart w:val="04FF19B9F38446C0B8BEE88DE4F3B8F8"/>
          </w:placeholder>
        </w:sdtPr>
        <w:sdtContent>
          <w:r w:rsidR="00F520AD">
            <w:t>(Hendrick, 2006; Hou &amp; Brewer, 2010; Marlowe, 2005)</w:t>
          </w:r>
        </w:sdtContent>
      </w:sdt>
      <w:r w:rsidRPr="00702882">
        <w:t xml:space="preserve">. To understand the determinants and effects of fiscal reserves at the local level, fiscal slack model has been proposed </w:t>
      </w:r>
      <w:sdt>
        <w:sdtPr>
          <w:rPr>
            <w:color w:val="000000"/>
          </w:rPr>
          <w:tag w:val="MENDELEY_CITATION_v3_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"/>
          <w:id w:val="-805546751"/>
          <w:placeholder>
            <w:docPart w:val="9AEDA3E1CAD645FCA4E096D69D882332"/>
          </w:placeholder>
        </w:sdtPr>
        <w:sdtContent>
          <w:r w:rsidR="00F520AD" w:rsidRPr="00F520AD">
            <w:rPr>
              <w:color w:val="000000"/>
            </w:rPr>
            <w:t>(Hendrick, 2006)</w:t>
          </w:r>
        </w:sdtContent>
      </w:sdt>
      <w:r w:rsidRPr="00702882">
        <w:t xml:space="preserve">. This perspective has paid attention to organizations’ adaptation to changing environments </w:t>
      </w:r>
      <w:sdt>
        <w:sdtPr>
          <w:tag w:val="MENDELEY_CITATION_v3_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"/>
          <w:id w:val="1302273867"/>
          <w:placeholder>
            <w:docPart w:val="48438E94FC5A40858B920BC51B47D87A"/>
          </w:placeholder>
        </w:sdtPr>
        <w:sdtContent>
          <w:r w:rsidR="00F520AD">
            <w:t>(Lawrence &amp; Lorsch, 1967; March &amp; Simon, 1958)</w:t>
          </w:r>
        </w:sdtContent>
      </w:sdt>
      <w:r w:rsidRPr="00702882">
        <w:t xml:space="preserve"> and applied to the study of subnational governments’ responses to the fiscal stresses during economic recessions in the 1980s </w:t>
      </w:r>
      <w:sdt>
        <w:sdtPr>
          <w:tag w:val="MENDELEY_CITATION_v3_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"/>
          <w:id w:val="-774630303"/>
          <w:placeholder>
            <w:docPart w:val="BF38F894B6EE4AD4A46FAD2C8DD88B8E"/>
          </w:placeholder>
        </w:sdtPr>
        <w:sdtContent>
          <w:r w:rsidR="00F520AD">
            <w:t>(Clark &amp; Ferguson, 1983; Levine et al., 1981; Pammer, 1990)</w:t>
          </w:r>
        </w:sdtContent>
      </w:sdt>
      <w:r w:rsidRPr="00702882">
        <w:t xml:space="preserve">. </w:t>
      </w:r>
    </w:p>
    <w:p w14:paraId="0D253319" w14:textId="466A84F6" w:rsidR="00AF6702" w:rsidRPr="00702882" w:rsidRDefault="001574FA" w:rsidP="00C66AC4">
      <w:pPr>
        <w:spacing w:line="480" w:lineRule="auto"/>
        <w:ind w:firstLine="720"/>
      </w:pPr>
      <w:r w:rsidRPr="00702882">
        <w:t>Organizational adaptation occurs when an organization adjusts its internal environment or processes to achieve equilibrium with its external environment</w:t>
      </w:r>
      <w:r w:rsidRPr="00702882">
        <w:rPr>
          <w:rFonts w:eastAsiaTheme="minorEastAsia"/>
        </w:rPr>
        <w:t xml:space="preserve"> </w:t>
      </w:r>
      <w:sdt>
        <w:sdtPr>
          <w:rPr>
            <w:rFonts w:eastAsiaTheme="minorEastAsia"/>
            <w:color w:val="000000"/>
          </w:rPr>
          <w:tag w:val="MENDELEY_CITATION_v3_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"/>
          <w:id w:val="-691373035"/>
          <w:placeholder>
            <w:docPart w:val="DefaultPlaceholder_-1854013440"/>
          </w:placeholder>
        </w:sdtPr>
        <w:sdtContent>
          <w:r w:rsidR="00F520AD" w:rsidRPr="00F520AD">
            <w:rPr>
              <w:rFonts w:eastAsiaTheme="minorEastAsia"/>
              <w:color w:val="000000"/>
            </w:rPr>
            <w:t>(Simon, 1947)</w:t>
          </w:r>
        </w:sdtContent>
      </w:sdt>
      <w:r w:rsidR="00AF6702" w:rsidRPr="00702882">
        <w:t>.</w:t>
      </w:r>
      <w:r w:rsidR="00E83AAF" w:rsidRPr="00702882">
        <w:t xml:space="preserve"> Similar to CCFC, organizational theory posits that organizations</w:t>
      </w:r>
      <w:r w:rsidR="00484FA7" w:rsidRPr="00702882">
        <w:rPr>
          <w:rFonts w:eastAsiaTheme="minorEastAsia"/>
        </w:rPr>
        <w:t>, which have</w:t>
      </w:r>
      <w:r w:rsidR="00E83AAF" w:rsidRPr="00702882">
        <w:t xml:space="preserve"> more </w:t>
      </w:r>
      <w:r w:rsidR="005D18E5" w:rsidRPr="00702882">
        <w:rPr>
          <w:rFonts w:eastAsiaTheme="minorEastAsia"/>
        </w:rPr>
        <w:t xml:space="preserve">fiscal </w:t>
      </w:r>
      <w:r w:rsidR="00E83AAF" w:rsidRPr="00702882">
        <w:t>slack</w:t>
      </w:r>
      <w:r w:rsidR="00484FA7" w:rsidRPr="00702882">
        <w:rPr>
          <w:rFonts w:eastAsiaTheme="minorEastAsia"/>
        </w:rPr>
        <w:t>,</w:t>
      </w:r>
      <w:r w:rsidR="00E83AAF" w:rsidRPr="00702882">
        <w:t xml:space="preserve"> possess a greater </w:t>
      </w:r>
      <w:r w:rsidR="00484FA7" w:rsidRPr="00702882">
        <w:rPr>
          <w:rFonts w:eastAsiaTheme="minorEastAsia"/>
        </w:rPr>
        <w:t>ability</w:t>
      </w:r>
      <w:r w:rsidR="00E83AAF" w:rsidRPr="00702882">
        <w:t xml:space="preserve"> to mitigate the effects of fiscal shocks on the organization</w:t>
      </w:r>
      <w:r w:rsidR="00E83AAF" w:rsidRPr="00702882">
        <w:rPr>
          <w:rFonts w:eastAsiaTheme="minorEastAsia"/>
        </w:rPr>
        <w:t xml:space="preserve"> </w:t>
      </w:r>
      <w:sdt>
        <w:sdtPr>
          <w:rPr>
            <w:color w:val="000000"/>
          </w:rPr>
          <w:tag w:val="MENDELEY_CITATION_v3_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"/>
          <w:id w:val="636230627"/>
          <w:placeholder>
            <w:docPart w:val="DC44149D9EE14002AAF619A9D1958606"/>
          </w:placeholder>
        </w:sdtPr>
        <w:sdtContent>
          <w:r w:rsidR="00F520AD" w:rsidRPr="00F520AD">
            <w:rPr>
              <w:color w:val="000000"/>
            </w:rPr>
            <w:t>(Hendrick, 2006)</w:t>
          </w:r>
        </w:sdtContent>
      </w:sdt>
      <w:r w:rsidR="00AF6702" w:rsidRPr="00702882">
        <w:t xml:space="preserve">. While CCFC emphasizes the connection between BSF rules and the fiscal performance of governments, the fiscal slack model centers on the extent to </w:t>
      </w:r>
      <w:r w:rsidR="00AF6702" w:rsidRPr="00702882">
        <w:lastRenderedPageBreak/>
        <w:t xml:space="preserve">which fiscal slack’s size affords governments fiscal flexibility that aids governments in reducing deficits and sustaining continuous service provision </w:t>
      </w:r>
      <w:sdt>
        <w:sdtPr>
          <w:rPr>
            <w:color w:val="000000"/>
          </w:rPr>
          <w:tag w:val="MENDELEY_CITATION_v3_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"/>
          <w:id w:val="-1063177109"/>
          <w:placeholder>
            <w:docPart w:val="6229DE1738924B7A8621F8844DA2E6D2"/>
          </w:placeholder>
        </w:sdtPr>
        <w:sdtContent>
          <w:r w:rsidR="00F520AD" w:rsidRPr="00F520AD">
            <w:rPr>
              <w:color w:val="000000"/>
            </w:rPr>
            <w:t>(Hendrick, 2006)</w:t>
          </w:r>
        </w:sdtContent>
      </w:sdt>
      <w:r w:rsidR="00AF6702" w:rsidRPr="00702882">
        <w:t xml:space="preserve">. This stands in contrast to the premise of “slack-maximizing models of bureaucracy,” which suggests that slack is misappropriated for the benefit of politicians and bureaucrats </w:t>
      </w:r>
      <w:sdt>
        <w:sdtPr>
          <w:tag w:val="MENDELEY_CITATION_v3_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"/>
          <w:id w:val="333419532"/>
          <w:placeholder>
            <w:docPart w:val="B62CB4B5C8C74C62A48DD2F3800629E6"/>
          </w:placeholder>
        </w:sdtPr>
        <w:sdtContent>
          <w:r w:rsidR="00F520AD">
            <w:t>(Breton &amp; Wintrobe, 1975; Migué &amp; Bélanger, 1974)</w:t>
          </w:r>
        </w:sdtContent>
      </w:sdt>
      <w:r w:rsidR="00AF6702" w:rsidRPr="00702882">
        <w:t>.</w:t>
      </w:r>
    </w:p>
    <w:p w14:paraId="67260FE2" w14:textId="3363DD19" w:rsidR="00AF6702" w:rsidRPr="00702882" w:rsidRDefault="00AF6702" w:rsidP="00C66AC4">
      <w:pPr>
        <w:spacing w:line="480" w:lineRule="auto"/>
        <w:ind w:firstLine="720"/>
      </w:pPr>
      <w:r w:rsidRPr="00702882">
        <w:t xml:space="preserve">Some empirical studies find that unreserved GFB helps improve fiscal conditions and stabilize expenditures </w:t>
      </w:r>
      <w:sdt>
        <w:sdtPr>
          <w:rPr>
            <w:color w:val="000000"/>
          </w:rPr>
          <w:tag w:val="MENDELEY_CITATION_v3_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"/>
          <w:id w:val="-605038414"/>
          <w:placeholder>
            <w:docPart w:val="C04E09D08F574D7781368753691DC4F3"/>
          </w:placeholder>
        </w:sdtPr>
        <w:sdtContent>
          <w:r w:rsidR="00F520AD" w:rsidRPr="00F520AD">
            <w:rPr>
              <w:color w:val="000000"/>
            </w:rPr>
            <w:t>(Hendrick, 2006; Marlowe, 2005)</w:t>
          </w:r>
        </w:sdtContent>
      </w:sdt>
      <w:r w:rsidRPr="00702882">
        <w:t xml:space="preserve">, while others do not support that GFB has a countercyclical stabilizing effect on expenditure gap </w:t>
      </w:r>
      <w:sdt>
        <w:sdtPr>
          <w:tag w:val="MENDELEY_CITATION_v3_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"/>
          <w:id w:val="2130811059"/>
          <w:placeholder>
            <w:docPart w:val="AA9E7A0FB27D4D2E8B7E09943D9CC33D"/>
          </w:placeholder>
        </w:sdtPr>
        <w:sdtContent>
          <w:r w:rsidR="00F520AD">
            <w:t>(Wang &amp; Hou, 2012)</w:t>
          </w:r>
        </w:sdtContent>
      </w:sdt>
      <w:r w:rsidRPr="00702882">
        <w:t xml:space="preserve">. Meanwhile, the stabilizing effect of GFB depends on business cycle, suggesting that GFB is effective in stabilizing expenditures during boom years </w:t>
      </w:r>
      <w:sdt>
        <w:sdtPr>
          <w:tag w:val="MENDELEY_CITATION_v3_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"/>
          <w:id w:val="2078856589"/>
          <w:placeholder>
            <w:docPart w:val="C8C00A0EDB7042098BBA237CCF8DC03E"/>
          </w:placeholder>
        </w:sdtPr>
        <w:sdtContent>
          <w:r w:rsidR="00F520AD">
            <w:t>(Wu &amp; Shi, 2021)</w:t>
          </w:r>
        </w:sdtContent>
      </w:sdt>
      <w:r w:rsidRPr="00702882">
        <w:t xml:space="preserve">. Regarding the determinants of fiscal capacity, general fund surpluses and household incomes have a positive relationship with local fiscal reserves </w:t>
      </w:r>
      <w:sdt>
        <w:sdtPr>
          <w:rPr>
            <w:color w:val="000000"/>
          </w:rPr>
          <w:tag w:val="MENDELEY_CITATION_v3_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"/>
          <w:id w:val="-599560011"/>
          <w:placeholder>
            <w:docPart w:val="9AEDA3E1CAD645FCA4E096D69D882332"/>
          </w:placeholder>
        </w:sdtPr>
        <w:sdtContent>
          <w:r w:rsidR="00F520AD" w:rsidRPr="00F520AD">
            <w:rPr>
              <w:color w:val="000000"/>
            </w:rPr>
            <w:t>(Gorina et al., 2019; Su, 2019)</w:t>
          </w:r>
        </w:sdtContent>
      </w:sdt>
      <w:r w:rsidRPr="00702882">
        <w:t xml:space="preserve">. The findings provide an implication for understanding the role of fiscal slack at the state level. </w:t>
      </w:r>
    </w:p>
    <w:p w14:paraId="3A3C4E15" w14:textId="0A31891A" w:rsidR="00AF6702" w:rsidRPr="00702882" w:rsidRDefault="00AF6702" w:rsidP="00C66AC4">
      <w:pPr>
        <w:spacing w:line="480" w:lineRule="auto"/>
        <w:ind w:firstLine="720"/>
        <w:rPr>
          <w:rFonts w:eastAsiaTheme="minorEastAsia"/>
        </w:rPr>
      </w:pPr>
      <w:r w:rsidRPr="00702882">
        <w:t xml:space="preserve">Organizational learning can occur as organizations adapt to environmental changes, leveraging insights from past experiences to effectively manage and mitigate uncertainty </w:t>
      </w:r>
      <w:sdt>
        <w:sdtPr>
          <w:tag w:val="MENDELEY_CITATION_v3_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LCJpc1RlbXBvcmFyeSI6ZmFsc2V9XX0="/>
          <w:id w:val="901796607"/>
          <w:placeholder>
            <w:docPart w:val="2EA8CAE596C44824A5B1110758C41B94"/>
          </w:placeholder>
        </w:sdtPr>
        <w:sdtContent>
          <w:r w:rsidR="00F520AD">
            <w:t>(Cyert &amp; March, 1963; Schein, 1993)</w:t>
          </w:r>
        </w:sdtContent>
      </w:sdt>
      <w:r w:rsidRPr="00702882">
        <w:t xml:space="preserve">. From the theory, </w:t>
      </w:r>
      <w:r w:rsidRPr="00702882">
        <w:rPr>
          <w:rFonts w:eastAsiaTheme="minorEastAsia"/>
        </w:rPr>
        <w:t>r</w:t>
      </w:r>
      <w:r w:rsidRPr="00702882">
        <w:t xml:space="preserve">epeated exposure to risky events and risk awareness motivates organizations to become more responsive and adaptable to the next extreme events </w:t>
      </w:r>
      <w:sdt>
        <w:sdtPr>
          <w:tag w:val="MENDELEY_CITATION_v3_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
          <w:id w:val="-2028783634"/>
          <w:placeholder>
            <w:docPart w:val="CBABA0615625451388B6CF6089C7515B"/>
          </w:placeholder>
        </w:sdtPr>
        <w:sdtContent>
          <w:r w:rsidR="00F520AD">
            <w:t>(Lee &amp; Chen, 2022; Smallman, 1996; Toft &amp; Reynolds, 2005; Zhang et al., 2018)</w:t>
          </w:r>
        </w:sdtContent>
      </w:sdt>
      <w:r w:rsidRPr="00702882">
        <w:t xml:space="preserve">. Empirical studies also reveal that states, in response to experiencing significant fiscal challenges, exhibit a tendency to establish or reinforce their fiscal reserves </w:t>
      </w:r>
      <w:sdt>
        <w:sdtPr>
          <w:tag w:val="MENDELEY_CITATION_v3_eyJwcm9wZXJ0aWVzIjp7Im5vdGVJbmRleCI6MH0sImNpdGF0aW9uSUQiOiJNRU5ERUxFWV9DSVRBVElPTl81NmJjZjRjNS0xMWE5LTQ4NzQtOGJkYy05YjNhYjZjYzQ1NTYiLCJpc0VkaXRlZCI6ZmFsc2UsIm1hbnVhbE92ZXJyaWRlIjp7ImlzTWFudWFsbHlPdmVycmlkZGVuIjpmYWxzZSwibWFudWFsT3ZlcnJpZGVUZXh0IjoiIiwiY2l0ZXByb2NUZXh0IjoiKExlZSAmIzM4OyBDaGVuLCAyMDIyOyBTY2hlaW4sIDE5OTMpIn0sImNpdGF0aW9uSXRlbXMiOlt7ImlkIjoiNzQ0MjFkZGYtMDNlNC0zZTk3LWExMzItM2UyNjE2NDI5ODljIiwiaXNUZW1wb3JhcnkiOmZhbHNl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
          <w:id w:val="774601001"/>
          <w:placeholder>
            <w:docPart w:val="2A26C0210F8B4A2A8C855EBD7BFB2AEB"/>
          </w:placeholder>
        </w:sdtPr>
        <w:sdtContent>
          <w:r w:rsidR="00F520AD">
            <w:t>(Lee &amp; Chen, 2022; Schein, 1993)</w:t>
          </w:r>
        </w:sdtContent>
      </w:sdt>
      <w:r w:rsidRPr="00702882">
        <w:t xml:space="preserve">. This behavior, attributed to organizational learning, is driven by a proactive strategy to prepare for potential future financial crises </w:t>
      </w:r>
      <w:sdt>
        <w:sdtPr>
          <w:tag w:val="MENDELEY_CITATION_v3_eyJwcm9wZXJ0aWVzIjp7Im5vdGVJbmRleCI6MH0sImNpdGF0aW9uSUQiOiJNRU5ERUxFWV9DSVRBVElPTl8zOTk3ZTA3MC05NWM1LTQ1ZTctYjI3Yi03MmY4YzAzY2MzM2YiLCJpc0VkaXRlZCI6ZmFsc2UsIm1hbnVhbE92ZXJyaWRlIjp7ImlzTWFudWFsbHlPdmVycmlkZGVuIjpmYWxzZSwibWFudWFsT3ZlcnJpZGVUZXh0IjoiIiwiY2l0ZXByb2NUZXh0IjoiKExlZSAmIzM4OyBDaGVuLCAyMDIyOyBTY2hlaW4sIDE5OTMpIn0sImNpdGF0aW9uSXRlbXMiOlt7ImlkIjoiNzQ0MjFkZGYtMDNlNC0zZTk3LWExMzItM2UyNjE2NDI5ODljIiwiaXNUZW1wb3JhcnkiOmZhbHNl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
          <w:id w:val="1996681810"/>
          <w:placeholder>
            <w:docPart w:val="57ECA8542BE846E883C94DD713AC6CCF"/>
          </w:placeholder>
        </w:sdtPr>
        <w:sdtContent>
          <w:r w:rsidR="00F520AD">
            <w:t>(Lee &amp; Chen, 2022; Schein, 1993)</w:t>
          </w:r>
        </w:sdtContent>
      </w:sdt>
      <w:r w:rsidRPr="00702882">
        <w:t xml:space="preserve">. </w:t>
      </w:r>
    </w:p>
    <w:p w14:paraId="368C5492" w14:textId="77777777" w:rsidR="00AF6702" w:rsidRPr="00702882" w:rsidRDefault="00AF6702" w:rsidP="00C66AC4">
      <w:pPr>
        <w:spacing w:line="480" w:lineRule="auto"/>
        <w:ind w:firstLine="720"/>
      </w:pPr>
      <w:r w:rsidRPr="00702882">
        <w:lastRenderedPageBreak/>
        <w:t xml:space="preserve">In sum, the existing literature largely agrees that general fund balances are vulnerable to political spending pressures and the stringency of BSF rules depends on policymakers’ motives for BSF adoption. However, there are disagreements in the literature regarding i) why policymakers adopt and develop BSF policies, ii) whether stringent BSF rules effectively prevent the political use of general funds, iii) under which conditions BSFs can be effective for alleviating fiscal stress, and iv) what kind of relationship BSF has with GFB. Given the disagreement on the effectiveness of stringent BSF rules, this research contributes to advancing our understanding of the relationship between BSF characteristics and state fiscal performance with respect to general fund balances. </w:t>
      </w:r>
    </w:p>
    <w:p w14:paraId="40952FD1" w14:textId="77777777" w:rsidR="00AF6702" w:rsidRPr="00702882" w:rsidRDefault="00AF6702" w:rsidP="00C66AC4">
      <w:pPr>
        <w:spacing w:line="480" w:lineRule="auto"/>
        <w:ind w:firstLine="720"/>
        <w:rPr>
          <w:rFonts w:eastAsiaTheme="minorEastAsia"/>
          <w:color w:val="7030A0"/>
        </w:rPr>
      </w:pPr>
    </w:p>
    <w:p w14:paraId="36584968" w14:textId="77777777" w:rsidR="00AF6702" w:rsidRPr="00702882" w:rsidRDefault="00AF6702" w:rsidP="00C66AC4">
      <w:pPr>
        <w:spacing w:line="480" w:lineRule="auto"/>
        <w:rPr>
          <w:rFonts w:eastAsiaTheme="minorEastAsia"/>
          <w:b/>
          <w:bCs/>
          <w:color w:val="7030A0"/>
        </w:rPr>
      </w:pPr>
    </w:p>
    <w:p w14:paraId="7404E482" w14:textId="77777777" w:rsidR="00AF6702" w:rsidRPr="00702882" w:rsidRDefault="00AF6702" w:rsidP="00C66AC4">
      <w:pPr>
        <w:spacing w:line="480" w:lineRule="auto"/>
        <w:jc w:val="center"/>
        <w:rPr>
          <w:rFonts w:eastAsiaTheme="minorEastAsia"/>
          <w:b/>
          <w:bCs/>
          <w:color w:val="7030A0"/>
        </w:rPr>
      </w:pPr>
    </w:p>
    <w:p w14:paraId="7ABF453C" w14:textId="77777777" w:rsidR="00AF6702" w:rsidRPr="00702882" w:rsidRDefault="00AF6702" w:rsidP="00C66AC4">
      <w:pPr>
        <w:spacing w:line="480" w:lineRule="auto"/>
        <w:jc w:val="center"/>
        <w:rPr>
          <w:rFonts w:eastAsiaTheme="minorEastAsia"/>
          <w:b/>
          <w:bCs/>
          <w:color w:val="7030A0"/>
        </w:rPr>
      </w:pPr>
    </w:p>
    <w:p w14:paraId="16D0124D" w14:textId="77777777" w:rsidR="00AF6702" w:rsidRPr="00702882" w:rsidRDefault="00AF6702" w:rsidP="00C66AC4">
      <w:pPr>
        <w:spacing w:line="480" w:lineRule="auto"/>
        <w:jc w:val="center"/>
        <w:rPr>
          <w:rFonts w:eastAsiaTheme="minorEastAsia"/>
          <w:b/>
          <w:bCs/>
          <w:color w:val="7030A0"/>
        </w:rPr>
      </w:pPr>
    </w:p>
    <w:p w14:paraId="475ABF0E" w14:textId="77777777" w:rsidR="00AF6702" w:rsidRPr="00702882" w:rsidRDefault="00AF6702" w:rsidP="00C66AC4">
      <w:pPr>
        <w:spacing w:line="480" w:lineRule="auto"/>
        <w:jc w:val="center"/>
        <w:rPr>
          <w:rFonts w:eastAsiaTheme="minorEastAsia"/>
          <w:b/>
          <w:bCs/>
          <w:color w:val="7030A0"/>
        </w:rPr>
      </w:pPr>
    </w:p>
    <w:p w14:paraId="7F6066EE" w14:textId="77777777" w:rsidR="00AF6702" w:rsidRPr="00702882" w:rsidRDefault="00AF6702" w:rsidP="00C66AC4">
      <w:pPr>
        <w:spacing w:line="480" w:lineRule="auto"/>
        <w:jc w:val="center"/>
        <w:rPr>
          <w:rFonts w:eastAsiaTheme="minorEastAsia"/>
          <w:b/>
          <w:bCs/>
          <w:color w:val="7030A0"/>
        </w:rPr>
      </w:pPr>
    </w:p>
    <w:p w14:paraId="3059B96A" w14:textId="77777777" w:rsidR="00AF6702" w:rsidRPr="00702882" w:rsidRDefault="00AF6702" w:rsidP="00C66AC4">
      <w:pPr>
        <w:spacing w:line="480" w:lineRule="auto"/>
        <w:jc w:val="center"/>
        <w:rPr>
          <w:rFonts w:eastAsiaTheme="minorEastAsia"/>
          <w:b/>
          <w:bCs/>
          <w:color w:val="7030A0"/>
        </w:rPr>
      </w:pPr>
    </w:p>
    <w:p w14:paraId="7D2AE235" w14:textId="77777777" w:rsidR="00AF6702" w:rsidRPr="00702882" w:rsidRDefault="00AF6702" w:rsidP="00C66AC4">
      <w:pPr>
        <w:spacing w:line="480" w:lineRule="auto"/>
        <w:jc w:val="center"/>
        <w:rPr>
          <w:rFonts w:eastAsiaTheme="minorEastAsia"/>
          <w:b/>
          <w:bCs/>
          <w:color w:val="7030A0"/>
        </w:rPr>
      </w:pPr>
    </w:p>
    <w:p w14:paraId="71350F20" w14:textId="77777777" w:rsidR="00AF6702" w:rsidRPr="00702882" w:rsidRDefault="00AF6702" w:rsidP="00C66AC4">
      <w:pPr>
        <w:spacing w:line="480" w:lineRule="auto"/>
        <w:jc w:val="center"/>
        <w:rPr>
          <w:rFonts w:eastAsiaTheme="minorEastAsia"/>
          <w:b/>
          <w:bCs/>
          <w:color w:val="7030A0"/>
        </w:rPr>
      </w:pPr>
    </w:p>
    <w:p w14:paraId="1B9232D7" w14:textId="77777777" w:rsidR="00AF6702" w:rsidRPr="00702882" w:rsidRDefault="00AF6702" w:rsidP="00C66AC4">
      <w:pPr>
        <w:spacing w:line="480" w:lineRule="auto"/>
        <w:jc w:val="center"/>
        <w:rPr>
          <w:rFonts w:eastAsiaTheme="minorEastAsia"/>
          <w:b/>
          <w:bCs/>
          <w:color w:val="7030A0"/>
        </w:rPr>
      </w:pPr>
    </w:p>
    <w:p w14:paraId="52B53174" w14:textId="77777777" w:rsidR="00AF6702" w:rsidRPr="00702882" w:rsidRDefault="00AF6702" w:rsidP="00C66AC4">
      <w:pPr>
        <w:spacing w:line="480" w:lineRule="auto"/>
        <w:jc w:val="center"/>
        <w:rPr>
          <w:rFonts w:eastAsiaTheme="minorEastAsia"/>
          <w:b/>
          <w:bCs/>
          <w:color w:val="7030A0"/>
        </w:rPr>
      </w:pPr>
    </w:p>
    <w:p w14:paraId="0C3716B2" w14:textId="77777777" w:rsidR="00AF6702" w:rsidRPr="00702882" w:rsidRDefault="00AF6702" w:rsidP="00C66AC4">
      <w:pPr>
        <w:spacing w:line="480" w:lineRule="auto"/>
        <w:jc w:val="center"/>
        <w:rPr>
          <w:rFonts w:eastAsiaTheme="minorEastAsia"/>
          <w:b/>
          <w:bCs/>
          <w:color w:val="7030A0"/>
        </w:rPr>
      </w:pPr>
    </w:p>
    <w:p w14:paraId="2D9E4D20" w14:textId="77777777" w:rsidR="00AF6702" w:rsidRPr="00702882" w:rsidRDefault="00AF6702" w:rsidP="00C66AC4">
      <w:pPr>
        <w:spacing w:line="480" w:lineRule="auto"/>
        <w:rPr>
          <w:rFonts w:eastAsiaTheme="minorEastAsia"/>
          <w:b/>
          <w:bCs/>
          <w:color w:val="7030A0"/>
        </w:rPr>
      </w:pPr>
    </w:p>
    <w:p w14:paraId="26FA6D1F" w14:textId="77777777" w:rsidR="00335D5E" w:rsidRPr="00702882" w:rsidRDefault="00335D5E" w:rsidP="00C66AC4">
      <w:pPr>
        <w:spacing w:line="480" w:lineRule="auto"/>
        <w:rPr>
          <w:rFonts w:eastAsiaTheme="minorEastAsia"/>
          <w:b/>
          <w:bCs/>
          <w:color w:val="7030A0"/>
        </w:rPr>
      </w:pPr>
    </w:p>
    <w:p w14:paraId="2D019EEA" w14:textId="77777777" w:rsidR="00AF6702" w:rsidRPr="00702882" w:rsidRDefault="00AF6702" w:rsidP="00C66AC4">
      <w:pPr>
        <w:spacing w:line="480" w:lineRule="auto"/>
        <w:jc w:val="center"/>
        <w:rPr>
          <w:b/>
          <w:bCs/>
        </w:rPr>
      </w:pPr>
      <w:r w:rsidRPr="00702882">
        <w:rPr>
          <w:b/>
          <w:bCs/>
        </w:rPr>
        <w:lastRenderedPageBreak/>
        <w:t>4. CONCEPTUAL FRAMEWORK AND HYPOTHESES</w:t>
      </w:r>
      <w:bookmarkStart w:id="27" w:name="CONCEPTUALFRAMEWORKANDHYPOTHESES"/>
      <w:bookmarkEnd w:id="27"/>
    </w:p>
    <w:p w14:paraId="323A4C21" w14:textId="77777777" w:rsidR="00AF6702" w:rsidRPr="00702882" w:rsidRDefault="00AF6702" w:rsidP="00C66AC4">
      <w:pPr>
        <w:spacing w:line="480" w:lineRule="auto"/>
        <w:rPr>
          <w:rFonts w:eastAsiaTheme="minorEastAsia"/>
        </w:rPr>
      </w:pPr>
    </w:p>
    <w:p w14:paraId="01874EA8" w14:textId="77777777" w:rsidR="00AF6702" w:rsidRPr="00702882" w:rsidRDefault="00AF6702" w:rsidP="00C66AC4">
      <w:pPr>
        <w:spacing w:line="480" w:lineRule="auto"/>
        <w:rPr>
          <w:rFonts w:eastAsiaTheme="minorEastAsia"/>
          <w:b/>
          <w:bCs/>
        </w:rPr>
      </w:pPr>
      <w:r w:rsidRPr="00702882">
        <w:rPr>
          <w:rFonts w:eastAsiaTheme="minorEastAsia"/>
          <w:b/>
          <w:bCs/>
        </w:rPr>
        <w:t>4.1 Conceptual Framework</w:t>
      </w:r>
      <w:bookmarkStart w:id="28" w:name="ConceptualFramework"/>
      <w:bookmarkEnd w:id="28"/>
    </w:p>
    <w:p w14:paraId="3EE12D24" w14:textId="77777777" w:rsidR="00AF6702" w:rsidRPr="00702882" w:rsidRDefault="00AF6702" w:rsidP="00C66AC4">
      <w:pPr>
        <w:spacing w:line="480" w:lineRule="auto"/>
        <w:ind w:firstLineChars="295" w:firstLine="708"/>
        <w:rPr>
          <w:rFonts w:eastAsiaTheme="minorEastAsia"/>
        </w:rPr>
      </w:pPr>
      <w:r w:rsidRPr="00702882">
        <w:t>This study aims to examine the impact of BSF rules on both BSF and GFB levels. To investigate the effects of BSF rules on BSF and GFB levels, respectively, I will begin by explaining a conceptual framework, derived from Chapter 3. Literature Review. Subsequently, in Section 4.2, I will formulate several hypotheses regarding the effects of BSF structural features on BSF and GFB levels based on the conceptual framework as well as attributes of BSF rule stringency discussed in Section 2.2.</w:t>
      </w:r>
      <w:bookmarkStart w:id="29" w:name="_Hlk157116132"/>
      <w:r w:rsidRPr="00702882">
        <w:rPr>
          <w:rFonts w:eastAsiaTheme="minorEastAsia"/>
        </w:rPr>
        <w:t xml:space="preserve"> </w:t>
      </w:r>
      <w:bookmarkEnd w:id="29"/>
    </w:p>
    <w:p w14:paraId="5682AA13" w14:textId="77777777" w:rsidR="00AF6702" w:rsidRPr="00702882" w:rsidRDefault="00AF6702" w:rsidP="00C66AC4">
      <w:pPr>
        <w:spacing w:line="480" w:lineRule="auto"/>
        <w:rPr>
          <w:rFonts w:eastAsiaTheme="minorEastAsia"/>
        </w:rPr>
      </w:pPr>
    </w:p>
    <w:p w14:paraId="6DC37F01" w14:textId="77777777" w:rsidR="00AF6702" w:rsidRPr="00702882" w:rsidRDefault="00AF6702" w:rsidP="00C66AC4">
      <w:pPr>
        <w:spacing w:line="480" w:lineRule="auto"/>
        <w:jc w:val="center"/>
        <w:rPr>
          <w:b/>
          <w:bCs/>
        </w:rPr>
      </w:pPr>
      <w:r w:rsidRPr="00702882">
        <w:rPr>
          <w:b/>
          <w:bCs/>
        </w:rPr>
        <w:t xml:space="preserve">Figure 1. </w:t>
      </w:r>
      <w:bookmarkStart w:id="30" w:name="_Hlk157342637"/>
      <w:r w:rsidRPr="00702882">
        <w:rPr>
          <w:b/>
          <w:bCs/>
        </w:rPr>
        <w:t xml:space="preserve">Causal Path Diagram Derived </w:t>
      </w:r>
      <w:bookmarkEnd w:id="30"/>
      <w:r w:rsidRPr="00702882">
        <w:rPr>
          <w:b/>
          <w:bCs/>
        </w:rPr>
        <w:t>from the Literatu</w:t>
      </w:r>
      <w:bookmarkStart w:id="31" w:name="CausalPathDiagramDerivedfrom"/>
      <w:bookmarkEnd w:id="31"/>
      <w:r w:rsidRPr="00702882">
        <w:rPr>
          <w:b/>
          <w:bCs/>
        </w:rPr>
        <w:t>re</w:t>
      </w:r>
    </w:p>
    <w:p w14:paraId="7FEC3CF9" w14:textId="77777777" w:rsidR="00AF6702" w:rsidRPr="00702882" w:rsidRDefault="00AF6702" w:rsidP="00C66AC4">
      <w:pPr>
        <w:spacing w:line="480" w:lineRule="auto"/>
        <w:jc w:val="center"/>
        <w:rPr>
          <w:rFonts w:eastAsiaTheme="minorEastAsia"/>
          <w:b/>
          <w:bCs/>
        </w:rPr>
      </w:pPr>
    </w:p>
    <w:p w14:paraId="24EC2727" w14:textId="77777777" w:rsidR="00AF6702" w:rsidRPr="00702882" w:rsidRDefault="00AF6702" w:rsidP="00C66AC4">
      <w:pPr>
        <w:spacing w:line="480" w:lineRule="auto"/>
        <w:jc w:val="center"/>
        <w:rPr>
          <w:rFonts w:eastAsiaTheme="minorEastAsia"/>
          <w:b/>
          <w:bCs/>
          <w:color w:val="7030A0"/>
        </w:rPr>
      </w:pPr>
      <w:r w:rsidRPr="00702882">
        <w:rPr>
          <w:rFonts w:eastAsiaTheme="minorEastAsia"/>
          <w:b/>
          <w:bCs/>
          <w:noProof/>
          <w:color w:val="7030A0"/>
        </w:rPr>
        <w:drawing>
          <wp:inline distT="0" distB="0" distL="0" distR="0" wp14:anchorId="71F0B289" wp14:editId="63076A51">
            <wp:extent cx="5355132" cy="3358511"/>
            <wp:effectExtent l="0" t="0" r="0" b="0"/>
            <wp:docPr id="1604492213"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62982" cy="3363434"/>
                    </a:xfrm>
                    <a:prstGeom prst="rect">
                      <a:avLst/>
                    </a:prstGeom>
                    <a:noFill/>
                    <a:ln>
                      <a:noFill/>
                    </a:ln>
                  </pic:spPr>
                </pic:pic>
              </a:graphicData>
            </a:graphic>
          </wp:inline>
        </w:drawing>
      </w:r>
    </w:p>
    <w:p w14:paraId="12A6BF0A" w14:textId="77777777" w:rsidR="00AF6702" w:rsidRPr="00702882" w:rsidRDefault="00AF6702" w:rsidP="00C66AC4">
      <w:pPr>
        <w:tabs>
          <w:tab w:val="center" w:pos="4742"/>
        </w:tabs>
        <w:spacing w:before="240" w:line="480" w:lineRule="auto"/>
        <w:contextualSpacing/>
        <w:jc w:val="center"/>
        <w:rPr>
          <w:color w:val="7030A0"/>
          <w:sz w:val="22"/>
          <w:szCs w:val="22"/>
        </w:rPr>
      </w:pPr>
    </w:p>
    <w:p w14:paraId="21FB9B22" w14:textId="77777777" w:rsidR="00AF6702" w:rsidRPr="00702882" w:rsidRDefault="00AF6702" w:rsidP="00C66AC4">
      <w:pPr>
        <w:tabs>
          <w:tab w:val="center" w:pos="4742"/>
        </w:tabs>
        <w:spacing w:before="240" w:line="480" w:lineRule="auto"/>
        <w:contextualSpacing/>
        <w:jc w:val="center"/>
        <w:rPr>
          <w:rFonts w:eastAsiaTheme="minorEastAsia"/>
          <w:sz w:val="22"/>
          <w:szCs w:val="22"/>
        </w:rPr>
      </w:pPr>
      <w:r w:rsidRPr="00702882">
        <w:rPr>
          <w:sz w:val="22"/>
          <w:szCs w:val="22"/>
        </w:rPr>
        <w:t>Note: Figure 1 visualizes the conceptual framework. Arrows indicate the causal direction.</w:t>
      </w:r>
    </w:p>
    <w:p w14:paraId="46C108F7" w14:textId="4CC4298F" w:rsidR="00DD6AF2" w:rsidRPr="00702882" w:rsidRDefault="00035833" w:rsidP="00035833">
      <w:pPr>
        <w:spacing w:line="480" w:lineRule="auto"/>
        <w:ind w:firstLineChars="295" w:firstLine="708"/>
        <w:rPr>
          <w:rFonts w:eastAsiaTheme="minorEastAsia"/>
        </w:rPr>
      </w:pPr>
      <w:r w:rsidRPr="00702882">
        <w:rPr>
          <w:rFonts w:eastAsiaTheme="minorEastAsia"/>
        </w:rPr>
        <w:lastRenderedPageBreak/>
        <w:t xml:space="preserve">The study integrates insights from diverse theoretical perspectives to formulate a conceptual framework, visually represented in Figure 1. This framework is designed to analyze the determinants and impacts of both BSF and GFB. The framework incorporates New Institutional Economics (NIE), emphasizing the importance of stringent BSF rules as a key independent variable. NIE posits that such rules act as effective enforcements, shaping policymakers’ behavior and contributing to fiscal performance. </w:t>
      </w:r>
    </w:p>
    <w:p w14:paraId="4C7B192E" w14:textId="4D6F3F87" w:rsidR="00AF6702" w:rsidRPr="00702882" w:rsidRDefault="00831B49" w:rsidP="00C66AC4">
      <w:pPr>
        <w:spacing w:line="480" w:lineRule="auto"/>
        <w:ind w:firstLine="720"/>
        <w:rPr>
          <w:rFonts w:eastAsiaTheme="minorEastAsia"/>
        </w:rPr>
      </w:pPr>
      <w:r w:rsidRPr="00702882">
        <w:t>There could be a substitution or supplementation effect between BSF and GFB</w:t>
      </w:r>
      <w:r w:rsidRPr="00702882">
        <w:rPr>
          <w:rFonts w:eastAsiaTheme="minorEastAsia"/>
        </w:rPr>
        <w:t xml:space="preserve">: </w:t>
      </w:r>
      <w:r w:rsidRPr="00702882">
        <w:t>A substitution effect implies that a</w:t>
      </w:r>
      <w:r w:rsidRPr="00702882">
        <w:rPr>
          <w:rFonts w:eastAsiaTheme="minorEastAsia"/>
        </w:rPr>
        <w:t xml:space="preserve"> rise</w:t>
      </w:r>
      <w:r w:rsidRPr="00702882">
        <w:t xml:space="preserve"> in the BSF leads to a </w:t>
      </w:r>
      <w:r w:rsidRPr="00702882">
        <w:rPr>
          <w:rFonts w:eastAsiaTheme="minorEastAsia"/>
        </w:rPr>
        <w:t>reduction</w:t>
      </w:r>
      <w:r w:rsidRPr="00702882">
        <w:t xml:space="preserve"> in the GFB</w:t>
      </w:r>
      <w:r w:rsidR="00AF6702" w:rsidRPr="00702882">
        <w:t xml:space="preserve"> (Hou &amp; Brewer, 2010).</w:t>
      </w:r>
      <w:r w:rsidR="00AF6702" w:rsidRPr="00702882">
        <w:rPr>
          <w:rStyle w:val="a5"/>
        </w:rPr>
        <w:footnoteReference w:id="43"/>
      </w:r>
      <w:r w:rsidR="00AF6702" w:rsidRPr="00702882">
        <w:t xml:space="preserve"> In theory, the similarity between the rules governing BSF and GFB determines the substitutability between BSF and GFB </w:t>
      </w:r>
      <w:sdt>
        <w:sdtPr>
          <w:rPr>
            <w:color w:val="000000"/>
          </w:rPr>
          <w:tag w:val="MENDELEY_CITATION_v3_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"/>
          <w:id w:val="1100918830"/>
          <w:placeholder>
            <w:docPart w:val="196CDC81312A4C1DBA2F9870545EA919"/>
          </w:placeholder>
        </w:sdtPr>
        <w:sdtContent>
          <w:r w:rsidR="00F520AD" w:rsidRPr="00F520AD">
            <w:rPr>
              <w:color w:val="000000"/>
            </w:rPr>
            <w:t>(Wagner, 2003)</w:t>
          </w:r>
        </w:sdtContent>
      </w:sdt>
      <w:r w:rsidR="00AF6702" w:rsidRPr="00702882">
        <w:t xml:space="preserve">. In contrast, a </w:t>
      </w:r>
      <w:r w:rsidR="00AF6702" w:rsidRPr="00702882">
        <w:rPr>
          <w:i/>
          <w:iCs/>
        </w:rPr>
        <w:t>supplementation effect</w:t>
      </w:r>
      <w:r w:rsidR="00AF6702" w:rsidRPr="00702882">
        <w:t xml:space="preserve"> expects that the BSF boosts the overall level of total savings as the legal restrictions of BSFs allow states to avoid spending pressures </w:t>
      </w:r>
      <w:sdt>
        <w:sdtPr>
          <w:tag w:val="MENDELEY_CITATION_v3_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"/>
          <w:id w:val="659811296"/>
          <w:placeholder>
            <w:docPart w:val="196CDC81312A4C1DBA2F9870545EA919"/>
          </w:placeholder>
        </w:sdtPr>
        <w:sdtContent>
          <w:r w:rsidR="00F520AD">
            <w:t>(Hou &amp; Brewer, 2010; Knight &amp; Levinson, 1999)</w:t>
          </w:r>
        </w:sdtContent>
      </w:sdt>
      <w:r w:rsidR="00AF6702" w:rsidRPr="00702882">
        <w:t xml:space="preserve">. </w:t>
      </w:r>
    </w:p>
    <w:p w14:paraId="2981CB89" w14:textId="7A655E52" w:rsidR="00AF6702" w:rsidRPr="00702882" w:rsidRDefault="00AF6702" w:rsidP="00C66AC4">
      <w:pPr>
        <w:spacing w:line="480" w:lineRule="auto"/>
        <w:ind w:firstLine="720"/>
        <w:rPr>
          <w:rFonts w:eastAsiaTheme="minorEastAsia"/>
        </w:rPr>
      </w:pPr>
      <w:r w:rsidRPr="00702882">
        <w:rPr>
          <w:rFonts w:eastAsiaTheme="minorEastAsia"/>
        </w:rPr>
        <w:t>Drawing inspiration from</w:t>
      </w:r>
      <w:r w:rsidRPr="00702882">
        <w:t xml:space="preserve"> the literature on substitution and supplementation effects between BSF and GFB, the study </w:t>
      </w:r>
      <w:r w:rsidRPr="00702882">
        <w:rPr>
          <w:rFonts w:eastAsiaTheme="minorEastAsia"/>
        </w:rPr>
        <w:t>investigates</w:t>
      </w:r>
      <w:r w:rsidRPr="00702882">
        <w:t xml:space="preserve"> the relationship between two dependent variables, BSF levels and GFB levels. In the first hypothesis, the independent variables include BSF rule characteristics and GFB levels, with BSF balance levels as the dependent variable. In the second hypothesis, both BSF structures and levels serve as independent variables, while GFB levels are the dependent variable. </w:t>
      </w:r>
    </w:p>
    <w:p w14:paraId="736A07BB" w14:textId="047CE2CD" w:rsidR="00AF6702" w:rsidRPr="00702882" w:rsidRDefault="00AF6702" w:rsidP="00C66AC4">
      <w:pPr>
        <w:spacing w:line="480" w:lineRule="auto"/>
        <w:ind w:firstLine="720"/>
        <w:rPr>
          <w:color w:val="7030A0"/>
        </w:rPr>
      </w:pPr>
      <w:r w:rsidRPr="00702882">
        <w:rPr>
          <w:rFonts w:eastAsiaTheme="minorEastAsia"/>
        </w:rPr>
        <w:t>Political factors, including gubernatorial election years, political partisanship, and divided government, play a pivotal role in shaping state government spending behavior</w:t>
      </w:r>
      <w:r w:rsidR="00004054" w:rsidRPr="00702882">
        <w:rPr>
          <w:rFonts w:eastAsiaTheme="minorEastAsia"/>
        </w:rPr>
        <w:t xml:space="preserve"> </w:t>
      </w:r>
      <w:sdt>
        <w:sdtPr>
          <w:rPr>
            <w:rFonts w:eastAsiaTheme="minorEastAsia"/>
          </w:rPr>
          <w:tag w:val="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"/>
          <w:id w:val="-191149127"/>
          <w:placeholder>
            <w:docPart w:val="DefaultPlaceholder_-1854013440"/>
          </w:placeholder>
        </w:sdtPr>
        <w:sdtContent>
          <w:r w:rsidR="00F520AD">
            <w:t>(Alt &amp; Lowry, 1994, 2000; Hou, 2003; Poterba, 1994)</w:t>
          </w:r>
        </w:sdtContent>
      </w:sdt>
      <w:r w:rsidRPr="00702882">
        <w:rPr>
          <w:rFonts w:eastAsiaTheme="minorEastAsia"/>
        </w:rPr>
        <w:t xml:space="preserve">. Gubernatorial election years, discussed in </w:t>
      </w:r>
      <w:r w:rsidRPr="00702882">
        <w:rPr>
          <w:rFonts w:eastAsiaTheme="minorEastAsia"/>
        </w:rPr>
        <w:lastRenderedPageBreak/>
        <w:t xml:space="preserve">the context of the Political Budget Cycle (PBC), witness a significant influence on fiscal policy, with politicians often increasing spending while avoiding tax hikes, a phenomenon known as a "political business cycle" </w:t>
      </w:r>
      <w:sdt>
        <w:sdtPr>
          <w:rPr>
            <w:color w:val="000000"/>
          </w:rPr>
          <w:tag w:val="MENDELEY_CITATION_v3_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"/>
          <w:id w:val="1978803560"/>
          <w:placeholder>
            <w:docPart w:val="03515CA166CF4C12920A48BD7074701B"/>
          </w:placeholder>
        </w:sdtPr>
        <w:sdtContent>
          <w:r w:rsidR="00F520AD" w:rsidRPr="00F520AD">
            <w:rPr>
              <w:color w:val="000000"/>
            </w:rPr>
            <w:t>(Lucas, 1976; Rogoff, 1990; Rose, 2008)</w:t>
          </w:r>
        </w:sdtContent>
      </w:sdt>
      <w:r w:rsidRPr="00702882">
        <w:t>.</w:t>
      </w:r>
      <w:r w:rsidRPr="00702882">
        <w:rPr>
          <w:rFonts w:eastAsiaTheme="minorEastAsia"/>
        </w:rPr>
        <w:t xml:space="preserve"> </w:t>
      </w:r>
      <w:r w:rsidRPr="00702882">
        <w:t xml:space="preserve">This strategic manipulation of fiscal measures during election periods, as previously examined in the context of the PBC, reflects policymakers' efforts to enhance their electoral prospects by fostering favorable economic conditions for the electorate. </w:t>
      </w:r>
    </w:p>
    <w:p w14:paraId="45B77D48" w14:textId="657CD50D" w:rsidR="00AF6702" w:rsidRPr="00702882" w:rsidRDefault="00AF6702" w:rsidP="00C66AC4">
      <w:pPr>
        <w:spacing w:line="480" w:lineRule="auto"/>
        <w:ind w:firstLine="720"/>
        <w:rPr>
          <w:rFonts w:eastAsiaTheme="minorEastAsia"/>
        </w:rPr>
      </w:pPr>
      <w:r w:rsidRPr="00702882">
        <w:rPr>
          <w:rFonts w:eastAsiaTheme="minorEastAsia"/>
        </w:rPr>
        <w:t xml:space="preserve">Political partisanship constitutes another crucial factor impacting public spending. </w:t>
      </w:r>
      <w:sdt>
        <w:sdtPr>
          <w:rPr>
            <w:rFonts w:eastAsiaTheme="minorEastAsia"/>
            <w:color w:val="000000"/>
          </w:rPr>
          <w:tag w:val="MENDELEY_CITATION_v3_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"/>
          <w:id w:val="-1917701060"/>
          <w:placeholder>
            <w:docPart w:val="A8204E284AB740B88D3300B652FFDEDA"/>
          </w:placeholder>
        </w:sdtPr>
        <w:sdtContent>
          <w:r w:rsidR="00F520AD" w:rsidRPr="00F520AD">
            <w:rPr>
              <w:color w:val="000000"/>
            </w:rPr>
            <w:t>Clark and Ferguson (1983)</w:t>
          </w:r>
        </w:sdtContent>
      </w:sdt>
      <w:r w:rsidRPr="00702882">
        <w:rPr>
          <w:rFonts w:eastAsiaTheme="minorEastAsia"/>
        </w:rPr>
        <w:t xml:space="preserve"> argue that a</w:t>
      </w:r>
      <w:r w:rsidR="00DD727E" w:rsidRPr="00702882">
        <w:t xml:space="preserve"> </w:t>
      </w:r>
      <w:r w:rsidR="00DD727E" w:rsidRPr="00702882">
        <w:rPr>
          <w:rFonts w:eastAsiaTheme="minorEastAsia"/>
        </w:rPr>
        <w:t>Democrat-leaning political culture tends to advocate for expanded government, whereas a Republican culture typically favors fiscal conservatism</w:t>
      </w:r>
      <w:r w:rsidRPr="00702882">
        <w:rPr>
          <w:rFonts w:eastAsiaTheme="minorEastAsia"/>
        </w:rPr>
        <w:t xml:space="preserve">. Alt and Lowry (1994) note that Democrats target a higher share of personal income for state spending compared to Republicans. </w:t>
      </w:r>
      <w:sdt>
        <w:sdtPr>
          <w:rPr>
            <w:rFonts w:eastAsiaTheme="minorEastAsia"/>
            <w:color w:val="000000"/>
          </w:rPr>
          <w:tag w:val="MENDELEY_CITATION_v3_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"/>
          <w:id w:val="934413110"/>
          <w:placeholder>
            <w:docPart w:val="A8204E284AB740B88D3300B652FFDEDA"/>
          </w:placeholder>
        </w:sdtPr>
        <w:sdtContent>
          <w:r w:rsidR="00F520AD" w:rsidRPr="00F520AD">
            <w:rPr>
              <w:color w:val="000000"/>
            </w:rPr>
            <w:t>Brown (1995)</w:t>
          </w:r>
        </w:sdtContent>
      </w:sdt>
      <w:r w:rsidRPr="00702882">
        <w:rPr>
          <w:rFonts w:eastAsiaTheme="minorEastAsia"/>
        </w:rPr>
        <w:t xml:space="preserve"> finds that</w:t>
      </w:r>
      <w:r w:rsidR="00DD727E" w:rsidRPr="00702882">
        <w:t xml:space="preserve"> </w:t>
      </w:r>
      <w:r w:rsidR="00DD727E" w:rsidRPr="00702882">
        <w:rPr>
          <w:rFonts w:eastAsiaTheme="minorEastAsia"/>
        </w:rPr>
        <w:t>Democratic Party control typically leads to the implementation of more liberal policies and increased welfare efforts</w:t>
      </w:r>
      <w:r w:rsidRPr="00702882">
        <w:rPr>
          <w:rFonts w:eastAsiaTheme="minorEastAsia"/>
        </w:rPr>
        <w:t xml:space="preserve">, but </w:t>
      </w:r>
      <w:sdt>
        <w:sdtPr>
          <w:rPr>
            <w:rFonts w:eastAsiaTheme="minorEastAsia"/>
            <w:color w:val="000000"/>
          </w:rPr>
          <w:tag w:val="MENDELEY_CITATION_v3_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"/>
          <w:id w:val="1374416633"/>
          <w:placeholder>
            <w:docPart w:val="A8204E284AB740B88D3300B652FFDEDA"/>
          </w:placeholder>
        </w:sdtPr>
        <w:sdtContent>
          <w:r w:rsidR="00F520AD" w:rsidRPr="00F520AD">
            <w:rPr>
              <w:rFonts w:eastAsiaTheme="minorEastAsia"/>
              <w:color w:val="000000"/>
            </w:rPr>
            <w:t>Barrilleaux et al. (2002)</w:t>
          </w:r>
        </w:sdtContent>
      </w:sdt>
      <w:r w:rsidRPr="00702882">
        <w:rPr>
          <w:rFonts w:eastAsiaTheme="minorEastAsia"/>
        </w:rPr>
        <w:t xml:space="preserve"> suggest that </w:t>
      </w:r>
      <w:r w:rsidR="00DD727E" w:rsidRPr="00702882">
        <w:rPr>
          <w:rFonts w:eastAsiaTheme="minorEastAsia"/>
        </w:rPr>
        <w:t>the influence of party affiliation on state welfare expenditures is contingent upon the competitiveness of the electoral environment.</w:t>
      </w:r>
    </w:p>
    <w:p w14:paraId="2B4DFFCF" w14:textId="1C58DE85" w:rsidR="00AF6702" w:rsidRPr="00702882" w:rsidRDefault="00AF6702" w:rsidP="00C66AC4">
      <w:pPr>
        <w:spacing w:line="480" w:lineRule="auto"/>
        <w:ind w:firstLine="720"/>
        <w:rPr>
          <w:rFonts w:eastAsiaTheme="minorEastAsia"/>
        </w:rPr>
      </w:pPr>
      <w:r w:rsidRPr="00702882">
        <w:rPr>
          <w:rFonts w:eastAsiaTheme="minorEastAsia"/>
        </w:rPr>
        <w:t xml:space="preserve">Differing party affiliations between the governor and the state legislature majority impact gridlock on public expenditures </w:t>
      </w:r>
      <w:sdt>
        <w:sdtPr>
          <w:rPr>
            <w:color w:val="000000"/>
          </w:rPr>
          <w:tag w:val="MENDELEY_CITATION_v3_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"/>
          <w:id w:val="-833986818"/>
          <w:placeholder>
            <w:docPart w:val="6DE7F0DA849B4910BD0BC72EF71C5A02"/>
          </w:placeholder>
        </w:sdtPr>
        <w:sdtContent>
          <w:r w:rsidR="00F520AD" w:rsidRPr="00F520AD">
            <w:rPr>
              <w:color w:val="000000"/>
            </w:rPr>
            <w:t>(Niskanen, 2003)</w:t>
          </w:r>
        </w:sdtContent>
      </w:sdt>
      <w:r w:rsidRPr="00702882">
        <w:rPr>
          <w:rFonts w:eastAsiaTheme="minorEastAsia"/>
        </w:rPr>
        <w:t xml:space="preserve">. Political friction can impede executive proposals, and governors may veto spending bills for local projects (Hou, 2003). The absence of such division may enable increased spending or compromises </w:t>
      </w:r>
      <w:sdt>
        <w:sdtPr>
          <w:rPr>
            <w:color w:val="000000"/>
          </w:rPr>
          <w:tag w:val="MENDELEY_CITATION_v3_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"/>
          <w:id w:val="-2083671617"/>
          <w:placeholder>
            <w:docPart w:val="51431344393D421A9D1373A51A44243C"/>
          </w:placeholder>
        </w:sdtPr>
        <w:sdtContent>
          <w:r w:rsidR="00F520AD" w:rsidRPr="00F520AD">
            <w:rPr>
              <w:color w:val="000000"/>
            </w:rPr>
            <w:t>(Gorina et al., 2019)</w:t>
          </w:r>
        </w:sdtContent>
      </w:sdt>
      <w:r w:rsidRPr="00702882">
        <w:rPr>
          <w:rFonts w:eastAsiaTheme="minorEastAsia"/>
        </w:rPr>
        <w:t xml:space="preserve">. However, gridlock, hindering prompt responses to fiscal stress, tends to result in reduced spending and increased savings. Empirical evidence is mixed; </w:t>
      </w:r>
      <w:r w:rsidR="00956005" w:rsidRPr="00702882">
        <w:rPr>
          <w:rFonts w:eastAsiaTheme="minorEastAsia"/>
        </w:rPr>
        <w:t>Hou (2004) identifies heightened BSF balance levels associated with party division, while</w:t>
      </w:r>
      <w:r w:rsidR="001D7AD8">
        <w:rPr>
          <w:rFonts w:eastAsiaTheme="minorEastAsia" w:hint="eastAsia"/>
        </w:rPr>
        <w:t xml:space="preserve"> Gould (2009) </w:t>
      </w:r>
      <w:r w:rsidR="00956005" w:rsidRPr="00702882">
        <w:rPr>
          <w:rFonts w:eastAsiaTheme="minorEastAsia"/>
        </w:rPr>
        <w:t>observes a rise in per capita expenditures linked to political division within government.</w:t>
      </w:r>
    </w:p>
    <w:p w14:paraId="6A5B7B11" w14:textId="58541C4E" w:rsidR="00AF6702" w:rsidRPr="00702882" w:rsidRDefault="00AF6702" w:rsidP="00C66AC4">
      <w:pPr>
        <w:spacing w:line="480" w:lineRule="auto"/>
        <w:ind w:firstLine="720"/>
        <w:rPr>
          <w:rFonts w:eastAsiaTheme="minorEastAsia"/>
        </w:rPr>
      </w:pPr>
      <w:r w:rsidRPr="00702882">
        <w:rPr>
          <w:rFonts w:eastAsiaTheme="minorEastAsia"/>
        </w:rPr>
        <w:t xml:space="preserve">Fiscal institutions, exemplified by Tax and Expenditure Limits (TEL) and Budget Balancing Requirements (BBR), are integral components included in the framework. This </w:t>
      </w:r>
      <w:r w:rsidRPr="00702882">
        <w:rPr>
          <w:rFonts w:eastAsiaTheme="minorEastAsia"/>
        </w:rPr>
        <w:lastRenderedPageBreak/>
        <w:t>institutional approach explores the impact of specific fiscal constraints on fiscal reserves. TEL imposes restrictions on revenue and spending growth, while BBR dictate</w:t>
      </w:r>
      <w:r w:rsidR="00F7221A">
        <w:rPr>
          <w:rFonts w:eastAsiaTheme="minorEastAsia" w:hint="eastAsia"/>
        </w:rPr>
        <w:t>s</w:t>
      </w:r>
      <w:r w:rsidRPr="00702882">
        <w:rPr>
          <w:rFonts w:eastAsiaTheme="minorEastAsia"/>
        </w:rPr>
        <w:t xml:space="preserve"> the need for a balanced budget. The analysis aims to unravel how these fiscal institutions shape the budgetary decisions made by policymakers. </w:t>
      </w:r>
    </w:p>
    <w:p w14:paraId="528D3755" w14:textId="36B29A4B" w:rsidR="00AF6702" w:rsidRPr="00702882" w:rsidRDefault="00AF6702" w:rsidP="00C66AC4">
      <w:pPr>
        <w:spacing w:line="480" w:lineRule="auto"/>
        <w:ind w:firstLineChars="295" w:firstLine="708"/>
        <w:rPr>
          <w:rFonts w:eastAsiaTheme="minorEastAsia"/>
        </w:rPr>
      </w:pPr>
      <w:r w:rsidRPr="00702882">
        <w:rPr>
          <w:rFonts w:eastAsiaTheme="minorEastAsia"/>
        </w:rPr>
        <w:t>From an organizational perspective, perceiving fiscal reserves as adaptive “slack resources,” the study examines factors influencing economic and fiscal conditions to elucidate states' responses to fiscal stresses, where events like economic recessions or disasters can significantly affect a state's fiscal condition.</w:t>
      </w:r>
      <w:r w:rsidR="0003537B" w:rsidRPr="00702882">
        <w:t xml:space="preserve"> </w:t>
      </w:r>
      <w:r w:rsidR="0003537B" w:rsidRPr="00702882">
        <w:rPr>
          <w:rFonts w:eastAsiaTheme="minorEastAsia"/>
        </w:rPr>
        <w:t>State governments may interchangeably use fiscal reserves and debt, contingent upon fund balance levels or borrowing costs</w:t>
      </w:r>
      <w:r w:rsidR="006B54B0" w:rsidRPr="00702882">
        <w:rPr>
          <w:rFonts w:eastAsiaTheme="minorEastAsia"/>
        </w:rPr>
        <w:t xml:space="preserve">; they resort to debt financing when fiscal reserves are insufficient </w:t>
      </w:r>
      <w:sdt>
        <w:sdtPr>
          <w:rPr>
            <w:noProof/>
          </w:rPr>
          <w:tag w:val="MENDELEY_CITATION_v3_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"/>
          <w:id w:val="896480313"/>
          <w:placeholder>
            <w:docPart w:val="52A4459F07544A96B632AF91A59D162F"/>
          </w:placeholder>
        </w:sdtPr>
        <w:sdtContent>
          <w:r w:rsidR="00F520AD">
            <w:t>(Gore, 2009; Gorina et al., 2019; Su &amp; Hildreth, 2018)</w:t>
          </w:r>
        </w:sdtContent>
      </w:sdt>
      <w:r w:rsidRPr="00702882">
        <w:rPr>
          <w:noProof/>
        </w:rPr>
        <w:t>. Conversely, governments’ reliance on debt financing can affect BSF and GFB levels.</w:t>
      </w:r>
    </w:p>
    <w:p w14:paraId="0E9090E6" w14:textId="0CD17A64" w:rsidR="00AF6702" w:rsidRPr="00702882" w:rsidRDefault="00AF6702" w:rsidP="00C66AC4">
      <w:pPr>
        <w:spacing w:line="480" w:lineRule="auto"/>
        <w:ind w:firstLine="720"/>
        <w:rPr>
          <w:rFonts w:eastAsiaTheme="minorEastAsia"/>
        </w:rPr>
      </w:pPr>
      <w:r w:rsidRPr="00702882">
        <w:t xml:space="preserve">The literature on the “flypaper effect” of federal grants suggests that federal grants may affect the fiscal behaviors of states. </w:t>
      </w:r>
      <w:sdt>
        <w:sdtPr>
          <w:rPr>
            <w:color w:val="000000"/>
          </w:rPr>
          <w:tag w:val="MENDELEY_CITATION_v3_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"/>
          <w:id w:val="-1289045919"/>
          <w:placeholder>
            <w:docPart w:val="109E9CD4189246B288D0F3401377E30B"/>
          </w:placeholder>
        </w:sdtPr>
        <w:sdtContent>
          <w:r w:rsidR="00F520AD" w:rsidRPr="00F520AD">
            <w:rPr>
              <w:color w:val="000000"/>
            </w:rPr>
            <w:t>Gramlich (1977)</w:t>
          </w:r>
        </w:sdtContent>
      </w:sdt>
      <w:r w:rsidRPr="00702882">
        <w:t xml:space="preserve"> argues that states raise their taxes to offset the loss of federal grants. </w:t>
      </w:r>
      <w:sdt>
        <w:sdtPr>
          <w:rPr>
            <w:color w:val="000000"/>
          </w:rPr>
          <w:tag w:val="MENDELEY_CITATION_v3_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"/>
          <w:id w:val="-930586575"/>
          <w:placeholder>
            <w:docPart w:val="109E9CD4189246B288D0F3401377E30B"/>
          </w:placeholder>
        </w:sdtPr>
        <w:sdtContent>
          <w:r w:rsidR="00F520AD" w:rsidRPr="00F520AD">
            <w:rPr>
              <w:color w:val="000000"/>
            </w:rPr>
            <w:t>Martell and Smith (2004)</w:t>
          </w:r>
        </w:sdtContent>
      </w:sdt>
      <w:r w:rsidRPr="00702882">
        <w:t xml:space="preserve"> show that</w:t>
      </w:r>
      <w:r w:rsidR="00E22326" w:rsidRPr="00702882">
        <w:rPr>
          <w:rFonts w:eastAsiaTheme="minorEastAsia"/>
        </w:rPr>
        <w:t xml:space="preserve"> both matching and non-matching grants exhibit a positive and significant impact on full-faith and credit debt issuance, while demonstrating a negative association with non-guaranteed debt issuance</w:t>
      </w:r>
      <w:r w:rsidRPr="00702882">
        <w:t xml:space="preserve">. </w:t>
      </w:r>
      <w:sdt>
        <w:sdtPr>
          <w:rPr>
            <w:color w:val="000000"/>
          </w:rPr>
          <w:tag w:val="MENDELEY_CITATION_v3_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"/>
          <w:id w:val="-1777857015"/>
          <w:placeholder>
            <w:docPart w:val="109E9CD4189246B288D0F3401377E30B"/>
          </w:placeholder>
        </w:sdtPr>
        <w:sdtContent>
          <w:r w:rsidR="00F520AD" w:rsidRPr="00F520AD">
            <w:rPr>
              <w:color w:val="000000"/>
            </w:rPr>
            <w:t>Inman (2011)</w:t>
          </w:r>
        </w:sdtContent>
      </w:sdt>
      <w:r w:rsidRPr="00702882">
        <w:t xml:space="preserve"> finds that matching aid has a “price effect,” expanding government expenditures.</w:t>
      </w:r>
    </w:p>
    <w:p w14:paraId="5B1372F0" w14:textId="77777777" w:rsidR="00AF6702" w:rsidRPr="00702882" w:rsidRDefault="00AF6702" w:rsidP="00C66AC4">
      <w:pPr>
        <w:spacing w:line="480" w:lineRule="auto"/>
        <w:ind w:firstLine="720"/>
      </w:pPr>
      <w:r w:rsidRPr="00702882">
        <w:t xml:space="preserve">In alignment with the existing literature on demand-side models of public choice, it becomes imperative to consider public demands or policy preferences. This is essential as these factors have the potential to influence the formulation of fiscal policy and impact the financial management practices adopted by governments. In other words, by considering </w:t>
      </w:r>
      <w:r w:rsidRPr="00702882">
        <w:lastRenderedPageBreak/>
        <w:t>public demands and policy preferences, researchers aim to account for external influences on governmental fiscal decisions and financial strategies.</w:t>
      </w:r>
    </w:p>
    <w:p w14:paraId="142D418C" w14:textId="77777777" w:rsidR="00AF6702" w:rsidRPr="00702882" w:rsidRDefault="00AF6702" w:rsidP="00C66AC4">
      <w:pPr>
        <w:spacing w:line="480" w:lineRule="auto"/>
        <w:ind w:firstLineChars="295" w:firstLine="708"/>
        <w:rPr>
          <w:rFonts w:eastAsiaTheme="minorEastAsia"/>
        </w:rPr>
      </w:pPr>
      <w:r w:rsidRPr="00702882">
        <w:rPr>
          <w:rFonts w:eastAsiaTheme="minorEastAsia"/>
        </w:rPr>
        <w:t>The conceptual framework highlights existing debates and empirical findings, providing a foundation for understanding the complexities surrounding BSF and GFB. The synthesis of these theoretical perspectives forms the basis for analyzing the intricate relationships between political, socioeconomic, fiscal, and institutional factors. This synthesis enriches our understanding of the dynamics between BSFs and GFB, fostering a comprehensive perspective on these fiscal mechanisms.</w:t>
      </w:r>
    </w:p>
    <w:p w14:paraId="273861F7" w14:textId="77777777" w:rsidR="00AF6702" w:rsidRPr="00702882" w:rsidRDefault="00AF6702" w:rsidP="00C66AC4">
      <w:pPr>
        <w:spacing w:line="480" w:lineRule="auto"/>
        <w:rPr>
          <w:rFonts w:eastAsiaTheme="minorEastAsia"/>
          <w:b/>
          <w:bCs/>
          <w:color w:val="7030A0"/>
        </w:rPr>
      </w:pPr>
    </w:p>
    <w:p w14:paraId="39130CDC" w14:textId="77777777" w:rsidR="00AF6702" w:rsidRPr="00702882" w:rsidRDefault="00AF6702" w:rsidP="00C66AC4">
      <w:pPr>
        <w:spacing w:line="480" w:lineRule="auto"/>
        <w:rPr>
          <w:rFonts w:eastAsiaTheme="minorEastAsia"/>
          <w:b/>
          <w:bCs/>
          <w:color w:val="7030A0"/>
        </w:rPr>
      </w:pPr>
    </w:p>
    <w:p w14:paraId="2AE11C61" w14:textId="77777777" w:rsidR="00AF6702" w:rsidRPr="00702882" w:rsidRDefault="00AF6702" w:rsidP="00C66AC4">
      <w:pPr>
        <w:spacing w:line="480" w:lineRule="auto"/>
        <w:rPr>
          <w:rFonts w:eastAsiaTheme="minorEastAsia"/>
          <w:b/>
          <w:bCs/>
          <w:color w:val="7030A0"/>
        </w:rPr>
      </w:pPr>
    </w:p>
    <w:p w14:paraId="190A8185" w14:textId="77777777" w:rsidR="00AF6702" w:rsidRPr="00702882" w:rsidRDefault="00AF6702" w:rsidP="00C66AC4">
      <w:pPr>
        <w:spacing w:line="480" w:lineRule="auto"/>
        <w:rPr>
          <w:rFonts w:eastAsiaTheme="minorEastAsia"/>
          <w:b/>
          <w:bCs/>
          <w:color w:val="7030A0"/>
        </w:rPr>
      </w:pPr>
    </w:p>
    <w:p w14:paraId="43177B58" w14:textId="77777777" w:rsidR="00AF6702" w:rsidRPr="00702882" w:rsidRDefault="00AF6702" w:rsidP="00C66AC4">
      <w:pPr>
        <w:spacing w:line="480" w:lineRule="auto"/>
        <w:rPr>
          <w:rFonts w:eastAsiaTheme="minorEastAsia"/>
          <w:b/>
          <w:bCs/>
          <w:color w:val="7030A0"/>
        </w:rPr>
      </w:pPr>
    </w:p>
    <w:p w14:paraId="76E3C95D" w14:textId="77777777" w:rsidR="00AF6702" w:rsidRPr="00702882" w:rsidRDefault="00AF6702" w:rsidP="00C66AC4">
      <w:pPr>
        <w:spacing w:line="480" w:lineRule="auto"/>
        <w:rPr>
          <w:rFonts w:eastAsiaTheme="minorEastAsia"/>
          <w:b/>
          <w:bCs/>
          <w:color w:val="7030A0"/>
        </w:rPr>
      </w:pPr>
    </w:p>
    <w:p w14:paraId="1BB0F24B" w14:textId="77777777" w:rsidR="00AF6702" w:rsidRPr="00702882" w:rsidRDefault="00AF6702" w:rsidP="00C66AC4">
      <w:pPr>
        <w:spacing w:line="480" w:lineRule="auto"/>
        <w:rPr>
          <w:rFonts w:eastAsiaTheme="minorEastAsia"/>
          <w:b/>
          <w:bCs/>
          <w:color w:val="7030A0"/>
        </w:rPr>
      </w:pPr>
    </w:p>
    <w:p w14:paraId="6E4BE44F" w14:textId="77777777" w:rsidR="00AF6702" w:rsidRPr="00702882" w:rsidRDefault="00AF6702" w:rsidP="00C66AC4">
      <w:pPr>
        <w:spacing w:line="480" w:lineRule="auto"/>
        <w:rPr>
          <w:rFonts w:eastAsiaTheme="minorEastAsia"/>
          <w:b/>
          <w:bCs/>
          <w:color w:val="7030A0"/>
        </w:rPr>
      </w:pPr>
    </w:p>
    <w:p w14:paraId="7F7D9E4F" w14:textId="77777777" w:rsidR="00AF6702" w:rsidRPr="00702882" w:rsidRDefault="00AF6702" w:rsidP="00C66AC4">
      <w:pPr>
        <w:spacing w:line="480" w:lineRule="auto"/>
        <w:rPr>
          <w:rFonts w:eastAsiaTheme="minorEastAsia"/>
          <w:b/>
          <w:bCs/>
          <w:color w:val="7030A0"/>
        </w:rPr>
      </w:pPr>
    </w:p>
    <w:p w14:paraId="5A8931D7" w14:textId="77777777" w:rsidR="00E64BCB" w:rsidRPr="00702882" w:rsidRDefault="00E64BCB" w:rsidP="00C66AC4">
      <w:pPr>
        <w:spacing w:line="480" w:lineRule="auto"/>
        <w:rPr>
          <w:rFonts w:eastAsiaTheme="minorEastAsia"/>
          <w:b/>
          <w:bCs/>
          <w:color w:val="7030A0"/>
        </w:rPr>
      </w:pPr>
    </w:p>
    <w:p w14:paraId="013245BA" w14:textId="77777777" w:rsidR="000B461C" w:rsidRPr="00702882" w:rsidRDefault="000B461C" w:rsidP="00C66AC4">
      <w:pPr>
        <w:spacing w:line="480" w:lineRule="auto"/>
        <w:rPr>
          <w:rFonts w:eastAsiaTheme="minorEastAsia"/>
          <w:b/>
          <w:bCs/>
          <w:color w:val="7030A0"/>
        </w:rPr>
      </w:pPr>
    </w:p>
    <w:p w14:paraId="0971363B" w14:textId="77777777" w:rsidR="000B461C" w:rsidRPr="00702882" w:rsidRDefault="000B461C" w:rsidP="00C66AC4">
      <w:pPr>
        <w:spacing w:line="480" w:lineRule="auto"/>
        <w:rPr>
          <w:rFonts w:eastAsiaTheme="minorEastAsia"/>
          <w:b/>
          <w:bCs/>
          <w:color w:val="7030A0"/>
        </w:rPr>
      </w:pPr>
    </w:p>
    <w:p w14:paraId="6E5B5095" w14:textId="77777777" w:rsidR="000B461C" w:rsidRPr="00702882" w:rsidRDefault="000B461C" w:rsidP="00C66AC4">
      <w:pPr>
        <w:spacing w:line="480" w:lineRule="auto"/>
        <w:rPr>
          <w:rFonts w:eastAsiaTheme="minorEastAsia"/>
          <w:b/>
          <w:bCs/>
          <w:color w:val="7030A0"/>
        </w:rPr>
      </w:pPr>
    </w:p>
    <w:p w14:paraId="728560F1" w14:textId="77777777" w:rsidR="000B461C" w:rsidRPr="00702882" w:rsidRDefault="000B461C" w:rsidP="00C66AC4">
      <w:pPr>
        <w:spacing w:line="480" w:lineRule="auto"/>
        <w:rPr>
          <w:rFonts w:eastAsiaTheme="minorEastAsia"/>
          <w:b/>
          <w:bCs/>
          <w:color w:val="7030A0"/>
        </w:rPr>
      </w:pPr>
    </w:p>
    <w:p w14:paraId="447DF9C3" w14:textId="77777777" w:rsidR="000B461C" w:rsidRPr="00702882" w:rsidRDefault="000B461C" w:rsidP="00C66AC4">
      <w:pPr>
        <w:spacing w:line="480" w:lineRule="auto"/>
        <w:rPr>
          <w:rFonts w:eastAsiaTheme="minorEastAsia"/>
          <w:b/>
          <w:bCs/>
          <w:color w:val="7030A0"/>
        </w:rPr>
      </w:pPr>
    </w:p>
    <w:p w14:paraId="445DC378" w14:textId="77777777" w:rsidR="000B461C" w:rsidRPr="00702882" w:rsidRDefault="000B461C" w:rsidP="00C66AC4">
      <w:pPr>
        <w:spacing w:line="480" w:lineRule="auto"/>
        <w:rPr>
          <w:rFonts w:eastAsiaTheme="minorEastAsia"/>
          <w:b/>
          <w:bCs/>
          <w:color w:val="7030A0"/>
        </w:rPr>
      </w:pPr>
    </w:p>
    <w:p w14:paraId="112F2E25" w14:textId="77777777" w:rsidR="00AF6702" w:rsidRPr="00702882" w:rsidRDefault="00AF6702" w:rsidP="00E64BCB">
      <w:pPr>
        <w:jc w:val="center"/>
        <w:rPr>
          <w:b/>
        </w:rPr>
      </w:pPr>
      <w:r w:rsidRPr="00702882">
        <w:rPr>
          <w:b/>
        </w:rPr>
        <w:lastRenderedPageBreak/>
        <w:t xml:space="preserve">Table 5. </w:t>
      </w:r>
      <w:bookmarkStart w:id="32" w:name="SummaryofHypotheses"/>
      <w:r w:rsidRPr="00702882">
        <w:rPr>
          <w:b/>
        </w:rPr>
        <w:t>Summary of Hypotheses</w:t>
      </w:r>
      <w:bookmarkEnd w:id="32"/>
    </w:p>
    <w:p w14:paraId="5A09F537" w14:textId="77777777" w:rsidR="00AF6702" w:rsidRPr="00702882" w:rsidRDefault="00AF6702" w:rsidP="00E64BCB">
      <w:pPr>
        <w:rPr>
          <w:b/>
        </w:rPr>
      </w:pPr>
    </w:p>
    <w:p w14:paraId="4B112C86" w14:textId="77777777" w:rsidR="00AF6702" w:rsidRPr="00702882" w:rsidRDefault="00AF6702" w:rsidP="00E64BCB">
      <w:pPr>
        <w:jc w:val="center"/>
        <w:rPr>
          <w:rFonts w:eastAsiaTheme="minorEastAsia"/>
        </w:rPr>
      </w:pPr>
      <w:r w:rsidRPr="00702882">
        <w:t>The Effects of BSF Structural Features on BSF Levels</w:t>
      </w:r>
    </w:p>
    <w:p w14:paraId="1C03ED13" w14:textId="77777777" w:rsidR="00E64BCB" w:rsidRPr="00702882" w:rsidRDefault="00E64BCB" w:rsidP="00E64BCB">
      <w:pPr>
        <w:jc w:val="center"/>
        <w:rPr>
          <w:rFonts w:eastAsiaTheme="minorEastAsia"/>
        </w:rPr>
      </w:pPr>
    </w:p>
    <w:tbl>
      <w:tblPr>
        <w:tblStyle w:val="a7"/>
        <w:tblW w:w="86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4536"/>
        <w:gridCol w:w="1843"/>
        <w:gridCol w:w="1701"/>
      </w:tblGrid>
      <w:tr w:rsidR="000B461C" w:rsidRPr="00702882" w14:paraId="4CC35230" w14:textId="77777777" w:rsidTr="00AE6820">
        <w:trPr>
          <w:jc w:val="center"/>
        </w:trPr>
        <w:tc>
          <w:tcPr>
            <w:tcW w:w="5103" w:type="dxa"/>
            <w:gridSpan w:val="2"/>
            <w:tcBorders>
              <w:top w:val="single" w:sz="8" w:space="0" w:color="auto"/>
              <w:bottom w:val="single" w:sz="8" w:space="0" w:color="auto"/>
            </w:tcBorders>
            <w:shd w:val="clear" w:color="auto" w:fill="auto"/>
            <w:vAlign w:val="center"/>
          </w:tcPr>
          <w:p w14:paraId="6CE5FFF2" w14:textId="77777777" w:rsidR="00AF6702" w:rsidRPr="00702882" w:rsidRDefault="00AF6702" w:rsidP="00F87A9A">
            <w:pPr>
              <w:jc w:val="center"/>
              <w:rPr>
                <w:b/>
                <w:i/>
                <w:iCs/>
                <w:sz w:val="22"/>
                <w:szCs w:val="22"/>
              </w:rPr>
            </w:pPr>
            <w:bookmarkStart w:id="33" w:name="_Hlk157157367"/>
            <w:r w:rsidRPr="00702882">
              <w:rPr>
                <w:bCs/>
                <w:i/>
                <w:iCs/>
                <w:sz w:val="22"/>
              </w:rPr>
              <w:t>Independent variables</w:t>
            </w:r>
          </w:p>
        </w:tc>
        <w:tc>
          <w:tcPr>
            <w:tcW w:w="1843" w:type="dxa"/>
            <w:tcBorders>
              <w:top w:val="single" w:sz="8" w:space="0" w:color="auto"/>
              <w:bottom w:val="single" w:sz="8" w:space="0" w:color="auto"/>
            </w:tcBorders>
            <w:shd w:val="clear" w:color="auto" w:fill="auto"/>
          </w:tcPr>
          <w:p w14:paraId="4E98DD00" w14:textId="77777777" w:rsidR="00AF6702" w:rsidRPr="00702882" w:rsidRDefault="00AF6702" w:rsidP="00F87A9A">
            <w:pPr>
              <w:rPr>
                <w:bCs/>
                <w:i/>
                <w:iCs/>
                <w:sz w:val="22"/>
                <w:szCs w:val="22"/>
              </w:rPr>
            </w:pPr>
            <w:r w:rsidRPr="00702882">
              <w:rPr>
                <w:bCs/>
                <w:i/>
                <w:iCs/>
                <w:sz w:val="22"/>
                <w:szCs w:val="22"/>
              </w:rPr>
              <w:t>Hypothesis</w:t>
            </w:r>
          </w:p>
        </w:tc>
        <w:tc>
          <w:tcPr>
            <w:tcW w:w="1701" w:type="dxa"/>
            <w:tcBorders>
              <w:top w:val="single" w:sz="8" w:space="0" w:color="auto"/>
              <w:bottom w:val="single" w:sz="8" w:space="0" w:color="auto"/>
            </w:tcBorders>
            <w:shd w:val="clear" w:color="auto" w:fill="auto"/>
          </w:tcPr>
          <w:p w14:paraId="59632D07" w14:textId="77777777" w:rsidR="00AF6702" w:rsidRPr="00702882" w:rsidRDefault="00AF6702" w:rsidP="00F87A9A">
            <w:pPr>
              <w:rPr>
                <w:bCs/>
                <w:i/>
                <w:iCs/>
                <w:sz w:val="22"/>
                <w:szCs w:val="22"/>
              </w:rPr>
            </w:pPr>
            <w:r w:rsidRPr="00702882">
              <w:rPr>
                <w:bCs/>
                <w:i/>
                <w:iCs/>
                <w:sz w:val="22"/>
                <w:szCs w:val="22"/>
              </w:rPr>
              <w:t>a. Recession</w:t>
            </w:r>
          </w:p>
        </w:tc>
      </w:tr>
      <w:tr w:rsidR="000B461C" w:rsidRPr="00702882" w14:paraId="43893466" w14:textId="77777777" w:rsidTr="00AE6820">
        <w:trPr>
          <w:jc w:val="center"/>
        </w:trPr>
        <w:tc>
          <w:tcPr>
            <w:tcW w:w="567" w:type="dxa"/>
            <w:tcBorders>
              <w:top w:val="single" w:sz="8" w:space="0" w:color="auto"/>
            </w:tcBorders>
          </w:tcPr>
          <w:p w14:paraId="7C34E3CF" w14:textId="77777777" w:rsidR="00AF6702" w:rsidRPr="00702882" w:rsidRDefault="00AF6702" w:rsidP="00F87A9A">
            <w:pPr>
              <w:rPr>
                <w:bCs/>
                <w:sz w:val="22"/>
                <w:szCs w:val="22"/>
              </w:rPr>
            </w:pPr>
            <w:r w:rsidRPr="00702882">
              <w:rPr>
                <w:bCs/>
                <w:sz w:val="22"/>
                <w:szCs w:val="22"/>
              </w:rPr>
              <w:t>H1</w:t>
            </w:r>
          </w:p>
        </w:tc>
        <w:tc>
          <w:tcPr>
            <w:tcW w:w="4536" w:type="dxa"/>
            <w:tcBorders>
              <w:top w:val="single" w:sz="8" w:space="0" w:color="auto"/>
            </w:tcBorders>
          </w:tcPr>
          <w:p w14:paraId="14147D61" w14:textId="77777777" w:rsidR="00AF6702" w:rsidRPr="00702882" w:rsidRDefault="00AF6702" w:rsidP="00F87A9A">
            <w:pPr>
              <w:rPr>
                <w:b/>
                <w:sz w:val="22"/>
              </w:rPr>
            </w:pPr>
            <w:r w:rsidRPr="00702882">
              <w:rPr>
                <w:b/>
                <w:sz w:val="22"/>
              </w:rPr>
              <w:t>High stringency of deposit requirements</w:t>
            </w:r>
          </w:p>
        </w:tc>
        <w:tc>
          <w:tcPr>
            <w:tcW w:w="1843" w:type="dxa"/>
            <w:tcBorders>
              <w:top w:val="single" w:sz="8" w:space="0" w:color="auto"/>
            </w:tcBorders>
          </w:tcPr>
          <w:p w14:paraId="711AAB68" w14:textId="77777777" w:rsidR="00AF6702" w:rsidRPr="00702882" w:rsidRDefault="00AF6702" w:rsidP="00F87A9A">
            <w:pPr>
              <w:rPr>
                <w:bCs/>
                <w:sz w:val="22"/>
                <w:szCs w:val="22"/>
              </w:rPr>
            </w:pPr>
            <w:r w:rsidRPr="00702882">
              <w:rPr>
                <w:bCs/>
                <w:sz w:val="22"/>
                <w:szCs w:val="22"/>
              </w:rPr>
              <w:t>Positive</w:t>
            </w:r>
          </w:p>
        </w:tc>
        <w:tc>
          <w:tcPr>
            <w:tcW w:w="1701" w:type="dxa"/>
            <w:tcBorders>
              <w:top w:val="single" w:sz="8" w:space="0" w:color="auto"/>
            </w:tcBorders>
          </w:tcPr>
          <w:p w14:paraId="272EA553" w14:textId="77777777" w:rsidR="00AF6702" w:rsidRPr="00702882" w:rsidRDefault="00AF6702" w:rsidP="00F87A9A">
            <w:pPr>
              <w:rPr>
                <w:bCs/>
                <w:sz w:val="22"/>
                <w:szCs w:val="22"/>
              </w:rPr>
            </w:pPr>
            <w:r w:rsidRPr="00702882">
              <w:rPr>
                <w:bCs/>
                <w:sz w:val="22"/>
                <w:szCs w:val="22"/>
              </w:rPr>
              <w:t xml:space="preserve">Less Positive </w:t>
            </w:r>
          </w:p>
        </w:tc>
      </w:tr>
      <w:tr w:rsidR="000B461C" w:rsidRPr="00702882" w14:paraId="61A992AE" w14:textId="77777777" w:rsidTr="00AE6820">
        <w:trPr>
          <w:jc w:val="center"/>
        </w:trPr>
        <w:tc>
          <w:tcPr>
            <w:tcW w:w="567" w:type="dxa"/>
          </w:tcPr>
          <w:p w14:paraId="01ABFF55" w14:textId="77777777" w:rsidR="00AF6702" w:rsidRPr="00702882" w:rsidRDefault="00AF6702" w:rsidP="00F87A9A">
            <w:pPr>
              <w:rPr>
                <w:bCs/>
                <w:sz w:val="22"/>
                <w:szCs w:val="22"/>
              </w:rPr>
            </w:pPr>
          </w:p>
        </w:tc>
        <w:tc>
          <w:tcPr>
            <w:tcW w:w="4536" w:type="dxa"/>
          </w:tcPr>
          <w:p w14:paraId="3E6EFDED" w14:textId="77777777" w:rsidR="00AF6702" w:rsidRPr="00702882" w:rsidRDefault="00AF6702" w:rsidP="00F87A9A">
            <w:pPr>
              <w:rPr>
                <w:bCs/>
                <w:sz w:val="22"/>
              </w:rPr>
            </w:pPr>
            <w:r w:rsidRPr="00702882">
              <w:rPr>
                <w:bCs/>
                <w:sz w:val="22"/>
              </w:rPr>
              <w:t>Source</w:t>
            </w:r>
          </w:p>
        </w:tc>
        <w:tc>
          <w:tcPr>
            <w:tcW w:w="1843" w:type="dxa"/>
          </w:tcPr>
          <w:p w14:paraId="431040B8" w14:textId="77777777" w:rsidR="00AF6702" w:rsidRPr="00702882" w:rsidRDefault="00AF6702" w:rsidP="00F87A9A">
            <w:pPr>
              <w:rPr>
                <w:bCs/>
                <w:sz w:val="22"/>
                <w:szCs w:val="22"/>
              </w:rPr>
            </w:pPr>
          </w:p>
        </w:tc>
        <w:tc>
          <w:tcPr>
            <w:tcW w:w="1701" w:type="dxa"/>
          </w:tcPr>
          <w:p w14:paraId="618FB898" w14:textId="77777777" w:rsidR="00AF6702" w:rsidRPr="00702882" w:rsidRDefault="00AF6702" w:rsidP="00F87A9A">
            <w:pPr>
              <w:rPr>
                <w:bCs/>
                <w:sz w:val="22"/>
                <w:szCs w:val="22"/>
              </w:rPr>
            </w:pPr>
          </w:p>
        </w:tc>
      </w:tr>
      <w:tr w:rsidR="000B461C" w:rsidRPr="00702882" w14:paraId="0BF76DE6" w14:textId="77777777" w:rsidTr="00AE6820">
        <w:trPr>
          <w:jc w:val="center"/>
        </w:trPr>
        <w:tc>
          <w:tcPr>
            <w:tcW w:w="567" w:type="dxa"/>
          </w:tcPr>
          <w:p w14:paraId="416D19E4" w14:textId="77777777" w:rsidR="00AF6702" w:rsidRPr="00702882" w:rsidRDefault="00AF6702" w:rsidP="00F87A9A">
            <w:pPr>
              <w:rPr>
                <w:bCs/>
                <w:sz w:val="22"/>
                <w:szCs w:val="22"/>
              </w:rPr>
            </w:pPr>
          </w:p>
        </w:tc>
        <w:tc>
          <w:tcPr>
            <w:tcW w:w="4536" w:type="dxa"/>
          </w:tcPr>
          <w:p w14:paraId="11872343" w14:textId="4D44EC4A" w:rsidR="00AF6702" w:rsidRPr="00702882" w:rsidRDefault="00AF6702" w:rsidP="00F87A9A">
            <w:pPr>
              <w:rPr>
                <w:rFonts w:eastAsiaTheme="minorEastAsia"/>
                <w:bCs/>
                <w:sz w:val="22"/>
              </w:rPr>
            </w:pPr>
            <w:r w:rsidRPr="00702882">
              <w:rPr>
                <w:rFonts w:eastAsiaTheme="minorEastAsia"/>
                <w:bCs/>
                <w:sz w:val="22"/>
              </w:rPr>
              <w:t xml:space="preserve">Cap </w:t>
            </w:r>
          </w:p>
        </w:tc>
        <w:tc>
          <w:tcPr>
            <w:tcW w:w="1843" w:type="dxa"/>
          </w:tcPr>
          <w:p w14:paraId="0860763E" w14:textId="77777777" w:rsidR="00AF6702" w:rsidRPr="00702882" w:rsidRDefault="00AF6702" w:rsidP="00F87A9A">
            <w:pPr>
              <w:rPr>
                <w:bCs/>
                <w:sz w:val="22"/>
                <w:szCs w:val="22"/>
              </w:rPr>
            </w:pPr>
          </w:p>
        </w:tc>
        <w:tc>
          <w:tcPr>
            <w:tcW w:w="1701" w:type="dxa"/>
          </w:tcPr>
          <w:p w14:paraId="77A4E523" w14:textId="77777777" w:rsidR="00AF6702" w:rsidRPr="00702882" w:rsidRDefault="00AF6702" w:rsidP="00F87A9A">
            <w:pPr>
              <w:rPr>
                <w:bCs/>
                <w:sz w:val="22"/>
                <w:szCs w:val="22"/>
              </w:rPr>
            </w:pPr>
          </w:p>
        </w:tc>
      </w:tr>
      <w:tr w:rsidR="000B461C" w:rsidRPr="00702882" w14:paraId="41901717" w14:textId="77777777" w:rsidTr="00AE6820">
        <w:trPr>
          <w:jc w:val="center"/>
        </w:trPr>
        <w:tc>
          <w:tcPr>
            <w:tcW w:w="567" w:type="dxa"/>
          </w:tcPr>
          <w:p w14:paraId="2E3FBF89" w14:textId="77777777" w:rsidR="00AF6702" w:rsidRPr="00702882" w:rsidRDefault="00AF6702" w:rsidP="00F87A9A">
            <w:pPr>
              <w:rPr>
                <w:bCs/>
                <w:sz w:val="22"/>
                <w:szCs w:val="22"/>
              </w:rPr>
            </w:pPr>
          </w:p>
        </w:tc>
        <w:tc>
          <w:tcPr>
            <w:tcW w:w="4536" w:type="dxa"/>
          </w:tcPr>
          <w:p w14:paraId="5EA3C056" w14:textId="155212CF" w:rsidR="00AF6702" w:rsidRPr="00702882" w:rsidRDefault="00AF6702" w:rsidP="00F87A9A">
            <w:pPr>
              <w:rPr>
                <w:rFonts w:eastAsiaTheme="minorEastAsia"/>
                <w:bCs/>
                <w:sz w:val="22"/>
              </w:rPr>
            </w:pPr>
            <w:r w:rsidRPr="00702882">
              <w:rPr>
                <w:rFonts w:eastAsiaTheme="minorEastAsia"/>
                <w:bCs/>
                <w:sz w:val="22"/>
              </w:rPr>
              <w:t>Deposit by revenue surplus</w:t>
            </w:r>
            <w:r w:rsidR="007F3DC1" w:rsidRPr="00702882">
              <w:rPr>
                <w:rFonts w:eastAsiaTheme="minorEastAsia"/>
                <w:bCs/>
                <w:sz w:val="22"/>
              </w:rPr>
              <w:t xml:space="preserve"> </w:t>
            </w:r>
          </w:p>
        </w:tc>
        <w:tc>
          <w:tcPr>
            <w:tcW w:w="1843" w:type="dxa"/>
          </w:tcPr>
          <w:p w14:paraId="4B168DB7" w14:textId="77777777" w:rsidR="00AF6702" w:rsidRPr="00702882" w:rsidRDefault="00AF6702" w:rsidP="00F87A9A">
            <w:pPr>
              <w:rPr>
                <w:bCs/>
                <w:sz w:val="22"/>
                <w:szCs w:val="22"/>
              </w:rPr>
            </w:pPr>
          </w:p>
        </w:tc>
        <w:tc>
          <w:tcPr>
            <w:tcW w:w="1701" w:type="dxa"/>
          </w:tcPr>
          <w:p w14:paraId="3B478397" w14:textId="77777777" w:rsidR="00AF6702" w:rsidRPr="00702882" w:rsidRDefault="00AF6702" w:rsidP="00F87A9A">
            <w:pPr>
              <w:rPr>
                <w:bCs/>
                <w:sz w:val="22"/>
                <w:szCs w:val="22"/>
              </w:rPr>
            </w:pPr>
          </w:p>
        </w:tc>
      </w:tr>
      <w:tr w:rsidR="000B461C" w:rsidRPr="00702882" w14:paraId="7279E00E" w14:textId="77777777" w:rsidTr="00AE6820">
        <w:trPr>
          <w:jc w:val="center"/>
        </w:trPr>
        <w:tc>
          <w:tcPr>
            <w:tcW w:w="567" w:type="dxa"/>
            <w:vAlign w:val="center"/>
          </w:tcPr>
          <w:p w14:paraId="4FD2A206" w14:textId="77777777" w:rsidR="00AF6702" w:rsidRPr="00702882" w:rsidRDefault="00AF6702" w:rsidP="00F87A9A">
            <w:pPr>
              <w:rPr>
                <w:b/>
                <w:sz w:val="22"/>
                <w:szCs w:val="22"/>
              </w:rPr>
            </w:pPr>
          </w:p>
        </w:tc>
        <w:tc>
          <w:tcPr>
            <w:tcW w:w="4536" w:type="dxa"/>
            <w:vAlign w:val="center"/>
          </w:tcPr>
          <w:p w14:paraId="5E9EA3C2" w14:textId="77777777" w:rsidR="00AF6702" w:rsidRPr="00702882" w:rsidRDefault="00AF6702" w:rsidP="00F87A9A">
            <w:pPr>
              <w:rPr>
                <w:b/>
                <w:sz w:val="22"/>
                <w:szCs w:val="22"/>
              </w:rPr>
            </w:pPr>
            <w:r w:rsidRPr="00702882">
              <w:rPr>
                <w:sz w:val="22"/>
              </w:rPr>
              <w:t>Deposit tied to volatility (formula)</w:t>
            </w:r>
          </w:p>
        </w:tc>
        <w:tc>
          <w:tcPr>
            <w:tcW w:w="1843" w:type="dxa"/>
            <w:vAlign w:val="center"/>
          </w:tcPr>
          <w:p w14:paraId="06FD32AE" w14:textId="77777777" w:rsidR="00AF6702" w:rsidRPr="00702882" w:rsidRDefault="00AF6702" w:rsidP="00F87A9A">
            <w:pPr>
              <w:rPr>
                <w:b/>
                <w:sz w:val="22"/>
                <w:szCs w:val="22"/>
              </w:rPr>
            </w:pPr>
          </w:p>
        </w:tc>
        <w:tc>
          <w:tcPr>
            <w:tcW w:w="1701" w:type="dxa"/>
            <w:vAlign w:val="center"/>
          </w:tcPr>
          <w:p w14:paraId="3A8DF196" w14:textId="77777777" w:rsidR="00AF6702" w:rsidRPr="00702882" w:rsidRDefault="00AF6702" w:rsidP="00F87A9A">
            <w:pPr>
              <w:rPr>
                <w:b/>
                <w:sz w:val="22"/>
                <w:szCs w:val="22"/>
              </w:rPr>
            </w:pPr>
          </w:p>
        </w:tc>
      </w:tr>
      <w:tr w:rsidR="000B461C" w:rsidRPr="00702882" w14:paraId="4AF3DB7D" w14:textId="77777777" w:rsidTr="00AE6820">
        <w:trPr>
          <w:jc w:val="center"/>
        </w:trPr>
        <w:tc>
          <w:tcPr>
            <w:tcW w:w="567" w:type="dxa"/>
            <w:vAlign w:val="center"/>
          </w:tcPr>
          <w:p w14:paraId="48956DC0" w14:textId="77777777" w:rsidR="00AF6702" w:rsidRPr="00702882" w:rsidRDefault="00AF6702" w:rsidP="00F87A9A">
            <w:pPr>
              <w:rPr>
                <w:sz w:val="22"/>
                <w:szCs w:val="22"/>
              </w:rPr>
            </w:pPr>
            <w:r w:rsidRPr="00702882">
              <w:rPr>
                <w:sz w:val="22"/>
              </w:rPr>
              <w:t>H2</w:t>
            </w:r>
          </w:p>
        </w:tc>
        <w:tc>
          <w:tcPr>
            <w:tcW w:w="4536" w:type="dxa"/>
            <w:vAlign w:val="center"/>
          </w:tcPr>
          <w:p w14:paraId="27A0318C" w14:textId="77777777" w:rsidR="00AF6702" w:rsidRPr="00702882" w:rsidRDefault="00AF6702" w:rsidP="00F87A9A">
            <w:pPr>
              <w:rPr>
                <w:b/>
                <w:sz w:val="22"/>
                <w:szCs w:val="22"/>
              </w:rPr>
            </w:pPr>
            <w:r w:rsidRPr="00702882">
              <w:rPr>
                <w:b/>
                <w:bCs/>
                <w:sz w:val="22"/>
              </w:rPr>
              <w:t xml:space="preserve">High stringency of withdrawal requirements </w:t>
            </w:r>
          </w:p>
        </w:tc>
        <w:tc>
          <w:tcPr>
            <w:tcW w:w="1843" w:type="dxa"/>
            <w:vAlign w:val="center"/>
          </w:tcPr>
          <w:p w14:paraId="479996AF" w14:textId="77777777" w:rsidR="00AF6702" w:rsidRPr="00702882" w:rsidRDefault="00AF6702" w:rsidP="00F87A9A">
            <w:pPr>
              <w:rPr>
                <w:bCs/>
                <w:sz w:val="22"/>
                <w:szCs w:val="22"/>
              </w:rPr>
            </w:pPr>
            <w:r w:rsidRPr="00702882">
              <w:rPr>
                <w:bCs/>
                <w:sz w:val="22"/>
                <w:szCs w:val="22"/>
              </w:rPr>
              <w:t>Positive</w:t>
            </w:r>
          </w:p>
        </w:tc>
        <w:tc>
          <w:tcPr>
            <w:tcW w:w="1701" w:type="dxa"/>
            <w:vAlign w:val="center"/>
          </w:tcPr>
          <w:p w14:paraId="6A3694B5" w14:textId="77777777" w:rsidR="00AF6702" w:rsidRPr="00702882" w:rsidRDefault="00AF6702" w:rsidP="00F87A9A">
            <w:pPr>
              <w:rPr>
                <w:bCs/>
                <w:sz w:val="22"/>
                <w:szCs w:val="22"/>
              </w:rPr>
            </w:pPr>
            <w:r w:rsidRPr="00702882">
              <w:rPr>
                <w:bCs/>
                <w:sz w:val="22"/>
                <w:szCs w:val="22"/>
              </w:rPr>
              <w:t>Negative</w:t>
            </w:r>
          </w:p>
        </w:tc>
      </w:tr>
      <w:tr w:rsidR="000B461C" w:rsidRPr="00702882" w14:paraId="0CF34244" w14:textId="77777777" w:rsidTr="00AE6820">
        <w:trPr>
          <w:jc w:val="center"/>
        </w:trPr>
        <w:tc>
          <w:tcPr>
            <w:tcW w:w="567" w:type="dxa"/>
            <w:vAlign w:val="center"/>
          </w:tcPr>
          <w:p w14:paraId="08382E4B" w14:textId="77777777" w:rsidR="00AF6702" w:rsidRPr="00702882" w:rsidRDefault="00AF6702" w:rsidP="00F87A9A">
            <w:pPr>
              <w:rPr>
                <w:b/>
                <w:sz w:val="22"/>
                <w:szCs w:val="22"/>
              </w:rPr>
            </w:pPr>
          </w:p>
        </w:tc>
        <w:tc>
          <w:tcPr>
            <w:tcW w:w="4536" w:type="dxa"/>
            <w:vAlign w:val="center"/>
          </w:tcPr>
          <w:p w14:paraId="6E54AB97" w14:textId="77777777" w:rsidR="00AF6702" w:rsidRPr="00702882" w:rsidRDefault="00AF6702" w:rsidP="00F87A9A">
            <w:pPr>
              <w:rPr>
                <w:b/>
                <w:sz w:val="22"/>
                <w:szCs w:val="22"/>
              </w:rPr>
            </w:pPr>
            <w:r w:rsidRPr="00702882">
              <w:rPr>
                <w:sz w:val="22"/>
              </w:rPr>
              <w:t xml:space="preserve">Withdrawal tied to volatility </w:t>
            </w:r>
          </w:p>
        </w:tc>
        <w:tc>
          <w:tcPr>
            <w:tcW w:w="1843" w:type="dxa"/>
            <w:vAlign w:val="center"/>
          </w:tcPr>
          <w:p w14:paraId="4147B079" w14:textId="77777777" w:rsidR="00AF6702" w:rsidRPr="00702882" w:rsidRDefault="00AF6702" w:rsidP="00F87A9A">
            <w:pPr>
              <w:rPr>
                <w:b/>
                <w:sz w:val="22"/>
                <w:szCs w:val="22"/>
              </w:rPr>
            </w:pPr>
          </w:p>
        </w:tc>
        <w:tc>
          <w:tcPr>
            <w:tcW w:w="1701" w:type="dxa"/>
            <w:vAlign w:val="center"/>
          </w:tcPr>
          <w:p w14:paraId="7649EC18" w14:textId="77777777" w:rsidR="00AF6702" w:rsidRPr="00702882" w:rsidRDefault="00AF6702" w:rsidP="00F87A9A">
            <w:pPr>
              <w:rPr>
                <w:b/>
                <w:sz w:val="22"/>
                <w:szCs w:val="22"/>
              </w:rPr>
            </w:pPr>
          </w:p>
        </w:tc>
      </w:tr>
      <w:tr w:rsidR="000B461C" w:rsidRPr="00702882" w14:paraId="2FBE524E" w14:textId="77777777" w:rsidTr="00AE6820">
        <w:trPr>
          <w:jc w:val="center"/>
        </w:trPr>
        <w:tc>
          <w:tcPr>
            <w:tcW w:w="567" w:type="dxa"/>
            <w:vAlign w:val="center"/>
          </w:tcPr>
          <w:p w14:paraId="6B41F3C2" w14:textId="77777777" w:rsidR="00AF6702" w:rsidRPr="00702882" w:rsidRDefault="00AF6702" w:rsidP="00F87A9A">
            <w:pPr>
              <w:rPr>
                <w:b/>
                <w:sz w:val="22"/>
                <w:szCs w:val="22"/>
              </w:rPr>
            </w:pPr>
          </w:p>
        </w:tc>
        <w:tc>
          <w:tcPr>
            <w:tcW w:w="4536" w:type="dxa"/>
            <w:vAlign w:val="center"/>
          </w:tcPr>
          <w:p w14:paraId="5C313723" w14:textId="77777777" w:rsidR="00AF6702" w:rsidRPr="00702882" w:rsidRDefault="00AF6702" w:rsidP="00F87A9A">
            <w:pPr>
              <w:rPr>
                <w:b/>
                <w:sz w:val="22"/>
                <w:szCs w:val="22"/>
              </w:rPr>
            </w:pPr>
            <w:r w:rsidRPr="00702882">
              <w:rPr>
                <w:sz w:val="22"/>
              </w:rPr>
              <w:t>Withdrawal by revenue shortfall</w:t>
            </w:r>
          </w:p>
        </w:tc>
        <w:tc>
          <w:tcPr>
            <w:tcW w:w="1843" w:type="dxa"/>
            <w:vAlign w:val="center"/>
          </w:tcPr>
          <w:p w14:paraId="671D15A6" w14:textId="77777777" w:rsidR="00AF6702" w:rsidRPr="00702882" w:rsidRDefault="00AF6702" w:rsidP="00F87A9A">
            <w:pPr>
              <w:rPr>
                <w:b/>
                <w:sz w:val="22"/>
                <w:szCs w:val="22"/>
              </w:rPr>
            </w:pPr>
          </w:p>
        </w:tc>
        <w:tc>
          <w:tcPr>
            <w:tcW w:w="1701" w:type="dxa"/>
            <w:vAlign w:val="center"/>
          </w:tcPr>
          <w:p w14:paraId="61D47CA3" w14:textId="77777777" w:rsidR="00AF6702" w:rsidRPr="00702882" w:rsidRDefault="00AF6702" w:rsidP="00F87A9A">
            <w:pPr>
              <w:rPr>
                <w:b/>
                <w:sz w:val="22"/>
                <w:szCs w:val="22"/>
              </w:rPr>
            </w:pPr>
          </w:p>
        </w:tc>
      </w:tr>
      <w:tr w:rsidR="000B461C" w:rsidRPr="00702882" w14:paraId="031283FB" w14:textId="77777777" w:rsidTr="00AE6820">
        <w:trPr>
          <w:jc w:val="center"/>
        </w:trPr>
        <w:tc>
          <w:tcPr>
            <w:tcW w:w="567" w:type="dxa"/>
            <w:vAlign w:val="center"/>
          </w:tcPr>
          <w:p w14:paraId="3368530D" w14:textId="77777777" w:rsidR="00AF6702" w:rsidRPr="00702882" w:rsidRDefault="00AF6702" w:rsidP="00F87A9A">
            <w:pPr>
              <w:rPr>
                <w:rFonts w:eastAsia="바탕"/>
                <w:bCs/>
                <w:sz w:val="22"/>
                <w:szCs w:val="22"/>
              </w:rPr>
            </w:pPr>
            <w:r w:rsidRPr="00702882">
              <w:rPr>
                <w:rFonts w:eastAsia="바탕"/>
                <w:bCs/>
                <w:sz w:val="22"/>
                <w:szCs w:val="22"/>
              </w:rPr>
              <w:t>H3</w:t>
            </w:r>
          </w:p>
        </w:tc>
        <w:tc>
          <w:tcPr>
            <w:tcW w:w="4536" w:type="dxa"/>
            <w:vAlign w:val="center"/>
          </w:tcPr>
          <w:p w14:paraId="4446F5F6" w14:textId="77777777" w:rsidR="00AF6702" w:rsidRPr="00702882" w:rsidRDefault="00AF6702" w:rsidP="00F87A9A">
            <w:pPr>
              <w:rPr>
                <w:b/>
                <w:sz w:val="22"/>
              </w:rPr>
            </w:pPr>
            <w:r w:rsidRPr="00702882">
              <w:rPr>
                <w:b/>
                <w:sz w:val="22"/>
              </w:rPr>
              <w:t>High stringency of withdrawal restrictions</w:t>
            </w:r>
          </w:p>
        </w:tc>
        <w:tc>
          <w:tcPr>
            <w:tcW w:w="1843" w:type="dxa"/>
            <w:vAlign w:val="center"/>
          </w:tcPr>
          <w:p w14:paraId="7156A8D8" w14:textId="77777777" w:rsidR="00AF6702" w:rsidRPr="00702882" w:rsidRDefault="00AF6702" w:rsidP="00F87A9A">
            <w:pPr>
              <w:rPr>
                <w:rFonts w:eastAsiaTheme="minorEastAsia"/>
                <w:bCs/>
                <w:sz w:val="22"/>
                <w:szCs w:val="22"/>
              </w:rPr>
            </w:pPr>
            <w:r w:rsidRPr="00702882">
              <w:rPr>
                <w:rFonts w:eastAsiaTheme="minorEastAsia"/>
                <w:bCs/>
                <w:sz w:val="22"/>
                <w:szCs w:val="22"/>
              </w:rPr>
              <w:t>Positive</w:t>
            </w:r>
          </w:p>
        </w:tc>
        <w:tc>
          <w:tcPr>
            <w:tcW w:w="1701" w:type="dxa"/>
            <w:vAlign w:val="center"/>
          </w:tcPr>
          <w:p w14:paraId="24985571" w14:textId="77777777" w:rsidR="00AF6702" w:rsidRPr="00702882" w:rsidRDefault="00AF6702" w:rsidP="00F87A9A">
            <w:pPr>
              <w:rPr>
                <w:rFonts w:eastAsiaTheme="minorEastAsia"/>
                <w:bCs/>
                <w:sz w:val="22"/>
                <w:szCs w:val="22"/>
              </w:rPr>
            </w:pPr>
            <w:r w:rsidRPr="00702882">
              <w:rPr>
                <w:rFonts w:eastAsiaTheme="minorEastAsia"/>
                <w:bCs/>
                <w:sz w:val="22"/>
                <w:szCs w:val="22"/>
              </w:rPr>
              <w:t>Positive</w:t>
            </w:r>
          </w:p>
        </w:tc>
      </w:tr>
      <w:tr w:rsidR="000B461C" w:rsidRPr="00702882" w14:paraId="6BAF6ADB" w14:textId="77777777" w:rsidTr="00AE6820">
        <w:trPr>
          <w:jc w:val="center"/>
        </w:trPr>
        <w:tc>
          <w:tcPr>
            <w:tcW w:w="567" w:type="dxa"/>
            <w:vAlign w:val="center"/>
          </w:tcPr>
          <w:p w14:paraId="785DE2F0" w14:textId="77777777" w:rsidR="00AF6702" w:rsidRPr="00702882" w:rsidRDefault="00AF6702" w:rsidP="00F87A9A">
            <w:pPr>
              <w:rPr>
                <w:rFonts w:eastAsia="바탕"/>
                <w:bCs/>
                <w:sz w:val="22"/>
                <w:szCs w:val="22"/>
              </w:rPr>
            </w:pPr>
          </w:p>
        </w:tc>
        <w:tc>
          <w:tcPr>
            <w:tcW w:w="4536" w:type="dxa"/>
            <w:vAlign w:val="center"/>
          </w:tcPr>
          <w:p w14:paraId="44D7F837" w14:textId="77777777" w:rsidR="00AF6702" w:rsidRPr="00702882" w:rsidRDefault="00AF6702" w:rsidP="00F87A9A">
            <w:pPr>
              <w:rPr>
                <w:bCs/>
                <w:sz w:val="22"/>
              </w:rPr>
            </w:pPr>
            <w:r w:rsidRPr="00702882">
              <w:rPr>
                <w:bCs/>
                <w:sz w:val="22"/>
              </w:rPr>
              <w:t>Withdrawal limit</w:t>
            </w:r>
          </w:p>
        </w:tc>
        <w:tc>
          <w:tcPr>
            <w:tcW w:w="1843" w:type="dxa"/>
            <w:vAlign w:val="center"/>
          </w:tcPr>
          <w:p w14:paraId="2C5A3D75" w14:textId="77777777" w:rsidR="00AF6702" w:rsidRPr="00702882" w:rsidRDefault="00AF6702" w:rsidP="00F87A9A">
            <w:pPr>
              <w:rPr>
                <w:bCs/>
                <w:sz w:val="22"/>
                <w:szCs w:val="22"/>
              </w:rPr>
            </w:pPr>
          </w:p>
        </w:tc>
        <w:tc>
          <w:tcPr>
            <w:tcW w:w="1701" w:type="dxa"/>
            <w:vAlign w:val="center"/>
          </w:tcPr>
          <w:p w14:paraId="1CF4856D" w14:textId="77777777" w:rsidR="00AF6702" w:rsidRPr="00702882" w:rsidRDefault="00AF6702" w:rsidP="00F87A9A">
            <w:pPr>
              <w:rPr>
                <w:bCs/>
                <w:sz w:val="22"/>
                <w:szCs w:val="22"/>
              </w:rPr>
            </w:pPr>
          </w:p>
        </w:tc>
      </w:tr>
      <w:tr w:rsidR="000B461C" w:rsidRPr="00702882" w14:paraId="40D5781E" w14:textId="77777777" w:rsidTr="00AE6820">
        <w:trPr>
          <w:jc w:val="center"/>
        </w:trPr>
        <w:tc>
          <w:tcPr>
            <w:tcW w:w="567" w:type="dxa"/>
            <w:vAlign w:val="center"/>
          </w:tcPr>
          <w:p w14:paraId="43A33F9B" w14:textId="77777777" w:rsidR="00AF6702" w:rsidRPr="00702882" w:rsidRDefault="00AF6702" w:rsidP="00F87A9A">
            <w:pPr>
              <w:rPr>
                <w:rFonts w:eastAsia="바탕"/>
                <w:bCs/>
                <w:sz w:val="22"/>
                <w:szCs w:val="22"/>
              </w:rPr>
            </w:pPr>
          </w:p>
        </w:tc>
        <w:tc>
          <w:tcPr>
            <w:tcW w:w="4536" w:type="dxa"/>
            <w:vAlign w:val="center"/>
          </w:tcPr>
          <w:p w14:paraId="68CBF473" w14:textId="5CF7E06C" w:rsidR="00AF6702" w:rsidRPr="00702882" w:rsidRDefault="00AF6702" w:rsidP="00F87A9A">
            <w:pPr>
              <w:rPr>
                <w:rFonts w:eastAsiaTheme="minorEastAsia"/>
                <w:bCs/>
                <w:sz w:val="22"/>
              </w:rPr>
            </w:pPr>
            <w:r w:rsidRPr="00702882">
              <w:rPr>
                <w:bCs/>
                <w:sz w:val="22"/>
                <w:szCs w:val="22"/>
              </w:rPr>
              <w:t xml:space="preserve">Repayment provision </w:t>
            </w:r>
          </w:p>
        </w:tc>
        <w:tc>
          <w:tcPr>
            <w:tcW w:w="1843" w:type="dxa"/>
            <w:vAlign w:val="center"/>
          </w:tcPr>
          <w:p w14:paraId="736DC321" w14:textId="77777777" w:rsidR="00AF6702" w:rsidRPr="00702882" w:rsidRDefault="00AF6702" w:rsidP="00F87A9A">
            <w:pPr>
              <w:rPr>
                <w:bCs/>
                <w:sz w:val="22"/>
                <w:szCs w:val="22"/>
              </w:rPr>
            </w:pPr>
          </w:p>
        </w:tc>
        <w:tc>
          <w:tcPr>
            <w:tcW w:w="1701" w:type="dxa"/>
            <w:vAlign w:val="center"/>
          </w:tcPr>
          <w:p w14:paraId="54E3C3A5" w14:textId="77777777" w:rsidR="00AF6702" w:rsidRPr="00702882" w:rsidRDefault="00AF6702" w:rsidP="00F87A9A">
            <w:pPr>
              <w:rPr>
                <w:bCs/>
                <w:sz w:val="22"/>
                <w:szCs w:val="22"/>
              </w:rPr>
            </w:pPr>
          </w:p>
        </w:tc>
      </w:tr>
      <w:tr w:rsidR="00AF6702" w:rsidRPr="00702882" w14:paraId="50653582" w14:textId="77777777" w:rsidTr="00AE6820">
        <w:trPr>
          <w:jc w:val="center"/>
        </w:trPr>
        <w:tc>
          <w:tcPr>
            <w:tcW w:w="567" w:type="dxa"/>
            <w:tcBorders>
              <w:bottom w:val="single" w:sz="8" w:space="0" w:color="auto"/>
            </w:tcBorders>
            <w:vAlign w:val="center"/>
          </w:tcPr>
          <w:p w14:paraId="586DF54F" w14:textId="77777777" w:rsidR="00AF6702" w:rsidRPr="00702882" w:rsidRDefault="00AF6702" w:rsidP="00F87A9A">
            <w:pPr>
              <w:rPr>
                <w:sz w:val="22"/>
              </w:rPr>
            </w:pPr>
            <w:r w:rsidRPr="00702882">
              <w:rPr>
                <w:bCs/>
                <w:sz w:val="22"/>
                <w:szCs w:val="22"/>
              </w:rPr>
              <w:t>H4</w:t>
            </w:r>
          </w:p>
        </w:tc>
        <w:tc>
          <w:tcPr>
            <w:tcW w:w="4536" w:type="dxa"/>
            <w:tcBorders>
              <w:bottom w:val="single" w:sz="8" w:space="0" w:color="auto"/>
            </w:tcBorders>
            <w:vAlign w:val="center"/>
          </w:tcPr>
          <w:p w14:paraId="0D68AC72" w14:textId="77777777" w:rsidR="00AF6702" w:rsidRPr="00702882" w:rsidRDefault="00AF6702" w:rsidP="00F87A9A">
            <w:pPr>
              <w:rPr>
                <w:b/>
                <w:bCs/>
                <w:sz w:val="22"/>
              </w:rPr>
            </w:pPr>
            <w:r w:rsidRPr="00702882">
              <w:rPr>
                <w:b/>
                <w:bCs/>
                <w:sz w:val="22"/>
              </w:rPr>
              <w:t>Unreserved General Fund balance (GFB)</w:t>
            </w:r>
          </w:p>
        </w:tc>
        <w:tc>
          <w:tcPr>
            <w:tcW w:w="1843" w:type="dxa"/>
            <w:tcBorders>
              <w:bottom w:val="single" w:sz="8" w:space="0" w:color="auto"/>
            </w:tcBorders>
            <w:vAlign w:val="center"/>
          </w:tcPr>
          <w:p w14:paraId="03AC559A" w14:textId="77777777" w:rsidR="00AF6702" w:rsidRPr="00702882" w:rsidRDefault="00AF6702" w:rsidP="00F87A9A">
            <w:pPr>
              <w:rPr>
                <w:sz w:val="22"/>
              </w:rPr>
            </w:pPr>
            <w:r w:rsidRPr="00702882">
              <w:rPr>
                <w:bCs/>
                <w:sz w:val="22"/>
                <w:szCs w:val="22"/>
              </w:rPr>
              <w:t>Positive</w:t>
            </w:r>
          </w:p>
        </w:tc>
        <w:tc>
          <w:tcPr>
            <w:tcW w:w="1701" w:type="dxa"/>
            <w:tcBorders>
              <w:bottom w:val="single" w:sz="8" w:space="0" w:color="auto"/>
            </w:tcBorders>
            <w:vAlign w:val="center"/>
          </w:tcPr>
          <w:p w14:paraId="055CB3AA" w14:textId="77777777" w:rsidR="00AF6702" w:rsidRPr="00702882" w:rsidRDefault="00AF6702" w:rsidP="00F87A9A">
            <w:pPr>
              <w:rPr>
                <w:sz w:val="22"/>
              </w:rPr>
            </w:pPr>
            <w:r w:rsidRPr="00702882">
              <w:rPr>
                <w:bCs/>
                <w:sz w:val="22"/>
                <w:szCs w:val="22"/>
              </w:rPr>
              <w:t>Positive</w:t>
            </w:r>
          </w:p>
        </w:tc>
      </w:tr>
      <w:bookmarkEnd w:id="33"/>
    </w:tbl>
    <w:p w14:paraId="101A32BB" w14:textId="77777777" w:rsidR="00E64BCB" w:rsidRPr="00702882" w:rsidRDefault="00E64BCB" w:rsidP="00C66AC4">
      <w:pPr>
        <w:spacing w:line="480" w:lineRule="auto"/>
        <w:rPr>
          <w:rFonts w:eastAsiaTheme="minorEastAsia"/>
        </w:rPr>
      </w:pPr>
    </w:p>
    <w:p w14:paraId="1ED45EDF" w14:textId="77777777" w:rsidR="00F87A9A" w:rsidRPr="00702882" w:rsidRDefault="00F87A9A" w:rsidP="00C66AC4">
      <w:pPr>
        <w:spacing w:line="480" w:lineRule="auto"/>
        <w:rPr>
          <w:rFonts w:eastAsiaTheme="minorEastAsia"/>
        </w:rPr>
      </w:pPr>
    </w:p>
    <w:p w14:paraId="0E7B7439" w14:textId="77777777" w:rsidR="00AF6702" w:rsidRPr="00702882" w:rsidRDefault="00AF6702" w:rsidP="00C66AC4">
      <w:pPr>
        <w:spacing w:line="480" w:lineRule="auto"/>
        <w:jc w:val="center"/>
      </w:pPr>
      <w:r w:rsidRPr="00702882">
        <w:t>The Effects of BSF Structural Features on GFB Levels</w:t>
      </w:r>
    </w:p>
    <w:tbl>
      <w:tblPr>
        <w:tblStyle w:val="a7"/>
        <w:tblW w:w="86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4536"/>
        <w:gridCol w:w="1843"/>
        <w:gridCol w:w="1701"/>
      </w:tblGrid>
      <w:tr w:rsidR="000B461C" w:rsidRPr="00702882" w14:paraId="63667605" w14:textId="77777777" w:rsidTr="00AE6820">
        <w:trPr>
          <w:jc w:val="center"/>
        </w:trPr>
        <w:tc>
          <w:tcPr>
            <w:tcW w:w="5103" w:type="dxa"/>
            <w:gridSpan w:val="2"/>
            <w:tcBorders>
              <w:top w:val="single" w:sz="8" w:space="0" w:color="auto"/>
            </w:tcBorders>
          </w:tcPr>
          <w:p w14:paraId="312664F5" w14:textId="77777777" w:rsidR="00AF6702" w:rsidRPr="00702882" w:rsidRDefault="00AF6702" w:rsidP="00E64BCB">
            <w:pPr>
              <w:jc w:val="center"/>
              <w:rPr>
                <w:bCs/>
                <w:i/>
                <w:iCs/>
                <w:sz w:val="22"/>
              </w:rPr>
            </w:pPr>
            <w:bookmarkStart w:id="34" w:name="_Hlk157156569"/>
            <w:r w:rsidRPr="00702882">
              <w:rPr>
                <w:bCs/>
                <w:i/>
                <w:iCs/>
                <w:sz w:val="22"/>
              </w:rPr>
              <w:t>Independent variables</w:t>
            </w:r>
          </w:p>
        </w:tc>
        <w:tc>
          <w:tcPr>
            <w:tcW w:w="1843" w:type="dxa"/>
            <w:tcBorders>
              <w:top w:val="single" w:sz="8" w:space="0" w:color="auto"/>
            </w:tcBorders>
          </w:tcPr>
          <w:p w14:paraId="28FBD1F6" w14:textId="77777777" w:rsidR="00AF6702" w:rsidRPr="00702882" w:rsidRDefault="00AF6702" w:rsidP="00E64BCB">
            <w:pPr>
              <w:rPr>
                <w:rFonts w:eastAsiaTheme="minorEastAsia"/>
                <w:bCs/>
                <w:sz w:val="22"/>
                <w:szCs w:val="22"/>
              </w:rPr>
            </w:pPr>
            <w:r w:rsidRPr="00702882">
              <w:rPr>
                <w:bCs/>
                <w:i/>
                <w:iCs/>
                <w:sz w:val="22"/>
                <w:szCs w:val="22"/>
              </w:rPr>
              <w:t>Hypothesis</w:t>
            </w:r>
          </w:p>
        </w:tc>
        <w:tc>
          <w:tcPr>
            <w:tcW w:w="1701" w:type="dxa"/>
            <w:tcBorders>
              <w:top w:val="single" w:sz="8" w:space="0" w:color="auto"/>
            </w:tcBorders>
          </w:tcPr>
          <w:p w14:paraId="5FB2A4BB" w14:textId="77777777" w:rsidR="00AF6702" w:rsidRPr="00702882" w:rsidRDefault="00AF6702" w:rsidP="00E64BCB">
            <w:pPr>
              <w:rPr>
                <w:bCs/>
                <w:sz w:val="22"/>
                <w:szCs w:val="22"/>
              </w:rPr>
            </w:pPr>
            <w:r w:rsidRPr="00702882">
              <w:rPr>
                <w:bCs/>
                <w:i/>
                <w:iCs/>
                <w:sz w:val="22"/>
                <w:szCs w:val="22"/>
              </w:rPr>
              <w:t>a. Recession</w:t>
            </w:r>
          </w:p>
        </w:tc>
      </w:tr>
      <w:tr w:rsidR="000B461C" w:rsidRPr="00702882" w14:paraId="0110CC66" w14:textId="77777777" w:rsidTr="00AE6820">
        <w:trPr>
          <w:jc w:val="center"/>
        </w:trPr>
        <w:tc>
          <w:tcPr>
            <w:tcW w:w="567" w:type="dxa"/>
            <w:tcBorders>
              <w:top w:val="single" w:sz="8" w:space="0" w:color="auto"/>
            </w:tcBorders>
          </w:tcPr>
          <w:p w14:paraId="6CCA80B8" w14:textId="77777777" w:rsidR="00AF6702" w:rsidRPr="00702882" w:rsidRDefault="00AF6702" w:rsidP="00E64BCB">
            <w:pPr>
              <w:rPr>
                <w:bCs/>
                <w:sz w:val="22"/>
                <w:szCs w:val="22"/>
              </w:rPr>
            </w:pPr>
            <w:r w:rsidRPr="00702882">
              <w:rPr>
                <w:bCs/>
                <w:sz w:val="22"/>
                <w:szCs w:val="22"/>
              </w:rPr>
              <w:t>H5</w:t>
            </w:r>
          </w:p>
        </w:tc>
        <w:tc>
          <w:tcPr>
            <w:tcW w:w="4536" w:type="dxa"/>
            <w:tcBorders>
              <w:top w:val="single" w:sz="8" w:space="0" w:color="auto"/>
            </w:tcBorders>
          </w:tcPr>
          <w:p w14:paraId="2FB90A0E" w14:textId="77777777" w:rsidR="00AF6702" w:rsidRPr="00702882" w:rsidRDefault="00AF6702" w:rsidP="00E64BCB">
            <w:pPr>
              <w:rPr>
                <w:rFonts w:eastAsiaTheme="minorEastAsia"/>
                <w:b/>
                <w:sz w:val="22"/>
              </w:rPr>
            </w:pPr>
            <w:r w:rsidRPr="00702882">
              <w:rPr>
                <w:b/>
                <w:sz w:val="22"/>
              </w:rPr>
              <w:t>High stringency of deposit requirements</w:t>
            </w:r>
          </w:p>
        </w:tc>
        <w:tc>
          <w:tcPr>
            <w:tcW w:w="1843" w:type="dxa"/>
            <w:tcBorders>
              <w:top w:val="single" w:sz="8" w:space="0" w:color="auto"/>
            </w:tcBorders>
          </w:tcPr>
          <w:p w14:paraId="68C394A0" w14:textId="77777777" w:rsidR="00AF6702" w:rsidRPr="00702882" w:rsidRDefault="00AF6702" w:rsidP="00E64BCB">
            <w:pPr>
              <w:rPr>
                <w:rFonts w:eastAsiaTheme="minorEastAsia"/>
                <w:bCs/>
                <w:sz w:val="22"/>
                <w:szCs w:val="22"/>
              </w:rPr>
            </w:pPr>
            <w:r w:rsidRPr="00702882">
              <w:rPr>
                <w:rFonts w:eastAsiaTheme="minorEastAsia"/>
                <w:bCs/>
                <w:sz w:val="22"/>
                <w:szCs w:val="22"/>
              </w:rPr>
              <w:t>Negative</w:t>
            </w:r>
          </w:p>
        </w:tc>
        <w:tc>
          <w:tcPr>
            <w:tcW w:w="1701" w:type="dxa"/>
            <w:tcBorders>
              <w:top w:val="single" w:sz="8" w:space="0" w:color="auto"/>
            </w:tcBorders>
          </w:tcPr>
          <w:p w14:paraId="32299A4A" w14:textId="77777777" w:rsidR="00AF6702" w:rsidRPr="00702882" w:rsidRDefault="00AF6702" w:rsidP="00E64BCB">
            <w:pPr>
              <w:rPr>
                <w:rFonts w:eastAsiaTheme="minorEastAsia"/>
                <w:bCs/>
                <w:sz w:val="22"/>
                <w:szCs w:val="22"/>
              </w:rPr>
            </w:pPr>
            <w:r w:rsidRPr="00702882">
              <w:rPr>
                <w:rFonts w:eastAsiaTheme="minorEastAsia"/>
                <w:bCs/>
                <w:sz w:val="22"/>
                <w:szCs w:val="22"/>
              </w:rPr>
              <w:t>Less Negative</w:t>
            </w:r>
          </w:p>
        </w:tc>
      </w:tr>
      <w:tr w:rsidR="000B461C" w:rsidRPr="00702882" w14:paraId="50D3F135" w14:textId="77777777" w:rsidTr="00AE6820">
        <w:trPr>
          <w:jc w:val="center"/>
        </w:trPr>
        <w:tc>
          <w:tcPr>
            <w:tcW w:w="567" w:type="dxa"/>
            <w:vAlign w:val="center"/>
          </w:tcPr>
          <w:p w14:paraId="7C7E0B6A" w14:textId="77777777" w:rsidR="00AF6702" w:rsidRPr="00702882" w:rsidRDefault="00AF6702" w:rsidP="00E64BCB">
            <w:pPr>
              <w:rPr>
                <w:b/>
                <w:sz w:val="22"/>
                <w:szCs w:val="22"/>
              </w:rPr>
            </w:pPr>
          </w:p>
        </w:tc>
        <w:tc>
          <w:tcPr>
            <w:tcW w:w="4536" w:type="dxa"/>
          </w:tcPr>
          <w:p w14:paraId="0A88E1B7" w14:textId="77777777" w:rsidR="00AF6702" w:rsidRPr="00702882" w:rsidRDefault="00AF6702" w:rsidP="00E64BCB">
            <w:pPr>
              <w:rPr>
                <w:rFonts w:eastAsiaTheme="minorEastAsia"/>
                <w:bCs/>
                <w:sz w:val="22"/>
                <w:szCs w:val="22"/>
              </w:rPr>
            </w:pPr>
            <w:r w:rsidRPr="00702882">
              <w:rPr>
                <w:bCs/>
                <w:sz w:val="22"/>
              </w:rPr>
              <w:t>Source</w:t>
            </w:r>
          </w:p>
        </w:tc>
        <w:tc>
          <w:tcPr>
            <w:tcW w:w="1843" w:type="dxa"/>
            <w:vAlign w:val="center"/>
          </w:tcPr>
          <w:p w14:paraId="4047E067" w14:textId="77777777" w:rsidR="00AF6702" w:rsidRPr="00702882" w:rsidRDefault="00AF6702" w:rsidP="00E64BCB">
            <w:pPr>
              <w:rPr>
                <w:b/>
                <w:sz w:val="22"/>
                <w:szCs w:val="22"/>
              </w:rPr>
            </w:pPr>
          </w:p>
        </w:tc>
        <w:tc>
          <w:tcPr>
            <w:tcW w:w="1701" w:type="dxa"/>
            <w:vAlign w:val="center"/>
          </w:tcPr>
          <w:p w14:paraId="2078AEBB" w14:textId="77777777" w:rsidR="00AF6702" w:rsidRPr="00702882" w:rsidRDefault="00AF6702" w:rsidP="00E64BCB">
            <w:pPr>
              <w:rPr>
                <w:b/>
                <w:sz w:val="22"/>
                <w:szCs w:val="22"/>
              </w:rPr>
            </w:pPr>
          </w:p>
        </w:tc>
      </w:tr>
      <w:tr w:rsidR="000B461C" w:rsidRPr="00702882" w14:paraId="6F9C64DB" w14:textId="77777777" w:rsidTr="00AE6820">
        <w:trPr>
          <w:jc w:val="center"/>
        </w:trPr>
        <w:tc>
          <w:tcPr>
            <w:tcW w:w="567" w:type="dxa"/>
            <w:vAlign w:val="center"/>
          </w:tcPr>
          <w:p w14:paraId="6DD95DB6" w14:textId="77777777" w:rsidR="00AF6702" w:rsidRPr="00702882" w:rsidRDefault="00AF6702" w:rsidP="00E64BCB">
            <w:pPr>
              <w:rPr>
                <w:b/>
                <w:sz w:val="22"/>
                <w:szCs w:val="22"/>
              </w:rPr>
            </w:pPr>
          </w:p>
        </w:tc>
        <w:tc>
          <w:tcPr>
            <w:tcW w:w="4536" w:type="dxa"/>
          </w:tcPr>
          <w:p w14:paraId="46ECF8B1" w14:textId="0D7D434D" w:rsidR="00AF6702" w:rsidRPr="00702882" w:rsidRDefault="00AF6702" w:rsidP="00E64BCB">
            <w:pPr>
              <w:rPr>
                <w:rFonts w:eastAsiaTheme="minorEastAsia"/>
                <w:bCs/>
                <w:sz w:val="22"/>
              </w:rPr>
            </w:pPr>
            <w:r w:rsidRPr="00702882">
              <w:rPr>
                <w:rFonts w:eastAsiaTheme="minorEastAsia"/>
                <w:bCs/>
                <w:sz w:val="22"/>
              </w:rPr>
              <w:t xml:space="preserve">Cap </w:t>
            </w:r>
          </w:p>
        </w:tc>
        <w:tc>
          <w:tcPr>
            <w:tcW w:w="1843" w:type="dxa"/>
            <w:vAlign w:val="center"/>
          </w:tcPr>
          <w:p w14:paraId="0C0D7599" w14:textId="77777777" w:rsidR="00AF6702" w:rsidRPr="00702882" w:rsidRDefault="00AF6702" w:rsidP="00E64BCB">
            <w:pPr>
              <w:rPr>
                <w:b/>
                <w:sz w:val="22"/>
                <w:szCs w:val="22"/>
              </w:rPr>
            </w:pPr>
          </w:p>
        </w:tc>
        <w:tc>
          <w:tcPr>
            <w:tcW w:w="1701" w:type="dxa"/>
            <w:vAlign w:val="center"/>
          </w:tcPr>
          <w:p w14:paraId="7B651325" w14:textId="77777777" w:rsidR="00AF6702" w:rsidRPr="00702882" w:rsidRDefault="00AF6702" w:rsidP="00E64BCB">
            <w:pPr>
              <w:rPr>
                <w:b/>
                <w:sz w:val="22"/>
                <w:szCs w:val="22"/>
              </w:rPr>
            </w:pPr>
          </w:p>
        </w:tc>
      </w:tr>
      <w:tr w:rsidR="000B461C" w:rsidRPr="00702882" w14:paraId="66FC1449" w14:textId="77777777" w:rsidTr="00AE6820">
        <w:trPr>
          <w:jc w:val="center"/>
        </w:trPr>
        <w:tc>
          <w:tcPr>
            <w:tcW w:w="567" w:type="dxa"/>
            <w:vAlign w:val="center"/>
          </w:tcPr>
          <w:p w14:paraId="5DD60D7C" w14:textId="77777777" w:rsidR="00AF6702" w:rsidRPr="00702882" w:rsidRDefault="00AF6702" w:rsidP="00E64BCB">
            <w:pPr>
              <w:rPr>
                <w:b/>
                <w:sz w:val="22"/>
                <w:szCs w:val="22"/>
              </w:rPr>
            </w:pPr>
          </w:p>
        </w:tc>
        <w:tc>
          <w:tcPr>
            <w:tcW w:w="4536" w:type="dxa"/>
          </w:tcPr>
          <w:p w14:paraId="77D0257C" w14:textId="1BAA9419" w:rsidR="00AF6702" w:rsidRPr="00702882" w:rsidRDefault="00AF6702" w:rsidP="00E64BCB">
            <w:pPr>
              <w:rPr>
                <w:rFonts w:eastAsiaTheme="minorEastAsia"/>
                <w:bCs/>
                <w:sz w:val="22"/>
                <w:szCs w:val="22"/>
              </w:rPr>
            </w:pPr>
            <w:r w:rsidRPr="00702882">
              <w:rPr>
                <w:rFonts w:eastAsiaTheme="minorEastAsia"/>
                <w:bCs/>
                <w:sz w:val="22"/>
              </w:rPr>
              <w:t xml:space="preserve">Deposit by revenue surplus </w:t>
            </w:r>
          </w:p>
        </w:tc>
        <w:tc>
          <w:tcPr>
            <w:tcW w:w="1843" w:type="dxa"/>
            <w:vAlign w:val="center"/>
          </w:tcPr>
          <w:p w14:paraId="073B0547" w14:textId="77777777" w:rsidR="00AF6702" w:rsidRPr="00702882" w:rsidRDefault="00AF6702" w:rsidP="00E64BCB">
            <w:pPr>
              <w:rPr>
                <w:b/>
                <w:sz w:val="22"/>
                <w:szCs w:val="22"/>
              </w:rPr>
            </w:pPr>
          </w:p>
        </w:tc>
        <w:tc>
          <w:tcPr>
            <w:tcW w:w="1701" w:type="dxa"/>
            <w:vAlign w:val="center"/>
          </w:tcPr>
          <w:p w14:paraId="7E4638C0" w14:textId="77777777" w:rsidR="00AF6702" w:rsidRPr="00702882" w:rsidRDefault="00AF6702" w:rsidP="00E64BCB">
            <w:pPr>
              <w:rPr>
                <w:b/>
                <w:sz w:val="22"/>
                <w:szCs w:val="22"/>
              </w:rPr>
            </w:pPr>
          </w:p>
        </w:tc>
      </w:tr>
      <w:tr w:rsidR="000B461C" w:rsidRPr="00702882" w14:paraId="18E1AB7D" w14:textId="77777777" w:rsidTr="00AE6820">
        <w:trPr>
          <w:jc w:val="center"/>
        </w:trPr>
        <w:tc>
          <w:tcPr>
            <w:tcW w:w="567" w:type="dxa"/>
            <w:vAlign w:val="center"/>
          </w:tcPr>
          <w:p w14:paraId="6FA31C25" w14:textId="77777777" w:rsidR="00AF6702" w:rsidRPr="00702882" w:rsidRDefault="00AF6702" w:rsidP="00E64BCB">
            <w:pPr>
              <w:rPr>
                <w:b/>
                <w:sz w:val="22"/>
                <w:szCs w:val="22"/>
              </w:rPr>
            </w:pPr>
          </w:p>
        </w:tc>
        <w:tc>
          <w:tcPr>
            <w:tcW w:w="4536" w:type="dxa"/>
            <w:vAlign w:val="center"/>
          </w:tcPr>
          <w:p w14:paraId="5F7B994C" w14:textId="77777777" w:rsidR="00AF6702" w:rsidRPr="00702882" w:rsidRDefault="00AF6702" w:rsidP="00E64BCB">
            <w:pPr>
              <w:rPr>
                <w:rFonts w:eastAsiaTheme="minorEastAsia"/>
                <w:bCs/>
                <w:sz w:val="22"/>
                <w:szCs w:val="22"/>
              </w:rPr>
            </w:pPr>
            <w:r w:rsidRPr="00702882">
              <w:rPr>
                <w:sz w:val="22"/>
              </w:rPr>
              <w:t>Deposit tied to volatility (formula)</w:t>
            </w:r>
          </w:p>
        </w:tc>
        <w:tc>
          <w:tcPr>
            <w:tcW w:w="1843" w:type="dxa"/>
            <w:vAlign w:val="center"/>
          </w:tcPr>
          <w:p w14:paraId="23B4DB24" w14:textId="77777777" w:rsidR="00AF6702" w:rsidRPr="00702882" w:rsidRDefault="00AF6702" w:rsidP="00E64BCB">
            <w:pPr>
              <w:rPr>
                <w:b/>
                <w:sz w:val="22"/>
                <w:szCs w:val="22"/>
              </w:rPr>
            </w:pPr>
          </w:p>
        </w:tc>
        <w:tc>
          <w:tcPr>
            <w:tcW w:w="1701" w:type="dxa"/>
            <w:vAlign w:val="center"/>
          </w:tcPr>
          <w:p w14:paraId="6C47C872" w14:textId="77777777" w:rsidR="00AF6702" w:rsidRPr="00702882" w:rsidRDefault="00AF6702" w:rsidP="00E64BCB">
            <w:pPr>
              <w:rPr>
                <w:b/>
                <w:sz w:val="22"/>
                <w:szCs w:val="22"/>
              </w:rPr>
            </w:pPr>
          </w:p>
        </w:tc>
      </w:tr>
      <w:tr w:rsidR="000B461C" w:rsidRPr="00702882" w14:paraId="42F2204A" w14:textId="77777777" w:rsidTr="00AE6820">
        <w:trPr>
          <w:jc w:val="center"/>
        </w:trPr>
        <w:tc>
          <w:tcPr>
            <w:tcW w:w="567" w:type="dxa"/>
            <w:vAlign w:val="center"/>
          </w:tcPr>
          <w:p w14:paraId="247C8772" w14:textId="77777777" w:rsidR="00AF6702" w:rsidRPr="00702882" w:rsidRDefault="00AF6702" w:rsidP="00E64BCB">
            <w:pPr>
              <w:rPr>
                <w:sz w:val="22"/>
                <w:szCs w:val="22"/>
              </w:rPr>
            </w:pPr>
            <w:r w:rsidRPr="00702882">
              <w:rPr>
                <w:sz w:val="22"/>
              </w:rPr>
              <w:t>H6</w:t>
            </w:r>
          </w:p>
        </w:tc>
        <w:tc>
          <w:tcPr>
            <w:tcW w:w="4536" w:type="dxa"/>
            <w:vAlign w:val="center"/>
          </w:tcPr>
          <w:p w14:paraId="5864DA42" w14:textId="77777777" w:rsidR="00AF6702" w:rsidRPr="00702882" w:rsidRDefault="00AF6702" w:rsidP="00E64BCB">
            <w:pPr>
              <w:rPr>
                <w:b/>
                <w:sz w:val="22"/>
                <w:szCs w:val="22"/>
              </w:rPr>
            </w:pPr>
            <w:r w:rsidRPr="00702882">
              <w:rPr>
                <w:b/>
                <w:bCs/>
                <w:sz w:val="22"/>
              </w:rPr>
              <w:t xml:space="preserve">High stringency of withdrawal requirements </w:t>
            </w:r>
          </w:p>
        </w:tc>
        <w:tc>
          <w:tcPr>
            <w:tcW w:w="1843" w:type="dxa"/>
            <w:vAlign w:val="center"/>
          </w:tcPr>
          <w:p w14:paraId="3015F882" w14:textId="77777777" w:rsidR="00AF6702" w:rsidRPr="00702882" w:rsidRDefault="00AF6702" w:rsidP="00E64BCB">
            <w:pPr>
              <w:rPr>
                <w:rFonts w:eastAsiaTheme="minorEastAsia"/>
                <w:bCs/>
                <w:sz w:val="22"/>
                <w:szCs w:val="22"/>
              </w:rPr>
            </w:pPr>
            <w:r w:rsidRPr="00702882">
              <w:rPr>
                <w:rFonts w:eastAsiaTheme="minorEastAsia"/>
                <w:bCs/>
                <w:sz w:val="22"/>
                <w:szCs w:val="22"/>
              </w:rPr>
              <w:t>Negative</w:t>
            </w:r>
          </w:p>
        </w:tc>
        <w:tc>
          <w:tcPr>
            <w:tcW w:w="1701" w:type="dxa"/>
            <w:vAlign w:val="center"/>
          </w:tcPr>
          <w:p w14:paraId="55EB6798" w14:textId="77777777" w:rsidR="00AF6702" w:rsidRPr="00702882" w:rsidRDefault="00AF6702" w:rsidP="00E64BCB">
            <w:pPr>
              <w:rPr>
                <w:rFonts w:eastAsiaTheme="minorEastAsia"/>
                <w:bCs/>
                <w:sz w:val="22"/>
                <w:szCs w:val="22"/>
              </w:rPr>
            </w:pPr>
            <w:r w:rsidRPr="00702882">
              <w:rPr>
                <w:rFonts w:eastAsiaTheme="minorEastAsia"/>
                <w:bCs/>
                <w:sz w:val="22"/>
                <w:szCs w:val="22"/>
              </w:rPr>
              <w:t>Less Negative</w:t>
            </w:r>
          </w:p>
        </w:tc>
      </w:tr>
      <w:tr w:rsidR="000B461C" w:rsidRPr="00702882" w14:paraId="7558B3A1" w14:textId="77777777" w:rsidTr="00AE6820">
        <w:trPr>
          <w:jc w:val="center"/>
        </w:trPr>
        <w:tc>
          <w:tcPr>
            <w:tcW w:w="567" w:type="dxa"/>
            <w:vAlign w:val="center"/>
          </w:tcPr>
          <w:p w14:paraId="5DCD8A34" w14:textId="77777777" w:rsidR="00AF6702" w:rsidRPr="00702882" w:rsidRDefault="00AF6702" w:rsidP="00E64BCB">
            <w:pPr>
              <w:rPr>
                <w:b/>
                <w:sz w:val="22"/>
                <w:szCs w:val="22"/>
              </w:rPr>
            </w:pPr>
          </w:p>
        </w:tc>
        <w:tc>
          <w:tcPr>
            <w:tcW w:w="4536" w:type="dxa"/>
            <w:vAlign w:val="center"/>
          </w:tcPr>
          <w:p w14:paraId="313BC622" w14:textId="77777777" w:rsidR="00AF6702" w:rsidRPr="00702882" w:rsidRDefault="00AF6702" w:rsidP="00E64BCB">
            <w:pPr>
              <w:rPr>
                <w:b/>
                <w:sz w:val="22"/>
                <w:szCs w:val="22"/>
              </w:rPr>
            </w:pPr>
            <w:r w:rsidRPr="00702882">
              <w:rPr>
                <w:sz w:val="22"/>
              </w:rPr>
              <w:t xml:space="preserve">Withdrawal tied to volatility </w:t>
            </w:r>
          </w:p>
        </w:tc>
        <w:tc>
          <w:tcPr>
            <w:tcW w:w="1843" w:type="dxa"/>
            <w:vAlign w:val="center"/>
          </w:tcPr>
          <w:p w14:paraId="5D2CC6A3" w14:textId="77777777" w:rsidR="00AF6702" w:rsidRPr="00702882" w:rsidRDefault="00AF6702" w:rsidP="00E64BCB">
            <w:pPr>
              <w:rPr>
                <w:b/>
                <w:sz w:val="22"/>
                <w:szCs w:val="22"/>
              </w:rPr>
            </w:pPr>
          </w:p>
        </w:tc>
        <w:tc>
          <w:tcPr>
            <w:tcW w:w="1701" w:type="dxa"/>
            <w:vAlign w:val="center"/>
          </w:tcPr>
          <w:p w14:paraId="19CD5593" w14:textId="77777777" w:rsidR="00AF6702" w:rsidRPr="00702882" w:rsidRDefault="00AF6702" w:rsidP="00E64BCB">
            <w:pPr>
              <w:rPr>
                <w:b/>
                <w:sz w:val="22"/>
                <w:szCs w:val="22"/>
              </w:rPr>
            </w:pPr>
          </w:p>
        </w:tc>
      </w:tr>
      <w:tr w:rsidR="000B461C" w:rsidRPr="00702882" w14:paraId="50B8A9ED" w14:textId="77777777" w:rsidTr="00AE6820">
        <w:trPr>
          <w:jc w:val="center"/>
        </w:trPr>
        <w:tc>
          <w:tcPr>
            <w:tcW w:w="567" w:type="dxa"/>
            <w:vAlign w:val="center"/>
          </w:tcPr>
          <w:p w14:paraId="66F00F69" w14:textId="77777777" w:rsidR="00AF6702" w:rsidRPr="00702882" w:rsidRDefault="00AF6702" w:rsidP="00E64BCB">
            <w:pPr>
              <w:rPr>
                <w:b/>
                <w:sz w:val="22"/>
                <w:szCs w:val="22"/>
              </w:rPr>
            </w:pPr>
          </w:p>
        </w:tc>
        <w:tc>
          <w:tcPr>
            <w:tcW w:w="4536" w:type="dxa"/>
            <w:vAlign w:val="center"/>
          </w:tcPr>
          <w:p w14:paraId="228C2CF4" w14:textId="77777777" w:rsidR="00AF6702" w:rsidRPr="00702882" w:rsidRDefault="00AF6702" w:rsidP="00E64BCB">
            <w:pPr>
              <w:rPr>
                <w:bCs/>
                <w:sz w:val="22"/>
                <w:szCs w:val="22"/>
              </w:rPr>
            </w:pPr>
            <w:r w:rsidRPr="00702882">
              <w:rPr>
                <w:sz w:val="22"/>
              </w:rPr>
              <w:t>Withdrawal by revenue shortfall</w:t>
            </w:r>
          </w:p>
        </w:tc>
        <w:tc>
          <w:tcPr>
            <w:tcW w:w="1843" w:type="dxa"/>
            <w:vAlign w:val="center"/>
          </w:tcPr>
          <w:p w14:paraId="76A53F24" w14:textId="77777777" w:rsidR="00AF6702" w:rsidRPr="00702882" w:rsidRDefault="00AF6702" w:rsidP="00E64BCB">
            <w:pPr>
              <w:rPr>
                <w:b/>
                <w:sz w:val="22"/>
                <w:szCs w:val="22"/>
              </w:rPr>
            </w:pPr>
          </w:p>
        </w:tc>
        <w:tc>
          <w:tcPr>
            <w:tcW w:w="1701" w:type="dxa"/>
            <w:vAlign w:val="center"/>
          </w:tcPr>
          <w:p w14:paraId="3C743241" w14:textId="77777777" w:rsidR="00AF6702" w:rsidRPr="00702882" w:rsidRDefault="00AF6702" w:rsidP="00E64BCB">
            <w:pPr>
              <w:rPr>
                <w:b/>
                <w:sz w:val="22"/>
                <w:szCs w:val="22"/>
              </w:rPr>
            </w:pPr>
          </w:p>
        </w:tc>
      </w:tr>
      <w:tr w:rsidR="000B461C" w:rsidRPr="00702882" w14:paraId="69E7EC83" w14:textId="77777777" w:rsidTr="00AE6820">
        <w:trPr>
          <w:jc w:val="center"/>
        </w:trPr>
        <w:tc>
          <w:tcPr>
            <w:tcW w:w="567" w:type="dxa"/>
            <w:vAlign w:val="center"/>
          </w:tcPr>
          <w:p w14:paraId="575BB96B" w14:textId="77777777" w:rsidR="00AF6702" w:rsidRPr="00702882" w:rsidRDefault="00AF6702" w:rsidP="00E64BCB">
            <w:pPr>
              <w:rPr>
                <w:bCs/>
                <w:sz w:val="22"/>
                <w:szCs w:val="22"/>
              </w:rPr>
            </w:pPr>
            <w:r w:rsidRPr="00702882">
              <w:rPr>
                <w:bCs/>
                <w:sz w:val="22"/>
                <w:szCs w:val="22"/>
              </w:rPr>
              <w:t>H7</w:t>
            </w:r>
          </w:p>
        </w:tc>
        <w:tc>
          <w:tcPr>
            <w:tcW w:w="4536" w:type="dxa"/>
            <w:vAlign w:val="center"/>
          </w:tcPr>
          <w:p w14:paraId="74E53348" w14:textId="77777777" w:rsidR="00AF6702" w:rsidRPr="00702882" w:rsidRDefault="00AF6702" w:rsidP="00E64BCB">
            <w:pPr>
              <w:rPr>
                <w:bCs/>
                <w:sz w:val="22"/>
                <w:szCs w:val="22"/>
              </w:rPr>
            </w:pPr>
            <w:r w:rsidRPr="00702882">
              <w:rPr>
                <w:b/>
                <w:sz w:val="22"/>
              </w:rPr>
              <w:t>High stringency of withdrawal restrictions</w:t>
            </w:r>
          </w:p>
        </w:tc>
        <w:tc>
          <w:tcPr>
            <w:tcW w:w="1843" w:type="dxa"/>
            <w:vAlign w:val="center"/>
          </w:tcPr>
          <w:p w14:paraId="17ED4333" w14:textId="77777777" w:rsidR="00AF6702" w:rsidRPr="00702882" w:rsidRDefault="00AF6702" w:rsidP="00E64BCB">
            <w:pPr>
              <w:rPr>
                <w:rFonts w:eastAsiaTheme="minorEastAsia"/>
                <w:bCs/>
                <w:sz w:val="22"/>
                <w:szCs w:val="22"/>
              </w:rPr>
            </w:pPr>
            <w:r w:rsidRPr="00702882">
              <w:rPr>
                <w:rFonts w:eastAsiaTheme="minorEastAsia"/>
                <w:bCs/>
                <w:sz w:val="22"/>
                <w:szCs w:val="22"/>
              </w:rPr>
              <w:t>Negative</w:t>
            </w:r>
          </w:p>
        </w:tc>
        <w:tc>
          <w:tcPr>
            <w:tcW w:w="1701" w:type="dxa"/>
            <w:vAlign w:val="center"/>
          </w:tcPr>
          <w:p w14:paraId="0437C0B1" w14:textId="77777777" w:rsidR="00AF6702" w:rsidRPr="00702882" w:rsidRDefault="00AF6702" w:rsidP="00E64BCB">
            <w:pPr>
              <w:rPr>
                <w:rFonts w:eastAsiaTheme="minorEastAsia"/>
                <w:bCs/>
                <w:sz w:val="22"/>
                <w:szCs w:val="22"/>
              </w:rPr>
            </w:pPr>
            <w:r w:rsidRPr="00702882">
              <w:rPr>
                <w:rFonts w:eastAsiaTheme="minorEastAsia"/>
                <w:bCs/>
                <w:sz w:val="22"/>
                <w:szCs w:val="22"/>
              </w:rPr>
              <w:t>More Negative</w:t>
            </w:r>
          </w:p>
        </w:tc>
      </w:tr>
      <w:tr w:rsidR="000B461C" w:rsidRPr="00702882" w14:paraId="03D1E003" w14:textId="77777777" w:rsidTr="00AE6820">
        <w:trPr>
          <w:jc w:val="center"/>
        </w:trPr>
        <w:tc>
          <w:tcPr>
            <w:tcW w:w="567" w:type="dxa"/>
            <w:vAlign w:val="center"/>
          </w:tcPr>
          <w:p w14:paraId="01694FDC" w14:textId="77777777" w:rsidR="00AF6702" w:rsidRPr="00702882" w:rsidRDefault="00AF6702" w:rsidP="00E64BCB">
            <w:pPr>
              <w:rPr>
                <w:bCs/>
                <w:sz w:val="22"/>
                <w:szCs w:val="22"/>
              </w:rPr>
            </w:pPr>
          </w:p>
        </w:tc>
        <w:tc>
          <w:tcPr>
            <w:tcW w:w="4536" w:type="dxa"/>
            <w:vAlign w:val="center"/>
          </w:tcPr>
          <w:p w14:paraId="40295E79" w14:textId="77777777" w:rsidR="00AF6702" w:rsidRPr="00702882" w:rsidRDefault="00AF6702" w:rsidP="00E64BCB">
            <w:pPr>
              <w:rPr>
                <w:bCs/>
                <w:sz w:val="22"/>
                <w:szCs w:val="22"/>
              </w:rPr>
            </w:pPr>
            <w:r w:rsidRPr="00702882">
              <w:rPr>
                <w:bCs/>
                <w:sz w:val="22"/>
              </w:rPr>
              <w:t>Withdrawal limit</w:t>
            </w:r>
          </w:p>
        </w:tc>
        <w:tc>
          <w:tcPr>
            <w:tcW w:w="1843" w:type="dxa"/>
            <w:vAlign w:val="center"/>
          </w:tcPr>
          <w:p w14:paraId="0E1A209A" w14:textId="77777777" w:rsidR="00AF6702" w:rsidRPr="00702882" w:rsidRDefault="00AF6702" w:rsidP="00E64BCB">
            <w:pPr>
              <w:rPr>
                <w:bCs/>
                <w:sz w:val="22"/>
                <w:szCs w:val="22"/>
              </w:rPr>
            </w:pPr>
          </w:p>
        </w:tc>
        <w:tc>
          <w:tcPr>
            <w:tcW w:w="1701" w:type="dxa"/>
            <w:vAlign w:val="center"/>
          </w:tcPr>
          <w:p w14:paraId="1B616E51" w14:textId="77777777" w:rsidR="00AF6702" w:rsidRPr="00702882" w:rsidRDefault="00AF6702" w:rsidP="00E64BCB">
            <w:pPr>
              <w:rPr>
                <w:bCs/>
                <w:sz w:val="22"/>
                <w:szCs w:val="22"/>
              </w:rPr>
            </w:pPr>
          </w:p>
        </w:tc>
      </w:tr>
      <w:tr w:rsidR="000B461C" w:rsidRPr="00702882" w14:paraId="02F1CFE1" w14:textId="77777777" w:rsidTr="00AE6820">
        <w:trPr>
          <w:jc w:val="center"/>
        </w:trPr>
        <w:tc>
          <w:tcPr>
            <w:tcW w:w="567" w:type="dxa"/>
            <w:vAlign w:val="center"/>
          </w:tcPr>
          <w:p w14:paraId="258B8A9D" w14:textId="77777777" w:rsidR="00AF6702" w:rsidRPr="00702882" w:rsidRDefault="00AF6702" w:rsidP="00E64BCB">
            <w:pPr>
              <w:rPr>
                <w:bCs/>
                <w:sz w:val="22"/>
                <w:szCs w:val="22"/>
              </w:rPr>
            </w:pPr>
          </w:p>
        </w:tc>
        <w:tc>
          <w:tcPr>
            <w:tcW w:w="4536" w:type="dxa"/>
            <w:vAlign w:val="center"/>
          </w:tcPr>
          <w:p w14:paraId="7551735C" w14:textId="4A669175" w:rsidR="00AF6702" w:rsidRPr="00702882" w:rsidRDefault="00AF6702" w:rsidP="00E64BCB">
            <w:pPr>
              <w:rPr>
                <w:bCs/>
                <w:sz w:val="22"/>
              </w:rPr>
            </w:pPr>
            <w:r w:rsidRPr="00702882">
              <w:rPr>
                <w:bCs/>
                <w:sz w:val="22"/>
                <w:szCs w:val="22"/>
              </w:rPr>
              <w:t xml:space="preserve">Repayment provision </w:t>
            </w:r>
          </w:p>
        </w:tc>
        <w:tc>
          <w:tcPr>
            <w:tcW w:w="1843" w:type="dxa"/>
            <w:vAlign w:val="center"/>
          </w:tcPr>
          <w:p w14:paraId="50C397D1" w14:textId="77777777" w:rsidR="00AF6702" w:rsidRPr="00702882" w:rsidRDefault="00AF6702" w:rsidP="00E64BCB">
            <w:pPr>
              <w:rPr>
                <w:bCs/>
                <w:sz w:val="22"/>
                <w:szCs w:val="22"/>
              </w:rPr>
            </w:pPr>
          </w:p>
        </w:tc>
        <w:tc>
          <w:tcPr>
            <w:tcW w:w="1701" w:type="dxa"/>
            <w:vAlign w:val="center"/>
          </w:tcPr>
          <w:p w14:paraId="7AA40F74" w14:textId="77777777" w:rsidR="00AF6702" w:rsidRPr="00702882" w:rsidRDefault="00AF6702" w:rsidP="00E64BCB">
            <w:pPr>
              <w:rPr>
                <w:bCs/>
                <w:sz w:val="22"/>
                <w:szCs w:val="22"/>
              </w:rPr>
            </w:pPr>
          </w:p>
        </w:tc>
      </w:tr>
      <w:tr w:rsidR="00AF6702" w:rsidRPr="00702882" w14:paraId="3044AE7A" w14:textId="77777777" w:rsidTr="00AE6820">
        <w:trPr>
          <w:jc w:val="center"/>
        </w:trPr>
        <w:tc>
          <w:tcPr>
            <w:tcW w:w="567" w:type="dxa"/>
            <w:tcBorders>
              <w:bottom w:val="single" w:sz="8" w:space="0" w:color="auto"/>
            </w:tcBorders>
            <w:vAlign w:val="center"/>
          </w:tcPr>
          <w:p w14:paraId="11C08C3C" w14:textId="77777777" w:rsidR="00AF6702" w:rsidRPr="00702882" w:rsidRDefault="00AF6702" w:rsidP="00E64BCB">
            <w:pPr>
              <w:rPr>
                <w:bCs/>
                <w:sz w:val="22"/>
                <w:szCs w:val="22"/>
              </w:rPr>
            </w:pPr>
            <w:r w:rsidRPr="00702882">
              <w:rPr>
                <w:bCs/>
                <w:sz w:val="22"/>
                <w:szCs w:val="22"/>
              </w:rPr>
              <w:t>H8</w:t>
            </w:r>
          </w:p>
        </w:tc>
        <w:tc>
          <w:tcPr>
            <w:tcW w:w="4536" w:type="dxa"/>
            <w:tcBorders>
              <w:bottom w:val="single" w:sz="8" w:space="0" w:color="auto"/>
            </w:tcBorders>
            <w:vAlign w:val="center"/>
          </w:tcPr>
          <w:p w14:paraId="22D094B2" w14:textId="77777777" w:rsidR="00AF6702" w:rsidRPr="00702882" w:rsidRDefault="00AF6702" w:rsidP="00E64BCB">
            <w:pPr>
              <w:rPr>
                <w:b/>
                <w:sz w:val="22"/>
              </w:rPr>
            </w:pPr>
            <w:r w:rsidRPr="00702882">
              <w:rPr>
                <w:b/>
                <w:sz w:val="22"/>
              </w:rPr>
              <w:t>Budget Stabilization Fund balance (BSF)</w:t>
            </w:r>
          </w:p>
        </w:tc>
        <w:tc>
          <w:tcPr>
            <w:tcW w:w="1843" w:type="dxa"/>
            <w:tcBorders>
              <w:bottom w:val="single" w:sz="8" w:space="0" w:color="auto"/>
            </w:tcBorders>
            <w:vAlign w:val="center"/>
          </w:tcPr>
          <w:p w14:paraId="36E5324D" w14:textId="77777777" w:rsidR="00AF6702" w:rsidRPr="00702882" w:rsidRDefault="00AF6702" w:rsidP="00E64BCB">
            <w:pPr>
              <w:rPr>
                <w:rFonts w:eastAsiaTheme="minorEastAsia"/>
                <w:bCs/>
                <w:sz w:val="22"/>
                <w:szCs w:val="22"/>
              </w:rPr>
            </w:pPr>
            <w:r w:rsidRPr="00702882">
              <w:rPr>
                <w:rFonts w:eastAsiaTheme="minorEastAsia"/>
                <w:bCs/>
                <w:sz w:val="22"/>
                <w:szCs w:val="22"/>
              </w:rPr>
              <w:t>Positive</w:t>
            </w:r>
          </w:p>
        </w:tc>
        <w:tc>
          <w:tcPr>
            <w:tcW w:w="1701" w:type="dxa"/>
            <w:tcBorders>
              <w:bottom w:val="single" w:sz="8" w:space="0" w:color="auto"/>
            </w:tcBorders>
            <w:vAlign w:val="center"/>
          </w:tcPr>
          <w:p w14:paraId="11C7924F" w14:textId="77777777" w:rsidR="00AF6702" w:rsidRPr="00702882" w:rsidRDefault="00AF6702" w:rsidP="00E64BCB">
            <w:pPr>
              <w:rPr>
                <w:rFonts w:eastAsiaTheme="minorEastAsia"/>
                <w:bCs/>
                <w:sz w:val="22"/>
                <w:szCs w:val="22"/>
              </w:rPr>
            </w:pPr>
            <w:r w:rsidRPr="00702882">
              <w:rPr>
                <w:rFonts w:eastAsiaTheme="minorEastAsia"/>
                <w:bCs/>
                <w:sz w:val="22"/>
                <w:szCs w:val="22"/>
              </w:rPr>
              <w:t>Positive</w:t>
            </w:r>
          </w:p>
        </w:tc>
      </w:tr>
      <w:bookmarkEnd w:id="34"/>
    </w:tbl>
    <w:p w14:paraId="55E646A0" w14:textId="77777777" w:rsidR="00AF6702" w:rsidRPr="00702882" w:rsidRDefault="00AF6702" w:rsidP="00C66AC4">
      <w:pPr>
        <w:spacing w:line="480" w:lineRule="auto"/>
        <w:rPr>
          <w:b/>
          <w:bCs/>
        </w:rPr>
      </w:pPr>
    </w:p>
    <w:p w14:paraId="7E304CD3" w14:textId="77777777" w:rsidR="00AF6702" w:rsidRPr="00702882" w:rsidRDefault="00AF6702" w:rsidP="00C66AC4">
      <w:pPr>
        <w:spacing w:line="480" w:lineRule="auto"/>
        <w:jc w:val="center"/>
        <w:rPr>
          <w:b/>
          <w:bCs/>
          <w:color w:val="7030A0"/>
        </w:rPr>
      </w:pPr>
    </w:p>
    <w:p w14:paraId="0A96AD08" w14:textId="77777777" w:rsidR="00AF6702" w:rsidRPr="00702882" w:rsidRDefault="00AF6702" w:rsidP="00C66AC4">
      <w:pPr>
        <w:spacing w:line="480" w:lineRule="auto"/>
        <w:rPr>
          <w:rFonts w:eastAsiaTheme="minorEastAsia"/>
          <w:b/>
          <w:bCs/>
          <w:color w:val="7030A0"/>
        </w:rPr>
      </w:pPr>
    </w:p>
    <w:p w14:paraId="4D8B684F" w14:textId="77777777" w:rsidR="00E64BCB" w:rsidRPr="00702882" w:rsidRDefault="00E64BCB" w:rsidP="00C66AC4">
      <w:pPr>
        <w:spacing w:line="480" w:lineRule="auto"/>
        <w:rPr>
          <w:rFonts w:eastAsiaTheme="minorEastAsia"/>
          <w:b/>
          <w:bCs/>
          <w:color w:val="7030A0"/>
        </w:rPr>
      </w:pPr>
    </w:p>
    <w:p w14:paraId="02D23F2E" w14:textId="77777777" w:rsidR="00E64BCB" w:rsidRPr="00702882" w:rsidRDefault="00E64BCB" w:rsidP="00C66AC4">
      <w:pPr>
        <w:spacing w:line="480" w:lineRule="auto"/>
        <w:rPr>
          <w:rFonts w:eastAsiaTheme="minorEastAsia"/>
          <w:b/>
          <w:bCs/>
          <w:color w:val="7030A0"/>
        </w:rPr>
      </w:pPr>
    </w:p>
    <w:p w14:paraId="4AFF6A9C" w14:textId="77777777" w:rsidR="00E64BCB" w:rsidRPr="00702882" w:rsidRDefault="00E64BCB" w:rsidP="00C66AC4">
      <w:pPr>
        <w:spacing w:line="480" w:lineRule="auto"/>
        <w:rPr>
          <w:rFonts w:eastAsiaTheme="minorEastAsia"/>
          <w:b/>
          <w:bCs/>
          <w:color w:val="7030A0"/>
        </w:rPr>
      </w:pPr>
    </w:p>
    <w:p w14:paraId="7757625F" w14:textId="77777777" w:rsidR="00761E99" w:rsidRPr="00702882" w:rsidRDefault="00761E99" w:rsidP="00C66AC4">
      <w:pPr>
        <w:spacing w:line="480" w:lineRule="auto"/>
        <w:rPr>
          <w:rFonts w:eastAsiaTheme="minorEastAsia"/>
          <w:color w:val="7030A0"/>
        </w:rPr>
      </w:pPr>
    </w:p>
    <w:p w14:paraId="5178CAB2" w14:textId="77777777" w:rsidR="00AF6702" w:rsidRPr="00702882" w:rsidRDefault="00AF6702" w:rsidP="00C66AC4">
      <w:pPr>
        <w:spacing w:line="480" w:lineRule="auto"/>
        <w:rPr>
          <w:b/>
          <w:bCs/>
        </w:rPr>
      </w:pPr>
      <w:bookmarkStart w:id="35" w:name="TheImpactofBSFDeposit"/>
      <w:r w:rsidRPr="00702882">
        <w:rPr>
          <w:b/>
          <w:bCs/>
        </w:rPr>
        <w:lastRenderedPageBreak/>
        <w:t xml:space="preserve">4.2 </w:t>
      </w:r>
      <w:bookmarkStart w:id="36" w:name="Hypotheses"/>
      <w:r w:rsidRPr="00702882">
        <w:rPr>
          <w:b/>
          <w:bCs/>
        </w:rPr>
        <w:t>Hypotheses</w:t>
      </w:r>
    </w:p>
    <w:bookmarkEnd w:id="36"/>
    <w:p w14:paraId="2204F0BF" w14:textId="77777777" w:rsidR="00AF6702" w:rsidRPr="00702882" w:rsidRDefault="00AF6702" w:rsidP="00C66AC4">
      <w:pPr>
        <w:spacing w:line="480" w:lineRule="auto"/>
        <w:ind w:firstLineChars="120" w:firstLine="283"/>
        <w:rPr>
          <w:b/>
          <w:bCs/>
          <w:i/>
          <w:iCs/>
        </w:rPr>
      </w:pPr>
      <w:r w:rsidRPr="00702882">
        <w:rPr>
          <w:b/>
          <w:bCs/>
          <w:i/>
          <w:iCs/>
        </w:rPr>
        <w:t xml:space="preserve">4.2.1 The Impact of BSF Deposit </w:t>
      </w:r>
      <w:bookmarkEnd w:id="35"/>
      <w:r w:rsidRPr="00702882">
        <w:rPr>
          <w:b/>
          <w:bCs/>
          <w:i/>
          <w:iCs/>
        </w:rPr>
        <w:t>and Withdrawal Requirements on BSF Levels</w:t>
      </w:r>
    </w:p>
    <w:p w14:paraId="3294A04F" w14:textId="77777777" w:rsidR="00AF6702" w:rsidRPr="00702882" w:rsidRDefault="00AF6702" w:rsidP="00C66AC4">
      <w:pPr>
        <w:spacing w:line="480" w:lineRule="auto"/>
        <w:ind w:firstLine="720"/>
        <w:rPr>
          <w:rFonts w:eastAsiaTheme="minorEastAsia"/>
        </w:rPr>
      </w:pPr>
      <w:bookmarkStart w:id="37" w:name="_Hlk161316345"/>
      <w:r w:rsidRPr="00702882">
        <w:rPr>
          <w:rFonts w:eastAsiaTheme="minorEastAsia"/>
        </w:rPr>
        <w:t xml:space="preserve">Drawing from the principles of New Institutional Economics (NIE), I hypothesize that the stringency of rules governing the deposit and withdrawal processes of the BSF serves to bolster the levels of BSF balances. This hypothesis is based on the premise that stringent regulations act as a deterrent against unnecessary spending from the fund. This hypothesis draws on insights from Section 3.1.1, which underscores the pivotal role of deposit and withdrawal rules in shaping the behavior and outcomes of budgetary stabilization mechanisms. By imposing barriers to both deposit and withdrawal, such rules are expected to foster discipline among policymakers and administrators, discouraging the use of BSF resources for short-term or political purposes </w:t>
      </w:r>
      <w:r w:rsidRPr="00702882">
        <w:t>(Hou &amp; Moynihan, 2008)</w:t>
      </w:r>
      <w:r w:rsidRPr="00702882">
        <w:rPr>
          <w:rFonts w:eastAsiaTheme="minorEastAsia"/>
        </w:rPr>
        <w:t xml:space="preserve">. </w:t>
      </w:r>
    </w:p>
    <w:p w14:paraId="0AD6D723" w14:textId="77777777" w:rsidR="00AF6702" w:rsidRPr="00702882" w:rsidRDefault="00AF6702" w:rsidP="00C66AC4">
      <w:pPr>
        <w:spacing w:line="480" w:lineRule="auto"/>
        <w:ind w:firstLine="720"/>
        <w:rPr>
          <w:rFonts w:eastAsiaTheme="minorEastAsia"/>
        </w:rPr>
      </w:pPr>
      <w:r w:rsidRPr="00702882">
        <w:rPr>
          <w:rFonts w:eastAsiaTheme="minorEastAsia"/>
        </w:rPr>
        <w:t>Thus, they promote the accumulation of reserves within the BSF, thereby enhancing its capacity to mitigate economic downturns and unforeseen fiscal shocks effectively</w:t>
      </w:r>
      <w:bookmarkEnd w:id="37"/>
      <w:r w:rsidRPr="00702882">
        <w:rPr>
          <w:rFonts w:eastAsiaTheme="minorEastAsia"/>
        </w:rPr>
        <w:t xml:space="preserve">. </w:t>
      </w:r>
      <w:r w:rsidRPr="00702882">
        <w:t>This relationship between stringent BSF rules and size is expected to strengthen during boom years when states have the resources to augment the size of the BSF. In contrast, the association between stringent BSF deposit rules and balance levels tends to weaken in bust years, coinciding with revenue shortfalls experienced by most states.</w:t>
      </w:r>
      <w:r w:rsidRPr="00702882">
        <w:rPr>
          <w:rFonts w:eastAsiaTheme="minorEastAsia"/>
        </w:rPr>
        <w:t xml:space="preserve"> </w:t>
      </w:r>
      <w:r w:rsidRPr="00702882">
        <w:t>As outlined in Section 2.3, the stringency of BSF rules is a function of the degree of obligation (e.g., savings requirements, spending conditions, and restrictions on withdrawal) and precision.</w:t>
      </w:r>
    </w:p>
    <w:p w14:paraId="6F08046C" w14:textId="77777777" w:rsidR="00AF6702" w:rsidRPr="00702882" w:rsidRDefault="00AF6702" w:rsidP="00C66AC4">
      <w:pPr>
        <w:spacing w:line="480" w:lineRule="auto"/>
        <w:ind w:firstLine="720"/>
        <w:rPr>
          <w:rFonts w:eastAsiaTheme="minorEastAsia"/>
        </w:rPr>
      </w:pPr>
      <w:r w:rsidRPr="00702882">
        <w:t>The hypotheses regarding the effects of deposit and withdrawal requirements on BSF balance levels are constructed based on these stringency attributes. For instance, “funding source” is deemed to have high stringency</w:t>
      </w:r>
      <w:r w:rsidRPr="00702882">
        <w:rPr>
          <w:rFonts w:eastAsiaTheme="minorEastAsia"/>
        </w:rPr>
        <w:t xml:space="preserve">, </w:t>
      </w:r>
      <w:r w:rsidRPr="00702882">
        <w:t>discussed in Section 2.4.1</w:t>
      </w:r>
      <w:r w:rsidRPr="00702882">
        <w:rPr>
          <w:rFonts w:eastAsiaTheme="minorEastAsia"/>
        </w:rPr>
        <w:t>,</w:t>
      </w:r>
      <w:r w:rsidRPr="00702882">
        <w:t xml:space="preserve"> because it specifies the funding source (precision) and links BSF deposit to a specific tax with revenue-generating capacity (obligation). </w:t>
      </w:r>
      <w:r w:rsidRPr="00702882">
        <w:rPr>
          <w:rFonts w:eastAsiaTheme="minorEastAsia"/>
        </w:rPr>
        <w:t>“D</w:t>
      </w:r>
      <w:r w:rsidRPr="00702882">
        <w:t>eposit tied to revenue volatility</w:t>
      </w:r>
      <w:r w:rsidRPr="00702882">
        <w:rPr>
          <w:rFonts w:eastAsiaTheme="minorEastAsia"/>
        </w:rPr>
        <w:t xml:space="preserve">” </w:t>
      </w:r>
      <w:r w:rsidRPr="00702882">
        <w:t xml:space="preserve">compels states to save general </w:t>
      </w:r>
      <w:r w:rsidRPr="00702882">
        <w:lastRenderedPageBreak/>
        <w:t xml:space="preserve">funds during boom years (obligation). The “formula of the deposit tied to revenue volatility” precisely defines the terms of savings to prevent states from wasting their general fund surplus (precision). A higher “cap” level sets a more ambitious target for savings obligation than a lower cap level, as discussed in 2.4.7. </w:t>
      </w:r>
    </w:p>
    <w:p w14:paraId="219E919B" w14:textId="77777777" w:rsidR="00AF6702" w:rsidRPr="00702882" w:rsidRDefault="00AF6702" w:rsidP="00C66AC4">
      <w:pPr>
        <w:spacing w:line="480" w:lineRule="auto"/>
        <w:ind w:firstLine="720"/>
        <w:rPr>
          <w:rFonts w:eastAsiaTheme="minorEastAsia"/>
        </w:rPr>
      </w:pPr>
      <w:r w:rsidRPr="00702882">
        <w:t xml:space="preserve">Deposit by executive, deposit by legislature, and deposit in other ways are classified as having low stringency of deposit requirements. As discussed in Sections 2.4.2 and 2.4.3, neither “deposit by executive” nor “deposit by legislature” holds the aforementioned attributes </w:t>
      </w:r>
      <w:r w:rsidRPr="00702882">
        <w:rPr>
          <w:rFonts w:eastAsiaTheme="minorEastAsia"/>
        </w:rPr>
        <w:t xml:space="preserve">of stringency, </w:t>
      </w:r>
      <w:r w:rsidRPr="00702882">
        <w:t>as they do not require states to save revenue surplus</w:t>
      </w:r>
      <w:r w:rsidRPr="00702882">
        <w:rPr>
          <w:rFonts w:eastAsiaTheme="minorEastAsia"/>
        </w:rPr>
        <w:t xml:space="preserve"> or certain portions of revenue towards savings</w:t>
      </w:r>
      <w:r w:rsidRPr="00702882">
        <w:t>.</w:t>
      </w:r>
      <w:r w:rsidRPr="00702882">
        <w:rPr>
          <w:rFonts w:eastAsiaTheme="minorEastAsia"/>
        </w:rPr>
        <w:t xml:space="preserve"> </w:t>
      </w:r>
      <w:r w:rsidRPr="00702882">
        <w:t>Similarly, “deposit in other ways” does not enforce states to save undesignated general fund balance above thresholds (minimum required amount).</w:t>
      </w:r>
      <w:r w:rsidRPr="00702882">
        <w:rPr>
          <w:rFonts w:eastAsiaTheme="minorEastAsia"/>
        </w:rPr>
        <w:t xml:space="preserve"> </w:t>
      </w:r>
      <w:r w:rsidRPr="00702882">
        <w:t>In boom years, minimum deposit requirements may exhibit a “floor effect,” potentially reaching the threshold level (Hou, 2004). However, if states’ BSFs already exceed the thresholds, they will not need to deposit money into BSFs; thus, the minimum deposit requirements will not significantly increase BSF balance levels. Consequently, the business cycle (boom or bust) makes, at best, a marginal change in BSF balance levels for BSFs characterized by weak deposit requirements.</w:t>
      </w:r>
    </w:p>
    <w:p w14:paraId="7528FDB4" w14:textId="703243D7" w:rsidR="00AF6702" w:rsidRPr="00702882" w:rsidRDefault="00AF6702" w:rsidP="00C110E9">
      <w:pPr>
        <w:spacing w:line="480" w:lineRule="auto"/>
        <w:ind w:firstLine="720"/>
        <w:rPr>
          <w:rFonts w:eastAsiaTheme="minorEastAsia"/>
        </w:rPr>
      </w:pPr>
      <w:r w:rsidRPr="00702882">
        <w:t xml:space="preserve">In summary, it is expected that stringent BSF deposit requirements, including </w:t>
      </w:r>
      <w:r w:rsidRPr="00702882">
        <w:rPr>
          <w:rFonts w:eastAsiaTheme="minorEastAsia"/>
        </w:rPr>
        <w:t xml:space="preserve">i) </w:t>
      </w:r>
      <w:r w:rsidRPr="00702882">
        <w:t xml:space="preserve">source, </w:t>
      </w:r>
      <w:r w:rsidRPr="00702882">
        <w:rPr>
          <w:rFonts w:eastAsiaTheme="minorEastAsia"/>
        </w:rPr>
        <w:t xml:space="preserve">ii) </w:t>
      </w:r>
      <w:r w:rsidRPr="00702882">
        <w:t>deposit by revenue surplus,</w:t>
      </w:r>
      <w:r w:rsidRPr="00702882">
        <w:rPr>
          <w:rFonts w:eastAsiaTheme="minorEastAsia"/>
        </w:rPr>
        <w:t xml:space="preserve"> iii)</w:t>
      </w:r>
      <w:r w:rsidRPr="00702882">
        <w:t xml:space="preserve"> deposit tied to revenue volatility, and </w:t>
      </w:r>
      <w:r w:rsidRPr="00702882">
        <w:rPr>
          <w:rFonts w:eastAsiaTheme="minorEastAsia"/>
        </w:rPr>
        <w:t>iv) high cap</w:t>
      </w:r>
      <w:r w:rsidRPr="00702882">
        <w:t>, lead to higher BSF balance levels. The positive effects of deposit requirements on BSF balances are anticipated to be more pronounced in boom years when revenue surpluses are likely to occur; thus, states can afford to save the funds. In lean years, where revenue tends to decrease while spending needs for public services increase, resulting in a decrease in BSF balance levels. Given budget deficits, states are unable to save their funds; therefore, deposit requirements may not have significant effects during recession years.</w:t>
      </w:r>
    </w:p>
    <w:p w14:paraId="4099C66C" w14:textId="77777777" w:rsidR="00AF6702" w:rsidRPr="00702882" w:rsidRDefault="00AF6702" w:rsidP="00C66AC4">
      <w:pPr>
        <w:spacing w:line="480" w:lineRule="auto"/>
        <w:ind w:left="360"/>
        <w:rPr>
          <w:strike/>
        </w:rPr>
      </w:pPr>
      <w:r w:rsidRPr="00702882">
        <w:rPr>
          <w:b/>
          <w:bCs/>
        </w:rPr>
        <w:lastRenderedPageBreak/>
        <w:t xml:space="preserve">H1. </w:t>
      </w:r>
      <w:r w:rsidRPr="00702882">
        <w:t xml:space="preserve">A high stringency in deposit requirements, which obliges states to save more, has a </w:t>
      </w:r>
      <w:r w:rsidRPr="00702882">
        <w:rPr>
          <w:i/>
          <w:iCs/>
        </w:rPr>
        <w:t>positive</w:t>
      </w:r>
      <w:r w:rsidRPr="00702882">
        <w:t xml:space="preserve"> impact on BSF balance levels as a percent of General Fund expenditures. </w:t>
      </w:r>
    </w:p>
    <w:p w14:paraId="665DE397" w14:textId="77777777" w:rsidR="00AF6702" w:rsidRPr="00702882" w:rsidRDefault="00AF6702" w:rsidP="00C66AC4">
      <w:pPr>
        <w:pStyle w:val="a3"/>
        <w:numPr>
          <w:ilvl w:val="1"/>
          <w:numId w:val="1"/>
        </w:numPr>
        <w:spacing w:line="480" w:lineRule="auto"/>
        <w:ind w:left="720"/>
        <w:rPr>
          <w:rFonts w:ascii="Times New Roman" w:hAnsi="Times New Roman" w:cs="Times New Roman"/>
        </w:rPr>
      </w:pPr>
      <w:r w:rsidRPr="00702882">
        <w:rPr>
          <w:rFonts w:ascii="Times New Roman" w:hAnsi="Times New Roman" w:cs="Times New Roman"/>
        </w:rPr>
        <w:t xml:space="preserve">The magnitude of the effect in H1 becomes </w:t>
      </w:r>
      <w:r w:rsidRPr="00702882">
        <w:rPr>
          <w:rFonts w:ascii="Times New Roman" w:hAnsi="Times New Roman" w:cs="Times New Roman"/>
          <w:i/>
          <w:iCs/>
        </w:rPr>
        <w:t xml:space="preserve">smaller (less positive or insignificant) </w:t>
      </w:r>
      <w:r w:rsidRPr="00702882">
        <w:rPr>
          <w:rFonts w:ascii="Times New Roman" w:hAnsi="Times New Roman" w:cs="Times New Roman"/>
        </w:rPr>
        <w:t>during recession years.</w:t>
      </w:r>
    </w:p>
    <w:p w14:paraId="3AF10733" w14:textId="77777777" w:rsidR="00AF6702" w:rsidRPr="00702882" w:rsidRDefault="00AF6702" w:rsidP="00C66AC4">
      <w:pPr>
        <w:spacing w:line="480" w:lineRule="auto"/>
        <w:rPr>
          <w:color w:val="7030A0"/>
        </w:rPr>
      </w:pPr>
    </w:p>
    <w:p w14:paraId="4BAE0638" w14:textId="77777777" w:rsidR="00AF6702" w:rsidRPr="00702882" w:rsidRDefault="00AF6702" w:rsidP="00C66AC4">
      <w:pPr>
        <w:spacing w:line="480" w:lineRule="auto"/>
        <w:ind w:firstLine="720"/>
      </w:pPr>
      <w:r w:rsidRPr="00702882">
        <w:t xml:space="preserve">Like stringent deposit requirements, the magnitude and significance of the effects of withdrawal requirements on BSF balances depend on their stringency. Weak withdrawal requirements do not strictly restrict states from using their BSFs in terms of withdrawal terms and amounts. For example, both “withdrawal by executive decision” and “withdrawal by legislative appropriation” are not stringent due to the lack of precision in terms of conditions for withdrawal from BSFs as discussed in 2.4.2 and 2.4.3, respectively. The lack of precision allows public officials or politicians to access their BSFs and use them for political purposes. Thus, it cannot fend off spending pressure regardless of business cycle, thereby reducing BSF balances. </w:t>
      </w:r>
    </w:p>
    <w:p w14:paraId="6E317240" w14:textId="77777777" w:rsidR="00AF6702" w:rsidRPr="00702882" w:rsidRDefault="00AF6702" w:rsidP="00C66AC4">
      <w:pPr>
        <w:spacing w:line="480" w:lineRule="auto"/>
        <w:ind w:firstLine="720"/>
      </w:pPr>
      <w:r w:rsidRPr="00702882">
        <w:t>Stringent withdrawal requirements make it challenging for states to use their BSFs during boom years, while allowing withdrawals when budget deficits occur in recession years. For instance, “withdrawal tied to revenue volatility” or “withdrawal by revenue shortfall” permits withdrawals from the BSF only when there is a decrease in revenue, computed by a formula.</w:t>
      </w:r>
      <w:r w:rsidRPr="00702882">
        <w:rPr>
          <w:rFonts w:eastAsiaTheme="minorEastAsia"/>
        </w:rPr>
        <w:t xml:space="preserve"> </w:t>
      </w:r>
      <w:r w:rsidRPr="00702882">
        <w:t xml:space="preserve">Conversely, it is expected that these variables will exert a </w:t>
      </w:r>
      <w:r w:rsidRPr="00702882">
        <w:rPr>
          <w:i/>
          <w:iCs/>
        </w:rPr>
        <w:t>positive impact</w:t>
      </w:r>
      <w:r w:rsidRPr="00702882">
        <w:t xml:space="preserve"> on BSF balances in periods of economic boom.</w:t>
      </w:r>
      <w:r w:rsidRPr="00702882">
        <w:rPr>
          <w:rFonts w:eastAsiaTheme="minorEastAsia"/>
        </w:rPr>
        <w:t xml:space="preserve"> </w:t>
      </w:r>
      <w:r w:rsidRPr="00702882">
        <w:t xml:space="preserve">However, they have a </w:t>
      </w:r>
      <w:r w:rsidRPr="00702882">
        <w:rPr>
          <w:i/>
          <w:iCs/>
        </w:rPr>
        <w:t>negative impact</w:t>
      </w:r>
      <w:r w:rsidRPr="00702882">
        <w:t xml:space="preserve"> on BSF balances in recession years when withdrawals from BSF are needed to cover budget deficits.</w:t>
      </w:r>
    </w:p>
    <w:p w14:paraId="79F8EE44" w14:textId="2FC22D9C" w:rsidR="00AF6702" w:rsidRPr="00702882" w:rsidRDefault="00AF6702" w:rsidP="00C66AC4">
      <w:pPr>
        <w:spacing w:line="480" w:lineRule="auto"/>
        <w:ind w:firstLine="720"/>
      </w:pPr>
      <w:r w:rsidRPr="00702882">
        <w:t xml:space="preserve">It is worth noting that a high stringency of withdrawal requirements contributes to BSF balance levels as it helps reduce the amount of decrease in BSF balance levels compared </w:t>
      </w:r>
      <w:r w:rsidRPr="00702882">
        <w:lastRenderedPageBreak/>
        <w:t xml:space="preserve">to low stringency of withdrawal requirements especially in boom years. For this reason, this study </w:t>
      </w:r>
      <w:r w:rsidR="004F4A6B" w:rsidRPr="00702882">
        <w:rPr>
          <w:rFonts w:eastAsiaTheme="minorEastAsia"/>
        </w:rPr>
        <w:t>aims to</w:t>
      </w:r>
      <w:r w:rsidRPr="00702882">
        <w:t xml:space="preserve"> compare the magnitude of the effect of high stringency of withdrawal requirements to that of low stringency of withdrawal requirements. In boom years, a low stringency of withdrawal requirements is expected to reduce BSF balance levels than a high stringency of withdrawal requirements.</w:t>
      </w:r>
    </w:p>
    <w:p w14:paraId="5DD9B1FE" w14:textId="77777777" w:rsidR="00AF6702" w:rsidRPr="00702882" w:rsidRDefault="00AF6702" w:rsidP="004F4A6B">
      <w:pPr>
        <w:spacing w:line="480" w:lineRule="auto"/>
        <w:rPr>
          <w:rFonts w:eastAsiaTheme="minorEastAsia"/>
        </w:rPr>
      </w:pPr>
      <w:bookmarkStart w:id="38" w:name="_Hlk157156956"/>
    </w:p>
    <w:p w14:paraId="038E50E4" w14:textId="77777777" w:rsidR="00AF6702" w:rsidRPr="00702882" w:rsidRDefault="00AF6702" w:rsidP="00C66AC4">
      <w:pPr>
        <w:spacing w:line="480" w:lineRule="auto"/>
        <w:ind w:left="360"/>
      </w:pPr>
      <w:r w:rsidRPr="00702882">
        <w:rPr>
          <w:b/>
          <w:bCs/>
        </w:rPr>
        <w:t>H2.</w:t>
      </w:r>
      <w:r w:rsidRPr="00702882">
        <w:t xml:space="preserve"> A high stringency of withdrawal requirements has a</w:t>
      </w:r>
      <w:r w:rsidRPr="00702882">
        <w:rPr>
          <w:i/>
          <w:iCs/>
        </w:rPr>
        <w:t xml:space="preserve"> positive</w:t>
      </w:r>
      <w:r w:rsidRPr="00702882">
        <w:t xml:space="preserve"> impact on BSF balance levels as a percent of General Fund expenditures.</w:t>
      </w:r>
    </w:p>
    <w:bookmarkEnd w:id="38"/>
    <w:p w14:paraId="05C1F8B9" w14:textId="77777777" w:rsidR="00AF6702" w:rsidRPr="00702882" w:rsidRDefault="00AF6702" w:rsidP="00C66AC4">
      <w:pPr>
        <w:pStyle w:val="a3"/>
        <w:numPr>
          <w:ilvl w:val="0"/>
          <w:numId w:val="23"/>
        </w:numPr>
        <w:spacing w:line="480" w:lineRule="auto"/>
        <w:ind w:left="720"/>
        <w:rPr>
          <w:rFonts w:ascii="Times New Roman" w:hAnsi="Times New Roman" w:cs="Times New Roman"/>
        </w:rPr>
      </w:pPr>
      <w:r w:rsidRPr="00702882">
        <w:rPr>
          <w:rFonts w:ascii="Times New Roman" w:hAnsi="Times New Roman" w:cs="Times New Roman"/>
        </w:rPr>
        <w:t xml:space="preserve">The effect in H2 becomes </w:t>
      </w:r>
      <w:r w:rsidRPr="00702882">
        <w:rPr>
          <w:rFonts w:ascii="Times New Roman" w:hAnsi="Times New Roman" w:cs="Times New Roman"/>
          <w:i/>
          <w:iCs/>
        </w:rPr>
        <w:t>negative</w:t>
      </w:r>
      <w:r w:rsidRPr="00702882">
        <w:rPr>
          <w:rFonts w:ascii="Times New Roman" w:hAnsi="Times New Roman" w:cs="Times New Roman"/>
        </w:rPr>
        <w:t xml:space="preserve"> during recession years, allowing states to access their BSFs only when budget deficits occur.</w:t>
      </w:r>
    </w:p>
    <w:p w14:paraId="7D6F8607" w14:textId="77777777" w:rsidR="00AF6702" w:rsidRPr="00702882" w:rsidRDefault="00AF6702" w:rsidP="00C66AC4">
      <w:pPr>
        <w:spacing w:line="480" w:lineRule="auto"/>
      </w:pPr>
    </w:p>
    <w:p w14:paraId="3A75BCEB" w14:textId="3272B1CD" w:rsidR="00AF6702" w:rsidRPr="00702882" w:rsidRDefault="00AF6702" w:rsidP="00C66AC4">
      <w:pPr>
        <w:spacing w:line="480" w:lineRule="auto"/>
        <w:ind w:firstLine="720"/>
        <w:rPr>
          <w:rFonts w:eastAsiaTheme="minorEastAsia"/>
        </w:rPr>
      </w:pPr>
      <w:r w:rsidRPr="00702882">
        <w:t>A high level of stringency in withdrawal restrictions is expected to mitigate the negative impact of BSF withdrawal requirements, by limiting the amount of money that can be withdrawn from BSFs. Thus, “withdrawal limit” is expected to have a positive impact on BSF balance levels</w:t>
      </w:r>
      <w:r w:rsidRPr="00702882">
        <w:rPr>
          <w:rFonts w:eastAsiaTheme="minorEastAsia"/>
        </w:rPr>
        <w:t>, even during periods of economic recession</w:t>
      </w:r>
      <w:r w:rsidRPr="00702882">
        <w:t>. This stands in contrast to withdrawal requirements that permit states to access their BSFs during periods of economic downturn.</w:t>
      </w:r>
      <w:r w:rsidRPr="00702882">
        <w:rPr>
          <w:rFonts w:eastAsiaTheme="minorEastAsia"/>
        </w:rPr>
        <w:t xml:space="preserve"> In other words, the difference between withdrawal restrictions and withdrawal requirements stems from their distinct effects during times of fiscal stress.</w:t>
      </w:r>
    </w:p>
    <w:p w14:paraId="51DD5F4F" w14:textId="77777777" w:rsidR="00AF6702" w:rsidRPr="00702882" w:rsidRDefault="00AF6702" w:rsidP="00C66AC4">
      <w:pPr>
        <w:spacing w:line="480" w:lineRule="auto"/>
        <w:ind w:firstLine="720"/>
        <w:rPr>
          <w:rFonts w:eastAsiaTheme="minorEastAsia"/>
        </w:rPr>
      </w:pPr>
      <w:r w:rsidRPr="00702882">
        <w:rPr>
          <w:rFonts w:eastAsiaTheme="minorEastAsia"/>
        </w:rPr>
        <w:t xml:space="preserve">Specifically, stringent withdrawal requirements (e.g., withdrawal by revenue shortfall and withdrawal tied to revenue volatility) are expected to negatively affect BSF levels, as they permit states to use their BSFs to offset budget deficits. Conversely, withdrawal restrictions are expected to yield positive effects on BSF levels by limiting BSF use even amidst economic downturns. </w:t>
      </w:r>
    </w:p>
    <w:p w14:paraId="349E2EAB" w14:textId="77777777" w:rsidR="00AF6702" w:rsidRPr="00702882" w:rsidRDefault="00AF6702" w:rsidP="00C66AC4">
      <w:pPr>
        <w:spacing w:line="480" w:lineRule="auto"/>
        <w:ind w:firstLine="720"/>
        <w:rPr>
          <w:rFonts w:eastAsiaTheme="minorEastAsia"/>
        </w:rPr>
      </w:pPr>
      <w:r w:rsidRPr="00702882">
        <w:rPr>
          <w:rFonts w:eastAsiaTheme="minorEastAsia"/>
        </w:rPr>
        <w:lastRenderedPageBreak/>
        <w:t>“Repayment provision” can be regarded as both stringent deposit requirements and withdrawal restrictions. It entails precision by specifying the deadline for repayment and imposes an obligation to return borrowed funds. However, mandating repayment within a short timeframe causes states to hesitate in utilizing their BSFs, given the challenge of repaying within such a limited period. Therefore, it functions as a restriction on withdrawals, leading to the expectation that stringent repayment provisions also contribute positively to BSF balance levels.</w:t>
      </w:r>
    </w:p>
    <w:p w14:paraId="33712F36" w14:textId="77777777" w:rsidR="00AF6702" w:rsidRPr="00702882" w:rsidRDefault="00AF6702" w:rsidP="00C66AC4">
      <w:pPr>
        <w:spacing w:line="480" w:lineRule="auto"/>
        <w:rPr>
          <w:rFonts w:eastAsiaTheme="minorEastAsia"/>
        </w:rPr>
      </w:pPr>
    </w:p>
    <w:p w14:paraId="182D0356" w14:textId="77777777" w:rsidR="00AF6702" w:rsidRPr="00702882" w:rsidRDefault="00AF6702" w:rsidP="00C66AC4">
      <w:pPr>
        <w:spacing w:line="480" w:lineRule="auto"/>
        <w:ind w:left="360"/>
      </w:pPr>
      <w:r w:rsidRPr="00702882">
        <w:rPr>
          <w:b/>
          <w:bCs/>
        </w:rPr>
        <w:t>H3.</w:t>
      </w:r>
      <w:r w:rsidRPr="00702882">
        <w:t xml:space="preserve"> A high stringency of withdrawal restrictions has a </w:t>
      </w:r>
      <w:r w:rsidRPr="00702882">
        <w:rPr>
          <w:i/>
          <w:iCs/>
        </w:rPr>
        <w:t xml:space="preserve">positive </w:t>
      </w:r>
      <w:r w:rsidRPr="00702882">
        <w:t xml:space="preserve">impact on BSF balance levels as a percent of General Fund expenditures. </w:t>
      </w:r>
    </w:p>
    <w:p w14:paraId="11E5B01E" w14:textId="77777777" w:rsidR="00AF6702" w:rsidRPr="00702882" w:rsidRDefault="00AF6702" w:rsidP="00C66AC4">
      <w:pPr>
        <w:pStyle w:val="a3"/>
        <w:numPr>
          <w:ilvl w:val="0"/>
          <w:numId w:val="29"/>
        </w:numPr>
        <w:spacing w:line="480" w:lineRule="auto"/>
        <w:rPr>
          <w:rFonts w:ascii="Times New Roman" w:hAnsi="Times New Roman" w:cs="Times New Roman"/>
        </w:rPr>
      </w:pPr>
      <w:r w:rsidRPr="00702882">
        <w:rPr>
          <w:rFonts w:ascii="Times New Roman" w:hAnsi="Times New Roman" w:cs="Times New Roman"/>
        </w:rPr>
        <w:t xml:space="preserve">The effect in H3 remains </w:t>
      </w:r>
      <w:r w:rsidRPr="00702882">
        <w:rPr>
          <w:rFonts w:ascii="Times New Roman" w:hAnsi="Times New Roman" w:cs="Times New Roman"/>
          <w:i/>
          <w:iCs/>
        </w:rPr>
        <w:t xml:space="preserve">positive </w:t>
      </w:r>
      <w:r w:rsidRPr="00702882">
        <w:rPr>
          <w:rFonts w:ascii="Times New Roman" w:hAnsi="Times New Roman" w:cs="Times New Roman"/>
        </w:rPr>
        <w:t>even during recession years.</w:t>
      </w:r>
    </w:p>
    <w:p w14:paraId="33A23961" w14:textId="77777777" w:rsidR="00AF6702" w:rsidRPr="00702882" w:rsidRDefault="00AF6702" w:rsidP="00C66AC4">
      <w:pPr>
        <w:spacing w:line="480" w:lineRule="auto"/>
        <w:rPr>
          <w:rFonts w:eastAsiaTheme="minorEastAsia"/>
        </w:rPr>
      </w:pPr>
    </w:p>
    <w:p w14:paraId="718006D7" w14:textId="77777777" w:rsidR="00AF6702" w:rsidRPr="00702882" w:rsidRDefault="00AF6702" w:rsidP="00C66AC4">
      <w:pPr>
        <w:spacing w:line="480" w:lineRule="auto"/>
        <w:jc w:val="center"/>
        <w:rPr>
          <w:b/>
          <w:bCs/>
        </w:rPr>
      </w:pPr>
      <w:r w:rsidRPr="00702882">
        <w:rPr>
          <w:b/>
          <w:bCs/>
        </w:rPr>
        <w:t xml:space="preserve">Figure 2. </w:t>
      </w:r>
      <w:bookmarkStart w:id="39" w:name="_Hlk157342774"/>
      <w:r w:rsidRPr="00702882">
        <w:rPr>
          <w:b/>
          <w:bCs/>
        </w:rPr>
        <w:t>BSF Balances as a Share of Total Balances</w:t>
      </w:r>
      <w:bookmarkStart w:id="40" w:name="BSFBalancesasaShareofTotalBalance"/>
      <w:bookmarkEnd w:id="39"/>
      <w:bookmarkEnd w:id="40"/>
    </w:p>
    <w:p w14:paraId="579366AE" w14:textId="77777777" w:rsidR="00AF6702" w:rsidRPr="00702882" w:rsidRDefault="00AF6702" w:rsidP="00C66AC4">
      <w:pPr>
        <w:spacing w:line="480" w:lineRule="auto"/>
        <w:rPr>
          <w:color w:val="7030A0"/>
        </w:rPr>
      </w:pPr>
      <w:r w:rsidRPr="00702882">
        <w:rPr>
          <w:noProof/>
          <w:color w:val="7030A0"/>
        </w:rPr>
        <w:drawing>
          <wp:inline distT="0" distB="0" distL="0" distR="0" wp14:anchorId="67E12E6D" wp14:editId="44BEF998">
            <wp:extent cx="5943600" cy="3374390"/>
            <wp:effectExtent l="0" t="0" r="0" b="3810"/>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p&#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943600" cy="3374390"/>
                    </a:xfrm>
                    <a:prstGeom prst="rect">
                      <a:avLst/>
                    </a:prstGeom>
                  </pic:spPr>
                </pic:pic>
              </a:graphicData>
            </a:graphic>
          </wp:inline>
        </w:drawing>
      </w:r>
    </w:p>
    <w:p w14:paraId="7269455A" w14:textId="483AAA15" w:rsidR="00AF6702" w:rsidRPr="00702882" w:rsidRDefault="00AF6702" w:rsidP="00922D39">
      <w:pPr>
        <w:spacing w:line="480" w:lineRule="auto"/>
        <w:ind w:left="720" w:hanging="720"/>
        <w:jc w:val="center"/>
        <w:rPr>
          <w:rFonts w:eastAsiaTheme="minorEastAsia"/>
          <w:sz w:val="22"/>
          <w:szCs w:val="22"/>
        </w:rPr>
      </w:pPr>
      <w:r w:rsidRPr="00702882">
        <w:rPr>
          <w:sz w:val="22"/>
          <w:szCs w:val="22"/>
        </w:rPr>
        <w:t>Source: The author created a map, using data on BSF and total balances obtained from NASBO.</w:t>
      </w:r>
    </w:p>
    <w:p w14:paraId="4B968428" w14:textId="77777777" w:rsidR="00AF6702" w:rsidRPr="00702882" w:rsidRDefault="00AF6702" w:rsidP="00C66AC4">
      <w:pPr>
        <w:spacing w:line="480" w:lineRule="auto"/>
        <w:ind w:firstLine="720"/>
        <w:rPr>
          <w:rFonts w:eastAsiaTheme="minorEastAsia"/>
        </w:rPr>
      </w:pPr>
      <w:r w:rsidRPr="00702882">
        <w:lastRenderedPageBreak/>
        <w:t>Besides Budget Stabilization Funds (BSFs), unreserved General Fund balances (GFBs) also provide another important source of emergency funds to stabilize a state’s budget. Figure 2</w:t>
      </w:r>
      <w:r w:rsidRPr="00702882">
        <w:rPr>
          <w:rFonts w:eastAsiaTheme="minorEastAsia"/>
        </w:rPr>
        <w:t xml:space="preserve"> </w:t>
      </w:r>
      <w:r w:rsidRPr="00702882">
        <w:t>shows the historical average for BSF balance levels as a share of total balances from 2000 to 2020. In yellow states, including Alaska, Connecticut, California, South Dakota, Vermont, and Wyoming, BSF balances account for more than 90 percent of total balances, which is the sum of BSF and GFB levels. Meanwhile, BSFs in Delaware, Hawaii, Illinois, Kansas, Montana, Nevada, and New Jersey account for less than (or equal to) 30 percent of the total balances. The variation in states’ reliance on BSFs (or GFBs) suggests that some states rely more on GFBs than BSFs to finance expenditures. As states have different reliance on their BSFs (or GFBs), it is necessary to control for GFBs when examining the effects of BSF rules on BSF balance levels.</w:t>
      </w:r>
      <w:r w:rsidRPr="00702882">
        <w:rPr>
          <w:rStyle w:val="a5"/>
        </w:rPr>
        <w:footnoteReference w:id="44"/>
      </w:r>
      <w:r w:rsidRPr="00702882">
        <w:t xml:space="preserve"> </w:t>
      </w:r>
    </w:p>
    <w:p w14:paraId="5B9F7591" w14:textId="23B0B2B2" w:rsidR="00F87A56" w:rsidRPr="00702882" w:rsidRDefault="00CE5620" w:rsidP="00CE5620">
      <w:pPr>
        <w:spacing w:line="480" w:lineRule="auto"/>
        <w:ind w:firstLine="720"/>
        <w:rPr>
          <w:rFonts w:eastAsiaTheme="minorEastAsia"/>
        </w:rPr>
      </w:pPr>
      <w:r w:rsidRPr="00702882">
        <w:rPr>
          <w:rFonts w:eastAsiaTheme="minorEastAsia"/>
        </w:rPr>
        <w:t xml:space="preserve">Literature on the effect of GFB on BSF levels is limited. While studies on substitution and supplementation effects offer insights into the relationship between BSF and GFB, they mainly focus on the impact of BSF on the overall balance (BSF plus GFB). </w:t>
      </w:r>
      <w:r w:rsidR="00345678" w:rsidRPr="00702882">
        <w:rPr>
          <w:rFonts w:eastAsiaTheme="minorEastAsia"/>
        </w:rPr>
        <w:t>For instance</w:t>
      </w:r>
      <w:r w:rsidR="00AF6702" w:rsidRPr="00702882">
        <w:rPr>
          <w:rFonts w:eastAsiaTheme="minorEastAsia"/>
        </w:rPr>
        <w:t>, empirically testing for substitution and supplementation effects requires utilizing the total balance as the dependent variable, as demonstrated in prior studies</w:t>
      </w:r>
      <w:r w:rsidR="00AF6702" w:rsidRPr="00702882">
        <w:t xml:space="preserve"> </w:t>
      </w:r>
      <w:sdt>
        <w:sdtPr>
          <w:tag w:val="MENDELEY_CITATION_v3_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"/>
          <w:id w:val="-51780110"/>
          <w:placeholder>
            <w:docPart w:val="9C8B6781489947EBB753E1221639B744"/>
          </w:placeholder>
        </w:sdtPr>
        <w:sdtContent>
          <w:r w:rsidR="00F520AD">
            <w:t>(Buerger et al., 2022; Hou &amp; Brewer, 2010; Knight &amp; Levinson, 1999)</w:t>
          </w:r>
        </w:sdtContent>
      </w:sdt>
      <w:r w:rsidR="00AF6702" w:rsidRPr="00702882">
        <w:t>.</w:t>
      </w:r>
      <w:r w:rsidR="00AF6702" w:rsidRPr="00702882">
        <w:rPr>
          <w:rFonts w:eastAsiaTheme="minorEastAsia"/>
        </w:rPr>
        <w:t xml:space="preserve"> </w:t>
      </w:r>
    </w:p>
    <w:p w14:paraId="6D11609F" w14:textId="0857C2F8" w:rsidR="00AF6702" w:rsidRPr="00702882" w:rsidRDefault="00AD6DCA" w:rsidP="00307970">
      <w:pPr>
        <w:spacing w:line="480" w:lineRule="auto"/>
        <w:ind w:firstLine="720"/>
        <w:rPr>
          <w:rFonts w:eastAsiaTheme="minorEastAsia"/>
        </w:rPr>
      </w:pPr>
      <w:r w:rsidRPr="00702882">
        <w:rPr>
          <w:rFonts w:eastAsiaTheme="minorEastAsia"/>
        </w:rPr>
        <w:t>T</w:t>
      </w:r>
      <w:r w:rsidR="00AF6702" w:rsidRPr="00702882">
        <w:rPr>
          <w:rFonts w:eastAsiaTheme="minorEastAsia"/>
        </w:rPr>
        <w:t xml:space="preserve">he fiscal slack model, which focuses on organizational responses to both internal and external environmental changes, </w:t>
      </w:r>
      <w:r w:rsidRPr="00702882">
        <w:rPr>
          <w:rFonts w:eastAsiaTheme="minorEastAsia"/>
        </w:rPr>
        <w:t xml:space="preserve">also </w:t>
      </w:r>
      <w:r w:rsidR="00AF6702" w:rsidRPr="00702882">
        <w:rPr>
          <w:rFonts w:eastAsiaTheme="minorEastAsia"/>
        </w:rPr>
        <w:t xml:space="preserve">provides valuable insights into the dynamics between BSF and GFB. </w:t>
      </w:r>
      <w:bookmarkStart w:id="41" w:name="_Hlk161328399"/>
      <w:r w:rsidR="004E25C2" w:rsidRPr="00702882">
        <w:rPr>
          <w:rFonts w:eastAsiaTheme="minorEastAsia"/>
        </w:rPr>
        <w:t xml:space="preserve">During periods of fiscal stress, which are external environmental factors, states face budget deficits rather than general fund surpluses. Consequently, they </w:t>
      </w:r>
      <w:r w:rsidR="004E25C2" w:rsidRPr="00702882">
        <w:rPr>
          <w:rFonts w:eastAsiaTheme="minorEastAsia"/>
        </w:rPr>
        <w:lastRenderedPageBreak/>
        <w:t>need to utilize their BSFs, leading to a reduction in BSF levels. Conversely, in times of budget surplus, state governments do not need to use the BSF. Instead, they can allocate surplus revenue to the BSF. During economic booms, states often experience higher levels of both BSF and GFB as they are less likely to draw from either fund.</w:t>
      </w:r>
      <w:r w:rsidR="00307970" w:rsidRPr="00702882">
        <w:rPr>
          <w:rFonts w:eastAsiaTheme="minorEastAsia"/>
        </w:rPr>
        <w:t xml:space="preserve"> </w:t>
      </w:r>
      <w:r w:rsidR="00AF6702" w:rsidRPr="00702882">
        <w:rPr>
          <w:rFonts w:eastAsiaTheme="minorEastAsia"/>
        </w:rPr>
        <w:t>Thus, a positive correlation between BSF and GFB is hypothesized, although this does not necessarily imply a causal relationship.</w:t>
      </w:r>
    </w:p>
    <w:p w14:paraId="03916B29" w14:textId="77777777" w:rsidR="00826E9A" w:rsidRPr="00702882" w:rsidRDefault="00826E9A" w:rsidP="00C66AC4">
      <w:pPr>
        <w:spacing w:line="480" w:lineRule="auto"/>
        <w:ind w:firstLine="720"/>
        <w:rPr>
          <w:rFonts w:eastAsiaTheme="minorEastAsia"/>
        </w:rPr>
      </w:pPr>
    </w:p>
    <w:bookmarkEnd w:id="41"/>
    <w:p w14:paraId="02F9189F" w14:textId="1DFD05EF" w:rsidR="00AF6702" w:rsidRPr="00702882" w:rsidRDefault="00AF6702" w:rsidP="00C66AC4">
      <w:pPr>
        <w:spacing w:line="480" w:lineRule="auto"/>
        <w:ind w:left="360"/>
        <w:rPr>
          <w:rFonts w:eastAsiaTheme="minorEastAsia"/>
        </w:rPr>
      </w:pPr>
      <w:r w:rsidRPr="00702882">
        <w:rPr>
          <w:b/>
          <w:bCs/>
        </w:rPr>
        <w:t>H4.</w:t>
      </w:r>
      <w:r w:rsidRPr="00702882">
        <w:t xml:space="preserve"> GFB levels are </w:t>
      </w:r>
      <w:r w:rsidRPr="00702882">
        <w:rPr>
          <w:i/>
          <w:iCs/>
        </w:rPr>
        <w:t>positively</w:t>
      </w:r>
      <w:r w:rsidRPr="00702882">
        <w:t xml:space="preserve"> associated with BSF levels, as both BSF and GFB levels increase in boom years and decrease in recession years.</w:t>
      </w:r>
    </w:p>
    <w:p w14:paraId="57F0B41D" w14:textId="77777777" w:rsidR="00922D39" w:rsidRPr="00702882" w:rsidRDefault="00922D39" w:rsidP="00C66AC4">
      <w:pPr>
        <w:spacing w:line="480" w:lineRule="auto"/>
        <w:ind w:left="360"/>
        <w:rPr>
          <w:rFonts w:eastAsiaTheme="minorEastAsia"/>
        </w:rPr>
      </w:pPr>
    </w:p>
    <w:p w14:paraId="29323247" w14:textId="77777777" w:rsidR="00AF6702" w:rsidRPr="00702882" w:rsidRDefault="00AF6702" w:rsidP="00C66AC4">
      <w:pPr>
        <w:spacing w:line="480" w:lineRule="auto"/>
        <w:ind w:firstLineChars="120" w:firstLine="283"/>
        <w:rPr>
          <w:b/>
          <w:bCs/>
          <w:i/>
          <w:iCs/>
        </w:rPr>
      </w:pPr>
      <w:r w:rsidRPr="00702882">
        <w:rPr>
          <w:b/>
          <w:bCs/>
          <w:i/>
          <w:iCs/>
        </w:rPr>
        <w:t>4.2.2 The Impact of BSF Deposit an</w:t>
      </w:r>
      <w:bookmarkStart w:id="42" w:name="TheImpactofBSFDepositand"/>
      <w:bookmarkEnd w:id="42"/>
      <w:r w:rsidRPr="00702882">
        <w:rPr>
          <w:b/>
          <w:bCs/>
          <w:i/>
          <w:iCs/>
        </w:rPr>
        <w:t>d Withdrawal Requirements on GFB Levels</w:t>
      </w:r>
    </w:p>
    <w:p w14:paraId="05BF8F36" w14:textId="77777777" w:rsidR="00AF6702" w:rsidRPr="00702882" w:rsidRDefault="00AF6702" w:rsidP="00C66AC4">
      <w:pPr>
        <w:spacing w:line="480" w:lineRule="auto"/>
        <w:ind w:firstLine="720"/>
      </w:pPr>
      <w:r w:rsidRPr="00702882">
        <w:t xml:space="preserve">Although GFB is also crucial savings tool, it is little known whether BSF structural features affect GFB levels as most studies focus on the relationship between BSF characteristics and BSF balance levels. Unlike BSF balance levels, which are improved by stringent BSF deposit and withdrawal requirements, </w:t>
      </w:r>
      <w:r w:rsidRPr="00702882">
        <w:rPr>
          <w:rFonts w:eastAsiaTheme="minorEastAsia"/>
        </w:rPr>
        <w:t xml:space="preserve">a high stringency in deposit and withdrawal requirement is expected to decrease GFB levels. </w:t>
      </w:r>
      <w:r w:rsidRPr="00702882">
        <w:t xml:space="preserve">Under relatively stringent deposit rules like “deposit revenue surplus,” for example, general fund surplus must be transferred to a state’s BSF, so this surplus no longer remains in the General Fund account, thereby reducing GFB levels. </w:t>
      </w:r>
    </w:p>
    <w:p w14:paraId="20E5C4B0" w14:textId="77777777" w:rsidR="00AF6702" w:rsidRPr="00702882" w:rsidRDefault="00AF6702" w:rsidP="00C66AC4">
      <w:pPr>
        <w:spacing w:line="480" w:lineRule="auto"/>
        <w:ind w:firstLine="720"/>
      </w:pPr>
      <w:r w:rsidRPr="00702882">
        <w:t xml:space="preserve">In contrast, weak deposit requirements, including “deposit by executive” and “deposit by legislative appropriation,” do not require transferring general fund surplus to BSF. Thus, the general fund surplus is more likely to remain in the General Fund account. In lean years, revenue tends to decrease whereas spending needs for public services increase, so revenue </w:t>
      </w:r>
      <w:r w:rsidRPr="00702882">
        <w:lastRenderedPageBreak/>
        <w:t>surplus rarely occurs. Therefore, deposit requirements may not have significant effects during recession years.</w:t>
      </w:r>
    </w:p>
    <w:p w14:paraId="29B76503" w14:textId="77777777" w:rsidR="00AF6702" w:rsidRPr="00702882" w:rsidRDefault="00AF6702" w:rsidP="00C66AC4">
      <w:pPr>
        <w:spacing w:line="480" w:lineRule="auto"/>
        <w:ind w:firstLine="720"/>
        <w:rPr>
          <w:rFonts w:eastAsiaTheme="minorEastAsia"/>
        </w:rPr>
      </w:pPr>
    </w:p>
    <w:p w14:paraId="7BAAEC18" w14:textId="77777777" w:rsidR="00AF6702" w:rsidRPr="00702882" w:rsidRDefault="00AF6702" w:rsidP="00C66AC4">
      <w:pPr>
        <w:spacing w:line="480" w:lineRule="auto"/>
        <w:ind w:left="360"/>
      </w:pPr>
      <w:r w:rsidRPr="00702882">
        <w:rPr>
          <w:b/>
          <w:bCs/>
        </w:rPr>
        <w:t xml:space="preserve">H5. </w:t>
      </w:r>
      <w:r w:rsidRPr="00702882">
        <w:t xml:space="preserve">A high stringency of deposit requirements has a </w:t>
      </w:r>
      <w:r w:rsidRPr="00702882">
        <w:rPr>
          <w:i/>
          <w:iCs/>
        </w:rPr>
        <w:t xml:space="preserve">negative </w:t>
      </w:r>
      <w:r w:rsidRPr="00702882">
        <w:t xml:space="preserve">impact on GFB levels as a percent of General Fund expenditures. </w:t>
      </w:r>
    </w:p>
    <w:p w14:paraId="673043E9" w14:textId="77777777" w:rsidR="00AF6702" w:rsidRPr="00702882" w:rsidRDefault="00AF6702" w:rsidP="00C66AC4">
      <w:pPr>
        <w:pStyle w:val="a3"/>
        <w:numPr>
          <w:ilvl w:val="0"/>
          <w:numId w:val="3"/>
        </w:numPr>
        <w:spacing w:line="480" w:lineRule="auto"/>
        <w:ind w:left="720"/>
        <w:rPr>
          <w:rFonts w:ascii="Times New Roman" w:hAnsi="Times New Roman" w:cs="Times New Roman"/>
        </w:rPr>
      </w:pPr>
      <w:r w:rsidRPr="00702882">
        <w:rPr>
          <w:rFonts w:ascii="Times New Roman" w:hAnsi="Times New Roman" w:cs="Times New Roman"/>
        </w:rPr>
        <w:t xml:space="preserve">The magnitude of the effect in H5 becomes </w:t>
      </w:r>
      <w:r w:rsidRPr="00702882">
        <w:rPr>
          <w:rFonts w:ascii="Times New Roman" w:hAnsi="Times New Roman" w:cs="Times New Roman"/>
          <w:i/>
          <w:iCs/>
        </w:rPr>
        <w:t>less negative</w:t>
      </w:r>
      <w:r w:rsidRPr="00702882">
        <w:rPr>
          <w:rFonts w:ascii="Times New Roman" w:hAnsi="Times New Roman" w:cs="Times New Roman"/>
        </w:rPr>
        <w:t xml:space="preserve"> </w:t>
      </w:r>
      <w:r w:rsidRPr="00702882">
        <w:rPr>
          <w:rFonts w:ascii="Times New Roman" w:hAnsi="Times New Roman" w:cs="Times New Roman"/>
          <w:i/>
          <w:iCs/>
        </w:rPr>
        <w:t>(or</w:t>
      </w:r>
      <w:r w:rsidRPr="00702882">
        <w:rPr>
          <w:rFonts w:ascii="Times New Roman" w:hAnsi="Times New Roman" w:cs="Times New Roman"/>
        </w:rPr>
        <w:t xml:space="preserve"> </w:t>
      </w:r>
      <w:r w:rsidRPr="00702882">
        <w:rPr>
          <w:rFonts w:ascii="Times New Roman" w:hAnsi="Times New Roman" w:cs="Times New Roman"/>
          <w:i/>
          <w:iCs/>
        </w:rPr>
        <w:t xml:space="preserve">insignificant) </w:t>
      </w:r>
      <w:r w:rsidRPr="00702882">
        <w:rPr>
          <w:rFonts w:ascii="Times New Roman" w:hAnsi="Times New Roman" w:cs="Times New Roman"/>
        </w:rPr>
        <w:t>during recession years.</w:t>
      </w:r>
    </w:p>
    <w:p w14:paraId="41AA30C3" w14:textId="77777777" w:rsidR="00AF6702" w:rsidRPr="00702882" w:rsidRDefault="00AF6702" w:rsidP="00C66AC4">
      <w:pPr>
        <w:spacing w:line="480" w:lineRule="auto"/>
        <w:rPr>
          <w:rFonts w:eastAsiaTheme="minorEastAsia"/>
        </w:rPr>
      </w:pPr>
    </w:p>
    <w:p w14:paraId="7C208407" w14:textId="77F0722A" w:rsidR="00AD231F" w:rsidRPr="00702882" w:rsidRDefault="00AF6702" w:rsidP="00AD231F">
      <w:pPr>
        <w:spacing w:line="480" w:lineRule="auto"/>
        <w:ind w:firstLine="720"/>
        <w:rPr>
          <w:rFonts w:eastAsiaTheme="minorEastAsia"/>
        </w:rPr>
      </w:pPr>
      <w:r w:rsidRPr="00702882">
        <w:t xml:space="preserve">Similarly, strict withdrawal requirements make it difficult for states to use BSF, especially during boom years, so states with strict withdrawal requirements may need to use GFB instead. Therefore, strict withdrawal requirements, such as “withdrawal tied to revenue volatility,” are expected to decrease GFB levels. </w:t>
      </w:r>
      <w:r w:rsidR="0079397C" w:rsidRPr="00702882">
        <w:rPr>
          <w:rFonts w:eastAsiaTheme="minorEastAsia"/>
        </w:rPr>
        <w:t>However, the impact of stringent withdrawal rules on GFB levels during recession years is less negative or even insignificant, as these rules enable states to utilize their BSF during economic downturns to alleviate fiscal stress.</w:t>
      </w:r>
    </w:p>
    <w:p w14:paraId="3E50262F" w14:textId="5E58B695" w:rsidR="00AF6702" w:rsidRPr="00702882" w:rsidRDefault="00AD231F" w:rsidP="00AD231F">
      <w:pPr>
        <w:spacing w:line="480" w:lineRule="auto"/>
        <w:ind w:firstLine="720"/>
        <w:rPr>
          <w:rFonts w:eastAsiaTheme="minorEastAsia"/>
        </w:rPr>
      </w:pPr>
      <w:r w:rsidRPr="00702882">
        <w:rPr>
          <w:rFonts w:eastAsiaTheme="minorEastAsia"/>
        </w:rPr>
        <w:t>In contrast, weak withdrawal requirements, such as "withdrawal by executive decision" and "withdrawal by legislative appropriation," allow states to use BSF more easily than stringent withdrawal requirements, thereby reducing their reliance on GFB, especially when states maintain sufficient BSF levels. However, states with lenient withdrawal requirements coupled with lax deposit rules are prone to maintaining inadequate BSF levels, rendering them less dependent on BSF funds. Therefore, the impact of the low stringency of BSF withdrawal requirements on GFB is contingent upon BSF levels. This study focuses on the high stringency of deposit and withdrawal rules concerning BSF and GFB because understanding these rules provides insights into how states manage their reserves and fiscal stress, highlighting the importance of stringent rules in maintaining fiscal stability.</w:t>
      </w:r>
    </w:p>
    <w:p w14:paraId="23D59E9C" w14:textId="77777777" w:rsidR="00AF6702" w:rsidRPr="00702882" w:rsidRDefault="00AF6702" w:rsidP="00C66AC4">
      <w:pPr>
        <w:spacing w:line="480" w:lineRule="auto"/>
        <w:ind w:left="360"/>
      </w:pPr>
      <w:r w:rsidRPr="00702882">
        <w:rPr>
          <w:b/>
          <w:bCs/>
        </w:rPr>
        <w:lastRenderedPageBreak/>
        <w:t xml:space="preserve">H6. </w:t>
      </w:r>
      <w:r w:rsidRPr="00702882">
        <w:t xml:space="preserve">A high stringency of withdrawal requirements has a </w:t>
      </w:r>
      <w:r w:rsidRPr="00702882">
        <w:rPr>
          <w:i/>
          <w:iCs/>
        </w:rPr>
        <w:t>negative</w:t>
      </w:r>
      <w:r w:rsidRPr="00702882">
        <w:t xml:space="preserve"> impact on GFB levels as a percent of General Fund expenditures. </w:t>
      </w:r>
    </w:p>
    <w:p w14:paraId="55328FBA" w14:textId="77777777" w:rsidR="00AF6702" w:rsidRPr="00702882" w:rsidRDefault="00AF6702" w:rsidP="00C66AC4">
      <w:pPr>
        <w:pStyle w:val="a3"/>
        <w:numPr>
          <w:ilvl w:val="0"/>
          <w:numId w:val="3"/>
        </w:numPr>
        <w:spacing w:line="480" w:lineRule="auto"/>
        <w:ind w:left="720"/>
        <w:rPr>
          <w:rFonts w:ascii="Times New Roman" w:hAnsi="Times New Roman" w:cs="Times New Roman"/>
        </w:rPr>
      </w:pPr>
      <w:r w:rsidRPr="00702882">
        <w:rPr>
          <w:rFonts w:ascii="Times New Roman" w:hAnsi="Times New Roman" w:cs="Times New Roman"/>
        </w:rPr>
        <w:t xml:space="preserve">The magnitude of the effect in H6 becomes </w:t>
      </w:r>
      <w:r w:rsidRPr="00702882">
        <w:rPr>
          <w:rFonts w:ascii="Times New Roman" w:hAnsi="Times New Roman" w:cs="Times New Roman"/>
          <w:i/>
          <w:iCs/>
        </w:rPr>
        <w:t>less negative</w:t>
      </w:r>
      <w:r w:rsidRPr="00702882">
        <w:rPr>
          <w:rFonts w:ascii="Times New Roman" w:hAnsi="Times New Roman" w:cs="Times New Roman"/>
        </w:rPr>
        <w:t xml:space="preserve"> </w:t>
      </w:r>
      <w:r w:rsidRPr="00702882">
        <w:rPr>
          <w:rFonts w:ascii="Times New Roman" w:hAnsi="Times New Roman" w:cs="Times New Roman"/>
          <w:i/>
          <w:iCs/>
        </w:rPr>
        <w:t>(or</w:t>
      </w:r>
      <w:r w:rsidRPr="00702882">
        <w:rPr>
          <w:rFonts w:ascii="Times New Roman" w:hAnsi="Times New Roman" w:cs="Times New Roman"/>
        </w:rPr>
        <w:t xml:space="preserve"> </w:t>
      </w:r>
      <w:r w:rsidRPr="00702882">
        <w:rPr>
          <w:rFonts w:ascii="Times New Roman" w:hAnsi="Times New Roman" w:cs="Times New Roman"/>
          <w:i/>
          <w:iCs/>
        </w:rPr>
        <w:t xml:space="preserve">insignificant) </w:t>
      </w:r>
      <w:r w:rsidRPr="00702882">
        <w:rPr>
          <w:rFonts w:ascii="Times New Roman" w:hAnsi="Times New Roman" w:cs="Times New Roman"/>
        </w:rPr>
        <w:t>during recession years.</w:t>
      </w:r>
    </w:p>
    <w:p w14:paraId="0FC0B03C" w14:textId="77777777" w:rsidR="00AF6702" w:rsidRPr="00702882" w:rsidRDefault="00AF6702" w:rsidP="00C66AC4">
      <w:pPr>
        <w:spacing w:line="480" w:lineRule="auto"/>
        <w:rPr>
          <w:rFonts w:eastAsiaTheme="minorEastAsia"/>
          <w:color w:val="7030A0"/>
        </w:rPr>
      </w:pPr>
    </w:p>
    <w:p w14:paraId="6E35A338" w14:textId="19745712" w:rsidR="00AF6702" w:rsidRPr="00702882" w:rsidRDefault="00AF6702" w:rsidP="00C66AC4">
      <w:pPr>
        <w:spacing w:line="480" w:lineRule="auto"/>
        <w:ind w:firstLine="720"/>
        <w:rPr>
          <w:rFonts w:eastAsiaTheme="minorEastAsia"/>
        </w:rPr>
      </w:pPr>
      <w:r w:rsidRPr="00702882">
        <w:rPr>
          <w:rFonts w:eastAsiaTheme="minorEastAsia"/>
        </w:rPr>
        <w:t>Unlike strict withdrawal rules (e.g., withdrawal tied to revenue volatility), strict withdrawal restrictions (e.g., spending limits,</w:t>
      </w:r>
      <w:r w:rsidR="00F518D9" w:rsidRPr="00702882">
        <w:rPr>
          <w:rFonts w:eastAsiaTheme="minorEastAsia"/>
        </w:rPr>
        <w:t xml:space="preserve"> </w:t>
      </w:r>
      <w:r w:rsidRPr="00702882">
        <w:rPr>
          <w:rFonts w:eastAsiaTheme="minorEastAsia"/>
        </w:rPr>
        <w:t>repayment provision) create obstacles for states in accessing the BSF, even in times of economic recession. Thus, states with strict withdrawal restrictions may make states rely more on GFB instead, thereby decreasing GFB levels. The negative impact of stringent withdrawal restrictions on GFB levels is expected to be stronger during recession years. This is attributed to the increased financial requirements of states to address fiscal stress during economic downturns, coupled with limited access to BSF due to withdrawal restrictions. Thus, states find themselves compelled to rely on GFB levels to offset budget deficits.</w:t>
      </w:r>
    </w:p>
    <w:p w14:paraId="1AC388BE" w14:textId="77777777" w:rsidR="00AF6702" w:rsidRPr="00702882" w:rsidRDefault="00AF6702" w:rsidP="00C66AC4">
      <w:pPr>
        <w:spacing w:line="480" w:lineRule="auto"/>
      </w:pPr>
    </w:p>
    <w:p w14:paraId="5A619BFE" w14:textId="77777777" w:rsidR="00AF6702" w:rsidRPr="00702882" w:rsidRDefault="00AF6702" w:rsidP="00C66AC4">
      <w:pPr>
        <w:spacing w:line="480" w:lineRule="auto"/>
        <w:ind w:left="360"/>
        <w:rPr>
          <w:rFonts w:eastAsiaTheme="minorEastAsia"/>
        </w:rPr>
      </w:pPr>
      <w:r w:rsidRPr="00702882">
        <w:rPr>
          <w:b/>
          <w:bCs/>
        </w:rPr>
        <w:t>H7.</w:t>
      </w:r>
      <w:r w:rsidRPr="00702882">
        <w:t xml:space="preserve"> A high stringency of withdrawal restrictions has a </w:t>
      </w:r>
      <w:r w:rsidRPr="00702882">
        <w:rPr>
          <w:i/>
          <w:iCs/>
        </w:rPr>
        <w:t xml:space="preserve">negative </w:t>
      </w:r>
      <w:r w:rsidRPr="00702882">
        <w:t xml:space="preserve">impact on GFB levels as a percent of General Fund expenditures. </w:t>
      </w:r>
    </w:p>
    <w:p w14:paraId="6DAA373D" w14:textId="77777777" w:rsidR="00AF6702" w:rsidRPr="00702882" w:rsidRDefault="00AF6702" w:rsidP="00C66AC4">
      <w:pPr>
        <w:pStyle w:val="a3"/>
        <w:numPr>
          <w:ilvl w:val="0"/>
          <w:numId w:val="21"/>
        </w:numPr>
        <w:spacing w:line="480" w:lineRule="auto"/>
        <w:rPr>
          <w:rFonts w:ascii="Times New Roman" w:hAnsi="Times New Roman" w:cs="Times New Roman"/>
        </w:rPr>
      </w:pPr>
      <w:r w:rsidRPr="00702882">
        <w:rPr>
          <w:rFonts w:ascii="Times New Roman" w:hAnsi="Times New Roman" w:cs="Times New Roman"/>
        </w:rPr>
        <w:t xml:space="preserve">The magnitude of the effect in H7 becomes </w:t>
      </w:r>
      <w:r w:rsidRPr="00702882">
        <w:rPr>
          <w:rFonts w:ascii="Times New Roman" w:hAnsi="Times New Roman" w:cs="Times New Roman"/>
          <w:i/>
          <w:iCs/>
        </w:rPr>
        <w:t xml:space="preserve">more negative </w:t>
      </w:r>
      <w:r w:rsidRPr="00702882">
        <w:rPr>
          <w:rFonts w:ascii="Times New Roman" w:hAnsi="Times New Roman" w:cs="Times New Roman"/>
        </w:rPr>
        <w:t xml:space="preserve">during recession years. </w:t>
      </w:r>
    </w:p>
    <w:p w14:paraId="36160271" w14:textId="77777777" w:rsidR="00AF6702" w:rsidRPr="00702882" w:rsidRDefault="00AF6702" w:rsidP="00C66AC4">
      <w:pPr>
        <w:spacing w:line="480" w:lineRule="auto"/>
        <w:rPr>
          <w:b/>
          <w:bCs/>
        </w:rPr>
      </w:pPr>
    </w:p>
    <w:p w14:paraId="3141DCDE" w14:textId="5EADBE50" w:rsidR="00D30946" w:rsidRPr="00702882" w:rsidRDefault="00AF6702" w:rsidP="00C66AC4">
      <w:pPr>
        <w:spacing w:line="480" w:lineRule="auto"/>
        <w:ind w:firstLineChars="295" w:firstLine="708"/>
        <w:rPr>
          <w:rFonts w:eastAsiaTheme="minorEastAsia"/>
          <w:color w:val="7030A0"/>
        </w:rPr>
      </w:pPr>
      <w:r w:rsidRPr="00702882">
        <w:rPr>
          <w:rFonts w:eastAsiaTheme="minorEastAsia"/>
        </w:rPr>
        <w:t xml:space="preserve">As I mentioned before, the substitution and supplementation effects attempt to explain the relationship between BSF and GFB. </w:t>
      </w:r>
      <w:r w:rsidR="008B2CA8" w:rsidRPr="00702882">
        <w:rPr>
          <w:rFonts w:eastAsiaTheme="minorEastAsia"/>
        </w:rPr>
        <w:t xml:space="preserve">A substitution effect implies that a rise in BSF leads to a decline in GFB </w:t>
      </w:r>
      <w:r w:rsidRPr="00702882">
        <w:t xml:space="preserve">(Hou &amp; Brewer, 2010). </w:t>
      </w:r>
      <w:r w:rsidR="00E73C36" w:rsidRPr="00702882">
        <w:t>In contrast, a supplementation effect assumes that BSF increases the overall level of total savings, as the legal restrictions of BSFs enable states to mitigate spending pressures</w:t>
      </w:r>
      <w:r w:rsidR="00E73C36" w:rsidRPr="00702882">
        <w:rPr>
          <w:rFonts w:eastAsiaTheme="minorEastAsia"/>
        </w:rPr>
        <w:t xml:space="preserve"> </w:t>
      </w:r>
      <w:sdt>
        <w:sdtPr>
          <w:tag w:val="MENDELEY_CITATION_v3_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"/>
          <w:id w:val="106248087"/>
          <w:placeholder>
            <w:docPart w:val="D0140838DAB5408FA069C2A8CBB5DD79"/>
          </w:placeholder>
        </w:sdtPr>
        <w:sdtContent>
          <w:r w:rsidR="00F520AD">
            <w:t>(Hou &amp; Brewer, 2010; Knight &amp; Levinson, 1999)</w:t>
          </w:r>
        </w:sdtContent>
      </w:sdt>
      <w:r w:rsidRPr="00702882">
        <w:t xml:space="preserve">. However, a </w:t>
      </w:r>
      <w:r w:rsidRPr="00702882">
        <w:lastRenderedPageBreak/>
        <w:t xml:space="preserve">supplementation effect does not necessarily mean an increase in GFB because an increase in BSF alone can boost total savings without an increase in GFB. Thus, it is difficult to predict the effect of BSF on GFB levels from the supplementation effect. </w:t>
      </w:r>
    </w:p>
    <w:p w14:paraId="017908EA" w14:textId="77777777" w:rsidR="004E3A0C" w:rsidRPr="00702882" w:rsidRDefault="00AF6702" w:rsidP="004E3A0C">
      <w:pPr>
        <w:spacing w:line="480" w:lineRule="auto"/>
        <w:ind w:firstLineChars="295" w:firstLine="708"/>
        <w:rPr>
          <w:rFonts w:eastAsiaTheme="minorEastAsia"/>
          <w:color w:val="7030A0"/>
        </w:rPr>
      </w:pPr>
      <w:r w:rsidRPr="00702882">
        <w:t>Based on the substitution effect, it is expected that BSF levels exert a negative influence on GFB levels. This occurs because the BSF account simply replaces the General Fund account; consequently, an increase in BSF levels leads to a decrease in GFB levels.</w:t>
      </w:r>
      <w:r w:rsidRPr="00702882">
        <w:rPr>
          <w:rFonts w:eastAsiaTheme="minorEastAsia"/>
        </w:rPr>
        <w:t xml:space="preserve"> However, the relationship between BSF and GFB may be contingent upon the fiscal condition of state governments. During recession periods, revenues tend to diminish, resulting in a decrease in the amount of money deposited into BSF. Similarly, GFB levels also decrease as budget deficits are more likely to occur during recession years. </w:t>
      </w:r>
    </w:p>
    <w:p w14:paraId="13950BF9" w14:textId="3AD466D0" w:rsidR="00AF6702" w:rsidRPr="00702882" w:rsidRDefault="00AF6702" w:rsidP="004E3A0C">
      <w:pPr>
        <w:spacing w:line="480" w:lineRule="auto"/>
        <w:ind w:firstLineChars="295" w:firstLine="708"/>
        <w:rPr>
          <w:rFonts w:eastAsiaTheme="minorEastAsia"/>
        </w:rPr>
      </w:pPr>
      <w:r w:rsidRPr="00702882">
        <w:rPr>
          <w:rFonts w:eastAsiaTheme="minorEastAsia"/>
        </w:rPr>
        <w:t>In contrast, during boom years, revenues are more likely to increase, leading to a rise in BSF levels. GFB levels also increase as budget surpluses are more likely to occur during booms. In this scenario, a positive association between BSF and GFB levels is hypothesized. However, this association does not imply a causal effect of BSF levels on GFB.</w:t>
      </w:r>
    </w:p>
    <w:p w14:paraId="57F8FC0A" w14:textId="77777777" w:rsidR="00AF6702" w:rsidRPr="00702882" w:rsidRDefault="00AF6702" w:rsidP="00C66AC4">
      <w:pPr>
        <w:spacing w:line="480" w:lineRule="auto"/>
        <w:rPr>
          <w:rFonts w:eastAsiaTheme="minorEastAsia"/>
        </w:rPr>
      </w:pPr>
    </w:p>
    <w:p w14:paraId="05E9E866" w14:textId="57F0C5AF" w:rsidR="00AF6702" w:rsidRPr="00702882" w:rsidRDefault="00AF6702" w:rsidP="00C66AC4">
      <w:pPr>
        <w:spacing w:line="480" w:lineRule="auto"/>
        <w:ind w:left="360"/>
        <w:rPr>
          <w:rFonts w:eastAsiaTheme="minorEastAsia"/>
        </w:rPr>
      </w:pPr>
      <w:r w:rsidRPr="00702882">
        <w:rPr>
          <w:b/>
          <w:bCs/>
        </w:rPr>
        <w:t>H8.</w:t>
      </w:r>
      <w:r w:rsidRPr="00702882">
        <w:t xml:space="preserve"> BSF levels </w:t>
      </w:r>
      <w:r w:rsidR="00F25DB8" w:rsidRPr="00702882">
        <w:rPr>
          <w:rFonts w:eastAsiaTheme="minorEastAsia"/>
        </w:rPr>
        <w:t>are</w:t>
      </w:r>
      <w:r w:rsidRPr="00702882">
        <w:t xml:space="preserve"> </w:t>
      </w:r>
      <w:r w:rsidRPr="00702882">
        <w:rPr>
          <w:rFonts w:eastAsiaTheme="minorEastAsia"/>
          <w:i/>
          <w:iCs/>
        </w:rPr>
        <w:t>positively</w:t>
      </w:r>
      <w:r w:rsidRPr="00702882">
        <w:rPr>
          <w:i/>
          <w:iCs/>
        </w:rPr>
        <w:t xml:space="preserve"> </w:t>
      </w:r>
      <w:r w:rsidRPr="00702882">
        <w:t>associated with GFB levels</w:t>
      </w:r>
      <w:r w:rsidRPr="00702882">
        <w:rPr>
          <w:rFonts w:eastAsiaTheme="minorEastAsia"/>
        </w:rPr>
        <w:t>,</w:t>
      </w:r>
      <w:r w:rsidRPr="00702882">
        <w:t xml:space="preserve"> as both BSF and GFB levels increase in boom years and decrease in recession years.</w:t>
      </w:r>
    </w:p>
    <w:p w14:paraId="79853F95" w14:textId="77777777" w:rsidR="00AF6702" w:rsidRPr="00702882" w:rsidRDefault="00AF6702" w:rsidP="00C66AC4">
      <w:pPr>
        <w:spacing w:line="480" w:lineRule="auto"/>
        <w:ind w:left="360"/>
        <w:rPr>
          <w:rFonts w:eastAsiaTheme="minorEastAsia"/>
        </w:rPr>
      </w:pPr>
    </w:p>
    <w:p w14:paraId="07E52F9E" w14:textId="77777777" w:rsidR="00AF6702" w:rsidRPr="00702882" w:rsidRDefault="00AF6702" w:rsidP="00C66AC4">
      <w:pPr>
        <w:spacing w:line="480" w:lineRule="auto"/>
        <w:ind w:left="360"/>
        <w:rPr>
          <w:rFonts w:eastAsiaTheme="minorEastAsia"/>
          <w:color w:val="7030A0"/>
        </w:rPr>
      </w:pPr>
    </w:p>
    <w:p w14:paraId="7E6076DE" w14:textId="77777777" w:rsidR="00AF6702" w:rsidRPr="00702882" w:rsidRDefault="00AF6702" w:rsidP="00C66AC4">
      <w:pPr>
        <w:spacing w:line="480" w:lineRule="auto"/>
        <w:ind w:left="360"/>
        <w:rPr>
          <w:rFonts w:eastAsiaTheme="minorEastAsia"/>
          <w:color w:val="7030A0"/>
        </w:rPr>
      </w:pPr>
    </w:p>
    <w:p w14:paraId="55BD24DF" w14:textId="77777777" w:rsidR="00AF6702" w:rsidRPr="00702882" w:rsidRDefault="00AF6702" w:rsidP="00C66AC4">
      <w:pPr>
        <w:spacing w:line="480" w:lineRule="auto"/>
        <w:ind w:left="360"/>
        <w:rPr>
          <w:rFonts w:eastAsiaTheme="minorEastAsia"/>
          <w:color w:val="7030A0"/>
        </w:rPr>
      </w:pPr>
    </w:p>
    <w:p w14:paraId="543C7386" w14:textId="77777777" w:rsidR="00AF6702" w:rsidRPr="00702882" w:rsidRDefault="00AF6702" w:rsidP="00C66AC4">
      <w:pPr>
        <w:spacing w:line="480" w:lineRule="auto"/>
        <w:ind w:left="360"/>
        <w:rPr>
          <w:rFonts w:eastAsiaTheme="minorEastAsia"/>
          <w:color w:val="7030A0"/>
        </w:rPr>
      </w:pPr>
    </w:p>
    <w:p w14:paraId="2DD46D73" w14:textId="77777777" w:rsidR="00C7156B" w:rsidRPr="00702882" w:rsidRDefault="00C7156B" w:rsidP="00C66AC4">
      <w:pPr>
        <w:spacing w:line="480" w:lineRule="auto"/>
        <w:rPr>
          <w:rFonts w:eastAsiaTheme="minorEastAsia"/>
          <w:color w:val="7030A0"/>
        </w:rPr>
      </w:pPr>
    </w:p>
    <w:p w14:paraId="5715BDFC" w14:textId="77777777" w:rsidR="00F518D9" w:rsidRPr="00702882" w:rsidRDefault="00F518D9" w:rsidP="00C66AC4">
      <w:pPr>
        <w:spacing w:line="480" w:lineRule="auto"/>
        <w:rPr>
          <w:rFonts w:eastAsiaTheme="minorEastAsia"/>
          <w:color w:val="7030A0"/>
        </w:rPr>
      </w:pPr>
    </w:p>
    <w:p w14:paraId="3DC78AF0" w14:textId="77777777" w:rsidR="00AF6702" w:rsidRPr="00702882" w:rsidRDefault="00AF6702" w:rsidP="00C66AC4">
      <w:pPr>
        <w:spacing w:line="480" w:lineRule="auto"/>
        <w:jc w:val="center"/>
      </w:pPr>
      <w:r w:rsidRPr="00702882">
        <w:rPr>
          <w:b/>
          <w:bCs/>
          <w:shd w:val="clear" w:color="auto" w:fill="FFFFFF"/>
        </w:rPr>
        <w:lastRenderedPageBreak/>
        <w:t>Table 6</w:t>
      </w:r>
      <w:r w:rsidRPr="00702882">
        <w:t xml:space="preserve">. </w:t>
      </w:r>
      <w:bookmarkStart w:id="43" w:name="OperationalizationofVariablesandData"/>
      <w:r w:rsidRPr="00702882">
        <w:rPr>
          <w:b/>
          <w:bCs/>
        </w:rPr>
        <w:t>Operationalization of Variables and Data Source</w:t>
      </w:r>
      <w:bookmarkEnd w:id="43"/>
    </w:p>
    <w:tbl>
      <w:tblPr>
        <w:tblStyle w:val="2-3"/>
        <w:tblW w:w="9450" w:type="dxa"/>
        <w:jc w:val="center"/>
        <w:tblBorders>
          <w:top w:val="none" w:sz="0" w:space="0" w:color="auto"/>
          <w:bottom w:val="none" w:sz="0" w:space="0" w:color="auto"/>
          <w:insideH w:val="none" w:sz="0" w:space="0" w:color="auto"/>
        </w:tblBorders>
        <w:tblLook w:val="04A0" w:firstRow="1" w:lastRow="0" w:firstColumn="1" w:lastColumn="0" w:noHBand="0" w:noVBand="1"/>
      </w:tblPr>
      <w:tblGrid>
        <w:gridCol w:w="1890"/>
        <w:gridCol w:w="5670"/>
        <w:gridCol w:w="1890"/>
      </w:tblGrid>
      <w:tr w:rsidR="00804352" w:rsidRPr="00702882" w14:paraId="54362F70" w14:textId="77777777" w:rsidTr="00AE682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tcBorders>
              <w:top w:val="single" w:sz="12" w:space="0" w:color="auto"/>
              <w:bottom w:val="single" w:sz="12" w:space="0" w:color="auto"/>
            </w:tcBorders>
            <w:shd w:val="clear" w:color="auto" w:fill="auto"/>
            <w:hideMark/>
          </w:tcPr>
          <w:p w14:paraId="2B29E012" w14:textId="77777777" w:rsidR="00AF6702" w:rsidRPr="00702882" w:rsidRDefault="00AF6702" w:rsidP="00C7156B">
            <w:pPr>
              <w:jc w:val="center"/>
              <w:rPr>
                <w:sz w:val="21"/>
                <w:szCs w:val="21"/>
              </w:rPr>
            </w:pPr>
            <w:r w:rsidRPr="00702882">
              <w:rPr>
                <w:sz w:val="21"/>
                <w:szCs w:val="21"/>
              </w:rPr>
              <w:t>Variable</w:t>
            </w:r>
          </w:p>
        </w:tc>
        <w:tc>
          <w:tcPr>
            <w:tcW w:w="5670" w:type="dxa"/>
            <w:tcBorders>
              <w:top w:val="single" w:sz="12" w:space="0" w:color="auto"/>
              <w:bottom w:val="single" w:sz="12" w:space="0" w:color="auto"/>
            </w:tcBorders>
            <w:shd w:val="clear" w:color="auto" w:fill="auto"/>
            <w:hideMark/>
          </w:tcPr>
          <w:p w14:paraId="0085E5F0" w14:textId="77777777" w:rsidR="00AF6702" w:rsidRPr="00702882" w:rsidRDefault="00AF6702" w:rsidP="00C7156B">
            <w:pPr>
              <w:jc w:val="center"/>
              <w:cnfStyle w:val="100000000000" w:firstRow="1" w:lastRow="0" w:firstColumn="0" w:lastColumn="0" w:oddVBand="0" w:evenVBand="0" w:oddHBand="0" w:evenHBand="0" w:firstRowFirstColumn="0" w:firstRowLastColumn="0" w:lastRowFirstColumn="0" w:lastRowLastColumn="0"/>
              <w:rPr>
                <w:sz w:val="21"/>
                <w:szCs w:val="21"/>
              </w:rPr>
            </w:pPr>
            <w:r w:rsidRPr="00702882">
              <w:rPr>
                <w:sz w:val="21"/>
                <w:szCs w:val="21"/>
              </w:rPr>
              <w:t>Measure</w:t>
            </w:r>
          </w:p>
        </w:tc>
        <w:tc>
          <w:tcPr>
            <w:tcW w:w="1890" w:type="dxa"/>
            <w:tcBorders>
              <w:top w:val="single" w:sz="12" w:space="0" w:color="auto"/>
              <w:bottom w:val="single" w:sz="12" w:space="0" w:color="auto"/>
            </w:tcBorders>
            <w:shd w:val="clear" w:color="auto" w:fill="auto"/>
            <w:hideMark/>
          </w:tcPr>
          <w:p w14:paraId="2BD2E209" w14:textId="77777777" w:rsidR="00AF6702" w:rsidRPr="00702882" w:rsidRDefault="00AF6702" w:rsidP="00C7156B">
            <w:pPr>
              <w:jc w:val="center"/>
              <w:cnfStyle w:val="100000000000" w:firstRow="1" w:lastRow="0" w:firstColumn="0" w:lastColumn="0" w:oddVBand="0" w:evenVBand="0" w:oddHBand="0" w:evenHBand="0" w:firstRowFirstColumn="0" w:firstRowLastColumn="0" w:lastRowFirstColumn="0" w:lastRowLastColumn="0"/>
              <w:rPr>
                <w:sz w:val="21"/>
                <w:szCs w:val="21"/>
              </w:rPr>
            </w:pPr>
            <w:r w:rsidRPr="00702882">
              <w:rPr>
                <w:sz w:val="21"/>
                <w:szCs w:val="21"/>
              </w:rPr>
              <w:t>Data Source</w:t>
            </w:r>
          </w:p>
        </w:tc>
      </w:tr>
      <w:tr w:rsidR="00804352" w:rsidRPr="00702882" w14:paraId="4D81429D"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hideMark/>
          </w:tcPr>
          <w:p w14:paraId="3DC6BB8F" w14:textId="77777777" w:rsidR="00AF6702" w:rsidRPr="00702882" w:rsidRDefault="00AF6702" w:rsidP="00C7156B">
            <w:pPr>
              <w:rPr>
                <w:b w:val="0"/>
                <w:bCs w:val="0"/>
                <w:sz w:val="21"/>
                <w:szCs w:val="21"/>
              </w:rPr>
            </w:pPr>
            <w:r w:rsidRPr="00702882">
              <w:rPr>
                <w:b w:val="0"/>
                <w:bCs w:val="0"/>
                <w:sz w:val="21"/>
                <w:szCs w:val="21"/>
              </w:rPr>
              <w:t>BSF</w:t>
            </w:r>
          </w:p>
        </w:tc>
        <w:tc>
          <w:tcPr>
            <w:tcW w:w="5670" w:type="dxa"/>
            <w:shd w:val="clear" w:color="auto" w:fill="auto"/>
            <w:hideMark/>
          </w:tcPr>
          <w:p w14:paraId="0C163345"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Budget Stabilization Fund balance calculated as a % of general fund expenditures</w:t>
            </w:r>
          </w:p>
        </w:tc>
        <w:tc>
          <w:tcPr>
            <w:tcW w:w="1890" w:type="dxa"/>
            <w:shd w:val="clear" w:color="auto" w:fill="auto"/>
            <w:hideMark/>
          </w:tcPr>
          <w:p w14:paraId="4AB99B22"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NASBO Fiscal Survey of States</w:t>
            </w:r>
          </w:p>
        </w:tc>
      </w:tr>
      <w:tr w:rsidR="00804352" w:rsidRPr="00702882" w14:paraId="3CA53AB7"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hideMark/>
          </w:tcPr>
          <w:p w14:paraId="72E56403" w14:textId="77777777" w:rsidR="00AF6702" w:rsidRPr="00702882" w:rsidRDefault="00AF6702" w:rsidP="00C7156B">
            <w:pPr>
              <w:rPr>
                <w:b w:val="0"/>
                <w:bCs w:val="0"/>
                <w:sz w:val="21"/>
                <w:szCs w:val="21"/>
              </w:rPr>
            </w:pPr>
            <w:r w:rsidRPr="00702882">
              <w:rPr>
                <w:b w:val="0"/>
                <w:bCs w:val="0"/>
                <w:sz w:val="21"/>
                <w:szCs w:val="21"/>
              </w:rPr>
              <w:t>GFB</w:t>
            </w:r>
          </w:p>
        </w:tc>
        <w:tc>
          <w:tcPr>
            <w:tcW w:w="5670" w:type="dxa"/>
            <w:shd w:val="clear" w:color="auto" w:fill="auto"/>
            <w:hideMark/>
          </w:tcPr>
          <w:p w14:paraId="653AC544"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Unreserved General Fund balance calculated as a % of general fund expenditures</w:t>
            </w:r>
          </w:p>
        </w:tc>
        <w:tc>
          <w:tcPr>
            <w:tcW w:w="1890" w:type="dxa"/>
            <w:shd w:val="clear" w:color="auto" w:fill="auto"/>
            <w:hideMark/>
          </w:tcPr>
          <w:p w14:paraId="1AAEBD6A"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NASBO Fiscal Survey of States</w:t>
            </w:r>
          </w:p>
        </w:tc>
      </w:tr>
      <w:tr w:rsidR="00804352" w:rsidRPr="00702882" w14:paraId="23442A67"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29CA4298" w14:textId="77777777" w:rsidR="00AF6702" w:rsidRPr="00702882" w:rsidRDefault="00AF6702" w:rsidP="00C7156B">
            <w:pPr>
              <w:rPr>
                <w:b w:val="0"/>
                <w:bCs w:val="0"/>
                <w:sz w:val="21"/>
                <w:szCs w:val="21"/>
              </w:rPr>
            </w:pPr>
            <w:r w:rsidRPr="00702882">
              <w:rPr>
                <w:b w:val="0"/>
                <w:bCs w:val="0"/>
                <w:sz w:val="21"/>
                <w:szCs w:val="21"/>
              </w:rPr>
              <w:t>BSF</w:t>
            </w:r>
            <w:r w:rsidRPr="00702882">
              <w:rPr>
                <w:b w:val="0"/>
                <w:bCs w:val="0"/>
                <w:sz w:val="21"/>
                <w:szCs w:val="21"/>
                <w:vertAlign w:val="subscript"/>
              </w:rPr>
              <w:t>(t-1)</w:t>
            </w:r>
          </w:p>
        </w:tc>
        <w:tc>
          <w:tcPr>
            <w:tcW w:w="5670" w:type="dxa"/>
            <w:shd w:val="clear" w:color="auto" w:fill="auto"/>
          </w:tcPr>
          <w:p w14:paraId="4F6978F7"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Lagged Budget Stabilization Fund balance calculated as a % of general fund expenditures</w:t>
            </w:r>
          </w:p>
        </w:tc>
        <w:tc>
          <w:tcPr>
            <w:tcW w:w="1890" w:type="dxa"/>
            <w:shd w:val="clear" w:color="auto" w:fill="auto"/>
          </w:tcPr>
          <w:p w14:paraId="1C527AF8"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NASBO Fiscal Survey of States</w:t>
            </w:r>
          </w:p>
        </w:tc>
      </w:tr>
      <w:tr w:rsidR="00804352" w:rsidRPr="00702882" w14:paraId="7C08D681"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hideMark/>
          </w:tcPr>
          <w:p w14:paraId="091B6EA3" w14:textId="77777777" w:rsidR="00AF6702" w:rsidRPr="00702882" w:rsidRDefault="00AF6702" w:rsidP="00C7156B">
            <w:pPr>
              <w:rPr>
                <w:b w:val="0"/>
                <w:bCs w:val="0"/>
                <w:sz w:val="21"/>
                <w:szCs w:val="21"/>
              </w:rPr>
            </w:pPr>
            <w:r w:rsidRPr="00702882">
              <w:rPr>
                <w:b w:val="0"/>
                <w:bCs w:val="0"/>
                <w:sz w:val="21"/>
                <w:szCs w:val="21"/>
              </w:rPr>
              <w:t>GFB</w:t>
            </w:r>
            <w:r w:rsidRPr="00702882">
              <w:rPr>
                <w:b w:val="0"/>
                <w:bCs w:val="0"/>
                <w:sz w:val="21"/>
                <w:szCs w:val="21"/>
                <w:vertAlign w:val="subscript"/>
              </w:rPr>
              <w:t>(t-1)</w:t>
            </w:r>
          </w:p>
        </w:tc>
        <w:tc>
          <w:tcPr>
            <w:tcW w:w="5670" w:type="dxa"/>
            <w:shd w:val="clear" w:color="auto" w:fill="auto"/>
            <w:hideMark/>
          </w:tcPr>
          <w:p w14:paraId="7C70260C"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Lagged unreserved General Fund balance calculated as a % of general fund expenditures</w:t>
            </w:r>
          </w:p>
        </w:tc>
        <w:tc>
          <w:tcPr>
            <w:tcW w:w="1890" w:type="dxa"/>
            <w:shd w:val="clear" w:color="auto" w:fill="auto"/>
            <w:hideMark/>
          </w:tcPr>
          <w:p w14:paraId="75709B75"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NASBO Fiscal Survey of States</w:t>
            </w:r>
          </w:p>
        </w:tc>
      </w:tr>
      <w:tr w:rsidR="00804352" w:rsidRPr="00702882" w14:paraId="33C9F688"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hideMark/>
          </w:tcPr>
          <w:p w14:paraId="7A1A0E91" w14:textId="77777777" w:rsidR="00AF6702" w:rsidRPr="00702882" w:rsidRDefault="00AF6702" w:rsidP="00C7156B">
            <w:pPr>
              <w:rPr>
                <w:b w:val="0"/>
                <w:bCs w:val="0"/>
                <w:sz w:val="21"/>
                <w:szCs w:val="21"/>
              </w:rPr>
            </w:pPr>
            <w:r w:rsidRPr="00702882">
              <w:rPr>
                <w:b w:val="0"/>
                <w:bCs w:val="0"/>
                <w:sz w:val="21"/>
                <w:szCs w:val="21"/>
              </w:rPr>
              <w:t>Deposit</w:t>
            </w:r>
          </w:p>
          <w:p w14:paraId="54ADCCAE" w14:textId="77777777" w:rsidR="00AF6702" w:rsidRPr="00702882" w:rsidRDefault="00AF6702" w:rsidP="00C7156B">
            <w:pPr>
              <w:rPr>
                <w:b w:val="0"/>
                <w:bCs w:val="0"/>
                <w:sz w:val="21"/>
                <w:szCs w:val="21"/>
              </w:rPr>
            </w:pPr>
          </w:p>
        </w:tc>
        <w:tc>
          <w:tcPr>
            <w:tcW w:w="5670" w:type="dxa"/>
            <w:shd w:val="clear" w:color="auto" w:fill="auto"/>
            <w:hideMark/>
          </w:tcPr>
          <w:p w14:paraId="2A9220BB"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Vector of binary BSF deposit requirements</w:t>
            </w:r>
          </w:p>
        </w:tc>
        <w:tc>
          <w:tcPr>
            <w:tcW w:w="1890" w:type="dxa"/>
            <w:shd w:val="clear" w:color="auto" w:fill="auto"/>
            <w:hideMark/>
          </w:tcPr>
          <w:p w14:paraId="42FE6087"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State statutes or constitutions</w:t>
            </w:r>
          </w:p>
        </w:tc>
      </w:tr>
      <w:tr w:rsidR="00804352" w:rsidRPr="00702882" w14:paraId="78CEAB52"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hideMark/>
          </w:tcPr>
          <w:p w14:paraId="660390ED" w14:textId="77777777" w:rsidR="00AF6702" w:rsidRPr="00702882" w:rsidRDefault="00AF6702" w:rsidP="00C7156B">
            <w:pPr>
              <w:rPr>
                <w:b w:val="0"/>
                <w:bCs w:val="0"/>
                <w:sz w:val="21"/>
                <w:szCs w:val="21"/>
              </w:rPr>
            </w:pPr>
            <w:r w:rsidRPr="00702882">
              <w:rPr>
                <w:b w:val="0"/>
                <w:bCs w:val="0"/>
                <w:sz w:val="21"/>
                <w:szCs w:val="21"/>
              </w:rPr>
              <w:t>Withdrawal</w:t>
            </w:r>
          </w:p>
        </w:tc>
        <w:tc>
          <w:tcPr>
            <w:tcW w:w="5670" w:type="dxa"/>
            <w:shd w:val="clear" w:color="auto" w:fill="auto"/>
            <w:hideMark/>
          </w:tcPr>
          <w:p w14:paraId="31DBC5EA"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Vector of binary BSF withdrawal requirements</w:t>
            </w:r>
          </w:p>
        </w:tc>
        <w:tc>
          <w:tcPr>
            <w:tcW w:w="1890" w:type="dxa"/>
            <w:shd w:val="clear" w:color="auto" w:fill="auto"/>
            <w:hideMark/>
          </w:tcPr>
          <w:p w14:paraId="57447879"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State statutes or constitutions</w:t>
            </w:r>
          </w:p>
        </w:tc>
      </w:tr>
      <w:tr w:rsidR="00804352" w:rsidRPr="00702882" w14:paraId="773AA97C"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hideMark/>
          </w:tcPr>
          <w:p w14:paraId="2B8F622D" w14:textId="77777777" w:rsidR="00AF6702" w:rsidRPr="00702882" w:rsidRDefault="00AF6702" w:rsidP="00C7156B">
            <w:pPr>
              <w:rPr>
                <w:b w:val="0"/>
                <w:bCs w:val="0"/>
                <w:sz w:val="21"/>
                <w:szCs w:val="21"/>
              </w:rPr>
            </w:pPr>
            <w:r w:rsidRPr="00702882">
              <w:rPr>
                <w:b w:val="0"/>
                <w:bCs w:val="0"/>
                <w:sz w:val="21"/>
                <w:szCs w:val="21"/>
              </w:rPr>
              <w:t>Restriction</w:t>
            </w:r>
          </w:p>
        </w:tc>
        <w:tc>
          <w:tcPr>
            <w:tcW w:w="5670" w:type="dxa"/>
            <w:shd w:val="clear" w:color="auto" w:fill="auto"/>
            <w:hideMark/>
          </w:tcPr>
          <w:p w14:paraId="36B615B7"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Vector of statutory BSF withdrawal restrictions</w:t>
            </w:r>
          </w:p>
        </w:tc>
        <w:tc>
          <w:tcPr>
            <w:tcW w:w="1890" w:type="dxa"/>
            <w:shd w:val="clear" w:color="auto" w:fill="auto"/>
            <w:hideMark/>
          </w:tcPr>
          <w:p w14:paraId="026BDE42"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State statutes or constitutions</w:t>
            </w:r>
          </w:p>
          <w:p w14:paraId="7F3A361B"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p>
        </w:tc>
      </w:tr>
      <w:tr w:rsidR="00804352" w:rsidRPr="00702882" w14:paraId="533154E8"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hideMark/>
          </w:tcPr>
          <w:p w14:paraId="2084FEBF" w14:textId="77777777" w:rsidR="00AF6702" w:rsidRPr="00702882" w:rsidRDefault="00AF6702" w:rsidP="00C7156B">
            <w:pPr>
              <w:rPr>
                <w:b w:val="0"/>
                <w:bCs w:val="0"/>
                <w:sz w:val="21"/>
                <w:szCs w:val="21"/>
              </w:rPr>
            </w:pPr>
            <w:r w:rsidRPr="00702882">
              <w:rPr>
                <w:b w:val="0"/>
                <w:bCs w:val="0"/>
                <w:sz w:val="21"/>
                <w:szCs w:val="21"/>
              </w:rPr>
              <w:t>Number</w:t>
            </w:r>
          </w:p>
        </w:tc>
        <w:tc>
          <w:tcPr>
            <w:tcW w:w="5670" w:type="dxa"/>
            <w:shd w:val="clear" w:color="auto" w:fill="auto"/>
            <w:hideMark/>
          </w:tcPr>
          <w:p w14:paraId="292DB33D"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 xml:space="preserve">Number of BSF that a state operates </w:t>
            </w:r>
          </w:p>
        </w:tc>
        <w:tc>
          <w:tcPr>
            <w:tcW w:w="1890" w:type="dxa"/>
            <w:shd w:val="clear" w:color="auto" w:fill="auto"/>
            <w:hideMark/>
          </w:tcPr>
          <w:p w14:paraId="5941FA6F"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State statutes or constitutions</w:t>
            </w:r>
          </w:p>
        </w:tc>
      </w:tr>
      <w:tr w:rsidR="00804352" w:rsidRPr="00702882" w14:paraId="55ED6F35"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2693274B" w14:textId="77777777" w:rsidR="00AF6702" w:rsidRPr="00702882" w:rsidRDefault="00AF6702" w:rsidP="00C7156B">
            <w:pPr>
              <w:pStyle w:val="a3"/>
              <w:ind w:left="0"/>
              <w:rPr>
                <w:rFonts w:ascii="Times New Roman" w:hAnsi="Times New Roman" w:cs="Times New Roman"/>
                <w:sz w:val="21"/>
                <w:szCs w:val="21"/>
              </w:rPr>
            </w:pPr>
            <w:r w:rsidRPr="00702882">
              <w:rPr>
                <w:rFonts w:ascii="Times New Roman" w:hAnsi="Times New Roman" w:cs="Times New Roman"/>
                <w:b w:val="0"/>
                <w:bCs w:val="0"/>
                <w:sz w:val="21"/>
                <w:szCs w:val="21"/>
              </w:rPr>
              <w:t xml:space="preserve">Disasters </w:t>
            </w:r>
          </w:p>
        </w:tc>
        <w:tc>
          <w:tcPr>
            <w:tcW w:w="5670" w:type="dxa"/>
            <w:shd w:val="clear" w:color="auto" w:fill="auto"/>
          </w:tcPr>
          <w:p w14:paraId="76572802"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rFonts w:eastAsiaTheme="minorEastAsia"/>
                <w:sz w:val="21"/>
                <w:szCs w:val="21"/>
              </w:rPr>
            </w:pPr>
            <w:r w:rsidRPr="00702882">
              <w:rPr>
                <w:rFonts w:eastAsiaTheme="minorEastAsia"/>
                <w:sz w:val="21"/>
                <w:szCs w:val="21"/>
              </w:rPr>
              <w:t>T</w:t>
            </w:r>
            <w:r w:rsidRPr="00702882">
              <w:rPr>
                <w:sz w:val="21"/>
                <w:szCs w:val="21"/>
              </w:rPr>
              <w:t>he costs of natural disasters</w:t>
            </w:r>
            <w:r w:rsidRPr="00702882">
              <w:rPr>
                <w:rFonts w:eastAsiaTheme="minorEastAsia"/>
                <w:sz w:val="21"/>
                <w:szCs w:val="21"/>
              </w:rPr>
              <w:t xml:space="preserve">, measured in million dollars, </w:t>
            </w:r>
            <w:r w:rsidRPr="00702882">
              <w:rPr>
                <w:sz w:val="21"/>
                <w:szCs w:val="21"/>
              </w:rPr>
              <w:t>incurred by states</w:t>
            </w:r>
          </w:p>
        </w:tc>
        <w:tc>
          <w:tcPr>
            <w:tcW w:w="1890" w:type="dxa"/>
            <w:shd w:val="clear" w:color="auto" w:fill="auto"/>
          </w:tcPr>
          <w:p w14:paraId="08A6C4AC"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NCEI</w:t>
            </w:r>
          </w:p>
          <w:p w14:paraId="00D3BC5A"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 xml:space="preserve"> </w:t>
            </w:r>
          </w:p>
        </w:tc>
      </w:tr>
      <w:tr w:rsidR="00804352" w:rsidRPr="00702882" w14:paraId="7D10210D"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10D02C09" w14:textId="77777777" w:rsidR="00AF6702" w:rsidRPr="00702882" w:rsidRDefault="00AF6702" w:rsidP="00C7156B">
            <w:pPr>
              <w:pStyle w:val="a3"/>
              <w:ind w:left="0"/>
              <w:rPr>
                <w:rFonts w:ascii="Times New Roman" w:hAnsi="Times New Roman" w:cs="Times New Roman"/>
                <w:b w:val="0"/>
                <w:bCs w:val="0"/>
                <w:sz w:val="21"/>
                <w:szCs w:val="21"/>
              </w:rPr>
            </w:pPr>
            <w:r w:rsidRPr="00702882">
              <w:rPr>
                <w:rFonts w:ascii="Times New Roman" w:hAnsi="Times New Roman" w:cs="Times New Roman"/>
                <w:b w:val="0"/>
                <w:bCs w:val="0"/>
                <w:sz w:val="21"/>
                <w:szCs w:val="21"/>
              </w:rPr>
              <w:t xml:space="preserve">Unemployment </w:t>
            </w:r>
          </w:p>
        </w:tc>
        <w:tc>
          <w:tcPr>
            <w:tcW w:w="5670" w:type="dxa"/>
            <w:shd w:val="clear" w:color="auto" w:fill="auto"/>
          </w:tcPr>
          <w:p w14:paraId="1D3603CD"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rFonts w:eastAsiaTheme="minorEastAsia"/>
                <w:sz w:val="21"/>
                <w:szCs w:val="21"/>
              </w:rPr>
            </w:pPr>
            <w:r w:rsidRPr="00702882">
              <w:rPr>
                <w:rFonts w:eastAsiaTheme="minorEastAsia"/>
                <w:sz w:val="21"/>
                <w:szCs w:val="21"/>
              </w:rPr>
              <w:t>Unemployment rates for U.S. States are expressed as a percentage of the labor force</w:t>
            </w:r>
          </w:p>
        </w:tc>
        <w:tc>
          <w:tcPr>
            <w:tcW w:w="1890" w:type="dxa"/>
            <w:shd w:val="clear" w:color="auto" w:fill="auto"/>
          </w:tcPr>
          <w:p w14:paraId="3C3CA198"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rFonts w:eastAsiaTheme="minorEastAsia"/>
                <w:sz w:val="21"/>
                <w:szCs w:val="21"/>
              </w:rPr>
            </w:pPr>
            <w:r w:rsidRPr="00702882">
              <w:rPr>
                <w:rFonts w:eastAsiaTheme="minorEastAsia"/>
                <w:sz w:val="21"/>
                <w:szCs w:val="21"/>
              </w:rPr>
              <w:t>Bureau of Labor Statistics</w:t>
            </w:r>
          </w:p>
        </w:tc>
      </w:tr>
      <w:tr w:rsidR="00804352" w:rsidRPr="00702882" w14:paraId="4DA63C5B"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6ED0F1F2" w14:textId="77777777" w:rsidR="00AF6702" w:rsidRPr="00702882" w:rsidRDefault="00AF6702" w:rsidP="00C7156B">
            <w:pPr>
              <w:pStyle w:val="a3"/>
              <w:ind w:left="0"/>
              <w:rPr>
                <w:rFonts w:ascii="Times New Roman" w:hAnsi="Times New Roman" w:cs="Times New Roman"/>
                <w:b w:val="0"/>
                <w:bCs w:val="0"/>
                <w:sz w:val="21"/>
                <w:szCs w:val="21"/>
              </w:rPr>
            </w:pPr>
            <w:r w:rsidRPr="00702882">
              <w:rPr>
                <w:rFonts w:ascii="Times New Roman" w:hAnsi="Times New Roman" w:cs="Times New Roman"/>
                <w:b w:val="0"/>
                <w:bCs w:val="0"/>
                <w:sz w:val="21"/>
                <w:szCs w:val="21"/>
              </w:rPr>
              <w:t>GSP</w:t>
            </w:r>
          </w:p>
        </w:tc>
        <w:tc>
          <w:tcPr>
            <w:tcW w:w="5670" w:type="dxa"/>
            <w:shd w:val="clear" w:color="auto" w:fill="auto"/>
          </w:tcPr>
          <w:p w14:paraId="60DEC56D" w14:textId="7B03911D"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rFonts w:eastAsiaTheme="minorEastAsia"/>
                <w:sz w:val="21"/>
                <w:szCs w:val="21"/>
              </w:rPr>
            </w:pPr>
            <w:r w:rsidRPr="00702882">
              <w:rPr>
                <w:rFonts w:eastAsiaTheme="minorEastAsia"/>
                <w:sz w:val="21"/>
                <w:szCs w:val="21"/>
              </w:rPr>
              <w:t xml:space="preserve">Gross </w:t>
            </w:r>
            <w:r w:rsidR="00A16B1E" w:rsidRPr="00702882">
              <w:rPr>
                <w:rFonts w:eastAsiaTheme="minorEastAsia"/>
                <w:sz w:val="21"/>
                <w:szCs w:val="21"/>
              </w:rPr>
              <w:t>State</w:t>
            </w:r>
            <w:r w:rsidRPr="00702882">
              <w:rPr>
                <w:rFonts w:eastAsiaTheme="minorEastAsia"/>
                <w:sz w:val="21"/>
                <w:szCs w:val="21"/>
              </w:rPr>
              <w:t xml:space="preserve"> Product that estimates the total value of goods and services produced within a state</w:t>
            </w:r>
          </w:p>
        </w:tc>
        <w:tc>
          <w:tcPr>
            <w:tcW w:w="1890" w:type="dxa"/>
            <w:shd w:val="clear" w:color="auto" w:fill="auto"/>
          </w:tcPr>
          <w:p w14:paraId="5D48D1D2"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rFonts w:eastAsiaTheme="minorEastAsia"/>
                <w:sz w:val="21"/>
                <w:szCs w:val="21"/>
              </w:rPr>
            </w:pPr>
            <w:r w:rsidRPr="00702882">
              <w:rPr>
                <w:rFonts w:eastAsiaTheme="minorEastAsia"/>
                <w:sz w:val="21"/>
                <w:szCs w:val="21"/>
              </w:rPr>
              <w:t>Bureau of Economic Analysis</w:t>
            </w:r>
          </w:p>
        </w:tc>
      </w:tr>
      <w:tr w:rsidR="00804352" w:rsidRPr="00702882" w14:paraId="7FD4FEFC"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7D664B71" w14:textId="77777777" w:rsidR="00AF6702" w:rsidRPr="00702882" w:rsidRDefault="00AF6702" w:rsidP="00C7156B">
            <w:pPr>
              <w:pStyle w:val="a3"/>
              <w:ind w:left="0"/>
              <w:rPr>
                <w:rFonts w:ascii="Times New Roman" w:hAnsi="Times New Roman" w:cs="Times New Roman"/>
                <w:b w:val="0"/>
                <w:bCs w:val="0"/>
                <w:sz w:val="21"/>
                <w:szCs w:val="21"/>
              </w:rPr>
            </w:pPr>
            <w:r w:rsidRPr="00702882">
              <w:rPr>
                <w:rFonts w:ascii="Times New Roman" w:hAnsi="Times New Roman" w:cs="Times New Roman"/>
                <w:b w:val="0"/>
                <w:bCs w:val="0"/>
                <w:sz w:val="21"/>
                <w:szCs w:val="21"/>
              </w:rPr>
              <w:t>Federal IGR</w:t>
            </w:r>
          </w:p>
        </w:tc>
        <w:tc>
          <w:tcPr>
            <w:tcW w:w="5670" w:type="dxa"/>
            <w:shd w:val="clear" w:color="auto" w:fill="auto"/>
          </w:tcPr>
          <w:p w14:paraId="58692CD4"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Total intergovernmental revenue received from Federal governments/state population</w:t>
            </w:r>
          </w:p>
        </w:tc>
        <w:tc>
          <w:tcPr>
            <w:tcW w:w="1890" w:type="dxa"/>
            <w:shd w:val="clear" w:color="auto" w:fill="auto"/>
          </w:tcPr>
          <w:p w14:paraId="55E9A7BE"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State Government Finance series.</w:t>
            </w:r>
          </w:p>
        </w:tc>
      </w:tr>
      <w:tr w:rsidR="00804352" w:rsidRPr="00702882" w14:paraId="632E838C"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2946F705" w14:textId="77777777" w:rsidR="00AF6702" w:rsidRPr="00702882" w:rsidRDefault="00AF6702" w:rsidP="00C7156B">
            <w:pPr>
              <w:pStyle w:val="a3"/>
              <w:ind w:left="0"/>
              <w:rPr>
                <w:rFonts w:ascii="Times New Roman" w:hAnsi="Times New Roman" w:cs="Times New Roman"/>
                <w:b w:val="0"/>
                <w:bCs w:val="0"/>
                <w:sz w:val="21"/>
                <w:szCs w:val="21"/>
              </w:rPr>
            </w:pPr>
            <w:r w:rsidRPr="00702882">
              <w:rPr>
                <w:rFonts w:ascii="Times New Roman" w:hAnsi="Times New Roman" w:cs="Times New Roman"/>
                <w:b w:val="0"/>
                <w:bCs w:val="0"/>
                <w:sz w:val="21"/>
                <w:szCs w:val="21"/>
              </w:rPr>
              <w:t>Debt per capita</w:t>
            </w:r>
          </w:p>
        </w:tc>
        <w:tc>
          <w:tcPr>
            <w:tcW w:w="5670" w:type="dxa"/>
            <w:shd w:val="clear" w:color="auto" w:fill="auto"/>
          </w:tcPr>
          <w:p w14:paraId="227F3CD5"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Total outstanding debt/State population</w:t>
            </w:r>
          </w:p>
        </w:tc>
        <w:tc>
          <w:tcPr>
            <w:tcW w:w="1890" w:type="dxa"/>
            <w:shd w:val="clear" w:color="auto" w:fill="auto"/>
          </w:tcPr>
          <w:p w14:paraId="064D6BD5"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State Government Finances series.</w:t>
            </w:r>
          </w:p>
        </w:tc>
      </w:tr>
      <w:tr w:rsidR="00804352" w:rsidRPr="00702882" w14:paraId="780929A3"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0A798268" w14:textId="77777777" w:rsidR="00AF6702" w:rsidRPr="00702882" w:rsidRDefault="00AF6702" w:rsidP="00C7156B">
            <w:pPr>
              <w:pStyle w:val="a3"/>
              <w:ind w:left="0"/>
              <w:rPr>
                <w:rFonts w:ascii="Times New Roman" w:hAnsi="Times New Roman" w:cs="Times New Roman"/>
                <w:b w:val="0"/>
                <w:bCs w:val="0"/>
                <w:sz w:val="21"/>
                <w:szCs w:val="21"/>
              </w:rPr>
            </w:pPr>
            <w:r w:rsidRPr="00702882">
              <w:rPr>
                <w:rFonts w:ascii="Times New Roman" w:hAnsi="Times New Roman" w:cs="Times New Roman"/>
                <w:b w:val="0"/>
                <w:bCs w:val="0"/>
                <w:sz w:val="21"/>
                <w:szCs w:val="21"/>
              </w:rPr>
              <w:t>Credit</w:t>
            </w:r>
          </w:p>
        </w:tc>
        <w:tc>
          <w:tcPr>
            <w:tcW w:w="5670" w:type="dxa"/>
            <w:shd w:val="clear" w:color="auto" w:fill="auto"/>
          </w:tcPr>
          <w:p w14:paraId="728C7C83"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Credit ratings, converted into a numerical scale from 0 to 5:</w:t>
            </w:r>
          </w:p>
          <w:p w14:paraId="1291984A"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BBB = 0, A = 1, AA- = 2, AA = 3, AA+ = 4, AAA = 5</w:t>
            </w:r>
          </w:p>
        </w:tc>
        <w:tc>
          <w:tcPr>
            <w:tcW w:w="1890" w:type="dxa"/>
            <w:shd w:val="clear" w:color="auto" w:fill="auto"/>
          </w:tcPr>
          <w:p w14:paraId="768C1B88"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Ballotpedia</w:t>
            </w:r>
          </w:p>
        </w:tc>
      </w:tr>
      <w:tr w:rsidR="00804352" w:rsidRPr="00702882" w14:paraId="27003612"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128F4E86" w14:textId="77777777" w:rsidR="00AF6702" w:rsidRPr="00702882" w:rsidRDefault="00AF6702" w:rsidP="00C7156B">
            <w:pPr>
              <w:pStyle w:val="a3"/>
              <w:ind w:left="0"/>
              <w:rPr>
                <w:rFonts w:ascii="Times New Roman" w:hAnsi="Times New Roman" w:cs="Times New Roman"/>
                <w:b w:val="0"/>
                <w:bCs w:val="0"/>
                <w:sz w:val="21"/>
                <w:szCs w:val="21"/>
              </w:rPr>
            </w:pPr>
            <w:r w:rsidRPr="00702882">
              <w:rPr>
                <w:rFonts w:ascii="Times New Roman" w:hAnsi="Times New Roman" w:cs="Times New Roman"/>
                <w:b w:val="0"/>
                <w:bCs w:val="0"/>
                <w:sz w:val="21"/>
                <w:szCs w:val="21"/>
              </w:rPr>
              <w:t>Election</w:t>
            </w:r>
          </w:p>
        </w:tc>
        <w:tc>
          <w:tcPr>
            <w:tcW w:w="5670" w:type="dxa"/>
            <w:shd w:val="clear" w:color="auto" w:fill="auto"/>
          </w:tcPr>
          <w:p w14:paraId="1EC42B58"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Gubernatorial election years, measured by a dummy variable:</w:t>
            </w:r>
          </w:p>
          <w:p w14:paraId="66BF9F71"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1 for an election year and 0 otherwise</w:t>
            </w:r>
          </w:p>
        </w:tc>
        <w:tc>
          <w:tcPr>
            <w:tcW w:w="1890" w:type="dxa"/>
            <w:shd w:val="clear" w:color="auto" w:fill="auto"/>
          </w:tcPr>
          <w:p w14:paraId="60548F09"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Book of the States</w:t>
            </w:r>
          </w:p>
        </w:tc>
      </w:tr>
      <w:tr w:rsidR="00804352" w:rsidRPr="00702882" w14:paraId="1E9D61F5"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4E27164C" w14:textId="77777777" w:rsidR="00AF6702" w:rsidRPr="00702882" w:rsidRDefault="00AF6702" w:rsidP="00C7156B">
            <w:pPr>
              <w:pStyle w:val="a3"/>
              <w:ind w:left="0"/>
              <w:rPr>
                <w:rFonts w:ascii="Times New Roman" w:hAnsi="Times New Roman" w:cs="Times New Roman"/>
                <w:b w:val="0"/>
                <w:bCs w:val="0"/>
                <w:sz w:val="21"/>
                <w:szCs w:val="21"/>
              </w:rPr>
            </w:pPr>
            <w:r w:rsidRPr="00702882">
              <w:rPr>
                <w:rFonts w:ascii="Times New Roman" w:hAnsi="Times New Roman" w:cs="Times New Roman"/>
                <w:b w:val="0"/>
                <w:bCs w:val="0"/>
                <w:sz w:val="21"/>
                <w:szCs w:val="21"/>
              </w:rPr>
              <w:t>Partisanship</w:t>
            </w:r>
          </w:p>
        </w:tc>
        <w:tc>
          <w:tcPr>
            <w:tcW w:w="5670" w:type="dxa"/>
            <w:shd w:val="clear" w:color="auto" w:fill="auto"/>
          </w:tcPr>
          <w:p w14:paraId="4C8F3F92"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 xml:space="preserve">Political partisanship, measured on a scale from 1 to 5: </w:t>
            </w:r>
          </w:p>
          <w:p w14:paraId="2E869556"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 xml:space="preserve">1 = more than 80 % of the Republican party, </w:t>
            </w:r>
          </w:p>
          <w:p w14:paraId="7C1BE126"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rFonts w:eastAsiaTheme="minorEastAsia"/>
                <w:sz w:val="21"/>
                <w:szCs w:val="21"/>
              </w:rPr>
            </w:pPr>
            <w:r w:rsidRPr="00702882">
              <w:rPr>
                <w:sz w:val="21"/>
                <w:szCs w:val="21"/>
              </w:rPr>
              <w:t>5 = more than 80 % of the Democratic party</w:t>
            </w:r>
          </w:p>
        </w:tc>
        <w:tc>
          <w:tcPr>
            <w:tcW w:w="1890" w:type="dxa"/>
            <w:shd w:val="clear" w:color="auto" w:fill="auto"/>
          </w:tcPr>
          <w:p w14:paraId="549977FF"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Book of the States</w:t>
            </w:r>
          </w:p>
        </w:tc>
      </w:tr>
      <w:tr w:rsidR="00804352" w:rsidRPr="00702882" w14:paraId="572AD4E2"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16C3B232" w14:textId="77777777" w:rsidR="00AF6702" w:rsidRPr="00702882" w:rsidRDefault="00AF6702" w:rsidP="00C7156B">
            <w:pPr>
              <w:pStyle w:val="a3"/>
              <w:ind w:left="0"/>
              <w:rPr>
                <w:rFonts w:ascii="Times New Roman" w:hAnsi="Times New Roman" w:cs="Times New Roman"/>
                <w:b w:val="0"/>
                <w:bCs w:val="0"/>
                <w:sz w:val="21"/>
                <w:szCs w:val="21"/>
              </w:rPr>
            </w:pPr>
            <w:r w:rsidRPr="00702882">
              <w:rPr>
                <w:rFonts w:ascii="Times New Roman" w:hAnsi="Times New Roman" w:cs="Times New Roman"/>
                <w:b w:val="0"/>
                <w:bCs w:val="0"/>
                <w:sz w:val="21"/>
                <w:szCs w:val="21"/>
              </w:rPr>
              <w:t>Division</w:t>
            </w:r>
          </w:p>
        </w:tc>
        <w:tc>
          <w:tcPr>
            <w:tcW w:w="5670" w:type="dxa"/>
            <w:shd w:val="clear" w:color="auto" w:fill="auto"/>
          </w:tcPr>
          <w:p w14:paraId="6C97F8DC"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 xml:space="preserve">Divided government, measured by a dummy variable: </w:t>
            </w:r>
          </w:p>
          <w:p w14:paraId="1D3301D1"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rFonts w:eastAsiaTheme="minorEastAsia"/>
                <w:sz w:val="21"/>
                <w:szCs w:val="21"/>
              </w:rPr>
            </w:pPr>
            <w:r w:rsidRPr="00702882">
              <w:rPr>
                <w:sz w:val="21"/>
                <w:szCs w:val="21"/>
              </w:rPr>
              <w:t>1 for different party affiliation between a governor and the majority in legislature and 0 otherwise</w:t>
            </w:r>
          </w:p>
        </w:tc>
        <w:tc>
          <w:tcPr>
            <w:tcW w:w="1890" w:type="dxa"/>
            <w:shd w:val="clear" w:color="auto" w:fill="auto"/>
          </w:tcPr>
          <w:p w14:paraId="48D965FF"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Book of the States</w:t>
            </w:r>
          </w:p>
        </w:tc>
      </w:tr>
      <w:tr w:rsidR="00804352" w:rsidRPr="00702882" w14:paraId="30685BDF"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hideMark/>
          </w:tcPr>
          <w:p w14:paraId="2135B580" w14:textId="77777777" w:rsidR="00AF6702" w:rsidRPr="00702882" w:rsidRDefault="00AF6702" w:rsidP="00C7156B">
            <w:pPr>
              <w:rPr>
                <w:b w:val="0"/>
                <w:bCs w:val="0"/>
                <w:sz w:val="21"/>
                <w:szCs w:val="21"/>
              </w:rPr>
            </w:pPr>
            <w:r w:rsidRPr="00702882">
              <w:rPr>
                <w:b w:val="0"/>
                <w:bCs w:val="0"/>
                <w:sz w:val="21"/>
                <w:szCs w:val="21"/>
              </w:rPr>
              <w:t>BBR</w:t>
            </w:r>
          </w:p>
        </w:tc>
        <w:tc>
          <w:tcPr>
            <w:tcW w:w="5670" w:type="dxa"/>
            <w:shd w:val="clear" w:color="auto" w:fill="auto"/>
            <w:hideMark/>
          </w:tcPr>
          <w:p w14:paraId="2480A959"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Budget balancing requirements, measured by a dummy variable:</w:t>
            </w:r>
          </w:p>
          <w:p w14:paraId="76ED777F"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1 for a state that cannot carry over deficits into the next fiscal year and 0 otherwise</w:t>
            </w:r>
          </w:p>
        </w:tc>
        <w:tc>
          <w:tcPr>
            <w:tcW w:w="1890" w:type="dxa"/>
            <w:shd w:val="clear" w:color="auto" w:fill="auto"/>
            <w:hideMark/>
          </w:tcPr>
          <w:p w14:paraId="0F0E3DDF"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Book of the States</w:t>
            </w:r>
          </w:p>
        </w:tc>
      </w:tr>
      <w:tr w:rsidR="00804352" w:rsidRPr="00702882" w14:paraId="0B3ECB1E"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hideMark/>
          </w:tcPr>
          <w:p w14:paraId="2E9934E8" w14:textId="77777777" w:rsidR="00AF6702" w:rsidRPr="00702882" w:rsidRDefault="00AF6702" w:rsidP="00C7156B">
            <w:pPr>
              <w:rPr>
                <w:b w:val="0"/>
                <w:bCs w:val="0"/>
                <w:sz w:val="21"/>
                <w:szCs w:val="21"/>
              </w:rPr>
            </w:pPr>
            <w:r w:rsidRPr="00702882">
              <w:rPr>
                <w:b w:val="0"/>
                <w:bCs w:val="0"/>
                <w:sz w:val="21"/>
                <w:szCs w:val="21"/>
              </w:rPr>
              <w:t>TEL</w:t>
            </w:r>
          </w:p>
        </w:tc>
        <w:tc>
          <w:tcPr>
            <w:tcW w:w="5670" w:type="dxa"/>
            <w:shd w:val="clear" w:color="auto" w:fill="auto"/>
            <w:hideMark/>
          </w:tcPr>
          <w:p w14:paraId="468F7947"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Stringency index of state TELs, developed by Amiel et al. (2014), ranges from 0 (no TEL) to 33 (most restrictive).</w:t>
            </w:r>
          </w:p>
        </w:tc>
        <w:tc>
          <w:tcPr>
            <w:tcW w:w="1890" w:type="dxa"/>
            <w:shd w:val="clear" w:color="auto" w:fill="auto"/>
            <w:hideMark/>
          </w:tcPr>
          <w:p w14:paraId="092C8033"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Amiel et al. (2014)</w:t>
            </w:r>
          </w:p>
        </w:tc>
      </w:tr>
      <w:tr w:rsidR="00804352" w:rsidRPr="00702882" w14:paraId="3C1A720D" w14:textId="77777777" w:rsidTr="00AE6820">
        <w:trPr>
          <w:jc w:val="center"/>
        </w:trPr>
        <w:tc>
          <w:tcPr>
            <w:cnfStyle w:val="001000000000" w:firstRow="0" w:lastRow="0" w:firstColumn="1" w:lastColumn="0" w:oddVBand="0" w:evenVBand="0" w:oddHBand="0" w:evenHBand="0" w:firstRowFirstColumn="0" w:firstRowLastColumn="0" w:lastRowFirstColumn="0" w:lastRowLastColumn="0"/>
            <w:tcW w:w="1890" w:type="dxa"/>
            <w:shd w:val="clear" w:color="auto" w:fill="auto"/>
          </w:tcPr>
          <w:p w14:paraId="03030649" w14:textId="77777777" w:rsidR="00AF6702" w:rsidRPr="00702882" w:rsidRDefault="00AF6702" w:rsidP="00C7156B">
            <w:pPr>
              <w:rPr>
                <w:b w:val="0"/>
                <w:bCs w:val="0"/>
                <w:sz w:val="21"/>
                <w:szCs w:val="21"/>
              </w:rPr>
            </w:pPr>
            <w:r w:rsidRPr="00702882">
              <w:rPr>
                <w:b w:val="0"/>
                <w:bCs w:val="0"/>
                <w:sz w:val="21"/>
                <w:szCs w:val="21"/>
              </w:rPr>
              <w:t xml:space="preserve">Population </w:t>
            </w:r>
          </w:p>
        </w:tc>
        <w:tc>
          <w:tcPr>
            <w:tcW w:w="5670" w:type="dxa"/>
            <w:shd w:val="clear" w:color="auto" w:fill="auto"/>
          </w:tcPr>
          <w:p w14:paraId="2614BD78"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Population in the natural log form</w:t>
            </w:r>
          </w:p>
        </w:tc>
        <w:tc>
          <w:tcPr>
            <w:tcW w:w="1890" w:type="dxa"/>
            <w:shd w:val="clear" w:color="auto" w:fill="auto"/>
          </w:tcPr>
          <w:p w14:paraId="04B558C0" w14:textId="77777777" w:rsidR="00AF6702" w:rsidRPr="00702882" w:rsidRDefault="00AF6702" w:rsidP="00C7156B">
            <w:pPr>
              <w:cnfStyle w:val="000000000000" w:firstRow="0" w:lastRow="0" w:firstColumn="0" w:lastColumn="0" w:oddVBand="0" w:evenVBand="0" w:oddHBand="0" w:evenHBand="0" w:firstRowFirstColumn="0" w:firstRowLastColumn="0" w:lastRowFirstColumn="0" w:lastRowLastColumn="0"/>
              <w:rPr>
                <w:sz w:val="21"/>
                <w:szCs w:val="21"/>
              </w:rPr>
            </w:pPr>
            <w:r w:rsidRPr="00702882">
              <w:rPr>
                <w:sz w:val="21"/>
                <w:szCs w:val="21"/>
              </w:rPr>
              <w:t>Statistical Abstract of the US series</w:t>
            </w:r>
          </w:p>
        </w:tc>
      </w:tr>
      <w:tr w:rsidR="00804352" w:rsidRPr="00702882" w14:paraId="52A2561C" w14:textId="77777777" w:rsidTr="00AE6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90" w:type="dxa"/>
            <w:tcBorders>
              <w:bottom w:val="single" w:sz="12" w:space="0" w:color="auto"/>
            </w:tcBorders>
            <w:shd w:val="clear" w:color="auto" w:fill="auto"/>
          </w:tcPr>
          <w:p w14:paraId="5D962E51" w14:textId="77777777" w:rsidR="00AF6702" w:rsidRPr="00702882" w:rsidRDefault="00AF6702" w:rsidP="00C7156B">
            <w:pPr>
              <w:rPr>
                <w:b w:val="0"/>
                <w:bCs w:val="0"/>
                <w:sz w:val="21"/>
                <w:szCs w:val="21"/>
              </w:rPr>
            </w:pPr>
            <w:r w:rsidRPr="00702882">
              <w:rPr>
                <w:b w:val="0"/>
                <w:bCs w:val="0"/>
                <w:sz w:val="21"/>
                <w:szCs w:val="21"/>
              </w:rPr>
              <w:t>Personal income</w:t>
            </w:r>
          </w:p>
        </w:tc>
        <w:tc>
          <w:tcPr>
            <w:tcW w:w="5670" w:type="dxa"/>
            <w:tcBorders>
              <w:bottom w:val="single" w:sz="12" w:space="0" w:color="auto"/>
            </w:tcBorders>
            <w:shd w:val="clear" w:color="auto" w:fill="auto"/>
          </w:tcPr>
          <w:p w14:paraId="657BD235"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Per capita personal income (in thousands)</w:t>
            </w:r>
          </w:p>
        </w:tc>
        <w:tc>
          <w:tcPr>
            <w:tcW w:w="1890" w:type="dxa"/>
            <w:tcBorders>
              <w:bottom w:val="single" w:sz="12" w:space="0" w:color="auto"/>
            </w:tcBorders>
            <w:shd w:val="clear" w:color="auto" w:fill="auto"/>
          </w:tcPr>
          <w:p w14:paraId="5A3C33F6" w14:textId="77777777" w:rsidR="00AF6702" w:rsidRPr="00702882" w:rsidRDefault="00AF6702" w:rsidP="00C7156B">
            <w:pPr>
              <w:cnfStyle w:val="000000100000" w:firstRow="0" w:lastRow="0" w:firstColumn="0" w:lastColumn="0" w:oddVBand="0" w:evenVBand="0" w:oddHBand="1" w:evenHBand="0" w:firstRowFirstColumn="0" w:firstRowLastColumn="0" w:lastRowFirstColumn="0" w:lastRowLastColumn="0"/>
              <w:rPr>
                <w:sz w:val="21"/>
                <w:szCs w:val="21"/>
              </w:rPr>
            </w:pPr>
            <w:r w:rsidRPr="00702882">
              <w:rPr>
                <w:sz w:val="21"/>
                <w:szCs w:val="21"/>
              </w:rPr>
              <w:t xml:space="preserve">Bureau of Economic Analysis </w:t>
            </w:r>
          </w:p>
        </w:tc>
      </w:tr>
    </w:tbl>
    <w:p w14:paraId="38CE3FAC" w14:textId="77777777" w:rsidR="00AF6702" w:rsidRPr="00702882" w:rsidRDefault="00AF6702" w:rsidP="00C66AC4">
      <w:pPr>
        <w:spacing w:line="480" w:lineRule="auto"/>
        <w:rPr>
          <w:rFonts w:eastAsiaTheme="minorEastAsia"/>
          <w:b/>
          <w:bCs/>
          <w:color w:val="7030A0"/>
        </w:rPr>
      </w:pPr>
    </w:p>
    <w:p w14:paraId="5B6D789B" w14:textId="77777777" w:rsidR="00AF6702" w:rsidRPr="00702882" w:rsidRDefault="00AF6702" w:rsidP="00C66AC4">
      <w:pPr>
        <w:spacing w:line="480" w:lineRule="auto"/>
        <w:jc w:val="center"/>
        <w:rPr>
          <w:b/>
          <w:bCs/>
          <w:color w:val="7030A0"/>
        </w:rPr>
      </w:pPr>
    </w:p>
    <w:p w14:paraId="77B1D739" w14:textId="77777777" w:rsidR="00AF6702" w:rsidRPr="00702882" w:rsidRDefault="00AF6702" w:rsidP="00C66AC4">
      <w:pPr>
        <w:spacing w:line="480" w:lineRule="auto"/>
        <w:jc w:val="center"/>
        <w:rPr>
          <w:rFonts w:eastAsiaTheme="minorEastAsia"/>
          <w:b/>
          <w:bCs/>
          <w:color w:val="7030A0"/>
        </w:rPr>
      </w:pPr>
    </w:p>
    <w:p w14:paraId="7C9A9CC4" w14:textId="77777777" w:rsidR="00AF6702" w:rsidRPr="00702882" w:rsidRDefault="00AF6702" w:rsidP="00C66AC4">
      <w:pPr>
        <w:spacing w:line="480" w:lineRule="auto"/>
        <w:jc w:val="center"/>
        <w:rPr>
          <w:rFonts w:eastAsiaTheme="minorEastAsia"/>
          <w:b/>
          <w:bCs/>
        </w:rPr>
      </w:pPr>
      <w:r w:rsidRPr="00702882">
        <w:rPr>
          <w:b/>
          <w:bCs/>
        </w:rPr>
        <w:lastRenderedPageBreak/>
        <w:t>Table 7. Descriptive Statistics</w:t>
      </w:r>
    </w:p>
    <w:tbl>
      <w:tblPr>
        <w:tblW w:w="8789" w:type="dxa"/>
        <w:tblCellMar>
          <w:left w:w="99" w:type="dxa"/>
          <w:right w:w="99" w:type="dxa"/>
        </w:tblCellMar>
        <w:tblLook w:val="04A0" w:firstRow="1" w:lastRow="0" w:firstColumn="1" w:lastColumn="0" w:noHBand="0" w:noVBand="1"/>
      </w:tblPr>
      <w:tblGrid>
        <w:gridCol w:w="2540"/>
        <w:gridCol w:w="1249"/>
        <w:gridCol w:w="1250"/>
        <w:gridCol w:w="1250"/>
        <w:gridCol w:w="1250"/>
        <w:gridCol w:w="1250"/>
      </w:tblGrid>
      <w:tr w:rsidR="00522CEF" w:rsidRPr="00702882" w14:paraId="0F554AF7" w14:textId="77777777" w:rsidTr="00AE6820">
        <w:trPr>
          <w:trHeight w:val="283"/>
        </w:trPr>
        <w:tc>
          <w:tcPr>
            <w:tcW w:w="2540" w:type="dxa"/>
            <w:tcBorders>
              <w:top w:val="single" w:sz="8" w:space="0" w:color="auto"/>
              <w:left w:val="nil"/>
              <w:bottom w:val="single" w:sz="8" w:space="0" w:color="auto"/>
              <w:right w:val="nil"/>
            </w:tcBorders>
            <w:shd w:val="clear" w:color="auto" w:fill="auto"/>
            <w:vAlign w:val="center"/>
            <w:hideMark/>
          </w:tcPr>
          <w:p w14:paraId="527CFD2B" w14:textId="77777777" w:rsidR="00AF6702" w:rsidRPr="00702882" w:rsidRDefault="00AF6702" w:rsidP="00C7156B">
            <w:pPr>
              <w:rPr>
                <w:rFonts w:eastAsia="맑은 고딕"/>
                <w:b/>
                <w:bCs/>
                <w:sz w:val="22"/>
                <w:szCs w:val="22"/>
              </w:rPr>
            </w:pPr>
            <w:r w:rsidRPr="00702882">
              <w:rPr>
                <w:rFonts w:eastAsia="맑은 고딕"/>
                <w:b/>
                <w:bCs/>
                <w:sz w:val="22"/>
                <w:szCs w:val="22"/>
              </w:rPr>
              <w:t>Variable</w:t>
            </w:r>
          </w:p>
        </w:tc>
        <w:tc>
          <w:tcPr>
            <w:tcW w:w="1249" w:type="dxa"/>
            <w:tcBorders>
              <w:top w:val="single" w:sz="8" w:space="0" w:color="auto"/>
              <w:left w:val="nil"/>
              <w:bottom w:val="single" w:sz="8" w:space="0" w:color="auto"/>
              <w:right w:val="nil"/>
            </w:tcBorders>
            <w:shd w:val="clear" w:color="auto" w:fill="auto"/>
            <w:vAlign w:val="center"/>
            <w:hideMark/>
          </w:tcPr>
          <w:p w14:paraId="20093F1A" w14:textId="77777777" w:rsidR="00AF6702" w:rsidRPr="00702882" w:rsidRDefault="00AF6702" w:rsidP="00C7156B">
            <w:pPr>
              <w:jc w:val="right"/>
              <w:rPr>
                <w:rFonts w:eastAsia="맑은 고딕"/>
                <w:b/>
                <w:bCs/>
                <w:sz w:val="22"/>
                <w:szCs w:val="22"/>
              </w:rPr>
            </w:pPr>
            <w:r w:rsidRPr="00702882">
              <w:rPr>
                <w:rFonts w:eastAsia="맑은 고딕"/>
                <w:b/>
                <w:bCs/>
                <w:sz w:val="22"/>
                <w:szCs w:val="22"/>
              </w:rPr>
              <w:t>N</w:t>
            </w:r>
          </w:p>
        </w:tc>
        <w:tc>
          <w:tcPr>
            <w:tcW w:w="1250" w:type="dxa"/>
            <w:tcBorders>
              <w:top w:val="single" w:sz="8" w:space="0" w:color="auto"/>
              <w:left w:val="nil"/>
              <w:bottom w:val="single" w:sz="8" w:space="0" w:color="auto"/>
              <w:right w:val="nil"/>
            </w:tcBorders>
            <w:shd w:val="clear" w:color="auto" w:fill="auto"/>
            <w:vAlign w:val="center"/>
            <w:hideMark/>
          </w:tcPr>
          <w:p w14:paraId="1DC6922D" w14:textId="77777777" w:rsidR="00AF6702" w:rsidRPr="00702882" w:rsidRDefault="00AF6702" w:rsidP="00C7156B">
            <w:pPr>
              <w:jc w:val="right"/>
              <w:rPr>
                <w:rFonts w:eastAsia="맑은 고딕"/>
                <w:b/>
                <w:bCs/>
                <w:sz w:val="22"/>
                <w:szCs w:val="22"/>
              </w:rPr>
            </w:pPr>
            <w:r w:rsidRPr="00702882">
              <w:rPr>
                <w:rFonts w:eastAsia="맑은 고딕"/>
                <w:b/>
                <w:bCs/>
                <w:sz w:val="22"/>
                <w:szCs w:val="22"/>
              </w:rPr>
              <w:t>Mean</w:t>
            </w:r>
          </w:p>
        </w:tc>
        <w:tc>
          <w:tcPr>
            <w:tcW w:w="1250" w:type="dxa"/>
            <w:tcBorders>
              <w:top w:val="single" w:sz="8" w:space="0" w:color="auto"/>
              <w:left w:val="nil"/>
              <w:bottom w:val="single" w:sz="8" w:space="0" w:color="auto"/>
              <w:right w:val="nil"/>
            </w:tcBorders>
            <w:shd w:val="clear" w:color="auto" w:fill="auto"/>
            <w:vAlign w:val="center"/>
            <w:hideMark/>
          </w:tcPr>
          <w:p w14:paraId="65E297FF" w14:textId="77777777" w:rsidR="00AF6702" w:rsidRPr="00702882" w:rsidRDefault="00AF6702" w:rsidP="00C7156B">
            <w:pPr>
              <w:jc w:val="right"/>
              <w:rPr>
                <w:rFonts w:eastAsia="맑은 고딕"/>
                <w:b/>
                <w:bCs/>
                <w:sz w:val="22"/>
                <w:szCs w:val="22"/>
              </w:rPr>
            </w:pPr>
            <w:r w:rsidRPr="00702882">
              <w:rPr>
                <w:rFonts w:eastAsia="맑은 고딕"/>
                <w:b/>
                <w:bCs/>
                <w:sz w:val="22"/>
                <w:szCs w:val="22"/>
              </w:rPr>
              <w:t>Std. Dev.</w:t>
            </w:r>
          </w:p>
        </w:tc>
        <w:tc>
          <w:tcPr>
            <w:tcW w:w="1250" w:type="dxa"/>
            <w:tcBorders>
              <w:top w:val="single" w:sz="8" w:space="0" w:color="auto"/>
              <w:left w:val="nil"/>
              <w:bottom w:val="single" w:sz="8" w:space="0" w:color="auto"/>
              <w:right w:val="nil"/>
            </w:tcBorders>
            <w:shd w:val="clear" w:color="auto" w:fill="auto"/>
            <w:vAlign w:val="center"/>
            <w:hideMark/>
          </w:tcPr>
          <w:p w14:paraId="40EDEEB3" w14:textId="77777777" w:rsidR="00AF6702" w:rsidRPr="00702882" w:rsidRDefault="00AF6702" w:rsidP="00C7156B">
            <w:pPr>
              <w:jc w:val="right"/>
              <w:rPr>
                <w:rFonts w:eastAsia="맑은 고딕"/>
                <w:b/>
                <w:bCs/>
                <w:sz w:val="22"/>
                <w:szCs w:val="22"/>
              </w:rPr>
            </w:pPr>
            <w:r w:rsidRPr="00702882">
              <w:rPr>
                <w:rFonts w:eastAsia="맑은 고딕"/>
                <w:b/>
                <w:bCs/>
                <w:sz w:val="22"/>
                <w:szCs w:val="22"/>
              </w:rPr>
              <w:t>Min</w:t>
            </w:r>
          </w:p>
        </w:tc>
        <w:tc>
          <w:tcPr>
            <w:tcW w:w="1250" w:type="dxa"/>
            <w:tcBorders>
              <w:top w:val="single" w:sz="8" w:space="0" w:color="auto"/>
              <w:left w:val="nil"/>
              <w:bottom w:val="single" w:sz="8" w:space="0" w:color="auto"/>
              <w:right w:val="nil"/>
            </w:tcBorders>
            <w:shd w:val="clear" w:color="auto" w:fill="auto"/>
            <w:vAlign w:val="center"/>
            <w:hideMark/>
          </w:tcPr>
          <w:p w14:paraId="02EB136F" w14:textId="77777777" w:rsidR="00AF6702" w:rsidRPr="00702882" w:rsidRDefault="00AF6702" w:rsidP="00C7156B">
            <w:pPr>
              <w:jc w:val="right"/>
              <w:rPr>
                <w:rFonts w:eastAsia="맑은 고딕"/>
                <w:b/>
                <w:bCs/>
                <w:sz w:val="22"/>
                <w:szCs w:val="22"/>
              </w:rPr>
            </w:pPr>
            <w:r w:rsidRPr="00702882">
              <w:rPr>
                <w:rFonts w:eastAsia="맑은 고딕"/>
                <w:b/>
                <w:bCs/>
                <w:sz w:val="22"/>
                <w:szCs w:val="22"/>
              </w:rPr>
              <w:t>Max</w:t>
            </w:r>
          </w:p>
        </w:tc>
      </w:tr>
      <w:tr w:rsidR="00522CEF" w:rsidRPr="00702882" w14:paraId="6266540A" w14:textId="77777777" w:rsidTr="00AE6820">
        <w:trPr>
          <w:trHeight w:val="283"/>
        </w:trPr>
        <w:tc>
          <w:tcPr>
            <w:tcW w:w="2540" w:type="dxa"/>
            <w:tcBorders>
              <w:top w:val="single" w:sz="8" w:space="0" w:color="auto"/>
              <w:left w:val="nil"/>
              <w:bottom w:val="nil"/>
              <w:right w:val="nil"/>
            </w:tcBorders>
            <w:shd w:val="clear" w:color="auto" w:fill="auto"/>
            <w:vAlign w:val="center"/>
            <w:hideMark/>
          </w:tcPr>
          <w:p w14:paraId="56299DB4" w14:textId="77777777" w:rsidR="00AF6702" w:rsidRPr="00702882" w:rsidRDefault="00AF6702" w:rsidP="00C7156B">
            <w:pPr>
              <w:rPr>
                <w:rFonts w:eastAsia="맑은 고딕"/>
                <w:sz w:val="22"/>
                <w:szCs w:val="22"/>
              </w:rPr>
            </w:pPr>
            <w:r w:rsidRPr="00702882">
              <w:rPr>
                <w:rFonts w:eastAsia="맑은 고딕"/>
                <w:sz w:val="22"/>
                <w:szCs w:val="22"/>
              </w:rPr>
              <w:t>BSF_percent</w:t>
            </w:r>
          </w:p>
        </w:tc>
        <w:tc>
          <w:tcPr>
            <w:tcW w:w="1249" w:type="dxa"/>
            <w:tcBorders>
              <w:top w:val="single" w:sz="8" w:space="0" w:color="auto"/>
              <w:left w:val="nil"/>
              <w:bottom w:val="nil"/>
              <w:right w:val="nil"/>
            </w:tcBorders>
            <w:shd w:val="clear" w:color="auto" w:fill="auto"/>
            <w:vAlign w:val="center"/>
            <w:hideMark/>
          </w:tcPr>
          <w:p w14:paraId="1593E72C"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single" w:sz="8" w:space="0" w:color="auto"/>
              <w:left w:val="nil"/>
              <w:bottom w:val="nil"/>
              <w:right w:val="nil"/>
            </w:tcBorders>
            <w:shd w:val="clear" w:color="auto" w:fill="auto"/>
            <w:vAlign w:val="center"/>
            <w:hideMark/>
          </w:tcPr>
          <w:p w14:paraId="66184239" w14:textId="77777777" w:rsidR="00AF6702" w:rsidRPr="00702882" w:rsidRDefault="00AF6702" w:rsidP="00C7156B">
            <w:pPr>
              <w:jc w:val="right"/>
              <w:rPr>
                <w:rFonts w:eastAsia="맑은 고딕"/>
                <w:sz w:val="22"/>
                <w:szCs w:val="22"/>
              </w:rPr>
            </w:pPr>
            <w:r w:rsidRPr="00702882">
              <w:rPr>
                <w:rFonts w:eastAsia="맑은 고딕"/>
                <w:sz w:val="22"/>
                <w:szCs w:val="22"/>
              </w:rPr>
              <w:t>5.1</w:t>
            </w:r>
          </w:p>
        </w:tc>
        <w:tc>
          <w:tcPr>
            <w:tcW w:w="1250" w:type="dxa"/>
            <w:tcBorders>
              <w:top w:val="single" w:sz="8" w:space="0" w:color="auto"/>
              <w:left w:val="nil"/>
              <w:bottom w:val="nil"/>
              <w:right w:val="nil"/>
            </w:tcBorders>
            <w:shd w:val="clear" w:color="auto" w:fill="auto"/>
            <w:vAlign w:val="center"/>
            <w:hideMark/>
          </w:tcPr>
          <w:p w14:paraId="4BB16A3C" w14:textId="77777777" w:rsidR="00AF6702" w:rsidRPr="00702882" w:rsidRDefault="00AF6702" w:rsidP="00C7156B">
            <w:pPr>
              <w:jc w:val="right"/>
              <w:rPr>
                <w:rFonts w:eastAsia="맑은 고딕"/>
                <w:sz w:val="22"/>
                <w:szCs w:val="22"/>
              </w:rPr>
            </w:pPr>
            <w:r w:rsidRPr="00702882">
              <w:rPr>
                <w:rFonts w:eastAsia="맑은 고딕"/>
                <w:sz w:val="22"/>
                <w:szCs w:val="22"/>
              </w:rPr>
              <w:t>5</w:t>
            </w:r>
          </w:p>
        </w:tc>
        <w:tc>
          <w:tcPr>
            <w:tcW w:w="1250" w:type="dxa"/>
            <w:tcBorders>
              <w:top w:val="single" w:sz="8" w:space="0" w:color="auto"/>
              <w:left w:val="nil"/>
              <w:bottom w:val="nil"/>
              <w:right w:val="nil"/>
            </w:tcBorders>
            <w:shd w:val="clear" w:color="auto" w:fill="auto"/>
            <w:vAlign w:val="center"/>
            <w:hideMark/>
          </w:tcPr>
          <w:p w14:paraId="70455E5B"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single" w:sz="8" w:space="0" w:color="auto"/>
              <w:left w:val="nil"/>
              <w:bottom w:val="nil"/>
              <w:right w:val="nil"/>
            </w:tcBorders>
            <w:shd w:val="clear" w:color="auto" w:fill="auto"/>
            <w:vAlign w:val="center"/>
            <w:hideMark/>
          </w:tcPr>
          <w:p w14:paraId="3041ABBE" w14:textId="77777777" w:rsidR="00AF6702" w:rsidRPr="00702882" w:rsidRDefault="00AF6702" w:rsidP="00C7156B">
            <w:pPr>
              <w:jc w:val="right"/>
              <w:rPr>
                <w:rFonts w:eastAsia="맑은 고딕"/>
                <w:sz w:val="22"/>
                <w:szCs w:val="22"/>
              </w:rPr>
            </w:pPr>
            <w:r w:rsidRPr="00702882">
              <w:rPr>
                <w:rFonts w:eastAsia="맑은 고딕"/>
                <w:sz w:val="22"/>
                <w:szCs w:val="22"/>
              </w:rPr>
              <w:t>33</w:t>
            </w:r>
          </w:p>
        </w:tc>
      </w:tr>
      <w:tr w:rsidR="00522CEF" w:rsidRPr="00702882" w14:paraId="2A9BE024" w14:textId="77777777" w:rsidTr="00AE6820">
        <w:trPr>
          <w:trHeight w:val="283"/>
        </w:trPr>
        <w:tc>
          <w:tcPr>
            <w:tcW w:w="2540" w:type="dxa"/>
            <w:tcBorders>
              <w:top w:val="nil"/>
              <w:left w:val="nil"/>
              <w:bottom w:val="nil"/>
              <w:right w:val="nil"/>
            </w:tcBorders>
            <w:shd w:val="clear" w:color="auto" w:fill="auto"/>
            <w:vAlign w:val="center"/>
            <w:hideMark/>
          </w:tcPr>
          <w:p w14:paraId="0AB2F06F" w14:textId="77777777" w:rsidR="00AF6702" w:rsidRPr="00702882" w:rsidRDefault="00AF6702" w:rsidP="00C7156B">
            <w:pPr>
              <w:rPr>
                <w:rFonts w:eastAsia="맑은 고딕"/>
                <w:sz w:val="22"/>
                <w:szCs w:val="22"/>
              </w:rPr>
            </w:pPr>
            <w:r w:rsidRPr="00702882">
              <w:rPr>
                <w:rFonts w:eastAsia="맑은 고딕"/>
                <w:sz w:val="22"/>
                <w:szCs w:val="22"/>
              </w:rPr>
              <w:t>GFB_percent</w:t>
            </w:r>
          </w:p>
        </w:tc>
        <w:tc>
          <w:tcPr>
            <w:tcW w:w="1249" w:type="dxa"/>
            <w:tcBorders>
              <w:top w:val="nil"/>
              <w:left w:val="nil"/>
              <w:bottom w:val="nil"/>
              <w:right w:val="nil"/>
            </w:tcBorders>
            <w:shd w:val="clear" w:color="auto" w:fill="auto"/>
            <w:vAlign w:val="center"/>
            <w:hideMark/>
          </w:tcPr>
          <w:p w14:paraId="0DBE7BEA"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5FA46C37" w14:textId="77777777" w:rsidR="00AF6702" w:rsidRPr="00702882" w:rsidRDefault="00AF6702" w:rsidP="00C7156B">
            <w:pPr>
              <w:jc w:val="right"/>
              <w:rPr>
                <w:rFonts w:eastAsia="맑은 고딕"/>
                <w:sz w:val="22"/>
                <w:szCs w:val="22"/>
              </w:rPr>
            </w:pPr>
            <w:r w:rsidRPr="00702882">
              <w:rPr>
                <w:rFonts w:eastAsia="맑은 고딕"/>
                <w:sz w:val="22"/>
                <w:szCs w:val="22"/>
              </w:rPr>
              <w:t>5.5</w:t>
            </w:r>
          </w:p>
        </w:tc>
        <w:tc>
          <w:tcPr>
            <w:tcW w:w="1250" w:type="dxa"/>
            <w:tcBorders>
              <w:top w:val="nil"/>
              <w:left w:val="nil"/>
              <w:bottom w:val="nil"/>
              <w:right w:val="nil"/>
            </w:tcBorders>
            <w:shd w:val="clear" w:color="auto" w:fill="auto"/>
            <w:vAlign w:val="center"/>
            <w:hideMark/>
          </w:tcPr>
          <w:p w14:paraId="41D85A43" w14:textId="77777777" w:rsidR="00AF6702" w:rsidRPr="00702882" w:rsidRDefault="00AF6702" w:rsidP="00C7156B">
            <w:pPr>
              <w:jc w:val="right"/>
              <w:rPr>
                <w:rFonts w:eastAsia="맑은 고딕"/>
                <w:sz w:val="22"/>
                <w:szCs w:val="22"/>
              </w:rPr>
            </w:pPr>
            <w:r w:rsidRPr="00702882">
              <w:rPr>
                <w:rFonts w:eastAsia="맑은 고딕"/>
                <w:sz w:val="22"/>
                <w:szCs w:val="22"/>
              </w:rPr>
              <w:t>6.8</w:t>
            </w:r>
          </w:p>
        </w:tc>
        <w:tc>
          <w:tcPr>
            <w:tcW w:w="1250" w:type="dxa"/>
            <w:tcBorders>
              <w:top w:val="nil"/>
              <w:left w:val="nil"/>
              <w:bottom w:val="nil"/>
              <w:right w:val="nil"/>
            </w:tcBorders>
            <w:shd w:val="clear" w:color="auto" w:fill="auto"/>
            <w:vAlign w:val="center"/>
            <w:hideMark/>
          </w:tcPr>
          <w:p w14:paraId="240BA5D7" w14:textId="77777777" w:rsidR="00AF6702" w:rsidRPr="00702882" w:rsidRDefault="00AF6702" w:rsidP="00C7156B">
            <w:pPr>
              <w:jc w:val="right"/>
              <w:rPr>
                <w:rFonts w:eastAsia="맑은 고딕"/>
                <w:sz w:val="22"/>
                <w:szCs w:val="22"/>
              </w:rPr>
            </w:pPr>
            <w:r w:rsidRPr="00702882">
              <w:rPr>
                <w:rFonts w:eastAsia="맑은 고딕"/>
                <w:sz w:val="22"/>
                <w:szCs w:val="22"/>
              </w:rPr>
              <w:t>-7.8</w:t>
            </w:r>
          </w:p>
        </w:tc>
        <w:tc>
          <w:tcPr>
            <w:tcW w:w="1250" w:type="dxa"/>
            <w:tcBorders>
              <w:top w:val="nil"/>
              <w:left w:val="nil"/>
              <w:bottom w:val="nil"/>
              <w:right w:val="nil"/>
            </w:tcBorders>
            <w:shd w:val="clear" w:color="auto" w:fill="auto"/>
            <w:vAlign w:val="center"/>
            <w:hideMark/>
          </w:tcPr>
          <w:p w14:paraId="6DE5F95A" w14:textId="77777777" w:rsidR="00AF6702" w:rsidRPr="00702882" w:rsidRDefault="00AF6702" w:rsidP="00C7156B">
            <w:pPr>
              <w:jc w:val="right"/>
              <w:rPr>
                <w:rFonts w:eastAsia="맑은 고딕"/>
                <w:sz w:val="22"/>
                <w:szCs w:val="22"/>
              </w:rPr>
            </w:pPr>
            <w:r w:rsidRPr="00702882">
              <w:rPr>
                <w:rFonts w:eastAsia="맑은 고딕"/>
                <w:sz w:val="22"/>
                <w:szCs w:val="22"/>
              </w:rPr>
              <w:t>60</w:t>
            </w:r>
          </w:p>
        </w:tc>
      </w:tr>
      <w:tr w:rsidR="00522CEF" w:rsidRPr="00702882" w14:paraId="3A0768CF" w14:textId="77777777" w:rsidTr="00AE6820">
        <w:trPr>
          <w:trHeight w:val="283"/>
        </w:trPr>
        <w:tc>
          <w:tcPr>
            <w:tcW w:w="2540" w:type="dxa"/>
            <w:tcBorders>
              <w:top w:val="nil"/>
              <w:left w:val="nil"/>
              <w:bottom w:val="nil"/>
              <w:right w:val="nil"/>
            </w:tcBorders>
            <w:shd w:val="clear" w:color="auto" w:fill="auto"/>
            <w:vAlign w:val="center"/>
            <w:hideMark/>
          </w:tcPr>
          <w:p w14:paraId="38F29507" w14:textId="77777777" w:rsidR="00AF6702" w:rsidRPr="00702882" w:rsidRDefault="00AF6702" w:rsidP="00C7156B">
            <w:pPr>
              <w:rPr>
                <w:rFonts w:eastAsia="맑은 고딕"/>
                <w:sz w:val="22"/>
                <w:szCs w:val="22"/>
              </w:rPr>
            </w:pPr>
            <w:r w:rsidRPr="00702882">
              <w:rPr>
                <w:rFonts w:eastAsia="맑은 고딕"/>
                <w:sz w:val="22"/>
                <w:szCs w:val="22"/>
              </w:rPr>
              <w:t>Number</w:t>
            </w:r>
          </w:p>
        </w:tc>
        <w:tc>
          <w:tcPr>
            <w:tcW w:w="1249" w:type="dxa"/>
            <w:tcBorders>
              <w:top w:val="nil"/>
              <w:left w:val="nil"/>
              <w:bottom w:val="nil"/>
              <w:right w:val="nil"/>
            </w:tcBorders>
            <w:shd w:val="clear" w:color="auto" w:fill="auto"/>
            <w:vAlign w:val="center"/>
            <w:hideMark/>
          </w:tcPr>
          <w:p w14:paraId="4D4C001D"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77AD38D1" w14:textId="77777777" w:rsidR="00AF6702" w:rsidRPr="00702882" w:rsidRDefault="00AF6702" w:rsidP="00C7156B">
            <w:pPr>
              <w:jc w:val="right"/>
              <w:rPr>
                <w:rFonts w:eastAsia="맑은 고딕"/>
                <w:sz w:val="22"/>
                <w:szCs w:val="22"/>
              </w:rPr>
            </w:pPr>
            <w:r w:rsidRPr="00702882">
              <w:rPr>
                <w:rFonts w:eastAsia="맑은 고딕"/>
                <w:sz w:val="22"/>
                <w:szCs w:val="22"/>
              </w:rPr>
              <w:t>0.18</w:t>
            </w:r>
          </w:p>
        </w:tc>
        <w:tc>
          <w:tcPr>
            <w:tcW w:w="1250" w:type="dxa"/>
            <w:tcBorders>
              <w:top w:val="nil"/>
              <w:left w:val="nil"/>
              <w:bottom w:val="nil"/>
              <w:right w:val="nil"/>
            </w:tcBorders>
            <w:shd w:val="clear" w:color="auto" w:fill="auto"/>
            <w:vAlign w:val="center"/>
            <w:hideMark/>
          </w:tcPr>
          <w:p w14:paraId="4B69936D" w14:textId="77777777" w:rsidR="00AF6702" w:rsidRPr="00702882" w:rsidRDefault="00AF6702" w:rsidP="00C7156B">
            <w:pPr>
              <w:jc w:val="right"/>
              <w:rPr>
                <w:rFonts w:eastAsia="맑은 고딕"/>
                <w:sz w:val="22"/>
                <w:szCs w:val="22"/>
              </w:rPr>
            </w:pPr>
            <w:r w:rsidRPr="00702882">
              <w:rPr>
                <w:rFonts w:eastAsia="맑은 고딕"/>
                <w:sz w:val="22"/>
                <w:szCs w:val="22"/>
              </w:rPr>
              <w:t>0.38</w:t>
            </w:r>
          </w:p>
        </w:tc>
        <w:tc>
          <w:tcPr>
            <w:tcW w:w="1250" w:type="dxa"/>
            <w:tcBorders>
              <w:top w:val="nil"/>
              <w:left w:val="nil"/>
              <w:bottom w:val="nil"/>
              <w:right w:val="nil"/>
            </w:tcBorders>
            <w:shd w:val="clear" w:color="auto" w:fill="auto"/>
            <w:vAlign w:val="center"/>
            <w:hideMark/>
          </w:tcPr>
          <w:p w14:paraId="2C498CD9"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1CAD28EA"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4C490C83" w14:textId="77777777" w:rsidTr="00AE6820">
        <w:trPr>
          <w:trHeight w:val="283"/>
        </w:trPr>
        <w:tc>
          <w:tcPr>
            <w:tcW w:w="2540" w:type="dxa"/>
            <w:tcBorders>
              <w:top w:val="nil"/>
              <w:left w:val="nil"/>
              <w:bottom w:val="nil"/>
              <w:right w:val="nil"/>
            </w:tcBorders>
            <w:shd w:val="clear" w:color="auto" w:fill="auto"/>
            <w:vAlign w:val="center"/>
            <w:hideMark/>
          </w:tcPr>
          <w:p w14:paraId="494C91D5" w14:textId="77777777" w:rsidR="00AF6702" w:rsidRPr="00702882" w:rsidRDefault="00AF6702" w:rsidP="00C7156B">
            <w:pPr>
              <w:rPr>
                <w:rFonts w:eastAsia="맑은 고딕"/>
                <w:sz w:val="22"/>
                <w:szCs w:val="22"/>
              </w:rPr>
            </w:pPr>
            <w:r w:rsidRPr="00702882">
              <w:rPr>
                <w:rFonts w:eastAsia="맑은 고딕"/>
                <w:sz w:val="22"/>
                <w:szCs w:val="22"/>
              </w:rPr>
              <w:t>Source_percent</w:t>
            </w:r>
          </w:p>
        </w:tc>
        <w:tc>
          <w:tcPr>
            <w:tcW w:w="1249" w:type="dxa"/>
            <w:tcBorders>
              <w:top w:val="nil"/>
              <w:left w:val="nil"/>
              <w:bottom w:val="nil"/>
              <w:right w:val="nil"/>
            </w:tcBorders>
            <w:shd w:val="clear" w:color="auto" w:fill="auto"/>
            <w:vAlign w:val="center"/>
            <w:hideMark/>
          </w:tcPr>
          <w:p w14:paraId="198380E8"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64F506AA" w14:textId="77777777" w:rsidR="00AF6702" w:rsidRPr="00702882" w:rsidRDefault="00AF6702" w:rsidP="00C7156B">
            <w:pPr>
              <w:jc w:val="right"/>
              <w:rPr>
                <w:rFonts w:eastAsia="맑은 고딕"/>
                <w:sz w:val="22"/>
                <w:szCs w:val="22"/>
              </w:rPr>
            </w:pPr>
            <w:r w:rsidRPr="00702882">
              <w:rPr>
                <w:rFonts w:eastAsia="맑은 고딕"/>
                <w:sz w:val="22"/>
                <w:szCs w:val="22"/>
              </w:rPr>
              <w:t>0.11</w:t>
            </w:r>
          </w:p>
        </w:tc>
        <w:tc>
          <w:tcPr>
            <w:tcW w:w="1250" w:type="dxa"/>
            <w:tcBorders>
              <w:top w:val="nil"/>
              <w:left w:val="nil"/>
              <w:bottom w:val="nil"/>
              <w:right w:val="nil"/>
            </w:tcBorders>
            <w:shd w:val="clear" w:color="auto" w:fill="auto"/>
            <w:vAlign w:val="center"/>
            <w:hideMark/>
          </w:tcPr>
          <w:p w14:paraId="270DA56A" w14:textId="77777777" w:rsidR="00AF6702" w:rsidRPr="00702882" w:rsidRDefault="00AF6702" w:rsidP="00C7156B">
            <w:pPr>
              <w:jc w:val="right"/>
              <w:rPr>
                <w:rFonts w:eastAsia="맑은 고딕"/>
                <w:sz w:val="22"/>
                <w:szCs w:val="22"/>
              </w:rPr>
            </w:pPr>
            <w:r w:rsidRPr="00702882">
              <w:rPr>
                <w:rFonts w:eastAsia="맑은 고딕"/>
                <w:sz w:val="22"/>
                <w:szCs w:val="22"/>
              </w:rPr>
              <w:t>0.6</w:t>
            </w:r>
          </w:p>
        </w:tc>
        <w:tc>
          <w:tcPr>
            <w:tcW w:w="1250" w:type="dxa"/>
            <w:tcBorders>
              <w:top w:val="nil"/>
              <w:left w:val="nil"/>
              <w:bottom w:val="nil"/>
              <w:right w:val="nil"/>
            </w:tcBorders>
            <w:shd w:val="clear" w:color="auto" w:fill="auto"/>
            <w:vAlign w:val="center"/>
            <w:hideMark/>
          </w:tcPr>
          <w:p w14:paraId="518F9E6F"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0DBDFABE" w14:textId="77777777" w:rsidR="00AF6702" w:rsidRPr="00702882" w:rsidRDefault="00AF6702" w:rsidP="00C7156B">
            <w:pPr>
              <w:jc w:val="right"/>
              <w:rPr>
                <w:rFonts w:eastAsia="맑은 고딕"/>
                <w:sz w:val="22"/>
                <w:szCs w:val="22"/>
              </w:rPr>
            </w:pPr>
            <w:r w:rsidRPr="00702882">
              <w:rPr>
                <w:rFonts w:eastAsia="맑은 고딕"/>
                <w:sz w:val="22"/>
                <w:szCs w:val="22"/>
              </w:rPr>
              <w:t>7.2</w:t>
            </w:r>
          </w:p>
        </w:tc>
      </w:tr>
      <w:tr w:rsidR="00522CEF" w:rsidRPr="00702882" w14:paraId="36E9DE87" w14:textId="77777777" w:rsidTr="00AE6820">
        <w:trPr>
          <w:trHeight w:val="283"/>
        </w:trPr>
        <w:tc>
          <w:tcPr>
            <w:tcW w:w="2540" w:type="dxa"/>
            <w:tcBorders>
              <w:top w:val="nil"/>
              <w:left w:val="nil"/>
              <w:bottom w:val="nil"/>
              <w:right w:val="nil"/>
            </w:tcBorders>
            <w:shd w:val="clear" w:color="auto" w:fill="auto"/>
            <w:vAlign w:val="center"/>
            <w:hideMark/>
          </w:tcPr>
          <w:p w14:paraId="2971CDFD" w14:textId="77777777" w:rsidR="00AF6702" w:rsidRPr="00702882" w:rsidRDefault="00AF6702" w:rsidP="00C7156B">
            <w:pPr>
              <w:rPr>
                <w:rFonts w:eastAsia="맑은 고딕"/>
                <w:sz w:val="22"/>
                <w:szCs w:val="22"/>
              </w:rPr>
            </w:pPr>
            <w:r w:rsidRPr="00702882">
              <w:rPr>
                <w:rFonts w:eastAsia="맑은 고딕"/>
                <w:sz w:val="22"/>
                <w:szCs w:val="22"/>
              </w:rPr>
              <w:t>Cap_percent</w:t>
            </w:r>
          </w:p>
        </w:tc>
        <w:tc>
          <w:tcPr>
            <w:tcW w:w="1249" w:type="dxa"/>
            <w:tcBorders>
              <w:top w:val="nil"/>
              <w:left w:val="nil"/>
              <w:bottom w:val="nil"/>
              <w:right w:val="nil"/>
            </w:tcBorders>
            <w:shd w:val="clear" w:color="auto" w:fill="auto"/>
            <w:vAlign w:val="center"/>
            <w:hideMark/>
          </w:tcPr>
          <w:p w14:paraId="0DF838EE"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06ACCA05" w14:textId="77777777" w:rsidR="00AF6702" w:rsidRPr="00702882" w:rsidRDefault="00AF6702" w:rsidP="00C7156B">
            <w:pPr>
              <w:jc w:val="right"/>
              <w:rPr>
                <w:rFonts w:eastAsia="맑은 고딕"/>
                <w:sz w:val="22"/>
                <w:szCs w:val="22"/>
              </w:rPr>
            </w:pPr>
            <w:r w:rsidRPr="00702882">
              <w:rPr>
                <w:rFonts w:eastAsia="맑은 고딕"/>
                <w:sz w:val="22"/>
                <w:szCs w:val="22"/>
              </w:rPr>
              <w:t>10</w:t>
            </w:r>
          </w:p>
        </w:tc>
        <w:tc>
          <w:tcPr>
            <w:tcW w:w="1250" w:type="dxa"/>
            <w:tcBorders>
              <w:top w:val="nil"/>
              <w:left w:val="nil"/>
              <w:bottom w:val="nil"/>
              <w:right w:val="nil"/>
            </w:tcBorders>
            <w:shd w:val="clear" w:color="auto" w:fill="auto"/>
            <w:vAlign w:val="center"/>
            <w:hideMark/>
          </w:tcPr>
          <w:p w14:paraId="2DCEE734" w14:textId="77777777" w:rsidR="00AF6702" w:rsidRPr="00702882" w:rsidRDefault="00AF6702" w:rsidP="00C7156B">
            <w:pPr>
              <w:jc w:val="right"/>
              <w:rPr>
                <w:rFonts w:eastAsia="맑은 고딕"/>
                <w:sz w:val="22"/>
                <w:szCs w:val="22"/>
              </w:rPr>
            </w:pPr>
            <w:r w:rsidRPr="00702882">
              <w:rPr>
                <w:rFonts w:eastAsia="맑은 고딕"/>
                <w:sz w:val="22"/>
                <w:szCs w:val="22"/>
              </w:rPr>
              <w:t>14</w:t>
            </w:r>
          </w:p>
        </w:tc>
        <w:tc>
          <w:tcPr>
            <w:tcW w:w="1250" w:type="dxa"/>
            <w:tcBorders>
              <w:top w:val="nil"/>
              <w:left w:val="nil"/>
              <w:bottom w:val="nil"/>
              <w:right w:val="nil"/>
            </w:tcBorders>
            <w:shd w:val="clear" w:color="auto" w:fill="auto"/>
            <w:vAlign w:val="center"/>
            <w:hideMark/>
          </w:tcPr>
          <w:p w14:paraId="75887102"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0E643FA2" w14:textId="77777777" w:rsidR="00AF6702" w:rsidRPr="00702882" w:rsidRDefault="00AF6702" w:rsidP="00C7156B">
            <w:pPr>
              <w:jc w:val="right"/>
              <w:rPr>
                <w:rFonts w:eastAsia="맑은 고딕"/>
                <w:sz w:val="22"/>
                <w:szCs w:val="22"/>
              </w:rPr>
            </w:pPr>
            <w:r w:rsidRPr="00702882">
              <w:rPr>
                <w:rFonts w:eastAsia="맑은 고딕"/>
                <w:sz w:val="22"/>
                <w:szCs w:val="22"/>
              </w:rPr>
              <w:t>100</w:t>
            </w:r>
          </w:p>
        </w:tc>
      </w:tr>
      <w:tr w:rsidR="00522CEF" w:rsidRPr="00702882" w14:paraId="55671011" w14:textId="77777777" w:rsidTr="00AE6820">
        <w:trPr>
          <w:trHeight w:val="283"/>
        </w:trPr>
        <w:tc>
          <w:tcPr>
            <w:tcW w:w="2540" w:type="dxa"/>
            <w:tcBorders>
              <w:top w:val="nil"/>
              <w:left w:val="nil"/>
              <w:bottom w:val="nil"/>
              <w:right w:val="nil"/>
            </w:tcBorders>
            <w:shd w:val="clear" w:color="auto" w:fill="auto"/>
            <w:vAlign w:val="center"/>
            <w:hideMark/>
          </w:tcPr>
          <w:p w14:paraId="450AAF1E" w14:textId="77777777" w:rsidR="00AF6702" w:rsidRPr="00702882" w:rsidRDefault="00AF6702" w:rsidP="00C7156B">
            <w:pPr>
              <w:rPr>
                <w:rFonts w:eastAsia="맑은 고딕"/>
                <w:sz w:val="22"/>
                <w:szCs w:val="22"/>
              </w:rPr>
            </w:pPr>
            <w:r w:rsidRPr="00702882">
              <w:rPr>
                <w:rFonts w:eastAsia="맑은 고딕"/>
                <w:sz w:val="22"/>
                <w:szCs w:val="22"/>
              </w:rPr>
              <w:t>DepoExec</w:t>
            </w:r>
          </w:p>
        </w:tc>
        <w:tc>
          <w:tcPr>
            <w:tcW w:w="1249" w:type="dxa"/>
            <w:tcBorders>
              <w:top w:val="nil"/>
              <w:left w:val="nil"/>
              <w:bottom w:val="nil"/>
              <w:right w:val="nil"/>
            </w:tcBorders>
            <w:shd w:val="clear" w:color="auto" w:fill="auto"/>
            <w:vAlign w:val="center"/>
            <w:hideMark/>
          </w:tcPr>
          <w:p w14:paraId="45ECF614"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2EA9317D" w14:textId="77777777" w:rsidR="00AF6702" w:rsidRPr="00702882" w:rsidRDefault="00AF6702" w:rsidP="00C7156B">
            <w:pPr>
              <w:jc w:val="right"/>
              <w:rPr>
                <w:rFonts w:eastAsia="맑은 고딕"/>
                <w:sz w:val="22"/>
                <w:szCs w:val="22"/>
              </w:rPr>
            </w:pPr>
            <w:r w:rsidRPr="00702882">
              <w:rPr>
                <w:rFonts w:eastAsia="맑은 고딕"/>
                <w:sz w:val="22"/>
                <w:szCs w:val="22"/>
              </w:rPr>
              <w:t>0.56</w:t>
            </w:r>
          </w:p>
        </w:tc>
        <w:tc>
          <w:tcPr>
            <w:tcW w:w="1250" w:type="dxa"/>
            <w:tcBorders>
              <w:top w:val="nil"/>
              <w:left w:val="nil"/>
              <w:bottom w:val="nil"/>
              <w:right w:val="nil"/>
            </w:tcBorders>
            <w:shd w:val="clear" w:color="auto" w:fill="auto"/>
            <w:vAlign w:val="center"/>
            <w:hideMark/>
          </w:tcPr>
          <w:p w14:paraId="2BDC422E" w14:textId="77777777" w:rsidR="00AF6702" w:rsidRPr="00702882" w:rsidRDefault="00AF6702" w:rsidP="00C7156B">
            <w:pPr>
              <w:jc w:val="right"/>
              <w:rPr>
                <w:rFonts w:eastAsia="맑은 고딕"/>
                <w:sz w:val="22"/>
                <w:szCs w:val="22"/>
              </w:rPr>
            </w:pPr>
            <w:r w:rsidRPr="00702882">
              <w:rPr>
                <w:rFonts w:eastAsia="맑은 고딕"/>
                <w:sz w:val="22"/>
                <w:szCs w:val="22"/>
              </w:rPr>
              <w:t>0.5</w:t>
            </w:r>
          </w:p>
        </w:tc>
        <w:tc>
          <w:tcPr>
            <w:tcW w:w="1250" w:type="dxa"/>
            <w:tcBorders>
              <w:top w:val="nil"/>
              <w:left w:val="nil"/>
              <w:bottom w:val="nil"/>
              <w:right w:val="nil"/>
            </w:tcBorders>
            <w:shd w:val="clear" w:color="auto" w:fill="auto"/>
            <w:vAlign w:val="center"/>
            <w:hideMark/>
          </w:tcPr>
          <w:p w14:paraId="3BE3BA46"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2A6DE7EC"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24B33733" w14:textId="77777777" w:rsidTr="00AE6820">
        <w:trPr>
          <w:trHeight w:val="283"/>
        </w:trPr>
        <w:tc>
          <w:tcPr>
            <w:tcW w:w="2540" w:type="dxa"/>
            <w:tcBorders>
              <w:top w:val="nil"/>
              <w:left w:val="nil"/>
              <w:bottom w:val="nil"/>
              <w:right w:val="nil"/>
            </w:tcBorders>
            <w:shd w:val="clear" w:color="auto" w:fill="auto"/>
            <w:vAlign w:val="center"/>
            <w:hideMark/>
          </w:tcPr>
          <w:p w14:paraId="6DE03304" w14:textId="77777777" w:rsidR="00AF6702" w:rsidRPr="00702882" w:rsidRDefault="00AF6702" w:rsidP="00C7156B">
            <w:pPr>
              <w:rPr>
                <w:rFonts w:eastAsia="맑은 고딕"/>
                <w:sz w:val="22"/>
                <w:szCs w:val="22"/>
              </w:rPr>
            </w:pPr>
            <w:r w:rsidRPr="00702882">
              <w:rPr>
                <w:rFonts w:eastAsia="맑은 고딕"/>
                <w:sz w:val="22"/>
                <w:szCs w:val="22"/>
              </w:rPr>
              <w:t>DepoLegis</w:t>
            </w:r>
          </w:p>
        </w:tc>
        <w:tc>
          <w:tcPr>
            <w:tcW w:w="1249" w:type="dxa"/>
            <w:tcBorders>
              <w:top w:val="nil"/>
              <w:left w:val="nil"/>
              <w:bottom w:val="nil"/>
              <w:right w:val="nil"/>
            </w:tcBorders>
            <w:shd w:val="clear" w:color="auto" w:fill="auto"/>
            <w:vAlign w:val="center"/>
            <w:hideMark/>
          </w:tcPr>
          <w:p w14:paraId="4D120E4C"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48BB5E8A" w14:textId="77777777" w:rsidR="00AF6702" w:rsidRPr="00702882" w:rsidRDefault="00AF6702" w:rsidP="00C7156B">
            <w:pPr>
              <w:jc w:val="right"/>
              <w:rPr>
                <w:rFonts w:eastAsia="맑은 고딕"/>
                <w:sz w:val="22"/>
                <w:szCs w:val="22"/>
              </w:rPr>
            </w:pPr>
            <w:r w:rsidRPr="00702882">
              <w:rPr>
                <w:rFonts w:eastAsia="맑은 고딕"/>
                <w:sz w:val="22"/>
                <w:szCs w:val="22"/>
              </w:rPr>
              <w:t>0.38</w:t>
            </w:r>
          </w:p>
        </w:tc>
        <w:tc>
          <w:tcPr>
            <w:tcW w:w="1250" w:type="dxa"/>
            <w:tcBorders>
              <w:top w:val="nil"/>
              <w:left w:val="nil"/>
              <w:bottom w:val="nil"/>
              <w:right w:val="nil"/>
            </w:tcBorders>
            <w:shd w:val="clear" w:color="auto" w:fill="auto"/>
            <w:vAlign w:val="center"/>
            <w:hideMark/>
          </w:tcPr>
          <w:p w14:paraId="5726A14F" w14:textId="77777777" w:rsidR="00AF6702" w:rsidRPr="00702882" w:rsidRDefault="00AF6702" w:rsidP="00C7156B">
            <w:pPr>
              <w:jc w:val="right"/>
              <w:rPr>
                <w:rFonts w:eastAsia="맑은 고딕"/>
                <w:sz w:val="22"/>
                <w:szCs w:val="22"/>
              </w:rPr>
            </w:pPr>
            <w:r w:rsidRPr="00702882">
              <w:rPr>
                <w:rFonts w:eastAsia="맑은 고딕"/>
                <w:sz w:val="22"/>
                <w:szCs w:val="22"/>
              </w:rPr>
              <w:t>0.49</w:t>
            </w:r>
          </w:p>
        </w:tc>
        <w:tc>
          <w:tcPr>
            <w:tcW w:w="1250" w:type="dxa"/>
            <w:tcBorders>
              <w:top w:val="nil"/>
              <w:left w:val="nil"/>
              <w:bottom w:val="nil"/>
              <w:right w:val="nil"/>
            </w:tcBorders>
            <w:shd w:val="clear" w:color="auto" w:fill="auto"/>
            <w:vAlign w:val="center"/>
            <w:hideMark/>
          </w:tcPr>
          <w:p w14:paraId="000730FD"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2EEF12DB"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3D56DB0A" w14:textId="77777777" w:rsidTr="00AE6820">
        <w:trPr>
          <w:trHeight w:val="283"/>
        </w:trPr>
        <w:tc>
          <w:tcPr>
            <w:tcW w:w="2540" w:type="dxa"/>
            <w:tcBorders>
              <w:top w:val="nil"/>
              <w:left w:val="nil"/>
              <w:bottom w:val="nil"/>
              <w:right w:val="nil"/>
            </w:tcBorders>
            <w:shd w:val="clear" w:color="auto" w:fill="auto"/>
            <w:vAlign w:val="center"/>
            <w:hideMark/>
          </w:tcPr>
          <w:p w14:paraId="0A596643" w14:textId="77777777" w:rsidR="00AF6702" w:rsidRPr="00702882" w:rsidRDefault="00AF6702" w:rsidP="00C7156B">
            <w:pPr>
              <w:rPr>
                <w:rFonts w:eastAsia="맑은 고딕"/>
                <w:sz w:val="22"/>
                <w:szCs w:val="22"/>
              </w:rPr>
            </w:pPr>
            <w:r w:rsidRPr="00702882">
              <w:rPr>
                <w:rFonts w:eastAsia="맑은 고딕"/>
                <w:sz w:val="22"/>
                <w:szCs w:val="22"/>
              </w:rPr>
              <w:t>DepoSurplus_numeric</w:t>
            </w:r>
          </w:p>
        </w:tc>
        <w:tc>
          <w:tcPr>
            <w:tcW w:w="1249" w:type="dxa"/>
            <w:tcBorders>
              <w:top w:val="nil"/>
              <w:left w:val="nil"/>
              <w:bottom w:val="nil"/>
              <w:right w:val="nil"/>
            </w:tcBorders>
            <w:shd w:val="clear" w:color="auto" w:fill="auto"/>
            <w:vAlign w:val="center"/>
            <w:hideMark/>
          </w:tcPr>
          <w:p w14:paraId="22B4DDCD"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0FADC390" w14:textId="77777777" w:rsidR="00AF6702" w:rsidRPr="00702882" w:rsidRDefault="00AF6702" w:rsidP="00C7156B">
            <w:pPr>
              <w:jc w:val="right"/>
              <w:rPr>
                <w:rFonts w:eastAsia="맑은 고딕"/>
                <w:sz w:val="22"/>
                <w:szCs w:val="22"/>
              </w:rPr>
            </w:pPr>
            <w:r w:rsidRPr="00702882">
              <w:rPr>
                <w:rFonts w:eastAsia="맑은 고딕"/>
                <w:sz w:val="22"/>
                <w:szCs w:val="22"/>
              </w:rPr>
              <w:t>0.43</w:t>
            </w:r>
          </w:p>
        </w:tc>
        <w:tc>
          <w:tcPr>
            <w:tcW w:w="1250" w:type="dxa"/>
            <w:tcBorders>
              <w:top w:val="nil"/>
              <w:left w:val="nil"/>
              <w:bottom w:val="nil"/>
              <w:right w:val="nil"/>
            </w:tcBorders>
            <w:shd w:val="clear" w:color="auto" w:fill="auto"/>
            <w:vAlign w:val="center"/>
            <w:hideMark/>
          </w:tcPr>
          <w:p w14:paraId="183426BC" w14:textId="77777777" w:rsidR="00AF6702" w:rsidRPr="00702882" w:rsidRDefault="00AF6702" w:rsidP="00C7156B">
            <w:pPr>
              <w:jc w:val="right"/>
              <w:rPr>
                <w:rFonts w:eastAsia="맑은 고딕"/>
                <w:sz w:val="22"/>
                <w:szCs w:val="22"/>
              </w:rPr>
            </w:pPr>
            <w:r w:rsidRPr="00702882">
              <w:rPr>
                <w:rFonts w:eastAsia="맑은 고딕"/>
                <w:sz w:val="22"/>
                <w:szCs w:val="22"/>
              </w:rPr>
              <w:t>0.41</w:t>
            </w:r>
          </w:p>
        </w:tc>
        <w:tc>
          <w:tcPr>
            <w:tcW w:w="1250" w:type="dxa"/>
            <w:tcBorders>
              <w:top w:val="nil"/>
              <w:left w:val="nil"/>
              <w:bottom w:val="nil"/>
              <w:right w:val="nil"/>
            </w:tcBorders>
            <w:shd w:val="clear" w:color="auto" w:fill="auto"/>
            <w:vAlign w:val="center"/>
            <w:hideMark/>
          </w:tcPr>
          <w:p w14:paraId="23BEAF59"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6559B3E2"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2C708457" w14:textId="77777777" w:rsidTr="00AE6820">
        <w:trPr>
          <w:trHeight w:val="283"/>
        </w:trPr>
        <w:tc>
          <w:tcPr>
            <w:tcW w:w="2540" w:type="dxa"/>
            <w:tcBorders>
              <w:top w:val="nil"/>
              <w:left w:val="nil"/>
              <w:bottom w:val="nil"/>
              <w:right w:val="nil"/>
            </w:tcBorders>
            <w:shd w:val="clear" w:color="auto" w:fill="auto"/>
            <w:vAlign w:val="center"/>
            <w:hideMark/>
          </w:tcPr>
          <w:p w14:paraId="481DE4BA" w14:textId="77777777" w:rsidR="00AF6702" w:rsidRPr="00702882" w:rsidRDefault="00AF6702" w:rsidP="00C7156B">
            <w:pPr>
              <w:rPr>
                <w:rFonts w:eastAsia="맑은 고딕"/>
                <w:sz w:val="22"/>
                <w:szCs w:val="22"/>
              </w:rPr>
            </w:pPr>
            <w:r w:rsidRPr="00702882">
              <w:rPr>
                <w:rFonts w:eastAsia="맑은 고딕"/>
                <w:sz w:val="22"/>
                <w:szCs w:val="22"/>
              </w:rPr>
              <w:t>DepoVol_formula</w:t>
            </w:r>
          </w:p>
        </w:tc>
        <w:tc>
          <w:tcPr>
            <w:tcW w:w="1249" w:type="dxa"/>
            <w:tcBorders>
              <w:top w:val="nil"/>
              <w:left w:val="nil"/>
              <w:bottom w:val="nil"/>
              <w:right w:val="nil"/>
            </w:tcBorders>
            <w:shd w:val="clear" w:color="auto" w:fill="auto"/>
            <w:vAlign w:val="center"/>
            <w:hideMark/>
          </w:tcPr>
          <w:p w14:paraId="3DDC8218"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4F77BA58" w14:textId="77777777" w:rsidR="00AF6702" w:rsidRPr="00702882" w:rsidRDefault="00AF6702" w:rsidP="00C7156B">
            <w:pPr>
              <w:jc w:val="right"/>
              <w:rPr>
                <w:rFonts w:eastAsia="맑은 고딕"/>
                <w:sz w:val="22"/>
                <w:szCs w:val="22"/>
              </w:rPr>
            </w:pPr>
            <w:r w:rsidRPr="00702882">
              <w:rPr>
                <w:rFonts w:eastAsia="맑은 고딕"/>
                <w:sz w:val="22"/>
                <w:szCs w:val="22"/>
              </w:rPr>
              <w:t>0.098</w:t>
            </w:r>
          </w:p>
        </w:tc>
        <w:tc>
          <w:tcPr>
            <w:tcW w:w="1250" w:type="dxa"/>
            <w:tcBorders>
              <w:top w:val="nil"/>
              <w:left w:val="nil"/>
              <w:bottom w:val="nil"/>
              <w:right w:val="nil"/>
            </w:tcBorders>
            <w:shd w:val="clear" w:color="auto" w:fill="auto"/>
            <w:vAlign w:val="center"/>
            <w:hideMark/>
          </w:tcPr>
          <w:p w14:paraId="3F34A3D3" w14:textId="77777777" w:rsidR="00AF6702" w:rsidRPr="00702882" w:rsidRDefault="00AF6702" w:rsidP="00C7156B">
            <w:pPr>
              <w:jc w:val="right"/>
              <w:rPr>
                <w:rFonts w:eastAsia="맑은 고딕"/>
                <w:sz w:val="22"/>
                <w:szCs w:val="22"/>
              </w:rPr>
            </w:pPr>
            <w:r w:rsidRPr="00702882">
              <w:rPr>
                <w:rFonts w:eastAsia="맑은 고딕"/>
                <w:sz w:val="22"/>
                <w:szCs w:val="22"/>
              </w:rPr>
              <w:t>0.3</w:t>
            </w:r>
          </w:p>
        </w:tc>
        <w:tc>
          <w:tcPr>
            <w:tcW w:w="1250" w:type="dxa"/>
            <w:tcBorders>
              <w:top w:val="nil"/>
              <w:left w:val="nil"/>
              <w:bottom w:val="nil"/>
              <w:right w:val="nil"/>
            </w:tcBorders>
            <w:shd w:val="clear" w:color="auto" w:fill="auto"/>
            <w:vAlign w:val="center"/>
            <w:hideMark/>
          </w:tcPr>
          <w:p w14:paraId="617DB808"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2F09F7B4"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1E1BBAC4" w14:textId="77777777" w:rsidTr="00AE6820">
        <w:trPr>
          <w:trHeight w:val="283"/>
        </w:trPr>
        <w:tc>
          <w:tcPr>
            <w:tcW w:w="2540" w:type="dxa"/>
            <w:tcBorders>
              <w:top w:val="nil"/>
              <w:left w:val="nil"/>
              <w:bottom w:val="nil"/>
              <w:right w:val="nil"/>
            </w:tcBorders>
            <w:shd w:val="clear" w:color="auto" w:fill="auto"/>
            <w:vAlign w:val="center"/>
            <w:hideMark/>
          </w:tcPr>
          <w:p w14:paraId="7391D02C" w14:textId="77777777" w:rsidR="00AF6702" w:rsidRPr="00702882" w:rsidRDefault="00AF6702" w:rsidP="00C7156B">
            <w:pPr>
              <w:rPr>
                <w:rFonts w:eastAsia="맑은 고딕"/>
                <w:sz w:val="22"/>
                <w:szCs w:val="22"/>
              </w:rPr>
            </w:pPr>
            <w:r w:rsidRPr="00702882">
              <w:rPr>
                <w:rFonts w:eastAsia="맑은 고딕"/>
                <w:sz w:val="22"/>
                <w:szCs w:val="22"/>
              </w:rPr>
              <w:t>DepoVol_propor</w:t>
            </w:r>
          </w:p>
        </w:tc>
        <w:tc>
          <w:tcPr>
            <w:tcW w:w="1249" w:type="dxa"/>
            <w:tcBorders>
              <w:top w:val="nil"/>
              <w:left w:val="nil"/>
              <w:bottom w:val="nil"/>
              <w:right w:val="nil"/>
            </w:tcBorders>
            <w:shd w:val="clear" w:color="auto" w:fill="auto"/>
            <w:vAlign w:val="center"/>
            <w:hideMark/>
          </w:tcPr>
          <w:p w14:paraId="3BEC2EA2"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6EC5C00F" w14:textId="77777777" w:rsidR="00AF6702" w:rsidRPr="00702882" w:rsidRDefault="00AF6702" w:rsidP="00C7156B">
            <w:pPr>
              <w:jc w:val="right"/>
              <w:rPr>
                <w:rFonts w:eastAsia="맑은 고딕"/>
                <w:sz w:val="22"/>
                <w:szCs w:val="22"/>
              </w:rPr>
            </w:pPr>
            <w:r w:rsidRPr="00702882">
              <w:rPr>
                <w:rFonts w:eastAsia="맑은 고딕"/>
                <w:sz w:val="22"/>
                <w:szCs w:val="22"/>
              </w:rPr>
              <w:t>0.18</w:t>
            </w:r>
          </w:p>
        </w:tc>
        <w:tc>
          <w:tcPr>
            <w:tcW w:w="1250" w:type="dxa"/>
            <w:tcBorders>
              <w:top w:val="nil"/>
              <w:left w:val="nil"/>
              <w:bottom w:val="nil"/>
              <w:right w:val="nil"/>
            </w:tcBorders>
            <w:shd w:val="clear" w:color="auto" w:fill="auto"/>
            <w:vAlign w:val="center"/>
            <w:hideMark/>
          </w:tcPr>
          <w:p w14:paraId="3365FD08" w14:textId="77777777" w:rsidR="00AF6702" w:rsidRPr="00702882" w:rsidRDefault="00AF6702" w:rsidP="00C7156B">
            <w:pPr>
              <w:jc w:val="right"/>
              <w:rPr>
                <w:rFonts w:eastAsia="맑은 고딕"/>
                <w:sz w:val="22"/>
                <w:szCs w:val="22"/>
              </w:rPr>
            </w:pPr>
            <w:r w:rsidRPr="00702882">
              <w:rPr>
                <w:rFonts w:eastAsia="맑은 고딕"/>
                <w:sz w:val="22"/>
                <w:szCs w:val="22"/>
              </w:rPr>
              <w:t>0.39</w:t>
            </w:r>
          </w:p>
        </w:tc>
        <w:tc>
          <w:tcPr>
            <w:tcW w:w="1250" w:type="dxa"/>
            <w:tcBorders>
              <w:top w:val="nil"/>
              <w:left w:val="nil"/>
              <w:bottom w:val="nil"/>
              <w:right w:val="nil"/>
            </w:tcBorders>
            <w:shd w:val="clear" w:color="auto" w:fill="auto"/>
            <w:vAlign w:val="center"/>
            <w:hideMark/>
          </w:tcPr>
          <w:p w14:paraId="6AA8DFDD"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6BA117D2"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0E5C4047" w14:textId="77777777" w:rsidTr="00AE6820">
        <w:trPr>
          <w:trHeight w:val="283"/>
        </w:trPr>
        <w:tc>
          <w:tcPr>
            <w:tcW w:w="2540" w:type="dxa"/>
            <w:tcBorders>
              <w:top w:val="nil"/>
              <w:left w:val="nil"/>
              <w:bottom w:val="nil"/>
              <w:right w:val="nil"/>
            </w:tcBorders>
            <w:shd w:val="clear" w:color="auto" w:fill="auto"/>
            <w:vAlign w:val="center"/>
            <w:hideMark/>
          </w:tcPr>
          <w:p w14:paraId="28D8C533" w14:textId="77777777" w:rsidR="00AF6702" w:rsidRPr="00702882" w:rsidRDefault="00AF6702" w:rsidP="00C7156B">
            <w:pPr>
              <w:rPr>
                <w:rFonts w:eastAsia="맑은 고딕"/>
                <w:sz w:val="22"/>
                <w:szCs w:val="22"/>
              </w:rPr>
            </w:pPr>
            <w:r w:rsidRPr="00702882">
              <w:rPr>
                <w:rFonts w:eastAsia="맑은 고딕"/>
                <w:sz w:val="22"/>
                <w:szCs w:val="22"/>
              </w:rPr>
              <w:t>WithExec</w:t>
            </w:r>
          </w:p>
        </w:tc>
        <w:tc>
          <w:tcPr>
            <w:tcW w:w="1249" w:type="dxa"/>
            <w:tcBorders>
              <w:top w:val="nil"/>
              <w:left w:val="nil"/>
              <w:bottom w:val="nil"/>
              <w:right w:val="nil"/>
            </w:tcBorders>
            <w:shd w:val="clear" w:color="auto" w:fill="auto"/>
            <w:vAlign w:val="center"/>
            <w:hideMark/>
          </w:tcPr>
          <w:p w14:paraId="1F1200C2"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10B3D40B" w14:textId="77777777" w:rsidR="00AF6702" w:rsidRPr="00702882" w:rsidRDefault="00AF6702" w:rsidP="00C7156B">
            <w:pPr>
              <w:jc w:val="right"/>
              <w:rPr>
                <w:rFonts w:eastAsia="맑은 고딕"/>
                <w:sz w:val="22"/>
                <w:szCs w:val="22"/>
              </w:rPr>
            </w:pPr>
            <w:r w:rsidRPr="00702882">
              <w:rPr>
                <w:rFonts w:eastAsia="맑은 고딕"/>
                <w:sz w:val="22"/>
                <w:szCs w:val="22"/>
              </w:rPr>
              <w:t>0.45</w:t>
            </w:r>
          </w:p>
        </w:tc>
        <w:tc>
          <w:tcPr>
            <w:tcW w:w="1250" w:type="dxa"/>
            <w:tcBorders>
              <w:top w:val="nil"/>
              <w:left w:val="nil"/>
              <w:bottom w:val="nil"/>
              <w:right w:val="nil"/>
            </w:tcBorders>
            <w:shd w:val="clear" w:color="auto" w:fill="auto"/>
            <w:vAlign w:val="center"/>
            <w:hideMark/>
          </w:tcPr>
          <w:p w14:paraId="5DDA5AFF" w14:textId="77777777" w:rsidR="00AF6702" w:rsidRPr="00702882" w:rsidRDefault="00AF6702" w:rsidP="00C7156B">
            <w:pPr>
              <w:jc w:val="right"/>
              <w:rPr>
                <w:rFonts w:eastAsia="맑은 고딕"/>
                <w:sz w:val="22"/>
                <w:szCs w:val="22"/>
              </w:rPr>
            </w:pPr>
            <w:r w:rsidRPr="00702882">
              <w:rPr>
                <w:rFonts w:eastAsia="맑은 고딕"/>
                <w:sz w:val="22"/>
                <w:szCs w:val="22"/>
              </w:rPr>
              <w:t>0.5</w:t>
            </w:r>
          </w:p>
        </w:tc>
        <w:tc>
          <w:tcPr>
            <w:tcW w:w="1250" w:type="dxa"/>
            <w:tcBorders>
              <w:top w:val="nil"/>
              <w:left w:val="nil"/>
              <w:bottom w:val="nil"/>
              <w:right w:val="nil"/>
            </w:tcBorders>
            <w:shd w:val="clear" w:color="auto" w:fill="auto"/>
            <w:vAlign w:val="center"/>
            <w:hideMark/>
          </w:tcPr>
          <w:p w14:paraId="1CE1E0E6"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207D9F7D"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13270344" w14:textId="77777777" w:rsidTr="00AE6820">
        <w:trPr>
          <w:trHeight w:val="283"/>
        </w:trPr>
        <w:tc>
          <w:tcPr>
            <w:tcW w:w="2540" w:type="dxa"/>
            <w:tcBorders>
              <w:top w:val="nil"/>
              <w:left w:val="nil"/>
              <w:bottom w:val="nil"/>
              <w:right w:val="nil"/>
            </w:tcBorders>
            <w:shd w:val="clear" w:color="auto" w:fill="auto"/>
            <w:vAlign w:val="center"/>
            <w:hideMark/>
          </w:tcPr>
          <w:p w14:paraId="041A8A4F" w14:textId="77777777" w:rsidR="00AF6702" w:rsidRPr="00702882" w:rsidRDefault="00AF6702" w:rsidP="00C7156B">
            <w:pPr>
              <w:rPr>
                <w:rFonts w:eastAsia="맑은 고딕"/>
                <w:sz w:val="22"/>
                <w:szCs w:val="22"/>
              </w:rPr>
            </w:pPr>
            <w:r w:rsidRPr="00702882">
              <w:rPr>
                <w:rFonts w:eastAsia="맑은 고딕"/>
                <w:sz w:val="22"/>
                <w:szCs w:val="22"/>
              </w:rPr>
              <w:t>WithLegis_numeric</w:t>
            </w:r>
          </w:p>
        </w:tc>
        <w:tc>
          <w:tcPr>
            <w:tcW w:w="1249" w:type="dxa"/>
            <w:tcBorders>
              <w:top w:val="nil"/>
              <w:left w:val="nil"/>
              <w:bottom w:val="nil"/>
              <w:right w:val="nil"/>
            </w:tcBorders>
            <w:shd w:val="clear" w:color="auto" w:fill="auto"/>
            <w:vAlign w:val="center"/>
            <w:hideMark/>
          </w:tcPr>
          <w:p w14:paraId="0938BA1E"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6048B3F7" w14:textId="77777777" w:rsidR="00AF6702" w:rsidRPr="00702882" w:rsidRDefault="00AF6702" w:rsidP="00C7156B">
            <w:pPr>
              <w:jc w:val="right"/>
              <w:rPr>
                <w:rFonts w:eastAsia="맑은 고딕"/>
                <w:sz w:val="22"/>
                <w:szCs w:val="22"/>
              </w:rPr>
            </w:pPr>
            <w:r w:rsidRPr="00702882">
              <w:rPr>
                <w:rFonts w:eastAsia="맑은 고딕"/>
                <w:sz w:val="22"/>
                <w:szCs w:val="22"/>
              </w:rPr>
              <w:t>0.44</w:t>
            </w:r>
          </w:p>
        </w:tc>
        <w:tc>
          <w:tcPr>
            <w:tcW w:w="1250" w:type="dxa"/>
            <w:tcBorders>
              <w:top w:val="nil"/>
              <w:left w:val="nil"/>
              <w:bottom w:val="nil"/>
              <w:right w:val="nil"/>
            </w:tcBorders>
            <w:shd w:val="clear" w:color="auto" w:fill="auto"/>
            <w:vAlign w:val="center"/>
            <w:hideMark/>
          </w:tcPr>
          <w:p w14:paraId="602CE4DE" w14:textId="77777777" w:rsidR="00AF6702" w:rsidRPr="00702882" w:rsidRDefault="00AF6702" w:rsidP="00C7156B">
            <w:pPr>
              <w:jc w:val="right"/>
              <w:rPr>
                <w:rFonts w:eastAsia="맑은 고딕"/>
                <w:sz w:val="22"/>
                <w:szCs w:val="22"/>
              </w:rPr>
            </w:pPr>
            <w:r w:rsidRPr="00702882">
              <w:rPr>
                <w:rFonts w:eastAsia="맑은 고딕"/>
                <w:sz w:val="22"/>
                <w:szCs w:val="22"/>
              </w:rPr>
              <w:t>0.24</w:t>
            </w:r>
          </w:p>
        </w:tc>
        <w:tc>
          <w:tcPr>
            <w:tcW w:w="1250" w:type="dxa"/>
            <w:tcBorders>
              <w:top w:val="nil"/>
              <w:left w:val="nil"/>
              <w:bottom w:val="nil"/>
              <w:right w:val="nil"/>
            </w:tcBorders>
            <w:shd w:val="clear" w:color="auto" w:fill="auto"/>
            <w:vAlign w:val="center"/>
            <w:hideMark/>
          </w:tcPr>
          <w:p w14:paraId="35550632"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19DB7512" w14:textId="77777777" w:rsidR="00AF6702" w:rsidRPr="00702882" w:rsidRDefault="00AF6702" w:rsidP="00C7156B">
            <w:pPr>
              <w:jc w:val="right"/>
              <w:rPr>
                <w:rFonts w:eastAsia="맑은 고딕"/>
                <w:sz w:val="22"/>
                <w:szCs w:val="22"/>
              </w:rPr>
            </w:pPr>
            <w:r w:rsidRPr="00702882">
              <w:rPr>
                <w:rFonts w:eastAsia="맑은 고딕"/>
                <w:sz w:val="22"/>
                <w:szCs w:val="22"/>
              </w:rPr>
              <w:t>0.67</w:t>
            </w:r>
          </w:p>
        </w:tc>
      </w:tr>
      <w:tr w:rsidR="00522CEF" w:rsidRPr="00702882" w14:paraId="20CD54F3" w14:textId="77777777" w:rsidTr="00AE6820">
        <w:trPr>
          <w:trHeight w:val="283"/>
        </w:trPr>
        <w:tc>
          <w:tcPr>
            <w:tcW w:w="2540" w:type="dxa"/>
            <w:tcBorders>
              <w:top w:val="nil"/>
              <w:left w:val="nil"/>
              <w:bottom w:val="nil"/>
              <w:right w:val="nil"/>
            </w:tcBorders>
            <w:shd w:val="clear" w:color="auto" w:fill="auto"/>
            <w:vAlign w:val="center"/>
            <w:hideMark/>
          </w:tcPr>
          <w:p w14:paraId="5AB5055E" w14:textId="77777777" w:rsidR="00AF6702" w:rsidRPr="00702882" w:rsidRDefault="00AF6702" w:rsidP="00C7156B">
            <w:pPr>
              <w:rPr>
                <w:rFonts w:eastAsia="맑은 고딕"/>
                <w:sz w:val="22"/>
                <w:szCs w:val="22"/>
              </w:rPr>
            </w:pPr>
            <w:r w:rsidRPr="00702882">
              <w:rPr>
                <w:rFonts w:eastAsia="맑은 고딕"/>
                <w:sz w:val="22"/>
                <w:szCs w:val="22"/>
              </w:rPr>
              <w:t>WithShortfall</w:t>
            </w:r>
          </w:p>
        </w:tc>
        <w:tc>
          <w:tcPr>
            <w:tcW w:w="1249" w:type="dxa"/>
            <w:tcBorders>
              <w:top w:val="nil"/>
              <w:left w:val="nil"/>
              <w:bottom w:val="nil"/>
              <w:right w:val="nil"/>
            </w:tcBorders>
            <w:shd w:val="clear" w:color="auto" w:fill="auto"/>
            <w:vAlign w:val="center"/>
            <w:hideMark/>
          </w:tcPr>
          <w:p w14:paraId="6D9BD3CB"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0E18FB20" w14:textId="77777777" w:rsidR="00AF6702" w:rsidRPr="00702882" w:rsidRDefault="00AF6702" w:rsidP="00C7156B">
            <w:pPr>
              <w:jc w:val="right"/>
              <w:rPr>
                <w:rFonts w:eastAsia="맑은 고딕"/>
                <w:sz w:val="22"/>
                <w:szCs w:val="22"/>
              </w:rPr>
            </w:pPr>
            <w:r w:rsidRPr="00702882">
              <w:rPr>
                <w:rFonts w:eastAsia="맑은 고딕"/>
                <w:sz w:val="22"/>
                <w:szCs w:val="22"/>
              </w:rPr>
              <w:t>0.82</w:t>
            </w:r>
          </w:p>
        </w:tc>
        <w:tc>
          <w:tcPr>
            <w:tcW w:w="1250" w:type="dxa"/>
            <w:tcBorders>
              <w:top w:val="nil"/>
              <w:left w:val="nil"/>
              <w:bottom w:val="nil"/>
              <w:right w:val="nil"/>
            </w:tcBorders>
            <w:shd w:val="clear" w:color="auto" w:fill="auto"/>
            <w:vAlign w:val="center"/>
            <w:hideMark/>
          </w:tcPr>
          <w:p w14:paraId="6F66AF26" w14:textId="77777777" w:rsidR="00AF6702" w:rsidRPr="00702882" w:rsidRDefault="00AF6702" w:rsidP="00C7156B">
            <w:pPr>
              <w:jc w:val="right"/>
              <w:rPr>
                <w:rFonts w:eastAsia="맑은 고딕"/>
                <w:sz w:val="22"/>
                <w:szCs w:val="22"/>
              </w:rPr>
            </w:pPr>
            <w:r w:rsidRPr="00702882">
              <w:rPr>
                <w:rFonts w:eastAsia="맑은 고딕"/>
                <w:sz w:val="22"/>
                <w:szCs w:val="22"/>
              </w:rPr>
              <w:t>0.38</w:t>
            </w:r>
          </w:p>
        </w:tc>
        <w:tc>
          <w:tcPr>
            <w:tcW w:w="1250" w:type="dxa"/>
            <w:tcBorders>
              <w:top w:val="nil"/>
              <w:left w:val="nil"/>
              <w:bottom w:val="nil"/>
              <w:right w:val="nil"/>
            </w:tcBorders>
            <w:shd w:val="clear" w:color="auto" w:fill="auto"/>
            <w:vAlign w:val="center"/>
            <w:hideMark/>
          </w:tcPr>
          <w:p w14:paraId="515A2B4E"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0B3C3BC3"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18814664" w14:textId="77777777" w:rsidTr="00AE6820">
        <w:trPr>
          <w:trHeight w:val="283"/>
        </w:trPr>
        <w:tc>
          <w:tcPr>
            <w:tcW w:w="2540" w:type="dxa"/>
            <w:tcBorders>
              <w:top w:val="nil"/>
              <w:left w:val="nil"/>
              <w:bottom w:val="nil"/>
              <w:right w:val="nil"/>
            </w:tcBorders>
            <w:shd w:val="clear" w:color="auto" w:fill="auto"/>
            <w:vAlign w:val="center"/>
            <w:hideMark/>
          </w:tcPr>
          <w:p w14:paraId="0040AF18" w14:textId="77777777" w:rsidR="00AF6702" w:rsidRPr="00702882" w:rsidRDefault="00AF6702" w:rsidP="00C7156B">
            <w:pPr>
              <w:rPr>
                <w:rFonts w:eastAsia="맑은 고딕"/>
                <w:sz w:val="22"/>
                <w:szCs w:val="22"/>
              </w:rPr>
            </w:pPr>
            <w:r w:rsidRPr="00702882">
              <w:rPr>
                <w:rFonts w:eastAsia="맑은 고딕"/>
                <w:sz w:val="22"/>
                <w:szCs w:val="22"/>
              </w:rPr>
              <w:t>WithVol</w:t>
            </w:r>
          </w:p>
        </w:tc>
        <w:tc>
          <w:tcPr>
            <w:tcW w:w="1249" w:type="dxa"/>
            <w:tcBorders>
              <w:top w:val="nil"/>
              <w:left w:val="nil"/>
              <w:bottom w:val="nil"/>
              <w:right w:val="nil"/>
            </w:tcBorders>
            <w:shd w:val="clear" w:color="auto" w:fill="auto"/>
            <w:vAlign w:val="center"/>
            <w:hideMark/>
          </w:tcPr>
          <w:p w14:paraId="4C89E3C4"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60F3AAF2" w14:textId="77777777" w:rsidR="00AF6702" w:rsidRPr="00702882" w:rsidRDefault="00AF6702" w:rsidP="00C7156B">
            <w:pPr>
              <w:jc w:val="right"/>
              <w:rPr>
                <w:rFonts w:eastAsia="맑은 고딕"/>
                <w:sz w:val="22"/>
                <w:szCs w:val="22"/>
              </w:rPr>
            </w:pPr>
            <w:r w:rsidRPr="00702882">
              <w:rPr>
                <w:rFonts w:eastAsia="맑은 고딕"/>
                <w:sz w:val="22"/>
                <w:szCs w:val="22"/>
              </w:rPr>
              <w:t>0.14</w:t>
            </w:r>
          </w:p>
        </w:tc>
        <w:tc>
          <w:tcPr>
            <w:tcW w:w="1250" w:type="dxa"/>
            <w:tcBorders>
              <w:top w:val="nil"/>
              <w:left w:val="nil"/>
              <w:bottom w:val="nil"/>
              <w:right w:val="nil"/>
            </w:tcBorders>
            <w:shd w:val="clear" w:color="auto" w:fill="auto"/>
            <w:vAlign w:val="center"/>
            <w:hideMark/>
          </w:tcPr>
          <w:p w14:paraId="7EF1FED8" w14:textId="77777777" w:rsidR="00AF6702" w:rsidRPr="00702882" w:rsidRDefault="00AF6702" w:rsidP="00C7156B">
            <w:pPr>
              <w:jc w:val="right"/>
              <w:rPr>
                <w:rFonts w:eastAsia="맑은 고딕"/>
                <w:sz w:val="22"/>
                <w:szCs w:val="22"/>
              </w:rPr>
            </w:pPr>
            <w:r w:rsidRPr="00702882">
              <w:rPr>
                <w:rFonts w:eastAsia="맑은 고딕"/>
                <w:sz w:val="22"/>
                <w:szCs w:val="22"/>
              </w:rPr>
              <w:t>0.35</w:t>
            </w:r>
          </w:p>
        </w:tc>
        <w:tc>
          <w:tcPr>
            <w:tcW w:w="1250" w:type="dxa"/>
            <w:tcBorders>
              <w:top w:val="nil"/>
              <w:left w:val="nil"/>
              <w:bottom w:val="nil"/>
              <w:right w:val="nil"/>
            </w:tcBorders>
            <w:shd w:val="clear" w:color="auto" w:fill="auto"/>
            <w:vAlign w:val="center"/>
            <w:hideMark/>
          </w:tcPr>
          <w:p w14:paraId="24CAAB1E"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0E13611D"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7EBAC39E" w14:textId="77777777" w:rsidTr="00AE6820">
        <w:trPr>
          <w:trHeight w:val="283"/>
        </w:trPr>
        <w:tc>
          <w:tcPr>
            <w:tcW w:w="2540" w:type="dxa"/>
            <w:tcBorders>
              <w:top w:val="nil"/>
              <w:left w:val="nil"/>
              <w:bottom w:val="nil"/>
              <w:right w:val="nil"/>
            </w:tcBorders>
            <w:shd w:val="clear" w:color="auto" w:fill="auto"/>
            <w:vAlign w:val="center"/>
            <w:hideMark/>
          </w:tcPr>
          <w:p w14:paraId="32762E4A" w14:textId="77777777" w:rsidR="00AF6702" w:rsidRPr="00702882" w:rsidRDefault="00AF6702" w:rsidP="00C7156B">
            <w:pPr>
              <w:rPr>
                <w:rFonts w:eastAsia="맑은 고딕"/>
                <w:sz w:val="22"/>
                <w:szCs w:val="22"/>
              </w:rPr>
            </w:pPr>
            <w:r w:rsidRPr="00702882">
              <w:rPr>
                <w:rFonts w:eastAsia="맑은 고딕"/>
                <w:sz w:val="22"/>
                <w:szCs w:val="22"/>
              </w:rPr>
              <w:t>WithLim</w:t>
            </w:r>
          </w:p>
        </w:tc>
        <w:tc>
          <w:tcPr>
            <w:tcW w:w="1249" w:type="dxa"/>
            <w:tcBorders>
              <w:top w:val="nil"/>
              <w:left w:val="nil"/>
              <w:bottom w:val="nil"/>
              <w:right w:val="nil"/>
            </w:tcBorders>
            <w:shd w:val="clear" w:color="auto" w:fill="auto"/>
            <w:vAlign w:val="center"/>
            <w:hideMark/>
          </w:tcPr>
          <w:p w14:paraId="7ADA9D0E"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2FC80990" w14:textId="77777777" w:rsidR="00AF6702" w:rsidRPr="00702882" w:rsidRDefault="00AF6702" w:rsidP="00C7156B">
            <w:pPr>
              <w:jc w:val="right"/>
              <w:rPr>
                <w:rFonts w:eastAsia="맑은 고딕"/>
                <w:sz w:val="22"/>
                <w:szCs w:val="22"/>
              </w:rPr>
            </w:pPr>
            <w:r w:rsidRPr="00702882">
              <w:rPr>
                <w:rFonts w:eastAsia="맑은 고딕"/>
                <w:sz w:val="22"/>
                <w:szCs w:val="22"/>
              </w:rPr>
              <w:t>0.24</w:t>
            </w:r>
          </w:p>
        </w:tc>
        <w:tc>
          <w:tcPr>
            <w:tcW w:w="1250" w:type="dxa"/>
            <w:tcBorders>
              <w:top w:val="nil"/>
              <w:left w:val="nil"/>
              <w:bottom w:val="nil"/>
              <w:right w:val="nil"/>
            </w:tcBorders>
            <w:shd w:val="clear" w:color="auto" w:fill="auto"/>
            <w:vAlign w:val="center"/>
            <w:hideMark/>
          </w:tcPr>
          <w:p w14:paraId="2823AD4F" w14:textId="77777777" w:rsidR="00AF6702" w:rsidRPr="00702882" w:rsidRDefault="00AF6702" w:rsidP="00C7156B">
            <w:pPr>
              <w:jc w:val="right"/>
              <w:rPr>
                <w:rFonts w:eastAsia="맑은 고딕"/>
                <w:sz w:val="22"/>
                <w:szCs w:val="22"/>
              </w:rPr>
            </w:pPr>
            <w:r w:rsidRPr="00702882">
              <w:rPr>
                <w:rFonts w:eastAsia="맑은 고딕"/>
                <w:sz w:val="22"/>
                <w:szCs w:val="22"/>
              </w:rPr>
              <w:t>0.43</w:t>
            </w:r>
          </w:p>
        </w:tc>
        <w:tc>
          <w:tcPr>
            <w:tcW w:w="1250" w:type="dxa"/>
            <w:tcBorders>
              <w:top w:val="nil"/>
              <w:left w:val="nil"/>
              <w:bottom w:val="nil"/>
              <w:right w:val="nil"/>
            </w:tcBorders>
            <w:shd w:val="clear" w:color="auto" w:fill="auto"/>
            <w:vAlign w:val="center"/>
            <w:hideMark/>
          </w:tcPr>
          <w:p w14:paraId="7BBC7AED"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08C4BE07"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60B4ECBA" w14:textId="77777777" w:rsidTr="00AE6820">
        <w:trPr>
          <w:trHeight w:val="283"/>
        </w:trPr>
        <w:tc>
          <w:tcPr>
            <w:tcW w:w="2540" w:type="dxa"/>
            <w:tcBorders>
              <w:top w:val="nil"/>
              <w:left w:val="nil"/>
              <w:bottom w:val="nil"/>
              <w:right w:val="nil"/>
            </w:tcBorders>
            <w:shd w:val="clear" w:color="auto" w:fill="auto"/>
            <w:vAlign w:val="center"/>
            <w:hideMark/>
          </w:tcPr>
          <w:p w14:paraId="5DEF83A0" w14:textId="77777777" w:rsidR="00AF6702" w:rsidRPr="00702882" w:rsidRDefault="00AF6702" w:rsidP="00C7156B">
            <w:pPr>
              <w:rPr>
                <w:rFonts w:eastAsia="맑은 고딕"/>
                <w:sz w:val="22"/>
                <w:szCs w:val="22"/>
              </w:rPr>
            </w:pPr>
            <w:r w:rsidRPr="00702882">
              <w:rPr>
                <w:rFonts w:eastAsia="맑은 고딕"/>
                <w:sz w:val="22"/>
                <w:szCs w:val="22"/>
              </w:rPr>
              <w:t>Repay_4bin</w:t>
            </w:r>
          </w:p>
        </w:tc>
        <w:tc>
          <w:tcPr>
            <w:tcW w:w="1249" w:type="dxa"/>
            <w:tcBorders>
              <w:top w:val="nil"/>
              <w:left w:val="nil"/>
              <w:bottom w:val="nil"/>
              <w:right w:val="nil"/>
            </w:tcBorders>
            <w:shd w:val="clear" w:color="auto" w:fill="auto"/>
            <w:vAlign w:val="center"/>
            <w:hideMark/>
          </w:tcPr>
          <w:p w14:paraId="48997B73"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4321BAF3" w14:textId="77777777" w:rsidR="00AF6702" w:rsidRPr="00702882" w:rsidRDefault="00AF6702" w:rsidP="00C7156B">
            <w:pPr>
              <w:jc w:val="right"/>
              <w:rPr>
                <w:rFonts w:eastAsia="맑은 고딕"/>
                <w:sz w:val="22"/>
                <w:szCs w:val="22"/>
              </w:rPr>
            </w:pPr>
            <w:r w:rsidRPr="00702882">
              <w:rPr>
                <w:rFonts w:eastAsia="맑은 고딕"/>
                <w:sz w:val="22"/>
                <w:szCs w:val="22"/>
              </w:rPr>
              <w:t>0.82</w:t>
            </w:r>
          </w:p>
        </w:tc>
        <w:tc>
          <w:tcPr>
            <w:tcW w:w="1250" w:type="dxa"/>
            <w:tcBorders>
              <w:top w:val="nil"/>
              <w:left w:val="nil"/>
              <w:bottom w:val="nil"/>
              <w:right w:val="nil"/>
            </w:tcBorders>
            <w:shd w:val="clear" w:color="auto" w:fill="auto"/>
            <w:vAlign w:val="center"/>
            <w:hideMark/>
          </w:tcPr>
          <w:p w14:paraId="000DE3C2" w14:textId="77777777" w:rsidR="00AF6702" w:rsidRPr="00702882" w:rsidRDefault="00AF6702" w:rsidP="00C7156B">
            <w:pPr>
              <w:jc w:val="right"/>
              <w:rPr>
                <w:rFonts w:eastAsia="맑은 고딕"/>
                <w:sz w:val="22"/>
                <w:szCs w:val="22"/>
              </w:rPr>
            </w:pPr>
            <w:r w:rsidRPr="00702882">
              <w:rPr>
                <w:rFonts w:eastAsia="맑은 고딕"/>
                <w:sz w:val="22"/>
                <w:szCs w:val="22"/>
              </w:rPr>
              <w:t>1.4</w:t>
            </w:r>
          </w:p>
        </w:tc>
        <w:tc>
          <w:tcPr>
            <w:tcW w:w="1250" w:type="dxa"/>
            <w:tcBorders>
              <w:top w:val="nil"/>
              <w:left w:val="nil"/>
              <w:bottom w:val="nil"/>
              <w:right w:val="nil"/>
            </w:tcBorders>
            <w:shd w:val="clear" w:color="auto" w:fill="auto"/>
            <w:vAlign w:val="center"/>
            <w:hideMark/>
          </w:tcPr>
          <w:p w14:paraId="2FE73709"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54371888" w14:textId="77777777" w:rsidR="00AF6702" w:rsidRPr="00702882" w:rsidRDefault="00AF6702" w:rsidP="00C7156B">
            <w:pPr>
              <w:jc w:val="right"/>
              <w:rPr>
                <w:rFonts w:eastAsia="맑은 고딕"/>
                <w:sz w:val="22"/>
                <w:szCs w:val="22"/>
              </w:rPr>
            </w:pPr>
            <w:r w:rsidRPr="00702882">
              <w:rPr>
                <w:rFonts w:eastAsia="맑은 고딕"/>
                <w:sz w:val="22"/>
                <w:szCs w:val="22"/>
              </w:rPr>
              <w:t>4</w:t>
            </w:r>
          </w:p>
        </w:tc>
      </w:tr>
      <w:tr w:rsidR="00522CEF" w:rsidRPr="00702882" w14:paraId="5404CE44" w14:textId="77777777" w:rsidTr="00AE6820">
        <w:trPr>
          <w:trHeight w:val="283"/>
        </w:trPr>
        <w:tc>
          <w:tcPr>
            <w:tcW w:w="2540" w:type="dxa"/>
            <w:tcBorders>
              <w:top w:val="nil"/>
              <w:left w:val="nil"/>
              <w:bottom w:val="nil"/>
              <w:right w:val="nil"/>
            </w:tcBorders>
            <w:shd w:val="clear" w:color="auto" w:fill="auto"/>
            <w:vAlign w:val="center"/>
            <w:hideMark/>
          </w:tcPr>
          <w:p w14:paraId="17EA74D0" w14:textId="77777777" w:rsidR="00AF6702" w:rsidRPr="00702882" w:rsidRDefault="00AF6702" w:rsidP="00C7156B">
            <w:pPr>
              <w:rPr>
                <w:rFonts w:eastAsia="맑은 고딕"/>
                <w:sz w:val="22"/>
                <w:szCs w:val="22"/>
              </w:rPr>
            </w:pPr>
            <w:r w:rsidRPr="00702882">
              <w:rPr>
                <w:rFonts w:eastAsia="맑은 고딕"/>
                <w:sz w:val="22"/>
                <w:szCs w:val="22"/>
              </w:rPr>
              <w:t>Disasters (million dollars)</w:t>
            </w:r>
          </w:p>
        </w:tc>
        <w:tc>
          <w:tcPr>
            <w:tcW w:w="1249" w:type="dxa"/>
            <w:tcBorders>
              <w:top w:val="nil"/>
              <w:left w:val="nil"/>
              <w:bottom w:val="nil"/>
              <w:right w:val="nil"/>
            </w:tcBorders>
            <w:shd w:val="clear" w:color="auto" w:fill="auto"/>
            <w:vAlign w:val="center"/>
            <w:hideMark/>
          </w:tcPr>
          <w:p w14:paraId="18900FDB"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69BCF230" w14:textId="77777777" w:rsidR="00AF6702" w:rsidRPr="00702882" w:rsidRDefault="00AF6702" w:rsidP="00C7156B">
            <w:pPr>
              <w:jc w:val="right"/>
              <w:rPr>
                <w:rFonts w:eastAsia="맑은 고딕"/>
                <w:sz w:val="22"/>
                <w:szCs w:val="22"/>
              </w:rPr>
            </w:pPr>
            <w:r w:rsidRPr="00702882">
              <w:rPr>
                <w:rFonts w:eastAsia="맑은 고딕"/>
                <w:sz w:val="22"/>
                <w:szCs w:val="22"/>
              </w:rPr>
              <w:t>0.16</w:t>
            </w:r>
          </w:p>
        </w:tc>
        <w:tc>
          <w:tcPr>
            <w:tcW w:w="1250" w:type="dxa"/>
            <w:tcBorders>
              <w:top w:val="nil"/>
              <w:left w:val="nil"/>
              <w:bottom w:val="nil"/>
              <w:right w:val="nil"/>
            </w:tcBorders>
            <w:shd w:val="clear" w:color="auto" w:fill="auto"/>
            <w:vAlign w:val="center"/>
            <w:hideMark/>
          </w:tcPr>
          <w:p w14:paraId="10A40D08" w14:textId="77777777" w:rsidR="00AF6702" w:rsidRPr="00702882" w:rsidRDefault="00AF6702" w:rsidP="00C7156B">
            <w:pPr>
              <w:jc w:val="right"/>
              <w:rPr>
                <w:rFonts w:eastAsia="맑은 고딕"/>
                <w:sz w:val="22"/>
                <w:szCs w:val="22"/>
              </w:rPr>
            </w:pPr>
            <w:r w:rsidRPr="00702882">
              <w:rPr>
                <w:rFonts w:eastAsia="맑은 고딕"/>
                <w:sz w:val="22"/>
                <w:szCs w:val="22"/>
              </w:rPr>
              <w:t>0.72</w:t>
            </w:r>
          </w:p>
        </w:tc>
        <w:tc>
          <w:tcPr>
            <w:tcW w:w="1250" w:type="dxa"/>
            <w:tcBorders>
              <w:top w:val="nil"/>
              <w:left w:val="nil"/>
              <w:bottom w:val="nil"/>
              <w:right w:val="nil"/>
            </w:tcBorders>
            <w:shd w:val="clear" w:color="auto" w:fill="auto"/>
            <w:vAlign w:val="center"/>
            <w:hideMark/>
          </w:tcPr>
          <w:p w14:paraId="0094AD79"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62CFABF5" w14:textId="77777777" w:rsidR="00AF6702" w:rsidRPr="00702882" w:rsidRDefault="00AF6702" w:rsidP="00C7156B">
            <w:pPr>
              <w:jc w:val="right"/>
              <w:rPr>
                <w:rFonts w:eastAsia="맑은 고딕"/>
                <w:sz w:val="22"/>
                <w:szCs w:val="22"/>
              </w:rPr>
            </w:pPr>
            <w:r w:rsidRPr="00702882">
              <w:rPr>
                <w:rFonts w:eastAsia="맑은 고딕"/>
                <w:sz w:val="22"/>
                <w:szCs w:val="22"/>
              </w:rPr>
              <w:t>15</w:t>
            </w:r>
          </w:p>
        </w:tc>
      </w:tr>
      <w:tr w:rsidR="00522CEF" w:rsidRPr="00702882" w14:paraId="4ED95889" w14:textId="77777777" w:rsidTr="00AE6820">
        <w:trPr>
          <w:trHeight w:val="283"/>
        </w:trPr>
        <w:tc>
          <w:tcPr>
            <w:tcW w:w="2540" w:type="dxa"/>
            <w:tcBorders>
              <w:top w:val="nil"/>
              <w:left w:val="nil"/>
              <w:bottom w:val="nil"/>
              <w:right w:val="nil"/>
            </w:tcBorders>
            <w:shd w:val="clear" w:color="auto" w:fill="auto"/>
            <w:vAlign w:val="center"/>
            <w:hideMark/>
          </w:tcPr>
          <w:p w14:paraId="5769DA19" w14:textId="77777777" w:rsidR="00AF6702" w:rsidRPr="00702882" w:rsidRDefault="00AF6702" w:rsidP="00C7156B">
            <w:pPr>
              <w:rPr>
                <w:rFonts w:eastAsia="맑은 고딕"/>
                <w:sz w:val="22"/>
                <w:szCs w:val="22"/>
              </w:rPr>
            </w:pPr>
            <w:r w:rsidRPr="00702882">
              <w:rPr>
                <w:rFonts w:eastAsia="맑은 고딕"/>
                <w:sz w:val="22"/>
                <w:szCs w:val="22"/>
              </w:rPr>
              <w:t>Debt per capita</w:t>
            </w:r>
          </w:p>
        </w:tc>
        <w:tc>
          <w:tcPr>
            <w:tcW w:w="1249" w:type="dxa"/>
            <w:tcBorders>
              <w:top w:val="nil"/>
              <w:left w:val="nil"/>
              <w:bottom w:val="nil"/>
              <w:right w:val="nil"/>
            </w:tcBorders>
            <w:shd w:val="clear" w:color="auto" w:fill="auto"/>
            <w:vAlign w:val="center"/>
            <w:hideMark/>
          </w:tcPr>
          <w:p w14:paraId="12E0D14B"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55C9E66A" w14:textId="77777777" w:rsidR="00AF6702" w:rsidRPr="00702882" w:rsidRDefault="00AF6702" w:rsidP="00C7156B">
            <w:pPr>
              <w:jc w:val="right"/>
              <w:rPr>
                <w:rFonts w:eastAsia="맑은 고딕"/>
                <w:sz w:val="22"/>
                <w:szCs w:val="22"/>
              </w:rPr>
            </w:pPr>
            <w:r w:rsidRPr="00702882">
              <w:rPr>
                <w:rFonts w:eastAsia="맑은 고딕"/>
                <w:sz w:val="22"/>
                <w:szCs w:val="22"/>
              </w:rPr>
              <w:t>3.6</w:t>
            </w:r>
          </w:p>
        </w:tc>
        <w:tc>
          <w:tcPr>
            <w:tcW w:w="1250" w:type="dxa"/>
            <w:tcBorders>
              <w:top w:val="nil"/>
              <w:left w:val="nil"/>
              <w:bottom w:val="nil"/>
              <w:right w:val="nil"/>
            </w:tcBorders>
            <w:shd w:val="clear" w:color="auto" w:fill="auto"/>
            <w:vAlign w:val="center"/>
            <w:hideMark/>
          </w:tcPr>
          <w:p w14:paraId="3D9944E1" w14:textId="77777777" w:rsidR="00AF6702" w:rsidRPr="00702882" w:rsidRDefault="00AF6702" w:rsidP="00C7156B">
            <w:pPr>
              <w:jc w:val="right"/>
              <w:rPr>
                <w:rFonts w:eastAsia="맑은 고딕"/>
                <w:sz w:val="22"/>
                <w:szCs w:val="22"/>
              </w:rPr>
            </w:pPr>
            <w:r w:rsidRPr="00702882">
              <w:rPr>
                <w:rFonts w:eastAsia="맑은 고딕"/>
                <w:sz w:val="22"/>
                <w:szCs w:val="22"/>
              </w:rPr>
              <w:t>2.2</w:t>
            </w:r>
          </w:p>
        </w:tc>
        <w:tc>
          <w:tcPr>
            <w:tcW w:w="1250" w:type="dxa"/>
            <w:tcBorders>
              <w:top w:val="nil"/>
              <w:left w:val="nil"/>
              <w:bottom w:val="nil"/>
              <w:right w:val="nil"/>
            </w:tcBorders>
            <w:shd w:val="clear" w:color="auto" w:fill="auto"/>
            <w:vAlign w:val="center"/>
            <w:hideMark/>
          </w:tcPr>
          <w:p w14:paraId="3BF43372" w14:textId="77777777" w:rsidR="00AF6702" w:rsidRPr="00702882" w:rsidRDefault="00AF6702" w:rsidP="00C7156B">
            <w:pPr>
              <w:jc w:val="right"/>
              <w:rPr>
                <w:rFonts w:eastAsia="맑은 고딕"/>
                <w:sz w:val="22"/>
                <w:szCs w:val="22"/>
              </w:rPr>
            </w:pPr>
            <w:r w:rsidRPr="00702882">
              <w:rPr>
                <w:rFonts w:eastAsia="맑은 고딕"/>
                <w:sz w:val="22"/>
                <w:szCs w:val="22"/>
              </w:rPr>
              <w:t>0.6</w:t>
            </w:r>
          </w:p>
        </w:tc>
        <w:tc>
          <w:tcPr>
            <w:tcW w:w="1250" w:type="dxa"/>
            <w:tcBorders>
              <w:top w:val="nil"/>
              <w:left w:val="nil"/>
              <w:bottom w:val="nil"/>
              <w:right w:val="nil"/>
            </w:tcBorders>
            <w:shd w:val="clear" w:color="auto" w:fill="auto"/>
            <w:vAlign w:val="center"/>
            <w:hideMark/>
          </w:tcPr>
          <w:p w14:paraId="22666FBD" w14:textId="77777777" w:rsidR="00AF6702" w:rsidRPr="00702882" w:rsidRDefault="00AF6702" w:rsidP="00C7156B">
            <w:pPr>
              <w:jc w:val="right"/>
              <w:rPr>
                <w:rFonts w:eastAsia="맑은 고딕"/>
                <w:sz w:val="22"/>
                <w:szCs w:val="22"/>
              </w:rPr>
            </w:pPr>
            <w:r w:rsidRPr="00702882">
              <w:rPr>
                <w:rFonts w:eastAsia="맑은 고딕"/>
                <w:sz w:val="22"/>
                <w:szCs w:val="22"/>
              </w:rPr>
              <w:t>12</w:t>
            </w:r>
          </w:p>
        </w:tc>
      </w:tr>
      <w:tr w:rsidR="00522CEF" w:rsidRPr="00702882" w14:paraId="30196158" w14:textId="77777777" w:rsidTr="00AE6820">
        <w:trPr>
          <w:trHeight w:val="283"/>
        </w:trPr>
        <w:tc>
          <w:tcPr>
            <w:tcW w:w="2540" w:type="dxa"/>
            <w:tcBorders>
              <w:top w:val="nil"/>
              <w:left w:val="nil"/>
              <w:bottom w:val="nil"/>
              <w:right w:val="nil"/>
            </w:tcBorders>
            <w:shd w:val="clear" w:color="auto" w:fill="auto"/>
            <w:vAlign w:val="center"/>
            <w:hideMark/>
          </w:tcPr>
          <w:p w14:paraId="0326666D" w14:textId="77777777" w:rsidR="00AF6702" w:rsidRPr="00702882" w:rsidRDefault="00AF6702" w:rsidP="00C7156B">
            <w:pPr>
              <w:rPr>
                <w:rFonts w:eastAsia="맑은 고딕"/>
                <w:sz w:val="22"/>
                <w:szCs w:val="22"/>
              </w:rPr>
            </w:pPr>
            <w:r w:rsidRPr="00702882">
              <w:rPr>
                <w:rFonts w:eastAsia="맑은 고딕"/>
                <w:sz w:val="22"/>
                <w:szCs w:val="22"/>
              </w:rPr>
              <w:t>Fed IGR</w:t>
            </w:r>
          </w:p>
        </w:tc>
        <w:tc>
          <w:tcPr>
            <w:tcW w:w="1249" w:type="dxa"/>
            <w:tcBorders>
              <w:top w:val="nil"/>
              <w:left w:val="nil"/>
              <w:bottom w:val="nil"/>
              <w:right w:val="nil"/>
            </w:tcBorders>
            <w:shd w:val="clear" w:color="auto" w:fill="auto"/>
            <w:vAlign w:val="center"/>
            <w:hideMark/>
          </w:tcPr>
          <w:p w14:paraId="7334113A"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2F85CFAA" w14:textId="77777777" w:rsidR="00AF6702" w:rsidRPr="00702882" w:rsidRDefault="00AF6702" w:rsidP="00C7156B">
            <w:pPr>
              <w:jc w:val="right"/>
              <w:rPr>
                <w:rFonts w:eastAsia="맑은 고딕"/>
                <w:sz w:val="22"/>
                <w:szCs w:val="22"/>
              </w:rPr>
            </w:pPr>
            <w:r w:rsidRPr="00702882">
              <w:rPr>
                <w:rFonts w:eastAsia="맑은 고딕"/>
                <w:sz w:val="22"/>
                <w:szCs w:val="22"/>
              </w:rPr>
              <w:t>1.8</w:t>
            </w:r>
          </w:p>
        </w:tc>
        <w:tc>
          <w:tcPr>
            <w:tcW w:w="1250" w:type="dxa"/>
            <w:tcBorders>
              <w:top w:val="nil"/>
              <w:left w:val="nil"/>
              <w:bottom w:val="nil"/>
              <w:right w:val="nil"/>
            </w:tcBorders>
            <w:shd w:val="clear" w:color="auto" w:fill="auto"/>
            <w:vAlign w:val="center"/>
            <w:hideMark/>
          </w:tcPr>
          <w:p w14:paraId="3B7C8566" w14:textId="77777777" w:rsidR="00AF6702" w:rsidRPr="00702882" w:rsidRDefault="00AF6702" w:rsidP="00C7156B">
            <w:pPr>
              <w:jc w:val="right"/>
              <w:rPr>
                <w:rFonts w:eastAsia="맑은 고딕"/>
                <w:sz w:val="22"/>
                <w:szCs w:val="22"/>
              </w:rPr>
            </w:pPr>
            <w:r w:rsidRPr="00702882">
              <w:rPr>
                <w:rFonts w:eastAsia="맑은 고딕"/>
                <w:sz w:val="22"/>
                <w:szCs w:val="22"/>
              </w:rPr>
              <w:t>0.6</w:t>
            </w:r>
          </w:p>
        </w:tc>
        <w:tc>
          <w:tcPr>
            <w:tcW w:w="1250" w:type="dxa"/>
            <w:tcBorders>
              <w:top w:val="nil"/>
              <w:left w:val="nil"/>
              <w:bottom w:val="nil"/>
              <w:right w:val="nil"/>
            </w:tcBorders>
            <w:shd w:val="clear" w:color="auto" w:fill="auto"/>
            <w:vAlign w:val="center"/>
            <w:hideMark/>
          </w:tcPr>
          <w:p w14:paraId="33166F53" w14:textId="77777777" w:rsidR="00AF6702" w:rsidRPr="00702882" w:rsidRDefault="00AF6702" w:rsidP="00C7156B">
            <w:pPr>
              <w:jc w:val="right"/>
              <w:rPr>
                <w:rFonts w:eastAsia="맑은 고딕"/>
                <w:sz w:val="22"/>
                <w:szCs w:val="22"/>
              </w:rPr>
            </w:pPr>
            <w:r w:rsidRPr="00702882">
              <w:rPr>
                <w:rFonts w:eastAsia="맑은 고딕"/>
                <w:sz w:val="22"/>
                <w:szCs w:val="22"/>
              </w:rPr>
              <w:t>0.59</w:t>
            </w:r>
          </w:p>
        </w:tc>
        <w:tc>
          <w:tcPr>
            <w:tcW w:w="1250" w:type="dxa"/>
            <w:tcBorders>
              <w:top w:val="nil"/>
              <w:left w:val="nil"/>
              <w:bottom w:val="nil"/>
              <w:right w:val="nil"/>
            </w:tcBorders>
            <w:shd w:val="clear" w:color="auto" w:fill="auto"/>
            <w:vAlign w:val="center"/>
            <w:hideMark/>
          </w:tcPr>
          <w:p w14:paraId="7EB991C0" w14:textId="77777777" w:rsidR="00AF6702" w:rsidRPr="00702882" w:rsidRDefault="00AF6702" w:rsidP="00C7156B">
            <w:pPr>
              <w:jc w:val="right"/>
              <w:rPr>
                <w:rFonts w:eastAsia="맑은 고딕"/>
                <w:sz w:val="22"/>
                <w:szCs w:val="22"/>
              </w:rPr>
            </w:pPr>
            <w:r w:rsidRPr="00702882">
              <w:rPr>
                <w:rFonts w:eastAsia="맑은 고딕"/>
                <w:sz w:val="22"/>
                <w:szCs w:val="22"/>
              </w:rPr>
              <w:t>5.5</w:t>
            </w:r>
          </w:p>
        </w:tc>
      </w:tr>
      <w:tr w:rsidR="00522CEF" w:rsidRPr="00702882" w14:paraId="4D1C2A7E" w14:textId="77777777" w:rsidTr="00AE6820">
        <w:trPr>
          <w:trHeight w:val="283"/>
        </w:trPr>
        <w:tc>
          <w:tcPr>
            <w:tcW w:w="2540" w:type="dxa"/>
            <w:tcBorders>
              <w:top w:val="nil"/>
              <w:left w:val="nil"/>
              <w:bottom w:val="nil"/>
              <w:right w:val="nil"/>
            </w:tcBorders>
            <w:shd w:val="clear" w:color="auto" w:fill="auto"/>
            <w:vAlign w:val="center"/>
            <w:hideMark/>
          </w:tcPr>
          <w:p w14:paraId="58B84AB4" w14:textId="77777777" w:rsidR="00AF6702" w:rsidRPr="00702882" w:rsidRDefault="00AF6702" w:rsidP="00C7156B">
            <w:pPr>
              <w:rPr>
                <w:rFonts w:eastAsia="맑은 고딕"/>
                <w:sz w:val="22"/>
                <w:szCs w:val="22"/>
              </w:rPr>
            </w:pPr>
            <w:r w:rsidRPr="00702882">
              <w:rPr>
                <w:rFonts w:eastAsia="맑은 고딕"/>
                <w:sz w:val="22"/>
                <w:szCs w:val="22"/>
              </w:rPr>
              <w:t>Unemployment</w:t>
            </w:r>
          </w:p>
        </w:tc>
        <w:tc>
          <w:tcPr>
            <w:tcW w:w="1249" w:type="dxa"/>
            <w:tcBorders>
              <w:top w:val="nil"/>
              <w:left w:val="nil"/>
              <w:bottom w:val="nil"/>
              <w:right w:val="nil"/>
            </w:tcBorders>
            <w:shd w:val="clear" w:color="auto" w:fill="auto"/>
            <w:vAlign w:val="center"/>
            <w:hideMark/>
          </w:tcPr>
          <w:p w14:paraId="3116BE26"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50897AB7" w14:textId="77777777" w:rsidR="00AF6702" w:rsidRPr="00702882" w:rsidRDefault="00AF6702" w:rsidP="00C7156B">
            <w:pPr>
              <w:jc w:val="right"/>
              <w:rPr>
                <w:rFonts w:eastAsia="맑은 고딕"/>
                <w:sz w:val="22"/>
                <w:szCs w:val="22"/>
              </w:rPr>
            </w:pPr>
            <w:r w:rsidRPr="00702882">
              <w:rPr>
                <w:rFonts w:eastAsia="맑은 고딕"/>
                <w:sz w:val="22"/>
                <w:szCs w:val="22"/>
              </w:rPr>
              <w:t>5.7</w:t>
            </w:r>
          </w:p>
        </w:tc>
        <w:tc>
          <w:tcPr>
            <w:tcW w:w="1250" w:type="dxa"/>
            <w:tcBorders>
              <w:top w:val="nil"/>
              <w:left w:val="nil"/>
              <w:bottom w:val="nil"/>
              <w:right w:val="nil"/>
            </w:tcBorders>
            <w:shd w:val="clear" w:color="auto" w:fill="auto"/>
            <w:vAlign w:val="center"/>
            <w:hideMark/>
          </w:tcPr>
          <w:p w14:paraId="4535A030" w14:textId="77777777" w:rsidR="00AF6702" w:rsidRPr="00702882" w:rsidRDefault="00AF6702" w:rsidP="00C7156B">
            <w:pPr>
              <w:jc w:val="right"/>
              <w:rPr>
                <w:rFonts w:eastAsia="맑은 고딕"/>
                <w:sz w:val="22"/>
                <w:szCs w:val="22"/>
              </w:rPr>
            </w:pPr>
            <w:r w:rsidRPr="00702882">
              <w:rPr>
                <w:rFonts w:eastAsia="맑은 고딕"/>
                <w:sz w:val="22"/>
                <w:szCs w:val="22"/>
              </w:rPr>
              <w:t>2.1</w:t>
            </w:r>
          </w:p>
        </w:tc>
        <w:tc>
          <w:tcPr>
            <w:tcW w:w="1250" w:type="dxa"/>
            <w:tcBorders>
              <w:top w:val="nil"/>
              <w:left w:val="nil"/>
              <w:bottom w:val="nil"/>
              <w:right w:val="nil"/>
            </w:tcBorders>
            <w:shd w:val="clear" w:color="auto" w:fill="auto"/>
            <w:vAlign w:val="center"/>
            <w:hideMark/>
          </w:tcPr>
          <w:p w14:paraId="354F25E2" w14:textId="77777777" w:rsidR="00AF6702" w:rsidRPr="00702882" w:rsidRDefault="00AF6702" w:rsidP="00C7156B">
            <w:pPr>
              <w:jc w:val="right"/>
              <w:rPr>
                <w:rFonts w:eastAsia="맑은 고딕"/>
                <w:sz w:val="22"/>
                <w:szCs w:val="22"/>
              </w:rPr>
            </w:pPr>
            <w:r w:rsidRPr="00702882">
              <w:rPr>
                <w:rFonts w:eastAsia="맑은 고딕"/>
                <w:sz w:val="22"/>
                <w:szCs w:val="22"/>
              </w:rPr>
              <w:t>2.2</w:t>
            </w:r>
          </w:p>
        </w:tc>
        <w:tc>
          <w:tcPr>
            <w:tcW w:w="1250" w:type="dxa"/>
            <w:tcBorders>
              <w:top w:val="nil"/>
              <w:left w:val="nil"/>
              <w:bottom w:val="nil"/>
              <w:right w:val="nil"/>
            </w:tcBorders>
            <w:shd w:val="clear" w:color="auto" w:fill="auto"/>
            <w:vAlign w:val="center"/>
            <w:hideMark/>
          </w:tcPr>
          <w:p w14:paraId="386D1DC7" w14:textId="77777777" w:rsidR="00AF6702" w:rsidRPr="00702882" w:rsidRDefault="00AF6702" w:rsidP="00C7156B">
            <w:pPr>
              <w:jc w:val="right"/>
              <w:rPr>
                <w:rFonts w:eastAsia="맑은 고딕"/>
                <w:sz w:val="22"/>
                <w:szCs w:val="22"/>
              </w:rPr>
            </w:pPr>
            <w:r w:rsidRPr="00702882">
              <w:rPr>
                <w:rFonts w:eastAsia="맑은 고딕"/>
                <w:sz w:val="22"/>
                <w:szCs w:val="22"/>
              </w:rPr>
              <w:t>14</w:t>
            </w:r>
          </w:p>
        </w:tc>
      </w:tr>
      <w:tr w:rsidR="00522CEF" w:rsidRPr="00702882" w14:paraId="303A8602" w14:textId="77777777" w:rsidTr="00AE6820">
        <w:trPr>
          <w:trHeight w:val="283"/>
        </w:trPr>
        <w:tc>
          <w:tcPr>
            <w:tcW w:w="2540" w:type="dxa"/>
            <w:tcBorders>
              <w:top w:val="nil"/>
              <w:left w:val="nil"/>
              <w:bottom w:val="nil"/>
              <w:right w:val="nil"/>
            </w:tcBorders>
            <w:shd w:val="clear" w:color="auto" w:fill="auto"/>
            <w:vAlign w:val="center"/>
            <w:hideMark/>
          </w:tcPr>
          <w:p w14:paraId="4C96FD63" w14:textId="77777777" w:rsidR="00AF6702" w:rsidRPr="00702882" w:rsidRDefault="00AF6702" w:rsidP="00C7156B">
            <w:pPr>
              <w:rPr>
                <w:rFonts w:eastAsia="맑은 고딕"/>
                <w:sz w:val="22"/>
                <w:szCs w:val="22"/>
              </w:rPr>
            </w:pPr>
            <w:r w:rsidRPr="00702882">
              <w:rPr>
                <w:rFonts w:eastAsia="맑은 고딕"/>
                <w:sz w:val="22"/>
                <w:szCs w:val="22"/>
              </w:rPr>
              <w:t>Credit rating</w:t>
            </w:r>
          </w:p>
        </w:tc>
        <w:tc>
          <w:tcPr>
            <w:tcW w:w="1249" w:type="dxa"/>
            <w:tcBorders>
              <w:top w:val="nil"/>
              <w:left w:val="nil"/>
              <w:bottom w:val="nil"/>
              <w:right w:val="nil"/>
            </w:tcBorders>
            <w:shd w:val="clear" w:color="auto" w:fill="auto"/>
            <w:vAlign w:val="center"/>
            <w:hideMark/>
          </w:tcPr>
          <w:p w14:paraId="5783A218" w14:textId="77777777" w:rsidR="00AF6702" w:rsidRPr="00702882" w:rsidRDefault="00AF6702" w:rsidP="00C7156B">
            <w:pPr>
              <w:jc w:val="right"/>
              <w:rPr>
                <w:rFonts w:eastAsia="맑은 고딕"/>
                <w:sz w:val="22"/>
                <w:szCs w:val="22"/>
              </w:rPr>
            </w:pPr>
            <w:r w:rsidRPr="00702882">
              <w:rPr>
                <w:rFonts w:eastAsia="맑은 고딕"/>
                <w:sz w:val="22"/>
                <w:szCs w:val="22"/>
              </w:rPr>
              <w:t>813</w:t>
            </w:r>
          </w:p>
        </w:tc>
        <w:tc>
          <w:tcPr>
            <w:tcW w:w="1250" w:type="dxa"/>
            <w:tcBorders>
              <w:top w:val="nil"/>
              <w:left w:val="nil"/>
              <w:bottom w:val="nil"/>
              <w:right w:val="nil"/>
            </w:tcBorders>
            <w:shd w:val="clear" w:color="auto" w:fill="auto"/>
            <w:vAlign w:val="center"/>
            <w:hideMark/>
          </w:tcPr>
          <w:p w14:paraId="6FEE5878" w14:textId="77777777" w:rsidR="00AF6702" w:rsidRPr="00702882" w:rsidRDefault="00AF6702" w:rsidP="00C7156B">
            <w:pPr>
              <w:jc w:val="right"/>
              <w:rPr>
                <w:rFonts w:eastAsia="맑은 고딕"/>
                <w:sz w:val="22"/>
                <w:szCs w:val="22"/>
              </w:rPr>
            </w:pPr>
            <w:r w:rsidRPr="00702882">
              <w:rPr>
                <w:rFonts w:eastAsia="맑은 고딕"/>
                <w:sz w:val="22"/>
                <w:szCs w:val="22"/>
              </w:rPr>
              <w:t>3.9</w:t>
            </w:r>
          </w:p>
        </w:tc>
        <w:tc>
          <w:tcPr>
            <w:tcW w:w="1250" w:type="dxa"/>
            <w:tcBorders>
              <w:top w:val="nil"/>
              <w:left w:val="nil"/>
              <w:bottom w:val="nil"/>
              <w:right w:val="nil"/>
            </w:tcBorders>
            <w:shd w:val="clear" w:color="auto" w:fill="auto"/>
            <w:vAlign w:val="center"/>
            <w:hideMark/>
          </w:tcPr>
          <w:p w14:paraId="25C4E70F" w14:textId="77777777" w:rsidR="00AF6702" w:rsidRPr="00702882" w:rsidRDefault="00AF6702" w:rsidP="00C7156B">
            <w:pPr>
              <w:jc w:val="right"/>
              <w:rPr>
                <w:rFonts w:eastAsia="맑은 고딕"/>
                <w:sz w:val="22"/>
                <w:szCs w:val="22"/>
              </w:rPr>
            </w:pPr>
            <w:r w:rsidRPr="00702882">
              <w:rPr>
                <w:rFonts w:eastAsia="맑은 고딕"/>
                <w:sz w:val="22"/>
                <w:szCs w:val="22"/>
              </w:rPr>
              <w:t>0.88</w:t>
            </w:r>
          </w:p>
        </w:tc>
        <w:tc>
          <w:tcPr>
            <w:tcW w:w="1250" w:type="dxa"/>
            <w:tcBorders>
              <w:top w:val="nil"/>
              <w:left w:val="nil"/>
              <w:bottom w:val="nil"/>
              <w:right w:val="nil"/>
            </w:tcBorders>
            <w:shd w:val="clear" w:color="auto" w:fill="auto"/>
            <w:vAlign w:val="center"/>
            <w:hideMark/>
          </w:tcPr>
          <w:p w14:paraId="0DE100D8"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0BEA2282" w14:textId="77777777" w:rsidR="00AF6702" w:rsidRPr="00702882" w:rsidRDefault="00AF6702" w:rsidP="00C7156B">
            <w:pPr>
              <w:jc w:val="right"/>
              <w:rPr>
                <w:rFonts w:eastAsia="맑은 고딕"/>
                <w:sz w:val="22"/>
                <w:szCs w:val="22"/>
              </w:rPr>
            </w:pPr>
            <w:r w:rsidRPr="00702882">
              <w:rPr>
                <w:rFonts w:eastAsia="맑은 고딕"/>
                <w:sz w:val="22"/>
                <w:szCs w:val="22"/>
              </w:rPr>
              <w:t>5</w:t>
            </w:r>
          </w:p>
        </w:tc>
      </w:tr>
      <w:tr w:rsidR="00522CEF" w:rsidRPr="00702882" w14:paraId="7EBE5EC1" w14:textId="77777777" w:rsidTr="00AE6820">
        <w:trPr>
          <w:trHeight w:val="283"/>
        </w:trPr>
        <w:tc>
          <w:tcPr>
            <w:tcW w:w="2540" w:type="dxa"/>
            <w:tcBorders>
              <w:top w:val="nil"/>
              <w:left w:val="nil"/>
              <w:bottom w:val="nil"/>
              <w:right w:val="nil"/>
            </w:tcBorders>
            <w:shd w:val="clear" w:color="auto" w:fill="auto"/>
            <w:vAlign w:val="center"/>
            <w:hideMark/>
          </w:tcPr>
          <w:p w14:paraId="5033B7B8" w14:textId="77777777" w:rsidR="00AF6702" w:rsidRPr="00702882" w:rsidRDefault="00AF6702" w:rsidP="00C7156B">
            <w:pPr>
              <w:rPr>
                <w:rFonts w:eastAsia="맑은 고딕"/>
                <w:sz w:val="22"/>
                <w:szCs w:val="22"/>
              </w:rPr>
            </w:pPr>
            <w:r w:rsidRPr="00702882">
              <w:rPr>
                <w:rFonts w:eastAsia="맑은 고딕"/>
                <w:sz w:val="22"/>
                <w:szCs w:val="22"/>
              </w:rPr>
              <w:t>GSP</w:t>
            </w:r>
          </w:p>
        </w:tc>
        <w:tc>
          <w:tcPr>
            <w:tcW w:w="1249" w:type="dxa"/>
            <w:tcBorders>
              <w:top w:val="nil"/>
              <w:left w:val="nil"/>
              <w:bottom w:val="nil"/>
              <w:right w:val="nil"/>
            </w:tcBorders>
            <w:shd w:val="clear" w:color="auto" w:fill="auto"/>
            <w:vAlign w:val="center"/>
            <w:hideMark/>
          </w:tcPr>
          <w:p w14:paraId="6B1BE223"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27BF3FD1" w14:textId="77777777" w:rsidR="00AF6702" w:rsidRPr="00702882" w:rsidRDefault="00AF6702" w:rsidP="00C7156B">
            <w:pPr>
              <w:jc w:val="right"/>
              <w:rPr>
                <w:rFonts w:eastAsia="맑은 고딕"/>
                <w:sz w:val="22"/>
                <w:szCs w:val="22"/>
              </w:rPr>
            </w:pPr>
            <w:r w:rsidRPr="00702882">
              <w:rPr>
                <w:rFonts w:eastAsia="맑은 고딕"/>
                <w:sz w:val="22"/>
                <w:szCs w:val="22"/>
              </w:rPr>
              <w:t>1.5</w:t>
            </w:r>
          </w:p>
        </w:tc>
        <w:tc>
          <w:tcPr>
            <w:tcW w:w="1250" w:type="dxa"/>
            <w:tcBorders>
              <w:top w:val="nil"/>
              <w:left w:val="nil"/>
              <w:bottom w:val="nil"/>
              <w:right w:val="nil"/>
            </w:tcBorders>
            <w:shd w:val="clear" w:color="auto" w:fill="auto"/>
            <w:vAlign w:val="center"/>
            <w:hideMark/>
          </w:tcPr>
          <w:p w14:paraId="6F000C5D" w14:textId="77777777" w:rsidR="00AF6702" w:rsidRPr="00702882" w:rsidRDefault="00AF6702" w:rsidP="00C7156B">
            <w:pPr>
              <w:jc w:val="right"/>
              <w:rPr>
                <w:rFonts w:eastAsia="맑은 고딕"/>
                <w:sz w:val="22"/>
                <w:szCs w:val="22"/>
              </w:rPr>
            </w:pPr>
            <w:r w:rsidRPr="00702882">
              <w:rPr>
                <w:rFonts w:eastAsia="맑은 고딕"/>
                <w:sz w:val="22"/>
                <w:szCs w:val="22"/>
              </w:rPr>
              <w:t>2.7</w:t>
            </w:r>
          </w:p>
        </w:tc>
        <w:tc>
          <w:tcPr>
            <w:tcW w:w="1250" w:type="dxa"/>
            <w:tcBorders>
              <w:top w:val="nil"/>
              <w:left w:val="nil"/>
              <w:bottom w:val="nil"/>
              <w:right w:val="nil"/>
            </w:tcBorders>
            <w:shd w:val="clear" w:color="auto" w:fill="auto"/>
            <w:vAlign w:val="center"/>
            <w:hideMark/>
          </w:tcPr>
          <w:p w14:paraId="6FE74B03" w14:textId="77777777" w:rsidR="00AF6702" w:rsidRPr="00702882" w:rsidRDefault="00AF6702" w:rsidP="00C7156B">
            <w:pPr>
              <w:jc w:val="right"/>
              <w:rPr>
                <w:rFonts w:eastAsia="맑은 고딕"/>
                <w:sz w:val="22"/>
                <w:szCs w:val="22"/>
              </w:rPr>
            </w:pPr>
            <w:r w:rsidRPr="00702882">
              <w:rPr>
                <w:rFonts w:eastAsia="맑은 고딕"/>
                <w:sz w:val="22"/>
                <w:szCs w:val="22"/>
              </w:rPr>
              <w:t>-11</w:t>
            </w:r>
          </w:p>
        </w:tc>
        <w:tc>
          <w:tcPr>
            <w:tcW w:w="1250" w:type="dxa"/>
            <w:tcBorders>
              <w:top w:val="nil"/>
              <w:left w:val="nil"/>
              <w:bottom w:val="nil"/>
              <w:right w:val="nil"/>
            </w:tcBorders>
            <w:shd w:val="clear" w:color="auto" w:fill="auto"/>
            <w:vAlign w:val="center"/>
            <w:hideMark/>
          </w:tcPr>
          <w:p w14:paraId="17359C6A" w14:textId="77777777" w:rsidR="00AF6702" w:rsidRPr="00702882" w:rsidRDefault="00AF6702" w:rsidP="00C7156B">
            <w:pPr>
              <w:jc w:val="right"/>
              <w:rPr>
                <w:rFonts w:eastAsia="맑은 고딕"/>
                <w:sz w:val="22"/>
                <w:szCs w:val="22"/>
              </w:rPr>
            </w:pPr>
            <w:r w:rsidRPr="00702882">
              <w:rPr>
                <w:rFonts w:eastAsia="맑은 고딕"/>
                <w:sz w:val="22"/>
                <w:szCs w:val="22"/>
              </w:rPr>
              <w:t>22</w:t>
            </w:r>
          </w:p>
        </w:tc>
      </w:tr>
      <w:tr w:rsidR="00522CEF" w:rsidRPr="00702882" w14:paraId="7838435C" w14:textId="77777777" w:rsidTr="00AE6820">
        <w:trPr>
          <w:trHeight w:val="283"/>
        </w:trPr>
        <w:tc>
          <w:tcPr>
            <w:tcW w:w="2540" w:type="dxa"/>
            <w:tcBorders>
              <w:top w:val="nil"/>
              <w:left w:val="nil"/>
              <w:bottom w:val="nil"/>
              <w:right w:val="nil"/>
            </w:tcBorders>
            <w:shd w:val="clear" w:color="auto" w:fill="auto"/>
            <w:vAlign w:val="center"/>
            <w:hideMark/>
          </w:tcPr>
          <w:p w14:paraId="6846008E" w14:textId="77777777" w:rsidR="00AF6702" w:rsidRPr="00702882" w:rsidRDefault="00AF6702" w:rsidP="00C7156B">
            <w:pPr>
              <w:rPr>
                <w:rFonts w:eastAsia="맑은 고딕"/>
                <w:sz w:val="22"/>
                <w:szCs w:val="22"/>
              </w:rPr>
            </w:pPr>
            <w:r w:rsidRPr="00702882">
              <w:rPr>
                <w:rFonts w:eastAsia="맑은 고딕"/>
                <w:sz w:val="22"/>
                <w:szCs w:val="22"/>
              </w:rPr>
              <w:t>Income (million)</w:t>
            </w:r>
          </w:p>
        </w:tc>
        <w:tc>
          <w:tcPr>
            <w:tcW w:w="1249" w:type="dxa"/>
            <w:tcBorders>
              <w:top w:val="nil"/>
              <w:left w:val="nil"/>
              <w:bottom w:val="nil"/>
              <w:right w:val="nil"/>
            </w:tcBorders>
            <w:shd w:val="clear" w:color="auto" w:fill="auto"/>
            <w:vAlign w:val="center"/>
            <w:hideMark/>
          </w:tcPr>
          <w:p w14:paraId="60903DE5"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18A37321" w14:textId="77777777" w:rsidR="00AF6702" w:rsidRPr="00702882" w:rsidRDefault="00AF6702" w:rsidP="00C7156B">
            <w:pPr>
              <w:jc w:val="right"/>
              <w:rPr>
                <w:rFonts w:eastAsia="맑은 고딕"/>
                <w:sz w:val="22"/>
                <w:szCs w:val="22"/>
              </w:rPr>
            </w:pPr>
            <w:r w:rsidRPr="00702882">
              <w:rPr>
                <w:rFonts w:eastAsia="맑은 고딕"/>
                <w:sz w:val="22"/>
                <w:szCs w:val="22"/>
              </w:rPr>
              <w:t>0.043</w:t>
            </w:r>
          </w:p>
        </w:tc>
        <w:tc>
          <w:tcPr>
            <w:tcW w:w="1250" w:type="dxa"/>
            <w:tcBorders>
              <w:top w:val="nil"/>
              <w:left w:val="nil"/>
              <w:bottom w:val="nil"/>
              <w:right w:val="nil"/>
            </w:tcBorders>
            <w:shd w:val="clear" w:color="auto" w:fill="auto"/>
            <w:vAlign w:val="center"/>
            <w:hideMark/>
          </w:tcPr>
          <w:p w14:paraId="518472E8" w14:textId="77777777" w:rsidR="00AF6702" w:rsidRPr="00702882" w:rsidRDefault="00AF6702" w:rsidP="00C7156B">
            <w:pPr>
              <w:jc w:val="right"/>
              <w:rPr>
                <w:rFonts w:eastAsia="맑은 고딕"/>
                <w:sz w:val="22"/>
                <w:szCs w:val="22"/>
              </w:rPr>
            </w:pPr>
            <w:r w:rsidRPr="00702882">
              <w:rPr>
                <w:rFonts w:eastAsia="맑은 고딕"/>
                <w:sz w:val="22"/>
                <w:szCs w:val="22"/>
              </w:rPr>
              <w:t>0.0099</w:t>
            </w:r>
          </w:p>
        </w:tc>
        <w:tc>
          <w:tcPr>
            <w:tcW w:w="1250" w:type="dxa"/>
            <w:tcBorders>
              <w:top w:val="nil"/>
              <w:left w:val="nil"/>
              <w:bottom w:val="nil"/>
              <w:right w:val="nil"/>
            </w:tcBorders>
            <w:shd w:val="clear" w:color="auto" w:fill="auto"/>
            <w:vAlign w:val="center"/>
            <w:hideMark/>
          </w:tcPr>
          <w:p w14:paraId="613917C7" w14:textId="77777777" w:rsidR="00AF6702" w:rsidRPr="00702882" w:rsidRDefault="00AF6702" w:rsidP="00C7156B">
            <w:pPr>
              <w:jc w:val="right"/>
              <w:rPr>
                <w:rFonts w:eastAsia="맑은 고딕"/>
                <w:sz w:val="22"/>
                <w:szCs w:val="22"/>
              </w:rPr>
            </w:pPr>
            <w:r w:rsidRPr="00702882">
              <w:rPr>
                <w:rFonts w:eastAsia="맑은 고딕"/>
                <w:sz w:val="22"/>
                <w:szCs w:val="22"/>
              </w:rPr>
              <w:t>0.023</w:t>
            </w:r>
          </w:p>
        </w:tc>
        <w:tc>
          <w:tcPr>
            <w:tcW w:w="1250" w:type="dxa"/>
            <w:tcBorders>
              <w:top w:val="nil"/>
              <w:left w:val="nil"/>
              <w:bottom w:val="nil"/>
              <w:right w:val="nil"/>
            </w:tcBorders>
            <w:shd w:val="clear" w:color="auto" w:fill="auto"/>
            <w:vAlign w:val="center"/>
            <w:hideMark/>
          </w:tcPr>
          <w:p w14:paraId="665223E7" w14:textId="77777777" w:rsidR="00AF6702" w:rsidRPr="00702882" w:rsidRDefault="00AF6702" w:rsidP="00C7156B">
            <w:pPr>
              <w:jc w:val="right"/>
              <w:rPr>
                <w:rFonts w:eastAsia="맑은 고딕"/>
                <w:sz w:val="22"/>
                <w:szCs w:val="22"/>
              </w:rPr>
            </w:pPr>
            <w:r w:rsidRPr="00702882">
              <w:rPr>
                <w:rFonts w:eastAsia="맑은 고딕"/>
                <w:sz w:val="22"/>
                <w:szCs w:val="22"/>
              </w:rPr>
              <w:t>0.079</w:t>
            </w:r>
          </w:p>
        </w:tc>
      </w:tr>
      <w:tr w:rsidR="00522CEF" w:rsidRPr="00702882" w14:paraId="6A36E614" w14:textId="77777777" w:rsidTr="00AE6820">
        <w:trPr>
          <w:trHeight w:val="283"/>
        </w:trPr>
        <w:tc>
          <w:tcPr>
            <w:tcW w:w="2540" w:type="dxa"/>
            <w:tcBorders>
              <w:top w:val="nil"/>
              <w:left w:val="nil"/>
              <w:bottom w:val="nil"/>
              <w:right w:val="nil"/>
            </w:tcBorders>
            <w:shd w:val="clear" w:color="auto" w:fill="auto"/>
            <w:vAlign w:val="center"/>
            <w:hideMark/>
          </w:tcPr>
          <w:p w14:paraId="217D1696" w14:textId="77777777" w:rsidR="00AF6702" w:rsidRPr="00702882" w:rsidRDefault="00AF6702" w:rsidP="00C7156B">
            <w:pPr>
              <w:rPr>
                <w:rFonts w:eastAsia="맑은 고딕"/>
                <w:sz w:val="22"/>
                <w:szCs w:val="22"/>
              </w:rPr>
            </w:pPr>
            <w:r w:rsidRPr="00702882">
              <w:rPr>
                <w:rFonts w:eastAsia="맑은 고딕"/>
                <w:sz w:val="22"/>
                <w:szCs w:val="22"/>
              </w:rPr>
              <w:t>Population (million)</w:t>
            </w:r>
          </w:p>
        </w:tc>
        <w:tc>
          <w:tcPr>
            <w:tcW w:w="1249" w:type="dxa"/>
            <w:tcBorders>
              <w:top w:val="nil"/>
              <w:left w:val="nil"/>
              <w:bottom w:val="nil"/>
              <w:right w:val="nil"/>
            </w:tcBorders>
            <w:shd w:val="clear" w:color="auto" w:fill="auto"/>
            <w:vAlign w:val="center"/>
            <w:hideMark/>
          </w:tcPr>
          <w:p w14:paraId="56D83D33"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40B0BD05" w14:textId="77777777" w:rsidR="00AF6702" w:rsidRPr="00702882" w:rsidRDefault="00AF6702" w:rsidP="00C7156B">
            <w:pPr>
              <w:jc w:val="right"/>
              <w:rPr>
                <w:rFonts w:eastAsia="맑은 고딕"/>
                <w:sz w:val="22"/>
                <w:szCs w:val="22"/>
              </w:rPr>
            </w:pPr>
            <w:r w:rsidRPr="00702882">
              <w:rPr>
                <w:rFonts w:eastAsia="맑은 고딕"/>
                <w:sz w:val="22"/>
                <w:szCs w:val="22"/>
              </w:rPr>
              <w:t>6.8</w:t>
            </w:r>
          </w:p>
        </w:tc>
        <w:tc>
          <w:tcPr>
            <w:tcW w:w="1250" w:type="dxa"/>
            <w:tcBorders>
              <w:top w:val="nil"/>
              <w:left w:val="nil"/>
              <w:bottom w:val="nil"/>
              <w:right w:val="nil"/>
            </w:tcBorders>
            <w:shd w:val="clear" w:color="auto" w:fill="auto"/>
            <w:vAlign w:val="center"/>
            <w:hideMark/>
          </w:tcPr>
          <w:p w14:paraId="57504D72" w14:textId="77777777" w:rsidR="00AF6702" w:rsidRPr="00702882" w:rsidRDefault="00AF6702" w:rsidP="00C7156B">
            <w:pPr>
              <w:jc w:val="right"/>
              <w:rPr>
                <w:rFonts w:eastAsia="맑은 고딕"/>
                <w:sz w:val="22"/>
                <w:szCs w:val="22"/>
              </w:rPr>
            </w:pPr>
            <w:r w:rsidRPr="00702882">
              <w:rPr>
                <w:rFonts w:eastAsia="맑은 고딕"/>
                <w:sz w:val="22"/>
                <w:szCs w:val="22"/>
              </w:rPr>
              <w:t>7.2</w:t>
            </w:r>
          </w:p>
        </w:tc>
        <w:tc>
          <w:tcPr>
            <w:tcW w:w="1250" w:type="dxa"/>
            <w:tcBorders>
              <w:top w:val="nil"/>
              <w:left w:val="nil"/>
              <w:bottom w:val="nil"/>
              <w:right w:val="nil"/>
            </w:tcBorders>
            <w:shd w:val="clear" w:color="auto" w:fill="auto"/>
            <w:vAlign w:val="center"/>
            <w:hideMark/>
          </w:tcPr>
          <w:p w14:paraId="3EB7E615" w14:textId="77777777" w:rsidR="00AF6702" w:rsidRPr="00702882" w:rsidRDefault="00AF6702" w:rsidP="00C7156B">
            <w:pPr>
              <w:jc w:val="right"/>
              <w:rPr>
                <w:rFonts w:eastAsia="맑은 고딕"/>
                <w:sz w:val="22"/>
                <w:szCs w:val="22"/>
              </w:rPr>
            </w:pPr>
            <w:r w:rsidRPr="00702882">
              <w:rPr>
                <w:rFonts w:eastAsia="맑은 고딕"/>
                <w:sz w:val="22"/>
                <w:szCs w:val="22"/>
              </w:rPr>
              <w:t>0.62</w:t>
            </w:r>
          </w:p>
        </w:tc>
        <w:tc>
          <w:tcPr>
            <w:tcW w:w="1250" w:type="dxa"/>
            <w:tcBorders>
              <w:top w:val="nil"/>
              <w:left w:val="nil"/>
              <w:bottom w:val="nil"/>
              <w:right w:val="nil"/>
            </w:tcBorders>
            <w:shd w:val="clear" w:color="auto" w:fill="auto"/>
            <w:vAlign w:val="center"/>
            <w:hideMark/>
          </w:tcPr>
          <w:p w14:paraId="30027B09" w14:textId="77777777" w:rsidR="00AF6702" w:rsidRPr="00702882" w:rsidRDefault="00AF6702" w:rsidP="00C7156B">
            <w:pPr>
              <w:jc w:val="right"/>
              <w:rPr>
                <w:rFonts w:eastAsia="맑은 고딕"/>
                <w:sz w:val="22"/>
                <w:szCs w:val="22"/>
              </w:rPr>
            </w:pPr>
            <w:r w:rsidRPr="00702882">
              <w:rPr>
                <w:rFonts w:eastAsia="맑은 고딕"/>
                <w:sz w:val="22"/>
                <w:szCs w:val="22"/>
              </w:rPr>
              <w:t>39</w:t>
            </w:r>
          </w:p>
        </w:tc>
      </w:tr>
      <w:tr w:rsidR="00522CEF" w:rsidRPr="00702882" w14:paraId="14762AA1" w14:textId="77777777" w:rsidTr="00AE6820">
        <w:trPr>
          <w:trHeight w:val="283"/>
        </w:trPr>
        <w:tc>
          <w:tcPr>
            <w:tcW w:w="2540" w:type="dxa"/>
            <w:tcBorders>
              <w:top w:val="nil"/>
              <w:left w:val="nil"/>
              <w:bottom w:val="nil"/>
              <w:right w:val="nil"/>
            </w:tcBorders>
            <w:shd w:val="clear" w:color="auto" w:fill="auto"/>
            <w:vAlign w:val="center"/>
            <w:hideMark/>
          </w:tcPr>
          <w:p w14:paraId="572576FD" w14:textId="77777777" w:rsidR="00AF6702" w:rsidRPr="00702882" w:rsidRDefault="00AF6702" w:rsidP="00C7156B">
            <w:pPr>
              <w:rPr>
                <w:rFonts w:eastAsia="맑은 고딕"/>
                <w:sz w:val="22"/>
                <w:szCs w:val="22"/>
              </w:rPr>
            </w:pPr>
            <w:r w:rsidRPr="00702882">
              <w:rPr>
                <w:rFonts w:eastAsia="맑은 고딕"/>
                <w:sz w:val="22"/>
                <w:szCs w:val="22"/>
              </w:rPr>
              <w:t>Election</w:t>
            </w:r>
          </w:p>
        </w:tc>
        <w:tc>
          <w:tcPr>
            <w:tcW w:w="1249" w:type="dxa"/>
            <w:tcBorders>
              <w:top w:val="nil"/>
              <w:left w:val="nil"/>
              <w:bottom w:val="nil"/>
              <w:right w:val="nil"/>
            </w:tcBorders>
            <w:shd w:val="clear" w:color="auto" w:fill="auto"/>
            <w:vAlign w:val="center"/>
            <w:hideMark/>
          </w:tcPr>
          <w:p w14:paraId="5352AD10"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25C620E5" w14:textId="77777777" w:rsidR="00AF6702" w:rsidRPr="00702882" w:rsidRDefault="00AF6702" w:rsidP="00C7156B">
            <w:pPr>
              <w:jc w:val="right"/>
              <w:rPr>
                <w:rFonts w:eastAsia="맑은 고딕"/>
                <w:sz w:val="22"/>
                <w:szCs w:val="22"/>
              </w:rPr>
            </w:pPr>
            <w:r w:rsidRPr="00702882">
              <w:rPr>
                <w:rFonts w:eastAsia="맑은 고딕"/>
                <w:sz w:val="22"/>
                <w:szCs w:val="22"/>
              </w:rPr>
              <w:t>0.27</w:t>
            </w:r>
          </w:p>
        </w:tc>
        <w:tc>
          <w:tcPr>
            <w:tcW w:w="1250" w:type="dxa"/>
            <w:tcBorders>
              <w:top w:val="nil"/>
              <w:left w:val="nil"/>
              <w:bottom w:val="nil"/>
              <w:right w:val="nil"/>
            </w:tcBorders>
            <w:shd w:val="clear" w:color="auto" w:fill="auto"/>
            <w:vAlign w:val="center"/>
            <w:hideMark/>
          </w:tcPr>
          <w:p w14:paraId="3CE8C21D" w14:textId="77777777" w:rsidR="00AF6702" w:rsidRPr="00702882" w:rsidRDefault="00AF6702" w:rsidP="00C7156B">
            <w:pPr>
              <w:jc w:val="right"/>
              <w:rPr>
                <w:rFonts w:eastAsia="맑은 고딕"/>
                <w:sz w:val="22"/>
                <w:szCs w:val="22"/>
              </w:rPr>
            </w:pPr>
            <w:r w:rsidRPr="00702882">
              <w:rPr>
                <w:rFonts w:eastAsia="맑은 고딕"/>
                <w:sz w:val="22"/>
                <w:szCs w:val="22"/>
              </w:rPr>
              <w:t>0.44</w:t>
            </w:r>
          </w:p>
        </w:tc>
        <w:tc>
          <w:tcPr>
            <w:tcW w:w="1250" w:type="dxa"/>
            <w:tcBorders>
              <w:top w:val="nil"/>
              <w:left w:val="nil"/>
              <w:bottom w:val="nil"/>
              <w:right w:val="nil"/>
            </w:tcBorders>
            <w:shd w:val="clear" w:color="auto" w:fill="auto"/>
            <w:vAlign w:val="center"/>
            <w:hideMark/>
          </w:tcPr>
          <w:p w14:paraId="486BB2F8"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66BDA52A"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5CB8C963" w14:textId="77777777" w:rsidTr="00AE6820">
        <w:trPr>
          <w:trHeight w:val="283"/>
        </w:trPr>
        <w:tc>
          <w:tcPr>
            <w:tcW w:w="2540" w:type="dxa"/>
            <w:tcBorders>
              <w:top w:val="nil"/>
              <w:left w:val="nil"/>
              <w:bottom w:val="nil"/>
              <w:right w:val="nil"/>
            </w:tcBorders>
            <w:shd w:val="clear" w:color="auto" w:fill="auto"/>
            <w:vAlign w:val="center"/>
            <w:hideMark/>
          </w:tcPr>
          <w:p w14:paraId="144E2B52" w14:textId="77777777" w:rsidR="00AF6702" w:rsidRPr="00702882" w:rsidRDefault="00AF6702" w:rsidP="00C7156B">
            <w:pPr>
              <w:rPr>
                <w:rFonts w:eastAsia="맑은 고딕"/>
                <w:sz w:val="22"/>
                <w:szCs w:val="22"/>
              </w:rPr>
            </w:pPr>
            <w:r w:rsidRPr="00702882">
              <w:rPr>
                <w:rFonts w:eastAsia="맑은 고딕"/>
                <w:sz w:val="22"/>
                <w:szCs w:val="22"/>
              </w:rPr>
              <w:t>Democrat share</w:t>
            </w:r>
          </w:p>
        </w:tc>
        <w:tc>
          <w:tcPr>
            <w:tcW w:w="1249" w:type="dxa"/>
            <w:tcBorders>
              <w:top w:val="nil"/>
              <w:left w:val="nil"/>
              <w:bottom w:val="nil"/>
              <w:right w:val="nil"/>
            </w:tcBorders>
            <w:shd w:val="clear" w:color="auto" w:fill="auto"/>
            <w:vAlign w:val="center"/>
            <w:hideMark/>
          </w:tcPr>
          <w:p w14:paraId="15E0B18C"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680809A5" w14:textId="77777777" w:rsidR="00AF6702" w:rsidRPr="00702882" w:rsidRDefault="00AF6702" w:rsidP="00C7156B">
            <w:pPr>
              <w:jc w:val="right"/>
              <w:rPr>
                <w:rFonts w:eastAsia="맑은 고딕"/>
                <w:sz w:val="22"/>
                <w:szCs w:val="22"/>
              </w:rPr>
            </w:pPr>
            <w:r w:rsidRPr="00702882">
              <w:rPr>
                <w:rFonts w:eastAsia="맑은 고딕"/>
                <w:sz w:val="22"/>
                <w:szCs w:val="22"/>
              </w:rPr>
              <w:t>0.49</w:t>
            </w:r>
          </w:p>
        </w:tc>
        <w:tc>
          <w:tcPr>
            <w:tcW w:w="1250" w:type="dxa"/>
            <w:tcBorders>
              <w:top w:val="nil"/>
              <w:left w:val="nil"/>
              <w:bottom w:val="nil"/>
              <w:right w:val="nil"/>
            </w:tcBorders>
            <w:shd w:val="clear" w:color="auto" w:fill="auto"/>
            <w:vAlign w:val="center"/>
            <w:hideMark/>
          </w:tcPr>
          <w:p w14:paraId="1766EB37" w14:textId="77777777" w:rsidR="00AF6702" w:rsidRPr="00702882" w:rsidRDefault="00AF6702" w:rsidP="00C7156B">
            <w:pPr>
              <w:jc w:val="right"/>
              <w:rPr>
                <w:rFonts w:eastAsia="맑은 고딕"/>
                <w:sz w:val="22"/>
                <w:szCs w:val="22"/>
              </w:rPr>
            </w:pPr>
            <w:r w:rsidRPr="00702882">
              <w:rPr>
                <w:rFonts w:eastAsia="맑은 고딕"/>
                <w:sz w:val="22"/>
                <w:szCs w:val="22"/>
              </w:rPr>
              <w:t>0.17</w:t>
            </w:r>
          </w:p>
        </w:tc>
        <w:tc>
          <w:tcPr>
            <w:tcW w:w="1250" w:type="dxa"/>
            <w:tcBorders>
              <w:top w:val="nil"/>
              <w:left w:val="nil"/>
              <w:bottom w:val="nil"/>
              <w:right w:val="nil"/>
            </w:tcBorders>
            <w:shd w:val="clear" w:color="auto" w:fill="auto"/>
            <w:vAlign w:val="center"/>
            <w:hideMark/>
          </w:tcPr>
          <w:p w14:paraId="625A6283" w14:textId="77777777" w:rsidR="00AF6702" w:rsidRPr="00702882" w:rsidRDefault="00AF6702" w:rsidP="00C7156B">
            <w:pPr>
              <w:jc w:val="right"/>
              <w:rPr>
                <w:rFonts w:eastAsia="맑은 고딕"/>
                <w:sz w:val="22"/>
                <w:szCs w:val="22"/>
              </w:rPr>
            </w:pPr>
            <w:r w:rsidRPr="00702882">
              <w:rPr>
                <w:rFonts w:eastAsia="맑은 고딕"/>
                <w:sz w:val="22"/>
                <w:szCs w:val="22"/>
              </w:rPr>
              <w:t>0.11</w:t>
            </w:r>
          </w:p>
        </w:tc>
        <w:tc>
          <w:tcPr>
            <w:tcW w:w="1250" w:type="dxa"/>
            <w:tcBorders>
              <w:top w:val="nil"/>
              <w:left w:val="nil"/>
              <w:bottom w:val="nil"/>
              <w:right w:val="nil"/>
            </w:tcBorders>
            <w:shd w:val="clear" w:color="auto" w:fill="auto"/>
            <w:vAlign w:val="center"/>
            <w:hideMark/>
          </w:tcPr>
          <w:p w14:paraId="40822B02" w14:textId="77777777" w:rsidR="00AF6702" w:rsidRPr="00702882" w:rsidRDefault="00AF6702" w:rsidP="00C7156B">
            <w:pPr>
              <w:jc w:val="right"/>
              <w:rPr>
                <w:rFonts w:eastAsia="맑은 고딕"/>
                <w:sz w:val="22"/>
                <w:szCs w:val="22"/>
              </w:rPr>
            </w:pPr>
            <w:r w:rsidRPr="00702882">
              <w:rPr>
                <w:rFonts w:eastAsia="맑은 고딕"/>
                <w:sz w:val="22"/>
                <w:szCs w:val="22"/>
              </w:rPr>
              <w:t>0.93</w:t>
            </w:r>
          </w:p>
        </w:tc>
      </w:tr>
      <w:tr w:rsidR="00522CEF" w:rsidRPr="00702882" w14:paraId="6FAF9460" w14:textId="77777777" w:rsidTr="00AE6820">
        <w:trPr>
          <w:trHeight w:val="283"/>
        </w:trPr>
        <w:tc>
          <w:tcPr>
            <w:tcW w:w="2540" w:type="dxa"/>
            <w:tcBorders>
              <w:top w:val="nil"/>
              <w:left w:val="nil"/>
              <w:bottom w:val="nil"/>
              <w:right w:val="nil"/>
            </w:tcBorders>
            <w:shd w:val="clear" w:color="auto" w:fill="auto"/>
            <w:vAlign w:val="center"/>
            <w:hideMark/>
          </w:tcPr>
          <w:p w14:paraId="3812B6C1" w14:textId="77777777" w:rsidR="00AF6702" w:rsidRPr="00702882" w:rsidRDefault="00AF6702" w:rsidP="00C7156B">
            <w:pPr>
              <w:rPr>
                <w:rFonts w:eastAsia="맑은 고딕"/>
                <w:sz w:val="22"/>
                <w:szCs w:val="22"/>
              </w:rPr>
            </w:pPr>
            <w:r w:rsidRPr="00702882">
              <w:rPr>
                <w:rFonts w:eastAsia="맑은 고딕"/>
                <w:sz w:val="22"/>
                <w:szCs w:val="22"/>
              </w:rPr>
              <w:t>Division</w:t>
            </w:r>
          </w:p>
        </w:tc>
        <w:tc>
          <w:tcPr>
            <w:tcW w:w="1249" w:type="dxa"/>
            <w:tcBorders>
              <w:top w:val="nil"/>
              <w:left w:val="nil"/>
              <w:bottom w:val="nil"/>
              <w:right w:val="nil"/>
            </w:tcBorders>
            <w:shd w:val="clear" w:color="auto" w:fill="auto"/>
            <w:vAlign w:val="center"/>
            <w:hideMark/>
          </w:tcPr>
          <w:p w14:paraId="40F9D125"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nil"/>
              <w:right w:val="nil"/>
            </w:tcBorders>
            <w:shd w:val="clear" w:color="auto" w:fill="auto"/>
            <w:vAlign w:val="center"/>
            <w:hideMark/>
          </w:tcPr>
          <w:p w14:paraId="4AD959C6" w14:textId="77777777" w:rsidR="00AF6702" w:rsidRPr="00702882" w:rsidRDefault="00AF6702" w:rsidP="00C7156B">
            <w:pPr>
              <w:jc w:val="right"/>
              <w:rPr>
                <w:rFonts w:eastAsia="맑은 고딕"/>
                <w:sz w:val="22"/>
                <w:szCs w:val="22"/>
              </w:rPr>
            </w:pPr>
            <w:r w:rsidRPr="00702882">
              <w:rPr>
                <w:rFonts w:eastAsia="맑은 고딕"/>
                <w:sz w:val="22"/>
                <w:szCs w:val="22"/>
              </w:rPr>
              <w:t>0.33</w:t>
            </w:r>
          </w:p>
        </w:tc>
        <w:tc>
          <w:tcPr>
            <w:tcW w:w="1250" w:type="dxa"/>
            <w:tcBorders>
              <w:top w:val="nil"/>
              <w:left w:val="nil"/>
              <w:bottom w:val="nil"/>
              <w:right w:val="nil"/>
            </w:tcBorders>
            <w:shd w:val="clear" w:color="auto" w:fill="auto"/>
            <w:vAlign w:val="center"/>
            <w:hideMark/>
          </w:tcPr>
          <w:p w14:paraId="0F55D8E6" w14:textId="77777777" w:rsidR="00AF6702" w:rsidRPr="00702882" w:rsidRDefault="00AF6702" w:rsidP="00C7156B">
            <w:pPr>
              <w:jc w:val="right"/>
              <w:rPr>
                <w:rFonts w:eastAsia="맑은 고딕"/>
                <w:sz w:val="22"/>
                <w:szCs w:val="22"/>
              </w:rPr>
            </w:pPr>
            <w:r w:rsidRPr="00702882">
              <w:rPr>
                <w:rFonts w:eastAsia="맑은 고딕"/>
                <w:sz w:val="22"/>
                <w:szCs w:val="22"/>
              </w:rPr>
              <w:t>0.47</w:t>
            </w:r>
          </w:p>
        </w:tc>
        <w:tc>
          <w:tcPr>
            <w:tcW w:w="1250" w:type="dxa"/>
            <w:tcBorders>
              <w:top w:val="nil"/>
              <w:left w:val="nil"/>
              <w:bottom w:val="nil"/>
              <w:right w:val="nil"/>
            </w:tcBorders>
            <w:shd w:val="clear" w:color="auto" w:fill="auto"/>
            <w:vAlign w:val="center"/>
            <w:hideMark/>
          </w:tcPr>
          <w:p w14:paraId="6B6EAC78"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nil"/>
              <w:right w:val="nil"/>
            </w:tcBorders>
            <w:shd w:val="clear" w:color="auto" w:fill="auto"/>
            <w:vAlign w:val="center"/>
            <w:hideMark/>
          </w:tcPr>
          <w:p w14:paraId="0FDB6B49"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r w:rsidR="00522CEF" w:rsidRPr="00702882" w14:paraId="1A43D94D" w14:textId="77777777" w:rsidTr="00AE6820">
        <w:trPr>
          <w:trHeight w:val="283"/>
        </w:trPr>
        <w:tc>
          <w:tcPr>
            <w:tcW w:w="2540" w:type="dxa"/>
            <w:tcBorders>
              <w:top w:val="nil"/>
              <w:left w:val="nil"/>
              <w:right w:val="nil"/>
            </w:tcBorders>
            <w:shd w:val="clear" w:color="auto" w:fill="auto"/>
            <w:vAlign w:val="center"/>
            <w:hideMark/>
          </w:tcPr>
          <w:p w14:paraId="3DDC244E" w14:textId="77777777" w:rsidR="00AF6702" w:rsidRPr="00702882" w:rsidRDefault="00AF6702" w:rsidP="00C7156B">
            <w:pPr>
              <w:rPr>
                <w:rFonts w:eastAsia="맑은 고딕"/>
                <w:sz w:val="22"/>
                <w:szCs w:val="22"/>
              </w:rPr>
            </w:pPr>
            <w:r w:rsidRPr="00702882">
              <w:rPr>
                <w:rFonts w:eastAsia="맑은 고딕"/>
                <w:sz w:val="22"/>
                <w:szCs w:val="22"/>
              </w:rPr>
              <w:t>TEL</w:t>
            </w:r>
          </w:p>
        </w:tc>
        <w:tc>
          <w:tcPr>
            <w:tcW w:w="1249" w:type="dxa"/>
            <w:tcBorders>
              <w:top w:val="nil"/>
              <w:left w:val="nil"/>
              <w:right w:val="nil"/>
            </w:tcBorders>
            <w:shd w:val="clear" w:color="auto" w:fill="auto"/>
            <w:vAlign w:val="center"/>
            <w:hideMark/>
          </w:tcPr>
          <w:p w14:paraId="4169A0DF"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right w:val="nil"/>
            </w:tcBorders>
            <w:shd w:val="clear" w:color="auto" w:fill="auto"/>
            <w:vAlign w:val="center"/>
            <w:hideMark/>
          </w:tcPr>
          <w:p w14:paraId="0C4D715E" w14:textId="77777777" w:rsidR="00AF6702" w:rsidRPr="00702882" w:rsidRDefault="00AF6702" w:rsidP="00C7156B">
            <w:pPr>
              <w:jc w:val="right"/>
              <w:rPr>
                <w:rFonts w:eastAsia="맑은 고딕"/>
                <w:sz w:val="22"/>
                <w:szCs w:val="22"/>
              </w:rPr>
            </w:pPr>
            <w:r w:rsidRPr="00702882">
              <w:rPr>
                <w:rFonts w:eastAsia="맑은 고딕"/>
                <w:sz w:val="22"/>
                <w:szCs w:val="22"/>
              </w:rPr>
              <w:t>9.4</w:t>
            </w:r>
          </w:p>
        </w:tc>
        <w:tc>
          <w:tcPr>
            <w:tcW w:w="1250" w:type="dxa"/>
            <w:tcBorders>
              <w:top w:val="nil"/>
              <w:left w:val="nil"/>
              <w:right w:val="nil"/>
            </w:tcBorders>
            <w:shd w:val="clear" w:color="auto" w:fill="auto"/>
            <w:vAlign w:val="center"/>
            <w:hideMark/>
          </w:tcPr>
          <w:p w14:paraId="1202DB46" w14:textId="77777777" w:rsidR="00AF6702" w:rsidRPr="00702882" w:rsidRDefault="00AF6702" w:rsidP="00C7156B">
            <w:pPr>
              <w:jc w:val="right"/>
              <w:rPr>
                <w:rFonts w:eastAsia="맑은 고딕"/>
                <w:sz w:val="22"/>
                <w:szCs w:val="22"/>
              </w:rPr>
            </w:pPr>
            <w:r w:rsidRPr="00702882">
              <w:rPr>
                <w:rFonts w:eastAsia="맑은 고딕"/>
                <w:sz w:val="22"/>
                <w:szCs w:val="22"/>
              </w:rPr>
              <w:t>8.4</w:t>
            </w:r>
          </w:p>
        </w:tc>
        <w:tc>
          <w:tcPr>
            <w:tcW w:w="1250" w:type="dxa"/>
            <w:tcBorders>
              <w:top w:val="nil"/>
              <w:left w:val="nil"/>
              <w:right w:val="nil"/>
            </w:tcBorders>
            <w:shd w:val="clear" w:color="auto" w:fill="auto"/>
            <w:vAlign w:val="center"/>
            <w:hideMark/>
          </w:tcPr>
          <w:p w14:paraId="12A2C1C8"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right w:val="nil"/>
            </w:tcBorders>
            <w:shd w:val="clear" w:color="auto" w:fill="auto"/>
            <w:vAlign w:val="center"/>
            <w:hideMark/>
          </w:tcPr>
          <w:p w14:paraId="08F0D5B9" w14:textId="77777777" w:rsidR="00AF6702" w:rsidRPr="00702882" w:rsidRDefault="00AF6702" w:rsidP="00C7156B">
            <w:pPr>
              <w:jc w:val="right"/>
              <w:rPr>
                <w:rFonts w:eastAsia="맑은 고딕"/>
                <w:sz w:val="22"/>
                <w:szCs w:val="22"/>
              </w:rPr>
            </w:pPr>
            <w:r w:rsidRPr="00702882">
              <w:rPr>
                <w:rFonts w:eastAsia="맑은 고딕"/>
                <w:sz w:val="22"/>
                <w:szCs w:val="22"/>
              </w:rPr>
              <w:t>28</w:t>
            </w:r>
          </w:p>
        </w:tc>
      </w:tr>
      <w:tr w:rsidR="00522CEF" w:rsidRPr="00702882" w14:paraId="3EF6C0D8" w14:textId="77777777" w:rsidTr="00AE6820">
        <w:trPr>
          <w:trHeight w:val="283"/>
        </w:trPr>
        <w:tc>
          <w:tcPr>
            <w:tcW w:w="2540" w:type="dxa"/>
            <w:tcBorders>
              <w:top w:val="nil"/>
              <w:left w:val="nil"/>
              <w:bottom w:val="single" w:sz="8" w:space="0" w:color="auto"/>
              <w:right w:val="nil"/>
            </w:tcBorders>
            <w:shd w:val="clear" w:color="auto" w:fill="auto"/>
            <w:vAlign w:val="center"/>
            <w:hideMark/>
          </w:tcPr>
          <w:p w14:paraId="37F41034" w14:textId="77777777" w:rsidR="00AF6702" w:rsidRPr="00702882" w:rsidRDefault="00AF6702" w:rsidP="00C7156B">
            <w:pPr>
              <w:rPr>
                <w:rFonts w:eastAsia="맑은 고딕"/>
                <w:sz w:val="22"/>
                <w:szCs w:val="22"/>
              </w:rPr>
            </w:pPr>
            <w:r w:rsidRPr="00702882">
              <w:rPr>
                <w:rFonts w:eastAsia="맑은 고딕"/>
                <w:sz w:val="22"/>
                <w:szCs w:val="22"/>
              </w:rPr>
              <w:t>BBR</w:t>
            </w:r>
          </w:p>
        </w:tc>
        <w:tc>
          <w:tcPr>
            <w:tcW w:w="1249" w:type="dxa"/>
            <w:tcBorders>
              <w:top w:val="nil"/>
              <w:left w:val="nil"/>
              <w:bottom w:val="single" w:sz="8" w:space="0" w:color="auto"/>
              <w:right w:val="nil"/>
            </w:tcBorders>
            <w:shd w:val="clear" w:color="auto" w:fill="auto"/>
            <w:vAlign w:val="center"/>
            <w:hideMark/>
          </w:tcPr>
          <w:p w14:paraId="291E5B55" w14:textId="77777777" w:rsidR="00AF6702" w:rsidRPr="00702882" w:rsidRDefault="00AF6702" w:rsidP="00C7156B">
            <w:pPr>
              <w:jc w:val="right"/>
              <w:rPr>
                <w:rFonts w:eastAsia="맑은 고딕"/>
                <w:sz w:val="22"/>
                <w:szCs w:val="22"/>
              </w:rPr>
            </w:pPr>
            <w:r w:rsidRPr="00702882">
              <w:rPr>
                <w:rFonts w:eastAsia="맑은 고딕"/>
                <w:sz w:val="22"/>
                <w:szCs w:val="22"/>
              </w:rPr>
              <w:t>817</w:t>
            </w:r>
          </w:p>
        </w:tc>
        <w:tc>
          <w:tcPr>
            <w:tcW w:w="1250" w:type="dxa"/>
            <w:tcBorders>
              <w:top w:val="nil"/>
              <w:left w:val="nil"/>
              <w:bottom w:val="single" w:sz="8" w:space="0" w:color="auto"/>
              <w:right w:val="nil"/>
            </w:tcBorders>
            <w:shd w:val="clear" w:color="auto" w:fill="auto"/>
            <w:vAlign w:val="center"/>
            <w:hideMark/>
          </w:tcPr>
          <w:p w14:paraId="0CA28773" w14:textId="77777777" w:rsidR="00AF6702" w:rsidRPr="00702882" w:rsidRDefault="00AF6702" w:rsidP="00C7156B">
            <w:pPr>
              <w:jc w:val="right"/>
              <w:rPr>
                <w:rFonts w:eastAsia="맑은 고딕"/>
                <w:sz w:val="22"/>
                <w:szCs w:val="22"/>
              </w:rPr>
            </w:pPr>
            <w:r w:rsidRPr="00702882">
              <w:rPr>
                <w:rFonts w:eastAsia="맑은 고딕"/>
                <w:sz w:val="22"/>
                <w:szCs w:val="22"/>
              </w:rPr>
              <w:t>0.76</w:t>
            </w:r>
          </w:p>
        </w:tc>
        <w:tc>
          <w:tcPr>
            <w:tcW w:w="1250" w:type="dxa"/>
            <w:tcBorders>
              <w:top w:val="nil"/>
              <w:left w:val="nil"/>
              <w:bottom w:val="single" w:sz="8" w:space="0" w:color="auto"/>
              <w:right w:val="nil"/>
            </w:tcBorders>
            <w:shd w:val="clear" w:color="auto" w:fill="auto"/>
            <w:vAlign w:val="center"/>
            <w:hideMark/>
          </w:tcPr>
          <w:p w14:paraId="523309C3" w14:textId="77777777" w:rsidR="00AF6702" w:rsidRPr="00702882" w:rsidRDefault="00AF6702" w:rsidP="00C7156B">
            <w:pPr>
              <w:jc w:val="right"/>
              <w:rPr>
                <w:rFonts w:eastAsia="맑은 고딕"/>
                <w:sz w:val="22"/>
                <w:szCs w:val="22"/>
              </w:rPr>
            </w:pPr>
            <w:r w:rsidRPr="00702882">
              <w:rPr>
                <w:rFonts w:eastAsia="맑은 고딕"/>
                <w:sz w:val="22"/>
                <w:szCs w:val="22"/>
              </w:rPr>
              <w:t>0.42</w:t>
            </w:r>
          </w:p>
        </w:tc>
        <w:tc>
          <w:tcPr>
            <w:tcW w:w="1250" w:type="dxa"/>
            <w:tcBorders>
              <w:top w:val="nil"/>
              <w:left w:val="nil"/>
              <w:bottom w:val="single" w:sz="8" w:space="0" w:color="auto"/>
              <w:right w:val="nil"/>
            </w:tcBorders>
            <w:shd w:val="clear" w:color="auto" w:fill="auto"/>
            <w:vAlign w:val="center"/>
            <w:hideMark/>
          </w:tcPr>
          <w:p w14:paraId="0B0A6685" w14:textId="77777777" w:rsidR="00AF6702" w:rsidRPr="00702882" w:rsidRDefault="00AF6702" w:rsidP="00C7156B">
            <w:pPr>
              <w:jc w:val="right"/>
              <w:rPr>
                <w:rFonts w:eastAsia="맑은 고딕"/>
                <w:sz w:val="22"/>
                <w:szCs w:val="22"/>
              </w:rPr>
            </w:pPr>
            <w:r w:rsidRPr="00702882">
              <w:rPr>
                <w:rFonts w:eastAsia="맑은 고딕"/>
                <w:sz w:val="22"/>
                <w:szCs w:val="22"/>
              </w:rPr>
              <w:t>0</w:t>
            </w:r>
          </w:p>
        </w:tc>
        <w:tc>
          <w:tcPr>
            <w:tcW w:w="1250" w:type="dxa"/>
            <w:tcBorders>
              <w:top w:val="nil"/>
              <w:left w:val="nil"/>
              <w:bottom w:val="single" w:sz="8" w:space="0" w:color="auto"/>
              <w:right w:val="nil"/>
            </w:tcBorders>
            <w:shd w:val="clear" w:color="auto" w:fill="auto"/>
            <w:vAlign w:val="center"/>
            <w:hideMark/>
          </w:tcPr>
          <w:p w14:paraId="290BA647" w14:textId="77777777" w:rsidR="00AF6702" w:rsidRPr="00702882" w:rsidRDefault="00AF6702" w:rsidP="00C7156B">
            <w:pPr>
              <w:jc w:val="right"/>
              <w:rPr>
                <w:rFonts w:eastAsia="맑은 고딕"/>
                <w:sz w:val="22"/>
                <w:szCs w:val="22"/>
              </w:rPr>
            </w:pPr>
            <w:r w:rsidRPr="00702882">
              <w:rPr>
                <w:rFonts w:eastAsia="맑은 고딕"/>
                <w:sz w:val="22"/>
                <w:szCs w:val="22"/>
              </w:rPr>
              <w:t>1</w:t>
            </w:r>
          </w:p>
        </w:tc>
      </w:tr>
    </w:tbl>
    <w:p w14:paraId="1B50EA26" w14:textId="77777777" w:rsidR="00AF6702" w:rsidRPr="00702882" w:rsidRDefault="00AF6702" w:rsidP="00C66AC4">
      <w:pPr>
        <w:spacing w:before="240" w:line="480" w:lineRule="auto"/>
        <w:rPr>
          <w:sz w:val="20"/>
          <w:szCs w:val="20"/>
        </w:rPr>
      </w:pPr>
      <w:r w:rsidRPr="00702882">
        <w:rPr>
          <w:sz w:val="20"/>
          <w:szCs w:val="20"/>
        </w:rPr>
        <w:t>Note: Alaska, Alabama, Colorado, Kansas, Montana, Oregon, and Wyoming, are excluded from the Dataset.</w:t>
      </w:r>
    </w:p>
    <w:p w14:paraId="0A3378D1" w14:textId="77777777" w:rsidR="00AF6702" w:rsidRPr="00702882" w:rsidRDefault="00AF6702" w:rsidP="00C66AC4">
      <w:pPr>
        <w:spacing w:line="480" w:lineRule="auto"/>
        <w:jc w:val="center"/>
        <w:rPr>
          <w:rFonts w:eastAsiaTheme="minorEastAsia"/>
          <w:b/>
          <w:bCs/>
        </w:rPr>
      </w:pPr>
    </w:p>
    <w:p w14:paraId="73AEA890" w14:textId="77777777" w:rsidR="00AF6702" w:rsidRPr="00702882" w:rsidRDefault="00AF6702" w:rsidP="00C66AC4">
      <w:pPr>
        <w:spacing w:line="480" w:lineRule="auto"/>
        <w:jc w:val="center"/>
        <w:rPr>
          <w:rFonts w:eastAsiaTheme="minorEastAsia"/>
          <w:b/>
          <w:bCs/>
          <w:color w:val="7030A0"/>
        </w:rPr>
      </w:pPr>
    </w:p>
    <w:p w14:paraId="0E8596D3" w14:textId="77777777" w:rsidR="00AF6702" w:rsidRPr="00702882" w:rsidRDefault="00AF6702" w:rsidP="00C66AC4">
      <w:pPr>
        <w:spacing w:line="480" w:lineRule="auto"/>
        <w:jc w:val="center"/>
        <w:rPr>
          <w:rFonts w:eastAsiaTheme="minorEastAsia"/>
          <w:b/>
          <w:bCs/>
          <w:color w:val="7030A0"/>
        </w:rPr>
      </w:pPr>
    </w:p>
    <w:p w14:paraId="35F7CF88" w14:textId="77777777" w:rsidR="00AF6702" w:rsidRPr="00702882" w:rsidRDefault="00AF6702" w:rsidP="00C66AC4">
      <w:pPr>
        <w:spacing w:line="480" w:lineRule="auto"/>
        <w:jc w:val="center"/>
        <w:rPr>
          <w:rFonts w:eastAsiaTheme="minorEastAsia"/>
          <w:b/>
          <w:bCs/>
          <w:color w:val="7030A0"/>
        </w:rPr>
      </w:pPr>
    </w:p>
    <w:p w14:paraId="61EC7A6F" w14:textId="77777777" w:rsidR="00AF6702" w:rsidRPr="00702882" w:rsidRDefault="00AF6702" w:rsidP="00C66AC4">
      <w:pPr>
        <w:spacing w:line="480" w:lineRule="auto"/>
        <w:rPr>
          <w:rFonts w:eastAsiaTheme="minorEastAsia"/>
          <w:b/>
          <w:bCs/>
          <w:color w:val="7030A0"/>
        </w:rPr>
      </w:pPr>
    </w:p>
    <w:p w14:paraId="74DBFEDF" w14:textId="77777777" w:rsidR="00C7156B" w:rsidRPr="00702882" w:rsidRDefault="00C7156B" w:rsidP="00C66AC4">
      <w:pPr>
        <w:spacing w:line="480" w:lineRule="auto"/>
        <w:rPr>
          <w:rFonts w:eastAsiaTheme="minorEastAsia"/>
          <w:b/>
          <w:bCs/>
          <w:color w:val="7030A0"/>
        </w:rPr>
      </w:pPr>
    </w:p>
    <w:p w14:paraId="4821DF19" w14:textId="77777777" w:rsidR="00AF6702" w:rsidRPr="00702882" w:rsidRDefault="00AF6702" w:rsidP="00C66AC4">
      <w:pPr>
        <w:spacing w:line="480" w:lineRule="auto"/>
        <w:jc w:val="center"/>
        <w:rPr>
          <w:b/>
          <w:bCs/>
        </w:rPr>
      </w:pPr>
      <w:r w:rsidRPr="00702882">
        <w:rPr>
          <w:b/>
          <w:bCs/>
        </w:rPr>
        <w:lastRenderedPageBreak/>
        <w:t>5. DATA AND MEASUR</w:t>
      </w:r>
      <w:bookmarkStart w:id="44" w:name="DATAANDMEASURES"/>
      <w:bookmarkEnd w:id="44"/>
      <w:r w:rsidRPr="00702882">
        <w:rPr>
          <w:b/>
          <w:bCs/>
        </w:rPr>
        <w:t>ES</w:t>
      </w:r>
    </w:p>
    <w:p w14:paraId="567895B3" w14:textId="77777777" w:rsidR="00AF6702" w:rsidRPr="00702882" w:rsidRDefault="00AF6702" w:rsidP="00C66AC4">
      <w:pPr>
        <w:spacing w:line="480" w:lineRule="auto"/>
        <w:jc w:val="center"/>
        <w:rPr>
          <w:b/>
          <w:bCs/>
        </w:rPr>
      </w:pPr>
    </w:p>
    <w:p w14:paraId="6B13E923" w14:textId="2D99580B" w:rsidR="00AF6702" w:rsidRPr="00702882" w:rsidRDefault="00AF6702" w:rsidP="00C66AC4">
      <w:pPr>
        <w:spacing w:line="480" w:lineRule="auto"/>
        <w:ind w:firstLine="720"/>
        <w:rPr>
          <w:rFonts w:eastAsiaTheme="minorEastAsia"/>
        </w:rPr>
      </w:pPr>
      <w:r w:rsidRPr="00702882">
        <w:rPr>
          <w:rFonts w:eastAsiaTheme="minorEastAsia"/>
        </w:rPr>
        <w:t>This chapter provides an overview of the data collection methods employed, as well as the operational definitions of the dependent, independent, and control variables utilized in the quantitative analyses. I collected comprehensive data on state governments' Budget Stabilization Funds policies from 2000 to 2020. This involved a careful examination of the language, provisions, and amendments related to BSFs as outlined in state legislative documents. Additionally, I cross-referenced BSF statutes with states'</w:t>
      </w:r>
      <w:r w:rsidR="005C6A5D" w:rsidRPr="00702882">
        <w:rPr>
          <w:rFonts w:eastAsiaTheme="minorEastAsia"/>
        </w:rPr>
        <w:t xml:space="preserve"> </w:t>
      </w:r>
      <w:r w:rsidRPr="00702882">
        <w:rPr>
          <w:rFonts w:eastAsiaTheme="minorEastAsia"/>
        </w:rPr>
        <w:t xml:space="preserve">Annual Comprehensive Financial Reports (ACFRs), and relevant news articles to verify my coding and gain insights into their practical implementation. </w:t>
      </w:r>
      <w:r w:rsidRPr="00C55F80">
        <w:rPr>
          <w:rFonts w:eastAsiaTheme="minorEastAsia"/>
        </w:rPr>
        <w:t xml:space="preserve">Appendix </w:t>
      </w:r>
      <w:r w:rsidR="00615C12" w:rsidRPr="00C55F80">
        <w:rPr>
          <w:rFonts w:eastAsiaTheme="minorEastAsia" w:hint="eastAsia"/>
        </w:rPr>
        <w:t xml:space="preserve">on page 174 </w:t>
      </w:r>
      <w:r w:rsidRPr="00C55F80">
        <w:rPr>
          <w:rFonts w:eastAsiaTheme="minorEastAsia"/>
        </w:rPr>
        <w:t>provides a summary of changes in BSF rules from 2000 to 2020, based on the collected data.</w:t>
      </w:r>
    </w:p>
    <w:p w14:paraId="75E3E03E" w14:textId="2C78BE84" w:rsidR="00AF6702" w:rsidRDefault="00AF6702" w:rsidP="00C66AC4">
      <w:pPr>
        <w:spacing w:line="480" w:lineRule="auto"/>
        <w:ind w:firstLine="720"/>
        <w:rPr>
          <w:rFonts w:eastAsiaTheme="minorEastAsia"/>
        </w:rPr>
      </w:pPr>
      <w:r w:rsidRPr="00702882">
        <w:t xml:space="preserve">Table 6 displays the operationalization and data sources for the variables used in </w:t>
      </w:r>
      <w:r w:rsidRPr="00702882">
        <w:rPr>
          <w:rFonts w:eastAsiaTheme="minorEastAsia"/>
        </w:rPr>
        <w:t xml:space="preserve">the forthcoming quantitative analysis. Descriptive statistics of that same data can be found in Table 7. Section 5.1 delves into our primary independent variables, specifically BSF rules, alongside the dependent variables encompassing BSF levels and GFB levels. </w:t>
      </w:r>
      <w:r w:rsidRPr="00702882">
        <w:t>Section 5.2 introduces control variables to be incorporated into regression models.</w:t>
      </w:r>
      <w:r w:rsidRPr="00702882">
        <w:rPr>
          <w:rFonts w:eastAsiaTheme="minorEastAsia"/>
        </w:rPr>
        <w:t xml:space="preserve"> </w:t>
      </w:r>
      <w:r w:rsidRPr="00702882">
        <w:t>Section 5.2 begins by presenting measures of economic conditions</w:t>
      </w:r>
      <w:r w:rsidR="0039216B" w:rsidRPr="00702882">
        <w:rPr>
          <w:rFonts w:eastAsiaTheme="minorEastAsia"/>
        </w:rPr>
        <w:t xml:space="preserve">, </w:t>
      </w:r>
      <w:r w:rsidR="007B06EF" w:rsidRPr="00702882">
        <w:rPr>
          <w:rFonts w:eastAsiaTheme="minorEastAsia"/>
        </w:rPr>
        <w:t xml:space="preserve">such as </w:t>
      </w:r>
      <w:r w:rsidR="0039216B" w:rsidRPr="00702882">
        <w:rPr>
          <w:rFonts w:eastAsia="바탕"/>
        </w:rPr>
        <w:t>unemployment rates</w:t>
      </w:r>
      <w:r w:rsidR="007B06EF" w:rsidRPr="00702882">
        <w:rPr>
          <w:rFonts w:eastAsia="바탕"/>
        </w:rPr>
        <w:t xml:space="preserve"> and Gross State Product (GSP)</w:t>
      </w:r>
      <w:r w:rsidRPr="00702882">
        <w:t xml:space="preserve">. Following that, it elaborates on variables impacting fiscal conditions, including federal funds, debt per capita, and the </w:t>
      </w:r>
      <w:r w:rsidRPr="00702882">
        <w:rPr>
          <w:rFonts w:eastAsiaTheme="minorEastAsia"/>
        </w:rPr>
        <w:t xml:space="preserve">costs </w:t>
      </w:r>
      <w:r w:rsidRPr="00702882">
        <w:t>of disasters experienced by states. The next part describes three variables, including gubernatorial election years, political partisanship, and divided government, used to capture the effects of state politics. Subsequently, fiscal institutions</w:t>
      </w:r>
      <w:r w:rsidRPr="00702882">
        <w:rPr>
          <w:rFonts w:eastAsiaTheme="minorEastAsia"/>
        </w:rPr>
        <w:t xml:space="preserve"> </w:t>
      </w:r>
      <w:r w:rsidRPr="00702882">
        <w:t>are discussed. The final part incorporates sociodemographic factors, such as population and personal income.</w:t>
      </w:r>
    </w:p>
    <w:p w14:paraId="6F13BFC6" w14:textId="77777777" w:rsidR="00BC2932" w:rsidRPr="00BC2932" w:rsidRDefault="00BC2932" w:rsidP="00C66AC4">
      <w:pPr>
        <w:spacing w:line="480" w:lineRule="auto"/>
        <w:ind w:firstLine="720"/>
        <w:rPr>
          <w:rFonts w:eastAsiaTheme="minorEastAsia"/>
        </w:rPr>
      </w:pPr>
    </w:p>
    <w:p w14:paraId="2CE77A90" w14:textId="77777777" w:rsidR="00AF6702" w:rsidRPr="00702882" w:rsidRDefault="00AF6702" w:rsidP="00C66AC4">
      <w:pPr>
        <w:spacing w:line="480" w:lineRule="auto"/>
        <w:rPr>
          <w:rFonts w:eastAsiaTheme="minorEastAsia"/>
          <w:b/>
          <w:bCs/>
        </w:rPr>
      </w:pPr>
      <w:bookmarkStart w:id="45" w:name="IndependentandDependentVariables"/>
      <w:bookmarkEnd w:id="45"/>
      <w:r w:rsidRPr="00702882">
        <w:rPr>
          <w:rFonts w:eastAsiaTheme="minorEastAsia"/>
          <w:b/>
          <w:bCs/>
        </w:rPr>
        <w:lastRenderedPageBreak/>
        <w:t xml:space="preserve">5.1 </w:t>
      </w:r>
      <w:bookmarkStart w:id="46" w:name="StructuralFeaturesoftheBudgetStabil"/>
      <w:bookmarkEnd w:id="46"/>
      <w:r w:rsidRPr="00702882">
        <w:rPr>
          <w:rFonts w:eastAsiaTheme="minorEastAsia"/>
          <w:b/>
          <w:bCs/>
        </w:rPr>
        <w:t>Independent and Dependent Variables</w:t>
      </w:r>
    </w:p>
    <w:p w14:paraId="4755A0E8" w14:textId="64844BF6" w:rsidR="00AF6702" w:rsidRPr="00702882" w:rsidRDefault="00AF6702" w:rsidP="00C66AC4">
      <w:pPr>
        <w:spacing w:line="480" w:lineRule="auto"/>
        <w:ind w:firstLine="720"/>
        <w:rPr>
          <w:rFonts w:eastAsiaTheme="minorEastAsia"/>
        </w:rPr>
      </w:pPr>
      <w:r w:rsidRPr="00702882">
        <w:t xml:space="preserve">As discussed in Chapter 4. Conceptual Framework, the study uses two dependent variables: Budget Stabilization Fund (BSF) levels and General Fund Balance (GFB) levels. </w:t>
      </w:r>
      <w:r w:rsidR="005833B3" w:rsidRPr="00702882">
        <w:t>The size of BSF is determined by its total balance, calculated as a percentage of general fund expenditures. Similarly, the size of GFB is determined by its total balance, calculated as a percentage of general fund expenditures.</w:t>
      </w:r>
      <w:r w:rsidR="005833B3" w:rsidRPr="00702882">
        <w:rPr>
          <w:rFonts w:eastAsiaTheme="minorEastAsia"/>
        </w:rPr>
        <w:t xml:space="preserve"> </w:t>
      </w:r>
      <w:r w:rsidRPr="00702882">
        <w:t>This data is obtained from</w:t>
      </w:r>
      <w:r w:rsidR="00D55B06">
        <w:rPr>
          <w:rFonts w:eastAsiaTheme="minorEastAsia" w:hint="eastAsia"/>
        </w:rPr>
        <w:t xml:space="preserve"> </w:t>
      </w:r>
      <w:sdt>
        <w:sdtPr>
          <w:rPr>
            <w:rFonts w:eastAsiaTheme="minorEastAsia" w:hint="eastAsia"/>
            <w:color w:val="000000"/>
          </w:rPr>
          <w:tag w:val="MENDELEY_CITATION_v3_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"/>
          <w:id w:val="-1692133985"/>
          <w:placeholder>
            <w:docPart w:val="DefaultPlaceholder_-1854013440"/>
          </w:placeholder>
        </w:sdtPr>
        <w:sdtContent>
          <w:r w:rsidR="00F520AD" w:rsidRPr="00F520AD">
            <w:rPr>
              <w:rFonts w:eastAsiaTheme="minorEastAsia"/>
              <w:color w:val="000000"/>
            </w:rPr>
            <w:t>the Pew Charitable Trusts (2022)</w:t>
          </w:r>
        </w:sdtContent>
      </w:sdt>
      <w:r w:rsidR="00E6027F">
        <w:rPr>
          <w:rFonts w:eastAsiaTheme="minorEastAsia" w:hint="eastAsia"/>
        </w:rPr>
        <w:t>.</w:t>
      </w:r>
      <w:r w:rsidRPr="00702882">
        <w:t xml:space="preserve"> </w:t>
      </w:r>
      <w:r w:rsidRPr="00702882">
        <w:rPr>
          <w:rFonts w:eastAsiaTheme="minorEastAsia"/>
        </w:rPr>
        <w:t>As outlined in Chapter 2, our main independent variables revolve around the structural attributes of the BSF.</w:t>
      </w:r>
    </w:p>
    <w:p w14:paraId="3B0ABFC5" w14:textId="77777777" w:rsidR="00AF6702" w:rsidRPr="00702882" w:rsidRDefault="00AF6702" w:rsidP="00C66AC4">
      <w:pPr>
        <w:spacing w:line="480" w:lineRule="auto"/>
        <w:ind w:firstLine="720"/>
        <w:rPr>
          <w:rFonts w:eastAsiaTheme="minorEastAsia"/>
        </w:rPr>
      </w:pPr>
      <w:r w:rsidRPr="00702882">
        <w:rPr>
          <w:rFonts w:eastAsiaTheme="minorEastAsia"/>
        </w:rPr>
        <w:t xml:space="preserve">As discussed in Chapter 2, the cap on BSF deposit and the source of funding are expressed as percentages of general fund expenditures. The deposit from revenue surplus is calculated as a percentage of the general fund surplus, whereas withdrawal by the legislature is articulated as a fraction of the total number of votes. The repayment terms are divided into four groups based on the duration required for reimbursement. Other variables, such as number, deposit by legislature, deposit tied to revenue volatility, withdrawal based on shortfall, and withdrawal tied to revenue volatility, are coded as binary variables due to the challenge of expressing them numerically. </w:t>
      </w:r>
    </w:p>
    <w:p w14:paraId="266BBA17" w14:textId="77777777" w:rsidR="00AF6702" w:rsidRPr="00702882" w:rsidRDefault="00AF6702" w:rsidP="00C66AC4">
      <w:pPr>
        <w:spacing w:line="480" w:lineRule="auto"/>
        <w:rPr>
          <w:rFonts w:eastAsiaTheme="minorEastAsia"/>
          <w:color w:val="7030A0"/>
        </w:rPr>
      </w:pPr>
    </w:p>
    <w:p w14:paraId="0DCECFD0" w14:textId="77777777" w:rsidR="00AF6702" w:rsidRPr="00702882" w:rsidRDefault="00AF6702" w:rsidP="00C66AC4">
      <w:pPr>
        <w:spacing w:line="480" w:lineRule="auto"/>
        <w:rPr>
          <w:rFonts w:eastAsiaTheme="minorEastAsia"/>
          <w:color w:val="7030A0"/>
        </w:rPr>
      </w:pPr>
    </w:p>
    <w:p w14:paraId="52070EAA" w14:textId="77777777" w:rsidR="00AF6702" w:rsidRPr="00702882" w:rsidRDefault="00AF6702" w:rsidP="00C66AC4">
      <w:pPr>
        <w:shd w:val="clear" w:color="auto" w:fill="FFFFFF"/>
        <w:spacing w:before="240" w:line="480" w:lineRule="auto"/>
        <w:contextualSpacing/>
        <w:jc w:val="center"/>
        <w:rPr>
          <w:rFonts w:eastAsiaTheme="minorEastAsia"/>
          <w:b/>
          <w:bCs/>
        </w:rPr>
      </w:pPr>
      <w:r w:rsidRPr="00702882">
        <w:rPr>
          <w:b/>
          <w:bCs/>
          <w:noProof/>
          <w:sz w:val="20"/>
          <w:szCs w:val="20"/>
        </w:rPr>
        <w:lastRenderedPageBreak/>
        <w:drawing>
          <wp:anchor distT="0" distB="0" distL="114300" distR="114300" simplePos="0" relativeHeight="251659264" behindDoc="1" locked="0" layoutInCell="1" allowOverlap="1" wp14:anchorId="6D7A0891" wp14:editId="7DA7A665">
            <wp:simplePos x="0" y="0"/>
            <wp:positionH relativeFrom="column">
              <wp:posOffset>1270</wp:posOffset>
            </wp:positionH>
            <wp:positionV relativeFrom="paragraph">
              <wp:posOffset>394335</wp:posOffset>
            </wp:positionV>
            <wp:extent cx="5432425" cy="5009515"/>
            <wp:effectExtent l="0" t="0" r="0" b="635"/>
            <wp:wrapTight wrapText="bothSides">
              <wp:wrapPolygon edited="0">
                <wp:start x="0" y="0"/>
                <wp:lineTo x="0" y="21521"/>
                <wp:lineTo x="21512" y="21521"/>
                <wp:lineTo x="21512" y="0"/>
                <wp:lineTo x="0" y="0"/>
              </wp:wrapPolygon>
            </wp:wrapTight>
            <wp:docPr id="1658641795"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a:extLst>
                        <a:ext uri="{28A0092B-C50C-407E-A947-70E740481C1C}">
                          <a14:useLocalDpi xmlns:a14="http://schemas.microsoft.com/office/drawing/2010/main" val="0"/>
                        </a:ext>
                      </a:extLst>
                    </a:blip>
                    <a:srcRect l="17406" t="18850" b="2546"/>
                    <a:stretch/>
                  </pic:blipFill>
                  <pic:spPr bwMode="auto">
                    <a:xfrm>
                      <a:off x="0" y="0"/>
                      <a:ext cx="5432425" cy="50095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02882">
        <w:rPr>
          <w:rFonts w:eastAsiaTheme="minorEastAsia"/>
          <w:b/>
          <w:bCs/>
        </w:rPr>
        <w:t>Table 8. Correlation Coefficients</w:t>
      </w:r>
    </w:p>
    <w:p w14:paraId="73CA811F" w14:textId="77777777" w:rsidR="00AF6702" w:rsidRPr="00702882" w:rsidRDefault="00AF6702" w:rsidP="00C66AC4">
      <w:pPr>
        <w:spacing w:line="480" w:lineRule="auto"/>
        <w:rPr>
          <w:rFonts w:eastAsiaTheme="minorEastAsia"/>
          <w:b/>
          <w:bCs/>
          <w:color w:val="7030A0"/>
        </w:rPr>
      </w:pPr>
    </w:p>
    <w:p w14:paraId="3AC87BA5" w14:textId="77777777" w:rsidR="00AF6702" w:rsidRPr="00702882" w:rsidRDefault="00AF6702" w:rsidP="00C66AC4">
      <w:pPr>
        <w:spacing w:line="480" w:lineRule="auto"/>
        <w:rPr>
          <w:rFonts w:eastAsiaTheme="minorEastAsia"/>
          <w:color w:val="7030A0"/>
        </w:rPr>
      </w:pPr>
    </w:p>
    <w:p w14:paraId="383C4CAC" w14:textId="78955470" w:rsidR="00AF6702" w:rsidRPr="00702882" w:rsidRDefault="00AF6702" w:rsidP="00C66AC4">
      <w:pPr>
        <w:spacing w:line="480" w:lineRule="auto"/>
        <w:ind w:firstLine="720"/>
        <w:rPr>
          <w:rFonts w:eastAsiaTheme="minorEastAsia"/>
          <w:color w:val="7030A0"/>
        </w:rPr>
      </w:pPr>
      <w:r w:rsidRPr="00702882">
        <w:rPr>
          <w:rFonts w:eastAsiaTheme="minorEastAsia"/>
        </w:rPr>
        <w:t xml:space="preserve">Table 8 illustrates the correlation coefficients among various BSF structural attributes. The purpose of Table 8 is to reduce the number of BSF rules, by consolidating highly correlated ones to mitigate the issue of multicollinearity. Notably, the correlation coefficient between “deposits tied to revenue volatility, using formula (DepoVol_formula)” and “withdrawals tied to revenue volatility (WithVol)” stands at 0.79, signifying the highest correlation observed. In essence, this indicates that states that opt to link their BSF deposits to revenue or economic volatility also tend to establish a similar linkage for withdrawals. </w:t>
      </w:r>
      <w:r w:rsidRPr="00702882">
        <w:rPr>
          <w:rFonts w:eastAsiaTheme="minorEastAsia"/>
        </w:rPr>
        <w:lastRenderedPageBreak/>
        <w:t>“Deposit revenue surplus (DepoSurplus_numeric)” is strongly positively correlated with “withdrawals based on revenue shortfalls (WithShortfall),” with a correlation coefficient of 0.66. This suggests that states, requiring saving an excess of revenue, also tend to enact the requirement for withdrawal based on budget deficit.</w:t>
      </w:r>
    </w:p>
    <w:p w14:paraId="7C563341" w14:textId="77777777" w:rsidR="00AF6702" w:rsidRPr="00702882" w:rsidRDefault="00AF6702" w:rsidP="00C66AC4">
      <w:pPr>
        <w:spacing w:line="480" w:lineRule="auto"/>
        <w:ind w:firstLine="720"/>
        <w:rPr>
          <w:rFonts w:eastAsiaTheme="minorEastAsia"/>
        </w:rPr>
      </w:pPr>
      <w:r w:rsidRPr="00702882">
        <w:rPr>
          <w:rFonts w:eastAsiaTheme="minorEastAsia"/>
        </w:rPr>
        <w:t>The variables “deposit by legislature (DepoLegis)” and “deposit by executive (DepoExec)” exhibit a substantial negative correlation, denoted by a correlation coefficient of -0.89. Given their dummy nature, this correlation suggests a strong tendency for instances where one variable is represented to coincide with the absence of the other, and vice versa, in the dataset. Consequently, including “deposit by executive” in regression models may lead to multicollinearity concerns or biased coefficient estimates due to its pronounced negative correlation with “deposit by legislature.” Thus, “deposit by executive” will be dropped from the regression analysis to ensure robust model estimation.</w:t>
      </w:r>
    </w:p>
    <w:p w14:paraId="11F93D7A" w14:textId="5F366DB9" w:rsidR="00AF6702" w:rsidRPr="00702882" w:rsidRDefault="00AF6702" w:rsidP="00C66AC4">
      <w:pPr>
        <w:spacing w:line="480" w:lineRule="auto"/>
        <w:ind w:firstLine="720"/>
        <w:rPr>
          <w:rFonts w:eastAsiaTheme="minorEastAsia"/>
        </w:rPr>
      </w:pPr>
      <w:r w:rsidRPr="00702882">
        <w:rPr>
          <w:rFonts w:eastAsiaTheme="minorEastAsia"/>
        </w:rPr>
        <w:t>The dummy variable “withdrawal by executive (WithExec)” exhibits a robust negative correlation with the numeric variable representing “withdrawal by legislatures (WithLegis),” with a correlation coefficient of -0.85. This indicates a consistent inverse relationship between executive withdrawals and legislative withdrawals in the dataset. Given the pronounced negative correlation, including “withdrawal by executive” in regression models may introduce multicollinearity concerns. Consequently, to ensure accurate and robust model estimation, “withdrawal by executive” will be excluded from the regression analysis.</w:t>
      </w:r>
    </w:p>
    <w:p w14:paraId="3057388F" w14:textId="36CDB4A9" w:rsidR="00AF6702" w:rsidRPr="00702882" w:rsidRDefault="00AF6702" w:rsidP="00C7156B">
      <w:pPr>
        <w:spacing w:line="480" w:lineRule="auto"/>
        <w:ind w:firstLine="720"/>
        <w:rPr>
          <w:rFonts w:eastAsiaTheme="minorEastAsia"/>
        </w:rPr>
      </w:pPr>
      <w:r w:rsidRPr="00702882">
        <w:rPr>
          <w:rFonts w:eastAsiaTheme="minorEastAsia"/>
        </w:rPr>
        <w:t>A positive correlation of 0.52 exists between “repayment provision (Repay_4bin)” and “deposit tied to revenue volatility (DepoVol_propor).” This suggests that states with deposit tied to revenue volatility tend to have provisions mandating the repayment of borrowed funds into BSF.</w:t>
      </w:r>
    </w:p>
    <w:p w14:paraId="6BC98C53" w14:textId="7B8C4B86" w:rsidR="00F20650" w:rsidRPr="00702882" w:rsidRDefault="00A05F5F" w:rsidP="00F64618">
      <w:pPr>
        <w:shd w:val="clear" w:color="auto" w:fill="FFFFFF"/>
        <w:spacing w:line="480" w:lineRule="auto"/>
        <w:rPr>
          <w:rFonts w:eastAsiaTheme="minorEastAsia"/>
          <w:b/>
          <w:bCs/>
        </w:rPr>
      </w:pPr>
      <w:r w:rsidRPr="00702882">
        <w:rPr>
          <w:rFonts w:eastAsiaTheme="minorEastAsia"/>
          <w:b/>
          <w:bCs/>
        </w:rPr>
        <w:lastRenderedPageBreak/>
        <w:t>5.2</w:t>
      </w:r>
      <w:r w:rsidR="00F20650" w:rsidRPr="00702882">
        <w:rPr>
          <w:b/>
          <w:bCs/>
        </w:rPr>
        <w:t xml:space="preserve"> </w:t>
      </w:r>
      <w:bookmarkStart w:id="47" w:name="BSFRulesBSFandGFBLevels"/>
      <w:bookmarkEnd w:id="47"/>
      <w:r w:rsidR="00F20650" w:rsidRPr="00702882">
        <w:rPr>
          <w:b/>
          <w:bCs/>
        </w:rPr>
        <w:t>Control Variables</w:t>
      </w:r>
      <w:bookmarkStart w:id="48" w:name="ControlVariables"/>
      <w:bookmarkEnd w:id="48"/>
    </w:p>
    <w:p w14:paraId="204BB3A3" w14:textId="197D7B38" w:rsidR="00822BD9" w:rsidRPr="00702882" w:rsidRDefault="00741973" w:rsidP="00F64618">
      <w:pPr>
        <w:shd w:val="clear" w:color="auto" w:fill="FFFFFF"/>
        <w:spacing w:line="480" w:lineRule="auto"/>
        <w:ind w:firstLine="720"/>
        <w:rPr>
          <w:rFonts w:eastAsia="바탕"/>
        </w:rPr>
      </w:pPr>
      <w:r w:rsidRPr="00702882">
        <w:rPr>
          <w:rFonts w:eastAsia="바탕"/>
        </w:rPr>
        <w:t xml:space="preserve">This study utilizes unemployment rates to assess the economic conditions or recessions in U.S. states. </w:t>
      </w:r>
      <w:r w:rsidR="00892BD6" w:rsidRPr="00702882">
        <w:rPr>
          <w:rFonts w:eastAsia="바탕"/>
        </w:rPr>
        <w:t>Unemployment rates, sourced from the Bureau of Labor Statistics, are expressed as a percentage of the labor force. Unemployment rates are a better measure of economic conditions in U.S. states compared to using a dummy variable for recession</w:t>
      </w:r>
      <w:r w:rsidR="00822BD9" w:rsidRPr="00702882">
        <w:rPr>
          <w:rFonts w:eastAsia="바탕"/>
        </w:rPr>
        <w:t>.</w:t>
      </w:r>
      <w:r w:rsidR="00AA3782" w:rsidRPr="00702882">
        <w:rPr>
          <w:rFonts w:eastAsia="바탕"/>
        </w:rPr>
        <w:t xml:space="preserve"> </w:t>
      </w:r>
      <w:r w:rsidR="00892BD6" w:rsidRPr="00702882">
        <w:rPr>
          <w:rFonts w:eastAsia="바탕"/>
        </w:rPr>
        <w:t>Unemployment rates provide a continuous and nuanced measure, capturing the severity of economic conditions by reflecting the proportion of the labor force that is unemployed and actively seeking work.</w:t>
      </w:r>
      <w:r w:rsidR="00822BD9" w:rsidRPr="00702882">
        <w:rPr>
          <w:rFonts w:eastAsia="바탕"/>
        </w:rPr>
        <w:t xml:space="preserve"> In other words, they are highly sensitive to economic cycles, rising during recessions and falling during periods of growth. This responsiveness makes them an effective measure for tracking economic performance over time. </w:t>
      </w:r>
    </w:p>
    <w:p w14:paraId="48A1B5FA" w14:textId="585D1B4C" w:rsidR="00A05F5F" w:rsidRPr="00702882" w:rsidRDefault="00F20650" w:rsidP="00F64618">
      <w:pPr>
        <w:shd w:val="clear" w:color="auto" w:fill="FFFFFF"/>
        <w:spacing w:line="480" w:lineRule="auto"/>
        <w:ind w:firstLine="720"/>
        <w:rPr>
          <w:rFonts w:eastAsia="바탕"/>
        </w:rPr>
      </w:pPr>
      <w:r w:rsidRPr="00702882">
        <w:rPr>
          <w:rFonts w:eastAsia="바탕"/>
        </w:rPr>
        <w:t>Gross State Product (GSP) estimates the “total value of goods and services produced within a state” and is sourced from the Bureau of Economic Analysis.</w:t>
      </w:r>
      <w:r w:rsidR="00873BC9" w:rsidRPr="00702882">
        <w:rPr>
          <w:rStyle w:val="a5"/>
          <w:rFonts w:eastAsia="바탕"/>
        </w:rPr>
        <w:footnoteReference w:id="45"/>
      </w:r>
      <w:r w:rsidRPr="00702882">
        <w:rPr>
          <w:rFonts w:eastAsia="바탕"/>
        </w:rPr>
        <w:t xml:space="preserve"> GSP can effectively supplement the unemployment rate as a measure of economic conditions for U.S. states. The unemployment rate highlights labor market challenges, while GSP reveals the level of economic activity and production. Moreover, GSP data can help identify structural economic changes and trends over time, complementing the more immediate labor market information provided by unemployment rates.</w:t>
      </w:r>
      <w:r w:rsidR="00540BBD" w:rsidRPr="00702882">
        <w:rPr>
          <w:rFonts w:eastAsia="바탕"/>
        </w:rPr>
        <w:t xml:space="preserve"> </w:t>
      </w:r>
      <w:r w:rsidRPr="00702882">
        <w:rPr>
          <w:rFonts w:eastAsia="바탕"/>
        </w:rPr>
        <w:t>This combination of GSP and unemployment rates allows for a nuanced and holistic assessment of economic conditions, providing valuable insights for both economic analysis and policy formulation.</w:t>
      </w:r>
    </w:p>
    <w:p w14:paraId="36336108" w14:textId="527C7BD1" w:rsidR="00AF6702" w:rsidRPr="00702882" w:rsidRDefault="00AF6702" w:rsidP="00F64618">
      <w:pPr>
        <w:shd w:val="clear" w:color="auto" w:fill="FFFFFF"/>
        <w:spacing w:line="480" w:lineRule="auto"/>
        <w:ind w:firstLine="720"/>
        <w:rPr>
          <w:rFonts w:eastAsia="바탕"/>
        </w:rPr>
      </w:pPr>
      <w:r w:rsidRPr="00702882">
        <w:t xml:space="preserve">Fiscal conditions, which may affect BSF and GFB, include debt per capita, federal grants, and disaster. </w:t>
      </w:r>
      <w:r w:rsidRPr="00702882">
        <w:rPr>
          <w:noProof/>
        </w:rPr>
        <w:t xml:space="preserve">To control for the impact of public debt on fiscal reserves, the variable of debt per capita, </w:t>
      </w:r>
      <w:r w:rsidR="00A139CD" w:rsidRPr="00702882">
        <w:rPr>
          <w:rFonts w:eastAsiaTheme="minorEastAsia"/>
          <w:noProof/>
        </w:rPr>
        <w:t>taken</w:t>
      </w:r>
      <w:r w:rsidRPr="00702882">
        <w:rPr>
          <w:noProof/>
        </w:rPr>
        <w:t xml:space="preserve"> from the State Government Finance series and U.S. Census, is included </w:t>
      </w:r>
      <w:r w:rsidRPr="00702882">
        <w:rPr>
          <w:noProof/>
        </w:rPr>
        <w:lastRenderedPageBreak/>
        <w:t xml:space="preserve">in the models. </w:t>
      </w:r>
      <w:r w:rsidRPr="00702882">
        <w:t xml:space="preserve">The study uses intergovernmental revenue (IGR) per capita, </w:t>
      </w:r>
      <w:r w:rsidR="00A139CD" w:rsidRPr="00702882">
        <w:rPr>
          <w:rFonts w:eastAsiaTheme="minorEastAsia"/>
        </w:rPr>
        <w:t>“</w:t>
      </w:r>
      <w:r w:rsidRPr="00702882">
        <w:t>amounts received from Federal governments</w:t>
      </w:r>
      <w:r w:rsidR="00A139CD" w:rsidRPr="00702882">
        <w:rPr>
          <w:rFonts w:eastAsiaTheme="minorEastAsia"/>
        </w:rPr>
        <w:t>”</w:t>
      </w:r>
      <w:r w:rsidRPr="00702882">
        <w:t xml:space="preserve"> (e.g., grants and shared taxes) divided by state population </w:t>
      </w:r>
      <w:sdt>
        <w:sdtPr>
          <w:rPr>
            <w:color w:val="000000"/>
          </w:rPr>
          <w:tag w:val="MENDELEY_CITATION_v3_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"/>
          <w:id w:val="-637732851"/>
          <w:placeholder>
            <w:docPart w:val="37E8736C6B7A4C849E68F2EAAD820B84"/>
          </w:placeholder>
        </w:sdtPr>
        <w:sdtContent>
          <w:r w:rsidR="00F520AD" w:rsidRPr="00F520AD">
            <w:rPr>
              <w:color w:val="000000"/>
            </w:rPr>
            <w:t>(Pierson et al., 2015)</w:t>
          </w:r>
        </w:sdtContent>
      </w:sdt>
      <w:r w:rsidRPr="00702882">
        <w:t xml:space="preserve">. </w:t>
      </w:r>
    </w:p>
    <w:p w14:paraId="6C1E446C" w14:textId="2AE4F8C4" w:rsidR="00AF6702" w:rsidRPr="00702882" w:rsidRDefault="00AF6702" w:rsidP="00C66AC4">
      <w:pPr>
        <w:shd w:val="clear" w:color="auto" w:fill="FFFFFF"/>
        <w:spacing w:line="480" w:lineRule="auto"/>
        <w:ind w:firstLine="720"/>
        <w:rPr>
          <w:rFonts w:eastAsiaTheme="minorEastAsia"/>
        </w:rPr>
      </w:pPr>
      <w:r w:rsidRPr="00702882">
        <w:rPr>
          <w:rFonts w:eastAsiaTheme="minorEastAsia"/>
        </w:rPr>
        <w:t xml:space="preserve">The variable of disaster damages is included in our models to gauge a state's experience with disasters. </w:t>
      </w:r>
      <w:r w:rsidRPr="00702882">
        <w:t>Data regarding disaster damages is sourced from the National Centers for Environmental Information</w:t>
      </w:r>
      <w:r w:rsidR="00961A3B" w:rsidRPr="00702882">
        <w:rPr>
          <w:rFonts w:eastAsiaTheme="minorEastAsia"/>
        </w:rPr>
        <w:t xml:space="preserve"> (NCEI)</w:t>
      </w:r>
      <w:r w:rsidRPr="00702882">
        <w:t xml:space="preserve">, which </w:t>
      </w:r>
      <w:r w:rsidRPr="00702882">
        <w:rPr>
          <w:rFonts w:eastAsiaTheme="minorEastAsia"/>
        </w:rPr>
        <w:t>covers</w:t>
      </w:r>
      <w:r w:rsidRPr="00702882">
        <w:t xml:space="preserve"> various types of natural disasters (e.g., hurricanes, tornadoes, storms, snow, drought, floods, lightning, etc.).</w:t>
      </w:r>
      <w:r w:rsidRPr="00702882">
        <w:rPr>
          <w:rFonts w:eastAsiaTheme="minorEastAsia"/>
        </w:rPr>
        <w:t xml:space="preserve"> </w:t>
      </w:r>
      <w:r w:rsidRPr="00702882">
        <w:t xml:space="preserve">This data includes the </w:t>
      </w:r>
      <w:r w:rsidRPr="00702882">
        <w:rPr>
          <w:rFonts w:eastAsiaTheme="minorEastAsia"/>
        </w:rPr>
        <w:t>costs</w:t>
      </w:r>
      <w:r w:rsidRPr="00702882">
        <w:t xml:space="preserve"> of disasters that occurred in specific states and associated damage estimates</w:t>
      </w:r>
      <w:r w:rsidRPr="00702882">
        <w:rPr>
          <w:rFonts w:eastAsiaTheme="minorEastAsia"/>
        </w:rPr>
        <w:t xml:space="preserve">, such as expenses like property damage and healthcare and lost productivity. </w:t>
      </w:r>
    </w:p>
    <w:p w14:paraId="6033DF3D" w14:textId="0DD680FF" w:rsidR="00AF6702" w:rsidRPr="00702882" w:rsidRDefault="00AF6702" w:rsidP="00C66AC4">
      <w:pPr>
        <w:shd w:val="clear" w:color="auto" w:fill="FFFFFF"/>
        <w:spacing w:line="480" w:lineRule="auto"/>
        <w:ind w:firstLine="720"/>
        <w:rPr>
          <w:rFonts w:eastAsiaTheme="minorEastAsia"/>
        </w:rPr>
      </w:pPr>
      <w:r w:rsidRPr="00702882">
        <w:t>As discussed in Chapter 4, politics is critical to understanding state government’s spending behavior (Poterba, 1994; Alt &amp; Lowry, 1994, 2000; Hou, 2003). The political factor is divided into three categories: 1) gubernatorial election years, 2) political partisanship, and 3) divided government.</w:t>
      </w:r>
      <w:r w:rsidR="00A139CD" w:rsidRPr="00702882">
        <w:rPr>
          <w:rFonts w:eastAsiaTheme="minorEastAsia"/>
        </w:rPr>
        <w:t xml:space="preserve"> </w:t>
      </w:r>
      <w:r w:rsidR="002308AF" w:rsidRPr="00702882">
        <w:rPr>
          <w:rFonts w:eastAsiaTheme="minorEastAsia"/>
        </w:rPr>
        <w:t>The "</w:t>
      </w:r>
      <w:r w:rsidR="006F3267" w:rsidRPr="00702882">
        <w:rPr>
          <w:rFonts w:eastAsiaTheme="minorEastAsia"/>
        </w:rPr>
        <w:t>e</w:t>
      </w:r>
      <w:r w:rsidR="002308AF" w:rsidRPr="00702882">
        <w:rPr>
          <w:rFonts w:eastAsiaTheme="minorEastAsia"/>
        </w:rPr>
        <w:t xml:space="preserve">lection year" variable is a dummy variable that equals 1 during an election year in state </w:t>
      </w:r>
      <w:r w:rsidR="002308AF" w:rsidRPr="00702882">
        <w:rPr>
          <w:rFonts w:eastAsiaTheme="minorEastAsia"/>
          <w:i/>
          <w:iCs/>
        </w:rPr>
        <w:t>i</w:t>
      </w:r>
      <w:r w:rsidR="002308AF" w:rsidRPr="00702882">
        <w:rPr>
          <w:rFonts w:eastAsiaTheme="minorEastAsia"/>
        </w:rPr>
        <w:t xml:space="preserve"> in year </w:t>
      </w:r>
      <w:r w:rsidR="002308AF" w:rsidRPr="00702882">
        <w:rPr>
          <w:rFonts w:eastAsiaTheme="minorEastAsia"/>
          <w:i/>
          <w:iCs/>
        </w:rPr>
        <w:t>t</w:t>
      </w:r>
      <w:r w:rsidR="002308AF" w:rsidRPr="00702882">
        <w:rPr>
          <w:rFonts w:eastAsiaTheme="minorEastAsia"/>
        </w:rPr>
        <w:t xml:space="preserve">, and 0 otherwise. </w:t>
      </w:r>
      <w:r w:rsidRPr="00702882">
        <w:t xml:space="preserve">Data on election years is obtained from the Book of States. </w:t>
      </w:r>
    </w:p>
    <w:p w14:paraId="410818AD" w14:textId="061F1956" w:rsidR="00AF6702" w:rsidRPr="00702882" w:rsidRDefault="00AF6702" w:rsidP="00C66AC4">
      <w:pPr>
        <w:spacing w:line="480" w:lineRule="auto"/>
        <w:ind w:firstLine="720"/>
        <w:rPr>
          <w:rFonts w:eastAsiaTheme="minorEastAsia"/>
        </w:rPr>
      </w:pPr>
      <w:r w:rsidRPr="00702882">
        <w:t xml:space="preserve">To measure legislative party control of state government, I use a ranking scale of 1 to 5 where 1 indicates the dominance of the Republican party (more than 80%) and 5 reflects the dominance of the Democratic party (more than 80%) in the state’s governorship and legislative chambers </w:t>
      </w:r>
      <w:sdt>
        <w:sdtPr>
          <w:rPr>
            <w:color w:val="000000"/>
          </w:rPr>
          <w:tag w:val="MENDELEY_CITATION_v3_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"/>
          <w:id w:val="1179231296"/>
          <w:placeholder>
            <w:docPart w:val="1F066266A5234440BC5CDF038E92C770"/>
          </w:placeholder>
        </w:sdtPr>
        <w:sdtContent>
          <w:r w:rsidR="00F520AD" w:rsidRPr="00F520AD">
            <w:rPr>
              <w:color w:val="000000"/>
            </w:rPr>
            <w:t>(Pallay, 2013)</w:t>
          </w:r>
        </w:sdtContent>
      </w:sdt>
      <w:r w:rsidRPr="00702882">
        <w:t xml:space="preserve">. </w:t>
      </w:r>
      <w:r w:rsidR="000D5AB2" w:rsidRPr="00702882">
        <w:t>The "Book of the States" series furnishes information on the party affiliations of legislators and governors.</w:t>
      </w:r>
      <w:r w:rsidR="000D5AB2" w:rsidRPr="00702882">
        <w:rPr>
          <w:rFonts w:eastAsiaTheme="minorEastAsia"/>
        </w:rPr>
        <w:t xml:space="preserve"> </w:t>
      </w:r>
      <w:r w:rsidRPr="00702882">
        <w:t>To assess divided government between the executive and legislative branches, a dummy variable is employed, where a value of 1 signifies distinct party affiliations between the governor and the legislative majority, and 0 otherwise.</w:t>
      </w:r>
    </w:p>
    <w:p w14:paraId="6EA785CD" w14:textId="70DCA06F" w:rsidR="00AF6702" w:rsidRPr="00702882" w:rsidRDefault="00AF6702" w:rsidP="00C66AC4">
      <w:pPr>
        <w:spacing w:line="480" w:lineRule="auto"/>
        <w:ind w:firstLine="720"/>
        <w:rPr>
          <w:rFonts w:eastAsiaTheme="minorEastAsia"/>
        </w:rPr>
      </w:pPr>
      <w:r w:rsidRPr="00702882">
        <w:lastRenderedPageBreak/>
        <w:t xml:space="preserve">The stringency of BBRs varies across states: some states allow to carry over deficits into the next fiscal year, while others do not (Hou, 2003). Deficit carryover restrictions are deemed the strictest requirement that reduce budget deficits, leading to higher general fund balances </w:t>
      </w:r>
      <w:sdt>
        <w:sdtPr>
          <w:tag w:val="MENDELEY_CITATION_v3_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"/>
          <w:id w:val="966866835"/>
          <w:placeholder>
            <w:docPart w:val="CB5611BBEB464615931DA97C6B9EC626"/>
          </w:placeholder>
        </w:sdtPr>
        <w:sdtContent>
          <w:r w:rsidR="00F520AD">
            <w:t>(Hou &amp; Smith, 2006)</w:t>
          </w:r>
        </w:sdtContent>
      </w:sdt>
      <w:r w:rsidRPr="00702882">
        <w:t xml:space="preserve">. </w:t>
      </w:r>
      <w:r w:rsidR="007317BA" w:rsidRPr="00702882">
        <w:t>BBR is a binary variable that equals 1 if a state cannot carry deficits into the next fiscal year, and 0 otherwise</w:t>
      </w:r>
      <w:r w:rsidR="007317BA" w:rsidRPr="00702882">
        <w:rPr>
          <w:rFonts w:eastAsiaTheme="minorEastAsia"/>
        </w:rPr>
        <w:t xml:space="preserve"> </w:t>
      </w:r>
      <w:sdt>
        <w:sdtPr>
          <w:tag w:val="MENDELEY_CITATION_v3_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"/>
          <w:id w:val="1918284483"/>
          <w:placeholder>
            <w:docPart w:val="80FF4BB422C446FEACFAE47FBBB768DA"/>
          </w:placeholder>
        </w:sdtPr>
        <w:sdtContent>
          <w:r w:rsidR="00F520AD">
            <w:t>(Hou &amp; Smith, 2006)</w:t>
          </w:r>
        </w:sdtContent>
      </w:sdt>
      <w:r w:rsidR="007317BA" w:rsidRPr="00702882">
        <w:t>.</w:t>
      </w:r>
      <w:r w:rsidR="007317BA" w:rsidRPr="00702882">
        <w:rPr>
          <w:rFonts w:eastAsiaTheme="minorEastAsia"/>
        </w:rPr>
        <w:t xml:space="preserve"> </w:t>
      </w:r>
      <w:r w:rsidRPr="00702882">
        <w:t xml:space="preserve">The Book of the States presents the data on BBR. The variable of TEL represents the stringency of state-level TELs, developed by Amiel et al. (2014). The stringency index of TELs is measured on a scale from 0 to 33, with zero indicating no TEL, and 33 representing the most restrictive </w:t>
      </w:r>
      <w:sdt>
        <w:sdtPr>
          <w:rPr>
            <w:color w:val="000000"/>
          </w:rPr>
          <w:tag w:val="MENDELEY_CITATION_v3_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"/>
          <w:id w:val="-1203237133"/>
          <w:placeholder>
            <w:docPart w:val="24855C68223D446086D0E0D6A444F6D4"/>
          </w:placeholder>
        </w:sdtPr>
        <w:sdtContent>
          <w:r w:rsidR="00F520AD" w:rsidRPr="00F520AD">
            <w:rPr>
              <w:color w:val="000000"/>
            </w:rPr>
            <w:t>(Amiel et al., 2014; Kallen, 2017)</w:t>
          </w:r>
        </w:sdtContent>
      </w:sdt>
      <w:r w:rsidRPr="00702882">
        <w:t xml:space="preserve">. </w:t>
      </w:r>
    </w:p>
    <w:p w14:paraId="2BC50B53" w14:textId="173A689A" w:rsidR="00AF6702" w:rsidRPr="00702882" w:rsidRDefault="00AF6702" w:rsidP="00C66AC4">
      <w:pPr>
        <w:spacing w:line="480" w:lineRule="auto"/>
        <w:ind w:firstLine="720"/>
        <w:rPr>
          <w:rFonts w:eastAsiaTheme="minorEastAsia"/>
        </w:rPr>
      </w:pPr>
      <w:r w:rsidRPr="00702882">
        <w:t xml:space="preserve">Sociodemographic variables, such as personal income and population change, are used in the empirical analysis because they reflect demand for public services and affect tax revenues and spending needs (Poterba, 1994). </w:t>
      </w:r>
      <w:r w:rsidR="007317BA" w:rsidRPr="00702882">
        <w:t>The population may positively influence total expenditures, as state governments offer public services to their residents. Per capita personal income reflects a state's wealth and economic activity, thus positively correlating with tax revenues and BSF balances. Population data is sourced from the Statistical Abstract of the United States series, while per capita personal income data is extracted from the Bureau of Economic Analysis database.</w:t>
      </w:r>
    </w:p>
    <w:p w14:paraId="18A3AE51" w14:textId="77777777" w:rsidR="0058138E" w:rsidRPr="00702882" w:rsidRDefault="0058138E" w:rsidP="00C66AC4">
      <w:pPr>
        <w:spacing w:line="480" w:lineRule="auto"/>
        <w:ind w:firstLine="720"/>
        <w:rPr>
          <w:rFonts w:eastAsiaTheme="minorEastAsia"/>
        </w:rPr>
      </w:pPr>
    </w:p>
    <w:p w14:paraId="27EF6931" w14:textId="77777777" w:rsidR="0058138E" w:rsidRPr="00702882" w:rsidRDefault="0058138E" w:rsidP="00C66AC4">
      <w:pPr>
        <w:spacing w:line="480" w:lineRule="auto"/>
        <w:ind w:firstLine="720"/>
        <w:rPr>
          <w:rFonts w:eastAsiaTheme="minorEastAsia"/>
        </w:rPr>
      </w:pPr>
    </w:p>
    <w:p w14:paraId="5FE14A0C" w14:textId="77777777" w:rsidR="0058138E" w:rsidRPr="00702882" w:rsidRDefault="0058138E" w:rsidP="00C66AC4">
      <w:pPr>
        <w:spacing w:line="480" w:lineRule="auto"/>
        <w:ind w:firstLine="720"/>
        <w:rPr>
          <w:rFonts w:eastAsiaTheme="minorEastAsia"/>
        </w:rPr>
      </w:pPr>
    </w:p>
    <w:p w14:paraId="6ECC0FF9" w14:textId="77777777" w:rsidR="0058138E" w:rsidRPr="00702882" w:rsidRDefault="0058138E" w:rsidP="00C66AC4">
      <w:pPr>
        <w:spacing w:line="480" w:lineRule="auto"/>
        <w:ind w:firstLine="720"/>
        <w:rPr>
          <w:rFonts w:eastAsiaTheme="minorEastAsia"/>
        </w:rPr>
      </w:pPr>
    </w:p>
    <w:p w14:paraId="45D532FA" w14:textId="77777777" w:rsidR="0058138E" w:rsidRPr="00702882" w:rsidRDefault="0058138E" w:rsidP="00C66AC4">
      <w:pPr>
        <w:spacing w:line="480" w:lineRule="auto"/>
        <w:ind w:firstLine="720"/>
        <w:rPr>
          <w:rFonts w:eastAsiaTheme="minorEastAsia"/>
        </w:rPr>
      </w:pPr>
    </w:p>
    <w:p w14:paraId="7AFAA9D1" w14:textId="77777777" w:rsidR="0058138E" w:rsidRPr="00702882" w:rsidRDefault="0058138E" w:rsidP="00C66AC4">
      <w:pPr>
        <w:spacing w:line="480" w:lineRule="auto"/>
        <w:ind w:firstLine="720"/>
        <w:rPr>
          <w:rFonts w:eastAsiaTheme="minorEastAsia"/>
        </w:rPr>
      </w:pPr>
    </w:p>
    <w:p w14:paraId="6B5A0A36" w14:textId="77777777" w:rsidR="00AF6702" w:rsidRPr="00702882" w:rsidRDefault="00AF6702" w:rsidP="00C66AC4">
      <w:pPr>
        <w:spacing w:line="480" w:lineRule="auto"/>
        <w:rPr>
          <w:rFonts w:eastAsiaTheme="minorEastAsia"/>
          <w:b/>
          <w:bCs/>
          <w:color w:val="7030A0"/>
        </w:rPr>
      </w:pPr>
    </w:p>
    <w:p w14:paraId="7846A25D" w14:textId="77777777" w:rsidR="00AF6702" w:rsidRPr="00702882" w:rsidRDefault="00AF6702" w:rsidP="00C66AC4">
      <w:pPr>
        <w:spacing w:line="480" w:lineRule="auto"/>
        <w:jc w:val="center"/>
        <w:rPr>
          <w:rFonts w:eastAsiaTheme="minorEastAsia"/>
          <w:b/>
          <w:bCs/>
        </w:rPr>
      </w:pPr>
      <w:r w:rsidRPr="00702882">
        <w:rPr>
          <w:b/>
          <w:bCs/>
        </w:rPr>
        <w:lastRenderedPageBreak/>
        <w:t>6. QUANTITA</w:t>
      </w:r>
      <w:bookmarkStart w:id="49" w:name="QUANTITATIVEANALYSIS"/>
      <w:bookmarkEnd w:id="49"/>
      <w:r w:rsidRPr="00702882">
        <w:rPr>
          <w:b/>
          <w:bCs/>
        </w:rPr>
        <w:t>TIVE ANALYSIS</w:t>
      </w:r>
    </w:p>
    <w:p w14:paraId="48CFC797" w14:textId="77777777" w:rsidR="00AF6702" w:rsidRPr="00702882" w:rsidRDefault="00AF6702" w:rsidP="00C66AC4">
      <w:pPr>
        <w:spacing w:line="480" w:lineRule="auto"/>
        <w:jc w:val="center"/>
        <w:rPr>
          <w:rFonts w:eastAsiaTheme="minorEastAsia"/>
          <w:b/>
          <w:bCs/>
        </w:rPr>
      </w:pPr>
    </w:p>
    <w:p w14:paraId="11C32C10" w14:textId="3394AA59" w:rsidR="003B246D" w:rsidRPr="00702882" w:rsidRDefault="00AF6702" w:rsidP="00795538">
      <w:pPr>
        <w:spacing w:line="480" w:lineRule="auto"/>
        <w:ind w:firstLine="720"/>
        <w:rPr>
          <w:rFonts w:eastAsiaTheme="minorEastAsia"/>
          <w:color w:val="C00000"/>
        </w:rPr>
      </w:pPr>
      <w:r w:rsidRPr="00702882">
        <w:t>As discussed earlier, the study aims to conceptualize BSF rule stringency and investigate the effects of BSF rules on BSF and GFB levels. To estimate the impact of BSF rules on the size of BSF, the study starts with Ordinary Least Squares regression (OLS). However, significant deviations from constant error variance and non-normality of residuals were identified in all OLS models (p &lt; .001).</w:t>
      </w:r>
      <w:r w:rsidR="00795538" w:rsidRPr="00702882">
        <w:rPr>
          <w:rFonts w:eastAsiaTheme="minorEastAsia"/>
        </w:rPr>
        <w:t xml:space="preserve"> </w:t>
      </w:r>
      <w:r w:rsidR="003B246D" w:rsidRPr="00702882">
        <w:rPr>
          <w:rFonts w:eastAsiaTheme="minorEastAsia"/>
        </w:rPr>
        <w:t>To address heteroscedasticity and non-normality of residuals, I implement Panel Data Fixed Effects Models with robust standard errors. These models account for individual-specific or time-specific effects that may contribute to these issues. Details will be provided in the following section.</w:t>
      </w:r>
    </w:p>
    <w:p w14:paraId="6D1ABD5A" w14:textId="47040D43" w:rsidR="00795538" w:rsidRPr="00702882" w:rsidRDefault="00071EB7" w:rsidP="00C66AC4">
      <w:pPr>
        <w:pStyle w:val="ad"/>
        <w:spacing w:before="0" w:beforeAutospacing="0" w:line="480" w:lineRule="auto"/>
        <w:ind w:firstLineChars="295" w:firstLine="708"/>
        <w:contextualSpacing/>
        <w:rPr>
          <w:rFonts w:eastAsiaTheme="minorEastAsia"/>
        </w:rPr>
      </w:pPr>
      <w:r w:rsidRPr="00702882">
        <w:t>The dataset includes 44 states spanning fiscal years 2002 through 2020, encompassing national recessions experienced over the last two decades.</w:t>
      </w:r>
      <w:r w:rsidRPr="00702882">
        <w:rPr>
          <w:rFonts w:eastAsiaTheme="minorEastAsia"/>
        </w:rPr>
        <w:t xml:space="preserve"> </w:t>
      </w:r>
      <w:r w:rsidR="00AF6702" w:rsidRPr="00702882">
        <w:t xml:space="preserve">The state of Alaska and the state of Wyoming are </w:t>
      </w:r>
      <w:r w:rsidR="00950B5B" w:rsidRPr="00702882">
        <w:rPr>
          <w:rFonts w:eastAsiaTheme="minorEastAsia"/>
        </w:rPr>
        <w:t>removed</w:t>
      </w:r>
      <w:r w:rsidR="00AF6702" w:rsidRPr="00702882">
        <w:t xml:space="preserve"> from the data set because their budget stabilization funds are too large to be compared to the BSFs in other states. </w:t>
      </w:r>
      <w:r w:rsidR="00950B5B" w:rsidRPr="00702882">
        <w:t>From 2002 to 2020, the average BSF balance for the 50 states is four percent of general fund expenditures</w:t>
      </w:r>
      <w:r w:rsidR="00950B5B" w:rsidRPr="00702882">
        <w:rPr>
          <w:rFonts w:eastAsiaTheme="minorEastAsia"/>
        </w:rPr>
        <w:t xml:space="preserve"> </w:t>
      </w:r>
      <w:sdt>
        <w:sdtPr>
          <w:rPr>
            <w:color w:val="000000"/>
          </w:rPr>
          <w:tag w:val="MENDELEY_CITATION_v3_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"/>
          <w:id w:val="-1967110847"/>
          <w:placeholder>
            <w:docPart w:val="E42851C91DE64A73A92DD4E6AFDB28F7"/>
          </w:placeholder>
        </w:sdtPr>
        <w:sdtContent>
          <w:r w:rsidR="00F520AD" w:rsidRPr="00F520AD">
            <w:rPr>
              <w:color w:val="000000"/>
            </w:rPr>
            <w:t>(Choi, 2022)</w:t>
          </w:r>
        </w:sdtContent>
      </w:sdt>
      <w:r w:rsidR="00950B5B" w:rsidRPr="00702882">
        <w:t>. In comparison, Alaska and Wyoming boast average BSF balances of 122.7 percent and 50.0 percent, respectively</w:t>
      </w:r>
      <w:r w:rsidR="00950B5B" w:rsidRPr="00702882">
        <w:rPr>
          <w:rFonts w:eastAsiaTheme="minorEastAsia"/>
        </w:rPr>
        <w:t xml:space="preserve"> </w:t>
      </w:r>
      <w:sdt>
        <w:sdtPr>
          <w:rPr>
            <w:color w:val="000000"/>
          </w:rPr>
          <w:tag w:val="MENDELEY_CITATION_v3_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"/>
          <w:id w:val="-1316645254"/>
          <w:placeholder>
            <w:docPart w:val="26ED79D905BF4BF8A018A8CBDB532AD6"/>
          </w:placeholder>
        </w:sdtPr>
        <w:sdtContent>
          <w:r w:rsidR="00F520AD" w:rsidRPr="00F520AD">
            <w:rPr>
              <w:color w:val="000000"/>
            </w:rPr>
            <w:t>(Choi, 2022)</w:t>
          </w:r>
        </w:sdtContent>
      </w:sdt>
      <w:r w:rsidR="00AF6702" w:rsidRPr="00702882">
        <w:t xml:space="preserve">. </w:t>
      </w:r>
    </w:p>
    <w:p w14:paraId="451290E3" w14:textId="6957EC8D" w:rsidR="00AF6702" w:rsidRPr="00702882" w:rsidRDefault="00AF6702" w:rsidP="00C66AC4">
      <w:pPr>
        <w:pStyle w:val="ad"/>
        <w:spacing w:before="0" w:beforeAutospacing="0" w:line="480" w:lineRule="auto"/>
        <w:ind w:firstLineChars="295" w:firstLine="708"/>
        <w:contextualSpacing/>
        <w:rPr>
          <w:rFonts w:eastAsiaTheme="minorEastAsia"/>
        </w:rPr>
      </w:pPr>
      <w:r w:rsidRPr="00702882">
        <w:t xml:space="preserve">Kansas and Montana recently established their BSFs, thus I remove them from the dataset. I also do not include the state of Oregon in the data set since the state established its Rainy Day Fund for general purpose in 2007. The state of Colorado does not have an official BSF although it has a “required reserve” (NCSL, 2018). Thus, the state of Colorado is also </w:t>
      </w:r>
      <w:r w:rsidR="00B109D7" w:rsidRPr="00702882">
        <w:rPr>
          <w:rFonts w:eastAsiaTheme="minorEastAsia"/>
        </w:rPr>
        <w:t>excluded</w:t>
      </w:r>
      <w:r w:rsidRPr="00702882">
        <w:t xml:space="preserve"> from the data set.</w:t>
      </w:r>
    </w:p>
    <w:p w14:paraId="744D38F1" w14:textId="77777777" w:rsidR="00AF6702" w:rsidRPr="00702882" w:rsidRDefault="00AF6702" w:rsidP="00C66AC4">
      <w:pPr>
        <w:pStyle w:val="ad"/>
        <w:spacing w:before="0" w:beforeAutospacing="0" w:line="480" w:lineRule="auto"/>
        <w:ind w:firstLineChars="295" w:firstLine="708"/>
        <w:contextualSpacing/>
        <w:rPr>
          <w:rFonts w:eastAsiaTheme="minorEastAsia"/>
          <w:color w:val="7030A0"/>
        </w:rPr>
      </w:pPr>
    </w:p>
    <w:p w14:paraId="4CFFD767" w14:textId="77777777" w:rsidR="00795538" w:rsidRPr="00702882" w:rsidRDefault="00795538" w:rsidP="00C66AC4">
      <w:pPr>
        <w:pStyle w:val="ad"/>
        <w:spacing w:before="0" w:beforeAutospacing="0" w:line="480" w:lineRule="auto"/>
        <w:ind w:firstLineChars="295" w:firstLine="708"/>
        <w:contextualSpacing/>
        <w:rPr>
          <w:rFonts w:eastAsiaTheme="minorEastAsia"/>
          <w:color w:val="7030A0"/>
        </w:rPr>
      </w:pPr>
    </w:p>
    <w:p w14:paraId="518E65A5" w14:textId="77777777" w:rsidR="00AF6702" w:rsidRPr="00702882" w:rsidRDefault="00AF6702" w:rsidP="00C66AC4">
      <w:pPr>
        <w:pStyle w:val="ad"/>
        <w:spacing w:before="0" w:beforeAutospacing="0" w:line="480" w:lineRule="auto"/>
        <w:contextualSpacing/>
        <w:rPr>
          <w:b/>
          <w:bCs/>
          <w:shd w:val="clear" w:color="auto" w:fill="FFFFFF"/>
        </w:rPr>
      </w:pPr>
      <w:r w:rsidRPr="00702882">
        <w:rPr>
          <w:b/>
          <w:bCs/>
          <w:shd w:val="clear" w:color="auto" w:fill="FFFFFF"/>
        </w:rPr>
        <w:lastRenderedPageBreak/>
        <w:t>6.1 Panel Data Analysis</w:t>
      </w:r>
      <w:bookmarkStart w:id="50" w:name="PanelDataAnalysis"/>
      <w:bookmarkEnd w:id="50"/>
    </w:p>
    <w:p w14:paraId="5EDE3A97" w14:textId="6DAEA1E6" w:rsidR="00AF6702" w:rsidRPr="00702882" w:rsidRDefault="00AF6702" w:rsidP="00C66AC4">
      <w:pPr>
        <w:pStyle w:val="ad"/>
        <w:spacing w:before="0" w:beforeAutospacing="0" w:line="480" w:lineRule="auto"/>
        <w:ind w:firstLineChars="295" w:firstLine="708"/>
        <w:contextualSpacing/>
        <w:rPr>
          <w:rFonts w:eastAsiaTheme="minorEastAsia"/>
        </w:rPr>
      </w:pPr>
      <w:r w:rsidRPr="00702882">
        <w:t xml:space="preserve">To examine all hypotheses explained in Chapter 4, fixed-effects models for panel data are used for this study. The main advantage of fixed-effects estimations is the control of omitted variable bias due to unobserved heterogeneity when this heterogeneity is constant over time </w:t>
      </w:r>
      <w:sdt>
        <w:sdtPr>
          <w:rPr>
            <w:color w:val="000000"/>
          </w:rPr>
          <w:tag w:val="MENDELEY_CITATION_v3_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"/>
          <w:id w:val="-736241653"/>
          <w:placeholder>
            <w:docPart w:val="8FA6BD8544A0465F9C13CFEA8F1CA45D"/>
          </w:placeholder>
        </w:sdtPr>
        <w:sdtContent>
          <w:r w:rsidR="00F520AD" w:rsidRPr="00F520AD">
            <w:rPr>
              <w:color w:val="000000"/>
            </w:rPr>
            <w:t>(Hill et al., 2020)</w:t>
          </w:r>
        </w:sdtContent>
      </w:sdt>
      <w:r w:rsidRPr="00702882">
        <w:t xml:space="preserve">. In the fixed-effects models, the unobserved heterogeneity can be </w:t>
      </w:r>
      <w:r w:rsidR="00090C6D" w:rsidRPr="00702882">
        <w:rPr>
          <w:rFonts w:eastAsiaTheme="minorEastAsia"/>
        </w:rPr>
        <w:t>eliminated</w:t>
      </w:r>
      <w:r w:rsidRPr="00702882">
        <w:t xml:space="preserve"> from the data through </w:t>
      </w:r>
      <w:r w:rsidR="00090C6D" w:rsidRPr="00702882">
        <w:rPr>
          <w:rFonts w:eastAsiaTheme="minorEastAsia"/>
        </w:rPr>
        <w:t>“</w:t>
      </w:r>
      <w:r w:rsidRPr="00702882">
        <w:t>differencing, subtracting the group-level average over time</w:t>
      </w:r>
      <w:r w:rsidR="00090C6D" w:rsidRPr="00702882">
        <w:rPr>
          <w:rFonts w:eastAsiaTheme="minorEastAsia"/>
        </w:rPr>
        <w:t>”</w:t>
      </w:r>
      <w:r w:rsidRPr="00702882">
        <w:t xml:space="preserve"> </w:t>
      </w:r>
      <w:sdt>
        <w:sdtPr>
          <w:rPr>
            <w:color w:val="000000"/>
          </w:rPr>
          <w:tag w:val="MENDELEY_CITATION_v3_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"/>
          <w:id w:val="-1154837974"/>
          <w:placeholder>
            <w:docPart w:val="8FA6BD8544A0465F9C13CFEA8F1CA45D"/>
          </w:placeholder>
        </w:sdtPr>
        <w:sdtContent>
          <w:r w:rsidR="00F520AD" w:rsidRPr="00F520AD">
            <w:rPr>
              <w:color w:val="000000"/>
            </w:rPr>
            <w:t>(Wooldridge, 2013)</w:t>
          </w:r>
        </w:sdtContent>
      </w:sdt>
      <w:r w:rsidRPr="00702882">
        <w:t>. The key independent variables are BSF structural features, and the dependent variables include the levels of BSF and GFB. The models are specified to include fixed effects to control for year- and state-specific fixed effects. The plm package in R is used for model estimation.</w:t>
      </w:r>
    </w:p>
    <w:p w14:paraId="0E7A8FEB" w14:textId="5712CA49" w:rsidR="00AF6702" w:rsidRPr="00702882" w:rsidRDefault="000E091F" w:rsidP="00C66AC4">
      <w:pPr>
        <w:pStyle w:val="ad"/>
        <w:spacing w:before="0" w:beforeAutospacing="0" w:line="480" w:lineRule="auto"/>
        <w:ind w:firstLineChars="295" w:firstLine="708"/>
        <w:contextualSpacing/>
      </w:pPr>
      <w:r w:rsidRPr="00702882">
        <w:t>To determine whether to employ fixed effects or random effects, a Hausman test was conducted. The null hypothesis proposes that the preferred model is the random effects model, while the alternative hypothesis suggests a preference for the fixed effects model</w:t>
      </w:r>
      <w:r w:rsidRPr="00702882">
        <w:rPr>
          <w:rFonts w:eastAsiaTheme="minorEastAsia"/>
        </w:rPr>
        <w:t xml:space="preserve"> </w:t>
      </w:r>
      <w:sdt>
        <w:sdtPr>
          <w:rPr>
            <w:color w:val="000000"/>
          </w:rPr>
          <w:tag w:val="MENDELEY_CITATION_v3_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"/>
          <w:id w:val="245928461"/>
          <w:placeholder>
            <w:docPart w:val="CD5613AA820D4FDF93464B697EF6A369"/>
          </w:placeholder>
        </w:sdtPr>
        <w:sdtContent>
          <w:r w:rsidR="00F520AD" w:rsidRPr="00F520AD">
            <w:rPr>
              <w:color w:val="000000"/>
            </w:rPr>
            <w:t>(Greene, 2012)</w:t>
          </w:r>
        </w:sdtContent>
      </w:sdt>
      <w:r w:rsidR="00AF6702" w:rsidRPr="00702882">
        <w:t xml:space="preserve"> The purpose of the Hausman test is to examine whether the unique errors (u</w:t>
      </w:r>
      <w:r w:rsidR="00AF6702" w:rsidRPr="00702882">
        <w:rPr>
          <w:vertAlign w:val="subscript"/>
        </w:rPr>
        <w:t>i</w:t>
      </w:r>
      <w:r w:rsidR="00AF6702" w:rsidRPr="00702882">
        <w:t xml:space="preserve">) in a model are correlated with the regressors </w:t>
      </w:r>
      <w:sdt>
        <w:sdtPr>
          <w:rPr>
            <w:color w:val="000000"/>
          </w:rPr>
          <w:tag w:val="MENDELEY_CITATION_v3_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"/>
          <w:id w:val="-1425345351"/>
          <w:placeholder>
            <w:docPart w:val="CD5613AA820D4FDF93464B697EF6A369"/>
          </w:placeholder>
        </w:sdtPr>
        <w:sdtContent>
          <w:r w:rsidR="00F520AD" w:rsidRPr="00F520AD">
            <w:rPr>
              <w:color w:val="000000"/>
            </w:rPr>
            <w:t>(Torres-Reyna, 2014)</w:t>
          </w:r>
        </w:sdtContent>
      </w:sdt>
      <w:r w:rsidR="00AF6702" w:rsidRPr="00702882">
        <w:t xml:space="preserve">. If the p-value from the test is statistically significant (p &lt; 0.05), it suggests that the fixed effects model is preferred. The results of the Hausman test indicate a significant p-value (p &lt; 0.01), providing justification for selecting the fixed effects model. </w:t>
      </w:r>
    </w:p>
    <w:p w14:paraId="0EEFF4C7" w14:textId="77777777" w:rsidR="00AF6702" w:rsidRPr="00702882" w:rsidRDefault="00AF6702" w:rsidP="00C66AC4">
      <w:pPr>
        <w:pStyle w:val="ad"/>
        <w:spacing w:before="0" w:beforeAutospacing="0" w:line="480" w:lineRule="auto"/>
        <w:contextualSpacing/>
        <w:rPr>
          <w:rFonts w:eastAsiaTheme="minorEastAsia"/>
          <w:b/>
          <w:bCs/>
        </w:rPr>
      </w:pPr>
    </w:p>
    <w:p w14:paraId="0B924659" w14:textId="77777777" w:rsidR="00795538" w:rsidRPr="00702882" w:rsidRDefault="00795538" w:rsidP="00C66AC4">
      <w:pPr>
        <w:pStyle w:val="ad"/>
        <w:spacing w:before="0" w:beforeAutospacing="0" w:line="480" w:lineRule="auto"/>
        <w:contextualSpacing/>
        <w:rPr>
          <w:rFonts w:eastAsiaTheme="minorEastAsia"/>
          <w:b/>
          <w:bCs/>
          <w:color w:val="7030A0"/>
        </w:rPr>
      </w:pPr>
    </w:p>
    <w:p w14:paraId="1CD784E2" w14:textId="77777777" w:rsidR="00795538" w:rsidRPr="00702882" w:rsidRDefault="00795538" w:rsidP="00C66AC4">
      <w:pPr>
        <w:pStyle w:val="ad"/>
        <w:spacing w:before="0" w:beforeAutospacing="0" w:line="480" w:lineRule="auto"/>
        <w:contextualSpacing/>
        <w:rPr>
          <w:rFonts w:eastAsiaTheme="minorEastAsia"/>
          <w:b/>
          <w:bCs/>
          <w:color w:val="7030A0"/>
        </w:rPr>
      </w:pPr>
    </w:p>
    <w:p w14:paraId="26B93CD7" w14:textId="77777777" w:rsidR="00795538" w:rsidRPr="00702882" w:rsidRDefault="00795538" w:rsidP="00C66AC4">
      <w:pPr>
        <w:pStyle w:val="ad"/>
        <w:spacing w:before="0" w:beforeAutospacing="0" w:line="480" w:lineRule="auto"/>
        <w:contextualSpacing/>
        <w:rPr>
          <w:rFonts w:eastAsiaTheme="minorEastAsia"/>
          <w:b/>
          <w:bCs/>
          <w:color w:val="7030A0"/>
        </w:rPr>
      </w:pPr>
    </w:p>
    <w:p w14:paraId="12CD7866" w14:textId="77777777" w:rsidR="00795538" w:rsidRPr="00702882" w:rsidRDefault="00795538" w:rsidP="00C66AC4">
      <w:pPr>
        <w:pStyle w:val="ad"/>
        <w:spacing w:before="0" w:beforeAutospacing="0" w:line="480" w:lineRule="auto"/>
        <w:contextualSpacing/>
        <w:rPr>
          <w:rFonts w:eastAsiaTheme="minorEastAsia"/>
          <w:b/>
          <w:bCs/>
          <w:color w:val="7030A0"/>
        </w:rPr>
      </w:pPr>
    </w:p>
    <w:p w14:paraId="18A796B1" w14:textId="77777777" w:rsidR="00795538" w:rsidRPr="00702882" w:rsidRDefault="00795538" w:rsidP="00C66AC4">
      <w:pPr>
        <w:pStyle w:val="ad"/>
        <w:spacing w:before="0" w:beforeAutospacing="0" w:line="480" w:lineRule="auto"/>
        <w:contextualSpacing/>
        <w:rPr>
          <w:rFonts w:eastAsiaTheme="minorEastAsia"/>
          <w:b/>
          <w:bCs/>
          <w:color w:val="7030A0"/>
        </w:rPr>
      </w:pPr>
    </w:p>
    <w:p w14:paraId="268E37EF" w14:textId="77777777" w:rsidR="00AF6702" w:rsidRPr="00702882" w:rsidRDefault="00AF6702" w:rsidP="00C66AC4">
      <w:pPr>
        <w:spacing w:line="480" w:lineRule="auto"/>
        <w:ind w:left="360"/>
        <w:rPr>
          <w:rFonts w:eastAsia="바탕"/>
          <w:b/>
          <w:bCs/>
          <w:i/>
          <w:iCs/>
        </w:rPr>
      </w:pPr>
      <w:r w:rsidRPr="00702882">
        <w:rPr>
          <w:rFonts w:eastAsia="바탕"/>
          <w:b/>
          <w:bCs/>
          <w:i/>
          <w:iCs/>
        </w:rPr>
        <w:lastRenderedPageBreak/>
        <w:t>6.1.1. Fixed-Effects Model Specification</w:t>
      </w:r>
    </w:p>
    <w:p w14:paraId="390483CC" w14:textId="77777777" w:rsidR="00AF6702" w:rsidRPr="00702882" w:rsidRDefault="00AF6702" w:rsidP="00C66AC4">
      <w:pPr>
        <w:spacing w:line="480" w:lineRule="auto"/>
      </w:pPr>
    </w:p>
    <w:tbl>
      <w:tblPr>
        <w:tblStyle w:val="a7"/>
        <w:tblW w:w="893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6"/>
        <w:gridCol w:w="6946"/>
        <w:gridCol w:w="708"/>
      </w:tblGrid>
      <w:tr w:rsidR="00637074" w:rsidRPr="00702882" w14:paraId="404C2AC5" w14:textId="77777777" w:rsidTr="00C46624">
        <w:trPr>
          <w:jc w:val="center"/>
        </w:trPr>
        <w:tc>
          <w:tcPr>
            <w:tcW w:w="8930" w:type="dxa"/>
            <w:gridSpan w:val="3"/>
          </w:tcPr>
          <w:p w14:paraId="7D40F6E2" w14:textId="77777777" w:rsidR="00AF6702" w:rsidRPr="00702882" w:rsidRDefault="00AF6702" w:rsidP="00C66AC4">
            <w:pPr>
              <w:spacing w:line="480" w:lineRule="auto"/>
              <w:rPr>
                <w:b/>
                <w:bCs/>
                <w:i/>
                <w:iCs/>
              </w:rPr>
            </w:pPr>
            <w:r w:rsidRPr="00702882">
              <w:rPr>
                <w:b/>
                <w:bCs/>
                <w:i/>
                <w:iCs/>
              </w:rPr>
              <w:t xml:space="preserve">Panel data regression </w:t>
            </w:r>
          </w:p>
        </w:tc>
      </w:tr>
      <w:tr w:rsidR="00637074" w:rsidRPr="00702882" w14:paraId="283EAA5F" w14:textId="77777777" w:rsidTr="00C46624">
        <w:trPr>
          <w:jc w:val="center"/>
        </w:trPr>
        <w:tc>
          <w:tcPr>
            <w:tcW w:w="1276" w:type="dxa"/>
          </w:tcPr>
          <w:p w14:paraId="4511AC58" w14:textId="3EAEBBE8" w:rsidR="00AF6702" w:rsidRPr="00702882" w:rsidRDefault="00AF6702" w:rsidP="00C66AC4">
            <w:pPr>
              <w:spacing w:line="480" w:lineRule="auto"/>
              <w:ind w:right="120"/>
              <w:jc w:val="both"/>
              <w:rPr>
                <w:rFonts w:eastAsiaTheme="minorEastAsia"/>
              </w:rPr>
            </w:pPr>
            <w:r w:rsidRPr="00702882">
              <w:t>BSF</w:t>
            </w:r>
            <w:r w:rsidRPr="00702882">
              <w:rPr>
                <w:i/>
                <w:vertAlign w:val="subscript"/>
              </w:rPr>
              <w:t>it</w:t>
            </w:r>
            <w:r w:rsidRPr="00702882">
              <w:rPr>
                <w:rFonts w:eastAsiaTheme="minorEastAsia"/>
              </w:rPr>
              <w:t xml:space="preserve"> </w:t>
            </w:r>
            <w:r w:rsidR="00F20B26">
              <w:rPr>
                <w:rFonts w:eastAsiaTheme="minorEastAsia" w:hint="eastAsia"/>
              </w:rPr>
              <w:t xml:space="preserve"> </w:t>
            </w:r>
            <w:r w:rsidRPr="00702882">
              <w:rPr>
                <w:rFonts w:eastAsiaTheme="minorEastAsia"/>
              </w:rPr>
              <w:t>=</w:t>
            </w:r>
            <w:r w:rsidRPr="00702882">
              <w:t xml:space="preserve">                          </w:t>
            </w:r>
          </w:p>
        </w:tc>
        <w:tc>
          <w:tcPr>
            <w:tcW w:w="6946" w:type="dxa"/>
          </w:tcPr>
          <w:p w14:paraId="520D9192" w14:textId="77777777" w:rsidR="00AF6702" w:rsidRPr="00702882" w:rsidRDefault="00000000" w:rsidP="00637074">
            <w:pPr>
              <w:spacing w:line="480" w:lineRule="auto"/>
            </w:pPr>
            <m:oMath>
              <m:sSub>
                <m:sSubPr>
                  <m:ctrlPr>
                    <w:rPr>
                      <w:rFonts w:ascii="Cambria Math" w:hAnsi="Cambria Math"/>
                      <w:i/>
                    </w:rPr>
                  </m:ctrlPr>
                </m:sSubPr>
                <m:e>
                  <m:r>
                    <w:rPr>
                      <w:rFonts w:ascii="Cambria Math" w:hAnsi="Cambria Math"/>
                    </w:rPr>
                    <m:t>β</m:t>
                  </m:r>
                </m:e>
                <m:sub>
                  <m:r>
                    <w:rPr>
                      <w:rFonts w:ascii="Cambria Math" w:hAnsi="Cambria Math"/>
                    </w:rPr>
                    <m:t>1</m:t>
                  </m:r>
                </m:sub>
              </m:sSub>
            </m:oMath>
            <w:r w:rsidR="00AF6702" w:rsidRPr="00702882">
              <w:rPr>
                <w:iCs/>
              </w:rPr>
              <w:t>GFB</w:t>
            </w:r>
            <w:r w:rsidR="00AF6702" w:rsidRPr="00702882">
              <w:rPr>
                <w:i/>
                <w:vertAlign w:val="subscript"/>
              </w:rPr>
              <w:t xml:space="preserve">it-1 </w:t>
            </w:r>
            <w:r w:rsidR="00AF6702" w:rsidRPr="00702882">
              <w:rPr>
                <w:iCs/>
              </w:rPr>
              <w:t>+</w:t>
            </w:r>
            <m:oMath>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2</m:t>
                  </m:r>
                </m:sub>
              </m:sSub>
            </m:oMath>
            <w:r w:rsidR="00AF6702" w:rsidRPr="00702882">
              <w:t>Deposit</w:t>
            </w:r>
            <w:r w:rsidR="00AF6702" w:rsidRPr="00702882">
              <w:rPr>
                <w:i/>
                <w:vertAlign w:val="subscript"/>
              </w:rPr>
              <w:t xml:space="preserve">it </w:t>
            </w:r>
            <w:r w:rsidR="00AF6702" w:rsidRPr="00702882">
              <w:t xml:space="preserve">+ </w:t>
            </w:r>
            <m:oMath>
              <m:sSub>
                <m:sSubPr>
                  <m:ctrlPr>
                    <w:rPr>
                      <w:rFonts w:ascii="Cambria Math" w:hAnsi="Cambria Math"/>
                      <w:i/>
                    </w:rPr>
                  </m:ctrlPr>
                </m:sSubPr>
                <m:e>
                  <m:r>
                    <w:rPr>
                      <w:rFonts w:ascii="Cambria Math" w:hAnsi="Cambria Math"/>
                    </w:rPr>
                    <m:t>β</m:t>
                  </m:r>
                </m:e>
                <m:sub>
                  <m:r>
                    <w:rPr>
                      <w:rFonts w:ascii="Cambria Math" w:hAnsi="Cambria Math"/>
                    </w:rPr>
                    <m:t>3</m:t>
                  </m:r>
                </m:sub>
              </m:sSub>
            </m:oMath>
            <w:r w:rsidR="00AF6702" w:rsidRPr="00702882">
              <w:t>Withdrawal</w:t>
            </w:r>
            <w:r w:rsidR="00AF6702" w:rsidRPr="00702882">
              <w:rPr>
                <w:i/>
                <w:vertAlign w:val="subscript"/>
              </w:rPr>
              <w:t xml:space="preserve">it </w:t>
            </w:r>
            <w:r w:rsidR="00AF6702" w:rsidRPr="00702882">
              <w:rPr>
                <w:iCs/>
              </w:rPr>
              <w:t xml:space="preserve">+ </w:t>
            </w:r>
            <m:oMath>
              <m:sSub>
                <m:sSubPr>
                  <m:ctrlPr>
                    <w:rPr>
                      <w:rFonts w:ascii="Cambria Math" w:hAnsi="Cambria Math"/>
                      <w:i/>
                    </w:rPr>
                  </m:ctrlPr>
                </m:sSubPr>
                <m:e>
                  <m:r>
                    <w:rPr>
                      <w:rFonts w:ascii="Cambria Math" w:hAnsi="Cambria Math"/>
                    </w:rPr>
                    <m:t>β</m:t>
                  </m:r>
                </m:e>
                <m:sub>
                  <m:r>
                    <w:rPr>
                      <w:rFonts w:ascii="Cambria Math" w:hAnsi="Cambria Math"/>
                    </w:rPr>
                    <m:t>4</m:t>
                  </m:r>
                </m:sub>
              </m:sSub>
            </m:oMath>
            <w:r w:rsidR="00AF6702" w:rsidRPr="00702882">
              <w:t>Restriction</w:t>
            </w:r>
            <w:r w:rsidR="00AF6702" w:rsidRPr="00702882">
              <w:rPr>
                <w:i/>
                <w:iCs/>
                <w:vertAlign w:val="subscript"/>
              </w:rPr>
              <w:t xml:space="preserve">it </w:t>
            </w:r>
            <w:r w:rsidR="00AF6702" w:rsidRPr="00702882">
              <w:t xml:space="preserve"> + </w:t>
            </w:r>
            <m:oMath>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5</m:t>
                  </m:r>
                </m:sub>
              </m:sSub>
            </m:oMath>
            <w:r w:rsidR="00AF6702" w:rsidRPr="00702882">
              <w:rPr>
                <w:iCs/>
              </w:rPr>
              <w:t>Number</w:t>
            </w:r>
            <w:r w:rsidR="00AF6702" w:rsidRPr="00702882">
              <w:rPr>
                <w:i/>
                <w:vertAlign w:val="subscript"/>
              </w:rPr>
              <w:t>it</w:t>
            </w:r>
            <w:r w:rsidR="00AF6702" w:rsidRPr="00702882">
              <w:rPr>
                <w:i/>
              </w:rPr>
              <w:t xml:space="preserve"> </w:t>
            </w:r>
            <w:r w:rsidR="00AF6702" w:rsidRPr="00702882">
              <w:rPr>
                <w:iCs/>
              </w:rPr>
              <w:t xml:space="preserve">+ </w:t>
            </w:r>
            <m:oMath>
              <m:sSub>
                <m:sSubPr>
                  <m:ctrlPr>
                    <w:rPr>
                      <w:rFonts w:ascii="Cambria Math" w:hAnsi="Cambria Math"/>
                      <w:i/>
                    </w:rPr>
                  </m:ctrlPr>
                </m:sSubPr>
                <m:e>
                  <m:r>
                    <w:rPr>
                      <w:rFonts w:ascii="Cambria Math" w:hAnsi="Cambria Math"/>
                    </w:rPr>
                    <m:t>β</m:t>
                  </m:r>
                </m:e>
                <m:sub>
                  <m:r>
                    <w:rPr>
                      <w:rFonts w:ascii="Cambria Math" w:hAnsi="Cambria Math"/>
                    </w:rPr>
                    <m:t>6</m:t>
                  </m:r>
                </m:sub>
              </m:sSub>
            </m:oMath>
            <w:r w:rsidR="00AF6702" w:rsidRPr="00702882">
              <w:t>Economic Conditions</w:t>
            </w:r>
            <w:r w:rsidR="00AF6702" w:rsidRPr="00702882">
              <w:rPr>
                <w:i/>
                <w:iCs/>
                <w:vertAlign w:val="subscript"/>
              </w:rPr>
              <w:t xml:space="preserve">it </w:t>
            </w:r>
            <w:r w:rsidR="00AF6702" w:rsidRPr="00702882">
              <w:rPr>
                <w:iCs/>
              </w:rPr>
              <w:t>+</w:t>
            </w:r>
            <w:r w:rsidR="00AF6702" w:rsidRPr="00702882">
              <w:t xml:space="preserve"> δ</w:t>
            </w:r>
            <w:r w:rsidR="00AF6702" w:rsidRPr="00702882">
              <w:rPr>
                <w:vertAlign w:val="subscript"/>
              </w:rPr>
              <w:t>1</w:t>
            </w:r>
            <w:r w:rsidR="00AF6702" w:rsidRPr="00702882">
              <w:rPr>
                <w:i/>
                <w:iCs/>
              </w:rPr>
              <w:t>w</w:t>
            </w:r>
            <w:r w:rsidR="00AF6702" w:rsidRPr="00702882">
              <w:rPr>
                <w:i/>
                <w:vertAlign w:val="subscript"/>
              </w:rPr>
              <w:t>it</w:t>
            </w:r>
            <w:r w:rsidR="00AF6702" w:rsidRPr="00702882">
              <w:rPr>
                <w:i/>
              </w:rPr>
              <w:t xml:space="preserve"> </w:t>
            </w:r>
            <w:r w:rsidR="00AF6702" w:rsidRPr="00702882">
              <w:t xml:space="preserve">+ </w:t>
            </w:r>
            <m:oMath>
              <m:r>
                <w:rPr>
                  <w:rFonts w:ascii="Cambria Math" w:hAnsi="Cambria Math"/>
                </w:rPr>
                <m:t>α</m:t>
              </m:r>
            </m:oMath>
            <w:r w:rsidR="00AF6702" w:rsidRPr="00702882">
              <w:rPr>
                <w:i/>
                <w:iCs/>
                <w:vertAlign w:val="subscript"/>
              </w:rPr>
              <w:t>i</w:t>
            </w:r>
            <w:r w:rsidR="00AF6702" w:rsidRPr="00702882">
              <w:t xml:space="preserve"> + </w:t>
            </w:r>
            <m:oMath>
              <m:r>
                <w:rPr>
                  <w:rFonts w:ascii="Cambria Math" w:hAnsi="Cambria Math"/>
                </w:rPr>
                <m:t>γ</m:t>
              </m:r>
            </m:oMath>
            <w:r w:rsidR="00AF6702" w:rsidRPr="00702882">
              <w:rPr>
                <w:i/>
                <w:iCs/>
                <w:vertAlign w:val="subscript"/>
              </w:rPr>
              <w:t xml:space="preserve">t </w:t>
            </w:r>
            <w:r w:rsidR="00AF6702" w:rsidRPr="00702882">
              <w:t>+ ε</w:t>
            </w:r>
            <w:r w:rsidR="00AF6702" w:rsidRPr="00702882">
              <w:rPr>
                <w:i/>
                <w:vertAlign w:val="subscript"/>
              </w:rPr>
              <w:t>it</w:t>
            </w:r>
          </w:p>
        </w:tc>
        <w:tc>
          <w:tcPr>
            <w:tcW w:w="708" w:type="dxa"/>
          </w:tcPr>
          <w:p w14:paraId="6D967390" w14:textId="77777777" w:rsidR="00AF6702" w:rsidRPr="00702882" w:rsidRDefault="00AF6702" w:rsidP="00C66AC4">
            <w:pPr>
              <w:spacing w:line="480" w:lineRule="auto"/>
              <w:jc w:val="right"/>
            </w:pPr>
            <w:r w:rsidRPr="00702882">
              <w:t>(1)</w:t>
            </w:r>
          </w:p>
          <w:p w14:paraId="3FDC603C" w14:textId="77777777" w:rsidR="00AF6702" w:rsidRPr="00702882" w:rsidRDefault="00AF6702" w:rsidP="00C66AC4">
            <w:pPr>
              <w:spacing w:line="480" w:lineRule="auto"/>
              <w:ind w:right="480"/>
              <w:rPr>
                <w:rFonts w:eastAsiaTheme="minorEastAsia"/>
              </w:rPr>
            </w:pPr>
          </w:p>
          <w:p w14:paraId="0464C0A2" w14:textId="77777777" w:rsidR="00AF6702" w:rsidRPr="00702882" w:rsidRDefault="00AF6702" w:rsidP="00C66AC4">
            <w:pPr>
              <w:spacing w:line="480" w:lineRule="auto"/>
              <w:ind w:right="480"/>
              <w:rPr>
                <w:rFonts w:eastAsiaTheme="minorEastAsia"/>
              </w:rPr>
            </w:pPr>
          </w:p>
        </w:tc>
      </w:tr>
      <w:tr w:rsidR="00637074" w:rsidRPr="00702882" w14:paraId="6C4679B2" w14:textId="77777777" w:rsidTr="00C46624">
        <w:trPr>
          <w:jc w:val="center"/>
        </w:trPr>
        <w:tc>
          <w:tcPr>
            <w:tcW w:w="1276" w:type="dxa"/>
          </w:tcPr>
          <w:p w14:paraId="071AB5BD" w14:textId="506B8627" w:rsidR="00AF6702" w:rsidRPr="00702882" w:rsidRDefault="00AF6702" w:rsidP="00C66AC4">
            <w:pPr>
              <w:spacing w:line="480" w:lineRule="auto"/>
              <w:ind w:right="120"/>
              <w:jc w:val="both"/>
              <w:rPr>
                <w:rFonts w:eastAsiaTheme="minorEastAsia"/>
              </w:rPr>
            </w:pPr>
            <w:r w:rsidRPr="00702882">
              <w:t>GFB</w:t>
            </w:r>
            <w:r w:rsidRPr="00702882">
              <w:rPr>
                <w:i/>
                <w:vertAlign w:val="subscript"/>
              </w:rPr>
              <w:t>it</w:t>
            </w:r>
            <w:r w:rsidRPr="00702882">
              <w:rPr>
                <w:rFonts w:eastAsiaTheme="minorEastAsia"/>
              </w:rPr>
              <w:t xml:space="preserve"> </w:t>
            </w:r>
            <w:r w:rsidR="00F20B26">
              <w:rPr>
                <w:rFonts w:eastAsiaTheme="minorEastAsia" w:hint="eastAsia"/>
              </w:rPr>
              <w:t xml:space="preserve"> </w:t>
            </w:r>
            <w:r w:rsidRPr="00702882">
              <w:rPr>
                <w:rFonts w:eastAsiaTheme="minorEastAsia"/>
              </w:rPr>
              <w:t>=</w:t>
            </w:r>
            <w:r w:rsidRPr="00702882">
              <w:t xml:space="preserve">                         </w:t>
            </w:r>
          </w:p>
        </w:tc>
        <w:tc>
          <w:tcPr>
            <w:tcW w:w="6946" w:type="dxa"/>
          </w:tcPr>
          <w:p w14:paraId="26BAC21E" w14:textId="77777777" w:rsidR="00AF6702" w:rsidRPr="00702882" w:rsidRDefault="00000000" w:rsidP="00637074">
            <w:pPr>
              <w:spacing w:line="480" w:lineRule="auto"/>
            </w:pPr>
            <m:oMath>
              <m:sSub>
                <m:sSubPr>
                  <m:ctrlPr>
                    <w:rPr>
                      <w:rFonts w:ascii="Cambria Math" w:hAnsi="Cambria Math"/>
                      <w:i/>
                    </w:rPr>
                  </m:ctrlPr>
                </m:sSubPr>
                <m:e>
                  <m:r>
                    <w:rPr>
                      <w:rFonts w:ascii="Cambria Math" w:hAnsi="Cambria Math"/>
                    </w:rPr>
                    <m:t>β</m:t>
                  </m:r>
                </m:e>
                <m:sub>
                  <m:r>
                    <w:rPr>
                      <w:rFonts w:ascii="Cambria Math" w:hAnsi="Cambria Math"/>
                    </w:rPr>
                    <m:t>1</m:t>
                  </m:r>
                </m:sub>
              </m:sSub>
            </m:oMath>
            <w:r w:rsidR="00AF6702" w:rsidRPr="00702882">
              <w:t>BSF</w:t>
            </w:r>
            <w:r w:rsidR="00AF6702" w:rsidRPr="00702882">
              <w:rPr>
                <w:i/>
                <w:vertAlign w:val="subscript"/>
              </w:rPr>
              <w:t>it-1</w:t>
            </w:r>
            <w:r w:rsidR="00AF6702" w:rsidRPr="00702882">
              <w:t xml:space="preserve"> + </w:t>
            </w:r>
            <m:oMath>
              <m:sSub>
                <m:sSubPr>
                  <m:ctrlPr>
                    <w:rPr>
                      <w:rFonts w:ascii="Cambria Math" w:hAnsi="Cambria Math"/>
                      <w:i/>
                    </w:rPr>
                  </m:ctrlPr>
                </m:sSubPr>
                <m:e>
                  <m:r>
                    <w:rPr>
                      <w:rFonts w:ascii="Cambria Math" w:hAnsi="Cambria Math"/>
                    </w:rPr>
                    <m:t>β</m:t>
                  </m:r>
                </m:e>
                <m:sub>
                  <m:r>
                    <w:rPr>
                      <w:rFonts w:ascii="Cambria Math" w:hAnsi="Cambria Math"/>
                    </w:rPr>
                    <m:t>2</m:t>
                  </m:r>
                </m:sub>
              </m:sSub>
            </m:oMath>
            <w:r w:rsidR="00AF6702" w:rsidRPr="00702882">
              <w:t>Deposit</w:t>
            </w:r>
            <w:r w:rsidR="00AF6702" w:rsidRPr="00702882">
              <w:rPr>
                <w:i/>
                <w:vertAlign w:val="subscript"/>
              </w:rPr>
              <w:t>it</w:t>
            </w:r>
            <w:r w:rsidR="00AF6702" w:rsidRPr="00702882">
              <w:t xml:space="preserve"> + </w:t>
            </w:r>
            <m:oMath>
              <m:sSub>
                <m:sSubPr>
                  <m:ctrlPr>
                    <w:rPr>
                      <w:rFonts w:ascii="Cambria Math" w:hAnsi="Cambria Math"/>
                      <w:i/>
                    </w:rPr>
                  </m:ctrlPr>
                </m:sSubPr>
                <m:e>
                  <m:r>
                    <w:rPr>
                      <w:rFonts w:ascii="Cambria Math" w:hAnsi="Cambria Math"/>
                    </w:rPr>
                    <m:t>β</m:t>
                  </m:r>
                </m:e>
                <m:sub>
                  <m:r>
                    <w:rPr>
                      <w:rFonts w:ascii="Cambria Math" w:hAnsi="Cambria Math"/>
                    </w:rPr>
                    <m:t>3</m:t>
                  </m:r>
                </m:sub>
              </m:sSub>
            </m:oMath>
            <w:r w:rsidR="00AF6702" w:rsidRPr="00702882">
              <w:t>Withdrawal</w:t>
            </w:r>
            <w:r w:rsidR="00AF6702" w:rsidRPr="00702882">
              <w:rPr>
                <w:i/>
                <w:vertAlign w:val="subscript"/>
              </w:rPr>
              <w:t>it</w:t>
            </w:r>
            <w:r w:rsidR="00AF6702" w:rsidRPr="00702882">
              <w:t xml:space="preserve"> + </w:t>
            </w:r>
            <m:oMath>
              <m:sSub>
                <m:sSubPr>
                  <m:ctrlPr>
                    <w:rPr>
                      <w:rFonts w:ascii="Cambria Math" w:hAnsi="Cambria Math"/>
                      <w:i/>
                    </w:rPr>
                  </m:ctrlPr>
                </m:sSubPr>
                <m:e>
                  <m:r>
                    <w:rPr>
                      <w:rFonts w:ascii="Cambria Math" w:hAnsi="Cambria Math"/>
                    </w:rPr>
                    <m:t>β</m:t>
                  </m:r>
                </m:e>
                <m:sub>
                  <m:r>
                    <w:rPr>
                      <w:rFonts w:ascii="Cambria Math" w:hAnsi="Cambria Math"/>
                    </w:rPr>
                    <m:t>4</m:t>
                  </m:r>
                </m:sub>
              </m:sSub>
            </m:oMath>
            <w:r w:rsidR="00AF6702" w:rsidRPr="00702882">
              <w:t>Restriction</w:t>
            </w:r>
            <w:r w:rsidR="00AF6702" w:rsidRPr="00702882">
              <w:rPr>
                <w:i/>
                <w:iCs/>
                <w:vertAlign w:val="subscript"/>
              </w:rPr>
              <w:t>it</w:t>
            </w:r>
            <w:r w:rsidR="00AF6702" w:rsidRPr="00702882">
              <w:t xml:space="preserve"> </w:t>
            </w:r>
            <w:r w:rsidR="00AF6702" w:rsidRPr="00702882">
              <w:rPr>
                <w:i/>
                <w:iCs/>
                <w:vertAlign w:val="subscript"/>
              </w:rPr>
              <w:t xml:space="preserve"> </w:t>
            </w:r>
            <w:r w:rsidR="00AF6702" w:rsidRPr="00702882">
              <w:t xml:space="preserve">+ </w:t>
            </w:r>
            <m:oMath>
              <m:sSub>
                <m:sSubPr>
                  <m:ctrlPr>
                    <w:rPr>
                      <w:rFonts w:ascii="Cambria Math" w:hAnsi="Cambria Math"/>
                      <w:i/>
                    </w:rPr>
                  </m:ctrlPr>
                </m:sSubPr>
                <m:e>
                  <m:r>
                    <w:rPr>
                      <w:rFonts w:ascii="Cambria Math" w:hAnsi="Cambria Math"/>
                    </w:rPr>
                    <m:t>β</m:t>
                  </m:r>
                </m:e>
                <m:sub>
                  <m:r>
                    <w:rPr>
                      <w:rFonts w:ascii="Cambria Math" w:hAnsi="Cambria Math"/>
                    </w:rPr>
                    <m:t>5</m:t>
                  </m:r>
                </m:sub>
              </m:sSub>
            </m:oMath>
            <w:r w:rsidR="00AF6702" w:rsidRPr="00702882">
              <w:rPr>
                <w:iCs/>
              </w:rPr>
              <w:t>Number</w:t>
            </w:r>
            <w:r w:rsidR="00AF6702" w:rsidRPr="00702882">
              <w:rPr>
                <w:i/>
                <w:vertAlign w:val="subscript"/>
              </w:rPr>
              <w:t>it</w:t>
            </w:r>
            <w:r w:rsidR="00AF6702" w:rsidRPr="00702882">
              <w:rPr>
                <w:i/>
              </w:rPr>
              <w:t xml:space="preserve"> </w:t>
            </w:r>
            <w:r w:rsidR="00AF6702" w:rsidRPr="00702882">
              <w:rPr>
                <w:iCs/>
              </w:rPr>
              <w:t xml:space="preserve">+ </w:t>
            </w:r>
            <m:oMath>
              <m:sSub>
                <m:sSubPr>
                  <m:ctrlPr>
                    <w:rPr>
                      <w:rFonts w:ascii="Cambria Math" w:hAnsi="Cambria Math"/>
                      <w:i/>
                    </w:rPr>
                  </m:ctrlPr>
                </m:sSubPr>
                <m:e>
                  <m:r>
                    <w:rPr>
                      <w:rFonts w:ascii="Cambria Math" w:hAnsi="Cambria Math"/>
                    </w:rPr>
                    <m:t>β</m:t>
                  </m:r>
                </m:e>
                <m:sub>
                  <m:r>
                    <w:rPr>
                      <w:rFonts w:ascii="Cambria Math" w:hAnsi="Cambria Math"/>
                    </w:rPr>
                    <m:t>6</m:t>
                  </m:r>
                </m:sub>
              </m:sSub>
            </m:oMath>
            <w:r w:rsidR="00AF6702" w:rsidRPr="00702882">
              <w:t>Economic Conditions</w:t>
            </w:r>
            <w:r w:rsidR="00AF6702" w:rsidRPr="00702882">
              <w:rPr>
                <w:i/>
                <w:iCs/>
                <w:vertAlign w:val="subscript"/>
              </w:rPr>
              <w:t xml:space="preserve">it </w:t>
            </w:r>
            <w:r w:rsidR="00AF6702" w:rsidRPr="00702882">
              <w:t>+ δ</w:t>
            </w:r>
            <w:r w:rsidR="00AF6702" w:rsidRPr="00702882">
              <w:rPr>
                <w:vertAlign w:val="subscript"/>
              </w:rPr>
              <w:t>1</w:t>
            </w:r>
            <w:r w:rsidR="00AF6702" w:rsidRPr="00702882">
              <w:rPr>
                <w:i/>
                <w:iCs/>
              </w:rPr>
              <w:t>w</w:t>
            </w:r>
            <w:r w:rsidR="00AF6702" w:rsidRPr="00702882">
              <w:rPr>
                <w:i/>
                <w:vertAlign w:val="subscript"/>
              </w:rPr>
              <w:t>it</w:t>
            </w:r>
            <w:r w:rsidR="00AF6702" w:rsidRPr="00702882">
              <w:rPr>
                <w:i/>
              </w:rPr>
              <w:t xml:space="preserve"> </w:t>
            </w:r>
            <w:r w:rsidR="00AF6702" w:rsidRPr="00702882">
              <w:t xml:space="preserve">+ </w:t>
            </w:r>
            <m:oMath>
              <m:r>
                <w:rPr>
                  <w:rFonts w:ascii="Cambria Math" w:hAnsi="Cambria Math"/>
                </w:rPr>
                <m:t>α</m:t>
              </m:r>
            </m:oMath>
            <w:r w:rsidR="00AF6702" w:rsidRPr="00702882">
              <w:rPr>
                <w:i/>
                <w:iCs/>
                <w:vertAlign w:val="subscript"/>
              </w:rPr>
              <w:t>i</w:t>
            </w:r>
            <w:r w:rsidR="00AF6702" w:rsidRPr="00702882">
              <w:t xml:space="preserve"> + </w:t>
            </w:r>
            <m:oMath>
              <m:r>
                <w:rPr>
                  <w:rFonts w:ascii="Cambria Math" w:hAnsi="Cambria Math"/>
                </w:rPr>
                <m:t>γ</m:t>
              </m:r>
            </m:oMath>
            <w:r w:rsidR="00AF6702" w:rsidRPr="00702882">
              <w:rPr>
                <w:i/>
                <w:iCs/>
                <w:vertAlign w:val="subscript"/>
              </w:rPr>
              <w:t xml:space="preserve">t </w:t>
            </w:r>
            <w:r w:rsidR="00AF6702" w:rsidRPr="00702882">
              <w:t>+ ε</w:t>
            </w:r>
            <w:r w:rsidR="00AF6702" w:rsidRPr="00702882">
              <w:rPr>
                <w:i/>
                <w:vertAlign w:val="subscript"/>
              </w:rPr>
              <w:t>it</w:t>
            </w:r>
          </w:p>
        </w:tc>
        <w:tc>
          <w:tcPr>
            <w:tcW w:w="708" w:type="dxa"/>
          </w:tcPr>
          <w:p w14:paraId="65B5C40D" w14:textId="77777777" w:rsidR="00AF6702" w:rsidRPr="00702882" w:rsidRDefault="00AF6702" w:rsidP="00C66AC4">
            <w:pPr>
              <w:spacing w:line="480" w:lineRule="auto"/>
              <w:jc w:val="right"/>
            </w:pPr>
            <w:r w:rsidRPr="00702882">
              <w:t>(2)</w:t>
            </w:r>
          </w:p>
          <w:p w14:paraId="092F07AF" w14:textId="77777777" w:rsidR="00AF6702" w:rsidRPr="00702882" w:rsidRDefault="00AF6702" w:rsidP="00C66AC4">
            <w:pPr>
              <w:spacing w:line="480" w:lineRule="auto"/>
              <w:ind w:right="480"/>
            </w:pPr>
          </w:p>
        </w:tc>
      </w:tr>
    </w:tbl>
    <w:p w14:paraId="66B7998C" w14:textId="77777777" w:rsidR="00AF6702" w:rsidRPr="00702882" w:rsidRDefault="00AF6702" w:rsidP="00C66AC4">
      <w:pPr>
        <w:spacing w:line="480" w:lineRule="auto"/>
        <w:rPr>
          <w:rFonts w:eastAsiaTheme="minorEastAsia"/>
          <w:color w:val="7030A0"/>
        </w:rPr>
      </w:pPr>
    </w:p>
    <w:p w14:paraId="649EBF56" w14:textId="77777777" w:rsidR="002058F4" w:rsidRPr="00702882" w:rsidRDefault="00AF6702" w:rsidP="00C66AC4">
      <w:pPr>
        <w:spacing w:line="480" w:lineRule="auto"/>
        <w:ind w:firstLine="720"/>
        <w:rPr>
          <w:rFonts w:eastAsiaTheme="minorEastAsia"/>
        </w:rPr>
      </w:pPr>
      <w:r w:rsidRPr="00702882">
        <w:t xml:space="preserve">In the fixed-effects models expressed as equations 1 and 2, the left-hand side variables indicate the measures of BSF and GFB size of the state </w:t>
      </w:r>
      <w:r w:rsidRPr="00702882">
        <w:rPr>
          <w:i/>
          <w:iCs/>
        </w:rPr>
        <w:t xml:space="preserve">i </w:t>
      </w:r>
      <w:r w:rsidRPr="00702882">
        <w:t xml:space="preserve">in year </w:t>
      </w:r>
      <w:r w:rsidRPr="00702882">
        <w:rPr>
          <w:i/>
          <w:iCs/>
        </w:rPr>
        <w:t>t</w:t>
      </w:r>
      <w:r w:rsidRPr="00702882">
        <w:t xml:space="preserve">, respectively. Specifically, the size of BSF is measured by the total dollar balance of BSF calculated as a percent of general fund expenditures in equation 1. The size of GFB is measured by the total dollar balance of GFB calculated as a percent of general fund expenditures in equation 2. </w:t>
      </w:r>
    </w:p>
    <w:p w14:paraId="2C8A81AD" w14:textId="7BED627A" w:rsidR="00AF6702" w:rsidRPr="00702882" w:rsidRDefault="00AF6702" w:rsidP="00C66AC4">
      <w:pPr>
        <w:spacing w:line="480" w:lineRule="auto"/>
        <w:ind w:firstLine="720"/>
        <w:rPr>
          <w:rFonts w:eastAsia="바탕"/>
        </w:rPr>
      </w:pPr>
      <w:r w:rsidRPr="00702882">
        <w:t xml:space="preserve">The right-hand side variables include the key independent variables, such as structural features, lagged BSF and lagged GFB levels. Deposit refers to a vector of deposit </w:t>
      </w:r>
      <w:r w:rsidRPr="00702882">
        <w:rPr>
          <w:rFonts w:eastAsia="바탕"/>
        </w:rPr>
        <w:t>requirements</w:t>
      </w:r>
      <w:r w:rsidRPr="00702882">
        <w:t>. Withdrawal indicates a vector of withdrawal requirements. Restriction denotes a vector of withdrawal restrictions. Number represents a number of BSF that a state has. Economic conditions</w:t>
      </w:r>
      <w:r w:rsidRPr="00702882">
        <w:rPr>
          <w:i/>
          <w:vertAlign w:val="subscript"/>
        </w:rPr>
        <w:t xml:space="preserve"> </w:t>
      </w:r>
      <w:r w:rsidRPr="00702882">
        <w:rPr>
          <w:iCs/>
        </w:rPr>
        <w:t xml:space="preserve">capture the periods and degree of the fiscal stress that a state had faced. </w:t>
      </w:r>
      <w:r w:rsidRPr="00702882">
        <w:rPr>
          <w:i/>
          <w:iCs/>
        </w:rPr>
        <w:t>w</w:t>
      </w:r>
      <w:r w:rsidRPr="00702882">
        <w:rPr>
          <w:i/>
          <w:vertAlign w:val="subscript"/>
        </w:rPr>
        <w:t>it</w:t>
      </w:r>
      <w:r w:rsidRPr="00702882">
        <w:rPr>
          <w:rFonts w:eastAsia="바탕"/>
        </w:rPr>
        <w:t xml:space="preserve"> is a column vector of control variables. </w:t>
      </w:r>
      <m:oMath>
        <m:r>
          <w:rPr>
            <w:rFonts w:ascii="Cambria Math" w:hAnsi="Cambria Math"/>
          </w:rPr>
          <m:t>α</m:t>
        </m:r>
      </m:oMath>
      <w:r w:rsidRPr="00702882">
        <w:rPr>
          <w:i/>
          <w:iCs/>
          <w:vertAlign w:val="subscript"/>
        </w:rPr>
        <w:t xml:space="preserve">i </w:t>
      </w:r>
      <w:r w:rsidRPr="00702882">
        <w:t xml:space="preserve">and </w:t>
      </w:r>
      <m:oMath>
        <m:r>
          <w:rPr>
            <w:rFonts w:ascii="Cambria Math" w:hAnsi="Cambria Math"/>
          </w:rPr>
          <m:t>γ</m:t>
        </m:r>
      </m:oMath>
      <w:r w:rsidRPr="00702882">
        <w:rPr>
          <w:i/>
          <w:iCs/>
          <w:vertAlign w:val="subscript"/>
        </w:rPr>
        <w:t>t</w:t>
      </w:r>
      <w:r w:rsidR="002058F4" w:rsidRPr="00702882">
        <w:rPr>
          <w:rFonts w:eastAsiaTheme="minorEastAsia"/>
        </w:rPr>
        <w:t xml:space="preserve"> </w:t>
      </w:r>
      <w:r w:rsidRPr="00702882">
        <w:t>are the state- and year-fixed effects to control for i) time-invariant state-specific effects and ii) aggregate cross-sectional effects at the national level, respectively. ε</w:t>
      </w:r>
      <w:r w:rsidRPr="00702882">
        <w:rPr>
          <w:i/>
          <w:vertAlign w:val="subscript"/>
        </w:rPr>
        <w:t>it</w:t>
      </w:r>
      <w:r w:rsidRPr="00702882">
        <w:rPr>
          <w:iCs/>
        </w:rPr>
        <w:t xml:space="preserve"> is</w:t>
      </w:r>
      <w:r w:rsidRPr="00702882">
        <w:rPr>
          <w:rFonts w:eastAsia="바탕"/>
        </w:rPr>
        <w:t xml:space="preserve"> a random disturbance. </w:t>
      </w:r>
    </w:p>
    <w:p w14:paraId="6AA8580C" w14:textId="77777777" w:rsidR="008D265E" w:rsidRPr="00702882" w:rsidRDefault="008D265E" w:rsidP="00C66AC4">
      <w:pPr>
        <w:spacing w:line="480" w:lineRule="auto"/>
        <w:ind w:firstLine="720"/>
        <w:rPr>
          <w:rFonts w:eastAsia="바탕"/>
          <w:color w:val="7030A0"/>
        </w:rPr>
      </w:pPr>
    </w:p>
    <w:p w14:paraId="4E0A32BC" w14:textId="77777777" w:rsidR="00795538" w:rsidRPr="00702882" w:rsidRDefault="00795538" w:rsidP="00C66AC4">
      <w:pPr>
        <w:spacing w:line="480" w:lineRule="auto"/>
        <w:ind w:firstLine="720"/>
        <w:rPr>
          <w:rFonts w:eastAsia="바탕"/>
          <w:color w:val="7030A0"/>
        </w:rPr>
      </w:pPr>
    </w:p>
    <w:p w14:paraId="589DA050" w14:textId="5CE7567C" w:rsidR="00AF6702" w:rsidRPr="00702882" w:rsidRDefault="00AF6702" w:rsidP="00C46624">
      <w:pPr>
        <w:spacing w:before="240" w:line="480" w:lineRule="auto"/>
        <w:contextualSpacing/>
        <w:jc w:val="center"/>
        <w:rPr>
          <w:rFonts w:eastAsiaTheme="minorEastAsia"/>
          <w:b/>
          <w:bCs/>
        </w:rPr>
      </w:pPr>
      <w:r w:rsidRPr="00702882">
        <w:rPr>
          <w:b/>
          <w:bCs/>
        </w:rPr>
        <w:lastRenderedPageBreak/>
        <w:t>Table 9</w:t>
      </w:r>
      <w:r w:rsidRPr="00702882">
        <w:rPr>
          <w:rFonts w:eastAsiaTheme="minorEastAsia"/>
          <w:b/>
          <w:bCs/>
        </w:rPr>
        <w:t>. Fixed Effects</w:t>
      </w:r>
      <w:r w:rsidRPr="00702882">
        <w:rPr>
          <w:b/>
          <w:bCs/>
        </w:rPr>
        <w:t xml:space="preserve"> Models</w:t>
      </w:r>
    </w:p>
    <w:p w14:paraId="321C0E6E" w14:textId="77777777" w:rsidR="00AF6702" w:rsidRPr="00702882" w:rsidRDefault="00AF6702" w:rsidP="00C46624">
      <w:pPr>
        <w:spacing w:before="240" w:line="480" w:lineRule="auto"/>
        <w:contextualSpacing/>
        <w:jc w:val="center"/>
        <w:rPr>
          <w:rFonts w:eastAsiaTheme="minorEastAsia"/>
          <w:b/>
          <w:bCs/>
        </w:rPr>
      </w:pPr>
      <w:bookmarkStart w:id="51" w:name="PanelDataModelsTheEffectsofBSFStructures"/>
      <w:bookmarkEnd w:id="51"/>
      <w:r w:rsidRPr="00702882">
        <w:rPr>
          <w:b/>
          <w:bCs/>
        </w:rPr>
        <w:t>The Effects of BSF Structures on BSF Levels</w:t>
      </w:r>
    </w:p>
    <w:tbl>
      <w:tblPr>
        <w:tblW w:w="0" w:type="auto"/>
        <w:jc w:val="center"/>
        <w:tblBorders>
          <w:top w:val="single" w:sz="12" w:space="0" w:color="000000"/>
        </w:tblBorders>
        <w:tblCellMar>
          <w:top w:w="15" w:type="dxa"/>
          <w:left w:w="15" w:type="dxa"/>
          <w:bottom w:w="15" w:type="dxa"/>
          <w:right w:w="15" w:type="dxa"/>
        </w:tblCellMar>
        <w:tblLook w:val="04A0" w:firstRow="1" w:lastRow="0" w:firstColumn="1" w:lastColumn="0" w:noHBand="0" w:noVBand="1"/>
      </w:tblPr>
      <w:tblGrid>
        <w:gridCol w:w="3250"/>
        <w:gridCol w:w="1295"/>
        <w:gridCol w:w="1295"/>
        <w:gridCol w:w="1295"/>
        <w:gridCol w:w="1295"/>
      </w:tblGrid>
      <w:tr w:rsidR="002058F4" w:rsidRPr="00702882" w14:paraId="1DECD582" w14:textId="77777777" w:rsidTr="00AE6820">
        <w:trPr>
          <w:tblHeader/>
          <w:jc w:val="center"/>
        </w:trPr>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796264FA" w14:textId="77777777" w:rsidR="00AF6702" w:rsidRPr="00702882" w:rsidRDefault="00AF6702" w:rsidP="008D265E">
            <w:pPr>
              <w:spacing w:before="150" w:after="150"/>
              <w:contextualSpacing/>
              <w:jc w:val="center"/>
              <w:rPr>
                <w:b/>
                <w:bCs/>
                <w:sz w:val="20"/>
                <w:szCs w:val="20"/>
              </w:rPr>
            </w:pPr>
            <w:r w:rsidRPr="00702882">
              <w:rPr>
                <w:b/>
                <w:bCs/>
                <w:sz w:val="20"/>
                <w:szCs w:val="20"/>
              </w:rPr>
              <w:t> </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4EC8D4EA" w14:textId="77777777" w:rsidR="00AF6702" w:rsidRPr="00702882" w:rsidRDefault="00AF6702" w:rsidP="008D265E">
            <w:pPr>
              <w:spacing w:before="150" w:after="150"/>
              <w:contextualSpacing/>
              <w:jc w:val="center"/>
              <w:rPr>
                <w:b/>
                <w:bCs/>
                <w:sz w:val="20"/>
                <w:szCs w:val="20"/>
              </w:rPr>
            </w:pPr>
            <w:r w:rsidRPr="00702882">
              <w:rPr>
                <w:b/>
                <w:bCs/>
                <w:sz w:val="20"/>
                <w:szCs w:val="20"/>
              </w:rPr>
              <w:t>Model 1</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099CE5DC" w14:textId="77777777" w:rsidR="00AF6702" w:rsidRPr="00702882" w:rsidRDefault="00AF6702" w:rsidP="008D265E">
            <w:pPr>
              <w:spacing w:before="150" w:after="150"/>
              <w:contextualSpacing/>
              <w:jc w:val="center"/>
              <w:rPr>
                <w:b/>
                <w:bCs/>
                <w:sz w:val="20"/>
                <w:szCs w:val="20"/>
              </w:rPr>
            </w:pPr>
            <w:r w:rsidRPr="00702882">
              <w:rPr>
                <w:b/>
                <w:bCs/>
                <w:sz w:val="20"/>
                <w:szCs w:val="20"/>
              </w:rPr>
              <w:t>Model 2</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632ADC05" w14:textId="77777777" w:rsidR="00AF6702" w:rsidRPr="00702882" w:rsidRDefault="00AF6702" w:rsidP="008D265E">
            <w:pPr>
              <w:spacing w:before="150" w:after="150"/>
              <w:contextualSpacing/>
              <w:jc w:val="center"/>
              <w:rPr>
                <w:b/>
                <w:bCs/>
                <w:sz w:val="20"/>
                <w:szCs w:val="20"/>
              </w:rPr>
            </w:pPr>
            <w:r w:rsidRPr="00702882">
              <w:rPr>
                <w:b/>
                <w:bCs/>
                <w:sz w:val="20"/>
                <w:szCs w:val="20"/>
              </w:rPr>
              <w:t>Model 3</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7E47A75F" w14:textId="77777777" w:rsidR="00AF6702" w:rsidRPr="00702882" w:rsidRDefault="00AF6702" w:rsidP="008D265E">
            <w:pPr>
              <w:spacing w:before="150" w:after="150"/>
              <w:contextualSpacing/>
              <w:jc w:val="center"/>
              <w:rPr>
                <w:b/>
                <w:bCs/>
                <w:sz w:val="20"/>
                <w:szCs w:val="20"/>
              </w:rPr>
            </w:pPr>
            <w:r w:rsidRPr="00702882">
              <w:rPr>
                <w:b/>
                <w:bCs/>
                <w:sz w:val="20"/>
                <w:szCs w:val="20"/>
              </w:rPr>
              <w:t>Model 4</w:t>
            </w:r>
          </w:p>
        </w:tc>
      </w:tr>
      <w:tr w:rsidR="002058F4" w:rsidRPr="00702882" w14:paraId="759AF395" w14:textId="77777777" w:rsidTr="00AE6820">
        <w:trPr>
          <w:jc w:val="center"/>
        </w:trPr>
        <w:tc>
          <w:tcPr>
            <w:tcW w:w="0" w:type="auto"/>
            <w:tcBorders>
              <w:top w:val="single" w:sz="8" w:space="0" w:color="auto"/>
            </w:tcBorders>
            <w:tcMar>
              <w:top w:w="15" w:type="dxa"/>
              <w:left w:w="75" w:type="dxa"/>
              <w:bottom w:w="15" w:type="dxa"/>
              <w:right w:w="75" w:type="dxa"/>
            </w:tcMar>
            <w:vAlign w:val="center"/>
            <w:hideMark/>
          </w:tcPr>
          <w:p w14:paraId="21C7A895" w14:textId="77777777" w:rsidR="00AF6702" w:rsidRPr="00702882" w:rsidRDefault="00AF6702" w:rsidP="008D265E">
            <w:pPr>
              <w:spacing w:before="150" w:after="150"/>
              <w:contextualSpacing/>
              <w:rPr>
                <w:sz w:val="20"/>
                <w:szCs w:val="20"/>
              </w:rPr>
            </w:pPr>
            <w:r w:rsidRPr="00702882">
              <w:rPr>
                <w:sz w:val="20"/>
                <w:szCs w:val="20"/>
              </w:rPr>
              <w:t>GFB_percent_lag</w:t>
            </w:r>
          </w:p>
        </w:tc>
        <w:tc>
          <w:tcPr>
            <w:tcW w:w="0" w:type="auto"/>
            <w:tcBorders>
              <w:top w:val="single" w:sz="8" w:space="0" w:color="auto"/>
            </w:tcBorders>
            <w:tcMar>
              <w:top w:w="15" w:type="dxa"/>
              <w:left w:w="75" w:type="dxa"/>
              <w:bottom w:w="15" w:type="dxa"/>
              <w:right w:w="75" w:type="dxa"/>
            </w:tcMar>
            <w:vAlign w:val="center"/>
            <w:hideMark/>
          </w:tcPr>
          <w:p w14:paraId="039B1321" w14:textId="77777777" w:rsidR="00AF6702" w:rsidRPr="00702882" w:rsidRDefault="00AF6702" w:rsidP="008D265E">
            <w:pPr>
              <w:spacing w:before="150" w:after="150"/>
              <w:contextualSpacing/>
              <w:rPr>
                <w:sz w:val="20"/>
                <w:szCs w:val="20"/>
              </w:rPr>
            </w:pPr>
            <w:r w:rsidRPr="00702882">
              <w:rPr>
                <w:sz w:val="20"/>
                <w:szCs w:val="20"/>
              </w:rPr>
              <w:t>0.18 (0.05)</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6F3998E6" w14:textId="77777777" w:rsidR="00AF6702" w:rsidRPr="00702882" w:rsidRDefault="00AF6702" w:rsidP="008D265E">
            <w:pPr>
              <w:spacing w:before="150" w:after="150"/>
              <w:contextualSpacing/>
              <w:rPr>
                <w:sz w:val="20"/>
                <w:szCs w:val="20"/>
              </w:rPr>
            </w:pPr>
            <w:r w:rsidRPr="00702882">
              <w:rPr>
                <w:sz w:val="20"/>
                <w:szCs w:val="20"/>
              </w:rPr>
              <w:t>0.19 (0.05)</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0FABAD70" w14:textId="77777777" w:rsidR="00AF6702" w:rsidRPr="00702882" w:rsidRDefault="00AF6702" w:rsidP="008D265E">
            <w:pPr>
              <w:spacing w:before="150" w:after="150"/>
              <w:contextualSpacing/>
              <w:rPr>
                <w:sz w:val="20"/>
                <w:szCs w:val="20"/>
              </w:rPr>
            </w:pPr>
            <w:r w:rsidRPr="00702882">
              <w:rPr>
                <w:sz w:val="20"/>
                <w:szCs w:val="20"/>
              </w:rPr>
              <w:t>0.19 (0.05)</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48295B28" w14:textId="77777777" w:rsidR="00AF6702" w:rsidRPr="00702882" w:rsidRDefault="00AF6702" w:rsidP="008D265E">
            <w:pPr>
              <w:spacing w:before="150" w:after="150"/>
              <w:contextualSpacing/>
              <w:rPr>
                <w:sz w:val="20"/>
                <w:szCs w:val="20"/>
              </w:rPr>
            </w:pPr>
            <w:r w:rsidRPr="00702882">
              <w:rPr>
                <w:sz w:val="20"/>
                <w:szCs w:val="20"/>
              </w:rPr>
              <w:t>0.19 (0.05)</w:t>
            </w:r>
            <w:r w:rsidRPr="00702882">
              <w:rPr>
                <w:sz w:val="20"/>
                <w:szCs w:val="20"/>
                <w:vertAlign w:val="superscript"/>
              </w:rPr>
              <w:t>***</w:t>
            </w:r>
          </w:p>
        </w:tc>
      </w:tr>
      <w:tr w:rsidR="002058F4" w:rsidRPr="00702882" w14:paraId="51230111" w14:textId="77777777" w:rsidTr="00AE6820">
        <w:trPr>
          <w:jc w:val="center"/>
        </w:trPr>
        <w:tc>
          <w:tcPr>
            <w:tcW w:w="0" w:type="auto"/>
            <w:tcMar>
              <w:top w:w="15" w:type="dxa"/>
              <w:left w:w="75" w:type="dxa"/>
              <w:bottom w:w="15" w:type="dxa"/>
              <w:right w:w="75" w:type="dxa"/>
            </w:tcMar>
            <w:vAlign w:val="center"/>
            <w:hideMark/>
          </w:tcPr>
          <w:p w14:paraId="547F841A" w14:textId="77777777" w:rsidR="00AF6702" w:rsidRPr="00702882" w:rsidRDefault="00AF6702" w:rsidP="008D265E">
            <w:pPr>
              <w:spacing w:before="150" w:after="150"/>
              <w:contextualSpacing/>
              <w:rPr>
                <w:sz w:val="20"/>
                <w:szCs w:val="20"/>
              </w:rPr>
            </w:pPr>
            <w:r w:rsidRPr="00702882">
              <w:rPr>
                <w:sz w:val="20"/>
                <w:szCs w:val="20"/>
              </w:rPr>
              <w:t>Number</w:t>
            </w:r>
          </w:p>
        </w:tc>
        <w:tc>
          <w:tcPr>
            <w:tcW w:w="0" w:type="auto"/>
            <w:tcMar>
              <w:top w:w="15" w:type="dxa"/>
              <w:left w:w="75" w:type="dxa"/>
              <w:bottom w:w="15" w:type="dxa"/>
              <w:right w:w="75" w:type="dxa"/>
            </w:tcMar>
            <w:vAlign w:val="center"/>
            <w:hideMark/>
          </w:tcPr>
          <w:p w14:paraId="3AFBC5B8" w14:textId="77777777" w:rsidR="00AF6702" w:rsidRPr="00702882" w:rsidRDefault="00AF6702" w:rsidP="008D265E">
            <w:pPr>
              <w:spacing w:before="150" w:after="150"/>
              <w:contextualSpacing/>
              <w:rPr>
                <w:sz w:val="20"/>
                <w:szCs w:val="20"/>
              </w:rPr>
            </w:pPr>
            <w:r w:rsidRPr="00702882">
              <w:rPr>
                <w:sz w:val="20"/>
                <w:szCs w:val="20"/>
              </w:rPr>
              <w:t>1.54 (1.75)</w:t>
            </w:r>
          </w:p>
        </w:tc>
        <w:tc>
          <w:tcPr>
            <w:tcW w:w="0" w:type="auto"/>
            <w:tcMar>
              <w:top w:w="15" w:type="dxa"/>
              <w:left w:w="75" w:type="dxa"/>
              <w:bottom w:w="15" w:type="dxa"/>
              <w:right w:w="75" w:type="dxa"/>
            </w:tcMar>
            <w:vAlign w:val="center"/>
            <w:hideMark/>
          </w:tcPr>
          <w:p w14:paraId="67DCE960" w14:textId="77777777" w:rsidR="00AF6702" w:rsidRPr="00702882" w:rsidRDefault="00AF6702" w:rsidP="008D265E">
            <w:pPr>
              <w:spacing w:before="150" w:after="150"/>
              <w:contextualSpacing/>
              <w:rPr>
                <w:sz w:val="20"/>
                <w:szCs w:val="20"/>
              </w:rPr>
            </w:pPr>
            <w:r w:rsidRPr="00702882">
              <w:rPr>
                <w:sz w:val="20"/>
                <w:szCs w:val="20"/>
              </w:rPr>
              <w:t>1.27 (2.10)</w:t>
            </w:r>
          </w:p>
        </w:tc>
        <w:tc>
          <w:tcPr>
            <w:tcW w:w="0" w:type="auto"/>
            <w:tcMar>
              <w:top w:w="15" w:type="dxa"/>
              <w:left w:w="75" w:type="dxa"/>
              <w:bottom w:w="15" w:type="dxa"/>
              <w:right w:w="75" w:type="dxa"/>
            </w:tcMar>
            <w:vAlign w:val="center"/>
            <w:hideMark/>
          </w:tcPr>
          <w:p w14:paraId="20F1F74C" w14:textId="77777777" w:rsidR="00AF6702" w:rsidRPr="00702882" w:rsidRDefault="00AF6702" w:rsidP="008D265E">
            <w:pPr>
              <w:spacing w:before="150" w:after="150"/>
              <w:contextualSpacing/>
              <w:rPr>
                <w:sz w:val="20"/>
                <w:szCs w:val="20"/>
              </w:rPr>
            </w:pPr>
            <w:r w:rsidRPr="00702882">
              <w:rPr>
                <w:sz w:val="20"/>
                <w:szCs w:val="20"/>
              </w:rPr>
              <w:t>2.05 (2.63)</w:t>
            </w:r>
          </w:p>
        </w:tc>
        <w:tc>
          <w:tcPr>
            <w:tcW w:w="0" w:type="auto"/>
            <w:tcMar>
              <w:top w:w="15" w:type="dxa"/>
              <w:left w:w="75" w:type="dxa"/>
              <w:bottom w:w="15" w:type="dxa"/>
              <w:right w:w="75" w:type="dxa"/>
            </w:tcMar>
            <w:vAlign w:val="center"/>
            <w:hideMark/>
          </w:tcPr>
          <w:p w14:paraId="7DA8D5E7" w14:textId="77777777" w:rsidR="00AF6702" w:rsidRPr="00702882" w:rsidRDefault="00AF6702" w:rsidP="008D265E">
            <w:pPr>
              <w:spacing w:before="150" w:after="150"/>
              <w:contextualSpacing/>
              <w:rPr>
                <w:sz w:val="20"/>
                <w:szCs w:val="20"/>
              </w:rPr>
            </w:pPr>
            <w:r w:rsidRPr="00702882">
              <w:rPr>
                <w:sz w:val="20"/>
                <w:szCs w:val="20"/>
              </w:rPr>
              <w:t>1.31 (1.72)</w:t>
            </w:r>
          </w:p>
        </w:tc>
      </w:tr>
      <w:tr w:rsidR="002058F4" w:rsidRPr="00702882" w14:paraId="0F23E946" w14:textId="77777777" w:rsidTr="00AE6820">
        <w:trPr>
          <w:jc w:val="center"/>
        </w:trPr>
        <w:tc>
          <w:tcPr>
            <w:tcW w:w="0" w:type="auto"/>
            <w:shd w:val="clear" w:color="auto" w:fill="auto"/>
            <w:tcMar>
              <w:top w:w="15" w:type="dxa"/>
              <w:left w:w="75" w:type="dxa"/>
              <w:bottom w:w="15" w:type="dxa"/>
              <w:right w:w="75" w:type="dxa"/>
            </w:tcMar>
            <w:vAlign w:val="center"/>
            <w:hideMark/>
          </w:tcPr>
          <w:p w14:paraId="46ECD6A5" w14:textId="77777777" w:rsidR="00AF6702" w:rsidRPr="00702882" w:rsidRDefault="00AF6702" w:rsidP="008D265E">
            <w:pPr>
              <w:spacing w:before="150" w:after="150"/>
              <w:contextualSpacing/>
              <w:rPr>
                <w:sz w:val="20"/>
                <w:szCs w:val="20"/>
              </w:rPr>
            </w:pPr>
            <w:r w:rsidRPr="00702882">
              <w:rPr>
                <w:sz w:val="20"/>
                <w:szCs w:val="20"/>
              </w:rPr>
              <w:t>Source_percent</w:t>
            </w:r>
          </w:p>
        </w:tc>
        <w:tc>
          <w:tcPr>
            <w:tcW w:w="0" w:type="auto"/>
            <w:tcMar>
              <w:top w:w="15" w:type="dxa"/>
              <w:left w:w="75" w:type="dxa"/>
              <w:bottom w:w="15" w:type="dxa"/>
              <w:right w:w="75" w:type="dxa"/>
            </w:tcMar>
            <w:vAlign w:val="center"/>
            <w:hideMark/>
          </w:tcPr>
          <w:p w14:paraId="06F3603F" w14:textId="77777777" w:rsidR="00AF6702" w:rsidRPr="00702882" w:rsidRDefault="00AF6702" w:rsidP="008D265E">
            <w:pPr>
              <w:spacing w:before="150" w:after="150"/>
              <w:contextualSpacing/>
              <w:rPr>
                <w:sz w:val="20"/>
                <w:szCs w:val="20"/>
              </w:rPr>
            </w:pPr>
            <w:r w:rsidRPr="00702882">
              <w:rPr>
                <w:sz w:val="20"/>
                <w:szCs w:val="20"/>
              </w:rPr>
              <w:t>-0.01 (0.27)</w:t>
            </w:r>
          </w:p>
        </w:tc>
        <w:tc>
          <w:tcPr>
            <w:tcW w:w="0" w:type="auto"/>
            <w:tcMar>
              <w:top w:w="15" w:type="dxa"/>
              <w:left w:w="75" w:type="dxa"/>
              <w:bottom w:w="15" w:type="dxa"/>
              <w:right w:w="75" w:type="dxa"/>
            </w:tcMar>
            <w:vAlign w:val="center"/>
            <w:hideMark/>
          </w:tcPr>
          <w:p w14:paraId="41BFFE5E" w14:textId="77777777" w:rsidR="00AF6702" w:rsidRPr="00702882" w:rsidRDefault="00AF6702" w:rsidP="008D265E">
            <w:pPr>
              <w:spacing w:before="150" w:after="150"/>
              <w:contextualSpacing/>
              <w:rPr>
                <w:sz w:val="20"/>
                <w:szCs w:val="20"/>
              </w:rPr>
            </w:pPr>
            <w:r w:rsidRPr="00702882">
              <w:rPr>
                <w:sz w:val="20"/>
                <w:szCs w:val="20"/>
              </w:rPr>
              <w:t>-0.84 (0.49)</w:t>
            </w:r>
            <w:r w:rsidRPr="00702882">
              <w:rPr>
                <w:sz w:val="20"/>
                <w:szCs w:val="20"/>
                <w:vertAlign w:val="superscript"/>
              </w:rPr>
              <w:t>*</w:t>
            </w:r>
          </w:p>
        </w:tc>
        <w:tc>
          <w:tcPr>
            <w:tcW w:w="0" w:type="auto"/>
            <w:tcMar>
              <w:top w:w="15" w:type="dxa"/>
              <w:left w:w="75" w:type="dxa"/>
              <w:bottom w:w="15" w:type="dxa"/>
              <w:right w:w="75" w:type="dxa"/>
            </w:tcMar>
            <w:vAlign w:val="center"/>
            <w:hideMark/>
          </w:tcPr>
          <w:p w14:paraId="7D8E3FCD" w14:textId="77777777" w:rsidR="00AF6702" w:rsidRPr="00702882" w:rsidRDefault="00AF6702" w:rsidP="008D265E">
            <w:pPr>
              <w:spacing w:before="150" w:after="150"/>
              <w:contextualSpacing/>
              <w:rPr>
                <w:sz w:val="20"/>
                <w:szCs w:val="20"/>
              </w:rPr>
            </w:pPr>
            <w:r w:rsidRPr="00702882">
              <w:rPr>
                <w:sz w:val="20"/>
                <w:szCs w:val="20"/>
              </w:rPr>
              <w:t>-1.03 (0.51)</w:t>
            </w:r>
            <w:r w:rsidRPr="00702882">
              <w:rPr>
                <w:sz w:val="20"/>
                <w:szCs w:val="20"/>
                <w:vertAlign w:val="superscript"/>
              </w:rPr>
              <w:t>**</w:t>
            </w:r>
          </w:p>
        </w:tc>
        <w:tc>
          <w:tcPr>
            <w:tcW w:w="0" w:type="auto"/>
            <w:tcMar>
              <w:top w:w="15" w:type="dxa"/>
              <w:left w:w="75" w:type="dxa"/>
              <w:bottom w:w="15" w:type="dxa"/>
              <w:right w:w="75" w:type="dxa"/>
            </w:tcMar>
            <w:vAlign w:val="center"/>
            <w:hideMark/>
          </w:tcPr>
          <w:p w14:paraId="55328BA4" w14:textId="77777777" w:rsidR="00AF6702" w:rsidRPr="00702882" w:rsidRDefault="00AF6702" w:rsidP="008D265E">
            <w:pPr>
              <w:spacing w:before="150" w:after="150"/>
              <w:contextualSpacing/>
              <w:rPr>
                <w:sz w:val="20"/>
                <w:szCs w:val="20"/>
              </w:rPr>
            </w:pPr>
            <w:r w:rsidRPr="00702882">
              <w:rPr>
                <w:sz w:val="20"/>
                <w:szCs w:val="20"/>
              </w:rPr>
              <w:t>-1.06 (0.50)</w:t>
            </w:r>
            <w:r w:rsidRPr="00702882">
              <w:rPr>
                <w:sz w:val="20"/>
                <w:szCs w:val="20"/>
                <w:vertAlign w:val="superscript"/>
              </w:rPr>
              <w:t>**</w:t>
            </w:r>
          </w:p>
        </w:tc>
      </w:tr>
      <w:tr w:rsidR="002058F4" w:rsidRPr="00702882" w14:paraId="3FE7D869" w14:textId="77777777" w:rsidTr="00AE6820">
        <w:trPr>
          <w:jc w:val="center"/>
        </w:trPr>
        <w:tc>
          <w:tcPr>
            <w:tcW w:w="0" w:type="auto"/>
            <w:shd w:val="clear" w:color="auto" w:fill="auto"/>
            <w:tcMar>
              <w:top w:w="15" w:type="dxa"/>
              <w:left w:w="75" w:type="dxa"/>
              <w:bottom w:w="15" w:type="dxa"/>
              <w:right w:w="75" w:type="dxa"/>
            </w:tcMar>
            <w:vAlign w:val="center"/>
            <w:hideMark/>
          </w:tcPr>
          <w:p w14:paraId="6FB8DBF9" w14:textId="77777777" w:rsidR="00AF6702" w:rsidRPr="00702882" w:rsidRDefault="00AF6702" w:rsidP="008D265E">
            <w:pPr>
              <w:spacing w:before="150" w:after="150"/>
              <w:contextualSpacing/>
              <w:rPr>
                <w:sz w:val="20"/>
                <w:szCs w:val="20"/>
              </w:rPr>
            </w:pPr>
            <w:r w:rsidRPr="00702882">
              <w:rPr>
                <w:sz w:val="20"/>
                <w:szCs w:val="20"/>
              </w:rPr>
              <w:t>Cap_percent</w:t>
            </w:r>
          </w:p>
        </w:tc>
        <w:tc>
          <w:tcPr>
            <w:tcW w:w="0" w:type="auto"/>
            <w:tcMar>
              <w:top w:w="15" w:type="dxa"/>
              <w:left w:w="75" w:type="dxa"/>
              <w:bottom w:w="15" w:type="dxa"/>
              <w:right w:w="75" w:type="dxa"/>
            </w:tcMar>
            <w:vAlign w:val="center"/>
            <w:hideMark/>
          </w:tcPr>
          <w:p w14:paraId="21DBCC7B" w14:textId="77777777" w:rsidR="00AF6702" w:rsidRPr="00702882" w:rsidRDefault="00AF6702" w:rsidP="008D265E">
            <w:pPr>
              <w:spacing w:before="150" w:after="150"/>
              <w:contextualSpacing/>
              <w:rPr>
                <w:sz w:val="20"/>
                <w:szCs w:val="20"/>
              </w:rPr>
            </w:pPr>
            <w:r w:rsidRPr="00702882">
              <w:rPr>
                <w:sz w:val="20"/>
                <w:szCs w:val="20"/>
              </w:rPr>
              <w:t>0.35 (0.15)</w:t>
            </w:r>
            <w:r w:rsidRPr="00702882">
              <w:rPr>
                <w:sz w:val="20"/>
                <w:szCs w:val="20"/>
                <w:vertAlign w:val="superscript"/>
              </w:rPr>
              <w:t>**</w:t>
            </w:r>
          </w:p>
        </w:tc>
        <w:tc>
          <w:tcPr>
            <w:tcW w:w="0" w:type="auto"/>
            <w:tcMar>
              <w:top w:w="15" w:type="dxa"/>
              <w:left w:w="75" w:type="dxa"/>
              <w:bottom w:w="15" w:type="dxa"/>
              <w:right w:w="75" w:type="dxa"/>
            </w:tcMar>
            <w:vAlign w:val="center"/>
            <w:hideMark/>
          </w:tcPr>
          <w:p w14:paraId="08404941" w14:textId="77777777" w:rsidR="00AF6702" w:rsidRPr="00702882" w:rsidRDefault="00AF6702" w:rsidP="008D265E">
            <w:pPr>
              <w:spacing w:before="150" w:after="150"/>
              <w:contextualSpacing/>
              <w:rPr>
                <w:sz w:val="20"/>
                <w:szCs w:val="20"/>
              </w:rPr>
            </w:pPr>
            <w:r w:rsidRPr="00702882">
              <w:rPr>
                <w:sz w:val="20"/>
                <w:szCs w:val="20"/>
              </w:rPr>
              <w:t>0.34 (0.16)</w:t>
            </w:r>
            <w:r w:rsidRPr="00702882">
              <w:rPr>
                <w:sz w:val="20"/>
                <w:szCs w:val="20"/>
                <w:vertAlign w:val="superscript"/>
              </w:rPr>
              <w:t>**</w:t>
            </w:r>
          </w:p>
        </w:tc>
        <w:tc>
          <w:tcPr>
            <w:tcW w:w="0" w:type="auto"/>
            <w:tcMar>
              <w:top w:w="15" w:type="dxa"/>
              <w:left w:w="75" w:type="dxa"/>
              <w:bottom w:w="15" w:type="dxa"/>
              <w:right w:w="75" w:type="dxa"/>
            </w:tcMar>
            <w:vAlign w:val="center"/>
            <w:hideMark/>
          </w:tcPr>
          <w:p w14:paraId="2546E96E" w14:textId="77777777" w:rsidR="00AF6702" w:rsidRPr="00702882" w:rsidRDefault="00AF6702" w:rsidP="008D265E">
            <w:pPr>
              <w:spacing w:before="150" w:after="150"/>
              <w:contextualSpacing/>
              <w:rPr>
                <w:sz w:val="20"/>
                <w:szCs w:val="20"/>
              </w:rPr>
            </w:pPr>
            <w:r w:rsidRPr="00702882">
              <w:rPr>
                <w:sz w:val="20"/>
                <w:szCs w:val="20"/>
              </w:rPr>
              <w:t>0.39 (0.15)</w:t>
            </w:r>
            <w:r w:rsidRPr="00702882">
              <w:rPr>
                <w:sz w:val="20"/>
                <w:szCs w:val="20"/>
                <w:vertAlign w:val="superscript"/>
              </w:rPr>
              <w:t>***</w:t>
            </w:r>
          </w:p>
        </w:tc>
        <w:tc>
          <w:tcPr>
            <w:tcW w:w="0" w:type="auto"/>
            <w:tcMar>
              <w:top w:w="15" w:type="dxa"/>
              <w:left w:w="75" w:type="dxa"/>
              <w:bottom w:w="15" w:type="dxa"/>
              <w:right w:w="75" w:type="dxa"/>
            </w:tcMar>
            <w:vAlign w:val="center"/>
            <w:hideMark/>
          </w:tcPr>
          <w:p w14:paraId="2C75D7E3" w14:textId="77777777" w:rsidR="00AF6702" w:rsidRPr="00702882" w:rsidRDefault="00AF6702" w:rsidP="008D265E">
            <w:pPr>
              <w:spacing w:before="150" w:after="150"/>
              <w:contextualSpacing/>
              <w:rPr>
                <w:sz w:val="20"/>
                <w:szCs w:val="20"/>
              </w:rPr>
            </w:pPr>
            <w:r w:rsidRPr="00702882">
              <w:rPr>
                <w:sz w:val="20"/>
                <w:szCs w:val="20"/>
              </w:rPr>
              <w:t>0.35 (0.15)</w:t>
            </w:r>
            <w:r w:rsidRPr="00702882">
              <w:rPr>
                <w:sz w:val="20"/>
                <w:szCs w:val="20"/>
                <w:vertAlign w:val="superscript"/>
              </w:rPr>
              <w:t>**</w:t>
            </w:r>
          </w:p>
        </w:tc>
      </w:tr>
      <w:tr w:rsidR="002058F4" w:rsidRPr="00702882" w14:paraId="00FA3D0F" w14:textId="77777777" w:rsidTr="00AE6820">
        <w:trPr>
          <w:jc w:val="center"/>
        </w:trPr>
        <w:tc>
          <w:tcPr>
            <w:tcW w:w="0" w:type="auto"/>
            <w:shd w:val="clear" w:color="auto" w:fill="auto"/>
            <w:tcMar>
              <w:top w:w="15" w:type="dxa"/>
              <w:left w:w="75" w:type="dxa"/>
              <w:bottom w:w="15" w:type="dxa"/>
              <w:right w:w="75" w:type="dxa"/>
            </w:tcMar>
            <w:vAlign w:val="center"/>
            <w:hideMark/>
          </w:tcPr>
          <w:p w14:paraId="3C660FC8" w14:textId="77777777" w:rsidR="00AF6702" w:rsidRPr="00702882" w:rsidRDefault="00AF6702" w:rsidP="008D265E">
            <w:pPr>
              <w:spacing w:before="150" w:after="150"/>
              <w:contextualSpacing/>
              <w:rPr>
                <w:sz w:val="20"/>
                <w:szCs w:val="20"/>
              </w:rPr>
            </w:pPr>
            <w:r w:rsidRPr="00702882">
              <w:rPr>
                <w:sz w:val="20"/>
                <w:szCs w:val="20"/>
              </w:rPr>
              <w:t>DepoLegis</w:t>
            </w:r>
          </w:p>
        </w:tc>
        <w:tc>
          <w:tcPr>
            <w:tcW w:w="0" w:type="auto"/>
            <w:tcMar>
              <w:top w:w="15" w:type="dxa"/>
              <w:left w:w="75" w:type="dxa"/>
              <w:bottom w:w="15" w:type="dxa"/>
              <w:right w:w="75" w:type="dxa"/>
            </w:tcMar>
            <w:vAlign w:val="center"/>
            <w:hideMark/>
          </w:tcPr>
          <w:p w14:paraId="32784B1E" w14:textId="77777777" w:rsidR="00AF6702" w:rsidRPr="00702882" w:rsidRDefault="00AF6702" w:rsidP="008D265E">
            <w:pPr>
              <w:spacing w:before="150" w:after="150"/>
              <w:contextualSpacing/>
              <w:rPr>
                <w:sz w:val="20"/>
                <w:szCs w:val="20"/>
              </w:rPr>
            </w:pPr>
            <w:r w:rsidRPr="00702882">
              <w:rPr>
                <w:sz w:val="20"/>
                <w:szCs w:val="20"/>
              </w:rPr>
              <w:t>1.53 (1.77)</w:t>
            </w:r>
          </w:p>
        </w:tc>
        <w:tc>
          <w:tcPr>
            <w:tcW w:w="0" w:type="auto"/>
            <w:tcMar>
              <w:top w:w="15" w:type="dxa"/>
              <w:left w:w="75" w:type="dxa"/>
              <w:bottom w:w="15" w:type="dxa"/>
              <w:right w:w="75" w:type="dxa"/>
            </w:tcMar>
            <w:vAlign w:val="center"/>
            <w:hideMark/>
          </w:tcPr>
          <w:p w14:paraId="4BE6811C" w14:textId="77777777" w:rsidR="00AF6702" w:rsidRPr="00702882" w:rsidRDefault="00AF6702" w:rsidP="008D265E">
            <w:pPr>
              <w:spacing w:before="150" w:after="150"/>
              <w:contextualSpacing/>
              <w:rPr>
                <w:sz w:val="20"/>
                <w:szCs w:val="20"/>
              </w:rPr>
            </w:pPr>
            <w:r w:rsidRPr="00702882">
              <w:rPr>
                <w:sz w:val="20"/>
                <w:szCs w:val="20"/>
              </w:rPr>
              <w:t>1.44 (1.91)</w:t>
            </w:r>
          </w:p>
        </w:tc>
        <w:tc>
          <w:tcPr>
            <w:tcW w:w="0" w:type="auto"/>
            <w:tcMar>
              <w:top w:w="15" w:type="dxa"/>
              <w:left w:w="75" w:type="dxa"/>
              <w:bottom w:w="15" w:type="dxa"/>
              <w:right w:w="75" w:type="dxa"/>
            </w:tcMar>
            <w:vAlign w:val="center"/>
            <w:hideMark/>
          </w:tcPr>
          <w:p w14:paraId="64F3E663" w14:textId="77777777" w:rsidR="00AF6702" w:rsidRPr="00702882" w:rsidRDefault="00AF6702" w:rsidP="008D265E">
            <w:pPr>
              <w:spacing w:before="150" w:after="150"/>
              <w:contextualSpacing/>
              <w:rPr>
                <w:sz w:val="20"/>
                <w:szCs w:val="20"/>
              </w:rPr>
            </w:pPr>
            <w:r w:rsidRPr="00702882">
              <w:rPr>
                <w:sz w:val="20"/>
                <w:szCs w:val="20"/>
              </w:rPr>
              <w:t>0.21 (1.76)</w:t>
            </w:r>
          </w:p>
        </w:tc>
        <w:tc>
          <w:tcPr>
            <w:tcW w:w="0" w:type="auto"/>
            <w:tcMar>
              <w:top w:w="15" w:type="dxa"/>
              <w:left w:w="75" w:type="dxa"/>
              <w:bottom w:w="15" w:type="dxa"/>
              <w:right w:w="75" w:type="dxa"/>
            </w:tcMar>
            <w:vAlign w:val="center"/>
            <w:hideMark/>
          </w:tcPr>
          <w:p w14:paraId="7BDA4E49" w14:textId="77777777" w:rsidR="00AF6702" w:rsidRPr="00702882" w:rsidRDefault="00AF6702" w:rsidP="008D265E">
            <w:pPr>
              <w:spacing w:before="150" w:after="150"/>
              <w:contextualSpacing/>
              <w:rPr>
                <w:sz w:val="20"/>
                <w:szCs w:val="20"/>
              </w:rPr>
            </w:pPr>
            <w:r w:rsidRPr="00702882">
              <w:rPr>
                <w:sz w:val="20"/>
                <w:szCs w:val="20"/>
              </w:rPr>
              <w:t>0.47 (1.82)</w:t>
            </w:r>
          </w:p>
        </w:tc>
      </w:tr>
      <w:tr w:rsidR="002058F4" w:rsidRPr="00702882" w14:paraId="0D71095E" w14:textId="77777777" w:rsidTr="00AE6820">
        <w:trPr>
          <w:jc w:val="center"/>
        </w:trPr>
        <w:tc>
          <w:tcPr>
            <w:tcW w:w="0" w:type="auto"/>
            <w:shd w:val="clear" w:color="auto" w:fill="auto"/>
            <w:tcMar>
              <w:top w:w="15" w:type="dxa"/>
              <w:left w:w="75" w:type="dxa"/>
              <w:bottom w:w="15" w:type="dxa"/>
              <w:right w:w="75" w:type="dxa"/>
            </w:tcMar>
            <w:vAlign w:val="center"/>
            <w:hideMark/>
          </w:tcPr>
          <w:p w14:paraId="1B0529B7" w14:textId="77777777" w:rsidR="00AF6702" w:rsidRPr="00702882" w:rsidRDefault="00AF6702" w:rsidP="008D265E">
            <w:pPr>
              <w:spacing w:before="150" w:after="150"/>
              <w:contextualSpacing/>
              <w:rPr>
                <w:sz w:val="20"/>
                <w:szCs w:val="20"/>
              </w:rPr>
            </w:pPr>
            <w:r w:rsidRPr="00702882">
              <w:rPr>
                <w:sz w:val="20"/>
                <w:szCs w:val="20"/>
              </w:rPr>
              <w:t>DepoSurplus_numeric</w:t>
            </w:r>
          </w:p>
        </w:tc>
        <w:tc>
          <w:tcPr>
            <w:tcW w:w="0" w:type="auto"/>
            <w:tcMar>
              <w:top w:w="15" w:type="dxa"/>
              <w:left w:w="75" w:type="dxa"/>
              <w:bottom w:w="15" w:type="dxa"/>
              <w:right w:w="75" w:type="dxa"/>
            </w:tcMar>
            <w:vAlign w:val="center"/>
            <w:hideMark/>
          </w:tcPr>
          <w:p w14:paraId="301E0CFA" w14:textId="77777777" w:rsidR="00AF6702" w:rsidRPr="00702882" w:rsidRDefault="00AF6702" w:rsidP="008D265E">
            <w:pPr>
              <w:spacing w:before="150" w:after="150"/>
              <w:contextualSpacing/>
              <w:rPr>
                <w:sz w:val="20"/>
                <w:szCs w:val="20"/>
              </w:rPr>
            </w:pPr>
            <w:r w:rsidRPr="00702882">
              <w:rPr>
                <w:sz w:val="20"/>
                <w:szCs w:val="20"/>
              </w:rPr>
              <w:t>3.00 (1.60)</w:t>
            </w:r>
            <w:r w:rsidRPr="00702882">
              <w:rPr>
                <w:sz w:val="20"/>
                <w:szCs w:val="20"/>
                <w:vertAlign w:val="superscript"/>
              </w:rPr>
              <w:t>*</w:t>
            </w:r>
          </w:p>
        </w:tc>
        <w:tc>
          <w:tcPr>
            <w:tcW w:w="0" w:type="auto"/>
            <w:tcMar>
              <w:top w:w="15" w:type="dxa"/>
              <w:left w:w="75" w:type="dxa"/>
              <w:bottom w:w="15" w:type="dxa"/>
              <w:right w:w="75" w:type="dxa"/>
            </w:tcMar>
            <w:vAlign w:val="center"/>
            <w:hideMark/>
          </w:tcPr>
          <w:p w14:paraId="0BE49A58" w14:textId="77777777" w:rsidR="00AF6702" w:rsidRPr="00702882" w:rsidRDefault="00AF6702" w:rsidP="008D265E">
            <w:pPr>
              <w:spacing w:before="150" w:after="150"/>
              <w:contextualSpacing/>
              <w:rPr>
                <w:sz w:val="20"/>
                <w:szCs w:val="20"/>
              </w:rPr>
            </w:pPr>
            <w:r w:rsidRPr="00702882">
              <w:rPr>
                <w:sz w:val="20"/>
                <w:szCs w:val="20"/>
              </w:rPr>
              <w:t>4.51 (2.03)</w:t>
            </w:r>
            <w:r w:rsidRPr="00702882">
              <w:rPr>
                <w:sz w:val="20"/>
                <w:szCs w:val="20"/>
                <w:vertAlign w:val="superscript"/>
              </w:rPr>
              <w:t>**</w:t>
            </w:r>
          </w:p>
        </w:tc>
        <w:tc>
          <w:tcPr>
            <w:tcW w:w="0" w:type="auto"/>
            <w:tcMar>
              <w:top w:w="15" w:type="dxa"/>
              <w:left w:w="75" w:type="dxa"/>
              <w:bottom w:w="15" w:type="dxa"/>
              <w:right w:w="75" w:type="dxa"/>
            </w:tcMar>
            <w:vAlign w:val="center"/>
            <w:hideMark/>
          </w:tcPr>
          <w:p w14:paraId="5C01D0AF" w14:textId="77777777" w:rsidR="00AF6702" w:rsidRPr="00702882" w:rsidRDefault="00AF6702" w:rsidP="008D265E">
            <w:pPr>
              <w:spacing w:before="150" w:after="150"/>
              <w:contextualSpacing/>
              <w:rPr>
                <w:sz w:val="20"/>
                <w:szCs w:val="20"/>
              </w:rPr>
            </w:pPr>
            <w:r w:rsidRPr="00702882">
              <w:rPr>
                <w:sz w:val="20"/>
                <w:szCs w:val="20"/>
              </w:rPr>
              <w:t>0.39 (1.40)</w:t>
            </w:r>
          </w:p>
        </w:tc>
        <w:tc>
          <w:tcPr>
            <w:tcW w:w="0" w:type="auto"/>
            <w:tcMar>
              <w:top w:w="15" w:type="dxa"/>
              <w:left w:w="75" w:type="dxa"/>
              <w:bottom w:w="15" w:type="dxa"/>
              <w:right w:w="75" w:type="dxa"/>
            </w:tcMar>
            <w:vAlign w:val="center"/>
            <w:hideMark/>
          </w:tcPr>
          <w:p w14:paraId="4CAFC04C" w14:textId="77777777" w:rsidR="00AF6702" w:rsidRPr="00702882" w:rsidRDefault="00AF6702" w:rsidP="008D265E">
            <w:pPr>
              <w:spacing w:before="150" w:after="150"/>
              <w:contextualSpacing/>
              <w:rPr>
                <w:sz w:val="20"/>
                <w:szCs w:val="20"/>
              </w:rPr>
            </w:pPr>
            <w:r w:rsidRPr="00702882">
              <w:rPr>
                <w:sz w:val="20"/>
                <w:szCs w:val="20"/>
              </w:rPr>
              <w:t>0.60 (1.43)</w:t>
            </w:r>
          </w:p>
        </w:tc>
      </w:tr>
      <w:tr w:rsidR="002058F4" w:rsidRPr="00702882" w14:paraId="0C6B910A" w14:textId="77777777" w:rsidTr="00AE6820">
        <w:trPr>
          <w:jc w:val="center"/>
        </w:trPr>
        <w:tc>
          <w:tcPr>
            <w:tcW w:w="0" w:type="auto"/>
            <w:shd w:val="clear" w:color="auto" w:fill="auto"/>
            <w:tcMar>
              <w:top w:w="15" w:type="dxa"/>
              <w:left w:w="75" w:type="dxa"/>
              <w:bottom w:w="15" w:type="dxa"/>
              <w:right w:w="75" w:type="dxa"/>
            </w:tcMar>
            <w:vAlign w:val="center"/>
            <w:hideMark/>
          </w:tcPr>
          <w:p w14:paraId="448101E3" w14:textId="77777777" w:rsidR="00AF6702" w:rsidRPr="00702882" w:rsidRDefault="00AF6702" w:rsidP="008D265E">
            <w:pPr>
              <w:spacing w:before="150" w:after="150"/>
              <w:contextualSpacing/>
              <w:rPr>
                <w:sz w:val="20"/>
                <w:szCs w:val="20"/>
              </w:rPr>
            </w:pPr>
            <w:r w:rsidRPr="00702882">
              <w:rPr>
                <w:sz w:val="20"/>
                <w:szCs w:val="20"/>
              </w:rPr>
              <w:t>DepoVol_formula</w:t>
            </w:r>
          </w:p>
        </w:tc>
        <w:tc>
          <w:tcPr>
            <w:tcW w:w="0" w:type="auto"/>
            <w:tcMar>
              <w:top w:w="15" w:type="dxa"/>
              <w:left w:w="75" w:type="dxa"/>
              <w:bottom w:w="15" w:type="dxa"/>
              <w:right w:w="75" w:type="dxa"/>
            </w:tcMar>
            <w:vAlign w:val="center"/>
            <w:hideMark/>
          </w:tcPr>
          <w:p w14:paraId="243237C9" w14:textId="77777777" w:rsidR="00AF6702" w:rsidRPr="00702882" w:rsidRDefault="00AF6702" w:rsidP="008D265E">
            <w:pPr>
              <w:spacing w:before="150" w:after="150"/>
              <w:contextualSpacing/>
              <w:rPr>
                <w:sz w:val="20"/>
                <w:szCs w:val="20"/>
              </w:rPr>
            </w:pPr>
            <w:r w:rsidRPr="00702882">
              <w:rPr>
                <w:sz w:val="20"/>
                <w:szCs w:val="20"/>
              </w:rPr>
              <w:t>3.74 (2.15)</w:t>
            </w:r>
            <w:r w:rsidRPr="00702882">
              <w:rPr>
                <w:sz w:val="20"/>
                <w:szCs w:val="20"/>
                <w:vertAlign w:val="superscript"/>
              </w:rPr>
              <w:t>*</w:t>
            </w:r>
          </w:p>
        </w:tc>
        <w:tc>
          <w:tcPr>
            <w:tcW w:w="0" w:type="auto"/>
            <w:tcMar>
              <w:top w:w="15" w:type="dxa"/>
              <w:left w:w="75" w:type="dxa"/>
              <w:bottom w:w="15" w:type="dxa"/>
              <w:right w:w="75" w:type="dxa"/>
            </w:tcMar>
            <w:vAlign w:val="center"/>
            <w:hideMark/>
          </w:tcPr>
          <w:p w14:paraId="3592D716" w14:textId="77777777" w:rsidR="00AF6702" w:rsidRPr="00702882" w:rsidRDefault="00AF6702" w:rsidP="008D265E">
            <w:pPr>
              <w:spacing w:before="150" w:after="150"/>
              <w:contextualSpacing/>
              <w:rPr>
                <w:sz w:val="20"/>
                <w:szCs w:val="20"/>
              </w:rPr>
            </w:pPr>
            <w:r w:rsidRPr="00702882">
              <w:rPr>
                <w:sz w:val="20"/>
                <w:szCs w:val="20"/>
              </w:rPr>
              <w:t>6.19 (3.10)</w:t>
            </w:r>
            <w:r w:rsidRPr="00702882">
              <w:rPr>
                <w:sz w:val="20"/>
                <w:szCs w:val="20"/>
                <w:vertAlign w:val="superscript"/>
              </w:rPr>
              <w:t>**</w:t>
            </w:r>
          </w:p>
        </w:tc>
        <w:tc>
          <w:tcPr>
            <w:tcW w:w="0" w:type="auto"/>
            <w:tcMar>
              <w:top w:w="15" w:type="dxa"/>
              <w:left w:w="75" w:type="dxa"/>
              <w:bottom w:w="15" w:type="dxa"/>
              <w:right w:w="75" w:type="dxa"/>
            </w:tcMar>
            <w:vAlign w:val="center"/>
            <w:hideMark/>
          </w:tcPr>
          <w:p w14:paraId="5D524241" w14:textId="77777777" w:rsidR="00AF6702" w:rsidRPr="00702882" w:rsidRDefault="00AF6702" w:rsidP="008D265E">
            <w:pPr>
              <w:spacing w:before="150" w:after="150"/>
              <w:contextualSpacing/>
              <w:rPr>
                <w:sz w:val="20"/>
                <w:szCs w:val="20"/>
              </w:rPr>
            </w:pPr>
            <w:r w:rsidRPr="00702882">
              <w:rPr>
                <w:sz w:val="20"/>
                <w:szCs w:val="20"/>
              </w:rPr>
              <w:t>9.69 (5.31)</w:t>
            </w:r>
            <w:r w:rsidRPr="00702882">
              <w:rPr>
                <w:sz w:val="20"/>
                <w:szCs w:val="20"/>
                <w:vertAlign w:val="superscript"/>
              </w:rPr>
              <w:t>*</w:t>
            </w:r>
          </w:p>
        </w:tc>
        <w:tc>
          <w:tcPr>
            <w:tcW w:w="0" w:type="auto"/>
            <w:tcMar>
              <w:top w:w="15" w:type="dxa"/>
              <w:left w:w="75" w:type="dxa"/>
              <w:bottom w:w="15" w:type="dxa"/>
              <w:right w:w="75" w:type="dxa"/>
            </w:tcMar>
            <w:vAlign w:val="center"/>
            <w:hideMark/>
          </w:tcPr>
          <w:p w14:paraId="37C49A98" w14:textId="77777777" w:rsidR="00AF6702" w:rsidRPr="00702882" w:rsidRDefault="00AF6702" w:rsidP="008D265E">
            <w:pPr>
              <w:spacing w:before="150" w:after="150"/>
              <w:contextualSpacing/>
              <w:rPr>
                <w:sz w:val="20"/>
                <w:szCs w:val="20"/>
              </w:rPr>
            </w:pPr>
            <w:r w:rsidRPr="00702882">
              <w:rPr>
                <w:sz w:val="20"/>
                <w:szCs w:val="20"/>
              </w:rPr>
              <w:t>3.64 (2.06)</w:t>
            </w:r>
            <w:r w:rsidRPr="00702882">
              <w:rPr>
                <w:sz w:val="20"/>
                <w:szCs w:val="20"/>
                <w:vertAlign w:val="superscript"/>
              </w:rPr>
              <w:t>*</w:t>
            </w:r>
          </w:p>
        </w:tc>
      </w:tr>
      <w:tr w:rsidR="002058F4" w:rsidRPr="00702882" w14:paraId="296B508B" w14:textId="77777777" w:rsidTr="00AE6820">
        <w:trPr>
          <w:jc w:val="center"/>
        </w:trPr>
        <w:tc>
          <w:tcPr>
            <w:tcW w:w="0" w:type="auto"/>
            <w:shd w:val="clear" w:color="auto" w:fill="auto"/>
            <w:tcMar>
              <w:top w:w="15" w:type="dxa"/>
              <w:left w:w="75" w:type="dxa"/>
              <w:bottom w:w="15" w:type="dxa"/>
              <w:right w:w="75" w:type="dxa"/>
            </w:tcMar>
            <w:vAlign w:val="center"/>
            <w:hideMark/>
          </w:tcPr>
          <w:p w14:paraId="15A7DB9E" w14:textId="77777777" w:rsidR="00AF6702" w:rsidRPr="00702882" w:rsidRDefault="00AF6702" w:rsidP="008D265E">
            <w:pPr>
              <w:spacing w:before="150" w:after="150"/>
              <w:contextualSpacing/>
              <w:rPr>
                <w:sz w:val="20"/>
                <w:szCs w:val="20"/>
              </w:rPr>
            </w:pPr>
            <w:r w:rsidRPr="00702882">
              <w:rPr>
                <w:sz w:val="20"/>
                <w:szCs w:val="20"/>
              </w:rPr>
              <w:t>DepoVol_propor</w:t>
            </w:r>
          </w:p>
        </w:tc>
        <w:tc>
          <w:tcPr>
            <w:tcW w:w="0" w:type="auto"/>
            <w:tcMar>
              <w:top w:w="15" w:type="dxa"/>
              <w:left w:w="75" w:type="dxa"/>
              <w:bottom w:w="15" w:type="dxa"/>
              <w:right w:w="75" w:type="dxa"/>
            </w:tcMar>
            <w:vAlign w:val="center"/>
            <w:hideMark/>
          </w:tcPr>
          <w:p w14:paraId="63A0EB9A" w14:textId="77777777" w:rsidR="00AF6702" w:rsidRPr="00702882" w:rsidRDefault="00AF6702" w:rsidP="008D265E">
            <w:pPr>
              <w:spacing w:before="150" w:after="150"/>
              <w:contextualSpacing/>
              <w:rPr>
                <w:sz w:val="20"/>
                <w:szCs w:val="20"/>
              </w:rPr>
            </w:pPr>
            <w:r w:rsidRPr="00702882">
              <w:rPr>
                <w:sz w:val="20"/>
                <w:szCs w:val="20"/>
              </w:rPr>
              <w:t>-1.34 (1.38)</w:t>
            </w:r>
          </w:p>
        </w:tc>
        <w:tc>
          <w:tcPr>
            <w:tcW w:w="0" w:type="auto"/>
            <w:tcMar>
              <w:top w:w="15" w:type="dxa"/>
              <w:left w:w="75" w:type="dxa"/>
              <w:bottom w:w="15" w:type="dxa"/>
              <w:right w:w="75" w:type="dxa"/>
            </w:tcMar>
            <w:vAlign w:val="center"/>
            <w:hideMark/>
          </w:tcPr>
          <w:p w14:paraId="2F7B5D6B" w14:textId="77777777" w:rsidR="00AF6702" w:rsidRPr="00702882" w:rsidRDefault="00AF6702" w:rsidP="008D265E">
            <w:pPr>
              <w:spacing w:before="150" w:after="150"/>
              <w:contextualSpacing/>
              <w:rPr>
                <w:sz w:val="20"/>
                <w:szCs w:val="20"/>
              </w:rPr>
            </w:pPr>
            <w:r w:rsidRPr="00702882">
              <w:rPr>
                <w:sz w:val="20"/>
                <w:szCs w:val="20"/>
              </w:rPr>
              <w:t>-1.61 (1.86)</w:t>
            </w:r>
          </w:p>
        </w:tc>
        <w:tc>
          <w:tcPr>
            <w:tcW w:w="0" w:type="auto"/>
            <w:tcMar>
              <w:top w:w="15" w:type="dxa"/>
              <w:left w:w="75" w:type="dxa"/>
              <w:bottom w:w="15" w:type="dxa"/>
              <w:right w:w="75" w:type="dxa"/>
            </w:tcMar>
            <w:vAlign w:val="center"/>
            <w:hideMark/>
          </w:tcPr>
          <w:p w14:paraId="2ABBAFFC" w14:textId="77777777" w:rsidR="00AF6702" w:rsidRPr="00702882" w:rsidRDefault="00AF6702" w:rsidP="008D265E">
            <w:pPr>
              <w:spacing w:before="150" w:after="150"/>
              <w:contextualSpacing/>
              <w:rPr>
                <w:sz w:val="20"/>
                <w:szCs w:val="20"/>
              </w:rPr>
            </w:pPr>
            <w:r w:rsidRPr="00702882">
              <w:rPr>
                <w:sz w:val="20"/>
                <w:szCs w:val="20"/>
              </w:rPr>
              <w:t>-2.47 (1.31)</w:t>
            </w:r>
            <w:r w:rsidRPr="00702882">
              <w:rPr>
                <w:sz w:val="20"/>
                <w:szCs w:val="20"/>
                <w:vertAlign w:val="superscript"/>
              </w:rPr>
              <w:t>*</w:t>
            </w:r>
          </w:p>
        </w:tc>
        <w:tc>
          <w:tcPr>
            <w:tcW w:w="0" w:type="auto"/>
            <w:tcMar>
              <w:top w:w="15" w:type="dxa"/>
              <w:left w:w="75" w:type="dxa"/>
              <w:bottom w:w="15" w:type="dxa"/>
              <w:right w:w="75" w:type="dxa"/>
            </w:tcMar>
            <w:vAlign w:val="center"/>
            <w:hideMark/>
          </w:tcPr>
          <w:p w14:paraId="7D5B0F6A" w14:textId="77777777" w:rsidR="00AF6702" w:rsidRPr="00702882" w:rsidRDefault="00AF6702" w:rsidP="008D265E">
            <w:pPr>
              <w:spacing w:before="150" w:after="150"/>
              <w:contextualSpacing/>
              <w:rPr>
                <w:sz w:val="20"/>
                <w:szCs w:val="20"/>
              </w:rPr>
            </w:pPr>
            <w:r w:rsidRPr="00702882">
              <w:rPr>
                <w:sz w:val="20"/>
                <w:szCs w:val="20"/>
              </w:rPr>
              <w:t>-2.05 (1.27)</w:t>
            </w:r>
          </w:p>
        </w:tc>
      </w:tr>
      <w:tr w:rsidR="002058F4" w:rsidRPr="00702882" w14:paraId="60B5023F" w14:textId="77777777" w:rsidTr="00AE6820">
        <w:trPr>
          <w:jc w:val="center"/>
        </w:trPr>
        <w:tc>
          <w:tcPr>
            <w:tcW w:w="0" w:type="auto"/>
            <w:shd w:val="clear" w:color="auto" w:fill="auto"/>
            <w:tcMar>
              <w:top w:w="15" w:type="dxa"/>
              <w:left w:w="75" w:type="dxa"/>
              <w:bottom w:w="15" w:type="dxa"/>
              <w:right w:w="75" w:type="dxa"/>
            </w:tcMar>
            <w:vAlign w:val="center"/>
            <w:hideMark/>
          </w:tcPr>
          <w:p w14:paraId="14FDA1DE" w14:textId="77777777" w:rsidR="00AF6702" w:rsidRPr="00702882" w:rsidRDefault="00AF6702" w:rsidP="008D265E">
            <w:pPr>
              <w:spacing w:before="150" w:after="150"/>
              <w:contextualSpacing/>
              <w:rPr>
                <w:sz w:val="20"/>
                <w:szCs w:val="20"/>
              </w:rPr>
            </w:pPr>
            <w:r w:rsidRPr="00702882">
              <w:rPr>
                <w:sz w:val="20"/>
                <w:szCs w:val="20"/>
              </w:rPr>
              <w:t>WithLegis_numeric</w:t>
            </w:r>
          </w:p>
        </w:tc>
        <w:tc>
          <w:tcPr>
            <w:tcW w:w="0" w:type="auto"/>
            <w:tcMar>
              <w:top w:w="15" w:type="dxa"/>
              <w:left w:w="75" w:type="dxa"/>
              <w:bottom w:w="15" w:type="dxa"/>
              <w:right w:w="75" w:type="dxa"/>
            </w:tcMar>
            <w:vAlign w:val="center"/>
            <w:hideMark/>
          </w:tcPr>
          <w:p w14:paraId="61376C0E" w14:textId="77777777" w:rsidR="00AF6702" w:rsidRPr="00702882" w:rsidRDefault="00AF6702" w:rsidP="008D265E">
            <w:pPr>
              <w:spacing w:before="150" w:after="150"/>
              <w:contextualSpacing/>
              <w:rPr>
                <w:sz w:val="20"/>
                <w:szCs w:val="20"/>
              </w:rPr>
            </w:pPr>
            <w:r w:rsidRPr="00702882">
              <w:rPr>
                <w:sz w:val="20"/>
                <w:szCs w:val="20"/>
              </w:rPr>
              <w:t>4.94 (3.74)</w:t>
            </w:r>
          </w:p>
        </w:tc>
        <w:tc>
          <w:tcPr>
            <w:tcW w:w="0" w:type="auto"/>
            <w:tcMar>
              <w:top w:w="15" w:type="dxa"/>
              <w:left w:w="75" w:type="dxa"/>
              <w:bottom w:w="15" w:type="dxa"/>
              <w:right w:w="75" w:type="dxa"/>
            </w:tcMar>
            <w:vAlign w:val="center"/>
            <w:hideMark/>
          </w:tcPr>
          <w:p w14:paraId="26394DF2" w14:textId="77777777" w:rsidR="00AF6702" w:rsidRPr="00702882" w:rsidRDefault="00AF6702" w:rsidP="008D265E">
            <w:pPr>
              <w:spacing w:before="150" w:after="150"/>
              <w:contextualSpacing/>
              <w:rPr>
                <w:sz w:val="20"/>
                <w:szCs w:val="20"/>
              </w:rPr>
            </w:pPr>
            <w:r w:rsidRPr="00702882">
              <w:rPr>
                <w:sz w:val="20"/>
                <w:szCs w:val="20"/>
              </w:rPr>
              <w:t>3.63 (4.20)</w:t>
            </w:r>
          </w:p>
        </w:tc>
        <w:tc>
          <w:tcPr>
            <w:tcW w:w="0" w:type="auto"/>
            <w:tcMar>
              <w:top w:w="15" w:type="dxa"/>
              <w:left w:w="75" w:type="dxa"/>
              <w:bottom w:w="15" w:type="dxa"/>
              <w:right w:w="75" w:type="dxa"/>
            </w:tcMar>
            <w:vAlign w:val="center"/>
            <w:hideMark/>
          </w:tcPr>
          <w:p w14:paraId="7F70163A" w14:textId="77777777" w:rsidR="00AF6702" w:rsidRPr="00702882" w:rsidRDefault="00AF6702" w:rsidP="008D265E">
            <w:pPr>
              <w:spacing w:before="150" w:after="150"/>
              <w:contextualSpacing/>
              <w:rPr>
                <w:sz w:val="20"/>
                <w:szCs w:val="20"/>
              </w:rPr>
            </w:pPr>
            <w:r w:rsidRPr="00702882">
              <w:rPr>
                <w:sz w:val="20"/>
                <w:szCs w:val="20"/>
              </w:rPr>
              <w:t>5.43 (4.24)</w:t>
            </w:r>
          </w:p>
        </w:tc>
        <w:tc>
          <w:tcPr>
            <w:tcW w:w="0" w:type="auto"/>
            <w:tcMar>
              <w:top w:w="15" w:type="dxa"/>
              <w:left w:w="75" w:type="dxa"/>
              <w:bottom w:w="15" w:type="dxa"/>
              <w:right w:w="75" w:type="dxa"/>
            </w:tcMar>
            <w:vAlign w:val="center"/>
            <w:hideMark/>
          </w:tcPr>
          <w:p w14:paraId="0A119CB2" w14:textId="77777777" w:rsidR="00AF6702" w:rsidRPr="00702882" w:rsidRDefault="00AF6702" w:rsidP="008D265E">
            <w:pPr>
              <w:spacing w:before="150" w:after="150"/>
              <w:contextualSpacing/>
              <w:rPr>
                <w:sz w:val="20"/>
                <w:szCs w:val="20"/>
              </w:rPr>
            </w:pPr>
            <w:r w:rsidRPr="00702882">
              <w:rPr>
                <w:sz w:val="20"/>
                <w:szCs w:val="20"/>
              </w:rPr>
              <w:t>4.12 (3.61)</w:t>
            </w:r>
          </w:p>
        </w:tc>
      </w:tr>
      <w:tr w:rsidR="002058F4" w:rsidRPr="00702882" w14:paraId="3F5F6386" w14:textId="77777777" w:rsidTr="00AE6820">
        <w:trPr>
          <w:jc w:val="center"/>
        </w:trPr>
        <w:tc>
          <w:tcPr>
            <w:tcW w:w="0" w:type="auto"/>
            <w:shd w:val="clear" w:color="auto" w:fill="auto"/>
            <w:tcMar>
              <w:top w:w="15" w:type="dxa"/>
              <w:left w:w="75" w:type="dxa"/>
              <w:bottom w:w="15" w:type="dxa"/>
              <w:right w:w="75" w:type="dxa"/>
            </w:tcMar>
            <w:vAlign w:val="center"/>
            <w:hideMark/>
          </w:tcPr>
          <w:p w14:paraId="1B2423D3" w14:textId="77777777" w:rsidR="00AF6702" w:rsidRPr="00702882" w:rsidRDefault="00AF6702" w:rsidP="008D265E">
            <w:pPr>
              <w:spacing w:before="150" w:after="150"/>
              <w:contextualSpacing/>
              <w:rPr>
                <w:sz w:val="20"/>
                <w:szCs w:val="20"/>
              </w:rPr>
            </w:pPr>
            <w:r w:rsidRPr="00702882">
              <w:rPr>
                <w:sz w:val="20"/>
                <w:szCs w:val="20"/>
              </w:rPr>
              <w:t>WithShortfall</w:t>
            </w:r>
          </w:p>
        </w:tc>
        <w:tc>
          <w:tcPr>
            <w:tcW w:w="0" w:type="auto"/>
            <w:tcMar>
              <w:top w:w="15" w:type="dxa"/>
              <w:left w:w="75" w:type="dxa"/>
              <w:bottom w:w="15" w:type="dxa"/>
              <w:right w:w="75" w:type="dxa"/>
            </w:tcMar>
            <w:vAlign w:val="center"/>
            <w:hideMark/>
          </w:tcPr>
          <w:p w14:paraId="547F0F92" w14:textId="77777777" w:rsidR="00AF6702" w:rsidRPr="00702882" w:rsidRDefault="00AF6702" w:rsidP="008D265E">
            <w:pPr>
              <w:spacing w:before="150" w:after="150"/>
              <w:contextualSpacing/>
              <w:rPr>
                <w:sz w:val="20"/>
                <w:szCs w:val="20"/>
              </w:rPr>
            </w:pPr>
            <w:r w:rsidRPr="00702882">
              <w:rPr>
                <w:sz w:val="20"/>
                <w:szCs w:val="20"/>
              </w:rPr>
              <w:t>-3.02 (1.62)</w:t>
            </w:r>
            <w:r w:rsidRPr="00702882">
              <w:rPr>
                <w:sz w:val="20"/>
                <w:szCs w:val="20"/>
                <w:vertAlign w:val="superscript"/>
              </w:rPr>
              <w:t>*</w:t>
            </w:r>
          </w:p>
        </w:tc>
        <w:tc>
          <w:tcPr>
            <w:tcW w:w="0" w:type="auto"/>
            <w:tcMar>
              <w:top w:w="15" w:type="dxa"/>
              <w:left w:w="75" w:type="dxa"/>
              <w:bottom w:w="15" w:type="dxa"/>
              <w:right w:w="75" w:type="dxa"/>
            </w:tcMar>
            <w:vAlign w:val="center"/>
            <w:hideMark/>
          </w:tcPr>
          <w:p w14:paraId="29853D8A" w14:textId="77777777" w:rsidR="00AF6702" w:rsidRPr="00702882" w:rsidRDefault="00AF6702" w:rsidP="008D265E">
            <w:pPr>
              <w:spacing w:before="150" w:after="150"/>
              <w:contextualSpacing/>
              <w:rPr>
                <w:sz w:val="20"/>
                <w:szCs w:val="20"/>
              </w:rPr>
            </w:pPr>
            <w:r w:rsidRPr="00702882">
              <w:rPr>
                <w:sz w:val="20"/>
                <w:szCs w:val="20"/>
              </w:rPr>
              <w:t>-3.02 (1.94)</w:t>
            </w:r>
          </w:p>
        </w:tc>
        <w:tc>
          <w:tcPr>
            <w:tcW w:w="0" w:type="auto"/>
            <w:tcMar>
              <w:top w:w="15" w:type="dxa"/>
              <w:left w:w="75" w:type="dxa"/>
              <w:bottom w:w="15" w:type="dxa"/>
              <w:right w:w="75" w:type="dxa"/>
            </w:tcMar>
            <w:vAlign w:val="center"/>
            <w:hideMark/>
          </w:tcPr>
          <w:p w14:paraId="7796A761" w14:textId="77777777" w:rsidR="00AF6702" w:rsidRPr="00702882" w:rsidRDefault="00AF6702" w:rsidP="008D265E">
            <w:pPr>
              <w:spacing w:before="150" w:after="150"/>
              <w:contextualSpacing/>
              <w:rPr>
                <w:sz w:val="20"/>
                <w:szCs w:val="20"/>
              </w:rPr>
            </w:pPr>
            <w:r w:rsidRPr="00702882">
              <w:rPr>
                <w:sz w:val="20"/>
                <w:szCs w:val="20"/>
              </w:rPr>
              <w:t>-2.33 (1.69)</w:t>
            </w:r>
          </w:p>
        </w:tc>
        <w:tc>
          <w:tcPr>
            <w:tcW w:w="0" w:type="auto"/>
            <w:tcMar>
              <w:top w:w="15" w:type="dxa"/>
              <w:left w:w="75" w:type="dxa"/>
              <w:bottom w:w="15" w:type="dxa"/>
              <w:right w:w="75" w:type="dxa"/>
            </w:tcMar>
            <w:vAlign w:val="center"/>
            <w:hideMark/>
          </w:tcPr>
          <w:p w14:paraId="69A022AE" w14:textId="77777777" w:rsidR="00AF6702" w:rsidRPr="00702882" w:rsidRDefault="00AF6702" w:rsidP="008D265E">
            <w:pPr>
              <w:spacing w:before="150" w:after="150"/>
              <w:contextualSpacing/>
              <w:rPr>
                <w:sz w:val="20"/>
                <w:szCs w:val="20"/>
              </w:rPr>
            </w:pPr>
            <w:r w:rsidRPr="00702882">
              <w:rPr>
                <w:sz w:val="20"/>
                <w:szCs w:val="20"/>
              </w:rPr>
              <w:t>-2.13 (1.47)</w:t>
            </w:r>
          </w:p>
        </w:tc>
      </w:tr>
      <w:tr w:rsidR="002058F4" w:rsidRPr="00702882" w14:paraId="3E69C336" w14:textId="77777777" w:rsidTr="00AE6820">
        <w:trPr>
          <w:jc w:val="center"/>
        </w:trPr>
        <w:tc>
          <w:tcPr>
            <w:tcW w:w="0" w:type="auto"/>
            <w:shd w:val="clear" w:color="auto" w:fill="auto"/>
            <w:tcMar>
              <w:top w:w="15" w:type="dxa"/>
              <w:left w:w="75" w:type="dxa"/>
              <w:bottom w:w="15" w:type="dxa"/>
              <w:right w:w="75" w:type="dxa"/>
            </w:tcMar>
            <w:vAlign w:val="center"/>
            <w:hideMark/>
          </w:tcPr>
          <w:p w14:paraId="4979DE40" w14:textId="77777777" w:rsidR="00AF6702" w:rsidRPr="00702882" w:rsidRDefault="00AF6702" w:rsidP="008D265E">
            <w:pPr>
              <w:spacing w:before="150" w:after="150"/>
              <w:contextualSpacing/>
              <w:rPr>
                <w:sz w:val="20"/>
                <w:szCs w:val="20"/>
              </w:rPr>
            </w:pPr>
            <w:r w:rsidRPr="00702882">
              <w:rPr>
                <w:sz w:val="20"/>
                <w:szCs w:val="20"/>
              </w:rPr>
              <w:t>WithVol</w:t>
            </w:r>
          </w:p>
        </w:tc>
        <w:tc>
          <w:tcPr>
            <w:tcW w:w="0" w:type="auto"/>
            <w:tcMar>
              <w:top w:w="15" w:type="dxa"/>
              <w:left w:w="75" w:type="dxa"/>
              <w:bottom w:w="15" w:type="dxa"/>
              <w:right w:w="75" w:type="dxa"/>
            </w:tcMar>
            <w:vAlign w:val="center"/>
            <w:hideMark/>
          </w:tcPr>
          <w:p w14:paraId="63501D88" w14:textId="77777777" w:rsidR="00AF6702" w:rsidRPr="00702882" w:rsidRDefault="00AF6702" w:rsidP="008D265E">
            <w:pPr>
              <w:spacing w:before="150" w:after="150"/>
              <w:contextualSpacing/>
              <w:rPr>
                <w:sz w:val="20"/>
                <w:szCs w:val="20"/>
              </w:rPr>
            </w:pPr>
            <w:r w:rsidRPr="00702882">
              <w:rPr>
                <w:sz w:val="20"/>
                <w:szCs w:val="20"/>
              </w:rPr>
              <w:t>-1.93 (1.32)</w:t>
            </w:r>
          </w:p>
        </w:tc>
        <w:tc>
          <w:tcPr>
            <w:tcW w:w="0" w:type="auto"/>
            <w:tcMar>
              <w:top w:w="15" w:type="dxa"/>
              <w:left w:w="75" w:type="dxa"/>
              <w:bottom w:w="15" w:type="dxa"/>
              <w:right w:w="75" w:type="dxa"/>
            </w:tcMar>
            <w:vAlign w:val="center"/>
            <w:hideMark/>
          </w:tcPr>
          <w:p w14:paraId="1389D3E9" w14:textId="77777777" w:rsidR="00AF6702" w:rsidRPr="00702882" w:rsidRDefault="00AF6702" w:rsidP="008D265E">
            <w:pPr>
              <w:spacing w:before="150" w:after="150"/>
              <w:contextualSpacing/>
              <w:rPr>
                <w:sz w:val="20"/>
                <w:szCs w:val="20"/>
              </w:rPr>
            </w:pPr>
            <w:r w:rsidRPr="00702882">
              <w:rPr>
                <w:sz w:val="20"/>
                <w:szCs w:val="20"/>
              </w:rPr>
              <w:t>-3.62 (2.63)</w:t>
            </w:r>
          </w:p>
        </w:tc>
        <w:tc>
          <w:tcPr>
            <w:tcW w:w="0" w:type="auto"/>
            <w:tcMar>
              <w:top w:w="15" w:type="dxa"/>
              <w:left w:w="75" w:type="dxa"/>
              <w:bottom w:w="15" w:type="dxa"/>
              <w:right w:w="75" w:type="dxa"/>
            </w:tcMar>
            <w:vAlign w:val="center"/>
            <w:hideMark/>
          </w:tcPr>
          <w:p w14:paraId="29933B88" w14:textId="77777777" w:rsidR="00AF6702" w:rsidRPr="00702882" w:rsidRDefault="00AF6702" w:rsidP="008D265E">
            <w:pPr>
              <w:spacing w:before="150" w:after="150"/>
              <w:contextualSpacing/>
              <w:rPr>
                <w:sz w:val="20"/>
                <w:szCs w:val="20"/>
              </w:rPr>
            </w:pPr>
            <w:r w:rsidRPr="00702882">
              <w:rPr>
                <w:sz w:val="20"/>
                <w:szCs w:val="20"/>
              </w:rPr>
              <w:t>-2.64 (1.48)</w:t>
            </w:r>
            <w:r w:rsidRPr="00702882">
              <w:rPr>
                <w:sz w:val="20"/>
                <w:szCs w:val="20"/>
                <w:vertAlign w:val="superscript"/>
              </w:rPr>
              <w:t>*</w:t>
            </w:r>
          </w:p>
        </w:tc>
        <w:tc>
          <w:tcPr>
            <w:tcW w:w="0" w:type="auto"/>
            <w:tcMar>
              <w:top w:w="15" w:type="dxa"/>
              <w:left w:w="75" w:type="dxa"/>
              <w:bottom w:w="15" w:type="dxa"/>
              <w:right w:w="75" w:type="dxa"/>
            </w:tcMar>
            <w:vAlign w:val="center"/>
            <w:hideMark/>
          </w:tcPr>
          <w:p w14:paraId="105F987E" w14:textId="77777777" w:rsidR="00AF6702" w:rsidRPr="00702882" w:rsidRDefault="00AF6702" w:rsidP="008D265E">
            <w:pPr>
              <w:spacing w:before="150" w:after="150"/>
              <w:contextualSpacing/>
              <w:rPr>
                <w:sz w:val="20"/>
                <w:szCs w:val="20"/>
              </w:rPr>
            </w:pPr>
            <w:r w:rsidRPr="00702882">
              <w:rPr>
                <w:sz w:val="20"/>
                <w:szCs w:val="20"/>
              </w:rPr>
              <w:t>-2.04 (1.32)</w:t>
            </w:r>
          </w:p>
        </w:tc>
      </w:tr>
      <w:tr w:rsidR="002058F4" w:rsidRPr="00702882" w14:paraId="739BCF13" w14:textId="77777777" w:rsidTr="00AE6820">
        <w:trPr>
          <w:jc w:val="center"/>
        </w:trPr>
        <w:tc>
          <w:tcPr>
            <w:tcW w:w="0" w:type="auto"/>
            <w:shd w:val="clear" w:color="auto" w:fill="auto"/>
            <w:tcMar>
              <w:top w:w="15" w:type="dxa"/>
              <w:left w:w="75" w:type="dxa"/>
              <w:bottom w:w="15" w:type="dxa"/>
              <w:right w:w="75" w:type="dxa"/>
            </w:tcMar>
            <w:vAlign w:val="center"/>
            <w:hideMark/>
          </w:tcPr>
          <w:p w14:paraId="7A72B340" w14:textId="77777777" w:rsidR="00AF6702" w:rsidRPr="00702882" w:rsidRDefault="00AF6702" w:rsidP="008D265E">
            <w:pPr>
              <w:spacing w:before="150" w:after="150"/>
              <w:contextualSpacing/>
              <w:rPr>
                <w:sz w:val="20"/>
                <w:szCs w:val="20"/>
              </w:rPr>
            </w:pPr>
            <w:r w:rsidRPr="00702882">
              <w:rPr>
                <w:sz w:val="20"/>
                <w:szCs w:val="20"/>
              </w:rPr>
              <w:t>Repay_4bin</w:t>
            </w:r>
          </w:p>
        </w:tc>
        <w:tc>
          <w:tcPr>
            <w:tcW w:w="0" w:type="auto"/>
            <w:tcMar>
              <w:top w:w="15" w:type="dxa"/>
              <w:left w:w="75" w:type="dxa"/>
              <w:bottom w:w="15" w:type="dxa"/>
              <w:right w:w="75" w:type="dxa"/>
            </w:tcMar>
            <w:vAlign w:val="center"/>
            <w:hideMark/>
          </w:tcPr>
          <w:p w14:paraId="1D5386C7" w14:textId="77777777" w:rsidR="00AF6702" w:rsidRPr="00702882" w:rsidRDefault="00AF6702" w:rsidP="008D265E">
            <w:pPr>
              <w:spacing w:before="150" w:after="150"/>
              <w:contextualSpacing/>
              <w:rPr>
                <w:sz w:val="20"/>
                <w:szCs w:val="20"/>
              </w:rPr>
            </w:pPr>
            <w:r w:rsidRPr="00702882">
              <w:rPr>
                <w:sz w:val="20"/>
                <w:szCs w:val="20"/>
              </w:rPr>
              <w:t>-0.21 (0.23)</w:t>
            </w:r>
          </w:p>
        </w:tc>
        <w:tc>
          <w:tcPr>
            <w:tcW w:w="0" w:type="auto"/>
            <w:tcMar>
              <w:top w:w="15" w:type="dxa"/>
              <w:left w:w="75" w:type="dxa"/>
              <w:bottom w:w="15" w:type="dxa"/>
              <w:right w:w="75" w:type="dxa"/>
            </w:tcMar>
            <w:vAlign w:val="center"/>
            <w:hideMark/>
          </w:tcPr>
          <w:p w14:paraId="286642C2" w14:textId="77777777" w:rsidR="00AF6702" w:rsidRPr="00702882" w:rsidRDefault="00AF6702" w:rsidP="008D265E">
            <w:pPr>
              <w:spacing w:before="150" w:after="150"/>
              <w:contextualSpacing/>
              <w:rPr>
                <w:sz w:val="20"/>
                <w:szCs w:val="20"/>
              </w:rPr>
            </w:pPr>
            <w:r w:rsidRPr="00702882">
              <w:rPr>
                <w:sz w:val="20"/>
                <w:szCs w:val="20"/>
              </w:rPr>
              <w:t>-0.93 (0.39)</w:t>
            </w:r>
            <w:r w:rsidRPr="00702882">
              <w:rPr>
                <w:sz w:val="20"/>
                <w:szCs w:val="20"/>
                <w:vertAlign w:val="superscript"/>
              </w:rPr>
              <w:t>**</w:t>
            </w:r>
          </w:p>
        </w:tc>
        <w:tc>
          <w:tcPr>
            <w:tcW w:w="0" w:type="auto"/>
            <w:tcMar>
              <w:top w:w="15" w:type="dxa"/>
              <w:left w:w="75" w:type="dxa"/>
              <w:bottom w:w="15" w:type="dxa"/>
              <w:right w:w="75" w:type="dxa"/>
            </w:tcMar>
            <w:vAlign w:val="center"/>
            <w:hideMark/>
          </w:tcPr>
          <w:p w14:paraId="761BC45F" w14:textId="77777777" w:rsidR="00AF6702" w:rsidRPr="00702882" w:rsidRDefault="00AF6702" w:rsidP="008D265E">
            <w:pPr>
              <w:spacing w:before="150" w:after="150"/>
              <w:contextualSpacing/>
              <w:rPr>
                <w:sz w:val="20"/>
                <w:szCs w:val="20"/>
              </w:rPr>
            </w:pPr>
            <w:r w:rsidRPr="00702882">
              <w:rPr>
                <w:sz w:val="20"/>
                <w:szCs w:val="20"/>
              </w:rPr>
              <w:t>-1.10 (0.34)</w:t>
            </w:r>
            <w:r w:rsidRPr="00702882">
              <w:rPr>
                <w:sz w:val="20"/>
                <w:szCs w:val="20"/>
                <w:vertAlign w:val="superscript"/>
              </w:rPr>
              <w:t>***</w:t>
            </w:r>
          </w:p>
        </w:tc>
        <w:tc>
          <w:tcPr>
            <w:tcW w:w="0" w:type="auto"/>
            <w:tcMar>
              <w:top w:w="15" w:type="dxa"/>
              <w:left w:w="75" w:type="dxa"/>
              <w:bottom w:w="15" w:type="dxa"/>
              <w:right w:w="75" w:type="dxa"/>
            </w:tcMar>
            <w:vAlign w:val="center"/>
            <w:hideMark/>
          </w:tcPr>
          <w:p w14:paraId="22495DAF" w14:textId="77777777" w:rsidR="00AF6702" w:rsidRPr="00702882" w:rsidRDefault="00AF6702" w:rsidP="008D265E">
            <w:pPr>
              <w:spacing w:before="150" w:after="150"/>
              <w:contextualSpacing/>
              <w:rPr>
                <w:sz w:val="20"/>
                <w:szCs w:val="20"/>
              </w:rPr>
            </w:pPr>
            <w:r w:rsidRPr="00702882">
              <w:rPr>
                <w:sz w:val="20"/>
                <w:szCs w:val="20"/>
              </w:rPr>
              <w:t>-1.13 (0.33)</w:t>
            </w:r>
            <w:r w:rsidRPr="00702882">
              <w:rPr>
                <w:sz w:val="20"/>
                <w:szCs w:val="20"/>
                <w:vertAlign w:val="superscript"/>
              </w:rPr>
              <w:t>***</w:t>
            </w:r>
          </w:p>
        </w:tc>
      </w:tr>
      <w:tr w:rsidR="002058F4" w:rsidRPr="00702882" w14:paraId="7FC6131A" w14:textId="77777777" w:rsidTr="00AE6820">
        <w:trPr>
          <w:jc w:val="center"/>
        </w:trPr>
        <w:tc>
          <w:tcPr>
            <w:tcW w:w="0" w:type="auto"/>
            <w:shd w:val="clear" w:color="auto" w:fill="auto"/>
            <w:tcMar>
              <w:top w:w="15" w:type="dxa"/>
              <w:left w:w="75" w:type="dxa"/>
              <w:bottom w:w="15" w:type="dxa"/>
              <w:right w:w="75" w:type="dxa"/>
            </w:tcMar>
            <w:vAlign w:val="center"/>
            <w:hideMark/>
          </w:tcPr>
          <w:p w14:paraId="3B63F733" w14:textId="77777777" w:rsidR="00AF6702" w:rsidRPr="00702882" w:rsidRDefault="00AF6702" w:rsidP="008D265E">
            <w:pPr>
              <w:spacing w:before="150" w:after="150"/>
              <w:contextualSpacing/>
              <w:rPr>
                <w:sz w:val="20"/>
                <w:szCs w:val="20"/>
              </w:rPr>
            </w:pPr>
            <w:r w:rsidRPr="00702882">
              <w:rPr>
                <w:sz w:val="20"/>
                <w:szCs w:val="20"/>
              </w:rPr>
              <w:t>WithLim</w:t>
            </w:r>
          </w:p>
        </w:tc>
        <w:tc>
          <w:tcPr>
            <w:tcW w:w="0" w:type="auto"/>
            <w:tcMar>
              <w:top w:w="15" w:type="dxa"/>
              <w:left w:w="75" w:type="dxa"/>
              <w:bottom w:w="15" w:type="dxa"/>
              <w:right w:w="75" w:type="dxa"/>
            </w:tcMar>
            <w:vAlign w:val="center"/>
            <w:hideMark/>
          </w:tcPr>
          <w:p w14:paraId="050F3D91" w14:textId="77777777" w:rsidR="00AF6702" w:rsidRPr="00702882" w:rsidRDefault="00AF6702" w:rsidP="008D265E">
            <w:pPr>
              <w:spacing w:before="150" w:after="150"/>
              <w:contextualSpacing/>
              <w:rPr>
                <w:sz w:val="20"/>
                <w:szCs w:val="20"/>
              </w:rPr>
            </w:pPr>
            <w:r w:rsidRPr="00702882">
              <w:rPr>
                <w:sz w:val="20"/>
                <w:szCs w:val="20"/>
              </w:rPr>
              <w:t>1.39 (0.75)</w:t>
            </w:r>
            <w:r w:rsidRPr="00702882">
              <w:rPr>
                <w:sz w:val="20"/>
                <w:szCs w:val="20"/>
                <w:vertAlign w:val="superscript"/>
              </w:rPr>
              <w:t>*</w:t>
            </w:r>
          </w:p>
        </w:tc>
        <w:tc>
          <w:tcPr>
            <w:tcW w:w="0" w:type="auto"/>
            <w:tcMar>
              <w:top w:w="15" w:type="dxa"/>
              <w:left w:w="75" w:type="dxa"/>
              <w:bottom w:w="15" w:type="dxa"/>
              <w:right w:w="75" w:type="dxa"/>
            </w:tcMar>
            <w:vAlign w:val="center"/>
            <w:hideMark/>
          </w:tcPr>
          <w:p w14:paraId="34B99594" w14:textId="77777777" w:rsidR="00AF6702" w:rsidRPr="00702882" w:rsidRDefault="00AF6702" w:rsidP="008D265E">
            <w:pPr>
              <w:spacing w:before="150" w:after="150"/>
              <w:contextualSpacing/>
              <w:rPr>
                <w:sz w:val="20"/>
                <w:szCs w:val="20"/>
              </w:rPr>
            </w:pPr>
            <w:r w:rsidRPr="00702882">
              <w:rPr>
                <w:sz w:val="20"/>
                <w:szCs w:val="20"/>
              </w:rPr>
              <w:t>0.96 (1.07)</w:t>
            </w:r>
          </w:p>
        </w:tc>
        <w:tc>
          <w:tcPr>
            <w:tcW w:w="0" w:type="auto"/>
            <w:tcMar>
              <w:top w:w="15" w:type="dxa"/>
              <w:left w:w="75" w:type="dxa"/>
              <w:bottom w:w="15" w:type="dxa"/>
              <w:right w:w="75" w:type="dxa"/>
            </w:tcMar>
            <w:vAlign w:val="center"/>
            <w:hideMark/>
          </w:tcPr>
          <w:p w14:paraId="4EAC278E" w14:textId="77777777" w:rsidR="00AF6702" w:rsidRPr="00702882" w:rsidRDefault="00AF6702" w:rsidP="008D265E">
            <w:pPr>
              <w:spacing w:before="150" w:after="150"/>
              <w:contextualSpacing/>
              <w:rPr>
                <w:sz w:val="20"/>
                <w:szCs w:val="20"/>
              </w:rPr>
            </w:pPr>
            <w:r w:rsidRPr="00702882">
              <w:rPr>
                <w:sz w:val="20"/>
                <w:szCs w:val="20"/>
              </w:rPr>
              <w:t>0.82 (0.85)</w:t>
            </w:r>
          </w:p>
        </w:tc>
        <w:tc>
          <w:tcPr>
            <w:tcW w:w="0" w:type="auto"/>
            <w:tcMar>
              <w:top w:w="15" w:type="dxa"/>
              <w:left w:w="75" w:type="dxa"/>
              <w:bottom w:w="15" w:type="dxa"/>
              <w:right w:w="75" w:type="dxa"/>
            </w:tcMar>
            <w:vAlign w:val="center"/>
            <w:hideMark/>
          </w:tcPr>
          <w:p w14:paraId="3D7655CB" w14:textId="77777777" w:rsidR="00AF6702" w:rsidRPr="00702882" w:rsidRDefault="00AF6702" w:rsidP="008D265E">
            <w:pPr>
              <w:spacing w:before="150" w:after="150"/>
              <w:contextualSpacing/>
              <w:rPr>
                <w:sz w:val="20"/>
                <w:szCs w:val="20"/>
              </w:rPr>
            </w:pPr>
            <w:r w:rsidRPr="00702882">
              <w:rPr>
                <w:sz w:val="20"/>
                <w:szCs w:val="20"/>
              </w:rPr>
              <w:t>1.00 (0.80)</w:t>
            </w:r>
          </w:p>
        </w:tc>
      </w:tr>
      <w:tr w:rsidR="002058F4" w:rsidRPr="00702882" w14:paraId="48EF83C0" w14:textId="77777777" w:rsidTr="00AE6820">
        <w:trPr>
          <w:jc w:val="center"/>
        </w:trPr>
        <w:tc>
          <w:tcPr>
            <w:tcW w:w="0" w:type="auto"/>
            <w:tcMar>
              <w:top w:w="15" w:type="dxa"/>
              <w:left w:w="75" w:type="dxa"/>
              <w:bottom w:w="15" w:type="dxa"/>
              <w:right w:w="75" w:type="dxa"/>
            </w:tcMar>
            <w:vAlign w:val="center"/>
            <w:hideMark/>
          </w:tcPr>
          <w:p w14:paraId="6CD7BBC9" w14:textId="77777777" w:rsidR="00AF6702" w:rsidRPr="00702882" w:rsidRDefault="00AF6702" w:rsidP="008D265E">
            <w:pPr>
              <w:spacing w:before="150" w:after="150"/>
              <w:contextualSpacing/>
              <w:rPr>
                <w:sz w:val="20"/>
                <w:szCs w:val="20"/>
              </w:rPr>
            </w:pPr>
            <w:r w:rsidRPr="00702882">
              <w:rPr>
                <w:sz w:val="20"/>
                <w:szCs w:val="20"/>
              </w:rPr>
              <w:t>Disasters</w:t>
            </w:r>
          </w:p>
        </w:tc>
        <w:tc>
          <w:tcPr>
            <w:tcW w:w="0" w:type="auto"/>
            <w:tcMar>
              <w:top w:w="15" w:type="dxa"/>
              <w:left w:w="75" w:type="dxa"/>
              <w:bottom w:w="15" w:type="dxa"/>
              <w:right w:w="75" w:type="dxa"/>
            </w:tcMar>
            <w:vAlign w:val="center"/>
            <w:hideMark/>
          </w:tcPr>
          <w:p w14:paraId="2B4C0B3A" w14:textId="77777777" w:rsidR="00AF6702" w:rsidRPr="00702882" w:rsidRDefault="00AF6702" w:rsidP="008D265E">
            <w:pPr>
              <w:spacing w:before="150" w:after="150"/>
              <w:contextualSpacing/>
              <w:rPr>
                <w:sz w:val="20"/>
                <w:szCs w:val="20"/>
              </w:rPr>
            </w:pPr>
            <w:r w:rsidRPr="00702882">
              <w:rPr>
                <w:sz w:val="20"/>
                <w:szCs w:val="20"/>
              </w:rPr>
              <w:t>0.31 (0.11)</w:t>
            </w:r>
            <w:r w:rsidRPr="00702882">
              <w:rPr>
                <w:sz w:val="20"/>
                <w:szCs w:val="20"/>
                <w:vertAlign w:val="superscript"/>
              </w:rPr>
              <w:t>***</w:t>
            </w:r>
          </w:p>
        </w:tc>
        <w:tc>
          <w:tcPr>
            <w:tcW w:w="0" w:type="auto"/>
            <w:tcMar>
              <w:top w:w="15" w:type="dxa"/>
              <w:left w:w="75" w:type="dxa"/>
              <w:bottom w:w="15" w:type="dxa"/>
              <w:right w:w="75" w:type="dxa"/>
            </w:tcMar>
            <w:vAlign w:val="center"/>
            <w:hideMark/>
          </w:tcPr>
          <w:p w14:paraId="1F5777A1" w14:textId="77777777" w:rsidR="00AF6702" w:rsidRPr="00702882" w:rsidRDefault="00AF6702" w:rsidP="008D265E">
            <w:pPr>
              <w:spacing w:before="150" w:after="150"/>
              <w:contextualSpacing/>
              <w:rPr>
                <w:sz w:val="20"/>
                <w:szCs w:val="20"/>
              </w:rPr>
            </w:pPr>
            <w:r w:rsidRPr="00702882">
              <w:rPr>
                <w:sz w:val="20"/>
                <w:szCs w:val="20"/>
              </w:rPr>
              <w:t>0.38 (0.11)</w:t>
            </w:r>
            <w:r w:rsidRPr="00702882">
              <w:rPr>
                <w:sz w:val="20"/>
                <w:szCs w:val="20"/>
                <w:vertAlign w:val="superscript"/>
              </w:rPr>
              <w:t>***</w:t>
            </w:r>
          </w:p>
        </w:tc>
        <w:tc>
          <w:tcPr>
            <w:tcW w:w="0" w:type="auto"/>
            <w:tcMar>
              <w:top w:w="15" w:type="dxa"/>
              <w:left w:w="75" w:type="dxa"/>
              <w:bottom w:w="15" w:type="dxa"/>
              <w:right w:w="75" w:type="dxa"/>
            </w:tcMar>
            <w:vAlign w:val="center"/>
            <w:hideMark/>
          </w:tcPr>
          <w:p w14:paraId="799520DE" w14:textId="77777777" w:rsidR="00AF6702" w:rsidRPr="00702882" w:rsidRDefault="00AF6702" w:rsidP="008D265E">
            <w:pPr>
              <w:spacing w:before="150" w:after="150"/>
              <w:contextualSpacing/>
              <w:rPr>
                <w:sz w:val="20"/>
                <w:szCs w:val="20"/>
              </w:rPr>
            </w:pPr>
            <w:r w:rsidRPr="00702882">
              <w:rPr>
                <w:sz w:val="20"/>
                <w:szCs w:val="20"/>
              </w:rPr>
              <w:t>0.37 (0.10)</w:t>
            </w:r>
            <w:r w:rsidRPr="00702882">
              <w:rPr>
                <w:sz w:val="20"/>
                <w:szCs w:val="20"/>
                <w:vertAlign w:val="superscript"/>
              </w:rPr>
              <w:t>***</w:t>
            </w:r>
          </w:p>
        </w:tc>
        <w:tc>
          <w:tcPr>
            <w:tcW w:w="0" w:type="auto"/>
            <w:tcMar>
              <w:top w:w="15" w:type="dxa"/>
              <w:left w:w="75" w:type="dxa"/>
              <w:bottom w:w="15" w:type="dxa"/>
              <w:right w:w="75" w:type="dxa"/>
            </w:tcMar>
            <w:vAlign w:val="center"/>
            <w:hideMark/>
          </w:tcPr>
          <w:p w14:paraId="691AEC7E" w14:textId="77777777" w:rsidR="00AF6702" w:rsidRPr="00702882" w:rsidRDefault="00AF6702" w:rsidP="008D265E">
            <w:pPr>
              <w:spacing w:before="150" w:after="150"/>
              <w:contextualSpacing/>
              <w:rPr>
                <w:sz w:val="20"/>
                <w:szCs w:val="20"/>
              </w:rPr>
            </w:pPr>
            <w:r w:rsidRPr="00702882">
              <w:rPr>
                <w:sz w:val="20"/>
                <w:szCs w:val="20"/>
              </w:rPr>
              <w:t>0.38 (0.10)</w:t>
            </w:r>
            <w:r w:rsidRPr="00702882">
              <w:rPr>
                <w:sz w:val="20"/>
                <w:szCs w:val="20"/>
                <w:vertAlign w:val="superscript"/>
              </w:rPr>
              <w:t>***</w:t>
            </w:r>
          </w:p>
        </w:tc>
      </w:tr>
      <w:tr w:rsidR="002058F4" w:rsidRPr="00702882" w14:paraId="5CA4B361" w14:textId="77777777" w:rsidTr="00AE6820">
        <w:trPr>
          <w:jc w:val="center"/>
        </w:trPr>
        <w:tc>
          <w:tcPr>
            <w:tcW w:w="0" w:type="auto"/>
            <w:tcMar>
              <w:top w:w="15" w:type="dxa"/>
              <w:left w:w="75" w:type="dxa"/>
              <w:bottom w:w="15" w:type="dxa"/>
              <w:right w:w="75" w:type="dxa"/>
            </w:tcMar>
            <w:vAlign w:val="center"/>
            <w:hideMark/>
          </w:tcPr>
          <w:p w14:paraId="279E3EC2" w14:textId="77777777" w:rsidR="00AF6702" w:rsidRPr="00702882" w:rsidRDefault="00AF6702" w:rsidP="008D265E">
            <w:pPr>
              <w:spacing w:before="150" w:after="150"/>
              <w:contextualSpacing/>
              <w:rPr>
                <w:sz w:val="20"/>
                <w:szCs w:val="20"/>
              </w:rPr>
            </w:pPr>
            <w:r w:rsidRPr="00702882">
              <w:rPr>
                <w:sz w:val="20"/>
                <w:szCs w:val="20"/>
              </w:rPr>
              <w:t>Fed_IGR</w:t>
            </w:r>
          </w:p>
        </w:tc>
        <w:tc>
          <w:tcPr>
            <w:tcW w:w="0" w:type="auto"/>
            <w:tcMar>
              <w:top w:w="15" w:type="dxa"/>
              <w:left w:w="75" w:type="dxa"/>
              <w:bottom w:w="15" w:type="dxa"/>
              <w:right w:w="75" w:type="dxa"/>
            </w:tcMar>
            <w:vAlign w:val="center"/>
            <w:hideMark/>
          </w:tcPr>
          <w:p w14:paraId="7CDA626D" w14:textId="77777777" w:rsidR="00AF6702" w:rsidRPr="00702882" w:rsidRDefault="00AF6702" w:rsidP="008D265E">
            <w:pPr>
              <w:spacing w:before="150" w:after="150"/>
              <w:contextualSpacing/>
              <w:rPr>
                <w:sz w:val="20"/>
                <w:szCs w:val="20"/>
              </w:rPr>
            </w:pPr>
            <w:r w:rsidRPr="00702882">
              <w:rPr>
                <w:sz w:val="20"/>
                <w:szCs w:val="20"/>
              </w:rPr>
              <w:t>1.14 (0.66)</w:t>
            </w:r>
            <w:r w:rsidRPr="00702882">
              <w:rPr>
                <w:sz w:val="20"/>
                <w:szCs w:val="20"/>
                <w:vertAlign w:val="superscript"/>
              </w:rPr>
              <w:t>*</w:t>
            </w:r>
          </w:p>
        </w:tc>
        <w:tc>
          <w:tcPr>
            <w:tcW w:w="0" w:type="auto"/>
            <w:tcMar>
              <w:top w:w="15" w:type="dxa"/>
              <w:left w:w="75" w:type="dxa"/>
              <w:bottom w:w="15" w:type="dxa"/>
              <w:right w:w="75" w:type="dxa"/>
            </w:tcMar>
            <w:vAlign w:val="center"/>
            <w:hideMark/>
          </w:tcPr>
          <w:p w14:paraId="60FEFA83" w14:textId="77777777" w:rsidR="00AF6702" w:rsidRPr="00702882" w:rsidRDefault="00AF6702" w:rsidP="008D265E">
            <w:pPr>
              <w:spacing w:before="150" w:after="150"/>
              <w:contextualSpacing/>
              <w:rPr>
                <w:sz w:val="20"/>
                <w:szCs w:val="20"/>
              </w:rPr>
            </w:pPr>
            <w:r w:rsidRPr="00702882">
              <w:rPr>
                <w:sz w:val="20"/>
                <w:szCs w:val="20"/>
              </w:rPr>
              <w:t>1.26 (0.69)</w:t>
            </w:r>
            <w:r w:rsidRPr="00702882">
              <w:rPr>
                <w:sz w:val="20"/>
                <w:szCs w:val="20"/>
                <w:vertAlign w:val="superscript"/>
              </w:rPr>
              <w:t>*</w:t>
            </w:r>
          </w:p>
        </w:tc>
        <w:tc>
          <w:tcPr>
            <w:tcW w:w="0" w:type="auto"/>
            <w:tcMar>
              <w:top w:w="15" w:type="dxa"/>
              <w:left w:w="75" w:type="dxa"/>
              <w:bottom w:w="15" w:type="dxa"/>
              <w:right w:w="75" w:type="dxa"/>
            </w:tcMar>
            <w:vAlign w:val="center"/>
            <w:hideMark/>
          </w:tcPr>
          <w:p w14:paraId="30DD6ACD" w14:textId="77777777" w:rsidR="00AF6702" w:rsidRPr="00702882" w:rsidRDefault="00AF6702" w:rsidP="008D265E">
            <w:pPr>
              <w:spacing w:before="150" w:after="150"/>
              <w:contextualSpacing/>
              <w:rPr>
                <w:sz w:val="20"/>
                <w:szCs w:val="20"/>
              </w:rPr>
            </w:pPr>
            <w:r w:rsidRPr="00702882">
              <w:rPr>
                <w:sz w:val="20"/>
                <w:szCs w:val="20"/>
              </w:rPr>
              <w:t>0.97 (0.62)</w:t>
            </w:r>
          </w:p>
        </w:tc>
        <w:tc>
          <w:tcPr>
            <w:tcW w:w="0" w:type="auto"/>
            <w:tcMar>
              <w:top w:w="15" w:type="dxa"/>
              <w:left w:w="75" w:type="dxa"/>
              <w:bottom w:w="15" w:type="dxa"/>
              <w:right w:w="75" w:type="dxa"/>
            </w:tcMar>
            <w:vAlign w:val="center"/>
            <w:hideMark/>
          </w:tcPr>
          <w:p w14:paraId="395713F0" w14:textId="77777777" w:rsidR="00AF6702" w:rsidRPr="00702882" w:rsidRDefault="00AF6702" w:rsidP="008D265E">
            <w:pPr>
              <w:spacing w:before="150" w:after="150"/>
              <w:contextualSpacing/>
              <w:rPr>
                <w:sz w:val="20"/>
                <w:szCs w:val="20"/>
              </w:rPr>
            </w:pPr>
            <w:r w:rsidRPr="00702882">
              <w:rPr>
                <w:sz w:val="20"/>
                <w:szCs w:val="20"/>
              </w:rPr>
              <w:t>1.03 (0.64)</w:t>
            </w:r>
          </w:p>
        </w:tc>
      </w:tr>
      <w:tr w:rsidR="002058F4" w:rsidRPr="00702882" w14:paraId="6E0B275A" w14:textId="77777777" w:rsidTr="00AE6820">
        <w:trPr>
          <w:jc w:val="center"/>
        </w:trPr>
        <w:tc>
          <w:tcPr>
            <w:tcW w:w="0" w:type="auto"/>
            <w:tcMar>
              <w:top w:w="15" w:type="dxa"/>
              <w:left w:w="75" w:type="dxa"/>
              <w:bottom w:w="15" w:type="dxa"/>
              <w:right w:w="75" w:type="dxa"/>
            </w:tcMar>
            <w:vAlign w:val="center"/>
            <w:hideMark/>
          </w:tcPr>
          <w:p w14:paraId="35827E3C" w14:textId="77777777" w:rsidR="00AF6702" w:rsidRPr="00702882" w:rsidRDefault="00AF6702" w:rsidP="008D265E">
            <w:pPr>
              <w:spacing w:before="150" w:after="150"/>
              <w:contextualSpacing/>
              <w:rPr>
                <w:sz w:val="20"/>
                <w:szCs w:val="20"/>
              </w:rPr>
            </w:pPr>
            <w:r w:rsidRPr="00702882">
              <w:rPr>
                <w:sz w:val="20"/>
                <w:szCs w:val="20"/>
              </w:rPr>
              <w:t>Debt_per_capita</w:t>
            </w:r>
          </w:p>
        </w:tc>
        <w:tc>
          <w:tcPr>
            <w:tcW w:w="0" w:type="auto"/>
            <w:tcMar>
              <w:top w:w="15" w:type="dxa"/>
              <w:left w:w="75" w:type="dxa"/>
              <w:bottom w:w="15" w:type="dxa"/>
              <w:right w:w="75" w:type="dxa"/>
            </w:tcMar>
            <w:vAlign w:val="center"/>
            <w:hideMark/>
          </w:tcPr>
          <w:p w14:paraId="6A319026" w14:textId="77777777" w:rsidR="00AF6702" w:rsidRPr="00702882" w:rsidRDefault="00AF6702" w:rsidP="008D265E">
            <w:pPr>
              <w:spacing w:before="150" w:after="150"/>
              <w:contextualSpacing/>
              <w:rPr>
                <w:sz w:val="20"/>
                <w:szCs w:val="20"/>
              </w:rPr>
            </w:pPr>
            <w:r w:rsidRPr="00702882">
              <w:rPr>
                <w:sz w:val="20"/>
                <w:szCs w:val="20"/>
              </w:rPr>
              <w:t>-0.09 (0.34)</w:t>
            </w:r>
          </w:p>
        </w:tc>
        <w:tc>
          <w:tcPr>
            <w:tcW w:w="0" w:type="auto"/>
            <w:tcMar>
              <w:top w:w="15" w:type="dxa"/>
              <w:left w:w="75" w:type="dxa"/>
              <w:bottom w:w="15" w:type="dxa"/>
              <w:right w:w="75" w:type="dxa"/>
            </w:tcMar>
            <w:vAlign w:val="center"/>
            <w:hideMark/>
          </w:tcPr>
          <w:p w14:paraId="0A73DF2B" w14:textId="77777777" w:rsidR="00AF6702" w:rsidRPr="00702882" w:rsidRDefault="00AF6702" w:rsidP="008D265E">
            <w:pPr>
              <w:spacing w:before="150" w:after="150"/>
              <w:contextualSpacing/>
              <w:rPr>
                <w:sz w:val="20"/>
                <w:szCs w:val="20"/>
              </w:rPr>
            </w:pPr>
            <w:r w:rsidRPr="00702882">
              <w:rPr>
                <w:sz w:val="20"/>
                <w:szCs w:val="20"/>
              </w:rPr>
              <w:t>-0.03 (0.34)</w:t>
            </w:r>
          </w:p>
        </w:tc>
        <w:tc>
          <w:tcPr>
            <w:tcW w:w="0" w:type="auto"/>
            <w:tcMar>
              <w:top w:w="15" w:type="dxa"/>
              <w:left w:w="75" w:type="dxa"/>
              <w:bottom w:w="15" w:type="dxa"/>
              <w:right w:w="75" w:type="dxa"/>
            </w:tcMar>
            <w:vAlign w:val="center"/>
            <w:hideMark/>
          </w:tcPr>
          <w:p w14:paraId="1A45348A" w14:textId="77777777" w:rsidR="00AF6702" w:rsidRPr="00702882" w:rsidRDefault="00AF6702" w:rsidP="008D265E">
            <w:pPr>
              <w:spacing w:before="150" w:after="150"/>
              <w:contextualSpacing/>
              <w:rPr>
                <w:sz w:val="20"/>
                <w:szCs w:val="20"/>
              </w:rPr>
            </w:pPr>
            <w:r w:rsidRPr="00702882">
              <w:rPr>
                <w:sz w:val="20"/>
                <w:szCs w:val="20"/>
              </w:rPr>
              <w:t>-0.01 (0.32)</w:t>
            </w:r>
          </w:p>
        </w:tc>
        <w:tc>
          <w:tcPr>
            <w:tcW w:w="0" w:type="auto"/>
            <w:tcMar>
              <w:top w:w="15" w:type="dxa"/>
              <w:left w:w="75" w:type="dxa"/>
              <w:bottom w:w="15" w:type="dxa"/>
              <w:right w:w="75" w:type="dxa"/>
            </w:tcMar>
            <w:vAlign w:val="center"/>
            <w:hideMark/>
          </w:tcPr>
          <w:p w14:paraId="6BFD4349" w14:textId="77777777" w:rsidR="00AF6702" w:rsidRPr="00702882" w:rsidRDefault="00AF6702" w:rsidP="008D265E">
            <w:pPr>
              <w:spacing w:before="150" w:after="150"/>
              <w:contextualSpacing/>
              <w:rPr>
                <w:sz w:val="20"/>
                <w:szCs w:val="20"/>
              </w:rPr>
            </w:pPr>
            <w:r w:rsidRPr="00702882">
              <w:rPr>
                <w:sz w:val="20"/>
                <w:szCs w:val="20"/>
              </w:rPr>
              <w:t>-0.07 (0.33)</w:t>
            </w:r>
          </w:p>
        </w:tc>
      </w:tr>
      <w:tr w:rsidR="002058F4" w:rsidRPr="00702882" w14:paraId="605610CE" w14:textId="77777777" w:rsidTr="00AE6820">
        <w:trPr>
          <w:jc w:val="center"/>
        </w:trPr>
        <w:tc>
          <w:tcPr>
            <w:tcW w:w="0" w:type="auto"/>
            <w:tcMar>
              <w:top w:w="15" w:type="dxa"/>
              <w:left w:w="75" w:type="dxa"/>
              <w:bottom w:w="15" w:type="dxa"/>
              <w:right w:w="75" w:type="dxa"/>
            </w:tcMar>
            <w:vAlign w:val="center"/>
            <w:hideMark/>
          </w:tcPr>
          <w:p w14:paraId="3CF18DD3" w14:textId="77777777" w:rsidR="00AF6702" w:rsidRPr="00702882" w:rsidRDefault="00AF6702" w:rsidP="008D265E">
            <w:pPr>
              <w:spacing w:before="150" w:after="150"/>
              <w:contextualSpacing/>
              <w:rPr>
                <w:sz w:val="20"/>
                <w:szCs w:val="20"/>
              </w:rPr>
            </w:pPr>
            <w:r w:rsidRPr="00702882">
              <w:rPr>
                <w:sz w:val="20"/>
                <w:szCs w:val="20"/>
              </w:rPr>
              <w:t>GSP</w:t>
            </w:r>
          </w:p>
        </w:tc>
        <w:tc>
          <w:tcPr>
            <w:tcW w:w="0" w:type="auto"/>
            <w:tcMar>
              <w:top w:w="15" w:type="dxa"/>
              <w:left w:w="75" w:type="dxa"/>
              <w:bottom w:w="15" w:type="dxa"/>
              <w:right w:w="75" w:type="dxa"/>
            </w:tcMar>
            <w:vAlign w:val="center"/>
            <w:hideMark/>
          </w:tcPr>
          <w:p w14:paraId="19DAA14F" w14:textId="77777777" w:rsidR="00AF6702" w:rsidRPr="00702882" w:rsidRDefault="00AF6702" w:rsidP="008D265E">
            <w:pPr>
              <w:spacing w:before="150" w:after="150"/>
              <w:contextualSpacing/>
              <w:rPr>
                <w:sz w:val="20"/>
                <w:szCs w:val="20"/>
              </w:rPr>
            </w:pPr>
            <w:r w:rsidRPr="00702882">
              <w:rPr>
                <w:sz w:val="20"/>
                <w:szCs w:val="20"/>
              </w:rPr>
              <w:t>-0.01 (0.07)</w:t>
            </w:r>
          </w:p>
        </w:tc>
        <w:tc>
          <w:tcPr>
            <w:tcW w:w="0" w:type="auto"/>
            <w:tcMar>
              <w:top w:w="15" w:type="dxa"/>
              <w:left w:w="75" w:type="dxa"/>
              <w:bottom w:w="15" w:type="dxa"/>
              <w:right w:w="75" w:type="dxa"/>
            </w:tcMar>
            <w:vAlign w:val="center"/>
            <w:hideMark/>
          </w:tcPr>
          <w:p w14:paraId="736B1C60" w14:textId="77777777" w:rsidR="00AF6702" w:rsidRPr="00702882" w:rsidRDefault="00AF6702" w:rsidP="008D265E">
            <w:pPr>
              <w:spacing w:before="150" w:after="150"/>
              <w:contextualSpacing/>
              <w:rPr>
                <w:sz w:val="20"/>
                <w:szCs w:val="20"/>
              </w:rPr>
            </w:pPr>
            <w:r w:rsidRPr="00702882">
              <w:rPr>
                <w:sz w:val="20"/>
                <w:szCs w:val="20"/>
              </w:rPr>
              <w:t>-0.02 (0.06)</w:t>
            </w:r>
          </w:p>
        </w:tc>
        <w:tc>
          <w:tcPr>
            <w:tcW w:w="0" w:type="auto"/>
            <w:tcMar>
              <w:top w:w="15" w:type="dxa"/>
              <w:left w:w="75" w:type="dxa"/>
              <w:bottom w:w="15" w:type="dxa"/>
              <w:right w:w="75" w:type="dxa"/>
            </w:tcMar>
            <w:vAlign w:val="center"/>
            <w:hideMark/>
          </w:tcPr>
          <w:p w14:paraId="6F2C966B" w14:textId="77777777" w:rsidR="00AF6702" w:rsidRPr="00702882" w:rsidRDefault="00AF6702" w:rsidP="008D265E">
            <w:pPr>
              <w:spacing w:before="150" w:after="150"/>
              <w:contextualSpacing/>
              <w:rPr>
                <w:sz w:val="20"/>
                <w:szCs w:val="20"/>
              </w:rPr>
            </w:pPr>
            <w:r w:rsidRPr="00702882">
              <w:rPr>
                <w:sz w:val="20"/>
                <w:szCs w:val="20"/>
              </w:rPr>
              <w:t>-0.02 (0.06)</w:t>
            </w:r>
          </w:p>
        </w:tc>
        <w:tc>
          <w:tcPr>
            <w:tcW w:w="0" w:type="auto"/>
            <w:tcMar>
              <w:top w:w="15" w:type="dxa"/>
              <w:left w:w="75" w:type="dxa"/>
              <w:bottom w:w="15" w:type="dxa"/>
              <w:right w:w="75" w:type="dxa"/>
            </w:tcMar>
            <w:vAlign w:val="center"/>
            <w:hideMark/>
          </w:tcPr>
          <w:p w14:paraId="1C937757" w14:textId="77777777" w:rsidR="00AF6702" w:rsidRPr="00702882" w:rsidRDefault="00AF6702" w:rsidP="008D265E">
            <w:pPr>
              <w:spacing w:before="150" w:after="150"/>
              <w:contextualSpacing/>
              <w:rPr>
                <w:sz w:val="20"/>
                <w:szCs w:val="20"/>
              </w:rPr>
            </w:pPr>
            <w:r w:rsidRPr="00702882">
              <w:rPr>
                <w:sz w:val="20"/>
                <w:szCs w:val="20"/>
              </w:rPr>
              <w:t>-0.02 (0.06)</w:t>
            </w:r>
          </w:p>
        </w:tc>
      </w:tr>
      <w:tr w:rsidR="002058F4" w:rsidRPr="00702882" w14:paraId="35720545" w14:textId="77777777" w:rsidTr="00AE6820">
        <w:trPr>
          <w:jc w:val="center"/>
        </w:trPr>
        <w:tc>
          <w:tcPr>
            <w:tcW w:w="0" w:type="auto"/>
            <w:tcMar>
              <w:top w:w="15" w:type="dxa"/>
              <w:left w:w="75" w:type="dxa"/>
              <w:bottom w:w="15" w:type="dxa"/>
              <w:right w:w="75" w:type="dxa"/>
            </w:tcMar>
            <w:vAlign w:val="center"/>
            <w:hideMark/>
          </w:tcPr>
          <w:p w14:paraId="60CFA49F" w14:textId="77777777" w:rsidR="00AF6702" w:rsidRPr="00702882" w:rsidRDefault="00AF6702" w:rsidP="008D265E">
            <w:pPr>
              <w:spacing w:before="150" w:after="150"/>
              <w:contextualSpacing/>
              <w:rPr>
                <w:sz w:val="20"/>
                <w:szCs w:val="20"/>
              </w:rPr>
            </w:pPr>
            <w:r w:rsidRPr="00702882">
              <w:rPr>
                <w:sz w:val="20"/>
                <w:szCs w:val="20"/>
              </w:rPr>
              <w:t>Unemployment</w:t>
            </w:r>
          </w:p>
        </w:tc>
        <w:tc>
          <w:tcPr>
            <w:tcW w:w="0" w:type="auto"/>
            <w:tcMar>
              <w:top w:w="15" w:type="dxa"/>
              <w:left w:w="75" w:type="dxa"/>
              <w:bottom w:w="15" w:type="dxa"/>
              <w:right w:w="75" w:type="dxa"/>
            </w:tcMar>
            <w:vAlign w:val="center"/>
            <w:hideMark/>
          </w:tcPr>
          <w:p w14:paraId="18EB5649" w14:textId="77777777" w:rsidR="00AF6702" w:rsidRPr="00702882" w:rsidRDefault="00AF6702" w:rsidP="008D265E">
            <w:pPr>
              <w:spacing w:before="150" w:after="150"/>
              <w:contextualSpacing/>
              <w:rPr>
                <w:sz w:val="20"/>
                <w:szCs w:val="20"/>
              </w:rPr>
            </w:pPr>
            <w:r w:rsidRPr="00702882">
              <w:rPr>
                <w:sz w:val="20"/>
                <w:szCs w:val="20"/>
              </w:rPr>
              <w:t>-0.96 (0.17)</w:t>
            </w:r>
            <w:r w:rsidRPr="00702882">
              <w:rPr>
                <w:sz w:val="20"/>
                <w:szCs w:val="20"/>
                <w:vertAlign w:val="superscript"/>
              </w:rPr>
              <w:t>***</w:t>
            </w:r>
          </w:p>
        </w:tc>
        <w:tc>
          <w:tcPr>
            <w:tcW w:w="0" w:type="auto"/>
            <w:tcMar>
              <w:top w:w="15" w:type="dxa"/>
              <w:left w:w="75" w:type="dxa"/>
              <w:bottom w:w="15" w:type="dxa"/>
              <w:right w:w="75" w:type="dxa"/>
            </w:tcMar>
            <w:vAlign w:val="center"/>
            <w:hideMark/>
          </w:tcPr>
          <w:p w14:paraId="1759DEED" w14:textId="77777777" w:rsidR="00AF6702" w:rsidRPr="00702882" w:rsidRDefault="00AF6702" w:rsidP="008D265E">
            <w:pPr>
              <w:spacing w:before="150" w:after="150"/>
              <w:contextualSpacing/>
              <w:rPr>
                <w:sz w:val="20"/>
                <w:szCs w:val="20"/>
              </w:rPr>
            </w:pPr>
            <w:r w:rsidRPr="00702882">
              <w:rPr>
                <w:sz w:val="20"/>
                <w:szCs w:val="20"/>
              </w:rPr>
              <w:t>-1.12 (0.33)</w:t>
            </w:r>
            <w:r w:rsidRPr="00702882">
              <w:rPr>
                <w:sz w:val="20"/>
                <w:szCs w:val="20"/>
                <w:vertAlign w:val="superscript"/>
              </w:rPr>
              <w:t>***</w:t>
            </w:r>
          </w:p>
        </w:tc>
        <w:tc>
          <w:tcPr>
            <w:tcW w:w="0" w:type="auto"/>
            <w:tcMar>
              <w:top w:w="15" w:type="dxa"/>
              <w:left w:w="75" w:type="dxa"/>
              <w:bottom w:w="15" w:type="dxa"/>
              <w:right w:w="75" w:type="dxa"/>
            </w:tcMar>
            <w:vAlign w:val="center"/>
            <w:hideMark/>
          </w:tcPr>
          <w:p w14:paraId="6DC9EA9C" w14:textId="77777777" w:rsidR="00AF6702" w:rsidRPr="00702882" w:rsidRDefault="00AF6702" w:rsidP="008D265E">
            <w:pPr>
              <w:spacing w:before="150" w:after="150"/>
              <w:contextualSpacing/>
              <w:rPr>
                <w:sz w:val="20"/>
                <w:szCs w:val="20"/>
              </w:rPr>
            </w:pPr>
            <w:r w:rsidRPr="00702882">
              <w:rPr>
                <w:sz w:val="20"/>
                <w:szCs w:val="20"/>
              </w:rPr>
              <w:t>-1.04 (0.16)</w:t>
            </w:r>
            <w:r w:rsidRPr="00702882">
              <w:rPr>
                <w:sz w:val="20"/>
                <w:szCs w:val="20"/>
                <w:vertAlign w:val="superscript"/>
              </w:rPr>
              <w:t>***</w:t>
            </w:r>
          </w:p>
        </w:tc>
        <w:tc>
          <w:tcPr>
            <w:tcW w:w="0" w:type="auto"/>
            <w:tcMar>
              <w:top w:w="15" w:type="dxa"/>
              <w:left w:w="75" w:type="dxa"/>
              <w:bottom w:w="15" w:type="dxa"/>
              <w:right w:w="75" w:type="dxa"/>
            </w:tcMar>
            <w:vAlign w:val="center"/>
            <w:hideMark/>
          </w:tcPr>
          <w:p w14:paraId="763A4B92" w14:textId="77777777" w:rsidR="00AF6702" w:rsidRPr="00702882" w:rsidRDefault="00AF6702" w:rsidP="008D265E">
            <w:pPr>
              <w:spacing w:before="150" w:after="150"/>
              <w:contextualSpacing/>
              <w:rPr>
                <w:sz w:val="20"/>
                <w:szCs w:val="20"/>
              </w:rPr>
            </w:pPr>
            <w:r w:rsidRPr="00702882">
              <w:rPr>
                <w:sz w:val="20"/>
                <w:szCs w:val="20"/>
              </w:rPr>
              <w:t>-1.04 (0.16)</w:t>
            </w:r>
            <w:r w:rsidRPr="00702882">
              <w:rPr>
                <w:sz w:val="20"/>
                <w:szCs w:val="20"/>
                <w:vertAlign w:val="superscript"/>
              </w:rPr>
              <w:t>***</w:t>
            </w:r>
          </w:p>
        </w:tc>
      </w:tr>
      <w:tr w:rsidR="002058F4" w:rsidRPr="00702882" w14:paraId="00313A03" w14:textId="77777777" w:rsidTr="00AE6820">
        <w:trPr>
          <w:jc w:val="center"/>
        </w:trPr>
        <w:tc>
          <w:tcPr>
            <w:tcW w:w="0" w:type="auto"/>
            <w:tcMar>
              <w:top w:w="15" w:type="dxa"/>
              <w:left w:w="75" w:type="dxa"/>
              <w:bottom w:w="15" w:type="dxa"/>
              <w:right w:w="75" w:type="dxa"/>
            </w:tcMar>
            <w:vAlign w:val="center"/>
            <w:hideMark/>
          </w:tcPr>
          <w:p w14:paraId="7240EAD3" w14:textId="77777777" w:rsidR="00AF6702" w:rsidRPr="00702882" w:rsidRDefault="00AF6702" w:rsidP="008D265E">
            <w:pPr>
              <w:spacing w:before="150" w:after="150"/>
              <w:contextualSpacing/>
              <w:rPr>
                <w:sz w:val="20"/>
                <w:szCs w:val="20"/>
              </w:rPr>
            </w:pPr>
            <w:r w:rsidRPr="00702882">
              <w:rPr>
                <w:sz w:val="20"/>
                <w:szCs w:val="20"/>
              </w:rPr>
              <w:t>Credit_rating</w:t>
            </w:r>
          </w:p>
        </w:tc>
        <w:tc>
          <w:tcPr>
            <w:tcW w:w="0" w:type="auto"/>
            <w:tcMar>
              <w:top w:w="15" w:type="dxa"/>
              <w:left w:w="75" w:type="dxa"/>
              <w:bottom w:w="15" w:type="dxa"/>
              <w:right w:w="75" w:type="dxa"/>
            </w:tcMar>
            <w:vAlign w:val="center"/>
            <w:hideMark/>
          </w:tcPr>
          <w:p w14:paraId="3F7D9AC9" w14:textId="77777777" w:rsidR="00AF6702" w:rsidRPr="00702882" w:rsidRDefault="00AF6702" w:rsidP="008D265E">
            <w:pPr>
              <w:spacing w:before="150" w:after="150"/>
              <w:contextualSpacing/>
              <w:rPr>
                <w:sz w:val="20"/>
                <w:szCs w:val="20"/>
              </w:rPr>
            </w:pPr>
            <w:r w:rsidRPr="00702882">
              <w:rPr>
                <w:sz w:val="20"/>
                <w:szCs w:val="20"/>
              </w:rPr>
              <w:t>0.72 (0.25)</w:t>
            </w:r>
            <w:r w:rsidRPr="00702882">
              <w:rPr>
                <w:sz w:val="20"/>
                <w:szCs w:val="20"/>
                <w:vertAlign w:val="superscript"/>
              </w:rPr>
              <w:t>***</w:t>
            </w:r>
          </w:p>
        </w:tc>
        <w:tc>
          <w:tcPr>
            <w:tcW w:w="0" w:type="auto"/>
            <w:tcMar>
              <w:top w:w="15" w:type="dxa"/>
              <w:left w:w="75" w:type="dxa"/>
              <w:bottom w:w="15" w:type="dxa"/>
              <w:right w:w="75" w:type="dxa"/>
            </w:tcMar>
            <w:vAlign w:val="center"/>
            <w:hideMark/>
          </w:tcPr>
          <w:p w14:paraId="50A7EDDB" w14:textId="77777777" w:rsidR="00AF6702" w:rsidRPr="00702882" w:rsidRDefault="00AF6702" w:rsidP="008D265E">
            <w:pPr>
              <w:spacing w:before="150" w:after="150"/>
              <w:contextualSpacing/>
              <w:rPr>
                <w:sz w:val="20"/>
                <w:szCs w:val="20"/>
              </w:rPr>
            </w:pPr>
            <w:r w:rsidRPr="00702882">
              <w:rPr>
                <w:sz w:val="20"/>
                <w:szCs w:val="20"/>
              </w:rPr>
              <w:t>0.69 (0.26)</w:t>
            </w:r>
            <w:r w:rsidRPr="00702882">
              <w:rPr>
                <w:sz w:val="20"/>
                <w:szCs w:val="20"/>
                <w:vertAlign w:val="superscript"/>
              </w:rPr>
              <w:t>***</w:t>
            </w:r>
          </w:p>
        </w:tc>
        <w:tc>
          <w:tcPr>
            <w:tcW w:w="0" w:type="auto"/>
            <w:tcMar>
              <w:top w:w="15" w:type="dxa"/>
              <w:left w:w="75" w:type="dxa"/>
              <w:bottom w:w="15" w:type="dxa"/>
              <w:right w:w="75" w:type="dxa"/>
            </w:tcMar>
            <w:vAlign w:val="center"/>
            <w:hideMark/>
          </w:tcPr>
          <w:p w14:paraId="555CC66B" w14:textId="77777777" w:rsidR="00AF6702" w:rsidRPr="00702882" w:rsidRDefault="00AF6702" w:rsidP="008D265E">
            <w:pPr>
              <w:spacing w:before="150" w:after="150"/>
              <w:contextualSpacing/>
              <w:rPr>
                <w:sz w:val="20"/>
                <w:szCs w:val="20"/>
              </w:rPr>
            </w:pPr>
            <w:r w:rsidRPr="00702882">
              <w:rPr>
                <w:sz w:val="20"/>
                <w:szCs w:val="20"/>
              </w:rPr>
              <w:t>0.71 (0.24)</w:t>
            </w:r>
            <w:r w:rsidRPr="00702882">
              <w:rPr>
                <w:sz w:val="20"/>
                <w:szCs w:val="20"/>
                <w:vertAlign w:val="superscript"/>
              </w:rPr>
              <w:t>***</w:t>
            </w:r>
          </w:p>
        </w:tc>
        <w:tc>
          <w:tcPr>
            <w:tcW w:w="0" w:type="auto"/>
            <w:tcMar>
              <w:top w:w="15" w:type="dxa"/>
              <w:left w:w="75" w:type="dxa"/>
              <w:bottom w:w="15" w:type="dxa"/>
              <w:right w:w="75" w:type="dxa"/>
            </w:tcMar>
            <w:vAlign w:val="center"/>
            <w:hideMark/>
          </w:tcPr>
          <w:p w14:paraId="6334EB3C" w14:textId="77777777" w:rsidR="00AF6702" w:rsidRPr="00702882" w:rsidRDefault="00AF6702" w:rsidP="008D265E">
            <w:pPr>
              <w:spacing w:before="150" w:after="150"/>
              <w:contextualSpacing/>
              <w:rPr>
                <w:sz w:val="20"/>
                <w:szCs w:val="20"/>
              </w:rPr>
            </w:pPr>
            <w:r w:rsidRPr="00702882">
              <w:rPr>
                <w:sz w:val="20"/>
                <w:szCs w:val="20"/>
              </w:rPr>
              <w:t>0.75 (0.25)</w:t>
            </w:r>
            <w:r w:rsidRPr="00702882">
              <w:rPr>
                <w:sz w:val="20"/>
                <w:szCs w:val="20"/>
                <w:vertAlign w:val="superscript"/>
              </w:rPr>
              <w:t>***</w:t>
            </w:r>
          </w:p>
        </w:tc>
      </w:tr>
      <w:tr w:rsidR="002058F4" w:rsidRPr="00702882" w14:paraId="0F96BC0C" w14:textId="77777777" w:rsidTr="00AE6820">
        <w:trPr>
          <w:jc w:val="center"/>
        </w:trPr>
        <w:tc>
          <w:tcPr>
            <w:tcW w:w="0" w:type="auto"/>
            <w:tcMar>
              <w:top w:w="15" w:type="dxa"/>
              <w:left w:w="75" w:type="dxa"/>
              <w:bottom w:w="15" w:type="dxa"/>
              <w:right w:w="75" w:type="dxa"/>
            </w:tcMar>
            <w:vAlign w:val="center"/>
            <w:hideMark/>
          </w:tcPr>
          <w:p w14:paraId="7B8B3710" w14:textId="77777777" w:rsidR="00AF6702" w:rsidRPr="00702882" w:rsidRDefault="00AF6702" w:rsidP="008D265E">
            <w:pPr>
              <w:spacing w:before="150" w:after="150"/>
              <w:contextualSpacing/>
              <w:rPr>
                <w:sz w:val="20"/>
                <w:szCs w:val="20"/>
              </w:rPr>
            </w:pPr>
            <w:r w:rsidRPr="00702882">
              <w:rPr>
                <w:sz w:val="20"/>
                <w:szCs w:val="20"/>
              </w:rPr>
              <w:t>Income_thousands</w:t>
            </w:r>
          </w:p>
        </w:tc>
        <w:tc>
          <w:tcPr>
            <w:tcW w:w="0" w:type="auto"/>
            <w:tcMar>
              <w:top w:w="15" w:type="dxa"/>
              <w:left w:w="75" w:type="dxa"/>
              <w:bottom w:w="15" w:type="dxa"/>
              <w:right w:w="75" w:type="dxa"/>
            </w:tcMar>
            <w:vAlign w:val="center"/>
            <w:hideMark/>
          </w:tcPr>
          <w:p w14:paraId="26CC66F0" w14:textId="77777777" w:rsidR="00AF6702" w:rsidRPr="00702882" w:rsidRDefault="00AF6702" w:rsidP="008D265E">
            <w:pPr>
              <w:spacing w:before="150" w:after="150"/>
              <w:contextualSpacing/>
              <w:rPr>
                <w:sz w:val="20"/>
                <w:szCs w:val="20"/>
              </w:rPr>
            </w:pPr>
            <w:r w:rsidRPr="00702882">
              <w:rPr>
                <w:sz w:val="20"/>
                <w:szCs w:val="20"/>
              </w:rPr>
              <w:t>-0.04 (0.11)</w:t>
            </w:r>
          </w:p>
        </w:tc>
        <w:tc>
          <w:tcPr>
            <w:tcW w:w="0" w:type="auto"/>
            <w:tcMar>
              <w:top w:w="15" w:type="dxa"/>
              <w:left w:w="75" w:type="dxa"/>
              <w:bottom w:w="15" w:type="dxa"/>
              <w:right w:w="75" w:type="dxa"/>
            </w:tcMar>
            <w:vAlign w:val="center"/>
            <w:hideMark/>
          </w:tcPr>
          <w:p w14:paraId="0A95CC4C" w14:textId="77777777" w:rsidR="00AF6702" w:rsidRPr="00702882" w:rsidRDefault="00AF6702" w:rsidP="008D265E">
            <w:pPr>
              <w:spacing w:before="150" w:after="150"/>
              <w:contextualSpacing/>
              <w:rPr>
                <w:sz w:val="20"/>
                <w:szCs w:val="20"/>
              </w:rPr>
            </w:pPr>
            <w:r w:rsidRPr="00702882">
              <w:rPr>
                <w:sz w:val="20"/>
                <w:szCs w:val="20"/>
              </w:rPr>
              <w:t>-0.04 (0.11)</w:t>
            </w:r>
          </w:p>
        </w:tc>
        <w:tc>
          <w:tcPr>
            <w:tcW w:w="0" w:type="auto"/>
            <w:tcMar>
              <w:top w:w="15" w:type="dxa"/>
              <w:left w:w="75" w:type="dxa"/>
              <w:bottom w:w="15" w:type="dxa"/>
              <w:right w:w="75" w:type="dxa"/>
            </w:tcMar>
            <w:vAlign w:val="center"/>
            <w:hideMark/>
          </w:tcPr>
          <w:p w14:paraId="2FCB418C" w14:textId="77777777" w:rsidR="00AF6702" w:rsidRPr="00702882" w:rsidRDefault="00AF6702" w:rsidP="008D265E">
            <w:pPr>
              <w:spacing w:before="150" w:after="150"/>
              <w:contextualSpacing/>
              <w:rPr>
                <w:sz w:val="20"/>
                <w:szCs w:val="20"/>
              </w:rPr>
            </w:pPr>
            <w:r w:rsidRPr="00702882">
              <w:rPr>
                <w:sz w:val="20"/>
                <w:szCs w:val="20"/>
              </w:rPr>
              <w:t>-0.05 (0.10)</w:t>
            </w:r>
          </w:p>
        </w:tc>
        <w:tc>
          <w:tcPr>
            <w:tcW w:w="0" w:type="auto"/>
            <w:tcMar>
              <w:top w:w="15" w:type="dxa"/>
              <w:left w:w="75" w:type="dxa"/>
              <w:bottom w:w="15" w:type="dxa"/>
              <w:right w:w="75" w:type="dxa"/>
            </w:tcMar>
            <w:vAlign w:val="center"/>
            <w:hideMark/>
          </w:tcPr>
          <w:p w14:paraId="239E6BB5" w14:textId="77777777" w:rsidR="00AF6702" w:rsidRPr="00702882" w:rsidRDefault="00AF6702" w:rsidP="008D265E">
            <w:pPr>
              <w:spacing w:before="150" w:after="150"/>
              <w:contextualSpacing/>
              <w:rPr>
                <w:sz w:val="20"/>
                <w:szCs w:val="20"/>
              </w:rPr>
            </w:pPr>
            <w:r w:rsidRPr="00702882">
              <w:rPr>
                <w:sz w:val="20"/>
                <w:szCs w:val="20"/>
              </w:rPr>
              <w:t>-0.04 (0.10)</w:t>
            </w:r>
          </w:p>
        </w:tc>
      </w:tr>
      <w:tr w:rsidR="002058F4" w:rsidRPr="00702882" w14:paraId="3A9FB43E" w14:textId="77777777" w:rsidTr="00AE6820">
        <w:trPr>
          <w:jc w:val="center"/>
        </w:trPr>
        <w:tc>
          <w:tcPr>
            <w:tcW w:w="0" w:type="auto"/>
            <w:tcMar>
              <w:top w:w="15" w:type="dxa"/>
              <w:left w:w="75" w:type="dxa"/>
              <w:bottom w:w="15" w:type="dxa"/>
              <w:right w:w="75" w:type="dxa"/>
            </w:tcMar>
            <w:vAlign w:val="center"/>
            <w:hideMark/>
          </w:tcPr>
          <w:p w14:paraId="24B8E22A" w14:textId="77777777" w:rsidR="00AF6702" w:rsidRPr="00702882" w:rsidRDefault="00AF6702" w:rsidP="008D265E">
            <w:pPr>
              <w:spacing w:before="150" w:after="150"/>
              <w:contextualSpacing/>
              <w:rPr>
                <w:sz w:val="20"/>
                <w:szCs w:val="20"/>
              </w:rPr>
            </w:pPr>
            <w:r w:rsidRPr="00702882">
              <w:rPr>
                <w:sz w:val="20"/>
                <w:szCs w:val="20"/>
              </w:rPr>
              <w:t>Population_million</w:t>
            </w:r>
          </w:p>
        </w:tc>
        <w:tc>
          <w:tcPr>
            <w:tcW w:w="0" w:type="auto"/>
            <w:tcMar>
              <w:top w:w="15" w:type="dxa"/>
              <w:left w:w="75" w:type="dxa"/>
              <w:bottom w:w="15" w:type="dxa"/>
              <w:right w:w="75" w:type="dxa"/>
            </w:tcMar>
            <w:vAlign w:val="center"/>
            <w:hideMark/>
          </w:tcPr>
          <w:p w14:paraId="63C93BE0" w14:textId="77777777" w:rsidR="00AF6702" w:rsidRPr="00702882" w:rsidRDefault="00AF6702" w:rsidP="008D265E">
            <w:pPr>
              <w:spacing w:before="150" w:after="150"/>
              <w:contextualSpacing/>
              <w:rPr>
                <w:sz w:val="20"/>
                <w:szCs w:val="20"/>
              </w:rPr>
            </w:pPr>
            <w:r w:rsidRPr="00702882">
              <w:rPr>
                <w:sz w:val="20"/>
                <w:szCs w:val="20"/>
              </w:rPr>
              <w:t>1.21 (0.66)</w:t>
            </w:r>
            <w:r w:rsidRPr="00702882">
              <w:rPr>
                <w:sz w:val="20"/>
                <w:szCs w:val="20"/>
                <w:vertAlign w:val="superscript"/>
              </w:rPr>
              <w:t>*</w:t>
            </w:r>
          </w:p>
        </w:tc>
        <w:tc>
          <w:tcPr>
            <w:tcW w:w="0" w:type="auto"/>
            <w:tcMar>
              <w:top w:w="15" w:type="dxa"/>
              <w:left w:w="75" w:type="dxa"/>
              <w:bottom w:w="15" w:type="dxa"/>
              <w:right w:w="75" w:type="dxa"/>
            </w:tcMar>
            <w:vAlign w:val="center"/>
            <w:hideMark/>
          </w:tcPr>
          <w:p w14:paraId="3A0AD951" w14:textId="77777777" w:rsidR="00AF6702" w:rsidRPr="00702882" w:rsidRDefault="00AF6702" w:rsidP="008D265E">
            <w:pPr>
              <w:spacing w:before="150" w:after="150"/>
              <w:contextualSpacing/>
              <w:rPr>
                <w:sz w:val="20"/>
                <w:szCs w:val="20"/>
              </w:rPr>
            </w:pPr>
            <w:r w:rsidRPr="00702882">
              <w:rPr>
                <w:sz w:val="20"/>
                <w:szCs w:val="20"/>
              </w:rPr>
              <w:t>1.32 (0.68)</w:t>
            </w:r>
            <w:r w:rsidRPr="00702882">
              <w:rPr>
                <w:sz w:val="20"/>
                <w:szCs w:val="20"/>
                <w:vertAlign w:val="superscript"/>
              </w:rPr>
              <w:t>*</w:t>
            </w:r>
          </w:p>
        </w:tc>
        <w:tc>
          <w:tcPr>
            <w:tcW w:w="0" w:type="auto"/>
            <w:tcMar>
              <w:top w:w="15" w:type="dxa"/>
              <w:left w:w="75" w:type="dxa"/>
              <w:bottom w:w="15" w:type="dxa"/>
              <w:right w:w="75" w:type="dxa"/>
            </w:tcMar>
            <w:vAlign w:val="center"/>
            <w:hideMark/>
          </w:tcPr>
          <w:p w14:paraId="4D3FC334" w14:textId="77777777" w:rsidR="00AF6702" w:rsidRPr="00702882" w:rsidRDefault="00AF6702" w:rsidP="008D265E">
            <w:pPr>
              <w:spacing w:before="150" w:after="150"/>
              <w:contextualSpacing/>
              <w:rPr>
                <w:sz w:val="20"/>
                <w:szCs w:val="20"/>
              </w:rPr>
            </w:pPr>
            <w:r w:rsidRPr="00702882">
              <w:rPr>
                <w:sz w:val="20"/>
                <w:szCs w:val="20"/>
              </w:rPr>
              <w:t>1.23 (0.72)</w:t>
            </w:r>
            <w:r w:rsidRPr="00702882">
              <w:rPr>
                <w:sz w:val="20"/>
                <w:szCs w:val="20"/>
                <w:vertAlign w:val="superscript"/>
              </w:rPr>
              <w:t>*</w:t>
            </w:r>
          </w:p>
        </w:tc>
        <w:tc>
          <w:tcPr>
            <w:tcW w:w="0" w:type="auto"/>
            <w:tcMar>
              <w:top w:w="15" w:type="dxa"/>
              <w:left w:w="75" w:type="dxa"/>
              <w:bottom w:w="15" w:type="dxa"/>
              <w:right w:w="75" w:type="dxa"/>
            </w:tcMar>
            <w:vAlign w:val="center"/>
            <w:hideMark/>
          </w:tcPr>
          <w:p w14:paraId="2230865F" w14:textId="77777777" w:rsidR="00AF6702" w:rsidRPr="00702882" w:rsidRDefault="00AF6702" w:rsidP="008D265E">
            <w:pPr>
              <w:spacing w:before="150" w:after="150"/>
              <w:contextualSpacing/>
              <w:rPr>
                <w:sz w:val="20"/>
                <w:szCs w:val="20"/>
              </w:rPr>
            </w:pPr>
            <w:r w:rsidRPr="00702882">
              <w:rPr>
                <w:sz w:val="20"/>
                <w:szCs w:val="20"/>
              </w:rPr>
              <w:t>1.24 (0.69)</w:t>
            </w:r>
            <w:r w:rsidRPr="00702882">
              <w:rPr>
                <w:sz w:val="20"/>
                <w:szCs w:val="20"/>
                <w:vertAlign w:val="superscript"/>
              </w:rPr>
              <w:t>*</w:t>
            </w:r>
          </w:p>
        </w:tc>
      </w:tr>
      <w:tr w:rsidR="002058F4" w:rsidRPr="00702882" w14:paraId="7F915DB7" w14:textId="77777777" w:rsidTr="00AE6820">
        <w:trPr>
          <w:jc w:val="center"/>
        </w:trPr>
        <w:tc>
          <w:tcPr>
            <w:tcW w:w="0" w:type="auto"/>
            <w:tcMar>
              <w:top w:w="15" w:type="dxa"/>
              <w:left w:w="75" w:type="dxa"/>
              <w:bottom w:w="15" w:type="dxa"/>
              <w:right w:w="75" w:type="dxa"/>
            </w:tcMar>
            <w:vAlign w:val="center"/>
            <w:hideMark/>
          </w:tcPr>
          <w:p w14:paraId="1BD27E2D" w14:textId="77777777" w:rsidR="00AF6702" w:rsidRPr="00702882" w:rsidRDefault="00AF6702" w:rsidP="008D265E">
            <w:pPr>
              <w:spacing w:before="150" w:after="150"/>
              <w:contextualSpacing/>
              <w:rPr>
                <w:sz w:val="20"/>
                <w:szCs w:val="20"/>
              </w:rPr>
            </w:pPr>
            <w:r w:rsidRPr="00702882">
              <w:rPr>
                <w:sz w:val="20"/>
                <w:szCs w:val="20"/>
              </w:rPr>
              <w:t>TEL</w:t>
            </w:r>
          </w:p>
        </w:tc>
        <w:tc>
          <w:tcPr>
            <w:tcW w:w="0" w:type="auto"/>
            <w:tcMar>
              <w:top w:w="15" w:type="dxa"/>
              <w:left w:w="75" w:type="dxa"/>
              <w:bottom w:w="15" w:type="dxa"/>
              <w:right w:w="75" w:type="dxa"/>
            </w:tcMar>
            <w:vAlign w:val="center"/>
            <w:hideMark/>
          </w:tcPr>
          <w:p w14:paraId="753F3B0B" w14:textId="77777777" w:rsidR="00AF6702" w:rsidRPr="00702882" w:rsidRDefault="00AF6702" w:rsidP="008D265E">
            <w:pPr>
              <w:spacing w:before="150" w:after="150"/>
              <w:contextualSpacing/>
              <w:rPr>
                <w:sz w:val="20"/>
                <w:szCs w:val="20"/>
              </w:rPr>
            </w:pPr>
            <w:r w:rsidRPr="00702882">
              <w:rPr>
                <w:sz w:val="20"/>
                <w:szCs w:val="20"/>
              </w:rPr>
              <w:t>-0.12 (0.08)</w:t>
            </w:r>
            <w:r w:rsidRPr="00702882">
              <w:rPr>
                <w:sz w:val="20"/>
                <w:szCs w:val="20"/>
                <w:vertAlign w:val="superscript"/>
              </w:rPr>
              <w:t>*</w:t>
            </w:r>
          </w:p>
        </w:tc>
        <w:tc>
          <w:tcPr>
            <w:tcW w:w="0" w:type="auto"/>
            <w:tcMar>
              <w:top w:w="15" w:type="dxa"/>
              <w:left w:w="75" w:type="dxa"/>
              <w:bottom w:w="15" w:type="dxa"/>
              <w:right w:w="75" w:type="dxa"/>
            </w:tcMar>
            <w:vAlign w:val="center"/>
            <w:hideMark/>
          </w:tcPr>
          <w:p w14:paraId="15C905C4" w14:textId="77777777" w:rsidR="00AF6702" w:rsidRPr="00702882" w:rsidRDefault="00AF6702" w:rsidP="008D265E">
            <w:pPr>
              <w:spacing w:before="150" w:after="150"/>
              <w:contextualSpacing/>
              <w:rPr>
                <w:sz w:val="20"/>
                <w:szCs w:val="20"/>
              </w:rPr>
            </w:pPr>
            <w:r w:rsidRPr="00702882">
              <w:rPr>
                <w:sz w:val="20"/>
                <w:szCs w:val="20"/>
              </w:rPr>
              <w:t>-0.13 (0.08)</w:t>
            </w:r>
          </w:p>
        </w:tc>
        <w:tc>
          <w:tcPr>
            <w:tcW w:w="0" w:type="auto"/>
            <w:tcMar>
              <w:top w:w="15" w:type="dxa"/>
              <w:left w:w="75" w:type="dxa"/>
              <w:bottom w:w="15" w:type="dxa"/>
              <w:right w:w="75" w:type="dxa"/>
            </w:tcMar>
            <w:vAlign w:val="center"/>
            <w:hideMark/>
          </w:tcPr>
          <w:p w14:paraId="5BEEF1EA" w14:textId="77777777" w:rsidR="00AF6702" w:rsidRPr="00702882" w:rsidRDefault="00AF6702" w:rsidP="008D265E">
            <w:pPr>
              <w:spacing w:before="150" w:after="150"/>
              <w:contextualSpacing/>
              <w:rPr>
                <w:sz w:val="20"/>
                <w:szCs w:val="20"/>
              </w:rPr>
            </w:pPr>
            <w:r w:rsidRPr="00702882">
              <w:rPr>
                <w:sz w:val="20"/>
                <w:szCs w:val="20"/>
              </w:rPr>
              <w:t>-0.11 (0.07)</w:t>
            </w:r>
          </w:p>
        </w:tc>
        <w:tc>
          <w:tcPr>
            <w:tcW w:w="0" w:type="auto"/>
            <w:tcMar>
              <w:top w:w="15" w:type="dxa"/>
              <w:left w:w="75" w:type="dxa"/>
              <w:bottom w:w="15" w:type="dxa"/>
              <w:right w:w="75" w:type="dxa"/>
            </w:tcMar>
            <w:vAlign w:val="center"/>
            <w:hideMark/>
          </w:tcPr>
          <w:p w14:paraId="78C3834F" w14:textId="77777777" w:rsidR="00AF6702" w:rsidRPr="00702882" w:rsidRDefault="00AF6702" w:rsidP="008D265E">
            <w:pPr>
              <w:spacing w:before="150" w:after="150"/>
              <w:contextualSpacing/>
              <w:rPr>
                <w:sz w:val="20"/>
                <w:szCs w:val="20"/>
              </w:rPr>
            </w:pPr>
            <w:r w:rsidRPr="00702882">
              <w:rPr>
                <w:sz w:val="20"/>
                <w:szCs w:val="20"/>
              </w:rPr>
              <w:t>-0.10 (0.07)</w:t>
            </w:r>
          </w:p>
        </w:tc>
      </w:tr>
      <w:tr w:rsidR="002058F4" w:rsidRPr="00702882" w14:paraId="6CDA7841" w14:textId="77777777" w:rsidTr="00AE6820">
        <w:trPr>
          <w:jc w:val="center"/>
        </w:trPr>
        <w:tc>
          <w:tcPr>
            <w:tcW w:w="0" w:type="auto"/>
            <w:tcMar>
              <w:top w:w="15" w:type="dxa"/>
              <w:left w:w="75" w:type="dxa"/>
              <w:bottom w:w="15" w:type="dxa"/>
              <w:right w:w="75" w:type="dxa"/>
            </w:tcMar>
            <w:vAlign w:val="center"/>
            <w:hideMark/>
          </w:tcPr>
          <w:p w14:paraId="06C5249A" w14:textId="77777777" w:rsidR="00AF6702" w:rsidRPr="00702882" w:rsidRDefault="00AF6702" w:rsidP="008D265E">
            <w:pPr>
              <w:spacing w:before="150" w:after="150"/>
              <w:contextualSpacing/>
              <w:rPr>
                <w:sz w:val="20"/>
                <w:szCs w:val="20"/>
              </w:rPr>
            </w:pPr>
            <w:r w:rsidRPr="00702882">
              <w:rPr>
                <w:sz w:val="20"/>
                <w:szCs w:val="20"/>
              </w:rPr>
              <w:t>BBR</w:t>
            </w:r>
          </w:p>
        </w:tc>
        <w:tc>
          <w:tcPr>
            <w:tcW w:w="0" w:type="auto"/>
            <w:tcMar>
              <w:top w:w="15" w:type="dxa"/>
              <w:left w:w="75" w:type="dxa"/>
              <w:bottom w:w="15" w:type="dxa"/>
              <w:right w:w="75" w:type="dxa"/>
            </w:tcMar>
            <w:vAlign w:val="center"/>
            <w:hideMark/>
          </w:tcPr>
          <w:p w14:paraId="5419E9CE" w14:textId="77777777" w:rsidR="00AF6702" w:rsidRPr="00702882" w:rsidRDefault="00AF6702" w:rsidP="008D265E">
            <w:pPr>
              <w:spacing w:before="150" w:after="150"/>
              <w:contextualSpacing/>
              <w:rPr>
                <w:sz w:val="20"/>
                <w:szCs w:val="20"/>
              </w:rPr>
            </w:pPr>
            <w:r w:rsidRPr="00702882">
              <w:rPr>
                <w:sz w:val="20"/>
                <w:szCs w:val="20"/>
              </w:rPr>
              <w:t>-0.49 (0.65)</w:t>
            </w:r>
          </w:p>
        </w:tc>
        <w:tc>
          <w:tcPr>
            <w:tcW w:w="0" w:type="auto"/>
            <w:tcMar>
              <w:top w:w="15" w:type="dxa"/>
              <w:left w:w="75" w:type="dxa"/>
              <w:bottom w:w="15" w:type="dxa"/>
              <w:right w:w="75" w:type="dxa"/>
            </w:tcMar>
            <w:vAlign w:val="center"/>
            <w:hideMark/>
          </w:tcPr>
          <w:p w14:paraId="012B7714" w14:textId="77777777" w:rsidR="00AF6702" w:rsidRPr="00702882" w:rsidRDefault="00AF6702" w:rsidP="008D265E">
            <w:pPr>
              <w:spacing w:before="150" w:after="150"/>
              <w:contextualSpacing/>
              <w:rPr>
                <w:sz w:val="20"/>
                <w:szCs w:val="20"/>
              </w:rPr>
            </w:pPr>
            <w:r w:rsidRPr="00702882">
              <w:rPr>
                <w:sz w:val="20"/>
                <w:szCs w:val="20"/>
              </w:rPr>
              <w:t>0.16 (0.64)</w:t>
            </w:r>
          </w:p>
        </w:tc>
        <w:tc>
          <w:tcPr>
            <w:tcW w:w="0" w:type="auto"/>
            <w:tcMar>
              <w:top w:w="15" w:type="dxa"/>
              <w:left w:w="75" w:type="dxa"/>
              <w:bottom w:w="15" w:type="dxa"/>
              <w:right w:w="75" w:type="dxa"/>
            </w:tcMar>
            <w:vAlign w:val="center"/>
            <w:hideMark/>
          </w:tcPr>
          <w:p w14:paraId="7B83FBAD" w14:textId="77777777" w:rsidR="00AF6702" w:rsidRPr="00702882" w:rsidRDefault="00AF6702" w:rsidP="008D265E">
            <w:pPr>
              <w:spacing w:before="150" w:after="150"/>
              <w:contextualSpacing/>
              <w:rPr>
                <w:sz w:val="20"/>
                <w:szCs w:val="20"/>
              </w:rPr>
            </w:pPr>
            <w:r w:rsidRPr="00702882">
              <w:rPr>
                <w:sz w:val="20"/>
                <w:szCs w:val="20"/>
              </w:rPr>
              <w:t>-0.13 (0.59)</w:t>
            </w:r>
          </w:p>
        </w:tc>
        <w:tc>
          <w:tcPr>
            <w:tcW w:w="0" w:type="auto"/>
            <w:tcMar>
              <w:top w:w="15" w:type="dxa"/>
              <w:left w:w="75" w:type="dxa"/>
              <w:bottom w:w="15" w:type="dxa"/>
              <w:right w:w="75" w:type="dxa"/>
            </w:tcMar>
            <w:vAlign w:val="center"/>
            <w:hideMark/>
          </w:tcPr>
          <w:p w14:paraId="115B0BA5" w14:textId="77777777" w:rsidR="00AF6702" w:rsidRPr="00702882" w:rsidRDefault="00AF6702" w:rsidP="008D265E">
            <w:pPr>
              <w:spacing w:before="150" w:after="150"/>
              <w:contextualSpacing/>
              <w:rPr>
                <w:sz w:val="20"/>
                <w:szCs w:val="20"/>
              </w:rPr>
            </w:pPr>
            <w:r w:rsidRPr="00702882">
              <w:rPr>
                <w:sz w:val="20"/>
                <w:szCs w:val="20"/>
              </w:rPr>
              <w:t>-0.08 (0.60)</w:t>
            </w:r>
          </w:p>
        </w:tc>
      </w:tr>
      <w:tr w:rsidR="002058F4" w:rsidRPr="00702882" w14:paraId="53A42719" w14:textId="77777777" w:rsidTr="00AE6820">
        <w:trPr>
          <w:jc w:val="center"/>
        </w:trPr>
        <w:tc>
          <w:tcPr>
            <w:tcW w:w="0" w:type="auto"/>
            <w:tcMar>
              <w:top w:w="15" w:type="dxa"/>
              <w:left w:w="75" w:type="dxa"/>
              <w:bottom w:w="15" w:type="dxa"/>
              <w:right w:w="75" w:type="dxa"/>
            </w:tcMar>
            <w:vAlign w:val="center"/>
            <w:hideMark/>
          </w:tcPr>
          <w:p w14:paraId="1444421D" w14:textId="77777777" w:rsidR="00AF6702" w:rsidRPr="00702882" w:rsidRDefault="00AF6702" w:rsidP="008D265E">
            <w:pPr>
              <w:spacing w:before="150" w:after="150"/>
              <w:contextualSpacing/>
              <w:rPr>
                <w:sz w:val="20"/>
                <w:szCs w:val="20"/>
              </w:rPr>
            </w:pPr>
            <w:r w:rsidRPr="00702882">
              <w:rPr>
                <w:sz w:val="20"/>
                <w:szCs w:val="20"/>
              </w:rPr>
              <w:t>Election</w:t>
            </w:r>
          </w:p>
        </w:tc>
        <w:tc>
          <w:tcPr>
            <w:tcW w:w="0" w:type="auto"/>
            <w:tcMar>
              <w:top w:w="15" w:type="dxa"/>
              <w:left w:w="75" w:type="dxa"/>
              <w:bottom w:w="15" w:type="dxa"/>
              <w:right w:w="75" w:type="dxa"/>
            </w:tcMar>
            <w:vAlign w:val="center"/>
            <w:hideMark/>
          </w:tcPr>
          <w:p w14:paraId="19A9069D" w14:textId="77777777" w:rsidR="00AF6702" w:rsidRPr="00702882" w:rsidRDefault="00AF6702" w:rsidP="008D265E">
            <w:pPr>
              <w:spacing w:before="150" w:after="150"/>
              <w:contextualSpacing/>
              <w:rPr>
                <w:sz w:val="20"/>
                <w:szCs w:val="20"/>
              </w:rPr>
            </w:pPr>
            <w:r w:rsidRPr="00702882">
              <w:rPr>
                <w:sz w:val="20"/>
                <w:szCs w:val="20"/>
              </w:rPr>
              <w:t>-0.03 (0.19)</w:t>
            </w:r>
          </w:p>
        </w:tc>
        <w:tc>
          <w:tcPr>
            <w:tcW w:w="0" w:type="auto"/>
            <w:tcMar>
              <w:top w:w="15" w:type="dxa"/>
              <w:left w:w="75" w:type="dxa"/>
              <w:bottom w:w="15" w:type="dxa"/>
              <w:right w:w="75" w:type="dxa"/>
            </w:tcMar>
            <w:vAlign w:val="center"/>
            <w:hideMark/>
          </w:tcPr>
          <w:p w14:paraId="046F71BB" w14:textId="77777777" w:rsidR="00AF6702" w:rsidRPr="00702882" w:rsidRDefault="00AF6702" w:rsidP="008D265E">
            <w:pPr>
              <w:spacing w:before="150" w:after="150"/>
              <w:contextualSpacing/>
              <w:rPr>
                <w:sz w:val="20"/>
                <w:szCs w:val="20"/>
              </w:rPr>
            </w:pPr>
            <w:r w:rsidRPr="00702882">
              <w:rPr>
                <w:sz w:val="20"/>
                <w:szCs w:val="20"/>
              </w:rPr>
              <w:t>0.00 (0.19)</w:t>
            </w:r>
          </w:p>
        </w:tc>
        <w:tc>
          <w:tcPr>
            <w:tcW w:w="0" w:type="auto"/>
            <w:tcMar>
              <w:top w:w="15" w:type="dxa"/>
              <w:left w:w="75" w:type="dxa"/>
              <w:bottom w:w="15" w:type="dxa"/>
              <w:right w:w="75" w:type="dxa"/>
            </w:tcMar>
            <w:vAlign w:val="center"/>
            <w:hideMark/>
          </w:tcPr>
          <w:p w14:paraId="426ACB5B" w14:textId="77777777" w:rsidR="00AF6702" w:rsidRPr="00702882" w:rsidRDefault="00AF6702" w:rsidP="008D265E">
            <w:pPr>
              <w:spacing w:before="150" w:after="150"/>
              <w:contextualSpacing/>
              <w:rPr>
                <w:sz w:val="20"/>
                <w:szCs w:val="20"/>
              </w:rPr>
            </w:pPr>
            <w:r w:rsidRPr="00702882">
              <w:rPr>
                <w:sz w:val="20"/>
                <w:szCs w:val="20"/>
              </w:rPr>
              <w:t>0.03 (0.19)</w:t>
            </w:r>
          </w:p>
        </w:tc>
        <w:tc>
          <w:tcPr>
            <w:tcW w:w="0" w:type="auto"/>
            <w:tcMar>
              <w:top w:w="15" w:type="dxa"/>
              <w:left w:w="75" w:type="dxa"/>
              <w:bottom w:w="15" w:type="dxa"/>
              <w:right w:w="75" w:type="dxa"/>
            </w:tcMar>
            <w:vAlign w:val="center"/>
            <w:hideMark/>
          </w:tcPr>
          <w:p w14:paraId="16083349" w14:textId="77777777" w:rsidR="00AF6702" w:rsidRPr="00702882" w:rsidRDefault="00AF6702" w:rsidP="008D265E">
            <w:pPr>
              <w:spacing w:before="150" w:after="150"/>
              <w:contextualSpacing/>
              <w:rPr>
                <w:sz w:val="20"/>
                <w:szCs w:val="20"/>
              </w:rPr>
            </w:pPr>
            <w:r w:rsidRPr="00702882">
              <w:rPr>
                <w:sz w:val="20"/>
                <w:szCs w:val="20"/>
              </w:rPr>
              <w:t>0.02 (0.19)</w:t>
            </w:r>
          </w:p>
        </w:tc>
      </w:tr>
      <w:tr w:rsidR="002058F4" w:rsidRPr="00702882" w14:paraId="441142FD" w14:textId="77777777" w:rsidTr="00AE6820">
        <w:trPr>
          <w:jc w:val="center"/>
        </w:trPr>
        <w:tc>
          <w:tcPr>
            <w:tcW w:w="0" w:type="auto"/>
            <w:tcMar>
              <w:top w:w="15" w:type="dxa"/>
              <w:left w:w="75" w:type="dxa"/>
              <w:bottom w:w="15" w:type="dxa"/>
              <w:right w:w="75" w:type="dxa"/>
            </w:tcMar>
            <w:vAlign w:val="center"/>
            <w:hideMark/>
          </w:tcPr>
          <w:p w14:paraId="5B7CD108" w14:textId="77777777" w:rsidR="00AF6702" w:rsidRPr="00702882" w:rsidRDefault="00AF6702" w:rsidP="008D265E">
            <w:pPr>
              <w:spacing w:before="150" w:after="150"/>
              <w:contextualSpacing/>
              <w:rPr>
                <w:sz w:val="20"/>
                <w:szCs w:val="20"/>
              </w:rPr>
            </w:pPr>
            <w:r w:rsidRPr="00702882">
              <w:rPr>
                <w:sz w:val="20"/>
                <w:szCs w:val="20"/>
              </w:rPr>
              <w:t>Democrat_share</w:t>
            </w:r>
          </w:p>
        </w:tc>
        <w:tc>
          <w:tcPr>
            <w:tcW w:w="0" w:type="auto"/>
            <w:tcMar>
              <w:top w:w="15" w:type="dxa"/>
              <w:left w:w="75" w:type="dxa"/>
              <w:bottom w:w="15" w:type="dxa"/>
              <w:right w:w="75" w:type="dxa"/>
            </w:tcMar>
            <w:vAlign w:val="center"/>
            <w:hideMark/>
          </w:tcPr>
          <w:p w14:paraId="5E6C0FC6" w14:textId="77777777" w:rsidR="00AF6702" w:rsidRPr="00702882" w:rsidRDefault="00AF6702" w:rsidP="008D265E">
            <w:pPr>
              <w:spacing w:before="150" w:after="150"/>
              <w:contextualSpacing/>
              <w:rPr>
                <w:sz w:val="20"/>
                <w:szCs w:val="20"/>
              </w:rPr>
            </w:pPr>
            <w:r w:rsidRPr="00702882">
              <w:rPr>
                <w:sz w:val="20"/>
                <w:szCs w:val="20"/>
              </w:rPr>
              <w:t>1.02 (1.91)</w:t>
            </w:r>
          </w:p>
        </w:tc>
        <w:tc>
          <w:tcPr>
            <w:tcW w:w="0" w:type="auto"/>
            <w:tcMar>
              <w:top w:w="15" w:type="dxa"/>
              <w:left w:w="75" w:type="dxa"/>
              <w:bottom w:w="15" w:type="dxa"/>
              <w:right w:w="75" w:type="dxa"/>
            </w:tcMar>
            <w:vAlign w:val="center"/>
            <w:hideMark/>
          </w:tcPr>
          <w:p w14:paraId="72A60009" w14:textId="77777777" w:rsidR="00AF6702" w:rsidRPr="00702882" w:rsidRDefault="00AF6702" w:rsidP="008D265E">
            <w:pPr>
              <w:spacing w:before="150" w:after="150"/>
              <w:contextualSpacing/>
              <w:rPr>
                <w:sz w:val="20"/>
                <w:szCs w:val="20"/>
              </w:rPr>
            </w:pPr>
            <w:r w:rsidRPr="00702882">
              <w:rPr>
                <w:sz w:val="20"/>
                <w:szCs w:val="20"/>
              </w:rPr>
              <w:t>1.08 (1.98)</w:t>
            </w:r>
          </w:p>
        </w:tc>
        <w:tc>
          <w:tcPr>
            <w:tcW w:w="0" w:type="auto"/>
            <w:tcMar>
              <w:top w:w="15" w:type="dxa"/>
              <w:left w:w="75" w:type="dxa"/>
              <w:bottom w:w="15" w:type="dxa"/>
              <w:right w:w="75" w:type="dxa"/>
            </w:tcMar>
            <w:vAlign w:val="center"/>
            <w:hideMark/>
          </w:tcPr>
          <w:p w14:paraId="655C42B1" w14:textId="77777777" w:rsidR="00AF6702" w:rsidRPr="00702882" w:rsidRDefault="00AF6702" w:rsidP="008D265E">
            <w:pPr>
              <w:spacing w:before="150" w:after="150"/>
              <w:contextualSpacing/>
              <w:rPr>
                <w:sz w:val="20"/>
                <w:szCs w:val="20"/>
              </w:rPr>
            </w:pPr>
            <w:r w:rsidRPr="00702882">
              <w:rPr>
                <w:sz w:val="20"/>
                <w:szCs w:val="20"/>
              </w:rPr>
              <w:t>1.88 (1.79)</w:t>
            </w:r>
          </w:p>
        </w:tc>
        <w:tc>
          <w:tcPr>
            <w:tcW w:w="0" w:type="auto"/>
            <w:tcMar>
              <w:top w:w="15" w:type="dxa"/>
              <w:left w:w="75" w:type="dxa"/>
              <w:bottom w:w="15" w:type="dxa"/>
              <w:right w:w="75" w:type="dxa"/>
            </w:tcMar>
            <w:vAlign w:val="center"/>
            <w:hideMark/>
          </w:tcPr>
          <w:p w14:paraId="1F777005" w14:textId="77777777" w:rsidR="00AF6702" w:rsidRPr="00702882" w:rsidRDefault="00AF6702" w:rsidP="008D265E">
            <w:pPr>
              <w:spacing w:before="150" w:after="150"/>
              <w:contextualSpacing/>
              <w:rPr>
                <w:sz w:val="20"/>
                <w:szCs w:val="20"/>
              </w:rPr>
            </w:pPr>
            <w:r w:rsidRPr="00702882">
              <w:rPr>
                <w:sz w:val="20"/>
                <w:szCs w:val="20"/>
              </w:rPr>
              <w:t>1.40 (1.91)</w:t>
            </w:r>
          </w:p>
        </w:tc>
      </w:tr>
      <w:tr w:rsidR="002058F4" w:rsidRPr="00702882" w14:paraId="25B355CC" w14:textId="77777777" w:rsidTr="00AE6820">
        <w:trPr>
          <w:jc w:val="center"/>
        </w:trPr>
        <w:tc>
          <w:tcPr>
            <w:tcW w:w="0" w:type="auto"/>
            <w:tcMar>
              <w:top w:w="15" w:type="dxa"/>
              <w:left w:w="75" w:type="dxa"/>
              <w:bottom w:w="15" w:type="dxa"/>
              <w:right w:w="75" w:type="dxa"/>
            </w:tcMar>
            <w:vAlign w:val="center"/>
            <w:hideMark/>
          </w:tcPr>
          <w:p w14:paraId="6543AF36" w14:textId="77777777" w:rsidR="00AF6702" w:rsidRPr="00702882" w:rsidRDefault="00AF6702" w:rsidP="008D265E">
            <w:pPr>
              <w:spacing w:before="150" w:after="150"/>
              <w:contextualSpacing/>
              <w:rPr>
                <w:sz w:val="20"/>
                <w:szCs w:val="20"/>
              </w:rPr>
            </w:pPr>
            <w:r w:rsidRPr="00702882">
              <w:rPr>
                <w:sz w:val="20"/>
                <w:szCs w:val="20"/>
              </w:rPr>
              <w:t>Division</w:t>
            </w:r>
          </w:p>
        </w:tc>
        <w:tc>
          <w:tcPr>
            <w:tcW w:w="0" w:type="auto"/>
            <w:tcMar>
              <w:top w:w="15" w:type="dxa"/>
              <w:left w:w="75" w:type="dxa"/>
              <w:bottom w:w="15" w:type="dxa"/>
              <w:right w:w="75" w:type="dxa"/>
            </w:tcMar>
            <w:vAlign w:val="center"/>
            <w:hideMark/>
          </w:tcPr>
          <w:p w14:paraId="70A59982" w14:textId="77777777" w:rsidR="00AF6702" w:rsidRPr="00702882" w:rsidRDefault="00AF6702" w:rsidP="008D265E">
            <w:pPr>
              <w:spacing w:before="150" w:after="150"/>
              <w:contextualSpacing/>
              <w:rPr>
                <w:sz w:val="20"/>
                <w:szCs w:val="20"/>
              </w:rPr>
            </w:pPr>
            <w:r w:rsidRPr="00702882">
              <w:rPr>
                <w:sz w:val="20"/>
                <w:szCs w:val="20"/>
              </w:rPr>
              <w:t>0.39 (0.36)</w:t>
            </w:r>
          </w:p>
        </w:tc>
        <w:tc>
          <w:tcPr>
            <w:tcW w:w="0" w:type="auto"/>
            <w:tcMar>
              <w:top w:w="15" w:type="dxa"/>
              <w:left w:w="75" w:type="dxa"/>
              <w:bottom w:w="15" w:type="dxa"/>
              <w:right w:w="75" w:type="dxa"/>
            </w:tcMar>
            <w:vAlign w:val="center"/>
            <w:hideMark/>
          </w:tcPr>
          <w:p w14:paraId="1BFF09D6" w14:textId="77777777" w:rsidR="00AF6702" w:rsidRPr="00702882" w:rsidRDefault="00AF6702" w:rsidP="008D265E">
            <w:pPr>
              <w:spacing w:before="150" w:after="150"/>
              <w:contextualSpacing/>
              <w:rPr>
                <w:sz w:val="20"/>
                <w:szCs w:val="20"/>
              </w:rPr>
            </w:pPr>
            <w:r w:rsidRPr="00702882">
              <w:rPr>
                <w:sz w:val="20"/>
                <w:szCs w:val="20"/>
              </w:rPr>
              <w:t>0.26 (0.37)</w:t>
            </w:r>
          </w:p>
        </w:tc>
        <w:tc>
          <w:tcPr>
            <w:tcW w:w="0" w:type="auto"/>
            <w:tcMar>
              <w:top w:w="15" w:type="dxa"/>
              <w:left w:w="75" w:type="dxa"/>
              <w:bottom w:w="15" w:type="dxa"/>
              <w:right w:w="75" w:type="dxa"/>
            </w:tcMar>
            <w:vAlign w:val="center"/>
            <w:hideMark/>
          </w:tcPr>
          <w:p w14:paraId="22292917" w14:textId="77777777" w:rsidR="00AF6702" w:rsidRPr="00702882" w:rsidRDefault="00AF6702" w:rsidP="008D265E">
            <w:pPr>
              <w:spacing w:before="150" w:after="150"/>
              <w:contextualSpacing/>
              <w:rPr>
                <w:sz w:val="20"/>
                <w:szCs w:val="20"/>
              </w:rPr>
            </w:pPr>
            <w:r w:rsidRPr="00702882">
              <w:rPr>
                <w:sz w:val="20"/>
                <w:szCs w:val="20"/>
              </w:rPr>
              <w:t>0.32 (0.36)</w:t>
            </w:r>
          </w:p>
        </w:tc>
        <w:tc>
          <w:tcPr>
            <w:tcW w:w="0" w:type="auto"/>
            <w:tcMar>
              <w:top w:w="15" w:type="dxa"/>
              <w:left w:w="75" w:type="dxa"/>
              <w:bottom w:w="15" w:type="dxa"/>
              <w:right w:w="75" w:type="dxa"/>
            </w:tcMar>
            <w:vAlign w:val="center"/>
            <w:hideMark/>
          </w:tcPr>
          <w:p w14:paraId="201A22BC" w14:textId="77777777" w:rsidR="00AF6702" w:rsidRPr="00702882" w:rsidRDefault="00AF6702" w:rsidP="008D265E">
            <w:pPr>
              <w:spacing w:before="150" w:after="150"/>
              <w:contextualSpacing/>
              <w:rPr>
                <w:sz w:val="20"/>
                <w:szCs w:val="20"/>
              </w:rPr>
            </w:pPr>
            <w:r w:rsidRPr="00702882">
              <w:rPr>
                <w:sz w:val="20"/>
                <w:szCs w:val="20"/>
              </w:rPr>
              <w:t>0.31 (0.36)</w:t>
            </w:r>
          </w:p>
        </w:tc>
      </w:tr>
      <w:tr w:rsidR="002058F4" w:rsidRPr="00702882" w14:paraId="18BF968E" w14:textId="77777777" w:rsidTr="00AE6820">
        <w:trPr>
          <w:jc w:val="center"/>
        </w:trPr>
        <w:tc>
          <w:tcPr>
            <w:tcW w:w="0" w:type="auto"/>
            <w:tcMar>
              <w:top w:w="15" w:type="dxa"/>
              <w:left w:w="75" w:type="dxa"/>
              <w:bottom w:w="15" w:type="dxa"/>
              <w:right w:w="75" w:type="dxa"/>
            </w:tcMar>
            <w:vAlign w:val="center"/>
            <w:hideMark/>
          </w:tcPr>
          <w:p w14:paraId="6BEF423B" w14:textId="77777777" w:rsidR="00AF6702" w:rsidRPr="00702882" w:rsidRDefault="00AF6702" w:rsidP="008D265E">
            <w:pPr>
              <w:spacing w:before="150" w:after="150"/>
              <w:contextualSpacing/>
              <w:rPr>
                <w:sz w:val="20"/>
                <w:szCs w:val="20"/>
              </w:rPr>
            </w:pPr>
            <w:r w:rsidRPr="00702882">
              <w:rPr>
                <w:sz w:val="20"/>
                <w:szCs w:val="20"/>
              </w:rPr>
              <w:t>Number:Unemployment</w:t>
            </w:r>
          </w:p>
        </w:tc>
        <w:tc>
          <w:tcPr>
            <w:tcW w:w="0" w:type="auto"/>
            <w:tcMar>
              <w:top w:w="15" w:type="dxa"/>
              <w:left w:w="75" w:type="dxa"/>
              <w:bottom w:w="15" w:type="dxa"/>
              <w:right w:w="75" w:type="dxa"/>
            </w:tcMar>
            <w:vAlign w:val="center"/>
            <w:hideMark/>
          </w:tcPr>
          <w:p w14:paraId="54CCCA71"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F7F3860" w14:textId="77777777" w:rsidR="00AF6702" w:rsidRPr="00702882" w:rsidRDefault="00AF6702" w:rsidP="008D265E">
            <w:pPr>
              <w:spacing w:before="150" w:after="150"/>
              <w:contextualSpacing/>
              <w:rPr>
                <w:sz w:val="20"/>
                <w:szCs w:val="20"/>
              </w:rPr>
            </w:pPr>
            <w:r w:rsidRPr="00702882">
              <w:rPr>
                <w:sz w:val="20"/>
                <w:szCs w:val="20"/>
              </w:rPr>
              <w:t>0.05 (0.14)</w:t>
            </w:r>
          </w:p>
        </w:tc>
        <w:tc>
          <w:tcPr>
            <w:tcW w:w="0" w:type="auto"/>
            <w:tcMar>
              <w:top w:w="15" w:type="dxa"/>
              <w:left w:w="75" w:type="dxa"/>
              <w:bottom w:w="15" w:type="dxa"/>
              <w:right w:w="75" w:type="dxa"/>
            </w:tcMar>
            <w:vAlign w:val="center"/>
            <w:hideMark/>
          </w:tcPr>
          <w:p w14:paraId="5EA2A738"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0F60236"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7E056B93" w14:textId="77777777" w:rsidTr="00AE6820">
        <w:trPr>
          <w:jc w:val="center"/>
        </w:trPr>
        <w:tc>
          <w:tcPr>
            <w:tcW w:w="0" w:type="auto"/>
            <w:tcMar>
              <w:top w:w="15" w:type="dxa"/>
              <w:left w:w="75" w:type="dxa"/>
              <w:bottom w:w="15" w:type="dxa"/>
              <w:right w:w="75" w:type="dxa"/>
            </w:tcMar>
            <w:vAlign w:val="center"/>
            <w:hideMark/>
          </w:tcPr>
          <w:p w14:paraId="08FF7D43" w14:textId="77777777" w:rsidR="00AF6702" w:rsidRPr="00702882" w:rsidRDefault="00AF6702" w:rsidP="008D265E">
            <w:pPr>
              <w:spacing w:before="150" w:after="150"/>
              <w:contextualSpacing/>
              <w:rPr>
                <w:sz w:val="20"/>
                <w:szCs w:val="20"/>
              </w:rPr>
            </w:pPr>
            <w:r w:rsidRPr="00702882">
              <w:rPr>
                <w:sz w:val="20"/>
                <w:szCs w:val="20"/>
              </w:rPr>
              <w:t>Source_percent:Unemployment</w:t>
            </w:r>
          </w:p>
        </w:tc>
        <w:tc>
          <w:tcPr>
            <w:tcW w:w="0" w:type="auto"/>
            <w:tcMar>
              <w:top w:w="15" w:type="dxa"/>
              <w:left w:w="75" w:type="dxa"/>
              <w:bottom w:w="15" w:type="dxa"/>
              <w:right w:w="75" w:type="dxa"/>
            </w:tcMar>
            <w:vAlign w:val="center"/>
            <w:hideMark/>
          </w:tcPr>
          <w:p w14:paraId="4C75253E"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5229450" w14:textId="77777777" w:rsidR="00AF6702" w:rsidRPr="00702882" w:rsidRDefault="00AF6702" w:rsidP="008D265E">
            <w:pPr>
              <w:spacing w:before="150" w:after="150"/>
              <w:contextualSpacing/>
              <w:rPr>
                <w:sz w:val="20"/>
                <w:szCs w:val="20"/>
              </w:rPr>
            </w:pPr>
            <w:r w:rsidRPr="00702882">
              <w:rPr>
                <w:sz w:val="20"/>
                <w:szCs w:val="20"/>
              </w:rPr>
              <w:t>0.16 (0.06)</w:t>
            </w:r>
            <w:r w:rsidRPr="00702882">
              <w:rPr>
                <w:sz w:val="20"/>
                <w:szCs w:val="20"/>
                <w:vertAlign w:val="superscript"/>
              </w:rPr>
              <w:t>**</w:t>
            </w:r>
          </w:p>
        </w:tc>
        <w:tc>
          <w:tcPr>
            <w:tcW w:w="0" w:type="auto"/>
            <w:tcMar>
              <w:top w:w="15" w:type="dxa"/>
              <w:left w:w="75" w:type="dxa"/>
              <w:bottom w:w="15" w:type="dxa"/>
              <w:right w:w="75" w:type="dxa"/>
            </w:tcMar>
            <w:vAlign w:val="center"/>
            <w:hideMark/>
          </w:tcPr>
          <w:p w14:paraId="5AA0A444" w14:textId="77777777" w:rsidR="00AF6702" w:rsidRPr="00702882" w:rsidRDefault="00AF6702" w:rsidP="008D265E">
            <w:pPr>
              <w:spacing w:before="150" w:after="150"/>
              <w:contextualSpacing/>
              <w:rPr>
                <w:sz w:val="20"/>
                <w:szCs w:val="20"/>
              </w:rPr>
            </w:pPr>
            <w:r w:rsidRPr="00702882">
              <w:rPr>
                <w:sz w:val="20"/>
                <w:szCs w:val="20"/>
              </w:rPr>
              <w:t>0.20 (0.06)</w:t>
            </w:r>
            <w:r w:rsidRPr="00702882">
              <w:rPr>
                <w:sz w:val="20"/>
                <w:szCs w:val="20"/>
                <w:vertAlign w:val="superscript"/>
              </w:rPr>
              <w:t>***</w:t>
            </w:r>
          </w:p>
        </w:tc>
        <w:tc>
          <w:tcPr>
            <w:tcW w:w="0" w:type="auto"/>
            <w:tcMar>
              <w:top w:w="15" w:type="dxa"/>
              <w:left w:w="75" w:type="dxa"/>
              <w:bottom w:w="15" w:type="dxa"/>
              <w:right w:w="75" w:type="dxa"/>
            </w:tcMar>
            <w:vAlign w:val="center"/>
            <w:hideMark/>
          </w:tcPr>
          <w:p w14:paraId="5FCAB16C" w14:textId="77777777" w:rsidR="00AF6702" w:rsidRPr="00702882" w:rsidRDefault="00AF6702" w:rsidP="008D265E">
            <w:pPr>
              <w:spacing w:before="150" w:after="150"/>
              <w:contextualSpacing/>
              <w:rPr>
                <w:sz w:val="20"/>
                <w:szCs w:val="20"/>
              </w:rPr>
            </w:pPr>
            <w:r w:rsidRPr="00702882">
              <w:rPr>
                <w:sz w:val="20"/>
                <w:szCs w:val="20"/>
              </w:rPr>
              <w:t>0.20 (0.06)</w:t>
            </w:r>
            <w:r w:rsidRPr="00702882">
              <w:rPr>
                <w:sz w:val="20"/>
                <w:szCs w:val="20"/>
                <w:vertAlign w:val="superscript"/>
              </w:rPr>
              <w:t>***</w:t>
            </w:r>
          </w:p>
        </w:tc>
      </w:tr>
      <w:tr w:rsidR="002058F4" w:rsidRPr="00702882" w14:paraId="2F0E03AC" w14:textId="77777777" w:rsidTr="00AE6820">
        <w:trPr>
          <w:jc w:val="center"/>
        </w:trPr>
        <w:tc>
          <w:tcPr>
            <w:tcW w:w="0" w:type="auto"/>
            <w:tcMar>
              <w:top w:w="15" w:type="dxa"/>
              <w:left w:w="75" w:type="dxa"/>
              <w:bottom w:w="15" w:type="dxa"/>
              <w:right w:w="75" w:type="dxa"/>
            </w:tcMar>
            <w:vAlign w:val="center"/>
            <w:hideMark/>
          </w:tcPr>
          <w:p w14:paraId="30FCE375" w14:textId="77777777" w:rsidR="00AF6702" w:rsidRPr="00702882" w:rsidRDefault="00AF6702" w:rsidP="008D265E">
            <w:pPr>
              <w:spacing w:before="150" w:after="150"/>
              <w:contextualSpacing/>
              <w:rPr>
                <w:sz w:val="20"/>
                <w:szCs w:val="20"/>
              </w:rPr>
            </w:pPr>
            <w:r w:rsidRPr="00702882">
              <w:rPr>
                <w:sz w:val="20"/>
                <w:szCs w:val="20"/>
              </w:rPr>
              <w:t>Cap_percent:Unemployment</w:t>
            </w:r>
          </w:p>
        </w:tc>
        <w:tc>
          <w:tcPr>
            <w:tcW w:w="0" w:type="auto"/>
            <w:tcMar>
              <w:top w:w="15" w:type="dxa"/>
              <w:left w:w="75" w:type="dxa"/>
              <w:bottom w:w="15" w:type="dxa"/>
              <w:right w:w="75" w:type="dxa"/>
            </w:tcMar>
            <w:vAlign w:val="center"/>
            <w:hideMark/>
          </w:tcPr>
          <w:p w14:paraId="70AEDF7C"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FC08C08" w14:textId="77777777" w:rsidR="00AF6702" w:rsidRPr="00702882" w:rsidRDefault="00AF6702" w:rsidP="008D265E">
            <w:pPr>
              <w:spacing w:before="150" w:after="150"/>
              <w:contextualSpacing/>
              <w:rPr>
                <w:sz w:val="20"/>
                <w:szCs w:val="20"/>
              </w:rPr>
            </w:pPr>
            <w:r w:rsidRPr="00702882">
              <w:rPr>
                <w:sz w:val="20"/>
                <w:szCs w:val="20"/>
              </w:rPr>
              <w:t>0.00 (0.00)</w:t>
            </w:r>
          </w:p>
        </w:tc>
        <w:tc>
          <w:tcPr>
            <w:tcW w:w="0" w:type="auto"/>
            <w:tcMar>
              <w:top w:w="15" w:type="dxa"/>
              <w:left w:w="75" w:type="dxa"/>
              <w:bottom w:w="15" w:type="dxa"/>
              <w:right w:w="75" w:type="dxa"/>
            </w:tcMar>
            <w:vAlign w:val="center"/>
            <w:hideMark/>
          </w:tcPr>
          <w:p w14:paraId="18C91601"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55DEB05"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6B37AD2B" w14:textId="77777777" w:rsidTr="00AE6820">
        <w:trPr>
          <w:jc w:val="center"/>
        </w:trPr>
        <w:tc>
          <w:tcPr>
            <w:tcW w:w="0" w:type="auto"/>
            <w:tcMar>
              <w:top w:w="15" w:type="dxa"/>
              <w:left w:w="75" w:type="dxa"/>
              <w:bottom w:w="15" w:type="dxa"/>
              <w:right w:w="75" w:type="dxa"/>
            </w:tcMar>
            <w:vAlign w:val="center"/>
            <w:hideMark/>
          </w:tcPr>
          <w:p w14:paraId="47AFA3D8" w14:textId="77777777" w:rsidR="00AF6702" w:rsidRPr="00702882" w:rsidRDefault="00AF6702" w:rsidP="008D265E">
            <w:pPr>
              <w:spacing w:before="150" w:after="150"/>
              <w:contextualSpacing/>
              <w:rPr>
                <w:sz w:val="20"/>
                <w:szCs w:val="20"/>
              </w:rPr>
            </w:pPr>
            <w:r w:rsidRPr="00702882">
              <w:rPr>
                <w:sz w:val="20"/>
                <w:szCs w:val="20"/>
              </w:rPr>
              <w:t>DepoSurplus_numeric:Unemployment</w:t>
            </w:r>
          </w:p>
        </w:tc>
        <w:tc>
          <w:tcPr>
            <w:tcW w:w="0" w:type="auto"/>
            <w:tcMar>
              <w:top w:w="15" w:type="dxa"/>
              <w:left w:w="75" w:type="dxa"/>
              <w:bottom w:w="15" w:type="dxa"/>
              <w:right w:w="75" w:type="dxa"/>
            </w:tcMar>
            <w:vAlign w:val="center"/>
            <w:hideMark/>
          </w:tcPr>
          <w:p w14:paraId="382D5E73"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F8D3878" w14:textId="77777777" w:rsidR="00AF6702" w:rsidRPr="00702882" w:rsidRDefault="00AF6702" w:rsidP="008D265E">
            <w:pPr>
              <w:spacing w:before="150" w:after="150"/>
              <w:contextualSpacing/>
              <w:rPr>
                <w:sz w:val="20"/>
                <w:szCs w:val="20"/>
              </w:rPr>
            </w:pPr>
            <w:r w:rsidRPr="00702882">
              <w:rPr>
                <w:sz w:val="20"/>
                <w:szCs w:val="20"/>
              </w:rPr>
              <w:t>-0.29 (0.22)</w:t>
            </w:r>
          </w:p>
        </w:tc>
        <w:tc>
          <w:tcPr>
            <w:tcW w:w="0" w:type="auto"/>
            <w:tcMar>
              <w:top w:w="15" w:type="dxa"/>
              <w:left w:w="75" w:type="dxa"/>
              <w:bottom w:w="15" w:type="dxa"/>
              <w:right w:w="75" w:type="dxa"/>
            </w:tcMar>
            <w:vAlign w:val="center"/>
            <w:hideMark/>
          </w:tcPr>
          <w:p w14:paraId="27BC3381"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A10A284"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3B22120A" w14:textId="77777777" w:rsidTr="00AE6820">
        <w:trPr>
          <w:jc w:val="center"/>
        </w:trPr>
        <w:tc>
          <w:tcPr>
            <w:tcW w:w="0" w:type="auto"/>
            <w:tcMar>
              <w:top w:w="15" w:type="dxa"/>
              <w:left w:w="75" w:type="dxa"/>
              <w:bottom w:w="15" w:type="dxa"/>
              <w:right w:w="75" w:type="dxa"/>
            </w:tcMar>
            <w:vAlign w:val="center"/>
            <w:hideMark/>
          </w:tcPr>
          <w:p w14:paraId="51FB3757" w14:textId="77777777" w:rsidR="00AF6702" w:rsidRPr="00702882" w:rsidRDefault="00AF6702" w:rsidP="008D265E">
            <w:pPr>
              <w:spacing w:before="150" w:after="150"/>
              <w:contextualSpacing/>
              <w:rPr>
                <w:sz w:val="20"/>
                <w:szCs w:val="20"/>
              </w:rPr>
            </w:pPr>
            <w:r w:rsidRPr="00702882">
              <w:rPr>
                <w:sz w:val="20"/>
                <w:szCs w:val="20"/>
              </w:rPr>
              <w:t>DepoVol_formula:Unemployment</w:t>
            </w:r>
          </w:p>
        </w:tc>
        <w:tc>
          <w:tcPr>
            <w:tcW w:w="0" w:type="auto"/>
            <w:tcMar>
              <w:top w:w="15" w:type="dxa"/>
              <w:left w:w="75" w:type="dxa"/>
              <w:bottom w:w="15" w:type="dxa"/>
              <w:right w:w="75" w:type="dxa"/>
            </w:tcMar>
            <w:vAlign w:val="center"/>
            <w:hideMark/>
          </w:tcPr>
          <w:p w14:paraId="2D86F406"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D4C67D7" w14:textId="77777777" w:rsidR="00AF6702" w:rsidRPr="00702882" w:rsidRDefault="00AF6702" w:rsidP="008D265E">
            <w:pPr>
              <w:spacing w:before="150" w:after="150"/>
              <w:contextualSpacing/>
              <w:rPr>
                <w:sz w:val="20"/>
                <w:szCs w:val="20"/>
              </w:rPr>
            </w:pPr>
            <w:r w:rsidRPr="00702882">
              <w:rPr>
                <w:sz w:val="20"/>
                <w:szCs w:val="20"/>
              </w:rPr>
              <w:t>-0.38 (0.27)</w:t>
            </w:r>
          </w:p>
        </w:tc>
        <w:tc>
          <w:tcPr>
            <w:tcW w:w="0" w:type="auto"/>
            <w:tcMar>
              <w:top w:w="15" w:type="dxa"/>
              <w:left w:w="75" w:type="dxa"/>
              <w:bottom w:w="15" w:type="dxa"/>
              <w:right w:w="75" w:type="dxa"/>
            </w:tcMar>
            <w:vAlign w:val="center"/>
            <w:hideMark/>
          </w:tcPr>
          <w:p w14:paraId="67387EE4"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D68DE38"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01F52259" w14:textId="77777777" w:rsidTr="00AE6820">
        <w:trPr>
          <w:jc w:val="center"/>
        </w:trPr>
        <w:tc>
          <w:tcPr>
            <w:tcW w:w="0" w:type="auto"/>
            <w:tcMar>
              <w:top w:w="15" w:type="dxa"/>
              <w:left w:w="75" w:type="dxa"/>
              <w:bottom w:w="15" w:type="dxa"/>
              <w:right w:w="75" w:type="dxa"/>
            </w:tcMar>
            <w:vAlign w:val="center"/>
            <w:hideMark/>
          </w:tcPr>
          <w:p w14:paraId="251AE1AD" w14:textId="77777777" w:rsidR="00AF6702" w:rsidRPr="00702882" w:rsidRDefault="00AF6702" w:rsidP="008D265E">
            <w:pPr>
              <w:spacing w:before="150" w:after="150"/>
              <w:contextualSpacing/>
              <w:rPr>
                <w:sz w:val="20"/>
                <w:szCs w:val="20"/>
              </w:rPr>
            </w:pPr>
            <w:r w:rsidRPr="00702882">
              <w:rPr>
                <w:sz w:val="20"/>
                <w:szCs w:val="20"/>
              </w:rPr>
              <w:t>DepoVol_propor:Unemployment</w:t>
            </w:r>
          </w:p>
        </w:tc>
        <w:tc>
          <w:tcPr>
            <w:tcW w:w="0" w:type="auto"/>
            <w:tcMar>
              <w:top w:w="15" w:type="dxa"/>
              <w:left w:w="75" w:type="dxa"/>
              <w:bottom w:w="15" w:type="dxa"/>
              <w:right w:w="75" w:type="dxa"/>
            </w:tcMar>
            <w:vAlign w:val="center"/>
            <w:hideMark/>
          </w:tcPr>
          <w:p w14:paraId="13506DBC"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F8E8E81" w14:textId="77777777" w:rsidR="00AF6702" w:rsidRPr="00702882" w:rsidRDefault="00AF6702" w:rsidP="008D265E">
            <w:pPr>
              <w:spacing w:before="150" w:after="150"/>
              <w:contextualSpacing/>
              <w:rPr>
                <w:sz w:val="20"/>
                <w:szCs w:val="20"/>
              </w:rPr>
            </w:pPr>
            <w:r w:rsidRPr="00702882">
              <w:rPr>
                <w:sz w:val="20"/>
                <w:szCs w:val="20"/>
              </w:rPr>
              <w:t>0.04 (0.15)</w:t>
            </w:r>
          </w:p>
        </w:tc>
        <w:tc>
          <w:tcPr>
            <w:tcW w:w="0" w:type="auto"/>
            <w:tcMar>
              <w:top w:w="15" w:type="dxa"/>
              <w:left w:w="75" w:type="dxa"/>
              <w:bottom w:w="15" w:type="dxa"/>
              <w:right w:w="75" w:type="dxa"/>
            </w:tcMar>
            <w:vAlign w:val="center"/>
            <w:hideMark/>
          </w:tcPr>
          <w:p w14:paraId="6AFDB018"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15982A1"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47FD6DA1" w14:textId="77777777" w:rsidTr="00AE6820">
        <w:trPr>
          <w:jc w:val="center"/>
        </w:trPr>
        <w:tc>
          <w:tcPr>
            <w:tcW w:w="0" w:type="auto"/>
            <w:tcMar>
              <w:top w:w="15" w:type="dxa"/>
              <w:left w:w="75" w:type="dxa"/>
              <w:bottom w:w="15" w:type="dxa"/>
              <w:right w:w="75" w:type="dxa"/>
            </w:tcMar>
            <w:vAlign w:val="center"/>
            <w:hideMark/>
          </w:tcPr>
          <w:p w14:paraId="34336B3A" w14:textId="77777777" w:rsidR="00AF6702" w:rsidRPr="00702882" w:rsidRDefault="00AF6702" w:rsidP="008D265E">
            <w:pPr>
              <w:spacing w:before="150" w:after="150"/>
              <w:contextualSpacing/>
              <w:rPr>
                <w:sz w:val="20"/>
                <w:szCs w:val="20"/>
              </w:rPr>
            </w:pPr>
            <w:r w:rsidRPr="00702882">
              <w:rPr>
                <w:sz w:val="20"/>
                <w:szCs w:val="20"/>
              </w:rPr>
              <w:t>WithLegis_numeric:Unemployment</w:t>
            </w:r>
          </w:p>
        </w:tc>
        <w:tc>
          <w:tcPr>
            <w:tcW w:w="0" w:type="auto"/>
            <w:tcMar>
              <w:top w:w="15" w:type="dxa"/>
              <w:left w:w="75" w:type="dxa"/>
              <w:bottom w:w="15" w:type="dxa"/>
              <w:right w:w="75" w:type="dxa"/>
            </w:tcMar>
            <w:vAlign w:val="center"/>
            <w:hideMark/>
          </w:tcPr>
          <w:p w14:paraId="33A56112"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A89C794" w14:textId="77777777" w:rsidR="00AF6702" w:rsidRPr="00702882" w:rsidRDefault="00AF6702" w:rsidP="008D265E">
            <w:pPr>
              <w:spacing w:before="150" w:after="150"/>
              <w:contextualSpacing/>
              <w:rPr>
                <w:sz w:val="20"/>
                <w:szCs w:val="20"/>
              </w:rPr>
            </w:pPr>
            <w:r w:rsidRPr="00702882">
              <w:rPr>
                <w:sz w:val="20"/>
                <w:szCs w:val="20"/>
              </w:rPr>
              <w:t>0.25 (0.40)</w:t>
            </w:r>
          </w:p>
        </w:tc>
        <w:tc>
          <w:tcPr>
            <w:tcW w:w="0" w:type="auto"/>
            <w:tcMar>
              <w:top w:w="15" w:type="dxa"/>
              <w:left w:w="75" w:type="dxa"/>
              <w:bottom w:w="15" w:type="dxa"/>
              <w:right w:w="75" w:type="dxa"/>
            </w:tcMar>
            <w:vAlign w:val="center"/>
            <w:hideMark/>
          </w:tcPr>
          <w:p w14:paraId="42BA6304"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37559A9"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6F4715A0" w14:textId="77777777" w:rsidTr="00AE6820">
        <w:trPr>
          <w:jc w:val="center"/>
        </w:trPr>
        <w:tc>
          <w:tcPr>
            <w:tcW w:w="0" w:type="auto"/>
            <w:tcMar>
              <w:top w:w="15" w:type="dxa"/>
              <w:left w:w="75" w:type="dxa"/>
              <w:bottom w:w="15" w:type="dxa"/>
              <w:right w:w="75" w:type="dxa"/>
            </w:tcMar>
            <w:vAlign w:val="center"/>
            <w:hideMark/>
          </w:tcPr>
          <w:p w14:paraId="60638D08" w14:textId="77777777" w:rsidR="00AF6702" w:rsidRPr="00702882" w:rsidRDefault="00AF6702" w:rsidP="008D265E">
            <w:pPr>
              <w:spacing w:before="150" w:after="150"/>
              <w:contextualSpacing/>
              <w:rPr>
                <w:sz w:val="20"/>
                <w:szCs w:val="20"/>
              </w:rPr>
            </w:pPr>
            <w:r w:rsidRPr="00702882">
              <w:rPr>
                <w:sz w:val="20"/>
                <w:szCs w:val="20"/>
              </w:rPr>
              <w:t>WithShortfall:Unemployment</w:t>
            </w:r>
          </w:p>
        </w:tc>
        <w:tc>
          <w:tcPr>
            <w:tcW w:w="0" w:type="auto"/>
            <w:tcMar>
              <w:top w:w="15" w:type="dxa"/>
              <w:left w:w="75" w:type="dxa"/>
              <w:bottom w:w="15" w:type="dxa"/>
              <w:right w:w="75" w:type="dxa"/>
            </w:tcMar>
            <w:vAlign w:val="center"/>
            <w:hideMark/>
          </w:tcPr>
          <w:p w14:paraId="66265A0D"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8597F02" w14:textId="77777777" w:rsidR="00AF6702" w:rsidRPr="00702882" w:rsidRDefault="00AF6702" w:rsidP="008D265E">
            <w:pPr>
              <w:spacing w:before="150" w:after="150"/>
              <w:contextualSpacing/>
              <w:rPr>
                <w:sz w:val="20"/>
                <w:szCs w:val="20"/>
              </w:rPr>
            </w:pPr>
            <w:r w:rsidRPr="00702882">
              <w:rPr>
                <w:sz w:val="20"/>
                <w:szCs w:val="20"/>
              </w:rPr>
              <w:t>0.02 (0.19)</w:t>
            </w:r>
          </w:p>
        </w:tc>
        <w:tc>
          <w:tcPr>
            <w:tcW w:w="0" w:type="auto"/>
            <w:tcMar>
              <w:top w:w="15" w:type="dxa"/>
              <w:left w:w="75" w:type="dxa"/>
              <w:bottom w:w="15" w:type="dxa"/>
              <w:right w:w="75" w:type="dxa"/>
            </w:tcMar>
            <w:vAlign w:val="center"/>
            <w:hideMark/>
          </w:tcPr>
          <w:p w14:paraId="4C6A6B35"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99FB748"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0EF12315" w14:textId="77777777" w:rsidTr="00AE6820">
        <w:trPr>
          <w:jc w:val="center"/>
        </w:trPr>
        <w:tc>
          <w:tcPr>
            <w:tcW w:w="0" w:type="auto"/>
            <w:tcMar>
              <w:top w:w="15" w:type="dxa"/>
              <w:left w:w="75" w:type="dxa"/>
              <w:bottom w:w="15" w:type="dxa"/>
              <w:right w:w="75" w:type="dxa"/>
            </w:tcMar>
            <w:vAlign w:val="center"/>
            <w:hideMark/>
          </w:tcPr>
          <w:p w14:paraId="15159E7A" w14:textId="77777777" w:rsidR="00AF6702" w:rsidRPr="00702882" w:rsidRDefault="00AF6702" w:rsidP="008D265E">
            <w:pPr>
              <w:spacing w:before="150" w:after="150"/>
              <w:contextualSpacing/>
              <w:rPr>
                <w:sz w:val="20"/>
                <w:szCs w:val="20"/>
              </w:rPr>
            </w:pPr>
            <w:r w:rsidRPr="00702882">
              <w:rPr>
                <w:sz w:val="20"/>
                <w:szCs w:val="20"/>
              </w:rPr>
              <w:t>WithVol:Unemployment</w:t>
            </w:r>
          </w:p>
        </w:tc>
        <w:tc>
          <w:tcPr>
            <w:tcW w:w="0" w:type="auto"/>
            <w:tcMar>
              <w:top w:w="15" w:type="dxa"/>
              <w:left w:w="75" w:type="dxa"/>
              <w:bottom w:w="15" w:type="dxa"/>
              <w:right w:w="75" w:type="dxa"/>
            </w:tcMar>
            <w:vAlign w:val="center"/>
            <w:hideMark/>
          </w:tcPr>
          <w:p w14:paraId="796D71D4"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6B4C51A" w14:textId="77777777" w:rsidR="00AF6702" w:rsidRPr="00702882" w:rsidRDefault="00AF6702" w:rsidP="008D265E">
            <w:pPr>
              <w:spacing w:before="150" w:after="150"/>
              <w:contextualSpacing/>
              <w:rPr>
                <w:sz w:val="20"/>
                <w:szCs w:val="20"/>
              </w:rPr>
            </w:pPr>
            <w:r w:rsidRPr="00702882">
              <w:rPr>
                <w:sz w:val="20"/>
                <w:szCs w:val="20"/>
              </w:rPr>
              <w:t>0.20 (0.22)</w:t>
            </w:r>
          </w:p>
        </w:tc>
        <w:tc>
          <w:tcPr>
            <w:tcW w:w="0" w:type="auto"/>
            <w:tcMar>
              <w:top w:w="15" w:type="dxa"/>
              <w:left w:w="75" w:type="dxa"/>
              <w:bottom w:w="15" w:type="dxa"/>
              <w:right w:w="75" w:type="dxa"/>
            </w:tcMar>
            <w:vAlign w:val="center"/>
            <w:hideMark/>
          </w:tcPr>
          <w:p w14:paraId="0FFA76A7"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6A6900E"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73711FD1" w14:textId="77777777" w:rsidTr="00AE6820">
        <w:trPr>
          <w:jc w:val="center"/>
        </w:trPr>
        <w:tc>
          <w:tcPr>
            <w:tcW w:w="0" w:type="auto"/>
            <w:tcMar>
              <w:top w:w="15" w:type="dxa"/>
              <w:left w:w="75" w:type="dxa"/>
              <w:bottom w:w="15" w:type="dxa"/>
              <w:right w:w="75" w:type="dxa"/>
            </w:tcMar>
            <w:vAlign w:val="center"/>
            <w:hideMark/>
          </w:tcPr>
          <w:p w14:paraId="53DBA6BB" w14:textId="77777777" w:rsidR="00AF6702" w:rsidRPr="00702882" w:rsidRDefault="00AF6702" w:rsidP="008D265E">
            <w:pPr>
              <w:spacing w:before="150" w:after="150"/>
              <w:contextualSpacing/>
              <w:rPr>
                <w:sz w:val="20"/>
                <w:szCs w:val="20"/>
              </w:rPr>
            </w:pPr>
            <w:r w:rsidRPr="00702882">
              <w:rPr>
                <w:sz w:val="20"/>
                <w:szCs w:val="20"/>
              </w:rPr>
              <w:t>Repay_4bin:Unemployment</w:t>
            </w:r>
          </w:p>
        </w:tc>
        <w:tc>
          <w:tcPr>
            <w:tcW w:w="0" w:type="auto"/>
            <w:tcMar>
              <w:top w:w="15" w:type="dxa"/>
              <w:left w:w="75" w:type="dxa"/>
              <w:bottom w:w="15" w:type="dxa"/>
              <w:right w:w="75" w:type="dxa"/>
            </w:tcMar>
            <w:vAlign w:val="center"/>
            <w:hideMark/>
          </w:tcPr>
          <w:p w14:paraId="2C98466D"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8D28C0D" w14:textId="77777777" w:rsidR="00AF6702" w:rsidRPr="00702882" w:rsidRDefault="00AF6702" w:rsidP="008D265E">
            <w:pPr>
              <w:spacing w:before="150" w:after="150"/>
              <w:contextualSpacing/>
              <w:rPr>
                <w:sz w:val="20"/>
                <w:szCs w:val="20"/>
              </w:rPr>
            </w:pPr>
            <w:r w:rsidRPr="00702882">
              <w:rPr>
                <w:sz w:val="20"/>
                <w:szCs w:val="20"/>
              </w:rPr>
              <w:t>0.11 (0.04)</w:t>
            </w:r>
            <w:r w:rsidRPr="00702882">
              <w:rPr>
                <w:sz w:val="20"/>
                <w:szCs w:val="20"/>
                <w:vertAlign w:val="superscript"/>
              </w:rPr>
              <w:t>***</w:t>
            </w:r>
          </w:p>
        </w:tc>
        <w:tc>
          <w:tcPr>
            <w:tcW w:w="0" w:type="auto"/>
            <w:tcMar>
              <w:top w:w="15" w:type="dxa"/>
              <w:left w:w="75" w:type="dxa"/>
              <w:bottom w:w="15" w:type="dxa"/>
              <w:right w:w="75" w:type="dxa"/>
            </w:tcMar>
            <w:vAlign w:val="center"/>
            <w:hideMark/>
          </w:tcPr>
          <w:p w14:paraId="7053C15C" w14:textId="77777777" w:rsidR="00AF6702" w:rsidRPr="00702882" w:rsidRDefault="00AF6702" w:rsidP="008D265E">
            <w:pPr>
              <w:spacing w:before="150" w:after="150"/>
              <w:contextualSpacing/>
              <w:rPr>
                <w:sz w:val="20"/>
                <w:szCs w:val="20"/>
              </w:rPr>
            </w:pPr>
            <w:r w:rsidRPr="00702882">
              <w:rPr>
                <w:sz w:val="20"/>
                <w:szCs w:val="20"/>
              </w:rPr>
              <w:t>0.14 (0.03)</w:t>
            </w:r>
            <w:r w:rsidRPr="00702882">
              <w:rPr>
                <w:sz w:val="20"/>
                <w:szCs w:val="20"/>
                <w:vertAlign w:val="superscript"/>
              </w:rPr>
              <w:t>***</w:t>
            </w:r>
          </w:p>
        </w:tc>
        <w:tc>
          <w:tcPr>
            <w:tcW w:w="0" w:type="auto"/>
            <w:tcMar>
              <w:top w:w="15" w:type="dxa"/>
              <w:left w:w="75" w:type="dxa"/>
              <w:bottom w:w="15" w:type="dxa"/>
              <w:right w:w="75" w:type="dxa"/>
            </w:tcMar>
            <w:vAlign w:val="center"/>
            <w:hideMark/>
          </w:tcPr>
          <w:p w14:paraId="582DE32D" w14:textId="77777777" w:rsidR="00AF6702" w:rsidRPr="00702882" w:rsidRDefault="00AF6702" w:rsidP="008D265E">
            <w:pPr>
              <w:spacing w:before="150" w:after="150"/>
              <w:contextualSpacing/>
              <w:rPr>
                <w:sz w:val="20"/>
                <w:szCs w:val="20"/>
              </w:rPr>
            </w:pPr>
            <w:r w:rsidRPr="00702882">
              <w:rPr>
                <w:sz w:val="20"/>
                <w:szCs w:val="20"/>
              </w:rPr>
              <w:t>0.14 (0.03)</w:t>
            </w:r>
            <w:r w:rsidRPr="00702882">
              <w:rPr>
                <w:sz w:val="20"/>
                <w:szCs w:val="20"/>
                <w:vertAlign w:val="superscript"/>
              </w:rPr>
              <w:t>***</w:t>
            </w:r>
          </w:p>
        </w:tc>
      </w:tr>
      <w:tr w:rsidR="002058F4" w:rsidRPr="00702882" w14:paraId="2E232639" w14:textId="77777777" w:rsidTr="00AE6820">
        <w:trPr>
          <w:jc w:val="center"/>
        </w:trPr>
        <w:tc>
          <w:tcPr>
            <w:tcW w:w="0" w:type="auto"/>
            <w:tcMar>
              <w:top w:w="15" w:type="dxa"/>
              <w:left w:w="75" w:type="dxa"/>
              <w:bottom w:w="15" w:type="dxa"/>
              <w:right w:w="75" w:type="dxa"/>
            </w:tcMar>
            <w:vAlign w:val="center"/>
            <w:hideMark/>
          </w:tcPr>
          <w:p w14:paraId="55DE9966" w14:textId="77777777" w:rsidR="00AF6702" w:rsidRPr="00702882" w:rsidRDefault="00AF6702" w:rsidP="008D265E">
            <w:pPr>
              <w:spacing w:before="150" w:after="150"/>
              <w:contextualSpacing/>
              <w:rPr>
                <w:sz w:val="20"/>
                <w:szCs w:val="20"/>
              </w:rPr>
            </w:pPr>
            <w:r w:rsidRPr="00702882">
              <w:rPr>
                <w:sz w:val="20"/>
                <w:szCs w:val="20"/>
              </w:rPr>
              <w:t>WithLim:Unemployment</w:t>
            </w:r>
          </w:p>
        </w:tc>
        <w:tc>
          <w:tcPr>
            <w:tcW w:w="0" w:type="auto"/>
            <w:tcMar>
              <w:top w:w="15" w:type="dxa"/>
              <w:left w:w="75" w:type="dxa"/>
              <w:bottom w:w="15" w:type="dxa"/>
              <w:right w:w="75" w:type="dxa"/>
            </w:tcMar>
            <w:vAlign w:val="center"/>
            <w:hideMark/>
          </w:tcPr>
          <w:p w14:paraId="57AFBD4A"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BFD948E" w14:textId="77777777" w:rsidR="00AF6702" w:rsidRPr="00702882" w:rsidRDefault="00AF6702" w:rsidP="008D265E">
            <w:pPr>
              <w:spacing w:before="150" w:after="150"/>
              <w:contextualSpacing/>
              <w:rPr>
                <w:sz w:val="20"/>
                <w:szCs w:val="20"/>
              </w:rPr>
            </w:pPr>
            <w:r w:rsidRPr="00702882">
              <w:rPr>
                <w:sz w:val="20"/>
                <w:szCs w:val="20"/>
              </w:rPr>
              <w:t>0.02 (0.14)</w:t>
            </w:r>
          </w:p>
        </w:tc>
        <w:tc>
          <w:tcPr>
            <w:tcW w:w="0" w:type="auto"/>
            <w:tcMar>
              <w:top w:w="15" w:type="dxa"/>
              <w:left w:w="75" w:type="dxa"/>
              <w:bottom w:w="15" w:type="dxa"/>
              <w:right w:w="75" w:type="dxa"/>
            </w:tcMar>
            <w:vAlign w:val="center"/>
            <w:hideMark/>
          </w:tcPr>
          <w:p w14:paraId="1A38C8CE"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F7C49AD"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08AD2AAC" w14:textId="77777777" w:rsidTr="00AE6820">
        <w:trPr>
          <w:jc w:val="center"/>
        </w:trPr>
        <w:tc>
          <w:tcPr>
            <w:tcW w:w="0" w:type="auto"/>
            <w:tcMar>
              <w:top w:w="15" w:type="dxa"/>
              <w:left w:w="75" w:type="dxa"/>
              <w:bottom w:w="15" w:type="dxa"/>
              <w:right w:w="75" w:type="dxa"/>
            </w:tcMar>
            <w:vAlign w:val="center"/>
            <w:hideMark/>
          </w:tcPr>
          <w:p w14:paraId="157E3146" w14:textId="77777777" w:rsidR="00AF6702" w:rsidRPr="00702882" w:rsidRDefault="00AF6702" w:rsidP="008D265E">
            <w:pPr>
              <w:spacing w:before="150" w:after="150"/>
              <w:contextualSpacing/>
              <w:rPr>
                <w:sz w:val="20"/>
                <w:szCs w:val="20"/>
              </w:rPr>
            </w:pPr>
            <w:r w:rsidRPr="00702882">
              <w:rPr>
                <w:sz w:val="20"/>
                <w:szCs w:val="20"/>
              </w:rPr>
              <w:t>Cap_percent:DepoSurplus_numeric</w:t>
            </w:r>
          </w:p>
        </w:tc>
        <w:tc>
          <w:tcPr>
            <w:tcW w:w="0" w:type="auto"/>
            <w:tcMar>
              <w:top w:w="15" w:type="dxa"/>
              <w:left w:w="75" w:type="dxa"/>
              <w:bottom w:w="15" w:type="dxa"/>
              <w:right w:w="75" w:type="dxa"/>
            </w:tcMar>
            <w:vAlign w:val="center"/>
            <w:hideMark/>
          </w:tcPr>
          <w:p w14:paraId="253518BB"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10290A9"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A7444E3" w14:textId="77777777" w:rsidR="00AF6702" w:rsidRPr="00702882" w:rsidRDefault="00AF6702" w:rsidP="008D265E">
            <w:pPr>
              <w:spacing w:before="150" w:after="150"/>
              <w:contextualSpacing/>
              <w:rPr>
                <w:sz w:val="20"/>
                <w:szCs w:val="20"/>
              </w:rPr>
            </w:pPr>
            <w:r w:rsidRPr="00702882">
              <w:rPr>
                <w:sz w:val="20"/>
                <w:szCs w:val="20"/>
              </w:rPr>
              <w:t>0.09 (0.01)</w:t>
            </w:r>
            <w:r w:rsidRPr="00702882">
              <w:rPr>
                <w:sz w:val="20"/>
                <w:szCs w:val="20"/>
                <w:vertAlign w:val="superscript"/>
              </w:rPr>
              <w:t>***</w:t>
            </w:r>
          </w:p>
        </w:tc>
        <w:tc>
          <w:tcPr>
            <w:tcW w:w="0" w:type="auto"/>
            <w:tcMar>
              <w:top w:w="15" w:type="dxa"/>
              <w:left w:w="75" w:type="dxa"/>
              <w:bottom w:w="15" w:type="dxa"/>
              <w:right w:w="75" w:type="dxa"/>
            </w:tcMar>
            <w:vAlign w:val="center"/>
            <w:hideMark/>
          </w:tcPr>
          <w:p w14:paraId="398399B9" w14:textId="77777777" w:rsidR="00AF6702" w:rsidRPr="00702882" w:rsidRDefault="00AF6702" w:rsidP="008D265E">
            <w:pPr>
              <w:spacing w:before="150" w:after="150"/>
              <w:contextualSpacing/>
              <w:rPr>
                <w:sz w:val="20"/>
                <w:szCs w:val="20"/>
              </w:rPr>
            </w:pPr>
            <w:r w:rsidRPr="00702882">
              <w:rPr>
                <w:sz w:val="20"/>
                <w:szCs w:val="20"/>
              </w:rPr>
              <w:t>0.09 (0.01)</w:t>
            </w:r>
            <w:r w:rsidRPr="00702882">
              <w:rPr>
                <w:sz w:val="20"/>
                <w:szCs w:val="20"/>
                <w:vertAlign w:val="superscript"/>
              </w:rPr>
              <w:t>***</w:t>
            </w:r>
          </w:p>
        </w:tc>
      </w:tr>
      <w:tr w:rsidR="002058F4" w:rsidRPr="00702882" w14:paraId="6757F6E5" w14:textId="77777777" w:rsidTr="00AE6820">
        <w:trPr>
          <w:jc w:val="center"/>
        </w:trPr>
        <w:tc>
          <w:tcPr>
            <w:tcW w:w="0" w:type="auto"/>
            <w:tcMar>
              <w:top w:w="15" w:type="dxa"/>
              <w:left w:w="75" w:type="dxa"/>
              <w:bottom w:w="15" w:type="dxa"/>
              <w:right w:w="75" w:type="dxa"/>
            </w:tcMar>
            <w:vAlign w:val="center"/>
            <w:hideMark/>
          </w:tcPr>
          <w:p w14:paraId="764AC180" w14:textId="77777777" w:rsidR="00AF6702" w:rsidRPr="00702882" w:rsidRDefault="00AF6702" w:rsidP="008D265E">
            <w:pPr>
              <w:spacing w:before="150" w:after="150"/>
              <w:contextualSpacing/>
              <w:rPr>
                <w:sz w:val="20"/>
                <w:szCs w:val="20"/>
              </w:rPr>
            </w:pPr>
            <w:r w:rsidRPr="00702882">
              <w:rPr>
                <w:sz w:val="20"/>
                <w:szCs w:val="20"/>
              </w:rPr>
              <w:t>Cap_percent:DepoVol_formula</w:t>
            </w:r>
          </w:p>
        </w:tc>
        <w:tc>
          <w:tcPr>
            <w:tcW w:w="0" w:type="auto"/>
            <w:tcMar>
              <w:top w:w="15" w:type="dxa"/>
              <w:left w:w="75" w:type="dxa"/>
              <w:bottom w:w="15" w:type="dxa"/>
              <w:right w:w="75" w:type="dxa"/>
            </w:tcMar>
            <w:vAlign w:val="center"/>
            <w:hideMark/>
          </w:tcPr>
          <w:p w14:paraId="2CEE5478"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E2B5AEE"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04C4668" w14:textId="77777777" w:rsidR="00AF6702" w:rsidRPr="00702882" w:rsidRDefault="00AF6702" w:rsidP="008D265E">
            <w:pPr>
              <w:spacing w:before="150" w:after="150"/>
              <w:contextualSpacing/>
              <w:rPr>
                <w:sz w:val="20"/>
                <w:szCs w:val="20"/>
              </w:rPr>
            </w:pPr>
            <w:r w:rsidRPr="00702882">
              <w:rPr>
                <w:sz w:val="20"/>
                <w:szCs w:val="20"/>
              </w:rPr>
              <w:t>-0.49 (0.36)</w:t>
            </w:r>
          </w:p>
        </w:tc>
        <w:tc>
          <w:tcPr>
            <w:tcW w:w="0" w:type="auto"/>
            <w:tcMar>
              <w:top w:w="15" w:type="dxa"/>
              <w:left w:w="75" w:type="dxa"/>
              <w:bottom w:w="15" w:type="dxa"/>
              <w:right w:w="75" w:type="dxa"/>
            </w:tcMar>
            <w:vAlign w:val="center"/>
            <w:hideMark/>
          </w:tcPr>
          <w:p w14:paraId="3935FDD7"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00A8A18B" w14:textId="77777777" w:rsidTr="00AE6820">
        <w:trPr>
          <w:jc w:val="center"/>
        </w:trPr>
        <w:tc>
          <w:tcPr>
            <w:tcW w:w="0" w:type="auto"/>
            <w:tcMar>
              <w:top w:w="15" w:type="dxa"/>
              <w:left w:w="75" w:type="dxa"/>
              <w:bottom w:w="15" w:type="dxa"/>
              <w:right w:w="75" w:type="dxa"/>
            </w:tcMar>
            <w:vAlign w:val="center"/>
            <w:hideMark/>
          </w:tcPr>
          <w:p w14:paraId="34A7AE92" w14:textId="77777777" w:rsidR="00AF6702" w:rsidRPr="00702882" w:rsidRDefault="00AF6702" w:rsidP="008D265E">
            <w:pPr>
              <w:spacing w:before="150" w:after="150"/>
              <w:contextualSpacing/>
              <w:rPr>
                <w:sz w:val="20"/>
                <w:szCs w:val="20"/>
              </w:rPr>
            </w:pPr>
            <w:r w:rsidRPr="00702882">
              <w:rPr>
                <w:sz w:val="20"/>
                <w:szCs w:val="20"/>
              </w:rPr>
              <w:t>Number:WithLegis_numeric</w:t>
            </w:r>
          </w:p>
        </w:tc>
        <w:tc>
          <w:tcPr>
            <w:tcW w:w="0" w:type="auto"/>
            <w:tcMar>
              <w:top w:w="15" w:type="dxa"/>
              <w:left w:w="75" w:type="dxa"/>
              <w:bottom w:w="15" w:type="dxa"/>
              <w:right w:w="75" w:type="dxa"/>
            </w:tcMar>
            <w:vAlign w:val="center"/>
            <w:hideMark/>
          </w:tcPr>
          <w:p w14:paraId="1FE0E8CA"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24F4761"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6721E59" w14:textId="77777777" w:rsidR="00AF6702" w:rsidRPr="00702882" w:rsidRDefault="00AF6702" w:rsidP="008D265E">
            <w:pPr>
              <w:spacing w:before="150" w:after="150"/>
              <w:contextualSpacing/>
              <w:rPr>
                <w:sz w:val="20"/>
                <w:szCs w:val="20"/>
              </w:rPr>
            </w:pPr>
            <w:r w:rsidRPr="00702882">
              <w:rPr>
                <w:sz w:val="20"/>
                <w:szCs w:val="20"/>
              </w:rPr>
              <w:t>-1.60 (4.79)</w:t>
            </w:r>
          </w:p>
        </w:tc>
        <w:tc>
          <w:tcPr>
            <w:tcW w:w="0" w:type="auto"/>
            <w:tcMar>
              <w:top w:w="15" w:type="dxa"/>
              <w:left w:w="75" w:type="dxa"/>
              <w:bottom w:w="15" w:type="dxa"/>
              <w:right w:w="75" w:type="dxa"/>
            </w:tcMar>
            <w:vAlign w:val="center"/>
            <w:hideMark/>
          </w:tcPr>
          <w:p w14:paraId="6302E218"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40160C8F" w14:textId="77777777" w:rsidTr="00AE6820">
        <w:trPr>
          <w:jc w:val="center"/>
        </w:trPr>
        <w:tc>
          <w:tcPr>
            <w:tcW w:w="0" w:type="auto"/>
            <w:tcMar>
              <w:top w:w="15" w:type="dxa"/>
              <w:left w:w="75" w:type="dxa"/>
              <w:bottom w:w="15" w:type="dxa"/>
              <w:right w:w="75" w:type="dxa"/>
            </w:tcMar>
            <w:vAlign w:val="center"/>
            <w:hideMark/>
          </w:tcPr>
          <w:p w14:paraId="6049F768" w14:textId="77777777" w:rsidR="00AF6702" w:rsidRPr="00702882" w:rsidRDefault="00AF6702" w:rsidP="008D265E">
            <w:pPr>
              <w:spacing w:before="150" w:after="150"/>
              <w:contextualSpacing/>
              <w:rPr>
                <w:sz w:val="20"/>
                <w:szCs w:val="20"/>
              </w:rPr>
            </w:pPr>
            <w:r w:rsidRPr="00702882">
              <w:rPr>
                <w:sz w:val="20"/>
                <w:szCs w:val="20"/>
              </w:rPr>
              <w:t>WithVol:WithLim</w:t>
            </w:r>
          </w:p>
        </w:tc>
        <w:tc>
          <w:tcPr>
            <w:tcW w:w="0" w:type="auto"/>
            <w:tcMar>
              <w:top w:w="15" w:type="dxa"/>
              <w:left w:w="75" w:type="dxa"/>
              <w:bottom w:w="15" w:type="dxa"/>
              <w:right w:w="75" w:type="dxa"/>
            </w:tcMar>
            <w:vAlign w:val="center"/>
            <w:hideMark/>
          </w:tcPr>
          <w:p w14:paraId="10A54D8B"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09C76A2"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D7FF3F9" w14:textId="77777777" w:rsidR="00AF6702" w:rsidRPr="00702882" w:rsidRDefault="00AF6702" w:rsidP="008D265E">
            <w:pPr>
              <w:spacing w:before="150" w:after="150"/>
              <w:contextualSpacing/>
              <w:rPr>
                <w:sz w:val="20"/>
                <w:szCs w:val="20"/>
              </w:rPr>
            </w:pPr>
            <w:r w:rsidRPr="00702882">
              <w:rPr>
                <w:sz w:val="20"/>
                <w:szCs w:val="20"/>
              </w:rPr>
              <w:t>1.27 (1.88)</w:t>
            </w:r>
          </w:p>
        </w:tc>
        <w:tc>
          <w:tcPr>
            <w:tcW w:w="0" w:type="auto"/>
            <w:tcMar>
              <w:top w:w="15" w:type="dxa"/>
              <w:left w:w="75" w:type="dxa"/>
              <w:bottom w:w="15" w:type="dxa"/>
              <w:right w:w="75" w:type="dxa"/>
            </w:tcMar>
            <w:vAlign w:val="center"/>
            <w:hideMark/>
          </w:tcPr>
          <w:p w14:paraId="30BF9078" w14:textId="77777777" w:rsidR="00AF6702" w:rsidRPr="00702882" w:rsidRDefault="00AF6702" w:rsidP="008D265E">
            <w:pPr>
              <w:spacing w:before="150" w:after="150"/>
              <w:contextualSpacing/>
              <w:rPr>
                <w:sz w:val="20"/>
                <w:szCs w:val="20"/>
              </w:rPr>
            </w:pPr>
            <w:r w:rsidRPr="00702882">
              <w:rPr>
                <w:sz w:val="20"/>
                <w:szCs w:val="20"/>
              </w:rPr>
              <w:t> </w:t>
            </w:r>
          </w:p>
        </w:tc>
      </w:tr>
      <w:tr w:rsidR="002058F4" w:rsidRPr="00702882" w14:paraId="3428ACCF" w14:textId="77777777" w:rsidTr="00AE6820">
        <w:trPr>
          <w:jc w:val="center"/>
        </w:trPr>
        <w:tc>
          <w:tcPr>
            <w:tcW w:w="0" w:type="auto"/>
            <w:tcMar>
              <w:top w:w="15" w:type="dxa"/>
              <w:left w:w="75" w:type="dxa"/>
              <w:bottom w:w="15" w:type="dxa"/>
              <w:right w:w="75" w:type="dxa"/>
            </w:tcMar>
            <w:vAlign w:val="center"/>
          </w:tcPr>
          <w:p w14:paraId="28EC8FEF" w14:textId="77777777" w:rsidR="00AF6702" w:rsidRPr="00702882" w:rsidRDefault="00AF6702" w:rsidP="008D265E">
            <w:pPr>
              <w:spacing w:before="150" w:after="150"/>
              <w:contextualSpacing/>
              <w:rPr>
                <w:sz w:val="20"/>
                <w:szCs w:val="20"/>
              </w:rPr>
            </w:pPr>
            <w:r w:rsidRPr="00702882">
              <w:rPr>
                <w:sz w:val="20"/>
                <w:szCs w:val="20"/>
              </w:rPr>
              <w:t>R</w:t>
            </w:r>
            <w:r w:rsidRPr="00702882">
              <w:rPr>
                <w:sz w:val="20"/>
                <w:szCs w:val="20"/>
                <w:vertAlign w:val="superscript"/>
              </w:rPr>
              <w:t>2</w:t>
            </w:r>
          </w:p>
        </w:tc>
        <w:tc>
          <w:tcPr>
            <w:tcW w:w="0" w:type="auto"/>
            <w:tcMar>
              <w:top w:w="15" w:type="dxa"/>
              <w:left w:w="75" w:type="dxa"/>
              <w:bottom w:w="15" w:type="dxa"/>
              <w:right w:w="75" w:type="dxa"/>
            </w:tcMar>
            <w:vAlign w:val="center"/>
          </w:tcPr>
          <w:p w14:paraId="165A9054" w14:textId="77777777" w:rsidR="00AF6702" w:rsidRPr="00702882" w:rsidRDefault="00AF6702" w:rsidP="008D265E">
            <w:pPr>
              <w:spacing w:before="150" w:after="150"/>
              <w:contextualSpacing/>
              <w:rPr>
                <w:sz w:val="20"/>
                <w:szCs w:val="20"/>
              </w:rPr>
            </w:pPr>
            <w:r w:rsidRPr="00702882">
              <w:rPr>
                <w:sz w:val="20"/>
                <w:szCs w:val="20"/>
              </w:rPr>
              <w:t>0.29</w:t>
            </w:r>
          </w:p>
        </w:tc>
        <w:tc>
          <w:tcPr>
            <w:tcW w:w="0" w:type="auto"/>
            <w:tcMar>
              <w:top w:w="15" w:type="dxa"/>
              <w:left w:w="75" w:type="dxa"/>
              <w:bottom w:w="15" w:type="dxa"/>
              <w:right w:w="75" w:type="dxa"/>
            </w:tcMar>
            <w:vAlign w:val="center"/>
          </w:tcPr>
          <w:p w14:paraId="2B5FAB74" w14:textId="77777777" w:rsidR="00AF6702" w:rsidRPr="00702882" w:rsidRDefault="00AF6702" w:rsidP="008D265E">
            <w:pPr>
              <w:spacing w:before="150" w:after="150"/>
              <w:contextualSpacing/>
              <w:rPr>
                <w:sz w:val="20"/>
                <w:szCs w:val="20"/>
              </w:rPr>
            </w:pPr>
            <w:r w:rsidRPr="00702882">
              <w:rPr>
                <w:sz w:val="20"/>
                <w:szCs w:val="20"/>
              </w:rPr>
              <w:t>0.31</w:t>
            </w:r>
          </w:p>
        </w:tc>
        <w:tc>
          <w:tcPr>
            <w:tcW w:w="0" w:type="auto"/>
            <w:tcMar>
              <w:top w:w="15" w:type="dxa"/>
              <w:left w:w="75" w:type="dxa"/>
              <w:bottom w:w="15" w:type="dxa"/>
              <w:right w:w="75" w:type="dxa"/>
            </w:tcMar>
            <w:vAlign w:val="center"/>
          </w:tcPr>
          <w:p w14:paraId="104138D1" w14:textId="77777777" w:rsidR="00AF6702" w:rsidRPr="00702882" w:rsidRDefault="00AF6702" w:rsidP="008D265E">
            <w:pPr>
              <w:spacing w:before="150" w:after="150"/>
              <w:contextualSpacing/>
              <w:rPr>
                <w:sz w:val="20"/>
                <w:szCs w:val="20"/>
              </w:rPr>
            </w:pPr>
            <w:r w:rsidRPr="00702882">
              <w:rPr>
                <w:sz w:val="20"/>
                <w:szCs w:val="20"/>
              </w:rPr>
              <w:t>0.32</w:t>
            </w:r>
          </w:p>
        </w:tc>
        <w:tc>
          <w:tcPr>
            <w:tcW w:w="0" w:type="auto"/>
            <w:tcMar>
              <w:top w:w="15" w:type="dxa"/>
              <w:left w:w="75" w:type="dxa"/>
              <w:bottom w:w="15" w:type="dxa"/>
              <w:right w:w="75" w:type="dxa"/>
            </w:tcMar>
            <w:vAlign w:val="center"/>
          </w:tcPr>
          <w:p w14:paraId="312D5BD4" w14:textId="77777777" w:rsidR="00AF6702" w:rsidRPr="00702882" w:rsidRDefault="00AF6702" w:rsidP="008D265E">
            <w:pPr>
              <w:spacing w:before="150" w:after="150"/>
              <w:contextualSpacing/>
              <w:rPr>
                <w:sz w:val="20"/>
                <w:szCs w:val="20"/>
              </w:rPr>
            </w:pPr>
            <w:r w:rsidRPr="00702882">
              <w:rPr>
                <w:sz w:val="20"/>
                <w:szCs w:val="20"/>
              </w:rPr>
              <w:t>0.32</w:t>
            </w:r>
          </w:p>
        </w:tc>
      </w:tr>
      <w:tr w:rsidR="002058F4" w:rsidRPr="00702882" w14:paraId="6CB27078" w14:textId="77777777" w:rsidTr="00AE6820">
        <w:trPr>
          <w:jc w:val="center"/>
        </w:trPr>
        <w:tc>
          <w:tcPr>
            <w:tcW w:w="0" w:type="auto"/>
            <w:tcBorders>
              <w:bottom w:val="nil"/>
            </w:tcBorders>
            <w:tcMar>
              <w:top w:w="15" w:type="dxa"/>
              <w:left w:w="75" w:type="dxa"/>
              <w:bottom w:w="15" w:type="dxa"/>
              <w:right w:w="75" w:type="dxa"/>
            </w:tcMar>
            <w:vAlign w:val="center"/>
          </w:tcPr>
          <w:p w14:paraId="177A3E0B" w14:textId="77777777" w:rsidR="00AF6702" w:rsidRPr="00702882" w:rsidRDefault="00AF6702" w:rsidP="008D265E">
            <w:pPr>
              <w:spacing w:before="150" w:after="150"/>
              <w:contextualSpacing/>
              <w:rPr>
                <w:sz w:val="20"/>
                <w:szCs w:val="20"/>
              </w:rPr>
            </w:pPr>
            <w:r w:rsidRPr="00702882">
              <w:rPr>
                <w:sz w:val="20"/>
                <w:szCs w:val="20"/>
              </w:rPr>
              <w:t>Adj. R</w:t>
            </w:r>
            <w:r w:rsidRPr="00702882">
              <w:rPr>
                <w:sz w:val="20"/>
                <w:szCs w:val="20"/>
                <w:vertAlign w:val="superscript"/>
              </w:rPr>
              <w:t>2</w:t>
            </w:r>
          </w:p>
        </w:tc>
        <w:tc>
          <w:tcPr>
            <w:tcW w:w="0" w:type="auto"/>
            <w:tcBorders>
              <w:bottom w:val="nil"/>
            </w:tcBorders>
            <w:tcMar>
              <w:top w:w="15" w:type="dxa"/>
              <w:left w:w="75" w:type="dxa"/>
              <w:bottom w:w="15" w:type="dxa"/>
              <w:right w:w="75" w:type="dxa"/>
            </w:tcMar>
            <w:vAlign w:val="center"/>
          </w:tcPr>
          <w:p w14:paraId="47AAF25B" w14:textId="77777777" w:rsidR="00AF6702" w:rsidRPr="00702882" w:rsidRDefault="00AF6702" w:rsidP="008D265E">
            <w:pPr>
              <w:spacing w:before="150" w:after="150"/>
              <w:contextualSpacing/>
              <w:rPr>
                <w:sz w:val="20"/>
                <w:szCs w:val="20"/>
              </w:rPr>
            </w:pPr>
            <w:r w:rsidRPr="00702882">
              <w:rPr>
                <w:sz w:val="20"/>
                <w:szCs w:val="20"/>
              </w:rPr>
              <w:t>0.21</w:t>
            </w:r>
          </w:p>
        </w:tc>
        <w:tc>
          <w:tcPr>
            <w:tcW w:w="0" w:type="auto"/>
            <w:tcBorders>
              <w:bottom w:val="nil"/>
            </w:tcBorders>
            <w:tcMar>
              <w:top w:w="15" w:type="dxa"/>
              <w:left w:w="75" w:type="dxa"/>
              <w:bottom w:w="15" w:type="dxa"/>
              <w:right w:w="75" w:type="dxa"/>
            </w:tcMar>
            <w:vAlign w:val="center"/>
          </w:tcPr>
          <w:p w14:paraId="0420560B" w14:textId="77777777" w:rsidR="00AF6702" w:rsidRPr="00702882" w:rsidRDefault="00AF6702" w:rsidP="008D265E">
            <w:pPr>
              <w:spacing w:before="150" w:after="150"/>
              <w:contextualSpacing/>
              <w:rPr>
                <w:sz w:val="20"/>
                <w:szCs w:val="20"/>
              </w:rPr>
            </w:pPr>
            <w:r w:rsidRPr="00702882">
              <w:rPr>
                <w:sz w:val="20"/>
                <w:szCs w:val="20"/>
              </w:rPr>
              <w:t>0.21</w:t>
            </w:r>
          </w:p>
        </w:tc>
        <w:tc>
          <w:tcPr>
            <w:tcW w:w="0" w:type="auto"/>
            <w:tcBorders>
              <w:bottom w:val="nil"/>
            </w:tcBorders>
            <w:tcMar>
              <w:top w:w="15" w:type="dxa"/>
              <w:left w:w="75" w:type="dxa"/>
              <w:bottom w:w="15" w:type="dxa"/>
              <w:right w:w="75" w:type="dxa"/>
            </w:tcMar>
            <w:vAlign w:val="center"/>
          </w:tcPr>
          <w:p w14:paraId="67919453" w14:textId="77777777" w:rsidR="00AF6702" w:rsidRPr="00702882" w:rsidRDefault="00AF6702" w:rsidP="008D265E">
            <w:pPr>
              <w:spacing w:before="150" w:after="150"/>
              <w:contextualSpacing/>
              <w:rPr>
                <w:sz w:val="20"/>
                <w:szCs w:val="20"/>
              </w:rPr>
            </w:pPr>
            <w:r w:rsidRPr="00702882">
              <w:rPr>
                <w:sz w:val="20"/>
                <w:szCs w:val="20"/>
              </w:rPr>
              <w:t>0.23</w:t>
            </w:r>
          </w:p>
        </w:tc>
        <w:tc>
          <w:tcPr>
            <w:tcW w:w="0" w:type="auto"/>
            <w:tcBorders>
              <w:bottom w:val="nil"/>
            </w:tcBorders>
            <w:tcMar>
              <w:top w:w="15" w:type="dxa"/>
              <w:left w:w="75" w:type="dxa"/>
              <w:bottom w:w="15" w:type="dxa"/>
              <w:right w:w="75" w:type="dxa"/>
            </w:tcMar>
            <w:vAlign w:val="center"/>
          </w:tcPr>
          <w:p w14:paraId="56F4140F" w14:textId="77777777" w:rsidR="00AF6702" w:rsidRPr="00702882" w:rsidRDefault="00AF6702" w:rsidP="008D265E">
            <w:pPr>
              <w:spacing w:before="150" w:after="150"/>
              <w:contextualSpacing/>
              <w:rPr>
                <w:sz w:val="20"/>
                <w:szCs w:val="20"/>
              </w:rPr>
            </w:pPr>
            <w:r w:rsidRPr="00702882">
              <w:rPr>
                <w:sz w:val="20"/>
                <w:szCs w:val="20"/>
              </w:rPr>
              <w:t>0.23</w:t>
            </w:r>
          </w:p>
        </w:tc>
      </w:tr>
      <w:tr w:rsidR="002058F4" w:rsidRPr="00702882" w14:paraId="4680FA9F" w14:textId="77777777" w:rsidTr="00AE6820">
        <w:trPr>
          <w:jc w:val="center"/>
        </w:trPr>
        <w:tc>
          <w:tcPr>
            <w:tcW w:w="0" w:type="auto"/>
            <w:tcBorders>
              <w:top w:val="nil"/>
              <w:bottom w:val="single" w:sz="12" w:space="0" w:color="auto"/>
            </w:tcBorders>
            <w:tcMar>
              <w:top w:w="15" w:type="dxa"/>
              <w:left w:w="75" w:type="dxa"/>
              <w:bottom w:w="15" w:type="dxa"/>
              <w:right w:w="75" w:type="dxa"/>
            </w:tcMar>
            <w:vAlign w:val="center"/>
          </w:tcPr>
          <w:p w14:paraId="14919073" w14:textId="77777777" w:rsidR="00AF6702" w:rsidRPr="00702882" w:rsidRDefault="00AF6702" w:rsidP="008D265E">
            <w:pPr>
              <w:spacing w:before="150" w:after="150"/>
              <w:contextualSpacing/>
              <w:rPr>
                <w:sz w:val="20"/>
                <w:szCs w:val="20"/>
              </w:rPr>
            </w:pPr>
            <w:r w:rsidRPr="00702882">
              <w:rPr>
                <w:sz w:val="20"/>
                <w:szCs w:val="20"/>
              </w:rPr>
              <w:t>Num. obs.</w:t>
            </w:r>
          </w:p>
        </w:tc>
        <w:tc>
          <w:tcPr>
            <w:tcW w:w="0" w:type="auto"/>
            <w:tcBorders>
              <w:top w:val="nil"/>
              <w:bottom w:val="single" w:sz="12" w:space="0" w:color="auto"/>
            </w:tcBorders>
            <w:tcMar>
              <w:top w:w="15" w:type="dxa"/>
              <w:left w:w="75" w:type="dxa"/>
              <w:bottom w:w="15" w:type="dxa"/>
              <w:right w:w="75" w:type="dxa"/>
            </w:tcMar>
            <w:vAlign w:val="center"/>
          </w:tcPr>
          <w:p w14:paraId="2F5F5223" w14:textId="77777777" w:rsidR="00AF6702" w:rsidRPr="00702882" w:rsidRDefault="00AF6702" w:rsidP="008D265E">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76DED1B1" w14:textId="77777777" w:rsidR="00AF6702" w:rsidRPr="00702882" w:rsidRDefault="00AF6702" w:rsidP="008D265E">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5D1F705B" w14:textId="77777777" w:rsidR="00AF6702" w:rsidRPr="00702882" w:rsidRDefault="00AF6702" w:rsidP="008D265E">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1A26330B" w14:textId="77777777" w:rsidR="00AF6702" w:rsidRPr="00702882" w:rsidRDefault="00AF6702" w:rsidP="008D265E">
            <w:pPr>
              <w:spacing w:before="150" w:after="150"/>
              <w:contextualSpacing/>
              <w:rPr>
                <w:sz w:val="20"/>
                <w:szCs w:val="20"/>
              </w:rPr>
            </w:pPr>
            <w:r w:rsidRPr="00702882">
              <w:rPr>
                <w:sz w:val="20"/>
                <w:szCs w:val="20"/>
              </w:rPr>
              <w:t>813</w:t>
            </w:r>
          </w:p>
        </w:tc>
      </w:tr>
      <w:tr w:rsidR="002058F4" w:rsidRPr="00702882" w14:paraId="04037CB9" w14:textId="77777777" w:rsidTr="00AE6820">
        <w:trPr>
          <w:jc w:val="center"/>
        </w:trPr>
        <w:tc>
          <w:tcPr>
            <w:tcW w:w="0" w:type="auto"/>
            <w:gridSpan w:val="5"/>
            <w:tcBorders>
              <w:top w:val="single" w:sz="12" w:space="0" w:color="auto"/>
            </w:tcBorders>
            <w:vAlign w:val="center"/>
            <w:hideMark/>
          </w:tcPr>
          <w:p w14:paraId="5D1B867E" w14:textId="77777777" w:rsidR="00AF6702" w:rsidRPr="00702882" w:rsidRDefault="00AF6702" w:rsidP="008D265E">
            <w:pPr>
              <w:spacing w:before="150" w:after="150"/>
              <w:contextualSpacing/>
              <w:rPr>
                <w:sz w:val="20"/>
                <w:szCs w:val="20"/>
              </w:rPr>
            </w:pPr>
            <w:r w:rsidRPr="00702882">
              <w:rPr>
                <w:sz w:val="20"/>
                <w:szCs w:val="20"/>
                <w:vertAlign w:val="superscript"/>
              </w:rPr>
              <w:t>***</w:t>
            </w:r>
            <w:r w:rsidRPr="00702882">
              <w:rPr>
                <w:sz w:val="20"/>
                <w:szCs w:val="20"/>
              </w:rPr>
              <w:t xml:space="preserve">p &lt; 0.01; </w:t>
            </w:r>
            <w:r w:rsidRPr="00702882">
              <w:rPr>
                <w:sz w:val="20"/>
                <w:szCs w:val="20"/>
                <w:vertAlign w:val="superscript"/>
              </w:rPr>
              <w:t>**</w:t>
            </w:r>
            <w:r w:rsidRPr="00702882">
              <w:rPr>
                <w:sz w:val="20"/>
                <w:szCs w:val="20"/>
              </w:rPr>
              <w:t xml:space="preserve">p &lt; 0.05; </w:t>
            </w:r>
            <w:r w:rsidRPr="00702882">
              <w:rPr>
                <w:sz w:val="20"/>
                <w:szCs w:val="20"/>
                <w:vertAlign w:val="superscript"/>
              </w:rPr>
              <w:t>*</w:t>
            </w:r>
            <w:r w:rsidRPr="00702882">
              <w:rPr>
                <w:sz w:val="20"/>
                <w:szCs w:val="20"/>
              </w:rPr>
              <w:t>p &lt; 0.1</w:t>
            </w:r>
          </w:p>
        </w:tc>
      </w:tr>
    </w:tbl>
    <w:p w14:paraId="462BD75F" w14:textId="0D354B64" w:rsidR="00AF6702" w:rsidRPr="00702882" w:rsidRDefault="00AF6702" w:rsidP="00C46624">
      <w:pPr>
        <w:spacing w:before="240" w:line="480" w:lineRule="auto"/>
        <w:contextualSpacing/>
        <w:jc w:val="center"/>
        <w:rPr>
          <w:rFonts w:eastAsiaTheme="minorEastAsia"/>
          <w:b/>
          <w:bCs/>
        </w:rPr>
      </w:pPr>
      <w:r w:rsidRPr="00702882">
        <w:rPr>
          <w:b/>
          <w:bCs/>
        </w:rPr>
        <w:lastRenderedPageBreak/>
        <w:t xml:space="preserve">Table </w:t>
      </w:r>
      <w:r w:rsidR="00BC622C" w:rsidRPr="00702882">
        <w:rPr>
          <w:rFonts w:eastAsiaTheme="minorEastAsia"/>
          <w:b/>
          <w:bCs/>
        </w:rPr>
        <w:t>10</w:t>
      </w:r>
      <w:r w:rsidRPr="00702882">
        <w:rPr>
          <w:rFonts w:eastAsiaTheme="minorEastAsia"/>
          <w:b/>
          <w:bCs/>
        </w:rPr>
        <w:t>. Fixed Effects</w:t>
      </w:r>
      <w:r w:rsidRPr="00702882">
        <w:rPr>
          <w:b/>
          <w:bCs/>
        </w:rPr>
        <w:t xml:space="preserve"> Models</w:t>
      </w:r>
      <w:r w:rsidRPr="00702882">
        <w:rPr>
          <w:rFonts w:eastAsiaTheme="minorEastAsia"/>
          <w:b/>
          <w:bCs/>
        </w:rPr>
        <w:t xml:space="preserve"> with Reduced Variab</w:t>
      </w:r>
      <w:bookmarkStart w:id="52" w:name="FixedEffectsModelswithReducedVariable"/>
      <w:bookmarkEnd w:id="52"/>
      <w:r w:rsidRPr="00702882">
        <w:rPr>
          <w:rFonts w:eastAsiaTheme="minorEastAsia"/>
          <w:b/>
          <w:bCs/>
        </w:rPr>
        <w:t>les</w:t>
      </w:r>
    </w:p>
    <w:p w14:paraId="1AF239F8" w14:textId="77777777" w:rsidR="00AF6702" w:rsidRPr="00702882" w:rsidRDefault="00AF6702" w:rsidP="00C46624">
      <w:pPr>
        <w:spacing w:before="240" w:line="480" w:lineRule="auto"/>
        <w:contextualSpacing/>
        <w:jc w:val="center"/>
        <w:rPr>
          <w:rFonts w:eastAsiaTheme="minorEastAsia"/>
          <w:b/>
          <w:bCs/>
        </w:rPr>
      </w:pPr>
      <w:r w:rsidRPr="00702882">
        <w:rPr>
          <w:b/>
          <w:bCs/>
        </w:rPr>
        <w:t>The Effects of BSF Structures on BSF Levels</w:t>
      </w:r>
    </w:p>
    <w:tbl>
      <w:tblPr>
        <w:tblW w:w="0" w:type="auto"/>
        <w:tblBorders>
          <w:top w:val="single" w:sz="12" w:space="0" w:color="000000"/>
        </w:tblBorders>
        <w:tblCellMar>
          <w:top w:w="15" w:type="dxa"/>
          <w:left w:w="15" w:type="dxa"/>
          <w:bottom w:w="15" w:type="dxa"/>
          <w:right w:w="15" w:type="dxa"/>
        </w:tblCellMar>
        <w:tblLook w:val="04A0" w:firstRow="1" w:lastRow="0" w:firstColumn="1" w:lastColumn="0" w:noHBand="0" w:noVBand="1"/>
      </w:tblPr>
      <w:tblGrid>
        <w:gridCol w:w="3250"/>
        <w:gridCol w:w="1295"/>
        <w:gridCol w:w="1295"/>
        <w:gridCol w:w="1295"/>
        <w:gridCol w:w="1295"/>
      </w:tblGrid>
      <w:tr w:rsidR="00AC7046" w:rsidRPr="00702882" w14:paraId="3BAD0B8A" w14:textId="77777777" w:rsidTr="00AE6820">
        <w:trPr>
          <w:tblHeader/>
        </w:trPr>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59A6AC7E" w14:textId="77777777" w:rsidR="00AF6702" w:rsidRPr="00702882" w:rsidRDefault="00AF6702" w:rsidP="008D265E">
            <w:pPr>
              <w:spacing w:before="150" w:after="150"/>
              <w:contextualSpacing/>
              <w:jc w:val="center"/>
              <w:rPr>
                <w:b/>
                <w:bCs/>
                <w:sz w:val="20"/>
                <w:szCs w:val="20"/>
              </w:rPr>
            </w:pPr>
            <w:r w:rsidRPr="00702882">
              <w:rPr>
                <w:b/>
                <w:bCs/>
                <w:sz w:val="20"/>
                <w:szCs w:val="20"/>
              </w:rPr>
              <w:t> </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6A344FF6" w14:textId="77777777" w:rsidR="00AF6702" w:rsidRPr="00702882" w:rsidRDefault="00AF6702" w:rsidP="008D265E">
            <w:pPr>
              <w:spacing w:before="150" w:after="150"/>
              <w:contextualSpacing/>
              <w:jc w:val="center"/>
              <w:rPr>
                <w:b/>
                <w:bCs/>
                <w:sz w:val="20"/>
                <w:szCs w:val="20"/>
              </w:rPr>
            </w:pPr>
            <w:r w:rsidRPr="00702882">
              <w:rPr>
                <w:b/>
                <w:bCs/>
                <w:sz w:val="20"/>
                <w:szCs w:val="20"/>
              </w:rPr>
              <w:t>Model 1</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73EC89AC" w14:textId="77777777" w:rsidR="00AF6702" w:rsidRPr="00702882" w:rsidRDefault="00AF6702" w:rsidP="008D265E">
            <w:pPr>
              <w:spacing w:before="150" w:after="150"/>
              <w:contextualSpacing/>
              <w:jc w:val="center"/>
              <w:rPr>
                <w:b/>
                <w:bCs/>
                <w:sz w:val="20"/>
                <w:szCs w:val="20"/>
              </w:rPr>
            </w:pPr>
            <w:r w:rsidRPr="00702882">
              <w:rPr>
                <w:b/>
                <w:bCs/>
                <w:sz w:val="20"/>
                <w:szCs w:val="20"/>
              </w:rPr>
              <w:t>Model 2</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546A8E9C" w14:textId="77777777" w:rsidR="00AF6702" w:rsidRPr="00702882" w:rsidRDefault="00AF6702" w:rsidP="008D265E">
            <w:pPr>
              <w:spacing w:before="150" w:after="150"/>
              <w:contextualSpacing/>
              <w:jc w:val="center"/>
              <w:rPr>
                <w:b/>
                <w:bCs/>
                <w:sz w:val="20"/>
                <w:szCs w:val="20"/>
              </w:rPr>
            </w:pPr>
            <w:r w:rsidRPr="00702882">
              <w:rPr>
                <w:b/>
                <w:bCs/>
                <w:sz w:val="20"/>
                <w:szCs w:val="20"/>
              </w:rPr>
              <w:t>Model 3</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16EDCBB8" w14:textId="77777777" w:rsidR="00AF6702" w:rsidRPr="00702882" w:rsidRDefault="00AF6702" w:rsidP="008D265E">
            <w:pPr>
              <w:spacing w:before="150" w:after="150"/>
              <w:contextualSpacing/>
              <w:jc w:val="center"/>
              <w:rPr>
                <w:b/>
                <w:bCs/>
                <w:sz w:val="20"/>
                <w:szCs w:val="20"/>
              </w:rPr>
            </w:pPr>
            <w:r w:rsidRPr="00702882">
              <w:rPr>
                <w:b/>
                <w:bCs/>
                <w:sz w:val="20"/>
                <w:szCs w:val="20"/>
              </w:rPr>
              <w:t>Model 4</w:t>
            </w:r>
          </w:p>
        </w:tc>
      </w:tr>
      <w:tr w:rsidR="00AC7046" w:rsidRPr="00702882" w14:paraId="176539D1" w14:textId="77777777" w:rsidTr="00AE6820">
        <w:tc>
          <w:tcPr>
            <w:tcW w:w="0" w:type="auto"/>
            <w:tcBorders>
              <w:top w:val="single" w:sz="8" w:space="0" w:color="auto"/>
            </w:tcBorders>
            <w:tcMar>
              <w:top w:w="15" w:type="dxa"/>
              <w:left w:w="75" w:type="dxa"/>
              <w:bottom w:w="15" w:type="dxa"/>
              <w:right w:w="75" w:type="dxa"/>
            </w:tcMar>
            <w:vAlign w:val="center"/>
            <w:hideMark/>
          </w:tcPr>
          <w:p w14:paraId="78A081B9" w14:textId="77777777" w:rsidR="00AF6702" w:rsidRPr="00702882" w:rsidRDefault="00AF6702" w:rsidP="008D265E">
            <w:pPr>
              <w:spacing w:before="150" w:after="150"/>
              <w:contextualSpacing/>
              <w:rPr>
                <w:sz w:val="20"/>
                <w:szCs w:val="20"/>
              </w:rPr>
            </w:pPr>
            <w:r w:rsidRPr="00702882">
              <w:rPr>
                <w:sz w:val="20"/>
                <w:szCs w:val="20"/>
              </w:rPr>
              <w:t>GFB_percent_lag</w:t>
            </w:r>
          </w:p>
        </w:tc>
        <w:tc>
          <w:tcPr>
            <w:tcW w:w="0" w:type="auto"/>
            <w:tcBorders>
              <w:top w:val="single" w:sz="8" w:space="0" w:color="auto"/>
            </w:tcBorders>
            <w:tcMar>
              <w:top w:w="15" w:type="dxa"/>
              <w:left w:w="75" w:type="dxa"/>
              <w:bottom w:w="15" w:type="dxa"/>
              <w:right w:w="75" w:type="dxa"/>
            </w:tcMar>
            <w:vAlign w:val="center"/>
            <w:hideMark/>
          </w:tcPr>
          <w:p w14:paraId="409D992F" w14:textId="77777777" w:rsidR="00AF6702" w:rsidRPr="00702882" w:rsidRDefault="00AF6702" w:rsidP="008D265E">
            <w:pPr>
              <w:spacing w:before="150" w:after="150"/>
              <w:contextualSpacing/>
              <w:rPr>
                <w:sz w:val="20"/>
                <w:szCs w:val="20"/>
              </w:rPr>
            </w:pPr>
            <w:r w:rsidRPr="00702882">
              <w:rPr>
                <w:sz w:val="20"/>
                <w:szCs w:val="20"/>
              </w:rPr>
              <w:t>0.19 (0.05)</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790A6707" w14:textId="77777777" w:rsidR="00AF6702" w:rsidRPr="00702882" w:rsidRDefault="00AF6702" w:rsidP="008D265E">
            <w:pPr>
              <w:spacing w:before="150" w:after="150"/>
              <w:contextualSpacing/>
              <w:rPr>
                <w:sz w:val="20"/>
                <w:szCs w:val="20"/>
              </w:rPr>
            </w:pPr>
            <w:r w:rsidRPr="00702882">
              <w:rPr>
                <w:sz w:val="20"/>
                <w:szCs w:val="20"/>
              </w:rPr>
              <w:t>0.20 (0.05)</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1F1F7846" w14:textId="77777777" w:rsidR="00AF6702" w:rsidRPr="00702882" w:rsidRDefault="00AF6702" w:rsidP="008D265E">
            <w:pPr>
              <w:spacing w:before="150" w:after="150"/>
              <w:contextualSpacing/>
              <w:rPr>
                <w:sz w:val="20"/>
                <w:szCs w:val="20"/>
              </w:rPr>
            </w:pPr>
            <w:r w:rsidRPr="00702882">
              <w:rPr>
                <w:sz w:val="20"/>
                <w:szCs w:val="20"/>
              </w:rPr>
              <w:t>0.19 (0.05)</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1555CB4E" w14:textId="77777777" w:rsidR="00AF6702" w:rsidRPr="00702882" w:rsidRDefault="00AF6702" w:rsidP="008D265E">
            <w:pPr>
              <w:spacing w:before="150" w:after="150"/>
              <w:contextualSpacing/>
              <w:rPr>
                <w:sz w:val="20"/>
                <w:szCs w:val="20"/>
              </w:rPr>
            </w:pPr>
            <w:r w:rsidRPr="00702882">
              <w:rPr>
                <w:sz w:val="20"/>
                <w:szCs w:val="20"/>
              </w:rPr>
              <w:t>0.19 (0.05)</w:t>
            </w:r>
            <w:r w:rsidRPr="00702882">
              <w:rPr>
                <w:sz w:val="20"/>
                <w:szCs w:val="20"/>
                <w:vertAlign w:val="superscript"/>
              </w:rPr>
              <w:t>***</w:t>
            </w:r>
          </w:p>
        </w:tc>
      </w:tr>
      <w:tr w:rsidR="00AC7046" w:rsidRPr="00702882" w14:paraId="10EEDDFB" w14:textId="77777777" w:rsidTr="00AE6820">
        <w:tc>
          <w:tcPr>
            <w:tcW w:w="0" w:type="auto"/>
            <w:tcMar>
              <w:top w:w="15" w:type="dxa"/>
              <w:left w:w="75" w:type="dxa"/>
              <w:bottom w:w="15" w:type="dxa"/>
              <w:right w:w="75" w:type="dxa"/>
            </w:tcMar>
            <w:vAlign w:val="center"/>
            <w:hideMark/>
          </w:tcPr>
          <w:p w14:paraId="2167CF89" w14:textId="77777777" w:rsidR="00AF6702" w:rsidRPr="00702882" w:rsidRDefault="00AF6702" w:rsidP="008D265E">
            <w:pPr>
              <w:spacing w:before="150" w:after="150"/>
              <w:contextualSpacing/>
              <w:rPr>
                <w:sz w:val="20"/>
                <w:szCs w:val="20"/>
              </w:rPr>
            </w:pPr>
            <w:r w:rsidRPr="00702882">
              <w:rPr>
                <w:sz w:val="20"/>
                <w:szCs w:val="20"/>
              </w:rPr>
              <w:t>Number</w:t>
            </w:r>
          </w:p>
        </w:tc>
        <w:tc>
          <w:tcPr>
            <w:tcW w:w="0" w:type="auto"/>
            <w:tcMar>
              <w:top w:w="15" w:type="dxa"/>
              <w:left w:w="75" w:type="dxa"/>
              <w:bottom w:w="15" w:type="dxa"/>
              <w:right w:w="75" w:type="dxa"/>
            </w:tcMar>
            <w:vAlign w:val="center"/>
            <w:hideMark/>
          </w:tcPr>
          <w:p w14:paraId="26916E9F" w14:textId="77777777" w:rsidR="00AF6702" w:rsidRPr="00702882" w:rsidRDefault="00AF6702" w:rsidP="008D265E">
            <w:pPr>
              <w:spacing w:before="150" w:after="150"/>
              <w:contextualSpacing/>
              <w:rPr>
                <w:sz w:val="20"/>
                <w:szCs w:val="20"/>
              </w:rPr>
            </w:pPr>
            <w:r w:rsidRPr="00702882">
              <w:rPr>
                <w:sz w:val="20"/>
                <w:szCs w:val="20"/>
              </w:rPr>
              <w:t>1.19 (1.58)</w:t>
            </w:r>
          </w:p>
        </w:tc>
        <w:tc>
          <w:tcPr>
            <w:tcW w:w="0" w:type="auto"/>
            <w:tcMar>
              <w:top w:w="15" w:type="dxa"/>
              <w:left w:w="75" w:type="dxa"/>
              <w:bottom w:w="15" w:type="dxa"/>
              <w:right w:w="75" w:type="dxa"/>
            </w:tcMar>
            <w:vAlign w:val="center"/>
            <w:hideMark/>
          </w:tcPr>
          <w:p w14:paraId="344D97EA" w14:textId="77777777" w:rsidR="00AF6702" w:rsidRPr="00702882" w:rsidRDefault="00AF6702" w:rsidP="008D265E">
            <w:pPr>
              <w:spacing w:before="150" w:after="150"/>
              <w:contextualSpacing/>
              <w:rPr>
                <w:sz w:val="20"/>
                <w:szCs w:val="20"/>
              </w:rPr>
            </w:pPr>
            <w:r w:rsidRPr="00702882">
              <w:rPr>
                <w:sz w:val="20"/>
                <w:szCs w:val="20"/>
              </w:rPr>
              <w:t>0.58 (1.72)</w:t>
            </w:r>
          </w:p>
        </w:tc>
        <w:tc>
          <w:tcPr>
            <w:tcW w:w="0" w:type="auto"/>
            <w:tcMar>
              <w:top w:w="15" w:type="dxa"/>
              <w:left w:w="75" w:type="dxa"/>
              <w:bottom w:w="15" w:type="dxa"/>
              <w:right w:w="75" w:type="dxa"/>
            </w:tcMar>
            <w:vAlign w:val="center"/>
            <w:hideMark/>
          </w:tcPr>
          <w:p w14:paraId="1FC9B0CB" w14:textId="77777777" w:rsidR="00AF6702" w:rsidRPr="00702882" w:rsidRDefault="00AF6702" w:rsidP="008D265E">
            <w:pPr>
              <w:spacing w:before="150" w:after="150"/>
              <w:contextualSpacing/>
              <w:rPr>
                <w:sz w:val="20"/>
                <w:szCs w:val="20"/>
              </w:rPr>
            </w:pPr>
            <w:r w:rsidRPr="00702882">
              <w:rPr>
                <w:sz w:val="20"/>
                <w:szCs w:val="20"/>
              </w:rPr>
              <w:t>-0.06 (2.42)</w:t>
            </w:r>
          </w:p>
        </w:tc>
        <w:tc>
          <w:tcPr>
            <w:tcW w:w="0" w:type="auto"/>
            <w:tcMar>
              <w:top w:w="15" w:type="dxa"/>
              <w:left w:w="75" w:type="dxa"/>
              <w:bottom w:w="15" w:type="dxa"/>
              <w:right w:w="75" w:type="dxa"/>
            </w:tcMar>
            <w:vAlign w:val="center"/>
            <w:hideMark/>
          </w:tcPr>
          <w:p w14:paraId="17902BD9" w14:textId="77777777" w:rsidR="00AF6702" w:rsidRPr="00702882" w:rsidRDefault="00AF6702" w:rsidP="008D265E">
            <w:pPr>
              <w:spacing w:before="150" w:after="150"/>
              <w:contextualSpacing/>
              <w:rPr>
                <w:sz w:val="20"/>
                <w:szCs w:val="20"/>
              </w:rPr>
            </w:pPr>
            <w:r w:rsidRPr="00702882">
              <w:rPr>
                <w:sz w:val="20"/>
                <w:szCs w:val="20"/>
              </w:rPr>
              <w:t>0.85 (1.59)</w:t>
            </w:r>
          </w:p>
        </w:tc>
      </w:tr>
      <w:tr w:rsidR="00AC7046" w:rsidRPr="00702882" w14:paraId="6A9E7698" w14:textId="77777777" w:rsidTr="00AE6820">
        <w:tc>
          <w:tcPr>
            <w:tcW w:w="0" w:type="auto"/>
            <w:tcMar>
              <w:top w:w="15" w:type="dxa"/>
              <w:left w:w="75" w:type="dxa"/>
              <w:bottom w:w="15" w:type="dxa"/>
              <w:right w:w="75" w:type="dxa"/>
            </w:tcMar>
            <w:vAlign w:val="center"/>
            <w:hideMark/>
          </w:tcPr>
          <w:p w14:paraId="36C697DD" w14:textId="77777777" w:rsidR="00AF6702" w:rsidRPr="00702882" w:rsidRDefault="00AF6702" w:rsidP="008D265E">
            <w:pPr>
              <w:spacing w:before="150" w:after="150"/>
              <w:contextualSpacing/>
              <w:rPr>
                <w:sz w:val="20"/>
                <w:szCs w:val="20"/>
              </w:rPr>
            </w:pPr>
            <w:r w:rsidRPr="00702882">
              <w:rPr>
                <w:sz w:val="20"/>
                <w:szCs w:val="20"/>
              </w:rPr>
              <w:t>Source_percent</w:t>
            </w:r>
          </w:p>
        </w:tc>
        <w:tc>
          <w:tcPr>
            <w:tcW w:w="0" w:type="auto"/>
            <w:tcMar>
              <w:top w:w="15" w:type="dxa"/>
              <w:left w:w="75" w:type="dxa"/>
              <w:bottom w:w="15" w:type="dxa"/>
              <w:right w:w="75" w:type="dxa"/>
            </w:tcMar>
            <w:vAlign w:val="center"/>
            <w:hideMark/>
          </w:tcPr>
          <w:p w14:paraId="7BBCBD2B" w14:textId="77777777" w:rsidR="00AF6702" w:rsidRPr="00702882" w:rsidRDefault="00AF6702" w:rsidP="008D265E">
            <w:pPr>
              <w:spacing w:before="150" w:after="150"/>
              <w:contextualSpacing/>
              <w:rPr>
                <w:sz w:val="20"/>
                <w:szCs w:val="20"/>
              </w:rPr>
            </w:pPr>
            <w:r w:rsidRPr="00702882">
              <w:rPr>
                <w:sz w:val="20"/>
                <w:szCs w:val="20"/>
              </w:rPr>
              <w:t>0.02 (0.26)</w:t>
            </w:r>
          </w:p>
        </w:tc>
        <w:tc>
          <w:tcPr>
            <w:tcW w:w="0" w:type="auto"/>
            <w:tcMar>
              <w:top w:w="15" w:type="dxa"/>
              <w:left w:w="75" w:type="dxa"/>
              <w:bottom w:w="15" w:type="dxa"/>
              <w:right w:w="75" w:type="dxa"/>
            </w:tcMar>
            <w:vAlign w:val="center"/>
            <w:hideMark/>
          </w:tcPr>
          <w:p w14:paraId="12B20A31" w14:textId="77777777" w:rsidR="00AF6702" w:rsidRPr="00702882" w:rsidRDefault="00AF6702" w:rsidP="008D265E">
            <w:pPr>
              <w:spacing w:before="150" w:after="150"/>
              <w:contextualSpacing/>
              <w:rPr>
                <w:sz w:val="20"/>
                <w:szCs w:val="20"/>
              </w:rPr>
            </w:pPr>
            <w:r w:rsidRPr="00702882">
              <w:rPr>
                <w:sz w:val="20"/>
                <w:szCs w:val="20"/>
              </w:rPr>
              <w:t>-1.01 (0.52)</w:t>
            </w:r>
            <w:r w:rsidRPr="00702882">
              <w:rPr>
                <w:sz w:val="20"/>
                <w:szCs w:val="20"/>
                <w:vertAlign w:val="superscript"/>
              </w:rPr>
              <w:t>*</w:t>
            </w:r>
          </w:p>
        </w:tc>
        <w:tc>
          <w:tcPr>
            <w:tcW w:w="0" w:type="auto"/>
            <w:tcMar>
              <w:top w:w="15" w:type="dxa"/>
              <w:left w:w="75" w:type="dxa"/>
              <w:bottom w:w="15" w:type="dxa"/>
              <w:right w:w="75" w:type="dxa"/>
            </w:tcMar>
            <w:vAlign w:val="center"/>
            <w:hideMark/>
          </w:tcPr>
          <w:p w14:paraId="533DBF1C" w14:textId="77777777" w:rsidR="00AF6702" w:rsidRPr="00702882" w:rsidRDefault="00AF6702" w:rsidP="008D265E">
            <w:pPr>
              <w:spacing w:before="150" w:after="150"/>
              <w:contextualSpacing/>
              <w:rPr>
                <w:sz w:val="20"/>
                <w:szCs w:val="20"/>
              </w:rPr>
            </w:pPr>
            <w:r w:rsidRPr="00702882">
              <w:rPr>
                <w:sz w:val="20"/>
                <w:szCs w:val="20"/>
              </w:rPr>
              <w:t>-1.00 (0.47)</w:t>
            </w:r>
            <w:r w:rsidRPr="00702882">
              <w:rPr>
                <w:sz w:val="20"/>
                <w:szCs w:val="20"/>
                <w:vertAlign w:val="superscript"/>
              </w:rPr>
              <w:t>**</w:t>
            </w:r>
          </w:p>
        </w:tc>
        <w:tc>
          <w:tcPr>
            <w:tcW w:w="0" w:type="auto"/>
            <w:tcMar>
              <w:top w:w="15" w:type="dxa"/>
              <w:left w:w="75" w:type="dxa"/>
              <w:bottom w:w="15" w:type="dxa"/>
              <w:right w:w="75" w:type="dxa"/>
            </w:tcMar>
            <w:vAlign w:val="center"/>
            <w:hideMark/>
          </w:tcPr>
          <w:p w14:paraId="02D96FB0" w14:textId="77777777" w:rsidR="00AF6702" w:rsidRPr="00702882" w:rsidRDefault="00AF6702" w:rsidP="008D265E">
            <w:pPr>
              <w:spacing w:before="150" w:after="150"/>
              <w:contextualSpacing/>
              <w:rPr>
                <w:sz w:val="20"/>
                <w:szCs w:val="20"/>
              </w:rPr>
            </w:pPr>
            <w:r w:rsidRPr="00702882">
              <w:rPr>
                <w:sz w:val="20"/>
                <w:szCs w:val="20"/>
              </w:rPr>
              <w:t>-0.99 (0.46)</w:t>
            </w:r>
            <w:r w:rsidRPr="00702882">
              <w:rPr>
                <w:sz w:val="20"/>
                <w:szCs w:val="20"/>
                <w:vertAlign w:val="superscript"/>
              </w:rPr>
              <w:t>**</w:t>
            </w:r>
          </w:p>
        </w:tc>
      </w:tr>
      <w:tr w:rsidR="00AC7046" w:rsidRPr="00702882" w14:paraId="41F7903E" w14:textId="77777777" w:rsidTr="00AE6820">
        <w:tc>
          <w:tcPr>
            <w:tcW w:w="0" w:type="auto"/>
            <w:tcMar>
              <w:top w:w="15" w:type="dxa"/>
              <w:left w:w="75" w:type="dxa"/>
              <w:bottom w:w="15" w:type="dxa"/>
              <w:right w:w="75" w:type="dxa"/>
            </w:tcMar>
            <w:vAlign w:val="center"/>
            <w:hideMark/>
          </w:tcPr>
          <w:p w14:paraId="5C38A63F" w14:textId="77777777" w:rsidR="00AF6702" w:rsidRPr="00702882" w:rsidRDefault="00AF6702" w:rsidP="008D265E">
            <w:pPr>
              <w:spacing w:before="150" w:after="150"/>
              <w:contextualSpacing/>
              <w:rPr>
                <w:sz w:val="20"/>
                <w:szCs w:val="20"/>
              </w:rPr>
            </w:pPr>
            <w:r w:rsidRPr="00702882">
              <w:rPr>
                <w:sz w:val="20"/>
                <w:szCs w:val="20"/>
              </w:rPr>
              <w:t>Cap_percent</w:t>
            </w:r>
          </w:p>
        </w:tc>
        <w:tc>
          <w:tcPr>
            <w:tcW w:w="0" w:type="auto"/>
            <w:tcMar>
              <w:top w:w="15" w:type="dxa"/>
              <w:left w:w="75" w:type="dxa"/>
              <w:bottom w:w="15" w:type="dxa"/>
              <w:right w:w="75" w:type="dxa"/>
            </w:tcMar>
            <w:vAlign w:val="center"/>
            <w:hideMark/>
          </w:tcPr>
          <w:p w14:paraId="044EA77E" w14:textId="77777777" w:rsidR="00AF6702" w:rsidRPr="00702882" w:rsidRDefault="00AF6702" w:rsidP="008D265E">
            <w:pPr>
              <w:spacing w:before="150" w:after="150"/>
              <w:contextualSpacing/>
              <w:rPr>
                <w:sz w:val="20"/>
                <w:szCs w:val="20"/>
              </w:rPr>
            </w:pPr>
            <w:r w:rsidRPr="00702882">
              <w:rPr>
                <w:sz w:val="20"/>
                <w:szCs w:val="20"/>
              </w:rPr>
              <w:t>0.36 (0.14)</w:t>
            </w:r>
            <w:r w:rsidRPr="00702882">
              <w:rPr>
                <w:sz w:val="20"/>
                <w:szCs w:val="20"/>
                <w:vertAlign w:val="superscript"/>
              </w:rPr>
              <w:t>***</w:t>
            </w:r>
          </w:p>
        </w:tc>
        <w:tc>
          <w:tcPr>
            <w:tcW w:w="0" w:type="auto"/>
            <w:tcMar>
              <w:top w:w="15" w:type="dxa"/>
              <w:left w:w="75" w:type="dxa"/>
              <w:bottom w:w="15" w:type="dxa"/>
              <w:right w:w="75" w:type="dxa"/>
            </w:tcMar>
            <w:vAlign w:val="center"/>
            <w:hideMark/>
          </w:tcPr>
          <w:p w14:paraId="587C2FC4" w14:textId="77777777" w:rsidR="00AF6702" w:rsidRPr="00702882" w:rsidRDefault="00AF6702" w:rsidP="008D265E">
            <w:pPr>
              <w:spacing w:before="150" w:after="150"/>
              <w:contextualSpacing/>
              <w:rPr>
                <w:sz w:val="20"/>
                <w:szCs w:val="20"/>
              </w:rPr>
            </w:pPr>
            <w:r w:rsidRPr="00702882">
              <w:rPr>
                <w:sz w:val="20"/>
                <w:szCs w:val="20"/>
              </w:rPr>
              <w:t>0.34 (0.15)</w:t>
            </w:r>
            <w:r w:rsidRPr="00702882">
              <w:rPr>
                <w:sz w:val="20"/>
                <w:szCs w:val="20"/>
                <w:vertAlign w:val="superscript"/>
              </w:rPr>
              <w:t>**</w:t>
            </w:r>
          </w:p>
        </w:tc>
        <w:tc>
          <w:tcPr>
            <w:tcW w:w="0" w:type="auto"/>
            <w:tcMar>
              <w:top w:w="15" w:type="dxa"/>
              <w:left w:w="75" w:type="dxa"/>
              <w:bottom w:w="15" w:type="dxa"/>
              <w:right w:w="75" w:type="dxa"/>
            </w:tcMar>
            <w:vAlign w:val="center"/>
            <w:hideMark/>
          </w:tcPr>
          <w:p w14:paraId="2F414560" w14:textId="77777777" w:rsidR="00AF6702" w:rsidRPr="00702882" w:rsidRDefault="00AF6702" w:rsidP="008D265E">
            <w:pPr>
              <w:spacing w:before="150" w:after="150"/>
              <w:contextualSpacing/>
              <w:rPr>
                <w:sz w:val="20"/>
                <w:szCs w:val="20"/>
              </w:rPr>
            </w:pPr>
            <w:r w:rsidRPr="00702882">
              <w:rPr>
                <w:sz w:val="20"/>
                <w:szCs w:val="20"/>
              </w:rPr>
              <w:t>0.34 (0.14)</w:t>
            </w:r>
            <w:r w:rsidRPr="00702882">
              <w:rPr>
                <w:sz w:val="20"/>
                <w:szCs w:val="20"/>
                <w:vertAlign w:val="superscript"/>
              </w:rPr>
              <w:t>**</w:t>
            </w:r>
          </w:p>
        </w:tc>
        <w:tc>
          <w:tcPr>
            <w:tcW w:w="0" w:type="auto"/>
            <w:tcMar>
              <w:top w:w="15" w:type="dxa"/>
              <w:left w:w="75" w:type="dxa"/>
              <w:bottom w:w="15" w:type="dxa"/>
              <w:right w:w="75" w:type="dxa"/>
            </w:tcMar>
            <w:vAlign w:val="center"/>
            <w:hideMark/>
          </w:tcPr>
          <w:p w14:paraId="760F3F2D" w14:textId="77777777" w:rsidR="00AF6702" w:rsidRPr="00702882" w:rsidRDefault="00AF6702" w:rsidP="008D265E">
            <w:pPr>
              <w:spacing w:before="150" w:after="150"/>
              <w:contextualSpacing/>
              <w:rPr>
                <w:sz w:val="20"/>
                <w:szCs w:val="20"/>
              </w:rPr>
            </w:pPr>
            <w:r w:rsidRPr="00702882">
              <w:rPr>
                <w:sz w:val="20"/>
                <w:szCs w:val="20"/>
              </w:rPr>
              <w:t>0.33 (0.14)</w:t>
            </w:r>
            <w:r w:rsidRPr="00702882">
              <w:rPr>
                <w:sz w:val="20"/>
                <w:szCs w:val="20"/>
                <w:vertAlign w:val="superscript"/>
              </w:rPr>
              <w:t>**</w:t>
            </w:r>
          </w:p>
        </w:tc>
      </w:tr>
      <w:tr w:rsidR="00AC7046" w:rsidRPr="00702882" w14:paraId="0ACBFB57" w14:textId="77777777" w:rsidTr="00AE6820">
        <w:tc>
          <w:tcPr>
            <w:tcW w:w="0" w:type="auto"/>
            <w:tcMar>
              <w:top w:w="15" w:type="dxa"/>
              <w:left w:w="75" w:type="dxa"/>
              <w:bottom w:w="15" w:type="dxa"/>
              <w:right w:w="75" w:type="dxa"/>
            </w:tcMar>
            <w:vAlign w:val="center"/>
            <w:hideMark/>
          </w:tcPr>
          <w:p w14:paraId="51656DC5" w14:textId="77777777" w:rsidR="00AF6702" w:rsidRPr="00702882" w:rsidRDefault="00AF6702" w:rsidP="008D265E">
            <w:pPr>
              <w:spacing w:before="150" w:after="150"/>
              <w:contextualSpacing/>
              <w:rPr>
                <w:sz w:val="20"/>
                <w:szCs w:val="20"/>
              </w:rPr>
            </w:pPr>
            <w:r w:rsidRPr="00702882">
              <w:rPr>
                <w:sz w:val="20"/>
                <w:szCs w:val="20"/>
              </w:rPr>
              <w:t>DepoSurplus_numeric</w:t>
            </w:r>
          </w:p>
        </w:tc>
        <w:tc>
          <w:tcPr>
            <w:tcW w:w="0" w:type="auto"/>
            <w:tcMar>
              <w:top w:w="15" w:type="dxa"/>
              <w:left w:w="75" w:type="dxa"/>
              <w:bottom w:w="15" w:type="dxa"/>
              <w:right w:w="75" w:type="dxa"/>
            </w:tcMar>
            <w:vAlign w:val="center"/>
            <w:hideMark/>
          </w:tcPr>
          <w:p w14:paraId="3B30F0D7" w14:textId="77777777" w:rsidR="00AF6702" w:rsidRPr="00702882" w:rsidRDefault="00AF6702" w:rsidP="008D265E">
            <w:pPr>
              <w:spacing w:before="150" w:after="150"/>
              <w:contextualSpacing/>
              <w:rPr>
                <w:sz w:val="20"/>
                <w:szCs w:val="20"/>
              </w:rPr>
            </w:pPr>
            <w:r w:rsidRPr="00702882">
              <w:rPr>
                <w:sz w:val="20"/>
                <w:szCs w:val="20"/>
              </w:rPr>
              <w:t>2.19 (1.00)</w:t>
            </w:r>
            <w:r w:rsidRPr="00702882">
              <w:rPr>
                <w:sz w:val="20"/>
                <w:szCs w:val="20"/>
                <w:vertAlign w:val="superscript"/>
              </w:rPr>
              <w:t>**</w:t>
            </w:r>
          </w:p>
        </w:tc>
        <w:tc>
          <w:tcPr>
            <w:tcW w:w="0" w:type="auto"/>
            <w:tcMar>
              <w:top w:w="15" w:type="dxa"/>
              <w:left w:w="75" w:type="dxa"/>
              <w:bottom w:w="15" w:type="dxa"/>
              <w:right w:w="75" w:type="dxa"/>
            </w:tcMar>
            <w:vAlign w:val="center"/>
            <w:hideMark/>
          </w:tcPr>
          <w:p w14:paraId="5F942C83" w14:textId="77777777" w:rsidR="00AF6702" w:rsidRPr="00702882" w:rsidRDefault="00AF6702" w:rsidP="008D265E">
            <w:pPr>
              <w:spacing w:before="150" w:after="150"/>
              <w:contextualSpacing/>
              <w:rPr>
                <w:sz w:val="20"/>
                <w:szCs w:val="20"/>
              </w:rPr>
            </w:pPr>
            <w:r w:rsidRPr="00702882">
              <w:rPr>
                <w:sz w:val="20"/>
                <w:szCs w:val="20"/>
              </w:rPr>
              <w:t>3.76 (1.67)</w:t>
            </w:r>
            <w:r w:rsidRPr="00702882">
              <w:rPr>
                <w:sz w:val="20"/>
                <w:szCs w:val="20"/>
                <w:vertAlign w:val="superscript"/>
              </w:rPr>
              <w:t>**</w:t>
            </w:r>
          </w:p>
        </w:tc>
        <w:tc>
          <w:tcPr>
            <w:tcW w:w="0" w:type="auto"/>
            <w:tcMar>
              <w:top w:w="15" w:type="dxa"/>
              <w:left w:w="75" w:type="dxa"/>
              <w:bottom w:w="15" w:type="dxa"/>
              <w:right w:w="75" w:type="dxa"/>
            </w:tcMar>
            <w:vAlign w:val="center"/>
            <w:hideMark/>
          </w:tcPr>
          <w:p w14:paraId="527C9793" w14:textId="77777777" w:rsidR="00AF6702" w:rsidRPr="00702882" w:rsidRDefault="00AF6702" w:rsidP="008D265E">
            <w:pPr>
              <w:spacing w:before="150" w:after="150"/>
              <w:contextualSpacing/>
              <w:rPr>
                <w:sz w:val="20"/>
                <w:szCs w:val="20"/>
              </w:rPr>
            </w:pPr>
            <w:r w:rsidRPr="00702882">
              <w:rPr>
                <w:sz w:val="20"/>
                <w:szCs w:val="20"/>
              </w:rPr>
              <w:t>0.62 (0.71)</w:t>
            </w:r>
          </w:p>
        </w:tc>
        <w:tc>
          <w:tcPr>
            <w:tcW w:w="0" w:type="auto"/>
            <w:tcMar>
              <w:top w:w="15" w:type="dxa"/>
              <w:left w:w="75" w:type="dxa"/>
              <w:bottom w:w="15" w:type="dxa"/>
              <w:right w:w="75" w:type="dxa"/>
            </w:tcMar>
            <w:vAlign w:val="center"/>
            <w:hideMark/>
          </w:tcPr>
          <w:p w14:paraId="10CFB128" w14:textId="77777777" w:rsidR="00AF6702" w:rsidRPr="00702882" w:rsidRDefault="00AF6702" w:rsidP="008D265E">
            <w:pPr>
              <w:spacing w:before="150" w:after="150"/>
              <w:contextualSpacing/>
              <w:rPr>
                <w:sz w:val="20"/>
                <w:szCs w:val="20"/>
              </w:rPr>
            </w:pPr>
            <w:r w:rsidRPr="00702882">
              <w:rPr>
                <w:sz w:val="20"/>
                <w:szCs w:val="20"/>
              </w:rPr>
              <w:t>0.63 (0.72)</w:t>
            </w:r>
          </w:p>
        </w:tc>
      </w:tr>
      <w:tr w:rsidR="00AC7046" w:rsidRPr="00702882" w14:paraId="7E01C7DE" w14:textId="77777777" w:rsidTr="00AE6820">
        <w:tc>
          <w:tcPr>
            <w:tcW w:w="0" w:type="auto"/>
            <w:tcMar>
              <w:top w:w="15" w:type="dxa"/>
              <w:left w:w="75" w:type="dxa"/>
              <w:bottom w:w="15" w:type="dxa"/>
              <w:right w:w="75" w:type="dxa"/>
            </w:tcMar>
            <w:vAlign w:val="center"/>
            <w:hideMark/>
          </w:tcPr>
          <w:p w14:paraId="4E75E7BC" w14:textId="77777777" w:rsidR="00AF6702" w:rsidRPr="00702882" w:rsidRDefault="00AF6702" w:rsidP="008D265E">
            <w:pPr>
              <w:spacing w:before="150" w:after="150"/>
              <w:contextualSpacing/>
              <w:rPr>
                <w:sz w:val="20"/>
                <w:szCs w:val="20"/>
              </w:rPr>
            </w:pPr>
            <w:r w:rsidRPr="00702882">
              <w:rPr>
                <w:sz w:val="20"/>
                <w:szCs w:val="20"/>
              </w:rPr>
              <w:t>DepoVol_formula</w:t>
            </w:r>
          </w:p>
        </w:tc>
        <w:tc>
          <w:tcPr>
            <w:tcW w:w="0" w:type="auto"/>
            <w:tcMar>
              <w:top w:w="15" w:type="dxa"/>
              <w:left w:w="75" w:type="dxa"/>
              <w:bottom w:w="15" w:type="dxa"/>
              <w:right w:w="75" w:type="dxa"/>
            </w:tcMar>
            <w:vAlign w:val="center"/>
            <w:hideMark/>
          </w:tcPr>
          <w:p w14:paraId="1C47FACE" w14:textId="77777777" w:rsidR="00AF6702" w:rsidRPr="00702882" w:rsidRDefault="00AF6702" w:rsidP="008D265E">
            <w:pPr>
              <w:spacing w:before="150" w:after="150"/>
              <w:contextualSpacing/>
              <w:rPr>
                <w:sz w:val="20"/>
                <w:szCs w:val="20"/>
              </w:rPr>
            </w:pPr>
            <w:r w:rsidRPr="00702882">
              <w:rPr>
                <w:sz w:val="20"/>
                <w:szCs w:val="20"/>
              </w:rPr>
              <w:t>5.58 (1.65)</w:t>
            </w:r>
            <w:r w:rsidRPr="00702882">
              <w:rPr>
                <w:sz w:val="20"/>
                <w:szCs w:val="20"/>
                <w:vertAlign w:val="superscript"/>
              </w:rPr>
              <w:t>***</w:t>
            </w:r>
          </w:p>
        </w:tc>
        <w:tc>
          <w:tcPr>
            <w:tcW w:w="0" w:type="auto"/>
            <w:tcMar>
              <w:top w:w="15" w:type="dxa"/>
              <w:left w:w="75" w:type="dxa"/>
              <w:bottom w:w="15" w:type="dxa"/>
              <w:right w:w="75" w:type="dxa"/>
            </w:tcMar>
            <w:vAlign w:val="center"/>
            <w:hideMark/>
          </w:tcPr>
          <w:p w14:paraId="106D6CB5" w14:textId="77777777" w:rsidR="00AF6702" w:rsidRPr="00702882" w:rsidRDefault="00AF6702" w:rsidP="008D265E">
            <w:pPr>
              <w:spacing w:before="150" w:after="150"/>
              <w:contextualSpacing/>
              <w:rPr>
                <w:sz w:val="20"/>
                <w:szCs w:val="20"/>
              </w:rPr>
            </w:pPr>
            <w:r w:rsidRPr="00702882">
              <w:rPr>
                <w:sz w:val="20"/>
                <w:szCs w:val="20"/>
              </w:rPr>
              <w:t>6.43 (2.08)</w:t>
            </w:r>
            <w:r w:rsidRPr="00702882">
              <w:rPr>
                <w:sz w:val="20"/>
                <w:szCs w:val="20"/>
                <w:vertAlign w:val="superscript"/>
              </w:rPr>
              <w:t>***</w:t>
            </w:r>
          </w:p>
        </w:tc>
        <w:tc>
          <w:tcPr>
            <w:tcW w:w="0" w:type="auto"/>
            <w:tcMar>
              <w:top w:w="15" w:type="dxa"/>
              <w:left w:w="75" w:type="dxa"/>
              <w:bottom w:w="15" w:type="dxa"/>
              <w:right w:w="75" w:type="dxa"/>
            </w:tcMar>
            <w:vAlign w:val="center"/>
            <w:hideMark/>
          </w:tcPr>
          <w:p w14:paraId="50F01440" w14:textId="77777777" w:rsidR="00AF6702" w:rsidRPr="00702882" w:rsidRDefault="00AF6702" w:rsidP="008D265E">
            <w:pPr>
              <w:spacing w:before="150" w:after="150"/>
              <w:contextualSpacing/>
              <w:rPr>
                <w:sz w:val="20"/>
                <w:szCs w:val="20"/>
              </w:rPr>
            </w:pPr>
            <w:r w:rsidRPr="00702882">
              <w:rPr>
                <w:sz w:val="20"/>
                <w:szCs w:val="20"/>
              </w:rPr>
              <w:t>4.98 (1.35)</w:t>
            </w:r>
            <w:r w:rsidRPr="00702882">
              <w:rPr>
                <w:sz w:val="20"/>
                <w:szCs w:val="20"/>
                <w:vertAlign w:val="superscript"/>
              </w:rPr>
              <w:t>***</w:t>
            </w:r>
          </w:p>
        </w:tc>
        <w:tc>
          <w:tcPr>
            <w:tcW w:w="0" w:type="auto"/>
            <w:tcMar>
              <w:top w:w="15" w:type="dxa"/>
              <w:left w:w="75" w:type="dxa"/>
              <w:bottom w:w="15" w:type="dxa"/>
              <w:right w:w="75" w:type="dxa"/>
            </w:tcMar>
            <w:vAlign w:val="center"/>
            <w:hideMark/>
          </w:tcPr>
          <w:p w14:paraId="2545B371" w14:textId="77777777" w:rsidR="00AF6702" w:rsidRPr="00702882" w:rsidRDefault="00AF6702" w:rsidP="008D265E">
            <w:pPr>
              <w:spacing w:before="150" w:after="150"/>
              <w:contextualSpacing/>
              <w:rPr>
                <w:sz w:val="20"/>
                <w:szCs w:val="20"/>
              </w:rPr>
            </w:pPr>
            <w:r w:rsidRPr="00702882">
              <w:rPr>
                <w:sz w:val="20"/>
                <w:szCs w:val="20"/>
              </w:rPr>
              <w:t>4.90 (1.30)</w:t>
            </w:r>
            <w:r w:rsidRPr="00702882">
              <w:rPr>
                <w:sz w:val="20"/>
                <w:szCs w:val="20"/>
                <w:vertAlign w:val="superscript"/>
              </w:rPr>
              <w:t>***</w:t>
            </w:r>
          </w:p>
        </w:tc>
      </w:tr>
      <w:tr w:rsidR="00AC7046" w:rsidRPr="00702882" w14:paraId="39521C5B" w14:textId="77777777" w:rsidTr="00AE6820">
        <w:tc>
          <w:tcPr>
            <w:tcW w:w="0" w:type="auto"/>
            <w:tcMar>
              <w:top w:w="15" w:type="dxa"/>
              <w:left w:w="75" w:type="dxa"/>
              <w:bottom w:w="15" w:type="dxa"/>
              <w:right w:w="75" w:type="dxa"/>
            </w:tcMar>
            <w:vAlign w:val="center"/>
            <w:hideMark/>
          </w:tcPr>
          <w:p w14:paraId="255D9D57" w14:textId="77777777" w:rsidR="00AF6702" w:rsidRPr="00702882" w:rsidRDefault="00AF6702" w:rsidP="008D265E">
            <w:pPr>
              <w:spacing w:before="150" w:after="150"/>
              <w:contextualSpacing/>
              <w:rPr>
                <w:sz w:val="20"/>
                <w:szCs w:val="20"/>
              </w:rPr>
            </w:pPr>
            <w:r w:rsidRPr="00702882">
              <w:rPr>
                <w:sz w:val="20"/>
                <w:szCs w:val="20"/>
              </w:rPr>
              <w:t>WithLegis_numeric</w:t>
            </w:r>
          </w:p>
        </w:tc>
        <w:tc>
          <w:tcPr>
            <w:tcW w:w="0" w:type="auto"/>
            <w:tcMar>
              <w:top w:w="15" w:type="dxa"/>
              <w:left w:w="75" w:type="dxa"/>
              <w:bottom w:w="15" w:type="dxa"/>
              <w:right w:w="75" w:type="dxa"/>
            </w:tcMar>
            <w:vAlign w:val="center"/>
            <w:hideMark/>
          </w:tcPr>
          <w:p w14:paraId="1369D8AB" w14:textId="77777777" w:rsidR="00AF6702" w:rsidRPr="00702882" w:rsidRDefault="00AF6702" w:rsidP="008D265E">
            <w:pPr>
              <w:spacing w:before="150" w:after="150"/>
              <w:contextualSpacing/>
              <w:rPr>
                <w:sz w:val="20"/>
                <w:szCs w:val="20"/>
              </w:rPr>
            </w:pPr>
            <w:r w:rsidRPr="00702882">
              <w:rPr>
                <w:sz w:val="20"/>
                <w:szCs w:val="20"/>
              </w:rPr>
              <w:t>0.66 (2.92)</w:t>
            </w:r>
          </w:p>
        </w:tc>
        <w:tc>
          <w:tcPr>
            <w:tcW w:w="0" w:type="auto"/>
            <w:tcMar>
              <w:top w:w="15" w:type="dxa"/>
              <w:left w:w="75" w:type="dxa"/>
              <w:bottom w:w="15" w:type="dxa"/>
              <w:right w:w="75" w:type="dxa"/>
            </w:tcMar>
            <w:vAlign w:val="center"/>
            <w:hideMark/>
          </w:tcPr>
          <w:p w14:paraId="5EA9C53A" w14:textId="77777777" w:rsidR="00AF6702" w:rsidRPr="00702882" w:rsidRDefault="00AF6702" w:rsidP="008D265E">
            <w:pPr>
              <w:spacing w:before="150" w:after="150"/>
              <w:contextualSpacing/>
              <w:rPr>
                <w:sz w:val="20"/>
                <w:szCs w:val="20"/>
              </w:rPr>
            </w:pPr>
            <w:r w:rsidRPr="00702882">
              <w:rPr>
                <w:sz w:val="20"/>
                <w:szCs w:val="20"/>
              </w:rPr>
              <w:t>0.01 (3.49)</w:t>
            </w:r>
          </w:p>
        </w:tc>
        <w:tc>
          <w:tcPr>
            <w:tcW w:w="0" w:type="auto"/>
            <w:tcMar>
              <w:top w:w="15" w:type="dxa"/>
              <w:left w:w="75" w:type="dxa"/>
              <w:bottom w:w="15" w:type="dxa"/>
              <w:right w:w="75" w:type="dxa"/>
            </w:tcMar>
            <w:vAlign w:val="center"/>
            <w:hideMark/>
          </w:tcPr>
          <w:p w14:paraId="3200293F" w14:textId="77777777" w:rsidR="00AF6702" w:rsidRPr="00702882" w:rsidRDefault="00AF6702" w:rsidP="008D265E">
            <w:pPr>
              <w:spacing w:before="150" w:after="150"/>
              <w:contextualSpacing/>
              <w:rPr>
                <w:sz w:val="20"/>
                <w:szCs w:val="20"/>
              </w:rPr>
            </w:pPr>
            <w:r w:rsidRPr="00702882">
              <w:rPr>
                <w:sz w:val="20"/>
                <w:szCs w:val="20"/>
              </w:rPr>
              <w:t>0.65 (2.90)</w:t>
            </w:r>
          </w:p>
        </w:tc>
        <w:tc>
          <w:tcPr>
            <w:tcW w:w="0" w:type="auto"/>
            <w:tcMar>
              <w:top w:w="15" w:type="dxa"/>
              <w:left w:w="75" w:type="dxa"/>
              <w:bottom w:w="15" w:type="dxa"/>
              <w:right w:w="75" w:type="dxa"/>
            </w:tcMar>
            <w:vAlign w:val="center"/>
            <w:hideMark/>
          </w:tcPr>
          <w:p w14:paraId="4B3B344C" w14:textId="77777777" w:rsidR="00AF6702" w:rsidRPr="00702882" w:rsidRDefault="00AF6702" w:rsidP="008D265E">
            <w:pPr>
              <w:spacing w:before="150" w:after="150"/>
              <w:contextualSpacing/>
              <w:rPr>
                <w:sz w:val="20"/>
                <w:szCs w:val="20"/>
              </w:rPr>
            </w:pPr>
            <w:r w:rsidRPr="00702882">
              <w:rPr>
                <w:sz w:val="20"/>
                <w:szCs w:val="20"/>
              </w:rPr>
              <w:t>0.81 (2.78)</w:t>
            </w:r>
          </w:p>
        </w:tc>
      </w:tr>
      <w:tr w:rsidR="00AC7046" w:rsidRPr="00702882" w14:paraId="5341B1F9" w14:textId="77777777" w:rsidTr="00AE6820">
        <w:tc>
          <w:tcPr>
            <w:tcW w:w="0" w:type="auto"/>
            <w:tcMar>
              <w:top w:w="15" w:type="dxa"/>
              <w:left w:w="75" w:type="dxa"/>
              <w:bottom w:w="15" w:type="dxa"/>
              <w:right w:w="75" w:type="dxa"/>
            </w:tcMar>
            <w:vAlign w:val="center"/>
            <w:hideMark/>
          </w:tcPr>
          <w:p w14:paraId="1E16933F" w14:textId="77777777" w:rsidR="00AF6702" w:rsidRPr="00702882" w:rsidRDefault="00AF6702" w:rsidP="008D265E">
            <w:pPr>
              <w:spacing w:before="150" w:after="150"/>
              <w:contextualSpacing/>
              <w:rPr>
                <w:sz w:val="20"/>
                <w:szCs w:val="20"/>
              </w:rPr>
            </w:pPr>
            <w:r w:rsidRPr="00702882">
              <w:rPr>
                <w:sz w:val="20"/>
                <w:szCs w:val="20"/>
              </w:rPr>
              <w:t>Repay_4bin</w:t>
            </w:r>
          </w:p>
        </w:tc>
        <w:tc>
          <w:tcPr>
            <w:tcW w:w="0" w:type="auto"/>
            <w:tcMar>
              <w:top w:w="15" w:type="dxa"/>
              <w:left w:w="75" w:type="dxa"/>
              <w:bottom w:w="15" w:type="dxa"/>
              <w:right w:w="75" w:type="dxa"/>
            </w:tcMar>
            <w:vAlign w:val="center"/>
            <w:hideMark/>
          </w:tcPr>
          <w:p w14:paraId="631B969A" w14:textId="77777777" w:rsidR="00AF6702" w:rsidRPr="00702882" w:rsidRDefault="00AF6702" w:rsidP="008D265E">
            <w:pPr>
              <w:spacing w:before="150" w:after="150"/>
              <w:contextualSpacing/>
              <w:rPr>
                <w:sz w:val="20"/>
                <w:szCs w:val="20"/>
              </w:rPr>
            </w:pPr>
            <w:r w:rsidRPr="00702882">
              <w:rPr>
                <w:sz w:val="20"/>
                <w:szCs w:val="20"/>
              </w:rPr>
              <w:t>-0.31 (0.29)</w:t>
            </w:r>
          </w:p>
        </w:tc>
        <w:tc>
          <w:tcPr>
            <w:tcW w:w="0" w:type="auto"/>
            <w:tcMar>
              <w:top w:w="15" w:type="dxa"/>
              <w:left w:w="75" w:type="dxa"/>
              <w:bottom w:w="15" w:type="dxa"/>
              <w:right w:w="75" w:type="dxa"/>
            </w:tcMar>
            <w:vAlign w:val="center"/>
            <w:hideMark/>
          </w:tcPr>
          <w:p w14:paraId="346D6D0F" w14:textId="77777777" w:rsidR="00AF6702" w:rsidRPr="00702882" w:rsidRDefault="00AF6702" w:rsidP="008D265E">
            <w:pPr>
              <w:spacing w:before="150" w:after="150"/>
              <w:contextualSpacing/>
              <w:rPr>
                <w:sz w:val="20"/>
                <w:szCs w:val="20"/>
              </w:rPr>
            </w:pPr>
            <w:r w:rsidRPr="00702882">
              <w:rPr>
                <w:sz w:val="20"/>
                <w:szCs w:val="20"/>
              </w:rPr>
              <w:t>-1.13 (0.46)</w:t>
            </w:r>
            <w:r w:rsidRPr="00702882">
              <w:rPr>
                <w:sz w:val="20"/>
                <w:szCs w:val="20"/>
                <w:vertAlign w:val="superscript"/>
              </w:rPr>
              <w:t>**</w:t>
            </w:r>
          </w:p>
        </w:tc>
        <w:tc>
          <w:tcPr>
            <w:tcW w:w="0" w:type="auto"/>
            <w:tcMar>
              <w:top w:w="15" w:type="dxa"/>
              <w:left w:w="75" w:type="dxa"/>
              <w:bottom w:w="15" w:type="dxa"/>
              <w:right w:w="75" w:type="dxa"/>
            </w:tcMar>
            <w:vAlign w:val="center"/>
            <w:hideMark/>
          </w:tcPr>
          <w:p w14:paraId="64FDAD7E" w14:textId="77777777" w:rsidR="00AF6702" w:rsidRPr="00702882" w:rsidRDefault="00AF6702" w:rsidP="008D265E">
            <w:pPr>
              <w:spacing w:before="150" w:after="150"/>
              <w:contextualSpacing/>
              <w:rPr>
                <w:sz w:val="20"/>
                <w:szCs w:val="20"/>
              </w:rPr>
            </w:pPr>
            <w:r w:rsidRPr="00702882">
              <w:rPr>
                <w:sz w:val="20"/>
                <w:szCs w:val="20"/>
              </w:rPr>
              <w:t>-1.25 (0.39)</w:t>
            </w:r>
            <w:r w:rsidRPr="00702882">
              <w:rPr>
                <w:sz w:val="20"/>
                <w:szCs w:val="20"/>
                <w:vertAlign w:val="superscript"/>
              </w:rPr>
              <w:t>***</w:t>
            </w:r>
          </w:p>
        </w:tc>
        <w:tc>
          <w:tcPr>
            <w:tcW w:w="0" w:type="auto"/>
            <w:tcMar>
              <w:top w:w="15" w:type="dxa"/>
              <w:left w:w="75" w:type="dxa"/>
              <w:bottom w:w="15" w:type="dxa"/>
              <w:right w:w="75" w:type="dxa"/>
            </w:tcMar>
            <w:vAlign w:val="center"/>
            <w:hideMark/>
          </w:tcPr>
          <w:p w14:paraId="72F59AD4" w14:textId="77777777" w:rsidR="00AF6702" w:rsidRPr="00702882" w:rsidRDefault="00AF6702" w:rsidP="008D265E">
            <w:pPr>
              <w:spacing w:before="150" w:after="150"/>
              <w:contextualSpacing/>
              <w:rPr>
                <w:sz w:val="20"/>
                <w:szCs w:val="20"/>
              </w:rPr>
            </w:pPr>
            <w:r w:rsidRPr="00702882">
              <w:rPr>
                <w:sz w:val="20"/>
                <w:szCs w:val="20"/>
              </w:rPr>
              <w:t>-1.24 (0.39)</w:t>
            </w:r>
            <w:r w:rsidRPr="00702882">
              <w:rPr>
                <w:sz w:val="20"/>
                <w:szCs w:val="20"/>
                <w:vertAlign w:val="superscript"/>
              </w:rPr>
              <w:t>***</w:t>
            </w:r>
          </w:p>
        </w:tc>
      </w:tr>
      <w:tr w:rsidR="00AC7046" w:rsidRPr="00702882" w14:paraId="22F2E48E" w14:textId="77777777" w:rsidTr="00AE6820">
        <w:tc>
          <w:tcPr>
            <w:tcW w:w="0" w:type="auto"/>
            <w:tcMar>
              <w:top w:w="15" w:type="dxa"/>
              <w:left w:w="75" w:type="dxa"/>
              <w:bottom w:w="15" w:type="dxa"/>
              <w:right w:w="75" w:type="dxa"/>
            </w:tcMar>
            <w:vAlign w:val="center"/>
            <w:hideMark/>
          </w:tcPr>
          <w:p w14:paraId="1A557A25" w14:textId="77777777" w:rsidR="00AF6702" w:rsidRPr="00702882" w:rsidRDefault="00AF6702" w:rsidP="008D265E">
            <w:pPr>
              <w:spacing w:before="150" w:after="150"/>
              <w:contextualSpacing/>
              <w:rPr>
                <w:sz w:val="20"/>
                <w:szCs w:val="20"/>
              </w:rPr>
            </w:pPr>
            <w:r w:rsidRPr="00702882">
              <w:rPr>
                <w:sz w:val="20"/>
                <w:szCs w:val="20"/>
              </w:rPr>
              <w:t>Disasters</w:t>
            </w:r>
          </w:p>
        </w:tc>
        <w:tc>
          <w:tcPr>
            <w:tcW w:w="0" w:type="auto"/>
            <w:tcMar>
              <w:top w:w="15" w:type="dxa"/>
              <w:left w:w="75" w:type="dxa"/>
              <w:bottom w:w="15" w:type="dxa"/>
              <w:right w:w="75" w:type="dxa"/>
            </w:tcMar>
            <w:vAlign w:val="center"/>
            <w:hideMark/>
          </w:tcPr>
          <w:p w14:paraId="5C3BAB5E" w14:textId="77777777" w:rsidR="00AF6702" w:rsidRPr="00702882" w:rsidRDefault="00AF6702" w:rsidP="008D265E">
            <w:pPr>
              <w:spacing w:before="150" w:after="150"/>
              <w:contextualSpacing/>
              <w:rPr>
                <w:sz w:val="20"/>
                <w:szCs w:val="20"/>
              </w:rPr>
            </w:pPr>
            <w:r w:rsidRPr="00702882">
              <w:rPr>
                <w:sz w:val="20"/>
                <w:szCs w:val="20"/>
              </w:rPr>
              <w:t>0.31 (0.11)</w:t>
            </w:r>
            <w:r w:rsidRPr="00702882">
              <w:rPr>
                <w:sz w:val="20"/>
                <w:szCs w:val="20"/>
                <w:vertAlign w:val="superscript"/>
              </w:rPr>
              <w:t>***</w:t>
            </w:r>
          </w:p>
        </w:tc>
        <w:tc>
          <w:tcPr>
            <w:tcW w:w="0" w:type="auto"/>
            <w:tcMar>
              <w:top w:w="15" w:type="dxa"/>
              <w:left w:w="75" w:type="dxa"/>
              <w:bottom w:w="15" w:type="dxa"/>
              <w:right w:w="75" w:type="dxa"/>
            </w:tcMar>
            <w:vAlign w:val="center"/>
            <w:hideMark/>
          </w:tcPr>
          <w:p w14:paraId="782A0B63" w14:textId="77777777" w:rsidR="00AF6702" w:rsidRPr="00702882" w:rsidRDefault="00AF6702" w:rsidP="008D265E">
            <w:pPr>
              <w:spacing w:before="150" w:after="150"/>
              <w:contextualSpacing/>
              <w:rPr>
                <w:sz w:val="20"/>
                <w:szCs w:val="20"/>
              </w:rPr>
            </w:pPr>
            <w:r w:rsidRPr="00702882">
              <w:rPr>
                <w:sz w:val="20"/>
                <w:szCs w:val="20"/>
              </w:rPr>
              <w:t>0.37 (0.10)</w:t>
            </w:r>
            <w:r w:rsidRPr="00702882">
              <w:rPr>
                <w:sz w:val="20"/>
                <w:szCs w:val="20"/>
                <w:vertAlign w:val="superscript"/>
              </w:rPr>
              <w:t>***</w:t>
            </w:r>
          </w:p>
        </w:tc>
        <w:tc>
          <w:tcPr>
            <w:tcW w:w="0" w:type="auto"/>
            <w:tcMar>
              <w:top w:w="15" w:type="dxa"/>
              <w:left w:w="75" w:type="dxa"/>
              <w:bottom w:w="15" w:type="dxa"/>
              <w:right w:w="75" w:type="dxa"/>
            </w:tcMar>
            <w:vAlign w:val="center"/>
            <w:hideMark/>
          </w:tcPr>
          <w:p w14:paraId="0003D7CB" w14:textId="77777777" w:rsidR="00AF6702" w:rsidRPr="00702882" w:rsidRDefault="00AF6702" w:rsidP="008D265E">
            <w:pPr>
              <w:spacing w:before="150" w:after="150"/>
              <w:contextualSpacing/>
              <w:rPr>
                <w:sz w:val="20"/>
                <w:szCs w:val="20"/>
              </w:rPr>
            </w:pPr>
            <w:r w:rsidRPr="00702882">
              <w:rPr>
                <w:sz w:val="20"/>
                <w:szCs w:val="20"/>
              </w:rPr>
              <w:t>0.37 (0.09)</w:t>
            </w:r>
            <w:r w:rsidRPr="00702882">
              <w:rPr>
                <w:sz w:val="20"/>
                <w:szCs w:val="20"/>
                <w:vertAlign w:val="superscript"/>
              </w:rPr>
              <w:t>***</w:t>
            </w:r>
          </w:p>
        </w:tc>
        <w:tc>
          <w:tcPr>
            <w:tcW w:w="0" w:type="auto"/>
            <w:tcMar>
              <w:top w:w="15" w:type="dxa"/>
              <w:left w:w="75" w:type="dxa"/>
              <w:bottom w:w="15" w:type="dxa"/>
              <w:right w:w="75" w:type="dxa"/>
            </w:tcMar>
            <w:vAlign w:val="center"/>
            <w:hideMark/>
          </w:tcPr>
          <w:p w14:paraId="2E7A3FEB" w14:textId="77777777" w:rsidR="00AF6702" w:rsidRPr="00702882" w:rsidRDefault="00AF6702" w:rsidP="008D265E">
            <w:pPr>
              <w:spacing w:before="150" w:after="150"/>
              <w:contextualSpacing/>
              <w:rPr>
                <w:sz w:val="20"/>
                <w:szCs w:val="20"/>
              </w:rPr>
            </w:pPr>
            <w:r w:rsidRPr="00702882">
              <w:rPr>
                <w:sz w:val="20"/>
                <w:szCs w:val="20"/>
              </w:rPr>
              <w:t>0.37 (0.09)</w:t>
            </w:r>
            <w:r w:rsidRPr="00702882">
              <w:rPr>
                <w:sz w:val="20"/>
                <w:szCs w:val="20"/>
                <w:vertAlign w:val="superscript"/>
              </w:rPr>
              <w:t>***</w:t>
            </w:r>
          </w:p>
        </w:tc>
      </w:tr>
      <w:tr w:rsidR="00AC7046" w:rsidRPr="00702882" w14:paraId="57722172" w14:textId="77777777" w:rsidTr="00AE6820">
        <w:tc>
          <w:tcPr>
            <w:tcW w:w="0" w:type="auto"/>
            <w:tcMar>
              <w:top w:w="15" w:type="dxa"/>
              <w:left w:w="75" w:type="dxa"/>
              <w:bottom w:w="15" w:type="dxa"/>
              <w:right w:w="75" w:type="dxa"/>
            </w:tcMar>
            <w:vAlign w:val="center"/>
            <w:hideMark/>
          </w:tcPr>
          <w:p w14:paraId="5B36D624" w14:textId="77777777" w:rsidR="00AF6702" w:rsidRPr="00702882" w:rsidRDefault="00AF6702" w:rsidP="008D265E">
            <w:pPr>
              <w:spacing w:before="150" w:after="150"/>
              <w:contextualSpacing/>
              <w:rPr>
                <w:sz w:val="20"/>
                <w:szCs w:val="20"/>
              </w:rPr>
            </w:pPr>
            <w:r w:rsidRPr="00702882">
              <w:rPr>
                <w:sz w:val="20"/>
                <w:szCs w:val="20"/>
              </w:rPr>
              <w:t>Fed_IGR</w:t>
            </w:r>
          </w:p>
        </w:tc>
        <w:tc>
          <w:tcPr>
            <w:tcW w:w="0" w:type="auto"/>
            <w:tcMar>
              <w:top w:w="15" w:type="dxa"/>
              <w:left w:w="75" w:type="dxa"/>
              <w:bottom w:w="15" w:type="dxa"/>
              <w:right w:w="75" w:type="dxa"/>
            </w:tcMar>
            <w:vAlign w:val="center"/>
            <w:hideMark/>
          </w:tcPr>
          <w:p w14:paraId="61C20E43" w14:textId="77777777" w:rsidR="00AF6702" w:rsidRPr="00702882" w:rsidRDefault="00AF6702" w:rsidP="008D265E">
            <w:pPr>
              <w:spacing w:before="150" w:after="150"/>
              <w:contextualSpacing/>
              <w:rPr>
                <w:sz w:val="20"/>
                <w:szCs w:val="20"/>
              </w:rPr>
            </w:pPr>
            <w:r w:rsidRPr="00702882">
              <w:rPr>
                <w:sz w:val="20"/>
                <w:szCs w:val="20"/>
              </w:rPr>
              <w:t>1.13 (0.64)</w:t>
            </w:r>
            <w:r w:rsidRPr="00702882">
              <w:rPr>
                <w:sz w:val="20"/>
                <w:szCs w:val="20"/>
                <w:vertAlign w:val="superscript"/>
              </w:rPr>
              <w:t>*</w:t>
            </w:r>
          </w:p>
        </w:tc>
        <w:tc>
          <w:tcPr>
            <w:tcW w:w="0" w:type="auto"/>
            <w:tcMar>
              <w:top w:w="15" w:type="dxa"/>
              <w:left w:w="75" w:type="dxa"/>
              <w:bottom w:w="15" w:type="dxa"/>
              <w:right w:w="75" w:type="dxa"/>
            </w:tcMar>
            <w:vAlign w:val="center"/>
            <w:hideMark/>
          </w:tcPr>
          <w:p w14:paraId="6CAA0724" w14:textId="77777777" w:rsidR="00AF6702" w:rsidRPr="00702882" w:rsidRDefault="00AF6702" w:rsidP="008D265E">
            <w:pPr>
              <w:spacing w:before="150" w:after="150"/>
              <w:contextualSpacing/>
              <w:rPr>
                <w:sz w:val="20"/>
                <w:szCs w:val="20"/>
              </w:rPr>
            </w:pPr>
            <w:r w:rsidRPr="00702882">
              <w:rPr>
                <w:sz w:val="20"/>
                <w:szCs w:val="20"/>
              </w:rPr>
              <w:t>1.14 (0.69)</w:t>
            </w:r>
          </w:p>
        </w:tc>
        <w:tc>
          <w:tcPr>
            <w:tcW w:w="0" w:type="auto"/>
            <w:tcMar>
              <w:top w:w="15" w:type="dxa"/>
              <w:left w:w="75" w:type="dxa"/>
              <w:bottom w:w="15" w:type="dxa"/>
              <w:right w:w="75" w:type="dxa"/>
            </w:tcMar>
            <w:vAlign w:val="center"/>
            <w:hideMark/>
          </w:tcPr>
          <w:p w14:paraId="51E0D202" w14:textId="77777777" w:rsidR="00AF6702" w:rsidRPr="00702882" w:rsidRDefault="00AF6702" w:rsidP="008D265E">
            <w:pPr>
              <w:spacing w:before="150" w:after="150"/>
              <w:contextualSpacing/>
              <w:rPr>
                <w:sz w:val="20"/>
                <w:szCs w:val="20"/>
              </w:rPr>
            </w:pPr>
            <w:r w:rsidRPr="00702882">
              <w:rPr>
                <w:sz w:val="20"/>
                <w:szCs w:val="20"/>
              </w:rPr>
              <w:t>0.96 (0.64)</w:t>
            </w:r>
          </w:p>
        </w:tc>
        <w:tc>
          <w:tcPr>
            <w:tcW w:w="0" w:type="auto"/>
            <w:tcMar>
              <w:top w:w="15" w:type="dxa"/>
              <w:left w:w="75" w:type="dxa"/>
              <w:bottom w:w="15" w:type="dxa"/>
              <w:right w:w="75" w:type="dxa"/>
            </w:tcMar>
            <w:vAlign w:val="center"/>
            <w:hideMark/>
          </w:tcPr>
          <w:p w14:paraId="38E58027" w14:textId="77777777" w:rsidR="00AF6702" w:rsidRPr="00702882" w:rsidRDefault="00AF6702" w:rsidP="008D265E">
            <w:pPr>
              <w:spacing w:before="150" w:after="150"/>
              <w:contextualSpacing/>
              <w:rPr>
                <w:sz w:val="20"/>
                <w:szCs w:val="20"/>
              </w:rPr>
            </w:pPr>
            <w:r w:rsidRPr="00702882">
              <w:rPr>
                <w:sz w:val="20"/>
                <w:szCs w:val="20"/>
              </w:rPr>
              <w:t>0.94 (0.64)</w:t>
            </w:r>
          </w:p>
        </w:tc>
      </w:tr>
      <w:tr w:rsidR="00AC7046" w:rsidRPr="00702882" w14:paraId="3F021232" w14:textId="77777777" w:rsidTr="00AE6820">
        <w:tc>
          <w:tcPr>
            <w:tcW w:w="0" w:type="auto"/>
            <w:tcMar>
              <w:top w:w="15" w:type="dxa"/>
              <w:left w:w="75" w:type="dxa"/>
              <w:bottom w:w="15" w:type="dxa"/>
              <w:right w:w="75" w:type="dxa"/>
            </w:tcMar>
            <w:vAlign w:val="center"/>
            <w:hideMark/>
          </w:tcPr>
          <w:p w14:paraId="507A04FB" w14:textId="77777777" w:rsidR="00AF6702" w:rsidRPr="00702882" w:rsidRDefault="00AF6702" w:rsidP="008D265E">
            <w:pPr>
              <w:spacing w:before="150" w:after="150"/>
              <w:contextualSpacing/>
              <w:rPr>
                <w:sz w:val="20"/>
                <w:szCs w:val="20"/>
              </w:rPr>
            </w:pPr>
            <w:r w:rsidRPr="00702882">
              <w:rPr>
                <w:sz w:val="20"/>
                <w:szCs w:val="20"/>
              </w:rPr>
              <w:t>Debt_per_capita</w:t>
            </w:r>
          </w:p>
        </w:tc>
        <w:tc>
          <w:tcPr>
            <w:tcW w:w="0" w:type="auto"/>
            <w:tcMar>
              <w:top w:w="15" w:type="dxa"/>
              <w:left w:w="75" w:type="dxa"/>
              <w:bottom w:w="15" w:type="dxa"/>
              <w:right w:w="75" w:type="dxa"/>
            </w:tcMar>
            <w:vAlign w:val="center"/>
            <w:hideMark/>
          </w:tcPr>
          <w:p w14:paraId="741DE09B" w14:textId="77777777" w:rsidR="00AF6702" w:rsidRPr="00702882" w:rsidRDefault="00AF6702" w:rsidP="008D265E">
            <w:pPr>
              <w:spacing w:before="150" w:after="150"/>
              <w:contextualSpacing/>
              <w:rPr>
                <w:sz w:val="20"/>
                <w:szCs w:val="20"/>
              </w:rPr>
            </w:pPr>
            <w:r w:rsidRPr="00702882">
              <w:rPr>
                <w:sz w:val="20"/>
                <w:szCs w:val="20"/>
              </w:rPr>
              <w:t>-0.04 (0.36)</w:t>
            </w:r>
          </w:p>
        </w:tc>
        <w:tc>
          <w:tcPr>
            <w:tcW w:w="0" w:type="auto"/>
            <w:tcMar>
              <w:top w:w="15" w:type="dxa"/>
              <w:left w:w="75" w:type="dxa"/>
              <w:bottom w:w="15" w:type="dxa"/>
              <w:right w:w="75" w:type="dxa"/>
            </w:tcMar>
            <w:vAlign w:val="center"/>
            <w:hideMark/>
          </w:tcPr>
          <w:p w14:paraId="393E88D4" w14:textId="77777777" w:rsidR="00AF6702" w:rsidRPr="00702882" w:rsidRDefault="00AF6702" w:rsidP="008D265E">
            <w:pPr>
              <w:spacing w:before="150" w:after="150"/>
              <w:contextualSpacing/>
              <w:rPr>
                <w:sz w:val="20"/>
                <w:szCs w:val="20"/>
              </w:rPr>
            </w:pPr>
            <w:r w:rsidRPr="00702882">
              <w:rPr>
                <w:sz w:val="20"/>
                <w:szCs w:val="20"/>
              </w:rPr>
              <w:t>0.01 (0.36)</w:t>
            </w:r>
          </w:p>
        </w:tc>
        <w:tc>
          <w:tcPr>
            <w:tcW w:w="0" w:type="auto"/>
            <w:tcMar>
              <w:top w:w="15" w:type="dxa"/>
              <w:left w:w="75" w:type="dxa"/>
              <w:bottom w:w="15" w:type="dxa"/>
              <w:right w:w="75" w:type="dxa"/>
            </w:tcMar>
            <w:vAlign w:val="center"/>
            <w:hideMark/>
          </w:tcPr>
          <w:p w14:paraId="2F1403DC" w14:textId="77777777" w:rsidR="00AF6702" w:rsidRPr="00702882" w:rsidRDefault="00AF6702" w:rsidP="008D265E">
            <w:pPr>
              <w:spacing w:before="150" w:after="150"/>
              <w:contextualSpacing/>
              <w:rPr>
                <w:sz w:val="20"/>
                <w:szCs w:val="20"/>
              </w:rPr>
            </w:pPr>
            <w:r w:rsidRPr="00702882">
              <w:rPr>
                <w:sz w:val="20"/>
                <w:szCs w:val="20"/>
              </w:rPr>
              <w:t>-0.02 (0.35)</w:t>
            </w:r>
          </w:p>
        </w:tc>
        <w:tc>
          <w:tcPr>
            <w:tcW w:w="0" w:type="auto"/>
            <w:tcMar>
              <w:top w:w="15" w:type="dxa"/>
              <w:left w:w="75" w:type="dxa"/>
              <w:bottom w:w="15" w:type="dxa"/>
              <w:right w:w="75" w:type="dxa"/>
            </w:tcMar>
            <w:vAlign w:val="center"/>
            <w:hideMark/>
          </w:tcPr>
          <w:p w14:paraId="2DE4D668" w14:textId="77777777" w:rsidR="00AF6702" w:rsidRPr="00702882" w:rsidRDefault="00AF6702" w:rsidP="008D265E">
            <w:pPr>
              <w:spacing w:before="150" w:after="150"/>
              <w:contextualSpacing/>
              <w:rPr>
                <w:sz w:val="20"/>
                <w:szCs w:val="20"/>
              </w:rPr>
            </w:pPr>
            <w:r w:rsidRPr="00702882">
              <w:rPr>
                <w:sz w:val="20"/>
                <w:szCs w:val="20"/>
              </w:rPr>
              <w:t>-0.02 (0.35)</w:t>
            </w:r>
          </w:p>
        </w:tc>
      </w:tr>
      <w:tr w:rsidR="00AC7046" w:rsidRPr="00702882" w14:paraId="080AF43F" w14:textId="77777777" w:rsidTr="00AE6820">
        <w:tc>
          <w:tcPr>
            <w:tcW w:w="0" w:type="auto"/>
            <w:tcMar>
              <w:top w:w="15" w:type="dxa"/>
              <w:left w:w="75" w:type="dxa"/>
              <w:bottom w:w="15" w:type="dxa"/>
              <w:right w:w="75" w:type="dxa"/>
            </w:tcMar>
            <w:vAlign w:val="center"/>
            <w:hideMark/>
          </w:tcPr>
          <w:p w14:paraId="4D80EDC4" w14:textId="77777777" w:rsidR="00AF6702" w:rsidRPr="00702882" w:rsidRDefault="00AF6702" w:rsidP="008D265E">
            <w:pPr>
              <w:spacing w:before="150" w:after="150"/>
              <w:contextualSpacing/>
              <w:rPr>
                <w:sz w:val="20"/>
                <w:szCs w:val="20"/>
              </w:rPr>
            </w:pPr>
            <w:r w:rsidRPr="00702882">
              <w:rPr>
                <w:sz w:val="20"/>
                <w:szCs w:val="20"/>
              </w:rPr>
              <w:t>GSP</w:t>
            </w:r>
          </w:p>
        </w:tc>
        <w:tc>
          <w:tcPr>
            <w:tcW w:w="0" w:type="auto"/>
            <w:tcMar>
              <w:top w:w="15" w:type="dxa"/>
              <w:left w:w="75" w:type="dxa"/>
              <w:bottom w:w="15" w:type="dxa"/>
              <w:right w:w="75" w:type="dxa"/>
            </w:tcMar>
            <w:vAlign w:val="center"/>
            <w:hideMark/>
          </w:tcPr>
          <w:p w14:paraId="662E5DBB" w14:textId="77777777" w:rsidR="00AF6702" w:rsidRPr="00702882" w:rsidRDefault="00AF6702" w:rsidP="008D265E">
            <w:pPr>
              <w:spacing w:before="150" w:after="150"/>
              <w:contextualSpacing/>
              <w:rPr>
                <w:sz w:val="20"/>
                <w:szCs w:val="20"/>
              </w:rPr>
            </w:pPr>
            <w:r w:rsidRPr="00702882">
              <w:rPr>
                <w:sz w:val="20"/>
                <w:szCs w:val="20"/>
              </w:rPr>
              <w:t>-0.02 (0.07)</w:t>
            </w:r>
          </w:p>
        </w:tc>
        <w:tc>
          <w:tcPr>
            <w:tcW w:w="0" w:type="auto"/>
            <w:tcMar>
              <w:top w:w="15" w:type="dxa"/>
              <w:left w:w="75" w:type="dxa"/>
              <w:bottom w:w="15" w:type="dxa"/>
              <w:right w:w="75" w:type="dxa"/>
            </w:tcMar>
            <w:vAlign w:val="center"/>
            <w:hideMark/>
          </w:tcPr>
          <w:p w14:paraId="1BCEAD7F" w14:textId="77777777" w:rsidR="00AF6702" w:rsidRPr="00702882" w:rsidRDefault="00AF6702" w:rsidP="008D265E">
            <w:pPr>
              <w:spacing w:before="150" w:after="150"/>
              <w:contextualSpacing/>
              <w:rPr>
                <w:sz w:val="20"/>
                <w:szCs w:val="20"/>
              </w:rPr>
            </w:pPr>
            <w:r w:rsidRPr="00702882">
              <w:rPr>
                <w:sz w:val="20"/>
                <w:szCs w:val="20"/>
              </w:rPr>
              <w:t>-0.03 (0.07)</w:t>
            </w:r>
          </w:p>
        </w:tc>
        <w:tc>
          <w:tcPr>
            <w:tcW w:w="0" w:type="auto"/>
            <w:tcMar>
              <w:top w:w="15" w:type="dxa"/>
              <w:left w:w="75" w:type="dxa"/>
              <w:bottom w:w="15" w:type="dxa"/>
              <w:right w:w="75" w:type="dxa"/>
            </w:tcMar>
            <w:vAlign w:val="center"/>
            <w:hideMark/>
          </w:tcPr>
          <w:p w14:paraId="62E29D74" w14:textId="77777777" w:rsidR="00AF6702" w:rsidRPr="00702882" w:rsidRDefault="00AF6702" w:rsidP="008D265E">
            <w:pPr>
              <w:spacing w:before="150" w:after="150"/>
              <w:contextualSpacing/>
              <w:rPr>
                <w:sz w:val="20"/>
                <w:szCs w:val="20"/>
              </w:rPr>
            </w:pPr>
            <w:r w:rsidRPr="00702882">
              <w:rPr>
                <w:sz w:val="20"/>
                <w:szCs w:val="20"/>
              </w:rPr>
              <w:t>-0.03 (0.06)</w:t>
            </w:r>
          </w:p>
        </w:tc>
        <w:tc>
          <w:tcPr>
            <w:tcW w:w="0" w:type="auto"/>
            <w:tcMar>
              <w:top w:w="15" w:type="dxa"/>
              <w:left w:w="75" w:type="dxa"/>
              <w:bottom w:w="15" w:type="dxa"/>
              <w:right w:w="75" w:type="dxa"/>
            </w:tcMar>
            <w:vAlign w:val="center"/>
            <w:hideMark/>
          </w:tcPr>
          <w:p w14:paraId="2ABF4D73" w14:textId="77777777" w:rsidR="00AF6702" w:rsidRPr="00702882" w:rsidRDefault="00AF6702" w:rsidP="008D265E">
            <w:pPr>
              <w:spacing w:before="150" w:after="150"/>
              <w:contextualSpacing/>
              <w:rPr>
                <w:sz w:val="20"/>
                <w:szCs w:val="20"/>
              </w:rPr>
            </w:pPr>
            <w:r w:rsidRPr="00702882">
              <w:rPr>
                <w:sz w:val="20"/>
                <w:szCs w:val="20"/>
              </w:rPr>
              <w:t>-0.03 (0.06)</w:t>
            </w:r>
          </w:p>
        </w:tc>
      </w:tr>
      <w:tr w:rsidR="00AC7046" w:rsidRPr="00702882" w14:paraId="34559F75" w14:textId="77777777" w:rsidTr="00AE6820">
        <w:tc>
          <w:tcPr>
            <w:tcW w:w="0" w:type="auto"/>
            <w:tcMar>
              <w:top w:w="15" w:type="dxa"/>
              <w:left w:w="75" w:type="dxa"/>
              <w:bottom w:w="15" w:type="dxa"/>
              <w:right w:w="75" w:type="dxa"/>
            </w:tcMar>
            <w:vAlign w:val="center"/>
            <w:hideMark/>
          </w:tcPr>
          <w:p w14:paraId="2748C298" w14:textId="77777777" w:rsidR="00AF6702" w:rsidRPr="00702882" w:rsidRDefault="00AF6702" w:rsidP="008D265E">
            <w:pPr>
              <w:spacing w:before="150" w:after="150"/>
              <w:contextualSpacing/>
              <w:rPr>
                <w:sz w:val="20"/>
                <w:szCs w:val="20"/>
              </w:rPr>
            </w:pPr>
            <w:r w:rsidRPr="00702882">
              <w:rPr>
                <w:sz w:val="20"/>
                <w:szCs w:val="20"/>
              </w:rPr>
              <w:t>Unemployment</w:t>
            </w:r>
          </w:p>
        </w:tc>
        <w:tc>
          <w:tcPr>
            <w:tcW w:w="0" w:type="auto"/>
            <w:tcMar>
              <w:top w:w="15" w:type="dxa"/>
              <w:left w:w="75" w:type="dxa"/>
              <w:bottom w:w="15" w:type="dxa"/>
              <w:right w:w="75" w:type="dxa"/>
            </w:tcMar>
            <w:vAlign w:val="center"/>
            <w:hideMark/>
          </w:tcPr>
          <w:p w14:paraId="2D5E136B" w14:textId="77777777" w:rsidR="00AF6702" w:rsidRPr="00702882" w:rsidRDefault="00AF6702" w:rsidP="008D265E">
            <w:pPr>
              <w:spacing w:before="150" w:after="150"/>
              <w:contextualSpacing/>
              <w:rPr>
                <w:sz w:val="20"/>
                <w:szCs w:val="20"/>
              </w:rPr>
            </w:pPr>
            <w:r w:rsidRPr="00702882">
              <w:rPr>
                <w:sz w:val="20"/>
                <w:szCs w:val="20"/>
              </w:rPr>
              <w:t>-1.00 (0.17)</w:t>
            </w:r>
            <w:r w:rsidRPr="00702882">
              <w:rPr>
                <w:sz w:val="20"/>
                <w:szCs w:val="20"/>
                <w:vertAlign w:val="superscript"/>
              </w:rPr>
              <w:t>***</w:t>
            </w:r>
          </w:p>
        </w:tc>
        <w:tc>
          <w:tcPr>
            <w:tcW w:w="0" w:type="auto"/>
            <w:tcMar>
              <w:top w:w="15" w:type="dxa"/>
              <w:left w:w="75" w:type="dxa"/>
              <w:bottom w:w="15" w:type="dxa"/>
              <w:right w:w="75" w:type="dxa"/>
            </w:tcMar>
            <w:vAlign w:val="center"/>
            <w:hideMark/>
          </w:tcPr>
          <w:p w14:paraId="0D1BAD51" w14:textId="77777777" w:rsidR="00AF6702" w:rsidRPr="00702882" w:rsidRDefault="00AF6702" w:rsidP="008D265E">
            <w:pPr>
              <w:spacing w:before="150" w:after="150"/>
              <w:contextualSpacing/>
              <w:rPr>
                <w:sz w:val="20"/>
                <w:szCs w:val="20"/>
              </w:rPr>
            </w:pPr>
            <w:r w:rsidRPr="00702882">
              <w:rPr>
                <w:sz w:val="20"/>
                <w:szCs w:val="20"/>
              </w:rPr>
              <w:t>-1.09 (0.24)</w:t>
            </w:r>
            <w:r w:rsidRPr="00702882">
              <w:rPr>
                <w:sz w:val="20"/>
                <w:szCs w:val="20"/>
                <w:vertAlign w:val="superscript"/>
              </w:rPr>
              <w:t>***</w:t>
            </w:r>
          </w:p>
        </w:tc>
        <w:tc>
          <w:tcPr>
            <w:tcW w:w="0" w:type="auto"/>
            <w:tcMar>
              <w:top w:w="15" w:type="dxa"/>
              <w:left w:w="75" w:type="dxa"/>
              <w:bottom w:w="15" w:type="dxa"/>
              <w:right w:w="75" w:type="dxa"/>
            </w:tcMar>
            <w:vAlign w:val="center"/>
            <w:hideMark/>
          </w:tcPr>
          <w:p w14:paraId="79D4ADCD" w14:textId="77777777" w:rsidR="00AF6702" w:rsidRPr="00702882" w:rsidRDefault="00AF6702" w:rsidP="008D265E">
            <w:pPr>
              <w:spacing w:before="150" w:after="150"/>
              <w:contextualSpacing/>
              <w:rPr>
                <w:sz w:val="20"/>
                <w:szCs w:val="20"/>
              </w:rPr>
            </w:pPr>
            <w:r w:rsidRPr="00702882">
              <w:rPr>
                <w:sz w:val="20"/>
                <w:szCs w:val="20"/>
              </w:rPr>
              <w:t>-1.08 (0.16)</w:t>
            </w:r>
            <w:r w:rsidRPr="00702882">
              <w:rPr>
                <w:sz w:val="20"/>
                <w:szCs w:val="20"/>
                <w:vertAlign w:val="superscript"/>
              </w:rPr>
              <w:t>***</w:t>
            </w:r>
          </w:p>
        </w:tc>
        <w:tc>
          <w:tcPr>
            <w:tcW w:w="0" w:type="auto"/>
            <w:tcMar>
              <w:top w:w="15" w:type="dxa"/>
              <w:left w:w="75" w:type="dxa"/>
              <w:bottom w:w="15" w:type="dxa"/>
              <w:right w:w="75" w:type="dxa"/>
            </w:tcMar>
            <w:vAlign w:val="center"/>
            <w:hideMark/>
          </w:tcPr>
          <w:p w14:paraId="6F1C8635" w14:textId="77777777" w:rsidR="00AF6702" w:rsidRPr="00702882" w:rsidRDefault="00AF6702" w:rsidP="008D265E">
            <w:pPr>
              <w:spacing w:before="150" w:after="150"/>
              <w:contextualSpacing/>
              <w:rPr>
                <w:sz w:val="20"/>
                <w:szCs w:val="20"/>
              </w:rPr>
            </w:pPr>
            <w:r w:rsidRPr="00702882">
              <w:rPr>
                <w:sz w:val="20"/>
                <w:szCs w:val="20"/>
              </w:rPr>
              <w:t>-1.08 (0.17)</w:t>
            </w:r>
            <w:r w:rsidRPr="00702882">
              <w:rPr>
                <w:sz w:val="20"/>
                <w:szCs w:val="20"/>
                <w:vertAlign w:val="superscript"/>
              </w:rPr>
              <w:t>***</w:t>
            </w:r>
          </w:p>
        </w:tc>
      </w:tr>
      <w:tr w:rsidR="00AC7046" w:rsidRPr="00702882" w14:paraId="35EDEDA7" w14:textId="77777777" w:rsidTr="00AE6820">
        <w:tc>
          <w:tcPr>
            <w:tcW w:w="0" w:type="auto"/>
            <w:tcMar>
              <w:top w:w="15" w:type="dxa"/>
              <w:left w:w="75" w:type="dxa"/>
              <w:bottom w:w="15" w:type="dxa"/>
              <w:right w:w="75" w:type="dxa"/>
            </w:tcMar>
            <w:vAlign w:val="center"/>
            <w:hideMark/>
          </w:tcPr>
          <w:p w14:paraId="53D31D40" w14:textId="77777777" w:rsidR="00AF6702" w:rsidRPr="00702882" w:rsidRDefault="00AF6702" w:rsidP="008D265E">
            <w:pPr>
              <w:spacing w:before="150" w:after="150"/>
              <w:contextualSpacing/>
              <w:rPr>
                <w:sz w:val="20"/>
                <w:szCs w:val="20"/>
              </w:rPr>
            </w:pPr>
            <w:r w:rsidRPr="00702882">
              <w:rPr>
                <w:sz w:val="20"/>
                <w:szCs w:val="20"/>
              </w:rPr>
              <w:t>Credit_rating</w:t>
            </w:r>
          </w:p>
        </w:tc>
        <w:tc>
          <w:tcPr>
            <w:tcW w:w="0" w:type="auto"/>
            <w:tcMar>
              <w:top w:w="15" w:type="dxa"/>
              <w:left w:w="75" w:type="dxa"/>
              <w:bottom w:w="15" w:type="dxa"/>
              <w:right w:w="75" w:type="dxa"/>
            </w:tcMar>
            <w:vAlign w:val="center"/>
            <w:hideMark/>
          </w:tcPr>
          <w:p w14:paraId="6516009B" w14:textId="77777777" w:rsidR="00AF6702" w:rsidRPr="00702882" w:rsidRDefault="00AF6702" w:rsidP="008D265E">
            <w:pPr>
              <w:spacing w:before="150" w:after="150"/>
              <w:contextualSpacing/>
              <w:rPr>
                <w:sz w:val="20"/>
                <w:szCs w:val="20"/>
              </w:rPr>
            </w:pPr>
            <w:r w:rsidRPr="00702882">
              <w:rPr>
                <w:sz w:val="20"/>
                <w:szCs w:val="20"/>
              </w:rPr>
              <w:t>0.79 (0.24)</w:t>
            </w:r>
            <w:r w:rsidRPr="00702882">
              <w:rPr>
                <w:sz w:val="20"/>
                <w:szCs w:val="20"/>
                <w:vertAlign w:val="superscript"/>
              </w:rPr>
              <w:t>***</w:t>
            </w:r>
          </w:p>
        </w:tc>
        <w:tc>
          <w:tcPr>
            <w:tcW w:w="0" w:type="auto"/>
            <w:tcMar>
              <w:top w:w="15" w:type="dxa"/>
              <w:left w:w="75" w:type="dxa"/>
              <w:bottom w:w="15" w:type="dxa"/>
              <w:right w:w="75" w:type="dxa"/>
            </w:tcMar>
            <w:vAlign w:val="center"/>
            <w:hideMark/>
          </w:tcPr>
          <w:p w14:paraId="18222AC7" w14:textId="77777777" w:rsidR="00AF6702" w:rsidRPr="00702882" w:rsidRDefault="00AF6702" w:rsidP="008D265E">
            <w:pPr>
              <w:spacing w:before="150" w:after="150"/>
              <w:contextualSpacing/>
              <w:rPr>
                <w:sz w:val="20"/>
                <w:szCs w:val="20"/>
              </w:rPr>
            </w:pPr>
            <w:r w:rsidRPr="00702882">
              <w:rPr>
                <w:sz w:val="20"/>
                <w:szCs w:val="20"/>
              </w:rPr>
              <w:t>0.74 (0.26)</w:t>
            </w:r>
            <w:r w:rsidRPr="00702882">
              <w:rPr>
                <w:sz w:val="20"/>
                <w:szCs w:val="20"/>
                <w:vertAlign w:val="superscript"/>
              </w:rPr>
              <w:t>***</w:t>
            </w:r>
          </w:p>
        </w:tc>
        <w:tc>
          <w:tcPr>
            <w:tcW w:w="0" w:type="auto"/>
            <w:tcMar>
              <w:top w:w="15" w:type="dxa"/>
              <w:left w:w="75" w:type="dxa"/>
              <w:bottom w:w="15" w:type="dxa"/>
              <w:right w:w="75" w:type="dxa"/>
            </w:tcMar>
            <w:vAlign w:val="center"/>
            <w:hideMark/>
          </w:tcPr>
          <w:p w14:paraId="71CFE06B" w14:textId="77777777" w:rsidR="00AF6702" w:rsidRPr="00702882" w:rsidRDefault="00AF6702" w:rsidP="008D265E">
            <w:pPr>
              <w:spacing w:before="150" w:after="150"/>
              <w:contextualSpacing/>
              <w:rPr>
                <w:sz w:val="20"/>
                <w:szCs w:val="20"/>
              </w:rPr>
            </w:pPr>
            <w:r w:rsidRPr="00702882">
              <w:rPr>
                <w:sz w:val="20"/>
                <w:szCs w:val="20"/>
              </w:rPr>
              <w:t>0.81 (0.25)</w:t>
            </w:r>
            <w:r w:rsidRPr="00702882">
              <w:rPr>
                <w:sz w:val="20"/>
                <w:szCs w:val="20"/>
                <w:vertAlign w:val="superscript"/>
              </w:rPr>
              <w:t>***</w:t>
            </w:r>
          </w:p>
        </w:tc>
        <w:tc>
          <w:tcPr>
            <w:tcW w:w="0" w:type="auto"/>
            <w:tcMar>
              <w:top w:w="15" w:type="dxa"/>
              <w:left w:w="75" w:type="dxa"/>
              <w:bottom w:w="15" w:type="dxa"/>
              <w:right w:w="75" w:type="dxa"/>
            </w:tcMar>
            <w:vAlign w:val="center"/>
            <w:hideMark/>
          </w:tcPr>
          <w:p w14:paraId="4EE157B1" w14:textId="77777777" w:rsidR="00AF6702" w:rsidRPr="00702882" w:rsidRDefault="00AF6702" w:rsidP="008D265E">
            <w:pPr>
              <w:spacing w:before="150" w:after="150"/>
              <w:contextualSpacing/>
              <w:rPr>
                <w:sz w:val="20"/>
                <w:szCs w:val="20"/>
              </w:rPr>
            </w:pPr>
            <w:r w:rsidRPr="00702882">
              <w:rPr>
                <w:sz w:val="20"/>
                <w:szCs w:val="20"/>
              </w:rPr>
              <w:t>0.80 (0.25)</w:t>
            </w:r>
            <w:r w:rsidRPr="00702882">
              <w:rPr>
                <w:sz w:val="20"/>
                <w:szCs w:val="20"/>
                <w:vertAlign w:val="superscript"/>
              </w:rPr>
              <w:t>***</w:t>
            </w:r>
          </w:p>
        </w:tc>
      </w:tr>
      <w:tr w:rsidR="00AC7046" w:rsidRPr="00702882" w14:paraId="6B3AB2F5" w14:textId="77777777" w:rsidTr="00AE6820">
        <w:tc>
          <w:tcPr>
            <w:tcW w:w="0" w:type="auto"/>
            <w:tcMar>
              <w:top w:w="15" w:type="dxa"/>
              <w:left w:w="75" w:type="dxa"/>
              <w:bottom w:w="15" w:type="dxa"/>
              <w:right w:w="75" w:type="dxa"/>
            </w:tcMar>
            <w:vAlign w:val="center"/>
            <w:hideMark/>
          </w:tcPr>
          <w:p w14:paraId="03C2FD08" w14:textId="77777777" w:rsidR="00AF6702" w:rsidRPr="00702882" w:rsidRDefault="00AF6702" w:rsidP="008D265E">
            <w:pPr>
              <w:spacing w:before="150" w:after="150"/>
              <w:contextualSpacing/>
              <w:rPr>
                <w:sz w:val="20"/>
                <w:szCs w:val="20"/>
              </w:rPr>
            </w:pPr>
            <w:r w:rsidRPr="00702882">
              <w:rPr>
                <w:sz w:val="20"/>
                <w:szCs w:val="20"/>
              </w:rPr>
              <w:t>Income_thousands</w:t>
            </w:r>
          </w:p>
        </w:tc>
        <w:tc>
          <w:tcPr>
            <w:tcW w:w="0" w:type="auto"/>
            <w:tcMar>
              <w:top w:w="15" w:type="dxa"/>
              <w:left w:w="75" w:type="dxa"/>
              <w:bottom w:w="15" w:type="dxa"/>
              <w:right w:w="75" w:type="dxa"/>
            </w:tcMar>
            <w:vAlign w:val="center"/>
            <w:hideMark/>
          </w:tcPr>
          <w:p w14:paraId="6A71DBD1" w14:textId="77777777" w:rsidR="00AF6702" w:rsidRPr="00702882" w:rsidRDefault="00AF6702" w:rsidP="008D265E">
            <w:pPr>
              <w:spacing w:before="150" w:after="150"/>
              <w:contextualSpacing/>
              <w:rPr>
                <w:sz w:val="20"/>
                <w:szCs w:val="20"/>
              </w:rPr>
            </w:pPr>
            <w:r w:rsidRPr="00702882">
              <w:rPr>
                <w:sz w:val="20"/>
                <w:szCs w:val="20"/>
              </w:rPr>
              <w:t>-0.07 (0.11)</w:t>
            </w:r>
          </w:p>
        </w:tc>
        <w:tc>
          <w:tcPr>
            <w:tcW w:w="0" w:type="auto"/>
            <w:tcMar>
              <w:top w:w="15" w:type="dxa"/>
              <w:left w:w="75" w:type="dxa"/>
              <w:bottom w:w="15" w:type="dxa"/>
              <w:right w:w="75" w:type="dxa"/>
            </w:tcMar>
            <w:vAlign w:val="center"/>
            <w:hideMark/>
          </w:tcPr>
          <w:p w14:paraId="2D0ADECF" w14:textId="77777777" w:rsidR="00AF6702" w:rsidRPr="00702882" w:rsidRDefault="00AF6702" w:rsidP="008D265E">
            <w:pPr>
              <w:spacing w:before="150" w:after="150"/>
              <w:contextualSpacing/>
              <w:rPr>
                <w:sz w:val="20"/>
                <w:szCs w:val="20"/>
              </w:rPr>
            </w:pPr>
            <w:r w:rsidRPr="00702882">
              <w:rPr>
                <w:sz w:val="20"/>
                <w:szCs w:val="20"/>
              </w:rPr>
              <w:t>-0.08 (0.11)</w:t>
            </w:r>
          </w:p>
        </w:tc>
        <w:tc>
          <w:tcPr>
            <w:tcW w:w="0" w:type="auto"/>
            <w:tcMar>
              <w:top w:w="15" w:type="dxa"/>
              <w:left w:w="75" w:type="dxa"/>
              <w:bottom w:w="15" w:type="dxa"/>
              <w:right w:w="75" w:type="dxa"/>
            </w:tcMar>
            <w:vAlign w:val="center"/>
            <w:hideMark/>
          </w:tcPr>
          <w:p w14:paraId="151264AC" w14:textId="77777777" w:rsidR="00AF6702" w:rsidRPr="00702882" w:rsidRDefault="00AF6702" w:rsidP="008D265E">
            <w:pPr>
              <w:spacing w:before="150" w:after="150"/>
              <w:contextualSpacing/>
              <w:rPr>
                <w:sz w:val="20"/>
                <w:szCs w:val="20"/>
              </w:rPr>
            </w:pPr>
            <w:r w:rsidRPr="00702882">
              <w:rPr>
                <w:sz w:val="20"/>
                <w:szCs w:val="20"/>
              </w:rPr>
              <w:t>-0.07 (0.10)</w:t>
            </w:r>
          </w:p>
        </w:tc>
        <w:tc>
          <w:tcPr>
            <w:tcW w:w="0" w:type="auto"/>
            <w:tcMar>
              <w:top w:w="15" w:type="dxa"/>
              <w:left w:w="75" w:type="dxa"/>
              <w:bottom w:w="15" w:type="dxa"/>
              <w:right w:w="75" w:type="dxa"/>
            </w:tcMar>
            <w:vAlign w:val="center"/>
            <w:hideMark/>
          </w:tcPr>
          <w:p w14:paraId="7DACDA2C" w14:textId="77777777" w:rsidR="00AF6702" w:rsidRPr="00702882" w:rsidRDefault="00AF6702" w:rsidP="008D265E">
            <w:pPr>
              <w:spacing w:before="150" w:after="150"/>
              <w:contextualSpacing/>
              <w:rPr>
                <w:sz w:val="20"/>
                <w:szCs w:val="20"/>
              </w:rPr>
            </w:pPr>
            <w:r w:rsidRPr="00702882">
              <w:rPr>
                <w:sz w:val="20"/>
                <w:szCs w:val="20"/>
              </w:rPr>
              <w:t>-0.07 (0.10)</w:t>
            </w:r>
          </w:p>
        </w:tc>
      </w:tr>
      <w:tr w:rsidR="00AC7046" w:rsidRPr="00702882" w14:paraId="77AE3153" w14:textId="77777777" w:rsidTr="00AE6820">
        <w:tc>
          <w:tcPr>
            <w:tcW w:w="0" w:type="auto"/>
            <w:tcMar>
              <w:top w:w="15" w:type="dxa"/>
              <w:left w:w="75" w:type="dxa"/>
              <w:bottom w:w="15" w:type="dxa"/>
              <w:right w:w="75" w:type="dxa"/>
            </w:tcMar>
            <w:vAlign w:val="center"/>
            <w:hideMark/>
          </w:tcPr>
          <w:p w14:paraId="45F04D46" w14:textId="77777777" w:rsidR="00AF6702" w:rsidRPr="00702882" w:rsidRDefault="00AF6702" w:rsidP="008D265E">
            <w:pPr>
              <w:spacing w:before="150" w:after="150"/>
              <w:contextualSpacing/>
              <w:rPr>
                <w:sz w:val="20"/>
                <w:szCs w:val="20"/>
              </w:rPr>
            </w:pPr>
            <w:r w:rsidRPr="00702882">
              <w:rPr>
                <w:sz w:val="20"/>
                <w:szCs w:val="20"/>
              </w:rPr>
              <w:t>Population_million</w:t>
            </w:r>
          </w:p>
        </w:tc>
        <w:tc>
          <w:tcPr>
            <w:tcW w:w="0" w:type="auto"/>
            <w:tcMar>
              <w:top w:w="15" w:type="dxa"/>
              <w:left w:w="75" w:type="dxa"/>
              <w:bottom w:w="15" w:type="dxa"/>
              <w:right w:w="75" w:type="dxa"/>
            </w:tcMar>
            <w:vAlign w:val="center"/>
            <w:hideMark/>
          </w:tcPr>
          <w:p w14:paraId="2ED16267" w14:textId="77777777" w:rsidR="00AF6702" w:rsidRPr="00702882" w:rsidRDefault="00AF6702" w:rsidP="008D265E">
            <w:pPr>
              <w:spacing w:before="150" w:after="150"/>
              <w:contextualSpacing/>
              <w:rPr>
                <w:sz w:val="20"/>
                <w:szCs w:val="20"/>
              </w:rPr>
            </w:pPr>
            <w:r w:rsidRPr="00702882">
              <w:rPr>
                <w:sz w:val="20"/>
                <w:szCs w:val="20"/>
              </w:rPr>
              <w:t>1.03 (0.66)</w:t>
            </w:r>
          </w:p>
        </w:tc>
        <w:tc>
          <w:tcPr>
            <w:tcW w:w="0" w:type="auto"/>
            <w:tcMar>
              <w:top w:w="15" w:type="dxa"/>
              <w:left w:w="75" w:type="dxa"/>
              <w:bottom w:w="15" w:type="dxa"/>
              <w:right w:w="75" w:type="dxa"/>
            </w:tcMar>
            <w:vAlign w:val="center"/>
            <w:hideMark/>
          </w:tcPr>
          <w:p w14:paraId="31B8D971" w14:textId="77777777" w:rsidR="00AF6702" w:rsidRPr="00702882" w:rsidRDefault="00AF6702" w:rsidP="008D265E">
            <w:pPr>
              <w:spacing w:before="150" w:after="150"/>
              <w:contextualSpacing/>
              <w:rPr>
                <w:sz w:val="20"/>
                <w:szCs w:val="20"/>
              </w:rPr>
            </w:pPr>
            <w:r w:rsidRPr="00702882">
              <w:rPr>
                <w:sz w:val="20"/>
                <w:szCs w:val="20"/>
              </w:rPr>
              <w:t>1.08 (0.70)</w:t>
            </w:r>
          </w:p>
        </w:tc>
        <w:tc>
          <w:tcPr>
            <w:tcW w:w="0" w:type="auto"/>
            <w:tcMar>
              <w:top w:w="15" w:type="dxa"/>
              <w:left w:w="75" w:type="dxa"/>
              <w:bottom w:w="15" w:type="dxa"/>
              <w:right w:w="75" w:type="dxa"/>
            </w:tcMar>
            <w:vAlign w:val="center"/>
            <w:hideMark/>
          </w:tcPr>
          <w:p w14:paraId="1B7A9D98" w14:textId="77777777" w:rsidR="00AF6702" w:rsidRPr="00702882" w:rsidRDefault="00AF6702" w:rsidP="008D265E">
            <w:pPr>
              <w:spacing w:before="150" w:after="150"/>
              <w:contextualSpacing/>
              <w:rPr>
                <w:sz w:val="20"/>
                <w:szCs w:val="20"/>
              </w:rPr>
            </w:pPr>
            <w:r w:rsidRPr="00702882">
              <w:rPr>
                <w:sz w:val="20"/>
                <w:szCs w:val="20"/>
              </w:rPr>
              <w:t>1.08 (0.72)</w:t>
            </w:r>
          </w:p>
        </w:tc>
        <w:tc>
          <w:tcPr>
            <w:tcW w:w="0" w:type="auto"/>
            <w:tcMar>
              <w:top w:w="15" w:type="dxa"/>
              <w:left w:w="75" w:type="dxa"/>
              <w:bottom w:w="15" w:type="dxa"/>
              <w:right w:w="75" w:type="dxa"/>
            </w:tcMar>
            <w:vAlign w:val="center"/>
            <w:hideMark/>
          </w:tcPr>
          <w:p w14:paraId="49FC8604" w14:textId="77777777" w:rsidR="00AF6702" w:rsidRPr="00702882" w:rsidRDefault="00AF6702" w:rsidP="008D265E">
            <w:pPr>
              <w:spacing w:before="150" w:after="150"/>
              <w:contextualSpacing/>
              <w:rPr>
                <w:sz w:val="20"/>
                <w:szCs w:val="20"/>
              </w:rPr>
            </w:pPr>
            <w:r w:rsidRPr="00702882">
              <w:rPr>
                <w:sz w:val="20"/>
                <w:szCs w:val="20"/>
              </w:rPr>
              <w:t>1.06 (0.70)</w:t>
            </w:r>
          </w:p>
        </w:tc>
      </w:tr>
      <w:tr w:rsidR="00AC7046" w:rsidRPr="00702882" w14:paraId="4D82E991" w14:textId="77777777" w:rsidTr="00AE6820">
        <w:tc>
          <w:tcPr>
            <w:tcW w:w="0" w:type="auto"/>
            <w:tcMar>
              <w:top w:w="15" w:type="dxa"/>
              <w:left w:w="75" w:type="dxa"/>
              <w:bottom w:w="15" w:type="dxa"/>
              <w:right w:w="75" w:type="dxa"/>
            </w:tcMar>
            <w:vAlign w:val="center"/>
            <w:hideMark/>
          </w:tcPr>
          <w:p w14:paraId="70A7303D" w14:textId="77777777" w:rsidR="00AF6702" w:rsidRPr="00702882" w:rsidRDefault="00AF6702" w:rsidP="008D265E">
            <w:pPr>
              <w:spacing w:before="150" w:after="150"/>
              <w:contextualSpacing/>
              <w:rPr>
                <w:sz w:val="20"/>
                <w:szCs w:val="20"/>
              </w:rPr>
            </w:pPr>
            <w:r w:rsidRPr="00702882">
              <w:rPr>
                <w:sz w:val="20"/>
                <w:szCs w:val="20"/>
              </w:rPr>
              <w:t>TEL</w:t>
            </w:r>
          </w:p>
        </w:tc>
        <w:tc>
          <w:tcPr>
            <w:tcW w:w="0" w:type="auto"/>
            <w:tcMar>
              <w:top w:w="15" w:type="dxa"/>
              <w:left w:w="75" w:type="dxa"/>
              <w:bottom w:w="15" w:type="dxa"/>
              <w:right w:w="75" w:type="dxa"/>
            </w:tcMar>
            <w:vAlign w:val="center"/>
            <w:hideMark/>
          </w:tcPr>
          <w:p w14:paraId="58F2945C" w14:textId="77777777" w:rsidR="00AF6702" w:rsidRPr="00702882" w:rsidRDefault="00AF6702" w:rsidP="008D265E">
            <w:pPr>
              <w:spacing w:before="150" w:after="150"/>
              <w:contextualSpacing/>
              <w:rPr>
                <w:sz w:val="20"/>
                <w:szCs w:val="20"/>
              </w:rPr>
            </w:pPr>
            <w:r w:rsidRPr="00702882">
              <w:rPr>
                <w:sz w:val="20"/>
                <w:szCs w:val="20"/>
              </w:rPr>
              <w:t>-0.10 (0.07)</w:t>
            </w:r>
          </w:p>
        </w:tc>
        <w:tc>
          <w:tcPr>
            <w:tcW w:w="0" w:type="auto"/>
            <w:tcMar>
              <w:top w:w="15" w:type="dxa"/>
              <w:left w:w="75" w:type="dxa"/>
              <w:bottom w:w="15" w:type="dxa"/>
              <w:right w:w="75" w:type="dxa"/>
            </w:tcMar>
            <w:vAlign w:val="center"/>
            <w:hideMark/>
          </w:tcPr>
          <w:p w14:paraId="6D328588" w14:textId="77777777" w:rsidR="00AF6702" w:rsidRPr="00702882" w:rsidRDefault="00AF6702" w:rsidP="008D265E">
            <w:pPr>
              <w:spacing w:before="150" w:after="150"/>
              <w:contextualSpacing/>
              <w:rPr>
                <w:sz w:val="20"/>
                <w:szCs w:val="20"/>
              </w:rPr>
            </w:pPr>
            <w:r w:rsidRPr="00702882">
              <w:rPr>
                <w:sz w:val="20"/>
                <w:szCs w:val="20"/>
              </w:rPr>
              <w:t>-0.09 (0.07)</w:t>
            </w:r>
          </w:p>
        </w:tc>
        <w:tc>
          <w:tcPr>
            <w:tcW w:w="0" w:type="auto"/>
            <w:tcMar>
              <w:top w:w="15" w:type="dxa"/>
              <w:left w:w="75" w:type="dxa"/>
              <w:bottom w:w="15" w:type="dxa"/>
              <w:right w:w="75" w:type="dxa"/>
            </w:tcMar>
            <w:vAlign w:val="center"/>
            <w:hideMark/>
          </w:tcPr>
          <w:p w14:paraId="463992C4" w14:textId="77777777" w:rsidR="00AF6702" w:rsidRPr="00702882" w:rsidRDefault="00AF6702" w:rsidP="008D265E">
            <w:pPr>
              <w:spacing w:before="150" w:after="150"/>
              <w:contextualSpacing/>
              <w:rPr>
                <w:sz w:val="20"/>
                <w:szCs w:val="20"/>
              </w:rPr>
            </w:pPr>
            <w:r w:rsidRPr="00702882">
              <w:rPr>
                <w:sz w:val="20"/>
                <w:szCs w:val="20"/>
              </w:rPr>
              <w:t>-0.06 (0.07)</w:t>
            </w:r>
          </w:p>
        </w:tc>
        <w:tc>
          <w:tcPr>
            <w:tcW w:w="0" w:type="auto"/>
            <w:tcMar>
              <w:top w:w="15" w:type="dxa"/>
              <w:left w:w="75" w:type="dxa"/>
              <w:bottom w:w="15" w:type="dxa"/>
              <w:right w:w="75" w:type="dxa"/>
            </w:tcMar>
            <w:vAlign w:val="center"/>
            <w:hideMark/>
          </w:tcPr>
          <w:p w14:paraId="29C03375" w14:textId="77777777" w:rsidR="00AF6702" w:rsidRPr="00702882" w:rsidRDefault="00AF6702" w:rsidP="008D265E">
            <w:pPr>
              <w:spacing w:before="150" w:after="150"/>
              <w:contextualSpacing/>
              <w:rPr>
                <w:sz w:val="20"/>
                <w:szCs w:val="20"/>
              </w:rPr>
            </w:pPr>
            <w:r w:rsidRPr="00702882">
              <w:rPr>
                <w:sz w:val="20"/>
                <w:szCs w:val="20"/>
              </w:rPr>
              <w:t>-0.06 (0.07)</w:t>
            </w:r>
          </w:p>
        </w:tc>
      </w:tr>
      <w:tr w:rsidR="00AC7046" w:rsidRPr="00702882" w14:paraId="556FFC31" w14:textId="77777777" w:rsidTr="00AE6820">
        <w:tc>
          <w:tcPr>
            <w:tcW w:w="0" w:type="auto"/>
            <w:tcMar>
              <w:top w:w="15" w:type="dxa"/>
              <w:left w:w="75" w:type="dxa"/>
              <w:bottom w:w="15" w:type="dxa"/>
              <w:right w:w="75" w:type="dxa"/>
            </w:tcMar>
            <w:vAlign w:val="center"/>
            <w:hideMark/>
          </w:tcPr>
          <w:p w14:paraId="32474641" w14:textId="77777777" w:rsidR="00AF6702" w:rsidRPr="00702882" w:rsidRDefault="00AF6702" w:rsidP="008D265E">
            <w:pPr>
              <w:spacing w:before="150" w:after="150"/>
              <w:contextualSpacing/>
              <w:rPr>
                <w:sz w:val="20"/>
                <w:szCs w:val="20"/>
              </w:rPr>
            </w:pPr>
            <w:r w:rsidRPr="00702882">
              <w:rPr>
                <w:sz w:val="20"/>
                <w:szCs w:val="20"/>
              </w:rPr>
              <w:t>BBR</w:t>
            </w:r>
          </w:p>
        </w:tc>
        <w:tc>
          <w:tcPr>
            <w:tcW w:w="0" w:type="auto"/>
            <w:tcMar>
              <w:top w:w="15" w:type="dxa"/>
              <w:left w:w="75" w:type="dxa"/>
              <w:bottom w:w="15" w:type="dxa"/>
              <w:right w:w="75" w:type="dxa"/>
            </w:tcMar>
            <w:vAlign w:val="center"/>
            <w:hideMark/>
          </w:tcPr>
          <w:p w14:paraId="735EF8A3" w14:textId="77777777" w:rsidR="00AF6702" w:rsidRPr="00702882" w:rsidRDefault="00AF6702" w:rsidP="008D265E">
            <w:pPr>
              <w:spacing w:before="150" w:after="150"/>
              <w:contextualSpacing/>
              <w:rPr>
                <w:sz w:val="20"/>
                <w:szCs w:val="20"/>
              </w:rPr>
            </w:pPr>
            <w:r w:rsidRPr="00702882">
              <w:rPr>
                <w:sz w:val="20"/>
                <w:szCs w:val="20"/>
              </w:rPr>
              <w:t>-0.47 (0.64)</w:t>
            </w:r>
          </w:p>
        </w:tc>
        <w:tc>
          <w:tcPr>
            <w:tcW w:w="0" w:type="auto"/>
            <w:tcMar>
              <w:top w:w="15" w:type="dxa"/>
              <w:left w:w="75" w:type="dxa"/>
              <w:bottom w:w="15" w:type="dxa"/>
              <w:right w:w="75" w:type="dxa"/>
            </w:tcMar>
            <w:vAlign w:val="center"/>
            <w:hideMark/>
          </w:tcPr>
          <w:p w14:paraId="1D757AEE" w14:textId="77777777" w:rsidR="00AF6702" w:rsidRPr="00702882" w:rsidRDefault="00AF6702" w:rsidP="008D265E">
            <w:pPr>
              <w:spacing w:before="150" w:after="150"/>
              <w:contextualSpacing/>
              <w:rPr>
                <w:sz w:val="20"/>
                <w:szCs w:val="20"/>
              </w:rPr>
            </w:pPr>
            <w:r w:rsidRPr="00702882">
              <w:rPr>
                <w:sz w:val="20"/>
                <w:szCs w:val="20"/>
              </w:rPr>
              <w:t>0.03 (0.63)</w:t>
            </w:r>
          </w:p>
        </w:tc>
        <w:tc>
          <w:tcPr>
            <w:tcW w:w="0" w:type="auto"/>
            <w:tcMar>
              <w:top w:w="15" w:type="dxa"/>
              <w:left w:w="75" w:type="dxa"/>
              <w:bottom w:w="15" w:type="dxa"/>
              <w:right w:w="75" w:type="dxa"/>
            </w:tcMar>
            <w:vAlign w:val="center"/>
            <w:hideMark/>
          </w:tcPr>
          <w:p w14:paraId="3EF9BDB9" w14:textId="77777777" w:rsidR="00AF6702" w:rsidRPr="00702882" w:rsidRDefault="00AF6702" w:rsidP="008D265E">
            <w:pPr>
              <w:spacing w:before="150" w:after="150"/>
              <w:contextualSpacing/>
              <w:rPr>
                <w:sz w:val="20"/>
                <w:szCs w:val="20"/>
              </w:rPr>
            </w:pPr>
            <w:r w:rsidRPr="00702882">
              <w:rPr>
                <w:sz w:val="20"/>
                <w:szCs w:val="20"/>
              </w:rPr>
              <w:t>-0.20 (0.54)</w:t>
            </w:r>
          </w:p>
        </w:tc>
        <w:tc>
          <w:tcPr>
            <w:tcW w:w="0" w:type="auto"/>
            <w:tcMar>
              <w:top w:w="15" w:type="dxa"/>
              <w:left w:w="75" w:type="dxa"/>
              <w:bottom w:w="15" w:type="dxa"/>
              <w:right w:w="75" w:type="dxa"/>
            </w:tcMar>
            <w:vAlign w:val="center"/>
            <w:hideMark/>
          </w:tcPr>
          <w:p w14:paraId="0DF04411" w14:textId="77777777" w:rsidR="00AF6702" w:rsidRPr="00702882" w:rsidRDefault="00AF6702" w:rsidP="008D265E">
            <w:pPr>
              <w:spacing w:before="150" w:after="150"/>
              <w:contextualSpacing/>
              <w:rPr>
                <w:sz w:val="20"/>
                <w:szCs w:val="20"/>
              </w:rPr>
            </w:pPr>
            <w:r w:rsidRPr="00702882">
              <w:rPr>
                <w:sz w:val="20"/>
                <w:szCs w:val="20"/>
              </w:rPr>
              <w:t>-0.19 (0.53)</w:t>
            </w:r>
          </w:p>
        </w:tc>
      </w:tr>
      <w:tr w:rsidR="00AC7046" w:rsidRPr="00702882" w14:paraId="72BA1529" w14:textId="77777777" w:rsidTr="00AE6820">
        <w:tc>
          <w:tcPr>
            <w:tcW w:w="0" w:type="auto"/>
            <w:tcMar>
              <w:top w:w="15" w:type="dxa"/>
              <w:left w:w="75" w:type="dxa"/>
              <w:bottom w:w="15" w:type="dxa"/>
              <w:right w:w="75" w:type="dxa"/>
            </w:tcMar>
            <w:vAlign w:val="center"/>
            <w:hideMark/>
          </w:tcPr>
          <w:p w14:paraId="442AD099" w14:textId="77777777" w:rsidR="00AF6702" w:rsidRPr="00702882" w:rsidRDefault="00AF6702" w:rsidP="008D265E">
            <w:pPr>
              <w:spacing w:before="150" w:after="150"/>
              <w:contextualSpacing/>
              <w:rPr>
                <w:sz w:val="20"/>
                <w:szCs w:val="20"/>
              </w:rPr>
            </w:pPr>
            <w:r w:rsidRPr="00702882">
              <w:rPr>
                <w:sz w:val="20"/>
                <w:szCs w:val="20"/>
              </w:rPr>
              <w:t>Election</w:t>
            </w:r>
          </w:p>
        </w:tc>
        <w:tc>
          <w:tcPr>
            <w:tcW w:w="0" w:type="auto"/>
            <w:tcMar>
              <w:top w:w="15" w:type="dxa"/>
              <w:left w:w="75" w:type="dxa"/>
              <w:bottom w:w="15" w:type="dxa"/>
              <w:right w:w="75" w:type="dxa"/>
            </w:tcMar>
            <w:vAlign w:val="center"/>
            <w:hideMark/>
          </w:tcPr>
          <w:p w14:paraId="39914D88" w14:textId="77777777" w:rsidR="00AF6702" w:rsidRPr="00702882" w:rsidRDefault="00AF6702" w:rsidP="008D265E">
            <w:pPr>
              <w:spacing w:before="150" w:after="150"/>
              <w:contextualSpacing/>
              <w:rPr>
                <w:sz w:val="20"/>
                <w:szCs w:val="20"/>
              </w:rPr>
            </w:pPr>
            <w:r w:rsidRPr="00702882">
              <w:rPr>
                <w:sz w:val="20"/>
                <w:szCs w:val="20"/>
              </w:rPr>
              <w:t>-0.04 (0.19)</w:t>
            </w:r>
          </w:p>
        </w:tc>
        <w:tc>
          <w:tcPr>
            <w:tcW w:w="0" w:type="auto"/>
            <w:tcMar>
              <w:top w:w="15" w:type="dxa"/>
              <w:left w:w="75" w:type="dxa"/>
              <w:bottom w:w="15" w:type="dxa"/>
              <w:right w:w="75" w:type="dxa"/>
            </w:tcMar>
            <w:vAlign w:val="center"/>
            <w:hideMark/>
          </w:tcPr>
          <w:p w14:paraId="16582CFB" w14:textId="77777777" w:rsidR="00AF6702" w:rsidRPr="00702882" w:rsidRDefault="00AF6702" w:rsidP="008D265E">
            <w:pPr>
              <w:spacing w:before="150" w:after="150"/>
              <w:contextualSpacing/>
              <w:rPr>
                <w:sz w:val="20"/>
                <w:szCs w:val="20"/>
              </w:rPr>
            </w:pPr>
            <w:r w:rsidRPr="00702882">
              <w:rPr>
                <w:sz w:val="20"/>
                <w:szCs w:val="20"/>
              </w:rPr>
              <w:t>-0.01 (0.19)</w:t>
            </w:r>
          </w:p>
        </w:tc>
        <w:tc>
          <w:tcPr>
            <w:tcW w:w="0" w:type="auto"/>
            <w:tcMar>
              <w:top w:w="15" w:type="dxa"/>
              <w:left w:w="75" w:type="dxa"/>
              <w:bottom w:w="15" w:type="dxa"/>
              <w:right w:w="75" w:type="dxa"/>
            </w:tcMar>
            <w:vAlign w:val="center"/>
            <w:hideMark/>
          </w:tcPr>
          <w:p w14:paraId="4FC2531A" w14:textId="77777777" w:rsidR="00AF6702" w:rsidRPr="00702882" w:rsidRDefault="00AF6702" w:rsidP="008D265E">
            <w:pPr>
              <w:spacing w:before="150" w:after="150"/>
              <w:contextualSpacing/>
              <w:rPr>
                <w:sz w:val="20"/>
                <w:szCs w:val="20"/>
              </w:rPr>
            </w:pPr>
            <w:r w:rsidRPr="00702882">
              <w:rPr>
                <w:sz w:val="20"/>
                <w:szCs w:val="20"/>
              </w:rPr>
              <w:t>0.02 (0.19)</w:t>
            </w:r>
          </w:p>
        </w:tc>
        <w:tc>
          <w:tcPr>
            <w:tcW w:w="0" w:type="auto"/>
            <w:tcMar>
              <w:top w:w="15" w:type="dxa"/>
              <w:left w:w="75" w:type="dxa"/>
              <w:bottom w:w="15" w:type="dxa"/>
              <w:right w:w="75" w:type="dxa"/>
            </w:tcMar>
            <w:vAlign w:val="center"/>
            <w:hideMark/>
          </w:tcPr>
          <w:p w14:paraId="6CFAF5F1" w14:textId="77777777" w:rsidR="00AF6702" w:rsidRPr="00702882" w:rsidRDefault="00AF6702" w:rsidP="008D265E">
            <w:pPr>
              <w:spacing w:before="150" w:after="150"/>
              <w:contextualSpacing/>
              <w:rPr>
                <w:sz w:val="20"/>
                <w:szCs w:val="20"/>
              </w:rPr>
            </w:pPr>
            <w:r w:rsidRPr="00702882">
              <w:rPr>
                <w:sz w:val="20"/>
                <w:szCs w:val="20"/>
              </w:rPr>
              <w:t>0.02 (0.19)</w:t>
            </w:r>
          </w:p>
        </w:tc>
      </w:tr>
      <w:tr w:rsidR="00AC7046" w:rsidRPr="00702882" w14:paraId="23E8DF9A" w14:textId="77777777" w:rsidTr="00AE6820">
        <w:tc>
          <w:tcPr>
            <w:tcW w:w="0" w:type="auto"/>
            <w:tcMar>
              <w:top w:w="15" w:type="dxa"/>
              <w:left w:w="75" w:type="dxa"/>
              <w:bottom w:w="15" w:type="dxa"/>
              <w:right w:w="75" w:type="dxa"/>
            </w:tcMar>
            <w:vAlign w:val="center"/>
            <w:hideMark/>
          </w:tcPr>
          <w:p w14:paraId="67CAB469" w14:textId="77777777" w:rsidR="00AF6702" w:rsidRPr="00702882" w:rsidRDefault="00AF6702" w:rsidP="008D265E">
            <w:pPr>
              <w:spacing w:before="150" w:after="150"/>
              <w:contextualSpacing/>
              <w:rPr>
                <w:sz w:val="20"/>
                <w:szCs w:val="20"/>
              </w:rPr>
            </w:pPr>
            <w:r w:rsidRPr="00702882">
              <w:rPr>
                <w:sz w:val="20"/>
                <w:szCs w:val="20"/>
              </w:rPr>
              <w:t>Democrat_share</w:t>
            </w:r>
          </w:p>
        </w:tc>
        <w:tc>
          <w:tcPr>
            <w:tcW w:w="0" w:type="auto"/>
            <w:tcMar>
              <w:top w:w="15" w:type="dxa"/>
              <w:left w:w="75" w:type="dxa"/>
              <w:bottom w:w="15" w:type="dxa"/>
              <w:right w:w="75" w:type="dxa"/>
            </w:tcMar>
            <w:vAlign w:val="center"/>
            <w:hideMark/>
          </w:tcPr>
          <w:p w14:paraId="66781D59" w14:textId="77777777" w:rsidR="00AF6702" w:rsidRPr="00702882" w:rsidRDefault="00AF6702" w:rsidP="008D265E">
            <w:pPr>
              <w:spacing w:before="150" w:after="150"/>
              <w:contextualSpacing/>
              <w:rPr>
                <w:sz w:val="20"/>
                <w:szCs w:val="20"/>
              </w:rPr>
            </w:pPr>
            <w:r w:rsidRPr="00702882">
              <w:rPr>
                <w:sz w:val="20"/>
                <w:szCs w:val="20"/>
              </w:rPr>
              <w:t>1.81 (1.87)</w:t>
            </w:r>
          </w:p>
        </w:tc>
        <w:tc>
          <w:tcPr>
            <w:tcW w:w="0" w:type="auto"/>
            <w:tcMar>
              <w:top w:w="15" w:type="dxa"/>
              <w:left w:w="75" w:type="dxa"/>
              <w:bottom w:w="15" w:type="dxa"/>
              <w:right w:w="75" w:type="dxa"/>
            </w:tcMar>
            <w:vAlign w:val="center"/>
            <w:hideMark/>
          </w:tcPr>
          <w:p w14:paraId="290ACD2E" w14:textId="77777777" w:rsidR="00AF6702" w:rsidRPr="00702882" w:rsidRDefault="00AF6702" w:rsidP="008D265E">
            <w:pPr>
              <w:spacing w:before="150" w:after="150"/>
              <w:contextualSpacing/>
              <w:rPr>
                <w:sz w:val="20"/>
                <w:szCs w:val="20"/>
              </w:rPr>
            </w:pPr>
            <w:r w:rsidRPr="00702882">
              <w:rPr>
                <w:sz w:val="20"/>
                <w:szCs w:val="20"/>
              </w:rPr>
              <w:t>1.44 (1.98)</w:t>
            </w:r>
          </w:p>
        </w:tc>
        <w:tc>
          <w:tcPr>
            <w:tcW w:w="0" w:type="auto"/>
            <w:tcMar>
              <w:top w:w="15" w:type="dxa"/>
              <w:left w:w="75" w:type="dxa"/>
              <w:bottom w:w="15" w:type="dxa"/>
              <w:right w:w="75" w:type="dxa"/>
            </w:tcMar>
            <w:vAlign w:val="center"/>
            <w:hideMark/>
          </w:tcPr>
          <w:p w14:paraId="1E6E1C21" w14:textId="77777777" w:rsidR="00AF6702" w:rsidRPr="00702882" w:rsidRDefault="00AF6702" w:rsidP="008D265E">
            <w:pPr>
              <w:spacing w:before="150" w:after="150"/>
              <w:contextualSpacing/>
              <w:rPr>
                <w:sz w:val="20"/>
                <w:szCs w:val="20"/>
              </w:rPr>
            </w:pPr>
            <w:r w:rsidRPr="00702882">
              <w:rPr>
                <w:sz w:val="20"/>
                <w:szCs w:val="20"/>
              </w:rPr>
              <w:t>1.67 (1.74)</w:t>
            </w:r>
          </w:p>
        </w:tc>
        <w:tc>
          <w:tcPr>
            <w:tcW w:w="0" w:type="auto"/>
            <w:tcMar>
              <w:top w:w="15" w:type="dxa"/>
              <w:left w:w="75" w:type="dxa"/>
              <w:bottom w:w="15" w:type="dxa"/>
              <w:right w:w="75" w:type="dxa"/>
            </w:tcMar>
            <w:vAlign w:val="center"/>
            <w:hideMark/>
          </w:tcPr>
          <w:p w14:paraId="0139DD3B" w14:textId="77777777" w:rsidR="00AF6702" w:rsidRPr="00702882" w:rsidRDefault="00AF6702" w:rsidP="008D265E">
            <w:pPr>
              <w:spacing w:before="150" w:after="150"/>
              <w:contextualSpacing/>
              <w:rPr>
                <w:sz w:val="20"/>
                <w:szCs w:val="20"/>
              </w:rPr>
            </w:pPr>
            <w:r w:rsidRPr="00702882">
              <w:rPr>
                <w:sz w:val="20"/>
                <w:szCs w:val="20"/>
              </w:rPr>
              <w:t>1.53 (1.75)</w:t>
            </w:r>
          </w:p>
        </w:tc>
      </w:tr>
      <w:tr w:rsidR="00AC7046" w:rsidRPr="00702882" w14:paraId="59866D56" w14:textId="77777777" w:rsidTr="00AE6820">
        <w:tc>
          <w:tcPr>
            <w:tcW w:w="0" w:type="auto"/>
            <w:tcMar>
              <w:top w:w="15" w:type="dxa"/>
              <w:left w:w="75" w:type="dxa"/>
              <w:bottom w:w="15" w:type="dxa"/>
              <w:right w:w="75" w:type="dxa"/>
            </w:tcMar>
            <w:vAlign w:val="center"/>
            <w:hideMark/>
          </w:tcPr>
          <w:p w14:paraId="37D6CF25" w14:textId="77777777" w:rsidR="00AF6702" w:rsidRPr="00702882" w:rsidRDefault="00AF6702" w:rsidP="008D265E">
            <w:pPr>
              <w:spacing w:before="150" w:after="150"/>
              <w:contextualSpacing/>
              <w:rPr>
                <w:sz w:val="20"/>
                <w:szCs w:val="20"/>
              </w:rPr>
            </w:pPr>
            <w:r w:rsidRPr="00702882">
              <w:rPr>
                <w:sz w:val="20"/>
                <w:szCs w:val="20"/>
              </w:rPr>
              <w:t>Division</w:t>
            </w:r>
          </w:p>
        </w:tc>
        <w:tc>
          <w:tcPr>
            <w:tcW w:w="0" w:type="auto"/>
            <w:tcMar>
              <w:top w:w="15" w:type="dxa"/>
              <w:left w:w="75" w:type="dxa"/>
              <w:bottom w:w="15" w:type="dxa"/>
              <w:right w:w="75" w:type="dxa"/>
            </w:tcMar>
            <w:vAlign w:val="center"/>
            <w:hideMark/>
          </w:tcPr>
          <w:p w14:paraId="46D58643" w14:textId="77777777" w:rsidR="00AF6702" w:rsidRPr="00702882" w:rsidRDefault="00AF6702" w:rsidP="008D265E">
            <w:pPr>
              <w:spacing w:before="150" w:after="150"/>
              <w:contextualSpacing/>
              <w:rPr>
                <w:sz w:val="20"/>
                <w:szCs w:val="20"/>
              </w:rPr>
            </w:pPr>
            <w:r w:rsidRPr="00702882">
              <w:rPr>
                <w:sz w:val="20"/>
                <w:szCs w:val="20"/>
              </w:rPr>
              <w:t>0.51 (0.37)</w:t>
            </w:r>
          </w:p>
        </w:tc>
        <w:tc>
          <w:tcPr>
            <w:tcW w:w="0" w:type="auto"/>
            <w:tcMar>
              <w:top w:w="15" w:type="dxa"/>
              <w:left w:w="75" w:type="dxa"/>
              <w:bottom w:w="15" w:type="dxa"/>
              <w:right w:w="75" w:type="dxa"/>
            </w:tcMar>
            <w:vAlign w:val="center"/>
            <w:hideMark/>
          </w:tcPr>
          <w:p w14:paraId="088C82F9" w14:textId="77777777" w:rsidR="00AF6702" w:rsidRPr="00702882" w:rsidRDefault="00AF6702" w:rsidP="008D265E">
            <w:pPr>
              <w:spacing w:before="150" w:after="150"/>
              <w:contextualSpacing/>
              <w:rPr>
                <w:sz w:val="20"/>
                <w:szCs w:val="20"/>
              </w:rPr>
            </w:pPr>
            <w:r w:rsidRPr="00702882">
              <w:rPr>
                <w:sz w:val="20"/>
                <w:szCs w:val="20"/>
              </w:rPr>
              <w:t>0.39 (0.38)</w:t>
            </w:r>
          </w:p>
        </w:tc>
        <w:tc>
          <w:tcPr>
            <w:tcW w:w="0" w:type="auto"/>
            <w:tcMar>
              <w:top w:w="15" w:type="dxa"/>
              <w:left w:w="75" w:type="dxa"/>
              <w:bottom w:w="15" w:type="dxa"/>
              <w:right w:w="75" w:type="dxa"/>
            </w:tcMar>
            <w:vAlign w:val="center"/>
            <w:hideMark/>
          </w:tcPr>
          <w:p w14:paraId="11893AA4" w14:textId="77777777" w:rsidR="00AF6702" w:rsidRPr="00702882" w:rsidRDefault="00AF6702" w:rsidP="008D265E">
            <w:pPr>
              <w:spacing w:before="150" w:after="150"/>
              <w:contextualSpacing/>
              <w:rPr>
                <w:sz w:val="20"/>
                <w:szCs w:val="20"/>
              </w:rPr>
            </w:pPr>
            <w:r w:rsidRPr="00702882">
              <w:rPr>
                <w:sz w:val="20"/>
                <w:szCs w:val="20"/>
              </w:rPr>
              <w:t>0.41 (0.39)</w:t>
            </w:r>
          </w:p>
        </w:tc>
        <w:tc>
          <w:tcPr>
            <w:tcW w:w="0" w:type="auto"/>
            <w:tcMar>
              <w:top w:w="15" w:type="dxa"/>
              <w:left w:w="75" w:type="dxa"/>
              <w:bottom w:w="15" w:type="dxa"/>
              <w:right w:w="75" w:type="dxa"/>
            </w:tcMar>
            <w:vAlign w:val="center"/>
            <w:hideMark/>
          </w:tcPr>
          <w:p w14:paraId="589B512F" w14:textId="77777777" w:rsidR="00AF6702" w:rsidRPr="00702882" w:rsidRDefault="00AF6702" w:rsidP="008D265E">
            <w:pPr>
              <w:spacing w:before="150" w:after="150"/>
              <w:contextualSpacing/>
              <w:rPr>
                <w:sz w:val="20"/>
                <w:szCs w:val="20"/>
              </w:rPr>
            </w:pPr>
            <w:r w:rsidRPr="00702882">
              <w:rPr>
                <w:sz w:val="20"/>
                <w:szCs w:val="20"/>
              </w:rPr>
              <w:t>0.40 (0.39)</w:t>
            </w:r>
          </w:p>
        </w:tc>
      </w:tr>
      <w:tr w:rsidR="00AC7046" w:rsidRPr="00702882" w14:paraId="0ABBE0A2" w14:textId="77777777" w:rsidTr="00AE6820">
        <w:tc>
          <w:tcPr>
            <w:tcW w:w="0" w:type="auto"/>
            <w:tcMar>
              <w:top w:w="15" w:type="dxa"/>
              <w:left w:w="75" w:type="dxa"/>
              <w:bottom w:w="15" w:type="dxa"/>
              <w:right w:w="75" w:type="dxa"/>
            </w:tcMar>
            <w:vAlign w:val="center"/>
            <w:hideMark/>
          </w:tcPr>
          <w:p w14:paraId="151D6059" w14:textId="77777777" w:rsidR="00AF6702" w:rsidRPr="00702882" w:rsidRDefault="00AF6702" w:rsidP="008D265E">
            <w:pPr>
              <w:spacing w:before="150" w:after="150"/>
              <w:contextualSpacing/>
              <w:rPr>
                <w:sz w:val="20"/>
                <w:szCs w:val="20"/>
              </w:rPr>
            </w:pPr>
            <w:r w:rsidRPr="00702882">
              <w:rPr>
                <w:sz w:val="20"/>
                <w:szCs w:val="20"/>
              </w:rPr>
              <w:t>WithLim</w:t>
            </w:r>
          </w:p>
        </w:tc>
        <w:tc>
          <w:tcPr>
            <w:tcW w:w="0" w:type="auto"/>
            <w:tcMar>
              <w:top w:w="15" w:type="dxa"/>
              <w:left w:w="75" w:type="dxa"/>
              <w:bottom w:w="15" w:type="dxa"/>
              <w:right w:w="75" w:type="dxa"/>
            </w:tcMar>
            <w:vAlign w:val="center"/>
            <w:hideMark/>
          </w:tcPr>
          <w:p w14:paraId="23060396"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8C44F62" w14:textId="77777777" w:rsidR="00AF6702" w:rsidRPr="00702882" w:rsidRDefault="00AF6702" w:rsidP="008D265E">
            <w:pPr>
              <w:spacing w:before="150" w:after="150"/>
              <w:contextualSpacing/>
              <w:rPr>
                <w:sz w:val="20"/>
                <w:szCs w:val="20"/>
              </w:rPr>
            </w:pPr>
            <w:r w:rsidRPr="00702882">
              <w:rPr>
                <w:sz w:val="20"/>
                <w:szCs w:val="20"/>
              </w:rPr>
              <w:t>0.27 (1.17)</w:t>
            </w:r>
          </w:p>
        </w:tc>
        <w:tc>
          <w:tcPr>
            <w:tcW w:w="0" w:type="auto"/>
            <w:tcMar>
              <w:top w:w="15" w:type="dxa"/>
              <w:left w:w="75" w:type="dxa"/>
              <w:bottom w:w="15" w:type="dxa"/>
              <w:right w:w="75" w:type="dxa"/>
            </w:tcMar>
            <w:vAlign w:val="center"/>
            <w:hideMark/>
          </w:tcPr>
          <w:p w14:paraId="5E263DCA"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C1D4A64" w14:textId="77777777" w:rsidR="00AF6702" w:rsidRPr="00702882" w:rsidRDefault="00AF6702" w:rsidP="008D265E">
            <w:pPr>
              <w:spacing w:before="150" w:after="150"/>
              <w:contextualSpacing/>
              <w:rPr>
                <w:sz w:val="20"/>
                <w:szCs w:val="20"/>
              </w:rPr>
            </w:pPr>
            <w:r w:rsidRPr="00702882">
              <w:rPr>
                <w:sz w:val="20"/>
                <w:szCs w:val="20"/>
              </w:rPr>
              <w:t> </w:t>
            </w:r>
          </w:p>
        </w:tc>
      </w:tr>
      <w:tr w:rsidR="00AC7046" w:rsidRPr="00702882" w14:paraId="184D8AC3" w14:textId="77777777" w:rsidTr="00AE6820">
        <w:tc>
          <w:tcPr>
            <w:tcW w:w="0" w:type="auto"/>
            <w:tcMar>
              <w:top w:w="15" w:type="dxa"/>
              <w:left w:w="75" w:type="dxa"/>
              <w:bottom w:w="15" w:type="dxa"/>
              <w:right w:w="75" w:type="dxa"/>
            </w:tcMar>
            <w:vAlign w:val="center"/>
            <w:hideMark/>
          </w:tcPr>
          <w:p w14:paraId="64A55588" w14:textId="77777777" w:rsidR="00AF6702" w:rsidRPr="00702882" w:rsidRDefault="00AF6702" w:rsidP="008D265E">
            <w:pPr>
              <w:spacing w:before="150" w:after="150"/>
              <w:contextualSpacing/>
              <w:rPr>
                <w:sz w:val="20"/>
                <w:szCs w:val="20"/>
              </w:rPr>
            </w:pPr>
            <w:r w:rsidRPr="00702882">
              <w:rPr>
                <w:sz w:val="20"/>
                <w:szCs w:val="20"/>
              </w:rPr>
              <w:t>Number:Unemployment</w:t>
            </w:r>
          </w:p>
        </w:tc>
        <w:tc>
          <w:tcPr>
            <w:tcW w:w="0" w:type="auto"/>
            <w:tcMar>
              <w:top w:w="15" w:type="dxa"/>
              <w:left w:w="75" w:type="dxa"/>
              <w:bottom w:w="15" w:type="dxa"/>
              <w:right w:w="75" w:type="dxa"/>
            </w:tcMar>
            <w:vAlign w:val="center"/>
            <w:hideMark/>
          </w:tcPr>
          <w:p w14:paraId="35CF2277"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66A03D3" w14:textId="77777777" w:rsidR="00AF6702" w:rsidRPr="00702882" w:rsidRDefault="00AF6702" w:rsidP="008D265E">
            <w:pPr>
              <w:spacing w:before="150" w:after="150"/>
              <w:contextualSpacing/>
              <w:rPr>
                <w:sz w:val="20"/>
                <w:szCs w:val="20"/>
              </w:rPr>
            </w:pPr>
            <w:r w:rsidRPr="00702882">
              <w:rPr>
                <w:sz w:val="20"/>
                <w:szCs w:val="20"/>
              </w:rPr>
              <w:t>0.09 (0.13)</w:t>
            </w:r>
          </w:p>
        </w:tc>
        <w:tc>
          <w:tcPr>
            <w:tcW w:w="0" w:type="auto"/>
            <w:tcMar>
              <w:top w:w="15" w:type="dxa"/>
              <w:left w:w="75" w:type="dxa"/>
              <w:bottom w:w="15" w:type="dxa"/>
              <w:right w:w="75" w:type="dxa"/>
            </w:tcMar>
            <w:vAlign w:val="center"/>
            <w:hideMark/>
          </w:tcPr>
          <w:p w14:paraId="0C219244"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EF501A8" w14:textId="77777777" w:rsidR="00AF6702" w:rsidRPr="00702882" w:rsidRDefault="00AF6702" w:rsidP="008D265E">
            <w:pPr>
              <w:spacing w:before="150" w:after="150"/>
              <w:contextualSpacing/>
              <w:rPr>
                <w:sz w:val="20"/>
                <w:szCs w:val="20"/>
              </w:rPr>
            </w:pPr>
            <w:r w:rsidRPr="00702882">
              <w:rPr>
                <w:sz w:val="20"/>
                <w:szCs w:val="20"/>
              </w:rPr>
              <w:t> </w:t>
            </w:r>
          </w:p>
        </w:tc>
      </w:tr>
      <w:tr w:rsidR="00AC7046" w:rsidRPr="00702882" w14:paraId="101F194C" w14:textId="77777777" w:rsidTr="00AE6820">
        <w:tc>
          <w:tcPr>
            <w:tcW w:w="0" w:type="auto"/>
            <w:tcMar>
              <w:top w:w="15" w:type="dxa"/>
              <w:left w:w="75" w:type="dxa"/>
              <w:bottom w:w="15" w:type="dxa"/>
              <w:right w:w="75" w:type="dxa"/>
            </w:tcMar>
            <w:vAlign w:val="center"/>
            <w:hideMark/>
          </w:tcPr>
          <w:p w14:paraId="71D110B6" w14:textId="77777777" w:rsidR="00AF6702" w:rsidRPr="00702882" w:rsidRDefault="00AF6702" w:rsidP="008D265E">
            <w:pPr>
              <w:spacing w:before="150" w:after="150"/>
              <w:contextualSpacing/>
              <w:rPr>
                <w:sz w:val="20"/>
                <w:szCs w:val="20"/>
              </w:rPr>
            </w:pPr>
            <w:r w:rsidRPr="00702882">
              <w:rPr>
                <w:sz w:val="20"/>
                <w:szCs w:val="20"/>
              </w:rPr>
              <w:t>Source_percent:Unemployment</w:t>
            </w:r>
          </w:p>
        </w:tc>
        <w:tc>
          <w:tcPr>
            <w:tcW w:w="0" w:type="auto"/>
            <w:tcMar>
              <w:top w:w="15" w:type="dxa"/>
              <w:left w:w="75" w:type="dxa"/>
              <w:bottom w:w="15" w:type="dxa"/>
              <w:right w:w="75" w:type="dxa"/>
            </w:tcMar>
            <w:vAlign w:val="center"/>
            <w:hideMark/>
          </w:tcPr>
          <w:p w14:paraId="7C7B06F5"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6C6D420" w14:textId="77777777" w:rsidR="00AF6702" w:rsidRPr="00702882" w:rsidRDefault="00AF6702" w:rsidP="008D265E">
            <w:pPr>
              <w:spacing w:before="150" w:after="150"/>
              <w:contextualSpacing/>
              <w:rPr>
                <w:sz w:val="20"/>
                <w:szCs w:val="20"/>
              </w:rPr>
            </w:pPr>
            <w:r w:rsidRPr="00702882">
              <w:rPr>
                <w:sz w:val="20"/>
                <w:szCs w:val="20"/>
              </w:rPr>
              <w:t>0.20 (0.06)</w:t>
            </w:r>
            <w:r w:rsidRPr="00702882">
              <w:rPr>
                <w:sz w:val="20"/>
                <w:szCs w:val="20"/>
                <w:vertAlign w:val="superscript"/>
              </w:rPr>
              <w:t>***</w:t>
            </w:r>
          </w:p>
        </w:tc>
        <w:tc>
          <w:tcPr>
            <w:tcW w:w="0" w:type="auto"/>
            <w:tcMar>
              <w:top w:w="15" w:type="dxa"/>
              <w:left w:w="75" w:type="dxa"/>
              <w:bottom w:w="15" w:type="dxa"/>
              <w:right w:w="75" w:type="dxa"/>
            </w:tcMar>
            <w:vAlign w:val="center"/>
            <w:hideMark/>
          </w:tcPr>
          <w:p w14:paraId="64C4917C" w14:textId="77777777" w:rsidR="00AF6702" w:rsidRPr="00702882" w:rsidRDefault="00AF6702" w:rsidP="008D265E">
            <w:pPr>
              <w:spacing w:before="150" w:after="150"/>
              <w:contextualSpacing/>
              <w:rPr>
                <w:sz w:val="20"/>
                <w:szCs w:val="20"/>
              </w:rPr>
            </w:pPr>
            <w:r w:rsidRPr="00702882">
              <w:rPr>
                <w:sz w:val="20"/>
                <w:szCs w:val="20"/>
              </w:rPr>
              <w:t>0.19 (0.05)</w:t>
            </w:r>
            <w:r w:rsidRPr="00702882">
              <w:rPr>
                <w:sz w:val="20"/>
                <w:szCs w:val="20"/>
                <w:vertAlign w:val="superscript"/>
              </w:rPr>
              <w:t>***</w:t>
            </w:r>
          </w:p>
        </w:tc>
        <w:tc>
          <w:tcPr>
            <w:tcW w:w="0" w:type="auto"/>
            <w:tcMar>
              <w:top w:w="15" w:type="dxa"/>
              <w:left w:w="75" w:type="dxa"/>
              <w:bottom w:w="15" w:type="dxa"/>
              <w:right w:w="75" w:type="dxa"/>
            </w:tcMar>
            <w:vAlign w:val="center"/>
            <w:hideMark/>
          </w:tcPr>
          <w:p w14:paraId="640E3549" w14:textId="77777777" w:rsidR="00AF6702" w:rsidRPr="00702882" w:rsidRDefault="00AF6702" w:rsidP="008D265E">
            <w:pPr>
              <w:spacing w:before="150" w:after="150"/>
              <w:contextualSpacing/>
              <w:rPr>
                <w:sz w:val="20"/>
                <w:szCs w:val="20"/>
              </w:rPr>
            </w:pPr>
            <w:r w:rsidRPr="00702882">
              <w:rPr>
                <w:sz w:val="20"/>
                <w:szCs w:val="20"/>
              </w:rPr>
              <w:t>0.19 (0.05)</w:t>
            </w:r>
            <w:r w:rsidRPr="00702882">
              <w:rPr>
                <w:sz w:val="20"/>
                <w:szCs w:val="20"/>
                <w:vertAlign w:val="superscript"/>
              </w:rPr>
              <w:t>***</w:t>
            </w:r>
          </w:p>
        </w:tc>
      </w:tr>
      <w:tr w:rsidR="00AC7046" w:rsidRPr="00702882" w14:paraId="1BF860D5" w14:textId="77777777" w:rsidTr="00AE6820">
        <w:tc>
          <w:tcPr>
            <w:tcW w:w="0" w:type="auto"/>
            <w:tcMar>
              <w:top w:w="15" w:type="dxa"/>
              <w:left w:w="75" w:type="dxa"/>
              <w:bottom w:w="15" w:type="dxa"/>
              <w:right w:w="75" w:type="dxa"/>
            </w:tcMar>
            <w:vAlign w:val="center"/>
            <w:hideMark/>
          </w:tcPr>
          <w:p w14:paraId="141A420B" w14:textId="77777777" w:rsidR="00AF6702" w:rsidRPr="00702882" w:rsidRDefault="00AF6702" w:rsidP="008D265E">
            <w:pPr>
              <w:spacing w:before="150" w:after="150"/>
              <w:contextualSpacing/>
              <w:rPr>
                <w:sz w:val="20"/>
                <w:szCs w:val="20"/>
              </w:rPr>
            </w:pPr>
            <w:r w:rsidRPr="00702882">
              <w:rPr>
                <w:sz w:val="20"/>
                <w:szCs w:val="20"/>
              </w:rPr>
              <w:t>Cap_percent:Unemployment</w:t>
            </w:r>
          </w:p>
        </w:tc>
        <w:tc>
          <w:tcPr>
            <w:tcW w:w="0" w:type="auto"/>
            <w:tcMar>
              <w:top w:w="15" w:type="dxa"/>
              <w:left w:w="75" w:type="dxa"/>
              <w:bottom w:w="15" w:type="dxa"/>
              <w:right w:w="75" w:type="dxa"/>
            </w:tcMar>
            <w:vAlign w:val="center"/>
            <w:hideMark/>
          </w:tcPr>
          <w:p w14:paraId="4E6453C5"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9EE9A1C" w14:textId="77777777" w:rsidR="00AF6702" w:rsidRPr="00702882" w:rsidRDefault="00AF6702" w:rsidP="008D265E">
            <w:pPr>
              <w:spacing w:before="150" w:after="150"/>
              <w:contextualSpacing/>
              <w:rPr>
                <w:sz w:val="20"/>
                <w:szCs w:val="20"/>
              </w:rPr>
            </w:pPr>
            <w:r w:rsidRPr="00702882">
              <w:rPr>
                <w:sz w:val="20"/>
                <w:szCs w:val="20"/>
              </w:rPr>
              <w:t>0.00 (0.00)</w:t>
            </w:r>
          </w:p>
        </w:tc>
        <w:tc>
          <w:tcPr>
            <w:tcW w:w="0" w:type="auto"/>
            <w:tcMar>
              <w:top w:w="15" w:type="dxa"/>
              <w:left w:w="75" w:type="dxa"/>
              <w:bottom w:w="15" w:type="dxa"/>
              <w:right w:w="75" w:type="dxa"/>
            </w:tcMar>
            <w:vAlign w:val="center"/>
            <w:hideMark/>
          </w:tcPr>
          <w:p w14:paraId="519B1371"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545A5D9" w14:textId="77777777" w:rsidR="00AF6702" w:rsidRPr="00702882" w:rsidRDefault="00AF6702" w:rsidP="008D265E">
            <w:pPr>
              <w:spacing w:before="150" w:after="150"/>
              <w:contextualSpacing/>
              <w:rPr>
                <w:sz w:val="20"/>
                <w:szCs w:val="20"/>
              </w:rPr>
            </w:pPr>
            <w:r w:rsidRPr="00702882">
              <w:rPr>
                <w:sz w:val="20"/>
                <w:szCs w:val="20"/>
              </w:rPr>
              <w:t> </w:t>
            </w:r>
          </w:p>
        </w:tc>
      </w:tr>
      <w:tr w:rsidR="00AC7046" w:rsidRPr="00702882" w14:paraId="35BA736A" w14:textId="77777777" w:rsidTr="00AE6820">
        <w:tc>
          <w:tcPr>
            <w:tcW w:w="0" w:type="auto"/>
            <w:tcMar>
              <w:top w:w="15" w:type="dxa"/>
              <w:left w:w="75" w:type="dxa"/>
              <w:bottom w:w="15" w:type="dxa"/>
              <w:right w:w="75" w:type="dxa"/>
            </w:tcMar>
            <w:vAlign w:val="center"/>
            <w:hideMark/>
          </w:tcPr>
          <w:p w14:paraId="22A78D8B" w14:textId="77777777" w:rsidR="00AF6702" w:rsidRPr="00702882" w:rsidRDefault="00AF6702" w:rsidP="008D265E">
            <w:pPr>
              <w:spacing w:before="150" w:after="150"/>
              <w:contextualSpacing/>
              <w:rPr>
                <w:sz w:val="20"/>
                <w:szCs w:val="20"/>
              </w:rPr>
            </w:pPr>
            <w:r w:rsidRPr="00702882">
              <w:rPr>
                <w:sz w:val="20"/>
                <w:szCs w:val="20"/>
              </w:rPr>
              <w:t>DepoSurplus_numeric:Unemployment</w:t>
            </w:r>
          </w:p>
        </w:tc>
        <w:tc>
          <w:tcPr>
            <w:tcW w:w="0" w:type="auto"/>
            <w:tcMar>
              <w:top w:w="15" w:type="dxa"/>
              <w:left w:w="75" w:type="dxa"/>
              <w:bottom w:w="15" w:type="dxa"/>
              <w:right w:w="75" w:type="dxa"/>
            </w:tcMar>
            <w:vAlign w:val="center"/>
            <w:hideMark/>
          </w:tcPr>
          <w:p w14:paraId="10EDCFE3"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E4CE865" w14:textId="77777777" w:rsidR="00AF6702" w:rsidRPr="00702882" w:rsidRDefault="00AF6702" w:rsidP="008D265E">
            <w:pPr>
              <w:spacing w:before="150" w:after="150"/>
              <w:contextualSpacing/>
              <w:rPr>
                <w:sz w:val="20"/>
                <w:szCs w:val="20"/>
              </w:rPr>
            </w:pPr>
            <w:r w:rsidRPr="00702882">
              <w:rPr>
                <w:sz w:val="20"/>
                <w:szCs w:val="20"/>
              </w:rPr>
              <w:t>-0.28 (0.20)</w:t>
            </w:r>
          </w:p>
        </w:tc>
        <w:tc>
          <w:tcPr>
            <w:tcW w:w="0" w:type="auto"/>
            <w:tcMar>
              <w:top w:w="15" w:type="dxa"/>
              <w:left w:w="75" w:type="dxa"/>
              <w:bottom w:w="15" w:type="dxa"/>
              <w:right w:w="75" w:type="dxa"/>
            </w:tcMar>
            <w:vAlign w:val="center"/>
            <w:hideMark/>
          </w:tcPr>
          <w:p w14:paraId="377C359F"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321E0D1" w14:textId="77777777" w:rsidR="00AF6702" w:rsidRPr="00702882" w:rsidRDefault="00AF6702" w:rsidP="008D265E">
            <w:pPr>
              <w:spacing w:before="150" w:after="150"/>
              <w:contextualSpacing/>
              <w:rPr>
                <w:sz w:val="20"/>
                <w:szCs w:val="20"/>
              </w:rPr>
            </w:pPr>
            <w:r w:rsidRPr="00702882">
              <w:rPr>
                <w:sz w:val="20"/>
                <w:szCs w:val="20"/>
              </w:rPr>
              <w:t> </w:t>
            </w:r>
          </w:p>
        </w:tc>
      </w:tr>
      <w:tr w:rsidR="00AC7046" w:rsidRPr="00702882" w14:paraId="0815FC31" w14:textId="77777777" w:rsidTr="00AE6820">
        <w:tc>
          <w:tcPr>
            <w:tcW w:w="0" w:type="auto"/>
            <w:tcMar>
              <w:top w:w="15" w:type="dxa"/>
              <w:left w:w="75" w:type="dxa"/>
              <w:bottom w:w="15" w:type="dxa"/>
              <w:right w:w="75" w:type="dxa"/>
            </w:tcMar>
            <w:vAlign w:val="center"/>
            <w:hideMark/>
          </w:tcPr>
          <w:p w14:paraId="4CEA79E8" w14:textId="77777777" w:rsidR="00AF6702" w:rsidRPr="00702882" w:rsidRDefault="00AF6702" w:rsidP="008D265E">
            <w:pPr>
              <w:spacing w:before="150" w:after="150"/>
              <w:contextualSpacing/>
              <w:rPr>
                <w:sz w:val="20"/>
                <w:szCs w:val="20"/>
              </w:rPr>
            </w:pPr>
            <w:r w:rsidRPr="00702882">
              <w:rPr>
                <w:sz w:val="20"/>
                <w:szCs w:val="20"/>
              </w:rPr>
              <w:t>DepoVol_formula:Unemployment</w:t>
            </w:r>
          </w:p>
        </w:tc>
        <w:tc>
          <w:tcPr>
            <w:tcW w:w="0" w:type="auto"/>
            <w:tcMar>
              <w:top w:w="15" w:type="dxa"/>
              <w:left w:w="75" w:type="dxa"/>
              <w:bottom w:w="15" w:type="dxa"/>
              <w:right w:w="75" w:type="dxa"/>
            </w:tcMar>
            <w:vAlign w:val="center"/>
            <w:hideMark/>
          </w:tcPr>
          <w:p w14:paraId="5A538F4C"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2AD4487" w14:textId="77777777" w:rsidR="00AF6702" w:rsidRPr="00702882" w:rsidRDefault="00AF6702" w:rsidP="008D265E">
            <w:pPr>
              <w:spacing w:before="150" w:after="150"/>
              <w:contextualSpacing/>
              <w:rPr>
                <w:sz w:val="20"/>
                <w:szCs w:val="20"/>
              </w:rPr>
            </w:pPr>
            <w:r w:rsidRPr="00702882">
              <w:rPr>
                <w:sz w:val="20"/>
                <w:szCs w:val="20"/>
              </w:rPr>
              <w:t>-0.18 (0.19)</w:t>
            </w:r>
          </w:p>
        </w:tc>
        <w:tc>
          <w:tcPr>
            <w:tcW w:w="0" w:type="auto"/>
            <w:tcMar>
              <w:top w:w="15" w:type="dxa"/>
              <w:left w:w="75" w:type="dxa"/>
              <w:bottom w:w="15" w:type="dxa"/>
              <w:right w:w="75" w:type="dxa"/>
            </w:tcMar>
            <w:vAlign w:val="center"/>
            <w:hideMark/>
          </w:tcPr>
          <w:p w14:paraId="5C2ADACA"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31858DD" w14:textId="77777777" w:rsidR="00AF6702" w:rsidRPr="00702882" w:rsidRDefault="00AF6702" w:rsidP="008D265E">
            <w:pPr>
              <w:spacing w:before="150" w:after="150"/>
              <w:contextualSpacing/>
              <w:rPr>
                <w:sz w:val="20"/>
                <w:szCs w:val="20"/>
              </w:rPr>
            </w:pPr>
            <w:r w:rsidRPr="00702882">
              <w:rPr>
                <w:sz w:val="20"/>
                <w:szCs w:val="20"/>
              </w:rPr>
              <w:t> </w:t>
            </w:r>
          </w:p>
        </w:tc>
      </w:tr>
      <w:tr w:rsidR="00AC7046" w:rsidRPr="00702882" w14:paraId="71BE543C" w14:textId="77777777" w:rsidTr="00AE6820">
        <w:tc>
          <w:tcPr>
            <w:tcW w:w="0" w:type="auto"/>
            <w:tcMar>
              <w:top w:w="15" w:type="dxa"/>
              <w:left w:w="75" w:type="dxa"/>
              <w:bottom w:w="15" w:type="dxa"/>
              <w:right w:w="75" w:type="dxa"/>
            </w:tcMar>
            <w:vAlign w:val="center"/>
            <w:hideMark/>
          </w:tcPr>
          <w:p w14:paraId="4E78987A" w14:textId="77777777" w:rsidR="00AF6702" w:rsidRPr="00702882" w:rsidRDefault="00AF6702" w:rsidP="008D265E">
            <w:pPr>
              <w:spacing w:before="150" w:after="150"/>
              <w:contextualSpacing/>
              <w:rPr>
                <w:sz w:val="20"/>
                <w:szCs w:val="20"/>
              </w:rPr>
            </w:pPr>
            <w:r w:rsidRPr="00702882">
              <w:rPr>
                <w:sz w:val="20"/>
                <w:szCs w:val="20"/>
              </w:rPr>
              <w:t>WithLegis_numeric:Unemployment</w:t>
            </w:r>
          </w:p>
        </w:tc>
        <w:tc>
          <w:tcPr>
            <w:tcW w:w="0" w:type="auto"/>
            <w:tcMar>
              <w:top w:w="15" w:type="dxa"/>
              <w:left w:w="75" w:type="dxa"/>
              <w:bottom w:w="15" w:type="dxa"/>
              <w:right w:w="75" w:type="dxa"/>
            </w:tcMar>
            <w:vAlign w:val="center"/>
            <w:hideMark/>
          </w:tcPr>
          <w:p w14:paraId="037E4E66"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F925CDF" w14:textId="77777777" w:rsidR="00AF6702" w:rsidRPr="00702882" w:rsidRDefault="00AF6702" w:rsidP="008D265E">
            <w:pPr>
              <w:spacing w:before="150" w:after="150"/>
              <w:contextualSpacing/>
              <w:rPr>
                <w:sz w:val="20"/>
                <w:szCs w:val="20"/>
              </w:rPr>
            </w:pPr>
            <w:r w:rsidRPr="00702882">
              <w:rPr>
                <w:sz w:val="20"/>
                <w:szCs w:val="20"/>
              </w:rPr>
              <w:t>0.12 (0.35)</w:t>
            </w:r>
          </w:p>
        </w:tc>
        <w:tc>
          <w:tcPr>
            <w:tcW w:w="0" w:type="auto"/>
            <w:tcMar>
              <w:top w:w="15" w:type="dxa"/>
              <w:left w:w="75" w:type="dxa"/>
              <w:bottom w:w="15" w:type="dxa"/>
              <w:right w:w="75" w:type="dxa"/>
            </w:tcMar>
            <w:vAlign w:val="center"/>
            <w:hideMark/>
          </w:tcPr>
          <w:p w14:paraId="4D01AB3B"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412D691" w14:textId="77777777" w:rsidR="00AF6702" w:rsidRPr="00702882" w:rsidRDefault="00AF6702" w:rsidP="008D265E">
            <w:pPr>
              <w:spacing w:before="150" w:after="150"/>
              <w:contextualSpacing/>
              <w:rPr>
                <w:sz w:val="20"/>
                <w:szCs w:val="20"/>
              </w:rPr>
            </w:pPr>
            <w:r w:rsidRPr="00702882">
              <w:rPr>
                <w:sz w:val="20"/>
                <w:szCs w:val="20"/>
              </w:rPr>
              <w:t> </w:t>
            </w:r>
          </w:p>
        </w:tc>
      </w:tr>
      <w:tr w:rsidR="00AC7046" w:rsidRPr="00702882" w14:paraId="0E867210" w14:textId="77777777" w:rsidTr="00AE6820">
        <w:tc>
          <w:tcPr>
            <w:tcW w:w="0" w:type="auto"/>
            <w:tcMar>
              <w:top w:w="15" w:type="dxa"/>
              <w:left w:w="75" w:type="dxa"/>
              <w:bottom w:w="15" w:type="dxa"/>
              <w:right w:w="75" w:type="dxa"/>
            </w:tcMar>
            <w:vAlign w:val="center"/>
            <w:hideMark/>
          </w:tcPr>
          <w:p w14:paraId="2DB280A7" w14:textId="77777777" w:rsidR="00AF6702" w:rsidRPr="00702882" w:rsidRDefault="00AF6702" w:rsidP="008D265E">
            <w:pPr>
              <w:spacing w:before="150" w:after="150"/>
              <w:contextualSpacing/>
              <w:rPr>
                <w:sz w:val="20"/>
                <w:szCs w:val="20"/>
              </w:rPr>
            </w:pPr>
            <w:r w:rsidRPr="00702882">
              <w:rPr>
                <w:sz w:val="20"/>
                <w:szCs w:val="20"/>
              </w:rPr>
              <w:t>Repay_4bin:Unemployment</w:t>
            </w:r>
          </w:p>
        </w:tc>
        <w:tc>
          <w:tcPr>
            <w:tcW w:w="0" w:type="auto"/>
            <w:tcMar>
              <w:top w:w="15" w:type="dxa"/>
              <w:left w:w="75" w:type="dxa"/>
              <w:bottom w:w="15" w:type="dxa"/>
              <w:right w:w="75" w:type="dxa"/>
            </w:tcMar>
            <w:vAlign w:val="center"/>
            <w:hideMark/>
          </w:tcPr>
          <w:p w14:paraId="33FE4E13"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E060CB7" w14:textId="77777777" w:rsidR="00AF6702" w:rsidRPr="00702882" w:rsidRDefault="00AF6702" w:rsidP="008D265E">
            <w:pPr>
              <w:spacing w:before="150" w:after="150"/>
              <w:contextualSpacing/>
              <w:rPr>
                <w:sz w:val="20"/>
                <w:szCs w:val="20"/>
              </w:rPr>
            </w:pPr>
            <w:r w:rsidRPr="00702882">
              <w:rPr>
                <w:sz w:val="20"/>
                <w:szCs w:val="20"/>
              </w:rPr>
              <w:t>0.12 (0.04)</w:t>
            </w:r>
            <w:r w:rsidRPr="00702882">
              <w:rPr>
                <w:sz w:val="20"/>
                <w:szCs w:val="20"/>
                <w:vertAlign w:val="superscript"/>
              </w:rPr>
              <w:t>***</w:t>
            </w:r>
          </w:p>
        </w:tc>
        <w:tc>
          <w:tcPr>
            <w:tcW w:w="0" w:type="auto"/>
            <w:tcMar>
              <w:top w:w="15" w:type="dxa"/>
              <w:left w:w="75" w:type="dxa"/>
              <w:bottom w:w="15" w:type="dxa"/>
              <w:right w:w="75" w:type="dxa"/>
            </w:tcMar>
            <w:vAlign w:val="center"/>
            <w:hideMark/>
          </w:tcPr>
          <w:p w14:paraId="09228BD8" w14:textId="77777777" w:rsidR="00AF6702" w:rsidRPr="00702882" w:rsidRDefault="00AF6702" w:rsidP="008D265E">
            <w:pPr>
              <w:spacing w:before="150" w:after="150"/>
              <w:contextualSpacing/>
              <w:rPr>
                <w:sz w:val="20"/>
                <w:szCs w:val="20"/>
              </w:rPr>
            </w:pPr>
            <w:r w:rsidRPr="00702882">
              <w:rPr>
                <w:sz w:val="20"/>
                <w:szCs w:val="20"/>
              </w:rPr>
              <w:t>0.14 (0.03)</w:t>
            </w:r>
            <w:r w:rsidRPr="00702882">
              <w:rPr>
                <w:sz w:val="20"/>
                <w:szCs w:val="20"/>
                <w:vertAlign w:val="superscript"/>
              </w:rPr>
              <w:t>***</w:t>
            </w:r>
          </w:p>
        </w:tc>
        <w:tc>
          <w:tcPr>
            <w:tcW w:w="0" w:type="auto"/>
            <w:tcMar>
              <w:top w:w="15" w:type="dxa"/>
              <w:left w:w="75" w:type="dxa"/>
              <w:bottom w:w="15" w:type="dxa"/>
              <w:right w:w="75" w:type="dxa"/>
            </w:tcMar>
            <w:vAlign w:val="center"/>
            <w:hideMark/>
          </w:tcPr>
          <w:p w14:paraId="0D5B9C43" w14:textId="77777777" w:rsidR="00AF6702" w:rsidRPr="00702882" w:rsidRDefault="00AF6702" w:rsidP="008D265E">
            <w:pPr>
              <w:spacing w:before="150" w:after="150"/>
              <w:contextualSpacing/>
              <w:rPr>
                <w:sz w:val="20"/>
                <w:szCs w:val="20"/>
              </w:rPr>
            </w:pPr>
            <w:r w:rsidRPr="00702882">
              <w:rPr>
                <w:sz w:val="20"/>
                <w:szCs w:val="20"/>
              </w:rPr>
              <w:t>0.14 (0.03)</w:t>
            </w:r>
            <w:r w:rsidRPr="00702882">
              <w:rPr>
                <w:sz w:val="20"/>
                <w:szCs w:val="20"/>
                <w:vertAlign w:val="superscript"/>
              </w:rPr>
              <w:t>***</w:t>
            </w:r>
          </w:p>
        </w:tc>
      </w:tr>
      <w:tr w:rsidR="00AC7046" w:rsidRPr="00702882" w14:paraId="356CBEA6" w14:textId="77777777" w:rsidTr="00AE6820">
        <w:tc>
          <w:tcPr>
            <w:tcW w:w="0" w:type="auto"/>
            <w:tcMar>
              <w:top w:w="15" w:type="dxa"/>
              <w:left w:w="75" w:type="dxa"/>
              <w:bottom w:w="15" w:type="dxa"/>
              <w:right w:w="75" w:type="dxa"/>
            </w:tcMar>
            <w:vAlign w:val="center"/>
            <w:hideMark/>
          </w:tcPr>
          <w:p w14:paraId="56D27A5F" w14:textId="77777777" w:rsidR="00AF6702" w:rsidRPr="00702882" w:rsidRDefault="00AF6702" w:rsidP="008D265E">
            <w:pPr>
              <w:spacing w:before="150" w:after="150"/>
              <w:contextualSpacing/>
              <w:rPr>
                <w:sz w:val="20"/>
                <w:szCs w:val="20"/>
              </w:rPr>
            </w:pPr>
            <w:r w:rsidRPr="00702882">
              <w:rPr>
                <w:sz w:val="20"/>
                <w:szCs w:val="20"/>
              </w:rPr>
              <w:t>Unemployment:WithLim</w:t>
            </w:r>
          </w:p>
        </w:tc>
        <w:tc>
          <w:tcPr>
            <w:tcW w:w="0" w:type="auto"/>
            <w:tcMar>
              <w:top w:w="15" w:type="dxa"/>
              <w:left w:w="75" w:type="dxa"/>
              <w:bottom w:w="15" w:type="dxa"/>
              <w:right w:w="75" w:type="dxa"/>
            </w:tcMar>
            <w:vAlign w:val="center"/>
            <w:hideMark/>
          </w:tcPr>
          <w:p w14:paraId="63AD6EF1"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F860AFD" w14:textId="77777777" w:rsidR="00AF6702" w:rsidRPr="00702882" w:rsidRDefault="00AF6702" w:rsidP="008D265E">
            <w:pPr>
              <w:spacing w:before="150" w:after="150"/>
              <w:contextualSpacing/>
              <w:rPr>
                <w:sz w:val="20"/>
                <w:szCs w:val="20"/>
              </w:rPr>
            </w:pPr>
            <w:r w:rsidRPr="00702882">
              <w:rPr>
                <w:sz w:val="20"/>
                <w:szCs w:val="20"/>
              </w:rPr>
              <w:t>-0.01 (0.14)</w:t>
            </w:r>
          </w:p>
        </w:tc>
        <w:tc>
          <w:tcPr>
            <w:tcW w:w="0" w:type="auto"/>
            <w:tcMar>
              <w:top w:w="15" w:type="dxa"/>
              <w:left w:w="75" w:type="dxa"/>
              <w:bottom w:w="15" w:type="dxa"/>
              <w:right w:w="75" w:type="dxa"/>
            </w:tcMar>
            <w:vAlign w:val="center"/>
            <w:hideMark/>
          </w:tcPr>
          <w:p w14:paraId="246053EB"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E802734" w14:textId="77777777" w:rsidR="00AF6702" w:rsidRPr="00702882" w:rsidRDefault="00AF6702" w:rsidP="008D265E">
            <w:pPr>
              <w:spacing w:before="150" w:after="150"/>
              <w:contextualSpacing/>
              <w:rPr>
                <w:sz w:val="20"/>
                <w:szCs w:val="20"/>
              </w:rPr>
            </w:pPr>
            <w:r w:rsidRPr="00702882">
              <w:rPr>
                <w:sz w:val="20"/>
                <w:szCs w:val="20"/>
              </w:rPr>
              <w:t> </w:t>
            </w:r>
          </w:p>
        </w:tc>
      </w:tr>
      <w:tr w:rsidR="00AC7046" w:rsidRPr="00702882" w14:paraId="1DE9FE3D" w14:textId="77777777" w:rsidTr="00AE6820">
        <w:tc>
          <w:tcPr>
            <w:tcW w:w="0" w:type="auto"/>
            <w:tcMar>
              <w:top w:w="15" w:type="dxa"/>
              <w:left w:w="75" w:type="dxa"/>
              <w:bottom w:w="15" w:type="dxa"/>
              <w:right w:w="75" w:type="dxa"/>
            </w:tcMar>
            <w:vAlign w:val="center"/>
            <w:hideMark/>
          </w:tcPr>
          <w:p w14:paraId="27DAA818" w14:textId="77777777" w:rsidR="00AF6702" w:rsidRPr="00702882" w:rsidRDefault="00AF6702" w:rsidP="008D265E">
            <w:pPr>
              <w:spacing w:before="150" w:after="150"/>
              <w:contextualSpacing/>
              <w:rPr>
                <w:sz w:val="20"/>
                <w:szCs w:val="20"/>
              </w:rPr>
            </w:pPr>
            <w:r w:rsidRPr="00702882">
              <w:rPr>
                <w:sz w:val="20"/>
                <w:szCs w:val="20"/>
              </w:rPr>
              <w:t>Cap_percent:DepoSurplus_numeric</w:t>
            </w:r>
          </w:p>
        </w:tc>
        <w:tc>
          <w:tcPr>
            <w:tcW w:w="0" w:type="auto"/>
            <w:tcMar>
              <w:top w:w="15" w:type="dxa"/>
              <w:left w:w="75" w:type="dxa"/>
              <w:bottom w:w="15" w:type="dxa"/>
              <w:right w:w="75" w:type="dxa"/>
            </w:tcMar>
            <w:vAlign w:val="center"/>
            <w:hideMark/>
          </w:tcPr>
          <w:p w14:paraId="0A6F66A1"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EC0F405"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B5E533B" w14:textId="77777777" w:rsidR="00AF6702" w:rsidRPr="00702882" w:rsidRDefault="00AF6702" w:rsidP="008D265E">
            <w:pPr>
              <w:spacing w:before="150" w:after="150"/>
              <w:contextualSpacing/>
              <w:rPr>
                <w:sz w:val="20"/>
                <w:szCs w:val="20"/>
              </w:rPr>
            </w:pPr>
            <w:r w:rsidRPr="00702882">
              <w:rPr>
                <w:sz w:val="20"/>
                <w:szCs w:val="20"/>
              </w:rPr>
              <w:t>0.09 (0.01)</w:t>
            </w:r>
            <w:r w:rsidRPr="00702882">
              <w:rPr>
                <w:sz w:val="20"/>
                <w:szCs w:val="20"/>
                <w:vertAlign w:val="superscript"/>
              </w:rPr>
              <w:t>***</w:t>
            </w:r>
          </w:p>
        </w:tc>
        <w:tc>
          <w:tcPr>
            <w:tcW w:w="0" w:type="auto"/>
            <w:tcMar>
              <w:top w:w="15" w:type="dxa"/>
              <w:left w:w="75" w:type="dxa"/>
              <w:bottom w:w="15" w:type="dxa"/>
              <w:right w:w="75" w:type="dxa"/>
            </w:tcMar>
            <w:vAlign w:val="center"/>
            <w:hideMark/>
          </w:tcPr>
          <w:p w14:paraId="6CAC0288" w14:textId="77777777" w:rsidR="00AF6702" w:rsidRPr="00702882" w:rsidRDefault="00AF6702" w:rsidP="008D265E">
            <w:pPr>
              <w:spacing w:before="150" w:after="150"/>
              <w:contextualSpacing/>
              <w:rPr>
                <w:sz w:val="20"/>
                <w:szCs w:val="20"/>
              </w:rPr>
            </w:pPr>
            <w:r w:rsidRPr="00702882">
              <w:rPr>
                <w:sz w:val="20"/>
                <w:szCs w:val="20"/>
              </w:rPr>
              <w:t>0.09 (0.01)</w:t>
            </w:r>
            <w:r w:rsidRPr="00702882">
              <w:rPr>
                <w:sz w:val="20"/>
                <w:szCs w:val="20"/>
                <w:vertAlign w:val="superscript"/>
              </w:rPr>
              <w:t>***</w:t>
            </w:r>
          </w:p>
        </w:tc>
      </w:tr>
      <w:tr w:rsidR="00AC7046" w:rsidRPr="00702882" w14:paraId="3510EABB" w14:textId="77777777" w:rsidTr="00AE6820">
        <w:tc>
          <w:tcPr>
            <w:tcW w:w="0" w:type="auto"/>
            <w:tcMar>
              <w:top w:w="15" w:type="dxa"/>
              <w:left w:w="75" w:type="dxa"/>
              <w:bottom w:w="15" w:type="dxa"/>
              <w:right w:w="75" w:type="dxa"/>
            </w:tcMar>
            <w:vAlign w:val="center"/>
            <w:hideMark/>
          </w:tcPr>
          <w:p w14:paraId="34CB341E" w14:textId="77777777" w:rsidR="00AF6702" w:rsidRPr="00702882" w:rsidRDefault="00AF6702" w:rsidP="008D265E">
            <w:pPr>
              <w:spacing w:before="150" w:after="150"/>
              <w:contextualSpacing/>
              <w:rPr>
                <w:sz w:val="20"/>
                <w:szCs w:val="20"/>
              </w:rPr>
            </w:pPr>
            <w:r w:rsidRPr="00702882">
              <w:rPr>
                <w:sz w:val="20"/>
                <w:szCs w:val="20"/>
              </w:rPr>
              <w:t>Number:WithLegis_numeric</w:t>
            </w:r>
          </w:p>
        </w:tc>
        <w:tc>
          <w:tcPr>
            <w:tcW w:w="0" w:type="auto"/>
            <w:tcMar>
              <w:top w:w="15" w:type="dxa"/>
              <w:left w:w="75" w:type="dxa"/>
              <w:bottom w:w="15" w:type="dxa"/>
              <w:right w:w="75" w:type="dxa"/>
            </w:tcMar>
            <w:vAlign w:val="center"/>
            <w:hideMark/>
          </w:tcPr>
          <w:p w14:paraId="729B2116"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451400E"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C1324AF" w14:textId="77777777" w:rsidR="00AF6702" w:rsidRPr="00702882" w:rsidRDefault="00AF6702" w:rsidP="008D265E">
            <w:pPr>
              <w:spacing w:before="150" w:after="150"/>
              <w:contextualSpacing/>
              <w:rPr>
                <w:sz w:val="20"/>
                <w:szCs w:val="20"/>
              </w:rPr>
            </w:pPr>
            <w:r w:rsidRPr="00702882">
              <w:rPr>
                <w:sz w:val="20"/>
                <w:szCs w:val="20"/>
              </w:rPr>
              <w:t>1.88 (4.84)</w:t>
            </w:r>
          </w:p>
        </w:tc>
        <w:tc>
          <w:tcPr>
            <w:tcW w:w="0" w:type="auto"/>
            <w:tcMar>
              <w:top w:w="15" w:type="dxa"/>
              <w:left w:w="75" w:type="dxa"/>
              <w:bottom w:w="15" w:type="dxa"/>
              <w:right w:w="75" w:type="dxa"/>
            </w:tcMar>
            <w:vAlign w:val="center"/>
            <w:hideMark/>
          </w:tcPr>
          <w:p w14:paraId="05735858" w14:textId="77777777" w:rsidR="00AF6702" w:rsidRPr="00702882" w:rsidRDefault="00AF6702" w:rsidP="008D265E">
            <w:pPr>
              <w:spacing w:before="150" w:after="150"/>
              <w:contextualSpacing/>
              <w:rPr>
                <w:sz w:val="20"/>
                <w:szCs w:val="20"/>
              </w:rPr>
            </w:pPr>
            <w:r w:rsidRPr="00702882">
              <w:rPr>
                <w:sz w:val="20"/>
                <w:szCs w:val="20"/>
              </w:rPr>
              <w:t> </w:t>
            </w:r>
          </w:p>
        </w:tc>
      </w:tr>
      <w:tr w:rsidR="00AC7046" w:rsidRPr="00702882" w14:paraId="7B8835E2" w14:textId="77777777" w:rsidTr="00AE6820">
        <w:tc>
          <w:tcPr>
            <w:tcW w:w="0" w:type="auto"/>
            <w:tcMar>
              <w:top w:w="15" w:type="dxa"/>
              <w:left w:w="75" w:type="dxa"/>
              <w:bottom w:w="15" w:type="dxa"/>
              <w:right w:w="75" w:type="dxa"/>
            </w:tcMar>
            <w:vAlign w:val="center"/>
          </w:tcPr>
          <w:p w14:paraId="6509DBB4" w14:textId="77777777" w:rsidR="00AF6702" w:rsidRPr="00702882" w:rsidRDefault="00AF6702" w:rsidP="008D265E">
            <w:pPr>
              <w:spacing w:before="150" w:after="150"/>
              <w:contextualSpacing/>
              <w:rPr>
                <w:sz w:val="20"/>
                <w:szCs w:val="20"/>
              </w:rPr>
            </w:pPr>
            <w:r w:rsidRPr="00702882">
              <w:rPr>
                <w:sz w:val="20"/>
                <w:szCs w:val="20"/>
              </w:rPr>
              <w:t>R</w:t>
            </w:r>
            <w:r w:rsidRPr="00702882">
              <w:rPr>
                <w:sz w:val="20"/>
                <w:szCs w:val="20"/>
                <w:vertAlign w:val="superscript"/>
              </w:rPr>
              <w:t>2</w:t>
            </w:r>
          </w:p>
        </w:tc>
        <w:tc>
          <w:tcPr>
            <w:tcW w:w="0" w:type="auto"/>
            <w:tcMar>
              <w:top w:w="15" w:type="dxa"/>
              <w:left w:w="75" w:type="dxa"/>
              <w:bottom w:w="15" w:type="dxa"/>
              <w:right w:w="75" w:type="dxa"/>
            </w:tcMar>
            <w:vAlign w:val="center"/>
          </w:tcPr>
          <w:p w14:paraId="463E6514" w14:textId="77777777" w:rsidR="00AF6702" w:rsidRPr="00702882" w:rsidRDefault="00AF6702" w:rsidP="008D265E">
            <w:pPr>
              <w:spacing w:before="150" w:after="150"/>
              <w:contextualSpacing/>
              <w:rPr>
                <w:sz w:val="20"/>
                <w:szCs w:val="20"/>
              </w:rPr>
            </w:pPr>
            <w:r w:rsidRPr="00702882">
              <w:rPr>
                <w:sz w:val="20"/>
                <w:szCs w:val="20"/>
              </w:rPr>
              <w:t>0.28</w:t>
            </w:r>
          </w:p>
        </w:tc>
        <w:tc>
          <w:tcPr>
            <w:tcW w:w="0" w:type="auto"/>
            <w:tcMar>
              <w:top w:w="15" w:type="dxa"/>
              <w:left w:w="75" w:type="dxa"/>
              <w:bottom w:w="15" w:type="dxa"/>
              <w:right w:w="75" w:type="dxa"/>
            </w:tcMar>
            <w:vAlign w:val="center"/>
          </w:tcPr>
          <w:p w14:paraId="62B87E30" w14:textId="77777777" w:rsidR="00AF6702" w:rsidRPr="00702882" w:rsidRDefault="00AF6702" w:rsidP="008D265E">
            <w:pPr>
              <w:spacing w:before="150" w:after="150"/>
              <w:contextualSpacing/>
              <w:rPr>
                <w:sz w:val="20"/>
                <w:szCs w:val="20"/>
              </w:rPr>
            </w:pPr>
            <w:r w:rsidRPr="00702882">
              <w:rPr>
                <w:sz w:val="20"/>
                <w:szCs w:val="20"/>
              </w:rPr>
              <w:t>0.30</w:t>
            </w:r>
          </w:p>
        </w:tc>
        <w:tc>
          <w:tcPr>
            <w:tcW w:w="0" w:type="auto"/>
            <w:tcMar>
              <w:top w:w="15" w:type="dxa"/>
              <w:left w:w="75" w:type="dxa"/>
              <w:bottom w:w="15" w:type="dxa"/>
              <w:right w:w="75" w:type="dxa"/>
            </w:tcMar>
            <w:vAlign w:val="center"/>
          </w:tcPr>
          <w:p w14:paraId="5ACDF40B" w14:textId="77777777" w:rsidR="00AF6702" w:rsidRPr="00702882" w:rsidRDefault="00AF6702" w:rsidP="008D265E">
            <w:pPr>
              <w:spacing w:before="150" w:after="150"/>
              <w:contextualSpacing/>
              <w:rPr>
                <w:sz w:val="20"/>
                <w:szCs w:val="20"/>
              </w:rPr>
            </w:pPr>
            <w:r w:rsidRPr="00702882">
              <w:rPr>
                <w:sz w:val="20"/>
                <w:szCs w:val="20"/>
              </w:rPr>
              <w:t>0.31</w:t>
            </w:r>
          </w:p>
        </w:tc>
        <w:tc>
          <w:tcPr>
            <w:tcW w:w="0" w:type="auto"/>
            <w:tcMar>
              <w:top w:w="15" w:type="dxa"/>
              <w:left w:w="75" w:type="dxa"/>
              <w:bottom w:w="15" w:type="dxa"/>
              <w:right w:w="75" w:type="dxa"/>
            </w:tcMar>
            <w:vAlign w:val="center"/>
          </w:tcPr>
          <w:p w14:paraId="2A182676" w14:textId="77777777" w:rsidR="00AF6702" w:rsidRPr="00702882" w:rsidRDefault="00AF6702" w:rsidP="008D265E">
            <w:pPr>
              <w:spacing w:before="150" w:after="150"/>
              <w:contextualSpacing/>
              <w:rPr>
                <w:sz w:val="20"/>
                <w:szCs w:val="20"/>
              </w:rPr>
            </w:pPr>
            <w:r w:rsidRPr="00702882">
              <w:rPr>
                <w:sz w:val="20"/>
                <w:szCs w:val="20"/>
              </w:rPr>
              <w:t>0.30</w:t>
            </w:r>
          </w:p>
        </w:tc>
      </w:tr>
      <w:tr w:rsidR="00AC7046" w:rsidRPr="00702882" w14:paraId="351ECC45" w14:textId="77777777" w:rsidTr="00AE6820">
        <w:tc>
          <w:tcPr>
            <w:tcW w:w="0" w:type="auto"/>
            <w:tcBorders>
              <w:bottom w:val="nil"/>
            </w:tcBorders>
            <w:tcMar>
              <w:top w:w="15" w:type="dxa"/>
              <w:left w:w="75" w:type="dxa"/>
              <w:bottom w:w="15" w:type="dxa"/>
              <w:right w:w="75" w:type="dxa"/>
            </w:tcMar>
            <w:vAlign w:val="center"/>
          </w:tcPr>
          <w:p w14:paraId="33882812" w14:textId="77777777" w:rsidR="00AF6702" w:rsidRPr="00702882" w:rsidRDefault="00AF6702" w:rsidP="008D265E">
            <w:pPr>
              <w:spacing w:before="150" w:after="150"/>
              <w:contextualSpacing/>
              <w:rPr>
                <w:sz w:val="20"/>
                <w:szCs w:val="20"/>
              </w:rPr>
            </w:pPr>
            <w:r w:rsidRPr="00702882">
              <w:rPr>
                <w:sz w:val="20"/>
                <w:szCs w:val="20"/>
              </w:rPr>
              <w:t>Adj. R</w:t>
            </w:r>
            <w:r w:rsidRPr="00702882">
              <w:rPr>
                <w:sz w:val="20"/>
                <w:szCs w:val="20"/>
                <w:vertAlign w:val="superscript"/>
              </w:rPr>
              <w:t>2</w:t>
            </w:r>
          </w:p>
        </w:tc>
        <w:tc>
          <w:tcPr>
            <w:tcW w:w="0" w:type="auto"/>
            <w:tcBorders>
              <w:bottom w:val="nil"/>
            </w:tcBorders>
            <w:tcMar>
              <w:top w:w="15" w:type="dxa"/>
              <w:left w:w="75" w:type="dxa"/>
              <w:bottom w:w="15" w:type="dxa"/>
              <w:right w:w="75" w:type="dxa"/>
            </w:tcMar>
            <w:vAlign w:val="center"/>
          </w:tcPr>
          <w:p w14:paraId="097615E1" w14:textId="77777777" w:rsidR="00AF6702" w:rsidRPr="00702882" w:rsidRDefault="00AF6702" w:rsidP="008D265E">
            <w:pPr>
              <w:spacing w:before="150" w:after="150"/>
              <w:contextualSpacing/>
              <w:rPr>
                <w:sz w:val="20"/>
                <w:szCs w:val="20"/>
              </w:rPr>
            </w:pPr>
            <w:r w:rsidRPr="00702882">
              <w:rPr>
                <w:sz w:val="20"/>
                <w:szCs w:val="20"/>
              </w:rPr>
              <w:t>0.20</w:t>
            </w:r>
          </w:p>
        </w:tc>
        <w:tc>
          <w:tcPr>
            <w:tcW w:w="0" w:type="auto"/>
            <w:tcBorders>
              <w:bottom w:val="nil"/>
            </w:tcBorders>
            <w:tcMar>
              <w:top w:w="15" w:type="dxa"/>
              <w:left w:w="75" w:type="dxa"/>
              <w:bottom w:w="15" w:type="dxa"/>
              <w:right w:w="75" w:type="dxa"/>
            </w:tcMar>
            <w:vAlign w:val="center"/>
          </w:tcPr>
          <w:p w14:paraId="12321C54" w14:textId="77777777" w:rsidR="00AF6702" w:rsidRPr="00702882" w:rsidRDefault="00AF6702" w:rsidP="008D265E">
            <w:pPr>
              <w:spacing w:before="150" w:after="150"/>
              <w:contextualSpacing/>
              <w:rPr>
                <w:sz w:val="20"/>
                <w:szCs w:val="20"/>
              </w:rPr>
            </w:pPr>
            <w:r w:rsidRPr="00702882">
              <w:rPr>
                <w:sz w:val="20"/>
                <w:szCs w:val="20"/>
              </w:rPr>
              <w:t>0.21</w:t>
            </w:r>
          </w:p>
        </w:tc>
        <w:tc>
          <w:tcPr>
            <w:tcW w:w="0" w:type="auto"/>
            <w:tcBorders>
              <w:bottom w:val="nil"/>
            </w:tcBorders>
            <w:tcMar>
              <w:top w:w="15" w:type="dxa"/>
              <w:left w:w="75" w:type="dxa"/>
              <w:bottom w:w="15" w:type="dxa"/>
              <w:right w:w="75" w:type="dxa"/>
            </w:tcMar>
            <w:vAlign w:val="center"/>
          </w:tcPr>
          <w:p w14:paraId="27756FD9" w14:textId="77777777" w:rsidR="00AF6702" w:rsidRPr="00702882" w:rsidRDefault="00AF6702" w:rsidP="008D265E">
            <w:pPr>
              <w:spacing w:before="150" w:after="150"/>
              <w:contextualSpacing/>
              <w:rPr>
                <w:sz w:val="20"/>
                <w:szCs w:val="20"/>
              </w:rPr>
            </w:pPr>
            <w:r w:rsidRPr="00702882">
              <w:rPr>
                <w:sz w:val="20"/>
                <w:szCs w:val="20"/>
              </w:rPr>
              <w:t>0.22</w:t>
            </w:r>
          </w:p>
        </w:tc>
        <w:tc>
          <w:tcPr>
            <w:tcW w:w="0" w:type="auto"/>
            <w:tcBorders>
              <w:bottom w:val="nil"/>
            </w:tcBorders>
            <w:tcMar>
              <w:top w:w="15" w:type="dxa"/>
              <w:left w:w="75" w:type="dxa"/>
              <w:bottom w:w="15" w:type="dxa"/>
              <w:right w:w="75" w:type="dxa"/>
            </w:tcMar>
            <w:vAlign w:val="center"/>
          </w:tcPr>
          <w:p w14:paraId="5F50AD8C" w14:textId="77777777" w:rsidR="00AF6702" w:rsidRPr="00702882" w:rsidRDefault="00AF6702" w:rsidP="008D265E">
            <w:pPr>
              <w:spacing w:before="150" w:after="150"/>
              <w:contextualSpacing/>
              <w:rPr>
                <w:sz w:val="20"/>
                <w:szCs w:val="20"/>
              </w:rPr>
            </w:pPr>
            <w:r w:rsidRPr="00702882">
              <w:rPr>
                <w:sz w:val="20"/>
                <w:szCs w:val="20"/>
              </w:rPr>
              <w:t>0.22</w:t>
            </w:r>
          </w:p>
        </w:tc>
      </w:tr>
      <w:tr w:rsidR="00AC7046" w:rsidRPr="00702882" w14:paraId="5750FDF2" w14:textId="77777777" w:rsidTr="00AE6820">
        <w:tc>
          <w:tcPr>
            <w:tcW w:w="0" w:type="auto"/>
            <w:tcBorders>
              <w:top w:val="nil"/>
              <w:bottom w:val="single" w:sz="8" w:space="0" w:color="auto"/>
            </w:tcBorders>
            <w:tcMar>
              <w:top w:w="15" w:type="dxa"/>
              <w:left w:w="75" w:type="dxa"/>
              <w:bottom w:w="15" w:type="dxa"/>
              <w:right w:w="75" w:type="dxa"/>
            </w:tcMar>
            <w:vAlign w:val="center"/>
          </w:tcPr>
          <w:p w14:paraId="798F48EE" w14:textId="77777777" w:rsidR="00AF6702" w:rsidRPr="00702882" w:rsidRDefault="00AF6702" w:rsidP="008D265E">
            <w:pPr>
              <w:spacing w:before="150" w:after="150"/>
              <w:contextualSpacing/>
              <w:rPr>
                <w:sz w:val="20"/>
                <w:szCs w:val="20"/>
              </w:rPr>
            </w:pPr>
            <w:r w:rsidRPr="00702882">
              <w:rPr>
                <w:sz w:val="20"/>
                <w:szCs w:val="20"/>
              </w:rPr>
              <w:t>Num. obs.</w:t>
            </w:r>
          </w:p>
        </w:tc>
        <w:tc>
          <w:tcPr>
            <w:tcW w:w="0" w:type="auto"/>
            <w:tcBorders>
              <w:top w:val="nil"/>
              <w:bottom w:val="single" w:sz="8" w:space="0" w:color="auto"/>
            </w:tcBorders>
            <w:tcMar>
              <w:top w:w="15" w:type="dxa"/>
              <w:left w:w="75" w:type="dxa"/>
              <w:bottom w:w="15" w:type="dxa"/>
              <w:right w:w="75" w:type="dxa"/>
            </w:tcMar>
            <w:vAlign w:val="center"/>
          </w:tcPr>
          <w:p w14:paraId="08EDD8D0" w14:textId="77777777" w:rsidR="00AF6702" w:rsidRPr="00702882" w:rsidRDefault="00AF6702" w:rsidP="008D265E">
            <w:pPr>
              <w:spacing w:before="150" w:after="150"/>
              <w:contextualSpacing/>
              <w:rPr>
                <w:sz w:val="20"/>
                <w:szCs w:val="20"/>
              </w:rPr>
            </w:pPr>
            <w:r w:rsidRPr="00702882">
              <w:rPr>
                <w:sz w:val="20"/>
                <w:szCs w:val="20"/>
              </w:rPr>
              <w:t>813</w:t>
            </w:r>
          </w:p>
        </w:tc>
        <w:tc>
          <w:tcPr>
            <w:tcW w:w="0" w:type="auto"/>
            <w:tcBorders>
              <w:top w:val="nil"/>
              <w:bottom w:val="single" w:sz="8" w:space="0" w:color="auto"/>
            </w:tcBorders>
            <w:tcMar>
              <w:top w:w="15" w:type="dxa"/>
              <w:left w:w="75" w:type="dxa"/>
              <w:bottom w:w="15" w:type="dxa"/>
              <w:right w:w="75" w:type="dxa"/>
            </w:tcMar>
            <w:vAlign w:val="center"/>
          </w:tcPr>
          <w:p w14:paraId="27A34AE7" w14:textId="77777777" w:rsidR="00AF6702" w:rsidRPr="00702882" w:rsidRDefault="00AF6702" w:rsidP="008D265E">
            <w:pPr>
              <w:spacing w:before="150" w:after="150"/>
              <w:contextualSpacing/>
              <w:rPr>
                <w:sz w:val="20"/>
                <w:szCs w:val="20"/>
              </w:rPr>
            </w:pPr>
            <w:r w:rsidRPr="00702882">
              <w:rPr>
                <w:sz w:val="20"/>
                <w:szCs w:val="20"/>
              </w:rPr>
              <w:t>813</w:t>
            </w:r>
          </w:p>
        </w:tc>
        <w:tc>
          <w:tcPr>
            <w:tcW w:w="0" w:type="auto"/>
            <w:tcBorders>
              <w:top w:val="nil"/>
              <w:bottom w:val="single" w:sz="8" w:space="0" w:color="auto"/>
            </w:tcBorders>
            <w:tcMar>
              <w:top w:w="15" w:type="dxa"/>
              <w:left w:w="75" w:type="dxa"/>
              <w:bottom w:w="15" w:type="dxa"/>
              <w:right w:w="75" w:type="dxa"/>
            </w:tcMar>
            <w:vAlign w:val="center"/>
          </w:tcPr>
          <w:p w14:paraId="3E7D4142" w14:textId="77777777" w:rsidR="00AF6702" w:rsidRPr="00702882" w:rsidRDefault="00AF6702" w:rsidP="008D265E">
            <w:pPr>
              <w:spacing w:before="150" w:after="150"/>
              <w:contextualSpacing/>
              <w:rPr>
                <w:sz w:val="20"/>
                <w:szCs w:val="20"/>
              </w:rPr>
            </w:pPr>
            <w:r w:rsidRPr="00702882">
              <w:rPr>
                <w:sz w:val="20"/>
                <w:szCs w:val="20"/>
              </w:rPr>
              <w:t>813</w:t>
            </w:r>
          </w:p>
        </w:tc>
        <w:tc>
          <w:tcPr>
            <w:tcW w:w="0" w:type="auto"/>
            <w:tcBorders>
              <w:top w:val="nil"/>
              <w:bottom w:val="single" w:sz="8" w:space="0" w:color="auto"/>
            </w:tcBorders>
            <w:tcMar>
              <w:top w:w="15" w:type="dxa"/>
              <w:left w:w="75" w:type="dxa"/>
              <w:bottom w:w="15" w:type="dxa"/>
              <w:right w:w="75" w:type="dxa"/>
            </w:tcMar>
            <w:vAlign w:val="center"/>
          </w:tcPr>
          <w:p w14:paraId="663D4370" w14:textId="77777777" w:rsidR="00AF6702" w:rsidRPr="00702882" w:rsidRDefault="00AF6702" w:rsidP="008D265E">
            <w:pPr>
              <w:spacing w:before="150" w:after="150"/>
              <w:contextualSpacing/>
              <w:rPr>
                <w:sz w:val="20"/>
                <w:szCs w:val="20"/>
              </w:rPr>
            </w:pPr>
            <w:r w:rsidRPr="00702882">
              <w:rPr>
                <w:sz w:val="20"/>
                <w:szCs w:val="20"/>
              </w:rPr>
              <w:t>813</w:t>
            </w:r>
          </w:p>
        </w:tc>
      </w:tr>
      <w:tr w:rsidR="00AC7046" w:rsidRPr="00702882" w14:paraId="65948A6B" w14:textId="77777777" w:rsidTr="00AE6820">
        <w:tc>
          <w:tcPr>
            <w:tcW w:w="0" w:type="auto"/>
            <w:gridSpan w:val="5"/>
            <w:tcBorders>
              <w:top w:val="single" w:sz="8" w:space="0" w:color="auto"/>
            </w:tcBorders>
            <w:vAlign w:val="center"/>
            <w:hideMark/>
          </w:tcPr>
          <w:p w14:paraId="592B1A15" w14:textId="77777777" w:rsidR="00AF6702" w:rsidRPr="00702882" w:rsidRDefault="00AF6702" w:rsidP="008D265E">
            <w:pPr>
              <w:spacing w:before="150" w:after="150"/>
              <w:contextualSpacing/>
              <w:rPr>
                <w:sz w:val="20"/>
                <w:szCs w:val="20"/>
              </w:rPr>
            </w:pPr>
            <w:r w:rsidRPr="00702882">
              <w:rPr>
                <w:sz w:val="20"/>
                <w:szCs w:val="20"/>
                <w:vertAlign w:val="superscript"/>
              </w:rPr>
              <w:t>***</w:t>
            </w:r>
            <w:r w:rsidRPr="00702882">
              <w:rPr>
                <w:sz w:val="20"/>
                <w:szCs w:val="20"/>
              </w:rPr>
              <w:t xml:space="preserve">p &lt; 0.01; </w:t>
            </w:r>
            <w:r w:rsidRPr="00702882">
              <w:rPr>
                <w:sz w:val="20"/>
                <w:szCs w:val="20"/>
                <w:vertAlign w:val="superscript"/>
              </w:rPr>
              <w:t>**</w:t>
            </w:r>
            <w:r w:rsidRPr="00702882">
              <w:rPr>
                <w:sz w:val="20"/>
                <w:szCs w:val="20"/>
              </w:rPr>
              <w:t xml:space="preserve">p &lt; 0.05; </w:t>
            </w:r>
            <w:r w:rsidRPr="00702882">
              <w:rPr>
                <w:sz w:val="20"/>
                <w:szCs w:val="20"/>
                <w:vertAlign w:val="superscript"/>
              </w:rPr>
              <w:t>*</w:t>
            </w:r>
            <w:r w:rsidRPr="00702882">
              <w:rPr>
                <w:sz w:val="20"/>
                <w:szCs w:val="20"/>
              </w:rPr>
              <w:t>p &lt; 0.1</w:t>
            </w:r>
          </w:p>
        </w:tc>
      </w:tr>
    </w:tbl>
    <w:p w14:paraId="0E8F0F34" w14:textId="77777777" w:rsidR="00AF6702" w:rsidRPr="00702882" w:rsidRDefault="00AF6702" w:rsidP="00C66AC4">
      <w:pPr>
        <w:spacing w:line="480" w:lineRule="auto"/>
        <w:contextualSpacing/>
        <w:jc w:val="center"/>
        <w:rPr>
          <w:rFonts w:eastAsiaTheme="minorEastAsia"/>
          <w:b/>
          <w:bCs/>
          <w:color w:val="7030A0"/>
        </w:rPr>
      </w:pPr>
    </w:p>
    <w:p w14:paraId="2146F9B0" w14:textId="77777777" w:rsidR="00AF6702" w:rsidRPr="00702882" w:rsidRDefault="00AF6702" w:rsidP="00C66AC4">
      <w:pPr>
        <w:spacing w:line="480" w:lineRule="auto"/>
        <w:contextualSpacing/>
        <w:jc w:val="center"/>
        <w:rPr>
          <w:rFonts w:eastAsiaTheme="minorEastAsia"/>
          <w:b/>
          <w:bCs/>
          <w:color w:val="7030A0"/>
        </w:rPr>
      </w:pPr>
    </w:p>
    <w:p w14:paraId="3AE58677" w14:textId="77777777" w:rsidR="00AF6702" w:rsidRPr="00702882" w:rsidRDefault="00AF6702" w:rsidP="00C66AC4">
      <w:pPr>
        <w:spacing w:line="480" w:lineRule="auto"/>
        <w:contextualSpacing/>
        <w:jc w:val="center"/>
        <w:rPr>
          <w:rFonts w:eastAsiaTheme="minorEastAsia"/>
          <w:b/>
          <w:bCs/>
          <w:color w:val="7030A0"/>
        </w:rPr>
      </w:pPr>
    </w:p>
    <w:p w14:paraId="3A30A7D1" w14:textId="77777777" w:rsidR="008D265E" w:rsidRPr="00702882" w:rsidRDefault="008D265E" w:rsidP="00C66AC4">
      <w:pPr>
        <w:spacing w:line="480" w:lineRule="auto"/>
        <w:contextualSpacing/>
        <w:rPr>
          <w:rFonts w:eastAsiaTheme="minorEastAsia"/>
          <w:b/>
          <w:bCs/>
          <w:color w:val="7030A0"/>
        </w:rPr>
      </w:pPr>
    </w:p>
    <w:p w14:paraId="1730C437" w14:textId="77777777" w:rsidR="00AC7046" w:rsidRPr="00702882" w:rsidRDefault="00AC7046" w:rsidP="00C66AC4">
      <w:pPr>
        <w:spacing w:line="480" w:lineRule="auto"/>
        <w:contextualSpacing/>
        <w:rPr>
          <w:rFonts w:eastAsiaTheme="minorEastAsia"/>
          <w:b/>
          <w:bCs/>
          <w:color w:val="7030A0"/>
        </w:rPr>
      </w:pPr>
    </w:p>
    <w:p w14:paraId="6CE9A858" w14:textId="38CE6BED" w:rsidR="00AF6702" w:rsidRPr="00702882" w:rsidRDefault="00AF6702" w:rsidP="00C66AC4">
      <w:pPr>
        <w:spacing w:line="480" w:lineRule="auto"/>
        <w:contextualSpacing/>
        <w:jc w:val="center"/>
        <w:rPr>
          <w:rFonts w:eastAsiaTheme="minorEastAsia"/>
          <w:b/>
          <w:bCs/>
        </w:rPr>
      </w:pPr>
      <w:r w:rsidRPr="00702882">
        <w:rPr>
          <w:rFonts w:eastAsiaTheme="minorEastAsia"/>
          <w:b/>
          <w:bCs/>
        </w:rPr>
        <w:lastRenderedPageBreak/>
        <w:t xml:space="preserve">Table </w:t>
      </w:r>
      <w:r w:rsidR="00BC622C" w:rsidRPr="00702882">
        <w:rPr>
          <w:rFonts w:eastAsiaTheme="minorEastAsia"/>
          <w:b/>
          <w:bCs/>
        </w:rPr>
        <w:t>11</w:t>
      </w:r>
      <w:r w:rsidRPr="00702882">
        <w:rPr>
          <w:rFonts w:eastAsiaTheme="minorEastAsia"/>
          <w:b/>
          <w:bCs/>
        </w:rPr>
        <w:t>. P</w:t>
      </w:r>
      <w:bookmarkStart w:id="53" w:name="PooledOLSModels"/>
      <w:bookmarkEnd w:id="53"/>
      <w:r w:rsidRPr="00702882">
        <w:rPr>
          <w:rFonts w:eastAsiaTheme="minorEastAsia"/>
          <w:b/>
          <w:bCs/>
        </w:rPr>
        <w:t>ooled OLS Models</w:t>
      </w:r>
    </w:p>
    <w:p w14:paraId="5AEC1C12" w14:textId="77777777" w:rsidR="00AF6702" w:rsidRPr="00702882" w:rsidRDefault="00AF6702" w:rsidP="00C66AC4">
      <w:pPr>
        <w:spacing w:line="480" w:lineRule="auto"/>
        <w:contextualSpacing/>
        <w:jc w:val="center"/>
        <w:rPr>
          <w:b/>
          <w:bCs/>
        </w:rPr>
      </w:pPr>
      <w:r w:rsidRPr="00702882">
        <w:rPr>
          <w:b/>
          <w:bCs/>
        </w:rPr>
        <w:t>Effects of BSF Rules on BSF Levels</w:t>
      </w:r>
    </w:p>
    <w:tbl>
      <w:tblPr>
        <w:tblW w:w="0" w:type="auto"/>
        <w:jc w:val="center"/>
        <w:tblBorders>
          <w:top w:val="single" w:sz="12" w:space="0" w:color="000000"/>
        </w:tblBorders>
        <w:tblCellMar>
          <w:top w:w="15" w:type="dxa"/>
          <w:left w:w="15" w:type="dxa"/>
          <w:bottom w:w="15" w:type="dxa"/>
          <w:right w:w="15" w:type="dxa"/>
        </w:tblCellMar>
        <w:tblLook w:val="04A0" w:firstRow="1" w:lastRow="0" w:firstColumn="1" w:lastColumn="0" w:noHBand="0" w:noVBand="1"/>
      </w:tblPr>
      <w:tblGrid>
        <w:gridCol w:w="3250"/>
        <w:gridCol w:w="1329"/>
        <w:gridCol w:w="1329"/>
        <w:gridCol w:w="1329"/>
        <w:gridCol w:w="1329"/>
      </w:tblGrid>
      <w:tr w:rsidR="00571D0D" w:rsidRPr="00702882" w14:paraId="6DFECAB2" w14:textId="77777777" w:rsidTr="00AE6820">
        <w:trPr>
          <w:tblHeader/>
          <w:jc w:val="center"/>
        </w:trPr>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2EFDD228" w14:textId="77777777" w:rsidR="00AF6702" w:rsidRPr="00702882" w:rsidRDefault="00AF6702" w:rsidP="008D265E">
            <w:pPr>
              <w:spacing w:before="150" w:after="150"/>
              <w:contextualSpacing/>
              <w:jc w:val="center"/>
              <w:rPr>
                <w:b/>
                <w:bCs/>
                <w:sz w:val="20"/>
                <w:szCs w:val="20"/>
              </w:rPr>
            </w:pPr>
            <w:r w:rsidRPr="00702882">
              <w:rPr>
                <w:b/>
                <w:bCs/>
                <w:sz w:val="20"/>
                <w:szCs w:val="20"/>
              </w:rPr>
              <w:t> </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5A74066C" w14:textId="77777777" w:rsidR="00AF6702" w:rsidRPr="00702882" w:rsidRDefault="00AF6702" w:rsidP="008D265E">
            <w:pPr>
              <w:spacing w:before="150" w:after="150"/>
              <w:contextualSpacing/>
              <w:jc w:val="center"/>
              <w:rPr>
                <w:b/>
                <w:bCs/>
                <w:sz w:val="20"/>
                <w:szCs w:val="20"/>
              </w:rPr>
            </w:pPr>
            <w:r w:rsidRPr="00702882">
              <w:rPr>
                <w:b/>
                <w:bCs/>
                <w:sz w:val="20"/>
                <w:szCs w:val="20"/>
              </w:rPr>
              <w:t>Model 1</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3027386C" w14:textId="77777777" w:rsidR="00AF6702" w:rsidRPr="00702882" w:rsidRDefault="00AF6702" w:rsidP="008D265E">
            <w:pPr>
              <w:spacing w:before="150" w:after="150"/>
              <w:contextualSpacing/>
              <w:jc w:val="center"/>
              <w:rPr>
                <w:b/>
                <w:bCs/>
                <w:sz w:val="20"/>
                <w:szCs w:val="20"/>
              </w:rPr>
            </w:pPr>
            <w:r w:rsidRPr="00702882">
              <w:rPr>
                <w:b/>
                <w:bCs/>
                <w:sz w:val="20"/>
                <w:szCs w:val="20"/>
              </w:rPr>
              <w:t>Model 2</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6BAC633E" w14:textId="77777777" w:rsidR="00AF6702" w:rsidRPr="00702882" w:rsidRDefault="00AF6702" w:rsidP="008D265E">
            <w:pPr>
              <w:spacing w:before="150" w:after="150"/>
              <w:contextualSpacing/>
              <w:jc w:val="center"/>
              <w:rPr>
                <w:b/>
                <w:bCs/>
                <w:sz w:val="20"/>
                <w:szCs w:val="20"/>
              </w:rPr>
            </w:pPr>
            <w:r w:rsidRPr="00702882">
              <w:rPr>
                <w:b/>
                <w:bCs/>
                <w:sz w:val="20"/>
                <w:szCs w:val="20"/>
              </w:rPr>
              <w:t>Model 3</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4F6843D3" w14:textId="77777777" w:rsidR="00AF6702" w:rsidRPr="00702882" w:rsidRDefault="00AF6702" w:rsidP="008D265E">
            <w:pPr>
              <w:spacing w:before="150" w:after="150"/>
              <w:contextualSpacing/>
              <w:jc w:val="center"/>
              <w:rPr>
                <w:b/>
                <w:bCs/>
                <w:sz w:val="20"/>
                <w:szCs w:val="20"/>
              </w:rPr>
            </w:pPr>
            <w:r w:rsidRPr="00702882">
              <w:rPr>
                <w:b/>
                <w:bCs/>
                <w:sz w:val="20"/>
                <w:szCs w:val="20"/>
              </w:rPr>
              <w:t>Model 4</w:t>
            </w:r>
          </w:p>
        </w:tc>
      </w:tr>
      <w:tr w:rsidR="00571D0D" w:rsidRPr="00702882" w14:paraId="6ED35067" w14:textId="77777777" w:rsidTr="00AE6820">
        <w:trPr>
          <w:jc w:val="center"/>
        </w:trPr>
        <w:tc>
          <w:tcPr>
            <w:tcW w:w="0" w:type="auto"/>
            <w:tcBorders>
              <w:top w:val="single" w:sz="8" w:space="0" w:color="auto"/>
            </w:tcBorders>
            <w:tcMar>
              <w:top w:w="15" w:type="dxa"/>
              <w:left w:w="75" w:type="dxa"/>
              <w:bottom w:w="15" w:type="dxa"/>
              <w:right w:w="75" w:type="dxa"/>
            </w:tcMar>
            <w:vAlign w:val="center"/>
            <w:hideMark/>
          </w:tcPr>
          <w:p w14:paraId="62B2EEB8" w14:textId="77777777" w:rsidR="00AF6702" w:rsidRPr="00702882" w:rsidRDefault="00AF6702" w:rsidP="008D265E">
            <w:pPr>
              <w:spacing w:before="150" w:after="150"/>
              <w:contextualSpacing/>
              <w:rPr>
                <w:sz w:val="20"/>
                <w:szCs w:val="20"/>
              </w:rPr>
            </w:pPr>
            <w:r w:rsidRPr="00702882">
              <w:rPr>
                <w:sz w:val="20"/>
                <w:szCs w:val="20"/>
              </w:rPr>
              <w:t>(Intercept)</w:t>
            </w:r>
          </w:p>
        </w:tc>
        <w:tc>
          <w:tcPr>
            <w:tcW w:w="0" w:type="auto"/>
            <w:tcBorders>
              <w:top w:val="single" w:sz="8" w:space="0" w:color="auto"/>
            </w:tcBorders>
            <w:tcMar>
              <w:top w:w="15" w:type="dxa"/>
              <w:left w:w="75" w:type="dxa"/>
              <w:bottom w:w="15" w:type="dxa"/>
              <w:right w:w="75" w:type="dxa"/>
            </w:tcMar>
            <w:vAlign w:val="center"/>
            <w:hideMark/>
          </w:tcPr>
          <w:p w14:paraId="057D03F4" w14:textId="77777777" w:rsidR="00AF6702" w:rsidRPr="00702882" w:rsidRDefault="00AF6702" w:rsidP="008D265E">
            <w:pPr>
              <w:spacing w:before="150" w:after="150"/>
              <w:contextualSpacing/>
              <w:rPr>
                <w:sz w:val="20"/>
                <w:szCs w:val="20"/>
              </w:rPr>
            </w:pPr>
            <w:r w:rsidRPr="00702882">
              <w:rPr>
                <w:sz w:val="20"/>
                <w:szCs w:val="20"/>
              </w:rPr>
              <w:t>10.55 (2.20)</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280D6BD4" w14:textId="77777777" w:rsidR="00AF6702" w:rsidRPr="00702882" w:rsidRDefault="00AF6702" w:rsidP="008D265E">
            <w:pPr>
              <w:spacing w:before="150" w:after="150"/>
              <w:contextualSpacing/>
              <w:rPr>
                <w:sz w:val="20"/>
                <w:szCs w:val="20"/>
              </w:rPr>
            </w:pPr>
            <w:r w:rsidRPr="00702882">
              <w:rPr>
                <w:sz w:val="20"/>
                <w:szCs w:val="20"/>
              </w:rPr>
              <w:t>12.28 (3.10)</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25EE62BC" w14:textId="77777777" w:rsidR="00AF6702" w:rsidRPr="00702882" w:rsidRDefault="00AF6702" w:rsidP="008D265E">
            <w:pPr>
              <w:spacing w:before="150" w:after="150"/>
              <w:contextualSpacing/>
              <w:rPr>
                <w:sz w:val="20"/>
                <w:szCs w:val="20"/>
              </w:rPr>
            </w:pPr>
            <w:r w:rsidRPr="00702882">
              <w:rPr>
                <w:sz w:val="20"/>
                <w:szCs w:val="20"/>
              </w:rPr>
              <w:t>10.13 (2.42)</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454E7B0C" w14:textId="77777777" w:rsidR="00AF6702" w:rsidRPr="00702882" w:rsidRDefault="00AF6702" w:rsidP="008D265E">
            <w:pPr>
              <w:spacing w:before="150" w:after="150"/>
              <w:contextualSpacing/>
              <w:rPr>
                <w:sz w:val="20"/>
                <w:szCs w:val="20"/>
              </w:rPr>
            </w:pPr>
            <w:r w:rsidRPr="00702882">
              <w:rPr>
                <w:sz w:val="20"/>
                <w:szCs w:val="20"/>
              </w:rPr>
              <w:t>10.21 (2.43)</w:t>
            </w:r>
            <w:r w:rsidRPr="00702882">
              <w:rPr>
                <w:sz w:val="20"/>
                <w:szCs w:val="20"/>
                <w:vertAlign w:val="superscript"/>
              </w:rPr>
              <w:t>***</w:t>
            </w:r>
          </w:p>
        </w:tc>
      </w:tr>
      <w:tr w:rsidR="00571D0D" w:rsidRPr="00702882" w14:paraId="63406F14" w14:textId="77777777" w:rsidTr="00AE6820">
        <w:trPr>
          <w:jc w:val="center"/>
        </w:trPr>
        <w:tc>
          <w:tcPr>
            <w:tcW w:w="0" w:type="auto"/>
            <w:tcMar>
              <w:top w:w="15" w:type="dxa"/>
              <w:left w:w="75" w:type="dxa"/>
              <w:bottom w:w="15" w:type="dxa"/>
              <w:right w:w="75" w:type="dxa"/>
            </w:tcMar>
            <w:vAlign w:val="center"/>
            <w:hideMark/>
          </w:tcPr>
          <w:p w14:paraId="3BC05F7A" w14:textId="77777777" w:rsidR="00AF6702" w:rsidRPr="00702882" w:rsidRDefault="00AF6702" w:rsidP="008D265E">
            <w:pPr>
              <w:spacing w:before="150" w:after="150"/>
              <w:contextualSpacing/>
              <w:rPr>
                <w:sz w:val="20"/>
                <w:szCs w:val="20"/>
              </w:rPr>
            </w:pPr>
            <w:r w:rsidRPr="00702882">
              <w:rPr>
                <w:sz w:val="20"/>
                <w:szCs w:val="20"/>
              </w:rPr>
              <w:t>GFB_percent_lag</w:t>
            </w:r>
          </w:p>
        </w:tc>
        <w:tc>
          <w:tcPr>
            <w:tcW w:w="0" w:type="auto"/>
            <w:tcMar>
              <w:top w:w="15" w:type="dxa"/>
              <w:left w:w="75" w:type="dxa"/>
              <w:bottom w:w="15" w:type="dxa"/>
              <w:right w:w="75" w:type="dxa"/>
            </w:tcMar>
            <w:vAlign w:val="center"/>
            <w:hideMark/>
          </w:tcPr>
          <w:p w14:paraId="5E1BA010" w14:textId="77777777" w:rsidR="00AF6702" w:rsidRPr="00702882" w:rsidRDefault="00AF6702" w:rsidP="008D265E">
            <w:pPr>
              <w:spacing w:before="150" w:after="150"/>
              <w:contextualSpacing/>
              <w:rPr>
                <w:sz w:val="20"/>
                <w:szCs w:val="20"/>
              </w:rPr>
            </w:pPr>
            <w:r w:rsidRPr="00702882">
              <w:rPr>
                <w:sz w:val="20"/>
                <w:szCs w:val="20"/>
              </w:rPr>
              <w:t>0.24 (0.03)</w:t>
            </w:r>
            <w:r w:rsidRPr="00702882">
              <w:rPr>
                <w:sz w:val="20"/>
                <w:szCs w:val="20"/>
                <w:vertAlign w:val="superscript"/>
              </w:rPr>
              <w:t>***</w:t>
            </w:r>
          </w:p>
        </w:tc>
        <w:tc>
          <w:tcPr>
            <w:tcW w:w="0" w:type="auto"/>
            <w:tcMar>
              <w:top w:w="15" w:type="dxa"/>
              <w:left w:w="75" w:type="dxa"/>
              <w:bottom w:w="15" w:type="dxa"/>
              <w:right w:w="75" w:type="dxa"/>
            </w:tcMar>
            <w:vAlign w:val="center"/>
            <w:hideMark/>
          </w:tcPr>
          <w:p w14:paraId="64D8705C" w14:textId="77777777" w:rsidR="00AF6702" w:rsidRPr="00702882" w:rsidRDefault="00AF6702" w:rsidP="008D265E">
            <w:pPr>
              <w:spacing w:before="150" w:after="150"/>
              <w:contextualSpacing/>
              <w:rPr>
                <w:sz w:val="20"/>
                <w:szCs w:val="20"/>
              </w:rPr>
            </w:pPr>
            <w:r w:rsidRPr="00702882">
              <w:rPr>
                <w:sz w:val="20"/>
                <w:szCs w:val="20"/>
              </w:rPr>
              <w:t>0.21 (0.03)</w:t>
            </w:r>
            <w:r w:rsidRPr="00702882">
              <w:rPr>
                <w:sz w:val="20"/>
                <w:szCs w:val="20"/>
                <w:vertAlign w:val="superscript"/>
              </w:rPr>
              <w:t>***</w:t>
            </w:r>
          </w:p>
        </w:tc>
        <w:tc>
          <w:tcPr>
            <w:tcW w:w="0" w:type="auto"/>
            <w:tcMar>
              <w:top w:w="15" w:type="dxa"/>
              <w:left w:w="75" w:type="dxa"/>
              <w:bottom w:w="15" w:type="dxa"/>
              <w:right w:w="75" w:type="dxa"/>
            </w:tcMar>
            <w:vAlign w:val="center"/>
            <w:hideMark/>
          </w:tcPr>
          <w:p w14:paraId="5E5B5E80" w14:textId="77777777" w:rsidR="00AF6702" w:rsidRPr="00702882" w:rsidRDefault="00AF6702" w:rsidP="008D265E">
            <w:pPr>
              <w:spacing w:before="150" w:after="150"/>
              <w:contextualSpacing/>
              <w:rPr>
                <w:sz w:val="20"/>
                <w:szCs w:val="20"/>
              </w:rPr>
            </w:pPr>
            <w:r w:rsidRPr="00702882">
              <w:rPr>
                <w:sz w:val="20"/>
                <w:szCs w:val="20"/>
              </w:rPr>
              <w:t>0.21 (0.03)</w:t>
            </w:r>
            <w:r w:rsidRPr="00702882">
              <w:rPr>
                <w:sz w:val="20"/>
                <w:szCs w:val="20"/>
                <w:vertAlign w:val="superscript"/>
              </w:rPr>
              <w:t>***</w:t>
            </w:r>
          </w:p>
        </w:tc>
        <w:tc>
          <w:tcPr>
            <w:tcW w:w="0" w:type="auto"/>
            <w:tcMar>
              <w:top w:w="15" w:type="dxa"/>
              <w:left w:w="75" w:type="dxa"/>
              <w:bottom w:w="15" w:type="dxa"/>
              <w:right w:w="75" w:type="dxa"/>
            </w:tcMar>
            <w:vAlign w:val="center"/>
            <w:hideMark/>
          </w:tcPr>
          <w:p w14:paraId="72452F9C" w14:textId="77777777" w:rsidR="00AF6702" w:rsidRPr="00702882" w:rsidRDefault="00AF6702" w:rsidP="008D265E">
            <w:pPr>
              <w:spacing w:before="150" w:after="150"/>
              <w:contextualSpacing/>
              <w:rPr>
                <w:sz w:val="20"/>
                <w:szCs w:val="20"/>
              </w:rPr>
            </w:pPr>
            <w:r w:rsidRPr="00702882">
              <w:rPr>
                <w:sz w:val="20"/>
                <w:szCs w:val="20"/>
              </w:rPr>
              <w:t>0.22 (0.03)</w:t>
            </w:r>
            <w:r w:rsidRPr="00702882">
              <w:rPr>
                <w:sz w:val="20"/>
                <w:szCs w:val="20"/>
                <w:vertAlign w:val="superscript"/>
              </w:rPr>
              <w:t>***</w:t>
            </w:r>
          </w:p>
        </w:tc>
      </w:tr>
      <w:tr w:rsidR="00571D0D" w:rsidRPr="00702882" w14:paraId="71DA9224" w14:textId="77777777" w:rsidTr="00AE6820">
        <w:trPr>
          <w:jc w:val="center"/>
        </w:trPr>
        <w:tc>
          <w:tcPr>
            <w:tcW w:w="0" w:type="auto"/>
            <w:tcMar>
              <w:top w:w="15" w:type="dxa"/>
              <w:left w:w="75" w:type="dxa"/>
              <w:bottom w:w="15" w:type="dxa"/>
              <w:right w:w="75" w:type="dxa"/>
            </w:tcMar>
            <w:vAlign w:val="center"/>
            <w:hideMark/>
          </w:tcPr>
          <w:p w14:paraId="39F23266" w14:textId="77777777" w:rsidR="00AF6702" w:rsidRPr="00702882" w:rsidRDefault="00AF6702" w:rsidP="008D265E">
            <w:pPr>
              <w:spacing w:before="150" w:after="150"/>
              <w:contextualSpacing/>
              <w:rPr>
                <w:sz w:val="20"/>
                <w:szCs w:val="20"/>
              </w:rPr>
            </w:pPr>
            <w:r w:rsidRPr="00702882">
              <w:rPr>
                <w:sz w:val="20"/>
                <w:szCs w:val="20"/>
              </w:rPr>
              <w:t>Number</w:t>
            </w:r>
          </w:p>
        </w:tc>
        <w:tc>
          <w:tcPr>
            <w:tcW w:w="0" w:type="auto"/>
            <w:tcMar>
              <w:top w:w="15" w:type="dxa"/>
              <w:left w:w="75" w:type="dxa"/>
              <w:bottom w:w="15" w:type="dxa"/>
              <w:right w:w="75" w:type="dxa"/>
            </w:tcMar>
            <w:vAlign w:val="center"/>
            <w:hideMark/>
          </w:tcPr>
          <w:p w14:paraId="1B844E9F" w14:textId="77777777" w:rsidR="00AF6702" w:rsidRPr="00702882" w:rsidRDefault="00AF6702" w:rsidP="008D265E">
            <w:pPr>
              <w:spacing w:before="150" w:after="150"/>
              <w:contextualSpacing/>
              <w:rPr>
                <w:sz w:val="20"/>
                <w:szCs w:val="20"/>
              </w:rPr>
            </w:pPr>
            <w:r w:rsidRPr="00702882">
              <w:rPr>
                <w:sz w:val="20"/>
                <w:szCs w:val="20"/>
              </w:rPr>
              <w:t>0.39 (0.43)</w:t>
            </w:r>
          </w:p>
        </w:tc>
        <w:tc>
          <w:tcPr>
            <w:tcW w:w="0" w:type="auto"/>
            <w:tcMar>
              <w:top w:w="15" w:type="dxa"/>
              <w:left w:w="75" w:type="dxa"/>
              <w:bottom w:w="15" w:type="dxa"/>
              <w:right w:w="75" w:type="dxa"/>
            </w:tcMar>
            <w:vAlign w:val="center"/>
            <w:hideMark/>
          </w:tcPr>
          <w:p w14:paraId="3DC8DBE4" w14:textId="77777777" w:rsidR="00AF6702" w:rsidRPr="00702882" w:rsidRDefault="00AF6702" w:rsidP="008D265E">
            <w:pPr>
              <w:spacing w:before="150" w:after="150"/>
              <w:contextualSpacing/>
              <w:rPr>
                <w:sz w:val="20"/>
                <w:szCs w:val="20"/>
              </w:rPr>
            </w:pPr>
            <w:r w:rsidRPr="00702882">
              <w:rPr>
                <w:sz w:val="20"/>
                <w:szCs w:val="20"/>
              </w:rPr>
              <w:t>-2.06 (1.06)</w:t>
            </w:r>
            <w:r w:rsidRPr="00702882">
              <w:rPr>
                <w:sz w:val="20"/>
                <w:szCs w:val="20"/>
                <w:vertAlign w:val="superscript"/>
              </w:rPr>
              <w:t>*</w:t>
            </w:r>
          </w:p>
        </w:tc>
        <w:tc>
          <w:tcPr>
            <w:tcW w:w="0" w:type="auto"/>
            <w:tcMar>
              <w:top w:w="15" w:type="dxa"/>
              <w:left w:w="75" w:type="dxa"/>
              <w:bottom w:w="15" w:type="dxa"/>
              <w:right w:w="75" w:type="dxa"/>
            </w:tcMar>
            <w:vAlign w:val="center"/>
            <w:hideMark/>
          </w:tcPr>
          <w:p w14:paraId="5DA88129" w14:textId="77777777" w:rsidR="00AF6702" w:rsidRPr="00702882" w:rsidRDefault="00AF6702" w:rsidP="008D265E">
            <w:pPr>
              <w:spacing w:before="150" w:after="150"/>
              <w:contextualSpacing/>
              <w:rPr>
                <w:sz w:val="20"/>
                <w:szCs w:val="20"/>
              </w:rPr>
            </w:pPr>
            <w:r w:rsidRPr="00702882">
              <w:rPr>
                <w:sz w:val="20"/>
                <w:szCs w:val="20"/>
              </w:rPr>
              <w:t>2.57 (2.25)</w:t>
            </w:r>
          </w:p>
        </w:tc>
        <w:tc>
          <w:tcPr>
            <w:tcW w:w="0" w:type="auto"/>
            <w:tcMar>
              <w:top w:w="15" w:type="dxa"/>
              <w:left w:w="75" w:type="dxa"/>
              <w:bottom w:w="15" w:type="dxa"/>
              <w:right w:w="75" w:type="dxa"/>
            </w:tcMar>
            <w:vAlign w:val="center"/>
            <w:hideMark/>
          </w:tcPr>
          <w:p w14:paraId="246FD8BD" w14:textId="77777777" w:rsidR="00AF6702" w:rsidRPr="00702882" w:rsidRDefault="00AF6702" w:rsidP="008D265E">
            <w:pPr>
              <w:spacing w:before="150" w:after="150"/>
              <w:contextualSpacing/>
              <w:rPr>
                <w:sz w:val="20"/>
                <w:szCs w:val="20"/>
              </w:rPr>
            </w:pPr>
            <w:r w:rsidRPr="00702882">
              <w:rPr>
                <w:sz w:val="20"/>
                <w:szCs w:val="20"/>
              </w:rPr>
              <w:t>3.27 (2.04)</w:t>
            </w:r>
          </w:p>
        </w:tc>
      </w:tr>
      <w:tr w:rsidR="00571D0D" w:rsidRPr="00702882" w14:paraId="221A0A6D" w14:textId="77777777" w:rsidTr="00AE6820">
        <w:trPr>
          <w:jc w:val="center"/>
        </w:trPr>
        <w:tc>
          <w:tcPr>
            <w:tcW w:w="0" w:type="auto"/>
            <w:tcMar>
              <w:top w:w="15" w:type="dxa"/>
              <w:left w:w="75" w:type="dxa"/>
              <w:bottom w:w="15" w:type="dxa"/>
              <w:right w:w="75" w:type="dxa"/>
            </w:tcMar>
            <w:vAlign w:val="center"/>
            <w:hideMark/>
          </w:tcPr>
          <w:p w14:paraId="692553DB" w14:textId="77777777" w:rsidR="00AF6702" w:rsidRPr="00702882" w:rsidRDefault="00AF6702" w:rsidP="008D265E">
            <w:pPr>
              <w:spacing w:before="150" w:after="150"/>
              <w:contextualSpacing/>
              <w:rPr>
                <w:sz w:val="20"/>
                <w:szCs w:val="20"/>
              </w:rPr>
            </w:pPr>
            <w:r w:rsidRPr="00702882">
              <w:rPr>
                <w:sz w:val="20"/>
                <w:szCs w:val="20"/>
              </w:rPr>
              <w:t>Source_percent</w:t>
            </w:r>
          </w:p>
        </w:tc>
        <w:tc>
          <w:tcPr>
            <w:tcW w:w="0" w:type="auto"/>
            <w:tcMar>
              <w:top w:w="15" w:type="dxa"/>
              <w:left w:w="75" w:type="dxa"/>
              <w:bottom w:w="15" w:type="dxa"/>
              <w:right w:w="75" w:type="dxa"/>
            </w:tcMar>
            <w:vAlign w:val="center"/>
            <w:hideMark/>
          </w:tcPr>
          <w:p w14:paraId="580EDE3C" w14:textId="77777777" w:rsidR="00AF6702" w:rsidRPr="00702882" w:rsidRDefault="00AF6702" w:rsidP="008D265E">
            <w:pPr>
              <w:spacing w:before="150" w:after="150"/>
              <w:contextualSpacing/>
              <w:rPr>
                <w:sz w:val="20"/>
                <w:szCs w:val="20"/>
              </w:rPr>
            </w:pPr>
            <w:r w:rsidRPr="00702882">
              <w:rPr>
                <w:sz w:val="20"/>
                <w:szCs w:val="20"/>
              </w:rPr>
              <w:t>0.89 (0.33)</w:t>
            </w:r>
            <w:r w:rsidRPr="00702882">
              <w:rPr>
                <w:sz w:val="20"/>
                <w:szCs w:val="20"/>
                <w:vertAlign w:val="superscript"/>
              </w:rPr>
              <w:t>***</w:t>
            </w:r>
          </w:p>
        </w:tc>
        <w:tc>
          <w:tcPr>
            <w:tcW w:w="0" w:type="auto"/>
            <w:tcMar>
              <w:top w:w="15" w:type="dxa"/>
              <w:left w:w="75" w:type="dxa"/>
              <w:bottom w:w="15" w:type="dxa"/>
              <w:right w:w="75" w:type="dxa"/>
            </w:tcMar>
            <w:vAlign w:val="center"/>
            <w:hideMark/>
          </w:tcPr>
          <w:p w14:paraId="4D70904B" w14:textId="77777777" w:rsidR="00AF6702" w:rsidRPr="00702882" w:rsidRDefault="00AF6702" w:rsidP="008D265E">
            <w:pPr>
              <w:spacing w:before="150" w:after="150"/>
              <w:contextualSpacing/>
              <w:rPr>
                <w:sz w:val="20"/>
                <w:szCs w:val="20"/>
              </w:rPr>
            </w:pPr>
            <w:r w:rsidRPr="00702882">
              <w:rPr>
                <w:sz w:val="20"/>
                <w:szCs w:val="20"/>
              </w:rPr>
              <w:t>-0.44 (1.66)</w:t>
            </w:r>
          </w:p>
        </w:tc>
        <w:tc>
          <w:tcPr>
            <w:tcW w:w="0" w:type="auto"/>
            <w:tcMar>
              <w:top w:w="15" w:type="dxa"/>
              <w:left w:w="75" w:type="dxa"/>
              <w:bottom w:w="15" w:type="dxa"/>
              <w:right w:w="75" w:type="dxa"/>
            </w:tcMar>
            <w:vAlign w:val="center"/>
            <w:hideMark/>
          </w:tcPr>
          <w:p w14:paraId="725C67AF" w14:textId="77777777" w:rsidR="00AF6702" w:rsidRPr="00702882" w:rsidRDefault="00AF6702" w:rsidP="008D265E">
            <w:pPr>
              <w:spacing w:before="150" w:after="150"/>
              <w:contextualSpacing/>
              <w:rPr>
                <w:sz w:val="20"/>
                <w:szCs w:val="20"/>
              </w:rPr>
            </w:pPr>
            <w:r w:rsidRPr="00702882">
              <w:rPr>
                <w:sz w:val="20"/>
                <w:szCs w:val="20"/>
              </w:rPr>
              <w:t>1.03 (0.35)</w:t>
            </w:r>
            <w:r w:rsidRPr="00702882">
              <w:rPr>
                <w:sz w:val="20"/>
                <w:szCs w:val="20"/>
                <w:vertAlign w:val="superscript"/>
              </w:rPr>
              <w:t>***</w:t>
            </w:r>
          </w:p>
        </w:tc>
        <w:tc>
          <w:tcPr>
            <w:tcW w:w="0" w:type="auto"/>
            <w:tcMar>
              <w:top w:w="15" w:type="dxa"/>
              <w:left w:w="75" w:type="dxa"/>
              <w:bottom w:w="15" w:type="dxa"/>
              <w:right w:w="75" w:type="dxa"/>
            </w:tcMar>
            <w:vAlign w:val="center"/>
            <w:hideMark/>
          </w:tcPr>
          <w:p w14:paraId="5E0287A1" w14:textId="77777777" w:rsidR="00AF6702" w:rsidRPr="00702882" w:rsidRDefault="00AF6702" w:rsidP="008D265E">
            <w:pPr>
              <w:spacing w:before="150" w:after="150"/>
              <w:contextualSpacing/>
              <w:rPr>
                <w:sz w:val="20"/>
                <w:szCs w:val="20"/>
              </w:rPr>
            </w:pPr>
            <w:r w:rsidRPr="00702882">
              <w:rPr>
                <w:sz w:val="20"/>
                <w:szCs w:val="20"/>
              </w:rPr>
              <w:t>0.99 (0.34)</w:t>
            </w:r>
            <w:r w:rsidRPr="00702882">
              <w:rPr>
                <w:sz w:val="20"/>
                <w:szCs w:val="20"/>
                <w:vertAlign w:val="superscript"/>
              </w:rPr>
              <w:t>***</w:t>
            </w:r>
          </w:p>
        </w:tc>
      </w:tr>
      <w:tr w:rsidR="00571D0D" w:rsidRPr="00702882" w14:paraId="0AD8D7F5" w14:textId="77777777" w:rsidTr="00AE6820">
        <w:trPr>
          <w:jc w:val="center"/>
        </w:trPr>
        <w:tc>
          <w:tcPr>
            <w:tcW w:w="0" w:type="auto"/>
            <w:tcMar>
              <w:top w:w="15" w:type="dxa"/>
              <w:left w:w="75" w:type="dxa"/>
              <w:bottom w:w="15" w:type="dxa"/>
              <w:right w:w="75" w:type="dxa"/>
            </w:tcMar>
            <w:vAlign w:val="center"/>
            <w:hideMark/>
          </w:tcPr>
          <w:p w14:paraId="5C0EB064" w14:textId="77777777" w:rsidR="00AF6702" w:rsidRPr="00702882" w:rsidRDefault="00AF6702" w:rsidP="008D265E">
            <w:pPr>
              <w:spacing w:before="150" w:after="150"/>
              <w:contextualSpacing/>
              <w:rPr>
                <w:sz w:val="20"/>
                <w:szCs w:val="20"/>
              </w:rPr>
            </w:pPr>
            <w:r w:rsidRPr="00702882">
              <w:rPr>
                <w:sz w:val="20"/>
                <w:szCs w:val="20"/>
              </w:rPr>
              <w:t>Cap_percent</w:t>
            </w:r>
          </w:p>
        </w:tc>
        <w:tc>
          <w:tcPr>
            <w:tcW w:w="0" w:type="auto"/>
            <w:tcMar>
              <w:top w:w="15" w:type="dxa"/>
              <w:left w:w="75" w:type="dxa"/>
              <w:bottom w:w="15" w:type="dxa"/>
              <w:right w:w="75" w:type="dxa"/>
            </w:tcMar>
            <w:vAlign w:val="center"/>
            <w:hideMark/>
          </w:tcPr>
          <w:p w14:paraId="3A91E065" w14:textId="77777777" w:rsidR="00AF6702" w:rsidRPr="00702882" w:rsidRDefault="00AF6702" w:rsidP="008D265E">
            <w:pPr>
              <w:spacing w:before="150" w:after="150"/>
              <w:contextualSpacing/>
              <w:rPr>
                <w:sz w:val="20"/>
                <w:szCs w:val="20"/>
              </w:rPr>
            </w:pPr>
            <w:r w:rsidRPr="00702882">
              <w:rPr>
                <w:sz w:val="20"/>
                <w:szCs w:val="20"/>
              </w:rPr>
              <w:t>0.06 (0.02)</w:t>
            </w:r>
            <w:r w:rsidRPr="00702882">
              <w:rPr>
                <w:sz w:val="20"/>
                <w:szCs w:val="20"/>
                <w:vertAlign w:val="superscript"/>
              </w:rPr>
              <w:t>***</w:t>
            </w:r>
          </w:p>
        </w:tc>
        <w:tc>
          <w:tcPr>
            <w:tcW w:w="0" w:type="auto"/>
            <w:tcMar>
              <w:top w:w="15" w:type="dxa"/>
              <w:left w:w="75" w:type="dxa"/>
              <w:bottom w:w="15" w:type="dxa"/>
              <w:right w:w="75" w:type="dxa"/>
            </w:tcMar>
            <w:vAlign w:val="center"/>
            <w:hideMark/>
          </w:tcPr>
          <w:p w14:paraId="095A4408" w14:textId="77777777" w:rsidR="00AF6702" w:rsidRPr="00702882" w:rsidRDefault="00AF6702" w:rsidP="008D265E">
            <w:pPr>
              <w:spacing w:before="150" w:after="150"/>
              <w:contextualSpacing/>
              <w:rPr>
                <w:sz w:val="20"/>
                <w:szCs w:val="20"/>
              </w:rPr>
            </w:pPr>
            <w:r w:rsidRPr="00702882">
              <w:rPr>
                <w:sz w:val="20"/>
                <w:szCs w:val="20"/>
              </w:rPr>
              <w:t>0.06 (0.10)</w:t>
            </w:r>
          </w:p>
        </w:tc>
        <w:tc>
          <w:tcPr>
            <w:tcW w:w="0" w:type="auto"/>
            <w:tcMar>
              <w:top w:w="15" w:type="dxa"/>
              <w:left w:w="75" w:type="dxa"/>
              <w:bottom w:w="15" w:type="dxa"/>
              <w:right w:w="75" w:type="dxa"/>
            </w:tcMar>
            <w:vAlign w:val="center"/>
            <w:hideMark/>
          </w:tcPr>
          <w:p w14:paraId="66F0A95E" w14:textId="77777777" w:rsidR="00AF6702" w:rsidRPr="00702882" w:rsidRDefault="00AF6702" w:rsidP="008D265E">
            <w:pPr>
              <w:spacing w:before="150" w:after="150"/>
              <w:contextualSpacing/>
              <w:rPr>
                <w:sz w:val="20"/>
                <w:szCs w:val="20"/>
              </w:rPr>
            </w:pPr>
            <w:r w:rsidRPr="00702882">
              <w:rPr>
                <w:sz w:val="20"/>
                <w:szCs w:val="20"/>
              </w:rPr>
              <w:t>0.02 (0.02)</w:t>
            </w:r>
          </w:p>
        </w:tc>
        <w:tc>
          <w:tcPr>
            <w:tcW w:w="0" w:type="auto"/>
            <w:tcMar>
              <w:top w:w="15" w:type="dxa"/>
              <w:left w:w="75" w:type="dxa"/>
              <w:bottom w:w="15" w:type="dxa"/>
              <w:right w:w="75" w:type="dxa"/>
            </w:tcMar>
            <w:vAlign w:val="center"/>
            <w:hideMark/>
          </w:tcPr>
          <w:p w14:paraId="399E5969" w14:textId="77777777" w:rsidR="00AF6702" w:rsidRPr="00702882" w:rsidRDefault="00AF6702" w:rsidP="008D265E">
            <w:pPr>
              <w:spacing w:before="150" w:after="150"/>
              <w:contextualSpacing/>
              <w:rPr>
                <w:sz w:val="20"/>
                <w:szCs w:val="20"/>
              </w:rPr>
            </w:pPr>
            <w:r w:rsidRPr="00702882">
              <w:rPr>
                <w:sz w:val="20"/>
                <w:szCs w:val="20"/>
              </w:rPr>
              <w:t>0.02 (0.02)</w:t>
            </w:r>
          </w:p>
        </w:tc>
      </w:tr>
      <w:tr w:rsidR="00571D0D" w:rsidRPr="00702882" w14:paraId="404413A0" w14:textId="77777777" w:rsidTr="00AE6820">
        <w:trPr>
          <w:jc w:val="center"/>
        </w:trPr>
        <w:tc>
          <w:tcPr>
            <w:tcW w:w="0" w:type="auto"/>
            <w:tcMar>
              <w:top w:w="15" w:type="dxa"/>
              <w:left w:w="75" w:type="dxa"/>
              <w:bottom w:w="15" w:type="dxa"/>
              <w:right w:w="75" w:type="dxa"/>
            </w:tcMar>
            <w:vAlign w:val="center"/>
            <w:hideMark/>
          </w:tcPr>
          <w:p w14:paraId="3BE17811" w14:textId="77777777" w:rsidR="00AF6702" w:rsidRPr="00702882" w:rsidRDefault="00AF6702" w:rsidP="008D265E">
            <w:pPr>
              <w:spacing w:before="150" w:after="150"/>
              <w:contextualSpacing/>
              <w:rPr>
                <w:sz w:val="20"/>
                <w:szCs w:val="20"/>
              </w:rPr>
            </w:pPr>
            <w:r w:rsidRPr="00702882">
              <w:rPr>
                <w:sz w:val="20"/>
                <w:szCs w:val="20"/>
              </w:rPr>
              <w:t>DepoLegis</w:t>
            </w:r>
          </w:p>
        </w:tc>
        <w:tc>
          <w:tcPr>
            <w:tcW w:w="0" w:type="auto"/>
            <w:tcMar>
              <w:top w:w="15" w:type="dxa"/>
              <w:left w:w="75" w:type="dxa"/>
              <w:bottom w:w="15" w:type="dxa"/>
              <w:right w:w="75" w:type="dxa"/>
            </w:tcMar>
            <w:vAlign w:val="center"/>
            <w:hideMark/>
          </w:tcPr>
          <w:p w14:paraId="53C80881" w14:textId="77777777" w:rsidR="00AF6702" w:rsidRPr="00702882" w:rsidRDefault="00AF6702" w:rsidP="008D265E">
            <w:pPr>
              <w:spacing w:before="150" w:after="150"/>
              <w:contextualSpacing/>
              <w:rPr>
                <w:sz w:val="20"/>
                <w:szCs w:val="20"/>
              </w:rPr>
            </w:pPr>
            <w:r w:rsidRPr="00702882">
              <w:rPr>
                <w:sz w:val="20"/>
                <w:szCs w:val="20"/>
              </w:rPr>
              <w:t>-0.62 (0.29)</w:t>
            </w:r>
            <w:r w:rsidRPr="00702882">
              <w:rPr>
                <w:sz w:val="20"/>
                <w:szCs w:val="20"/>
                <w:vertAlign w:val="superscript"/>
              </w:rPr>
              <w:t>**</w:t>
            </w:r>
          </w:p>
        </w:tc>
        <w:tc>
          <w:tcPr>
            <w:tcW w:w="0" w:type="auto"/>
            <w:tcMar>
              <w:top w:w="15" w:type="dxa"/>
              <w:left w:w="75" w:type="dxa"/>
              <w:bottom w:w="15" w:type="dxa"/>
              <w:right w:w="75" w:type="dxa"/>
            </w:tcMar>
            <w:vAlign w:val="center"/>
            <w:hideMark/>
          </w:tcPr>
          <w:p w14:paraId="3BFB1F05" w14:textId="77777777" w:rsidR="00AF6702" w:rsidRPr="00702882" w:rsidRDefault="00AF6702" w:rsidP="008D265E">
            <w:pPr>
              <w:spacing w:before="150" w:after="150"/>
              <w:contextualSpacing/>
              <w:rPr>
                <w:sz w:val="20"/>
                <w:szCs w:val="20"/>
              </w:rPr>
            </w:pPr>
            <w:r w:rsidRPr="00702882">
              <w:rPr>
                <w:sz w:val="20"/>
                <w:szCs w:val="20"/>
              </w:rPr>
              <w:t>-0.62 (0.31)</w:t>
            </w:r>
            <w:r w:rsidRPr="00702882">
              <w:rPr>
                <w:sz w:val="20"/>
                <w:szCs w:val="20"/>
                <w:vertAlign w:val="superscript"/>
              </w:rPr>
              <w:t>**</w:t>
            </w:r>
          </w:p>
        </w:tc>
        <w:tc>
          <w:tcPr>
            <w:tcW w:w="0" w:type="auto"/>
            <w:tcMar>
              <w:top w:w="15" w:type="dxa"/>
              <w:left w:w="75" w:type="dxa"/>
              <w:bottom w:w="15" w:type="dxa"/>
              <w:right w:w="75" w:type="dxa"/>
            </w:tcMar>
            <w:vAlign w:val="center"/>
            <w:hideMark/>
          </w:tcPr>
          <w:p w14:paraId="2BE1DAB5" w14:textId="77777777" w:rsidR="00AF6702" w:rsidRPr="00702882" w:rsidRDefault="00AF6702" w:rsidP="008D265E">
            <w:pPr>
              <w:spacing w:before="150" w:after="150"/>
              <w:contextualSpacing/>
              <w:rPr>
                <w:sz w:val="20"/>
                <w:szCs w:val="20"/>
              </w:rPr>
            </w:pPr>
            <w:r w:rsidRPr="00702882">
              <w:rPr>
                <w:sz w:val="20"/>
                <w:szCs w:val="20"/>
              </w:rPr>
              <w:t>-0.48 (0.32)</w:t>
            </w:r>
          </w:p>
        </w:tc>
        <w:tc>
          <w:tcPr>
            <w:tcW w:w="0" w:type="auto"/>
            <w:tcMar>
              <w:top w:w="15" w:type="dxa"/>
              <w:left w:w="75" w:type="dxa"/>
              <w:bottom w:w="15" w:type="dxa"/>
              <w:right w:w="75" w:type="dxa"/>
            </w:tcMar>
            <w:vAlign w:val="center"/>
            <w:hideMark/>
          </w:tcPr>
          <w:p w14:paraId="12902E12" w14:textId="77777777" w:rsidR="00AF6702" w:rsidRPr="00702882" w:rsidRDefault="00AF6702" w:rsidP="008D265E">
            <w:pPr>
              <w:spacing w:before="150" w:after="150"/>
              <w:contextualSpacing/>
              <w:rPr>
                <w:sz w:val="20"/>
                <w:szCs w:val="20"/>
              </w:rPr>
            </w:pPr>
            <w:r w:rsidRPr="00702882">
              <w:rPr>
                <w:sz w:val="20"/>
                <w:szCs w:val="20"/>
              </w:rPr>
              <w:t>-0.55 (0.31)</w:t>
            </w:r>
            <w:r w:rsidRPr="00702882">
              <w:rPr>
                <w:sz w:val="20"/>
                <w:szCs w:val="20"/>
                <w:vertAlign w:val="superscript"/>
              </w:rPr>
              <w:t>*</w:t>
            </w:r>
          </w:p>
        </w:tc>
      </w:tr>
      <w:tr w:rsidR="00571D0D" w:rsidRPr="00702882" w14:paraId="2E3CF37D" w14:textId="77777777" w:rsidTr="00AE6820">
        <w:trPr>
          <w:jc w:val="center"/>
        </w:trPr>
        <w:tc>
          <w:tcPr>
            <w:tcW w:w="0" w:type="auto"/>
            <w:tcMar>
              <w:top w:w="15" w:type="dxa"/>
              <w:left w:w="75" w:type="dxa"/>
              <w:bottom w:w="15" w:type="dxa"/>
              <w:right w:w="75" w:type="dxa"/>
            </w:tcMar>
            <w:vAlign w:val="center"/>
            <w:hideMark/>
          </w:tcPr>
          <w:p w14:paraId="0EB1A59D" w14:textId="77777777" w:rsidR="00AF6702" w:rsidRPr="00702882" w:rsidRDefault="00AF6702" w:rsidP="008D265E">
            <w:pPr>
              <w:spacing w:before="150" w:after="150"/>
              <w:contextualSpacing/>
              <w:rPr>
                <w:sz w:val="20"/>
                <w:szCs w:val="20"/>
              </w:rPr>
            </w:pPr>
            <w:r w:rsidRPr="00702882">
              <w:rPr>
                <w:sz w:val="20"/>
                <w:szCs w:val="20"/>
              </w:rPr>
              <w:t>DepoSurplus_numeric</w:t>
            </w:r>
          </w:p>
        </w:tc>
        <w:tc>
          <w:tcPr>
            <w:tcW w:w="0" w:type="auto"/>
            <w:shd w:val="clear" w:color="auto" w:fill="auto"/>
            <w:tcMar>
              <w:top w:w="15" w:type="dxa"/>
              <w:left w:w="75" w:type="dxa"/>
              <w:bottom w:w="15" w:type="dxa"/>
              <w:right w:w="75" w:type="dxa"/>
            </w:tcMar>
            <w:vAlign w:val="center"/>
            <w:hideMark/>
          </w:tcPr>
          <w:p w14:paraId="502B2C42" w14:textId="77777777" w:rsidR="00AF6702" w:rsidRPr="00702882" w:rsidRDefault="00AF6702" w:rsidP="008D265E">
            <w:pPr>
              <w:spacing w:before="150" w:after="150"/>
              <w:contextualSpacing/>
              <w:rPr>
                <w:sz w:val="20"/>
                <w:szCs w:val="20"/>
              </w:rPr>
            </w:pPr>
            <w:r w:rsidRPr="00702882">
              <w:rPr>
                <w:sz w:val="20"/>
                <w:szCs w:val="20"/>
              </w:rPr>
              <w:t>2.51 (0.38)</w:t>
            </w:r>
            <w:r w:rsidRPr="00702882">
              <w:rPr>
                <w:sz w:val="20"/>
                <w:szCs w:val="20"/>
                <w:vertAlign w:val="superscript"/>
              </w:rPr>
              <w:t>***</w:t>
            </w:r>
          </w:p>
        </w:tc>
        <w:tc>
          <w:tcPr>
            <w:tcW w:w="0" w:type="auto"/>
            <w:shd w:val="clear" w:color="auto" w:fill="auto"/>
            <w:tcMar>
              <w:top w:w="15" w:type="dxa"/>
              <w:left w:w="75" w:type="dxa"/>
              <w:bottom w:w="15" w:type="dxa"/>
              <w:right w:w="75" w:type="dxa"/>
            </w:tcMar>
            <w:vAlign w:val="center"/>
            <w:hideMark/>
          </w:tcPr>
          <w:p w14:paraId="234DD0F8" w14:textId="77777777" w:rsidR="00AF6702" w:rsidRPr="00702882" w:rsidRDefault="00AF6702" w:rsidP="008D265E">
            <w:pPr>
              <w:spacing w:before="150" w:after="150"/>
              <w:contextualSpacing/>
              <w:rPr>
                <w:sz w:val="20"/>
                <w:szCs w:val="20"/>
              </w:rPr>
            </w:pPr>
            <w:r w:rsidRPr="00702882">
              <w:rPr>
                <w:sz w:val="20"/>
                <w:szCs w:val="20"/>
              </w:rPr>
              <w:t>5.94 (1.01)</w:t>
            </w:r>
            <w:r w:rsidRPr="00702882">
              <w:rPr>
                <w:sz w:val="20"/>
                <w:szCs w:val="20"/>
                <w:vertAlign w:val="superscript"/>
              </w:rPr>
              <w:t>***</w:t>
            </w:r>
          </w:p>
        </w:tc>
        <w:tc>
          <w:tcPr>
            <w:tcW w:w="0" w:type="auto"/>
            <w:shd w:val="clear" w:color="auto" w:fill="auto"/>
            <w:tcMar>
              <w:top w:w="15" w:type="dxa"/>
              <w:left w:w="75" w:type="dxa"/>
              <w:bottom w:w="15" w:type="dxa"/>
              <w:right w:w="75" w:type="dxa"/>
            </w:tcMar>
            <w:vAlign w:val="center"/>
            <w:hideMark/>
          </w:tcPr>
          <w:p w14:paraId="7B5690A2" w14:textId="77777777" w:rsidR="00AF6702" w:rsidRPr="00702882" w:rsidRDefault="00AF6702" w:rsidP="008D265E">
            <w:pPr>
              <w:spacing w:before="150" w:after="150"/>
              <w:contextualSpacing/>
              <w:rPr>
                <w:sz w:val="20"/>
                <w:szCs w:val="20"/>
              </w:rPr>
            </w:pPr>
            <w:r w:rsidRPr="00702882">
              <w:rPr>
                <w:sz w:val="20"/>
                <w:szCs w:val="20"/>
              </w:rPr>
              <w:t>5.08 (1.01)</w:t>
            </w:r>
            <w:r w:rsidRPr="00702882">
              <w:rPr>
                <w:sz w:val="20"/>
                <w:szCs w:val="20"/>
                <w:vertAlign w:val="superscript"/>
              </w:rPr>
              <w:t>***</w:t>
            </w:r>
          </w:p>
        </w:tc>
        <w:tc>
          <w:tcPr>
            <w:tcW w:w="0" w:type="auto"/>
            <w:shd w:val="clear" w:color="auto" w:fill="auto"/>
            <w:tcMar>
              <w:top w:w="15" w:type="dxa"/>
              <w:left w:w="75" w:type="dxa"/>
              <w:bottom w:w="15" w:type="dxa"/>
              <w:right w:w="75" w:type="dxa"/>
            </w:tcMar>
            <w:vAlign w:val="center"/>
            <w:hideMark/>
          </w:tcPr>
          <w:p w14:paraId="42F78F30" w14:textId="77777777" w:rsidR="00AF6702" w:rsidRPr="00702882" w:rsidRDefault="00AF6702" w:rsidP="008D265E">
            <w:pPr>
              <w:spacing w:before="150" w:after="150"/>
              <w:contextualSpacing/>
              <w:rPr>
                <w:sz w:val="20"/>
                <w:szCs w:val="20"/>
              </w:rPr>
            </w:pPr>
            <w:r w:rsidRPr="00702882">
              <w:rPr>
                <w:sz w:val="20"/>
                <w:szCs w:val="20"/>
              </w:rPr>
              <w:t>5.10 (1.00)</w:t>
            </w:r>
            <w:r w:rsidRPr="00702882">
              <w:rPr>
                <w:sz w:val="20"/>
                <w:szCs w:val="20"/>
                <w:vertAlign w:val="superscript"/>
              </w:rPr>
              <w:t>***</w:t>
            </w:r>
          </w:p>
        </w:tc>
      </w:tr>
      <w:tr w:rsidR="00571D0D" w:rsidRPr="00702882" w14:paraId="34E4C724" w14:textId="77777777" w:rsidTr="00AE6820">
        <w:trPr>
          <w:jc w:val="center"/>
        </w:trPr>
        <w:tc>
          <w:tcPr>
            <w:tcW w:w="0" w:type="auto"/>
            <w:tcMar>
              <w:top w:w="15" w:type="dxa"/>
              <w:left w:w="75" w:type="dxa"/>
              <w:bottom w:w="15" w:type="dxa"/>
              <w:right w:w="75" w:type="dxa"/>
            </w:tcMar>
            <w:vAlign w:val="center"/>
            <w:hideMark/>
          </w:tcPr>
          <w:p w14:paraId="7355CE16" w14:textId="77777777" w:rsidR="00AF6702" w:rsidRPr="00702882" w:rsidRDefault="00AF6702" w:rsidP="008D265E">
            <w:pPr>
              <w:spacing w:before="150" w:after="150"/>
              <w:contextualSpacing/>
              <w:rPr>
                <w:sz w:val="20"/>
                <w:szCs w:val="20"/>
              </w:rPr>
            </w:pPr>
            <w:r w:rsidRPr="00702882">
              <w:rPr>
                <w:sz w:val="20"/>
                <w:szCs w:val="20"/>
              </w:rPr>
              <w:t>DepoVol_formula</w:t>
            </w:r>
          </w:p>
        </w:tc>
        <w:tc>
          <w:tcPr>
            <w:tcW w:w="0" w:type="auto"/>
            <w:shd w:val="clear" w:color="auto" w:fill="auto"/>
            <w:tcMar>
              <w:top w:w="15" w:type="dxa"/>
              <w:left w:w="75" w:type="dxa"/>
              <w:bottom w:w="15" w:type="dxa"/>
              <w:right w:w="75" w:type="dxa"/>
            </w:tcMar>
            <w:vAlign w:val="center"/>
            <w:hideMark/>
          </w:tcPr>
          <w:p w14:paraId="3DD00D5D" w14:textId="77777777" w:rsidR="00AF6702" w:rsidRPr="00702882" w:rsidRDefault="00AF6702" w:rsidP="008D265E">
            <w:pPr>
              <w:spacing w:before="150" w:after="150"/>
              <w:contextualSpacing/>
              <w:rPr>
                <w:sz w:val="20"/>
                <w:szCs w:val="20"/>
              </w:rPr>
            </w:pPr>
            <w:r w:rsidRPr="00702882">
              <w:rPr>
                <w:sz w:val="20"/>
                <w:szCs w:val="20"/>
              </w:rPr>
              <w:t>0.88 (0.58)</w:t>
            </w:r>
          </w:p>
        </w:tc>
        <w:tc>
          <w:tcPr>
            <w:tcW w:w="0" w:type="auto"/>
            <w:shd w:val="clear" w:color="auto" w:fill="auto"/>
            <w:tcMar>
              <w:top w:w="15" w:type="dxa"/>
              <w:left w:w="75" w:type="dxa"/>
              <w:bottom w:w="15" w:type="dxa"/>
              <w:right w:w="75" w:type="dxa"/>
            </w:tcMar>
            <w:vAlign w:val="center"/>
            <w:hideMark/>
          </w:tcPr>
          <w:p w14:paraId="719D8DDC" w14:textId="77777777" w:rsidR="00AF6702" w:rsidRPr="00702882" w:rsidRDefault="00AF6702" w:rsidP="008D265E">
            <w:pPr>
              <w:spacing w:before="150" w:after="150"/>
              <w:contextualSpacing/>
              <w:rPr>
                <w:sz w:val="20"/>
                <w:szCs w:val="20"/>
              </w:rPr>
            </w:pPr>
            <w:r w:rsidRPr="00702882">
              <w:rPr>
                <w:sz w:val="20"/>
                <w:szCs w:val="20"/>
              </w:rPr>
              <w:t>-0.41 (2.19)</w:t>
            </w:r>
          </w:p>
        </w:tc>
        <w:tc>
          <w:tcPr>
            <w:tcW w:w="0" w:type="auto"/>
            <w:shd w:val="clear" w:color="auto" w:fill="auto"/>
            <w:tcMar>
              <w:top w:w="15" w:type="dxa"/>
              <w:left w:w="75" w:type="dxa"/>
              <w:bottom w:w="15" w:type="dxa"/>
              <w:right w:w="75" w:type="dxa"/>
            </w:tcMar>
            <w:vAlign w:val="center"/>
            <w:hideMark/>
          </w:tcPr>
          <w:p w14:paraId="44583266" w14:textId="77777777" w:rsidR="00AF6702" w:rsidRPr="00702882" w:rsidRDefault="00AF6702" w:rsidP="008D265E">
            <w:pPr>
              <w:spacing w:before="150" w:after="150"/>
              <w:contextualSpacing/>
              <w:rPr>
                <w:sz w:val="20"/>
                <w:szCs w:val="20"/>
              </w:rPr>
            </w:pPr>
            <w:r w:rsidRPr="00702882">
              <w:rPr>
                <w:sz w:val="20"/>
                <w:szCs w:val="20"/>
              </w:rPr>
              <w:t>3.34 (1.98)</w:t>
            </w:r>
            <w:r w:rsidRPr="00702882">
              <w:rPr>
                <w:sz w:val="20"/>
                <w:szCs w:val="20"/>
                <w:vertAlign w:val="superscript"/>
              </w:rPr>
              <w:t>*</w:t>
            </w:r>
          </w:p>
        </w:tc>
        <w:tc>
          <w:tcPr>
            <w:tcW w:w="0" w:type="auto"/>
            <w:shd w:val="clear" w:color="auto" w:fill="auto"/>
            <w:tcMar>
              <w:top w:w="15" w:type="dxa"/>
              <w:left w:w="75" w:type="dxa"/>
              <w:bottom w:w="15" w:type="dxa"/>
              <w:right w:w="75" w:type="dxa"/>
            </w:tcMar>
            <w:vAlign w:val="center"/>
            <w:hideMark/>
          </w:tcPr>
          <w:p w14:paraId="0692481A" w14:textId="77777777" w:rsidR="00AF6702" w:rsidRPr="00702882" w:rsidRDefault="00AF6702" w:rsidP="008D265E">
            <w:pPr>
              <w:spacing w:before="150" w:after="150"/>
              <w:contextualSpacing/>
              <w:rPr>
                <w:sz w:val="20"/>
                <w:szCs w:val="20"/>
              </w:rPr>
            </w:pPr>
            <w:r w:rsidRPr="00702882">
              <w:rPr>
                <w:sz w:val="20"/>
                <w:szCs w:val="20"/>
              </w:rPr>
              <w:t>1.19 (0.60)</w:t>
            </w:r>
            <w:r w:rsidRPr="00702882">
              <w:rPr>
                <w:sz w:val="20"/>
                <w:szCs w:val="20"/>
                <w:vertAlign w:val="superscript"/>
              </w:rPr>
              <w:t>**</w:t>
            </w:r>
          </w:p>
        </w:tc>
      </w:tr>
      <w:tr w:rsidR="00571D0D" w:rsidRPr="00702882" w14:paraId="653FEC1C" w14:textId="77777777" w:rsidTr="00AE6820">
        <w:trPr>
          <w:jc w:val="center"/>
        </w:trPr>
        <w:tc>
          <w:tcPr>
            <w:tcW w:w="0" w:type="auto"/>
            <w:tcMar>
              <w:top w:w="15" w:type="dxa"/>
              <w:left w:w="75" w:type="dxa"/>
              <w:bottom w:w="15" w:type="dxa"/>
              <w:right w:w="75" w:type="dxa"/>
            </w:tcMar>
            <w:vAlign w:val="center"/>
            <w:hideMark/>
          </w:tcPr>
          <w:p w14:paraId="47B884AC" w14:textId="77777777" w:rsidR="00AF6702" w:rsidRPr="00702882" w:rsidRDefault="00AF6702" w:rsidP="008D265E">
            <w:pPr>
              <w:spacing w:before="150" w:after="150"/>
              <w:contextualSpacing/>
              <w:rPr>
                <w:sz w:val="20"/>
                <w:szCs w:val="20"/>
              </w:rPr>
            </w:pPr>
            <w:r w:rsidRPr="00702882">
              <w:rPr>
                <w:sz w:val="20"/>
                <w:szCs w:val="20"/>
              </w:rPr>
              <w:t>DepoVol_propor</w:t>
            </w:r>
          </w:p>
        </w:tc>
        <w:tc>
          <w:tcPr>
            <w:tcW w:w="0" w:type="auto"/>
            <w:shd w:val="clear" w:color="auto" w:fill="auto"/>
            <w:tcMar>
              <w:top w:w="15" w:type="dxa"/>
              <w:left w:w="75" w:type="dxa"/>
              <w:bottom w:w="15" w:type="dxa"/>
              <w:right w:w="75" w:type="dxa"/>
            </w:tcMar>
            <w:vAlign w:val="center"/>
            <w:hideMark/>
          </w:tcPr>
          <w:p w14:paraId="0CC69719" w14:textId="77777777" w:rsidR="00AF6702" w:rsidRPr="00702882" w:rsidRDefault="00AF6702" w:rsidP="008D265E">
            <w:pPr>
              <w:spacing w:before="150" w:after="150"/>
              <w:contextualSpacing/>
              <w:rPr>
                <w:sz w:val="20"/>
                <w:szCs w:val="20"/>
              </w:rPr>
            </w:pPr>
            <w:r w:rsidRPr="00702882">
              <w:rPr>
                <w:sz w:val="20"/>
                <w:szCs w:val="20"/>
              </w:rPr>
              <w:t>0.72 (0.37)</w:t>
            </w:r>
            <w:r w:rsidRPr="00702882">
              <w:rPr>
                <w:sz w:val="20"/>
                <w:szCs w:val="20"/>
                <w:vertAlign w:val="superscript"/>
              </w:rPr>
              <w:t>**</w:t>
            </w:r>
          </w:p>
        </w:tc>
        <w:tc>
          <w:tcPr>
            <w:tcW w:w="0" w:type="auto"/>
            <w:shd w:val="clear" w:color="auto" w:fill="auto"/>
            <w:tcMar>
              <w:top w:w="15" w:type="dxa"/>
              <w:left w:w="75" w:type="dxa"/>
              <w:bottom w:w="15" w:type="dxa"/>
              <w:right w:w="75" w:type="dxa"/>
            </w:tcMar>
            <w:vAlign w:val="center"/>
            <w:hideMark/>
          </w:tcPr>
          <w:p w14:paraId="399F610A" w14:textId="77777777" w:rsidR="00AF6702" w:rsidRPr="00702882" w:rsidRDefault="00AF6702" w:rsidP="008D265E">
            <w:pPr>
              <w:spacing w:before="150" w:after="150"/>
              <w:contextualSpacing/>
              <w:rPr>
                <w:sz w:val="20"/>
                <w:szCs w:val="20"/>
              </w:rPr>
            </w:pPr>
            <w:r w:rsidRPr="00702882">
              <w:rPr>
                <w:sz w:val="20"/>
                <w:szCs w:val="20"/>
              </w:rPr>
              <w:t>-0.57 (1.18)</w:t>
            </w:r>
          </w:p>
        </w:tc>
        <w:tc>
          <w:tcPr>
            <w:tcW w:w="0" w:type="auto"/>
            <w:shd w:val="clear" w:color="auto" w:fill="auto"/>
            <w:tcMar>
              <w:top w:w="15" w:type="dxa"/>
              <w:left w:w="75" w:type="dxa"/>
              <w:bottom w:w="15" w:type="dxa"/>
              <w:right w:w="75" w:type="dxa"/>
            </w:tcMar>
            <w:vAlign w:val="center"/>
            <w:hideMark/>
          </w:tcPr>
          <w:p w14:paraId="325A96FF" w14:textId="77777777" w:rsidR="00AF6702" w:rsidRPr="00702882" w:rsidRDefault="00AF6702" w:rsidP="008D265E">
            <w:pPr>
              <w:spacing w:before="150" w:after="150"/>
              <w:contextualSpacing/>
              <w:rPr>
                <w:sz w:val="20"/>
                <w:szCs w:val="20"/>
              </w:rPr>
            </w:pPr>
            <w:r w:rsidRPr="00702882">
              <w:rPr>
                <w:sz w:val="20"/>
                <w:szCs w:val="20"/>
              </w:rPr>
              <w:t>0.80 (0.37)</w:t>
            </w:r>
            <w:r w:rsidRPr="00702882">
              <w:rPr>
                <w:sz w:val="20"/>
                <w:szCs w:val="20"/>
                <w:vertAlign w:val="superscript"/>
              </w:rPr>
              <w:t>**</w:t>
            </w:r>
          </w:p>
        </w:tc>
        <w:tc>
          <w:tcPr>
            <w:tcW w:w="0" w:type="auto"/>
            <w:shd w:val="clear" w:color="auto" w:fill="auto"/>
            <w:tcMar>
              <w:top w:w="15" w:type="dxa"/>
              <w:left w:w="75" w:type="dxa"/>
              <w:bottom w:w="15" w:type="dxa"/>
              <w:right w:w="75" w:type="dxa"/>
            </w:tcMar>
            <w:vAlign w:val="center"/>
            <w:hideMark/>
          </w:tcPr>
          <w:p w14:paraId="585F90B9" w14:textId="77777777" w:rsidR="00AF6702" w:rsidRPr="00702882" w:rsidRDefault="00AF6702" w:rsidP="008D265E">
            <w:pPr>
              <w:spacing w:before="150" w:after="150"/>
              <w:contextualSpacing/>
              <w:rPr>
                <w:sz w:val="20"/>
                <w:szCs w:val="20"/>
              </w:rPr>
            </w:pPr>
            <w:r w:rsidRPr="00702882">
              <w:rPr>
                <w:sz w:val="20"/>
                <w:szCs w:val="20"/>
              </w:rPr>
              <w:t>0.73 (0.36)</w:t>
            </w:r>
            <w:r w:rsidRPr="00702882">
              <w:rPr>
                <w:sz w:val="20"/>
                <w:szCs w:val="20"/>
                <w:vertAlign w:val="superscript"/>
              </w:rPr>
              <w:t>**</w:t>
            </w:r>
          </w:p>
        </w:tc>
      </w:tr>
      <w:tr w:rsidR="00571D0D" w:rsidRPr="00702882" w14:paraId="2994C71C" w14:textId="77777777" w:rsidTr="00AE6820">
        <w:trPr>
          <w:jc w:val="center"/>
        </w:trPr>
        <w:tc>
          <w:tcPr>
            <w:tcW w:w="0" w:type="auto"/>
            <w:tcMar>
              <w:top w:w="15" w:type="dxa"/>
              <w:left w:w="75" w:type="dxa"/>
              <w:bottom w:w="15" w:type="dxa"/>
              <w:right w:w="75" w:type="dxa"/>
            </w:tcMar>
            <w:vAlign w:val="center"/>
            <w:hideMark/>
          </w:tcPr>
          <w:p w14:paraId="6051E562" w14:textId="77777777" w:rsidR="00AF6702" w:rsidRPr="00702882" w:rsidRDefault="00AF6702" w:rsidP="008D265E">
            <w:pPr>
              <w:spacing w:before="150" w:after="150"/>
              <w:contextualSpacing/>
              <w:rPr>
                <w:sz w:val="20"/>
                <w:szCs w:val="20"/>
              </w:rPr>
            </w:pPr>
            <w:r w:rsidRPr="00702882">
              <w:rPr>
                <w:sz w:val="20"/>
                <w:szCs w:val="20"/>
              </w:rPr>
              <w:t>WithLegis_numeric</w:t>
            </w:r>
          </w:p>
        </w:tc>
        <w:tc>
          <w:tcPr>
            <w:tcW w:w="0" w:type="auto"/>
            <w:tcMar>
              <w:top w:w="15" w:type="dxa"/>
              <w:left w:w="75" w:type="dxa"/>
              <w:bottom w:w="15" w:type="dxa"/>
              <w:right w:w="75" w:type="dxa"/>
            </w:tcMar>
            <w:vAlign w:val="center"/>
            <w:hideMark/>
          </w:tcPr>
          <w:p w14:paraId="40D9BA11" w14:textId="77777777" w:rsidR="00AF6702" w:rsidRPr="00702882" w:rsidRDefault="00AF6702" w:rsidP="008D265E">
            <w:pPr>
              <w:spacing w:before="150" w:after="150"/>
              <w:contextualSpacing/>
              <w:rPr>
                <w:sz w:val="20"/>
                <w:szCs w:val="20"/>
              </w:rPr>
            </w:pPr>
            <w:r w:rsidRPr="00702882">
              <w:rPr>
                <w:sz w:val="20"/>
                <w:szCs w:val="20"/>
              </w:rPr>
              <w:t>-2.64 (0.69)</w:t>
            </w:r>
            <w:r w:rsidRPr="00702882">
              <w:rPr>
                <w:sz w:val="20"/>
                <w:szCs w:val="20"/>
                <w:vertAlign w:val="superscript"/>
              </w:rPr>
              <w:t>***</w:t>
            </w:r>
          </w:p>
        </w:tc>
        <w:tc>
          <w:tcPr>
            <w:tcW w:w="0" w:type="auto"/>
            <w:tcMar>
              <w:top w:w="15" w:type="dxa"/>
              <w:left w:w="75" w:type="dxa"/>
              <w:bottom w:w="15" w:type="dxa"/>
              <w:right w:w="75" w:type="dxa"/>
            </w:tcMar>
            <w:vAlign w:val="center"/>
            <w:hideMark/>
          </w:tcPr>
          <w:p w14:paraId="7BC3F35E" w14:textId="77777777" w:rsidR="00AF6702" w:rsidRPr="00702882" w:rsidRDefault="00AF6702" w:rsidP="008D265E">
            <w:pPr>
              <w:spacing w:before="150" w:after="150"/>
              <w:contextualSpacing/>
              <w:rPr>
                <w:sz w:val="20"/>
                <w:szCs w:val="20"/>
              </w:rPr>
            </w:pPr>
            <w:r w:rsidRPr="00702882">
              <w:rPr>
                <w:sz w:val="20"/>
                <w:szCs w:val="20"/>
              </w:rPr>
              <w:t>-6.41 (2.00)</w:t>
            </w:r>
            <w:r w:rsidRPr="00702882">
              <w:rPr>
                <w:sz w:val="20"/>
                <w:szCs w:val="20"/>
                <w:vertAlign w:val="superscript"/>
              </w:rPr>
              <w:t>***</w:t>
            </w:r>
          </w:p>
        </w:tc>
        <w:tc>
          <w:tcPr>
            <w:tcW w:w="0" w:type="auto"/>
            <w:tcMar>
              <w:top w:w="15" w:type="dxa"/>
              <w:left w:w="75" w:type="dxa"/>
              <w:bottom w:w="15" w:type="dxa"/>
              <w:right w:w="75" w:type="dxa"/>
            </w:tcMar>
            <w:vAlign w:val="center"/>
            <w:hideMark/>
          </w:tcPr>
          <w:p w14:paraId="275C4B25" w14:textId="77777777" w:rsidR="00AF6702" w:rsidRPr="00702882" w:rsidRDefault="00AF6702" w:rsidP="008D265E">
            <w:pPr>
              <w:spacing w:before="150" w:after="150"/>
              <w:contextualSpacing/>
              <w:rPr>
                <w:sz w:val="20"/>
                <w:szCs w:val="20"/>
              </w:rPr>
            </w:pPr>
            <w:r w:rsidRPr="00702882">
              <w:rPr>
                <w:sz w:val="20"/>
                <w:szCs w:val="20"/>
              </w:rPr>
              <w:t>-5.04 (1.80)</w:t>
            </w:r>
            <w:r w:rsidRPr="00702882">
              <w:rPr>
                <w:sz w:val="20"/>
                <w:szCs w:val="20"/>
                <w:vertAlign w:val="superscript"/>
              </w:rPr>
              <w:t>***</w:t>
            </w:r>
          </w:p>
        </w:tc>
        <w:tc>
          <w:tcPr>
            <w:tcW w:w="0" w:type="auto"/>
            <w:tcMar>
              <w:top w:w="15" w:type="dxa"/>
              <w:left w:w="75" w:type="dxa"/>
              <w:bottom w:w="15" w:type="dxa"/>
              <w:right w:w="75" w:type="dxa"/>
            </w:tcMar>
            <w:vAlign w:val="center"/>
            <w:hideMark/>
          </w:tcPr>
          <w:p w14:paraId="1ABB96CC" w14:textId="77777777" w:rsidR="00AF6702" w:rsidRPr="00702882" w:rsidRDefault="00AF6702" w:rsidP="008D265E">
            <w:pPr>
              <w:spacing w:before="150" w:after="150"/>
              <w:contextualSpacing/>
              <w:rPr>
                <w:sz w:val="20"/>
                <w:szCs w:val="20"/>
              </w:rPr>
            </w:pPr>
            <w:r w:rsidRPr="00702882">
              <w:rPr>
                <w:sz w:val="20"/>
                <w:szCs w:val="20"/>
              </w:rPr>
              <w:t>-5.14 (1.79)</w:t>
            </w:r>
            <w:r w:rsidRPr="00702882">
              <w:rPr>
                <w:sz w:val="20"/>
                <w:szCs w:val="20"/>
                <w:vertAlign w:val="superscript"/>
              </w:rPr>
              <w:t>***</w:t>
            </w:r>
          </w:p>
        </w:tc>
      </w:tr>
      <w:tr w:rsidR="00571D0D" w:rsidRPr="00702882" w14:paraId="5801493A" w14:textId="77777777" w:rsidTr="00AE6820">
        <w:trPr>
          <w:jc w:val="center"/>
        </w:trPr>
        <w:tc>
          <w:tcPr>
            <w:tcW w:w="0" w:type="auto"/>
            <w:tcMar>
              <w:top w:w="15" w:type="dxa"/>
              <w:left w:w="75" w:type="dxa"/>
              <w:bottom w:w="15" w:type="dxa"/>
              <w:right w:w="75" w:type="dxa"/>
            </w:tcMar>
            <w:vAlign w:val="center"/>
            <w:hideMark/>
          </w:tcPr>
          <w:p w14:paraId="4BA73D16" w14:textId="77777777" w:rsidR="00AF6702" w:rsidRPr="00702882" w:rsidRDefault="00AF6702" w:rsidP="008D265E">
            <w:pPr>
              <w:spacing w:before="150" w:after="150"/>
              <w:contextualSpacing/>
              <w:rPr>
                <w:sz w:val="20"/>
                <w:szCs w:val="20"/>
              </w:rPr>
            </w:pPr>
            <w:r w:rsidRPr="00702882">
              <w:rPr>
                <w:sz w:val="20"/>
                <w:szCs w:val="20"/>
              </w:rPr>
              <w:t>WithShortfall</w:t>
            </w:r>
          </w:p>
        </w:tc>
        <w:tc>
          <w:tcPr>
            <w:tcW w:w="0" w:type="auto"/>
            <w:tcMar>
              <w:top w:w="15" w:type="dxa"/>
              <w:left w:w="75" w:type="dxa"/>
              <w:bottom w:w="15" w:type="dxa"/>
              <w:right w:w="75" w:type="dxa"/>
            </w:tcMar>
            <w:vAlign w:val="center"/>
            <w:hideMark/>
          </w:tcPr>
          <w:p w14:paraId="69DF4C82" w14:textId="77777777" w:rsidR="00AF6702" w:rsidRPr="00702882" w:rsidRDefault="00AF6702" w:rsidP="008D265E">
            <w:pPr>
              <w:spacing w:before="150" w:after="150"/>
              <w:contextualSpacing/>
              <w:rPr>
                <w:sz w:val="20"/>
                <w:szCs w:val="20"/>
              </w:rPr>
            </w:pPr>
            <w:r w:rsidRPr="00702882">
              <w:rPr>
                <w:sz w:val="20"/>
                <w:szCs w:val="20"/>
              </w:rPr>
              <w:t>-2.79 (0.43)</w:t>
            </w:r>
            <w:r w:rsidRPr="00702882">
              <w:rPr>
                <w:sz w:val="20"/>
                <w:szCs w:val="20"/>
                <w:vertAlign w:val="superscript"/>
              </w:rPr>
              <w:t>***</w:t>
            </w:r>
          </w:p>
        </w:tc>
        <w:tc>
          <w:tcPr>
            <w:tcW w:w="0" w:type="auto"/>
            <w:tcMar>
              <w:top w:w="15" w:type="dxa"/>
              <w:left w:w="75" w:type="dxa"/>
              <w:bottom w:w="15" w:type="dxa"/>
              <w:right w:w="75" w:type="dxa"/>
            </w:tcMar>
            <w:vAlign w:val="center"/>
            <w:hideMark/>
          </w:tcPr>
          <w:p w14:paraId="3686F710" w14:textId="77777777" w:rsidR="00AF6702" w:rsidRPr="00702882" w:rsidRDefault="00AF6702" w:rsidP="008D265E">
            <w:pPr>
              <w:spacing w:before="150" w:after="150"/>
              <w:contextualSpacing/>
              <w:rPr>
                <w:sz w:val="20"/>
                <w:szCs w:val="20"/>
              </w:rPr>
            </w:pPr>
            <w:r w:rsidRPr="00702882">
              <w:rPr>
                <w:sz w:val="20"/>
                <w:szCs w:val="20"/>
              </w:rPr>
              <w:t>-3.76 (1.19)</w:t>
            </w:r>
            <w:r w:rsidRPr="00702882">
              <w:rPr>
                <w:sz w:val="20"/>
                <w:szCs w:val="20"/>
                <w:vertAlign w:val="superscript"/>
              </w:rPr>
              <w:t>***</w:t>
            </w:r>
          </w:p>
        </w:tc>
        <w:tc>
          <w:tcPr>
            <w:tcW w:w="0" w:type="auto"/>
            <w:tcMar>
              <w:top w:w="15" w:type="dxa"/>
              <w:left w:w="75" w:type="dxa"/>
              <w:bottom w:w="15" w:type="dxa"/>
              <w:right w:w="75" w:type="dxa"/>
            </w:tcMar>
            <w:vAlign w:val="center"/>
            <w:hideMark/>
          </w:tcPr>
          <w:p w14:paraId="72C0E080" w14:textId="77777777" w:rsidR="00AF6702" w:rsidRPr="00702882" w:rsidRDefault="00AF6702" w:rsidP="008D265E">
            <w:pPr>
              <w:spacing w:before="150" w:after="150"/>
              <w:contextualSpacing/>
              <w:rPr>
                <w:sz w:val="20"/>
                <w:szCs w:val="20"/>
              </w:rPr>
            </w:pPr>
            <w:r w:rsidRPr="00702882">
              <w:rPr>
                <w:sz w:val="20"/>
                <w:szCs w:val="20"/>
              </w:rPr>
              <w:t>-2.60 (0.41)</w:t>
            </w:r>
            <w:r w:rsidRPr="00702882">
              <w:rPr>
                <w:sz w:val="20"/>
                <w:szCs w:val="20"/>
                <w:vertAlign w:val="superscript"/>
              </w:rPr>
              <w:t>***</w:t>
            </w:r>
          </w:p>
        </w:tc>
        <w:tc>
          <w:tcPr>
            <w:tcW w:w="0" w:type="auto"/>
            <w:tcMar>
              <w:top w:w="15" w:type="dxa"/>
              <w:left w:w="75" w:type="dxa"/>
              <w:bottom w:w="15" w:type="dxa"/>
              <w:right w:w="75" w:type="dxa"/>
            </w:tcMar>
            <w:vAlign w:val="center"/>
            <w:hideMark/>
          </w:tcPr>
          <w:p w14:paraId="6C717779" w14:textId="77777777" w:rsidR="00AF6702" w:rsidRPr="00702882" w:rsidRDefault="00AF6702" w:rsidP="008D265E">
            <w:pPr>
              <w:spacing w:before="150" w:after="150"/>
              <w:contextualSpacing/>
              <w:rPr>
                <w:sz w:val="20"/>
                <w:szCs w:val="20"/>
              </w:rPr>
            </w:pPr>
            <w:r w:rsidRPr="00702882">
              <w:rPr>
                <w:sz w:val="20"/>
                <w:szCs w:val="20"/>
              </w:rPr>
              <w:t>-2.46 (0.41)</w:t>
            </w:r>
            <w:r w:rsidRPr="00702882">
              <w:rPr>
                <w:sz w:val="20"/>
                <w:szCs w:val="20"/>
                <w:vertAlign w:val="superscript"/>
              </w:rPr>
              <w:t>***</w:t>
            </w:r>
          </w:p>
        </w:tc>
      </w:tr>
      <w:tr w:rsidR="00571D0D" w:rsidRPr="00702882" w14:paraId="56CA0B12" w14:textId="77777777" w:rsidTr="00AE6820">
        <w:trPr>
          <w:jc w:val="center"/>
        </w:trPr>
        <w:tc>
          <w:tcPr>
            <w:tcW w:w="0" w:type="auto"/>
            <w:tcMar>
              <w:top w:w="15" w:type="dxa"/>
              <w:left w:w="75" w:type="dxa"/>
              <w:bottom w:w="15" w:type="dxa"/>
              <w:right w:w="75" w:type="dxa"/>
            </w:tcMar>
            <w:vAlign w:val="center"/>
            <w:hideMark/>
          </w:tcPr>
          <w:p w14:paraId="4463220B" w14:textId="77777777" w:rsidR="00AF6702" w:rsidRPr="00702882" w:rsidRDefault="00AF6702" w:rsidP="008D265E">
            <w:pPr>
              <w:spacing w:before="150" w:after="150"/>
              <w:contextualSpacing/>
              <w:rPr>
                <w:sz w:val="20"/>
                <w:szCs w:val="20"/>
              </w:rPr>
            </w:pPr>
            <w:r w:rsidRPr="00702882">
              <w:rPr>
                <w:sz w:val="20"/>
                <w:szCs w:val="20"/>
              </w:rPr>
              <w:t>WithVol</w:t>
            </w:r>
          </w:p>
        </w:tc>
        <w:tc>
          <w:tcPr>
            <w:tcW w:w="0" w:type="auto"/>
            <w:tcMar>
              <w:top w:w="15" w:type="dxa"/>
              <w:left w:w="75" w:type="dxa"/>
              <w:bottom w:w="15" w:type="dxa"/>
              <w:right w:w="75" w:type="dxa"/>
            </w:tcMar>
            <w:vAlign w:val="center"/>
            <w:hideMark/>
          </w:tcPr>
          <w:p w14:paraId="2A1DD005" w14:textId="77777777" w:rsidR="00AF6702" w:rsidRPr="00702882" w:rsidRDefault="00AF6702" w:rsidP="008D265E">
            <w:pPr>
              <w:spacing w:before="150" w:after="150"/>
              <w:contextualSpacing/>
              <w:rPr>
                <w:sz w:val="20"/>
                <w:szCs w:val="20"/>
              </w:rPr>
            </w:pPr>
            <w:r w:rsidRPr="00702882">
              <w:rPr>
                <w:sz w:val="20"/>
                <w:szCs w:val="20"/>
              </w:rPr>
              <w:t>-0.80 (0.64)</w:t>
            </w:r>
          </w:p>
        </w:tc>
        <w:tc>
          <w:tcPr>
            <w:tcW w:w="0" w:type="auto"/>
            <w:tcMar>
              <w:top w:w="15" w:type="dxa"/>
              <w:left w:w="75" w:type="dxa"/>
              <w:bottom w:w="15" w:type="dxa"/>
              <w:right w:w="75" w:type="dxa"/>
            </w:tcMar>
            <w:vAlign w:val="center"/>
            <w:hideMark/>
          </w:tcPr>
          <w:p w14:paraId="54C2295B" w14:textId="77777777" w:rsidR="00AF6702" w:rsidRPr="00702882" w:rsidRDefault="00AF6702" w:rsidP="008D265E">
            <w:pPr>
              <w:spacing w:before="150" w:after="150"/>
              <w:contextualSpacing/>
              <w:rPr>
                <w:sz w:val="20"/>
                <w:szCs w:val="20"/>
              </w:rPr>
            </w:pPr>
            <w:r w:rsidRPr="00702882">
              <w:rPr>
                <w:sz w:val="20"/>
                <w:szCs w:val="20"/>
              </w:rPr>
              <w:t>1.22 (2.54)</w:t>
            </w:r>
          </w:p>
        </w:tc>
        <w:tc>
          <w:tcPr>
            <w:tcW w:w="0" w:type="auto"/>
            <w:tcMar>
              <w:top w:w="15" w:type="dxa"/>
              <w:left w:w="75" w:type="dxa"/>
              <w:bottom w:w="15" w:type="dxa"/>
              <w:right w:w="75" w:type="dxa"/>
            </w:tcMar>
            <w:vAlign w:val="center"/>
            <w:hideMark/>
          </w:tcPr>
          <w:p w14:paraId="37B96439" w14:textId="77777777" w:rsidR="00AF6702" w:rsidRPr="00702882" w:rsidRDefault="00AF6702" w:rsidP="008D265E">
            <w:pPr>
              <w:spacing w:before="150" w:after="150"/>
              <w:contextualSpacing/>
              <w:rPr>
                <w:sz w:val="20"/>
                <w:szCs w:val="20"/>
              </w:rPr>
            </w:pPr>
            <w:r w:rsidRPr="00702882">
              <w:rPr>
                <w:sz w:val="20"/>
                <w:szCs w:val="20"/>
              </w:rPr>
              <w:t>-1.22 (0.71)</w:t>
            </w:r>
            <w:r w:rsidRPr="00702882">
              <w:rPr>
                <w:sz w:val="20"/>
                <w:szCs w:val="20"/>
                <w:vertAlign w:val="superscript"/>
              </w:rPr>
              <w:t>*</w:t>
            </w:r>
          </w:p>
        </w:tc>
        <w:tc>
          <w:tcPr>
            <w:tcW w:w="0" w:type="auto"/>
            <w:tcMar>
              <w:top w:w="15" w:type="dxa"/>
              <w:left w:w="75" w:type="dxa"/>
              <w:bottom w:w="15" w:type="dxa"/>
              <w:right w:w="75" w:type="dxa"/>
            </w:tcMar>
            <w:vAlign w:val="center"/>
            <w:hideMark/>
          </w:tcPr>
          <w:p w14:paraId="5E46A237" w14:textId="77777777" w:rsidR="00AF6702" w:rsidRPr="00702882" w:rsidRDefault="00AF6702" w:rsidP="008D265E">
            <w:pPr>
              <w:spacing w:before="150" w:after="150"/>
              <w:contextualSpacing/>
              <w:rPr>
                <w:sz w:val="20"/>
                <w:szCs w:val="20"/>
              </w:rPr>
            </w:pPr>
            <w:r w:rsidRPr="00702882">
              <w:rPr>
                <w:sz w:val="20"/>
                <w:szCs w:val="20"/>
              </w:rPr>
              <w:t>-0.75 (0.63)</w:t>
            </w:r>
          </w:p>
        </w:tc>
      </w:tr>
      <w:tr w:rsidR="00571D0D" w:rsidRPr="00702882" w14:paraId="3A7139CE" w14:textId="77777777" w:rsidTr="00AE6820">
        <w:trPr>
          <w:jc w:val="center"/>
        </w:trPr>
        <w:tc>
          <w:tcPr>
            <w:tcW w:w="0" w:type="auto"/>
            <w:tcMar>
              <w:top w:w="15" w:type="dxa"/>
              <w:left w:w="75" w:type="dxa"/>
              <w:bottom w:w="15" w:type="dxa"/>
              <w:right w:w="75" w:type="dxa"/>
            </w:tcMar>
            <w:vAlign w:val="center"/>
            <w:hideMark/>
          </w:tcPr>
          <w:p w14:paraId="20178B61" w14:textId="77777777" w:rsidR="00AF6702" w:rsidRPr="00702882" w:rsidRDefault="00AF6702" w:rsidP="008D265E">
            <w:pPr>
              <w:spacing w:before="150" w:after="150"/>
              <w:contextualSpacing/>
              <w:rPr>
                <w:sz w:val="20"/>
                <w:szCs w:val="20"/>
              </w:rPr>
            </w:pPr>
            <w:r w:rsidRPr="00702882">
              <w:rPr>
                <w:sz w:val="20"/>
                <w:szCs w:val="20"/>
              </w:rPr>
              <w:t>Repay_4bin</w:t>
            </w:r>
          </w:p>
        </w:tc>
        <w:tc>
          <w:tcPr>
            <w:tcW w:w="0" w:type="auto"/>
            <w:tcMar>
              <w:top w:w="15" w:type="dxa"/>
              <w:left w:w="75" w:type="dxa"/>
              <w:bottom w:w="15" w:type="dxa"/>
              <w:right w:w="75" w:type="dxa"/>
            </w:tcMar>
            <w:vAlign w:val="center"/>
            <w:hideMark/>
          </w:tcPr>
          <w:p w14:paraId="424AD9E9" w14:textId="77777777" w:rsidR="00AF6702" w:rsidRPr="00702882" w:rsidRDefault="00AF6702" w:rsidP="008D265E">
            <w:pPr>
              <w:spacing w:before="150" w:after="150"/>
              <w:contextualSpacing/>
              <w:rPr>
                <w:sz w:val="20"/>
                <w:szCs w:val="20"/>
              </w:rPr>
            </w:pPr>
            <w:r w:rsidRPr="00702882">
              <w:rPr>
                <w:sz w:val="20"/>
                <w:szCs w:val="20"/>
              </w:rPr>
              <w:t>0.36 (0.10)</w:t>
            </w:r>
            <w:r w:rsidRPr="00702882">
              <w:rPr>
                <w:sz w:val="20"/>
                <w:szCs w:val="20"/>
                <w:vertAlign w:val="superscript"/>
              </w:rPr>
              <w:t>***</w:t>
            </w:r>
          </w:p>
        </w:tc>
        <w:tc>
          <w:tcPr>
            <w:tcW w:w="0" w:type="auto"/>
            <w:tcMar>
              <w:top w:w="15" w:type="dxa"/>
              <w:left w:w="75" w:type="dxa"/>
              <w:bottom w:w="15" w:type="dxa"/>
              <w:right w:w="75" w:type="dxa"/>
            </w:tcMar>
            <w:vAlign w:val="center"/>
            <w:hideMark/>
          </w:tcPr>
          <w:p w14:paraId="4C969909" w14:textId="77777777" w:rsidR="00AF6702" w:rsidRPr="00702882" w:rsidRDefault="00AF6702" w:rsidP="008D265E">
            <w:pPr>
              <w:spacing w:before="150" w:after="150"/>
              <w:contextualSpacing/>
              <w:rPr>
                <w:sz w:val="20"/>
                <w:szCs w:val="20"/>
              </w:rPr>
            </w:pPr>
            <w:r w:rsidRPr="00702882">
              <w:rPr>
                <w:sz w:val="20"/>
                <w:szCs w:val="20"/>
              </w:rPr>
              <w:t>-0.27 (0.35)</w:t>
            </w:r>
          </w:p>
        </w:tc>
        <w:tc>
          <w:tcPr>
            <w:tcW w:w="0" w:type="auto"/>
            <w:tcMar>
              <w:top w:w="15" w:type="dxa"/>
              <w:left w:w="75" w:type="dxa"/>
              <w:bottom w:w="15" w:type="dxa"/>
              <w:right w:w="75" w:type="dxa"/>
            </w:tcMar>
            <w:vAlign w:val="center"/>
            <w:hideMark/>
          </w:tcPr>
          <w:p w14:paraId="4879BC7F" w14:textId="77777777" w:rsidR="00AF6702" w:rsidRPr="00702882" w:rsidRDefault="00AF6702" w:rsidP="008D265E">
            <w:pPr>
              <w:spacing w:before="150" w:after="150"/>
              <w:contextualSpacing/>
              <w:rPr>
                <w:sz w:val="20"/>
                <w:szCs w:val="20"/>
              </w:rPr>
            </w:pPr>
            <w:r w:rsidRPr="00702882">
              <w:rPr>
                <w:sz w:val="20"/>
                <w:szCs w:val="20"/>
              </w:rPr>
              <w:t>-0.27 (0.33)</w:t>
            </w:r>
          </w:p>
        </w:tc>
        <w:tc>
          <w:tcPr>
            <w:tcW w:w="0" w:type="auto"/>
            <w:tcMar>
              <w:top w:w="15" w:type="dxa"/>
              <w:left w:w="75" w:type="dxa"/>
              <w:bottom w:w="15" w:type="dxa"/>
              <w:right w:w="75" w:type="dxa"/>
            </w:tcMar>
            <w:vAlign w:val="center"/>
            <w:hideMark/>
          </w:tcPr>
          <w:p w14:paraId="01411FE5" w14:textId="77777777" w:rsidR="00AF6702" w:rsidRPr="00702882" w:rsidRDefault="00AF6702" w:rsidP="008D265E">
            <w:pPr>
              <w:spacing w:before="150" w:after="150"/>
              <w:contextualSpacing/>
              <w:rPr>
                <w:sz w:val="20"/>
                <w:szCs w:val="20"/>
              </w:rPr>
            </w:pPr>
            <w:r w:rsidRPr="00702882">
              <w:rPr>
                <w:sz w:val="20"/>
                <w:szCs w:val="20"/>
              </w:rPr>
              <w:t>-0.27 (0.33)</w:t>
            </w:r>
          </w:p>
        </w:tc>
      </w:tr>
      <w:tr w:rsidR="00571D0D" w:rsidRPr="00702882" w14:paraId="6F16D2D3" w14:textId="77777777" w:rsidTr="00AE6820">
        <w:trPr>
          <w:jc w:val="center"/>
        </w:trPr>
        <w:tc>
          <w:tcPr>
            <w:tcW w:w="0" w:type="auto"/>
            <w:tcMar>
              <w:top w:w="15" w:type="dxa"/>
              <w:left w:w="75" w:type="dxa"/>
              <w:bottom w:w="15" w:type="dxa"/>
              <w:right w:w="75" w:type="dxa"/>
            </w:tcMar>
            <w:vAlign w:val="center"/>
            <w:hideMark/>
          </w:tcPr>
          <w:p w14:paraId="24C374B9" w14:textId="77777777" w:rsidR="00AF6702" w:rsidRPr="00702882" w:rsidRDefault="00AF6702" w:rsidP="008D265E">
            <w:pPr>
              <w:spacing w:before="150" w:after="150"/>
              <w:contextualSpacing/>
              <w:rPr>
                <w:sz w:val="20"/>
                <w:szCs w:val="20"/>
              </w:rPr>
            </w:pPr>
            <w:r w:rsidRPr="00702882">
              <w:rPr>
                <w:sz w:val="20"/>
                <w:szCs w:val="20"/>
              </w:rPr>
              <w:t>WithLim</w:t>
            </w:r>
          </w:p>
        </w:tc>
        <w:tc>
          <w:tcPr>
            <w:tcW w:w="0" w:type="auto"/>
            <w:tcMar>
              <w:top w:w="15" w:type="dxa"/>
              <w:left w:w="75" w:type="dxa"/>
              <w:bottom w:w="15" w:type="dxa"/>
              <w:right w:w="75" w:type="dxa"/>
            </w:tcMar>
            <w:vAlign w:val="center"/>
            <w:hideMark/>
          </w:tcPr>
          <w:p w14:paraId="796196D3" w14:textId="77777777" w:rsidR="00AF6702" w:rsidRPr="00702882" w:rsidRDefault="00AF6702" w:rsidP="008D265E">
            <w:pPr>
              <w:spacing w:before="150" w:after="150"/>
              <w:contextualSpacing/>
              <w:rPr>
                <w:sz w:val="20"/>
                <w:szCs w:val="20"/>
              </w:rPr>
            </w:pPr>
            <w:r w:rsidRPr="00702882">
              <w:rPr>
                <w:sz w:val="20"/>
                <w:szCs w:val="20"/>
              </w:rPr>
              <w:t>1.71 (0.37)</w:t>
            </w:r>
            <w:r w:rsidRPr="00702882">
              <w:rPr>
                <w:sz w:val="20"/>
                <w:szCs w:val="20"/>
                <w:vertAlign w:val="superscript"/>
              </w:rPr>
              <w:t>***</w:t>
            </w:r>
          </w:p>
        </w:tc>
        <w:tc>
          <w:tcPr>
            <w:tcW w:w="0" w:type="auto"/>
            <w:tcMar>
              <w:top w:w="15" w:type="dxa"/>
              <w:left w:w="75" w:type="dxa"/>
              <w:bottom w:w="15" w:type="dxa"/>
              <w:right w:w="75" w:type="dxa"/>
            </w:tcMar>
            <w:vAlign w:val="center"/>
            <w:hideMark/>
          </w:tcPr>
          <w:p w14:paraId="2FE410A5" w14:textId="77777777" w:rsidR="00AF6702" w:rsidRPr="00702882" w:rsidRDefault="00AF6702" w:rsidP="008D265E">
            <w:pPr>
              <w:spacing w:before="150" w:after="150"/>
              <w:contextualSpacing/>
              <w:rPr>
                <w:sz w:val="20"/>
                <w:szCs w:val="20"/>
              </w:rPr>
            </w:pPr>
            <w:r w:rsidRPr="00702882">
              <w:rPr>
                <w:sz w:val="20"/>
                <w:szCs w:val="20"/>
              </w:rPr>
              <w:t>0.79 (0.98)</w:t>
            </w:r>
          </w:p>
        </w:tc>
        <w:tc>
          <w:tcPr>
            <w:tcW w:w="0" w:type="auto"/>
            <w:tcMar>
              <w:top w:w="15" w:type="dxa"/>
              <w:left w:w="75" w:type="dxa"/>
              <w:bottom w:w="15" w:type="dxa"/>
              <w:right w:w="75" w:type="dxa"/>
            </w:tcMar>
            <w:vAlign w:val="center"/>
            <w:hideMark/>
          </w:tcPr>
          <w:p w14:paraId="5B5F444F" w14:textId="77777777" w:rsidR="00AF6702" w:rsidRPr="00702882" w:rsidRDefault="00AF6702" w:rsidP="008D265E">
            <w:pPr>
              <w:spacing w:before="150" w:after="150"/>
              <w:contextualSpacing/>
              <w:rPr>
                <w:sz w:val="20"/>
                <w:szCs w:val="20"/>
              </w:rPr>
            </w:pPr>
            <w:r w:rsidRPr="00702882">
              <w:rPr>
                <w:sz w:val="20"/>
                <w:szCs w:val="20"/>
              </w:rPr>
              <w:t>1.63 (0.38)</w:t>
            </w:r>
            <w:r w:rsidRPr="00702882">
              <w:rPr>
                <w:sz w:val="20"/>
                <w:szCs w:val="20"/>
                <w:vertAlign w:val="superscript"/>
              </w:rPr>
              <w:t>***</w:t>
            </w:r>
          </w:p>
        </w:tc>
        <w:tc>
          <w:tcPr>
            <w:tcW w:w="0" w:type="auto"/>
            <w:tcMar>
              <w:top w:w="15" w:type="dxa"/>
              <w:left w:w="75" w:type="dxa"/>
              <w:bottom w:w="15" w:type="dxa"/>
              <w:right w:w="75" w:type="dxa"/>
            </w:tcMar>
            <w:vAlign w:val="center"/>
            <w:hideMark/>
          </w:tcPr>
          <w:p w14:paraId="70CC77A4" w14:textId="77777777" w:rsidR="00AF6702" w:rsidRPr="00702882" w:rsidRDefault="00AF6702" w:rsidP="008D265E">
            <w:pPr>
              <w:spacing w:before="150" w:after="150"/>
              <w:contextualSpacing/>
              <w:rPr>
                <w:sz w:val="20"/>
                <w:szCs w:val="20"/>
              </w:rPr>
            </w:pPr>
            <w:r w:rsidRPr="00702882">
              <w:rPr>
                <w:sz w:val="20"/>
                <w:szCs w:val="20"/>
              </w:rPr>
              <w:t>1.63 (0.36)</w:t>
            </w:r>
            <w:r w:rsidRPr="00702882">
              <w:rPr>
                <w:sz w:val="20"/>
                <w:szCs w:val="20"/>
                <w:vertAlign w:val="superscript"/>
              </w:rPr>
              <w:t>***</w:t>
            </w:r>
          </w:p>
        </w:tc>
      </w:tr>
      <w:tr w:rsidR="00571D0D" w:rsidRPr="00702882" w14:paraId="205F5C65" w14:textId="77777777" w:rsidTr="00AE6820">
        <w:trPr>
          <w:jc w:val="center"/>
        </w:trPr>
        <w:tc>
          <w:tcPr>
            <w:tcW w:w="0" w:type="auto"/>
            <w:tcMar>
              <w:top w:w="15" w:type="dxa"/>
              <w:left w:w="75" w:type="dxa"/>
              <w:bottom w:w="15" w:type="dxa"/>
              <w:right w:w="75" w:type="dxa"/>
            </w:tcMar>
            <w:vAlign w:val="center"/>
            <w:hideMark/>
          </w:tcPr>
          <w:p w14:paraId="59A2D96B" w14:textId="77777777" w:rsidR="00AF6702" w:rsidRPr="00702882" w:rsidRDefault="00AF6702" w:rsidP="008D265E">
            <w:pPr>
              <w:spacing w:before="150" w:after="150"/>
              <w:contextualSpacing/>
              <w:rPr>
                <w:sz w:val="20"/>
                <w:szCs w:val="20"/>
              </w:rPr>
            </w:pPr>
            <w:r w:rsidRPr="00702882">
              <w:rPr>
                <w:sz w:val="20"/>
                <w:szCs w:val="20"/>
              </w:rPr>
              <w:t>Disasters</w:t>
            </w:r>
          </w:p>
        </w:tc>
        <w:tc>
          <w:tcPr>
            <w:tcW w:w="0" w:type="auto"/>
            <w:tcMar>
              <w:top w:w="15" w:type="dxa"/>
              <w:left w:w="75" w:type="dxa"/>
              <w:bottom w:w="15" w:type="dxa"/>
              <w:right w:w="75" w:type="dxa"/>
            </w:tcMar>
            <w:vAlign w:val="center"/>
            <w:hideMark/>
          </w:tcPr>
          <w:p w14:paraId="577BC5F2" w14:textId="77777777" w:rsidR="00AF6702" w:rsidRPr="00702882" w:rsidRDefault="00AF6702" w:rsidP="008D265E">
            <w:pPr>
              <w:spacing w:before="150" w:after="150"/>
              <w:contextualSpacing/>
              <w:rPr>
                <w:sz w:val="20"/>
                <w:szCs w:val="20"/>
              </w:rPr>
            </w:pPr>
            <w:r w:rsidRPr="00702882">
              <w:rPr>
                <w:sz w:val="20"/>
                <w:szCs w:val="20"/>
              </w:rPr>
              <w:t>0.53 (0.27)</w:t>
            </w:r>
            <w:r w:rsidRPr="00702882">
              <w:rPr>
                <w:sz w:val="20"/>
                <w:szCs w:val="20"/>
                <w:vertAlign w:val="superscript"/>
              </w:rPr>
              <w:t>*</w:t>
            </w:r>
          </w:p>
        </w:tc>
        <w:tc>
          <w:tcPr>
            <w:tcW w:w="0" w:type="auto"/>
            <w:tcMar>
              <w:top w:w="15" w:type="dxa"/>
              <w:left w:w="75" w:type="dxa"/>
              <w:bottom w:w="15" w:type="dxa"/>
              <w:right w:w="75" w:type="dxa"/>
            </w:tcMar>
            <w:vAlign w:val="center"/>
            <w:hideMark/>
          </w:tcPr>
          <w:p w14:paraId="4265BA38" w14:textId="77777777" w:rsidR="00AF6702" w:rsidRPr="00702882" w:rsidRDefault="00AF6702" w:rsidP="008D265E">
            <w:pPr>
              <w:spacing w:before="150" w:after="150"/>
              <w:contextualSpacing/>
              <w:rPr>
                <w:sz w:val="20"/>
                <w:szCs w:val="20"/>
              </w:rPr>
            </w:pPr>
            <w:r w:rsidRPr="00702882">
              <w:rPr>
                <w:sz w:val="20"/>
                <w:szCs w:val="20"/>
              </w:rPr>
              <w:t>0.55 (0.27)</w:t>
            </w:r>
            <w:r w:rsidRPr="00702882">
              <w:rPr>
                <w:sz w:val="20"/>
                <w:szCs w:val="20"/>
                <w:vertAlign w:val="superscript"/>
              </w:rPr>
              <w:t>**</w:t>
            </w:r>
          </w:p>
        </w:tc>
        <w:tc>
          <w:tcPr>
            <w:tcW w:w="0" w:type="auto"/>
            <w:tcMar>
              <w:top w:w="15" w:type="dxa"/>
              <w:left w:w="75" w:type="dxa"/>
              <w:bottom w:w="15" w:type="dxa"/>
              <w:right w:w="75" w:type="dxa"/>
            </w:tcMar>
            <w:vAlign w:val="center"/>
            <w:hideMark/>
          </w:tcPr>
          <w:p w14:paraId="53A5BFFF" w14:textId="77777777" w:rsidR="00AF6702" w:rsidRPr="00702882" w:rsidRDefault="00AF6702" w:rsidP="008D265E">
            <w:pPr>
              <w:spacing w:before="150" w:after="150"/>
              <w:contextualSpacing/>
              <w:rPr>
                <w:sz w:val="20"/>
                <w:szCs w:val="20"/>
              </w:rPr>
            </w:pPr>
            <w:r w:rsidRPr="00702882">
              <w:rPr>
                <w:sz w:val="20"/>
                <w:szCs w:val="20"/>
              </w:rPr>
              <w:t>0.57 (0.31)</w:t>
            </w:r>
            <w:r w:rsidRPr="00702882">
              <w:rPr>
                <w:sz w:val="20"/>
                <w:szCs w:val="20"/>
                <w:vertAlign w:val="superscript"/>
              </w:rPr>
              <w:t>*</w:t>
            </w:r>
          </w:p>
        </w:tc>
        <w:tc>
          <w:tcPr>
            <w:tcW w:w="0" w:type="auto"/>
            <w:tcMar>
              <w:top w:w="15" w:type="dxa"/>
              <w:left w:w="75" w:type="dxa"/>
              <w:bottom w:w="15" w:type="dxa"/>
              <w:right w:w="75" w:type="dxa"/>
            </w:tcMar>
            <w:vAlign w:val="center"/>
            <w:hideMark/>
          </w:tcPr>
          <w:p w14:paraId="18C388AF" w14:textId="77777777" w:rsidR="00AF6702" w:rsidRPr="00702882" w:rsidRDefault="00AF6702" w:rsidP="008D265E">
            <w:pPr>
              <w:spacing w:before="150" w:after="150"/>
              <w:contextualSpacing/>
              <w:rPr>
                <w:sz w:val="20"/>
                <w:szCs w:val="20"/>
              </w:rPr>
            </w:pPr>
            <w:r w:rsidRPr="00702882">
              <w:rPr>
                <w:sz w:val="20"/>
                <w:szCs w:val="20"/>
              </w:rPr>
              <w:t>0.58 (0.29)</w:t>
            </w:r>
            <w:r w:rsidRPr="00702882">
              <w:rPr>
                <w:sz w:val="20"/>
                <w:szCs w:val="20"/>
                <w:vertAlign w:val="superscript"/>
              </w:rPr>
              <w:t>**</w:t>
            </w:r>
          </w:p>
        </w:tc>
      </w:tr>
      <w:tr w:rsidR="00571D0D" w:rsidRPr="00702882" w14:paraId="73F25585" w14:textId="77777777" w:rsidTr="00AE6820">
        <w:trPr>
          <w:jc w:val="center"/>
        </w:trPr>
        <w:tc>
          <w:tcPr>
            <w:tcW w:w="0" w:type="auto"/>
            <w:tcMar>
              <w:top w:w="15" w:type="dxa"/>
              <w:left w:w="75" w:type="dxa"/>
              <w:bottom w:w="15" w:type="dxa"/>
              <w:right w:w="75" w:type="dxa"/>
            </w:tcMar>
            <w:vAlign w:val="center"/>
            <w:hideMark/>
          </w:tcPr>
          <w:p w14:paraId="056858B9" w14:textId="77777777" w:rsidR="00AF6702" w:rsidRPr="00702882" w:rsidRDefault="00AF6702" w:rsidP="008D265E">
            <w:pPr>
              <w:spacing w:before="150" w:after="150"/>
              <w:contextualSpacing/>
              <w:rPr>
                <w:sz w:val="20"/>
                <w:szCs w:val="20"/>
              </w:rPr>
            </w:pPr>
            <w:r w:rsidRPr="00702882">
              <w:rPr>
                <w:sz w:val="20"/>
                <w:szCs w:val="20"/>
              </w:rPr>
              <w:t>Fed_IGR</w:t>
            </w:r>
          </w:p>
        </w:tc>
        <w:tc>
          <w:tcPr>
            <w:tcW w:w="0" w:type="auto"/>
            <w:tcMar>
              <w:top w:w="15" w:type="dxa"/>
              <w:left w:w="75" w:type="dxa"/>
              <w:bottom w:w="15" w:type="dxa"/>
              <w:right w:w="75" w:type="dxa"/>
            </w:tcMar>
            <w:vAlign w:val="center"/>
            <w:hideMark/>
          </w:tcPr>
          <w:p w14:paraId="0F20765F" w14:textId="77777777" w:rsidR="00AF6702" w:rsidRPr="00702882" w:rsidRDefault="00AF6702" w:rsidP="008D265E">
            <w:pPr>
              <w:spacing w:before="150" w:after="150"/>
              <w:contextualSpacing/>
              <w:rPr>
                <w:sz w:val="20"/>
                <w:szCs w:val="20"/>
              </w:rPr>
            </w:pPr>
            <w:r w:rsidRPr="00702882">
              <w:rPr>
                <w:sz w:val="20"/>
                <w:szCs w:val="20"/>
              </w:rPr>
              <w:t>0.28 (0.52)</w:t>
            </w:r>
          </w:p>
        </w:tc>
        <w:tc>
          <w:tcPr>
            <w:tcW w:w="0" w:type="auto"/>
            <w:tcMar>
              <w:top w:w="15" w:type="dxa"/>
              <w:left w:w="75" w:type="dxa"/>
              <w:bottom w:w="15" w:type="dxa"/>
              <w:right w:w="75" w:type="dxa"/>
            </w:tcMar>
            <w:vAlign w:val="center"/>
            <w:hideMark/>
          </w:tcPr>
          <w:p w14:paraId="6B69C0B9" w14:textId="77777777" w:rsidR="00AF6702" w:rsidRPr="00702882" w:rsidRDefault="00AF6702" w:rsidP="008D265E">
            <w:pPr>
              <w:spacing w:before="150" w:after="150"/>
              <w:contextualSpacing/>
              <w:rPr>
                <w:sz w:val="20"/>
                <w:szCs w:val="20"/>
              </w:rPr>
            </w:pPr>
            <w:r w:rsidRPr="00702882">
              <w:rPr>
                <w:sz w:val="20"/>
                <w:szCs w:val="20"/>
              </w:rPr>
              <w:t>0.25 (0.55)</w:t>
            </w:r>
          </w:p>
        </w:tc>
        <w:tc>
          <w:tcPr>
            <w:tcW w:w="0" w:type="auto"/>
            <w:tcMar>
              <w:top w:w="15" w:type="dxa"/>
              <w:left w:w="75" w:type="dxa"/>
              <w:bottom w:w="15" w:type="dxa"/>
              <w:right w:w="75" w:type="dxa"/>
            </w:tcMar>
            <w:vAlign w:val="center"/>
            <w:hideMark/>
          </w:tcPr>
          <w:p w14:paraId="53136B79" w14:textId="77777777" w:rsidR="00AF6702" w:rsidRPr="00702882" w:rsidRDefault="00AF6702" w:rsidP="008D265E">
            <w:pPr>
              <w:spacing w:before="150" w:after="150"/>
              <w:contextualSpacing/>
              <w:rPr>
                <w:sz w:val="20"/>
                <w:szCs w:val="20"/>
              </w:rPr>
            </w:pPr>
            <w:r w:rsidRPr="00702882">
              <w:rPr>
                <w:sz w:val="20"/>
                <w:szCs w:val="20"/>
              </w:rPr>
              <w:t>0.28 (0.53)</w:t>
            </w:r>
          </w:p>
        </w:tc>
        <w:tc>
          <w:tcPr>
            <w:tcW w:w="0" w:type="auto"/>
            <w:tcMar>
              <w:top w:w="15" w:type="dxa"/>
              <w:left w:w="75" w:type="dxa"/>
              <w:bottom w:w="15" w:type="dxa"/>
              <w:right w:w="75" w:type="dxa"/>
            </w:tcMar>
            <w:vAlign w:val="center"/>
            <w:hideMark/>
          </w:tcPr>
          <w:p w14:paraId="2B0EDAF3" w14:textId="77777777" w:rsidR="00AF6702" w:rsidRPr="00702882" w:rsidRDefault="00AF6702" w:rsidP="008D265E">
            <w:pPr>
              <w:spacing w:before="150" w:after="150"/>
              <w:contextualSpacing/>
              <w:rPr>
                <w:sz w:val="20"/>
                <w:szCs w:val="20"/>
              </w:rPr>
            </w:pPr>
            <w:r w:rsidRPr="00702882">
              <w:rPr>
                <w:sz w:val="20"/>
                <w:szCs w:val="20"/>
              </w:rPr>
              <w:t>0.28 (0.53)</w:t>
            </w:r>
          </w:p>
        </w:tc>
      </w:tr>
      <w:tr w:rsidR="00571D0D" w:rsidRPr="00702882" w14:paraId="266D455B" w14:textId="77777777" w:rsidTr="00AE6820">
        <w:trPr>
          <w:jc w:val="center"/>
        </w:trPr>
        <w:tc>
          <w:tcPr>
            <w:tcW w:w="0" w:type="auto"/>
            <w:tcMar>
              <w:top w:w="15" w:type="dxa"/>
              <w:left w:w="75" w:type="dxa"/>
              <w:bottom w:w="15" w:type="dxa"/>
              <w:right w:w="75" w:type="dxa"/>
            </w:tcMar>
            <w:vAlign w:val="center"/>
            <w:hideMark/>
          </w:tcPr>
          <w:p w14:paraId="32C7C6D4" w14:textId="77777777" w:rsidR="00AF6702" w:rsidRPr="00702882" w:rsidRDefault="00AF6702" w:rsidP="008D265E">
            <w:pPr>
              <w:spacing w:before="150" w:after="150"/>
              <w:contextualSpacing/>
              <w:rPr>
                <w:sz w:val="20"/>
                <w:szCs w:val="20"/>
              </w:rPr>
            </w:pPr>
            <w:r w:rsidRPr="00702882">
              <w:rPr>
                <w:sz w:val="20"/>
                <w:szCs w:val="20"/>
              </w:rPr>
              <w:t>Debt_per_capita</w:t>
            </w:r>
          </w:p>
        </w:tc>
        <w:tc>
          <w:tcPr>
            <w:tcW w:w="0" w:type="auto"/>
            <w:tcMar>
              <w:top w:w="15" w:type="dxa"/>
              <w:left w:w="75" w:type="dxa"/>
              <w:bottom w:w="15" w:type="dxa"/>
              <w:right w:w="75" w:type="dxa"/>
            </w:tcMar>
            <w:vAlign w:val="center"/>
            <w:hideMark/>
          </w:tcPr>
          <w:p w14:paraId="35238211" w14:textId="77777777" w:rsidR="00AF6702" w:rsidRPr="00702882" w:rsidRDefault="00AF6702" w:rsidP="008D265E">
            <w:pPr>
              <w:spacing w:before="150" w:after="150"/>
              <w:contextualSpacing/>
              <w:rPr>
                <w:sz w:val="20"/>
                <w:szCs w:val="20"/>
              </w:rPr>
            </w:pPr>
            <w:r w:rsidRPr="00702882">
              <w:rPr>
                <w:sz w:val="20"/>
                <w:szCs w:val="20"/>
              </w:rPr>
              <w:t>0.35 (0.13)</w:t>
            </w:r>
            <w:r w:rsidRPr="00702882">
              <w:rPr>
                <w:sz w:val="20"/>
                <w:szCs w:val="20"/>
                <w:vertAlign w:val="superscript"/>
              </w:rPr>
              <w:t>***</w:t>
            </w:r>
          </w:p>
        </w:tc>
        <w:tc>
          <w:tcPr>
            <w:tcW w:w="0" w:type="auto"/>
            <w:tcMar>
              <w:top w:w="15" w:type="dxa"/>
              <w:left w:w="75" w:type="dxa"/>
              <w:bottom w:w="15" w:type="dxa"/>
              <w:right w:w="75" w:type="dxa"/>
            </w:tcMar>
            <w:vAlign w:val="center"/>
            <w:hideMark/>
          </w:tcPr>
          <w:p w14:paraId="2E4191DB" w14:textId="77777777" w:rsidR="00AF6702" w:rsidRPr="00702882" w:rsidRDefault="00AF6702" w:rsidP="008D265E">
            <w:pPr>
              <w:spacing w:before="150" w:after="150"/>
              <w:contextualSpacing/>
              <w:rPr>
                <w:sz w:val="20"/>
                <w:szCs w:val="20"/>
              </w:rPr>
            </w:pPr>
            <w:r w:rsidRPr="00702882">
              <w:rPr>
                <w:sz w:val="20"/>
                <w:szCs w:val="20"/>
              </w:rPr>
              <w:t>0.36 (0.14)</w:t>
            </w:r>
            <w:r w:rsidRPr="00702882">
              <w:rPr>
                <w:sz w:val="20"/>
                <w:szCs w:val="20"/>
                <w:vertAlign w:val="superscript"/>
              </w:rPr>
              <w:t>***</w:t>
            </w:r>
          </w:p>
        </w:tc>
        <w:tc>
          <w:tcPr>
            <w:tcW w:w="0" w:type="auto"/>
            <w:tcMar>
              <w:top w:w="15" w:type="dxa"/>
              <w:left w:w="75" w:type="dxa"/>
              <w:bottom w:w="15" w:type="dxa"/>
              <w:right w:w="75" w:type="dxa"/>
            </w:tcMar>
            <w:vAlign w:val="center"/>
            <w:hideMark/>
          </w:tcPr>
          <w:p w14:paraId="24854392" w14:textId="77777777" w:rsidR="00AF6702" w:rsidRPr="00702882" w:rsidRDefault="00AF6702" w:rsidP="008D265E">
            <w:pPr>
              <w:spacing w:before="150" w:after="150"/>
              <w:contextualSpacing/>
              <w:rPr>
                <w:sz w:val="20"/>
                <w:szCs w:val="20"/>
              </w:rPr>
            </w:pPr>
            <w:r w:rsidRPr="00702882">
              <w:rPr>
                <w:sz w:val="20"/>
                <w:szCs w:val="20"/>
              </w:rPr>
              <w:t>0.32 (0.13)</w:t>
            </w:r>
            <w:r w:rsidRPr="00702882">
              <w:rPr>
                <w:sz w:val="20"/>
                <w:szCs w:val="20"/>
                <w:vertAlign w:val="superscript"/>
              </w:rPr>
              <w:t>**</w:t>
            </w:r>
          </w:p>
        </w:tc>
        <w:tc>
          <w:tcPr>
            <w:tcW w:w="0" w:type="auto"/>
            <w:tcMar>
              <w:top w:w="15" w:type="dxa"/>
              <w:left w:w="75" w:type="dxa"/>
              <w:bottom w:w="15" w:type="dxa"/>
              <w:right w:w="75" w:type="dxa"/>
            </w:tcMar>
            <w:vAlign w:val="center"/>
            <w:hideMark/>
          </w:tcPr>
          <w:p w14:paraId="277DF6AE" w14:textId="77777777" w:rsidR="00AF6702" w:rsidRPr="00702882" w:rsidRDefault="00AF6702" w:rsidP="008D265E">
            <w:pPr>
              <w:spacing w:before="150" w:after="150"/>
              <w:contextualSpacing/>
              <w:rPr>
                <w:sz w:val="20"/>
                <w:szCs w:val="20"/>
              </w:rPr>
            </w:pPr>
            <w:r w:rsidRPr="00702882">
              <w:rPr>
                <w:sz w:val="20"/>
                <w:szCs w:val="20"/>
              </w:rPr>
              <w:t>0.32 (0.13)</w:t>
            </w:r>
            <w:r w:rsidRPr="00702882">
              <w:rPr>
                <w:sz w:val="20"/>
                <w:szCs w:val="20"/>
                <w:vertAlign w:val="superscript"/>
              </w:rPr>
              <w:t>**</w:t>
            </w:r>
          </w:p>
        </w:tc>
      </w:tr>
      <w:tr w:rsidR="00571D0D" w:rsidRPr="00702882" w14:paraId="0914C0A7" w14:textId="77777777" w:rsidTr="00AE6820">
        <w:trPr>
          <w:jc w:val="center"/>
        </w:trPr>
        <w:tc>
          <w:tcPr>
            <w:tcW w:w="0" w:type="auto"/>
            <w:tcMar>
              <w:top w:w="15" w:type="dxa"/>
              <w:left w:w="75" w:type="dxa"/>
              <w:bottom w:w="15" w:type="dxa"/>
              <w:right w:w="75" w:type="dxa"/>
            </w:tcMar>
            <w:vAlign w:val="center"/>
            <w:hideMark/>
          </w:tcPr>
          <w:p w14:paraId="490A8D39" w14:textId="77777777" w:rsidR="00AF6702" w:rsidRPr="00702882" w:rsidRDefault="00AF6702" w:rsidP="008D265E">
            <w:pPr>
              <w:spacing w:before="150" w:after="150"/>
              <w:contextualSpacing/>
              <w:rPr>
                <w:sz w:val="20"/>
                <w:szCs w:val="20"/>
              </w:rPr>
            </w:pPr>
            <w:r w:rsidRPr="00702882">
              <w:rPr>
                <w:sz w:val="20"/>
                <w:szCs w:val="20"/>
              </w:rPr>
              <w:t>GSP</w:t>
            </w:r>
          </w:p>
        </w:tc>
        <w:tc>
          <w:tcPr>
            <w:tcW w:w="0" w:type="auto"/>
            <w:tcMar>
              <w:top w:w="15" w:type="dxa"/>
              <w:left w:w="75" w:type="dxa"/>
              <w:bottom w:w="15" w:type="dxa"/>
              <w:right w:w="75" w:type="dxa"/>
            </w:tcMar>
            <w:vAlign w:val="center"/>
            <w:hideMark/>
          </w:tcPr>
          <w:p w14:paraId="34D8A364" w14:textId="77777777" w:rsidR="00AF6702" w:rsidRPr="00702882" w:rsidRDefault="00AF6702" w:rsidP="008D265E">
            <w:pPr>
              <w:spacing w:before="150" w:after="150"/>
              <w:contextualSpacing/>
              <w:rPr>
                <w:sz w:val="20"/>
                <w:szCs w:val="20"/>
              </w:rPr>
            </w:pPr>
            <w:r w:rsidRPr="00702882">
              <w:rPr>
                <w:sz w:val="20"/>
                <w:szCs w:val="20"/>
              </w:rPr>
              <w:t>0.07 (0.08)</w:t>
            </w:r>
          </w:p>
        </w:tc>
        <w:tc>
          <w:tcPr>
            <w:tcW w:w="0" w:type="auto"/>
            <w:tcMar>
              <w:top w:w="15" w:type="dxa"/>
              <w:left w:w="75" w:type="dxa"/>
              <w:bottom w:w="15" w:type="dxa"/>
              <w:right w:w="75" w:type="dxa"/>
            </w:tcMar>
            <w:vAlign w:val="center"/>
            <w:hideMark/>
          </w:tcPr>
          <w:p w14:paraId="76010B71" w14:textId="77777777" w:rsidR="00AF6702" w:rsidRPr="00702882" w:rsidRDefault="00AF6702" w:rsidP="008D265E">
            <w:pPr>
              <w:spacing w:before="150" w:after="150"/>
              <w:contextualSpacing/>
              <w:rPr>
                <w:sz w:val="20"/>
                <w:szCs w:val="20"/>
              </w:rPr>
            </w:pPr>
            <w:r w:rsidRPr="00702882">
              <w:rPr>
                <w:sz w:val="20"/>
                <w:szCs w:val="20"/>
              </w:rPr>
              <w:t>0.05 (0.08)</w:t>
            </w:r>
          </w:p>
        </w:tc>
        <w:tc>
          <w:tcPr>
            <w:tcW w:w="0" w:type="auto"/>
            <w:tcMar>
              <w:top w:w="15" w:type="dxa"/>
              <w:left w:w="75" w:type="dxa"/>
              <w:bottom w:w="15" w:type="dxa"/>
              <w:right w:w="75" w:type="dxa"/>
            </w:tcMar>
            <w:vAlign w:val="center"/>
            <w:hideMark/>
          </w:tcPr>
          <w:p w14:paraId="2120DF45" w14:textId="77777777" w:rsidR="00AF6702" w:rsidRPr="00702882" w:rsidRDefault="00AF6702" w:rsidP="008D265E">
            <w:pPr>
              <w:spacing w:before="150" w:after="150"/>
              <w:contextualSpacing/>
              <w:rPr>
                <w:sz w:val="20"/>
                <w:szCs w:val="20"/>
              </w:rPr>
            </w:pPr>
            <w:r w:rsidRPr="00702882">
              <w:rPr>
                <w:sz w:val="20"/>
                <w:szCs w:val="20"/>
              </w:rPr>
              <w:t>0.04 (0.08)</w:t>
            </w:r>
          </w:p>
        </w:tc>
        <w:tc>
          <w:tcPr>
            <w:tcW w:w="0" w:type="auto"/>
            <w:tcMar>
              <w:top w:w="15" w:type="dxa"/>
              <w:left w:w="75" w:type="dxa"/>
              <w:bottom w:w="15" w:type="dxa"/>
              <w:right w:w="75" w:type="dxa"/>
            </w:tcMar>
            <w:vAlign w:val="center"/>
            <w:hideMark/>
          </w:tcPr>
          <w:p w14:paraId="05221F3B" w14:textId="77777777" w:rsidR="00AF6702" w:rsidRPr="00702882" w:rsidRDefault="00AF6702" w:rsidP="008D265E">
            <w:pPr>
              <w:spacing w:before="150" w:after="150"/>
              <w:contextualSpacing/>
              <w:rPr>
                <w:sz w:val="20"/>
                <w:szCs w:val="20"/>
              </w:rPr>
            </w:pPr>
            <w:r w:rsidRPr="00702882">
              <w:rPr>
                <w:sz w:val="20"/>
                <w:szCs w:val="20"/>
              </w:rPr>
              <w:t>0.04 (0.08)</w:t>
            </w:r>
          </w:p>
        </w:tc>
      </w:tr>
      <w:tr w:rsidR="00571D0D" w:rsidRPr="00702882" w14:paraId="02DC98AA" w14:textId="77777777" w:rsidTr="00AE6820">
        <w:trPr>
          <w:jc w:val="center"/>
        </w:trPr>
        <w:tc>
          <w:tcPr>
            <w:tcW w:w="0" w:type="auto"/>
            <w:tcMar>
              <w:top w:w="15" w:type="dxa"/>
              <w:left w:w="75" w:type="dxa"/>
              <w:bottom w:w="15" w:type="dxa"/>
              <w:right w:w="75" w:type="dxa"/>
            </w:tcMar>
            <w:vAlign w:val="center"/>
            <w:hideMark/>
          </w:tcPr>
          <w:p w14:paraId="7C2F6C34" w14:textId="77777777" w:rsidR="00AF6702" w:rsidRPr="00702882" w:rsidRDefault="00AF6702" w:rsidP="008D265E">
            <w:pPr>
              <w:spacing w:before="150" w:after="150"/>
              <w:contextualSpacing/>
              <w:rPr>
                <w:sz w:val="20"/>
                <w:szCs w:val="20"/>
              </w:rPr>
            </w:pPr>
            <w:r w:rsidRPr="00702882">
              <w:rPr>
                <w:sz w:val="20"/>
                <w:szCs w:val="20"/>
              </w:rPr>
              <w:t>Unemployment</w:t>
            </w:r>
          </w:p>
        </w:tc>
        <w:tc>
          <w:tcPr>
            <w:tcW w:w="0" w:type="auto"/>
            <w:tcMar>
              <w:top w:w="15" w:type="dxa"/>
              <w:left w:w="75" w:type="dxa"/>
              <w:bottom w:w="15" w:type="dxa"/>
              <w:right w:w="75" w:type="dxa"/>
            </w:tcMar>
            <w:vAlign w:val="center"/>
            <w:hideMark/>
          </w:tcPr>
          <w:p w14:paraId="4257072B" w14:textId="77777777" w:rsidR="00AF6702" w:rsidRPr="00702882" w:rsidRDefault="00AF6702" w:rsidP="008D265E">
            <w:pPr>
              <w:spacing w:before="150" w:after="150"/>
              <w:contextualSpacing/>
              <w:rPr>
                <w:sz w:val="20"/>
                <w:szCs w:val="20"/>
              </w:rPr>
            </w:pPr>
            <w:r w:rsidRPr="00702882">
              <w:rPr>
                <w:sz w:val="20"/>
                <w:szCs w:val="20"/>
              </w:rPr>
              <w:t>-0.97 (0.12)</w:t>
            </w:r>
            <w:r w:rsidRPr="00702882">
              <w:rPr>
                <w:sz w:val="20"/>
                <w:szCs w:val="20"/>
                <w:vertAlign w:val="superscript"/>
              </w:rPr>
              <w:t>***</w:t>
            </w:r>
          </w:p>
        </w:tc>
        <w:tc>
          <w:tcPr>
            <w:tcW w:w="0" w:type="auto"/>
            <w:tcMar>
              <w:top w:w="15" w:type="dxa"/>
              <w:left w:w="75" w:type="dxa"/>
              <w:bottom w:w="15" w:type="dxa"/>
              <w:right w:w="75" w:type="dxa"/>
            </w:tcMar>
            <w:vAlign w:val="center"/>
            <w:hideMark/>
          </w:tcPr>
          <w:p w14:paraId="1FBAD543" w14:textId="77777777" w:rsidR="00AF6702" w:rsidRPr="00702882" w:rsidRDefault="00AF6702" w:rsidP="008D265E">
            <w:pPr>
              <w:spacing w:before="150" w:after="150"/>
              <w:contextualSpacing/>
              <w:rPr>
                <w:sz w:val="20"/>
                <w:szCs w:val="20"/>
              </w:rPr>
            </w:pPr>
            <w:r w:rsidRPr="00702882">
              <w:rPr>
                <w:sz w:val="20"/>
                <w:szCs w:val="20"/>
              </w:rPr>
              <w:t>-1.51 (0.34)</w:t>
            </w:r>
            <w:r w:rsidRPr="00702882">
              <w:rPr>
                <w:sz w:val="20"/>
                <w:szCs w:val="20"/>
                <w:vertAlign w:val="superscript"/>
              </w:rPr>
              <w:t>***</w:t>
            </w:r>
          </w:p>
        </w:tc>
        <w:tc>
          <w:tcPr>
            <w:tcW w:w="0" w:type="auto"/>
            <w:tcMar>
              <w:top w:w="15" w:type="dxa"/>
              <w:left w:w="75" w:type="dxa"/>
              <w:bottom w:w="15" w:type="dxa"/>
              <w:right w:w="75" w:type="dxa"/>
            </w:tcMar>
            <w:vAlign w:val="center"/>
            <w:hideMark/>
          </w:tcPr>
          <w:p w14:paraId="5D94409B" w14:textId="77777777" w:rsidR="00AF6702" w:rsidRPr="00702882" w:rsidRDefault="00AF6702" w:rsidP="008D265E">
            <w:pPr>
              <w:spacing w:before="150" w:after="150"/>
              <w:contextualSpacing/>
              <w:rPr>
                <w:sz w:val="20"/>
                <w:szCs w:val="20"/>
              </w:rPr>
            </w:pPr>
            <w:r w:rsidRPr="00702882">
              <w:rPr>
                <w:sz w:val="20"/>
                <w:szCs w:val="20"/>
              </w:rPr>
              <w:t>-1.16 (0.20)</w:t>
            </w:r>
            <w:r w:rsidRPr="00702882">
              <w:rPr>
                <w:sz w:val="20"/>
                <w:szCs w:val="20"/>
                <w:vertAlign w:val="superscript"/>
              </w:rPr>
              <w:t>***</w:t>
            </w:r>
          </w:p>
        </w:tc>
        <w:tc>
          <w:tcPr>
            <w:tcW w:w="0" w:type="auto"/>
            <w:tcMar>
              <w:top w:w="15" w:type="dxa"/>
              <w:left w:w="75" w:type="dxa"/>
              <w:bottom w:w="15" w:type="dxa"/>
              <w:right w:w="75" w:type="dxa"/>
            </w:tcMar>
            <w:vAlign w:val="center"/>
            <w:hideMark/>
          </w:tcPr>
          <w:p w14:paraId="1B7F6F46" w14:textId="77777777" w:rsidR="00AF6702" w:rsidRPr="00702882" w:rsidRDefault="00AF6702" w:rsidP="008D265E">
            <w:pPr>
              <w:spacing w:before="150" w:after="150"/>
              <w:contextualSpacing/>
              <w:rPr>
                <w:sz w:val="20"/>
                <w:szCs w:val="20"/>
              </w:rPr>
            </w:pPr>
            <w:r w:rsidRPr="00702882">
              <w:rPr>
                <w:sz w:val="20"/>
                <w:szCs w:val="20"/>
              </w:rPr>
              <w:t>-1.15 (0.20)</w:t>
            </w:r>
            <w:r w:rsidRPr="00702882">
              <w:rPr>
                <w:sz w:val="20"/>
                <w:szCs w:val="20"/>
                <w:vertAlign w:val="superscript"/>
              </w:rPr>
              <w:t>***</w:t>
            </w:r>
          </w:p>
        </w:tc>
      </w:tr>
      <w:tr w:rsidR="00571D0D" w:rsidRPr="00702882" w14:paraId="280882F0" w14:textId="77777777" w:rsidTr="00AE6820">
        <w:trPr>
          <w:jc w:val="center"/>
        </w:trPr>
        <w:tc>
          <w:tcPr>
            <w:tcW w:w="0" w:type="auto"/>
            <w:tcMar>
              <w:top w:w="15" w:type="dxa"/>
              <w:left w:w="75" w:type="dxa"/>
              <w:bottom w:w="15" w:type="dxa"/>
              <w:right w:w="75" w:type="dxa"/>
            </w:tcMar>
            <w:vAlign w:val="center"/>
            <w:hideMark/>
          </w:tcPr>
          <w:p w14:paraId="63D96921" w14:textId="77777777" w:rsidR="00AF6702" w:rsidRPr="00702882" w:rsidRDefault="00AF6702" w:rsidP="008D265E">
            <w:pPr>
              <w:spacing w:before="150" w:after="150"/>
              <w:contextualSpacing/>
              <w:rPr>
                <w:sz w:val="20"/>
                <w:szCs w:val="20"/>
              </w:rPr>
            </w:pPr>
            <w:r w:rsidRPr="00702882">
              <w:rPr>
                <w:sz w:val="20"/>
                <w:szCs w:val="20"/>
              </w:rPr>
              <w:t>Credit_rating</w:t>
            </w:r>
          </w:p>
        </w:tc>
        <w:tc>
          <w:tcPr>
            <w:tcW w:w="0" w:type="auto"/>
            <w:tcMar>
              <w:top w:w="15" w:type="dxa"/>
              <w:left w:w="75" w:type="dxa"/>
              <w:bottom w:w="15" w:type="dxa"/>
              <w:right w:w="75" w:type="dxa"/>
            </w:tcMar>
            <w:vAlign w:val="center"/>
            <w:hideMark/>
          </w:tcPr>
          <w:p w14:paraId="26A2F9BF" w14:textId="77777777" w:rsidR="00AF6702" w:rsidRPr="00702882" w:rsidRDefault="00AF6702" w:rsidP="008D265E">
            <w:pPr>
              <w:spacing w:before="150" w:after="150"/>
              <w:contextualSpacing/>
              <w:rPr>
                <w:sz w:val="20"/>
                <w:szCs w:val="20"/>
              </w:rPr>
            </w:pPr>
            <w:r w:rsidRPr="00702882">
              <w:rPr>
                <w:sz w:val="20"/>
                <w:szCs w:val="20"/>
              </w:rPr>
              <w:t>0.19 (0.16)</w:t>
            </w:r>
          </w:p>
        </w:tc>
        <w:tc>
          <w:tcPr>
            <w:tcW w:w="0" w:type="auto"/>
            <w:tcMar>
              <w:top w:w="15" w:type="dxa"/>
              <w:left w:w="75" w:type="dxa"/>
              <w:bottom w:w="15" w:type="dxa"/>
              <w:right w:w="75" w:type="dxa"/>
            </w:tcMar>
            <w:vAlign w:val="center"/>
            <w:hideMark/>
          </w:tcPr>
          <w:p w14:paraId="5553EE4D" w14:textId="77777777" w:rsidR="00AF6702" w:rsidRPr="00702882" w:rsidRDefault="00AF6702" w:rsidP="008D265E">
            <w:pPr>
              <w:spacing w:before="150" w:after="150"/>
              <w:contextualSpacing/>
              <w:rPr>
                <w:sz w:val="20"/>
                <w:szCs w:val="20"/>
              </w:rPr>
            </w:pPr>
            <w:r w:rsidRPr="00702882">
              <w:rPr>
                <w:sz w:val="20"/>
                <w:szCs w:val="20"/>
              </w:rPr>
              <w:t>0.30 (0.16)</w:t>
            </w:r>
            <w:r w:rsidRPr="00702882">
              <w:rPr>
                <w:sz w:val="20"/>
                <w:szCs w:val="20"/>
                <w:vertAlign w:val="superscript"/>
              </w:rPr>
              <w:t>*</w:t>
            </w:r>
          </w:p>
        </w:tc>
        <w:tc>
          <w:tcPr>
            <w:tcW w:w="0" w:type="auto"/>
            <w:tcMar>
              <w:top w:w="15" w:type="dxa"/>
              <w:left w:w="75" w:type="dxa"/>
              <w:bottom w:w="15" w:type="dxa"/>
              <w:right w:w="75" w:type="dxa"/>
            </w:tcMar>
            <w:vAlign w:val="center"/>
            <w:hideMark/>
          </w:tcPr>
          <w:p w14:paraId="0FE9D89E" w14:textId="77777777" w:rsidR="00AF6702" w:rsidRPr="00702882" w:rsidRDefault="00AF6702" w:rsidP="008D265E">
            <w:pPr>
              <w:spacing w:before="150" w:after="150"/>
              <w:contextualSpacing/>
              <w:rPr>
                <w:sz w:val="20"/>
                <w:szCs w:val="20"/>
              </w:rPr>
            </w:pPr>
            <w:r w:rsidRPr="00702882">
              <w:rPr>
                <w:sz w:val="20"/>
                <w:szCs w:val="20"/>
              </w:rPr>
              <w:t>0.34 (0.16)</w:t>
            </w:r>
            <w:r w:rsidRPr="00702882">
              <w:rPr>
                <w:sz w:val="20"/>
                <w:szCs w:val="20"/>
                <w:vertAlign w:val="superscript"/>
              </w:rPr>
              <w:t>**</w:t>
            </w:r>
          </w:p>
        </w:tc>
        <w:tc>
          <w:tcPr>
            <w:tcW w:w="0" w:type="auto"/>
            <w:tcMar>
              <w:top w:w="15" w:type="dxa"/>
              <w:left w:w="75" w:type="dxa"/>
              <w:bottom w:w="15" w:type="dxa"/>
              <w:right w:w="75" w:type="dxa"/>
            </w:tcMar>
            <w:vAlign w:val="center"/>
            <w:hideMark/>
          </w:tcPr>
          <w:p w14:paraId="1927D44E" w14:textId="77777777" w:rsidR="00AF6702" w:rsidRPr="00702882" w:rsidRDefault="00AF6702" w:rsidP="008D265E">
            <w:pPr>
              <w:spacing w:before="150" w:after="150"/>
              <w:contextualSpacing/>
              <w:rPr>
                <w:sz w:val="20"/>
                <w:szCs w:val="20"/>
              </w:rPr>
            </w:pPr>
            <w:r w:rsidRPr="00702882">
              <w:rPr>
                <w:sz w:val="20"/>
                <w:szCs w:val="20"/>
              </w:rPr>
              <w:t>0.35 (0.15)</w:t>
            </w:r>
            <w:r w:rsidRPr="00702882">
              <w:rPr>
                <w:sz w:val="20"/>
                <w:szCs w:val="20"/>
                <w:vertAlign w:val="superscript"/>
              </w:rPr>
              <w:t>**</w:t>
            </w:r>
          </w:p>
        </w:tc>
      </w:tr>
      <w:tr w:rsidR="00571D0D" w:rsidRPr="00702882" w14:paraId="7FF2B766" w14:textId="77777777" w:rsidTr="00AE6820">
        <w:trPr>
          <w:jc w:val="center"/>
        </w:trPr>
        <w:tc>
          <w:tcPr>
            <w:tcW w:w="0" w:type="auto"/>
            <w:tcMar>
              <w:top w:w="15" w:type="dxa"/>
              <w:left w:w="75" w:type="dxa"/>
              <w:bottom w:w="15" w:type="dxa"/>
              <w:right w:w="75" w:type="dxa"/>
            </w:tcMar>
            <w:vAlign w:val="center"/>
            <w:hideMark/>
          </w:tcPr>
          <w:p w14:paraId="6993F96B" w14:textId="77777777" w:rsidR="00AF6702" w:rsidRPr="00702882" w:rsidRDefault="00AF6702" w:rsidP="008D265E">
            <w:pPr>
              <w:spacing w:before="150" w:after="150"/>
              <w:contextualSpacing/>
              <w:rPr>
                <w:sz w:val="20"/>
                <w:szCs w:val="20"/>
              </w:rPr>
            </w:pPr>
            <w:r w:rsidRPr="00702882">
              <w:rPr>
                <w:sz w:val="20"/>
                <w:szCs w:val="20"/>
              </w:rPr>
              <w:t>Income_thousands</w:t>
            </w:r>
          </w:p>
        </w:tc>
        <w:tc>
          <w:tcPr>
            <w:tcW w:w="0" w:type="auto"/>
            <w:tcMar>
              <w:top w:w="15" w:type="dxa"/>
              <w:left w:w="75" w:type="dxa"/>
              <w:bottom w:w="15" w:type="dxa"/>
              <w:right w:w="75" w:type="dxa"/>
            </w:tcMar>
            <w:vAlign w:val="center"/>
            <w:hideMark/>
          </w:tcPr>
          <w:p w14:paraId="6CD45B9B" w14:textId="77777777" w:rsidR="00AF6702" w:rsidRPr="00702882" w:rsidRDefault="00AF6702" w:rsidP="008D265E">
            <w:pPr>
              <w:spacing w:before="150" w:after="150"/>
              <w:contextualSpacing/>
              <w:rPr>
                <w:sz w:val="20"/>
                <w:szCs w:val="20"/>
              </w:rPr>
            </w:pPr>
            <w:r w:rsidRPr="00702882">
              <w:rPr>
                <w:sz w:val="20"/>
                <w:szCs w:val="20"/>
              </w:rPr>
              <w:t>-0.11 (0.05)</w:t>
            </w:r>
            <w:r w:rsidRPr="00702882">
              <w:rPr>
                <w:sz w:val="20"/>
                <w:szCs w:val="20"/>
                <w:vertAlign w:val="superscript"/>
              </w:rPr>
              <w:t>**</w:t>
            </w:r>
          </w:p>
        </w:tc>
        <w:tc>
          <w:tcPr>
            <w:tcW w:w="0" w:type="auto"/>
            <w:tcMar>
              <w:top w:w="15" w:type="dxa"/>
              <w:left w:w="75" w:type="dxa"/>
              <w:bottom w:w="15" w:type="dxa"/>
              <w:right w:w="75" w:type="dxa"/>
            </w:tcMar>
            <w:vAlign w:val="center"/>
            <w:hideMark/>
          </w:tcPr>
          <w:p w14:paraId="29CB2C11" w14:textId="77777777" w:rsidR="00AF6702" w:rsidRPr="00702882" w:rsidRDefault="00AF6702" w:rsidP="008D265E">
            <w:pPr>
              <w:spacing w:before="150" w:after="150"/>
              <w:contextualSpacing/>
              <w:rPr>
                <w:sz w:val="20"/>
                <w:szCs w:val="20"/>
              </w:rPr>
            </w:pPr>
            <w:r w:rsidRPr="00702882">
              <w:rPr>
                <w:sz w:val="20"/>
                <w:szCs w:val="20"/>
              </w:rPr>
              <w:t>-0.12 (0.05)</w:t>
            </w:r>
            <w:r w:rsidRPr="00702882">
              <w:rPr>
                <w:sz w:val="20"/>
                <w:szCs w:val="20"/>
                <w:vertAlign w:val="superscript"/>
              </w:rPr>
              <w:t>**</w:t>
            </w:r>
          </w:p>
        </w:tc>
        <w:tc>
          <w:tcPr>
            <w:tcW w:w="0" w:type="auto"/>
            <w:tcMar>
              <w:top w:w="15" w:type="dxa"/>
              <w:left w:w="75" w:type="dxa"/>
              <w:bottom w:w="15" w:type="dxa"/>
              <w:right w:w="75" w:type="dxa"/>
            </w:tcMar>
            <w:vAlign w:val="center"/>
            <w:hideMark/>
          </w:tcPr>
          <w:p w14:paraId="72664B3C" w14:textId="77777777" w:rsidR="00AF6702" w:rsidRPr="00702882" w:rsidRDefault="00AF6702" w:rsidP="008D265E">
            <w:pPr>
              <w:spacing w:before="150" w:after="150"/>
              <w:contextualSpacing/>
              <w:rPr>
                <w:sz w:val="20"/>
                <w:szCs w:val="20"/>
              </w:rPr>
            </w:pPr>
            <w:r w:rsidRPr="00702882">
              <w:rPr>
                <w:sz w:val="20"/>
                <w:szCs w:val="20"/>
              </w:rPr>
              <w:t>-0.08 (0.05)</w:t>
            </w:r>
            <w:r w:rsidRPr="00702882">
              <w:rPr>
                <w:sz w:val="20"/>
                <w:szCs w:val="20"/>
                <w:vertAlign w:val="superscript"/>
              </w:rPr>
              <w:t>*</w:t>
            </w:r>
          </w:p>
        </w:tc>
        <w:tc>
          <w:tcPr>
            <w:tcW w:w="0" w:type="auto"/>
            <w:tcMar>
              <w:top w:w="15" w:type="dxa"/>
              <w:left w:w="75" w:type="dxa"/>
              <w:bottom w:w="15" w:type="dxa"/>
              <w:right w:w="75" w:type="dxa"/>
            </w:tcMar>
            <w:vAlign w:val="center"/>
            <w:hideMark/>
          </w:tcPr>
          <w:p w14:paraId="59612C70" w14:textId="77777777" w:rsidR="00AF6702" w:rsidRPr="00702882" w:rsidRDefault="00AF6702" w:rsidP="008D265E">
            <w:pPr>
              <w:spacing w:before="150" w:after="150"/>
              <w:contextualSpacing/>
              <w:rPr>
                <w:sz w:val="20"/>
                <w:szCs w:val="20"/>
              </w:rPr>
            </w:pPr>
            <w:r w:rsidRPr="00702882">
              <w:rPr>
                <w:sz w:val="20"/>
                <w:szCs w:val="20"/>
              </w:rPr>
              <w:t>-0.09 (0.05)</w:t>
            </w:r>
            <w:r w:rsidRPr="00702882">
              <w:rPr>
                <w:sz w:val="20"/>
                <w:szCs w:val="20"/>
                <w:vertAlign w:val="superscript"/>
              </w:rPr>
              <w:t>*</w:t>
            </w:r>
          </w:p>
        </w:tc>
      </w:tr>
      <w:tr w:rsidR="00571D0D" w:rsidRPr="00702882" w14:paraId="67A01572" w14:textId="77777777" w:rsidTr="00AE6820">
        <w:trPr>
          <w:jc w:val="center"/>
        </w:trPr>
        <w:tc>
          <w:tcPr>
            <w:tcW w:w="0" w:type="auto"/>
            <w:tcMar>
              <w:top w:w="15" w:type="dxa"/>
              <w:left w:w="75" w:type="dxa"/>
              <w:bottom w:w="15" w:type="dxa"/>
              <w:right w:w="75" w:type="dxa"/>
            </w:tcMar>
            <w:vAlign w:val="center"/>
            <w:hideMark/>
          </w:tcPr>
          <w:p w14:paraId="1D72C7C8" w14:textId="77777777" w:rsidR="00AF6702" w:rsidRPr="00702882" w:rsidRDefault="00AF6702" w:rsidP="008D265E">
            <w:pPr>
              <w:spacing w:before="150" w:after="150"/>
              <w:contextualSpacing/>
              <w:rPr>
                <w:sz w:val="20"/>
                <w:szCs w:val="20"/>
              </w:rPr>
            </w:pPr>
            <w:r w:rsidRPr="00702882">
              <w:rPr>
                <w:sz w:val="20"/>
                <w:szCs w:val="20"/>
              </w:rPr>
              <w:t>Population_million</w:t>
            </w:r>
          </w:p>
        </w:tc>
        <w:tc>
          <w:tcPr>
            <w:tcW w:w="0" w:type="auto"/>
            <w:tcMar>
              <w:top w:w="15" w:type="dxa"/>
              <w:left w:w="75" w:type="dxa"/>
              <w:bottom w:w="15" w:type="dxa"/>
              <w:right w:w="75" w:type="dxa"/>
            </w:tcMar>
            <w:vAlign w:val="center"/>
            <w:hideMark/>
          </w:tcPr>
          <w:p w14:paraId="576703B8" w14:textId="77777777" w:rsidR="00AF6702" w:rsidRPr="00702882" w:rsidRDefault="00AF6702" w:rsidP="008D265E">
            <w:pPr>
              <w:spacing w:before="150" w:after="150"/>
              <w:contextualSpacing/>
              <w:rPr>
                <w:sz w:val="20"/>
                <w:szCs w:val="20"/>
              </w:rPr>
            </w:pPr>
            <w:r w:rsidRPr="00702882">
              <w:rPr>
                <w:sz w:val="20"/>
                <w:szCs w:val="20"/>
              </w:rPr>
              <w:t>0.01 (0.03)</w:t>
            </w:r>
          </w:p>
        </w:tc>
        <w:tc>
          <w:tcPr>
            <w:tcW w:w="0" w:type="auto"/>
            <w:tcMar>
              <w:top w:w="15" w:type="dxa"/>
              <w:left w:w="75" w:type="dxa"/>
              <w:bottom w:w="15" w:type="dxa"/>
              <w:right w:w="75" w:type="dxa"/>
            </w:tcMar>
            <w:vAlign w:val="center"/>
            <w:hideMark/>
          </w:tcPr>
          <w:p w14:paraId="26068F4C" w14:textId="77777777" w:rsidR="00AF6702" w:rsidRPr="00702882" w:rsidRDefault="00AF6702" w:rsidP="008D265E">
            <w:pPr>
              <w:spacing w:before="150" w:after="150"/>
              <w:contextualSpacing/>
              <w:rPr>
                <w:sz w:val="20"/>
                <w:szCs w:val="20"/>
              </w:rPr>
            </w:pPr>
            <w:r w:rsidRPr="00702882">
              <w:rPr>
                <w:sz w:val="20"/>
                <w:szCs w:val="20"/>
              </w:rPr>
              <w:t>0.04 (0.03)</w:t>
            </w:r>
          </w:p>
        </w:tc>
        <w:tc>
          <w:tcPr>
            <w:tcW w:w="0" w:type="auto"/>
            <w:tcMar>
              <w:top w:w="15" w:type="dxa"/>
              <w:left w:w="75" w:type="dxa"/>
              <w:bottom w:w="15" w:type="dxa"/>
              <w:right w:w="75" w:type="dxa"/>
            </w:tcMar>
            <w:vAlign w:val="center"/>
            <w:hideMark/>
          </w:tcPr>
          <w:p w14:paraId="64B42E33" w14:textId="77777777" w:rsidR="00AF6702" w:rsidRPr="00702882" w:rsidRDefault="00AF6702" w:rsidP="008D265E">
            <w:pPr>
              <w:spacing w:before="150" w:after="150"/>
              <w:contextualSpacing/>
              <w:rPr>
                <w:sz w:val="20"/>
                <w:szCs w:val="20"/>
              </w:rPr>
            </w:pPr>
            <w:r w:rsidRPr="00702882">
              <w:rPr>
                <w:sz w:val="20"/>
                <w:szCs w:val="20"/>
              </w:rPr>
              <w:t>-0.03 (0.04)</w:t>
            </w:r>
          </w:p>
        </w:tc>
        <w:tc>
          <w:tcPr>
            <w:tcW w:w="0" w:type="auto"/>
            <w:tcMar>
              <w:top w:w="15" w:type="dxa"/>
              <w:left w:w="75" w:type="dxa"/>
              <w:bottom w:w="15" w:type="dxa"/>
              <w:right w:w="75" w:type="dxa"/>
            </w:tcMar>
            <w:vAlign w:val="center"/>
            <w:hideMark/>
          </w:tcPr>
          <w:p w14:paraId="6F5D4154" w14:textId="77777777" w:rsidR="00AF6702" w:rsidRPr="00702882" w:rsidRDefault="00AF6702" w:rsidP="008D265E">
            <w:pPr>
              <w:spacing w:before="150" w:after="150"/>
              <w:contextualSpacing/>
              <w:rPr>
                <w:sz w:val="20"/>
                <w:szCs w:val="20"/>
              </w:rPr>
            </w:pPr>
            <w:r w:rsidRPr="00702882">
              <w:rPr>
                <w:sz w:val="20"/>
                <w:szCs w:val="20"/>
              </w:rPr>
              <w:t>-0.03 (0.04)</w:t>
            </w:r>
          </w:p>
        </w:tc>
      </w:tr>
      <w:tr w:rsidR="00571D0D" w:rsidRPr="00702882" w14:paraId="7EBC99B7" w14:textId="77777777" w:rsidTr="00AE6820">
        <w:trPr>
          <w:jc w:val="center"/>
        </w:trPr>
        <w:tc>
          <w:tcPr>
            <w:tcW w:w="0" w:type="auto"/>
            <w:tcMar>
              <w:top w:w="15" w:type="dxa"/>
              <w:left w:w="75" w:type="dxa"/>
              <w:bottom w:w="15" w:type="dxa"/>
              <w:right w:w="75" w:type="dxa"/>
            </w:tcMar>
            <w:vAlign w:val="center"/>
            <w:hideMark/>
          </w:tcPr>
          <w:p w14:paraId="03639FD8" w14:textId="77777777" w:rsidR="00AF6702" w:rsidRPr="00702882" w:rsidRDefault="00AF6702" w:rsidP="008D265E">
            <w:pPr>
              <w:spacing w:before="150" w:after="150"/>
              <w:contextualSpacing/>
              <w:rPr>
                <w:sz w:val="20"/>
                <w:szCs w:val="20"/>
              </w:rPr>
            </w:pPr>
            <w:r w:rsidRPr="00702882">
              <w:rPr>
                <w:sz w:val="20"/>
                <w:szCs w:val="20"/>
              </w:rPr>
              <w:t>TEL</w:t>
            </w:r>
          </w:p>
        </w:tc>
        <w:tc>
          <w:tcPr>
            <w:tcW w:w="0" w:type="auto"/>
            <w:tcMar>
              <w:top w:w="15" w:type="dxa"/>
              <w:left w:w="75" w:type="dxa"/>
              <w:bottom w:w="15" w:type="dxa"/>
              <w:right w:w="75" w:type="dxa"/>
            </w:tcMar>
            <w:vAlign w:val="center"/>
            <w:hideMark/>
          </w:tcPr>
          <w:p w14:paraId="1FF7C463" w14:textId="77777777" w:rsidR="00AF6702" w:rsidRPr="00702882" w:rsidRDefault="00AF6702" w:rsidP="008D265E">
            <w:pPr>
              <w:spacing w:before="150" w:after="150"/>
              <w:contextualSpacing/>
              <w:rPr>
                <w:sz w:val="20"/>
                <w:szCs w:val="20"/>
              </w:rPr>
            </w:pPr>
            <w:r w:rsidRPr="00702882">
              <w:rPr>
                <w:sz w:val="20"/>
                <w:szCs w:val="20"/>
              </w:rPr>
              <w:t>-0.01 (0.02)</w:t>
            </w:r>
          </w:p>
        </w:tc>
        <w:tc>
          <w:tcPr>
            <w:tcW w:w="0" w:type="auto"/>
            <w:tcMar>
              <w:top w:w="15" w:type="dxa"/>
              <w:left w:w="75" w:type="dxa"/>
              <w:bottom w:w="15" w:type="dxa"/>
              <w:right w:w="75" w:type="dxa"/>
            </w:tcMar>
            <w:vAlign w:val="center"/>
            <w:hideMark/>
          </w:tcPr>
          <w:p w14:paraId="7F35D62A" w14:textId="77777777" w:rsidR="00AF6702" w:rsidRPr="00702882" w:rsidRDefault="00AF6702" w:rsidP="008D265E">
            <w:pPr>
              <w:spacing w:before="150" w:after="150"/>
              <w:contextualSpacing/>
              <w:rPr>
                <w:sz w:val="20"/>
                <w:szCs w:val="20"/>
              </w:rPr>
            </w:pPr>
            <w:r w:rsidRPr="00702882">
              <w:rPr>
                <w:sz w:val="20"/>
                <w:szCs w:val="20"/>
              </w:rPr>
              <w:t>-0.01 (0.02)</w:t>
            </w:r>
          </w:p>
        </w:tc>
        <w:tc>
          <w:tcPr>
            <w:tcW w:w="0" w:type="auto"/>
            <w:tcMar>
              <w:top w:w="15" w:type="dxa"/>
              <w:left w:w="75" w:type="dxa"/>
              <w:bottom w:w="15" w:type="dxa"/>
              <w:right w:w="75" w:type="dxa"/>
            </w:tcMar>
            <w:vAlign w:val="center"/>
            <w:hideMark/>
          </w:tcPr>
          <w:p w14:paraId="4F65FF0B" w14:textId="77777777" w:rsidR="00AF6702" w:rsidRPr="00702882" w:rsidRDefault="00AF6702" w:rsidP="008D265E">
            <w:pPr>
              <w:spacing w:before="150" w:after="150"/>
              <w:contextualSpacing/>
              <w:rPr>
                <w:sz w:val="20"/>
                <w:szCs w:val="20"/>
              </w:rPr>
            </w:pPr>
            <w:r w:rsidRPr="00702882">
              <w:rPr>
                <w:sz w:val="20"/>
                <w:szCs w:val="20"/>
              </w:rPr>
              <w:t>-0.02 (0.02)</w:t>
            </w:r>
          </w:p>
        </w:tc>
        <w:tc>
          <w:tcPr>
            <w:tcW w:w="0" w:type="auto"/>
            <w:tcMar>
              <w:top w:w="15" w:type="dxa"/>
              <w:left w:w="75" w:type="dxa"/>
              <w:bottom w:w="15" w:type="dxa"/>
              <w:right w:w="75" w:type="dxa"/>
            </w:tcMar>
            <w:vAlign w:val="center"/>
            <w:hideMark/>
          </w:tcPr>
          <w:p w14:paraId="16F63785" w14:textId="77777777" w:rsidR="00AF6702" w:rsidRPr="00702882" w:rsidRDefault="00AF6702" w:rsidP="008D265E">
            <w:pPr>
              <w:spacing w:before="150" w:after="150"/>
              <w:contextualSpacing/>
              <w:rPr>
                <w:sz w:val="20"/>
                <w:szCs w:val="20"/>
              </w:rPr>
            </w:pPr>
            <w:r w:rsidRPr="00702882">
              <w:rPr>
                <w:sz w:val="20"/>
                <w:szCs w:val="20"/>
              </w:rPr>
              <w:t>-0.02 (0.02)</w:t>
            </w:r>
          </w:p>
        </w:tc>
      </w:tr>
      <w:tr w:rsidR="00571D0D" w:rsidRPr="00702882" w14:paraId="5568591B" w14:textId="77777777" w:rsidTr="00AE6820">
        <w:trPr>
          <w:jc w:val="center"/>
        </w:trPr>
        <w:tc>
          <w:tcPr>
            <w:tcW w:w="0" w:type="auto"/>
            <w:tcMar>
              <w:top w:w="15" w:type="dxa"/>
              <w:left w:w="75" w:type="dxa"/>
              <w:bottom w:w="15" w:type="dxa"/>
              <w:right w:w="75" w:type="dxa"/>
            </w:tcMar>
            <w:vAlign w:val="center"/>
            <w:hideMark/>
          </w:tcPr>
          <w:p w14:paraId="24620EB9" w14:textId="77777777" w:rsidR="00AF6702" w:rsidRPr="00702882" w:rsidRDefault="00AF6702" w:rsidP="008D265E">
            <w:pPr>
              <w:spacing w:before="150" w:after="150"/>
              <w:contextualSpacing/>
              <w:rPr>
                <w:sz w:val="20"/>
                <w:szCs w:val="20"/>
              </w:rPr>
            </w:pPr>
            <w:r w:rsidRPr="00702882">
              <w:rPr>
                <w:sz w:val="20"/>
                <w:szCs w:val="20"/>
              </w:rPr>
              <w:t>BBR</w:t>
            </w:r>
          </w:p>
        </w:tc>
        <w:tc>
          <w:tcPr>
            <w:tcW w:w="0" w:type="auto"/>
            <w:tcMar>
              <w:top w:w="15" w:type="dxa"/>
              <w:left w:w="75" w:type="dxa"/>
              <w:bottom w:w="15" w:type="dxa"/>
              <w:right w:w="75" w:type="dxa"/>
            </w:tcMar>
            <w:vAlign w:val="center"/>
            <w:hideMark/>
          </w:tcPr>
          <w:p w14:paraId="60DB91D1" w14:textId="77777777" w:rsidR="00AF6702" w:rsidRPr="00702882" w:rsidRDefault="00AF6702" w:rsidP="008D265E">
            <w:pPr>
              <w:spacing w:before="150" w:after="150"/>
              <w:contextualSpacing/>
              <w:rPr>
                <w:sz w:val="20"/>
                <w:szCs w:val="20"/>
              </w:rPr>
            </w:pPr>
            <w:r w:rsidRPr="00702882">
              <w:rPr>
                <w:sz w:val="20"/>
                <w:szCs w:val="20"/>
              </w:rPr>
              <w:t>-0.34 (0.27)</w:t>
            </w:r>
          </w:p>
        </w:tc>
        <w:tc>
          <w:tcPr>
            <w:tcW w:w="0" w:type="auto"/>
            <w:tcMar>
              <w:top w:w="15" w:type="dxa"/>
              <w:left w:w="75" w:type="dxa"/>
              <w:bottom w:w="15" w:type="dxa"/>
              <w:right w:w="75" w:type="dxa"/>
            </w:tcMar>
            <w:vAlign w:val="center"/>
            <w:hideMark/>
          </w:tcPr>
          <w:p w14:paraId="6275EB1F" w14:textId="77777777" w:rsidR="00AF6702" w:rsidRPr="00702882" w:rsidRDefault="00AF6702" w:rsidP="008D265E">
            <w:pPr>
              <w:spacing w:before="150" w:after="150"/>
              <w:contextualSpacing/>
              <w:rPr>
                <w:sz w:val="20"/>
                <w:szCs w:val="20"/>
              </w:rPr>
            </w:pPr>
            <w:r w:rsidRPr="00702882">
              <w:rPr>
                <w:sz w:val="20"/>
                <w:szCs w:val="20"/>
              </w:rPr>
              <w:t>-0.14 (0.28)</w:t>
            </w:r>
          </w:p>
        </w:tc>
        <w:tc>
          <w:tcPr>
            <w:tcW w:w="0" w:type="auto"/>
            <w:tcMar>
              <w:top w:w="15" w:type="dxa"/>
              <w:left w:w="75" w:type="dxa"/>
              <w:bottom w:w="15" w:type="dxa"/>
              <w:right w:w="75" w:type="dxa"/>
            </w:tcMar>
            <w:vAlign w:val="center"/>
            <w:hideMark/>
          </w:tcPr>
          <w:p w14:paraId="60C9E930" w14:textId="77777777" w:rsidR="00AF6702" w:rsidRPr="00702882" w:rsidRDefault="00AF6702" w:rsidP="008D265E">
            <w:pPr>
              <w:spacing w:before="150" w:after="150"/>
              <w:contextualSpacing/>
              <w:rPr>
                <w:sz w:val="20"/>
                <w:szCs w:val="20"/>
              </w:rPr>
            </w:pPr>
            <w:r w:rsidRPr="00702882">
              <w:rPr>
                <w:sz w:val="20"/>
                <w:szCs w:val="20"/>
              </w:rPr>
              <w:t>0.02 (0.25)</w:t>
            </w:r>
          </w:p>
        </w:tc>
        <w:tc>
          <w:tcPr>
            <w:tcW w:w="0" w:type="auto"/>
            <w:tcMar>
              <w:top w:w="15" w:type="dxa"/>
              <w:left w:w="75" w:type="dxa"/>
              <w:bottom w:w="15" w:type="dxa"/>
              <w:right w:w="75" w:type="dxa"/>
            </w:tcMar>
            <w:vAlign w:val="center"/>
            <w:hideMark/>
          </w:tcPr>
          <w:p w14:paraId="3D03C9FA" w14:textId="77777777" w:rsidR="00AF6702" w:rsidRPr="00702882" w:rsidRDefault="00AF6702" w:rsidP="008D265E">
            <w:pPr>
              <w:spacing w:before="150" w:after="150"/>
              <w:contextualSpacing/>
              <w:rPr>
                <w:sz w:val="20"/>
                <w:szCs w:val="20"/>
              </w:rPr>
            </w:pPr>
            <w:r w:rsidRPr="00702882">
              <w:rPr>
                <w:sz w:val="20"/>
                <w:szCs w:val="20"/>
              </w:rPr>
              <w:t>0.05 (0.26)</w:t>
            </w:r>
          </w:p>
        </w:tc>
      </w:tr>
      <w:tr w:rsidR="00571D0D" w:rsidRPr="00702882" w14:paraId="6FB110A2" w14:textId="77777777" w:rsidTr="00AE6820">
        <w:trPr>
          <w:jc w:val="center"/>
        </w:trPr>
        <w:tc>
          <w:tcPr>
            <w:tcW w:w="0" w:type="auto"/>
            <w:tcMar>
              <w:top w:w="15" w:type="dxa"/>
              <w:left w:w="75" w:type="dxa"/>
              <w:bottom w:w="15" w:type="dxa"/>
              <w:right w:w="75" w:type="dxa"/>
            </w:tcMar>
            <w:vAlign w:val="center"/>
            <w:hideMark/>
          </w:tcPr>
          <w:p w14:paraId="1F2F401F" w14:textId="77777777" w:rsidR="00AF6702" w:rsidRPr="00702882" w:rsidRDefault="00AF6702" w:rsidP="008D265E">
            <w:pPr>
              <w:spacing w:before="150" w:after="150"/>
              <w:contextualSpacing/>
              <w:rPr>
                <w:sz w:val="20"/>
                <w:szCs w:val="20"/>
              </w:rPr>
            </w:pPr>
            <w:r w:rsidRPr="00702882">
              <w:rPr>
                <w:sz w:val="20"/>
                <w:szCs w:val="20"/>
              </w:rPr>
              <w:t>Election</w:t>
            </w:r>
          </w:p>
        </w:tc>
        <w:tc>
          <w:tcPr>
            <w:tcW w:w="0" w:type="auto"/>
            <w:tcMar>
              <w:top w:w="15" w:type="dxa"/>
              <w:left w:w="75" w:type="dxa"/>
              <w:bottom w:w="15" w:type="dxa"/>
              <w:right w:w="75" w:type="dxa"/>
            </w:tcMar>
            <w:vAlign w:val="center"/>
            <w:hideMark/>
          </w:tcPr>
          <w:p w14:paraId="72BB9A88" w14:textId="77777777" w:rsidR="00AF6702" w:rsidRPr="00702882" w:rsidRDefault="00AF6702" w:rsidP="008D265E">
            <w:pPr>
              <w:spacing w:before="150" w:after="150"/>
              <w:contextualSpacing/>
              <w:rPr>
                <w:sz w:val="20"/>
                <w:szCs w:val="20"/>
              </w:rPr>
            </w:pPr>
            <w:r w:rsidRPr="00702882">
              <w:rPr>
                <w:sz w:val="20"/>
                <w:szCs w:val="20"/>
              </w:rPr>
              <w:t>-0.02 (0.35)</w:t>
            </w:r>
          </w:p>
        </w:tc>
        <w:tc>
          <w:tcPr>
            <w:tcW w:w="0" w:type="auto"/>
            <w:tcMar>
              <w:top w:w="15" w:type="dxa"/>
              <w:left w:w="75" w:type="dxa"/>
              <w:bottom w:w="15" w:type="dxa"/>
              <w:right w:w="75" w:type="dxa"/>
            </w:tcMar>
            <w:vAlign w:val="center"/>
            <w:hideMark/>
          </w:tcPr>
          <w:p w14:paraId="2224593B" w14:textId="77777777" w:rsidR="00AF6702" w:rsidRPr="00702882" w:rsidRDefault="00AF6702" w:rsidP="008D265E">
            <w:pPr>
              <w:spacing w:before="150" w:after="150"/>
              <w:contextualSpacing/>
              <w:rPr>
                <w:sz w:val="20"/>
                <w:szCs w:val="20"/>
              </w:rPr>
            </w:pPr>
            <w:r w:rsidRPr="00702882">
              <w:rPr>
                <w:sz w:val="20"/>
                <w:szCs w:val="20"/>
              </w:rPr>
              <w:t>0.02 (0.34)</w:t>
            </w:r>
          </w:p>
        </w:tc>
        <w:tc>
          <w:tcPr>
            <w:tcW w:w="0" w:type="auto"/>
            <w:tcMar>
              <w:top w:w="15" w:type="dxa"/>
              <w:left w:w="75" w:type="dxa"/>
              <w:bottom w:w="15" w:type="dxa"/>
              <w:right w:w="75" w:type="dxa"/>
            </w:tcMar>
            <w:vAlign w:val="center"/>
            <w:hideMark/>
          </w:tcPr>
          <w:p w14:paraId="677FEFCB" w14:textId="77777777" w:rsidR="00AF6702" w:rsidRPr="00702882" w:rsidRDefault="00AF6702" w:rsidP="008D265E">
            <w:pPr>
              <w:spacing w:before="150" w:after="150"/>
              <w:contextualSpacing/>
              <w:rPr>
                <w:sz w:val="20"/>
                <w:szCs w:val="20"/>
              </w:rPr>
            </w:pPr>
            <w:r w:rsidRPr="00702882">
              <w:rPr>
                <w:sz w:val="20"/>
                <w:szCs w:val="20"/>
              </w:rPr>
              <w:t>0.06 (0.34)</w:t>
            </w:r>
          </w:p>
        </w:tc>
        <w:tc>
          <w:tcPr>
            <w:tcW w:w="0" w:type="auto"/>
            <w:tcMar>
              <w:top w:w="15" w:type="dxa"/>
              <w:left w:w="75" w:type="dxa"/>
              <w:bottom w:w="15" w:type="dxa"/>
              <w:right w:w="75" w:type="dxa"/>
            </w:tcMar>
            <w:vAlign w:val="center"/>
            <w:hideMark/>
          </w:tcPr>
          <w:p w14:paraId="321F23E7" w14:textId="77777777" w:rsidR="00AF6702" w:rsidRPr="00702882" w:rsidRDefault="00AF6702" w:rsidP="008D265E">
            <w:pPr>
              <w:spacing w:before="150" w:after="150"/>
              <w:contextualSpacing/>
              <w:rPr>
                <w:sz w:val="20"/>
                <w:szCs w:val="20"/>
              </w:rPr>
            </w:pPr>
            <w:r w:rsidRPr="00702882">
              <w:rPr>
                <w:sz w:val="20"/>
                <w:szCs w:val="20"/>
              </w:rPr>
              <w:t>0.05 (0.34)</w:t>
            </w:r>
          </w:p>
        </w:tc>
      </w:tr>
      <w:tr w:rsidR="00571D0D" w:rsidRPr="00702882" w14:paraId="299ECB4E" w14:textId="77777777" w:rsidTr="00AE6820">
        <w:trPr>
          <w:jc w:val="center"/>
        </w:trPr>
        <w:tc>
          <w:tcPr>
            <w:tcW w:w="0" w:type="auto"/>
            <w:tcMar>
              <w:top w:w="15" w:type="dxa"/>
              <w:left w:w="75" w:type="dxa"/>
              <w:bottom w:w="15" w:type="dxa"/>
              <w:right w:w="75" w:type="dxa"/>
            </w:tcMar>
            <w:vAlign w:val="center"/>
            <w:hideMark/>
          </w:tcPr>
          <w:p w14:paraId="76D80E22" w14:textId="77777777" w:rsidR="00AF6702" w:rsidRPr="00702882" w:rsidRDefault="00AF6702" w:rsidP="008D265E">
            <w:pPr>
              <w:spacing w:before="150" w:after="150"/>
              <w:contextualSpacing/>
              <w:rPr>
                <w:sz w:val="20"/>
                <w:szCs w:val="20"/>
              </w:rPr>
            </w:pPr>
            <w:r w:rsidRPr="00702882">
              <w:rPr>
                <w:sz w:val="20"/>
                <w:szCs w:val="20"/>
              </w:rPr>
              <w:t>Democrat_share</w:t>
            </w:r>
          </w:p>
        </w:tc>
        <w:tc>
          <w:tcPr>
            <w:tcW w:w="0" w:type="auto"/>
            <w:tcMar>
              <w:top w:w="15" w:type="dxa"/>
              <w:left w:w="75" w:type="dxa"/>
              <w:bottom w:w="15" w:type="dxa"/>
              <w:right w:w="75" w:type="dxa"/>
            </w:tcMar>
            <w:vAlign w:val="center"/>
            <w:hideMark/>
          </w:tcPr>
          <w:p w14:paraId="59A33525" w14:textId="77777777" w:rsidR="00AF6702" w:rsidRPr="00702882" w:rsidRDefault="00AF6702" w:rsidP="008D265E">
            <w:pPr>
              <w:spacing w:before="150" w:after="150"/>
              <w:contextualSpacing/>
              <w:rPr>
                <w:sz w:val="20"/>
                <w:szCs w:val="20"/>
              </w:rPr>
            </w:pPr>
            <w:r w:rsidRPr="00702882">
              <w:rPr>
                <w:sz w:val="20"/>
                <w:szCs w:val="20"/>
              </w:rPr>
              <w:t>-2.99 (1.39)</w:t>
            </w:r>
            <w:r w:rsidRPr="00702882">
              <w:rPr>
                <w:sz w:val="20"/>
                <w:szCs w:val="20"/>
                <w:vertAlign w:val="superscript"/>
              </w:rPr>
              <w:t>**</w:t>
            </w:r>
          </w:p>
        </w:tc>
        <w:tc>
          <w:tcPr>
            <w:tcW w:w="0" w:type="auto"/>
            <w:tcMar>
              <w:top w:w="15" w:type="dxa"/>
              <w:left w:w="75" w:type="dxa"/>
              <w:bottom w:w="15" w:type="dxa"/>
              <w:right w:w="75" w:type="dxa"/>
            </w:tcMar>
            <w:vAlign w:val="center"/>
            <w:hideMark/>
          </w:tcPr>
          <w:p w14:paraId="653AC3F3" w14:textId="77777777" w:rsidR="00AF6702" w:rsidRPr="00702882" w:rsidRDefault="00AF6702" w:rsidP="008D265E">
            <w:pPr>
              <w:spacing w:before="150" w:after="150"/>
              <w:contextualSpacing/>
              <w:rPr>
                <w:sz w:val="20"/>
                <w:szCs w:val="20"/>
              </w:rPr>
            </w:pPr>
            <w:r w:rsidRPr="00702882">
              <w:rPr>
                <w:sz w:val="20"/>
                <w:szCs w:val="20"/>
              </w:rPr>
              <w:t>-2.04 (1.39)</w:t>
            </w:r>
          </w:p>
        </w:tc>
        <w:tc>
          <w:tcPr>
            <w:tcW w:w="0" w:type="auto"/>
            <w:tcMar>
              <w:top w:w="15" w:type="dxa"/>
              <w:left w:w="75" w:type="dxa"/>
              <w:bottom w:w="15" w:type="dxa"/>
              <w:right w:w="75" w:type="dxa"/>
            </w:tcMar>
            <w:vAlign w:val="center"/>
            <w:hideMark/>
          </w:tcPr>
          <w:p w14:paraId="1A7C369E" w14:textId="77777777" w:rsidR="00AF6702" w:rsidRPr="00702882" w:rsidRDefault="00AF6702" w:rsidP="008D265E">
            <w:pPr>
              <w:spacing w:before="150" w:after="150"/>
              <w:contextualSpacing/>
              <w:rPr>
                <w:sz w:val="20"/>
                <w:szCs w:val="20"/>
              </w:rPr>
            </w:pPr>
            <w:r w:rsidRPr="00702882">
              <w:rPr>
                <w:sz w:val="20"/>
                <w:szCs w:val="20"/>
              </w:rPr>
              <w:t>-2.99 (1.41)</w:t>
            </w:r>
            <w:r w:rsidRPr="00702882">
              <w:rPr>
                <w:sz w:val="20"/>
                <w:szCs w:val="20"/>
                <w:vertAlign w:val="superscript"/>
              </w:rPr>
              <w:t>**</w:t>
            </w:r>
          </w:p>
        </w:tc>
        <w:tc>
          <w:tcPr>
            <w:tcW w:w="0" w:type="auto"/>
            <w:tcMar>
              <w:top w:w="15" w:type="dxa"/>
              <w:left w:w="75" w:type="dxa"/>
              <w:bottom w:w="15" w:type="dxa"/>
              <w:right w:w="75" w:type="dxa"/>
            </w:tcMar>
            <w:vAlign w:val="center"/>
            <w:hideMark/>
          </w:tcPr>
          <w:p w14:paraId="2A48101C" w14:textId="77777777" w:rsidR="00AF6702" w:rsidRPr="00702882" w:rsidRDefault="00AF6702" w:rsidP="008D265E">
            <w:pPr>
              <w:spacing w:before="150" w:after="150"/>
              <w:contextualSpacing/>
              <w:rPr>
                <w:sz w:val="20"/>
                <w:szCs w:val="20"/>
              </w:rPr>
            </w:pPr>
            <w:r w:rsidRPr="00702882">
              <w:rPr>
                <w:sz w:val="20"/>
                <w:szCs w:val="20"/>
              </w:rPr>
              <w:t>-2.81 (1.41)</w:t>
            </w:r>
            <w:r w:rsidRPr="00702882">
              <w:rPr>
                <w:sz w:val="20"/>
                <w:szCs w:val="20"/>
                <w:vertAlign w:val="superscript"/>
              </w:rPr>
              <w:t>**</w:t>
            </w:r>
          </w:p>
        </w:tc>
      </w:tr>
      <w:tr w:rsidR="00571D0D" w:rsidRPr="00702882" w14:paraId="37DAFBFC" w14:textId="77777777" w:rsidTr="00AE6820">
        <w:trPr>
          <w:jc w:val="center"/>
        </w:trPr>
        <w:tc>
          <w:tcPr>
            <w:tcW w:w="0" w:type="auto"/>
            <w:tcMar>
              <w:top w:w="15" w:type="dxa"/>
              <w:left w:w="75" w:type="dxa"/>
              <w:bottom w:w="15" w:type="dxa"/>
              <w:right w:w="75" w:type="dxa"/>
            </w:tcMar>
            <w:vAlign w:val="center"/>
            <w:hideMark/>
          </w:tcPr>
          <w:p w14:paraId="4BEA2D9A" w14:textId="77777777" w:rsidR="00AF6702" w:rsidRPr="00702882" w:rsidRDefault="00AF6702" w:rsidP="008D265E">
            <w:pPr>
              <w:spacing w:before="150" w:after="150"/>
              <w:contextualSpacing/>
              <w:rPr>
                <w:sz w:val="20"/>
                <w:szCs w:val="20"/>
              </w:rPr>
            </w:pPr>
            <w:r w:rsidRPr="00702882">
              <w:rPr>
                <w:sz w:val="20"/>
                <w:szCs w:val="20"/>
              </w:rPr>
              <w:t>Division</w:t>
            </w:r>
          </w:p>
        </w:tc>
        <w:tc>
          <w:tcPr>
            <w:tcW w:w="0" w:type="auto"/>
            <w:tcMar>
              <w:top w:w="15" w:type="dxa"/>
              <w:left w:w="75" w:type="dxa"/>
              <w:bottom w:w="15" w:type="dxa"/>
              <w:right w:w="75" w:type="dxa"/>
            </w:tcMar>
            <w:vAlign w:val="center"/>
            <w:hideMark/>
          </w:tcPr>
          <w:p w14:paraId="71E4449C" w14:textId="77777777" w:rsidR="00AF6702" w:rsidRPr="00702882" w:rsidRDefault="00AF6702" w:rsidP="008D265E">
            <w:pPr>
              <w:spacing w:before="150" w:after="150"/>
              <w:contextualSpacing/>
              <w:rPr>
                <w:sz w:val="20"/>
                <w:szCs w:val="20"/>
              </w:rPr>
            </w:pPr>
            <w:r w:rsidRPr="00702882">
              <w:rPr>
                <w:sz w:val="20"/>
                <w:szCs w:val="20"/>
              </w:rPr>
              <w:t>-0.01 (0.26)</w:t>
            </w:r>
          </w:p>
        </w:tc>
        <w:tc>
          <w:tcPr>
            <w:tcW w:w="0" w:type="auto"/>
            <w:tcMar>
              <w:top w:w="15" w:type="dxa"/>
              <w:left w:w="75" w:type="dxa"/>
              <w:bottom w:w="15" w:type="dxa"/>
              <w:right w:w="75" w:type="dxa"/>
            </w:tcMar>
            <w:vAlign w:val="center"/>
            <w:hideMark/>
          </w:tcPr>
          <w:p w14:paraId="5D290271" w14:textId="77777777" w:rsidR="00AF6702" w:rsidRPr="00702882" w:rsidRDefault="00AF6702" w:rsidP="008D265E">
            <w:pPr>
              <w:spacing w:before="150" w:after="150"/>
              <w:contextualSpacing/>
              <w:rPr>
                <w:sz w:val="20"/>
                <w:szCs w:val="20"/>
              </w:rPr>
            </w:pPr>
            <w:r w:rsidRPr="00702882">
              <w:rPr>
                <w:sz w:val="20"/>
                <w:szCs w:val="20"/>
              </w:rPr>
              <w:t>-0.04 (0.29)</w:t>
            </w:r>
          </w:p>
        </w:tc>
        <w:tc>
          <w:tcPr>
            <w:tcW w:w="0" w:type="auto"/>
            <w:tcMar>
              <w:top w:w="15" w:type="dxa"/>
              <w:left w:w="75" w:type="dxa"/>
              <w:bottom w:w="15" w:type="dxa"/>
              <w:right w:w="75" w:type="dxa"/>
            </w:tcMar>
            <w:vAlign w:val="center"/>
            <w:hideMark/>
          </w:tcPr>
          <w:p w14:paraId="094F86F1" w14:textId="77777777" w:rsidR="00AF6702" w:rsidRPr="00702882" w:rsidRDefault="00AF6702" w:rsidP="008D265E">
            <w:pPr>
              <w:spacing w:before="150" w:after="150"/>
              <w:contextualSpacing/>
              <w:rPr>
                <w:sz w:val="20"/>
                <w:szCs w:val="20"/>
              </w:rPr>
            </w:pPr>
            <w:r w:rsidRPr="00702882">
              <w:rPr>
                <w:sz w:val="20"/>
                <w:szCs w:val="20"/>
              </w:rPr>
              <w:t>-0.09 (0.26)</w:t>
            </w:r>
          </w:p>
        </w:tc>
        <w:tc>
          <w:tcPr>
            <w:tcW w:w="0" w:type="auto"/>
            <w:tcMar>
              <w:top w:w="15" w:type="dxa"/>
              <w:left w:w="75" w:type="dxa"/>
              <w:bottom w:w="15" w:type="dxa"/>
              <w:right w:w="75" w:type="dxa"/>
            </w:tcMar>
            <w:vAlign w:val="center"/>
            <w:hideMark/>
          </w:tcPr>
          <w:p w14:paraId="4AF86F84" w14:textId="77777777" w:rsidR="00AF6702" w:rsidRPr="00702882" w:rsidRDefault="00AF6702" w:rsidP="008D265E">
            <w:pPr>
              <w:spacing w:before="150" w:after="150"/>
              <w:contextualSpacing/>
              <w:rPr>
                <w:sz w:val="20"/>
                <w:szCs w:val="20"/>
              </w:rPr>
            </w:pPr>
            <w:r w:rsidRPr="00702882">
              <w:rPr>
                <w:sz w:val="20"/>
                <w:szCs w:val="20"/>
              </w:rPr>
              <w:t>-0.06 (0.26)</w:t>
            </w:r>
          </w:p>
        </w:tc>
      </w:tr>
      <w:tr w:rsidR="00571D0D" w:rsidRPr="00702882" w14:paraId="2058FA5D" w14:textId="77777777" w:rsidTr="00AE6820">
        <w:trPr>
          <w:jc w:val="center"/>
        </w:trPr>
        <w:tc>
          <w:tcPr>
            <w:tcW w:w="0" w:type="auto"/>
            <w:tcMar>
              <w:top w:w="15" w:type="dxa"/>
              <w:left w:w="75" w:type="dxa"/>
              <w:bottom w:w="15" w:type="dxa"/>
              <w:right w:w="75" w:type="dxa"/>
            </w:tcMar>
            <w:vAlign w:val="center"/>
            <w:hideMark/>
          </w:tcPr>
          <w:p w14:paraId="6701D500" w14:textId="77777777" w:rsidR="00AF6702" w:rsidRPr="00702882" w:rsidRDefault="00AF6702" w:rsidP="008D265E">
            <w:pPr>
              <w:spacing w:before="150" w:after="150"/>
              <w:contextualSpacing/>
              <w:rPr>
                <w:sz w:val="20"/>
                <w:szCs w:val="20"/>
              </w:rPr>
            </w:pPr>
            <w:r w:rsidRPr="00702882">
              <w:rPr>
                <w:sz w:val="20"/>
                <w:szCs w:val="20"/>
              </w:rPr>
              <w:t>factor(Year)2003</w:t>
            </w:r>
          </w:p>
        </w:tc>
        <w:tc>
          <w:tcPr>
            <w:tcW w:w="0" w:type="auto"/>
            <w:tcMar>
              <w:top w:w="15" w:type="dxa"/>
              <w:left w:w="75" w:type="dxa"/>
              <w:bottom w:w="15" w:type="dxa"/>
              <w:right w:w="75" w:type="dxa"/>
            </w:tcMar>
            <w:vAlign w:val="center"/>
            <w:hideMark/>
          </w:tcPr>
          <w:p w14:paraId="4C5554C4" w14:textId="77777777" w:rsidR="00AF6702" w:rsidRPr="00702882" w:rsidRDefault="00AF6702" w:rsidP="008D265E">
            <w:pPr>
              <w:spacing w:before="150" w:after="150"/>
              <w:contextualSpacing/>
              <w:rPr>
                <w:sz w:val="20"/>
                <w:szCs w:val="20"/>
              </w:rPr>
            </w:pPr>
            <w:r w:rsidRPr="00702882">
              <w:rPr>
                <w:sz w:val="20"/>
                <w:szCs w:val="20"/>
              </w:rPr>
              <w:t>-0.17 (0.60)</w:t>
            </w:r>
          </w:p>
        </w:tc>
        <w:tc>
          <w:tcPr>
            <w:tcW w:w="0" w:type="auto"/>
            <w:tcMar>
              <w:top w:w="15" w:type="dxa"/>
              <w:left w:w="75" w:type="dxa"/>
              <w:bottom w:w="15" w:type="dxa"/>
              <w:right w:w="75" w:type="dxa"/>
            </w:tcMar>
            <w:vAlign w:val="center"/>
            <w:hideMark/>
          </w:tcPr>
          <w:p w14:paraId="00A1AF09" w14:textId="77777777" w:rsidR="00AF6702" w:rsidRPr="00702882" w:rsidRDefault="00AF6702" w:rsidP="008D265E">
            <w:pPr>
              <w:spacing w:before="150" w:after="150"/>
              <w:contextualSpacing/>
              <w:rPr>
                <w:sz w:val="20"/>
                <w:szCs w:val="20"/>
              </w:rPr>
            </w:pPr>
            <w:r w:rsidRPr="00702882">
              <w:rPr>
                <w:sz w:val="20"/>
                <w:szCs w:val="20"/>
              </w:rPr>
              <w:t>-0.11 (0.60)</w:t>
            </w:r>
          </w:p>
        </w:tc>
        <w:tc>
          <w:tcPr>
            <w:tcW w:w="0" w:type="auto"/>
            <w:tcMar>
              <w:top w:w="15" w:type="dxa"/>
              <w:left w:w="75" w:type="dxa"/>
              <w:bottom w:w="15" w:type="dxa"/>
              <w:right w:w="75" w:type="dxa"/>
            </w:tcMar>
            <w:vAlign w:val="center"/>
            <w:hideMark/>
          </w:tcPr>
          <w:p w14:paraId="55C498DA" w14:textId="77777777" w:rsidR="00AF6702" w:rsidRPr="00702882" w:rsidRDefault="00AF6702" w:rsidP="008D265E">
            <w:pPr>
              <w:spacing w:before="150" w:after="150"/>
              <w:contextualSpacing/>
              <w:rPr>
                <w:sz w:val="20"/>
                <w:szCs w:val="20"/>
              </w:rPr>
            </w:pPr>
            <w:r w:rsidRPr="00702882">
              <w:rPr>
                <w:sz w:val="20"/>
                <w:szCs w:val="20"/>
              </w:rPr>
              <w:t>-0.14 (0.58)</w:t>
            </w:r>
          </w:p>
        </w:tc>
        <w:tc>
          <w:tcPr>
            <w:tcW w:w="0" w:type="auto"/>
            <w:tcMar>
              <w:top w:w="15" w:type="dxa"/>
              <w:left w:w="75" w:type="dxa"/>
              <w:bottom w:w="15" w:type="dxa"/>
              <w:right w:w="75" w:type="dxa"/>
            </w:tcMar>
            <w:vAlign w:val="center"/>
            <w:hideMark/>
          </w:tcPr>
          <w:p w14:paraId="7228BFF4" w14:textId="77777777" w:rsidR="00AF6702" w:rsidRPr="00702882" w:rsidRDefault="00AF6702" w:rsidP="008D265E">
            <w:pPr>
              <w:spacing w:before="150" w:after="150"/>
              <w:contextualSpacing/>
              <w:rPr>
                <w:sz w:val="20"/>
                <w:szCs w:val="20"/>
              </w:rPr>
            </w:pPr>
            <w:r w:rsidRPr="00702882">
              <w:rPr>
                <w:sz w:val="20"/>
                <w:szCs w:val="20"/>
              </w:rPr>
              <w:t>-0.13 (0.58)</w:t>
            </w:r>
          </w:p>
        </w:tc>
      </w:tr>
      <w:tr w:rsidR="00571D0D" w:rsidRPr="00702882" w14:paraId="4EB42B97" w14:textId="77777777" w:rsidTr="00AE6820">
        <w:trPr>
          <w:jc w:val="center"/>
        </w:trPr>
        <w:tc>
          <w:tcPr>
            <w:tcW w:w="0" w:type="auto"/>
            <w:tcMar>
              <w:top w:w="15" w:type="dxa"/>
              <w:left w:w="75" w:type="dxa"/>
              <w:bottom w:w="15" w:type="dxa"/>
              <w:right w:w="75" w:type="dxa"/>
            </w:tcMar>
            <w:vAlign w:val="center"/>
            <w:hideMark/>
          </w:tcPr>
          <w:p w14:paraId="10898C0B" w14:textId="77777777" w:rsidR="00AF6702" w:rsidRPr="00702882" w:rsidRDefault="00AF6702" w:rsidP="008D265E">
            <w:pPr>
              <w:spacing w:before="150" w:after="150"/>
              <w:contextualSpacing/>
              <w:rPr>
                <w:sz w:val="20"/>
                <w:szCs w:val="20"/>
              </w:rPr>
            </w:pPr>
            <w:r w:rsidRPr="00702882">
              <w:rPr>
                <w:sz w:val="20"/>
                <w:szCs w:val="20"/>
              </w:rPr>
              <w:t>factor(Year)2004</w:t>
            </w:r>
          </w:p>
        </w:tc>
        <w:tc>
          <w:tcPr>
            <w:tcW w:w="0" w:type="auto"/>
            <w:tcMar>
              <w:top w:w="15" w:type="dxa"/>
              <w:left w:w="75" w:type="dxa"/>
              <w:bottom w:w="15" w:type="dxa"/>
              <w:right w:w="75" w:type="dxa"/>
            </w:tcMar>
            <w:vAlign w:val="center"/>
            <w:hideMark/>
          </w:tcPr>
          <w:p w14:paraId="07CE35B3" w14:textId="77777777" w:rsidR="00AF6702" w:rsidRPr="00702882" w:rsidRDefault="00AF6702" w:rsidP="008D265E">
            <w:pPr>
              <w:spacing w:before="150" w:after="150"/>
              <w:contextualSpacing/>
              <w:rPr>
                <w:sz w:val="20"/>
                <w:szCs w:val="20"/>
              </w:rPr>
            </w:pPr>
            <w:r w:rsidRPr="00702882">
              <w:rPr>
                <w:sz w:val="20"/>
                <w:szCs w:val="20"/>
              </w:rPr>
              <w:t>0.39 (0.61)</w:t>
            </w:r>
          </w:p>
        </w:tc>
        <w:tc>
          <w:tcPr>
            <w:tcW w:w="0" w:type="auto"/>
            <w:tcMar>
              <w:top w:w="15" w:type="dxa"/>
              <w:left w:w="75" w:type="dxa"/>
              <w:bottom w:w="15" w:type="dxa"/>
              <w:right w:w="75" w:type="dxa"/>
            </w:tcMar>
            <w:vAlign w:val="center"/>
            <w:hideMark/>
          </w:tcPr>
          <w:p w14:paraId="0CEED43F" w14:textId="77777777" w:rsidR="00AF6702" w:rsidRPr="00702882" w:rsidRDefault="00AF6702" w:rsidP="008D265E">
            <w:pPr>
              <w:spacing w:before="150" w:after="150"/>
              <w:contextualSpacing/>
              <w:rPr>
                <w:sz w:val="20"/>
                <w:szCs w:val="20"/>
              </w:rPr>
            </w:pPr>
            <w:r w:rsidRPr="00702882">
              <w:rPr>
                <w:sz w:val="20"/>
                <w:szCs w:val="20"/>
              </w:rPr>
              <w:t>0.44 (0.63)</w:t>
            </w:r>
          </w:p>
        </w:tc>
        <w:tc>
          <w:tcPr>
            <w:tcW w:w="0" w:type="auto"/>
            <w:tcMar>
              <w:top w:w="15" w:type="dxa"/>
              <w:left w:w="75" w:type="dxa"/>
              <w:bottom w:w="15" w:type="dxa"/>
              <w:right w:w="75" w:type="dxa"/>
            </w:tcMar>
            <w:vAlign w:val="center"/>
            <w:hideMark/>
          </w:tcPr>
          <w:p w14:paraId="41511B8D" w14:textId="77777777" w:rsidR="00AF6702" w:rsidRPr="00702882" w:rsidRDefault="00AF6702" w:rsidP="008D265E">
            <w:pPr>
              <w:spacing w:before="150" w:after="150"/>
              <w:contextualSpacing/>
              <w:rPr>
                <w:sz w:val="20"/>
                <w:szCs w:val="20"/>
              </w:rPr>
            </w:pPr>
            <w:r w:rsidRPr="00702882">
              <w:rPr>
                <w:sz w:val="20"/>
                <w:szCs w:val="20"/>
              </w:rPr>
              <w:t>0.24 (0.62)</w:t>
            </w:r>
          </w:p>
        </w:tc>
        <w:tc>
          <w:tcPr>
            <w:tcW w:w="0" w:type="auto"/>
            <w:tcMar>
              <w:top w:w="15" w:type="dxa"/>
              <w:left w:w="75" w:type="dxa"/>
              <w:bottom w:w="15" w:type="dxa"/>
              <w:right w:w="75" w:type="dxa"/>
            </w:tcMar>
            <w:vAlign w:val="center"/>
            <w:hideMark/>
          </w:tcPr>
          <w:p w14:paraId="5F9ABF92" w14:textId="77777777" w:rsidR="00AF6702" w:rsidRPr="00702882" w:rsidRDefault="00AF6702" w:rsidP="008D265E">
            <w:pPr>
              <w:spacing w:before="150" w:after="150"/>
              <w:contextualSpacing/>
              <w:rPr>
                <w:sz w:val="20"/>
                <w:szCs w:val="20"/>
              </w:rPr>
            </w:pPr>
            <w:r w:rsidRPr="00702882">
              <w:rPr>
                <w:sz w:val="20"/>
                <w:szCs w:val="20"/>
              </w:rPr>
              <w:t>0.26 (0.62)</w:t>
            </w:r>
          </w:p>
        </w:tc>
      </w:tr>
      <w:tr w:rsidR="00571D0D" w:rsidRPr="00702882" w14:paraId="016B1F7D" w14:textId="77777777" w:rsidTr="00AE6820">
        <w:trPr>
          <w:jc w:val="center"/>
        </w:trPr>
        <w:tc>
          <w:tcPr>
            <w:tcW w:w="0" w:type="auto"/>
            <w:tcMar>
              <w:top w:w="15" w:type="dxa"/>
              <w:left w:w="75" w:type="dxa"/>
              <w:bottom w:w="15" w:type="dxa"/>
              <w:right w:w="75" w:type="dxa"/>
            </w:tcMar>
            <w:vAlign w:val="center"/>
            <w:hideMark/>
          </w:tcPr>
          <w:p w14:paraId="70F91ABE" w14:textId="77777777" w:rsidR="00AF6702" w:rsidRPr="00702882" w:rsidRDefault="00AF6702" w:rsidP="008D265E">
            <w:pPr>
              <w:spacing w:before="150" w:after="150"/>
              <w:contextualSpacing/>
              <w:rPr>
                <w:sz w:val="20"/>
                <w:szCs w:val="20"/>
              </w:rPr>
            </w:pPr>
            <w:r w:rsidRPr="00702882">
              <w:rPr>
                <w:sz w:val="20"/>
                <w:szCs w:val="20"/>
              </w:rPr>
              <w:t>factor(Year)2005</w:t>
            </w:r>
          </w:p>
        </w:tc>
        <w:tc>
          <w:tcPr>
            <w:tcW w:w="0" w:type="auto"/>
            <w:tcMar>
              <w:top w:w="15" w:type="dxa"/>
              <w:left w:w="75" w:type="dxa"/>
              <w:bottom w:w="15" w:type="dxa"/>
              <w:right w:w="75" w:type="dxa"/>
            </w:tcMar>
            <w:vAlign w:val="center"/>
            <w:hideMark/>
          </w:tcPr>
          <w:p w14:paraId="1F83D187" w14:textId="77777777" w:rsidR="00AF6702" w:rsidRPr="00702882" w:rsidRDefault="00AF6702" w:rsidP="008D265E">
            <w:pPr>
              <w:spacing w:before="150" w:after="150"/>
              <w:contextualSpacing/>
              <w:rPr>
                <w:sz w:val="20"/>
                <w:szCs w:val="20"/>
              </w:rPr>
            </w:pPr>
            <w:r w:rsidRPr="00702882">
              <w:rPr>
                <w:sz w:val="20"/>
                <w:szCs w:val="20"/>
              </w:rPr>
              <w:t>1.10 (0.70)</w:t>
            </w:r>
          </w:p>
        </w:tc>
        <w:tc>
          <w:tcPr>
            <w:tcW w:w="0" w:type="auto"/>
            <w:tcMar>
              <w:top w:w="15" w:type="dxa"/>
              <w:left w:w="75" w:type="dxa"/>
              <w:bottom w:w="15" w:type="dxa"/>
              <w:right w:w="75" w:type="dxa"/>
            </w:tcMar>
            <w:vAlign w:val="center"/>
            <w:hideMark/>
          </w:tcPr>
          <w:p w14:paraId="1F09EE1A" w14:textId="77777777" w:rsidR="00AF6702" w:rsidRPr="00702882" w:rsidRDefault="00AF6702" w:rsidP="008D265E">
            <w:pPr>
              <w:spacing w:before="150" w:after="150"/>
              <w:contextualSpacing/>
              <w:rPr>
                <w:sz w:val="20"/>
                <w:szCs w:val="20"/>
              </w:rPr>
            </w:pPr>
            <w:r w:rsidRPr="00702882">
              <w:rPr>
                <w:sz w:val="20"/>
                <w:szCs w:val="20"/>
              </w:rPr>
              <w:t>1.19 (0.69)</w:t>
            </w:r>
            <w:r w:rsidRPr="00702882">
              <w:rPr>
                <w:sz w:val="20"/>
                <w:szCs w:val="20"/>
                <w:vertAlign w:val="superscript"/>
              </w:rPr>
              <w:t>*</w:t>
            </w:r>
          </w:p>
        </w:tc>
        <w:tc>
          <w:tcPr>
            <w:tcW w:w="0" w:type="auto"/>
            <w:tcMar>
              <w:top w:w="15" w:type="dxa"/>
              <w:left w:w="75" w:type="dxa"/>
              <w:bottom w:w="15" w:type="dxa"/>
              <w:right w:w="75" w:type="dxa"/>
            </w:tcMar>
            <w:vAlign w:val="center"/>
            <w:hideMark/>
          </w:tcPr>
          <w:p w14:paraId="5B002EEA" w14:textId="77777777" w:rsidR="00AF6702" w:rsidRPr="00702882" w:rsidRDefault="00AF6702" w:rsidP="008D265E">
            <w:pPr>
              <w:spacing w:before="150" w:after="150"/>
              <w:contextualSpacing/>
              <w:rPr>
                <w:sz w:val="20"/>
                <w:szCs w:val="20"/>
              </w:rPr>
            </w:pPr>
            <w:r w:rsidRPr="00702882">
              <w:rPr>
                <w:sz w:val="20"/>
                <w:szCs w:val="20"/>
              </w:rPr>
              <w:t>0.88 (0.67)</w:t>
            </w:r>
          </w:p>
        </w:tc>
        <w:tc>
          <w:tcPr>
            <w:tcW w:w="0" w:type="auto"/>
            <w:tcMar>
              <w:top w:w="15" w:type="dxa"/>
              <w:left w:w="75" w:type="dxa"/>
              <w:bottom w:w="15" w:type="dxa"/>
              <w:right w:w="75" w:type="dxa"/>
            </w:tcMar>
            <w:vAlign w:val="center"/>
            <w:hideMark/>
          </w:tcPr>
          <w:p w14:paraId="3114AE2F" w14:textId="77777777" w:rsidR="00AF6702" w:rsidRPr="00702882" w:rsidRDefault="00AF6702" w:rsidP="008D265E">
            <w:pPr>
              <w:spacing w:before="150" w:after="150"/>
              <w:contextualSpacing/>
              <w:rPr>
                <w:sz w:val="20"/>
                <w:szCs w:val="20"/>
              </w:rPr>
            </w:pPr>
            <w:r w:rsidRPr="00702882">
              <w:rPr>
                <w:sz w:val="20"/>
                <w:szCs w:val="20"/>
              </w:rPr>
              <w:t>0.89 (0.67)</w:t>
            </w:r>
          </w:p>
        </w:tc>
      </w:tr>
      <w:tr w:rsidR="00571D0D" w:rsidRPr="00702882" w14:paraId="7F772F7B" w14:textId="77777777" w:rsidTr="00AE6820">
        <w:trPr>
          <w:jc w:val="center"/>
        </w:trPr>
        <w:tc>
          <w:tcPr>
            <w:tcW w:w="0" w:type="auto"/>
            <w:tcMar>
              <w:top w:w="15" w:type="dxa"/>
              <w:left w:w="75" w:type="dxa"/>
              <w:bottom w:w="15" w:type="dxa"/>
              <w:right w:w="75" w:type="dxa"/>
            </w:tcMar>
            <w:vAlign w:val="center"/>
            <w:hideMark/>
          </w:tcPr>
          <w:p w14:paraId="05A3ACCB" w14:textId="77777777" w:rsidR="00AF6702" w:rsidRPr="00702882" w:rsidRDefault="00AF6702" w:rsidP="008D265E">
            <w:pPr>
              <w:spacing w:before="150" w:after="150"/>
              <w:contextualSpacing/>
              <w:rPr>
                <w:sz w:val="20"/>
                <w:szCs w:val="20"/>
              </w:rPr>
            </w:pPr>
            <w:r w:rsidRPr="00702882">
              <w:rPr>
                <w:sz w:val="20"/>
                <w:szCs w:val="20"/>
              </w:rPr>
              <w:t>factor(Year)2006</w:t>
            </w:r>
          </w:p>
        </w:tc>
        <w:tc>
          <w:tcPr>
            <w:tcW w:w="0" w:type="auto"/>
            <w:tcMar>
              <w:top w:w="15" w:type="dxa"/>
              <w:left w:w="75" w:type="dxa"/>
              <w:bottom w:w="15" w:type="dxa"/>
              <w:right w:w="75" w:type="dxa"/>
            </w:tcMar>
            <w:vAlign w:val="center"/>
            <w:hideMark/>
          </w:tcPr>
          <w:p w14:paraId="7328ABEE" w14:textId="77777777" w:rsidR="00AF6702" w:rsidRPr="00702882" w:rsidRDefault="00AF6702" w:rsidP="008D265E">
            <w:pPr>
              <w:spacing w:before="150" w:after="150"/>
              <w:contextualSpacing/>
              <w:rPr>
                <w:sz w:val="20"/>
                <w:szCs w:val="20"/>
              </w:rPr>
            </w:pPr>
            <w:r w:rsidRPr="00702882">
              <w:rPr>
                <w:sz w:val="20"/>
                <w:szCs w:val="20"/>
              </w:rPr>
              <w:t>1.65 (0.72)</w:t>
            </w:r>
            <w:r w:rsidRPr="00702882">
              <w:rPr>
                <w:sz w:val="20"/>
                <w:szCs w:val="20"/>
                <w:vertAlign w:val="superscript"/>
              </w:rPr>
              <w:t>**</w:t>
            </w:r>
          </w:p>
        </w:tc>
        <w:tc>
          <w:tcPr>
            <w:tcW w:w="0" w:type="auto"/>
            <w:tcMar>
              <w:top w:w="15" w:type="dxa"/>
              <w:left w:w="75" w:type="dxa"/>
              <w:bottom w:w="15" w:type="dxa"/>
              <w:right w:w="75" w:type="dxa"/>
            </w:tcMar>
            <w:vAlign w:val="center"/>
            <w:hideMark/>
          </w:tcPr>
          <w:p w14:paraId="7A58BA08" w14:textId="77777777" w:rsidR="00AF6702" w:rsidRPr="00702882" w:rsidRDefault="00AF6702" w:rsidP="008D265E">
            <w:pPr>
              <w:spacing w:before="150" w:after="150"/>
              <w:contextualSpacing/>
              <w:rPr>
                <w:sz w:val="20"/>
                <w:szCs w:val="20"/>
              </w:rPr>
            </w:pPr>
            <w:r w:rsidRPr="00702882">
              <w:rPr>
                <w:sz w:val="20"/>
                <w:szCs w:val="20"/>
              </w:rPr>
              <w:t>1.77 (0.71)</w:t>
            </w:r>
            <w:r w:rsidRPr="00702882">
              <w:rPr>
                <w:sz w:val="20"/>
                <w:szCs w:val="20"/>
                <w:vertAlign w:val="superscript"/>
              </w:rPr>
              <w:t>**</w:t>
            </w:r>
          </w:p>
        </w:tc>
        <w:tc>
          <w:tcPr>
            <w:tcW w:w="0" w:type="auto"/>
            <w:tcMar>
              <w:top w:w="15" w:type="dxa"/>
              <w:left w:w="75" w:type="dxa"/>
              <w:bottom w:w="15" w:type="dxa"/>
              <w:right w:w="75" w:type="dxa"/>
            </w:tcMar>
            <w:vAlign w:val="center"/>
            <w:hideMark/>
          </w:tcPr>
          <w:p w14:paraId="38E5CD80" w14:textId="77777777" w:rsidR="00AF6702" w:rsidRPr="00702882" w:rsidRDefault="00AF6702" w:rsidP="008D265E">
            <w:pPr>
              <w:spacing w:before="150" w:after="150"/>
              <w:contextualSpacing/>
              <w:rPr>
                <w:sz w:val="20"/>
                <w:szCs w:val="20"/>
              </w:rPr>
            </w:pPr>
            <w:r w:rsidRPr="00702882">
              <w:rPr>
                <w:sz w:val="20"/>
                <w:szCs w:val="20"/>
              </w:rPr>
              <w:t>1.30 (0.68)</w:t>
            </w:r>
            <w:r w:rsidRPr="00702882">
              <w:rPr>
                <w:sz w:val="20"/>
                <w:szCs w:val="20"/>
                <w:vertAlign w:val="superscript"/>
              </w:rPr>
              <w:t>*</w:t>
            </w:r>
          </w:p>
        </w:tc>
        <w:tc>
          <w:tcPr>
            <w:tcW w:w="0" w:type="auto"/>
            <w:tcMar>
              <w:top w:w="15" w:type="dxa"/>
              <w:left w:w="75" w:type="dxa"/>
              <w:bottom w:w="15" w:type="dxa"/>
              <w:right w:w="75" w:type="dxa"/>
            </w:tcMar>
            <w:vAlign w:val="center"/>
            <w:hideMark/>
          </w:tcPr>
          <w:p w14:paraId="6309866F" w14:textId="77777777" w:rsidR="00AF6702" w:rsidRPr="00702882" w:rsidRDefault="00AF6702" w:rsidP="008D265E">
            <w:pPr>
              <w:spacing w:before="150" w:after="150"/>
              <w:contextualSpacing/>
              <w:rPr>
                <w:sz w:val="20"/>
                <w:szCs w:val="20"/>
              </w:rPr>
            </w:pPr>
            <w:r w:rsidRPr="00702882">
              <w:rPr>
                <w:sz w:val="20"/>
                <w:szCs w:val="20"/>
              </w:rPr>
              <w:t>1.33 (0.68)</w:t>
            </w:r>
            <w:r w:rsidRPr="00702882">
              <w:rPr>
                <w:sz w:val="20"/>
                <w:szCs w:val="20"/>
                <w:vertAlign w:val="superscript"/>
              </w:rPr>
              <w:t>*</w:t>
            </w:r>
          </w:p>
        </w:tc>
      </w:tr>
      <w:tr w:rsidR="00571D0D" w:rsidRPr="00702882" w14:paraId="79EC68AE" w14:textId="77777777" w:rsidTr="00AE6820">
        <w:trPr>
          <w:jc w:val="center"/>
        </w:trPr>
        <w:tc>
          <w:tcPr>
            <w:tcW w:w="0" w:type="auto"/>
            <w:tcMar>
              <w:top w:w="15" w:type="dxa"/>
              <w:left w:w="75" w:type="dxa"/>
              <w:bottom w:w="15" w:type="dxa"/>
              <w:right w:w="75" w:type="dxa"/>
            </w:tcMar>
            <w:vAlign w:val="center"/>
            <w:hideMark/>
          </w:tcPr>
          <w:p w14:paraId="1A6575C0" w14:textId="77777777" w:rsidR="00AF6702" w:rsidRPr="00702882" w:rsidRDefault="00AF6702" w:rsidP="008D265E">
            <w:pPr>
              <w:spacing w:before="150" w:after="150"/>
              <w:contextualSpacing/>
              <w:rPr>
                <w:sz w:val="20"/>
                <w:szCs w:val="20"/>
              </w:rPr>
            </w:pPr>
            <w:r w:rsidRPr="00702882">
              <w:rPr>
                <w:sz w:val="20"/>
                <w:szCs w:val="20"/>
              </w:rPr>
              <w:t>factor(Year)2007</w:t>
            </w:r>
          </w:p>
        </w:tc>
        <w:tc>
          <w:tcPr>
            <w:tcW w:w="0" w:type="auto"/>
            <w:tcMar>
              <w:top w:w="15" w:type="dxa"/>
              <w:left w:w="75" w:type="dxa"/>
              <w:bottom w:w="15" w:type="dxa"/>
              <w:right w:w="75" w:type="dxa"/>
            </w:tcMar>
            <w:vAlign w:val="center"/>
            <w:hideMark/>
          </w:tcPr>
          <w:p w14:paraId="4163082A" w14:textId="77777777" w:rsidR="00AF6702" w:rsidRPr="00702882" w:rsidRDefault="00AF6702" w:rsidP="008D265E">
            <w:pPr>
              <w:spacing w:before="150" w:after="150"/>
              <w:contextualSpacing/>
              <w:rPr>
                <w:sz w:val="20"/>
                <w:szCs w:val="20"/>
              </w:rPr>
            </w:pPr>
            <w:r w:rsidRPr="00702882">
              <w:rPr>
                <w:sz w:val="20"/>
                <w:szCs w:val="20"/>
              </w:rPr>
              <w:t>2.34 (0.82)</w:t>
            </w:r>
            <w:r w:rsidRPr="00702882">
              <w:rPr>
                <w:sz w:val="20"/>
                <w:szCs w:val="20"/>
                <w:vertAlign w:val="superscript"/>
              </w:rPr>
              <w:t>***</w:t>
            </w:r>
          </w:p>
        </w:tc>
        <w:tc>
          <w:tcPr>
            <w:tcW w:w="0" w:type="auto"/>
            <w:tcMar>
              <w:top w:w="15" w:type="dxa"/>
              <w:left w:w="75" w:type="dxa"/>
              <w:bottom w:w="15" w:type="dxa"/>
              <w:right w:w="75" w:type="dxa"/>
            </w:tcMar>
            <w:vAlign w:val="center"/>
            <w:hideMark/>
          </w:tcPr>
          <w:p w14:paraId="0F3CFCB1" w14:textId="77777777" w:rsidR="00AF6702" w:rsidRPr="00702882" w:rsidRDefault="00AF6702" w:rsidP="008D265E">
            <w:pPr>
              <w:spacing w:before="150" w:after="150"/>
              <w:contextualSpacing/>
              <w:rPr>
                <w:sz w:val="20"/>
                <w:szCs w:val="20"/>
              </w:rPr>
            </w:pPr>
            <w:r w:rsidRPr="00702882">
              <w:rPr>
                <w:sz w:val="20"/>
                <w:szCs w:val="20"/>
              </w:rPr>
              <w:t>2.42 (0.80)</w:t>
            </w:r>
            <w:r w:rsidRPr="00702882">
              <w:rPr>
                <w:sz w:val="20"/>
                <w:szCs w:val="20"/>
                <w:vertAlign w:val="superscript"/>
              </w:rPr>
              <w:t>***</w:t>
            </w:r>
          </w:p>
        </w:tc>
        <w:tc>
          <w:tcPr>
            <w:tcW w:w="0" w:type="auto"/>
            <w:tcMar>
              <w:top w:w="15" w:type="dxa"/>
              <w:left w:w="75" w:type="dxa"/>
              <w:bottom w:w="15" w:type="dxa"/>
              <w:right w:w="75" w:type="dxa"/>
            </w:tcMar>
            <w:vAlign w:val="center"/>
            <w:hideMark/>
          </w:tcPr>
          <w:p w14:paraId="31B6C614" w14:textId="77777777" w:rsidR="00AF6702" w:rsidRPr="00702882" w:rsidRDefault="00AF6702" w:rsidP="008D265E">
            <w:pPr>
              <w:spacing w:before="150" w:after="150"/>
              <w:contextualSpacing/>
              <w:rPr>
                <w:sz w:val="20"/>
                <w:szCs w:val="20"/>
              </w:rPr>
            </w:pPr>
            <w:r w:rsidRPr="00702882">
              <w:rPr>
                <w:sz w:val="20"/>
                <w:szCs w:val="20"/>
              </w:rPr>
              <w:t>2.03 (0.79)</w:t>
            </w:r>
            <w:r w:rsidRPr="00702882">
              <w:rPr>
                <w:sz w:val="20"/>
                <w:szCs w:val="20"/>
                <w:vertAlign w:val="superscript"/>
              </w:rPr>
              <w:t>**</w:t>
            </w:r>
          </w:p>
        </w:tc>
        <w:tc>
          <w:tcPr>
            <w:tcW w:w="0" w:type="auto"/>
            <w:tcMar>
              <w:top w:w="15" w:type="dxa"/>
              <w:left w:w="75" w:type="dxa"/>
              <w:bottom w:w="15" w:type="dxa"/>
              <w:right w:w="75" w:type="dxa"/>
            </w:tcMar>
            <w:vAlign w:val="center"/>
            <w:hideMark/>
          </w:tcPr>
          <w:p w14:paraId="4BD9B472" w14:textId="77777777" w:rsidR="00AF6702" w:rsidRPr="00702882" w:rsidRDefault="00AF6702" w:rsidP="008D265E">
            <w:pPr>
              <w:spacing w:before="150" w:after="150"/>
              <w:contextualSpacing/>
              <w:rPr>
                <w:sz w:val="20"/>
                <w:szCs w:val="20"/>
              </w:rPr>
            </w:pPr>
            <w:r w:rsidRPr="00702882">
              <w:rPr>
                <w:sz w:val="20"/>
                <w:szCs w:val="20"/>
              </w:rPr>
              <w:t>2.05 (0.79)</w:t>
            </w:r>
            <w:r w:rsidRPr="00702882">
              <w:rPr>
                <w:sz w:val="20"/>
                <w:szCs w:val="20"/>
                <w:vertAlign w:val="superscript"/>
              </w:rPr>
              <w:t>**</w:t>
            </w:r>
          </w:p>
        </w:tc>
      </w:tr>
      <w:tr w:rsidR="00571D0D" w:rsidRPr="00702882" w14:paraId="28CBF5F9" w14:textId="77777777" w:rsidTr="00AE6820">
        <w:trPr>
          <w:jc w:val="center"/>
        </w:trPr>
        <w:tc>
          <w:tcPr>
            <w:tcW w:w="0" w:type="auto"/>
            <w:tcMar>
              <w:top w:w="15" w:type="dxa"/>
              <w:left w:w="75" w:type="dxa"/>
              <w:bottom w:w="15" w:type="dxa"/>
              <w:right w:w="75" w:type="dxa"/>
            </w:tcMar>
            <w:vAlign w:val="center"/>
            <w:hideMark/>
          </w:tcPr>
          <w:p w14:paraId="7D78D14B" w14:textId="77777777" w:rsidR="00AF6702" w:rsidRPr="00702882" w:rsidRDefault="00AF6702" w:rsidP="008D265E">
            <w:pPr>
              <w:spacing w:before="150" w:after="150"/>
              <w:contextualSpacing/>
              <w:rPr>
                <w:sz w:val="20"/>
                <w:szCs w:val="20"/>
              </w:rPr>
            </w:pPr>
            <w:r w:rsidRPr="00702882">
              <w:rPr>
                <w:sz w:val="20"/>
                <w:szCs w:val="20"/>
              </w:rPr>
              <w:t>factor(Year)2008</w:t>
            </w:r>
          </w:p>
        </w:tc>
        <w:tc>
          <w:tcPr>
            <w:tcW w:w="0" w:type="auto"/>
            <w:tcMar>
              <w:top w:w="15" w:type="dxa"/>
              <w:left w:w="75" w:type="dxa"/>
              <w:bottom w:w="15" w:type="dxa"/>
              <w:right w:w="75" w:type="dxa"/>
            </w:tcMar>
            <w:vAlign w:val="center"/>
            <w:hideMark/>
          </w:tcPr>
          <w:p w14:paraId="1F0234A4" w14:textId="77777777" w:rsidR="00AF6702" w:rsidRPr="00702882" w:rsidRDefault="00AF6702" w:rsidP="008D265E">
            <w:pPr>
              <w:spacing w:before="150" w:after="150"/>
              <w:contextualSpacing/>
              <w:rPr>
                <w:sz w:val="20"/>
                <w:szCs w:val="20"/>
              </w:rPr>
            </w:pPr>
            <w:r w:rsidRPr="00702882">
              <w:rPr>
                <w:sz w:val="20"/>
                <w:szCs w:val="20"/>
              </w:rPr>
              <w:t>3.31 (0.74)</w:t>
            </w:r>
            <w:r w:rsidRPr="00702882">
              <w:rPr>
                <w:sz w:val="20"/>
                <w:szCs w:val="20"/>
                <w:vertAlign w:val="superscript"/>
              </w:rPr>
              <w:t>***</w:t>
            </w:r>
          </w:p>
        </w:tc>
        <w:tc>
          <w:tcPr>
            <w:tcW w:w="0" w:type="auto"/>
            <w:tcMar>
              <w:top w:w="15" w:type="dxa"/>
              <w:left w:w="75" w:type="dxa"/>
              <w:bottom w:w="15" w:type="dxa"/>
              <w:right w:w="75" w:type="dxa"/>
            </w:tcMar>
            <w:vAlign w:val="center"/>
            <w:hideMark/>
          </w:tcPr>
          <w:p w14:paraId="32AA3DF0" w14:textId="77777777" w:rsidR="00AF6702" w:rsidRPr="00702882" w:rsidRDefault="00AF6702" w:rsidP="008D265E">
            <w:pPr>
              <w:spacing w:before="150" w:after="150"/>
              <w:contextualSpacing/>
              <w:rPr>
                <w:sz w:val="20"/>
                <w:szCs w:val="20"/>
              </w:rPr>
            </w:pPr>
            <w:r w:rsidRPr="00702882">
              <w:rPr>
                <w:sz w:val="20"/>
                <w:szCs w:val="20"/>
              </w:rPr>
              <w:t>3.34 (0.76)</w:t>
            </w:r>
            <w:r w:rsidRPr="00702882">
              <w:rPr>
                <w:sz w:val="20"/>
                <w:szCs w:val="20"/>
                <w:vertAlign w:val="superscript"/>
              </w:rPr>
              <w:t>***</w:t>
            </w:r>
          </w:p>
        </w:tc>
        <w:tc>
          <w:tcPr>
            <w:tcW w:w="0" w:type="auto"/>
            <w:tcMar>
              <w:top w:w="15" w:type="dxa"/>
              <w:left w:w="75" w:type="dxa"/>
              <w:bottom w:w="15" w:type="dxa"/>
              <w:right w:w="75" w:type="dxa"/>
            </w:tcMar>
            <w:vAlign w:val="center"/>
            <w:hideMark/>
          </w:tcPr>
          <w:p w14:paraId="4816E92B" w14:textId="77777777" w:rsidR="00AF6702" w:rsidRPr="00702882" w:rsidRDefault="00AF6702" w:rsidP="008D265E">
            <w:pPr>
              <w:spacing w:before="150" w:after="150"/>
              <w:contextualSpacing/>
              <w:rPr>
                <w:sz w:val="20"/>
                <w:szCs w:val="20"/>
              </w:rPr>
            </w:pPr>
            <w:r w:rsidRPr="00702882">
              <w:rPr>
                <w:sz w:val="20"/>
                <w:szCs w:val="20"/>
              </w:rPr>
              <w:t>2.87 (0.73)</w:t>
            </w:r>
            <w:r w:rsidRPr="00702882">
              <w:rPr>
                <w:sz w:val="20"/>
                <w:szCs w:val="20"/>
                <w:vertAlign w:val="superscript"/>
              </w:rPr>
              <w:t>***</w:t>
            </w:r>
          </w:p>
        </w:tc>
        <w:tc>
          <w:tcPr>
            <w:tcW w:w="0" w:type="auto"/>
            <w:tcMar>
              <w:top w:w="15" w:type="dxa"/>
              <w:left w:w="75" w:type="dxa"/>
              <w:bottom w:w="15" w:type="dxa"/>
              <w:right w:w="75" w:type="dxa"/>
            </w:tcMar>
            <w:vAlign w:val="center"/>
            <w:hideMark/>
          </w:tcPr>
          <w:p w14:paraId="31FBED50" w14:textId="77777777" w:rsidR="00AF6702" w:rsidRPr="00702882" w:rsidRDefault="00AF6702" w:rsidP="008D265E">
            <w:pPr>
              <w:spacing w:before="150" w:after="150"/>
              <w:contextualSpacing/>
              <w:rPr>
                <w:sz w:val="20"/>
                <w:szCs w:val="20"/>
              </w:rPr>
            </w:pPr>
            <w:r w:rsidRPr="00702882">
              <w:rPr>
                <w:sz w:val="20"/>
                <w:szCs w:val="20"/>
              </w:rPr>
              <w:t>2.91 (0.74)</w:t>
            </w:r>
            <w:r w:rsidRPr="00702882">
              <w:rPr>
                <w:sz w:val="20"/>
                <w:szCs w:val="20"/>
                <w:vertAlign w:val="superscript"/>
              </w:rPr>
              <w:t>***</w:t>
            </w:r>
          </w:p>
        </w:tc>
      </w:tr>
      <w:tr w:rsidR="00571D0D" w:rsidRPr="00702882" w14:paraId="033CF252" w14:textId="77777777" w:rsidTr="00AE6820">
        <w:trPr>
          <w:jc w:val="center"/>
        </w:trPr>
        <w:tc>
          <w:tcPr>
            <w:tcW w:w="0" w:type="auto"/>
            <w:tcMar>
              <w:top w:w="15" w:type="dxa"/>
              <w:left w:w="75" w:type="dxa"/>
              <w:bottom w:w="15" w:type="dxa"/>
              <w:right w:w="75" w:type="dxa"/>
            </w:tcMar>
            <w:vAlign w:val="center"/>
            <w:hideMark/>
          </w:tcPr>
          <w:p w14:paraId="33A8181E" w14:textId="77777777" w:rsidR="00AF6702" w:rsidRPr="00702882" w:rsidRDefault="00AF6702" w:rsidP="008D265E">
            <w:pPr>
              <w:spacing w:before="150" w:after="150"/>
              <w:contextualSpacing/>
              <w:rPr>
                <w:sz w:val="20"/>
                <w:szCs w:val="20"/>
              </w:rPr>
            </w:pPr>
            <w:r w:rsidRPr="00702882">
              <w:rPr>
                <w:sz w:val="20"/>
                <w:szCs w:val="20"/>
              </w:rPr>
              <w:t>factor(Year)2009</w:t>
            </w:r>
          </w:p>
        </w:tc>
        <w:tc>
          <w:tcPr>
            <w:tcW w:w="0" w:type="auto"/>
            <w:tcMar>
              <w:top w:w="15" w:type="dxa"/>
              <w:left w:w="75" w:type="dxa"/>
              <w:bottom w:w="15" w:type="dxa"/>
              <w:right w:w="75" w:type="dxa"/>
            </w:tcMar>
            <w:vAlign w:val="center"/>
            <w:hideMark/>
          </w:tcPr>
          <w:p w14:paraId="52B1F563" w14:textId="77777777" w:rsidR="00AF6702" w:rsidRPr="00702882" w:rsidRDefault="00AF6702" w:rsidP="008D265E">
            <w:pPr>
              <w:spacing w:before="150" w:after="150"/>
              <w:contextualSpacing/>
              <w:rPr>
                <w:sz w:val="20"/>
                <w:szCs w:val="20"/>
              </w:rPr>
            </w:pPr>
            <w:r w:rsidRPr="00702882">
              <w:rPr>
                <w:sz w:val="20"/>
                <w:szCs w:val="20"/>
              </w:rPr>
              <w:t>5.68 (0.93)</w:t>
            </w:r>
            <w:r w:rsidRPr="00702882">
              <w:rPr>
                <w:sz w:val="20"/>
                <w:szCs w:val="20"/>
                <w:vertAlign w:val="superscript"/>
              </w:rPr>
              <w:t>***</w:t>
            </w:r>
          </w:p>
        </w:tc>
        <w:tc>
          <w:tcPr>
            <w:tcW w:w="0" w:type="auto"/>
            <w:tcMar>
              <w:top w:w="15" w:type="dxa"/>
              <w:left w:w="75" w:type="dxa"/>
              <w:bottom w:w="15" w:type="dxa"/>
              <w:right w:w="75" w:type="dxa"/>
            </w:tcMar>
            <w:vAlign w:val="center"/>
            <w:hideMark/>
          </w:tcPr>
          <w:p w14:paraId="101FC38A" w14:textId="77777777" w:rsidR="00AF6702" w:rsidRPr="00702882" w:rsidRDefault="00AF6702" w:rsidP="008D265E">
            <w:pPr>
              <w:spacing w:before="150" w:after="150"/>
              <w:contextualSpacing/>
              <w:rPr>
                <w:sz w:val="20"/>
                <w:szCs w:val="20"/>
              </w:rPr>
            </w:pPr>
            <w:r w:rsidRPr="00702882">
              <w:rPr>
                <w:sz w:val="20"/>
                <w:szCs w:val="20"/>
              </w:rPr>
              <w:t>5.67 (0.97)</w:t>
            </w:r>
            <w:r w:rsidRPr="00702882">
              <w:rPr>
                <w:sz w:val="20"/>
                <w:szCs w:val="20"/>
                <w:vertAlign w:val="superscript"/>
              </w:rPr>
              <w:t>***</w:t>
            </w:r>
          </w:p>
        </w:tc>
        <w:tc>
          <w:tcPr>
            <w:tcW w:w="0" w:type="auto"/>
            <w:tcMar>
              <w:top w:w="15" w:type="dxa"/>
              <w:left w:w="75" w:type="dxa"/>
              <w:bottom w:w="15" w:type="dxa"/>
              <w:right w:w="75" w:type="dxa"/>
            </w:tcMar>
            <w:vAlign w:val="center"/>
            <w:hideMark/>
          </w:tcPr>
          <w:p w14:paraId="2D9D402E" w14:textId="77777777" w:rsidR="00AF6702" w:rsidRPr="00702882" w:rsidRDefault="00AF6702" w:rsidP="008D265E">
            <w:pPr>
              <w:spacing w:before="150" w:after="150"/>
              <w:contextualSpacing/>
              <w:rPr>
                <w:sz w:val="20"/>
                <w:szCs w:val="20"/>
              </w:rPr>
            </w:pPr>
            <w:r w:rsidRPr="00702882">
              <w:rPr>
                <w:sz w:val="20"/>
                <w:szCs w:val="20"/>
              </w:rPr>
              <w:t>5.06 (0.95)</w:t>
            </w:r>
            <w:r w:rsidRPr="00702882">
              <w:rPr>
                <w:sz w:val="20"/>
                <w:szCs w:val="20"/>
                <w:vertAlign w:val="superscript"/>
              </w:rPr>
              <w:t>***</w:t>
            </w:r>
          </w:p>
        </w:tc>
        <w:tc>
          <w:tcPr>
            <w:tcW w:w="0" w:type="auto"/>
            <w:tcMar>
              <w:top w:w="15" w:type="dxa"/>
              <w:left w:w="75" w:type="dxa"/>
              <w:bottom w:w="15" w:type="dxa"/>
              <w:right w:w="75" w:type="dxa"/>
            </w:tcMar>
            <w:vAlign w:val="center"/>
            <w:hideMark/>
          </w:tcPr>
          <w:p w14:paraId="04B3DD49" w14:textId="77777777" w:rsidR="00AF6702" w:rsidRPr="00702882" w:rsidRDefault="00AF6702" w:rsidP="008D265E">
            <w:pPr>
              <w:spacing w:before="150" w:after="150"/>
              <w:contextualSpacing/>
              <w:rPr>
                <w:sz w:val="20"/>
                <w:szCs w:val="20"/>
              </w:rPr>
            </w:pPr>
            <w:r w:rsidRPr="00702882">
              <w:rPr>
                <w:sz w:val="20"/>
                <w:szCs w:val="20"/>
              </w:rPr>
              <w:t>5.12 (0.95)</w:t>
            </w:r>
            <w:r w:rsidRPr="00702882">
              <w:rPr>
                <w:sz w:val="20"/>
                <w:szCs w:val="20"/>
                <w:vertAlign w:val="superscript"/>
              </w:rPr>
              <w:t>***</w:t>
            </w:r>
          </w:p>
        </w:tc>
      </w:tr>
      <w:tr w:rsidR="00571D0D" w:rsidRPr="00702882" w14:paraId="6915D65D" w14:textId="77777777" w:rsidTr="00AE6820">
        <w:trPr>
          <w:jc w:val="center"/>
        </w:trPr>
        <w:tc>
          <w:tcPr>
            <w:tcW w:w="0" w:type="auto"/>
            <w:tcMar>
              <w:top w:w="15" w:type="dxa"/>
              <w:left w:w="75" w:type="dxa"/>
              <w:bottom w:w="15" w:type="dxa"/>
              <w:right w:w="75" w:type="dxa"/>
            </w:tcMar>
            <w:vAlign w:val="center"/>
            <w:hideMark/>
          </w:tcPr>
          <w:p w14:paraId="5428DB20" w14:textId="77777777" w:rsidR="00AF6702" w:rsidRPr="00702882" w:rsidRDefault="00AF6702" w:rsidP="008D265E">
            <w:pPr>
              <w:spacing w:before="150" w:after="150"/>
              <w:contextualSpacing/>
              <w:rPr>
                <w:sz w:val="20"/>
                <w:szCs w:val="20"/>
              </w:rPr>
            </w:pPr>
            <w:r w:rsidRPr="00702882">
              <w:rPr>
                <w:sz w:val="20"/>
                <w:szCs w:val="20"/>
              </w:rPr>
              <w:t>factor(Year)2010</w:t>
            </w:r>
          </w:p>
        </w:tc>
        <w:tc>
          <w:tcPr>
            <w:tcW w:w="0" w:type="auto"/>
            <w:tcMar>
              <w:top w:w="15" w:type="dxa"/>
              <w:left w:w="75" w:type="dxa"/>
              <w:bottom w:w="15" w:type="dxa"/>
              <w:right w:w="75" w:type="dxa"/>
            </w:tcMar>
            <w:vAlign w:val="center"/>
            <w:hideMark/>
          </w:tcPr>
          <w:p w14:paraId="3E6B4254" w14:textId="77777777" w:rsidR="00AF6702" w:rsidRPr="00702882" w:rsidRDefault="00AF6702" w:rsidP="008D265E">
            <w:pPr>
              <w:spacing w:before="150" w:after="150"/>
              <w:contextualSpacing/>
              <w:rPr>
                <w:sz w:val="20"/>
                <w:szCs w:val="20"/>
              </w:rPr>
            </w:pPr>
            <w:r w:rsidRPr="00702882">
              <w:rPr>
                <w:sz w:val="20"/>
                <w:szCs w:val="20"/>
              </w:rPr>
              <w:t>5.82 (1.11)</w:t>
            </w:r>
            <w:r w:rsidRPr="00702882">
              <w:rPr>
                <w:sz w:val="20"/>
                <w:szCs w:val="20"/>
                <w:vertAlign w:val="superscript"/>
              </w:rPr>
              <w:t>***</w:t>
            </w:r>
          </w:p>
        </w:tc>
        <w:tc>
          <w:tcPr>
            <w:tcW w:w="0" w:type="auto"/>
            <w:tcMar>
              <w:top w:w="15" w:type="dxa"/>
              <w:left w:w="75" w:type="dxa"/>
              <w:bottom w:w="15" w:type="dxa"/>
              <w:right w:w="75" w:type="dxa"/>
            </w:tcMar>
            <w:vAlign w:val="center"/>
            <w:hideMark/>
          </w:tcPr>
          <w:p w14:paraId="33DC69FB" w14:textId="77777777" w:rsidR="00AF6702" w:rsidRPr="00702882" w:rsidRDefault="00AF6702" w:rsidP="008D265E">
            <w:pPr>
              <w:spacing w:before="150" w:after="150"/>
              <w:contextualSpacing/>
              <w:rPr>
                <w:sz w:val="20"/>
                <w:szCs w:val="20"/>
              </w:rPr>
            </w:pPr>
            <w:r w:rsidRPr="00702882">
              <w:rPr>
                <w:sz w:val="20"/>
                <w:szCs w:val="20"/>
              </w:rPr>
              <w:t>5.90 (1.11)</w:t>
            </w:r>
            <w:r w:rsidRPr="00702882">
              <w:rPr>
                <w:sz w:val="20"/>
                <w:szCs w:val="20"/>
                <w:vertAlign w:val="superscript"/>
              </w:rPr>
              <w:t>***</w:t>
            </w:r>
          </w:p>
        </w:tc>
        <w:tc>
          <w:tcPr>
            <w:tcW w:w="0" w:type="auto"/>
            <w:tcMar>
              <w:top w:w="15" w:type="dxa"/>
              <w:left w:w="75" w:type="dxa"/>
              <w:bottom w:w="15" w:type="dxa"/>
              <w:right w:w="75" w:type="dxa"/>
            </w:tcMar>
            <w:vAlign w:val="center"/>
            <w:hideMark/>
          </w:tcPr>
          <w:p w14:paraId="29DA9761" w14:textId="77777777" w:rsidR="00AF6702" w:rsidRPr="00702882" w:rsidRDefault="00AF6702" w:rsidP="008D265E">
            <w:pPr>
              <w:spacing w:before="150" w:after="150"/>
              <w:contextualSpacing/>
              <w:rPr>
                <w:sz w:val="20"/>
                <w:szCs w:val="20"/>
              </w:rPr>
            </w:pPr>
            <w:r w:rsidRPr="00702882">
              <w:rPr>
                <w:sz w:val="20"/>
                <w:szCs w:val="20"/>
              </w:rPr>
              <w:t>5.29 (1.10)</w:t>
            </w:r>
            <w:r w:rsidRPr="00702882">
              <w:rPr>
                <w:sz w:val="20"/>
                <w:szCs w:val="20"/>
                <w:vertAlign w:val="superscript"/>
              </w:rPr>
              <w:t>***</w:t>
            </w:r>
          </w:p>
        </w:tc>
        <w:tc>
          <w:tcPr>
            <w:tcW w:w="0" w:type="auto"/>
            <w:tcMar>
              <w:top w:w="15" w:type="dxa"/>
              <w:left w:w="75" w:type="dxa"/>
              <w:bottom w:w="15" w:type="dxa"/>
              <w:right w:w="75" w:type="dxa"/>
            </w:tcMar>
            <w:vAlign w:val="center"/>
            <w:hideMark/>
          </w:tcPr>
          <w:p w14:paraId="41EE2BDF" w14:textId="77777777" w:rsidR="00AF6702" w:rsidRPr="00702882" w:rsidRDefault="00AF6702" w:rsidP="008D265E">
            <w:pPr>
              <w:spacing w:before="150" w:after="150"/>
              <w:contextualSpacing/>
              <w:rPr>
                <w:sz w:val="20"/>
                <w:szCs w:val="20"/>
              </w:rPr>
            </w:pPr>
            <w:r w:rsidRPr="00702882">
              <w:rPr>
                <w:sz w:val="20"/>
                <w:szCs w:val="20"/>
              </w:rPr>
              <w:t>5.36 (1.10)</w:t>
            </w:r>
            <w:r w:rsidRPr="00702882">
              <w:rPr>
                <w:sz w:val="20"/>
                <w:szCs w:val="20"/>
                <w:vertAlign w:val="superscript"/>
              </w:rPr>
              <w:t>***</w:t>
            </w:r>
          </w:p>
        </w:tc>
      </w:tr>
      <w:tr w:rsidR="00571D0D" w:rsidRPr="00702882" w14:paraId="45C24CBB" w14:textId="77777777" w:rsidTr="00AE6820">
        <w:trPr>
          <w:jc w:val="center"/>
        </w:trPr>
        <w:tc>
          <w:tcPr>
            <w:tcW w:w="0" w:type="auto"/>
            <w:tcMar>
              <w:top w:w="15" w:type="dxa"/>
              <w:left w:w="75" w:type="dxa"/>
              <w:bottom w:w="15" w:type="dxa"/>
              <w:right w:w="75" w:type="dxa"/>
            </w:tcMar>
            <w:vAlign w:val="center"/>
            <w:hideMark/>
          </w:tcPr>
          <w:p w14:paraId="05CD8B26" w14:textId="77777777" w:rsidR="00AF6702" w:rsidRPr="00702882" w:rsidRDefault="00AF6702" w:rsidP="008D265E">
            <w:pPr>
              <w:spacing w:before="150" w:after="150"/>
              <w:contextualSpacing/>
              <w:rPr>
                <w:sz w:val="20"/>
                <w:szCs w:val="20"/>
              </w:rPr>
            </w:pPr>
            <w:r w:rsidRPr="00702882">
              <w:rPr>
                <w:sz w:val="20"/>
                <w:szCs w:val="20"/>
              </w:rPr>
              <w:t>factor(Year)2011</w:t>
            </w:r>
          </w:p>
        </w:tc>
        <w:tc>
          <w:tcPr>
            <w:tcW w:w="0" w:type="auto"/>
            <w:tcMar>
              <w:top w:w="15" w:type="dxa"/>
              <w:left w:w="75" w:type="dxa"/>
              <w:bottom w:w="15" w:type="dxa"/>
              <w:right w:w="75" w:type="dxa"/>
            </w:tcMar>
            <w:vAlign w:val="center"/>
            <w:hideMark/>
          </w:tcPr>
          <w:p w14:paraId="395FF0B8" w14:textId="77777777" w:rsidR="00AF6702" w:rsidRPr="00702882" w:rsidRDefault="00AF6702" w:rsidP="008D265E">
            <w:pPr>
              <w:spacing w:before="150" w:after="150"/>
              <w:contextualSpacing/>
              <w:rPr>
                <w:sz w:val="20"/>
                <w:szCs w:val="20"/>
              </w:rPr>
            </w:pPr>
            <w:r w:rsidRPr="00702882">
              <w:rPr>
                <w:sz w:val="20"/>
                <w:szCs w:val="20"/>
              </w:rPr>
              <w:t>5.07 (1.15)</w:t>
            </w:r>
            <w:r w:rsidRPr="00702882">
              <w:rPr>
                <w:sz w:val="20"/>
                <w:szCs w:val="20"/>
                <w:vertAlign w:val="superscript"/>
              </w:rPr>
              <w:t>***</w:t>
            </w:r>
          </w:p>
        </w:tc>
        <w:tc>
          <w:tcPr>
            <w:tcW w:w="0" w:type="auto"/>
            <w:tcMar>
              <w:top w:w="15" w:type="dxa"/>
              <w:left w:w="75" w:type="dxa"/>
              <w:bottom w:w="15" w:type="dxa"/>
              <w:right w:w="75" w:type="dxa"/>
            </w:tcMar>
            <w:vAlign w:val="center"/>
            <w:hideMark/>
          </w:tcPr>
          <w:p w14:paraId="30A29A5C" w14:textId="77777777" w:rsidR="00AF6702" w:rsidRPr="00702882" w:rsidRDefault="00AF6702" w:rsidP="008D265E">
            <w:pPr>
              <w:spacing w:before="150" w:after="150"/>
              <w:contextualSpacing/>
              <w:rPr>
                <w:sz w:val="20"/>
                <w:szCs w:val="20"/>
              </w:rPr>
            </w:pPr>
            <w:r w:rsidRPr="00702882">
              <w:rPr>
                <w:sz w:val="20"/>
                <w:szCs w:val="20"/>
              </w:rPr>
              <w:t>5.20 (1.15)</w:t>
            </w:r>
            <w:r w:rsidRPr="00702882">
              <w:rPr>
                <w:sz w:val="20"/>
                <w:szCs w:val="20"/>
                <w:vertAlign w:val="superscript"/>
              </w:rPr>
              <w:t>***</w:t>
            </w:r>
          </w:p>
        </w:tc>
        <w:tc>
          <w:tcPr>
            <w:tcW w:w="0" w:type="auto"/>
            <w:tcMar>
              <w:top w:w="15" w:type="dxa"/>
              <w:left w:w="75" w:type="dxa"/>
              <w:bottom w:w="15" w:type="dxa"/>
              <w:right w:w="75" w:type="dxa"/>
            </w:tcMar>
            <w:vAlign w:val="center"/>
            <w:hideMark/>
          </w:tcPr>
          <w:p w14:paraId="69089B41" w14:textId="77777777" w:rsidR="00AF6702" w:rsidRPr="00702882" w:rsidRDefault="00AF6702" w:rsidP="008D265E">
            <w:pPr>
              <w:spacing w:before="150" w:after="150"/>
              <w:contextualSpacing/>
              <w:rPr>
                <w:sz w:val="20"/>
                <w:szCs w:val="20"/>
              </w:rPr>
            </w:pPr>
            <w:r w:rsidRPr="00702882">
              <w:rPr>
                <w:sz w:val="20"/>
                <w:szCs w:val="20"/>
              </w:rPr>
              <w:t>4.47 (1.15)</w:t>
            </w:r>
            <w:r w:rsidRPr="00702882">
              <w:rPr>
                <w:sz w:val="20"/>
                <w:szCs w:val="20"/>
                <w:vertAlign w:val="superscript"/>
              </w:rPr>
              <w:t>***</w:t>
            </w:r>
          </w:p>
        </w:tc>
        <w:tc>
          <w:tcPr>
            <w:tcW w:w="0" w:type="auto"/>
            <w:tcMar>
              <w:top w:w="15" w:type="dxa"/>
              <w:left w:w="75" w:type="dxa"/>
              <w:bottom w:w="15" w:type="dxa"/>
              <w:right w:w="75" w:type="dxa"/>
            </w:tcMar>
            <w:vAlign w:val="center"/>
            <w:hideMark/>
          </w:tcPr>
          <w:p w14:paraId="0A38F2AB" w14:textId="77777777" w:rsidR="00AF6702" w:rsidRPr="00702882" w:rsidRDefault="00AF6702" w:rsidP="008D265E">
            <w:pPr>
              <w:spacing w:before="150" w:after="150"/>
              <w:contextualSpacing/>
              <w:rPr>
                <w:sz w:val="20"/>
                <w:szCs w:val="20"/>
              </w:rPr>
            </w:pPr>
            <w:r w:rsidRPr="00702882">
              <w:rPr>
                <w:sz w:val="20"/>
                <w:szCs w:val="20"/>
              </w:rPr>
              <w:t>4.55 (1.15)</w:t>
            </w:r>
            <w:r w:rsidRPr="00702882">
              <w:rPr>
                <w:sz w:val="20"/>
                <w:szCs w:val="20"/>
                <w:vertAlign w:val="superscript"/>
              </w:rPr>
              <w:t>***</w:t>
            </w:r>
          </w:p>
        </w:tc>
      </w:tr>
      <w:tr w:rsidR="00571D0D" w:rsidRPr="00702882" w14:paraId="3543AF0A" w14:textId="77777777" w:rsidTr="00AE6820">
        <w:trPr>
          <w:jc w:val="center"/>
        </w:trPr>
        <w:tc>
          <w:tcPr>
            <w:tcW w:w="0" w:type="auto"/>
            <w:tcMar>
              <w:top w:w="15" w:type="dxa"/>
              <w:left w:w="75" w:type="dxa"/>
              <w:bottom w:w="15" w:type="dxa"/>
              <w:right w:w="75" w:type="dxa"/>
            </w:tcMar>
            <w:vAlign w:val="center"/>
            <w:hideMark/>
          </w:tcPr>
          <w:p w14:paraId="4A068E21" w14:textId="77777777" w:rsidR="00AF6702" w:rsidRPr="00702882" w:rsidRDefault="00AF6702" w:rsidP="008D265E">
            <w:pPr>
              <w:spacing w:before="150" w:after="150"/>
              <w:contextualSpacing/>
              <w:rPr>
                <w:sz w:val="20"/>
                <w:szCs w:val="20"/>
              </w:rPr>
            </w:pPr>
            <w:r w:rsidRPr="00702882">
              <w:rPr>
                <w:sz w:val="20"/>
                <w:szCs w:val="20"/>
              </w:rPr>
              <w:t>factor(Year)2012</w:t>
            </w:r>
          </w:p>
        </w:tc>
        <w:tc>
          <w:tcPr>
            <w:tcW w:w="0" w:type="auto"/>
            <w:tcMar>
              <w:top w:w="15" w:type="dxa"/>
              <w:left w:w="75" w:type="dxa"/>
              <w:bottom w:w="15" w:type="dxa"/>
              <w:right w:w="75" w:type="dxa"/>
            </w:tcMar>
            <w:vAlign w:val="center"/>
            <w:hideMark/>
          </w:tcPr>
          <w:p w14:paraId="78876CEA" w14:textId="77777777" w:rsidR="00AF6702" w:rsidRPr="00702882" w:rsidRDefault="00AF6702" w:rsidP="008D265E">
            <w:pPr>
              <w:spacing w:before="150" w:after="150"/>
              <w:contextualSpacing/>
              <w:rPr>
                <w:sz w:val="20"/>
                <w:szCs w:val="20"/>
              </w:rPr>
            </w:pPr>
            <w:r w:rsidRPr="00702882">
              <w:rPr>
                <w:sz w:val="20"/>
                <w:szCs w:val="20"/>
              </w:rPr>
              <w:t>4.41 (1.06)</w:t>
            </w:r>
            <w:r w:rsidRPr="00702882">
              <w:rPr>
                <w:sz w:val="20"/>
                <w:szCs w:val="20"/>
                <w:vertAlign w:val="superscript"/>
              </w:rPr>
              <w:t>***</w:t>
            </w:r>
          </w:p>
        </w:tc>
        <w:tc>
          <w:tcPr>
            <w:tcW w:w="0" w:type="auto"/>
            <w:tcMar>
              <w:top w:w="15" w:type="dxa"/>
              <w:left w:w="75" w:type="dxa"/>
              <w:bottom w:w="15" w:type="dxa"/>
              <w:right w:w="75" w:type="dxa"/>
            </w:tcMar>
            <w:vAlign w:val="center"/>
            <w:hideMark/>
          </w:tcPr>
          <w:p w14:paraId="7E6A408B" w14:textId="77777777" w:rsidR="00AF6702" w:rsidRPr="00702882" w:rsidRDefault="00AF6702" w:rsidP="008D265E">
            <w:pPr>
              <w:spacing w:before="150" w:after="150"/>
              <w:contextualSpacing/>
              <w:rPr>
                <w:sz w:val="20"/>
                <w:szCs w:val="20"/>
              </w:rPr>
            </w:pPr>
            <w:r w:rsidRPr="00702882">
              <w:rPr>
                <w:sz w:val="20"/>
                <w:szCs w:val="20"/>
              </w:rPr>
              <w:t>4.54 (1.06)</w:t>
            </w:r>
            <w:r w:rsidRPr="00702882">
              <w:rPr>
                <w:sz w:val="20"/>
                <w:szCs w:val="20"/>
                <w:vertAlign w:val="superscript"/>
              </w:rPr>
              <w:t>***</w:t>
            </w:r>
          </w:p>
        </w:tc>
        <w:tc>
          <w:tcPr>
            <w:tcW w:w="0" w:type="auto"/>
            <w:tcMar>
              <w:top w:w="15" w:type="dxa"/>
              <w:left w:w="75" w:type="dxa"/>
              <w:bottom w:w="15" w:type="dxa"/>
              <w:right w:w="75" w:type="dxa"/>
            </w:tcMar>
            <w:vAlign w:val="center"/>
            <w:hideMark/>
          </w:tcPr>
          <w:p w14:paraId="4D3B184B" w14:textId="77777777" w:rsidR="00AF6702" w:rsidRPr="00702882" w:rsidRDefault="00AF6702" w:rsidP="008D265E">
            <w:pPr>
              <w:spacing w:before="150" w:after="150"/>
              <w:contextualSpacing/>
              <w:rPr>
                <w:sz w:val="20"/>
                <w:szCs w:val="20"/>
              </w:rPr>
            </w:pPr>
            <w:r w:rsidRPr="00702882">
              <w:rPr>
                <w:sz w:val="20"/>
                <w:szCs w:val="20"/>
              </w:rPr>
              <w:t>3.80 (1.05)</w:t>
            </w:r>
            <w:r w:rsidRPr="00702882">
              <w:rPr>
                <w:sz w:val="20"/>
                <w:szCs w:val="20"/>
                <w:vertAlign w:val="superscript"/>
              </w:rPr>
              <w:t>***</w:t>
            </w:r>
          </w:p>
        </w:tc>
        <w:tc>
          <w:tcPr>
            <w:tcW w:w="0" w:type="auto"/>
            <w:tcMar>
              <w:top w:w="15" w:type="dxa"/>
              <w:left w:w="75" w:type="dxa"/>
              <w:bottom w:w="15" w:type="dxa"/>
              <w:right w:w="75" w:type="dxa"/>
            </w:tcMar>
            <w:vAlign w:val="center"/>
            <w:hideMark/>
          </w:tcPr>
          <w:p w14:paraId="6F1FE290" w14:textId="77777777" w:rsidR="00AF6702" w:rsidRPr="00702882" w:rsidRDefault="00AF6702" w:rsidP="008D265E">
            <w:pPr>
              <w:spacing w:before="150" w:after="150"/>
              <w:contextualSpacing/>
              <w:rPr>
                <w:sz w:val="20"/>
                <w:szCs w:val="20"/>
              </w:rPr>
            </w:pPr>
            <w:r w:rsidRPr="00702882">
              <w:rPr>
                <w:sz w:val="20"/>
                <w:szCs w:val="20"/>
              </w:rPr>
              <w:t>3.88 (1.06)</w:t>
            </w:r>
            <w:r w:rsidRPr="00702882">
              <w:rPr>
                <w:sz w:val="20"/>
                <w:szCs w:val="20"/>
                <w:vertAlign w:val="superscript"/>
              </w:rPr>
              <w:t>***</w:t>
            </w:r>
          </w:p>
        </w:tc>
      </w:tr>
      <w:tr w:rsidR="00571D0D" w:rsidRPr="00702882" w14:paraId="6ACE373B" w14:textId="77777777" w:rsidTr="00AE6820">
        <w:trPr>
          <w:jc w:val="center"/>
        </w:trPr>
        <w:tc>
          <w:tcPr>
            <w:tcW w:w="0" w:type="auto"/>
            <w:tcMar>
              <w:top w:w="15" w:type="dxa"/>
              <w:left w:w="75" w:type="dxa"/>
              <w:bottom w:w="15" w:type="dxa"/>
              <w:right w:w="75" w:type="dxa"/>
            </w:tcMar>
            <w:vAlign w:val="center"/>
            <w:hideMark/>
          </w:tcPr>
          <w:p w14:paraId="009EEEE0" w14:textId="77777777" w:rsidR="00AF6702" w:rsidRPr="00702882" w:rsidRDefault="00AF6702" w:rsidP="008D265E">
            <w:pPr>
              <w:spacing w:before="150" w:after="150"/>
              <w:contextualSpacing/>
              <w:rPr>
                <w:sz w:val="20"/>
                <w:szCs w:val="20"/>
              </w:rPr>
            </w:pPr>
            <w:r w:rsidRPr="00702882">
              <w:rPr>
                <w:sz w:val="20"/>
                <w:szCs w:val="20"/>
              </w:rPr>
              <w:t>factor(Year)2013</w:t>
            </w:r>
          </w:p>
        </w:tc>
        <w:tc>
          <w:tcPr>
            <w:tcW w:w="0" w:type="auto"/>
            <w:tcMar>
              <w:top w:w="15" w:type="dxa"/>
              <w:left w:w="75" w:type="dxa"/>
              <w:bottom w:w="15" w:type="dxa"/>
              <w:right w:w="75" w:type="dxa"/>
            </w:tcMar>
            <w:vAlign w:val="center"/>
            <w:hideMark/>
          </w:tcPr>
          <w:p w14:paraId="6C3EAB7D" w14:textId="77777777" w:rsidR="00AF6702" w:rsidRPr="00702882" w:rsidRDefault="00AF6702" w:rsidP="008D265E">
            <w:pPr>
              <w:spacing w:before="150" w:after="150"/>
              <w:contextualSpacing/>
              <w:rPr>
                <w:sz w:val="20"/>
                <w:szCs w:val="20"/>
              </w:rPr>
            </w:pPr>
            <w:r w:rsidRPr="00702882">
              <w:rPr>
                <w:sz w:val="20"/>
                <w:szCs w:val="20"/>
              </w:rPr>
              <w:t>4.55 (1.03)</w:t>
            </w:r>
            <w:r w:rsidRPr="00702882">
              <w:rPr>
                <w:sz w:val="20"/>
                <w:szCs w:val="20"/>
                <w:vertAlign w:val="superscript"/>
              </w:rPr>
              <w:t>***</w:t>
            </w:r>
          </w:p>
        </w:tc>
        <w:tc>
          <w:tcPr>
            <w:tcW w:w="0" w:type="auto"/>
            <w:tcMar>
              <w:top w:w="15" w:type="dxa"/>
              <w:left w:w="75" w:type="dxa"/>
              <w:bottom w:w="15" w:type="dxa"/>
              <w:right w:w="75" w:type="dxa"/>
            </w:tcMar>
            <w:vAlign w:val="center"/>
            <w:hideMark/>
          </w:tcPr>
          <w:p w14:paraId="3B45C961" w14:textId="77777777" w:rsidR="00AF6702" w:rsidRPr="00702882" w:rsidRDefault="00AF6702" w:rsidP="008D265E">
            <w:pPr>
              <w:spacing w:before="150" w:after="150"/>
              <w:contextualSpacing/>
              <w:rPr>
                <w:sz w:val="20"/>
                <w:szCs w:val="20"/>
              </w:rPr>
            </w:pPr>
            <w:r w:rsidRPr="00702882">
              <w:rPr>
                <w:sz w:val="20"/>
                <w:szCs w:val="20"/>
              </w:rPr>
              <w:t>4.66 (1.04)</w:t>
            </w:r>
            <w:r w:rsidRPr="00702882">
              <w:rPr>
                <w:sz w:val="20"/>
                <w:szCs w:val="20"/>
                <w:vertAlign w:val="superscript"/>
              </w:rPr>
              <w:t>***</w:t>
            </w:r>
          </w:p>
        </w:tc>
        <w:tc>
          <w:tcPr>
            <w:tcW w:w="0" w:type="auto"/>
            <w:tcMar>
              <w:top w:w="15" w:type="dxa"/>
              <w:left w:w="75" w:type="dxa"/>
              <w:bottom w:w="15" w:type="dxa"/>
              <w:right w:w="75" w:type="dxa"/>
            </w:tcMar>
            <w:vAlign w:val="center"/>
            <w:hideMark/>
          </w:tcPr>
          <w:p w14:paraId="7F4B7410" w14:textId="77777777" w:rsidR="00AF6702" w:rsidRPr="00702882" w:rsidRDefault="00AF6702" w:rsidP="008D265E">
            <w:pPr>
              <w:spacing w:before="150" w:after="150"/>
              <w:contextualSpacing/>
              <w:rPr>
                <w:sz w:val="20"/>
                <w:szCs w:val="20"/>
              </w:rPr>
            </w:pPr>
            <w:r w:rsidRPr="00702882">
              <w:rPr>
                <w:sz w:val="20"/>
                <w:szCs w:val="20"/>
              </w:rPr>
              <w:t>3.96 (1.02)</w:t>
            </w:r>
            <w:r w:rsidRPr="00702882">
              <w:rPr>
                <w:sz w:val="20"/>
                <w:szCs w:val="20"/>
                <w:vertAlign w:val="superscript"/>
              </w:rPr>
              <w:t>***</w:t>
            </w:r>
          </w:p>
        </w:tc>
        <w:tc>
          <w:tcPr>
            <w:tcW w:w="0" w:type="auto"/>
            <w:tcMar>
              <w:top w:w="15" w:type="dxa"/>
              <w:left w:w="75" w:type="dxa"/>
              <w:bottom w:w="15" w:type="dxa"/>
              <w:right w:w="75" w:type="dxa"/>
            </w:tcMar>
            <w:vAlign w:val="center"/>
            <w:hideMark/>
          </w:tcPr>
          <w:p w14:paraId="0CB08440" w14:textId="77777777" w:rsidR="00AF6702" w:rsidRPr="00702882" w:rsidRDefault="00AF6702" w:rsidP="008D265E">
            <w:pPr>
              <w:spacing w:before="150" w:after="150"/>
              <w:contextualSpacing/>
              <w:rPr>
                <w:sz w:val="20"/>
                <w:szCs w:val="20"/>
              </w:rPr>
            </w:pPr>
            <w:r w:rsidRPr="00702882">
              <w:rPr>
                <w:sz w:val="20"/>
                <w:szCs w:val="20"/>
              </w:rPr>
              <w:t>4.04 (1.03)</w:t>
            </w:r>
            <w:r w:rsidRPr="00702882">
              <w:rPr>
                <w:sz w:val="20"/>
                <w:szCs w:val="20"/>
                <w:vertAlign w:val="superscript"/>
              </w:rPr>
              <w:t>***</w:t>
            </w:r>
          </w:p>
        </w:tc>
      </w:tr>
      <w:tr w:rsidR="00571D0D" w:rsidRPr="00702882" w14:paraId="74B6E7B3" w14:textId="77777777" w:rsidTr="00AE6820">
        <w:trPr>
          <w:jc w:val="center"/>
        </w:trPr>
        <w:tc>
          <w:tcPr>
            <w:tcW w:w="0" w:type="auto"/>
            <w:tcMar>
              <w:top w:w="15" w:type="dxa"/>
              <w:left w:w="75" w:type="dxa"/>
              <w:bottom w:w="15" w:type="dxa"/>
              <w:right w:w="75" w:type="dxa"/>
            </w:tcMar>
            <w:vAlign w:val="center"/>
            <w:hideMark/>
          </w:tcPr>
          <w:p w14:paraId="0429C42E" w14:textId="77777777" w:rsidR="00AF6702" w:rsidRPr="00702882" w:rsidRDefault="00AF6702" w:rsidP="008D265E">
            <w:pPr>
              <w:spacing w:before="150" w:after="150"/>
              <w:contextualSpacing/>
              <w:rPr>
                <w:sz w:val="20"/>
                <w:szCs w:val="20"/>
              </w:rPr>
            </w:pPr>
            <w:r w:rsidRPr="00702882">
              <w:rPr>
                <w:sz w:val="20"/>
                <w:szCs w:val="20"/>
              </w:rPr>
              <w:t>factor(Year)2014</w:t>
            </w:r>
          </w:p>
        </w:tc>
        <w:tc>
          <w:tcPr>
            <w:tcW w:w="0" w:type="auto"/>
            <w:tcMar>
              <w:top w:w="15" w:type="dxa"/>
              <w:left w:w="75" w:type="dxa"/>
              <w:bottom w:w="15" w:type="dxa"/>
              <w:right w:w="75" w:type="dxa"/>
            </w:tcMar>
            <w:vAlign w:val="center"/>
            <w:hideMark/>
          </w:tcPr>
          <w:p w14:paraId="5157C1FF" w14:textId="77777777" w:rsidR="00AF6702" w:rsidRPr="00702882" w:rsidRDefault="00AF6702" w:rsidP="008D265E">
            <w:pPr>
              <w:spacing w:before="150" w:after="150"/>
              <w:contextualSpacing/>
              <w:rPr>
                <w:sz w:val="20"/>
                <w:szCs w:val="20"/>
              </w:rPr>
            </w:pPr>
            <w:r w:rsidRPr="00702882">
              <w:rPr>
                <w:sz w:val="20"/>
                <w:szCs w:val="20"/>
              </w:rPr>
              <w:t>3.62 (1.11)</w:t>
            </w:r>
            <w:r w:rsidRPr="00702882">
              <w:rPr>
                <w:sz w:val="20"/>
                <w:szCs w:val="20"/>
                <w:vertAlign w:val="superscript"/>
              </w:rPr>
              <w:t>***</w:t>
            </w:r>
          </w:p>
        </w:tc>
        <w:tc>
          <w:tcPr>
            <w:tcW w:w="0" w:type="auto"/>
            <w:tcMar>
              <w:top w:w="15" w:type="dxa"/>
              <w:left w:w="75" w:type="dxa"/>
              <w:bottom w:w="15" w:type="dxa"/>
              <w:right w:w="75" w:type="dxa"/>
            </w:tcMar>
            <w:vAlign w:val="center"/>
            <w:hideMark/>
          </w:tcPr>
          <w:p w14:paraId="2EBA30B3" w14:textId="77777777" w:rsidR="00AF6702" w:rsidRPr="00702882" w:rsidRDefault="00AF6702" w:rsidP="008D265E">
            <w:pPr>
              <w:spacing w:before="150" w:after="150"/>
              <w:contextualSpacing/>
              <w:rPr>
                <w:sz w:val="20"/>
                <w:szCs w:val="20"/>
              </w:rPr>
            </w:pPr>
            <w:r w:rsidRPr="00702882">
              <w:rPr>
                <w:sz w:val="20"/>
                <w:szCs w:val="20"/>
              </w:rPr>
              <w:t>3.80 (1.12)</w:t>
            </w:r>
            <w:r w:rsidRPr="00702882">
              <w:rPr>
                <w:sz w:val="20"/>
                <w:szCs w:val="20"/>
                <w:vertAlign w:val="superscript"/>
              </w:rPr>
              <w:t>***</w:t>
            </w:r>
          </w:p>
        </w:tc>
        <w:tc>
          <w:tcPr>
            <w:tcW w:w="0" w:type="auto"/>
            <w:tcMar>
              <w:top w:w="15" w:type="dxa"/>
              <w:left w:w="75" w:type="dxa"/>
              <w:bottom w:w="15" w:type="dxa"/>
              <w:right w:w="75" w:type="dxa"/>
            </w:tcMar>
            <w:vAlign w:val="center"/>
            <w:hideMark/>
          </w:tcPr>
          <w:p w14:paraId="37EB0D6F" w14:textId="77777777" w:rsidR="00AF6702" w:rsidRPr="00702882" w:rsidRDefault="00AF6702" w:rsidP="008D265E">
            <w:pPr>
              <w:spacing w:before="150" w:after="150"/>
              <w:contextualSpacing/>
              <w:rPr>
                <w:sz w:val="20"/>
                <w:szCs w:val="20"/>
              </w:rPr>
            </w:pPr>
            <w:r w:rsidRPr="00702882">
              <w:rPr>
                <w:sz w:val="20"/>
                <w:szCs w:val="20"/>
              </w:rPr>
              <w:t>2.99 (1.10)</w:t>
            </w:r>
            <w:r w:rsidRPr="00702882">
              <w:rPr>
                <w:sz w:val="20"/>
                <w:szCs w:val="20"/>
                <w:vertAlign w:val="superscript"/>
              </w:rPr>
              <w:t>***</w:t>
            </w:r>
          </w:p>
        </w:tc>
        <w:tc>
          <w:tcPr>
            <w:tcW w:w="0" w:type="auto"/>
            <w:tcMar>
              <w:top w:w="15" w:type="dxa"/>
              <w:left w:w="75" w:type="dxa"/>
              <w:bottom w:w="15" w:type="dxa"/>
              <w:right w:w="75" w:type="dxa"/>
            </w:tcMar>
            <w:vAlign w:val="center"/>
            <w:hideMark/>
          </w:tcPr>
          <w:p w14:paraId="4F6F1CF6" w14:textId="77777777" w:rsidR="00AF6702" w:rsidRPr="00702882" w:rsidRDefault="00AF6702" w:rsidP="008D265E">
            <w:pPr>
              <w:spacing w:before="150" w:after="150"/>
              <w:contextualSpacing/>
              <w:rPr>
                <w:sz w:val="20"/>
                <w:szCs w:val="20"/>
              </w:rPr>
            </w:pPr>
            <w:r w:rsidRPr="00702882">
              <w:rPr>
                <w:sz w:val="20"/>
                <w:szCs w:val="20"/>
              </w:rPr>
              <w:t>3.11 (1.10)</w:t>
            </w:r>
            <w:r w:rsidRPr="00702882">
              <w:rPr>
                <w:sz w:val="20"/>
                <w:szCs w:val="20"/>
                <w:vertAlign w:val="superscript"/>
              </w:rPr>
              <w:t>***</w:t>
            </w:r>
          </w:p>
        </w:tc>
      </w:tr>
      <w:tr w:rsidR="00571D0D" w:rsidRPr="00702882" w14:paraId="56F2006D" w14:textId="77777777" w:rsidTr="00AE6820">
        <w:trPr>
          <w:jc w:val="center"/>
        </w:trPr>
        <w:tc>
          <w:tcPr>
            <w:tcW w:w="0" w:type="auto"/>
            <w:tcMar>
              <w:top w:w="15" w:type="dxa"/>
              <w:left w:w="75" w:type="dxa"/>
              <w:bottom w:w="15" w:type="dxa"/>
              <w:right w:w="75" w:type="dxa"/>
            </w:tcMar>
            <w:vAlign w:val="center"/>
            <w:hideMark/>
          </w:tcPr>
          <w:p w14:paraId="27E3B22B" w14:textId="77777777" w:rsidR="00AF6702" w:rsidRPr="00702882" w:rsidRDefault="00AF6702" w:rsidP="008D265E">
            <w:pPr>
              <w:spacing w:before="150" w:after="150"/>
              <w:contextualSpacing/>
              <w:rPr>
                <w:sz w:val="20"/>
                <w:szCs w:val="20"/>
              </w:rPr>
            </w:pPr>
            <w:r w:rsidRPr="00702882">
              <w:rPr>
                <w:sz w:val="20"/>
                <w:szCs w:val="20"/>
              </w:rPr>
              <w:t>factor(Year)2015</w:t>
            </w:r>
          </w:p>
        </w:tc>
        <w:tc>
          <w:tcPr>
            <w:tcW w:w="0" w:type="auto"/>
            <w:tcMar>
              <w:top w:w="15" w:type="dxa"/>
              <w:left w:w="75" w:type="dxa"/>
              <w:bottom w:w="15" w:type="dxa"/>
              <w:right w:w="75" w:type="dxa"/>
            </w:tcMar>
            <w:vAlign w:val="center"/>
            <w:hideMark/>
          </w:tcPr>
          <w:p w14:paraId="6536E413" w14:textId="77777777" w:rsidR="00AF6702" w:rsidRPr="00702882" w:rsidRDefault="00AF6702" w:rsidP="008D265E">
            <w:pPr>
              <w:spacing w:before="150" w:after="150"/>
              <w:contextualSpacing/>
              <w:rPr>
                <w:sz w:val="20"/>
                <w:szCs w:val="20"/>
              </w:rPr>
            </w:pPr>
            <w:r w:rsidRPr="00702882">
              <w:rPr>
                <w:sz w:val="20"/>
                <w:szCs w:val="20"/>
              </w:rPr>
              <w:t>3.68 (1.18)</w:t>
            </w:r>
            <w:r w:rsidRPr="00702882">
              <w:rPr>
                <w:sz w:val="20"/>
                <w:szCs w:val="20"/>
                <w:vertAlign w:val="superscript"/>
              </w:rPr>
              <w:t>***</w:t>
            </w:r>
          </w:p>
        </w:tc>
        <w:tc>
          <w:tcPr>
            <w:tcW w:w="0" w:type="auto"/>
            <w:tcMar>
              <w:top w:w="15" w:type="dxa"/>
              <w:left w:w="75" w:type="dxa"/>
              <w:bottom w:w="15" w:type="dxa"/>
              <w:right w:w="75" w:type="dxa"/>
            </w:tcMar>
            <w:vAlign w:val="center"/>
            <w:hideMark/>
          </w:tcPr>
          <w:p w14:paraId="05D89F8C" w14:textId="77777777" w:rsidR="00AF6702" w:rsidRPr="00702882" w:rsidRDefault="00AF6702" w:rsidP="008D265E">
            <w:pPr>
              <w:spacing w:before="150" w:after="150"/>
              <w:contextualSpacing/>
              <w:rPr>
                <w:sz w:val="20"/>
                <w:szCs w:val="20"/>
              </w:rPr>
            </w:pPr>
            <w:r w:rsidRPr="00702882">
              <w:rPr>
                <w:sz w:val="20"/>
                <w:szCs w:val="20"/>
              </w:rPr>
              <w:t>3.82 (1.20)</w:t>
            </w:r>
            <w:r w:rsidRPr="00702882">
              <w:rPr>
                <w:sz w:val="20"/>
                <w:szCs w:val="20"/>
                <w:vertAlign w:val="superscript"/>
              </w:rPr>
              <w:t>***</w:t>
            </w:r>
          </w:p>
        </w:tc>
        <w:tc>
          <w:tcPr>
            <w:tcW w:w="0" w:type="auto"/>
            <w:tcMar>
              <w:top w:w="15" w:type="dxa"/>
              <w:left w:w="75" w:type="dxa"/>
              <w:bottom w:w="15" w:type="dxa"/>
              <w:right w:w="75" w:type="dxa"/>
            </w:tcMar>
            <w:vAlign w:val="center"/>
            <w:hideMark/>
          </w:tcPr>
          <w:p w14:paraId="626D6DE3" w14:textId="77777777" w:rsidR="00AF6702" w:rsidRPr="00702882" w:rsidRDefault="00AF6702" w:rsidP="008D265E">
            <w:pPr>
              <w:spacing w:before="150" w:after="150"/>
              <w:contextualSpacing/>
              <w:rPr>
                <w:sz w:val="20"/>
                <w:szCs w:val="20"/>
              </w:rPr>
            </w:pPr>
            <w:r w:rsidRPr="00702882">
              <w:rPr>
                <w:sz w:val="20"/>
                <w:szCs w:val="20"/>
              </w:rPr>
              <w:t>3.06 (1.19)</w:t>
            </w:r>
            <w:r w:rsidRPr="00702882">
              <w:rPr>
                <w:sz w:val="20"/>
                <w:szCs w:val="20"/>
                <w:vertAlign w:val="superscript"/>
              </w:rPr>
              <w:t>***</w:t>
            </w:r>
          </w:p>
        </w:tc>
        <w:tc>
          <w:tcPr>
            <w:tcW w:w="0" w:type="auto"/>
            <w:tcMar>
              <w:top w:w="15" w:type="dxa"/>
              <w:left w:w="75" w:type="dxa"/>
              <w:bottom w:w="15" w:type="dxa"/>
              <w:right w:w="75" w:type="dxa"/>
            </w:tcMar>
            <w:vAlign w:val="center"/>
            <w:hideMark/>
          </w:tcPr>
          <w:p w14:paraId="1B1D87DE" w14:textId="77777777" w:rsidR="00AF6702" w:rsidRPr="00702882" w:rsidRDefault="00AF6702" w:rsidP="008D265E">
            <w:pPr>
              <w:spacing w:before="150" w:after="150"/>
              <w:contextualSpacing/>
              <w:rPr>
                <w:sz w:val="20"/>
                <w:szCs w:val="20"/>
              </w:rPr>
            </w:pPr>
            <w:r w:rsidRPr="00702882">
              <w:rPr>
                <w:sz w:val="20"/>
                <w:szCs w:val="20"/>
              </w:rPr>
              <w:t>3.19 (1.19)</w:t>
            </w:r>
            <w:r w:rsidRPr="00702882">
              <w:rPr>
                <w:sz w:val="20"/>
                <w:szCs w:val="20"/>
                <w:vertAlign w:val="superscript"/>
              </w:rPr>
              <w:t>***</w:t>
            </w:r>
          </w:p>
        </w:tc>
      </w:tr>
      <w:tr w:rsidR="00571D0D" w:rsidRPr="00702882" w14:paraId="1CB450D0" w14:textId="77777777" w:rsidTr="00AE6820">
        <w:trPr>
          <w:jc w:val="center"/>
        </w:trPr>
        <w:tc>
          <w:tcPr>
            <w:tcW w:w="0" w:type="auto"/>
            <w:tcMar>
              <w:top w:w="15" w:type="dxa"/>
              <w:left w:w="75" w:type="dxa"/>
              <w:bottom w:w="15" w:type="dxa"/>
              <w:right w:w="75" w:type="dxa"/>
            </w:tcMar>
            <w:vAlign w:val="center"/>
            <w:hideMark/>
          </w:tcPr>
          <w:p w14:paraId="1D0738F4" w14:textId="77777777" w:rsidR="00AF6702" w:rsidRPr="00702882" w:rsidRDefault="00AF6702" w:rsidP="008D265E">
            <w:pPr>
              <w:spacing w:before="150" w:after="150"/>
              <w:contextualSpacing/>
              <w:rPr>
                <w:sz w:val="20"/>
                <w:szCs w:val="20"/>
              </w:rPr>
            </w:pPr>
            <w:r w:rsidRPr="00702882">
              <w:rPr>
                <w:sz w:val="20"/>
                <w:szCs w:val="20"/>
              </w:rPr>
              <w:t>factor(Year)2016</w:t>
            </w:r>
          </w:p>
        </w:tc>
        <w:tc>
          <w:tcPr>
            <w:tcW w:w="0" w:type="auto"/>
            <w:tcMar>
              <w:top w:w="15" w:type="dxa"/>
              <w:left w:w="75" w:type="dxa"/>
              <w:bottom w:w="15" w:type="dxa"/>
              <w:right w:w="75" w:type="dxa"/>
            </w:tcMar>
            <w:vAlign w:val="center"/>
            <w:hideMark/>
          </w:tcPr>
          <w:p w14:paraId="3920BCF0" w14:textId="77777777" w:rsidR="00AF6702" w:rsidRPr="00702882" w:rsidRDefault="00AF6702" w:rsidP="008D265E">
            <w:pPr>
              <w:spacing w:before="150" w:after="150"/>
              <w:contextualSpacing/>
              <w:rPr>
                <w:sz w:val="20"/>
                <w:szCs w:val="20"/>
              </w:rPr>
            </w:pPr>
            <w:r w:rsidRPr="00702882">
              <w:rPr>
                <w:sz w:val="20"/>
                <w:szCs w:val="20"/>
              </w:rPr>
              <w:t>3.37 (1.22)</w:t>
            </w:r>
            <w:r w:rsidRPr="00702882">
              <w:rPr>
                <w:sz w:val="20"/>
                <w:szCs w:val="20"/>
                <w:vertAlign w:val="superscript"/>
              </w:rPr>
              <w:t>***</w:t>
            </w:r>
          </w:p>
        </w:tc>
        <w:tc>
          <w:tcPr>
            <w:tcW w:w="0" w:type="auto"/>
            <w:tcMar>
              <w:top w:w="15" w:type="dxa"/>
              <w:left w:w="75" w:type="dxa"/>
              <w:bottom w:w="15" w:type="dxa"/>
              <w:right w:w="75" w:type="dxa"/>
            </w:tcMar>
            <w:vAlign w:val="center"/>
            <w:hideMark/>
          </w:tcPr>
          <w:p w14:paraId="37FD03ED" w14:textId="77777777" w:rsidR="00AF6702" w:rsidRPr="00702882" w:rsidRDefault="00AF6702" w:rsidP="008D265E">
            <w:pPr>
              <w:spacing w:before="150" w:after="150"/>
              <w:contextualSpacing/>
              <w:rPr>
                <w:sz w:val="20"/>
                <w:szCs w:val="20"/>
              </w:rPr>
            </w:pPr>
            <w:r w:rsidRPr="00702882">
              <w:rPr>
                <w:sz w:val="20"/>
                <w:szCs w:val="20"/>
              </w:rPr>
              <w:t>3.51 (1.24)</w:t>
            </w:r>
            <w:r w:rsidRPr="00702882">
              <w:rPr>
                <w:sz w:val="20"/>
                <w:szCs w:val="20"/>
                <w:vertAlign w:val="superscript"/>
              </w:rPr>
              <w:t>***</w:t>
            </w:r>
          </w:p>
        </w:tc>
        <w:tc>
          <w:tcPr>
            <w:tcW w:w="0" w:type="auto"/>
            <w:tcMar>
              <w:top w:w="15" w:type="dxa"/>
              <w:left w:w="75" w:type="dxa"/>
              <w:bottom w:w="15" w:type="dxa"/>
              <w:right w:w="75" w:type="dxa"/>
            </w:tcMar>
            <w:vAlign w:val="center"/>
            <w:hideMark/>
          </w:tcPr>
          <w:p w14:paraId="008C728B" w14:textId="77777777" w:rsidR="00AF6702" w:rsidRPr="00702882" w:rsidRDefault="00AF6702" w:rsidP="008D265E">
            <w:pPr>
              <w:spacing w:before="150" w:after="150"/>
              <w:contextualSpacing/>
              <w:rPr>
                <w:sz w:val="20"/>
                <w:szCs w:val="20"/>
              </w:rPr>
            </w:pPr>
            <w:r w:rsidRPr="00702882">
              <w:rPr>
                <w:sz w:val="20"/>
                <w:szCs w:val="20"/>
              </w:rPr>
              <w:t>2.76 (1.22)</w:t>
            </w:r>
            <w:r w:rsidRPr="00702882">
              <w:rPr>
                <w:sz w:val="20"/>
                <w:szCs w:val="20"/>
                <w:vertAlign w:val="superscript"/>
              </w:rPr>
              <w:t>**</w:t>
            </w:r>
          </w:p>
        </w:tc>
        <w:tc>
          <w:tcPr>
            <w:tcW w:w="0" w:type="auto"/>
            <w:tcMar>
              <w:top w:w="15" w:type="dxa"/>
              <w:left w:w="75" w:type="dxa"/>
              <w:bottom w:w="15" w:type="dxa"/>
              <w:right w:w="75" w:type="dxa"/>
            </w:tcMar>
            <w:vAlign w:val="center"/>
            <w:hideMark/>
          </w:tcPr>
          <w:p w14:paraId="2712F100" w14:textId="77777777" w:rsidR="00AF6702" w:rsidRPr="00702882" w:rsidRDefault="00AF6702" w:rsidP="008D265E">
            <w:pPr>
              <w:spacing w:before="150" w:after="150"/>
              <w:contextualSpacing/>
              <w:rPr>
                <w:sz w:val="20"/>
                <w:szCs w:val="20"/>
              </w:rPr>
            </w:pPr>
            <w:r w:rsidRPr="00702882">
              <w:rPr>
                <w:sz w:val="20"/>
                <w:szCs w:val="20"/>
              </w:rPr>
              <w:t>2.89 (1.23)</w:t>
            </w:r>
            <w:r w:rsidRPr="00702882">
              <w:rPr>
                <w:sz w:val="20"/>
                <w:szCs w:val="20"/>
                <w:vertAlign w:val="superscript"/>
              </w:rPr>
              <w:t>**</w:t>
            </w:r>
          </w:p>
        </w:tc>
      </w:tr>
      <w:tr w:rsidR="00571D0D" w:rsidRPr="00702882" w14:paraId="1FD57314" w14:textId="77777777" w:rsidTr="00AE6820">
        <w:trPr>
          <w:jc w:val="center"/>
        </w:trPr>
        <w:tc>
          <w:tcPr>
            <w:tcW w:w="0" w:type="auto"/>
            <w:tcMar>
              <w:top w:w="15" w:type="dxa"/>
              <w:left w:w="75" w:type="dxa"/>
              <w:bottom w:w="15" w:type="dxa"/>
              <w:right w:w="75" w:type="dxa"/>
            </w:tcMar>
            <w:vAlign w:val="center"/>
            <w:hideMark/>
          </w:tcPr>
          <w:p w14:paraId="4C8D094D" w14:textId="77777777" w:rsidR="00AF6702" w:rsidRPr="00702882" w:rsidRDefault="00AF6702" w:rsidP="008D265E">
            <w:pPr>
              <w:spacing w:before="150" w:after="150"/>
              <w:contextualSpacing/>
              <w:rPr>
                <w:sz w:val="20"/>
                <w:szCs w:val="20"/>
              </w:rPr>
            </w:pPr>
            <w:r w:rsidRPr="00702882">
              <w:rPr>
                <w:sz w:val="20"/>
                <w:szCs w:val="20"/>
              </w:rPr>
              <w:t>factor(Year)2017</w:t>
            </w:r>
          </w:p>
        </w:tc>
        <w:tc>
          <w:tcPr>
            <w:tcW w:w="0" w:type="auto"/>
            <w:tcMar>
              <w:top w:w="15" w:type="dxa"/>
              <w:left w:w="75" w:type="dxa"/>
              <w:bottom w:w="15" w:type="dxa"/>
              <w:right w:w="75" w:type="dxa"/>
            </w:tcMar>
            <w:vAlign w:val="center"/>
            <w:hideMark/>
          </w:tcPr>
          <w:p w14:paraId="59AAA6FA" w14:textId="77777777" w:rsidR="00AF6702" w:rsidRPr="00702882" w:rsidRDefault="00AF6702" w:rsidP="008D265E">
            <w:pPr>
              <w:spacing w:before="150" w:after="150"/>
              <w:contextualSpacing/>
              <w:rPr>
                <w:sz w:val="20"/>
                <w:szCs w:val="20"/>
              </w:rPr>
            </w:pPr>
            <w:r w:rsidRPr="00702882">
              <w:rPr>
                <w:sz w:val="20"/>
                <w:szCs w:val="20"/>
              </w:rPr>
              <w:t>2.98 (1.29)</w:t>
            </w:r>
            <w:r w:rsidRPr="00702882">
              <w:rPr>
                <w:sz w:val="20"/>
                <w:szCs w:val="20"/>
                <w:vertAlign w:val="superscript"/>
              </w:rPr>
              <w:t>**</w:t>
            </w:r>
          </w:p>
        </w:tc>
        <w:tc>
          <w:tcPr>
            <w:tcW w:w="0" w:type="auto"/>
            <w:tcMar>
              <w:top w:w="15" w:type="dxa"/>
              <w:left w:w="75" w:type="dxa"/>
              <w:bottom w:w="15" w:type="dxa"/>
              <w:right w:w="75" w:type="dxa"/>
            </w:tcMar>
            <w:vAlign w:val="center"/>
            <w:hideMark/>
          </w:tcPr>
          <w:p w14:paraId="02D49872" w14:textId="77777777" w:rsidR="00AF6702" w:rsidRPr="00702882" w:rsidRDefault="00AF6702" w:rsidP="008D265E">
            <w:pPr>
              <w:spacing w:before="150" w:after="150"/>
              <w:contextualSpacing/>
              <w:rPr>
                <w:sz w:val="20"/>
                <w:szCs w:val="20"/>
              </w:rPr>
            </w:pPr>
            <w:r w:rsidRPr="00702882">
              <w:rPr>
                <w:sz w:val="20"/>
                <w:szCs w:val="20"/>
              </w:rPr>
              <w:t>3.18 (1.32)</w:t>
            </w:r>
            <w:r w:rsidRPr="00702882">
              <w:rPr>
                <w:sz w:val="20"/>
                <w:szCs w:val="20"/>
                <w:vertAlign w:val="superscript"/>
              </w:rPr>
              <w:t>**</w:t>
            </w:r>
          </w:p>
        </w:tc>
        <w:tc>
          <w:tcPr>
            <w:tcW w:w="0" w:type="auto"/>
            <w:tcMar>
              <w:top w:w="15" w:type="dxa"/>
              <w:left w:w="75" w:type="dxa"/>
              <w:bottom w:w="15" w:type="dxa"/>
              <w:right w:w="75" w:type="dxa"/>
            </w:tcMar>
            <w:vAlign w:val="center"/>
            <w:hideMark/>
          </w:tcPr>
          <w:p w14:paraId="30E8F5CD" w14:textId="77777777" w:rsidR="00AF6702" w:rsidRPr="00702882" w:rsidRDefault="00AF6702" w:rsidP="008D265E">
            <w:pPr>
              <w:spacing w:before="150" w:after="150"/>
              <w:contextualSpacing/>
              <w:rPr>
                <w:sz w:val="20"/>
                <w:szCs w:val="20"/>
              </w:rPr>
            </w:pPr>
            <w:r w:rsidRPr="00702882">
              <w:rPr>
                <w:sz w:val="20"/>
                <w:szCs w:val="20"/>
              </w:rPr>
              <w:t>2.47 (1.29)</w:t>
            </w:r>
            <w:r w:rsidRPr="00702882">
              <w:rPr>
                <w:sz w:val="20"/>
                <w:szCs w:val="20"/>
                <w:vertAlign w:val="superscript"/>
              </w:rPr>
              <w:t>*</w:t>
            </w:r>
          </w:p>
        </w:tc>
        <w:tc>
          <w:tcPr>
            <w:tcW w:w="0" w:type="auto"/>
            <w:tcMar>
              <w:top w:w="15" w:type="dxa"/>
              <w:left w:w="75" w:type="dxa"/>
              <w:bottom w:w="15" w:type="dxa"/>
              <w:right w:w="75" w:type="dxa"/>
            </w:tcMar>
            <w:vAlign w:val="center"/>
            <w:hideMark/>
          </w:tcPr>
          <w:p w14:paraId="742A8FA4" w14:textId="77777777" w:rsidR="00AF6702" w:rsidRPr="00702882" w:rsidRDefault="00AF6702" w:rsidP="008D265E">
            <w:pPr>
              <w:spacing w:before="150" w:after="150"/>
              <w:contextualSpacing/>
              <w:rPr>
                <w:sz w:val="20"/>
                <w:szCs w:val="20"/>
              </w:rPr>
            </w:pPr>
            <w:r w:rsidRPr="00702882">
              <w:rPr>
                <w:sz w:val="20"/>
                <w:szCs w:val="20"/>
              </w:rPr>
              <w:t>2.61 (1.29)</w:t>
            </w:r>
            <w:r w:rsidRPr="00702882">
              <w:rPr>
                <w:sz w:val="20"/>
                <w:szCs w:val="20"/>
                <w:vertAlign w:val="superscript"/>
              </w:rPr>
              <w:t>**</w:t>
            </w:r>
          </w:p>
        </w:tc>
      </w:tr>
      <w:tr w:rsidR="00571D0D" w:rsidRPr="00702882" w14:paraId="38C64928" w14:textId="77777777" w:rsidTr="00AE6820">
        <w:trPr>
          <w:jc w:val="center"/>
        </w:trPr>
        <w:tc>
          <w:tcPr>
            <w:tcW w:w="0" w:type="auto"/>
            <w:tcMar>
              <w:top w:w="15" w:type="dxa"/>
              <w:left w:w="75" w:type="dxa"/>
              <w:bottom w:w="15" w:type="dxa"/>
              <w:right w:w="75" w:type="dxa"/>
            </w:tcMar>
            <w:vAlign w:val="center"/>
            <w:hideMark/>
          </w:tcPr>
          <w:p w14:paraId="5AAC7A57" w14:textId="77777777" w:rsidR="00AF6702" w:rsidRPr="00702882" w:rsidRDefault="00AF6702" w:rsidP="008D265E">
            <w:pPr>
              <w:spacing w:before="150" w:after="150"/>
              <w:contextualSpacing/>
              <w:rPr>
                <w:sz w:val="20"/>
                <w:szCs w:val="20"/>
              </w:rPr>
            </w:pPr>
            <w:r w:rsidRPr="00702882">
              <w:rPr>
                <w:sz w:val="20"/>
                <w:szCs w:val="20"/>
              </w:rPr>
              <w:t>factor(Year)2018</w:t>
            </w:r>
          </w:p>
        </w:tc>
        <w:tc>
          <w:tcPr>
            <w:tcW w:w="0" w:type="auto"/>
            <w:tcMar>
              <w:top w:w="15" w:type="dxa"/>
              <w:left w:w="75" w:type="dxa"/>
              <w:bottom w:w="15" w:type="dxa"/>
              <w:right w:w="75" w:type="dxa"/>
            </w:tcMar>
            <w:vAlign w:val="center"/>
            <w:hideMark/>
          </w:tcPr>
          <w:p w14:paraId="25DE3EAA" w14:textId="77777777" w:rsidR="00AF6702" w:rsidRPr="00702882" w:rsidRDefault="00AF6702" w:rsidP="008D265E">
            <w:pPr>
              <w:spacing w:before="150" w:after="150"/>
              <w:contextualSpacing/>
              <w:rPr>
                <w:sz w:val="20"/>
                <w:szCs w:val="20"/>
              </w:rPr>
            </w:pPr>
            <w:r w:rsidRPr="00702882">
              <w:rPr>
                <w:sz w:val="20"/>
                <w:szCs w:val="20"/>
              </w:rPr>
              <w:t>3.73 (1.41)</w:t>
            </w:r>
            <w:r w:rsidRPr="00702882">
              <w:rPr>
                <w:sz w:val="20"/>
                <w:szCs w:val="20"/>
                <w:vertAlign w:val="superscript"/>
              </w:rPr>
              <w:t>***</w:t>
            </w:r>
          </w:p>
        </w:tc>
        <w:tc>
          <w:tcPr>
            <w:tcW w:w="0" w:type="auto"/>
            <w:tcMar>
              <w:top w:w="15" w:type="dxa"/>
              <w:left w:w="75" w:type="dxa"/>
              <w:bottom w:w="15" w:type="dxa"/>
              <w:right w:w="75" w:type="dxa"/>
            </w:tcMar>
            <w:vAlign w:val="center"/>
            <w:hideMark/>
          </w:tcPr>
          <w:p w14:paraId="5A16B82D" w14:textId="77777777" w:rsidR="00AF6702" w:rsidRPr="00702882" w:rsidRDefault="00AF6702" w:rsidP="008D265E">
            <w:pPr>
              <w:spacing w:before="150" w:after="150"/>
              <w:contextualSpacing/>
              <w:rPr>
                <w:sz w:val="20"/>
                <w:szCs w:val="20"/>
              </w:rPr>
            </w:pPr>
            <w:r w:rsidRPr="00702882">
              <w:rPr>
                <w:sz w:val="20"/>
                <w:szCs w:val="20"/>
              </w:rPr>
              <w:t>3.93 (1.45)</w:t>
            </w:r>
            <w:r w:rsidRPr="00702882">
              <w:rPr>
                <w:sz w:val="20"/>
                <w:szCs w:val="20"/>
                <w:vertAlign w:val="superscript"/>
              </w:rPr>
              <w:t>***</w:t>
            </w:r>
          </w:p>
        </w:tc>
        <w:tc>
          <w:tcPr>
            <w:tcW w:w="0" w:type="auto"/>
            <w:tcMar>
              <w:top w:w="15" w:type="dxa"/>
              <w:left w:w="75" w:type="dxa"/>
              <w:bottom w:w="15" w:type="dxa"/>
              <w:right w:w="75" w:type="dxa"/>
            </w:tcMar>
            <w:vAlign w:val="center"/>
            <w:hideMark/>
          </w:tcPr>
          <w:p w14:paraId="34A48DEF" w14:textId="77777777" w:rsidR="00AF6702" w:rsidRPr="00702882" w:rsidRDefault="00AF6702" w:rsidP="008D265E">
            <w:pPr>
              <w:spacing w:before="150" w:after="150"/>
              <w:contextualSpacing/>
              <w:rPr>
                <w:sz w:val="20"/>
                <w:szCs w:val="20"/>
              </w:rPr>
            </w:pPr>
            <w:r w:rsidRPr="00702882">
              <w:rPr>
                <w:sz w:val="20"/>
                <w:szCs w:val="20"/>
              </w:rPr>
              <w:t>3.15 (1.42)</w:t>
            </w:r>
            <w:r w:rsidRPr="00702882">
              <w:rPr>
                <w:sz w:val="20"/>
                <w:szCs w:val="20"/>
                <w:vertAlign w:val="superscript"/>
              </w:rPr>
              <w:t>**</w:t>
            </w:r>
          </w:p>
        </w:tc>
        <w:tc>
          <w:tcPr>
            <w:tcW w:w="0" w:type="auto"/>
            <w:tcMar>
              <w:top w:w="15" w:type="dxa"/>
              <w:left w:w="75" w:type="dxa"/>
              <w:bottom w:w="15" w:type="dxa"/>
              <w:right w:w="75" w:type="dxa"/>
            </w:tcMar>
            <w:vAlign w:val="center"/>
            <w:hideMark/>
          </w:tcPr>
          <w:p w14:paraId="27E5DFC5" w14:textId="77777777" w:rsidR="00AF6702" w:rsidRPr="00702882" w:rsidRDefault="00AF6702" w:rsidP="008D265E">
            <w:pPr>
              <w:spacing w:before="150" w:after="150"/>
              <w:contextualSpacing/>
              <w:rPr>
                <w:sz w:val="20"/>
                <w:szCs w:val="20"/>
              </w:rPr>
            </w:pPr>
            <w:r w:rsidRPr="00702882">
              <w:rPr>
                <w:sz w:val="20"/>
                <w:szCs w:val="20"/>
              </w:rPr>
              <w:t>3.31 (1.42)</w:t>
            </w:r>
            <w:r w:rsidRPr="00702882">
              <w:rPr>
                <w:sz w:val="20"/>
                <w:szCs w:val="20"/>
                <w:vertAlign w:val="superscript"/>
              </w:rPr>
              <w:t>**</w:t>
            </w:r>
          </w:p>
        </w:tc>
      </w:tr>
      <w:tr w:rsidR="00571D0D" w:rsidRPr="00702882" w14:paraId="60DE3059" w14:textId="77777777" w:rsidTr="00AE6820">
        <w:trPr>
          <w:jc w:val="center"/>
        </w:trPr>
        <w:tc>
          <w:tcPr>
            <w:tcW w:w="0" w:type="auto"/>
            <w:tcMar>
              <w:top w:w="15" w:type="dxa"/>
              <w:left w:w="75" w:type="dxa"/>
              <w:bottom w:w="15" w:type="dxa"/>
              <w:right w:w="75" w:type="dxa"/>
            </w:tcMar>
            <w:vAlign w:val="center"/>
            <w:hideMark/>
          </w:tcPr>
          <w:p w14:paraId="29F14D0A" w14:textId="77777777" w:rsidR="00AF6702" w:rsidRPr="00702882" w:rsidRDefault="00AF6702" w:rsidP="008D265E">
            <w:pPr>
              <w:spacing w:before="150" w:after="150"/>
              <w:contextualSpacing/>
              <w:rPr>
                <w:sz w:val="20"/>
                <w:szCs w:val="20"/>
              </w:rPr>
            </w:pPr>
            <w:r w:rsidRPr="00702882">
              <w:rPr>
                <w:sz w:val="20"/>
                <w:szCs w:val="20"/>
              </w:rPr>
              <w:t>factor(Year)2019</w:t>
            </w:r>
          </w:p>
        </w:tc>
        <w:tc>
          <w:tcPr>
            <w:tcW w:w="0" w:type="auto"/>
            <w:tcMar>
              <w:top w:w="15" w:type="dxa"/>
              <w:left w:w="75" w:type="dxa"/>
              <w:bottom w:w="15" w:type="dxa"/>
              <w:right w:w="75" w:type="dxa"/>
            </w:tcMar>
            <w:vAlign w:val="center"/>
            <w:hideMark/>
          </w:tcPr>
          <w:p w14:paraId="29253361" w14:textId="77777777" w:rsidR="00AF6702" w:rsidRPr="00702882" w:rsidRDefault="00AF6702" w:rsidP="008D265E">
            <w:pPr>
              <w:spacing w:before="150" w:after="150"/>
              <w:contextualSpacing/>
              <w:rPr>
                <w:sz w:val="20"/>
                <w:szCs w:val="20"/>
              </w:rPr>
            </w:pPr>
            <w:r w:rsidRPr="00702882">
              <w:rPr>
                <w:sz w:val="20"/>
                <w:szCs w:val="20"/>
              </w:rPr>
              <w:t>5.44 (1.41)</w:t>
            </w:r>
            <w:r w:rsidRPr="00702882">
              <w:rPr>
                <w:sz w:val="20"/>
                <w:szCs w:val="20"/>
                <w:vertAlign w:val="superscript"/>
              </w:rPr>
              <w:t>***</w:t>
            </w:r>
          </w:p>
        </w:tc>
        <w:tc>
          <w:tcPr>
            <w:tcW w:w="0" w:type="auto"/>
            <w:tcMar>
              <w:top w:w="15" w:type="dxa"/>
              <w:left w:w="75" w:type="dxa"/>
              <w:bottom w:w="15" w:type="dxa"/>
              <w:right w:w="75" w:type="dxa"/>
            </w:tcMar>
            <w:vAlign w:val="center"/>
            <w:hideMark/>
          </w:tcPr>
          <w:p w14:paraId="1330D34D" w14:textId="77777777" w:rsidR="00AF6702" w:rsidRPr="00702882" w:rsidRDefault="00AF6702" w:rsidP="008D265E">
            <w:pPr>
              <w:spacing w:before="150" w:after="150"/>
              <w:contextualSpacing/>
              <w:rPr>
                <w:sz w:val="20"/>
                <w:szCs w:val="20"/>
              </w:rPr>
            </w:pPr>
            <w:r w:rsidRPr="00702882">
              <w:rPr>
                <w:sz w:val="20"/>
                <w:szCs w:val="20"/>
              </w:rPr>
              <w:t>5.71 (1.48)</w:t>
            </w:r>
            <w:r w:rsidRPr="00702882">
              <w:rPr>
                <w:sz w:val="20"/>
                <w:szCs w:val="20"/>
                <w:vertAlign w:val="superscript"/>
              </w:rPr>
              <w:t>***</w:t>
            </w:r>
          </w:p>
        </w:tc>
        <w:tc>
          <w:tcPr>
            <w:tcW w:w="0" w:type="auto"/>
            <w:tcMar>
              <w:top w:w="15" w:type="dxa"/>
              <w:left w:w="75" w:type="dxa"/>
              <w:bottom w:w="15" w:type="dxa"/>
              <w:right w:w="75" w:type="dxa"/>
            </w:tcMar>
            <w:vAlign w:val="center"/>
            <w:hideMark/>
          </w:tcPr>
          <w:p w14:paraId="5326FA40" w14:textId="77777777" w:rsidR="00AF6702" w:rsidRPr="00702882" w:rsidRDefault="00AF6702" w:rsidP="008D265E">
            <w:pPr>
              <w:spacing w:before="150" w:after="150"/>
              <w:contextualSpacing/>
              <w:rPr>
                <w:sz w:val="20"/>
                <w:szCs w:val="20"/>
              </w:rPr>
            </w:pPr>
            <w:r w:rsidRPr="00702882">
              <w:rPr>
                <w:sz w:val="20"/>
                <w:szCs w:val="20"/>
              </w:rPr>
              <w:t>4.93 (1.44)</w:t>
            </w:r>
            <w:r w:rsidRPr="00702882">
              <w:rPr>
                <w:sz w:val="20"/>
                <w:szCs w:val="20"/>
                <w:vertAlign w:val="superscript"/>
              </w:rPr>
              <w:t>***</w:t>
            </w:r>
          </w:p>
        </w:tc>
        <w:tc>
          <w:tcPr>
            <w:tcW w:w="0" w:type="auto"/>
            <w:tcMar>
              <w:top w:w="15" w:type="dxa"/>
              <w:left w:w="75" w:type="dxa"/>
              <w:bottom w:w="15" w:type="dxa"/>
              <w:right w:w="75" w:type="dxa"/>
            </w:tcMar>
            <w:vAlign w:val="center"/>
            <w:hideMark/>
          </w:tcPr>
          <w:p w14:paraId="195B5BD1" w14:textId="77777777" w:rsidR="00AF6702" w:rsidRPr="00702882" w:rsidRDefault="00AF6702" w:rsidP="008D265E">
            <w:pPr>
              <w:spacing w:before="150" w:after="150"/>
              <w:contextualSpacing/>
              <w:rPr>
                <w:sz w:val="20"/>
                <w:szCs w:val="20"/>
              </w:rPr>
            </w:pPr>
            <w:r w:rsidRPr="00702882">
              <w:rPr>
                <w:sz w:val="20"/>
                <w:szCs w:val="20"/>
              </w:rPr>
              <w:t>5.07 (1.44)</w:t>
            </w:r>
            <w:r w:rsidRPr="00702882">
              <w:rPr>
                <w:sz w:val="20"/>
                <w:szCs w:val="20"/>
                <w:vertAlign w:val="superscript"/>
              </w:rPr>
              <w:t>***</w:t>
            </w:r>
          </w:p>
        </w:tc>
      </w:tr>
      <w:tr w:rsidR="00571D0D" w:rsidRPr="00702882" w14:paraId="14D5AFEB" w14:textId="77777777" w:rsidTr="00AE6820">
        <w:trPr>
          <w:jc w:val="center"/>
        </w:trPr>
        <w:tc>
          <w:tcPr>
            <w:tcW w:w="0" w:type="auto"/>
            <w:tcMar>
              <w:top w:w="15" w:type="dxa"/>
              <w:left w:w="75" w:type="dxa"/>
              <w:bottom w:w="15" w:type="dxa"/>
              <w:right w:w="75" w:type="dxa"/>
            </w:tcMar>
            <w:vAlign w:val="center"/>
            <w:hideMark/>
          </w:tcPr>
          <w:p w14:paraId="46F1B4DA" w14:textId="77777777" w:rsidR="00AF6702" w:rsidRPr="00702882" w:rsidRDefault="00AF6702" w:rsidP="008D265E">
            <w:pPr>
              <w:spacing w:before="150" w:after="150"/>
              <w:contextualSpacing/>
              <w:rPr>
                <w:sz w:val="20"/>
                <w:szCs w:val="20"/>
              </w:rPr>
            </w:pPr>
            <w:r w:rsidRPr="00702882">
              <w:rPr>
                <w:sz w:val="20"/>
                <w:szCs w:val="20"/>
              </w:rPr>
              <w:t>factor(Year)2020</w:t>
            </w:r>
          </w:p>
        </w:tc>
        <w:tc>
          <w:tcPr>
            <w:tcW w:w="0" w:type="auto"/>
            <w:tcMar>
              <w:top w:w="15" w:type="dxa"/>
              <w:left w:w="75" w:type="dxa"/>
              <w:bottom w:w="15" w:type="dxa"/>
              <w:right w:w="75" w:type="dxa"/>
            </w:tcMar>
            <w:vAlign w:val="center"/>
            <w:hideMark/>
          </w:tcPr>
          <w:p w14:paraId="41B3E5F6" w14:textId="77777777" w:rsidR="00AF6702" w:rsidRPr="00702882" w:rsidRDefault="00AF6702" w:rsidP="008D265E">
            <w:pPr>
              <w:spacing w:before="150" w:after="150"/>
              <w:contextualSpacing/>
              <w:rPr>
                <w:sz w:val="20"/>
                <w:szCs w:val="20"/>
              </w:rPr>
            </w:pPr>
            <w:r w:rsidRPr="00702882">
              <w:rPr>
                <w:sz w:val="20"/>
                <w:szCs w:val="20"/>
              </w:rPr>
              <w:t>9.38 (1.73)</w:t>
            </w:r>
            <w:r w:rsidRPr="00702882">
              <w:rPr>
                <w:sz w:val="20"/>
                <w:szCs w:val="20"/>
                <w:vertAlign w:val="superscript"/>
              </w:rPr>
              <w:t>***</w:t>
            </w:r>
          </w:p>
        </w:tc>
        <w:tc>
          <w:tcPr>
            <w:tcW w:w="0" w:type="auto"/>
            <w:tcMar>
              <w:top w:w="15" w:type="dxa"/>
              <w:left w:w="75" w:type="dxa"/>
              <w:bottom w:w="15" w:type="dxa"/>
              <w:right w:w="75" w:type="dxa"/>
            </w:tcMar>
            <w:vAlign w:val="center"/>
            <w:hideMark/>
          </w:tcPr>
          <w:p w14:paraId="2D89F53F" w14:textId="77777777" w:rsidR="00AF6702" w:rsidRPr="00702882" w:rsidRDefault="00AF6702" w:rsidP="008D265E">
            <w:pPr>
              <w:spacing w:before="150" w:after="150"/>
              <w:contextualSpacing/>
              <w:rPr>
                <w:sz w:val="20"/>
                <w:szCs w:val="20"/>
              </w:rPr>
            </w:pPr>
            <w:r w:rsidRPr="00702882">
              <w:rPr>
                <w:sz w:val="20"/>
                <w:szCs w:val="20"/>
              </w:rPr>
              <w:t>9.54 (1.77)</w:t>
            </w:r>
            <w:r w:rsidRPr="00702882">
              <w:rPr>
                <w:sz w:val="20"/>
                <w:szCs w:val="20"/>
                <w:vertAlign w:val="superscript"/>
              </w:rPr>
              <w:t>***</w:t>
            </w:r>
          </w:p>
        </w:tc>
        <w:tc>
          <w:tcPr>
            <w:tcW w:w="0" w:type="auto"/>
            <w:tcMar>
              <w:top w:w="15" w:type="dxa"/>
              <w:left w:w="75" w:type="dxa"/>
              <w:bottom w:w="15" w:type="dxa"/>
              <w:right w:w="75" w:type="dxa"/>
            </w:tcMar>
            <w:vAlign w:val="center"/>
            <w:hideMark/>
          </w:tcPr>
          <w:p w14:paraId="2092346D" w14:textId="77777777" w:rsidR="00AF6702" w:rsidRPr="00702882" w:rsidRDefault="00AF6702" w:rsidP="008D265E">
            <w:pPr>
              <w:spacing w:before="150" w:after="150"/>
              <w:contextualSpacing/>
              <w:rPr>
                <w:sz w:val="20"/>
                <w:szCs w:val="20"/>
              </w:rPr>
            </w:pPr>
            <w:r w:rsidRPr="00702882">
              <w:rPr>
                <w:sz w:val="20"/>
                <w:szCs w:val="20"/>
              </w:rPr>
              <w:t>8.48 (1.70)</w:t>
            </w:r>
            <w:r w:rsidRPr="00702882">
              <w:rPr>
                <w:sz w:val="20"/>
                <w:szCs w:val="20"/>
                <w:vertAlign w:val="superscript"/>
              </w:rPr>
              <w:t>***</w:t>
            </w:r>
          </w:p>
        </w:tc>
        <w:tc>
          <w:tcPr>
            <w:tcW w:w="0" w:type="auto"/>
            <w:tcMar>
              <w:top w:w="15" w:type="dxa"/>
              <w:left w:w="75" w:type="dxa"/>
              <w:bottom w:w="15" w:type="dxa"/>
              <w:right w:w="75" w:type="dxa"/>
            </w:tcMar>
            <w:vAlign w:val="center"/>
            <w:hideMark/>
          </w:tcPr>
          <w:p w14:paraId="23F1F877" w14:textId="77777777" w:rsidR="00AF6702" w:rsidRPr="00702882" w:rsidRDefault="00AF6702" w:rsidP="008D265E">
            <w:pPr>
              <w:spacing w:before="150" w:after="150"/>
              <w:contextualSpacing/>
              <w:rPr>
                <w:sz w:val="20"/>
                <w:szCs w:val="20"/>
              </w:rPr>
            </w:pPr>
            <w:r w:rsidRPr="00702882">
              <w:rPr>
                <w:sz w:val="20"/>
                <w:szCs w:val="20"/>
              </w:rPr>
              <w:t>8.71 (1.70)</w:t>
            </w:r>
            <w:r w:rsidRPr="00702882">
              <w:rPr>
                <w:sz w:val="20"/>
                <w:szCs w:val="20"/>
                <w:vertAlign w:val="superscript"/>
              </w:rPr>
              <w:t>***</w:t>
            </w:r>
          </w:p>
        </w:tc>
      </w:tr>
      <w:tr w:rsidR="00571D0D" w:rsidRPr="00702882" w14:paraId="1AC02947" w14:textId="77777777" w:rsidTr="00AE6820">
        <w:trPr>
          <w:jc w:val="center"/>
        </w:trPr>
        <w:tc>
          <w:tcPr>
            <w:tcW w:w="0" w:type="auto"/>
            <w:tcMar>
              <w:top w:w="15" w:type="dxa"/>
              <w:left w:w="75" w:type="dxa"/>
              <w:bottom w:w="15" w:type="dxa"/>
              <w:right w:w="75" w:type="dxa"/>
            </w:tcMar>
            <w:vAlign w:val="center"/>
            <w:hideMark/>
          </w:tcPr>
          <w:p w14:paraId="64CA972C" w14:textId="77777777" w:rsidR="00AF6702" w:rsidRPr="00702882" w:rsidRDefault="00AF6702" w:rsidP="008D265E">
            <w:pPr>
              <w:spacing w:before="150" w:after="150"/>
              <w:contextualSpacing/>
              <w:rPr>
                <w:sz w:val="20"/>
                <w:szCs w:val="20"/>
              </w:rPr>
            </w:pPr>
            <w:r w:rsidRPr="00702882">
              <w:rPr>
                <w:sz w:val="20"/>
                <w:szCs w:val="20"/>
              </w:rPr>
              <w:lastRenderedPageBreak/>
              <w:t>Number:Unemployment</w:t>
            </w:r>
          </w:p>
        </w:tc>
        <w:tc>
          <w:tcPr>
            <w:tcW w:w="0" w:type="auto"/>
            <w:tcMar>
              <w:top w:w="15" w:type="dxa"/>
              <w:left w:w="75" w:type="dxa"/>
              <w:bottom w:w="15" w:type="dxa"/>
              <w:right w:w="75" w:type="dxa"/>
            </w:tcMar>
            <w:vAlign w:val="center"/>
            <w:hideMark/>
          </w:tcPr>
          <w:p w14:paraId="4B1653CB"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299604C" w14:textId="77777777" w:rsidR="00AF6702" w:rsidRPr="00702882" w:rsidRDefault="00AF6702" w:rsidP="008D265E">
            <w:pPr>
              <w:spacing w:before="150" w:after="150"/>
              <w:contextualSpacing/>
              <w:rPr>
                <w:sz w:val="20"/>
                <w:szCs w:val="20"/>
              </w:rPr>
            </w:pPr>
            <w:r w:rsidRPr="00702882">
              <w:rPr>
                <w:sz w:val="20"/>
                <w:szCs w:val="20"/>
              </w:rPr>
              <w:t>0.48 (0.17)</w:t>
            </w:r>
            <w:r w:rsidRPr="00702882">
              <w:rPr>
                <w:sz w:val="20"/>
                <w:szCs w:val="20"/>
                <w:vertAlign w:val="superscript"/>
              </w:rPr>
              <w:t>***</w:t>
            </w:r>
          </w:p>
        </w:tc>
        <w:tc>
          <w:tcPr>
            <w:tcW w:w="0" w:type="auto"/>
            <w:tcMar>
              <w:top w:w="15" w:type="dxa"/>
              <w:left w:w="75" w:type="dxa"/>
              <w:bottom w:w="15" w:type="dxa"/>
              <w:right w:w="75" w:type="dxa"/>
            </w:tcMar>
            <w:vAlign w:val="center"/>
            <w:hideMark/>
          </w:tcPr>
          <w:p w14:paraId="41101D60" w14:textId="77777777" w:rsidR="00AF6702" w:rsidRPr="00702882" w:rsidRDefault="00AF6702" w:rsidP="008D265E">
            <w:pPr>
              <w:spacing w:before="150" w:after="150"/>
              <w:contextualSpacing/>
              <w:rPr>
                <w:sz w:val="20"/>
                <w:szCs w:val="20"/>
              </w:rPr>
            </w:pPr>
            <w:r w:rsidRPr="00702882">
              <w:rPr>
                <w:sz w:val="20"/>
                <w:szCs w:val="20"/>
              </w:rPr>
              <w:t>0.37 (0.16)</w:t>
            </w:r>
            <w:r w:rsidRPr="00702882">
              <w:rPr>
                <w:sz w:val="20"/>
                <w:szCs w:val="20"/>
                <w:vertAlign w:val="superscript"/>
              </w:rPr>
              <w:t>**</w:t>
            </w:r>
          </w:p>
        </w:tc>
        <w:tc>
          <w:tcPr>
            <w:tcW w:w="0" w:type="auto"/>
            <w:tcMar>
              <w:top w:w="15" w:type="dxa"/>
              <w:left w:w="75" w:type="dxa"/>
              <w:bottom w:w="15" w:type="dxa"/>
              <w:right w:w="75" w:type="dxa"/>
            </w:tcMar>
            <w:vAlign w:val="center"/>
            <w:hideMark/>
          </w:tcPr>
          <w:p w14:paraId="2243B695" w14:textId="77777777" w:rsidR="00AF6702" w:rsidRPr="00702882" w:rsidRDefault="00AF6702" w:rsidP="008D265E">
            <w:pPr>
              <w:spacing w:before="150" w:after="150"/>
              <w:contextualSpacing/>
              <w:rPr>
                <w:sz w:val="20"/>
                <w:szCs w:val="20"/>
              </w:rPr>
            </w:pPr>
            <w:r w:rsidRPr="00702882">
              <w:rPr>
                <w:sz w:val="20"/>
                <w:szCs w:val="20"/>
              </w:rPr>
              <w:t>0.35 (0.16)</w:t>
            </w:r>
            <w:r w:rsidRPr="00702882">
              <w:rPr>
                <w:sz w:val="20"/>
                <w:szCs w:val="20"/>
                <w:vertAlign w:val="superscript"/>
              </w:rPr>
              <w:t>**</w:t>
            </w:r>
          </w:p>
        </w:tc>
      </w:tr>
      <w:tr w:rsidR="00571D0D" w:rsidRPr="00702882" w14:paraId="03A46BF4" w14:textId="77777777" w:rsidTr="00AE6820">
        <w:trPr>
          <w:jc w:val="center"/>
        </w:trPr>
        <w:tc>
          <w:tcPr>
            <w:tcW w:w="0" w:type="auto"/>
            <w:tcMar>
              <w:top w:w="15" w:type="dxa"/>
              <w:left w:w="75" w:type="dxa"/>
              <w:bottom w:w="15" w:type="dxa"/>
              <w:right w:w="75" w:type="dxa"/>
            </w:tcMar>
            <w:vAlign w:val="center"/>
            <w:hideMark/>
          </w:tcPr>
          <w:p w14:paraId="58FC56A4" w14:textId="77777777" w:rsidR="00AF6702" w:rsidRPr="00702882" w:rsidRDefault="00AF6702" w:rsidP="008D265E">
            <w:pPr>
              <w:spacing w:before="150" w:after="150"/>
              <w:contextualSpacing/>
              <w:rPr>
                <w:sz w:val="20"/>
                <w:szCs w:val="20"/>
              </w:rPr>
            </w:pPr>
            <w:r w:rsidRPr="00702882">
              <w:rPr>
                <w:sz w:val="20"/>
                <w:szCs w:val="20"/>
              </w:rPr>
              <w:t>Source_percent:Unemployment</w:t>
            </w:r>
          </w:p>
        </w:tc>
        <w:tc>
          <w:tcPr>
            <w:tcW w:w="0" w:type="auto"/>
            <w:tcMar>
              <w:top w:w="15" w:type="dxa"/>
              <w:left w:w="75" w:type="dxa"/>
              <w:bottom w:w="15" w:type="dxa"/>
              <w:right w:w="75" w:type="dxa"/>
            </w:tcMar>
            <w:vAlign w:val="center"/>
            <w:hideMark/>
          </w:tcPr>
          <w:p w14:paraId="6394C737"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DAB6990" w14:textId="77777777" w:rsidR="00AF6702" w:rsidRPr="00702882" w:rsidRDefault="00AF6702" w:rsidP="008D265E">
            <w:pPr>
              <w:spacing w:before="150" w:after="150"/>
              <w:contextualSpacing/>
              <w:rPr>
                <w:sz w:val="20"/>
                <w:szCs w:val="20"/>
              </w:rPr>
            </w:pPr>
            <w:r w:rsidRPr="00702882">
              <w:rPr>
                <w:sz w:val="20"/>
                <w:szCs w:val="20"/>
              </w:rPr>
              <w:t>0.24 (0.28)</w:t>
            </w:r>
          </w:p>
        </w:tc>
        <w:tc>
          <w:tcPr>
            <w:tcW w:w="0" w:type="auto"/>
            <w:tcMar>
              <w:top w:w="15" w:type="dxa"/>
              <w:left w:w="75" w:type="dxa"/>
              <w:bottom w:w="15" w:type="dxa"/>
              <w:right w:w="75" w:type="dxa"/>
            </w:tcMar>
            <w:vAlign w:val="center"/>
            <w:hideMark/>
          </w:tcPr>
          <w:p w14:paraId="13FD9853"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2C967EC" w14:textId="77777777" w:rsidR="00AF6702" w:rsidRPr="00702882" w:rsidRDefault="00AF6702" w:rsidP="008D265E">
            <w:pPr>
              <w:spacing w:before="150" w:after="150"/>
              <w:contextualSpacing/>
              <w:rPr>
                <w:sz w:val="20"/>
                <w:szCs w:val="20"/>
              </w:rPr>
            </w:pPr>
            <w:r w:rsidRPr="00702882">
              <w:rPr>
                <w:sz w:val="20"/>
                <w:szCs w:val="20"/>
              </w:rPr>
              <w:t> </w:t>
            </w:r>
          </w:p>
        </w:tc>
      </w:tr>
      <w:tr w:rsidR="00571D0D" w:rsidRPr="00702882" w14:paraId="0817B54A" w14:textId="77777777" w:rsidTr="00AE6820">
        <w:trPr>
          <w:jc w:val="center"/>
        </w:trPr>
        <w:tc>
          <w:tcPr>
            <w:tcW w:w="0" w:type="auto"/>
            <w:tcMar>
              <w:top w:w="15" w:type="dxa"/>
              <w:left w:w="75" w:type="dxa"/>
              <w:bottom w:w="15" w:type="dxa"/>
              <w:right w:w="75" w:type="dxa"/>
            </w:tcMar>
            <w:vAlign w:val="center"/>
            <w:hideMark/>
          </w:tcPr>
          <w:p w14:paraId="55CE315B" w14:textId="77777777" w:rsidR="00AF6702" w:rsidRPr="00702882" w:rsidRDefault="00AF6702" w:rsidP="008D265E">
            <w:pPr>
              <w:spacing w:before="150" w:after="150"/>
              <w:contextualSpacing/>
              <w:rPr>
                <w:sz w:val="20"/>
                <w:szCs w:val="20"/>
              </w:rPr>
            </w:pPr>
            <w:r w:rsidRPr="00702882">
              <w:rPr>
                <w:sz w:val="20"/>
                <w:szCs w:val="20"/>
              </w:rPr>
              <w:t>Cap_percent:Unemployment</w:t>
            </w:r>
          </w:p>
        </w:tc>
        <w:tc>
          <w:tcPr>
            <w:tcW w:w="0" w:type="auto"/>
            <w:tcMar>
              <w:top w:w="15" w:type="dxa"/>
              <w:left w:w="75" w:type="dxa"/>
              <w:bottom w:w="15" w:type="dxa"/>
              <w:right w:w="75" w:type="dxa"/>
            </w:tcMar>
            <w:vAlign w:val="center"/>
            <w:hideMark/>
          </w:tcPr>
          <w:p w14:paraId="624845FD"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9B1F8F1" w14:textId="77777777" w:rsidR="00AF6702" w:rsidRPr="00702882" w:rsidRDefault="00AF6702" w:rsidP="008D265E">
            <w:pPr>
              <w:spacing w:before="150" w:after="150"/>
              <w:contextualSpacing/>
              <w:rPr>
                <w:sz w:val="20"/>
                <w:szCs w:val="20"/>
              </w:rPr>
            </w:pPr>
            <w:r w:rsidRPr="00702882">
              <w:rPr>
                <w:sz w:val="20"/>
                <w:szCs w:val="20"/>
              </w:rPr>
              <w:t>-0.00 (0.02)</w:t>
            </w:r>
          </w:p>
        </w:tc>
        <w:tc>
          <w:tcPr>
            <w:tcW w:w="0" w:type="auto"/>
            <w:tcMar>
              <w:top w:w="15" w:type="dxa"/>
              <w:left w:w="75" w:type="dxa"/>
              <w:bottom w:w="15" w:type="dxa"/>
              <w:right w:w="75" w:type="dxa"/>
            </w:tcMar>
            <w:vAlign w:val="center"/>
            <w:hideMark/>
          </w:tcPr>
          <w:p w14:paraId="0BA7FCF6"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6A020D0" w14:textId="77777777" w:rsidR="00AF6702" w:rsidRPr="00702882" w:rsidRDefault="00AF6702" w:rsidP="008D265E">
            <w:pPr>
              <w:spacing w:before="150" w:after="150"/>
              <w:contextualSpacing/>
              <w:rPr>
                <w:sz w:val="20"/>
                <w:szCs w:val="20"/>
              </w:rPr>
            </w:pPr>
            <w:r w:rsidRPr="00702882">
              <w:rPr>
                <w:sz w:val="20"/>
                <w:szCs w:val="20"/>
              </w:rPr>
              <w:t> </w:t>
            </w:r>
          </w:p>
        </w:tc>
      </w:tr>
      <w:tr w:rsidR="00571D0D" w:rsidRPr="00702882" w14:paraId="1C38000D" w14:textId="77777777" w:rsidTr="00AE6820">
        <w:trPr>
          <w:jc w:val="center"/>
        </w:trPr>
        <w:tc>
          <w:tcPr>
            <w:tcW w:w="0" w:type="auto"/>
            <w:tcMar>
              <w:top w:w="15" w:type="dxa"/>
              <w:left w:w="75" w:type="dxa"/>
              <w:bottom w:w="15" w:type="dxa"/>
              <w:right w:w="75" w:type="dxa"/>
            </w:tcMar>
            <w:vAlign w:val="center"/>
            <w:hideMark/>
          </w:tcPr>
          <w:p w14:paraId="109296AD" w14:textId="77777777" w:rsidR="00AF6702" w:rsidRPr="00702882" w:rsidRDefault="00AF6702" w:rsidP="008D265E">
            <w:pPr>
              <w:spacing w:before="150" w:after="150"/>
              <w:contextualSpacing/>
              <w:rPr>
                <w:sz w:val="20"/>
                <w:szCs w:val="20"/>
              </w:rPr>
            </w:pPr>
            <w:r w:rsidRPr="00702882">
              <w:rPr>
                <w:sz w:val="20"/>
                <w:szCs w:val="20"/>
              </w:rPr>
              <w:t>DepoSurplus_numeric:Unemployment</w:t>
            </w:r>
          </w:p>
        </w:tc>
        <w:tc>
          <w:tcPr>
            <w:tcW w:w="0" w:type="auto"/>
            <w:tcMar>
              <w:top w:w="15" w:type="dxa"/>
              <w:left w:w="75" w:type="dxa"/>
              <w:bottom w:w="15" w:type="dxa"/>
              <w:right w:w="75" w:type="dxa"/>
            </w:tcMar>
            <w:vAlign w:val="center"/>
            <w:hideMark/>
          </w:tcPr>
          <w:p w14:paraId="62AB2690"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AF35999" w14:textId="77777777" w:rsidR="00AF6702" w:rsidRPr="00702882" w:rsidRDefault="00AF6702" w:rsidP="008D265E">
            <w:pPr>
              <w:spacing w:before="150" w:after="150"/>
              <w:contextualSpacing/>
              <w:rPr>
                <w:sz w:val="20"/>
                <w:szCs w:val="20"/>
              </w:rPr>
            </w:pPr>
            <w:r w:rsidRPr="00702882">
              <w:rPr>
                <w:sz w:val="20"/>
                <w:szCs w:val="20"/>
              </w:rPr>
              <w:t>-0.63 (0.16)</w:t>
            </w:r>
            <w:r w:rsidRPr="00702882">
              <w:rPr>
                <w:sz w:val="20"/>
                <w:szCs w:val="20"/>
                <w:vertAlign w:val="superscript"/>
              </w:rPr>
              <w:t>***</w:t>
            </w:r>
          </w:p>
        </w:tc>
        <w:tc>
          <w:tcPr>
            <w:tcW w:w="0" w:type="auto"/>
            <w:tcMar>
              <w:top w:w="15" w:type="dxa"/>
              <w:left w:w="75" w:type="dxa"/>
              <w:bottom w:w="15" w:type="dxa"/>
              <w:right w:w="75" w:type="dxa"/>
            </w:tcMar>
            <w:vAlign w:val="center"/>
            <w:hideMark/>
          </w:tcPr>
          <w:p w14:paraId="44C12304" w14:textId="77777777" w:rsidR="00AF6702" w:rsidRPr="00702882" w:rsidRDefault="00AF6702" w:rsidP="008D265E">
            <w:pPr>
              <w:spacing w:before="150" w:after="150"/>
              <w:contextualSpacing/>
              <w:rPr>
                <w:sz w:val="20"/>
                <w:szCs w:val="20"/>
              </w:rPr>
            </w:pPr>
            <w:r w:rsidRPr="00702882">
              <w:rPr>
                <w:sz w:val="20"/>
                <w:szCs w:val="20"/>
              </w:rPr>
              <w:t>-0.62 (0.16)</w:t>
            </w:r>
            <w:r w:rsidRPr="00702882">
              <w:rPr>
                <w:sz w:val="20"/>
                <w:szCs w:val="20"/>
                <w:vertAlign w:val="superscript"/>
              </w:rPr>
              <w:t>***</w:t>
            </w:r>
          </w:p>
        </w:tc>
        <w:tc>
          <w:tcPr>
            <w:tcW w:w="0" w:type="auto"/>
            <w:tcMar>
              <w:top w:w="15" w:type="dxa"/>
              <w:left w:w="75" w:type="dxa"/>
              <w:bottom w:w="15" w:type="dxa"/>
              <w:right w:w="75" w:type="dxa"/>
            </w:tcMar>
            <w:vAlign w:val="center"/>
            <w:hideMark/>
          </w:tcPr>
          <w:p w14:paraId="40692187" w14:textId="77777777" w:rsidR="00AF6702" w:rsidRPr="00702882" w:rsidRDefault="00AF6702" w:rsidP="008D265E">
            <w:pPr>
              <w:spacing w:before="150" w:after="150"/>
              <w:contextualSpacing/>
              <w:rPr>
                <w:sz w:val="20"/>
                <w:szCs w:val="20"/>
              </w:rPr>
            </w:pPr>
            <w:r w:rsidRPr="00702882">
              <w:rPr>
                <w:sz w:val="20"/>
                <w:szCs w:val="20"/>
              </w:rPr>
              <w:t>-0.63 (0.16)</w:t>
            </w:r>
            <w:r w:rsidRPr="00702882">
              <w:rPr>
                <w:sz w:val="20"/>
                <w:szCs w:val="20"/>
                <w:vertAlign w:val="superscript"/>
              </w:rPr>
              <w:t>***</w:t>
            </w:r>
          </w:p>
        </w:tc>
      </w:tr>
      <w:tr w:rsidR="00571D0D" w:rsidRPr="00702882" w14:paraId="70F6A27F" w14:textId="77777777" w:rsidTr="00AE6820">
        <w:trPr>
          <w:jc w:val="center"/>
        </w:trPr>
        <w:tc>
          <w:tcPr>
            <w:tcW w:w="0" w:type="auto"/>
            <w:tcMar>
              <w:top w:w="15" w:type="dxa"/>
              <w:left w:w="75" w:type="dxa"/>
              <w:bottom w:w="15" w:type="dxa"/>
              <w:right w:w="75" w:type="dxa"/>
            </w:tcMar>
            <w:vAlign w:val="center"/>
            <w:hideMark/>
          </w:tcPr>
          <w:p w14:paraId="2B66BB8E" w14:textId="77777777" w:rsidR="00AF6702" w:rsidRPr="00702882" w:rsidRDefault="00AF6702" w:rsidP="008D265E">
            <w:pPr>
              <w:spacing w:before="150" w:after="150"/>
              <w:contextualSpacing/>
              <w:rPr>
                <w:sz w:val="20"/>
                <w:szCs w:val="20"/>
              </w:rPr>
            </w:pPr>
            <w:r w:rsidRPr="00702882">
              <w:rPr>
                <w:sz w:val="20"/>
                <w:szCs w:val="20"/>
              </w:rPr>
              <w:t>DepoVol_formula:Unemployment</w:t>
            </w:r>
          </w:p>
        </w:tc>
        <w:tc>
          <w:tcPr>
            <w:tcW w:w="0" w:type="auto"/>
            <w:tcMar>
              <w:top w:w="15" w:type="dxa"/>
              <w:left w:w="75" w:type="dxa"/>
              <w:bottom w:w="15" w:type="dxa"/>
              <w:right w:w="75" w:type="dxa"/>
            </w:tcMar>
            <w:vAlign w:val="center"/>
            <w:hideMark/>
          </w:tcPr>
          <w:p w14:paraId="1F35FF58"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59194C1" w14:textId="77777777" w:rsidR="00AF6702" w:rsidRPr="00702882" w:rsidRDefault="00AF6702" w:rsidP="008D265E">
            <w:pPr>
              <w:spacing w:before="150" w:after="150"/>
              <w:contextualSpacing/>
              <w:rPr>
                <w:sz w:val="20"/>
                <w:szCs w:val="20"/>
              </w:rPr>
            </w:pPr>
            <w:r w:rsidRPr="00702882">
              <w:rPr>
                <w:sz w:val="20"/>
                <w:szCs w:val="20"/>
              </w:rPr>
              <w:t>0.31 (0.36)</w:t>
            </w:r>
          </w:p>
        </w:tc>
        <w:tc>
          <w:tcPr>
            <w:tcW w:w="0" w:type="auto"/>
            <w:tcMar>
              <w:top w:w="15" w:type="dxa"/>
              <w:left w:w="75" w:type="dxa"/>
              <w:bottom w:w="15" w:type="dxa"/>
              <w:right w:w="75" w:type="dxa"/>
            </w:tcMar>
            <w:vAlign w:val="center"/>
            <w:hideMark/>
          </w:tcPr>
          <w:p w14:paraId="6D049C62"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4F04792" w14:textId="77777777" w:rsidR="00AF6702" w:rsidRPr="00702882" w:rsidRDefault="00AF6702" w:rsidP="008D265E">
            <w:pPr>
              <w:spacing w:before="150" w:after="150"/>
              <w:contextualSpacing/>
              <w:rPr>
                <w:sz w:val="20"/>
                <w:szCs w:val="20"/>
              </w:rPr>
            </w:pPr>
            <w:r w:rsidRPr="00702882">
              <w:rPr>
                <w:sz w:val="20"/>
                <w:szCs w:val="20"/>
              </w:rPr>
              <w:t> </w:t>
            </w:r>
          </w:p>
        </w:tc>
      </w:tr>
      <w:tr w:rsidR="00571D0D" w:rsidRPr="00702882" w14:paraId="038B8618" w14:textId="77777777" w:rsidTr="00AE6820">
        <w:trPr>
          <w:jc w:val="center"/>
        </w:trPr>
        <w:tc>
          <w:tcPr>
            <w:tcW w:w="0" w:type="auto"/>
            <w:tcMar>
              <w:top w:w="15" w:type="dxa"/>
              <w:left w:w="75" w:type="dxa"/>
              <w:bottom w:w="15" w:type="dxa"/>
              <w:right w:w="75" w:type="dxa"/>
            </w:tcMar>
            <w:vAlign w:val="center"/>
            <w:hideMark/>
          </w:tcPr>
          <w:p w14:paraId="40C4E902" w14:textId="77777777" w:rsidR="00AF6702" w:rsidRPr="00702882" w:rsidRDefault="00AF6702" w:rsidP="008D265E">
            <w:pPr>
              <w:spacing w:before="150" w:after="150"/>
              <w:contextualSpacing/>
              <w:rPr>
                <w:sz w:val="20"/>
                <w:szCs w:val="20"/>
              </w:rPr>
            </w:pPr>
            <w:r w:rsidRPr="00702882">
              <w:rPr>
                <w:sz w:val="20"/>
                <w:szCs w:val="20"/>
              </w:rPr>
              <w:t>DepoVol_propor:Unemployment</w:t>
            </w:r>
          </w:p>
        </w:tc>
        <w:tc>
          <w:tcPr>
            <w:tcW w:w="0" w:type="auto"/>
            <w:tcMar>
              <w:top w:w="15" w:type="dxa"/>
              <w:left w:w="75" w:type="dxa"/>
              <w:bottom w:w="15" w:type="dxa"/>
              <w:right w:w="75" w:type="dxa"/>
            </w:tcMar>
            <w:vAlign w:val="center"/>
            <w:hideMark/>
          </w:tcPr>
          <w:p w14:paraId="5D2BC9C4"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3E84E73" w14:textId="77777777" w:rsidR="00AF6702" w:rsidRPr="00702882" w:rsidRDefault="00AF6702" w:rsidP="008D265E">
            <w:pPr>
              <w:spacing w:before="150" w:after="150"/>
              <w:contextualSpacing/>
              <w:rPr>
                <w:sz w:val="20"/>
                <w:szCs w:val="20"/>
              </w:rPr>
            </w:pPr>
            <w:r w:rsidRPr="00702882">
              <w:rPr>
                <w:sz w:val="20"/>
                <w:szCs w:val="20"/>
              </w:rPr>
              <w:t>0.23 (0.18)</w:t>
            </w:r>
          </w:p>
        </w:tc>
        <w:tc>
          <w:tcPr>
            <w:tcW w:w="0" w:type="auto"/>
            <w:tcMar>
              <w:top w:w="15" w:type="dxa"/>
              <w:left w:w="75" w:type="dxa"/>
              <w:bottom w:w="15" w:type="dxa"/>
              <w:right w:w="75" w:type="dxa"/>
            </w:tcMar>
            <w:vAlign w:val="center"/>
            <w:hideMark/>
          </w:tcPr>
          <w:p w14:paraId="32168159"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46CF8A5" w14:textId="77777777" w:rsidR="00AF6702" w:rsidRPr="00702882" w:rsidRDefault="00AF6702" w:rsidP="008D265E">
            <w:pPr>
              <w:spacing w:before="150" w:after="150"/>
              <w:contextualSpacing/>
              <w:rPr>
                <w:sz w:val="20"/>
                <w:szCs w:val="20"/>
              </w:rPr>
            </w:pPr>
            <w:r w:rsidRPr="00702882">
              <w:rPr>
                <w:sz w:val="20"/>
                <w:szCs w:val="20"/>
              </w:rPr>
              <w:t> </w:t>
            </w:r>
          </w:p>
        </w:tc>
      </w:tr>
      <w:tr w:rsidR="00571D0D" w:rsidRPr="00702882" w14:paraId="492BCC8C" w14:textId="77777777" w:rsidTr="00AE6820">
        <w:trPr>
          <w:jc w:val="center"/>
        </w:trPr>
        <w:tc>
          <w:tcPr>
            <w:tcW w:w="0" w:type="auto"/>
            <w:tcMar>
              <w:top w:w="15" w:type="dxa"/>
              <w:left w:w="75" w:type="dxa"/>
              <w:bottom w:w="15" w:type="dxa"/>
              <w:right w:w="75" w:type="dxa"/>
            </w:tcMar>
            <w:vAlign w:val="center"/>
            <w:hideMark/>
          </w:tcPr>
          <w:p w14:paraId="1AA40A62" w14:textId="77777777" w:rsidR="00AF6702" w:rsidRPr="00702882" w:rsidRDefault="00AF6702" w:rsidP="008D265E">
            <w:pPr>
              <w:spacing w:before="150" w:after="150"/>
              <w:contextualSpacing/>
              <w:rPr>
                <w:sz w:val="20"/>
                <w:szCs w:val="20"/>
              </w:rPr>
            </w:pPr>
            <w:r w:rsidRPr="00702882">
              <w:rPr>
                <w:sz w:val="20"/>
                <w:szCs w:val="20"/>
              </w:rPr>
              <w:t>WithLegis_numeric:Unemployment</w:t>
            </w:r>
          </w:p>
        </w:tc>
        <w:tc>
          <w:tcPr>
            <w:tcW w:w="0" w:type="auto"/>
            <w:tcMar>
              <w:top w:w="15" w:type="dxa"/>
              <w:left w:w="75" w:type="dxa"/>
              <w:bottom w:w="15" w:type="dxa"/>
              <w:right w:w="75" w:type="dxa"/>
            </w:tcMar>
            <w:vAlign w:val="center"/>
            <w:hideMark/>
          </w:tcPr>
          <w:p w14:paraId="222F05E7"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1024085" w14:textId="77777777" w:rsidR="00AF6702" w:rsidRPr="00702882" w:rsidRDefault="00AF6702" w:rsidP="008D265E">
            <w:pPr>
              <w:spacing w:before="150" w:after="150"/>
              <w:contextualSpacing/>
              <w:rPr>
                <w:sz w:val="20"/>
                <w:szCs w:val="20"/>
              </w:rPr>
            </w:pPr>
            <w:r w:rsidRPr="00702882">
              <w:rPr>
                <w:sz w:val="20"/>
                <w:szCs w:val="20"/>
              </w:rPr>
              <w:t>0.78 (0.31)</w:t>
            </w:r>
            <w:r w:rsidRPr="00702882">
              <w:rPr>
                <w:sz w:val="20"/>
                <w:szCs w:val="20"/>
                <w:vertAlign w:val="superscript"/>
              </w:rPr>
              <w:t>**</w:t>
            </w:r>
          </w:p>
        </w:tc>
        <w:tc>
          <w:tcPr>
            <w:tcW w:w="0" w:type="auto"/>
            <w:tcMar>
              <w:top w:w="15" w:type="dxa"/>
              <w:left w:w="75" w:type="dxa"/>
              <w:bottom w:w="15" w:type="dxa"/>
              <w:right w:w="75" w:type="dxa"/>
            </w:tcMar>
            <w:vAlign w:val="center"/>
            <w:hideMark/>
          </w:tcPr>
          <w:p w14:paraId="4E71DA60" w14:textId="77777777" w:rsidR="00AF6702" w:rsidRPr="00702882" w:rsidRDefault="00AF6702" w:rsidP="008D265E">
            <w:pPr>
              <w:spacing w:before="150" w:after="150"/>
              <w:contextualSpacing/>
              <w:rPr>
                <w:sz w:val="20"/>
                <w:szCs w:val="20"/>
              </w:rPr>
            </w:pPr>
            <w:r w:rsidRPr="00702882">
              <w:rPr>
                <w:sz w:val="20"/>
                <w:szCs w:val="20"/>
              </w:rPr>
              <w:t>0.63 (0.28)</w:t>
            </w:r>
            <w:r w:rsidRPr="00702882">
              <w:rPr>
                <w:sz w:val="20"/>
                <w:szCs w:val="20"/>
                <w:vertAlign w:val="superscript"/>
              </w:rPr>
              <w:t>**</w:t>
            </w:r>
          </w:p>
        </w:tc>
        <w:tc>
          <w:tcPr>
            <w:tcW w:w="0" w:type="auto"/>
            <w:tcMar>
              <w:top w:w="15" w:type="dxa"/>
              <w:left w:w="75" w:type="dxa"/>
              <w:bottom w:w="15" w:type="dxa"/>
              <w:right w:w="75" w:type="dxa"/>
            </w:tcMar>
            <w:vAlign w:val="center"/>
            <w:hideMark/>
          </w:tcPr>
          <w:p w14:paraId="00D3673A" w14:textId="77777777" w:rsidR="00AF6702" w:rsidRPr="00702882" w:rsidRDefault="00AF6702" w:rsidP="008D265E">
            <w:pPr>
              <w:spacing w:before="150" w:after="150"/>
              <w:contextualSpacing/>
              <w:rPr>
                <w:sz w:val="20"/>
                <w:szCs w:val="20"/>
              </w:rPr>
            </w:pPr>
            <w:r w:rsidRPr="00702882">
              <w:rPr>
                <w:sz w:val="20"/>
                <w:szCs w:val="20"/>
              </w:rPr>
              <w:t>0.63 (0.27)</w:t>
            </w:r>
            <w:r w:rsidRPr="00702882">
              <w:rPr>
                <w:sz w:val="20"/>
                <w:szCs w:val="20"/>
                <w:vertAlign w:val="superscript"/>
              </w:rPr>
              <w:t>**</w:t>
            </w:r>
          </w:p>
        </w:tc>
      </w:tr>
      <w:tr w:rsidR="00571D0D" w:rsidRPr="00702882" w14:paraId="76A12815" w14:textId="77777777" w:rsidTr="00AE6820">
        <w:trPr>
          <w:jc w:val="center"/>
        </w:trPr>
        <w:tc>
          <w:tcPr>
            <w:tcW w:w="0" w:type="auto"/>
            <w:tcMar>
              <w:top w:w="15" w:type="dxa"/>
              <w:left w:w="75" w:type="dxa"/>
              <w:bottom w:w="15" w:type="dxa"/>
              <w:right w:w="75" w:type="dxa"/>
            </w:tcMar>
            <w:vAlign w:val="center"/>
            <w:hideMark/>
          </w:tcPr>
          <w:p w14:paraId="305304B5" w14:textId="77777777" w:rsidR="00AF6702" w:rsidRPr="00702882" w:rsidRDefault="00AF6702" w:rsidP="008D265E">
            <w:pPr>
              <w:spacing w:before="150" w:after="150"/>
              <w:contextualSpacing/>
              <w:rPr>
                <w:sz w:val="20"/>
                <w:szCs w:val="20"/>
              </w:rPr>
            </w:pPr>
            <w:r w:rsidRPr="00702882">
              <w:rPr>
                <w:sz w:val="20"/>
                <w:szCs w:val="20"/>
              </w:rPr>
              <w:t>WithShortfall:Unemployment</w:t>
            </w:r>
          </w:p>
        </w:tc>
        <w:tc>
          <w:tcPr>
            <w:tcW w:w="0" w:type="auto"/>
            <w:tcMar>
              <w:top w:w="15" w:type="dxa"/>
              <w:left w:w="75" w:type="dxa"/>
              <w:bottom w:w="15" w:type="dxa"/>
              <w:right w:w="75" w:type="dxa"/>
            </w:tcMar>
            <w:vAlign w:val="center"/>
            <w:hideMark/>
          </w:tcPr>
          <w:p w14:paraId="7BE85DA1"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C5CED71" w14:textId="77777777" w:rsidR="00AF6702" w:rsidRPr="00702882" w:rsidRDefault="00AF6702" w:rsidP="008D265E">
            <w:pPr>
              <w:spacing w:before="150" w:after="150"/>
              <w:contextualSpacing/>
              <w:rPr>
                <w:sz w:val="20"/>
                <w:szCs w:val="20"/>
              </w:rPr>
            </w:pPr>
            <w:r w:rsidRPr="00702882">
              <w:rPr>
                <w:sz w:val="20"/>
                <w:szCs w:val="20"/>
              </w:rPr>
              <w:t>0.21 (0.19)</w:t>
            </w:r>
          </w:p>
        </w:tc>
        <w:tc>
          <w:tcPr>
            <w:tcW w:w="0" w:type="auto"/>
            <w:tcMar>
              <w:top w:w="15" w:type="dxa"/>
              <w:left w:w="75" w:type="dxa"/>
              <w:bottom w:w="15" w:type="dxa"/>
              <w:right w:w="75" w:type="dxa"/>
            </w:tcMar>
            <w:vAlign w:val="center"/>
            <w:hideMark/>
          </w:tcPr>
          <w:p w14:paraId="340DB695"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D224441" w14:textId="77777777" w:rsidR="00AF6702" w:rsidRPr="00702882" w:rsidRDefault="00AF6702" w:rsidP="008D265E">
            <w:pPr>
              <w:spacing w:before="150" w:after="150"/>
              <w:contextualSpacing/>
              <w:rPr>
                <w:sz w:val="20"/>
                <w:szCs w:val="20"/>
              </w:rPr>
            </w:pPr>
            <w:r w:rsidRPr="00702882">
              <w:rPr>
                <w:sz w:val="20"/>
                <w:szCs w:val="20"/>
              </w:rPr>
              <w:t> </w:t>
            </w:r>
          </w:p>
        </w:tc>
      </w:tr>
      <w:tr w:rsidR="00571D0D" w:rsidRPr="00702882" w14:paraId="11250C69" w14:textId="77777777" w:rsidTr="00AE6820">
        <w:trPr>
          <w:jc w:val="center"/>
        </w:trPr>
        <w:tc>
          <w:tcPr>
            <w:tcW w:w="0" w:type="auto"/>
            <w:tcMar>
              <w:top w:w="15" w:type="dxa"/>
              <w:left w:w="75" w:type="dxa"/>
              <w:bottom w:w="15" w:type="dxa"/>
              <w:right w:w="75" w:type="dxa"/>
            </w:tcMar>
            <w:vAlign w:val="center"/>
            <w:hideMark/>
          </w:tcPr>
          <w:p w14:paraId="1F8BAFDB" w14:textId="77777777" w:rsidR="00AF6702" w:rsidRPr="00702882" w:rsidRDefault="00AF6702" w:rsidP="008D265E">
            <w:pPr>
              <w:spacing w:before="150" w:after="150"/>
              <w:contextualSpacing/>
              <w:rPr>
                <w:sz w:val="20"/>
                <w:szCs w:val="20"/>
              </w:rPr>
            </w:pPr>
            <w:r w:rsidRPr="00702882">
              <w:rPr>
                <w:sz w:val="20"/>
                <w:szCs w:val="20"/>
              </w:rPr>
              <w:t>WithVol:Unemployment</w:t>
            </w:r>
          </w:p>
        </w:tc>
        <w:tc>
          <w:tcPr>
            <w:tcW w:w="0" w:type="auto"/>
            <w:tcMar>
              <w:top w:w="15" w:type="dxa"/>
              <w:left w:w="75" w:type="dxa"/>
              <w:bottom w:w="15" w:type="dxa"/>
              <w:right w:w="75" w:type="dxa"/>
            </w:tcMar>
            <w:vAlign w:val="center"/>
            <w:hideMark/>
          </w:tcPr>
          <w:p w14:paraId="4CE632B5"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63434E7" w14:textId="77777777" w:rsidR="00AF6702" w:rsidRPr="00702882" w:rsidRDefault="00AF6702" w:rsidP="008D265E">
            <w:pPr>
              <w:spacing w:before="150" w:after="150"/>
              <w:contextualSpacing/>
              <w:rPr>
                <w:sz w:val="20"/>
                <w:szCs w:val="20"/>
              </w:rPr>
            </w:pPr>
            <w:r w:rsidRPr="00702882">
              <w:rPr>
                <w:sz w:val="20"/>
                <w:szCs w:val="20"/>
              </w:rPr>
              <w:t>-0.36 (0.39)</w:t>
            </w:r>
          </w:p>
        </w:tc>
        <w:tc>
          <w:tcPr>
            <w:tcW w:w="0" w:type="auto"/>
            <w:tcMar>
              <w:top w:w="15" w:type="dxa"/>
              <w:left w:w="75" w:type="dxa"/>
              <w:bottom w:w="15" w:type="dxa"/>
              <w:right w:w="75" w:type="dxa"/>
            </w:tcMar>
            <w:vAlign w:val="center"/>
            <w:hideMark/>
          </w:tcPr>
          <w:p w14:paraId="0BDE5205"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AFD43F5" w14:textId="77777777" w:rsidR="00AF6702" w:rsidRPr="00702882" w:rsidRDefault="00AF6702" w:rsidP="008D265E">
            <w:pPr>
              <w:spacing w:before="150" w:after="150"/>
              <w:contextualSpacing/>
              <w:rPr>
                <w:sz w:val="20"/>
                <w:szCs w:val="20"/>
              </w:rPr>
            </w:pPr>
            <w:r w:rsidRPr="00702882">
              <w:rPr>
                <w:sz w:val="20"/>
                <w:szCs w:val="20"/>
              </w:rPr>
              <w:t> </w:t>
            </w:r>
          </w:p>
        </w:tc>
      </w:tr>
      <w:tr w:rsidR="00571D0D" w:rsidRPr="00702882" w14:paraId="3E430462" w14:textId="77777777" w:rsidTr="00AE6820">
        <w:trPr>
          <w:jc w:val="center"/>
        </w:trPr>
        <w:tc>
          <w:tcPr>
            <w:tcW w:w="0" w:type="auto"/>
            <w:tcMar>
              <w:top w:w="15" w:type="dxa"/>
              <w:left w:w="75" w:type="dxa"/>
              <w:bottom w:w="15" w:type="dxa"/>
              <w:right w:w="75" w:type="dxa"/>
            </w:tcMar>
            <w:vAlign w:val="center"/>
            <w:hideMark/>
          </w:tcPr>
          <w:p w14:paraId="5559DC1B" w14:textId="77777777" w:rsidR="00AF6702" w:rsidRPr="00702882" w:rsidRDefault="00AF6702" w:rsidP="008D265E">
            <w:pPr>
              <w:spacing w:before="150" w:after="150"/>
              <w:contextualSpacing/>
              <w:rPr>
                <w:sz w:val="20"/>
                <w:szCs w:val="20"/>
              </w:rPr>
            </w:pPr>
            <w:r w:rsidRPr="00702882">
              <w:rPr>
                <w:sz w:val="20"/>
                <w:szCs w:val="20"/>
              </w:rPr>
              <w:t>Repay_4bin:Unemployment</w:t>
            </w:r>
          </w:p>
        </w:tc>
        <w:tc>
          <w:tcPr>
            <w:tcW w:w="0" w:type="auto"/>
            <w:tcMar>
              <w:top w:w="15" w:type="dxa"/>
              <w:left w:w="75" w:type="dxa"/>
              <w:bottom w:w="15" w:type="dxa"/>
              <w:right w:w="75" w:type="dxa"/>
            </w:tcMar>
            <w:vAlign w:val="center"/>
            <w:hideMark/>
          </w:tcPr>
          <w:p w14:paraId="735DC7FB"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FCDCFA8" w14:textId="77777777" w:rsidR="00AF6702" w:rsidRPr="00702882" w:rsidRDefault="00AF6702" w:rsidP="008D265E">
            <w:pPr>
              <w:spacing w:before="150" w:after="150"/>
              <w:contextualSpacing/>
              <w:rPr>
                <w:sz w:val="20"/>
                <w:szCs w:val="20"/>
              </w:rPr>
            </w:pPr>
            <w:r w:rsidRPr="00702882">
              <w:rPr>
                <w:sz w:val="20"/>
                <w:szCs w:val="20"/>
              </w:rPr>
              <w:t>0.10 (0.05)</w:t>
            </w:r>
            <w:r w:rsidRPr="00702882">
              <w:rPr>
                <w:sz w:val="20"/>
                <w:szCs w:val="20"/>
                <w:vertAlign w:val="superscript"/>
              </w:rPr>
              <w:t>*</w:t>
            </w:r>
          </w:p>
        </w:tc>
        <w:tc>
          <w:tcPr>
            <w:tcW w:w="0" w:type="auto"/>
            <w:tcMar>
              <w:top w:w="15" w:type="dxa"/>
              <w:left w:w="75" w:type="dxa"/>
              <w:bottom w:w="15" w:type="dxa"/>
              <w:right w:w="75" w:type="dxa"/>
            </w:tcMar>
            <w:vAlign w:val="center"/>
            <w:hideMark/>
          </w:tcPr>
          <w:p w14:paraId="45A45A64" w14:textId="77777777" w:rsidR="00AF6702" w:rsidRPr="00702882" w:rsidRDefault="00AF6702" w:rsidP="008D265E">
            <w:pPr>
              <w:spacing w:before="150" w:after="150"/>
              <w:contextualSpacing/>
              <w:rPr>
                <w:sz w:val="20"/>
                <w:szCs w:val="20"/>
              </w:rPr>
            </w:pPr>
            <w:r w:rsidRPr="00702882">
              <w:rPr>
                <w:sz w:val="20"/>
                <w:szCs w:val="20"/>
              </w:rPr>
              <w:t>0.13 (0.05)</w:t>
            </w:r>
            <w:r w:rsidRPr="00702882">
              <w:rPr>
                <w:sz w:val="20"/>
                <w:szCs w:val="20"/>
                <w:vertAlign w:val="superscript"/>
              </w:rPr>
              <w:t>**</w:t>
            </w:r>
          </w:p>
        </w:tc>
        <w:tc>
          <w:tcPr>
            <w:tcW w:w="0" w:type="auto"/>
            <w:tcMar>
              <w:top w:w="15" w:type="dxa"/>
              <w:left w:w="75" w:type="dxa"/>
              <w:bottom w:w="15" w:type="dxa"/>
              <w:right w:w="75" w:type="dxa"/>
            </w:tcMar>
            <w:vAlign w:val="center"/>
            <w:hideMark/>
          </w:tcPr>
          <w:p w14:paraId="4D2C79A1" w14:textId="77777777" w:rsidR="00AF6702" w:rsidRPr="00702882" w:rsidRDefault="00AF6702" w:rsidP="008D265E">
            <w:pPr>
              <w:spacing w:before="150" w:after="150"/>
              <w:contextualSpacing/>
              <w:rPr>
                <w:sz w:val="20"/>
                <w:szCs w:val="20"/>
              </w:rPr>
            </w:pPr>
            <w:r w:rsidRPr="00702882">
              <w:rPr>
                <w:sz w:val="20"/>
                <w:szCs w:val="20"/>
              </w:rPr>
              <w:t>0.12 (0.05)</w:t>
            </w:r>
            <w:r w:rsidRPr="00702882">
              <w:rPr>
                <w:sz w:val="20"/>
                <w:szCs w:val="20"/>
                <w:vertAlign w:val="superscript"/>
              </w:rPr>
              <w:t>**</w:t>
            </w:r>
          </w:p>
        </w:tc>
      </w:tr>
      <w:tr w:rsidR="00571D0D" w:rsidRPr="00702882" w14:paraId="033B92DB" w14:textId="77777777" w:rsidTr="00AE6820">
        <w:trPr>
          <w:jc w:val="center"/>
        </w:trPr>
        <w:tc>
          <w:tcPr>
            <w:tcW w:w="0" w:type="auto"/>
            <w:tcMar>
              <w:top w:w="15" w:type="dxa"/>
              <w:left w:w="75" w:type="dxa"/>
              <w:bottom w:w="15" w:type="dxa"/>
              <w:right w:w="75" w:type="dxa"/>
            </w:tcMar>
            <w:vAlign w:val="center"/>
            <w:hideMark/>
          </w:tcPr>
          <w:p w14:paraId="2C0BF6D9" w14:textId="77777777" w:rsidR="00AF6702" w:rsidRPr="00702882" w:rsidRDefault="00AF6702" w:rsidP="008D265E">
            <w:pPr>
              <w:spacing w:before="150" w:after="150"/>
              <w:contextualSpacing/>
              <w:rPr>
                <w:sz w:val="20"/>
                <w:szCs w:val="20"/>
              </w:rPr>
            </w:pPr>
            <w:r w:rsidRPr="00702882">
              <w:rPr>
                <w:sz w:val="20"/>
                <w:szCs w:val="20"/>
              </w:rPr>
              <w:t>WithLim:Unemployment</w:t>
            </w:r>
          </w:p>
        </w:tc>
        <w:tc>
          <w:tcPr>
            <w:tcW w:w="0" w:type="auto"/>
            <w:tcMar>
              <w:top w:w="15" w:type="dxa"/>
              <w:left w:w="75" w:type="dxa"/>
              <w:bottom w:w="15" w:type="dxa"/>
              <w:right w:w="75" w:type="dxa"/>
            </w:tcMar>
            <w:vAlign w:val="center"/>
            <w:hideMark/>
          </w:tcPr>
          <w:p w14:paraId="6209B51A"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9759138" w14:textId="77777777" w:rsidR="00AF6702" w:rsidRPr="00702882" w:rsidRDefault="00AF6702" w:rsidP="008D265E">
            <w:pPr>
              <w:spacing w:before="150" w:after="150"/>
              <w:contextualSpacing/>
              <w:rPr>
                <w:sz w:val="20"/>
                <w:szCs w:val="20"/>
              </w:rPr>
            </w:pPr>
            <w:r w:rsidRPr="00702882">
              <w:rPr>
                <w:sz w:val="20"/>
                <w:szCs w:val="20"/>
              </w:rPr>
              <w:t>0.20 (0.18)</w:t>
            </w:r>
          </w:p>
        </w:tc>
        <w:tc>
          <w:tcPr>
            <w:tcW w:w="0" w:type="auto"/>
            <w:tcMar>
              <w:top w:w="15" w:type="dxa"/>
              <w:left w:w="75" w:type="dxa"/>
              <w:bottom w:w="15" w:type="dxa"/>
              <w:right w:w="75" w:type="dxa"/>
            </w:tcMar>
            <w:vAlign w:val="center"/>
            <w:hideMark/>
          </w:tcPr>
          <w:p w14:paraId="1E50E4F7"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06CA67B" w14:textId="77777777" w:rsidR="00AF6702" w:rsidRPr="00702882" w:rsidRDefault="00AF6702" w:rsidP="008D265E">
            <w:pPr>
              <w:spacing w:before="150" w:after="150"/>
              <w:contextualSpacing/>
              <w:rPr>
                <w:sz w:val="20"/>
                <w:szCs w:val="20"/>
              </w:rPr>
            </w:pPr>
            <w:r w:rsidRPr="00702882">
              <w:rPr>
                <w:sz w:val="20"/>
                <w:szCs w:val="20"/>
              </w:rPr>
              <w:t> </w:t>
            </w:r>
          </w:p>
        </w:tc>
      </w:tr>
      <w:tr w:rsidR="00571D0D" w:rsidRPr="00702882" w14:paraId="481B0203" w14:textId="77777777" w:rsidTr="00AE6820">
        <w:trPr>
          <w:jc w:val="center"/>
        </w:trPr>
        <w:tc>
          <w:tcPr>
            <w:tcW w:w="0" w:type="auto"/>
            <w:tcMar>
              <w:top w:w="15" w:type="dxa"/>
              <w:left w:w="75" w:type="dxa"/>
              <w:bottom w:w="15" w:type="dxa"/>
              <w:right w:w="75" w:type="dxa"/>
            </w:tcMar>
            <w:vAlign w:val="center"/>
            <w:hideMark/>
          </w:tcPr>
          <w:p w14:paraId="1F7D8AB1" w14:textId="77777777" w:rsidR="00AF6702" w:rsidRPr="00702882" w:rsidRDefault="00AF6702" w:rsidP="008D265E">
            <w:pPr>
              <w:spacing w:before="150" w:after="150"/>
              <w:contextualSpacing/>
              <w:rPr>
                <w:sz w:val="20"/>
                <w:szCs w:val="20"/>
              </w:rPr>
            </w:pPr>
            <w:r w:rsidRPr="00702882">
              <w:rPr>
                <w:sz w:val="20"/>
                <w:szCs w:val="20"/>
              </w:rPr>
              <w:t>Cap_percent:DepoSurplus_numeric</w:t>
            </w:r>
          </w:p>
        </w:tc>
        <w:tc>
          <w:tcPr>
            <w:tcW w:w="0" w:type="auto"/>
            <w:tcMar>
              <w:top w:w="15" w:type="dxa"/>
              <w:left w:w="75" w:type="dxa"/>
              <w:bottom w:w="15" w:type="dxa"/>
              <w:right w:w="75" w:type="dxa"/>
            </w:tcMar>
            <w:vAlign w:val="center"/>
            <w:hideMark/>
          </w:tcPr>
          <w:p w14:paraId="2E3E6572"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AC69949"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FF35B51" w14:textId="77777777" w:rsidR="00AF6702" w:rsidRPr="00702882" w:rsidRDefault="00AF6702" w:rsidP="008D265E">
            <w:pPr>
              <w:spacing w:before="150" w:after="150"/>
              <w:contextualSpacing/>
              <w:rPr>
                <w:sz w:val="20"/>
                <w:szCs w:val="20"/>
              </w:rPr>
            </w:pPr>
            <w:r w:rsidRPr="00702882">
              <w:rPr>
                <w:sz w:val="20"/>
                <w:szCs w:val="20"/>
              </w:rPr>
              <w:t>0.06 (0.03)</w:t>
            </w:r>
            <w:r w:rsidRPr="00702882">
              <w:rPr>
                <w:sz w:val="20"/>
                <w:szCs w:val="20"/>
                <w:vertAlign w:val="superscript"/>
              </w:rPr>
              <w:t>*</w:t>
            </w:r>
          </w:p>
        </w:tc>
        <w:tc>
          <w:tcPr>
            <w:tcW w:w="0" w:type="auto"/>
            <w:tcMar>
              <w:top w:w="15" w:type="dxa"/>
              <w:left w:w="75" w:type="dxa"/>
              <w:bottom w:w="15" w:type="dxa"/>
              <w:right w:w="75" w:type="dxa"/>
            </w:tcMar>
            <w:vAlign w:val="center"/>
            <w:hideMark/>
          </w:tcPr>
          <w:p w14:paraId="5602E514" w14:textId="77777777" w:rsidR="00AF6702" w:rsidRPr="00702882" w:rsidRDefault="00AF6702" w:rsidP="008D265E">
            <w:pPr>
              <w:spacing w:before="150" w:after="150"/>
              <w:contextualSpacing/>
              <w:rPr>
                <w:sz w:val="20"/>
                <w:szCs w:val="20"/>
              </w:rPr>
            </w:pPr>
            <w:r w:rsidRPr="00702882">
              <w:rPr>
                <w:sz w:val="20"/>
                <w:szCs w:val="20"/>
              </w:rPr>
              <w:t>0.06 (0.03)</w:t>
            </w:r>
            <w:r w:rsidRPr="00702882">
              <w:rPr>
                <w:sz w:val="20"/>
                <w:szCs w:val="20"/>
                <w:vertAlign w:val="superscript"/>
              </w:rPr>
              <w:t>**</w:t>
            </w:r>
          </w:p>
        </w:tc>
      </w:tr>
      <w:tr w:rsidR="00571D0D" w:rsidRPr="00702882" w14:paraId="05F2E45B" w14:textId="77777777" w:rsidTr="00AE6820">
        <w:trPr>
          <w:jc w:val="center"/>
        </w:trPr>
        <w:tc>
          <w:tcPr>
            <w:tcW w:w="0" w:type="auto"/>
            <w:tcMar>
              <w:top w:w="15" w:type="dxa"/>
              <w:left w:w="75" w:type="dxa"/>
              <w:bottom w:w="15" w:type="dxa"/>
              <w:right w:w="75" w:type="dxa"/>
            </w:tcMar>
            <w:vAlign w:val="center"/>
            <w:hideMark/>
          </w:tcPr>
          <w:p w14:paraId="4F290D72" w14:textId="77777777" w:rsidR="00AF6702" w:rsidRPr="00702882" w:rsidRDefault="00AF6702" w:rsidP="008D265E">
            <w:pPr>
              <w:spacing w:before="150" w:after="150"/>
              <w:contextualSpacing/>
              <w:rPr>
                <w:sz w:val="20"/>
                <w:szCs w:val="20"/>
              </w:rPr>
            </w:pPr>
            <w:r w:rsidRPr="00702882">
              <w:rPr>
                <w:sz w:val="20"/>
                <w:szCs w:val="20"/>
              </w:rPr>
              <w:t>Cap_percent:DepoVol_formula</w:t>
            </w:r>
          </w:p>
        </w:tc>
        <w:tc>
          <w:tcPr>
            <w:tcW w:w="0" w:type="auto"/>
            <w:tcMar>
              <w:top w:w="15" w:type="dxa"/>
              <w:left w:w="75" w:type="dxa"/>
              <w:bottom w:w="15" w:type="dxa"/>
              <w:right w:w="75" w:type="dxa"/>
            </w:tcMar>
            <w:vAlign w:val="center"/>
            <w:hideMark/>
          </w:tcPr>
          <w:p w14:paraId="74F5BEE1"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2A8B03B"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C7D8FE3" w14:textId="77777777" w:rsidR="00AF6702" w:rsidRPr="00702882" w:rsidRDefault="00AF6702" w:rsidP="008D265E">
            <w:pPr>
              <w:spacing w:before="150" w:after="150"/>
              <w:contextualSpacing/>
              <w:rPr>
                <w:sz w:val="20"/>
                <w:szCs w:val="20"/>
              </w:rPr>
            </w:pPr>
            <w:r w:rsidRPr="00702882">
              <w:rPr>
                <w:sz w:val="20"/>
                <w:szCs w:val="20"/>
              </w:rPr>
              <w:t>-0.20 (0.19)</w:t>
            </w:r>
          </w:p>
        </w:tc>
        <w:tc>
          <w:tcPr>
            <w:tcW w:w="0" w:type="auto"/>
            <w:tcMar>
              <w:top w:w="15" w:type="dxa"/>
              <w:left w:w="75" w:type="dxa"/>
              <w:bottom w:w="15" w:type="dxa"/>
              <w:right w:w="75" w:type="dxa"/>
            </w:tcMar>
            <w:vAlign w:val="center"/>
            <w:hideMark/>
          </w:tcPr>
          <w:p w14:paraId="2805EA1B" w14:textId="77777777" w:rsidR="00AF6702" w:rsidRPr="00702882" w:rsidRDefault="00AF6702" w:rsidP="008D265E">
            <w:pPr>
              <w:spacing w:before="150" w:after="150"/>
              <w:contextualSpacing/>
              <w:rPr>
                <w:sz w:val="20"/>
                <w:szCs w:val="20"/>
              </w:rPr>
            </w:pPr>
            <w:r w:rsidRPr="00702882">
              <w:rPr>
                <w:sz w:val="20"/>
                <w:szCs w:val="20"/>
              </w:rPr>
              <w:t> </w:t>
            </w:r>
          </w:p>
        </w:tc>
      </w:tr>
      <w:tr w:rsidR="00571D0D" w:rsidRPr="00702882" w14:paraId="166F80D0" w14:textId="77777777" w:rsidTr="00AE6820">
        <w:trPr>
          <w:jc w:val="center"/>
        </w:trPr>
        <w:tc>
          <w:tcPr>
            <w:tcW w:w="0" w:type="auto"/>
            <w:tcMar>
              <w:top w:w="15" w:type="dxa"/>
              <w:left w:w="75" w:type="dxa"/>
              <w:bottom w:w="15" w:type="dxa"/>
              <w:right w:w="75" w:type="dxa"/>
            </w:tcMar>
            <w:vAlign w:val="center"/>
            <w:hideMark/>
          </w:tcPr>
          <w:p w14:paraId="522F22AB" w14:textId="77777777" w:rsidR="00AF6702" w:rsidRPr="00702882" w:rsidRDefault="00AF6702" w:rsidP="008D265E">
            <w:pPr>
              <w:spacing w:before="150" w:after="150"/>
              <w:contextualSpacing/>
              <w:rPr>
                <w:sz w:val="20"/>
                <w:szCs w:val="20"/>
              </w:rPr>
            </w:pPr>
            <w:r w:rsidRPr="00702882">
              <w:rPr>
                <w:sz w:val="20"/>
                <w:szCs w:val="20"/>
              </w:rPr>
              <w:t>Number:WithLegis_numeric</w:t>
            </w:r>
          </w:p>
        </w:tc>
        <w:tc>
          <w:tcPr>
            <w:tcW w:w="0" w:type="auto"/>
            <w:tcMar>
              <w:top w:w="15" w:type="dxa"/>
              <w:left w:w="75" w:type="dxa"/>
              <w:bottom w:w="15" w:type="dxa"/>
              <w:right w:w="75" w:type="dxa"/>
            </w:tcMar>
            <w:vAlign w:val="center"/>
            <w:hideMark/>
          </w:tcPr>
          <w:p w14:paraId="7551C905"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D99A8EB"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AF232FC" w14:textId="77777777" w:rsidR="00AF6702" w:rsidRPr="00702882" w:rsidRDefault="00AF6702" w:rsidP="008D265E">
            <w:pPr>
              <w:spacing w:before="150" w:after="150"/>
              <w:contextualSpacing/>
              <w:rPr>
                <w:sz w:val="20"/>
                <w:szCs w:val="20"/>
              </w:rPr>
            </w:pPr>
            <w:r w:rsidRPr="00702882">
              <w:rPr>
                <w:sz w:val="20"/>
                <w:szCs w:val="20"/>
              </w:rPr>
              <w:t>-8.43 (3.22)</w:t>
            </w:r>
            <w:r w:rsidRPr="00702882">
              <w:rPr>
                <w:sz w:val="20"/>
                <w:szCs w:val="20"/>
                <w:vertAlign w:val="superscript"/>
              </w:rPr>
              <w:t>***</w:t>
            </w:r>
          </w:p>
        </w:tc>
        <w:tc>
          <w:tcPr>
            <w:tcW w:w="0" w:type="auto"/>
            <w:tcMar>
              <w:top w:w="15" w:type="dxa"/>
              <w:left w:w="75" w:type="dxa"/>
              <w:bottom w:w="15" w:type="dxa"/>
              <w:right w:w="75" w:type="dxa"/>
            </w:tcMar>
            <w:vAlign w:val="center"/>
            <w:hideMark/>
          </w:tcPr>
          <w:p w14:paraId="689AD1CC" w14:textId="77777777" w:rsidR="00AF6702" w:rsidRPr="00702882" w:rsidRDefault="00AF6702" w:rsidP="008D265E">
            <w:pPr>
              <w:spacing w:before="150" w:after="150"/>
              <w:contextualSpacing/>
              <w:rPr>
                <w:sz w:val="20"/>
                <w:szCs w:val="20"/>
              </w:rPr>
            </w:pPr>
            <w:r w:rsidRPr="00702882">
              <w:rPr>
                <w:sz w:val="20"/>
                <w:szCs w:val="20"/>
              </w:rPr>
              <w:t>-9.51 (2.94)</w:t>
            </w:r>
            <w:r w:rsidRPr="00702882">
              <w:rPr>
                <w:sz w:val="20"/>
                <w:szCs w:val="20"/>
                <w:vertAlign w:val="superscript"/>
              </w:rPr>
              <w:t>***</w:t>
            </w:r>
          </w:p>
        </w:tc>
      </w:tr>
      <w:tr w:rsidR="00571D0D" w:rsidRPr="00702882" w14:paraId="76567A25" w14:textId="77777777" w:rsidTr="00AE6820">
        <w:trPr>
          <w:jc w:val="center"/>
        </w:trPr>
        <w:tc>
          <w:tcPr>
            <w:tcW w:w="0" w:type="auto"/>
            <w:tcMar>
              <w:top w:w="15" w:type="dxa"/>
              <w:left w:w="75" w:type="dxa"/>
              <w:bottom w:w="15" w:type="dxa"/>
              <w:right w:w="75" w:type="dxa"/>
            </w:tcMar>
            <w:vAlign w:val="center"/>
            <w:hideMark/>
          </w:tcPr>
          <w:p w14:paraId="4EAD6F26" w14:textId="77777777" w:rsidR="00AF6702" w:rsidRPr="00702882" w:rsidRDefault="00AF6702" w:rsidP="008D265E">
            <w:pPr>
              <w:spacing w:before="150" w:after="150"/>
              <w:contextualSpacing/>
              <w:rPr>
                <w:sz w:val="20"/>
                <w:szCs w:val="20"/>
              </w:rPr>
            </w:pPr>
            <w:r w:rsidRPr="00702882">
              <w:rPr>
                <w:sz w:val="20"/>
                <w:szCs w:val="20"/>
              </w:rPr>
              <w:t>WithVol:WithLim</w:t>
            </w:r>
          </w:p>
        </w:tc>
        <w:tc>
          <w:tcPr>
            <w:tcW w:w="0" w:type="auto"/>
            <w:tcMar>
              <w:top w:w="15" w:type="dxa"/>
              <w:left w:w="75" w:type="dxa"/>
              <w:bottom w:w="15" w:type="dxa"/>
              <w:right w:w="75" w:type="dxa"/>
            </w:tcMar>
            <w:vAlign w:val="center"/>
            <w:hideMark/>
          </w:tcPr>
          <w:p w14:paraId="6E8DD87F"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2B77C38" w14:textId="77777777" w:rsidR="00AF6702" w:rsidRPr="00702882" w:rsidRDefault="00AF6702" w:rsidP="008D265E">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4254263" w14:textId="77777777" w:rsidR="00AF6702" w:rsidRPr="00702882" w:rsidRDefault="00AF6702" w:rsidP="008D265E">
            <w:pPr>
              <w:spacing w:before="150" w:after="150"/>
              <w:contextualSpacing/>
              <w:rPr>
                <w:sz w:val="20"/>
                <w:szCs w:val="20"/>
              </w:rPr>
            </w:pPr>
            <w:r w:rsidRPr="00702882">
              <w:rPr>
                <w:sz w:val="20"/>
                <w:szCs w:val="20"/>
              </w:rPr>
              <w:t>1.61 (1.65)</w:t>
            </w:r>
          </w:p>
        </w:tc>
        <w:tc>
          <w:tcPr>
            <w:tcW w:w="0" w:type="auto"/>
            <w:tcMar>
              <w:top w:w="15" w:type="dxa"/>
              <w:left w:w="75" w:type="dxa"/>
              <w:bottom w:w="15" w:type="dxa"/>
              <w:right w:w="75" w:type="dxa"/>
            </w:tcMar>
            <w:vAlign w:val="center"/>
            <w:hideMark/>
          </w:tcPr>
          <w:p w14:paraId="0470CC33" w14:textId="77777777" w:rsidR="00AF6702" w:rsidRPr="00702882" w:rsidRDefault="00AF6702" w:rsidP="008D265E">
            <w:pPr>
              <w:spacing w:before="150" w:after="150"/>
              <w:contextualSpacing/>
              <w:rPr>
                <w:sz w:val="20"/>
                <w:szCs w:val="20"/>
              </w:rPr>
            </w:pPr>
            <w:r w:rsidRPr="00702882">
              <w:rPr>
                <w:sz w:val="20"/>
                <w:szCs w:val="20"/>
              </w:rPr>
              <w:t> </w:t>
            </w:r>
          </w:p>
        </w:tc>
      </w:tr>
      <w:tr w:rsidR="00571D0D" w:rsidRPr="00702882" w14:paraId="6742731A" w14:textId="77777777" w:rsidTr="00AE6820">
        <w:trPr>
          <w:jc w:val="center"/>
        </w:trPr>
        <w:tc>
          <w:tcPr>
            <w:tcW w:w="0" w:type="auto"/>
            <w:tcMar>
              <w:top w:w="15" w:type="dxa"/>
              <w:left w:w="75" w:type="dxa"/>
              <w:bottom w:w="15" w:type="dxa"/>
              <w:right w:w="75" w:type="dxa"/>
            </w:tcMar>
            <w:vAlign w:val="center"/>
          </w:tcPr>
          <w:p w14:paraId="6E98D16E" w14:textId="77777777" w:rsidR="00AF6702" w:rsidRPr="00702882" w:rsidRDefault="00AF6702" w:rsidP="008D265E">
            <w:pPr>
              <w:spacing w:before="150" w:after="150"/>
              <w:contextualSpacing/>
              <w:rPr>
                <w:sz w:val="20"/>
                <w:szCs w:val="20"/>
              </w:rPr>
            </w:pPr>
            <w:r w:rsidRPr="00702882">
              <w:rPr>
                <w:sz w:val="20"/>
                <w:szCs w:val="20"/>
              </w:rPr>
              <w:t>R</w:t>
            </w:r>
            <w:r w:rsidRPr="00702882">
              <w:rPr>
                <w:sz w:val="20"/>
                <w:szCs w:val="20"/>
                <w:vertAlign w:val="superscript"/>
              </w:rPr>
              <w:t>2</w:t>
            </w:r>
          </w:p>
        </w:tc>
        <w:tc>
          <w:tcPr>
            <w:tcW w:w="0" w:type="auto"/>
            <w:tcMar>
              <w:top w:w="15" w:type="dxa"/>
              <w:left w:w="75" w:type="dxa"/>
              <w:bottom w:w="15" w:type="dxa"/>
              <w:right w:w="75" w:type="dxa"/>
            </w:tcMar>
            <w:vAlign w:val="center"/>
          </w:tcPr>
          <w:p w14:paraId="77A749B1" w14:textId="77777777" w:rsidR="00AF6702" w:rsidRPr="00702882" w:rsidRDefault="00AF6702" w:rsidP="008D265E">
            <w:pPr>
              <w:spacing w:before="150" w:after="150"/>
              <w:contextualSpacing/>
              <w:rPr>
                <w:sz w:val="20"/>
                <w:szCs w:val="20"/>
              </w:rPr>
            </w:pPr>
            <w:r w:rsidRPr="00702882">
              <w:rPr>
                <w:sz w:val="20"/>
                <w:szCs w:val="20"/>
              </w:rPr>
              <w:t>0.59</w:t>
            </w:r>
          </w:p>
        </w:tc>
        <w:tc>
          <w:tcPr>
            <w:tcW w:w="0" w:type="auto"/>
            <w:tcMar>
              <w:top w:w="15" w:type="dxa"/>
              <w:left w:w="75" w:type="dxa"/>
              <w:bottom w:w="15" w:type="dxa"/>
              <w:right w:w="75" w:type="dxa"/>
            </w:tcMar>
            <w:vAlign w:val="center"/>
          </w:tcPr>
          <w:p w14:paraId="67C2F852" w14:textId="77777777" w:rsidR="00AF6702" w:rsidRPr="00702882" w:rsidRDefault="00AF6702" w:rsidP="008D265E">
            <w:pPr>
              <w:spacing w:before="150" w:after="150"/>
              <w:contextualSpacing/>
              <w:rPr>
                <w:sz w:val="20"/>
                <w:szCs w:val="20"/>
              </w:rPr>
            </w:pPr>
            <w:r w:rsidRPr="00702882">
              <w:rPr>
                <w:sz w:val="20"/>
                <w:szCs w:val="20"/>
              </w:rPr>
              <w:t>0.62</w:t>
            </w:r>
          </w:p>
        </w:tc>
        <w:tc>
          <w:tcPr>
            <w:tcW w:w="0" w:type="auto"/>
            <w:tcMar>
              <w:top w:w="15" w:type="dxa"/>
              <w:left w:w="75" w:type="dxa"/>
              <w:bottom w:w="15" w:type="dxa"/>
              <w:right w:w="75" w:type="dxa"/>
            </w:tcMar>
            <w:vAlign w:val="center"/>
          </w:tcPr>
          <w:p w14:paraId="3DBD46B8" w14:textId="77777777" w:rsidR="00AF6702" w:rsidRPr="00702882" w:rsidRDefault="00AF6702" w:rsidP="008D265E">
            <w:pPr>
              <w:spacing w:before="150" w:after="150"/>
              <w:contextualSpacing/>
              <w:rPr>
                <w:sz w:val="20"/>
                <w:szCs w:val="20"/>
              </w:rPr>
            </w:pPr>
            <w:r w:rsidRPr="00702882">
              <w:rPr>
                <w:sz w:val="20"/>
                <w:szCs w:val="20"/>
              </w:rPr>
              <w:t>0.63</w:t>
            </w:r>
          </w:p>
        </w:tc>
        <w:tc>
          <w:tcPr>
            <w:tcW w:w="0" w:type="auto"/>
            <w:tcMar>
              <w:top w:w="15" w:type="dxa"/>
              <w:left w:w="75" w:type="dxa"/>
              <w:bottom w:w="15" w:type="dxa"/>
              <w:right w:w="75" w:type="dxa"/>
            </w:tcMar>
            <w:vAlign w:val="center"/>
          </w:tcPr>
          <w:p w14:paraId="214ECE06" w14:textId="77777777" w:rsidR="00AF6702" w:rsidRPr="00702882" w:rsidRDefault="00AF6702" w:rsidP="008D265E">
            <w:pPr>
              <w:spacing w:before="150" w:after="150"/>
              <w:contextualSpacing/>
              <w:rPr>
                <w:sz w:val="20"/>
                <w:szCs w:val="20"/>
              </w:rPr>
            </w:pPr>
            <w:r w:rsidRPr="00702882">
              <w:rPr>
                <w:sz w:val="20"/>
                <w:szCs w:val="20"/>
              </w:rPr>
              <w:t>0.62</w:t>
            </w:r>
          </w:p>
        </w:tc>
      </w:tr>
      <w:tr w:rsidR="00571D0D" w:rsidRPr="00702882" w14:paraId="3F5746F6" w14:textId="77777777" w:rsidTr="00AE6820">
        <w:trPr>
          <w:jc w:val="center"/>
        </w:trPr>
        <w:tc>
          <w:tcPr>
            <w:tcW w:w="0" w:type="auto"/>
            <w:tcBorders>
              <w:bottom w:val="nil"/>
            </w:tcBorders>
            <w:tcMar>
              <w:top w:w="15" w:type="dxa"/>
              <w:left w:w="75" w:type="dxa"/>
              <w:bottom w:w="15" w:type="dxa"/>
              <w:right w:w="75" w:type="dxa"/>
            </w:tcMar>
            <w:vAlign w:val="center"/>
          </w:tcPr>
          <w:p w14:paraId="7B468BC0" w14:textId="77777777" w:rsidR="00AF6702" w:rsidRPr="00702882" w:rsidRDefault="00AF6702" w:rsidP="008D265E">
            <w:pPr>
              <w:spacing w:before="150" w:after="150"/>
              <w:contextualSpacing/>
              <w:rPr>
                <w:sz w:val="20"/>
                <w:szCs w:val="20"/>
              </w:rPr>
            </w:pPr>
            <w:r w:rsidRPr="00702882">
              <w:rPr>
                <w:sz w:val="20"/>
                <w:szCs w:val="20"/>
              </w:rPr>
              <w:t>Adj. R</w:t>
            </w:r>
            <w:r w:rsidRPr="00702882">
              <w:rPr>
                <w:sz w:val="20"/>
                <w:szCs w:val="20"/>
                <w:vertAlign w:val="superscript"/>
              </w:rPr>
              <w:t>2</w:t>
            </w:r>
          </w:p>
        </w:tc>
        <w:tc>
          <w:tcPr>
            <w:tcW w:w="0" w:type="auto"/>
            <w:tcBorders>
              <w:bottom w:val="nil"/>
            </w:tcBorders>
            <w:tcMar>
              <w:top w:w="15" w:type="dxa"/>
              <w:left w:w="75" w:type="dxa"/>
              <w:bottom w:w="15" w:type="dxa"/>
              <w:right w:w="75" w:type="dxa"/>
            </w:tcMar>
            <w:vAlign w:val="center"/>
          </w:tcPr>
          <w:p w14:paraId="5C6C46C0" w14:textId="77777777" w:rsidR="00AF6702" w:rsidRPr="00702882" w:rsidRDefault="00AF6702" w:rsidP="008D265E">
            <w:pPr>
              <w:spacing w:before="150" w:after="150"/>
              <w:contextualSpacing/>
              <w:rPr>
                <w:sz w:val="20"/>
                <w:szCs w:val="20"/>
              </w:rPr>
            </w:pPr>
            <w:r w:rsidRPr="00702882">
              <w:rPr>
                <w:sz w:val="20"/>
                <w:szCs w:val="20"/>
              </w:rPr>
              <w:t>0.57</w:t>
            </w:r>
          </w:p>
        </w:tc>
        <w:tc>
          <w:tcPr>
            <w:tcW w:w="0" w:type="auto"/>
            <w:tcBorders>
              <w:bottom w:val="nil"/>
            </w:tcBorders>
            <w:tcMar>
              <w:top w:w="15" w:type="dxa"/>
              <w:left w:w="75" w:type="dxa"/>
              <w:bottom w:w="15" w:type="dxa"/>
              <w:right w:w="75" w:type="dxa"/>
            </w:tcMar>
            <w:vAlign w:val="center"/>
          </w:tcPr>
          <w:p w14:paraId="40E31349" w14:textId="77777777" w:rsidR="00AF6702" w:rsidRPr="00702882" w:rsidRDefault="00AF6702" w:rsidP="008D265E">
            <w:pPr>
              <w:spacing w:before="150" w:after="150"/>
              <w:contextualSpacing/>
              <w:rPr>
                <w:sz w:val="20"/>
                <w:szCs w:val="20"/>
              </w:rPr>
            </w:pPr>
            <w:r w:rsidRPr="00702882">
              <w:rPr>
                <w:sz w:val="20"/>
                <w:szCs w:val="20"/>
              </w:rPr>
              <w:t>0.59</w:t>
            </w:r>
          </w:p>
        </w:tc>
        <w:tc>
          <w:tcPr>
            <w:tcW w:w="0" w:type="auto"/>
            <w:tcBorders>
              <w:bottom w:val="nil"/>
            </w:tcBorders>
            <w:tcMar>
              <w:top w:w="15" w:type="dxa"/>
              <w:left w:w="75" w:type="dxa"/>
              <w:bottom w:w="15" w:type="dxa"/>
              <w:right w:w="75" w:type="dxa"/>
            </w:tcMar>
            <w:vAlign w:val="center"/>
          </w:tcPr>
          <w:p w14:paraId="6267A1B2" w14:textId="77777777" w:rsidR="00AF6702" w:rsidRPr="00702882" w:rsidRDefault="00AF6702" w:rsidP="008D265E">
            <w:pPr>
              <w:spacing w:before="150" w:after="150"/>
              <w:contextualSpacing/>
              <w:rPr>
                <w:sz w:val="20"/>
                <w:szCs w:val="20"/>
              </w:rPr>
            </w:pPr>
            <w:r w:rsidRPr="00702882">
              <w:rPr>
                <w:sz w:val="20"/>
                <w:szCs w:val="20"/>
              </w:rPr>
              <w:t>0.60</w:t>
            </w:r>
          </w:p>
        </w:tc>
        <w:tc>
          <w:tcPr>
            <w:tcW w:w="0" w:type="auto"/>
            <w:tcBorders>
              <w:bottom w:val="nil"/>
            </w:tcBorders>
            <w:tcMar>
              <w:top w:w="15" w:type="dxa"/>
              <w:left w:w="75" w:type="dxa"/>
              <w:bottom w:w="15" w:type="dxa"/>
              <w:right w:w="75" w:type="dxa"/>
            </w:tcMar>
            <w:vAlign w:val="center"/>
          </w:tcPr>
          <w:p w14:paraId="3CB32320" w14:textId="77777777" w:rsidR="00AF6702" w:rsidRPr="00702882" w:rsidRDefault="00AF6702" w:rsidP="008D265E">
            <w:pPr>
              <w:spacing w:before="150" w:after="150"/>
              <w:contextualSpacing/>
              <w:rPr>
                <w:sz w:val="20"/>
                <w:szCs w:val="20"/>
              </w:rPr>
            </w:pPr>
            <w:r w:rsidRPr="00702882">
              <w:rPr>
                <w:sz w:val="20"/>
                <w:szCs w:val="20"/>
              </w:rPr>
              <w:t>0.60</w:t>
            </w:r>
          </w:p>
        </w:tc>
      </w:tr>
      <w:tr w:rsidR="00571D0D" w:rsidRPr="00702882" w14:paraId="380B538A" w14:textId="77777777" w:rsidTr="00AE6820">
        <w:trPr>
          <w:jc w:val="center"/>
        </w:trPr>
        <w:tc>
          <w:tcPr>
            <w:tcW w:w="0" w:type="auto"/>
            <w:tcBorders>
              <w:top w:val="nil"/>
              <w:bottom w:val="single" w:sz="12" w:space="0" w:color="auto"/>
            </w:tcBorders>
            <w:tcMar>
              <w:top w:w="15" w:type="dxa"/>
              <w:left w:w="75" w:type="dxa"/>
              <w:bottom w:w="15" w:type="dxa"/>
              <w:right w:w="75" w:type="dxa"/>
            </w:tcMar>
            <w:vAlign w:val="center"/>
          </w:tcPr>
          <w:p w14:paraId="124A1806" w14:textId="77777777" w:rsidR="00AF6702" w:rsidRPr="00702882" w:rsidRDefault="00AF6702" w:rsidP="008D265E">
            <w:pPr>
              <w:spacing w:before="150" w:after="150"/>
              <w:contextualSpacing/>
              <w:rPr>
                <w:sz w:val="20"/>
                <w:szCs w:val="20"/>
              </w:rPr>
            </w:pPr>
            <w:r w:rsidRPr="00702882">
              <w:rPr>
                <w:sz w:val="20"/>
                <w:szCs w:val="20"/>
              </w:rPr>
              <w:t>Num. obs.</w:t>
            </w:r>
          </w:p>
        </w:tc>
        <w:tc>
          <w:tcPr>
            <w:tcW w:w="0" w:type="auto"/>
            <w:tcBorders>
              <w:top w:val="nil"/>
              <w:bottom w:val="single" w:sz="12" w:space="0" w:color="auto"/>
            </w:tcBorders>
            <w:tcMar>
              <w:top w:w="15" w:type="dxa"/>
              <w:left w:w="75" w:type="dxa"/>
              <w:bottom w:w="15" w:type="dxa"/>
              <w:right w:w="75" w:type="dxa"/>
            </w:tcMar>
            <w:vAlign w:val="center"/>
          </w:tcPr>
          <w:p w14:paraId="3F884AB0" w14:textId="77777777" w:rsidR="00AF6702" w:rsidRPr="00702882" w:rsidRDefault="00AF6702" w:rsidP="008D265E">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6AA617BA" w14:textId="77777777" w:rsidR="00AF6702" w:rsidRPr="00702882" w:rsidRDefault="00AF6702" w:rsidP="008D265E">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00E939F4" w14:textId="77777777" w:rsidR="00AF6702" w:rsidRPr="00702882" w:rsidRDefault="00AF6702" w:rsidP="008D265E">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0E60F107" w14:textId="77777777" w:rsidR="00AF6702" w:rsidRPr="00702882" w:rsidRDefault="00AF6702" w:rsidP="008D265E">
            <w:pPr>
              <w:spacing w:before="150" w:after="150"/>
              <w:contextualSpacing/>
              <w:rPr>
                <w:sz w:val="20"/>
                <w:szCs w:val="20"/>
              </w:rPr>
            </w:pPr>
            <w:r w:rsidRPr="00702882">
              <w:rPr>
                <w:sz w:val="20"/>
                <w:szCs w:val="20"/>
              </w:rPr>
              <w:t>813</w:t>
            </w:r>
          </w:p>
        </w:tc>
      </w:tr>
      <w:tr w:rsidR="00571D0D" w:rsidRPr="00702882" w14:paraId="39F2EF79" w14:textId="77777777" w:rsidTr="00AE6820">
        <w:trPr>
          <w:jc w:val="center"/>
        </w:trPr>
        <w:tc>
          <w:tcPr>
            <w:tcW w:w="0" w:type="auto"/>
            <w:gridSpan w:val="5"/>
            <w:tcBorders>
              <w:top w:val="single" w:sz="12" w:space="0" w:color="auto"/>
            </w:tcBorders>
            <w:vAlign w:val="center"/>
            <w:hideMark/>
          </w:tcPr>
          <w:p w14:paraId="2590AABE" w14:textId="77777777" w:rsidR="00AF6702" w:rsidRPr="00702882" w:rsidRDefault="00AF6702" w:rsidP="008D265E">
            <w:pPr>
              <w:spacing w:before="150" w:after="150"/>
              <w:contextualSpacing/>
              <w:rPr>
                <w:sz w:val="20"/>
                <w:szCs w:val="20"/>
              </w:rPr>
            </w:pPr>
            <w:r w:rsidRPr="00702882">
              <w:rPr>
                <w:sz w:val="20"/>
                <w:szCs w:val="20"/>
                <w:vertAlign w:val="superscript"/>
              </w:rPr>
              <w:t>***</w:t>
            </w:r>
            <w:r w:rsidRPr="00702882">
              <w:rPr>
                <w:sz w:val="20"/>
                <w:szCs w:val="20"/>
              </w:rPr>
              <w:t xml:space="preserve">p &lt; 0.01; </w:t>
            </w:r>
            <w:r w:rsidRPr="00702882">
              <w:rPr>
                <w:sz w:val="20"/>
                <w:szCs w:val="20"/>
                <w:vertAlign w:val="superscript"/>
              </w:rPr>
              <w:t>**</w:t>
            </w:r>
            <w:r w:rsidRPr="00702882">
              <w:rPr>
                <w:sz w:val="20"/>
                <w:szCs w:val="20"/>
              </w:rPr>
              <w:t xml:space="preserve">p &lt; 0.05; </w:t>
            </w:r>
            <w:r w:rsidRPr="00702882">
              <w:rPr>
                <w:sz w:val="20"/>
                <w:szCs w:val="20"/>
                <w:vertAlign w:val="superscript"/>
              </w:rPr>
              <w:t>*</w:t>
            </w:r>
            <w:r w:rsidRPr="00702882">
              <w:rPr>
                <w:sz w:val="20"/>
                <w:szCs w:val="20"/>
              </w:rPr>
              <w:t>p &lt; 0.1</w:t>
            </w:r>
          </w:p>
        </w:tc>
      </w:tr>
    </w:tbl>
    <w:p w14:paraId="0115F8D1" w14:textId="77777777" w:rsidR="00AC7046" w:rsidRPr="00702882" w:rsidRDefault="00AC7046" w:rsidP="00C66AC4">
      <w:pPr>
        <w:tabs>
          <w:tab w:val="right" w:leader="middleDot" w:pos="10080"/>
        </w:tabs>
        <w:spacing w:line="480" w:lineRule="auto"/>
        <w:contextualSpacing/>
        <w:jc w:val="both"/>
        <w:rPr>
          <w:rFonts w:eastAsiaTheme="minorEastAsia"/>
          <w:color w:val="7030A0"/>
          <w:sz w:val="20"/>
          <w:szCs w:val="20"/>
        </w:rPr>
      </w:pPr>
    </w:p>
    <w:p w14:paraId="39D6FCAF" w14:textId="77777777" w:rsidR="00571D0D" w:rsidRPr="00702882" w:rsidRDefault="00571D0D" w:rsidP="00C66AC4">
      <w:pPr>
        <w:tabs>
          <w:tab w:val="right" w:leader="middleDot" w:pos="10080"/>
        </w:tabs>
        <w:spacing w:line="480" w:lineRule="auto"/>
        <w:contextualSpacing/>
        <w:jc w:val="both"/>
        <w:rPr>
          <w:rFonts w:eastAsiaTheme="minorEastAsia"/>
          <w:b/>
          <w:bCs/>
        </w:rPr>
      </w:pPr>
    </w:p>
    <w:p w14:paraId="3B1706D8"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0C5DF8A5"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2663CD48"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39D5BE23"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193D352C"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5DF33430"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0B10E92C"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5183310E"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141FDD19"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17352EA0"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36CA9D65"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57959C64"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33A5B123" w14:textId="77777777" w:rsidR="00F05544" w:rsidRPr="00702882" w:rsidRDefault="00F05544" w:rsidP="00C66AC4">
      <w:pPr>
        <w:tabs>
          <w:tab w:val="right" w:leader="middleDot" w:pos="10080"/>
        </w:tabs>
        <w:spacing w:line="480" w:lineRule="auto"/>
        <w:contextualSpacing/>
        <w:jc w:val="both"/>
        <w:rPr>
          <w:rFonts w:eastAsiaTheme="minorEastAsia"/>
          <w:b/>
          <w:bCs/>
        </w:rPr>
      </w:pPr>
    </w:p>
    <w:p w14:paraId="70997B00" w14:textId="685256C0" w:rsidR="00AF6702" w:rsidRPr="00702882" w:rsidRDefault="00AF6702" w:rsidP="00C66AC4">
      <w:pPr>
        <w:tabs>
          <w:tab w:val="right" w:leader="middleDot" w:pos="10080"/>
        </w:tabs>
        <w:spacing w:line="480" w:lineRule="auto"/>
        <w:contextualSpacing/>
        <w:jc w:val="both"/>
        <w:rPr>
          <w:b/>
          <w:bCs/>
        </w:rPr>
      </w:pPr>
      <w:r w:rsidRPr="00702882">
        <w:rPr>
          <w:b/>
          <w:bCs/>
        </w:rPr>
        <w:lastRenderedPageBreak/>
        <w:t xml:space="preserve">6.2 </w:t>
      </w:r>
      <w:bookmarkStart w:id="54" w:name="ResultsfromPanelDataAnalysis"/>
      <w:r w:rsidRPr="00702882">
        <w:rPr>
          <w:b/>
          <w:bCs/>
        </w:rPr>
        <w:t>Results from Panel Data Analysis</w:t>
      </w:r>
      <w:bookmarkEnd w:id="54"/>
    </w:p>
    <w:p w14:paraId="4B10AD54" w14:textId="2261335B" w:rsidR="00AF6702" w:rsidRPr="00702882" w:rsidRDefault="00AF6702" w:rsidP="00C66AC4">
      <w:pPr>
        <w:tabs>
          <w:tab w:val="right" w:leader="middleDot" w:pos="10080"/>
        </w:tabs>
        <w:spacing w:line="480" w:lineRule="auto"/>
        <w:ind w:firstLineChars="295" w:firstLine="708"/>
        <w:contextualSpacing/>
        <w:rPr>
          <w:rFonts w:eastAsiaTheme="minorEastAsia"/>
        </w:rPr>
      </w:pPr>
      <w:r w:rsidRPr="00702882">
        <w:rPr>
          <w:rFonts w:eastAsiaTheme="minorEastAsia"/>
        </w:rPr>
        <w:t xml:space="preserve">Table 9 presents the fixed effects models, analyzing the impacts of BSF structural features on BSF levels, measured as a share of general fund expenditures. </w:t>
      </w:r>
      <w:bookmarkStart w:id="55" w:name="_Hlk160905717"/>
      <w:r w:rsidRPr="00702882">
        <w:rPr>
          <w:rFonts w:eastAsiaTheme="minorEastAsia"/>
        </w:rPr>
        <w:t>Model 1 comprises key independent variables, BSF deposit and withdrawal rules, as well as control variables found in Tables 9</w:t>
      </w:r>
      <w:r w:rsidR="00E67E1F" w:rsidRPr="00702882">
        <w:rPr>
          <w:rFonts w:eastAsiaTheme="minorEastAsia"/>
        </w:rPr>
        <w:t>, 10,</w:t>
      </w:r>
      <w:r w:rsidRPr="00702882">
        <w:rPr>
          <w:rFonts w:eastAsiaTheme="minorEastAsia"/>
        </w:rPr>
        <w:t xml:space="preserve"> and </w:t>
      </w:r>
      <w:r w:rsidR="00E67E1F" w:rsidRPr="00702882">
        <w:rPr>
          <w:rFonts w:eastAsiaTheme="minorEastAsia"/>
        </w:rPr>
        <w:t>11</w:t>
      </w:r>
      <w:r w:rsidRPr="00702882">
        <w:rPr>
          <w:rFonts w:eastAsiaTheme="minorEastAsia"/>
        </w:rPr>
        <w:t xml:space="preserve">. Model 2 introduces interaction terms between the BSF rules and the unemployment variable. Model 3 incorporates interaction terms concerning various BSF rules. In Model 4, only significant interaction terms are retained, while insignificant interaction terms are removed to enhance the model's parsimony. </w:t>
      </w:r>
    </w:p>
    <w:p w14:paraId="59D652F2" w14:textId="108A8E64" w:rsidR="00AF6702" w:rsidRPr="00702882" w:rsidRDefault="00C0209D" w:rsidP="00C66AC4">
      <w:pPr>
        <w:tabs>
          <w:tab w:val="right" w:leader="middleDot" w:pos="10080"/>
        </w:tabs>
        <w:spacing w:line="480" w:lineRule="auto"/>
        <w:ind w:firstLineChars="295" w:firstLine="708"/>
        <w:contextualSpacing/>
        <w:rPr>
          <w:rFonts w:eastAsiaTheme="minorEastAsia"/>
        </w:rPr>
      </w:pPr>
      <w:r w:rsidRPr="00702882">
        <w:rPr>
          <w:rFonts w:eastAsiaTheme="minorEastAsia"/>
        </w:rPr>
        <w:t xml:space="preserve">All reported standard errors were calculated, using </w:t>
      </w:r>
      <w:r w:rsidR="0059215F" w:rsidRPr="00702882">
        <w:rPr>
          <w:rFonts w:eastAsiaTheme="minorEastAsia"/>
        </w:rPr>
        <w:t>“</w:t>
      </w:r>
      <w:r w:rsidRPr="00702882">
        <w:rPr>
          <w:rFonts w:eastAsiaTheme="minorEastAsia"/>
        </w:rPr>
        <w:t>double-clustering robust covariance matrix estimators</w:t>
      </w:r>
      <w:r w:rsidR="0059215F" w:rsidRPr="00702882">
        <w:rPr>
          <w:rFonts w:eastAsiaTheme="minorEastAsia"/>
        </w:rPr>
        <w:t xml:space="preserve">” </w:t>
      </w:r>
      <w:sdt>
        <w:sdtPr>
          <w:rPr>
            <w:rFonts w:eastAsiaTheme="minorEastAsia"/>
            <w:color w:val="000000"/>
          </w:rPr>
          <w:tag w:val="MENDELEY_CITATION_v3_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"/>
          <w:id w:val="-334530632"/>
          <w:placeholder>
            <w:docPart w:val="2F4E47E160AD4E698102528FE858E3AD"/>
          </w:placeholder>
        </w:sdtPr>
        <w:sdtContent>
          <w:r w:rsidR="00F520AD">
            <w:t>(Cameron et al., 2011; Cameron &amp; Miller, 2015).</w:t>
          </w:r>
        </w:sdtContent>
      </w:sdt>
      <w:r w:rsidR="00AF6702" w:rsidRPr="00702882">
        <w:rPr>
          <w:rFonts w:eastAsiaTheme="minorEastAsia"/>
        </w:rPr>
        <w:t xml:space="preserve"> </w:t>
      </w:r>
      <w:sdt>
        <w:sdtPr>
          <w:rPr>
            <w:rFonts w:eastAsiaTheme="minorEastAsia"/>
            <w:color w:val="000000"/>
          </w:rPr>
          <w:tag w:val="MENDELEY_CITATION_v3_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"/>
          <w:id w:val="-1864356160"/>
          <w:placeholder>
            <w:docPart w:val="8F9C25ACBCFA45B08D810634B9DE8211"/>
          </w:placeholder>
        </w:sdtPr>
        <w:sdtContent>
          <w:r w:rsidR="00F520AD" w:rsidRPr="00F520AD">
            <w:rPr>
              <w:color w:val="000000"/>
            </w:rPr>
            <w:t>Cameron et al. (2011) and Cameron and Miller (2015)</w:t>
          </w:r>
        </w:sdtContent>
      </w:sdt>
      <w:r w:rsidR="00AF6702" w:rsidRPr="00702882">
        <w:rPr>
          <w:rFonts w:eastAsiaTheme="minorEastAsia"/>
        </w:rPr>
        <w:t xml:space="preserve"> introduced the concept of double-clustering robust standard errors, designed to correct biases arising from effective clustering. This method adjusts standard errors by accounting for two levels of clustering: the first clustering involves grouping observations, while the second clustering involves grouping errors </w:t>
      </w:r>
      <w:sdt>
        <w:sdtPr>
          <w:rPr>
            <w:rFonts w:eastAsiaTheme="minorEastAsia"/>
            <w:color w:val="000000"/>
          </w:rPr>
          <w:tag w:val="MENDELEY_CITATION_v3_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"/>
          <w:id w:val="885075123"/>
          <w:placeholder>
            <w:docPart w:val="859A09BF09984E90ADD84D6EE035340B"/>
          </w:placeholder>
        </w:sdtPr>
        <w:sdtContent>
          <w:r w:rsidR="00F520AD">
            <w:t>(Cameron et al., 2011; Cameron &amp; Miller, 2015).</w:t>
          </w:r>
        </w:sdtContent>
      </w:sdt>
      <w:r w:rsidR="00E45FD8" w:rsidRPr="00702882">
        <w:rPr>
          <w:rFonts w:eastAsiaTheme="minorEastAsia"/>
        </w:rPr>
        <w:t xml:space="preserve"> </w:t>
      </w:r>
    </w:p>
    <w:bookmarkEnd w:id="55"/>
    <w:p w14:paraId="4D829036" w14:textId="531674E7" w:rsidR="007A1D82" w:rsidRPr="00702882" w:rsidRDefault="00E45FD8" w:rsidP="007A1D82">
      <w:pPr>
        <w:tabs>
          <w:tab w:val="right" w:leader="middleDot" w:pos="10080"/>
        </w:tabs>
        <w:spacing w:line="480" w:lineRule="auto"/>
        <w:ind w:firstLineChars="295" w:firstLine="708"/>
        <w:contextualSpacing/>
        <w:rPr>
          <w:rFonts w:eastAsiaTheme="minorEastAsia"/>
        </w:rPr>
      </w:pPr>
      <w:r w:rsidRPr="00702882">
        <w:rPr>
          <w:rFonts w:eastAsiaTheme="minorEastAsia"/>
        </w:rPr>
        <w:t>It is worth noting that certain interaction terms may indeed exhibit a significant degree of collinearity, which can pose problems, especially when standard errors are high.</w:t>
      </w:r>
      <w:r w:rsidR="001816E0" w:rsidRPr="00702882">
        <w:rPr>
          <w:rFonts w:eastAsiaTheme="minorEastAsia"/>
        </w:rPr>
        <w:t xml:space="preserve"> </w:t>
      </w:r>
      <w:r w:rsidR="00AF6702" w:rsidRPr="00702882">
        <w:rPr>
          <w:rFonts w:eastAsiaTheme="minorEastAsia"/>
        </w:rPr>
        <w:t>This potential multicollinearity poses challenges, as it can artificially inflate standard errors, complicating the estimation of confidence intervals for regression coefficients and the determination of statistical significance. To mitigate this issue, I simplified the fixed effects models, by removing insignificant variables. These variables were not only found to be statistically insignificant, but also exhibited high correlation with other variables in the original model.</w:t>
      </w:r>
    </w:p>
    <w:p w14:paraId="38564654" w14:textId="6A712998" w:rsidR="00AF6702" w:rsidRPr="00702882" w:rsidRDefault="00AF6702" w:rsidP="00C66AC4">
      <w:pPr>
        <w:tabs>
          <w:tab w:val="right" w:leader="middleDot" w:pos="10080"/>
        </w:tabs>
        <w:spacing w:line="480" w:lineRule="auto"/>
        <w:ind w:firstLineChars="295" w:firstLine="708"/>
        <w:contextualSpacing/>
        <w:rPr>
          <w:rFonts w:eastAsiaTheme="minorEastAsia"/>
          <w:color w:val="7030A0"/>
        </w:rPr>
      </w:pPr>
      <w:r w:rsidRPr="00702882">
        <w:rPr>
          <w:rFonts w:eastAsiaTheme="minorEastAsia"/>
        </w:rPr>
        <w:lastRenderedPageBreak/>
        <w:t xml:space="preserve">The variables removed from the original models are deposits by legislature (DepoLegis), deposits tied to </w:t>
      </w:r>
      <w:r w:rsidR="007A1D82" w:rsidRPr="00702882">
        <w:rPr>
          <w:rFonts w:eastAsiaTheme="minorEastAsia"/>
        </w:rPr>
        <w:t>a certain proportion of general fund revenues or expenditures</w:t>
      </w:r>
      <w:r w:rsidRPr="00702882">
        <w:rPr>
          <w:rFonts w:eastAsiaTheme="minorEastAsia"/>
        </w:rPr>
        <w:t xml:space="preserve"> (DepoVol_propor), withdrawal limits (WithLim), withdrawals based on revenue shortfalls (WithShortfall), and withdrawals tied to revenue volatility (WithVol). In the reduced model, thus, the deposit tied to revenue volatility </w:t>
      </w:r>
      <w:r w:rsidR="007A1D82" w:rsidRPr="00702882">
        <w:rPr>
          <w:rFonts w:eastAsiaTheme="minorEastAsia"/>
        </w:rPr>
        <w:t xml:space="preserve">(DepoVol_formula) </w:t>
      </w:r>
      <w:r w:rsidRPr="00702882">
        <w:rPr>
          <w:rFonts w:eastAsiaTheme="minorEastAsia"/>
        </w:rPr>
        <w:t xml:space="preserve">and number are the remaining dummy variables. The study also employs a Pooled Ordinary Least Squares (OLS) regression model, which solely incorporates year dummy variables, while excluding state fixed effects. This model is presented in Table </w:t>
      </w:r>
      <w:r w:rsidR="00F76BC9" w:rsidRPr="00702882">
        <w:rPr>
          <w:rFonts w:eastAsiaTheme="minorEastAsia"/>
        </w:rPr>
        <w:t>11</w:t>
      </w:r>
      <w:r w:rsidRPr="00702882">
        <w:rPr>
          <w:rFonts w:eastAsiaTheme="minorEastAsia"/>
        </w:rPr>
        <w:t>.</w:t>
      </w:r>
    </w:p>
    <w:p w14:paraId="5DFEB2A3" w14:textId="77777777" w:rsidR="00C46624" w:rsidRPr="00702882" w:rsidRDefault="00C46624" w:rsidP="00C66AC4">
      <w:pPr>
        <w:tabs>
          <w:tab w:val="right" w:leader="middleDot" w:pos="10080"/>
        </w:tabs>
        <w:spacing w:line="480" w:lineRule="auto"/>
        <w:ind w:firstLineChars="295" w:firstLine="708"/>
        <w:contextualSpacing/>
        <w:rPr>
          <w:rFonts w:eastAsiaTheme="minorEastAsia"/>
        </w:rPr>
      </w:pPr>
    </w:p>
    <w:p w14:paraId="60D4DC54" w14:textId="77777777" w:rsidR="00AF6702" w:rsidRPr="00702882" w:rsidRDefault="00AF6702" w:rsidP="00C66AC4">
      <w:pPr>
        <w:pStyle w:val="ad"/>
        <w:spacing w:before="0" w:beforeAutospacing="0" w:line="480" w:lineRule="auto"/>
        <w:ind w:firstLine="360"/>
        <w:contextualSpacing/>
        <w:rPr>
          <w:rFonts w:eastAsiaTheme="minorEastAsia"/>
        </w:rPr>
      </w:pPr>
      <w:r w:rsidRPr="00702882">
        <w:rPr>
          <w:rFonts w:eastAsiaTheme="minorEastAsia"/>
          <w:b/>
          <w:bCs/>
          <w:i/>
          <w:iCs/>
        </w:rPr>
        <w:t>6.2.1 Comparison of Model Performance: Effects of BSF Rules on BSF Levels</w:t>
      </w:r>
      <w:r w:rsidRPr="00702882">
        <w:rPr>
          <w:rFonts w:eastAsiaTheme="minorEastAsia"/>
        </w:rPr>
        <w:t xml:space="preserve"> </w:t>
      </w:r>
    </w:p>
    <w:p w14:paraId="19C03945" w14:textId="56E59063" w:rsidR="00C210FE" w:rsidRPr="00702882" w:rsidRDefault="00AF6702" w:rsidP="00C210FE">
      <w:pPr>
        <w:pStyle w:val="ad"/>
        <w:spacing w:before="0" w:beforeAutospacing="0" w:line="480" w:lineRule="auto"/>
        <w:ind w:firstLine="709"/>
        <w:contextualSpacing/>
        <w:rPr>
          <w:rFonts w:eastAsiaTheme="minorEastAsia"/>
        </w:rPr>
      </w:pPr>
      <w:r w:rsidRPr="00702882">
        <w:rPr>
          <w:rFonts w:eastAsiaTheme="minorEastAsia"/>
        </w:rPr>
        <w:t>Hou (2004) employed the Prais-Winsten model to examine the effects of BSF structural features on BSF levels. The model yields an R-squared value of 0.20, indicating that 20 % of the variance in the dependent variable is explained by the independent variables included in his model.</w:t>
      </w:r>
      <w:r w:rsidR="00C210FE" w:rsidRPr="00702882">
        <w:rPr>
          <w:rFonts w:eastAsiaTheme="minorEastAsia"/>
        </w:rPr>
        <w:t xml:space="preserve"> In Hou's study (2004, p. 54), only the Cap variable demonstrated statistical significance, while the other deposit variables exhibited insignificant effects on BSF levels, as shown in Table 2. </w:t>
      </w:r>
      <w:r w:rsidRPr="00702882">
        <w:t xml:space="preserve">Specifically, deposit requirements, such as </w:t>
      </w:r>
      <w:r w:rsidR="008B571B" w:rsidRPr="00702882">
        <w:rPr>
          <w:rFonts w:eastAsiaTheme="minorEastAsia"/>
        </w:rPr>
        <w:t>“</w:t>
      </w:r>
      <w:r w:rsidRPr="00702882">
        <w:t>funding by formula, funding from general fund surplus, funding by appropriation, and funding from special revenue,</w:t>
      </w:r>
      <w:r w:rsidR="008B571B" w:rsidRPr="00702882">
        <w:rPr>
          <w:rFonts w:eastAsiaTheme="minorEastAsia"/>
        </w:rPr>
        <w:t>”</w:t>
      </w:r>
      <w:r w:rsidRPr="00702882">
        <w:t xml:space="preserve"> had insignificant effects on BSF levels as a percent of general fund expenditures</w:t>
      </w:r>
      <w:r w:rsidR="008B571B" w:rsidRPr="00702882">
        <w:rPr>
          <w:rFonts w:eastAsiaTheme="minorEastAsia"/>
        </w:rPr>
        <w:t xml:space="preserve"> (Hou, 2004)</w:t>
      </w:r>
      <w:r w:rsidRPr="00702882">
        <w:t>.</w:t>
      </w:r>
    </w:p>
    <w:p w14:paraId="7E1FC41E" w14:textId="46E000DA" w:rsidR="00053842" w:rsidRPr="00702882" w:rsidRDefault="00300C0F" w:rsidP="009E1212">
      <w:pPr>
        <w:pStyle w:val="ad"/>
        <w:spacing w:before="0" w:beforeAutospacing="0" w:line="480" w:lineRule="auto"/>
        <w:ind w:firstLine="709"/>
        <w:contextualSpacing/>
        <w:rPr>
          <w:rFonts w:eastAsiaTheme="minorEastAsia"/>
        </w:rPr>
      </w:pPr>
      <w:r w:rsidRPr="00702882">
        <w:rPr>
          <w:rFonts w:eastAsiaTheme="minorEastAsia"/>
        </w:rPr>
        <w:t>In Table 3 of Hou's (2004, p. 56) study, regressions were run using only each group of structural features, which are divided into: “Panel A: Purpose of Use (default: for cash flow), Panel B: Sources of BSF (default: from special revenue), Panel C: Maximum Balance Allowable (default: Cap I), and Panel D: Procedure for Use Approval (default: executive discretion), excluding the default values.</w:t>
      </w:r>
      <w:r w:rsidR="00B91EE7" w:rsidRPr="00702882">
        <w:rPr>
          <w:rFonts w:eastAsiaTheme="minorEastAsia"/>
        </w:rPr>
        <w:t xml:space="preserve"> </w:t>
      </w:r>
      <w:r w:rsidR="009B4C9B" w:rsidRPr="00702882">
        <w:rPr>
          <w:rFonts w:eastAsiaTheme="minorEastAsia"/>
        </w:rPr>
        <w:t xml:space="preserve">In the BSF sources group (panel B), the estimate for </w:t>
      </w:r>
      <w:r w:rsidR="009B4C9B" w:rsidRPr="00702882">
        <w:rPr>
          <w:rFonts w:eastAsiaTheme="minorEastAsia"/>
        </w:rPr>
        <w:lastRenderedPageBreak/>
        <w:t>“funding by formula” is statistically significant, unlike the insignificant result of this variable shown in Table 2.</w:t>
      </w:r>
      <w:r w:rsidR="009E1212" w:rsidRPr="00702882">
        <w:rPr>
          <w:rFonts w:eastAsiaTheme="minorEastAsia"/>
        </w:rPr>
        <w:t xml:space="preserve"> </w:t>
      </w:r>
      <w:r w:rsidR="001809BE" w:rsidRPr="00702882">
        <w:rPr>
          <w:rFonts w:eastAsiaTheme="minorEastAsia"/>
        </w:rPr>
        <w:t>For use approval procedures (panel D), “use by formula” more effectively maintains the BSF balance than “executive discretion”; although “use by appropriation” is not statistically significant (Hou, 2004).</w:t>
      </w:r>
    </w:p>
    <w:p w14:paraId="40B72D24" w14:textId="4A74A5F8" w:rsidR="00612590" w:rsidRPr="00702882" w:rsidRDefault="00612590" w:rsidP="009E1212">
      <w:pPr>
        <w:pStyle w:val="ad"/>
        <w:spacing w:before="0" w:beforeAutospacing="0" w:line="480" w:lineRule="auto"/>
        <w:ind w:firstLine="709"/>
        <w:contextualSpacing/>
        <w:rPr>
          <w:rFonts w:eastAsiaTheme="minorEastAsia"/>
        </w:rPr>
      </w:pPr>
      <w:r w:rsidRPr="00702882">
        <w:rPr>
          <w:rFonts w:eastAsiaTheme="minorEastAsia"/>
        </w:rPr>
        <w:t>Our study's fixed effects models show similar results to Hou's (2004) study but reveal a greater number of statistically significant variables, which will be elaborated upon in subsequent sections. Consequently, our study achieves an improved R-squared value of approximately 0.31 to 0.32, indicating enhanced explanatory power compared to Hou's Prais-Winsten model.</w:t>
      </w:r>
    </w:p>
    <w:p w14:paraId="10982647" w14:textId="77777777" w:rsidR="00AF6702" w:rsidRPr="00702882" w:rsidRDefault="00AF6702" w:rsidP="00C66AC4">
      <w:pPr>
        <w:pStyle w:val="ad"/>
        <w:spacing w:before="0" w:beforeAutospacing="0" w:line="480" w:lineRule="auto"/>
        <w:ind w:firstLine="709"/>
        <w:contextualSpacing/>
        <w:rPr>
          <w:rFonts w:eastAsiaTheme="minorEastAsia"/>
        </w:rPr>
      </w:pPr>
    </w:p>
    <w:p w14:paraId="380135E7" w14:textId="4AF07243" w:rsidR="00AF6702" w:rsidRPr="00702882" w:rsidRDefault="00AF6702" w:rsidP="00C66AC4">
      <w:pPr>
        <w:pStyle w:val="ad"/>
        <w:spacing w:before="0" w:beforeAutospacing="0" w:line="480" w:lineRule="auto"/>
        <w:contextualSpacing/>
        <w:jc w:val="center"/>
        <w:rPr>
          <w:rFonts w:eastAsiaTheme="minorEastAsia"/>
          <w:b/>
          <w:bCs/>
        </w:rPr>
      </w:pPr>
      <w:r w:rsidRPr="00702882">
        <w:rPr>
          <w:rFonts w:eastAsiaTheme="minorEastAsia"/>
          <w:b/>
          <w:bCs/>
        </w:rPr>
        <w:t>Table 1</w:t>
      </w:r>
      <w:r w:rsidR="00D73689" w:rsidRPr="00702882">
        <w:rPr>
          <w:rFonts w:eastAsiaTheme="minorEastAsia"/>
          <w:b/>
          <w:bCs/>
        </w:rPr>
        <w:t>2</w:t>
      </w:r>
      <w:r w:rsidRPr="00702882">
        <w:rPr>
          <w:rFonts w:eastAsiaTheme="minorEastAsia"/>
          <w:b/>
          <w:bCs/>
        </w:rPr>
        <w:t>. Comparison of Model Performance Indices for Fixed Effects Models</w:t>
      </w:r>
    </w:p>
    <w:tbl>
      <w:tblPr>
        <w:tblStyle w:val="a7"/>
        <w:tblW w:w="8616" w:type="dxa"/>
        <w:tblLayout w:type="fixed"/>
        <w:tblLook w:val="04A0" w:firstRow="1" w:lastRow="0" w:firstColumn="1" w:lastColumn="0" w:noHBand="0" w:noVBand="1"/>
      </w:tblPr>
      <w:tblGrid>
        <w:gridCol w:w="1077"/>
        <w:gridCol w:w="1077"/>
        <w:gridCol w:w="1077"/>
        <w:gridCol w:w="1077"/>
        <w:gridCol w:w="1077"/>
        <w:gridCol w:w="1077"/>
        <w:gridCol w:w="1077"/>
        <w:gridCol w:w="1077"/>
      </w:tblGrid>
      <w:tr w:rsidR="00A94AAE" w:rsidRPr="00702882" w14:paraId="48ED56B9" w14:textId="77777777" w:rsidTr="00AE6820">
        <w:trPr>
          <w:trHeight w:val="340"/>
        </w:trPr>
        <w:tc>
          <w:tcPr>
            <w:tcW w:w="1077" w:type="dxa"/>
            <w:noWrap/>
            <w:vAlign w:val="center"/>
            <w:hideMark/>
          </w:tcPr>
          <w:p w14:paraId="217DBD08" w14:textId="77777777" w:rsidR="00AF6702" w:rsidRPr="00702882" w:rsidRDefault="00AF6702" w:rsidP="00345FBA">
            <w:pPr>
              <w:jc w:val="both"/>
              <w:rPr>
                <w:rFonts w:eastAsia="맑은 고딕"/>
                <w:sz w:val="22"/>
                <w:szCs w:val="22"/>
              </w:rPr>
            </w:pPr>
            <w:r w:rsidRPr="00702882">
              <w:rPr>
                <w:rFonts w:eastAsia="맑은 고딕"/>
                <w:sz w:val="22"/>
                <w:szCs w:val="22"/>
              </w:rPr>
              <w:t>Name</w:t>
            </w:r>
          </w:p>
        </w:tc>
        <w:tc>
          <w:tcPr>
            <w:tcW w:w="1077" w:type="dxa"/>
            <w:noWrap/>
            <w:vAlign w:val="center"/>
            <w:hideMark/>
          </w:tcPr>
          <w:p w14:paraId="6FC994C6" w14:textId="77777777" w:rsidR="00AF6702" w:rsidRPr="00702882" w:rsidRDefault="00AF6702" w:rsidP="00345FBA">
            <w:pPr>
              <w:jc w:val="both"/>
              <w:rPr>
                <w:rFonts w:eastAsia="맑은 고딕"/>
                <w:sz w:val="22"/>
                <w:szCs w:val="22"/>
              </w:rPr>
            </w:pPr>
            <w:r w:rsidRPr="00702882">
              <w:rPr>
                <w:rFonts w:eastAsia="맑은 고딕"/>
                <w:sz w:val="22"/>
                <w:szCs w:val="22"/>
              </w:rPr>
              <w:t xml:space="preserve">  R2</w:t>
            </w:r>
          </w:p>
        </w:tc>
        <w:tc>
          <w:tcPr>
            <w:tcW w:w="1077" w:type="dxa"/>
            <w:noWrap/>
            <w:vAlign w:val="center"/>
            <w:hideMark/>
          </w:tcPr>
          <w:p w14:paraId="235D6AF7" w14:textId="77777777" w:rsidR="00AF6702" w:rsidRPr="00702882" w:rsidRDefault="00AF6702" w:rsidP="00345FBA">
            <w:pPr>
              <w:jc w:val="both"/>
              <w:rPr>
                <w:rFonts w:eastAsia="맑은 고딕"/>
                <w:sz w:val="22"/>
                <w:szCs w:val="22"/>
              </w:rPr>
            </w:pPr>
            <w:r w:rsidRPr="00702882">
              <w:rPr>
                <w:rFonts w:eastAsia="맑은 고딕"/>
                <w:sz w:val="22"/>
                <w:szCs w:val="22"/>
              </w:rPr>
              <w:t>RMSE</w:t>
            </w:r>
          </w:p>
        </w:tc>
        <w:tc>
          <w:tcPr>
            <w:tcW w:w="1077" w:type="dxa"/>
            <w:noWrap/>
            <w:vAlign w:val="center"/>
            <w:hideMark/>
          </w:tcPr>
          <w:p w14:paraId="51DD4319" w14:textId="77777777" w:rsidR="00AF6702" w:rsidRPr="00702882" w:rsidRDefault="00AF6702" w:rsidP="00345FBA">
            <w:pPr>
              <w:jc w:val="both"/>
              <w:rPr>
                <w:rFonts w:eastAsia="맑은 고딕"/>
                <w:sz w:val="22"/>
                <w:szCs w:val="22"/>
              </w:rPr>
            </w:pPr>
            <w:r w:rsidRPr="00702882">
              <w:rPr>
                <w:rFonts w:eastAsia="맑은 고딕"/>
                <w:sz w:val="22"/>
                <w:szCs w:val="22"/>
              </w:rPr>
              <w:t>Sigma</w:t>
            </w:r>
          </w:p>
        </w:tc>
        <w:tc>
          <w:tcPr>
            <w:tcW w:w="1077" w:type="dxa"/>
            <w:noWrap/>
            <w:vAlign w:val="center"/>
            <w:hideMark/>
          </w:tcPr>
          <w:p w14:paraId="3063E6DB" w14:textId="77777777" w:rsidR="00AF6702" w:rsidRPr="00702882" w:rsidRDefault="00AF6702" w:rsidP="00345FBA">
            <w:pPr>
              <w:jc w:val="both"/>
              <w:rPr>
                <w:rFonts w:eastAsia="맑은 고딕"/>
                <w:sz w:val="22"/>
                <w:szCs w:val="22"/>
              </w:rPr>
            </w:pPr>
            <w:r w:rsidRPr="00702882">
              <w:rPr>
                <w:rFonts w:eastAsia="맑은 고딕"/>
                <w:sz w:val="22"/>
                <w:szCs w:val="22"/>
              </w:rPr>
              <w:t xml:space="preserve"> AIC weights</w:t>
            </w:r>
          </w:p>
        </w:tc>
        <w:tc>
          <w:tcPr>
            <w:tcW w:w="1077" w:type="dxa"/>
            <w:noWrap/>
            <w:vAlign w:val="center"/>
            <w:hideMark/>
          </w:tcPr>
          <w:p w14:paraId="039C320F" w14:textId="77777777" w:rsidR="00AF6702" w:rsidRPr="00702882" w:rsidRDefault="00AF6702" w:rsidP="00345FBA">
            <w:pPr>
              <w:jc w:val="both"/>
              <w:rPr>
                <w:rFonts w:eastAsia="맑은 고딕"/>
                <w:sz w:val="22"/>
                <w:szCs w:val="22"/>
              </w:rPr>
            </w:pPr>
            <w:r w:rsidRPr="00702882">
              <w:rPr>
                <w:rFonts w:eastAsia="맑은 고딕"/>
                <w:sz w:val="22"/>
                <w:szCs w:val="22"/>
              </w:rPr>
              <w:t>AICc weights</w:t>
            </w:r>
          </w:p>
        </w:tc>
        <w:tc>
          <w:tcPr>
            <w:tcW w:w="1077" w:type="dxa"/>
            <w:noWrap/>
            <w:vAlign w:val="center"/>
            <w:hideMark/>
          </w:tcPr>
          <w:p w14:paraId="1A391C67" w14:textId="77777777" w:rsidR="00AF6702" w:rsidRPr="00702882" w:rsidRDefault="00AF6702" w:rsidP="00345FBA">
            <w:pPr>
              <w:jc w:val="both"/>
              <w:rPr>
                <w:rFonts w:eastAsia="맑은 고딕"/>
                <w:sz w:val="22"/>
                <w:szCs w:val="22"/>
              </w:rPr>
            </w:pPr>
            <w:r w:rsidRPr="00702882">
              <w:rPr>
                <w:rFonts w:eastAsia="맑은 고딕"/>
                <w:sz w:val="22"/>
                <w:szCs w:val="22"/>
              </w:rPr>
              <w:t>BIC weights</w:t>
            </w:r>
          </w:p>
        </w:tc>
        <w:tc>
          <w:tcPr>
            <w:tcW w:w="1077" w:type="dxa"/>
            <w:noWrap/>
            <w:vAlign w:val="center"/>
            <w:hideMark/>
          </w:tcPr>
          <w:p w14:paraId="1C0362AD" w14:textId="77777777" w:rsidR="00AF6702" w:rsidRPr="00702882" w:rsidRDefault="00AF6702" w:rsidP="00345FBA">
            <w:pPr>
              <w:jc w:val="both"/>
              <w:rPr>
                <w:rFonts w:eastAsia="맑은 고딕"/>
                <w:sz w:val="22"/>
                <w:szCs w:val="22"/>
              </w:rPr>
            </w:pPr>
            <w:r w:rsidRPr="00702882">
              <w:rPr>
                <w:rFonts w:eastAsia="맑은 고딕"/>
                <w:sz w:val="22"/>
                <w:szCs w:val="22"/>
              </w:rPr>
              <w:t>Score</w:t>
            </w:r>
          </w:p>
        </w:tc>
      </w:tr>
      <w:tr w:rsidR="00A94AAE" w:rsidRPr="00702882" w14:paraId="5F9C520D" w14:textId="77777777" w:rsidTr="00AE6820">
        <w:trPr>
          <w:trHeight w:val="340"/>
        </w:trPr>
        <w:tc>
          <w:tcPr>
            <w:tcW w:w="1077" w:type="dxa"/>
            <w:noWrap/>
            <w:vAlign w:val="center"/>
            <w:hideMark/>
          </w:tcPr>
          <w:p w14:paraId="5424C2CF" w14:textId="77777777" w:rsidR="00AF6702" w:rsidRPr="00702882" w:rsidRDefault="00AF6702" w:rsidP="00345FBA">
            <w:pPr>
              <w:jc w:val="both"/>
              <w:rPr>
                <w:rFonts w:eastAsia="맑은 고딕"/>
                <w:sz w:val="22"/>
                <w:szCs w:val="22"/>
              </w:rPr>
            </w:pPr>
            <w:r w:rsidRPr="00702882">
              <w:rPr>
                <w:rFonts w:eastAsia="맑은 고딕"/>
                <w:sz w:val="22"/>
                <w:szCs w:val="22"/>
              </w:rPr>
              <w:t>Model 4</w:t>
            </w:r>
          </w:p>
        </w:tc>
        <w:tc>
          <w:tcPr>
            <w:tcW w:w="1077" w:type="dxa"/>
            <w:noWrap/>
            <w:vAlign w:val="center"/>
            <w:hideMark/>
          </w:tcPr>
          <w:p w14:paraId="2152639B" w14:textId="77777777" w:rsidR="00AF6702" w:rsidRPr="00702882" w:rsidRDefault="00AF6702" w:rsidP="00345FBA">
            <w:pPr>
              <w:jc w:val="both"/>
              <w:rPr>
                <w:rFonts w:eastAsia="맑은 고딕"/>
                <w:sz w:val="22"/>
                <w:szCs w:val="22"/>
              </w:rPr>
            </w:pPr>
            <w:r w:rsidRPr="00702882">
              <w:rPr>
                <w:rFonts w:eastAsia="맑은 고딕"/>
                <w:sz w:val="22"/>
                <w:szCs w:val="22"/>
              </w:rPr>
              <w:t>0.32</w:t>
            </w:r>
          </w:p>
        </w:tc>
        <w:tc>
          <w:tcPr>
            <w:tcW w:w="1077" w:type="dxa"/>
            <w:noWrap/>
            <w:vAlign w:val="center"/>
            <w:hideMark/>
          </w:tcPr>
          <w:p w14:paraId="70C3F411" w14:textId="77777777" w:rsidR="00AF6702" w:rsidRPr="00702882" w:rsidRDefault="00AF6702" w:rsidP="00345FBA">
            <w:pPr>
              <w:jc w:val="both"/>
              <w:rPr>
                <w:rFonts w:eastAsia="맑은 고딕"/>
                <w:sz w:val="22"/>
                <w:szCs w:val="22"/>
              </w:rPr>
            </w:pPr>
            <w:r w:rsidRPr="00702882">
              <w:rPr>
                <w:rFonts w:eastAsia="맑은 고딕"/>
                <w:sz w:val="22"/>
                <w:szCs w:val="22"/>
              </w:rPr>
              <w:t>2.53</w:t>
            </w:r>
          </w:p>
        </w:tc>
        <w:tc>
          <w:tcPr>
            <w:tcW w:w="1077" w:type="dxa"/>
            <w:noWrap/>
            <w:vAlign w:val="center"/>
            <w:hideMark/>
          </w:tcPr>
          <w:p w14:paraId="28772A50" w14:textId="77777777" w:rsidR="00AF6702" w:rsidRPr="00702882" w:rsidRDefault="00AF6702" w:rsidP="00345FBA">
            <w:pPr>
              <w:jc w:val="both"/>
              <w:rPr>
                <w:rFonts w:eastAsia="맑은 고딕"/>
                <w:sz w:val="22"/>
                <w:szCs w:val="22"/>
              </w:rPr>
            </w:pPr>
            <w:r w:rsidRPr="00702882">
              <w:rPr>
                <w:rFonts w:eastAsia="맑은 고딕"/>
                <w:sz w:val="22"/>
                <w:szCs w:val="22"/>
              </w:rPr>
              <w:t>2.58</w:t>
            </w:r>
          </w:p>
        </w:tc>
        <w:tc>
          <w:tcPr>
            <w:tcW w:w="1077" w:type="dxa"/>
            <w:noWrap/>
            <w:vAlign w:val="center"/>
            <w:hideMark/>
          </w:tcPr>
          <w:p w14:paraId="7E9EF588" w14:textId="77777777" w:rsidR="00AF6702" w:rsidRPr="00702882" w:rsidRDefault="00AF6702" w:rsidP="00345FBA">
            <w:pPr>
              <w:jc w:val="both"/>
              <w:rPr>
                <w:rFonts w:eastAsia="맑은 고딕"/>
                <w:sz w:val="22"/>
                <w:szCs w:val="22"/>
              </w:rPr>
            </w:pPr>
            <w:r w:rsidRPr="00702882">
              <w:rPr>
                <w:rFonts w:eastAsia="맑은 고딕"/>
                <w:sz w:val="22"/>
                <w:szCs w:val="22"/>
              </w:rPr>
              <w:t>0.47</w:t>
            </w:r>
          </w:p>
        </w:tc>
        <w:tc>
          <w:tcPr>
            <w:tcW w:w="1077" w:type="dxa"/>
            <w:noWrap/>
            <w:vAlign w:val="center"/>
            <w:hideMark/>
          </w:tcPr>
          <w:p w14:paraId="333E64A2" w14:textId="77777777" w:rsidR="00AF6702" w:rsidRPr="00702882" w:rsidRDefault="00AF6702" w:rsidP="00345FBA">
            <w:pPr>
              <w:jc w:val="both"/>
              <w:rPr>
                <w:rFonts w:eastAsia="맑은 고딕"/>
                <w:sz w:val="22"/>
                <w:szCs w:val="22"/>
              </w:rPr>
            </w:pPr>
            <w:r w:rsidRPr="00702882">
              <w:rPr>
                <w:rFonts w:eastAsia="맑은 고딕"/>
                <w:sz w:val="22"/>
                <w:szCs w:val="22"/>
              </w:rPr>
              <w:t>0.53</w:t>
            </w:r>
          </w:p>
        </w:tc>
        <w:tc>
          <w:tcPr>
            <w:tcW w:w="1077" w:type="dxa"/>
            <w:noWrap/>
            <w:vAlign w:val="center"/>
            <w:hideMark/>
          </w:tcPr>
          <w:p w14:paraId="7BA76900" w14:textId="77777777" w:rsidR="00AF6702" w:rsidRPr="00702882" w:rsidRDefault="00AF6702" w:rsidP="00345FBA">
            <w:pPr>
              <w:jc w:val="both"/>
              <w:rPr>
                <w:rFonts w:eastAsia="맑은 고딕"/>
                <w:sz w:val="22"/>
                <w:szCs w:val="22"/>
              </w:rPr>
            </w:pPr>
            <w:r w:rsidRPr="00702882">
              <w:rPr>
                <w:rFonts w:eastAsia="맑은 고딕"/>
                <w:sz w:val="22"/>
                <w:szCs w:val="22"/>
              </w:rPr>
              <w:t>1.00</w:t>
            </w:r>
          </w:p>
        </w:tc>
        <w:tc>
          <w:tcPr>
            <w:tcW w:w="1077" w:type="dxa"/>
            <w:noWrap/>
            <w:vAlign w:val="center"/>
            <w:hideMark/>
          </w:tcPr>
          <w:p w14:paraId="60741025" w14:textId="77777777" w:rsidR="00AF6702" w:rsidRPr="00702882" w:rsidRDefault="00AF6702" w:rsidP="00345FBA">
            <w:pPr>
              <w:jc w:val="both"/>
              <w:rPr>
                <w:rFonts w:eastAsia="맑은 고딕"/>
                <w:sz w:val="22"/>
                <w:szCs w:val="22"/>
              </w:rPr>
            </w:pPr>
            <w:r w:rsidRPr="00702882">
              <w:rPr>
                <w:rFonts w:eastAsia="맑은 고딕"/>
                <w:sz w:val="22"/>
                <w:szCs w:val="22"/>
              </w:rPr>
              <w:t>91.04%</w:t>
            </w:r>
          </w:p>
        </w:tc>
      </w:tr>
      <w:tr w:rsidR="00A94AAE" w:rsidRPr="00702882" w14:paraId="3572A6C2" w14:textId="77777777" w:rsidTr="00AE6820">
        <w:trPr>
          <w:trHeight w:val="340"/>
        </w:trPr>
        <w:tc>
          <w:tcPr>
            <w:tcW w:w="1077" w:type="dxa"/>
            <w:noWrap/>
            <w:vAlign w:val="center"/>
            <w:hideMark/>
          </w:tcPr>
          <w:p w14:paraId="0B04AB2C" w14:textId="77777777" w:rsidR="00AF6702" w:rsidRPr="00702882" w:rsidRDefault="00AF6702" w:rsidP="00345FBA">
            <w:pPr>
              <w:jc w:val="both"/>
              <w:rPr>
                <w:rFonts w:eastAsia="맑은 고딕"/>
                <w:sz w:val="22"/>
                <w:szCs w:val="22"/>
              </w:rPr>
            </w:pPr>
            <w:r w:rsidRPr="00702882">
              <w:rPr>
                <w:rFonts w:eastAsia="맑은 고딕"/>
                <w:sz w:val="22"/>
                <w:szCs w:val="22"/>
              </w:rPr>
              <w:t>Model 3</w:t>
            </w:r>
          </w:p>
        </w:tc>
        <w:tc>
          <w:tcPr>
            <w:tcW w:w="1077" w:type="dxa"/>
            <w:noWrap/>
            <w:vAlign w:val="center"/>
            <w:hideMark/>
          </w:tcPr>
          <w:p w14:paraId="4D27606B" w14:textId="77777777" w:rsidR="00AF6702" w:rsidRPr="00702882" w:rsidRDefault="00AF6702" w:rsidP="00345FBA">
            <w:pPr>
              <w:jc w:val="both"/>
              <w:rPr>
                <w:rFonts w:eastAsia="맑은 고딕"/>
                <w:sz w:val="22"/>
                <w:szCs w:val="22"/>
              </w:rPr>
            </w:pPr>
            <w:r w:rsidRPr="00702882">
              <w:rPr>
                <w:rFonts w:eastAsia="맑은 고딕"/>
                <w:sz w:val="22"/>
                <w:szCs w:val="22"/>
              </w:rPr>
              <w:t>0.32</w:t>
            </w:r>
          </w:p>
        </w:tc>
        <w:tc>
          <w:tcPr>
            <w:tcW w:w="1077" w:type="dxa"/>
            <w:noWrap/>
            <w:vAlign w:val="center"/>
            <w:hideMark/>
          </w:tcPr>
          <w:p w14:paraId="7AAAD3DE" w14:textId="77777777" w:rsidR="00AF6702" w:rsidRPr="00702882" w:rsidRDefault="00AF6702" w:rsidP="00345FBA">
            <w:pPr>
              <w:jc w:val="both"/>
              <w:rPr>
                <w:rFonts w:eastAsia="맑은 고딕"/>
                <w:sz w:val="22"/>
                <w:szCs w:val="22"/>
              </w:rPr>
            </w:pPr>
            <w:r w:rsidRPr="00702882">
              <w:rPr>
                <w:rFonts w:eastAsia="맑은 고딕"/>
                <w:sz w:val="22"/>
                <w:szCs w:val="22"/>
              </w:rPr>
              <w:t>2.52</w:t>
            </w:r>
          </w:p>
        </w:tc>
        <w:tc>
          <w:tcPr>
            <w:tcW w:w="1077" w:type="dxa"/>
            <w:noWrap/>
            <w:vAlign w:val="center"/>
            <w:hideMark/>
          </w:tcPr>
          <w:p w14:paraId="068ED42D" w14:textId="77777777" w:rsidR="00AF6702" w:rsidRPr="00702882" w:rsidRDefault="00AF6702" w:rsidP="00345FBA">
            <w:pPr>
              <w:jc w:val="both"/>
              <w:rPr>
                <w:rFonts w:eastAsia="맑은 고딕"/>
                <w:sz w:val="22"/>
                <w:szCs w:val="22"/>
              </w:rPr>
            </w:pPr>
            <w:r w:rsidRPr="00702882">
              <w:rPr>
                <w:rFonts w:eastAsia="맑은 고딕"/>
                <w:sz w:val="22"/>
                <w:szCs w:val="22"/>
              </w:rPr>
              <w:t>2.57</w:t>
            </w:r>
          </w:p>
        </w:tc>
        <w:tc>
          <w:tcPr>
            <w:tcW w:w="1077" w:type="dxa"/>
            <w:noWrap/>
            <w:vAlign w:val="center"/>
            <w:hideMark/>
          </w:tcPr>
          <w:p w14:paraId="306E84CF" w14:textId="77777777" w:rsidR="00AF6702" w:rsidRPr="00702882" w:rsidRDefault="00AF6702" w:rsidP="00345FBA">
            <w:pPr>
              <w:jc w:val="both"/>
              <w:rPr>
                <w:rFonts w:eastAsia="맑은 고딕"/>
                <w:sz w:val="22"/>
                <w:szCs w:val="22"/>
              </w:rPr>
            </w:pPr>
            <w:r w:rsidRPr="00702882">
              <w:rPr>
                <w:rFonts w:eastAsia="맑은 고딕"/>
                <w:sz w:val="22"/>
                <w:szCs w:val="22"/>
              </w:rPr>
              <w:t>0.53</w:t>
            </w:r>
          </w:p>
        </w:tc>
        <w:tc>
          <w:tcPr>
            <w:tcW w:w="1077" w:type="dxa"/>
            <w:noWrap/>
            <w:vAlign w:val="center"/>
            <w:hideMark/>
          </w:tcPr>
          <w:p w14:paraId="1AE9D776" w14:textId="77777777" w:rsidR="00AF6702" w:rsidRPr="00702882" w:rsidRDefault="00AF6702" w:rsidP="00345FBA">
            <w:pPr>
              <w:jc w:val="both"/>
              <w:rPr>
                <w:rFonts w:eastAsia="맑은 고딕"/>
                <w:sz w:val="22"/>
                <w:szCs w:val="22"/>
              </w:rPr>
            </w:pPr>
            <w:r w:rsidRPr="00702882">
              <w:rPr>
                <w:rFonts w:eastAsia="맑은 고딕"/>
                <w:sz w:val="22"/>
                <w:szCs w:val="22"/>
              </w:rPr>
              <w:t>0.47</w:t>
            </w:r>
          </w:p>
        </w:tc>
        <w:tc>
          <w:tcPr>
            <w:tcW w:w="1077" w:type="dxa"/>
            <w:noWrap/>
            <w:vAlign w:val="center"/>
            <w:hideMark/>
          </w:tcPr>
          <w:p w14:paraId="17FB90AD" w14:textId="77777777" w:rsidR="00AF6702" w:rsidRPr="00702882" w:rsidRDefault="00AF6702" w:rsidP="00345FBA">
            <w:pPr>
              <w:jc w:val="both"/>
              <w:rPr>
                <w:rFonts w:eastAsia="맑은 고딕"/>
                <w:sz w:val="22"/>
                <w:szCs w:val="22"/>
              </w:rPr>
            </w:pPr>
            <w:r w:rsidRPr="00702882">
              <w:rPr>
                <w:rFonts w:eastAsia="맑은 고딕"/>
                <w:sz w:val="22"/>
                <w:szCs w:val="22"/>
              </w:rPr>
              <w:t>9.68E-04</w:t>
            </w:r>
          </w:p>
        </w:tc>
        <w:tc>
          <w:tcPr>
            <w:tcW w:w="1077" w:type="dxa"/>
            <w:noWrap/>
            <w:vAlign w:val="center"/>
            <w:hideMark/>
          </w:tcPr>
          <w:p w14:paraId="28EA0947" w14:textId="77777777" w:rsidR="00AF6702" w:rsidRPr="00702882" w:rsidRDefault="00AF6702" w:rsidP="00345FBA">
            <w:pPr>
              <w:jc w:val="both"/>
              <w:rPr>
                <w:rFonts w:eastAsia="맑은 고딕"/>
                <w:sz w:val="22"/>
                <w:szCs w:val="22"/>
              </w:rPr>
            </w:pPr>
            <w:r w:rsidRPr="00702882">
              <w:rPr>
                <w:rFonts w:eastAsia="맑은 고딕"/>
                <w:sz w:val="22"/>
                <w:szCs w:val="22"/>
              </w:rPr>
              <w:t>83.91%</w:t>
            </w:r>
          </w:p>
        </w:tc>
      </w:tr>
      <w:tr w:rsidR="00A94AAE" w:rsidRPr="00702882" w14:paraId="37C86CED" w14:textId="77777777" w:rsidTr="00AE6820">
        <w:trPr>
          <w:trHeight w:val="340"/>
        </w:trPr>
        <w:tc>
          <w:tcPr>
            <w:tcW w:w="1077" w:type="dxa"/>
            <w:noWrap/>
            <w:vAlign w:val="center"/>
            <w:hideMark/>
          </w:tcPr>
          <w:p w14:paraId="0A7442A3" w14:textId="77777777" w:rsidR="00AF6702" w:rsidRPr="00702882" w:rsidRDefault="00AF6702" w:rsidP="00345FBA">
            <w:pPr>
              <w:jc w:val="both"/>
              <w:rPr>
                <w:rFonts w:eastAsia="맑은 고딕"/>
                <w:sz w:val="22"/>
                <w:szCs w:val="22"/>
              </w:rPr>
            </w:pPr>
            <w:r w:rsidRPr="00702882">
              <w:rPr>
                <w:rFonts w:eastAsia="맑은 고딕"/>
                <w:sz w:val="22"/>
                <w:szCs w:val="22"/>
              </w:rPr>
              <w:t>Model 2</w:t>
            </w:r>
          </w:p>
        </w:tc>
        <w:tc>
          <w:tcPr>
            <w:tcW w:w="1077" w:type="dxa"/>
            <w:noWrap/>
            <w:vAlign w:val="center"/>
            <w:hideMark/>
          </w:tcPr>
          <w:p w14:paraId="292D18BF" w14:textId="77777777" w:rsidR="00AF6702" w:rsidRPr="00702882" w:rsidRDefault="00AF6702" w:rsidP="00345FBA">
            <w:pPr>
              <w:jc w:val="both"/>
              <w:rPr>
                <w:rFonts w:eastAsia="맑은 고딕"/>
                <w:sz w:val="22"/>
                <w:szCs w:val="22"/>
              </w:rPr>
            </w:pPr>
            <w:r w:rsidRPr="00702882">
              <w:rPr>
                <w:rFonts w:eastAsia="맑은 고딕"/>
                <w:sz w:val="22"/>
                <w:szCs w:val="22"/>
              </w:rPr>
              <w:t>0.31</w:t>
            </w:r>
          </w:p>
        </w:tc>
        <w:tc>
          <w:tcPr>
            <w:tcW w:w="1077" w:type="dxa"/>
            <w:noWrap/>
            <w:vAlign w:val="center"/>
            <w:hideMark/>
          </w:tcPr>
          <w:p w14:paraId="421B0D56" w14:textId="77777777" w:rsidR="00AF6702" w:rsidRPr="00702882" w:rsidRDefault="00AF6702" w:rsidP="00345FBA">
            <w:pPr>
              <w:jc w:val="both"/>
              <w:rPr>
                <w:rFonts w:eastAsia="맑은 고딕"/>
                <w:sz w:val="22"/>
                <w:szCs w:val="22"/>
              </w:rPr>
            </w:pPr>
            <w:r w:rsidRPr="00702882">
              <w:rPr>
                <w:rFonts w:eastAsia="맑은 고딕"/>
                <w:sz w:val="22"/>
                <w:szCs w:val="22"/>
              </w:rPr>
              <w:t>2.55</w:t>
            </w:r>
          </w:p>
        </w:tc>
        <w:tc>
          <w:tcPr>
            <w:tcW w:w="1077" w:type="dxa"/>
            <w:noWrap/>
            <w:vAlign w:val="center"/>
            <w:hideMark/>
          </w:tcPr>
          <w:p w14:paraId="22DB6DB1" w14:textId="77777777" w:rsidR="00AF6702" w:rsidRPr="00702882" w:rsidRDefault="00AF6702" w:rsidP="00345FBA">
            <w:pPr>
              <w:jc w:val="both"/>
              <w:rPr>
                <w:rFonts w:eastAsia="맑은 고딕"/>
                <w:sz w:val="22"/>
                <w:szCs w:val="22"/>
              </w:rPr>
            </w:pPr>
            <w:r w:rsidRPr="00702882">
              <w:rPr>
                <w:rFonts w:eastAsia="맑은 고딕"/>
                <w:sz w:val="22"/>
                <w:szCs w:val="22"/>
              </w:rPr>
              <w:t>2.61</w:t>
            </w:r>
          </w:p>
        </w:tc>
        <w:tc>
          <w:tcPr>
            <w:tcW w:w="1077" w:type="dxa"/>
            <w:noWrap/>
            <w:vAlign w:val="center"/>
            <w:hideMark/>
          </w:tcPr>
          <w:p w14:paraId="570BE3C9" w14:textId="77777777" w:rsidR="00AF6702" w:rsidRPr="00702882" w:rsidRDefault="00AF6702" w:rsidP="00345FBA">
            <w:pPr>
              <w:jc w:val="both"/>
              <w:rPr>
                <w:rFonts w:eastAsia="맑은 고딕"/>
                <w:sz w:val="22"/>
                <w:szCs w:val="22"/>
              </w:rPr>
            </w:pPr>
            <w:r w:rsidRPr="00702882">
              <w:rPr>
                <w:rFonts w:eastAsia="맑은 고딕"/>
                <w:sz w:val="22"/>
                <w:szCs w:val="22"/>
              </w:rPr>
              <w:t>1.81E-06</w:t>
            </w:r>
          </w:p>
        </w:tc>
        <w:tc>
          <w:tcPr>
            <w:tcW w:w="1077" w:type="dxa"/>
            <w:noWrap/>
            <w:vAlign w:val="center"/>
            <w:hideMark/>
          </w:tcPr>
          <w:p w14:paraId="7E2E709B" w14:textId="77777777" w:rsidR="00AF6702" w:rsidRPr="00702882" w:rsidRDefault="00AF6702" w:rsidP="00345FBA">
            <w:pPr>
              <w:jc w:val="both"/>
              <w:rPr>
                <w:rFonts w:eastAsia="맑은 고딕"/>
                <w:sz w:val="22"/>
                <w:szCs w:val="22"/>
              </w:rPr>
            </w:pPr>
            <w:r w:rsidRPr="00702882">
              <w:rPr>
                <w:rFonts w:eastAsia="맑은 고딕"/>
                <w:sz w:val="22"/>
                <w:szCs w:val="22"/>
              </w:rPr>
              <w:t>9.92E-07</w:t>
            </w:r>
          </w:p>
        </w:tc>
        <w:tc>
          <w:tcPr>
            <w:tcW w:w="1077" w:type="dxa"/>
            <w:noWrap/>
            <w:vAlign w:val="center"/>
            <w:hideMark/>
          </w:tcPr>
          <w:p w14:paraId="56A2DB4D" w14:textId="77777777" w:rsidR="00AF6702" w:rsidRPr="00702882" w:rsidRDefault="00AF6702" w:rsidP="00345FBA">
            <w:pPr>
              <w:jc w:val="both"/>
              <w:rPr>
                <w:rFonts w:eastAsia="맑은 고딕"/>
                <w:sz w:val="22"/>
                <w:szCs w:val="22"/>
              </w:rPr>
            </w:pPr>
            <w:r w:rsidRPr="00702882">
              <w:rPr>
                <w:rFonts w:eastAsia="맑은 고딕"/>
                <w:sz w:val="22"/>
                <w:szCs w:val="22"/>
              </w:rPr>
              <w:t>2.61E-14</w:t>
            </w:r>
          </w:p>
        </w:tc>
        <w:tc>
          <w:tcPr>
            <w:tcW w:w="1077" w:type="dxa"/>
            <w:noWrap/>
            <w:vAlign w:val="center"/>
            <w:hideMark/>
          </w:tcPr>
          <w:p w14:paraId="40C3EF84" w14:textId="77777777" w:rsidR="00AF6702" w:rsidRPr="00702882" w:rsidRDefault="00AF6702" w:rsidP="00345FBA">
            <w:pPr>
              <w:jc w:val="both"/>
              <w:rPr>
                <w:rFonts w:eastAsia="맑은 고딕"/>
                <w:sz w:val="22"/>
                <w:szCs w:val="22"/>
              </w:rPr>
            </w:pPr>
            <w:r w:rsidRPr="00702882">
              <w:rPr>
                <w:rFonts w:eastAsia="맑은 고딕"/>
                <w:sz w:val="22"/>
                <w:szCs w:val="22"/>
              </w:rPr>
              <w:t>26.73%</w:t>
            </w:r>
          </w:p>
        </w:tc>
      </w:tr>
      <w:tr w:rsidR="00AF6702" w:rsidRPr="00702882" w14:paraId="3896342A" w14:textId="77777777" w:rsidTr="00AE6820">
        <w:trPr>
          <w:trHeight w:val="340"/>
        </w:trPr>
        <w:tc>
          <w:tcPr>
            <w:tcW w:w="1077" w:type="dxa"/>
            <w:noWrap/>
            <w:vAlign w:val="center"/>
            <w:hideMark/>
          </w:tcPr>
          <w:p w14:paraId="1F078F00" w14:textId="77777777" w:rsidR="00AF6702" w:rsidRPr="00702882" w:rsidRDefault="00AF6702" w:rsidP="00345FBA">
            <w:pPr>
              <w:jc w:val="both"/>
              <w:rPr>
                <w:rFonts w:eastAsia="맑은 고딕"/>
                <w:sz w:val="22"/>
                <w:szCs w:val="22"/>
              </w:rPr>
            </w:pPr>
            <w:r w:rsidRPr="00702882">
              <w:rPr>
                <w:rFonts w:eastAsia="맑은 고딕"/>
                <w:sz w:val="22"/>
                <w:szCs w:val="22"/>
              </w:rPr>
              <w:t>Model 1</w:t>
            </w:r>
          </w:p>
        </w:tc>
        <w:tc>
          <w:tcPr>
            <w:tcW w:w="1077" w:type="dxa"/>
            <w:noWrap/>
            <w:vAlign w:val="center"/>
            <w:hideMark/>
          </w:tcPr>
          <w:p w14:paraId="0005B0BF" w14:textId="77777777" w:rsidR="00AF6702" w:rsidRPr="00702882" w:rsidRDefault="00AF6702" w:rsidP="00345FBA">
            <w:pPr>
              <w:jc w:val="both"/>
              <w:rPr>
                <w:rFonts w:eastAsia="맑은 고딕"/>
                <w:sz w:val="22"/>
                <w:szCs w:val="22"/>
              </w:rPr>
            </w:pPr>
            <w:r w:rsidRPr="00702882">
              <w:rPr>
                <w:rFonts w:eastAsia="맑은 고딕"/>
                <w:sz w:val="22"/>
                <w:szCs w:val="22"/>
              </w:rPr>
              <w:t>0.29</w:t>
            </w:r>
          </w:p>
        </w:tc>
        <w:tc>
          <w:tcPr>
            <w:tcW w:w="1077" w:type="dxa"/>
            <w:noWrap/>
            <w:vAlign w:val="center"/>
            <w:hideMark/>
          </w:tcPr>
          <w:p w14:paraId="755A3646" w14:textId="77777777" w:rsidR="00AF6702" w:rsidRPr="00702882" w:rsidRDefault="00AF6702" w:rsidP="00345FBA">
            <w:pPr>
              <w:jc w:val="both"/>
              <w:rPr>
                <w:rFonts w:eastAsia="맑은 고딕"/>
                <w:sz w:val="22"/>
                <w:szCs w:val="22"/>
              </w:rPr>
            </w:pPr>
            <w:r w:rsidRPr="00702882">
              <w:rPr>
                <w:rFonts w:eastAsia="맑은 고딕"/>
                <w:sz w:val="22"/>
                <w:szCs w:val="22"/>
              </w:rPr>
              <w:t>2.58</w:t>
            </w:r>
          </w:p>
        </w:tc>
        <w:tc>
          <w:tcPr>
            <w:tcW w:w="1077" w:type="dxa"/>
            <w:noWrap/>
            <w:vAlign w:val="center"/>
            <w:hideMark/>
          </w:tcPr>
          <w:p w14:paraId="20E0FFB0" w14:textId="77777777" w:rsidR="00AF6702" w:rsidRPr="00702882" w:rsidRDefault="00AF6702" w:rsidP="00345FBA">
            <w:pPr>
              <w:jc w:val="both"/>
              <w:rPr>
                <w:rFonts w:eastAsia="맑은 고딕"/>
                <w:sz w:val="22"/>
                <w:szCs w:val="22"/>
              </w:rPr>
            </w:pPr>
            <w:r w:rsidRPr="00702882">
              <w:rPr>
                <w:rFonts w:eastAsia="맑은 고딕"/>
                <w:sz w:val="22"/>
                <w:szCs w:val="22"/>
              </w:rPr>
              <w:t>2.62</w:t>
            </w:r>
          </w:p>
        </w:tc>
        <w:tc>
          <w:tcPr>
            <w:tcW w:w="1077" w:type="dxa"/>
            <w:noWrap/>
            <w:vAlign w:val="center"/>
            <w:hideMark/>
          </w:tcPr>
          <w:p w14:paraId="72BDC5B2" w14:textId="77777777" w:rsidR="00AF6702" w:rsidRPr="00702882" w:rsidRDefault="00AF6702" w:rsidP="00345FBA">
            <w:pPr>
              <w:jc w:val="both"/>
              <w:rPr>
                <w:rFonts w:eastAsia="맑은 고딕"/>
                <w:sz w:val="22"/>
                <w:szCs w:val="22"/>
              </w:rPr>
            </w:pPr>
            <w:r w:rsidRPr="00702882">
              <w:rPr>
                <w:rFonts w:eastAsia="맑은 고딕"/>
                <w:sz w:val="22"/>
                <w:szCs w:val="22"/>
              </w:rPr>
              <w:t>1.59E-06</w:t>
            </w:r>
          </w:p>
        </w:tc>
        <w:tc>
          <w:tcPr>
            <w:tcW w:w="1077" w:type="dxa"/>
            <w:noWrap/>
            <w:vAlign w:val="center"/>
            <w:hideMark/>
          </w:tcPr>
          <w:p w14:paraId="755637CB" w14:textId="77777777" w:rsidR="00AF6702" w:rsidRPr="00702882" w:rsidRDefault="00AF6702" w:rsidP="00345FBA">
            <w:pPr>
              <w:jc w:val="both"/>
              <w:rPr>
                <w:rFonts w:eastAsia="맑은 고딕"/>
                <w:sz w:val="22"/>
                <w:szCs w:val="22"/>
              </w:rPr>
            </w:pPr>
            <w:r w:rsidRPr="00702882">
              <w:rPr>
                <w:rFonts w:eastAsia="맑은 고딕"/>
                <w:sz w:val="22"/>
                <w:szCs w:val="22"/>
              </w:rPr>
              <w:t>2.26E-06</w:t>
            </w:r>
          </w:p>
        </w:tc>
        <w:tc>
          <w:tcPr>
            <w:tcW w:w="1077" w:type="dxa"/>
            <w:noWrap/>
            <w:vAlign w:val="center"/>
            <w:hideMark/>
          </w:tcPr>
          <w:p w14:paraId="07A769F3" w14:textId="77777777" w:rsidR="00AF6702" w:rsidRPr="00702882" w:rsidRDefault="00AF6702" w:rsidP="00345FBA">
            <w:pPr>
              <w:jc w:val="both"/>
              <w:rPr>
                <w:rFonts w:eastAsia="맑은 고딕"/>
                <w:sz w:val="22"/>
                <w:szCs w:val="22"/>
              </w:rPr>
            </w:pPr>
            <w:r w:rsidRPr="00702882">
              <w:rPr>
                <w:rFonts w:eastAsia="맑은 고딕"/>
                <w:sz w:val="22"/>
                <w:szCs w:val="22"/>
              </w:rPr>
              <w:t>0.00</w:t>
            </w:r>
          </w:p>
        </w:tc>
        <w:tc>
          <w:tcPr>
            <w:tcW w:w="1077" w:type="dxa"/>
            <w:noWrap/>
            <w:vAlign w:val="center"/>
            <w:hideMark/>
          </w:tcPr>
          <w:p w14:paraId="3C9844DA" w14:textId="77777777" w:rsidR="00AF6702" w:rsidRPr="00702882" w:rsidRDefault="00AF6702" w:rsidP="00345FBA">
            <w:pPr>
              <w:jc w:val="both"/>
              <w:rPr>
                <w:rFonts w:eastAsia="맑은 고딕"/>
                <w:sz w:val="22"/>
                <w:szCs w:val="22"/>
              </w:rPr>
            </w:pPr>
            <w:r w:rsidRPr="00702882">
              <w:rPr>
                <w:rFonts w:eastAsia="맑은 고딕"/>
                <w:sz w:val="22"/>
                <w:szCs w:val="22"/>
              </w:rPr>
              <w:t>0.06%</w:t>
            </w:r>
          </w:p>
        </w:tc>
      </w:tr>
    </w:tbl>
    <w:p w14:paraId="755C0858" w14:textId="77777777" w:rsidR="00AF6702" w:rsidRPr="00702882" w:rsidRDefault="00AF6702" w:rsidP="00C66AC4">
      <w:pPr>
        <w:pStyle w:val="ad"/>
        <w:spacing w:before="0" w:beforeAutospacing="0" w:line="480" w:lineRule="auto"/>
        <w:contextualSpacing/>
        <w:rPr>
          <w:rFonts w:eastAsiaTheme="minorEastAsia"/>
        </w:rPr>
      </w:pPr>
    </w:p>
    <w:p w14:paraId="66B9170C" w14:textId="5E6D7A5D"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t>Table 1</w:t>
      </w:r>
      <w:r w:rsidR="00D73689" w:rsidRPr="00702882">
        <w:rPr>
          <w:rFonts w:eastAsiaTheme="minorEastAsia"/>
        </w:rPr>
        <w:t>2</w:t>
      </w:r>
      <w:r w:rsidRPr="00702882">
        <w:rPr>
          <w:rFonts w:eastAsiaTheme="minorEastAsia"/>
        </w:rPr>
        <w:t xml:space="preserve"> compares the performance metrics of fixed effects Models 1 to 4 in Table 9. This presentation highlights the comprehensive evaluation capabilities offered by the “performance” package in R. Root Mean Squared Error (RMSE) and Sigma measure the average prediction error. Higher weights for AIC (Akaike Information Criterion), AICc (Corrected Akaike Information Criterion), and BIC (Bayesian Information Criterion) indicate better model fit relative to other models. The </w:t>
      </w:r>
      <w:r w:rsidR="00A94AAE" w:rsidRPr="00702882">
        <w:rPr>
          <w:rFonts w:eastAsiaTheme="minorEastAsia"/>
        </w:rPr>
        <w:t>“</w:t>
      </w:r>
      <w:r w:rsidRPr="00702882">
        <w:rPr>
          <w:rFonts w:eastAsiaTheme="minorEastAsia"/>
        </w:rPr>
        <w:t>Score</w:t>
      </w:r>
      <w:r w:rsidR="00A94AAE" w:rsidRPr="00702882">
        <w:rPr>
          <w:rFonts w:eastAsiaTheme="minorEastAsia"/>
        </w:rPr>
        <w:t>”</w:t>
      </w:r>
      <w:r w:rsidRPr="00702882">
        <w:rPr>
          <w:rFonts w:eastAsiaTheme="minorEastAsia"/>
        </w:rPr>
        <w:t xml:space="preserve"> represents the overall assessment of the models based on combined performance metrics.</w:t>
      </w:r>
      <w:bookmarkStart w:id="56" w:name="_Hlk162144749"/>
    </w:p>
    <w:p w14:paraId="65B60398" w14:textId="77777777"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lastRenderedPageBreak/>
        <w:t>Model 4 performs the best with a score of 91.04%, followed by Model 3 with 83.91%. Model 2 scores 26.73%, and Model 1 performs the worst with a score of 0.06%. The R-squared values for the models are similar, approximately around 0.3, indicating a comparable proportion of variance explained by each model. RMSE and Sigma are also similar to each other across the models, indicating that the average differences between observed and predicted values are comparable among the models. This suggests consistency in the models' predictive accuracy.</w:t>
      </w:r>
    </w:p>
    <w:p w14:paraId="12B4CF10" w14:textId="4B50F479" w:rsidR="00AF6702" w:rsidRPr="00702882" w:rsidRDefault="00AF6702" w:rsidP="00C66AC4">
      <w:pPr>
        <w:pStyle w:val="ad"/>
        <w:spacing w:before="0" w:beforeAutospacing="0" w:line="480" w:lineRule="auto"/>
        <w:ind w:firstLineChars="295" w:firstLine="708"/>
        <w:contextualSpacing/>
        <w:rPr>
          <w:rFonts w:eastAsiaTheme="minorEastAsia"/>
        </w:rPr>
      </w:pPr>
      <w:r w:rsidRPr="00702882">
        <w:rPr>
          <w:rFonts w:eastAsiaTheme="minorEastAsia"/>
        </w:rPr>
        <w:t>On the other hand, there are substantial variations in AIC, AICc, and BIC weights among the models. These weights reflect the relative quality of the models in terms of goodness of fit and complexity. Model 4's superior AIC, AICc, and BIC values stem from its approach of retaining only significant interaction terms, enhancing parsimony without sacrificing explanatory power. This balanced strategy prevents overfitting, ensuring that the model captures meaningful relationships rather than noise. As a result, Model 4 achieves the best balance between complexity and explanatory ability among the models, indicating its highest performance.</w:t>
      </w:r>
      <w:bookmarkEnd w:id="56"/>
    </w:p>
    <w:p w14:paraId="3D78616B" w14:textId="77777777" w:rsidR="00AF6702" w:rsidRPr="00702882" w:rsidRDefault="00AF6702" w:rsidP="00C66AC4">
      <w:pPr>
        <w:pStyle w:val="ad"/>
        <w:spacing w:before="0" w:beforeAutospacing="0" w:line="480" w:lineRule="auto"/>
        <w:ind w:firstLineChars="295" w:firstLine="708"/>
        <w:contextualSpacing/>
        <w:rPr>
          <w:rFonts w:eastAsiaTheme="minorEastAsia"/>
        </w:rPr>
      </w:pPr>
    </w:p>
    <w:p w14:paraId="4E3E2016" w14:textId="60FA3731" w:rsidR="00AF6702" w:rsidRPr="00702882" w:rsidRDefault="00AF6702" w:rsidP="00C66AC4">
      <w:pPr>
        <w:pStyle w:val="ad"/>
        <w:spacing w:before="0" w:beforeAutospacing="0" w:line="480" w:lineRule="auto"/>
        <w:contextualSpacing/>
        <w:jc w:val="center"/>
        <w:rPr>
          <w:rFonts w:eastAsiaTheme="minorEastAsia"/>
          <w:b/>
          <w:bCs/>
        </w:rPr>
      </w:pPr>
      <w:r w:rsidRPr="00702882">
        <w:rPr>
          <w:rFonts w:eastAsiaTheme="minorEastAsia"/>
          <w:b/>
          <w:bCs/>
        </w:rPr>
        <w:t>Table 1</w:t>
      </w:r>
      <w:r w:rsidR="00711CDA" w:rsidRPr="00702882">
        <w:rPr>
          <w:rFonts w:eastAsiaTheme="minorEastAsia"/>
          <w:b/>
          <w:bCs/>
        </w:rPr>
        <w:t>3</w:t>
      </w:r>
      <w:r w:rsidR="00332FF1" w:rsidRPr="00702882">
        <w:rPr>
          <w:rFonts w:eastAsiaTheme="minorEastAsia"/>
          <w:b/>
          <w:bCs/>
        </w:rPr>
        <w:t>.</w:t>
      </w:r>
      <w:r w:rsidRPr="00702882">
        <w:rPr>
          <w:rFonts w:eastAsiaTheme="minorEastAsia"/>
          <w:b/>
          <w:bCs/>
        </w:rPr>
        <w:t xml:space="preserve"> Comparison of Model Performance Indices between Different Models</w:t>
      </w:r>
    </w:p>
    <w:tbl>
      <w:tblPr>
        <w:tblStyle w:val="a7"/>
        <w:tblW w:w="8616" w:type="dxa"/>
        <w:tblLayout w:type="fixed"/>
        <w:tblLook w:val="04A0" w:firstRow="1" w:lastRow="0" w:firstColumn="1" w:lastColumn="0" w:noHBand="0" w:noVBand="1"/>
      </w:tblPr>
      <w:tblGrid>
        <w:gridCol w:w="1077"/>
        <w:gridCol w:w="1077"/>
        <w:gridCol w:w="1077"/>
        <w:gridCol w:w="1077"/>
        <w:gridCol w:w="1077"/>
        <w:gridCol w:w="1077"/>
        <w:gridCol w:w="1077"/>
        <w:gridCol w:w="1077"/>
      </w:tblGrid>
      <w:tr w:rsidR="009E6664" w:rsidRPr="00702882" w14:paraId="5F7F27CD" w14:textId="77777777" w:rsidTr="00AE6820">
        <w:trPr>
          <w:trHeight w:val="340"/>
        </w:trPr>
        <w:tc>
          <w:tcPr>
            <w:tcW w:w="1077" w:type="dxa"/>
            <w:noWrap/>
            <w:vAlign w:val="center"/>
            <w:hideMark/>
          </w:tcPr>
          <w:p w14:paraId="4061BA25" w14:textId="77777777" w:rsidR="00AF6702" w:rsidRPr="00702882" w:rsidRDefault="00AF6702" w:rsidP="009E6664">
            <w:pPr>
              <w:jc w:val="both"/>
              <w:rPr>
                <w:rFonts w:eastAsia="맑은 고딕"/>
                <w:sz w:val="22"/>
                <w:szCs w:val="22"/>
              </w:rPr>
            </w:pPr>
            <w:r w:rsidRPr="00702882">
              <w:rPr>
                <w:rFonts w:eastAsia="맑은 고딕"/>
                <w:sz w:val="22"/>
                <w:szCs w:val="22"/>
              </w:rPr>
              <w:t>Model 4</w:t>
            </w:r>
          </w:p>
        </w:tc>
        <w:tc>
          <w:tcPr>
            <w:tcW w:w="1077" w:type="dxa"/>
            <w:noWrap/>
            <w:vAlign w:val="center"/>
            <w:hideMark/>
          </w:tcPr>
          <w:p w14:paraId="002EE23B" w14:textId="77777777" w:rsidR="00AF6702" w:rsidRPr="00702882" w:rsidRDefault="00AF6702" w:rsidP="009E6664">
            <w:pPr>
              <w:jc w:val="both"/>
              <w:rPr>
                <w:rFonts w:eastAsia="맑은 고딕"/>
                <w:sz w:val="22"/>
                <w:szCs w:val="22"/>
              </w:rPr>
            </w:pPr>
            <w:r w:rsidRPr="00702882">
              <w:rPr>
                <w:rFonts w:eastAsia="맑은 고딕"/>
                <w:sz w:val="22"/>
                <w:szCs w:val="22"/>
              </w:rPr>
              <w:t>R2</w:t>
            </w:r>
          </w:p>
        </w:tc>
        <w:tc>
          <w:tcPr>
            <w:tcW w:w="1077" w:type="dxa"/>
            <w:noWrap/>
            <w:vAlign w:val="center"/>
            <w:hideMark/>
          </w:tcPr>
          <w:p w14:paraId="21A99B2C" w14:textId="77777777" w:rsidR="00AF6702" w:rsidRPr="00702882" w:rsidRDefault="00AF6702" w:rsidP="009E6664">
            <w:pPr>
              <w:jc w:val="both"/>
              <w:rPr>
                <w:rFonts w:eastAsia="맑은 고딕"/>
                <w:sz w:val="22"/>
                <w:szCs w:val="22"/>
              </w:rPr>
            </w:pPr>
            <w:r w:rsidRPr="00702882">
              <w:rPr>
                <w:rFonts w:eastAsia="맑은 고딕"/>
                <w:sz w:val="22"/>
                <w:szCs w:val="22"/>
              </w:rPr>
              <w:t>RMSE</w:t>
            </w:r>
          </w:p>
        </w:tc>
        <w:tc>
          <w:tcPr>
            <w:tcW w:w="1077" w:type="dxa"/>
            <w:noWrap/>
            <w:vAlign w:val="center"/>
            <w:hideMark/>
          </w:tcPr>
          <w:p w14:paraId="02B2A122" w14:textId="77777777" w:rsidR="00AF6702" w:rsidRPr="00702882" w:rsidRDefault="00AF6702" w:rsidP="009E6664">
            <w:pPr>
              <w:jc w:val="both"/>
              <w:rPr>
                <w:rFonts w:eastAsia="맑은 고딕"/>
                <w:sz w:val="22"/>
                <w:szCs w:val="22"/>
              </w:rPr>
            </w:pPr>
            <w:r w:rsidRPr="00702882">
              <w:rPr>
                <w:rFonts w:eastAsia="맑은 고딕"/>
                <w:sz w:val="22"/>
                <w:szCs w:val="22"/>
              </w:rPr>
              <w:t>Sigma</w:t>
            </w:r>
          </w:p>
        </w:tc>
        <w:tc>
          <w:tcPr>
            <w:tcW w:w="1077" w:type="dxa"/>
            <w:noWrap/>
            <w:vAlign w:val="center"/>
            <w:hideMark/>
          </w:tcPr>
          <w:p w14:paraId="19DC556B" w14:textId="77777777" w:rsidR="00AF6702" w:rsidRPr="00702882" w:rsidRDefault="00AF6702" w:rsidP="009E6664">
            <w:pPr>
              <w:jc w:val="both"/>
              <w:rPr>
                <w:rFonts w:eastAsia="맑은 고딕"/>
                <w:sz w:val="22"/>
                <w:szCs w:val="22"/>
              </w:rPr>
            </w:pPr>
            <w:r w:rsidRPr="00702882">
              <w:rPr>
                <w:rFonts w:eastAsia="맑은 고딕"/>
                <w:sz w:val="22"/>
                <w:szCs w:val="22"/>
              </w:rPr>
              <w:t>AIC weights</w:t>
            </w:r>
          </w:p>
        </w:tc>
        <w:tc>
          <w:tcPr>
            <w:tcW w:w="1077" w:type="dxa"/>
            <w:noWrap/>
            <w:vAlign w:val="center"/>
            <w:hideMark/>
          </w:tcPr>
          <w:p w14:paraId="34C5A8F7" w14:textId="77777777" w:rsidR="00AF6702" w:rsidRPr="00702882" w:rsidRDefault="00AF6702" w:rsidP="009E6664">
            <w:pPr>
              <w:jc w:val="both"/>
              <w:rPr>
                <w:rFonts w:eastAsia="맑은 고딕"/>
                <w:sz w:val="22"/>
                <w:szCs w:val="22"/>
              </w:rPr>
            </w:pPr>
            <w:r w:rsidRPr="00702882">
              <w:rPr>
                <w:rFonts w:eastAsia="맑은 고딕"/>
                <w:sz w:val="22"/>
                <w:szCs w:val="22"/>
              </w:rPr>
              <w:t>AICc</w:t>
            </w:r>
          </w:p>
          <w:p w14:paraId="1DEFD3F7" w14:textId="77777777" w:rsidR="00AF6702" w:rsidRPr="00702882" w:rsidRDefault="00AF6702" w:rsidP="009E6664">
            <w:pPr>
              <w:jc w:val="both"/>
              <w:rPr>
                <w:rFonts w:eastAsia="맑은 고딕"/>
                <w:sz w:val="22"/>
                <w:szCs w:val="22"/>
              </w:rPr>
            </w:pPr>
            <w:r w:rsidRPr="00702882">
              <w:rPr>
                <w:rFonts w:eastAsia="맑은 고딕"/>
                <w:sz w:val="22"/>
                <w:szCs w:val="22"/>
              </w:rPr>
              <w:t>weights</w:t>
            </w:r>
          </w:p>
        </w:tc>
        <w:tc>
          <w:tcPr>
            <w:tcW w:w="1077" w:type="dxa"/>
            <w:noWrap/>
            <w:vAlign w:val="center"/>
            <w:hideMark/>
          </w:tcPr>
          <w:p w14:paraId="14A3621B" w14:textId="77777777" w:rsidR="00AF6702" w:rsidRPr="00702882" w:rsidRDefault="00AF6702" w:rsidP="009E6664">
            <w:pPr>
              <w:jc w:val="both"/>
              <w:rPr>
                <w:rFonts w:eastAsia="맑은 고딕"/>
                <w:sz w:val="22"/>
                <w:szCs w:val="22"/>
              </w:rPr>
            </w:pPr>
            <w:r w:rsidRPr="00702882">
              <w:rPr>
                <w:rFonts w:eastAsia="맑은 고딕"/>
                <w:sz w:val="22"/>
                <w:szCs w:val="22"/>
              </w:rPr>
              <w:t>BIC weights</w:t>
            </w:r>
          </w:p>
        </w:tc>
        <w:tc>
          <w:tcPr>
            <w:tcW w:w="1077" w:type="dxa"/>
            <w:noWrap/>
            <w:vAlign w:val="center"/>
            <w:hideMark/>
          </w:tcPr>
          <w:p w14:paraId="5AF76233" w14:textId="77777777" w:rsidR="00AF6702" w:rsidRPr="00702882" w:rsidRDefault="00AF6702" w:rsidP="009E6664">
            <w:pPr>
              <w:jc w:val="both"/>
              <w:rPr>
                <w:rFonts w:eastAsia="맑은 고딕"/>
                <w:sz w:val="22"/>
                <w:szCs w:val="22"/>
              </w:rPr>
            </w:pPr>
            <w:r w:rsidRPr="00702882">
              <w:rPr>
                <w:rFonts w:eastAsia="맑은 고딕"/>
                <w:sz w:val="22"/>
                <w:szCs w:val="22"/>
              </w:rPr>
              <w:t>Score</w:t>
            </w:r>
          </w:p>
        </w:tc>
      </w:tr>
      <w:tr w:rsidR="009E6664" w:rsidRPr="00702882" w14:paraId="610D9482" w14:textId="77777777" w:rsidTr="00AE6820">
        <w:trPr>
          <w:trHeight w:val="340"/>
        </w:trPr>
        <w:tc>
          <w:tcPr>
            <w:tcW w:w="1077" w:type="dxa"/>
            <w:noWrap/>
            <w:vAlign w:val="center"/>
            <w:hideMark/>
          </w:tcPr>
          <w:p w14:paraId="2C26C52E"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Full </w:t>
            </w:r>
          </w:p>
        </w:tc>
        <w:tc>
          <w:tcPr>
            <w:tcW w:w="1077" w:type="dxa"/>
            <w:noWrap/>
            <w:vAlign w:val="center"/>
            <w:hideMark/>
          </w:tcPr>
          <w:p w14:paraId="66674A27"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0.32 </w:t>
            </w:r>
          </w:p>
        </w:tc>
        <w:tc>
          <w:tcPr>
            <w:tcW w:w="1077" w:type="dxa"/>
            <w:noWrap/>
            <w:vAlign w:val="center"/>
            <w:hideMark/>
          </w:tcPr>
          <w:p w14:paraId="2394AF35"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2.53 </w:t>
            </w:r>
          </w:p>
        </w:tc>
        <w:tc>
          <w:tcPr>
            <w:tcW w:w="1077" w:type="dxa"/>
            <w:noWrap/>
            <w:vAlign w:val="center"/>
            <w:hideMark/>
          </w:tcPr>
          <w:p w14:paraId="1A125375"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2.58 </w:t>
            </w:r>
          </w:p>
        </w:tc>
        <w:tc>
          <w:tcPr>
            <w:tcW w:w="1077" w:type="dxa"/>
            <w:noWrap/>
            <w:vAlign w:val="center"/>
            <w:hideMark/>
          </w:tcPr>
          <w:p w14:paraId="4C1862C1" w14:textId="77777777" w:rsidR="00AF6702" w:rsidRPr="00702882" w:rsidRDefault="00AF6702" w:rsidP="009E6664">
            <w:pPr>
              <w:jc w:val="both"/>
              <w:rPr>
                <w:rFonts w:eastAsia="맑은 고딕"/>
                <w:sz w:val="22"/>
                <w:szCs w:val="22"/>
              </w:rPr>
            </w:pPr>
            <w:r w:rsidRPr="00702882">
              <w:rPr>
                <w:rFonts w:eastAsia="맑은 고딕"/>
                <w:sz w:val="22"/>
                <w:szCs w:val="22"/>
              </w:rPr>
              <w:t>0.83</w:t>
            </w:r>
          </w:p>
        </w:tc>
        <w:tc>
          <w:tcPr>
            <w:tcW w:w="1077" w:type="dxa"/>
            <w:noWrap/>
            <w:vAlign w:val="center"/>
            <w:hideMark/>
          </w:tcPr>
          <w:p w14:paraId="5E91693E" w14:textId="77777777" w:rsidR="00AF6702" w:rsidRPr="00702882" w:rsidRDefault="00AF6702" w:rsidP="009E6664">
            <w:pPr>
              <w:jc w:val="both"/>
              <w:rPr>
                <w:rFonts w:eastAsia="맑은 고딕"/>
                <w:sz w:val="22"/>
                <w:szCs w:val="22"/>
              </w:rPr>
            </w:pPr>
            <w:r w:rsidRPr="00702882">
              <w:rPr>
                <w:rFonts w:eastAsia="맑은 고딕"/>
                <w:sz w:val="22"/>
                <w:szCs w:val="22"/>
              </w:rPr>
              <w:t>0.76</w:t>
            </w:r>
          </w:p>
        </w:tc>
        <w:tc>
          <w:tcPr>
            <w:tcW w:w="1077" w:type="dxa"/>
            <w:noWrap/>
            <w:vAlign w:val="center"/>
            <w:hideMark/>
          </w:tcPr>
          <w:p w14:paraId="0B7F5548"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0.00 </w:t>
            </w:r>
          </w:p>
        </w:tc>
        <w:tc>
          <w:tcPr>
            <w:tcW w:w="1077" w:type="dxa"/>
            <w:noWrap/>
            <w:vAlign w:val="center"/>
            <w:hideMark/>
          </w:tcPr>
          <w:p w14:paraId="2EF751E5" w14:textId="77777777" w:rsidR="00AF6702" w:rsidRPr="00702882" w:rsidRDefault="00AF6702" w:rsidP="009E6664">
            <w:pPr>
              <w:jc w:val="both"/>
              <w:rPr>
                <w:rFonts w:eastAsia="맑은 고딕"/>
                <w:sz w:val="22"/>
                <w:szCs w:val="22"/>
              </w:rPr>
            </w:pPr>
            <w:r w:rsidRPr="00702882">
              <w:rPr>
                <w:rFonts w:eastAsia="맑은 고딕"/>
                <w:sz w:val="22"/>
                <w:szCs w:val="22"/>
              </w:rPr>
              <w:t>58.02%</w:t>
            </w:r>
          </w:p>
        </w:tc>
      </w:tr>
      <w:tr w:rsidR="009E6664" w:rsidRPr="00702882" w14:paraId="6506A61B" w14:textId="77777777" w:rsidTr="00AE6820">
        <w:trPr>
          <w:trHeight w:val="340"/>
        </w:trPr>
        <w:tc>
          <w:tcPr>
            <w:tcW w:w="1077" w:type="dxa"/>
            <w:noWrap/>
            <w:vAlign w:val="center"/>
            <w:hideMark/>
          </w:tcPr>
          <w:p w14:paraId="610722A8" w14:textId="77777777" w:rsidR="00AF6702" w:rsidRPr="00702882" w:rsidRDefault="00AF6702" w:rsidP="009E6664">
            <w:pPr>
              <w:jc w:val="both"/>
              <w:rPr>
                <w:rFonts w:eastAsia="맑은 고딕"/>
                <w:sz w:val="22"/>
                <w:szCs w:val="22"/>
              </w:rPr>
            </w:pPr>
            <w:r w:rsidRPr="00702882">
              <w:rPr>
                <w:rFonts w:eastAsia="맑은 고딕"/>
                <w:sz w:val="22"/>
                <w:szCs w:val="22"/>
              </w:rPr>
              <w:t>Reduced</w:t>
            </w:r>
          </w:p>
        </w:tc>
        <w:tc>
          <w:tcPr>
            <w:tcW w:w="1077" w:type="dxa"/>
            <w:noWrap/>
            <w:vAlign w:val="center"/>
            <w:hideMark/>
          </w:tcPr>
          <w:p w14:paraId="69C9624B"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0.30 </w:t>
            </w:r>
          </w:p>
        </w:tc>
        <w:tc>
          <w:tcPr>
            <w:tcW w:w="1077" w:type="dxa"/>
            <w:noWrap/>
            <w:vAlign w:val="center"/>
            <w:hideMark/>
          </w:tcPr>
          <w:p w14:paraId="6DCCBA39"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2.56 </w:t>
            </w:r>
          </w:p>
        </w:tc>
        <w:tc>
          <w:tcPr>
            <w:tcW w:w="1077" w:type="dxa"/>
            <w:noWrap/>
            <w:vAlign w:val="center"/>
            <w:hideMark/>
          </w:tcPr>
          <w:p w14:paraId="62111AE2"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2.59 </w:t>
            </w:r>
          </w:p>
        </w:tc>
        <w:tc>
          <w:tcPr>
            <w:tcW w:w="1077" w:type="dxa"/>
            <w:noWrap/>
            <w:vAlign w:val="center"/>
            <w:hideMark/>
          </w:tcPr>
          <w:p w14:paraId="45414BCF" w14:textId="77777777" w:rsidR="00AF6702" w:rsidRPr="00702882" w:rsidRDefault="00AF6702" w:rsidP="009E6664">
            <w:pPr>
              <w:jc w:val="both"/>
              <w:rPr>
                <w:rFonts w:eastAsia="맑은 고딕"/>
                <w:sz w:val="22"/>
                <w:szCs w:val="22"/>
              </w:rPr>
            </w:pPr>
            <w:r w:rsidRPr="00702882">
              <w:rPr>
                <w:rFonts w:eastAsia="맑은 고딕"/>
                <w:sz w:val="22"/>
                <w:szCs w:val="22"/>
              </w:rPr>
              <w:t>0.17</w:t>
            </w:r>
          </w:p>
        </w:tc>
        <w:tc>
          <w:tcPr>
            <w:tcW w:w="1077" w:type="dxa"/>
            <w:noWrap/>
            <w:vAlign w:val="center"/>
            <w:hideMark/>
          </w:tcPr>
          <w:p w14:paraId="750619C4" w14:textId="77777777" w:rsidR="00AF6702" w:rsidRPr="00702882" w:rsidRDefault="00AF6702" w:rsidP="009E6664">
            <w:pPr>
              <w:jc w:val="both"/>
              <w:rPr>
                <w:rFonts w:eastAsia="맑은 고딕"/>
                <w:sz w:val="22"/>
                <w:szCs w:val="22"/>
              </w:rPr>
            </w:pPr>
            <w:r w:rsidRPr="00702882">
              <w:rPr>
                <w:rFonts w:eastAsia="맑은 고딕"/>
                <w:sz w:val="22"/>
                <w:szCs w:val="22"/>
              </w:rPr>
              <w:t>0.24</w:t>
            </w:r>
          </w:p>
        </w:tc>
        <w:tc>
          <w:tcPr>
            <w:tcW w:w="1077" w:type="dxa"/>
            <w:noWrap/>
            <w:vAlign w:val="center"/>
            <w:hideMark/>
          </w:tcPr>
          <w:p w14:paraId="06175EAE" w14:textId="77777777" w:rsidR="00AF6702" w:rsidRPr="00702882" w:rsidRDefault="00AF6702" w:rsidP="009E6664">
            <w:pPr>
              <w:jc w:val="both"/>
              <w:rPr>
                <w:rFonts w:eastAsia="맑은 고딕"/>
                <w:sz w:val="22"/>
                <w:szCs w:val="22"/>
              </w:rPr>
            </w:pPr>
            <w:r w:rsidRPr="00702882">
              <w:rPr>
                <w:rFonts w:eastAsia="맑은 고딕"/>
                <w:sz w:val="22"/>
                <w:szCs w:val="22"/>
              </w:rPr>
              <w:t>1.00</w:t>
            </w:r>
          </w:p>
        </w:tc>
        <w:tc>
          <w:tcPr>
            <w:tcW w:w="1077" w:type="dxa"/>
            <w:noWrap/>
            <w:vAlign w:val="center"/>
            <w:hideMark/>
          </w:tcPr>
          <w:p w14:paraId="4997F108" w14:textId="77777777" w:rsidR="00AF6702" w:rsidRPr="00702882" w:rsidRDefault="00AF6702" w:rsidP="009E6664">
            <w:pPr>
              <w:jc w:val="both"/>
              <w:rPr>
                <w:rFonts w:eastAsia="맑은 고딕"/>
                <w:sz w:val="22"/>
                <w:szCs w:val="22"/>
              </w:rPr>
            </w:pPr>
            <w:r w:rsidRPr="00702882">
              <w:rPr>
                <w:rFonts w:eastAsia="맑은 고딕"/>
                <w:sz w:val="22"/>
                <w:szCs w:val="22"/>
              </w:rPr>
              <w:t>49.31%</w:t>
            </w:r>
          </w:p>
        </w:tc>
      </w:tr>
      <w:tr w:rsidR="009E6664" w:rsidRPr="00702882" w14:paraId="7BC09960" w14:textId="77777777" w:rsidTr="00AE6820">
        <w:trPr>
          <w:trHeight w:val="340"/>
        </w:trPr>
        <w:tc>
          <w:tcPr>
            <w:tcW w:w="1077" w:type="dxa"/>
            <w:noWrap/>
            <w:vAlign w:val="center"/>
            <w:hideMark/>
          </w:tcPr>
          <w:p w14:paraId="4B1F50B8" w14:textId="77777777" w:rsidR="00AF6702" w:rsidRPr="00702882" w:rsidRDefault="00AF6702" w:rsidP="009E6664">
            <w:pPr>
              <w:jc w:val="both"/>
              <w:rPr>
                <w:rFonts w:eastAsia="맑은 고딕"/>
                <w:sz w:val="22"/>
                <w:szCs w:val="22"/>
              </w:rPr>
            </w:pPr>
            <w:r w:rsidRPr="00702882">
              <w:rPr>
                <w:rFonts w:eastAsia="맑은 고딕"/>
                <w:sz w:val="22"/>
                <w:szCs w:val="22"/>
              </w:rPr>
              <w:t>Pooled</w:t>
            </w:r>
          </w:p>
        </w:tc>
        <w:tc>
          <w:tcPr>
            <w:tcW w:w="1077" w:type="dxa"/>
            <w:noWrap/>
            <w:vAlign w:val="center"/>
            <w:hideMark/>
          </w:tcPr>
          <w:p w14:paraId="0B6886CD"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0.63 </w:t>
            </w:r>
          </w:p>
        </w:tc>
        <w:tc>
          <w:tcPr>
            <w:tcW w:w="1077" w:type="dxa"/>
            <w:noWrap/>
            <w:vAlign w:val="center"/>
            <w:hideMark/>
          </w:tcPr>
          <w:p w14:paraId="440825CA"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3.03 </w:t>
            </w:r>
          </w:p>
        </w:tc>
        <w:tc>
          <w:tcPr>
            <w:tcW w:w="1077" w:type="dxa"/>
            <w:noWrap/>
            <w:vAlign w:val="center"/>
            <w:hideMark/>
          </w:tcPr>
          <w:p w14:paraId="079E7C85"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3.13 </w:t>
            </w:r>
          </w:p>
        </w:tc>
        <w:tc>
          <w:tcPr>
            <w:tcW w:w="1077" w:type="dxa"/>
            <w:noWrap/>
            <w:vAlign w:val="center"/>
            <w:hideMark/>
          </w:tcPr>
          <w:p w14:paraId="661BAE64"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0.00 </w:t>
            </w:r>
          </w:p>
        </w:tc>
        <w:tc>
          <w:tcPr>
            <w:tcW w:w="1077" w:type="dxa"/>
            <w:noWrap/>
            <w:vAlign w:val="center"/>
            <w:hideMark/>
          </w:tcPr>
          <w:p w14:paraId="4EFE1562"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0.00 </w:t>
            </w:r>
          </w:p>
        </w:tc>
        <w:tc>
          <w:tcPr>
            <w:tcW w:w="1077" w:type="dxa"/>
            <w:noWrap/>
            <w:vAlign w:val="center"/>
            <w:hideMark/>
          </w:tcPr>
          <w:p w14:paraId="04872F64" w14:textId="77777777" w:rsidR="00AF6702" w:rsidRPr="00702882" w:rsidRDefault="00AF6702" w:rsidP="009E6664">
            <w:pPr>
              <w:jc w:val="both"/>
              <w:rPr>
                <w:rFonts w:eastAsia="맑은 고딕"/>
                <w:sz w:val="22"/>
                <w:szCs w:val="22"/>
              </w:rPr>
            </w:pPr>
            <w:r w:rsidRPr="00702882">
              <w:rPr>
                <w:rFonts w:eastAsia="맑은 고딕"/>
                <w:sz w:val="22"/>
                <w:szCs w:val="22"/>
              </w:rPr>
              <w:t xml:space="preserve">0.00 </w:t>
            </w:r>
          </w:p>
        </w:tc>
        <w:tc>
          <w:tcPr>
            <w:tcW w:w="1077" w:type="dxa"/>
            <w:noWrap/>
            <w:vAlign w:val="center"/>
            <w:hideMark/>
          </w:tcPr>
          <w:p w14:paraId="5131BA30" w14:textId="77777777" w:rsidR="00AF6702" w:rsidRPr="00702882" w:rsidRDefault="00AF6702" w:rsidP="009E6664">
            <w:pPr>
              <w:jc w:val="both"/>
              <w:rPr>
                <w:rFonts w:eastAsia="맑은 고딕"/>
                <w:sz w:val="22"/>
                <w:szCs w:val="22"/>
              </w:rPr>
            </w:pPr>
            <w:r w:rsidRPr="00702882">
              <w:rPr>
                <w:rFonts w:eastAsia="맑은 고딕"/>
                <w:sz w:val="22"/>
                <w:szCs w:val="22"/>
              </w:rPr>
              <w:t>28.57%</w:t>
            </w:r>
          </w:p>
        </w:tc>
      </w:tr>
    </w:tbl>
    <w:p w14:paraId="26C90531" w14:textId="77777777" w:rsidR="00AF6702" w:rsidRPr="00702882" w:rsidRDefault="00AF6702" w:rsidP="00C66AC4">
      <w:pPr>
        <w:pStyle w:val="ad"/>
        <w:spacing w:before="0" w:beforeAutospacing="0" w:line="480" w:lineRule="auto"/>
        <w:ind w:firstLineChars="295" w:firstLine="708"/>
        <w:contextualSpacing/>
        <w:rPr>
          <w:rFonts w:eastAsiaTheme="minorEastAsia"/>
        </w:rPr>
      </w:pPr>
    </w:p>
    <w:p w14:paraId="387BE472" w14:textId="6F2F78E7" w:rsidR="00450535" w:rsidRPr="00702882" w:rsidRDefault="00AF6702" w:rsidP="00450535">
      <w:pPr>
        <w:pStyle w:val="ad"/>
        <w:spacing w:before="0" w:beforeAutospacing="0" w:line="480" w:lineRule="auto"/>
        <w:ind w:firstLineChars="295" w:firstLine="708"/>
        <w:contextualSpacing/>
        <w:rPr>
          <w:rFonts w:eastAsiaTheme="minorEastAsia"/>
        </w:rPr>
      </w:pPr>
      <w:r w:rsidRPr="00702882">
        <w:rPr>
          <w:rFonts w:eastAsiaTheme="minorEastAsia"/>
        </w:rPr>
        <w:t>Table 1</w:t>
      </w:r>
      <w:r w:rsidR="00711CDA" w:rsidRPr="00702882">
        <w:rPr>
          <w:rFonts w:eastAsiaTheme="minorEastAsia"/>
        </w:rPr>
        <w:t>3</w:t>
      </w:r>
      <w:r w:rsidRPr="00702882">
        <w:rPr>
          <w:rFonts w:eastAsiaTheme="minorEastAsia"/>
        </w:rPr>
        <w:t xml:space="preserve"> compares model performance metrics for Model 4 across full fixed effects, reduced fixed effects models, and pooled OLS. Among the models considered, the "full fixed effects" model performs the best overall, followed by the "reduced fixed effects" model, and </w:t>
      </w:r>
      <w:r w:rsidRPr="00702882">
        <w:rPr>
          <w:rFonts w:eastAsiaTheme="minorEastAsia"/>
        </w:rPr>
        <w:lastRenderedPageBreak/>
        <w:t>then the "pooled OLS" model.</w:t>
      </w:r>
      <w:r w:rsidR="00450535" w:rsidRPr="00702882">
        <w:rPr>
          <w:rFonts w:eastAsiaTheme="minorEastAsia"/>
        </w:rPr>
        <w:t xml:space="preserve"> </w:t>
      </w:r>
      <w:r w:rsidRPr="00702882">
        <w:rPr>
          <w:rFonts w:eastAsiaTheme="minorEastAsia"/>
        </w:rPr>
        <w:t>The pooled OLS model has weights of 0 for AIC, AICc, and BIC, suggesting that it is not favored relative to the other models based on these criteria. In addition, the pooled OLS model fails to account for unobserved heterogeneity across states. Thus, this omission can lead to omitted variable bias, resulting in biased parameter estimates.</w:t>
      </w:r>
    </w:p>
    <w:p w14:paraId="05DA3B30" w14:textId="13D6F6E3" w:rsidR="00AF6702" w:rsidRPr="00702882" w:rsidRDefault="00C61584" w:rsidP="0060473E">
      <w:pPr>
        <w:pStyle w:val="ad"/>
        <w:spacing w:line="480" w:lineRule="auto"/>
        <w:ind w:firstLineChars="295" w:firstLine="708"/>
        <w:contextualSpacing/>
        <w:rPr>
          <w:rFonts w:eastAsiaTheme="minorEastAsia"/>
        </w:rPr>
      </w:pPr>
      <w:r w:rsidRPr="00702882">
        <w:rPr>
          <w:rFonts w:eastAsiaTheme="minorEastAsia"/>
        </w:rPr>
        <w:t>Meanwhile, the results from both the fixed effects model and the fixed effects model with reduced variables exhibit similarity. The similarity in results between the full model and the reduced model suggests that the excluded variables may not have a substantial impact on the overall model performance. In other words, in the original model, the potential collinearity between variables is not a significant concern, despite minor differences between the two models. This implies that if the reduced model and the full model yield similar results, the collinearity concern is not significant. Specifically, the collinearity does not substantially affect the stability and predictive power of the model, indicating that the excluded variables do not play a crucial role in the model's performance.</w:t>
      </w:r>
      <w:r w:rsidR="0060473E" w:rsidRPr="00702882">
        <w:rPr>
          <w:rFonts w:eastAsiaTheme="minorEastAsia"/>
        </w:rPr>
        <w:t xml:space="preserve"> </w:t>
      </w:r>
      <w:r w:rsidR="00AF6702" w:rsidRPr="00702882">
        <w:rPr>
          <w:rFonts w:eastAsiaTheme="minorEastAsia"/>
        </w:rPr>
        <w:t>Hence, the next section will focus on analyzing the results derived from the original fixed effects model.</w:t>
      </w:r>
    </w:p>
    <w:p w14:paraId="240012A1" w14:textId="77777777" w:rsidR="00C46624" w:rsidRPr="00702882" w:rsidRDefault="00C46624" w:rsidP="00C66AC4">
      <w:pPr>
        <w:pStyle w:val="ad"/>
        <w:spacing w:before="0" w:beforeAutospacing="0" w:line="480" w:lineRule="auto"/>
        <w:ind w:firstLineChars="295" w:firstLine="708"/>
        <w:contextualSpacing/>
        <w:rPr>
          <w:rFonts w:eastAsiaTheme="minorEastAsia"/>
          <w:color w:val="7030A0"/>
        </w:rPr>
      </w:pPr>
    </w:p>
    <w:p w14:paraId="201D5B42" w14:textId="77777777" w:rsidR="00AF6702" w:rsidRPr="00702882" w:rsidRDefault="00AF6702" w:rsidP="00C66AC4">
      <w:pPr>
        <w:pStyle w:val="ad"/>
        <w:spacing w:before="0" w:beforeAutospacing="0" w:line="480" w:lineRule="auto"/>
        <w:ind w:firstLine="360"/>
        <w:contextualSpacing/>
        <w:rPr>
          <w:rFonts w:eastAsiaTheme="minorEastAsia"/>
          <w:b/>
          <w:bCs/>
          <w:i/>
          <w:iCs/>
        </w:rPr>
      </w:pPr>
      <w:r w:rsidRPr="00702882">
        <w:rPr>
          <w:rFonts w:eastAsiaTheme="minorEastAsia"/>
          <w:b/>
          <w:bCs/>
          <w:i/>
          <w:iCs/>
        </w:rPr>
        <w:t>6.2.2 Effects of Deposit Requirements on BSF Levels</w:t>
      </w:r>
    </w:p>
    <w:p w14:paraId="1859BAE3" w14:textId="5E6A09EB" w:rsidR="00AF6702" w:rsidRPr="00702882" w:rsidRDefault="00AF6702" w:rsidP="00975D32">
      <w:pPr>
        <w:pStyle w:val="ad"/>
        <w:spacing w:line="480" w:lineRule="auto"/>
        <w:ind w:firstLineChars="295" w:firstLine="708"/>
        <w:contextualSpacing/>
        <w:rPr>
          <w:rFonts w:eastAsiaTheme="minorEastAsia"/>
        </w:rPr>
      </w:pPr>
      <w:r w:rsidRPr="00702882">
        <w:rPr>
          <w:rFonts w:eastAsiaTheme="minorEastAsia"/>
        </w:rPr>
        <w:t>A one-unit increase in the one-year lagged unassigned general fund balance (GFB) levels is positively associated with an approximate 0.18 – 0.19 percentage point increase in BSF levels as a share of general fund expenditure across all models in Table 9 (p&lt;0.01). This finding supports the Hypothesis 4, assuming a positive association between BSF and GFB levels. The rationale behind this association lies in the tendency for both BSF and GFB levels to increase during economic boom years and decrease in recessionary periods.</w:t>
      </w:r>
    </w:p>
    <w:p w14:paraId="59226FA4" w14:textId="77777777" w:rsidR="00975D32" w:rsidRPr="00702882" w:rsidRDefault="00975D32" w:rsidP="00975D32">
      <w:pPr>
        <w:pStyle w:val="ad"/>
        <w:spacing w:line="480" w:lineRule="auto"/>
        <w:ind w:firstLineChars="295" w:firstLine="708"/>
        <w:contextualSpacing/>
        <w:rPr>
          <w:rFonts w:eastAsiaTheme="minorEastAsia"/>
        </w:rPr>
      </w:pPr>
    </w:p>
    <w:p w14:paraId="5CFA0DCD" w14:textId="77777777" w:rsidR="00FB5A7A" w:rsidRPr="00702882" w:rsidRDefault="00FB5A7A" w:rsidP="00C66AC4">
      <w:pPr>
        <w:pStyle w:val="ad"/>
        <w:spacing w:line="480" w:lineRule="auto"/>
        <w:ind w:firstLineChars="295" w:firstLine="708"/>
        <w:contextualSpacing/>
        <w:rPr>
          <w:rFonts w:eastAsiaTheme="minorEastAsia"/>
          <w:color w:val="7030A0"/>
        </w:rPr>
      </w:pPr>
    </w:p>
    <w:p w14:paraId="4563630B" w14:textId="19BE3F8D" w:rsidR="00AF6702" w:rsidRPr="00702882" w:rsidRDefault="00AF6702" w:rsidP="00C66AC4">
      <w:pPr>
        <w:spacing w:line="480" w:lineRule="auto"/>
        <w:contextualSpacing/>
        <w:jc w:val="center"/>
        <w:rPr>
          <w:b/>
          <w:bCs/>
        </w:rPr>
      </w:pPr>
      <w:r w:rsidRPr="00702882">
        <w:rPr>
          <w:b/>
          <w:bCs/>
        </w:rPr>
        <w:lastRenderedPageBreak/>
        <w:t xml:space="preserve">Figure 3. Interaction Effects of </w:t>
      </w:r>
    </w:p>
    <w:p w14:paraId="10DB68E7" w14:textId="77777777" w:rsidR="00AF6702" w:rsidRPr="00702882" w:rsidRDefault="00AF6702" w:rsidP="00C66AC4">
      <w:pPr>
        <w:spacing w:line="480" w:lineRule="auto"/>
        <w:contextualSpacing/>
        <w:jc w:val="center"/>
        <w:rPr>
          <w:b/>
          <w:bCs/>
        </w:rPr>
      </w:pPr>
      <w:r w:rsidRPr="00702882">
        <w:rPr>
          <w:b/>
          <w:bCs/>
        </w:rPr>
        <w:t xml:space="preserve">Source </w:t>
      </w:r>
      <w:r w:rsidRPr="00702882">
        <w:rPr>
          <w:rFonts w:eastAsiaTheme="minorEastAsia"/>
          <w:b/>
          <w:bCs/>
        </w:rPr>
        <w:t xml:space="preserve">and </w:t>
      </w:r>
      <w:r w:rsidRPr="00702882">
        <w:rPr>
          <w:b/>
          <w:bCs/>
        </w:rPr>
        <w:t>Unemployment on BSF Levels</w:t>
      </w:r>
    </w:p>
    <w:p w14:paraId="486C1054" w14:textId="0F4A9B3F" w:rsidR="00975D32" w:rsidRPr="00702882" w:rsidRDefault="00AF6702" w:rsidP="00986BE3">
      <w:pPr>
        <w:spacing w:line="480" w:lineRule="auto"/>
        <w:jc w:val="center"/>
        <w:rPr>
          <w:rFonts w:eastAsiaTheme="minorEastAsia"/>
          <w:color w:val="7030A0"/>
        </w:rPr>
      </w:pPr>
      <w:r w:rsidRPr="00702882">
        <w:rPr>
          <w:noProof/>
          <w:color w:val="7030A0"/>
        </w:rPr>
        <w:drawing>
          <wp:inline distT="0" distB="0" distL="0" distR="0" wp14:anchorId="23A77D7C" wp14:editId="6B85BD36">
            <wp:extent cx="5560398" cy="5200110"/>
            <wp:effectExtent l="0" t="0" r="2540" b="635"/>
            <wp:docPr id="1059070475"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03520" cy="5333958"/>
                    </a:xfrm>
                    <a:prstGeom prst="rect">
                      <a:avLst/>
                    </a:prstGeom>
                    <a:noFill/>
                  </pic:spPr>
                </pic:pic>
              </a:graphicData>
            </a:graphic>
          </wp:inline>
        </w:drawing>
      </w:r>
    </w:p>
    <w:p w14:paraId="0B237839" w14:textId="5E792FC0" w:rsidR="00FC09BE" w:rsidRPr="00702882" w:rsidRDefault="00FC09BE" w:rsidP="00964EEB">
      <w:pPr>
        <w:pStyle w:val="ad"/>
        <w:spacing w:line="480" w:lineRule="auto"/>
        <w:ind w:firstLineChars="295" w:firstLine="708"/>
        <w:contextualSpacing/>
        <w:rPr>
          <w:rFonts w:eastAsiaTheme="minorEastAsia"/>
        </w:rPr>
      </w:pPr>
      <w:r w:rsidRPr="00702882">
        <w:rPr>
          <w:rFonts w:eastAsiaTheme="minorEastAsia"/>
        </w:rPr>
        <w:t xml:space="preserve">The variable "funding source (Source_percent)" shows a negative effect on BSF levels in the fixed effects models. Specifically, during economic booms characterized by very low unemployment rates (close to zero), a one-unit increase in special revenue as a funding source (Source_percent) is associated with about a one percentage point decrease in BSF levels as a proportion of general fund expenditures (p &lt; 0.05). This suggests that states with a greater dependence on special revenue for BSF funding (e.g., federal funds, tobacco </w:t>
      </w:r>
      <w:r w:rsidRPr="00702882">
        <w:rPr>
          <w:rFonts w:eastAsiaTheme="minorEastAsia"/>
        </w:rPr>
        <w:lastRenderedPageBreak/>
        <w:t>settlement funds, severance tax revenue, etc.) typically demonstrate lower BSF levels during periods of economic prosperity.</w:t>
      </w:r>
    </w:p>
    <w:p w14:paraId="10654D39" w14:textId="334107F6" w:rsidR="006E3010" w:rsidRPr="00702882" w:rsidRDefault="00445AB6" w:rsidP="00894963">
      <w:pPr>
        <w:pStyle w:val="ad"/>
        <w:spacing w:line="480" w:lineRule="auto"/>
        <w:ind w:firstLineChars="295" w:firstLine="708"/>
        <w:contextualSpacing/>
        <w:rPr>
          <w:rFonts w:eastAsiaTheme="minorEastAsia"/>
        </w:rPr>
      </w:pPr>
      <w:r w:rsidRPr="00702882">
        <w:rPr>
          <w:rFonts w:eastAsiaTheme="minorEastAsia"/>
        </w:rPr>
        <w:t xml:space="preserve">However, the interaction term between </w:t>
      </w:r>
      <w:r w:rsidR="00200C91" w:rsidRPr="00702882">
        <w:rPr>
          <w:rFonts w:eastAsiaTheme="minorEastAsia"/>
        </w:rPr>
        <w:t>“</w:t>
      </w:r>
      <w:r w:rsidRPr="00702882">
        <w:rPr>
          <w:rFonts w:eastAsiaTheme="minorEastAsia"/>
        </w:rPr>
        <w:t>source</w:t>
      </w:r>
      <w:r w:rsidR="00200C91" w:rsidRPr="00702882">
        <w:rPr>
          <w:rFonts w:eastAsiaTheme="minorEastAsia"/>
        </w:rPr>
        <w:t>”</w:t>
      </w:r>
      <w:r w:rsidRPr="00702882">
        <w:rPr>
          <w:rFonts w:eastAsiaTheme="minorEastAsia"/>
        </w:rPr>
        <w:t xml:space="preserve"> and </w:t>
      </w:r>
      <w:r w:rsidR="00200C91" w:rsidRPr="00702882">
        <w:rPr>
          <w:rFonts w:eastAsiaTheme="minorEastAsia"/>
        </w:rPr>
        <w:t>“</w:t>
      </w:r>
      <w:r w:rsidRPr="00702882">
        <w:rPr>
          <w:rFonts w:eastAsiaTheme="minorEastAsia"/>
        </w:rPr>
        <w:t>unemployment rate</w:t>
      </w:r>
      <w:r w:rsidR="00200C91" w:rsidRPr="00702882">
        <w:rPr>
          <w:rFonts w:eastAsiaTheme="minorEastAsia"/>
        </w:rPr>
        <w:t>”</w:t>
      </w:r>
      <w:r w:rsidRPr="00702882">
        <w:rPr>
          <w:rFonts w:eastAsiaTheme="minorEastAsia"/>
        </w:rPr>
        <w:t xml:space="preserve"> is positive and significant. </w:t>
      </w:r>
      <w:r w:rsidR="006E3010" w:rsidRPr="00702882">
        <w:rPr>
          <w:rFonts w:eastAsiaTheme="minorEastAsia"/>
        </w:rPr>
        <w:t xml:space="preserve">This positive interaction term indicates that the effect of “source” on BSF levels is moderated by the unemployment rate. Specifically, for every one-unit increase in “unemployment rate,” the negative effect of “source” on BSF levels is reduced by 0.16, 0.20, and 0.20 units in Models 2, 3, and 4, respectively (p&lt;0.01). </w:t>
      </w:r>
      <w:r w:rsidR="00FC09BE" w:rsidRPr="00702882">
        <w:rPr>
          <w:rFonts w:eastAsiaTheme="minorEastAsia"/>
        </w:rPr>
        <w:t xml:space="preserve">When the unemployment rate is </w:t>
      </w:r>
      <w:r w:rsidR="00894963" w:rsidRPr="00702882">
        <w:rPr>
          <w:rFonts w:eastAsiaTheme="minorEastAsia"/>
        </w:rPr>
        <w:t>about</w:t>
      </w:r>
      <w:r w:rsidR="00FC09BE" w:rsidRPr="00702882">
        <w:rPr>
          <w:rFonts w:eastAsiaTheme="minorEastAsia"/>
        </w:rPr>
        <w:t xml:space="preserve"> 2 percent, the relationship between the funding source and BSF levels shows a negative slope</w:t>
      </w:r>
      <w:r w:rsidRPr="00702882">
        <w:rPr>
          <w:rFonts w:eastAsiaTheme="minorEastAsia"/>
        </w:rPr>
        <w:t>, as illustrated in Figure 3</w:t>
      </w:r>
      <w:r w:rsidR="00FC09BE" w:rsidRPr="00702882">
        <w:rPr>
          <w:rFonts w:eastAsiaTheme="minorEastAsia"/>
        </w:rPr>
        <w:t>.</w:t>
      </w:r>
      <w:r w:rsidRPr="00702882">
        <w:rPr>
          <w:rFonts w:eastAsiaTheme="minorEastAsia"/>
        </w:rPr>
        <w:t xml:space="preserve"> </w:t>
      </w:r>
      <w:r w:rsidR="00FC09BE" w:rsidRPr="00702882">
        <w:rPr>
          <w:rFonts w:eastAsiaTheme="minorEastAsia"/>
        </w:rPr>
        <w:t>Conversely, when the unemployment rate reaches around 13 percent, the slope of the relationship between Source and BSF levels becomes positive</w:t>
      </w:r>
      <w:r w:rsidR="006E3010" w:rsidRPr="00702882">
        <w:rPr>
          <w:rFonts w:eastAsiaTheme="minorEastAsia"/>
        </w:rPr>
        <w:t>.</w:t>
      </w:r>
      <w:r w:rsidR="00894963" w:rsidRPr="00702882">
        <w:rPr>
          <w:rFonts w:eastAsiaTheme="minorEastAsia"/>
        </w:rPr>
        <w:t xml:space="preserve"> </w:t>
      </w:r>
      <w:r w:rsidRPr="00702882">
        <w:rPr>
          <w:rFonts w:eastAsiaTheme="minorEastAsia"/>
        </w:rPr>
        <w:t xml:space="preserve">This indicates that the negative impact of </w:t>
      </w:r>
      <w:r w:rsidR="006E3010" w:rsidRPr="00702882">
        <w:rPr>
          <w:rFonts w:eastAsiaTheme="minorEastAsia"/>
        </w:rPr>
        <w:t>s</w:t>
      </w:r>
      <w:r w:rsidRPr="00702882">
        <w:rPr>
          <w:rFonts w:eastAsiaTheme="minorEastAsia"/>
        </w:rPr>
        <w:t xml:space="preserve">ource on BSF levels is lessened as the unemployment rate increases, suggesting that higher unemployment mitigates the negative effect of </w:t>
      </w:r>
      <w:r w:rsidR="006E3010" w:rsidRPr="00702882">
        <w:rPr>
          <w:rFonts w:eastAsiaTheme="minorEastAsia"/>
        </w:rPr>
        <w:t>s</w:t>
      </w:r>
      <w:r w:rsidRPr="00702882">
        <w:rPr>
          <w:rFonts w:eastAsiaTheme="minorEastAsia"/>
        </w:rPr>
        <w:t>ource.</w:t>
      </w:r>
    </w:p>
    <w:p w14:paraId="18C71CB8" w14:textId="104B588D" w:rsidR="004973F7" w:rsidRPr="00702882" w:rsidRDefault="00AF6702" w:rsidP="004973F7">
      <w:pPr>
        <w:pStyle w:val="ad"/>
        <w:spacing w:line="480" w:lineRule="auto"/>
        <w:ind w:firstLineChars="295" w:firstLine="708"/>
        <w:contextualSpacing/>
        <w:rPr>
          <w:rFonts w:eastAsiaTheme="minorEastAsia"/>
        </w:rPr>
      </w:pPr>
      <w:r w:rsidRPr="00702882">
        <w:rPr>
          <w:rFonts w:eastAsiaTheme="minorEastAsia"/>
        </w:rPr>
        <w:t>The variable "cap (Cap_percent)" demonstrates a positive effect on BSF levels in the fixed effects models. Specifically, a one unit increase in cap corresponds to approximately a 0.35 – 0.39 percentage point increase in BSF levels as a share of general fund expenditures in all models, holding all other factors constant (p&lt;0.05). These findings support the expectation that a higher cap would significantly positively impact BSF levels. "Deposit revenue surplus (DepoSurplus_numeric)" exhibits a significant positive impact on BSF levels in both fixed effects and pooled OLS models. In the fixed effects model, this variable demonstrates a significant impact on BSF levels in models 1 and 2.</w:t>
      </w:r>
    </w:p>
    <w:p w14:paraId="5D66E332" w14:textId="6E2E99C0" w:rsidR="004973F7" w:rsidRPr="00702882" w:rsidRDefault="00AB6E46" w:rsidP="004973F7">
      <w:pPr>
        <w:pStyle w:val="ad"/>
        <w:spacing w:line="480" w:lineRule="auto"/>
        <w:ind w:firstLineChars="295" w:firstLine="708"/>
        <w:contextualSpacing/>
        <w:rPr>
          <w:rFonts w:eastAsiaTheme="minorEastAsia"/>
        </w:rPr>
      </w:pPr>
      <w:r w:rsidRPr="00702882">
        <w:rPr>
          <w:rFonts w:eastAsiaTheme="minorEastAsia"/>
        </w:rPr>
        <w:t>Additionally, there exists a positive interaction effect</w:t>
      </w:r>
      <w:r w:rsidR="00200C91" w:rsidRPr="00702882">
        <w:rPr>
          <w:rFonts w:eastAsiaTheme="minorEastAsia"/>
        </w:rPr>
        <w:t xml:space="preserve"> </w:t>
      </w:r>
      <w:r w:rsidRPr="00702882">
        <w:rPr>
          <w:rFonts w:eastAsiaTheme="minorEastAsia"/>
        </w:rPr>
        <w:t>between deposit revenue surplus (DepoSurplus_numeric) and cap (Cap). This interaction is statistically significant</w:t>
      </w:r>
      <w:r w:rsidR="004973F7" w:rsidRPr="00702882">
        <w:rPr>
          <w:rFonts w:eastAsiaTheme="minorEastAsia"/>
        </w:rPr>
        <w:t xml:space="preserve"> in models 3 and 4 with a coefficient of 0.09 </w:t>
      </w:r>
      <w:r w:rsidRPr="00702882">
        <w:rPr>
          <w:rFonts w:eastAsiaTheme="minorEastAsia"/>
        </w:rPr>
        <w:t>(p &lt; 0.01).</w:t>
      </w:r>
      <w:r w:rsidR="004973F7" w:rsidRPr="00702882">
        <w:rPr>
          <w:rFonts w:eastAsiaTheme="minorEastAsia"/>
        </w:rPr>
        <w:t xml:space="preserve"> </w:t>
      </w:r>
      <w:r w:rsidR="0060314B" w:rsidRPr="00702882">
        <w:rPr>
          <w:rFonts w:eastAsiaTheme="minorEastAsia"/>
        </w:rPr>
        <w:t xml:space="preserve">As depicted in Figure 3.2, the effect of deposit revenue surplus is nearly negligible when the Cap is set to zero. However, the slope of </w:t>
      </w:r>
      <w:r w:rsidR="0060314B" w:rsidRPr="00702882">
        <w:rPr>
          <w:rFonts w:eastAsiaTheme="minorEastAsia"/>
        </w:rPr>
        <w:lastRenderedPageBreak/>
        <w:t>deposit revenue surplus demonstrates a significantly positive trend when the Cap is equal to 100, indicating the absence of any imposed cap.</w:t>
      </w:r>
      <w:r w:rsidR="005017D6" w:rsidRPr="00702882">
        <w:rPr>
          <w:rFonts w:eastAsiaTheme="minorEastAsia"/>
        </w:rPr>
        <w:t xml:space="preserve"> </w:t>
      </w:r>
      <w:r w:rsidR="00200C91" w:rsidRPr="00702882">
        <w:rPr>
          <w:rFonts w:eastAsiaTheme="minorEastAsia"/>
        </w:rPr>
        <w:t xml:space="preserve">This indicates that as the cap percentage increases, the positive impact of deposit surplus on BSF levels is further enhanced by 0.09 percentage points, reinforcing the </w:t>
      </w:r>
      <w:r w:rsidR="004973F7" w:rsidRPr="00702882">
        <w:rPr>
          <w:rFonts w:eastAsiaTheme="minorEastAsia"/>
        </w:rPr>
        <w:t>positive</w:t>
      </w:r>
      <w:r w:rsidR="00200C91" w:rsidRPr="00702882">
        <w:rPr>
          <w:rFonts w:eastAsiaTheme="minorEastAsia"/>
        </w:rPr>
        <w:t xml:space="preserve"> effect of a higher deposit surplus when there is a higher cap percentage.</w:t>
      </w:r>
      <w:r w:rsidR="008E16CC" w:rsidRPr="00702882">
        <w:rPr>
          <w:rFonts w:eastAsiaTheme="minorEastAsia"/>
        </w:rPr>
        <w:t xml:space="preserve"> This finding validates Hypothesis 1, which posits that a stringent deposit revenue surplus has a significant positive impact on BSF levels.</w:t>
      </w:r>
    </w:p>
    <w:p w14:paraId="3B3C1AC4" w14:textId="12AEF7D8" w:rsidR="00AF6702" w:rsidRPr="00702882" w:rsidRDefault="00AF6702" w:rsidP="00C66AC4">
      <w:pPr>
        <w:spacing w:line="480" w:lineRule="auto"/>
        <w:jc w:val="center"/>
        <w:rPr>
          <w:b/>
          <w:bCs/>
        </w:rPr>
      </w:pPr>
      <w:r w:rsidRPr="00702882">
        <w:rPr>
          <w:b/>
          <w:bCs/>
        </w:rPr>
        <w:t xml:space="preserve">Figure </w:t>
      </w:r>
      <w:r w:rsidR="00462BDE" w:rsidRPr="00702882">
        <w:rPr>
          <w:rFonts w:eastAsiaTheme="minorEastAsia"/>
          <w:b/>
          <w:bCs/>
        </w:rPr>
        <w:t>4</w:t>
      </w:r>
      <w:r w:rsidRPr="00702882">
        <w:rPr>
          <w:b/>
          <w:bCs/>
        </w:rPr>
        <w:t>. Interaction Effects of</w:t>
      </w:r>
      <w:r w:rsidRPr="00702882">
        <w:t xml:space="preserve"> </w:t>
      </w:r>
    </w:p>
    <w:p w14:paraId="0BDB9A7D" w14:textId="77777777" w:rsidR="00AF6702" w:rsidRPr="00702882" w:rsidRDefault="00AF6702" w:rsidP="00C66AC4">
      <w:pPr>
        <w:spacing w:line="480" w:lineRule="auto"/>
        <w:jc w:val="center"/>
      </w:pPr>
      <w:r w:rsidRPr="00702882">
        <w:rPr>
          <w:b/>
          <w:bCs/>
        </w:rPr>
        <w:t>Cap and Deposit Revenue Surplus on BSF Levels</w:t>
      </w:r>
    </w:p>
    <w:p w14:paraId="02C25341" w14:textId="77777777" w:rsidR="00AF6702" w:rsidRPr="00702882" w:rsidRDefault="00AF6702" w:rsidP="00C66AC4">
      <w:pPr>
        <w:spacing w:line="480" w:lineRule="auto"/>
        <w:jc w:val="center"/>
        <w:rPr>
          <w:rFonts w:eastAsiaTheme="minorEastAsia"/>
          <w:color w:val="7030A0"/>
        </w:rPr>
      </w:pPr>
      <w:r w:rsidRPr="00702882">
        <w:rPr>
          <w:noProof/>
          <w:color w:val="7030A0"/>
        </w:rPr>
        <w:drawing>
          <wp:inline distT="0" distB="0" distL="0" distR="0" wp14:anchorId="04B89F2E" wp14:editId="578A088F">
            <wp:extent cx="5458057" cy="4966232"/>
            <wp:effectExtent l="0" t="0" r="0" b="6350"/>
            <wp:docPr id="210128068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94810" cy="4999674"/>
                    </a:xfrm>
                    <a:prstGeom prst="rect">
                      <a:avLst/>
                    </a:prstGeom>
                    <a:noFill/>
                  </pic:spPr>
                </pic:pic>
              </a:graphicData>
            </a:graphic>
          </wp:inline>
        </w:drawing>
      </w:r>
    </w:p>
    <w:p w14:paraId="42D92918" w14:textId="462E27BA" w:rsidR="0060314B" w:rsidRPr="00702882" w:rsidRDefault="0060314B" w:rsidP="00763CB2">
      <w:pPr>
        <w:pStyle w:val="ad"/>
        <w:spacing w:line="480" w:lineRule="auto"/>
        <w:ind w:firstLineChars="295" w:firstLine="708"/>
        <w:contextualSpacing/>
        <w:rPr>
          <w:rFonts w:eastAsiaTheme="minorEastAsia"/>
        </w:rPr>
      </w:pPr>
      <w:r w:rsidRPr="00702882">
        <w:rPr>
          <w:rFonts w:eastAsiaTheme="minorEastAsia"/>
        </w:rPr>
        <w:lastRenderedPageBreak/>
        <w:t>A “deposit tied to revenue volatility (formula)” shows a statistically significant positive impact on BSF levels in all fixed effects models. States that link their BSF deposit to revenue fluctuations tend to have higher BSF levels by 3.6 percentage points compared to states that do not in model 4, controlling for all other variables (p &lt; 0.1). This relationship attains greater statistical significance in the fixed effects model with reduced variables (p &lt; 0.01).</w:t>
      </w:r>
    </w:p>
    <w:p w14:paraId="5447EE01" w14:textId="7324B6BB" w:rsidR="00AF6702" w:rsidRPr="00702882" w:rsidRDefault="00194CAB" w:rsidP="00C66AC4">
      <w:pPr>
        <w:pStyle w:val="ad"/>
        <w:spacing w:line="480" w:lineRule="auto"/>
        <w:ind w:firstLineChars="295" w:firstLine="708"/>
        <w:contextualSpacing/>
        <w:rPr>
          <w:rFonts w:eastAsiaTheme="minorEastAsia"/>
        </w:rPr>
      </w:pPr>
      <w:r w:rsidRPr="00702882">
        <w:rPr>
          <w:rFonts w:eastAsiaTheme="minorEastAsia"/>
        </w:rPr>
        <w:t>T</w:t>
      </w:r>
      <w:r w:rsidR="00AF6702" w:rsidRPr="00702882">
        <w:rPr>
          <w:rFonts w:eastAsiaTheme="minorEastAsia"/>
        </w:rPr>
        <w:t>he variable "number" does not exhibit significant predictive power on BSF levels in the fixed effects model. Similarly, "deposit by legislature (DepoLegis)" shows no significant impact on BSF levels across all fixed effects models. The "deposit tied to revenue volatility (proportion)" also shows an insignificant coefficient in fixed effects models, except for model 3.</w:t>
      </w:r>
      <w:r w:rsidR="00AF6702" w:rsidRPr="00702882">
        <w:rPr>
          <w:rFonts w:eastAsiaTheme="minorEastAsia"/>
          <w:color w:val="7030A0"/>
        </w:rPr>
        <w:t xml:space="preserve"> </w:t>
      </w:r>
      <w:r w:rsidR="00AF6702" w:rsidRPr="00702882">
        <w:rPr>
          <w:rFonts w:eastAsiaTheme="minorEastAsia"/>
        </w:rPr>
        <w:t>However, it is important to note that different states have different approaches to linking deposits to revenue volatility, and considering these variations is crucial for accurately assessing the rule’s impact on BSF size. I</w:t>
      </w:r>
      <w:r w:rsidRPr="00702882">
        <w:rPr>
          <w:rFonts w:eastAsiaTheme="minorEastAsia"/>
        </w:rPr>
        <w:t xml:space="preserve"> </w:t>
      </w:r>
      <w:r w:rsidR="00AF6702" w:rsidRPr="00702882">
        <w:rPr>
          <w:rFonts w:eastAsiaTheme="minorEastAsia"/>
        </w:rPr>
        <w:t>extensively explore the BSFs of Connecticut, Arizona, and Virginia, conducting comprehensive case studies of their deposits linked to revenue volatility in Chapter 7.</w:t>
      </w:r>
    </w:p>
    <w:p w14:paraId="66828A22" w14:textId="77777777" w:rsidR="00AF6702" w:rsidRPr="00702882" w:rsidRDefault="00AF6702" w:rsidP="00C66AC4">
      <w:pPr>
        <w:pStyle w:val="ad"/>
        <w:spacing w:before="0" w:beforeAutospacing="0" w:line="480" w:lineRule="auto"/>
        <w:contextualSpacing/>
        <w:rPr>
          <w:rFonts w:eastAsiaTheme="minorEastAsia"/>
        </w:rPr>
      </w:pPr>
    </w:p>
    <w:p w14:paraId="38FA182A" w14:textId="77777777" w:rsidR="00AF6702" w:rsidRPr="00702882" w:rsidRDefault="00AF6702" w:rsidP="00C66AC4">
      <w:pPr>
        <w:pStyle w:val="ad"/>
        <w:spacing w:before="0" w:beforeAutospacing="0" w:line="480" w:lineRule="auto"/>
        <w:ind w:firstLine="360"/>
        <w:contextualSpacing/>
        <w:rPr>
          <w:rFonts w:eastAsiaTheme="minorEastAsia"/>
          <w:b/>
          <w:bCs/>
          <w:i/>
          <w:iCs/>
        </w:rPr>
      </w:pPr>
      <w:r w:rsidRPr="00702882">
        <w:rPr>
          <w:b/>
          <w:bCs/>
          <w:i/>
          <w:iCs/>
        </w:rPr>
        <w:t>6.2.</w:t>
      </w:r>
      <w:r w:rsidRPr="00702882">
        <w:rPr>
          <w:rFonts w:eastAsiaTheme="minorEastAsia"/>
          <w:b/>
          <w:bCs/>
          <w:i/>
          <w:iCs/>
        </w:rPr>
        <w:t>3</w:t>
      </w:r>
      <w:r w:rsidRPr="00702882">
        <w:rPr>
          <w:b/>
          <w:bCs/>
          <w:i/>
          <w:iCs/>
        </w:rPr>
        <w:t xml:space="preserve"> </w:t>
      </w:r>
      <w:r w:rsidRPr="00702882">
        <w:rPr>
          <w:rFonts w:eastAsiaTheme="minorEastAsia"/>
          <w:b/>
          <w:bCs/>
          <w:i/>
          <w:iCs/>
        </w:rPr>
        <w:t xml:space="preserve">Effects of </w:t>
      </w:r>
      <w:r w:rsidRPr="00702882">
        <w:rPr>
          <w:b/>
          <w:bCs/>
          <w:i/>
          <w:iCs/>
        </w:rPr>
        <w:t>Withdrawal requirements</w:t>
      </w:r>
      <w:r w:rsidRPr="00702882">
        <w:rPr>
          <w:rFonts w:eastAsiaTheme="minorEastAsia"/>
          <w:b/>
          <w:bCs/>
          <w:i/>
          <w:iCs/>
        </w:rPr>
        <w:t xml:space="preserve"> on BSF levels</w:t>
      </w:r>
    </w:p>
    <w:p w14:paraId="6D7DC69E" w14:textId="77777777" w:rsidR="00AF6702" w:rsidRPr="00702882" w:rsidRDefault="00AF6702" w:rsidP="00C66AC4">
      <w:pPr>
        <w:pStyle w:val="ad"/>
        <w:spacing w:before="0" w:beforeAutospacing="0" w:line="480" w:lineRule="auto"/>
        <w:ind w:firstLine="720"/>
        <w:contextualSpacing/>
        <w:rPr>
          <w:rFonts w:eastAsiaTheme="minorEastAsia"/>
        </w:rPr>
      </w:pPr>
      <w:r w:rsidRPr="00702882">
        <w:rPr>
          <w:rFonts w:eastAsiaTheme="minorEastAsia"/>
        </w:rPr>
        <w:t xml:space="preserve">Hou (2004) notes that “withdrawal by executive discretion” is considered the least stringent category in terms of BSF, whereas “withdrawal by legislative appropriation” is viewed as a more stringent category. This emphasizes the importance of considering the decision-making authority involved in BSF withdrawal when analyzing its impact on fiscal reserves. </w:t>
      </w:r>
      <w:r w:rsidRPr="00702882">
        <w:t xml:space="preserve">However, it is important to note that </w:t>
      </w:r>
      <w:r w:rsidRPr="00702882">
        <w:rPr>
          <w:rFonts w:eastAsiaTheme="minorEastAsia"/>
        </w:rPr>
        <w:t>m</w:t>
      </w:r>
      <w:r w:rsidRPr="00702882">
        <w:t xml:space="preserve">any states have transitioned away from relying solely on the governor’s discretion and have instead implemented more democratic procedures over the past two decades. </w:t>
      </w:r>
    </w:p>
    <w:p w14:paraId="0D39808E" w14:textId="77777777" w:rsidR="00AF6702" w:rsidRPr="00702882" w:rsidRDefault="00AF6702" w:rsidP="00C66AC4">
      <w:pPr>
        <w:pStyle w:val="ad"/>
        <w:spacing w:before="0" w:beforeAutospacing="0" w:line="480" w:lineRule="auto"/>
        <w:ind w:firstLine="720"/>
        <w:contextualSpacing/>
        <w:rPr>
          <w:rFonts w:eastAsiaTheme="minorEastAsia"/>
        </w:rPr>
      </w:pPr>
      <w:r w:rsidRPr="00702882">
        <w:lastRenderedPageBreak/>
        <w:t>Previously, “withdrawal by executive discretion” referred to the governor’s discretion in withdrawal from BSF. However, nowadays, the governor’s discretion in withdrawal from the BSF is rarely observed unless it is an emergency situation.</w:t>
      </w:r>
      <w:r w:rsidRPr="00702882">
        <w:rPr>
          <w:rFonts w:eastAsiaTheme="minorEastAsia"/>
        </w:rPr>
        <w:t xml:space="preserve"> Thus, public officials are mainly responsible for implementing well-defined withdrawal requirements. Furthermore, due to the significant negative correlation coefficient of -0.85 between withdrawal by the executive (WithExec) and withdrawal by the legislature (WithLegis_numeric), I opted to exclude “withdrawal by the executive” from the model in order to mitigate issues related to multicollinearity. The variable “withdrawal by the legislature” is statistically insignificant in all fixed effects model. </w:t>
      </w:r>
    </w:p>
    <w:p w14:paraId="27977FA3" w14:textId="333F4C94" w:rsidR="00DE3756" w:rsidRPr="00702882" w:rsidRDefault="00AF6702" w:rsidP="00DE1C6D">
      <w:pPr>
        <w:pStyle w:val="ad"/>
        <w:spacing w:before="0" w:beforeAutospacing="0" w:line="480" w:lineRule="auto"/>
        <w:ind w:firstLine="720"/>
        <w:contextualSpacing/>
        <w:rPr>
          <w:rFonts w:eastAsiaTheme="minorEastAsia"/>
        </w:rPr>
      </w:pPr>
      <w:r w:rsidRPr="00702882">
        <w:rPr>
          <w:rFonts w:eastAsiaTheme="minorEastAsia"/>
        </w:rPr>
        <w:t>A stringent withdrawal requirement, such as withdrawal tied to revenue volatility (WithVol) and withdrawal based on revenue shortfall (WithShortfall) demonstrates an insignificant impact on levels in</w:t>
      </w:r>
      <w:r w:rsidR="001C7313" w:rsidRPr="00702882">
        <w:rPr>
          <w:rFonts w:eastAsiaTheme="minorEastAsia"/>
        </w:rPr>
        <w:t xml:space="preserve"> the</w:t>
      </w:r>
      <w:r w:rsidRPr="00702882">
        <w:rPr>
          <w:rFonts w:eastAsiaTheme="minorEastAsia"/>
        </w:rPr>
        <w:t xml:space="preserve"> fixed effects models 2 through 4. Their insignificance can be attributed to their redundancy in explaining the variation in the dependent variable. This redundancy arises because these variables share a substantial amount of variance with deposit tied to revenue volatility and deposit revenue surplus, respectively. Consequently, including them in the model may not yield additional explanatory power, </w:t>
      </w:r>
      <w:r w:rsidR="001C7313" w:rsidRPr="00702882">
        <w:rPr>
          <w:rFonts w:eastAsiaTheme="minorEastAsia"/>
        </w:rPr>
        <w:t>resulting in insignificant coefficients.</w:t>
      </w:r>
    </w:p>
    <w:p w14:paraId="0B7E07C3" w14:textId="1F833F1A" w:rsidR="00DE1C6D" w:rsidRPr="00702882" w:rsidRDefault="003733F2" w:rsidP="00DE1C6D">
      <w:pPr>
        <w:pStyle w:val="ad"/>
        <w:spacing w:line="480" w:lineRule="auto"/>
        <w:ind w:firstLine="720"/>
        <w:contextualSpacing/>
        <w:rPr>
          <w:rFonts w:eastAsiaTheme="minorEastAsia"/>
        </w:rPr>
      </w:pPr>
      <w:r w:rsidRPr="00702882">
        <w:rPr>
          <w:rFonts w:eastAsiaTheme="minorEastAsia"/>
        </w:rPr>
        <w:t xml:space="preserve">In fixed effects Model 4, the main effect of the </w:t>
      </w:r>
      <w:r w:rsidR="00793B9F" w:rsidRPr="00702882">
        <w:rPr>
          <w:rFonts w:eastAsiaTheme="minorEastAsia"/>
        </w:rPr>
        <w:t>“</w:t>
      </w:r>
      <w:r w:rsidRPr="00702882">
        <w:rPr>
          <w:rFonts w:eastAsiaTheme="minorEastAsia"/>
        </w:rPr>
        <w:t>repayment provision (Repay_4bin)</w:t>
      </w:r>
      <w:r w:rsidR="00793B9F" w:rsidRPr="00702882">
        <w:rPr>
          <w:rFonts w:eastAsiaTheme="minorEastAsia"/>
        </w:rPr>
        <w:t>”</w:t>
      </w:r>
      <w:r w:rsidRPr="00702882">
        <w:rPr>
          <w:rFonts w:eastAsiaTheme="minorEastAsia"/>
        </w:rPr>
        <w:t xml:space="preserve"> on BSF levels is significantly negative </w:t>
      </w:r>
      <w:r w:rsidR="00DE3756" w:rsidRPr="00702882">
        <w:rPr>
          <w:rFonts w:eastAsiaTheme="minorEastAsia"/>
        </w:rPr>
        <w:t xml:space="preserve">with a coefficient of </w:t>
      </w:r>
      <w:r w:rsidRPr="00702882">
        <w:rPr>
          <w:rFonts w:eastAsiaTheme="minorEastAsia"/>
        </w:rPr>
        <w:t>-1.13</w:t>
      </w:r>
      <w:r w:rsidR="00DE3756" w:rsidRPr="00702882">
        <w:rPr>
          <w:rFonts w:eastAsiaTheme="minorEastAsia"/>
        </w:rPr>
        <w:t xml:space="preserve"> (</w:t>
      </w:r>
      <w:r w:rsidRPr="00702882">
        <w:rPr>
          <w:rFonts w:eastAsiaTheme="minorEastAsia"/>
        </w:rPr>
        <w:t xml:space="preserve">p &lt; 0.01) when the unemployment rate is set to zero. This suggests that states with stringent repayment provisions tend to have lower BSF levels during periods of economic prosperity. However, the interaction term between repayment provision and unemployment rate </w:t>
      </w:r>
      <w:r w:rsidR="00DE3756" w:rsidRPr="00702882">
        <w:rPr>
          <w:rFonts w:eastAsiaTheme="minorEastAsia"/>
        </w:rPr>
        <w:t xml:space="preserve">with a coefficient of </w:t>
      </w:r>
      <w:r w:rsidRPr="00702882">
        <w:rPr>
          <w:rFonts w:eastAsiaTheme="minorEastAsia"/>
        </w:rPr>
        <w:t>0.14</w:t>
      </w:r>
      <w:r w:rsidR="00DE3756" w:rsidRPr="00702882">
        <w:rPr>
          <w:rFonts w:eastAsiaTheme="minorEastAsia"/>
        </w:rPr>
        <w:t xml:space="preserve"> (</w:t>
      </w:r>
      <w:r w:rsidRPr="00702882">
        <w:rPr>
          <w:rFonts w:eastAsiaTheme="minorEastAsia"/>
        </w:rPr>
        <w:t>p &lt; 0.01) is positive and significant.</w:t>
      </w:r>
      <w:r w:rsidR="00C664EB" w:rsidRPr="00702882">
        <w:rPr>
          <w:rFonts w:eastAsiaTheme="minorEastAsia"/>
        </w:rPr>
        <w:t xml:space="preserve"> Specifically</w:t>
      </w:r>
      <w:r w:rsidR="00584E86" w:rsidRPr="00702882">
        <w:rPr>
          <w:rFonts w:eastAsiaTheme="minorEastAsia"/>
        </w:rPr>
        <w:t xml:space="preserve">, for each unit increase in the unemployment rate, the negative effect of stringent repayment provisions on BSF levels is </w:t>
      </w:r>
      <w:r w:rsidR="00584E86" w:rsidRPr="00702882">
        <w:rPr>
          <w:rFonts w:eastAsiaTheme="minorEastAsia"/>
        </w:rPr>
        <w:lastRenderedPageBreak/>
        <w:t>mitigated by 0.14 percentage points.</w:t>
      </w:r>
      <w:r w:rsidR="00C664EB" w:rsidRPr="00702882">
        <w:rPr>
          <w:rFonts w:eastAsiaTheme="minorEastAsia"/>
        </w:rPr>
        <w:t xml:space="preserve"> </w:t>
      </w:r>
      <w:r w:rsidR="00DE1C6D" w:rsidRPr="00702882">
        <w:rPr>
          <w:rFonts w:eastAsiaTheme="minorEastAsia"/>
        </w:rPr>
        <w:t xml:space="preserve">This finding suggests that repayment provisions provide a stabilizing effect during economic recession periods. </w:t>
      </w:r>
    </w:p>
    <w:p w14:paraId="387CA62F" w14:textId="77777777" w:rsidR="00DE3756" w:rsidRPr="00702882" w:rsidRDefault="00DE3756" w:rsidP="00DE3756">
      <w:pPr>
        <w:pStyle w:val="ad"/>
        <w:spacing w:line="480" w:lineRule="auto"/>
        <w:contextualSpacing/>
        <w:rPr>
          <w:rFonts w:eastAsiaTheme="minorEastAsia"/>
        </w:rPr>
      </w:pPr>
    </w:p>
    <w:p w14:paraId="116D2439" w14:textId="77777777" w:rsidR="00DE1C6D" w:rsidRPr="00702882" w:rsidRDefault="00AF6702" w:rsidP="00DE1C6D">
      <w:pPr>
        <w:pStyle w:val="ad"/>
        <w:spacing w:line="480" w:lineRule="auto"/>
        <w:contextualSpacing/>
        <w:jc w:val="center"/>
        <w:rPr>
          <w:rFonts w:eastAsiaTheme="minorEastAsia"/>
          <w:b/>
          <w:bCs/>
        </w:rPr>
      </w:pPr>
      <w:r w:rsidRPr="00702882">
        <w:rPr>
          <w:b/>
          <w:bCs/>
        </w:rPr>
        <w:t xml:space="preserve">Figure </w:t>
      </w:r>
      <w:r w:rsidR="00462BDE" w:rsidRPr="00702882">
        <w:rPr>
          <w:rFonts w:eastAsiaTheme="minorEastAsia"/>
          <w:b/>
          <w:bCs/>
        </w:rPr>
        <w:t>5</w:t>
      </w:r>
      <w:r w:rsidRPr="00702882">
        <w:rPr>
          <w:b/>
          <w:bCs/>
        </w:rPr>
        <w:t>. Interaction Effects of</w:t>
      </w:r>
      <w:r w:rsidR="00DE1C6D" w:rsidRPr="00702882">
        <w:rPr>
          <w:rFonts w:eastAsiaTheme="minorEastAsia"/>
          <w:b/>
          <w:bCs/>
        </w:rPr>
        <w:t xml:space="preserve"> </w:t>
      </w:r>
    </w:p>
    <w:p w14:paraId="7805F95C" w14:textId="239E77F8" w:rsidR="00AF6702" w:rsidRPr="00702882" w:rsidRDefault="00AF6702" w:rsidP="00DE1C6D">
      <w:pPr>
        <w:pStyle w:val="ad"/>
        <w:spacing w:line="480" w:lineRule="auto"/>
        <w:contextualSpacing/>
        <w:jc w:val="center"/>
        <w:rPr>
          <w:rFonts w:eastAsiaTheme="minorEastAsia"/>
        </w:rPr>
      </w:pPr>
      <w:r w:rsidRPr="00702882">
        <w:rPr>
          <w:b/>
          <w:bCs/>
        </w:rPr>
        <w:t>Repayment Provision and Unemployment on BSF Levels</w:t>
      </w:r>
    </w:p>
    <w:p w14:paraId="7EA67737" w14:textId="0D4B12F2" w:rsidR="00F67EE2" w:rsidRPr="00702882" w:rsidRDefault="00AF6702" w:rsidP="00F67EE2">
      <w:pPr>
        <w:spacing w:line="480" w:lineRule="auto"/>
        <w:jc w:val="center"/>
        <w:rPr>
          <w:rFonts w:eastAsiaTheme="minorEastAsia"/>
          <w:color w:val="7030A0"/>
        </w:rPr>
      </w:pPr>
      <w:r w:rsidRPr="00702882">
        <w:rPr>
          <w:noProof/>
          <w:color w:val="7030A0"/>
        </w:rPr>
        <w:drawing>
          <wp:inline distT="0" distB="0" distL="0" distR="0" wp14:anchorId="7E730296" wp14:editId="41D45B0A">
            <wp:extent cx="5534246" cy="5035557"/>
            <wp:effectExtent l="0" t="0" r="0" b="1270"/>
            <wp:docPr id="118134748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34246" cy="5035557"/>
                    </a:xfrm>
                    <a:prstGeom prst="rect">
                      <a:avLst/>
                    </a:prstGeom>
                    <a:noFill/>
                  </pic:spPr>
                </pic:pic>
              </a:graphicData>
            </a:graphic>
          </wp:inline>
        </w:drawing>
      </w:r>
    </w:p>
    <w:p w14:paraId="0A0CF38A" w14:textId="77777777" w:rsidR="00F67EE2" w:rsidRPr="00702882" w:rsidRDefault="00F67EE2" w:rsidP="00F67EE2">
      <w:pPr>
        <w:spacing w:line="480" w:lineRule="auto"/>
        <w:jc w:val="center"/>
        <w:rPr>
          <w:rFonts w:eastAsiaTheme="minorEastAsia"/>
          <w:color w:val="7030A0"/>
        </w:rPr>
      </w:pPr>
    </w:p>
    <w:p w14:paraId="50987A55" w14:textId="09F3F0D9" w:rsidR="00F67EE2" w:rsidRPr="002D3D79" w:rsidRDefault="00F67EE2" w:rsidP="00E96655">
      <w:pPr>
        <w:pStyle w:val="ad"/>
        <w:spacing w:before="0" w:beforeAutospacing="0" w:line="480" w:lineRule="auto"/>
        <w:ind w:firstLine="720"/>
        <w:contextualSpacing/>
        <w:rPr>
          <w:rFonts w:eastAsiaTheme="minorEastAsia"/>
        </w:rPr>
      </w:pPr>
      <w:r w:rsidRPr="00702882">
        <w:rPr>
          <w:rFonts w:eastAsiaTheme="minorEastAsia"/>
        </w:rPr>
        <w:t xml:space="preserve">Figure 5 demonstrates that the effect of the repayment provision on BSF levels depends on the state’s economic condition, as measured by the unemployment rate. Specifically, when the unemployment rate is approximately 2 percent, the relationship </w:t>
      </w:r>
      <w:r w:rsidRPr="00702882">
        <w:rPr>
          <w:rFonts w:eastAsiaTheme="minorEastAsia"/>
        </w:rPr>
        <w:lastRenderedPageBreak/>
        <w:t>between the repayment provision and BSF levels exhibits a negative slope. In contrast, when the unemployment rate rises to around 13 percent, the slope of the relationship becomes positive.</w:t>
      </w:r>
      <w:r w:rsidR="00E96655">
        <w:rPr>
          <w:rFonts w:eastAsiaTheme="minorEastAsia" w:hint="eastAsia"/>
        </w:rPr>
        <w:t xml:space="preserve"> </w:t>
      </w:r>
      <w:r w:rsidR="00E96655" w:rsidRPr="00E96655">
        <w:rPr>
          <w:rFonts w:eastAsiaTheme="minorEastAsia"/>
        </w:rPr>
        <w:t>This suggests that stringent repayment provisions make it challenging for state governments to utilize their Budget Stabilization Funds during economic downturns, thereby mitigating the negative impact on BSF levels.</w:t>
      </w:r>
      <w:r w:rsidR="00E96655">
        <w:rPr>
          <w:rFonts w:eastAsiaTheme="minorEastAsia" w:hint="eastAsia"/>
        </w:rPr>
        <w:t xml:space="preserve"> </w:t>
      </w:r>
      <w:r w:rsidRPr="00702882">
        <w:rPr>
          <w:rFonts w:eastAsiaTheme="minorEastAsia"/>
        </w:rPr>
        <w:t>The variable of “withdrawal limit” demonstrates an insignificant impact on BSF levels across all fixed effects models except for fixed effects model 1.</w:t>
      </w:r>
    </w:p>
    <w:p w14:paraId="534BCCCF" w14:textId="77777777" w:rsidR="00AF6702" w:rsidRPr="00702882" w:rsidRDefault="00AF6702" w:rsidP="00C66AC4">
      <w:pPr>
        <w:pStyle w:val="ad"/>
        <w:spacing w:before="0" w:beforeAutospacing="0" w:line="480" w:lineRule="auto"/>
        <w:contextualSpacing/>
        <w:rPr>
          <w:rFonts w:eastAsiaTheme="minorEastAsia"/>
          <w:color w:val="7030A0"/>
        </w:rPr>
      </w:pPr>
    </w:p>
    <w:p w14:paraId="1DFD035C" w14:textId="77777777" w:rsidR="00AF6702" w:rsidRPr="00702882" w:rsidRDefault="00AF6702" w:rsidP="00C66AC4">
      <w:pPr>
        <w:pStyle w:val="ad"/>
        <w:spacing w:before="0" w:beforeAutospacing="0" w:line="480" w:lineRule="auto"/>
        <w:ind w:firstLine="360"/>
        <w:contextualSpacing/>
        <w:rPr>
          <w:rFonts w:eastAsiaTheme="minorEastAsia"/>
          <w:b/>
          <w:bCs/>
          <w:i/>
          <w:iCs/>
        </w:rPr>
      </w:pPr>
      <w:r w:rsidRPr="00702882">
        <w:rPr>
          <w:b/>
          <w:bCs/>
          <w:i/>
          <w:iCs/>
        </w:rPr>
        <w:t>6.2.</w:t>
      </w:r>
      <w:r w:rsidRPr="00702882">
        <w:rPr>
          <w:rFonts w:eastAsiaTheme="minorEastAsia"/>
          <w:b/>
          <w:bCs/>
          <w:i/>
          <w:iCs/>
        </w:rPr>
        <w:t>4</w:t>
      </w:r>
      <w:r w:rsidRPr="00702882">
        <w:rPr>
          <w:b/>
          <w:bCs/>
          <w:i/>
          <w:iCs/>
        </w:rPr>
        <w:t xml:space="preserve"> </w:t>
      </w:r>
      <w:r w:rsidRPr="00702882">
        <w:rPr>
          <w:rFonts w:eastAsiaTheme="minorEastAsia"/>
          <w:b/>
          <w:bCs/>
          <w:i/>
          <w:iCs/>
        </w:rPr>
        <w:t xml:space="preserve">Effects of </w:t>
      </w:r>
      <w:r w:rsidRPr="00702882">
        <w:rPr>
          <w:b/>
          <w:bCs/>
          <w:i/>
          <w:iCs/>
        </w:rPr>
        <w:t>Control variables</w:t>
      </w:r>
      <w:r w:rsidRPr="00702882">
        <w:rPr>
          <w:rFonts w:eastAsiaTheme="minorEastAsia"/>
          <w:b/>
          <w:bCs/>
          <w:i/>
          <w:iCs/>
        </w:rPr>
        <w:t xml:space="preserve"> on BSF Levels</w:t>
      </w:r>
    </w:p>
    <w:p w14:paraId="0E7691F4" w14:textId="3C86AB10" w:rsidR="00AF6702" w:rsidRPr="00702882" w:rsidRDefault="00AF6702" w:rsidP="00C66AC4">
      <w:pPr>
        <w:pStyle w:val="ad"/>
        <w:spacing w:before="0" w:beforeAutospacing="0" w:line="480" w:lineRule="auto"/>
        <w:ind w:firstLine="720"/>
        <w:contextualSpacing/>
        <w:rPr>
          <w:rFonts w:eastAsiaTheme="minorEastAsia"/>
        </w:rPr>
      </w:pPr>
      <w:r w:rsidRPr="00702882">
        <w:rPr>
          <w:rFonts w:eastAsiaTheme="minorEastAsia"/>
        </w:rPr>
        <w:t xml:space="preserve">The disasters variable, which measures the cost of disasters (in units of $10 billion) that states have experienced in the past, demonstrates a significant impact on BSF levels in both fixed effects and pooled OLS models. In the fixed effects model, a one unit increase in disasters is linked to a 0.3 to 0.4 percentage point change in BSF levels (p&lt;0.01), after controlling for all other variables. This discovery aligns with the theory of organizational learning, suggesting that states facing significant fiscal challenges are inclined to strengthen their fiscal reserves </w:t>
      </w:r>
      <w:sdt>
        <w:sdtPr>
          <w:tag w:val="MENDELEY_CITATION_v3_eyJwcm9wZXJ0aWVzIjp7Im5vdGVJbmRleCI6MH0sImNpdGF0aW9uSUQiOiJNRU5ERUxFWV9DSVRBVElPTl80NGQzNzdiNC00NjgxLTRjYzctODBiMC1mNGJjMTc2NWMwZDAiLCJpc0VkaXRlZCI6ZmFsc2UsIm1hbnVhbE92ZXJyaWRlIjp7ImlzTWFudWFsbHlPdmVycmlkZGVuIjpmYWxzZSwibWFudWFsT3ZlcnJpZGVUZXh0IjoiIiwiY2l0ZXByb2NUZXh0IjoiKExlZSAmIzM4OyBDaGVuLCAyMDIyOyBTY2hlaW4sIDE5OTMpIn0sImNpdGF0aW9uSXRlbXMiOlt7ImlkIjoiNzQ0MjFkZGYtMDNlNC0zZTk3LWExMzItM2UyNjE2NDI5ODljIiwiaXNUZW1wb3JhcnkiOmZhbHNl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
          <w:id w:val="1848907361"/>
          <w:placeholder>
            <w:docPart w:val="D5C6BBCD10D64457B9FB5724724BD1FA"/>
          </w:placeholder>
        </w:sdtPr>
        <w:sdtContent>
          <w:r w:rsidR="00F520AD">
            <w:t>(Lee &amp; Chen, 2022; Schein, 1993)</w:t>
          </w:r>
        </w:sdtContent>
      </w:sdt>
      <w:r w:rsidRPr="00702882">
        <w:t>.</w:t>
      </w:r>
      <w:r w:rsidRPr="00702882">
        <w:rPr>
          <w:rFonts w:eastAsiaTheme="minorEastAsia"/>
        </w:rPr>
        <w:t xml:space="preserve"> </w:t>
      </w:r>
    </w:p>
    <w:p w14:paraId="75C9F396" w14:textId="77777777" w:rsidR="00AF6702" w:rsidRPr="00702882" w:rsidRDefault="00AF6702" w:rsidP="00C66AC4">
      <w:pPr>
        <w:pStyle w:val="ad"/>
        <w:spacing w:before="0" w:beforeAutospacing="0" w:line="480" w:lineRule="auto"/>
        <w:ind w:firstLine="720"/>
        <w:contextualSpacing/>
        <w:rPr>
          <w:rFonts w:eastAsiaTheme="minorEastAsia"/>
        </w:rPr>
      </w:pPr>
      <w:r w:rsidRPr="00702882">
        <w:rPr>
          <w:rFonts w:eastAsiaTheme="minorEastAsia"/>
        </w:rPr>
        <w:t xml:space="preserve">The Federal IGR variable demonstrates an insignificant impact on BSF levels, except for fixed effects models 1 and 2. Both debt per capita and GSP are also statistically insignificant in all fixed effects models. Unemployment rate shows a significant negative impact on BSF levels in all models. A one unit increase in unemployment rate reduces BSF levels by about 1 percentage point, holding all other variables constant (p&lt;0.01). This finding suggests that states are less likely to deposit money into their BSFs during economic downturns or more likely to withdraw money from their BSFs. </w:t>
      </w:r>
    </w:p>
    <w:p w14:paraId="5F92B94D" w14:textId="77777777" w:rsidR="00AF6702" w:rsidRPr="00702882" w:rsidRDefault="00AF6702" w:rsidP="00C66AC4">
      <w:pPr>
        <w:pStyle w:val="ad"/>
        <w:spacing w:before="0" w:beforeAutospacing="0" w:line="480" w:lineRule="auto"/>
        <w:ind w:firstLine="720"/>
        <w:contextualSpacing/>
        <w:rPr>
          <w:rFonts w:eastAsiaTheme="minorEastAsia"/>
        </w:rPr>
      </w:pPr>
      <w:r w:rsidRPr="00702882">
        <w:rPr>
          <w:rFonts w:eastAsiaTheme="minorEastAsia"/>
        </w:rPr>
        <w:lastRenderedPageBreak/>
        <w:t>There is a strong positive correlation between credit rating and BSF levels across all fixed effects models (p &lt; 0.01). Specifically, a one unit rise in credit rating corresponds to approximately a 0.7 to 0.75 percentage point increase in BSF levels, while controlling for other variables (p &lt; 0.01). I</w:t>
      </w:r>
      <w:r w:rsidRPr="00702882">
        <w:t xml:space="preserve">ncome </w:t>
      </w:r>
      <w:r w:rsidRPr="00702882">
        <w:rPr>
          <w:rFonts w:eastAsiaTheme="minorEastAsia"/>
        </w:rPr>
        <w:t>does</w:t>
      </w:r>
      <w:r w:rsidRPr="00702882">
        <w:t xml:space="preserve"> not demonstrate a significant impact in any of the </w:t>
      </w:r>
      <w:r w:rsidRPr="00702882">
        <w:rPr>
          <w:rFonts w:eastAsiaTheme="minorEastAsia"/>
        </w:rPr>
        <w:t xml:space="preserve">fixed effects </w:t>
      </w:r>
      <w:r w:rsidRPr="00702882">
        <w:t>model</w:t>
      </w:r>
      <w:r w:rsidRPr="00702882">
        <w:rPr>
          <w:rFonts w:eastAsiaTheme="minorEastAsia"/>
        </w:rPr>
        <w:t>s. Population exhibits a positive impact on BSF levels in all original fixed effects models. However, it becomes insignificant in the fixed effects models with reduced variables. Other c</w:t>
      </w:r>
      <w:r w:rsidRPr="00702882">
        <w:t xml:space="preserve">ontrol variables, </w:t>
      </w:r>
      <w:r w:rsidRPr="00702882">
        <w:rPr>
          <w:rFonts w:eastAsiaTheme="minorEastAsia"/>
        </w:rPr>
        <w:t xml:space="preserve">including political partisanship (Democrat_share), </w:t>
      </w:r>
      <w:r w:rsidRPr="00702882">
        <w:t>election</w:t>
      </w:r>
      <w:r w:rsidRPr="00702882">
        <w:rPr>
          <w:rFonts w:eastAsiaTheme="minorEastAsia"/>
        </w:rPr>
        <w:t xml:space="preserve"> year</w:t>
      </w:r>
      <w:r w:rsidRPr="00702882">
        <w:t>s</w:t>
      </w:r>
      <w:r w:rsidRPr="00702882">
        <w:rPr>
          <w:rFonts w:eastAsiaTheme="minorEastAsia"/>
        </w:rPr>
        <w:t xml:space="preserve"> (Election)</w:t>
      </w:r>
      <w:r w:rsidRPr="00702882">
        <w:t xml:space="preserve">, </w:t>
      </w:r>
      <w:r w:rsidRPr="00702882">
        <w:rPr>
          <w:rFonts w:eastAsiaTheme="minorEastAsia"/>
        </w:rPr>
        <w:t xml:space="preserve">divided </w:t>
      </w:r>
      <w:r w:rsidRPr="00702882">
        <w:t xml:space="preserve">government </w:t>
      </w:r>
      <w:r w:rsidRPr="00702882">
        <w:rPr>
          <w:rFonts w:eastAsiaTheme="minorEastAsia"/>
        </w:rPr>
        <w:t>(D</w:t>
      </w:r>
      <w:r w:rsidRPr="00702882">
        <w:t>ivision</w:t>
      </w:r>
      <w:r w:rsidRPr="00702882">
        <w:rPr>
          <w:rFonts w:eastAsiaTheme="minorEastAsia"/>
        </w:rPr>
        <w:t>),</w:t>
      </w:r>
      <w:r w:rsidRPr="00702882">
        <w:t xml:space="preserve"> and fiscal institutions (e.g., TEL and BBR), do not exhibit statistical significance across all models. </w:t>
      </w:r>
    </w:p>
    <w:p w14:paraId="1ADBA9E6"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781197BF"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55F76742"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0F4125F9"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515A7083"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159B2E21"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7D4567F9"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6AB2C04D"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66884C1F"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15DD2EA9" w14:textId="77777777" w:rsidR="00AF6702" w:rsidRPr="00702882" w:rsidRDefault="00AF6702" w:rsidP="00C66AC4">
      <w:pPr>
        <w:pStyle w:val="ad"/>
        <w:spacing w:before="0" w:beforeAutospacing="0" w:line="480" w:lineRule="auto"/>
        <w:ind w:firstLine="720"/>
        <w:contextualSpacing/>
        <w:rPr>
          <w:rFonts w:eastAsiaTheme="minorEastAsia"/>
          <w:color w:val="7030A0"/>
        </w:rPr>
      </w:pPr>
    </w:p>
    <w:p w14:paraId="423467E5" w14:textId="77777777" w:rsidR="00AF6702" w:rsidRPr="00702882" w:rsidRDefault="00AF6702" w:rsidP="00AB6E46">
      <w:pPr>
        <w:pStyle w:val="ad"/>
        <w:spacing w:before="0" w:beforeAutospacing="0" w:line="480" w:lineRule="auto"/>
        <w:contextualSpacing/>
        <w:rPr>
          <w:rFonts w:eastAsiaTheme="minorEastAsia"/>
          <w:color w:val="7030A0"/>
        </w:rPr>
      </w:pPr>
    </w:p>
    <w:p w14:paraId="50DBECE9" w14:textId="77777777" w:rsidR="00AB6E46" w:rsidRPr="00702882" w:rsidRDefault="00AB6E46" w:rsidP="00AB6E46">
      <w:pPr>
        <w:pStyle w:val="ad"/>
        <w:spacing w:before="0" w:beforeAutospacing="0" w:line="480" w:lineRule="auto"/>
        <w:contextualSpacing/>
        <w:rPr>
          <w:rFonts w:eastAsiaTheme="minorEastAsia"/>
          <w:color w:val="7030A0"/>
        </w:rPr>
      </w:pPr>
    </w:p>
    <w:p w14:paraId="6F689020" w14:textId="77777777" w:rsidR="00B86C9D" w:rsidRPr="00702882" w:rsidRDefault="00B86C9D" w:rsidP="00AB6E46">
      <w:pPr>
        <w:pStyle w:val="ad"/>
        <w:spacing w:before="0" w:beforeAutospacing="0" w:line="480" w:lineRule="auto"/>
        <w:contextualSpacing/>
        <w:rPr>
          <w:rFonts w:eastAsiaTheme="minorEastAsia"/>
          <w:color w:val="7030A0"/>
        </w:rPr>
      </w:pPr>
    </w:p>
    <w:p w14:paraId="2DCFE0FA" w14:textId="77777777" w:rsidR="00B86C9D" w:rsidRPr="00702882" w:rsidRDefault="00B86C9D" w:rsidP="00AB6E46">
      <w:pPr>
        <w:pStyle w:val="ad"/>
        <w:spacing w:before="0" w:beforeAutospacing="0" w:line="480" w:lineRule="auto"/>
        <w:contextualSpacing/>
        <w:rPr>
          <w:rFonts w:eastAsiaTheme="minorEastAsia"/>
          <w:color w:val="7030A0"/>
        </w:rPr>
      </w:pPr>
    </w:p>
    <w:p w14:paraId="02E74BF6" w14:textId="77777777" w:rsidR="00B86C9D" w:rsidRPr="00702882" w:rsidRDefault="00B86C9D" w:rsidP="00AB6E46">
      <w:pPr>
        <w:pStyle w:val="ad"/>
        <w:spacing w:before="0" w:beforeAutospacing="0" w:line="480" w:lineRule="auto"/>
        <w:contextualSpacing/>
        <w:rPr>
          <w:rFonts w:eastAsiaTheme="minorEastAsia"/>
          <w:color w:val="7030A0"/>
        </w:rPr>
      </w:pPr>
    </w:p>
    <w:p w14:paraId="6F8282C5" w14:textId="6E15D351" w:rsidR="00AF6702" w:rsidRPr="00702882" w:rsidRDefault="00AF6702" w:rsidP="00C66AC4">
      <w:pPr>
        <w:spacing w:before="240" w:line="480" w:lineRule="auto"/>
        <w:contextualSpacing/>
        <w:jc w:val="center"/>
        <w:rPr>
          <w:rFonts w:eastAsiaTheme="minorEastAsia"/>
          <w:b/>
          <w:bCs/>
        </w:rPr>
      </w:pPr>
      <w:r w:rsidRPr="00702882">
        <w:rPr>
          <w:rFonts w:eastAsiaTheme="minorEastAsia"/>
          <w:b/>
        </w:rPr>
        <w:lastRenderedPageBreak/>
        <w:t>Table 1</w:t>
      </w:r>
      <w:r w:rsidR="00B86C9D" w:rsidRPr="00702882">
        <w:rPr>
          <w:rFonts w:eastAsiaTheme="minorEastAsia"/>
          <w:b/>
        </w:rPr>
        <w:t>4</w:t>
      </w:r>
      <w:r w:rsidRPr="00702882">
        <w:rPr>
          <w:rFonts w:eastAsiaTheme="minorEastAsia"/>
          <w:b/>
        </w:rPr>
        <w:t xml:space="preserve">. </w:t>
      </w:r>
      <w:r w:rsidRPr="00702882">
        <w:rPr>
          <w:rFonts w:eastAsiaTheme="minorEastAsia"/>
          <w:b/>
          <w:bCs/>
        </w:rPr>
        <w:t>Fixed Effects</w:t>
      </w:r>
      <w:r w:rsidRPr="00702882">
        <w:rPr>
          <w:b/>
          <w:bCs/>
        </w:rPr>
        <w:t xml:space="preserve"> Models</w:t>
      </w:r>
    </w:p>
    <w:p w14:paraId="7CDFC3D0" w14:textId="77777777" w:rsidR="00AF6702" w:rsidRPr="00702882" w:rsidRDefault="00AF6702" w:rsidP="00C66AC4">
      <w:pPr>
        <w:spacing w:before="240" w:line="480" w:lineRule="auto"/>
        <w:contextualSpacing/>
        <w:jc w:val="center"/>
        <w:rPr>
          <w:rFonts w:eastAsiaTheme="minorEastAsia"/>
          <w:b/>
          <w:bCs/>
        </w:rPr>
      </w:pPr>
      <w:r w:rsidRPr="00702882">
        <w:rPr>
          <w:b/>
          <w:bCs/>
        </w:rPr>
        <w:t xml:space="preserve">The Effects of BSF Structures on </w:t>
      </w:r>
      <w:r w:rsidRPr="00702882">
        <w:rPr>
          <w:rFonts w:eastAsiaTheme="minorEastAsia"/>
          <w:b/>
          <w:bCs/>
        </w:rPr>
        <w:t>GFB</w:t>
      </w:r>
      <w:r w:rsidRPr="00702882">
        <w:rPr>
          <w:b/>
          <w:bCs/>
        </w:rPr>
        <w:t xml:space="preserve"> Levels</w:t>
      </w:r>
    </w:p>
    <w:tbl>
      <w:tblPr>
        <w:tblW w:w="0" w:type="auto"/>
        <w:jc w:val="center"/>
        <w:tblBorders>
          <w:top w:val="single" w:sz="12" w:space="0" w:color="000000"/>
        </w:tblBorders>
        <w:tblCellMar>
          <w:top w:w="15" w:type="dxa"/>
          <w:left w:w="15" w:type="dxa"/>
          <w:bottom w:w="15" w:type="dxa"/>
          <w:right w:w="15" w:type="dxa"/>
        </w:tblCellMar>
        <w:tblLook w:val="04A0" w:firstRow="1" w:lastRow="0" w:firstColumn="1" w:lastColumn="0" w:noHBand="0" w:noVBand="1"/>
      </w:tblPr>
      <w:tblGrid>
        <w:gridCol w:w="3250"/>
        <w:gridCol w:w="1295"/>
        <w:gridCol w:w="1295"/>
        <w:gridCol w:w="1295"/>
        <w:gridCol w:w="1295"/>
      </w:tblGrid>
      <w:tr w:rsidR="00B86C9D" w:rsidRPr="00702882" w14:paraId="0C3D837D" w14:textId="77777777" w:rsidTr="00AE6820">
        <w:trPr>
          <w:tblHeader/>
          <w:jc w:val="center"/>
        </w:trPr>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2F67F355" w14:textId="77777777" w:rsidR="00AF6702" w:rsidRPr="00702882" w:rsidRDefault="00AF6702" w:rsidP="005C1AFD">
            <w:pPr>
              <w:spacing w:before="150" w:after="150"/>
              <w:contextualSpacing/>
              <w:jc w:val="center"/>
              <w:rPr>
                <w:b/>
                <w:bCs/>
                <w:sz w:val="20"/>
                <w:szCs w:val="20"/>
              </w:rPr>
            </w:pPr>
            <w:bookmarkStart w:id="57" w:name="_Hlk161795690"/>
            <w:r w:rsidRPr="00702882">
              <w:rPr>
                <w:b/>
                <w:bCs/>
                <w:sz w:val="20"/>
                <w:szCs w:val="20"/>
              </w:rPr>
              <w:t> </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41EEC597" w14:textId="77777777" w:rsidR="00AF6702" w:rsidRPr="00702882" w:rsidRDefault="00AF6702" w:rsidP="005C1AFD">
            <w:pPr>
              <w:spacing w:before="150" w:after="150"/>
              <w:contextualSpacing/>
              <w:jc w:val="center"/>
              <w:rPr>
                <w:b/>
                <w:bCs/>
                <w:sz w:val="20"/>
                <w:szCs w:val="20"/>
              </w:rPr>
            </w:pPr>
            <w:r w:rsidRPr="00702882">
              <w:rPr>
                <w:b/>
                <w:bCs/>
                <w:sz w:val="20"/>
                <w:szCs w:val="20"/>
              </w:rPr>
              <w:t>Model 1</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001F172A" w14:textId="77777777" w:rsidR="00AF6702" w:rsidRPr="00702882" w:rsidRDefault="00AF6702" w:rsidP="005C1AFD">
            <w:pPr>
              <w:spacing w:before="150" w:after="150"/>
              <w:contextualSpacing/>
              <w:jc w:val="center"/>
              <w:rPr>
                <w:b/>
                <w:bCs/>
                <w:sz w:val="20"/>
                <w:szCs w:val="20"/>
              </w:rPr>
            </w:pPr>
            <w:r w:rsidRPr="00702882">
              <w:rPr>
                <w:b/>
                <w:bCs/>
                <w:sz w:val="20"/>
                <w:szCs w:val="20"/>
              </w:rPr>
              <w:t>Model 2</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43C8498D" w14:textId="77777777" w:rsidR="00AF6702" w:rsidRPr="00702882" w:rsidRDefault="00AF6702" w:rsidP="005C1AFD">
            <w:pPr>
              <w:spacing w:before="150" w:after="150"/>
              <w:contextualSpacing/>
              <w:jc w:val="center"/>
              <w:rPr>
                <w:b/>
                <w:bCs/>
                <w:sz w:val="20"/>
                <w:szCs w:val="20"/>
              </w:rPr>
            </w:pPr>
            <w:r w:rsidRPr="00702882">
              <w:rPr>
                <w:b/>
                <w:bCs/>
                <w:sz w:val="20"/>
                <w:szCs w:val="20"/>
              </w:rPr>
              <w:t>Model 3</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75BA6EE7" w14:textId="77777777" w:rsidR="00AF6702" w:rsidRPr="00702882" w:rsidRDefault="00AF6702" w:rsidP="005C1AFD">
            <w:pPr>
              <w:spacing w:before="150" w:after="150"/>
              <w:contextualSpacing/>
              <w:jc w:val="center"/>
              <w:rPr>
                <w:b/>
                <w:bCs/>
                <w:sz w:val="20"/>
                <w:szCs w:val="20"/>
              </w:rPr>
            </w:pPr>
            <w:r w:rsidRPr="00702882">
              <w:rPr>
                <w:b/>
                <w:bCs/>
                <w:sz w:val="20"/>
                <w:szCs w:val="20"/>
              </w:rPr>
              <w:t>Model 4</w:t>
            </w:r>
          </w:p>
        </w:tc>
      </w:tr>
      <w:tr w:rsidR="00B86C9D" w:rsidRPr="00702882" w14:paraId="1AB24FE4" w14:textId="77777777" w:rsidTr="00AE6820">
        <w:trPr>
          <w:jc w:val="center"/>
        </w:trPr>
        <w:tc>
          <w:tcPr>
            <w:tcW w:w="0" w:type="auto"/>
            <w:tcBorders>
              <w:top w:val="single" w:sz="8" w:space="0" w:color="auto"/>
            </w:tcBorders>
            <w:tcMar>
              <w:top w:w="15" w:type="dxa"/>
              <w:left w:w="75" w:type="dxa"/>
              <w:bottom w:w="15" w:type="dxa"/>
              <w:right w:w="75" w:type="dxa"/>
            </w:tcMar>
            <w:vAlign w:val="center"/>
            <w:hideMark/>
          </w:tcPr>
          <w:p w14:paraId="2EEA17B8" w14:textId="77777777" w:rsidR="00AF6702" w:rsidRPr="00702882" w:rsidRDefault="00AF6702" w:rsidP="005C1AFD">
            <w:pPr>
              <w:spacing w:before="150" w:after="150"/>
              <w:contextualSpacing/>
              <w:rPr>
                <w:sz w:val="20"/>
                <w:szCs w:val="20"/>
              </w:rPr>
            </w:pPr>
            <w:r w:rsidRPr="00702882">
              <w:rPr>
                <w:sz w:val="20"/>
                <w:szCs w:val="20"/>
              </w:rPr>
              <w:t>BSF_percent_lag</w:t>
            </w:r>
          </w:p>
        </w:tc>
        <w:tc>
          <w:tcPr>
            <w:tcW w:w="0" w:type="auto"/>
            <w:tcBorders>
              <w:top w:val="single" w:sz="8" w:space="0" w:color="auto"/>
            </w:tcBorders>
            <w:tcMar>
              <w:top w:w="15" w:type="dxa"/>
              <w:left w:w="75" w:type="dxa"/>
              <w:bottom w:w="15" w:type="dxa"/>
              <w:right w:w="75" w:type="dxa"/>
            </w:tcMar>
            <w:vAlign w:val="center"/>
            <w:hideMark/>
          </w:tcPr>
          <w:p w14:paraId="659CC85B" w14:textId="77777777" w:rsidR="00AF6702" w:rsidRPr="00702882" w:rsidRDefault="00AF6702" w:rsidP="005C1AFD">
            <w:pPr>
              <w:spacing w:before="150" w:after="150"/>
              <w:contextualSpacing/>
              <w:rPr>
                <w:sz w:val="20"/>
                <w:szCs w:val="20"/>
              </w:rPr>
            </w:pPr>
            <w:r w:rsidRPr="00702882">
              <w:rPr>
                <w:sz w:val="20"/>
                <w:szCs w:val="20"/>
              </w:rPr>
              <w:t>0.19 (0.10)</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4ABF3515" w14:textId="77777777" w:rsidR="00AF6702" w:rsidRPr="00702882" w:rsidRDefault="00AF6702" w:rsidP="005C1AFD">
            <w:pPr>
              <w:spacing w:before="150" w:after="150"/>
              <w:contextualSpacing/>
              <w:rPr>
                <w:sz w:val="20"/>
                <w:szCs w:val="20"/>
              </w:rPr>
            </w:pPr>
            <w:r w:rsidRPr="00702882">
              <w:rPr>
                <w:sz w:val="20"/>
                <w:szCs w:val="20"/>
              </w:rPr>
              <w:t>0.21 (0.09)</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2464414B" w14:textId="77777777" w:rsidR="00AF6702" w:rsidRPr="00702882" w:rsidRDefault="00AF6702" w:rsidP="005C1AFD">
            <w:pPr>
              <w:spacing w:before="150" w:after="150"/>
              <w:contextualSpacing/>
              <w:rPr>
                <w:sz w:val="20"/>
                <w:szCs w:val="20"/>
              </w:rPr>
            </w:pPr>
            <w:r w:rsidRPr="00702882">
              <w:rPr>
                <w:sz w:val="20"/>
                <w:szCs w:val="20"/>
              </w:rPr>
              <w:t>0.21 (0.09)</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3529ABD8" w14:textId="77777777" w:rsidR="00AF6702" w:rsidRPr="00702882" w:rsidRDefault="00AF6702" w:rsidP="005C1AFD">
            <w:pPr>
              <w:spacing w:before="150" w:after="150"/>
              <w:contextualSpacing/>
              <w:rPr>
                <w:sz w:val="20"/>
                <w:szCs w:val="20"/>
              </w:rPr>
            </w:pPr>
            <w:r w:rsidRPr="00702882">
              <w:rPr>
                <w:sz w:val="20"/>
                <w:szCs w:val="20"/>
              </w:rPr>
              <w:t>0.22 (0.09)</w:t>
            </w:r>
            <w:r w:rsidRPr="00702882">
              <w:rPr>
                <w:sz w:val="20"/>
                <w:szCs w:val="20"/>
                <w:vertAlign w:val="superscript"/>
              </w:rPr>
              <w:t>***</w:t>
            </w:r>
          </w:p>
        </w:tc>
      </w:tr>
      <w:tr w:rsidR="00B86C9D" w:rsidRPr="00702882" w14:paraId="673E5019" w14:textId="77777777" w:rsidTr="00AE6820">
        <w:trPr>
          <w:jc w:val="center"/>
        </w:trPr>
        <w:tc>
          <w:tcPr>
            <w:tcW w:w="0" w:type="auto"/>
            <w:tcMar>
              <w:top w:w="15" w:type="dxa"/>
              <w:left w:w="75" w:type="dxa"/>
              <w:bottom w:w="15" w:type="dxa"/>
              <w:right w:w="75" w:type="dxa"/>
            </w:tcMar>
            <w:vAlign w:val="center"/>
            <w:hideMark/>
          </w:tcPr>
          <w:p w14:paraId="45AFB02D" w14:textId="77777777" w:rsidR="00AF6702" w:rsidRPr="00702882" w:rsidRDefault="00AF6702" w:rsidP="005C1AFD">
            <w:pPr>
              <w:spacing w:before="150" w:after="150"/>
              <w:contextualSpacing/>
              <w:rPr>
                <w:sz w:val="20"/>
                <w:szCs w:val="20"/>
              </w:rPr>
            </w:pPr>
            <w:r w:rsidRPr="00702882">
              <w:rPr>
                <w:sz w:val="20"/>
                <w:szCs w:val="20"/>
              </w:rPr>
              <w:t>Number</w:t>
            </w:r>
          </w:p>
        </w:tc>
        <w:tc>
          <w:tcPr>
            <w:tcW w:w="0" w:type="auto"/>
            <w:tcMar>
              <w:top w:w="15" w:type="dxa"/>
              <w:left w:w="75" w:type="dxa"/>
              <w:bottom w:w="15" w:type="dxa"/>
              <w:right w:w="75" w:type="dxa"/>
            </w:tcMar>
            <w:vAlign w:val="center"/>
            <w:hideMark/>
          </w:tcPr>
          <w:p w14:paraId="000679BB" w14:textId="77777777" w:rsidR="00AF6702" w:rsidRPr="00702882" w:rsidRDefault="00AF6702" w:rsidP="005C1AFD">
            <w:pPr>
              <w:spacing w:before="150" w:after="150"/>
              <w:contextualSpacing/>
              <w:rPr>
                <w:sz w:val="20"/>
                <w:szCs w:val="20"/>
              </w:rPr>
            </w:pPr>
            <w:r w:rsidRPr="00702882">
              <w:rPr>
                <w:sz w:val="20"/>
                <w:szCs w:val="20"/>
              </w:rPr>
              <w:t>2.43 (0.84)</w:t>
            </w:r>
            <w:r w:rsidRPr="00702882">
              <w:rPr>
                <w:sz w:val="20"/>
                <w:szCs w:val="20"/>
                <w:vertAlign w:val="superscript"/>
              </w:rPr>
              <w:t>***</w:t>
            </w:r>
          </w:p>
        </w:tc>
        <w:tc>
          <w:tcPr>
            <w:tcW w:w="0" w:type="auto"/>
            <w:tcMar>
              <w:top w:w="15" w:type="dxa"/>
              <w:left w:w="75" w:type="dxa"/>
              <w:bottom w:w="15" w:type="dxa"/>
              <w:right w:w="75" w:type="dxa"/>
            </w:tcMar>
            <w:vAlign w:val="center"/>
            <w:hideMark/>
          </w:tcPr>
          <w:p w14:paraId="1378A413" w14:textId="77777777" w:rsidR="00AF6702" w:rsidRPr="00702882" w:rsidRDefault="00AF6702" w:rsidP="005C1AFD">
            <w:pPr>
              <w:spacing w:before="150" w:after="150"/>
              <w:contextualSpacing/>
              <w:rPr>
                <w:sz w:val="20"/>
                <w:szCs w:val="20"/>
              </w:rPr>
            </w:pPr>
            <w:r w:rsidRPr="00702882">
              <w:rPr>
                <w:sz w:val="20"/>
                <w:szCs w:val="20"/>
              </w:rPr>
              <w:t>-0.01 (2.14)</w:t>
            </w:r>
          </w:p>
        </w:tc>
        <w:tc>
          <w:tcPr>
            <w:tcW w:w="0" w:type="auto"/>
            <w:tcMar>
              <w:top w:w="15" w:type="dxa"/>
              <w:left w:w="75" w:type="dxa"/>
              <w:bottom w:w="15" w:type="dxa"/>
              <w:right w:w="75" w:type="dxa"/>
            </w:tcMar>
            <w:vAlign w:val="center"/>
            <w:hideMark/>
          </w:tcPr>
          <w:p w14:paraId="163B15AB" w14:textId="77777777" w:rsidR="00AF6702" w:rsidRPr="00702882" w:rsidRDefault="00AF6702" w:rsidP="005C1AFD">
            <w:pPr>
              <w:spacing w:before="150" w:after="150"/>
              <w:contextualSpacing/>
              <w:rPr>
                <w:sz w:val="20"/>
                <w:szCs w:val="20"/>
              </w:rPr>
            </w:pPr>
            <w:r w:rsidRPr="00702882">
              <w:rPr>
                <w:sz w:val="20"/>
                <w:szCs w:val="20"/>
              </w:rPr>
              <w:t>2.64 (0.84)</w:t>
            </w:r>
            <w:r w:rsidRPr="00702882">
              <w:rPr>
                <w:sz w:val="20"/>
                <w:szCs w:val="20"/>
                <w:vertAlign w:val="superscript"/>
              </w:rPr>
              <w:t>***</w:t>
            </w:r>
          </w:p>
        </w:tc>
        <w:tc>
          <w:tcPr>
            <w:tcW w:w="0" w:type="auto"/>
            <w:tcMar>
              <w:top w:w="15" w:type="dxa"/>
              <w:left w:w="75" w:type="dxa"/>
              <w:bottom w:w="15" w:type="dxa"/>
              <w:right w:w="75" w:type="dxa"/>
            </w:tcMar>
            <w:vAlign w:val="center"/>
            <w:hideMark/>
          </w:tcPr>
          <w:p w14:paraId="73BAFB0E" w14:textId="77777777" w:rsidR="00AF6702" w:rsidRPr="00702882" w:rsidRDefault="00AF6702" w:rsidP="005C1AFD">
            <w:pPr>
              <w:spacing w:before="150" w:after="150"/>
              <w:contextualSpacing/>
              <w:rPr>
                <w:sz w:val="20"/>
                <w:szCs w:val="20"/>
              </w:rPr>
            </w:pPr>
            <w:r w:rsidRPr="00702882">
              <w:rPr>
                <w:sz w:val="20"/>
                <w:szCs w:val="20"/>
              </w:rPr>
              <w:t>2.63 (0.84)</w:t>
            </w:r>
            <w:r w:rsidRPr="00702882">
              <w:rPr>
                <w:sz w:val="20"/>
                <w:szCs w:val="20"/>
                <w:vertAlign w:val="superscript"/>
              </w:rPr>
              <w:t>***</w:t>
            </w:r>
          </w:p>
        </w:tc>
      </w:tr>
      <w:tr w:rsidR="00B86C9D" w:rsidRPr="00702882" w14:paraId="3FFC6CBC" w14:textId="77777777" w:rsidTr="00AE6820">
        <w:trPr>
          <w:jc w:val="center"/>
        </w:trPr>
        <w:tc>
          <w:tcPr>
            <w:tcW w:w="0" w:type="auto"/>
            <w:tcMar>
              <w:top w:w="15" w:type="dxa"/>
              <w:left w:w="75" w:type="dxa"/>
              <w:bottom w:w="15" w:type="dxa"/>
              <w:right w:w="75" w:type="dxa"/>
            </w:tcMar>
            <w:vAlign w:val="center"/>
            <w:hideMark/>
          </w:tcPr>
          <w:p w14:paraId="5C93BB34" w14:textId="77777777" w:rsidR="00AF6702" w:rsidRPr="00702882" w:rsidRDefault="00AF6702" w:rsidP="005C1AFD">
            <w:pPr>
              <w:spacing w:before="150" w:after="150"/>
              <w:contextualSpacing/>
              <w:rPr>
                <w:sz w:val="20"/>
                <w:szCs w:val="20"/>
              </w:rPr>
            </w:pPr>
            <w:r w:rsidRPr="00702882">
              <w:rPr>
                <w:sz w:val="20"/>
                <w:szCs w:val="20"/>
              </w:rPr>
              <w:t>Source_percent</w:t>
            </w:r>
          </w:p>
        </w:tc>
        <w:tc>
          <w:tcPr>
            <w:tcW w:w="0" w:type="auto"/>
            <w:tcMar>
              <w:top w:w="15" w:type="dxa"/>
              <w:left w:w="75" w:type="dxa"/>
              <w:bottom w:w="15" w:type="dxa"/>
              <w:right w:w="75" w:type="dxa"/>
            </w:tcMar>
            <w:vAlign w:val="center"/>
            <w:hideMark/>
          </w:tcPr>
          <w:p w14:paraId="2A8197DA" w14:textId="77777777" w:rsidR="00AF6702" w:rsidRPr="00702882" w:rsidRDefault="00AF6702" w:rsidP="005C1AFD">
            <w:pPr>
              <w:spacing w:before="150" w:after="150"/>
              <w:contextualSpacing/>
              <w:rPr>
                <w:sz w:val="20"/>
                <w:szCs w:val="20"/>
              </w:rPr>
            </w:pPr>
            <w:r w:rsidRPr="00702882">
              <w:rPr>
                <w:sz w:val="20"/>
                <w:szCs w:val="20"/>
              </w:rPr>
              <w:t>0.73 (0.58)</w:t>
            </w:r>
          </w:p>
        </w:tc>
        <w:tc>
          <w:tcPr>
            <w:tcW w:w="0" w:type="auto"/>
            <w:tcMar>
              <w:top w:w="15" w:type="dxa"/>
              <w:left w:w="75" w:type="dxa"/>
              <w:bottom w:w="15" w:type="dxa"/>
              <w:right w:w="75" w:type="dxa"/>
            </w:tcMar>
            <w:vAlign w:val="center"/>
            <w:hideMark/>
          </w:tcPr>
          <w:p w14:paraId="48AB577E" w14:textId="77777777" w:rsidR="00AF6702" w:rsidRPr="00702882" w:rsidRDefault="00AF6702" w:rsidP="005C1AFD">
            <w:pPr>
              <w:spacing w:before="150" w:after="150"/>
              <w:contextualSpacing/>
              <w:rPr>
                <w:sz w:val="20"/>
                <w:szCs w:val="20"/>
              </w:rPr>
            </w:pPr>
            <w:r w:rsidRPr="00702882">
              <w:rPr>
                <w:sz w:val="20"/>
                <w:szCs w:val="20"/>
              </w:rPr>
              <w:t>4.69 (0.92)</w:t>
            </w:r>
            <w:r w:rsidRPr="00702882">
              <w:rPr>
                <w:sz w:val="20"/>
                <w:szCs w:val="20"/>
                <w:vertAlign w:val="superscript"/>
              </w:rPr>
              <w:t>***</w:t>
            </w:r>
          </w:p>
        </w:tc>
        <w:tc>
          <w:tcPr>
            <w:tcW w:w="0" w:type="auto"/>
            <w:tcMar>
              <w:top w:w="15" w:type="dxa"/>
              <w:left w:w="75" w:type="dxa"/>
              <w:bottom w:w="15" w:type="dxa"/>
              <w:right w:w="75" w:type="dxa"/>
            </w:tcMar>
            <w:vAlign w:val="center"/>
            <w:hideMark/>
          </w:tcPr>
          <w:p w14:paraId="704859AF" w14:textId="77777777" w:rsidR="00AF6702" w:rsidRPr="00702882" w:rsidRDefault="00AF6702" w:rsidP="005C1AFD">
            <w:pPr>
              <w:spacing w:before="150" w:after="150"/>
              <w:contextualSpacing/>
              <w:rPr>
                <w:sz w:val="20"/>
                <w:szCs w:val="20"/>
              </w:rPr>
            </w:pPr>
            <w:r w:rsidRPr="00702882">
              <w:rPr>
                <w:sz w:val="20"/>
                <w:szCs w:val="20"/>
              </w:rPr>
              <w:t>5.55 (1.13)</w:t>
            </w:r>
            <w:r w:rsidRPr="00702882">
              <w:rPr>
                <w:sz w:val="20"/>
                <w:szCs w:val="20"/>
                <w:vertAlign w:val="superscript"/>
              </w:rPr>
              <w:t>***</w:t>
            </w:r>
          </w:p>
        </w:tc>
        <w:tc>
          <w:tcPr>
            <w:tcW w:w="0" w:type="auto"/>
            <w:tcMar>
              <w:top w:w="15" w:type="dxa"/>
              <w:left w:w="75" w:type="dxa"/>
              <w:bottom w:w="15" w:type="dxa"/>
              <w:right w:w="75" w:type="dxa"/>
            </w:tcMar>
            <w:vAlign w:val="center"/>
            <w:hideMark/>
          </w:tcPr>
          <w:p w14:paraId="22A57168" w14:textId="77777777" w:rsidR="00AF6702" w:rsidRPr="00702882" w:rsidRDefault="00AF6702" w:rsidP="005C1AFD">
            <w:pPr>
              <w:spacing w:before="150" w:after="150"/>
              <w:contextualSpacing/>
              <w:rPr>
                <w:sz w:val="20"/>
                <w:szCs w:val="20"/>
              </w:rPr>
            </w:pPr>
            <w:r w:rsidRPr="00702882">
              <w:rPr>
                <w:sz w:val="20"/>
                <w:szCs w:val="20"/>
              </w:rPr>
              <w:t>5.58 (1.14)</w:t>
            </w:r>
            <w:r w:rsidRPr="00702882">
              <w:rPr>
                <w:sz w:val="20"/>
                <w:szCs w:val="20"/>
                <w:vertAlign w:val="superscript"/>
              </w:rPr>
              <w:t>***</w:t>
            </w:r>
          </w:p>
        </w:tc>
      </w:tr>
      <w:tr w:rsidR="00B86C9D" w:rsidRPr="00702882" w14:paraId="16284308" w14:textId="77777777" w:rsidTr="00AE6820">
        <w:trPr>
          <w:jc w:val="center"/>
        </w:trPr>
        <w:tc>
          <w:tcPr>
            <w:tcW w:w="0" w:type="auto"/>
            <w:tcMar>
              <w:top w:w="15" w:type="dxa"/>
              <w:left w:w="75" w:type="dxa"/>
              <w:bottom w:w="15" w:type="dxa"/>
              <w:right w:w="75" w:type="dxa"/>
            </w:tcMar>
            <w:vAlign w:val="center"/>
            <w:hideMark/>
          </w:tcPr>
          <w:p w14:paraId="51E44CDA" w14:textId="77777777" w:rsidR="00AF6702" w:rsidRPr="00702882" w:rsidRDefault="00AF6702" w:rsidP="005C1AFD">
            <w:pPr>
              <w:spacing w:before="150" w:after="150"/>
              <w:contextualSpacing/>
              <w:rPr>
                <w:sz w:val="20"/>
                <w:szCs w:val="20"/>
              </w:rPr>
            </w:pPr>
            <w:r w:rsidRPr="00702882">
              <w:rPr>
                <w:sz w:val="20"/>
                <w:szCs w:val="20"/>
              </w:rPr>
              <w:t>Cap_percent</w:t>
            </w:r>
          </w:p>
        </w:tc>
        <w:tc>
          <w:tcPr>
            <w:tcW w:w="0" w:type="auto"/>
            <w:tcMar>
              <w:top w:w="15" w:type="dxa"/>
              <w:left w:w="75" w:type="dxa"/>
              <w:bottom w:w="15" w:type="dxa"/>
              <w:right w:w="75" w:type="dxa"/>
            </w:tcMar>
            <w:vAlign w:val="center"/>
            <w:hideMark/>
          </w:tcPr>
          <w:p w14:paraId="3E6517E5" w14:textId="77777777" w:rsidR="00AF6702" w:rsidRPr="00702882" w:rsidRDefault="00AF6702" w:rsidP="005C1AFD">
            <w:pPr>
              <w:spacing w:before="150" w:after="150"/>
              <w:contextualSpacing/>
              <w:rPr>
                <w:sz w:val="20"/>
                <w:szCs w:val="20"/>
              </w:rPr>
            </w:pPr>
            <w:r w:rsidRPr="00702882">
              <w:rPr>
                <w:sz w:val="20"/>
                <w:szCs w:val="20"/>
              </w:rPr>
              <w:t>-0.12 (0.18)</w:t>
            </w:r>
          </w:p>
        </w:tc>
        <w:tc>
          <w:tcPr>
            <w:tcW w:w="0" w:type="auto"/>
            <w:tcMar>
              <w:top w:w="15" w:type="dxa"/>
              <w:left w:w="75" w:type="dxa"/>
              <w:bottom w:w="15" w:type="dxa"/>
              <w:right w:w="75" w:type="dxa"/>
            </w:tcMar>
            <w:vAlign w:val="center"/>
            <w:hideMark/>
          </w:tcPr>
          <w:p w14:paraId="475277B8" w14:textId="77777777" w:rsidR="00AF6702" w:rsidRPr="00702882" w:rsidRDefault="00AF6702" w:rsidP="005C1AFD">
            <w:pPr>
              <w:spacing w:before="150" w:after="150"/>
              <w:contextualSpacing/>
              <w:rPr>
                <w:sz w:val="20"/>
                <w:szCs w:val="20"/>
              </w:rPr>
            </w:pPr>
            <w:r w:rsidRPr="00702882">
              <w:rPr>
                <w:sz w:val="20"/>
                <w:szCs w:val="20"/>
              </w:rPr>
              <w:t>-0.23 (0.18)</w:t>
            </w:r>
          </w:p>
        </w:tc>
        <w:tc>
          <w:tcPr>
            <w:tcW w:w="0" w:type="auto"/>
            <w:tcMar>
              <w:top w:w="15" w:type="dxa"/>
              <w:left w:w="75" w:type="dxa"/>
              <w:bottom w:w="15" w:type="dxa"/>
              <w:right w:w="75" w:type="dxa"/>
            </w:tcMar>
            <w:vAlign w:val="center"/>
            <w:hideMark/>
          </w:tcPr>
          <w:p w14:paraId="41C7AB48" w14:textId="77777777" w:rsidR="00AF6702" w:rsidRPr="00702882" w:rsidRDefault="00AF6702" w:rsidP="005C1AFD">
            <w:pPr>
              <w:spacing w:before="150" w:after="150"/>
              <w:contextualSpacing/>
              <w:rPr>
                <w:sz w:val="20"/>
                <w:szCs w:val="20"/>
              </w:rPr>
            </w:pPr>
            <w:r w:rsidRPr="00702882">
              <w:rPr>
                <w:sz w:val="20"/>
                <w:szCs w:val="20"/>
              </w:rPr>
              <w:t>-0.18 (0.19)</w:t>
            </w:r>
          </w:p>
        </w:tc>
        <w:tc>
          <w:tcPr>
            <w:tcW w:w="0" w:type="auto"/>
            <w:tcMar>
              <w:top w:w="15" w:type="dxa"/>
              <w:left w:w="75" w:type="dxa"/>
              <w:bottom w:w="15" w:type="dxa"/>
              <w:right w:w="75" w:type="dxa"/>
            </w:tcMar>
            <w:vAlign w:val="center"/>
            <w:hideMark/>
          </w:tcPr>
          <w:p w14:paraId="2402B00A" w14:textId="77777777" w:rsidR="00AF6702" w:rsidRPr="00702882" w:rsidRDefault="00AF6702" w:rsidP="005C1AFD">
            <w:pPr>
              <w:spacing w:before="150" w:after="150"/>
              <w:contextualSpacing/>
              <w:rPr>
                <w:sz w:val="20"/>
                <w:szCs w:val="20"/>
              </w:rPr>
            </w:pPr>
            <w:r w:rsidRPr="00702882">
              <w:rPr>
                <w:sz w:val="20"/>
                <w:szCs w:val="20"/>
              </w:rPr>
              <w:t>-0.19 (0.18)</w:t>
            </w:r>
          </w:p>
        </w:tc>
      </w:tr>
      <w:tr w:rsidR="00B86C9D" w:rsidRPr="00702882" w14:paraId="5058F7C7" w14:textId="77777777" w:rsidTr="00AE6820">
        <w:trPr>
          <w:jc w:val="center"/>
        </w:trPr>
        <w:tc>
          <w:tcPr>
            <w:tcW w:w="0" w:type="auto"/>
            <w:tcMar>
              <w:top w:w="15" w:type="dxa"/>
              <w:left w:w="75" w:type="dxa"/>
              <w:bottom w:w="15" w:type="dxa"/>
              <w:right w:w="75" w:type="dxa"/>
            </w:tcMar>
            <w:vAlign w:val="center"/>
            <w:hideMark/>
          </w:tcPr>
          <w:p w14:paraId="21A043C1" w14:textId="77777777" w:rsidR="00AF6702" w:rsidRPr="00702882" w:rsidRDefault="00AF6702" w:rsidP="005C1AFD">
            <w:pPr>
              <w:spacing w:before="150" w:after="150"/>
              <w:contextualSpacing/>
              <w:rPr>
                <w:sz w:val="20"/>
                <w:szCs w:val="20"/>
              </w:rPr>
            </w:pPr>
            <w:r w:rsidRPr="00702882">
              <w:rPr>
                <w:sz w:val="20"/>
                <w:szCs w:val="20"/>
              </w:rPr>
              <w:t>DepoLegis</w:t>
            </w:r>
          </w:p>
        </w:tc>
        <w:tc>
          <w:tcPr>
            <w:tcW w:w="0" w:type="auto"/>
            <w:tcMar>
              <w:top w:w="15" w:type="dxa"/>
              <w:left w:w="75" w:type="dxa"/>
              <w:bottom w:w="15" w:type="dxa"/>
              <w:right w:w="75" w:type="dxa"/>
            </w:tcMar>
            <w:vAlign w:val="center"/>
            <w:hideMark/>
          </w:tcPr>
          <w:p w14:paraId="1C53FF49" w14:textId="77777777" w:rsidR="00AF6702" w:rsidRPr="00702882" w:rsidRDefault="00AF6702" w:rsidP="005C1AFD">
            <w:pPr>
              <w:spacing w:before="150" w:after="150"/>
              <w:contextualSpacing/>
              <w:rPr>
                <w:sz w:val="20"/>
                <w:szCs w:val="20"/>
              </w:rPr>
            </w:pPr>
            <w:r w:rsidRPr="00702882">
              <w:rPr>
                <w:sz w:val="20"/>
                <w:szCs w:val="20"/>
              </w:rPr>
              <w:t>2.87 (1.84)</w:t>
            </w:r>
          </w:p>
        </w:tc>
        <w:tc>
          <w:tcPr>
            <w:tcW w:w="0" w:type="auto"/>
            <w:tcMar>
              <w:top w:w="15" w:type="dxa"/>
              <w:left w:w="75" w:type="dxa"/>
              <w:bottom w:w="15" w:type="dxa"/>
              <w:right w:w="75" w:type="dxa"/>
            </w:tcMar>
            <w:vAlign w:val="center"/>
            <w:hideMark/>
          </w:tcPr>
          <w:p w14:paraId="5D754186" w14:textId="77777777" w:rsidR="00AF6702" w:rsidRPr="00702882" w:rsidRDefault="00AF6702" w:rsidP="005C1AFD">
            <w:pPr>
              <w:spacing w:before="150" w:after="150"/>
              <w:contextualSpacing/>
              <w:rPr>
                <w:sz w:val="20"/>
                <w:szCs w:val="20"/>
              </w:rPr>
            </w:pPr>
            <w:r w:rsidRPr="00702882">
              <w:rPr>
                <w:sz w:val="20"/>
                <w:szCs w:val="20"/>
              </w:rPr>
              <w:t>3.10 (1.80)</w:t>
            </w:r>
            <w:r w:rsidRPr="00702882">
              <w:rPr>
                <w:sz w:val="20"/>
                <w:szCs w:val="20"/>
                <w:vertAlign w:val="superscript"/>
              </w:rPr>
              <w:t>*</w:t>
            </w:r>
          </w:p>
        </w:tc>
        <w:tc>
          <w:tcPr>
            <w:tcW w:w="0" w:type="auto"/>
            <w:tcMar>
              <w:top w:w="15" w:type="dxa"/>
              <w:left w:w="75" w:type="dxa"/>
              <w:bottom w:w="15" w:type="dxa"/>
              <w:right w:w="75" w:type="dxa"/>
            </w:tcMar>
            <w:vAlign w:val="center"/>
            <w:hideMark/>
          </w:tcPr>
          <w:p w14:paraId="765F9FBF" w14:textId="77777777" w:rsidR="00AF6702" w:rsidRPr="00702882" w:rsidRDefault="00AF6702" w:rsidP="005C1AFD">
            <w:pPr>
              <w:spacing w:before="150" w:after="150"/>
              <w:contextualSpacing/>
              <w:rPr>
                <w:sz w:val="20"/>
                <w:szCs w:val="20"/>
              </w:rPr>
            </w:pPr>
            <w:r w:rsidRPr="00702882">
              <w:rPr>
                <w:sz w:val="20"/>
                <w:szCs w:val="20"/>
              </w:rPr>
              <w:t>1.23 (2.06)</w:t>
            </w:r>
          </w:p>
        </w:tc>
        <w:tc>
          <w:tcPr>
            <w:tcW w:w="0" w:type="auto"/>
            <w:tcMar>
              <w:top w:w="15" w:type="dxa"/>
              <w:left w:w="75" w:type="dxa"/>
              <w:bottom w:w="15" w:type="dxa"/>
              <w:right w:w="75" w:type="dxa"/>
            </w:tcMar>
            <w:vAlign w:val="center"/>
            <w:hideMark/>
          </w:tcPr>
          <w:p w14:paraId="4D805C12" w14:textId="77777777" w:rsidR="00AF6702" w:rsidRPr="00702882" w:rsidRDefault="00AF6702" w:rsidP="005C1AFD">
            <w:pPr>
              <w:spacing w:before="150" w:after="150"/>
              <w:contextualSpacing/>
              <w:rPr>
                <w:sz w:val="20"/>
                <w:szCs w:val="20"/>
              </w:rPr>
            </w:pPr>
            <w:r w:rsidRPr="00702882">
              <w:rPr>
                <w:sz w:val="20"/>
                <w:szCs w:val="20"/>
              </w:rPr>
              <w:t>1.85 (1.92)</w:t>
            </w:r>
          </w:p>
        </w:tc>
      </w:tr>
      <w:tr w:rsidR="00B86C9D" w:rsidRPr="00702882" w14:paraId="00E0837E" w14:textId="77777777" w:rsidTr="00AE6820">
        <w:trPr>
          <w:jc w:val="center"/>
        </w:trPr>
        <w:tc>
          <w:tcPr>
            <w:tcW w:w="0" w:type="auto"/>
            <w:tcMar>
              <w:top w:w="15" w:type="dxa"/>
              <w:left w:w="75" w:type="dxa"/>
              <w:bottom w:w="15" w:type="dxa"/>
              <w:right w:w="75" w:type="dxa"/>
            </w:tcMar>
            <w:vAlign w:val="center"/>
            <w:hideMark/>
          </w:tcPr>
          <w:p w14:paraId="002673F3" w14:textId="77777777" w:rsidR="00AF6702" w:rsidRPr="00702882" w:rsidRDefault="00AF6702" w:rsidP="005C1AFD">
            <w:pPr>
              <w:spacing w:before="150" w:after="150"/>
              <w:contextualSpacing/>
              <w:rPr>
                <w:sz w:val="20"/>
                <w:szCs w:val="20"/>
              </w:rPr>
            </w:pPr>
            <w:r w:rsidRPr="00702882">
              <w:rPr>
                <w:sz w:val="20"/>
                <w:szCs w:val="20"/>
              </w:rPr>
              <w:t>DepoSurplus_numeric</w:t>
            </w:r>
          </w:p>
        </w:tc>
        <w:tc>
          <w:tcPr>
            <w:tcW w:w="0" w:type="auto"/>
            <w:tcMar>
              <w:top w:w="15" w:type="dxa"/>
              <w:left w:w="75" w:type="dxa"/>
              <w:bottom w:w="15" w:type="dxa"/>
              <w:right w:w="75" w:type="dxa"/>
            </w:tcMar>
            <w:vAlign w:val="center"/>
            <w:hideMark/>
          </w:tcPr>
          <w:p w14:paraId="5E3ADEE8" w14:textId="77777777" w:rsidR="00AF6702" w:rsidRPr="00702882" w:rsidRDefault="00AF6702" w:rsidP="005C1AFD">
            <w:pPr>
              <w:spacing w:before="150" w:after="150"/>
              <w:contextualSpacing/>
              <w:rPr>
                <w:sz w:val="20"/>
                <w:szCs w:val="20"/>
              </w:rPr>
            </w:pPr>
            <w:r w:rsidRPr="00702882">
              <w:rPr>
                <w:sz w:val="20"/>
                <w:szCs w:val="20"/>
              </w:rPr>
              <w:t>-1.65 (1.41)</w:t>
            </w:r>
          </w:p>
        </w:tc>
        <w:tc>
          <w:tcPr>
            <w:tcW w:w="0" w:type="auto"/>
            <w:tcMar>
              <w:top w:w="15" w:type="dxa"/>
              <w:left w:w="75" w:type="dxa"/>
              <w:bottom w:w="15" w:type="dxa"/>
              <w:right w:w="75" w:type="dxa"/>
            </w:tcMar>
            <w:vAlign w:val="center"/>
            <w:hideMark/>
          </w:tcPr>
          <w:p w14:paraId="13865BE1" w14:textId="77777777" w:rsidR="00AF6702" w:rsidRPr="00702882" w:rsidRDefault="00AF6702" w:rsidP="005C1AFD">
            <w:pPr>
              <w:spacing w:before="150" w:after="150"/>
              <w:contextualSpacing/>
              <w:rPr>
                <w:sz w:val="20"/>
                <w:szCs w:val="20"/>
              </w:rPr>
            </w:pPr>
            <w:r w:rsidRPr="00702882">
              <w:rPr>
                <w:sz w:val="20"/>
                <w:szCs w:val="20"/>
              </w:rPr>
              <w:t>0.58 (1.89)</w:t>
            </w:r>
          </w:p>
        </w:tc>
        <w:tc>
          <w:tcPr>
            <w:tcW w:w="0" w:type="auto"/>
            <w:tcMar>
              <w:top w:w="15" w:type="dxa"/>
              <w:left w:w="75" w:type="dxa"/>
              <w:bottom w:w="15" w:type="dxa"/>
              <w:right w:w="75" w:type="dxa"/>
            </w:tcMar>
            <w:vAlign w:val="center"/>
            <w:hideMark/>
          </w:tcPr>
          <w:p w14:paraId="247F7053" w14:textId="77777777" w:rsidR="00AF6702" w:rsidRPr="00702882" w:rsidRDefault="00AF6702" w:rsidP="005C1AFD">
            <w:pPr>
              <w:spacing w:before="150" w:after="150"/>
              <w:contextualSpacing/>
              <w:rPr>
                <w:sz w:val="20"/>
                <w:szCs w:val="20"/>
              </w:rPr>
            </w:pPr>
            <w:r w:rsidRPr="00702882">
              <w:rPr>
                <w:sz w:val="20"/>
                <w:szCs w:val="20"/>
              </w:rPr>
              <w:t>-3.10 (1.94)</w:t>
            </w:r>
          </w:p>
        </w:tc>
        <w:tc>
          <w:tcPr>
            <w:tcW w:w="0" w:type="auto"/>
            <w:tcMar>
              <w:top w:w="15" w:type="dxa"/>
              <w:left w:w="75" w:type="dxa"/>
              <w:bottom w:w="15" w:type="dxa"/>
              <w:right w:w="75" w:type="dxa"/>
            </w:tcMar>
            <w:vAlign w:val="center"/>
            <w:hideMark/>
          </w:tcPr>
          <w:p w14:paraId="4804F2B9" w14:textId="77777777" w:rsidR="00AF6702" w:rsidRPr="00702882" w:rsidRDefault="00AF6702" w:rsidP="005C1AFD">
            <w:pPr>
              <w:spacing w:before="150" w:after="150"/>
              <w:contextualSpacing/>
              <w:rPr>
                <w:sz w:val="20"/>
                <w:szCs w:val="20"/>
              </w:rPr>
            </w:pPr>
            <w:r w:rsidRPr="00702882">
              <w:rPr>
                <w:sz w:val="20"/>
                <w:szCs w:val="20"/>
              </w:rPr>
              <w:t>-2.12 (1.41)</w:t>
            </w:r>
          </w:p>
        </w:tc>
      </w:tr>
      <w:tr w:rsidR="00B86C9D" w:rsidRPr="00702882" w14:paraId="002F3A78" w14:textId="77777777" w:rsidTr="00AE6820">
        <w:trPr>
          <w:jc w:val="center"/>
        </w:trPr>
        <w:tc>
          <w:tcPr>
            <w:tcW w:w="0" w:type="auto"/>
            <w:tcMar>
              <w:top w:w="15" w:type="dxa"/>
              <w:left w:w="75" w:type="dxa"/>
              <w:bottom w:w="15" w:type="dxa"/>
              <w:right w:w="75" w:type="dxa"/>
            </w:tcMar>
            <w:vAlign w:val="center"/>
            <w:hideMark/>
          </w:tcPr>
          <w:p w14:paraId="40213BE9" w14:textId="77777777" w:rsidR="00AF6702" w:rsidRPr="00702882" w:rsidRDefault="00AF6702" w:rsidP="005C1AFD">
            <w:pPr>
              <w:spacing w:before="150" w:after="150"/>
              <w:contextualSpacing/>
              <w:rPr>
                <w:sz w:val="20"/>
                <w:szCs w:val="20"/>
              </w:rPr>
            </w:pPr>
            <w:r w:rsidRPr="00702882">
              <w:rPr>
                <w:sz w:val="20"/>
                <w:szCs w:val="20"/>
              </w:rPr>
              <w:t>DepoVol_formula</w:t>
            </w:r>
          </w:p>
        </w:tc>
        <w:tc>
          <w:tcPr>
            <w:tcW w:w="0" w:type="auto"/>
            <w:tcMar>
              <w:top w:w="15" w:type="dxa"/>
              <w:left w:w="75" w:type="dxa"/>
              <w:bottom w:w="15" w:type="dxa"/>
              <w:right w:w="75" w:type="dxa"/>
            </w:tcMar>
            <w:vAlign w:val="center"/>
            <w:hideMark/>
          </w:tcPr>
          <w:p w14:paraId="560429E5" w14:textId="77777777" w:rsidR="00AF6702" w:rsidRPr="00702882" w:rsidRDefault="00AF6702" w:rsidP="005C1AFD">
            <w:pPr>
              <w:spacing w:before="150" w:after="150"/>
              <w:contextualSpacing/>
              <w:rPr>
                <w:sz w:val="20"/>
                <w:szCs w:val="20"/>
              </w:rPr>
            </w:pPr>
            <w:r w:rsidRPr="00702882">
              <w:rPr>
                <w:sz w:val="20"/>
                <w:szCs w:val="20"/>
              </w:rPr>
              <w:t>5.94 (3.74)</w:t>
            </w:r>
          </w:p>
        </w:tc>
        <w:tc>
          <w:tcPr>
            <w:tcW w:w="0" w:type="auto"/>
            <w:tcMar>
              <w:top w:w="15" w:type="dxa"/>
              <w:left w:w="75" w:type="dxa"/>
              <w:bottom w:w="15" w:type="dxa"/>
              <w:right w:w="75" w:type="dxa"/>
            </w:tcMar>
            <w:vAlign w:val="center"/>
            <w:hideMark/>
          </w:tcPr>
          <w:p w14:paraId="78C809BC" w14:textId="77777777" w:rsidR="00AF6702" w:rsidRPr="00702882" w:rsidRDefault="00AF6702" w:rsidP="005C1AFD">
            <w:pPr>
              <w:spacing w:before="150" w:after="150"/>
              <w:contextualSpacing/>
              <w:rPr>
                <w:sz w:val="20"/>
                <w:szCs w:val="20"/>
              </w:rPr>
            </w:pPr>
            <w:r w:rsidRPr="00702882">
              <w:rPr>
                <w:sz w:val="20"/>
                <w:szCs w:val="20"/>
              </w:rPr>
              <w:t>-2.26 (4.53)</w:t>
            </w:r>
          </w:p>
        </w:tc>
        <w:tc>
          <w:tcPr>
            <w:tcW w:w="0" w:type="auto"/>
            <w:tcMar>
              <w:top w:w="15" w:type="dxa"/>
              <w:left w:w="75" w:type="dxa"/>
              <w:bottom w:w="15" w:type="dxa"/>
              <w:right w:w="75" w:type="dxa"/>
            </w:tcMar>
            <w:vAlign w:val="center"/>
            <w:hideMark/>
          </w:tcPr>
          <w:p w14:paraId="2D2A5F71" w14:textId="77777777" w:rsidR="00AF6702" w:rsidRPr="00702882" w:rsidRDefault="00AF6702" w:rsidP="005C1AFD">
            <w:pPr>
              <w:spacing w:before="150" w:after="150"/>
              <w:contextualSpacing/>
              <w:rPr>
                <w:sz w:val="20"/>
                <w:szCs w:val="20"/>
              </w:rPr>
            </w:pPr>
            <w:r w:rsidRPr="00702882">
              <w:rPr>
                <w:sz w:val="20"/>
                <w:szCs w:val="20"/>
              </w:rPr>
              <w:t>2.47 (3.50)</w:t>
            </w:r>
          </w:p>
        </w:tc>
        <w:tc>
          <w:tcPr>
            <w:tcW w:w="0" w:type="auto"/>
            <w:tcMar>
              <w:top w:w="15" w:type="dxa"/>
              <w:left w:w="75" w:type="dxa"/>
              <w:bottom w:w="15" w:type="dxa"/>
              <w:right w:w="75" w:type="dxa"/>
            </w:tcMar>
            <w:vAlign w:val="center"/>
            <w:hideMark/>
          </w:tcPr>
          <w:p w14:paraId="4D9C4C7D" w14:textId="77777777" w:rsidR="00AF6702" w:rsidRPr="00702882" w:rsidRDefault="00AF6702" w:rsidP="005C1AFD">
            <w:pPr>
              <w:spacing w:before="150" w:after="150"/>
              <w:contextualSpacing/>
              <w:rPr>
                <w:sz w:val="20"/>
                <w:szCs w:val="20"/>
              </w:rPr>
            </w:pPr>
            <w:r w:rsidRPr="00702882">
              <w:rPr>
                <w:sz w:val="20"/>
                <w:szCs w:val="20"/>
              </w:rPr>
              <w:t>2.51 (3.48)</w:t>
            </w:r>
          </w:p>
        </w:tc>
      </w:tr>
      <w:tr w:rsidR="00B86C9D" w:rsidRPr="00702882" w14:paraId="3AE7516D" w14:textId="77777777" w:rsidTr="00AE6820">
        <w:trPr>
          <w:jc w:val="center"/>
        </w:trPr>
        <w:tc>
          <w:tcPr>
            <w:tcW w:w="0" w:type="auto"/>
            <w:tcMar>
              <w:top w:w="15" w:type="dxa"/>
              <w:left w:w="75" w:type="dxa"/>
              <w:bottom w:w="15" w:type="dxa"/>
              <w:right w:w="75" w:type="dxa"/>
            </w:tcMar>
            <w:vAlign w:val="center"/>
            <w:hideMark/>
          </w:tcPr>
          <w:p w14:paraId="2EE2C604" w14:textId="77777777" w:rsidR="00AF6702" w:rsidRPr="00702882" w:rsidRDefault="00AF6702" w:rsidP="005C1AFD">
            <w:pPr>
              <w:spacing w:before="150" w:after="150"/>
              <w:contextualSpacing/>
              <w:rPr>
                <w:sz w:val="20"/>
                <w:szCs w:val="20"/>
              </w:rPr>
            </w:pPr>
            <w:r w:rsidRPr="00702882">
              <w:rPr>
                <w:sz w:val="20"/>
                <w:szCs w:val="20"/>
              </w:rPr>
              <w:t>DepoVol_propor</w:t>
            </w:r>
          </w:p>
        </w:tc>
        <w:tc>
          <w:tcPr>
            <w:tcW w:w="0" w:type="auto"/>
            <w:tcMar>
              <w:top w:w="15" w:type="dxa"/>
              <w:left w:w="75" w:type="dxa"/>
              <w:bottom w:w="15" w:type="dxa"/>
              <w:right w:w="75" w:type="dxa"/>
            </w:tcMar>
            <w:vAlign w:val="center"/>
            <w:hideMark/>
          </w:tcPr>
          <w:p w14:paraId="4CD358AD" w14:textId="77777777" w:rsidR="00AF6702" w:rsidRPr="00702882" w:rsidRDefault="00AF6702" w:rsidP="005C1AFD">
            <w:pPr>
              <w:spacing w:before="150" w:after="150"/>
              <w:contextualSpacing/>
              <w:rPr>
                <w:sz w:val="20"/>
                <w:szCs w:val="20"/>
              </w:rPr>
            </w:pPr>
            <w:r w:rsidRPr="00702882">
              <w:rPr>
                <w:sz w:val="20"/>
                <w:szCs w:val="20"/>
              </w:rPr>
              <w:t>0.39 (1.24)</w:t>
            </w:r>
          </w:p>
        </w:tc>
        <w:tc>
          <w:tcPr>
            <w:tcW w:w="0" w:type="auto"/>
            <w:tcMar>
              <w:top w:w="15" w:type="dxa"/>
              <w:left w:w="75" w:type="dxa"/>
              <w:bottom w:w="15" w:type="dxa"/>
              <w:right w:w="75" w:type="dxa"/>
            </w:tcMar>
            <w:vAlign w:val="center"/>
            <w:hideMark/>
          </w:tcPr>
          <w:p w14:paraId="62FDC92D" w14:textId="77777777" w:rsidR="00AF6702" w:rsidRPr="00702882" w:rsidRDefault="00AF6702" w:rsidP="005C1AFD">
            <w:pPr>
              <w:spacing w:before="150" w:after="150"/>
              <w:contextualSpacing/>
              <w:rPr>
                <w:sz w:val="20"/>
                <w:szCs w:val="20"/>
              </w:rPr>
            </w:pPr>
            <w:r w:rsidRPr="00702882">
              <w:rPr>
                <w:sz w:val="20"/>
                <w:szCs w:val="20"/>
              </w:rPr>
              <w:t>1.40 (2.02)</w:t>
            </w:r>
          </w:p>
        </w:tc>
        <w:tc>
          <w:tcPr>
            <w:tcW w:w="0" w:type="auto"/>
            <w:tcMar>
              <w:top w:w="15" w:type="dxa"/>
              <w:left w:w="75" w:type="dxa"/>
              <w:bottom w:w="15" w:type="dxa"/>
              <w:right w:w="75" w:type="dxa"/>
            </w:tcMar>
            <w:vAlign w:val="center"/>
            <w:hideMark/>
          </w:tcPr>
          <w:p w14:paraId="3D1BA581" w14:textId="77777777" w:rsidR="00AF6702" w:rsidRPr="00702882" w:rsidRDefault="00AF6702" w:rsidP="005C1AFD">
            <w:pPr>
              <w:spacing w:before="150" w:after="150"/>
              <w:contextualSpacing/>
              <w:rPr>
                <w:sz w:val="20"/>
                <w:szCs w:val="20"/>
              </w:rPr>
            </w:pPr>
            <w:r w:rsidRPr="00702882">
              <w:rPr>
                <w:sz w:val="20"/>
                <w:szCs w:val="20"/>
              </w:rPr>
              <w:t>0.48 (1.33)</w:t>
            </w:r>
          </w:p>
        </w:tc>
        <w:tc>
          <w:tcPr>
            <w:tcW w:w="0" w:type="auto"/>
            <w:tcMar>
              <w:top w:w="15" w:type="dxa"/>
              <w:left w:w="75" w:type="dxa"/>
              <w:bottom w:w="15" w:type="dxa"/>
              <w:right w:w="75" w:type="dxa"/>
            </w:tcMar>
            <w:vAlign w:val="center"/>
            <w:hideMark/>
          </w:tcPr>
          <w:p w14:paraId="68A91DC1" w14:textId="77777777" w:rsidR="00AF6702" w:rsidRPr="00702882" w:rsidRDefault="00AF6702" w:rsidP="005C1AFD">
            <w:pPr>
              <w:spacing w:before="150" w:after="150"/>
              <w:contextualSpacing/>
              <w:rPr>
                <w:sz w:val="20"/>
                <w:szCs w:val="20"/>
              </w:rPr>
            </w:pPr>
            <w:r w:rsidRPr="00702882">
              <w:rPr>
                <w:sz w:val="20"/>
                <w:szCs w:val="20"/>
              </w:rPr>
              <w:t>0.79 (1.22)</w:t>
            </w:r>
          </w:p>
        </w:tc>
      </w:tr>
      <w:tr w:rsidR="00B86C9D" w:rsidRPr="00702882" w14:paraId="2F00C32C" w14:textId="77777777" w:rsidTr="00AE6820">
        <w:trPr>
          <w:jc w:val="center"/>
        </w:trPr>
        <w:tc>
          <w:tcPr>
            <w:tcW w:w="0" w:type="auto"/>
            <w:tcMar>
              <w:top w:w="15" w:type="dxa"/>
              <w:left w:w="75" w:type="dxa"/>
              <w:bottom w:w="15" w:type="dxa"/>
              <w:right w:w="75" w:type="dxa"/>
            </w:tcMar>
            <w:vAlign w:val="center"/>
            <w:hideMark/>
          </w:tcPr>
          <w:p w14:paraId="572B940B" w14:textId="77777777" w:rsidR="00AF6702" w:rsidRPr="00702882" w:rsidRDefault="00AF6702" w:rsidP="005C1AFD">
            <w:pPr>
              <w:spacing w:before="150" w:after="150"/>
              <w:contextualSpacing/>
              <w:rPr>
                <w:sz w:val="20"/>
                <w:szCs w:val="20"/>
              </w:rPr>
            </w:pPr>
            <w:r w:rsidRPr="00702882">
              <w:rPr>
                <w:sz w:val="20"/>
                <w:szCs w:val="20"/>
              </w:rPr>
              <w:t>WithLegis_numeric</w:t>
            </w:r>
          </w:p>
        </w:tc>
        <w:tc>
          <w:tcPr>
            <w:tcW w:w="0" w:type="auto"/>
            <w:tcMar>
              <w:top w:w="15" w:type="dxa"/>
              <w:left w:w="75" w:type="dxa"/>
              <w:bottom w:w="15" w:type="dxa"/>
              <w:right w:w="75" w:type="dxa"/>
            </w:tcMar>
            <w:vAlign w:val="center"/>
            <w:hideMark/>
          </w:tcPr>
          <w:p w14:paraId="3DDB54D8" w14:textId="77777777" w:rsidR="00AF6702" w:rsidRPr="00702882" w:rsidRDefault="00AF6702" w:rsidP="005C1AFD">
            <w:pPr>
              <w:spacing w:before="150" w:after="150"/>
              <w:contextualSpacing/>
              <w:rPr>
                <w:sz w:val="20"/>
                <w:szCs w:val="20"/>
              </w:rPr>
            </w:pPr>
            <w:r w:rsidRPr="00702882">
              <w:rPr>
                <w:sz w:val="20"/>
                <w:szCs w:val="20"/>
              </w:rPr>
              <w:t>-2.39 (1.60)</w:t>
            </w:r>
          </w:p>
        </w:tc>
        <w:tc>
          <w:tcPr>
            <w:tcW w:w="0" w:type="auto"/>
            <w:tcMar>
              <w:top w:w="15" w:type="dxa"/>
              <w:left w:w="75" w:type="dxa"/>
              <w:bottom w:w="15" w:type="dxa"/>
              <w:right w:w="75" w:type="dxa"/>
            </w:tcMar>
            <w:vAlign w:val="center"/>
            <w:hideMark/>
          </w:tcPr>
          <w:p w14:paraId="2252BD0F" w14:textId="77777777" w:rsidR="00AF6702" w:rsidRPr="00702882" w:rsidRDefault="00AF6702" w:rsidP="005C1AFD">
            <w:pPr>
              <w:spacing w:before="150" w:after="150"/>
              <w:contextualSpacing/>
              <w:rPr>
                <w:sz w:val="20"/>
                <w:szCs w:val="20"/>
              </w:rPr>
            </w:pPr>
            <w:r w:rsidRPr="00702882">
              <w:rPr>
                <w:sz w:val="20"/>
                <w:szCs w:val="20"/>
              </w:rPr>
              <w:t>-5.99 (3.05)</w:t>
            </w:r>
            <w:r w:rsidRPr="00702882">
              <w:rPr>
                <w:sz w:val="20"/>
                <w:szCs w:val="20"/>
                <w:vertAlign w:val="superscript"/>
              </w:rPr>
              <w:t>*</w:t>
            </w:r>
          </w:p>
        </w:tc>
        <w:tc>
          <w:tcPr>
            <w:tcW w:w="0" w:type="auto"/>
            <w:tcMar>
              <w:top w:w="15" w:type="dxa"/>
              <w:left w:w="75" w:type="dxa"/>
              <w:bottom w:w="15" w:type="dxa"/>
              <w:right w:w="75" w:type="dxa"/>
            </w:tcMar>
            <w:vAlign w:val="center"/>
            <w:hideMark/>
          </w:tcPr>
          <w:p w14:paraId="5B2BB314" w14:textId="77777777" w:rsidR="00AF6702" w:rsidRPr="00702882" w:rsidRDefault="00AF6702" w:rsidP="005C1AFD">
            <w:pPr>
              <w:spacing w:before="150" w:after="150"/>
              <w:contextualSpacing/>
              <w:rPr>
                <w:sz w:val="20"/>
                <w:szCs w:val="20"/>
              </w:rPr>
            </w:pPr>
            <w:r w:rsidRPr="00702882">
              <w:rPr>
                <w:sz w:val="20"/>
                <w:szCs w:val="20"/>
              </w:rPr>
              <w:t>-2.87 (1.85)</w:t>
            </w:r>
          </w:p>
        </w:tc>
        <w:tc>
          <w:tcPr>
            <w:tcW w:w="0" w:type="auto"/>
            <w:tcMar>
              <w:top w:w="15" w:type="dxa"/>
              <w:left w:w="75" w:type="dxa"/>
              <w:bottom w:w="15" w:type="dxa"/>
              <w:right w:w="75" w:type="dxa"/>
            </w:tcMar>
            <w:vAlign w:val="center"/>
            <w:hideMark/>
          </w:tcPr>
          <w:p w14:paraId="3681DCCF" w14:textId="77777777" w:rsidR="00AF6702" w:rsidRPr="00702882" w:rsidRDefault="00AF6702" w:rsidP="005C1AFD">
            <w:pPr>
              <w:spacing w:before="150" w:after="150"/>
              <w:contextualSpacing/>
              <w:rPr>
                <w:sz w:val="20"/>
                <w:szCs w:val="20"/>
              </w:rPr>
            </w:pPr>
            <w:r w:rsidRPr="00702882">
              <w:rPr>
                <w:sz w:val="20"/>
                <w:szCs w:val="20"/>
              </w:rPr>
              <w:t>-2.48 (1.68)</w:t>
            </w:r>
          </w:p>
        </w:tc>
      </w:tr>
      <w:tr w:rsidR="00B86C9D" w:rsidRPr="00702882" w14:paraId="608E2C14" w14:textId="77777777" w:rsidTr="00AE6820">
        <w:trPr>
          <w:jc w:val="center"/>
        </w:trPr>
        <w:tc>
          <w:tcPr>
            <w:tcW w:w="0" w:type="auto"/>
            <w:tcMar>
              <w:top w:w="15" w:type="dxa"/>
              <w:left w:w="75" w:type="dxa"/>
              <w:bottom w:w="15" w:type="dxa"/>
              <w:right w:w="75" w:type="dxa"/>
            </w:tcMar>
            <w:vAlign w:val="center"/>
            <w:hideMark/>
          </w:tcPr>
          <w:p w14:paraId="4B4C3DE2" w14:textId="77777777" w:rsidR="00AF6702" w:rsidRPr="00702882" w:rsidRDefault="00AF6702" w:rsidP="005C1AFD">
            <w:pPr>
              <w:spacing w:before="150" w:after="150"/>
              <w:contextualSpacing/>
              <w:rPr>
                <w:sz w:val="20"/>
                <w:szCs w:val="20"/>
              </w:rPr>
            </w:pPr>
            <w:r w:rsidRPr="00702882">
              <w:rPr>
                <w:sz w:val="20"/>
                <w:szCs w:val="20"/>
              </w:rPr>
              <w:t>WithShortfall</w:t>
            </w:r>
          </w:p>
        </w:tc>
        <w:tc>
          <w:tcPr>
            <w:tcW w:w="0" w:type="auto"/>
            <w:tcMar>
              <w:top w:w="15" w:type="dxa"/>
              <w:left w:w="75" w:type="dxa"/>
              <w:bottom w:w="15" w:type="dxa"/>
              <w:right w:w="75" w:type="dxa"/>
            </w:tcMar>
            <w:vAlign w:val="center"/>
            <w:hideMark/>
          </w:tcPr>
          <w:p w14:paraId="46EEEB35" w14:textId="77777777" w:rsidR="00AF6702" w:rsidRPr="00702882" w:rsidRDefault="00AF6702" w:rsidP="005C1AFD">
            <w:pPr>
              <w:spacing w:before="150" w:after="150"/>
              <w:contextualSpacing/>
              <w:rPr>
                <w:sz w:val="20"/>
                <w:szCs w:val="20"/>
              </w:rPr>
            </w:pPr>
            <w:r w:rsidRPr="00702882">
              <w:rPr>
                <w:sz w:val="20"/>
                <w:szCs w:val="20"/>
              </w:rPr>
              <w:t>1.17 (0.89)</w:t>
            </w:r>
          </w:p>
        </w:tc>
        <w:tc>
          <w:tcPr>
            <w:tcW w:w="0" w:type="auto"/>
            <w:tcMar>
              <w:top w:w="15" w:type="dxa"/>
              <w:left w:w="75" w:type="dxa"/>
              <w:bottom w:w="15" w:type="dxa"/>
              <w:right w:w="75" w:type="dxa"/>
            </w:tcMar>
            <w:vAlign w:val="center"/>
            <w:hideMark/>
          </w:tcPr>
          <w:p w14:paraId="56C21D81" w14:textId="77777777" w:rsidR="00AF6702" w:rsidRPr="00702882" w:rsidRDefault="00AF6702" w:rsidP="005C1AFD">
            <w:pPr>
              <w:spacing w:before="150" w:after="150"/>
              <w:contextualSpacing/>
              <w:rPr>
                <w:sz w:val="20"/>
                <w:szCs w:val="20"/>
              </w:rPr>
            </w:pPr>
            <w:r w:rsidRPr="00702882">
              <w:rPr>
                <w:sz w:val="20"/>
                <w:szCs w:val="20"/>
              </w:rPr>
              <w:t>-0.19 (1.85)</w:t>
            </w:r>
          </w:p>
        </w:tc>
        <w:tc>
          <w:tcPr>
            <w:tcW w:w="0" w:type="auto"/>
            <w:tcMar>
              <w:top w:w="15" w:type="dxa"/>
              <w:left w:w="75" w:type="dxa"/>
              <w:bottom w:w="15" w:type="dxa"/>
              <w:right w:w="75" w:type="dxa"/>
            </w:tcMar>
            <w:vAlign w:val="center"/>
            <w:hideMark/>
          </w:tcPr>
          <w:p w14:paraId="6FF2C21D" w14:textId="77777777" w:rsidR="00AF6702" w:rsidRPr="00702882" w:rsidRDefault="00AF6702" w:rsidP="005C1AFD">
            <w:pPr>
              <w:spacing w:before="150" w:after="150"/>
              <w:contextualSpacing/>
              <w:rPr>
                <w:sz w:val="20"/>
                <w:szCs w:val="20"/>
              </w:rPr>
            </w:pPr>
            <w:r w:rsidRPr="00702882">
              <w:rPr>
                <w:sz w:val="20"/>
                <w:szCs w:val="20"/>
              </w:rPr>
              <w:t>1.49 (0.96)</w:t>
            </w:r>
          </w:p>
        </w:tc>
        <w:tc>
          <w:tcPr>
            <w:tcW w:w="0" w:type="auto"/>
            <w:tcMar>
              <w:top w:w="15" w:type="dxa"/>
              <w:left w:w="75" w:type="dxa"/>
              <w:bottom w:w="15" w:type="dxa"/>
              <w:right w:w="75" w:type="dxa"/>
            </w:tcMar>
            <w:vAlign w:val="center"/>
            <w:hideMark/>
          </w:tcPr>
          <w:p w14:paraId="4F0DD416" w14:textId="77777777" w:rsidR="00AF6702" w:rsidRPr="00702882" w:rsidRDefault="00AF6702" w:rsidP="005C1AFD">
            <w:pPr>
              <w:spacing w:before="150" w:after="150"/>
              <w:contextualSpacing/>
              <w:rPr>
                <w:sz w:val="20"/>
                <w:szCs w:val="20"/>
              </w:rPr>
            </w:pPr>
            <w:r w:rsidRPr="00702882">
              <w:rPr>
                <w:sz w:val="20"/>
                <w:szCs w:val="20"/>
              </w:rPr>
              <w:t>1.23 (0.81)</w:t>
            </w:r>
          </w:p>
        </w:tc>
      </w:tr>
      <w:tr w:rsidR="00B86C9D" w:rsidRPr="00702882" w14:paraId="7FC9B2AD" w14:textId="77777777" w:rsidTr="00AE6820">
        <w:trPr>
          <w:jc w:val="center"/>
        </w:trPr>
        <w:tc>
          <w:tcPr>
            <w:tcW w:w="0" w:type="auto"/>
            <w:tcMar>
              <w:top w:w="15" w:type="dxa"/>
              <w:left w:w="75" w:type="dxa"/>
              <w:bottom w:w="15" w:type="dxa"/>
              <w:right w:w="75" w:type="dxa"/>
            </w:tcMar>
            <w:vAlign w:val="center"/>
            <w:hideMark/>
          </w:tcPr>
          <w:p w14:paraId="493DDE2C" w14:textId="77777777" w:rsidR="00AF6702" w:rsidRPr="00702882" w:rsidRDefault="00AF6702" w:rsidP="005C1AFD">
            <w:pPr>
              <w:spacing w:before="150" w:after="150"/>
              <w:contextualSpacing/>
              <w:rPr>
                <w:sz w:val="20"/>
                <w:szCs w:val="20"/>
              </w:rPr>
            </w:pPr>
            <w:r w:rsidRPr="00702882">
              <w:rPr>
                <w:sz w:val="20"/>
                <w:szCs w:val="20"/>
              </w:rPr>
              <w:t>WithVol</w:t>
            </w:r>
          </w:p>
        </w:tc>
        <w:tc>
          <w:tcPr>
            <w:tcW w:w="0" w:type="auto"/>
            <w:tcMar>
              <w:top w:w="15" w:type="dxa"/>
              <w:left w:w="75" w:type="dxa"/>
              <w:bottom w:w="15" w:type="dxa"/>
              <w:right w:w="75" w:type="dxa"/>
            </w:tcMar>
            <w:vAlign w:val="center"/>
            <w:hideMark/>
          </w:tcPr>
          <w:p w14:paraId="65810ED4" w14:textId="77777777" w:rsidR="00AF6702" w:rsidRPr="00702882" w:rsidRDefault="00AF6702" w:rsidP="005C1AFD">
            <w:pPr>
              <w:spacing w:before="150" w:after="150"/>
              <w:contextualSpacing/>
              <w:rPr>
                <w:sz w:val="20"/>
                <w:szCs w:val="20"/>
              </w:rPr>
            </w:pPr>
            <w:r w:rsidRPr="00702882">
              <w:rPr>
                <w:sz w:val="20"/>
                <w:szCs w:val="20"/>
              </w:rPr>
              <w:t>-2.18 (1.60)</w:t>
            </w:r>
          </w:p>
        </w:tc>
        <w:tc>
          <w:tcPr>
            <w:tcW w:w="0" w:type="auto"/>
            <w:tcMar>
              <w:top w:w="15" w:type="dxa"/>
              <w:left w:w="75" w:type="dxa"/>
              <w:bottom w:w="15" w:type="dxa"/>
              <w:right w:w="75" w:type="dxa"/>
            </w:tcMar>
            <w:vAlign w:val="center"/>
            <w:hideMark/>
          </w:tcPr>
          <w:p w14:paraId="2322DAD8" w14:textId="77777777" w:rsidR="00AF6702" w:rsidRPr="00702882" w:rsidRDefault="00AF6702" w:rsidP="005C1AFD">
            <w:pPr>
              <w:spacing w:before="150" w:after="150"/>
              <w:contextualSpacing/>
              <w:rPr>
                <w:sz w:val="20"/>
                <w:szCs w:val="20"/>
              </w:rPr>
            </w:pPr>
            <w:r w:rsidRPr="00702882">
              <w:rPr>
                <w:sz w:val="20"/>
                <w:szCs w:val="20"/>
              </w:rPr>
              <w:t>1.33 (3.04)</w:t>
            </w:r>
          </w:p>
        </w:tc>
        <w:tc>
          <w:tcPr>
            <w:tcW w:w="0" w:type="auto"/>
            <w:tcMar>
              <w:top w:w="15" w:type="dxa"/>
              <w:left w:w="75" w:type="dxa"/>
              <w:bottom w:w="15" w:type="dxa"/>
              <w:right w:w="75" w:type="dxa"/>
            </w:tcMar>
            <w:vAlign w:val="center"/>
            <w:hideMark/>
          </w:tcPr>
          <w:p w14:paraId="0B3265AA" w14:textId="77777777" w:rsidR="00AF6702" w:rsidRPr="00702882" w:rsidRDefault="00AF6702" w:rsidP="005C1AFD">
            <w:pPr>
              <w:spacing w:before="150" w:after="150"/>
              <w:contextualSpacing/>
              <w:rPr>
                <w:sz w:val="20"/>
                <w:szCs w:val="20"/>
              </w:rPr>
            </w:pPr>
            <w:r w:rsidRPr="00702882">
              <w:rPr>
                <w:sz w:val="20"/>
                <w:szCs w:val="20"/>
              </w:rPr>
              <w:t>-3.77 (1.18)</w:t>
            </w:r>
            <w:r w:rsidRPr="00702882">
              <w:rPr>
                <w:sz w:val="20"/>
                <w:szCs w:val="20"/>
                <w:vertAlign w:val="superscript"/>
              </w:rPr>
              <w:t>***</w:t>
            </w:r>
          </w:p>
        </w:tc>
        <w:tc>
          <w:tcPr>
            <w:tcW w:w="0" w:type="auto"/>
            <w:tcMar>
              <w:top w:w="15" w:type="dxa"/>
              <w:left w:w="75" w:type="dxa"/>
              <w:bottom w:w="15" w:type="dxa"/>
              <w:right w:w="75" w:type="dxa"/>
            </w:tcMar>
            <w:vAlign w:val="center"/>
            <w:hideMark/>
          </w:tcPr>
          <w:p w14:paraId="2772F264" w14:textId="77777777" w:rsidR="00AF6702" w:rsidRPr="00702882" w:rsidRDefault="00AF6702" w:rsidP="005C1AFD">
            <w:pPr>
              <w:spacing w:before="150" w:after="150"/>
              <w:contextualSpacing/>
              <w:rPr>
                <w:sz w:val="20"/>
                <w:szCs w:val="20"/>
              </w:rPr>
            </w:pPr>
            <w:r w:rsidRPr="00702882">
              <w:rPr>
                <w:sz w:val="20"/>
                <w:szCs w:val="20"/>
              </w:rPr>
              <w:t>-3.62 (1.26)</w:t>
            </w:r>
            <w:r w:rsidRPr="00702882">
              <w:rPr>
                <w:sz w:val="20"/>
                <w:szCs w:val="20"/>
                <w:vertAlign w:val="superscript"/>
              </w:rPr>
              <w:t>***</w:t>
            </w:r>
          </w:p>
        </w:tc>
      </w:tr>
      <w:tr w:rsidR="00B86C9D" w:rsidRPr="00702882" w14:paraId="32F79FA9" w14:textId="77777777" w:rsidTr="00AE6820">
        <w:trPr>
          <w:jc w:val="center"/>
        </w:trPr>
        <w:tc>
          <w:tcPr>
            <w:tcW w:w="0" w:type="auto"/>
            <w:tcMar>
              <w:top w:w="15" w:type="dxa"/>
              <w:left w:w="75" w:type="dxa"/>
              <w:bottom w:w="15" w:type="dxa"/>
              <w:right w:w="75" w:type="dxa"/>
            </w:tcMar>
            <w:vAlign w:val="center"/>
            <w:hideMark/>
          </w:tcPr>
          <w:p w14:paraId="77D89A92" w14:textId="77777777" w:rsidR="00AF6702" w:rsidRPr="00702882" w:rsidRDefault="00AF6702" w:rsidP="005C1AFD">
            <w:pPr>
              <w:spacing w:before="150" w:after="150"/>
              <w:contextualSpacing/>
              <w:rPr>
                <w:sz w:val="20"/>
                <w:szCs w:val="20"/>
              </w:rPr>
            </w:pPr>
            <w:r w:rsidRPr="00702882">
              <w:rPr>
                <w:sz w:val="20"/>
                <w:szCs w:val="20"/>
              </w:rPr>
              <w:t>Repay_4bin</w:t>
            </w:r>
          </w:p>
        </w:tc>
        <w:tc>
          <w:tcPr>
            <w:tcW w:w="0" w:type="auto"/>
            <w:tcMar>
              <w:top w:w="15" w:type="dxa"/>
              <w:left w:w="75" w:type="dxa"/>
              <w:bottom w:w="15" w:type="dxa"/>
              <w:right w:w="75" w:type="dxa"/>
            </w:tcMar>
            <w:vAlign w:val="center"/>
            <w:hideMark/>
          </w:tcPr>
          <w:p w14:paraId="4BAEB977" w14:textId="77777777" w:rsidR="00AF6702" w:rsidRPr="00702882" w:rsidRDefault="00AF6702" w:rsidP="005C1AFD">
            <w:pPr>
              <w:spacing w:before="150" w:after="150"/>
              <w:contextualSpacing/>
              <w:rPr>
                <w:sz w:val="20"/>
                <w:szCs w:val="20"/>
              </w:rPr>
            </w:pPr>
            <w:r w:rsidRPr="00702882">
              <w:rPr>
                <w:sz w:val="20"/>
                <w:szCs w:val="20"/>
              </w:rPr>
              <w:t>-0.12 (0.28)</w:t>
            </w:r>
          </w:p>
        </w:tc>
        <w:tc>
          <w:tcPr>
            <w:tcW w:w="0" w:type="auto"/>
            <w:tcMar>
              <w:top w:w="15" w:type="dxa"/>
              <w:left w:w="75" w:type="dxa"/>
              <w:bottom w:w="15" w:type="dxa"/>
              <w:right w:w="75" w:type="dxa"/>
            </w:tcMar>
            <w:vAlign w:val="center"/>
            <w:hideMark/>
          </w:tcPr>
          <w:p w14:paraId="090DEFC3" w14:textId="77777777" w:rsidR="00AF6702" w:rsidRPr="00702882" w:rsidRDefault="00AF6702" w:rsidP="005C1AFD">
            <w:pPr>
              <w:spacing w:before="150" w:after="150"/>
              <w:contextualSpacing/>
              <w:rPr>
                <w:sz w:val="20"/>
                <w:szCs w:val="20"/>
              </w:rPr>
            </w:pPr>
            <w:r w:rsidRPr="00702882">
              <w:rPr>
                <w:sz w:val="20"/>
                <w:szCs w:val="20"/>
              </w:rPr>
              <w:t>-0.08 (0.57)</w:t>
            </w:r>
          </w:p>
        </w:tc>
        <w:tc>
          <w:tcPr>
            <w:tcW w:w="0" w:type="auto"/>
            <w:tcMar>
              <w:top w:w="15" w:type="dxa"/>
              <w:left w:w="75" w:type="dxa"/>
              <w:bottom w:w="15" w:type="dxa"/>
              <w:right w:w="75" w:type="dxa"/>
            </w:tcMar>
            <w:vAlign w:val="center"/>
            <w:hideMark/>
          </w:tcPr>
          <w:p w14:paraId="76B3C408" w14:textId="77777777" w:rsidR="00AF6702" w:rsidRPr="00702882" w:rsidRDefault="00AF6702" w:rsidP="005C1AFD">
            <w:pPr>
              <w:spacing w:before="150" w:after="150"/>
              <w:contextualSpacing/>
              <w:rPr>
                <w:sz w:val="20"/>
                <w:szCs w:val="20"/>
              </w:rPr>
            </w:pPr>
            <w:r w:rsidRPr="00702882">
              <w:rPr>
                <w:sz w:val="20"/>
                <w:szCs w:val="20"/>
              </w:rPr>
              <w:t>-0.05 (0.23)</w:t>
            </w:r>
          </w:p>
        </w:tc>
        <w:tc>
          <w:tcPr>
            <w:tcW w:w="0" w:type="auto"/>
            <w:tcMar>
              <w:top w:w="15" w:type="dxa"/>
              <w:left w:w="75" w:type="dxa"/>
              <w:bottom w:w="15" w:type="dxa"/>
              <w:right w:w="75" w:type="dxa"/>
            </w:tcMar>
            <w:vAlign w:val="center"/>
            <w:hideMark/>
          </w:tcPr>
          <w:p w14:paraId="69746FF3" w14:textId="77777777" w:rsidR="00AF6702" w:rsidRPr="00702882" w:rsidRDefault="00AF6702" w:rsidP="005C1AFD">
            <w:pPr>
              <w:spacing w:before="150" w:after="150"/>
              <w:contextualSpacing/>
              <w:rPr>
                <w:sz w:val="20"/>
                <w:szCs w:val="20"/>
              </w:rPr>
            </w:pPr>
            <w:r w:rsidRPr="00702882">
              <w:rPr>
                <w:sz w:val="20"/>
                <w:szCs w:val="20"/>
              </w:rPr>
              <w:t>-0.06 (0.23)</w:t>
            </w:r>
          </w:p>
        </w:tc>
      </w:tr>
      <w:tr w:rsidR="00B86C9D" w:rsidRPr="00702882" w14:paraId="0A9CBBC9" w14:textId="77777777" w:rsidTr="00AE6820">
        <w:trPr>
          <w:jc w:val="center"/>
        </w:trPr>
        <w:tc>
          <w:tcPr>
            <w:tcW w:w="0" w:type="auto"/>
            <w:tcMar>
              <w:top w:w="15" w:type="dxa"/>
              <w:left w:w="75" w:type="dxa"/>
              <w:bottom w:w="15" w:type="dxa"/>
              <w:right w:w="75" w:type="dxa"/>
            </w:tcMar>
            <w:vAlign w:val="center"/>
            <w:hideMark/>
          </w:tcPr>
          <w:p w14:paraId="60B4DCD3" w14:textId="77777777" w:rsidR="00AF6702" w:rsidRPr="00702882" w:rsidRDefault="00AF6702" w:rsidP="005C1AFD">
            <w:pPr>
              <w:spacing w:before="150" w:after="150"/>
              <w:contextualSpacing/>
              <w:rPr>
                <w:sz w:val="20"/>
                <w:szCs w:val="20"/>
              </w:rPr>
            </w:pPr>
            <w:r w:rsidRPr="00702882">
              <w:rPr>
                <w:sz w:val="20"/>
                <w:szCs w:val="20"/>
              </w:rPr>
              <w:t>WithLim</w:t>
            </w:r>
          </w:p>
        </w:tc>
        <w:tc>
          <w:tcPr>
            <w:tcW w:w="0" w:type="auto"/>
            <w:tcMar>
              <w:top w:w="15" w:type="dxa"/>
              <w:left w:w="75" w:type="dxa"/>
              <w:bottom w:w="15" w:type="dxa"/>
              <w:right w:w="75" w:type="dxa"/>
            </w:tcMar>
            <w:vAlign w:val="center"/>
            <w:hideMark/>
          </w:tcPr>
          <w:p w14:paraId="158880F8" w14:textId="77777777" w:rsidR="00AF6702" w:rsidRPr="00702882" w:rsidRDefault="00AF6702" w:rsidP="005C1AFD">
            <w:pPr>
              <w:spacing w:before="150" w:after="150"/>
              <w:contextualSpacing/>
              <w:rPr>
                <w:sz w:val="20"/>
                <w:szCs w:val="20"/>
              </w:rPr>
            </w:pPr>
            <w:r w:rsidRPr="00702882">
              <w:rPr>
                <w:sz w:val="20"/>
                <w:szCs w:val="20"/>
              </w:rPr>
              <w:t>3.14 (2.05)</w:t>
            </w:r>
          </w:p>
        </w:tc>
        <w:tc>
          <w:tcPr>
            <w:tcW w:w="0" w:type="auto"/>
            <w:tcMar>
              <w:top w:w="15" w:type="dxa"/>
              <w:left w:w="75" w:type="dxa"/>
              <w:bottom w:w="15" w:type="dxa"/>
              <w:right w:w="75" w:type="dxa"/>
            </w:tcMar>
            <w:vAlign w:val="center"/>
            <w:hideMark/>
          </w:tcPr>
          <w:p w14:paraId="30C8564D" w14:textId="77777777" w:rsidR="00AF6702" w:rsidRPr="00702882" w:rsidRDefault="00AF6702" w:rsidP="005C1AFD">
            <w:pPr>
              <w:spacing w:before="150" w:after="150"/>
              <w:contextualSpacing/>
              <w:rPr>
                <w:sz w:val="20"/>
                <w:szCs w:val="20"/>
              </w:rPr>
            </w:pPr>
            <w:r w:rsidRPr="00702882">
              <w:rPr>
                <w:sz w:val="20"/>
                <w:szCs w:val="20"/>
              </w:rPr>
              <w:t>2.91 (2.45)</w:t>
            </w:r>
          </w:p>
        </w:tc>
        <w:tc>
          <w:tcPr>
            <w:tcW w:w="0" w:type="auto"/>
            <w:tcMar>
              <w:top w:w="15" w:type="dxa"/>
              <w:left w:w="75" w:type="dxa"/>
              <w:bottom w:w="15" w:type="dxa"/>
              <w:right w:w="75" w:type="dxa"/>
            </w:tcMar>
            <w:vAlign w:val="center"/>
            <w:hideMark/>
          </w:tcPr>
          <w:p w14:paraId="10A3A842" w14:textId="77777777" w:rsidR="00AF6702" w:rsidRPr="00702882" w:rsidRDefault="00AF6702" w:rsidP="005C1AFD">
            <w:pPr>
              <w:spacing w:before="150" w:after="150"/>
              <w:contextualSpacing/>
              <w:rPr>
                <w:sz w:val="20"/>
                <w:szCs w:val="20"/>
              </w:rPr>
            </w:pPr>
            <w:r w:rsidRPr="00702882">
              <w:rPr>
                <w:sz w:val="20"/>
                <w:szCs w:val="20"/>
              </w:rPr>
              <w:t>1.26 (2.17)</w:t>
            </w:r>
          </w:p>
        </w:tc>
        <w:tc>
          <w:tcPr>
            <w:tcW w:w="0" w:type="auto"/>
            <w:tcMar>
              <w:top w:w="15" w:type="dxa"/>
              <w:left w:w="75" w:type="dxa"/>
              <w:bottom w:w="15" w:type="dxa"/>
              <w:right w:w="75" w:type="dxa"/>
            </w:tcMar>
            <w:vAlign w:val="center"/>
            <w:hideMark/>
          </w:tcPr>
          <w:p w14:paraId="717AAF1C" w14:textId="77777777" w:rsidR="00AF6702" w:rsidRPr="00702882" w:rsidRDefault="00AF6702" w:rsidP="005C1AFD">
            <w:pPr>
              <w:spacing w:before="150" w:after="150"/>
              <w:contextualSpacing/>
              <w:rPr>
                <w:sz w:val="20"/>
                <w:szCs w:val="20"/>
              </w:rPr>
            </w:pPr>
            <w:r w:rsidRPr="00702882">
              <w:rPr>
                <w:sz w:val="20"/>
                <w:szCs w:val="20"/>
              </w:rPr>
              <w:t>1.34 (2.17)</w:t>
            </w:r>
          </w:p>
        </w:tc>
      </w:tr>
      <w:tr w:rsidR="00B86C9D" w:rsidRPr="00702882" w14:paraId="5E667DD4" w14:textId="77777777" w:rsidTr="00AE6820">
        <w:trPr>
          <w:jc w:val="center"/>
        </w:trPr>
        <w:tc>
          <w:tcPr>
            <w:tcW w:w="0" w:type="auto"/>
            <w:tcMar>
              <w:top w:w="15" w:type="dxa"/>
              <w:left w:w="75" w:type="dxa"/>
              <w:bottom w:w="15" w:type="dxa"/>
              <w:right w:w="75" w:type="dxa"/>
            </w:tcMar>
            <w:vAlign w:val="center"/>
            <w:hideMark/>
          </w:tcPr>
          <w:p w14:paraId="39DCD62D" w14:textId="77777777" w:rsidR="00AF6702" w:rsidRPr="00702882" w:rsidRDefault="00AF6702" w:rsidP="005C1AFD">
            <w:pPr>
              <w:spacing w:before="150" w:after="150"/>
              <w:contextualSpacing/>
              <w:rPr>
                <w:sz w:val="20"/>
                <w:szCs w:val="20"/>
              </w:rPr>
            </w:pPr>
            <w:r w:rsidRPr="00702882">
              <w:rPr>
                <w:sz w:val="20"/>
                <w:szCs w:val="20"/>
              </w:rPr>
              <w:t>Disasters</w:t>
            </w:r>
          </w:p>
        </w:tc>
        <w:tc>
          <w:tcPr>
            <w:tcW w:w="0" w:type="auto"/>
            <w:tcMar>
              <w:top w:w="15" w:type="dxa"/>
              <w:left w:w="75" w:type="dxa"/>
              <w:bottom w:w="15" w:type="dxa"/>
              <w:right w:w="75" w:type="dxa"/>
            </w:tcMar>
            <w:vAlign w:val="center"/>
            <w:hideMark/>
          </w:tcPr>
          <w:p w14:paraId="6811531D" w14:textId="77777777" w:rsidR="00AF6702" w:rsidRPr="00702882" w:rsidRDefault="00AF6702" w:rsidP="005C1AFD">
            <w:pPr>
              <w:spacing w:before="150" w:after="150"/>
              <w:contextualSpacing/>
              <w:rPr>
                <w:sz w:val="20"/>
                <w:szCs w:val="20"/>
              </w:rPr>
            </w:pPr>
            <w:r w:rsidRPr="00702882">
              <w:rPr>
                <w:sz w:val="20"/>
                <w:szCs w:val="20"/>
              </w:rPr>
              <w:t>0.02 (0.15)</w:t>
            </w:r>
          </w:p>
        </w:tc>
        <w:tc>
          <w:tcPr>
            <w:tcW w:w="0" w:type="auto"/>
            <w:tcMar>
              <w:top w:w="15" w:type="dxa"/>
              <w:left w:w="75" w:type="dxa"/>
              <w:bottom w:w="15" w:type="dxa"/>
              <w:right w:w="75" w:type="dxa"/>
            </w:tcMar>
            <w:vAlign w:val="center"/>
            <w:hideMark/>
          </w:tcPr>
          <w:p w14:paraId="7BAE6669" w14:textId="77777777" w:rsidR="00AF6702" w:rsidRPr="00702882" w:rsidRDefault="00AF6702" w:rsidP="005C1AFD">
            <w:pPr>
              <w:spacing w:before="150" w:after="150"/>
              <w:contextualSpacing/>
              <w:rPr>
                <w:sz w:val="20"/>
                <w:szCs w:val="20"/>
              </w:rPr>
            </w:pPr>
            <w:r w:rsidRPr="00702882">
              <w:rPr>
                <w:sz w:val="20"/>
                <w:szCs w:val="20"/>
              </w:rPr>
              <w:t>-0.15 (0.12)</w:t>
            </w:r>
          </w:p>
        </w:tc>
        <w:tc>
          <w:tcPr>
            <w:tcW w:w="0" w:type="auto"/>
            <w:tcMar>
              <w:top w:w="15" w:type="dxa"/>
              <w:left w:w="75" w:type="dxa"/>
              <w:bottom w:w="15" w:type="dxa"/>
              <w:right w:w="75" w:type="dxa"/>
            </w:tcMar>
            <w:vAlign w:val="center"/>
            <w:hideMark/>
          </w:tcPr>
          <w:p w14:paraId="6C9BB30B" w14:textId="77777777" w:rsidR="00AF6702" w:rsidRPr="00702882" w:rsidRDefault="00AF6702" w:rsidP="005C1AFD">
            <w:pPr>
              <w:spacing w:before="150" w:after="150"/>
              <w:contextualSpacing/>
              <w:rPr>
                <w:sz w:val="20"/>
                <w:szCs w:val="20"/>
              </w:rPr>
            </w:pPr>
            <w:r w:rsidRPr="00702882">
              <w:rPr>
                <w:sz w:val="20"/>
                <w:szCs w:val="20"/>
              </w:rPr>
              <w:t>-0.10 (0.12)</w:t>
            </w:r>
          </w:p>
        </w:tc>
        <w:tc>
          <w:tcPr>
            <w:tcW w:w="0" w:type="auto"/>
            <w:tcMar>
              <w:top w:w="15" w:type="dxa"/>
              <w:left w:w="75" w:type="dxa"/>
              <w:bottom w:w="15" w:type="dxa"/>
              <w:right w:w="75" w:type="dxa"/>
            </w:tcMar>
            <w:vAlign w:val="center"/>
            <w:hideMark/>
          </w:tcPr>
          <w:p w14:paraId="2C30923A" w14:textId="77777777" w:rsidR="00AF6702" w:rsidRPr="00702882" w:rsidRDefault="00AF6702" w:rsidP="005C1AFD">
            <w:pPr>
              <w:spacing w:before="150" w:after="150"/>
              <w:contextualSpacing/>
              <w:rPr>
                <w:sz w:val="20"/>
                <w:szCs w:val="20"/>
              </w:rPr>
            </w:pPr>
            <w:r w:rsidRPr="00702882">
              <w:rPr>
                <w:sz w:val="20"/>
                <w:szCs w:val="20"/>
              </w:rPr>
              <w:t>-0.10 (0.12)</w:t>
            </w:r>
          </w:p>
        </w:tc>
      </w:tr>
      <w:tr w:rsidR="00B86C9D" w:rsidRPr="00702882" w14:paraId="30EACA6E" w14:textId="77777777" w:rsidTr="00AE6820">
        <w:trPr>
          <w:jc w:val="center"/>
        </w:trPr>
        <w:tc>
          <w:tcPr>
            <w:tcW w:w="0" w:type="auto"/>
            <w:tcMar>
              <w:top w:w="15" w:type="dxa"/>
              <w:left w:w="75" w:type="dxa"/>
              <w:bottom w:w="15" w:type="dxa"/>
              <w:right w:w="75" w:type="dxa"/>
            </w:tcMar>
            <w:vAlign w:val="center"/>
            <w:hideMark/>
          </w:tcPr>
          <w:p w14:paraId="1CF62827" w14:textId="77777777" w:rsidR="00AF6702" w:rsidRPr="00702882" w:rsidRDefault="00AF6702" w:rsidP="005C1AFD">
            <w:pPr>
              <w:spacing w:before="150" w:after="150"/>
              <w:contextualSpacing/>
              <w:rPr>
                <w:sz w:val="20"/>
                <w:szCs w:val="20"/>
              </w:rPr>
            </w:pPr>
            <w:r w:rsidRPr="00702882">
              <w:rPr>
                <w:sz w:val="20"/>
                <w:szCs w:val="20"/>
              </w:rPr>
              <w:t>Fed_IGR</w:t>
            </w:r>
          </w:p>
        </w:tc>
        <w:tc>
          <w:tcPr>
            <w:tcW w:w="0" w:type="auto"/>
            <w:tcMar>
              <w:top w:w="15" w:type="dxa"/>
              <w:left w:w="75" w:type="dxa"/>
              <w:bottom w:w="15" w:type="dxa"/>
              <w:right w:w="75" w:type="dxa"/>
            </w:tcMar>
            <w:vAlign w:val="center"/>
            <w:hideMark/>
          </w:tcPr>
          <w:p w14:paraId="2A6F167E" w14:textId="77777777" w:rsidR="00AF6702" w:rsidRPr="00702882" w:rsidRDefault="00AF6702" w:rsidP="005C1AFD">
            <w:pPr>
              <w:spacing w:before="150" w:after="150"/>
              <w:contextualSpacing/>
              <w:rPr>
                <w:sz w:val="20"/>
                <w:szCs w:val="20"/>
              </w:rPr>
            </w:pPr>
            <w:r w:rsidRPr="00702882">
              <w:rPr>
                <w:sz w:val="20"/>
                <w:szCs w:val="20"/>
              </w:rPr>
              <w:t>-0.02 (1.14)</w:t>
            </w:r>
          </w:p>
        </w:tc>
        <w:tc>
          <w:tcPr>
            <w:tcW w:w="0" w:type="auto"/>
            <w:tcMar>
              <w:top w:w="15" w:type="dxa"/>
              <w:left w:w="75" w:type="dxa"/>
              <w:bottom w:w="15" w:type="dxa"/>
              <w:right w:w="75" w:type="dxa"/>
            </w:tcMar>
            <w:vAlign w:val="center"/>
            <w:hideMark/>
          </w:tcPr>
          <w:p w14:paraId="02BEADB4" w14:textId="77777777" w:rsidR="00AF6702" w:rsidRPr="00702882" w:rsidRDefault="00AF6702" w:rsidP="005C1AFD">
            <w:pPr>
              <w:spacing w:before="150" w:after="150"/>
              <w:contextualSpacing/>
              <w:rPr>
                <w:sz w:val="20"/>
                <w:szCs w:val="20"/>
              </w:rPr>
            </w:pPr>
            <w:r w:rsidRPr="00702882">
              <w:rPr>
                <w:sz w:val="20"/>
                <w:szCs w:val="20"/>
              </w:rPr>
              <w:t>-0.22 (1.15)</w:t>
            </w:r>
          </w:p>
        </w:tc>
        <w:tc>
          <w:tcPr>
            <w:tcW w:w="0" w:type="auto"/>
            <w:tcMar>
              <w:top w:w="15" w:type="dxa"/>
              <w:left w:w="75" w:type="dxa"/>
              <w:bottom w:w="15" w:type="dxa"/>
              <w:right w:w="75" w:type="dxa"/>
            </w:tcMar>
            <w:vAlign w:val="center"/>
            <w:hideMark/>
          </w:tcPr>
          <w:p w14:paraId="681A8245" w14:textId="77777777" w:rsidR="00AF6702" w:rsidRPr="00702882" w:rsidRDefault="00AF6702" w:rsidP="005C1AFD">
            <w:pPr>
              <w:spacing w:before="150" w:after="150"/>
              <w:contextualSpacing/>
              <w:rPr>
                <w:sz w:val="20"/>
                <w:szCs w:val="20"/>
              </w:rPr>
            </w:pPr>
            <w:r w:rsidRPr="00702882">
              <w:rPr>
                <w:sz w:val="20"/>
                <w:szCs w:val="20"/>
              </w:rPr>
              <w:t>-0.17 (1.05)</w:t>
            </w:r>
          </w:p>
        </w:tc>
        <w:tc>
          <w:tcPr>
            <w:tcW w:w="0" w:type="auto"/>
            <w:tcMar>
              <w:top w:w="15" w:type="dxa"/>
              <w:left w:w="75" w:type="dxa"/>
              <w:bottom w:w="15" w:type="dxa"/>
              <w:right w:w="75" w:type="dxa"/>
            </w:tcMar>
            <w:vAlign w:val="center"/>
            <w:hideMark/>
          </w:tcPr>
          <w:p w14:paraId="5C046D87" w14:textId="77777777" w:rsidR="00AF6702" w:rsidRPr="00702882" w:rsidRDefault="00AF6702" w:rsidP="005C1AFD">
            <w:pPr>
              <w:spacing w:before="150" w:after="150"/>
              <w:contextualSpacing/>
              <w:rPr>
                <w:sz w:val="20"/>
                <w:szCs w:val="20"/>
              </w:rPr>
            </w:pPr>
            <w:r w:rsidRPr="00702882">
              <w:rPr>
                <w:sz w:val="20"/>
                <w:szCs w:val="20"/>
              </w:rPr>
              <w:t>-0.12 (1.07)</w:t>
            </w:r>
          </w:p>
        </w:tc>
      </w:tr>
      <w:tr w:rsidR="00B86C9D" w:rsidRPr="00702882" w14:paraId="3C519E2A" w14:textId="77777777" w:rsidTr="00AE6820">
        <w:trPr>
          <w:jc w:val="center"/>
        </w:trPr>
        <w:tc>
          <w:tcPr>
            <w:tcW w:w="0" w:type="auto"/>
            <w:tcMar>
              <w:top w:w="15" w:type="dxa"/>
              <w:left w:w="75" w:type="dxa"/>
              <w:bottom w:w="15" w:type="dxa"/>
              <w:right w:w="75" w:type="dxa"/>
            </w:tcMar>
            <w:vAlign w:val="center"/>
            <w:hideMark/>
          </w:tcPr>
          <w:p w14:paraId="3A64B780" w14:textId="77777777" w:rsidR="00AF6702" w:rsidRPr="00702882" w:rsidRDefault="00AF6702" w:rsidP="005C1AFD">
            <w:pPr>
              <w:spacing w:before="150" w:after="150"/>
              <w:contextualSpacing/>
              <w:rPr>
                <w:sz w:val="20"/>
                <w:szCs w:val="20"/>
              </w:rPr>
            </w:pPr>
            <w:r w:rsidRPr="00702882">
              <w:rPr>
                <w:sz w:val="20"/>
                <w:szCs w:val="20"/>
              </w:rPr>
              <w:t>Debt_per_capita</w:t>
            </w:r>
          </w:p>
        </w:tc>
        <w:tc>
          <w:tcPr>
            <w:tcW w:w="0" w:type="auto"/>
            <w:tcMar>
              <w:top w:w="15" w:type="dxa"/>
              <w:left w:w="75" w:type="dxa"/>
              <w:bottom w:w="15" w:type="dxa"/>
              <w:right w:w="75" w:type="dxa"/>
            </w:tcMar>
            <w:vAlign w:val="center"/>
            <w:hideMark/>
          </w:tcPr>
          <w:p w14:paraId="44E085A9" w14:textId="77777777" w:rsidR="00AF6702" w:rsidRPr="00702882" w:rsidRDefault="00AF6702" w:rsidP="005C1AFD">
            <w:pPr>
              <w:spacing w:before="150" w:after="150"/>
              <w:contextualSpacing/>
              <w:rPr>
                <w:sz w:val="20"/>
                <w:szCs w:val="20"/>
              </w:rPr>
            </w:pPr>
            <w:r w:rsidRPr="00702882">
              <w:rPr>
                <w:sz w:val="20"/>
                <w:szCs w:val="20"/>
              </w:rPr>
              <w:t>-2.35 (0.93)</w:t>
            </w:r>
            <w:r w:rsidRPr="00702882">
              <w:rPr>
                <w:sz w:val="20"/>
                <w:szCs w:val="20"/>
                <w:vertAlign w:val="superscript"/>
              </w:rPr>
              <w:t>**</w:t>
            </w:r>
          </w:p>
        </w:tc>
        <w:tc>
          <w:tcPr>
            <w:tcW w:w="0" w:type="auto"/>
            <w:tcMar>
              <w:top w:w="15" w:type="dxa"/>
              <w:left w:w="75" w:type="dxa"/>
              <w:bottom w:w="15" w:type="dxa"/>
              <w:right w:w="75" w:type="dxa"/>
            </w:tcMar>
            <w:vAlign w:val="center"/>
            <w:hideMark/>
          </w:tcPr>
          <w:p w14:paraId="74748E44" w14:textId="77777777" w:rsidR="00AF6702" w:rsidRPr="00702882" w:rsidRDefault="00AF6702" w:rsidP="005C1AFD">
            <w:pPr>
              <w:spacing w:before="150" w:after="150"/>
              <w:contextualSpacing/>
              <w:rPr>
                <w:sz w:val="20"/>
                <w:szCs w:val="20"/>
              </w:rPr>
            </w:pPr>
            <w:r w:rsidRPr="00702882">
              <w:rPr>
                <w:sz w:val="20"/>
                <w:szCs w:val="20"/>
              </w:rPr>
              <w:t>-2.23 (0.91)</w:t>
            </w:r>
            <w:r w:rsidRPr="00702882">
              <w:rPr>
                <w:sz w:val="20"/>
                <w:szCs w:val="20"/>
                <w:vertAlign w:val="superscript"/>
              </w:rPr>
              <w:t>**</w:t>
            </w:r>
          </w:p>
        </w:tc>
        <w:tc>
          <w:tcPr>
            <w:tcW w:w="0" w:type="auto"/>
            <w:tcMar>
              <w:top w:w="15" w:type="dxa"/>
              <w:left w:w="75" w:type="dxa"/>
              <w:bottom w:w="15" w:type="dxa"/>
              <w:right w:w="75" w:type="dxa"/>
            </w:tcMar>
            <w:vAlign w:val="center"/>
            <w:hideMark/>
          </w:tcPr>
          <w:p w14:paraId="3682B9CB" w14:textId="77777777" w:rsidR="00AF6702" w:rsidRPr="00702882" w:rsidRDefault="00AF6702" w:rsidP="005C1AFD">
            <w:pPr>
              <w:spacing w:before="150" w:after="150"/>
              <w:contextualSpacing/>
              <w:rPr>
                <w:sz w:val="20"/>
                <w:szCs w:val="20"/>
              </w:rPr>
            </w:pPr>
            <w:r w:rsidRPr="00702882">
              <w:rPr>
                <w:sz w:val="20"/>
                <w:szCs w:val="20"/>
              </w:rPr>
              <w:t>-2.30 (0.92)</w:t>
            </w:r>
            <w:r w:rsidRPr="00702882">
              <w:rPr>
                <w:sz w:val="20"/>
                <w:szCs w:val="20"/>
                <w:vertAlign w:val="superscript"/>
              </w:rPr>
              <w:t>**</w:t>
            </w:r>
          </w:p>
        </w:tc>
        <w:tc>
          <w:tcPr>
            <w:tcW w:w="0" w:type="auto"/>
            <w:tcMar>
              <w:top w:w="15" w:type="dxa"/>
              <w:left w:w="75" w:type="dxa"/>
              <w:bottom w:w="15" w:type="dxa"/>
              <w:right w:w="75" w:type="dxa"/>
            </w:tcMar>
            <w:vAlign w:val="center"/>
            <w:hideMark/>
          </w:tcPr>
          <w:p w14:paraId="501E7A96" w14:textId="77777777" w:rsidR="00AF6702" w:rsidRPr="00702882" w:rsidRDefault="00AF6702" w:rsidP="005C1AFD">
            <w:pPr>
              <w:spacing w:before="150" w:after="150"/>
              <w:contextualSpacing/>
              <w:rPr>
                <w:sz w:val="20"/>
                <w:szCs w:val="20"/>
              </w:rPr>
            </w:pPr>
            <w:r w:rsidRPr="00702882">
              <w:rPr>
                <w:sz w:val="20"/>
                <w:szCs w:val="20"/>
              </w:rPr>
              <w:t>-2.29 (0.92)</w:t>
            </w:r>
            <w:r w:rsidRPr="00702882">
              <w:rPr>
                <w:sz w:val="20"/>
                <w:szCs w:val="20"/>
                <w:vertAlign w:val="superscript"/>
              </w:rPr>
              <w:t>**</w:t>
            </w:r>
          </w:p>
        </w:tc>
      </w:tr>
      <w:tr w:rsidR="00B86C9D" w:rsidRPr="00702882" w14:paraId="254A4574" w14:textId="77777777" w:rsidTr="00AE6820">
        <w:trPr>
          <w:jc w:val="center"/>
        </w:trPr>
        <w:tc>
          <w:tcPr>
            <w:tcW w:w="0" w:type="auto"/>
            <w:tcMar>
              <w:top w:w="15" w:type="dxa"/>
              <w:left w:w="75" w:type="dxa"/>
              <w:bottom w:w="15" w:type="dxa"/>
              <w:right w:w="75" w:type="dxa"/>
            </w:tcMar>
            <w:vAlign w:val="center"/>
            <w:hideMark/>
          </w:tcPr>
          <w:p w14:paraId="222D8AA6" w14:textId="77777777" w:rsidR="00AF6702" w:rsidRPr="00702882" w:rsidRDefault="00AF6702" w:rsidP="005C1AFD">
            <w:pPr>
              <w:spacing w:before="150" w:after="150"/>
              <w:contextualSpacing/>
              <w:rPr>
                <w:sz w:val="20"/>
                <w:szCs w:val="20"/>
              </w:rPr>
            </w:pPr>
            <w:r w:rsidRPr="00702882">
              <w:rPr>
                <w:sz w:val="20"/>
                <w:szCs w:val="20"/>
              </w:rPr>
              <w:t>GSP</w:t>
            </w:r>
          </w:p>
        </w:tc>
        <w:tc>
          <w:tcPr>
            <w:tcW w:w="0" w:type="auto"/>
            <w:tcMar>
              <w:top w:w="15" w:type="dxa"/>
              <w:left w:w="75" w:type="dxa"/>
              <w:bottom w:w="15" w:type="dxa"/>
              <w:right w:w="75" w:type="dxa"/>
            </w:tcMar>
            <w:vAlign w:val="center"/>
            <w:hideMark/>
          </w:tcPr>
          <w:p w14:paraId="482CD088" w14:textId="77777777" w:rsidR="00AF6702" w:rsidRPr="00702882" w:rsidRDefault="00AF6702" w:rsidP="005C1AFD">
            <w:pPr>
              <w:spacing w:before="150" w:after="150"/>
              <w:contextualSpacing/>
              <w:rPr>
                <w:sz w:val="20"/>
                <w:szCs w:val="20"/>
              </w:rPr>
            </w:pPr>
            <w:r w:rsidRPr="00702882">
              <w:rPr>
                <w:sz w:val="20"/>
                <w:szCs w:val="20"/>
              </w:rPr>
              <w:t>0.50 (0.25)</w:t>
            </w:r>
            <w:r w:rsidRPr="00702882">
              <w:rPr>
                <w:sz w:val="20"/>
                <w:szCs w:val="20"/>
                <w:vertAlign w:val="superscript"/>
              </w:rPr>
              <w:t>**</w:t>
            </w:r>
          </w:p>
        </w:tc>
        <w:tc>
          <w:tcPr>
            <w:tcW w:w="0" w:type="auto"/>
            <w:tcMar>
              <w:top w:w="15" w:type="dxa"/>
              <w:left w:w="75" w:type="dxa"/>
              <w:bottom w:w="15" w:type="dxa"/>
              <w:right w:w="75" w:type="dxa"/>
            </w:tcMar>
            <w:vAlign w:val="center"/>
            <w:hideMark/>
          </w:tcPr>
          <w:p w14:paraId="7A48BD28" w14:textId="77777777" w:rsidR="00AF6702" w:rsidRPr="00702882" w:rsidRDefault="00AF6702" w:rsidP="005C1AFD">
            <w:pPr>
              <w:spacing w:before="150" w:after="150"/>
              <w:contextualSpacing/>
              <w:rPr>
                <w:sz w:val="20"/>
                <w:szCs w:val="20"/>
              </w:rPr>
            </w:pPr>
            <w:r w:rsidRPr="00702882">
              <w:rPr>
                <w:sz w:val="20"/>
                <w:szCs w:val="20"/>
              </w:rPr>
              <w:t>0.51 (0.24)</w:t>
            </w:r>
            <w:r w:rsidRPr="00702882">
              <w:rPr>
                <w:sz w:val="20"/>
                <w:szCs w:val="20"/>
                <w:vertAlign w:val="superscript"/>
              </w:rPr>
              <w:t>**</w:t>
            </w:r>
          </w:p>
        </w:tc>
        <w:tc>
          <w:tcPr>
            <w:tcW w:w="0" w:type="auto"/>
            <w:tcMar>
              <w:top w:w="15" w:type="dxa"/>
              <w:left w:w="75" w:type="dxa"/>
              <w:bottom w:w="15" w:type="dxa"/>
              <w:right w:w="75" w:type="dxa"/>
            </w:tcMar>
            <w:vAlign w:val="center"/>
            <w:hideMark/>
          </w:tcPr>
          <w:p w14:paraId="538D99DF" w14:textId="77777777" w:rsidR="00AF6702" w:rsidRPr="00702882" w:rsidRDefault="00AF6702" w:rsidP="005C1AFD">
            <w:pPr>
              <w:spacing w:before="150" w:after="150"/>
              <w:contextualSpacing/>
              <w:rPr>
                <w:sz w:val="20"/>
                <w:szCs w:val="20"/>
              </w:rPr>
            </w:pPr>
            <w:r w:rsidRPr="00702882">
              <w:rPr>
                <w:sz w:val="20"/>
                <w:szCs w:val="20"/>
              </w:rPr>
              <w:t>0.52 (0.24)</w:t>
            </w:r>
            <w:r w:rsidRPr="00702882">
              <w:rPr>
                <w:sz w:val="20"/>
                <w:szCs w:val="20"/>
                <w:vertAlign w:val="superscript"/>
              </w:rPr>
              <w:t>**</w:t>
            </w:r>
          </w:p>
        </w:tc>
        <w:tc>
          <w:tcPr>
            <w:tcW w:w="0" w:type="auto"/>
            <w:tcMar>
              <w:top w:w="15" w:type="dxa"/>
              <w:left w:w="75" w:type="dxa"/>
              <w:bottom w:w="15" w:type="dxa"/>
              <w:right w:w="75" w:type="dxa"/>
            </w:tcMar>
            <w:vAlign w:val="center"/>
            <w:hideMark/>
          </w:tcPr>
          <w:p w14:paraId="7A54E10A" w14:textId="77777777" w:rsidR="00AF6702" w:rsidRPr="00702882" w:rsidRDefault="00AF6702" w:rsidP="005C1AFD">
            <w:pPr>
              <w:spacing w:before="150" w:after="150"/>
              <w:contextualSpacing/>
              <w:rPr>
                <w:sz w:val="20"/>
                <w:szCs w:val="20"/>
              </w:rPr>
            </w:pPr>
            <w:r w:rsidRPr="00702882">
              <w:rPr>
                <w:sz w:val="20"/>
                <w:szCs w:val="20"/>
              </w:rPr>
              <w:t>0.51 (0.24)</w:t>
            </w:r>
            <w:r w:rsidRPr="00702882">
              <w:rPr>
                <w:sz w:val="20"/>
                <w:szCs w:val="20"/>
                <w:vertAlign w:val="superscript"/>
              </w:rPr>
              <w:t>**</w:t>
            </w:r>
          </w:p>
        </w:tc>
      </w:tr>
      <w:tr w:rsidR="00B86C9D" w:rsidRPr="00702882" w14:paraId="1FCDB0B9" w14:textId="77777777" w:rsidTr="00AE6820">
        <w:trPr>
          <w:jc w:val="center"/>
        </w:trPr>
        <w:tc>
          <w:tcPr>
            <w:tcW w:w="0" w:type="auto"/>
            <w:tcMar>
              <w:top w:w="15" w:type="dxa"/>
              <w:left w:w="75" w:type="dxa"/>
              <w:bottom w:w="15" w:type="dxa"/>
              <w:right w:w="75" w:type="dxa"/>
            </w:tcMar>
            <w:vAlign w:val="center"/>
            <w:hideMark/>
          </w:tcPr>
          <w:p w14:paraId="2D5740B1" w14:textId="77777777" w:rsidR="00AF6702" w:rsidRPr="00702882" w:rsidRDefault="00AF6702" w:rsidP="005C1AFD">
            <w:pPr>
              <w:spacing w:before="150" w:after="150"/>
              <w:contextualSpacing/>
              <w:rPr>
                <w:sz w:val="20"/>
                <w:szCs w:val="20"/>
              </w:rPr>
            </w:pPr>
            <w:r w:rsidRPr="00702882">
              <w:rPr>
                <w:sz w:val="20"/>
                <w:szCs w:val="20"/>
              </w:rPr>
              <w:t>Unemployment</w:t>
            </w:r>
          </w:p>
        </w:tc>
        <w:tc>
          <w:tcPr>
            <w:tcW w:w="0" w:type="auto"/>
            <w:tcMar>
              <w:top w:w="15" w:type="dxa"/>
              <w:left w:w="75" w:type="dxa"/>
              <w:bottom w:w="15" w:type="dxa"/>
              <w:right w:w="75" w:type="dxa"/>
            </w:tcMar>
            <w:vAlign w:val="center"/>
            <w:hideMark/>
          </w:tcPr>
          <w:p w14:paraId="0759A012" w14:textId="77777777" w:rsidR="00AF6702" w:rsidRPr="00702882" w:rsidRDefault="00AF6702" w:rsidP="005C1AFD">
            <w:pPr>
              <w:spacing w:before="150" w:after="150"/>
              <w:contextualSpacing/>
              <w:rPr>
                <w:sz w:val="20"/>
                <w:szCs w:val="20"/>
              </w:rPr>
            </w:pPr>
            <w:r w:rsidRPr="00702882">
              <w:rPr>
                <w:sz w:val="20"/>
                <w:szCs w:val="20"/>
              </w:rPr>
              <w:t>-0.19 (0.29)</w:t>
            </w:r>
          </w:p>
        </w:tc>
        <w:tc>
          <w:tcPr>
            <w:tcW w:w="0" w:type="auto"/>
            <w:tcMar>
              <w:top w:w="15" w:type="dxa"/>
              <w:left w:w="75" w:type="dxa"/>
              <w:bottom w:w="15" w:type="dxa"/>
              <w:right w:w="75" w:type="dxa"/>
            </w:tcMar>
            <w:vAlign w:val="center"/>
            <w:hideMark/>
          </w:tcPr>
          <w:p w14:paraId="145E76E2" w14:textId="77777777" w:rsidR="00AF6702" w:rsidRPr="00702882" w:rsidRDefault="00AF6702" w:rsidP="005C1AFD">
            <w:pPr>
              <w:spacing w:before="150" w:after="150"/>
              <w:contextualSpacing/>
              <w:rPr>
                <w:sz w:val="20"/>
                <w:szCs w:val="20"/>
              </w:rPr>
            </w:pPr>
            <w:r w:rsidRPr="00702882">
              <w:rPr>
                <w:sz w:val="20"/>
                <w:szCs w:val="20"/>
              </w:rPr>
              <w:t>-0.96 (0.50)</w:t>
            </w:r>
            <w:r w:rsidRPr="00702882">
              <w:rPr>
                <w:sz w:val="20"/>
                <w:szCs w:val="20"/>
                <w:vertAlign w:val="superscript"/>
              </w:rPr>
              <w:t>*</w:t>
            </w:r>
          </w:p>
        </w:tc>
        <w:tc>
          <w:tcPr>
            <w:tcW w:w="0" w:type="auto"/>
            <w:tcMar>
              <w:top w:w="15" w:type="dxa"/>
              <w:left w:w="75" w:type="dxa"/>
              <w:bottom w:w="15" w:type="dxa"/>
              <w:right w:w="75" w:type="dxa"/>
            </w:tcMar>
            <w:vAlign w:val="center"/>
            <w:hideMark/>
          </w:tcPr>
          <w:p w14:paraId="07037341" w14:textId="77777777" w:rsidR="00AF6702" w:rsidRPr="00702882" w:rsidRDefault="00AF6702" w:rsidP="005C1AFD">
            <w:pPr>
              <w:spacing w:before="150" w:after="150"/>
              <w:contextualSpacing/>
              <w:rPr>
                <w:sz w:val="20"/>
                <w:szCs w:val="20"/>
              </w:rPr>
            </w:pPr>
            <w:r w:rsidRPr="00702882">
              <w:rPr>
                <w:sz w:val="20"/>
                <w:szCs w:val="20"/>
              </w:rPr>
              <w:t>-0.25 (0.31)</w:t>
            </w:r>
          </w:p>
        </w:tc>
        <w:tc>
          <w:tcPr>
            <w:tcW w:w="0" w:type="auto"/>
            <w:tcMar>
              <w:top w:w="15" w:type="dxa"/>
              <w:left w:w="75" w:type="dxa"/>
              <w:bottom w:w="15" w:type="dxa"/>
              <w:right w:w="75" w:type="dxa"/>
            </w:tcMar>
            <w:vAlign w:val="center"/>
            <w:hideMark/>
          </w:tcPr>
          <w:p w14:paraId="2A692C1A" w14:textId="77777777" w:rsidR="00AF6702" w:rsidRPr="00702882" w:rsidRDefault="00AF6702" w:rsidP="005C1AFD">
            <w:pPr>
              <w:spacing w:before="150" w:after="150"/>
              <w:contextualSpacing/>
              <w:rPr>
                <w:sz w:val="20"/>
                <w:szCs w:val="20"/>
              </w:rPr>
            </w:pPr>
            <w:r w:rsidRPr="00702882">
              <w:rPr>
                <w:sz w:val="20"/>
                <w:szCs w:val="20"/>
              </w:rPr>
              <w:t>-0.25 (0.31)</w:t>
            </w:r>
          </w:p>
        </w:tc>
      </w:tr>
      <w:tr w:rsidR="00B86C9D" w:rsidRPr="00702882" w14:paraId="1D94CC99" w14:textId="77777777" w:rsidTr="00AE6820">
        <w:trPr>
          <w:jc w:val="center"/>
        </w:trPr>
        <w:tc>
          <w:tcPr>
            <w:tcW w:w="0" w:type="auto"/>
            <w:tcMar>
              <w:top w:w="15" w:type="dxa"/>
              <w:left w:w="75" w:type="dxa"/>
              <w:bottom w:w="15" w:type="dxa"/>
              <w:right w:w="75" w:type="dxa"/>
            </w:tcMar>
            <w:vAlign w:val="center"/>
            <w:hideMark/>
          </w:tcPr>
          <w:p w14:paraId="3101636D" w14:textId="77777777" w:rsidR="00AF6702" w:rsidRPr="00702882" w:rsidRDefault="00AF6702" w:rsidP="005C1AFD">
            <w:pPr>
              <w:spacing w:before="150" w:after="150"/>
              <w:contextualSpacing/>
              <w:rPr>
                <w:sz w:val="20"/>
                <w:szCs w:val="20"/>
              </w:rPr>
            </w:pPr>
            <w:r w:rsidRPr="00702882">
              <w:rPr>
                <w:sz w:val="20"/>
                <w:szCs w:val="20"/>
              </w:rPr>
              <w:t>Credit_rating</w:t>
            </w:r>
          </w:p>
        </w:tc>
        <w:tc>
          <w:tcPr>
            <w:tcW w:w="0" w:type="auto"/>
            <w:tcMar>
              <w:top w:w="15" w:type="dxa"/>
              <w:left w:w="75" w:type="dxa"/>
              <w:bottom w:w="15" w:type="dxa"/>
              <w:right w:w="75" w:type="dxa"/>
            </w:tcMar>
            <w:vAlign w:val="center"/>
            <w:hideMark/>
          </w:tcPr>
          <w:p w14:paraId="1D502B9C" w14:textId="77777777" w:rsidR="00AF6702" w:rsidRPr="00702882" w:rsidRDefault="00AF6702" w:rsidP="005C1AFD">
            <w:pPr>
              <w:spacing w:before="150" w:after="150"/>
              <w:contextualSpacing/>
              <w:rPr>
                <w:sz w:val="20"/>
                <w:szCs w:val="20"/>
              </w:rPr>
            </w:pPr>
            <w:r w:rsidRPr="00702882">
              <w:rPr>
                <w:sz w:val="20"/>
                <w:szCs w:val="20"/>
              </w:rPr>
              <w:t>0.62 (0.54)</w:t>
            </w:r>
          </w:p>
        </w:tc>
        <w:tc>
          <w:tcPr>
            <w:tcW w:w="0" w:type="auto"/>
            <w:tcMar>
              <w:top w:w="15" w:type="dxa"/>
              <w:left w:w="75" w:type="dxa"/>
              <w:bottom w:w="15" w:type="dxa"/>
              <w:right w:w="75" w:type="dxa"/>
            </w:tcMar>
            <w:vAlign w:val="center"/>
            <w:hideMark/>
          </w:tcPr>
          <w:p w14:paraId="27A5BF70" w14:textId="77777777" w:rsidR="00AF6702" w:rsidRPr="00702882" w:rsidRDefault="00AF6702" w:rsidP="005C1AFD">
            <w:pPr>
              <w:spacing w:before="150" w:after="150"/>
              <w:contextualSpacing/>
              <w:rPr>
                <w:sz w:val="20"/>
                <w:szCs w:val="20"/>
              </w:rPr>
            </w:pPr>
            <w:r w:rsidRPr="00702882">
              <w:rPr>
                <w:sz w:val="20"/>
                <w:szCs w:val="20"/>
              </w:rPr>
              <w:t>0.58 (0.51)</w:t>
            </w:r>
          </w:p>
        </w:tc>
        <w:tc>
          <w:tcPr>
            <w:tcW w:w="0" w:type="auto"/>
            <w:tcMar>
              <w:top w:w="15" w:type="dxa"/>
              <w:left w:w="75" w:type="dxa"/>
              <w:bottom w:w="15" w:type="dxa"/>
              <w:right w:w="75" w:type="dxa"/>
            </w:tcMar>
            <w:vAlign w:val="center"/>
            <w:hideMark/>
          </w:tcPr>
          <w:p w14:paraId="1CADF545" w14:textId="77777777" w:rsidR="00AF6702" w:rsidRPr="00702882" w:rsidRDefault="00AF6702" w:rsidP="005C1AFD">
            <w:pPr>
              <w:spacing w:before="150" w:after="150"/>
              <w:contextualSpacing/>
              <w:rPr>
                <w:sz w:val="20"/>
                <w:szCs w:val="20"/>
              </w:rPr>
            </w:pPr>
            <w:r w:rsidRPr="00702882">
              <w:rPr>
                <w:sz w:val="20"/>
                <w:szCs w:val="20"/>
              </w:rPr>
              <w:t>0.68 (0.51)</w:t>
            </w:r>
          </w:p>
        </w:tc>
        <w:tc>
          <w:tcPr>
            <w:tcW w:w="0" w:type="auto"/>
            <w:tcMar>
              <w:top w:w="15" w:type="dxa"/>
              <w:left w:w="75" w:type="dxa"/>
              <w:bottom w:w="15" w:type="dxa"/>
              <w:right w:w="75" w:type="dxa"/>
            </w:tcMar>
            <w:vAlign w:val="center"/>
            <w:hideMark/>
          </w:tcPr>
          <w:p w14:paraId="58A719C7" w14:textId="77777777" w:rsidR="00AF6702" w:rsidRPr="00702882" w:rsidRDefault="00AF6702" w:rsidP="005C1AFD">
            <w:pPr>
              <w:spacing w:before="150" w:after="150"/>
              <w:contextualSpacing/>
              <w:rPr>
                <w:sz w:val="20"/>
                <w:szCs w:val="20"/>
              </w:rPr>
            </w:pPr>
            <w:r w:rsidRPr="00702882">
              <w:rPr>
                <w:sz w:val="20"/>
                <w:szCs w:val="20"/>
              </w:rPr>
              <w:t>0.68 (0.51)</w:t>
            </w:r>
          </w:p>
        </w:tc>
      </w:tr>
      <w:tr w:rsidR="00B86C9D" w:rsidRPr="00702882" w14:paraId="70EEFCAD" w14:textId="77777777" w:rsidTr="00AE6820">
        <w:trPr>
          <w:jc w:val="center"/>
        </w:trPr>
        <w:tc>
          <w:tcPr>
            <w:tcW w:w="0" w:type="auto"/>
            <w:tcMar>
              <w:top w:w="15" w:type="dxa"/>
              <w:left w:w="75" w:type="dxa"/>
              <w:bottom w:w="15" w:type="dxa"/>
              <w:right w:w="75" w:type="dxa"/>
            </w:tcMar>
            <w:vAlign w:val="center"/>
            <w:hideMark/>
          </w:tcPr>
          <w:p w14:paraId="7079D33C" w14:textId="77777777" w:rsidR="00AF6702" w:rsidRPr="00702882" w:rsidRDefault="00AF6702" w:rsidP="005C1AFD">
            <w:pPr>
              <w:spacing w:before="150" w:after="150"/>
              <w:contextualSpacing/>
              <w:rPr>
                <w:sz w:val="20"/>
                <w:szCs w:val="20"/>
              </w:rPr>
            </w:pPr>
            <w:r w:rsidRPr="00702882">
              <w:rPr>
                <w:sz w:val="20"/>
                <w:szCs w:val="20"/>
              </w:rPr>
              <w:t>Income_thousands</w:t>
            </w:r>
          </w:p>
        </w:tc>
        <w:tc>
          <w:tcPr>
            <w:tcW w:w="0" w:type="auto"/>
            <w:tcMar>
              <w:top w:w="15" w:type="dxa"/>
              <w:left w:w="75" w:type="dxa"/>
              <w:bottom w:w="15" w:type="dxa"/>
              <w:right w:w="75" w:type="dxa"/>
            </w:tcMar>
            <w:vAlign w:val="center"/>
            <w:hideMark/>
          </w:tcPr>
          <w:p w14:paraId="0CA993D8" w14:textId="77777777" w:rsidR="00AF6702" w:rsidRPr="00702882" w:rsidRDefault="00AF6702" w:rsidP="005C1AFD">
            <w:pPr>
              <w:spacing w:before="150" w:after="150"/>
              <w:contextualSpacing/>
              <w:rPr>
                <w:sz w:val="20"/>
                <w:szCs w:val="20"/>
              </w:rPr>
            </w:pPr>
            <w:r w:rsidRPr="00702882">
              <w:rPr>
                <w:sz w:val="20"/>
                <w:szCs w:val="20"/>
              </w:rPr>
              <w:t>0.62 (0.26)</w:t>
            </w:r>
            <w:r w:rsidRPr="00702882">
              <w:rPr>
                <w:sz w:val="20"/>
                <w:szCs w:val="20"/>
                <w:vertAlign w:val="superscript"/>
              </w:rPr>
              <w:t>**</w:t>
            </w:r>
          </w:p>
        </w:tc>
        <w:tc>
          <w:tcPr>
            <w:tcW w:w="0" w:type="auto"/>
            <w:tcMar>
              <w:top w:w="15" w:type="dxa"/>
              <w:left w:w="75" w:type="dxa"/>
              <w:bottom w:w="15" w:type="dxa"/>
              <w:right w:w="75" w:type="dxa"/>
            </w:tcMar>
            <w:vAlign w:val="center"/>
            <w:hideMark/>
          </w:tcPr>
          <w:p w14:paraId="60998070" w14:textId="77777777" w:rsidR="00AF6702" w:rsidRPr="00702882" w:rsidRDefault="00AF6702" w:rsidP="005C1AFD">
            <w:pPr>
              <w:spacing w:before="150" w:after="150"/>
              <w:contextualSpacing/>
              <w:rPr>
                <w:sz w:val="20"/>
                <w:szCs w:val="20"/>
              </w:rPr>
            </w:pPr>
            <w:r w:rsidRPr="00702882">
              <w:rPr>
                <w:sz w:val="20"/>
                <w:szCs w:val="20"/>
              </w:rPr>
              <w:t>0.61 (0.26)</w:t>
            </w:r>
            <w:r w:rsidRPr="00702882">
              <w:rPr>
                <w:sz w:val="20"/>
                <w:szCs w:val="20"/>
                <w:vertAlign w:val="superscript"/>
              </w:rPr>
              <w:t>**</w:t>
            </w:r>
          </w:p>
        </w:tc>
        <w:tc>
          <w:tcPr>
            <w:tcW w:w="0" w:type="auto"/>
            <w:tcMar>
              <w:top w:w="15" w:type="dxa"/>
              <w:left w:w="75" w:type="dxa"/>
              <w:bottom w:w="15" w:type="dxa"/>
              <w:right w:w="75" w:type="dxa"/>
            </w:tcMar>
            <w:vAlign w:val="center"/>
            <w:hideMark/>
          </w:tcPr>
          <w:p w14:paraId="7BE120A6" w14:textId="77777777" w:rsidR="00AF6702" w:rsidRPr="00702882" w:rsidRDefault="00AF6702" w:rsidP="005C1AFD">
            <w:pPr>
              <w:spacing w:before="150" w:after="150"/>
              <w:contextualSpacing/>
              <w:rPr>
                <w:sz w:val="20"/>
                <w:szCs w:val="20"/>
              </w:rPr>
            </w:pPr>
            <w:r w:rsidRPr="00702882">
              <w:rPr>
                <w:sz w:val="20"/>
                <w:szCs w:val="20"/>
              </w:rPr>
              <w:t>0.60 (0.24)</w:t>
            </w:r>
            <w:r w:rsidRPr="00702882">
              <w:rPr>
                <w:sz w:val="20"/>
                <w:szCs w:val="20"/>
                <w:vertAlign w:val="superscript"/>
              </w:rPr>
              <w:t>**</w:t>
            </w:r>
          </w:p>
        </w:tc>
        <w:tc>
          <w:tcPr>
            <w:tcW w:w="0" w:type="auto"/>
            <w:tcMar>
              <w:top w:w="15" w:type="dxa"/>
              <w:left w:w="75" w:type="dxa"/>
              <w:bottom w:w="15" w:type="dxa"/>
              <w:right w:w="75" w:type="dxa"/>
            </w:tcMar>
            <w:vAlign w:val="center"/>
            <w:hideMark/>
          </w:tcPr>
          <w:p w14:paraId="06AE89F4" w14:textId="77777777" w:rsidR="00AF6702" w:rsidRPr="00702882" w:rsidRDefault="00AF6702" w:rsidP="005C1AFD">
            <w:pPr>
              <w:spacing w:before="150" w:after="150"/>
              <w:contextualSpacing/>
              <w:rPr>
                <w:sz w:val="20"/>
                <w:szCs w:val="20"/>
              </w:rPr>
            </w:pPr>
            <w:r w:rsidRPr="00702882">
              <w:rPr>
                <w:sz w:val="20"/>
                <w:szCs w:val="20"/>
              </w:rPr>
              <w:t>0.60 (0.25)</w:t>
            </w:r>
            <w:r w:rsidRPr="00702882">
              <w:rPr>
                <w:sz w:val="20"/>
                <w:szCs w:val="20"/>
                <w:vertAlign w:val="superscript"/>
              </w:rPr>
              <w:t>**</w:t>
            </w:r>
          </w:p>
        </w:tc>
      </w:tr>
      <w:tr w:rsidR="00B86C9D" w:rsidRPr="00702882" w14:paraId="3FB4B289" w14:textId="77777777" w:rsidTr="00AE6820">
        <w:trPr>
          <w:jc w:val="center"/>
        </w:trPr>
        <w:tc>
          <w:tcPr>
            <w:tcW w:w="0" w:type="auto"/>
            <w:tcMar>
              <w:top w:w="15" w:type="dxa"/>
              <w:left w:w="75" w:type="dxa"/>
              <w:bottom w:w="15" w:type="dxa"/>
              <w:right w:w="75" w:type="dxa"/>
            </w:tcMar>
            <w:vAlign w:val="center"/>
            <w:hideMark/>
          </w:tcPr>
          <w:p w14:paraId="1B606B0A" w14:textId="77777777" w:rsidR="00AF6702" w:rsidRPr="00702882" w:rsidRDefault="00AF6702" w:rsidP="005C1AFD">
            <w:pPr>
              <w:spacing w:before="150" w:after="150"/>
              <w:contextualSpacing/>
              <w:rPr>
                <w:sz w:val="20"/>
                <w:szCs w:val="20"/>
              </w:rPr>
            </w:pPr>
            <w:r w:rsidRPr="00702882">
              <w:rPr>
                <w:sz w:val="20"/>
                <w:szCs w:val="20"/>
              </w:rPr>
              <w:t>Population_million</w:t>
            </w:r>
          </w:p>
        </w:tc>
        <w:tc>
          <w:tcPr>
            <w:tcW w:w="0" w:type="auto"/>
            <w:tcMar>
              <w:top w:w="15" w:type="dxa"/>
              <w:left w:w="75" w:type="dxa"/>
              <w:bottom w:w="15" w:type="dxa"/>
              <w:right w:w="75" w:type="dxa"/>
            </w:tcMar>
            <w:vAlign w:val="center"/>
            <w:hideMark/>
          </w:tcPr>
          <w:p w14:paraId="5CF73194" w14:textId="77777777" w:rsidR="00AF6702" w:rsidRPr="00702882" w:rsidRDefault="00AF6702" w:rsidP="005C1AFD">
            <w:pPr>
              <w:spacing w:before="150" w:after="150"/>
              <w:contextualSpacing/>
              <w:rPr>
                <w:sz w:val="20"/>
                <w:szCs w:val="20"/>
              </w:rPr>
            </w:pPr>
            <w:r w:rsidRPr="00702882">
              <w:rPr>
                <w:sz w:val="20"/>
                <w:szCs w:val="20"/>
              </w:rPr>
              <w:t>-1.99 (0.52)</w:t>
            </w:r>
            <w:r w:rsidRPr="00702882">
              <w:rPr>
                <w:sz w:val="20"/>
                <w:szCs w:val="20"/>
                <w:vertAlign w:val="superscript"/>
              </w:rPr>
              <w:t>***</w:t>
            </w:r>
          </w:p>
        </w:tc>
        <w:tc>
          <w:tcPr>
            <w:tcW w:w="0" w:type="auto"/>
            <w:tcMar>
              <w:top w:w="15" w:type="dxa"/>
              <w:left w:w="75" w:type="dxa"/>
              <w:bottom w:w="15" w:type="dxa"/>
              <w:right w:w="75" w:type="dxa"/>
            </w:tcMar>
            <w:vAlign w:val="center"/>
            <w:hideMark/>
          </w:tcPr>
          <w:p w14:paraId="1235D788" w14:textId="77777777" w:rsidR="00AF6702" w:rsidRPr="00702882" w:rsidRDefault="00AF6702" w:rsidP="005C1AFD">
            <w:pPr>
              <w:spacing w:before="150" w:after="150"/>
              <w:contextualSpacing/>
              <w:rPr>
                <w:sz w:val="20"/>
                <w:szCs w:val="20"/>
              </w:rPr>
            </w:pPr>
            <w:r w:rsidRPr="00702882">
              <w:rPr>
                <w:sz w:val="20"/>
                <w:szCs w:val="20"/>
              </w:rPr>
              <w:t>-2.20 (0.60)</w:t>
            </w:r>
            <w:r w:rsidRPr="00702882">
              <w:rPr>
                <w:sz w:val="20"/>
                <w:szCs w:val="20"/>
                <w:vertAlign w:val="superscript"/>
              </w:rPr>
              <w:t>***</w:t>
            </w:r>
          </w:p>
        </w:tc>
        <w:tc>
          <w:tcPr>
            <w:tcW w:w="0" w:type="auto"/>
            <w:tcMar>
              <w:top w:w="15" w:type="dxa"/>
              <w:left w:w="75" w:type="dxa"/>
              <w:bottom w:w="15" w:type="dxa"/>
              <w:right w:w="75" w:type="dxa"/>
            </w:tcMar>
            <w:vAlign w:val="center"/>
            <w:hideMark/>
          </w:tcPr>
          <w:p w14:paraId="369A2AF0" w14:textId="77777777" w:rsidR="00AF6702" w:rsidRPr="00702882" w:rsidRDefault="00AF6702" w:rsidP="005C1AFD">
            <w:pPr>
              <w:spacing w:before="150" w:after="150"/>
              <w:contextualSpacing/>
              <w:rPr>
                <w:sz w:val="20"/>
                <w:szCs w:val="20"/>
              </w:rPr>
            </w:pPr>
            <w:r w:rsidRPr="00702882">
              <w:rPr>
                <w:sz w:val="20"/>
                <w:szCs w:val="20"/>
              </w:rPr>
              <w:t>-2.29 (0.56)</w:t>
            </w:r>
            <w:r w:rsidRPr="00702882">
              <w:rPr>
                <w:sz w:val="20"/>
                <w:szCs w:val="20"/>
                <w:vertAlign w:val="superscript"/>
              </w:rPr>
              <w:t>***</w:t>
            </w:r>
          </w:p>
        </w:tc>
        <w:tc>
          <w:tcPr>
            <w:tcW w:w="0" w:type="auto"/>
            <w:tcMar>
              <w:top w:w="15" w:type="dxa"/>
              <w:left w:w="75" w:type="dxa"/>
              <w:bottom w:w="15" w:type="dxa"/>
              <w:right w:w="75" w:type="dxa"/>
            </w:tcMar>
            <w:vAlign w:val="center"/>
            <w:hideMark/>
          </w:tcPr>
          <w:p w14:paraId="536E0B4F" w14:textId="77777777" w:rsidR="00AF6702" w:rsidRPr="00702882" w:rsidRDefault="00AF6702" w:rsidP="005C1AFD">
            <w:pPr>
              <w:spacing w:before="150" w:after="150"/>
              <w:contextualSpacing/>
              <w:rPr>
                <w:sz w:val="20"/>
                <w:szCs w:val="20"/>
              </w:rPr>
            </w:pPr>
            <w:r w:rsidRPr="00702882">
              <w:rPr>
                <w:sz w:val="20"/>
                <w:szCs w:val="20"/>
              </w:rPr>
              <w:t>-2.30 (0.57)</w:t>
            </w:r>
            <w:r w:rsidRPr="00702882">
              <w:rPr>
                <w:sz w:val="20"/>
                <w:szCs w:val="20"/>
                <w:vertAlign w:val="superscript"/>
              </w:rPr>
              <w:t>***</w:t>
            </w:r>
          </w:p>
        </w:tc>
      </w:tr>
      <w:tr w:rsidR="00B86C9D" w:rsidRPr="00702882" w14:paraId="190852E7" w14:textId="77777777" w:rsidTr="00AE6820">
        <w:trPr>
          <w:jc w:val="center"/>
        </w:trPr>
        <w:tc>
          <w:tcPr>
            <w:tcW w:w="0" w:type="auto"/>
            <w:tcMar>
              <w:top w:w="15" w:type="dxa"/>
              <w:left w:w="75" w:type="dxa"/>
              <w:bottom w:w="15" w:type="dxa"/>
              <w:right w:w="75" w:type="dxa"/>
            </w:tcMar>
            <w:vAlign w:val="center"/>
            <w:hideMark/>
          </w:tcPr>
          <w:p w14:paraId="12320DA2" w14:textId="77777777" w:rsidR="00AF6702" w:rsidRPr="00702882" w:rsidRDefault="00AF6702" w:rsidP="005C1AFD">
            <w:pPr>
              <w:spacing w:before="150" w:after="150"/>
              <w:contextualSpacing/>
              <w:rPr>
                <w:sz w:val="20"/>
                <w:szCs w:val="20"/>
              </w:rPr>
            </w:pPr>
            <w:r w:rsidRPr="00702882">
              <w:rPr>
                <w:sz w:val="20"/>
                <w:szCs w:val="20"/>
              </w:rPr>
              <w:t>TEL</w:t>
            </w:r>
          </w:p>
        </w:tc>
        <w:tc>
          <w:tcPr>
            <w:tcW w:w="0" w:type="auto"/>
            <w:tcMar>
              <w:top w:w="15" w:type="dxa"/>
              <w:left w:w="75" w:type="dxa"/>
              <w:bottom w:w="15" w:type="dxa"/>
              <w:right w:w="75" w:type="dxa"/>
            </w:tcMar>
            <w:vAlign w:val="center"/>
            <w:hideMark/>
          </w:tcPr>
          <w:p w14:paraId="2541CDDB" w14:textId="77777777" w:rsidR="00AF6702" w:rsidRPr="00702882" w:rsidRDefault="00AF6702" w:rsidP="005C1AFD">
            <w:pPr>
              <w:spacing w:before="150" w:after="150"/>
              <w:contextualSpacing/>
              <w:rPr>
                <w:sz w:val="20"/>
                <w:szCs w:val="20"/>
              </w:rPr>
            </w:pPr>
            <w:r w:rsidRPr="00702882">
              <w:rPr>
                <w:sz w:val="20"/>
                <w:szCs w:val="20"/>
              </w:rPr>
              <w:t>-0.09 (0.10)</w:t>
            </w:r>
          </w:p>
        </w:tc>
        <w:tc>
          <w:tcPr>
            <w:tcW w:w="0" w:type="auto"/>
            <w:tcMar>
              <w:top w:w="15" w:type="dxa"/>
              <w:left w:w="75" w:type="dxa"/>
              <w:bottom w:w="15" w:type="dxa"/>
              <w:right w:w="75" w:type="dxa"/>
            </w:tcMar>
            <w:vAlign w:val="center"/>
            <w:hideMark/>
          </w:tcPr>
          <w:p w14:paraId="68830167" w14:textId="77777777" w:rsidR="00AF6702" w:rsidRPr="00702882" w:rsidRDefault="00AF6702" w:rsidP="005C1AFD">
            <w:pPr>
              <w:spacing w:before="150" w:after="150"/>
              <w:contextualSpacing/>
              <w:rPr>
                <w:sz w:val="20"/>
                <w:szCs w:val="20"/>
              </w:rPr>
            </w:pPr>
            <w:r w:rsidRPr="00702882">
              <w:rPr>
                <w:sz w:val="20"/>
                <w:szCs w:val="20"/>
              </w:rPr>
              <w:t>-0.06 (0.10)</w:t>
            </w:r>
          </w:p>
        </w:tc>
        <w:tc>
          <w:tcPr>
            <w:tcW w:w="0" w:type="auto"/>
            <w:tcMar>
              <w:top w:w="15" w:type="dxa"/>
              <w:left w:w="75" w:type="dxa"/>
              <w:bottom w:w="15" w:type="dxa"/>
              <w:right w:w="75" w:type="dxa"/>
            </w:tcMar>
            <w:vAlign w:val="center"/>
            <w:hideMark/>
          </w:tcPr>
          <w:p w14:paraId="04D9CB20" w14:textId="77777777" w:rsidR="00AF6702" w:rsidRPr="00702882" w:rsidRDefault="00AF6702" w:rsidP="005C1AFD">
            <w:pPr>
              <w:spacing w:before="150" w:after="150"/>
              <w:contextualSpacing/>
              <w:rPr>
                <w:sz w:val="20"/>
                <w:szCs w:val="20"/>
              </w:rPr>
            </w:pPr>
            <w:r w:rsidRPr="00702882">
              <w:rPr>
                <w:sz w:val="20"/>
                <w:szCs w:val="20"/>
              </w:rPr>
              <w:t>-0.09 (0.10)</w:t>
            </w:r>
          </w:p>
        </w:tc>
        <w:tc>
          <w:tcPr>
            <w:tcW w:w="0" w:type="auto"/>
            <w:tcMar>
              <w:top w:w="15" w:type="dxa"/>
              <w:left w:w="75" w:type="dxa"/>
              <w:bottom w:w="15" w:type="dxa"/>
              <w:right w:w="75" w:type="dxa"/>
            </w:tcMar>
            <w:vAlign w:val="center"/>
            <w:hideMark/>
          </w:tcPr>
          <w:p w14:paraId="32524405" w14:textId="77777777" w:rsidR="00AF6702" w:rsidRPr="00702882" w:rsidRDefault="00AF6702" w:rsidP="005C1AFD">
            <w:pPr>
              <w:spacing w:before="150" w:after="150"/>
              <w:contextualSpacing/>
              <w:rPr>
                <w:sz w:val="20"/>
                <w:szCs w:val="20"/>
              </w:rPr>
            </w:pPr>
            <w:r w:rsidRPr="00702882">
              <w:rPr>
                <w:sz w:val="20"/>
                <w:szCs w:val="20"/>
              </w:rPr>
              <w:t>-0.10 (0.10)</w:t>
            </w:r>
          </w:p>
        </w:tc>
      </w:tr>
      <w:tr w:rsidR="00B86C9D" w:rsidRPr="00702882" w14:paraId="2E42628F" w14:textId="77777777" w:rsidTr="00AE6820">
        <w:trPr>
          <w:jc w:val="center"/>
        </w:trPr>
        <w:tc>
          <w:tcPr>
            <w:tcW w:w="0" w:type="auto"/>
            <w:tcMar>
              <w:top w:w="15" w:type="dxa"/>
              <w:left w:w="75" w:type="dxa"/>
              <w:bottom w:w="15" w:type="dxa"/>
              <w:right w:w="75" w:type="dxa"/>
            </w:tcMar>
            <w:vAlign w:val="center"/>
            <w:hideMark/>
          </w:tcPr>
          <w:p w14:paraId="6F612EA6" w14:textId="77777777" w:rsidR="00AF6702" w:rsidRPr="00702882" w:rsidRDefault="00AF6702" w:rsidP="005C1AFD">
            <w:pPr>
              <w:spacing w:before="150" w:after="150"/>
              <w:contextualSpacing/>
              <w:rPr>
                <w:sz w:val="20"/>
                <w:szCs w:val="20"/>
              </w:rPr>
            </w:pPr>
            <w:r w:rsidRPr="00702882">
              <w:rPr>
                <w:sz w:val="20"/>
                <w:szCs w:val="20"/>
              </w:rPr>
              <w:t>BBR</w:t>
            </w:r>
          </w:p>
        </w:tc>
        <w:tc>
          <w:tcPr>
            <w:tcW w:w="0" w:type="auto"/>
            <w:tcMar>
              <w:top w:w="15" w:type="dxa"/>
              <w:left w:w="75" w:type="dxa"/>
              <w:bottom w:w="15" w:type="dxa"/>
              <w:right w:w="75" w:type="dxa"/>
            </w:tcMar>
            <w:vAlign w:val="center"/>
            <w:hideMark/>
          </w:tcPr>
          <w:p w14:paraId="7E47821F" w14:textId="77777777" w:rsidR="00AF6702" w:rsidRPr="00702882" w:rsidRDefault="00AF6702" w:rsidP="005C1AFD">
            <w:pPr>
              <w:spacing w:before="150" w:after="150"/>
              <w:contextualSpacing/>
              <w:rPr>
                <w:sz w:val="20"/>
                <w:szCs w:val="20"/>
              </w:rPr>
            </w:pPr>
            <w:r w:rsidRPr="00702882">
              <w:rPr>
                <w:sz w:val="20"/>
                <w:szCs w:val="20"/>
              </w:rPr>
              <w:t>-1.27 (1.17)</w:t>
            </w:r>
          </w:p>
        </w:tc>
        <w:tc>
          <w:tcPr>
            <w:tcW w:w="0" w:type="auto"/>
            <w:tcMar>
              <w:top w:w="15" w:type="dxa"/>
              <w:left w:w="75" w:type="dxa"/>
              <w:bottom w:w="15" w:type="dxa"/>
              <w:right w:w="75" w:type="dxa"/>
            </w:tcMar>
            <w:vAlign w:val="center"/>
            <w:hideMark/>
          </w:tcPr>
          <w:p w14:paraId="1857EE27" w14:textId="77777777" w:rsidR="00AF6702" w:rsidRPr="00702882" w:rsidRDefault="00AF6702" w:rsidP="005C1AFD">
            <w:pPr>
              <w:spacing w:before="150" w:after="150"/>
              <w:contextualSpacing/>
              <w:rPr>
                <w:sz w:val="20"/>
                <w:szCs w:val="20"/>
              </w:rPr>
            </w:pPr>
            <w:r w:rsidRPr="00702882">
              <w:rPr>
                <w:sz w:val="20"/>
                <w:szCs w:val="20"/>
              </w:rPr>
              <w:t>-1.56 (1.10)</w:t>
            </w:r>
          </w:p>
        </w:tc>
        <w:tc>
          <w:tcPr>
            <w:tcW w:w="0" w:type="auto"/>
            <w:tcMar>
              <w:top w:w="15" w:type="dxa"/>
              <w:left w:w="75" w:type="dxa"/>
              <w:bottom w:w="15" w:type="dxa"/>
              <w:right w:w="75" w:type="dxa"/>
            </w:tcMar>
            <w:vAlign w:val="center"/>
            <w:hideMark/>
          </w:tcPr>
          <w:p w14:paraId="005810A2" w14:textId="77777777" w:rsidR="00AF6702" w:rsidRPr="00702882" w:rsidRDefault="00AF6702" w:rsidP="005C1AFD">
            <w:pPr>
              <w:spacing w:before="150" w:after="150"/>
              <w:contextualSpacing/>
              <w:rPr>
                <w:sz w:val="20"/>
                <w:szCs w:val="20"/>
              </w:rPr>
            </w:pPr>
            <w:r w:rsidRPr="00702882">
              <w:rPr>
                <w:sz w:val="20"/>
                <w:szCs w:val="20"/>
              </w:rPr>
              <w:t>-1.43 (1.15)</w:t>
            </w:r>
          </w:p>
        </w:tc>
        <w:tc>
          <w:tcPr>
            <w:tcW w:w="0" w:type="auto"/>
            <w:tcMar>
              <w:top w:w="15" w:type="dxa"/>
              <w:left w:w="75" w:type="dxa"/>
              <w:bottom w:w="15" w:type="dxa"/>
              <w:right w:w="75" w:type="dxa"/>
            </w:tcMar>
            <w:vAlign w:val="center"/>
            <w:hideMark/>
          </w:tcPr>
          <w:p w14:paraId="4D82CEBF" w14:textId="77777777" w:rsidR="00AF6702" w:rsidRPr="00702882" w:rsidRDefault="00AF6702" w:rsidP="005C1AFD">
            <w:pPr>
              <w:spacing w:before="150" w:after="150"/>
              <w:contextualSpacing/>
              <w:rPr>
                <w:sz w:val="20"/>
                <w:szCs w:val="20"/>
              </w:rPr>
            </w:pPr>
            <w:r w:rsidRPr="00702882">
              <w:rPr>
                <w:sz w:val="20"/>
                <w:szCs w:val="20"/>
              </w:rPr>
              <w:t>-1.42 (1.16)</w:t>
            </w:r>
          </w:p>
        </w:tc>
      </w:tr>
      <w:tr w:rsidR="00B86C9D" w:rsidRPr="00702882" w14:paraId="25F68E94" w14:textId="77777777" w:rsidTr="00AE6820">
        <w:trPr>
          <w:jc w:val="center"/>
        </w:trPr>
        <w:tc>
          <w:tcPr>
            <w:tcW w:w="0" w:type="auto"/>
            <w:tcMar>
              <w:top w:w="15" w:type="dxa"/>
              <w:left w:w="75" w:type="dxa"/>
              <w:bottom w:w="15" w:type="dxa"/>
              <w:right w:w="75" w:type="dxa"/>
            </w:tcMar>
            <w:vAlign w:val="center"/>
            <w:hideMark/>
          </w:tcPr>
          <w:p w14:paraId="43CBE2C3" w14:textId="77777777" w:rsidR="00AF6702" w:rsidRPr="00702882" w:rsidRDefault="00AF6702" w:rsidP="005C1AFD">
            <w:pPr>
              <w:spacing w:before="150" w:after="150"/>
              <w:contextualSpacing/>
              <w:rPr>
                <w:sz w:val="20"/>
                <w:szCs w:val="20"/>
              </w:rPr>
            </w:pPr>
            <w:r w:rsidRPr="00702882">
              <w:rPr>
                <w:sz w:val="20"/>
                <w:szCs w:val="20"/>
              </w:rPr>
              <w:t>Election</w:t>
            </w:r>
          </w:p>
        </w:tc>
        <w:tc>
          <w:tcPr>
            <w:tcW w:w="0" w:type="auto"/>
            <w:tcMar>
              <w:top w:w="15" w:type="dxa"/>
              <w:left w:w="75" w:type="dxa"/>
              <w:bottom w:w="15" w:type="dxa"/>
              <w:right w:w="75" w:type="dxa"/>
            </w:tcMar>
            <w:vAlign w:val="center"/>
            <w:hideMark/>
          </w:tcPr>
          <w:p w14:paraId="7FC7325F" w14:textId="77777777" w:rsidR="00AF6702" w:rsidRPr="00702882" w:rsidRDefault="00AF6702" w:rsidP="005C1AFD">
            <w:pPr>
              <w:spacing w:before="150" w:after="150"/>
              <w:contextualSpacing/>
              <w:rPr>
                <w:sz w:val="20"/>
                <w:szCs w:val="20"/>
              </w:rPr>
            </w:pPr>
            <w:r w:rsidRPr="00702882">
              <w:rPr>
                <w:sz w:val="20"/>
                <w:szCs w:val="20"/>
              </w:rPr>
              <w:t>0.47 (0.32)</w:t>
            </w:r>
          </w:p>
        </w:tc>
        <w:tc>
          <w:tcPr>
            <w:tcW w:w="0" w:type="auto"/>
            <w:tcMar>
              <w:top w:w="15" w:type="dxa"/>
              <w:left w:w="75" w:type="dxa"/>
              <w:bottom w:w="15" w:type="dxa"/>
              <w:right w:w="75" w:type="dxa"/>
            </w:tcMar>
            <w:vAlign w:val="center"/>
            <w:hideMark/>
          </w:tcPr>
          <w:p w14:paraId="17E4570F" w14:textId="77777777" w:rsidR="00AF6702" w:rsidRPr="00702882" w:rsidRDefault="00AF6702" w:rsidP="005C1AFD">
            <w:pPr>
              <w:spacing w:before="150" w:after="150"/>
              <w:contextualSpacing/>
              <w:rPr>
                <w:sz w:val="20"/>
                <w:szCs w:val="20"/>
              </w:rPr>
            </w:pPr>
            <w:r w:rsidRPr="00702882">
              <w:rPr>
                <w:sz w:val="20"/>
                <w:szCs w:val="20"/>
              </w:rPr>
              <w:t>0.44 (0.32)</w:t>
            </w:r>
          </w:p>
        </w:tc>
        <w:tc>
          <w:tcPr>
            <w:tcW w:w="0" w:type="auto"/>
            <w:tcMar>
              <w:top w:w="15" w:type="dxa"/>
              <w:left w:w="75" w:type="dxa"/>
              <w:bottom w:w="15" w:type="dxa"/>
              <w:right w:w="75" w:type="dxa"/>
            </w:tcMar>
            <w:vAlign w:val="center"/>
            <w:hideMark/>
          </w:tcPr>
          <w:p w14:paraId="2DEC8755" w14:textId="77777777" w:rsidR="00AF6702" w:rsidRPr="00702882" w:rsidRDefault="00AF6702" w:rsidP="005C1AFD">
            <w:pPr>
              <w:spacing w:before="150" w:after="150"/>
              <w:contextualSpacing/>
              <w:rPr>
                <w:sz w:val="20"/>
                <w:szCs w:val="20"/>
              </w:rPr>
            </w:pPr>
            <w:r w:rsidRPr="00702882">
              <w:rPr>
                <w:sz w:val="20"/>
                <w:szCs w:val="20"/>
              </w:rPr>
              <w:t>0.46 (0.31)</w:t>
            </w:r>
          </w:p>
        </w:tc>
        <w:tc>
          <w:tcPr>
            <w:tcW w:w="0" w:type="auto"/>
            <w:tcMar>
              <w:top w:w="15" w:type="dxa"/>
              <w:left w:w="75" w:type="dxa"/>
              <w:bottom w:w="15" w:type="dxa"/>
              <w:right w:w="75" w:type="dxa"/>
            </w:tcMar>
            <w:vAlign w:val="center"/>
            <w:hideMark/>
          </w:tcPr>
          <w:p w14:paraId="66109A26" w14:textId="77777777" w:rsidR="00AF6702" w:rsidRPr="00702882" w:rsidRDefault="00AF6702" w:rsidP="005C1AFD">
            <w:pPr>
              <w:spacing w:before="150" w:after="150"/>
              <w:contextualSpacing/>
              <w:rPr>
                <w:sz w:val="20"/>
                <w:szCs w:val="20"/>
              </w:rPr>
            </w:pPr>
            <w:r w:rsidRPr="00702882">
              <w:rPr>
                <w:sz w:val="20"/>
                <w:szCs w:val="20"/>
              </w:rPr>
              <w:t>0.44 (0.31)</w:t>
            </w:r>
          </w:p>
        </w:tc>
      </w:tr>
      <w:tr w:rsidR="00B86C9D" w:rsidRPr="00702882" w14:paraId="0398BA5D" w14:textId="77777777" w:rsidTr="00AE6820">
        <w:trPr>
          <w:jc w:val="center"/>
        </w:trPr>
        <w:tc>
          <w:tcPr>
            <w:tcW w:w="0" w:type="auto"/>
            <w:tcMar>
              <w:top w:w="15" w:type="dxa"/>
              <w:left w:w="75" w:type="dxa"/>
              <w:bottom w:w="15" w:type="dxa"/>
              <w:right w:w="75" w:type="dxa"/>
            </w:tcMar>
            <w:vAlign w:val="center"/>
            <w:hideMark/>
          </w:tcPr>
          <w:p w14:paraId="7EC89762" w14:textId="77777777" w:rsidR="00AF6702" w:rsidRPr="00702882" w:rsidRDefault="00AF6702" w:rsidP="005C1AFD">
            <w:pPr>
              <w:spacing w:before="150" w:after="150"/>
              <w:contextualSpacing/>
              <w:rPr>
                <w:sz w:val="20"/>
                <w:szCs w:val="20"/>
              </w:rPr>
            </w:pPr>
            <w:r w:rsidRPr="00702882">
              <w:rPr>
                <w:sz w:val="20"/>
                <w:szCs w:val="20"/>
              </w:rPr>
              <w:t>Democrat_share</w:t>
            </w:r>
          </w:p>
        </w:tc>
        <w:tc>
          <w:tcPr>
            <w:tcW w:w="0" w:type="auto"/>
            <w:tcMar>
              <w:top w:w="15" w:type="dxa"/>
              <w:left w:w="75" w:type="dxa"/>
              <w:bottom w:w="15" w:type="dxa"/>
              <w:right w:w="75" w:type="dxa"/>
            </w:tcMar>
            <w:vAlign w:val="center"/>
            <w:hideMark/>
          </w:tcPr>
          <w:p w14:paraId="70647FB6" w14:textId="77777777" w:rsidR="00AF6702" w:rsidRPr="00702882" w:rsidRDefault="00AF6702" w:rsidP="005C1AFD">
            <w:pPr>
              <w:spacing w:before="150" w:after="150"/>
              <w:contextualSpacing/>
              <w:rPr>
                <w:sz w:val="20"/>
                <w:szCs w:val="20"/>
              </w:rPr>
            </w:pPr>
            <w:r w:rsidRPr="00702882">
              <w:rPr>
                <w:sz w:val="20"/>
                <w:szCs w:val="20"/>
              </w:rPr>
              <w:t>2.95 (3.73)</w:t>
            </w:r>
          </w:p>
        </w:tc>
        <w:tc>
          <w:tcPr>
            <w:tcW w:w="0" w:type="auto"/>
            <w:tcMar>
              <w:top w:w="15" w:type="dxa"/>
              <w:left w:w="75" w:type="dxa"/>
              <w:bottom w:w="15" w:type="dxa"/>
              <w:right w:w="75" w:type="dxa"/>
            </w:tcMar>
            <w:vAlign w:val="center"/>
            <w:hideMark/>
          </w:tcPr>
          <w:p w14:paraId="5A8465B9" w14:textId="77777777" w:rsidR="00AF6702" w:rsidRPr="00702882" w:rsidRDefault="00AF6702" w:rsidP="005C1AFD">
            <w:pPr>
              <w:spacing w:before="150" w:after="150"/>
              <w:contextualSpacing/>
              <w:rPr>
                <w:sz w:val="20"/>
                <w:szCs w:val="20"/>
              </w:rPr>
            </w:pPr>
            <w:r w:rsidRPr="00702882">
              <w:rPr>
                <w:sz w:val="20"/>
                <w:szCs w:val="20"/>
              </w:rPr>
              <w:t>2.48 (3.72)</w:t>
            </w:r>
          </w:p>
        </w:tc>
        <w:tc>
          <w:tcPr>
            <w:tcW w:w="0" w:type="auto"/>
            <w:tcMar>
              <w:top w:w="15" w:type="dxa"/>
              <w:left w:w="75" w:type="dxa"/>
              <w:bottom w:w="15" w:type="dxa"/>
              <w:right w:w="75" w:type="dxa"/>
            </w:tcMar>
            <w:vAlign w:val="center"/>
            <w:hideMark/>
          </w:tcPr>
          <w:p w14:paraId="243F46BF" w14:textId="77777777" w:rsidR="00AF6702" w:rsidRPr="00702882" w:rsidRDefault="00AF6702" w:rsidP="005C1AFD">
            <w:pPr>
              <w:spacing w:before="150" w:after="150"/>
              <w:contextualSpacing/>
              <w:rPr>
                <w:sz w:val="20"/>
                <w:szCs w:val="20"/>
              </w:rPr>
            </w:pPr>
            <w:r w:rsidRPr="00702882">
              <w:rPr>
                <w:sz w:val="20"/>
                <w:szCs w:val="20"/>
              </w:rPr>
              <w:t>3.80 (3.88)</w:t>
            </w:r>
          </w:p>
        </w:tc>
        <w:tc>
          <w:tcPr>
            <w:tcW w:w="0" w:type="auto"/>
            <w:tcMar>
              <w:top w:w="15" w:type="dxa"/>
              <w:left w:w="75" w:type="dxa"/>
              <w:bottom w:w="15" w:type="dxa"/>
              <w:right w:w="75" w:type="dxa"/>
            </w:tcMar>
            <w:vAlign w:val="center"/>
            <w:hideMark/>
          </w:tcPr>
          <w:p w14:paraId="2A89CD61" w14:textId="77777777" w:rsidR="00AF6702" w:rsidRPr="00702882" w:rsidRDefault="00AF6702" w:rsidP="005C1AFD">
            <w:pPr>
              <w:spacing w:before="150" w:after="150"/>
              <w:contextualSpacing/>
              <w:rPr>
                <w:sz w:val="20"/>
                <w:szCs w:val="20"/>
              </w:rPr>
            </w:pPr>
            <w:r w:rsidRPr="00702882">
              <w:rPr>
                <w:sz w:val="20"/>
                <w:szCs w:val="20"/>
              </w:rPr>
              <w:t>3.70 (3.86)</w:t>
            </w:r>
          </w:p>
        </w:tc>
      </w:tr>
      <w:tr w:rsidR="00B86C9D" w:rsidRPr="00702882" w14:paraId="247B00B2" w14:textId="77777777" w:rsidTr="00AE6820">
        <w:trPr>
          <w:jc w:val="center"/>
        </w:trPr>
        <w:tc>
          <w:tcPr>
            <w:tcW w:w="0" w:type="auto"/>
            <w:tcMar>
              <w:top w:w="15" w:type="dxa"/>
              <w:left w:w="75" w:type="dxa"/>
              <w:bottom w:w="15" w:type="dxa"/>
              <w:right w:w="75" w:type="dxa"/>
            </w:tcMar>
            <w:vAlign w:val="center"/>
            <w:hideMark/>
          </w:tcPr>
          <w:p w14:paraId="15323723" w14:textId="77777777" w:rsidR="00AF6702" w:rsidRPr="00702882" w:rsidRDefault="00AF6702" w:rsidP="005C1AFD">
            <w:pPr>
              <w:spacing w:before="150" w:after="150"/>
              <w:contextualSpacing/>
              <w:rPr>
                <w:sz w:val="20"/>
                <w:szCs w:val="20"/>
              </w:rPr>
            </w:pPr>
            <w:r w:rsidRPr="00702882">
              <w:rPr>
                <w:sz w:val="20"/>
                <w:szCs w:val="20"/>
              </w:rPr>
              <w:t>Division</w:t>
            </w:r>
          </w:p>
        </w:tc>
        <w:tc>
          <w:tcPr>
            <w:tcW w:w="0" w:type="auto"/>
            <w:tcMar>
              <w:top w:w="15" w:type="dxa"/>
              <w:left w:w="75" w:type="dxa"/>
              <w:bottom w:w="15" w:type="dxa"/>
              <w:right w:w="75" w:type="dxa"/>
            </w:tcMar>
            <w:vAlign w:val="center"/>
            <w:hideMark/>
          </w:tcPr>
          <w:p w14:paraId="4279F9C7" w14:textId="77777777" w:rsidR="00AF6702" w:rsidRPr="00702882" w:rsidRDefault="00AF6702" w:rsidP="005C1AFD">
            <w:pPr>
              <w:spacing w:before="150" w:after="150"/>
              <w:contextualSpacing/>
              <w:rPr>
                <w:sz w:val="20"/>
                <w:szCs w:val="20"/>
              </w:rPr>
            </w:pPr>
            <w:r w:rsidRPr="00702882">
              <w:rPr>
                <w:sz w:val="20"/>
                <w:szCs w:val="20"/>
              </w:rPr>
              <w:t>-0.24 (0.32)</w:t>
            </w:r>
          </w:p>
        </w:tc>
        <w:tc>
          <w:tcPr>
            <w:tcW w:w="0" w:type="auto"/>
            <w:tcMar>
              <w:top w:w="15" w:type="dxa"/>
              <w:left w:w="75" w:type="dxa"/>
              <w:bottom w:w="15" w:type="dxa"/>
              <w:right w:w="75" w:type="dxa"/>
            </w:tcMar>
            <w:vAlign w:val="center"/>
            <w:hideMark/>
          </w:tcPr>
          <w:p w14:paraId="5C702CBF" w14:textId="77777777" w:rsidR="00AF6702" w:rsidRPr="00702882" w:rsidRDefault="00AF6702" w:rsidP="005C1AFD">
            <w:pPr>
              <w:spacing w:before="150" w:after="150"/>
              <w:contextualSpacing/>
              <w:rPr>
                <w:sz w:val="20"/>
                <w:szCs w:val="20"/>
              </w:rPr>
            </w:pPr>
            <w:r w:rsidRPr="00702882">
              <w:rPr>
                <w:sz w:val="20"/>
                <w:szCs w:val="20"/>
              </w:rPr>
              <w:t>-0.12 (0.33)</w:t>
            </w:r>
          </w:p>
        </w:tc>
        <w:tc>
          <w:tcPr>
            <w:tcW w:w="0" w:type="auto"/>
            <w:tcMar>
              <w:top w:w="15" w:type="dxa"/>
              <w:left w:w="75" w:type="dxa"/>
              <w:bottom w:w="15" w:type="dxa"/>
              <w:right w:w="75" w:type="dxa"/>
            </w:tcMar>
            <w:vAlign w:val="center"/>
            <w:hideMark/>
          </w:tcPr>
          <w:p w14:paraId="567172FA" w14:textId="77777777" w:rsidR="00AF6702" w:rsidRPr="00702882" w:rsidRDefault="00AF6702" w:rsidP="005C1AFD">
            <w:pPr>
              <w:spacing w:before="150" w:after="150"/>
              <w:contextualSpacing/>
              <w:rPr>
                <w:sz w:val="20"/>
                <w:szCs w:val="20"/>
              </w:rPr>
            </w:pPr>
            <w:r w:rsidRPr="00702882">
              <w:rPr>
                <w:sz w:val="20"/>
                <w:szCs w:val="20"/>
              </w:rPr>
              <w:t>-0.14 (0.32)</w:t>
            </w:r>
          </w:p>
        </w:tc>
        <w:tc>
          <w:tcPr>
            <w:tcW w:w="0" w:type="auto"/>
            <w:tcMar>
              <w:top w:w="15" w:type="dxa"/>
              <w:left w:w="75" w:type="dxa"/>
              <w:bottom w:w="15" w:type="dxa"/>
              <w:right w:w="75" w:type="dxa"/>
            </w:tcMar>
            <w:vAlign w:val="center"/>
            <w:hideMark/>
          </w:tcPr>
          <w:p w14:paraId="5954C79F" w14:textId="77777777" w:rsidR="00AF6702" w:rsidRPr="00702882" w:rsidRDefault="00AF6702" w:rsidP="005C1AFD">
            <w:pPr>
              <w:spacing w:before="150" w:after="150"/>
              <w:contextualSpacing/>
              <w:rPr>
                <w:sz w:val="20"/>
                <w:szCs w:val="20"/>
              </w:rPr>
            </w:pPr>
            <w:r w:rsidRPr="00702882">
              <w:rPr>
                <w:sz w:val="20"/>
                <w:szCs w:val="20"/>
              </w:rPr>
              <w:t>-0.13 (0.32)</w:t>
            </w:r>
          </w:p>
        </w:tc>
      </w:tr>
      <w:tr w:rsidR="00B86C9D" w:rsidRPr="00702882" w14:paraId="7295801D" w14:textId="77777777" w:rsidTr="00AE6820">
        <w:trPr>
          <w:jc w:val="center"/>
        </w:trPr>
        <w:tc>
          <w:tcPr>
            <w:tcW w:w="0" w:type="auto"/>
            <w:tcMar>
              <w:top w:w="15" w:type="dxa"/>
              <w:left w:w="75" w:type="dxa"/>
              <w:bottom w:w="15" w:type="dxa"/>
              <w:right w:w="75" w:type="dxa"/>
            </w:tcMar>
            <w:vAlign w:val="center"/>
            <w:hideMark/>
          </w:tcPr>
          <w:p w14:paraId="1DD66FA7" w14:textId="77777777" w:rsidR="00AF6702" w:rsidRPr="00702882" w:rsidRDefault="00AF6702" w:rsidP="005C1AFD">
            <w:pPr>
              <w:spacing w:before="150" w:after="150"/>
              <w:contextualSpacing/>
              <w:rPr>
                <w:sz w:val="20"/>
                <w:szCs w:val="20"/>
              </w:rPr>
            </w:pPr>
            <w:r w:rsidRPr="00702882">
              <w:rPr>
                <w:sz w:val="20"/>
                <w:szCs w:val="20"/>
              </w:rPr>
              <w:t>Number:Unemployment</w:t>
            </w:r>
          </w:p>
        </w:tc>
        <w:tc>
          <w:tcPr>
            <w:tcW w:w="0" w:type="auto"/>
            <w:tcMar>
              <w:top w:w="15" w:type="dxa"/>
              <w:left w:w="75" w:type="dxa"/>
              <w:bottom w:w="15" w:type="dxa"/>
              <w:right w:w="75" w:type="dxa"/>
            </w:tcMar>
            <w:vAlign w:val="center"/>
            <w:hideMark/>
          </w:tcPr>
          <w:p w14:paraId="46861BFB"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1EC3C82" w14:textId="77777777" w:rsidR="00AF6702" w:rsidRPr="00702882" w:rsidRDefault="00AF6702" w:rsidP="005C1AFD">
            <w:pPr>
              <w:spacing w:before="150" w:after="150"/>
              <w:contextualSpacing/>
              <w:rPr>
                <w:sz w:val="20"/>
                <w:szCs w:val="20"/>
              </w:rPr>
            </w:pPr>
            <w:r w:rsidRPr="00702882">
              <w:rPr>
                <w:sz w:val="20"/>
                <w:szCs w:val="20"/>
              </w:rPr>
              <w:t>0.41 (0.30)</w:t>
            </w:r>
          </w:p>
        </w:tc>
        <w:tc>
          <w:tcPr>
            <w:tcW w:w="0" w:type="auto"/>
            <w:tcMar>
              <w:top w:w="15" w:type="dxa"/>
              <w:left w:w="75" w:type="dxa"/>
              <w:bottom w:w="15" w:type="dxa"/>
              <w:right w:w="75" w:type="dxa"/>
            </w:tcMar>
            <w:vAlign w:val="center"/>
            <w:hideMark/>
          </w:tcPr>
          <w:p w14:paraId="7EDA1646"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F956D79"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217F247B" w14:textId="77777777" w:rsidTr="00AE6820">
        <w:trPr>
          <w:jc w:val="center"/>
        </w:trPr>
        <w:tc>
          <w:tcPr>
            <w:tcW w:w="0" w:type="auto"/>
            <w:tcMar>
              <w:top w:w="15" w:type="dxa"/>
              <w:left w:w="75" w:type="dxa"/>
              <w:bottom w:w="15" w:type="dxa"/>
              <w:right w:w="75" w:type="dxa"/>
            </w:tcMar>
            <w:vAlign w:val="center"/>
            <w:hideMark/>
          </w:tcPr>
          <w:p w14:paraId="6C60CB79" w14:textId="77777777" w:rsidR="00AF6702" w:rsidRPr="00702882" w:rsidRDefault="00AF6702" w:rsidP="005C1AFD">
            <w:pPr>
              <w:spacing w:before="150" w:after="150"/>
              <w:contextualSpacing/>
              <w:rPr>
                <w:sz w:val="20"/>
                <w:szCs w:val="20"/>
              </w:rPr>
            </w:pPr>
            <w:r w:rsidRPr="00702882">
              <w:rPr>
                <w:sz w:val="20"/>
                <w:szCs w:val="20"/>
              </w:rPr>
              <w:t>Source_percent:Unemployment</w:t>
            </w:r>
          </w:p>
        </w:tc>
        <w:tc>
          <w:tcPr>
            <w:tcW w:w="0" w:type="auto"/>
            <w:tcMar>
              <w:top w:w="15" w:type="dxa"/>
              <w:left w:w="75" w:type="dxa"/>
              <w:bottom w:w="15" w:type="dxa"/>
              <w:right w:w="75" w:type="dxa"/>
            </w:tcMar>
            <w:vAlign w:val="center"/>
            <w:hideMark/>
          </w:tcPr>
          <w:p w14:paraId="586AD35F"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53BCB71" w14:textId="77777777" w:rsidR="00AF6702" w:rsidRPr="00702882" w:rsidRDefault="00AF6702" w:rsidP="005C1AFD">
            <w:pPr>
              <w:spacing w:before="150" w:after="150"/>
              <w:contextualSpacing/>
              <w:rPr>
                <w:sz w:val="20"/>
                <w:szCs w:val="20"/>
              </w:rPr>
            </w:pPr>
            <w:r w:rsidRPr="00702882">
              <w:rPr>
                <w:sz w:val="20"/>
                <w:szCs w:val="20"/>
              </w:rPr>
              <w:t>-0.72 (0.13)</w:t>
            </w:r>
            <w:r w:rsidRPr="00702882">
              <w:rPr>
                <w:sz w:val="20"/>
                <w:szCs w:val="20"/>
                <w:vertAlign w:val="superscript"/>
              </w:rPr>
              <w:t>***</w:t>
            </w:r>
          </w:p>
        </w:tc>
        <w:tc>
          <w:tcPr>
            <w:tcW w:w="0" w:type="auto"/>
            <w:tcMar>
              <w:top w:w="15" w:type="dxa"/>
              <w:left w:w="75" w:type="dxa"/>
              <w:bottom w:w="15" w:type="dxa"/>
              <w:right w:w="75" w:type="dxa"/>
            </w:tcMar>
            <w:vAlign w:val="center"/>
            <w:hideMark/>
          </w:tcPr>
          <w:p w14:paraId="31F85F0E" w14:textId="77777777" w:rsidR="00AF6702" w:rsidRPr="00702882" w:rsidRDefault="00AF6702" w:rsidP="005C1AFD">
            <w:pPr>
              <w:spacing w:before="150" w:after="150"/>
              <w:contextualSpacing/>
              <w:rPr>
                <w:sz w:val="20"/>
                <w:szCs w:val="20"/>
              </w:rPr>
            </w:pPr>
            <w:r w:rsidRPr="00702882">
              <w:rPr>
                <w:sz w:val="20"/>
                <w:szCs w:val="20"/>
              </w:rPr>
              <w:t>-0.88 (0.11)</w:t>
            </w:r>
            <w:r w:rsidRPr="00702882">
              <w:rPr>
                <w:sz w:val="20"/>
                <w:szCs w:val="20"/>
                <w:vertAlign w:val="superscript"/>
              </w:rPr>
              <w:t>***</w:t>
            </w:r>
          </w:p>
        </w:tc>
        <w:tc>
          <w:tcPr>
            <w:tcW w:w="0" w:type="auto"/>
            <w:tcMar>
              <w:top w:w="15" w:type="dxa"/>
              <w:left w:w="75" w:type="dxa"/>
              <w:bottom w:w="15" w:type="dxa"/>
              <w:right w:w="75" w:type="dxa"/>
            </w:tcMar>
            <w:vAlign w:val="center"/>
            <w:hideMark/>
          </w:tcPr>
          <w:p w14:paraId="20636DFC" w14:textId="77777777" w:rsidR="00AF6702" w:rsidRPr="00702882" w:rsidRDefault="00AF6702" w:rsidP="005C1AFD">
            <w:pPr>
              <w:spacing w:before="150" w:after="150"/>
              <w:contextualSpacing/>
              <w:rPr>
                <w:sz w:val="20"/>
                <w:szCs w:val="20"/>
              </w:rPr>
            </w:pPr>
            <w:r w:rsidRPr="00702882">
              <w:rPr>
                <w:sz w:val="20"/>
                <w:szCs w:val="20"/>
              </w:rPr>
              <w:t>-0.88 (0.11)</w:t>
            </w:r>
            <w:r w:rsidRPr="00702882">
              <w:rPr>
                <w:sz w:val="20"/>
                <w:szCs w:val="20"/>
                <w:vertAlign w:val="superscript"/>
              </w:rPr>
              <w:t>***</w:t>
            </w:r>
          </w:p>
        </w:tc>
      </w:tr>
      <w:tr w:rsidR="00B86C9D" w:rsidRPr="00702882" w14:paraId="0A7F6300" w14:textId="77777777" w:rsidTr="00AE6820">
        <w:trPr>
          <w:jc w:val="center"/>
        </w:trPr>
        <w:tc>
          <w:tcPr>
            <w:tcW w:w="0" w:type="auto"/>
            <w:tcMar>
              <w:top w:w="15" w:type="dxa"/>
              <w:left w:w="75" w:type="dxa"/>
              <w:bottom w:w="15" w:type="dxa"/>
              <w:right w:w="75" w:type="dxa"/>
            </w:tcMar>
            <w:vAlign w:val="center"/>
            <w:hideMark/>
          </w:tcPr>
          <w:p w14:paraId="25A7448C" w14:textId="77777777" w:rsidR="00AF6702" w:rsidRPr="00702882" w:rsidRDefault="00AF6702" w:rsidP="005C1AFD">
            <w:pPr>
              <w:spacing w:before="150" w:after="150"/>
              <w:contextualSpacing/>
              <w:rPr>
                <w:sz w:val="20"/>
                <w:szCs w:val="20"/>
              </w:rPr>
            </w:pPr>
            <w:r w:rsidRPr="00702882">
              <w:rPr>
                <w:sz w:val="20"/>
                <w:szCs w:val="20"/>
              </w:rPr>
              <w:t>Cap_percent:Unemployment</w:t>
            </w:r>
          </w:p>
        </w:tc>
        <w:tc>
          <w:tcPr>
            <w:tcW w:w="0" w:type="auto"/>
            <w:tcMar>
              <w:top w:w="15" w:type="dxa"/>
              <w:left w:w="75" w:type="dxa"/>
              <w:bottom w:w="15" w:type="dxa"/>
              <w:right w:w="75" w:type="dxa"/>
            </w:tcMar>
            <w:vAlign w:val="center"/>
            <w:hideMark/>
          </w:tcPr>
          <w:p w14:paraId="1CFD7BBD"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380C313" w14:textId="77777777" w:rsidR="00AF6702" w:rsidRPr="00702882" w:rsidRDefault="00AF6702" w:rsidP="005C1AFD">
            <w:pPr>
              <w:spacing w:before="150" w:after="150"/>
              <w:contextualSpacing/>
              <w:rPr>
                <w:sz w:val="20"/>
                <w:szCs w:val="20"/>
              </w:rPr>
            </w:pPr>
            <w:r w:rsidRPr="00702882">
              <w:rPr>
                <w:sz w:val="20"/>
                <w:szCs w:val="20"/>
              </w:rPr>
              <w:t>0.01 (0.01)</w:t>
            </w:r>
          </w:p>
        </w:tc>
        <w:tc>
          <w:tcPr>
            <w:tcW w:w="0" w:type="auto"/>
            <w:tcMar>
              <w:top w:w="15" w:type="dxa"/>
              <w:left w:w="75" w:type="dxa"/>
              <w:bottom w:w="15" w:type="dxa"/>
              <w:right w:w="75" w:type="dxa"/>
            </w:tcMar>
            <w:vAlign w:val="center"/>
            <w:hideMark/>
          </w:tcPr>
          <w:p w14:paraId="3DC87955"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EE38C04"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793D8914" w14:textId="77777777" w:rsidTr="00AE6820">
        <w:trPr>
          <w:jc w:val="center"/>
        </w:trPr>
        <w:tc>
          <w:tcPr>
            <w:tcW w:w="0" w:type="auto"/>
            <w:tcMar>
              <w:top w:w="15" w:type="dxa"/>
              <w:left w:w="75" w:type="dxa"/>
              <w:bottom w:w="15" w:type="dxa"/>
              <w:right w:w="75" w:type="dxa"/>
            </w:tcMar>
            <w:vAlign w:val="center"/>
            <w:hideMark/>
          </w:tcPr>
          <w:p w14:paraId="5405BFE8" w14:textId="77777777" w:rsidR="00AF6702" w:rsidRPr="00702882" w:rsidRDefault="00AF6702" w:rsidP="005C1AFD">
            <w:pPr>
              <w:spacing w:before="150" w:after="150"/>
              <w:contextualSpacing/>
              <w:rPr>
                <w:sz w:val="20"/>
                <w:szCs w:val="20"/>
              </w:rPr>
            </w:pPr>
            <w:r w:rsidRPr="00702882">
              <w:rPr>
                <w:sz w:val="20"/>
                <w:szCs w:val="20"/>
              </w:rPr>
              <w:t>DepoSurplus_numeric:Unemployment</w:t>
            </w:r>
          </w:p>
        </w:tc>
        <w:tc>
          <w:tcPr>
            <w:tcW w:w="0" w:type="auto"/>
            <w:tcMar>
              <w:top w:w="15" w:type="dxa"/>
              <w:left w:w="75" w:type="dxa"/>
              <w:bottom w:w="15" w:type="dxa"/>
              <w:right w:w="75" w:type="dxa"/>
            </w:tcMar>
            <w:vAlign w:val="center"/>
            <w:hideMark/>
          </w:tcPr>
          <w:p w14:paraId="7B9FF700"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2D3C565" w14:textId="77777777" w:rsidR="00AF6702" w:rsidRPr="00702882" w:rsidRDefault="00AF6702" w:rsidP="005C1AFD">
            <w:pPr>
              <w:spacing w:before="150" w:after="150"/>
              <w:contextualSpacing/>
              <w:rPr>
                <w:sz w:val="20"/>
                <w:szCs w:val="20"/>
              </w:rPr>
            </w:pPr>
            <w:r w:rsidRPr="00702882">
              <w:rPr>
                <w:sz w:val="20"/>
                <w:szCs w:val="20"/>
              </w:rPr>
              <w:t>-0.39 (0.28)</w:t>
            </w:r>
          </w:p>
        </w:tc>
        <w:tc>
          <w:tcPr>
            <w:tcW w:w="0" w:type="auto"/>
            <w:tcMar>
              <w:top w:w="15" w:type="dxa"/>
              <w:left w:w="75" w:type="dxa"/>
              <w:bottom w:w="15" w:type="dxa"/>
              <w:right w:w="75" w:type="dxa"/>
            </w:tcMar>
            <w:vAlign w:val="center"/>
            <w:hideMark/>
          </w:tcPr>
          <w:p w14:paraId="51487A0C"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47F0DB3"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32052385" w14:textId="77777777" w:rsidTr="00AE6820">
        <w:trPr>
          <w:jc w:val="center"/>
        </w:trPr>
        <w:tc>
          <w:tcPr>
            <w:tcW w:w="0" w:type="auto"/>
            <w:tcMar>
              <w:top w:w="15" w:type="dxa"/>
              <w:left w:w="75" w:type="dxa"/>
              <w:bottom w:w="15" w:type="dxa"/>
              <w:right w:w="75" w:type="dxa"/>
            </w:tcMar>
            <w:vAlign w:val="center"/>
            <w:hideMark/>
          </w:tcPr>
          <w:p w14:paraId="48C0CA89" w14:textId="77777777" w:rsidR="00AF6702" w:rsidRPr="00702882" w:rsidRDefault="00AF6702" w:rsidP="005C1AFD">
            <w:pPr>
              <w:spacing w:before="150" w:after="150"/>
              <w:contextualSpacing/>
              <w:rPr>
                <w:sz w:val="20"/>
                <w:szCs w:val="20"/>
              </w:rPr>
            </w:pPr>
            <w:r w:rsidRPr="00702882">
              <w:rPr>
                <w:sz w:val="20"/>
                <w:szCs w:val="20"/>
              </w:rPr>
              <w:t>DepoVol_formula:Unemployment</w:t>
            </w:r>
          </w:p>
        </w:tc>
        <w:tc>
          <w:tcPr>
            <w:tcW w:w="0" w:type="auto"/>
            <w:tcMar>
              <w:top w:w="15" w:type="dxa"/>
              <w:left w:w="75" w:type="dxa"/>
              <w:bottom w:w="15" w:type="dxa"/>
              <w:right w:w="75" w:type="dxa"/>
            </w:tcMar>
            <w:vAlign w:val="center"/>
            <w:hideMark/>
          </w:tcPr>
          <w:p w14:paraId="2726D6CB"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80AE83D" w14:textId="77777777" w:rsidR="00AF6702" w:rsidRPr="00702882" w:rsidRDefault="00AF6702" w:rsidP="005C1AFD">
            <w:pPr>
              <w:spacing w:before="150" w:after="150"/>
              <w:contextualSpacing/>
              <w:rPr>
                <w:sz w:val="20"/>
                <w:szCs w:val="20"/>
              </w:rPr>
            </w:pPr>
            <w:r w:rsidRPr="00702882">
              <w:rPr>
                <w:sz w:val="20"/>
                <w:szCs w:val="20"/>
              </w:rPr>
              <w:t>1.42 (0.53)</w:t>
            </w:r>
            <w:r w:rsidRPr="00702882">
              <w:rPr>
                <w:sz w:val="20"/>
                <w:szCs w:val="20"/>
                <w:vertAlign w:val="superscript"/>
              </w:rPr>
              <w:t>***</w:t>
            </w:r>
          </w:p>
        </w:tc>
        <w:tc>
          <w:tcPr>
            <w:tcW w:w="0" w:type="auto"/>
            <w:tcMar>
              <w:top w:w="15" w:type="dxa"/>
              <w:left w:w="75" w:type="dxa"/>
              <w:bottom w:w="15" w:type="dxa"/>
              <w:right w:w="75" w:type="dxa"/>
            </w:tcMar>
            <w:vAlign w:val="center"/>
            <w:hideMark/>
          </w:tcPr>
          <w:p w14:paraId="757C325D" w14:textId="77777777" w:rsidR="00AF6702" w:rsidRPr="00702882" w:rsidRDefault="00AF6702" w:rsidP="005C1AFD">
            <w:pPr>
              <w:spacing w:before="150" w:after="150"/>
              <w:contextualSpacing/>
              <w:rPr>
                <w:sz w:val="20"/>
                <w:szCs w:val="20"/>
              </w:rPr>
            </w:pPr>
            <w:r w:rsidRPr="00702882">
              <w:rPr>
                <w:sz w:val="20"/>
                <w:szCs w:val="20"/>
              </w:rPr>
              <w:t>0.88 (0.28)</w:t>
            </w:r>
            <w:r w:rsidRPr="00702882">
              <w:rPr>
                <w:sz w:val="20"/>
                <w:szCs w:val="20"/>
                <w:vertAlign w:val="superscript"/>
              </w:rPr>
              <w:t>***</w:t>
            </w:r>
          </w:p>
        </w:tc>
        <w:tc>
          <w:tcPr>
            <w:tcW w:w="0" w:type="auto"/>
            <w:tcMar>
              <w:top w:w="15" w:type="dxa"/>
              <w:left w:w="75" w:type="dxa"/>
              <w:bottom w:w="15" w:type="dxa"/>
              <w:right w:w="75" w:type="dxa"/>
            </w:tcMar>
            <w:vAlign w:val="center"/>
            <w:hideMark/>
          </w:tcPr>
          <w:p w14:paraId="38A5218E" w14:textId="77777777" w:rsidR="00AF6702" w:rsidRPr="00702882" w:rsidRDefault="00AF6702" w:rsidP="005C1AFD">
            <w:pPr>
              <w:spacing w:before="150" w:after="150"/>
              <w:contextualSpacing/>
              <w:rPr>
                <w:sz w:val="20"/>
                <w:szCs w:val="20"/>
              </w:rPr>
            </w:pPr>
            <w:r w:rsidRPr="00702882">
              <w:rPr>
                <w:sz w:val="20"/>
                <w:szCs w:val="20"/>
              </w:rPr>
              <w:t>0.88 (0.28)</w:t>
            </w:r>
            <w:r w:rsidRPr="00702882">
              <w:rPr>
                <w:sz w:val="20"/>
                <w:szCs w:val="20"/>
                <w:vertAlign w:val="superscript"/>
              </w:rPr>
              <w:t>***</w:t>
            </w:r>
          </w:p>
        </w:tc>
      </w:tr>
      <w:tr w:rsidR="00B86C9D" w:rsidRPr="00702882" w14:paraId="16A213B1" w14:textId="77777777" w:rsidTr="00AE6820">
        <w:trPr>
          <w:jc w:val="center"/>
        </w:trPr>
        <w:tc>
          <w:tcPr>
            <w:tcW w:w="0" w:type="auto"/>
            <w:tcMar>
              <w:top w:w="15" w:type="dxa"/>
              <w:left w:w="75" w:type="dxa"/>
              <w:bottom w:w="15" w:type="dxa"/>
              <w:right w:w="75" w:type="dxa"/>
            </w:tcMar>
            <w:vAlign w:val="center"/>
            <w:hideMark/>
          </w:tcPr>
          <w:p w14:paraId="0A30847B" w14:textId="77777777" w:rsidR="00AF6702" w:rsidRPr="00702882" w:rsidRDefault="00AF6702" w:rsidP="005C1AFD">
            <w:pPr>
              <w:spacing w:before="150" w:after="150"/>
              <w:contextualSpacing/>
              <w:rPr>
                <w:sz w:val="20"/>
                <w:szCs w:val="20"/>
              </w:rPr>
            </w:pPr>
            <w:r w:rsidRPr="00702882">
              <w:rPr>
                <w:sz w:val="20"/>
                <w:szCs w:val="20"/>
              </w:rPr>
              <w:t>DepoVol_propor:Unemployment</w:t>
            </w:r>
          </w:p>
        </w:tc>
        <w:tc>
          <w:tcPr>
            <w:tcW w:w="0" w:type="auto"/>
            <w:tcMar>
              <w:top w:w="15" w:type="dxa"/>
              <w:left w:w="75" w:type="dxa"/>
              <w:bottom w:w="15" w:type="dxa"/>
              <w:right w:w="75" w:type="dxa"/>
            </w:tcMar>
            <w:vAlign w:val="center"/>
            <w:hideMark/>
          </w:tcPr>
          <w:p w14:paraId="02570A06"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0284984" w14:textId="77777777" w:rsidR="00AF6702" w:rsidRPr="00702882" w:rsidRDefault="00AF6702" w:rsidP="005C1AFD">
            <w:pPr>
              <w:spacing w:before="150" w:after="150"/>
              <w:contextualSpacing/>
              <w:rPr>
                <w:sz w:val="20"/>
                <w:szCs w:val="20"/>
              </w:rPr>
            </w:pPr>
            <w:r w:rsidRPr="00702882">
              <w:rPr>
                <w:sz w:val="20"/>
                <w:szCs w:val="20"/>
              </w:rPr>
              <w:t>-0.03 (0.23)</w:t>
            </w:r>
          </w:p>
        </w:tc>
        <w:tc>
          <w:tcPr>
            <w:tcW w:w="0" w:type="auto"/>
            <w:tcMar>
              <w:top w:w="15" w:type="dxa"/>
              <w:left w:w="75" w:type="dxa"/>
              <w:bottom w:w="15" w:type="dxa"/>
              <w:right w:w="75" w:type="dxa"/>
            </w:tcMar>
            <w:vAlign w:val="center"/>
            <w:hideMark/>
          </w:tcPr>
          <w:p w14:paraId="049935C9"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4B1088F"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290A5921" w14:textId="77777777" w:rsidTr="00AE6820">
        <w:trPr>
          <w:jc w:val="center"/>
        </w:trPr>
        <w:tc>
          <w:tcPr>
            <w:tcW w:w="0" w:type="auto"/>
            <w:tcMar>
              <w:top w:w="15" w:type="dxa"/>
              <w:left w:w="75" w:type="dxa"/>
              <w:bottom w:w="15" w:type="dxa"/>
              <w:right w:w="75" w:type="dxa"/>
            </w:tcMar>
            <w:vAlign w:val="center"/>
            <w:hideMark/>
          </w:tcPr>
          <w:p w14:paraId="62DA3A8D" w14:textId="77777777" w:rsidR="00AF6702" w:rsidRPr="00702882" w:rsidRDefault="00AF6702" w:rsidP="005C1AFD">
            <w:pPr>
              <w:spacing w:before="150" w:after="150"/>
              <w:contextualSpacing/>
              <w:rPr>
                <w:sz w:val="20"/>
                <w:szCs w:val="20"/>
              </w:rPr>
            </w:pPr>
            <w:r w:rsidRPr="00702882">
              <w:rPr>
                <w:sz w:val="20"/>
                <w:szCs w:val="20"/>
              </w:rPr>
              <w:t>WithLegis_numeric:Unemployment</w:t>
            </w:r>
          </w:p>
        </w:tc>
        <w:tc>
          <w:tcPr>
            <w:tcW w:w="0" w:type="auto"/>
            <w:tcMar>
              <w:top w:w="15" w:type="dxa"/>
              <w:left w:w="75" w:type="dxa"/>
              <w:bottom w:w="15" w:type="dxa"/>
              <w:right w:w="75" w:type="dxa"/>
            </w:tcMar>
            <w:vAlign w:val="center"/>
            <w:hideMark/>
          </w:tcPr>
          <w:p w14:paraId="69051779"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3627E83" w14:textId="77777777" w:rsidR="00AF6702" w:rsidRPr="00702882" w:rsidRDefault="00AF6702" w:rsidP="005C1AFD">
            <w:pPr>
              <w:spacing w:before="150" w:after="150"/>
              <w:contextualSpacing/>
              <w:rPr>
                <w:sz w:val="20"/>
                <w:szCs w:val="20"/>
              </w:rPr>
            </w:pPr>
            <w:r w:rsidRPr="00702882">
              <w:rPr>
                <w:sz w:val="20"/>
                <w:szCs w:val="20"/>
              </w:rPr>
              <w:t>0.56 (0.52)</w:t>
            </w:r>
          </w:p>
        </w:tc>
        <w:tc>
          <w:tcPr>
            <w:tcW w:w="0" w:type="auto"/>
            <w:tcMar>
              <w:top w:w="15" w:type="dxa"/>
              <w:left w:w="75" w:type="dxa"/>
              <w:bottom w:w="15" w:type="dxa"/>
              <w:right w:w="75" w:type="dxa"/>
            </w:tcMar>
            <w:vAlign w:val="center"/>
            <w:hideMark/>
          </w:tcPr>
          <w:p w14:paraId="749C1D3C"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41A8919"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3091EA8F" w14:textId="77777777" w:rsidTr="00AE6820">
        <w:trPr>
          <w:jc w:val="center"/>
        </w:trPr>
        <w:tc>
          <w:tcPr>
            <w:tcW w:w="0" w:type="auto"/>
            <w:tcMar>
              <w:top w:w="15" w:type="dxa"/>
              <w:left w:w="75" w:type="dxa"/>
              <w:bottom w:w="15" w:type="dxa"/>
              <w:right w:w="75" w:type="dxa"/>
            </w:tcMar>
            <w:vAlign w:val="center"/>
            <w:hideMark/>
          </w:tcPr>
          <w:p w14:paraId="0D0A00B0" w14:textId="77777777" w:rsidR="00AF6702" w:rsidRPr="00702882" w:rsidRDefault="00AF6702" w:rsidP="005C1AFD">
            <w:pPr>
              <w:spacing w:before="150" w:after="150"/>
              <w:contextualSpacing/>
              <w:rPr>
                <w:sz w:val="20"/>
                <w:szCs w:val="20"/>
              </w:rPr>
            </w:pPr>
            <w:r w:rsidRPr="00702882">
              <w:rPr>
                <w:sz w:val="20"/>
                <w:szCs w:val="20"/>
              </w:rPr>
              <w:t>WithShortfall:Unemployment</w:t>
            </w:r>
          </w:p>
        </w:tc>
        <w:tc>
          <w:tcPr>
            <w:tcW w:w="0" w:type="auto"/>
            <w:tcMar>
              <w:top w:w="15" w:type="dxa"/>
              <w:left w:w="75" w:type="dxa"/>
              <w:bottom w:w="15" w:type="dxa"/>
              <w:right w:w="75" w:type="dxa"/>
            </w:tcMar>
            <w:vAlign w:val="center"/>
            <w:hideMark/>
          </w:tcPr>
          <w:p w14:paraId="53C90E2B"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331643B" w14:textId="77777777" w:rsidR="00AF6702" w:rsidRPr="00702882" w:rsidRDefault="00AF6702" w:rsidP="005C1AFD">
            <w:pPr>
              <w:spacing w:before="150" w:after="150"/>
              <w:contextualSpacing/>
              <w:rPr>
                <w:sz w:val="20"/>
                <w:szCs w:val="20"/>
              </w:rPr>
            </w:pPr>
            <w:r w:rsidRPr="00702882">
              <w:rPr>
                <w:sz w:val="20"/>
                <w:szCs w:val="20"/>
              </w:rPr>
              <w:t>0.35 (0.29)</w:t>
            </w:r>
          </w:p>
        </w:tc>
        <w:tc>
          <w:tcPr>
            <w:tcW w:w="0" w:type="auto"/>
            <w:tcMar>
              <w:top w:w="15" w:type="dxa"/>
              <w:left w:w="75" w:type="dxa"/>
              <w:bottom w:w="15" w:type="dxa"/>
              <w:right w:w="75" w:type="dxa"/>
            </w:tcMar>
            <w:vAlign w:val="center"/>
            <w:hideMark/>
          </w:tcPr>
          <w:p w14:paraId="78DF18C0"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1C57E7B"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229BE911" w14:textId="77777777" w:rsidTr="00AE6820">
        <w:trPr>
          <w:jc w:val="center"/>
        </w:trPr>
        <w:tc>
          <w:tcPr>
            <w:tcW w:w="0" w:type="auto"/>
            <w:tcMar>
              <w:top w:w="15" w:type="dxa"/>
              <w:left w:w="75" w:type="dxa"/>
              <w:bottom w:w="15" w:type="dxa"/>
              <w:right w:w="75" w:type="dxa"/>
            </w:tcMar>
            <w:vAlign w:val="center"/>
            <w:hideMark/>
          </w:tcPr>
          <w:p w14:paraId="68E03A6D" w14:textId="77777777" w:rsidR="00AF6702" w:rsidRPr="00702882" w:rsidRDefault="00AF6702" w:rsidP="005C1AFD">
            <w:pPr>
              <w:spacing w:before="150" w:after="150"/>
              <w:contextualSpacing/>
              <w:rPr>
                <w:sz w:val="20"/>
                <w:szCs w:val="20"/>
              </w:rPr>
            </w:pPr>
            <w:r w:rsidRPr="00702882">
              <w:rPr>
                <w:sz w:val="20"/>
                <w:szCs w:val="20"/>
              </w:rPr>
              <w:t>WithVol:Unemployment</w:t>
            </w:r>
          </w:p>
        </w:tc>
        <w:tc>
          <w:tcPr>
            <w:tcW w:w="0" w:type="auto"/>
            <w:tcMar>
              <w:top w:w="15" w:type="dxa"/>
              <w:left w:w="75" w:type="dxa"/>
              <w:bottom w:w="15" w:type="dxa"/>
              <w:right w:w="75" w:type="dxa"/>
            </w:tcMar>
            <w:vAlign w:val="center"/>
            <w:hideMark/>
          </w:tcPr>
          <w:p w14:paraId="7D2E5690"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5BBD2E3" w14:textId="77777777" w:rsidR="00AF6702" w:rsidRPr="00702882" w:rsidRDefault="00AF6702" w:rsidP="005C1AFD">
            <w:pPr>
              <w:spacing w:before="150" w:after="150"/>
              <w:contextualSpacing/>
              <w:rPr>
                <w:sz w:val="20"/>
                <w:szCs w:val="20"/>
              </w:rPr>
            </w:pPr>
            <w:r w:rsidRPr="00702882">
              <w:rPr>
                <w:sz w:val="20"/>
                <w:szCs w:val="20"/>
              </w:rPr>
              <w:t>-0.54 (0.37)</w:t>
            </w:r>
          </w:p>
        </w:tc>
        <w:tc>
          <w:tcPr>
            <w:tcW w:w="0" w:type="auto"/>
            <w:tcMar>
              <w:top w:w="15" w:type="dxa"/>
              <w:left w:w="75" w:type="dxa"/>
              <w:bottom w:w="15" w:type="dxa"/>
              <w:right w:w="75" w:type="dxa"/>
            </w:tcMar>
            <w:vAlign w:val="center"/>
            <w:hideMark/>
          </w:tcPr>
          <w:p w14:paraId="419642FB"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C945C0B"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00D92A6F" w14:textId="77777777" w:rsidTr="00AE6820">
        <w:trPr>
          <w:jc w:val="center"/>
        </w:trPr>
        <w:tc>
          <w:tcPr>
            <w:tcW w:w="0" w:type="auto"/>
            <w:tcMar>
              <w:top w:w="15" w:type="dxa"/>
              <w:left w:w="75" w:type="dxa"/>
              <w:bottom w:w="15" w:type="dxa"/>
              <w:right w:w="75" w:type="dxa"/>
            </w:tcMar>
            <w:vAlign w:val="center"/>
            <w:hideMark/>
          </w:tcPr>
          <w:p w14:paraId="5248E733" w14:textId="77777777" w:rsidR="00AF6702" w:rsidRPr="00702882" w:rsidRDefault="00AF6702" w:rsidP="005C1AFD">
            <w:pPr>
              <w:spacing w:before="150" w:after="150"/>
              <w:contextualSpacing/>
              <w:rPr>
                <w:sz w:val="20"/>
                <w:szCs w:val="20"/>
              </w:rPr>
            </w:pPr>
            <w:r w:rsidRPr="00702882">
              <w:rPr>
                <w:sz w:val="20"/>
                <w:szCs w:val="20"/>
              </w:rPr>
              <w:t>Repay_4bin:Unemployment</w:t>
            </w:r>
          </w:p>
        </w:tc>
        <w:tc>
          <w:tcPr>
            <w:tcW w:w="0" w:type="auto"/>
            <w:tcMar>
              <w:top w:w="15" w:type="dxa"/>
              <w:left w:w="75" w:type="dxa"/>
              <w:bottom w:w="15" w:type="dxa"/>
              <w:right w:w="75" w:type="dxa"/>
            </w:tcMar>
            <w:vAlign w:val="center"/>
            <w:hideMark/>
          </w:tcPr>
          <w:p w14:paraId="51DA67F1"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2D26F47" w14:textId="77777777" w:rsidR="00AF6702" w:rsidRPr="00702882" w:rsidRDefault="00AF6702" w:rsidP="005C1AFD">
            <w:pPr>
              <w:spacing w:before="150" w:after="150"/>
              <w:contextualSpacing/>
              <w:rPr>
                <w:sz w:val="20"/>
                <w:szCs w:val="20"/>
              </w:rPr>
            </w:pPr>
            <w:r w:rsidRPr="00702882">
              <w:rPr>
                <w:sz w:val="20"/>
                <w:szCs w:val="20"/>
              </w:rPr>
              <w:t>0.00 (0.07)</w:t>
            </w:r>
          </w:p>
        </w:tc>
        <w:tc>
          <w:tcPr>
            <w:tcW w:w="0" w:type="auto"/>
            <w:tcMar>
              <w:top w:w="15" w:type="dxa"/>
              <w:left w:w="75" w:type="dxa"/>
              <w:bottom w:w="15" w:type="dxa"/>
              <w:right w:w="75" w:type="dxa"/>
            </w:tcMar>
            <w:vAlign w:val="center"/>
            <w:hideMark/>
          </w:tcPr>
          <w:p w14:paraId="1E03D1C2"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392C696"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547F3870" w14:textId="77777777" w:rsidTr="00AE6820">
        <w:trPr>
          <w:jc w:val="center"/>
        </w:trPr>
        <w:tc>
          <w:tcPr>
            <w:tcW w:w="0" w:type="auto"/>
            <w:tcMar>
              <w:top w:w="15" w:type="dxa"/>
              <w:left w:w="75" w:type="dxa"/>
              <w:bottom w:w="15" w:type="dxa"/>
              <w:right w:w="75" w:type="dxa"/>
            </w:tcMar>
            <w:vAlign w:val="center"/>
            <w:hideMark/>
          </w:tcPr>
          <w:p w14:paraId="263D91CF" w14:textId="77777777" w:rsidR="00AF6702" w:rsidRPr="00702882" w:rsidRDefault="00AF6702" w:rsidP="005C1AFD">
            <w:pPr>
              <w:spacing w:before="150" w:after="150"/>
              <w:contextualSpacing/>
              <w:rPr>
                <w:sz w:val="20"/>
                <w:szCs w:val="20"/>
              </w:rPr>
            </w:pPr>
            <w:r w:rsidRPr="00702882">
              <w:rPr>
                <w:sz w:val="20"/>
                <w:szCs w:val="20"/>
              </w:rPr>
              <w:t>WithLim:Unemployment</w:t>
            </w:r>
          </w:p>
        </w:tc>
        <w:tc>
          <w:tcPr>
            <w:tcW w:w="0" w:type="auto"/>
            <w:tcMar>
              <w:top w:w="15" w:type="dxa"/>
              <w:left w:w="75" w:type="dxa"/>
              <w:bottom w:w="15" w:type="dxa"/>
              <w:right w:w="75" w:type="dxa"/>
            </w:tcMar>
            <w:vAlign w:val="center"/>
            <w:hideMark/>
          </w:tcPr>
          <w:p w14:paraId="230F6F7E"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2350A15" w14:textId="77777777" w:rsidR="00AF6702" w:rsidRPr="00702882" w:rsidRDefault="00AF6702" w:rsidP="005C1AFD">
            <w:pPr>
              <w:spacing w:before="150" w:after="150"/>
              <w:contextualSpacing/>
              <w:rPr>
                <w:sz w:val="20"/>
                <w:szCs w:val="20"/>
              </w:rPr>
            </w:pPr>
            <w:r w:rsidRPr="00702882">
              <w:rPr>
                <w:sz w:val="20"/>
                <w:szCs w:val="20"/>
              </w:rPr>
              <w:t>0.10 (0.30)</w:t>
            </w:r>
          </w:p>
        </w:tc>
        <w:tc>
          <w:tcPr>
            <w:tcW w:w="0" w:type="auto"/>
            <w:tcMar>
              <w:top w:w="15" w:type="dxa"/>
              <w:left w:w="75" w:type="dxa"/>
              <w:bottom w:w="15" w:type="dxa"/>
              <w:right w:w="75" w:type="dxa"/>
            </w:tcMar>
            <w:vAlign w:val="center"/>
            <w:hideMark/>
          </w:tcPr>
          <w:p w14:paraId="67D08687"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5C5E8C2"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7250FC64" w14:textId="77777777" w:rsidTr="00AE6820">
        <w:trPr>
          <w:jc w:val="center"/>
        </w:trPr>
        <w:tc>
          <w:tcPr>
            <w:tcW w:w="0" w:type="auto"/>
            <w:tcMar>
              <w:top w:w="15" w:type="dxa"/>
              <w:left w:w="75" w:type="dxa"/>
              <w:bottom w:w="15" w:type="dxa"/>
              <w:right w:w="75" w:type="dxa"/>
            </w:tcMar>
            <w:vAlign w:val="center"/>
            <w:hideMark/>
          </w:tcPr>
          <w:p w14:paraId="2FA4F1FC" w14:textId="77777777" w:rsidR="00AF6702" w:rsidRPr="00702882" w:rsidRDefault="00AF6702" w:rsidP="005C1AFD">
            <w:pPr>
              <w:spacing w:before="150" w:after="150"/>
              <w:contextualSpacing/>
              <w:rPr>
                <w:sz w:val="20"/>
                <w:szCs w:val="20"/>
              </w:rPr>
            </w:pPr>
            <w:r w:rsidRPr="00702882">
              <w:rPr>
                <w:sz w:val="20"/>
                <w:szCs w:val="20"/>
              </w:rPr>
              <w:t>Cap_percent:DepoSurplus_numeric</w:t>
            </w:r>
          </w:p>
        </w:tc>
        <w:tc>
          <w:tcPr>
            <w:tcW w:w="0" w:type="auto"/>
            <w:tcMar>
              <w:top w:w="15" w:type="dxa"/>
              <w:left w:w="75" w:type="dxa"/>
              <w:bottom w:w="15" w:type="dxa"/>
              <w:right w:w="75" w:type="dxa"/>
            </w:tcMar>
            <w:vAlign w:val="center"/>
            <w:hideMark/>
          </w:tcPr>
          <w:p w14:paraId="65E42D75"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DB0C455"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168E120" w14:textId="77777777" w:rsidR="00AF6702" w:rsidRPr="00702882" w:rsidRDefault="00AF6702" w:rsidP="005C1AFD">
            <w:pPr>
              <w:spacing w:before="150" w:after="150"/>
              <w:contextualSpacing/>
              <w:rPr>
                <w:sz w:val="20"/>
                <w:szCs w:val="20"/>
              </w:rPr>
            </w:pPr>
            <w:r w:rsidRPr="00702882">
              <w:rPr>
                <w:sz w:val="20"/>
                <w:szCs w:val="20"/>
              </w:rPr>
              <w:t>0.04 (0.03)</w:t>
            </w:r>
          </w:p>
        </w:tc>
        <w:tc>
          <w:tcPr>
            <w:tcW w:w="0" w:type="auto"/>
            <w:tcMar>
              <w:top w:w="15" w:type="dxa"/>
              <w:left w:w="75" w:type="dxa"/>
              <w:bottom w:w="15" w:type="dxa"/>
              <w:right w:w="75" w:type="dxa"/>
            </w:tcMar>
            <w:vAlign w:val="center"/>
            <w:hideMark/>
          </w:tcPr>
          <w:p w14:paraId="2F914000"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7BD7A2BB" w14:textId="77777777" w:rsidTr="00AE6820">
        <w:trPr>
          <w:jc w:val="center"/>
        </w:trPr>
        <w:tc>
          <w:tcPr>
            <w:tcW w:w="0" w:type="auto"/>
            <w:tcMar>
              <w:top w:w="15" w:type="dxa"/>
              <w:left w:w="75" w:type="dxa"/>
              <w:bottom w:w="15" w:type="dxa"/>
              <w:right w:w="75" w:type="dxa"/>
            </w:tcMar>
            <w:vAlign w:val="center"/>
            <w:hideMark/>
          </w:tcPr>
          <w:p w14:paraId="27EF7D1B" w14:textId="77777777" w:rsidR="00AF6702" w:rsidRPr="00702882" w:rsidRDefault="00AF6702" w:rsidP="005C1AFD">
            <w:pPr>
              <w:spacing w:before="150" w:after="150"/>
              <w:contextualSpacing/>
              <w:rPr>
                <w:sz w:val="20"/>
                <w:szCs w:val="20"/>
              </w:rPr>
            </w:pPr>
            <w:r w:rsidRPr="00702882">
              <w:rPr>
                <w:sz w:val="20"/>
                <w:szCs w:val="20"/>
              </w:rPr>
              <w:t>WithVol:WithLim</w:t>
            </w:r>
          </w:p>
        </w:tc>
        <w:tc>
          <w:tcPr>
            <w:tcW w:w="0" w:type="auto"/>
            <w:tcMar>
              <w:top w:w="15" w:type="dxa"/>
              <w:left w:w="75" w:type="dxa"/>
              <w:bottom w:w="15" w:type="dxa"/>
              <w:right w:w="75" w:type="dxa"/>
            </w:tcMar>
            <w:vAlign w:val="center"/>
            <w:hideMark/>
          </w:tcPr>
          <w:p w14:paraId="299F3EEA"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D3D6322"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710FE2C" w14:textId="77777777" w:rsidR="00AF6702" w:rsidRPr="00702882" w:rsidRDefault="00AF6702" w:rsidP="005C1AFD">
            <w:pPr>
              <w:spacing w:before="150" w:after="150"/>
              <w:contextualSpacing/>
              <w:rPr>
                <w:sz w:val="20"/>
                <w:szCs w:val="20"/>
              </w:rPr>
            </w:pPr>
            <w:r w:rsidRPr="00702882">
              <w:rPr>
                <w:sz w:val="20"/>
                <w:szCs w:val="20"/>
              </w:rPr>
              <w:t>5.94 (2.77)</w:t>
            </w:r>
            <w:r w:rsidRPr="00702882">
              <w:rPr>
                <w:sz w:val="20"/>
                <w:szCs w:val="20"/>
                <w:vertAlign w:val="superscript"/>
              </w:rPr>
              <w:t>**</w:t>
            </w:r>
          </w:p>
        </w:tc>
        <w:tc>
          <w:tcPr>
            <w:tcW w:w="0" w:type="auto"/>
            <w:tcMar>
              <w:top w:w="15" w:type="dxa"/>
              <w:left w:w="75" w:type="dxa"/>
              <w:bottom w:w="15" w:type="dxa"/>
              <w:right w:w="75" w:type="dxa"/>
            </w:tcMar>
            <w:vAlign w:val="center"/>
            <w:hideMark/>
          </w:tcPr>
          <w:p w14:paraId="01F3AA44" w14:textId="77777777" w:rsidR="00AF6702" w:rsidRPr="00702882" w:rsidRDefault="00AF6702" w:rsidP="005C1AFD">
            <w:pPr>
              <w:spacing w:before="150" w:after="150"/>
              <w:contextualSpacing/>
              <w:rPr>
                <w:sz w:val="20"/>
                <w:szCs w:val="20"/>
              </w:rPr>
            </w:pPr>
            <w:r w:rsidRPr="00702882">
              <w:rPr>
                <w:sz w:val="20"/>
                <w:szCs w:val="20"/>
              </w:rPr>
              <w:t>5.89 (2.77)</w:t>
            </w:r>
            <w:r w:rsidRPr="00702882">
              <w:rPr>
                <w:sz w:val="20"/>
                <w:szCs w:val="20"/>
                <w:vertAlign w:val="superscript"/>
              </w:rPr>
              <w:t>**</w:t>
            </w:r>
          </w:p>
        </w:tc>
      </w:tr>
      <w:tr w:rsidR="00B86C9D" w:rsidRPr="00702882" w14:paraId="54963948" w14:textId="77777777" w:rsidTr="00AE6820">
        <w:trPr>
          <w:jc w:val="center"/>
        </w:trPr>
        <w:tc>
          <w:tcPr>
            <w:tcW w:w="0" w:type="auto"/>
            <w:tcMar>
              <w:top w:w="15" w:type="dxa"/>
              <w:left w:w="75" w:type="dxa"/>
              <w:bottom w:w="15" w:type="dxa"/>
              <w:right w:w="75" w:type="dxa"/>
            </w:tcMar>
            <w:vAlign w:val="center"/>
          </w:tcPr>
          <w:p w14:paraId="1A8ACA56" w14:textId="77777777" w:rsidR="00AF6702" w:rsidRPr="00702882" w:rsidRDefault="00AF6702" w:rsidP="005C1AFD">
            <w:pPr>
              <w:spacing w:before="150" w:after="150"/>
              <w:contextualSpacing/>
              <w:rPr>
                <w:b/>
                <w:bCs/>
                <w:sz w:val="20"/>
                <w:szCs w:val="20"/>
              </w:rPr>
            </w:pPr>
            <w:r w:rsidRPr="00702882">
              <w:rPr>
                <w:sz w:val="20"/>
                <w:szCs w:val="20"/>
              </w:rPr>
              <w:t>R</w:t>
            </w:r>
            <w:r w:rsidRPr="00702882">
              <w:rPr>
                <w:sz w:val="20"/>
                <w:szCs w:val="20"/>
                <w:vertAlign w:val="superscript"/>
              </w:rPr>
              <w:t>2</w:t>
            </w:r>
          </w:p>
        </w:tc>
        <w:tc>
          <w:tcPr>
            <w:tcW w:w="0" w:type="auto"/>
            <w:tcMar>
              <w:top w:w="15" w:type="dxa"/>
              <w:left w:w="75" w:type="dxa"/>
              <w:bottom w:w="15" w:type="dxa"/>
              <w:right w:w="75" w:type="dxa"/>
            </w:tcMar>
            <w:vAlign w:val="center"/>
          </w:tcPr>
          <w:p w14:paraId="59810D19" w14:textId="77777777" w:rsidR="00AF6702" w:rsidRPr="00702882" w:rsidRDefault="00AF6702" w:rsidP="005C1AFD">
            <w:pPr>
              <w:spacing w:before="150" w:after="150"/>
              <w:contextualSpacing/>
              <w:rPr>
                <w:sz w:val="20"/>
                <w:szCs w:val="20"/>
              </w:rPr>
            </w:pPr>
            <w:r w:rsidRPr="00702882">
              <w:rPr>
                <w:sz w:val="20"/>
                <w:szCs w:val="20"/>
              </w:rPr>
              <w:t>0.26</w:t>
            </w:r>
          </w:p>
        </w:tc>
        <w:tc>
          <w:tcPr>
            <w:tcW w:w="0" w:type="auto"/>
            <w:tcMar>
              <w:top w:w="15" w:type="dxa"/>
              <w:left w:w="75" w:type="dxa"/>
              <w:bottom w:w="15" w:type="dxa"/>
              <w:right w:w="75" w:type="dxa"/>
            </w:tcMar>
            <w:vAlign w:val="center"/>
          </w:tcPr>
          <w:p w14:paraId="46E05957" w14:textId="77777777" w:rsidR="00AF6702" w:rsidRPr="00702882" w:rsidRDefault="00AF6702" w:rsidP="005C1AFD">
            <w:pPr>
              <w:spacing w:before="150" w:after="150"/>
              <w:contextualSpacing/>
              <w:rPr>
                <w:sz w:val="20"/>
                <w:szCs w:val="20"/>
              </w:rPr>
            </w:pPr>
            <w:r w:rsidRPr="00702882">
              <w:rPr>
                <w:sz w:val="20"/>
                <w:szCs w:val="20"/>
              </w:rPr>
              <w:t>0.31</w:t>
            </w:r>
          </w:p>
        </w:tc>
        <w:tc>
          <w:tcPr>
            <w:tcW w:w="0" w:type="auto"/>
            <w:tcMar>
              <w:top w:w="15" w:type="dxa"/>
              <w:left w:w="75" w:type="dxa"/>
              <w:bottom w:w="15" w:type="dxa"/>
              <w:right w:w="75" w:type="dxa"/>
            </w:tcMar>
            <w:vAlign w:val="center"/>
          </w:tcPr>
          <w:p w14:paraId="27D02F9B" w14:textId="77777777" w:rsidR="00AF6702" w:rsidRPr="00702882" w:rsidRDefault="00AF6702" w:rsidP="005C1AFD">
            <w:pPr>
              <w:spacing w:before="150" w:after="150"/>
              <w:contextualSpacing/>
              <w:rPr>
                <w:sz w:val="20"/>
                <w:szCs w:val="20"/>
              </w:rPr>
            </w:pPr>
            <w:r w:rsidRPr="00702882">
              <w:rPr>
                <w:sz w:val="20"/>
                <w:szCs w:val="20"/>
              </w:rPr>
              <w:t>0.30</w:t>
            </w:r>
          </w:p>
        </w:tc>
        <w:tc>
          <w:tcPr>
            <w:tcW w:w="0" w:type="auto"/>
            <w:tcMar>
              <w:top w:w="15" w:type="dxa"/>
              <w:left w:w="75" w:type="dxa"/>
              <w:bottom w:w="15" w:type="dxa"/>
              <w:right w:w="75" w:type="dxa"/>
            </w:tcMar>
            <w:vAlign w:val="center"/>
          </w:tcPr>
          <w:p w14:paraId="78BF0E58" w14:textId="77777777" w:rsidR="00AF6702" w:rsidRPr="00702882" w:rsidRDefault="00AF6702" w:rsidP="005C1AFD">
            <w:pPr>
              <w:spacing w:before="150" w:after="150"/>
              <w:contextualSpacing/>
              <w:rPr>
                <w:sz w:val="20"/>
                <w:szCs w:val="20"/>
              </w:rPr>
            </w:pPr>
            <w:r w:rsidRPr="00702882">
              <w:rPr>
                <w:sz w:val="20"/>
                <w:szCs w:val="20"/>
              </w:rPr>
              <w:t>0.30</w:t>
            </w:r>
          </w:p>
        </w:tc>
      </w:tr>
      <w:tr w:rsidR="00B86C9D" w:rsidRPr="00702882" w14:paraId="22D4D663" w14:textId="77777777" w:rsidTr="00AE6820">
        <w:trPr>
          <w:jc w:val="center"/>
        </w:trPr>
        <w:tc>
          <w:tcPr>
            <w:tcW w:w="0" w:type="auto"/>
            <w:tcBorders>
              <w:bottom w:val="nil"/>
            </w:tcBorders>
            <w:tcMar>
              <w:top w:w="15" w:type="dxa"/>
              <w:left w:w="75" w:type="dxa"/>
              <w:bottom w:w="15" w:type="dxa"/>
              <w:right w:w="75" w:type="dxa"/>
            </w:tcMar>
            <w:vAlign w:val="center"/>
          </w:tcPr>
          <w:p w14:paraId="22206DFA" w14:textId="77777777" w:rsidR="00AF6702" w:rsidRPr="00702882" w:rsidRDefault="00AF6702" w:rsidP="005C1AFD">
            <w:pPr>
              <w:spacing w:before="150" w:after="150"/>
              <w:contextualSpacing/>
              <w:rPr>
                <w:sz w:val="20"/>
                <w:szCs w:val="20"/>
              </w:rPr>
            </w:pPr>
            <w:r w:rsidRPr="00702882">
              <w:rPr>
                <w:sz w:val="20"/>
                <w:szCs w:val="20"/>
              </w:rPr>
              <w:t>Adj. R</w:t>
            </w:r>
            <w:r w:rsidRPr="00702882">
              <w:rPr>
                <w:sz w:val="20"/>
                <w:szCs w:val="20"/>
                <w:vertAlign w:val="superscript"/>
              </w:rPr>
              <w:t>2</w:t>
            </w:r>
          </w:p>
        </w:tc>
        <w:tc>
          <w:tcPr>
            <w:tcW w:w="0" w:type="auto"/>
            <w:tcBorders>
              <w:bottom w:val="nil"/>
            </w:tcBorders>
            <w:tcMar>
              <w:top w:w="15" w:type="dxa"/>
              <w:left w:w="75" w:type="dxa"/>
              <w:bottom w:w="15" w:type="dxa"/>
              <w:right w:w="75" w:type="dxa"/>
            </w:tcMar>
            <w:vAlign w:val="center"/>
          </w:tcPr>
          <w:p w14:paraId="5127DC19" w14:textId="77777777" w:rsidR="00AF6702" w:rsidRPr="00702882" w:rsidRDefault="00AF6702" w:rsidP="005C1AFD">
            <w:pPr>
              <w:spacing w:before="150" w:after="150"/>
              <w:contextualSpacing/>
              <w:rPr>
                <w:sz w:val="20"/>
                <w:szCs w:val="20"/>
              </w:rPr>
            </w:pPr>
            <w:r w:rsidRPr="00702882">
              <w:rPr>
                <w:sz w:val="20"/>
                <w:szCs w:val="20"/>
              </w:rPr>
              <w:t>0.17</w:t>
            </w:r>
          </w:p>
        </w:tc>
        <w:tc>
          <w:tcPr>
            <w:tcW w:w="0" w:type="auto"/>
            <w:tcBorders>
              <w:bottom w:val="nil"/>
            </w:tcBorders>
            <w:tcMar>
              <w:top w:w="15" w:type="dxa"/>
              <w:left w:w="75" w:type="dxa"/>
              <w:bottom w:w="15" w:type="dxa"/>
              <w:right w:w="75" w:type="dxa"/>
            </w:tcMar>
            <w:vAlign w:val="center"/>
          </w:tcPr>
          <w:p w14:paraId="0133817A" w14:textId="77777777" w:rsidR="00AF6702" w:rsidRPr="00702882" w:rsidRDefault="00AF6702" w:rsidP="005C1AFD">
            <w:pPr>
              <w:spacing w:before="150" w:after="150"/>
              <w:contextualSpacing/>
              <w:rPr>
                <w:sz w:val="20"/>
                <w:szCs w:val="20"/>
              </w:rPr>
            </w:pPr>
            <w:r w:rsidRPr="00702882">
              <w:rPr>
                <w:sz w:val="20"/>
                <w:szCs w:val="20"/>
              </w:rPr>
              <w:t>0.22</w:t>
            </w:r>
          </w:p>
        </w:tc>
        <w:tc>
          <w:tcPr>
            <w:tcW w:w="0" w:type="auto"/>
            <w:tcBorders>
              <w:bottom w:val="nil"/>
            </w:tcBorders>
            <w:tcMar>
              <w:top w:w="15" w:type="dxa"/>
              <w:left w:w="75" w:type="dxa"/>
              <w:bottom w:w="15" w:type="dxa"/>
              <w:right w:w="75" w:type="dxa"/>
            </w:tcMar>
            <w:vAlign w:val="center"/>
          </w:tcPr>
          <w:p w14:paraId="2FFAE95B" w14:textId="77777777" w:rsidR="00AF6702" w:rsidRPr="00702882" w:rsidRDefault="00AF6702" w:rsidP="005C1AFD">
            <w:pPr>
              <w:spacing w:before="150" w:after="150"/>
              <w:contextualSpacing/>
              <w:rPr>
                <w:sz w:val="20"/>
                <w:szCs w:val="20"/>
              </w:rPr>
            </w:pPr>
            <w:r w:rsidRPr="00702882">
              <w:rPr>
                <w:sz w:val="20"/>
                <w:szCs w:val="20"/>
              </w:rPr>
              <w:t>0.21</w:t>
            </w:r>
          </w:p>
        </w:tc>
        <w:tc>
          <w:tcPr>
            <w:tcW w:w="0" w:type="auto"/>
            <w:tcBorders>
              <w:bottom w:val="nil"/>
            </w:tcBorders>
            <w:tcMar>
              <w:top w:w="15" w:type="dxa"/>
              <w:left w:w="75" w:type="dxa"/>
              <w:bottom w:w="15" w:type="dxa"/>
              <w:right w:w="75" w:type="dxa"/>
            </w:tcMar>
            <w:vAlign w:val="center"/>
          </w:tcPr>
          <w:p w14:paraId="47D71F34" w14:textId="77777777" w:rsidR="00AF6702" w:rsidRPr="00702882" w:rsidRDefault="00AF6702" w:rsidP="005C1AFD">
            <w:pPr>
              <w:spacing w:before="150" w:after="150"/>
              <w:contextualSpacing/>
              <w:rPr>
                <w:sz w:val="20"/>
                <w:szCs w:val="20"/>
              </w:rPr>
            </w:pPr>
            <w:r w:rsidRPr="00702882">
              <w:rPr>
                <w:sz w:val="20"/>
                <w:szCs w:val="20"/>
              </w:rPr>
              <w:t>0.21</w:t>
            </w:r>
          </w:p>
        </w:tc>
      </w:tr>
      <w:tr w:rsidR="00B86C9D" w:rsidRPr="00702882" w14:paraId="0595B44D" w14:textId="77777777" w:rsidTr="00AE6820">
        <w:trPr>
          <w:jc w:val="center"/>
        </w:trPr>
        <w:tc>
          <w:tcPr>
            <w:tcW w:w="0" w:type="auto"/>
            <w:tcBorders>
              <w:top w:val="nil"/>
              <w:bottom w:val="single" w:sz="12" w:space="0" w:color="auto"/>
            </w:tcBorders>
            <w:tcMar>
              <w:top w:w="15" w:type="dxa"/>
              <w:left w:w="75" w:type="dxa"/>
              <w:bottom w:w="15" w:type="dxa"/>
              <w:right w:w="75" w:type="dxa"/>
            </w:tcMar>
            <w:vAlign w:val="center"/>
          </w:tcPr>
          <w:p w14:paraId="5A315081" w14:textId="77777777" w:rsidR="00AF6702" w:rsidRPr="00702882" w:rsidRDefault="00AF6702" w:rsidP="005C1AFD">
            <w:pPr>
              <w:spacing w:before="150" w:after="150"/>
              <w:contextualSpacing/>
              <w:rPr>
                <w:sz w:val="20"/>
                <w:szCs w:val="20"/>
              </w:rPr>
            </w:pPr>
            <w:r w:rsidRPr="00702882">
              <w:rPr>
                <w:sz w:val="20"/>
                <w:szCs w:val="20"/>
              </w:rPr>
              <w:t>Num. obs.</w:t>
            </w:r>
          </w:p>
        </w:tc>
        <w:tc>
          <w:tcPr>
            <w:tcW w:w="0" w:type="auto"/>
            <w:tcBorders>
              <w:top w:val="nil"/>
              <w:bottom w:val="single" w:sz="12" w:space="0" w:color="auto"/>
            </w:tcBorders>
            <w:tcMar>
              <w:top w:w="15" w:type="dxa"/>
              <w:left w:w="75" w:type="dxa"/>
              <w:bottom w:w="15" w:type="dxa"/>
              <w:right w:w="75" w:type="dxa"/>
            </w:tcMar>
            <w:vAlign w:val="center"/>
          </w:tcPr>
          <w:p w14:paraId="30EA5C13" w14:textId="77777777" w:rsidR="00AF6702" w:rsidRPr="00702882" w:rsidRDefault="00AF6702" w:rsidP="005C1AFD">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29DB1E5E" w14:textId="77777777" w:rsidR="00AF6702" w:rsidRPr="00702882" w:rsidRDefault="00AF6702" w:rsidP="005C1AFD">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5628D157" w14:textId="77777777" w:rsidR="00AF6702" w:rsidRPr="00702882" w:rsidRDefault="00AF6702" w:rsidP="005C1AFD">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76F3E499" w14:textId="77777777" w:rsidR="00AF6702" w:rsidRPr="00702882" w:rsidRDefault="00AF6702" w:rsidP="005C1AFD">
            <w:pPr>
              <w:spacing w:before="150" w:after="150"/>
              <w:contextualSpacing/>
              <w:rPr>
                <w:sz w:val="20"/>
                <w:szCs w:val="20"/>
              </w:rPr>
            </w:pPr>
            <w:r w:rsidRPr="00702882">
              <w:rPr>
                <w:sz w:val="20"/>
                <w:szCs w:val="20"/>
              </w:rPr>
              <w:t>813</w:t>
            </w:r>
          </w:p>
        </w:tc>
      </w:tr>
      <w:tr w:rsidR="00B86C9D" w:rsidRPr="00702882" w14:paraId="40F2843E" w14:textId="77777777" w:rsidTr="00AE6820">
        <w:trPr>
          <w:jc w:val="center"/>
        </w:trPr>
        <w:tc>
          <w:tcPr>
            <w:tcW w:w="0" w:type="auto"/>
            <w:gridSpan w:val="5"/>
            <w:tcBorders>
              <w:top w:val="single" w:sz="12" w:space="0" w:color="auto"/>
            </w:tcBorders>
            <w:vAlign w:val="center"/>
            <w:hideMark/>
          </w:tcPr>
          <w:p w14:paraId="5B32A50B" w14:textId="77777777" w:rsidR="00AF6702" w:rsidRPr="00702882" w:rsidRDefault="00AF6702" w:rsidP="005C1AFD">
            <w:pPr>
              <w:spacing w:before="150" w:after="150"/>
              <w:contextualSpacing/>
              <w:rPr>
                <w:sz w:val="20"/>
                <w:szCs w:val="20"/>
              </w:rPr>
            </w:pPr>
            <w:r w:rsidRPr="00702882">
              <w:rPr>
                <w:sz w:val="20"/>
                <w:szCs w:val="20"/>
                <w:vertAlign w:val="superscript"/>
              </w:rPr>
              <w:t>***</w:t>
            </w:r>
            <w:r w:rsidRPr="00702882">
              <w:rPr>
                <w:sz w:val="20"/>
                <w:szCs w:val="20"/>
              </w:rPr>
              <w:t xml:space="preserve">p &lt; 0.01; </w:t>
            </w:r>
            <w:r w:rsidRPr="00702882">
              <w:rPr>
                <w:sz w:val="20"/>
                <w:szCs w:val="20"/>
                <w:vertAlign w:val="superscript"/>
              </w:rPr>
              <w:t>**</w:t>
            </w:r>
            <w:r w:rsidRPr="00702882">
              <w:rPr>
                <w:sz w:val="20"/>
                <w:szCs w:val="20"/>
              </w:rPr>
              <w:t xml:space="preserve">p &lt; 0.05; </w:t>
            </w:r>
            <w:r w:rsidRPr="00702882">
              <w:rPr>
                <w:sz w:val="20"/>
                <w:szCs w:val="20"/>
                <w:vertAlign w:val="superscript"/>
              </w:rPr>
              <w:t>*</w:t>
            </w:r>
            <w:r w:rsidRPr="00702882">
              <w:rPr>
                <w:sz w:val="20"/>
                <w:szCs w:val="20"/>
              </w:rPr>
              <w:t>p &lt; 0.1</w:t>
            </w:r>
          </w:p>
        </w:tc>
      </w:tr>
      <w:bookmarkEnd w:id="57"/>
    </w:tbl>
    <w:p w14:paraId="61A7C44B" w14:textId="77777777" w:rsidR="00AF6702" w:rsidRPr="00702882" w:rsidRDefault="00AF6702" w:rsidP="00C66AC4">
      <w:pPr>
        <w:spacing w:line="480" w:lineRule="auto"/>
        <w:rPr>
          <w:rFonts w:eastAsiaTheme="minorEastAsia"/>
          <w:b/>
          <w:bCs/>
          <w:color w:val="7030A0"/>
        </w:rPr>
      </w:pPr>
    </w:p>
    <w:p w14:paraId="7C226BFA" w14:textId="4E7DD898" w:rsidR="00AF6702" w:rsidRPr="00702882" w:rsidRDefault="00AF6702" w:rsidP="00C66AC4">
      <w:pPr>
        <w:spacing w:before="240" w:line="480" w:lineRule="auto"/>
        <w:contextualSpacing/>
        <w:jc w:val="center"/>
        <w:rPr>
          <w:rFonts w:eastAsiaTheme="minorEastAsia"/>
          <w:b/>
          <w:bCs/>
        </w:rPr>
      </w:pPr>
      <w:bookmarkStart w:id="58" w:name="_Hlk161609197"/>
      <w:r w:rsidRPr="00702882">
        <w:rPr>
          <w:rFonts w:eastAsiaTheme="minorEastAsia"/>
          <w:b/>
        </w:rPr>
        <w:lastRenderedPageBreak/>
        <w:t>Table 1</w:t>
      </w:r>
      <w:r w:rsidR="00B86C9D" w:rsidRPr="00702882">
        <w:rPr>
          <w:rFonts w:eastAsiaTheme="minorEastAsia"/>
          <w:b/>
        </w:rPr>
        <w:t>5</w:t>
      </w:r>
      <w:r w:rsidRPr="00702882">
        <w:rPr>
          <w:rFonts w:eastAsiaTheme="minorEastAsia"/>
          <w:b/>
        </w:rPr>
        <w:t xml:space="preserve">. </w:t>
      </w:r>
      <w:r w:rsidRPr="00702882">
        <w:rPr>
          <w:rFonts w:eastAsiaTheme="minorEastAsia"/>
          <w:b/>
          <w:bCs/>
        </w:rPr>
        <w:t>Fixed Effects</w:t>
      </w:r>
      <w:r w:rsidRPr="00702882">
        <w:rPr>
          <w:b/>
          <w:bCs/>
        </w:rPr>
        <w:t xml:space="preserve"> Models</w:t>
      </w:r>
      <w:r w:rsidRPr="00702882">
        <w:rPr>
          <w:rFonts w:eastAsiaTheme="minorEastAsia"/>
          <w:b/>
          <w:bCs/>
        </w:rPr>
        <w:t xml:space="preserve"> with Reduced Variables</w:t>
      </w:r>
    </w:p>
    <w:p w14:paraId="4F9543E4" w14:textId="77777777" w:rsidR="00AF6702" w:rsidRPr="00702882" w:rsidRDefault="00AF6702" w:rsidP="00C66AC4">
      <w:pPr>
        <w:spacing w:before="240" w:line="480" w:lineRule="auto"/>
        <w:contextualSpacing/>
        <w:jc w:val="center"/>
        <w:rPr>
          <w:rFonts w:eastAsiaTheme="minorEastAsia"/>
          <w:b/>
          <w:bCs/>
        </w:rPr>
      </w:pPr>
      <w:r w:rsidRPr="00702882">
        <w:rPr>
          <w:b/>
          <w:bCs/>
        </w:rPr>
        <w:t xml:space="preserve">The Effects of BSF Structures on </w:t>
      </w:r>
      <w:r w:rsidRPr="00702882">
        <w:rPr>
          <w:rFonts w:eastAsiaTheme="minorEastAsia"/>
          <w:b/>
          <w:bCs/>
        </w:rPr>
        <w:t>GFB</w:t>
      </w:r>
      <w:r w:rsidRPr="00702882">
        <w:rPr>
          <w:b/>
          <w:bCs/>
        </w:rPr>
        <w:t xml:space="preserve"> Levels</w:t>
      </w:r>
    </w:p>
    <w:tbl>
      <w:tblPr>
        <w:tblW w:w="0" w:type="auto"/>
        <w:tblBorders>
          <w:top w:val="single" w:sz="12" w:space="0" w:color="000000"/>
        </w:tblBorders>
        <w:tblCellMar>
          <w:top w:w="15" w:type="dxa"/>
          <w:left w:w="15" w:type="dxa"/>
          <w:bottom w:w="15" w:type="dxa"/>
          <w:right w:w="15" w:type="dxa"/>
        </w:tblCellMar>
        <w:tblLook w:val="04A0" w:firstRow="1" w:lastRow="0" w:firstColumn="1" w:lastColumn="0" w:noHBand="0" w:noVBand="1"/>
      </w:tblPr>
      <w:tblGrid>
        <w:gridCol w:w="3250"/>
        <w:gridCol w:w="1295"/>
        <w:gridCol w:w="1295"/>
        <w:gridCol w:w="1295"/>
        <w:gridCol w:w="1295"/>
      </w:tblGrid>
      <w:tr w:rsidR="00B86C9D" w:rsidRPr="00702882" w14:paraId="2F33EC5C" w14:textId="77777777" w:rsidTr="00AE6820">
        <w:trPr>
          <w:tblHeader/>
        </w:trPr>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2C5A553A" w14:textId="77777777" w:rsidR="00AF6702" w:rsidRPr="00702882" w:rsidRDefault="00AF6702" w:rsidP="005C1AFD">
            <w:pPr>
              <w:spacing w:before="150" w:after="150"/>
              <w:contextualSpacing/>
              <w:jc w:val="center"/>
              <w:rPr>
                <w:b/>
                <w:bCs/>
                <w:sz w:val="20"/>
                <w:szCs w:val="20"/>
              </w:rPr>
            </w:pPr>
            <w:bookmarkStart w:id="59" w:name="_Hlk161795718"/>
            <w:bookmarkEnd w:id="58"/>
            <w:r w:rsidRPr="00702882">
              <w:rPr>
                <w:b/>
                <w:bCs/>
                <w:sz w:val="20"/>
                <w:szCs w:val="20"/>
              </w:rPr>
              <w:t> </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20844BEB" w14:textId="77777777" w:rsidR="00AF6702" w:rsidRPr="00702882" w:rsidRDefault="00AF6702" w:rsidP="005C1AFD">
            <w:pPr>
              <w:spacing w:before="150" w:after="150"/>
              <w:contextualSpacing/>
              <w:jc w:val="center"/>
              <w:rPr>
                <w:b/>
                <w:bCs/>
                <w:sz w:val="20"/>
                <w:szCs w:val="20"/>
              </w:rPr>
            </w:pPr>
            <w:r w:rsidRPr="00702882">
              <w:rPr>
                <w:b/>
                <w:bCs/>
                <w:sz w:val="20"/>
                <w:szCs w:val="20"/>
              </w:rPr>
              <w:t>Model 1</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0E61328B" w14:textId="77777777" w:rsidR="00AF6702" w:rsidRPr="00702882" w:rsidRDefault="00AF6702" w:rsidP="005C1AFD">
            <w:pPr>
              <w:spacing w:before="150" w:after="150"/>
              <w:contextualSpacing/>
              <w:jc w:val="center"/>
              <w:rPr>
                <w:b/>
                <w:bCs/>
                <w:sz w:val="20"/>
                <w:szCs w:val="20"/>
              </w:rPr>
            </w:pPr>
            <w:r w:rsidRPr="00702882">
              <w:rPr>
                <w:b/>
                <w:bCs/>
                <w:sz w:val="20"/>
                <w:szCs w:val="20"/>
              </w:rPr>
              <w:t>Model 2</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41DCAC81" w14:textId="77777777" w:rsidR="00AF6702" w:rsidRPr="00702882" w:rsidRDefault="00AF6702" w:rsidP="005C1AFD">
            <w:pPr>
              <w:spacing w:before="150" w:after="150"/>
              <w:contextualSpacing/>
              <w:jc w:val="center"/>
              <w:rPr>
                <w:b/>
                <w:bCs/>
                <w:sz w:val="20"/>
                <w:szCs w:val="20"/>
              </w:rPr>
            </w:pPr>
            <w:r w:rsidRPr="00702882">
              <w:rPr>
                <w:b/>
                <w:bCs/>
                <w:sz w:val="20"/>
                <w:szCs w:val="20"/>
              </w:rPr>
              <w:t>Model 3</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49D29892" w14:textId="77777777" w:rsidR="00AF6702" w:rsidRPr="00702882" w:rsidRDefault="00AF6702" w:rsidP="005C1AFD">
            <w:pPr>
              <w:spacing w:before="150" w:after="150"/>
              <w:contextualSpacing/>
              <w:jc w:val="center"/>
              <w:rPr>
                <w:b/>
                <w:bCs/>
                <w:sz w:val="20"/>
                <w:szCs w:val="20"/>
              </w:rPr>
            </w:pPr>
            <w:r w:rsidRPr="00702882">
              <w:rPr>
                <w:b/>
                <w:bCs/>
                <w:sz w:val="20"/>
                <w:szCs w:val="20"/>
              </w:rPr>
              <w:t>Model 4</w:t>
            </w:r>
          </w:p>
        </w:tc>
      </w:tr>
      <w:tr w:rsidR="00B86C9D" w:rsidRPr="00702882" w14:paraId="2AB2A2EE" w14:textId="77777777" w:rsidTr="00AE6820">
        <w:tc>
          <w:tcPr>
            <w:tcW w:w="0" w:type="auto"/>
            <w:tcBorders>
              <w:top w:val="single" w:sz="8" w:space="0" w:color="auto"/>
            </w:tcBorders>
            <w:tcMar>
              <w:top w:w="15" w:type="dxa"/>
              <w:left w:w="75" w:type="dxa"/>
              <w:bottom w:w="15" w:type="dxa"/>
              <w:right w:w="75" w:type="dxa"/>
            </w:tcMar>
            <w:vAlign w:val="center"/>
            <w:hideMark/>
          </w:tcPr>
          <w:p w14:paraId="75FF5EA9" w14:textId="77777777" w:rsidR="00AF6702" w:rsidRPr="00702882" w:rsidRDefault="00AF6702" w:rsidP="005C1AFD">
            <w:pPr>
              <w:spacing w:before="150" w:after="150"/>
              <w:contextualSpacing/>
              <w:rPr>
                <w:sz w:val="20"/>
                <w:szCs w:val="20"/>
              </w:rPr>
            </w:pPr>
            <w:r w:rsidRPr="00702882">
              <w:rPr>
                <w:sz w:val="20"/>
                <w:szCs w:val="20"/>
              </w:rPr>
              <w:t>BSF_percent_lag</w:t>
            </w:r>
          </w:p>
        </w:tc>
        <w:tc>
          <w:tcPr>
            <w:tcW w:w="0" w:type="auto"/>
            <w:tcBorders>
              <w:top w:val="single" w:sz="8" w:space="0" w:color="auto"/>
            </w:tcBorders>
            <w:tcMar>
              <w:top w:w="15" w:type="dxa"/>
              <w:left w:w="75" w:type="dxa"/>
              <w:bottom w:w="15" w:type="dxa"/>
              <w:right w:w="75" w:type="dxa"/>
            </w:tcMar>
            <w:vAlign w:val="center"/>
            <w:hideMark/>
          </w:tcPr>
          <w:p w14:paraId="60DF600B" w14:textId="77777777" w:rsidR="00AF6702" w:rsidRPr="00702882" w:rsidRDefault="00AF6702" w:rsidP="005C1AFD">
            <w:pPr>
              <w:spacing w:before="150" w:after="150"/>
              <w:contextualSpacing/>
              <w:rPr>
                <w:sz w:val="20"/>
                <w:szCs w:val="20"/>
              </w:rPr>
            </w:pPr>
            <w:r w:rsidRPr="00702882">
              <w:rPr>
                <w:sz w:val="20"/>
                <w:szCs w:val="20"/>
              </w:rPr>
              <w:t>0.20 (0.10)</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74748080" w14:textId="77777777" w:rsidR="00AF6702" w:rsidRPr="00702882" w:rsidRDefault="00AF6702" w:rsidP="005C1AFD">
            <w:pPr>
              <w:spacing w:before="150" w:after="150"/>
              <w:contextualSpacing/>
              <w:rPr>
                <w:sz w:val="20"/>
                <w:szCs w:val="20"/>
              </w:rPr>
            </w:pPr>
            <w:r w:rsidRPr="00702882">
              <w:rPr>
                <w:sz w:val="20"/>
                <w:szCs w:val="20"/>
              </w:rPr>
              <w:t>0.20 (0.09)</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3472AE07" w14:textId="77777777" w:rsidR="00AF6702" w:rsidRPr="00702882" w:rsidRDefault="00AF6702" w:rsidP="005C1AFD">
            <w:pPr>
              <w:spacing w:before="150" w:after="150"/>
              <w:contextualSpacing/>
              <w:rPr>
                <w:sz w:val="20"/>
                <w:szCs w:val="20"/>
              </w:rPr>
            </w:pPr>
            <w:r w:rsidRPr="00702882">
              <w:rPr>
                <w:sz w:val="20"/>
                <w:szCs w:val="20"/>
              </w:rPr>
              <w:t>0.21 (0.09)</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2E8B2261" w14:textId="77777777" w:rsidR="00AF6702" w:rsidRPr="00702882" w:rsidRDefault="00AF6702" w:rsidP="005C1AFD">
            <w:pPr>
              <w:spacing w:before="150" w:after="150"/>
              <w:contextualSpacing/>
              <w:rPr>
                <w:sz w:val="20"/>
                <w:szCs w:val="20"/>
              </w:rPr>
            </w:pPr>
            <w:r w:rsidRPr="00702882">
              <w:rPr>
                <w:sz w:val="20"/>
                <w:szCs w:val="20"/>
              </w:rPr>
              <w:t>0.21 (0.09)</w:t>
            </w:r>
            <w:r w:rsidRPr="00702882">
              <w:rPr>
                <w:sz w:val="20"/>
                <w:szCs w:val="20"/>
                <w:vertAlign w:val="superscript"/>
              </w:rPr>
              <w:t>**</w:t>
            </w:r>
          </w:p>
        </w:tc>
      </w:tr>
      <w:tr w:rsidR="00B86C9D" w:rsidRPr="00702882" w14:paraId="5F48332F" w14:textId="77777777" w:rsidTr="00AE6820">
        <w:tc>
          <w:tcPr>
            <w:tcW w:w="0" w:type="auto"/>
            <w:tcMar>
              <w:top w:w="15" w:type="dxa"/>
              <w:left w:w="75" w:type="dxa"/>
              <w:bottom w:w="15" w:type="dxa"/>
              <w:right w:w="75" w:type="dxa"/>
            </w:tcMar>
            <w:vAlign w:val="center"/>
            <w:hideMark/>
          </w:tcPr>
          <w:p w14:paraId="22214713" w14:textId="77777777" w:rsidR="00AF6702" w:rsidRPr="00702882" w:rsidRDefault="00AF6702" w:rsidP="005C1AFD">
            <w:pPr>
              <w:spacing w:before="150" w:after="150"/>
              <w:contextualSpacing/>
              <w:rPr>
                <w:sz w:val="20"/>
                <w:szCs w:val="20"/>
              </w:rPr>
            </w:pPr>
            <w:r w:rsidRPr="00702882">
              <w:rPr>
                <w:sz w:val="20"/>
                <w:szCs w:val="20"/>
              </w:rPr>
              <w:t>Number</w:t>
            </w:r>
          </w:p>
        </w:tc>
        <w:tc>
          <w:tcPr>
            <w:tcW w:w="0" w:type="auto"/>
            <w:tcMar>
              <w:top w:w="15" w:type="dxa"/>
              <w:left w:w="75" w:type="dxa"/>
              <w:bottom w:w="15" w:type="dxa"/>
              <w:right w:w="75" w:type="dxa"/>
            </w:tcMar>
            <w:vAlign w:val="center"/>
            <w:hideMark/>
          </w:tcPr>
          <w:p w14:paraId="71B069BC" w14:textId="77777777" w:rsidR="00AF6702" w:rsidRPr="00702882" w:rsidRDefault="00AF6702" w:rsidP="005C1AFD">
            <w:pPr>
              <w:spacing w:before="150" w:after="150"/>
              <w:contextualSpacing/>
              <w:rPr>
                <w:sz w:val="20"/>
                <w:szCs w:val="20"/>
              </w:rPr>
            </w:pPr>
            <w:r w:rsidRPr="00702882">
              <w:rPr>
                <w:sz w:val="20"/>
                <w:szCs w:val="20"/>
              </w:rPr>
              <w:t>2.58 (0.72)</w:t>
            </w:r>
            <w:r w:rsidRPr="00702882">
              <w:rPr>
                <w:sz w:val="20"/>
                <w:szCs w:val="20"/>
                <w:vertAlign w:val="superscript"/>
              </w:rPr>
              <w:t>***</w:t>
            </w:r>
          </w:p>
        </w:tc>
        <w:tc>
          <w:tcPr>
            <w:tcW w:w="0" w:type="auto"/>
            <w:tcMar>
              <w:top w:w="15" w:type="dxa"/>
              <w:left w:w="75" w:type="dxa"/>
              <w:bottom w:w="15" w:type="dxa"/>
              <w:right w:w="75" w:type="dxa"/>
            </w:tcMar>
            <w:vAlign w:val="center"/>
            <w:hideMark/>
          </w:tcPr>
          <w:p w14:paraId="17D5363A" w14:textId="77777777" w:rsidR="00AF6702" w:rsidRPr="00702882" w:rsidRDefault="00AF6702" w:rsidP="005C1AFD">
            <w:pPr>
              <w:spacing w:before="150" w:after="150"/>
              <w:contextualSpacing/>
              <w:rPr>
                <w:sz w:val="20"/>
                <w:szCs w:val="20"/>
              </w:rPr>
            </w:pPr>
            <w:r w:rsidRPr="00702882">
              <w:rPr>
                <w:sz w:val="20"/>
                <w:szCs w:val="20"/>
              </w:rPr>
              <w:t>0.72 (1.87)</w:t>
            </w:r>
          </w:p>
        </w:tc>
        <w:tc>
          <w:tcPr>
            <w:tcW w:w="0" w:type="auto"/>
            <w:tcMar>
              <w:top w:w="15" w:type="dxa"/>
              <w:left w:w="75" w:type="dxa"/>
              <w:bottom w:w="15" w:type="dxa"/>
              <w:right w:w="75" w:type="dxa"/>
            </w:tcMar>
            <w:vAlign w:val="center"/>
            <w:hideMark/>
          </w:tcPr>
          <w:p w14:paraId="698E1C52" w14:textId="77777777" w:rsidR="00AF6702" w:rsidRPr="00702882" w:rsidRDefault="00AF6702" w:rsidP="005C1AFD">
            <w:pPr>
              <w:spacing w:before="150" w:after="150"/>
              <w:contextualSpacing/>
              <w:rPr>
                <w:sz w:val="20"/>
                <w:szCs w:val="20"/>
              </w:rPr>
            </w:pPr>
            <w:r w:rsidRPr="00702882">
              <w:rPr>
                <w:sz w:val="20"/>
                <w:szCs w:val="20"/>
              </w:rPr>
              <w:t>2.61 (0.68)</w:t>
            </w:r>
            <w:r w:rsidRPr="00702882">
              <w:rPr>
                <w:sz w:val="20"/>
                <w:szCs w:val="20"/>
                <w:vertAlign w:val="superscript"/>
              </w:rPr>
              <w:t>***</w:t>
            </w:r>
          </w:p>
        </w:tc>
        <w:tc>
          <w:tcPr>
            <w:tcW w:w="0" w:type="auto"/>
            <w:tcMar>
              <w:top w:w="15" w:type="dxa"/>
              <w:left w:w="75" w:type="dxa"/>
              <w:bottom w:w="15" w:type="dxa"/>
              <w:right w:w="75" w:type="dxa"/>
            </w:tcMar>
            <w:vAlign w:val="center"/>
            <w:hideMark/>
          </w:tcPr>
          <w:p w14:paraId="0BE15A0C" w14:textId="77777777" w:rsidR="00AF6702" w:rsidRPr="00702882" w:rsidRDefault="00AF6702" w:rsidP="005C1AFD">
            <w:pPr>
              <w:spacing w:before="150" w:after="150"/>
              <w:contextualSpacing/>
              <w:rPr>
                <w:sz w:val="20"/>
                <w:szCs w:val="20"/>
              </w:rPr>
            </w:pPr>
            <w:r w:rsidRPr="00702882">
              <w:rPr>
                <w:sz w:val="20"/>
                <w:szCs w:val="20"/>
              </w:rPr>
              <w:t>2.61 (0.68)</w:t>
            </w:r>
            <w:r w:rsidRPr="00702882">
              <w:rPr>
                <w:sz w:val="20"/>
                <w:szCs w:val="20"/>
                <w:vertAlign w:val="superscript"/>
              </w:rPr>
              <w:t>***</w:t>
            </w:r>
          </w:p>
        </w:tc>
      </w:tr>
      <w:tr w:rsidR="00B86C9D" w:rsidRPr="00702882" w14:paraId="395358DE" w14:textId="77777777" w:rsidTr="00AE6820">
        <w:tc>
          <w:tcPr>
            <w:tcW w:w="0" w:type="auto"/>
            <w:tcMar>
              <w:top w:w="15" w:type="dxa"/>
              <w:left w:w="75" w:type="dxa"/>
              <w:bottom w:w="15" w:type="dxa"/>
              <w:right w:w="75" w:type="dxa"/>
            </w:tcMar>
            <w:vAlign w:val="center"/>
            <w:hideMark/>
          </w:tcPr>
          <w:p w14:paraId="6FE06E15" w14:textId="77777777" w:rsidR="00AF6702" w:rsidRPr="00702882" w:rsidRDefault="00AF6702" w:rsidP="005C1AFD">
            <w:pPr>
              <w:spacing w:before="150" w:after="150"/>
              <w:contextualSpacing/>
              <w:rPr>
                <w:sz w:val="20"/>
                <w:szCs w:val="20"/>
              </w:rPr>
            </w:pPr>
            <w:r w:rsidRPr="00702882">
              <w:rPr>
                <w:sz w:val="20"/>
                <w:szCs w:val="20"/>
              </w:rPr>
              <w:t>Source_percent</w:t>
            </w:r>
          </w:p>
        </w:tc>
        <w:tc>
          <w:tcPr>
            <w:tcW w:w="0" w:type="auto"/>
            <w:tcMar>
              <w:top w:w="15" w:type="dxa"/>
              <w:left w:w="75" w:type="dxa"/>
              <w:bottom w:w="15" w:type="dxa"/>
              <w:right w:w="75" w:type="dxa"/>
            </w:tcMar>
            <w:vAlign w:val="center"/>
            <w:hideMark/>
          </w:tcPr>
          <w:p w14:paraId="0FEC1DEF" w14:textId="77777777" w:rsidR="00AF6702" w:rsidRPr="00702882" w:rsidRDefault="00AF6702" w:rsidP="005C1AFD">
            <w:pPr>
              <w:spacing w:before="150" w:after="150"/>
              <w:contextualSpacing/>
              <w:rPr>
                <w:sz w:val="20"/>
                <w:szCs w:val="20"/>
              </w:rPr>
            </w:pPr>
            <w:r w:rsidRPr="00702882">
              <w:rPr>
                <w:sz w:val="20"/>
                <w:szCs w:val="20"/>
              </w:rPr>
              <w:t>0.72 (0.58)</w:t>
            </w:r>
          </w:p>
        </w:tc>
        <w:tc>
          <w:tcPr>
            <w:tcW w:w="0" w:type="auto"/>
            <w:tcMar>
              <w:top w:w="15" w:type="dxa"/>
              <w:left w:w="75" w:type="dxa"/>
              <w:bottom w:w="15" w:type="dxa"/>
              <w:right w:w="75" w:type="dxa"/>
            </w:tcMar>
            <w:vAlign w:val="center"/>
            <w:hideMark/>
          </w:tcPr>
          <w:p w14:paraId="70450880" w14:textId="77777777" w:rsidR="00AF6702" w:rsidRPr="00702882" w:rsidRDefault="00AF6702" w:rsidP="005C1AFD">
            <w:pPr>
              <w:spacing w:before="150" w:after="150"/>
              <w:contextualSpacing/>
              <w:rPr>
                <w:sz w:val="20"/>
                <w:szCs w:val="20"/>
              </w:rPr>
            </w:pPr>
            <w:r w:rsidRPr="00702882">
              <w:rPr>
                <w:sz w:val="20"/>
                <w:szCs w:val="20"/>
              </w:rPr>
              <w:t>5.50 (1.08)</w:t>
            </w:r>
            <w:r w:rsidRPr="00702882">
              <w:rPr>
                <w:sz w:val="20"/>
                <w:szCs w:val="20"/>
                <w:vertAlign w:val="superscript"/>
              </w:rPr>
              <w:t>***</w:t>
            </w:r>
          </w:p>
        </w:tc>
        <w:tc>
          <w:tcPr>
            <w:tcW w:w="0" w:type="auto"/>
            <w:tcMar>
              <w:top w:w="15" w:type="dxa"/>
              <w:left w:w="75" w:type="dxa"/>
              <w:bottom w:w="15" w:type="dxa"/>
              <w:right w:w="75" w:type="dxa"/>
            </w:tcMar>
            <w:vAlign w:val="center"/>
            <w:hideMark/>
          </w:tcPr>
          <w:p w14:paraId="23641CEC" w14:textId="77777777" w:rsidR="00AF6702" w:rsidRPr="00702882" w:rsidRDefault="00AF6702" w:rsidP="005C1AFD">
            <w:pPr>
              <w:spacing w:before="150" w:after="150"/>
              <w:contextualSpacing/>
              <w:rPr>
                <w:sz w:val="20"/>
                <w:szCs w:val="20"/>
              </w:rPr>
            </w:pPr>
            <w:r w:rsidRPr="00702882">
              <w:rPr>
                <w:sz w:val="20"/>
                <w:szCs w:val="20"/>
              </w:rPr>
              <w:t>5.65 (1.13)</w:t>
            </w:r>
            <w:r w:rsidRPr="00702882">
              <w:rPr>
                <w:sz w:val="20"/>
                <w:szCs w:val="20"/>
                <w:vertAlign w:val="superscript"/>
              </w:rPr>
              <w:t>***</w:t>
            </w:r>
          </w:p>
        </w:tc>
        <w:tc>
          <w:tcPr>
            <w:tcW w:w="0" w:type="auto"/>
            <w:tcMar>
              <w:top w:w="15" w:type="dxa"/>
              <w:left w:w="75" w:type="dxa"/>
              <w:bottom w:w="15" w:type="dxa"/>
              <w:right w:w="75" w:type="dxa"/>
            </w:tcMar>
            <w:vAlign w:val="center"/>
            <w:hideMark/>
          </w:tcPr>
          <w:p w14:paraId="52B65E7A" w14:textId="77777777" w:rsidR="00AF6702" w:rsidRPr="00702882" w:rsidRDefault="00AF6702" w:rsidP="005C1AFD">
            <w:pPr>
              <w:spacing w:before="150" w:after="150"/>
              <w:contextualSpacing/>
              <w:rPr>
                <w:sz w:val="20"/>
                <w:szCs w:val="20"/>
              </w:rPr>
            </w:pPr>
            <w:r w:rsidRPr="00702882">
              <w:rPr>
                <w:sz w:val="20"/>
                <w:szCs w:val="20"/>
              </w:rPr>
              <w:t>5.65 (1.13)</w:t>
            </w:r>
            <w:r w:rsidRPr="00702882">
              <w:rPr>
                <w:sz w:val="20"/>
                <w:szCs w:val="20"/>
                <w:vertAlign w:val="superscript"/>
              </w:rPr>
              <w:t>***</w:t>
            </w:r>
          </w:p>
        </w:tc>
      </w:tr>
      <w:tr w:rsidR="00B86C9D" w:rsidRPr="00702882" w14:paraId="4FF6C6B1" w14:textId="77777777" w:rsidTr="00AE6820">
        <w:tc>
          <w:tcPr>
            <w:tcW w:w="0" w:type="auto"/>
            <w:tcMar>
              <w:top w:w="15" w:type="dxa"/>
              <w:left w:w="75" w:type="dxa"/>
              <w:bottom w:w="15" w:type="dxa"/>
              <w:right w:w="75" w:type="dxa"/>
            </w:tcMar>
            <w:vAlign w:val="center"/>
            <w:hideMark/>
          </w:tcPr>
          <w:p w14:paraId="4D8521BA" w14:textId="77777777" w:rsidR="00AF6702" w:rsidRPr="00702882" w:rsidRDefault="00AF6702" w:rsidP="005C1AFD">
            <w:pPr>
              <w:spacing w:before="150" w:after="150"/>
              <w:contextualSpacing/>
              <w:rPr>
                <w:sz w:val="20"/>
                <w:szCs w:val="20"/>
              </w:rPr>
            </w:pPr>
            <w:r w:rsidRPr="00702882">
              <w:rPr>
                <w:sz w:val="20"/>
                <w:szCs w:val="20"/>
              </w:rPr>
              <w:t>Cap_percent</w:t>
            </w:r>
          </w:p>
        </w:tc>
        <w:tc>
          <w:tcPr>
            <w:tcW w:w="0" w:type="auto"/>
            <w:tcMar>
              <w:top w:w="15" w:type="dxa"/>
              <w:left w:w="75" w:type="dxa"/>
              <w:bottom w:w="15" w:type="dxa"/>
              <w:right w:w="75" w:type="dxa"/>
            </w:tcMar>
            <w:vAlign w:val="center"/>
            <w:hideMark/>
          </w:tcPr>
          <w:p w14:paraId="076BB7B0" w14:textId="77777777" w:rsidR="00AF6702" w:rsidRPr="00702882" w:rsidRDefault="00AF6702" w:rsidP="005C1AFD">
            <w:pPr>
              <w:spacing w:before="150" w:after="150"/>
              <w:contextualSpacing/>
              <w:rPr>
                <w:sz w:val="20"/>
                <w:szCs w:val="20"/>
              </w:rPr>
            </w:pPr>
            <w:r w:rsidRPr="00702882">
              <w:rPr>
                <w:sz w:val="20"/>
                <w:szCs w:val="20"/>
              </w:rPr>
              <w:t>-0.10 (0.17)</w:t>
            </w:r>
          </w:p>
        </w:tc>
        <w:tc>
          <w:tcPr>
            <w:tcW w:w="0" w:type="auto"/>
            <w:tcMar>
              <w:top w:w="15" w:type="dxa"/>
              <w:left w:w="75" w:type="dxa"/>
              <w:bottom w:w="15" w:type="dxa"/>
              <w:right w:w="75" w:type="dxa"/>
            </w:tcMar>
            <w:vAlign w:val="center"/>
            <w:hideMark/>
          </w:tcPr>
          <w:p w14:paraId="4A72899E" w14:textId="77777777" w:rsidR="00AF6702" w:rsidRPr="00702882" w:rsidRDefault="00AF6702" w:rsidP="005C1AFD">
            <w:pPr>
              <w:spacing w:before="150" w:after="150"/>
              <w:contextualSpacing/>
              <w:rPr>
                <w:sz w:val="20"/>
                <w:szCs w:val="20"/>
              </w:rPr>
            </w:pPr>
            <w:r w:rsidRPr="00702882">
              <w:rPr>
                <w:sz w:val="20"/>
                <w:szCs w:val="20"/>
              </w:rPr>
              <w:t>-0.19 (0.17)</w:t>
            </w:r>
          </w:p>
        </w:tc>
        <w:tc>
          <w:tcPr>
            <w:tcW w:w="0" w:type="auto"/>
            <w:tcMar>
              <w:top w:w="15" w:type="dxa"/>
              <w:left w:w="75" w:type="dxa"/>
              <w:bottom w:w="15" w:type="dxa"/>
              <w:right w:w="75" w:type="dxa"/>
            </w:tcMar>
            <w:vAlign w:val="center"/>
            <w:hideMark/>
          </w:tcPr>
          <w:p w14:paraId="27165275" w14:textId="77777777" w:rsidR="00AF6702" w:rsidRPr="00702882" w:rsidRDefault="00AF6702" w:rsidP="005C1AFD">
            <w:pPr>
              <w:spacing w:before="150" w:after="150"/>
              <w:contextualSpacing/>
              <w:rPr>
                <w:sz w:val="20"/>
                <w:szCs w:val="20"/>
              </w:rPr>
            </w:pPr>
            <w:r w:rsidRPr="00702882">
              <w:rPr>
                <w:sz w:val="20"/>
                <w:szCs w:val="20"/>
              </w:rPr>
              <w:t>-0.15 (0.16)</w:t>
            </w:r>
          </w:p>
        </w:tc>
        <w:tc>
          <w:tcPr>
            <w:tcW w:w="0" w:type="auto"/>
            <w:tcMar>
              <w:top w:w="15" w:type="dxa"/>
              <w:left w:w="75" w:type="dxa"/>
              <w:bottom w:w="15" w:type="dxa"/>
              <w:right w:w="75" w:type="dxa"/>
            </w:tcMar>
            <w:vAlign w:val="center"/>
            <w:hideMark/>
          </w:tcPr>
          <w:p w14:paraId="1E66271A" w14:textId="77777777" w:rsidR="00AF6702" w:rsidRPr="00702882" w:rsidRDefault="00AF6702" w:rsidP="005C1AFD">
            <w:pPr>
              <w:spacing w:before="150" w:after="150"/>
              <w:contextualSpacing/>
              <w:rPr>
                <w:sz w:val="20"/>
                <w:szCs w:val="20"/>
              </w:rPr>
            </w:pPr>
            <w:r w:rsidRPr="00702882">
              <w:rPr>
                <w:sz w:val="20"/>
                <w:szCs w:val="20"/>
              </w:rPr>
              <w:t>-0.15 (0.16)</w:t>
            </w:r>
          </w:p>
        </w:tc>
      </w:tr>
      <w:tr w:rsidR="00B86C9D" w:rsidRPr="00702882" w14:paraId="1DB7B003" w14:textId="77777777" w:rsidTr="00AE6820">
        <w:tc>
          <w:tcPr>
            <w:tcW w:w="0" w:type="auto"/>
            <w:tcMar>
              <w:top w:w="15" w:type="dxa"/>
              <w:left w:w="75" w:type="dxa"/>
              <w:bottom w:w="15" w:type="dxa"/>
              <w:right w:w="75" w:type="dxa"/>
            </w:tcMar>
            <w:vAlign w:val="center"/>
            <w:hideMark/>
          </w:tcPr>
          <w:p w14:paraId="4931619F" w14:textId="77777777" w:rsidR="00AF6702" w:rsidRPr="00702882" w:rsidRDefault="00AF6702" w:rsidP="005C1AFD">
            <w:pPr>
              <w:spacing w:before="150" w:after="150"/>
              <w:contextualSpacing/>
              <w:rPr>
                <w:sz w:val="20"/>
                <w:szCs w:val="20"/>
              </w:rPr>
            </w:pPr>
            <w:r w:rsidRPr="00702882">
              <w:rPr>
                <w:sz w:val="20"/>
                <w:szCs w:val="20"/>
              </w:rPr>
              <w:t>DepoSurplus_numeric</w:t>
            </w:r>
          </w:p>
        </w:tc>
        <w:tc>
          <w:tcPr>
            <w:tcW w:w="0" w:type="auto"/>
            <w:tcMar>
              <w:top w:w="15" w:type="dxa"/>
              <w:left w:w="75" w:type="dxa"/>
              <w:bottom w:w="15" w:type="dxa"/>
              <w:right w:w="75" w:type="dxa"/>
            </w:tcMar>
            <w:vAlign w:val="center"/>
            <w:hideMark/>
          </w:tcPr>
          <w:p w14:paraId="067AEB21" w14:textId="77777777" w:rsidR="00AF6702" w:rsidRPr="00702882" w:rsidRDefault="00AF6702" w:rsidP="005C1AFD">
            <w:pPr>
              <w:spacing w:before="150" w:after="150"/>
              <w:contextualSpacing/>
              <w:rPr>
                <w:sz w:val="20"/>
                <w:szCs w:val="20"/>
              </w:rPr>
            </w:pPr>
            <w:r w:rsidRPr="00702882">
              <w:rPr>
                <w:sz w:val="20"/>
                <w:szCs w:val="20"/>
              </w:rPr>
              <w:t>-2.33 (1.33)</w:t>
            </w:r>
            <w:r w:rsidRPr="00702882">
              <w:rPr>
                <w:sz w:val="20"/>
                <w:szCs w:val="20"/>
                <w:vertAlign w:val="superscript"/>
              </w:rPr>
              <w:t>*</w:t>
            </w:r>
          </w:p>
        </w:tc>
        <w:tc>
          <w:tcPr>
            <w:tcW w:w="0" w:type="auto"/>
            <w:tcMar>
              <w:top w:w="15" w:type="dxa"/>
              <w:left w:w="75" w:type="dxa"/>
              <w:bottom w:w="15" w:type="dxa"/>
              <w:right w:w="75" w:type="dxa"/>
            </w:tcMar>
            <w:vAlign w:val="center"/>
            <w:hideMark/>
          </w:tcPr>
          <w:p w14:paraId="349B06B7" w14:textId="77777777" w:rsidR="00AF6702" w:rsidRPr="00702882" w:rsidRDefault="00AF6702" w:rsidP="005C1AFD">
            <w:pPr>
              <w:spacing w:before="150" w:after="150"/>
              <w:contextualSpacing/>
              <w:rPr>
                <w:sz w:val="20"/>
                <w:szCs w:val="20"/>
              </w:rPr>
            </w:pPr>
            <w:r w:rsidRPr="00702882">
              <w:rPr>
                <w:sz w:val="20"/>
                <w:szCs w:val="20"/>
              </w:rPr>
              <w:t>1.39 (1.67)</w:t>
            </w:r>
          </w:p>
        </w:tc>
        <w:tc>
          <w:tcPr>
            <w:tcW w:w="0" w:type="auto"/>
            <w:tcMar>
              <w:top w:w="15" w:type="dxa"/>
              <w:left w:w="75" w:type="dxa"/>
              <w:bottom w:w="15" w:type="dxa"/>
              <w:right w:w="75" w:type="dxa"/>
            </w:tcMar>
            <w:vAlign w:val="center"/>
            <w:hideMark/>
          </w:tcPr>
          <w:p w14:paraId="3A5D5706" w14:textId="77777777" w:rsidR="00AF6702" w:rsidRPr="00702882" w:rsidRDefault="00AF6702" w:rsidP="005C1AFD">
            <w:pPr>
              <w:spacing w:before="150" w:after="150"/>
              <w:contextualSpacing/>
              <w:rPr>
                <w:sz w:val="20"/>
                <w:szCs w:val="20"/>
              </w:rPr>
            </w:pPr>
            <w:r w:rsidRPr="00702882">
              <w:rPr>
                <w:sz w:val="20"/>
                <w:szCs w:val="20"/>
              </w:rPr>
              <w:t>-1.08 (1.75)</w:t>
            </w:r>
          </w:p>
        </w:tc>
        <w:tc>
          <w:tcPr>
            <w:tcW w:w="0" w:type="auto"/>
            <w:tcMar>
              <w:top w:w="15" w:type="dxa"/>
              <w:left w:w="75" w:type="dxa"/>
              <w:bottom w:w="15" w:type="dxa"/>
              <w:right w:w="75" w:type="dxa"/>
            </w:tcMar>
            <w:vAlign w:val="center"/>
            <w:hideMark/>
          </w:tcPr>
          <w:p w14:paraId="29E05207" w14:textId="77777777" w:rsidR="00AF6702" w:rsidRPr="00702882" w:rsidRDefault="00AF6702" w:rsidP="005C1AFD">
            <w:pPr>
              <w:spacing w:before="150" w:after="150"/>
              <w:contextualSpacing/>
              <w:rPr>
                <w:sz w:val="20"/>
                <w:szCs w:val="20"/>
              </w:rPr>
            </w:pPr>
            <w:r w:rsidRPr="00702882">
              <w:rPr>
                <w:sz w:val="20"/>
                <w:szCs w:val="20"/>
              </w:rPr>
              <w:t>-1.08 (1.75)</w:t>
            </w:r>
          </w:p>
        </w:tc>
      </w:tr>
      <w:tr w:rsidR="00B86C9D" w:rsidRPr="00702882" w14:paraId="2595210C" w14:textId="77777777" w:rsidTr="00AE6820">
        <w:tc>
          <w:tcPr>
            <w:tcW w:w="0" w:type="auto"/>
            <w:tcMar>
              <w:top w:w="15" w:type="dxa"/>
              <w:left w:w="75" w:type="dxa"/>
              <w:bottom w:w="15" w:type="dxa"/>
              <w:right w:w="75" w:type="dxa"/>
            </w:tcMar>
            <w:vAlign w:val="center"/>
            <w:hideMark/>
          </w:tcPr>
          <w:p w14:paraId="2AE811EC" w14:textId="77777777" w:rsidR="00AF6702" w:rsidRPr="00702882" w:rsidRDefault="00AF6702" w:rsidP="005C1AFD">
            <w:pPr>
              <w:spacing w:before="150" w:after="150"/>
              <w:contextualSpacing/>
              <w:rPr>
                <w:sz w:val="20"/>
                <w:szCs w:val="20"/>
              </w:rPr>
            </w:pPr>
            <w:r w:rsidRPr="00702882">
              <w:rPr>
                <w:sz w:val="20"/>
                <w:szCs w:val="20"/>
              </w:rPr>
              <w:t>WithVol</w:t>
            </w:r>
          </w:p>
        </w:tc>
        <w:tc>
          <w:tcPr>
            <w:tcW w:w="0" w:type="auto"/>
            <w:tcMar>
              <w:top w:w="15" w:type="dxa"/>
              <w:left w:w="75" w:type="dxa"/>
              <w:bottom w:w="15" w:type="dxa"/>
              <w:right w:w="75" w:type="dxa"/>
            </w:tcMar>
            <w:vAlign w:val="center"/>
            <w:hideMark/>
          </w:tcPr>
          <w:p w14:paraId="2404525E" w14:textId="77777777" w:rsidR="00AF6702" w:rsidRPr="00702882" w:rsidRDefault="00AF6702" w:rsidP="005C1AFD">
            <w:pPr>
              <w:spacing w:before="150" w:after="150"/>
              <w:contextualSpacing/>
              <w:rPr>
                <w:sz w:val="20"/>
                <w:szCs w:val="20"/>
              </w:rPr>
            </w:pPr>
            <w:r w:rsidRPr="00702882">
              <w:rPr>
                <w:sz w:val="20"/>
                <w:szCs w:val="20"/>
              </w:rPr>
              <w:t>-2.02 (1.44)</w:t>
            </w:r>
          </w:p>
        </w:tc>
        <w:tc>
          <w:tcPr>
            <w:tcW w:w="0" w:type="auto"/>
            <w:tcMar>
              <w:top w:w="15" w:type="dxa"/>
              <w:left w:w="75" w:type="dxa"/>
              <w:bottom w:w="15" w:type="dxa"/>
              <w:right w:w="75" w:type="dxa"/>
            </w:tcMar>
            <w:vAlign w:val="center"/>
            <w:hideMark/>
          </w:tcPr>
          <w:p w14:paraId="54D8AC80" w14:textId="77777777" w:rsidR="00AF6702" w:rsidRPr="00702882" w:rsidRDefault="00AF6702" w:rsidP="005C1AFD">
            <w:pPr>
              <w:spacing w:before="150" w:after="150"/>
              <w:contextualSpacing/>
              <w:rPr>
                <w:sz w:val="20"/>
                <w:szCs w:val="20"/>
              </w:rPr>
            </w:pPr>
            <w:r w:rsidRPr="00702882">
              <w:rPr>
                <w:sz w:val="20"/>
                <w:szCs w:val="20"/>
              </w:rPr>
              <w:t>-3.54 (2.55)</w:t>
            </w:r>
          </w:p>
        </w:tc>
        <w:tc>
          <w:tcPr>
            <w:tcW w:w="0" w:type="auto"/>
            <w:tcMar>
              <w:top w:w="15" w:type="dxa"/>
              <w:left w:w="75" w:type="dxa"/>
              <w:bottom w:w="15" w:type="dxa"/>
              <w:right w:w="75" w:type="dxa"/>
            </w:tcMar>
            <w:vAlign w:val="center"/>
            <w:hideMark/>
          </w:tcPr>
          <w:p w14:paraId="175E87DD" w14:textId="77777777" w:rsidR="00AF6702" w:rsidRPr="00702882" w:rsidRDefault="00AF6702" w:rsidP="005C1AFD">
            <w:pPr>
              <w:spacing w:before="150" w:after="150"/>
              <w:contextualSpacing/>
              <w:rPr>
                <w:sz w:val="20"/>
                <w:szCs w:val="20"/>
              </w:rPr>
            </w:pPr>
            <w:r w:rsidRPr="00702882">
              <w:rPr>
                <w:sz w:val="20"/>
                <w:szCs w:val="20"/>
              </w:rPr>
              <w:t>-3.63 (1.14)</w:t>
            </w:r>
            <w:r w:rsidRPr="00702882">
              <w:rPr>
                <w:sz w:val="20"/>
                <w:szCs w:val="20"/>
                <w:vertAlign w:val="superscript"/>
              </w:rPr>
              <w:t>***</w:t>
            </w:r>
          </w:p>
        </w:tc>
        <w:tc>
          <w:tcPr>
            <w:tcW w:w="0" w:type="auto"/>
            <w:tcMar>
              <w:top w:w="15" w:type="dxa"/>
              <w:left w:w="75" w:type="dxa"/>
              <w:bottom w:w="15" w:type="dxa"/>
              <w:right w:w="75" w:type="dxa"/>
            </w:tcMar>
            <w:vAlign w:val="center"/>
            <w:hideMark/>
          </w:tcPr>
          <w:p w14:paraId="208EE934" w14:textId="77777777" w:rsidR="00AF6702" w:rsidRPr="00702882" w:rsidRDefault="00AF6702" w:rsidP="005C1AFD">
            <w:pPr>
              <w:spacing w:before="150" w:after="150"/>
              <w:contextualSpacing/>
              <w:rPr>
                <w:sz w:val="20"/>
                <w:szCs w:val="20"/>
              </w:rPr>
            </w:pPr>
            <w:r w:rsidRPr="00702882">
              <w:rPr>
                <w:sz w:val="20"/>
                <w:szCs w:val="20"/>
              </w:rPr>
              <w:t>-3.63 (1.14)</w:t>
            </w:r>
            <w:r w:rsidRPr="00702882">
              <w:rPr>
                <w:sz w:val="20"/>
                <w:szCs w:val="20"/>
                <w:vertAlign w:val="superscript"/>
              </w:rPr>
              <w:t>***</w:t>
            </w:r>
          </w:p>
        </w:tc>
      </w:tr>
      <w:tr w:rsidR="00B86C9D" w:rsidRPr="00702882" w14:paraId="647297B6" w14:textId="77777777" w:rsidTr="00AE6820">
        <w:tc>
          <w:tcPr>
            <w:tcW w:w="0" w:type="auto"/>
            <w:tcMar>
              <w:top w:w="15" w:type="dxa"/>
              <w:left w:w="75" w:type="dxa"/>
              <w:bottom w:w="15" w:type="dxa"/>
              <w:right w:w="75" w:type="dxa"/>
            </w:tcMar>
            <w:vAlign w:val="center"/>
            <w:hideMark/>
          </w:tcPr>
          <w:p w14:paraId="652182D4" w14:textId="77777777" w:rsidR="00AF6702" w:rsidRPr="00702882" w:rsidRDefault="00AF6702" w:rsidP="005C1AFD">
            <w:pPr>
              <w:spacing w:before="150" w:after="150"/>
              <w:contextualSpacing/>
              <w:rPr>
                <w:sz w:val="20"/>
                <w:szCs w:val="20"/>
              </w:rPr>
            </w:pPr>
            <w:r w:rsidRPr="00702882">
              <w:rPr>
                <w:sz w:val="20"/>
                <w:szCs w:val="20"/>
              </w:rPr>
              <w:t>WithLegis_numeric</w:t>
            </w:r>
          </w:p>
        </w:tc>
        <w:tc>
          <w:tcPr>
            <w:tcW w:w="0" w:type="auto"/>
            <w:tcMar>
              <w:top w:w="15" w:type="dxa"/>
              <w:left w:w="75" w:type="dxa"/>
              <w:bottom w:w="15" w:type="dxa"/>
              <w:right w:w="75" w:type="dxa"/>
            </w:tcMar>
            <w:vAlign w:val="center"/>
            <w:hideMark/>
          </w:tcPr>
          <w:p w14:paraId="51A4E511" w14:textId="77777777" w:rsidR="00AF6702" w:rsidRPr="00702882" w:rsidRDefault="00AF6702" w:rsidP="005C1AFD">
            <w:pPr>
              <w:spacing w:before="150" w:after="150"/>
              <w:contextualSpacing/>
              <w:rPr>
                <w:sz w:val="20"/>
                <w:szCs w:val="20"/>
              </w:rPr>
            </w:pPr>
            <w:r w:rsidRPr="00702882">
              <w:rPr>
                <w:sz w:val="20"/>
                <w:szCs w:val="20"/>
              </w:rPr>
              <w:t>-0.19 (2.58)</w:t>
            </w:r>
          </w:p>
        </w:tc>
        <w:tc>
          <w:tcPr>
            <w:tcW w:w="0" w:type="auto"/>
            <w:tcMar>
              <w:top w:w="15" w:type="dxa"/>
              <w:left w:w="75" w:type="dxa"/>
              <w:bottom w:w="15" w:type="dxa"/>
              <w:right w:w="75" w:type="dxa"/>
            </w:tcMar>
            <w:vAlign w:val="center"/>
            <w:hideMark/>
          </w:tcPr>
          <w:p w14:paraId="3DF4A627" w14:textId="77777777" w:rsidR="00AF6702" w:rsidRPr="00702882" w:rsidRDefault="00AF6702" w:rsidP="005C1AFD">
            <w:pPr>
              <w:spacing w:before="150" w:after="150"/>
              <w:contextualSpacing/>
              <w:rPr>
                <w:sz w:val="20"/>
                <w:szCs w:val="20"/>
              </w:rPr>
            </w:pPr>
            <w:r w:rsidRPr="00702882">
              <w:rPr>
                <w:sz w:val="20"/>
                <w:szCs w:val="20"/>
              </w:rPr>
              <w:t>-2.28 (4.33)</w:t>
            </w:r>
          </w:p>
        </w:tc>
        <w:tc>
          <w:tcPr>
            <w:tcW w:w="0" w:type="auto"/>
            <w:tcMar>
              <w:top w:w="15" w:type="dxa"/>
              <w:left w:w="75" w:type="dxa"/>
              <w:bottom w:w="15" w:type="dxa"/>
              <w:right w:w="75" w:type="dxa"/>
            </w:tcMar>
            <w:vAlign w:val="center"/>
            <w:hideMark/>
          </w:tcPr>
          <w:p w14:paraId="6D96EC00" w14:textId="77777777" w:rsidR="00AF6702" w:rsidRPr="00702882" w:rsidRDefault="00AF6702" w:rsidP="005C1AFD">
            <w:pPr>
              <w:spacing w:before="150" w:after="150"/>
              <w:contextualSpacing/>
              <w:rPr>
                <w:sz w:val="20"/>
                <w:szCs w:val="20"/>
              </w:rPr>
            </w:pPr>
            <w:r w:rsidRPr="00702882">
              <w:rPr>
                <w:sz w:val="20"/>
                <w:szCs w:val="20"/>
              </w:rPr>
              <w:t>0.48 (2.80)</w:t>
            </w:r>
          </w:p>
        </w:tc>
        <w:tc>
          <w:tcPr>
            <w:tcW w:w="0" w:type="auto"/>
            <w:tcMar>
              <w:top w:w="15" w:type="dxa"/>
              <w:left w:w="75" w:type="dxa"/>
              <w:bottom w:w="15" w:type="dxa"/>
              <w:right w:w="75" w:type="dxa"/>
            </w:tcMar>
            <w:vAlign w:val="center"/>
            <w:hideMark/>
          </w:tcPr>
          <w:p w14:paraId="51E8A0ED" w14:textId="77777777" w:rsidR="00AF6702" w:rsidRPr="00702882" w:rsidRDefault="00AF6702" w:rsidP="005C1AFD">
            <w:pPr>
              <w:spacing w:before="150" w:after="150"/>
              <w:contextualSpacing/>
              <w:rPr>
                <w:sz w:val="20"/>
                <w:szCs w:val="20"/>
              </w:rPr>
            </w:pPr>
            <w:r w:rsidRPr="00702882">
              <w:rPr>
                <w:sz w:val="20"/>
                <w:szCs w:val="20"/>
              </w:rPr>
              <w:t>0.48 (2.80)</w:t>
            </w:r>
          </w:p>
        </w:tc>
      </w:tr>
      <w:tr w:rsidR="00B86C9D" w:rsidRPr="00702882" w14:paraId="12E689D2" w14:textId="77777777" w:rsidTr="00AE6820">
        <w:tc>
          <w:tcPr>
            <w:tcW w:w="0" w:type="auto"/>
            <w:tcMar>
              <w:top w:w="15" w:type="dxa"/>
              <w:left w:w="75" w:type="dxa"/>
              <w:bottom w:w="15" w:type="dxa"/>
              <w:right w:w="75" w:type="dxa"/>
            </w:tcMar>
            <w:vAlign w:val="center"/>
            <w:hideMark/>
          </w:tcPr>
          <w:p w14:paraId="1B330560" w14:textId="77777777" w:rsidR="00AF6702" w:rsidRPr="00702882" w:rsidRDefault="00AF6702" w:rsidP="005C1AFD">
            <w:pPr>
              <w:spacing w:before="150" w:after="150"/>
              <w:contextualSpacing/>
              <w:rPr>
                <w:sz w:val="20"/>
                <w:szCs w:val="20"/>
              </w:rPr>
            </w:pPr>
            <w:r w:rsidRPr="00702882">
              <w:rPr>
                <w:sz w:val="20"/>
                <w:szCs w:val="20"/>
              </w:rPr>
              <w:t>Repay_4bin</w:t>
            </w:r>
          </w:p>
        </w:tc>
        <w:tc>
          <w:tcPr>
            <w:tcW w:w="0" w:type="auto"/>
            <w:tcMar>
              <w:top w:w="15" w:type="dxa"/>
              <w:left w:w="75" w:type="dxa"/>
              <w:bottom w:w="15" w:type="dxa"/>
              <w:right w:w="75" w:type="dxa"/>
            </w:tcMar>
            <w:vAlign w:val="center"/>
            <w:hideMark/>
          </w:tcPr>
          <w:p w14:paraId="0F61E8B4" w14:textId="77777777" w:rsidR="00AF6702" w:rsidRPr="00702882" w:rsidRDefault="00AF6702" w:rsidP="005C1AFD">
            <w:pPr>
              <w:spacing w:before="150" w:after="150"/>
              <w:contextualSpacing/>
              <w:rPr>
                <w:sz w:val="20"/>
                <w:szCs w:val="20"/>
              </w:rPr>
            </w:pPr>
            <w:r w:rsidRPr="00702882">
              <w:rPr>
                <w:sz w:val="20"/>
                <w:szCs w:val="20"/>
              </w:rPr>
              <w:t>-0.21 (0.33)</w:t>
            </w:r>
          </w:p>
        </w:tc>
        <w:tc>
          <w:tcPr>
            <w:tcW w:w="0" w:type="auto"/>
            <w:tcMar>
              <w:top w:w="15" w:type="dxa"/>
              <w:left w:w="75" w:type="dxa"/>
              <w:bottom w:w="15" w:type="dxa"/>
              <w:right w:w="75" w:type="dxa"/>
            </w:tcMar>
            <w:vAlign w:val="center"/>
            <w:hideMark/>
          </w:tcPr>
          <w:p w14:paraId="3A28F70A" w14:textId="77777777" w:rsidR="00AF6702" w:rsidRPr="00702882" w:rsidRDefault="00AF6702" w:rsidP="005C1AFD">
            <w:pPr>
              <w:spacing w:before="150" w:after="150"/>
              <w:contextualSpacing/>
              <w:rPr>
                <w:sz w:val="20"/>
                <w:szCs w:val="20"/>
              </w:rPr>
            </w:pPr>
            <w:r w:rsidRPr="00702882">
              <w:rPr>
                <w:sz w:val="20"/>
                <w:szCs w:val="20"/>
              </w:rPr>
              <w:t>0.39 (0.56)</w:t>
            </w:r>
          </w:p>
        </w:tc>
        <w:tc>
          <w:tcPr>
            <w:tcW w:w="0" w:type="auto"/>
            <w:tcMar>
              <w:top w:w="15" w:type="dxa"/>
              <w:left w:w="75" w:type="dxa"/>
              <w:bottom w:w="15" w:type="dxa"/>
              <w:right w:w="75" w:type="dxa"/>
            </w:tcMar>
            <w:vAlign w:val="center"/>
            <w:hideMark/>
          </w:tcPr>
          <w:p w14:paraId="509A1692" w14:textId="77777777" w:rsidR="00AF6702" w:rsidRPr="00702882" w:rsidRDefault="00AF6702" w:rsidP="005C1AFD">
            <w:pPr>
              <w:spacing w:before="150" w:after="150"/>
              <w:contextualSpacing/>
              <w:rPr>
                <w:sz w:val="20"/>
                <w:szCs w:val="20"/>
              </w:rPr>
            </w:pPr>
            <w:r w:rsidRPr="00702882">
              <w:rPr>
                <w:sz w:val="20"/>
                <w:szCs w:val="20"/>
              </w:rPr>
              <w:t>0.05 (0.28)</w:t>
            </w:r>
          </w:p>
        </w:tc>
        <w:tc>
          <w:tcPr>
            <w:tcW w:w="0" w:type="auto"/>
            <w:tcMar>
              <w:top w:w="15" w:type="dxa"/>
              <w:left w:w="75" w:type="dxa"/>
              <w:bottom w:w="15" w:type="dxa"/>
              <w:right w:w="75" w:type="dxa"/>
            </w:tcMar>
            <w:vAlign w:val="center"/>
            <w:hideMark/>
          </w:tcPr>
          <w:p w14:paraId="4260B402" w14:textId="77777777" w:rsidR="00AF6702" w:rsidRPr="00702882" w:rsidRDefault="00AF6702" w:rsidP="005C1AFD">
            <w:pPr>
              <w:spacing w:before="150" w:after="150"/>
              <w:contextualSpacing/>
              <w:rPr>
                <w:sz w:val="20"/>
                <w:szCs w:val="20"/>
              </w:rPr>
            </w:pPr>
            <w:r w:rsidRPr="00702882">
              <w:rPr>
                <w:sz w:val="20"/>
                <w:szCs w:val="20"/>
              </w:rPr>
              <w:t>0.05 (0.28)</w:t>
            </w:r>
          </w:p>
        </w:tc>
      </w:tr>
      <w:tr w:rsidR="00B86C9D" w:rsidRPr="00702882" w14:paraId="0F71DEDD" w14:textId="77777777" w:rsidTr="00AE6820">
        <w:tc>
          <w:tcPr>
            <w:tcW w:w="0" w:type="auto"/>
            <w:tcMar>
              <w:top w:w="15" w:type="dxa"/>
              <w:left w:w="75" w:type="dxa"/>
              <w:bottom w:w="15" w:type="dxa"/>
              <w:right w:w="75" w:type="dxa"/>
            </w:tcMar>
            <w:vAlign w:val="center"/>
            <w:hideMark/>
          </w:tcPr>
          <w:p w14:paraId="3141EFA4" w14:textId="77777777" w:rsidR="00AF6702" w:rsidRPr="00702882" w:rsidRDefault="00AF6702" w:rsidP="005C1AFD">
            <w:pPr>
              <w:spacing w:before="150" w:after="150"/>
              <w:contextualSpacing/>
              <w:rPr>
                <w:sz w:val="20"/>
                <w:szCs w:val="20"/>
              </w:rPr>
            </w:pPr>
            <w:r w:rsidRPr="00702882">
              <w:rPr>
                <w:sz w:val="20"/>
                <w:szCs w:val="20"/>
              </w:rPr>
              <w:t>WithLim</w:t>
            </w:r>
          </w:p>
        </w:tc>
        <w:tc>
          <w:tcPr>
            <w:tcW w:w="0" w:type="auto"/>
            <w:tcMar>
              <w:top w:w="15" w:type="dxa"/>
              <w:left w:w="75" w:type="dxa"/>
              <w:bottom w:w="15" w:type="dxa"/>
              <w:right w:w="75" w:type="dxa"/>
            </w:tcMar>
            <w:vAlign w:val="center"/>
            <w:hideMark/>
          </w:tcPr>
          <w:p w14:paraId="499342D1" w14:textId="77777777" w:rsidR="00AF6702" w:rsidRPr="00702882" w:rsidRDefault="00AF6702" w:rsidP="005C1AFD">
            <w:pPr>
              <w:spacing w:before="150" w:after="150"/>
              <w:contextualSpacing/>
              <w:rPr>
                <w:sz w:val="20"/>
                <w:szCs w:val="20"/>
              </w:rPr>
            </w:pPr>
            <w:r w:rsidRPr="00702882">
              <w:rPr>
                <w:sz w:val="20"/>
                <w:szCs w:val="20"/>
              </w:rPr>
              <w:t>2.64 (1.81)</w:t>
            </w:r>
          </w:p>
        </w:tc>
        <w:tc>
          <w:tcPr>
            <w:tcW w:w="0" w:type="auto"/>
            <w:tcMar>
              <w:top w:w="15" w:type="dxa"/>
              <w:left w:w="75" w:type="dxa"/>
              <w:bottom w:w="15" w:type="dxa"/>
              <w:right w:w="75" w:type="dxa"/>
            </w:tcMar>
            <w:vAlign w:val="center"/>
            <w:hideMark/>
          </w:tcPr>
          <w:p w14:paraId="31771668" w14:textId="77777777" w:rsidR="00AF6702" w:rsidRPr="00702882" w:rsidRDefault="00AF6702" w:rsidP="005C1AFD">
            <w:pPr>
              <w:spacing w:before="150" w:after="150"/>
              <w:contextualSpacing/>
              <w:rPr>
                <w:sz w:val="20"/>
                <w:szCs w:val="20"/>
              </w:rPr>
            </w:pPr>
            <w:r w:rsidRPr="00702882">
              <w:rPr>
                <w:sz w:val="20"/>
                <w:szCs w:val="20"/>
              </w:rPr>
              <w:t>1.92 (2.26)</w:t>
            </w:r>
          </w:p>
        </w:tc>
        <w:tc>
          <w:tcPr>
            <w:tcW w:w="0" w:type="auto"/>
            <w:tcMar>
              <w:top w:w="15" w:type="dxa"/>
              <w:left w:w="75" w:type="dxa"/>
              <w:bottom w:w="15" w:type="dxa"/>
              <w:right w:w="75" w:type="dxa"/>
            </w:tcMar>
            <w:vAlign w:val="center"/>
            <w:hideMark/>
          </w:tcPr>
          <w:p w14:paraId="40A35C63" w14:textId="77777777" w:rsidR="00AF6702" w:rsidRPr="00702882" w:rsidRDefault="00AF6702" w:rsidP="005C1AFD">
            <w:pPr>
              <w:spacing w:before="150" w:after="150"/>
              <w:contextualSpacing/>
              <w:rPr>
                <w:sz w:val="20"/>
                <w:szCs w:val="20"/>
              </w:rPr>
            </w:pPr>
            <w:r w:rsidRPr="00702882">
              <w:rPr>
                <w:sz w:val="20"/>
                <w:szCs w:val="20"/>
              </w:rPr>
              <w:t>0.98 (1.94)</w:t>
            </w:r>
          </w:p>
        </w:tc>
        <w:tc>
          <w:tcPr>
            <w:tcW w:w="0" w:type="auto"/>
            <w:tcMar>
              <w:top w:w="15" w:type="dxa"/>
              <w:left w:w="75" w:type="dxa"/>
              <w:bottom w:w="15" w:type="dxa"/>
              <w:right w:w="75" w:type="dxa"/>
            </w:tcMar>
            <w:vAlign w:val="center"/>
            <w:hideMark/>
          </w:tcPr>
          <w:p w14:paraId="561C1C2D" w14:textId="77777777" w:rsidR="00AF6702" w:rsidRPr="00702882" w:rsidRDefault="00AF6702" w:rsidP="005C1AFD">
            <w:pPr>
              <w:spacing w:before="150" w:after="150"/>
              <w:contextualSpacing/>
              <w:rPr>
                <w:sz w:val="20"/>
                <w:szCs w:val="20"/>
              </w:rPr>
            </w:pPr>
            <w:r w:rsidRPr="00702882">
              <w:rPr>
                <w:sz w:val="20"/>
                <w:szCs w:val="20"/>
              </w:rPr>
              <w:t>0.98 (1.94)</w:t>
            </w:r>
          </w:p>
        </w:tc>
      </w:tr>
      <w:tr w:rsidR="00B86C9D" w:rsidRPr="00702882" w14:paraId="732167EB" w14:textId="77777777" w:rsidTr="00AE6820">
        <w:tc>
          <w:tcPr>
            <w:tcW w:w="0" w:type="auto"/>
            <w:tcMar>
              <w:top w:w="15" w:type="dxa"/>
              <w:left w:w="75" w:type="dxa"/>
              <w:bottom w:w="15" w:type="dxa"/>
              <w:right w:w="75" w:type="dxa"/>
            </w:tcMar>
            <w:vAlign w:val="center"/>
            <w:hideMark/>
          </w:tcPr>
          <w:p w14:paraId="1E7F8912" w14:textId="77777777" w:rsidR="00AF6702" w:rsidRPr="00702882" w:rsidRDefault="00AF6702" w:rsidP="005C1AFD">
            <w:pPr>
              <w:spacing w:before="150" w:after="150"/>
              <w:contextualSpacing/>
              <w:rPr>
                <w:sz w:val="20"/>
                <w:szCs w:val="20"/>
              </w:rPr>
            </w:pPr>
            <w:r w:rsidRPr="00702882">
              <w:rPr>
                <w:sz w:val="20"/>
                <w:szCs w:val="20"/>
              </w:rPr>
              <w:t>Disasters</w:t>
            </w:r>
          </w:p>
        </w:tc>
        <w:tc>
          <w:tcPr>
            <w:tcW w:w="0" w:type="auto"/>
            <w:tcMar>
              <w:top w:w="15" w:type="dxa"/>
              <w:left w:w="75" w:type="dxa"/>
              <w:bottom w:w="15" w:type="dxa"/>
              <w:right w:w="75" w:type="dxa"/>
            </w:tcMar>
            <w:vAlign w:val="center"/>
            <w:hideMark/>
          </w:tcPr>
          <w:p w14:paraId="1DBA47A4" w14:textId="77777777" w:rsidR="00AF6702" w:rsidRPr="00702882" w:rsidRDefault="00AF6702" w:rsidP="005C1AFD">
            <w:pPr>
              <w:spacing w:before="150" w:after="150"/>
              <w:contextualSpacing/>
              <w:rPr>
                <w:sz w:val="20"/>
                <w:szCs w:val="20"/>
              </w:rPr>
            </w:pPr>
            <w:r w:rsidRPr="00702882">
              <w:rPr>
                <w:sz w:val="20"/>
                <w:szCs w:val="20"/>
              </w:rPr>
              <w:t>0.00 (0.16)</w:t>
            </w:r>
          </w:p>
        </w:tc>
        <w:tc>
          <w:tcPr>
            <w:tcW w:w="0" w:type="auto"/>
            <w:tcMar>
              <w:top w:w="15" w:type="dxa"/>
              <w:left w:w="75" w:type="dxa"/>
              <w:bottom w:w="15" w:type="dxa"/>
              <w:right w:w="75" w:type="dxa"/>
            </w:tcMar>
            <w:vAlign w:val="center"/>
            <w:hideMark/>
          </w:tcPr>
          <w:p w14:paraId="0E5B18BA" w14:textId="77777777" w:rsidR="00AF6702" w:rsidRPr="00702882" w:rsidRDefault="00AF6702" w:rsidP="005C1AFD">
            <w:pPr>
              <w:spacing w:before="150" w:after="150"/>
              <w:contextualSpacing/>
              <w:rPr>
                <w:sz w:val="20"/>
                <w:szCs w:val="20"/>
              </w:rPr>
            </w:pPr>
            <w:r w:rsidRPr="00702882">
              <w:rPr>
                <w:sz w:val="20"/>
                <w:szCs w:val="20"/>
              </w:rPr>
              <w:t>-0.12 (0.13)</w:t>
            </w:r>
          </w:p>
        </w:tc>
        <w:tc>
          <w:tcPr>
            <w:tcW w:w="0" w:type="auto"/>
            <w:tcMar>
              <w:top w:w="15" w:type="dxa"/>
              <w:left w:w="75" w:type="dxa"/>
              <w:bottom w:w="15" w:type="dxa"/>
              <w:right w:w="75" w:type="dxa"/>
            </w:tcMar>
            <w:vAlign w:val="center"/>
            <w:hideMark/>
          </w:tcPr>
          <w:p w14:paraId="57D0493F" w14:textId="77777777" w:rsidR="00AF6702" w:rsidRPr="00702882" w:rsidRDefault="00AF6702" w:rsidP="005C1AFD">
            <w:pPr>
              <w:spacing w:before="150" w:after="150"/>
              <w:contextualSpacing/>
              <w:rPr>
                <w:sz w:val="20"/>
                <w:szCs w:val="20"/>
              </w:rPr>
            </w:pPr>
            <w:r w:rsidRPr="00702882">
              <w:rPr>
                <w:sz w:val="20"/>
                <w:szCs w:val="20"/>
              </w:rPr>
              <w:t>-0.08 (0.11)</w:t>
            </w:r>
          </w:p>
        </w:tc>
        <w:tc>
          <w:tcPr>
            <w:tcW w:w="0" w:type="auto"/>
            <w:tcMar>
              <w:top w:w="15" w:type="dxa"/>
              <w:left w:w="75" w:type="dxa"/>
              <w:bottom w:w="15" w:type="dxa"/>
              <w:right w:w="75" w:type="dxa"/>
            </w:tcMar>
            <w:vAlign w:val="center"/>
            <w:hideMark/>
          </w:tcPr>
          <w:p w14:paraId="6C96E022" w14:textId="77777777" w:rsidR="00AF6702" w:rsidRPr="00702882" w:rsidRDefault="00AF6702" w:rsidP="005C1AFD">
            <w:pPr>
              <w:spacing w:before="150" w:after="150"/>
              <w:contextualSpacing/>
              <w:rPr>
                <w:sz w:val="20"/>
                <w:szCs w:val="20"/>
              </w:rPr>
            </w:pPr>
            <w:r w:rsidRPr="00702882">
              <w:rPr>
                <w:sz w:val="20"/>
                <w:szCs w:val="20"/>
              </w:rPr>
              <w:t>-0.08 (0.11)</w:t>
            </w:r>
          </w:p>
        </w:tc>
      </w:tr>
      <w:tr w:rsidR="00B86C9D" w:rsidRPr="00702882" w14:paraId="78D9A63F" w14:textId="77777777" w:rsidTr="00AE6820">
        <w:tc>
          <w:tcPr>
            <w:tcW w:w="0" w:type="auto"/>
            <w:tcMar>
              <w:top w:w="15" w:type="dxa"/>
              <w:left w:w="75" w:type="dxa"/>
              <w:bottom w:w="15" w:type="dxa"/>
              <w:right w:w="75" w:type="dxa"/>
            </w:tcMar>
            <w:vAlign w:val="center"/>
            <w:hideMark/>
          </w:tcPr>
          <w:p w14:paraId="639C8E0B" w14:textId="77777777" w:rsidR="00AF6702" w:rsidRPr="00702882" w:rsidRDefault="00AF6702" w:rsidP="005C1AFD">
            <w:pPr>
              <w:spacing w:before="150" w:after="150"/>
              <w:contextualSpacing/>
              <w:rPr>
                <w:sz w:val="20"/>
                <w:szCs w:val="20"/>
              </w:rPr>
            </w:pPr>
            <w:r w:rsidRPr="00702882">
              <w:rPr>
                <w:sz w:val="20"/>
                <w:szCs w:val="20"/>
              </w:rPr>
              <w:t>Fed_IGR</w:t>
            </w:r>
          </w:p>
        </w:tc>
        <w:tc>
          <w:tcPr>
            <w:tcW w:w="0" w:type="auto"/>
            <w:tcMar>
              <w:top w:w="15" w:type="dxa"/>
              <w:left w:w="75" w:type="dxa"/>
              <w:bottom w:w="15" w:type="dxa"/>
              <w:right w:w="75" w:type="dxa"/>
            </w:tcMar>
            <w:vAlign w:val="center"/>
            <w:hideMark/>
          </w:tcPr>
          <w:p w14:paraId="08021697" w14:textId="77777777" w:rsidR="00AF6702" w:rsidRPr="00702882" w:rsidRDefault="00AF6702" w:rsidP="005C1AFD">
            <w:pPr>
              <w:spacing w:before="150" w:after="150"/>
              <w:contextualSpacing/>
              <w:rPr>
                <w:sz w:val="20"/>
                <w:szCs w:val="20"/>
              </w:rPr>
            </w:pPr>
            <w:r w:rsidRPr="00702882">
              <w:rPr>
                <w:sz w:val="20"/>
                <w:szCs w:val="20"/>
              </w:rPr>
              <w:t>0.10 (1.11)</w:t>
            </w:r>
          </w:p>
        </w:tc>
        <w:tc>
          <w:tcPr>
            <w:tcW w:w="0" w:type="auto"/>
            <w:tcMar>
              <w:top w:w="15" w:type="dxa"/>
              <w:left w:w="75" w:type="dxa"/>
              <w:bottom w:w="15" w:type="dxa"/>
              <w:right w:w="75" w:type="dxa"/>
            </w:tcMar>
            <w:vAlign w:val="center"/>
            <w:hideMark/>
          </w:tcPr>
          <w:p w14:paraId="5329431F" w14:textId="77777777" w:rsidR="00AF6702" w:rsidRPr="00702882" w:rsidRDefault="00AF6702" w:rsidP="005C1AFD">
            <w:pPr>
              <w:spacing w:before="150" w:after="150"/>
              <w:contextualSpacing/>
              <w:rPr>
                <w:sz w:val="20"/>
                <w:szCs w:val="20"/>
              </w:rPr>
            </w:pPr>
            <w:r w:rsidRPr="00702882">
              <w:rPr>
                <w:sz w:val="20"/>
                <w:szCs w:val="20"/>
              </w:rPr>
              <w:t>0.07 (1.11)</w:t>
            </w:r>
          </w:p>
        </w:tc>
        <w:tc>
          <w:tcPr>
            <w:tcW w:w="0" w:type="auto"/>
            <w:tcMar>
              <w:top w:w="15" w:type="dxa"/>
              <w:left w:w="75" w:type="dxa"/>
              <w:bottom w:w="15" w:type="dxa"/>
              <w:right w:w="75" w:type="dxa"/>
            </w:tcMar>
            <w:vAlign w:val="center"/>
            <w:hideMark/>
          </w:tcPr>
          <w:p w14:paraId="7100D2CD" w14:textId="77777777" w:rsidR="00AF6702" w:rsidRPr="00702882" w:rsidRDefault="00AF6702" w:rsidP="005C1AFD">
            <w:pPr>
              <w:spacing w:before="150" w:after="150"/>
              <w:contextualSpacing/>
              <w:rPr>
                <w:sz w:val="20"/>
                <w:szCs w:val="20"/>
              </w:rPr>
            </w:pPr>
            <w:r w:rsidRPr="00702882">
              <w:rPr>
                <w:sz w:val="20"/>
                <w:szCs w:val="20"/>
              </w:rPr>
              <w:t>-0.09 (1.03)</w:t>
            </w:r>
          </w:p>
        </w:tc>
        <w:tc>
          <w:tcPr>
            <w:tcW w:w="0" w:type="auto"/>
            <w:tcMar>
              <w:top w:w="15" w:type="dxa"/>
              <w:left w:w="75" w:type="dxa"/>
              <w:bottom w:w="15" w:type="dxa"/>
              <w:right w:w="75" w:type="dxa"/>
            </w:tcMar>
            <w:vAlign w:val="center"/>
            <w:hideMark/>
          </w:tcPr>
          <w:p w14:paraId="47A3FACF" w14:textId="77777777" w:rsidR="00AF6702" w:rsidRPr="00702882" w:rsidRDefault="00AF6702" w:rsidP="005C1AFD">
            <w:pPr>
              <w:spacing w:before="150" w:after="150"/>
              <w:contextualSpacing/>
              <w:rPr>
                <w:sz w:val="20"/>
                <w:szCs w:val="20"/>
              </w:rPr>
            </w:pPr>
            <w:r w:rsidRPr="00702882">
              <w:rPr>
                <w:sz w:val="20"/>
                <w:szCs w:val="20"/>
              </w:rPr>
              <w:t>-0.09 (1.03)</w:t>
            </w:r>
          </w:p>
        </w:tc>
      </w:tr>
      <w:tr w:rsidR="00B86C9D" w:rsidRPr="00702882" w14:paraId="1CB50AB9" w14:textId="77777777" w:rsidTr="00AE6820">
        <w:tc>
          <w:tcPr>
            <w:tcW w:w="0" w:type="auto"/>
            <w:tcMar>
              <w:top w:w="15" w:type="dxa"/>
              <w:left w:w="75" w:type="dxa"/>
              <w:bottom w:w="15" w:type="dxa"/>
              <w:right w:w="75" w:type="dxa"/>
            </w:tcMar>
            <w:vAlign w:val="center"/>
            <w:hideMark/>
          </w:tcPr>
          <w:p w14:paraId="50CBB0ED" w14:textId="77777777" w:rsidR="00AF6702" w:rsidRPr="00702882" w:rsidRDefault="00AF6702" w:rsidP="005C1AFD">
            <w:pPr>
              <w:spacing w:before="150" w:after="150"/>
              <w:contextualSpacing/>
              <w:rPr>
                <w:sz w:val="20"/>
                <w:szCs w:val="20"/>
              </w:rPr>
            </w:pPr>
            <w:r w:rsidRPr="00702882">
              <w:rPr>
                <w:sz w:val="20"/>
                <w:szCs w:val="20"/>
              </w:rPr>
              <w:t>Debt_per_capita</w:t>
            </w:r>
          </w:p>
        </w:tc>
        <w:tc>
          <w:tcPr>
            <w:tcW w:w="0" w:type="auto"/>
            <w:tcMar>
              <w:top w:w="15" w:type="dxa"/>
              <w:left w:w="75" w:type="dxa"/>
              <w:bottom w:w="15" w:type="dxa"/>
              <w:right w:w="75" w:type="dxa"/>
            </w:tcMar>
            <w:vAlign w:val="center"/>
            <w:hideMark/>
          </w:tcPr>
          <w:p w14:paraId="314F5F9F" w14:textId="77777777" w:rsidR="00AF6702" w:rsidRPr="00702882" w:rsidRDefault="00AF6702" w:rsidP="005C1AFD">
            <w:pPr>
              <w:spacing w:before="150" w:after="150"/>
              <w:contextualSpacing/>
              <w:rPr>
                <w:sz w:val="20"/>
                <w:szCs w:val="20"/>
              </w:rPr>
            </w:pPr>
            <w:r w:rsidRPr="00702882">
              <w:rPr>
                <w:sz w:val="20"/>
                <w:szCs w:val="20"/>
              </w:rPr>
              <w:t>-2.32 (0.87)</w:t>
            </w:r>
            <w:r w:rsidRPr="00702882">
              <w:rPr>
                <w:sz w:val="20"/>
                <w:szCs w:val="20"/>
                <w:vertAlign w:val="superscript"/>
              </w:rPr>
              <w:t>***</w:t>
            </w:r>
          </w:p>
        </w:tc>
        <w:tc>
          <w:tcPr>
            <w:tcW w:w="0" w:type="auto"/>
            <w:tcMar>
              <w:top w:w="15" w:type="dxa"/>
              <w:left w:w="75" w:type="dxa"/>
              <w:bottom w:w="15" w:type="dxa"/>
              <w:right w:w="75" w:type="dxa"/>
            </w:tcMar>
            <w:vAlign w:val="center"/>
            <w:hideMark/>
          </w:tcPr>
          <w:p w14:paraId="4D142357" w14:textId="77777777" w:rsidR="00AF6702" w:rsidRPr="00702882" w:rsidRDefault="00AF6702" w:rsidP="005C1AFD">
            <w:pPr>
              <w:spacing w:before="150" w:after="150"/>
              <w:contextualSpacing/>
              <w:rPr>
                <w:sz w:val="20"/>
                <w:szCs w:val="20"/>
              </w:rPr>
            </w:pPr>
            <w:r w:rsidRPr="00702882">
              <w:rPr>
                <w:sz w:val="20"/>
                <w:szCs w:val="20"/>
              </w:rPr>
              <w:t>-2.18 (0.85)</w:t>
            </w:r>
            <w:r w:rsidRPr="00702882">
              <w:rPr>
                <w:sz w:val="20"/>
                <w:szCs w:val="20"/>
                <w:vertAlign w:val="superscript"/>
              </w:rPr>
              <w:t>**</w:t>
            </w:r>
          </w:p>
        </w:tc>
        <w:tc>
          <w:tcPr>
            <w:tcW w:w="0" w:type="auto"/>
            <w:tcMar>
              <w:top w:w="15" w:type="dxa"/>
              <w:left w:w="75" w:type="dxa"/>
              <w:bottom w:w="15" w:type="dxa"/>
              <w:right w:w="75" w:type="dxa"/>
            </w:tcMar>
            <w:vAlign w:val="center"/>
            <w:hideMark/>
          </w:tcPr>
          <w:p w14:paraId="189C8C83" w14:textId="77777777" w:rsidR="00AF6702" w:rsidRPr="00702882" w:rsidRDefault="00AF6702" w:rsidP="005C1AFD">
            <w:pPr>
              <w:spacing w:before="150" w:after="150"/>
              <w:contextualSpacing/>
              <w:rPr>
                <w:sz w:val="20"/>
                <w:szCs w:val="20"/>
              </w:rPr>
            </w:pPr>
            <w:r w:rsidRPr="00702882">
              <w:rPr>
                <w:sz w:val="20"/>
                <w:szCs w:val="20"/>
              </w:rPr>
              <w:t>-2.19 (0.88)</w:t>
            </w:r>
            <w:r w:rsidRPr="00702882">
              <w:rPr>
                <w:sz w:val="20"/>
                <w:szCs w:val="20"/>
                <w:vertAlign w:val="superscript"/>
              </w:rPr>
              <w:t>**</w:t>
            </w:r>
          </w:p>
        </w:tc>
        <w:tc>
          <w:tcPr>
            <w:tcW w:w="0" w:type="auto"/>
            <w:tcMar>
              <w:top w:w="15" w:type="dxa"/>
              <w:left w:w="75" w:type="dxa"/>
              <w:bottom w:w="15" w:type="dxa"/>
              <w:right w:w="75" w:type="dxa"/>
            </w:tcMar>
            <w:vAlign w:val="center"/>
            <w:hideMark/>
          </w:tcPr>
          <w:p w14:paraId="48C73124" w14:textId="77777777" w:rsidR="00AF6702" w:rsidRPr="00702882" w:rsidRDefault="00AF6702" w:rsidP="005C1AFD">
            <w:pPr>
              <w:spacing w:before="150" w:after="150"/>
              <w:contextualSpacing/>
              <w:rPr>
                <w:sz w:val="20"/>
                <w:szCs w:val="20"/>
              </w:rPr>
            </w:pPr>
            <w:r w:rsidRPr="00702882">
              <w:rPr>
                <w:sz w:val="20"/>
                <w:szCs w:val="20"/>
              </w:rPr>
              <w:t>-2.19 (0.88)</w:t>
            </w:r>
            <w:r w:rsidRPr="00702882">
              <w:rPr>
                <w:sz w:val="20"/>
                <w:szCs w:val="20"/>
                <w:vertAlign w:val="superscript"/>
              </w:rPr>
              <w:t>**</w:t>
            </w:r>
          </w:p>
        </w:tc>
      </w:tr>
      <w:tr w:rsidR="00B86C9D" w:rsidRPr="00702882" w14:paraId="56FDFFAB" w14:textId="77777777" w:rsidTr="00AE6820">
        <w:tc>
          <w:tcPr>
            <w:tcW w:w="0" w:type="auto"/>
            <w:tcMar>
              <w:top w:w="15" w:type="dxa"/>
              <w:left w:w="75" w:type="dxa"/>
              <w:bottom w:w="15" w:type="dxa"/>
              <w:right w:w="75" w:type="dxa"/>
            </w:tcMar>
            <w:vAlign w:val="center"/>
            <w:hideMark/>
          </w:tcPr>
          <w:p w14:paraId="68690A1C" w14:textId="77777777" w:rsidR="00AF6702" w:rsidRPr="00702882" w:rsidRDefault="00AF6702" w:rsidP="005C1AFD">
            <w:pPr>
              <w:spacing w:before="150" w:after="150"/>
              <w:contextualSpacing/>
              <w:rPr>
                <w:sz w:val="20"/>
                <w:szCs w:val="20"/>
              </w:rPr>
            </w:pPr>
            <w:r w:rsidRPr="00702882">
              <w:rPr>
                <w:sz w:val="20"/>
                <w:szCs w:val="20"/>
              </w:rPr>
              <w:t>GSP</w:t>
            </w:r>
          </w:p>
        </w:tc>
        <w:tc>
          <w:tcPr>
            <w:tcW w:w="0" w:type="auto"/>
            <w:tcMar>
              <w:top w:w="15" w:type="dxa"/>
              <w:left w:w="75" w:type="dxa"/>
              <w:bottom w:w="15" w:type="dxa"/>
              <w:right w:w="75" w:type="dxa"/>
            </w:tcMar>
            <w:vAlign w:val="center"/>
            <w:hideMark/>
          </w:tcPr>
          <w:p w14:paraId="20B5C923" w14:textId="77777777" w:rsidR="00AF6702" w:rsidRPr="00702882" w:rsidRDefault="00AF6702" w:rsidP="005C1AFD">
            <w:pPr>
              <w:spacing w:before="150" w:after="150"/>
              <w:contextualSpacing/>
              <w:rPr>
                <w:sz w:val="20"/>
                <w:szCs w:val="20"/>
              </w:rPr>
            </w:pPr>
            <w:r w:rsidRPr="00702882">
              <w:rPr>
                <w:sz w:val="20"/>
                <w:szCs w:val="20"/>
              </w:rPr>
              <w:t>0.49 (0.25)</w:t>
            </w:r>
            <w:r w:rsidRPr="00702882">
              <w:rPr>
                <w:sz w:val="20"/>
                <w:szCs w:val="20"/>
                <w:vertAlign w:val="superscript"/>
              </w:rPr>
              <w:t>*</w:t>
            </w:r>
          </w:p>
        </w:tc>
        <w:tc>
          <w:tcPr>
            <w:tcW w:w="0" w:type="auto"/>
            <w:tcMar>
              <w:top w:w="15" w:type="dxa"/>
              <w:left w:w="75" w:type="dxa"/>
              <w:bottom w:w="15" w:type="dxa"/>
              <w:right w:w="75" w:type="dxa"/>
            </w:tcMar>
            <w:vAlign w:val="center"/>
            <w:hideMark/>
          </w:tcPr>
          <w:p w14:paraId="78F20BF1" w14:textId="77777777" w:rsidR="00AF6702" w:rsidRPr="00702882" w:rsidRDefault="00AF6702" w:rsidP="005C1AFD">
            <w:pPr>
              <w:spacing w:before="150" w:after="150"/>
              <w:contextualSpacing/>
              <w:rPr>
                <w:sz w:val="20"/>
                <w:szCs w:val="20"/>
              </w:rPr>
            </w:pPr>
            <w:r w:rsidRPr="00702882">
              <w:rPr>
                <w:sz w:val="20"/>
                <w:szCs w:val="20"/>
              </w:rPr>
              <w:t>0.52 (0.24)</w:t>
            </w:r>
            <w:r w:rsidRPr="00702882">
              <w:rPr>
                <w:sz w:val="20"/>
                <w:szCs w:val="20"/>
                <w:vertAlign w:val="superscript"/>
              </w:rPr>
              <w:t>**</w:t>
            </w:r>
          </w:p>
        </w:tc>
        <w:tc>
          <w:tcPr>
            <w:tcW w:w="0" w:type="auto"/>
            <w:tcMar>
              <w:top w:w="15" w:type="dxa"/>
              <w:left w:w="75" w:type="dxa"/>
              <w:bottom w:w="15" w:type="dxa"/>
              <w:right w:w="75" w:type="dxa"/>
            </w:tcMar>
            <w:vAlign w:val="center"/>
            <w:hideMark/>
          </w:tcPr>
          <w:p w14:paraId="78C120A5" w14:textId="77777777" w:rsidR="00AF6702" w:rsidRPr="00702882" w:rsidRDefault="00AF6702" w:rsidP="005C1AFD">
            <w:pPr>
              <w:spacing w:before="150" w:after="150"/>
              <w:contextualSpacing/>
              <w:rPr>
                <w:sz w:val="20"/>
                <w:szCs w:val="20"/>
              </w:rPr>
            </w:pPr>
            <w:r w:rsidRPr="00702882">
              <w:rPr>
                <w:sz w:val="20"/>
                <w:szCs w:val="20"/>
              </w:rPr>
              <w:t>0.50 (0.24)</w:t>
            </w:r>
            <w:r w:rsidRPr="00702882">
              <w:rPr>
                <w:sz w:val="20"/>
                <w:szCs w:val="20"/>
                <w:vertAlign w:val="superscript"/>
              </w:rPr>
              <w:t>**</w:t>
            </w:r>
          </w:p>
        </w:tc>
        <w:tc>
          <w:tcPr>
            <w:tcW w:w="0" w:type="auto"/>
            <w:tcMar>
              <w:top w:w="15" w:type="dxa"/>
              <w:left w:w="75" w:type="dxa"/>
              <w:bottom w:w="15" w:type="dxa"/>
              <w:right w:w="75" w:type="dxa"/>
            </w:tcMar>
            <w:vAlign w:val="center"/>
            <w:hideMark/>
          </w:tcPr>
          <w:p w14:paraId="240E6323" w14:textId="77777777" w:rsidR="00AF6702" w:rsidRPr="00702882" w:rsidRDefault="00AF6702" w:rsidP="005C1AFD">
            <w:pPr>
              <w:spacing w:before="150" w:after="150"/>
              <w:contextualSpacing/>
              <w:rPr>
                <w:sz w:val="20"/>
                <w:szCs w:val="20"/>
              </w:rPr>
            </w:pPr>
            <w:r w:rsidRPr="00702882">
              <w:rPr>
                <w:sz w:val="20"/>
                <w:szCs w:val="20"/>
              </w:rPr>
              <w:t>0.50 (0.24)</w:t>
            </w:r>
            <w:r w:rsidRPr="00702882">
              <w:rPr>
                <w:sz w:val="20"/>
                <w:szCs w:val="20"/>
                <w:vertAlign w:val="superscript"/>
              </w:rPr>
              <w:t>**</w:t>
            </w:r>
          </w:p>
        </w:tc>
      </w:tr>
      <w:tr w:rsidR="00B86C9D" w:rsidRPr="00702882" w14:paraId="66DCCC5E" w14:textId="77777777" w:rsidTr="00AE6820">
        <w:tc>
          <w:tcPr>
            <w:tcW w:w="0" w:type="auto"/>
            <w:tcMar>
              <w:top w:w="15" w:type="dxa"/>
              <w:left w:w="75" w:type="dxa"/>
              <w:bottom w:w="15" w:type="dxa"/>
              <w:right w:w="75" w:type="dxa"/>
            </w:tcMar>
            <w:vAlign w:val="center"/>
            <w:hideMark/>
          </w:tcPr>
          <w:p w14:paraId="694627AC" w14:textId="77777777" w:rsidR="00AF6702" w:rsidRPr="00702882" w:rsidRDefault="00AF6702" w:rsidP="005C1AFD">
            <w:pPr>
              <w:spacing w:before="150" w:after="150"/>
              <w:contextualSpacing/>
              <w:rPr>
                <w:sz w:val="20"/>
                <w:szCs w:val="20"/>
              </w:rPr>
            </w:pPr>
            <w:r w:rsidRPr="00702882">
              <w:rPr>
                <w:sz w:val="20"/>
                <w:szCs w:val="20"/>
              </w:rPr>
              <w:t>Unemployment</w:t>
            </w:r>
          </w:p>
        </w:tc>
        <w:tc>
          <w:tcPr>
            <w:tcW w:w="0" w:type="auto"/>
            <w:tcMar>
              <w:top w:w="15" w:type="dxa"/>
              <w:left w:w="75" w:type="dxa"/>
              <w:bottom w:w="15" w:type="dxa"/>
              <w:right w:w="75" w:type="dxa"/>
            </w:tcMar>
            <w:vAlign w:val="center"/>
            <w:hideMark/>
          </w:tcPr>
          <w:p w14:paraId="436CE88C" w14:textId="77777777" w:rsidR="00AF6702" w:rsidRPr="00702882" w:rsidRDefault="00AF6702" w:rsidP="005C1AFD">
            <w:pPr>
              <w:spacing w:before="150" w:after="150"/>
              <w:contextualSpacing/>
              <w:rPr>
                <w:sz w:val="20"/>
                <w:szCs w:val="20"/>
              </w:rPr>
            </w:pPr>
            <w:r w:rsidRPr="00702882">
              <w:rPr>
                <w:sz w:val="20"/>
                <w:szCs w:val="20"/>
              </w:rPr>
              <w:t>-0.20 (0.29)</w:t>
            </w:r>
          </w:p>
        </w:tc>
        <w:tc>
          <w:tcPr>
            <w:tcW w:w="0" w:type="auto"/>
            <w:tcMar>
              <w:top w:w="15" w:type="dxa"/>
              <w:left w:w="75" w:type="dxa"/>
              <w:bottom w:w="15" w:type="dxa"/>
              <w:right w:w="75" w:type="dxa"/>
            </w:tcMar>
            <w:vAlign w:val="center"/>
            <w:hideMark/>
          </w:tcPr>
          <w:p w14:paraId="44220E63" w14:textId="77777777" w:rsidR="00AF6702" w:rsidRPr="00702882" w:rsidRDefault="00AF6702" w:rsidP="005C1AFD">
            <w:pPr>
              <w:spacing w:before="150" w:after="150"/>
              <w:contextualSpacing/>
              <w:rPr>
                <w:sz w:val="20"/>
                <w:szCs w:val="20"/>
              </w:rPr>
            </w:pPr>
            <w:r w:rsidRPr="00702882">
              <w:rPr>
                <w:sz w:val="20"/>
                <w:szCs w:val="20"/>
              </w:rPr>
              <w:t>-0.41 (0.40)</w:t>
            </w:r>
          </w:p>
        </w:tc>
        <w:tc>
          <w:tcPr>
            <w:tcW w:w="0" w:type="auto"/>
            <w:tcMar>
              <w:top w:w="15" w:type="dxa"/>
              <w:left w:w="75" w:type="dxa"/>
              <w:bottom w:w="15" w:type="dxa"/>
              <w:right w:w="75" w:type="dxa"/>
            </w:tcMar>
            <w:vAlign w:val="center"/>
            <w:hideMark/>
          </w:tcPr>
          <w:p w14:paraId="698EC966" w14:textId="77777777" w:rsidR="00AF6702" w:rsidRPr="00702882" w:rsidRDefault="00AF6702" w:rsidP="005C1AFD">
            <w:pPr>
              <w:spacing w:before="150" w:after="150"/>
              <w:contextualSpacing/>
              <w:rPr>
                <w:sz w:val="20"/>
                <w:szCs w:val="20"/>
              </w:rPr>
            </w:pPr>
            <w:r w:rsidRPr="00702882">
              <w:rPr>
                <w:sz w:val="20"/>
                <w:szCs w:val="20"/>
              </w:rPr>
              <w:t>-0.02 (0.29)</w:t>
            </w:r>
          </w:p>
        </w:tc>
        <w:tc>
          <w:tcPr>
            <w:tcW w:w="0" w:type="auto"/>
            <w:tcMar>
              <w:top w:w="15" w:type="dxa"/>
              <w:left w:w="75" w:type="dxa"/>
              <w:bottom w:w="15" w:type="dxa"/>
              <w:right w:w="75" w:type="dxa"/>
            </w:tcMar>
            <w:vAlign w:val="center"/>
            <w:hideMark/>
          </w:tcPr>
          <w:p w14:paraId="25D13B4D" w14:textId="77777777" w:rsidR="00AF6702" w:rsidRPr="00702882" w:rsidRDefault="00AF6702" w:rsidP="005C1AFD">
            <w:pPr>
              <w:spacing w:before="150" w:after="150"/>
              <w:contextualSpacing/>
              <w:rPr>
                <w:sz w:val="20"/>
                <w:szCs w:val="20"/>
              </w:rPr>
            </w:pPr>
            <w:r w:rsidRPr="00702882">
              <w:rPr>
                <w:sz w:val="20"/>
                <w:szCs w:val="20"/>
              </w:rPr>
              <w:t>-0.02 (0.29)</w:t>
            </w:r>
          </w:p>
        </w:tc>
      </w:tr>
      <w:tr w:rsidR="00B86C9D" w:rsidRPr="00702882" w14:paraId="6C50E534" w14:textId="77777777" w:rsidTr="00AE6820">
        <w:tc>
          <w:tcPr>
            <w:tcW w:w="0" w:type="auto"/>
            <w:tcMar>
              <w:top w:w="15" w:type="dxa"/>
              <w:left w:w="75" w:type="dxa"/>
              <w:bottom w:w="15" w:type="dxa"/>
              <w:right w:w="75" w:type="dxa"/>
            </w:tcMar>
            <w:vAlign w:val="center"/>
            <w:hideMark/>
          </w:tcPr>
          <w:p w14:paraId="3F99125B" w14:textId="77777777" w:rsidR="00AF6702" w:rsidRPr="00702882" w:rsidRDefault="00AF6702" w:rsidP="005C1AFD">
            <w:pPr>
              <w:spacing w:before="150" w:after="150"/>
              <w:contextualSpacing/>
              <w:rPr>
                <w:sz w:val="20"/>
                <w:szCs w:val="20"/>
              </w:rPr>
            </w:pPr>
            <w:r w:rsidRPr="00702882">
              <w:rPr>
                <w:sz w:val="20"/>
                <w:szCs w:val="20"/>
              </w:rPr>
              <w:t>Credit_rating</w:t>
            </w:r>
          </w:p>
        </w:tc>
        <w:tc>
          <w:tcPr>
            <w:tcW w:w="0" w:type="auto"/>
            <w:tcMar>
              <w:top w:w="15" w:type="dxa"/>
              <w:left w:w="75" w:type="dxa"/>
              <w:bottom w:w="15" w:type="dxa"/>
              <w:right w:w="75" w:type="dxa"/>
            </w:tcMar>
            <w:vAlign w:val="center"/>
            <w:hideMark/>
          </w:tcPr>
          <w:p w14:paraId="6E620F96" w14:textId="77777777" w:rsidR="00AF6702" w:rsidRPr="00702882" w:rsidRDefault="00AF6702" w:rsidP="005C1AFD">
            <w:pPr>
              <w:spacing w:before="150" w:after="150"/>
              <w:contextualSpacing/>
              <w:rPr>
                <w:sz w:val="20"/>
                <w:szCs w:val="20"/>
              </w:rPr>
            </w:pPr>
            <w:r w:rsidRPr="00702882">
              <w:rPr>
                <w:sz w:val="20"/>
                <w:szCs w:val="20"/>
              </w:rPr>
              <w:t>0.51 (0.51)</w:t>
            </w:r>
          </w:p>
        </w:tc>
        <w:tc>
          <w:tcPr>
            <w:tcW w:w="0" w:type="auto"/>
            <w:tcMar>
              <w:top w:w="15" w:type="dxa"/>
              <w:left w:w="75" w:type="dxa"/>
              <w:bottom w:w="15" w:type="dxa"/>
              <w:right w:w="75" w:type="dxa"/>
            </w:tcMar>
            <w:vAlign w:val="center"/>
            <w:hideMark/>
          </w:tcPr>
          <w:p w14:paraId="42FCE83A" w14:textId="77777777" w:rsidR="00AF6702" w:rsidRPr="00702882" w:rsidRDefault="00AF6702" w:rsidP="005C1AFD">
            <w:pPr>
              <w:spacing w:before="150" w:after="150"/>
              <w:contextualSpacing/>
              <w:rPr>
                <w:sz w:val="20"/>
                <w:szCs w:val="20"/>
              </w:rPr>
            </w:pPr>
            <w:r w:rsidRPr="00702882">
              <w:rPr>
                <w:sz w:val="20"/>
                <w:szCs w:val="20"/>
              </w:rPr>
              <w:t>0.44 (0.52)</w:t>
            </w:r>
          </w:p>
        </w:tc>
        <w:tc>
          <w:tcPr>
            <w:tcW w:w="0" w:type="auto"/>
            <w:tcMar>
              <w:top w:w="15" w:type="dxa"/>
              <w:left w:w="75" w:type="dxa"/>
              <w:bottom w:w="15" w:type="dxa"/>
              <w:right w:w="75" w:type="dxa"/>
            </w:tcMar>
            <w:vAlign w:val="center"/>
            <w:hideMark/>
          </w:tcPr>
          <w:p w14:paraId="7B65C0EC" w14:textId="77777777" w:rsidR="00AF6702" w:rsidRPr="00702882" w:rsidRDefault="00AF6702" w:rsidP="005C1AFD">
            <w:pPr>
              <w:spacing w:before="150" w:after="150"/>
              <w:contextualSpacing/>
              <w:rPr>
                <w:sz w:val="20"/>
                <w:szCs w:val="20"/>
              </w:rPr>
            </w:pPr>
            <w:r w:rsidRPr="00702882">
              <w:rPr>
                <w:sz w:val="20"/>
                <w:szCs w:val="20"/>
              </w:rPr>
              <w:t>0.42 (0.51)</w:t>
            </w:r>
          </w:p>
        </w:tc>
        <w:tc>
          <w:tcPr>
            <w:tcW w:w="0" w:type="auto"/>
            <w:tcMar>
              <w:top w:w="15" w:type="dxa"/>
              <w:left w:w="75" w:type="dxa"/>
              <w:bottom w:w="15" w:type="dxa"/>
              <w:right w:w="75" w:type="dxa"/>
            </w:tcMar>
            <w:vAlign w:val="center"/>
            <w:hideMark/>
          </w:tcPr>
          <w:p w14:paraId="09A7255C" w14:textId="77777777" w:rsidR="00AF6702" w:rsidRPr="00702882" w:rsidRDefault="00AF6702" w:rsidP="005C1AFD">
            <w:pPr>
              <w:spacing w:before="150" w:after="150"/>
              <w:contextualSpacing/>
              <w:rPr>
                <w:sz w:val="20"/>
                <w:szCs w:val="20"/>
              </w:rPr>
            </w:pPr>
            <w:r w:rsidRPr="00702882">
              <w:rPr>
                <w:sz w:val="20"/>
                <w:szCs w:val="20"/>
              </w:rPr>
              <w:t>0.42 (0.51)</w:t>
            </w:r>
          </w:p>
        </w:tc>
      </w:tr>
      <w:tr w:rsidR="00B86C9D" w:rsidRPr="00702882" w14:paraId="2CAA10BB" w14:textId="77777777" w:rsidTr="00AE6820">
        <w:tc>
          <w:tcPr>
            <w:tcW w:w="0" w:type="auto"/>
            <w:tcMar>
              <w:top w:w="15" w:type="dxa"/>
              <w:left w:w="75" w:type="dxa"/>
              <w:bottom w:w="15" w:type="dxa"/>
              <w:right w:w="75" w:type="dxa"/>
            </w:tcMar>
            <w:vAlign w:val="center"/>
            <w:hideMark/>
          </w:tcPr>
          <w:p w14:paraId="7675F13A" w14:textId="77777777" w:rsidR="00AF6702" w:rsidRPr="00702882" w:rsidRDefault="00AF6702" w:rsidP="005C1AFD">
            <w:pPr>
              <w:spacing w:before="150" w:after="150"/>
              <w:contextualSpacing/>
              <w:rPr>
                <w:sz w:val="20"/>
                <w:szCs w:val="20"/>
              </w:rPr>
            </w:pPr>
            <w:r w:rsidRPr="00702882">
              <w:rPr>
                <w:sz w:val="20"/>
                <w:szCs w:val="20"/>
              </w:rPr>
              <w:t>Income_thousands</w:t>
            </w:r>
          </w:p>
        </w:tc>
        <w:tc>
          <w:tcPr>
            <w:tcW w:w="0" w:type="auto"/>
            <w:tcMar>
              <w:top w:w="15" w:type="dxa"/>
              <w:left w:w="75" w:type="dxa"/>
              <w:bottom w:w="15" w:type="dxa"/>
              <w:right w:w="75" w:type="dxa"/>
            </w:tcMar>
            <w:vAlign w:val="center"/>
            <w:hideMark/>
          </w:tcPr>
          <w:p w14:paraId="25B4294B" w14:textId="77777777" w:rsidR="00AF6702" w:rsidRPr="00702882" w:rsidRDefault="00AF6702" w:rsidP="005C1AFD">
            <w:pPr>
              <w:spacing w:before="150" w:after="150"/>
              <w:contextualSpacing/>
              <w:rPr>
                <w:sz w:val="20"/>
                <w:szCs w:val="20"/>
              </w:rPr>
            </w:pPr>
            <w:r w:rsidRPr="00702882">
              <w:rPr>
                <w:sz w:val="20"/>
                <w:szCs w:val="20"/>
              </w:rPr>
              <w:t>0.62 (0.25)</w:t>
            </w:r>
            <w:r w:rsidRPr="00702882">
              <w:rPr>
                <w:sz w:val="20"/>
                <w:szCs w:val="20"/>
                <w:vertAlign w:val="superscript"/>
              </w:rPr>
              <w:t>**</w:t>
            </w:r>
          </w:p>
        </w:tc>
        <w:tc>
          <w:tcPr>
            <w:tcW w:w="0" w:type="auto"/>
            <w:tcMar>
              <w:top w:w="15" w:type="dxa"/>
              <w:left w:w="75" w:type="dxa"/>
              <w:bottom w:w="15" w:type="dxa"/>
              <w:right w:w="75" w:type="dxa"/>
            </w:tcMar>
            <w:vAlign w:val="center"/>
            <w:hideMark/>
          </w:tcPr>
          <w:p w14:paraId="0BA0F964" w14:textId="77777777" w:rsidR="00AF6702" w:rsidRPr="00702882" w:rsidRDefault="00AF6702" w:rsidP="005C1AFD">
            <w:pPr>
              <w:spacing w:before="150" w:after="150"/>
              <w:contextualSpacing/>
              <w:rPr>
                <w:sz w:val="20"/>
                <w:szCs w:val="20"/>
              </w:rPr>
            </w:pPr>
            <w:r w:rsidRPr="00702882">
              <w:rPr>
                <w:sz w:val="20"/>
                <w:szCs w:val="20"/>
              </w:rPr>
              <w:t>0.62 (0.25)</w:t>
            </w:r>
            <w:r w:rsidRPr="00702882">
              <w:rPr>
                <w:sz w:val="20"/>
                <w:szCs w:val="20"/>
                <w:vertAlign w:val="superscript"/>
              </w:rPr>
              <w:t>**</w:t>
            </w:r>
          </w:p>
        </w:tc>
        <w:tc>
          <w:tcPr>
            <w:tcW w:w="0" w:type="auto"/>
            <w:tcMar>
              <w:top w:w="15" w:type="dxa"/>
              <w:left w:w="75" w:type="dxa"/>
              <w:bottom w:w="15" w:type="dxa"/>
              <w:right w:w="75" w:type="dxa"/>
            </w:tcMar>
            <w:vAlign w:val="center"/>
            <w:hideMark/>
          </w:tcPr>
          <w:p w14:paraId="398C2E52" w14:textId="77777777" w:rsidR="00AF6702" w:rsidRPr="00702882" w:rsidRDefault="00AF6702" w:rsidP="005C1AFD">
            <w:pPr>
              <w:spacing w:before="150" w:after="150"/>
              <w:contextualSpacing/>
              <w:rPr>
                <w:sz w:val="20"/>
                <w:szCs w:val="20"/>
              </w:rPr>
            </w:pPr>
            <w:r w:rsidRPr="00702882">
              <w:rPr>
                <w:sz w:val="20"/>
                <w:szCs w:val="20"/>
              </w:rPr>
              <w:t>0.61 (0.24)</w:t>
            </w:r>
            <w:r w:rsidRPr="00702882">
              <w:rPr>
                <w:sz w:val="20"/>
                <w:szCs w:val="20"/>
                <w:vertAlign w:val="superscript"/>
              </w:rPr>
              <w:t>**</w:t>
            </w:r>
          </w:p>
        </w:tc>
        <w:tc>
          <w:tcPr>
            <w:tcW w:w="0" w:type="auto"/>
            <w:tcMar>
              <w:top w:w="15" w:type="dxa"/>
              <w:left w:w="75" w:type="dxa"/>
              <w:bottom w:w="15" w:type="dxa"/>
              <w:right w:w="75" w:type="dxa"/>
            </w:tcMar>
            <w:vAlign w:val="center"/>
            <w:hideMark/>
          </w:tcPr>
          <w:p w14:paraId="51D9D415" w14:textId="77777777" w:rsidR="00AF6702" w:rsidRPr="00702882" w:rsidRDefault="00AF6702" w:rsidP="005C1AFD">
            <w:pPr>
              <w:spacing w:before="150" w:after="150"/>
              <w:contextualSpacing/>
              <w:rPr>
                <w:sz w:val="20"/>
                <w:szCs w:val="20"/>
              </w:rPr>
            </w:pPr>
            <w:r w:rsidRPr="00702882">
              <w:rPr>
                <w:sz w:val="20"/>
                <w:szCs w:val="20"/>
              </w:rPr>
              <w:t>0.61 (0.24)</w:t>
            </w:r>
            <w:r w:rsidRPr="00702882">
              <w:rPr>
                <w:sz w:val="20"/>
                <w:szCs w:val="20"/>
                <w:vertAlign w:val="superscript"/>
              </w:rPr>
              <w:t>**</w:t>
            </w:r>
          </w:p>
        </w:tc>
      </w:tr>
      <w:tr w:rsidR="00B86C9D" w:rsidRPr="00702882" w14:paraId="31EFBA61" w14:textId="77777777" w:rsidTr="00AE6820">
        <w:tc>
          <w:tcPr>
            <w:tcW w:w="0" w:type="auto"/>
            <w:tcMar>
              <w:top w:w="15" w:type="dxa"/>
              <w:left w:w="75" w:type="dxa"/>
              <w:bottom w:w="15" w:type="dxa"/>
              <w:right w:w="75" w:type="dxa"/>
            </w:tcMar>
            <w:vAlign w:val="center"/>
            <w:hideMark/>
          </w:tcPr>
          <w:p w14:paraId="1350AD61" w14:textId="77777777" w:rsidR="00AF6702" w:rsidRPr="00702882" w:rsidRDefault="00AF6702" w:rsidP="005C1AFD">
            <w:pPr>
              <w:spacing w:before="150" w:after="150"/>
              <w:contextualSpacing/>
              <w:rPr>
                <w:sz w:val="20"/>
                <w:szCs w:val="20"/>
              </w:rPr>
            </w:pPr>
            <w:r w:rsidRPr="00702882">
              <w:rPr>
                <w:sz w:val="20"/>
                <w:szCs w:val="20"/>
              </w:rPr>
              <w:t>Population_million</w:t>
            </w:r>
          </w:p>
        </w:tc>
        <w:tc>
          <w:tcPr>
            <w:tcW w:w="0" w:type="auto"/>
            <w:tcMar>
              <w:top w:w="15" w:type="dxa"/>
              <w:left w:w="75" w:type="dxa"/>
              <w:bottom w:w="15" w:type="dxa"/>
              <w:right w:w="75" w:type="dxa"/>
            </w:tcMar>
            <w:vAlign w:val="center"/>
            <w:hideMark/>
          </w:tcPr>
          <w:p w14:paraId="191814BE" w14:textId="77777777" w:rsidR="00AF6702" w:rsidRPr="00702882" w:rsidRDefault="00AF6702" w:rsidP="005C1AFD">
            <w:pPr>
              <w:spacing w:before="150" w:after="150"/>
              <w:contextualSpacing/>
              <w:rPr>
                <w:sz w:val="20"/>
                <w:szCs w:val="20"/>
              </w:rPr>
            </w:pPr>
            <w:r w:rsidRPr="00702882">
              <w:rPr>
                <w:sz w:val="20"/>
                <w:szCs w:val="20"/>
              </w:rPr>
              <w:t>-1.95 (0.53)</w:t>
            </w:r>
            <w:r w:rsidRPr="00702882">
              <w:rPr>
                <w:sz w:val="20"/>
                <w:szCs w:val="20"/>
                <w:vertAlign w:val="superscript"/>
              </w:rPr>
              <w:t>***</w:t>
            </w:r>
          </w:p>
        </w:tc>
        <w:tc>
          <w:tcPr>
            <w:tcW w:w="0" w:type="auto"/>
            <w:tcMar>
              <w:top w:w="15" w:type="dxa"/>
              <w:left w:w="75" w:type="dxa"/>
              <w:bottom w:w="15" w:type="dxa"/>
              <w:right w:w="75" w:type="dxa"/>
            </w:tcMar>
            <w:vAlign w:val="center"/>
            <w:hideMark/>
          </w:tcPr>
          <w:p w14:paraId="4BE080D5" w14:textId="77777777" w:rsidR="00AF6702" w:rsidRPr="00702882" w:rsidRDefault="00AF6702" w:rsidP="005C1AFD">
            <w:pPr>
              <w:spacing w:before="150" w:after="150"/>
              <w:contextualSpacing/>
              <w:rPr>
                <w:sz w:val="20"/>
                <w:szCs w:val="20"/>
              </w:rPr>
            </w:pPr>
            <w:r w:rsidRPr="00702882">
              <w:rPr>
                <w:sz w:val="20"/>
                <w:szCs w:val="20"/>
              </w:rPr>
              <w:t>-2.02 (0.58)</w:t>
            </w:r>
            <w:r w:rsidRPr="00702882">
              <w:rPr>
                <w:sz w:val="20"/>
                <w:szCs w:val="20"/>
                <w:vertAlign w:val="superscript"/>
              </w:rPr>
              <w:t>***</w:t>
            </w:r>
          </w:p>
        </w:tc>
        <w:tc>
          <w:tcPr>
            <w:tcW w:w="0" w:type="auto"/>
            <w:tcMar>
              <w:top w:w="15" w:type="dxa"/>
              <w:left w:w="75" w:type="dxa"/>
              <w:bottom w:w="15" w:type="dxa"/>
              <w:right w:w="75" w:type="dxa"/>
            </w:tcMar>
            <w:vAlign w:val="center"/>
            <w:hideMark/>
          </w:tcPr>
          <w:p w14:paraId="7EBB53FA" w14:textId="77777777" w:rsidR="00AF6702" w:rsidRPr="00702882" w:rsidRDefault="00AF6702" w:rsidP="005C1AFD">
            <w:pPr>
              <w:spacing w:before="150" w:after="150"/>
              <w:contextualSpacing/>
              <w:rPr>
                <w:sz w:val="20"/>
                <w:szCs w:val="20"/>
              </w:rPr>
            </w:pPr>
            <w:r w:rsidRPr="00702882">
              <w:rPr>
                <w:sz w:val="20"/>
                <w:szCs w:val="20"/>
              </w:rPr>
              <w:t>-2.17 (0.55)</w:t>
            </w:r>
            <w:r w:rsidRPr="00702882">
              <w:rPr>
                <w:sz w:val="20"/>
                <w:szCs w:val="20"/>
                <w:vertAlign w:val="superscript"/>
              </w:rPr>
              <w:t>***</w:t>
            </w:r>
          </w:p>
        </w:tc>
        <w:tc>
          <w:tcPr>
            <w:tcW w:w="0" w:type="auto"/>
            <w:tcMar>
              <w:top w:w="15" w:type="dxa"/>
              <w:left w:w="75" w:type="dxa"/>
              <w:bottom w:w="15" w:type="dxa"/>
              <w:right w:w="75" w:type="dxa"/>
            </w:tcMar>
            <w:vAlign w:val="center"/>
            <w:hideMark/>
          </w:tcPr>
          <w:p w14:paraId="73918D89" w14:textId="77777777" w:rsidR="00AF6702" w:rsidRPr="00702882" w:rsidRDefault="00AF6702" w:rsidP="005C1AFD">
            <w:pPr>
              <w:spacing w:before="150" w:after="150"/>
              <w:contextualSpacing/>
              <w:rPr>
                <w:sz w:val="20"/>
                <w:szCs w:val="20"/>
              </w:rPr>
            </w:pPr>
            <w:r w:rsidRPr="00702882">
              <w:rPr>
                <w:sz w:val="20"/>
                <w:szCs w:val="20"/>
              </w:rPr>
              <w:t>-2.17 (0.55)</w:t>
            </w:r>
            <w:r w:rsidRPr="00702882">
              <w:rPr>
                <w:sz w:val="20"/>
                <w:szCs w:val="20"/>
                <w:vertAlign w:val="superscript"/>
              </w:rPr>
              <w:t>***</w:t>
            </w:r>
          </w:p>
        </w:tc>
      </w:tr>
      <w:tr w:rsidR="00B86C9D" w:rsidRPr="00702882" w14:paraId="6DEECFC4" w14:textId="77777777" w:rsidTr="00AE6820">
        <w:tc>
          <w:tcPr>
            <w:tcW w:w="0" w:type="auto"/>
            <w:tcMar>
              <w:top w:w="15" w:type="dxa"/>
              <w:left w:w="75" w:type="dxa"/>
              <w:bottom w:w="15" w:type="dxa"/>
              <w:right w:w="75" w:type="dxa"/>
            </w:tcMar>
            <w:vAlign w:val="center"/>
            <w:hideMark/>
          </w:tcPr>
          <w:p w14:paraId="54CDED95" w14:textId="77777777" w:rsidR="00AF6702" w:rsidRPr="00702882" w:rsidRDefault="00AF6702" w:rsidP="005C1AFD">
            <w:pPr>
              <w:spacing w:before="150" w:after="150"/>
              <w:contextualSpacing/>
              <w:rPr>
                <w:sz w:val="20"/>
                <w:szCs w:val="20"/>
              </w:rPr>
            </w:pPr>
            <w:r w:rsidRPr="00702882">
              <w:rPr>
                <w:sz w:val="20"/>
                <w:szCs w:val="20"/>
              </w:rPr>
              <w:t>TEL</w:t>
            </w:r>
          </w:p>
        </w:tc>
        <w:tc>
          <w:tcPr>
            <w:tcW w:w="0" w:type="auto"/>
            <w:tcMar>
              <w:top w:w="15" w:type="dxa"/>
              <w:left w:w="75" w:type="dxa"/>
              <w:bottom w:w="15" w:type="dxa"/>
              <w:right w:w="75" w:type="dxa"/>
            </w:tcMar>
            <w:vAlign w:val="center"/>
            <w:hideMark/>
          </w:tcPr>
          <w:p w14:paraId="7B205EDE" w14:textId="77777777" w:rsidR="00AF6702" w:rsidRPr="00702882" w:rsidRDefault="00AF6702" w:rsidP="005C1AFD">
            <w:pPr>
              <w:spacing w:before="150" w:after="150"/>
              <w:contextualSpacing/>
              <w:rPr>
                <w:sz w:val="20"/>
                <w:szCs w:val="20"/>
              </w:rPr>
            </w:pPr>
            <w:r w:rsidRPr="00702882">
              <w:rPr>
                <w:sz w:val="20"/>
                <w:szCs w:val="20"/>
              </w:rPr>
              <w:t>-0.09 (0.09)</w:t>
            </w:r>
          </w:p>
        </w:tc>
        <w:tc>
          <w:tcPr>
            <w:tcW w:w="0" w:type="auto"/>
            <w:tcMar>
              <w:top w:w="15" w:type="dxa"/>
              <w:left w:w="75" w:type="dxa"/>
              <w:bottom w:w="15" w:type="dxa"/>
              <w:right w:w="75" w:type="dxa"/>
            </w:tcMar>
            <w:vAlign w:val="center"/>
            <w:hideMark/>
          </w:tcPr>
          <w:p w14:paraId="23E46083" w14:textId="77777777" w:rsidR="00AF6702" w:rsidRPr="00702882" w:rsidRDefault="00AF6702" w:rsidP="005C1AFD">
            <w:pPr>
              <w:spacing w:before="150" w:after="150"/>
              <w:contextualSpacing/>
              <w:rPr>
                <w:sz w:val="20"/>
                <w:szCs w:val="20"/>
              </w:rPr>
            </w:pPr>
            <w:r w:rsidRPr="00702882">
              <w:rPr>
                <w:sz w:val="20"/>
                <w:szCs w:val="20"/>
              </w:rPr>
              <w:t>-0.11 (0.09)</w:t>
            </w:r>
          </w:p>
        </w:tc>
        <w:tc>
          <w:tcPr>
            <w:tcW w:w="0" w:type="auto"/>
            <w:tcMar>
              <w:top w:w="15" w:type="dxa"/>
              <w:left w:w="75" w:type="dxa"/>
              <w:bottom w:w="15" w:type="dxa"/>
              <w:right w:w="75" w:type="dxa"/>
            </w:tcMar>
            <w:vAlign w:val="center"/>
            <w:hideMark/>
          </w:tcPr>
          <w:p w14:paraId="0B5750CB" w14:textId="77777777" w:rsidR="00AF6702" w:rsidRPr="00702882" w:rsidRDefault="00AF6702" w:rsidP="005C1AFD">
            <w:pPr>
              <w:spacing w:before="150" w:after="150"/>
              <w:contextualSpacing/>
              <w:rPr>
                <w:sz w:val="20"/>
                <w:szCs w:val="20"/>
              </w:rPr>
            </w:pPr>
            <w:r w:rsidRPr="00702882">
              <w:rPr>
                <w:sz w:val="20"/>
                <w:szCs w:val="20"/>
              </w:rPr>
              <w:t>-0.10 (0.09)</w:t>
            </w:r>
          </w:p>
        </w:tc>
        <w:tc>
          <w:tcPr>
            <w:tcW w:w="0" w:type="auto"/>
            <w:tcMar>
              <w:top w:w="15" w:type="dxa"/>
              <w:left w:w="75" w:type="dxa"/>
              <w:bottom w:w="15" w:type="dxa"/>
              <w:right w:w="75" w:type="dxa"/>
            </w:tcMar>
            <w:vAlign w:val="center"/>
            <w:hideMark/>
          </w:tcPr>
          <w:p w14:paraId="2FC32F00" w14:textId="77777777" w:rsidR="00AF6702" w:rsidRPr="00702882" w:rsidRDefault="00AF6702" w:rsidP="005C1AFD">
            <w:pPr>
              <w:spacing w:before="150" w:after="150"/>
              <w:contextualSpacing/>
              <w:rPr>
                <w:sz w:val="20"/>
                <w:szCs w:val="20"/>
              </w:rPr>
            </w:pPr>
            <w:r w:rsidRPr="00702882">
              <w:rPr>
                <w:sz w:val="20"/>
                <w:szCs w:val="20"/>
              </w:rPr>
              <w:t>-0.10 (0.09)</w:t>
            </w:r>
          </w:p>
        </w:tc>
      </w:tr>
      <w:tr w:rsidR="00B86C9D" w:rsidRPr="00702882" w14:paraId="6D6A5BFE" w14:textId="77777777" w:rsidTr="00AE6820">
        <w:tc>
          <w:tcPr>
            <w:tcW w:w="0" w:type="auto"/>
            <w:tcMar>
              <w:top w:w="15" w:type="dxa"/>
              <w:left w:w="75" w:type="dxa"/>
              <w:bottom w:w="15" w:type="dxa"/>
              <w:right w:w="75" w:type="dxa"/>
            </w:tcMar>
            <w:vAlign w:val="center"/>
            <w:hideMark/>
          </w:tcPr>
          <w:p w14:paraId="7DA577F4" w14:textId="77777777" w:rsidR="00AF6702" w:rsidRPr="00702882" w:rsidRDefault="00AF6702" w:rsidP="005C1AFD">
            <w:pPr>
              <w:spacing w:before="150" w:after="150"/>
              <w:contextualSpacing/>
              <w:rPr>
                <w:sz w:val="20"/>
                <w:szCs w:val="20"/>
              </w:rPr>
            </w:pPr>
            <w:r w:rsidRPr="00702882">
              <w:rPr>
                <w:sz w:val="20"/>
                <w:szCs w:val="20"/>
              </w:rPr>
              <w:t>BBR</w:t>
            </w:r>
          </w:p>
        </w:tc>
        <w:tc>
          <w:tcPr>
            <w:tcW w:w="0" w:type="auto"/>
            <w:tcMar>
              <w:top w:w="15" w:type="dxa"/>
              <w:left w:w="75" w:type="dxa"/>
              <w:bottom w:w="15" w:type="dxa"/>
              <w:right w:w="75" w:type="dxa"/>
            </w:tcMar>
            <w:vAlign w:val="center"/>
            <w:hideMark/>
          </w:tcPr>
          <w:p w14:paraId="4FF7BF41" w14:textId="77777777" w:rsidR="00AF6702" w:rsidRPr="00702882" w:rsidRDefault="00AF6702" w:rsidP="005C1AFD">
            <w:pPr>
              <w:spacing w:before="150" w:after="150"/>
              <w:contextualSpacing/>
              <w:rPr>
                <w:sz w:val="20"/>
                <w:szCs w:val="20"/>
              </w:rPr>
            </w:pPr>
            <w:r w:rsidRPr="00702882">
              <w:rPr>
                <w:sz w:val="20"/>
                <w:szCs w:val="20"/>
              </w:rPr>
              <w:t>-1.83 (1.16)</w:t>
            </w:r>
          </w:p>
        </w:tc>
        <w:tc>
          <w:tcPr>
            <w:tcW w:w="0" w:type="auto"/>
            <w:tcMar>
              <w:top w:w="15" w:type="dxa"/>
              <w:left w:w="75" w:type="dxa"/>
              <w:bottom w:w="15" w:type="dxa"/>
              <w:right w:w="75" w:type="dxa"/>
            </w:tcMar>
            <w:vAlign w:val="center"/>
            <w:hideMark/>
          </w:tcPr>
          <w:p w14:paraId="6E7104F1" w14:textId="77777777" w:rsidR="00AF6702" w:rsidRPr="00702882" w:rsidRDefault="00AF6702" w:rsidP="005C1AFD">
            <w:pPr>
              <w:spacing w:before="150" w:after="150"/>
              <w:contextualSpacing/>
              <w:rPr>
                <w:sz w:val="20"/>
                <w:szCs w:val="20"/>
              </w:rPr>
            </w:pPr>
            <w:r w:rsidRPr="00702882">
              <w:rPr>
                <w:sz w:val="20"/>
                <w:szCs w:val="20"/>
              </w:rPr>
              <w:t>-1.86 (1.20)</w:t>
            </w:r>
          </w:p>
        </w:tc>
        <w:tc>
          <w:tcPr>
            <w:tcW w:w="0" w:type="auto"/>
            <w:tcMar>
              <w:top w:w="15" w:type="dxa"/>
              <w:left w:w="75" w:type="dxa"/>
              <w:bottom w:w="15" w:type="dxa"/>
              <w:right w:w="75" w:type="dxa"/>
            </w:tcMar>
            <w:vAlign w:val="center"/>
            <w:hideMark/>
          </w:tcPr>
          <w:p w14:paraId="00D773B6" w14:textId="77777777" w:rsidR="00AF6702" w:rsidRPr="00702882" w:rsidRDefault="00AF6702" w:rsidP="005C1AFD">
            <w:pPr>
              <w:spacing w:before="150" w:after="150"/>
              <w:contextualSpacing/>
              <w:rPr>
                <w:sz w:val="20"/>
                <w:szCs w:val="20"/>
              </w:rPr>
            </w:pPr>
            <w:r w:rsidRPr="00702882">
              <w:rPr>
                <w:sz w:val="20"/>
                <w:szCs w:val="20"/>
              </w:rPr>
              <w:t>-1.65 (1.10)</w:t>
            </w:r>
          </w:p>
        </w:tc>
        <w:tc>
          <w:tcPr>
            <w:tcW w:w="0" w:type="auto"/>
            <w:tcMar>
              <w:top w:w="15" w:type="dxa"/>
              <w:left w:w="75" w:type="dxa"/>
              <w:bottom w:w="15" w:type="dxa"/>
              <w:right w:w="75" w:type="dxa"/>
            </w:tcMar>
            <w:vAlign w:val="center"/>
            <w:hideMark/>
          </w:tcPr>
          <w:p w14:paraId="647EBECB" w14:textId="77777777" w:rsidR="00AF6702" w:rsidRPr="00702882" w:rsidRDefault="00AF6702" w:rsidP="005C1AFD">
            <w:pPr>
              <w:spacing w:before="150" w:after="150"/>
              <w:contextualSpacing/>
              <w:rPr>
                <w:sz w:val="20"/>
                <w:szCs w:val="20"/>
              </w:rPr>
            </w:pPr>
            <w:r w:rsidRPr="00702882">
              <w:rPr>
                <w:sz w:val="20"/>
                <w:szCs w:val="20"/>
              </w:rPr>
              <w:t>-1.65 (1.10)</w:t>
            </w:r>
          </w:p>
        </w:tc>
      </w:tr>
      <w:tr w:rsidR="00B86C9D" w:rsidRPr="00702882" w14:paraId="22AC5725" w14:textId="77777777" w:rsidTr="00AE6820">
        <w:tc>
          <w:tcPr>
            <w:tcW w:w="0" w:type="auto"/>
            <w:tcMar>
              <w:top w:w="15" w:type="dxa"/>
              <w:left w:w="75" w:type="dxa"/>
              <w:bottom w:w="15" w:type="dxa"/>
              <w:right w:w="75" w:type="dxa"/>
            </w:tcMar>
            <w:vAlign w:val="center"/>
            <w:hideMark/>
          </w:tcPr>
          <w:p w14:paraId="24581A4F" w14:textId="77777777" w:rsidR="00AF6702" w:rsidRPr="00702882" w:rsidRDefault="00AF6702" w:rsidP="005C1AFD">
            <w:pPr>
              <w:spacing w:before="150" w:after="150"/>
              <w:contextualSpacing/>
              <w:rPr>
                <w:sz w:val="20"/>
                <w:szCs w:val="20"/>
              </w:rPr>
            </w:pPr>
            <w:r w:rsidRPr="00702882">
              <w:rPr>
                <w:sz w:val="20"/>
                <w:szCs w:val="20"/>
              </w:rPr>
              <w:t>Election</w:t>
            </w:r>
          </w:p>
        </w:tc>
        <w:tc>
          <w:tcPr>
            <w:tcW w:w="0" w:type="auto"/>
            <w:tcMar>
              <w:top w:w="15" w:type="dxa"/>
              <w:left w:w="75" w:type="dxa"/>
              <w:bottom w:w="15" w:type="dxa"/>
              <w:right w:w="75" w:type="dxa"/>
            </w:tcMar>
            <w:vAlign w:val="center"/>
            <w:hideMark/>
          </w:tcPr>
          <w:p w14:paraId="62F60610" w14:textId="77777777" w:rsidR="00AF6702" w:rsidRPr="00702882" w:rsidRDefault="00AF6702" w:rsidP="005C1AFD">
            <w:pPr>
              <w:spacing w:before="150" w:after="150"/>
              <w:contextualSpacing/>
              <w:rPr>
                <w:sz w:val="20"/>
                <w:szCs w:val="20"/>
              </w:rPr>
            </w:pPr>
            <w:r w:rsidRPr="00702882">
              <w:rPr>
                <w:sz w:val="20"/>
                <w:szCs w:val="20"/>
              </w:rPr>
              <w:t>0.44 (0.31)</w:t>
            </w:r>
          </w:p>
        </w:tc>
        <w:tc>
          <w:tcPr>
            <w:tcW w:w="0" w:type="auto"/>
            <w:tcMar>
              <w:top w:w="15" w:type="dxa"/>
              <w:left w:w="75" w:type="dxa"/>
              <w:bottom w:w="15" w:type="dxa"/>
              <w:right w:w="75" w:type="dxa"/>
            </w:tcMar>
            <w:vAlign w:val="center"/>
            <w:hideMark/>
          </w:tcPr>
          <w:p w14:paraId="13538AF4" w14:textId="77777777" w:rsidR="00AF6702" w:rsidRPr="00702882" w:rsidRDefault="00AF6702" w:rsidP="005C1AFD">
            <w:pPr>
              <w:spacing w:before="150" w:after="150"/>
              <w:contextualSpacing/>
              <w:rPr>
                <w:sz w:val="20"/>
                <w:szCs w:val="20"/>
              </w:rPr>
            </w:pPr>
            <w:r w:rsidRPr="00702882">
              <w:rPr>
                <w:sz w:val="20"/>
                <w:szCs w:val="20"/>
              </w:rPr>
              <w:t>0.45 (0.31)</w:t>
            </w:r>
          </w:p>
        </w:tc>
        <w:tc>
          <w:tcPr>
            <w:tcW w:w="0" w:type="auto"/>
            <w:tcMar>
              <w:top w:w="15" w:type="dxa"/>
              <w:left w:w="75" w:type="dxa"/>
              <w:bottom w:w="15" w:type="dxa"/>
              <w:right w:w="75" w:type="dxa"/>
            </w:tcMar>
            <w:vAlign w:val="center"/>
            <w:hideMark/>
          </w:tcPr>
          <w:p w14:paraId="07065EC7" w14:textId="77777777" w:rsidR="00AF6702" w:rsidRPr="00702882" w:rsidRDefault="00AF6702" w:rsidP="005C1AFD">
            <w:pPr>
              <w:spacing w:before="150" w:after="150"/>
              <w:contextualSpacing/>
              <w:rPr>
                <w:sz w:val="20"/>
                <w:szCs w:val="20"/>
              </w:rPr>
            </w:pPr>
            <w:r w:rsidRPr="00702882">
              <w:rPr>
                <w:sz w:val="20"/>
                <w:szCs w:val="20"/>
              </w:rPr>
              <w:t>0.47 (0.31)</w:t>
            </w:r>
          </w:p>
        </w:tc>
        <w:tc>
          <w:tcPr>
            <w:tcW w:w="0" w:type="auto"/>
            <w:tcMar>
              <w:top w:w="15" w:type="dxa"/>
              <w:left w:w="75" w:type="dxa"/>
              <w:bottom w:w="15" w:type="dxa"/>
              <w:right w:w="75" w:type="dxa"/>
            </w:tcMar>
            <w:vAlign w:val="center"/>
            <w:hideMark/>
          </w:tcPr>
          <w:p w14:paraId="1A6EAB3F" w14:textId="77777777" w:rsidR="00AF6702" w:rsidRPr="00702882" w:rsidRDefault="00AF6702" w:rsidP="005C1AFD">
            <w:pPr>
              <w:spacing w:before="150" w:after="150"/>
              <w:contextualSpacing/>
              <w:rPr>
                <w:sz w:val="20"/>
                <w:szCs w:val="20"/>
              </w:rPr>
            </w:pPr>
            <w:r w:rsidRPr="00702882">
              <w:rPr>
                <w:sz w:val="20"/>
                <w:szCs w:val="20"/>
              </w:rPr>
              <w:t>0.47 (0.31)</w:t>
            </w:r>
          </w:p>
        </w:tc>
      </w:tr>
      <w:tr w:rsidR="00B86C9D" w:rsidRPr="00702882" w14:paraId="0E18551C" w14:textId="77777777" w:rsidTr="00AE6820">
        <w:tc>
          <w:tcPr>
            <w:tcW w:w="0" w:type="auto"/>
            <w:tcMar>
              <w:top w:w="15" w:type="dxa"/>
              <w:left w:w="75" w:type="dxa"/>
              <w:bottom w:w="15" w:type="dxa"/>
              <w:right w:w="75" w:type="dxa"/>
            </w:tcMar>
            <w:vAlign w:val="center"/>
            <w:hideMark/>
          </w:tcPr>
          <w:p w14:paraId="4897F651" w14:textId="77777777" w:rsidR="00AF6702" w:rsidRPr="00702882" w:rsidRDefault="00AF6702" w:rsidP="005C1AFD">
            <w:pPr>
              <w:spacing w:before="150" w:after="150"/>
              <w:contextualSpacing/>
              <w:rPr>
                <w:sz w:val="20"/>
                <w:szCs w:val="20"/>
              </w:rPr>
            </w:pPr>
            <w:r w:rsidRPr="00702882">
              <w:rPr>
                <w:sz w:val="20"/>
                <w:szCs w:val="20"/>
              </w:rPr>
              <w:t>Democrat_share</w:t>
            </w:r>
          </w:p>
        </w:tc>
        <w:tc>
          <w:tcPr>
            <w:tcW w:w="0" w:type="auto"/>
            <w:tcMar>
              <w:top w:w="15" w:type="dxa"/>
              <w:left w:w="75" w:type="dxa"/>
              <w:bottom w:w="15" w:type="dxa"/>
              <w:right w:w="75" w:type="dxa"/>
            </w:tcMar>
            <w:vAlign w:val="center"/>
            <w:hideMark/>
          </w:tcPr>
          <w:p w14:paraId="08D14D08" w14:textId="77777777" w:rsidR="00AF6702" w:rsidRPr="00702882" w:rsidRDefault="00AF6702" w:rsidP="005C1AFD">
            <w:pPr>
              <w:spacing w:before="150" w:after="150"/>
              <w:contextualSpacing/>
              <w:rPr>
                <w:sz w:val="20"/>
                <w:szCs w:val="20"/>
              </w:rPr>
            </w:pPr>
            <w:r w:rsidRPr="00702882">
              <w:rPr>
                <w:sz w:val="20"/>
                <w:szCs w:val="20"/>
              </w:rPr>
              <w:t>2.71 (3.59)</w:t>
            </w:r>
          </w:p>
        </w:tc>
        <w:tc>
          <w:tcPr>
            <w:tcW w:w="0" w:type="auto"/>
            <w:tcMar>
              <w:top w:w="15" w:type="dxa"/>
              <w:left w:w="75" w:type="dxa"/>
              <w:bottom w:w="15" w:type="dxa"/>
              <w:right w:w="75" w:type="dxa"/>
            </w:tcMar>
            <w:vAlign w:val="center"/>
            <w:hideMark/>
          </w:tcPr>
          <w:p w14:paraId="6084E9F2" w14:textId="77777777" w:rsidR="00AF6702" w:rsidRPr="00702882" w:rsidRDefault="00AF6702" w:rsidP="005C1AFD">
            <w:pPr>
              <w:spacing w:before="150" w:after="150"/>
              <w:contextualSpacing/>
              <w:rPr>
                <w:sz w:val="20"/>
                <w:szCs w:val="20"/>
              </w:rPr>
            </w:pPr>
            <w:r w:rsidRPr="00702882">
              <w:rPr>
                <w:sz w:val="20"/>
                <w:szCs w:val="20"/>
              </w:rPr>
              <w:t>2.33 (3.45)</w:t>
            </w:r>
          </w:p>
        </w:tc>
        <w:tc>
          <w:tcPr>
            <w:tcW w:w="0" w:type="auto"/>
            <w:tcMar>
              <w:top w:w="15" w:type="dxa"/>
              <w:left w:w="75" w:type="dxa"/>
              <w:bottom w:w="15" w:type="dxa"/>
              <w:right w:w="75" w:type="dxa"/>
            </w:tcMar>
            <w:vAlign w:val="center"/>
            <w:hideMark/>
          </w:tcPr>
          <w:p w14:paraId="660FD209" w14:textId="77777777" w:rsidR="00AF6702" w:rsidRPr="00702882" w:rsidRDefault="00AF6702" w:rsidP="005C1AFD">
            <w:pPr>
              <w:spacing w:before="150" w:after="150"/>
              <w:contextualSpacing/>
              <w:rPr>
                <w:sz w:val="20"/>
                <w:szCs w:val="20"/>
              </w:rPr>
            </w:pPr>
            <w:r w:rsidRPr="00702882">
              <w:rPr>
                <w:sz w:val="20"/>
                <w:szCs w:val="20"/>
              </w:rPr>
              <w:t>3.05 (3.62)</w:t>
            </w:r>
          </w:p>
        </w:tc>
        <w:tc>
          <w:tcPr>
            <w:tcW w:w="0" w:type="auto"/>
            <w:tcMar>
              <w:top w:w="15" w:type="dxa"/>
              <w:left w:w="75" w:type="dxa"/>
              <w:bottom w:w="15" w:type="dxa"/>
              <w:right w:w="75" w:type="dxa"/>
            </w:tcMar>
            <w:vAlign w:val="center"/>
            <w:hideMark/>
          </w:tcPr>
          <w:p w14:paraId="07F99D68" w14:textId="77777777" w:rsidR="00AF6702" w:rsidRPr="00702882" w:rsidRDefault="00AF6702" w:rsidP="005C1AFD">
            <w:pPr>
              <w:spacing w:before="150" w:after="150"/>
              <w:contextualSpacing/>
              <w:rPr>
                <w:sz w:val="20"/>
                <w:szCs w:val="20"/>
              </w:rPr>
            </w:pPr>
            <w:r w:rsidRPr="00702882">
              <w:rPr>
                <w:sz w:val="20"/>
                <w:szCs w:val="20"/>
              </w:rPr>
              <w:t>3.05 (3.62)</w:t>
            </w:r>
          </w:p>
        </w:tc>
      </w:tr>
      <w:tr w:rsidR="00B86C9D" w:rsidRPr="00702882" w14:paraId="686A166E" w14:textId="77777777" w:rsidTr="00AE6820">
        <w:tc>
          <w:tcPr>
            <w:tcW w:w="0" w:type="auto"/>
            <w:tcMar>
              <w:top w:w="15" w:type="dxa"/>
              <w:left w:w="75" w:type="dxa"/>
              <w:bottom w:w="15" w:type="dxa"/>
              <w:right w:w="75" w:type="dxa"/>
            </w:tcMar>
            <w:vAlign w:val="center"/>
            <w:hideMark/>
          </w:tcPr>
          <w:p w14:paraId="5685BABC" w14:textId="77777777" w:rsidR="00AF6702" w:rsidRPr="00702882" w:rsidRDefault="00AF6702" w:rsidP="005C1AFD">
            <w:pPr>
              <w:spacing w:before="150" w:after="150"/>
              <w:contextualSpacing/>
              <w:rPr>
                <w:sz w:val="20"/>
                <w:szCs w:val="20"/>
              </w:rPr>
            </w:pPr>
            <w:r w:rsidRPr="00702882">
              <w:rPr>
                <w:sz w:val="20"/>
                <w:szCs w:val="20"/>
              </w:rPr>
              <w:t>Division</w:t>
            </w:r>
          </w:p>
        </w:tc>
        <w:tc>
          <w:tcPr>
            <w:tcW w:w="0" w:type="auto"/>
            <w:tcMar>
              <w:top w:w="15" w:type="dxa"/>
              <w:left w:w="75" w:type="dxa"/>
              <w:bottom w:w="15" w:type="dxa"/>
              <w:right w:w="75" w:type="dxa"/>
            </w:tcMar>
            <w:vAlign w:val="center"/>
            <w:hideMark/>
          </w:tcPr>
          <w:p w14:paraId="6359948A" w14:textId="77777777" w:rsidR="00AF6702" w:rsidRPr="00702882" w:rsidRDefault="00AF6702" w:rsidP="005C1AFD">
            <w:pPr>
              <w:spacing w:before="150" w:after="150"/>
              <w:contextualSpacing/>
              <w:rPr>
                <w:sz w:val="20"/>
                <w:szCs w:val="20"/>
              </w:rPr>
            </w:pPr>
            <w:r w:rsidRPr="00702882">
              <w:rPr>
                <w:sz w:val="20"/>
                <w:szCs w:val="20"/>
              </w:rPr>
              <w:t>-0.34 (0.32)</w:t>
            </w:r>
          </w:p>
        </w:tc>
        <w:tc>
          <w:tcPr>
            <w:tcW w:w="0" w:type="auto"/>
            <w:tcMar>
              <w:top w:w="15" w:type="dxa"/>
              <w:left w:w="75" w:type="dxa"/>
              <w:bottom w:w="15" w:type="dxa"/>
              <w:right w:w="75" w:type="dxa"/>
            </w:tcMar>
            <w:vAlign w:val="center"/>
            <w:hideMark/>
          </w:tcPr>
          <w:p w14:paraId="7EA44E97" w14:textId="77777777" w:rsidR="00AF6702" w:rsidRPr="00702882" w:rsidRDefault="00AF6702" w:rsidP="005C1AFD">
            <w:pPr>
              <w:spacing w:before="150" w:after="150"/>
              <w:contextualSpacing/>
              <w:rPr>
                <w:sz w:val="20"/>
                <w:szCs w:val="20"/>
              </w:rPr>
            </w:pPr>
            <w:r w:rsidRPr="00702882">
              <w:rPr>
                <w:sz w:val="20"/>
                <w:szCs w:val="20"/>
              </w:rPr>
              <w:t>-0.38 (0.33)</w:t>
            </w:r>
          </w:p>
        </w:tc>
        <w:tc>
          <w:tcPr>
            <w:tcW w:w="0" w:type="auto"/>
            <w:tcMar>
              <w:top w:w="15" w:type="dxa"/>
              <w:left w:w="75" w:type="dxa"/>
              <w:bottom w:w="15" w:type="dxa"/>
              <w:right w:w="75" w:type="dxa"/>
            </w:tcMar>
            <w:vAlign w:val="center"/>
            <w:hideMark/>
          </w:tcPr>
          <w:p w14:paraId="0067FC9B" w14:textId="77777777" w:rsidR="00AF6702" w:rsidRPr="00702882" w:rsidRDefault="00AF6702" w:rsidP="005C1AFD">
            <w:pPr>
              <w:spacing w:before="150" w:after="150"/>
              <w:contextualSpacing/>
              <w:rPr>
                <w:sz w:val="20"/>
                <w:szCs w:val="20"/>
              </w:rPr>
            </w:pPr>
            <w:r w:rsidRPr="00702882">
              <w:rPr>
                <w:sz w:val="20"/>
                <w:szCs w:val="20"/>
              </w:rPr>
              <w:t>-0.35 (0.32)</w:t>
            </w:r>
          </w:p>
        </w:tc>
        <w:tc>
          <w:tcPr>
            <w:tcW w:w="0" w:type="auto"/>
            <w:tcMar>
              <w:top w:w="15" w:type="dxa"/>
              <w:left w:w="75" w:type="dxa"/>
              <w:bottom w:w="15" w:type="dxa"/>
              <w:right w:w="75" w:type="dxa"/>
            </w:tcMar>
            <w:vAlign w:val="center"/>
            <w:hideMark/>
          </w:tcPr>
          <w:p w14:paraId="305282A1" w14:textId="77777777" w:rsidR="00AF6702" w:rsidRPr="00702882" w:rsidRDefault="00AF6702" w:rsidP="005C1AFD">
            <w:pPr>
              <w:spacing w:before="150" w:after="150"/>
              <w:contextualSpacing/>
              <w:rPr>
                <w:sz w:val="20"/>
                <w:szCs w:val="20"/>
              </w:rPr>
            </w:pPr>
            <w:r w:rsidRPr="00702882">
              <w:rPr>
                <w:sz w:val="20"/>
                <w:szCs w:val="20"/>
              </w:rPr>
              <w:t>-0.35 (0.32)</w:t>
            </w:r>
          </w:p>
        </w:tc>
      </w:tr>
      <w:tr w:rsidR="00B86C9D" w:rsidRPr="00702882" w14:paraId="3FB514DB" w14:textId="77777777" w:rsidTr="00AE6820">
        <w:tc>
          <w:tcPr>
            <w:tcW w:w="0" w:type="auto"/>
            <w:tcMar>
              <w:top w:w="15" w:type="dxa"/>
              <w:left w:w="75" w:type="dxa"/>
              <w:bottom w:w="15" w:type="dxa"/>
              <w:right w:w="75" w:type="dxa"/>
            </w:tcMar>
            <w:vAlign w:val="center"/>
            <w:hideMark/>
          </w:tcPr>
          <w:p w14:paraId="48EB6E2D" w14:textId="77777777" w:rsidR="00AF6702" w:rsidRPr="00702882" w:rsidRDefault="00AF6702" w:rsidP="005C1AFD">
            <w:pPr>
              <w:spacing w:before="150" w:after="150"/>
              <w:contextualSpacing/>
              <w:rPr>
                <w:sz w:val="20"/>
                <w:szCs w:val="20"/>
              </w:rPr>
            </w:pPr>
            <w:r w:rsidRPr="00702882">
              <w:rPr>
                <w:sz w:val="20"/>
                <w:szCs w:val="20"/>
              </w:rPr>
              <w:t>Number:Unemployment</w:t>
            </w:r>
          </w:p>
        </w:tc>
        <w:tc>
          <w:tcPr>
            <w:tcW w:w="0" w:type="auto"/>
            <w:tcMar>
              <w:top w:w="15" w:type="dxa"/>
              <w:left w:w="75" w:type="dxa"/>
              <w:bottom w:w="15" w:type="dxa"/>
              <w:right w:w="75" w:type="dxa"/>
            </w:tcMar>
            <w:vAlign w:val="center"/>
            <w:hideMark/>
          </w:tcPr>
          <w:p w14:paraId="0AEE83A0"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B3C4B57" w14:textId="77777777" w:rsidR="00AF6702" w:rsidRPr="00702882" w:rsidRDefault="00AF6702" w:rsidP="005C1AFD">
            <w:pPr>
              <w:spacing w:before="150" w:after="150"/>
              <w:contextualSpacing/>
              <w:rPr>
                <w:sz w:val="20"/>
                <w:szCs w:val="20"/>
              </w:rPr>
            </w:pPr>
            <w:r w:rsidRPr="00702882">
              <w:rPr>
                <w:sz w:val="20"/>
                <w:szCs w:val="20"/>
              </w:rPr>
              <w:t>0.34 (0.28)</w:t>
            </w:r>
          </w:p>
        </w:tc>
        <w:tc>
          <w:tcPr>
            <w:tcW w:w="0" w:type="auto"/>
            <w:tcMar>
              <w:top w:w="15" w:type="dxa"/>
              <w:left w:w="75" w:type="dxa"/>
              <w:bottom w:w="15" w:type="dxa"/>
              <w:right w:w="75" w:type="dxa"/>
            </w:tcMar>
            <w:vAlign w:val="center"/>
            <w:hideMark/>
          </w:tcPr>
          <w:p w14:paraId="53234DFA"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C7355F3"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6EAB26A8" w14:textId="77777777" w:rsidTr="00AE6820">
        <w:tc>
          <w:tcPr>
            <w:tcW w:w="0" w:type="auto"/>
            <w:tcMar>
              <w:top w:w="15" w:type="dxa"/>
              <w:left w:w="75" w:type="dxa"/>
              <w:bottom w:w="15" w:type="dxa"/>
              <w:right w:w="75" w:type="dxa"/>
            </w:tcMar>
            <w:vAlign w:val="center"/>
            <w:hideMark/>
          </w:tcPr>
          <w:p w14:paraId="20EDFDA3" w14:textId="77777777" w:rsidR="00AF6702" w:rsidRPr="00702882" w:rsidRDefault="00AF6702" w:rsidP="005C1AFD">
            <w:pPr>
              <w:spacing w:before="150" w:after="150"/>
              <w:contextualSpacing/>
              <w:rPr>
                <w:sz w:val="20"/>
                <w:szCs w:val="20"/>
              </w:rPr>
            </w:pPr>
            <w:r w:rsidRPr="00702882">
              <w:rPr>
                <w:sz w:val="20"/>
                <w:szCs w:val="20"/>
              </w:rPr>
              <w:t>Source_percent:Unemployment</w:t>
            </w:r>
          </w:p>
        </w:tc>
        <w:tc>
          <w:tcPr>
            <w:tcW w:w="0" w:type="auto"/>
            <w:tcMar>
              <w:top w:w="15" w:type="dxa"/>
              <w:left w:w="75" w:type="dxa"/>
              <w:bottom w:w="15" w:type="dxa"/>
              <w:right w:w="75" w:type="dxa"/>
            </w:tcMar>
            <w:vAlign w:val="center"/>
            <w:hideMark/>
          </w:tcPr>
          <w:p w14:paraId="65281527"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DC0692F" w14:textId="77777777" w:rsidR="00AF6702" w:rsidRPr="00702882" w:rsidRDefault="00AF6702" w:rsidP="005C1AFD">
            <w:pPr>
              <w:spacing w:before="150" w:after="150"/>
              <w:contextualSpacing/>
              <w:rPr>
                <w:sz w:val="20"/>
                <w:szCs w:val="20"/>
              </w:rPr>
            </w:pPr>
            <w:r w:rsidRPr="00702882">
              <w:rPr>
                <w:sz w:val="20"/>
                <w:szCs w:val="20"/>
              </w:rPr>
              <w:t>-0.87 (0.13)</w:t>
            </w:r>
            <w:r w:rsidRPr="00702882">
              <w:rPr>
                <w:sz w:val="20"/>
                <w:szCs w:val="20"/>
                <w:vertAlign w:val="superscript"/>
              </w:rPr>
              <w:t>***</w:t>
            </w:r>
          </w:p>
        </w:tc>
        <w:tc>
          <w:tcPr>
            <w:tcW w:w="0" w:type="auto"/>
            <w:tcMar>
              <w:top w:w="15" w:type="dxa"/>
              <w:left w:w="75" w:type="dxa"/>
              <w:bottom w:w="15" w:type="dxa"/>
              <w:right w:w="75" w:type="dxa"/>
            </w:tcMar>
            <w:vAlign w:val="center"/>
            <w:hideMark/>
          </w:tcPr>
          <w:p w14:paraId="69901F1E" w14:textId="77777777" w:rsidR="00AF6702" w:rsidRPr="00702882" w:rsidRDefault="00AF6702" w:rsidP="005C1AFD">
            <w:pPr>
              <w:spacing w:before="150" w:after="150"/>
              <w:contextualSpacing/>
              <w:rPr>
                <w:sz w:val="20"/>
                <w:szCs w:val="20"/>
              </w:rPr>
            </w:pPr>
            <w:r w:rsidRPr="00702882">
              <w:rPr>
                <w:sz w:val="20"/>
                <w:szCs w:val="20"/>
              </w:rPr>
              <w:t>-0.90 (0.11)</w:t>
            </w:r>
            <w:r w:rsidRPr="00702882">
              <w:rPr>
                <w:sz w:val="20"/>
                <w:szCs w:val="20"/>
                <w:vertAlign w:val="superscript"/>
              </w:rPr>
              <w:t>***</w:t>
            </w:r>
          </w:p>
        </w:tc>
        <w:tc>
          <w:tcPr>
            <w:tcW w:w="0" w:type="auto"/>
            <w:tcMar>
              <w:top w:w="15" w:type="dxa"/>
              <w:left w:w="75" w:type="dxa"/>
              <w:bottom w:w="15" w:type="dxa"/>
              <w:right w:w="75" w:type="dxa"/>
            </w:tcMar>
            <w:vAlign w:val="center"/>
            <w:hideMark/>
          </w:tcPr>
          <w:p w14:paraId="5906A314" w14:textId="77777777" w:rsidR="00AF6702" w:rsidRPr="00702882" w:rsidRDefault="00AF6702" w:rsidP="005C1AFD">
            <w:pPr>
              <w:spacing w:before="150" w:after="150"/>
              <w:contextualSpacing/>
              <w:rPr>
                <w:sz w:val="20"/>
                <w:szCs w:val="20"/>
              </w:rPr>
            </w:pPr>
            <w:r w:rsidRPr="00702882">
              <w:rPr>
                <w:sz w:val="20"/>
                <w:szCs w:val="20"/>
              </w:rPr>
              <w:t>-0.90 (0.11)</w:t>
            </w:r>
            <w:r w:rsidRPr="00702882">
              <w:rPr>
                <w:sz w:val="20"/>
                <w:szCs w:val="20"/>
                <w:vertAlign w:val="superscript"/>
              </w:rPr>
              <w:t>***</w:t>
            </w:r>
          </w:p>
        </w:tc>
      </w:tr>
      <w:tr w:rsidR="00B86C9D" w:rsidRPr="00702882" w14:paraId="17AB50BF" w14:textId="77777777" w:rsidTr="00AE6820">
        <w:tc>
          <w:tcPr>
            <w:tcW w:w="0" w:type="auto"/>
            <w:tcMar>
              <w:top w:w="15" w:type="dxa"/>
              <w:left w:w="75" w:type="dxa"/>
              <w:bottom w:w="15" w:type="dxa"/>
              <w:right w:w="75" w:type="dxa"/>
            </w:tcMar>
            <w:vAlign w:val="center"/>
            <w:hideMark/>
          </w:tcPr>
          <w:p w14:paraId="36F6E68E" w14:textId="77777777" w:rsidR="00AF6702" w:rsidRPr="00702882" w:rsidRDefault="00AF6702" w:rsidP="005C1AFD">
            <w:pPr>
              <w:spacing w:before="150" w:after="150"/>
              <w:contextualSpacing/>
              <w:rPr>
                <w:sz w:val="20"/>
                <w:szCs w:val="20"/>
              </w:rPr>
            </w:pPr>
            <w:r w:rsidRPr="00702882">
              <w:rPr>
                <w:sz w:val="20"/>
                <w:szCs w:val="20"/>
              </w:rPr>
              <w:t>Cap_percent:Unemployment</w:t>
            </w:r>
          </w:p>
        </w:tc>
        <w:tc>
          <w:tcPr>
            <w:tcW w:w="0" w:type="auto"/>
            <w:tcMar>
              <w:top w:w="15" w:type="dxa"/>
              <w:left w:w="75" w:type="dxa"/>
              <w:bottom w:w="15" w:type="dxa"/>
              <w:right w:w="75" w:type="dxa"/>
            </w:tcMar>
            <w:vAlign w:val="center"/>
            <w:hideMark/>
          </w:tcPr>
          <w:p w14:paraId="38F7A23D"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F17D109" w14:textId="77777777" w:rsidR="00AF6702" w:rsidRPr="00702882" w:rsidRDefault="00AF6702" w:rsidP="005C1AFD">
            <w:pPr>
              <w:spacing w:before="150" w:after="150"/>
              <w:contextualSpacing/>
              <w:rPr>
                <w:sz w:val="20"/>
                <w:szCs w:val="20"/>
              </w:rPr>
            </w:pPr>
            <w:r w:rsidRPr="00702882">
              <w:rPr>
                <w:sz w:val="20"/>
                <w:szCs w:val="20"/>
              </w:rPr>
              <w:t>0.02 (0.01)</w:t>
            </w:r>
          </w:p>
        </w:tc>
        <w:tc>
          <w:tcPr>
            <w:tcW w:w="0" w:type="auto"/>
            <w:tcMar>
              <w:top w:w="15" w:type="dxa"/>
              <w:left w:w="75" w:type="dxa"/>
              <w:bottom w:w="15" w:type="dxa"/>
              <w:right w:w="75" w:type="dxa"/>
            </w:tcMar>
            <w:vAlign w:val="center"/>
            <w:hideMark/>
          </w:tcPr>
          <w:p w14:paraId="1FBAF5B4"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270AD0A"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76298476" w14:textId="77777777" w:rsidTr="00AE6820">
        <w:tc>
          <w:tcPr>
            <w:tcW w:w="0" w:type="auto"/>
            <w:tcMar>
              <w:top w:w="15" w:type="dxa"/>
              <w:left w:w="75" w:type="dxa"/>
              <w:bottom w:w="15" w:type="dxa"/>
              <w:right w:w="75" w:type="dxa"/>
            </w:tcMar>
            <w:vAlign w:val="center"/>
            <w:hideMark/>
          </w:tcPr>
          <w:p w14:paraId="22456962" w14:textId="77777777" w:rsidR="00AF6702" w:rsidRPr="00702882" w:rsidRDefault="00AF6702" w:rsidP="005C1AFD">
            <w:pPr>
              <w:spacing w:before="150" w:after="150"/>
              <w:contextualSpacing/>
              <w:rPr>
                <w:sz w:val="20"/>
                <w:szCs w:val="20"/>
              </w:rPr>
            </w:pPr>
            <w:r w:rsidRPr="00702882">
              <w:rPr>
                <w:sz w:val="20"/>
                <w:szCs w:val="20"/>
              </w:rPr>
              <w:t>DepoSurplus_numeric:Unemployment</w:t>
            </w:r>
          </w:p>
        </w:tc>
        <w:tc>
          <w:tcPr>
            <w:tcW w:w="0" w:type="auto"/>
            <w:tcMar>
              <w:top w:w="15" w:type="dxa"/>
              <w:left w:w="75" w:type="dxa"/>
              <w:bottom w:w="15" w:type="dxa"/>
              <w:right w:w="75" w:type="dxa"/>
            </w:tcMar>
            <w:vAlign w:val="center"/>
            <w:hideMark/>
          </w:tcPr>
          <w:p w14:paraId="5BE89EB4"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61D51E3" w14:textId="77777777" w:rsidR="00AF6702" w:rsidRPr="00702882" w:rsidRDefault="00AF6702" w:rsidP="005C1AFD">
            <w:pPr>
              <w:spacing w:before="150" w:after="150"/>
              <w:contextualSpacing/>
              <w:rPr>
                <w:sz w:val="20"/>
                <w:szCs w:val="20"/>
              </w:rPr>
            </w:pPr>
            <w:r w:rsidRPr="00702882">
              <w:rPr>
                <w:sz w:val="20"/>
                <w:szCs w:val="20"/>
              </w:rPr>
              <w:t>-0.61 (0.25)</w:t>
            </w:r>
            <w:r w:rsidRPr="00702882">
              <w:rPr>
                <w:sz w:val="20"/>
                <w:szCs w:val="20"/>
                <w:vertAlign w:val="superscript"/>
              </w:rPr>
              <w:t>**</w:t>
            </w:r>
          </w:p>
        </w:tc>
        <w:tc>
          <w:tcPr>
            <w:tcW w:w="0" w:type="auto"/>
            <w:tcMar>
              <w:top w:w="15" w:type="dxa"/>
              <w:left w:w="75" w:type="dxa"/>
              <w:bottom w:w="15" w:type="dxa"/>
              <w:right w:w="75" w:type="dxa"/>
            </w:tcMar>
            <w:vAlign w:val="center"/>
            <w:hideMark/>
          </w:tcPr>
          <w:p w14:paraId="2DDB138F" w14:textId="77777777" w:rsidR="00AF6702" w:rsidRPr="00702882" w:rsidRDefault="00AF6702" w:rsidP="005C1AFD">
            <w:pPr>
              <w:spacing w:before="150" w:after="150"/>
              <w:contextualSpacing/>
              <w:rPr>
                <w:sz w:val="20"/>
                <w:szCs w:val="20"/>
              </w:rPr>
            </w:pPr>
            <w:r w:rsidRPr="00702882">
              <w:rPr>
                <w:sz w:val="20"/>
                <w:szCs w:val="20"/>
              </w:rPr>
              <w:t>-0.39 (0.23)</w:t>
            </w:r>
            <w:r w:rsidRPr="00702882">
              <w:rPr>
                <w:sz w:val="20"/>
                <w:szCs w:val="20"/>
                <w:vertAlign w:val="superscript"/>
              </w:rPr>
              <w:t>*</w:t>
            </w:r>
          </w:p>
        </w:tc>
        <w:tc>
          <w:tcPr>
            <w:tcW w:w="0" w:type="auto"/>
            <w:tcMar>
              <w:top w:w="15" w:type="dxa"/>
              <w:left w:w="75" w:type="dxa"/>
              <w:bottom w:w="15" w:type="dxa"/>
              <w:right w:w="75" w:type="dxa"/>
            </w:tcMar>
            <w:vAlign w:val="center"/>
            <w:hideMark/>
          </w:tcPr>
          <w:p w14:paraId="488A213A" w14:textId="77777777" w:rsidR="00AF6702" w:rsidRPr="00702882" w:rsidRDefault="00AF6702" w:rsidP="005C1AFD">
            <w:pPr>
              <w:spacing w:before="150" w:after="150"/>
              <w:contextualSpacing/>
              <w:rPr>
                <w:sz w:val="20"/>
                <w:szCs w:val="20"/>
              </w:rPr>
            </w:pPr>
            <w:r w:rsidRPr="00702882">
              <w:rPr>
                <w:sz w:val="20"/>
                <w:szCs w:val="20"/>
              </w:rPr>
              <w:t>-0.39 (0.23)</w:t>
            </w:r>
            <w:r w:rsidRPr="00702882">
              <w:rPr>
                <w:sz w:val="20"/>
                <w:szCs w:val="20"/>
                <w:vertAlign w:val="superscript"/>
              </w:rPr>
              <w:t>*</w:t>
            </w:r>
          </w:p>
        </w:tc>
      </w:tr>
      <w:tr w:rsidR="00B86C9D" w:rsidRPr="00702882" w14:paraId="1EA3F6C4" w14:textId="77777777" w:rsidTr="00AE6820">
        <w:tc>
          <w:tcPr>
            <w:tcW w:w="0" w:type="auto"/>
            <w:tcMar>
              <w:top w:w="15" w:type="dxa"/>
              <w:left w:w="75" w:type="dxa"/>
              <w:bottom w:w="15" w:type="dxa"/>
              <w:right w:w="75" w:type="dxa"/>
            </w:tcMar>
            <w:vAlign w:val="center"/>
            <w:hideMark/>
          </w:tcPr>
          <w:p w14:paraId="31CB8D44" w14:textId="77777777" w:rsidR="00AF6702" w:rsidRPr="00702882" w:rsidRDefault="00AF6702" w:rsidP="005C1AFD">
            <w:pPr>
              <w:spacing w:before="150" w:after="150"/>
              <w:contextualSpacing/>
              <w:rPr>
                <w:sz w:val="20"/>
                <w:szCs w:val="20"/>
              </w:rPr>
            </w:pPr>
            <w:r w:rsidRPr="00702882">
              <w:rPr>
                <w:sz w:val="20"/>
                <w:szCs w:val="20"/>
              </w:rPr>
              <w:t>WithVol:Unemployment</w:t>
            </w:r>
          </w:p>
        </w:tc>
        <w:tc>
          <w:tcPr>
            <w:tcW w:w="0" w:type="auto"/>
            <w:tcMar>
              <w:top w:w="15" w:type="dxa"/>
              <w:left w:w="75" w:type="dxa"/>
              <w:bottom w:w="15" w:type="dxa"/>
              <w:right w:w="75" w:type="dxa"/>
            </w:tcMar>
            <w:vAlign w:val="center"/>
            <w:hideMark/>
          </w:tcPr>
          <w:p w14:paraId="68F740D8"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07F81D2" w14:textId="77777777" w:rsidR="00AF6702" w:rsidRPr="00702882" w:rsidRDefault="00AF6702" w:rsidP="005C1AFD">
            <w:pPr>
              <w:spacing w:before="150" w:after="150"/>
              <w:contextualSpacing/>
              <w:rPr>
                <w:sz w:val="20"/>
                <w:szCs w:val="20"/>
              </w:rPr>
            </w:pPr>
            <w:r w:rsidRPr="00702882">
              <w:rPr>
                <w:sz w:val="20"/>
                <w:szCs w:val="20"/>
              </w:rPr>
              <w:t>0.16 (0.35)</w:t>
            </w:r>
          </w:p>
        </w:tc>
        <w:tc>
          <w:tcPr>
            <w:tcW w:w="0" w:type="auto"/>
            <w:tcMar>
              <w:top w:w="15" w:type="dxa"/>
              <w:left w:w="75" w:type="dxa"/>
              <w:bottom w:w="15" w:type="dxa"/>
              <w:right w:w="75" w:type="dxa"/>
            </w:tcMar>
            <w:vAlign w:val="center"/>
            <w:hideMark/>
          </w:tcPr>
          <w:p w14:paraId="66A44FF2"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89BDE17"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5E8A188C" w14:textId="77777777" w:rsidTr="00AE6820">
        <w:tc>
          <w:tcPr>
            <w:tcW w:w="0" w:type="auto"/>
            <w:tcMar>
              <w:top w:w="15" w:type="dxa"/>
              <w:left w:w="75" w:type="dxa"/>
              <w:bottom w:w="15" w:type="dxa"/>
              <w:right w:w="75" w:type="dxa"/>
            </w:tcMar>
            <w:vAlign w:val="center"/>
            <w:hideMark/>
          </w:tcPr>
          <w:p w14:paraId="133E91F3" w14:textId="77777777" w:rsidR="00AF6702" w:rsidRPr="00702882" w:rsidRDefault="00AF6702" w:rsidP="005C1AFD">
            <w:pPr>
              <w:spacing w:before="150" w:after="150"/>
              <w:contextualSpacing/>
              <w:rPr>
                <w:sz w:val="20"/>
                <w:szCs w:val="20"/>
              </w:rPr>
            </w:pPr>
            <w:r w:rsidRPr="00702882">
              <w:rPr>
                <w:sz w:val="20"/>
                <w:szCs w:val="20"/>
              </w:rPr>
              <w:t>WithLegis_numeric:Unemployment</w:t>
            </w:r>
          </w:p>
        </w:tc>
        <w:tc>
          <w:tcPr>
            <w:tcW w:w="0" w:type="auto"/>
            <w:tcMar>
              <w:top w:w="15" w:type="dxa"/>
              <w:left w:w="75" w:type="dxa"/>
              <w:bottom w:w="15" w:type="dxa"/>
              <w:right w:w="75" w:type="dxa"/>
            </w:tcMar>
            <w:vAlign w:val="center"/>
            <w:hideMark/>
          </w:tcPr>
          <w:p w14:paraId="6271DB76"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4FD22F2" w14:textId="77777777" w:rsidR="00AF6702" w:rsidRPr="00702882" w:rsidRDefault="00AF6702" w:rsidP="005C1AFD">
            <w:pPr>
              <w:spacing w:before="150" w:after="150"/>
              <w:contextualSpacing/>
              <w:rPr>
                <w:sz w:val="20"/>
                <w:szCs w:val="20"/>
              </w:rPr>
            </w:pPr>
            <w:r w:rsidRPr="00702882">
              <w:rPr>
                <w:sz w:val="20"/>
                <w:szCs w:val="20"/>
              </w:rPr>
              <w:t>0.37 (0.57)</w:t>
            </w:r>
          </w:p>
        </w:tc>
        <w:tc>
          <w:tcPr>
            <w:tcW w:w="0" w:type="auto"/>
            <w:tcMar>
              <w:top w:w="15" w:type="dxa"/>
              <w:left w:w="75" w:type="dxa"/>
              <w:bottom w:w="15" w:type="dxa"/>
              <w:right w:w="75" w:type="dxa"/>
            </w:tcMar>
            <w:vAlign w:val="center"/>
            <w:hideMark/>
          </w:tcPr>
          <w:p w14:paraId="3E327907"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159D696"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40172F71" w14:textId="77777777" w:rsidTr="00AE6820">
        <w:tc>
          <w:tcPr>
            <w:tcW w:w="0" w:type="auto"/>
            <w:tcMar>
              <w:top w:w="15" w:type="dxa"/>
              <w:left w:w="75" w:type="dxa"/>
              <w:bottom w:w="15" w:type="dxa"/>
              <w:right w:w="75" w:type="dxa"/>
            </w:tcMar>
            <w:vAlign w:val="center"/>
            <w:hideMark/>
          </w:tcPr>
          <w:p w14:paraId="72DCADD0" w14:textId="77777777" w:rsidR="00AF6702" w:rsidRPr="00702882" w:rsidRDefault="00AF6702" w:rsidP="005C1AFD">
            <w:pPr>
              <w:spacing w:before="150" w:after="150"/>
              <w:contextualSpacing/>
              <w:rPr>
                <w:sz w:val="20"/>
                <w:szCs w:val="20"/>
              </w:rPr>
            </w:pPr>
            <w:r w:rsidRPr="00702882">
              <w:rPr>
                <w:sz w:val="20"/>
                <w:szCs w:val="20"/>
              </w:rPr>
              <w:t>Repay_4bin:Unemployment</w:t>
            </w:r>
          </w:p>
        </w:tc>
        <w:tc>
          <w:tcPr>
            <w:tcW w:w="0" w:type="auto"/>
            <w:tcMar>
              <w:top w:w="15" w:type="dxa"/>
              <w:left w:w="75" w:type="dxa"/>
              <w:bottom w:w="15" w:type="dxa"/>
              <w:right w:w="75" w:type="dxa"/>
            </w:tcMar>
            <w:vAlign w:val="center"/>
            <w:hideMark/>
          </w:tcPr>
          <w:p w14:paraId="1705078A"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6FF0017" w14:textId="77777777" w:rsidR="00AF6702" w:rsidRPr="00702882" w:rsidRDefault="00AF6702" w:rsidP="005C1AFD">
            <w:pPr>
              <w:spacing w:before="150" w:after="150"/>
              <w:contextualSpacing/>
              <w:rPr>
                <w:sz w:val="20"/>
                <w:szCs w:val="20"/>
              </w:rPr>
            </w:pPr>
            <w:r w:rsidRPr="00702882">
              <w:rPr>
                <w:sz w:val="20"/>
                <w:szCs w:val="20"/>
              </w:rPr>
              <w:t>-0.07 (0.07)</w:t>
            </w:r>
          </w:p>
        </w:tc>
        <w:tc>
          <w:tcPr>
            <w:tcW w:w="0" w:type="auto"/>
            <w:tcMar>
              <w:top w:w="15" w:type="dxa"/>
              <w:left w:w="75" w:type="dxa"/>
              <w:bottom w:w="15" w:type="dxa"/>
              <w:right w:w="75" w:type="dxa"/>
            </w:tcMar>
            <w:vAlign w:val="center"/>
            <w:hideMark/>
          </w:tcPr>
          <w:p w14:paraId="6FB34CB7"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C930AEE"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271BC87B" w14:textId="77777777" w:rsidTr="00AE6820">
        <w:tc>
          <w:tcPr>
            <w:tcW w:w="0" w:type="auto"/>
            <w:tcMar>
              <w:top w:w="15" w:type="dxa"/>
              <w:left w:w="75" w:type="dxa"/>
              <w:bottom w:w="15" w:type="dxa"/>
              <w:right w:w="75" w:type="dxa"/>
            </w:tcMar>
            <w:vAlign w:val="center"/>
            <w:hideMark/>
          </w:tcPr>
          <w:p w14:paraId="5483D9DE" w14:textId="77777777" w:rsidR="00AF6702" w:rsidRPr="00702882" w:rsidRDefault="00AF6702" w:rsidP="005C1AFD">
            <w:pPr>
              <w:spacing w:before="150" w:after="150"/>
              <w:contextualSpacing/>
              <w:rPr>
                <w:sz w:val="20"/>
                <w:szCs w:val="20"/>
              </w:rPr>
            </w:pPr>
            <w:r w:rsidRPr="00702882">
              <w:rPr>
                <w:sz w:val="20"/>
                <w:szCs w:val="20"/>
              </w:rPr>
              <w:t>WithLim:Unemployment</w:t>
            </w:r>
          </w:p>
        </w:tc>
        <w:tc>
          <w:tcPr>
            <w:tcW w:w="0" w:type="auto"/>
            <w:tcMar>
              <w:top w:w="15" w:type="dxa"/>
              <w:left w:w="75" w:type="dxa"/>
              <w:bottom w:w="15" w:type="dxa"/>
              <w:right w:w="75" w:type="dxa"/>
            </w:tcMar>
            <w:vAlign w:val="center"/>
            <w:hideMark/>
          </w:tcPr>
          <w:p w14:paraId="6149EEFD"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C625BD7" w14:textId="77777777" w:rsidR="00AF6702" w:rsidRPr="00702882" w:rsidRDefault="00AF6702" w:rsidP="005C1AFD">
            <w:pPr>
              <w:spacing w:before="150" w:after="150"/>
              <w:contextualSpacing/>
              <w:rPr>
                <w:sz w:val="20"/>
                <w:szCs w:val="20"/>
              </w:rPr>
            </w:pPr>
            <w:r w:rsidRPr="00702882">
              <w:rPr>
                <w:sz w:val="20"/>
                <w:szCs w:val="20"/>
              </w:rPr>
              <w:t>0.18 (0.31)</w:t>
            </w:r>
          </w:p>
        </w:tc>
        <w:tc>
          <w:tcPr>
            <w:tcW w:w="0" w:type="auto"/>
            <w:tcMar>
              <w:top w:w="15" w:type="dxa"/>
              <w:left w:w="75" w:type="dxa"/>
              <w:bottom w:w="15" w:type="dxa"/>
              <w:right w:w="75" w:type="dxa"/>
            </w:tcMar>
            <w:vAlign w:val="center"/>
            <w:hideMark/>
          </w:tcPr>
          <w:p w14:paraId="146A3195"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8FCD8F3" w14:textId="77777777" w:rsidR="00AF6702" w:rsidRPr="00702882" w:rsidRDefault="00AF6702" w:rsidP="005C1AFD">
            <w:pPr>
              <w:spacing w:before="150" w:after="150"/>
              <w:contextualSpacing/>
              <w:rPr>
                <w:sz w:val="20"/>
                <w:szCs w:val="20"/>
              </w:rPr>
            </w:pPr>
            <w:r w:rsidRPr="00702882">
              <w:rPr>
                <w:sz w:val="20"/>
                <w:szCs w:val="20"/>
              </w:rPr>
              <w:t> </w:t>
            </w:r>
          </w:p>
        </w:tc>
      </w:tr>
      <w:tr w:rsidR="00B86C9D" w:rsidRPr="00702882" w14:paraId="04EF4112" w14:textId="77777777" w:rsidTr="00AE6820">
        <w:tc>
          <w:tcPr>
            <w:tcW w:w="0" w:type="auto"/>
            <w:tcMar>
              <w:top w:w="15" w:type="dxa"/>
              <w:left w:w="75" w:type="dxa"/>
              <w:bottom w:w="15" w:type="dxa"/>
              <w:right w:w="75" w:type="dxa"/>
            </w:tcMar>
            <w:vAlign w:val="center"/>
            <w:hideMark/>
          </w:tcPr>
          <w:p w14:paraId="6FE6E73B" w14:textId="77777777" w:rsidR="00AF6702" w:rsidRPr="00702882" w:rsidRDefault="00AF6702" w:rsidP="005C1AFD">
            <w:pPr>
              <w:spacing w:before="150" w:after="150"/>
              <w:contextualSpacing/>
              <w:rPr>
                <w:sz w:val="20"/>
                <w:szCs w:val="20"/>
              </w:rPr>
            </w:pPr>
            <w:r w:rsidRPr="00702882">
              <w:rPr>
                <w:sz w:val="20"/>
                <w:szCs w:val="20"/>
              </w:rPr>
              <w:t>Cap_percent:DepoSurplus_numeric</w:t>
            </w:r>
          </w:p>
        </w:tc>
        <w:tc>
          <w:tcPr>
            <w:tcW w:w="0" w:type="auto"/>
            <w:tcMar>
              <w:top w:w="15" w:type="dxa"/>
              <w:left w:w="75" w:type="dxa"/>
              <w:bottom w:w="15" w:type="dxa"/>
              <w:right w:w="75" w:type="dxa"/>
            </w:tcMar>
            <w:vAlign w:val="center"/>
            <w:hideMark/>
          </w:tcPr>
          <w:p w14:paraId="0841A664"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99909CB"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F1984D0" w14:textId="77777777" w:rsidR="00AF6702" w:rsidRPr="00702882" w:rsidRDefault="00AF6702" w:rsidP="005C1AFD">
            <w:pPr>
              <w:spacing w:before="150" w:after="150"/>
              <w:contextualSpacing/>
              <w:rPr>
                <w:sz w:val="20"/>
                <w:szCs w:val="20"/>
              </w:rPr>
            </w:pPr>
            <w:r w:rsidRPr="00702882">
              <w:rPr>
                <w:sz w:val="20"/>
                <w:szCs w:val="20"/>
              </w:rPr>
              <w:t>0.04 (0.03)</w:t>
            </w:r>
          </w:p>
        </w:tc>
        <w:tc>
          <w:tcPr>
            <w:tcW w:w="0" w:type="auto"/>
            <w:tcMar>
              <w:top w:w="15" w:type="dxa"/>
              <w:left w:w="75" w:type="dxa"/>
              <w:bottom w:w="15" w:type="dxa"/>
              <w:right w:w="75" w:type="dxa"/>
            </w:tcMar>
            <w:vAlign w:val="center"/>
            <w:hideMark/>
          </w:tcPr>
          <w:p w14:paraId="7109181F" w14:textId="77777777" w:rsidR="00AF6702" w:rsidRPr="00702882" w:rsidRDefault="00AF6702" w:rsidP="005C1AFD">
            <w:pPr>
              <w:spacing w:before="150" w:after="150"/>
              <w:contextualSpacing/>
              <w:rPr>
                <w:sz w:val="20"/>
                <w:szCs w:val="20"/>
              </w:rPr>
            </w:pPr>
            <w:r w:rsidRPr="00702882">
              <w:rPr>
                <w:sz w:val="20"/>
                <w:szCs w:val="20"/>
              </w:rPr>
              <w:t>0.04 (0.03)</w:t>
            </w:r>
          </w:p>
        </w:tc>
      </w:tr>
      <w:tr w:rsidR="00B86C9D" w:rsidRPr="00702882" w14:paraId="4E3E5E54" w14:textId="77777777" w:rsidTr="00AE6820">
        <w:tc>
          <w:tcPr>
            <w:tcW w:w="0" w:type="auto"/>
            <w:tcMar>
              <w:top w:w="15" w:type="dxa"/>
              <w:left w:w="75" w:type="dxa"/>
              <w:bottom w:w="15" w:type="dxa"/>
              <w:right w:w="75" w:type="dxa"/>
            </w:tcMar>
            <w:vAlign w:val="center"/>
            <w:hideMark/>
          </w:tcPr>
          <w:p w14:paraId="69A000EA" w14:textId="77777777" w:rsidR="00AF6702" w:rsidRPr="00702882" w:rsidRDefault="00AF6702" w:rsidP="005C1AFD">
            <w:pPr>
              <w:spacing w:before="150" w:after="150"/>
              <w:contextualSpacing/>
              <w:rPr>
                <w:sz w:val="20"/>
                <w:szCs w:val="20"/>
              </w:rPr>
            </w:pPr>
            <w:r w:rsidRPr="00702882">
              <w:rPr>
                <w:sz w:val="20"/>
                <w:szCs w:val="20"/>
              </w:rPr>
              <w:t>WithVol:WithLim</w:t>
            </w:r>
          </w:p>
        </w:tc>
        <w:tc>
          <w:tcPr>
            <w:tcW w:w="0" w:type="auto"/>
            <w:tcMar>
              <w:top w:w="15" w:type="dxa"/>
              <w:left w:w="75" w:type="dxa"/>
              <w:bottom w:w="15" w:type="dxa"/>
              <w:right w:w="75" w:type="dxa"/>
            </w:tcMar>
            <w:vAlign w:val="center"/>
            <w:hideMark/>
          </w:tcPr>
          <w:p w14:paraId="3A5005BF"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2AF94A14" w14:textId="77777777" w:rsidR="00AF6702" w:rsidRPr="00702882" w:rsidRDefault="00AF6702" w:rsidP="005C1AFD">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89BA500" w14:textId="77777777" w:rsidR="00AF6702" w:rsidRPr="00702882" w:rsidRDefault="00AF6702" w:rsidP="005C1AFD">
            <w:pPr>
              <w:spacing w:before="150" w:after="150"/>
              <w:contextualSpacing/>
              <w:rPr>
                <w:sz w:val="20"/>
                <w:szCs w:val="20"/>
              </w:rPr>
            </w:pPr>
            <w:r w:rsidRPr="00702882">
              <w:rPr>
                <w:sz w:val="20"/>
                <w:szCs w:val="20"/>
              </w:rPr>
              <w:t>5.49 (2.42)</w:t>
            </w:r>
            <w:r w:rsidRPr="00702882">
              <w:rPr>
                <w:sz w:val="20"/>
                <w:szCs w:val="20"/>
                <w:vertAlign w:val="superscript"/>
              </w:rPr>
              <w:t>**</w:t>
            </w:r>
          </w:p>
        </w:tc>
        <w:tc>
          <w:tcPr>
            <w:tcW w:w="0" w:type="auto"/>
            <w:tcMar>
              <w:top w:w="15" w:type="dxa"/>
              <w:left w:w="75" w:type="dxa"/>
              <w:bottom w:w="15" w:type="dxa"/>
              <w:right w:w="75" w:type="dxa"/>
            </w:tcMar>
            <w:vAlign w:val="center"/>
            <w:hideMark/>
          </w:tcPr>
          <w:p w14:paraId="4615D2A2" w14:textId="77777777" w:rsidR="00AF6702" w:rsidRPr="00702882" w:rsidRDefault="00AF6702" w:rsidP="005C1AFD">
            <w:pPr>
              <w:spacing w:before="150" w:after="150"/>
              <w:contextualSpacing/>
              <w:rPr>
                <w:sz w:val="20"/>
                <w:szCs w:val="20"/>
              </w:rPr>
            </w:pPr>
            <w:r w:rsidRPr="00702882">
              <w:rPr>
                <w:sz w:val="20"/>
                <w:szCs w:val="20"/>
              </w:rPr>
              <w:t>5.49 (2.42)</w:t>
            </w:r>
            <w:r w:rsidRPr="00702882">
              <w:rPr>
                <w:sz w:val="20"/>
                <w:szCs w:val="20"/>
                <w:vertAlign w:val="superscript"/>
              </w:rPr>
              <w:t>**</w:t>
            </w:r>
          </w:p>
        </w:tc>
      </w:tr>
      <w:tr w:rsidR="00B86C9D" w:rsidRPr="00702882" w14:paraId="2C306A0C" w14:textId="77777777" w:rsidTr="00AE6820">
        <w:tc>
          <w:tcPr>
            <w:tcW w:w="0" w:type="auto"/>
            <w:tcMar>
              <w:top w:w="15" w:type="dxa"/>
              <w:left w:w="75" w:type="dxa"/>
              <w:bottom w:w="15" w:type="dxa"/>
              <w:right w:w="75" w:type="dxa"/>
            </w:tcMar>
            <w:vAlign w:val="center"/>
          </w:tcPr>
          <w:p w14:paraId="49B58F50" w14:textId="77777777" w:rsidR="00AF6702" w:rsidRPr="00702882" w:rsidRDefault="00AF6702" w:rsidP="005C1AFD">
            <w:pPr>
              <w:spacing w:before="150" w:after="150"/>
              <w:contextualSpacing/>
              <w:rPr>
                <w:sz w:val="20"/>
                <w:szCs w:val="20"/>
              </w:rPr>
            </w:pPr>
            <w:r w:rsidRPr="00702882">
              <w:rPr>
                <w:sz w:val="20"/>
                <w:szCs w:val="20"/>
              </w:rPr>
              <w:t>R</w:t>
            </w:r>
            <w:r w:rsidRPr="00702882">
              <w:rPr>
                <w:sz w:val="20"/>
                <w:szCs w:val="20"/>
                <w:vertAlign w:val="superscript"/>
              </w:rPr>
              <w:t>2</w:t>
            </w:r>
          </w:p>
        </w:tc>
        <w:tc>
          <w:tcPr>
            <w:tcW w:w="0" w:type="auto"/>
            <w:tcMar>
              <w:top w:w="15" w:type="dxa"/>
              <w:left w:w="75" w:type="dxa"/>
              <w:bottom w:w="15" w:type="dxa"/>
              <w:right w:w="75" w:type="dxa"/>
            </w:tcMar>
            <w:vAlign w:val="center"/>
          </w:tcPr>
          <w:p w14:paraId="5547BEE3" w14:textId="77777777" w:rsidR="00AF6702" w:rsidRPr="00702882" w:rsidRDefault="00AF6702" w:rsidP="005C1AFD">
            <w:pPr>
              <w:spacing w:before="150" w:after="150"/>
              <w:contextualSpacing/>
              <w:rPr>
                <w:sz w:val="20"/>
                <w:szCs w:val="20"/>
              </w:rPr>
            </w:pPr>
            <w:r w:rsidRPr="00702882">
              <w:rPr>
                <w:sz w:val="20"/>
                <w:szCs w:val="20"/>
              </w:rPr>
              <w:t>0.25</w:t>
            </w:r>
          </w:p>
        </w:tc>
        <w:tc>
          <w:tcPr>
            <w:tcW w:w="0" w:type="auto"/>
            <w:tcMar>
              <w:top w:w="15" w:type="dxa"/>
              <w:left w:w="75" w:type="dxa"/>
              <w:bottom w:w="15" w:type="dxa"/>
              <w:right w:w="75" w:type="dxa"/>
            </w:tcMar>
            <w:vAlign w:val="center"/>
          </w:tcPr>
          <w:p w14:paraId="3C72E79A" w14:textId="77777777" w:rsidR="00AF6702" w:rsidRPr="00702882" w:rsidRDefault="00AF6702" w:rsidP="005C1AFD">
            <w:pPr>
              <w:spacing w:before="150" w:after="150"/>
              <w:contextualSpacing/>
              <w:rPr>
                <w:sz w:val="20"/>
                <w:szCs w:val="20"/>
              </w:rPr>
            </w:pPr>
            <w:r w:rsidRPr="00702882">
              <w:rPr>
                <w:sz w:val="20"/>
                <w:szCs w:val="20"/>
              </w:rPr>
              <w:t>0.29</w:t>
            </w:r>
          </w:p>
        </w:tc>
        <w:tc>
          <w:tcPr>
            <w:tcW w:w="0" w:type="auto"/>
            <w:tcMar>
              <w:top w:w="15" w:type="dxa"/>
              <w:left w:w="75" w:type="dxa"/>
              <w:bottom w:w="15" w:type="dxa"/>
              <w:right w:w="75" w:type="dxa"/>
            </w:tcMar>
            <w:vAlign w:val="center"/>
          </w:tcPr>
          <w:p w14:paraId="1F2BD052" w14:textId="77777777" w:rsidR="00AF6702" w:rsidRPr="00702882" w:rsidRDefault="00AF6702" w:rsidP="005C1AFD">
            <w:pPr>
              <w:spacing w:before="150" w:after="150"/>
              <w:contextualSpacing/>
              <w:rPr>
                <w:sz w:val="20"/>
                <w:szCs w:val="20"/>
              </w:rPr>
            </w:pPr>
            <w:r w:rsidRPr="00702882">
              <w:rPr>
                <w:sz w:val="20"/>
                <w:szCs w:val="20"/>
              </w:rPr>
              <w:t>0.29</w:t>
            </w:r>
          </w:p>
        </w:tc>
        <w:tc>
          <w:tcPr>
            <w:tcW w:w="0" w:type="auto"/>
            <w:tcMar>
              <w:top w:w="15" w:type="dxa"/>
              <w:left w:w="75" w:type="dxa"/>
              <w:bottom w:w="15" w:type="dxa"/>
              <w:right w:w="75" w:type="dxa"/>
            </w:tcMar>
            <w:vAlign w:val="center"/>
          </w:tcPr>
          <w:p w14:paraId="6EE3974D" w14:textId="77777777" w:rsidR="00AF6702" w:rsidRPr="00702882" w:rsidRDefault="00AF6702" w:rsidP="005C1AFD">
            <w:pPr>
              <w:spacing w:before="150" w:after="150"/>
              <w:contextualSpacing/>
              <w:rPr>
                <w:sz w:val="20"/>
                <w:szCs w:val="20"/>
              </w:rPr>
            </w:pPr>
            <w:r w:rsidRPr="00702882">
              <w:rPr>
                <w:sz w:val="20"/>
                <w:szCs w:val="20"/>
              </w:rPr>
              <w:t>0.29</w:t>
            </w:r>
          </w:p>
        </w:tc>
      </w:tr>
      <w:tr w:rsidR="00B86C9D" w:rsidRPr="00702882" w14:paraId="7B6743AD" w14:textId="77777777" w:rsidTr="00AE6820">
        <w:tc>
          <w:tcPr>
            <w:tcW w:w="0" w:type="auto"/>
            <w:tcBorders>
              <w:bottom w:val="nil"/>
            </w:tcBorders>
            <w:tcMar>
              <w:top w:w="15" w:type="dxa"/>
              <w:left w:w="75" w:type="dxa"/>
              <w:bottom w:w="15" w:type="dxa"/>
              <w:right w:w="75" w:type="dxa"/>
            </w:tcMar>
            <w:vAlign w:val="center"/>
          </w:tcPr>
          <w:p w14:paraId="5861189D" w14:textId="77777777" w:rsidR="00AF6702" w:rsidRPr="00702882" w:rsidRDefault="00AF6702" w:rsidP="005C1AFD">
            <w:pPr>
              <w:spacing w:before="150" w:after="150"/>
              <w:contextualSpacing/>
              <w:rPr>
                <w:sz w:val="20"/>
                <w:szCs w:val="20"/>
              </w:rPr>
            </w:pPr>
            <w:r w:rsidRPr="00702882">
              <w:rPr>
                <w:sz w:val="20"/>
                <w:szCs w:val="20"/>
              </w:rPr>
              <w:t>Adj. R</w:t>
            </w:r>
            <w:r w:rsidRPr="00702882">
              <w:rPr>
                <w:sz w:val="20"/>
                <w:szCs w:val="20"/>
                <w:vertAlign w:val="superscript"/>
              </w:rPr>
              <w:t>2</w:t>
            </w:r>
          </w:p>
        </w:tc>
        <w:tc>
          <w:tcPr>
            <w:tcW w:w="0" w:type="auto"/>
            <w:tcBorders>
              <w:bottom w:val="nil"/>
            </w:tcBorders>
            <w:tcMar>
              <w:top w:w="15" w:type="dxa"/>
              <w:left w:w="75" w:type="dxa"/>
              <w:bottom w:w="15" w:type="dxa"/>
              <w:right w:w="75" w:type="dxa"/>
            </w:tcMar>
            <w:vAlign w:val="center"/>
          </w:tcPr>
          <w:p w14:paraId="1FFA191A" w14:textId="77777777" w:rsidR="00AF6702" w:rsidRPr="00702882" w:rsidRDefault="00AF6702" w:rsidP="005C1AFD">
            <w:pPr>
              <w:spacing w:before="150" w:after="150"/>
              <w:contextualSpacing/>
              <w:rPr>
                <w:sz w:val="20"/>
                <w:szCs w:val="20"/>
              </w:rPr>
            </w:pPr>
            <w:r w:rsidRPr="00702882">
              <w:rPr>
                <w:sz w:val="20"/>
                <w:szCs w:val="20"/>
              </w:rPr>
              <w:t>0.17</w:t>
            </w:r>
          </w:p>
        </w:tc>
        <w:tc>
          <w:tcPr>
            <w:tcW w:w="0" w:type="auto"/>
            <w:tcBorders>
              <w:bottom w:val="nil"/>
            </w:tcBorders>
            <w:tcMar>
              <w:top w:w="15" w:type="dxa"/>
              <w:left w:w="75" w:type="dxa"/>
              <w:bottom w:w="15" w:type="dxa"/>
              <w:right w:w="75" w:type="dxa"/>
            </w:tcMar>
            <w:vAlign w:val="center"/>
          </w:tcPr>
          <w:p w14:paraId="58A1BAA8" w14:textId="77777777" w:rsidR="00AF6702" w:rsidRPr="00702882" w:rsidRDefault="00AF6702" w:rsidP="005C1AFD">
            <w:pPr>
              <w:spacing w:before="150" w:after="150"/>
              <w:contextualSpacing/>
              <w:rPr>
                <w:sz w:val="20"/>
                <w:szCs w:val="20"/>
              </w:rPr>
            </w:pPr>
            <w:r w:rsidRPr="00702882">
              <w:rPr>
                <w:sz w:val="20"/>
                <w:szCs w:val="20"/>
              </w:rPr>
              <w:t>0.20</w:t>
            </w:r>
          </w:p>
        </w:tc>
        <w:tc>
          <w:tcPr>
            <w:tcW w:w="0" w:type="auto"/>
            <w:tcBorders>
              <w:bottom w:val="nil"/>
            </w:tcBorders>
            <w:tcMar>
              <w:top w:w="15" w:type="dxa"/>
              <w:left w:w="75" w:type="dxa"/>
              <w:bottom w:w="15" w:type="dxa"/>
              <w:right w:w="75" w:type="dxa"/>
            </w:tcMar>
            <w:vAlign w:val="center"/>
          </w:tcPr>
          <w:p w14:paraId="4F82B26C" w14:textId="77777777" w:rsidR="00AF6702" w:rsidRPr="00702882" w:rsidRDefault="00AF6702" w:rsidP="005C1AFD">
            <w:pPr>
              <w:spacing w:before="150" w:after="150"/>
              <w:contextualSpacing/>
              <w:rPr>
                <w:sz w:val="20"/>
                <w:szCs w:val="20"/>
              </w:rPr>
            </w:pPr>
            <w:r w:rsidRPr="00702882">
              <w:rPr>
                <w:sz w:val="20"/>
                <w:szCs w:val="20"/>
              </w:rPr>
              <w:t>0.20</w:t>
            </w:r>
          </w:p>
        </w:tc>
        <w:tc>
          <w:tcPr>
            <w:tcW w:w="0" w:type="auto"/>
            <w:tcBorders>
              <w:bottom w:val="nil"/>
            </w:tcBorders>
            <w:tcMar>
              <w:top w:w="15" w:type="dxa"/>
              <w:left w:w="75" w:type="dxa"/>
              <w:bottom w:w="15" w:type="dxa"/>
              <w:right w:w="75" w:type="dxa"/>
            </w:tcMar>
            <w:vAlign w:val="center"/>
          </w:tcPr>
          <w:p w14:paraId="6403A895" w14:textId="77777777" w:rsidR="00AF6702" w:rsidRPr="00702882" w:rsidRDefault="00AF6702" w:rsidP="005C1AFD">
            <w:pPr>
              <w:spacing w:before="150" w:after="150"/>
              <w:contextualSpacing/>
              <w:rPr>
                <w:sz w:val="20"/>
                <w:szCs w:val="20"/>
              </w:rPr>
            </w:pPr>
            <w:r w:rsidRPr="00702882">
              <w:rPr>
                <w:sz w:val="20"/>
                <w:szCs w:val="20"/>
              </w:rPr>
              <w:t>0.20</w:t>
            </w:r>
          </w:p>
        </w:tc>
      </w:tr>
      <w:tr w:rsidR="00B86C9D" w:rsidRPr="00702882" w14:paraId="410F0119" w14:textId="77777777" w:rsidTr="00AE6820">
        <w:tc>
          <w:tcPr>
            <w:tcW w:w="0" w:type="auto"/>
            <w:tcBorders>
              <w:top w:val="nil"/>
              <w:bottom w:val="single" w:sz="12" w:space="0" w:color="auto"/>
            </w:tcBorders>
            <w:tcMar>
              <w:top w:w="15" w:type="dxa"/>
              <w:left w:w="75" w:type="dxa"/>
              <w:bottom w:w="15" w:type="dxa"/>
              <w:right w:w="75" w:type="dxa"/>
            </w:tcMar>
            <w:vAlign w:val="center"/>
          </w:tcPr>
          <w:p w14:paraId="439C4519" w14:textId="77777777" w:rsidR="00AF6702" w:rsidRPr="00702882" w:rsidRDefault="00AF6702" w:rsidP="005C1AFD">
            <w:pPr>
              <w:spacing w:before="150" w:after="150"/>
              <w:contextualSpacing/>
              <w:rPr>
                <w:sz w:val="20"/>
                <w:szCs w:val="20"/>
              </w:rPr>
            </w:pPr>
            <w:r w:rsidRPr="00702882">
              <w:rPr>
                <w:sz w:val="20"/>
                <w:szCs w:val="20"/>
              </w:rPr>
              <w:t>Num. obs.</w:t>
            </w:r>
          </w:p>
        </w:tc>
        <w:tc>
          <w:tcPr>
            <w:tcW w:w="0" w:type="auto"/>
            <w:tcBorders>
              <w:top w:val="nil"/>
              <w:bottom w:val="single" w:sz="12" w:space="0" w:color="auto"/>
            </w:tcBorders>
            <w:tcMar>
              <w:top w:w="15" w:type="dxa"/>
              <w:left w:w="75" w:type="dxa"/>
              <w:bottom w:w="15" w:type="dxa"/>
              <w:right w:w="75" w:type="dxa"/>
            </w:tcMar>
            <w:vAlign w:val="center"/>
          </w:tcPr>
          <w:p w14:paraId="5D13B6A8" w14:textId="77777777" w:rsidR="00AF6702" w:rsidRPr="00702882" w:rsidRDefault="00AF6702" w:rsidP="005C1AFD">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58533E6B" w14:textId="77777777" w:rsidR="00AF6702" w:rsidRPr="00702882" w:rsidRDefault="00AF6702" w:rsidP="005C1AFD">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0C8E8496" w14:textId="77777777" w:rsidR="00AF6702" w:rsidRPr="00702882" w:rsidRDefault="00AF6702" w:rsidP="005C1AFD">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52812FAE" w14:textId="77777777" w:rsidR="00AF6702" w:rsidRPr="00702882" w:rsidRDefault="00AF6702" w:rsidP="005C1AFD">
            <w:pPr>
              <w:spacing w:before="150" w:after="150"/>
              <w:contextualSpacing/>
              <w:rPr>
                <w:sz w:val="20"/>
                <w:szCs w:val="20"/>
              </w:rPr>
            </w:pPr>
            <w:r w:rsidRPr="00702882">
              <w:rPr>
                <w:sz w:val="20"/>
                <w:szCs w:val="20"/>
              </w:rPr>
              <w:t>813</w:t>
            </w:r>
          </w:p>
        </w:tc>
      </w:tr>
      <w:tr w:rsidR="00B86C9D" w:rsidRPr="00702882" w14:paraId="5031FA8D" w14:textId="77777777" w:rsidTr="00AE6820">
        <w:tc>
          <w:tcPr>
            <w:tcW w:w="0" w:type="auto"/>
            <w:gridSpan w:val="5"/>
            <w:tcBorders>
              <w:top w:val="single" w:sz="12" w:space="0" w:color="auto"/>
            </w:tcBorders>
            <w:vAlign w:val="center"/>
            <w:hideMark/>
          </w:tcPr>
          <w:p w14:paraId="77AA0295" w14:textId="77777777" w:rsidR="00AF6702" w:rsidRPr="00702882" w:rsidRDefault="00AF6702" w:rsidP="005C1AFD">
            <w:pPr>
              <w:spacing w:before="150" w:after="150"/>
              <w:contextualSpacing/>
              <w:rPr>
                <w:sz w:val="20"/>
                <w:szCs w:val="20"/>
              </w:rPr>
            </w:pPr>
            <w:r w:rsidRPr="00702882">
              <w:rPr>
                <w:sz w:val="20"/>
                <w:szCs w:val="20"/>
                <w:vertAlign w:val="superscript"/>
              </w:rPr>
              <w:t>***</w:t>
            </w:r>
            <w:r w:rsidRPr="00702882">
              <w:rPr>
                <w:sz w:val="20"/>
                <w:szCs w:val="20"/>
              </w:rPr>
              <w:t xml:space="preserve">p &lt; 0.01; </w:t>
            </w:r>
            <w:r w:rsidRPr="00702882">
              <w:rPr>
                <w:sz w:val="20"/>
                <w:szCs w:val="20"/>
                <w:vertAlign w:val="superscript"/>
              </w:rPr>
              <w:t>**</w:t>
            </w:r>
            <w:r w:rsidRPr="00702882">
              <w:rPr>
                <w:sz w:val="20"/>
                <w:szCs w:val="20"/>
              </w:rPr>
              <w:t xml:space="preserve">p &lt; 0.05; </w:t>
            </w:r>
            <w:r w:rsidRPr="00702882">
              <w:rPr>
                <w:sz w:val="20"/>
                <w:szCs w:val="20"/>
                <w:vertAlign w:val="superscript"/>
              </w:rPr>
              <w:t>*</w:t>
            </w:r>
            <w:r w:rsidRPr="00702882">
              <w:rPr>
                <w:sz w:val="20"/>
                <w:szCs w:val="20"/>
              </w:rPr>
              <w:t>p &lt; 0.1</w:t>
            </w:r>
          </w:p>
        </w:tc>
      </w:tr>
      <w:bookmarkEnd w:id="59"/>
    </w:tbl>
    <w:p w14:paraId="2865C6C5" w14:textId="77777777" w:rsidR="00AF6702" w:rsidRPr="00702882" w:rsidRDefault="00AF6702" w:rsidP="00C66AC4">
      <w:pPr>
        <w:spacing w:line="480" w:lineRule="auto"/>
        <w:contextualSpacing/>
        <w:rPr>
          <w:color w:val="7030A0"/>
          <w:sz w:val="20"/>
          <w:szCs w:val="20"/>
        </w:rPr>
      </w:pPr>
    </w:p>
    <w:p w14:paraId="63873B59" w14:textId="77777777" w:rsidR="00AF6702" w:rsidRPr="00702882" w:rsidRDefault="00AF6702" w:rsidP="00C66AC4">
      <w:pPr>
        <w:spacing w:line="480" w:lineRule="auto"/>
        <w:rPr>
          <w:rFonts w:eastAsiaTheme="minorEastAsia"/>
          <w:b/>
          <w:bCs/>
          <w:color w:val="7030A0"/>
        </w:rPr>
      </w:pPr>
    </w:p>
    <w:p w14:paraId="0B6D322E" w14:textId="77777777" w:rsidR="00AF6702" w:rsidRPr="00702882" w:rsidRDefault="00AF6702" w:rsidP="00C66AC4">
      <w:pPr>
        <w:spacing w:line="480" w:lineRule="auto"/>
        <w:rPr>
          <w:rFonts w:eastAsiaTheme="minorEastAsia"/>
          <w:b/>
          <w:bCs/>
          <w:color w:val="7030A0"/>
        </w:rPr>
      </w:pPr>
    </w:p>
    <w:p w14:paraId="329E909E" w14:textId="77777777" w:rsidR="00B86C9D" w:rsidRPr="00702882" w:rsidRDefault="00B86C9D" w:rsidP="00C66AC4">
      <w:pPr>
        <w:spacing w:line="480" w:lineRule="auto"/>
        <w:rPr>
          <w:rFonts w:eastAsiaTheme="minorEastAsia"/>
          <w:b/>
          <w:bCs/>
          <w:color w:val="7030A0"/>
        </w:rPr>
      </w:pPr>
    </w:p>
    <w:p w14:paraId="03583BE1" w14:textId="77777777" w:rsidR="00012E8A" w:rsidRPr="00702882" w:rsidRDefault="00012E8A" w:rsidP="00C66AC4">
      <w:pPr>
        <w:spacing w:line="480" w:lineRule="auto"/>
        <w:rPr>
          <w:rFonts w:eastAsiaTheme="minorEastAsia"/>
          <w:b/>
          <w:bCs/>
          <w:color w:val="7030A0"/>
        </w:rPr>
      </w:pPr>
    </w:p>
    <w:p w14:paraId="772AD477" w14:textId="72CBE0F6" w:rsidR="00AF6702" w:rsidRPr="00702882" w:rsidRDefault="00AF6702" w:rsidP="00C66AC4">
      <w:pPr>
        <w:spacing w:line="480" w:lineRule="auto"/>
        <w:contextualSpacing/>
        <w:jc w:val="center"/>
        <w:rPr>
          <w:rFonts w:eastAsiaTheme="minorEastAsia"/>
          <w:b/>
          <w:bCs/>
        </w:rPr>
      </w:pPr>
      <w:r w:rsidRPr="00702882">
        <w:rPr>
          <w:rFonts w:eastAsiaTheme="minorEastAsia"/>
          <w:b/>
          <w:bCs/>
        </w:rPr>
        <w:lastRenderedPageBreak/>
        <w:t>Table 1</w:t>
      </w:r>
      <w:r w:rsidR="00B86C9D" w:rsidRPr="00702882">
        <w:rPr>
          <w:rFonts w:eastAsiaTheme="minorEastAsia"/>
          <w:b/>
          <w:bCs/>
        </w:rPr>
        <w:t>6</w:t>
      </w:r>
      <w:r w:rsidRPr="00702882">
        <w:rPr>
          <w:rFonts w:eastAsiaTheme="minorEastAsia"/>
          <w:b/>
          <w:bCs/>
        </w:rPr>
        <w:t>. Pooled OLS Models</w:t>
      </w:r>
    </w:p>
    <w:p w14:paraId="4125DD8E" w14:textId="77777777" w:rsidR="00AF6702" w:rsidRPr="00702882" w:rsidRDefault="00AF6702" w:rsidP="00C66AC4">
      <w:pPr>
        <w:spacing w:line="480" w:lineRule="auto"/>
        <w:contextualSpacing/>
        <w:jc w:val="center"/>
        <w:rPr>
          <w:b/>
          <w:bCs/>
        </w:rPr>
      </w:pPr>
      <w:r w:rsidRPr="00702882">
        <w:rPr>
          <w:b/>
          <w:bCs/>
        </w:rPr>
        <w:t xml:space="preserve">Effects of BSF Rules on </w:t>
      </w:r>
      <w:r w:rsidRPr="00702882">
        <w:rPr>
          <w:rFonts w:eastAsiaTheme="minorEastAsia"/>
          <w:b/>
          <w:bCs/>
        </w:rPr>
        <w:t>GFB</w:t>
      </w:r>
      <w:r w:rsidRPr="00702882">
        <w:rPr>
          <w:b/>
          <w:bCs/>
        </w:rPr>
        <w:t xml:space="preserve"> Levels</w:t>
      </w:r>
    </w:p>
    <w:tbl>
      <w:tblPr>
        <w:tblW w:w="0" w:type="auto"/>
        <w:jc w:val="center"/>
        <w:tblBorders>
          <w:top w:val="single" w:sz="12" w:space="0" w:color="000000"/>
        </w:tblBorders>
        <w:tblCellMar>
          <w:top w:w="15" w:type="dxa"/>
          <w:left w:w="15" w:type="dxa"/>
          <w:bottom w:w="15" w:type="dxa"/>
          <w:right w:w="15" w:type="dxa"/>
        </w:tblCellMar>
        <w:tblLook w:val="04A0" w:firstRow="1" w:lastRow="0" w:firstColumn="1" w:lastColumn="0" w:noHBand="0" w:noVBand="1"/>
      </w:tblPr>
      <w:tblGrid>
        <w:gridCol w:w="3250"/>
        <w:gridCol w:w="1295"/>
        <w:gridCol w:w="1395"/>
        <w:gridCol w:w="1395"/>
        <w:gridCol w:w="1395"/>
      </w:tblGrid>
      <w:tr w:rsidR="00B86C9D" w:rsidRPr="00702882" w14:paraId="361C4265" w14:textId="77777777" w:rsidTr="00AE6820">
        <w:trPr>
          <w:tblHeader/>
          <w:jc w:val="center"/>
        </w:trPr>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64B16208" w14:textId="77777777" w:rsidR="00AF6702" w:rsidRPr="00702882" w:rsidRDefault="00AF6702" w:rsidP="007803B6">
            <w:pPr>
              <w:spacing w:before="150" w:after="150"/>
              <w:contextualSpacing/>
              <w:jc w:val="center"/>
              <w:rPr>
                <w:b/>
                <w:bCs/>
                <w:sz w:val="20"/>
                <w:szCs w:val="20"/>
              </w:rPr>
            </w:pPr>
            <w:bookmarkStart w:id="60" w:name="_Hlk161795752"/>
            <w:r w:rsidRPr="00702882">
              <w:rPr>
                <w:b/>
                <w:bCs/>
                <w:sz w:val="20"/>
                <w:szCs w:val="20"/>
              </w:rPr>
              <w:t> </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040AB7C2" w14:textId="77777777" w:rsidR="00AF6702" w:rsidRPr="00702882" w:rsidRDefault="00AF6702" w:rsidP="007803B6">
            <w:pPr>
              <w:spacing w:before="150" w:after="150"/>
              <w:contextualSpacing/>
              <w:jc w:val="center"/>
              <w:rPr>
                <w:b/>
                <w:bCs/>
                <w:sz w:val="20"/>
                <w:szCs w:val="20"/>
              </w:rPr>
            </w:pPr>
            <w:r w:rsidRPr="00702882">
              <w:rPr>
                <w:b/>
                <w:bCs/>
                <w:sz w:val="20"/>
                <w:szCs w:val="20"/>
              </w:rPr>
              <w:t>Model 1</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2A3841B4" w14:textId="77777777" w:rsidR="00AF6702" w:rsidRPr="00702882" w:rsidRDefault="00AF6702" w:rsidP="007803B6">
            <w:pPr>
              <w:spacing w:before="150" w:after="150"/>
              <w:contextualSpacing/>
              <w:jc w:val="center"/>
              <w:rPr>
                <w:b/>
                <w:bCs/>
                <w:sz w:val="20"/>
                <w:szCs w:val="20"/>
              </w:rPr>
            </w:pPr>
            <w:r w:rsidRPr="00702882">
              <w:rPr>
                <w:b/>
                <w:bCs/>
                <w:sz w:val="20"/>
                <w:szCs w:val="20"/>
              </w:rPr>
              <w:t>Model 2</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4B3D6105" w14:textId="77777777" w:rsidR="00AF6702" w:rsidRPr="00702882" w:rsidRDefault="00AF6702" w:rsidP="007803B6">
            <w:pPr>
              <w:spacing w:before="150" w:after="150"/>
              <w:contextualSpacing/>
              <w:jc w:val="center"/>
              <w:rPr>
                <w:b/>
                <w:bCs/>
                <w:sz w:val="20"/>
                <w:szCs w:val="20"/>
              </w:rPr>
            </w:pPr>
            <w:r w:rsidRPr="00702882">
              <w:rPr>
                <w:b/>
                <w:bCs/>
                <w:sz w:val="20"/>
                <w:szCs w:val="20"/>
              </w:rPr>
              <w:t>Model 3</w:t>
            </w:r>
          </w:p>
        </w:tc>
        <w:tc>
          <w:tcPr>
            <w:tcW w:w="0" w:type="auto"/>
            <w:tcBorders>
              <w:top w:val="single" w:sz="12" w:space="0" w:color="000000"/>
              <w:bottom w:val="single" w:sz="8" w:space="0" w:color="auto"/>
            </w:tcBorders>
            <w:tcMar>
              <w:top w:w="15" w:type="dxa"/>
              <w:left w:w="75" w:type="dxa"/>
              <w:bottom w:w="15" w:type="dxa"/>
              <w:right w:w="75" w:type="dxa"/>
            </w:tcMar>
            <w:vAlign w:val="center"/>
            <w:hideMark/>
          </w:tcPr>
          <w:p w14:paraId="0CBFD35D" w14:textId="77777777" w:rsidR="00AF6702" w:rsidRPr="00702882" w:rsidRDefault="00AF6702" w:rsidP="007803B6">
            <w:pPr>
              <w:spacing w:before="150" w:after="150"/>
              <w:contextualSpacing/>
              <w:jc w:val="center"/>
              <w:rPr>
                <w:b/>
                <w:bCs/>
                <w:sz w:val="20"/>
                <w:szCs w:val="20"/>
              </w:rPr>
            </w:pPr>
            <w:r w:rsidRPr="00702882">
              <w:rPr>
                <w:b/>
                <w:bCs/>
                <w:sz w:val="20"/>
                <w:szCs w:val="20"/>
              </w:rPr>
              <w:t>Model 4</w:t>
            </w:r>
          </w:p>
        </w:tc>
      </w:tr>
      <w:tr w:rsidR="00B86C9D" w:rsidRPr="00702882" w14:paraId="6E3EA84F" w14:textId="77777777" w:rsidTr="00AE6820">
        <w:trPr>
          <w:jc w:val="center"/>
        </w:trPr>
        <w:tc>
          <w:tcPr>
            <w:tcW w:w="0" w:type="auto"/>
            <w:tcBorders>
              <w:top w:val="single" w:sz="8" w:space="0" w:color="auto"/>
            </w:tcBorders>
            <w:tcMar>
              <w:top w:w="15" w:type="dxa"/>
              <w:left w:w="75" w:type="dxa"/>
              <w:bottom w:w="15" w:type="dxa"/>
              <w:right w:w="75" w:type="dxa"/>
            </w:tcMar>
            <w:vAlign w:val="center"/>
            <w:hideMark/>
          </w:tcPr>
          <w:p w14:paraId="752BEB97" w14:textId="77777777" w:rsidR="00AF6702" w:rsidRPr="00702882" w:rsidRDefault="00AF6702" w:rsidP="007803B6">
            <w:pPr>
              <w:spacing w:before="150" w:after="150"/>
              <w:contextualSpacing/>
              <w:rPr>
                <w:sz w:val="20"/>
                <w:szCs w:val="20"/>
              </w:rPr>
            </w:pPr>
            <w:r w:rsidRPr="00702882">
              <w:rPr>
                <w:sz w:val="20"/>
                <w:szCs w:val="20"/>
              </w:rPr>
              <w:t>(Intercept)</w:t>
            </w:r>
          </w:p>
        </w:tc>
        <w:tc>
          <w:tcPr>
            <w:tcW w:w="0" w:type="auto"/>
            <w:tcBorders>
              <w:top w:val="single" w:sz="8" w:space="0" w:color="auto"/>
            </w:tcBorders>
            <w:tcMar>
              <w:top w:w="15" w:type="dxa"/>
              <w:left w:w="75" w:type="dxa"/>
              <w:bottom w:w="15" w:type="dxa"/>
              <w:right w:w="75" w:type="dxa"/>
            </w:tcMar>
            <w:vAlign w:val="center"/>
            <w:hideMark/>
          </w:tcPr>
          <w:p w14:paraId="30F9E3F6" w14:textId="77777777" w:rsidR="00AF6702" w:rsidRPr="00702882" w:rsidRDefault="00AF6702" w:rsidP="007803B6">
            <w:pPr>
              <w:spacing w:before="150" w:after="150"/>
              <w:contextualSpacing/>
              <w:rPr>
                <w:sz w:val="20"/>
                <w:szCs w:val="20"/>
              </w:rPr>
            </w:pPr>
            <w:r w:rsidRPr="00702882">
              <w:rPr>
                <w:sz w:val="20"/>
                <w:szCs w:val="20"/>
              </w:rPr>
              <w:t>-9.25 (4.39)</w:t>
            </w:r>
            <w:r w:rsidRPr="00702882">
              <w:rPr>
                <w:sz w:val="20"/>
                <w:szCs w:val="20"/>
                <w:vertAlign w:val="superscript"/>
              </w:rPr>
              <w:t>**</w:t>
            </w:r>
          </w:p>
        </w:tc>
        <w:tc>
          <w:tcPr>
            <w:tcW w:w="0" w:type="auto"/>
            <w:tcBorders>
              <w:top w:val="single" w:sz="8" w:space="0" w:color="auto"/>
            </w:tcBorders>
            <w:tcMar>
              <w:top w:w="15" w:type="dxa"/>
              <w:left w:w="75" w:type="dxa"/>
              <w:bottom w:w="15" w:type="dxa"/>
              <w:right w:w="75" w:type="dxa"/>
            </w:tcMar>
            <w:vAlign w:val="center"/>
            <w:hideMark/>
          </w:tcPr>
          <w:p w14:paraId="7DAB219D" w14:textId="77777777" w:rsidR="00AF6702" w:rsidRPr="00702882" w:rsidRDefault="00AF6702" w:rsidP="007803B6">
            <w:pPr>
              <w:spacing w:before="150" w:after="150"/>
              <w:contextualSpacing/>
              <w:rPr>
                <w:sz w:val="20"/>
                <w:szCs w:val="20"/>
              </w:rPr>
            </w:pPr>
            <w:r w:rsidRPr="00702882">
              <w:rPr>
                <w:sz w:val="20"/>
                <w:szCs w:val="20"/>
              </w:rPr>
              <w:t>-1.55 (4.94)</w:t>
            </w:r>
          </w:p>
        </w:tc>
        <w:tc>
          <w:tcPr>
            <w:tcW w:w="0" w:type="auto"/>
            <w:tcBorders>
              <w:top w:val="single" w:sz="8" w:space="0" w:color="auto"/>
            </w:tcBorders>
            <w:tcMar>
              <w:top w:w="15" w:type="dxa"/>
              <w:left w:w="75" w:type="dxa"/>
              <w:bottom w:w="15" w:type="dxa"/>
              <w:right w:w="75" w:type="dxa"/>
            </w:tcMar>
            <w:vAlign w:val="center"/>
            <w:hideMark/>
          </w:tcPr>
          <w:p w14:paraId="29358EA7" w14:textId="77777777" w:rsidR="00AF6702" w:rsidRPr="00702882" w:rsidRDefault="00AF6702" w:rsidP="007803B6">
            <w:pPr>
              <w:spacing w:before="150" w:after="150"/>
              <w:contextualSpacing/>
              <w:rPr>
                <w:sz w:val="20"/>
                <w:szCs w:val="20"/>
              </w:rPr>
            </w:pPr>
            <w:r w:rsidRPr="00702882">
              <w:rPr>
                <w:sz w:val="20"/>
                <w:szCs w:val="20"/>
              </w:rPr>
              <w:t>-2.62 (4.32)</w:t>
            </w:r>
          </w:p>
        </w:tc>
        <w:tc>
          <w:tcPr>
            <w:tcW w:w="0" w:type="auto"/>
            <w:tcBorders>
              <w:top w:val="single" w:sz="8" w:space="0" w:color="auto"/>
            </w:tcBorders>
            <w:tcMar>
              <w:top w:w="15" w:type="dxa"/>
              <w:left w:w="75" w:type="dxa"/>
              <w:bottom w:w="15" w:type="dxa"/>
              <w:right w:w="75" w:type="dxa"/>
            </w:tcMar>
            <w:vAlign w:val="center"/>
            <w:hideMark/>
          </w:tcPr>
          <w:p w14:paraId="06AE7802" w14:textId="77777777" w:rsidR="00AF6702" w:rsidRPr="00702882" w:rsidRDefault="00AF6702" w:rsidP="007803B6">
            <w:pPr>
              <w:spacing w:before="150" w:after="150"/>
              <w:contextualSpacing/>
              <w:rPr>
                <w:sz w:val="20"/>
                <w:szCs w:val="20"/>
              </w:rPr>
            </w:pPr>
            <w:r w:rsidRPr="00702882">
              <w:rPr>
                <w:sz w:val="20"/>
                <w:szCs w:val="20"/>
              </w:rPr>
              <w:t>-2.43 (4.29)</w:t>
            </w:r>
          </w:p>
        </w:tc>
      </w:tr>
      <w:tr w:rsidR="00B86C9D" w:rsidRPr="00702882" w14:paraId="36F8AE1B" w14:textId="77777777" w:rsidTr="00AE6820">
        <w:trPr>
          <w:jc w:val="center"/>
        </w:trPr>
        <w:tc>
          <w:tcPr>
            <w:tcW w:w="0" w:type="auto"/>
            <w:tcMar>
              <w:top w:w="15" w:type="dxa"/>
              <w:left w:w="75" w:type="dxa"/>
              <w:bottom w:w="15" w:type="dxa"/>
              <w:right w:w="75" w:type="dxa"/>
            </w:tcMar>
            <w:vAlign w:val="center"/>
            <w:hideMark/>
          </w:tcPr>
          <w:p w14:paraId="74CBD8C1" w14:textId="77777777" w:rsidR="00AF6702" w:rsidRPr="00702882" w:rsidRDefault="00AF6702" w:rsidP="007803B6">
            <w:pPr>
              <w:spacing w:before="150" w:after="150"/>
              <w:contextualSpacing/>
              <w:rPr>
                <w:sz w:val="20"/>
                <w:szCs w:val="20"/>
              </w:rPr>
            </w:pPr>
            <w:r w:rsidRPr="00702882">
              <w:rPr>
                <w:sz w:val="20"/>
                <w:szCs w:val="20"/>
              </w:rPr>
              <w:t>BSF_percent_lag</w:t>
            </w:r>
          </w:p>
        </w:tc>
        <w:tc>
          <w:tcPr>
            <w:tcW w:w="0" w:type="auto"/>
            <w:tcMar>
              <w:top w:w="15" w:type="dxa"/>
              <w:left w:w="75" w:type="dxa"/>
              <w:bottom w:w="15" w:type="dxa"/>
              <w:right w:w="75" w:type="dxa"/>
            </w:tcMar>
            <w:vAlign w:val="center"/>
            <w:hideMark/>
          </w:tcPr>
          <w:p w14:paraId="4B476045" w14:textId="77777777" w:rsidR="00AF6702" w:rsidRPr="00702882" w:rsidRDefault="00AF6702" w:rsidP="007803B6">
            <w:pPr>
              <w:spacing w:before="150" w:after="150"/>
              <w:contextualSpacing/>
              <w:rPr>
                <w:sz w:val="20"/>
                <w:szCs w:val="20"/>
              </w:rPr>
            </w:pPr>
            <w:r w:rsidRPr="00702882">
              <w:rPr>
                <w:sz w:val="20"/>
                <w:szCs w:val="20"/>
              </w:rPr>
              <w:t>0.49 (0.09)</w:t>
            </w:r>
            <w:r w:rsidRPr="00702882">
              <w:rPr>
                <w:sz w:val="20"/>
                <w:szCs w:val="20"/>
                <w:vertAlign w:val="superscript"/>
              </w:rPr>
              <w:t>***</w:t>
            </w:r>
          </w:p>
        </w:tc>
        <w:tc>
          <w:tcPr>
            <w:tcW w:w="0" w:type="auto"/>
            <w:tcMar>
              <w:top w:w="15" w:type="dxa"/>
              <w:left w:w="75" w:type="dxa"/>
              <w:bottom w:w="15" w:type="dxa"/>
              <w:right w:w="75" w:type="dxa"/>
            </w:tcMar>
            <w:vAlign w:val="center"/>
            <w:hideMark/>
          </w:tcPr>
          <w:p w14:paraId="0C451029" w14:textId="77777777" w:rsidR="00AF6702" w:rsidRPr="00702882" w:rsidRDefault="00AF6702" w:rsidP="007803B6">
            <w:pPr>
              <w:spacing w:before="150" w:after="150"/>
              <w:contextualSpacing/>
              <w:rPr>
                <w:sz w:val="20"/>
                <w:szCs w:val="20"/>
              </w:rPr>
            </w:pPr>
            <w:r w:rsidRPr="00702882">
              <w:rPr>
                <w:sz w:val="20"/>
                <w:szCs w:val="20"/>
              </w:rPr>
              <w:t>0.39 (0.09)</w:t>
            </w:r>
            <w:r w:rsidRPr="00702882">
              <w:rPr>
                <w:sz w:val="20"/>
                <w:szCs w:val="20"/>
                <w:vertAlign w:val="superscript"/>
              </w:rPr>
              <w:t>***</w:t>
            </w:r>
          </w:p>
        </w:tc>
        <w:tc>
          <w:tcPr>
            <w:tcW w:w="0" w:type="auto"/>
            <w:tcMar>
              <w:top w:w="15" w:type="dxa"/>
              <w:left w:w="75" w:type="dxa"/>
              <w:bottom w:w="15" w:type="dxa"/>
              <w:right w:w="75" w:type="dxa"/>
            </w:tcMar>
            <w:vAlign w:val="center"/>
            <w:hideMark/>
          </w:tcPr>
          <w:p w14:paraId="5089A73F" w14:textId="77777777" w:rsidR="00AF6702" w:rsidRPr="00702882" w:rsidRDefault="00AF6702" w:rsidP="007803B6">
            <w:pPr>
              <w:spacing w:before="150" w:after="150"/>
              <w:contextualSpacing/>
              <w:rPr>
                <w:sz w:val="20"/>
                <w:szCs w:val="20"/>
              </w:rPr>
            </w:pPr>
            <w:r w:rsidRPr="00702882">
              <w:rPr>
                <w:sz w:val="20"/>
                <w:szCs w:val="20"/>
              </w:rPr>
              <w:t>0.40 (0.09)</w:t>
            </w:r>
            <w:r w:rsidRPr="00702882">
              <w:rPr>
                <w:sz w:val="20"/>
                <w:szCs w:val="20"/>
                <w:vertAlign w:val="superscript"/>
              </w:rPr>
              <w:t>***</w:t>
            </w:r>
          </w:p>
        </w:tc>
        <w:tc>
          <w:tcPr>
            <w:tcW w:w="0" w:type="auto"/>
            <w:tcMar>
              <w:top w:w="15" w:type="dxa"/>
              <w:left w:w="75" w:type="dxa"/>
              <w:bottom w:w="15" w:type="dxa"/>
              <w:right w:w="75" w:type="dxa"/>
            </w:tcMar>
            <w:vAlign w:val="center"/>
            <w:hideMark/>
          </w:tcPr>
          <w:p w14:paraId="4BE1F81F" w14:textId="77777777" w:rsidR="00AF6702" w:rsidRPr="00702882" w:rsidRDefault="00AF6702" w:rsidP="007803B6">
            <w:pPr>
              <w:spacing w:before="150" w:after="150"/>
              <w:contextualSpacing/>
              <w:rPr>
                <w:sz w:val="20"/>
                <w:szCs w:val="20"/>
              </w:rPr>
            </w:pPr>
            <w:r w:rsidRPr="00702882">
              <w:rPr>
                <w:sz w:val="20"/>
                <w:szCs w:val="20"/>
              </w:rPr>
              <w:t>0.40 (0.09)</w:t>
            </w:r>
            <w:r w:rsidRPr="00702882">
              <w:rPr>
                <w:sz w:val="20"/>
                <w:szCs w:val="20"/>
                <w:vertAlign w:val="superscript"/>
              </w:rPr>
              <w:t>***</w:t>
            </w:r>
          </w:p>
        </w:tc>
      </w:tr>
      <w:tr w:rsidR="00B86C9D" w:rsidRPr="00702882" w14:paraId="57435934" w14:textId="77777777" w:rsidTr="00AE6820">
        <w:trPr>
          <w:jc w:val="center"/>
        </w:trPr>
        <w:tc>
          <w:tcPr>
            <w:tcW w:w="0" w:type="auto"/>
            <w:tcMar>
              <w:top w:w="15" w:type="dxa"/>
              <w:left w:w="75" w:type="dxa"/>
              <w:bottom w:w="15" w:type="dxa"/>
              <w:right w:w="75" w:type="dxa"/>
            </w:tcMar>
            <w:vAlign w:val="center"/>
            <w:hideMark/>
          </w:tcPr>
          <w:p w14:paraId="7D3C0A69" w14:textId="77777777" w:rsidR="00AF6702" w:rsidRPr="00702882" w:rsidRDefault="00AF6702" w:rsidP="007803B6">
            <w:pPr>
              <w:spacing w:before="150" w:after="150"/>
              <w:contextualSpacing/>
              <w:rPr>
                <w:sz w:val="20"/>
                <w:szCs w:val="20"/>
              </w:rPr>
            </w:pPr>
            <w:r w:rsidRPr="00702882">
              <w:rPr>
                <w:sz w:val="20"/>
                <w:szCs w:val="20"/>
              </w:rPr>
              <w:t>Number</w:t>
            </w:r>
          </w:p>
        </w:tc>
        <w:tc>
          <w:tcPr>
            <w:tcW w:w="0" w:type="auto"/>
            <w:tcMar>
              <w:top w:w="15" w:type="dxa"/>
              <w:left w:w="75" w:type="dxa"/>
              <w:bottom w:w="15" w:type="dxa"/>
              <w:right w:w="75" w:type="dxa"/>
            </w:tcMar>
            <w:vAlign w:val="center"/>
            <w:hideMark/>
          </w:tcPr>
          <w:p w14:paraId="03685EBA" w14:textId="77777777" w:rsidR="00AF6702" w:rsidRPr="00702882" w:rsidRDefault="00AF6702" w:rsidP="007803B6">
            <w:pPr>
              <w:spacing w:before="150" w:after="150"/>
              <w:contextualSpacing/>
              <w:rPr>
                <w:sz w:val="20"/>
                <w:szCs w:val="20"/>
              </w:rPr>
            </w:pPr>
            <w:r w:rsidRPr="00702882">
              <w:rPr>
                <w:sz w:val="20"/>
                <w:szCs w:val="20"/>
              </w:rPr>
              <w:t>1.24 (0.68)</w:t>
            </w:r>
            <w:r w:rsidRPr="00702882">
              <w:rPr>
                <w:sz w:val="20"/>
                <w:szCs w:val="20"/>
                <w:vertAlign w:val="superscript"/>
              </w:rPr>
              <w:t>*</w:t>
            </w:r>
          </w:p>
        </w:tc>
        <w:tc>
          <w:tcPr>
            <w:tcW w:w="0" w:type="auto"/>
            <w:tcMar>
              <w:top w:w="15" w:type="dxa"/>
              <w:left w:w="75" w:type="dxa"/>
              <w:bottom w:w="15" w:type="dxa"/>
              <w:right w:w="75" w:type="dxa"/>
            </w:tcMar>
            <w:vAlign w:val="center"/>
            <w:hideMark/>
          </w:tcPr>
          <w:p w14:paraId="5606AD5B" w14:textId="77777777" w:rsidR="00AF6702" w:rsidRPr="00702882" w:rsidRDefault="00AF6702" w:rsidP="007803B6">
            <w:pPr>
              <w:spacing w:before="150" w:after="150"/>
              <w:contextualSpacing/>
              <w:rPr>
                <w:sz w:val="20"/>
                <w:szCs w:val="20"/>
              </w:rPr>
            </w:pPr>
            <w:r w:rsidRPr="00702882">
              <w:rPr>
                <w:sz w:val="20"/>
                <w:szCs w:val="20"/>
              </w:rPr>
              <w:t>-3.24 (1.84)</w:t>
            </w:r>
            <w:r w:rsidRPr="00702882">
              <w:rPr>
                <w:sz w:val="20"/>
                <w:szCs w:val="20"/>
                <w:vertAlign w:val="superscript"/>
              </w:rPr>
              <w:t>*</w:t>
            </w:r>
          </w:p>
        </w:tc>
        <w:tc>
          <w:tcPr>
            <w:tcW w:w="0" w:type="auto"/>
            <w:tcMar>
              <w:top w:w="15" w:type="dxa"/>
              <w:left w:w="75" w:type="dxa"/>
              <w:bottom w:w="15" w:type="dxa"/>
              <w:right w:w="75" w:type="dxa"/>
            </w:tcMar>
            <w:vAlign w:val="center"/>
            <w:hideMark/>
          </w:tcPr>
          <w:p w14:paraId="59356734" w14:textId="77777777" w:rsidR="00AF6702" w:rsidRPr="00702882" w:rsidRDefault="00AF6702" w:rsidP="007803B6">
            <w:pPr>
              <w:spacing w:before="150" w:after="150"/>
              <w:contextualSpacing/>
              <w:rPr>
                <w:sz w:val="20"/>
                <w:szCs w:val="20"/>
              </w:rPr>
            </w:pPr>
            <w:r w:rsidRPr="00702882">
              <w:rPr>
                <w:sz w:val="20"/>
                <w:szCs w:val="20"/>
              </w:rPr>
              <w:t>-3.74 (1.53)</w:t>
            </w:r>
            <w:r w:rsidRPr="00702882">
              <w:rPr>
                <w:sz w:val="20"/>
                <w:szCs w:val="20"/>
                <w:vertAlign w:val="superscript"/>
              </w:rPr>
              <w:t>**</w:t>
            </w:r>
          </w:p>
        </w:tc>
        <w:tc>
          <w:tcPr>
            <w:tcW w:w="0" w:type="auto"/>
            <w:tcMar>
              <w:top w:w="15" w:type="dxa"/>
              <w:left w:w="75" w:type="dxa"/>
              <w:bottom w:w="15" w:type="dxa"/>
              <w:right w:w="75" w:type="dxa"/>
            </w:tcMar>
            <w:vAlign w:val="center"/>
            <w:hideMark/>
          </w:tcPr>
          <w:p w14:paraId="70C52C59" w14:textId="77777777" w:rsidR="00AF6702" w:rsidRPr="00702882" w:rsidRDefault="00AF6702" w:rsidP="007803B6">
            <w:pPr>
              <w:spacing w:before="150" w:after="150"/>
              <w:contextualSpacing/>
              <w:rPr>
                <w:sz w:val="20"/>
                <w:szCs w:val="20"/>
              </w:rPr>
            </w:pPr>
            <w:r w:rsidRPr="00702882">
              <w:rPr>
                <w:sz w:val="20"/>
                <w:szCs w:val="20"/>
              </w:rPr>
              <w:t>-3.64 (1.51)</w:t>
            </w:r>
            <w:r w:rsidRPr="00702882">
              <w:rPr>
                <w:sz w:val="20"/>
                <w:szCs w:val="20"/>
                <w:vertAlign w:val="superscript"/>
              </w:rPr>
              <w:t>**</w:t>
            </w:r>
          </w:p>
        </w:tc>
      </w:tr>
      <w:tr w:rsidR="00B86C9D" w:rsidRPr="00702882" w14:paraId="3BD9355F" w14:textId="77777777" w:rsidTr="00AE6820">
        <w:trPr>
          <w:jc w:val="center"/>
        </w:trPr>
        <w:tc>
          <w:tcPr>
            <w:tcW w:w="0" w:type="auto"/>
            <w:tcMar>
              <w:top w:w="15" w:type="dxa"/>
              <w:left w:w="75" w:type="dxa"/>
              <w:bottom w:w="15" w:type="dxa"/>
              <w:right w:w="75" w:type="dxa"/>
            </w:tcMar>
            <w:vAlign w:val="center"/>
            <w:hideMark/>
          </w:tcPr>
          <w:p w14:paraId="4DC1F7EE" w14:textId="77777777" w:rsidR="00AF6702" w:rsidRPr="00702882" w:rsidRDefault="00AF6702" w:rsidP="007803B6">
            <w:pPr>
              <w:spacing w:before="150" w:after="150"/>
              <w:contextualSpacing/>
              <w:rPr>
                <w:sz w:val="20"/>
                <w:szCs w:val="20"/>
              </w:rPr>
            </w:pPr>
            <w:r w:rsidRPr="00702882">
              <w:rPr>
                <w:sz w:val="20"/>
                <w:szCs w:val="20"/>
              </w:rPr>
              <w:t>Source_percent</w:t>
            </w:r>
          </w:p>
        </w:tc>
        <w:tc>
          <w:tcPr>
            <w:tcW w:w="0" w:type="auto"/>
            <w:tcMar>
              <w:top w:w="15" w:type="dxa"/>
              <w:left w:w="75" w:type="dxa"/>
              <w:bottom w:w="15" w:type="dxa"/>
              <w:right w:w="75" w:type="dxa"/>
            </w:tcMar>
            <w:vAlign w:val="center"/>
            <w:hideMark/>
          </w:tcPr>
          <w:p w14:paraId="25514FB6" w14:textId="77777777" w:rsidR="00AF6702" w:rsidRPr="00702882" w:rsidRDefault="00AF6702" w:rsidP="007803B6">
            <w:pPr>
              <w:spacing w:before="150" w:after="150"/>
              <w:contextualSpacing/>
              <w:rPr>
                <w:sz w:val="20"/>
                <w:szCs w:val="20"/>
              </w:rPr>
            </w:pPr>
            <w:r w:rsidRPr="00702882">
              <w:rPr>
                <w:sz w:val="20"/>
                <w:szCs w:val="20"/>
              </w:rPr>
              <w:t>0.76 (0.43)</w:t>
            </w:r>
            <w:r w:rsidRPr="00702882">
              <w:rPr>
                <w:sz w:val="20"/>
                <w:szCs w:val="20"/>
                <w:vertAlign w:val="superscript"/>
              </w:rPr>
              <w:t>*</w:t>
            </w:r>
          </w:p>
        </w:tc>
        <w:tc>
          <w:tcPr>
            <w:tcW w:w="0" w:type="auto"/>
            <w:tcMar>
              <w:top w:w="15" w:type="dxa"/>
              <w:left w:w="75" w:type="dxa"/>
              <w:bottom w:w="15" w:type="dxa"/>
              <w:right w:w="75" w:type="dxa"/>
            </w:tcMar>
            <w:vAlign w:val="center"/>
            <w:hideMark/>
          </w:tcPr>
          <w:p w14:paraId="3B6BC253" w14:textId="77777777" w:rsidR="00AF6702" w:rsidRPr="00702882" w:rsidRDefault="00AF6702" w:rsidP="007803B6">
            <w:pPr>
              <w:spacing w:before="150" w:after="150"/>
              <w:contextualSpacing/>
              <w:rPr>
                <w:sz w:val="20"/>
                <w:szCs w:val="20"/>
              </w:rPr>
            </w:pPr>
            <w:r w:rsidRPr="00702882">
              <w:rPr>
                <w:sz w:val="20"/>
                <w:szCs w:val="20"/>
              </w:rPr>
              <w:t>5.61 (2.38)</w:t>
            </w:r>
            <w:r w:rsidRPr="00702882">
              <w:rPr>
                <w:sz w:val="20"/>
                <w:szCs w:val="20"/>
                <w:vertAlign w:val="superscript"/>
              </w:rPr>
              <w:t>**</w:t>
            </w:r>
          </w:p>
        </w:tc>
        <w:tc>
          <w:tcPr>
            <w:tcW w:w="0" w:type="auto"/>
            <w:tcMar>
              <w:top w:w="15" w:type="dxa"/>
              <w:left w:w="75" w:type="dxa"/>
              <w:bottom w:w="15" w:type="dxa"/>
              <w:right w:w="75" w:type="dxa"/>
            </w:tcMar>
            <w:vAlign w:val="center"/>
            <w:hideMark/>
          </w:tcPr>
          <w:p w14:paraId="300AAF63" w14:textId="77777777" w:rsidR="00AF6702" w:rsidRPr="00702882" w:rsidRDefault="00AF6702" w:rsidP="007803B6">
            <w:pPr>
              <w:spacing w:before="150" w:after="150"/>
              <w:contextualSpacing/>
              <w:rPr>
                <w:sz w:val="20"/>
                <w:szCs w:val="20"/>
              </w:rPr>
            </w:pPr>
            <w:r w:rsidRPr="00702882">
              <w:rPr>
                <w:sz w:val="20"/>
                <w:szCs w:val="20"/>
              </w:rPr>
              <w:t>5.52 (2.39)</w:t>
            </w:r>
            <w:r w:rsidRPr="00702882">
              <w:rPr>
                <w:sz w:val="20"/>
                <w:szCs w:val="20"/>
                <w:vertAlign w:val="superscript"/>
              </w:rPr>
              <w:t>**</w:t>
            </w:r>
          </w:p>
        </w:tc>
        <w:tc>
          <w:tcPr>
            <w:tcW w:w="0" w:type="auto"/>
            <w:tcMar>
              <w:top w:w="15" w:type="dxa"/>
              <w:left w:w="75" w:type="dxa"/>
              <w:bottom w:w="15" w:type="dxa"/>
              <w:right w:w="75" w:type="dxa"/>
            </w:tcMar>
            <w:vAlign w:val="center"/>
            <w:hideMark/>
          </w:tcPr>
          <w:p w14:paraId="24F73C83" w14:textId="77777777" w:rsidR="00AF6702" w:rsidRPr="00702882" w:rsidRDefault="00AF6702" w:rsidP="007803B6">
            <w:pPr>
              <w:spacing w:before="150" w:after="150"/>
              <w:contextualSpacing/>
              <w:rPr>
                <w:sz w:val="20"/>
                <w:szCs w:val="20"/>
              </w:rPr>
            </w:pPr>
            <w:r w:rsidRPr="00702882">
              <w:rPr>
                <w:sz w:val="20"/>
                <w:szCs w:val="20"/>
              </w:rPr>
              <w:t>5.48 (2.42)</w:t>
            </w:r>
            <w:r w:rsidRPr="00702882">
              <w:rPr>
                <w:sz w:val="20"/>
                <w:szCs w:val="20"/>
                <w:vertAlign w:val="superscript"/>
              </w:rPr>
              <w:t>**</w:t>
            </w:r>
          </w:p>
        </w:tc>
      </w:tr>
      <w:tr w:rsidR="00B86C9D" w:rsidRPr="00702882" w14:paraId="73B17CC3" w14:textId="77777777" w:rsidTr="00AE6820">
        <w:trPr>
          <w:jc w:val="center"/>
        </w:trPr>
        <w:tc>
          <w:tcPr>
            <w:tcW w:w="0" w:type="auto"/>
            <w:tcMar>
              <w:top w:w="15" w:type="dxa"/>
              <w:left w:w="75" w:type="dxa"/>
              <w:bottom w:w="15" w:type="dxa"/>
              <w:right w:w="75" w:type="dxa"/>
            </w:tcMar>
            <w:vAlign w:val="center"/>
            <w:hideMark/>
          </w:tcPr>
          <w:p w14:paraId="16E157CE" w14:textId="77777777" w:rsidR="00AF6702" w:rsidRPr="00702882" w:rsidRDefault="00AF6702" w:rsidP="007803B6">
            <w:pPr>
              <w:spacing w:before="150" w:after="150"/>
              <w:contextualSpacing/>
              <w:rPr>
                <w:sz w:val="20"/>
                <w:szCs w:val="20"/>
              </w:rPr>
            </w:pPr>
            <w:r w:rsidRPr="00702882">
              <w:rPr>
                <w:sz w:val="20"/>
                <w:szCs w:val="20"/>
              </w:rPr>
              <w:t>Cap_percent</w:t>
            </w:r>
          </w:p>
        </w:tc>
        <w:tc>
          <w:tcPr>
            <w:tcW w:w="0" w:type="auto"/>
            <w:tcMar>
              <w:top w:w="15" w:type="dxa"/>
              <w:left w:w="75" w:type="dxa"/>
              <w:bottom w:w="15" w:type="dxa"/>
              <w:right w:w="75" w:type="dxa"/>
            </w:tcMar>
            <w:vAlign w:val="center"/>
            <w:hideMark/>
          </w:tcPr>
          <w:p w14:paraId="5DF22897" w14:textId="77777777" w:rsidR="00AF6702" w:rsidRPr="00702882" w:rsidRDefault="00AF6702" w:rsidP="007803B6">
            <w:pPr>
              <w:spacing w:before="150" w:after="150"/>
              <w:contextualSpacing/>
              <w:rPr>
                <w:sz w:val="20"/>
                <w:szCs w:val="20"/>
              </w:rPr>
            </w:pPr>
            <w:r w:rsidRPr="00702882">
              <w:rPr>
                <w:sz w:val="20"/>
                <w:szCs w:val="20"/>
              </w:rPr>
              <w:t>0.02 (0.02)</w:t>
            </w:r>
          </w:p>
        </w:tc>
        <w:tc>
          <w:tcPr>
            <w:tcW w:w="0" w:type="auto"/>
            <w:tcMar>
              <w:top w:w="15" w:type="dxa"/>
              <w:left w:w="75" w:type="dxa"/>
              <w:bottom w:w="15" w:type="dxa"/>
              <w:right w:w="75" w:type="dxa"/>
            </w:tcMar>
            <w:vAlign w:val="center"/>
            <w:hideMark/>
          </w:tcPr>
          <w:p w14:paraId="2E0C0FE2" w14:textId="77777777" w:rsidR="00AF6702" w:rsidRPr="00702882" w:rsidRDefault="00AF6702" w:rsidP="007803B6">
            <w:pPr>
              <w:spacing w:before="150" w:after="150"/>
              <w:contextualSpacing/>
              <w:rPr>
                <w:sz w:val="20"/>
                <w:szCs w:val="20"/>
              </w:rPr>
            </w:pPr>
            <w:r w:rsidRPr="00702882">
              <w:rPr>
                <w:sz w:val="20"/>
                <w:szCs w:val="20"/>
              </w:rPr>
              <w:t>-0.00 (0.08)</w:t>
            </w:r>
          </w:p>
        </w:tc>
        <w:tc>
          <w:tcPr>
            <w:tcW w:w="0" w:type="auto"/>
            <w:tcMar>
              <w:top w:w="15" w:type="dxa"/>
              <w:left w:w="75" w:type="dxa"/>
              <w:bottom w:w="15" w:type="dxa"/>
              <w:right w:w="75" w:type="dxa"/>
            </w:tcMar>
            <w:vAlign w:val="center"/>
            <w:hideMark/>
          </w:tcPr>
          <w:p w14:paraId="1FCA2194" w14:textId="77777777" w:rsidR="00AF6702" w:rsidRPr="00702882" w:rsidRDefault="00AF6702" w:rsidP="007803B6">
            <w:pPr>
              <w:spacing w:before="150" w:after="150"/>
              <w:contextualSpacing/>
              <w:rPr>
                <w:sz w:val="20"/>
                <w:szCs w:val="20"/>
              </w:rPr>
            </w:pPr>
            <w:r w:rsidRPr="00702882">
              <w:rPr>
                <w:sz w:val="20"/>
                <w:szCs w:val="20"/>
              </w:rPr>
              <w:t>0.05 (0.04)</w:t>
            </w:r>
          </w:p>
        </w:tc>
        <w:tc>
          <w:tcPr>
            <w:tcW w:w="0" w:type="auto"/>
            <w:tcMar>
              <w:top w:w="15" w:type="dxa"/>
              <w:left w:w="75" w:type="dxa"/>
              <w:bottom w:w="15" w:type="dxa"/>
              <w:right w:w="75" w:type="dxa"/>
            </w:tcMar>
            <w:vAlign w:val="center"/>
            <w:hideMark/>
          </w:tcPr>
          <w:p w14:paraId="2876E164" w14:textId="77777777" w:rsidR="00AF6702" w:rsidRPr="00702882" w:rsidRDefault="00AF6702" w:rsidP="007803B6">
            <w:pPr>
              <w:spacing w:before="150" w:after="150"/>
              <w:contextualSpacing/>
              <w:rPr>
                <w:sz w:val="20"/>
                <w:szCs w:val="20"/>
              </w:rPr>
            </w:pPr>
            <w:r w:rsidRPr="00702882">
              <w:rPr>
                <w:sz w:val="20"/>
                <w:szCs w:val="20"/>
              </w:rPr>
              <w:t>0.02 (0.02)</w:t>
            </w:r>
          </w:p>
        </w:tc>
      </w:tr>
      <w:tr w:rsidR="00B86C9D" w:rsidRPr="00702882" w14:paraId="41C510D6" w14:textId="77777777" w:rsidTr="00AE6820">
        <w:trPr>
          <w:jc w:val="center"/>
        </w:trPr>
        <w:tc>
          <w:tcPr>
            <w:tcW w:w="0" w:type="auto"/>
            <w:tcMar>
              <w:top w:w="15" w:type="dxa"/>
              <w:left w:w="75" w:type="dxa"/>
              <w:bottom w:w="15" w:type="dxa"/>
              <w:right w:w="75" w:type="dxa"/>
            </w:tcMar>
            <w:vAlign w:val="center"/>
            <w:hideMark/>
          </w:tcPr>
          <w:p w14:paraId="7B0C30F5" w14:textId="77777777" w:rsidR="00AF6702" w:rsidRPr="00702882" w:rsidRDefault="00AF6702" w:rsidP="007803B6">
            <w:pPr>
              <w:spacing w:before="150" w:after="150"/>
              <w:contextualSpacing/>
              <w:rPr>
                <w:sz w:val="20"/>
                <w:szCs w:val="20"/>
              </w:rPr>
            </w:pPr>
            <w:r w:rsidRPr="00702882">
              <w:rPr>
                <w:sz w:val="20"/>
                <w:szCs w:val="20"/>
              </w:rPr>
              <w:t>DepoLegis</w:t>
            </w:r>
          </w:p>
        </w:tc>
        <w:tc>
          <w:tcPr>
            <w:tcW w:w="0" w:type="auto"/>
            <w:tcMar>
              <w:top w:w="15" w:type="dxa"/>
              <w:left w:w="75" w:type="dxa"/>
              <w:bottom w:w="15" w:type="dxa"/>
              <w:right w:w="75" w:type="dxa"/>
            </w:tcMar>
            <w:vAlign w:val="center"/>
            <w:hideMark/>
          </w:tcPr>
          <w:p w14:paraId="1DBF2B68" w14:textId="77777777" w:rsidR="00AF6702" w:rsidRPr="00702882" w:rsidRDefault="00AF6702" w:rsidP="007803B6">
            <w:pPr>
              <w:spacing w:before="150" w:after="150"/>
              <w:contextualSpacing/>
              <w:rPr>
                <w:sz w:val="20"/>
                <w:szCs w:val="20"/>
              </w:rPr>
            </w:pPr>
            <w:r w:rsidRPr="00702882">
              <w:rPr>
                <w:sz w:val="20"/>
                <w:szCs w:val="20"/>
              </w:rPr>
              <w:t>3.03 (0.70)</w:t>
            </w:r>
            <w:r w:rsidRPr="00702882">
              <w:rPr>
                <w:sz w:val="20"/>
                <w:szCs w:val="20"/>
                <w:vertAlign w:val="superscript"/>
              </w:rPr>
              <w:t>***</w:t>
            </w:r>
          </w:p>
        </w:tc>
        <w:tc>
          <w:tcPr>
            <w:tcW w:w="0" w:type="auto"/>
            <w:tcMar>
              <w:top w:w="15" w:type="dxa"/>
              <w:left w:w="75" w:type="dxa"/>
              <w:bottom w:w="15" w:type="dxa"/>
              <w:right w:w="75" w:type="dxa"/>
            </w:tcMar>
            <w:vAlign w:val="center"/>
            <w:hideMark/>
          </w:tcPr>
          <w:p w14:paraId="49F0E6C2" w14:textId="77777777" w:rsidR="00AF6702" w:rsidRPr="00702882" w:rsidRDefault="00AF6702" w:rsidP="007803B6">
            <w:pPr>
              <w:spacing w:before="150" w:after="150"/>
              <w:contextualSpacing/>
              <w:rPr>
                <w:sz w:val="20"/>
                <w:szCs w:val="20"/>
              </w:rPr>
            </w:pPr>
            <w:r w:rsidRPr="00702882">
              <w:rPr>
                <w:sz w:val="20"/>
                <w:szCs w:val="20"/>
              </w:rPr>
              <w:t>3.05 (0.69)</w:t>
            </w:r>
            <w:r w:rsidRPr="00702882">
              <w:rPr>
                <w:sz w:val="20"/>
                <w:szCs w:val="20"/>
                <w:vertAlign w:val="superscript"/>
              </w:rPr>
              <w:t>***</w:t>
            </w:r>
          </w:p>
        </w:tc>
        <w:tc>
          <w:tcPr>
            <w:tcW w:w="0" w:type="auto"/>
            <w:tcMar>
              <w:top w:w="15" w:type="dxa"/>
              <w:left w:w="75" w:type="dxa"/>
              <w:bottom w:w="15" w:type="dxa"/>
              <w:right w:w="75" w:type="dxa"/>
            </w:tcMar>
            <w:vAlign w:val="center"/>
            <w:hideMark/>
          </w:tcPr>
          <w:p w14:paraId="39D1803C" w14:textId="77777777" w:rsidR="00AF6702" w:rsidRPr="00702882" w:rsidRDefault="00AF6702" w:rsidP="007803B6">
            <w:pPr>
              <w:spacing w:before="150" w:after="150"/>
              <w:contextualSpacing/>
              <w:rPr>
                <w:sz w:val="20"/>
                <w:szCs w:val="20"/>
              </w:rPr>
            </w:pPr>
            <w:r w:rsidRPr="00702882">
              <w:rPr>
                <w:sz w:val="20"/>
                <w:szCs w:val="20"/>
              </w:rPr>
              <w:t>3.17 (0.69)</w:t>
            </w:r>
            <w:r w:rsidRPr="00702882">
              <w:rPr>
                <w:sz w:val="20"/>
                <w:szCs w:val="20"/>
                <w:vertAlign w:val="superscript"/>
              </w:rPr>
              <w:t>***</w:t>
            </w:r>
          </w:p>
        </w:tc>
        <w:tc>
          <w:tcPr>
            <w:tcW w:w="0" w:type="auto"/>
            <w:tcMar>
              <w:top w:w="15" w:type="dxa"/>
              <w:left w:w="75" w:type="dxa"/>
              <w:bottom w:w="15" w:type="dxa"/>
              <w:right w:w="75" w:type="dxa"/>
            </w:tcMar>
            <w:vAlign w:val="center"/>
            <w:hideMark/>
          </w:tcPr>
          <w:p w14:paraId="35315CE2" w14:textId="77777777" w:rsidR="00AF6702" w:rsidRPr="00702882" w:rsidRDefault="00AF6702" w:rsidP="007803B6">
            <w:pPr>
              <w:spacing w:before="150" w:after="150"/>
              <w:contextualSpacing/>
              <w:rPr>
                <w:sz w:val="20"/>
                <w:szCs w:val="20"/>
              </w:rPr>
            </w:pPr>
            <w:r w:rsidRPr="00702882">
              <w:rPr>
                <w:sz w:val="20"/>
                <w:szCs w:val="20"/>
              </w:rPr>
              <w:t>3.08 (0.69)</w:t>
            </w:r>
            <w:r w:rsidRPr="00702882">
              <w:rPr>
                <w:sz w:val="20"/>
                <w:szCs w:val="20"/>
                <w:vertAlign w:val="superscript"/>
              </w:rPr>
              <w:t>***</w:t>
            </w:r>
          </w:p>
        </w:tc>
      </w:tr>
      <w:tr w:rsidR="00B86C9D" w:rsidRPr="00702882" w14:paraId="63D0F364" w14:textId="77777777" w:rsidTr="00AE6820">
        <w:trPr>
          <w:jc w:val="center"/>
        </w:trPr>
        <w:tc>
          <w:tcPr>
            <w:tcW w:w="0" w:type="auto"/>
            <w:tcMar>
              <w:top w:w="15" w:type="dxa"/>
              <w:left w:w="75" w:type="dxa"/>
              <w:bottom w:w="15" w:type="dxa"/>
              <w:right w:w="75" w:type="dxa"/>
            </w:tcMar>
            <w:vAlign w:val="center"/>
            <w:hideMark/>
          </w:tcPr>
          <w:p w14:paraId="4023A733" w14:textId="77777777" w:rsidR="00AF6702" w:rsidRPr="00702882" w:rsidRDefault="00AF6702" w:rsidP="007803B6">
            <w:pPr>
              <w:spacing w:before="150" w:after="150"/>
              <w:contextualSpacing/>
              <w:rPr>
                <w:sz w:val="20"/>
                <w:szCs w:val="20"/>
              </w:rPr>
            </w:pPr>
            <w:r w:rsidRPr="00702882">
              <w:rPr>
                <w:sz w:val="20"/>
                <w:szCs w:val="20"/>
              </w:rPr>
              <w:t>DepoSurplus_numeric</w:t>
            </w:r>
          </w:p>
        </w:tc>
        <w:tc>
          <w:tcPr>
            <w:tcW w:w="0" w:type="auto"/>
            <w:tcMar>
              <w:top w:w="15" w:type="dxa"/>
              <w:left w:w="75" w:type="dxa"/>
              <w:bottom w:w="15" w:type="dxa"/>
              <w:right w:w="75" w:type="dxa"/>
            </w:tcMar>
            <w:vAlign w:val="center"/>
            <w:hideMark/>
          </w:tcPr>
          <w:p w14:paraId="32D237FA" w14:textId="77777777" w:rsidR="00AF6702" w:rsidRPr="00702882" w:rsidRDefault="00AF6702" w:rsidP="007803B6">
            <w:pPr>
              <w:spacing w:before="150" w:after="150"/>
              <w:contextualSpacing/>
              <w:rPr>
                <w:sz w:val="20"/>
                <w:szCs w:val="20"/>
              </w:rPr>
            </w:pPr>
            <w:r w:rsidRPr="00702882">
              <w:rPr>
                <w:sz w:val="20"/>
                <w:szCs w:val="20"/>
              </w:rPr>
              <w:t>0.62 (0.69)</w:t>
            </w:r>
          </w:p>
        </w:tc>
        <w:tc>
          <w:tcPr>
            <w:tcW w:w="0" w:type="auto"/>
            <w:tcMar>
              <w:top w:w="15" w:type="dxa"/>
              <w:left w:w="75" w:type="dxa"/>
              <w:bottom w:w="15" w:type="dxa"/>
              <w:right w:w="75" w:type="dxa"/>
            </w:tcMar>
            <w:vAlign w:val="center"/>
            <w:hideMark/>
          </w:tcPr>
          <w:p w14:paraId="45BA539A" w14:textId="77777777" w:rsidR="00AF6702" w:rsidRPr="00702882" w:rsidRDefault="00AF6702" w:rsidP="007803B6">
            <w:pPr>
              <w:spacing w:before="150" w:after="150"/>
              <w:contextualSpacing/>
              <w:rPr>
                <w:sz w:val="20"/>
                <w:szCs w:val="20"/>
              </w:rPr>
            </w:pPr>
            <w:r w:rsidRPr="00702882">
              <w:rPr>
                <w:sz w:val="20"/>
                <w:szCs w:val="20"/>
              </w:rPr>
              <w:t>0.25 (1.88)</w:t>
            </w:r>
          </w:p>
        </w:tc>
        <w:tc>
          <w:tcPr>
            <w:tcW w:w="0" w:type="auto"/>
            <w:tcMar>
              <w:top w:w="15" w:type="dxa"/>
              <w:left w:w="75" w:type="dxa"/>
              <w:bottom w:w="15" w:type="dxa"/>
              <w:right w:w="75" w:type="dxa"/>
            </w:tcMar>
            <w:vAlign w:val="center"/>
            <w:hideMark/>
          </w:tcPr>
          <w:p w14:paraId="1826165C" w14:textId="77777777" w:rsidR="00AF6702" w:rsidRPr="00702882" w:rsidRDefault="00AF6702" w:rsidP="007803B6">
            <w:pPr>
              <w:spacing w:before="150" w:after="150"/>
              <w:contextualSpacing/>
              <w:rPr>
                <w:sz w:val="20"/>
                <w:szCs w:val="20"/>
              </w:rPr>
            </w:pPr>
            <w:r w:rsidRPr="00702882">
              <w:rPr>
                <w:sz w:val="20"/>
                <w:szCs w:val="20"/>
              </w:rPr>
              <w:t>1.07 (0.80)</w:t>
            </w:r>
          </w:p>
        </w:tc>
        <w:tc>
          <w:tcPr>
            <w:tcW w:w="0" w:type="auto"/>
            <w:tcMar>
              <w:top w:w="15" w:type="dxa"/>
              <w:left w:w="75" w:type="dxa"/>
              <w:bottom w:w="15" w:type="dxa"/>
              <w:right w:w="75" w:type="dxa"/>
            </w:tcMar>
            <w:vAlign w:val="center"/>
            <w:hideMark/>
          </w:tcPr>
          <w:p w14:paraId="083491FB" w14:textId="77777777" w:rsidR="00AF6702" w:rsidRPr="00702882" w:rsidRDefault="00AF6702" w:rsidP="007803B6">
            <w:pPr>
              <w:spacing w:before="150" w:after="150"/>
              <w:contextualSpacing/>
              <w:rPr>
                <w:sz w:val="20"/>
                <w:szCs w:val="20"/>
              </w:rPr>
            </w:pPr>
            <w:r w:rsidRPr="00702882">
              <w:rPr>
                <w:sz w:val="20"/>
                <w:szCs w:val="20"/>
              </w:rPr>
              <w:t>0.72 (0.69)</w:t>
            </w:r>
          </w:p>
        </w:tc>
      </w:tr>
      <w:tr w:rsidR="00B86C9D" w:rsidRPr="00702882" w14:paraId="50074897" w14:textId="77777777" w:rsidTr="00AE6820">
        <w:trPr>
          <w:jc w:val="center"/>
        </w:trPr>
        <w:tc>
          <w:tcPr>
            <w:tcW w:w="0" w:type="auto"/>
            <w:tcMar>
              <w:top w:w="15" w:type="dxa"/>
              <w:left w:w="75" w:type="dxa"/>
              <w:bottom w:w="15" w:type="dxa"/>
              <w:right w:w="75" w:type="dxa"/>
            </w:tcMar>
            <w:vAlign w:val="center"/>
            <w:hideMark/>
          </w:tcPr>
          <w:p w14:paraId="62163FC8" w14:textId="77777777" w:rsidR="00AF6702" w:rsidRPr="00702882" w:rsidRDefault="00AF6702" w:rsidP="007803B6">
            <w:pPr>
              <w:spacing w:before="150" w:after="150"/>
              <w:contextualSpacing/>
              <w:rPr>
                <w:sz w:val="20"/>
                <w:szCs w:val="20"/>
              </w:rPr>
            </w:pPr>
            <w:r w:rsidRPr="00702882">
              <w:rPr>
                <w:sz w:val="20"/>
                <w:szCs w:val="20"/>
              </w:rPr>
              <w:t>DepoVol_formula</w:t>
            </w:r>
          </w:p>
        </w:tc>
        <w:tc>
          <w:tcPr>
            <w:tcW w:w="0" w:type="auto"/>
            <w:tcMar>
              <w:top w:w="15" w:type="dxa"/>
              <w:left w:w="75" w:type="dxa"/>
              <w:bottom w:w="15" w:type="dxa"/>
              <w:right w:w="75" w:type="dxa"/>
            </w:tcMar>
            <w:vAlign w:val="center"/>
            <w:hideMark/>
          </w:tcPr>
          <w:p w14:paraId="0A99D08C" w14:textId="77777777" w:rsidR="00AF6702" w:rsidRPr="00702882" w:rsidRDefault="00AF6702" w:rsidP="007803B6">
            <w:pPr>
              <w:spacing w:before="150" w:after="150"/>
              <w:contextualSpacing/>
              <w:rPr>
                <w:sz w:val="20"/>
                <w:szCs w:val="20"/>
              </w:rPr>
            </w:pPr>
            <w:r w:rsidRPr="00702882">
              <w:rPr>
                <w:sz w:val="20"/>
                <w:szCs w:val="20"/>
              </w:rPr>
              <w:t>-1.27 (0.93)</w:t>
            </w:r>
          </w:p>
        </w:tc>
        <w:tc>
          <w:tcPr>
            <w:tcW w:w="0" w:type="auto"/>
            <w:tcMar>
              <w:top w:w="15" w:type="dxa"/>
              <w:left w:w="75" w:type="dxa"/>
              <w:bottom w:w="15" w:type="dxa"/>
              <w:right w:w="75" w:type="dxa"/>
            </w:tcMar>
            <w:vAlign w:val="center"/>
            <w:hideMark/>
          </w:tcPr>
          <w:p w14:paraId="49E24C1F" w14:textId="77777777" w:rsidR="00AF6702" w:rsidRPr="00702882" w:rsidRDefault="00AF6702" w:rsidP="007803B6">
            <w:pPr>
              <w:spacing w:before="150" w:after="150"/>
              <w:contextualSpacing/>
              <w:rPr>
                <w:sz w:val="20"/>
                <w:szCs w:val="20"/>
              </w:rPr>
            </w:pPr>
            <w:r w:rsidRPr="00702882">
              <w:rPr>
                <w:sz w:val="20"/>
                <w:szCs w:val="20"/>
              </w:rPr>
              <w:t>-11.64 (2.81)</w:t>
            </w:r>
            <w:r w:rsidRPr="00702882">
              <w:rPr>
                <w:sz w:val="20"/>
                <w:szCs w:val="20"/>
                <w:vertAlign w:val="superscript"/>
              </w:rPr>
              <w:t>***</w:t>
            </w:r>
          </w:p>
        </w:tc>
        <w:tc>
          <w:tcPr>
            <w:tcW w:w="0" w:type="auto"/>
            <w:tcMar>
              <w:top w:w="15" w:type="dxa"/>
              <w:left w:w="75" w:type="dxa"/>
              <w:bottom w:w="15" w:type="dxa"/>
              <w:right w:w="75" w:type="dxa"/>
            </w:tcMar>
            <w:vAlign w:val="center"/>
            <w:hideMark/>
          </w:tcPr>
          <w:p w14:paraId="098F231F" w14:textId="77777777" w:rsidR="00AF6702" w:rsidRPr="00702882" w:rsidRDefault="00AF6702" w:rsidP="007803B6">
            <w:pPr>
              <w:spacing w:before="150" w:after="150"/>
              <w:contextualSpacing/>
              <w:rPr>
                <w:sz w:val="20"/>
                <w:szCs w:val="20"/>
              </w:rPr>
            </w:pPr>
            <w:r w:rsidRPr="00702882">
              <w:rPr>
                <w:sz w:val="20"/>
                <w:szCs w:val="20"/>
              </w:rPr>
              <w:t>-10.77 (2.67)</w:t>
            </w:r>
            <w:r w:rsidRPr="00702882">
              <w:rPr>
                <w:sz w:val="20"/>
                <w:szCs w:val="20"/>
                <w:vertAlign w:val="superscript"/>
              </w:rPr>
              <w:t>***</w:t>
            </w:r>
          </w:p>
        </w:tc>
        <w:tc>
          <w:tcPr>
            <w:tcW w:w="0" w:type="auto"/>
            <w:tcMar>
              <w:top w:w="15" w:type="dxa"/>
              <w:left w:w="75" w:type="dxa"/>
              <w:bottom w:w="15" w:type="dxa"/>
              <w:right w:w="75" w:type="dxa"/>
            </w:tcMar>
            <w:vAlign w:val="center"/>
            <w:hideMark/>
          </w:tcPr>
          <w:p w14:paraId="53431847" w14:textId="77777777" w:rsidR="00AF6702" w:rsidRPr="00702882" w:rsidRDefault="00AF6702" w:rsidP="007803B6">
            <w:pPr>
              <w:spacing w:before="150" w:after="150"/>
              <w:contextualSpacing/>
              <w:rPr>
                <w:sz w:val="20"/>
                <w:szCs w:val="20"/>
              </w:rPr>
            </w:pPr>
            <w:r w:rsidRPr="00702882">
              <w:rPr>
                <w:sz w:val="20"/>
                <w:szCs w:val="20"/>
              </w:rPr>
              <w:t>-10.93 (2.60)</w:t>
            </w:r>
            <w:r w:rsidRPr="00702882">
              <w:rPr>
                <w:sz w:val="20"/>
                <w:szCs w:val="20"/>
                <w:vertAlign w:val="superscript"/>
              </w:rPr>
              <w:t>***</w:t>
            </w:r>
          </w:p>
        </w:tc>
      </w:tr>
      <w:tr w:rsidR="00B86C9D" w:rsidRPr="00702882" w14:paraId="70C6CC24" w14:textId="77777777" w:rsidTr="00AE6820">
        <w:trPr>
          <w:jc w:val="center"/>
        </w:trPr>
        <w:tc>
          <w:tcPr>
            <w:tcW w:w="0" w:type="auto"/>
            <w:tcMar>
              <w:top w:w="15" w:type="dxa"/>
              <w:left w:w="75" w:type="dxa"/>
              <w:bottom w:w="15" w:type="dxa"/>
              <w:right w:w="75" w:type="dxa"/>
            </w:tcMar>
            <w:vAlign w:val="center"/>
            <w:hideMark/>
          </w:tcPr>
          <w:p w14:paraId="427898CE" w14:textId="77777777" w:rsidR="00AF6702" w:rsidRPr="00702882" w:rsidRDefault="00AF6702" w:rsidP="007803B6">
            <w:pPr>
              <w:spacing w:before="150" w:after="150"/>
              <w:contextualSpacing/>
              <w:rPr>
                <w:sz w:val="20"/>
                <w:szCs w:val="20"/>
              </w:rPr>
            </w:pPr>
            <w:r w:rsidRPr="00702882">
              <w:rPr>
                <w:sz w:val="20"/>
                <w:szCs w:val="20"/>
              </w:rPr>
              <w:t>DepoVol_propor</w:t>
            </w:r>
          </w:p>
        </w:tc>
        <w:tc>
          <w:tcPr>
            <w:tcW w:w="0" w:type="auto"/>
            <w:tcMar>
              <w:top w:w="15" w:type="dxa"/>
              <w:left w:w="75" w:type="dxa"/>
              <w:bottom w:w="15" w:type="dxa"/>
              <w:right w:w="75" w:type="dxa"/>
            </w:tcMar>
            <w:vAlign w:val="center"/>
            <w:hideMark/>
          </w:tcPr>
          <w:p w14:paraId="278AE969" w14:textId="77777777" w:rsidR="00AF6702" w:rsidRPr="00702882" w:rsidRDefault="00AF6702" w:rsidP="007803B6">
            <w:pPr>
              <w:spacing w:before="150" w:after="150"/>
              <w:contextualSpacing/>
              <w:rPr>
                <w:sz w:val="20"/>
                <w:szCs w:val="20"/>
              </w:rPr>
            </w:pPr>
            <w:r w:rsidRPr="00702882">
              <w:rPr>
                <w:sz w:val="20"/>
                <w:szCs w:val="20"/>
              </w:rPr>
              <w:t>-1.55 (0.55)</w:t>
            </w:r>
            <w:r w:rsidRPr="00702882">
              <w:rPr>
                <w:sz w:val="20"/>
                <w:szCs w:val="20"/>
                <w:vertAlign w:val="superscript"/>
              </w:rPr>
              <w:t>***</w:t>
            </w:r>
          </w:p>
        </w:tc>
        <w:tc>
          <w:tcPr>
            <w:tcW w:w="0" w:type="auto"/>
            <w:tcMar>
              <w:top w:w="15" w:type="dxa"/>
              <w:left w:w="75" w:type="dxa"/>
              <w:bottom w:w="15" w:type="dxa"/>
              <w:right w:w="75" w:type="dxa"/>
            </w:tcMar>
            <w:vAlign w:val="center"/>
            <w:hideMark/>
          </w:tcPr>
          <w:p w14:paraId="17291B11" w14:textId="77777777" w:rsidR="00AF6702" w:rsidRPr="00702882" w:rsidRDefault="00AF6702" w:rsidP="007803B6">
            <w:pPr>
              <w:spacing w:before="150" w:after="150"/>
              <w:contextualSpacing/>
              <w:rPr>
                <w:sz w:val="20"/>
                <w:szCs w:val="20"/>
              </w:rPr>
            </w:pPr>
            <w:r w:rsidRPr="00702882">
              <w:rPr>
                <w:sz w:val="20"/>
                <w:szCs w:val="20"/>
              </w:rPr>
              <w:t>-2.81 (1.45)</w:t>
            </w:r>
            <w:r w:rsidRPr="00702882">
              <w:rPr>
                <w:sz w:val="20"/>
                <w:szCs w:val="20"/>
                <w:vertAlign w:val="superscript"/>
              </w:rPr>
              <w:t>*</w:t>
            </w:r>
          </w:p>
        </w:tc>
        <w:tc>
          <w:tcPr>
            <w:tcW w:w="0" w:type="auto"/>
            <w:tcMar>
              <w:top w:w="15" w:type="dxa"/>
              <w:left w:w="75" w:type="dxa"/>
              <w:bottom w:w="15" w:type="dxa"/>
              <w:right w:w="75" w:type="dxa"/>
            </w:tcMar>
            <w:vAlign w:val="center"/>
            <w:hideMark/>
          </w:tcPr>
          <w:p w14:paraId="1F001E50" w14:textId="77777777" w:rsidR="00AF6702" w:rsidRPr="00702882" w:rsidRDefault="00AF6702" w:rsidP="007803B6">
            <w:pPr>
              <w:spacing w:before="150" w:after="150"/>
              <w:contextualSpacing/>
              <w:rPr>
                <w:sz w:val="20"/>
                <w:szCs w:val="20"/>
              </w:rPr>
            </w:pPr>
            <w:r w:rsidRPr="00702882">
              <w:rPr>
                <w:sz w:val="20"/>
                <w:szCs w:val="20"/>
              </w:rPr>
              <w:t>-0.89 (0.55)</w:t>
            </w:r>
          </w:p>
        </w:tc>
        <w:tc>
          <w:tcPr>
            <w:tcW w:w="0" w:type="auto"/>
            <w:tcMar>
              <w:top w:w="15" w:type="dxa"/>
              <w:left w:w="75" w:type="dxa"/>
              <w:bottom w:w="15" w:type="dxa"/>
              <w:right w:w="75" w:type="dxa"/>
            </w:tcMar>
            <w:vAlign w:val="center"/>
            <w:hideMark/>
          </w:tcPr>
          <w:p w14:paraId="6297B34F" w14:textId="77777777" w:rsidR="00AF6702" w:rsidRPr="00702882" w:rsidRDefault="00AF6702" w:rsidP="007803B6">
            <w:pPr>
              <w:spacing w:before="150" w:after="150"/>
              <w:contextualSpacing/>
              <w:rPr>
                <w:sz w:val="20"/>
                <w:szCs w:val="20"/>
              </w:rPr>
            </w:pPr>
            <w:r w:rsidRPr="00702882">
              <w:rPr>
                <w:sz w:val="20"/>
                <w:szCs w:val="20"/>
              </w:rPr>
              <w:t>-0.97 (0.53)</w:t>
            </w:r>
            <w:r w:rsidRPr="00702882">
              <w:rPr>
                <w:sz w:val="20"/>
                <w:szCs w:val="20"/>
                <w:vertAlign w:val="superscript"/>
              </w:rPr>
              <w:t>*</w:t>
            </w:r>
          </w:p>
        </w:tc>
      </w:tr>
      <w:tr w:rsidR="00B86C9D" w:rsidRPr="00702882" w14:paraId="34F85691" w14:textId="77777777" w:rsidTr="00AE6820">
        <w:trPr>
          <w:jc w:val="center"/>
        </w:trPr>
        <w:tc>
          <w:tcPr>
            <w:tcW w:w="0" w:type="auto"/>
            <w:tcMar>
              <w:top w:w="15" w:type="dxa"/>
              <w:left w:w="75" w:type="dxa"/>
              <w:bottom w:w="15" w:type="dxa"/>
              <w:right w:w="75" w:type="dxa"/>
            </w:tcMar>
            <w:vAlign w:val="center"/>
            <w:hideMark/>
          </w:tcPr>
          <w:p w14:paraId="1592773E" w14:textId="77777777" w:rsidR="00AF6702" w:rsidRPr="00702882" w:rsidRDefault="00AF6702" w:rsidP="007803B6">
            <w:pPr>
              <w:spacing w:before="150" w:after="150"/>
              <w:contextualSpacing/>
              <w:rPr>
                <w:sz w:val="20"/>
                <w:szCs w:val="20"/>
              </w:rPr>
            </w:pPr>
            <w:r w:rsidRPr="00702882">
              <w:rPr>
                <w:sz w:val="20"/>
                <w:szCs w:val="20"/>
              </w:rPr>
              <w:t>WithLegis_numeric</w:t>
            </w:r>
          </w:p>
        </w:tc>
        <w:tc>
          <w:tcPr>
            <w:tcW w:w="0" w:type="auto"/>
            <w:tcMar>
              <w:top w:w="15" w:type="dxa"/>
              <w:left w:w="75" w:type="dxa"/>
              <w:bottom w:w="15" w:type="dxa"/>
              <w:right w:w="75" w:type="dxa"/>
            </w:tcMar>
            <w:vAlign w:val="center"/>
            <w:hideMark/>
          </w:tcPr>
          <w:p w14:paraId="2EF54A3C" w14:textId="77777777" w:rsidR="00AF6702" w:rsidRPr="00702882" w:rsidRDefault="00AF6702" w:rsidP="007803B6">
            <w:pPr>
              <w:spacing w:before="150" w:after="150"/>
              <w:contextualSpacing/>
              <w:rPr>
                <w:sz w:val="20"/>
                <w:szCs w:val="20"/>
              </w:rPr>
            </w:pPr>
            <w:r w:rsidRPr="00702882">
              <w:rPr>
                <w:sz w:val="20"/>
                <w:szCs w:val="20"/>
              </w:rPr>
              <w:t>-4.87 (1.21)</w:t>
            </w:r>
            <w:r w:rsidRPr="00702882">
              <w:rPr>
                <w:sz w:val="20"/>
                <w:szCs w:val="20"/>
                <w:vertAlign w:val="superscript"/>
              </w:rPr>
              <w:t>***</w:t>
            </w:r>
          </w:p>
        </w:tc>
        <w:tc>
          <w:tcPr>
            <w:tcW w:w="0" w:type="auto"/>
            <w:tcMar>
              <w:top w:w="15" w:type="dxa"/>
              <w:left w:w="75" w:type="dxa"/>
              <w:bottom w:w="15" w:type="dxa"/>
              <w:right w:w="75" w:type="dxa"/>
            </w:tcMar>
            <w:vAlign w:val="center"/>
            <w:hideMark/>
          </w:tcPr>
          <w:p w14:paraId="132DA8EE" w14:textId="77777777" w:rsidR="00AF6702" w:rsidRPr="00702882" w:rsidRDefault="00AF6702" w:rsidP="007803B6">
            <w:pPr>
              <w:spacing w:before="150" w:after="150"/>
              <w:contextualSpacing/>
              <w:rPr>
                <w:sz w:val="20"/>
                <w:szCs w:val="20"/>
              </w:rPr>
            </w:pPr>
            <w:r w:rsidRPr="00702882">
              <w:rPr>
                <w:sz w:val="20"/>
                <w:szCs w:val="20"/>
              </w:rPr>
              <w:t>-18.21 (3.12)</w:t>
            </w:r>
            <w:r w:rsidRPr="00702882">
              <w:rPr>
                <w:sz w:val="20"/>
                <w:szCs w:val="20"/>
                <w:vertAlign w:val="superscript"/>
              </w:rPr>
              <w:t>***</w:t>
            </w:r>
          </w:p>
        </w:tc>
        <w:tc>
          <w:tcPr>
            <w:tcW w:w="0" w:type="auto"/>
            <w:tcMar>
              <w:top w:w="15" w:type="dxa"/>
              <w:left w:w="75" w:type="dxa"/>
              <w:bottom w:w="15" w:type="dxa"/>
              <w:right w:w="75" w:type="dxa"/>
            </w:tcMar>
            <w:vAlign w:val="center"/>
            <w:hideMark/>
          </w:tcPr>
          <w:p w14:paraId="59B670BA" w14:textId="77777777" w:rsidR="00AF6702" w:rsidRPr="00702882" w:rsidRDefault="00AF6702" w:rsidP="007803B6">
            <w:pPr>
              <w:spacing w:before="150" w:after="150"/>
              <w:contextualSpacing/>
              <w:rPr>
                <w:sz w:val="20"/>
                <w:szCs w:val="20"/>
              </w:rPr>
            </w:pPr>
            <w:r w:rsidRPr="00702882">
              <w:rPr>
                <w:sz w:val="20"/>
                <w:szCs w:val="20"/>
              </w:rPr>
              <w:t>-16.93 (2.80)</w:t>
            </w:r>
            <w:r w:rsidRPr="00702882">
              <w:rPr>
                <w:sz w:val="20"/>
                <w:szCs w:val="20"/>
                <w:vertAlign w:val="superscript"/>
              </w:rPr>
              <w:t>***</w:t>
            </w:r>
          </w:p>
        </w:tc>
        <w:tc>
          <w:tcPr>
            <w:tcW w:w="0" w:type="auto"/>
            <w:tcMar>
              <w:top w:w="15" w:type="dxa"/>
              <w:left w:w="75" w:type="dxa"/>
              <w:bottom w:w="15" w:type="dxa"/>
              <w:right w:w="75" w:type="dxa"/>
            </w:tcMar>
            <w:vAlign w:val="center"/>
            <w:hideMark/>
          </w:tcPr>
          <w:p w14:paraId="470F673C" w14:textId="77777777" w:rsidR="00AF6702" w:rsidRPr="00702882" w:rsidRDefault="00AF6702" w:rsidP="007803B6">
            <w:pPr>
              <w:spacing w:before="150" w:after="150"/>
              <w:contextualSpacing/>
              <w:rPr>
                <w:sz w:val="20"/>
                <w:szCs w:val="20"/>
              </w:rPr>
            </w:pPr>
            <w:r w:rsidRPr="00702882">
              <w:rPr>
                <w:sz w:val="20"/>
                <w:szCs w:val="20"/>
              </w:rPr>
              <w:t>-17.32 (2.81)</w:t>
            </w:r>
            <w:r w:rsidRPr="00702882">
              <w:rPr>
                <w:sz w:val="20"/>
                <w:szCs w:val="20"/>
                <w:vertAlign w:val="superscript"/>
              </w:rPr>
              <w:t>***</w:t>
            </w:r>
          </w:p>
        </w:tc>
      </w:tr>
      <w:tr w:rsidR="00B86C9D" w:rsidRPr="00702882" w14:paraId="7474A33F" w14:textId="77777777" w:rsidTr="00AE6820">
        <w:trPr>
          <w:jc w:val="center"/>
        </w:trPr>
        <w:tc>
          <w:tcPr>
            <w:tcW w:w="0" w:type="auto"/>
            <w:tcMar>
              <w:top w:w="15" w:type="dxa"/>
              <w:left w:w="75" w:type="dxa"/>
              <w:bottom w:w="15" w:type="dxa"/>
              <w:right w:w="75" w:type="dxa"/>
            </w:tcMar>
            <w:vAlign w:val="center"/>
            <w:hideMark/>
          </w:tcPr>
          <w:p w14:paraId="361DD67D" w14:textId="77777777" w:rsidR="00AF6702" w:rsidRPr="00702882" w:rsidRDefault="00AF6702" w:rsidP="007803B6">
            <w:pPr>
              <w:spacing w:before="150" w:after="150"/>
              <w:contextualSpacing/>
              <w:rPr>
                <w:sz w:val="20"/>
                <w:szCs w:val="20"/>
              </w:rPr>
            </w:pPr>
            <w:r w:rsidRPr="00702882">
              <w:rPr>
                <w:sz w:val="20"/>
                <w:szCs w:val="20"/>
              </w:rPr>
              <w:t>WithShortfall</w:t>
            </w:r>
          </w:p>
        </w:tc>
        <w:tc>
          <w:tcPr>
            <w:tcW w:w="0" w:type="auto"/>
            <w:tcMar>
              <w:top w:w="15" w:type="dxa"/>
              <w:left w:w="75" w:type="dxa"/>
              <w:bottom w:w="15" w:type="dxa"/>
              <w:right w:w="75" w:type="dxa"/>
            </w:tcMar>
            <w:vAlign w:val="center"/>
            <w:hideMark/>
          </w:tcPr>
          <w:p w14:paraId="31BA3CC6" w14:textId="77777777" w:rsidR="00AF6702" w:rsidRPr="00702882" w:rsidRDefault="00AF6702" w:rsidP="007803B6">
            <w:pPr>
              <w:spacing w:before="150" w:after="150"/>
              <w:contextualSpacing/>
              <w:rPr>
                <w:sz w:val="20"/>
                <w:szCs w:val="20"/>
              </w:rPr>
            </w:pPr>
            <w:r w:rsidRPr="00702882">
              <w:rPr>
                <w:sz w:val="20"/>
                <w:szCs w:val="20"/>
              </w:rPr>
              <w:t>0.64 (0.79)</w:t>
            </w:r>
          </w:p>
        </w:tc>
        <w:tc>
          <w:tcPr>
            <w:tcW w:w="0" w:type="auto"/>
            <w:tcMar>
              <w:top w:w="15" w:type="dxa"/>
              <w:left w:w="75" w:type="dxa"/>
              <w:bottom w:w="15" w:type="dxa"/>
              <w:right w:w="75" w:type="dxa"/>
            </w:tcMar>
            <w:vAlign w:val="center"/>
            <w:hideMark/>
          </w:tcPr>
          <w:p w14:paraId="50BA36B8" w14:textId="77777777" w:rsidR="00AF6702" w:rsidRPr="00702882" w:rsidRDefault="00AF6702" w:rsidP="007803B6">
            <w:pPr>
              <w:spacing w:before="150" w:after="150"/>
              <w:contextualSpacing/>
              <w:rPr>
                <w:sz w:val="20"/>
                <w:szCs w:val="20"/>
              </w:rPr>
            </w:pPr>
            <w:r w:rsidRPr="00702882">
              <w:rPr>
                <w:sz w:val="20"/>
                <w:szCs w:val="20"/>
              </w:rPr>
              <w:t>0.92 (2.04)</w:t>
            </w:r>
          </w:p>
        </w:tc>
        <w:tc>
          <w:tcPr>
            <w:tcW w:w="0" w:type="auto"/>
            <w:tcMar>
              <w:top w:w="15" w:type="dxa"/>
              <w:left w:w="75" w:type="dxa"/>
              <w:bottom w:w="15" w:type="dxa"/>
              <w:right w:w="75" w:type="dxa"/>
            </w:tcMar>
            <w:vAlign w:val="center"/>
            <w:hideMark/>
          </w:tcPr>
          <w:p w14:paraId="12D212EE" w14:textId="77777777" w:rsidR="00AF6702" w:rsidRPr="00702882" w:rsidRDefault="00AF6702" w:rsidP="007803B6">
            <w:pPr>
              <w:spacing w:before="150" w:after="150"/>
              <w:contextualSpacing/>
              <w:rPr>
                <w:sz w:val="20"/>
                <w:szCs w:val="20"/>
              </w:rPr>
            </w:pPr>
            <w:r w:rsidRPr="00702882">
              <w:rPr>
                <w:sz w:val="20"/>
                <w:szCs w:val="20"/>
              </w:rPr>
              <w:t>0.74 (0.76)</w:t>
            </w:r>
          </w:p>
        </w:tc>
        <w:tc>
          <w:tcPr>
            <w:tcW w:w="0" w:type="auto"/>
            <w:tcMar>
              <w:top w:w="15" w:type="dxa"/>
              <w:left w:w="75" w:type="dxa"/>
              <w:bottom w:w="15" w:type="dxa"/>
              <w:right w:w="75" w:type="dxa"/>
            </w:tcMar>
            <w:vAlign w:val="center"/>
            <w:hideMark/>
          </w:tcPr>
          <w:p w14:paraId="202CDF06" w14:textId="77777777" w:rsidR="00AF6702" w:rsidRPr="00702882" w:rsidRDefault="00AF6702" w:rsidP="007803B6">
            <w:pPr>
              <w:spacing w:before="150" w:after="150"/>
              <w:contextualSpacing/>
              <w:rPr>
                <w:sz w:val="20"/>
                <w:szCs w:val="20"/>
              </w:rPr>
            </w:pPr>
            <w:r w:rsidRPr="00702882">
              <w:rPr>
                <w:sz w:val="20"/>
                <w:szCs w:val="20"/>
              </w:rPr>
              <w:t>0.84 (0.75)</w:t>
            </w:r>
          </w:p>
        </w:tc>
      </w:tr>
      <w:tr w:rsidR="00B86C9D" w:rsidRPr="00702882" w14:paraId="46B764EA" w14:textId="77777777" w:rsidTr="00AE6820">
        <w:trPr>
          <w:jc w:val="center"/>
        </w:trPr>
        <w:tc>
          <w:tcPr>
            <w:tcW w:w="0" w:type="auto"/>
            <w:tcMar>
              <w:top w:w="15" w:type="dxa"/>
              <w:left w:w="75" w:type="dxa"/>
              <w:bottom w:w="15" w:type="dxa"/>
              <w:right w:w="75" w:type="dxa"/>
            </w:tcMar>
            <w:vAlign w:val="center"/>
            <w:hideMark/>
          </w:tcPr>
          <w:p w14:paraId="39A79F53" w14:textId="77777777" w:rsidR="00AF6702" w:rsidRPr="00702882" w:rsidRDefault="00AF6702" w:rsidP="007803B6">
            <w:pPr>
              <w:spacing w:before="150" w:after="150"/>
              <w:contextualSpacing/>
              <w:rPr>
                <w:sz w:val="20"/>
                <w:szCs w:val="20"/>
              </w:rPr>
            </w:pPr>
            <w:r w:rsidRPr="00702882">
              <w:rPr>
                <w:sz w:val="20"/>
                <w:szCs w:val="20"/>
              </w:rPr>
              <w:t>WithVol</w:t>
            </w:r>
          </w:p>
        </w:tc>
        <w:tc>
          <w:tcPr>
            <w:tcW w:w="0" w:type="auto"/>
            <w:tcMar>
              <w:top w:w="15" w:type="dxa"/>
              <w:left w:w="75" w:type="dxa"/>
              <w:bottom w:w="15" w:type="dxa"/>
              <w:right w:w="75" w:type="dxa"/>
            </w:tcMar>
            <w:vAlign w:val="center"/>
            <w:hideMark/>
          </w:tcPr>
          <w:p w14:paraId="6E97FB4E" w14:textId="77777777" w:rsidR="00AF6702" w:rsidRPr="00702882" w:rsidRDefault="00AF6702" w:rsidP="007803B6">
            <w:pPr>
              <w:spacing w:before="150" w:after="150"/>
              <w:contextualSpacing/>
              <w:rPr>
                <w:sz w:val="20"/>
                <w:szCs w:val="20"/>
              </w:rPr>
            </w:pPr>
            <w:r w:rsidRPr="00702882">
              <w:rPr>
                <w:sz w:val="20"/>
                <w:szCs w:val="20"/>
              </w:rPr>
              <w:t>1.55 (0.97)</w:t>
            </w:r>
          </w:p>
        </w:tc>
        <w:tc>
          <w:tcPr>
            <w:tcW w:w="0" w:type="auto"/>
            <w:tcMar>
              <w:top w:w="15" w:type="dxa"/>
              <w:left w:w="75" w:type="dxa"/>
              <w:bottom w:w="15" w:type="dxa"/>
              <w:right w:w="75" w:type="dxa"/>
            </w:tcMar>
            <w:vAlign w:val="center"/>
            <w:hideMark/>
          </w:tcPr>
          <w:p w14:paraId="5790DC77" w14:textId="77777777" w:rsidR="00AF6702" w:rsidRPr="00702882" w:rsidRDefault="00AF6702" w:rsidP="007803B6">
            <w:pPr>
              <w:spacing w:before="150" w:after="150"/>
              <w:contextualSpacing/>
              <w:rPr>
                <w:sz w:val="20"/>
                <w:szCs w:val="20"/>
              </w:rPr>
            </w:pPr>
            <w:r w:rsidRPr="00702882">
              <w:rPr>
                <w:sz w:val="20"/>
                <w:szCs w:val="20"/>
              </w:rPr>
              <w:t>5.49 (2.77)</w:t>
            </w:r>
            <w:r w:rsidRPr="00702882">
              <w:rPr>
                <w:sz w:val="20"/>
                <w:szCs w:val="20"/>
                <w:vertAlign w:val="superscript"/>
              </w:rPr>
              <w:t>**</w:t>
            </w:r>
          </w:p>
        </w:tc>
        <w:tc>
          <w:tcPr>
            <w:tcW w:w="0" w:type="auto"/>
            <w:tcMar>
              <w:top w:w="15" w:type="dxa"/>
              <w:left w:w="75" w:type="dxa"/>
              <w:bottom w:w="15" w:type="dxa"/>
              <w:right w:w="75" w:type="dxa"/>
            </w:tcMar>
            <w:vAlign w:val="center"/>
            <w:hideMark/>
          </w:tcPr>
          <w:p w14:paraId="6B66A841" w14:textId="77777777" w:rsidR="00AF6702" w:rsidRPr="00702882" w:rsidRDefault="00AF6702" w:rsidP="007803B6">
            <w:pPr>
              <w:spacing w:before="150" w:after="150"/>
              <w:contextualSpacing/>
              <w:rPr>
                <w:sz w:val="20"/>
                <w:szCs w:val="20"/>
              </w:rPr>
            </w:pPr>
            <w:r w:rsidRPr="00702882">
              <w:rPr>
                <w:sz w:val="20"/>
                <w:szCs w:val="20"/>
              </w:rPr>
              <w:t>4.68 (2.78)</w:t>
            </w:r>
            <w:r w:rsidRPr="00702882">
              <w:rPr>
                <w:sz w:val="20"/>
                <w:szCs w:val="20"/>
                <w:vertAlign w:val="superscript"/>
              </w:rPr>
              <w:t>*</w:t>
            </w:r>
          </w:p>
        </w:tc>
        <w:tc>
          <w:tcPr>
            <w:tcW w:w="0" w:type="auto"/>
            <w:tcMar>
              <w:top w:w="15" w:type="dxa"/>
              <w:left w:w="75" w:type="dxa"/>
              <w:bottom w:w="15" w:type="dxa"/>
              <w:right w:w="75" w:type="dxa"/>
            </w:tcMar>
            <w:vAlign w:val="center"/>
            <w:hideMark/>
          </w:tcPr>
          <w:p w14:paraId="5C51BC73" w14:textId="77777777" w:rsidR="00AF6702" w:rsidRPr="00702882" w:rsidRDefault="00AF6702" w:rsidP="007803B6">
            <w:pPr>
              <w:spacing w:before="150" w:after="150"/>
              <w:contextualSpacing/>
              <w:rPr>
                <w:sz w:val="20"/>
                <w:szCs w:val="20"/>
              </w:rPr>
            </w:pPr>
            <w:r w:rsidRPr="00702882">
              <w:rPr>
                <w:sz w:val="20"/>
                <w:szCs w:val="20"/>
              </w:rPr>
              <w:t>5.06 (2.55)</w:t>
            </w:r>
            <w:r w:rsidRPr="00702882">
              <w:rPr>
                <w:sz w:val="20"/>
                <w:szCs w:val="20"/>
                <w:vertAlign w:val="superscript"/>
              </w:rPr>
              <w:t>**</w:t>
            </w:r>
          </w:p>
        </w:tc>
      </w:tr>
      <w:tr w:rsidR="00B86C9D" w:rsidRPr="00702882" w14:paraId="59B2F778" w14:textId="77777777" w:rsidTr="00AE6820">
        <w:trPr>
          <w:jc w:val="center"/>
        </w:trPr>
        <w:tc>
          <w:tcPr>
            <w:tcW w:w="0" w:type="auto"/>
            <w:tcMar>
              <w:top w:w="15" w:type="dxa"/>
              <w:left w:w="75" w:type="dxa"/>
              <w:bottom w:w="15" w:type="dxa"/>
              <w:right w:w="75" w:type="dxa"/>
            </w:tcMar>
            <w:vAlign w:val="center"/>
            <w:hideMark/>
          </w:tcPr>
          <w:p w14:paraId="04A73662" w14:textId="77777777" w:rsidR="00AF6702" w:rsidRPr="00702882" w:rsidRDefault="00AF6702" w:rsidP="007803B6">
            <w:pPr>
              <w:spacing w:before="150" w:after="150"/>
              <w:contextualSpacing/>
              <w:rPr>
                <w:sz w:val="20"/>
                <w:szCs w:val="20"/>
              </w:rPr>
            </w:pPr>
            <w:r w:rsidRPr="00702882">
              <w:rPr>
                <w:sz w:val="20"/>
                <w:szCs w:val="20"/>
              </w:rPr>
              <w:t>Repay_4bin</w:t>
            </w:r>
          </w:p>
        </w:tc>
        <w:tc>
          <w:tcPr>
            <w:tcW w:w="0" w:type="auto"/>
            <w:tcMar>
              <w:top w:w="15" w:type="dxa"/>
              <w:left w:w="75" w:type="dxa"/>
              <w:bottom w:w="15" w:type="dxa"/>
              <w:right w:w="75" w:type="dxa"/>
            </w:tcMar>
            <w:vAlign w:val="center"/>
            <w:hideMark/>
          </w:tcPr>
          <w:p w14:paraId="1DDE0B1F" w14:textId="77777777" w:rsidR="00AF6702" w:rsidRPr="00702882" w:rsidRDefault="00AF6702" w:rsidP="007803B6">
            <w:pPr>
              <w:spacing w:before="150" w:after="150"/>
              <w:contextualSpacing/>
              <w:rPr>
                <w:sz w:val="20"/>
                <w:szCs w:val="20"/>
              </w:rPr>
            </w:pPr>
            <w:r w:rsidRPr="00702882">
              <w:rPr>
                <w:sz w:val="20"/>
                <w:szCs w:val="20"/>
              </w:rPr>
              <w:t>0.24 (0.16)</w:t>
            </w:r>
          </w:p>
        </w:tc>
        <w:tc>
          <w:tcPr>
            <w:tcW w:w="0" w:type="auto"/>
            <w:tcMar>
              <w:top w:w="15" w:type="dxa"/>
              <w:left w:w="75" w:type="dxa"/>
              <w:bottom w:w="15" w:type="dxa"/>
              <w:right w:w="75" w:type="dxa"/>
            </w:tcMar>
            <w:vAlign w:val="center"/>
            <w:hideMark/>
          </w:tcPr>
          <w:p w14:paraId="6A5D5C9B" w14:textId="77777777" w:rsidR="00AF6702" w:rsidRPr="00702882" w:rsidRDefault="00AF6702" w:rsidP="007803B6">
            <w:pPr>
              <w:spacing w:before="150" w:after="150"/>
              <w:contextualSpacing/>
              <w:rPr>
                <w:sz w:val="20"/>
                <w:szCs w:val="20"/>
              </w:rPr>
            </w:pPr>
            <w:r w:rsidRPr="00702882">
              <w:rPr>
                <w:sz w:val="20"/>
                <w:szCs w:val="20"/>
              </w:rPr>
              <w:t>0.42 (0.47)</w:t>
            </w:r>
          </w:p>
        </w:tc>
        <w:tc>
          <w:tcPr>
            <w:tcW w:w="0" w:type="auto"/>
            <w:tcMar>
              <w:top w:w="15" w:type="dxa"/>
              <w:left w:w="75" w:type="dxa"/>
              <w:bottom w:w="15" w:type="dxa"/>
              <w:right w:w="75" w:type="dxa"/>
            </w:tcMar>
            <w:vAlign w:val="center"/>
            <w:hideMark/>
          </w:tcPr>
          <w:p w14:paraId="1AB696EE" w14:textId="77777777" w:rsidR="00AF6702" w:rsidRPr="00702882" w:rsidRDefault="00AF6702" w:rsidP="007803B6">
            <w:pPr>
              <w:spacing w:before="150" w:after="150"/>
              <w:contextualSpacing/>
              <w:rPr>
                <w:sz w:val="20"/>
                <w:szCs w:val="20"/>
              </w:rPr>
            </w:pPr>
            <w:r w:rsidRPr="00702882">
              <w:rPr>
                <w:sz w:val="20"/>
                <w:szCs w:val="20"/>
              </w:rPr>
              <w:t>0.34 (0.16)</w:t>
            </w:r>
            <w:r w:rsidRPr="00702882">
              <w:rPr>
                <w:sz w:val="20"/>
                <w:szCs w:val="20"/>
                <w:vertAlign w:val="superscript"/>
              </w:rPr>
              <w:t>**</w:t>
            </w:r>
          </w:p>
        </w:tc>
        <w:tc>
          <w:tcPr>
            <w:tcW w:w="0" w:type="auto"/>
            <w:tcMar>
              <w:top w:w="15" w:type="dxa"/>
              <w:left w:w="75" w:type="dxa"/>
              <w:bottom w:w="15" w:type="dxa"/>
              <w:right w:w="75" w:type="dxa"/>
            </w:tcMar>
            <w:vAlign w:val="center"/>
            <w:hideMark/>
          </w:tcPr>
          <w:p w14:paraId="69C8DC29" w14:textId="77777777" w:rsidR="00AF6702" w:rsidRPr="00702882" w:rsidRDefault="00AF6702" w:rsidP="007803B6">
            <w:pPr>
              <w:spacing w:before="150" w:after="150"/>
              <w:contextualSpacing/>
              <w:rPr>
                <w:sz w:val="20"/>
                <w:szCs w:val="20"/>
              </w:rPr>
            </w:pPr>
            <w:r w:rsidRPr="00702882">
              <w:rPr>
                <w:sz w:val="20"/>
                <w:szCs w:val="20"/>
              </w:rPr>
              <w:t>0.28 (0.16)</w:t>
            </w:r>
            <w:r w:rsidRPr="00702882">
              <w:rPr>
                <w:sz w:val="20"/>
                <w:szCs w:val="20"/>
                <w:vertAlign w:val="superscript"/>
              </w:rPr>
              <w:t>*</w:t>
            </w:r>
          </w:p>
        </w:tc>
      </w:tr>
      <w:tr w:rsidR="00B86C9D" w:rsidRPr="00702882" w14:paraId="4C784EDD" w14:textId="77777777" w:rsidTr="00AE6820">
        <w:trPr>
          <w:jc w:val="center"/>
        </w:trPr>
        <w:tc>
          <w:tcPr>
            <w:tcW w:w="0" w:type="auto"/>
            <w:tcMar>
              <w:top w:w="15" w:type="dxa"/>
              <w:left w:w="75" w:type="dxa"/>
              <w:bottom w:w="15" w:type="dxa"/>
              <w:right w:w="75" w:type="dxa"/>
            </w:tcMar>
            <w:vAlign w:val="center"/>
            <w:hideMark/>
          </w:tcPr>
          <w:p w14:paraId="41CCA9FC" w14:textId="77777777" w:rsidR="00AF6702" w:rsidRPr="00702882" w:rsidRDefault="00AF6702" w:rsidP="007803B6">
            <w:pPr>
              <w:spacing w:before="150" w:after="150"/>
              <w:contextualSpacing/>
              <w:rPr>
                <w:sz w:val="20"/>
                <w:szCs w:val="20"/>
              </w:rPr>
            </w:pPr>
            <w:r w:rsidRPr="00702882">
              <w:rPr>
                <w:sz w:val="20"/>
                <w:szCs w:val="20"/>
              </w:rPr>
              <w:t>WithLim</w:t>
            </w:r>
          </w:p>
        </w:tc>
        <w:tc>
          <w:tcPr>
            <w:tcW w:w="0" w:type="auto"/>
            <w:tcMar>
              <w:top w:w="15" w:type="dxa"/>
              <w:left w:w="75" w:type="dxa"/>
              <w:bottom w:w="15" w:type="dxa"/>
              <w:right w:w="75" w:type="dxa"/>
            </w:tcMar>
            <w:vAlign w:val="center"/>
            <w:hideMark/>
          </w:tcPr>
          <w:p w14:paraId="63A1F7E5" w14:textId="77777777" w:rsidR="00AF6702" w:rsidRPr="00702882" w:rsidRDefault="00AF6702" w:rsidP="007803B6">
            <w:pPr>
              <w:spacing w:before="150" w:after="150"/>
              <w:contextualSpacing/>
              <w:rPr>
                <w:sz w:val="20"/>
                <w:szCs w:val="20"/>
              </w:rPr>
            </w:pPr>
            <w:r w:rsidRPr="00702882">
              <w:rPr>
                <w:sz w:val="20"/>
                <w:szCs w:val="20"/>
              </w:rPr>
              <w:t>-2.10 (0.61)</w:t>
            </w:r>
            <w:r w:rsidRPr="00702882">
              <w:rPr>
                <w:sz w:val="20"/>
                <w:szCs w:val="20"/>
                <w:vertAlign w:val="superscript"/>
              </w:rPr>
              <w:t>***</w:t>
            </w:r>
          </w:p>
        </w:tc>
        <w:tc>
          <w:tcPr>
            <w:tcW w:w="0" w:type="auto"/>
            <w:tcMar>
              <w:top w:w="15" w:type="dxa"/>
              <w:left w:w="75" w:type="dxa"/>
              <w:bottom w:w="15" w:type="dxa"/>
              <w:right w:w="75" w:type="dxa"/>
            </w:tcMar>
            <w:vAlign w:val="center"/>
            <w:hideMark/>
          </w:tcPr>
          <w:p w14:paraId="57AFF3BE" w14:textId="77777777" w:rsidR="00AF6702" w:rsidRPr="00702882" w:rsidRDefault="00AF6702" w:rsidP="007803B6">
            <w:pPr>
              <w:spacing w:before="150" w:after="150"/>
              <w:contextualSpacing/>
              <w:rPr>
                <w:sz w:val="20"/>
                <w:szCs w:val="20"/>
              </w:rPr>
            </w:pPr>
            <w:r w:rsidRPr="00702882">
              <w:rPr>
                <w:sz w:val="20"/>
                <w:szCs w:val="20"/>
              </w:rPr>
              <w:t>-3.81 (1.57)</w:t>
            </w:r>
            <w:r w:rsidRPr="00702882">
              <w:rPr>
                <w:sz w:val="20"/>
                <w:szCs w:val="20"/>
                <w:vertAlign w:val="superscript"/>
              </w:rPr>
              <w:t>**</w:t>
            </w:r>
          </w:p>
        </w:tc>
        <w:tc>
          <w:tcPr>
            <w:tcW w:w="0" w:type="auto"/>
            <w:tcMar>
              <w:top w:w="15" w:type="dxa"/>
              <w:left w:w="75" w:type="dxa"/>
              <w:bottom w:w="15" w:type="dxa"/>
              <w:right w:w="75" w:type="dxa"/>
            </w:tcMar>
            <w:vAlign w:val="center"/>
            <w:hideMark/>
          </w:tcPr>
          <w:p w14:paraId="14269AEA" w14:textId="77777777" w:rsidR="00AF6702" w:rsidRPr="00702882" w:rsidRDefault="00AF6702" w:rsidP="007803B6">
            <w:pPr>
              <w:spacing w:before="150" w:after="150"/>
              <w:contextualSpacing/>
              <w:rPr>
                <w:sz w:val="20"/>
                <w:szCs w:val="20"/>
              </w:rPr>
            </w:pPr>
            <w:r w:rsidRPr="00702882">
              <w:rPr>
                <w:sz w:val="20"/>
                <w:szCs w:val="20"/>
              </w:rPr>
              <w:t>-3.84 (1.56)</w:t>
            </w:r>
            <w:r w:rsidRPr="00702882">
              <w:rPr>
                <w:sz w:val="20"/>
                <w:szCs w:val="20"/>
                <w:vertAlign w:val="superscript"/>
              </w:rPr>
              <w:t>**</w:t>
            </w:r>
          </w:p>
        </w:tc>
        <w:tc>
          <w:tcPr>
            <w:tcW w:w="0" w:type="auto"/>
            <w:tcMar>
              <w:top w:w="15" w:type="dxa"/>
              <w:left w:w="75" w:type="dxa"/>
              <w:bottom w:w="15" w:type="dxa"/>
              <w:right w:w="75" w:type="dxa"/>
            </w:tcMar>
            <w:vAlign w:val="center"/>
            <w:hideMark/>
          </w:tcPr>
          <w:p w14:paraId="2811C326" w14:textId="77777777" w:rsidR="00AF6702" w:rsidRPr="00702882" w:rsidRDefault="00AF6702" w:rsidP="007803B6">
            <w:pPr>
              <w:spacing w:before="150" w:after="150"/>
              <w:contextualSpacing/>
              <w:rPr>
                <w:sz w:val="20"/>
                <w:szCs w:val="20"/>
              </w:rPr>
            </w:pPr>
            <w:r w:rsidRPr="00702882">
              <w:rPr>
                <w:sz w:val="20"/>
                <w:szCs w:val="20"/>
              </w:rPr>
              <w:t>-3.77 (1.52)</w:t>
            </w:r>
            <w:r w:rsidRPr="00702882">
              <w:rPr>
                <w:sz w:val="20"/>
                <w:szCs w:val="20"/>
                <w:vertAlign w:val="superscript"/>
              </w:rPr>
              <w:t>**</w:t>
            </w:r>
          </w:p>
        </w:tc>
      </w:tr>
      <w:tr w:rsidR="00B86C9D" w:rsidRPr="00702882" w14:paraId="420D9195" w14:textId="77777777" w:rsidTr="00AE6820">
        <w:trPr>
          <w:jc w:val="center"/>
        </w:trPr>
        <w:tc>
          <w:tcPr>
            <w:tcW w:w="0" w:type="auto"/>
            <w:tcMar>
              <w:top w:w="15" w:type="dxa"/>
              <w:left w:w="75" w:type="dxa"/>
              <w:bottom w:w="15" w:type="dxa"/>
              <w:right w:w="75" w:type="dxa"/>
            </w:tcMar>
            <w:vAlign w:val="center"/>
            <w:hideMark/>
          </w:tcPr>
          <w:p w14:paraId="3E7647C1" w14:textId="77777777" w:rsidR="00AF6702" w:rsidRPr="00702882" w:rsidRDefault="00AF6702" w:rsidP="007803B6">
            <w:pPr>
              <w:spacing w:before="150" w:after="150"/>
              <w:contextualSpacing/>
              <w:rPr>
                <w:sz w:val="20"/>
                <w:szCs w:val="20"/>
              </w:rPr>
            </w:pPr>
            <w:r w:rsidRPr="00702882">
              <w:rPr>
                <w:sz w:val="20"/>
                <w:szCs w:val="20"/>
              </w:rPr>
              <w:t>Disasters</w:t>
            </w:r>
          </w:p>
        </w:tc>
        <w:tc>
          <w:tcPr>
            <w:tcW w:w="0" w:type="auto"/>
            <w:tcMar>
              <w:top w:w="15" w:type="dxa"/>
              <w:left w:w="75" w:type="dxa"/>
              <w:bottom w:w="15" w:type="dxa"/>
              <w:right w:w="75" w:type="dxa"/>
            </w:tcMar>
            <w:vAlign w:val="center"/>
            <w:hideMark/>
          </w:tcPr>
          <w:p w14:paraId="5AAB9E4A" w14:textId="77777777" w:rsidR="00AF6702" w:rsidRPr="00702882" w:rsidRDefault="00AF6702" w:rsidP="007803B6">
            <w:pPr>
              <w:spacing w:before="150" w:after="150"/>
              <w:contextualSpacing/>
              <w:rPr>
                <w:sz w:val="20"/>
                <w:szCs w:val="20"/>
              </w:rPr>
            </w:pPr>
            <w:r w:rsidRPr="00702882">
              <w:rPr>
                <w:sz w:val="20"/>
                <w:szCs w:val="20"/>
              </w:rPr>
              <w:t>-0.32 (0.47)</w:t>
            </w:r>
          </w:p>
        </w:tc>
        <w:tc>
          <w:tcPr>
            <w:tcW w:w="0" w:type="auto"/>
            <w:tcMar>
              <w:top w:w="15" w:type="dxa"/>
              <w:left w:w="75" w:type="dxa"/>
              <w:bottom w:w="15" w:type="dxa"/>
              <w:right w:w="75" w:type="dxa"/>
            </w:tcMar>
            <w:vAlign w:val="center"/>
            <w:hideMark/>
          </w:tcPr>
          <w:p w14:paraId="04E45B4C" w14:textId="77777777" w:rsidR="00AF6702" w:rsidRPr="00702882" w:rsidRDefault="00AF6702" w:rsidP="007803B6">
            <w:pPr>
              <w:spacing w:before="150" w:after="150"/>
              <w:contextualSpacing/>
              <w:rPr>
                <w:sz w:val="20"/>
                <w:szCs w:val="20"/>
              </w:rPr>
            </w:pPr>
            <w:r w:rsidRPr="00702882">
              <w:rPr>
                <w:sz w:val="20"/>
                <w:szCs w:val="20"/>
              </w:rPr>
              <w:t>-0.55 (0.35)</w:t>
            </w:r>
          </w:p>
        </w:tc>
        <w:tc>
          <w:tcPr>
            <w:tcW w:w="0" w:type="auto"/>
            <w:tcMar>
              <w:top w:w="15" w:type="dxa"/>
              <w:left w:w="75" w:type="dxa"/>
              <w:bottom w:w="15" w:type="dxa"/>
              <w:right w:w="75" w:type="dxa"/>
            </w:tcMar>
            <w:vAlign w:val="center"/>
            <w:hideMark/>
          </w:tcPr>
          <w:p w14:paraId="478F20FD" w14:textId="77777777" w:rsidR="00AF6702" w:rsidRPr="00702882" w:rsidRDefault="00AF6702" w:rsidP="007803B6">
            <w:pPr>
              <w:spacing w:before="150" w:after="150"/>
              <w:contextualSpacing/>
              <w:rPr>
                <w:sz w:val="20"/>
                <w:szCs w:val="20"/>
              </w:rPr>
            </w:pPr>
            <w:r w:rsidRPr="00702882">
              <w:rPr>
                <w:sz w:val="20"/>
                <w:szCs w:val="20"/>
              </w:rPr>
              <w:t>-0.60 (0.29)</w:t>
            </w:r>
            <w:r w:rsidRPr="00702882">
              <w:rPr>
                <w:sz w:val="20"/>
                <w:szCs w:val="20"/>
                <w:vertAlign w:val="superscript"/>
              </w:rPr>
              <w:t>**</w:t>
            </w:r>
          </w:p>
        </w:tc>
        <w:tc>
          <w:tcPr>
            <w:tcW w:w="0" w:type="auto"/>
            <w:tcMar>
              <w:top w:w="15" w:type="dxa"/>
              <w:left w:w="75" w:type="dxa"/>
              <w:bottom w:w="15" w:type="dxa"/>
              <w:right w:w="75" w:type="dxa"/>
            </w:tcMar>
            <w:vAlign w:val="center"/>
            <w:hideMark/>
          </w:tcPr>
          <w:p w14:paraId="58F17475" w14:textId="77777777" w:rsidR="00AF6702" w:rsidRPr="00702882" w:rsidRDefault="00AF6702" w:rsidP="007803B6">
            <w:pPr>
              <w:spacing w:before="150" w:after="150"/>
              <w:contextualSpacing/>
              <w:rPr>
                <w:sz w:val="20"/>
                <w:szCs w:val="20"/>
              </w:rPr>
            </w:pPr>
            <w:r w:rsidRPr="00702882">
              <w:rPr>
                <w:sz w:val="20"/>
                <w:szCs w:val="20"/>
              </w:rPr>
              <w:t>-0.59 (0.32)</w:t>
            </w:r>
            <w:r w:rsidRPr="00702882">
              <w:rPr>
                <w:sz w:val="20"/>
                <w:szCs w:val="20"/>
                <w:vertAlign w:val="superscript"/>
              </w:rPr>
              <w:t>*</w:t>
            </w:r>
          </w:p>
        </w:tc>
      </w:tr>
      <w:tr w:rsidR="00B86C9D" w:rsidRPr="00702882" w14:paraId="26301DE1" w14:textId="77777777" w:rsidTr="00AE6820">
        <w:trPr>
          <w:jc w:val="center"/>
        </w:trPr>
        <w:tc>
          <w:tcPr>
            <w:tcW w:w="0" w:type="auto"/>
            <w:tcMar>
              <w:top w:w="15" w:type="dxa"/>
              <w:left w:w="75" w:type="dxa"/>
              <w:bottom w:w="15" w:type="dxa"/>
              <w:right w:w="75" w:type="dxa"/>
            </w:tcMar>
            <w:vAlign w:val="center"/>
            <w:hideMark/>
          </w:tcPr>
          <w:p w14:paraId="1D96DC3E" w14:textId="77777777" w:rsidR="00AF6702" w:rsidRPr="00702882" w:rsidRDefault="00AF6702" w:rsidP="007803B6">
            <w:pPr>
              <w:spacing w:before="150" w:after="150"/>
              <w:contextualSpacing/>
              <w:rPr>
                <w:sz w:val="20"/>
                <w:szCs w:val="20"/>
              </w:rPr>
            </w:pPr>
            <w:r w:rsidRPr="00702882">
              <w:rPr>
                <w:sz w:val="20"/>
                <w:szCs w:val="20"/>
              </w:rPr>
              <w:t>Fed_IGR</w:t>
            </w:r>
          </w:p>
        </w:tc>
        <w:tc>
          <w:tcPr>
            <w:tcW w:w="0" w:type="auto"/>
            <w:tcMar>
              <w:top w:w="15" w:type="dxa"/>
              <w:left w:w="75" w:type="dxa"/>
              <w:bottom w:w="15" w:type="dxa"/>
              <w:right w:w="75" w:type="dxa"/>
            </w:tcMar>
            <w:vAlign w:val="center"/>
            <w:hideMark/>
          </w:tcPr>
          <w:p w14:paraId="3F8C0B91" w14:textId="77777777" w:rsidR="00AF6702" w:rsidRPr="00702882" w:rsidRDefault="00AF6702" w:rsidP="007803B6">
            <w:pPr>
              <w:spacing w:before="150" w:after="150"/>
              <w:contextualSpacing/>
              <w:rPr>
                <w:sz w:val="20"/>
                <w:szCs w:val="20"/>
              </w:rPr>
            </w:pPr>
            <w:r w:rsidRPr="00702882">
              <w:rPr>
                <w:sz w:val="20"/>
                <w:szCs w:val="20"/>
              </w:rPr>
              <w:t>-0.35 (0.90)</w:t>
            </w:r>
          </w:p>
        </w:tc>
        <w:tc>
          <w:tcPr>
            <w:tcW w:w="0" w:type="auto"/>
            <w:tcMar>
              <w:top w:w="15" w:type="dxa"/>
              <w:left w:w="75" w:type="dxa"/>
              <w:bottom w:w="15" w:type="dxa"/>
              <w:right w:w="75" w:type="dxa"/>
            </w:tcMar>
            <w:vAlign w:val="center"/>
            <w:hideMark/>
          </w:tcPr>
          <w:p w14:paraId="7AA499BB" w14:textId="77777777" w:rsidR="00AF6702" w:rsidRPr="00702882" w:rsidRDefault="00AF6702" w:rsidP="007803B6">
            <w:pPr>
              <w:spacing w:before="150" w:after="150"/>
              <w:contextualSpacing/>
              <w:rPr>
                <w:sz w:val="20"/>
                <w:szCs w:val="20"/>
              </w:rPr>
            </w:pPr>
            <w:r w:rsidRPr="00702882">
              <w:rPr>
                <w:sz w:val="20"/>
                <w:szCs w:val="20"/>
              </w:rPr>
              <w:t>-0.40 (0.93)</w:t>
            </w:r>
          </w:p>
        </w:tc>
        <w:tc>
          <w:tcPr>
            <w:tcW w:w="0" w:type="auto"/>
            <w:tcMar>
              <w:top w:w="15" w:type="dxa"/>
              <w:left w:w="75" w:type="dxa"/>
              <w:bottom w:w="15" w:type="dxa"/>
              <w:right w:w="75" w:type="dxa"/>
            </w:tcMar>
            <w:vAlign w:val="center"/>
            <w:hideMark/>
          </w:tcPr>
          <w:p w14:paraId="17AA95E5" w14:textId="77777777" w:rsidR="00AF6702" w:rsidRPr="00702882" w:rsidRDefault="00AF6702" w:rsidP="007803B6">
            <w:pPr>
              <w:spacing w:before="150" w:after="150"/>
              <w:contextualSpacing/>
              <w:rPr>
                <w:sz w:val="20"/>
                <w:szCs w:val="20"/>
              </w:rPr>
            </w:pPr>
            <w:r w:rsidRPr="00702882">
              <w:rPr>
                <w:sz w:val="20"/>
                <w:szCs w:val="20"/>
              </w:rPr>
              <w:t>-0.23 (0.91)</w:t>
            </w:r>
          </w:p>
        </w:tc>
        <w:tc>
          <w:tcPr>
            <w:tcW w:w="0" w:type="auto"/>
            <w:tcMar>
              <w:top w:w="15" w:type="dxa"/>
              <w:left w:w="75" w:type="dxa"/>
              <w:bottom w:w="15" w:type="dxa"/>
              <w:right w:w="75" w:type="dxa"/>
            </w:tcMar>
            <w:vAlign w:val="center"/>
            <w:hideMark/>
          </w:tcPr>
          <w:p w14:paraId="06452885" w14:textId="77777777" w:rsidR="00AF6702" w:rsidRPr="00702882" w:rsidRDefault="00AF6702" w:rsidP="007803B6">
            <w:pPr>
              <w:spacing w:before="150" w:after="150"/>
              <w:contextualSpacing/>
              <w:rPr>
                <w:sz w:val="20"/>
                <w:szCs w:val="20"/>
              </w:rPr>
            </w:pPr>
            <w:r w:rsidRPr="00702882">
              <w:rPr>
                <w:sz w:val="20"/>
                <w:szCs w:val="20"/>
              </w:rPr>
              <w:t>-0.35 (0.91)</w:t>
            </w:r>
          </w:p>
        </w:tc>
      </w:tr>
      <w:tr w:rsidR="00B86C9D" w:rsidRPr="00702882" w14:paraId="110FB484" w14:textId="77777777" w:rsidTr="00AE6820">
        <w:trPr>
          <w:jc w:val="center"/>
        </w:trPr>
        <w:tc>
          <w:tcPr>
            <w:tcW w:w="0" w:type="auto"/>
            <w:tcMar>
              <w:top w:w="15" w:type="dxa"/>
              <w:left w:w="75" w:type="dxa"/>
              <w:bottom w:w="15" w:type="dxa"/>
              <w:right w:w="75" w:type="dxa"/>
            </w:tcMar>
            <w:vAlign w:val="center"/>
            <w:hideMark/>
          </w:tcPr>
          <w:p w14:paraId="1EF716FC" w14:textId="77777777" w:rsidR="00AF6702" w:rsidRPr="00702882" w:rsidRDefault="00AF6702" w:rsidP="007803B6">
            <w:pPr>
              <w:spacing w:before="150" w:after="150"/>
              <w:contextualSpacing/>
              <w:rPr>
                <w:sz w:val="20"/>
                <w:szCs w:val="20"/>
              </w:rPr>
            </w:pPr>
            <w:r w:rsidRPr="00702882">
              <w:rPr>
                <w:sz w:val="20"/>
                <w:szCs w:val="20"/>
              </w:rPr>
              <w:t>Debt_per_capita</w:t>
            </w:r>
          </w:p>
        </w:tc>
        <w:tc>
          <w:tcPr>
            <w:tcW w:w="0" w:type="auto"/>
            <w:tcMar>
              <w:top w:w="15" w:type="dxa"/>
              <w:left w:w="75" w:type="dxa"/>
              <w:bottom w:w="15" w:type="dxa"/>
              <w:right w:w="75" w:type="dxa"/>
            </w:tcMar>
            <w:vAlign w:val="center"/>
            <w:hideMark/>
          </w:tcPr>
          <w:p w14:paraId="083977A6" w14:textId="77777777" w:rsidR="00AF6702" w:rsidRPr="00702882" w:rsidRDefault="00AF6702" w:rsidP="007803B6">
            <w:pPr>
              <w:spacing w:before="150" w:after="150"/>
              <w:contextualSpacing/>
              <w:rPr>
                <w:sz w:val="20"/>
                <w:szCs w:val="20"/>
              </w:rPr>
            </w:pPr>
            <w:r w:rsidRPr="00702882">
              <w:rPr>
                <w:sz w:val="20"/>
                <w:szCs w:val="20"/>
              </w:rPr>
              <w:t>-0.23 (0.28)</w:t>
            </w:r>
          </w:p>
        </w:tc>
        <w:tc>
          <w:tcPr>
            <w:tcW w:w="0" w:type="auto"/>
            <w:tcMar>
              <w:top w:w="15" w:type="dxa"/>
              <w:left w:w="75" w:type="dxa"/>
              <w:bottom w:w="15" w:type="dxa"/>
              <w:right w:w="75" w:type="dxa"/>
            </w:tcMar>
            <w:vAlign w:val="center"/>
            <w:hideMark/>
          </w:tcPr>
          <w:p w14:paraId="1FAFD454" w14:textId="77777777" w:rsidR="00AF6702" w:rsidRPr="00702882" w:rsidRDefault="00AF6702" w:rsidP="007803B6">
            <w:pPr>
              <w:spacing w:before="150" w:after="150"/>
              <w:contextualSpacing/>
              <w:rPr>
                <w:sz w:val="20"/>
                <w:szCs w:val="20"/>
              </w:rPr>
            </w:pPr>
            <w:r w:rsidRPr="00702882">
              <w:rPr>
                <w:sz w:val="20"/>
                <w:szCs w:val="20"/>
              </w:rPr>
              <w:t>-0.09 (0.26)</w:t>
            </w:r>
          </w:p>
        </w:tc>
        <w:tc>
          <w:tcPr>
            <w:tcW w:w="0" w:type="auto"/>
            <w:tcMar>
              <w:top w:w="15" w:type="dxa"/>
              <w:left w:w="75" w:type="dxa"/>
              <w:bottom w:w="15" w:type="dxa"/>
              <w:right w:w="75" w:type="dxa"/>
            </w:tcMar>
            <w:vAlign w:val="center"/>
            <w:hideMark/>
          </w:tcPr>
          <w:p w14:paraId="377156C2" w14:textId="77777777" w:rsidR="00AF6702" w:rsidRPr="00702882" w:rsidRDefault="00AF6702" w:rsidP="007803B6">
            <w:pPr>
              <w:spacing w:before="150" w:after="150"/>
              <w:contextualSpacing/>
              <w:rPr>
                <w:sz w:val="20"/>
                <w:szCs w:val="20"/>
              </w:rPr>
            </w:pPr>
            <w:r w:rsidRPr="00702882">
              <w:rPr>
                <w:sz w:val="20"/>
                <w:szCs w:val="20"/>
              </w:rPr>
              <w:t>-0.10 (0.26)</w:t>
            </w:r>
          </w:p>
        </w:tc>
        <w:tc>
          <w:tcPr>
            <w:tcW w:w="0" w:type="auto"/>
            <w:tcMar>
              <w:top w:w="15" w:type="dxa"/>
              <w:left w:w="75" w:type="dxa"/>
              <w:bottom w:w="15" w:type="dxa"/>
              <w:right w:w="75" w:type="dxa"/>
            </w:tcMar>
            <w:vAlign w:val="center"/>
            <w:hideMark/>
          </w:tcPr>
          <w:p w14:paraId="121A2BD1" w14:textId="77777777" w:rsidR="00AF6702" w:rsidRPr="00702882" w:rsidRDefault="00AF6702" w:rsidP="007803B6">
            <w:pPr>
              <w:spacing w:before="150" w:after="150"/>
              <w:contextualSpacing/>
              <w:rPr>
                <w:sz w:val="20"/>
                <w:szCs w:val="20"/>
              </w:rPr>
            </w:pPr>
            <w:r w:rsidRPr="00702882">
              <w:rPr>
                <w:sz w:val="20"/>
                <w:szCs w:val="20"/>
              </w:rPr>
              <w:t>-0.09 (0.26)</w:t>
            </w:r>
          </w:p>
        </w:tc>
      </w:tr>
      <w:tr w:rsidR="00B86C9D" w:rsidRPr="00702882" w14:paraId="67E3E740" w14:textId="77777777" w:rsidTr="00AE6820">
        <w:trPr>
          <w:jc w:val="center"/>
        </w:trPr>
        <w:tc>
          <w:tcPr>
            <w:tcW w:w="0" w:type="auto"/>
            <w:tcMar>
              <w:top w:w="15" w:type="dxa"/>
              <w:left w:w="75" w:type="dxa"/>
              <w:bottom w:w="15" w:type="dxa"/>
              <w:right w:w="75" w:type="dxa"/>
            </w:tcMar>
            <w:vAlign w:val="center"/>
            <w:hideMark/>
          </w:tcPr>
          <w:p w14:paraId="228CD949" w14:textId="77777777" w:rsidR="00AF6702" w:rsidRPr="00702882" w:rsidRDefault="00AF6702" w:rsidP="007803B6">
            <w:pPr>
              <w:spacing w:before="150" w:after="150"/>
              <w:contextualSpacing/>
              <w:rPr>
                <w:sz w:val="20"/>
                <w:szCs w:val="20"/>
              </w:rPr>
            </w:pPr>
            <w:r w:rsidRPr="00702882">
              <w:rPr>
                <w:sz w:val="20"/>
                <w:szCs w:val="20"/>
              </w:rPr>
              <w:t>GSP</w:t>
            </w:r>
          </w:p>
        </w:tc>
        <w:tc>
          <w:tcPr>
            <w:tcW w:w="0" w:type="auto"/>
            <w:tcMar>
              <w:top w:w="15" w:type="dxa"/>
              <w:left w:w="75" w:type="dxa"/>
              <w:bottom w:w="15" w:type="dxa"/>
              <w:right w:w="75" w:type="dxa"/>
            </w:tcMar>
            <w:vAlign w:val="center"/>
            <w:hideMark/>
          </w:tcPr>
          <w:p w14:paraId="10789B3E" w14:textId="77777777" w:rsidR="00AF6702" w:rsidRPr="00702882" w:rsidRDefault="00AF6702" w:rsidP="007803B6">
            <w:pPr>
              <w:spacing w:before="150" w:after="150"/>
              <w:contextualSpacing/>
              <w:rPr>
                <w:sz w:val="20"/>
                <w:szCs w:val="20"/>
              </w:rPr>
            </w:pPr>
            <w:r w:rsidRPr="00702882">
              <w:rPr>
                <w:sz w:val="20"/>
                <w:szCs w:val="20"/>
              </w:rPr>
              <w:t>0.59 (0.27)</w:t>
            </w:r>
            <w:r w:rsidRPr="00702882">
              <w:rPr>
                <w:sz w:val="20"/>
                <w:szCs w:val="20"/>
                <w:vertAlign w:val="superscript"/>
              </w:rPr>
              <w:t>**</w:t>
            </w:r>
          </w:p>
        </w:tc>
        <w:tc>
          <w:tcPr>
            <w:tcW w:w="0" w:type="auto"/>
            <w:tcMar>
              <w:top w:w="15" w:type="dxa"/>
              <w:left w:w="75" w:type="dxa"/>
              <w:bottom w:w="15" w:type="dxa"/>
              <w:right w:w="75" w:type="dxa"/>
            </w:tcMar>
            <w:vAlign w:val="center"/>
            <w:hideMark/>
          </w:tcPr>
          <w:p w14:paraId="7DE84534" w14:textId="77777777" w:rsidR="00AF6702" w:rsidRPr="00702882" w:rsidRDefault="00AF6702" w:rsidP="007803B6">
            <w:pPr>
              <w:spacing w:before="150" w:after="150"/>
              <w:contextualSpacing/>
              <w:rPr>
                <w:sz w:val="20"/>
                <w:szCs w:val="20"/>
              </w:rPr>
            </w:pPr>
            <w:r w:rsidRPr="00702882">
              <w:rPr>
                <w:sz w:val="20"/>
                <w:szCs w:val="20"/>
              </w:rPr>
              <w:t>0.60 (0.26)</w:t>
            </w:r>
            <w:r w:rsidRPr="00702882">
              <w:rPr>
                <w:sz w:val="20"/>
                <w:szCs w:val="20"/>
                <w:vertAlign w:val="superscript"/>
              </w:rPr>
              <w:t>**</w:t>
            </w:r>
          </w:p>
        </w:tc>
        <w:tc>
          <w:tcPr>
            <w:tcW w:w="0" w:type="auto"/>
            <w:tcMar>
              <w:top w:w="15" w:type="dxa"/>
              <w:left w:w="75" w:type="dxa"/>
              <w:bottom w:w="15" w:type="dxa"/>
              <w:right w:w="75" w:type="dxa"/>
            </w:tcMar>
            <w:vAlign w:val="center"/>
            <w:hideMark/>
          </w:tcPr>
          <w:p w14:paraId="52B3D81F" w14:textId="77777777" w:rsidR="00AF6702" w:rsidRPr="00702882" w:rsidRDefault="00AF6702" w:rsidP="007803B6">
            <w:pPr>
              <w:spacing w:before="150" w:after="150"/>
              <w:contextualSpacing/>
              <w:rPr>
                <w:sz w:val="20"/>
                <w:szCs w:val="20"/>
              </w:rPr>
            </w:pPr>
            <w:r w:rsidRPr="00702882">
              <w:rPr>
                <w:sz w:val="20"/>
                <w:szCs w:val="20"/>
              </w:rPr>
              <w:t>0.59 (0.26)</w:t>
            </w:r>
            <w:r w:rsidRPr="00702882">
              <w:rPr>
                <w:sz w:val="20"/>
                <w:szCs w:val="20"/>
                <w:vertAlign w:val="superscript"/>
              </w:rPr>
              <w:t>**</w:t>
            </w:r>
          </w:p>
        </w:tc>
        <w:tc>
          <w:tcPr>
            <w:tcW w:w="0" w:type="auto"/>
            <w:tcMar>
              <w:top w:w="15" w:type="dxa"/>
              <w:left w:w="75" w:type="dxa"/>
              <w:bottom w:w="15" w:type="dxa"/>
              <w:right w:w="75" w:type="dxa"/>
            </w:tcMar>
            <w:vAlign w:val="center"/>
            <w:hideMark/>
          </w:tcPr>
          <w:p w14:paraId="5876FD65" w14:textId="77777777" w:rsidR="00AF6702" w:rsidRPr="00702882" w:rsidRDefault="00AF6702" w:rsidP="007803B6">
            <w:pPr>
              <w:spacing w:before="150" w:after="150"/>
              <w:contextualSpacing/>
              <w:rPr>
                <w:sz w:val="20"/>
                <w:szCs w:val="20"/>
              </w:rPr>
            </w:pPr>
            <w:r w:rsidRPr="00702882">
              <w:rPr>
                <w:sz w:val="20"/>
                <w:szCs w:val="20"/>
              </w:rPr>
              <w:t>0.60 (0.26)</w:t>
            </w:r>
            <w:r w:rsidRPr="00702882">
              <w:rPr>
                <w:sz w:val="20"/>
                <w:szCs w:val="20"/>
                <w:vertAlign w:val="superscript"/>
              </w:rPr>
              <w:t>**</w:t>
            </w:r>
          </w:p>
        </w:tc>
      </w:tr>
      <w:tr w:rsidR="00B86C9D" w:rsidRPr="00702882" w14:paraId="185EA01F" w14:textId="77777777" w:rsidTr="00AE6820">
        <w:trPr>
          <w:jc w:val="center"/>
        </w:trPr>
        <w:tc>
          <w:tcPr>
            <w:tcW w:w="0" w:type="auto"/>
            <w:tcMar>
              <w:top w:w="15" w:type="dxa"/>
              <w:left w:w="75" w:type="dxa"/>
              <w:bottom w:w="15" w:type="dxa"/>
              <w:right w:w="75" w:type="dxa"/>
            </w:tcMar>
            <w:vAlign w:val="center"/>
            <w:hideMark/>
          </w:tcPr>
          <w:p w14:paraId="2D2B811B" w14:textId="77777777" w:rsidR="00AF6702" w:rsidRPr="00702882" w:rsidRDefault="00AF6702" w:rsidP="007803B6">
            <w:pPr>
              <w:spacing w:before="150" w:after="150"/>
              <w:contextualSpacing/>
              <w:rPr>
                <w:sz w:val="20"/>
                <w:szCs w:val="20"/>
              </w:rPr>
            </w:pPr>
            <w:r w:rsidRPr="00702882">
              <w:rPr>
                <w:sz w:val="20"/>
                <w:szCs w:val="20"/>
              </w:rPr>
              <w:t>Unemployment</w:t>
            </w:r>
          </w:p>
        </w:tc>
        <w:tc>
          <w:tcPr>
            <w:tcW w:w="0" w:type="auto"/>
            <w:tcMar>
              <w:top w:w="15" w:type="dxa"/>
              <w:left w:w="75" w:type="dxa"/>
              <w:bottom w:w="15" w:type="dxa"/>
              <w:right w:w="75" w:type="dxa"/>
            </w:tcMar>
            <w:vAlign w:val="center"/>
            <w:hideMark/>
          </w:tcPr>
          <w:p w14:paraId="7904B023" w14:textId="77777777" w:rsidR="00AF6702" w:rsidRPr="00702882" w:rsidRDefault="00AF6702" w:rsidP="007803B6">
            <w:pPr>
              <w:spacing w:before="150" w:after="150"/>
              <w:contextualSpacing/>
              <w:rPr>
                <w:sz w:val="20"/>
                <w:szCs w:val="20"/>
              </w:rPr>
            </w:pPr>
            <w:r w:rsidRPr="00702882">
              <w:rPr>
                <w:sz w:val="20"/>
                <w:szCs w:val="20"/>
              </w:rPr>
              <w:t>0.28 (0.25)</w:t>
            </w:r>
          </w:p>
        </w:tc>
        <w:tc>
          <w:tcPr>
            <w:tcW w:w="0" w:type="auto"/>
            <w:tcMar>
              <w:top w:w="15" w:type="dxa"/>
              <w:left w:w="75" w:type="dxa"/>
              <w:bottom w:w="15" w:type="dxa"/>
              <w:right w:w="75" w:type="dxa"/>
            </w:tcMar>
            <w:vAlign w:val="center"/>
            <w:hideMark/>
          </w:tcPr>
          <w:p w14:paraId="43E62BEC" w14:textId="77777777" w:rsidR="00AF6702" w:rsidRPr="00702882" w:rsidRDefault="00AF6702" w:rsidP="007803B6">
            <w:pPr>
              <w:spacing w:before="150" w:after="150"/>
              <w:contextualSpacing/>
              <w:rPr>
                <w:sz w:val="20"/>
                <w:szCs w:val="20"/>
              </w:rPr>
            </w:pPr>
            <w:r w:rsidRPr="00702882">
              <w:rPr>
                <w:sz w:val="20"/>
                <w:szCs w:val="20"/>
              </w:rPr>
              <w:t>-1.39 (0.50)</w:t>
            </w:r>
            <w:r w:rsidRPr="00702882">
              <w:rPr>
                <w:sz w:val="20"/>
                <w:szCs w:val="20"/>
                <w:vertAlign w:val="superscript"/>
              </w:rPr>
              <w:t>***</w:t>
            </w:r>
          </w:p>
        </w:tc>
        <w:tc>
          <w:tcPr>
            <w:tcW w:w="0" w:type="auto"/>
            <w:tcMar>
              <w:top w:w="15" w:type="dxa"/>
              <w:left w:w="75" w:type="dxa"/>
              <w:bottom w:w="15" w:type="dxa"/>
              <w:right w:w="75" w:type="dxa"/>
            </w:tcMar>
            <w:vAlign w:val="center"/>
            <w:hideMark/>
          </w:tcPr>
          <w:p w14:paraId="702FC44A" w14:textId="77777777" w:rsidR="00AF6702" w:rsidRPr="00702882" w:rsidRDefault="00AF6702" w:rsidP="007803B6">
            <w:pPr>
              <w:spacing w:before="150" w:after="150"/>
              <w:contextualSpacing/>
              <w:rPr>
                <w:sz w:val="20"/>
                <w:szCs w:val="20"/>
              </w:rPr>
            </w:pPr>
            <w:r w:rsidRPr="00702882">
              <w:rPr>
                <w:sz w:val="20"/>
                <w:szCs w:val="20"/>
              </w:rPr>
              <w:t>-1.15 (0.30)</w:t>
            </w:r>
            <w:r w:rsidRPr="00702882">
              <w:rPr>
                <w:sz w:val="20"/>
                <w:szCs w:val="20"/>
                <w:vertAlign w:val="superscript"/>
              </w:rPr>
              <w:t>***</w:t>
            </w:r>
          </w:p>
        </w:tc>
        <w:tc>
          <w:tcPr>
            <w:tcW w:w="0" w:type="auto"/>
            <w:tcMar>
              <w:top w:w="15" w:type="dxa"/>
              <w:left w:w="75" w:type="dxa"/>
              <w:bottom w:w="15" w:type="dxa"/>
              <w:right w:w="75" w:type="dxa"/>
            </w:tcMar>
            <w:vAlign w:val="center"/>
            <w:hideMark/>
          </w:tcPr>
          <w:p w14:paraId="738A36A0" w14:textId="77777777" w:rsidR="00AF6702" w:rsidRPr="00702882" w:rsidRDefault="00AF6702" w:rsidP="007803B6">
            <w:pPr>
              <w:spacing w:before="150" w:after="150"/>
              <w:contextualSpacing/>
              <w:rPr>
                <w:sz w:val="20"/>
                <w:szCs w:val="20"/>
              </w:rPr>
            </w:pPr>
            <w:r w:rsidRPr="00702882">
              <w:rPr>
                <w:sz w:val="20"/>
                <w:szCs w:val="20"/>
              </w:rPr>
              <w:t>-1.20 (0.30)</w:t>
            </w:r>
            <w:r w:rsidRPr="00702882">
              <w:rPr>
                <w:sz w:val="20"/>
                <w:szCs w:val="20"/>
                <w:vertAlign w:val="superscript"/>
              </w:rPr>
              <w:t>***</w:t>
            </w:r>
          </w:p>
        </w:tc>
      </w:tr>
      <w:tr w:rsidR="00B86C9D" w:rsidRPr="00702882" w14:paraId="2D64A490" w14:textId="77777777" w:rsidTr="00AE6820">
        <w:trPr>
          <w:jc w:val="center"/>
        </w:trPr>
        <w:tc>
          <w:tcPr>
            <w:tcW w:w="0" w:type="auto"/>
            <w:tcMar>
              <w:top w:w="15" w:type="dxa"/>
              <w:left w:w="75" w:type="dxa"/>
              <w:bottom w:w="15" w:type="dxa"/>
              <w:right w:w="75" w:type="dxa"/>
            </w:tcMar>
            <w:vAlign w:val="center"/>
            <w:hideMark/>
          </w:tcPr>
          <w:p w14:paraId="013192D1" w14:textId="77777777" w:rsidR="00AF6702" w:rsidRPr="00702882" w:rsidRDefault="00AF6702" w:rsidP="007803B6">
            <w:pPr>
              <w:spacing w:before="150" w:after="150"/>
              <w:contextualSpacing/>
              <w:rPr>
                <w:sz w:val="20"/>
                <w:szCs w:val="20"/>
              </w:rPr>
            </w:pPr>
            <w:r w:rsidRPr="00702882">
              <w:rPr>
                <w:sz w:val="20"/>
                <w:szCs w:val="20"/>
              </w:rPr>
              <w:t>Credit_rating</w:t>
            </w:r>
          </w:p>
        </w:tc>
        <w:tc>
          <w:tcPr>
            <w:tcW w:w="0" w:type="auto"/>
            <w:tcMar>
              <w:top w:w="15" w:type="dxa"/>
              <w:left w:w="75" w:type="dxa"/>
              <w:bottom w:w="15" w:type="dxa"/>
              <w:right w:w="75" w:type="dxa"/>
            </w:tcMar>
            <w:vAlign w:val="center"/>
            <w:hideMark/>
          </w:tcPr>
          <w:p w14:paraId="65DA0F53" w14:textId="77777777" w:rsidR="00AF6702" w:rsidRPr="00702882" w:rsidRDefault="00AF6702" w:rsidP="007803B6">
            <w:pPr>
              <w:spacing w:before="150" w:after="150"/>
              <w:contextualSpacing/>
              <w:rPr>
                <w:sz w:val="20"/>
                <w:szCs w:val="20"/>
              </w:rPr>
            </w:pPr>
            <w:r w:rsidRPr="00702882">
              <w:rPr>
                <w:sz w:val="20"/>
                <w:szCs w:val="20"/>
              </w:rPr>
              <w:t>0.97 (0.31)</w:t>
            </w:r>
            <w:r w:rsidRPr="00702882">
              <w:rPr>
                <w:sz w:val="20"/>
                <w:szCs w:val="20"/>
                <w:vertAlign w:val="superscript"/>
              </w:rPr>
              <w:t>***</w:t>
            </w:r>
          </w:p>
        </w:tc>
        <w:tc>
          <w:tcPr>
            <w:tcW w:w="0" w:type="auto"/>
            <w:tcMar>
              <w:top w:w="15" w:type="dxa"/>
              <w:left w:w="75" w:type="dxa"/>
              <w:bottom w:w="15" w:type="dxa"/>
              <w:right w:w="75" w:type="dxa"/>
            </w:tcMar>
            <w:vAlign w:val="center"/>
            <w:hideMark/>
          </w:tcPr>
          <w:p w14:paraId="798AD438" w14:textId="77777777" w:rsidR="00AF6702" w:rsidRPr="00702882" w:rsidRDefault="00AF6702" w:rsidP="007803B6">
            <w:pPr>
              <w:spacing w:before="150" w:after="150"/>
              <w:contextualSpacing/>
              <w:rPr>
                <w:sz w:val="20"/>
                <w:szCs w:val="20"/>
              </w:rPr>
            </w:pPr>
            <w:r w:rsidRPr="00702882">
              <w:rPr>
                <w:sz w:val="20"/>
                <w:szCs w:val="20"/>
              </w:rPr>
              <w:t>1.23 (0.31)</w:t>
            </w:r>
            <w:r w:rsidRPr="00702882">
              <w:rPr>
                <w:sz w:val="20"/>
                <w:szCs w:val="20"/>
                <w:vertAlign w:val="superscript"/>
              </w:rPr>
              <w:t>***</w:t>
            </w:r>
          </w:p>
        </w:tc>
        <w:tc>
          <w:tcPr>
            <w:tcW w:w="0" w:type="auto"/>
            <w:tcMar>
              <w:top w:w="15" w:type="dxa"/>
              <w:left w:w="75" w:type="dxa"/>
              <w:bottom w:w="15" w:type="dxa"/>
              <w:right w:w="75" w:type="dxa"/>
            </w:tcMar>
            <w:vAlign w:val="center"/>
            <w:hideMark/>
          </w:tcPr>
          <w:p w14:paraId="5DFC5151" w14:textId="77777777" w:rsidR="00AF6702" w:rsidRPr="00702882" w:rsidRDefault="00AF6702" w:rsidP="007803B6">
            <w:pPr>
              <w:spacing w:before="150" w:after="150"/>
              <w:contextualSpacing/>
              <w:rPr>
                <w:sz w:val="20"/>
                <w:szCs w:val="20"/>
              </w:rPr>
            </w:pPr>
            <w:r w:rsidRPr="00702882">
              <w:rPr>
                <w:sz w:val="20"/>
                <w:szCs w:val="20"/>
              </w:rPr>
              <w:t>1.20 (0.30)</w:t>
            </w:r>
            <w:r w:rsidRPr="00702882">
              <w:rPr>
                <w:sz w:val="20"/>
                <w:szCs w:val="20"/>
                <w:vertAlign w:val="superscript"/>
              </w:rPr>
              <w:t>***</w:t>
            </w:r>
          </w:p>
        </w:tc>
        <w:tc>
          <w:tcPr>
            <w:tcW w:w="0" w:type="auto"/>
            <w:tcMar>
              <w:top w:w="15" w:type="dxa"/>
              <w:left w:w="75" w:type="dxa"/>
              <w:bottom w:w="15" w:type="dxa"/>
              <w:right w:w="75" w:type="dxa"/>
            </w:tcMar>
            <w:vAlign w:val="center"/>
            <w:hideMark/>
          </w:tcPr>
          <w:p w14:paraId="33C87CB3" w14:textId="77777777" w:rsidR="00AF6702" w:rsidRPr="00702882" w:rsidRDefault="00AF6702" w:rsidP="007803B6">
            <w:pPr>
              <w:spacing w:before="150" w:after="150"/>
              <w:contextualSpacing/>
              <w:rPr>
                <w:sz w:val="20"/>
                <w:szCs w:val="20"/>
              </w:rPr>
            </w:pPr>
            <w:r w:rsidRPr="00702882">
              <w:rPr>
                <w:sz w:val="20"/>
                <w:szCs w:val="20"/>
              </w:rPr>
              <w:t>1.23 (0.30)</w:t>
            </w:r>
            <w:r w:rsidRPr="00702882">
              <w:rPr>
                <w:sz w:val="20"/>
                <w:szCs w:val="20"/>
                <w:vertAlign w:val="superscript"/>
              </w:rPr>
              <w:t>***</w:t>
            </w:r>
          </w:p>
        </w:tc>
      </w:tr>
      <w:tr w:rsidR="00B86C9D" w:rsidRPr="00702882" w14:paraId="193C0C12" w14:textId="77777777" w:rsidTr="00AE6820">
        <w:trPr>
          <w:jc w:val="center"/>
        </w:trPr>
        <w:tc>
          <w:tcPr>
            <w:tcW w:w="0" w:type="auto"/>
            <w:tcMar>
              <w:top w:w="15" w:type="dxa"/>
              <w:left w:w="75" w:type="dxa"/>
              <w:bottom w:w="15" w:type="dxa"/>
              <w:right w:w="75" w:type="dxa"/>
            </w:tcMar>
            <w:vAlign w:val="center"/>
            <w:hideMark/>
          </w:tcPr>
          <w:p w14:paraId="0909F15F" w14:textId="77777777" w:rsidR="00AF6702" w:rsidRPr="00702882" w:rsidRDefault="00AF6702" w:rsidP="007803B6">
            <w:pPr>
              <w:spacing w:before="150" w:after="150"/>
              <w:contextualSpacing/>
              <w:rPr>
                <w:sz w:val="20"/>
                <w:szCs w:val="20"/>
              </w:rPr>
            </w:pPr>
            <w:r w:rsidRPr="00702882">
              <w:rPr>
                <w:sz w:val="20"/>
                <w:szCs w:val="20"/>
              </w:rPr>
              <w:t>Income_thousands</w:t>
            </w:r>
          </w:p>
        </w:tc>
        <w:tc>
          <w:tcPr>
            <w:tcW w:w="0" w:type="auto"/>
            <w:tcMar>
              <w:top w:w="15" w:type="dxa"/>
              <w:left w:w="75" w:type="dxa"/>
              <w:bottom w:w="15" w:type="dxa"/>
              <w:right w:w="75" w:type="dxa"/>
            </w:tcMar>
            <w:vAlign w:val="center"/>
            <w:hideMark/>
          </w:tcPr>
          <w:p w14:paraId="5D7D80CF" w14:textId="77777777" w:rsidR="00AF6702" w:rsidRPr="00702882" w:rsidRDefault="00AF6702" w:rsidP="007803B6">
            <w:pPr>
              <w:spacing w:before="150" w:after="150"/>
              <w:contextualSpacing/>
              <w:rPr>
                <w:sz w:val="20"/>
                <w:szCs w:val="20"/>
              </w:rPr>
            </w:pPr>
            <w:r w:rsidRPr="00702882">
              <w:rPr>
                <w:sz w:val="20"/>
                <w:szCs w:val="20"/>
              </w:rPr>
              <w:t>0.09 (0.10)</w:t>
            </w:r>
          </w:p>
        </w:tc>
        <w:tc>
          <w:tcPr>
            <w:tcW w:w="0" w:type="auto"/>
            <w:tcMar>
              <w:top w:w="15" w:type="dxa"/>
              <w:left w:w="75" w:type="dxa"/>
              <w:bottom w:w="15" w:type="dxa"/>
              <w:right w:w="75" w:type="dxa"/>
            </w:tcMar>
            <w:vAlign w:val="center"/>
            <w:hideMark/>
          </w:tcPr>
          <w:p w14:paraId="32C360FD" w14:textId="77777777" w:rsidR="00AF6702" w:rsidRPr="00702882" w:rsidRDefault="00AF6702" w:rsidP="007803B6">
            <w:pPr>
              <w:spacing w:before="150" w:after="150"/>
              <w:contextualSpacing/>
              <w:rPr>
                <w:sz w:val="20"/>
                <w:szCs w:val="20"/>
              </w:rPr>
            </w:pPr>
            <w:r w:rsidRPr="00702882">
              <w:rPr>
                <w:sz w:val="20"/>
                <w:szCs w:val="20"/>
              </w:rPr>
              <w:t>0.08 (0.10)</w:t>
            </w:r>
          </w:p>
        </w:tc>
        <w:tc>
          <w:tcPr>
            <w:tcW w:w="0" w:type="auto"/>
            <w:tcMar>
              <w:top w:w="15" w:type="dxa"/>
              <w:left w:w="75" w:type="dxa"/>
              <w:bottom w:w="15" w:type="dxa"/>
              <w:right w:w="75" w:type="dxa"/>
            </w:tcMar>
            <w:vAlign w:val="center"/>
            <w:hideMark/>
          </w:tcPr>
          <w:p w14:paraId="0C6C90F2" w14:textId="77777777" w:rsidR="00AF6702" w:rsidRPr="00702882" w:rsidRDefault="00AF6702" w:rsidP="007803B6">
            <w:pPr>
              <w:spacing w:before="150" w:after="150"/>
              <w:contextualSpacing/>
              <w:rPr>
                <w:sz w:val="20"/>
                <w:szCs w:val="20"/>
              </w:rPr>
            </w:pPr>
            <w:r w:rsidRPr="00702882">
              <w:rPr>
                <w:sz w:val="20"/>
                <w:szCs w:val="20"/>
              </w:rPr>
              <w:t>0.08 (0.10)</w:t>
            </w:r>
          </w:p>
        </w:tc>
        <w:tc>
          <w:tcPr>
            <w:tcW w:w="0" w:type="auto"/>
            <w:tcMar>
              <w:top w:w="15" w:type="dxa"/>
              <w:left w:w="75" w:type="dxa"/>
              <w:bottom w:w="15" w:type="dxa"/>
              <w:right w:w="75" w:type="dxa"/>
            </w:tcMar>
            <w:vAlign w:val="center"/>
            <w:hideMark/>
          </w:tcPr>
          <w:p w14:paraId="3C014EE2" w14:textId="77777777" w:rsidR="00AF6702" w:rsidRPr="00702882" w:rsidRDefault="00AF6702" w:rsidP="007803B6">
            <w:pPr>
              <w:spacing w:before="150" w:after="150"/>
              <w:contextualSpacing/>
              <w:rPr>
                <w:sz w:val="20"/>
                <w:szCs w:val="20"/>
              </w:rPr>
            </w:pPr>
            <w:r w:rsidRPr="00702882">
              <w:rPr>
                <w:sz w:val="20"/>
                <w:szCs w:val="20"/>
              </w:rPr>
              <w:t>0.08 (0.10)</w:t>
            </w:r>
          </w:p>
        </w:tc>
      </w:tr>
      <w:tr w:rsidR="00B86C9D" w:rsidRPr="00702882" w14:paraId="333270EC" w14:textId="77777777" w:rsidTr="00AE6820">
        <w:trPr>
          <w:jc w:val="center"/>
        </w:trPr>
        <w:tc>
          <w:tcPr>
            <w:tcW w:w="0" w:type="auto"/>
            <w:tcMar>
              <w:top w:w="15" w:type="dxa"/>
              <w:left w:w="75" w:type="dxa"/>
              <w:bottom w:w="15" w:type="dxa"/>
              <w:right w:w="75" w:type="dxa"/>
            </w:tcMar>
            <w:vAlign w:val="center"/>
            <w:hideMark/>
          </w:tcPr>
          <w:p w14:paraId="2FA7CB75" w14:textId="77777777" w:rsidR="00AF6702" w:rsidRPr="00702882" w:rsidRDefault="00AF6702" w:rsidP="007803B6">
            <w:pPr>
              <w:spacing w:before="150" w:after="150"/>
              <w:contextualSpacing/>
              <w:rPr>
                <w:sz w:val="20"/>
                <w:szCs w:val="20"/>
              </w:rPr>
            </w:pPr>
            <w:r w:rsidRPr="00702882">
              <w:rPr>
                <w:sz w:val="20"/>
                <w:szCs w:val="20"/>
              </w:rPr>
              <w:t>Population_million</w:t>
            </w:r>
          </w:p>
        </w:tc>
        <w:tc>
          <w:tcPr>
            <w:tcW w:w="0" w:type="auto"/>
            <w:tcMar>
              <w:top w:w="15" w:type="dxa"/>
              <w:left w:w="75" w:type="dxa"/>
              <w:bottom w:w="15" w:type="dxa"/>
              <w:right w:w="75" w:type="dxa"/>
            </w:tcMar>
            <w:vAlign w:val="center"/>
            <w:hideMark/>
          </w:tcPr>
          <w:p w14:paraId="533514D4" w14:textId="77777777" w:rsidR="00AF6702" w:rsidRPr="00702882" w:rsidRDefault="00AF6702" w:rsidP="007803B6">
            <w:pPr>
              <w:spacing w:before="150" w:after="150"/>
              <w:contextualSpacing/>
              <w:rPr>
                <w:sz w:val="20"/>
                <w:szCs w:val="20"/>
              </w:rPr>
            </w:pPr>
            <w:r w:rsidRPr="00702882">
              <w:rPr>
                <w:sz w:val="20"/>
                <w:szCs w:val="20"/>
              </w:rPr>
              <w:t>-0.19 (0.05)</w:t>
            </w:r>
            <w:r w:rsidRPr="00702882">
              <w:rPr>
                <w:sz w:val="20"/>
                <w:szCs w:val="20"/>
                <w:vertAlign w:val="superscript"/>
              </w:rPr>
              <w:t>***</w:t>
            </w:r>
          </w:p>
        </w:tc>
        <w:tc>
          <w:tcPr>
            <w:tcW w:w="0" w:type="auto"/>
            <w:tcMar>
              <w:top w:w="15" w:type="dxa"/>
              <w:left w:w="75" w:type="dxa"/>
              <w:bottom w:w="15" w:type="dxa"/>
              <w:right w:w="75" w:type="dxa"/>
            </w:tcMar>
            <w:vAlign w:val="center"/>
            <w:hideMark/>
          </w:tcPr>
          <w:p w14:paraId="366CF43D" w14:textId="77777777" w:rsidR="00AF6702" w:rsidRPr="00702882" w:rsidRDefault="00AF6702" w:rsidP="007803B6">
            <w:pPr>
              <w:spacing w:before="150" w:after="150"/>
              <w:contextualSpacing/>
              <w:rPr>
                <w:sz w:val="20"/>
                <w:szCs w:val="20"/>
              </w:rPr>
            </w:pPr>
            <w:r w:rsidRPr="00702882">
              <w:rPr>
                <w:sz w:val="20"/>
                <w:szCs w:val="20"/>
              </w:rPr>
              <w:t>-0.14 (0.05)</w:t>
            </w:r>
            <w:r w:rsidRPr="00702882">
              <w:rPr>
                <w:sz w:val="20"/>
                <w:szCs w:val="20"/>
                <w:vertAlign w:val="superscript"/>
              </w:rPr>
              <w:t>***</w:t>
            </w:r>
          </w:p>
        </w:tc>
        <w:tc>
          <w:tcPr>
            <w:tcW w:w="0" w:type="auto"/>
            <w:tcMar>
              <w:top w:w="15" w:type="dxa"/>
              <w:left w:w="75" w:type="dxa"/>
              <w:bottom w:w="15" w:type="dxa"/>
              <w:right w:w="75" w:type="dxa"/>
            </w:tcMar>
            <w:vAlign w:val="center"/>
            <w:hideMark/>
          </w:tcPr>
          <w:p w14:paraId="0CE29F3B" w14:textId="77777777" w:rsidR="00AF6702" w:rsidRPr="00702882" w:rsidRDefault="00AF6702" w:rsidP="007803B6">
            <w:pPr>
              <w:spacing w:before="150" w:after="150"/>
              <w:contextualSpacing/>
              <w:rPr>
                <w:sz w:val="20"/>
                <w:szCs w:val="20"/>
              </w:rPr>
            </w:pPr>
            <w:r w:rsidRPr="00702882">
              <w:rPr>
                <w:sz w:val="20"/>
                <w:szCs w:val="20"/>
              </w:rPr>
              <w:t>-0.16 (0.05)</w:t>
            </w:r>
            <w:r w:rsidRPr="00702882">
              <w:rPr>
                <w:sz w:val="20"/>
                <w:szCs w:val="20"/>
                <w:vertAlign w:val="superscript"/>
              </w:rPr>
              <w:t>***</w:t>
            </w:r>
          </w:p>
        </w:tc>
        <w:tc>
          <w:tcPr>
            <w:tcW w:w="0" w:type="auto"/>
            <w:tcMar>
              <w:top w:w="15" w:type="dxa"/>
              <w:left w:w="75" w:type="dxa"/>
              <w:bottom w:w="15" w:type="dxa"/>
              <w:right w:w="75" w:type="dxa"/>
            </w:tcMar>
            <w:vAlign w:val="center"/>
            <w:hideMark/>
          </w:tcPr>
          <w:p w14:paraId="6D035074" w14:textId="77777777" w:rsidR="00AF6702" w:rsidRPr="00702882" w:rsidRDefault="00AF6702" w:rsidP="007803B6">
            <w:pPr>
              <w:spacing w:before="150" w:after="150"/>
              <w:contextualSpacing/>
              <w:rPr>
                <w:sz w:val="20"/>
                <w:szCs w:val="20"/>
              </w:rPr>
            </w:pPr>
            <w:r w:rsidRPr="00702882">
              <w:rPr>
                <w:sz w:val="20"/>
                <w:szCs w:val="20"/>
              </w:rPr>
              <w:t>-0.14 (0.05)</w:t>
            </w:r>
            <w:r w:rsidRPr="00702882">
              <w:rPr>
                <w:sz w:val="20"/>
                <w:szCs w:val="20"/>
                <w:vertAlign w:val="superscript"/>
              </w:rPr>
              <w:t>***</w:t>
            </w:r>
          </w:p>
        </w:tc>
      </w:tr>
      <w:tr w:rsidR="00B86C9D" w:rsidRPr="00702882" w14:paraId="0DD56FFC" w14:textId="77777777" w:rsidTr="00AE6820">
        <w:trPr>
          <w:jc w:val="center"/>
        </w:trPr>
        <w:tc>
          <w:tcPr>
            <w:tcW w:w="0" w:type="auto"/>
            <w:tcMar>
              <w:top w:w="15" w:type="dxa"/>
              <w:left w:w="75" w:type="dxa"/>
              <w:bottom w:w="15" w:type="dxa"/>
              <w:right w:w="75" w:type="dxa"/>
            </w:tcMar>
            <w:vAlign w:val="center"/>
            <w:hideMark/>
          </w:tcPr>
          <w:p w14:paraId="3122CE19" w14:textId="77777777" w:rsidR="00AF6702" w:rsidRPr="00702882" w:rsidRDefault="00AF6702" w:rsidP="007803B6">
            <w:pPr>
              <w:spacing w:before="150" w:after="150"/>
              <w:contextualSpacing/>
              <w:rPr>
                <w:sz w:val="20"/>
                <w:szCs w:val="20"/>
              </w:rPr>
            </w:pPr>
            <w:r w:rsidRPr="00702882">
              <w:rPr>
                <w:sz w:val="20"/>
                <w:szCs w:val="20"/>
              </w:rPr>
              <w:t>TEL</w:t>
            </w:r>
          </w:p>
        </w:tc>
        <w:tc>
          <w:tcPr>
            <w:tcW w:w="0" w:type="auto"/>
            <w:tcMar>
              <w:top w:w="15" w:type="dxa"/>
              <w:left w:w="75" w:type="dxa"/>
              <w:bottom w:w="15" w:type="dxa"/>
              <w:right w:w="75" w:type="dxa"/>
            </w:tcMar>
            <w:vAlign w:val="center"/>
            <w:hideMark/>
          </w:tcPr>
          <w:p w14:paraId="1F49700C" w14:textId="77777777" w:rsidR="00AF6702" w:rsidRPr="00702882" w:rsidRDefault="00AF6702" w:rsidP="007803B6">
            <w:pPr>
              <w:spacing w:before="150" w:after="150"/>
              <w:contextualSpacing/>
              <w:rPr>
                <w:sz w:val="20"/>
                <w:szCs w:val="20"/>
              </w:rPr>
            </w:pPr>
            <w:r w:rsidRPr="00702882">
              <w:rPr>
                <w:sz w:val="20"/>
                <w:szCs w:val="20"/>
              </w:rPr>
              <w:t>-0.02 (0.03)</w:t>
            </w:r>
          </w:p>
        </w:tc>
        <w:tc>
          <w:tcPr>
            <w:tcW w:w="0" w:type="auto"/>
            <w:tcMar>
              <w:top w:w="15" w:type="dxa"/>
              <w:left w:w="75" w:type="dxa"/>
              <w:bottom w:w="15" w:type="dxa"/>
              <w:right w:w="75" w:type="dxa"/>
            </w:tcMar>
            <w:vAlign w:val="center"/>
            <w:hideMark/>
          </w:tcPr>
          <w:p w14:paraId="5F5C4377" w14:textId="77777777" w:rsidR="00AF6702" w:rsidRPr="00702882" w:rsidRDefault="00AF6702" w:rsidP="007803B6">
            <w:pPr>
              <w:spacing w:before="150" w:after="150"/>
              <w:contextualSpacing/>
              <w:rPr>
                <w:sz w:val="20"/>
                <w:szCs w:val="20"/>
              </w:rPr>
            </w:pPr>
            <w:r w:rsidRPr="00702882">
              <w:rPr>
                <w:sz w:val="20"/>
                <w:szCs w:val="20"/>
              </w:rPr>
              <w:t>-0.02 (0.03)</w:t>
            </w:r>
          </w:p>
        </w:tc>
        <w:tc>
          <w:tcPr>
            <w:tcW w:w="0" w:type="auto"/>
            <w:tcMar>
              <w:top w:w="15" w:type="dxa"/>
              <w:left w:w="75" w:type="dxa"/>
              <w:bottom w:w="15" w:type="dxa"/>
              <w:right w:w="75" w:type="dxa"/>
            </w:tcMar>
            <w:vAlign w:val="center"/>
            <w:hideMark/>
          </w:tcPr>
          <w:p w14:paraId="71951487" w14:textId="77777777" w:rsidR="00AF6702" w:rsidRPr="00702882" w:rsidRDefault="00AF6702" w:rsidP="007803B6">
            <w:pPr>
              <w:spacing w:before="150" w:after="150"/>
              <w:contextualSpacing/>
              <w:rPr>
                <w:sz w:val="20"/>
                <w:szCs w:val="20"/>
              </w:rPr>
            </w:pPr>
            <w:r w:rsidRPr="00702882">
              <w:rPr>
                <w:sz w:val="20"/>
                <w:szCs w:val="20"/>
              </w:rPr>
              <w:t>-0.03 (0.03)</w:t>
            </w:r>
          </w:p>
        </w:tc>
        <w:tc>
          <w:tcPr>
            <w:tcW w:w="0" w:type="auto"/>
            <w:tcMar>
              <w:top w:w="15" w:type="dxa"/>
              <w:left w:w="75" w:type="dxa"/>
              <w:bottom w:w="15" w:type="dxa"/>
              <w:right w:w="75" w:type="dxa"/>
            </w:tcMar>
            <w:vAlign w:val="center"/>
            <w:hideMark/>
          </w:tcPr>
          <w:p w14:paraId="7F41793F" w14:textId="77777777" w:rsidR="00AF6702" w:rsidRPr="00702882" w:rsidRDefault="00AF6702" w:rsidP="007803B6">
            <w:pPr>
              <w:spacing w:before="150" w:after="150"/>
              <w:contextualSpacing/>
              <w:rPr>
                <w:sz w:val="20"/>
                <w:szCs w:val="20"/>
              </w:rPr>
            </w:pPr>
            <w:r w:rsidRPr="00702882">
              <w:rPr>
                <w:sz w:val="20"/>
                <w:szCs w:val="20"/>
              </w:rPr>
              <w:t>-0.02 (0.03)</w:t>
            </w:r>
          </w:p>
        </w:tc>
      </w:tr>
      <w:tr w:rsidR="00B86C9D" w:rsidRPr="00702882" w14:paraId="05A907CA" w14:textId="77777777" w:rsidTr="00AE6820">
        <w:trPr>
          <w:jc w:val="center"/>
        </w:trPr>
        <w:tc>
          <w:tcPr>
            <w:tcW w:w="0" w:type="auto"/>
            <w:tcMar>
              <w:top w:w="15" w:type="dxa"/>
              <w:left w:w="75" w:type="dxa"/>
              <w:bottom w:w="15" w:type="dxa"/>
              <w:right w:w="75" w:type="dxa"/>
            </w:tcMar>
            <w:vAlign w:val="center"/>
            <w:hideMark/>
          </w:tcPr>
          <w:p w14:paraId="5035C108" w14:textId="77777777" w:rsidR="00AF6702" w:rsidRPr="00702882" w:rsidRDefault="00AF6702" w:rsidP="007803B6">
            <w:pPr>
              <w:spacing w:before="150" w:after="150"/>
              <w:contextualSpacing/>
              <w:rPr>
                <w:sz w:val="20"/>
                <w:szCs w:val="20"/>
              </w:rPr>
            </w:pPr>
            <w:r w:rsidRPr="00702882">
              <w:rPr>
                <w:sz w:val="20"/>
                <w:szCs w:val="20"/>
              </w:rPr>
              <w:t>BBR</w:t>
            </w:r>
          </w:p>
        </w:tc>
        <w:tc>
          <w:tcPr>
            <w:tcW w:w="0" w:type="auto"/>
            <w:tcMar>
              <w:top w:w="15" w:type="dxa"/>
              <w:left w:w="75" w:type="dxa"/>
              <w:bottom w:w="15" w:type="dxa"/>
              <w:right w:w="75" w:type="dxa"/>
            </w:tcMar>
            <w:vAlign w:val="center"/>
            <w:hideMark/>
          </w:tcPr>
          <w:p w14:paraId="393B295F" w14:textId="77777777" w:rsidR="00AF6702" w:rsidRPr="00702882" w:rsidRDefault="00AF6702" w:rsidP="007803B6">
            <w:pPr>
              <w:spacing w:before="150" w:after="150"/>
              <w:contextualSpacing/>
              <w:rPr>
                <w:sz w:val="20"/>
                <w:szCs w:val="20"/>
              </w:rPr>
            </w:pPr>
            <w:r w:rsidRPr="00702882">
              <w:rPr>
                <w:sz w:val="20"/>
                <w:szCs w:val="20"/>
              </w:rPr>
              <w:t>1.14 (0.46)</w:t>
            </w:r>
            <w:r w:rsidRPr="00702882">
              <w:rPr>
                <w:sz w:val="20"/>
                <w:szCs w:val="20"/>
                <w:vertAlign w:val="superscript"/>
              </w:rPr>
              <w:t>**</w:t>
            </w:r>
          </w:p>
        </w:tc>
        <w:tc>
          <w:tcPr>
            <w:tcW w:w="0" w:type="auto"/>
            <w:tcMar>
              <w:top w:w="15" w:type="dxa"/>
              <w:left w:w="75" w:type="dxa"/>
              <w:bottom w:w="15" w:type="dxa"/>
              <w:right w:w="75" w:type="dxa"/>
            </w:tcMar>
            <w:vAlign w:val="center"/>
            <w:hideMark/>
          </w:tcPr>
          <w:p w14:paraId="2DAEF6B5" w14:textId="77777777" w:rsidR="00AF6702" w:rsidRPr="00702882" w:rsidRDefault="00AF6702" w:rsidP="007803B6">
            <w:pPr>
              <w:spacing w:before="150" w:after="150"/>
              <w:contextualSpacing/>
              <w:rPr>
                <w:sz w:val="20"/>
                <w:szCs w:val="20"/>
              </w:rPr>
            </w:pPr>
            <w:r w:rsidRPr="00702882">
              <w:rPr>
                <w:sz w:val="20"/>
                <w:szCs w:val="20"/>
              </w:rPr>
              <w:t>1.14 (0.46)</w:t>
            </w:r>
            <w:r w:rsidRPr="00702882">
              <w:rPr>
                <w:sz w:val="20"/>
                <w:szCs w:val="20"/>
                <w:vertAlign w:val="superscript"/>
              </w:rPr>
              <w:t>**</w:t>
            </w:r>
          </w:p>
        </w:tc>
        <w:tc>
          <w:tcPr>
            <w:tcW w:w="0" w:type="auto"/>
            <w:tcMar>
              <w:top w:w="15" w:type="dxa"/>
              <w:left w:w="75" w:type="dxa"/>
              <w:bottom w:w="15" w:type="dxa"/>
              <w:right w:w="75" w:type="dxa"/>
            </w:tcMar>
            <w:vAlign w:val="center"/>
            <w:hideMark/>
          </w:tcPr>
          <w:p w14:paraId="2C3B4563" w14:textId="77777777" w:rsidR="00AF6702" w:rsidRPr="00702882" w:rsidRDefault="00AF6702" w:rsidP="007803B6">
            <w:pPr>
              <w:spacing w:before="150" w:after="150"/>
              <w:contextualSpacing/>
              <w:rPr>
                <w:sz w:val="20"/>
                <w:szCs w:val="20"/>
              </w:rPr>
            </w:pPr>
            <w:r w:rsidRPr="00702882">
              <w:rPr>
                <w:sz w:val="20"/>
                <w:szCs w:val="20"/>
              </w:rPr>
              <w:t>1.07 (0.46)</w:t>
            </w:r>
            <w:r w:rsidRPr="00702882">
              <w:rPr>
                <w:sz w:val="20"/>
                <w:szCs w:val="20"/>
                <w:vertAlign w:val="superscript"/>
              </w:rPr>
              <w:t>**</w:t>
            </w:r>
          </w:p>
        </w:tc>
        <w:tc>
          <w:tcPr>
            <w:tcW w:w="0" w:type="auto"/>
            <w:tcMar>
              <w:top w:w="15" w:type="dxa"/>
              <w:left w:w="75" w:type="dxa"/>
              <w:bottom w:w="15" w:type="dxa"/>
              <w:right w:w="75" w:type="dxa"/>
            </w:tcMar>
            <w:vAlign w:val="center"/>
            <w:hideMark/>
          </w:tcPr>
          <w:p w14:paraId="78E1B350" w14:textId="77777777" w:rsidR="00AF6702" w:rsidRPr="00702882" w:rsidRDefault="00AF6702" w:rsidP="007803B6">
            <w:pPr>
              <w:spacing w:before="150" w:after="150"/>
              <w:contextualSpacing/>
              <w:rPr>
                <w:sz w:val="20"/>
                <w:szCs w:val="20"/>
              </w:rPr>
            </w:pPr>
            <w:r w:rsidRPr="00702882">
              <w:rPr>
                <w:sz w:val="20"/>
                <w:szCs w:val="20"/>
              </w:rPr>
              <w:t>1.05 (0.46)</w:t>
            </w:r>
            <w:r w:rsidRPr="00702882">
              <w:rPr>
                <w:sz w:val="20"/>
                <w:szCs w:val="20"/>
                <w:vertAlign w:val="superscript"/>
              </w:rPr>
              <w:t>**</w:t>
            </w:r>
          </w:p>
        </w:tc>
      </w:tr>
      <w:tr w:rsidR="00B86C9D" w:rsidRPr="00702882" w14:paraId="1DBB7FF6" w14:textId="77777777" w:rsidTr="00AE6820">
        <w:trPr>
          <w:jc w:val="center"/>
        </w:trPr>
        <w:tc>
          <w:tcPr>
            <w:tcW w:w="0" w:type="auto"/>
            <w:tcMar>
              <w:top w:w="15" w:type="dxa"/>
              <w:left w:w="75" w:type="dxa"/>
              <w:bottom w:w="15" w:type="dxa"/>
              <w:right w:w="75" w:type="dxa"/>
            </w:tcMar>
            <w:vAlign w:val="center"/>
            <w:hideMark/>
          </w:tcPr>
          <w:p w14:paraId="409C9072" w14:textId="77777777" w:rsidR="00AF6702" w:rsidRPr="00702882" w:rsidRDefault="00AF6702" w:rsidP="007803B6">
            <w:pPr>
              <w:spacing w:before="150" w:after="150"/>
              <w:contextualSpacing/>
              <w:rPr>
                <w:sz w:val="20"/>
                <w:szCs w:val="20"/>
              </w:rPr>
            </w:pPr>
            <w:r w:rsidRPr="00702882">
              <w:rPr>
                <w:sz w:val="20"/>
                <w:szCs w:val="20"/>
              </w:rPr>
              <w:t>Election</w:t>
            </w:r>
          </w:p>
        </w:tc>
        <w:tc>
          <w:tcPr>
            <w:tcW w:w="0" w:type="auto"/>
            <w:tcMar>
              <w:top w:w="15" w:type="dxa"/>
              <w:left w:w="75" w:type="dxa"/>
              <w:bottom w:w="15" w:type="dxa"/>
              <w:right w:w="75" w:type="dxa"/>
            </w:tcMar>
            <w:vAlign w:val="center"/>
            <w:hideMark/>
          </w:tcPr>
          <w:p w14:paraId="515E4ADE" w14:textId="77777777" w:rsidR="00AF6702" w:rsidRPr="00702882" w:rsidRDefault="00AF6702" w:rsidP="007803B6">
            <w:pPr>
              <w:spacing w:before="150" w:after="150"/>
              <w:contextualSpacing/>
              <w:rPr>
                <w:sz w:val="20"/>
                <w:szCs w:val="20"/>
              </w:rPr>
            </w:pPr>
            <w:r w:rsidRPr="00702882">
              <w:rPr>
                <w:sz w:val="20"/>
                <w:szCs w:val="20"/>
              </w:rPr>
              <w:t>0.28 (0.60)</w:t>
            </w:r>
          </w:p>
        </w:tc>
        <w:tc>
          <w:tcPr>
            <w:tcW w:w="0" w:type="auto"/>
            <w:tcMar>
              <w:top w:w="15" w:type="dxa"/>
              <w:left w:w="75" w:type="dxa"/>
              <w:bottom w:w="15" w:type="dxa"/>
              <w:right w:w="75" w:type="dxa"/>
            </w:tcMar>
            <w:vAlign w:val="center"/>
            <w:hideMark/>
          </w:tcPr>
          <w:p w14:paraId="296AFE3E" w14:textId="77777777" w:rsidR="00AF6702" w:rsidRPr="00702882" w:rsidRDefault="00AF6702" w:rsidP="007803B6">
            <w:pPr>
              <w:spacing w:before="150" w:after="150"/>
              <w:contextualSpacing/>
              <w:rPr>
                <w:sz w:val="20"/>
                <w:szCs w:val="20"/>
              </w:rPr>
            </w:pPr>
            <w:r w:rsidRPr="00702882">
              <w:rPr>
                <w:sz w:val="20"/>
                <w:szCs w:val="20"/>
              </w:rPr>
              <w:t>0.31 (0.58)</w:t>
            </w:r>
          </w:p>
        </w:tc>
        <w:tc>
          <w:tcPr>
            <w:tcW w:w="0" w:type="auto"/>
            <w:tcMar>
              <w:top w:w="15" w:type="dxa"/>
              <w:left w:w="75" w:type="dxa"/>
              <w:bottom w:w="15" w:type="dxa"/>
              <w:right w:w="75" w:type="dxa"/>
            </w:tcMar>
            <w:vAlign w:val="center"/>
            <w:hideMark/>
          </w:tcPr>
          <w:p w14:paraId="08A850F7" w14:textId="77777777" w:rsidR="00AF6702" w:rsidRPr="00702882" w:rsidRDefault="00AF6702" w:rsidP="007803B6">
            <w:pPr>
              <w:spacing w:before="150" w:after="150"/>
              <w:contextualSpacing/>
              <w:rPr>
                <w:sz w:val="20"/>
                <w:szCs w:val="20"/>
              </w:rPr>
            </w:pPr>
            <w:r w:rsidRPr="00702882">
              <w:rPr>
                <w:sz w:val="20"/>
                <w:szCs w:val="20"/>
              </w:rPr>
              <w:t>0.29 (0.58)</w:t>
            </w:r>
          </w:p>
        </w:tc>
        <w:tc>
          <w:tcPr>
            <w:tcW w:w="0" w:type="auto"/>
            <w:tcMar>
              <w:top w:w="15" w:type="dxa"/>
              <w:left w:w="75" w:type="dxa"/>
              <w:bottom w:w="15" w:type="dxa"/>
              <w:right w:w="75" w:type="dxa"/>
            </w:tcMar>
            <w:vAlign w:val="center"/>
            <w:hideMark/>
          </w:tcPr>
          <w:p w14:paraId="3C36CF4D" w14:textId="77777777" w:rsidR="00AF6702" w:rsidRPr="00702882" w:rsidRDefault="00AF6702" w:rsidP="007803B6">
            <w:pPr>
              <w:spacing w:before="150" w:after="150"/>
              <w:contextualSpacing/>
              <w:rPr>
                <w:sz w:val="20"/>
                <w:szCs w:val="20"/>
              </w:rPr>
            </w:pPr>
            <w:r w:rsidRPr="00702882">
              <w:rPr>
                <w:sz w:val="20"/>
                <w:szCs w:val="20"/>
              </w:rPr>
              <w:t>0.31 (0.58)</w:t>
            </w:r>
          </w:p>
        </w:tc>
      </w:tr>
      <w:tr w:rsidR="00B86C9D" w:rsidRPr="00702882" w14:paraId="7404D372" w14:textId="77777777" w:rsidTr="00AE6820">
        <w:trPr>
          <w:jc w:val="center"/>
        </w:trPr>
        <w:tc>
          <w:tcPr>
            <w:tcW w:w="0" w:type="auto"/>
            <w:tcMar>
              <w:top w:w="15" w:type="dxa"/>
              <w:left w:w="75" w:type="dxa"/>
              <w:bottom w:w="15" w:type="dxa"/>
              <w:right w:w="75" w:type="dxa"/>
            </w:tcMar>
            <w:vAlign w:val="center"/>
            <w:hideMark/>
          </w:tcPr>
          <w:p w14:paraId="3D28C2AE" w14:textId="77777777" w:rsidR="00AF6702" w:rsidRPr="00702882" w:rsidRDefault="00AF6702" w:rsidP="007803B6">
            <w:pPr>
              <w:spacing w:before="150" w:after="150"/>
              <w:contextualSpacing/>
              <w:rPr>
                <w:sz w:val="20"/>
                <w:szCs w:val="20"/>
              </w:rPr>
            </w:pPr>
            <w:r w:rsidRPr="00702882">
              <w:rPr>
                <w:sz w:val="20"/>
                <w:szCs w:val="20"/>
              </w:rPr>
              <w:t>Democrat_share</w:t>
            </w:r>
          </w:p>
        </w:tc>
        <w:tc>
          <w:tcPr>
            <w:tcW w:w="0" w:type="auto"/>
            <w:tcMar>
              <w:top w:w="15" w:type="dxa"/>
              <w:left w:w="75" w:type="dxa"/>
              <w:bottom w:w="15" w:type="dxa"/>
              <w:right w:w="75" w:type="dxa"/>
            </w:tcMar>
            <w:vAlign w:val="center"/>
            <w:hideMark/>
          </w:tcPr>
          <w:p w14:paraId="5FC15D88" w14:textId="77777777" w:rsidR="00AF6702" w:rsidRPr="00702882" w:rsidRDefault="00AF6702" w:rsidP="007803B6">
            <w:pPr>
              <w:spacing w:before="150" w:after="150"/>
              <w:contextualSpacing/>
              <w:rPr>
                <w:sz w:val="20"/>
                <w:szCs w:val="20"/>
              </w:rPr>
            </w:pPr>
            <w:r w:rsidRPr="00702882">
              <w:rPr>
                <w:sz w:val="20"/>
                <w:szCs w:val="20"/>
              </w:rPr>
              <w:t>4.25 (2.09)</w:t>
            </w:r>
            <w:r w:rsidRPr="00702882">
              <w:rPr>
                <w:sz w:val="20"/>
                <w:szCs w:val="20"/>
                <w:vertAlign w:val="superscript"/>
              </w:rPr>
              <w:t>**</w:t>
            </w:r>
          </w:p>
        </w:tc>
        <w:tc>
          <w:tcPr>
            <w:tcW w:w="0" w:type="auto"/>
            <w:tcMar>
              <w:top w:w="15" w:type="dxa"/>
              <w:left w:w="75" w:type="dxa"/>
              <w:bottom w:w="15" w:type="dxa"/>
              <w:right w:w="75" w:type="dxa"/>
            </w:tcMar>
            <w:vAlign w:val="center"/>
            <w:hideMark/>
          </w:tcPr>
          <w:p w14:paraId="182E1FD2" w14:textId="77777777" w:rsidR="00AF6702" w:rsidRPr="00702882" w:rsidRDefault="00AF6702" w:rsidP="007803B6">
            <w:pPr>
              <w:spacing w:before="150" w:after="150"/>
              <w:contextualSpacing/>
              <w:rPr>
                <w:sz w:val="20"/>
                <w:szCs w:val="20"/>
              </w:rPr>
            </w:pPr>
            <w:r w:rsidRPr="00702882">
              <w:rPr>
                <w:sz w:val="20"/>
                <w:szCs w:val="20"/>
              </w:rPr>
              <w:t>4.26 (2.00)</w:t>
            </w:r>
            <w:r w:rsidRPr="00702882">
              <w:rPr>
                <w:sz w:val="20"/>
                <w:szCs w:val="20"/>
                <w:vertAlign w:val="superscript"/>
              </w:rPr>
              <w:t>**</w:t>
            </w:r>
          </w:p>
        </w:tc>
        <w:tc>
          <w:tcPr>
            <w:tcW w:w="0" w:type="auto"/>
            <w:tcMar>
              <w:top w:w="15" w:type="dxa"/>
              <w:left w:w="75" w:type="dxa"/>
              <w:bottom w:w="15" w:type="dxa"/>
              <w:right w:w="75" w:type="dxa"/>
            </w:tcMar>
            <w:vAlign w:val="center"/>
            <w:hideMark/>
          </w:tcPr>
          <w:p w14:paraId="3C8786F8" w14:textId="77777777" w:rsidR="00AF6702" w:rsidRPr="00702882" w:rsidRDefault="00AF6702" w:rsidP="007803B6">
            <w:pPr>
              <w:spacing w:before="150" w:after="150"/>
              <w:contextualSpacing/>
              <w:rPr>
                <w:sz w:val="20"/>
                <w:szCs w:val="20"/>
              </w:rPr>
            </w:pPr>
            <w:r w:rsidRPr="00702882">
              <w:rPr>
                <w:sz w:val="20"/>
                <w:szCs w:val="20"/>
              </w:rPr>
              <w:t>3.65 (2.13)</w:t>
            </w:r>
            <w:r w:rsidRPr="00702882">
              <w:rPr>
                <w:sz w:val="20"/>
                <w:szCs w:val="20"/>
                <w:vertAlign w:val="superscript"/>
              </w:rPr>
              <w:t>*</w:t>
            </w:r>
          </w:p>
        </w:tc>
        <w:tc>
          <w:tcPr>
            <w:tcW w:w="0" w:type="auto"/>
            <w:tcMar>
              <w:top w:w="15" w:type="dxa"/>
              <w:left w:w="75" w:type="dxa"/>
              <w:bottom w:w="15" w:type="dxa"/>
              <w:right w:w="75" w:type="dxa"/>
            </w:tcMar>
            <w:vAlign w:val="center"/>
            <w:hideMark/>
          </w:tcPr>
          <w:p w14:paraId="36519D1B" w14:textId="77777777" w:rsidR="00AF6702" w:rsidRPr="00702882" w:rsidRDefault="00AF6702" w:rsidP="007803B6">
            <w:pPr>
              <w:spacing w:before="150" w:after="150"/>
              <w:contextualSpacing/>
              <w:rPr>
                <w:sz w:val="20"/>
                <w:szCs w:val="20"/>
              </w:rPr>
            </w:pPr>
            <w:r w:rsidRPr="00702882">
              <w:rPr>
                <w:sz w:val="20"/>
                <w:szCs w:val="20"/>
              </w:rPr>
              <w:t>4.17 (2.03)</w:t>
            </w:r>
            <w:r w:rsidRPr="00702882">
              <w:rPr>
                <w:sz w:val="20"/>
                <w:szCs w:val="20"/>
                <w:vertAlign w:val="superscript"/>
              </w:rPr>
              <w:t>**</w:t>
            </w:r>
          </w:p>
        </w:tc>
      </w:tr>
      <w:tr w:rsidR="00B86C9D" w:rsidRPr="00702882" w14:paraId="383A4FDA" w14:textId="77777777" w:rsidTr="00AE6820">
        <w:trPr>
          <w:jc w:val="center"/>
        </w:trPr>
        <w:tc>
          <w:tcPr>
            <w:tcW w:w="0" w:type="auto"/>
            <w:tcMar>
              <w:top w:w="15" w:type="dxa"/>
              <w:left w:w="75" w:type="dxa"/>
              <w:bottom w:w="15" w:type="dxa"/>
              <w:right w:w="75" w:type="dxa"/>
            </w:tcMar>
            <w:vAlign w:val="center"/>
            <w:hideMark/>
          </w:tcPr>
          <w:p w14:paraId="7830B6EB" w14:textId="77777777" w:rsidR="00AF6702" w:rsidRPr="00702882" w:rsidRDefault="00AF6702" w:rsidP="007803B6">
            <w:pPr>
              <w:spacing w:before="150" w:after="150"/>
              <w:contextualSpacing/>
              <w:rPr>
                <w:sz w:val="20"/>
                <w:szCs w:val="20"/>
              </w:rPr>
            </w:pPr>
            <w:r w:rsidRPr="00702882">
              <w:rPr>
                <w:sz w:val="20"/>
                <w:szCs w:val="20"/>
              </w:rPr>
              <w:t>Division</w:t>
            </w:r>
          </w:p>
        </w:tc>
        <w:tc>
          <w:tcPr>
            <w:tcW w:w="0" w:type="auto"/>
            <w:tcMar>
              <w:top w:w="15" w:type="dxa"/>
              <w:left w:w="75" w:type="dxa"/>
              <w:bottom w:w="15" w:type="dxa"/>
              <w:right w:w="75" w:type="dxa"/>
            </w:tcMar>
            <w:vAlign w:val="center"/>
            <w:hideMark/>
          </w:tcPr>
          <w:p w14:paraId="7FE654F8" w14:textId="77777777" w:rsidR="00AF6702" w:rsidRPr="00702882" w:rsidRDefault="00AF6702" w:rsidP="007803B6">
            <w:pPr>
              <w:spacing w:before="150" w:after="150"/>
              <w:contextualSpacing/>
              <w:rPr>
                <w:sz w:val="20"/>
                <w:szCs w:val="20"/>
              </w:rPr>
            </w:pPr>
            <w:r w:rsidRPr="00702882">
              <w:rPr>
                <w:sz w:val="20"/>
                <w:szCs w:val="20"/>
              </w:rPr>
              <w:t>-0.94 (0.43)</w:t>
            </w:r>
            <w:r w:rsidRPr="00702882">
              <w:rPr>
                <w:sz w:val="20"/>
                <w:szCs w:val="20"/>
                <w:vertAlign w:val="superscript"/>
              </w:rPr>
              <w:t>**</w:t>
            </w:r>
          </w:p>
        </w:tc>
        <w:tc>
          <w:tcPr>
            <w:tcW w:w="0" w:type="auto"/>
            <w:tcMar>
              <w:top w:w="15" w:type="dxa"/>
              <w:left w:w="75" w:type="dxa"/>
              <w:bottom w:w="15" w:type="dxa"/>
              <w:right w:w="75" w:type="dxa"/>
            </w:tcMar>
            <w:vAlign w:val="center"/>
            <w:hideMark/>
          </w:tcPr>
          <w:p w14:paraId="4256BB2F" w14:textId="77777777" w:rsidR="00AF6702" w:rsidRPr="00702882" w:rsidRDefault="00AF6702" w:rsidP="007803B6">
            <w:pPr>
              <w:spacing w:before="150" w:after="150"/>
              <w:contextualSpacing/>
              <w:rPr>
                <w:sz w:val="20"/>
                <w:szCs w:val="20"/>
              </w:rPr>
            </w:pPr>
            <w:r w:rsidRPr="00702882">
              <w:rPr>
                <w:sz w:val="20"/>
                <w:szCs w:val="20"/>
              </w:rPr>
              <w:t>-0.64 (0.42)</w:t>
            </w:r>
          </w:p>
        </w:tc>
        <w:tc>
          <w:tcPr>
            <w:tcW w:w="0" w:type="auto"/>
            <w:tcMar>
              <w:top w:w="15" w:type="dxa"/>
              <w:left w:w="75" w:type="dxa"/>
              <w:bottom w:w="15" w:type="dxa"/>
              <w:right w:w="75" w:type="dxa"/>
            </w:tcMar>
            <w:vAlign w:val="center"/>
            <w:hideMark/>
          </w:tcPr>
          <w:p w14:paraId="1457D51D" w14:textId="77777777" w:rsidR="00AF6702" w:rsidRPr="00702882" w:rsidRDefault="00AF6702" w:rsidP="007803B6">
            <w:pPr>
              <w:spacing w:before="150" w:after="150"/>
              <w:contextualSpacing/>
              <w:rPr>
                <w:sz w:val="20"/>
                <w:szCs w:val="20"/>
              </w:rPr>
            </w:pPr>
            <w:r w:rsidRPr="00702882">
              <w:rPr>
                <w:sz w:val="20"/>
                <w:szCs w:val="20"/>
              </w:rPr>
              <w:t>-0.66 (0.41)</w:t>
            </w:r>
          </w:p>
        </w:tc>
        <w:tc>
          <w:tcPr>
            <w:tcW w:w="0" w:type="auto"/>
            <w:tcMar>
              <w:top w:w="15" w:type="dxa"/>
              <w:left w:w="75" w:type="dxa"/>
              <w:bottom w:w="15" w:type="dxa"/>
              <w:right w:w="75" w:type="dxa"/>
            </w:tcMar>
            <w:vAlign w:val="center"/>
            <w:hideMark/>
          </w:tcPr>
          <w:p w14:paraId="0897879D" w14:textId="77777777" w:rsidR="00AF6702" w:rsidRPr="00702882" w:rsidRDefault="00AF6702" w:rsidP="007803B6">
            <w:pPr>
              <w:spacing w:before="150" w:after="150"/>
              <w:contextualSpacing/>
              <w:rPr>
                <w:sz w:val="20"/>
                <w:szCs w:val="20"/>
              </w:rPr>
            </w:pPr>
            <w:r w:rsidRPr="00702882">
              <w:rPr>
                <w:sz w:val="20"/>
                <w:szCs w:val="20"/>
              </w:rPr>
              <w:t>-0.67 (0.41)</w:t>
            </w:r>
          </w:p>
        </w:tc>
      </w:tr>
      <w:tr w:rsidR="00B86C9D" w:rsidRPr="00702882" w14:paraId="5C3CD75A" w14:textId="77777777" w:rsidTr="00AE6820">
        <w:trPr>
          <w:jc w:val="center"/>
        </w:trPr>
        <w:tc>
          <w:tcPr>
            <w:tcW w:w="0" w:type="auto"/>
            <w:tcMar>
              <w:top w:w="15" w:type="dxa"/>
              <w:left w:w="75" w:type="dxa"/>
              <w:bottom w:w="15" w:type="dxa"/>
              <w:right w:w="75" w:type="dxa"/>
            </w:tcMar>
            <w:vAlign w:val="center"/>
            <w:hideMark/>
          </w:tcPr>
          <w:p w14:paraId="3016326A" w14:textId="77777777" w:rsidR="00AF6702" w:rsidRPr="00702882" w:rsidRDefault="00AF6702" w:rsidP="007803B6">
            <w:pPr>
              <w:spacing w:before="150" w:after="150"/>
              <w:contextualSpacing/>
              <w:rPr>
                <w:sz w:val="20"/>
                <w:szCs w:val="20"/>
              </w:rPr>
            </w:pPr>
            <w:r w:rsidRPr="00702882">
              <w:rPr>
                <w:sz w:val="20"/>
                <w:szCs w:val="20"/>
              </w:rPr>
              <w:t>factor(Year)2003</w:t>
            </w:r>
          </w:p>
        </w:tc>
        <w:tc>
          <w:tcPr>
            <w:tcW w:w="0" w:type="auto"/>
            <w:tcMar>
              <w:top w:w="15" w:type="dxa"/>
              <w:left w:w="75" w:type="dxa"/>
              <w:bottom w:w="15" w:type="dxa"/>
              <w:right w:w="75" w:type="dxa"/>
            </w:tcMar>
            <w:vAlign w:val="center"/>
            <w:hideMark/>
          </w:tcPr>
          <w:p w14:paraId="5E98ECA4" w14:textId="77777777" w:rsidR="00AF6702" w:rsidRPr="00702882" w:rsidRDefault="00AF6702" w:rsidP="007803B6">
            <w:pPr>
              <w:spacing w:before="150" w:after="150"/>
              <w:contextualSpacing/>
              <w:rPr>
                <w:sz w:val="20"/>
                <w:szCs w:val="20"/>
              </w:rPr>
            </w:pPr>
            <w:r w:rsidRPr="00702882">
              <w:rPr>
                <w:sz w:val="20"/>
                <w:szCs w:val="20"/>
              </w:rPr>
              <w:t>0.43 (1.07)</w:t>
            </w:r>
          </w:p>
        </w:tc>
        <w:tc>
          <w:tcPr>
            <w:tcW w:w="0" w:type="auto"/>
            <w:tcMar>
              <w:top w:w="15" w:type="dxa"/>
              <w:left w:w="75" w:type="dxa"/>
              <w:bottom w:w="15" w:type="dxa"/>
              <w:right w:w="75" w:type="dxa"/>
            </w:tcMar>
            <w:vAlign w:val="center"/>
            <w:hideMark/>
          </w:tcPr>
          <w:p w14:paraId="2BBB2B24" w14:textId="77777777" w:rsidR="00AF6702" w:rsidRPr="00702882" w:rsidRDefault="00AF6702" w:rsidP="007803B6">
            <w:pPr>
              <w:spacing w:before="150" w:after="150"/>
              <w:contextualSpacing/>
              <w:rPr>
                <w:sz w:val="20"/>
                <w:szCs w:val="20"/>
              </w:rPr>
            </w:pPr>
            <w:r w:rsidRPr="00702882">
              <w:rPr>
                <w:sz w:val="20"/>
                <w:szCs w:val="20"/>
              </w:rPr>
              <w:t>0.24 (1.09)</w:t>
            </w:r>
          </w:p>
        </w:tc>
        <w:tc>
          <w:tcPr>
            <w:tcW w:w="0" w:type="auto"/>
            <w:tcMar>
              <w:top w:w="15" w:type="dxa"/>
              <w:left w:w="75" w:type="dxa"/>
              <w:bottom w:w="15" w:type="dxa"/>
              <w:right w:w="75" w:type="dxa"/>
            </w:tcMar>
            <w:vAlign w:val="center"/>
            <w:hideMark/>
          </w:tcPr>
          <w:p w14:paraId="4672DC92" w14:textId="77777777" w:rsidR="00AF6702" w:rsidRPr="00702882" w:rsidRDefault="00AF6702" w:rsidP="007803B6">
            <w:pPr>
              <w:spacing w:before="150" w:after="150"/>
              <w:contextualSpacing/>
              <w:rPr>
                <w:sz w:val="20"/>
                <w:szCs w:val="20"/>
              </w:rPr>
            </w:pPr>
            <w:r w:rsidRPr="00702882">
              <w:rPr>
                <w:sz w:val="20"/>
                <w:szCs w:val="20"/>
              </w:rPr>
              <w:t>0.23 (1.10)</w:t>
            </w:r>
          </w:p>
        </w:tc>
        <w:tc>
          <w:tcPr>
            <w:tcW w:w="0" w:type="auto"/>
            <w:tcMar>
              <w:top w:w="15" w:type="dxa"/>
              <w:left w:w="75" w:type="dxa"/>
              <w:bottom w:w="15" w:type="dxa"/>
              <w:right w:w="75" w:type="dxa"/>
            </w:tcMar>
            <w:vAlign w:val="center"/>
            <w:hideMark/>
          </w:tcPr>
          <w:p w14:paraId="3F84945F" w14:textId="77777777" w:rsidR="00AF6702" w:rsidRPr="00702882" w:rsidRDefault="00AF6702" w:rsidP="007803B6">
            <w:pPr>
              <w:spacing w:before="150" w:after="150"/>
              <w:contextualSpacing/>
              <w:rPr>
                <w:sz w:val="20"/>
                <w:szCs w:val="20"/>
              </w:rPr>
            </w:pPr>
            <w:r w:rsidRPr="00702882">
              <w:rPr>
                <w:sz w:val="20"/>
                <w:szCs w:val="20"/>
              </w:rPr>
              <w:t>0.26 (1.09)</w:t>
            </w:r>
          </w:p>
        </w:tc>
      </w:tr>
      <w:tr w:rsidR="00B86C9D" w:rsidRPr="00702882" w14:paraId="0CB174DC" w14:textId="77777777" w:rsidTr="00AE6820">
        <w:trPr>
          <w:jc w:val="center"/>
        </w:trPr>
        <w:tc>
          <w:tcPr>
            <w:tcW w:w="0" w:type="auto"/>
            <w:tcMar>
              <w:top w:w="15" w:type="dxa"/>
              <w:left w:w="75" w:type="dxa"/>
              <w:bottom w:w="15" w:type="dxa"/>
              <w:right w:w="75" w:type="dxa"/>
            </w:tcMar>
            <w:vAlign w:val="center"/>
            <w:hideMark/>
          </w:tcPr>
          <w:p w14:paraId="251E858B" w14:textId="77777777" w:rsidR="00AF6702" w:rsidRPr="00702882" w:rsidRDefault="00AF6702" w:rsidP="007803B6">
            <w:pPr>
              <w:spacing w:before="150" w:after="150"/>
              <w:contextualSpacing/>
              <w:rPr>
                <w:sz w:val="20"/>
                <w:szCs w:val="20"/>
              </w:rPr>
            </w:pPr>
            <w:r w:rsidRPr="00702882">
              <w:rPr>
                <w:sz w:val="20"/>
                <w:szCs w:val="20"/>
              </w:rPr>
              <w:t>factor(Year)2004</w:t>
            </w:r>
          </w:p>
        </w:tc>
        <w:tc>
          <w:tcPr>
            <w:tcW w:w="0" w:type="auto"/>
            <w:tcMar>
              <w:top w:w="15" w:type="dxa"/>
              <w:left w:w="75" w:type="dxa"/>
              <w:bottom w:w="15" w:type="dxa"/>
              <w:right w:w="75" w:type="dxa"/>
            </w:tcMar>
            <w:vAlign w:val="center"/>
            <w:hideMark/>
          </w:tcPr>
          <w:p w14:paraId="1EF5E3EA" w14:textId="77777777" w:rsidR="00AF6702" w:rsidRPr="00702882" w:rsidRDefault="00AF6702" w:rsidP="007803B6">
            <w:pPr>
              <w:spacing w:before="150" w:after="150"/>
              <w:contextualSpacing/>
              <w:rPr>
                <w:sz w:val="20"/>
                <w:szCs w:val="20"/>
              </w:rPr>
            </w:pPr>
            <w:r w:rsidRPr="00702882">
              <w:rPr>
                <w:sz w:val="20"/>
                <w:szCs w:val="20"/>
              </w:rPr>
              <w:t>2.28 (1.24)</w:t>
            </w:r>
            <w:r w:rsidRPr="00702882">
              <w:rPr>
                <w:sz w:val="20"/>
                <w:szCs w:val="20"/>
                <w:vertAlign w:val="superscript"/>
              </w:rPr>
              <w:t>*</w:t>
            </w:r>
          </w:p>
        </w:tc>
        <w:tc>
          <w:tcPr>
            <w:tcW w:w="0" w:type="auto"/>
            <w:tcMar>
              <w:top w:w="15" w:type="dxa"/>
              <w:left w:w="75" w:type="dxa"/>
              <w:bottom w:w="15" w:type="dxa"/>
              <w:right w:w="75" w:type="dxa"/>
            </w:tcMar>
            <w:vAlign w:val="center"/>
            <w:hideMark/>
          </w:tcPr>
          <w:p w14:paraId="5A35473F" w14:textId="77777777" w:rsidR="00AF6702" w:rsidRPr="00702882" w:rsidRDefault="00AF6702" w:rsidP="007803B6">
            <w:pPr>
              <w:spacing w:before="150" w:after="150"/>
              <w:contextualSpacing/>
              <w:rPr>
                <w:sz w:val="20"/>
                <w:szCs w:val="20"/>
              </w:rPr>
            </w:pPr>
            <w:r w:rsidRPr="00702882">
              <w:rPr>
                <w:sz w:val="20"/>
                <w:szCs w:val="20"/>
              </w:rPr>
              <w:t>1.89 (1.24)</w:t>
            </w:r>
          </w:p>
        </w:tc>
        <w:tc>
          <w:tcPr>
            <w:tcW w:w="0" w:type="auto"/>
            <w:tcMar>
              <w:top w:w="15" w:type="dxa"/>
              <w:left w:w="75" w:type="dxa"/>
              <w:bottom w:w="15" w:type="dxa"/>
              <w:right w:w="75" w:type="dxa"/>
            </w:tcMar>
            <w:vAlign w:val="center"/>
            <w:hideMark/>
          </w:tcPr>
          <w:p w14:paraId="48FB216A" w14:textId="77777777" w:rsidR="00AF6702" w:rsidRPr="00702882" w:rsidRDefault="00AF6702" w:rsidP="007803B6">
            <w:pPr>
              <w:spacing w:before="150" w:after="150"/>
              <w:contextualSpacing/>
              <w:rPr>
                <w:sz w:val="20"/>
                <w:szCs w:val="20"/>
              </w:rPr>
            </w:pPr>
            <w:r w:rsidRPr="00702882">
              <w:rPr>
                <w:sz w:val="20"/>
                <w:szCs w:val="20"/>
              </w:rPr>
              <w:t>1.99 (1.24)</w:t>
            </w:r>
          </w:p>
        </w:tc>
        <w:tc>
          <w:tcPr>
            <w:tcW w:w="0" w:type="auto"/>
            <w:tcMar>
              <w:top w:w="15" w:type="dxa"/>
              <w:left w:w="75" w:type="dxa"/>
              <w:bottom w:w="15" w:type="dxa"/>
              <w:right w:w="75" w:type="dxa"/>
            </w:tcMar>
            <w:vAlign w:val="center"/>
            <w:hideMark/>
          </w:tcPr>
          <w:p w14:paraId="653DBE11" w14:textId="77777777" w:rsidR="00AF6702" w:rsidRPr="00702882" w:rsidRDefault="00AF6702" w:rsidP="007803B6">
            <w:pPr>
              <w:spacing w:before="150" w:after="150"/>
              <w:contextualSpacing/>
              <w:rPr>
                <w:sz w:val="20"/>
                <w:szCs w:val="20"/>
              </w:rPr>
            </w:pPr>
            <w:r w:rsidRPr="00702882">
              <w:rPr>
                <w:sz w:val="20"/>
                <w:szCs w:val="20"/>
              </w:rPr>
              <w:t>1.91 (1.23)</w:t>
            </w:r>
          </w:p>
        </w:tc>
      </w:tr>
      <w:tr w:rsidR="00B86C9D" w:rsidRPr="00702882" w14:paraId="1A9146BC" w14:textId="77777777" w:rsidTr="00AE6820">
        <w:trPr>
          <w:jc w:val="center"/>
        </w:trPr>
        <w:tc>
          <w:tcPr>
            <w:tcW w:w="0" w:type="auto"/>
            <w:tcMar>
              <w:top w:w="15" w:type="dxa"/>
              <w:left w:w="75" w:type="dxa"/>
              <w:bottom w:w="15" w:type="dxa"/>
              <w:right w:w="75" w:type="dxa"/>
            </w:tcMar>
            <w:vAlign w:val="center"/>
            <w:hideMark/>
          </w:tcPr>
          <w:p w14:paraId="0EDCD7DE" w14:textId="77777777" w:rsidR="00AF6702" w:rsidRPr="00702882" w:rsidRDefault="00AF6702" w:rsidP="007803B6">
            <w:pPr>
              <w:spacing w:before="150" w:after="150"/>
              <w:contextualSpacing/>
              <w:rPr>
                <w:sz w:val="20"/>
                <w:szCs w:val="20"/>
              </w:rPr>
            </w:pPr>
            <w:r w:rsidRPr="00702882">
              <w:rPr>
                <w:sz w:val="20"/>
                <w:szCs w:val="20"/>
              </w:rPr>
              <w:t>factor(Year)2005</w:t>
            </w:r>
          </w:p>
        </w:tc>
        <w:tc>
          <w:tcPr>
            <w:tcW w:w="0" w:type="auto"/>
            <w:tcMar>
              <w:top w:w="15" w:type="dxa"/>
              <w:left w:w="75" w:type="dxa"/>
              <w:bottom w:w="15" w:type="dxa"/>
              <w:right w:w="75" w:type="dxa"/>
            </w:tcMar>
            <w:vAlign w:val="center"/>
            <w:hideMark/>
          </w:tcPr>
          <w:p w14:paraId="49521F1D" w14:textId="77777777" w:rsidR="00AF6702" w:rsidRPr="00702882" w:rsidRDefault="00AF6702" w:rsidP="007803B6">
            <w:pPr>
              <w:spacing w:before="150" w:after="150"/>
              <w:contextualSpacing/>
              <w:rPr>
                <w:sz w:val="20"/>
                <w:szCs w:val="20"/>
              </w:rPr>
            </w:pPr>
            <w:r w:rsidRPr="00702882">
              <w:rPr>
                <w:sz w:val="20"/>
                <w:szCs w:val="20"/>
              </w:rPr>
              <w:t>4.10 (1.31)</w:t>
            </w:r>
            <w:r w:rsidRPr="00702882">
              <w:rPr>
                <w:sz w:val="20"/>
                <w:szCs w:val="20"/>
                <w:vertAlign w:val="superscript"/>
              </w:rPr>
              <w:t>***</w:t>
            </w:r>
          </w:p>
        </w:tc>
        <w:tc>
          <w:tcPr>
            <w:tcW w:w="0" w:type="auto"/>
            <w:tcMar>
              <w:top w:w="15" w:type="dxa"/>
              <w:left w:w="75" w:type="dxa"/>
              <w:bottom w:w="15" w:type="dxa"/>
              <w:right w:w="75" w:type="dxa"/>
            </w:tcMar>
            <w:vAlign w:val="center"/>
            <w:hideMark/>
          </w:tcPr>
          <w:p w14:paraId="6E806F9A" w14:textId="77777777" w:rsidR="00AF6702" w:rsidRPr="00702882" w:rsidRDefault="00AF6702" w:rsidP="007803B6">
            <w:pPr>
              <w:spacing w:before="150" w:after="150"/>
              <w:contextualSpacing/>
              <w:rPr>
                <w:sz w:val="20"/>
                <w:szCs w:val="20"/>
              </w:rPr>
            </w:pPr>
            <w:r w:rsidRPr="00702882">
              <w:rPr>
                <w:sz w:val="20"/>
                <w:szCs w:val="20"/>
              </w:rPr>
              <w:t>3.78 (1.29)</w:t>
            </w:r>
            <w:r w:rsidRPr="00702882">
              <w:rPr>
                <w:sz w:val="20"/>
                <w:szCs w:val="20"/>
                <w:vertAlign w:val="superscript"/>
              </w:rPr>
              <w:t>***</w:t>
            </w:r>
          </w:p>
        </w:tc>
        <w:tc>
          <w:tcPr>
            <w:tcW w:w="0" w:type="auto"/>
            <w:tcMar>
              <w:top w:w="15" w:type="dxa"/>
              <w:left w:w="75" w:type="dxa"/>
              <w:bottom w:w="15" w:type="dxa"/>
              <w:right w:w="75" w:type="dxa"/>
            </w:tcMar>
            <w:vAlign w:val="center"/>
            <w:hideMark/>
          </w:tcPr>
          <w:p w14:paraId="50465F81" w14:textId="77777777" w:rsidR="00AF6702" w:rsidRPr="00702882" w:rsidRDefault="00AF6702" w:rsidP="007803B6">
            <w:pPr>
              <w:spacing w:before="150" w:after="150"/>
              <w:contextualSpacing/>
              <w:rPr>
                <w:sz w:val="20"/>
                <w:szCs w:val="20"/>
              </w:rPr>
            </w:pPr>
            <w:r w:rsidRPr="00702882">
              <w:rPr>
                <w:sz w:val="20"/>
                <w:szCs w:val="20"/>
              </w:rPr>
              <w:t>3.85 (1.29)</w:t>
            </w:r>
            <w:r w:rsidRPr="00702882">
              <w:rPr>
                <w:sz w:val="20"/>
                <w:szCs w:val="20"/>
                <w:vertAlign w:val="superscript"/>
              </w:rPr>
              <w:t>***</w:t>
            </w:r>
          </w:p>
        </w:tc>
        <w:tc>
          <w:tcPr>
            <w:tcW w:w="0" w:type="auto"/>
            <w:tcMar>
              <w:top w:w="15" w:type="dxa"/>
              <w:left w:w="75" w:type="dxa"/>
              <w:bottom w:w="15" w:type="dxa"/>
              <w:right w:w="75" w:type="dxa"/>
            </w:tcMar>
            <w:vAlign w:val="center"/>
            <w:hideMark/>
          </w:tcPr>
          <w:p w14:paraId="36CABBBE" w14:textId="77777777" w:rsidR="00AF6702" w:rsidRPr="00702882" w:rsidRDefault="00AF6702" w:rsidP="007803B6">
            <w:pPr>
              <w:spacing w:before="150" w:after="150"/>
              <w:contextualSpacing/>
              <w:rPr>
                <w:sz w:val="20"/>
                <w:szCs w:val="20"/>
              </w:rPr>
            </w:pPr>
            <w:r w:rsidRPr="00702882">
              <w:rPr>
                <w:sz w:val="20"/>
                <w:szCs w:val="20"/>
              </w:rPr>
              <w:t>3.79 (1.28)</w:t>
            </w:r>
            <w:r w:rsidRPr="00702882">
              <w:rPr>
                <w:sz w:val="20"/>
                <w:szCs w:val="20"/>
                <w:vertAlign w:val="superscript"/>
              </w:rPr>
              <w:t>***</w:t>
            </w:r>
          </w:p>
        </w:tc>
      </w:tr>
      <w:tr w:rsidR="00B86C9D" w:rsidRPr="00702882" w14:paraId="5D9BD0DE" w14:textId="77777777" w:rsidTr="00AE6820">
        <w:trPr>
          <w:jc w:val="center"/>
        </w:trPr>
        <w:tc>
          <w:tcPr>
            <w:tcW w:w="0" w:type="auto"/>
            <w:tcMar>
              <w:top w:w="15" w:type="dxa"/>
              <w:left w:w="75" w:type="dxa"/>
              <w:bottom w:w="15" w:type="dxa"/>
              <w:right w:w="75" w:type="dxa"/>
            </w:tcMar>
            <w:vAlign w:val="center"/>
            <w:hideMark/>
          </w:tcPr>
          <w:p w14:paraId="5253648D" w14:textId="77777777" w:rsidR="00AF6702" w:rsidRPr="00702882" w:rsidRDefault="00AF6702" w:rsidP="007803B6">
            <w:pPr>
              <w:spacing w:before="150" w:after="150"/>
              <w:contextualSpacing/>
              <w:rPr>
                <w:sz w:val="20"/>
                <w:szCs w:val="20"/>
              </w:rPr>
            </w:pPr>
            <w:r w:rsidRPr="00702882">
              <w:rPr>
                <w:sz w:val="20"/>
                <w:szCs w:val="20"/>
              </w:rPr>
              <w:t>factor(Year)2006</w:t>
            </w:r>
          </w:p>
        </w:tc>
        <w:tc>
          <w:tcPr>
            <w:tcW w:w="0" w:type="auto"/>
            <w:tcMar>
              <w:top w:w="15" w:type="dxa"/>
              <w:left w:w="75" w:type="dxa"/>
              <w:bottom w:w="15" w:type="dxa"/>
              <w:right w:w="75" w:type="dxa"/>
            </w:tcMar>
            <w:vAlign w:val="center"/>
            <w:hideMark/>
          </w:tcPr>
          <w:p w14:paraId="64454F49" w14:textId="77777777" w:rsidR="00AF6702" w:rsidRPr="00702882" w:rsidRDefault="00AF6702" w:rsidP="007803B6">
            <w:pPr>
              <w:spacing w:before="150" w:after="150"/>
              <w:contextualSpacing/>
              <w:rPr>
                <w:sz w:val="20"/>
                <w:szCs w:val="20"/>
              </w:rPr>
            </w:pPr>
            <w:r w:rsidRPr="00702882">
              <w:rPr>
                <w:sz w:val="20"/>
                <w:szCs w:val="20"/>
              </w:rPr>
              <w:t>5.39 (1.43)</w:t>
            </w:r>
            <w:r w:rsidRPr="00702882">
              <w:rPr>
                <w:sz w:val="20"/>
                <w:szCs w:val="20"/>
                <w:vertAlign w:val="superscript"/>
              </w:rPr>
              <w:t>***</w:t>
            </w:r>
          </w:p>
        </w:tc>
        <w:tc>
          <w:tcPr>
            <w:tcW w:w="0" w:type="auto"/>
            <w:tcMar>
              <w:top w:w="15" w:type="dxa"/>
              <w:left w:w="75" w:type="dxa"/>
              <w:bottom w:w="15" w:type="dxa"/>
              <w:right w:w="75" w:type="dxa"/>
            </w:tcMar>
            <w:vAlign w:val="center"/>
            <w:hideMark/>
          </w:tcPr>
          <w:p w14:paraId="51FF8A18" w14:textId="77777777" w:rsidR="00AF6702" w:rsidRPr="00702882" w:rsidRDefault="00AF6702" w:rsidP="007803B6">
            <w:pPr>
              <w:spacing w:before="150" w:after="150"/>
              <w:contextualSpacing/>
              <w:rPr>
                <w:sz w:val="20"/>
                <w:szCs w:val="20"/>
              </w:rPr>
            </w:pPr>
            <w:r w:rsidRPr="00702882">
              <w:rPr>
                <w:sz w:val="20"/>
                <w:szCs w:val="20"/>
              </w:rPr>
              <w:t>4.95 (1.41)</w:t>
            </w:r>
            <w:r w:rsidRPr="00702882">
              <w:rPr>
                <w:sz w:val="20"/>
                <w:szCs w:val="20"/>
                <w:vertAlign w:val="superscript"/>
              </w:rPr>
              <w:t>***</w:t>
            </w:r>
          </w:p>
        </w:tc>
        <w:tc>
          <w:tcPr>
            <w:tcW w:w="0" w:type="auto"/>
            <w:tcMar>
              <w:top w:w="15" w:type="dxa"/>
              <w:left w:w="75" w:type="dxa"/>
              <w:bottom w:w="15" w:type="dxa"/>
              <w:right w:w="75" w:type="dxa"/>
            </w:tcMar>
            <w:vAlign w:val="center"/>
            <w:hideMark/>
          </w:tcPr>
          <w:p w14:paraId="5361AE1C" w14:textId="77777777" w:rsidR="00AF6702" w:rsidRPr="00702882" w:rsidRDefault="00AF6702" w:rsidP="007803B6">
            <w:pPr>
              <w:spacing w:before="150" w:after="150"/>
              <w:contextualSpacing/>
              <w:rPr>
                <w:sz w:val="20"/>
                <w:szCs w:val="20"/>
              </w:rPr>
            </w:pPr>
            <w:r w:rsidRPr="00702882">
              <w:rPr>
                <w:sz w:val="20"/>
                <w:szCs w:val="20"/>
              </w:rPr>
              <w:t>5.00 (1.40)</w:t>
            </w:r>
            <w:r w:rsidRPr="00702882">
              <w:rPr>
                <w:sz w:val="20"/>
                <w:szCs w:val="20"/>
                <w:vertAlign w:val="superscript"/>
              </w:rPr>
              <w:t>***</w:t>
            </w:r>
          </w:p>
        </w:tc>
        <w:tc>
          <w:tcPr>
            <w:tcW w:w="0" w:type="auto"/>
            <w:tcMar>
              <w:top w:w="15" w:type="dxa"/>
              <w:left w:w="75" w:type="dxa"/>
              <w:bottom w:w="15" w:type="dxa"/>
              <w:right w:w="75" w:type="dxa"/>
            </w:tcMar>
            <w:vAlign w:val="center"/>
            <w:hideMark/>
          </w:tcPr>
          <w:p w14:paraId="65613785" w14:textId="77777777" w:rsidR="00AF6702" w:rsidRPr="00702882" w:rsidRDefault="00AF6702" w:rsidP="007803B6">
            <w:pPr>
              <w:spacing w:before="150" w:after="150"/>
              <w:contextualSpacing/>
              <w:rPr>
                <w:sz w:val="20"/>
                <w:szCs w:val="20"/>
              </w:rPr>
            </w:pPr>
            <w:r w:rsidRPr="00702882">
              <w:rPr>
                <w:sz w:val="20"/>
                <w:szCs w:val="20"/>
              </w:rPr>
              <w:t>4.95 (1.40)</w:t>
            </w:r>
            <w:r w:rsidRPr="00702882">
              <w:rPr>
                <w:sz w:val="20"/>
                <w:szCs w:val="20"/>
                <w:vertAlign w:val="superscript"/>
              </w:rPr>
              <w:t>***</w:t>
            </w:r>
          </w:p>
        </w:tc>
      </w:tr>
      <w:tr w:rsidR="00B86C9D" w:rsidRPr="00702882" w14:paraId="1E3CB329" w14:textId="77777777" w:rsidTr="00AE6820">
        <w:trPr>
          <w:jc w:val="center"/>
        </w:trPr>
        <w:tc>
          <w:tcPr>
            <w:tcW w:w="0" w:type="auto"/>
            <w:tcMar>
              <w:top w:w="15" w:type="dxa"/>
              <w:left w:w="75" w:type="dxa"/>
              <w:bottom w:w="15" w:type="dxa"/>
              <w:right w:w="75" w:type="dxa"/>
            </w:tcMar>
            <w:vAlign w:val="center"/>
            <w:hideMark/>
          </w:tcPr>
          <w:p w14:paraId="3DA8AF89" w14:textId="77777777" w:rsidR="00AF6702" w:rsidRPr="00702882" w:rsidRDefault="00AF6702" w:rsidP="007803B6">
            <w:pPr>
              <w:spacing w:before="150" w:after="150"/>
              <w:contextualSpacing/>
              <w:rPr>
                <w:sz w:val="20"/>
                <w:szCs w:val="20"/>
              </w:rPr>
            </w:pPr>
            <w:r w:rsidRPr="00702882">
              <w:rPr>
                <w:sz w:val="20"/>
                <w:szCs w:val="20"/>
              </w:rPr>
              <w:t>factor(Year)2007</w:t>
            </w:r>
          </w:p>
        </w:tc>
        <w:tc>
          <w:tcPr>
            <w:tcW w:w="0" w:type="auto"/>
            <w:tcMar>
              <w:top w:w="15" w:type="dxa"/>
              <w:left w:w="75" w:type="dxa"/>
              <w:bottom w:w="15" w:type="dxa"/>
              <w:right w:w="75" w:type="dxa"/>
            </w:tcMar>
            <w:vAlign w:val="center"/>
            <w:hideMark/>
          </w:tcPr>
          <w:p w14:paraId="0B630146" w14:textId="77777777" w:rsidR="00AF6702" w:rsidRPr="00702882" w:rsidRDefault="00AF6702" w:rsidP="007803B6">
            <w:pPr>
              <w:spacing w:before="150" w:after="150"/>
              <w:contextualSpacing/>
              <w:rPr>
                <w:sz w:val="20"/>
                <w:szCs w:val="20"/>
              </w:rPr>
            </w:pPr>
            <w:r w:rsidRPr="00702882">
              <w:rPr>
                <w:sz w:val="20"/>
                <w:szCs w:val="20"/>
              </w:rPr>
              <w:t>4.57 (1.52)</w:t>
            </w:r>
            <w:r w:rsidRPr="00702882">
              <w:rPr>
                <w:sz w:val="20"/>
                <w:szCs w:val="20"/>
                <w:vertAlign w:val="superscript"/>
              </w:rPr>
              <w:t>***</w:t>
            </w:r>
          </w:p>
        </w:tc>
        <w:tc>
          <w:tcPr>
            <w:tcW w:w="0" w:type="auto"/>
            <w:tcMar>
              <w:top w:w="15" w:type="dxa"/>
              <w:left w:w="75" w:type="dxa"/>
              <w:bottom w:w="15" w:type="dxa"/>
              <w:right w:w="75" w:type="dxa"/>
            </w:tcMar>
            <w:vAlign w:val="center"/>
            <w:hideMark/>
          </w:tcPr>
          <w:p w14:paraId="7034A07C" w14:textId="77777777" w:rsidR="00AF6702" w:rsidRPr="00702882" w:rsidRDefault="00AF6702" w:rsidP="007803B6">
            <w:pPr>
              <w:spacing w:before="150" w:after="150"/>
              <w:contextualSpacing/>
              <w:rPr>
                <w:sz w:val="20"/>
                <w:szCs w:val="20"/>
              </w:rPr>
            </w:pPr>
            <w:r w:rsidRPr="00702882">
              <w:rPr>
                <w:sz w:val="20"/>
                <w:szCs w:val="20"/>
              </w:rPr>
              <w:t>4.45 (1.45)</w:t>
            </w:r>
            <w:r w:rsidRPr="00702882">
              <w:rPr>
                <w:sz w:val="20"/>
                <w:szCs w:val="20"/>
                <w:vertAlign w:val="superscript"/>
              </w:rPr>
              <w:t>***</w:t>
            </w:r>
          </w:p>
        </w:tc>
        <w:tc>
          <w:tcPr>
            <w:tcW w:w="0" w:type="auto"/>
            <w:tcMar>
              <w:top w:w="15" w:type="dxa"/>
              <w:left w:w="75" w:type="dxa"/>
              <w:bottom w:w="15" w:type="dxa"/>
              <w:right w:w="75" w:type="dxa"/>
            </w:tcMar>
            <w:vAlign w:val="center"/>
            <w:hideMark/>
          </w:tcPr>
          <w:p w14:paraId="2DFDAEE2" w14:textId="77777777" w:rsidR="00AF6702" w:rsidRPr="00702882" w:rsidRDefault="00AF6702" w:rsidP="007803B6">
            <w:pPr>
              <w:spacing w:before="150" w:after="150"/>
              <w:contextualSpacing/>
              <w:rPr>
                <w:sz w:val="20"/>
                <w:szCs w:val="20"/>
              </w:rPr>
            </w:pPr>
            <w:r w:rsidRPr="00702882">
              <w:rPr>
                <w:sz w:val="20"/>
                <w:szCs w:val="20"/>
              </w:rPr>
              <w:t>4.53 (1.44)</w:t>
            </w:r>
            <w:r w:rsidRPr="00702882">
              <w:rPr>
                <w:sz w:val="20"/>
                <w:szCs w:val="20"/>
                <w:vertAlign w:val="superscript"/>
              </w:rPr>
              <w:t>***</w:t>
            </w:r>
          </w:p>
        </w:tc>
        <w:tc>
          <w:tcPr>
            <w:tcW w:w="0" w:type="auto"/>
            <w:tcMar>
              <w:top w:w="15" w:type="dxa"/>
              <w:left w:w="75" w:type="dxa"/>
              <w:bottom w:w="15" w:type="dxa"/>
              <w:right w:w="75" w:type="dxa"/>
            </w:tcMar>
            <w:vAlign w:val="center"/>
            <w:hideMark/>
          </w:tcPr>
          <w:p w14:paraId="782AD510" w14:textId="77777777" w:rsidR="00AF6702" w:rsidRPr="00702882" w:rsidRDefault="00AF6702" w:rsidP="007803B6">
            <w:pPr>
              <w:spacing w:before="150" w:after="150"/>
              <w:contextualSpacing/>
              <w:rPr>
                <w:sz w:val="20"/>
                <w:szCs w:val="20"/>
              </w:rPr>
            </w:pPr>
            <w:r w:rsidRPr="00702882">
              <w:rPr>
                <w:sz w:val="20"/>
                <w:szCs w:val="20"/>
              </w:rPr>
              <w:t>4.45 (1.44)</w:t>
            </w:r>
            <w:r w:rsidRPr="00702882">
              <w:rPr>
                <w:sz w:val="20"/>
                <w:szCs w:val="20"/>
                <w:vertAlign w:val="superscript"/>
              </w:rPr>
              <w:t>***</w:t>
            </w:r>
          </w:p>
        </w:tc>
      </w:tr>
      <w:tr w:rsidR="00B86C9D" w:rsidRPr="00702882" w14:paraId="3EDB5485" w14:textId="77777777" w:rsidTr="00AE6820">
        <w:trPr>
          <w:jc w:val="center"/>
        </w:trPr>
        <w:tc>
          <w:tcPr>
            <w:tcW w:w="0" w:type="auto"/>
            <w:tcMar>
              <w:top w:w="15" w:type="dxa"/>
              <w:left w:w="75" w:type="dxa"/>
              <w:bottom w:w="15" w:type="dxa"/>
              <w:right w:w="75" w:type="dxa"/>
            </w:tcMar>
            <w:vAlign w:val="center"/>
            <w:hideMark/>
          </w:tcPr>
          <w:p w14:paraId="19B1F88D" w14:textId="77777777" w:rsidR="00AF6702" w:rsidRPr="00702882" w:rsidRDefault="00AF6702" w:rsidP="007803B6">
            <w:pPr>
              <w:spacing w:before="150" w:after="150"/>
              <w:contextualSpacing/>
              <w:rPr>
                <w:sz w:val="20"/>
                <w:szCs w:val="20"/>
              </w:rPr>
            </w:pPr>
            <w:r w:rsidRPr="00702882">
              <w:rPr>
                <w:sz w:val="20"/>
                <w:szCs w:val="20"/>
              </w:rPr>
              <w:t>factor(Year)2008</w:t>
            </w:r>
          </w:p>
        </w:tc>
        <w:tc>
          <w:tcPr>
            <w:tcW w:w="0" w:type="auto"/>
            <w:tcMar>
              <w:top w:w="15" w:type="dxa"/>
              <w:left w:w="75" w:type="dxa"/>
              <w:bottom w:w="15" w:type="dxa"/>
              <w:right w:w="75" w:type="dxa"/>
            </w:tcMar>
            <w:vAlign w:val="center"/>
            <w:hideMark/>
          </w:tcPr>
          <w:p w14:paraId="5B98E5BB" w14:textId="77777777" w:rsidR="00AF6702" w:rsidRPr="00702882" w:rsidRDefault="00AF6702" w:rsidP="007803B6">
            <w:pPr>
              <w:spacing w:before="150" w:after="150"/>
              <w:contextualSpacing/>
              <w:rPr>
                <w:sz w:val="20"/>
                <w:szCs w:val="20"/>
              </w:rPr>
            </w:pPr>
            <w:r w:rsidRPr="00702882">
              <w:rPr>
                <w:sz w:val="20"/>
                <w:szCs w:val="20"/>
              </w:rPr>
              <w:t>2.92 (1.55)</w:t>
            </w:r>
            <w:r w:rsidRPr="00702882">
              <w:rPr>
                <w:sz w:val="20"/>
                <w:szCs w:val="20"/>
                <w:vertAlign w:val="superscript"/>
              </w:rPr>
              <w:t>*</w:t>
            </w:r>
          </w:p>
        </w:tc>
        <w:tc>
          <w:tcPr>
            <w:tcW w:w="0" w:type="auto"/>
            <w:tcMar>
              <w:top w:w="15" w:type="dxa"/>
              <w:left w:w="75" w:type="dxa"/>
              <w:bottom w:w="15" w:type="dxa"/>
              <w:right w:w="75" w:type="dxa"/>
            </w:tcMar>
            <w:vAlign w:val="center"/>
            <w:hideMark/>
          </w:tcPr>
          <w:p w14:paraId="13B20CBB" w14:textId="77777777" w:rsidR="00AF6702" w:rsidRPr="00702882" w:rsidRDefault="00AF6702" w:rsidP="007803B6">
            <w:pPr>
              <w:spacing w:before="150" w:after="150"/>
              <w:contextualSpacing/>
              <w:rPr>
                <w:sz w:val="20"/>
                <w:szCs w:val="20"/>
              </w:rPr>
            </w:pPr>
            <w:r w:rsidRPr="00702882">
              <w:rPr>
                <w:sz w:val="20"/>
                <w:szCs w:val="20"/>
              </w:rPr>
              <w:t>3.11 (1.51)</w:t>
            </w:r>
            <w:r w:rsidRPr="00702882">
              <w:rPr>
                <w:sz w:val="20"/>
                <w:szCs w:val="20"/>
                <w:vertAlign w:val="superscript"/>
              </w:rPr>
              <w:t>**</w:t>
            </w:r>
          </w:p>
        </w:tc>
        <w:tc>
          <w:tcPr>
            <w:tcW w:w="0" w:type="auto"/>
            <w:tcMar>
              <w:top w:w="15" w:type="dxa"/>
              <w:left w:w="75" w:type="dxa"/>
              <w:bottom w:w="15" w:type="dxa"/>
              <w:right w:w="75" w:type="dxa"/>
            </w:tcMar>
            <w:vAlign w:val="center"/>
            <w:hideMark/>
          </w:tcPr>
          <w:p w14:paraId="309F1496" w14:textId="77777777" w:rsidR="00AF6702" w:rsidRPr="00702882" w:rsidRDefault="00AF6702" w:rsidP="007803B6">
            <w:pPr>
              <w:spacing w:before="150" w:after="150"/>
              <w:contextualSpacing/>
              <w:rPr>
                <w:sz w:val="20"/>
                <w:szCs w:val="20"/>
              </w:rPr>
            </w:pPr>
            <w:r w:rsidRPr="00702882">
              <w:rPr>
                <w:sz w:val="20"/>
                <w:szCs w:val="20"/>
              </w:rPr>
              <w:t>3.17 (1.50)</w:t>
            </w:r>
            <w:r w:rsidRPr="00702882">
              <w:rPr>
                <w:sz w:val="20"/>
                <w:szCs w:val="20"/>
                <w:vertAlign w:val="superscript"/>
              </w:rPr>
              <w:t>**</w:t>
            </w:r>
          </w:p>
        </w:tc>
        <w:tc>
          <w:tcPr>
            <w:tcW w:w="0" w:type="auto"/>
            <w:tcMar>
              <w:top w:w="15" w:type="dxa"/>
              <w:left w:w="75" w:type="dxa"/>
              <w:bottom w:w="15" w:type="dxa"/>
              <w:right w:w="75" w:type="dxa"/>
            </w:tcMar>
            <w:vAlign w:val="center"/>
            <w:hideMark/>
          </w:tcPr>
          <w:p w14:paraId="61E5903D" w14:textId="77777777" w:rsidR="00AF6702" w:rsidRPr="00702882" w:rsidRDefault="00AF6702" w:rsidP="007803B6">
            <w:pPr>
              <w:spacing w:before="150" w:after="150"/>
              <w:contextualSpacing/>
              <w:rPr>
                <w:sz w:val="20"/>
                <w:szCs w:val="20"/>
              </w:rPr>
            </w:pPr>
            <w:r w:rsidRPr="00702882">
              <w:rPr>
                <w:sz w:val="20"/>
                <w:szCs w:val="20"/>
              </w:rPr>
              <w:t>3.10 (1.50)</w:t>
            </w:r>
            <w:r w:rsidRPr="00702882">
              <w:rPr>
                <w:sz w:val="20"/>
                <w:szCs w:val="20"/>
                <w:vertAlign w:val="superscript"/>
              </w:rPr>
              <w:t>**</w:t>
            </w:r>
          </w:p>
        </w:tc>
      </w:tr>
      <w:tr w:rsidR="00B86C9D" w:rsidRPr="00702882" w14:paraId="58AAF3AF" w14:textId="77777777" w:rsidTr="00AE6820">
        <w:trPr>
          <w:jc w:val="center"/>
        </w:trPr>
        <w:tc>
          <w:tcPr>
            <w:tcW w:w="0" w:type="auto"/>
            <w:tcMar>
              <w:top w:w="15" w:type="dxa"/>
              <w:left w:w="75" w:type="dxa"/>
              <w:bottom w:w="15" w:type="dxa"/>
              <w:right w:w="75" w:type="dxa"/>
            </w:tcMar>
            <w:vAlign w:val="center"/>
            <w:hideMark/>
          </w:tcPr>
          <w:p w14:paraId="7F463C6B" w14:textId="77777777" w:rsidR="00AF6702" w:rsidRPr="00702882" w:rsidRDefault="00AF6702" w:rsidP="007803B6">
            <w:pPr>
              <w:spacing w:before="150" w:after="150"/>
              <w:contextualSpacing/>
              <w:rPr>
                <w:sz w:val="20"/>
                <w:szCs w:val="20"/>
              </w:rPr>
            </w:pPr>
            <w:r w:rsidRPr="00702882">
              <w:rPr>
                <w:sz w:val="20"/>
                <w:szCs w:val="20"/>
              </w:rPr>
              <w:t>factor(Year)2009</w:t>
            </w:r>
          </w:p>
        </w:tc>
        <w:tc>
          <w:tcPr>
            <w:tcW w:w="0" w:type="auto"/>
            <w:tcMar>
              <w:top w:w="15" w:type="dxa"/>
              <w:left w:w="75" w:type="dxa"/>
              <w:bottom w:w="15" w:type="dxa"/>
              <w:right w:w="75" w:type="dxa"/>
            </w:tcMar>
            <w:vAlign w:val="center"/>
            <w:hideMark/>
          </w:tcPr>
          <w:p w14:paraId="4488C75D" w14:textId="77777777" w:rsidR="00AF6702" w:rsidRPr="00702882" w:rsidRDefault="00AF6702" w:rsidP="007803B6">
            <w:pPr>
              <w:spacing w:before="150" w:after="150"/>
              <w:contextualSpacing/>
              <w:rPr>
                <w:sz w:val="20"/>
                <w:szCs w:val="20"/>
              </w:rPr>
            </w:pPr>
            <w:r w:rsidRPr="00702882">
              <w:rPr>
                <w:sz w:val="20"/>
                <w:szCs w:val="20"/>
              </w:rPr>
              <w:t>0.69 (1.75)</w:t>
            </w:r>
          </w:p>
        </w:tc>
        <w:tc>
          <w:tcPr>
            <w:tcW w:w="0" w:type="auto"/>
            <w:tcMar>
              <w:top w:w="15" w:type="dxa"/>
              <w:left w:w="75" w:type="dxa"/>
              <w:bottom w:w="15" w:type="dxa"/>
              <w:right w:w="75" w:type="dxa"/>
            </w:tcMar>
            <w:vAlign w:val="center"/>
            <w:hideMark/>
          </w:tcPr>
          <w:p w14:paraId="4E55033E" w14:textId="77777777" w:rsidR="00AF6702" w:rsidRPr="00702882" w:rsidRDefault="00AF6702" w:rsidP="007803B6">
            <w:pPr>
              <w:spacing w:before="150" w:after="150"/>
              <w:contextualSpacing/>
              <w:rPr>
                <w:sz w:val="20"/>
                <w:szCs w:val="20"/>
              </w:rPr>
            </w:pPr>
            <w:r w:rsidRPr="00702882">
              <w:rPr>
                <w:sz w:val="20"/>
                <w:szCs w:val="20"/>
              </w:rPr>
              <w:t>1.40 (1.75)</w:t>
            </w:r>
          </w:p>
        </w:tc>
        <w:tc>
          <w:tcPr>
            <w:tcW w:w="0" w:type="auto"/>
            <w:tcMar>
              <w:top w:w="15" w:type="dxa"/>
              <w:left w:w="75" w:type="dxa"/>
              <w:bottom w:w="15" w:type="dxa"/>
              <w:right w:w="75" w:type="dxa"/>
            </w:tcMar>
            <w:vAlign w:val="center"/>
            <w:hideMark/>
          </w:tcPr>
          <w:p w14:paraId="2E6A2DCD" w14:textId="77777777" w:rsidR="00AF6702" w:rsidRPr="00702882" w:rsidRDefault="00AF6702" w:rsidP="007803B6">
            <w:pPr>
              <w:spacing w:before="150" w:after="150"/>
              <w:contextualSpacing/>
              <w:rPr>
                <w:sz w:val="20"/>
                <w:szCs w:val="20"/>
              </w:rPr>
            </w:pPr>
            <w:r w:rsidRPr="00702882">
              <w:rPr>
                <w:sz w:val="20"/>
                <w:szCs w:val="20"/>
              </w:rPr>
              <w:t>1.30 (1.73)</w:t>
            </w:r>
          </w:p>
        </w:tc>
        <w:tc>
          <w:tcPr>
            <w:tcW w:w="0" w:type="auto"/>
            <w:tcMar>
              <w:top w:w="15" w:type="dxa"/>
              <w:left w:w="75" w:type="dxa"/>
              <w:bottom w:w="15" w:type="dxa"/>
              <w:right w:w="75" w:type="dxa"/>
            </w:tcMar>
            <w:vAlign w:val="center"/>
            <w:hideMark/>
          </w:tcPr>
          <w:p w14:paraId="3A6BE7DE" w14:textId="77777777" w:rsidR="00AF6702" w:rsidRPr="00702882" w:rsidRDefault="00AF6702" w:rsidP="007803B6">
            <w:pPr>
              <w:spacing w:before="150" w:after="150"/>
              <w:contextualSpacing/>
              <w:rPr>
                <w:sz w:val="20"/>
                <w:szCs w:val="20"/>
              </w:rPr>
            </w:pPr>
            <w:r w:rsidRPr="00702882">
              <w:rPr>
                <w:sz w:val="20"/>
                <w:szCs w:val="20"/>
              </w:rPr>
              <w:t>1.32 (1.72)</w:t>
            </w:r>
          </w:p>
        </w:tc>
      </w:tr>
      <w:tr w:rsidR="00B86C9D" w:rsidRPr="00702882" w14:paraId="6D971894" w14:textId="77777777" w:rsidTr="00AE6820">
        <w:trPr>
          <w:jc w:val="center"/>
        </w:trPr>
        <w:tc>
          <w:tcPr>
            <w:tcW w:w="0" w:type="auto"/>
            <w:tcMar>
              <w:top w:w="15" w:type="dxa"/>
              <w:left w:w="75" w:type="dxa"/>
              <w:bottom w:w="15" w:type="dxa"/>
              <w:right w:w="75" w:type="dxa"/>
            </w:tcMar>
            <w:vAlign w:val="center"/>
            <w:hideMark/>
          </w:tcPr>
          <w:p w14:paraId="315357B8" w14:textId="77777777" w:rsidR="00AF6702" w:rsidRPr="00702882" w:rsidRDefault="00AF6702" w:rsidP="007803B6">
            <w:pPr>
              <w:spacing w:before="150" w:after="150"/>
              <w:contextualSpacing/>
              <w:rPr>
                <w:sz w:val="20"/>
                <w:szCs w:val="20"/>
              </w:rPr>
            </w:pPr>
            <w:r w:rsidRPr="00702882">
              <w:rPr>
                <w:sz w:val="20"/>
                <w:szCs w:val="20"/>
              </w:rPr>
              <w:t>factor(Year)2010</w:t>
            </w:r>
          </w:p>
        </w:tc>
        <w:tc>
          <w:tcPr>
            <w:tcW w:w="0" w:type="auto"/>
            <w:tcMar>
              <w:top w:w="15" w:type="dxa"/>
              <w:left w:w="75" w:type="dxa"/>
              <w:bottom w:w="15" w:type="dxa"/>
              <w:right w:w="75" w:type="dxa"/>
            </w:tcMar>
            <w:vAlign w:val="center"/>
            <w:hideMark/>
          </w:tcPr>
          <w:p w14:paraId="6558EAD5" w14:textId="77777777" w:rsidR="00AF6702" w:rsidRPr="00702882" w:rsidRDefault="00AF6702" w:rsidP="007803B6">
            <w:pPr>
              <w:spacing w:before="150" w:after="150"/>
              <w:contextualSpacing/>
              <w:rPr>
                <w:sz w:val="20"/>
                <w:szCs w:val="20"/>
              </w:rPr>
            </w:pPr>
            <w:r w:rsidRPr="00702882">
              <w:rPr>
                <w:sz w:val="20"/>
                <w:szCs w:val="20"/>
              </w:rPr>
              <w:t>-1.02 (2.02)</w:t>
            </w:r>
          </w:p>
        </w:tc>
        <w:tc>
          <w:tcPr>
            <w:tcW w:w="0" w:type="auto"/>
            <w:tcMar>
              <w:top w:w="15" w:type="dxa"/>
              <w:left w:w="75" w:type="dxa"/>
              <w:bottom w:w="15" w:type="dxa"/>
              <w:right w:w="75" w:type="dxa"/>
            </w:tcMar>
            <w:vAlign w:val="center"/>
            <w:hideMark/>
          </w:tcPr>
          <w:p w14:paraId="1F35E80A" w14:textId="77777777" w:rsidR="00AF6702" w:rsidRPr="00702882" w:rsidRDefault="00AF6702" w:rsidP="007803B6">
            <w:pPr>
              <w:spacing w:before="150" w:after="150"/>
              <w:contextualSpacing/>
              <w:rPr>
                <w:sz w:val="20"/>
                <w:szCs w:val="20"/>
              </w:rPr>
            </w:pPr>
            <w:r w:rsidRPr="00702882">
              <w:rPr>
                <w:sz w:val="20"/>
                <w:szCs w:val="20"/>
              </w:rPr>
              <w:t>-0.47 (1.95)</w:t>
            </w:r>
          </w:p>
        </w:tc>
        <w:tc>
          <w:tcPr>
            <w:tcW w:w="0" w:type="auto"/>
            <w:tcMar>
              <w:top w:w="15" w:type="dxa"/>
              <w:left w:w="75" w:type="dxa"/>
              <w:bottom w:w="15" w:type="dxa"/>
              <w:right w:w="75" w:type="dxa"/>
            </w:tcMar>
            <w:vAlign w:val="center"/>
            <w:hideMark/>
          </w:tcPr>
          <w:p w14:paraId="7213885E" w14:textId="77777777" w:rsidR="00AF6702" w:rsidRPr="00702882" w:rsidRDefault="00AF6702" w:rsidP="007803B6">
            <w:pPr>
              <w:spacing w:before="150" w:after="150"/>
              <w:contextualSpacing/>
              <w:rPr>
                <w:sz w:val="20"/>
                <w:szCs w:val="20"/>
              </w:rPr>
            </w:pPr>
            <w:r w:rsidRPr="00702882">
              <w:rPr>
                <w:sz w:val="20"/>
                <w:szCs w:val="20"/>
              </w:rPr>
              <w:t>-0.55 (1.94)</w:t>
            </w:r>
          </w:p>
        </w:tc>
        <w:tc>
          <w:tcPr>
            <w:tcW w:w="0" w:type="auto"/>
            <w:tcMar>
              <w:top w:w="15" w:type="dxa"/>
              <w:left w:w="75" w:type="dxa"/>
              <w:bottom w:w="15" w:type="dxa"/>
              <w:right w:w="75" w:type="dxa"/>
            </w:tcMar>
            <w:vAlign w:val="center"/>
            <w:hideMark/>
          </w:tcPr>
          <w:p w14:paraId="72637BF3" w14:textId="77777777" w:rsidR="00AF6702" w:rsidRPr="00702882" w:rsidRDefault="00AF6702" w:rsidP="007803B6">
            <w:pPr>
              <w:spacing w:before="150" w:after="150"/>
              <w:contextualSpacing/>
              <w:rPr>
                <w:sz w:val="20"/>
                <w:szCs w:val="20"/>
              </w:rPr>
            </w:pPr>
            <w:r w:rsidRPr="00702882">
              <w:rPr>
                <w:sz w:val="20"/>
                <w:szCs w:val="20"/>
              </w:rPr>
              <w:t>-0.53 (1.93)</w:t>
            </w:r>
          </w:p>
        </w:tc>
      </w:tr>
      <w:tr w:rsidR="00B86C9D" w:rsidRPr="00702882" w14:paraId="6F3D8DAD" w14:textId="77777777" w:rsidTr="00AE6820">
        <w:trPr>
          <w:jc w:val="center"/>
        </w:trPr>
        <w:tc>
          <w:tcPr>
            <w:tcW w:w="0" w:type="auto"/>
            <w:tcMar>
              <w:top w:w="15" w:type="dxa"/>
              <w:left w:w="75" w:type="dxa"/>
              <w:bottom w:w="15" w:type="dxa"/>
              <w:right w:w="75" w:type="dxa"/>
            </w:tcMar>
            <w:vAlign w:val="center"/>
            <w:hideMark/>
          </w:tcPr>
          <w:p w14:paraId="5896D6FB" w14:textId="77777777" w:rsidR="00AF6702" w:rsidRPr="00702882" w:rsidRDefault="00AF6702" w:rsidP="007803B6">
            <w:pPr>
              <w:spacing w:before="150" w:after="150"/>
              <w:contextualSpacing/>
              <w:rPr>
                <w:sz w:val="20"/>
                <w:szCs w:val="20"/>
              </w:rPr>
            </w:pPr>
            <w:r w:rsidRPr="00702882">
              <w:rPr>
                <w:sz w:val="20"/>
                <w:szCs w:val="20"/>
              </w:rPr>
              <w:t>factor(Year)2011</w:t>
            </w:r>
          </w:p>
        </w:tc>
        <w:tc>
          <w:tcPr>
            <w:tcW w:w="0" w:type="auto"/>
            <w:tcMar>
              <w:top w:w="15" w:type="dxa"/>
              <w:left w:w="75" w:type="dxa"/>
              <w:bottom w:w="15" w:type="dxa"/>
              <w:right w:w="75" w:type="dxa"/>
            </w:tcMar>
            <w:vAlign w:val="center"/>
            <w:hideMark/>
          </w:tcPr>
          <w:p w14:paraId="2DC246B5" w14:textId="77777777" w:rsidR="00AF6702" w:rsidRPr="00702882" w:rsidRDefault="00AF6702" w:rsidP="007803B6">
            <w:pPr>
              <w:spacing w:before="150" w:after="150"/>
              <w:contextualSpacing/>
              <w:rPr>
                <w:sz w:val="20"/>
                <w:szCs w:val="20"/>
              </w:rPr>
            </w:pPr>
            <w:r w:rsidRPr="00702882">
              <w:rPr>
                <w:sz w:val="20"/>
                <w:szCs w:val="20"/>
              </w:rPr>
              <w:t>2.99 (2.13)</w:t>
            </w:r>
          </w:p>
        </w:tc>
        <w:tc>
          <w:tcPr>
            <w:tcW w:w="0" w:type="auto"/>
            <w:tcMar>
              <w:top w:w="15" w:type="dxa"/>
              <w:left w:w="75" w:type="dxa"/>
              <w:bottom w:w="15" w:type="dxa"/>
              <w:right w:w="75" w:type="dxa"/>
            </w:tcMar>
            <w:vAlign w:val="center"/>
            <w:hideMark/>
          </w:tcPr>
          <w:p w14:paraId="111F5A55" w14:textId="77777777" w:rsidR="00AF6702" w:rsidRPr="00702882" w:rsidRDefault="00AF6702" w:rsidP="007803B6">
            <w:pPr>
              <w:spacing w:before="150" w:after="150"/>
              <w:contextualSpacing/>
              <w:rPr>
                <w:sz w:val="20"/>
                <w:szCs w:val="20"/>
              </w:rPr>
            </w:pPr>
            <w:r w:rsidRPr="00702882">
              <w:rPr>
                <w:sz w:val="20"/>
                <w:szCs w:val="20"/>
              </w:rPr>
              <w:t>3.48 (2.04)</w:t>
            </w:r>
            <w:r w:rsidRPr="00702882">
              <w:rPr>
                <w:sz w:val="20"/>
                <w:szCs w:val="20"/>
                <w:vertAlign w:val="superscript"/>
              </w:rPr>
              <w:t>*</w:t>
            </w:r>
          </w:p>
        </w:tc>
        <w:tc>
          <w:tcPr>
            <w:tcW w:w="0" w:type="auto"/>
            <w:tcMar>
              <w:top w:w="15" w:type="dxa"/>
              <w:left w:w="75" w:type="dxa"/>
              <w:bottom w:w="15" w:type="dxa"/>
              <w:right w:w="75" w:type="dxa"/>
            </w:tcMar>
            <w:vAlign w:val="center"/>
            <w:hideMark/>
          </w:tcPr>
          <w:p w14:paraId="7AD93AC7" w14:textId="77777777" w:rsidR="00AF6702" w:rsidRPr="00702882" w:rsidRDefault="00AF6702" w:rsidP="007803B6">
            <w:pPr>
              <w:spacing w:before="150" w:after="150"/>
              <w:contextualSpacing/>
              <w:rPr>
                <w:sz w:val="20"/>
                <w:szCs w:val="20"/>
              </w:rPr>
            </w:pPr>
            <w:r w:rsidRPr="00702882">
              <w:rPr>
                <w:sz w:val="20"/>
                <w:szCs w:val="20"/>
              </w:rPr>
              <w:t>3.35 (2.05)</w:t>
            </w:r>
          </w:p>
        </w:tc>
        <w:tc>
          <w:tcPr>
            <w:tcW w:w="0" w:type="auto"/>
            <w:tcMar>
              <w:top w:w="15" w:type="dxa"/>
              <w:left w:w="75" w:type="dxa"/>
              <w:bottom w:w="15" w:type="dxa"/>
              <w:right w:w="75" w:type="dxa"/>
            </w:tcMar>
            <w:vAlign w:val="center"/>
            <w:hideMark/>
          </w:tcPr>
          <w:p w14:paraId="7AB0E491" w14:textId="77777777" w:rsidR="00AF6702" w:rsidRPr="00702882" w:rsidRDefault="00AF6702" w:rsidP="007803B6">
            <w:pPr>
              <w:spacing w:before="150" w:after="150"/>
              <w:contextualSpacing/>
              <w:rPr>
                <w:sz w:val="20"/>
                <w:szCs w:val="20"/>
              </w:rPr>
            </w:pPr>
            <w:r w:rsidRPr="00702882">
              <w:rPr>
                <w:sz w:val="20"/>
                <w:szCs w:val="20"/>
              </w:rPr>
              <w:t>3.42 (2.04)</w:t>
            </w:r>
            <w:r w:rsidRPr="00702882">
              <w:rPr>
                <w:sz w:val="20"/>
                <w:szCs w:val="20"/>
                <w:vertAlign w:val="superscript"/>
              </w:rPr>
              <w:t>*</w:t>
            </w:r>
          </w:p>
        </w:tc>
      </w:tr>
      <w:tr w:rsidR="00B86C9D" w:rsidRPr="00702882" w14:paraId="318CE406" w14:textId="77777777" w:rsidTr="00AE6820">
        <w:trPr>
          <w:jc w:val="center"/>
        </w:trPr>
        <w:tc>
          <w:tcPr>
            <w:tcW w:w="0" w:type="auto"/>
            <w:tcMar>
              <w:top w:w="15" w:type="dxa"/>
              <w:left w:w="75" w:type="dxa"/>
              <w:bottom w:w="15" w:type="dxa"/>
              <w:right w:w="75" w:type="dxa"/>
            </w:tcMar>
            <w:vAlign w:val="center"/>
            <w:hideMark/>
          </w:tcPr>
          <w:p w14:paraId="2771218E" w14:textId="77777777" w:rsidR="00AF6702" w:rsidRPr="00702882" w:rsidRDefault="00AF6702" w:rsidP="007803B6">
            <w:pPr>
              <w:spacing w:before="150" w:after="150"/>
              <w:contextualSpacing/>
              <w:rPr>
                <w:sz w:val="20"/>
                <w:szCs w:val="20"/>
              </w:rPr>
            </w:pPr>
            <w:r w:rsidRPr="00702882">
              <w:rPr>
                <w:sz w:val="20"/>
                <w:szCs w:val="20"/>
              </w:rPr>
              <w:t>factor(Year)2012</w:t>
            </w:r>
          </w:p>
        </w:tc>
        <w:tc>
          <w:tcPr>
            <w:tcW w:w="0" w:type="auto"/>
            <w:tcMar>
              <w:top w:w="15" w:type="dxa"/>
              <w:left w:w="75" w:type="dxa"/>
              <w:bottom w:w="15" w:type="dxa"/>
              <w:right w:w="75" w:type="dxa"/>
            </w:tcMar>
            <w:vAlign w:val="center"/>
            <w:hideMark/>
          </w:tcPr>
          <w:p w14:paraId="3A211A3B" w14:textId="77777777" w:rsidR="00AF6702" w:rsidRPr="00702882" w:rsidRDefault="00AF6702" w:rsidP="007803B6">
            <w:pPr>
              <w:spacing w:before="150" w:after="150"/>
              <w:contextualSpacing/>
              <w:rPr>
                <w:sz w:val="20"/>
                <w:szCs w:val="20"/>
              </w:rPr>
            </w:pPr>
            <w:r w:rsidRPr="00702882">
              <w:rPr>
                <w:sz w:val="20"/>
                <w:szCs w:val="20"/>
              </w:rPr>
              <w:t>2.69 (1.81)</w:t>
            </w:r>
          </w:p>
        </w:tc>
        <w:tc>
          <w:tcPr>
            <w:tcW w:w="0" w:type="auto"/>
            <w:tcMar>
              <w:top w:w="15" w:type="dxa"/>
              <w:left w:w="75" w:type="dxa"/>
              <w:bottom w:w="15" w:type="dxa"/>
              <w:right w:w="75" w:type="dxa"/>
            </w:tcMar>
            <w:vAlign w:val="center"/>
            <w:hideMark/>
          </w:tcPr>
          <w:p w14:paraId="22F81484" w14:textId="77777777" w:rsidR="00AF6702" w:rsidRPr="00702882" w:rsidRDefault="00AF6702" w:rsidP="007803B6">
            <w:pPr>
              <w:spacing w:before="150" w:after="150"/>
              <w:contextualSpacing/>
              <w:rPr>
                <w:sz w:val="20"/>
                <w:szCs w:val="20"/>
              </w:rPr>
            </w:pPr>
            <w:r w:rsidRPr="00702882">
              <w:rPr>
                <w:sz w:val="20"/>
                <w:szCs w:val="20"/>
              </w:rPr>
              <w:t>3.18 (1.73)</w:t>
            </w:r>
            <w:r w:rsidRPr="00702882">
              <w:rPr>
                <w:sz w:val="20"/>
                <w:szCs w:val="20"/>
                <w:vertAlign w:val="superscript"/>
              </w:rPr>
              <w:t>*</w:t>
            </w:r>
          </w:p>
        </w:tc>
        <w:tc>
          <w:tcPr>
            <w:tcW w:w="0" w:type="auto"/>
            <w:tcMar>
              <w:top w:w="15" w:type="dxa"/>
              <w:left w:w="75" w:type="dxa"/>
              <w:bottom w:w="15" w:type="dxa"/>
              <w:right w:w="75" w:type="dxa"/>
            </w:tcMar>
            <w:vAlign w:val="center"/>
            <w:hideMark/>
          </w:tcPr>
          <w:p w14:paraId="2237BF95" w14:textId="77777777" w:rsidR="00AF6702" w:rsidRPr="00702882" w:rsidRDefault="00AF6702" w:rsidP="007803B6">
            <w:pPr>
              <w:spacing w:before="150" w:after="150"/>
              <w:contextualSpacing/>
              <w:rPr>
                <w:sz w:val="20"/>
                <w:szCs w:val="20"/>
              </w:rPr>
            </w:pPr>
            <w:r w:rsidRPr="00702882">
              <w:rPr>
                <w:sz w:val="20"/>
                <w:szCs w:val="20"/>
              </w:rPr>
              <w:t>3.09 (1.74)</w:t>
            </w:r>
            <w:r w:rsidRPr="00702882">
              <w:rPr>
                <w:sz w:val="20"/>
                <w:szCs w:val="20"/>
                <w:vertAlign w:val="superscript"/>
              </w:rPr>
              <w:t>*</w:t>
            </w:r>
          </w:p>
        </w:tc>
        <w:tc>
          <w:tcPr>
            <w:tcW w:w="0" w:type="auto"/>
            <w:tcMar>
              <w:top w:w="15" w:type="dxa"/>
              <w:left w:w="75" w:type="dxa"/>
              <w:bottom w:w="15" w:type="dxa"/>
              <w:right w:w="75" w:type="dxa"/>
            </w:tcMar>
            <w:vAlign w:val="center"/>
            <w:hideMark/>
          </w:tcPr>
          <w:p w14:paraId="4FBD7060" w14:textId="77777777" w:rsidR="00AF6702" w:rsidRPr="00702882" w:rsidRDefault="00AF6702" w:rsidP="007803B6">
            <w:pPr>
              <w:spacing w:before="150" w:after="150"/>
              <w:contextualSpacing/>
              <w:rPr>
                <w:sz w:val="20"/>
                <w:szCs w:val="20"/>
              </w:rPr>
            </w:pPr>
            <w:r w:rsidRPr="00702882">
              <w:rPr>
                <w:sz w:val="20"/>
                <w:szCs w:val="20"/>
              </w:rPr>
              <w:t>3.12 (1.72)</w:t>
            </w:r>
            <w:r w:rsidRPr="00702882">
              <w:rPr>
                <w:sz w:val="20"/>
                <w:szCs w:val="20"/>
                <w:vertAlign w:val="superscript"/>
              </w:rPr>
              <w:t>*</w:t>
            </w:r>
          </w:p>
        </w:tc>
      </w:tr>
      <w:tr w:rsidR="00B86C9D" w:rsidRPr="00702882" w14:paraId="0C96C434" w14:textId="77777777" w:rsidTr="00AE6820">
        <w:trPr>
          <w:jc w:val="center"/>
        </w:trPr>
        <w:tc>
          <w:tcPr>
            <w:tcW w:w="0" w:type="auto"/>
            <w:tcMar>
              <w:top w:w="15" w:type="dxa"/>
              <w:left w:w="75" w:type="dxa"/>
              <w:bottom w:w="15" w:type="dxa"/>
              <w:right w:w="75" w:type="dxa"/>
            </w:tcMar>
            <w:vAlign w:val="center"/>
            <w:hideMark/>
          </w:tcPr>
          <w:p w14:paraId="05148928" w14:textId="77777777" w:rsidR="00AF6702" w:rsidRPr="00702882" w:rsidRDefault="00AF6702" w:rsidP="007803B6">
            <w:pPr>
              <w:spacing w:before="150" w:after="150"/>
              <w:contextualSpacing/>
              <w:rPr>
                <w:sz w:val="20"/>
                <w:szCs w:val="20"/>
              </w:rPr>
            </w:pPr>
            <w:r w:rsidRPr="00702882">
              <w:rPr>
                <w:sz w:val="20"/>
                <w:szCs w:val="20"/>
              </w:rPr>
              <w:t>factor(Year)2013</w:t>
            </w:r>
          </w:p>
        </w:tc>
        <w:tc>
          <w:tcPr>
            <w:tcW w:w="0" w:type="auto"/>
            <w:tcMar>
              <w:top w:w="15" w:type="dxa"/>
              <w:left w:w="75" w:type="dxa"/>
              <w:bottom w:w="15" w:type="dxa"/>
              <w:right w:w="75" w:type="dxa"/>
            </w:tcMar>
            <w:vAlign w:val="center"/>
            <w:hideMark/>
          </w:tcPr>
          <w:p w14:paraId="7FDE883D" w14:textId="77777777" w:rsidR="00AF6702" w:rsidRPr="00702882" w:rsidRDefault="00AF6702" w:rsidP="007803B6">
            <w:pPr>
              <w:spacing w:before="150" w:after="150"/>
              <w:contextualSpacing/>
              <w:rPr>
                <w:sz w:val="20"/>
                <w:szCs w:val="20"/>
              </w:rPr>
            </w:pPr>
            <w:r w:rsidRPr="00702882">
              <w:rPr>
                <w:sz w:val="20"/>
                <w:szCs w:val="20"/>
              </w:rPr>
              <w:t>4.49 (1.72)</w:t>
            </w:r>
            <w:r w:rsidRPr="00702882">
              <w:rPr>
                <w:sz w:val="20"/>
                <w:szCs w:val="20"/>
                <w:vertAlign w:val="superscript"/>
              </w:rPr>
              <w:t>***</w:t>
            </w:r>
          </w:p>
        </w:tc>
        <w:tc>
          <w:tcPr>
            <w:tcW w:w="0" w:type="auto"/>
            <w:tcMar>
              <w:top w:w="15" w:type="dxa"/>
              <w:left w:w="75" w:type="dxa"/>
              <w:bottom w:w="15" w:type="dxa"/>
              <w:right w:w="75" w:type="dxa"/>
            </w:tcMar>
            <w:vAlign w:val="center"/>
            <w:hideMark/>
          </w:tcPr>
          <w:p w14:paraId="171D7BA8" w14:textId="77777777" w:rsidR="00AF6702" w:rsidRPr="00702882" w:rsidRDefault="00AF6702" w:rsidP="007803B6">
            <w:pPr>
              <w:spacing w:before="150" w:after="150"/>
              <w:contextualSpacing/>
              <w:rPr>
                <w:sz w:val="20"/>
                <w:szCs w:val="20"/>
              </w:rPr>
            </w:pPr>
            <w:r w:rsidRPr="00702882">
              <w:rPr>
                <w:sz w:val="20"/>
                <w:szCs w:val="20"/>
              </w:rPr>
              <w:t>4.96 (1.66)</w:t>
            </w:r>
            <w:r w:rsidRPr="00702882">
              <w:rPr>
                <w:sz w:val="20"/>
                <w:szCs w:val="20"/>
                <w:vertAlign w:val="superscript"/>
              </w:rPr>
              <w:t>***</w:t>
            </w:r>
          </w:p>
        </w:tc>
        <w:tc>
          <w:tcPr>
            <w:tcW w:w="0" w:type="auto"/>
            <w:tcMar>
              <w:top w:w="15" w:type="dxa"/>
              <w:left w:w="75" w:type="dxa"/>
              <w:bottom w:w="15" w:type="dxa"/>
              <w:right w:w="75" w:type="dxa"/>
            </w:tcMar>
            <w:vAlign w:val="center"/>
            <w:hideMark/>
          </w:tcPr>
          <w:p w14:paraId="611D9A4C" w14:textId="77777777" w:rsidR="00AF6702" w:rsidRPr="00702882" w:rsidRDefault="00AF6702" w:rsidP="007803B6">
            <w:pPr>
              <w:spacing w:before="150" w:after="150"/>
              <w:contextualSpacing/>
              <w:rPr>
                <w:sz w:val="20"/>
                <w:szCs w:val="20"/>
              </w:rPr>
            </w:pPr>
            <w:r w:rsidRPr="00702882">
              <w:rPr>
                <w:sz w:val="20"/>
                <w:szCs w:val="20"/>
              </w:rPr>
              <w:t>4.88 (1.67)</w:t>
            </w:r>
            <w:r w:rsidRPr="00702882">
              <w:rPr>
                <w:sz w:val="20"/>
                <w:szCs w:val="20"/>
                <w:vertAlign w:val="superscript"/>
              </w:rPr>
              <w:t>***</w:t>
            </w:r>
          </w:p>
        </w:tc>
        <w:tc>
          <w:tcPr>
            <w:tcW w:w="0" w:type="auto"/>
            <w:tcMar>
              <w:top w:w="15" w:type="dxa"/>
              <w:left w:w="75" w:type="dxa"/>
              <w:bottom w:w="15" w:type="dxa"/>
              <w:right w:w="75" w:type="dxa"/>
            </w:tcMar>
            <w:vAlign w:val="center"/>
            <w:hideMark/>
          </w:tcPr>
          <w:p w14:paraId="47B52D46" w14:textId="77777777" w:rsidR="00AF6702" w:rsidRPr="00702882" w:rsidRDefault="00AF6702" w:rsidP="007803B6">
            <w:pPr>
              <w:spacing w:before="150" w:after="150"/>
              <w:contextualSpacing/>
              <w:rPr>
                <w:sz w:val="20"/>
                <w:szCs w:val="20"/>
              </w:rPr>
            </w:pPr>
            <w:r w:rsidRPr="00702882">
              <w:rPr>
                <w:sz w:val="20"/>
                <w:szCs w:val="20"/>
              </w:rPr>
              <w:t>4.90 (1.66)</w:t>
            </w:r>
            <w:r w:rsidRPr="00702882">
              <w:rPr>
                <w:sz w:val="20"/>
                <w:szCs w:val="20"/>
                <w:vertAlign w:val="superscript"/>
              </w:rPr>
              <w:t>***</w:t>
            </w:r>
          </w:p>
        </w:tc>
      </w:tr>
      <w:tr w:rsidR="00B86C9D" w:rsidRPr="00702882" w14:paraId="492AF812" w14:textId="77777777" w:rsidTr="00AE6820">
        <w:trPr>
          <w:jc w:val="center"/>
        </w:trPr>
        <w:tc>
          <w:tcPr>
            <w:tcW w:w="0" w:type="auto"/>
            <w:tcMar>
              <w:top w:w="15" w:type="dxa"/>
              <w:left w:w="75" w:type="dxa"/>
              <w:bottom w:w="15" w:type="dxa"/>
              <w:right w:w="75" w:type="dxa"/>
            </w:tcMar>
            <w:vAlign w:val="center"/>
            <w:hideMark/>
          </w:tcPr>
          <w:p w14:paraId="0EF1B657" w14:textId="77777777" w:rsidR="00AF6702" w:rsidRPr="00702882" w:rsidRDefault="00AF6702" w:rsidP="007803B6">
            <w:pPr>
              <w:spacing w:before="150" w:after="150"/>
              <w:contextualSpacing/>
              <w:rPr>
                <w:sz w:val="20"/>
                <w:szCs w:val="20"/>
              </w:rPr>
            </w:pPr>
            <w:r w:rsidRPr="00702882">
              <w:rPr>
                <w:sz w:val="20"/>
                <w:szCs w:val="20"/>
              </w:rPr>
              <w:t>factor(Year)2014</w:t>
            </w:r>
          </w:p>
        </w:tc>
        <w:tc>
          <w:tcPr>
            <w:tcW w:w="0" w:type="auto"/>
            <w:tcMar>
              <w:top w:w="15" w:type="dxa"/>
              <w:left w:w="75" w:type="dxa"/>
              <w:bottom w:w="15" w:type="dxa"/>
              <w:right w:w="75" w:type="dxa"/>
            </w:tcMar>
            <w:vAlign w:val="center"/>
            <w:hideMark/>
          </w:tcPr>
          <w:p w14:paraId="69ECEAF7" w14:textId="77777777" w:rsidR="00AF6702" w:rsidRPr="00702882" w:rsidRDefault="00AF6702" w:rsidP="007803B6">
            <w:pPr>
              <w:spacing w:before="150" w:after="150"/>
              <w:contextualSpacing/>
              <w:rPr>
                <w:sz w:val="20"/>
                <w:szCs w:val="20"/>
              </w:rPr>
            </w:pPr>
            <w:r w:rsidRPr="00702882">
              <w:rPr>
                <w:sz w:val="20"/>
                <w:szCs w:val="20"/>
              </w:rPr>
              <w:t>1.17 (2.05)</w:t>
            </w:r>
          </w:p>
        </w:tc>
        <w:tc>
          <w:tcPr>
            <w:tcW w:w="0" w:type="auto"/>
            <w:tcMar>
              <w:top w:w="15" w:type="dxa"/>
              <w:left w:w="75" w:type="dxa"/>
              <w:bottom w:w="15" w:type="dxa"/>
              <w:right w:w="75" w:type="dxa"/>
            </w:tcMar>
            <w:vAlign w:val="center"/>
            <w:hideMark/>
          </w:tcPr>
          <w:p w14:paraId="40FEEAE2" w14:textId="77777777" w:rsidR="00AF6702" w:rsidRPr="00702882" w:rsidRDefault="00AF6702" w:rsidP="007803B6">
            <w:pPr>
              <w:spacing w:before="150" w:after="150"/>
              <w:contextualSpacing/>
              <w:rPr>
                <w:sz w:val="20"/>
                <w:szCs w:val="20"/>
              </w:rPr>
            </w:pPr>
            <w:r w:rsidRPr="00702882">
              <w:rPr>
                <w:sz w:val="20"/>
                <w:szCs w:val="20"/>
              </w:rPr>
              <w:t>1.17 (1.98)</w:t>
            </w:r>
          </w:p>
        </w:tc>
        <w:tc>
          <w:tcPr>
            <w:tcW w:w="0" w:type="auto"/>
            <w:tcMar>
              <w:top w:w="15" w:type="dxa"/>
              <w:left w:w="75" w:type="dxa"/>
              <w:bottom w:w="15" w:type="dxa"/>
              <w:right w:w="75" w:type="dxa"/>
            </w:tcMar>
            <w:vAlign w:val="center"/>
            <w:hideMark/>
          </w:tcPr>
          <w:p w14:paraId="0E85C230" w14:textId="77777777" w:rsidR="00AF6702" w:rsidRPr="00702882" w:rsidRDefault="00AF6702" w:rsidP="007803B6">
            <w:pPr>
              <w:spacing w:before="150" w:after="150"/>
              <w:contextualSpacing/>
              <w:rPr>
                <w:sz w:val="20"/>
                <w:szCs w:val="20"/>
              </w:rPr>
            </w:pPr>
            <w:r w:rsidRPr="00702882">
              <w:rPr>
                <w:sz w:val="20"/>
                <w:szCs w:val="20"/>
              </w:rPr>
              <w:t>1.07 (2.00)</w:t>
            </w:r>
          </w:p>
        </w:tc>
        <w:tc>
          <w:tcPr>
            <w:tcW w:w="0" w:type="auto"/>
            <w:tcMar>
              <w:top w:w="15" w:type="dxa"/>
              <w:left w:w="75" w:type="dxa"/>
              <w:bottom w:w="15" w:type="dxa"/>
              <w:right w:w="75" w:type="dxa"/>
            </w:tcMar>
            <w:vAlign w:val="center"/>
            <w:hideMark/>
          </w:tcPr>
          <w:p w14:paraId="3C7755FF" w14:textId="77777777" w:rsidR="00AF6702" w:rsidRPr="00702882" w:rsidRDefault="00AF6702" w:rsidP="007803B6">
            <w:pPr>
              <w:spacing w:before="150" w:after="150"/>
              <w:contextualSpacing/>
              <w:rPr>
                <w:sz w:val="20"/>
                <w:szCs w:val="20"/>
              </w:rPr>
            </w:pPr>
            <w:r w:rsidRPr="00702882">
              <w:rPr>
                <w:sz w:val="20"/>
                <w:szCs w:val="20"/>
              </w:rPr>
              <w:t>1.14 (1.99)</w:t>
            </w:r>
          </w:p>
        </w:tc>
      </w:tr>
      <w:tr w:rsidR="00B86C9D" w:rsidRPr="00702882" w14:paraId="30BBCAC1" w14:textId="77777777" w:rsidTr="00AE6820">
        <w:trPr>
          <w:jc w:val="center"/>
        </w:trPr>
        <w:tc>
          <w:tcPr>
            <w:tcW w:w="0" w:type="auto"/>
            <w:tcMar>
              <w:top w:w="15" w:type="dxa"/>
              <w:left w:w="75" w:type="dxa"/>
              <w:bottom w:w="15" w:type="dxa"/>
              <w:right w:w="75" w:type="dxa"/>
            </w:tcMar>
            <w:vAlign w:val="center"/>
            <w:hideMark/>
          </w:tcPr>
          <w:p w14:paraId="107B9B9D" w14:textId="77777777" w:rsidR="00AF6702" w:rsidRPr="00702882" w:rsidRDefault="00AF6702" w:rsidP="007803B6">
            <w:pPr>
              <w:spacing w:before="150" w:after="150"/>
              <w:contextualSpacing/>
              <w:rPr>
                <w:sz w:val="20"/>
                <w:szCs w:val="20"/>
              </w:rPr>
            </w:pPr>
            <w:r w:rsidRPr="00702882">
              <w:rPr>
                <w:sz w:val="20"/>
                <w:szCs w:val="20"/>
              </w:rPr>
              <w:t>factor(Year)2015</w:t>
            </w:r>
          </w:p>
        </w:tc>
        <w:tc>
          <w:tcPr>
            <w:tcW w:w="0" w:type="auto"/>
            <w:tcMar>
              <w:top w:w="15" w:type="dxa"/>
              <w:left w:w="75" w:type="dxa"/>
              <w:bottom w:w="15" w:type="dxa"/>
              <w:right w:w="75" w:type="dxa"/>
            </w:tcMar>
            <w:vAlign w:val="center"/>
            <w:hideMark/>
          </w:tcPr>
          <w:p w14:paraId="710D9E0A" w14:textId="77777777" w:rsidR="00AF6702" w:rsidRPr="00702882" w:rsidRDefault="00AF6702" w:rsidP="007803B6">
            <w:pPr>
              <w:spacing w:before="150" w:after="150"/>
              <w:contextualSpacing/>
              <w:rPr>
                <w:sz w:val="20"/>
                <w:szCs w:val="20"/>
              </w:rPr>
            </w:pPr>
            <w:r w:rsidRPr="00702882">
              <w:rPr>
                <w:sz w:val="20"/>
                <w:szCs w:val="20"/>
              </w:rPr>
              <w:t>2.23 (2.21)</w:t>
            </w:r>
          </w:p>
        </w:tc>
        <w:tc>
          <w:tcPr>
            <w:tcW w:w="0" w:type="auto"/>
            <w:tcMar>
              <w:top w:w="15" w:type="dxa"/>
              <w:left w:w="75" w:type="dxa"/>
              <w:bottom w:w="15" w:type="dxa"/>
              <w:right w:w="75" w:type="dxa"/>
            </w:tcMar>
            <w:vAlign w:val="center"/>
            <w:hideMark/>
          </w:tcPr>
          <w:p w14:paraId="3274D4D4" w14:textId="77777777" w:rsidR="00AF6702" w:rsidRPr="00702882" w:rsidRDefault="00AF6702" w:rsidP="007803B6">
            <w:pPr>
              <w:spacing w:before="150" w:after="150"/>
              <w:contextualSpacing/>
              <w:rPr>
                <w:sz w:val="20"/>
                <w:szCs w:val="20"/>
              </w:rPr>
            </w:pPr>
            <w:r w:rsidRPr="00702882">
              <w:rPr>
                <w:sz w:val="20"/>
                <w:szCs w:val="20"/>
              </w:rPr>
              <w:t>2.23 (2.15)</w:t>
            </w:r>
          </w:p>
        </w:tc>
        <w:tc>
          <w:tcPr>
            <w:tcW w:w="0" w:type="auto"/>
            <w:tcMar>
              <w:top w:w="15" w:type="dxa"/>
              <w:left w:w="75" w:type="dxa"/>
              <w:bottom w:w="15" w:type="dxa"/>
              <w:right w:w="75" w:type="dxa"/>
            </w:tcMar>
            <w:vAlign w:val="center"/>
            <w:hideMark/>
          </w:tcPr>
          <w:p w14:paraId="471591C5" w14:textId="77777777" w:rsidR="00AF6702" w:rsidRPr="00702882" w:rsidRDefault="00AF6702" w:rsidP="007803B6">
            <w:pPr>
              <w:spacing w:before="150" w:after="150"/>
              <w:contextualSpacing/>
              <w:rPr>
                <w:sz w:val="20"/>
                <w:szCs w:val="20"/>
              </w:rPr>
            </w:pPr>
            <w:r w:rsidRPr="00702882">
              <w:rPr>
                <w:sz w:val="20"/>
                <w:szCs w:val="20"/>
              </w:rPr>
              <w:t>2.09 (2.17)</w:t>
            </w:r>
          </w:p>
        </w:tc>
        <w:tc>
          <w:tcPr>
            <w:tcW w:w="0" w:type="auto"/>
            <w:tcMar>
              <w:top w:w="15" w:type="dxa"/>
              <w:left w:w="75" w:type="dxa"/>
              <w:bottom w:w="15" w:type="dxa"/>
              <w:right w:w="75" w:type="dxa"/>
            </w:tcMar>
            <w:vAlign w:val="center"/>
            <w:hideMark/>
          </w:tcPr>
          <w:p w14:paraId="21861AB8" w14:textId="77777777" w:rsidR="00AF6702" w:rsidRPr="00702882" w:rsidRDefault="00AF6702" w:rsidP="007803B6">
            <w:pPr>
              <w:spacing w:before="150" w:after="150"/>
              <w:contextualSpacing/>
              <w:rPr>
                <w:sz w:val="20"/>
                <w:szCs w:val="20"/>
              </w:rPr>
            </w:pPr>
            <w:r w:rsidRPr="00702882">
              <w:rPr>
                <w:sz w:val="20"/>
                <w:szCs w:val="20"/>
              </w:rPr>
              <w:t>2.19 (2.15)</w:t>
            </w:r>
          </w:p>
        </w:tc>
      </w:tr>
      <w:tr w:rsidR="00B86C9D" w:rsidRPr="00702882" w14:paraId="54754E40" w14:textId="77777777" w:rsidTr="00AE6820">
        <w:trPr>
          <w:jc w:val="center"/>
        </w:trPr>
        <w:tc>
          <w:tcPr>
            <w:tcW w:w="0" w:type="auto"/>
            <w:tcMar>
              <w:top w:w="15" w:type="dxa"/>
              <w:left w:w="75" w:type="dxa"/>
              <w:bottom w:w="15" w:type="dxa"/>
              <w:right w:w="75" w:type="dxa"/>
            </w:tcMar>
            <w:vAlign w:val="center"/>
            <w:hideMark/>
          </w:tcPr>
          <w:p w14:paraId="2F5E13A6" w14:textId="77777777" w:rsidR="00AF6702" w:rsidRPr="00702882" w:rsidRDefault="00AF6702" w:rsidP="007803B6">
            <w:pPr>
              <w:spacing w:before="150" w:after="150"/>
              <w:contextualSpacing/>
              <w:rPr>
                <w:sz w:val="20"/>
                <w:szCs w:val="20"/>
              </w:rPr>
            </w:pPr>
            <w:r w:rsidRPr="00702882">
              <w:rPr>
                <w:sz w:val="20"/>
                <w:szCs w:val="20"/>
              </w:rPr>
              <w:t>factor(Year)2016</w:t>
            </w:r>
          </w:p>
        </w:tc>
        <w:tc>
          <w:tcPr>
            <w:tcW w:w="0" w:type="auto"/>
            <w:tcMar>
              <w:top w:w="15" w:type="dxa"/>
              <w:left w:w="75" w:type="dxa"/>
              <w:bottom w:w="15" w:type="dxa"/>
              <w:right w:w="75" w:type="dxa"/>
            </w:tcMar>
            <w:vAlign w:val="center"/>
            <w:hideMark/>
          </w:tcPr>
          <w:p w14:paraId="4724905C" w14:textId="77777777" w:rsidR="00AF6702" w:rsidRPr="00702882" w:rsidRDefault="00AF6702" w:rsidP="007803B6">
            <w:pPr>
              <w:spacing w:before="150" w:after="150"/>
              <w:contextualSpacing/>
              <w:rPr>
                <w:sz w:val="20"/>
                <w:szCs w:val="20"/>
              </w:rPr>
            </w:pPr>
            <w:r w:rsidRPr="00702882">
              <w:rPr>
                <w:sz w:val="20"/>
                <w:szCs w:val="20"/>
              </w:rPr>
              <w:t>2.09 (2.29)</w:t>
            </w:r>
          </w:p>
        </w:tc>
        <w:tc>
          <w:tcPr>
            <w:tcW w:w="0" w:type="auto"/>
            <w:tcMar>
              <w:top w:w="15" w:type="dxa"/>
              <w:left w:w="75" w:type="dxa"/>
              <w:bottom w:w="15" w:type="dxa"/>
              <w:right w:w="75" w:type="dxa"/>
            </w:tcMar>
            <w:vAlign w:val="center"/>
            <w:hideMark/>
          </w:tcPr>
          <w:p w14:paraId="60C2F715" w14:textId="77777777" w:rsidR="00AF6702" w:rsidRPr="00702882" w:rsidRDefault="00AF6702" w:rsidP="007803B6">
            <w:pPr>
              <w:spacing w:before="150" w:after="150"/>
              <w:contextualSpacing/>
              <w:rPr>
                <w:sz w:val="20"/>
                <w:szCs w:val="20"/>
              </w:rPr>
            </w:pPr>
            <w:r w:rsidRPr="00702882">
              <w:rPr>
                <w:sz w:val="20"/>
                <w:szCs w:val="20"/>
              </w:rPr>
              <w:t>2.12 (2.24)</w:t>
            </w:r>
          </w:p>
        </w:tc>
        <w:tc>
          <w:tcPr>
            <w:tcW w:w="0" w:type="auto"/>
            <w:tcMar>
              <w:top w:w="15" w:type="dxa"/>
              <w:left w:w="75" w:type="dxa"/>
              <w:bottom w:w="15" w:type="dxa"/>
              <w:right w:w="75" w:type="dxa"/>
            </w:tcMar>
            <w:vAlign w:val="center"/>
            <w:hideMark/>
          </w:tcPr>
          <w:p w14:paraId="328DBC6B" w14:textId="77777777" w:rsidR="00AF6702" w:rsidRPr="00702882" w:rsidRDefault="00AF6702" w:rsidP="007803B6">
            <w:pPr>
              <w:spacing w:before="150" w:after="150"/>
              <w:contextualSpacing/>
              <w:rPr>
                <w:sz w:val="20"/>
                <w:szCs w:val="20"/>
              </w:rPr>
            </w:pPr>
            <w:r w:rsidRPr="00702882">
              <w:rPr>
                <w:sz w:val="20"/>
                <w:szCs w:val="20"/>
              </w:rPr>
              <w:t>1.96 (2.26)</w:t>
            </w:r>
          </w:p>
        </w:tc>
        <w:tc>
          <w:tcPr>
            <w:tcW w:w="0" w:type="auto"/>
            <w:tcMar>
              <w:top w:w="15" w:type="dxa"/>
              <w:left w:w="75" w:type="dxa"/>
              <w:bottom w:w="15" w:type="dxa"/>
              <w:right w:w="75" w:type="dxa"/>
            </w:tcMar>
            <w:vAlign w:val="center"/>
            <w:hideMark/>
          </w:tcPr>
          <w:p w14:paraId="02821BE8" w14:textId="77777777" w:rsidR="00AF6702" w:rsidRPr="00702882" w:rsidRDefault="00AF6702" w:rsidP="007803B6">
            <w:pPr>
              <w:spacing w:before="150" w:after="150"/>
              <w:contextualSpacing/>
              <w:rPr>
                <w:sz w:val="20"/>
                <w:szCs w:val="20"/>
              </w:rPr>
            </w:pPr>
            <w:r w:rsidRPr="00702882">
              <w:rPr>
                <w:sz w:val="20"/>
                <w:szCs w:val="20"/>
              </w:rPr>
              <w:t>2.07 (2.25)</w:t>
            </w:r>
          </w:p>
        </w:tc>
      </w:tr>
      <w:tr w:rsidR="00B86C9D" w:rsidRPr="00702882" w14:paraId="168BE6EC" w14:textId="77777777" w:rsidTr="00AE6820">
        <w:trPr>
          <w:jc w:val="center"/>
        </w:trPr>
        <w:tc>
          <w:tcPr>
            <w:tcW w:w="0" w:type="auto"/>
            <w:tcMar>
              <w:top w:w="15" w:type="dxa"/>
              <w:left w:w="75" w:type="dxa"/>
              <w:bottom w:w="15" w:type="dxa"/>
              <w:right w:w="75" w:type="dxa"/>
            </w:tcMar>
            <w:vAlign w:val="center"/>
            <w:hideMark/>
          </w:tcPr>
          <w:p w14:paraId="3347C538" w14:textId="77777777" w:rsidR="00AF6702" w:rsidRPr="00702882" w:rsidRDefault="00AF6702" w:rsidP="007803B6">
            <w:pPr>
              <w:spacing w:before="150" w:after="150"/>
              <w:contextualSpacing/>
              <w:rPr>
                <w:sz w:val="20"/>
                <w:szCs w:val="20"/>
              </w:rPr>
            </w:pPr>
            <w:r w:rsidRPr="00702882">
              <w:rPr>
                <w:sz w:val="20"/>
                <w:szCs w:val="20"/>
              </w:rPr>
              <w:t>factor(Year)2017</w:t>
            </w:r>
          </w:p>
        </w:tc>
        <w:tc>
          <w:tcPr>
            <w:tcW w:w="0" w:type="auto"/>
            <w:tcMar>
              <w:top w:w="15" w:type="dxa"/>
              <w:left w:w="75" w:type="dxa"/>
              <w:bottom w:w="15" w:type="dxa"/>
              <w:right w:w="75" w:type="dxa"/>
            </w:tcMar>
            <w:vAlign w:val="center"/>
            <w:hideMark/>
          </w:tcPr>
          <w:p w14:paraId="6365C943" w14:textId="77777777" w:rsidR="00AF6702" w:rsidRPr="00702882" w:rsidRDefault="00AF6702" w:rsidP="007803B6">
            <w:pPr>
              <w:spacing w:before="150" w:after="150"/>
              <w:contextualSpacing/>
              <w:rPr>
                <w:sz w:val="20"/>
                <w:szCs w:val="20"/>
              </w:rPr>
            </w:pPr>
            <w:r w:rsidRPr="00702882">
              <w:rPr>
                <w:sz w:val="20"/>
                <w:szCs w:val="20"/>
              </w:rPr>
              <w:t>1.05 (2.52)</w:t>
            </w:r>
          </w:p>
        </w:tc>
        <w:tc>
          <w:tcPr>
            <w:tcW w:w="0" w:type="auto"/>
            <w:tcMar>
              <w:top w:w="15" w:type="dxa"/>
              <w:left w:w="75" w:type="dxa"/>
              <w:bottom w:w="15" w:type="dxa"/>
              <w:right w:w="75" w:type="dxa"/>
            </w:tcMar>
            <w:vAlign w:val="center"/>
            <w:hideMark/>
          </w:tcPr>
          <w:p w14:paraId="52E6F9F6" w14:textId="77777777" w:rsidR="00AF6702" w:rsidRPr="00702882" w:rsidRDefault="00AF6702" w:rsidP="007803B6">
            <w:pPr>
              <w:spacing w:before="150" w:after="150"/>
              <w:contextualSpacing/>
              <w:rPr>
                <w:sz w:val="20"/>
                <w:szCs w:val="20"/>
              </w:rPr>
            </w:pPr>
            <w:r w:rsidRPr="00702882">
              <w:rPr>
                <w:sz w:val="20"/>
                <w:szCs w:val="20"/>
              </w:rPr>
              <w:t>1.38 (2.46)</w:t>
            </w:r>
          </w:p>
        </w:tc>
        <w:tc>
          <w:tcPr>
            <w:tcW w:w="0" w:type="auto"/>
            <w:tcMar>
              <w:top w:w="15" w:type="dxa"/>
              <w:left w:w="75" w:type="dxa"/>
              <w:bottom w:w="15" w:type="dxa"/>
              <w:right w:w="75" w:type="dxa"/>
            </w:tcMar>
            <w:vAlign w:val="center"/>
            <w:hideMark/>
          </w:tcPr>
          <w:p w14:paraId="02103E6B" w14:textId="77777777" w:rsidR="00AF6702" w:rsidRPr="00702882" w:rsidRDefault="00AF6702" w:rsidP="007803B6">
            <w:pPr>
              <w:spacing w:before="150" w:after="150"/>
              <w:contextualSpacing/>
              <w:rPr>
                <w:sz w:val="20"/>
                <w:szCs w:val="20"/>
              </w:rPr>
            </w:pPr>
            <w:r w:rsidRPr="00702882">
              <w:rPr>
                <w:sz w:val="20"/>
                <w:szCs w:val="20"/>
              </w:rPr>
              <w:t>1.24 (2.47)</w:t>
            </w:r>
          </w:p>
        </w:tc>
        <w:tc>
          <w:tcPr>
            <w:tcW w:w="0" w:type="auto"/>
            <w:tcMar>
              <w:top w:w="15" w:type="dxa"/>
              <w:left w:w="75" w:type="dxa"/>
              <w:bottom w:w="15" w:type="dxa"/>
              <w:right w:w="75" w:type="dxa"/>
            </w:tcMar>
            <w:vAlign w:val="center"/>
            <w:hideMark/>
          </w:tcPr>
          <w:p w14:paraId="44373F80" w14:textId="77777777" w:rsidR="00AF6702" w:rsidRPr="00702882" w:rsidRDefault="00AF6702" w:rsidP="007803B6">
            <w:pPr>
              <w:spacing w:before="150" w:after="150"/>
              <w:contextualSpacing/>
              <w:rPr>
                <w:sz w:val="20"/>
                <w:szCs w:val="20"/>
              </w:rPr>
            </w:pPr>
            <w:r w:rsidRPr="00702882">
              <w:rPr>
                <w:sz w:val="20"/>
                <w:szCs w:val="20"/>
              </w:rPr>
              <w:t>1.35 (2.46)</w:t>
            </w:r>
          </w:p>
        </w:tc>
      </w:tr>
      <w:tr w:rsidR="00B86C9D" w:rsidRPr="00702882" w14:paraId="1BC0A6E9" w14:textId="77777777" w:rsidTr="00AE6820">
        <w:trPr>
          <w:jc w:val="center"/>
        </w:trPr>
        <w:tc>
          <w:tcPr>
            <w:tcW w:w="0" w:type="auto"/>
            <w:tcMar>
              <w:top w:w="15" w:type="dxa"/>
              <w:left w:w="75" w:type="dxa"/>
              <w:bottom w:w="15" w:type="dxa"/>
              <w:right w:w="75" w:type="dxa"/>
            </w:tcMar>
            <w:vAlign w:val="center"/>
            <w:hideMark/>
          </w:tcPr>
          <w:p w14:paraId="1026B8EA" w14:textId="77777777" w:rsidR="00AF6702" w:rsidRPr="00702882" w:rsidRDefault="00AF6702" w:rsidP="007803B6">
            <w:pPr>
              <w:spacing w:before="150" w:after="150"/>
              <w:contextualSpacing/>
              <w:rPr>
                <w:sz w:val="20"/>
                <w:szCs w:val="20"/>
              </w:rPr>
            </w:pPr>
            <w:r w:rsidRPr="00702882">
              <w:rPr>
                <w:sz w:val="20"/>
                <w:szCs w:val="20"/>
              </w:rPr>
              <w:t>factor(Year)2018</w:t>
            </w:r>
          </w:p>
        </w:tc>
        <w:tc>
          <w:tcPr>
            <w:tcW w:w="0" w:type="auto"/>
            <w:tcMar>
              <w:top w:w="15" w:type="dxa"/>
              <w:left w:w="75" w:type="dxa"/>
              <w:bottom w:w="15" w:type="dxa"/>
              <w:right w:w="75" w:type="dxa"/>
            </w:tcMar>
            <w:vAlign w:val="center"/>
            <w:hideMark/>
          </w:tcPr>
          <w:p w14:paraId="38909FEE" w14:textId="77777777" w:rsidR="00AF6702" w:rsidRPr="00702882" w:rsidRDefault="00AF6702" w:rsidP="007803B6">
            <w:pPr>
              <w:spacing w:before="150" w:after="150"/>
              <w:contextualSpacing/>
              <w:rPr>
                <w:sz w:val="20"/>
                <w:szCs w:val="20"/>
              </w:rPr>
            </w:pPr>
            <w:r w:rsidRPr="00702882">
              <w:rPr>
                <w:sz w:val="20"/>
                <w:szCs w:val="20"/>
              </w:rPr>
              <w:t>2.07 (2.78)</w:t>
            </w:r>
          </w:p>
        </w:tc>
        <w:tc>
          <w:tcPr>
            <w:tcW w:w="0" w:type="auto"/>
            <w:tcMar>
              <w:top w:w="15" w:type="dxa"/>
              <w:left w:w="75" w:type="dxa"/>
              <w:bottom w:w="15" w:type="dxa"/>
              <w:right w:w="75" w:type="dxa"/>
            </w:tcMar>
            <w:vAlign w:val="center"/>
            <w:hideMark/>
          </w:tcPr>
          <w:p w14:paraId="1F544CC6" w14:textId="77777777" w:rsidR="00AF6702" w:rsidRPr="00702882" w:rsidRDefault="00AF6702" w:rsidP="007803B6">
            <w:pPr>
              <w:spacing w:before="150" w:after="150"/>
              <w:contextualSpacing/>
              <w:rPr>
                <w:sz w:val="20"/>
                <w:szCs w:val="20"/>
              </w:rPr>
            </w:pPr>
            <w:r w:rsidRPr="00702882">
              <w:rPr>
                <w:sz w:val="20"/>
                <w:szCs w:val="20"/>
              </w:rPr>
              <w:t>2.40 (2.73)</w:t>
            </w:r>
          </w:p>
        </w:tc>
        <w:tc>
          <w:tcPr>
            <w:tcW w:w="0" w:type="auto"/>
            <w:tcMar>
              <w:top w:w="15" w:type="dxa"/>
              <w:left w:w="75" w:type="dxa"/>
              <w:bottom w:w="15" w:type="dxa"/>
              <w:right w:w="75" w:type="dxa"/>
            </w:tcMar>
            <w:vAlign w:val="center"/>
            <w:hideMark/>
          </w:tcPr>
          <w:p w14:paraId="0011FD35" w14:textId="77777777" w:rsidR="00AF6702" w:rsidRPr="00702882" w:rsidRDefault="00AF6702" w:rsidP="007803B6">
            <w:pPr>
              <w:spacing w:before="150" w:after="150"/>
              <w:contextualSpacing/>
              <w:rPr>
                <w:sz w:val="20"/>
                <w:szCs w:val="20"/>
              </w:rPr>
            </w:pPr>
            <w:r w:rsidRPr="00702882">
              <w:rPr>
                <w:sz w:val="20"/>
                <w:szCs w:val="20"/>
              </w:rPr>
              <w:t>2.16 (2.75)</w:t>
            </w:r>
          </w:p>
        </w:tc>
        <w:tc>
          <w:tcPr>
            <w:tcW w:w="0" w:type="auto"/>
            <w:tcMar>
              <w:top w:w="15" w:type="dxa"/>
              <w:left w:w="75" w:type="dxa"/>
              <w:bottom w:w="15" w:type="dxa"/>
              <w:right w:w="75" w:type="dxa"/>
            </w:tcMar>
            <w:vAlign w:val="center"/>
            <w:hideMark/>
          </w:tcPr>
          <w:p w14:paraId="4D2B9359" w14:textId="77777777" w:rsidR="00AF6702" w:rsidRPr="00702882" w:rsidRDefault="00AF6702" w:rsidP="007803B6">
            <w:pPr>
              <w:spacing w:before="150" w:after="150"/>
              <w:contextualSpacing/>
              <w:rPr>
                <w:sz w:val="20"/>
                <w:szCs w:val="20"/>
              </w:rPr>
            </w:pPr>
            <w:r w:rsidRPr="00702882">
              <w:rPr>
                <w:sz w:val="20"/>
                <w:szCs w:val="20"/>
              </w:rPr>
              <w:t>2.33 (2.74)</w:t>
            </w:r>
          </w:p>
        </w:tc>
      </w:tr>
      <w:tr w:rsidR="00B86C9D" w:rsidRPr="00702882" w14:paraId="660ABCF3" w14:textId="77777777" w:rsidTr="00AE6820">
        <w:trPr>
          <w:jc w:val="center"/>
        </w:trPr>
        <w:tc>
          <w:tcPr>
            <w:tcW w:w="0" w:type="auto"/>
            <w:tcMar>
              <w:top w:w="15" w:type="dxa"/>
              <w:left w:w="75" w:type="dxa"/>
              <w:bottom w:w="15" w:type="dxa"/>
              <w:right w:w="75" w:type="dxa"/>
            </w:tcMar>
            <w:vAlign w:val="center"/>
            <w:hideMark/>
          </w:tcPr>
          <w:p w14:paraId="48CFF722" w14:textId="77777777" w:rsidR="00AF6702" w:rsidRPr="00702882" w:rsidRDefault="00AF6702" w:rsidP="007803B6">
            <w:pPr>
              <w:spacing w:before="150" w:after="150"/>
              <w:contextualSpacing/>
              <w:rPr>
                <w:sz w:val="20"/>
                <w:szCs w:val="20"/>
              </w:rPr>
            </w:pPr>
            <w:r w:rsidRPr="00702882">
              <w:rPr>
                <w:sz w:val="20"/>
                <w:szCs w:val="20"/>
              </w:rPr>
              <w:t>factor(Year)2019</w:t>
            </w:r>
          </w:p>
        </w:tc>
        <w:tc>
          <w:tcPr>
            <w:tcW w:w="0" w:type="auto"/>
            <w:tcMar>
              <w:top w:w="15" w:type="dxa"/>
              <w:left w:w="75" w:type="dxa"/>
              <w:bottom w:w="15" w:type="dxa"/>
              <w:right w:w="75" w:type="dxa"/>
            </w:tcMar>
            <w:vAlign w:val="center"/>
            <w:hideMark/>
          </w:tcPr>
          <w:p w14:paraId="6D48BFEC" w14:textId="77777777" w:rsidR="00AF6702" w:rsidRPr="00702882" w:rsidRDefault="00AF6702" w:rsidP="007803B6">
            <w:pPr>
              <w:spacing w:before="150" w:after="150"/>
              <w:contextualSpacing/>
              <w:rPr>
                <w:sz w:val="20"/>
                <w:szCs w:val="20"/>
              </w:rPr>
            </w:pPr>
            <w:r w:rsidRPr="00702882">
              <w:rPr>
                <w:sz w:val="20"/>
                <w:szCs w:val="20"/>
              </w:rPr>
              <w:t>3.38 (2.89)</w:t>
            </w:r>
          </w:p>
        </w:tc>
        <w:tc>
          <w:tcPr>
            <w:tcW w:w="0" w:type="auto"/>
            <w:tcMar>
              <w:top w:w="15" w:type="dxa"/>
              <w:left w:w="75" w:type="dxa"/>
              <w:bottom w:w="15" w:type="dxa"/>
              <w:right w:w="75" w:type="dxa"/>
            </w:tcMar>
            <w:vAlign w:val="center"/>
            <w:hideMark/>
          </w:tcPr>
          <w:p w14:paraId="1AF7A225" w14:textId="77777777" w:rsidR="00AF6702" w:rsidRPr="00702882" w:rsidRDefault="00AF6702" w:rsidP="007803B6">
            <w:pPr>
              <w:spacing w:before="150" w:after="150"/>
              <w:contextualSpacing/>
              <w:rPr>
                <w:sz w:val="20"/>
                <w:szCs w:val="20"/>
              </w:rPr>
            </w:pPr>
            <w:r w:rsidRPr="00702882">
              <w:rPr>
                <w:sz w:val="20"/>
                <w:szCs w:val="20"/>
              </w:rPr>
              <w:t>3.74 (2.85)</w:t>
            </w:r>
          </w:p>
        </w:tc>
        <w:tc>
          <w:tcPr>
            <w:tcW w:w="0" w:type="auto"/>
            <w:tcMar>
              <w:top w:w="15" w:type="dxa"/>
              <w:left w:w="75" w:type="dxa"/>
              <w:bottom w:w="15" w:type="dxa"/>
              <w:right w:w="75" w:type="dxa"/>
            </w:tcMar>
            <w:vAlign w:val="center"/>
            <w:hideMark/>
          </w:tcPr>
          <w:p w14:paraId="29141E04" w14:textId="77777777" w:rsidR="00AF6702" w:rsidRPr="00702882" w:rsidRDefault="00AF6702" w:rsidP="007803B6">
            <w:pPr>
              <w:spacing w:before="150" w:after="150"/>
              <w:contextualSpacing/>
              <w:rPr>
                <w:sz w:val="20"/>
                <w:szCs w:val="20"/>
              </w:rPr>
            </w:pPr>
            <w:r w:rsidRPr="00702882">
              <w:rPr>
                <w:sz w:val="20"/>
                <w:szCs w:val="20"/>
              </w:rPr>
              <w:t>3.48 (2.86)</w:t>
            </w:r>
          </w:p>
        </w:tc>
        <w:tc>
          <w:tcPr>
            <w:tcW w:w="0" w:type="auto"/>
            <w:tcMar>
              <w:top w:w="15" w:type="dxa"/>
              <w:left w:w="75" w:type="dxa"/>
              <w:bottom w:w="15" w:type="dxa"/>
              <w:right w:w="75" w:type="dxa"/>
            </w:tcMar>
            <w:vAlign w:val="center"/>
            <w:hideMark/>
          </w:tcPr>
          <w:p w14:paraId="03D03841" w14:textId="77777777" w:rsidR="00AF6702" w:rsidRPr="00702882" w:rsidRDefault="00AF6702" w:rsidP="007803B6">
            <w:pPr>
              <w:spacing w:before="150" w:after="150"/>
              <w:contextualSpacing/>
              <w:rPr>
                <w:sz w:val="20"/>
                <w:szCs w:val="20"/>
              </w:rPr>
            </w:pPr>
            <w:r w:rsidRPr="00702882">
              <w:rPr>
                <w:sz w:val="20"/>
                <w:szCs w:val="20"/>
              </w:rPr>
              <w:t>3.65 (2.86)</w:t>
            </w:r>
          </w:p>
        </w:tc>
      </w:tr>
      <w:tr w:rsidR="00B86C9D" w:rsidRPr="00702882" w14:paraId="5017A257" w14:textId="77777777" w:rsidTr="00AE6820">
        <w:trPr>
          <w:jc w:val="center"/>
        </w:trPr>
        <w:tc>
          <w:tcPr>
            <w:tcW w:w="0" w:type="auto"/>
            <w:tcMar>
              <w:top w:w="15" w:type="dxa"/>
              <w:left w:w="75" w:type="dxa"/>
              <w:bottom w:w="15" w:type="dxa"/>
              <w:right w:w="75" w:type="dxa"/>
            </w:tcMar>
            <w:vAlign w:val="center"/>
            <w:hideMark/>
          </w:tcPr>
          <w:p w14:paraId="44FF9DFA" w14:textId="77777777" w:rsidR="00AF6702" w:rsidRPr="00702882" w:rsidRDefault="00AF6702" w:rsidP="007803B6">
            <w:pPr>
              <w:spacing w:before="150" w:after="150"/>
              <w:contextualSpacing/>
              <w:rPr>
                <w:sz w:val="20"/>
                <w:szCs w:val="20"/>
              </w:rPr>
            </w:pPr>
            <w:r w:rsidRPr="00702882">
              <w:rPr>
                <w:sz w:val="20"/>
                <w:szCs w:val="20"/>
              </w:rPr>
              <w:t>factor(Year)2020</w:t>
            </w:r>
          </w:p>
        </w:tc>
        <w:tc>
          <w:tcPr>
            <w:tcW w:w="0" w:type="auto"/>
            <w:tcMar>
              <w:top w:w="15" w:type="dxa"/>
              <w:left w:w="75" w:type="dxa"/>
              <w:bottom w:w="15" w:type="dxa"/>
              <w:right w:w="75" w:type="dxa"/>
            </w:tcMar>
            <w:vAlign w:val="center"/>
            <w:hideMark/>
          </w:tcPr>
          <w:p w14:paraId="1D5C68A6" w14:textId="77777777" w:rsidR="00AF6702" w:rsidRPr="00702882" w:rsidRDefault="00AF6702" w:rsidP="007803B6">
            <w:pPr>
              <w:spacing w:before="150" w:after="150"/>
              <w:contextualSpacing/>
              <w:rPr>
                <w:sz w:val="20"/>
                <w:szCs w:val="20"/>
              </w:rPr>
            </w:pPr>
            <w:r w:rsidRPr="00702882">
              <w:rPr>
                <w:sz w:val="20"/>
                <w:szCs w:val="20"/>
              </w:rPr>
              <w:t>4.38 (3.82)</w:t>
            </w:r>
          </w:p>
        </w:tc>
        <w:tc>
          <w:tcPr>
            <w:tcW w:w="0" w:type="auto"/>
            <w:tcMar>
              <w:top w:w="15" w:type="dxa"/>
              <w:left w:w="75" w:type="dxa"/>
              <w:bottom w:w="15" w:type="dxa"/>
              <w:right w:w="75" w:type="dxa"/>
            </w:tcMar>
            <w:vAlign w:val="center"/>
            <w:hideMark/>
          </w:tcPr>
          <w:p w14:paraId="7D276033" w14:textId="77777777" w:rsidR="00AF6702" w:rsidRPr="00702882" w:rsidRDefault="00AF6702" w:rsidP="007803B6">
            <w:pPr>
              <w:spacing w:before="150" w:after="150"/>
              <w:contextualSpacing/>
              <w:rPr>
                <w:sz w:val="20"/>
                <w:szCs w:val="20"/>
              </w:rPr>
            </w:pPr>
            <w:r w:rsidRPr="00702882">
              <w:rPr>
                <w:sz w:val="20"/>
                <w:szCs w:val="20"/>
              </w:rPr>
              <w:t>5.02 (3.62)</w:t>
            </w:r>
          </w:p>
        </w:tc>
        <w:tc>
          <w:tcPr>
            <w:tcW w:w="0" w:type="auto"/>
            <w:tcMar>
              <w:top w:w="15" w:type="dxa"/>
              <w:left w:w="75" w:type="dxa"/>
              <w:bottom w:w="15" w:type="dxa"/>
              <w:right w:w="75" w:type="dxa"/>
            </w:tcMar>
            <w:vAlign w:val="center"/>
            <w:hideMark/>
          </w:tcPr>
          <w:p w14:paraId="6AA271B2" w14:textId="77777777" w:rsidR="00AF6702" w:rsidRPr="00702882" w:rsidRDefault="00AF6702" w:rsidP="007803B6">
            <w:pPr>
              <w:spacing w:before="150" w:after="150"/>
              <w:contextualSpacing/>
              <w:rPr>
                <w:sz w:val="20"/>
                <w:szCs w:val="20"/>
              </w:rPr>
            </w:pPr>
            <w:r w:rsidRPr="00702882">
              <w:rPr>
                <w:sz w:val="20"/>
                <w:szCs w:val="20"/>
              </w:rPr>
              <w:t>4.69 (3.64)</w:t>
            </w:r>
          </w:p>
        </w:tc>
        <w:tc>
          <w:tcPr>
            <w:tcW w:w="0" w:type="auto"/>
            <w:tcMar>
              <w:top w:w="15" w:type="dxa"/>
              <w:left w:w="75" w:type="dxa"/>
              <w:bottom w:w="15" w:type="dxa"/>
              <w:right w:w="75" w:type="dxa"/>
            </w:tcMar>
            <w:vAlign w:val="center"/>
            <w:hideMark/>
          </w:tcPr>
          <w:p w14:paraId="74F0AC87" w14:textId="77777777" w:rsidR="00AF6702" w:rsidRPr="00702882" w:rsidRDefault="00AF6702" w:rsidP="007803B6">
            <w:pPr>
              <w:spacing w:before="150" w:after="150"/>
              <w:contextualSpacing/>
              <w:rPr>
                <w:sz w:val="20"/>
                <w:szCs w:val="20"/>
              </w:rPr>
            </w:pPr>
            <w:r w:rsidRPr="00702882">
              <w:rPr>
                <w:sz w:val="20"/>
                <w:szCs w:val="20"/>
              </w:rPr>
              <w:t>5.00 (3.63)</w:t>
            </w:r>
          </w:p>
        </w:tc>
      </w:tr>
      <w:tr w:rsidR="00B86C9D" w:rsidRPr="00702882" w14:paraId="756B1C31" w14:textId="77777777" w:rsidTr="00AE6820">
        <w:trPr>
          <w:jc w:val="center"/>
        </w:trPr>
        <w:tc>
          <w:tcPr>
            <w:tcW w:w="0" w:type="auto"/>
            <w:tcMar>
              <w:top w:w="15" w:type="dxa"/>
              <w:left w:w="75" w:type="dxa"/>
              <w:bottom w:w="15" w:type="dxa"/>
              <w:right w:w="75" w:type="dxa"/>
            </w:tcMar>
            <w:vAlign w:val="center"/>
            <w:hideMark/>
          </w:tcPr>
          <w:p w14:paraId="35BBC1A4" w14:textId="77777777" w:rsidR="00AF6702" w:rsidRPr="00702882" w:rsidRDefault="00AF6702" w:rsidP="007803B6">
            <w:pPr>
              <w:spacing w:before="150" w:after="150"/>
              <w:contextualSpacing/>
              <w:rPr>
                <w:sz w:val="20"/>
                <w:szCs w:val="20"/>
              </w:rPr>
            </w:pPr>
            <w:r w:rsidRPr="00702882">
              <w:rPr>
                <w:sz w:val="20"/>
                <w:szCs w:val="20"/>
              </w:rPr>
              <w:lastRenderedPageBreak/>
              <w:t>Number:Unemployment</w:t>
            </w:r>
          </w:p>
        </w:tc>
        <w:tc>
          <w:tcPr>
            <w:tcW w:w="0" w:type="auto"/>
            <w:tcMar>
              <w:top w:w="15" w:type="dxa"/>
              <w:left w:w="75" w:type="dxa"/>
              <w:bottom w:w="15" w:type="dxa"/>
              <w:right w:w="75" w:type="dxa"/>
            </w:tcMar>
            <w:vAlign w:val="center"/>
            <w:hideMark/>
          </w:tcPr>
          <w:p w14:paraId="7F0088D7"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28E9F42" w14:textId="77777777" w:rsidR="00AF6702" w:rsidRPr="00702882" w:rsidRDefault="00AF6702" w:rsidP="007803B6">
            <w:pPr>
              <w:spacing w:before="150" w:after="150"/>
              <w:contextualSpacing/>
              <w:rPr>
                <w:sz w:val="20"/>
                <w:szCs w:val="20"/>
              </w:rPr>
            </w:pPr>
            <w:r w:rsidRPr="00702882">
              <w:rPr>
                <w:sz w:val="20"/>
                <w:szCs w:val="20"/>
              </w:rPr>
              <w:t>0.81 (0.27)</w:t>
            </w:r>
            <w:r w:rsidRPr="00702882">
              <w:rPr>
                <w:sz w:val="20"/>
                <w:szCs w:val="20"/>
                <w:vertAlign w:val="superscript"/>
              </w:rPr>
              <w:t>***</w:t>
            </w:r>
          </w:p>
        </w:tc>
        <w:tc>
          <w:tcPr>
            <w:tcW w:w="0" w:type="auto"/>
            <w:tcMar>
              <w:top w:w="15" w:type="dxa"/>
              <w:left w:w="75" w:type="dxa"/>
              <w:bottom w:w="15" w:type="dxa"/>
              <w:right w:w="75" w:type="dxa"/>
            </w:tcMar>
            <w:vAlign w:val="center"/>
            <w:hideMark/>
          </w:tcPr>
          <w:p w14:paraId="44808A42" w14:textId="77777777" w:rsidR="00AF6702" w:rsidRPr="00702882" w:rsidRDefault="00AF6702" w:rsidP="007803B6">
            <w:pPr>
              <w:spacing w:before="150" w:after="150"/>
              <w:contextualSpacing/>
              <w:rPr>
                <w:sz w:val="20"/>
                <w:szCs w:val="20"/>
              </w:rPr>
            </w:pPr>
            <w:r w:rsidRPr="00702882">
              <w:rPr>
                <w:sz w:val="20"/>
                <w:szCs w:val="20"/>
              </w:rPr>
              <w:t>0.88 (0.20)</w:t>
            </w:r>
            <w:r w:rsidRPr="00702882">
              <w:rPr>
                <w:sz w:val="20"/>
                <w:szCs w:val="20"/>
                <w:vertAlign w:val="superscript"/>
              </w:rPr>
              <w:t>***</w:t>
            </w:r>
          </w:p>
        </w:tc>
        <w:tc>
          <w:tcPr>
            <w:tcW w:w="0" w:type="auto"/>
            <w:tcMar>
              <w:top w:w="15" w:type="dxa"/>
              <w:left w:w="75" w:type="dxa"/>
              <w:bottom w:w="15" w:type="dxa"/>
              <w:right w:w="75" w:type="dxa"/>
            </w:tcMar>
            <w:vAlign w:val="center"/>
            <w:hideMark/>
          </w:tcPr>
          <w:p w14:paraId="1244D34E" w14:textId="77777777" w:rsidR="00AF6702" w:rsidRPr="00702882" w:rsidRDefault="00AF6702" w:rsidP="007803B6">
            <w:pPr>
              <w:spacing w:before="150" w:after="150"/>
              <w:contextualSpacing/>
              <w:rPr>
                <w:sz w:val="20"/>
                <w:szCs w:val="20"/>
              </w:rPr>
            </w:pPr>
            <w:r w:rsidRPr="00702882">
              <w:rPr>
                <w:sz w:val="20"/>
                <w:szCs w:val="20"/>
              </w:rPr>
              <w:t>0.88 (0.20)</w:t>
            </w:r>
            <w:r w:rsidRPr="00702882">
              <w:rPr>
                <w:sz w:val="20"/>
                <w:szCs w:val="20"/>
                <w:vertAlign w:val="superscript"/>
              </w:rPr>
              <w:t>***</w:t>
            </w:r>
          </w:p>
        </w:tc>
      </w:tr>
      <w:tr w:rsidR="00B86C9D" w:rsidRPr="00702882" w14:paraId="122FE922" w14:textId="77777777" w:rsidTr="00AE6820">
        <w:trPr>
          <w:jc w:val="center"/>
        </w:trPr>
        <w:tc>
          <w:tcPr>
            <w:tcW w:w="0" w:type="auto"/>
            <w:tcMar>
              <w:top w:w="15" w:type="dxa"/>
              <w:left w:w="75" w:type="dxa"/>
              <w:bottom w:w="15" w:type="dxa"/>
              <w:right w:w="75" w:type="dxa"/>
            </w:tcMar>
            <w:vAlign w:val="center"/>
            <w:hideMark/>
          </w:tcPr>
          <w:p w14:paraId="2925813C" w14:textId="77777777" w:rsidR="00AF6702" w:rsidRPr="00702882" w:rsidRDefault="00AF6702" w:rsidP="007803B6">
            <w:pPr>
              <w:spacing w:before="150" w:after="150"/>
              <w:contextualSpacing/>
              <w:rPr>
                <w:sz w:val="20"/>
                <w:szCs w:val="20"/>
              </w:rPr>
            </w:pPr>
            <w:r w:rsidRPr="00702882">
              <w:rPr>
                <w:sz w:val="20"/>
                <w:szCs w:val="20"/>
              </w:rPr>
              <w:t>Source_percent:Unemployment</w:t>
            </w:r>
          </w:p>
        </w:tc>
        <w:tc>
          <w:tcPr>
            <w:tcW w:w="0" w:type="auto"/>
            <w:tcMar>
              <w:top w:w="15" w:type="dxa"/>
              <w:left w:w="75" w:type="dxa"/>
              <w:bottom w:w="15" w:type="dxa"/>
              <w:right w:w="75" w:type="dxa"/>
            </w:tcMar>
            <w:vAlign w:val="center"/>
            <w:hideMark/>
          </w:tcPr>
          <w:p w14:paraId="1EDB90F9"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8556072" w14:textId="77777777" w:rsidR="00AF6702" w:rsidRPr="00702882" w:rsidRDefault="00AF6702" w:rsidP="007803B6">
            <w:pPr>
              <w:spacing w:before="150" w:after="150"/>
              <w:contextualSpacing/>
              <w:rPr>
                <w:sz w:val="20"/>
                <w:szCs w:val="20"/>
              </w:rPr>
            </w:pPr>
            <w:r w:rsidRPr="00702882">
              <w:rPr>
                <w:sz w:val="20"/>
                <w:szCs w:val="20"/>
              </w:rPr>
              <w:t>-0.88 (0.43)</w:t>
            </w:r>
            <w:r w:rsidRPr="00702882">
              <w:rPr>
                <w:sz w:val="20"/>
                <w:szCs w:val="20"/>
                <w:vertAlign w:val="superscript"/>
              </w:rPr>
              <w:t>**</w:t>
            </w:r>
          </w:p>
        </w:tc>
        <w:tc>
          <w:tcPr>
            <w:tcW w:w="0" w:type="auto"/>
            <w:tcMar>
              <w:top w:w="15" w:type="dxa"/>
              <w:left w:w="75" w:type="dxa"/>
              <w:bottom w:w="15" w:type="dxa"/>
              <w:right w:w="75" w:type="dxa"/>
            </w:tcMar>
            <w:vAlign w:val="center"/>
            <w:hideMark/>
          </w:tcPr>
          <w:p w14:paraId="2E61D3E6" w14:textId="77777777" w:rsidR="00AF6702" w:rsidRPr="00702882" w:rsidRDefault="00AF6702" w:rsidP="007803B6">
            <w:pPr>
              <w:spacing w:before="150" w:after="150"/>
              <w:contextualSpacing/>
              <w:rPr>
                <w:sz w:val="20"/>
                <w:szCs w:val="20"/>
              </w:rPr>
            </w:pPr>
            <w:r w:rsidRPr="00702882">
              <w:rPr>
                <w:sz w:val="20"/>
                <w:szCs w:val="20"/>
              </w:rPr>
              <w:t>-0.85 (0.43)</w:t>
            </w:r>
            <w:r w:rsidRPr="00702882">
              <w:rPr>
                <w:sz w:val="20"/>
                <w:szCs w:val="20"/>
                <w:vertAlign w:val="superscript"/>
              </w:rPr>
              <w:t>*</w:t>
            </w:r>
          </w:p>
        </w:tc>
        <w:tc>
          <w:tcPr>
            <w:tcW w:w="0" w:type="auto"/>
            <w:tcMar>
              <w:top w:w="15" w:type="dxa"/>
              <w:left w:w="75" w:type="dxa"/>
              <w:bottom w:w="15" w:type="dxa"/>
              <w:right w:w="75" w:type="dxa"/>
            </w:tcMar>
            <w:vAlign w:val="center"/>
            <w:hideMark/>
          </w:tcPr>
          <w:p w14:paraId="7A0AFA44" w14:textId="77777777" w:rsidR="00AF6702" w:rsidRPr="00702882" w:rsidRDefault="00AF6702" w:rsidP="007803B6">
            <w:pPr>
              <w:spacing w:before="150" w:after="150"/>
              <w:contextualSpacing/>
              <w:rPr>
                <w:sz w:val="20"/>
                <w:szCs w:val="20"/>
              </w:rPr>
            </w:pPr>
            <w:r w:rsidRPr="00702882">
              <w:rPr>
                <w:sz w:val="20"/>
                <w:szCs w:val="20"/>
              </w:rPr>
              <w:t>-0.85 (0.44)</w:t>
            </w:r>
            <w:r w:rsidRPr="00702882">
              <w:rPr>
                <w:sz w:val="20"/>
                <w:szCs w:val="20"/>
                <w:vertAlign w:val="superscript"/>
              </w:rPr>
              <w:t>*</w:t>
            </w:r>
          </w:p>
        </w:tc>
      </w:tr>
      <w:tr w:rsidR="00B86C9D" w:rsidRPr="00702882" w14:paraId="3BEBDEC0" w14:textId="77777777" w:rsidTr="00AE6820">
        <w:trPr>
          <w:jc w:val="center"/>
        </w:trPr>
        <w:tc>
          <w:tcPr>
            <w:tcW w:w="0" w:type="auto"/>
            <w:tcMar>
              <w:top w:w="15" w:type="dxa"/>
              <w:left w:w="75" w:type="dxa"/>
              <w:bottom w:w="15" w:type="dxa"/>
              <w:right w:w="75" w:type="dxa"/>
            </w:tcMar>
            <w:vAlign w:val="center"/>
            <w:hideMark/>
          </w:tcPr>
          <w:p w14:paraId="530F7C84" w14:textId="77777777" w:rsidR="00AF6702" w:rsidRPr="00702882" w:rsidRDefault="00AF6702" w:rsidP="007803B6">
            <w:pPr>
              <w:spacing w:before="150" w:after="150"/>
              <w:contextualSpacing/>
              <w:rPr>
                <w:sz w:val="20"/>
                <w:szCs w:val="20"/>
              </w:rPr>
            </w:pPr>
            <w:r w:rsidRPr="00702882">
              <w:rPr>
                <w:sz w:val="20"/>
                <w:szCs w:val="20"/>
              </w:rPr>
              <w:t>Cap_percent:Unemployment</w:t>
            </w:r>
          </w:p>
        </w:tc>
        <w:tc>
          <w:tcPr>
            <w:tcW w:w="0" w:type="auto"/>
            <w:tcMar>
              <w:top w:w="15" w:type="dxa"/>
              <w:left w:w="75" w:type="dxa"/>
              <w:bottom w:w="15" w:type="dxa"/>
              <w:right w:w="75" w:type="dxa"/>
            </w:tcMar>
            <w:vAlign w:val="center"/>
            <w:hideMark/>
          </w:tcPr>
          <w:p w14:paraId="1428B284"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8552E44" w14:textId="77777777" w:rsidR="00AF6702" w:rsidRPr="00702882" w:rsidRDefault="00AF6702" w:rsidP="007803B6">
            <w:pPr>
              <w:spacing w:before="150" w:after="150"/>
              <w:contextualSpacing/>
              <w:rPr>
                <w:sz w:val="20"/>
                <w:szCs w:val="20"/>
              </w:rPr>
            </w:pPr>
            <w:r w:rsidRPr="00702882">
              <w:rPr>
                <w:sz w:val="20"/>
                <w:szCs w:val="20"/>
              </w:rPr>
              <w:t>0.00 (0.01)</w:t>
            </w:r>
          </w:p>
        </w:tc>
        <w:tc>
          <w:tcPr>
            <w:tcW w:w="0" w:type="auto"/>
            <w:tcMar>
              <w:top w:w="15" w:type="dxa"/>
              <w:left w:w="75" w:type="dxa"/>
              <w:bottom w:w="15" w:type="dxa"/>
              <w:right w:w="75" w:type="dxa"/>
            </w:tcMar>
            <w:vAlign w:val="center"/>
            <w:hideMark/>
          </w:tcPr>
          <w:p w14:paraId="76DCEF5F"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4D7F558" w14:textId="77777777" w:rsidR="00AF6702" w:rsidRPr="00702882" w:rsidRDefault="00AF6702" w:rsidP="007803B6">
            <w:pPr>
              <w:spacing w:before="150" w:after="150"/>
              <w:contextualSpacing/>
              <w:rPr>
                <w:sz w:val="20"/>
                <w:szCs w:val="20"/>
              </w:rPr>
            </w:pPr>
            <w:r w:rsidRPr="00702882">
              <w:rPr>
                <w:sz w:val="20"/>
                <w:szCs w:val="20"/>
              </w:rPr>
              <w:t> </w:t>
            </w:r>
          </w:p>
        </w:tc>
      </w:tr>
      <w:tr w:rsidR="00B86C9D" w:rsidRPr="00702882" w14:paraId="2C8CCB96" w14:textId="77777777" w:rsidTr="00AE6820">
        <w:trPr>
          <w:jc w:val="center"/>
        </w:trPr>
        <w:tc>
          <w:tcPr>
            <w:tcW w:w="0" w:type="auto"/>
            <w:tcMar>
              <w:top w:w="15" w:type="dxa"/>
              <w:left w:w="75" w:type="dxa"/>
              <w:bottom w:w="15" w:type="dxa"/>
              <w:right w:w="75" w:type="dxa"/>
            </w:tcMar>
            <w:vAlign w:val="center"/>
            <w:hideMark/>
          </w:tcPr>
          <w:p w14:paraId="62CD44EA" w14:textId="77777777" w:rsidR="00AF6702" w:rsidRPr="00702882" w:rsidRDefault="00AF6702" w:rsidP="007803B6">
            <w:pPr>
              <w:spacing w:before="150" w:after="150"/>
              <w:contextualSpacing/>
              <w:rPr>
                <w:sz w:val="20"/>
                <w:szCs w:val="20"/>
              </w:rPr>
            </w:pPr>
            <w:r w:rsidRPr="00702882">
              <w:rPr>
                <w:sz w:val="20"/>
                <w:szCs w:val="20"/>
              </w:rPr>
              <w:t>DepoSurplus_numeric:Unemployment</w:t>
            </w:r>
          </w:p>
        </w:tc>
        <w:tc>
          <w:tcPr>
            <w:tcW w:w="0" w:type="auto"/>
            <w:tcMar>
              <w:top w:w="15" w:type="dxa"/>
              <w:left w:w="75" w:type="dxa"/>
              <w:bottom w:w="15" w:type="dxa"/>
              <w:right w:w="75" w:type="dxa"/>
            </w:tcMar>
            <w:vAlign w:val="center"/>
            <w:hideMark/>
          </w:tcPr>
          <w:p w14:paraId="77D9A4B0"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738FF26A" w14:textId="77777777" w:rsidR="00AF6702" w:rsidRPr="00702882" w:rsidRDefault="00AF6702" w:rsidP="007803B6">
            <w:pPr>
              <w:spacing w:before="150" w:after="150"/>
              <w:contextualSpacing/>
              <w:rPr>
                <w:sz w:val="20"/>
                <w:szCs w:val="20"/>
              </w:rPr>
            </w:pPr>
            <w:r w:rsidRPr="00702882">
              <w:rPr>
                <w:sz w:val="20"/>
                <w:szCs w:val="20"/>
              </w:rPr>
              <w:t>0.09 (0.33)</w:t>
            </w:r>
          </w:p>
        </w:tc>
        <w:tc>
          <w:tcPr>
            <w:tcW w:w="0" w:type="auto"/>
            <w:tcMar>
              <w:top w:w="15" w:type="dxa"/>
              <w:left w:w="75" w:type="dxa"/>
              <w:bottom w:w="15" w:type="dxa"/>
              <w:right w:w="75" w:type="dxa"/>
            </w:tcMar>
            <w:vAlign w:val="center"/>
            <w:hideMark/>
          </w:tcPr>
          <w:p w14:paraId="7453BDB9"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BA24DBB" w14:textId="77777777" w:rsidR="00AF6702" w:rsidRPr="00702882" w:rsidRDefault="00AF6702" w:rsidP="007803B6">
            <w:pPr>
              <w:spacing w:before="150" w:after="150"/>
              <w:contextualSpacing/>
              <w:rPr>
                <w:sz w:val="20"/>
                <w:szCs w:val="20"/>
              </w:rPr>
            </w:pPr>
            <w:r w:rsidRPr="00702882">
              <w:rPr>
                <w:sz w:val="20"/>
                <w:szCs w:val="20"/>
              </w:rPr>
              <w:t> </w:t>
            </w:r>
          </w:p>
        </w:tc>
      </w:tr>
      <w:tr w:rsidR="00B86C9D" w:rsidRPr="00702882" w14:paraId="3E51D845" w14:textId="77777777" w:rsidTr="00AE6820">
        <w:trPr>
          <w:jc w:val="center"/>
        </w:trPr>
        <w:tc>
          <w:tcPr>
            <w:tcW w:w="0" w:type="auto"/>
            <w:tcMar>
              <w:top w:w="15" w:type="dxa"/>
              <w:left w:w="75" w:type="dxa"/>
              <w:bottom w:w="15" w:type="dxa"/>
              <w:right w:w="75" w:type="dxa"/>
            </w:tcMar>
            <w:vAlign w:val="center"/>
            <w:hideMark/>
          </w:tcPr>
          <w:p w14:paraId="306B0C5D" w14:textId="77777777" w:rsidR="00AF6702" w:rsidRPr="00702882" w:rsidRDefault="00AF6702" w:rsidP="007803B6">
            <w:pPr>
              <w:spacing w:before="150" w:after="150"/>
              <w:contextualSpacing/>
              <w:rPr>
                <w:sz w:val="20"/>
                <w:szCs w:val="20"/>
              </w:rPr>
            </w:pPr>
            <w:r w:rsidRPr="00702882">
              <w:rPr>
                <w:sz w:val="20"/>
                <w:szCs w:val="20"/>
              </w:rPr>
              <w:t>DepoVol_formula:Unemployment</w:t>
            </w:r>
          </w:p>
        </w:tc>
        <w:tc>
          <w:tcPr>
            <w:tcW w:w="0" w:type="auto"/>
            <w:tcMar>
              <w:top w:w="15" w:type="dxa"/>
              <w:left w:w="75" w:type="dxa"/>
              <w:bottom w:w="15" w:type="dxa"/>
              <w:right w:w="75" w:type="dxa"/>
            </w:tcMar>
            <w:vAlign w:val="center"/>
            <w:hideMark/>
          </w:tcPr>
          <w:p w14:paraId="15C62195"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D0303C7" w14:textId="77777777" w:rsidR="00AF6702" w:rsidRPr="00702882" w:rsidRDefault="00AF6702" w:rsidP="007803B6">
            <w:pPr>
              <w:spacing w:before="150" w:after="150"/>
              <w:contextualSpacing/>
              <w:rPr>
                <w:sz w:val="20"/>
                <w:szCs w:val="20"/>
              </w:rPr>
            </w:pPr>
            <w:r w:rsidRPr="00702882">
              <w:rPr>
                <w:sz w:val="20"/>
                <w:szCs w:val="20"/>
              </w:rPr>
              <w:t>1.89 (0.48)</w:t>
            </w:r>
            <w:r w:rsidRPr="00702882">
              <w:rPr>
                <w:sz w:val="20"/>
                <w:szCs w:val="20"/>
                <w:vertAlign w:val="superscript"/>
              </w:rPr>
              <w:t>***</w:t>
            </w:r>
          </w:p>
        </w:tc>
        <w:tc>
          <w:tcPr>
            <w:tcW w:w="0" w:type="auto"/>
            <w:tcMar>
              <w:top w:w="15" w:type="dxa"/>
              <w:left w:w="75" w:type="dxa"/>
              <w:bottom w:w="15" w:type="dxa"/>
              <w:right w:w="75" w:type="dxa"/>
            </w:tcMar>
            <w:vAlign w:val="center"/>
            <w:hideMark/>
          </w:tcPr>
          <w:p w14:paraId="27B4E168" w14:textId="77777777" w:rsidR="00AF6702" w:rsidRPr="00702882" w:rsidRDefault="00AF6702" w:rsidP="007803B6">
            <w:pPr>
              <w:spacing w:before="150" w:after="150"/>
              <w:contextualSpacing/>
              <w:rPr>
                <w:sz w:val="20"/>
                <w:szCs w:val="20"/>
              </w:rPr>
            </w:pPr>
            <w:r w:rsidRPr="00702882">
              <w:rPr>
                <w:sz w:val="20"/>
                <w:szCs w:val="20"/>
              </w:rPr>
              <w:t>1.73 (0.46)</w:t>
            </w:r>
            <w:r w:rsidRPr="00702882">
              <w:rPr>
                <w:sz w:val="20"/>
                <w:szCs w:val="20"/>
                <w:vertAlign w:val="superscript"/>
              </w:rPr>
              <w:t>***</w:t>
            </w:r>
          </w:p>
        </w:tc>
        <w:tc>
          <w:tcPr>
            <w:tcW w:w="0" w:type="auto"/>
            <w:tcMar>
              <w:top w:w="15" w:type="dxa"/>
              <w:left w:w="75" w:type="dxa"/>
              <w:bottom w:w="15" w:type="dxa"/>
              <w:right w:w="75" w:type="dxa"/>
            </w:tcMar>
            <w:vAlign w:val="center"/>
            <w:hideMark/>
          </w:tcPr>
          <w:p w14:paraId="61380CD9" w14:textId="77777777" w:rsidR="00AF6702" w:rsidRPr="00702882" w:rsidRDefault="00AF6702" w:rsidP="007803B6">
            <w:pPr>
              <w:spacing w:before="150" w:after="150"/>
              <w:contextualSpacing/>
              <w:rPr>
                <w:sz w:val="20"/>
                <w:szCs w:val="20"/>
              </w:rPr>
            </w:pPr>
            <w:r w:rsidRPr="00702882">
              <w:rPr>
                <w:sz w:val="20"/>
                <w:szCs w:val="20"/>
              </w:rPr>
              <w:t>1.75 (0.44)</w:t>
            </w:r>
            <w:r w:rsidRPr="00702882">
              <w:rPr>
                <w:sz w:val="20"/>
                <w:szCs w:val="20"/>
                <w:vertAlign w:val="superscript"/>
              </w:rPr>
              <w:t>***</w:t>
            </w:r>
          </w:p>
        </w:tc>
      </w:tr>
      <w:tr w:rsidR="00B86C9D" w:rsidRPr="00702882" w14:paraId="1DDA800E" w14:textId="77777777" w:rsidTr="00AE6820">
        <w:trPr>
          <w:jc w:val="center"/>
        </w:trPr>
        <w:tc>
          <w:tcPr>
            <w:tcW w:w="0" w:type="auto"/>
            <w:tcMar>
              <w:top w:w="15" w:type="dxa"/>
              <w:left w:w="75" w:type="dxa"/>
              <w:bottom w:w="15" w:type="dxa"/>
              <w:right w:w="75" w:type="dxa"/>
            </w:tcMar>
            <w:vAlign w:val="center"/>
            <w:hideMark/>
          </w:tcPr>
          <w:p w14:paraId="64E29712" w14:textId="77777777" w:rsidR="00AF6702" w:rsidRPr="00702882" w:rsidRDefault="00AF6702" w:rsidP="007803B6">
            <w:pPr>
              <w:spacing w:before="150" w:after="150"/>
              <w:contextualSpacing/>
              <w:rPr>
                <w:sz w:val="20"/>
                <w:szCs w:val="20"/>
              </w:rPr>
            </w:pPr>
            <w:r w:rsidRPr="00702882">
              <w:rPr>
                <w:sz w:val="20"/>
                <w:szCs w:val="20"/>
              </w:rPr>
              <w:t>DepoVol_propor:Unemployment</w:t>
            </w:r>
          </w:p>
        </w:tc>
        <w:tc>
          <w:tcPr>
            <w:tcW w:w="0" w:type="auto"/>
            <w:tcMar>
              <w:top w:w="15" w:type="dxa"/>
              <w:left w:w="75" w:type="dxa"/>
              <w:bottom w:w="15" w:type="dxa"/>
              <w:right w:w="75" w:type="dxa"/>
            </w:tcMar>
            <w:vAlign w:val="center"/>
            <w:hideMark/>
          </w:tcPr>
          <w:p w14:paraId="63CA7CBB"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A20010D" w14:textId="77777777" w:rsidR="00AF6702" w:rsidRPr="00702882" w:rsidRDefault="00AF6702" w:rsidP="007803B6">
            <w:pPr>
              <w:spacing w:before="150" w:after="150"/>
              <w:contextualSpacing/>
              <w:rPr>
                <w:sz w:val="20"/>
                <w:szCs w:val="20"/>
              </w:rPr>
            </w:pPr>
            <w:r w:rsidRPr="00702882">
              <w:rPr>
                <w:sz w:val="20"/>
                <w:szCs w:val="20"/>
              </w:rPr>
              <w:t>0.31 (0.22)</w:t>
            </w:r>
          </w:p>
        </w:tc>
        <w:tc>
          <w:tcPr>
            <w:tcW w:w="0" w:type="auto"/>
            <w:tcMar>
              <w:top w:w="15" w:type="dxa"/>
              <w:left w:w="75" w:type="dxa"/>
              <w:bottom w:w="15" w:type="dxa"/>
              <w:right w:w="75" w:type="dxa"/>
            </w:tcMar>
            <w:vAlign w:val="center"/>
            <w:hideMark/>
          </w:tcPr>
          <w:p w14:paraId="68D537DF"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6CD5248" w14:textId="77777777" w:rsidR="00AF6702" w:rsidRPr="00702882" w:rsidRDefault="00AF6702" w:rsidP="007803B6">
            <w:pPr>
              <w:spacing w:before="150" w:after="150"/>
              <w:contextualSpacing/>
              <w:rPr>
                <w:sz w:val="20"/>
                <w:szCs w:val="20"/>
              </w:rPr>
            </w:pPr>
            <w:r w:rsidRPr="00702882">
              <w:rPr>
                <w:sz w:val="20"/>
                <w:szCs w:val="20"/>
              </w:rPr>
              <w:t> </w:t>
            </w:r>
          </w:p>
        </w:tc>
      </w:tr>
      <w:tr w:rsidR="00B86C9D" w:rsidRPr="00702882" w14:paraId="478ADB5F" w14:textId="77777777" w:rsidTr="00AE6820">
        <w:trPr>
          <w:jc w:val="center"/>
        </w:trPr>
        <w:tc>
          <w:tcPr>
            <w:tcW w:w="0" w:type="auto"/>
            <w:tcMar>
              <w:top w:w="15" w:type="dxa"/>
              <w:left w:w="75" w:type="dxa"/>
              <w:bottom w:w="15" w:type="dxa"/>
              <w:right w:w="75" w:type="dxa"/>
            </w:tcMar>
            <w:vAlign w:val="center"/>
            <w:hideMark/>
          </w:tcPr>
          <w:p w14:paraId="626F6224" w14:textId="77777777" w:rsidR="00AF6702" w:rsidRPr="00702882" w:rsidRDefault="00AF6702" w:rsidP="007803B6">
            <w:pPr>
              <w:spacing w:before="150" w:after="150"/>
              <w:contextualSpacing/>
              <w:rPr>
                <w:sz w:val="20"/>
                <w:szCs w:val="20"/>
              </w:rPr>
            </w:pPr>
            <w:r w:rsidRPr="00702882">
              <w:rPr>
                <w:sz w:val="20"/>
                <w:szCs w:val="20"/>
              </w:rPr>
              <w:t>WithLegis_numeric:Unemployment</w:t>
            </w:r>
          </w:p>
        </w:tc>
        <w:tc>
          <w:tcPr>
            <w:tcW w:w="0" w:type="auto"/>
            <w:tcMar>
              <w:top w:w="15" w:type="dxa"/>
              <w:left w:w="75" w:type="dxa"/>
              <w:bottom w:w="15" w:type="dxa"/>
              <w:right w:w="75" w:type="dxa"/>
            </w:tcMar>
            <w:vAlign w:val="center"/>
            <w:hideMark/>
          </w:tcPr>
          <w:p w14:paraId="6614DCBD"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9651A72" w14:textId="77777777" w:rsidR="00AF6702" w:rsidRPr="00702882" w:rsidRDefault="00AF6702" w:rsidP="007803B6">
            <w:pPr>
              <w:spacing w:before="150" w:after="150"/>
              <w:contextualSpacing/>
              <w:rPr>
                <w:sz w:val="20"/>
                <w:szCs w:val="20"/>
              </w:rPr>
            </w:pPr>
            <w:r w:rsidRPr="00702882">
              <w:rPr>
                <w:sz w:val="20"/>
                <w:szCs w:val="20"/>
              </w:rPr>
              <w:t>2.53 (0.51)</w:t>
            </w:r>
            <w:r w:rsidRPr="00702882">
              <w:rPr>
                <w:sz w:val="20"/>
                <w:szCs w:val="20"/>
                <w:vertAlign w:val="superscript"/>
              </w:rPr>
              <w:t>***</w:t>
            </w:r>
          </w:p>
        </w:tc>
        <w:tc>
          <w:tcPr>
            <w:tcW w:w="0" w:type="auto"/>
            <w:tcMar>
              <w:top w:w="15" w:type="dxa"/>
              <w:left w:w="75" w:type="dxa"/>
              <w:bottom w:w="15" w:type="dxa"/>
              <w:right w:w="75" w:type="dxa"/>
            </w:tcMar>
            <w:vAlign w:val="center"/>
            <w:hideMark/>
          </w:tcPr>
          <w:p w14:paraId="46B474CF" w14:textId="77777777" w:rsidR="00AF6702" w:rsidRPr="00702882" w:rsidRDefault="00AF6702" w:rsidP="007803B6">
            <w:pPr>
              <w:spacing w:before="150" w:after="150"/>
              <w:contextualSpacing/>
              <w:rPr>
                <w:sz w:val="20"/>
                <w:szCs w:val="20"/>
              </w:rPr>
            </w:pPr>
            <w:r w:rsidRPr="00702882">
              <w:rPr>
                <w:sz w:val="20"/>
                <w:szCs w:val="20"/>
              </w:rPr>
              <w:t>2.30 (0.43)</w:t>
            </w:r>
            <w:r w:rsidRPr="00702882">
              <w:rPr>
                <w:sz w:val="20"/>
                <w:szCs w:val="20"/>
                <w:vertAlign w:val="superscript"/>
              </w:rPr>
              <w:t>***</w:t>
            </w:r>
          </w:p>
        </w:tc>
        <w:tc>
          <w:tcPr>
            <w:tcW w:w="0" w:type="auto"/>
            <w:tcMar>
              <w:top w:w="15" w:type="dxa"/>
              <w:left w:w="75" w:type="dxa"/>
              <w:bottom w:w="15" w:type="dxa"/>
              <w:right w:w="75" w:type="dxa"/>
            </w:tcMar>
            <w:vAlign w:val="center"/>
            <w:hideMark/>
          </w:tcPr>
          <w:p w14:paraId="13F20A89" w14:textId="77777777" w:rsidR="00AF6702" w:rsidRPr="00702882" w:rsidRDefault="00AF6702" w:rsidP="007803B6">
            <w:pPr>
              <w:spacing w:before="150" w:after="150"/>
              <w:contextualSpacing/>
              <w:rPr>
                <w:sz w:val="20"/>
                <w:szCs w:val="20"/>
              </w:rPr>
            </w:pPr>
            <w:r w:rsidRPr="00702882">
              <w:rPr>
                <w:sz w:val="20"/>
                <w:szCs w:val="20"/>
              </w:rPr>
              <w:t>2.36 (0.44)</w:t>
            </w:r>
            <w:r w:rsidRPr="00702882">
              <w:rPr>
                <w:sz w:val="20"/>
                <w:szCs w:val="20"/>
                <w:vertAlign w:val="superscript"/>
              </w:rPr>
              <w:t>***</w:t>
            </w:r>
          </w:p>
        </w:tc>
      </w:tr>
      <w:tr w:rsidR="00B86C9D" w:rsidRPr="00702882" w14:paraId="1CDA0F9D" w14:textId="77777777" w:rsidTr="00AE6820">
        <w:trPr>
          <w:jc w:val="center"/>
        </w:trPr>
        <w:tc>
          <w:tcPr>
            <w:tcW w:w="0" w:type="auto"/>
            <w:tcMar>
              <w:top w:w="15" w:type="dxa"/>
              <w:left w:w="75" w:type="dxa"/>
              <w:bottom w:w="15" w:type="dxa"/>
              <w:right w:w="75" w:type="dxa"/>
            </w:tcMar>
            <w:vAlign w:val="center"/>
            <w:hideMark/>
          </w:tcPr>
          <w:p w14:paraId="350EAECB" w14:textId="77777777" w:rsidR="00AF6702" w:rsidRPr="00702882" w:rsidRDefault="00AF6702" w:rsidP="007803B6">
            <w:pPr>
              <w:spacing w:before="150" w:after="150"/>
              <w:contextualSpacing/>
              <w:rPr>
                <w:sz w:val="20"/>
                <w:szCs w:val="20"/>
              </w:rPr>
            </w:pPr>
            <w:r w:rsidRPr="00702882">
              <w:rPr>
                <w:sz w:val="20"/>
                <w:szCs w:val="20"/>
              </w:rPr>
              <w:t>WithShortfall:Unemployment</w:t>
            </w:r>
          </w:p>
        </w:tc>
        <w:tc>
          <w:tcPr>
            <w:tcW w:w="0" w:type="auto"/>
            <w:tcMar>
              <w:top w:w="15" w:type="dxa"/>
              <w:left w:w="75" w:type="dxa"/>
              <w:bottom w:w="15" w:type="dxa"/>
              <w:right w:w="75" w:type="dxa"/>
            </w:tcMar>
            <w:vAlign w:val="center"/>
            <w:hideMark/>
          </w:tcPr>
          <w:p w14:paraId="0F546F13"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535F0C3" w14:textId="77777777" w:rsidR="00AF6702" w:rsidRPr="00702882" w:rsidRDefault="00AF6702" w:rsidP="007803B6">
            <w:pPr>
              <w:spacing w:before="150" w:after="150"/>
              <w:contextualSpacing/>
              <w:rPr>
                <w:sz w:val="20"/>
                <w:szCs w:val="20"/>
              </w:rPr>
            </w:pPr>
            <w:r w:rsidRPr="00702882">
              <w:rPr>
                <w:sz w:val="20"/>
                <w:szCs w:val="20"/>
              </w:rPr>
              <w:t>-0.00 (0.34)</w:t>
            </w:r>
          </w:p>
        </w:tc>
        <w:tc>
          <w:tcPr>
            <w:tcW w:w="0" w:type="auto"/>
            <w:tcMar>
              <w:top w:w="15" w:type="dxa"/>
              <w:left w:w="75" w:type="dxa"/>
              <w:bottom w:w="15" w:type="dxa"/>
              <w:right w:w="75" w:type="dxa"/>
            </w:tcMar>
            <w:vAlign w:val="center"/>
            <w:hideMark/>
          </w:tcPr>
          <w:p w14:paraId="71623FE7"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13A83AB" w14:textId="77777777" w:rsidR="00AF6702" w:rsidRPr="00702882" w:rsidRDefault="00AF6702" w:rsidP="007803B6">
            <w:pPr>
              <w:spacing w:before="150" w:after="150"/>
              <w:contextualSpacing/>
              <w:rPr>
                <w:sz w:val="20"/>
                <w:szCs w:val="20"/>
              </w:rPr>
            </w:pPr>
            <w:r w:rsidRPr="00702882">
              <w:rPr>
                <w:sz w:val="20"/>
                <w:szCs w:val="20"/>
              </w:rPr>
              <w:t> </w:t>
            </w:r>
          </w:p>
        </w:tc>
      </w:tr>
      <w:tr w:rsidR="00B86C9D" w:rsidRPr="00702882" w14:paraId="5E8B5DB1" w14:textId="77777777" w:rsidTr="00AE6820">
        <w:trPr>
          <w:jc w:val="center"/>
        </w:trPr>
        <w:tc>
          <w:tcPr>
            <w:tcW w:w="0" w:type="auto"/>
            <w:tcMar>
              <w:top w:w="15" w:type="dxa"/>
              <w:left w:w="75" w:type="dxa"/>
              <w:bottom w:w="15" w:type="dxa"/>
              <w:right w:w="75" w:type="dxa"/>
            </w:tcMar>
            <w:vAlign w:val="center"/>
            <w:hideMark/>
          </w:tcPr>
          <w:p w14:paraId="7495C15D" w14:textId="77777777" w:rsidR="00AF6702" w:rsidRPr="00702882" w:rsidRDefault="00AF6702" w:rsidP="007803B6">
            <w:pPr>
              <w:spacing w:before="150" w:after="150"/>
              <w:contextualSpacing/>
              <w:rPr>
                <w:sz w:val="20"/>
                <w:szCs w:val="20"/>
              </w:rPr>
            </w:pPr>
            <w:r w:rsidRPr="00702882">
              <w:rPr>
                <w:sz w:val="20"/>
                <w:szCs w:val="20"/>
              </w:rPr>
              <w:t>WithVol:Unemployment</w:t>
            </w:r>
          </w:p>
        </w:tc>
        <w:tc>
          <w:tcPr>
            <w:tcW w:w="0" w:type="auto"/>
            <w:tcMar>
              <w:top w:w="15" w:type="dxa"/>
              <w:left w:w="75" w:type="dxa"/>
              <w:bottom w:w="15" w:type="dxa"/>
              <w:right w:w="75" w:type="dxa"/>
            </w:tcMar>
            <w:vAlign w:val="center"/>
            <w:hideMark/>
          </w:tcPr>
          <w:p w14:paraId="302809FE"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0B141CD5" w14:textId="77777777" w:rsidR="00AF6702" w:rsidRPr="00702882" w:rsidRDefault="00AF6702" w:rsidP="007803B6">
            <w:pPr>
              <w:spacing w:before="150" w:after="150"/>
              <w:contextualSpacing/>
              <w:rPr>
                <w:sz w:val="20"/>
                <w:szCs w:val="20"/>
              </w:rPr>
            </w:pPr>
            <w:r w:rsidRPr="00702882">
              <w:rPr>
                <w:sz w:val="20"/>
                <w:szCs w:val="20"/>
              </w:rPr>
              <w:t>-0.76 (0.42)</w:t>
            </w:r>
            <w:r w:rsidRPr="00702882">
              <w:rPr>
                <w:sz w:val="20"/>
                <w:szCs w:val="20"/>
                <w:vertAlign w:val="superscript"/>
              </w:rPr>
              <w:t>*</w:t>
            </w:r>
          </w:p>
        </w:tc>
        <w:tc>
          <w:tcPr>
            <w:tcW w:w="0" w:type="auto"/>
            <w:tcMar>
              <w:top w:w="15" w:type="dxa"/>
              <w:left w:w="75" w:type="dxa"/>
              <w:bottom w:w="15" w:type="dxa"/>
              <w:right w:w="75" w:type="dxa"/>
            </w:tcMar>
            <w:vAlign w:val="center"/>
            <w:hideMark/>
          </w:tcPr>
          <w:p w14:paraId="1DA2DCC4" w14:textId="77777777" w:rsidR="00AF6702" w:rsidRPr="00702882" w:rsidRDefault="00AF6702" w:rsidP="007803B6">
            <w:pPr>
              <w:spacing w:before="150" w:after="150"/>
              <w:contextualSpacing/>
              <w:rPr>
                <w:sz w:val="20"/>
                <w:szCs w:val="20"/>
              </w:rPr>
            </w:pPr>
            <w:r w:rsidRPr="00702882">
              <w:rPr>
                <w:sz w:val="20"/>
                <w:szCs w:val="20"/>
              </w:rPr>
              <w:t>-0.70 (0.40)</w:t>
            </w:r>
            <w:r w:rsidRPr="00702882">
              <w:rPr>
                <w:sz w:val="20"/>
                <w:szCs w:val="20"/>
                <w:vertAlign w:val="superscript"/>
              </w:rPr>
              <w:t>*</w:t>
            </w:r>
          </w:p>
        </w:tc>
        <w:tc>
          <w:tcPr>
            <w:tcW w:w="0" w:type="auto"/>
            <w:tcMar>
              <w:top w:w="15" w:type="dxa"/>
              <w:left w:w="75" w:type="dxa"/>
              <w:bottom w:w="15" w:type="dxa"/>
              <w:right w:w="75" w:type="dxa"/>
            </w:tcMar>
            <w:vAlign w:val="center"/>
            <w:hideMark/>
          </w:tcPr>
          <w:p w14:paraId="0BFC0653" w14:textId="77777777" w:rsidR="00AF6702" w:rsidRPr="00702882" w:rsidRDefault="00AF6702" w:rsidP="007803B6">
            <w:pPr>
              <w:spacing w:before="150" w:after="150"/>
              <w:contextualSpacing/>
              <w:rPr>
                <w:sz w:val="20"/>
                <w:szCs w:val="20"/>
              </w:rPr>
            </w:pPr>
            <w:r w:rsidRPr="00702882">
              <w:rPr>
                <w:sz w:val="20"/>
                <w:szCs w:val="20"/>
              </w:rPr>
              <w:t>-0.70 (0.37)</w:t>
            </w:r>
            <w:r w:rsidRPr="00702882">
              <w:rPr>
                <w:sz w:val="20"/>
                <w:szCs w:val="20"/>
                <w:vertAlign w:val="superscript"/>
              </w:rPr>
              <w:t>*</w:t>
            </w:r>
          </w:p>
        </w:tc>
      </w:tr>
      <w:tr w:rsidR="00B86C9D" w:rsidRPr="00702882" w14:paraId="3672A9D6" w14:textId="77777777" w:rsidTr="00AE6820">
        <w:trPr>
          <w:jc w:val="center"/>
        </w:trPr>
        <w:tc>
          <w:tcPr>
            <w:tcW w:w="0" w:type="auto"/>
            <w:tcMar>
              <w:top w:w="15" w:type="dxa"/>
              <w:left w:w="75" w:type="dxa"/>
              <w:bottom w:w="15" w:type="dxa"/>
              <w:right w:w="75" w:type="dxa"/>
            </w:tcMar>
            <w:vAlign w:val="center"/>
            <w:hideMark/>
          </w:tcPr>
          <w:p w14:paraId="23962A57" w14:textId="77777777" w:rsidR="00AF6702" w:rsidRPr="00702882" w:rsidRDefault="00AF6702" w:rsidP="007803B6">
            <w:pPr>
              <w:spacing w:before="150" w:after="150"/>
              <w:contextualSpacing/>
              <w:rPr>
                <w:sz w:val="20"/>
                <w:szCs w:val="20"/>
              </w:rPr>
            </w:pPr>
            <w:r w:rsidRPr="00702882">
              <w:rPr>
                <w:sz w:val="20"/>
                <w:szCs w:val="20"/>
              </w:rPr>
              <w:t>Repay_4bin:Unemployment</w:t>
            </w:r>
          </w:p>
        </w:tc>
        <w:tc>
          <w:tcPr>
            <w:tcW w:w="0" w:type="auto"/>
            <w:tcMar>
              <w:top w:w="15" w:type="dxa"/>
              <w:left w:w="75" w:type="dxa"/>
              <w:bottom w:w="15" w:type="dxa"/>
              <w:right w:w="75" w:type="dxa"/>
            </w:tcMar>
            <w:vAlign w:val="center"/>
            <w:hideMark/>
          </w:tcPr>
          <w:p w14:paraId="52E319AE"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6D5D0C63" w14:textId="77777777" w:rsidR="00AF6702" w:rsidRPr="00702882" w:rsidRDefault="00AF6702" w:rsidP="007803B6">
            <w:pPr>
              <w:spacing w:before="150" w:after="150"/>
              <w:contextualSpacing/>
              <w:rPr>
                <w:sz w:val="20"/>
                <w:szCs w:val="20"/>
              </w:rPr>
            </w:pPr>
            <w:r w:rsidRPr="00702882">
              <w:rPr>
                <w:sz w:val="20"/>
                <w:szCs w:val="20"/>
              </w:rPr>
              <w:t>-0.02 (0.07)</w:t>
            </w:r>
          </w:p>
        </w:tc>
        <w:tc>
          <w:tcPr>
            <w:tcW w:w="0" w:type="auto"/>
            <w:tcMar>
              <w:top w:w="15" w:type="dxa"/>
              <w:left w:w="75" w:type="dxa"/>
              <w:bottom w:w="15" w:type="dxa"/>
              <w:right w:w="75" w:type="dxa"/>
            </w:tcMar>
            <w:vAlign w:val="center"/>
            <w:hideMark/>
          </w:tcPr>
          <w:p w14:paraId="25B12C8D"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906D6FF" w14:textId="77777777" w:rsidR="00AF6702" w:rsidRPr="00702882" w:rsidRDefault="00AF6702" w:rsidP="007803B6">
            <w:pPr>
              <w:spacing w:before="150" w:after="150"/>
              <w:contextualSpacing/>
              <w:rPr>
                <w:sz w:val="20"/>
                <w:szCs w:val="20"/>
              </w:rPr>
            </w:pPr>
            <w:r w:rsidRPr="00702882">
              <w:rPr>
                <w:sz w:val="20"/>
                <w:szCs w:val="20"/>
              </w:rPr>
              <w:t> </w:t>
            </w:r>
          </w:p>
        </w:tc>
      </w:tr>
      <w:tr w:rsidR="00B86C9D" w:rsidRPr="00702882" w14:paraId="278B46A2" w14:textId="77777777" w:rsidTr="00AE6820">
        <w:trPr>
          <w:jc w:val="center"/>
        </w:trPr>
        <w:tc>
          <w:tcPr>
            <w:tcW w:w="0" w:type="auto"/>
            <w:tcMar>
              <w:top w:w="15" w:type="dxa"/>
              <w:left w:w="75" w:type="dxa"/>
              <w:bottom w:w="15" w:type="dxa"/>
              <w:right w:w="75" w:type="dxa"/>
            </w:tcMar>
            <w:vAlign w:val="center"/>
            <w:hideMark/>
          </w:tcPr>
          <w:p w14:paraId="67EA4F3B" w14:textId="77777777" w:rsidR="00AF6702" w:rsidRPr="00702882" w:rsidRDefault="00AF6702" w:rsidP="007803B6">
            <w:pPr>
              <w:spacing w:before="150" w:after="150"/>
              <w:contextualSpacing/>
              <w:rPr>
                <w:sz w:val="20"/>
                <w:szCs w:val="20"/>
              </w:rPr>
            </w:pPr>
            <w:r w:rsidRPr="00702882">
              <w:rPr>
                <w:sz w:val="20"/>
                <w:szCs w:val="20"/>
              </w:rPr>
              <w:t>WithLim:Unemployment</w:t>
            </w:r>
          </w:p>
        </w:tc>
        <w:tc>
          <w:tcPr>
            <w:tcW w:w="0" w:type="auto"/>
            <w:tcMar>
              <w:top w:w="15" w:type="dxa"/>
              <w:left w:w="75" w:type="dxa"/>
              <w:bottom w:w="15" w:type="dxa"/>
              <w:right w:w="75" w:type="dxa"/>
            </w:tcMar>
            <w:vAlign w:val="center"/>
            <w:hideMark/>
          </w:tcPr>
          <w:p w14:paraId="22EE7821"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318360D5" w14:textId="77777777" w:rsidR="00AF6702" w:rsidRPr="00702882" w:rsidRDefault="00AF6702" w:rsidP="007803B6">
            <w:pPr>
              <w:spacing w:before="150" w:after="150"/>
              <w:contextualSpacing/>
              <w:rPr>
                <w:sz w:val="20"/>
                <w:szCs w:val="20"/>
              </w:rPr>
            </w:pPr>
            <w:r w:rsidRPr="00702882">
              <w:rPr>
                <w:sz w:val="20"/>
                <w:szCs w:val="20"/>
              </w:rPr>
              <w:t>0.50 (0.28)</w:t>
            </w:r>
            <w:r w:rsidRPr="00702882">
              <w:rPr>
                <w:sz w:val="20"/>
                <w:szCs w:val="20"/>
                <w:vertAlign w:val="superscript"/>
              </w:rPr>
              <w:t>*</w:t>
            </w:r>
          </w:p>
        </w:tc>
        <w:tc>
          <w:tcPr>
            <w:tcW w:w="0" w:type="auto"/>
            <w:tcMar>
              <w:top w:w="15" w:type="dxa"/>
              <w:left w:w="75" w:type="dxa"/>
              <w:bottom w:w="15" w:type="dxa"/>
              <w:right w:w="75" w:type="dxa"/>
            </w:tcMar>
            <w:vAlign w:val="center"/>
            <w:hideMark/>
          </w:tcPr>
          <w:p w14:paraId="182692DD" w14:textId="77777777" w:rsidR="00AF6702" w:rsidRPr="00702882" w:rsidRDefault="00AF6702" w:rsidP="007803B6">
            <w:pPr>
              <w:spacing w:before="150" w:after="150"/>
              <w:contextualSpacing/>
              <w:rPr>
                <w:sz w:val="20"/>
                <w:szCs w:val="20"/>
              </w:rPr>
            </w:pPr>
            <w:r w:rsidRPr="00702882">
              <w:rPr>
                <w:sz w:val="20"/>
                <w:szCs w:val="20"/>
              </w:rPr>
              <w:t>0.43 (0.26)</w:t>
            </w:r>
            <w:r w:rsidRPr="00702882">
              <w:rPr>
                <w:sz w:val="20"/>
                <w:szCs w:val="20"/>
                <w:vertAlign w:val="superscript"/>
              </w:rPr>
              <w:t>*</w:t>
            </w:r>
          </w:p>
        </w:tc>
        <w:tc>
          <w:tcPr>
            <w:tcW w:w="0" w:type="auto"/>
            <w:tcMar>
              <w:top w:w="15" w:type="dxa"/>
              <w:left w:w="75" w:type="dxa"/>
              <w:bottom w:w="15" w:type="dxa"/>
              <w:right w:w="75" w:type="dxa"/>
            </w:tcMar>
            <w:vAlign w:val="center"/>
            <w:hideMark/>
          </w:tcPr>
          <w:p w14:paraId="1ADCE6B4" w14:textId="77777777" w:rsidR="00AF6702" w:rsidRPr="00702882" w:rsidRDefault="00AF6702" w:rsidP="007803B6">
            <w:pPr>
              <w:spacing w:before="150" w:after="150"/>
              <w:contextualSpacing/>
              <w:rPr>
                <w:sz w:val="20"/>
                <w:szCs w:val="20"/>
              </w:rPr>
            </w:pPr>
            <w:r w:rsidRPr="00702882">
              <w:rPr>
                <w:sz w:val="20"/>
                <w:szCs w:val="20"/>
              </w:rPr>
              <w:t>0.48 (0.27)</w:t>
            </w:r>
            <w:r w:rsidRPr="00702882">
              <w:rPr>
                <w:sz w:val="20"/>
                <w:szCs w:val="20"/>
                <w:vertAlign w:val="superscript"/>
              </w:rPr>
              <w:t>*</w:t>
            </w:r>
          </w:p>
        </w:tc>
      </w:tr>
      <w:tr w:rsidR="00B86C9D" w:rsidRPr="00702882" w14:paraId="2150002D" w14:textId="77777777" w:rsidTr="00AE6820">
        <w:trPr>
          <w:jc w:val="center"/>
        </w:trPr>
        <w:tc>
          <w:tcPr>
            <w:tcW w:w="0" w:type="auto"/>
            <w:tcMar>
              <w:top w:w="15" w:type="dxa"/>
              <w:left w:w="75" w:type="dxa"/>
              <w:bottom w:w="15" w:type="dxa"/>
              <w:right w:w="75" w:type="dxa"/>
            </w:tcMar>
            <w:vAlign w:val="center"/>
            <w:hideMark/>
          </w:tcPr>
          <w:p w14:paraId="25217405" w14:textId="77777777" w:rsidR="00AF6702" w:rsidRPr="00702882" w:rsidRDefault="00AF6702" w:rsidP="007803B6">
            <w:pPr>
              <w:spacing w:before="150" w:after="150"/>
              <w:contextualSpacing/>
              <w:rPr>
                <w:sz w:val="20"/>
                <w:szCs w:val="20"/>
              </w:rPr>
            </w:pPr>
            <w:r w:rsidRPr="00702882">
              <w:rPr>
                <w:sz w:val="20"/>
                <w:szCs w:val="20"/>
              </w:rPr>
              <w:t>Cap_percent:DepoSurplus_numeric</w:t>
            </w:r>
          </w:p>
        </w:tc>
        <w:tc>
          <w:tcPr>
            <w:tcW w:w="0" w:type="auto"/>
            <w:tcMar>
              <w:top w:w="15" w:type="dxa"/>
              <w:left w:w="75" w:type="dxa"/>
              <w:bottom w:w="15" w:type="dxa"/>
              <w:right w:w="75" w:type="dxa"/>
            </w:tcMar>
            <w:vAlign w:val="center"/>
            <w:hideMark/>
          </w:tcPr>
          <w:p w14:paraId="0F6C9C04"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4AA01C5"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1912C4E0" w14:textId="77777777" w:rsidR="00AF6702" w:rsidRPr="00702882" w:rsidRDefault="00AF6702" w:rsidP="007803B6">
            <w:pPr>
              <w:spacing w:before="150" w:after="150"/>
              <w:contextualSpacing/>
              <w:rPr>
                <w:sz w:val="20"/>
                <w:szCs w:val="20"/>
              </w:rPr>
            </w:pPr>
            <w:r w:rsidRPr="00702882">
              <w:rPr>
                <w:sz w:val="20"/>
                <w:szCs w:val="20"/>
              </w:rPr>
              <w:t>-0.05 (0.04)</w:t>
            </w:r>
          </w:p>
        </w:tc>
        <w:tc>
          <w:tcPr>
            <w:tcW w:w="0" w:type="auto"/>
            <w:tcMar>
              <w:top w:w="15" w:type="dxa"/>
              <w:left w:w="75" w:type="dxa"/>
              <w:bottom w:w="15" w:type="dxa"/>
              <w:right w:w="75" w:type="dxa"/>
            </w:tcMar>
            <w:vAlign w:val="center"/>
            <w:hideMark/>
          </w:tcPr>
          <w:p w14:paraId="001784D8" w14:textId="77777777" w:rsidR="00AF6702" w:rsidRPr="00702882" w:rsidRDefault="00AF6702" w:rsidP="007803B6">
            <w:pPr>
              <w:spacing w:before="150" w:after="150"/>
              <w:contextualSpacing/>
              <w:rPr>
                <w:sz w:val="20"/>
                <w:szCs w:val="20"/>
              </w:rPr>
            </w:pPr>
            <w:r w:rsidRPr="00702882">
              <w:rPr>
                <w:sz w:val="20"/>
                <w:szCs w:val="20"/>
              </w:rPr>
              <w:t> </w:t>
            </w:r>
          </w:p>
        </w:tc>
      </w:tr>
      <w:tr w:rsidR="00B86C9D" w:rsidRPr="00702882" w14:paraId="114D8E25" w14:textId="77777777" w:rsidTr="00AE6820">
        <w:trPr>
          <w:jc w:val="center"/>
        </w:trPr>
        <w:tc>
          <w:tcPr>
            <w:tcW w:w="0" w:type="auto"/>
            <w:tcMar>
              <w:top w:w="15" w:type="dxa"/>
              <w:left w:w="75" w:type="dxa"/>
              <w:bottom w:w="15" w:type="dxa"/>
              <w:right w:w="75" w:type="dxa"/>
            </w:tcMar>
            <w:vAlign w:val="center"/>
            <w:hideMark/>
          </w:tcPr>
          <w:p w14:paraId="1523908C" w14:textId="77777777" w:rsidR="00AF6702" w:rsidRPr="00702882" w:rsidRDefault="00AF6702" w:rsidP="007803B6">
            <w:pPr>
              <w:spacing w:before="150" w:after="150"/>
              <w:contextualSpacing/>
              <w:rPr>
                <w:sz w:val="20"/>
                <w:szCs w:val="20"/>
              </w:rPr>
            </w:pPr>
            <w:r w:rsidRPr="00702882">
              <w:rPr>
                <w:sz w:val="20"/>
                <w:szCs w:val="20"/>
              </w:rPr>
              <w:t>WithVol:WithLim</w:t>
            </w:r>
          </w:p>
        </w:tc>
        <w:tc>
          <w:tcPr>
            <w:tcW w:w="0" w:type="auto"/>
            <w:tcMar>
              <w:top w:w="15" w:type="dxa"/>
              <w:left w:w="75" w:type="dxa"/>
              <w:bottom w:w="15" w:type="dxa"/>
              <w:right w:w="75" w:type="dxa"/>
            </w:tcMar>
            <w:vAlign w:val="center"/>
            <w:hideMark/>
          </w:tcPr>
          <w:p w14:paraId="106D15F1"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43EF722D" w14:textId="77777777" w:rsidR="00AF6702" w:rsidRPr="00702882" w:rsidRDefault="00AF6702" w:rsidP="007803B6">
            <w:pPr>
              <w:spacing w:before="150" w:after="150"/>
              <w:contextualSpacing/>
              <w:rPr>
                <w:sz w:val="20"/>
                <w:szCs w:val="20"/>
              </w:rPr>
            </w:pPr>
            <w:r w:rsidRPr="00702882">
              <w:rPr>
                <w:sz w:val="20"/>
                <w:szCs w:val="20"/>
              </w:rPr>
              <w:t> </w:t>
            </w:r>
          </w:p>
        </w:tc>
        <w:tc>
          <w:tcPr>
            <w:tcW w:w="0" w:type="auto"/>
            <w:tcMar>
              <w:top w:w="15" w:type="dxa"/>
              <w:left w:w="75" w:type="dxa"/>
              <w:bottom w:w="15" w:type="dxa"/>
              <w:right w:w="75" w:type="dxa"/>
            </w:tcMar>
            <w:vAlign w:val="center"/>
            <w:hideMark/>
          </w:tcPr>
          <w:p w14:paraId="53FC07F5" w14:textId="77777777" w:rsidR="00AF6702" w:rsidRPr="00702882" w:rsidRDefault="00AF6702" w:rsidP="007803B6">
            <w:pPr>
              <w:spacing w:before="150" w:after="150"/>
              <w:contextualSpacing/>
              <w:rPr>
                <w:sz w:val="20"/>
                <w:szCs w:val="20"/>
              </w:rPr>
            </w:pPr>
            <w:r w:rsidRPr="00702882">
              <w:rPr>
                <w:sz w:val="20"/>
                <w:szCs w:val="20"/>
              </w:rPr>
              <w:t>3.29 (2.89)</w:t>
            </w:r>
          </w:p>
        </w:tc>
        <w:tc>
          <w:tcPr>
            <w:tcW w:w="0" w:type="auto"/>
            <w:tcMar>
              <w:top w:w="15" w:type="dxa"/>
              <w:left w:w="75" w:type="dxa"/>
              <w:bottom w:w="15" w:type="dxa"/>
              <w:right w:w="75" w:type="dxa"/>
            </w:tcMar>
            <w:vAlign w:val="center"/>
            <w:hideMark/>
          </w:tcPr>
          <w:p w14:paraId="06CA1328" w14:textId="77777777" w:rsidR="00AF6702" w:rsidRPr="00702882" w:rsidRDefault="00AF6702" w:rsidP="007803B6">
            <w:pPr>
              <w:spacing w:before="150" w:after="150"/>
              <w:contextualSpacing/>
              <w:rPr>
                <w:sz w:val="20"/>
                <w:szCs w:val="20"/>
              </w:rPr>
            </w:pPr>
            <w:r w:rsidRPr="00702882">
              <w:rPr>
                <w:sz w:val="20"/>
                <w:szCs w:val="20"/>
              </w:rPr>
              <w:t> </w:t>
            </w:r>
          </w:p>
        </w:tc>
      </w:tr>
      <w:tr w:rsidR="00B86C9D" w:rsidRPr="00702882" w14:paraId="36482CF0" w14:textId="77777777" w:rsidTr="00AE6820">
        <w:trPr>
          <w:jc w:val="center"/>
        </w:trPr>
        <w:tc>
          <w:tcPr>
            <w:tcW w:w="0" w:type="auto"/>
            <w:tcMar>
              <w:top w:w="15" w:type="dxa"/>
              <w:left w:w="75" w:type="dxa"/>
              <w:bottom w:w="15" w:type="dxa"/>
              <w:right w:w="75" w:type="dxa"/>
            </w:tcMar>
            <w:vAlign w:val="center"/>
          </w:tcPr>
          <w:p w14:paraId="6752E626" w14:textId="77777777" w:rsidR="00AF6702" w:rsidRPr="00702882" w:rsidRDefault="00AF6702" w:rsidP="007803B6">
            <w:pPr>
              <w:spacing w:before="150" w:after="150"/>
              <w:contextualSpacing/>
              <w:rPr>
                <w:sz w:val="20"/>
                <w:szCs w:val="20"/>
              </w:rPr>
            </w:pPr>
            <w:r w:rsidRPr="00702882">
              <w:rPr>
                <w:sz w:val="20"/>
                <w:szCs w:val="20"/>
              </w:rPr>
              <w:t>R</w:t>
            </w:r>
            <w:r w:rsidRPr="00702882">
              <w:rPr>
                <w:sz w:val="20"/>
                <w:szCs w:val="20"/>
                <w:vertAlign w:val="superscript"/>
              </w:rPr>
              <w:t>2</w:t>
            </w:r>
          </w:p>
        </w:tc>
        <w:tc>
          <w:tcPr>
            <w:tcW w:w="0" w:type="auto"/>
            <w:tcMar>
              <w:top w:w="15" w:type="dxa"/>
              <w:left w:w="75" w:type="dxa"/>
              <w:bottom w:w="15" w:type="dxa"/>
              <w:right w:w="75" w:type="dxa"/>
            </w:tcMar>
            <w:vAlign w:val="center"/>
          </w:tcPr>
          <w:p w14:paraId="72542F4C" w14:textId="77777777" w:rsidR="00AF6702" w:rsidRPr="00702882" w:rsidRDefault="00AF6702" w:rsidP="007803B6">
            <w:pPr>
              <w:spacing w:before="150" w:after="150"/>
              <w:contextualSpacing/>
              <w:rPr>
                <w:sz w:val="20"/>
                <w:szCs w:val="20"/>
              </w:rPr>
            </w:pPr>
            <w:r w:rsidRPr="00702882">
              <w:rPr>
                <w:sz w:val="20"/>
                <w:szCs w:val="20"/>
              </w:rPr>
              <w:t>0.38</w:t>
            </w:r>
          </w:p>
        </w:tc>
        <w:tc>
          <w:tcPr>
            <w:tcW w:w="0" w:type="auto"/>
            <w:tcMar>
              <w:top w:w="15" w:type="dxa"/>
              <w:left w:w="75" w:type="dxa"/>
              <w:bottom w:w="15" w:type="dxa"/>
              <w:right w:w="75" w:type="dxa"/>
            </w:tcMar>
            <w:vAlign w:val="center"/>
          </w:tcPr>
          <w:p w14:paraId="22A75B3D" w14:textId="77777777" w:rsidR="00AF6702" w:rsidRPr="00702882" w:rsidRDefault="00AF6702" w:rsidP="007803B6">
            <w:pPr>
              <w:spacing w:before="150" w:after="150"/>
              <w:contextualSpacing/>
              <w:rPr>
                <w:sz w:val="20"/>
                <w:szCs w:val="20"/>
              </w:rPr>
            </w:pPr>
            <w:r w:rsidRPr="00702882">
              <w:rPr>
                <w:sz w:val="20"/>
                <w:szCs w:val="20"/>
              </w:rPr>
              <w:t>0.44</w:t>
            </w:r>
          </w:p>
        </w:tc>
        <w:tc>
          <w:tcPr>
            <w:tcW w:w="0" w:type="auto"/>
            <w:tcMar>
              <w:top w:w="15" w:type="dxa"/>
              <w:left w:w="75" w:type="dxa"/>
              <w:bottom w:w="15" w:type="dxa"/>
              <w:right w:w="75" w:type="dxa"/>
            </w:tcMar>
            <w:vAlign w:val="center"/>
          </w:tcPr>
          <w:p w14:paraId="09640AE8" w14:textId="77777777" w:rsidR="00AF6702" w:rsidRPr="00702882" w:rsidRDefault="00AF6702" w:rsidP="007803B6">
            <w:pPr>
              <w:spacing w:before="150" w:after="150"/>
              <w:contextualSpacing/>
              <w:rPr>
                <w:sz w:val="20"/>
                <w:szCs w:val="20"/>
              </w:rPr>
            </w:pPr>
            <w:r w:rsidRPr="00702882">
              <w:rPr>
                <w:sz w:val="20"/>
                <w:szCs w:val="20"/>
              </w:rPr>
              <w:t>0.44</w:t>
            </w:r>
          </w:p>
        </w:tc>
        <w:tc>
          <w:tcPr>
            <w:tcW w:w="0" w:type="auto"/>
            <w:tcMar>
              <w:top w:w="15" w:type="dxa"/>
              <w:left w:w="75" w:type="dxa"/>
              <w:bottom w:w="15" w:type="dxa"/>
              <w:right w:w="75" w:type="dxa"/>
            </w:tcMar>
            <w:vAlign w:val="center"/>
          </w:tcPr>
          <w:p w14:paraId="5E030E4B" w14:textId="77777777" w:rsidR="00AF6702" w:rsidRPr="00702882" w:rsidRDefault="00AF6702" w:rsidP="007803B6">
            <w:pPr>
              <w:spacing w:before="150" w:after="150"/>
              <w:contextualSpacing/>
              <w:rPr>
                <w:sz w:val="20"/>
                <w:szCs w:val="20"/>
              </w:rPr>
            </w:pPr>
            <w:r w:rsidRPr="00702882">
              <w:rPr>
                <w:sz w:val="20"/>
                <w:szCs w:val="20"/>
              </w:rPr>
              <w:t>0.44</w:t>
            </w:r>
          </w:p>
        </w:tc>
      </w:tr>
      <w:tr w:rsidR="00B86C9D" w:rsidRPr="00702882" w14:paraId="785582BC" w14:textId="77777777" w:rsidTr="00AE6820">
        <w:trPr>
          <w:jc w:val="center"/>
        </w:trPr>
        <w:tc>
          <w:tcPr>
            <w:tcW w:w="0" w:type="auto"/>
            <w:tcBorders>
              <w:bottom w:val="nil"/>
            </w:tcBorders>
            <w:tcMar>
              <w:top w:w="15" w:type="dxa"/>
              <w:left w:w="75" w:type="dxa"/>
              <w:bottom w:w="15" w:type="dxa"/>
              <w:right w:w="75" w:type="dxa"/>
            </w:tcMar>
            <w:vAlign w:val="center"/>
          </w:tcPr>
          <w:p w14:paraId="09F0B6ED" w14:textId="77777777" w:rsidR="00AF6702" w:rsidRPr="00702882" w:rsidRDefault="00AF6702" w:rsidP="007803B6">
            <w:pPr>
              <w:spacing w:before="150" w:after="150"/>
              <w:contextualSpacing/>
              <w:rPr>
                <w:sz w:val="20"/>
                <w:szCs w:val="20"/>
              </w:rPr>
            </w:pPr>
            <w:r w:rsidRPr="00702882">
              <w:rPr>
                <w:sz w:val="20"/>
                <w:szCs w:val="20"/>
              </w:rPr>
              <w:t>Adj. R</w:t>
            </w:r>
            <w:r w:rsidRPr="00702882">
              <w:rPr>
                <w:sz w:val="20"/>
                <w:szCs w:val="20"/>
                <w:vertAlign w:val="superscript"/>
              </w:rPr>
              <w:t>2</w:t>
            </w:r>
          </w:p>
        </w:tc>
        <w:tc>
          <w:tcPr>
            <w:tcW w:w="0" w:type="auto"/>
            <w:tcBorders>
              <w:bottom w:val="nil"/>
            </w:tcBorders>
            <w:tcMar>
              <w:top w:w="15" w:type="dxa"/>
              <w:left w:w="75" w:type="dxa"/>
              <w:bottom w:w="15" w:type="dxa"/>
              <w:right w:w="75" w:type="dxa"/>
            </w:tcMar>
            <w:vAlign w:val="center"/>
          </w:tcPr>
          <w:p w14:paraId="72A65D5D" w14:textId="77777777" w:rsidR="00AF6702" w:rsidRPr="00702882" w:rsidRDefault="00AF6702" w:rsidP="007803B6">
            <w:pPr>
              <w:spacing w:before="150" w:after="150"/>
              <w:contextualSpacing/>
              <w:rPr>
                <w:sz w:val="20"/>
                <w:szCs w:val="20"/>
              </w:rPr>
            </w:pPr>
            <w:r w:rsidRPr="00702882">
              <w:rPr>
                <w:sz w:val="20"/>
                <w:szCs w:val="20"/>
              </w:rPr>
              <w:t>0.34</w:t>
            </w:r>
          </w:p>
        </w:tc>
        <w:tc>
          <w:tcPr>
            <w:tcW w:w="0" w:type="auto"/>
            <w:tcBorders>
              <w:bottom w:val="nil"/>
            </w:tcBorders>
            <w:tcMar>
              <w:top w:w="15" w:type="dxa"/>
              <w:left w:w="75" w:type="dxa"/>
              <w:bottom w:w="15" w:type="dxa"/>
              <w:right w:w="75" w:type="dxa"/>
            </w:tcMar>
            <w:vAlign w:val="center"/>
          </w:tcPr>
          <w:p w14:paraId="7358AC9F" w14:textId="77777777" w:rsidR="00AF6702" w:rsidRPr="00702882" w:rsidRDefault="00AF6702" w:rsidP="007803B6">
            <w:pPr>
              <w:spacing w:before="150" w:after="150"/>
              <w:contextualSpacing/>
              <w:rPr>
                <w:sz w:val="20"/>
                <w:szCs w:val="20"/>
              </w:rPr>
            </w:pPr>
            <w:r w:rsidRPr="00702882">
              <w:rPr>
                <w:sz w:val="20"/>
                <w:szCs w:val="20"/>
              </w:rPr>
              <w:t>0.40</w:t>
            </w:r>
          </w:p>
        </w:tc>
        <w:tc>
          <w:tcPr>
            <w:tcW w:w="0" w:type="auto"/>
            <w:tcBorders>
              <w:bottom w:val="nil"/>
            </w:tcBorders>
            <w:tcMar>
              <w:top w:w="15" w:type="dxa"/>
              <w:left w:w="75" w:type="dxa"/>
              <w:bottom w:w="15" w:type="dxa"/>
              <w:right w:w="75" w:type="dxa"/>
            </w:tcMar>
            <w:vAlign w:val="center"/>
          </w:tcPr>
          <w:p w14:paraId="2BE34912" w14:textId="77777777" w:rsidR="00AF6702" w:rsidRPr="00702882" w:rsidRDefault="00AF6702" w:rsidP="007803B6">
            <w:pPr>
              <w:spacing w:before="150" w:after="150"/>
              <w:contextualSpacing/>
              <w:rPr>
                <w:sz w:val="20"/>
                <w:szCs w:val="20"/>
              </w:rPr>
            </w:pPr>
            <w:r w:rsidRPr="00702882">
              <w:rPr>
                <w:sz w:val="20"/>
                <w:szCs w:val="20"/>
              </w:rPr>
              <w:t>0.40</w:t>
            </w:r>
          </w:p>
        </w:tc>
        <w:tc>
          <w:tcPr>
            <w:tcW w:w="0" w:type="auto"/>
            <w:tcBorders>
              <w:bottom w:val="nil"/>
            </w:tcBorders>
            <w:tcMar>
              <w:top w:w="15" w:type="dxa"/>
              <w:left w:w="75" w:type="dxa"/>
              <w:bottom w:w="15" w:type="dxa"/>
              <w:right w:w="75" w:type="dxa"/>
            </w:tcMar>
            <w:vAlign w:val="center"/>
          </w:tcPr>
          <w:p w14:paraId="49771460" w14:textId="77777777" w:rsidR="00AF6702" w:rsidRPr="00702882" w:rsidRDefault="00AF6702" w:rsidP="007803B6">
            <w:pPr>
              <w:spacing w:before="150" w:after="150"/>
              <w:contextualSpacing/>
              <w:rPr>
                <w:sz w:val="20"/>
                <w:szCs w:val="20"/>
              </w:rPr>
            </w:pPr>
            <w:r w:rsidRPr="00702882">
              <w:rPr>
                <w:sz w:val="20"/>
                <w:szCs w:val="20"/>
              </w:rPr>
              <w:t>0.40</w:t>
            </w:r>
          </w:p>
        </w:tc>
      </w:tr>
      <w:tr w:rsidR="00B86C9D" w:rsidRPr="00702882" w14:paraId="19A57408" w14:textId="77777777" w:rsidTr="00AE6820">
        <w:trPr>
          <w:jc w:val="center"/>
        </w:trPr>
        <w:tc>
          <w:tcPr>
            <w:tcW w:w="0" w:type="auto"/>
            <w:tcBorders>
              <w:top w:val="nil"/>
              <w:bottom w:val="single" w:sz="12" w:space="0" w:color="auto"/>
            </w:tcBorders>
            <w:tcMar>
              <w:top w:w="15" w:type="dxa"/>
              <w:left w:w="75" w:type="dxa"/>
              <w:bottom w:w="15" w:type="dxa"/>
              <w:right w:w="75" w:type="dxa"/>
            </w:tcMar>
            <w:vAlign w:val="center"/>
          </w:tcPr>
          <w:p w14:paraId="03855AAA" w14:textId="77777777" w:rsidR="00AF6702" w:rsidRPr="00702882" w:rsidRDefault="00AF6702" w:rsidP="007803B6">
            <w:pPr>
              <w:spacing w:before="150" w:after="150"/>
              <w:contextualSpacing/>
              <w:rPr>
                <w:sz w:val="20"/>
                <w:szCs w:val="20"/>
              </w:rPr>
            </w:pPr>
            <w:r w:rsidRPr="00702882">
              <w:rPr>
                <w:sz w:val="20"/>
                <w:szCs w:val="20"/>
              </w:rPr>
              <w:t>Num. obs.</w:t>
            </w:r>
          </w:p>
        </w:tc>
        <w:tc>
          <w:tcPr>
            <w:tcW w:w="0" w:type="auto"/>
            <w:tcBorders>
              <w:top w:val="nil"/>
              <w:bottom w:val="single" w:sz="12" w:space="0" w:color="auto"/>
            </w:tcBorders>
            <w:tcMar>
              <w:top w:w="15" w:type="dxa"/>
              <w:left w:w="75" w:type="dxa"/>
              <w:bottom w:w="15" w:type="dxa"/>
              <w:right w:w="75" w:type="dxa"/>
            </w:tcMar>
            <w:vAlign w:val="center"/>
          </w:tcPr>
          <w:p w14:paraId="2DF3E2AF" w14:textId="77777777" w:rsidR="00AF6702" w:rsidRPr="00702882" w:rsidRDefault="00AF6702" w:rsidP="007803B6">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004C0C86" w14:textId="77777777" w:rsidR="00AF6702" w:rsidRPr="00702882" w:rsidRDefault="00AF6702" w:rsidP="007803B6">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008925F5" w14:textId="77777777" w:rsidR="00AF6702" w:rsidRPr="00702882" w:rsidRDefault="00AF6702" w:rsidP="007803B6">
            <w:pPr>
              <w:spacing w:before="150" w:after="150"/>
              <w:contextualSpacing/>
              <w:rPr>
                <w:sz w:val="20"/>
                <w:szCs w:val="20"/>
              </w:rPr>
            </w:pPr>
            <w:r w:rsidRPr="00702882">
              <w:rPr>
                <w:sz w:val="20"/>
                <w:szCs w:val="20"/>
              </w:rPr>
              <w:t>813</w:t>
            </w:r>
          </w:p>
        </w:tc>
        <w:tc>
          <w:tcPr>
            <w:tcW w:w="0" w:type="auto"/>
            <w:tcBorders>
              <w:top w:val="nil"/>
              <w:bottom w:val="single" w:sz="12" w:space="0" w:color="auto"/>
            </w:tcBorders>
            <w:tcMar>
              <w:top w:w="15" w:type="dxa"/>
              <w:left w:w="75" w:type="dxa"/>
              <w:bottom w:w="15" w:type="dxa"/>
              <w:right w:w="75" w:type="dxa"/>
            </w:tcMar>
            <w:vAlign w:val="center"/>
          </w:tcPr>
          <w:p w14:paraId="2881E11A" w14:textId="77777777" w:rsidR="00AF6702" w:rsidRPr="00702882" w:rsidRDefault="00AF6702" w:rsidP="007803B6">
            <w:pPr>
              <w:spacing w:before="150" w:after="150"/>
              <w:contextualSpacing/>
              <w:rPr>
                <w:sz w:val="20"/>
                <w:szCs w:val="20"/>
              </w:rPr>
            </w:pPr>
            <w:r w:rsidRPr="00702882">
              <w:rPr>
                <w:sz w:val="20"/>
                <w:szCs w:val="20"/>
              </w:rPr>
              <w:t>813</w:t>
            </w:r>
          </w:p>
        </w:tc>
      </w:tr>
      <w:tr w:rsidR="00B86C9D" w:rsidRPr="00702882" w14:paraId="57C66185" w14:textId="77777777" w:rsidTr="00AE6820">
        <w:trPr>
          <w:jc w:val="center"/>
        </w:trPr>
        <w:tc>
          <w:tcPr>
            <w:tcW w:w="0" w:type="auto"/>
            <w:gridSpan w:val="5"/>
            <w:tcBorders>
              <w:top w:val="single" w:sz="12" w:space="0" w:color="auto"/>
            </w:tcBorders>
            <w:vAlign w:val="center"/>
            <w:hideMark/>
          </w:tcPr>
          <w:p w14:paraId="7B611DEF" w14:textId="77777777" w:rsidR="00AF6702" w:rsidRPr="00702882" w:rsidRDefault="00AF6702" w:rsidP="00C66AC4">
            <w:pPr>
              <w:spacing w:before="150" w:after="150" w:line="480" w:lineRule="auto"/>
              <w:contextualSpacing/>
              <w:rPr>
                <w:sz w:val="20"/>
                <w:szCs w:val="20"/>
              </w:rPr>
            </w:pPr>
            <w:r w:rsidRPr="00702882">
              <w:rPr>
                <w:sz w:val="20"/>
                <w:szCs w:val="20"/>
                <w:vertAlign w:val="superscript"/>
              </w:rPr>
              <w:t>***</w:t>
            </w:r>
            <w:r w:rsidRPr="00702882">
              <w:rPr>
                <w:sz w:val="20"/>
                <w:szCs w:val="20"/>
              </w:rPr>
              <w:t xml:space="preserve">p &lt; 0.01; </w:t>
            </w:r>
            <w:r w:rsidRPr="00702882">
              <w:rPr>
                <w:sz w:val="20"/>
                <w:szCs w:val="20"/>
                <w:vertAlign w:val="superscript"/>
              </w:rPr>
              <w:t>**</w:t>
            </w:r>
            <w:r w:rsidRPr="00702882">
              <w:rPr>
                <w:sz w:val="20"/>
                <w:szCs w:val="20"/>
              </w:rPr>
              <w:t xml:space="preserve">p &lt; 0.05; </w:t>
            </w:r>
            <w:r w:rsidRPr="00702882">
              <w:rPr>
                <w:sz w:val="20"/>
                <w:szCs w:val="20"/>
                <w:vertAlign w:val="superscript"/>
              </w:rPr>
              <w:t>*</w:t>
            </w:r>
            <w:r w:rsidRPr="00702882">
              <w:rPr>
                <w:sz w:val="20"/>
                <w:szCs w:val="20"/>
              </w:rPr>
              <w:t>p &lt; 0.1</w:t>
            </w:r>
          </w:p>
        </w:tc>
      </w:tr>
      <w:bookmarkEnd w:id="60"/>
    </w:tbl>
    <w:p w14:paraId="7098035B" w14:textId="77777777" w:rsidR="00AF6702" w:rsidRPr="00702882" w:rsidRDefault="00AF6702" w:rsidP="00C66AC4">
      <w:pPr>
        <w:spacing w:line="480" w:lineRule="auto"/>
        <w:rPr>
          <w:rFonts w:eastAsiaTheme="minorEastAsia"/>
          <w:b/>
          <w:bCs/>
          <w:color w:val="7030A0"/>
        </w:rPr>
      </w:pPr>
    </w:p>
    <w:p w14:paraId="12C5A44F" w14:textId="77777777" w:rsidR="00AF6702" w:rsidRPr="00702882" w:rsidRDefault="00AF6702" w:rsidP="00C66AC4">
      <w:pPr>
        <w:spacing w:line="480" w:lineRule="auto"/>
        <w:rPr>
          <w:rFonts w:eastAsiaTheme="minorEastAsia"/>
          <w:b/>
          <w:bCs/>
          <w:color w:val="7030A0"/>
        </w:rPr>
      </w:pPr>
    </w:p>
    <w:p w14:paraId="433D340E" w14:textId="77777777" w:rsidR="00AF6702" w:rsidRPr="00702882" w:rsidRDefault="00AF6702" w:rsidP="00C66AC4">
      <w:pPr>
        <w:spacing w:line="480" w:lineRule="auto"/>
        <w:rPr>
          <w:rFonts w:eastAsiaTheme="minorEastAsia"/>
          <w:b/>
          <w:bCs/>
          <w:color w:val="7030A0"/>
        </w:rPr>
      </w:pPr>
    </w:p>
    <w:p w14:paraId="1E02D042" w14:textId="77777777" w:rsidR="00AF6702" w:rsidRPr="00702882" w:rsidRDefault="00AF6702" w:rsidP="00C66AC4">
      <w:pPr>
        <w:spacing w:line="480" w:lineRule="auto"/>
        <w:rPr>
          <w:rFonts w:eastAsiaTheme="minorEastAsia"/>
          <w:b/>
          <w:bCs/>
          <w:color w:val="7030A0"/>
        </w:rPr>
      </w:pPr>
    </w:p>
    <w:p w14:paraId="6CFC3F47" w14:textId="77777777" w:rsidR="00AF6702" w:rsidRPr="00702882" w:rsidRDefault="00AF6702" w:rsidP="00C66AC4">
      <w:pPr>
        <w:spacing w:line="480" w:lineRule="auto"/>
        <w:rPr>
          <w:rFonts w:eastAsiaTheme="minorEastAsia"/>
          <w:b/>
          <w:bCs/>
          <w:color w:val="7030A0"/>
        </w:rPr>
      </w:pPr>
    </w:p>
    <w:p w14:paraId="241475B0" w14:textId="77777777" w:rsidR="00AF6702" w:rsidRPr="00702882" w:rsidRDefault="00AF6702" w:rsidP="00C66AC4">
      <w:pPr>
        <w:spacing w:line="480" w:lineRule="auto"/>
        <w:rPr>
          <w:rFonts w:eastAsiaTheme="minorEastAsia"/>
          <w:b/>
          <w:bCs/>
          <w:color w:val="7030A0"/>
        </w:rPr>
      </w:pPr>
    </w:p>
    <w:p w14:paraId="3FF3B42F" w14:textId="77777777" w:rsidR="00AF6702" w:rsidRPr="00702882" w:rsidRDefault="00AF6702" w:rsidP="00C66AC4">
      <w:pPr>
        <w:spacing w:line="480" w:lineRule="auto"/>
        <w:rPr>
          <w:rFonts w:eastAsiaTheme="minorEastAsia"/>
          <w:b/>
          <w:bCs/>
          <w:color w:val="7030A0"/>
        </w:rPr>
      </w:pPr>
    </w:p>
    <w:p w14:paraId="03544159" w14:textId="77777777" w:rsidR="00AF6702" w:rsidRPr="00702882" w:rsidRDefault="00AF6702" w:rsidP="00C66AC4">
      <w:pPr>
        <w:spacing w:line="480" w:lineRule="auto"/>
        <w:rPr>
          <w:rFonts w:eastAsiaTheme="minorEastAsia"/>
          <w:b/>
          <w:bCs/>
          <w:color w:val="7030A0"/>
        </w:rPr>
      </w:pPr>
    </w:p>
    <w:p w14:paraId="525BB7BE" w14:textId="77777777" w:rsidR="00AF6702" w:rsidRPr="00702882" w:rsidRDefault="00AF6702" w:rsidP="00C66AC4">
      <w:pPr>
        <w:spacing w:line="480" w:lineRule="auto"/>
        <w:rPr>
          <w:rFonts w:eastAsiaTheme="minorEastAsia"/>
          <w:b/>
          <w:bCs/>
          <w:color w:val="7030A0"/>
        </w:rPr>
      </w:pPr>
    </w:p>
    <w:p w14:paraId="23A4C7A6" w14:textId="77777777" w:rsidR="00AF6702" w:rsidRPr="00702882" w:rsidRDefault="00AF6702" w:rsidP="00C66AC4">
      <w:pPr>
        <w:spacing w:line="480" w:lineRule="auto"/>
        <w:rPr>
          <w:rFonts w:eastAsiaTheme="minorEastAsia"/>
          <w:b/>
          <w:bCs/>
          <w:color w:val="7030A0"/>
        </w:rPr>
      </w:pPr>
    </w:p>
    <w:p w14:paraId="038BEAB3" w14:textId="77777777" w:rsidR="00AF6702" w:rsidRPr="00702882" w:rsidRDefault="00AF6702" w:rsidP="00C66AC4">
      <w:pPr>
        <w:spacing w:line="480" w:lineRule="auto"/>
        <w:rPr>
          <w:rFonts w:eastAsiaTheme="minorEastAsia"/>
          <w:b/>
          <w:bCs/>
          <w:color w:val="7030A0"/>
        </w:rPr>
      </w:pPr>
    </w:p>
    <w:p w14:paraId="29B77BC4" w14:textId="77777777" w:rsidR="00AF6702" w:rsidRPr="00702882" w:rsidRDefault="00AF6702" w:rsidP="00C66AC4">
      <w:pPr>
        <w:spacing w:line="480" w:lineRule="auto"/>
        <w:rPr>
          <w:rFonts w:eastAsiaTheme="minorEastAsia"/>
          <w:b/>
          <w:bCs/>
          <w:color w:val="7030A0"/>
        </w:rPr>
      </w:pPr>
    </w:p>
    <w:p w14:paraId="7F13E484" w14:textId="77777777" w:rsidR="00AF6702" w:rsidRPr="00702882" w:rsidRDefault="00AF6702" w:rsidP="00C66AC4">
      <w:pPr>
        <w:spacing w:line="480" w:lineRule="auto"/>
        <w:rPr>
          <w:rFonts w:eastAsiaTheme="minorEastAsia"/>
          <w:b/>
          <w:bCs/>
          <w:color w:val="7030A0"/>
        </w:rPr>
      </w:pPr>
    </w:p>
    <w:p w14:paraId="3932A5BF" w14:textId="77777777" w:rsidR="00AF6702" w:rsidRPr="00702882" w:rsidRDefault="00AF6702" w:rsidP="00C66AC4">
      <w:pPr>
        <w:spacing w:line="480" w:lineRule="auto"/>
        <w:rPr>
          <w:rFonts w:eastAsiaTheme="minorEastAsia"/>
          <w:b/>
          <w:bCs/>
          <w:color w:val="7030A0"/>
        </w:rPr>
      </w:pPr>
    </w:p>
    <w:p w14:paraId="7C92296C" w14:textId="77777777" w:rsidR="00FF3E5D" w:rsidRPr="00702882" w:rsidRDefault="00FF3E5D" w:rsidP="00C66AC4">
      <w:pPr>
        <w:spacing w:line="480" w:lineRule="auto"/>
        <w:rPr>
          <w:rFonts w:eastAsiaTheme="minorEastAsia"/>
          <w:b/>
          <w:bCs/>
          <w:color w:val="7030A0"/>
        </w:rPr>
      </w:pPr>
    </w:p>
    <w:p w14:paraId="2FAF65CF" w14:textId="77777777" w:rsidR="00AF6702" w:rsidRPr="00702882" w:rsidRDefault="00AF6702" w:rsidP="00C66AC4">
      <w:pPr>
        <w:pStyle w:val="ad"/>
        <w:spacing w:before="0" w:beforeAutospacing="0" w:line="480" w:lineRule="auto"/>
        <w:ind w:firstLine="360"/>
        <w:contextualSpacing/>
        <w:rPr>
          <w:rFonts w:eastAsiaTheme="minorEastAsia"/>
          <w:b/>
          <w:bCs/>
          <w:i/>
          <w:iCs/>
        </w:rPr>
      </w:pPr>
      <w:r w:rsidRPr="00702882">
        <w:rPr>
          <w:rFonts w:eastAsiaTheme="minorEastAsia"/>
          <w:b/>
          <w:bCs/>
          <w:i/>
          <w:iCs/>
        </w:rPr>
        <w:lastRenderedPageBreak/>
        <w:t>6.2.5 Comparison of Model Performance: Effects of BSF Rules on GFB Levels</w:t>
      </w:r>
    </w:p>
    <w:p w14:paraId="76E18E29" w14:textId="59ED5008" w:rsidR="00AF6702" w:rsidRPr="00702882" w:rsidRDefault="00AF6702" w:rsidP="00C66AC4">
      <w:pPr>
        <w:pStyle w:val="ad"/>
        <w:spacing w:before="0" w:beforeAutospacing="0" w:line="480" w:lineRule="auto"/>
        <w:ind w:firstLine="709"/>
        <w:contextualSpacing/>
        <w:rPr>
          <w:rFonts w:eastAsiaTheme="minorEastAsia"/>
        </w:rPr>
      </w:pPr>
      <w:r w:rsidRPr="00702882">
        <w:t>Table 1</w:t>
      </w:r>
      <w:r w:rsidR="00F3295C" w:rsidRPr="00702882">
        <w:rPr>
          <w:rFonts w:eastAsiaTheme="minorEastAsia"/>
        </w:rPr>
        <w:t>7</w:t>
      </w:r>
      <w:r w:rsidRPr="00702882">
        <w:t xml:space="preserve"> compares the performance metrics of fixed effects Models 1 to 4 in Table 1</w:t>
      </w:r>
      <w:r w:rsidR="00F3295C" w:rsidRPr="00702882">
        <w:rPr>
          <w:rFonts w:eastAsiaTheme="minorEastAsia"/>
        </w:rPr>
        <w:t>4</w:t>
      </w:r>
      <w:r w:rsidRPr="00702882">
        <w:t>. Based on the provided table, Model 4 performs the best with a score of 92.83%, followed by Model 3 with 71.31%. Model 2 scores 59.55%, and Model 1 performs the worst with a score of 0.00%. The R-squared values for the models are similar, approximately around 0.3, indicating a comparable proportion of variance explained by each model. RMSE and Sigma are also similar across the models, indicating comparable predictive accuracy.</w:t>
      </w:r>
      <w:r w:rsidRPr="00702882">
        <w:rPr>
          <w:rFonts w:eastAsiaTheme="minorEastAsia"/>
        </w:rPr>
        <w:t xml:space="preserve"> </w:t>
      </w:r>
      <w:r w:rsidRPr="00702882">
        <w:t xml:space="preserve">However, there are substantial variations in AIC, AICc, and BIC weights among the models. These weights reflect the relative quality of the models in terms of goodness of fit and complexity. </w:t>
      </w:r>
      <w:r w:rsidRPr="00702882">
        <w:rPr>
          <w:rFonts w:eastAsiaTheme="minorEastAsia"/>
        </w:rPr>
        <w:t>Model 4 achieves a superior balance between model fit and complexity by retaining only significant interaction terms, enhancing parsimony without sacrificing explanatory power.</w:t>
      </w:r>
    </w:p>
    <w:p w14:paraId="4617C48A" w14:textId="77777777" w:rsidR="00AF6702" w:rsidRPr="00702882" w:rsidRDefault="00AF6702" w:rsidP="00C66AC4">
      <w:pPr>
        <w:pStyle w:val="ad"/>
        <w:spacing w:before="0" w:beforeAutospacing="0" w:line="480" w:lineRule="auto"/>
        <w:contextualSpacing/>
        <w:rPr>
          <w:rFonts w:eastAsiaTheme="minorEastAsia"/>
        </w:rPr>
      </w:pPr>
    </w:p>
    <w:p w14:paraId="18DBAF89" w14:textId="59FB3217" w:rsidR="00AF6702" w:rsidRPr="00702882" w:rsidRDefault="00AF6702" w:rsidP="00C66AC4">
      <w:pPr>
        <w:pStyle w:val="ad"/>
        <w:spacing w:before="0" w:beforeAutospacing="0" w:line="480" w:lineRule="auto"/>
        <w:contextualSpacing/>
        <w:jc w:val="center"/>
        <w:rPr>
          <w:rFonts w:eastAsiaTheme="minorEastAsia"/>
          <w:b/>
          <w:bCs/>
        </w:rPr>
      </w:pPr>
      <w:r w:rsidRPr="00702882">
        <w:rPr>
          <w:rFonts w:eastAsiaTheme="minorEastAsia"/>
          <w:b/>
          <w:bCs/>
        </w:rPr>
        <w:t>Table 1</w:t>
      </w:r>
      <w:r w:rsidR="00F3295C" w:rsidRPr="00702882">
        <w:rPr>
          <w:rFonts w:eastAsiaTheme="minorEastAsia"/>
          <w:b/>
          <w:bCs/>
        </w:rPr>
        <w:t>7</w:t>
      </w:r>
      <w:r w:rsidRPr="00702882">
        <w:rPr>
          <w:rFonts w:eastAsiaTheme="minorEastAsia"/>
          <w:b/>
          <w:bCs/>
        </w:rPr>
        <w:t>. Comparison of Model Performance Indices for Fixed Effects Models</w:t>
      </w:r>
    </w:p>
    <w:tbl>
      <w:tblPr>
        <w:tblStyle w:val="a7"/>
        <w:tblW w:w="8616" w:type="dxa"/>
        <w:jc w:val="center"/>
        <w:tblLayout w:type="fixed"/>
        <w:tblLook w:val="04A0" w:firstRow="1" w:lastRow="0" w:firstColumn="1" w:lastColumn="0" w:noHBand="0" w:noVBand="1"/>
      </w:tblPr>
      <w:tblGrid>
        <w:gridCol w:w="1077"/>
        <w:gridCol w:w="1077"/>
        <w:gridCol w:w="1077"/>
        <w:gridCol w:w="1077"/>
        <w:gridCol w:w="1077"/>
        <w:gridCol w:w="1077"/>
        <w:gridCol w:w="1077"/>
        <w:gridCol w:w="1077"/>
      </w:tblGrid>
      <w:tr w:rsidR="00F3295C" w:rsidRPr="00702882" w14:paraId="0E9235B6" w14:textId="77777777" w:rsidTr="00AE6820">
        <w:trPr>
          <w:trHeight w:val="340"/>
          <w:jc w:val="center"/>
        </w:trPr>
        <w:tc>
          <w:tcPr>
            <w:tcW w:w="1077" w:type="dxa"/>
            <w:noWrap/>
            <w:vAlign w:val="center"/>
            <w:hideMark/>
          </w:tcPr>
          <w:p w14:paraId="3EE9E699" w14:textId="77777777" w:rsidR="00AF6702" w:rsidRPr="00702882" w:rsidRDefault="00AF6702" w:rsidP="007803B6">
            <w:pPr>
              <w:jc w:val="both"/>
              <w:rPr>
                <w:rFonts w:eastAsia="맑은 고딕"/>
                <w:sz w:val="22"/>
                <w:szCs w:val="22"/>
              </w:rPr>
            </w:pPr>
            <w:r w:rsidRPr="00702882">
              <w:rPr>
                <w:rFonts w:eastAsia="맑은 고딕"/>
                <w:sz w:val="22"/>
                <w:szCs w:val="22"/>
              </w:rPr>
              <w:t>Name</w:t>
            </w:r>
          </w:p>
        </w:tc>
        <w:tc>
          <w:tcPr>
            <w:tcW w:w="1077" w:type="dxa"/>
            <w:noWrap/>
            <w:vAlign w:val="center"/>
            <w:hideMark/>
          </w:tcPr>
          <w:p w14:paraId="2E404E87" w14:textId="77777777" w:rsidR="00AF6702" w:rsidRPr="00702882" w:rsidRDefault="00AF6702" w:rsidP="007803B6">
            <w:pPr>
              <w:jc w:val="both"/>
              <w:rPr>
                <w:rFonts w:eastAsia="맑은 고딕"/>
                <w:sz w:val="22"/>
                <w:szCs w:val="22"/>
              </w:rPr>
            </w:pPr>
            <w:r w:rsidRPr="00702882">
              <w:rPr>
                <w:rFonts w:eastAsia="맑은 고딕"/>
                <w:sz w:val="22"/>
                <w:szCs w:val="22"/>
              </w:rPr>
              <w:t>R2</w:t>
            </w:r>
          </w:p>
        </w:tc>
        <w:tc>
          <w:tcPr>
            <w:tcW w:w="1077" w:type="dxa"/>
            <w:noWrap/>
            <w:vAlign w:val="center"/>
            <w:hideMark/>
          </w:tcPr>
          <w:p w14:paraId="74116DCD" w14:textId="77777777" w:rsidR="00AF6702" w:rsidRPr="00702882" w:rsidRDefault="00AF6702" w:rsidP="007803B6">
            <w:pPr>
              <w:jc w:val="both"/>
              <w:rPr>
                <w:rFonts w:eastAsia="맑은 고딕"/>
                <w:sz w:val="22"/>
                <w:szCs w:val="22"/>
              </w:rPr>
            </w:pPr>
            <w:r w:rsidRPr="00702882">
              <w:rPr>
                <w:rFonts w:eastAsia="맑은 고딕"/>
                <w:sz w:val="22"/>
                <w:szCs w:val="22"/>
              </w:rPr>
              <w:t>RMSE</w:t>
            </w:r>
          </w:p>
        </w:tc>
        <w:tc>
          <w:tcPr>
            <w:tcW w:w="1077" w:type="dxa"/>
            <w:noWrap/>
            <w:vAlign w:val="center"/>
            <w:hideMark/>
          </w:tcPr>
          <w:p w14:paraId="5BAE4CBA" w14:textId="77777777" w:rsidR="00AF6702" w:rsidRPr="00702882" w:rsidRDefault="00AF6702" w:rsidP="007803B6">
            <w:pPr>
              <w:jc w:val="both"/>
              <w:rPr>
                <w:rFonts w:eastAsia="맑은 고딕"/>
                <w:sz w:val="22"/>
                <w:szCs w:val="22"/>
              </w:rPr>
            </w:pPr>
            <w:r w:rsidRPr="00702882">
              <w:rPr>
                <w:rFonts w:eastAsia="맑은 고딕"/>
                <w:sz w:val="22"/>
                <w:szCs w:val="22"/>
              </w:rPr>
              <w:t>Sigma</w:t>
            </w:r>
          </w:p>
        </w:tc>
        <w:tc>
          <w:tcPr>
            <w:tcW w:w="1077" w:type="dxa"/>
            <w:noWrap/>
            <w:vAlign w:val="center"/>
            <w:hideMark/>
          </w:tcPr>
          <w:p w14:paraId="48C27421" w14:textId="77777777" w:rsidR="00AF6702" w:rsidRPr="00702882" w:rsidRDefault="00AF6702" w:rsidP="007803B6">
            <w:pPr>
              <w:jc w:val="both"/>
              <w:rPr>
                <w:rFonts w:eastAsia="맑은 고딕"/>
                <w:sz w:val="22"/>
                <w:szCs w:val="22"/>
              </w:rPr>
            </w:pPr>
            <w:r w:rsidRPr="00702882">
              <w:rPr>
                <w:rFonts w:eastAsia="맑은 고딕"/>
                <w:sz w:val="22"/>
                <w:szCs w:val="22"/>
              </w:rPr>
              <w:t>AIC weights</w:t>
            </w:r>
          </w:p>
        </w:tc>
        <w:tc>
          <w:tcPr>
            <w:tcW w:w="1077" w:type="dxa"/>
            <w:noWrap/>
            <w:vAlign w:val="center"/>
            <w:hideMark/>
          </w:tcPr>
          <w:p w14:paraId="66EDF9CA" w14:textId="77777777" w:rsidR="00AF6702" w:rsidRPr="00702882" w:rsidRDefault="00AF6702" w:rsidP="007803B6">
            <w:pPr>
              <w:jc w:val="both"/>
              <w:rPr>
                <w:rFonts w:eastAsia="맑은 고딕"/>
                <w:sz w:val="22"/>
                <w:szCs w:val="22"/>
              </w:rPr>
            </w:pPr>
            <w:r w:rsidRPr="00702882">
              <w:rPr>
                <w:rFonts w:eastAsia="맑은 고딕"/>
                <w:sz w:val="22"/>
                <w:szCs w:val="22"/>
              </w:rPr>
              <w:t>AICc weights</w:t>
            </w:r>
          </w:p>
        </w:tc>
        <w:tc>
          <w:tcPr>
            <w:tcW w:w="1077" w:type="dxa"/>
            <w:noWrap/>
            <w:vAlign w:val="center"/>
            <w:hideMark/>
          </w:tcPr>
          <w:p w14:paraId="5294B87C" w14:textId="77777777" w:rsidR="00AF6702" w:rsidRPr="00702882" w:rsidRDefault="00AF6702" w:rsidP="007803B6">
            <w:pPr>
              <w:jc w:val="both"/>
              <w:rPr>
                <w:rFonts w:eastAsia="맑은 고딕"/>
                <w:sz w:val="22"/>
                <w:szCs w:val="22"/>
              </w:rPr>
            </w:pPr>
            <w:r w:rsidRPr="00702882">
              <w:rPr>
                <w:rFonts w:eastAsia="맑은 고딕"/>
                <w:sz w:val="22"/>
                <w:szCs w:val="22"/>
              </w:rPr>
              <w:t>BIC weights</w:t>
            </w:r>
          </w:p>
        </w:tc>
        <w:tc>
          <w:tcPr>
            <w:tcW w:w="1077" w:type="dxa"/>
            <w:noWrap/>
            <w:vAlign w:val="center"/>
            <w:hideMark/>
          </w:tcPr>
          <w:p w14:paraId="2E7661C9" w14:textId="77777777" w:rsidR="00AF6702" w:rsidRPr="00702882" w:rsidRDefault="00AF6702" w:rsidP="007803B6">
            <w:pPr>
              <w:jc w:val="both"/>
              <w:rPr>
                <w:rFonts w:eastAsia="맑은 고딕"/>
                <w:sz w:val="22"/>
                <w:szCs w:val="22"/>
              </w:rPr>
            </w:pPr>
            <w:r w:rsidRPr="00702882">
              <w:rPr>
                <w:rFonts w:eastAsia="맑은 고딕"/>
                <w:sz w:val="22"/>
                <w:szCs w:val="22"/>
              </w:rPr>
              <w:t>Score</w:t>
            </w:r>
          </w:p>
        </w:tc>
      </w:tr>
      <w:tr w:rsidR="00F3295C" w:rsidRPr="00702882" w14:paraId="0539A827" w14:textId="77777777" w:rsidTr="00AE6820">
        <w:trPr>
          <w:trHeight w:val="340"/>
          <w:jc w:val="center"/>
        </w:trPr>
        <w:tc>
          <w:tcPr>
            <w:tcW w:w="1077" w:type="dxa"/>
            <w:noWrap/>
            <w:vAlign w:val="center"/>
            <w:hideMark/>
          </w:tcPr>
          <w:p w14:paraId="1A234ADB" w14:textId="77777777" w:rsidR="00AF6702" w:rsidRPr="00702882" w:rsidRDefault="00AF6702" w:rsidP="007803B6">
            <w:pPr>
              <w:jc w:val="both"/>
              <w:rPr>
                <w:rFonts w:eastAsia="맑은 고딕"/>
                <w:sz w:val="22"/>
                <w:szCs w:val="22"/>
              </w:rPr>
            </w:pPr>
            <w:r w:rsidRPr="00702882">
              <w:rPr>
                <w:rFonts w:eastAsia="맑은 고딕"/>
                <w:sz w:val="22"/>
                <w:szCs w:val="22"/>
              </w:rPr>
              <w:t>Model4</w:t>
            </w:r>
          </w:p>
        </w:tc>
        <w:tc>
          <w:tcPr>
            <w:tcW w:w="1077" w:type="dxa"/>
            <w:noWrap/>
            <w:vAlign w:val="center"/>
            <w:hideMark/>
          </w:tcPr>
          <w:p w14:paraId="56FB6ED3" w14:textId="77777777" w:rsidR="00AF6702" w:rsidRPr="00702882" w:rsidRDefault="00AF6702" w:rsidP="007803B6">
            <w:pPr>
              <w:jc w:val="both"/>
              <w:rPr>
                <w:rFonts w:eastAsia="맑은 고딕"/>
                <w:sz w:val="22"/>
                <w:szCs w:val="22"/>
              </w:rPr>
            </w:pPr>
            <w:r w:rsidRPr="00702882">
              <w:rPr>
                <w:rFonts w:eastAsia="맑은 고딕"/>
                <w:sz w:val="22"/>
                <w:szCs w:val="22"/>
              </w:rPr>
              <w:t>0.30</w:t>
            </w:r>
          </w:p>
        </w:tc>
        <w:tc>
          <w:tcPr>
            <w:tcW w:w="1077" w:type="dxa"/>
            <w:noWrap/>
            <w:vAlign w:val="center"/>
            <w:hideMark/>
          </w:tcPr>
          <w:p w14:paraId="06D7887F" w14:textId="77777777" w:rsidR="00AF6702" w:rsidRPr="00702882" w:rsidRDefault="00AF6702" w:rsidP="007803B6">
            <w:pPr>
              <w:jc w:val="both"/>
              <w:rPr>
                <w:rFonts w:eastAsia="맑은 고딕"/>
                <w:sz w:val="22"/>
                <w:szCs w:val="22"/>
              </w:rPr>
            </w:pPr>
            <w:r w:rsidRPr="00702882">
              <w:rPr>
                <w:rFonts w:eastAsia="맑은 고딕"/>
                <w:sz w:val="22"/>
                <w:szCs w:val="22"/>
              </w:rPr>
              <w:t>3.70</w:t>
            </w:r>
          </w:p>
        </w:tc>
        <w:tc>
          <w:tcPr>
            <w:tcW w:w="1077" w:type="dxa"/>
            <w:noWrap/>
            <w:vAlign w:val="center"/>
            <w:hideMark/>
          </w:tcPr>
          <w:p w14:paraId="159C1C92" w14:textId="77777777" w:rsidR="00AF6702" w:rsidRPr="00702882" w:rsidRDefault="00AF6702" w:rsidP="007803B6">
            <w:pPr>
              <w:jc w:val="both"/>
              <w:rPr>
                <w:rFonts w:eastAsia="맑은 고딕"/>
                <w:sz w:val="22"/>
                <w:szCs w:val="22"/>
              </w:rPr>
            </w:pPr>
            <w:r w:rsidRPr="00702882">
              <w:rPr>
                <w:rFonts w:eastAsia="맑은 고딕"/>
                <w:sz w:val="22"/>
                <w:szCs w:val="22"/>
              </w:rPr>
              <w:t>3.77</w:t>
            </w:r>
          </w:p>
        </w:tc>
        <w:tc>
          <w:tcPr>
            <w:tcW w:w="1077" w:type="dxa"/>
            <w:noWrap/>
            <w:vAlign w:val="center"/>
            <w:hideMark/>
          </w:tcPr>
          <w:p w14:paraId="2100DBDE" w14:textId="77777777" w:rsidR="00AF6702" w:rsidRPr="00702882" w:rsidRDefault="00AF6702" w:rsidP="007803B6">
            <w:pPr>
              <w:jc w:val="both"/>
              <w:rPr>
                <w:rFonts w:eastAsia="맑은 고딕"/>
                <w:sz w:val="22"/>
                <w:szCs w:val="22"/>
              </w:rPr>
            </w:pPr>
            <w:r w:rsidRPr="00702882">
              <w:rPr>
                <w:rFonts w:eastAsia="맑은 고딕"/>
                <w:sz w:val="22"/>
                <w:szCs w:val="22"/>
              </w:rPr>
              <w:t>0.55</w:t>
            </w:r>
          </w:p>
        </w:tc>
        <w:tc>
          <w:tcPr>
            <w:tcW w:w="1077" w:type="dxa"/>
            <w:noWrap/>
            <w:vAlign w:val="center"/>
            <w:hideMark/>
          </w:tcPr>
          <w:p w14:paraId="38FF8A6C" w14:textId="77777777" w:rsidR="00AF6702" w:rsidRPr="00702882" w:rsidRDefault="00AF6702" w:rsidP="007803B6">
            <w:pPr>
              <w:jc w:val="both"/>
              <w:rPr>
                <w:rFonts w:eastAsia="맑은 고딕"/>
                <w:sz w:val="22"/>
                <w:szCs w:val="22"/>
              </w:rPr>
            </w:pPr>
            <w:r w:rsidRPr="00702882">
              <w:rPr>
                <w:rFonts w:eastAsia="맑은 고딕"/>
                <w:sz w:val="22"/>
                <w:szCs w:val="22"/>
              </w:rPr>
              <w:t>0.58</w:t>
            </w:r>
          </w:p>
        </w:tc>
        <w:tc>
          <w:tcPr>
            <w:tcW w:w="1077" w:type="dxa"/>
            <w:noWrap/>
            <w:vAlign w:val="center"/>
            <w:hideMark/>
          </w:tcPr>
          <w:p w14:paraId="3E6E229B" w14:textId="77777777" w:rsidR="00AF6702" w:rsidRPr="00702882" w:rsidRDefault="00AF6702" w:rsidP="007803B6">
            <w:pPr>
              <w:jc w:val="both"/>
              <w:rPr>
                <w:rFonts w:eastAsia="맑은 고딕"/>
                <w:sz w:val="22"/>
                <w:szCs w:val="22"/>
              </w:rPr>
            </w:pPr>
            <w:r w:rsidRPr="00702882">
              <w:rPr>
                <w:rFonts w:eastAsia="맑은 고딕"/>
                <w:sz w:val="22"/>
                <w:szCs w:val="22"/>
              </w:rPr>
              <w:t>0.94</w:t>
            </w:r>
          </w:p>
        </w:tc>
        <w:tc>
          <w:tcPr>
            <w:tcW w:w="1077" w:type="dxa"/>
            <w:noWrap/>
            <w:vAlign w:val="center"/>
            <w:hideMark/>
          </w:tcPr>
          <w:p w14:paraId="22327831" w14:textId="77777777" w:rsidR="00AF6702" w:rsidRPr="00702882" w:rsidRDefault="00AF6702" w:rsidP="007803B6">
            <w:pPr>
              <w:jc w:val="both"/>
              <w:rPr>
                <w:rFonts w:eastAsia="맑은 고딕"/>
                <w:sz w:val="22"/>
                <w:szCs w:val="22"/>
              </w:rPr>
            </w:pPr>
            <w:r w:rsidRPr="00702882">
              <w:rPr>
                <w:rFonts w:eastAsia="맑은 고딕"/>
                <w:sz w:val="22"/>
                <w:szCs w:val="22"/>
              </w:rPr>
              <w:t>92.83 %</w:t>
            </w:r>
          </w:p>
        </w:tc>
      </w:tr>
      <w:tr w:rsidR="00F3295C" w:rsidRPr="00702882" w14:paraId="48E3DB57" w14:textId="77777777" w:rsidTr="00AE6820">
        <w:trPr>
          <w:trHeight w:val="340"/>
          <w:jc w:val="center"/>
        </w:trPr>
        <w:tc>
          <w:tcPr>
            <w:tcW w:w="1077" w:type="dxa"/>
            <w:noWrap/>
            <w:vAlign w:val="center"/>
            <w:hideMark/>
          </w:tcPr>
          <w:p w14:paraId="0FF48410" w14:textId="77777777" w:rsidR="00AF6702" w:rsidRPr="00702882" w:rsidRDefault="00AF6702" w:rsidP="007803B6">
            <w:pPr>
              <w:jc w:val="both"/>
              <w:rPr>
                <w:rFonts w:eastAsia="맑은 고딕"/>
                <w:sz w:val="22"/>
                <w:szCs w:val="22"/>
              </w:rPr>
            </w:pPr>
            <w:r w:rsidRPr="00702882">
              <w:rPr>
                <w:rFonts w:eastAsia="맑은 고딕"/>
                <w:sz w:val="22"/>
                <w:szCs w:val="22"/>
              </w:rPr>
              <w:t>Model3</w:t>
            </w:r>
          </w:p>
        </w:tc>
        <w:tc>
          <w:tcPr>
            <w:tcW w:w="1077" w:type="dxa"/>
            <w:noWrap/>
            <w:vAlign w:val="center"/>
            <w:hideMark/>
          </w:tcPr>
          <w:p w14:paraId="327B0D84" w14:textId="77777777" w:rsidR="00AF6702" w:rsidRPr="00702882" w:rsidRDefault="00AF6702" w:rsidP="007803B6">
            <w:pPr>
              <w:jc w:val="both"/>
              <w:rPr>
                <w:rFonts w:eastAsia="맑은 고딕"/>
                <w:sz w:val="22"/>
                <w:szCs w:val="22"/>
              </w:rPr>
            </w:pPr>
            <w:r w:rsidRPr="00702882">
              <w:rPr>
                <w:rFonts w:eastAsia="맑은 고딕"/>
                <w:sz w:val="22"/>
                <w:szCs w:val="22"/>
              </w:rPr>
              <w:t>0.30</w:t>
            </w:r>
          </w:p>
        </w:tc>
        <w:tc>
          <w:tcPr>
            <w:tcW w:w="1077" w:type="dxa"/>
            <w:noWrap/>
            <w:vAlign w:val="center"/>
            <w:hideMark/>
          </w:tcPr>
          <w:p w14:paraId="35C2412B" w14:textId="77777777" w:rsidR="00AF6702" w:rsidRPr="00702882" w:rsidRDefault="00AF6702" w:rsidP="007803B6">
            <w:pPr>
              <w:jc w:val="both"/>
              <w:rPr>
                <w:rFonts w:eastAsia="맑은 고딕"/>
                <w:sz w:val="22"/>
                <w:szCs w:val="22"/>
              </w:rPr>
            </w:pPr>
            <w:r w:rsidRPr="00702882">
              <w:rPr>
                <w:rFonts w:eastAsia="맑은 고딕"/>
                <w:sz w:val="22"/>
                <w:szCs w:val="22"/>
              </w:rPr>
              <w:t>3.69</w:t>
            </w:r>
          </w:p>
        </w:tc>
        <w:tc>
          <w:tcPr>
            <w:tcW w:w="1077" w:type="dxa"/>
            <w:noWrap/>
            <w:vAlign w:val="center"/>
            <w:hideMark/>
          </w:tcPr>
          <w:p w14:paraId="784ADBA5" w14:textId="77777777" w:rsidR="00AF6702" w:rsidRPr="00702882" w:rsidRDefault="00AF6702" w:rsidP="007803B6">
            <w:pPr>
              <w:jc w:val="both"/>
              <w:rPr>
                <w:rFonts w:eastAsia="맑은 고딕"/>
                <w:sz w:val="22"/>
                <w:szCs w:val="22"/>
              </w:rPr>
            </w:pPr>
            <w:r w:rsidRPr="00702882">
              <w:rPr>
                <w:rFonts w:eastAsia="맑은 고딕"/>
                <w:sz w:val="22"/>
                <w:szCs w:val="22"/>
              </w:rPr>
              <w:t>3.76</w:t>
            </w:r>
          </w:p>
        </w:tc>
        <w:tc>
          <w:tcPr>
            <w:tcW w:w="1077" w:type="dxa"/>
            <w:noWrap/>
            <w:vAlign w:val="center"/>
            <w:hideMark/>
          </w:tcPr>
          <w:p w14:paraId="6AD93EA7" w14:textId="77777777" w:rsidR="00AF6702" w:rsidRPr="00702882" w:rsidRDefault="00AF6702" w:rsidP="007803B6">
            <w:pPr>
              <w:jc w:val="both"/>
              <w:rPr>
                <w:rFonts w:eastAsia="맑은 고딕"/>
                <w:sz w:val="22"/>
                <w:szCs w:val="22"/>
              </w:rPr>
            </w:pPr>
            <w:r w:rsidRPr="00702882">
              <w:rPr>
                <w:rFonts w:eastAsia="맑은 고딕"/>
                <w:sz w:val="22"/>
                <w:szCs w:val="22"/>
              </w:rPr>
              <w:t>0.39</w:t>
            </w:r>
          </w:p>
        </w:tc>
        <w:tc>
          <w:tcPr>
            <w:tcW w:w="1077" w:type="dxa"/>
            <w:noWrap/>
            <w:vAlign w:val="center"/>
            <w:hideMark/>
          </w:tcPr>
          <w:p w14:paraId="2B45744C" w14:textId="77777777" w:rsidR="00AF6702" w:rsidRPr="00702882" w:rsidRDefault="00AF6702" w:rsidP="007803B6">
            <w:pPr>
              <w:jc w:val="both"/>
              <w:rPr>
                <w:rFonts w:eastAsia="맑은 고딕"/>
                <w:sz w:val="22"/>
                <w:szCs w:val="22"/>
              </w:rPr>
            </w:pPr>
            <w:r w:rsidRPr="00702882">
              <w:rPr>
                <w:rFonts w:eastAsia="맑은 고딕"/>
                <w:sz w:val="22"/>
                <w:szCs w:val="22"/>
              </w:rPr>
              <w:t>0.38</w:t>
            </w:r>
          </w:p>
        </w:tc>
        <w:tc>
          <w:tcPr>
            <w:tcW w:w="1077" w:type="dxa"/>
            <w:noWrap/>
            <w:vAlign w:val="center"/>
            <w:hideMark/>
          </w:tcPr>
          <w:p w14:paraId="228B432E" w14:textId="77777777" w:rsidR="00AF6702" w:rsidRPr="00702882" w:rsidRDefault="00AF6702" w:rsidP="007803B6">
            <w:pPr>
              <w:jc w:val="both"/>
              <w:rPr>
                <w:rFonts w:eastAsia="맑은 고딕"/>
                <w:sz w:val="22"/>
                <w:szCs w:val="22"/>
              </w:rPr>
            </w:pPr>
            <w:r w:rsidRPr="00702882">
              <w:rPr>
                <w:rFonts w:eastAsia="맑은 고딕"/>
                <w:sz w:val="22"/>
                <w:szCs w:val="22"/>
              </w:rPr>
              <w:t>0.06</w:t>
            </w:r>
          </w:p>
        </w:tc>
        <w:tc>
          <w:tcPr>
            <w:tcW w:w="1077" w:type="dxa"/>
            <w:noWrap/>
            <w:vAlign w:val="center"/>
            <w:hideMark/>
          </w:tcPr>
          <w:p w14:paraId="539CFEB2" w14:textId="77777777" w:rsidR="00AF6702" w:rsidRPr="00702882" w:rsidRDefault="00AF6702" w:rsidP="007803B6">
            <w:pPr>
              <w:jc w:val="both"/>
              <w:rPr>
                <w:rFonts w:eastAsia="맑은 고딕"/>
                <w:sz w:val="22"/>
                <w:szCs w:val="22"/>
              </w:rPr>
            </w:pPr>
            <w:r w:rsidRPr="00702882">
              <w:rPr>
                <w:rFonts w:eastAsia="맑은 고딕"/>
                <w:sz w:val="22"/>
                <w:szCs w:val="22"/>
              </w:rPr>
              <w:t>71.31 %</w:t>
            </w:r>
          </w:p>
        </w:tc>
      </w:tr>
      <w:tr w:rsidR="00F3295C" w:rsidRPr="00702882" w14:paraId="2610EDCC" w14:textId="77777777" w:rsidTr="00AE6820">
        <w:trPr>
          <w:trHeight w:val="340"/>
          <w:jc w:val="center"/>
        </w:trPr>
        <w:tc>
          <w:tcPr>
            <w:tcW w:w="1077" w:type="dxa"/>
            <w:noWrap/>
            <w:vAlign w:val="center"/>
            <w:hideMark/>
          </w:tcPr>
          <w:p w14:paraId="686268ED" w14:textId="77777777" w:rsidR="00AF6702" w:rsidRPr="00702882" w:rsidRDefault="00AF6702" w:rsidP="007803B6">
            <w:pPr>
              <w:jc w:val="both"/>
              <w:rPr>
                <w:rFonts w:eastAsia="맑은 고딕"/>
                <w:sz w:val="22"/>
                <w:szCs w:val="22"/>
              </w:rPr>
            </w:pPr>
            <w:r w:rsidRPr="00702882">
              <w:rPr>
                <w:rFonts w:eastAsia="맑은 고딕"/>
                <w:sz w:val="22"/>
                <w:szCs w:val="22"/>
              </w:rPr>
              <w:t>Model2</w:t>
            </w:r>
          </w:p>
        </w:tc>
        <w:tc>
          <w:tcPr>
            <w:tcW w:w="1077" w:type="dxa"/>
            <w:noWrap/>
            <w:vAlign w:val="center"/>
            <w:hideMark/>
          </w:tcPr>
          <w:p w14:paraId="22604183" w14:textId="77777777" w:rsidR="00AF6702" w:rsidRPr="00702882" w:rsidRDefault="00AF6702" w:rsidP="007803B6">
            <w:pPr>
              <w:jc w:val="both"/>
              <w:rPr>
                <w:rFonts w:eastAsia="맑은 고딕"/>
                <w:sz w:val="22"/>
                <w:szCs w:val="22"/>
              </w:rPr>
            </w:pPr>
            <w:r w:rsidRPr="00702882">
              <w:rPr>
                <w:rFonts w:eastAsia="맑은 고딕"/>
                <w:sz w:val="22"/>
                <w:szCs w:val="22"/>
              </w:rPr>
              <w:t>0.31</w:t>
            </w:r>
          </w:p>
        </w:tc>
        <w:tc>
          <w:tcPr>
            <w:tcW w:w="1077" w:type="dxa"/>
            <w:noWrap/>
            <w:vAlign w:val="center"/>
            <w:hideMark/>
          </w:tcPr>
          <w:p w14:paraId="61BE0A44" w14:textId="77777777" w:rsidR="00AF6702" w:rsidRPr="00702882" w:rsidRDefault="00AF6702" w:rsidP="007803B6">
            <w:pPr>
              <w:jc w:val="both"/>
              <w:rPr>
                <w:rFonts w:eastAsia="맑은 고딕"/>
                <w:sz w:val="22"/>
                <w:szCs w:val="22"/>
              </w:rPr>
            </w:pPr>
            <w:r w:rsidRPr="00702882">
              <w:rPr>
                <w:rFonts w:eastAsia="맑은 고딕"/>
                <w:sz w:val="22"/>
                <w:szCs w:val="22"/>
              </w:rPr>
              <w:t>3.67</w:t>
            </w:r>
          </w:p>
        </w:tc>
        <w:tc>
          <w:tcPr>
            <w:tcW w:w="1077" w:type="dxa"/>
            <w:noWrap/>
            <w:vAlign w:val="center"/>
            <w:hideMark/>
          </w:tcPr>
          <w:p w14:paraId="529CBE13" w14:textId="77777777" w:rsidR="00AF6702" w:rsidRPr="00702882" w:rsidRDefault="00AF6702" w:rsidP="007803B6">
            <w:pPr>
              <w:jc w:val="both"/>
              <w:rPr>
                <w:rFonts w:eastAsia="맑은 고딕"/>
                <w:sz w:val="22"/>
                <w:szCs w:val="22"/>
              </w:rPr>
            </w:pPr>
            <w:r w:rsidRPr="00702882">
              <w:rPr>
                <w:rFonts w:eastAsia="맑은 고딕"/>
                <w:sz w:val="22"/>
                <w:szCs w:val="22"/>
              </w:rPr>
              <w:t>3.76</w:t>
            </w:r>
          </w:p>
        </w:tc>
        <w:tc>
          <w:tcPr>
            <w:tcW w:w="1077" w:type="dxa"/>
            <w:noWrap/>
            <w:vAlign w:val="center"/>
            <w:hideMark/>
          </w:tcPr>
          <w:p w14:paraId="6234C3E7" w14:textId="77777777" w:rsidR="00AF6702" w:rsidRPr="00702882" w:rsidRDefault="00AF6702" w:rsidP="007803B6">
            <w:pPr>
              <w:jc w:val="both"/>
              <w:rPr>
                <w:rFonts w:eastAsia="맑은 고딕"/>
                <w:sz w:val="22"/>
                <w:szCs w:val="22"/>
              </w:rPr>
            </w:pPr>
            <w:r w:rsidRPr="00702882">
              <w:rPr>
                <w:rFonts w:eastAsia="맑은 고딕"/>
                <w:sz w:val="22"/>
                <w:szCs w:val="22"/>
              </w:rPr>
              <w:t>0.06</w:t>
            </w:r>
          </w:p>
        </w:tc>
        <w:tc>
          <w:tcPr>
            <w:tcW w:w="1077" w:type="dxa"/>
            <w:noWrap/>
            <w:vAlign w:val="center"/>
            <w:hideMark/>
          </w:tcPr>
          <w:p w14:paraId="1D4C6F6E" w14:textId="77777777" w:rsidR="00AF6702" w:rsidRPr="00702882" w:rsidRDefault="00AF6702" w:rsidP="007803B6">
            <w:pPr>
              <w:jc w:val="both"/>
              <w:rPr>
                <w:rFonts w:eastAsia="맑은 고딕"/>
                <w:sz w:val="22"/>
                <w:szCs w:val="22"/>
              </w:rPr>
            </w:pPr>
            <w:r w:rsidRPr="00702882">
              <w:rPr>
                <w:rFonts w:eastAsia="맑은 고딕"/>
                <w:sz w:val="22"/>
                <w:szCs w:val="22"/>
              </w:rPr>
              <w:t>0.03</w:t>
            </w:r>
          </w:p>
        </w:tc>
        <w:tc>
          <w:tcPr>
            <w:tcW w:w="1077" w:type="dxa"/>
            <w:noWrap/>
            <w:vAlign w:val="center"/>
            <w:hideMark/>
          </w:tcPr>
          <w:p w14:paraId="185B81C4" w14:textId="77777777" w:rsidR="00AF6702" w:rsidRPr="00702882" w:rsidRDefault="00AF6702" w:rsidP="007803B6">
            <w:pPr>
              <w:jc w:val="both"/>
              <w:rPr>
                <w:rFonts w:eastAsia="맑은 고딕"/>
                <w:sz w:val="22"/>
                <w:szCs w:val="22"/>
              </w:rPr>
            </w:pPr>
            <w:r w:rsidRPr="00702882">
              <w:rPr>
                <w:rFonts w:eastAsia="맑은 고딕"/>
                <w:sz w:val="22"/>
                <w:szCs w:val="22"/>
              </w:rPr>
              <w:t>0.00</w:t>
            </w:r>
          </w:p>
        </w:tc>
        <w:tc>
          <w:tcPr>
            <w:tcW w:w="1077" w:type="dxa"/>
            <w:noWrap/>
            <w:vAlign w:val="center"/>
            <w:hideMark/>
          </w:tcPr>
          <w:p w14:paraId="098DF587" w14:textId="77777777" w:rsidR="00AF6702" w:rsidRPr="00702882" w:rsidRDefault="00AF6702" w:rsidP="007803B6">
            <w:pPr>
              <w:jc w:val="both"/>
              <w:rPr>
                <w:rFonts w:eastAsia="맑은 고딕"/>
                <w:sz w:val="22"/>
                <w:szCs w:val="22"/>
              </w:rPr>
            </w:pPr>
            <w:r w:rsidRPr="00702882">
              <w:rPr>
                <w:rFonts w:eastAsia="맑은 고딕"/>
                <w:sz w:val="22"/>
                <w:szCs w:val="22"/>
              </w:rPr>
              <w:t>59.55 %</w:t>
            </w:r>
          </w:p>
        </w:tc>
      </w:tr>
      <w:tr w:rsidR="00F3295C" w:rsidRPr="00702882" w14:paraId="1B7B61FF" w14:textId="77777777" w:rsidTr="00AE6820">
        <w:trPr>
          <w:trHeight w:val="340"/>
          <w:jc w:val="center"/>
        </w:trPr>
        <w:tc>
          <w:tcPr>
            <w:tcW w:w="1077" w:type="dxa"/>
            <w:noWrap/>
            <w:vAlign w:val="center"/>
            <w:hideMark/>
          </w:tcPr>
          <w:p w14:paraId="727F75F6" w14:textId="77777777" w:rsidR="00AF6702" w:rsidRPr="00702882" w:rsidRDefault="00AF6702" w:rsidP="007803B6">
            <w:pPr>
              <w:jc w:val="both"/>
              <w:rPr>
                <w:rFonts w:eastAsia="맑은 고딕"/>
                <w:sz w:val="22"/>
                <w:szCs w:val="22"/>
              </w:rPr>
            </w:pPr>
            <w:r w:rsidRPr="00702882">
              <w:rPr>
                <w:rFonts w:eastAsia="맑은 고딕"/>
                <w:sz w:val="22"/>
                <w:szCs w:val="22"/>
              </w:rPr>
              <w:t>Model1</w:t>
            </w:r>
          </w:p>
        </w:tc>
        <w:tc>
          <w:tcPr>
            <w:tcW w:w="1077" w:type="dxa"/>
            <w:noWrap/>
            <w:vAlign w:val="center"/>
            <w:hideMark/>
          </w:tcPr>
          <w:p w14:paraId="1EDD49D1" w14:textId="77777777" w:rsidR="00AF6702" w:rsidRPr="00702882" w:rsidRDefault="00AF6702" w:rsidP="007803B6">
            <w:pPr>
              <w:jc w:val="both"/>
              <w:rPr>
                <w:rFonts w:eastAsia="맑은 고딕"/>
                <w:sz w:val="22"/>
                <w:szCs w:val="22"/>
              </w:rPr>
            </w:pPr>
            <w:r w:rsidRPr="00702882">
              <w:rPr>
                <w:rFonts w:eastAsia="맑은 고딕"/>
                <w:sz w:val="22"/>
                <w:szCs w:val="22"/>
              </w:rPr>
              <w:t>0.26</w:t>
            </w:r>
          </w:p>
        </w:tc>
        <w:tc>
          <w:tcPr>
            <w:tcW w:w="1077" w:type="dxa"/>
            <w:noWrap/>
            <w:vAlign w:val="center"/>
            <w:hideMark/>
          </w:tcPr>
          <w:p w14:paraId="2A659CB0" w14:textId="77777777" w:rsidR="00AF6702" w:rsidRPr="00702882" w:rsidRDefault="00AF6702" w:rsidP="007803B6">
            <w:pPr>
              <w:jc w:val="both"/>
              <w:rPr>
                <w:rFonts w:eastAsia="맑은 고딕"/>
                <w:sz w:val="22"/>
                <w:szCs w:val="22"/>
              </w:rPr>
            </w:pPr>
            <w:r w:rsidRPr="00702882">
              <w:rPr>
                <w:rFonts w:eastAsia="맑은 고딕"/>
                <w:sz w:val="22"/>
                <w:szCs w:val="22"/>
              </w:rPr>
              <w:t>3.81</w:t>
            </w:r>
          </w:p>
        </w:tc>
        <w:tc>
          <w:tcPr>
            <w:tcW w:w="1077" w:type="dxa"/>
            <w:noWrap/>
            <w:vAlign w:val="center"/>
            <w:hideMark/>
          </w:tcPr>
          <w:p w14:paraId="1738C38A" w14:textId="77777777" w:rsidR="00AF6702" w:rsidRPr="00702882" w:rsidRDefault="00AF6702" w:rsidP="007803B6">
            <w:pPr>
              <w:jc w:val="both"/>
              <w:rPr>
                <w:rFonts w:eastAsia="맑은 고딕"/>
                <w:sz w:val="22"/>
                <w:szCs w:val="22"/>
              </w:rPr>
            </w:pPr>
            <w:r w:rsidRPr="00702882">
              <w:rPr>
                <w:rFonts w:eastAsia="맑은 고딕"/>
                <w:sz w:val="22"/>
                <w:szCs w:val="22"/>
              </w:rPr>
              <w:t>3.87</w:t>
            </w:r>
          </w:p>
        </w:tc>
        <w:tc>
          <w:tcPr>
            <w:tcW w:w="1077" w:type="dxa"/>
            <w:noWrap/>
            <w:vAlign w:val="center"/>
            <w:hideMark/>
          </w:tcPr>
          <w:p w14:paraId="77B23010" w14:textId="77777777" w:rsidR="00AF6702" w:rsidRPr="00702882" w:rsidRDefault="00AF6702" w:rsidP="007803B6">
            <w:pPr>
              <w:jc w:val="both"/>
              <w:rPr>
                <w:rFonts w:eastAsia="맑은 고딕"/>
                <w:sz w:val="22"/>
                <w:szCs w:val="22"/>
              </w:rPr>
            </w:pPr>
            <w:r w:rsidRPr="00702882">
              <w:rPr>
                <w:rFonts w:eastAsia="맑은 고딕"/>
                <w:sz w:val="22"/>
                <w:szCs w:val="22"/>
              </w:rPr>
              <w:t>0.00</w:t>
            </w:r>
          </w:p>
        </w:tc>
        <w:tc>
          <w:tcPr>
            <w:tcW w:w="1077" w:type="dxa"/>
            <w:noWrap/>
            <w:vAlign w:val="center"/>
            <w:hideMark/>
          </w:tcPr>
          <w:p w14:paraId="09EAD917" w14:textId="77777777" w:rsidR="00AF6702" w:rsidRPr="00702882" w:rsidRDefault="00AF6702" w:rsidP="007803B6">
            <w:pPr>
              <w:jc w:val="both"/>
              <w:rPr>
                <w:rFonts w:eastAsia="맑은 고딕"/>
                <w:sz w:val="22"/>
                <w:szCs w:val="22"/>
              </w:rPr>
            </w:pPr>
            <w:r w:rsidRPr="00702882">
              <w:rPr>
                <w:rFonts w:eastAsia="맑은 고딕"/>
                <w:sz w:val="22"/>
                <w:szCs w:val="22"/>
              </w:rPr>
              <w:t>0.00</w:t>
            </w:r>
          </w:p>
        </w:tc>
        <w:tc>
          <w:tcPr>
            <w:tcW w:w="1077" w:type="dxa"/>
            <w:noWrap/>
            <w:vAlign w:val="center"/>
            <w:hideMark/>
          </w:tcPr>
          <w:p w14:paraId="119703D3" w14:textId="77777777" w:rsidR="00AF6702" w:rsidRPr="00702882" w:rsidRDefault="00AF6702" w:rsidP="007803B6">
            <w:pPr>
              <w:jc w:val="both"/>
              <w:rPr>
                <w:rFonts w:eastAsia="맑은 고딕"/>
                <w:sz w:val="22"/>
                <w:szCs w:val="22"/>
              </w:rPr>
            </w:pPr>
            <w:r w:rsidRPr="00702882">
              <w:rPr>
                <w:rFonts w:eastAsia="맑은 고딕"/>
                <w:sz w:val="22"/>
                <w:szCs w:val="22"/>
              </w:rPr>
              <w:t>0.00</w:t>
            </w:r>
          </w:p>
        </w:tc>
        <w:tc>
          <w:tcPr>
            <w:tcW w:w="1077" w:type="dxa"/>
            <w:noWrap/>
            <w:vAlign w:val="center"/>
            <w:hideMark/>
          </w:tcPr>
          <w:p w14:paraId="697A7F88" w14:textId="77777777" w:rsidR="00AF6702" w:rsidRPr="00702882" w:rsidRDefault="00AF6702" w:rsidP="007803B6">
            <w:pPr>
              <w:jc w:val="both"/>
              <w:rPr>
                <w:rFonts w:eastAsia="맑은 고딕"/>
                <w:sz w:val="22"/>
                <w:szCs w:val="22"/>
              </w:rPr>
            </w:pPr>
            <w:r w:rsidRPr="00702882">
              <w:rPr>
                <w:rFonts w:eastAsia="맑은 고딕"/>
                <w:sz w:val="22"/>
                <w:szCs w:val="22"/>
              </w:rPr>
              <w:t>0.00 %</w:t>
            </w:r>
          </w:p>
        </w:tc>
      </w:tr>
    </w:tbl>
    <w:p w14:paraId="676B2217" w14:textId="3A9513D7" w:rsidR="00AF6702" w:rsidRPr="00702882" w:rsidRDefault="007803B6" w:rsidP="007803B6">
      <w:pPr>
        <w:pStyle w:val="ad"/>
        <w:tabs>
          <w:tab w:val="left" w:pos="1397"/>
        </w:tabs>
        <w:spacing w:before="0" w:beforeAutospacing="0" w:line="480" w:lineRule="auto"/>
        <w:contextualSpacing/>
        <w:rPr>
          <w:rFonts w:eastAsiaTheme="minorEastAsia"/>
        </w:rPr>
      </w:pPr>
      <w:r w:rsidRPr="00702882">
        <w:rPr>
          <w:rFonts w:eastAsiaTheme="minorEastAsia"/>
        </w:rPr>
        <w:tab/>
      </w:r>
    </w:p>
    <w:p w14:paraId="1407BDE0" w14:textId="77777777" w:rsidR="00AF6702" w:rsidRPr="00702882" w:rsidRDefault="00AF6702" w:rsidP="00C66AC4">
      <w:pPr>
        <w:pStyle w:val="ad"/>
        <w:spacing w:before="0" w:beforeAutospacing="0" w:line="480" w:lineRule="auto"/>
        <w:ind w:firstLineChars="295" w:firstLine="708"/>
        <w:contextualSpacing/>
        <w:rPr>
          <w:rFonts w:eastAsiaTheme="minorEastAsia"/>
          <w:color w:val="7030A0"/>
        </w:rPr>
      </w:pPr>
      <w:r w:rsidRPr="00702882">
        <w:rPr>
          <w:rFonts w:eastAsiaTheme="minorEastAsia"/>
        </w:rPr>
        <w:t xml:space="preserve">To check multicollinearity, I examine the correlation matrix of the predictors. The correlation matrix of the predictors reveals three significant correlations: 1) the “formula-based deposit tied to revenue volatility” (DepoVol_formula) correlates perfectly with its interaction term with “withdrawal tied to revenue volatility” (WithVol) (correlation: 1.00), 2) the “formula-based deposit tied to revenue volatility” correlates strongly with its interaction term with “Cap (Cap_percent)” (correlation: 0.86), and 3) the variable “Number” correlates </w:t>
      </w:r>
      <w:r w:rsidRPr="00702882">
        <w:rPr>
          <w:rFonts w:eastAsiaTheme="minorEastAsia"/>
        </w:rPr>
        <w:lastRenderedPageBreak/>
        <w:t>highly with its interaction term with “withdrawal by the legislature (WithLegis_numeric)” (correlation: 0.92).</w:t>
      </w:r>
    </w:p>
    <w:p w14:paraId="080BF4F9" w14:textId="77777777" w:rsidR="00AF6702" w:rsidRPr="00702882" w:rsidRDefault="00AF6702" w:rsidP="00C66AC4">
      <w:pPr>
        <w:pStyle w:val="ad"/>
        <w:spacing w:before="0" w:beforeAutospacing="0" w:line="480" w:lineRule="auto"/>
        <w:ind w:firstLineChars="295" w:firstLine="708"/>
        <w:contextualSpacing/>
        <w:rPr>
          <w:rFonts w:eastAsiaTheme="minorEastAsia"/>
        </w:rPr>
      </w:pPr>
      <w:r w:rsidRPr="00702882">
        <w:rPr>
          <w:rFonts w:eastAsiaTheme="minorEastAsia"/>
        </w:rPr>
        <w:t xml:space="preserve">A correlation coefficient of 1.00 indicates a perfect positive linear relationship between DepoVol_formula and its interaction term with WithVol. This means that they are essentially identical or redundant. With a correlation coefficient of 0.856, there is also a strong positive linear relationship between DepoVol_formula and its interaction term with Cap. A correlation coefficient of 0.92 between Number and its interaction term with WithLegis_numeric indicates an extremely strong positive linear relationship. Therefore, three interaction terms, namely between DepoVol_formula and WithVol, between DepoVol_formula and Cap, and between Number and WithLegis_numeric, are eliminated from the models. </w:t>
      </w:r>
    </w:p>
    <w:p w14:paraId="4DC1A995" w14:textId="77777777"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t xml:space="preserve">In contrast to the reduced model examining the effects of BSF rules on BSF levels, the withdrawal linked to revenue volatility (WithVol) remains in the reduced model, whereas the deposit linked to revenue volatility (DepoVol_formula) is omitted. This decision stems from the understanding that strict withdrawal regulations are more likely to influence GFB, as states are compelled to resort to the use of GFB when unable to access the BSF due to stringent withdrawal conditions. The deposit of revenue surplus (DepoSurplus_numeric) is incorporated into the reduced model because it involves transferring general fund balances, thereby directly impacting the GFB, unlike deposits tied to revenue volatility, which sets aside a certain portion of revenue. </w:t>
      </w:r>
    </w:p>
    <w:p w14:paraId="19938AA7" w14:textId="77777777"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t xml:space="preserve">Thus, the variables removed from the original models are deposits by legislature (DepoLegis), deposit tied to revenue volatility through formula (DepoVol_formula), deposits a certain proportion of revenue (DepoVol_propor), and withdrawals based on revenue shortfalls (WithShortfall). In other words, the withdrawal tied to revenue volatility, number, </w:t>
      </w:r>
      <w:r w:rsidRPr="00702882">
        <w:rPr>
          <w:rFonts w:eastAsiaTheme="minorEastAsia"/>
        </w:rPr>
        <w:lastRenderedPageBreak/>
        <w:t xml:space="preserve">and withdrawal limit are the remaining dummy variables in the reduced model. All remaining dummy variables undergo changes over time. Thus, they are less likely to have multicollinearity or collinearity with state fixed effects as they capture variation in the data that is not already explained by the fixed effects. </w:t>
      </w:r>
    </w:p>
    <w:p w14:paraId="4C3AF41F" w14:textId="77777777" w:rsidR="00AF6702" w:rsidRPr="00702882" w:rsidRDefault="00AF6702" w:rsidP="00C66AC4">
      <w:pPr>
        <w:pStyle w:val="ad"/>
        <w:spacing w:before="0" w:beforeAutospacing="0" w:line="480" w:lineRule="auto"/>
        <w:contextualSpacing/>
        <w:rPr>
          <w:rFonts w:eastAsiaTheme="minorEastAsia"/>
          <w:color w:val="7030A0"/>
        </w:rPr>
      </w:pPr>
    </w:p>
    <w:p w14:paraId="0CB41FBC" w14:textId="0379EB48" w:rsidR="00AF6702" w:rsidRPr="00702882" w:rsidRDefault="00AF6702" w:rsidP="00C66AC4">
      <w:pPr>
        <w:pStyle w:val="ad"/>
        <w:spacing w:before="0" w:beforeAutospacing="0" w:line="480" w:lineRule="auto"/>
        <w:contextualSpacing/>
        <w:jc w:val="center"/>
        <w:rPr>
          <w:rFonts w:eastAsiaTheme="minorEastAsia"/>
          <w:b/>
          <w:bCs/>
        </w:rPr>
      </w:pPr>
      <w:r w:rsidRPr="00702882">
        <w:rPr>
          <w:rFonts w:eastAsiaTheme="minorEastAsia"/>
          <w:b/>
          <w:bCs/>
        </w:rPr>
        <w:t>Table 1</w:t>
      </w:r>
      <w:r w:rsidR="00B731EC" w:rsidRPr="00702882">
        <w:rPr>
          <w:rFonts w:eastAsiaTheme="minorEastAsia"/>
          <w:b/>
          <w:bCs/>
        </w:rPr>
        <w:t>8</w:t>
      </w:r>
      <w:r w:rsidR="00D03092" w:rsidRPr="00702882">
        <w:rPr>
          <w:rFonts w:eastAsiaTheme="minorEastAsia"/>
          <w:b/>
          <w:bCs/>
        </w:rPr>
        <w:t>.</w:t>
      </w:r>
      <w:r w:rsidRPr="00702882">
        <w:rPr>
          <w:rFonts w:eastAsiaTheme="minorEastAsia"/>
          <w:b/>
          <w:bCs/>
        </w:rPr>
        <w:t xml:space="preserve"> Comparison of Model Performance Indices between Different Models</w:t>
      </w:r>
    </w:p>
    <w:tbl>
      <w:tblPr>
        <w:tblStyle w:val="a7"/>
        <w:tblW w:w="8616" w:type="dxa"/>
        <w:tblLayout w:type="fixed"/>
        <w:tblLook w:val="04A0" w:firstRow="1" w:lastRow="0" w:firstColumn="1" w:lastColumn="0" w:noHBand="0" w:noVBand="1"/>
      </w:tblPr>
      <w:tblGrid>
        <w:gridCol w:w="1077"/>
        <w:gridCol w:w="1077"/>
        <w:gridCol w:w="1077"/>
        <w:gridCol w:w="1077"/>
        <w:gridCol w:w="1077"/>
        <w:gridCol w:w="1077"/>
        <w:gridCol w:w="1077"/>
        <w:gridCol w:w="1077"/>
      </w:tblGrid>
      <w:tr w:rsidR="00B731EC" w:rsidRPr="00702882" w14:paraId="28E5F6FB" w14:textId="77777777" w:rsidTr="00AE6820">
        <w:trPr>
          <w:trHeight w:val="340"/>
        </w:trPr>
        <w:tc>
          <w:tcPr>
            <w:tcW w:w="1077" w:type="dxa"/>
            <w:noWrap/>
            <w:vAlign w:val="center"/>
            <w:hideMark/>
          </w:tcPr>
          <w:p w14:paraId="753213EF"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Model 4</w:t>
            </w:r>
          </w:p>
        </w:tc>
        <w:tc>
          <w:tcPr>
            <w:tcW w:w="1077" w:type="dxa"/>
            <w:noWrap/>
            <w:vAlign w:val="center"/>
            <w:hideMark/>
          </w:tcPr>
          <w:p w14:paraId="1D33B136"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R2 </w:t>
            </w:r>
          </w:p>
        </w:tc>
        <w:tc>
          <w:tcPr>
            <w:tcW w:w="1077" w:type="dxa"/>
            <w:noWrap/>
            <w:vAlign w:val="center"/>
            <w:hideMark/>
          </w:tcPr>
          <w:p w14:paraId="632221FB"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RMSE </w:t>
            </w:r>
          </w:p>
        </w:tc>
        <w:tc>
          <w:tcPr>
            <w:tcW w:w="1077" w:type="dxa"/>
            <w:noWrap/>
            <w:vAlign w:val="center"/>
            <w:hideMark/>
          </w:tcPr>
          <w:p w14:paraId="2F7E9152"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Sigma </w:t>
            </w:r>
          </w:p>
        </w:tc>
        <w:tc>
          <w:tcPr>
            <w:tcW w:w="1077" w:type="dxa"/>
            <w:noWrap/>
            <w:vAlign w:val="center"/>
            <w:hideMark/>
          </w:tcPr>
          <w:p w14:paraId="2599C949"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AIC weights </w:t>
            </w:r>
          </w:p>
        </w:tc>
        <w:tc>
          <w:tcPr>
            <w:tcW w:w="1077" w:type="dxa"/>
            <w:noWrap/>
            <w:vAlign w:val="center"/>
            <w:hideMark/>
          </w:tcPr>
          <w:p w14:paraId="17CBCED6"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AICc weights </w:t>
            </w:r>
          </w:p>
        </w:tc>
        <w:tc>
          <w:tcPr>
            <w:tcW w:w="1077" w:type="dxa"/>
            <w:noWrap/>
            <w:vAlign w:val="center"/>
            <w:hideMark/>
          </w:tcPr>
          <w:p w14:paraId="00CAAF01"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BIC weights </w:t>
            </w:r>
          </w:p>
        </w:tc>
        <w:tc>
          <w:tcPr>
            <w:tcW w:w="1077" w:type="dxa"/>
            <w:noWrap/>
            <w:vAlign w:val="center"/>
            <w:hideMark/>
          </w:tcPr>
          <w:p w14:paraId="7AA862DF"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Score</w:t>
            </w:r>
          </w:p>
        </w:tc>
      </w:tr>
      <w:tr w:rsidR="00B731EC" w:rsidRPr="00702882" w14:paraId="1ACEBCCD" w14:textId="77777777" w:rsidTr="00AE6820">
        <w:trPr>
          <w:trHeight w:val="340"/>
        </w:trPr>
        <w:tc>
          <w:tcPr>
            <w:tcW w:w="1077" w:type="dxa"/>
            <w:noWrap/>
            <w:vAlign w:val="center"/>
            <w:hideMark/>
          </w:tcPr>
          <w:p w14:paraId="1940C4D7"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Full</w:t>
            </w:r>
          </w:p>
        </w:tc>
        <w:tc>
          <w:tcPr>
            <w:tcW w:w="1077" w:type="dxa"/>
            <w:noWrap/>
            <w:vAlign w:val="center"/>
            <w:hideMark/>
          </w:tcPr>
          <w:p w14:paraId="64CC34C9"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0.30 </w:t>
            </w:r>
          </w:p>
        </w:tc>
        <w:tc>
          <w:tcPr>
            <w:tcW w:w="1077" w:type="dxa"/>
            <w:noWrap/>
            <w:vAlign w:val="center"/>
            <w:hideMark/>
          </w:tcPr>
          <w:p w14:paraId="0911E435"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3.69</w:t>
            </w:r>
          </w:p>
        </w:tc>
        <w:tc>
          <w:tcPr>
            <w:tcW w:w="1077" w:type="dxa"/>
            <w:noWrap/>
            <w:vAlign w:val="center"/>
            <w:hideMark/>
          </w:tcPr>
          <w:p w14:paraId="0E6C68EC"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3.76 </w:t>
            </w:r>
          </w:p>
        </w:tc>
        <w:tc>
          <w:tcPr>
            <w:tcW w:w="1077" w:type="dxa"/>
            <w:noWrap/>
            <w:vAlign w:val="center"/>
            <w:hideMark/>
          </w:tcPr>
          <w:p w14:paraId="7001EAE4"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1.00 </w:t>
            </w:r>
          </w:p>
        </w:tc>
        <w:tc>
          <w:tcPr>
            <w:tcW w:w="1077" w:type="dxa"/>
            <w:noWrap/>
            <w:vAlign w:val="center"/>
            <w:hideMark/>
          </w:tcPr>
          <w:p w14:paraId="149D1FC5"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0.98</w:t>
            </w:r>
          </w:p>
        </w:tc>
        <w:tc>
          <w:tcPr>
            <w:tcW w:w="1077" w:type="dxa"/>
            <w:noWrap/>
            <w:vAlign w:val="center"/>
            <w:hideMark/>
          </w:tcPr>
          <w:p w14:paraId="6AD8949E"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0.00 </w:t>
            </w:r>
          </w:p>
        </w:tc>
        <w:tc>
          <w:tcPr>
            <w:tcW w:w="1077" w:type="dxa"/>
            <w:noWrap/>
            <w:vAlign w:val="center"/>
            <w:hideMark/>
          </w:tcPr>
          <w:p w14:paraId="11CA5941"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59.30%</w:t>
            </w:r>
          </w:p>
        </w:tc>
      </w:tr>
      <w:tr w:rsidR="00B731EC" w:rsidRPr="00702882" w14:paraId="545A951F" w14:textId="77777777" w:rsidTr="00AE6820">
        <w:trPr>
          <w:trHeight w:val="340"/>
        </w:trPr>
        <w:tc>
          <w:tcPr>
            <w:tcW w:w="1077" w:type="dxa"/>
            <w:noWrap/>
            <w:vAlign w:val="center"/>
            <w:hideMark/>
          </w:tcPr>
          <w:p w14:paraId="082DC211"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Reduced</w:t>
            </w:r>
          </w:p>
        </w:tc>
        <w:tc>
          <w:tcPr>
            <w:tcW w:w="1077" w:type="dxa"/>
            <w:noWrap/>
            <w:vAlign w:val="center"/>
            <w:hideMark/>
          </w:tcPr>
          <w:p w14:paraId="5E7AC57D"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0.29 </w:t>
            </w:r>
          </w:p>
        </w:tc>
        <w:tc>
          <w:tcPr>
            <w:tcW w:w="1077" w:type="dxa"/>
            <w:noWrap/>
            <w:vAlign w:val="center"/>
            <w:hideMark/>
          </w:tcPr>
          <w:p w14:paraId="26F738E8"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3.73 </w:t>
            </w:r>
          </w:p>
        </w:tc>
        <w:tc>
          <w:tcPr>
            <w:tcW w:w="1077" w:type="dxa"/>
            <w:noWrap/>
            <w:vAlign w:val="center"/>
            <w:hideMark/>
          </w:tcPr>
          <w:p w14:paraId="754EF6B7"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3.79 </w:t>
            </w:r>
          </w:p>
        </w:tc>
        <w:tc>
          <w:tcPr>
            <w:tcW w:w="1077" w:type="dxa"/>
            <w:noWrap/>
            <w:vAlign w:val="center"/>
            <w:hideMark/>
          </w:tcPr>
          <w:p w14:paraId="715BD3E5"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0.02</w:t>
            </w:r>
          </w:p>
        </w:tc>
        <w:tc>
          <w:tcPr>
            <w:tcW w:w="1077" w:type="dxa"/>
            <w:noWrap/>
            <w:vAlign w:val="center"/>
            <w:hideMark/>
          </w:tcPr>
          <w:p w14:paraId="6ADCFD7D"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0.03 </w:t>
            </w:r>
          </w:p>
        </w:tc>
        <w:tc>
          <w:tcPr>
            <w:tcW w:w="1077" w:type="dxa"/>
            <w:noWrap/>
            <w:vAlign w:val="center"/>
            <w:hideMark/>
          </w:tcPr>
          <w:p w14:paraId="3AF583A5"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1.00 </w:t>
            </w:r>
          </w:p>
        </w:tc>
        <w:tc>
          <w:tcPr>
            <w:tcW w:w="1077" w:type="dxa"/>
            <w:noWrap/>
            <w:vAlign w:val="center"/>
            <w:hideMark/>
          </w:tcPr>
          <w:p w14:paraId="77C825AF"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42.87%</w:t>
            </w:r>
          </w:p>
        </w:tc>
      </w:tr>
      <w:tr w:rsidR="00AF6702" w:rsidRPr="00702882" w14:paraId="00BE89B4" w14:textId="77777777" w:rsidTr="00AE6820">
        <w:trPr>
          <w:trHeight w:val="340"/>
        </w:trPr>
        <w:tc>
          <w:tcPr>
            <w:tcW w:w="1077" w:type="dxa"/>
            <w:noWrap/>
            <w:vAlign w:val="center"/>
            <w:hideMark/>
          </w:tcPr>
          <w:p w14:paraId="3217AB7E"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Pooled</w:t>
            </w:r>
          </w:p>
        </w:tc>
        <w:tc>
          <w:tcPr>
            <w:tcW w:w="1077" w:type="dxa"/>
            <w:noWrap/>
            <w:vAlign w:val="center"/>
            <w:hideMark/>
          </w:tcPr>
          <w:p w14:paraId="511AC375"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0.44 </w:t>
            </w:r>
          </w:p>
        </w:tc>
        <w:tc>
          <w:tcPr>
            <w:tcW w:w="1077" w:type="dxa"/>
            <w:noWrap/>
            <w:vAlign w:val="center"/>
            <w:hideMark/>
          </w:tcPr>
          <w:p w14:paraId="0AC952AC"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5.10</w:t>
            </w:r>
          </w:p>
        </w:tc>
        <w:tc>
          <w:tcPr>
            <w:tcW w:w="1077" w:type="dxa"/>
            <w:noWrap/>
            <w:vAlign w:val="center"/>
            <w:hideMark/>
          </w:tcPr>
          <w:p w14:paraId="68754AED"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5.27</w:t>
            </w:r>
          </w:p>
        </w:tc>
        <w:tc>
          <w:tcPr>
            <w:tcW w:w="1077" w:type="dxa"/>
            <w:noWrap/>
            <w:vAlign w:val="center"/>
            <w:hideMark/>
          </w:tcPr>
          <w:p w14:paraId="76C85A02"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0.00 </w:t>
            </w:r>
          </w:p>
        </w:tc>
        <w:tc>
          <w:tcPr>
            <w:tcW w:w="1077" w:type="dxa"/>
            <w:noWrap/>
            <w:vAlign w:val="center"/>
            <w:hideMark/>
          </w:tcPr>
          <w:p w14:paraId="7F31FEDA"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0.00 </w:t>
            </w:r>
          </w:p>
        </w:tc>
        <w:tc>
          <w:tcPr>
            <w:tcW w:w="1077" w:type="dxa"/>
            <w:noWrap/>
            <w:vAlign w:val="center"/>
            <w:hideMark/>
          </w:tcPr>
          <w:p w14:paraId="3C0AE26A"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 xml:space="preserve">0.00 </w:t>
            </w:r>
          </w:p>
        </w:tc>
        <w:tc>
          <w:tcPr>
            <w:tcW w:w="1077" w:type="dxa"/>
            <w:noWrap/>
            <w:vAlign w:val="center"/>
            <w:hideMark/>
          </w:tcPr>
          <w:p w14:paraId="089CC1AC" w14:textId="77777777" w:rsidR="00AF6702" w:rsidRPr="00702882" w:rsidRDefault="00AF6702" w:rsidP="00AD1954">
            <w:pPr>
              <w:contextualSpacing/>
              <w:jc w:val="both"/>
              <w:rPr>
                <w:rFonts w:eastAsia="맑은 고딕"/>
                <w:sz w:val="22"/>
                <w:szCs w:val="22"/>
              </w:rPr>
            </w:pPr>
            <w:r w:rsidRPr="00702882">
              <w:rPr>
                <w:rFonts w:eastAsia="맑은 고딕"/>
                <w:sz w:val="22"/>
                <w:szCs w:val="22"/>
              </w:rPr>
              <w:t>28.57%</w:t>
            </w:r>
          </w:p>
        </w:tc>
      </w:tr>
    </w:tbl>
    <w:p w14:paraId="28B563EE" w14:textId="77777777" w:rsidR="00AF6702" w:rsidRPr="00702882" w:rsidRDefault="00AF6702" w:rsidP="00C66AC4">
      <w:pPr>
        <w:pStyle w:val="ad"/>
        <w:spacing w:line="480" w:lineRule="auto"/>
        <w:ind w:firstLineChars="295" w:firstLine="708"/>
        <w:contextualSpacing/>
        <w:rPr>
          <w:rFonts w:eastAsiaTheme="minorEastAsia"/>
        </w:rPr>
      </w:pPr>
    </w:p>
    <w:p w14:paraId="51C77B60" w14:textId="367BA772" w:rsidR="00AF6702" w:rsidRPr="00702882" w:rsidRDefault="00AF6702" w:rsidP="00C66AC4">
      <w:pPr>
        <w:pStyle w:val="ad"/>
        <w:spacing w:line="480" w:lineRule="auto"/>
        <w:ind w:firstLineChars="295" w:firstLine="708"/>
        <w:contextualSpacing/>
        <w:rPr>
          <w:rFonts w:eastAsiaTheme="minorEastAsia"/>
        </w:rPr>
      </w:pPr>
      <w:r w:rsidRPr="00702882">
        <w:rPr>
          <w:rFonts w:eastAsiaTheme="minorEastAsia"/>
        </w:rPr>
        <w:t>Table 1</w:t>
      </w:r>
      <w:r w:rsidR="00B731EC" w:rsidRPr="00702882">
        <w:rPr>
          <w:rFonts w:eastAsiaTheme="minorEastAsia"/>
        </w:rPr>
        <w:t>8</w:t>
      </w:r>
      <w:r w:rsidRPr="00702882">
        <w:rPr>
          <w:rFonts w:eastAsiaTheme="minorEastAsia"/>
        </w:rPr>
        <w:t xml:space="preserve"> offers an assessment of model performance, comparing full fixed effects, reduced fixed effects, and pooled OLS models. Among the models considered, the "</w:t>
      </w:r>
      <w:r w:rsidR="00B731EC" w:rsidRPr="00702882">
        <w:rPr>
          <w:rFonts w:eastAsiaTheme="minorEastAsia"/>
        </w:rPr>
        <w:t>f</w:t>
      </w:r>
      <w:r w:rsidRPr="00702882">
        <w:rPr>
          <w:rFonts w:eastAsiaTheme="minorEastAsia"/>
        </w:rPr>
        <w:t>ull fixed effects" model performs the best overall, followed by the "</w:t>
      </w:r>
      <w:r w:rsidR="00B731EC" w:rsidRPr="00702882">
        <w:rPr>
          <w:rFonts w:eastAsiaTheme="minorEastAsia"/>
        </w:rPr>
        <w:t>r</w:t>
      </w:r>
      <w:r w:rsidRPr="00702882">
        <w:rPr>
          <w:rFonts w:eastAsiaTheme="minorEastAsia"/>
        </w:rPr>
        <w:t>educed fixed effects" model, and then the "</w:t>
      </w:r>
      <w:r w:rsidR="00B731EC" w:rsidRPr="00702882">
        <w:rPr>
          <w:rFonts w:eastAsiaTheme="minorEastAsia"/>
        </w:rPr>
        <w:t>p</w:t>
      </w:r>
      <w:r w:rsidRPr="00702882">
        <w:rPr>
          <w:rFonts w:eastAsiaTheme="minorEastAsia"/>
        </w:rPr>
        <w:t>ooled OLS" model. The "</w:t>
      </w:r>
      <w:r w:rsidR="00B731EC" w:rsidRPr="00702882">
        <w:rPr>
          <w:rFonts w:eastAsiaTheme="minorEastAsia"/>
        </w:rPr>
        <w:t>f</w:t>
      </w:r>
      <w:r w:rsidRPr="00702882">
        <w:rPr>
          <w:rFonts w:eastAsiaTheme="minorEastAsia"/>
        </w:rPr>
        <w:t>ull fixed effects" model has the highest AIC weights, AICc weights, and Score, indicating superior performance. The "</w:t>
      </w:r>
      <w:r w:rsidR="00B731EC" w:rsidRPr="00702882">
        <w:rPr>
          <w:rFonts w:eastAsiaTheme="minorEastAsia"/>
        </w:rPr>
        <w:t>p</w:t>
      </w:r>
      <w:r w:rsidRPr="00702882">
        <w:rPr>
          <w:rFonts w:eastAsiaTheme="minorEastAsia"/>
        </w:rPr>
        <w:t xml:space="preserve">ooled OLS" model, on the other hand, has weights of 0 for AIC, AICc, and BIC, suggesting it is not favored relative to other models based on these criteria. </w:t>
      </w:r>
    </w:p>
    <w:p w14:paraId="6CD4F604" w14:textId="5385700C" w:rsidR="00AF6702" w:rsidRPr="00702882" w:rsidRDefault="00AF6702" w:rsidP="00C66AC4">
      <w:pPr>
        <w:pStyle w:val="ad"/>
        <w:spacing w:line="480" w:lineRule="auto"/>
        <w:ind w:firstLineChars="295" w:firstLine="708"/>
        <w:contextualSpacing/>
        <w:rPr>
          <w:rFonts w:eastAsiaTheme="minorEastAsia"/>
        </w:rPr>
      </w:pPr>
      <w:r w:rsidRPr="00702882">
        <w:rPr>
          <w:rFonts w:eastAsiaTheme="minorEastAsia"/>
        </w:rPr>
        <w:t>The findings from both the fixed effects model in Table 1</w:t>
      </w:r>
      <w:r w:rsidR="00B731EC" w:rsidRPr="00702882">
        <w:rPr>
          <w:rFonts w:eastAsiaTheme="minorEastAsia"/>
        </w:rPr>
        <w:t>4</w:t>
      </w:r>
      <w:r w:rsidRPr="00702882">
        <w:rPr>
          <w:rFonts w:eastAsiaTheme="minorEastAsia"/>
        </w:rPr>
        <w:t xml:space="preserve"> and the reduced fixed effects model in Table 1</w:t>
      </w:r>
      <w:r w:rsidR="00B731EC" w:rsidRPr="00702882">
        <w:rPr>
          <w:rFonts w:eastAsiaTheme="minorEastAsia"/>
        </w:rPr>
        <w:t>5</w:t>
      </w:r>
      <w:r w:rsidRPr="00702882">
        <w:rPr>
          <w:rFonts w:eastAsiaTheme="minorEastAsia"/>
        </w:rPr>
        <w:t xml:space="preserve"> show a notable similarity. This similarity indicates that the omitted variables might not significantly influence the overall model performance. Consequently, the subsequent section will focus on examining the results obtained from the original fixed effects model.</w:t>
      </w:r>
    </w:p>
    <w:p w14:paraId="40EEDB68" w14:textId="77777777" w:rsidR="00AF6702" w:rsidRPr="00702882" w:rsidRDefault="00AF6702" w:rsidP="00C66AC4">
      <w:pPr>
        <w:pStyle w:val="ad"/>
        <w:spacing w:line="480" w:lineRule="auto"/>
        <w:ind w:firstLineChars="295" w:firstLine="708"/>
        <w:contextualSpacing/>
        <w:rPr>
          <w:rFonts w:eastAsiaTheme="minorEastAsia"/>
          <w:color w:val="7030A0"/>
        </w:rPr>
      </w:pPr>
    </w:p>
    <w:p w14:paraId="26640A9C" w14:textId="77777777" w:rsidR="00AF6702" w:rsidRPr="00702882" w:rsidRDefault="00AF6702" w:rsidP="00C66AC4">
      <w:pPr>
        <w:pStyle w:val="ad"/>
        <w:spacing w:before="0" w:beforeAutospacing="0" w:line="480" w:lineRule="auto"/>
        <w:ind w:firstLine="360"/>
        <w:contextualSpacing/>
        <w:rPr>
          <w:rFonts w:eastAsiaTheme="minorEastAsia"/>
          <w:b/>
          <w:bCs/>
          <w:i/>
          <w:iCs/>
        </w:rPr>
      </w:pPr>
      <w:r w:rsidRPr="00702882">
        <w:rPr>
          <w:rFonts w:eastAsiaTheme="minorEastAsia"/>
          <w:b/>
          <w:bCs/>
          <w:i/>
          <w:iCs/>
        </w:rPr>
        <w:lastRenderedPageBreak/>
        <w:t xml:space="preserve">6.2.5 </w:t>
      </w:r>
      <w:bookmarkStart w:id="61" w:name="BSFLevelsandDepositRequirement"/>
      <w:bookmarkEnd w:id="61"/>
      <w:r w:rsidRPr="00702882">
        <w:rPr>
          <w:rFonts w:eastAsiaTheme="minorEastAsia"/>
          <w:b/>
          <w:bCs/>
          <w:i/>
          <w:iCs/>
        </w:rPr>
        <w:t>Effects of Deposit Requirements on GFB Levels</w:t>
      </w:r>
    </w:p>
    <w:p w14:paraId="66F7D6BD" w14:textId="57FA7DBF" w:rsidR="00AF6702" w:rsidRPr="00702882" w:rsidRDefault="00AF6702" w:rsidP="00C66AC4">
      <w:pPr>
        <w:pStyle w:val="ad"/>
        <w:spacing w:before="0" w:beforeAutospacing="0" w:line="480" w:lineRule="auto"/>
        <w:ind w:firstLineChars="295" w:firstLine="708"/>
        <w:contextualSpacing/>
        <w:rPr>
          <w:rFonts w:eastAsiaTheme="minorEastAsia"/>
        </w:rPr>
      </w:pPr>
      <w:r w:rsidRPr="00702882">
        <w:rPr>
          <w:rFonts w:eastAsiaTheme="minorEastAsia"/>
        </w:rPr>
        <w:t xml:space="preserve">As shown in </w:t>
      </w:r>
      <w:r w:rsidRPr="00702882">
        <w:t>Table 1</w:t>
      </w:r>
      <w:r w:rsidR="00E0744B" w:rsidRPr="00702882">
        <w:rPr>
          <w:rFonts w:eastAsiaTheme="minorEastAsia"/>
        </w:rPr>
        <w:t>4</w:t>
      </w:r>
      <w:r w:rsidRPr="00702882">
        <w:rPr>
          <w:rFonts w:eastAsiaTheme="minorEastAsia"/>
        </w:rPr>
        <w:t xml:space="preserve">, the </w:t>
      </w:r>
      <w:r w:rsidRPr="00702882">
        <w:t xml:space="preserve">one-year lagged </w:t>
      </w:r>
      <w:r w:rsidRPr="00702882">
        <w:rPr>
          <w:rFonts w:eastAsiaTheme="minorEastAsia"/>
        </w:rPr>
        <w:t xml:space="preserve">BSF levels are positively associated with GFB levels as a share of general fund expenditures in all models, leading to an approximate increase of 0.19 – 0.22 percentage points in GFB levels as a share of general fund expenditures (p&lt;0.01). </w:t>
      </w:r>
      <w:r w:rsidRPr="00702882">
        <w:t>The variable of “number” significantly influence</w:t>
      </w:r>
      <w:r w:rsidRPr="00702882">
        <w:rPr>
          <w:rFonts w:eastAsiaTheme="minorEastAsia"/>
        </w:rPr>
        <w:t>s</w:t>
      </w:r>
      <w:r w:rsidRPr="00702882">
        <w:t xml:space="preserve"> GFB levels in all models</w:t>
      </w:r>
      <w:r w:rsidRPr="00702882">
        <w:rPr>
          <w:rFonts w:eastAsiaTheme="minorEastAsia"/>
        </w:rPr>
        <w:t xml:space="preserve"> except for model 2</w:t>
      </w:r>
      <w:r w:rsidRPr="00702882">
        <w:t>, as demonstrated in Table 1</w:t>
      </w:r>
      <w:r w:rsidR="00E0744B" w:rsidRPr="00702882">
        <w:rPr>
          <w:rFonts w:eastAsiaTheme="minorEastAsia"/>
        </w:rPr>
        <w:t>4</w:t>
      </w:r>
      <w:r w:rsidRPr="00702882">
        <w:rPr>
          <w:rFonts w:eastAsiaTheme="minorEastAsia"/>
        </w:rPr>
        <w:t>. States that operate more than one BSF tend to exhibit BSF levels that are 2.6 percentage points higher compared to states without additional BSFs, when controlling for all other variables (p&lt;0.01). This suggests that states with multiple BSFs are less likely to experience budget deficits or need the use of GFB to address such deficits, compared to states without additional BSFs.</w:t>
      </w:r>
    </w:p>
    <w:p w14:paraId="4CF60938" w14:textId="77777777" w:rsidR="00AF6702" w:rsidRPr="00702882" w:rsidRDefault="00AF6702" w:rsidP="00C66AC4">
      <w:pPr>
        <w:pStyle w:val="ad"/>
        <w:spacing w:before="0" w:beforeAutospacing="0" w:line="480" w:lineRule="auto"/>
        <w:ind w:firstLine="720"/>
        <w:contextualSpacing/>
        <w:rPr>
          <w:rFonts w:eastAsiaTheme="minorEastAsia"/>
        </w:rPr>
      </w:pPr>
      <w:r w:rsidRPr="00702882">
        <w:rPr>
          <w:rFonts w:eastAsiaTheme="minorEastAsia"/>
        </w:rPr>
        <w:t>The main effect of the "source" variable is significantly positive when the unemployment rate is set to zero. In models 2, 3, and 4, this effect translates to an increase of approximately 4.7 to 5.6 percentage points in GFB levels, holding all other variables constant (p &lt; 0.01). This suggests that states which utilize special revenue as a funding source for their BSF tend to exhibit higher GFB levels. This is likely because these states do not allocate the general fund to the BSF; instead, they retain the money within the GFB account, thereby increasing GFB levels, as they deposit special revenue into their BSF.</w:t>
      </w:r>
    </w:p>
    <w:p w14:paraId="2B1BC6BF" w14:textId="77777777" w:rsidR="00096F65" w:rsidRPr="00702882" w:rsidRDefault="00096F65" w:rsidP="00C66AC4">
      <w:pPr>
        <w:pStyle w:val="ad"/>
        <w:spacing w:before="0" w:beforeAutospacing="0" w:line="480" w:lineRule="auto"/>
        <w:ind w:firstLine="720"/>
        <w:contextualSpacing/>
        <w:rPr>
          <w:rFonts w:eastAsiaTheme="minorEastAsia"/>
          <w:color w:val="C00000"/>
        </w:rPr>
      </w:pPr>
    </w:p>
    <w:p w14:paraId="30590473" w14:textId="77777777" w:rsidR="00096F65" w:rsidRPr="00702882" w:rsidRDefault="00096F65" w:rsidP="00C66AC4">
      <w:pPr>
        <w:pStyle w:val="ad"/>
        <w:spacing w:before="0" w:beforeAutospacing="0" w:line="480" w:lineRule="auto"/>
        <w:ind w:firstLine="720"/>
        <w:contextualSpacing/>
        <w:rPr>
          <w:rFonts w:eastAsiaTheme="minorEastAsia"/>
          <w:color w:val="C00000"/>
        </w:rPr>
      </w:pPr>
    </w:p>
    <w:p w14:paraId="12BE09F7" w14:textId="77777777" w:rsidR="00096F65" w:rsidRPr="00702882" w:rsidRDefault="00096F65" w:rsidP="00C66AC4">
      <w:pPr>
        <w:pStyle w:val="ad"/>
        <w:spacing w:before="0" w:beforeAutospacing="0" w:line="480" w:lineRule="auto"/>
        <w:ind w:firstLine="720"/>
        <w:contextualSpacing/>
        <w:rPr>
          <w:rFonts w:eastAsiaTheme="minorEastAsia"/>
          <w:color w:val="C00000"/>
        </w:rPr>
      </w:pPr>
    </w:p>
    <w:p w14:paraId="1AD19047" w14:textId="77777777" w:rsidR="00096F65" w:rsidRPr="00702882" w:rsidRDefault="00096F65" w:rsidP="00C66AC4">
      <w:pPr>
        <w:pStyle w:val="ad"/>
        <w:spacing w:before="0" w:beforeAutospacing="0" w:line="480" w:lineRule="auto"/>
        <w:ind w:firstLine="720"/>
        <w:contextualSpacing/>
        <w:rPr>
          <w:rFonts w:eastAsiaTheme="minorEastAsia"/>
          <w:color w:val="C00000"/>
        </w:rPr>
      </w:pPr>
    </w:p>
    <w:p w14:paraId="2260D0B1" w14:textId="77777777" w:rsidR="00096F65" w:rsidRPr="00702882" w:rsidRDefault="00096F65" w:rsidP="00C66AC4">
      <w:pPr>
        <w:pStyle w:val="ad"/>
        <w:spacing w:before="0" w:beforeAutospacing="0" w:line="480" w:lineRule="auto"/>
        <w:ind w:firstLine="720"/>
        <w:contextualSpacing/>
        <w:rPr>
          <w:rFonts w:eastAsiaTheme="minorEastAsia"/>
          <w:color w:val="C00000"/>
        </w:rPr>
      </w:pPr>
    </w:p>
    <w:p w14:paraId="77812EC4" w14:textId="77777777" w:rsidR="00096F65" w:rsidRPr="00702882" w:rsidRDefault="00096F65" w:rsidP="00C66AC4">
      <w:pPr>
        <w:pStyle w:val="ad"/>
        <w:spacing w:before="0" w:beforeAutospacing="0" w:line="480" w:lineRule="auto"/>
        <w:ind w:firstLine="720"/>
        <w:contextualSpacing/>
        <w:rPr>
          <w:rFonts w:eastAsiaTheme="minorEastAsia"/>
          <w:color w:val="C00000"/>
        </w:rPr>
      </w:pPr>
    </w:p>
    <w:p w14:paraId="46F89FCE" w14:textId="77777777" w:rsidR="00096F65" w:rsidRPr="00702882" w:rsidRDefault="00096F65" w:rsidP="00C66AC4">
      <w:pPr>
        <w:pStyle w:val="ad"/>
        <w:spacing w:before="0" w:beforeAutospacing="0" w:line="480" w:lineRule="auto"/>
        <w:ind w:firstLine="720"/>
        <w:contextualSpacing/>
        <w:rPr>
          <w:rFonts w:eastAsiaTheme="minorEastAsia"/>
          <w:color w:val="C00000"/>
        </w:rPr>
      </w:pPr>
    </w:p>
    <w:p w14:paraId="698746FA" w14:textId="77777777" w:rsidR="005259C7" w:rsidRPr="00702882" w:rsidRDefault="00AF6702" w:rsidP="005259C7">
      <w:pPr>
        <w:pStyle w:val="ad"/>
        <w:spacing w:before="0" w:beforeAutospacing="0" w:line="480" w:lineRule="auto"/>
        <w:ind w:firstLine="720"/>
        <w:contextualSpacing/>
        <w:rPr>
          <w:rFonts w:eastAsiaTheme="minorEastAsia"/>
        </w:rPr>
      </w:pPr>
      <w:r w:rsidRPr="00702882">
        <w:rPr>
          <w:rFonts w:eastAsiaTheme="minorEastAsia"/>
        </w:rPr>
        <w:lastRenderedPageBreak/>
        <w:t>Interestingl</w:t>
      </w:r>
      <w:r w:rsidR="00096F65" w:rsidRPr="00702882">
        <w:rPr>
          <w:rFonts w:eastAsiaTheme="minorEastAsia"/>
        </w:rPr>
        <w:t>y, the positive impact of source on GFB levels is mitigated by unemployment rate. The interaction term between source and unemployment rate has a negative coefficient of -0.88. This means that for every one-unit increase in unemployment, the positive effect of source on GFB levels decreases by 0.88 units.</w:t>
      </w:r>
      <w:r w:rsidR="005259C7" w:rsidRPr="00702882">
        <w:rPr>
          <w:rFonts w:eastAsiaTheme="minorEastAsia"/>
        </w:rPr>
        <w:t xml:space="preserve"> </w:t>
      </w:r>
    </w:p>
    <w:p w14:paraId="3453F5A6" w14:textId="3020791F" w:rsidR="00F35486" w:rsidRPr="00702882" w:rsidRDefault="00A03BC8" w:rsidP="00A03BC8">
      <w:pPr>
        <w:pStyle w:val="ad"/>
        <w:tabs>
          <w:tab w:val="left" w:pos="3864"/>
        </w:tabs>
        <w:spacing w:before="0" w:beforeAutospacing="0" w:line="480" w:lineRule="auto"/>
        <w:ind w:firstLine="720"/>
        <w:contextualSpacing/>
        <w:rPr>
          <w:rFonts w:eastAsiaTheme="minorEastAsia"/>
        </w:rPr>
      </w:pPr>
      <w:r w:rsidRPr="00702882">
        <w:rPr>
          <w:rFonts w:eastAsiaTheme="minorEastAsia"/>
        </w:rPr>
        <w:tab/>
      </w:r>
    </w:p>
    <w:p w14:paraId="140B2E7D" w14:textId="35AA0A0B" w:rsidR="00AF6702" w:rsidRPr="00702882" w:rsidRDefault="00AF6702" w:rsidP="00C66AC4">
      <w:pPr>
        <w:spacing w:line="480" w:lineRule="auto"/>
        <w:jc w:val="center"/>
        <w:rPr>
          <w:b/>
          <w:bCs/>
        </w:rPr>
      </w:pPr>
      <w:r w:rsidRPr="00702882">
        <w:rPr>
          <w:b/>
          <w:bCs/>
        </w:rPr>
        <w:t xml:space="preserve">Figure </w:t>
      </w:r>
      <w:r w:rsidR="00E0744B" w:rsidRPr="00702882">
        <w:rPr>
          <w:rFonts w:eastAsiaTheme="minorEastAsia"/>
          <w:b/>
          <w:bCs/>
        </w:rPr>
        <w:t>6</w:t>
      </w:r>
      <w:r w:rsidRPr="00702882">
        <w:rPr>
          <w:b/>
          <w:bCs/>
        </w:rPr>
        <w:t>. Interaction Effects of</w:t>
      </w:r>
    </w:p>
    <w:p w14:paraId="0C033526" w14:textId="77777777" w:rsidR="00AF6702" w:rsidRPr="00702882" w:rsidRDefault="00AF6702" w:rsidP="00C66AC4">
      <w:pPr>
        <w:spacing w:line="480" w:lineRule="auto"/>
        <w:jc w:val="center"/>
        <w:rPr>
          <w:b/>
          <w:bCs/>
        </w:rPr>
      </w:pPr>
      <w:r w:rsidRPr="00702882">
        <w:rPr>
          <w:b/>
          <w:bCs/>
        </w:rPr>
        <w:t>Source and Unemployment on GFB Levels</w:t>
      </w:r>
    </w:p>
    <w:p w14:paraId="0494DC62" w14:textId="07409806" w:rsidR="00AF6702" w:rsidRPr="00702882" w:rsidRDefault="00AF6702" w:rsidP="00C66AC4">
      <w:pPr>
        <w:spacing w:line="480" w:lineRule="auto"/>
        <w:jc w:val="center"/>
        <w:rPr>
          <w:rFonts w:eastAsiaTheme="minorEastAsia"/>
          <w:color w:val="7030A0"/>
        </w:rPr>
      </w:pPr>
      <w:r w:rsidRPr="00702882">
        <w:rPr>
          <w:noProof/>
          <w:color w:val="7030A0"/>
        </w:rPr>
        <w:drawing>
          <wp:inline distT="0" distB="0" distL="0" distR="0" wp14:anchorId="6A7D1BF1" wp14:editId="5CA5E509">
            <wp:extent cx="5697910" cy="5035065"/>
            <wp:effectExtent l="0" t="0" r="0" b="0"/>
            <wp:docPr id="2009487191"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1620" cy="5056017"/>
                    </a:xfrm>
                    <a:prstGeom prst="rect">
                      <a:avLst/>
                    </a:prstGeom>
                    <a:noFill/>
                  </pic:spPr>
                </pic:pic>
              </a:graphicData>
            </a:graphic>
          </wp:inline>
        </w:drawing>
      </w:r>
    </w:p>
    <w:p w14:paraId="3597EE1A" w14:textId="77777777" w:rsidR="007113EE" w:rsidRPr="00702882" w:rsidRDefault="007113EE" w:rsidP="00F35486">
      <w:pPr>
        <w:pStyle w:val="ad"/>
        <w:spacing w:before="0" w:beforeAutospacing="0" w:line="480" w:lineRule="auto"/>
        <w:ind w:firstLine="720"/>
        <w:contextualSpacing/>
        <w:rPr>
          <w:rFonts w:eastAsiaTheme="minorEastAsia"/>
        </w:rPr>
      </w:pPr>
    </w:p>
    <w:p w14:paraId="2F9604C7" w14:textId="1FF50FDE" w:rsidR="004A7D87" w:rsidRPr="00702882" w:rsidRDefault="00F35486" w:rsidP="004A7D87">
      <w:pPr>
        <w:pStyle w:val="ad"/>
        <w:spacing w:before="0" w:beforeAutospacing="0" w:line="480" w:lineRule="auto"/>
        <w:ind w:firstLine="720"/>
        <w:contextualSpacing/>
        <w:rPr>
          <w:rFonts w:eastAsiaTheme="minorEastAsia"/>
        </w:rPr>
      </w:pPr>
      <w:r w:rsidRPr="00702882">
        <w:rPr>
          <w:rFonts w:eastAsiaTheme="minorEastAsia"/>
        </w:rPr>
        <w:lastRenderedPageBreak/>
        <w:t xml:space="preserve">Figure 6 also shows that the effect of the funding source on GFB levels varies depending on the economic condition of the state. </w:t>
      </w:r>
      <w:r w:rsidR="007113EE" w:rsidRPr="00702882">
        <w:rPr>
          <w:rFonts w:eastAsiaTheme="minorEastAsia"/>
        </w:rPr>
        <w:t>W</w:t>
      </w:r>
      <w:r w:rsidR="00AF6702" w:rsidRPr="00702882">
        <w:rPr>
          <w:rFonts w:eastAsiaTheme="minorEastAsia"/>
        </w:rPr>
        <w:t>hen the unemployment rate is approximately 2 percent, the relationship between the funding source and BSF levels shows a positive slope.</w:t>
      </w:r>
      <w:r w:rsidR="00C124DD" w:rsidRPr="00702882">
        <w:rPr>
          <w:rFonts w:eastAsiaTheme="minorEastAsia"/>
        </w:rPr>
        <w:t xml:space="preserve"> This is because the net effect of source is 3.82, calculated by adding the base effect of 5.58 to the interaction effect of -1.76 (which is -0.88 multiplied by 2 percent unemployment rate).</w:t>
      </w:r>
      <w:r w:rsidR="004A7D87" w:rsidRPr="00702882">
        <w:rPr>
          <w:rFonts w:eastAsiaTheme="minorEastAsia"/>
        </w:rPr>
        <w:t xml:space="preserve"> Conversely, when the unemployment rate rises to around 13 percent, the slope of the relationship becomes negative, as the net effect of source is -5.86, calculated by adding the base effect of 5.58 to the interaction effect of -11.44 (which is -0.88 multiplied by 13</w:t>
      </w:r>
      <w:r w:rsidR="009A18A9" w:rsidRPr="00702882">
        <w:rPr>
          <w:rFonts w:eastAsiaTheme="minorEastAsia"/>
        </w:rPr>
        <w:t xml:space="preserve"> percent unemployment rate</w:t>
      </w:r>
      <w:r w:rsidR="004A7D87" w:rsidRPr="00702882">
        <w:rPr>
          <w:rFonts w:eastAsiaTheme="minorEastAsia"/>
        </w:rPr>
        <w:t xml:space="preserve">). </w:t>
      </w:r>
    </w:p>
    <w:p w14:paraId="26F90FD6" w14:textId="6D31EE76" w:rsidR="00AF6702" w:rsidRPr="00702882" w:rsidRDefault="004A7D87" w:rsidP="004A7D87">
      <w:pPr>
        <w:pStyle w:val="ad"/>
        <w:spacing w:before="0" w:beforeAutospacing="0" w:line="480" w:lineRule="auto"/>
        <w:ind w:firstLine="720"/>
        <w:contextualSpacing/>
        <w:rPr>
          <w:rFonts w:eastAsiaTheme="minorEastAsia"/>
        </w:rPr>
      </w:pPr>
      <w:r w:rsidRPr="00702882">
        <w:rPr>
          <w:rFonts w:eastAsiaTheme="minorEastAsia"/>
        </w:rPr>
        <w:t xml:space="preserve">This suggests that during recessions, states relying more on special revenue tend to have lower GFB levels compared to states using the general fund as a funding source for their BSF. </w:t>
      </w:r>
      <w:r w:rsidR="00AF6702" w:rsidRPr="00702882">
        <w:rPr>
          <w:rFonts w:eastAsiaTheme="minorEastAsia"/>
        </w:rPr>
        <w:t>However, it does not necessarily imply that the source has a negative impact on GFB levels during recessions. Instead, this could be attributed to states facing budget shortfall, as indicated by low or negative GFB levels, being more likely to receive federal funds or rely on alternative revenue sources besides general funds.</w:t>
      </w:r>
    </w:p>
    <w:p w14:paraId="3BE159A3" w14:textId="77777777" w:rsidR="00AF6702" w:rsidRPr="00702882" w:rsidRDefault="00AF6702" w:rsidP="00C66AC4">
      <w:pPr>
        <w:pStyle w:val="ad"/>
        <w:spacing w:before="0" w:beforeAutospacing="0" w:line="480" w:lineRule="auto"/>
        <w:ind w:firstLineChars="295" w:firstLine="708"/>
        <w:contextualSpacing/>
        <w:rPr>
          <w:rFonts w:eastAsiaTheme="minorEastAsia"/>
        </w:rPr>
      </w:pPr>
      <w:r w:rsidRPr="00702882">
        <w:rPr>
          <w:rFonts w:eastAsiaTheme="minorEastAsia"/>
        </w:rPr>
        <w:t xml:space="preserve">“Cap” shows insignificant influence on GFB levels across all models. All other deposit rules, including deposit by legislature, depositing revenue surplus, and deposit tied to revenue volatility, have an insignificant impact on GFB levels in all models. These findings do not substantiate the hypothesis 5, which posited that imposing stringent deposit obligation negatively affects GFB levels. </w:t>
      </w:r>
    </w:p>
    <w:p w14:paraId="1967C9E2" w14:textId="77777777" w:rsidR="00971D7B" w:rsidRPr="00702882" w:rsidRDefault="00971D7B" w:rsidP="00C66AC4">
      <w:pPr>
        <w:pStyle w:val="ad"/>
        <w:spacing w:before="0" w:beforeAutospacing="0" w:line="480" w:lineRule="auto"/>
        <w:ind w:firstLineChars="295" w:firstLine="708"/>
        <w:contextualSpacing/>
        <w:rPr>
          <w:rFonts w:eastAsiaTheme="minorEastAsia"/>
        </w:rPr>
      </w:pPr>
    </w:p>
    <w:p w14:paraId="7104B470" w14:textId="77777777" w:rsidR="00971D7B" w:rsidRPr="00702882" w:rsidRDefault="00971D7B" w:rsidP="00C66AC4">
      <w:pPr>
        <w:pStyle w:val="ad"/>
        <w:spacing w:before="0" w:beforeAutospacing="0" w:line="480" w:lineRule="auto"/>
        <w:ind w:firstLineChars="295" w:firstLine="708"/>
        <w:contextualSpacing/>
        <w:rPr>
          <w:rFonts w:eastAsiaTheme="minorEastAsia"/>
        </w:rPr>
      </w:pPr>
    </w:p>
    <w:p w14:paraId="61E71CEA" w14:textId="77777777" w:rsidR="00971D7B" w:rsidRPr="00702882" w:rsidRDefault="00971D7B" w:rsidP="00C66AC4">
      <w:pPr>
        <w:pStyle w:val="ad"/>
        <w:spacing w:before="0" w:beforeAutospacing="0" w:line="480" w:lineRule="auto"/>
        <w:ind w:firstLineChars="295" w:firstLine="708"/>
        <w:contextualSpacing/>
        <w:rPr>
          <w:rFonts w:eastAsiaTheme="minorEastAsia"/>
        </w:rPr>
      </w:pPr>
    </w:p>
    <w:p w14:paraId="7F99B924" w14:textId="77777777" w:rsidR="00971D7B" w:rsidRPr="00702882" w:rsidRDefault="00971D7B" w:rsidP="00C66AC4">
      <w:pPr>
        <w:pStyle w:val="ad"/>
        <w:spacing w:before="0" w:beforeAutospacing="0" w:line="480" w:lineRule="auto"/>
        <w:ind w:firstLineChars="295" w:firstLine="708"/>
        <w:contextualSpacing/>
        <w:rPr>
          <w:rFonts w:eastAsiaTheme="minorEastAsia"/>
        </w:rPr>
      </w:pPr>
    </w:p>
    <w:p w14:paraId="4F389456" w14:textId="27164D75" w:rsidR="00AF6702" w:rsidRPr="00702882" w:rsidRDefault="00AF6702" w:rsidP="00C66AC4">
      <w:pPr>
        <w:spacing w:line="480" w:lineRule="auto"/>
        <w:jc w:val="center"/>
        <w:rPr>
          <w:b/>
          <w:bCs/>
        </w:rPr>
      </w:pPr>
      <w:r w:rsidRPr="00702882">
        <w:rPr>
          <w:b/>
          <w:bCs/>
        </w:rPr>
        <w:lastRenderedPageBreak/>
        <w:t xml:space="preserve">Figure </w:t>
      </w:r>
      <w:r w:rsidR="00E0744B" w:rsidRPr="00702882">
        <w:rPr>
          <w:rFonts w:eastAsiaTheme="minorEastAsia"/>
          <w:b/>
          <w:bCs/>
        </w:rPr>
        <w:t>7</w:t>
      </w:r>
      <w:r w:rsidRPr="00702882">
        <w:rPr>
          <w:b/>
          <w:bCs/>
        </w:rPr>
        <w:t xml:space="preserve">. Interaction Effects of </w:t>
      </w:r>
    </w:p>
    <w:p w14:paraId="489F8414" w14:textId="77777777" w:rsidR="00AF6702" w:rsidRPr="00702882" w:rsidRDefault="00AF6702" w:rsidP="00C66AC4">
      <w:pPr>
        <w:spacing w:line="480" w:lineRule="auto"/>
        <w:jc w:val="center"/>
        <w:rPr>
          <w:b/>
          <w:bCs/>
        </w:rPr>
      </w:pPr>
      <w:r w:rsidRPr="00702882">
        <w:rPr>
          <w:b/>
          <w:bCs/>
        </w:rPr>
        <w:t>Deposit Tied to Revenue volatility and Unemployment on GFB Levels</w:t>
      </w:r>
    </w:p>
    <w:p w14:paraId="2A9ACF21" w14:textId="77777777" w:rsidR="00AF6702" w:rsidRPr="00702882" w:rsidRDefault="00AF6702" w:rsidP="00C66AC4">
      <w:pPr>
        <w:spacing w:line="480" w:lineRule="auto"/>
        <w:jc w:val="center"/>
        <w:rPr>
          <w:rFonts w:eastAsiaTheme="minorEastAsia"/>
          <w:b/>
          <w:bCs/>
          <w:color w:val="7030A0"/>
        </w:rPr>
      </w:pPr>
      <w:r w:rsidRPr="00702882">
        <w:rPr>
          <w:b/>
          <w:bCs/>
          <w:noProof/>
          <w:color w:val="7030A0"/>
        </w:rPr>
        <w:drawing>
          <wp:inline distT="0" distB="0" distL="0" distR="0" wp14:anchorId="6350671B" wp14:editId="26FB5BCD">
            <wp:extent cx="5538952" cy="4587949"/>
            <wp:effectExtent l="0" t="0" r="5080" b="3175"/>
            <wp:docPr id="804646631"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57862" cy="4603612"/>
                    </a:xfrm>
                    <a:prstGeom prst="rect">
                      <a:avLst/>
                    </a:prstGeom>
                    <a:noFill/>
                  </pic:spPr>
                </pic:pic>
              </a:graphicData>
            </a:graphic>
          </wp:inline>
        </w:drawing>
      </w:r>
    </w:p>
    <w:p w14:paraId="1008F2FE" w14:textId="77777777" w:rsidR="00AF6702" w:rsidRPr="00702882" w:rsidRDefault="00AF6702" w:rsidP="00C66AC4">
      <w:pPr>
        <w:spacing w:line="480" w:lineRule="auto"/>
        <w:rPr>
          <w:color w:val="7030A0"/>
        </w:rPr>
      </w:pPr>
    </w:p>
    <w:p w14:paraId="5041147A" w14:textId="77777777" w:rsidR="00FC24EB" w:rsidRPr="00702882" w:rsidRDefault="0076024E" w:rsidP="00FC24EB">
      <w:pPr>
        <w:pStyle w:val="ad"/>
        <w:spacing w:before="0" w:beforeAutospacing="0" w:line="480" w:lineRule="auto"/>
        <w:ind w:firstLineChars="295" w:firstLine="708"/>
        <w:contextualSpacing/>
        <w:rPr>
          <w:rFonts w:eastAsiaTheme="minorEastAsia"/>
        </w:rPr>
      </w:pPr>
      <w:r w:rsidRPr="00702882">
        <w:rPr>
          <w:rFonts w:eastAsiaTheme="minorEastAsia"/>
        </w:rPr>
        <w:t>T</w:t>
      </w:r>
      <w:r w:rsidR="00AF6702" w:rsidRPr="00702882">
        <w:rPr>
          <w:rFonts w:eastAsiaTheme="minorEastAsia"/>
        </w:rPr>
        <w:t xml:space="preserve">he main effect of </w:t>
      </w:r>
      <w:r w:rsidRPr="00702882">
        <w:rPr>
          <w:rFonts w:eastAsiaTheme="minorEastAsia"/>
        </w:rPr>
        <w:t>"</w:t>
      </w:r>
      <w:r w:rsidR="00AF6702" w:rsidRPr="00702882">
        <w:rPr>
          <w:rFonts w:eastAsiaTheme="minorEastAsia"/>
        </w:rPr>
        <w:t>deposits tied to revenue volatility (</w:t>
      </w:r>
      <w:r w:rsidRPr="00702882">
        <w:rPr>
          <w:rFonts w:eastAsiaTheme="minorEastAsia"/>
        </w:rPr>
        <w:t>DepoVol_formula</w:t>
      </w:r>
      <w:r w:rsidR="00AF6702" w:rsidRPr="00702882">
        <w:rPr>
          <w:rFonts w:eastAsiaTheme="minorEastAsia"/>
        </w:rPr>
        <w:t>)" on GFB levels is statistically insignificant</w:t>
      </w:r>
      <w:r w:rsidRPr="00702882">
        <w:rPr>
          <w:rFonts w:eastAsiaTheme="minorEastAsia"/>
        </w:rPr>
        <w:t>. However, the interaction term between deposit tied to revenue volatility (DepoVol_formula) and unemployment rate (Unemployment) has a positive coefficient of 0.88 in models 3 and 4. This means that for every one-unit increase in unemployment, the positive effect of deposit tied to revenue volatility on GFB levels increases by 0.88 units.</w:t>
      </w:r>
      <w:r w:rsidR="00FC24EB" w:rsidRPr="00702882">
        <w:rPr>
          <w:rFonts w:eastAsiaTheme="minorEastAsia"/>
        </w:rPr>
        <w:t xml:space="preserve"> </w:t>
      </w:r>
    </w:p>
    <w:p w14:paraId="341F9619" w14:textId="0E103BE5" w:rsidR="009D4938" w:rsidRPr="00702882" w:rsidRDefault="00AF6702" w:rsidP="009D4938">
      <w:pPr>
        <w:pStyle w:val="ad"/>
        <w:spacing w:before="0" w:beforeAutospacing="0" w:line="480" w:lineRule="auto"/>
        <w:ind w:firstLineChars="295" w:firstLine="708"/>
        <w:contextualSpacing/>
        <w:rPr>
          <w:rFonts w:eastAsiaTheme="minorEastAsia"/>
        </w:rPr>
      </w:pPr>
      <w:r w:rsidRPr="00702882">
        <w:rPr>
          <w:rFonts w:eastAsiaTheme="minorEastAsia"/>
        </w:rPr>
        <w:t xml:space="preserve">As depicted in Figure </w:t>
      </w:r>
      <w:r w:rsidR="00E0744B" w:rsidRPr="00702882">
        <w:rPr>
          <w:rFonts w:eastAsiaTheme="minorEastAsia"/>
        </w:rPr>
        <w:t>7</w:t>
      </w:r>
      <w:r w:rsidRPr="00702882">
        <w:rPr>
          <w:rFonts w:eastAsiaTheme="minorEastAsia"/>
        </w:rPr>
        <w:t xml:space="preserve">, </w:t>
      </w:r>
      <w:r w:rsidR="00DE6F85" w:rsidRPr="00702882">
        <w:rPr>
          <w:rFonts w:eastAsiaTheme="minorEastAsia"/>
        </w:rPr>
        <w:t>w</w:t>
      </w:r>
      <w:r w:rsidR="00B9554F" w:rsidRPr="00702882">
        <w:rPr>
          <w:rFonts w:eastAsiaTheme="minorEastAsia"/>
        </w:rPr>
        <w:t xml:space="preserve">hen the unemployment rate is low, around 0 percent, the net effect of </w:t>
      </w:r>
      <w:r w:rsidR="00FC24EB" w:rsidRPr="00702882">
        <w:rPr>
          <w:rFonts w:eastAsiaTheme="minorEastAsia"/>
        </w:rPr>
        <w:t>“deposits tied to revenue volatility”</w:t>
      </w:r>
      <w:r w:rsidR="00B9554F" w:rsidRPr="00702882">
        <w:rPr>
          <w:rFonts w:eastAsiaTheme="minorEastAsia"/>
        </w:rPr>
        <w:t xml:space="preserve"> on GFB levels is approximately 2.51, calculated </w:t>
      </w:r>
      <w:r w:rsidR="00B9554F" w:rsidRPr="00702882">
        <w:rPr>
          <w:rFonts w:eastAsiaTheme="minorEastAsia"/>
        </w:rPr>
        <w:lastRenderedPageBreak/>
        <w:t xml:space="preserve">by adding the base effect of 2.51 to the interaction effect of 0 (0.88 multiplied by 0 percent unemployment). Conversely, when the unemployment rate is around 13 percent, the net effect of </w:t>
      </w:r>
      <w:r w:rsidR="00FC24EB" w:rsidRPr="00702882">
        <w:rPr>
          <w:rFonts w:eastAsiaTheme="minorEastAsia"/>
        </w:rPr>
        <w:t>“deposits tied to revenue volatility”</w:t>
      </w:r>
      <w:r w:rsidR="00B9554F" w:rsidRPr="00702882">
        <w:rPr>
          <w:rFonts w:eastAsiaTheme="minorEastAsia"/>
        </w:rPr>
        <w:t xml:space="preserve"> on GFB levels becomes significantly positive, at 13.95, calculated by adding the base effect of 2.51 to the interaction effect of 11.44 (0.88 multiplied by 13 percent unemployment). This suggests that during periods of high unemployment, states lin</w:t>
      </w:r>
      <w:r w:rsidR="00FC24EB" w:rsidRPr="00702882">
        <w:rPr>
          <w:rFonts w:eastAsiaTheme="minorEastAsia"/>
        </w:rPr>
        <w:t>king</w:t>
      </w:r>
      <w:r w:rsidR="00B9554F" w:rsidRPr="00702882">
        <w:rPr>
          <w:rFonts w:eastAsiaTheme="minorEastAsia"/>
        </w:rPr>
        <w:t xml:space="preserve"> their BSF to revenue volatility have higher GFB levels, while at low unemployment rates, GFB levels are more similar between states with and without this linkage.</w:t>
      </w:r>
    </w:p>
    <w:p w14:paraId="013CF781" w14:textId="77777777" w:rsidR="009D4938" w:rsidRPr="00702882" w:rsidRDefault="009D4938" w:rsidP="009D4938">
      <w:pPr>
        <w:pStyle w:val="ad"/>
        <w:spacing w:before="0" w:beforeAutospacing="0" w:line="480" w:lineRule="auto"/>
        <w:ind w:firstLineChars="295" w:firstLine="708"/>
        <w:contextualSpacing/>
        <w:rPr>
          <w:rFonts w:eastAsiaTheme="minorEastAsia"/>
        </w:rPr>
      </w:pPr>
    </w:p>
    <w:p w14:paraId="0FAAB06B" w14:textId="77777777" w:rsidR="009D4938" w:rsidRPr="00702882" w:rsidRDefault="009D4938" w:rsidP="009D4938">
      <w:pPr>
        <w:spacing w:line="480" w:lineRule="auto"/>
        <w:jc w:val="center"/>
        <w:rPr>
          <w:b/>
          <w:bCs/>
        </w:rPr>
      </w:pPr>
      <w:r w:rsidRPr="00702882">
        <w:rPr>
          <w:b/>
          <w:bCs/>
        </w:rPr>
        <w:t xml:space="preserve">Figure </w:t>
      </w:r>
      <w:r w:rsidRPr="00702882">
        <w:rPr>
          <w:rFonts w:eastAsiaTheme="minorEastAsia"/>
          <w:b/>
          <w:bCs/>
        </w:rPr>
        <w:t>8</w:t>
      </w:r>
      <w:r w:rsidRPr="00702882">
        <w:rPr>
          <w:b/>
          <w:bCs/>
        </w:rPr>
        <w:t>. Interaction Effects of</w:t>
      </w:r>
    </w:p>
    <w:p w14:paraId="223EBC9C" w14:textId="77777777" w:rsidR="009D4938" w:rsidRPr="00702882" w:rsidRDefault="009D4938" w:rsidP="009D4938">
      <w:pPr>
        <w:spacing w:line="480" w:lineRule="auto"/>
        <w:jc w:val="center"/>
      </w:pPr>
      <w:r w:rsidRPr="00702882">
        <w:rPr>
          <w:b/>
          <w:bCs/>
        </w:rPr>
        <w:t>Withdrawal Tied to Revenue Volatility and Withdrawal Limit on GFB Levels</w:t>
      </w:r>
    </w:p>
    <w:p w14:paraId="004EAE78" w14:textId="3ACE0E88" w:rsidR="00FC24EB" w:rsidRPr="00702882" w:rsidRDefault="009D4938" w:rsidP="009D4938">
      <w:pPr>
        <w:spacing w:line="480" w:lineRule="auto"/>
        <w:jc w:val="center"/>
        <w:rPr>
          <w:rFonts w:eastAsiaTheme="minorEastAsia"/>
          <w:color w:val="7030A0"/>
        </w:rPr>
      </w:pPr>
      <w:r w:rsidRPr="00702882">
        <w:rPr>
          <w:noProof/>
          <w:color w:val="7030A0"/>
        </w:rPr>
        <w:drawing>
          <wp:inline distT="0" distB="0" distL="0" distR="0" wp14:anchorId="4B5E5607" wp14:editId="7D171D56">
            <wp:extent cx="5502348" cy="4396676"/>
            <wp:effectExtent l="0" t="0" r="3175" b="4445"/>
            <wp:docPr id="449304017"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29793" cy="4418606"/>
                    </a:xfrm>
                    <a:prstGeom prst="rect">
                      <a:avLst/>
                    </a:prstGeom>
                    <a:noFill/>
                  </pic:spPr>
                </pic:pic>
              </a:graphicData>
            </a:graphic>
          </wp:inline>
        </w:drawing>
      </w:r>
    </w:p>
    <w:p w14:paraId="08B898DC" w14:textId="77777777" w:rsidR="00FC24EB" w:rsidRPr="00702882" w:rsidRDefault="00FC24EB" w:rsidP="00FC24EB">
      <w:pPr>
        <w:pStyle w:val="ad"/>
        <w:spacing w:before="0" w:beforeAutospacing="0" w:line="480" w:lineRule="auto"/>
        <w:ind w:firstLine="360"/>
        <w:contextualSpacing/>
        <w:rPr>
          <w:rFonts w:eastAsiaTheme="minorEastAsia"/>
          <w:b/>
          <w:bCs/>
          <w:i/>
          <w:iCs/>
        </w:rPr>
      </w:pPr>
      <w:r w:rsidRPr="00702882">
        <w:rPr>
          <w:rFonts w:eastAsiaTheme="minorEastAsia"/>
          <w:b/>
          <w:bCs/>
          <w:i/>
          <w:iCs/>
        </w:rPr>
        <w:lastRenderedPageBreak/>
        <w:t>6.2.6 Effects of Withdrawal Requirements on GFB Levels</w:t>
      </w:r>
    </w:p>
    <w:p w14:paraId="343EDB0B" w14:textId="260FDDD0" w:rsidR="00CD6ECB" w:rsidRPr="00702882" w:rsidRDefault="00FC24EB" w:rsidP="00CD6ECB">
      <w:pPr>
        <w:pStyle w:val="ad"/>
        <w:spacing w:line="480" w:lineRule="auto"/>
        <w:ind w:firstLine="720"/>
        <w:contextualSpacing/>
        <w:rPr>
          <w:rFonts w:eastAsiaTheme="minorEastAsia"/>
        </w:rPr>
      </w:pPr>
      <w:r w:rsidRPr="00702882">
        <w:rPr>
          <w:rFonts w:eastAsiaTheme="minorEastAsia"/>
        </w:rPr>
        <w:t>“Withdrawal by a simple majority vote of the legislature (WithLegis_numeric)” demonstrates statistical insignificance in impacting GFB levels in all models except for model 2. “Withdrawal by revenue shortfall (WithShortfall)” and “withdrawal limit (WithLim)” also show an insignificant impact on GFB levels in all models. “Withdrawal tied to revenue volatility (WithVol)” is not statistically significant in models 1 and 2.</w:t>
      </w:r>
      <w:r w:rsidR="00B03DDD" w:rsidRPr="00702882">
        <w:rPr>
          <w:rFonts w:eastAsiaTheme="minorEastAsia"/>
        </w:rPr>
        <w:t xml:space="preserve"> </w:t>
      </w:r>
      <w:r w:rsidR="00CD6ECB" w:rsidRPr="00702882">
        <w:rPr>
          <w:rFonts w:eastAsiaTheme="minorEastAsia"/>
        </w:rPr>
        <w:t>However, in models 3 and 4, states that link withdrawal to revenue volatility (WithVol) without imposing withdrawal limits (WithLim) exhibit lower GFB levels by approximately 3.6 to 3.7 percentage points, compared to states that have neither withdrawal tied to revenue volatility nor withdrawal limit (p &lt; 0.01).</w:t>
      </w:r>
    </w:p>
    <w:p w14:paraId="061EB03F" w14:textId="5931026F" w:rsidR="00B03DDD" w:rsidRPr="00702882" w:rsidRDefault="00554EE5" w:rsidP="00CC3711">
      <w:pPr>
        <w:pStyle w:val="ad"/>
        <w:spacing w:line="480" w:lineRule="auto"/>
        <w:ind w:firstLine="720"/>
        <w:contextualSpacing/>
        <w:rPr>
          <w:rFonts w:eastAsiaTheme="minorEastAsia"/>
        </w:rPr>
      </w:pPr>
      <w:r w:rsidRPr="00702882">
        <w:rPr>
          <w:rFonts w:eastAsiaTheme="minorEastAsia"/>
        </w:rPr>
        <w:t xml:space="preserve">States that implement both "withdrawal tied to revenue volatility" (WithVol) and "withdrawal limits" (WithLim) show approximately a 5.9 percentage point increase in their GFB levels compared to states that have neither policy. Specifically, the interaction term indicates that when both WithVol and WithLim are present (i.e., both are 1), their combined effect on GFB levels is 5.94 units. This substantial positive interaction suggests that these policies together strongly moderate </w:t>
      </w:r>
      <w:r w:rsidR="00CC3711" w:rsidRPr="00702882">
        <w:rPr>
          <w:rFonts w:eastAsiaTheme="minorEastAsia"/>
        </w:rPr>
        <w:t>the negative effect of "withdrawal tied to revenue volatility" (WithVol)</w:t>
      </w:r>
      <w:r w:rsidRPr="00702882">
        <w:rPr>
          <w:rFonts w:eastAsiaTheme="minorEastAsia"/>
        </w:rPr>
        <w:t>, leading to a notable positive effect on GFB levels as a share of general fund expenditures.</w:t>
      </w:r>
    </w:p>
    <w:p w14:paraId="2268FCB1" w14:textId="1CD0822D" w:rsidR="00AF6702" w:rsidRPr="00702882" w:rsidRDefault="00AF6702" w:rsidP="00C66AC4">
      <w:pPr>
        <w:pStyle w:val="ad"/>
        <w:spacing w:line="480" w:lineRule="auto"/>
        <w:ind w:firstLine="720"/>
        <w:contextualSpacing/>
        <w:rPr>
          <w:rFonts w:eastAsiaTheme="minorEastAsia"/>
        </w:rPr>
      </w:pPr>
      <w:r w:rsidRPr="00702882">
        <w:rPr>
          <w:rFonts w:eastAsiaTheme="minorEastAsia"/>
        </w:rPr>
        <w:t xml:space="preserve">These observations suggest that </w:t>
      </w:r>
      <w:r w:rsidRPr="00702882">
        <w:rPr>
          <w:rFonts w:eastAsiaTheme="minorEastAsia"/>
          <w:i/>
          <w:iCs/>
        </w:rPr>
        <w:t>when a state is burdened by multiple stringent regulations hindering the use of the BSF, it is inclined to maintain funds in the GFB account, as it offers a more easily accessible and available option than utilizing the BSF</w:t>
      </w:r>
      <w:r w:rsidRPr="00702882">
        <w:rPr>
          <w:rFonts w:eastAsiaTheme="minorEastAsia"/>
        </w:rPr>
        <w:t xml:space="preserve">. However, further research is warranted to validate this initial finding. Other variables, including repayment provision and withdrawal limit, do not have a significant impact on GFB levels. </w:t>
      </w:r>
    </w:p>
    <w:p w14:paraId="30B2DDC1" w14:textId="77777777" w:rsidR="00AF6702" w:rsidRPr="00702882" w:rsidRDefault="00AF6702" w:rsidP="00C66AC4">
      <w:pPr>
        <w:pStyle w:val="ad"/>
        <w:spacing w:before="0" w:beforeAutospacing="0" w:line="480" w:lineRule="auto"/>
        <w:contextualSpacing/>
        <w:rPr>
          <w:rFonts w:eastAsiaTheme="minorEastAsia"/>
          <w:color w:val="7030A0"/>
        </w:rPr>
      </w:pPr>
    </w:p>
    <w:p w14:paraId="58F20B94" w14:textId="77777777" w:rsidR="00AF6702" w:rsidRPr="00702882" w:rsidRDefault="00AF6702" w:rsidP="00C66AC4">
      <w:pPr>
        <w:pStyle w:val="ad"/>
        <w:spacing w:before="0" w:beforeAutospacing="0" w:line="480" w:lineRule="auto"/>
        <w:ind w:firstLine="360"/>
        <w:contextualSpacing/>
        <w:rPr>
          <w:rFonts w:eastAsiaTheme="minorEastAsia"/>
          <w:b/>
          <w:bCs/>
          <w:i/>
          <w:iCs/>
        </w:rPr>
      </w:pPr>
      <w:r w:rsidRPr="00702882">
        <w:rPr>
          <w:rFonts w:eastAsiaTheme="minorEastAsia"/>
          <w:b/>
          <w:bCs/>
          <w:i/>
          <w:iCs/>
        </w:rPr>
        <w:lastRenderedPageBreak/>
        <w:t xml:space="preserve">6.2.7 Effects of Control Variables on GFB Levels </w:t>
      </w:r>
    </w:p>
    <w:p w14:paraId="58B31E22" w14:textId="77777777" w:rsidR="00AF6702" w:rsidRPr="00702882" w:rsidRDefault="00AF6702" w:rsidP="00C66AC4">
      <w:pPr>
        <w:pStyle w:val="ad"/>
        <w:spacing w:before="0" w:beforeAutospacing="0" w:line="480" w:lineRule="auto"/>
        <w:ind w:firstLineChars="295" w:firstLine="708"/>
        <w:contextualSpacing/>
        <w:rPr>
          <w:rFonts w:eastAsiaTheme="minorEastAsia"/>
        </w:rPr>
      </w:pPr>
      <w:r w:rsidRPr="00702882">
        <w:rPr>
          <w:rFonts w:eastAsiaTheme="minorEastAsia"/>
        </w:rPr>
        <w:t xml:space="preserve">Both </w:t>
      </w:r>
      <w:r w:rsidRPr="00702882">
        <w:t xml:space="preserve">disasters </w:t>
      </w:r>
      <w:r w:rsidRPr="00702882">
        <w:rPr>
          <w:rFonts w:eastAsiaTheme="minorEastAsia"/>
        </w:rPr>
        <w:t>and federal IGR</w:t>
      </w:r>
      <w:r w:rsidRPr="00702882">
        <w:t xml:space="preserve"> do not have a significant impact on GFB levels. </w:t>
      </w:r>
      <w:r w:rsidRPr="00702882">
        <w:rPr>
          <w:rFonts w:eastAsiaTheme="minorEastAsia"/>
        </w:rPr>
        <w:t>A one unit increase in</w:t>
      </w:r>
      <w:r w:rsidRPr="00702882">
        <w:t xml:space="preserve"> debt per capita variable decreases GFB levels by about </w:t>
      </w:r>
      <w:r w:rsidRPr="00702882">
        <w:rPr>
          <w:rFonts w:eastAsiaTheme="minorEastAsia"/>
        </w:rPr>
        <w:t>2</w:t>
      </w:r>
      <w:r w:rsidRPr="00702882">
        <w:t xml:space="preserve"> percentage points in models 1 through 4</w:t>
      </w:r>
      <w:r w:rsidRPr="00702882">
        <w:rPr>
          <w:rFonts w:eastAsiaTheme="minorEastAsia"/>
        </w:rPr>
        <w:t>, holding all other variables constant</w:t>
      </w:r>
      <w:r w:rsidRPr="00702882">
        <w:t xml:space="preserve"> (p &lt; 0.05).</w:t>
      </w:r>
      <w:r w:rsidRPr="00702882">
        <w:rPr>
          <w:rFonts w:eastAsiaTheme="minorEastAsia"/>
        </w:rPr>
        <w:t xml:space="preserve"> In contrast, GSP boosts GFB levels by about 0.5 percentage points, controlling for all other variables. Both unemployment rates and credit rating show an insignificant impact on GFB levels except for model 2. </w:t>
      </w:r>
    </w:p>
    <w:p w14:paraId="6A97D15F" w14:textId="77777777" w:rsidR="00AF6702" w:rsidRPr="00702882" w:rsidRDefault="00AF6702" w:rsidP="00C66AC4">
      <w:pPr>
        <w:pStyle w:val="ad"/>
        <w:spacing w:before="0" w:beforeAutospacing="0" w:line="480" w:lineRule="auto"/>
        <w:ind w:firstLineChars="295" w:firstLine="708"/>
        <w:contextualSpacing/>
        <w:rPr>
          <w:rFonts w:eastAsiaTheme="minorEastAsia"/>
        </w:rPr>
      </w:pPr>
      <w:r w:rsidRPr="00702882">
        <w:t>The income variable contributes to an increase in GFB levels by approximately 0.</w:t>
      </w:r>
      <w:r w:rsidRPr="00702882">
        <w:rPr>
          <w:rFonts w:eastAsiaTheme="minorEastAsia"/>
        </w:rPr>
        <w:t>6</w:t>
      </w:r>
      <w:r w:rsidRPr="00702882">
        <w:t xml:space="preserve"> percentage points (p &lt; 0.05) in all models. This finding suggests that states with a wealthier population are more likely to have a </w:t>
      </w:r>
      <w:r w:rsidRPr="00702882">
        <w:rPr>
          <w:rFonts w:eastAsiaTheme="minorEastAsia"/>
        </w:rPr>
        <w:t>general fund</w:t>
      </w:r>
      <w:r w:rsidRPr="00702882">
        <w:t xml:space="preserve"> surplus.</w:t>
      </w:r>
      <w:r w:rsidRPr="00702882">
        <w:rPr>
          <w:rFonts w:eastAsiaTheme="minorEastAsia"/>
        </w:rPr>
        <w:t xml:space="preserve"> The population variable</w:t>
      </w:r>
      <w:r w:rsidRPr="00702882">
        <w:t xml:space="preserve"> tends to decrease GFB levels by approximately </w:t>
      </w:r>
      <w:r w:rsidRPr="00702882">
        <w:rPr>
          <w:rFonts w:eastAsiaTheme="minorEastAsia"/>
        </w:rPr>
        <w:t>2 percentage points</w:t>
      </w:r>
      <w:r w:rsidRPr="00702882">
        <w:t xml:space="preserve"> (p &lt; 0.01). This suggests that states with larger populations have higher spending needs, resulting in a decrease in GFB levels.</w:t>
      </w:r>
      <w:r w:rsidRPr="00702882">
        <w:rPr>
          <w:rFonts w:eastAsiaTheme="minorEastAsia"/>
        </w:rPr>
        <w:t xml:space="preserve"> TEL, election, political partisanship, and division, denoting a disparity in party affiliation between a governor and the legislative majority, are not statistically significant in all models. Fiscal institutions, such as TEL and BBR, also have an insignificant impact on GFB levels across all models. </w:t>
      </w:r>
    </w:p>
    <w:p w14:paraId="0B6EF80B" w14:textId="77777777" w:rsidR="00CC3711" w:rsidRPr="00702882" w:rsidRDefault="00CC3711" w:rsidP="00CC3711">
      <w:pPr>
        <w:pStyle w:val="ad"/>
        <w:spacing w:before="0" w:beforeAutospacing="0" w:line="480" w:lineRule="auto"/>
        <w:ind w:firstLineChars="295" w:firstLine="708"/>
        <w:contextualSpacing/>
        <w:rPr>
          <w:rFonts w:eastAsiaTheme="minorEastAsia"/>
        </w:rPr>
      </w:pPr>
      <w:r w:rsidRPr="00702882">
        <w:rPr>
          <w:rFonts w:eastAsiaTheme="minorEastAsia"/>
        </w:rPr>
        <w:t xml:space="preserve">In summary, the regulations governing BSF deposits have a more pronounced effect on BSF levels compared to withdrawal rules. </w:t>
      </w:r>
      <w:r w:rsidR="00AF6702" w:rsidRPr="00702882">
        <w:t xml:space="preserve">Specifically, </w:t>
      </w:r>
      <w:r w:rsidR="00AF6702" w:rsidRPr="00702882">
        <w:rPr>
          <w:rFonts w:eastAsiaTheme="minorEastAsia"/>
        </w:rPr>
        <w:t>stringent deposit</w:t>
      </w:r>
      <w:r w:rsidR="00AF6702" w:rsidRPr="00702882">
        <w:t xml:space="preserve"> rules, such as</w:t>
      </w:r>
      <w:r w:rsidR="00AF6702" w:rsidRPr="00702882">
        <w:rPr>
          <w:rFonts w:eastAsiaTheme="minorEastAsia"/>
        </w:rPr>
        <w:t xml:space="preserve"> cap, deposit revenue surplus, and deposit tied to revenue volatility (formula)</w:t>
      </w:r>
      <w:r w:rsidR="00AF6702" w:rsidRPr="00702882">
        <w:t xml:space="preserve">, tend to substantially </w:t>
      </w:r>
      <w:r w:rsidR="00AF6702" w:rsidRPr="00702882">
        <w:rPr>
          <w:rFonts w:eastAsiaTheme="minorEastAsia"/>
        </w:rPr>
        <w:t>increase</w:t>
      </w:r>
      <w:r w:rsidR="00AF6702" w:rsidRPr="00702882">
        <w:t xml:space="preserve"> BSF levels. </w:t>
      </w:r>
      <w:r w:rsidR="00AF6702" w:rsidRPr="00702882">
        <w:rPr>
          <w:rFonts w:eastAsiaTheme="minorEastAsia"/>
        </w:rPr>
        <w:t>Meanwhile</w:t>
      </w:r>
      <w:r w:rsidR="00AF6702" w:rsidRPr="00702882">
        <w:t xml:space="preserve">, strict withdrawal rules, such as </w:t>
      </w:r>
      <w:r w:rsidR="00AF6702" w:rsidRPr="00702882">
        <w:rPr>
          <w:rFonts w:eastAsiaTheme="minorEastAsia"/>
        </w:rPr>
        <w:t xml:space="preserve">withdrawal by revenue shortfall, </w:t>
      </w:r>
      <w:r w:rsidR="00AF6702" w:rsidRPr="00702882">
        <w:t xml:space="preserve">withdrawal tied to revenue volatility, </w:t>
      </w:r>
      <w:r w:rsidR="00AF6702" w:rsidRPr="00702882">
        <w:rPr>
          <w:rFonts w:eastAsiaTheme="minorEastAsia"/>
        </w:rPr>
        <w:t xml:space="preserve">and withdrawal limits, </w:t>
      </w:r>
      <w:r w:rsidR="00AF6702" w:rsidRPr="00702882">
        <w:t xml:space="preserve">exhibit an insignificant impact on BSF levels. </w:t>
      </w:r>
    </w:p>
    <w:p w14:paraId="1BF20C38" w14:textId="4A700408" w:rsidR="009D4938" w:rsidRPr="00702882" w:rsidRDefault="00AF6702" w:rsidP="009D4938">
      <w:pPr>
        <w:pStyle w:val="ad"/>
        <w:spacing w:before="0" w:beforeAutospacing="0" w:line="480" w:lineRule="auto"/>
        <w:ind w:firstLineChars="295" w:firstLine="708"/>
        <w:contextualSpacing/>
        <w:rPr>
          <w:rFonts w:eastAsiaTheme="minorEastAsia"/>
        </w:rPr>
      </w:pPr>
      <w:r w:rsidRPr="00702882">
        <w:rPr>
          <w:rFonts w:eastAsiaTheme="minorEastAsia"/>
        </w:rPr>
        <w:t>On the other hand, the regulations governing BSF withdrawal have a more significant impact on GFB levels.</w:t>
      </w:r>
      <w:r w:rsidR="009D4938" w:rsidRPr="00702882">
        <w:rPr>
          <w:rFonts w:eastAsiaTheme="minorEastAsia"/>
        </w:rPr>
        <w:t xml:space="preserve"> The presence of withdrawal tied to revenue volatility and withdrawal </w:t>
      </w:r>
      <w:r w:rsidR="009D4938" w:rsidRPr="00702882">
        <w:rPr>
          <w:rFonts w:eastAsiaTheme="minorEastAsia"/>
        </w:rPr>
        <w:lastRenderedPageBreak/>
        <w:t>limits tends to mitigate the negative effects of the revenue volatility rule on GFB levels. This interaction often compels states to place a heavier reliance on GFB levels, which offer greater accessibility compared to the BSF.</w:t>
      </w:r>
    </w:p>
    <w:p w14:paraId="28573584" w14:textId="34ACC08D" w:rsidR="009D4938" w:rsidRPr="00702882" w:rsidRDefault="00AF6702" w:rsidP="009D4938">
      <w:pPr>
        <w:pStyle w:val="ad"/>
        <w:spacing w:before="0" w:beforeAutospacing="0" w:line="480" w:lineRule="auto"/>
        <w:ind w:firstLineChars="295" w:firstLine="708"/>
        <w:contextualSpacing/>
        <w:rPr>
          <w:rFonts w:eastAsiaTheme="minorEastAsia"/>
        </w:rPr>
      </w:pPr>
      <w:r w:rsidRPr="00702882">
        <w:rPr>
          <w:rFonts w:eastAsiaTheme="minorEastAsia"/>
        </w:rPr>
        <w:t>In essence, policymakers may consider prioritizing regulations that enhance BSF deposits, particularly those aimed at increasing reserves through stringent deposit rules. Additionally, understanding the impact of withdrawal regulations on GFB levels can inform decisions regarding the allocation of resources and the design of fiscal policies to manage budgetary constraints effectively.</w:t>
      </w:r>
    </w:p>
    <w:p w14:paraId="1096BFF2"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129B23C1"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691A20AD"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691A7BBA"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605E231E"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4F541D22"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23B32D8A"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4F6EEEE0"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3588C24F"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575E69A3"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243661D8"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239B2F95"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42473469"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1A3807A3"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25A0C194"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61712D6E" w14:textId="77777777" w:rsidR="00CE3497" w:rsidRPr="00702882" w:rsidRDefault="00CE3497" w:rsidP="009D4938">
      <w:pPr>
        <w:pStyle w:val="ad"/>
        <w:spacing w:before="0" w:beforeAutospacing="0" w:line="480" w:lineRule="auto"/>
        <w:ind w:firstLineChars="295" w:firstLine="708"/>
        <w:contextualSpacing/>
        <w:rPr>
          <w:rFonts w:eastAsiaTheme="minorEastAsia"/>
        </w:rPr>
      </w:pPr>
    </w:p>
    <w:p w14:paraId="2C45A93C" w14:textId="28529A44" w:rsidR="00AF6702" w:rsidRPr="00702882" w:rsidRDefault="00AF6702" w:rsidP="00C66AC4">
      <w:pPr>
        <w:spacing w:line="480" w:lineRule="auto"/>
        <w:rPr>
          <w:rFonts w:eastAsiaTheme="minorEastAsia"/>
          <w:b/>
          <w:bCs/>
        </w:rPr>
      </w:pPr>
      <w:r w:rsidRPr="00702882">
        <w:rPr>
          <w:rFonts w:eastAsiaTheme="minorEastAsia"/>
          <w:b/>
          <w:bCs/>
        </w:rPr>
        <w:lastRenderedPageBreak/>
        <w:t>6.3. Generalized Synthetic Control Method</w:t>
      </w:r>
      <w:bookmarkStart w:id="62" w:name="GeneralizedSyntheticControlMethod"/>
      <w:bookmarkEnd w:id="62"/>
      <w:r w:rsidRPr="00702882">
        <w:rPr>
          <w:rFonts w:eastAsiaTheme="minorEastAsia"/>
          <w:b/>
          <w:bCs/>
        </w:rPr>
        <w:t xml:space="preserve"> (GSCM)</w:t>
      </w:r>
    </w:p>
    <w:p w14:paraId="077A251D" w14:textId="014C21B9" w:rsidR="00AF6702" w:rsidRPr="00702882" w:rsidRDefault="00AF6702" w:rsidP="00C66AC4">
      <w:pPr>
        <w:spacing w:line="480" w:lineRule="auto"/>
        <w:ind w:firstLine="720"/>
        <w:rPr>
          <w:rFonts w:eastAsiaTheme="minorEastAsia"/>
        </w:rPr>
      </w:pPr>
      <w:r w:rsidRPr="00702882">
        <w:t>To assess the causal effects of policy changes on outcomes, Difference-in-Differences (DD) estimation is one of the most commonly used method</w:t>
      </w:r>
      <w:r w:rsidRPr="00702882">
        <w:rPr>
          <w:rFonts w:eastAsiaTheme="minorEastAsia"/>
        </w:rPr>
        <w:t>s</w:t>
      </w:r>
      <w:r w:rsidRPr="00702882">
        <w:t xml:space="preserve"> </w:t>
      </w:r>
      <w:sdt>
        <w:sdtPr>
          <w:rPr>
            <w:color w:val="000000"/>
          </w:rPr>
          <w:tag w:val="MENDELEY_CITATION_v3_eyJwcm9wZXJ0aWVzIjp7Im5vdGVJbmRleCI6MH0sImNpdGF0aW9uSUQiOiJNRU5ERUxFWV9DSVRBVElPTl9lYWM2NGU5ZC01MTY5LTQ4NmYtOGFiOC1jZTYxZGRmZjU1YjM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305828688"/>
          <w:placeholder>
            <w:docPart w:val="50E52A5EADF6499B9C925B7F5B31BA9B"/>
          </w:placeholder>
        </w:sdtPr>
        <w:sdtContent>
          <w:r w:rsidR="00F520AD" w:rsidRPr="00F520AD">
            <w:rPr>
              <w:color w:val="000000"/>
            </w:rPr>
            <w:t>(Xu, 2017a)</w:t>
          </w:r>
        </w:sdtContent>
      </w:sdt>
      <w:r w:rsidRPr="00702882">
        <w:t xml:space="preserve">. The DD combines two different quasi-experimental designs, nonequivalent groups design and pre-post comparison group design, to create a better counterfactual situation, addressing selection and history threats </w:t>
      </w:r>
      <w:sdt>
        <w:sdtPr>
          <w:tag w:val="MENDELEY_CITATION_v3_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"/>
          <w:id w:val="209699161"/>
          <w:placeholder>
            <w:docPart w:val="A0093BB38BC84081A9F588E51EAD0285"/>
          </w:placeholder>
        </w:sdtPr>
        <w:sdtContent>
          <w:r w:rsidR="00F520AD">
            <w:t>(Angrist &amp; Pischke, 2009)</w:t>
          </w:r>
        </w:sdtContent>
      </w:sdt>
      <w:r w:rsidRPr="00702882">
        <w:t xml:space="preserve">. The nonequivalent groups design is not </w:t>
      </w:r>
      <w:r w:rsidRPr="00702882">
        <w:rPr>
          <w:rFonts w:eastAsiaTheme="minorEastAsia"/>
        </w:rPr>
        <w:t>adept</w:t>
      </w:r>
      <w:r w:rsidRPr="00702882">
        <w:t xml:space="preserve"> at isolating causal effects due to </w:t>
      </w:r>
      <w:r w:rsidRPr="00702882">
        <w:rPr>
          <w:i/>
          <w:iCs/>
        </w:rPr>
        <w:t>selection threats</w:t>
      </w:r>
      <w:r w:rsidRPr="00702882">
        <w:t xml:space="preserve">, while the pre-post comparison group design before and after the policy may suffer from </w:t>
      </w:r>
      <w:r w:rsidRPr="00702882">
        <w:rPr>
          <w:i/>
          <w:iCs/>
        </w:rPr>
        <w:t>history threats</w:t>
      </w:r>
      <w:r w:rsidRPr="00702882">
        <w:t xml:space="preserve"> (</w:t>
      </w:r>
      <w:r w:rsidRPr="00702882">
        <w:rPr>
          <w:rFonts w:eastAsiaTheme="minorEastAsia"/>
        </w:rPr>
        <w:t xml:space="preserve">where </w:t>
      </w:r>
      <w:r w:rsidRPr="00702882">
        <w:t xml:space="preserve">current event affects the change in the dependent variable) </w:t>
      </w:r>
      <w:sdt>
        <w:sdtPr>
          <w:rPr>
            <w:color w:val="000000"/>
          </w:rPr>
          <w:tag w:val="MENDELEY_CITATION_v3_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"/>
          <w:id w:val="-1599022042"/>
          <w:placeholder>
            <w:docPart w:val="4F027D856BE34D07BC54BE638B2B5652"/>
          </w:placeholder>
        </w:sdtPr>
        <w:sdtContent>
          <w:r w:rsidR="00F520AD" w:rsidRPr="00F520AD">
            <w:rPr>
              <w:color w:val="000000"/>
            </w:rPr>
            <w:t>(Kratochwill et al., 2010)</w:t>
          </w:r>
        </w:sdtContent>
      </w:sdt>
      <w:r w:rsidRPr="00702882">
        <w:t>.</w:t>
      </w:r>
      <w:r w:rsidR="00625B3A" w:rsidRPr="00702882">
        <w:t xml:space="preserve"> The DD impact is quantified by calculating the pre-post difference for the treatment group and subtracting the pre-post difference for the comparison group</w:t>
      </w:r>
      <w:r w:rsidR="00625B3A" w:rsidRPr="00702882">
        <w:rPr>
          <w:rFonts w:eastAsiaTheme="minorEastAsia"/>
        </w:rPr>
        <w:t>: t</w:t>
      </w:r>
      <w:r w:rsidRPr="00702882">
        <w:rPr>
          <w:rFonts w:eastAsiaTheme="minorEastAsia"/>
        </w:rPr>
        <w:t>he change in outcome for the comparison group serves as a good counterfactual for the change in outcome for the treatment group in the absence of the policy</w:t>
      </w:r>
      <w:r w:rsidR="00625B3A" w:rsidRPr="00702882">
        <w:rPr>
          <w:rFonts w:eastAsiaTheme="minorEastAsia"/>
        </w:rPr>
        <w:t xml:space="preserve"> </w:t>
      </w:r>
      <w:sdt>
        <w:sdtPr>
          <w:tag w:val="MENDELEY_CITATION_v3_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"/>
          <w:id w:val="98767744"/>
          <w:placeholder>
            <w:docPart w:val="F702F8EB51184644A6E50E39645A4621"/>
          </w:placeholder>
        </w:sdtPr>
        <w:sdtContent>
          <w:r w:rsidR="00F520AD">
            <w:t>(Angrist &amp; Pischke, 2009)</w:t>
          </w:r>
        </w:sdtContent>
      </w:sdt>
      <w:r w:rsidR="00625B3A" w:rsidRPr="00702882">
        <w:t>.</w:t>
      </w:r>
    </w:p>
    <w:p w14:paraId="73EE737E" w14:textId="1029EBE7" w:rsidR="00AF6702" w:rsidRPr="00702882" w:rsidRDefault="00AF6702" w:rsidP="00C66AC4">
      <w:pPr>
        <w:spacing w:line="480" w:lineRule="auto"/>
        <w:ind w:firstLine="720"/>
        <w:rPr>
          <w:rFonts w:eastAsiaTheme="minorEastAsia"/>
          <w:color w:val="7030A0"/>
        </w:rPr>
      </w:pPr>
      <w:r w:rsidRPr="00702882">
        <w:t xml:space="preserve">The key assumption of </w:t>
      </w:r>
      <w:r w:rsidRPr="00702882">
        <w:rPr>
          <w:rFonts w:eastAsiaTheme="minorEastAsia"/>
        </w:rPr>
        <w:t xml:space="preserve">the </w:t>
      </w:r>
      <w:r w:rsidRPr="00702882">
        <w:t xml:space="preserve">DD design is that there are parallel trends in other factors that can explain the impact of the treatment. </w:t>
      </w:r>
      <w:r w:rsidR="00625B3A" w:rsidRPr="00702882">
        <w:t>These parallel trends imply that the change in the mean value of the outcome in the treatment group, in the absence of treatment, would mirror the change in the mean value of the outcome in the comparison group</w:t>
      </w:r>
      <w:r w:rsidR="00625B3A" w:rsidRPr="00702882">
        <w:rPr>
          <w:rFonts w:eastAsiaTheme="minorEastAsia"/>
        </w:rPr>
        <w:t xml:space="preserve"> </w:t>
      </w:r>
      <w:sdt>
        <w:sdtPr>
          <w:tag w:val="MENDELEY_CITATION_v3_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"/>
          <w:id w:val="-939988661"/>
          <w:placeholder>
            <w:docPart w:val="1D00C17B0C644BE6888543DBE957F692"/>
          </w:placeholder>
        </w:sdtPr>
        <w:sdtContent>
          <w:r w:rsidR="00F520AD">
            <w:t>(Angrist &amp; Pischke, 2009)</w:t>
          </w:r>
        </w:sdtContent>
      </w:sdt>
      <w:r w:rsidRPr="00702882">
        <w:t>. In many cases, however, data do not support “parallel pretreatment trends</w:t>
      </w:r>
      <w:r w:rsidRPr="00702882">
        <w:rPr>
          <w:rFonts w:eastAsiaTheme="minorEastAsia"/>
        </w:rPr>
        <w:t>,</w:t>
      </w:r>
      <w:r w:rsidRPr="00702882">
        <w:t>”</w:t>
      </w:r>
      <w:r w:rsidRPr="00702882">
        <w:rPr>
          <w:rFonts w:eastAsiaTheme="minorEastAsia"/>
        </w:rPr>
        <w:t xml:space="preserve"> which</w:t>
      </w:r>
      <w:r w:rsidRPr="00702882">
        <w:t xml:space="preserve"> can be violated for the following reasons: 1) differences in pre-existing trends between treatment and comparison groups; 2) differences in attrition; 3) external events </w:t>
      </w:r>
      <w:sdt>
        <w:sdtPr>
          <w:rPr>
            <w:color w:val="000000"/>
          </w:rPr>
          <w:tag w:val="MENDELEY_CITATION_v3_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"/>
          <w:id w:val="249013499"/>
          <w:placeholder>
            <w:docPart w:val="8C11D0170A9A4E9CBB21603860AF6A70"/>
          </w:placeholder>
        </w:sdtPr>
        <w:sdtContent>
          <w:r w:rsidR="00F520AD" w:rsidRPr="00F520AD">
            <w:rPr>
              <w:color w:val="000000"/>
            </w:rPr>
            <w:t>(Abadie et al., 2010, 2015)</w:t>
          </w:r>
        </w:sdtContent>
      </w:sdt>
      <w:r w:rsidRPr="00702882">
        <w:t xml:space="preserve">; and 4) the presence of unobserved time-varying confounders </w:t>
      </w:r>
      <w:sdt>
        <w:sdtPr>
          <w:rPr>
            <w:color w:val="000000"/>
          </w:rPr>
          <w:tag w:val="MENDELEY_CITATION_v3_eyJwcm9wZXJ0aWVzIjp7Im5vdGVJbmRleCI6MH0sImNpdGF0aW9uSUQiOiJNRU5ERUxFWV9DSVRBVElPTl8zMjM3YTI2Zi1kMDRlLTQ5ODEtOGFmMC1iNGQwNTFlNDNlOTk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1994404687"/>
          <w:placeholder>
            <w:docPart w:val="BC3B6AC84FF54AC49C478FD0B14783BE"/>
          </w:placeholder>
        </w:sdtPr>
        <w:sdtContent>
          <w:r w:rsidR="00F520AD" w:rsidRPr="00F520AD">
            <w:rPr>
              <w:color w:val="000000"/>
            </w:rPr>
            <w:t>(Xu, 2017a)</w:t>
          </w:r>
        </w:sdtContent>
      </w:sdt>
      <w:r w:rsidRPr="00702882">
        <w:t>.</w:t>
      </w:r>
      <w:r w:rsidRPr="00702882">
        <w:rPr>
          <w:rFonts w:eastAsiaTheme="minorEastAsia"/>
        </w:rPr>
        <w:t xml:space="preserve"> In addition, t</w:t>
      </w:r>
      <w:r w:rsidRPr="00702882">
        <w:t>raditional experimental designs, such as DD</w:t>
      </w:r>
      <w:r w:rsidRPr="00702882">
        <w:rPr>
          <w:rFonts w:eastAsiaTheme="minorEastAsia"/>
        </w:rPr>
        <w:t xml:space="preserve"> </w:t>
      </w:r>
      <w:r w:rsidRPr="00702882">
        <w:t xml:space="preserve">or </w:t>
      </w:r>
      <w:r w:rsidRPr="00702882">
        <w:rPr>
          <w:rFonts w:eastAsiaTheme="minorEastAsia"/>
        </w:rPr>
        <w:t xml:space="preserve">the </w:t>
      </w:r>
      <w:r w:rsidRPr="00702882">
        <w:t xml:space="preserve">Instrumental Variable approach, are not viable for our study. This is </w:t>
      </w:r>
      <w:r w:rsidRPr="00702882">
        <w:rPr>
          <w:rFonts w:eastAsiaTheme="minorEastAsia"/>
        </w:rPr>
        <w:t>attributed</w:t>
      </w:r>
      <w:r w:rsidRPr="00702882">
        <w:t xml:space="preserve"> to the presence of numerous independent variables and </w:t>
      </w:r>
      <w:r w:rsidRPr="00702882">
        <w:lastRenderedPageBreak/>
        <w:t xml:space="preserve">changes in </w:t>
      </w:r>
      <w:r w:rsidRPr="00702882">
        <w:rPr>
          <w:rFonts w:eastAsiaTheme="minorEastAsia"/>
        </w:rPr>
        <w:t>various</w:t>
      </w:r>
      <w:r w:rsidRPr="00702882">
        <w:t xml:space="preserve"> structural features of BSFs occurring at different times as part of policy interventions.</w:t>
      </w:r>
      <w:r w:rsidRPr="00702882">
        <w:rPr>
          <w:rFonts w:eastAsiaTheme="minorEastAsia"/>
        </w:rPr>
        <w:t xml:space="preserve"> </w:t>
      </w:r>
    </w:p>
    <w:p w14:paraId="1DD19E30" w14:textId="5AA71F2E" w:rsidR="00AF6702" w:rsidRPr="00702882" w:rsidRDefault="00AF6702" w:rsidP="00C66AC4">
      <w:pPr>
        <w:spacing w:line="480" w:lineRule="auto"/>
        <w:ind w:firstLineChars="295" w:firstLine="708"/>
        <w:rPr>
          <w:rFonts w:eastAsiaTheme="minorEastAsia"/>
        </w:rPr>
      </w:pPr>
      <w:r w:rsidRPr="00702882">
        <w:t>To relax the parallel trends assumption, I</w:t>
      </w:r>
      <w:r w:rsidRPr="00702882">
        <w:rPr>
          <w:rFonts w:eastAsiaTheme="minorEastAsia"/>
        </w:rPr>
        <w:t xml:space="preserve"> employ</w:t>
      </w:r>
      <w:r w:rsidRPr="00702882">
        <w:t xml:space="preserve"> the Generalized Synthetic Control method (GSCM) </w:t>
      </w:r>
      <w:sdt>
        <w:sdtPr>
          <w:rPr>
            <w:color w:val="000000"/>
          </w:rPr>
          <w:tag w:val="MENDELEY_CITATION_v3_eyJwcm9wZXJ0aWVzIjp7Im5vdGVJbmRleCI6MH0sImNpdGF0aW9uSUQiOiJNRU5ERUxFWV9DSVRBVElPTl80OWNlMWYxNS0zZDRlLTQyMzMtODk1MS04MDNjYjQzZjdjNjk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2088142117"/>
          <w:placeholder>
            <w:docPart w:val="0734D32840BF4FB7AC9A60D3EB980B6F"/>
          </w:placeholder>
        </w:sdtPr>
        <w:sdtContent>
          <w:r w:rsidR="00F520AD" w:rsidRPr="00F520AD">
            <w:rPr>
              <w:color w:val="000000"/>
            </w:rPr>
            <w:t>(Xu, 2017a)</w:t>
          </w:r>
        </w:sdtContent>
      </w:sdt>
      <w:r w:rsidRPr="00702882">
        <w:t>.</w:t>
      </w:r>
      <w:r w:rsidRPr="00702882">
        <w:rPr>
          <w:rFonts w:eastAsiaTheme="minorEastAsia"/>
        </w:rPr>
        <w:t xml:space="preserve"> This method is particularly well-suited for my dataset characterized by changes in various BSF policies occurring at different times. Indeed, the GSCM effectively integrates elements of a case study approach with difference-in-differences analysis, making it well-suited for such datasets. Specifically, t</w:t>
      </w:r>
      <w:r w:rsidRPr="00702882">
        <w:t xml:space="preserve">he GSCM combines the synthetic control method (SCM) with interactive fixed-effects (IFE) models under a difference-in-differences </w:t>
      </w:r>
      <w:sdt>
        <w:sdtPr>
          <w:rPr>
            <w:color w:val="000000"/>
          </w:rPr>
          <w:tag w:val="MENDELEY_CITATION_v3_eyJwcm9wZXJ0aWVzIjp7Im5vdGVJbmRleCI6MH0sImNpdGF0aW9uSUQiOiJNRU5ERUxFWV9DSVRBVElPTl82NDExNjA1My1iNWM4LTQ4ZjgtODg0MC0zYWVlNzQ1MzIzMWU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2068754306"/>
          <w:placeholder>
            <w:docPart w:val="2174DB49BC2A4E44B7BF7861B7DBF88C"/>
          </w:placeholder>
        </w:sdtPr>
        <w:sdtContent>
          <w:r w:rsidR="00F520AD" w:rsidRPr="00F520AD">
            <w:rPr>
              <w:color w:val="000000"/>
            </w:rPr>
            <w:t>(Xu, 2017a)</w:t>
          </w:r>
        </w:sdtContent>
      </w:sdt>
      <w:r w:rsidRPr="00702882">
        <w:t xml:space="preserve">. The SCM constructs a “synthetic control unit” that is similar </w:t>
      </w:r>
      <w:r w:rsidRPr="00702882">
        <w:rPr>
          <w:rFonts w:eastAsiaTheme="minorEastAsia"/>
        </w:rPr>
        <w:t>to</w:t>
      </w:r>
      <w:r w:rsidRPr="00702882">
        <w:t xml:space="preserve"> the treatment unit based on important predictors by weighting the control units </w:t>
      </w:r>
      <w:sdt>
        <w:sdtPr>
          <w:rPr>
            <w:color w:val="000000"/>
          </w:rPr>
          <w:tag w:val="MENDELEY_CITATION_v3_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"/>
          <w:id w:val="459232847"/>
          <w:placeholder>
            <w:docPart w:val="6778CADE19B4486EA360650DC2DD1005"/>
          </w:placeholder>
        </w:sdtPr>
        <w:sdtContent>
          <w:r w:rsidR="00F520AD" w:rsidRPr="00F520AD">
            <w:rPr>
              <w:color w:val="000000"/>
            </w:rPr>
            <w:t>(Abadie et al., 2010, 2015)</w:t>
          </w:r>
        </w:sdtContent>
      </w:sdt>
      <w:r w:rsidRPr="00702882">
        <w:t xml:space="preserve">. </w:t>
      </w:r>
      <w:r w:rsidRPr="00702882">
        <w:rPr>
          <w:rFonts w:eastAsiaTheme="minorEastAsia"/>
        </w:rPr>
        <w:t xml:space="preserve">In essence, a weighted average of the control units approximates the treated units in the pre-treatment period, serving as a counterfactual. The IFE model is designed to address unobserved time-varying confounders </w:t>
      </w:r>
      <w:sdt>
        <w:sdtPr>
          <w:rPr>
            <w:color w:val="000000"/>
          </w:rPr>
          <w:tag w:val="MENDELEY_CITATION_v3_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"/>
          <w:id w:val="1932769896"/>
          <w:placeholder>
            <w:docPart w:val="E98D8A055139448F8487CC8FBCFBDEFC"/>
          </w:placeholder>
        </w:sdtPr>
        <w:sdtContent>
          <w:r w:rsidR="00F520AD" w:rsidRPr="00F520AD">
            <w:rPr>
              <w:color w:val="000000"/>
            </w:rPr>
            <w:t>(Bai, 2009)</w:t>
          </w:r>
        </w:sdtContent>
      </w:sdt>
      <w:r w:rsidRPr="00702882">
        <w:t xml:space="preserve">. </w:t>
      </w:r>
      <w:r w:rsidR="008453FD" w:rsidRPr="00702882">
        <w:t>It is estimated by iteratively conducting a factor analysis of the residuals from a linear model and then estimating the linear model, considering the effects of several of the most significant factors</w:t>
      </w:r>
      <w:r w:rsidR="008453FD" w:rsidRPr="00702882">
        <w:rPr>
          <w:rFonts w:eastAsiaTheme="minorEastAsia"/>
        </w:rPr>
        <w:t xml:space="preserve"> </w:t>
      </w:r>
      <w:sdt>
        <w:sdtPr>
          <w:rPr>
            <w:color w:val="000000"/>
          </w:rPr>
          <w:tag w:val="MENDELEY_CITATION_v3_eyJwcm9wZXJ0aWVzIjp7Im5vdGVJbmRleCI6MH0sImNpdGF0aW9uSUQiOiJNRU5ERUxFWV9DSVRBVElPTl9mMDg0OTk5Ni01YmMyLTQ3YmYtODAyOS0wOWM5ZmE3MTc2NTA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1283377131"/>
          <w:placeholder>
            <w:docPart w:val="C31CD7735E0C4A7EB5C51B1B6C840E0F"/>
          </w:placeholder>
        </w:sdtPr>
        <w:sdtContent>
          <w:r w:rsidR="00F520AD" w:rsidRPr="00F520AD">
            <w:rPr>
              <w:color w:val="000000"/>
            </w:rPr>
            <w:t>(Xu, 2017a)</w:t>
          </w:r>
        </w:sdtContent>
      </w:sdt>
      <w:r w:rsidRPr="00702882">
        <w:t>.</w:t>
      </w:r>
    </w:p>
    <w:p w14:paraId="0DAE6332" w14:textId="67DAD7A1" w:rsidR="00AF6702" w:rsidRPr="00702882" w:rsidRDefault="00AF6702" w:rsidP="00C66AC4">
      <w:pPr>
        <w:spacing w:line="480" w:lineRule="auto"/>
        <w:ind w:firstLineChars="295" w:firstLine="708"/>
        <w:rPr>
          <w:rFonts w:eastAsiaTheme="minorEastAsia"/>
        </w:rPr>
      </w:pPr>
      <w:r w:rsidRPr="00702882">
        <w:rPr>
          <w:rFonts w:eastAsiaTheme="minorEastAsia"/>
        </w:rPr>
        <w:t>The GSCM operates within the framework of the synthetic control method, similar to the SCM, as it weights control units based on pre-intervention treated outcomes to predict counterfactuals through cross-sectional correlations between treated and control units</w:t>
      </w:r>
      <w:r w:rsidRPr="00702882">
        <w:t xml:space="preserve"> </w:t>
      </w:r>
      <w:sdt>
        <w:sdtPr>
          <w:rPr>
            <w:color w:val="000000"/>
          </w:rPr>
          <w:tag w:val="MENDELEY_CITATION_v3_eyJwcm9wZXJ0aWVzIjp7Im5vdGVJbmRleCI6MH0sImNpdGF0aW9uSUQiOiJNRU5ERUxFWV9DSVRBVElPTl80NmY4MThhZS04ZWU3LTRkNjAtOWUwOC0yZTMwZTgzOTc5MzA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583569604"/>
          <w:placeholder>
            <w:docPart w:val="0C34580FCD784DBDB8EB938561B8EFEE"/>
          </w:placeholder>
        </w:sdtPr>
        <w:sdtContent>
          <w:r w:rsidR="00F520AD" w:rsidRPr="00F520AD">
            <w:rPr>
              <w:color w:val="000000"/>
            </w:rPr>
            <w:t>(Xu, 2017a)</w:t>
          </w:r>
        </w:sdtContent>
      </w:sdt>
      <w:r w:rsidRPr="00702882">
        <w:t>.</w:t>
      </w:r>
      <w:r w:rsidRPr="00702882">
        <w:rPr>
          <w:rFonts w:eastAsiaTheme="minorEastAsia"/>
        </w:rPr>
        <w:t xml:space="preserve"> However, unlike the SCM, the GSCM reduces dimensions before reweighting by utilizing a factor model. It treats counterfactuals of treated units as “missing data” and predicts these counterfactuals for post-intervention outcomes using an IFE model (Xu, 2017a). The factor model assumes that time-varying coefficients (or latent factors) interact with unit-specific factor loadings to produce the outcome (Bai, 2009).</w:t>
      </w:r>
    </w:p>
    <w:p w14:paraId="48B0252D" w14:textId="590AC749" w:rsidR="00AF6702" w:rsidRPr="00702882" w:rsidRDefault="00AF6702" w:rsidP="0062118D">
      <w:pPr>
        <w:spacing w:line="480" w:lineRule="auto"/>
        <w:ind w:firstLine="720"/>
        <w:rPr>
          <w:rFonts w:eastAsiaTheme="minorEastAsia"/>
        </w:rPr>
      </w:pPr>
      <w:r w:rsidRPr="00702882">
        <w:lastRenderedPageBreak/>
        <w:t xml:space="preserve">According to the generalized synthetic control framework, the outcome for unit </w:t>
      </w:r>
      <w:r w:rsidRPr="00702882">
        <w:rPr>
          <w:i/>
          <w:iCs/>
        </w:rPr>
        <w:t xml:space="preserve">i </w:t>
      </w:r>
      <w:r w:rsidRPr="00702882">
        <w:t xml:space="preserve">at time </w:t>
      </w:r>
      <w:r w:rsidRPr="00702882">
        <w:rPr>
          <w:i/>
          <w:iCs/>
        </w:rPr>
        <w:t xml:space="preserve">t </w:t>
      </w:r>
      <w:r w:rsidRPr="00702882">
        <w:t xml:space="preserve">is expressed as the following equation: </w:t>
      </w:r>
    </w:p>
    <w:p w14:paraId="52C2F498" w14:textId="77777777" w:rsidR="0062118D" w:rsidRPr="00702882" w:rsidRDefault="0062118D" w:rsidP="0062118D">
      <w:pPr>
        <w:spacing w:line="480" w:lineRule="auto"/>
        <w:ind w:firstLine="720"/>
        <w:rPr>
          <w:rFonts w:eastAsiaTheme="minorEastAsia"/>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97"/>
        <w:gridCol w:w="529"/>
      </w:tblGrid>
      <w:tr w:rsidR="00C1539A" w:rsidRPr="00702882" w14:paraId="6B7A3F36" w14:textId="77777777" w:rsidTr="00AE6820">
        <w:tc>
          <w:tcPr>
            <w:tcW w:w="8820" w:type="dxa"/>
          </w:tcPr>
          <w:p w14:paraId="288F03F2" w14:textId="77777777" w:rsidR="00AF6702" w:rsidRPr="00702882" w:rsidRDefault="00000000" w:rsidP="00C66AC4">
            <w:pPr>
              <w:spacing w:line="480" w:lineRule="auto"/>
              <w:ind w:right="120"/>
              <w:jc w:val="center"/>
            </w:pPr>
            <m:oMath>
              <m:sSub>
                <m:sSubPr>
                  <m:ctrlPr>
                    <w:rPr>
                      <w:rFonts w:ascii="Cambria Math" w:hAnsi="Cambria Math"/>
                      <w:i/>
                    </w:rPr>
                  </m:ctrlPr>
                </m:sSubPr>
                <m:e>
                  <m:r>
                    <w:rPr>
                      <w:rFonts w:ascii="Cambria Math" w:hAnsi="Cambria Math"/>
                    </w:rPr>
                    <m:t>Y</m:t>
                  </m:r>
                </m:e>
                <m:sub>
                  <m:r>
                    <w:rPr>
                      <w:rFonts w:ascii="Cambria Math" w:hAnsi="Cambria Math"/>
                    </w:rPr>
                    <m:t>i</m:t>
                  </m:r>
                </m:sub>
              </m:sSub>
            </m:oMath>
            <w:r w:rsidR="00AF6702" w:rsidRPr="00702882">
              <w:t>(</w:t>
            </w:r>
            <w:r w:rsidR="00AF6702" w:rsidRPr="00702882">
              <w:rPr>
                <w:i/>
                <w:iCs/>
              </w:rPr>
              <w:t>t</w:t>
            </w:r>
            <w:r w:rsidR="00AF6702" w:rsidRPr="00702882">
              <w:t xml:space="preserve">) = </w:t>
            </w:r>
            <m:oMath>
              <m:sSub>
                <m:sSubPr>
                  <m:ctrlPr>
                    <w:rPr>
                      <w:rFonts w:ascii="Cambria Math" w:hAnsi="Cambria Math"/>
                      <w:i/>
                    </w:rPr>
                  </m:ctrlPr>
                </m:sSubPr>
                <m:e>
                  <m:r>
                    <w:rPr>
                      <w:rFonts w:ascii="Cambria Math" w:hAnsi="Cambria Math"/>
                    </w:rPr>
                    <m:t>δ</m:t>
                  </m:r>
                </m:e>
                <m:sub>
                  <m:r>
                    <w:rPr>
                      <w:rFonts w:ascii="Cambria Math" w:hAnsi="Cambria Math"/>
                    </w:rPr>
                    <m:t>it</m:t>
                  </m:r>
                </m:sub>
              </m:sSub>
              <m:sSub>
                <m:sSubPr>
                  <m:ctrlPr>
                    <w:rPr>
                      <w:rFonts w:ascii="Cambria Math" w:hAnsi="Cambria Math"/>
                      <w:i/>
                    </w:rPr>
                  </m:ctrlPr>
                </m:sSubPr>
                <m:e>
                  <m:r>
                    <w:rPr>
                      <w:rFonts w:ascii="Cambria Math" w:hAnsi="Cambria Math"/>
                    </w:rPr>
                    <m:t>D</m:t>
                  </m:r>
                </m:e>
                <m:sub>
                  <m:r>
                    <w:rPr>
                      <w:rFonts w:ascii="Cambria Math" w:hAnsi="Cambria Math"/>
                    </w:rPr>
                    <m:t>it</m:t>
                  </m:r>
                </m:sub>
              </m:sSub>
            </m:oMath>
            <w:r w:rsidR="00AF6702" w:rsidRPr="00702882">
              <w:rPr>
                <w:i/>
              </w:rPr>
              <w:t xml:space="preserve"> </w:t>
            </w:r>
            <w:r w:rsidR="00AF6702" w:rsidRPr="00702882">
              <w:t xml:space="preserve">+ </w:t>
            </w:r>
            <m:oMath>
              <m:sSub>
                <m:sSubPr>
                  <m:ctrlPr>
                    <w:rPr>
                      <w:rFonts w:ascii="Cambria Math" w:hAnsi="Cambria Math"/>
                      <w:i/>
                    </w:rPr>
                  </m:ctrlPr>
                </m:sSubPr>
                <m:e>
                  <m:r>
                    <w:rPr>
                      <w:rFonts w:ascii="Cambria Math" w:hAnsi="Cambria Math"/>
                    </w:rPr>
                    <m:t>x'</m:t>
                  </m:r>
                </m:e>
                <m:sub>
                  <m:r>
                    <w:rPr>
                      <w:rFonts w:ascii="Cambria Math" w:hAnsi="Cambria Math"/>
                    </w:rPr>
                    <m:t>it</m:t>
                  </m:r>
                </m:sub>
              </m:sSub>
              <m:r>
                <w:rPr>
                  <w:rFonts w:ascii="Cambria Math" w:hAnsi="Cambria Math"/>
                </w:rPr>
                <m:t>β</m:t>
              </m:r>
            </m:oMath>
            <w:r w:rsidR="00AF6702" w:rsidRPr="00702882">
              <w:rPr>
                <w:i/>
              </w:rPr>
              <w:t xml:space="preserve"> </w:t>
            </w:r>
            <w:r w:rsidR="00AF6702" w:rsidRPr="00702882">
              <w:rPr>
                <w:iCs/>
              </w:rPr>
              <w:t xml:space="preserve">+ </w:t>
            </w:r>
            <m:oMath>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f</m:t>
                  </m:r>
                </m:e>
                <m:sub>
                  <m:r>
                    <w:rPr>
                      <w:rFonts w:ascii="Cambria Math" w:hAnsi="Cambria Math"/>
                    </w:rPr>
                    <m:t>t</m:t>
                  </m:r>
                </m:sub>
              </m:sSub>
            </m:oMath>
            <w:r w:rsidR="00AF6702" w:rsidRPr="00702882">
              <w:t xml:space="preserve">  +</w:t>
            </w:r>
            <w:r w:rsidR="00AF6702" w:rsidRPr="00702882">
              <w:rPr>
                <w:iCs/>
              </w:rPr>
              <w:t xml:space="preserve"> </w:t>
            </w:r>
            <m:oMath>
              <m:sSub>
                <m:sSubPr>
                  <m:ctrlPr>
                    <w:rPr>
                      <w:rFonts w:ascii="Cambria Math" w:hAnsi="Cambria Math"/>
                      <w:i/>
                    </w:rPr>
                  </m:ctrlPr>
                </m:sSubPr>
                <m:e>
                  <m:r>
                    <w:rPr>
                      <w:rFonts w:ascii="Cambria Math" w:hAnsi="Cambria Math"/>
                    </w:rPr>
                    <m:t>ε</m:t>
                  </m:r>
                </m:e>
                <m:sub>
                  <m:r>
                    <w:rPr>
                      <w:rFonts w:ascii="Cambria Math" w:hAnsi="Cambria Math"/>
                    </w:rPr>
                    <m:t>it</m:t>
                  </m:r>
                </m:sub>
              </m:sSub>
            </m:oMath>
          </w:p>
        </w:tc>
        <w:tc>
          <w:tcPr>
            <w:tcW w:w="530" w:type="dxa"/>
          </w:tcPr>
          <w:p w14:paraId="1197112A" w14:textId="77777777" w:rsidR="00AF6702" w:rsidRPr="00702882" w:rsidRDefault="00AF6702" w:rsidP="00C66AC4">
            <w:pPr>
              <w:spacing w:line="480" w:lineRule="auto"/>
              <w:jc w:val="right"/>
            </w:pPr>
            <w:r w:rsidRPr="00702882">
              <w:t>(5)</w:t>
            </w:r>
          </w:p>
        </w:tc>
      </w:tr>
    </w:tbl>
    <w:p w14:paraId="4BD7FB58" w14:textId="77777777" w:rsidR="00AF6702" w:rsidRPr="00702882" w:rsidRDefault="00AF6702" w:rsidP="00C66AC4">
      <w:pPr>
        <w:spacing w:line="480" w:lineRule="auto"/>
        <w:rPr>
          <w:b/>
          <w:bCs/>
          <w:color w:val="7030A0"/>
        </w:rPr>
      </w:pPr>
    </w:p>
    <w:p w14:paraId="37D23B35" w14:textId="2D56EA5E" w:rsidR="00AF6702" w:rsidRPr="00702882" w:rsidRDefault="00AF6702" w:rsidP="00C66AC4">
      <w:pPr>
        <w:pStyle w:val="a4"/>
        <w:spacing w:line="480" w:lineRule="auto"/>
        <w:rPr>
          <w:rFonts w:ascii="Times New Roman" w:hAnsi="Times New Roman" w:cs="Times New Roman"/>
          <w:sz w:val="24"/>
          <w:szCs w:val="24"/>
        </w:rPr>
      </w:pPr>
      <w:r w:rsidRPr="00702882">
        <w:rPr>
          <w:rFonts w:ascii="Times New Roman" w:hAnsi="Times New Roman" w:cs="Times New Roman"/>
          <w:sz w:val="24"/>
          <w:szCs w:val="24"/>
        </w:rPr>
        <w:t xml:space="preserve">where </w:t>
      </w:r>
      <w:r w:rsidRPr="00702882">
        <w:rPr>
          <w:rFonts w:ascii="Times New Roman" w:hAnsi="Times New Roman" w:cs="Times New Roman"/>
          <w:i/>
          <w:iCs/>
          <w:sz w:val="24"/>
          <w:szCs w:val="24"/>
        </w:rPr>
        <w:t>D</w:t>
      </w:r>
      <w:r w:rsidRPr="00702882">
        <w:rPr>
          <w:rFonts w:ascii="Times New Roman" w:hAnsi="Times New Roman" w:cs="Times New Roman"/>
          <w:i/>
          <w:iCs/>
          <w:sz w:val="24"/>
          <w:szCs w:val="24"/>
          <w:vertAlign w:val="subscript"/>
        </w:rPr>
        <w:t>it</w:t>
      </w:r>
      <w:r w:rsidRPr="00702882">
        <w:rPr>
          <w:rFonts w:ascii="Times New Roman" w:hAnsi="Times New Roman" w:cs="Times New Roman"/>
          <w:i/>
          <w:iCs/>
          <w:sz w:val="24"/>
          <w:szCs w:val="24"/>
        </w:rPr>
        <w:t xml:space="preserve"> </w:t>
      </w:r>
      <w:r w:rsidRPr="00702882">
        <w:rPr>
          <w:rFonts w:ascii="Times New Roman" w:hAnsi="Times New Roman" w:cs="Times New Roman"/>
          <w:sz w:val="24"/>
          <w:szCs w:val="24"/>
        </w:rPr>
        <w:t xml:space="preserve">is a </w:t>
      </w:r>
      <w:r w:rsidR="002429ED" w:rsidRPr="00702882">
        <w:rPr>
          <w:rFonts w:ascii="Times New Roman" w:hAnsi="Times New Roman" w:cs="Times New Roman"/>
          <w:sz w:val="24"/>
          <w:szCs w:val="24"/>
        </w:rPr>
        <w:t>“</w:t>
      </w:r>
      <w:r w:rsidRPr="00702882">
        <w:rPr>
          <w:rFonts w:ascii="Times New Roman" w:hAnsi="Times New Roman" w:cs="Times New Roman"/>
          <w:sz w:val="24"/>
          <w:szCs w:val="24"/>
        </w:rPr>
        <w:t>treatment indicator</w:t>
      </w:r>
      <w:r w:rsidR="002429ED" w:rsidRPr="00702882">
        <w:rPr>
          <w:rFonts w:ascii="Times New Roman" w:hAnsi="Times New Roman" w:cs="Times New Roman"/>
          <w:sz w:val="24"/>
          <w:szCs w:val="24"/>
        </w:rPr>
        <w:t>,” taking the value of</w:t>
      </w:r>
      <w:r w:rsidRPr="00702882">
        <w:rPr>
          <w:rFonts w:ascii="Times New Roman" w:hAnsi="Times New Roman" w:cs="Times New Roman"/>
          <w:sz w:val="24"/>
          <w:szCs w:val="24"/>
        </w:rPr>
        <w:t xml:space="preserve"> 1 if the unit </w:t>
      </w:r>
      <w:r w:rsidRPr="00702882">
        <w:rPr>
          <w:rFonts w:ascii="Times New Roman" w:hAnsi="Times New Roman" w:cs="Times New Roman"/>
          <w:i/>
          <w:iCs/>
          <w:sz w:val="24"/>
          <w:szCs w:val="24"/>
        </w:rPr>
        <w:t>i</w:t>
      </w:r>
      <w:r w:rsidRPr="00702882">
        <w:rPr>
          <w:rFonts w:ascii="Times New Roman" w:hAnsi="Times New Roman" w:cs="Times New Roman"/>
          <w:sz w:val="24"/>
          <w:szCs w:val="24"/>
        </w:rPr>
        <w:t xml:space="preserve"> </w:t>
      </w:r>
      <w:r w:rsidRPr="00702882">
        <w:rPr>
          <w:rFonts w:ascii="Times New Roman" w:eastAsia="바탕" w:hAnsi="Times New Roman" w:cs="Times New Roman"/>
          <w:sz w:val="24"/>
          <w:szCs w:val="24"/>
        </w:rPr>
        <w:t>receives treatment at time t and 0 otherwise;</w:t>
      </w:r>
      <w:r w:rsidR="002429ED" w:rsidRPr="00702882">
        <w:rPr>
          <w:rFonts w:ascii="Times New Roman" w:eastAsia="바탕"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δ</m:t>
            </m:r>
          </m:e>
          <m:sub>
            <m:r>
              <w:rPr>
                <w:rFonts w:ascii="Cambria Math" w:hAnsi="Cambria Math" w:cs="Times New Roman"/>
                <w:sz w:val="24"/>
                <w:szCs w:val="24"/>
              </w:rPr>
              <m:t>it</m:t>
            </m:r>
          </m:sub>
        </m:sSub>
      </m:oMath>
      <w:r w:rsidRPr="00702882">
        <w:rPr>
          <w:rFonts w:ascii="Times New Roman" w:hAnsi="Times New Roman" w:cs="Times New Roman"/>
          <w:sz w:val="24"/>
          <w:szCs w:val="24"/>
        </w:rPr>
        <w:t xml:space="preserve"> denotes </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heterogeneous treatment effect</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 xml:space="preserve"> on unit </w:t>
      </w:r>
      <w:r w:rsidRPr="00702882">
        <w:rPr>
          <w:rFonts w:ascii="Times New Roman" w:hAnsi="Times New Roman" w:cs="Times New Roman"/>
          <w:i/>
          <w:iCs/>
          <w:sz w:val="24"/>
          <w:szCs w:val="24"/>
        </w:rPr>
        <w:t>i</w:t>
      </w:r>
      <w:r w:rsidRPr="00702882">
        <w:rPr>
          <w:rFonts w:ascii="Times New Roman" w:hAnsi="Times New Roman" w:cs="Times New Roman"/>
          <w:sz w:val="24"/>
          <w:szCs w:val="24"/>
        </w:rPr>
        <w:t xml:space="preserve"> at time t;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it</m:t>
            </m:r>
          </m:sub>
        </m:sSub>
      </m:oMath>
      <w:r w:rsidRPr="00702882">
        <w:rPr>
          <w:rFonts w:ascii="Times New Roman" w:hAnsi="Times New Roman" w:cs="Times New Roman"/>
          <w:sz w:val="24"/>
          <w:szCs w:val="24"/>
        </w:rPr>
        <w:t xml:space="preserve"> indicates a </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vector of observed covariates</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 xml:space="preserve"> and </w:t>
      </w:r>
      <m:oMath>
        <m:r>
          <w:rPr>
            <w:rFonts w:ascii="Cambria Math" w:hAnsi="Cambria Math" w:cs="Times New Roman"/>
            <w:sz w:val="24"/>
            <w:szCs w:val="24"/>
          </w:rPr>
          <m:t>β</m:t>
        </m:r>
      </m:oMath>
      <w:r w:rsidRPr="00702882">
        <w:rPr>
          <w:rFonts w:ascii="Times New Roman" w:hAnsi="Times New Roman" w:cs="Times New Roman"/>
          <w:sz w:val="24"/>
          <w:szCs w:val="24"/>
        </w:rPr>
        <w:t xml:space="preserve"> is a </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vector of coefficients</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i</m:t>
            </m:r>
          </m:sub>
        </m:sSub>
      </m:oMath>
      <w:r w:rsidRPr="00702882">
        <w:rPr>
          <w:rFonts w:ascii="Times New Roman" w:hAnsi="Times New Roman" w:cs="Times New Roman"/>
          <w:sz w:val="24"/>
          <w:szCs w:val="24"/>
        </w:rPr>
        <w:t xml:space="preserve"> represents </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factor loadings</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f</m:t>
            </m:r>
          </m:e>
          <m:sub>
            <m:r>
              <w:rPr>
                <w:rFonts w:ascii="Cambria Math" w:hAnsi="Cambria Math" w:cs="Times New Roman"/>
                <w:sz w:val="24"/>
                <w:szCs w:val="24"/>
              </w:rPr>
              <m:t>t</m:t>
            </m:r>
          </m:sub>
        </m:sSub>
      </m:oMath>
      <w:r w:rsidRPr="00702882">
        <w:rPr>
          <w:rFonts w:ascii="Times New Roman" w:hAnsi="Times New Roman" w:cs="Times New Roman"/>
          <w:sz w:val="24"/>
          <w:szCs w:val="24"/>
        </w:rPr>
        <w:t xml:space="preserve"> is </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unobserved common factors</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ε</m:t>
            </m:r>
          </m:e>
          <m:sub>
            <m:r>
              <w:rPr>
                <w:rFonts w:ascii="Cambria Math" w:hAnsi="Cambria Math" w:cs="Times New Roman"/>
                <w:sz w:val="24"/>
                <w:szCs w:val="24"/>
              </w:rPr>
              <m:t>it</m:t>
            </m:r>
          </m:sub>
        </m:sSub>
      </m:oMath>
      <w:r w:rsidRPr="00702882">
        <w:rPr>
          <w:rFonts w:ascii="Times New Roman" w:hAnsi="Times New Roman" w:cs="Times New Roman"/>
          <w:sz w:val="24"/>
          <w:szCs w:val="24"/>
        </w:rPr>
        <w:t xml:space="preserve"> refers to </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unobserved idiosyncratic shocks</w:t>
      </w:r>
      <w:r w:rsidR="008D69F3" w:rsidRPr="00702882">
        <w:rPr>
          <w:rFonts w:ascii="Times New Roman" w:hAnsi="Times New Roman" w:cs="Times New Roman"/>
          <w:sz w:val="24"/>
          <w:szCs w:val="24"/>
        </w:rPr>
        <w:t>”</w:t>
      </w:r>
      <w:r w:rsidRPr="00702882">
        <w:rPr>
          <w:rFonts w:ascii="Times New Roman" w:hAnsi="Times New Roman" w:cs="Times New Roman"/>
          <w:sz w:val="24"/>
          <w:szCs w:val="24"/>
        </w:rPr>
        <w:t xml:space="preserve"> for unit </w:t>
      </w:r>
      <w:r w:rsidRPr="00702882">
        <w:rPr>
          <w:rFonts w:ascii="Times New Roman" w:hAnsi="Times New Roman" w:cs="Times New Roman"/>
          <w:i/>
          <w:iCs/>
          <w:sz w:val="24"/>
          <w:szCs w:val="24"/>
        </w:rPr>
        <w:t xml:space="preserve">i </w:t>
      </w:r>
      <w:r w:rsidRPr="00702882">
        <w:rPr>
          <w:rFonts w:ascii="Times New Roman" w:hAnsi="Times New Roman" w:cs="Times New Roman"/>
          <w:sz w:val="24"/>
          <w:szCs w:val="24"/>
        </w:rPr>
        <w:t xml:space="preserve">at time </w:t>
      </w:r>
      <w:r w:rsidRPr="00702882">
        <w:rPr>
          <w:rFonts w:ascii="Times New Roman" w:hAnsi="Times New Roman" w:cs="Times New Roman"/>
          <w:i/>
          <w:iCs/>
          <w:sz w:val="24"/>
          <w:szCs w:val="24"/>
        </w:rPr>
        <w:t>t</w:t>
      </w:r>
      <w:r w:rsidRPr="00702882">
        <w:rPr>
          <w:rFonts w:ascii="Times New Roman" w:hAnsi="Times New Roman" w:cs="Times New Roman"/>
          <w:sz w:val="24"/>
          <w:szCs w:val="24"/>
        </w:rPr>
        <w:t xml:space="preserve"> </w:t>
      </w:r>
      <w:sdt>
        <w:sdtPr>
          <w:rPr>
            <w:rFonts w:ascii="Times New Roman" w:hAnsi="Times New Roman" w:cs="Times New Roman"/>
            <w:color w:val="000000"/>
            <w:sz w:val="24"/>
            <w:szCs w:val="24"/>
          </w:rPr>
          <w:tag w:val="MENDELEY_CITATION_v3_eyJwcm9wZXJ0aWVzIjp7Im5vdGVJbmRleCI6MH0sImNpdGF0aW9uSUQiOiJNRU5ERUxFWV9DSVRBVElPTl8xMDA2ZTIxMC1lMjU1LTRkYzctYTdlYy00OGZiZjZiYjFhMTI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623039040"/>
          <w:placeholder>
            <w:docPart w:val="2379427432B24904AD6F4032957703B4"/>
          </w:placeholder>
        </w:sdtPr>
        <w:sdtContent>
          <w:r w:rsidR="00F520AD" w:rsidRPr="00F520AD">
            <w:rPr>
              <w:rFonts w:ascii="Times New Roman" w:hAnsi="Times New Roman" w:cs="Times New Roman"/>
              <w:color w:val="000000"/>
              <w:sz w:val="24"/>
              <w:szCs w:val="24"/>
            </w:rPr>
            <w:t>(Xu, 2017a)</w:t>
          </w:r>
        </w:sdtContent>
      </w:sdt>
      <w:r w:rsidRPr="00702882">
        <w:rPr>
          <w:rFonts w:ascii="Times New Roman" w:hAnsi="Times New Roman" w:cs="Times New Roman"/>
          <w:sz w:val="24"/>
          <w:szCs w:val="24"/>
        </w:rPr>
        <w:t xml:space="preserve">. Equation (5) assumes that the same factors affect the treated and control units during the observed time periods. The factor component of the model,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i</m:t>
            </m:r>
          </m:sub>
        </m:sSub>
        <m:sSub>
          <m:sSubPr>
            <m:ctrlPr>
              <w:rPr>
                <w:rFonts w:ascii="Cambria Math" w:hAnsi="Cambria Math" w:cs="Times New Roman"/>
                <w:i/>
                <w:sz w:val="24"/>
                <w:szCs w:val="24"/>
              </w:rPr>
            </m:ctrlPr>
          </m:sSubPr>
          <m:e>
            <m:r>
              <w:rPr>
                <w:rFonts w:ascii="Cambria Math" w:hAnsi="Cambria Math" w:cs="Times New Roman"/>
                <w:sz w:val="24"/>
                <w:szCs w:val="24"/>
              </w:rPr>
              <m:t>f</m:t>
            </m:r>
          </m:e>
          <m:sub>
            <m:r>
              <w:rPr>
                <w:rFonts w:ascii="Cambria Math" w:hAnsi="Cambria Math" w:cs="Times New Roman"/>
                <w:sz w:val="24"/>
                <w:szCs w:val="24"/>
              </w:rPr>
              <m:t>t</m:t>
            </m:r>
          </m:sub>
        </m:sSub>
      </m:oMath>
      <w:r w:rsidRPr="00702882">
        <w:rPr>
          <w:rFonts w:ascii="Times New Roman" w:hAnsi="Times New Roman" w:cs="Times New Roman"/>
          <w:sz w:val="24"/>
          <w:szCs w:val="24"/>
        </w:rPr>
        <w:t xml:space="preserve">  =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i1</m:t>
            </m:r>
          </m:sub>
        </m:sSub>
        <m:sSub>
          <m:sSubPr>
            <m:ctrlPr>
              <w:rPr>
                <w:rFonts w:ascii="Cambria Math" w:hAnsi="Cambria Math" w:cs="Times New Roman"/>
                <w:i/>
                <w:sz w:val="24"/>
                <w:szCs w:val="24"/>
              </w:rPr>
            </m:ctrlPr>
          </m:sSubPr>
          <m:e>
            <m:r>
              <w:rPr>
                <w:rFonts w:ascii="Cambria Math" w:hAnsi="Cambria Math" w:cs="Times New Roman"/>
                <w:sz w:val="24"/>
                <w:szCs w:val="24"/>
              </w:rPr>
              <m:t>f</m:t>
            </m:r>
          </m:e>
          <m:sub>
            <m:r>
              <w:rPr>
                <w:rFonts w:ascii="Cambria Math" w:hAnsi="Cambria Math" w:cs="Times New Roman"/>
                <w:sz w:val="24"/>
                <w:szCs w:val="24"/>
              </w:rPr>
              <m:t>1t</m:t>
            </m:r>
          </m:sub>
        </m:sSub>
      </m:oMath>
      <w:r w:rsidRPr="00702882">
        <w:rPr>
          <w:rFonts w:ascii="Times New Roman" w:hAnsi="Times New Roman" w:cs="Times New Roman"/>
          <w:sz w:val="24"/>
          <w:szCs w:val="24"/>
        </w:rPr>
        <w:t xml:space="preserve"> +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i2</m:t>
            </m:r>
          </m:sub>
        </m:sSub>
        <m:sSub>
          <m:sSubPr>
            <m:ctrlPr>
              <w:rPr>
                <w:rFonts w:ascii="Cambria Math" w:hAnsi="Cambria Math" w:cs="Times New Roman"/>
                <w:i/>
                <w:sz w:val="24"/>
                <w:szCs w:val="24"/>
              </w:rPr>
            </m:ctrlPr>
          </m:sSubPr>
          <m:e>
            <m:r>
              <w:rPr>
                <w:rFonts w:ascii="Cambria Math" w:hAnsi="Cambria Math" w:cs="Times New Roman"/>
                <w:sz w:val="24"/>
                <w:szCs w:val="24"/>
              </w:rPr>
              <m:t>f</m:t>
            </m:r>
          </m:e>
          <m:sub>
            <m:r>
              <w:rPr>
                <w:rFonts w:ascii="Cambria Math" w:hAnsi="Cambria Math" w:cs="Times New Roman"/>
                <w:sz w:val="24"/>
                <w:szCs w:val="24"/>
              </w:rPr>
              <m:t>2t</m:t>
            </m:r>
          </m:sub>
        </m:sSub>
      </m:oMath>
      <w:r w:rsidRPr="00702882">
        <w:rPr>
          <w:rFonts w:ascii="Times New Roman" w:hAnsi="Times New Roman" w:cs="Times New Roman"/>
          <w:sz w:val="24"/>
          <w:szCs w:val="24"/>
        </w:rPr>
        <w:t xml:space="preserve"> + ··· + </w:t>
      </w:r>
      <m:oMath>
        <m:sSub>
          <m:sSubPr>
            <m:ctrlPr>
              <w:rPr>
                <w:rFonts w:ascii="Cambria Math" w:hAnsi="Cambria Math" w:cs="Times New Roman"/>
                <w:i/>
                <w:sz w:val="24"/>
                <w:szCs w:val="24"/>
              </w:rPr>
            </m:ctrlPr>
          </m:sSubPr>
          <m:e>
            <m:r>
              <w:rPr>
                <w:rFonts w:ascii="Cambria Math" w:hAnsi="Cambria Math" w:cs="Times New Roman"/>
                <w:sz w:val="24"/>
                <w:szCs w:val="24"/>
              </w:rPr>
              <m:t>λ</m:t>
            </m:r>
          </m:e>
          <m:sub>
            <m:r>
              <w:rPr>
                <w:rFonts w:ascii="Cambria Math" w:hAnsi="Cambria Math" w:cs="Times New Roman"/>
                <w:sz w:val="24"/>
                <w:szCs w:val="24"/>
              </w:rPr>
              <m:t>ir</m:t>
            </m:r>
          </m:sub>
        </m:sSub>
        <m:sSub>
          <m:sSubPr>
            <m:ctrlPr>
              <w:rPr>
                <w:rFonts w:ascii="Cambria Math" w:hAnsi="Cambria Math" w:cs="Times New Roman"/>
                <w:i/>
                <w:sz w:val="24"/>
                <w:szCs w:val="24"/>
              </w:rPr>
            </m:ctrlPr>
          </m:sSubPr>
          <m:e>
            <m:r>
              <w:rPr>
                <w:rFonts w:ascii="Cambria Math" w:hAnsi="Cambria Math" w:cs="Times New Roman"/>
                <w:sz w:val="24"/>
                <w:szCs w:val="24"/>
              </w:rPr>
              <m:t>f</m:t>
            </m:r>
          </m:e>
          <m:sub>
            <m:r>
              <w:rPr>
                <w:rFonts w:ascii="Cambria Math" w:hAnsi="Cambria Math" w:cs="Times New Roman"/>
                <w:sz w:val="24"/>
                <w:szCs w:val="24"/>
              </w:rPr>
              <m:t>rt</m:t>
            </m:r>
          </m:sub>
        </m:sSub>
      </m:oMath>
      <w:r w:rsidRPr="00702882">
        <w:rPr>
          <w:rFonts w:ascii="Times New Roman" w:hAnsi="Times New Roman" w:cs="Times New Roman"/>
          <w:sz w:val="24"/>
          <w:szCs w:val="24"/>
        </w:rPr>
        <w:t xml:space="preserve">, has a linear, additive form by the assumption of equation (5), covering unobserved heterogeneities </w:t>
      </w:r>
      <w:sdt>
        <w:sdtPr>
          <w:rPr>
            <w:rFonts w:ascii="Times New Roman" w:hAnsi="Times New Roman" w:cs="Times New Roman"/>
            <w:color w:val="000000"/>
            <w:sz w:val="24"/>
            <w:szCs w:val="24"/>
          </w:rPr>
          <w:tag w:val="MENDELEY_CITATION_v3_eyJwcm9wZXJ0aWVzIjp7Im5vdGVJbmRleCI6MH0sImNpdGF0aW9uSUQiOiJNRU5ERUxFWV9DSVRBVElPTl8zMjdmZjJlNS0wZTA5LTRiNDgtYjYyNC1iNmQwNWY1YjRjYzY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455692338"/>
          <w:placeholder>
            <w:docPart w:val="CE2B407CE70A454F96B67F3745B30A30"/>
          </w:placeholder>
        </w:sdtPr>
        <w:sdtContent>
          <w:r w:rsidR="00F520AD" w:rsidRPr="00F520AD">
            <w:rPr>
              <w:rFonts w:ascii="Times New Roman" w:hAnsi="Times New Roman" w:cs="Times New Roman"/>
              <w:color w:val="000000"/>
              <w:sz w:val="24"/>
              <w:szCs w:val="24"/>
            </w:rPr>
            <w:t>(Xu, 2017a)</w:t>
          </w:r>
        </w:sdtContent>
      </w:sdt>
      <w:r w:rsidRPr="00702882">
        <w:rPr>
          <w:rFonts w:ascii="Times New Roman" w:hAnsi="Times New Roman" w:cs="Times New Roman"/>
          <w:sz w:val="24"/>
          <w:szCs w:val="24"/>
        </w:rPr>
        <w:t>.</w:t>
      </w:r>
    </w:p>
    <w:p w14:paraId="141236E8" w14:textId="7B345AE5" w:rsidR="00AF6702" w:rsidRPr="00702882" w:rsidRDefault="00AF6702" w:rsidP="00FC24EB">
      <w:pPr>
        <w:spacing w:line="480" w:lineRule="auto"/>
        <w:ind w:firstLine="720"/>
        <w:rPr>
          <w:rFonts w:eastAsiaTheme="minorEastAsia"/>
        </w:rPr>
      </w:pPr>
      <w:r w:rsidRPr="00702882">
        <w:t xml:space="preserve">To use the GSCM, first, I estimate the latent factors, </w:t>
      </w:r>
      <m:oMath>
        <m:sSub>
          <m:sSubPr>
            <m:ctrlPr>
              <w:rPr>
                <w:rFonts w:ascii="Cambria Math" w:hAnsi="Cambria Math"/>
                <w:i/>
              </w:rPr>
            </m:ctrlPr>
          </m:sSubPr>
          <m:e>
            <m:r>
              <w:rPr>
                <w:rFonts w:ascii="Cambria Math" w:hAnsi="Cambria Math"/>
              </w:rPr>
              <m:t>f</m:t>
            </m:r>
          </m:e>
          <m:sub>
            <m:r>
              <w:rPr>
                <w:rFonts w:ascii="Cambria Math" w:hAnsi="Cambria Math"/>
              </w:rPr>
              <m:t>t</m:t>
            </m:r>
          </m:sub>
        </m:sSub>
      </m:oMath>
      <w:r w:rsidRPr="00702882">
        <w:t xml:space="preserve">, and the coefficients on the covariates, </w:t>
      </w:r>
      <m:oMath>
        <m:r>
          <w:rPr>
            <w:rFonts w:ascii="Cambria Math" w:hAnsi="Cambria Math"/>
          </w:rPr>
          <m:t>β</m:t>
        </m:r>
      </m:oMath>
      <w:r w:rsidRPr="00702882">
        <w:t xml:space="preserve">, using the control group data; second, </w:t>
      </w:r>
      <w:r w:rsidR="008D69F3" w:rsidRPr="00702882">
        <w:rPr>
          <w:rFonts w:eastAsiaTheme="minorEastAsia"/>
        </w:rPr>
        <w:t>“</w:t>
      </w:r>
      <w:r w:rsidRPr="00702882">
        <w:t>factor loadings for each treated unit,</w:t>
      </w:r>
      <w:r w:rsidR="008D69F3" w:rsidRPr="00702882">
        <w:rPr>
          <w:rFonts w:eastAsiaTheme="minorEastAsia"/>
        </w:rPr>
        <w:t>”</w:t>
      </w:r>
      <w:r w:rsidRPr="00702882">
        <w:t xml:space="preserve"> </w:t>
      </w:r>
      <m:oMath>
        <m:sSub>
          <m:sSubPr>
            <m:ctrlPr>
              <w:rPr>
                <w:rFonts w:ascii="Cambria Math" w:hAnsi="Cambria Math"/>
                <w:i/>
              </w:rPr>
            </m:ctrlPr>
          </m:sSubPr>
          <m:e>
            <m:r>
              <w:rPr>
                <w:rFonts w:ascii="Cambria Math" w:hAnsi="Cambria Math"/>
              </w:rPr>
              <m:t>λ</m:t>
            </m:r>
          </m:e>
          <m:sub>
            <m:r>
              <w:rPr>
                <w:rFonts w:ascii="Cambria Math" w:hAnsi="Cambria Math"/>
              </w:rPr>
              <m:t>i</m:t>
            </m:r>
          </m:sub>
        </m:sSub>
      </m:oMath>
      <w:r w:rsidRPr="00702882">
        <w:t xml:space="preserve">, are </w:t>
      </w:r>
      <w:r w:rsidR="0028516C" w:rsidRPr="00702882">
        <w:rPr>
          <w:rFonts w:eastAsiaTheme="minorEastAsia"/>
        </w:rPr>
        <w:t>determined</w:t>
      </w:r>
      <w:r w:rsidRPr="00702882">
        <w:t xml:space="preserve"> by </w:t>
      </w:r>
      <w:r w:rsidR="0028516C" w:rsidRPr="00702882">
        <w:rPr>
          <w:rFonts w:eastAsiaTheme="minorEastAsia"/>
        </w:rPr>
        <w:t>optimizing</w:t>
      </w:r>
      <w:r w:rsidRPr="00702882">
        <w:t xml:space="preserve"> a </w:t>
      </w:r>
      <w:r w:rsidR="008D69F3" w:rsidRPr="00702882">
        <w:rPr>
          <w:rFonts w:eastAsiaTheme="minorEastAsia"/>
        </w:rPr>
        <w:t>“</w:t>
      </w:r>
      <w:r w:rsidRPr="00702882">
        <w:t>least squares equation for the treated units’ outcomes in the pre-treatment period</w:t>
      </w:r>
      <w:r w:rsidR="008D69F3" w:rsidRPr="00702882">
        <w:rPr>
          <w:rFonts w:eastAsiaTheme="minorEastAsia"/>
        </w:rPr>
        <w:t>”</w:t>
      </w:r>
      <w:r w:rsidRPr="00702882">
        <w:t xml:space="preserve">; third, counterfactual outcomes in the post-treatment period are constructed based on the estimated factors and factor loadings </w:t>
      </w:r>
      <w:sdt>
        <w:sdtPr>
          <w:rPr>
            <w:color w:val="000000"/>
          </w:rPr>
          <w:tag w:val="MENDELEY_CITATION_v3_eyJwcm9wZXJ0aWVzIjp7Im5vdGVJbmRleCI6MH0sImNpdGF0aW9uSUQiOiJNRU5ERUxFWV9DSVRBVElPTl9mYzM0NzZmMi05M2YwLTRhNGItOWU4Yi1lNTRmMmNmMTdlOGE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1118368581"/>
          <w:placeholder>
            <w:docPart w:val="2F85AC8D8EAF4921A4B7DECBFEF4A730"/>
          </w:placeholder>
        </w:sdtPr>
        <w:sdtContent>
          <w:r w:rsidR="00F520AD" w:rsidRPr="00F520AD">
            <w:rPr>
              <w:color w:val="000000"/>
            </w:rPr>
            <w:t>(Xu, 2017a)</w:t>
          </w:r>
        </w:sdtContent>
      </w:sdt>
      <w:r w:rsidRPr="00702882">
        <w:t xml:space="preserve">. The potential outcomes for individual </w:t>
      </w:r>
      <w:r w:rsidRPr="00702882">
        <w:rPr>
          <w:i/>
          <w:iCs/>
        </w:rPr>
        <w:t xml:space="preserve">i </w:t>
      </w:r>
      <w:r w:rsidRPr="00702882">
        <w:t xml:space="preserve">at time </w:t>
      </w:r>
      <w:r w:rsidRPr="00702882">
        <w:rPr>
          <w:i/>
          <w:iCs/>
        </w:rPr>
        <w:t>t</w:t>
      </w:r>
      <w:r w:rsidRPr="00702882">
        <w:t xml:space="preserve"> are </w:t>
      </w:r>
      <m:oMath>
        <m:sSub>
          <m:sSubPr>
            <m:ctrlPr>
              <w:rPr>
                <w:rFonts w:ascii="Cambria Math" w:hAnsi="Cambria Math"/>
                <w:i/>
              </w:rPr>
            </m:ctrlPr>
          </m:sSubPr>
          <m:e>
            <m:r>
              <w:rPr>
                <w:rFonts w:ascii="Cambria Math" w:hAnsi="Cambria Math"/>
              </w:rPr>
              <m:t>Y</m:t>
            </m:r>
          </m:e>
          <m:sub>
            <m:r>
              <w:rPr>
                <w:rFonts w:ascii="Cambria Math" w:hAnsi="Cambria Math"/>
              </w:rPr>
              <m:t>it</m:t>
            </m:r>
          </m:sub>
        </m:sSub>
        <m:r>
          <m:rPr>
            <m:sty m:val="p"/>
          </m:rPr>
          <w:rPr>
            <w:rFonts w:ascii="Cambria Math" w:hAnsi="Cambria Math"/>
          </w:rPr>
          <m:t>(</m:t>
        </m:r>
        <m:r>
          <w:rPr>
            <w:rFonts w:ascii="Cambria Math" w:hAnsi="Cambria Math"/>
          </w:rPr>
          <m:t>1</m:t>
        </m:r>
        <m:r>
          <m:rPr>
            <m:sty m:val="p"/>
          </m:rPr>
          <w:rPr>
            <w:rFonts w:ascii="Cambria Math" w:hAnsi="Cambria Math"/>
          </w:rPr>
          <m:t xml:space="preserve">) = </m:t>
        </m:r>
        <m:sSub>
          <m:sSubPr>
            <m:ctrlPr>
              <w:rPr>
                <w:rFonts w:ascii="Cambria Math" w:hAnsi="Cambria Math"/>
                <w:i/>
              </w:rPr>
            </m:ctrlPr>
          </m:sSubPr>
          <m:e>
            <m:r>
              <w:rPr>
                <w:rFonts w:ascii="Cambria Math" w:hAnsi="Cambria Math"/>
              </w:rPr>
              <m:t>δ</m:t>
            </m:r>
          </m:e>
          <m:sub>
            <m:r>
              <w:rPr>
                <w:rFonts w:ascii="Cambria Math" w:hAnsi="Cambria Math"/>
              </w:rPr>
              <m:t>it</m:t>
            </m:r>
          </m:sub>
        </m:sSub>
      </m:oMath>
      <w:r w:rsidRPr="00702882">
        <w:rPr>
          <w:i/>
        </w:rPr>
        <w:t xml:space="preserve"> </w:t>
      </w:r>
      <w:r w:rsidRPr="00702882">
        <w:t xml:space="preserve">+ </w:t>
      </w:r>
      <m:oMath>
        <m:sSub>
          <m:sSubPr>
            <m:ctrlPr>
              <w:rPr>
                <w:rFonts w:ascii="Cambria Math" w:hAnsi="Cambria Math"/>
                <w:i/>
              </w:rPr>
            </m:ctrlPr>
          </m:sSubPr>
          <m:e>
            <m:r>
              <w:rPr>
                <w:rFonts w:ascii="Cambria Math" w:hAnsi="Cambria Math"/>
              </w:rPr>
              <m:t>x'</m:t>
            </m:r>
          </m:e>
          <m:sub>
            <m:r>
              <w:rPr>
                <w:rFonts w:ascii="Cambria Math" w:hAnsi="Cambria Math"/>
              </w:rPr>
              <m:t>it</m:t>
            </m:r>
          </m:sub>
        </m:sSub>
        <m:r>
          <w:rPr>
            <w:rFonts w:ascii="Cambria Math" w:hAnsi="Cambria Math"/>
          </w:rPr>
          <m:t>β</m:t>
        </m:r>
      </m:oMath>
      <w:r w:rsidRPr="00702882">
        <w:rPr>
          <w:i/>
        </w:rPr>
        <w:t xml:space="preserve"> </w:t>
      </w:r>
      <w:r w:rsidRPr="00702882">
        <w:rPr>
          <w:iCs/>
        </w:rPr>
        <w:t xml:space="preserve">+ </w:t>
      </w:r>
      <m:oMath>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f</m:t>
            </m:r>
          </m:e>
          <m:sub>
            <m:r>
              <w:rPr>
                <w:rFonts w:ascii="Cambria Math" w:hAnsi="Cambria Math"/>
              </w:rPr>
              <m:t>t</m:t>
            </m:r>
          </m:sub>
        </m:sSub>
      </m:oMath>
      <w:r w:rsidRPr="00702882">
        <w:t xml:space="preserve">  +</w:t>
      </w:r>
      <w:r w:rsidRPr="00702882">
        <w:rPr>
          <w:iCs/>
        </w:rPr>
        <w:t xml:space="preserve"> </w:t>
      </w:r>
      <m:oMath>
        <m:sSub>
          <m:sSubPr>
            <m:ctrlPr>
              <w:rPr>
                <w:rFonts w:ascii="Cambria Math" w:hAnsi="Cambria Math"/>
                <w:i/>
              </w:rPr>
            </m:ctrlPr>
          </m:sSubPr>
          <m:e>
            <m:r>
              <w:rPr>
                <w:rFonts w:ascii="Cambria Math" w:hAnsi="Cambria Math"/>
              </w:rPr>
              <m:t>ε</m:t>
            </m:r>
          </m:e>
          <m:sub>
            <m:r>
              <w:rPr>
                <w:rFonts w:ascii="Cambria Math" w:hAnsi="Cambria Math"/>
              </w:rPr>
              <m:t>it</m:t>
            </m:r>
          </m:sub>
        </m:sSub>
      </m:oMath>
      <w:r w:rsidRPr="00702882">
        <w:t xml:space="preserve"> when </w:t>
      </w:r>
      <m:oMath>
        <m:sSub>
          <m:sSubPr>
            <m:ctrlPr>
              <w:rPr>
                <w:rFonts w:ascii="Cambria Math" w:hAnsi="Cambria Math"/>
                <w:i/>
              </w:rPr>
            </m:ctrlPr>
          </m:sSubPr>
          <m:e>
            <m:r>
              <w:rPr>
                <w:rFonts w:ascii="Cambria Math" w:hAnsi="Cambria Math"/>
              </w:rPr>
              <m:t>D</m:t>
            </m:r>
          </m:e>
          <m:sub>
            <m:r>
              <w:rPr>
                <w:rFonts w:ascii="Cambria Math" w:hAnsi="Cambria Math"/>
              </w:rPr>
              <m:t>it</m:t>
            </m:r>
          </m:sub>
        </m:sSub>
      </m:oMath>
      <w:r w:rsidRPr="00702882">
        <w:t xml:space="preserve"> = 1 and </w:t>
      </w:r>
      <m:oMath>
        <m:sSub>
          <m:sSubPr>
            <m:ctrlPr>
              <w:rPr>
                <w:rFonts w:ascii="Cambria Math" w:hAnsi="Cambria Math"/>
                <w:i/>
              </w:rPr>
            </m:ctrlPr>
          </m:sSubPr>
          <m:e>
            <m:r>
              <w:rPr>
                <w:rFonts w:ascii="Cambria Math" w:hAnsi="Cambria Math"/>
              </w:rPr>
              <m:t>Y</m:t>
            </m:r>
          </m:e>
          <m:sub>
            <m:r>
              <w:rPr>
                <w:rFonts w:ascii="Cambria Math" w:hAnsi="Cambria Math"/>
              </w:rPr>
              <m:t>it</m:t>
            </m:r>
          </m:sub>
        </m:sSub>
      </m:oMath>
      <w:r w:rsidRPr="00702882">
        <w:t>(</w:t>
      </w:r>
      <w:r w:rsidRPr="00702882">
        <w:rPr>
          <w:i/>
          <w:iCs/>
        </w:rPr>
        <w:t>0</w:t>
      </w:r>
      <w:r w:rsidRPr="00702882">
        <w:t xml:space="preserve">) </w:t>
      </w:r>
      <m:oMath>
        <m:sSub>
          <m:sSubPr>
            <m:ctrlPr>
              <w:rPr>
                <w:rFonts w:ascii="Cambria Math" w:hAnsi="Cambria Math"/>
                <w:i/>
              </w:rPr>
            </m:ctrlPr>
          </m:sSubPr>
          <m:e>
            <m:r>
              <w:rPr>
                <w:rFonts w:ascii="Cambria Math" w:hAnsi="Cambria Math"/>
              </w:rPr>
              <m:t>=x'</m:t>
            </m:r>
          </m:e>
          <m:sub>
            <m:r>
              <w:rPr>
                <w:rFonts w:ascii="Cambria Math" w:hAnsi="Cambria Math"/>
              </w:rPr>
              <m:t>it</m:t>
            </m:r>
          </m:sub>
        </m:sSub>
        <m:r>
          <w:rPr>
            <w:rFonts w:ascii="Cambria Math" w:hAnsi="Cambria Math"/>
          </w:rPr>
          <m:t>β</m:t>
        </m:r>
      </m:oMath>
      <w:r w:rsidRPr="00702882">
        <w:rPr>
          <w:i/>
        </w:rPr>
        <w:t xml:space="preserve"> </w:t>
      </w:r>
      <w:r w:rsidRPr="00702882">
        <w:rPr>
          <w:iCs/>
        </w:rPr>
        <w:t xml:space="preserve">+ </w:t>
      </w:r>
      <m:oMath>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f</m:t>
            </m:r>
          </m:e>
          <m:sub>
            <m:r>
              <w:rPr>
                <w:rFonts w:ascii="Cambria Math" w:hAnsi="Cambria Math"/>
              </w:rPr>
              <m:t>t</m:t>
            </m:r>
          </m:sub>
        </m:sSub>
      </m:oMath>
      <w:r w:rsidRPr="00702882">
        <w:t xml:space="preserve">  +</w:t>
      </w:r>
      <w:r w:rsidRPr="00702882">
        <w:rPr>
          <w:iCs/>
        </w:rPr>
        <w:t xml:space="preserve"> </w:t>
      </w:r>
      <m:oMath>
        <m:sSub>
          <m:sSubPr>
            <m:ctrlPr>
              <w:rPr>
                <w:rFonts w:ascii="Cambria Math" w:hAnsi="Cambria Math"/>
                <w:i/>
              </w:rPr>
            </m:ctrlPr>
          </m:sSubPr>
          <m:e>
            <m:r>
              <w:rPr>
                <w:rFonts w:ascii="Cambria Math" w:hAnsi="Cambria Math"/>
              </w:rPr>
              <m:t>ε</m:t>
            </m:r>
          </m:e>
          <m:sub>
            <m:r>
              <w:rPr>
                <w:rFonts w:ascii="Cambria Math" w:hAnsi="Cambria Math"/>
              </w:rPr>
              <m:t>it</m:t>
            </m:r>
          </m:sub>
        </m:sSub>
      </m:oMath>
      <w:r w:rsidRPr="00702882">
        <w:t xml:space="preserve"> when </w:t>
      </w:r>
      <m:oMath>
        <m:sSub>
          <m:sSubPr>
            <m:ctrlPr>
              <w:rPr>
                <w:rFonts w:ascii="Cambria Math" w:hAnsi="Cambria Math"/>
                <w:i/>
              </w:rPr>
            </m:ctrlPr>
          </m:sSubPr>
          <m:e>
            <m:r>
              <w:rPr>
                <w:rFonts w:ascii="Cambria Math" w:hAnsi="Cambria Math"/>
              </w:rPr>
              <m:t>D</m:t>
            </m:r>
          </m:e>
          <m:sub>
            <m:r>
              <w:rPr>
                <w:rFonts w:ascii="Cambria Math" w:hAnsi="Cambria Math"/>
              </w:rPr>
              <m:t>it</m:t>
            </m:r>
          </m:sub>
        </m:sSub>
      </m:oMath>
      <w:r w:rsidRPr="00702882">
        <w:t xml:space="preserve"> = 0, respectively; thus, the individual treatment effect on treated unit </w:t>
      </w:r>
      <w:r w:rsidRPr="00702882">
        <w:rPr>
          <w:i/>
          <w:iCs/>
        </w:rPr>
        <w:t xml:space="preserve">i </w:t>
      </w:r>
      <w:r w:rsidRPr="00702882">
        <w:t xml:space="preserve">at time </w:t>
      </w:r>
      <w:r w:rsidRPr="00702882">
        <w:rPr>
          <w:i/>
          <w:iCs/>
        </w:rPr>
        <w:t xml:space="preserve">t </w:t>
      </w:r>
      <w:r w:rsidRPr="00702882">
        <w:t xml:space="preserve">is </w:t>
      </w:r>
      <m:oMath>
        <m:sSub>
          <m:sSubPr>
            <m:ctrlPr>
              <w:rPr>
                <w:rFonts w:ascii="Cambria Math" w:hAnsi="Cambria Math"/>
                <w:i/>
              </w:rPr>
            </m:ctrlPr>
          </m:sSubPr>
          <m:e>
            <m:r>
              <w:rPr>
                <w:rFonts w:ascii="Cambria Math" w:hAnsi="Cambria Math"/>
              </w:rPr>
              <m:t>δ</m:t>
            </m:r>
          </m:e>
          <m:sub>
            <m:r>
              <w:rPr>
                <w:rFonts w:ascii="Cambria Math" w:hAnsi="Cambria Math"/>
              </w:rPr>
              <m:t>it</m:t>
            </m:r>
          </m:sub>
        </m:sSub>
      </m:oMath>
      <w:r w:rsidRPr="00702882">
        <w:t xml:space="preserve"> </w:t>
      </w:r>
      <m:oMath>
        <m:r>
          <m:rPr>
            <m:sty m:val="p"/>
          </m:rPr>
          <w:rPr>
            <w:rFonts w:ascii="Cambria Math" w:hAnsi="Cambria Math"/>
          </w:rPr>
          <m:t>=</m:t>
        </m:r>
      </m:oMath>
      <w:r w:rsidRPr="00702882">
        <w:t xml:space="preserve"> </w:t>
      </w:r>
      <m:oMath>
        <m:sSub>
          <m:sSubPr>
            <m:ctrlPr>
              <w:rPr>
                <w:rFonts w:ascii="Cambria Math" w:hAnsi="Cambria Math"/>
                <w:i/>
              </w:rPr>
            </m:ctrlPr>
          </m:sSubPr>
          <m:e>
            <m:r>
              <w:rPr>
                <w:rFonts w:ascii="Cambria Math" w:hAnsi="Cambria Math"/>
              </w:rPr>
              <m:t>Y</m:t>
            </m:r>
          </m:e>
          <m:sub>
            <m:r>
              <w:rPr>
                <w:rFonts w:ascii="Cambria Math" w:hAnsi="Cambria Math"/>
              </w:rPr>
              <m:t>it</m:t>
            </m:r>
          </m:sub>
        </m:sSub>
        <m:d>
          <m:dPr>
            <m:ctrlPr>
              <w:rPr>
                <w:rFonts w:ascii="Cambria Math" w:hAnsi="Cambria Math"/>
              </w:rPr>
            </m:ctrlPr>
          </m:dPr>
          <m:e>
            <m:r>
              <w:rPr>
                <w:rFonts w:ascii="Cambria Math" w:hAnsi="Cambria Math"/>
              </w:rPr>
              <m:t>1</m:t>
            </m:r>
          </m:e>
        </m:d>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it</m:t>
            </m:r>
          </m:sub>
        </m:sSub>
        <m:d>
          <m:dPr>
            <m:ctrlPr>
              <w:rPr>
                <w:rFonts w:ascii="Cambria Math" w:hAnsi="Cambria Math"/>
              </w:rPr>
            </m:ctrlPr>
          </m:dPr>
          <m:e>
            <m:r>
              <w:rPr>
                <w:rFonts w:ascii="Cambria Math" w:hAnsi="Cambria Math"/>
              </w:rPr>
              <m:t>0</m:t>
            </m:r>
          </m:e>
        </m:d>
        <m:r>
          <m:rPr>
            <m:sty m:val="p"/>
          </m:rPr>
          <w:rPr>
            <w:rFonts w:ascii="Cambria Math" w:hAnsi="Cambria Math"/>
          </w:rPr>
          <m:t xml:space="preserve"> </m:t>
        </m:r>
      </m:oMath>
      <w:sdt>
        <w:sdtPr>
          <w:rPr>
            <w:color w:val="000000"/>
          </w:rPr>
          <w:tag w:val="MENDELEY_CITATION_v3_eyJwcm9wZXJ0aWVzIjp7Im5vdGVJbmRleCI6MH0sImNpdGF0aW9uSUQiOiJNRU5ERUxFWV9DSVRBVElPTl8yYmQ4YzVmNy02MzA0LTQ4NDYtOTY0My0xY2ZjMTJlMjc0YzU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150369406"/>
          <w:placeholder>
            <w:docPart w:val="5654E6349B734CD4B60AEEC65B910403"/>
          </w:placeholder>
        </w:sdtPr>
        <w:sdtContent>
          <w:r w:rsidR="00F520AD" w:rsidRPr="00F520AD">
            <w:rPr>
              <w:color w:val="000000"/>
            </w:rPr>
            <w:t>(Xu, 2017a)</w:t>
          </w:r>
        </w:sdtContent>
      </w:sdt>
      <w:r w:rsidRPr="00702882">
        <w:t xml:space="preserve">. </w:t>
      </w:r>
      <w:r w:rsidR="0059255F" w:rsidRPr="00702882">
        <w:rPr>
          <w:rFonts w:eastAsiaTheme="minorEastAsia"/>
        </w:rPr>
        <w:t xml:space="preserve">The ATT is calculated as the average of the observed post-treatment outcomes minus the expected untreated outcomes: </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98"/>
        <w:gridCol w:w="528"/>
      </w:tblGrid>
      <w:tr w:rsidR="005B16DF" w:rsidRPr="00702882" w14:paraId="252CEDA6" w14:textId="77777777" w:rsidTr="00AE6820">
        <w:tc>
          <w:tcPr>
            <w:tcW w:w="8820" w:type="dxa"/>
            <w:vAlign w:val="center"/>
          </w:tcPr>
          <w:p w14:paraId="19D11622" w14:textId="77777777" w:rsidR="00AF6702" w:rsidRPr="00702882" w:rsidRDefault="00AF6702" w:rsidP="00C66AC4">
            <w:pPr>
              <w:spacing w:line="480" w:lineRule="auto"/>
              <w:ind w:right="120"/>
              <w:jc w:val="center"/>
              <w:rPr>
                <w:iCs/>
              </w:rPr>
            </w:pPr>
            <w:r w:rsidRPr="00702882">
              <w:lastRenderedPageBreak/>
              <w:t xml:space="preserve">ATT(t) = </w:t>
            </w:r>
            <m:oMath>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N</m:t>
                      </m:r>
                    </m:e>
                    <m:sub>
                      <m:r>
                        <w:rPr>
                          <w:rFonts w:ascii="Cambria Math" w:hAnsi="Cambria Math"/>
                        </w:rPr>
                        <m:t>t</m:t>
                      </m:r>
                    </m:sub>
                  </m:sSub>
                </m:den>
              </m:f>
              <m:nary>
                <m:naryPr>
                  <m:chr m:val="∑"/>
                  <m:limLoc m:val="undOvr"/>
                  <m:supHide m:val="1"/>
                  <m:ctrlPr>
                    <w:rPr>
                      <w:rFonts w:ascii="Cambria Math" w:hAnsi="Cambria Math"/>
                      <w:i/>
                    </w:rPr>
                  </m:ctrlPr>
                </m:naryPr>
                <m:sub>
                  <m:r>
                    <w:rPr>
                      <w:rFonts w:ascii="Cambria Math" w:hAnsi="Cambria Math"/>
                    </w:rPr>
                    <m:t>i</m:t>
                  </m:r>
                </m:sub>
                <m:sup/>
                <m:e>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it</m:t>
                      </m:r>
                    </m:sub>
                  </m:sSub>
                  <m:d>
                    <m:dPr>
                      <m:ctrlPr>
                        <w:rPr>
                          <w:rFonts w:ascii="Cambria Math" w:hAnsi="Cambria Math"/>
                          <w:i/>
                        </w:rPr>
                      </m:ctrlPr>
                    </m:dPr>
                    <m:e>
                      <m:r>
                        <w:rPr>
                          <w:rFonts w:ascii="Cambria Math" w:hAnsi="Cambria Math"/>
                        </w:rPr>
                        <m:t>1</m:t>
                      </m:r>
                    </m:e>
                  </m:d>
                  <m:r>
                    <w:rPr>
                      <w:rFonts w:ascii="Cambria Math" w:hAnsi="Cambria Math"/>
                    </w:rPr>
                    <m:t xml:space="preserve">- </m:t>
                  </m:r>
                  <m:sSub>
                    <m:sSubPr>
                      <m:ctrlPr>
                        <w:rPr>
                          <w:rFonts w:ascii="Cambria Math" w:hAnsi="Cambria Math"/>
                          <w:i/>
                        </w:rPr>
                      </m:ctrlPr>
                    </m:sSubPr>
                    <m:e>
                      <m:r>
                        <w:rPr>
                          <w:rFonts w:ascii="Cambria Math" w:hAnsi="Cambria Math"/>
                        </w:rPr>
                        <m:t>Y</m:t>
                      </m:r>
                    </m:e>
                    <m:sub>
                      <m:r>
                        <w:rPr>
                          <w:rFonts w:ascii="Cambria Math" w:hAnsi="Cambria Math"/>
                        </w:rPr>
                        <m:t>it</m:t>
                      </m:r>
                    </m:sub>
                  </m:sSub>
                  <m:d>
                    <m:dPr>
                      <m:ctrlPr>
                        <w:rPr>
                          <w:rFonts w:ascii="Cambria Math" w:hAnsi="Cambria Math"/>
                          <w:i/>
                        </w:rPr>
                      </m:ctrlPr>
                    </m:dPr>
                    <m:e>
                      <m:r>
                        <w:rPr>
                          <w:rFonts w:ascii="Cambria Math" w:hAnsi="Cambria Math"/>
                        </w:rPr>
                        <m:t>0</m:t>
                      </m:r>
                    </m:e>
                  </m:d>
                  <m:r>
                    <w:rPr>
                      <w:rFonts w:ascii="Cambria Math" w:hAnsi="Cambria Math"/>
                    </w:rPr>
                    <m:t>]</m:t>
                  </m:r>
                </m:e>
              </m:nary>
            </m:oMath>
            <w:r w:rsidRPr="00702882">
              <w:t xml:space="preserve"> = </w:t>
            </w:r>
            <m:oMath>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N</m:t>
                      </m:r>
                    </m:e>
                    <m:sub>
                      <m:r>
                        <w:rPr>
                          <w:rFonts w:ascii="Cambria Math" w:hAnsi="Cambria Math"/>
                        </w:rPr>
                        <m:t>t</m:t>
                      </m:r>
                    </m:sub>
                  </m:sSub>
                </m:den>
              </m:f>
              <m:nary>
                <m:naryPr>
                  <m:chr m:val="∑"/>
                  <m:limLoc m:val="undOvr"/>
                  <m:supHide m:val="1"/>
                  <m:ctrlPr>
                    <w:rPr>
                      <w:rFonts w:ascii="Cambria Math" w:hAnsi="Cambria Math"/>
                      <w:i/>
                    </w:rPr>
                  </m:ctrlPr>
                </m:naryPr>
                <m:sub>
                  <m:r>
                    <w:rPr>
                      <w:rFonts w:ascii="Cambria Math" w:hAnsi="Cambria Math"/>
                    </w:rPr>
                    <m:t>i</m:t>
                  </m:r>
                </m:sub>
                <m:sup/>
                <m:e>
                  <m:sSub>
                    <m:sSubPr>
                      <m:ctrlPr>
                        <w:rPr>
                          <w:rFonts w:ascii="Cambria Math" w:hAnsi="Cambria Math"/>
                          <w:i/>
                        </w:rPr>
                      </m:ctrlPr>
                    </m:sSubPr>
                    <m:e>
                      <m:r>
                        <w:rPr>
                          <w:rFonts w:ascii="Cambria Math" w:hAnsi="Cambria Math"/>
                        </w:rPr>
                        <m:t>δ</m:t>
                      </m:r>
                    </m:e>
                    <m:sub>
                      <m:r>
                        <w:rPr>
                          <w:rFonts w:ascii="Cambria Math" w:hAnsi="Cambria Math"/>
                        </w:rPr>
                        <m:t>it</m:t>
                      </m:r>
                    </m:sub>
                  </m:sSub>
                </m:e>
              </m:nary>
            </m:oMath>
          </w:p>
        </w:tc>
        <w:tc>
          <w:tcPr>
            <w:tcW w:w="530" w:type="dxa"/>
            <w:vAlign w:val="center"/>
          </w:tcPr>
          <w:p w14:paraId="054AE481" w14:textId="77777777" w:rsidR="00AF6702" w:rsidRPr="00702882" w:rsidRDefault="00AF6702" w:rsidP="00C66AC4">
            <w:pPr>
              <w:spacing w:line="480" w:lineRule="auto"/>
              <w:jc w:val="center"/>
            </w:pPr>
            <w:r w:rsidRPr="00702882">
              <w:t>(6)</w:t>
            </w:r>
          </w:p>
        </w:tc>
      </w:tr>
    </w:tbl>
    <w:p w14:paraId="47A5C967" w14:textId="77777777" w:rsidR="00AF6702" w:rsidRPr="00702882" w:rsidRDefault="00AF6702" w:rsidP="00C66AC4">
      <w:pPr>
        <w:spacing w:line="480" w:lineRule="auto"/>
        <w:rPr>
          <w:color w:val="7030A0"/>
        </w:rPr>
      </w:pPr>
    </w:p>
    <w:p w14:paraId="3E2C54ED" w14:textId="160EEA58" w:rsidR="00AF6702" w:rsidRPr="00702882" w:rsidRDefault="00AF6702" w:rsidP="00C66AC4">
      <w:pPr>
        <w:spacing w:line="480" w:lineRule="auto"/>
        <w:rPr>
          <w:rFonts w:eastAsiaTheme="minorEastAsia"/>
        </w:rPr>
      </w:pPr>
      <w:r w:rsidRPr="00702882">
        <w:t xml:space="preserve">where </w:t>
      </w:r>
      <w:r w:rsidRPr="00702882">
        <w:rPr>
          <w:rFonts w:eastAsia="바탕"/>
        </w:rPr>
        <w:t xml:space="preserve">the summation denotes the sum of the individual treatment effects </w:t>
      </w:r>
      <w:r w:rsidRPr="00702882">
        <w:t xml:space="preserve">and </w:t>
      </w:r>
      <w:r w:rsidRPr="00702882">
        <w:rPr>
          <w:i/>
          <w:iCs/>
        </w:rPr>
        <w:t>N</w:t>
      </w:r>
      <w:r w:rsidRPr="00702882">
        <w:rPr>
          <w:i/>
          <w:iCs/>
          <w:vertAlign w:val="subscript"/>
        </w:rPr>
        <w:t xml:space="preserve">t </w:t>
      </w:r>
      <w:r w:rsidRPr="00702882">
        <w:t>indicates the number of treated units. This method allows us to compare BSF balances between the treatment group and control group in the post-treatment years</w:t>
      </w:r>
      <w:r w:rsidR="0059255F" w:rsidRPr="00702882">
        <w:rPr>
          <w:rFonts w:eastAsiaTheme="minorEastAsia"/>
        </w:rPr>
        <w:t xml:space="preserve"> </w:t>
      </w:r>
      <w:sdt>
        <w:sdtPr>
          <w:rPr>
            <w:color w:val="000000"/>
          </w:rPr>
          <w:tag w:val="MENDELEY_CITATION_v3_eyJwcm9wZXJ0aWVzIjp7Im5vdGVJbmRleCI6MH0sImNpdGF0aW9uSUQiOiJNRU5ERUxFWV9DSVRBVElPTl9iODZmMTJkOC00ZDllLTQwMDktOTUyYy1hNTQyMDU2Y2I5NzQ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557622167"/>
          <w:placeholder>
            <w:docPart w:val="E9451CD9099F4406A3EE204E151F6D03"/>
          </w:placeholder>
        </w:sdtPr>
        <w:sdtContent>
          <w:r w:rsidR="00F520AD" w:rsidRPr="00F520AD">
            <w:rPr>
              <w:color w:val="000000"/>
            </w:rPr>
            <w:t>(Xu, 2017a)</w:t>
          </w:r>
        </w:sdtContent>
      </w:sdt>
      <w:r w:rsidR="0059255F" w:rsidRPr="00702882">
        <w:t>.</w:t>
      </w:r>
    </w:p>
    <w:p w14:paraId="45C2E023" w14:textId="697E595E" w:rsidR="00AF6702" w:rsidRPr="00702882" w:rsidRDefault="00AF6702" w:rsidP="00C66AC4">
      <w:pPr>
        <w:spacing w:line="480" w:lineRule="auto"/>
        <w:ind w:firstLine="720"/>
      </w:pPr>
      <w:r w:rsidRPr="00702882">
        <w:t xml:space="preserve">There are several advantages of the GSCM as follows. First, the SCM can be used only for one treated unit </w:t>
      </w:r>
      <w:sdt>
        <w:sdtPr>
          <w:rPr>
            <w:color w:val="000000"/>
          </w:rPr>
          <w:tag w:val="MENDELEY_CITATION_v3_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"/>
          <w:id w:val="575010262"/>
          <w:placeholder>
            <w:docPart w:val="367E68CFF18B4280A01A536BF20E78A9"/>
          </w:placeholder>
        </w:sdtPr>
        <w:sdtContent>
          <w:r w:rsidR="00F520AD" w:rsidRPr="00F520AD">
            <w:rPr>
              <w:color w:val="000000"/>
            </w:rPr>
            <w:t>(Abadie et al., 2010, 2015)</w:t>
          </w:r>
        </w:sdtContent>
      </w:sdt>
      <w:r w:rsidRPr="00702882">
        <w:t xml:space="preserve">, while the GSCM can cover multiple treated units, observed covariates, and variable intervention periods, thereby constructing treated counterfactuals in a single run </w:t>
      </w:r>
      <w:sdt>
        <w:sdtPr>
          <w:rPr>
            <w:color w:val="000000"/>
          </w:rPr>
          <w:tag w:val="MENDELEY_CITATION_v3_eyJwcm9wZXJ0aWVzIjp7Im5vdGVJbmRleCI6MH0sImNpdGF0aW9uSUQiOiJNRU5ERUxFWV9DSVRBVElPTl8yYzNjY2ViNS00YTE0LTQ5MjctYWY3Ni1hOGI0M2M5M2I3ODQ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1912884059"/>
          <w:placeholder>
            <w:docPart w:val="B5EAF7A98AF94A4DBFBBA77D47133952"/>
          </w:placeholder>
        </w:sdtPr>
        <w:sdtContent>
          <w:r w:rsidR="00F520AD" w:rsidRPr="00F520AD">
            <w:rPr>
              <w:color w:val="000000"/>
            </w:rPr>
            <w:t>(Xu, 2017a)</w:t>
          </w:r>
        </w:sdtContent>
      </w:sdt>
      <w:r w:rsidRPr="00702882">
        <w:t xml:space="preserve">. Another strength of the GSCM is that the factor structure can model unobserved time-varying confounders that can take into account heterogeneous treatment effects, unlike difference-in-differences </w:t>
      </w:r>
      <w:sdt>
        <w:sdtPr>
          <w:tag w:val="MENDELEY_CITATION_v3_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"/>
          <w:id w:val="84116751"/>
          <w:placeholder>
            <w:docPart w:val="2E89E171BE4F4121AC9C8048F9FB612F"/>
          </w:placeholder>
        </w:sdtPr>
        <w:sdtContent>
          <w:r w:rsidR="00F520AD">
            <w:t>(Zeldow &amp; Hatfield, 2019)</w:t>
          </w:r>
        </w:sdtContent>
      </w:sdt>
      <w:r w:rsidRPr="00702882">
        <w:t xml:space="preserve">. Lastly, it provides valid inference, by using a </w:t>
      </w:r>
      <w:r w:rsidRPr="00702882">
        <w:rPr>
          <w:i/>
          <w:iCs/>
        </w:rPr>
        <w:t>parametric bootstrap procedure</w:t>
      </w:r>
      <w:r w:rsidRPr="00702882">
        <w:t xml:space="preserve"> based on simulated data </w:t>
      </w:r>
      <w:sdt>
        <w:sdtPr>
          <w:rPr>
            <w:color w:val="000000"/>
          </w:rPr>
          <w:tag w:val="MENDELEY_CITATION_v3_eyJwcm9wZXJ0aWVzIjp7Im5vdGVJbmRleCI6MH0sImNpdGF0aW9uSUQiOiJNRU5ERUxFWV9DSVRBVElPTl9hNzFjZTE0Zi0yZTVkLTQyYmQtYTAwNi00YjcyMGU5MzYwNGQ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1437973109"/>
          <w:placeholder>
            <w:docPart w:val="6502AA1859C6467CBC20B1A3485F62A0"/>
          </w:placeholder>
        </w:sdtPr>
        <w:sdtContent>
          <w:r w:rsidR="00F520AD" w:rsidRPr="00F520AD">
            <w:rPr>
              <w:color w:val="000000"/>
            </w:rPr>
            <w:t>(Xu, 2017a)</w:t>
          </w:r>
        </w:sdtContent>
      </w:sdt>
      <w:r w:rsidRPr="00702882">
        <w:t xml:space="preserve">. However, the limitation of the GSCM is to need more pretreatment data than fixed effects estimators </w:t>
      </w:r>
      <w:sdt>
        <w:sdtPr>
          <w:rPr>
            <w:color w:val="000000"/>
          </w:rPr>
          <w:tag w:val="MENDELEY_CITATION_v3_eyJwcm9wZXJ0aWVzIjp7Im5vdGVJbmRleCI6MH0sImNpdGF0aW9uSUQiOiJNRU5ERUxFWV9DSVRBVElPTl9iNTk4M2U2YS1lYmNjLTQ2NDctOTEzYS02NTZiMDg2N2M2MTk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827412379"/>
          <w:placeholder>
            <w:docPart w:val="315331EA77584A6CA54609C05AA75A65"/>
          </w:placeholder>
        </w:sdtPr>
        <w:sdtContent>
          <w:r w:rsidR="00F520AD" w:rsidRPr="00F520AD">
            <w:rPr>
              <w:color w:val="000000"/>
            </w:rPr>
            <w:t>(Xu, 2017a)</w:t>
          </w:r>
        </w:sdtContent>
      </w:sdt>
      <w:r w:rsidRPr="00702882">
        <w:t xml:space="preserve">.  </w:t>
      </w:r>
    </w:p>
    <w:p w14:paraId="1D27A06C" w14:textId="113E7A96" w:rsidR="00AF6702" w:rsidRPr="00702882" w:rsidRDefault="00AF6702" w:rsidP="0049161E">
      <w:pPr>
        <w:spacing w:line="480" w:lineRule="auto"/>
        <w:ind w:firstLine="720"/>
        <w:rPr>
          <w:rFonts w:eastAsiaTheme="minorEastAsia"/>
          <w:color w:val="7030A0"/>
        </w:rPr>
      </w:pPr>
      <w:r w:rsidRPr="00702882">
        <w:t xml:space="preserve">The “gsynth” package for R is used for implementing generalized synthetic control methods to estimate the causal effects of BSF policies on BSF balance levels </w:t>
      </w:r>
      <w:sdt>
        <w:sdtPr>
          <w:rPr>
            <w:color w:val="000000"/>
          </w:rPr>
          <w:tag w:val="MENDELEY_CITATION_v3_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nZW5lcmFsaXplcyB0aGUgc3ludGhldGljIGNvbnRyb2wgbWV0aG9kIHRvIHRoZSBjYXNlIG9mIG11bHRpcGxlIHRyZWF0ZWQgdW5pdHMgYW5kIHZhcmlhYmxlIHRyZWF0bWVudCBwZXJpb2RzLCBhbmQgaW1wcm92ZXMgZWZmaWNpZW5jeSBhbmQgaW50ZXJwcmV0YWJpbC1pdHkuIERhdGEgbXVzdCBiZSBpbiBmb3JtIG9mIGEgYmFsYW5jZWQgcGFuZWwgd2l0aCBhIGRpY2hvdG9tb3VzIHRyZWF0bWVudC4iLCJjb250YWluZXItdGl0bGUtc2hvcnQiOiIifX1dfQ=="/>
          <w:id w:val="554743745"/>
          <w:placeholder>
            <w:docPart w:val="7CB25E42336A47D2820D0F906288CD34"/>
          </w:placeholder>
        </w:sdtPr>
        <w:sdtContent>
          <w:r w:rsidR="00F520AD" w:rsidRPr="00F520AD">
            <w:rPr>
              <w:color w:val="000000"/>
            </w:rPr>
            <w:t>(Xu, 2017b)</w:t>
          </w:r>
        </w:sdtContent>
      </w:sdt>
      <w:r w:rsidRPr="00702882">
        <w:t xml:space="preserve">. The states in the treatment groups </w:t>
      </w:r>
      <w:r w:rsidR="0049161E" w:rsidRPr="00702882">
        <w:rPr>
          <w:rFonts w:eastAsiaTheme="minorEastAsia"/>
        </w:rPr>
        <w:t>are</w:t>
      </w:r>
      <w:r w:rsidRPr="00702882">
        <w:t xml:space="preserve"> compared to control states that are a weighted combination of groups created by using the GSCM </w:t>
      </w:r>
      <w:sdt>
        <w:sdtPr>
          <w:rPr>
            <w:color w:val="000000"/>
          </w:rPr>
          <w:tag w:val="MENDELEY_CITATION_v3_eyJwcm9wZXJ0aWVzIjp7Im5vdGVJbmRleCI6MH0sImNpdGF0aW9uSUQiOiJNRU5ERUxFWV9DSVRBVElPTl9lYTA0NzVmMi1jMmMyLTRjZjctYTMxZC1hNjMyODUwYzcxNzc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
          <w:id w:val="888840280"/>
          <w:placeholder>
            <w:docPart w:val="4F4D85FB54FD4169ABE9A979D3C3E189"/>
          </w:placeholder>
        </w:sdtPr>
        <w:sdtContent>
          <w:r w:rsidR="00F520AD" w:rsidRPr="00F520AD">
            <w:rPr>
              <w:color w:val="000000"/>
            </w:rPr>
            <w:t>(Xu, 2017a)</w:t>
          </w:r>
        </w:sdtContent>
      </w:sdt>
      <w:r w:rsidRPr="00702882">
        <w:t xml:space="preserve">. </w:t>
      </w:r>
      <w:r w:rsidRPr="00702882">
        <w:rPr>
          <w:rFonts w:eastAsiaTheme="minorEastAsia"/>
        </w:rPr>
        <w:t xml:space="preserve">I focus on analyzing the impact of "deposit (withdrawal) </w:t>
      </w:r>
      <w:r w:rsidR="00D21BF0">
        <w:rPr>
          <w:rFonts w:eastAsiaTheme="minorEastAsia" w:hint="eastAsia"/>
        </w:rPr>
        <w:t>tied</w:t>
      </w:r>
      <w:r w:rsidRPr="00702882">
        <w:rPr>
          <w:rFonts w:eastAsiaTheme="minorEastAsia"/>
        </w:rPr>
        <w:t xml:space="preserve"> to revenue volatility" due to their significant impact on BSF (GFB) as stringent regulatory measures.</w:t>
      </w:r>
      <w:r w:rsidR="00E11740" w:rsidRPr="00702882">
        <w:rPr>
          <w:rFonts w:eastAsiaTheme="minorEastAsia"/>
        </w:rPr>
        <w:t xml:space="preserve"> </w:t>
      </w:r>
      <w:r w:rsidRPr="00702882">
        <w:rPr>
          <w:rFonts w:eastAsiaTheme="minorEastAsia"/>
        </w:rPr>
        <w:t xml:space="preserve">The GSCM offers another rationale for use, as making comprehensive generalizations about deposits (or withdrawal) tied to revenue volatility presents challenges due to the diverse approaches that states employ in linking deposits to revenue or economic conditions. These variations cannot be sufficiently analyzed using fixed effects models alone but warrant detailed case studies. Furthermore, the findings </w:t>
      </w:r>
      <w:r w:rsidRPr="00702882">
        <w:rPr>
          <w:rFonts w:eastAsiaTheme="minorEastAsia"/>
        </w:rPr>
        <w:lastRenderedPageBreak/>
        <w:t>from the GSCM can serve to validate the consistency of results with those obtained from fixed effects models.</w:t>
      </w:r>
    </w:p>
    <w:p w14:paraId="5B8DDCB5" w14:textId="77777777" w:rsidR="00262610" w:rsidRPr="00702882" w:rsidRDefault="00262610" w:rsidP="00C66AC4">
      <w:pPr>
        <w:spacing w:line="480" w:lineRule="auto"/>
        <w:ind w:firstLine="720"/>
        <w:rPr>
          <w:rFonts w:eastAsiaTheme="minorEastAsia"/>
          <w:color w:val="7030A0"/>
        </w:rPr>
      </w:pPr>
    </w:p>
    <w:p w14:paraId="144222C8" w14:textId="40DAEA37" w:rsidR="00AF6702" w:rsidRPr="00702882" w:rsidRDefault="00AF6702" w:rsidP="00C66AC4">
      <w:pPr>
        <w:spacing w:line="480" w:lineRule="auto"/>
        <w:jc w:val="center"/>
        <w:rPr>
          <w:rFonts w:eastAsiaTheme="minorEastAsia"/>
          <w:b/>
          <w:bCs/>
        </w:rPr>
      </w:pPr>
      <w:r w:rsidRPr="00702882">
        <w:rPr>
          <w:b/>
          <w:bCs/>
        </w:rPr>
        <w:t>Table 1</w:t>
      </w:r>
      <w:r w:rsidR="00FF5DA5" w:rsidRPr="00702882">
        <w:rPr>
          <w:rFonts w:eastAsiaTheme="minorEastAsia"/>
          <w:b/>
          <w:bCs/>
        </w:rPr>
        <w:t>9</w:t>
      </w:r>
      <w:r w:rsidRPr="00702882">
        <w:rPr>
          <w:rFonts w:eastAsiaTheme="minorEastAsia"/>
          <w:b/>
          <w:bCs/>
        </w:rPr>
        <w:t xml:space="preserve">. </w:t>
      </w:r>
      <w:r w:rsidRPr="00702882">
        <w:rPr>
          <w:b/>
          <w:bCs/>
        </w:rPr>
        <w:t xml:space="preserve">Effect of </w:t>
      </w:r>
      <w:r w:rsidRPr="00702882">
        <w:rPr>
          <w:rFonts w:eastAsiaTheme="minorEastAsia"/>
          <w:b/>
          <w:bCs/>
        </w:rPr>
        <w:t>D</w:t>
      </w:r>
      <w:r w:rsidRPr="00702882">
        <w:rPr>
          <w:b/>
          <w:bCs/>
        </w:rPr>
        <w:t xml:space="preserve">eposit </w:t>
      </w:r>
      <w:r w:rsidRPr="00702882">
        <w:rPr>
          <w:rFonts w:eastAsiaTheme="minorEastAsia"/>
          <w:b/>
          <w:bCs/>
        </w:rPr>
        <w:t>T</w:t>
      </w:r>
      <w:r w:rsidRPr="00702882">
        <w:rPr>
          <w:b/>
          <w:bCs/>
        </w:rPr>
        <w:t xml:space="preserve">ied to </w:t>
      </w:r>
      <w:r w:rsidRPr="00702882">
        <w:rPr>
          <w:rFonts w:eastAsiaTheme="minorEastAsia"/>
          <w:b/>
          <w:bCs/>
        </w:rPr>
        <w:t>R</w:t>
      </w:r>
      <w:r w:rsidRPr="00702882">
        <w:rPr>
          <w:b/>
          <w:bCs/>
        </w:rPr>
        <w:t xml:space="preserve">evenue </w:t>
      </w:r>
      <w:r w:rsidRPr="00702882">
        <w:rPr>
          <w:rFonts w:eastAsiaTheme="minorEastAsia"/>
          <w:b/>
          <w:bCs/>
        </w:rPr>
        <w:t>V</w:t>
      </w:r>
      <w:r w:rsidRPr="00702882">
        <w:rPr>
          <w:b/>
          <w:bCs/>
        </w:rPr>
        <w:t>olatility (formula) on BSF</w:t>
      </w:r>
      <w:r w:rsidRPr="00702882">
        <w:rPr>
          <w:rFonts w:eastAsiaTheme="minorEastAsia"/>
          <w:b/>
          <w:bCs/>
        </w:rPr>
        <w:t xml:space="preserve"> Levels</w:t>
      </w:r>
    </w:p>
    <w:tbl>
      <w:tblPr>
        <w:tblW w:w="8752" w:type="dxa"/>
        <w:jc w:val="center"/>
        <w:tblBorders>
          <w:top w:val="single" w:sz="12" w:space="0" w:color="auto"/>
        </w:tblBorders>
        <w:tblLayout w:type="fixed"/>
        <w:tblCellMar>
          <w:left w:w="99" w:type="dxa"/>
          <w:right w:w="99" w:type="dxa"/>
        </w:tblCellMar>
        <w:tblLook w:val="04A0" w:firstRow="1" w:lastRow="0" w:firstColumn="1" w:lastColumn="0" w:noHBand="0" w:noVBand="1"/>
      </w:tblPr>
      <w:tblGrid>
        <w:gridCol w:w="2188"/>
        <w:gridCol w:w="2188"/>
        <w:gridCol w:w="2188"/>
        <w:gridCol w:w="2188"/>
      </w:tblGrid>
      <w:tr w:rsidR="00594E45" w:rsidRPr="00702882" w14:paraId="3121FB74" w14:textId="77777777" w:rsidTr="00AE6820">
        <w:trPr>
          <w:trHeight w:val="283"/>
          <w:jc w:val="center"/>
        </w:trPr>
        <w:tc>
          <w:tcPr>
            <w:tcW w:w="2188" w:type="dxa"/>
            <w:tcBorders>
              <w:top w:val="single" w:sz="8" w:space="0" w:color="auto"/>
              <w:bottom w:val="single" w:sz="8" w:space="0" w:color="auto"/>
            </w:tcBorders>
            <w:shd w:val="clear" w:color="auto" w:fill="auto"/>
            <w:noWrap/>
            <w:vAlign w:val="center"/>
            <w:hideMark/>
          </w:tcPr>
          <w:p w14:paraId="483D1A70" w14:textId="77777777" w:rsidR="00AF6702" w:rsidRPr="00702882" w:rsidRDefault="00AF6702" w:rsidP="00AD1954">
            <w:pPr>
              <w:jc w:val="both"/>
              <w:rPr>
                <w:rFonts w:eastAsia="굴림"/>
                <w:b/>
                <w:bCs/>
                <w:sz w:val="20"/>
                <w:szCs w:val="20"/>
              </w:rPr>
            </w:pPr>
            <w:bookmarkStart w:id="63" w:name="_Hlk161056642"/>
          </w:p>
        </w:tc>
        <w:tc>
          <w:tcPr>
            <w:tcW w:w="2188" w:type="dxa"/>
            <w:tcBorders>
              <w:top w:val="single" w:sz="8" w:space="0" w:color="auto"/>
              <w:bottom w:val="single" w:sz="8" w:space="0" w:color="auto"/>
            </w:tcBorders>
            <w:vAlign w:val="center"/>
          </w:tcPr>
          <w:p w14:paraId="6B2C14F9" w14:textId="77777777" w:rsidR="00AF6702" w:rsidRPr="00702882" w:rsidRDefault="00AF6702" w:rsidP="00AD1954">
            <w:pPr>
              <w:jc w:val="both"/>
              <w:rPr>
                <w:rFonts w:eastAsia="맑은 고딕"/>
                <w:b/>
                <w:bCs/>
                <w:sz w:val="20"/>
                <w:szCs w:val="20"/>
              </w:rPr>
            </w:pPr>
            <w:r w:rsidRPr="00702882">
              <w:rPr>
                <w:rFonts w:eastAsia="맑은 고딕"/>
                <w:b/>
                <w:bCs/>
                <w:sz w:val="20"/>
                <w:szCs w:val="20"/>
              </w:rPr>
              <w:t>Model 1</w:t>
            </w:r>
          </w:p>
        </w:tc>
        <w:tc>
          <w:tcPr>
            <w:tcW w:w="2188" w:type="dxa"/>
            <w:tcBorders>
              <w:top w:val="single" w:sz="8" w:space="0" w:color="auto"/>
              <w:bottom w:val="single" w:sz="8" w:space="0" w:color="auto"/>
            </w:tcBorders>
            <w:shd w:val="clear" w:color="auto" w:fill="auto"/>
            <w:noWrap/>
            <w:vAlign w:val="center"/>
            <w:hideMark/>
          </w:tcPr>
          <w:p w14:paraId="152D8FF1" w14:textId="77777777" w:rsidR="00AF6702" w:rsidRPr="00702882" w:rsidRDefault="00AF6702" w:rsidP="00AD1954">
            <w:pPr>
              <w:jc w:val="both"/>
              <w:rPr>
                <w:rFonts w:eastAsia="맑은 고딕"/>
                <w:b/>
                <w:bCs/>
                <w:sz w:val="20"/>
                <w:szCs w:val="20"/>
              </w:rPr>
            </w:pPr>
            <w:r w:rsidRPr="00702882">
              <w:rPr>
                <w:rFonts w:eastAsia="맑은 고딕"/>
                <w:b/>
                <w:bCs/>
                <w:sz w:val="20"/>
                <w:szCs w:val="20"/>
              </w:rPr>
              <w:t>Model 2</w:t>
            </w:r>
          </w:p>
        </w:tc>
        <w:tc>
          <w:tcPr>
            <w:tcW w:w="2188" w:type="dxa"/>
            <w:tcBorders>
              <w:top w:val="single" w:sz="8" w:space="0" w:color="auto"/>
              <w:bottom w:val="single" w:sz="8" w:space="0" w:color="auto"/>
            </w:tcBorders>
            <w:vAlign w:val="center"/>
          </w:tcPr>
          <w:p w14:paraId="0FF7D138" w14:textId="77777777" w:rsidR="00AF6702" w:rsidRPr="00702882" w:rsidRDefault="00AF6702" w:rsidP="00AD1954">
            <w:pPr>
              <w:jc w:val="both"/>
              <w:rPr>
                <w:rFonts w:eastAsia="맑은 고딕"/>
                <w:b/>
                <w:bCs/>
                <w:sz w:val="20"/>
                <w:szCs w:val="20"/>
              </w:rPr>
            </w:pPr>
            <w:r w:rsidRPr="00702882">
              <w:rPr>
                <w:rFonts w:eastAsia="맑은 고딕"/>
                <w:b/>
                <w:bCs/>
                <w:sz w:val="20"/>
                <w:szCs w:val="20"/>
              </w:rPr>
              <w:t>Model 3</w:t>
            </w:r>
          </w:p>
        </w:tc>
      </w:tr>
      <w:tr w:rsidR="00594E45" w:rsidRPr="00702882" w14:paraId="1431F81E" w14:textId="77777777" w:rsidTr="00AE6820">
        <w:trPr>
          <w:trHeight w:val="283"/>
          <w:jc w:val="center"/>
        </w:trPr>
        <w:tc>
          <w:tcPr>
            <w:tcW w:w="2188" w:type="dxa"/>
            <w:tcBorders>
              <w:top w:val="single" w:sz="8" w:space="0" w:color="auto"/>
            </w:tcBorders>
            <w:shd w:val="clear" w:color="auto" w:fill="auto"/>
            <w:noWrap/>
            <w:vAlign w:val="center"/>
          </w:tcPr>
          <w:p w14:paraId="7FB86E20" w14:textId="77777777" w:rsidR="00AF6702" w:rsidRPr="00702882" w:rsidRDefault="00AF6702" w:rsidP="00AD1954">
            <w:pPr>
              <w:jc w:val="both"/>
              <w:rPr>
                <w:rFonts w:eastAsia="맑은 고딕"/>
                <w:sz w:val="20"/>
                <w:szCs w:val="20"/>
              </w:rPr>
            </w:pPr>
            <w:r w:rsidRPr="00702882">
              <w:rPr>
                <w:rFonts w:eastAsia="맑은 고딕"/>
                <w:sz w:val="20"/>
                <w:szCs w:val="20"/>
              </w:rPr>
              <w:t>DepoVol_formula</w:t>
            </w:r>
          </w:p>
        </w:tc>
        <w:tc>
          <w:tcPr>
            <w:tcW w:w="2188" w:type="dxa"/>
            <w:tcBorders>
              <w:top w:val="single" w:sz="8" w:space="0" w:color="auto"/>
            </w:tcBorders>
            <w:vAlign w:val="center"/>
          </w:tcPr>
          <w:p w14:paraId="6165AB6C" w14:textId="77777777" w:rsidR="00AF6702" w:rsidRPr="00702882" w:rsidRDefault="00AF6702" w:rsidP="00AD1954">
            <w:pPr>
              <w:jc w:val="both"/>
              <w:rPr>
                <w:rFonts w:eastAsia="맑은 고딕"/>
                <w:sz w:val="20"/>
                <w:szCs w:val="20"/>
              </w:rPr>
            </w:pPr>
            <w:r w:rsidRPr="00702882">
              <w:rPr>
                <w:rFonts w:eastAsia="맑은 고딕"/>
                <w:sz w:val="20"/>
                <w:szCs w:val="20"/>
              </w:rPr>
              <w:t>15.28 (8.15)**</w:t>
            </w:r>
          </w:p>
        </w:tc>
        <w:tc>
          <w:tcPr>
            <w:tcW w:w="2188" w:type="dxa"/>
            <w:tcBorders>
              <w:top w:val="single" w:sz="8" w:space="0" w:color="auto"/>
            </w:tcBorders>
            <w:shd w:val="clear" w:color="auto" w:fill="auto"/>
            <w:noWrap/>
            <w:vAlign w:val="center"/>
          </w:tcPr>
          <w:p w14:paraId="146E3A5C" w14:textId="77777777" w:rsidR="00AF6702" w:rsidRPr="00702882" w:rsidRDefault="00AF6702" w:rsidP="00AD1954">
            <w:pPr>
              <w:jc w:val="both"/>
              <w:rPr>
                <w:rFonts w:eastAsia="맑은 고딕"/>
                <w:sz w:val="20"/>
                <w:szCs w:val="20"/>
              </w:rPr>
            </w:pPr>
            <w:r w:rsidRPr="00702882">
              <w:rPr>
                <w:rFonts w:eastAsia="맑은 고딕"/>
                <w:sz w:val="20"/>
                <w:szCs w:val="20"/>
              </w:rPr>
              <w:t>12.7 (5.93)**</w:t>
            </w:r>
          </w:p>
        </w:tc>
        <w:tc>
          <w:tcPr>
            <w:tcW w:w="2188" w:type="dxa"/>
            <w:tcBorders>
              <w:top w:val="single" w:sz="8" w:space="0" w:color="auto"/>
            </w:tcBorders>
            <w:vAlign w:val="center"/>
          </w:tcPr>
          <w:p w14:paraId="63C19304" w14:textId="77777777" w:rsidR="00AF6702" w:rsidRPr="00702882" w:rsidRDefault="00AF6702" w:rsidP="00AD1954">
            <w:pPr>
              <w:jc w:val="both"/>
              <w:rPr>
                <w:rFonts w:eastAsia="맑은 고딕"/>
                <w:sz w:val="20"/>
                <w:szCs w:val="20"/>
              </w:rPr>
            </w:pPr>
            <w:r w:rsidRPr="00702882">
              <w:rPr>
                <w:rFonts w:eastAsia="맑은 고딕"/>
                <w:sz w:val="20"/>
                <w:szCs w:val="20"/>
              </w:rPr>
              <w:t>10.89 (6.41)*</w:t>
            </w:r>
          </w:p>
        </w:tc>
      </w:tr>
      <w:tr w:rsidR="00594E45" w:rsidRPr="00702882" w14:paraId="24C82534" w14:textId="77777777" w:rsidTr="00AE6820">
        <w:trPr>
          <w:trHeight w:val="283"/>
          <w:jc w:val="center"/>
        </w:trPr>
        <w:tc>
          <w:tcPr>
            <w:tcW w:w="2188" w:type="dxa"/>
            <w:shd w:val="clear" w:color="auto" w:fill="auto"/>
            <w:noWrap/>
            <w:vAlign w:val="center"/>
            <w:hideMark/>
          </w:tcPr>
          <w:p w14:paraId="5C084D72" w14:textId="77777777" w:rsidR="00AF6702" w:rsidRPr="00702882" w:rsidRDefault="00AF6702" w:rsidP="00AD1954">
            <w:pPr>
              <w:jc w:val="both"/>
              <w:rPr>
                <w:rFonts w:eastAsia="맑은 고딕"/>
                <w:sz w:val="20"/>
                <w:szCs w:val="20"/>
              </w:rPr>
            </w:pPr>
            <w:r w:rsidRPr="00702882">
              <w:rPr>
                <w:rFonts w:eastAsia="맑은 고딕"/>
                <w:sz w:val="20"/>
                <w:szCs w:val="20"/>
              </w:rPr>
              <w:t>GFB_percent_lag</w:t>
            </w:r>
          </w:p>
        </w:tc>
        <w:tc>
          <w:tcPr>
            <w:tcW w:w="2188" w:type="dxa"/>
            <w:vAlign w:val="center"/>
          </w:tcPr>
          <w:p w14:paraId="458FF13F" w14:textId="77777777" w:rsidR="00AF6702" w:rsidRPr="00702882" w:rsidRDefault="00AF6702" w:rsidP="00AD1954">
            <w:pPr>
              <w:jc w:val="both"/>
              <w:rPr>
                <w:rFonts w:eastAsia="맑은 고딕"/>
                <w:sz w:val="20"/>
                <w:szCs w:val="20"/>
              </w:rPr>
            </w:pPr>
            <w:r w:rsidRPr="00702882">
              <w:rPr>
                <w:rFonts w:eastAsia="맑은 고딕"/>
                <w:sz w:val="20"/>
                <w:szCs w:val="20"/>
              </w:rPr>
              <w:t>0.03 (0.05)</w:t>
            </w:r>
          </w:p>
        </w:tc>
        <w:tc>
          <w:tcPr>
            <w:tcW w:w="2188" w:type="dxa"/>
            <w:shd w:val="clear" w:color="auto" w:fill="auto"/>
            <w:noWrap/>
            <w:vAlign w:val="center"/>
            <w:hideMark/>
          </w:tcPr>
          <w:p w14:paraId="3E26C7C4" w14:textId="77777777" w:rsidR="00AF6702" w:rsidRPr="00702882" w:rsidRDefault="00AF6702" w:rsidP="00AD1954">
            <w:pPr>
              <w:jc w:val="both"/>
              <w:rPr>
                <w:rFonts w:eastAsia="맑은 고딕"/>
                <w:sz w:val="20"/>
                <w:szCs w:val="20"/>
              </w:rPr>
            </w:pPr>
            <w:r w:rsidRPr="00702882">
              <w:rPr>
                <w:rFonts w:eastAsia="맑은 고딕"/>
                <w:sz w:val="20"/>
                <w:szCs w:val="20"/>
              </w:rPr>
              <w:t>0.02 (0.03)</w:t>
            </w:r>
          </w:p>
        </w:tc>
        <w:tc>
          <w:tcPr>
            <w:tcW w:w="2188" w:type="dxa"/>
            <w:vAlign w:val="center"/>
          </w:tcPr>
          <w:p w14:paraId="70CA87C9" w14:textId="77777777" w:rsidR="00AF6702" w:rsidRPr="00702882" w:rsidRDefault="00AF6702" w:rsidP="00AD1954">
            <w:pPr>
              <w:jc w:val="both"/>
              <w:rPr>
                <w:rFonts w:eastAsia="맑은 고딕"/>
                <w:sz w:val="20"/>
                <w:szCs w:val="20"/>
              </w:rPr>
            </w:pPr>
            <w:r w:rsidRPr="00702882">
              <w:rPr>
                <w:rFonts w:eastAsia="맑은 고딕"/>
                <w:sz w:val="20"/>
                <w:szCs w:val="20"/>
              </w:rPr>
              <w:t>0.02 (0.03)</w:t>
            </w:r>
          </w:p>
        </w:tc>
      </w:tr>
      <w:tr w:rsidR="00594E45" w:rsidRPr="00702882" w14:paraId="22A7650B" w14:textId="77777777" w:rsidTr="00AE6820">
        <w:trPr>
          <w:trHeight w:val="283"/>
          <w:jc w:val="center"/>
        </w:trPr>
        <w:tc>
          <w:tcPr>
            <w:tcW w:w="2188" w:type="dxa"/>
            <w:shd w:val="clear" w:color="auto" w:fill="auto"/>
            <w:noWrap/>
            <w:vAlign w:val="center"/>
            <w:hideMark/>
          </w:tcPr>
          <w:p w14:paraId="2D48070C" w14:textId="77777777" w:rsidR="00AF6702" w:rsidRPr="00702882" w:rsidRDefault="00AF6702" w:rsidP="00AD1954">
            <w:pPr>
              <w:jc w:val="both"/>
              <w:rPr>
                <w:rFonts w:eastAsia="맑은 고딕"/>
                <w:sz w:val="20"/>
                <w:szCs w:val="20"/>
              </w:rPr>
            </w:pPr>
            <w:r w:rsidRPr="00702882">
              <w:rPr>
                <w:rFonts w:eastAsia="맑은 고딕"/>
                <w:sz w:val="20"/>
                <w:szCs w:val="20"/>
              </w:rPr>
              <w:t>Number</w:t>
            </w:r>
          </w:p>
        </w:tc>
        <w:tc>
          <w:tcPr>
            <w:tcW w:w="2188" w:type="dxa"/>
            <w:vAlign w:val="center"/>
          </w:tcPr>
          <w:p w14:paraId="3F4311F4" w14:textId="77777777" w:rsidR="00AF6702" w:rsidRPr="00702882" w:rsidRDefault="00AF6702" w:rsidP="00AD1954">
            <w:pPr>
              <w:jc w:val="both"/>
              <w:rPr>
                <w:rFonts w:eastAsia="맑은 고딕"/>
                <w:sz w:val="20"/>
                <w:szCs w:val="20"/>
              </w:rPr>
            </w:pPr>
            <w:r w:rsidRPr="00702882">
              <w:rPr>
                <w:rFonts w:eastAsia="맑은 고딕"/>
                <w:sz w:val="20"/>
                <w:szCs w:val="20"/>
              </w:rPr>
              <w:t>1.74 (2.13)</w:t>
            </w:r>
          </w:p>
        </w:tc>
        <w:tc>
          <w:tcPr>
            <w:tcW w:w="2188" w:type="dxa"/>
            <w:shd w:val="clear" w:color="auto" w:fill="auto"/>
            <w:noWrap/>
            <w:vAlign w:val="center"/>
            <w:hideMark/>
          </w:tcPr>
          <w:p w14:paraId="0B149922" w14:textId="77777777" w:rsidR="00AF6702" w:rsidRPr="00702882" w:rsidRDefault="00AF6702" w:rsidP="00AD1954">
            <w:pPr>
              <w:jc w:val="both"/>
              <w:rPr>
                <w:rFonts w:eastAsia="맑은 고딕"/>
                <w:sz w:val="20"/>
                <w:szCs w:val="20"/>
              </w:rPr>
            </w:pPr>
            <w:r w:rsidRPr="00702882">
              <w:rPr>
                <w:rFonts w:eastAsia="맑은 고딕"/>
                <w:sz w:val="20"/>
                <w:szCs w:val="20"/>
              </w:rPr>
              <w:t>0.82 (1.34)</w:t>
            </w:r>
          </w:p>
        </w:tc>
        <w:tc>
          <w:tcPr>
            <w:tcW w:w="2188" w:type="dxa"/>
            <w:vAlign w:val="center"/>
          </w:tcPr>
          <w:p w14:paraId="30435883" w14:textId="77777777" w:rsidR="00AF6702" w:rsidRPr="00702882" w:rsidRDefault="00AF6702" w:rsidP="00AD1954">
            <w:pPr>
              <w:jc w:val="both"/>
              <w:rPr>
                <w:rFonts w:eastAsia="맑은 고딕"/>
                <w:sz w:val="20"/>
                <w:szCs w:val="20"/>
              </w:rPr>
            </w:pPr>
            <w:r w:rsidRPr="00702882">
              <w:rPr>
                <w:rFonts w:eastAsia="맑은 고딕"/>
                <w:sz w:val="20"/>
                <w:szCs w:val="20"/>
              </w:rPr>
              <w:t>1.02 (1.39)</w:t>
            </w:r>
          </w:p>
        </w:tc>
      </w:tr>
      <w:tr w:rsidR="00594E45" w:rsidRPr="00702882" w14:paraId="01386BCF" w14:textId="77777777" w:rsidTr="00AE6820">
        <w:trPr>
          <w:trHeight w:val="283"/>
          <w:jc w:val="center"/>
        </w:trPr>
        <w:tc>
          <w:tcPr>
            <w:tcW w:w="2188" w:type="dxa"/>
            <w:shd w:val="clear" w:color="auto" w:fill="auto"/>
            <w:noWrap/>
            <w:vAlign w:val="center"/>
            <w:hideMark/>
          </w:tcPr>
          <w:p w14:paraId="0ADC2D78" w14:textId="77777777" w:rsidR="00AF6702" w:rsidRPr="00702882" w:rsidRDefault="00AF6702" w:rsidP="00AD1954">
            <w:pPr>
              <w:jc w:val="both"/>
              <w:rPr>
                <w:rFonts w:eastAsia="맑은 고딕"/>
                <w:sz w:val="20"/>
                <w:szCs w:val="20"/>
              </w:rPr>
            </w:pPr>
            <w:r w:rsidRPr="00702882">
              <w:rPr>
                <w:rFonts w:eastAsia="맑은 고딕"/>
                <w:sz w:val="20"/>
                <w:szCs w:val="20"/>
              </w:rPr>
              <w:t>Source_percent</w:t>
            </w:r>
          </w:p>
        </w:tc>
        <w:tc>
          <w:tcPr>
            <w:tcW w:w="2188" w:type="dxa"/>
            <w:vAlign w:val="center"/>
          </w:tcPr>
          <w:p w14:paraId="3BC8F93C" w14:textId="77777777" w:rsidR="00AF6702" w:rsidRPr="00702882" w:rsidRDefault="00AF6702" w:rsidP="00AD1954">
            <w:pPr>
              <w:jc w:val="both"/>
              <w:rPr>
                <w:rFonts w:eastAsia="맑은 고딕"/>
                <w:sz w:val="20"/>
                <w:szCs w:val="20"/>
              </w:rPr>
            </w:pPr>
            <w:r w:rsidRPr="00702882">
              <w:rPr>
                <w:rFonts w:eastAsia="맑은 고딕"/>
                <w:sz w:val="20"/>
                <w:szCs w:val="20"/>
              </w:rPr>
              <w:t>0.48 (0.29)*</w:t>
            </w:r>
          </w:p>
        </w:tc>
        <w:tc>
          <w:tcPr>
            <w:tcW w:w="2188" w:type="dxa"/>
            <w:shd w:val="clear" w:color="auto" w:fill="auto"/>
            <w:noWrap/>
            <w:vAlign w:val="center"/>
            <w:hideMark/>
          </w:tcPr>
          <w:p w14:paraId="280E45D2" w14:textId="77777777" w:rsidR="00AF6702" w:rsidRPr="00702882" w:rsidRDefault="00AF6702" w:rsidP="00AD1954">
            <w:pPr>
              <w:jc w:val="both"/>
              <w:rPr>
                <w:rFonts w:eastAsia="맑은 고딕"/>
                <w:sz w:val="20"/>
                <w:szCs w:val="20"/>
              </w:rPr>
            </w:pPr>
            <w:r w:rsidRPr="00702882">
              <w:rPr>
                <w:rFonts w:eastAsia="맑은 고딕"/>
                <w:sz w:val="20"/>
                <w:szCs w:val="20"/>
              </w:rPr>
              <w:t>0.52 (0.24)**</w:t>
            </w:r>
          </w:p>
        </w:tc>
        <w:tc>
          <w:tcPr>
            <w:tcW w:w="2188" w:type="dxa"/>
            <w:vAlign w:val="center"/>
          </w:tcPr>
          <w:p w14:paraId="469946A8" w14:textId="77777777" w:rsidR="00AF6702" w:rsidRPr="00702882" w:rsidRDefault="00AF6702" w:rsidP="00AD1954">
            <w:pPr>
              <w:jc w:val="both"/>
              <w:rPr>
                <w:rFonts w:eastAsia="맑은 고딕"/>
                <w:sz w:val="20"/>
                <w:szCs w:val="20"/>
              </w:rPr>
            </w:pPr>
            <w:r w:rsidRPr="00702882">
              <w:rPr>
                <w:rFonts w:eastAsia="맑은 고딕"/>
                <w:sz w:val="20"/>
                <w:szCs w:val="20"/>
              </w:rPr>
              <w:t>0.50 (0.32)*</w:t>
            </w:r>
          </w:p>
        </w:tc>
      </w:tr>
      <w:tr w:rsidR="00594E45" w:rsidRPr="00702882" w14:paraId="210BFEF0" w14:textId="77777777" w:rsidTr="00AE6820">
        <w:trPr>
          <w:trHeight w:val="283"/>
          <w:jc w:val="center"/>
        </w:trPr>
        <w:tc>
          <w:tcPr>
            <w:tcW w:w="2188" w:type="dxa"/>
            <w:shd w:val="clear" w:color="auto" w:fill="auto"/>
            <w:noWrap/>
            <w:vAlign w:val="center"/>
            <w:hideMark/>
          </w:tcPr>
          <w:p w14:paraId="6C8C9054" w14:textId="77777777" w:rsidR="00AF6702" w:rsidRPr="00702882" w:rsidRDefault="00AF6702" w:rsidP="00AD1954">
            <w:pPr>
              <w:jc w:val="both"/>
              <w:rPr>
                <w:rFonts w:eastAsia="맑은 고딕"/>
                <w:sz w:val="20"/>
                <w:szCs w:val="20"/>
              </w:rPr>
            </w:pPr>
            <w:r w:rsidRPr="00702882">
              <w:rPr>
                <w:rFonts w:eastAsia="맑은 고딕"/>
                <w:sz w:val="20"/>
                <w:szCs w:val="20"/>
              </w:rPr>
              <w:t>Cap_percent</w:t>
            </w:r>
          </w:p>
        </w:tc>
        <w:tc>
          <w:tcPr>
            <w:tcW w:w="2188" w:type="dxa"/>
            <w:vAlign w:val="center"/>
          </w:tcPr>
          <w:p w14:paraId="6789E631" w14:textId="77777777" w:rsidR="00AF6702" w:rsidRPr="00702882" w:rsidRDefault="00AF6702" w:rsidP="00AD1954">
            <w:pPr>
              <w:jc w:val="both"/>
              <w:rPr>
                <w:rFonts w:eastAsia="맑은 고딕"/>
                <w:sz w:val="20"/>
                <w:szCs w:val="20"/>
              </w:rPr>
            </w:pPr>
            <w:r w:rsidRPr="00702882">
              <w:rPr>
                <w:rFonts w:eastAsia="맑은 고딕"/>
                <w:sz w:val="20"/>
                <w:szCs w:val="20"/>
              </w:rPr>
              <w:t>0.40 (0.14)***</w:t>
            </w:r>
          </w:p>
        </w:tc>
        <w:tc>
          <w:tcPr>
            <w:tcW w:w="2188" w:type="dxa"/>
            <w:shd w:val="clear" w:color="auto" w:fill="auto"/>
            <w:noWrap/>
            <w:vAlign w:val="center"/>
            <w:hideMark/>
          </w:tcPr>
          <w:p w14:paraId="3050DEF6" w14:textId="77777777" w:rsidR="00AF6702" w:rsidRPr="00702882" w:rsidRDefault="00AF6702" w:rsidP="00AD1954">
            <w:pPr>
              <w:jc w:val="both"/>
              <w:rPr>
                <w:rFonts w:eastAsia="맑은 고딕"/>
                <w:sz w:val="20"/>
                <w:szCs w:val="20"/>
              </w:rPr>
            </w:pPr>
            <w:r w:rsidRPr="00702882">
              <w:rPr>
                <w:rFonts w:eastAsia="맑은 고딕"/>
                <w:sz w:val="20"/>
                <w:szCs w:val="20"/>
              </w:rPr>
              <w:t>0.41 (0.13)***</w:t>
            </w:r>
          </w:p>
        </w:tc>
        <w:tc>
          <w:tcPr>
            <w:tcW w:w="2188" w:type="dxa"/>
            <w:vAlign w:val="center"/>
          </w:tcPr>
          <w:p w14:paraId="29865232" w14:textId="77777777" w:rsidR="00AF6702" w:rsidRPr="00702882" w:rsidRDefault="00AF6702" w:rsidP="00AD1954">
            <w:pPr>
              <w:jc w:val="both"/>
              <w:rPr>
                <w:rFonts w:eastAsia="맑은 고딕"/>
                <w:sz w:val="20"/>
                <w:szCs w:val="20"/>
              </w:rPr>
            </w:pPr>
            <w:r w:rsidRPr="00702882">
              <w:rPr>
                <w:rFonts w:eastAsia="맑은 고딕"/>
                <w:sz w:val="20"/>
                <w:szCs w:val="20"/>
              </w:rPr>
              <w:t>0.40 (0.14)***</w:t>
            </w:r>
          </w:p>
        </w:tc>
      </w:tr>
      <w:tr w:rsidR="00594E45" w:rsidRPr="00702882" w14:paraId="614BDBB7" w14:textId="77777777" w:rsidTr="00AE6820">
        <w:trPr>
          <w:trHeight w:val="283"/>
          <w:jc w:val="center"/>
        </w:trPr>
        <w:tc>
          <w:tcPr>
            <w:tcW w:w="2188" w:type="dxa"/>
            <w:shd w:val="clear" w:color="auto" w:fill="auto"/>
            <w:noWrap/>
            <w:vAlign w:val="center"/>
            <w:hideMark/>
          </w:tcPr>
          <w:p w14:paraId="64400E8F" w14:textId="77777777" w:rsidR="00AF6702" w:rsidRPr="00702882" w:rsidRDefault="00AF6702" w:rsidP="00AD1954">
            <w:pPr>
              <w:jc w:val="both"/>
              <w:rPr>
                <w:rFonts w:eastAsia="맑은 고딕"/>
                <w:sz w:val="20"/>
                <w:szCs w:val="20"/>
              </w:rPr>
            </w:pPr>
            <w:r w:rsidRPr="00702882">
              <w:rPr>
                <w:rFonts w:eastAsia="맑은 고딕"/>
                <w:sz w:val="20"/>
                <w:szCs w:val="20"/>
              </w:rPr>
              <w:t>DepoSurplus_numeric</w:t>
            </w:r>
          </w:p>
        </w:tc>
        <w:tc>
          <w:tcPr>
            <w:tcW w:w="2188" w:type="dxa"/>
            <w:vAlign w:val="center"/>
          </w:tcPr>
          <w:p w14:paraId="087B67D5" w14:textId="77777777" w:rsidR="00AF6702" w:rsidRPr="00702882" w:rsidRDefault="00AF6702" w:rsidP="00AD1954">
            <w:pPr>
              <w:jc w:val="both"/>
              <w:rPr>
                <w:rFonts w:eastAsia="맑은 고딕"/>
                <w:sz w:val="20"/>
                <w:szCs w:val="20"/>
              </w:rPr>
            </w:pPr>
            <w:r w:rsidRPr="00702882">
              <w:rPr>
                <w:rFonts w:eastAsia="맑은 고딕"/>
                <w:sz w:val="20"/>
                <w:szCs w:val="20"/>
              </w:rPr>
              <w:t>3.55 (1.51)**</w:t>
            </w:r>
          </w:p>
        </w:tc>
        <w:tc>
          <w:tcPr>
            <w:tcW w:w="2188" w:type="dxa"/>
            <w:shd w:val="clear" w:color="auto" w:fill="auto"/>
            <w:noWrap/>
            <w:vAlign w:val="center"/>
            <w:hideMark/>
          </w:tcPr>
          <w:p w14:paraId="014B0EBB" w14:textId="77777777" w:rsidR="00AF6702" w:rsidRPr="00702882" w:rsidRDefault="00AF6702" w:rsidP="00AD1954">
            <w:pPr>
              <w:jc w:val="both"/>
              <w:rPr>
                <w:rFonts w:eastAsia="맑은 고딕"/>
                <w:sz w:val="20"/>
                <w:szCs w:val="20"/>
              </w:rPr>
            </w:pPr>
            <w:r w:rsidRPr="00702882">
              <w:rPr>
                <w:rFonts w:eastAsia="맑은 고딕"/>
                <w:sz w:val="20"/>
                <w:szCs w:val="20"/>
              </w:rPr>
              <w:t>4.13 (1.05)***</w:t>
            </w:r>
          </w:p>
        </w:tc>
        <w:tc>
          <w:tcPr>
            <w:tcW w:w="2188" w:type="dxa"/>
            <w:vAlign w:val="center"/>
          </w:tcPr>
          <w:p w14:paraId="3780BFD3" w14:textId="77777777" w:rsidR="00AF6702" w:rsidRPr="00702882" w:rsidRDefault="00AF6702" w:rsidP="00AD1954">
            <w:pPr>
              <w:jc w:val="both"/>
              <w:rPr>
                <w:rFonts w:eastAsia="맑은 고딕"/>
                <w:sz w:val="20"/>
                <w:szCs w:val="20"/>
              </w:rPr>
            </w:pPr>
            <w:r w:rsidRPr="00702882">
              <w:rPr>
                <w:rFonts w:eastAsia="맑은 고딕"/>
                <w:sz w:val="20"/>
                <w:szCs w:val="20"/>
              </w:rPr>
              <w:t>4.75 (1.13)***</w:t>
            </w:r>
          </w:p>
        </w:tc>
      </w:tr>
      <w:tr w:rsidR="00594E45" w:rsidRPr="00702882" w14:paraId="22BE30D5" w14:textId="77777777" w:rsidTr="00AE6820">
        <w:trPr>
          <w:trHeight w:val="283"/>
          <w:jc w:val="center"/>
        </w:trPr>
        <w:tc>
          <w:tcPr>
            <w:tcW w:w="2188" w:type="dxa"/>
            <w:shd w:val="clear" w:color="auto" w:fill="auto"/>
            <w:noWrap/>
            <w:vAlign w:val="center"/>
            <w:hideMark/>
          </w:tcPr>
          <w:p w14:paraId="3638ED86" w14:textId="77777777" w:rsidR="00AF6702" w:rsidRPr="00702882" w:rsidRDefault="00AF6702" w:rsidP="00AD1954">
            <w:pPr>
              <w:jc w:val="both"/>
              <w:rPr>
                <w:rFonts w:eastAsia="맑은 고딕"/>
                <w:sz w:val="20"/>
                <w:szCs w:val="20"/>
              </w:rPr>
            </w:pPr>
            <w:r w:rsidRPr="00702882">
              <w:rPr>
                <w:rFonts w:eastAsia="맑은 고딕"/>
                <w:sz w:val="20"/>
                <w:szCs w:val="20"/>
              </w:rPr>
              <w:t>WithLegis_numeric</w:t>
            </w:r>
          </w:p>
        </w:tc>
        <w:tc>
          <w:tcPr>
            <w:tcW w:w="2188" w:type="dxa"/>
            <w:vAlign w:val="center"/>
          </w:tcPr>
          <w:p w14:paraId="40FCF2B0" w14:textId="77777777" w:rsidR="00AF6702" w:rsidRPr="00702882" w:rsidRDefault="00AF6702" w:rsidP="00AD1954">
            <w:pPr>
              <w:jc w:val="both"/>
              <w:rPr>
                <w:rFonts w:eastAsia="맑은 고딕"/>
                <w:sz w:val="20"/>
                <w:szCs w:val="20"/>
              </w:rPr>
            </w:pPr>
            <w:r w:rsidRPr="00702882">
              <w:rPr>
                <w:rFonts w:eastAsia="맑은 고딕"/>
                <w:sz w:val="20"/>
                <w:szCs w:val="20"/>
              </w:rPr>
              <w:t>-2.61 (11.41)</w:t>
            </w:r>
          </w:p>
        </w:tc>
        <w:tc>
          <w:tcPr>
            <w:tcW w:w="2188" w:type="dxa"/>
            <w:shd w:val="clear" w:color="auto" w:fill="auto"/>
            <w:noWrap/>
            <w:vAlign w:val="center"/>
            <w:hideMark/>
          </w:tcPr>
          <w:p w14:paraId="42F72EF1" w14:textId="77777777" w:rsidR="00AF6702" w:rsidRPr="00702882" w:rsidRDefault="00AF6702" w:rsidP="00AD1954">
            <w:pPr>
              <w:jc w:val="both"/>
              <w:rPr>
                <w:rFonts w:eastAsia="맑은 고딕"/>
                <w:sz w:val="20"/>
                <w:szCs w:val="20"/>
              </w:rPr>
            </w:pPr>
            <w:r w:rsidRPr="00702882">
              <w:rPr>
                <w:rFonts w:eastAsia="맑은 고딕"/>
                <w:sz w:val="20"/>
                <w:szCs w:val="20"/>
              </w:rPr>
              <w:t>-2.06 (8.43)</w:t>
            </w:r>
          </w:p>
        </w:tc>
        <w:tc>
          <w:tcPr>
            <w:tcW w:w="2188" w:type="dxa"/>
            <w:vAlign w:val="center"/>
          </w:tcPr>
          <w:p w14:paraId="1FD0A7B3" w14:textId="77777777" w:rsidR="00AF6702" w:rsidRPr="00702882" w:rsidRDefault="00AF6702" w:rsidP="00AD1954">
            <w:pPr>
              <w:jc w:val="both"/>
              <w:rPr>
                <w:rFonts w:eastAsia="맑은 고딕"/>
                <w:sz w:val="20"/>
                <w:szCs w:val="20"/>
              </w:rPr>
            </w:pPr>
            <w:r w:rsidRPr="00702882">
              <w:rPr>
                <w:rFonts w:eastAsia="맑은 고딕"/>
                <w:sz w:val="20"/>
                <w:szCs w:val="20"/>
              </w:rPr>
              <w:t>-0.50 (7.62)</w:t>
            </w:r>
          </w:p>
        </w:tc>
      </w:tr>
      <w:tr w:rsidR="00594E45" w:rsidRPr="00702882" w14:paraId="0EE02B47" w14:textId="77777777" w:rsidTr="00AE6820">
        <w:trPr>
          <w:trHeight w:val="283"/>
          <w:jc w:val="center"/>
        </w:trPr>
        <w:tc>
          <w:tcPr>
            <w:tcW w:w="2188" w:type="dxa"/>
            <w:shd w:val="clear" w:color="auto" w:fill="auto"/>
            <w:noWrap/>
            <w:vAlign w:val="center"/>
            <w:hideMark/>
          </w:tcPr>
          <w:p w14:paraId="756414B2" w14:textId="77777777" w:rsidR="00AF6702" w:rsidRPr="00702882" w:rsidRDefault="00AF6702" w:rsidP="00AD1954">
            <w:pPr>
              <w:jc w:val="both"/>
              <w:rPr>
                <w:rFonts w:eastAsia="맑은 고딕"/>
                <w:sz w:val="20"/>
                <w:szCs w:val="20"/>
              </w:rPr>
            </w:pPr>
            <w:r w:rsidRPr="00702882">
              <w:rPr>
                <w:rFonts w:eastAsia="맑은 고딕"/>
                <w:sz w:val="20"/>
                <w:szCs w:val="20"/>
              </w:rPr>
              <w:t>Repay_4bin</w:t>
            </w:r>
          </w:p>
        </w:tc>
        <w:tc>
          <w:tcPr>
            <w:tcW w:w="2188" w:type="dxa"/>
            <w:vAlign w:val="center"/>
          </w:tcPr>
          <w:p w14:paraId="1B7AEF25" w14:textId="77777777" w:rsidR="00AF6702" w:rsidRPr="00702882" w:rsidRDefault="00AF6702" w:rsidP="00AD1954">
            <w:pPr>
              <w:jc w:val="both"/>
              <w:rPr>
                <w:rFonts w:eastAsia="맑은 고딕"/>
                <w:sz w:val="20"/>
                <w:szCs w:val="20"/>
              </w:rPr>
            </w:pPr>
            <w:r w:rsidRPr="00702882">
              <w:rPr>
                <w:rFonts w:eastAsia="맑은 고딕"/>
                <w:sz w:val="20"/>
                <w:szCs w:val="20"/>
              </w:rPr>
              <w:t>-0.13 (1.34)</w:t>
            </w:r>
          </w:p>
        </w:tc>
        <w:tc>
          <w:tcPr>
            <w:tcW w:w="2188" w:type="dxa"/>
            <w:shd w:val="clear" w:color="auto" w:fill="auto"/>
            <w:noWrap/>
            <w:vAlign w:val="center"/>
            <w:hideMark/>
          </w:tcPr>
          <w:p w14:paraId="5635294B" w14:textId="77777777" w:rsidR="00AF6702" w:rsidRPr="00702882" w:rsidRDefault="00AF6702" w:rsidP="00AD1954">
            <w:pPr>
              <w:jc w:val="both"/>
              <w:rPr>
                <w:rFonts w:eastAsia="맑은 고딕"/>
                <w:sz w:val="20"/>
                <w:szCs w:val="20"/>
              </w:rPr>
            </w:pPr>
            <w:r w:rsidRPr="00702882">
              <w:rPr>
                <w:rFonts w:eastAsia="맑은 고딕"/>
                <w:sz w:val="20"/>
                <w:szCs w:val="20"/>
              </w:rPr>
              <w:t>-0.02 (0.83)</w:t>
            </w:r>
          </w:p>
        </w:tc>
        <w:tc>
          <w:tcPr>
            <w:tcW w:w="2188" w:type="dxa"/>
            <w:vAlign w:val="center"/>
          </w:tcPr>
          <w:p w14:paraId="507E0DB1" w14:textId="77777777" w:rsidR="00AF6702" w:rsidRPr="00702882" w:rsidRDefault="00AF6702" w:rsidP="00AD1954">
            <w:pPr>
              <w:jc w:val="both"/>
              <w:rPr>
                <w:rFonts w:eastAsia="맑은 고딕"/>
                <w:sz w:val="20"/>
                <w:szCs w:val="20"/>
              </w:rPr>
            </w:pPr>
            <w:r w:rsidRPr="00702882">
              <w:rPr>
                <w:rFonts w:eastAsia="맑은 고딕"/>
                <w:sz w:val="20"/>
                <w:szCs w:val="20"/>
              </w:rPr>
              <w:t>-0.03 (1.20)</w:t>
            </w:r>
          </w:p>
        </w:tc>
      </w:tr>
      <w:tr w:rsidR="00594E45" w:rsidRPr="00702882" w14:paraId="606CEAB1" w14:textId="77777777" w:rsidTr="00AE6820">
        <w:trPr>
          <w:trHeight w:val="283"/>
          <w:jc w:val="center"/>
        </w:trPr>
        <w:tc>
          <w:tcPr>
            <w:tcW w:w="2188" w:type="dxa"/>
            <w:shd w:val="clear" w:color="auto" w:fill="auto"/>
            <w:noWrap/>
            <w:vAlign w:val="center"/>
            <w:hideMark/>
          </w:tcPr>
          <w:p w14:paraId="48E8EC74" w14:textId="77777777" w:rsidR="00AF6702" w:rsidRPr="00702882" w:rsidRDefault="00AF6702" w:rsidP="00AD1954">
            <w:pPr>
              <w:jc w:val="both"/>
              <w:rPr>
                <w:rFonts w:eastAsia="맑은 고딕"/>
                <w:sz w:val="20"/>
                <w:szCs w:val="20"/>
              </w:rPr>
            </w:pPr>
            <w:r w:rsidRPr="00702882">
              <w:rPr>
                <w:rFonts w:eastAsia="맑은 고딕"/>
                <w:sz w:val="20"/>
                <w:szCs w:val="20"/>
              </w:rPr>
              <w:t>WithLim</w:t>
            </w:r>
          </w:p>
        </w:tc>
        <w:tc>
          <w:tcPr>
            <w:tcW w:w="2188" w:type="dxa"/>
            <w:vAlign w:val="center"/>
          </w:tcPr>
          <w:p w14:paraId="2AC3F7AE" w14:textId="77777777" w:rsidR="00AF6702" w:rsidRPr="00702882" w:rsidRDefault="00AF6702" w:rsidP="00AD1954">
            <w:pPr>
              <w:jc w:val="both"/>
              <w:rPr>
                <w:rFonts w:eastAsia="맑은 고딕"/>
                <w:sz w:val="20"/>
                <w:szCs w:val="20"/>
              </w:rPr>
            </w:pPr>
            <w:r w:rsidRPr="00702882">
              <w:rPr>
                <w:rFonts w:eastAsia="맑은 고딕"/>
                <w:sz w:val="20"/>
                <w:szCs w:val="20"/>
              </w:rPr>
              <w:t>1.12 (1.35)</w:t>
            </w:r>
          </w:p>
        </w:tc>
        <w:tc>
          <w:tcPr>
            <w:tcW w:w="2188" w:type="dxa"/>
            <w:shd w:val="clear" w:color="auto" w:fill="auto"/>
            <w:noWrap/>
            <w:vAlign w:val="center"/>
            <w:hideMark/>
          </w:tcPr>
          <w:p w14:paraId="3B01AA60" w14:textId="77777777" w:rsidR="00AF6702" w:rsidRPr="00702882" w:rsidRDefault="00AF6702" w:rsidP="00AD1954">
            <w:pPr>
              <w:jc w:val="both"/>
              <w:rPr>
                <w:rFonts w:eastAsia="맑은 고딕"/>
                <w:sz w:val="20"/>
                <w:szCs w:val="20"/>
              </w:rPr>
            </w:pPr>
            <w:r w:rsidRPr="00702882">
              <w:rPr>
                <w:rFonts w:eastAsia="맑은 고딕"/>
                <w:sz w:val="20"/>
                <w:szCs w:val="20"/>
              </w:rPr>
              <w:t>0.66 (1.12)</w:t>
            </w:r>
          </w:p>
        </w:tc>
        <w:tc>
          <w:tcPr>
            <w:tcW w:w="2188" w:type="dxa"/>
            <w:vAlign w:val="center"/>
          </w:tcPr>
          <w:p w14:paraId="49F1E863" w14:textId="77777777" w:rsidR="00AF6702" w:rsidRPr="00702882" w:rsidRDefault="00AF6702" w:rsidP="00AD1954">
            <w:pPr>
              <w:jc w:val="both"/>
              <w:rPr>
                <w:rFonts w:eastAsia="맑은 고딕"/>
                <w:sz w:val="20"/>
                <w:szCs w:val="20"/>
              </w:rPr>
            </w:pPr>
            <w:r w:rsidRPr="00702882">
              <w:rPr>
                <w:rFonts w:eastAsia="맑은 고딕"/>
                <w:sz w:val="20"/>
                <w:szCs w:val="20"/>
              </w:rPr>
              <w:t>0.74 (1.12)</w:t>
            </w:r>
          </w:p>
        </w:tc>
      </w:tr>
      <w:tr w:rsidR="00594E45" w:rsidRPr="00702882" w14:paraId="6654EA16" w14:textId="77777777" w:rsidTr="00AE6820">
        <w:trPr>
          <w:trHeight w:val="283"/>
          <w:jc w:val="center"/>
        </w:trPr>
        <w:tc>
          <w:tcPr>
            <w:tcW w:w="2188" w:type="dxa"/>
            <w:shd w:val="clear" w:color="auto" w:fill="auto"/>
            <w:noWrap/>
            <w:vAlign w:val="center"/>
          </w:tcPr>
          <w:p w14:paraId="4D746224" w14:textId="77777777" w:rsidR="00AF6702" w:rsidRPr="00702882" w:rsidRDefault="00AF6702" w:rsidP="00AD1954">
            <w:pPr>
              <w:jc w:val="both"/>
              <w:rPr>
                <w:rFonts w:eastAsia="맑은 고딕"/>
                <w:sz w:val="20"/>
                <w:szCs w:val="20"/>
              </w:rPr>
            </w:pPr>
            <w:r w:rsidRPr="00702882">
              <w:rPr>
                <w:rFonts w:eastAsia="맑은 고딕"/>
                <w:sz w:val="20"/>
                <w:szCs w:val="20"/>
              </w:rPr>
              <w:t>Unemployment</w:t>
            </w:r>
          </w:p>
        </w:tc>
        <w:tc>
          <w:tcPr>
            <w:tcW w:w="2188" w:type="dxa"/>
            <w:vAlign w:val="center"/>
          </w:tcPr>
          <w:p w14:paraId="04E5D0C1" w14:textId="77777777" w:rsidR="00AF6702" w:rsidRPr="00702882" w:rsidRDefault="00AF6702" w:rsidP="00AD1954">
            <w:pPr>
              <w:jc w:val="both"/>
              <w:rPr>
                <w:rFonts w:eastAsia="맑은 고딕"/>
                <w:sz w:val="20"/>
                <w:szCs w:val="20"/>
              </w:rPr>
            </w:pPr>
            <w:r w:rsidRPr="00702882">
              <w:rPr>
                <w:rFonts w:eastAsia="맑은 고딕"/>
                <w:sz w:val="20"/>
                <w:szCs w:val="20"/>
              </w:rPr>
              <w:t>-0.32 (0.22)*</w:t>
            </w:r>
          </w:p>
        </w:tc>
        <w:tc>
          <w:tcPr>
            <w:tcW w:w="2188" w:type="dxa"/>
            <w:shd w:val="clear" w:color="auto" w:fill="auto"/>
            <w:noWrap/>
            <w:vAlign w:val="center"/>
          </w:tcPr>
          <w:p w14:paraId="7F862F23" w14:textId="77777777" w:rsidR="00AF6702" w:rsidRPr="00702882" w:rsidRDefault="00AF6702" w:rsidP="00AD1954">
            <w:pPr>
              <w:jc w:val="both"/>
              <w:rPr>
                <w:rFonts w:eastAsia="맑은 고딕"/>
                <w:sz w:val="20"/>
                <w:szCs w:val="20"/>
              </w:rPr>
            </w:pPr>
            <w:r w:rsidRPr="00702882">
              <w:rPr>
                <w:rFonts w:eastAsia="맑은 고딕"/>
                <w:sz w:val="20"/>
                <w:szCs w:val="20"/>
              </w:rPr>
              <w:t>-0.50 (0.17)***</w:t>
            </w:r>
          </w:p>
        </w:tc>
        <w:tc>
          <w:tcPr>
            <w:tcW w:w="2188" w:type="dxa"/>
            <w:vAlign w:val="center"/>
          </w:tcPr>
          <w:p w14:paraId="59CB464D" w14:textId="77777777" w:rsidR="00AF6702" w:rsidRPr="00702882" w:rsidRDefault="00AF6702" w:rsidP="00AD1954">
            <w:pPr>
              <w:jc w:val="both"/>
              <w:rPr>
                <w:rFonts w:eastAsia="맑은 고딕"/>
                <w:sz w:val="20"/>
                <w:szCs w:val="20"/>
              </w:rPr>
            </w:pPr>
            <w:r w:rsidRPr="00702882">
              <w:rPr>
                <w:rFonts w:eastAsia="맑은 고딕"/>
                <w:sz w:val="20"/>
                <w:szCs w:val="20"/>
              </w:rPr>
              <w:t>-0.49 (0.17)***</w:t>
            </w:r>
          </w:p>
        </w:tc>
      </w:tr>
      <w:tr w:rsidR="00594E45" w:rsidRPr="00702882" w14:paraId="70C3A054" w14:textId="77777777" w:rsidTr="00AE6820">
        <w:trPr>
          <w:trHeight w:val="283"/>
          <w:jc w:val="center"/>
        </w:trPr>
        <w:tc>
          <w:tcPr>
            <w:tcW w:w="2188" w:type="dxa"/>
            <w:shd w:val="clear" w:color="auto" w:fill="auto"/>
            <w:noWrap/>
            <w:vAlign w:val="center"/>
            <w:hideMark/>
          </w:tcPr>
          <w:p w14:paraId="62A54055" w14:textId="77777777" w:rsidR="00AF6702" w:rsidRPr="00702882" w:rsidRDefault="00AF6702" w:rsidP="00AD1954">
            <w:pPr>
              <w:jc w:val="both"/>
              <w:rPr>
                <w:rFonts w:eastAsia="맑은 고딕"/>
                <w:sz w:val="20"/>
                <w:szCs w:val="20"/>
              </w:rPr>
            </w:pPr>
            <w:r w:rsidRPr="00702882">
              <w:rPr>
                <w:rFonts w:eastAsia="맑은 고딕"/>
                <w:sz w:val="20"/>
                <w:szCs w:val="20"/>
              </w:rPr>
              <w:t>Disasters</w:t>
            </w:r>
          </w:p>
        </w:tc>
        <w:tc>
          <w:tcPr>
            <w:tcW w:w="2188" w:type="dxa"/>
            <w:vAlign w:val="center"/>
          </w:tcPr>
          <w:p w14:paraId="78A1DDC2"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74C5565B" w14:textId="77777777" w:rsidR="00AF6702" w:rsidRPr="00702882" w:rsidRDefault="00AF6702" w:rsidP="00AD1954">
            <w:pPr>
              <w:jc w:val="both"/>
              <w:rPr>
                <w:rFonts w:eastAsia="맑은 고딕"/>
                <w:sz w:val="20"/>
                <w:szCs w:val="20"/>
              </w:rPr>
            </w:pPr>
            <w:r w:rsidRPr="00702882">
              <w:rPr>
                <w:rFonts w:eastAsia="맑은 고딕"/>
                <w:sz w:val="20"/>
                <w:szCs w:val="20"/>
              </w:rPr>
              <w:t>0.00 (0.00)</w:t>
            </w:r>
          </w:p>
        </w:tc>
        <w:tc>
          <w:tcPr>
            <w:tcW w:w="2188" w:type="dxa"/>
            <w:vAlign w:val="center"/>
          </w:tcPr>
          <w:p w14:paraId="518EDD10" w14:textId="77777777" w:rsidR="00AF6702" w:rsidRPr="00702882" w:rsidRDefault="00AF6702" w:rsidP="00AD1954">
            <w:pPr>
              <w:jc w:val="both"/>
              <w:rPr>
                <w:rFonts w:eastAsia="맑은 고딕"/>
                <w:sz w:val="20"/>
                <w:szCs w:val="20"/>
              </w:rPr>
            </w:pPr>
            <w:r w:rsidRPr="00702882">
              <w:rPr>
                <w:rFonts w:eastAsia="맑은 고딕"/>
                <w:sz w:val="20"/>
                <w:szCs w:val="20"/>
              </w:rPr>
              <w:t>-0.04 (0.14)</w:t>
            </w:r>
          </w:p>
        </w:tc>
      </w:tr>
      <w:tr w:rsidR="00594E45" w:rsidRPr="00702882" w14:paraId="08115274" w14:textId="77777777" w:rsidTr="00AE6820">
        <w:trPr>
          <w:trHeight w:val="283"/>
          <w:jc w:val="center"/>
        </w:trPr>
        <w:tc>
          <w:tcPr>
            <w:tcW w:w="2188" w:type="dxa"/>
            <w:shd w:val="clear" w:color="auto" w:fill="auto"/>
            <w:noWrap/>
            <w:vAlign w:val="center"/>
            <w:hideMark/>
          </w:tcPr>
          <w:p w14:paraId="1BEA977A" w14:textId="77777777" w:rsidR="00AF6702" w:rsidRPr="00702882" w:rsidRDefault="00AF6702" w:rsidP="00AD1954">
            <w:pPr>
              <w:jc w:val="both"/>
              <w:rPr>
                <w:rFonts w:eastAsia="맑은 고딕"/>
                <w:sz w:val="20"/>
                <w:szCs w:val="20"/>
              </w:rPr>
            </w:pPr>
            <w:r w:rsidRPr="00702882">
              <w:rPr>
                <w:rFonts w:eastAsia="맑은 고딕"/>
                <w:sz w:val="20"/>
                <w:szCs w:val="20"/>
              </w:rPr>
              <w:t>Fed_IGR</w:t>
            </w:r>
          </w:p>
        </w:tc>
        <w:tc>
          <w:tcPr>
            <w:tcW w:w="2188" w:type="dxa"/>
            <w:vAlign w:val="center"/>
          </w:tcPr>
          <w:p w14:paraId="11C1D899"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549F1EAD" w14:textId="77777777" w:rsidR="00AF6702" w:rsidRPr="00702882" w:rsidRDefault="00AF6702" w:rsidP="00AD1954">
            <w:pPr>
              <w:jc w:val="both"/>
              <w:rPr>
                <w:rFonts w:eastAsia="맑은 고딕"/>
                <w:sz w:val="20"/>
                <w:szCs w:val="20"/>
              </w:rPr>
            </w:pPr>
            <w:r w:rsidRPr="00702882">
              <w:rPr>
                <w:rFonts w:eastAsia="맑은 고딕"/>
                <w:sz w:val="20"/>
                <w:szCs w:val="20"/>
              </w:rPr>
              <w:t>-0.72 (0.63)</w:t>
            </w:r>
          </w:p>
        </w:tc>
        <w:tc>
          <w:tcPr>
            <w:tcW w:w="2188" w:type="dxa"/>
            <w:vAlign w:val="center"/>
          </w:tcPr>
          <w:p w14:paraId="7768BC6B" w14:textId="77777777" w:rsidR="00AF6702" w:rsidRPr="00702882" w:rsidRDefault="00AF6702" w:rsidP="00AD1954">
            <w:pPr>
              <w:jc w:val="both"/>
              <w:rPr>
                <w:rFonts w:eastAsia="맑은 고딕"/>
                <w:sz w:val="20"/>
                <w:szCs w:val="20"/>
              </w:rPr>
            </w:pPr>
            <w:r w:rsidRPr="00702882">
              <w:rPr>
                <w:rFonts w:eastAsia="맑은 고딕"/>
                <w:sz w:val="20"/>
                <w:szCs w:val="20"/>
              </w:rPr>
              <w:t>-0.66 (0.63)</w:t>
            </w:r>
          </w:p>
        </w:tc>
      </w:tr>
      <w:tr w:rsidR="00594E45" w:rsidRPr="00702882" w14:paraId="4FD085DE" w14:textId="77777777" w:rsidTr="00AE6820">
        <w:trPr>
          <w:trHeight w:val="283"/>
          <w:jc w:val="center"/>
        </w:trPr>
        <w:tc>
          <w:tcPr>
            <w:tcW w:w="2188" w:type="dxa"/>
            <w:shd w:val="clear" w:color="auto" w:fill="auto"/>
            <w:noWrap/>
            <w:vAlign w:val="center"/>
            <w:hideMark/>
          </w:tcPr>
          <w:p w14:paraId="1B94F01A" w14:textId="77777777" w:rsidR="00AF6702" w:rsidRPr="00702882" w:rsidRDefault="00AF6702" w:rsidP="00AD1954">
            <w:pPr>
              <w:jc w:val="both"/>
              <w:rPr>
                <w:rFonts w:eastAsia="맑은 고딕"/>
                <w:sz w:val="20"/>
                <w:szCs w:val="20"/>
              </w:rPr>
            </w:pPr>
            <w:r w:rsidRPr="00702882">
              <w:rPr>
                <w:rFonts w:eastAsia="맑은 고딕"/>
                <w:sz w:val="20"/>
                <w:szCs w:val="20"/>
              </w:rPr>
              <w:t>Debt_per_capita</w:t>
            </w:r>
          </w:p>
        </w:tc>
        <w:tc>
          <w:tcPr>
            <w:tcW w:w="2188" w:type="dxa"/>
            <w:vAlign w:val="center"/>
          </w:tcPr>
          <w:p w14:paraId="3BCBE59F"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1834C5E1" w14:textId="77777777" w:rsidR="00AF6702" w:rsidRPr="00702882" w:rsidRDefault="00AF6702" w:rsidP="00AD1954">
            <w:pPr>
              <w:jc w:val="both"/>
              <w:rPr>
                <w:rFonts w:eastAsia="맑은 고딕"/>
                <w:sz w:val="20"/>
                <w:szCs w:val="20"/>
              </w:rPr>
            </w:pPr>
            <w:r w:rsidRPr="00702882">
              <w:rPr>
                <w:rFonts w:eastAsia="맑은 고딕"/>
                <w:sz w:val="20"/>
                <w:szCs w:val="20"/>
              </w:rPr>
              <w:t>-0.16 (0.39)</w:t>
            </w:r>
          </w:p>
        </w:tc>
        <w:tc>
          <w:tcPr>
            <w:tcW w:w="2188" w:type="dxa"/>
            <w:vAlign w:val="center"/>
          </w:tcPr>
          <w:p w14:paraId="3B97F64C" w14:textId="77777777" w:rsidR="00AF6702" w:rsidRPr="00702882" w:rsidRDefault="00AF6702" w:rsidP="00AD1954">
            <w:pPr>
              <w:jc w:val="both"/>
              <w:rPr>
                <w:rFonts w:eastAsia="맑은 고딕"/>
                <w:sz w:val="20"/>
                <w:szCs w:val="20"/>
              </w:rPr>
            </w:pPr>
            <w:r w:rsidRPr="00702882">
              <w:rPr>
                <w:rFonts w:eastAsia="맑은 고딕"/>
                <w:sz w:val="20"/>
                <w:szCs w:val="20"/>
              </w:rPr>
              <w:t>-0.15 (0.39)</w:t>
            </w:r>
          </w:p>
        </w:tc>
      </w:tr>
      <w:tr w:rsidR="00594E45" w:rsidRPr="00702882" w14:paraId="5BC30D6A" w14:textId="77777777" w:rsidTr="00AE6820">
        <w:trPr>
          <w:trHeight w:val="283"/>
          <w:jc w:val="center"/>
        </w:trPr>
        <w:tc>
          <w:tcPr>
            <w:tcW w:w="2188" w:type="dxa"/>
            <w:shd w:val="clear" w:color="auto" w:fill="auto"/>
            <w:noWrap/>
            <w:vAlign w:val="center"/>
            <w:hideMark/>
          </w:tcPr>
          <w:p w14:paraId="0DAC81B3" w14:textId="77777777" w:rsidR="00AF6702" w:rsidRPr="00702882" w:rsidRDefault="00AF6702" w:rsidP="00AD1954">
            <w:pPr>
              <w:jc w:val="both"/>
              <w:rPr>
                <w:rFonts w:eastAsia="맑은 고딕"/>
                <w:sz w:val="20"/>
                <w:szCs w:val="20"/>
              </w:rPr>
            </w:pPr>
            <w:r w:rsidRPr="00702882">
              <w:rPr>
                <w:rFonts w:eastAsia="맑은 고딕"/>
                <w:sz w:val="20"/>
                <w:szCs w:val="20"/>
              </w:rPr>
              <w:t>GSP</w:t>
            </w:r>
          </w:p>
        </w:tc>
        <w:tc>
          <w:tcPr>
            <w:tcW w:w="2188" w:type="dxa"/>
            <w:vAlign w:val="center"/>
          </w:tcPr>
          <w:p w14:paraId="2DF860A8"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2CA0E273" w14:textId="77777777" w:rsidR="00AF6702" w:rsidRPr="00702882" w:rsidRDefault="00AF6702" w:rsidP="00AD1954">
            <w:pPr>
              <w:jc w:val="both"/>
              <w:rPr>
                <w:rFonts w:eastAsia="맑은 고딕"/>
                <w:sz w:val="20"/>
                <w:szCs w:val="20"/>
              </w:rPr>
            </w:pPr>
            <w:r w:rsidRPr="00702882">
              <w:rPr>
                <w:rFonts w:eastAsia="맑은 고딕"/>
                <w:sz w:val="20"/>
                <w:szCs w:val="20"/>
              </w:rPr>
              <w:t>-0.04 (0.04)</w:t>
            </w:r>
          </w:p>
        </w:tc>
        <w:tc>
          <w:tcPr>
            <w:tcW w:w="2188" w:type="dxa"/>
            <w:vAlign w:val="center"/>
          </w:tcPr>
          <w:p w14:paraId="331C3251" w14:textId="77777777" w:rsidR="00AF6702" w:rsidRPr="00702882" w:rsidRDefault="00AF6702" w:rsidP="00AD1954">
            <w:pPr>
              <w:jc w:val="both"/>
              <w:rPr>
                <w:rFonts w:eastAsia="맑은 고딕"/>
                <w:sz w:val="20"/>
                <w:szCs w:val="20"/>
              </w:rPr>
            </w:pPr>
            <w:r w:rsidRPr="00702882">
              <w:rPr>
                <w:rFonts w:eastAsia="맑은 고딕"/>
                <w:sz w:val="20"/>
                <w:szCs w:val="20"/>
              </w:rPr>
              <w:t>-0.04 (0.05)</w:t>
            </w:r>
          </w:p>
        </w:tc>
      </w:tr>
      <w:tr w:rsidR="00594E45" w:rsidRPr="00702882" w14:paraId="0447F41C" w14:textId="77777777" w:rsidTr="00AE6820">
        <w:trPr>
          <w:trHeight w:val="283"/>
          <w:jc w:val="center"/>
        </w:trPr>
        <w:tc>
          <w:tcPr>
            <w:tcW w:w="2188" w:type="dxa"/>
            <w:shd w:val="clear" w:color="auto" w:fill="auto"/>
            <w:noWrap/>
            <w:vAlign w:val="center"/>
            <w:hideMark/>
          </w:tcPr>
          <w:p w14:paraId="64E679FE" w14:textId="77777777" w:rsidR="00AF6702" w:rsidRPr="00702882" w:rsidRDefault="00AF6702" w:rsidP="00AD1954">
            <w:pPr>
              <w:jc w:val="both"/>
              <w:rPr>
                <w:rFonts w:eastAsia="맑은 고딕"/>
                <w:sz w:val="20"/>
                <w:szCs w:val="20"/>
              </w:rPr>
            </w:pPr>
            <w:r w:rsidRPr="00702882">
              <w:rPr>
                <w:rFonts w:eastAsia="맑은 고딕"/>
                <w:sz w:val="20"/>
                <w:szCs w:val="20"/>
              </w:rPr>
              <w:t>Credit_rating</w:t>
            </w:r>
          </w:p>
        </w:tc>
        <w:tc>
          <w:tcPr>
            <w:tcW w:w="2188" w:type="dxa"/>
            <w:vAlign w:val="center"/>
          </w:tcPr>
          <w:p w14:paraId="78E2E0FC"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32DE09FA" w14:textId="77777777" w:rsidR="00AF6702" w:rsidRPr="00702882" w:rsidRDefault="00AF6702" w:rsidP="00AD1954">
            <w:pPr>
              <w:jc w:val="both"/>
              <w:rPr>
                <w:rFonts w:eastAsia="맑은 고딕"/>
                <w:sz w:val="20"/>
                <w:szCs w:val="20"/>
              </w:rPr>
            </w:pPr>
            <w:r w:rsidRPr="00702882">
              <w:rPr>
                <w:rFonts w:eastAsia="맑은 고딕"/>
                <w:sz w:val="20"/>
                <w:szCs w:val="20"/>
              </w:rPr>
              <w:t>0.07 (0.36)</w:t>
            </w:r>
          </w:p>
        </w:tc>
        <w:tc>
          <w:tcPr>
            <w:tcW w:w="2188" w:type="dxa"/>
            <w:vAlign w:val="center"/>
          </w:tcPr>
          <w:p w14:paraId="0B317AFD" w14:textId="77777777" w:rsidR="00AF6702" w:rsidRPr="00702882" w:rsidRDefault="00AF6702" w:rsidP="00AD1954">
            <w:pPr>
              <w:jc w:val="both"/>
              <w:rPr>
                <w:rFonts w:eastAsia="맑은 고딕"/>
                <w:sz w:val="20"/>
                <w:szCs w:val="20"/>
              </w:rPr>
            </w:pPr>
            <w:r w:rsidRPr="00702882">
              <w:rPr>
                <w:rFonts w:eastAsia="맑은 고딕"/>
                <w:sz w:val="20"/>
                <w:szCs w:val="20"/>
              </w:rPr>
              <w:t>0.09 (0.37)</w:t>
            </w:r>
          </w:p>
        </w:tc>
      </w:tr>
      <w:tr w:rsidR="00594E45" w:rsidRPr="00702882" w14:paraId="51389EA2" w14:textId="77777777" w:rsidTr="00AE6820">
        <w:trPr>
          <w:trHeight w:val="283"/>
          <w:jc w:val="center"/>
        </w:trPr>
        <w:tc>
          <w:tcPr>
            <w:tcW w:w="2188" w:type="dxa"/>
            <w:shd w:val="clear" w:color="auto" w:fill="auto"/>
            <w:noWrap/>
            <w:vAlign w:val="center"/>
            <w:hideMark/>
          </w:tcPr>
          <w:p w14:paraId="576C927D" w14:textId="77777777" w:rsidR="00AF6702" w:rsidRPr="00702882" w:rsidRDefault="00AF6702" w:rsidP="00AD1954">
            <w:pPr>
              <w:jc w:val="both"/>
              <w:rPr>
                <w:rFonts w:eastAsia="맑은 고딕"/>
                <w:sz w:val="20"/>
                <w:szCs w:val="20"/>
              </w:rPr>
            </w:pPr>
            <w:r w:rsidRPr="00702882">
              <w:rPr>
                <w:rFonts w:eastAsia="맑은 고딕"/>
                <w:sz w:val="20"/>
                <w:szCs w:val="20"/>
              </w:rPr>
              <w:t>Income_thousands</w:t>
            </w:r>
          </w:p>
        </w:tc>
        <w:tc>
          <w:tcPr>
            <w:tcW w:w="2188" w:type="dxa"/>
            <w:vAlign w:val="center"/>
          </w:tcPr>
          <w:p w14:paraId="7B3CA7B6"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60FAFD4E" w14:textId="77777777" w:rsidR="00AF6702" w:rsidRPr="00702882" w:rsidRDefault="00AF6702" w:rsidP="00AD1954">
            <w:pPr>
              <w:jc w:val="both"/>
              <w:rPr>
                <w:rFonts w:eastAsia="맑은 고딕"/>
                <w:sz w:val="20"/>
                <w:szCs w:val="20"/>
              </w:rPr>
            </w:pPr>
            <w:r w:rsidRPr="00702882">
              <w:rPr>
                <w:rFonts w:eastAsia="맑은 고딕"/>
                <w:sz w:val="20"/>
                <w:szCs w:val="20"/>
              </w:rPr>
              <w:t>0.01 (0.12)</w:t>
            </w:r>
          </w:p>
        </w:tc>
        <w:tc>
          <w:tcPr>
            <w:tcW w:w="2188" w:type="dxa"/>
            <w:vAlign w:val="center"/>
          </w:tcPr>
          <w:p w14:paraId="17D493D9" w14:textId="77777777" w:rsidR="00AF6702" w:rsidRPr="00702882" w:rsidRDefault="00AF6702" w:rsidP="00AD1954">
            <w:pPr>
              <w:jc w:val="both"/>
              <w:rPr>
                <w:rFonts w:eastAsia="맑은 고딕"/>
                <w:sz w:val="20"/>
                <w:szCs w:val="20"/>
              </w:rPr>
            </w:pPr>
            <w:r w:rsidRPr="00702882">
              <w:rPr>
                <w:rFonts w:eastAsia="맑은 고딕"/>
                <w:sz w:val="20"/>
                <w:szCs w:val="20"/>
              </w:rPr>
              <w:t>0.01 (0.13)</w:t>
            </w:r>
          </w:p>
        </w:tc>
      </w:tr>
      <w:tr w:rsidR="00594E45" w:rsidRPr="00702882" w14:paraId="6EE1FADA" w14:textId="77777777" w:rsidTr="00AE6820">
        <w:trPr>
          <w:trHeight w:val="283"/>
          <w:jc w:val="center"/>
        </w:trPr>
        <w:tc>
          <w:tcPr>
            <w:tcW w:w="2188" w:type="dxa"/>
            <w:shd w:val="clear" w:color="auto" w:fill="auto"/>
            <w:noWrap/>
            <w:vAlign w:val="center"/>
            <w:hideMark/>
          </w:tcPr>
          <w:p w14:paraId="042A8C8A" w14:textId="77777777" w:rsidR="00AF6702" w:rsidRPr="00702882" w:rsidRDefault="00AF6702" w:rsidP="00AD1954">
            <w:pPr>
              <w:jc w:val="both"/>
              <w:rPr>
                <w:rFonts w:eastAsia="맑은 고딕"/>
                <w:sz w:val="20"/>
                <w:szCs w:val="20"/>
              </w:rPr>
            </w:pPr>
            <w:r w:rsidRPr="00702882">
              <w:rPr>
                <w:rFonts w:eastAsia="맑은 고딕"/>
                <w:sz w:val="20"/>
                <w:szCs w:val="20"/>
              </w:rPr>
              <w:t>Population_million</w:t>
            </w:r>
          </w:p>
        </w:tc>
        <w:tc>
          <w:tcPr>
            <w:tcW w:w="2188" w:type="dxa"/>
            <w:vAlign w:val="center"/>
          </w:tcPr>
          <w:p w14:paraId="6F5E3BE2"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0D2C3E52" w14:textId="77777777" w:rsidR="00AF6702" w:rsidRPr="00702882" w:rsidRDefault="00AF6702" w:rsidP="00AD1954">
            <w:pPr>
              <w:jc w:val="both"/>
              <w:rPr>
                <w:rFonts w:eastAsia="맑은 고딕"/>
                <w:sz w:val="20"/>
                <w:szCs w:val="20"/>
              </w:rPr>
            </w:pPr>
            <w:r w:rsidRPr="00702882">
              <w:rPr>
                <w:rFonts w:eastAsia="맑은 고딕"/>
                <w:sz w:val="20"/>
                <w:szCs w:val="20"/>
              </w:rPr>
              <w:t>0.99 (0.85)</w:t>
            </w:r>
          </w:p>
        </w:tc>
        <w:tc>
          <w:tcPr>
            <w:tcW w:w="2188" w:type="dxa"/>
            <w:vAlign w:val="center"/>
          </w:tcPr>
          <w:p w14:paraId="755F94F2" w14:textId="77777777" w:rsidR="00AF6702" w:rsidRPr="00702882" w:rsidRDefault="00AF6702" w:rsidP="00AD1954">
            <w:pPr>
              <w:jc w:val="both"/>
              <w:rPr>
                <w:rFonts w:eastAsia="맑은 고딕"/>
                <w:sz w:val="20"/>
                <w:szCs w:val="20"/>
              </w:rPr>
            </w:pPr>
            <w:r w:rsidRPr="00702882">
              <w:rPr>
                <w:rFonts w:eastAsia="맑은 고딕"/>
                <w:sz w:val="20"/>
                <w:szCs w:val="20"/>
              </w:rPr>
              <w:t>1.02 (0.90)</w:t>
            </w:r>
          </w:p>
        </w:tc>
      </w:tr>
      <w:tr w:rsidR="00594E45" w:rsidRPr="00702882" w14:paraId="1517A72C" w14:textId="77777777" w:rsidTr="00AE6820">
        <w:trPr>
          <w:trHeight w:val="283"/>
          <w:jc w:val="center"/>
        </w:trPr>
        <w:tc>
          <w:tcPr>
            <w:tcW w:w="2188" w:type="dxa"/>
            <w:shd w:val="clear" w:color="auto" w:fill="auto"/>
            <w:noWrap/>
            <w:vAlign w:val="center"/>
            <w:hideMark/>
          </w:tcPr>
          <w:p w14:paraId="6E616F9C" w14:textId="77777777" w:rsidR="00AF6702" w:rsidRPr="00702882" w:rsidRDefault="00AF6702" w:rsidP="00AD1954">
            <w:pPr>
              <w:jc w:val="both"/>
              <w:rPr>
                <w:rFonts w:eastAsia="맑은 고딕"/>
                <w:sz w:val="20"/>
                <w:szCs w:val="20"/>
              </w:rPr>
            </w:pPr>
            <w:r w:rsidRPr="00702882">
              <w:rPr>
                <w:rFonts w:eastAsia="맑은 고딕"/>
                <w:sz w:val="20"/>
                <w:szCs w:val="20"/>
              </w:rPr>
              <w:t>TEL</w:t>
            </w:r>
          </w:p>
        </w:tc>
        <w:tc>
          <w:tcPr>
            <w:tcW w:w="2188" w:type="dxa"/>
            <w:vAlign w:val="center"/>
          </w:tcPr>
          <w:p w14:paraId="2B039B99"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44751406" w14:textId="77777777" w:rsidR="00AF6702" w:rsidRPr="00702882" w:rsidRDefault="00AF6702" w:rsidP="00AD1954">
            <w:pPr>
              <w:jc w:val="both"/>
              <w:rPr>
                <w:rFonts w:eastAsia="맑은 고딕"/>
                <w:sz w:val="20"/>
                <w:szCs w:val="20"/>
              </w:rPr>
            </w:pPr>
            <w:r w:rsidRPr="00702882">
              <w:rPr>
                <w:rFonts w:eastAsia="맑은 고딕"/>
                <w:sz w:val="20"/>
                <w:szCs w:val="20"/>
              </w:rPr>
              <w:t>-0.08 (0.09)</w:t>
            </w:r>
          </w:p>
        </w:tc>
        <w:tc>
          <w:tcPr>
            <w:tcW w:w="2188" w:type="dxa"/>
            <w:vAlign w:val="center"/>
          </w:tcPr>
          <w:p w14:paraId="5A8E030B" w14:textId="77777777" w:rsidR="00AF6702" w:rsidRPr="00702882" w:rsidRDefault="00AF6702" w:rsidP="00AD1954">
            <w:pPr>
              <w:jc w:val="both"/>
              <w:rPr>
                <w:rFonts w:eastAsia="맑은 고딕"/>
                <w:sz w:val="20"/>
                <w:szCs w:val="20"/>
              </w:rPr>
            </w:pPr>
            <w:r w:rsidRPr="00702882">
              <w:rPr>
                <w:rFonts w:eastAsia="맑은 고딕"/>
                <w:sz w:val="20"/>
                <w:szCs w:val="20"/>
              </w:rPr>
              <w:t>-0.09 (0.09)</w:t>
            </w:r>
          </w:p>
        </w:tc>
      </w:tr>
      <w:tr w:rsidR="00594E45" w:rsidRPr="00702882" w14:paraId="39867A78" w14:textId="77777777" w:rsidTr="00AE6820">
        <w:trPr>
          <w:trHeight w:val="283"/>
          <w:jc w:val="center"/>
        </w:trPr>
        <w:tc>
          <w:tcPr>
            <w:tcW w:w="2188" w:type="dxa"/>
            <w:shd w:val="clear" w:color="auto" w:fill="auto"/>
            <w:noWrap/>
            <w:vAlign w:val="center"/>
            <w:hideMark/>
          </w:tcPr>
          <w:p w14:paraId="47750539" w14:textId="77777777" w:rsidR="00AF6702" w:rsidRPr="00702882" w:rsidRDefault="00AF6702" w:rsidP="00AD1954">
            <w:pPr>
              <w:jc w:val="both"/>
              <w:rPr>
                <w:rFonts w:eastAsia="맑은 고딕"/>
                <w:sz w:val="20"/>
                <w:szCs w:val="20"/>
              </w:rPr>
            </w:pPr>
            <w:r w:rsidRPr="00702882">
              <w:rPr>
                <w:rFonts w:eastAsia="맑은 고딕"/>
                <w:sz w:val="20"/>
                <w:szCs w:val="20"/>
              </w:rPr>
              <w:t>BBR</w:t>
            </w:r>
          </w:p>
        </w:tc>
        <w:tc>
          <w:tcPr>
            <w:tcW w:w="2188" w:type="dxa"/>
            <w:vAlign w:val="center"/>
          </w:tcPr>
          <w:p w14:paraId="6F56250F"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56D8A9FB" w14:textId="77777777" w:rsidR="00AF6702" w:rsidRPr="00702882" w:rsidRDefault="00AF6702" w:rsidP="00AD1954">
            <w:pPr>
              <w:jc w:val="both"/>
              <w:rPr>
                <w:rFonts w:eastAsia="맑은 고딕"/>
                <w:sz w:val="20"/>
                <w:szCs w:val="20"/>
              </w:rPr>
            </w:pPr>
            <w:r w:rsidRPr="00702882">
              <w:rPr>
                <w:rFonts w:eastAsia="맑은 고딕"/>
                <w:sz w:val="20"/>
                <w:szCs w:val="20"/>
              </w:rPr>
              <w:t>-0.80 (1.19)</w:t>
            </w:r>
          </w:p>
        </w:tc>
        <w:tc>
          <w:tcPr>
            <w:tcW w:w="2188" w:type="dxa"/>
            <w:vAlign w:val="center"/>
          </w:tcPr>
          <w:p w14:paraId="50FDF400" w14:textId="77777777" w:rsidR="00AF6702" w:rsidRPr="00702882" w:rsidRDefault="00AF6702" w:rsidP="00AD1954">
            <w:pPr>
              <w:jc w:val="both"/>
              <w:rPr>
                <w:rFonts w:eastAsia="맑은 고딕"/>
                <w:sz w:val="20"/>
                <w:szCs w:val="20"/>
              </w:rPr>
            </w:pPr>
            <w:r w:rsidRPr="00702882">
              <w:rPr>
                <w:rFonts w:eastAsia="맑은 고딕"/>
                <w:sz w:val="20"/>
                <w:szCs w:val="20"/>
              </w:rPr>
              <w:t>-0.86 (1.29)</w:t>
            </w:r>
          </w:p>
        </w:tc>
      </w:tr>
      <w:tr w:rsidR="00594E45" w:rsidRPr="00702882" w14:paraId="48737621" w14:textId="77777777" w:rsidTr="00AE6820">
        <w:trPr>
          <w:trHeight w:val="283"/>
          <w:jc w:val="center"/>
        </w:trPr>
        <w:tc>
          <w:tcPr>
            <w:tcW w:w="2188" w:type="dxa"/>
            <w:shd w:val="clear" w:color="auto" w:fill="auto"/>
            <w:noWrap/>
            <w:vAlign w:val="center"/>
            <w:hideMark/>
          </w:tcPr>
          <w:p w14:paraId="77151898" w14:textId="77777777" w:rsidR="00AF6702" w:rsidRPr="00702882" w:rsidRDefault="00AF6702" w:rsidP="00AD1954">
            <w:pPr>
              <w:jc w:val="both"/>
              <w:rPr>
                <w:rFonts w:eastAsia="맑은 고딕"/>
                <w:sz w:val="20"/>
                <w:szCs w:val="20"/>
              </w:rPr>
            </w:pPr>
            <w:r w:rsidRPr="00702882">
              <w:rPr>
                <w:rFonts w:eastAsia="맑은 고딕"/>
                <w:sz w:val="20"/>
                <w:szCs w:val="20"/>
              </w:rPr>
              <w:t>Election</w:t>
            </w:r>
          </w:p>
        </w:tc>
        <w:tc>
          <w:tcPr>
            <w:tcW w:w="2188" w:type="dxa"/>
            <w:vAlign w:val="center"/>
          </w:tcPr>
          <w:p w14:paraId="7F5D7899"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3FE88FAD" w14:textId="77777777" w:rsidR="00AF6702" w:rsidRPr="00702882" w:rsidRDefault="00AF6702" w:rsidP="00AD1954">
            <w:pPr>
              <w:jc w:val="both"/>
              <w:rPr>
                <w:rFonts w:eastAsia="맑은 고딕"/>
                <w:sz w:val="20"/>
                <w:szCs w:val="20"/>
              </w:rPr>
            </w:pPr>
            <w:r w:rsidRPr="00702882">
              <w:rPr>
                <w:rFonts w:eastAsia="맑은 고딕"/>
                <w:sz w:val="20"/>
                <w:szCs w:val="20"/>
              </w:rPr>
              <w:t>-0.19 (0.17)</w:t>
            </w:r>
          </w:p>
        </w:tc>
        <w:tc>
          <w:tcPr>
            <w:tcW w:w="2188" w:type="dxa"/>
            <w:vAlign w:val="center"/>
          </w:tcPr>
          <w:p w14:paraId="57DCB0B2" w14:textId="77777777" w:rsidR="00AF6702" w:rsidRPr="00702882" w:rsidRDefault="00AF6702" w:rsidP="00AD1954">
            <w:pPr>
              <w:jc w:val="both"/>
              <w:rPr>
                <w:rFonts w:eastAsia="맑은 고딕"/>
                <w:sz w:val="20"/>
                <w:szCs w:val="20"/>
              </w:rPr>
            </w:pPr>
            <w:r w:rsidRPr="00702882">
              <w:rPr>
                <w:rFonts w:eastAsia="맑은 고딕"/>
                <w:sz w:val="20"/>
                <w:szCs w:val="20"/>
              </w:rPr>
              <w:t>-0.20 (0.17)</w:t>
            </w:r>
          </w:p>
        </w:tc>
      </w:tr>
      <w:tr w:rsidR="00594E45" w:rsidRPr="00702882" w14:paraId="1DF617E7" w14:textId="77777777" w:rsidTr="00AE6820">
        <w:trPr>
          <w:trHeight w:val="283"/>
          <w:jc w:val="center"/>
        </w:trPr>
        <w:tc>
          <w:tcPr>
            <w:tcW w:w="2188" w:type="dxa"/>
            <w:shd w:val="clear" w:color="auto" w:fill="auto"/>
            <w:noWrap/>
            <w:vAlign w:val="center"/>
            <w:hideMark/>
          </w:tcPr>
          <w:p w14:paraId="1087A52F" w14:textId="77777777" w:rsidR="00AF6702" w:rsidRPr="00702882" w:rsidRDefault="00AF6702" w:rsidP="00AD1954">
            <w:pPr>
              <w:jc w:val="both"/>
              <w:rPr>
                <w:rFonts w:eastAsia="맑은 고딕"/>
                <w:sz w:val="20"/>
                <w:szCs w:val="20"/>
              </w:rPr>
            </w:pPr>
            <w:r w:rsidRPr="00702882">
              <w:rPr>
                <w:rFonts w:eastAsia="맑은 고딕"/>
                <w:sz w:val="20"/>
                <w:szCs w:val="20"/>
              </w:rPr>
              <w:t>Democrat_share</w:t>
            </w:r>
          </w:p>
        </w:tc>
        <w:tc>
          <w:tcPr>
            <w:tcW w:w="2188" w:type="dxa"/>
            <w:vAlign w:val="center"/>
          </w:tcPr>
          <w:p w14:paraId="3ED8C3B5" w14:textId="77777777" w:rsidR="00AF6702" w:rsidRPr="00702882" w:rsidRDefault="00AF6702" w:rsidP="00AD1954">
            <w:pPr>
              <w:jc w:val="both"/>
              <w:rPr>
                <w:rFonts w:eastAsia="맑은 고딕"/>
                <w:sz w:val="20"/>
                <w:szCs w:val="20"/>
              </w:rPr>
            </w:pPr>
          </w:p>
        </w:tc>
        <w:tc>
          <w:tcPr>
            <w:tcW w:w="2188" w:type="dxa"/>
            <w:shd w:val="clear" w:color="auto" w:fill="auto"/>
            <w:noWrap/>
            <w:vAlign w:val="center"/>
            <w:hideMark/>
          </w:tcPr>
          <w:p w14:paraId="1CD8C31C" w14:textId="77777777" w:rsidR="00AF6702" w:rsidRPr="00702882" w:rsidRDefault="00AF6702" w:rsidP="00AD1954">
            <w:pPr>
              <w:jc w:val="both"/>
              <w:rPr>
                <w:rFonts w:eastAsia="맑은 고딕"/>
                <w:sz w:val="20"/>
                <w:szCs w:val="20"/>
              </w:rPr>
            </w:pPr>
            <w:r w:rsidRPr="00702882">
              <w:rPr>
                <w:rFonts w:eastAsia="맑은 고딕"/>
                <w:sz w:val="20"/>
                <w:szCs w:val="20"/>
              </w:rPr>
              <w:t>3.74 (2.54)</w:t>
            </w:r>
          </w:p>
        </w:tc>
        <w:tc>
          <w:tcPr>
            <w:tcW w:w="2188" w:type="dxa"/>
            <w:vAlign w:val="center"/>
          </w:tcPr>
          <w:p w14:paraId="42C1C02B" w14:textId="77777777" w:rsidR="00AF6702" w:rsidRPr="00702882" w:rsidRDefault="00AF6702" w:rsidP="00AD1954">
            <w:pPr>
              <w:jc w:val="both"/>
              <w:rPr>
                <w:rFonts w:eastAsia="맑은 고딕"/>
                <w:sz w:val="20"/>
                <w:szCs w:val="20"/>
              </w:rPr>
            </w:pPr>
            <w:r w:rsidRPr="00702882">
              <w:rPr>
                <w:rFonts w:eastAsia="맑은 고딕"/>
                <w:sz w:val="20"/>
                <w:szCs w:val="20"/>
              </w:rPr>
              <w:t>3.17 (2.53)</w:t>
            </w:r>
          </w:p>
        </w:tc>
      </w:tr>
      <w:tr w:rsidR="00594E45" w:rsidRPr="00702882" w14:paraId="7D129BB6" w14:textId="77777777" w:rsidTr="00594E45">
        <w:trPr>
          <w:trHeight w:val="283"/>
          <w:jc w:val="center"/>
        </w:trPr>
        <w:tc>
          <w:tcPr>
            <w:tcW w:w="2188" w:type="dxa"/>
            <w:tcBorders>
              <w:bottom w:val="nil"/>
            </w:tcBorders>
            <w:shd w:val="clear" w:color="auto" w:fill="auto"/>
            <w:noWrap/>
            <w:vAlign w:val="center"/>
            <w:hideMark/>
          </w:tcPr>
          <w:p w14:paraId="04FFAA13" w14:textId="77777777" w:rsidR="00AF6702" w:rsidRPr="00702882" w:rsidRDefault="00AF6702" w:rsidP="00AD1954">
            <w:pPr>
              <w:jc w:val="both"/>
              <w:rPr>
                <w:rFonts w:eastAsia="맑은 고딕"/>
                <w:sz w:val="20"/>
                <w:szCs w:val="20"/>
              </w:rPr>
            </w:pPr>
            <w:r w:rsidRPr="00702882">
              <w:rPr>
                <w:rFonts w:eastAsia="맑은 고딕"/>
                <w:sz w:val="20"/>
                <w:szCs w:val="20"/>
              </w:rPr>
              <w:t>Division</w:t>
            </w:r>
          </w:p>
        </w:tc>
        <w:tc>
          <w:tcPr>
            <w:tcW w:w="2188" w:type="dxa"/>
            <w:tcBorders>
              <w:bottom w:val="nil"/>
            </w:tcBorders>
            <w:vAlign w:val="center"/>
          </w:tcPr>
          <w:p w14:paraId="5F2C545F" w14:textId="77777777" w:rsidR="00AF6702" w:rsidRPr="00702882" w:rsidRDefault="00AF6702" w:rsidP="00AD1954">
            <w:pPr>
              <w:jc w:val="both"/>
              <w:rPr>
                <w:rFonts w:eastAsia="맑은 고딕"/>
                <w:sz w:val="20"/>
                <w:szCs w:val="20"/>
              </w:rPr>
            </w:pPr>
          </w:p>
        </w:tc>
        <w:tc>
          <w:tcPr>
            <w:tcW w:w="2188" w:type="dxa"/>
            <w:tcBorders>
              <w:bottom w:val="nil"/>
            </w:tcBorders>
            <w:shd w:val="clear" w:color="auto" w:fill="auto"/>
            <w:noWrap/>
            <w:vAlign w:val="center"/>
            <w:hideMark/>
          </w:tcPr>
          <w:p w14:paraId="42ADA690" w14:textId="77777777" w:rsidR="00AF6702" w:rsidRPr="00702882" w:rsidRDefault="00AF6702" w:rsidP="00AD1954">
            <w:pPr>
              <w:jc w:val="both"/>
              <w:rPr>
                <w:rFonts w:eastAsia="맑은 고딕"/>
                <w:sz w:val="20"/>
                <w:szCs w:val="20"/>
              </w:rPr>
            </w:pPr>
            <w:r w:rsidRPr="00702882">
              <w:rPr>
                <w:rFonts w:eastAsia="맑은 고딕"/>
                <w:sz w:val="20"/>
                <w:szCs w:val="20"/>
              </w:rPr>
              <w:t>0.36 (0.24)</w:t>
            </w:r>
          </w:p>
        </w:tc>
        <w:tc>
          <w:tcPr>
            <w:tcW w:w="2188" w:type="dxa"/>
            <w:tcBorders>
              <w:bottom w:val="nil"/>
            </w:tcBorders>
            <w:vAlign w:val="center"/>
          </w:tcPr>
          <w:p w14:paraId="1ADBCB4A" w14:textId="77777777" w:rsidR="00AF6702" w:rsidRPr="00702882" w:rsidRDefault="00AF6702" w:rsidP="00AD1954">
            <w:pPr>
              <w:jc w:val="both"/>
              <w:rPr>
                <w:rFonts w:eastAsia="맑은 고딕"/>
                <w:sz w:val="20"/>
                <w:szCs w:val="20"/>
              </w:rPr>
            </w:pPr>
            <w:r w:rsidRPr="00702882">
              <w:rPr>
                <w:rFonts w:eastAsia="맑은 고딕"/>
                <w:sz w:val="20"/>
                <w:szCs w:val="20"/>
              </w:rPr>
              <w:t>0.27 (0.23)</w:t>
            </w:r>
          </w:p>
        </w:tc>
      </w:tr>
      <w:tr w:rsidR="00594E45" w:rsidRPr="00702882" w14:paraId="4A170788" w14:textId="77777777" w:rsidTr="00594E45">
        <w:trPr>
          <w:trHeight w:val="283"/>
          <w:jc w:val="center"/>
        </w:trPr>
        <w:tc>
          <w:tcPr>
            <w:tcW w:w="2188" w:type="dxa"/>
            <w:tcBorders>
              <w:top w:val="nil"/>
              <w:bottom w:val="single" w:sz="8" w:space="0" w:color="auto"/>
            </w:tcBorders>
            <w:shd w:val="clear" w:color="auto" w:fill="auto"/>
            <w:noWrap/>
            <w:vAlign w:val="center"/>
          </w:tcPr>
          <w:p w14:paraId="4DECA069" w14:textId="77777777" w:rsidR="00AF6702" w:rsidRPr="00702882" w:rsidRDefault="00AF6702" w:rsidP="00AD1954">
            <w:pPr>
              <w:jc w:val="both"/>
              <w:rPr>
                <w:rFonts w:eastAsia="맑은 고딕"/>
                <w:sz w:val="20"/>
                <w:szCs w:val="20"/>
              </w:rPr>
            </w:pPr>
            <w:r w:rsidRPr="00702882">
              <w:rPr>
                <w:rFonts w:eastAsia="맑은 고딕"/>
                <w:sz w:val="20"/>
                <w:szCs w:val="20"/>
              </w:rPr>
              <w:t>WithShortfall</w:t>
            </w:r>
          </w:p>
        </w:tc>
        <w:tc>
          <w:tcPr>
            <w:tcW w:w="2188" w:type="dxa"/>
            <w:tcBorders>
              <w:top w:val="nil"/>
              <w:bottom w:val="single" w:sz="8" w:space="0" w:color="auto"/>
            </w:tcBorders>
            <w:vAlign w:val="center"/>
          </w:tcPr>
          <w:p w14:paraId="09D2A966" w14:textId="77777777" w:rsidR="00AF6702" w:rsidRPr="00702882" w:rsidRDefault="00AF6702" w:rsidP="00AD1954">
            <w:pPr>
              <w:jc w:val="both"/>
              <w:rPr>
                <w:rFonts w:eastAsia="맑은 고딕"/>
                <w:sz w:val="20"/>
                <w:szCs w:val="20"/>
              </w:rPr>
            </w:pPr>
          </w:p>
        </w:tc>
        <w:tc>
          <w:tcPr>
            <w:tcW w:w="2188" w:type="dxa"/>
            <w:tcBorders>
              <w:top w:val="nil"/>
              <w:bottom w:val="single" w:sz="8" w:space="0" w:color="auto"/>
            </w:tcBorders>
            <w:shd w:val="clear" w:color="auto" w:fill="auto"/>
            <w:noWrap/>
            <w:vAlign w:val="center"/>
          </w:tcPr>
          <w:p w14:paraId="71B96BF1" w14:textId="77777777" w:rsidR="00AF6702" w:rsidRPr="00702882" w:rsidRDefault="00AF6702" w:rsidP="00AD1954">
            <w:pPr>
              <w:jc w:val="both"/>
              <w:rPr>
                <w:rFonts w:eastAsia="맑은 고딕"/>
                <w:sz w:val="20"/>
                <w:szCs w:val="20"/>
              </w:rPr>
            </w:pPr>
          </w:p>
        </w:tc>
        <w:tc>
          <w:tcPr>
            <w:tcW w:w="2188" w:type="dxa"/>
            <w:tcBorders>
              <w:top w:val="nil"/>
              <w:bottom w:val="single" w:sz="8" w:space="0" w:color="auto"/>
            </w:tcBorders>
            <w:vAlign w:val="center"/>
          </w:tcPr>
          <w:p w14:paraId="716EFE19" w14:textId="77777777" w:rsidR="00AF6702" w:rsidRPr="00702882" w:rsidRDefault="00AF6702" w:rsidP="00AD1954">
            <w:pPr>
              <w:jc w:val="both"/>
              <w:rPr>
                <w:rFonts w:eastAsia="맑은 고딕"/>
                <w:sz w:val="20"/>
                <w:szCs w:val="20"/>
              </w:rPr>
            </w:pPr>
            <w:r w:rsidRPr="00702882">
              <w:rPr>
                <w:rFonts w:eastAsia="맑은 고딕"/>
                <w:sz w:val="20"/>
                <w:szCs w:val="20"/>
              </w:rPr>
              <w:t>-1.86 (1.53)</w:t>
            </w:r>
          </w:p>
        </w:tc>
      </w:tr>
      <w:tr w:rsidR="00594E45" w:rsidRPr="00702882" w14:paraId="0C39987C" w14:textId="77777777" w:rsidTr="002E1A2E">
        <w:trPr>
          <w:trHeight w:val="283"/>
          <w:jc w:val="center"/>
        </w:trPr>
        <w:tc>
          <w:tcPr>
            <w:tcW w:w="8752" w:type="dxa"/>
            <w:gridSpan w:val="4"/>
            <w:tcBorders>
              <w:top w:val="single" w:sz="8" w:space="0" w:color="auto"/>
              <w:bottom w:val="nil"/>
            </w:tcBorders>
            <w:shd w:val="clear" w:color="auto" w:fill="auto"/>
            <w:noWrap/>
            <w:vAlign w:val="center"/>
          </w:tcPr>
          <w:p w14:paraId="419E2BF9" w14:textId="77777777" w:rsidR="00594E45" w:rsidRPr="00702882" w:rsidRDefault="00594E45" w:rsidP="00594E45">
            <w:pPr>
              <w:spacing w:before="240" w:line="480" w:lineRule="auto"/>
              <w:ind w:left="1" w:right="380" w:hanging="1"/>
              <w:contextualSpacing/>
              <w:rPr>
                <w:rFonts w:eastAsiaTheme="minorEastAsia"/>
                <w:sz w:val="20"/>
                <w:szCs w:val="20"/>
              </w:rPr>
            </w:pPr>
            <w:r w:rsidRPr="00702882">
              <w:rPr>
                <w:sz w:val="20"/>
                <w:szCs w:val="20"/>
                <w:vertAlign w:val="superscript"/>
              </w:rPr>
              <w:t>***</w:t>
            </w:r>
            <w:r w:rsidRPr="00702882">
              <w:rPr>
                <w:sz w:val="20"/>
                <w:szCs w:val="20"/>
              </w:rPr>
              <w:t xml:space="preserve">p &lt; 0.01; </w:t>
            </w:r>
            <w:r w:rsidRPr="00702882">
              <w:rPr>
                <w:sz w:val="20"/>
                <w:szCs w:val="20"/>
                <w:vertAlign w:val="superscript"/>
              </w:rPr>
              <w:t>**</w:t>
            </w:r>
            <w:r w:rsidRPr="00702882">
              <w:rPr>
                <w:sz w:val="20"/>
                <w:szCs w:val="20"/>
              </w:rPr>
              <w:t xml:space="preserve">p &lt; 0.05; </w:t>
            </w:r>
            <w:r w:rsidRPr="00702882">
              <w:rPr>
                <w:sz w:val="20"/>
                <w:szCs w:val="20"/>
                <w:vertAlign w:val="superscript"/>
              </w:rPr>
              <w:t>*</w:t>
            </w:r>
            <w:r w:rsidRPr="00702882">
              <w:rPr>
                <w:sz w:val="20"/>
                <w:szCs w:val="20"/>
              </w:rPr>
              <w:t>p &lt; 0.1</w:t>
            </w:r>
          </w:p>
          <w:p w14:paraId="2BE50690" w14:textId="761DC57E" w:rsidR="00594E45" w:rsidRPr="00702882" w:rsidRDefault="00594E45" w:rsidP="00594E45">
            <w:pPr>
              <w:spacing w:before="240"/>
              <w:ind w:left="1" w:rightChars="158" w:right="379" w:hanging="1"/>
              <w:contextualSpacing/>
              <w:rPr>
                <w:rFonts w:eastAsiaTheme="minorEastAsia"/>
                <w:sz w:val="20"/>
                <w:szCs w:val="20"/>
              </w:rPr>
            </w:pPr>
            <w:r w:rsidRPr="00702882">
              <w:rPr>
                <w:rFonts w:eastAsiaTheme="minorEastAsia"/>
                <w:sz w:val="20"/>
                <w:szCs w:val="20"/>
              </w:rPr>
              <w:t xml:space="preserve">Note: </w:t>
            </w:r>
            <w:r w:rsidRPr="00702882">
              <w:rPr>
                <w:sz w:val="20"/>
                <w:szCs w:val="20"/>
              </w:rPr>
              <w:t xml:space="preserve">Standard errors </w:t>
            </w:r>
            <w:r w:rsidRPr="00702882">
              <w:rPr>
                <w:rFonts w:eastAsiaTheme="minorEastAsia"/>
                <w:sz w:val="20"/>
                <w:szCs w:val="20"/>
              </w:rPr>
              <w:t xml:space="preserve">are </w:t>
            </w:r>
            <w:r w:rsidRPr="00702882">
              <w:rPr>
                <w:sz w:val="20"/>
                <w:szCs w:val="20"/>
              </w:rPr>
              <w:t xml:space="preserve">shown in the parentheses. </w:t>
            </w:r>
          </w:p>
        </w:tc>
      </w:tr>
      <w:bookmarkEnd w:id="63"/>
    </w:tbl>
    <w:p w14:paraId="7FC82425" w14:textId="77777777" w:rsidR="00AF6702" w:rsidRPr="00702882" w:rsidRDefault="00AF6702" w:rsidP="00C66AC4">
      <w:pPr>
        <w:spacing w:before="240" w:line="480" w:lineRule="auto"/>
        <w:ind w:left="1" w:right="380" w:hanging="1"/>
        <w:contextualSpacing/>
        <w:rPr>
          <w:rFonts w:eastAsiaTheme="minorEastAsia"/>
          <w:sz w:val="20"/>
          <w:szCs w:val="20"/>
        </w:rPr>
      </w:pPr>
    </w:p>
    <w:p w14:paraId="35A71953" w14:textId="77777777" w:rsidR="00AF6702" w:rsidRPr="00702882" w:rsidRDefault="00AF6702" w:rsidP="00C66AC4">
      <w:pPr>
        <w:spacing w:line="480" w:lineRule="auto"/>
        <w:rPr>
          <w:rFonts w:eastAsiaTheme="minorEastAsia"/>
          <w:b/>
          <w:bCs/>
          <w:color w:val="7030A0"/>
        </w:rPr>
      </w:pPr>
    </w:p>
    <w:p w14:paraId="66834417" w14:textId="77777777" w:rsidR="00AF6702" w:rsidRPr="00702882" w:rsidRDefault="00AF6702" w:rsidP="00C66AC4">
      <w:pPr>
        <w:spacing w:line="480" w:lineRule="auto"/>
        <w:rPr>
          <w:rFonts w:eastAsiaTheme="minorEastAsia"/>
          <w:b/>
          <w:bCs/>
          <w:color w:val="7030A0"/>
        </w:rPr>
      </w:pPr>
    </w:p>
    <w:p w14:paraId="54D8165F" w14:textId="4B143BAE" w:rsidR="00AF6702" w:rsidRPr="00702882" w:rsidRDefault="00FF5DA5" w:rsidP="00FF5DA5">
      <w:pPr>
        <w:tabs>
          <w:tab w:val="left" w:pos="5695"/>
        </w:tabs>
        <w:spacing w:line="480" w:lineRule="auto"/>
        <w:rPr>
          <w:rFonts w:eastAsiaTheme="minorEastAsia"/>
          <w:b/>
          <w:bCs/>
          <w:color w:val="7030A0"/>
        </w:rPr>
      </w:pPr>
      <w:r w:rsidRPr="00702882">
        <w:rPr>
          <w:rFonts w:eastAsiaTheme="minorEastAsia"/>
          <w:b/>
          <w:bCs/>
          <w:color w:val="7030A0"/>
        </w:rPr>
        <w:tab/>
      </w:r>
    </w:p>
    <w:p w14:paraId="2847DF95" w14:textId="77777777" w:rsidR="00FF5DA5" w:rsidRPr="00702882" w:rsidRDefault="00FF5DA5" w:rsidP="00FF5DA5">
      <w:pPr>
        <w:tabs>
          <w:tab w:val="left" w:pos="5695"/>
        </w:tabs>
        <w:spacing w:line="480" w:lineRule="auto"/>
        <w:rPr>
          <w:rFonts w:eastAsiaTheme="minorEastAsia"/>
          <w:b/>
          <w:bCs/>
          <w:color w:val="7030A0"/>
        </w:rPr>
      </w:pPr>
    </w:p>
    <w:p w14:paraId="171837F0" w14:textId="77777777" w:rsidR="00AF6702" w:rsidRPr="00702882" w:rsidRDefault="00AF6702" w:rsidP="00C66AC4">
      <w:pPr>
        <w:spacing w:line="480" w:lineRule="auto"/>
        <w:rPr>
          <w:rFonts w:eastAsiaTheme="minorEastAsia"/>
          <w:b/>
          <w:bCs/>
          <w:color w:val="7030A0"/>
        </w:rPr>
      </w:pPr>
    </w:p>
    <w:p w14:paraId="7ACCAAFF" w14:textId="77777777" w:rsidR="00AD1954" w:rsidRPr="00702882" w:rsidRDefault="00AD1954" w:rsidP="00C66AC4">
      <w:pPr>
        <w:spacing w:line="480" w:lineRule="auto"/>
        <w:rPr>
          <w:rFonts w:eastAsiaTheme="minorEastAsia"/>
          <w:b/>
          <w:bCs/>
          <w:color w:val="7030A0"/>
        </w:rPr>
      </w:pPr>
    </w:p>
    <w:p w14:paraId="1726B63A" w14:textId="77777777" w:rsidR="00AF6702" w:rsidRPr="00702882" w:rsidRDefault="00AF6702" w:rsidP="00C66AC4">
      <w:pPr>
        <w:spacing w:line="480" w:lineRule="auto"/>
        <w:rPr>
          <w:rFonts w:eastAsiaTheme="minorEastAsia"/>
          <w:b/>
          <w:bCs/>
        </w:rPr>
      </w:pPr>
      <w:r w:rsidRPr="00702882">
        <w:rPr>
          <w:rFonts w:eastAsiaTheme="minorEastAsia"/>
          <w:b/>
          <w:bCs/>
        </w:rPr>
        <w:lastRenderedPageBreak/>
        <w:t>6.4. Results from Generalized Synthetic Control Method</w:t>
      </w:r>
      <w:bookmarkStart w:id="64" w:name="ResultsfromGeneralizedSyntheticContr"/>
      <w:bookmarkEnd w:id="64"/>
      <w:r w:rsidRPr="00702882">
        <w:rPr>
          <w:rFonts w:eastAsiaTheme="minorEastAsia"/>
          <w:b/>
          <w:bCs/>
        </w:rPr>
        <w:t xml:space="preserve"> </w:t>
      </w:r>
    </w:p>
    <w:p w14:paraId="1CA9084A" w14:textId="4E7DBE2D" w:rsidR="0049161E" w:rsidRPr="00702882" w:rsidRDefault="00AF6702" w:rsidP="0049161E">
      <w:pPr>
        <w:pStyle w:val="ad"/>
        <w:spacing w:before="0" w:beforeAutospacing="0" w:line="480" w:lineRule="auto"/>
        <w:ind w:firstLine="709"/>
        <w:contextualSpacing/>
        <w:rPr>
          <w:rFonts w:eastAsiaTheme="minorEastAsia"/>
        </w:rPr>
      </w:pPr>
      <w:r w:rsidRPr="00702882">
        <w:t>Table 1</w:t>
      </w:r>
      <w:r w:rsidR="00B67F50" w:rsidRPr="00702882">
        <w:rPr>
          <w:rFonts w:eastAsiaTheme="minorEastAsia"/>
        </w:rPr>
        <w:t>8</w:t>
      </w:r>
      <w:r w:rsidRPr="00702882">
        <w:t xml:space="preserve"> displays the average treatment effect (ATT) of deposit tied to revenue volatility based on the formula</w:t>
      </w:r>
      <w:r w:rsidRPr="00702882">
        <w:rPr>
          <w:rFonts w:eastAsiaTheme="minorEastAsia"/>
        </w:rPr>
        <w:t xml:space="preserve"> on BSF levels</w:t>
      </w:r>
      <w:r w:rsidRPr="00702882">
        <w:t>, averaged over all periods, as well as the beta coefficients of the covariates. Table 1</w:t>
      </w:r>
      <w:r w:rsidR="00B67F50" w:rsidRPr="00702882">
        <w:rPr>
          <w:rFonts w:eastAsiaTheme="minorEastAsia"/>
        </w:rPr>
        <w:t>9</w:t>
      </w:r>
      <w:r w:rsidRPr="00702882">
        <w:t xml:space="preserve"> presents the ATT of </w:t>
      </w:r>
      <w:r w:rsidRPr="00702882">
        <w:rPr>
          <w:rFonts w:eastAsiaTheme="minorEastAsia"/>
        </w:rPr>
        <w:t>deposit</w:t>
      </w:r>
      <w:r w:rsidRPr="00702882">
        <w:t xml:space="preserve"> tied to revenue volatility</w:t>
      </w:r>
      <w:r w:rsidRPr="00702882">
        <w:rPr>
          <w:rFonts w:eastAsiaTheme="minorEastAsia"/>
        </w:rPr>
        <w:t xml:space="preserve"> on GFB levels</w:t>
      </w:r>
      <w:r w:rsidRPr="00702882">
        <w:t xml:space="preserve">, along with the beta coefficients of the covariates. The treated unit is Connecticut's Budget Reserve Fund, chosen for its ample pretreatment periods. </w:t>
      </w:r>
      <w:r w:rsidRPr="00702882">
        <w:rPr>
          <w:rFonts w:eastAsiaTheme="minorEastAsia"/>
        </w:rPr>
        <w:t>Arizona, Indiana, Michigan, and Virginia, are automatically excluded from the analysis due to their limited number of pre-treatment periods.</w:t>
      </w:r>
      <w:r w:rsidR="0049161E" w:rsidRPr="00702882">
        <w:rPr>
          <w:rFonts w:eastAsiaTheme="minorEastAsia"/>
        </w:rPr>
        <w:t xml:space="preserve"> </w:t>
      </w:r>
      <w:r w:rsidR="0049161E" w:rsidRPr="00702882">
        <w:t xml:space="preserve">Consequently, these states neither serve as treated units nor as control units in the GSCM analysis. </w:t>
      </w:r>
    </w:p>
    <w:p w14:paraId="5567ED9A" w14:textId="20F1709E" w:rsidR="0049161E" w:rsidRPr="00702882" w:rsidRDefault="0049161E" w:rsidP="0049161E">
      <w:pPr>
        <w:pStyle w:val="ad"/>
        <w:spacing w:before="0" w:beforeAutospacing="0" w:line="480" w:lineRule="auto"/>
        <w:ind w:firstLine="709"/>
        <w:contextualSpacing/>
        <w:rPr>
          <w:rFonts w:eastAsiaTheme="minorEastAsia"/>
        </w:rPr>
      </w:pPr>
      <w:r w:rsidRPr="00702882">
        <w:t>Therefore, the remaining states, excluding Alaska, Colorado, Kansas, Montana, Oregon, Wyoming, Arizona, Indiana, Michigan, and Virginia, serve as potential control units.</w:t>
      </w:r>
      <w:r w:rsidRPr="00702882">
        <w:rPr>
          <w:rFonts w:eastAsiaTheme="minorEastAsia"/>
        </w:rPr>
        <w:t xml:space="preserve"> </w:t>
      </w:r>
      <w:r w:rsidRPr="00702882">
        <w:t>The GSCM algorithm assigns optimal weights to each control state to create a synthetic control unit based on pre-treatment BSF levels and other relevant characteristics. This optimization process minimizes the difference between Connecticut and the synthetic control unit during the pre-treatment period. In other words, the synthetic control is constructed using the weighted average of the control states to replicate Connecticut’s pre-treatment path as closely as possible.</w:t>
      </w:r>
    </w:p>
    <w:p w14:paraId="2A1A8B30" w14:textId="77777777"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t>Model 1 includes essential independent variables, such as BSF deposit and withdrawal regulations, alongside unemployment rates. Model 2 extends this by introducing control variables, such as fiscal and economic conditions, sociodemographic factors, state politics, and fiscal institutions, to enhance the fit between a treated state and synthetic controls. Model 3 further expands upon this, by integrating withdrawal due to revenue shortfall (WithShortfall), which is strongly associated with deposit revenue surplus (DepoSurplus_numeric) to check the consistency of the findings.</w:t>
      </w:r>
    </w:p>
    <w:p w14:paraId="575A84BB" w14:textId="77777777"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lastRenderedPageBreak/>
        <w:t>However, withdrawal tied to revenue volatility (WithVol) has been excluded from all models due to multicollinearity with deposit linked to revenue volatility (DepoVol_formula). This decision stems from Connecticut's simultaneous linking of both deposit and withdrawal to revenue volatility during the same period in 2017. In the GSCM, accurate weight assignment to control units is crucial for creating a synthetic control. Multicollinearity can impede this process, resulting in a synthetic control that fails to adequately match the treated unit's characteristics. Furthermore, multicollinearity can increase variance in estimates, reducing the precision of treatment effect estimates.</w:t>
      </w:r>
    </w:p>
    <w:p w14:paraId="46A2E109" w14:textId="35C01EB8"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t>As shown in Table 1</w:t>
      </w:r>
      <w:r w:rsidR="004F6A54" w:rsidRPr="00702882">
        <w:rPr>
          <w:rFonts w:eastAsiaTheme="minorEastAsia"/>
        </w:rPr>
        <w:t>9</w:t>
      </w:r>
      <w:r w:rsidRPr="00702882">
        <w:rPr>
          <w:rFonts w:eastAsiaTheme="minorEastAsia"/>
        </w:rPr>
        <w:t xml:space="preserve">, there is a noteworthy rise of approximately 11 to 15 percentage points in BSF as a proportion of General Fund expenditures in Connecticut, the state under examination. In other words, </w:t>
      </w:r>
      <w:r w:rsidRPr="00702882">
        <w:t>implementing a deposit tied to revenue volatility, as determined by the formula</w:t>
      </w:r>
      <w:r w:rsidRPr="00702882">
        <w:rPr>
          <w:rFonts w:eastAsiaTheme="minorEastAsia"/>
        </w:rPr>
        <w:t xml:space="preserve"> (DepoVol_formula)</w:t>
      </w:r>
      <w:r w:rsidRPr="00702882">
        <w:t>, results in higher levels of BSF balance compared to a counterfactual scenario where the BSF is not linked to revenue volatility.</w:t>
      </w:r>
      <w:r w:rsidRPr="00702882">
        <w:rPr>
          <w:rFonts w:eastAsiaTheme="minorEastAsia"/>
        </w:rPr>
        <w:t xml:space="preserve"> </w:t>
      </w:r>
      <w:r w:rsidRPr="00702882">
        <w:t xml:space="preserve">This finding supports our hypothesis that stringent BSF rules, characterized by well-defined savings obligations, play a crucial role in enhancing the size of the BSF. </w:t>
      </w:r>
    </w:p>
    <w:p w14:paraId="719FEDB5" w14:textId="77777777"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t>The findings concerning deposit requirements are consistent with the results obtained from fixed effects models. The coefficients for Cap as a percentage of general fund expenditures (Cap_percent) are consistently positive and highly statistically significant. An increase of one unit in Cap leads to a rise in BSF levels by 0.4 percentage points, all else being equal (p &lt; 0.01). Similarly, deposit revenue surplus (DepoSurplus_numeric) consistently displays positive coefficients across all models. An increase of one unit in deposit revenue surplus results in an approximate increase of about 4 to 5 percentage points in BSF levels, while accounting for other variables (p &lt; 0.01).</w:t>
      </w:r>
    </w:p>
    <w:p w14:paraId="1F6F37FC" w14:textId="77777777"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lastRenderedPageBreak/>
        <w:t>In contrast to the fixed effects model, where source indicates a negative impact on BSF levels, “source (Source_percent)” demonstrates a significant positive effect on BSF levels in all GSCM models, leading to an increase of 0.5 percentage points (p &lt; 0.1). This finding supports our hypothesis 1, suggesting a positive impact of strict deposit regulations on BSF levels. Among the covariates, General Fund Balance (GFB) levels do not significantly impact BSF levels, diverging from the results from the fixed effects models.</w:t>
      </w:r>
    </w:p>
    <w:p w14:paraId="08C38283" w14:textId="6BCD65F0"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t>Consistent with fixed effects model, the variable of unemployment rate shows negative coefficients across all models, indicating that higher unemployment rates are associated with lower BSF levels (p &lt; 0.01). These findings suggest that BSF levels tend to decrease during economic downturns. However, other control variables, including disasters, federal intergovernmental revenue, debt per capita, credit rating, state politics, and fiscal institutions, are not statistically significant in all models.</w:t>
      </w:r>
    </w:p>
    <w:p w14:paraId="1670AAF9" w14:textId="0B4C4D6C" w:rsidR="00F360CD" w:rsidRPr="00702882" w:rsidRDefault="00F360CD" w:rsidP="00F360CD">
      <w:pPr>
        <w:pStyle w:val="ad"/>
        <w:spacing w:before="0" w:beforeAutospacing="0" w:line="480" w:lineRule="auto"/>
        <w:ind w:firstLine="709"/>
        <w:contextualSpacing/>
        <w:rPr>
          <w:rFonts w:eastAsiaTheme="minorEastAsia"/>
        </w:rPr>
      </w:pPr>
      <w:r w:rsidRPr="00702882">
        <w:rPr>
          <w:rFonts w:eastAsiaTheme="minorEastAsia"/>
        </w:rPr>
        <w:t>Figure 9 illustrates the estimated effects of the deposit tied to revenue volatility, calculated by the formula, on BSF balance levels across various years. The blue dotted line represents the counterfactual BSF balance levels, while the solid black line represents the BSF balance levels of a treated state. The impact of the deposit tied to revenue volatility (formula) is evident in the discrepancies observed between a treated state and its synthetic controls during the post-treatment period. Figure 9 depicts a significant increase in BSF as a percentage of general fund expenditures during the fiscal years 2018 through 2020.</w:t>
      </w:r>
    </w:p>
    <w:p w14:paraId="649D6AAB" w14:textId="77777777" w:rsidR="00F360CD" w:rsidRPr="00702882" w:rsidRDefault="00F360CD" w:rsidP="00F360CD">
      <w:pPr>
        <w:pStyle w:val="ad"/>
        <w:spacing w:before="0" w:beforeAutospacing="0" w:line="480" w:lineRule="auto"/>
        <w:ind w:firstLine="709"/>
        <w:contextualSpacing/>
        <w:rPr>
          <w:rFonts w:eastAsiaTheme="minorEastAsia"/>
        </w:rPr>
      </w:pPr>
    </w:p>
    <w:p w14:paraId="7C325012" w14:textId="77777777" w:rsidR="00F360CD" w:rsidRPr="00702882" w:rsidRDefault="00F360CD" w:rsidP="00F360CD">
      <w:pPr>
        <w:pStyle w:val="ad"/>
        <w:spacing w:before="0" w:beforeAutospacing="0" w:line="480" w:lineRule="auto"/>
        <w:ind w:firstLine="709"/>
        <w:contextualSpacing/>
        <w:rPr>
          <w:rFonts w:eastAsiaTheme="minorEastAsia"/>
        </w:rPr>
      </w:pPr>
    </w:p>
    <w:p w14:paraId="19532D62" w14:textId="77777777" w:rsidR="00F360CD" w:rsidRPr="00702882" w:rsidRDefault="00F360CD" w:rsidP="00F360CD">
      <w:pPr>
        <w:pStyle w:val="ad"/>
        <w:spacing w:before="0" w:beforeAutospacing="0" w:line="480" w:lineRule="auto"/>
        <w:ind w:firstLine="709"/>
        <w:contextualSpacing/>
        <w:rPr>
          <w:rFonts w:eastAsiaTheme="minorEastAsia"/>
        </w:rPr>
      </w:pPr>
    </w:p>
    <w:p w14:paraId="61A98388" w14:textId="77777777" w:rsidR="00F360CD" w:rsidRPr="00702882" w:rsidRDefault="00F360CD" w:rsidP="00F360CD">
      <w:pPr>
        <w:pStyle w:val="ad"/>
        <w:spacing w:before="0" w:beforeAutospacing="0" w:line="480" w:lineRule="auto"/>
        <w:ind w:firstLine="709"/>
        <w:contextualSpacing/>
        <w:rPr>
          <w:rFonts w:eastAsiaTheme="minorEastAsia"/>
        </w:rPr>
      </w:pPr>
    </w:p>
    <w:p w14:paraId="78688DA6" w14:textId="77777777" w:rsidR="00F360CD" w:rsidRPr="00702882" w:rsidRDefault="00F360CD" w:rsidP="00F360CD">
      <w:pPr>
        <w:pStyle w:val="ad"/>
        <w:spacing w:before="0" w:beforeAutospacing="0" w:line="480" w:lineRule="auto"/>
        <w:ind w:firstLine="709"/>
        <w:contextualSpacing/>
        <w:rPr>
          <w:rFonts w:eastAsiaTheme="minorEastAsia"/>
        </w:rPr>
      </w:pPr>
    </w:p>
    <w:p w14:paraId="3803CCA4" w14:textId="77777777" w:rsidR="00F360CD" w:rsidRPr="00702882" w:rsidRDefault="00F360CD" w:rsidP="00F360CD">
      <w:pPr>
        <w:spacing w:line="480" w:lineRule="auto"/>
        <w:jc w:val="center"/>
        <w:rPr>
          <w:rFonts w:eastAsiaTheme="minorEastAsia"/>
          <w:b/>
          <w:bCs/>
        </w:rPr>
      </w:pPr>
      <w:r w:rsidRPr="00702882">
        <w:rPr>
          <w:b/>
          <w:bCs/>
        </w:rPr>
        <w:lastRenderedPageBreak/>
        <w:t xml:space="preserve">Figure </w:t>
      </w:r>
      <w:r w:rsidRPr="00702882">
        <w:rPr>
          <w:rFonts w:eastAsiaTheme="minorEastAsia"/>
          <w:b/>
          <w:bCs/>
        </w:rPr>
        <w:t>9</w:t>
      </w:r>
      <w:r w:rsidRPr="00702882">
        <w:rPr>
          <w:b/>
          <w:bCs/>
        </w:rPr>
        <w:t>. ATT of deposit tied to revenue volatility on BSF levels over time</w:t>
      </w:r>
    </w:p>
    <w:p w14:paraId="04CE7EDB" w14:textId="77777777" w:rsidR="00F360CD" w:rsidRPr="00702882" w:rsidRDefault="00F360CD" w:rsidP="00F360CD">
      <w:pPr>
        <w:spacing w:line="480" w:lineRule="auto"/>
        <w:jc w:val="center"/>
        <w:rPr>
          <w:rFonts w:eastAsiaTheme="minorEastAsia"/>
          <w:color w:val="7030A0"/>
        </w:rPr>
      </w:pPr>
      <w:r w:rsidRPr="00702882">
        <w:rPr>
          <w:noProof/>
          <w:color w:val="7030A0"/>
          <w:sz w:val="20"/>
          <w:szCs w:val="20"/>
        </w:rPr>
        <w:drawing>
          <wp:inline distT="0" distB="0" distL="0" distR="0" wp14:anchorId="00E551C8" wp14:editId="787F1E4D">
            <wp:extent cx="4984027" cy="3869262"/>
            <wp:effectExtent l="0" t="0" r="7620" b="0"/>
            <wp:docPr id="609416737"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5842" b="5849"/>
                    <a:stretch/>
                  </pic:blipFill>
                  <pic:spPr bwMode="auto">
                    <a:xfrm>
                      <a:off x="0" y="0"/>
                      <a:ext cx="5087263" cy="3949408"/>
                    </a:xfrm>
                    <a:prstGeom prst="rect">
                      <a:avLst/>
                    </a:prstGeom>
                    <a:noFill/>
                    <a:ln>
                      <a:noFill/>
                    </a:ln>
                    <a:extLst>
                      <a:ext uri="{53640926-AAD7-44D8-BBD7-CCE9431645EC}">
                        <a14:shadowObscured xmlns:a14="http://schemas.microsoft.com/office/drawing/2010/main"/>
                      </a:ext>
                    </a:extLst>
                  </pic:spPr>
                </pic:pic>
              </a:graphicData>
            </a:graphic>
          </wp:inline>
        </w:drawing>
      </w:r>
    </w:p>
    <w:p w14:paraId="749BDFC2" w14:textId="77777777" w:rsidR="00F360CD" w:rsidRPr="00702882" w:rsidRDefault="00F360CD" w:rsidP="00F360CD">
      <w:pPr>
        <w:pStyle w:val="ad"/>
        <w:spacing w:before="0" w:beforeAutospacing="0" w:line="480" w:lineRule="auto"/>
        <w:contextualSpacing/>
        <w:rPr>
          <w:rFonts w:eastAsiaTheme="minorEastAsia"/>
        </w:rPr>
      </w:pPr>
    </w:p>
    <w:p w14:paraId="485AC964" w14:textId="77777777" w:rsidR="00E678BE" w:rsidRPr="00702882" w:rsidRDefault="00E678BE" w:rsidP="00F360CD">
      <w:pPr>
        <w:pStyle w:val="ad"/>
        <w:spacing w:before="0" w:beforeAutospacing="0" w:line="480" w:lineRule="auto"/>
        <w:contextualSpacing/>
        <w:rPr>
          <w:rFonts w:eastAsiaTheme="minorEastAsia"/>
        </w:rPr>
      </w:pPr>
    </w:p>
    <w:p w14:paraId="65279531" w14:textId="77777777" w:rsidR="00E678BE" w:rsidRPr="00702882" w:rsidRDefault="00E678BE" w:rsidP="00F360CD">
      <w:pPr>
        <w:pStyle w:val="ad"/>
        <w:spacing w:before="0" w:beforeAutospacing="0" w:line="480" w:lineRule="auto"/>
        <w:contextualSpacing/>
        <w:rPr>
          <w:rFonts w:eastAsiaTheme="minorEastAsia"/>
        </w:rPr>
      </w:pPr>
    </w:p>
    <w:p w14:paraId="458A9910" w14:textId="77777777" w:rsidR="00E678BE" w:rsidRPr="00702882" w:rsidRDefault="00E678BE" w:rsidP="00F360CD">
      <w:pPr>
        <w:pStyle w:val="ad"/>
        <w:spacing w:before="0" w:beforeAutospacing="0" w:line="480" w:lineRule="auto"/>
        <w:contextualSpacing/>
        <w:rPr>
          <w:rFonts w:eastAsiaTheme="minorEastAsia"/>
        </w:rPr>
      </w:pPr>
    </w:p>
    <w:p w14:paraId="46B13DC3" w14:textId="77777777" w:rsidR="00E678BE" w:rsidRPr="00702882" w:rsidRDefault="00E678BE" w:rsidP="00F360CD">
      <w:pPr>
        <w:pStyle w:val="ad"/>
        <w:spacing w:before="0" w:beforeAutospacing="0" w:line="480" w:lineRule="auto"/>
        <w:contextualSpacing/>
        <w:rPr>
          <w:rFonts w:eastAsiaTheme="minorEastAsia"/>
        </w:rPr>
      </w:pPr>
    </w:p>
    <w:p w14:paraId="174A4881" w14:textId="77777777" w:rsidR="00E678BE" w:rsidRPr="00702882" w:rsidRDefault="00E678BE" w:rsidP="00F360CD">
      <w:pPr>
        <w:pStyle w:val="ad"/>
        <w:spacing w:before="0" w:beforeAutospacing="0" w:line="480" w:lineRule="auto"/>
        <w:contextualSpacing/>
        <w:rPr>
          <w:rFonts w:eastAsiaTheme="minorEastAsia"/>
        </w:rPr>
      </w:pPr>
    </w:p>
    <w:p w14:paraId="127AE7D8" w14:textId="77777777" w:rsidR="00E678BE" w:rsidRPr="00702882" w:rsidRDefault="00E678BE" w:rsidP="00F360CD">
      <w:pPr>
        <w:pStyle w:val="ad"/>
        <w:spacing w:before="0" w:beforeAutospacing="0" w:line="480" w:lineRule="auto"/>
        <w:contextualSpacing/>
        <w:rPr>
          <w:rFonts w:eastAsiaTheme="minorEastAsia"/>
        </w:rPr>
      </w:pPr>
    </w:p>
    <w:p w14:paraId="4650FCDB" w14:textId="77777777" w:rsidR="00E678BE" w:rsidRPr="00702882" w:rsidRDefault="00E678BE" w:rsidP="00F360CD">
      <w:pPr>
        <w:pStyle w:val="ad"/>
        <w:spacing w:before="0" w:beforeAutospacing="0" w:line="480" w:lineRule="auto"/>
        <w:contextualSpacing/>
        <w:rPr>
          <w:rFonts w:eastAsiaTheme="minorEastAsia"/>
        </w:rPr>
      </w:pPr>
    </w:p>
    <w:p w14:paraId="487A35EA" w14:textId="77777777" w:rsidR="00E678BE" w:rsidRPr="00702882" w:rsidRDefault="00E678BE" w:rsidP="00F360CD">
      <w:pPr>
        <w:pStyle w:val="ad"/>
        <w:spacing w:before="0" w:beforeAutospacing="0" w:line="480" w:lineRule="auto"/>
        <w:contextualSpacing/>
        <w:rPr>
          <w:rFonts w:eastAsiaTheme="minorEastAsia"/>
        </w:rPr>
      </w:pPr>
    </w:p>
    <w:p w14:paraId="41E21279" w14:textId="77777777" w:rsidR="00E678BE" w:rsidRPr="00702882" w:rsidRDefault="00E678BE" w:rsidP="00F360CD">
      <w:pPr>
        <w:pStyle w:val="ad"/>
        <w:spacing w:before="0" w:beforeAutospacing="0" w:line="480" w:lineRule="auto"/>
        <w:contextualSpacing/>
        <w:rPr>
          <w:rFonts w:eastAsiaTheme="minorEastAsia"/>
        </w:rPr>
      </w:pPr>
    </w:p>
    <w:p w14:paraId="1EC3716C" w14:textId="77777777" w:rsidR="00E678BE" w:rsidRPr="00702882" w:rsidRDefault="00E678BE" w:rsidP="00F360CD">
      <w:pPr>
        <w:pStyle w:val="ad"/>
        <w:spacing w:before="0" w:beforeAutospacing="0" w:line="480" w:lineRule="auto"/>
        <w:contextualSpacing/>
        <w:rPr>
          <w:rFonts w:eastAsiaTheme="minorEastAsia"/>
        </w:rPr>
      </w:pPr>
    </w:p>
    <w:p w14:paraId="00325DDC" w14:textId="77777777" w:rsidR="00E678BE" w:rsidRPr="00702882" w:rsidRDefault="00E678BE" w:rsidP="00F360CD">
      <w:pPr>
        <w:pStyle w:val="ad"/>
        <w:spacing w:before="0" w:beforeAutospacing="0" w:line="480" w:lineRule="auto"/>
        <w:contextualSpacing/>
        <w:rPr>
          <w:rFonts w:eastAsiaTheme="minorEastAsia"/>
        </w:rPr>
      </w:pPr>
    </w:p>
    <w:p w14:paraId="0AA06B93" w14:textId="77777777" w:rsidR="00E678BE" w:rsidRPr="00702882" w:rsidRDefault="00E678BE" w:rsidP="00E678BE">
      <w:pPr>
        <w:spacing w:line="480" w:lineRule="auto"/>
        <w:jc w:val="center"/>
        <w:rPr>
          <w:rFonts w:eastAsiaTheme="minorEastAsia"/>
          <w:b/>
          <w:bCs/>
        </w:rPr>
      </w:pPr>
      <w:r w:rsidRPr="00702882">
        <w:rPr>
          <w:b/>
          <w:bCs/>
        </w:rPr>
        <w:lastRenderedPageBreak/>
        <w:t xml:space="preserve">Table </w:t>
      </w:r>
      <w:r w:rsidRPr="00702882">
        <w:rPr>
          <w:rFonts w:eastAsiaTheme="minorEastAsia"/>
          <w:b/>
          <w:bCs/>
        </w:rPr>
        <w:t xml:space="preserve">20. </w:t>
      </w:r>
      <w:r w:rsidRPr="00702882">
        <w:rPr>
          <w:b/>
          <w:bCs/>
        </w:rPr>
        <w:t xml:space="preserve">Effect of </w:t>
      </w:r>
      <w:r w:rsidRPr="00702882">
        <w:rPr>
          <w:rFonts w:eastAsiaTheme="minorEastAsia"/>
          <w:b/>
          <w:bCs/>
        </w:rPr>
        <w:t>Deposit Tied to Revenue Volatility (formula)</w:t>
      </w:r>
      <w:r w:rsidRPr="00702882">
        <w:rPr>
          <w:b/>
          <w:bCs/>
        </w:rPr>
        <w:t xml:space="preserve"> on </w:t>
      </w:r>
      <w:r w:rsidRPr="00702882">
        <w:rPr>
          <w:rFonts w:eastAsiaTheme="minorEastAsia"/>
          <w:b/>
          <w:bCs/>
        </w:rPr>
        <w:t>GFB Levels</w:t>
      </w:r>
    </w:p>
    <w:tbl>
      <w:tblPr>
        <w:tblW w:w="8752" w:type="dxa"/>
        <w:jc w:val="center"/>
        <w:tblCellMar>
          <w:left w:w="99" w:type="dxa"/>
          <w:right w:w="99" w:type="dxa"/>
        </w:tblCellMar>
        <w:tblLook w:val="04A0" w:firstRow="1" w:lastRow="0" w:firstColumn="1" w:lastColumn="0" w:noHBand="0" w:noVBand="1"/>
      </w:tblPr>
      <w:tblGrid>
        <w:gridCol w:w="2188"/>
        <w:gridCol w:w="2188"/>
        <w:gridCol w:w="2188"/>
        <w:gridCol w:w="2188"/>
      </w:tblGrid>
      <w:tr w:rsidR="00E678BE" w:rsidRPr="00702882" w14:paraId="6DC2557D" w14:textId="77777777" w:rsidTr="00056B9F">
        <w:trPr>
          <w:trHeight w:val="283"/>
          <w:jc w:val="center"/>
        </w:trPr>
        <w:tc>
          <w:tcPr>
            <w:tcW w:w="2188" w:type="dxa"/>
            <w:tcBorders>
              <w:top w:val="single" w:sz="8" w:space="0" w:color="auto"/>
              <w:left w:val="nil"/>
              <w:bottom w:val="single" w:sz="8" w:space="0" w:color="auto"/>
              <w:right w:val="nil"/>
            </w:tcBorders>
            <w:shd w:val="clear" w:color="auto" w:fill="auto"/>
            <w:noWrap/>
            <w:vAlign w:val="center"/>
            <w:hideMark/>
          </w:tcPr>
          <w:p w14:paraId="474B9263" w14:textId="77777777" w:rsidR="00E678BE" w:rsidRPr="00702882" w:rsidRDefault="00E678BE" w:rsidP="00056B9F">
            <w:pPr>
              <w:jc w:val="both"/>
              <w:rPr>
                <w:rFonts w:eastAsia="굴림"/>
                <w:b/>
                <w:bCs/>
                <w:sz w:val="20"/>
                <w:szCs w:val="20"/>
              </w:rPr>
            </w:pPr>
            <w:bookmarkStart w:id="65" w:name="_Hlk162161593"/>
          </w:p>
        </w:tc>
        <w:tc>
          <w:tcPr>
            <w:tcW w:w="2188" w:type="dxa"/>
            <w:tcBorders>
              <w:top w:val="single" w:sz="8" w:space="0" w:color="auto"/>
              <w:left w:val="nil"/>
              <w:bottom w:val="single" w:sz="8" w:space="0" w:color="auto"/>
              <w:right w:val="nil"/>
            </w:tcBorders>
            <w:vAlign w:val="center"/>
          </w:tcPr>
          <w:p w14:paraId="393BAB58" w14:textId="77777777" w:rsidR="00E678BE" w:rsidRPr="00702882" w:rsidRDefault="00E678BE" w:rsidP="00056B9F">
            <w:pPr>
              <w:jc w:val="both"/>
              <w:rPr>
                <w:rFonts w:eastAsia="맑은 고딕"/>
                <w:b/>
                <w:bCs/>
                <w:sz w:val="20"/>
                <w:szCs w:val="20"/>
              </w:rPr>
            </w:pPr>
            <w:r w:rsidRPr="00702882">
              <w:rPr>
                <w:rFonts w:eastAsia="맑은 고딕"/>
                <w:b/>
                <w:bCs/>
                <w:sz w:val="20"/>
                <w:szCs w:val="20"/>
              </w:rPr>
              <w:t>Model 1</w:t>
            </w:r>
          </w:p>
        </w:tc>
        <w:tc>
          <w:tcPr>
            <w:tcW w:w="2188" w:type="dxa"/>
            <w:tcBorders>
              <w:top w:val="single" w:sz="8" w:space="0" w:color="auto"/>
              <w:left w:val="nil"/>
              <w:bottom w:val="single" w:sz="8" w:space="0" w:color="auto"/>
              <w:right w:val="nil"/>
            </w:tcBorders>
            <w:vAlign w:val="center"/>
          </w:tcPr>
          <w:p w14:paraId="41291E78" w14:textId="77777777" w:rsidR="00E678BE" w:rsidRPr="00702882" w:rsidRDefault="00E678BE" w:rsidP="00056B9F">
            <w:pPr>
              <w:jc w:val="both"/>
              <w:rPr>
                <w:rFonts w:eastAsia="맑은 고딕"/>
                <w:b/>
                <w:bCs/>
                <w:sz w:val="20"/>
                <w:szCs w:val="20"/>
              </w:rPr>
            </w:pPr>
            <w:r w:rsidRPr="00702882">
              <w:rPr>
                <w:rFonts w:eastAsia="맑은 고딕"/>
                <w:b/>
                <w:bCs/>
                <w:sz w:val="20"/>
                <w:szCs w:val="20"/>
              </w:rPr>
              <w:t>Model 2</w:t>
            </w:r>
          </w:p>
        </w:tc>
        <w:tc>
          <w:tcPr>
            <w:tcW w:w="2188" w:type="dxa"/>
            <w:tcBorders>
              <w:top w:val="single" w:sz="8" w:space="0" w:color="auto"/>
              <w:left w:val="nil"/>
              <w:bottom w:val="single" w:sz="8" w:space="0" w:color="auto"/>
              <w:right w:val="nil"/>
            </w:tcBorders>
            <w:shd w:val="clear" w:color="auto" w:fill="auto"/>
            <w:noWrap/>
            <w:vAlign w:val="center"/>
            <w:hideMark/>
          </w:tcPr>
          <w:p w14:paraId="6182B0B7" w14:textId="77777777" w:rsidR="00E678BE" w:rsidRPr="00702882" w:rsidRDefault="00E678BE" w:rsidP="00056B9F">
            <w:pPr>
              <w:jc w:val="both"/>
              <w:rPr>
                <w:rFonts w:eastAsia="맑은 고딕"/>
                <w:b/>
                <w:bCs/>
                <w:sz w:val="20"/>
                <w:szCs w:val="20"/>
              </w:rPr>
            </w:pPr>
            <w:r w:rsidRPr="00702882">
              <w:rPr>
                <w:rFonts w:eastAsia="맑은 고딕"/>
                <w:b/>
                <w:bCs/>
                <w:sz w:val="20"/>
                <w:szCs w:val="20"/>
              </w:rPr>
              <w:t>Model 3</w:t>
            </w:r>
          </w:p>
        </w:tc>
      </w:tr>
      <w:tr w:rsidR="00E678BE" w:rsidRPr="00702882" w14:paraId="048DD068" w14:textId="77777777" w:rsidTr="00056B9F">
        <w:trPr>
          <w:trHeight w:val="283"/>
          <w:jc w:val="center"/>
        </w:trPr>
        <w:tc>
          <w:tcPr>
            <w:tcW w:w="2188" w:type="dxa"/>
            <w:tcBorders>
              <w:top w:val="single" w:sz="8" w:space="0" w:color="auto"/>
              <w:left w:val="nil"/>
              <w:bottom w:val="nil"/>
              <w:right w:val="nil"/>
            </w:tcBorders>
            <w:shd w:val="clear" w:color="auto" w:fill="auto"/>
            <w:noWrap/>
            <w:vAlign w:val="center"/>
          </w:tcPr>
          <w:p w14:paraId="535683A9" w14:textId="77777777" w:rsidR="00E678BE" w:rsidRPr="00702882" w:rsidRDefault="00E678BE" w:rsidP="00056B9F">
            <w:pPr>
              <w:rPr>
                <w:rFonts w:eastAsia="맑은 고딕"/>
                <w:sz w:val="20"/>
                <w:szCs w:val="20"/>
              </w:rPr>
            </w:pPr>
            <w:r w:rsidRPr="00702882">
              <w:rPr>
                <w:rFonts w:eastAsia="맑은 고딕"/>
                <w:sz w:val="20"/>
                <w:szCs w:val="20"/>
              </w:rPr>
              <w:t>DepoVol_formula</w:t>
            </w:r>
          </w:p>
        </w:tc>
        <w:tc>
          <w:tcPr>
            <w:tcW w:w="2188" w:type="dxa"/>
            <w:tcBorders>
              <w:top w:val="single" w:sz="8" w:space="0" w:color="auto"/>
              <w:left w:val="nil"/>
              <w:bottom w:val="nil"/>
              <w:right w:val="nil"/>
            </w:tcBorders>
          </w:tcPr>
          <w:p w14:paraId="3905CFEC" w14:textId="77777777" w:rsidR="00E678BE" w:rsidRPr="00702882" w:rsidRDefault="00E678BE" w:rsidP="00056B9F">
            <w:pPr>
              <w:rPr>
                <w:rFonts w:eastAsia="맑은 고딕"/>
                <w:sz w:val="20"/>
                <w:szCs w:val="20"/>
              </w:rPr>
            </w:pPr>
            <w:r w:rsidRPr="00702882">
              <w:rPr>
                <w:rFonts w:eastAsia="맑은 고딕"/>
                <w:sz w:val="20"/>
                <w:szCs w:val="20"/>
              </w:rPr>
              <w:t>5.52 (11.10)</w:t>
            </w:r>
          </w:p>
        </w:tc>
        <w:tc>
          <w:tcPr>
            <w:tcW w:w="2188" w:type="dxa"/>
            <w:tcBorders>
              <w:top w:val="single" w:sz="8" w:space="0" w:color="auto"/>
              <w:left w:val="nil"/>
              <w:bottom w:val="nil"/>
              <w:right w:val="nil"/>
            </w:tcBorders>
            <w:vAlign w:val="center"/>
          </w:tcPr>
          <w:p w14:paraId="2F066F4C" w14:textId="77777777" w:rsidR="00E678BE" w:rsidRPr="00702882" w:rsidRDefault="00E678BE" w:rsidP="00056B9F">
            <w:pPr>
              <w:rPr>
                <w:rFonts w:eastAsia="맑은 고딕"/>
                <w:sz w:val="20"/>
                <w:szCs w:val="20"/>
              </w:rPr>
            </w:pPr>
            <w:r w:rsidRPr="00702882">
              <w:rPr>
                <w:rFonts w:eastAsia="맑은 고딕"/>
                <w:sz w:val="20"/>
                <w:szCs w:val="20"/>
              </w:rPr>
              <w:t>5.89 (11.70)</w:t>
            </w:r>
          </w:p>
        </w:tc>
        <w:tc>
          <w:tcPr>
            <w:tcW w:w="2188" w:type="dxa"/>
            <w:tcBorders>
              <w:top w:val="single" w:sz="8" w:space="0" w:color="auto"/>
              <w:left w:val="nil"/>
              <w:bottom w:val="nil"/>
              <w:right w:val="nil"/>
            </w:tcBorders>
            <w:shd w:val="clear" w:color="auto" w:fill="auto"/>
            <w:noWrap/>
            <w:vAlign w:val="center"/>
          </w:tcPr>
          <w:p w14:paraId="24E872EE" w14:textId="77777777" w:rsidR="00E678BE" w:rsidRPr="00702882" w:rsidRDefault="00E678BE" w:rsidP="00056B9F">
            <w:pPr>
              <w:rPr>
                <w:rFonts w:eastAsia="맑은 고딕"/>
                <w:sz w:val="20"/>
                <w:szCs w:val="20"/>
              </w:rPr>
            </w:pPr>
            <w:r w:rsidRPr="00702882">
              <w:rPr>
                <w:rFonts w:eastAsia="맑은 고딕"/>
                <w:sz w:val="20"/>
                <w:szCs w:val="20"/>
              </w:rPr>
              <w:t>8.12 (11.39)</w:t>
            </w:r>
          </w:p>
        </w:tc>
      </w:tr>
      <w:tr w:rsidR="00E678BE" w:rsidRPr="00702882" w14:paraId="7DB5D69E"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4F80E53F" w14:textId="77777777" w:rsidR="00E678BE" w:rsidRPr="00702882" w:rsidRDefault="00E678BE" w:rsidP="00056B9F">
            <w:pPr>
              <w:jc w:val="both"/>
              <w:rPr>
                <w:rFonts w:eastAsia="맑은 고딕"/>
                <w:sz w:val="20"/>
                <w:szCs w:val="20"/>
              </w:rPr>
            </w:pPr>
            <w:r w:rsidRPr="00702882">
              <w:rPr>
                <w:rFonts w:eastAsia="맑은 고딕"/>
                <w:sz w:val="20"/>
                <w:szCs w:val="20"/>
              </w:rPr>
              <w:t>BSF_percent_lag</w:t>
            </w:r>
          </w:p>
        </w:tc>
        <w:tc>
          <w:tcPr>
            <w:tcW w:w="2188" w:type="dxa"/>
            <w:tcBorders>
              <w:top w:val="nil"/>
              <w:left w:val="nil"/>
              <w:bottom w:val="nil"/>
              <w:right w:val="nil"/>
            </w:tcBorders>
            <w:vAlign w:val="center"/>
          </w:tcPr>
          <w:p w14:paraId="1EE775F5" w14:textId="77777777" w:rsidR="00E678BE" w:rsidRPr="00702882" w:rsidRDefault="00E678BE" w:rsidP="00056B9F">
            <w:pPr>
              <w:rPr>
                <w:rFonts w:eastAsia="맑은 고딕"/>
                <w:sz w:val="20"/>
                <w:szCs w:val="20"/>
              </w:rPr>
            </w:pPr>
            <w:r w:rsidRPr="00702882">
              <w:rPr>
                <w:rFonts w:eastAsia="맑은 고딕"/>
                <w:sz w:val="20"/>
                <w:szCs w:val="20"/>
              </w:rPr>
              <w:t>0.06 (0.10)</w:t>
            </w:r>
          </w:p>
        </w:tc>
        <w:tc>
          <w:tcPr>
            <w:tcW w:w="2188" w:type="dxa"/>
            <w:tcBorders>
              <w:top w:val="nil"/>
              <w:left w:val="nil"/>
              <w:bottom w:val="nil"/>
              <w:right w:val="nil"/>
            </w:tcBorders>
            <w:vAlign w:val="center"/>
          </w:tcPr>
          <w:p w14:paraId="30A50A34" w14:textId="77777777" w:rsidR="00E678BE" w:rsidRPr="00702882" w:rsidRDefault="00E678BE" w:rsidP="00056B9F">
            <w:pPr>
              <w:rPr>
                <w:rFonts w:eastAsia="맑은 고딕"/>
                <w:sz w:val="20"/>
                <w:szCs w:val="20"/>
              </w:rPr>
            </w:pPr>
            <w:r w:rsidRPr="00702882">
              <w:rPr>
                <w:rFonts w:eastAsia="맑은 고딕"/>
                <w:sz w:val="20"/>
                <w:szCs w:val="20"/>
              </w:rPr>
              <w:t>0.05 (0.07)</w:t>
            </w:r>
          </w:p>
        </w:tc>
        <w:tc>
          <w:tcPr>
            <w:tcW w:w="2188" w:type="dxa"/>
            <w:tcBorders>
              <w:top w:val="nil"/>
              <w:left w:val="nil"/>
              <w:bottom w:val="nil"/>
              <w:right w:val="nil"/>
            </w:tcBorders>
            <w:shd w:val="clear" w:color="auto" w:fill="auto"/>
            <w:noWrap/>
            <w:vAlign w:val="center"/>
            <w:hideMark/>
          </w:tcPr>
          <w:p w14:paraId="46852A55" w14:textId="77777777" w:rsidR="00E678BE" w:rsidRPr="00702882" w:rsidRDefault="00E678BE" w:rsidP="00056B9F">
            <w:pPr>
              <w:jc w:val="both"/>
              <w:rPr>
                <w:rFonts w:eastAsia="맑은 고딕"/>
                <w:sz w:val="20"/>
                <w:szCs w:val="20"/>
              </w:rPr>
            </w:pPr>
            <w:r w:rsidRPr="00702882">
              <w:rPr>
                <w:rFonts w:eastAsia="맑은 고딕"/>
                <w:sz w:val="20"/>
                <w:szCs w:val="20"/>
              </w:rPr>
              <w:t>0.06 (0.08)</w:t>
            </w:r>
          </w:p>
        </w:tc>
      </w:tr>
      <w:tr w:rsidR="00E678BE" w:rsidRPr="00702882" w14:paraId="6A56065F"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43F76023" w14:textId="77777777" w:rsidR="00E678BE" w:rsidRPr="00702882" w:rsidRDefault="00E678BE" w:rsidP="00056B9F">
            <w:pPr>
              <w:jc w:val="both"/>
              <w:rPr>
                <w:rFonts w:eastAsia="맑은 고딕"/>
                <w:sz w:val="20"/>
                <w:szCs w:val="20"/>
              </w:rPr>
            </w:pPr>
            <w:r w:rsidRPr="00702882">
              <w:rPr>
                <w:rFonts w:eastAsia="맑은 고딕"/>
                <w:sz w:val="20"/>
                <w:szCs w:val="20"/>
              </w:rPr>
              <w:t>Number</w:t>
            </w:r>
          </w:p>
        </w:tc>
        <w:tc>
          <w:tcPr>
            <w:tcW w:w="2188" w:type="dxa"/>
            <w:tcBorders>
              <w:top w:val="nil"/>
              <w:left w:val="nil"/>
              <w:bottom w:val="nil"/>
              <w:right w:val="nil"/>
            </w:tcBorders>
            <w:vAlign w:val="center"/>
          </w:tcPr>
          <w:p w14:paraId="042FF88F" w14:textId="77777777" w:rsidR="00E678BE" w:rsidRPr="00702882" w:rsidRDefault="00E678BE" w:rsidP="00056B9F">
            <w:pPr>
              <w:rPr>
                <w:rFonts w:eastAsia="맑은 고딕"/>
                <w:sz w:val="20"/>
                <w:szCs w:val="20"/>
              </w:rPr>
            </w:pPr>
            <w:r w:rsidRPr="00702882">
              <w:rPr>
                <w:rFonts w:eastAsia="맑은 고딕"/>
                <w:sz w:val="20"/>
                <w:szCs w:val="20"/>
              </w:rPr>
              <w:t>1.80 (1.71)</w:t>
            </w:r>
          </w:p>
        </w:tc>
        <w:tc>
          <w:tcPr>
            <w:tcW w:w="2188" w:type="dxa"/>
            <w:tcBorders>
              <w:top w:val="nil"/>
              <w:left w:val="nil"/>
              <w:bottom w:val="nil"/>
              <w:right w:val="nil"/>
            </w:tcBorders>
            <w:vAlign w:val="center"/>
          </w:tcPr>
          <w:p w14:paraId="3F5F3142" w14:textId="77777777" w:rsidR="00E678BE" w:rsidRPr="00702882" w:rsidRDefault="00E678BE" w:rsidP="00056B9F">
            <w:pPr>
              <w:rPr>
                <w:rFonts w:eastAsia="맑은 고딕"/>
                <w:sz w:val="20"/>
                <w:szCs w:val="20"/>
              </w:rPr>
            </w:pPr>
            <w:r w:rsidRPr="00702882">
              <w:rPr>
                <w:rFonts w:eastAsia="맑은 고딕"/>
                <w:sz w:val="20"/>
                <w:szCs w:val="20"/>
              </w:rPr>
              <w:t>2.28 (1.40)*</w:t>
            </w:r>
          </w:p>
        </w:tc>
        <w:tc>
          <w:tcPr>
            <w:tcW w:w="2188" w:type="dxa"/>
            <w:tcBorders>
              <w:top w:val="nil"/>
              <w:left w:val="nil"/>
              <w:bottom w:val="nil"/>
              <w:right w:val="nil"/>
            </w:tcBorders>
            <w:shd w:val="clear" w:color="auto" w:fill="auto"/>
            <w:noWrap/>
            <w:vAlign w:val="center"/>
            <w:hideMark/>
          </w:tcPr>
          <w:p w14:paraId="41F18A5E" w14:textId="77777777" w:rsidR="00E678BE" w:rsidRPr="00702882" w:rsidRDefault="00E678BE" w:rsidP="00056B9F">
            <w:pPr>
              <w:jc w:val="both"/>
              <w:rPr>
                <w:rFonts w:eastAsia="맑은 고딕"/>
                <w:sz w:val="20"/>
                <w:szCs w:val="20"/>
              </w:rPr>
            </w:pPr>
            <w:r w:rsidRPr="00702882">
              <w:rPr>
                <w:rFonts w:eastAsia="맑은 고딕"/>
                <w:sz w:val="20"/>
                <w:szCs w:val="20"/>
              </w:rPr>
              <w:t>2.26 (1.35)*</w:t>
            </w:r>
          </w:p>
        </w:tc>
      </w:tr>
      <w:tr w:rsidR="00E678BE" w:rsidRPr="00702882" w14:paraId="270971AF"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013F5CA2" w14:textId="77777777" w:rsidR="00E678BE" w:rsidRPr="00702882" w:rsidRDefault="00E678BE" w:rsidP="00056B9F">
            <w:pPr>
              <w:jc w:val="both"/>
              <w:rPr>
                <w:rFonts w:eastAsia="맑은 고딕"/>
                <w:sz w:val="20"/>
                <w:szCs w:val="20"/>
              </w:rPr>
            </w:pPr>
            <w:r w:rsidRPr="00702882">
              <w:rPr>
                <w:rFonts w:eastAsia="맑은 고딕"/>
                <w:sz w:val="20"/>
                <w:szCs w:val="20"/>
              </w:rPr>
              <w:t>Source_percent</w:t>
            </w:r>
          </w:p>
        </w:tc>
        <w:tc>
          <w:tcPr>
            <w:tcW w:w="2188" w:type="dxa"/>
            <w:tcBorders>
              <w:top w:val="nil"/>
              <w:left w:val="nil"/>
              <w:bottom w:val="nil"/>
              <w:right w:val="nil"/>
            </w:tcBorders>
            <w:vAlign w:val="center"/>
          </w:tcPr>
          <w:p w14:paraId="76D15876" w14:textId="77777777" w:rsidR="00E678BE" w:rsidRPr="00702882" w:rsidRDefault="00E678BE" w:rsidP="00056B9F">
            <w:pPr>
              <w:rPr>
                <w:rFonts w:eastAsia="맑은 고딕"/>
                <w:sz w:val="20"/>
                <w:szCs w:val="20"/>
              </w:rPr>
            </w:pPr>
            <w:r w:rsidRPr="00702882">
              <w:rPr>
                <w:rFonts w:eastAsia="맑은 고딕"/>
                <w:sz w:val="20"/>
                <w:szCs w:val="20"/>
              </w:rPr>
              <w:t>0.54 (1.02)</w:t>
            </w:r>
          </w:p>
        </w:tc>
        <w:tc>
          <w:tcPr>
            <w:tcW w:w="2188" w:type="dxa"/>
            <w:tcBorders>
              <w:top w:val="nil"/>
              <w:left w:val="nil"/>
              <w:bottom w:val="nil"/>
              <w:right w:val="nil"/>
            </w:tcBorders>
            <w:vAlign w:val="center"/>
          </w:tcPr>
          <w:p w14:paraId="583BAE1D" w14:textId="77777777" w:rsidR="00E678BE" w:rsidRPr="00702882" w:rsidRDefault="00E678BE" w:rsidP="00056B9F">
            <w:pPr>
              <w:rPr>
                <w:rFonts w:eastAsia="맑은 고딕"/>
                <w:sz w:val="20"/>
                <w:szCs w:val="20"/>
              </w:rPr>
            </w:pPr>
            <w:r w:rsidRPr="00702882">
              <w:rPr>
                <w:rFonts w:eastAsia="맑은 고딕"/>
                <w:sz w:val="20"/>
                <w:szCs w:val="20"/>
              </w:rPr>
              <w:t>0.15 (0.72)</w:t>
            </w:r>
          </w:p>
        </w:tc>
        <w:tc>
          <w:tcPr>
            <w:tcW w:w="2188" w:type="dxa"/>
            <w:tcBorders>
              <w:top w:val="nil"/>
              <w:left w:val="nil"/>
              <w:bottom w:val="nil"/>
              <w:right w:val="nil"/>
            </w:tcBorders>
            <w:shd w:val="clear" w:color="auto" w:fill="auto"/>
            <w:noWrap/>
            <w:vAlign w:val="center"/>
            <w:hideMark/>
          </w:tcPr>
          <w:p w14:paraId="04936EAC" w14:textId="77777777" w:rsidR="00E678BE" w:rsidRPr="00702882" w:rsidRDefault="00E678BE" w:rsidP="00056B9F">
            <w:pPr>
              <w:jc w:val="both"/>
              <w:rPr>
                <w:rFonts w:eastAsia="맑은 고딕"/>
                <w:sz w:val="20"/>
                <w:szCs w:val="20"/>
              </w:rPr>
            </w:pPr>
            <w:r w:rsidRPr="00702882">
              <w:rPr>
                <w:rFonts w:eastAsia="맑은 고딕"/>
                <w:sz w:val="20"/>
                <w:szCs w:val="20"/>
              </w:rPr>
              <w:t>0.14 (0.68)</w:t>
            </w:r>
          </w:p>
        </w:tc>
      </w:tr>
      <w:tr w:rsidR="00E678BE" w:rsidRPr="00702882" w14:paraId="7FB54697"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305B1F11" w14:textId="77777777" w:rsidR="00E678BE" w:rsidRPr="00702882" w:rsidRDefault="00E678BE" w:rsidP="00056B9F">
            <w:pPr>
              <w:jc w:val="both"/>
              <w:rPr>
                <w:rFonts w:eastAsia="맑은 고딕"/>
                <w:sz w:val="20"/>
                <w:szCs w:val="20"/>
              </w:rPr>
            </w:pPr>
            <w:r w:rsidRPr="00702882">
              <w:rPr>
                <w:rFonts w:eastAsia="맑은 고딕"/>
                <w:sz w:val="20"/>
                <w:szCs w:val="20"/>
              </w:rPr>
              <w:t>Cap_percent</w:t>
            </w:r>
          </w:p>
        </w:tc>
        <w:tc>
          <w:tcPr>
            <w:tcW w:w="2188" w:type="dxa"/>
            <w:tcBorders>
              <w:top w:val="nil"/>
              <w:left w:val="nil"/>
              <w:bottom w:val="nil"/>
              <w:right w:val="nil"/>
            </w:tcBorders>
            <w:vAlign w:val="center"/>
          </w:tcPr>
          <w:p w14:paraId="32C39682" w14:textId="77777777" w:rsidR="00E678BE" w:rsidRPr="00702882" w:rsidRDefault="00E678BE" w:rsidP="00056B9F">
            <w:pPr>
              <w:rPr>
                <w:rFonts w:eastAsia="맑은 고딕"/>
                <w:sz w:val="20"/>
                <w:szCs w:val="20"/>
              </w:rPr>
            </w:pPr>
            <w:r w:rsidRPr="00702882">
              <w:rPr>
                <w:rFonts w:eastAsia="맑은 고딕"/>
                <w:sz w:val="20"/>
                <w:szCs w:val="20"/>
              </w:rPr>
              <w:t>-0.13 (0.20)</w:t>
            </w:r>
          </w:p>
        </w:tc>
        <w:tc>
          <w:tcPr>
            <w:tcW w:w="2188" w:type="dxa"/>
            <w:tcBorders>
              <w:top w:val="nil"/>
              <w:left w:val="nil"/>
              <w:bottom w:val="nil"/>
              <w:right w:val="nil"/>
            </w:tcBorders>
            <w:vAlign w:val="center"/>
          </w:tcPr>
          <w:p w14:paraId="1471D012" w14:textId="77777777" w:rsidR="00E678BE" w:rsidRPr="00702882" w:rsidRDefault="00E678BE" w:rsidP="00056B9F">
            <w:pPr>
              <w:rPr>
                <w:rFonts w:eastAsia="맑은 고딕"/>
                <w:sz w:val="20"/>
                <w:szCs w:val="20"/>
              </w:rPr>
            </w:pPr>
            <w:r w:rsidRPr="00702882">
              <w:rPr>
                <w:rFonts w:eastAsia="맑은 고딕"/>
                <w:sz w:val="20"/>
                <w:szCs w:val="20"/>
              </w:rPr>
              <w:t>-0.19 (0.19)</w:t>
            </w:r>
          </w:p>
        </w:tc>
        <w:tc>
          <w:tcPr>
            <w:tcW w:w="2188" w:type="dxa"/>
            <w:tcBorders>
              <w:top w:val="nil"/>
              <w:left w:val="nil"/>
              <w:bottom w:val="nil"/>
              <w:right w:val="nil"/>
            </w:tcBorders>
            <w:shd w:val="clear" w:color="auto" w:fill="auto"/>
            <w:noWrap/>
            <w:vAlign w:val="center"/>
            <w:hideMark/>
          </w:tcPr>
          <w:p w14:paraId="6D480A05" w14:textId="77777777" w:rsidR="00E678BE" w:rsidRPr="00702882" w:rsidRDefault="00E678BE" w:rsidP="00056B9F">
            <w:pPr>
              <w:jc w:val="both"/>
              <w:rPr>
                <w:rFonts w:eastAsia="맑은 고딕"/>
                <w:sz w:val="20"/>
                <w:szCs w:val="20"/>
              </w:rPr>
            </w:pPr>
            <w:r w:rsidRPr="00702882">
              <w:rPr>
                <w:rFonts w:eastAsia="맑은 고딕"/>
                <w:sz w:val="20"/>
                <w:szCs w:val="20"/>
              </w:rPr>
              <w:t>-0.16 (0.20)</w:t>
            </w:r>
          </w:p>
        </w:tc>
      </w:tr>
      <w:tr w:rsidR="00E678BE" w:rsidRPr="00702882" w14:paraId="3862DF73"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68621AE5" w14:textId="77777777" w:rsidR="00E678BE" w:rsidRPr="00702882" w:rsidRDefault="00E678BE" w:rsidP="00056B9F">
            <w:pPr>
              <w:jc w:val="both"/>
              <w:rPr>
                <w:rFonts w:eastAsia="맑은 고딕"/>
                <w:sz w:val="20"/>
                <w:szCs w:val="20"/>
              </w:rPr>
            </w:pPr>
            <w:r w:rsidRPr="00702882">
              <w:rPr>
                <w:rFonts w:eastAsia="맑은 고딕"/>
                <w:sz w:val="20"/>
                <w:szCs w:val="20"/>
              </w:rPr>
              <w:t>DepoSurplus_numeric</w:t>
            </w:r>
          </w:p>
        </w:tc>
        <w:tc>
          <w:tcPr>
            <w:tcW w:w="2188" w:type="dxa"/>
            <w:tcBorders>
              <w:top w:val="nil"/>
              <w:left w:val="nil"/>
              <w:bottom w:val="nil"/>
              <w:right w:val="nil"/>
            </w:tcBorders>
            <w:vAlign w:val="center"/>
          </w:tcPr>
          <w:p w14:paraId="16AEAFC4" w14:textId="77777777" w:rsidR="00E678BE" w:rsidRPr="00702882" w:rsidRDefault="00E678BE" w:rsidP="00056B9F">
            <w:pPr>
              <w:rPr>
                <w:rFonts w:eastAsia="맑은 고딕"/>
                <w:sz w:val="20"/>
                <w:szCs w:val="20"/>
              </w:rPr>
            </w:pPr>
            <w:r w:rsidRPr="00702882">
              <w:rPr>
                <w:rFonts w:eastAsia="맑은 고딕"/>
                <w:sz w:val="20"/>
                <w:szCs w:val="20"/>
              </w:rPr>
              <w:t>1.87 (2.41)</w:t>
            </w:r>
          </w:p>
        </w:tc>
        <w:tc>
          <w:tcPr>
            <w:tcW w:w="2188" w:type="dxa"/>
            <w:tcBorders>
              <w:top w:val="nil"/>
              <w:left w:val="nil"/>
              <w:bottom w:val="nil"/>
              <w:right w:val="nil"/>
            </w:tcBorders>
            <w:vAlign w:val="center"/>
          </w:tcPr>
          <w:p w14:paraId="4699AD3F" w14:textId="77777777" w:rsidR="00E678BE" w:rsidRPr="00702882" w:rsidRDefault="00E678BE" w:rsidP="00056B9F">
            <w:pPr>
              <w:rPr>
                <w:rFonts w:eastAsia="맑은 고딕"/>
                <w:sz w:val="20"/>
                <w:szCs w:val="20"/>
              </w:rPr>
            </w:pPr>
            <w:r w:rsidRPr="00702882">
              <w:rPr>
                <w:rFonts w:eastAsia="맑은 고딕"/>
                <w:sz w:val="20"/>
                <w:szCs w:val="20"/>
              </w:rPr>
              <w:t>0.66 (1.69)</w:t>
            </w:r>
          </w:p>
        </w:tc>
        <w:tc>
          <w:tcPr>
            <w:tcW w:w="2188" w:type="dxa"/>
            <w:tcBorders>
              <w:top w:val="nil"/>
              <w:left w:val="nil"/>
              <w:bottom w:val="nil"/>
              <w:right w:val="nil"/>
            </w:tcBorders>
            <w:shd w:val="clear" w:color="auto" w:fill="auto"/>
            <w:noWrap/>
            <w:vAlign w:val="center"/>
            <w:hideMark/>
          </w:tcPr>
          <w:p w14:paraId="109828D3" w14:textId="77777777" w:rsidR="00E678BE" w:rsidRPr="00702882" w:rsidRDefault="00E678BE" w:rsidP="00056B9F">
            <w:pPr>
              <w:jc w:val="both"/>
              <w:rPr>
                <w:rFonts w:eastAsia="맑은 고딕"/>
                <w:sz w:val="20"/>
                <w:szCs w:val="20"/>
              </w:rPr>
            </w:pPr>
            <w:r w:rsidRPr="00702882">
              <w:rPr>
                <w:rFonts w:eastAsia="맑은 고딕"/>
                <w:sz w:val="20"/>
                <w:szCs w:val="20"/>
              </w:rPr>
              <w:t>-0.04 (1.80)</w:t>
            </w:r>
          </w:p>
        </w:tc>
      </w:tr>
      <w:tr w:rsidR="00E678BE" w:rsidRPr="00702882" w14:paraId="60DAAFE9"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44230C7A" w14:textId="77777777" w:rsidR="00E678BE" w:rsidRPr="00702882" w:rsidRDefault="00E678BE" w:rsidP="00056B9F">
            <w:pPr>
              <w:jc w:val="both"/>
              <w:rPr>
                <w:rFonts w:eastAsia="맑은 고딕"/>
                <w:sz w:val="20"/>
                <w:szCs w:val="20"/>
              </w:rPr>
            </w:pPr>
            <w:r w:rsidRPr="00702882">
              <w:rPr>
                <w:rFonts w:eastAsia="맑은 고딕"/>
                <w:sz w:val="20"/>
                <w:szCs w:val="20"/>
              </w:rPr>
              <w:t>WithLegis_numeric</w:t>
            </w:r>
          </w:p>
        </w:tc>
        <w:tc>
          <w:tcPr>
            <w:tcW w:w="2188" w:type="dxa"/>
            <w:tcBorders>
              <w:top w:val="nil"/>
              <w:left w:val="nil"/>
              <w:bottom w:val="nil"/>
              <w:right w:val="nil"/>
            </w:tcBorders>
            <w:vAlign w:val="center"/>
          </w:tcPr>
          <w:p w14:paraId="0FA28C06" w14:textId="77777777" w:rsidR="00E678BE" w:rsidRPr="00702882" w:rsidRDefault="00E678BE" w:rsidP="00056B9F">
            <w:pPr>
              <w:rPr>
                <w:rFonts w:eastAsia="맑은 고딕"/>
                <w:sz w:val="20"/>
                <w:szCs w:val="20"/>
              </w:rPr>
            </w:pPr>
            <w:r w:rsidRPr="00702882">
              <w:rPr>
                <w:rFonts w:eastAsia="맑은 고딕"/>
                <w:sz w:val="20"/>
                <w:szCs w:val="20"/>
              </w:rPr>
              <w:t>-0.51 (12.64)</w:t>
            </w:r>
          </w:p>
        </w:tc>
        <w:tc>
          <w:tcPr>
            <w:tcW w:w="2188" w:type="dxa"/>
            <w:tcBorders>
              <w:top w:val="nil"/>
              <w:left w:val="nil"/>
              <w:bottom w:val="nil"/>
              <w:right w:val="nil"/>
            </w:tcBorders>
            <w:vAlign w:val="center"/>
          </w:tcPr>
          <w:p w14:paraId="69E284A4" w14:textId="77777777" w:rsidR="00E678BE" w:rsidRPr="00702882" w:rsidRDefault="00E678BE" w:rsidP="00056B9F">
            <w:pPr>
              <w:rPr>
                <w:rFonts w:eastAsia="맑은 고딕"/>
                <w:sz w:val="20"/>
                <w:szCs w:val="20"/>
              </w:rPr>
            </w:pPr>
            <w:r w:rsidRPr="00702882">
              <w:rPr>
                <w:rFonts w:eastAsia="맑은 고딕"/>
                <w:sz w:val="20"/>
                <w:szCs w:val="20"/>
              </w:rPr>
              <w:t>-1.90 (14.88)</w:t>
            </w:r>
          </w:p>
        </w:tc>
        <w:tc>
          <w:tcPr>
            <w:tcW w:w="2188" w:type="dxa"/>
            <w:tcBorders>
              <w:top w:val="nil"/>
              <w:left w:val="nil"/>
              <w:bottom w:val="nil"/>
              <w:right w:val="nil"/>
            </w:tcBorders>
            <w:shd w:val="clear" w:color="auto" w:fill="auto"/>
            <w:noWrap/>
            <w:vAlign w:val="center"/>
            <w:hideMark/>
          </w:tcPr>
          <w:p w14:paraId="320765D7" w14:textId="77777777" w:rsidR="00E678BE" w:rsidRPr="00702882" w:rsidRDefault="00E678BE" w:rsidP="00056B9F">
            <w:pPr>
              <w:jc w:val="both"/>
              <w:rPr>
                <w:rFonts w:eastAsia="맑은 고딕"/>
                <w:sz w:val="20"/>
                <w:szCs w:val="20"/>
              </w:rPr>
            </w:pPr>
            <w:r w:rsidRPr="00702882">
              <w:rPr>
                <w:rFonts w:eastAsia="맑은 고딕"/>
                <w:sz w:val="20"/>
                <w:szCs w:val="20"/>
              </w:rPr>
              <w:t>-5.03 (10.57)</w:t>
            </w:r>
          </w:p>
        </w:tc>
      </w:tr>
      <w:tr w:rsidR="00E678BE" w:rsidRPr="00702882" w14:paraId="4C11C4CF"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409B706F" w14:textId="77777777" w:rsidR="00E678BE" w:rsidRPr="00702882" w:rsidRDefault="00E678BE" w:rsidP="00056B9F">
            <w:pPr>
              <w:jc w:val="both"/>
              <w:rPr>
                <w:rFonts w:eastAsia="맑은 고딕"/>
                <w:sz w:val="20"/>
                <w:szCs w:val="20"/>
              </w:rPr>
            </w:pPr>
            <w:r w:rsidRPr="00702882">
              <w:rPr>
                <w:rFonts w:eastAsia="맑은 고딕"/>
                <w:sz w:val="20"/>
                <w:szCs w:val="20"/>
              </w:rPr>
              <w:t>Repay_4bin</w:t>
            </w:r>
          </w:p>
        </w:tc>
        <w:tc>
          <w:tcPr>
            <w:tcW w:w="2188" w:type="dxa"/>
            <w:tcBorders>
              <w:top w:val="nil"/>
              <w:left w:val="nil"/>
              <w:bottom w:val="nil"/>
              <w:right w:val="nil"/>
            </w:tcBorders>
            <w:vAlign w:val="center"/>
          </w:tcPr>
          <w:p w14:paraId="263536A8" w14:textId="77777777" w:rsidR="00E678BE" w:rsidRPr="00702882" w:rsidRDefault="00E678BE" w:rsidP="00056B9F">
            <w:pPr>
              <w:rPr>
                <w:rFonts w:eastAsia="맑은 고딕"/>
                <w:sz w:val="20"/>
                <w:szCs w:val="20"/>
              </w:rPr>
            </w:pPr>
            <w:r w:rsidRPr="00702882">
              <w:rPr>
                <w:rFonts w:eastAsia="맑은 고딕"/>
                <w:sz w:val="20"/>
                <w:szCs w:val="20"/>
              </w:rPr>
              <w:t>0.10 (1.43)</w:t>
            </w:r>
          </w:p>
        </w:tc>
        <w:tc>
          <w:tcPr>
            <w:tcW w:w="2188" w:type="dxa"/>
            <w:tcBorders>
              <w:top w:val="nil"/>
              <w:left w:val="nil"/>
              <w:bottom w:val="nil"/>
              <w:right w:val="nil"/>
            </w:tcBorders>
            <w:vAlign w:val="center"/>
          </w:tcPr>
          <w:p w14:paraId="627E86D2" w14:textId="77777777" w:rsidR="00E678BE" w:rsidRPr="00702882" w:rsidRDefault="00E678BE" w:rsidP="00056B9F">
            <w:pPr>
              <w:rPr>
                <w:rFonts w:eastAsia="맑은 고딕"/>
                <w:sz w:val="20"/>
                <w:szCs w:val="20"/>
              </w:rPr>
            </w:pPr>
            <w:r w:rsidRPr="00702882">
              <w:rPr>
                <w:rFonts w:eastAsia="맑은 고딕"/>
                <w:sz w:val="20"/>
                <w:szCs w:val="20"/>
              </w:rPr>
              <w:t>-0.22 (1.29)</w:t>
            </w:r>
          </w:p>
        </w:tc>
        <w:tc>
          <w:tcPr>
            <w:tcW w:w="2188" w:type="dxa"/>
            <w:tcBorders>
              <w:top w:val="nil"/>
              <w:left w:val="nil"/>
              <w:bottom w:val="nil"/>
              <w:right w:val="nil"/>
            </w:tcBorders>
            <w:shd w:val="clear" w:color="auto" w:fill="auto"/>
            <w:noWrap/>
            <w:vAlign w:val="center"/>
            <w:hideMark/>
          </w:tcPr>
          <w:p w14:paraId="2B07248B" w14:textId="77777777" w:rsidR="00E678BE" w:rsidRPr="00702882" w:rsidRDefault="00E678BE" w:rsidP="00056B9F">
            <w:pPr>
              <w:jc w:val="both"/>
              <w:rPr>
                <w:rFonts w:eastAsia="맑은 고딕"/>
                <w:sz w:val="20"/>
                <w:szCs w:val="20"/>
              </w:rPr>
            </w:pPr>
            <w:r w:rsidRPr="00702882">
              <w:rPr>
                <w:rFonts w:eastAsia="맑은 고딕"/>
                <w:sz w:val="20"/>
                <w:szCs w:val="20"/>
              </w:rPr>
              <w:t>-0.21 (1.09)</w:t>
            </w:r>
          </w:p>
        </w:tc>
      </w:tr>
      <w:tr w:rsidR="00E678BE" w:rsidRPr="00702882" w14:paraId="1626A68A"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60B80AA5" w14:textId="77777777" w:rsidR="00E678BE" w:rsidRPr="00702882" w:rsidRDefault="00E678BE" w:rsidP="00056B9F">
            <w:pPr>
              <w:jc w:val="both"/>
              <w:rPr>
                <w:rFonts w:eastAsia="맑은 고딕"/>
                <w:sz w:val="20"/>
                <w:szCs w:val="20"/>
              </w:rPr>
            </w:pPr>
            <w:r w:rsidRPr="00702882">
              <w:rPr>
                <w:rFonts w:eastAsia="맑은 고딕"/>
                <w:sz w:val="20"/>
                <w:szCs w:val="20"/>
              </w:rPr>
              <w:t>WithLim</w:t>
            </w:r>
          </w:p>
        </w:tc>
        <w:tc>
          <w:tcPr>
            <w:tcW w:w="2188" w:type="dxa"/>
            <w:tcBorders>
              <w:top w:val="nil"/>
              <w:left w:val="nil"/>
              <w:bottom w:val="nil"/>
              <w:right w:val="nil"/>
            </w:tcBorders>
            <w:vAlign w:val="center"/>
          </w:tcPr>
          <w:p w14:paraId="0F7D46CB" w14:textId="77777777" w:rsidR="00E678BE" w:rsidRPr="00702882" w:rsidRDefault="00E678BE" w:rsidP="00056B9F">
            <w:pPr>
              <w:rPr>
                <w:rFonts w:eastAsia="맑은 고딕"/>
                <w:sz w:val="20"/>
                <w:szCs w:val="20"/>
              </w:rPr>
            </w:pPr>
            <w:r w:rsidRPr="00702882">
              <w:rPr>
                <w:rFonts w:eastAsia="맑은 고딕"/>
                <w:sz w:val="20"/>
                <w:szCs w:val="20"/>
              </w:rPr>
              <w:t>0.49 (1.89)</w:t>
            </w:r>
          </w:p>
        </w:tc>
        <w:tc>
          <w:tcPr>
            <w:tcW w:w="2188" w:type="dxa"/>
            <w:tcBorders>
              <w:top w:val="nil"/>
              <w:left w:val="nil"/>
              <w:bottom w:val="nil"/>
              <w:right w:val="nil"/>
            </w:tcBorders>
            <w:vAlign w:val="center"/>
          </w:tcPr>
          <w:p w14:paraId="54118DF8" w14:textId="77777777" w:rsidR="00E678BE" w:rsidRPr="00702882" w:rsidRDefault="00E678BE" w:rsidP="00056B9F">
            <w:pPr>
              <w:rPr>
                <w:rFonts w:eastAsia="맑은 고딕"/>
                <w:sz w:val="20"/>
                <w:szCs w:val="20"/>
              </w:rPr>
            </w:pPr>
            <w:r w:rsidRPr="00702882">
              <w:rPr>
                <w:rFonts w:eastAsia="맑은 고딕"/>
                <w:sz w:val="20"/>
                <w:szCs w:val="20"/>
              </w:rPr>
              <w:t>1.64 (6.82)</w:t>
            </w:r>
          </w:p>
        </w:tc>
        <w:tc>
          <w:tcPr>
            <w:tcW w:w="2188" w:type="dxa"/>
            <w:tcBorders>
              <w:top w:val="nil"/>
              <w:left w:val="nil"/>
              <w:bottom w:val="nil"/>
              <w:right w:val="nil"/>
            </w:tcBorders>
            <w:shd w:val="clear" w:color="auto" w:fill="auto"/>
            <w:noWrap/>
            <w:vAlign w:val="center"/>
            <w:hideMark/>
          </w:tcPr>
          <w:p w14:paraId="40805416" w14:textId="77777777" w:rsidR="00E678BE" w:rsidRPr="00702882" w:rsidRDefault="00E678BE" w:rsidP="00056B9F">
            <w:pPr>
              <w:jc w:val="both"/>
              <w:rPr>
                <w:rFonts w:eastAsia="맑은 고딕"/>
                <w:sz w:val="20"/>
                <w:szCs w:val="20"/>
              </w:rPr>
            </w:pPr>
            <w:r w:rsidRPr="00702882">
              <w:rPr>
                <w:rFonts w:eastAsia="맑은 고딕"/>
                <w:sz w:val="20"/>
                <w:szCs w:val="20"/>
              </w:rPr>
              <w:t>1.66 (1.65)</w:t>
            </w:r>
          </w:p>
        </w:tc>
      </w:tr>
      <w:tr w:rsidR="00E678BE" w:rsidRPr="00702882" w14:paraId="56121B50" w14:textId="77777777" w:rsidTr="00056B9F">
        <w:trPr>
          <w:trHeight w:val="283"/>
          <w:jc w:val="center"/>
        </w:trPr>
        <w:tc>
          <w:tcPr>
            <w:tcW w:w="2188" w:type="dxa"/>
            <w:tcBorders>
              <w:top w:val="nil"/>
              <w:left w:val="nil"/>
              <w:bottom w:val="nil"/>
              <w:right w:val="nil"/>
            </w:tcBorders>
            <w:shd w:val="clear" w:color="auto" w:fill="auto"/>
            <w:noWrap/>
            <w:vAlign w:val="center"/>
          </w:tcPr>
          <w:p w14:paraId="63CFA7BD" w14:textId="77777777" w:rsidR="00E678BE" w:rsidRPr="00702882" w:rsidRDefault="00E678BE" w:rsidP="00056B9F">
            <w:pPr>
              <w:rPr>
                <w:rFonts w:eastAsia="맑은 고딕"/>
                <w:sz w:val="20"/>
                <w:szCs w:val="20"/>
              </w:rPr>
            </w:pPr>
            <w:r w:rsidRPr="00702882">
              <w:rPr>
                <w:rFonts w:eastAsia="맑은 고딕"/>
                <w:sz w:val="20"/>
                <w:szCs w:val="20"/>
              </w:rPr>
              <w:t>Unemployment</w:t>
            </w:r>
          </w:p>
        </w:tc>
        <w:tc>
          <w:tcPr>
            <w:tcW w:w="2188" w:type="dxa"/>
            <w:tcBorders>
              <w:top w:val="nil"/>
              <w:left w:val="nil"/>
              <w:bottom w:val="nil"/>
              <w:right w:val="nil"/>
            </w:tcBorders>
            <w:vAlign w:val="center"/>
          </w:tcPr>
          <w:p w14:paraId="3062F2ED" w14:textId="77777777" w:rsidR="00E678BE" w:rsidRPr="00702882" w:rsidRDefault="00E678BE" w:rsidP="00056B9F">
            <w:pPr>
              <w:rPr>
                <w:rFonts w:eastAsia="맑은 고딕"/>
                <w:sz w:val="20"/>
                <w:szCs w:val="20"/>
              </w:rPr>
            </w:pPr>
            <w:r w:rsidRPr="00702882">
              <w:rPr>
                <w:rFonts w:eastAsia="맑은 고딕"/>
                <w:sz w:val="20"/>
                <w:szCs w:val="20"/>
              </w:rPr>
              <w:t>-0.32 (0.33)</w:t>
            </w:r>
          </w:p>
        </w:tc>
        <w:tc>
          <w:tcPr>
            <w:tcW w:w="2188" w:type="dxa"/>
            <w:tcBorders>
              <w:top w:val="nil"/>
              <w:left w:val="nil"/>
              <w:bottom w:val="nil"/>
              <w:right w:val="nil"/>
            </w:tcBorders>
            <w:vAlign w:val="center"/>
          </w:tcPr>
          <w:p w14:paraId="5F0E2BD6" w14:textId="77777777" w:rsidR="00E678BE" w:rsidRPr="00702882" w:rsidRDefault="00E678BE" w:rsidP="00056B9F">
            <w:pPr>
              <w:rPr>
                <w:rFonts w:eastAsia="맑은 고딕"/>
                <w:sz w:val="20"/>
                <w:szCs w:val="20"/>
              </w:rPr>
            </w:pPr>
            <w:r w:rsidRPr="00702882">
              <w:rPr>
                <w:rFonts w:eastAsia="맑은 고딕"/>
                <w:sz w:val="20"/>
                <w:szCs w:val="20"/>
              </w:rPr>
              <w:t>-0.36 (0.27)</w:t>
            </w:r>
          </w:p>
        </w:tc>
        <w:tc>
          <w:tcPr>
            <w:tcW w:w="2188" w:type="dxa"/>
            <w:tcBorders>
              <w:top w:val="nil"/>
              <w:left w:val="nil"/>
              <w:bottom w:val="nil"/>
              <w:right w:val="nil"/>
            </w:tcBorders>
            <w:shd w:val="clear" w:color="auto" w:fill="auto"/>
            <w:noWrap/>
            <w:vAlign w:val="center"/>
          </w:tcPr>
          <w:p w14:paraId="3DB4A45B" w14:textId="77777777" w:rsidR="00E678BE" w:rsidRPr="00702882" w:rsidRDefault="00E678BE" w:rsidP="00056B9F">
            <w:pPr>
              <w:rPr>
                <w:rFonts w:eastAsia="맑은 고딕"/>
                <w:sz w:val="20"/>
                <w:szCs w:val="20"/>
              </w:rPr>
            </w:pPr>
            <w:r w:rsidRPr="00702882">
              <w:rPr>
                <w:rFonts w:eastAsia="맑은 고딕"/>
                <w:sz w:val="20"/>
                <w:szCs w:val="20"/>
              </w:rPr>
              <w:t>-0.33 (0.27)</w:t>
            </w:r>
          </w:p>
        </w:tc>
      </w:tr>
      <w:tr w:rsidR="00E678BE" w:rsidRPr="00702882" w14:paraId="0258D5EF"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0FAEA741" w14:textId="77777777" w:rsidR="00E678BE" w:rsidRPr="00702882" w:rsidRDefault="00E678BE" w:rsidP="00056B9F">
            <w:pPr>
              <w:jc w:val="both"/>
              <w:rPr>
                <w:rFonts w:eastAsia="맑은 고딕"/>
                <w:sz w:val="20"/>
                <w:szCs w:val="20"/>
              </w:rPr>
            </w:pPr>
            <w:r w:rsidRPr="00702882">
              <w:rPr>
                <w:rFonts w:eastAsia="맑은 고딕"/>
                <w:sz w:val="20"/>
                <w:szCs w:val="20"/>
              </w:rPr>
              <w:t>Disasters</w:t>
            </w:r>
          </w:p>
        </w:tc>
        <w:tc>
          <w:tcPr>
            <w:tcW w:w="2188" w:type="dxa"/>
            <w:tcBorders>
              <w:top w:val="nil"/>
              <w:left w:val="nil"/>
              <w:bottom w:val="nil"/>
              <w:right w:val="nil"/>
            </w:tcBorders>
          </w:tcPr>
          <w:p w14:paraId="3A531E43"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21BCCC47" w14:textId="77777777" w:rsidR="00E678BE" w:rsidRPr="00702882" w:rsidRDefault="00E678BE" w:rsidP="00056B9F">
            <w:pPr>
              <w:rPr>
                <w:rFonts w:eastAsia="맑은 고딕"/>
                <w:sz w:val="20"/>
                <w:szCs w:val="20"/>
              </w:rPr>
            </w:pPr>
            <w:r w:rsidRPr="00702882">
              <w:rPr>
                <w:rFonts w:eastAsia="맑은 고딕"/>
                <w:sz w:val="20"/>
                <w:szCs w:val="20"/>
              </w:rPr>
              <w:t>0.00 (0.20)</w:t>
            </w:r>
          </w:p>
        </w:tc>
        <w:tc>
          <w:tcPr>
            <w:tcW w:w="2188" w:type="dxa"/>
            <w:tcBorders>
              <w:top w:val="nil"/>
              <w:left w:val="nil"/>
              <w:bottom w:val="nil"/>
              <w:right w:val="nil"/>
            </w:tcBorders>
            <w:shd w:val="clear" w:color="auto" w:fill="auto"/>
            <w:noWrap/>
            <w:vAlign w:val="center"/>
            <w:hideMark/>
          </w:tcPr>
          <w:p w14:paraId="62F594C3" w14:textId="77777777" w:rsidR="00E678BE" w:rsidRPr="00702882" w:rsidRDefault="00E678BE" w:rsidP="00056B9F">
            <w:pPr>
              <w:jc w:val="both"/>
              <w:rPr>
                <w:rFonts w:eastAsia="맑은 고딕"/>
                <w:sz w:val="20"/>
                <w:szCs w:val="20"/>
              </w:rPr>
            </w:pPr>
            <w:r w:rsidRPr="00702882">
              <w:rPr>
                <w:rFonts w:eastAsia="맑은 고딕"/>
                <w:sz w:val="20"/>
                <w:szCs w:val="20"/>
              </w:rPr>
              <w:t>0.01 (0.20)</w:t>
            </w:r>
          </w:p>
        </w:tc>
      </w:tr>
      <w:tr w:rsidR="00E678BE" w:rsidRPr="00702882" w14:paraId="49F8DB76"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2513E42E" w14:textId="77777777" w:rsidR="00E678BE" w:rsidRPr="00702882" w:rsidRDefault="00E678BE" w:rsidP="00056B9F">
            <w:pPr>
              <w:jc w:val="both"/>
              <w:rPr>
                <w:rFonts w:eastAsia="맑은 고딕"/>
                <w:sz w:val="20"/>
                <w:szCs w:val="20"/>
              </w:rPr>
            </w:pPr>
            <w:r w:rsidRPr="00702882">
              <w:rPr>
                <w:rFonts w:eastAsia="맑은 고딕"/>
                <w:sz w:val="20"/>
                <w:szCs w:val="20"/>
              </w:rPr>
              <w:t>Fed_IGR</w:t>
            </w:r>
          </w:p>
        </w:tc>
        <w:tc>
          <w:tcPr>
            <w:tcW w:w="2188" w:type="dxa"/>
            <w:tcBorders>
              <w:top w:val="nil"/>
              <w:left w:val="nil"/>
              <w:bottom w:val="nil"/>
              <w:right w:val="nil"/>
            </w:tcBorders>
          </w:tcPr>
          <w:p w14:paraId="07256E97"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421051F9" w14:textId="77777777" w:rsidR="00E678BE" w:rsidRPr="00702882" w:rsidRDefault="00E678BE" w:rsidP="00056B9F">
            <w:pPr>
              <w:rPr>
                <w:rFonts w:eastAsia="맑은 고딕"/>
                <w:sz w:val="20"/>
                <w:szCs w:val="20"/>
              </w:rPr>
            </w:pPr>
            <w:r w:rsidRPr="00702882">
              <w:rPr>
                <w:rFonts w:eastAsia="맑은 고딕"/>
                <w:sz w:val="20"/>
                <w:szCs w:val="20"/>
              </w:rPr>
              <w:t>0.17 (0.93)</w:t>
            </w:r>
          </w:p>
        </w:tc>
        <w:tc>
          <w:tcPr>
            <w:tcW w:w="2188" w:type="dxa"/>
            <w:tcBorders>
              <w:top w:val="nil"/>
              <w:left w:val="nil"/>
              <w:bottom w:val="nil"/>
              <w:right w:val="nil"/>
            </w:tcBorders>
            <w:shd w:val="clear" w:color="auto" w:fill="auto"/>
            <w:noWrap/>
            <w:vAlign w:val="center"/>
            <w:hideMark/>
          </w:tcPr>
          <w:p w14:paraId="0725A35D" w14:textId="77777777" w:rsidR="00E678BE" w:rsidRPr="00702882" w:rsidRDefault="00E678BE" w:rsidP="00056B9F">
            <w:pPr>
              <w:jc w:val="both"/>
              <w:rPr>
                <w:rFonts w:eastAsia="맑은 고딕"/>
                <w:sz w:val="20"/>
                <w:szCs w:val="20"/>
              </w:rPr>
            </w:pPr>
            <w:r w:rsidRPr="00702882">
              <w:rPr>
                <w:rFonts w:eastAsia="맑은 고딕"/>
                <w:sz w:val="20"/>
                <w:szCs w:val="20"/>
              </w:rPr>
              <w:t>0.12 (0.96)</w:t>
            </w:r>
          </w:p>
        </w:tc>
      </w:tr>
      <w:tr w:rsidR="00E678BE" w:rsidRPr="00702882" w14:paraId="6A3BD16C"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6B080BF1" w14:textId="77777777" w:rsidR="00E678BE" w:rsidRPr="00702882" w:rsidRDefault="00E678BE" w:rsidP="00056B9F">
            <w:pPr>
              <w:jc w:val="both"/>
              <w:rPr>
                <w:rFonts w:eastAsia="맑은 고딕"/>
                <w:sz w:val="20"/>
                <w:szCs w:val="20"/>
              </w:rPr>
            </w:pPr>
            <w:r w:rsidRPr="00702882">
              <w:rPr>
                <w:rFonts w:eastAsia="맑은 고딕"/>
                <w:sz w:val="20"/>
                <w:szCs w:val="20"/>
              </w:rPr>
              <w:t>Debt_per_capita</w:t>
            </w:r>
          </w:p>
        </w:tc>
        <w:tc>
          <w:tcPr>
            <w:tcW w:w="2188" w:type="dxa"/>
            <w:tcBorders>
              <w:top w:val="nil"/>
              <w:left w:val="nil"/>
              <w:bottom w:val="nil"/>
              <w:right w:val="nil"/>
            </w:tcBorders>
          </w:tcPr>
          <w:p w14:paraId="2EBF00BB"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708BDA3A" w14:textId="77777777" w:rsidR="00E678BE" w:rsidRPr="00702882" w:rsidRDefault="00E678BE" w:rsidP="00056B9F">
            <w:pPr>
              <w:rPr>
                <w:rFonts w:eastAsia="맑은 고딕"/>
                <w:sz w:val="20"/>
                <w:szCs w:val="20"/>
              </w:rPr>
            </w:pPr>
            <w:r w:rsidRPr="00702882">
              <w:rPr>
                <w:rFonts w:eastAsia="맑은 고딕"/>
                <w:sz w:val="20"/>
                <w:szCs w:val="20"/>
              </w:rPr>
              <w:t>-2.40 (0.77)***</w:t>
            </w:r>
          </w:p>
        </w:tc>
        <w:tc>
          <w:tcPr>
            <w:tcW w:w="2188" w:type="dxa"/>
            <w:tcBorders>
              <w:top w:val="nil"/>
              <w:left w:val="nil"/>
              <w:bottom w:val="nil"/>
              <w:right w:val="nil"/>
            </w:tcBorders>
            <w:shd w:val="clear" w:color="auto" w:fill="auto"/>
            <w:noWrap/>
            <w:vAlign w:val="center"/>
            <w:hideMark/>
          </w:tcPr>
          <w:p w14:paraId="403FCA2C" w14:textId="77777777" w:rsidR="00E678BE" w:rsidRPr="00702882" w:rsidRDefault="00E678BE" w:rsidP="00056B9F">
            <w:pPr>
              <w:jc w:val="both"/>
              <w:rPr>
                <w:rFonts w:eastAsia="맑은 고딕"/>
                <w:sz w:val="20"/>
                <w:szCs w:val="20"/>
              </w:rPr>
            </w:pPr>
            <w:r w:rsidRPr="00702882">
              <w:rPr>
                <w:rFonts w:eastAsia="맑은 고딕"/>
                <w:sz w:val="20"/>
                <w:szCs w:val="20"/>
              </w:rPr>
              <w:t>-2.32 (0.76)***</w:t>
            </w:r>
          </w:p>
        </w:tc>
      </w:tr>
      <w:tr w:rsidR="00E678BE" w:rsidRPr="00702882" w14:paraId="25EFA657"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13DE1B77" w14:textId="77777777" w:rsidR="00E678BE" w:rsidRPr="00702882" w:rsidRDefault="00E678BE" w:rsidP="00056B9F">
            <w:pPr>
              <w:jc w:val="both"/>
              <w:rPr>
                <w:rFonts w:eastAsia="맑은 고딕"/>
                <w:sz w:val="20"/>
                <w:szCs w:val="20"/>
              </w:rPr>
            </w:pPr>
            <w:r w:rsidRPr="00702882">
              <w:rPr>
                <w:rFonts w:eastAsia="맑은 고딕"/>
                <w:sz w:val="20"/>
                <w:szCs w:val="20"/>
              </w:rPr>
              <w:t>GSP</w:t>
            </w:r>
          </w:p>
        </w:tc>
        <w:tc>
          <w:tcPr>
            <w:tcW w:w="2188" w:type="dxa"/>
            <w:tcBorders>
              <w:top w:val="nil"/>
              <w:left w:val="nil"/>
              <w:bottom w:val="nil"/>
              <w:right w:val="nil"/>
            </w:tcBorders>
          </w:tcPr>
          <w:p w14:paraId="4AD0680A"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3834303C" w14:textId="77777777" w:rsidR="00E678BE" w:rsidRPr="00702882" w:rsidRDefault="00E678BE" w:rsidP="00056B9F">
            <w:pPr>
              <w:rPr>
                <w:rFonts w:eastAsia="맑은 고딕"/>
                <w:sz w:val="20"/>
                <w:szCs w:val="20"/>
              </w:rPr>
            </w:pPr>
            <w:r w:rsidRPr="00702882">
              <w:rPr>
                <w:rFonts w:eastAsia="맑은 고딕"/>
                <w:sz w:val="20"/>
                <w:szCs w:val="20"/>
              </w:rPr>
              <w:t>0.04 (0.08)</w:t>
            </w:r>
          </w:p>
        </w:tc>
        <w:tc>
          <w:tcPr>
            <w:tcW w:w="2188" w:type="dxa"/>
            <w:tcBorders>
              <w:top w:val="nil"/>
              <w:left w:val="nil"/>
              <w:bottom w:val="nil"/>
              <w:right w:val="nil"/>
            </w:tcBorders>
            <w:shd w:val="clear" w:color="auto" w:fill="auto"/>
            <w:noWrap/>
            <w:vAlign w:val="center"/>
            <w:hideMark/>
          </w:tcPr>
          <w:p w14:paraId="452B3727" w14:textId="77777777" w:rsidR="00E678BE" w:rsidRPr="00702882" w:rsidRDefault="00E678BE" w:rsidP="00056B9F">
            <w:pPr>
              <w:jc w:val="both"/>
              <w:rPr>
                <w:rFonts w:eastAsia="맑은 고딕"/>
                <w:sz w:val="20"/>
                <w:szCs w:val="20"/>
              </w:rPr>
            </w:pPr>
            <w:r w:rsidRPr="00702882">
              <w:rPr>
                <w:rFonts w:eastAsia="맑은 고딕"/>
                <w:sz w:val="20"/>
                <w:szCs w:val="20"/>
              </w:rPr>
              <w:t>0.05 (0.07)</w:t>
            </w:r>
          </w:p>
        </w:tc>
      </w:tr>
      <w:tr w:rsidR="00E678BE" w:rsidRPr="00702882" w14:paraId="6D1B552E"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75CD22E8" w14:textId="77777777" w:rsidR="00E678BE" w:rsidRPr="00702882" w:rsidRDefault="00E678BE" w:rsidP="00056B9F">
            <w:pPr>
              <w:jc w:val="both"/>
              <w:rPr>
                <w:rFonts w:eastAsia="맑은 고딕"/>
                <w:sz w:val="20"/>
                <w:szCs w:val="20"/>
              </w:rPr>
            </w:pPr>
            <w:r w:rsidRPr="00702882">
              <w:rPr>
                <w:rFonts w:eastAsia="맑은 고딕"/>
                <w:sz w:val="20"/>
                <w:szCs w:val="20"/>
              </w:rPr>
              <w:t>Credit_rating</w:t>
            </w:r>
          </w:p>
        </w:tc>
        <w:tc>
          <w:tcPr>
            <w:tcW w:w="2188" w:type="dxa"/>
            <w:tcBorders>
              <w:top w:val="nil"/>
              <w:left w:val="nil"/>
              <w:bottom w:val="nil"/>
              <w:right w:val="nil"/>
            </w:tcBorders>
          </w:tcPr>
          <w:p w14:paraId="59C10D2D"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5E234A97" w14:textId="77777777" w:rsidR="00E678BE" w:rsidRPr="00702882" w:rsidRDefault="00E678BE" w:rsidP="00056B9F">
            <w:pPr>
              <w:rPr>
                <w:rFonts w:eastAsia="맑은 고딕"/>
                <w:sz w:val="20"/>
                <w:szCs w:val="20"/>
              </w:rPr>
            </w:pPr>
            <w:r w:rsidRPr="00702882">
              <w:rPr>
                <w:rFonts w:eastAsia="맑은 고딕"/>
                <w:sz w:val="20"/>
                <w:szCs w:val="20"/>
              </w:rPr>
              <w:t>0.62 (0.66)</w:t>
            </w:r>
          </w:p>
        </w:tc>
        <w:tc>
          <w:tcPr>
            <w:tcW w:w="2188" w:type="dxa"/>
            <w:tcBorders>
              <w:top w:val="nil"/>
              <w:left w:val="nil"/>
              <w:bottom w:val="nil"/>
              <w:right w:val="nil"/>
            </w:tcBorders>
            <w:shd w:val="clear" w:color="auto" w:fill="auto"/>
            <w:noWrap/>
            <w:vAlign w:val="center"/>
            <w:hideMark/>
          </w:tcPr>
          <w:p w14:paraId="0AF17B7E" w14:textId="77777777" w:rsidR="00E678BE" w:rsidRPr="00702882" w:rsidRDefault="00E678BE" w:rsidP="00056B9F">
            <w:pPr>
              <w:jc w:val="both"/>
              <w:rPr>
                <w:rFonts w:eastAsia="맑은 고딕"/>
                <w:sz w:val="20"/>
                <w:szCs w:val="20"/>
              </w:rPr>
            </w:pPr>
            <w:r w:rsidRPr="00702882">
              <w:rPr>
                <w:rFonts w:eastAsia="맑은 고딕"/>
                <w:sz w:val="20"/>
                <w:szCs w:val="20"/>
              </w:rPr>
              <w:t>0.64 (0.61)</w:t>
            </w:r>
          </w:p>
        </w:tc>
      </w:tr>
      <w:tr w:rsidR="00E678BE" w:rsidRPr="00702882" w14:paraId="7380352F"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4C9FBFB2" w14:textId="77777777" w:rsidR="00E678BE" w:rsidRPr="00702882" w:rsidRDefault="00E678BE" w:rsidP="00056B9F">
            <w:pPr>
              <w:jc w:val="both"/>
              <w:rPr>
                <w:rFonts w:eastAsia="맑은 고딕"/>
                <w:sz w:val="20"/>
                <w:szCs w:val="20"/>
              </w:rPr>
            </w:pPr>
            <w:r w:rsidRPr="00702882">
              <w:rPr>
                <w:rFonts w:eastAsia="맑은 고딕"/>
                <w:sz w:val="20"/>
                <w:szCs w:val="20"/>
              </w:rPr>
              <w:t>Income_thousands</w:t>
            </w:r>
          </w:p>
        </w:tc>
        <w:tc>
          <w:tcPr>
            <w:tcW w:w="2188" w:type="dxa"/>
            <w:tcBorders>
              <w:top w:val="nil"/>
              <w:left w:val="nil"/>
              <w:bottom w:val="nil"/>
              <w:right w:val="nil"/>
            </w:tcBorders>
          </w:tcPr>
          <w:p w14:paraId="2789DE6A"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6F265EAC" w14:textId="77777777" w:rsidR="00E678BE" w:rsidRPr="00702882" w:rsidRDefault="00E678BE" w:rsidP="00056B9F">
            <w:pPr>
              <w:rPr>
                <w:rFonts w:eastAsia="맑은 고딕"/>
                <w:sz w:val="20"/>
                <w:szCs w:val="20"/>
              </w:rPr>
            </w:pPr>
            <w:r w:rsidRPr="00702882">
              <w:rPr>
                <w:rFonts w:eastAsia="맑은 고딕"/>
                <w:sz w:val="20"/>
                <w:szCs w:val="20"/>
              </w:rPr>
              <w:t>0.66 (0.22)***</w:t>
            </w:r>
          </w:p>
        </w:tc>
        <w:tc>
          <w:tcPr>
            <w:tcW w:w="2188" w:type="dxa"/>
            <w:tcBorders>
              <w:top w:val="nil"/>
              <w:left w:val="nil"/>
              <w:bottom w:val="nil"/>
              <w:right w:val="nil"/>
            </w:tcBorders>
            <w:shd w:val="clear" w:color="auto" w:fill="auto"/>
            <w:noWrap/>
            <w:vAlign w:val="center"/>
            <w:hideMark/>
          </w:tcPr>
          <w:p w14:paraId="2E0AE858" w14:textId="77777777" w:rsidR="00E678BE" w:rsidRPr="00702882" w:rsidRDefault="00E678BE" w:rsidP="00056B9F">
            <w:pPr>
              <w:jc w:val="both"/>
              <w:rPr>
                <w:rFonts w:eastAsia="맑은 고딕"/>
                <w:sz w:val="20"/>
                <w:szCs w:val="20"/>
              </w:rPr>
            </w:pPr>
            <w:r w:rsidRPr="00702882">
              <w:rPr>
                <w:rFonts w:eastAsia="맑은 고딕"/>
                <w:sz w:val="20"/>
                <w:szCs w:val="20"/>
              </w:rPr>
              <w:t>0.66 (0.24)***</w:t>
            </w:r>
          </w:p>
        </w:tc>
      </w:tr>
      <w:tr w:rsidR="00E678BE" w:rsidRPr="00702882" w14:paraId="2855DF62"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18853547" w14:textId="77777777" w:rsidR="00E678BE" w:rsidRPr="00702882" w:rsidRDefault="00E678BE" w:rsidP="00056B9F">
            <w:pPr>
              <w:jc w:val="both"/>
              <w:rPr>
                <w:rFonts w:eastAsia="맑은 고딕"/>
                <w:sz w:val="20"/>
                <w:szCs w:val="20"/>
              </w:rPr>
            </w:pPr>
            <w:r w:rsidRPr="00702882">
              <w:rPr>
                <w:rFonts w:eastAsia="맑은 고딕"/>
                <w:sz w:val="20"/>
                <w:szCs w:val="20"/>
              </w:rPr>
              <w:t>Population_million</w:t>
            </w:r>
          </w:p>
        </w:tc>
        <w:tc>
          <w:tcPr>
            <w:tcW w:w="2188" w:type="dxa"/>
            <w:tcBorders>
              <w:top w:val="nil"/>
              <w:left w:val="nil"/>
              <w:bottom w:val="nil"/>
              <w:right w:val="nil"/>
            </w:tcBorders>
          </w:tcPr>
          <w:p w14:paraId="4959992B"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0D55DF31" w14:textId="77777777" w:rsidR="00E678BE" w:rsidRPr="00702882" w:rsidRDefault="00E678BE" w:rsidP="00056B9F">
            <w:pPr>
              <w:rPr>
                <w:rFonts w:eastAsia="맑은 고딕"/>
                <w:sz w:val="20"/>
                <w:szCs w:val="20"/>
              </w:rPr>
            </w:pPr>
            <w:r w:rsidRPr="00702882">
              <w:rPr>
                <w:rFonts w:eastAsia="맑은 고딕"/>
                <w:sz w:val="20"/>
                <w:szCs w:val="20"/>
              </w:rPr>
              <w:t>-1.96 (0.93)**</w:t>
            </w:r>
          </w:p>
        </w:tc>
        <w:tc>
          <w:tcPr>
            <w:tcW w:w="2188" w:type="dxa"/>
            <w:tcBorders>
              <w:top w:val="nil"/>
              <w:left w:val="nil"/>
              <w:bottom w:val="nil"/>
              <w:right w:val="nil"/>
            </w:tcBorders>
            <w:shd w:val="clear" w:color="auto" w:fill="auto"/>
            <w:noWrap/>
            <w:vAlign w:val="center"/>
            <w:hideMark/>
          </w:tcPr>
          <w:p w14:paraId="326002BD" w14:textId="77777777" w:rsidR="00E678BE" w:rsidRPr="00702882" w:rsidRDefault="00E678BE" w:rsidP="00056B9F">
            <w:pPr>
              <w:jc w:val="both"/>
              <w:rPr>
                <w:rFonts w:eastAsia="맑은 고딕"/>
                <w:sz w:val="20"/>
                <w:szCs w:val="20"/>
              </w:rPr>
            </w:pPr>
            <w:r w:rsidRPr="00702882">
              <w:rPr>
                <w:rFonts w:eastAsia="맑은 고딕"/>
                <w:sz w:val="20"/>
                <w:szCs w:val="20"/>
              </w:rPr>
              <w:t>-2.03 (1.02)**</w:t>
            </w:r>
          </w:p>
        </w:tc>
      </w:tr>
      <w:tr w:rsidR="00E678BE" w:rsidRPr="00702882" w14:paraId="18F3116D"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01677A76" w14:textId="77777777" w:rsidR="00E678BE" w:rsidRPr="00702882" w:rsidRDefault="00E678BE" w:rsidP="00056B9F">
            <w:pPr>
              <w:jc w:val="both"/>
              <w:rPr>
                <w:rFonts w:eastAsia="맑은 고딕"/>
                <w:sz w:val="20"/>
                <w:szCs w:val="20"/>
              </w:rPr>
            </w:pPr>
            <w:r w:rsidRPr="00702882">
              <w:rPr>
                <w:rFonts w:eastAsia="맑은 고딕"/>
                <w:sz w:val="20"/>
                <w:szCs w:val="20"/>
              </w:rPr>
              <w:t>TEL</w:t>
            </w:r>
          </w:p>
        </w:tc>
        <w:tc>
          <w:tcPr>
            <w:tcW w:w="2188" w:type="dxa"/>
            <w:tcBorders>
              <w:top w:val="nil"/>
              <w:left w:val="nil"/>
              <w:bottom w:val="nil"/>
              <w:right w:val="nil"/>
            </w:tcBorders>
          </w:tcPr>
          <w:p w14:paraId="79D1BBC2"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7E1CF8D6" w14:textId="77777777" w:rsidR="00E678BE" w:rsidRPr="00702882" w:rsidRDefault="00E678BE" w:rsidP="00056B9F">
            <w:pPr>
              <w:rPr>
                <w:rFonts w:eastAsia="맑은 고딕"/>
                <w:sz w:val="20"/>
                <w:szCs w:val="20"/>
              </w:rPr>
            </w:pPr>
            <w:r w:rsidRPr="00702882">
              <w:rPr>
                <w:rFonts w:eastAsia="맑은 고딕"/>
                <w:sz w:val="20"/>
                <w:szCs w:val="20"/>
              </w:rPr>
              <w:t>-0.02 (0.12)</w:t>
            </w:r>
          </w:p>
        </w:tc>
        <w:tc>
          <w:tcPr>
            <w:tcW w:w="2188" w:type="dxa"/>
            <w:tcBorders>
              <w:top w:val="nil"/>
              <w:left w:val="nil"/>
              <w:bottom w:val="nil"/>
              <w:right w:val="nil"/>
            </w:tcBorders>
            <w:shd w:val="clear" w:color="auto" w:fill="auto"/>
            <w:noWrap/>
            <w:vAlign w:val="center"/>
            <w:hideMark/>
          </w:tcPr>
          <w:p w14:paraId="38831CC2" w14:textId="77777777" w:rsidR="00E678BE" w:rsidRPr="00702882" w:rsidRDefault="00E678BE" w:rsidP="00056B9F">
            <w:pPr>
              <w:jc w:val="both"/>
              <w:rPr>
                <w:rFonts w:eastAsia="맑은 고딕"/>
                <w:sz w:val="20"/>
                <w:szCs w:val="20"/>
              </w:rPr>
            </w:pPr>
            <w:r w:rsidRPr="00702882">
              <w:rPr>
                <w:rFonts w:eastAsia="맑은 고딕"/>
                <w:sz w:val="20"/>
                <w:szCs w:val="20"/>
              </w:rPr>
              <w:t>-0.01 (0.12)</w:t>
            </w:r>
          </w:p>
        </w:tc>
      </w:tr>
      <w:tr w:rsidR="00E678BE" w:rsidRPr="00702882" w14:paraId="0F92E89B"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3FF038FF" w14:textId="77777777" w:rsidR="00E678BE" w:rsidRPr="00702882" w:rsidRDefault="00E678BE" w:rsidP="00056B9F">
            <w:pPr>
              <w:jc w:val="both"/>
              <w:rPr>
                <w:rFonts w:eastAsia="맑은 고딕"/>
                <w:sz w:val="20"/>
                <w:szCs w:val="20"/>
              </w:rPr>
            </w:pPr>
            <w:r w:rsidRPr="00702882">
              <w:rPr>
                <w:rFonts w:eastAsia="맑은 고딕"/>
                <w:sz w:val="20"/>
                <w:szCs w:val="20"/>
              </w:rPr>
              <w:t>BBR</w:t>
            </w:r>
          </w:p>
        </w:tc>
        <w:tc>
          <w:tcPr>
            <w:tcW w:w="2188" w:type="dxa"/>
            <w:tcBorders>
              <w:top w:val="nil"/>
              <w:left w:val="nil"/>
              <w:bottom w:val="nil"/>
              <w:right w:val="nil"/>
            </w:tcBorders>
          </w:tcPr>
          <w:p w14:paraId="7DC76387"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65422A87" w14:textId="77777777" w:rsidR="00E678BE" w:rsidRPr="00702882" w:rsidRDefault="00E678BE" w:rsidP="00056B9F">
            <w:pPr>
              <w:rPr>
                <w:rFonts w:eastAsia="맑은 고딕"/>
                <w:sz w:val="20"/>
                <w:szCs w:val="20"/>
              </w:rPr>
            </w:pPr>
            <w:r w:rsidRPr="00702882">
              <w:rPr>
                <w:rFonts w:eastAsia="맑은 고딕"/>
                <w:sz w:val="20"/>
                <w:szCs w:val="20"/>
              </w:rPr>
              <w:t>-1.08 (1.87)</w:t>
            </w:r>
          </w:p>
        </w:tc>
        <w:tc>
          <w:tcPr>
            <w:tcW w:w="2188" w:type="dxa"/>
            <w:tcBorders>
              <w:top w:val="nil"/>
              <w:left w:val="nil"/>
              <w:bottom w:val="nil"/>
              <w:right w:val="nil"/>
            </w:tcBorders>
            <w:shd w:val="clear" w:color="auto" w:fill="auto"/>
            <w:noWrap/>
            <w:vAlign w:val="center"/>
            <w:hideMark/>
          </w:tcPr>
          <w:p w14:paraId="366659E1" w14:textId="77777777" w:rsidR="00E678BE" w:rsidRPr="00702882" w:rsidRDefault="00E678BE" w:rsidP="00056B9F">
            <w:pPr>
              <w:jc w:val="both"/>
              <w:rPr>
                <w:rFonts w:eastAsia="맑은 고딕"/>
                <w:sz w:val="20"/>
                <w:szCs w:val="20"/>
              </w:rPr>
            </w:pPr>
            <w:r w:rsidRPr="00702882">
              <w:rPr>
                <w:rFonts w:eastAsia="맑은 고딕"/>
                <w:sz w:val="20"/>
                <w:szCs w:val="20"/>
              </w:rPr>
              <w:t>-0.72 (1.96)</w:t>
            </w:r>
          </w:p>
        </w:tc>
      </w:tr>
      <w:tr w:rsidR="00E678BE" w:rsidRPr="00702882" w14:paraId="19112A7F"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11F229F3" w14:textId="77777777" w:rsidR="00E678BE" w:rsidRPr="00702882" w:rsidRDefault="00E678BE" w:rsidP="00056B9F">
            <w:pPr>
              <w:jc w:val="both"/>
              <w:rPr>
                <w:rFonts w:eastAsia="맑은 고딕"/>
                <w:sz w:val="20"/>
                <w:szCs w:val="20"/>
              </w:rPr>
            </w:pPr>
            <w:r w:rsidRPr="00702882">
              <w:rPr>
                <w:rFonts w:eastAsia="맑은 고딕"/>
                <w:sz w:val="20"/>
                <w:szCs w:val="20"/>
              </w:rPr>
              <w:t>Election</w:t>
            </w:r>
          </w:p>
        </w:tc>
        <w:tc>
          <w:tcPr>
            <w:tcW w:w="2188" w:type="dxa"/>
            <w:tcBorders>
              <w:top w:val="nil"/>
              <w:left w:val="nil"/>
              <w:bottom w:val="nil"/>
              <w:right w:val="nil"/>
            </w:tcBorders>
          </w:tcPr>
          <w:p w14:paraId="12400621"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3D37D1F7" w14:textId="77777777" w:rsidR="00E678BE" w:rsidRPr="00702882" w:rsidRDefault="00E678BE" w:rsidP="00056B9F">
            <w:pPr>
              <w:rPr>
                <w:rFonts w:eastAsia="맑은 고딕"/>
                <w:sz w:val="20"/>
                <w:szCs w:val="20"/>
              </w:rPr>
            </w:pPr>
            <w:r w:rsidRPr="00702882">
              <w:rPr>
                <w:rFonts w:eastAsia="맑은 고딕"/>
                <w:sz w:val="20"/>
                <w:szCs w:val="20"/>
              </w:rPr>
              <w:t>0.17 (0.24)</w:t>
            </w:r>
          </w:p>
        </w:tc>
        <w:tc>
          <w:tcPr>
            <w:tcW w:w="2188" w:type="dxa"/>
            <w:tcBorders>
              <w:top w:val="nil"/>
              <w:left w:val="nil"/>
              <w:bottom w:val="nil"/>
              <w:right w:val="nil"/>
            </w:tcBorders>
            <w:shd w:val="clear" w:color="auto" w:fill="auto"/>
            <w:noWrap/>
            <w:vAlign w:val="center"/>
            <w:hideMark/>
          </w:tcPr>
          <w:p w14:paraId="217ED07E" w14:textId="77777777" w:rsidR="00E678BE" w:rsidRPr="00702882" w:rsidRDefault="00E678BE" w:rsidP="00056B9F">
            <w:pPr>
              <w:jc w:val="both"/>
              <w:rPr>
                <w:rFonts w:eastAsia="맑은 고딕"/>
                <w:sz w:val="20"/>
                <w:szCs w:val="20"/>
              </w:rPr>
            </w:pPr>
            <w:r w:rsidRPr="00702882">
              <w:rPr>
                <w:rFonts w:eastAsia="맑은 고딕"/>
                <w:sz w:val="20"/>
                <w:szCs w:val="20"/>
              </w:rPr>
              <w:t>0.19 (0.24)</w:t>
            </w:r>
          </w:p>
        </w:tc>
      </w:tr>
      <w:tr w:rsidR="00E678BE" w:rsidRPr="00702882" w14:paraId="070CBCB6" w14:textId="77777777" w:rsidTr="00056B9F">
        <w:trPr>
          <w:trHeight w:val="283"/>
          <w:jc w:val="center"/>
        </w:trPr>
        <w:tc>
          <w:tcPr>
            <w:tcW w:w="2188" w:type="dxa"/>
            <w:tcBorders>
              <w:top w:val="nil"/>
              <w:left w:val="nil"/>
              <w:bottom w:val="nil"/>
              <w:right w:val="nil"/>
            </w:tcBorders>
            <w:shd w:val="clear" w:color="auto" w:fill="auto"/>
            <w:noWrap/>
            <w:vAlign w:val="center"/>
            <w:hideMark/>
          </w:tcPr>
          <w:p w14:paraId="429810DF" w14:textId="77777777" w:rsidR="00E678BE" w:rsidRPr="00702882" w:rsidRDefault="00E678BE" w:rsidP="00056B9F">
            <w:pPr>
              <w:jc w:val="both"/>
              <w:rPr>
                <w:rFonts w:eastAsia="맑은 고딕"/>
                <w:sz w:val="20"/>
                <w:szCs w:val="20"/>
              </w:rPr>
            </w:pPr>
            <w:r w:rsidRPr="00702882">
              <w:rPr>
                <w:rFonts w:eastAsia="맑은 고딕"/>
                <w:sz w:val="20"/>
                <w:szCs w:val="20"/>
              </w:rPr>
              <w:t>Democrat_share</w:t>
            </w:r>
          </w:p>
        </w:tc>
        <w:tc>
          <w:tcPr>
            <w:tcW w:w="2188" w:type="dxa"/>
            <w:tcBorders>
              <w:top w:val="nil"/>
              <w:left w:val="nil"/>
              <w:bottom w:val="nil"/>
              <w:right w:val="nil"/>
            </w:tcBorders>
          </w:tcPr>
          <w:p w14:paraId="5ECC0078" w14:textId="77777777" w:rsidR="00E678BE" w:rsidRPr="00702882" w:rsidRDefault="00E678BE" w:rsidP="00056B9F">
            <w:pPr>
              <w:rPr>
                <w:rFonts w:eastAsia="맑은 고딕"/>
                <w:sz w:val="20"/>
                <w:szCs w:val="20"/>
              </w:rPr>
            </w:pPr>
          </w:p>
        </w:tc>
        <w:tc>
          <w:tcPr>
            <w:tcW w:w="2188" w:type="dxa"/>
            <w:tcBorders>
              <w:top w:val="nil"/>
              <w:left w:val="nil"/>
              <w:bottom w:val="nil"/>
              <w:right w:val="nil"/>
            </w:tcBorders>
            <w:vAlign w:val="center"/>
          </w:tcPr>
          <w:p w14:paraId="533AE40B" w14:textId="77777777" w:rsidR="00E678BE" w:rsidRPr="00702882" w:rsidRDefault="00E678BE" w:rsidP="00056B9F">
            <w:pPr>
              <w:rPr>
                <w:rFonts w:eastAsia="맑은 고딕"/>
                <w:sz w:val="20"/>
                <w:szCs w:val="20"/>
              </w:rPr>
            </w:pPr>
            <w:r w:rsidRPr="00702882">
              <w:rPr>
                <w:rFonts w:eastAsia="맑은 고딕"/>
                <w:sz w:val="20"/>
                <w:szCs w:val="20"/>
              </w:rPr>
              <w:t>0.53 (3.73)</w:t>
            </w:r>
          </w:p>
        </w:tc>
        <w:tc>
          <w:tcPr>
            <w:tcW w:w="2188" w:type="dxa"/>
            <w:tcBorders>
              <w:top w:val="nil"/>
              <w:left w:val="nil"/>
              <w:bottom w:val="nil"/>
              <w:right w:val="nil"/>
            </w:tcBorders>
            <w:shd w:val="clear" w:color="auto" w:fill="auto"/>
            <w:noWrap/>
            <w:vAlign w:val="center"/>
            <w:hideMark/>
          </w:tcPr>
          <w:p w14:paraId="154B5BC8" w14:textId="77777777" w:rsidR="00E678BE" w:rsidRPr="00702882" w:rsidRDefault="00E678BE" w:rsidP="00056B9F">
            <w:pPr>
              <w:jc w:val="both"/>
              <w:rPr>
                <w:rFonts w:eastAsia="맑은 고딕"/>
                <w:sz w:val="20"/>
                <w:szCs w:val="20"/>
              </w:rPr>
            </w:pPr>
            <w:r w:rsidRPr="00702882">
              <w:rPr>
                <w:rFonts w:eastAsia="맑은 고딕"/>
                <w:sz w:val="20"/>
                <w:szCs w:val="20"/>
              </w:rPr>
              <w:t>1.36 (3.76)</w:t>
            </w:r>
          </w:p>
        </w:tc>
      </w:tr>
      <w:tr w:rsidR="00E678BE" w:rsidRPr="00702882" w14:paraId="0111A885" w14:textId="77777777" w:rsidTr="00056B9F">
        <w:trPr>
          <w:trHeight w:val="283"/>
          <w:jc w:val="center"/>
        </w:trPr>
        <w:tc>
          <w:tcPr>
            <w:tcW w:w="2188" w:type="dxa"/>
            <w:tcBorders>
              <w:top w:val="nil"/>
              <w:left w:val="nil"/>
              <w:right w:val="nil"/>
            </w:tcBorders>
            <w:shd w:val="clear" w:color="auto" w:fill="auto"/>
            <w:noWrap/>
            <w:vAlign w:val="center"/>
            <w:hideMark/>
          </w:tcPr>
          <w:p w14:paraId="0EB03650" w14:textId="77777777" w:rsidR="00E678BE" w:rsidRPr="00702882" w:rsidRDefault="00E678BE" w:rsidP="00056B9F">
            <w:pPr>
              <w:jc w:val="both"/>
              <w:rPr>
                <w:rFonts w:eastAsia="맑은 고딕"/>
                <w:sz w:val="20"/>
                <w:szCs w:val="20"/>
              </w:rPr>
            </w:pPr>
            <w:r w:rsidRPr="00702882">
              <w:rPr>
                <w:rFonts w:eastAsia="맑은 고딕"/>
                <w:sz w:val="20"/>
                <w:szCs w:val="20"/>
              </w:rPr>
              <w:t>Division</w:t>
            </w:r>
          </w:p>
        </w:tc>
        <w:tc>
          <w:tcPr>
            <w:tcW w:w="2188" w:type="dxa"/>
            <w:tcBorders>
              <w:top w:val="nil"/>
              <w:left w:val="nil"/>
              <w:right w:val="nil"/>
            </w:tcBorders>
          </w:tcPr>
          <w:p w14:paraId="19204447" w14:textId="77777777" w:rsidR="00E678BE" w:rsidRPr="00702882" w:rsidRDefault="00E678BE" w:rsidP="00056B9F">
            <w:pPr>
              <w:rPr>
                <w:rFonts w:eastAsia="맑은 고딕"/>
                <w:sz w:val="20"/>
                <w:szCs w:val="20"/>
              </w:rPr>
            </w:pPr>
          </w:p>
        </w:tc>
        <w:tc>
          <w:tcPr>
            <w:tcW w:w="2188" w:type="dxa"/>
            <w:tcBorders>
              <w:top w:val="nil"/>
              <w:left w:val="nil"/>
              <w:right w:val="nil"/>
            </w:tcBorders>
            <w:vAlign w:val="center"/>
          </w:tcPr>
          <w:p w14:paraId="05E80787" w14:textId="77777777" w:rsidR="00E678BE" w:rsidRPr="00702882" w:rsidRDefault="00E678BE" w:rsidP="00056B9F">
            <w:pPr>
              <w:rPr>
                <w:rFonts w:eastAsia="맑은 고딕"/>
                <w:sz w:val="20"/>
                <w:szCs w:val="20"/>
              </w:rPr>
            </w:pPr>
            <w:r w:rsidRPr="00702882">
              <w:rPr>
                <w:rFonts w:eastAsia="맑은 고딕"/>
                <w:sz w:val="20"/>
                <w:szCs w:val="20"/>
              </w:rPr>
              <w:t>0.06 (0.38)</w:t>
            </w:r>
          </w:p>
        </w:tc>
        <w:tc>
          <w:tcPr>
            <w:tcW w:w="2188" w:type="dxa"/>
            <w:tcBorders>
              <w:top w:val="nil"/>
              <w:left w:val="nil"/>
              <w:right w:val="nil"/>
            </w:tcBorders>
            <w:shd w:val="clear" w:color="auto" w:fill="auto"/>
            <w:noWrap/>
            <w:vAlign w:val="center"/>
            <w:hideMark/>
          </w:tcPr>
          <w:p w14:paraId="31756E35" w14:textId="77777777" w:rsidR="00E678BE" w:rsidRPr="00702882" w:rsidRDefault="00E678BE" w:rsidP="00056B9F">
            <w:pPr>
              <w:jc w:val="both"/>
              <w:rPr>
                <w:rFonts w:eastAsia="맑은 고딕"/>
                <w:sz w:val="20"/>
                <w:szCs w:val="20"/>
              </w:rPr>
            </w:pPr>
            <w:r w:rsidRPr="00702882">
              <w:rPr>
                <w:rFonts w:eastAsia="맑은 고딕"/>
                <w:sz w:val="20"/>
                <w:szCs w:val="20"/>
              </w:rPr>
              <w:t>0.11 (0.39)</w:t>
            </w:r>
          </w:p>
        </w:tc>
      </w:tr>
      <w:tr w:rsidR="00E678BE" w:rsidRPr="00702882" w14:paraId="171C1D2B" w14:textId="77777777" w:rsidTr="00056B9F">
        <w:trPr>
          <w:trHeight w:val="283"/>
          <w:jc w:val="center"/>
        </w:trPr>
        <w:tc>
          <w:tcPr>
            <w:tcW w:w="2188" w:type="dxa"/>
            <w:tcBorders>
              <w:top w:val="nil"/>
              <w:left w:val="nil"/>
              <w:bottom w:val="single" w:sz="8" w:space="0" w:color="auto"/>
              <w:right w:val="nil"/>
            </w:tcBorders>
            <w:shd w:val="clear" w:color="auto" w:fill="auto"/>
            <w:noWrap/>
            <w:vAlign w:val="center"/>
          </w:tcPr>
          <w:p w14:paraId="1D7AB1D0" w14:textId="77777777" w:rsidR="00E678BE" w:rsidRPr="00702882" w:rsidRDefault="00E678BE" w:rsidP="00056B9F">
            <w:pPr>
              <w:rPr>
                <w:rFonts w:eastAsia="맑은 고딕"/>
                <w:sz w:val="20"/>
                <w:szCs w:val="20"/>
              </w:rPr>
            </w:pPr>
            <w:r w:rsidRPr="00702882">
              <w:rPr>
                <w:rFonts w:eastAsia="맑은 고딕"/>
                <w:sz w:val="20"/>
                <w:szCs w:val="20"/>
              </w:rPr>
              <w:t>WithShortfall</w:t>
            </w:r>
          </w:p>
        </w:tc>
        <w:tc>
          <w:tcPr>
            <w:tcW w:w="2188" w:type="dxa"/>
            <w:tcBorders>
              <w:top w:val="nil"/>
              <w:left w:val="nil"/>
              <w:bottom w:val="single" w:sz="8" w:space="0" w:color="auto"/>
              <w:right w:val="nil"/>
            </w:tcBorders>
          </w:tcPr>
          <w:p w14:paraId="07043496" w14:textId="77777777" w:rsidR="00E678BE" w:rsidRPr="00702882" w:rsidRDefault="00E678BE" w:rsidP="00056B9F">
            <w:pPr>
              <w:rPr>
                <w:rFonts w:eastAsia="맑은 고딕"/>
                <w:sz w:val="20"/>
                <w:szCs w:val="20"/>
              </w:rPr>
            </w:pPr>
          </w:p>
        </w:tc>
        <w:tc>
          <w:tcPr>
            <w:tcW w:w="2188" w:type="dxa"/>
            <w:tcBorders>
              <w:top w:val="nil"/>
              <w:left w:val="nil"/>
              <w:bottom w:val="single" w:sz="8" w:space="0" w:color="auto"/>
              <w:right w:val="nil"/>
            </w:tcBorders>
          </w:tcPr>
          <w:p w14:paraId="47620A10" w14:textId="77777777" w:rsidR="00E678BE" w:rsidRPr="00702882" w:rsidRDefault="00E678BE" w:rsidP="00056B9F">
            <w:pPr>
              <w:rPr>
                <w:rFonts w:eastAsia="맑은 고딕"/>
                <w:sz w:val="20"/>
                <w:szCs w:val="20"/>
              </w:rPr>
            </w:pPr>
          </w:p>
        </w:tc>
        <w:tc>
          <w:tcPr>
            <w:tcW w:w="2188" w:type="dxa"/>
            <w:tcBorders>
              <w:top w:val="nil"/>
              <w:left w:val="nil"/>
              <w:bottom w:val="single" w:sz="8" w:space="0" w:color="auto"/>
              <w:right w:val="nil"/>
            </w:tcBorders>
            <w:shd w:val="clear" w:color="auto" w:fill="auto"/>
            <w:noWrap/>
            <w:vAlign w:val="center"/>
          </w:tcPr>
          <w:p w14:paraId="1728E66A" w14:textId="77777777" w:rsidR="00E678BE" w:rsidRPr="00702882" w:rsidRDefault="00E678BE" w:rsidP="00056B9F">
            <w:pPr>
              <w:rPr>
                <w:rFonts w:eastAsia="맑은 고딕"/>
                <w:sz w:val="20"/>
                <w:szCs w:val="20"/>
              </w:rPr>
            </w:pPr>
            <w:r w:rsidRPr="00702882">
              <w:rPr>
                <w:rFonts w:eastAsia="맑은 고딕"/>
                <w:sz w:val="20"/>
                <w:szCs w:val="20"/>
              </w:rPr>
              <w:t>1.61 (2.34)</w:t>
            </w:r>
          </w:p>
        </w:tc>
      </w:tr>
      <w:tr w:rsidR="00E678BE" w:rsidRPr="00702882" w14:paraId="126A4D13" w14:textId="77777777" w:rsidTr="00056B9F">
        <w:trPr>
          <w:trHeight w:val="283"/>
          <w:jc w:val="center"/>
        </w:trPr>
        <w:tc>
          <w:tcPr>
            <w:tcW w:w="8752" w:type="dxa"/>
            <w:gridSpan w:val="4"/>
            <w:tcBorders>
              <w:top w:val="single" w:sz="8" w:space="0" w:color="auto"/>
              <w:left w:val="nil"/>
              <w:right w:val="nil"/>
            </w:tcBorders>
            <w:shd w:val="clear" w:color="auto" w:fill="auto"/>
            <w:noWrap/>
            <w:vAlign w:val="center"/>
          </w:tcPr>
          <w:p w14:paraId="2C97B7FD" w14:textId="77777777" w:rsidR="00E678BE" w:rsidRPr="00702882" w:rsidRDefault="00E678BE" w:rsidP="00056B9F">
            <w:pPr>
              <w:spacing w:before="240" w:line="480" w:lineRule="auto"/>
              <w:ind w:right="380"/>
              <w:contextualSpacing/>
              <w:rPr>
                <w:rFonts w:eastAsiaTheme="minorEastAsia"/>
                <w:sz w:val="20"/>
                <w:szCs w:val="20"/>
              </w:rPr>
            </w:pPr>
            <w:r w:rsidRPr="00702882">
              <w:rPr>
                <w:sz w:val="20"/>
                <w:szCs w:val="20"/>
                <w:vertAlign w:val="superscript"/>
              </w:rPr>
              <w:t>***</w:t>
            </w:r>
            <w:r w:rsidRPr="00702882">
              <w:rPr>
                <w:sz w:val="20"/>
                <w:szCs w:val="20"/>
              </w:rPr>
              <w:t xml:space="preserve">p &lt; 0.01; </w:t>
            </w:r>
            <w:r w:rsidRPr="00702882">
              <w:rPr>
                <w:sz w:val="20"/>
                <w:szCs w:val="20"/>
                <w:vertAlign w:val="superscript"/>
              </w:rPr>
              <w:t>**</w:t>
            </w:r>
            <w:r w:rsidRPr="00702882">
              <w:rPr>
                <w:sz w:val="20"/>
                <w:szCs w:val="20"/>
              </w:rPr>
              <w:t xml:space="preserve">p &lt; 0.05; </w:t>
            </w:r>
            <w:r w:rsidRPr="00702882">
              <w:rPr>
                <w:sz w:val="20"/>
                <w:szCs w:val="20"/>
                <w:vertAlign w:val="superscript"/>
              </w:rPr>
              <w:t>*</w:t>
            </w:r>
            <w:r w:rsidRPr="00702882">
              <w:rPr>
                <w:sz w:val="20"/>
                <w:szCs w:val="20"/>
              </w:rPr>
              <w:t>p &lt; 0.1</w:t>
            </w:r>
          </w:p>
          <w:p w14:paraId="537A35AF" w14:textId="77777777" w:rsidR="00E678BE" w:rsidRPr="00702882" w:rsidRDefault="00E678BE" w:rsidP="00056B9F">
            <w:pPr>
              <w:rPr>
                <w:rFonts w:eastAsia="맑은 고딕"/>
                <w:sz w:val="20"/>
                <w:szCs w:val="20"/>
              </w:rPr>
            </w:pPr>
            <w:r w:rsidRPr="00702882">
              <w:rPr>
                <w:rFonts w:eastAsiaTheme="minorEastAsia"/>
                <w:sz w:val="20"/>
                <w:szCs w:val="20"/>
              </w:rPr>
              <w:t xml:space="preserve">Note: </w:t>
            </w:r>
            <w:r w:rsidRPr="00702882">
              <w:rPr>
                <w:sz w:val="20"/>
                <w:szCs w:val="20"/>
              </w:rPr>
              <w:t xml:space="preserve">Standard errors </w:t>
            </w:r>
            <w:r w:rsidRPr="00702882">
              <w:rPr>
                <w:rFonts w:eastAsiaTheme="minorEastAsia"/>
                <w:sz w:val="20"/>
                <w:szCs w:val="20"/>
              </w:rPr>
              <w:t xml:space="preserve">are </w:t>
            </w:r>
            <w:r w:rsidRPr="00702882">
              <w:rPr>
                <w:sz w:val="20"/>
                <w:szCs w:val="20"/>
              </w:rPr>
              <w:t>shown in the parentheses.</w:t>
            </w:r>
          </w:p>
        </w:tc>
      </w:tr>
      <w:bookmarkEnd w:id="65"/>
    </w:tbl>
    <w:p w14:paraId="7CB36E6E" w14:textId="77777777" w:rsidR="00E678BE" w:rsidRPr="00702882" w:rsidRDefault="00E678BE" w:rsidP="00F360CD">
      <w:pPr>
        <w:pStyle w:val="ad"/>
        <w:spacing w:before="0" w:beforeAutospacing="0" w:line="480" w:lineRule="auto"/>
        <w:contextualSpacing/>
        <w:rPr>
          <w:rFonts w:eastAsiaTheme="minorEastAsia"/>
        </w:rPr>
      </w:pPr>
    </w:p>
    <w:p w14:paraId="21C48CD1" w14:textId="77777777" w:rsidR="00E678BE" w:rsidRPr="00702882" w:rsidRDefault="00E678BE" w:rsidP="00F360CD">
      <w:pPr>
        <w:pStyle w:val="ad"/>
        <w:spacing w:before="0" w:beforeAutospacing="0" w:line="480" w:lineRule="auto"/>
        <w:contextualSpacing/>
        <w:rPr>
          <w:rFonts w:eastAsiaTheme="minorEastAsia"/>
        </w:rPr>
      </w:pPr>
    </w:p>
    <w:p w14:paraId="19C76D14" w14:textId="77777777" w:rsidR="00E678BE" w:rsidRPr="00702882" w:rsidRDefault="00E678BE" w:rsidP="00F360CD">
      <w:pPr>
        <w:pStyle w:val="ad"/>
        <w:spacing w:before="0" w:beforeAutospacing="0" w:line="480" w:lineRule="auto"/>
        <w:contextualSpacing/>
        <w:rPr>
          <w:rFonts w:eastAsiaTheme="minorEastAsia"/>
        </w:rPr>
      </w:pPr>
    </w:p>
    <w:p w14:paraId="11EBD777" w14:textId="77777777" w:rsidR="00E678BE" w:rsidRPr="00702882" w:rsidRDefault="00E678BE" w:rsidP="00F360CD">
      <w:pPr>
        <w:pStyle w:val="ad"/>
        <w:spacing w:before="0" w:beforeAutospacing="0" w:line="480" w:lineRule="auto"/>
        <w:contextualSpacing/>
        <w:rPr>
          <w:rFonts w:eastAsiaTheme="minorEastAsia"/>
        </w:rPr>
      </w:pPr>
    </w:p>
    <w:p w14:paraId="156D52E7" w14:textId="77777777" w:rsidR="00E678BE" w:rsidRPr="00702882" w:rsidRDefault="00E678BE" w:rsidP="00F360CD">
      <w:pPr>
        <w:pStyle w:val="ad"/>
        <w:spacing w:before="0" w:beforeAutospacing="0" w:line="480" w:lineRule="auto"/>
        <w:contextualSpacing/>
        <w:rPr>
          <w:rFonts w:eastAsiaTheme="minorEastAsia"/>
        </w:rPr>
      </w:pPr>
    </w:p>
    <w:p w14:paraId="3BA875B6" w14:textId="77777777" w:rsidR="00E678BE" w:rsidRPr="00702882" w:rsidRDefault="00E678BE" w:rsidP="00F360CD">
      <w:pPr>
        <w:pStyle w:val="ad"/>
        <w:spacing w:before="0" w:beforeAutospacing="0" w:line="480" w:lineRule="auto"/>
        <w:contextualSpacing/>
        <w:rPr>
          <w:rFonts w:eastAsiaTheme="minorEastAsia"/>
        </w:rPr>
      </w:pPr>
    </w:p>
    <w:p w14:paraId="6E684426" w14:textId="77777777" w:rsidR="00E678BE" w:rsidRPr="00702882" w:rsidRDefault="00E678BE" w:rsidP="00F360CD">
      <w:pPr>
        <w:pStyle w:val="ad"/>
        <w:spacing w:before="0" w:beforeAutospacing="0" w:line="480" w:lineRule="auto"/>
        <w:contextualSpacing/>
        <w:rPr>
          <w:rFonts w:eastAsiaTheme="minorEastAsia"/>
        </w:rPr>
      </w:pPr>
    </w:p>
    <w:p w14:paraId="18E5BF7C" w14:textId="77777777" w:rsidR="00E678BE" w:rsidRPr="00702882" w:rsidRDefault="00E678BE" w:rsidP="00F360CD">
      <w:pPr>
        <w:pStyle w:val="ad"/>
        <w:spacing w:before="0" w:beforeAutospacing="0" w:line="480" w:lineRule="auto"/>
        <w:contextualSpacing/>
        <w:rPr>
          <w:rFonts w:eastAsiaTheme="minorEastAsia"/>
        </w:rPr>
      </w:pPr>
    </w:p>
    <w:p w14:paraId="57AAA58C" w14:textId="63C486F6" w:rsidR="00F360CD" w:rsidRPr="00702882" w:rsidRDefault="00AF6702" w:rsidP="00E678BE">
      <w:pPr>
        <w:pStyle w:val="ad"/>
        <w:spacing w:before="0" w:beforeAutospacing="0" w:line="480" w:lineRule="auto"/>
        <w:ind w:firstLine="709"/>
        <w:contextualSpacing/>
        <w:rPr>
          <w:rFonts w:eastAsiaTheme="minorEastAsia"/>
        </w:rPr>
      </w:pPr>
      <w:r w:rsidRPr="00702882">
        <w:rPr>
          <w:rFonts w:eastAsiaTheme="minorEastAsia"/>
        </w:rPr>
        <w:lastRenderedPageBreak/>
        <w:t xml:space="preserve">The deposit tied to revenue volatility does not exhibit a significant impact on GFB levels, as indicated in Table </w:t>
      </w:r>
      <w:r w:rsidR="00F360CD" w:rsidRPr="00702882">
        <w:rPr>
          <w:rFonts w:eastAsiaTheme="minorEastAsia"/>
        </w:rPr>
        <w:t>20</w:t>
      </w:r>
      <w:r w:rsidRPr="00702882">
        <w:rPr>
          <w:rFonts w:eastAsiaTheme="minorEastAsia"/>
        </w:rPr>
        <w:t>. Meanwhile, the presence of multiple BSFs (Number) significantly affects GFB levels in models 2 and 3. This implies that states with multiple BSFs are less prone to facing budget deficits or needing to use GFB to address such deficits, compared to states lacking additional BSFs. This aligns with findings from the fixed effects model presented in Table 1</w:t>
      </w:r>
      <w:r w:rsidR="00554E92">
        <w:rPr>
          <w:rFonts w:eastAsiaTheme="minorEastAsia" w:hint="eastAsia"/>
        </w:rPr>
        <w:t>4</w:t>
      </w:r>
      <w:r w:rsidRPr="00702882">
        <w:rPr>
          <w:rFonts w:eastAsiaTheme="minorEastAsia"/>
        </w:rPr>
        <w:t>. However, none of the other deposit and withdrawal rules demonstrate statistically significant effects on GFB levels. Meanwhile, it appears that debt per capita and population tend to exert a significant negative impact on GFB levels, whereas high income has a positive effect on GFB levels.</w:t>
      </w:r>
    </w:p>
    <w:p w14:paraId="77C11593" w14:textId="77777777" w:rsidR="00E678BE" w:rsidRPr="00702882" w:rsidRDefault="00E678BE" w:rsidP="00E678BE">
      <w:pPr>
        <w:pStyle w:val="ad"/>
        <w:spacing w:before="0" w:beforeAutospacing="0" w:line="480" w:lineRule="auto"/>
        <w:ind w:firstLine="709"/>
        <w:contextualSpacing/>
        <w:rPr>
          <w:rFonts w:eastAsiaTheme="minorEastAsia"/>
          <w:color w:val="7030A0"/>
        </w:rPr>
      </w:pPr>
    </w:p>
    <w:p w14:paraId="1E812CF7" w14:textId="6778133C" w:rsidR="00AF6702" w:rsidRPr="00702882" w:rsidRDefault="00AF6702" w:rsidP="00C66AC4">
      <w:pPr>
        <w:spacing w:line="480" w:lineRule="auto"/>
        <w:jc w:val="center"/>
        <w:rPr>
          <w:rFonts w:eastAsiaTheme="minorEastAsia"/>
          <w:b/>
          <w:bCs/>
        </w:rPr>
      </w:pPr>
      <w:r w:rsidRPr="00702882">
        <w:rPr>
          <w:b/>
          <w:bCs/>
        </w:rPr>
        <w:t xml:space="preserve">Figure </w:t>
      </w:r>
      <w:r w:rsidR="00F360CD" w:rsidRPr="00702882">
        <w:rPr>
          <w:rFonts w:eastAsiaTheme="minorEastAsia"/>
          <w:b/>
          <w:bCs/>
        </w:rPr>
        <w:t>10</w:t>
      </w:r>
      <w:r w:rsidRPr="00702882">
        <w:rPr>
          <w:b/>
          <w:bCs/>
        </w:rPr>
        <w:t xml:space="preserve">. ATT of deposit tied to revenue volatility on </w:t>
      </w:r>
      <w:r w:rsidRPr="00702882">
        <w:rPr>
          <w:rFonts w:eastAsiaTheme="minorEastAsia"/>
          <w:b/>
          <w:bCs/>
        </w:rPr>
        <w:t>GFB</w:t>
      </w:r>
      <w:r w:rsidRPr="00702882">
        <w:rPr>
          <w:b/>
          <w:bCs/>
        </w:rPr>
        <w:t xml:space="preserve"> levels over time</w:t>
      </w:r>
    </w:p>
    <w:p w14:paraId="5CA6BCB8" w14:textId="77777777" w:rsidR="00AF6702" w:rsidRPr="00702882" w:rsidRDefault="00AF6702" w:rsidP="00C66AC4">
      <w:pPr>
        <w:spacing w:line="480" w:lineRule="auto"/>
        <w:jc w:val="center"/>
        <w:rPr>
          <w:rFonts w:eastAsiaTheme="minorEastAsia"/>
          <w:color w:val="7030A0"/>
        </w:rPr>
      </w:pPr>
      <w:r w:rsidRPr="00702882">
        <w:rPr>
          <w:rFonts w:eastAsiaTheme="minorEastAsia"/>
          <w:noProof/>
          <w:color w:val="7030A0"/>
        </w:rPr>
        <w:drawing>
          <wp:inline distT="0" distB="0" distL="0" distR="0" wp14:anchorId="3DD07508" wp14:editId="57A3D35C">
            <wp:extent cx="5009676" cy="3811772"/>
            <wp:effectExtent l="0" t="0" r="635" b="0"/>
            <wp:docPr id="1457516267"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a:extLst>
                        <a:ext uri="{28A0092B-C50C-407E-A947-70E740481C1C}">
                          <a14:useLocalDpi xmlns:a14="http://schemas.microsoft.com/office/drawing/2010/main" val="0"/>
                        </a:ext>
                      </a:extLst>
                    </a:blip>
                    <a:srcRect t="6312"/>
                    <a:stretch/>
                  </pic:blipFill>
                  <pic:spPr bwMode="auto">
                    <a:xfrm>
                      <a:off x="0" y="0"/>
                      <a:ext cx="5021725" cy="3820940"/>
                    </a:xfrm>
                    <a:prstGeom prst="rect">
                      <a:avLst/>
                    </a:prstGeom>
                    <a:noFill/>
                    <a:ln>
                      <a:noFill/>
                    </a:ln>
                    <a:extLst>
                      <a:ext uri="{53640926-AAD7-44D8-BBD7-CCE9431645EC}">
                        <a14:shadowObscured xmlns:a14="http://schemas.microsoft.com/office/drawing/2010/main"/>
                      </a:ext>
                    </a:extLst>
                  </pic:spPr>
                </pic:pic>
              </a:graphicData>
            </a:graphic>
          </wp:inline>
        </w:drawing>
      </w:r>
    </w:p>
    <w:p w14:paraId="6A6816A9" w14:textId="77777777" w:rsidR="00F360CD" w:rsidRPr="00702882" w:rsidRDefault="00F360CD" w:rsidP="00C66AC4">
      <w:pPr>
        <w:spacing w:line="480" w:lineRule="auto"/>
        <w:jc w:val="center"/>
        <w:rPr>
          <w:rFonts w:eastAsiaTheme="minorEastAsia"/>
          <w:color w:val="7030A0"/>
        </w:rPr>
      </w:pPr>
    </w:p>
    <w:p w14:paraId="3E19ACA2" w14:textId="478319FF" w:rsidR="00DA2211" w:rsidRPr="00702882" w:rsidRDefault="00DA2211" w:rsidP="00DA2211">
      <w:pPr>
        <w:pStyle w:val="ad"/>
        <w:spacing w:before="0" w:beforeAutospacing="0" w:line="480" w:lineRule="auto"/>
        <w:ind w:firstLine="709"/>
        <w:contextualSpacing/>
        <w:rPr>
          <w:rFonts w:eastAsiaTheme="minorEastAsia"/>
        </w:rPr>
      </w:pPr>
      <w:r w:rsidRPr="00702882">
        <w:rPr>
          <w:rFonts w:eastAsiaTheme="minorEastAsia"/>
        </w:rPr>
        <w:lastRenderedPageBreak/>
        <w:t xml:space="preserve">Figure 10 illustrates the estimated effects of the deposit tied to revenue volatility, calculated by the formula, on GFB levels across various years. The blue dotted line represents the counterfactual GFB levels, while the solid black line represents the GFB levels of the treated state. The impact of the deposit tied to revenue volatility on GFB levels is not statistically different between the treated state and its synthetic controls during the post-treatment period. </w:t>
      </w:r>
    </w:p>
    <w:p w14:paraId="03A2D981" w14:textId="72206841" w:rsidR="00AF6702" w:rsidRPr="00702882" w:rsidRDefault="00AF6702" w:rsidP="00C66AC4">
      <w:pPr>
        <w:pStyle w:val="ad"/>
        <w:spacing w:before="0" w:beforeAutospacing="0" w:line="480" w:lineRule="auto"/>
        <w:ind w:firstLine="709"/>
        <w:contextualSpacing/>
        <w:rPr>
          <w:rFonts w:eastAsiaTheme="minorEastAsia"/>
        </w:rPr>
      </w:pPr>
      <w:r w:rsidRPr="00702882">
        <w:rPr>
          <w:rFonts w:eastAsiaTheme="minorEastAsia"/>
        </w:rPr>
        <w:t>In sum, the findings underscore a critical policy implication regarding the effectiveness of stringent</w:t>
      </w:r>
      <w:r w:rsidR="00DA2211" w:rsidRPr="00702882">
        <w:rPr>
          <w:rFonts w:eastAsiaTheme="minorEastAsia"/>
        </w:rPr>
        <w:t xml:space="preserve"> BSF</w:t>
      </w:r>
      <w:r w:rsidRPr="00702882">
        <w:rPr>
          <w:rFonts w:eastAsiaTheme="minorEastAsia"/>
        </w:rPr>
        <w:t xml:space="preserve"> rules governing BSF. The findings indicate that implementing strict deposit requirements, including source restrictions, high caps, deposits tied to revenue volatility, and depositing revenue surplus, positively influences BSF levels, as demonstrated by the results from the GSCM. The example of Connecticut's practice of tying deposits to revenue volatility through the use of a formula underscores the significance of establishing clear saving obligations within BSF frameworks to enhance their size and resilience. Such policies can serve as valuable tools for state governments in preparing for economic downturns and mitigating fiscal stress.</w:t>
      </w:r>
      <w:bookmarkStart w:id="66" w:name="SummaryofHypothesesandResults"/>
    </w:p>
    <w:p w14:paraId="197EEA9B" w14:textId="77777777" w:rsidR="00AF6702" w:rsidRPr="00702882" w:rsidRDefault="00AF6702" w:rsidP="00C66AC4">
      <w:pPr>
        <w:pStyle w:val="ad"/>
        <w:spacing w:before="0" w:beforeAutospacing="0" w:line="480" w:lineRule="auto"/>
        <w:contextualSpacing/>
        <w:rPr>
          <w:rFonts w:eastAsiaTheme="minorEastAsia"/>
          <w:color w:val="7030A0"/>
        </w:rPr>
      </w:pPr>
    </w:p>
    <w:p w14:paraId="6D366D82" w14:textId="77777777" w:rsidR="00AD1954" w:rsidRPr="00702882" w:rsidRDefault="00AD1954" w:rsidP="00C66AC4">
      <w:pPr>
        <w:pStyle w:val="ad"/>
        <w:spacing w:before="0" w:beforeAutospacing="0" w:line="480" w:lineRule="auto"/>
        <w:contextualSpacing/>
        <w:rPr>
          <w:rFonts w:eastAsiaTheme="minorEastAsia"/>
          <w:color w:val="7030A0"/>
        </w:rPr>
      </w:pPr>
    </w:p>
    <w:p w14:paraId="30D468FD" w14:textId="77777777" w:rsidR="00042DBD" w:rsidRPr="00702882" w:rsidRDefault="00042DBD" w:rsidP="00C66AC4">
      <w:pPr>
        <w:pStyle w:val="ad"/>
        <w:spacing w:before="0" w:beforeAutospacing="0" w:line="480" w:lineRule="auto"/>
        <w:contextualSpacing/>
        <w:rPr>
          <w:rFonts w:eastAsiaTheme="minorEastAsia"/>
          <w:color w:val="7030A0"/>
        </w:rPr>
      </w:pPr>
    </w:p>
    <w:p w14:paraId="4103C57F" w14:textId="77777777" w:rsidR="00042DBD" w:rsidRPr="00702882" w:rsidRDefault="00042DBD" w:rsidP="00C66AC4">
      <w:pPr>
        <w:pStyle w:val="ad"/>
        <w:spacing w:before="0" w:beforeAutospacing="0" w:line="480" w:lineRule="auto"/>
        <w:contextualSpacing/>
        <w:rPr>
          <w:rFonts w:eastAsiaTheme="minorEastAsia"/>
          <w:color w:val="7030A0"/>
        </w:rPr>
      </w:pPr>
    </w:p>
    <w:p w14:paraId="0117EC8C" w14:textId="77777777" w:rsidR="00042DBD" w:rsidRPr="00702882" w:rsidRDefault="00042DBD" w:rsidP="00C66AC4">
      <w:pPr>
        <w:pStyle w:val="ad"/>
        <w:spacing w:before="0" w:beforeAutospacing="0" w:line="480" w:lineRule="auto"/>
        <w:contextualSpacing/>
        <w:rPr>
          <w:rFonts w:eastAsiaTheme="minorEastAsia"/>
          <w:color w:val="7030A0"/>
        </w:rPr>
      </w:pPr>
    </w:p>
    <w:p w14:paraId="0F7333D1" w14:textId="77777777" w:rsidR="00042DBD" w:rsidRPr="00702882" w:rsidRDefault="00042DBD" w:rsidP="00C66AC4">
      <w:pPr>
        <w:pStyle w:val="ad"/>
        <w:spacing w:before="0" w:beforeAutospacing="0" w:line="480" w:lineRule="auto"/>
        <w:contextualSpacing/>
        <w:rPr>
          <w:rFonts w:eastAsiaTheme="minorEastAsia"/>
          <w:color w:val="7030A0"/>
        </w:rPr>
      </w:pPr>
    </w:p>
    <w:p w14:paraId="3C47404C" w14:textId="77777777" w:rsidR="00042DBD" w:rsidRPr="00702882" w:rsidRDefault="00042DBD" w:rsidP="00C66AC4">
      <w:pPr>
        <w:pStyle w:val="ad"/>
        <w:spacing w:before="0" w:beforeAutospacing="0" w:line="480" w:lineRule="auto"/>
        <w:contextualSpacing/>
        <w:rPr>
          <w:rFonts w:eastAsiaTheme="minorEastAsia"/>
          <w:color w:val="7030A0"/>
        </w:rPr>
      </w:pPr>
    </w:p>
    <w:p w14:paraId="36F27B91" w14:textId="77777777" w:rsidR="00042DBD" w:rsidRPr="00702882" w:rsidRDefault="00042DBD" w:rsidP="00C66AC4">
      <w:pPr>
        <w:pStyle w:val="ad"/>
        <w:spacing w:before="0" w:beforeAutospacing="0" w:line="480" w:lineRule="auto"/>
        <w:contextualSpacing/>
        <w:rPr>
          <w:rFonts w:eastAsiaTheme="minorEastAsia"/>
          <w:color w:val="7030A0"/>
        </w:rPr>
      </w:pPr>
    </w:p>
    <w:p w14:paraId="6ED6C15D" w14:textId="77777777" w:rsidR="00DA2211" w:rsidRPr="00702882" w:rsidRDefault="00DA2211" w:rsidP="00C66AC4">
      <w:pPr>
        <w:pStyle w:val="ad"/>
        <w:spacing w:before="0" w:beforeAutospacing="0" w:line="480" w:lineRule="auto"/>
        <w:contextualSpacing/>
        <w:rPr>
          <w:rFonts w:eastAsiaTheme="minorEastAsia"/>
          <w:color w:val="7030A0"/>
        </w:rPr>
      </w:pPr>
    </w:p>
    <w:p w14:paraId="73E770B4" w14:textId="27F8743D" w:rsidR="00DA2211" w:rsidRPr="00702882" w:rsidRDefault="00AF6702" w:rsidP="00454692">
      <w:pPr>
        <w:spacing w:line="480" w:lineRule="auto"/>
        <w:jc w:val="center"/>
        <w:rPr>
          <w:rFonts w:eastAsiaTheme="minorEastAsia"/>
          <w:b/>
          <w:bCs/>
        </w:rPr>
      </w:pPr>
      <w:r w:rsidRPr="00702882">
        <w:rPr>
          <w:b/>
          <w:bCs/>
        </w:rPr>
        <w:lastRenderedPageBreak/>
        <w:t xml:space="preserve">Table </w:t>
      </w:r>
      <w:r w:rsidR="00454692" w:rsidRPr="00702882">
        <w:rPr>
          <w:rFonts w:eastAsiaTheme="minorEastAsia"/>
          <w:b/>
          <w:bCs/>
        </w:rPr>
        <w:t>21</w:t>
      </w:r>
      <w:r w:rsidRPr="00702882">
        <w:rPr>
          <w:b/>
          <w:bCs/>
        </w:rPr>
        <w:t>. Summary of Hypotheses and Results</w:t>
      </w:r>
      <w:bookmarkEnd w:id="66"/>
    </w:p>
    <w:p w14:paraId="7A08D43C" w14:textId="4BBA5CFA" w:rsidR="00AF6702" w:rsidRPr="00702882" w:rsidRDefault="007C598A" w:rsidP="00454692">
      <w:pPr>
        <w:spacing w:line="480" w:lineRule="auto"/>
        <w:jc w:val="center"/>
        <w:rPr>
          <w:rFonts w:eastAsiaTheme="minorEastAsia"/>
          <w:b/>
          <w:bCs/>
        </w:rPr>
      </w:pPr>
      <w:r w:rsidRPr="00702882">
        <w:rPr>
          <w:rFonts w:eastAsiaTheme="minorEastAsia"/>
        </w:rPr>
        <w:t xml:space="preserve">A. </w:t>
      </w:r>
      <w:r w:rsidR="00AF6702" w:rsidRPr="00702882">
        <w:t>The Effects of BSF Structural Features on BSF Levels</w:t>
      </w:r>
    </w:p>
    <w:tbl>
      <w:tblPr>
        <w:tblStyle w:val="a7"/>
        <w:tblW w:w="9356" w:type="dxa"/>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4613"/>
        <w:gridCol w:w="1386"/>
        <w:gridCol w:w="1387"/>
        <w:gridCol w:w="1387"/>
      </w:tblGrid>
      <w:tr w:rsidR="00454692" w:rsidRPr="00702882" w14:paraId="7DE5E70B" w14:textId="77777777" w:rsidTr="00AE6820">
        <w:trPr>
          <w:trHeight w:val="283"/>
          <w:jc w:val="center"/>
        </w:trPr>
        <w:tc>
          <w:tcPr>
            <w:tcW w:w="583" w:type="dxa"/>
            <w:tcBorders>
              <w:top w:val="single" w:sz="8" w:space="0" w:color="auto"/>
              <w:bottom w:val="single" w:sz="8" w:space="0" w:color="auto"/>
            </w:tcBorders>
          </w:tcPr>
          <w:p w14:paraId="3FC2F32A" w14:textId="77777777" w:rsidR="00AF6702" w:rsidRPr="00702882" w:rsidRDefault="00AF6702" w:rsidP="00AD1954">
            <w:pPr>
              <w:rPr>
                <w:b/>
                <w:bCs/>
                <w:sz w:val="22"/>
                <w:szCs w:val="22"/>
              </w:rPr>
            </w:pPr>
          </w:p>
        </w:tc>
        <w:tc>
          <w:tcPr>
            <w:tcW w:w="4613" w:type="dxa"/>
            <w:tcBorders>
              <w:top w:val="single" w:sz="8" w:space="0" w:color="auto"/>
              <w:bottom w:val="single" w:sz="8" w:space="0" w:color="auto"/>
            </w:tcBorders>
            <w:vAlign w:val="center"/>
          </w:tcPr>
          <w:p w14:paraId="34F7655B" w14:textId="77777777" w:rsidR="00AF6702" w:rsidRPr="00702882" w:rsidRDefault="00AF6702" w:rsidP="00AD1954">
            <w:pPr>
              <w:jc w:val="center"/>
              <w:rPr>
                <w:sz w:val="22"/>
                <w:szCs w:val="22"/>
              </w:rPr>
            </w:pPr>
            <w:r w:rsidRPr="00702882">
              <w:rPr>
                <w:rFonts w:eastAsiaTheme="minorEastAsia"/>
                <w:sz w:val="22"/>
                <w:szCs w:val="22"/>
              </w:rPr>
              <w:t>Are empirical results supported?</w:t>
            </w:r>
          </w:p>
        </w:tc>
        <w:tc>
          <w:tcPr>
            <w:tcW w:w="1386" w:type="dxa"/>
            <w:tcBorders>
              <w:top w:val="single" w:sz="8" w:space="0" w:color="auto"/>
              <w:bottom w:val="single" w:sz="8" w:space="0" w:color="auto"/>
            </w:tcBorders>
          </w:tcPr>
          <w:p w14:paraId="11F81865" w14:textId="77777777" w:rsidR="00AF6702" w:rsidRPr="00702882" w:rsidRDefault="00AF6702" w:rsidP="00AD1954">
            <w:pPr>
              <w:jc w:val="center"/>
              <w:rPr>
                <w:rFonts w:eastAsiaTheme="minorEastAsia"/>
                <w:i/>
                <w:iCs/>
                <w:sz w:val="22"/>
                <w:szCs w:val="22"/>
              </w:rPr>
            </w:pPr>
            <w:r w:rsidRPr="00702882">
              <w:rPr>
                <w:rFonts w:eastAsiaTheme="minorEastAsia"/>
                <w:i/>
                <w:iCs/>
                <w:sz w:val="22"/>
                <w:szCs w:val="22"/>
              </w:rPr>
              <w:t>Hypotheses</w:t>
            </w:r>
          </w:p>
        </w:tc>
        <w:tc>
          <w:tcPr>
            <w:tcW w:w="1387" w:type="dxa"/>
            <w:tcBorders>
              <w:top w:val="single" w:sz="8" w:space="0" w:color="auto"/>
              <w:bottom w:val="single" w:sz="8" w:space="0" w:color="auto"/>
            </w:tcBorders>
          </w:tcPr>
          <w:p w14:paraId="75CCA757" w14:textId="77777777" w:rsidR="00AF6702" w:rsidRPr="00702882" w:rsidRDefault="00AF6702" w:rsidP="00AD1954">
            <w:pPr>
              <w:jc w:val="center"/>
              <w:rPr>
                <w:i/>
                <w:iCs/>
                <w:sz w:val="22"/>
                <w:szCs w:val="22"/>
              </w:rPr>
            </w:pPr>
            <w:r w:rsidRPr="00702882">
              <w:rPr>
                <w:i/>
                <w:iCs/>
                <w:sz w:val="22"/>
                <w:szCs w:val="22"/>
              </w:rPr>
              <w:t>Fixed Effects</w:t>
            </w:r>
          </w:p>
        </w:tc>
        <w:tc>
          <w:tcPr>
            <w:tcW w:w="1387" w:type="dxa"/>
            <w:tcBorders>
              <w:top w:val="single" w:sz="8" w:space="0" w:color="auto"/>
              <w:bottom w:val="single" w:sz="8" w:space="0" w:color="auto"/>
            </w:tcBorders>
          </w:tcPr>
          <w:p w14:paraId="473CADD7" w14:textId="77777777" w:rsidR="00AF6702" w:rsidRPr="00702882" w:rsidRDefault="00AF6702" w:rsidP="00AD1954">
            <w:pPr>
              <w:jc w:val="center"/>
              <w:rPr>
                <w:rFonts w:eastAsiaTheme="minorEastAsia"/>
                <w:i/>
                <w:iCs/>
                <w:sz w:val="22"/>
                <w:szCs w:val="22"/>
              </w:rPr>
            </w:pPr>
            <w:r w:rsidRPr="00702882">
              <w:rPr>
                <w:rFonts w:eastAsiaTheme="minorEastAsia"/>
                <w:i/>
                <w:iCs/>
                <w:sz w:val="22"/>
                <w:szCs w:val="22"/>
              </w:rPr>
              <w:t>GSCM</w:t>
            </w:r>
          </w:p>
        </w:tc>
      </w:tr>
      <w:tr w:rsidR="00454692" w:rsidRPr="00702882" w14:paraId="3E3C90DD" w14:textId="77777777" w:rsidTr="00AE6820">
        <w:trPr>
          <w:trHeight w:val="283"/>
          <w:jc w:val="center"/>
        </w:trPr>
        <w:tc>
          <w:tcPr>
            <w:tcW w:w="583" w:type="dxa"/>
            <w:tcBorders>
              <w:top w:val="single" w:sz="8" w:space="0" w:color="auto"/>
            </w:tcBorders>
          </w:tcPr>
          <w:p w14:paraId="77DD9E4F" w14:textId="77777777" w:rsidR="00AF6702" w:rsidRPr="00702882" w:rsidRDefault="00AF6702" w:rsidP="00AD1954">
            <w:pPr>
              <w:rPr>
                <w:sz w:val="22"/>
                <w:szCs w:val="22"/>
              </w:rPr>
            </w:pPr>
            <w:r w:rsidRPr="00702882">
              <w:rPr>
                <w:sz w:val="22"/>
                <w:szCs w:val="22"/>
              </w:rPr>
              <w:t>H1</w:t>
            </w:r>
          </w:p>
        </w:tc>
        <w:tc>
          <w:tcPr>
            <w:tcW w:w="4613" w:type="dxa"/>
            <w:tcBorders>
              <w:top w:val="single" w:sz="8" w:space="0" w:color="auto"/>
            </w:tcBorders>
          </w:tcPr>
          <w:p w14:paraId="0C0F2CB8" w14:textId="77777777" w:rsidR="00AF6702" w:rsidRPr="00702882" w:rsidRDefault="00AF6702" w:rsidP="00AD1954">
            <w:pPr>
              <w:rPr>
                <w:b/>
                <w:bCs/>
                <w:sz w:val="22"/>
                <w:szCs w:val="22"/>
              </w:rPr>
            </w:pPr>
            <w:r w:rsidRPr="00702882">
              <w:rPr>
                <w:b/>
                <w:sz w:val="22"/>
                <w:szCs w:val="22"/>
              </w:rPr>
              <w:t>High stringency of deposit requirements</w:t>
            </w:r>
          </w:p>
        </w:tc>
        <w:tc>
          <w:tcPr>
            <w:tcW w:w="1386" w:type="dxa"/>
            <w:tcBorders>
              <w:top w:val="single" w:sz="8" w:space="0" w:color="auto"/>
            </w:tcBorders>
          </w:tcPr>
          <w:p w14:paraId="3D33579A" w14:textId="77777777" w:rsidR="00AF6702" w:rsidRPr="00702882" w:rsidRDefault="00AF6702" w:rsidP="00AD1954">
            <w:pPr>
              <w:jc w:val="center"/>
              <w:rPr>
                <w:sz w:val="22"/>
                <w:szCs w:val="22"/>
              </w:rPr>
            </w:pPr>
            <w:r w:rsidRPr="00702882">
              <w:rPr>
                <w:sz w:val="22"/>
                <w:szCs w:val="22"/>
              </w:rPr>
              <w:t>Positive</w:t>
            </w:r>
          </w:p>
        </w:tc>
        <w:tc>
          <w:tcPr>
            <w:tcW w:w="1387" w:type="dxa"/>
            <w:tcBorders>
              <w:top w:val="single" w:sz="8" w:space="0" w:color="auto"/>
            </w:tcBorders>
          </w:tcPr>
          <w:p w14:paraId="75B470BB" w14:textId="77777777" w:rsidR="00AF6702" w:rsidRPr="00702882" w:rsidRDefault="00AF6702" w:rsidP="00AD1954">
            <w:pPr>
              <w:jc w:val="center"/>
              <w:rPr>
                <w:b/>
                <w:bCs/>
                <w:sz w:val="22"/>
                <w:szCs w:val="22"/>
              </w:rPr>
            </w:pPr>
          </w:p>
        </w:tc>
        <w:tc>
          <w:tcPr>
            <w:tcW w:w="1387" w:type="dxa"/>
            <w:tcBorders>
              <w:top w:val="single" w:sz="8" w:space="0" w:color="auto"/>
            </w:tcBorders>
          </w:tcPr>
          <w:p w14:paraId="2655A235" w14:textId="77777777" w:rsidR="00AF6702" w:rsidRPr="00702882" w:rsidRDefault="00AF6702" w:rsidP="00AD1954">
            <w:pPr>
              <w:jc w:val="center"/>
              <w:rPr>
                <w:b/>
                <w:bCs/>
                <w:sz w:val="22"/>
                <w:szCs w:val="22"/>
              </w:rPr>
            </w:pPr>
          </w:p>
        </w:tc>
      </w:tr>
      <w:tr w:rsidR="00454692" w:rsidRPr="00702882" w14:paraId="1B77FDE3" w14:textId="77777777" w:rsidTr="00AE6820">
        <w:trPr>
          <w:trHeight w:val="283"/>
          <w:jc w:val="center"/>
        </w:trPr>
        <w:tc>
          <w:tcPr>
            <w:tcW w:w="583" w:type="dxa"/>
          </w:tcPr>
          <w:p w14:paraId="348E3E4F" w14:textId="77777777" w:rsidR="00AF6702" w:rsidRPr="00702882" w:rsidRDefault="00AF6702" w:rsidP="00AD1954">
            <w:pPr>
              <w:rPr>
                <w:b/>
                <w:bCs/>
                <w:sz w:val="22"/>
                <w:szCs w:val="22"/>
              </w:rPr>
            </w:pPr>
          </w:p>
        </w:tc>
        <w:tc>
          <w:tcPr>
            <w:tcW w:w="4613" w:type="dxa"/>
          </w:tcPr>
          <w:p w14:paraId="4FF9363D" w14:textId="77777777" w:rsidR="00AF6702" w:rsidRPr="00702882" w:rsidRDefault="00AF6702" w:rsidP="00AD1954">
            <w:pPr>
              <w:rPr>
                <w:b/>
                <w:bCs/>
                <w:sz w:val="22"/>
                <w:szCs w:val="22"/>
              </w:rPr>
            </w:pPr>
            <w:r w:rsidRPr="00702882">
              <w:rPr>
                <w:bCs/>
                <w:sz w:val="22"/>
                <w:szCs w:val="22"/>
              </w:rPr>
              <w:t>Source</w:t>
            </w:r>
          </w:p>
        </w:tc>
        <w:tc>
          <w:tcPr>
            <w:tcW w:w="1386" w:type="dxa"/>
          </w:tcPr>
          <w:p w14:paraId="26A29E53" w14:textId="77777777" w:rsidR="00AF6702" w:rsidRPr="00702882" w:rsidRDefault="00AF6702" w:rsidP="00AD1954">
            <w:pPr>
              <w:jc w:val="center"/>
              <w:rPr>
                <w:b/>
                <w:bCs/>
                <w:sz w:val="22"/>
                <w:szCs w:val="22"/>
              </w:rPr>
            </w:pPr>
          </w:p>
        </w:tc>
        <w:tc>
          <w:tcPr>
            <w:tcW w:w="1387" w:type="dxa"/>
          </w:tcPr>
          <w:p w14:paraId="47A099AA" w14:textId="440E9452" w:rsidR="00AF6702" w:rsidRPr="00702882" w:rsidRDefault="00AF6702" w:rsidP="00AD1954">
            <w:pPr>
              <w:jc w:val="center"/>
              <w:rPr>
                <w:rFonts w:eastAsiaTheme="minorEastAsia"/>
                <w:b/>
                <w:bCs/>
                <w:sz w:val="22"/>
                <w:szCs w:val="22"/>
              </w:rPr>
            </w:pPr>
          </w:p>
        </w:tc>
        <w:tc>
          <w:tcPr>
            <w:tcW w:w="1387" w:type="dxa"/>
          </w:tcPr>
          <w:p w14:paraId="7733DB7B" w14:textId="77777777" w:rsidR="00AF6702" w:rsidRPr="00702882" w:rsidRDefault="00AF6702" w:rsidP="00AD1954">
            <w:pPr>
              <w:jc w:val="center"/>
              <w:rPr>
                <w:b/>
                <w:bCs/>
                <w:sz w:val="22"/>
                <w:szCs w:val="22"/>
              </w:rPr>
            </w:pPr>
            <w:r w:rsidRPr="00702882">
              <w:rPr>
                <w:b/>
                <w:bCs/>
                <w:sz w:val="22"/>
                <w:szCs w:val="22"/>
              </w:rPr>
              <w:sym w:font="Wingdings" w:char="F0FC"/>
            </w:r>
          </w:p>
        </w:tc>
      </w:tr>
      <w:tr w:rsidR="00454692" w:rsidRPr="00702882" w14:paraId="6C288651" w14:textId="77777777" w:rsidTr="00AE6820">
        <w:trPr>
          <w:trHeight w:val="283"/>
          <w:jc w:val="center"/>
        </w:trPr>
        <w:tc>
          <w:tcPr>
            <w:tcW w:w="583" w:type="dxa"/>
          </w:tcPr>
          <w:p w14:paraId="6553BF36" w14:textId="77777777" w:rsidR="00AF6702" w:rsidRPr="00702882" w:rsidRDefault="00AF6702" w:rsidP="00AD1954">
            <w:pPr>
              <w:rPr>
                <w:b/>
                <w:bCs/>
                <w:sz w:val="22"/>
                <w:szCs w:val="22"/>
              </w:rPr>
            </w:pPr>
          </w:p>
        </w:tc>
        <w:tc>
          <w:tcPr>
            <w:tcW w:w="4613" w:type="dxa"/>
          </w:tcPr>
          <w:p w14:paraId="58DB5AF9" w14:textId="77777777" w:rsidR="00AF6702" w:rsidRPr="00702882" w:rsidRDefault="00AF6702" w:rsidP="00AD1954">
            <w:pPr>
              <w:rPr>
                <w:b/>
                <w:bCs/>
                <w:sz w:val="22"/>
                <w:szCs w:val="22"/>
              </w:rPr>
            </w:pPr>
            <w:r w:rsidRPr="00702882">
              <w:rPr>
                <w:bCs/>
                <w:sz w:val="22"/>
                <w:szCs w:val="22"/>
              </w:rPr>
              <w:t>Cap</w:t>
            </w:r>
          </w:p>
        </w:tc>
        <w:tc>
          <w:tcPr>
            <w:tcW w:w="1386" w:type="dxa"/>
          </w:tcPr>
          <w:p w14:paraId="723DF2EC" w14:textId="77777777" w:rsidR="00AF6702" w:rsidRPr="00702882" w:rsidRDefault="00AF6702" w:rsidP="00AD1954">
            <w:pPr>
              <w:jc w:val="center"/>
              <w:rPr>
                <w:b/>
                <w:bCs/>
                <w:sz w:val="22"/>
                <w:szCs w:val="22"/>
              </w:rPr>
            </w:pPr>
          </w:p>
        </w:tc>
        <w:tc>
          <w:tcPr>
            <w:tcW w:w="1387" w:type="dxa"/>
          </w:tcPr>
          <w:p w14:paraId="4D9D3A39" w14:textId="77777777" w:rsidR="00AF6702" w:rsidRPr="00702882" w:rsidRDefault="00AF6702" w:rsidP="00AD1954">
            <w:pPr>
              <w:jc w:val="center"/>
              <w:rPr>
                <w:b/>
                <w:bCs/>
                <w:sz w:val="22"/>
                <w:szCs w:val="22"/>
              </w:rPr>
            </w:pPr>
            <w:r w:rsidRPr="00702882">
              <w:rPr>
                <w:b/>
                <w:bCs/>
                <w:sz w:val="22"/>
                <w:szCs w:val="22"/>
              </w:rPr>
              <w:sym w:font="Wingdings" w:char="F0FC"/>
            </w:r>
          </w:p>
        </w:tc>
        <w:tc>
          <w:tcPr>
            <w:tcW w:w="1387" w:type="dxa"/>
          </w:tcPr>
          <w:p w14:paraId="23CF8B87" w14:textId="77777777" w:rsidR="00AF6702" w:rsidRPr="00702882" w:rsidRDefault="00AF6702" w:rsidP="00AD1954">
            <w:pPr>
              <w:jc w:val="center"/>
              <w:rPr>
                <w:b/>
                <w:bCs/>
                <w:sz w:val="22"/>
                <w:szCs w:val="22"/>
              </w:rPr>
            </w:pPr>
            <w:r w:rsidRPr="00702882">
              <w:rPr>
                <w:b/>
                <w:bCs/>
                <w:sz w:val="22"/>
                <w:szCs w:val="22"/>
              </w:rPr>
              <w:sym w:font="Wingdings" w:char="F0FC"/>
            </w:r>
          </w:p>
        </w:tc>
      </w:tr>
      <w:tr w:rsidR="00454692" w:rsidRPr="00702882" w14:paraId="215014BB" w14:textId="77777777" w:rsidTr="00AE6820">
        <w:trPr>
          <w:trHeight w:val="283"/>
          <w:jc w:val="center"/>
        </w:trPr>
        <w:tc>
          <w:tcPr>
            <w:tcW w:w="583" w:type="dxa"/>
          </w:tcPr>
          <w:p w14:paraId="69B5CE2E" w14:textId="77777777" w:rsidR="00AF6702" w:rsidRPr="00702882" w:rsidRDefault="00AF6702" w:rsidP="00AD1954">
            <w:pPr>
              <w:rPr>
                <w:b/>
                <w:bCs/>
                <w:sz w:val="22"/>
                <w:szCs w:val="22"/>
              </w:rPr>
            </w:pPr>
          </w:p>
        </w:tc>
        <w:tc>
          <w:tcPr>
            <w:tcW w:w="4613" w:type="dxa"/>
          </w:tcPr>
          <w:p w14:paraId="7EB3A52E" w14:textId="77777777" w:rsidR="00AF6702" w:rsidRPr="00702882" w:rsidRDefault="00AF6702" w:rsidP="00AD1954">
            <w:pPr>
              <w:rPr>
                <w:b/>
                <w:bCs/>
                <w:sz w:val="22"/>
                <w:szCs w:val="22"/>
              </w:rPr>
            </w:pPr>
            <w:r w:rsidRPr="00702882">
              <w:rPr>
                <w:bCs/>
                <w:sz w:val="22"/>
                <w:szCs w:val="22"/>
              </w:rPr>
              <w:t>Deposit by revenue surplus (high)</w:t>
            </w:r>
          </w:p>
        </w:tc>
        <w:tc>
          <w:tcPr>
            <w:tcW w:w="1386" w:type="dxa"/>
          </w:tcPr>
          <w:p w14:paraId="4CD4DA2F" w14:textId="77777777" w:rsidR="00AF6702" w:rsidRPr="00702882" w:rsidRDefault="00AF6702" w:rsidP="00AD1954">
            <w:pPr>
              <w:jc w:val="center"/>
              <w:rPr>
                <w:b/>
                <w:bCs/>
                <w:sz w:val="22"/>
                <w:szCs w:val="22"/>
              </w:rPr>
            </w:pPr>
          </w:p>
        </w:tc>
        <w:tc>
          <w:tcPr>
            <w:tcW w:w="1387" w:type="dxa"/>
          </w:tcPr>
          <w:p w14:paraId="1CC31C50" w14:textId="77777777" w:rsidR="00AF6702" w:rsidRPr="00702882" w:rsidRDefault="00AF6702" w:rsidP="00AD1954">
            <w:pPr>
              <w:jc w:val="center"/>
              <w:rPr>
                <w:b/>
                <w:bCs/>
                <w:sz w:val="22"/>
                <w:szCs w:val="22"/>
              </w:rPr>
            </w:pPr>
            <w:r w:rsidRPr="00702882">
              <w:rPr>
                <w:b/>
                <w:bCs/>
                <w:sz w:val="22"/>
                <w:szCs w:val="22"/>
              </w:rPr>
              <w:sym w:font="Wingdings" w:char="F0FC"/>
            </w:r>
          </w:p>
        </w:tc>
        <w:tc>
          <w:tcPr>
            <w:tcW w:w="1387" w:type="dxa"/>
          </w:tcPr>
          <w:p w14:paraId="0421D75F" w14:textId="77777777" w:rsidR="00AF6702" w:rsidRPr="00702882" w:rsidRDefault="00AF6702" w:rsidP="00AD1954">
            <w:pPr>
              <w:jc w:val="center"/>
              <w:rPr>
                <w:b/>
                <w:bCs/>
                <w:sz w:val="22"/>
                <w:szCs w:val="22"/>
              </w:rPr>
            </w:pPr>
            <w:r w:rsidRPr="00702882">
              <w:rPr>
                <w:b/>
                <w:bCs/>
                <w:sz w:val="22"/>
                <w:szCs w:val="22"/>
              </w:rPr>
              <w:sym w:font="Wingdings" w:char="F0FC"/>
            </w:r>
          </w:p>
        </w:tc>
      </w:tr>
      <w:tr w:rsidR="00454692" w:rsidRPr="00702882" w14:paraId="478C3F08" w14:textId="77777777" w:rsidTr="00AE6820">
        <w:trPr>
          <w:trHeight w:val="283"/>
          <w:jc w:val="center"/>
        </w:trPr>
        <w:tc>
          <w:tcPr>
            <w:tcW w:w="583" w:type="dxa"/>
          </w:tcPr>
          <w:p w14:paraId="18380CC6" w14:textId="77777777" w:rsidR="00AF6702" w:rsidRPr="00702882" w:rsidRDefault="00AF6702" w:rsidP="00AD1954">
            <w:pPr>
              <w:rPr>
                <w:b/>
                <w:bCs/>
                <w:sz w:val="22"/>
                <w:szCs w:val="22"/>
              </w:rPr>
            </w:pPr>
          </w:p>
        </w:tc>
        <w:tc>
          <w:tcPr>
            <w:tcW w:w="4613" w:type="dxa"/>
            <w:vAlign w:val="center"/>
          </w:tcPr>
          <w:p w14:paraId="394EBC4E" w14:textId="77777777" w:rsidR="00AF6702" w:rsidRPr="00702882" w:rsidRDefault="00AF6702" w:rsidP="00AD1954">
            <w:pPr>
              <w:rPr>
                <w:b/>
                <w:bCs/>
                <w:sz w:val="22"/>
                <w:szCs w:val="22"/>
              </w:rPr>
            </w:pPr>
            <w:r w:rsidRPr="00702882">
              <w:rPr>
                <w:sz w:val="22"/>
                <w:szCs w:val="22"/>
              </w:rPr>
              <w:t>Deposit tied to volatility (formula)</w:t>
            </w:r>
          </w:p>
        </w:tc>
        <w:tc>
          <w:tcPr>
            <w:tcW w:w="1386" w:type="dxa"/>
          </w:tcPr>
          <w:p w14:paraId="1C9AD4E7" w14:textId="77777777" w:rsidR="00AF6702" w:rsidRPr="00702882" w:rsidRDefault="00AF6702" w:rsidP="00AD1954">
            <w:pPr>
              <w:jc w:val="center"/>
              <w:rPr>
                <w:b/>
                <w:bCs/>
                <w:sz w:val="22"/>
                <w:szCs w:val="22"/>
              </w:rPr>
            </w:pPr>
          </w:p>
        </w:tc>
        <w:tc>
          <w:tcPr>
            <w:tcW w:w="1387" w:type="dxa"/>
          </w:tcPr>
          <w:p w14:paraId="7AE67037" w14:textId="77777777" w:rsidR="00AF6702" w:rsidRPr="00702882" w:rsidRDefault="00AF6702" w:rsidP="00AD1954">
            <w:pPr>
              <w:jc w:val="center"/>
              <w:rPr>
                <w:rFonts w:eastAsiaTheme="minorEastAsia"/>
                <w:b/>
                <w:bCs/>
                <w:sz w:val="22"/>
                <w:szCs w:val="22"/>
              </w:rPr>
            </w:pPr>
            <w:r w:rsidRPr="00702882">
              <w:rPr>
                <w:b/>
                <w:bCs/>
                <w:sz w:val="22"/>
                <w:szCs w:val="22"/>
              </w:rPr>
              <w:sym w:font="Wingdings" w:char="F0FC"/>
            </w:r>
          </w:p>
        </w:tc>
        <w:tc>
          <w:tcPr>
            <w:tcW w:w="1387" w:type="dxa"/>
          </w:tcPr>
          <w:p w14:paraId="756BE710" w14:textId="77777777" w:rsidR="00AF6702" w:rsidRPr="00702882" w:rsidRDefault="00AF6702" w:rsidP="00AD1954">
            <w:pPr>
              <w:jc w:val="center"/>
              <w:rPr>
                <w:b/>
                <w:bCs/>
                <w:sz w:val="22"/>
                <w:szCs w:val="22"/>
              </w:rPr>
            </w:pPr>
            <w:r w:rsidRPr="00702882">
              <w:rPr>
                <w:b/>
                <w:bCs/>
                <w:sz w:val="22"/>
                <w:szCs w:val="22"/>
              </w:rPr>
              <w:sym w:font="Wingdings" w:char="F0FC"/>
            </w:r>
          </w:p>
        </w:tc>
      </w:tr>
      <w:tr w:rsidR="00454692" w:rsidRPr="00702882" w14:paraId="710FE492" w14:textId="77777777" w:rsidTr="00AE6820">
        <w:trPr>
          <w:trHeight w:val="283"/>
          <w:jc w:val="center"/>
        </w:trPr>
        <w:tc>
          <w:tcPr>
            <w:tcW w:w="583" w:type="dxa"/>
          </w:tcPr>
          <w:p w14:paraId="47D5B158" w14:textId="77777777" w:rsidR="00AF6702" w:rsidRPr="00702882" w:rsidRDefault="00AF6702" w:rsidP="00AD1954">
            <w:pPr>
              <w:rPr>
                <w:b/>
                <w:bCs/>
                <w:sz w:val="22"/>
                <w:szCs w:val="22"/>
              </w:rPr>
            </w:pPr>
            <w:r w:rsidRPr="00702882">
              <w:rPr>
                <w:sz w:val="22"/>
                <w:szCs w:val="22"/>
              </w:rPr>
              <w:t>H1a</w:t>
            </w:r>
          </w:p>
        </w:tc>
        <w:tc>
          <w:tcPr>
            <w:tcW w:w="4613" w:type="dxa"/>
          </w:tcPr>
          <w:p w14:paraId="6C015562" w14:textId="77777777" w:rsidR="00AF6702" w:rsidRPr="00702882" w:rsidRDefault="00AF6702" w:rsidP="00AD1954">
            <w:pPr>
              <w:rPr>
                <w:b/>
                <w:bCs/>
                <w:sz w:val="22"/>
                <w:szCs w:val="22"/>
              </w:rPr>
            </w:pPr>
            <w:r w:rsidRPr="00702882">
              <w:rPr>
                <w:b/>
                <w:sz w:val="22"/>
                <w:szCs w:val="22"/>
              </w:rPr>
              <w:t>High stringency of deposit requirements</w:t>
            </w:r>
          </w:p>
        </w:tc>
        <w:tc>
          <w:tcPr>
            <w:tcW w:w="1386" w:type="dxa"/>
          </w:tcPr>
          <w:p w14:paraId="0A357755" w14:textId="77777777" w:rsidR="00AF6702" w:rsidRPr="00702882" w:rsidRDefault="00AF6702" w:rsidP="00AD1954">
            <w:pPr>
              <w:jc w:val="center"/>
              <w:rPr>
                <w:sz w:val="22"/>
                <w:szCs w:val="22"/>
              </w:rPr>
            </w:pPr>
            <w:r w:rsidRPr="00702882">
              <w:rPr>
                <w:sz w:val="22"/>
                <w:szCs w:val="22"/>
              </w:rPr>
              <w:t xml:space="preserve">Less </w:t>
            </w:r>
            <w:r w:rsidRPr="00702882">
              <w:rPr>
                <w:sz w:val="22"/>
              </w:rPr>
              <w:t>P</w:t>
            </w:r>
            <w:r w:rsidRPr="00702882">
              <w:rPr>
                <w:sz w:val="22"/>
                <w:szCs w:val="22"/>
              </w:rPr>
              <w:t>ositive</w:t>
            </w:r>
          </w:p>
        </w:tc>
        <w:tc>
          <w:tcPr>
            <w:tcW w:w="1387" w:type="dxa"/>
          </w:tcPr>
          <w:p w14:paraId="402FAC8E" w14:textId="77777777" w:rsidR="00AF6702" w:rsidRPr="00702882" w:rsidRDefault="00AF6702" w:rsidP="00AD1954">
            <w:pPr>
              <w:jc w:val="center"/>
              <w:rPr>
                <w:b/>
                <w:bCs/>
                <w:sz w:val="22"/>
                <w:szCs w:val="22"/>
              </w:rPr>
            </w:pPr>
          </w:p>
        </w:tc>
        <w:tc>
          <w:tcPr>
            <w:tcW w:w="1387" w:type="dxa"/>
          </w:tcPr>
          <w:p w14:paraId="7FFB91A8" w14:textId="77777777" w:rsidR="00AF6702" w:rsidRPr="00702882" w:rsidRDefault="00AF6702" w:rsidP="00AD1954">
            <w:pPr>
              <w:jc w:val="center"/>
              <w:rPr>
                <w:b/>
                <w:bCs/>
                <w:sz w:val="22"/>
                <w:szCs w:val="22"/>
              </w:rPr>
            </w:pPr>
          </w:p>
        </w:tc>
      </w:tr>
      <w:tr w:rsidR="00454692" w:rsidRPr="00702882" w14:paraId="7112C7B1" w14:textId="77777777" w:rsidTr="00AE6820">
        <w:trPr>
          <w:trHeight w:val="283"/>
          <w:jc w:val="center"/>
        </w:trPr>
        <w:tc>
          <w:tcPr>
            <w:tcW w:w="583" w:type="dxa"/>
          </w:tcPr>
          <w:p w14:paraId="09C0AFB3" w14:textId="77777777" w:rsidR="00AF6702" w:rsidRPr="00702882" w:rsidRDefault="00AF6702" w:rsidP="00AD1954">
            <w:pPr>
              <w:rPr>
                <w:b/>
                <w:bCs/>
                <w:sz w:val="22"/>
                <w:szCs w:val="22"/>
              </w:rPr>
            </w:pPr>
          </w:p>
        </w:tc>
        <w:tc>
          <w:tcPr>
            <w:tcW w:w="4613" w:type="dxa"/>
          </w:tcPr>
          <w:p w14:paraId="402126D7" w14:textId="77777777" w:rsidR="00AF6702" w:rsidRPr="00702882" w:rsidRDefault="00AF6702" w:rsidP="00AD1954">
            <w:pPr>
              <w:rPr>
                <w:b/>
                <w:bCs/>
                <w:sz w:val="22"/>
                <w:szCs w:val="22"/>
              </w:rPr>
            </w:pPr>
            <w:r w:rsidRPr="00702882">
              <w:rPr>
                <w:bCs/>
                <w:sz w:val="22"/>
                <w:szCs w:val="22"/>
              </w:rPr>
              <w:t>Source</w:t>
            </w:r>
          </w:p>
        </w:tc>
        <w:tc>
          <w:tcPr>
            <w:tcW w:w="1386" w:type="dxa"/>
          </w:tcPr>
          <w:p w14:paraId="52DBE484" w14:textId="77777777" w:rsidR="00AF6702" w:rsidRPr="00702882" w:rsidRDefault="00AF6702" w:rsidP="00AD1954">
            <w:pPr>
              <w:jc w:val="center"/>
              <w:rPr>
                <w:b/>
                <w:bCs/>
                <w:sz w:val="22"/>
                <w:szCs w:val="22"/>
              </w:rPr>
            </w:pPr>
          </w:p>
        </w:tc>
        <w:tc>
          <w:tcPr>
            <w:tcW w:w="1387" w:type="dxa"/>
          </w:tcPr>
          <w:p w14:paraId="58DA70B2" w14:textId="77777777" w:rsidR="00AF6702" w:rsidRPr="00702882" w:rsidRDefault="00AF6702" w:rsidP="00AD1954">
            <w:pPr>
              <w:jc w:val="center"/>
              <w:rPr>
                <w:b/>
                <w:bCs/>
                <w:sz w:val="22"/>
                <w:szCs w:val="22"/>
              </w:rPr>
            </w:pPr>
          </w:p>
        </w:tc>
        <w:tc>
          <w:tcPr>
            <w:tcW w:w="1387" w:type="dxa"/>
          </w:tcPr>
          <w:p w14:paraId="4F224736" w14:textId="77777777" w:rsidR="00AF6702" w:rsidRPr="00702882" w:rsidRDefault="00AF6702" w:rsidP="00AD1954">
            <w:pPr>
              <w:jc w:val="center"/>
              <w:rPr>
                <w:b/>
                <w:bCs/>
                <w:sz w:val="22"/>
                <w:szCs w:val="22"/>
              </w:rPr>
            </w:pPr>
          </w:p>
        </w:tc>
      </w:tr>
      <w:tr w:rsidR="00454692" w:rsidRPr="00702882" w14:paraId="244DB0CE" w14:textId="77777777" w:rsidTr="00AE6820">
        <w:trPr>
          <w:trHeight w:val="283"/>
          <w:jc w:val="center"/>
        </w:trPr>
        <w:tc>
          <w:tcPr>
            <w:tcW w:w="583" w:type="dxa"/>
          </w:tcPr>
          <w:p w14:paraId="7883D2C6" w14:textId="77777777" w:rsidR="00AF6702" w:rsidRPr="00702882" w:rsidRDefault="00AF6702" w:rsidP="00AD1954">
            <w:pPr>
              <w:rPr>
                <w:b/>
                <w:bCs/>
                <w:sz w:val="22"/>
                <w:szCs w:val="22"/>
              </w:rPr>
            </w:pPr>
          </w:p>
        </w:tc>
        <w:tc>
          <w:tcPr>
            <w:tcW w:w="4613" w:type="dxa"/>
          </w:tcPr>
          <w:p w14:paraId="7439F155" w14:textId="77777777" w:rsidR="00AF6702" w:rsidRPr="00702882" w:rsidRDefault="00AF6702" w:rsidP="00AD1954">
            <w:pPr>
              <w:rPr>
                <w:b/>
                <w:bCs/>
                <w:sz w:val="22"/>
                <w:szCs w:val="22"/>
              </w:rPr>
            </w:pPr>
            <w:r w:rsidRPr="00702882">
              <w:rPr>
                <w:bCs/>
                <w:sz w:val="22"/>
                <w:szCs w:val="22"/>
              </w:rPr>
              <w:t>Cap</w:t>
            </w:r>
          </w:p>
        </w:tc>
        <w:tc>
          <w:tcPr>
            <w:tcW w:w="1386" w:type="dxa"/>
          </w:tcPr>
          <w:p w14:paraId="6DEC505F" w14:textId="77777777" w:rsidR="00AF6702" w:rsidRPr="00702882" w:rsidRDefault="00AF6702" w:rsidP="00AD1954">
            <w:pPr>
              <w:jc w:val="center"/>
              <w:rPr>
                <w:b/>
                <w:bCs/>
                <w:sz w:val="22"/>
                <w:szCs w:val="22"/>
              </w:rPr>
            </w:pPr>
          </w:p>
        </w:tc>
        <w:tc>
          <w:tcPr>
            <w:tcW w:w="1387" w:type="dxa"/>
          </w:tcPr>
          <w:p w14:paraId="1DD44E84" w14:textId="77777777" w:rsidR="00AF6702" w:rsidRPr="00702882" w:rsidRDefault="00AF6702" w:rsidP="00AD1954">
            <w:pPr>
              <w:jc w:val="center"/>
              <w:rPr>
                <w:b/>
                <w:bCs/>
                <w:sz w:val="22"/>
                <w:szCs w:val="22"/>
              </w:rPr>
            </w:pPr>
          </w:p>
        </w:tc>
        <w:tc>
          <w:tcPr>
            <w:tcW w:w="1387" w:type="dxa"/>
          </w:tcPr>
          <w:p w14:paraId="74D4D71F" w14:textId="77777777" w:rsidR="00AF6702" w:rsidRPr="00702882" w:rsidRDefault="00AF6702" w:rsidP="00AD1954">
            <w:pPr>
              <w:jc w:val="center"/>
              <w:rPr>
                <w:b/>
                <w:bCs/>
                <w:sz w:val="22"/>
                <w:szCs w:val="22"/>
              </w:rPr>
            </w:pPr>
          </w:p>
        </w:tc>
      </w:tr>
      <w:tr w:rsidR="00454692" w:rsidRPr="00702882" w14:paraId="4A7A2966" w14:textId="77777777" w:rsidTr="00AE6820">
        <w:trPr>
          <w:trHeight w:val="283"/>
          <w:jc w:val="center"/>
        </w:trPr>
        <w:tc>
          <w:tcPr>
            <w:tcW w:w="583" w:type="dxa"/>
          </w:tcPr>
          <w:p w14:paraId="5384A215" w14:textId="77777777" w:rsidR="00AF6702" w:rsidRPr="00702882" w:rsidRDefault="00AF6702" w:rsidP="00AD1954">
            <w:pPr>
              <w:rPr>
                <w:b/>
                <w:bCs/>
                <w:sz w:val="22"/>
                <w:szCs w:val="22"/>
              </w:rPr>
            </w:pPr>
          </w:p>
        </w:tc>
        <w:tc>
          <w:tcPr>
            <w:tcW w:w="4613" w:type="dxa"/>
          </w:tcPr>
          <w:p w14:paraId="224AD1E7" w14:textId="77777777" w:rsidR="00AF6702" w:rsidRPr="00702882" w:rsidRDefault="00AF6702" w:rsidP="00AD1954">
            <w:pPr>
              <w:rPr>
                <w:b/>
                <w:bCs/>
                <w:sz w:val="22"/>
                <w:szCs w:val="22"/>
              </w:rPr>
            </w:pPr>
            <w:r w:rsidRPr="00702882">
              <w:rPr>
                <w:bCs/>
                <w:sz w:val="22"/>
                <w:szCs w:val="22"/>
              </w:rPr>
              <w:t>Deposit by revenue surplus (high)</w:t>
            </w:r>
          </w:p>
        </w:tc>
        <w:tc>
          <w:tcPr>
            <w:tcW w:w="1386" w:type="dxa"/>
          </w:tcPr>
          <w:p w14:paraId="2B634F54" w14:textId="77777777" w:rsidR="00AF6702" w:rsidRPr="00702882" w:rsidRDefault="00AF6702" w:rsidP="00AD1954">
            <w:pPr>
              <w:jc w:val="center"/>
              <w:rPr>
                <w:b/>
                <w:bCs/>
                <w:sz w:val="22"/>
                <w:szCs w:val="22"/>
              </w:rPr>
            </w:pPr>
          </w:p>
        </w:tc>
        <w:tc>
          <w:tcPr>
            <w:tcW w:w="1387" w:type="dxa"/>
          </w:tcPr>
          <w:p w14:paraId="1BE71D23" w14:textId="77777777" w:rsidR="00AF6702" w:rsidRPr="00702882" w:rsidRDefault="00AF6702" w:rsidP="00AD1954">
            <w:pPr>
              <w:jc w:val="center"/>
              <w:rPr>
                <w:rFonts w:eastAsiaTheme="minorEastAsia"/>
                <w:b/>
                <w:bCs/>
                <w:sz w:val="22"/>
                <w:szCs w:val="22"/>
              </w:rPr>
            </w:pPr>
          </w:p>
        </w:tc>
        <w:tc>
          <w:tcPr>
            <w:tcW w:w="1387" w:type="dxa"/>
          </w:tcPr>
          <w:p w14:paraId="0C559678" w14:textId="77777777" w:rsidR="00AF6702" w:rsidRPr="00702882" w:rsidRDefault="00AF6702" w:rsidP="00AD1954">
            <w:pPr>
              <w:jc w:val="center"/>
              <w:rPr>
                <w:b/>
                <w:bCs/>
                <w:sz w:val="22"/>
                <w:szCs w:val="22"/>
              </w:rPr>
            </w:pPr>
          </w:p>
        </w:tc>
      </w:tr>
      <w:tr w:rsidR="00454692" w:rsidRPr="00702882" w14:paraId="69C1476F" w14:textId="77777777" w:rsidTr="00AE6820">
        <w:trPr>
          <w:trHeight w:val="283"/>
          <w:jc w:val="center"/>
        </w:trPr>
        <w:tc>
          <w:tcPr>
            <w:tcW w:w="583" w:type="dxa"/>
          </w:tcPr>
          <w:p w14:paraId="4B93038C" w14:textId="77777777" w:rsidR="00AF6702" w:rsidRPr="00702882" w:rsidRDefault="00AF6702" w:rsidP="00AD1954">
            <w:pPr>
              <w:rPr>
                <w:b/>
                <w:bCs/>
                <w:sz w:val="22"/>
                <w:szCs w:val="22"/>
              </w:rPr>
            </w:pPr>
          </w:p>
        </w:tc>
        <w:tc>
          <w:tcPr>
            <w:tcW w:w="4613" w:type="dxa"/>
            <w:vAlign w:val="center"/>
          </w:tcPr>
          <w:p w14:paraId="61FBF55D" w14:textId="77777777" w:rsidR="00AF6702" w:rsidRPr="00702882" w:rsidRDefault="00AF6702" w:rsidP="00AD1954">
            <w:pPr>
              <w:rPr>
                <w:b/>
                <w:bCs/>
                <w:sz w:val="22"/>
                <w:szCs w:val="22"/>
              </w:rPr>
            </w:pPr>
            <w:r w:rsidRPr="00702882">
              <w:rPr>
                <w:sz w:val="22"/>
                <w:szCs w:val="22"/>
              </w:rPr>
              <w:t xml:space="preserve">Deposit tied to </w:t>
            </w:r>
            <w:r w:rsidRPr="00702882">
              <w:rPr>
                <w:rFonts w:eastAsiaTheme="minorEastAsia"/>
                <w:sz w:val="22"/>
                <w:szCs w:val="22"/>
              </w:rPr>
              <w:t xml:space="preserve">revenue </w:t>
            </w:r>
            <w:r w:rsidRPr="00702882">
              <w:rPr>
                <w:sz w:val="22"/>
                <w:szCs w:val="22"/>
              </w:rPr>
              <w:t>volatility (formula)</w:t>
            </w:r>
          </w:p>
        </w:tc>
        <w:tc>
          <w:tcPr>
            <w:tcW w:w="1386" w:type="dxa"/>
          </w:tcPr>
          <w:p w14:paraId="1A00D305" w14:textId="77777777" w:rsidR="00AF6702" w:rsidRPr="00702882" w:rsidRDefault="00AF6702" w:rsidP="00AD1954">
            <w:pPr>
              <w:jc w:val="center"/>
              <w:rPr>
                <w:b/>
                <w:bCs/>
                <w:sz w:val="22"/>
                <w:szCs w:val="22"/>
              </w:rPr>
            </w:pPr>
          </w:p>
        </w:tc>
        <w:tc>
          <w:tcPr>
            <w:tcW w:w="1387" w:type="dxa"/>
          </w:tcPr>
          <w:p w14:paraId="2CAC1F50" w14:textId="77777777" w:rsidR="00AF6702" w:rsidRPr="00702882" w:rsidRDefault="00AF6702" w:rsidP="00AD1954">
            <w:pPr>
              <w:jc w:val="center"/>
              <w:rPr>
                <w:b/>
                <w:bCs/>
                <w:sz w:val="22"/>
                <w:szCs w:val="22"/>
              </w:rPr>
            </w:pPr>
          </w:p>
        </w:tc>
        <w:tc>
          <w:tcPr>
            <w:tcW w:w="1387" w:type="dxa"/>
          </w:tcPr>
          <w:p w14:paraId="623A1840" w14:textId="77777777" w:rsidR="00AF6702" w:rsidRPr="00702882" w:rsidRDefault="00AF6702" w:rsidP="00AD1954">
            <w:pPr>
              <w:jc w:val="center"/>
              <w:rPr>
                <w:b/>
                <w:bCs/>
                <w:sz w:val="22"/>
                <w:szCs w:val="22"/>
              </w:rPr>
            </w:pPr>
          </w:p>
        </w:tc>
      </w:tr>
      <w:tr w:rsidR="00454692" w:rsidRPr="00702882" w14:paraId="18F30733" w14:textId="77777777" w:rsidTr="00AE6820">
        <w:trPr>
          <w:trHeight w:val="283"/>
          <w:jc w:val="center"/>
        </w:trPr>
        <w:tc>
          <w:tcPr>
            <w:tcW w:w="583" w:type="dxa"/>
            <w:vAlign w:val="center"/>
          </w:tcPr>
          <w:p w14:paraId="1CC342B1" w14:textId="77777777" w:rsidR="00AF6702" w:rsidRPr="00702882" w:rsidRDefault="00AF6702" w:rsidP="00AD1954">
            <w:pPr>
              <w:rPr>
                <w:b/>
                <w:bCs/>
                <w:sz w:val="22"/>
                <w:szCs w:val="22"/>
              </w:rPr>
            </w:pPr>
            <w:r w:rsidRPr="00702882">
              <w:rPr>
                <w:sz w:val="22"/>
                <w:szCs w:val="22"/>
              </w:rPr>
              <w:t>H2</w:t>
            </w:r>
          </w:p>
        </w:tc>
        <w:tc>
          <w:tcPr>
            <w:tcW w:w="4613" w:type="dxa"/>
            <w:vAlign w:val="center"/>
          </w:tcPr>
          <w:p w14:paraId="09E23C19" w14:textId="77777777" w:rsidR="00AF6702" w:rsidRPr="00702882" w:rsidRDefault="00AF6702" w:rsidP="00AD1954">
            <w:pPr>
              <w:rPr>
                <w:b/>
                <w:bCs/>
                <w:sz w:val="22"/>
                <w:szCs w:val="22"/>
              </w:rPr>
            </w:pPr>
            <w:r w:rsidRPr="00702882">
              <w:rPr>
                <w:b/>
                <w:bCs/>
                <w:sz w:val="22"/>
                <w:szCs w:val="22"/>
              </w:rPr>
              <w:t xml:space="preserve">High stringency of withdrawal requirements </w:t>
            </w:r>
          </w:p>
        </w:tc>
        <w:tc>
          <w:tcPr>
            <w:tcW w:w="1386" w:type="dxa"/>
          </w:tcPr>
          <w:p w14:paraId="47283C9C" w14:textId="77777777" w:rsidR="00AF6702" w:rsidRPr="00702882" w:rsidRDefault="00AF6702" w:rsidP="00AD1954">
            <w:pPr>
              <w:jc w:val="center"/>
              <w:rPr>
                <w:b/>
                <w:bCs/>
                <w:sz w:val="22"/>
                <w:szCs w:val="22"/>
              </w:rPr>
            </w:pPr>
            <w:r w:rsidRPr="00702882">
              <w:rPr>
                <w:sz w:val="22"/>
                <w:szCs w:val="22"/>
              </w:rPr>
              <w:t>Positive</w:t>
            </w:r>
          </w:p>
        </w:tc>
        <w:tc>
          <w:tcPr>
            <w:tcW w:w="1387" w:type="dxa"/>
          </w:tcPr>
          <w:p w14:paraId="6DAA08FB" w14:textId="77777777" w:rsidR="00AF6702" w:rsidRPr="00702882" w:rsidRDefault="00AF6702" w:rsidP="00AD1954">
            <w:pPr>
              <w:jc w:val="center"/>
              <w:rPr>
                <w:b/>
                <w:bCs/>
                <w:sz w:val="22"/>
                <w:szCs w:val="22"/>
              </w:rPr>
            </w:pPr>
          </w:p>
        </w:tc>
        <w:tc>
          <w:tcPr>
            <w:tcW w:w="1387" w:type="dxa"/>
          </w:tcPr>
          <w:p w14:paraId="2F277CFF" w14:textId="77777777" w:rsidR="00AF6702" w:rsidRPr="00702882" w:rsidRDefault="00AF6702" w:rsidP="00AD1954">
            <w:pPr>
              <w:jc w:val="center"/>
              <w:rPr>
                <w:b/>
                <w:bCs/>
                <w:sz w:val="22"/>
                <w:szCs w:val="22"/>
              </w:rPr>
            </w:pPr>
          </w:p>
        </w:tc>
      </w:tr>
      <w:tr w:rsidR="00454692" w:rsidRPr="00702882" w14:paraId="1B10C44C" w14:textId="77777777" w:rsidTr="00AE6820">
        <w:trPr>
          <w:trHeight w:val="283"/>
          <w:jc w:val="center"/>
        </w:trPr>
        <w:tc>
          <w:tcPr>
            <w:tcW w:w="583" w:type="dxa"/>
            <w:vAlign w:val="center"/>
          </w:tcPr>
          <w:p w14:paraId="3E67EAB9" w14:textId="77777777" w:rsidR="00AF6702" w:rsidRPr="00702882" w:rsidRDefault="00AF6702" w:rsidP="00AD1954">
            <w:pPr>
              <w:rPr>
                <w:b/>
                <w:bCs/>
                <w:sz w:val="22"/>
                <w:szCs w:val="22"/>
              </w:rPr>
            </w:pPr>
          </w:p>
        </w:tc>
        <w:tc>
          <w:tcPr>
            <w:tcW w:w="4613" w:type="dxa"/>
            <w:vAlign w:val="center"/>
          </w:tcPr>
          <w:p w14:paraId="33A481B7" w14:textId="77777777" w:rsidR="00AF6702" w:rsidRPr="00702882" w:rsidRDefault="00AF6702" w:rsidP="00AD1954">
            <w:pPr>
              <w:rPr>
                <w:b/>
                <w:bCs/>
                <w:sz w:val="22"/>
                <w:szCs w:val="22"/>
              </w:rPr>
            </w:pPr>
            <w:r w:rsidRPr="00702882">
              <w:rPr>
                <w:sz w:val="22"/>
                <w:szCs w:val="22"/>
              </w:rPr>
              <w:t xml:space="preserve">Withdrawal tied to </w:t>
            </w:r>
            <w:r w:rsidRPr="00702882">
              <w:rPr>
                <w:rFonts w:eastAsiaTheme="minorEastAsia"/>
                <w:sz w:val="22"/>
                <w:szCs w:val="22"/>
              </w:rPr>
              <w:t xml:space="preserve">revenue </w:t>
            </w:r>
            <w:r w:rsidRPr="00702882">
              <w:rPr>
                <w:sz w:val="22"/>
                <w:szCs w:val="22"/>
              </w:rPr>
              <w:t xml:space="preserve">volatility </w:t>
            </w:r>
          </w:p>
        </w:tc>
        <w:tc>
          <w:tcPr>
            <w:tcW w:w="1386" w:type="dxa"/>
          </w:tcPr>
          <w:p w14:paraId="49112066" w14:textId="77777777" w:rsidR="00AF6702" w:rsidRPr="00702882" w:rsidRDefault="00AF6702" w:rsidP="00AD1954">
            <w:pPr>
              <w:jc w:val="center"/>
              <w:rPr>
                <w:b/>
                <w:bCs/>
                <w:sz w:val="22"/>
                <w:szCs w:val="22"/>
              </w:rPr>
            </w:pPr>
          </w:p>
        </w:tc>
        <w:tc>
          <w:tcPr>
            <w:tcW w:w="1387" w:type="dxa"/>
          </w:tcPr>
          <w:p w14:paraId="3114B781" w14:textId="77777777" w:rsidR="00AF6702" w:rsidRPr="00702882" w:rsidRDefault="00AF6702" w:rsidP="00AD1954">
            <w:pPr>
              <w:jc w:val="center"/>
              <w:rPr>
                <w:b/>
                <w:bCs/>
                <w:sz w:val="22"/>
                <w:szCs w:val="22"/>
              </w:rPr>
            </w:pPr>
          </w:p>
        </w:tc>
        <w:tc>
          <w:tcPr>
            <w:tcW w:w="1387" w:type="dxa"/>
          </w:tcPr>
          <w:p w14:paraId="02D0B086" w14:textId="77777777" w:rsidR="00AF6702" w:rsidRPr="00702882" w:rsidRDefault="00AF6702" w:rsidP="00AD1954">
            <w:pPr>
              <w:jc w:val="center"/>
              <w:rPr>
                <w:b/>
                <w:bCs/>
                <w:sz w:val="22"/>
                <w:szCs w:val="22"/>
              </w:rPr>
            </w:pPr>
          </w:p>
        </w:tc>
      </w:tr>
      <w:tr w:rsidR="00454692" w:rsidRPr="00702882" w14:paraId="4F7A03DC" w14:textId="77777777" w:rsidTr="00AE6820">
        <w:trPr>
          <w:trHeight w:val="283"/>
          <w:jc w:val="center"/>
        </w:trPr>
        <w:tc>
          <w:tcPr>
            <w:tcW w:w="583" w:type="dxa"/>
            <w:vAlign w:val="center"/>
          </w:tcPr>
          <w:p w14:paraId="6D475341" w14:textId="77777777" w:rsidR="00AF6702" w:rsidRPr="00702882" w:rsidRDefault="00AF6702" w:rsidP="00AD1954">
            <w:pPr>
              <w:rPr>
                <w:b/>
                <w:bCs/>
                <w:sz w:val="22"/>
                <w:szCs w:val="22"/>
              </w:rPr>
            </w:pPr>
          </w:p>
        </w:tc>
        <w:tc>
          <w:tcPr>
            <w:tcW w:w="4613" w:type="dxa"/>
            <w:vAlign w:val="center"/>
          </w:tcPr>
          <w:p w14:paraId="6451C592" w14:textId="77777777" w:rsidR="00AF6702" w:rsidRPr="00702882" w:rsidRDefault="00AF6702" w:rsidP="00AD1954">
            <w:pPr>
              <w:rPr>
                <w:b/>
                <w:bCs/>
                <w:sz w:val="22"/>
                <w:szCs w:val="22"/>
              </w:rPr>
            </w:pPr>
            <w:r w:rsidRPr="00702882">
              <w:rPr>
                <w:sz w:val="22"/>
                <w:szCs w:val="22"/>
              </w:rPr>
              <w:t>Withdrawal by revenue shortfall</w:t>
            </w:r>
          </w:p>
        </w:tc>
        <w:tc>
          <w:tcPr>
            <w:tcW w:w="1386" w:type="dxa"/>
          </w:tcPr>
          <w:p w14:paraId="30154DAD" w14:textId="77777777" w:rsidR="00AF6702" w:rsidRPr="00702882" w:rsidRDefault="00AF6702" w:rsidP="00AD1954">
            <w:pPr>
              <w:jc w:val="center"/>
              <w:rPr>
                <w:b/>
                <w:bCs/>
                <w:sz w:val="22"/>
                <w:szCs w:val="22"/>
              </w:rPr>
            </w:pPr>
          </w:p>
        </w:tc>
        <w:tc>
          <w:tcPr>
            <w:tcW w:w="1387" w:type="dxa"/>
          </w:tcPr>
          <w:p w14:paraId="3C51C54F" w14:textId="77777777" w:rsidR="00AF6702" w:rsidRPr="00702882" w:rsidRDefault="00AF6702" w:rsidP="00AD1954">
            <w:pPr>
              <w:jc w:val="center"/>
              <w:rPr>
                <w:b/>
                <w:bCs/>
                <w:sz w:val="22"/>
                <w:szCs w:val="22"/>
              </w:rPr>
            </w:pPr>
          </w:p>
        </w:tc>
        <w:tc>
          <w:tcPr>
            <w:tcW w:w="1387" w:type="dxa"/>
          </w:tcPr>
          <w:p w14:paraId="280B2AE9" w14:textId="77777777" w:rsidR="00AF6702" w:rsidRPr="00702882" w:rsidRDefault="00AF6702" w:rsidP="00AD1954">
            <w:pPr>
              <w:jc w:val="center"/>
              <w:rPr>
                <w:b/>
                <w:bCs/>
                <w:sz w:val="22"/>
                <w:szCs w:val="22"/>
              </w:rPr>
            </w:pPr>
          </w:p>
        </w:tc>
      </w:tr>
      <w:tr w:rsidR="00454692" w:rsidRPr="00702882" w14:paraId="56CC862B" w14:textId="77777777" w:rsidTr="00AE6820">
        <w:trPr>
          <w:trHeight w:val="283"/>
          <w:jc w:val="center"/>
        </w:trPr>
        <w:tc>
          <w:tcPr>
            <w:tcW w:w="583" w:type="dxa"/>
            <w:vAlign w:val="center"/>
          </w:tcPr>
          <w:p w14:paraId="0A85BB99" w14:textId="77777777" w:rsidR="00AF6702" w:rsidRPr="00702882" w:rsidRDefault="00AF6702" w:rsidP="00AD1954">
            <w:pPr>
              <w:rPr>
                <w:b/>
                <w:bCs/>
                <w:sz w:val="22"/>
                <w:szCs w:val="22"/>
              </w:rPr>
            </w:pPr>
            <w:r w:rsidRPr="00702882">
              <w:rPr>
                <w:sz w:val="22"/>
                <w:szCs w:val="22"/>
              </w:rPr>
              <w:t>H2a</w:t>
            </w:r>
          </w:p>
        </w:tc>
        <w:tc>
          <w:tcPr>
            <w:tcW w:w="4613" w:type="dxa"/>
            <w:vAlign w:val="center"/>
          </w:tcPr>
          <w:p w14:paraId="477A8C03" w14:textId="77777777" w:rsidR="00AF6702" w:rsidRPr="00702882" w:rsidRDefault="00AF6702" w:rsidP="00AD1954">
            <w:pPr>
              <w:rPr>
                <w:b/>
                <w:bCs/>
                <w:sz w:val="22"/>
                <w:szCs w:val="22"/>
              </w:rPr>
            </w:pPr>
            <w:r w:rsidRPr="00702882">
              <w:rPr>
                <w:b/>
                <w:bCs/>
                <w:sz w:val="22"/>
                <w:szCs w:val="22"/>
              </w:rPr>
              <w:t xml:space="preserve">High stringency of withdrawal </w:t>
            </w:r>
            <w:r w:rsidRPr="00702882">
              <w:rPr>
                <w:rFonts w:eastAsiaTheme="minorEastAsia"/>
                <w:b/>
                <w:bCs/>
                <w:sz w:val="22"/>
                <w:szCs w:val="22"/>
              </w:rPr>
              <w:t>requirements</w:t>
            </w:r>
            <w:r w:rsidRPr="00702882">
              <w:rPr>
                <w:b/>
                <w:bCs/>
                <w:sz w:val="22"/>
                <w:szCs w:val="22"/>
              </w:rPr>
              <w:t xml:space="preserve"> </w:t>
            </w:r>
          </w:p>
        </w:tc>
        <w:tc>
          <w:tcPr>
            <w:tcW w:w="1386" w:type="dxa"/>
          </w:tcPr>
          <w:p w14:paraId="435A281B" w14:textId="77777777" w:rsidR="00AF6702" w:rsidRPr="00702882" w:rsidRDefault="00AF6702" w:rsidP="00AD1954">
            <w:pPr>
              <w:jc w:val="center"/>
              <w:rPr>
                <w:sz w:val="22"/>
                <w:szCs w:val="22"/>
              </w:rPr>
            </w:pPr>
            <w:r w:rsidRPr="00702882">
              <w:rPr>
                <w:sz w:val="22"/>
              </w:rPr>
              <w:t>Negative</w:t>
            </w:r>
          </w:p>
        </w:tc>
        <w:tc>
          <w:tcPr>
            <w:tcW w:w="1387" w:type="dxa"/>
          </w:tcPr>
          <w:p w14:paraId="74C1658D" w14:textId="77777777" w:rsidR="00AF6702" w:rsidRPr="00702882" w:rsidRDefault="00AF6702" w:rsidP="00AD1954">
            <w:pPr>
              <w:jc w:val="center"/>
              <w:rPr>
                <w:b/>
                <w:bCs/>
                <w:sz w:val="22"/>
                <w:szCs w:val="22"/>
              </w:rPr>
            </w:pPr>
          </w:p>
        </w:tc>
        <w:tc>
          <w:tcPr>
            <w:tcW w:w="1387" w:type="dxa"/>
          </w:tcPr>
          <w:p w14:paraId="3A61D8F2" w14:textId="77777777" w:rsidR="00AF6702" w:rsidRPr="00702882" w:rsidRDefault="00AF6702" w:rsidP="00AD1954">
            <w:pPr>
              <w:jc w:val="center"/>
              <w:rPr>
                <w:b/>
                <w:bCs/>
                <w:sz w:val="22"/>
                <w:szCs w:val="22"/>
              </w:rPr>
            </w:pPr>
          </w:p>
        </w:tc>
      </w:tr>
      <w:tr w:rsidR="00454692" w:rsidRPr="00702882" w14:paraId="6976120F" w14:textId="77777777" w:rsidTr="00AE6820">
        <w:trPr>
          <w:trHeight w:val="283"/>
          <w:jc w:val="center"/>
        </w:trPr>
        <w:tc>
          <w:tcPr>
            <w:tcW w:w="583" w:type="dxa"/>
            <w:vAlign w:val="center"/>
          </w:tcPr>
          <w:p w14:paraId="7F43F9AE" w14:textId="77777777" w:rsidR="00AF6702" w:rsidRPr="00702882" w:rsidRDefault="00AF6702" w:rsidP="00AD1954">
            <w:pPr>
              <w:rPr>
                <w:b/>
                <w:bCs/>
                <w:sz w:val="22"/>
                <w:szCs w:val="22"/>
              </w:rPr>
            </w:pPr>
          </w:p>
        </w:tc>
        <w:tc>
          <w:tcPr>
            <w:tcW w:w="4613" w:type="dxa"/>
            <w:vAlign w:val="center"/>
          </w:tcPr>
          <w:p w14:paraId="6DCE9526" w14:textId="77777777" w:rsidR="00AF6702" w:rsidRPr="00702882" w:rsidRDefault="00AF6702" w:rsidP="00AD1954">
            <w:pPr>
              <w:rPr>
                <w:b/>
                <w:bCs/>
                <w:sz w:val="22"/>
                <w:szCs w:val="22"/>
              </w:rPr>
            </w:pPr>
            <w:r w:rsidRPr="00702882">
              <w:rPr>
                <w:sz w:val="22"/>
                <w:szCs w:val="22"/>
              </w:rPr>
              <w:t xml:space="preserve">Withdrawal tied to </w:t>
            </w:r>
            <w:r w:rsidRPr="00702882">
              <w:rPr>
                <w:rFonts w:eastAsiaTheme="minorEastAsia"/>
                <w:sz w:val="22"/>
                <w:szCs w:val="22"/>
              </w:rPr>
              <w:t xml:space="preserve">revenue </w:t>
            </w:r>
            <w:r w:rsidRPr="00702882">
              <w:rPr>
                <w:sz w:val="22"/>
                <w:szCs w:val="22"/>
              </w:rPr>
              <w:t xml:space="preserve">volatility </w:t>
            </w:r>
          </w:p>
        </w:tc>
        <w:tc>
          <w:tcPr>
            <w:tcW w:w="1386" w:type="dxa"/>
          </w:tcPr>
          <w:p w14:paraId="293CC645" w14:textId="77777777" w:rsidR="00AF6702" w:rsidRPr="00702882" w:rsidRDefault="00AF6702" w:rsidP="00AD1954">
            <w:pPr>
              <w:jc w:val="center"/>
              <w:rPr>
                <w:b/>
                <w:bCs/>
                <w:sz w:val="22"/>
                <w:szCs w:val="22"/>
              </w:rPr>
            </w:pPr>
          </w:p>
        </w:tc>
        <w:tc>
          <w:tcPr>
            <w:tcW w:w="1387" w:type="dxa"/>
          </w:tcPr>
          <w:p w14:paraId="1B8F1B76" w14:textId="77777777" w:rsidR="00AF6702" w:rsidRPr="00702882" w:rsidRDefault="00AF6702" w:rsidP="00AD1954">
            <w:pPr>
              <w:jc w:val="center"/>
              <w:rPr>
                <w:rFonts w:eastAsiaTheme="minorEastAsia"/>
                <w:b/>
                <w:bCs/>
                <w:sz w:val="22"/>
                <w:szCs w:val="22"/>
              </w:rPr>
            </w:pPr>
          </w:p>
        </w:tc>
        <w:tc>
          <w:tcPr>
            <w:tcW w:w="1387" w:type="dxa"/>
          </w:tcPr>
          <w:p w14:paraId="5C1D41E7" w14:textId="77777777" w:rsidR="00AF6702" w:rsidRPr="00702882" w:rsidRDefault="00AF6702" w:rsidP="00AD1954">
            <w:pPr>
              <w:jc w:val="center"/>
              <w:rPr>
                <w:b/>
                <w:bCs/>
                <w:sz w:val="22"/>
                <w:szCs w:val="22"/>
              </w:rPr>
            </w:pPr>
          </w:p>
        </w:tc>
      </w:tr>
      <w:tr w:rsidR="00454692" w:rsidRPr="00702882" w14:paraId="7E63F9E8" w14:textId="77777777" w:rsidTr="00AE6820">
        <w:trPr>
          <w:trHeight w:val="283"/>
          <w:jc w:val="center"/>
        </w:trPr>
        <w:tc>
          <w:tcPr>
            <w:tcW w:w="583" w:type="dxa"/>
            <w:vAlign w:val="center"/>
          </w:tcPr>
          <w:p w14:paraId="719FACCD" w14:textId="77777777" w:rsidR="00AF6702" w:rsidRPr="00702882" w:rsidRDefault="00AF6702" w:rsidP="00AD1954">
            <w:pPr>
              <w:rPr>
                <w:b/>
                <w:bCs/>
                <w:sz w:val="22"/>
                <w:szCs w:val="22"/>
              </w:rPr>
            </w:pPr>
          </w:p>
        </w:tc>
        <w:tc>
          <w:tcPr>
            <w:tcW w:w="4613" w:type="dxa"/>
            <w:vAlign w:val="center"/>
          </w:tcPr>
          <w:p w14:paraId="15B52F22" w14:textId="77777777" w:rsidR="00AF6702" w:rsidRPr="00702882" w:rsidRDefault="00AF6702" w:rsidP="00AD1954">
            <w:pPr>
              <w:rPr>
                <w:b/>
                <w:bCs/>
                <w:sz w:val="22"/>
                <w:szCs w:val="22"/>
              </w:rPr>
            </w:pPr>
            <w:r w:rsidRPr="00702882">
              <w:rPr>
                <w:sz w:val="22"/>
                <w:szCs w:val="22"/>
              </w:rPr>
              <w:t>Withdrawal by revenue shortfall</w:t>
            </w:r>
          </w:p>
        </w:tc>
        <w:tc>
          <w:tcPr>
            <w:tcW w:w="1386" w:type="dxa"/>
          </w:tcPr>
          <w:p w14:paraId="62DDEC2A" w14:textId="77777777" w:rsidR="00AF6702" w:rsidRPr="00702882" w:rsidRDefault="00AF6702" w:rsidP="00AD1954">
            <w:pPr>
              <w:jc w:val="center"/>
              <w:rPr>
                <w:b/>
                <w:bCs/>
                <w:sz w:val="22"/>
                <w:szCs w:val="22"/>
              </w:rPr>
            </w:pPr>
          </w:p>
        </w:tc>
        <w:tc>
          <w:tcPr>
            <w:tcW w:w="1387" w:type="dxa"/>
          </w:tcPr>
          <w:p w14:paraId="76B9E5AA" w14:textId="77777777" w:rsidR="00AF6702" w:rsidRPr="00702882" w:rsidRDefault="00AF6702" w:rsidP="00AD1954">
            <w:pPr>
              <w:jc w:val="center"/>
              <w:rPr>
                <w:b/>
                <w:bCs/>
                <w:sz w:val="22"/>
                <w:szCs w:val="22"/>
              </w:rPr>
            </w:pPr>
          </w:p>
        </w:tc>
        <w:tc>
          <w:tcPr>
            <w:tcW w:w="1387" w:type="dxa"/>
          </w:tcPr>
          <w:p w14:paraId="54ACA5DD" w14:textId="77777777" w:rsidR="00AF6702" w:rsidRPr="00702882" w:rsidRDefault="00AF6702" w:rsidP="00AD1954">
            <w:pPr>
              <w:jc w:val="center"/>
              <w:rPr>
                <w:b/>
                <w:bCs/>
                <w:sz w:val="22"/>
                <w:szCs w:val="22"/>
              </w:rPr>
            </w:pPr>
          </w:p>
        </w:tc>
      </w:tr>
      <w:tr w:rsidR="00454692" w:rsidRPr="00702882" w14:paraId="4DC25008" w14:textId="77777777" w:rsidTr="00AE6820">
        <w:trPr>
          <w:trHeight w:val="283"/>
          <w:jc w:val="center"/>
        </w:trPr>
        <w:tc>
          <w:tcPr>
            <w:tcW w:w="583" w:type="dxa"/>
            <w:vAlign w:val="center"/>
          </w:tcPr>
          <w:p w14:paraId="7B97019E" w14:textId="77777777" w:rsidR="00AF6702" w:rsidRPr="00702882" w:rsidRDefault="00AF6702" w:rsidP="00AD1954">
            <w:pPr>
              <w:rPr>
                <w:b/>
                <w:bCs/>
                <w:sz w:val="22"/>
                <w:szCs w:val="22"/>
              </w:rPr>
            </w:pPr>
            <w:r w:rsidRPr="00702882">
              <w:rPr>
                <w:rFonts w:eastAsia="바탕"/>
                <w:bCs/>
                <w:sz w:val="22"/>
                <w:szCs w:val="22"/>
              </w:rPr>
              <w:t>H3</w:t>
            </w:r>
          </w:p>
        </w:tc>
        <w:tc>
          <w:tcPr>
            <w:tcW w:w="4613" w:type="dxa"/>
            <w:vAlign w:val="center"/>
          </w:tcPr>
          <w:p w14:paraId="6B25F492" w14:textId="77777777" w:rsidR="00AF6702" w:rsidRPr="00702882" w:rsidRDefault="00AF6702" w:rsidP="00AD1954">
            <w:pPr>
              <w:rPr>
                <w:b/>
                <w:bCs/>
                <w:sz w:val="22"/>
                <w:szCs w:val="22"/>
              </w:rPr>
            </w:pPr>
            <w:r w:rsidRPr="00702882">
              <w:rPr>
                <w:b/>
                <w:sz w:val="22"/>
                <w:szCs w:val="22"/>
              </w:rPr>
              <w:t>High stringency of withdrawal restrictions</w:t>
            </w:r>
          </w:p>
        </w:tc>
        <w:tc>
          <w:tcPr>
            <w:tcW w:w="1386" w:type="dxa"/>
          </w:tcPr>
          <w:p w14:paraId="2A246DB7" w14:textId="77777777" w:rsidR="00AF6702" w:rsidRPr="00702882" w:rsidRDefault="00AF6702" w:rsidP="00AD1954">
            <w:pPr>
              <w:jc w:val="center"/>
              <w:rPr>
                <w:b/>
                <w:bCs/>
                <w:sz w:val="22"/>
                <w:szCs w:val="22"/>
              </w:rPr>
            </w:pPr>
            <w:r w:rsidRPr="00702882">
              <w:rPr>
                <w:sz w:val="22"/>
                <w:szCs w:val="22"/>
              </w:rPr>
              <w:t>Positive</w:t>
            </w:r>
          </w:p>
        </w:tc>
        <w:tc>
          <w:tcPr>
            <w:tcW w:w="1387" w:type="dxa"/>
          </w:tcPr>
          <w:p w14:paraId="5291D5E1" w14:textId="77777777" w:rsidR="00AF6702" w:rsidRPr="00702882" w:rsidRDefault="00AF6702" w:rsidP="00AD1954">
            <w:pPr>
              <w:jc w:val="center"/>
              <w:rPr>
                <w:b/>
                <w:bCs/>
                <w:sz w:val="22"/>
                <w:szCs w:val="22"/>
              </w:rPr>
            </w:pPr>
          </w:p>
        </w:tc>
        <w:tc>
          <w:tcPr>
            <w:tcW w:w="1387" w:type="dxa"/>
          </w:tcPr>
          <w:p w14:paraId="3FC6EEC2" w14:textId="77777777" w:rsidR="00AF6702" w:rsidRPr="00702882" w:rsidRDefault="00AF6702" w:rsidP="00AD1954">
            <w:pPr>
              <w:jc w:val="center"/>
              <w:rPr>
                <w:b/>
                <w:bCs/>
                <w:sz w:val="22"/>
                <w:szCs w:val="22"/>
              </w:rPr>
            </w:pPr>
          </w:p>
        </w:tc>
      </w:tr>
      <w:tr w:rsidR="00454692" w:rsidRPr="00702882" w14:paraId="03FE4C79" w14:textId="77777777" w:rsidTr="00AE6820">
        <w:trPr>
          <w:trHeight w:val="283"/>
          <w:jc w:val="center"/>
        </w:trPr>
        <w:tc>
          <w:tcPr>
            <w:tcW w:w="583" w:type="dxa"/>
            <w:vAlign w:val="center"/>
          </w:tcPr>
          <w:p w14:paraId="32852EA7" w14:textId="77777777" w:rsidR="00AF6702" w:rsidRPr="00702882" w:rsidRDefault="00AF6702" w:rsidP="00AD1954">
            <w:pPr>
              <w:rPr>
                <w:b/>
                <w:bCs/>
                <w:sz w:val="22"/>
                <w:szCs w:val="22"/>
              </w:rPr>
            </w:pPr>
          </w:p>
        </w:tc>
        <w:tc>
          <w:tcPr>
            <w:tcW w:w="4613" w:type="dxa"/>
            <w:vAlign w:val="center"/>
          </w:tcPr>
          <w:p w14:paraId="3A5B9E26" w14:textId="77777777" w:rsidR="00AF6702" w:rsidRPr="00702882" w:rsidRDefault="00AF6702" w:rsidP="00AD1954">
            <w:pPr>
              <w:rPr>
                <w:b/>
                <w:bCs/>
                <w:sz w:val="22"/>
                <w:szCs w:val="22"/>
              </w:rPr>
            </w:pPr>
            <w:r w:rsidRPr="00702882">
              <w:rPr>
                <w:bCs/>
                <w:sz w:val="22"/>
                <w:szCs w:val="22"/>
              </w:rPr>
              <w:t>Withdrawal limit</w:t>
            </w:r>
          </w:p>
        </w:tc>
        <w:tc>
          <w:tcPr>
            <w:tcW w:w="1386" w:type="dxa"/>
          </w:tcPr>
          <w:p w14:paraId="67CEFDB4" w14:textId="77777777" w:rsidR="00AF6702" w:rsidRPr="00702882" w:rsidRDefault="00AF6702" w:rsidP="00AD1954">
            <w:pPr>
              <w:jc w:val="center"/>
              <w:rPr>
                <w:b/>
                <w:bCs/>
                <w:sz w:val="22"/>
                <w:szCs w:val="22"/>
              </w:rPr>
            </w:pPr>
          </w:p>
        </w:tc>
        <w:tc>
          <w:tcPr>
            <w:tcW w:w="1387" w:type="dxa"/>
          </w:tcPr>
          <w:p w14:paraId="0AE7E3CC" w14:textId="77777777" w:rsidR="00AF6702" w:rsidRPr="00702882" w:rsidRDefault="00AF6702" w:rsidP="00AD1954">
            <w:pPr>
              <w:jc w:val="center"/>
              <w:rPr>
                <w:rFonts w:eastAsiaTheme="minorEastAsia"/>
                <w:b/>
                <w:bCs/>
                <w:sz w:val="22"/>
                <w:szCs w:val="22"/>
              </w:rPr>
            </w:pPr>
          </w:p>
        </w:tc>
        <w:tc>
          <w:tcPr>
            <w:tcW w:w="1387" w:type="dxa"/>
          </w:tcPr>
          <w:p w14:paraId="7D1AB0D1" w14:textId="77777777" w:rsidR="00AF6702" w:rsidRPr="00702882" w:rsidRDefault="00AF6702" w:rsidP="00AD1954">
            <w:pPr>
              <w:jc w:val="center"/>
              <w:rPr>
                <w:b/>
                <w:bCs/>
                <w:sz w:val="22"/>
                <w:szCs w:val="22"/>
              </w:rPr>
            </w:pPr>
          </w:p>
        </w:tc>
      </w:tr>
      <w:tr w:rsidR="00454692" w:rsidRPr="00702882" w14:paraId="6E1D25B0" w14:textId="77777777" w:rsidTr="00AE6820">
        <w:trPr>
          <w:trHeight w:val="283"/>
          <w:jc w:val="center"/>
        </w:trPr>
        <w:tc>
          <w:tcPr>
            <w:tcW w:w="583" w:type="dxa"/>
          </w:tcPr>
          <w:p w14:paraId="4DC86BE3" w14:textId="77777777" w:rsidR="00AF6702" w:rsidRPr="00702882" w:rsidRDefault="00AF6702" w:rsidP="00AD1954">
            <w:pPr>
              <w:rPr>
                <w:b/>
                <w:bCs/>
                <w:sz w:val="22"/>
                <w:szCs w:val="22"/>
              </w:rPr>
            </w:pPr>
          </w:p>
        </w:tc>
        <w:tc>
          <w:tcPr>
            <w:tcW w:w="4613" w:type="dxa"/>
            <w:vAlign w:val="center"/>
          </w:tcPr>
          <w:p w14:paraId="1CDFCA92" w14:textId="77777777" w:rsidR="00AF6702" w:rsidRPr="00702882" w:rsidRDefault="00AF6702" w:rsidP="00AD1954">
            <w:pPr>
              <w:rPr>
                <w:b/>
                <w:bCs/>
                <w:sz w:val="22"/>
                <w:szCs w:val="22"/>
              </w:rPr>
            </w:pPr>
            <w:r w:rsidRPr="00702882">
              <w:rPr>
                <w:bCs/>
                <w:sz w:val="22"/>
                <w:szCs w:val="22"/>
              </w:rPr>
              <w:t>Repayment provision (high)</w:t>
            </w:r>
          </w:p>
        </w:tc>
        <w:tc>
          <w:tcPr>
            <w:tcW w:w="1386" w:type="dxa"/>
          </w:tcPr>
          <w:p w14:paraId="506AF41E" w14:textId="77777777" w:rsidR="00AF6702" w:rsidRPr="00702882" w:rsidRDefault="00AF6702" w:rsidP="00AD1954">
            <w:pPr>
              <w:jc w:val="center"/>
              <w:rPr>
                <w:b/>
                <w:bCs/>
                <w:sz w:val="22"/>
                <w:szCs w:val="22"/>
              </w:rPr>
            </w:pPr>
          </w:p>
        </w:tc>
        <w:tc>
          <w:tcPr>
            <w:tcW w:w="1387" w:type="dxa"/>
          </w:tcPr>
          <w:p w14:paraId="3223FBC4" w14:textId="77777777" w:rsidR="00AF6702" w:rsidRPr="00702882" w:rsidRDefault="00AF6702" w:rsidP="00AD1954">
            <w:pPr>
              <w:jc w:val="center"/>
              <w:rPr>
                <w:b/>
                <w:bCs/>
                <w:sz w:val="22"/>
                <w:szCs w:val="22"/>
              </w:rPr>
            </w:pPr>
          </w:p>
        </w:tc>
        <w:tc>
          <w:tcPr>
            <w:tcW w:w="1387" w:type="dxa"/>
          </w:tcPr>
          <w:p w14:paraId="297E5204" w14:textId="77777777" w:rsidR="00AF6702" w:rsidRPr="00702882" w:rsidRDefault="00AF6702" w:rsidP="00AD1954">
            <w:pPr>
              <w:jc w:val="center"/>
              <w:rPr>
                <w:b/>
                <w:bCs/>
                <w:sz w:val="22"/>
                <w:szCs w:val="22"/>
              </w:rPr>
            </w:pPr>
          </w:p>
        </w:tc>
      </w:tr>
      <w:tr w:rsidR="00454692" w:rsidRPr="00702882" w14:paraId="0641BD51" w14:textId="77777777" w:rsidTr="00AE6820">
        <w:trPr>
          <w:trHeight w:val="283"/>
          <w:jc w:val="center"/>
        </w:trPr>
        <w:tc>
          <w:tcPr>
            <w:tcW w:w="583" w:type="dxa"/>
            <w:vAlign w:val="center"/>
          </w:tcPr>
          <w:p w14:paraId="037DAD0F" w14:textId="77777777" w:rsidR="00AF6702" w:rsidRPr="00702882" w:rsidRDefault="00AF6702" w:rsidP="00AD1954">
            <w:pPr>
              <w:rPr>
                <w:b/>
                <w:bCs/>
                <w:sz w:val="22"/>
                <w:szCs w:val="22"/>
              </w:rPr>
            </w:pPr>
            <w:r w:rsidRPr="00702882">
              <w:rPr>
                <w:rFonts w:eastAsia="바탕"/>
                <w:bCs/>
                <w:sz w:val="22"/>
                <w:szCs w:val="22"/>
              </w:rPr>
              <w:t>H3a</w:t>
            </w:r>
          </w:p>
        </w:tc>
        <w:tc>
          <w:tcPr>
            <w:tcW w:w="4613" w:type="dxa"/>
            <w:vAlign w:val="center"/>
          </w:tcPr>
          <w:p w14:paraId="0764D957" w14:textId="77777777" w:rsidR="00AF6702" w:rsidRPr="00702882" w:rsidRDefault="00AF6702" w:rsidP="00AD1954">
            <w:pPr>
              <w:rPr>
                <w:b/>
                <w:bCs/>
                <w:sz w:val="22"/>
                <w:szCs w:val="22"/>
              </w:rPr>
            </w:pPr>
            <w:r w:rsidRPr="00702882">
              <w:rPr>
                <w:b/>
                <w:sz w:val="22"/>
                <w:szCs w:val="22"/>
              </w:rPr>
              <w:t>High stringency of withdrawal restrictions</w:t>
            </w:r>
          </w:p>
        </w:tc>
        <w:tc>
          <w:tcPr>
            <w:tcW w:w="1386" w:type="dxa"/>
          </w:tcPr>
          <w:p w14:paraId="42F29D9F" w14:textId="77777777" w:rsidR="00AF6702" w:rsidRPr="00702882" w:rsidRDefault="00AF6702" w:rsidP="00AD1954">
            <w:pPr>
              <w:jc w:val="center"/>
              <w:rPr>
                <w:sz w:val="22"/>
                <w:szCs w:val="22"/>
              </w:rPr>
            </w:pPr>
            <w:r w:rsidRPr="00702882">
              <w:rPr>
                <w:sz w:val="22"/>
              </w:rPr>
              <w:t>Positive</w:t>
            </w:r>
          </w:p>
        </w:tc>
        <w:tc>
          <w:tcPr>
            <w:tcW w:w="1387" w:type="dxa"/>
          </w:tcPr>
          <w:p w14:paraId="7095AD62" w14:textId="77777777" w:rsidR="00AF6702" w:rsidRPr="00702882" w:rsidRDefault="00AF6702" w:rsidP="00AD1954">
            <w:pPr>
              <w:jc w:val="center"/>
              <w:rPr>
                <w:b/>
                <w:bCs/>
                <w:sz w:val="22"/>
                <w:szCs w:val="22"/>
              </w:rPr>
            </w:pPr>
          </w:p>
        </w:tc>
        <w:tc>
          <w:tcPr>
            <w:tcW w:w="1387" w:type="dxa"/>
          </w:tcPr>
          <w:p w14:paraId="39297386" w14:textId="77777777" w:rsidR="00AF6702" w:rsidRPr="00702882" w:rsidRDefault="00AF6702" w:rsidP="00AD1954">
            <w:pPr>
              <w:jc w:val="center"/>
              <w:rPr>
                <w:b/>
                <w:bCs/>
                <w:sz w:val="22"/>
                <w:szCs w:val="22"/>
              </w:rPr>
            </w:pPr>
          </w:p>
        </w:tc>
      </w:tr>
      <w:tr w:rsidR="00454692" w:rsidRPr="00702882" w14:paraId="7643C22A" w14:textId="77777777" w:rsidTr="00AE6820">
        <w:trPr>
          <w:trHeight w:val="283"/>
          <w:jc w:val="center"/>
        </w:trPr>
        <w:tc>
          <w:tcPr>
            <w:tcW w:w="583" w:type="dxa"/>
            <w:vAlign w:val="center"/>
          </w:tcPr>
          <w:p w14:paraId="2308738A" w14:textId="77777777" w:rsidR="00AF6702" w:rsidRPr="00702882" w:rsidRDefault="00AF6702" w:rsidP="00AD1954">
            <w:pPr>
              <w:rPr>
                <w:b/>
                <w:bCs/>
                <w:sz w:val="22"/>
                <w:szCs w:val="22"/>
              </w:rPr>
            </w:pPr>
          </w:p>
        </w:tc>
        <w:tc>
          <w:tcPr>
            <w:tcW w:w="4613" w:type="dxa"/>
            <w:vAlign w:val="center"/>
          </w:tcPr>
          <w:p w14:paraId="164547EE" w14:textId="77777777" w:rsidR="00AF6702" w:rsidRPr="00702882" w:rsidRDefault="00AF6702" w:rsidP="00AD1954">
            <w:pPr>
              <w:rPr>
                <w:b/>
                <w:bCs/>
                <w:sz w:val="22"/>
                <w:szCs w:val="22"/>
              </w:rPr>
            </w:pPr>
            <w:r w:rsidRPr="00702882">
              <w:rPr>
                <w:bCs/>
                <w:sz w:val="22"/>
                <w:szCs w:val="22"/>
              </w:rPr>
              <w:t>Withdrawal limit</w:t>
            </w:r>
          </w:p>
        </w:tc>
        <w:tc>
          <w:tcPr>
            <w:tcW w:w="1386" w:type="dxa"/>
          </w:tcPr>
          <w:p w14:paraId="7AE54448" w14:textId="77777777" w:rsidR="00AF6702" w:rsidRPr="00702882" w:rsidRDefault="00AF6702" w:rsidP="00AD1954">
            <w:pPr>
              <w:jc w:val="center"/>
              <w:rPr>
                <w:b/>
                <w:bCs/>
                <w:sz w:val="22"/>
                <w:szCs w:val="22"/>
              </w:rPr>
            </w:pPr>
          </w:p>
        </w:tc>
        <w:tc>
          <w:tcPr>
            <w:tcW w:w="1387" w:type="dxa"/>
          </w:tcPr>
          <w:p w14:paraId="487981A8" w14:textId="77777777" w:rsidR="00AF6702" w:rsidRPr="00702882" w:rsidRDefault="00AF6702" w:rsidP="00AD1954">
            <w:pPr>
              <w:jc w:val="center"/>
              <w:rPr>
                <w:b/>
                <w:bCs/>
                <w:sz w:val="22"/>
                <w:szCs w:val="22"/>
              </w:rPr>
            </w:pPr>
          </w:p>
        </w:tc>
        <w:tc>
          <w:tcPr>
            <w:tcW w:w="1387" w:type="dxa"/>
          </w:tcPr>
          <w:p w14:paraId="786FDB7A" w14:textId="77777777" w:rsidR="00AF6702" w:rsidRPr="00702882" w:rsidRDefault="00AF6702" w:rsidP="00AD1954">
            <w:pPr>
              <w:jc w:val="center"/>
              <w:rPr>
                <w:b/>
                <w:bCs/>
                <w:sz w:val="22"/>
                <w:szCs w:val="22"/>
              </w:rPr>
            </w:pPr>
          </w:p>
        </w:tc>
      </w:tr>
      <w:tr w:rsidR="00454692" w:rsidRPr="00702882" w14:paraId="060E3947" w14:textId="77777777" w:rsidTr="00AE6820">
        <w:trPr>
          <w:trHeight w:val="283"/>
          <w:jc w:val="center"/>
        </w:trPr>
        <w:tc>
          <w:tcPr>
            <w:tcW w:w="583" w:type="dxa"/>
          </w:tcPr>
          <w:p w14:paraId="207CC65D" w14:textId="77777777" w:rsidR="00AF6702" w:rsidRPr="00702882" w:rsidRDefault="00AF6702" w:rsidP="00AD1954">
            <w:pPr>
              <w:rPr>
                <w:b/>
                <w:bCs/>
                <w:sz w:val="22"/>
                <w:szCs w:val="22"/>
              </w:rPr>
            </w:pPr>
          </w:p>
        </w:tc>
        <w:tc>
          <w:tcPr>
            <w:tcW w:w="4613" w:type="dxa"/>
            <w:vAlign w:val="center"/>
          </w:tcPr>
          <w:p w14:paraId="6DD2900F" w14:textId="77777777" w:rsidR="00AF6702" w:rsidRPr="00702882" w:rsidRDefault="00AF6702" w:rsidP="00AD1954">
            <w:pPr>
              <w:rPr>
                <w:b/>
                <w:bCs/>
                <w:sz w:val="22"/>
                <w:szCs w:val="22"/>
              </w:rPr>
            </w:pPr>
            <w:r w:rsidRPr="00702882">
              <w:rPr>
                <w:bCs/>
                <w:sz w:val="22"/>
                <w:szCs w:val="22"/>
              </w:rPr>
              <w:t>Repayment provision (high)</w:t>
            </w:r>
          </w:p>
        </w:tc>
        <w:tc>
          <w:tcPr>
            <w:tcW w:w="1386" w:type="dxa"/>
          </w:tcPr>
          <w:p w14:paraId="41ED8B15" w14:textId="77777777" w:rsidR="00AF6702" w:rsidRPr="00702882" w:rsidRDefault="00AF6702" w:rsidP="00AD1954">
            <w:pPr>
              <w:jc w:val="center"/>
              <w:rPr>
                <w:b/>
                <w:bCs/>
                <w:sz w:val="22"/>
                <w:szCs w:val="22"/>
              </w:rPr>
            </w:pPr>
          </w:p>
        </w:tc>
        <w:tc>
          <w:tcPr>
            <w:tcW w:w="1387" w:type="dxa"/>
          </w:tcPr>
          <w:p w14:paraId="50FD7361" w14:textId="77777777" w:rsidR="00AF6702" w:rsidRPr="00702882" w:rsidRDefault="00AF6702" w:rsidP="00AD1954">
            <w:pPr>
              <w:jc w:val="center"/>
              <w:rPr>
                <w:rFonts w:eastAsiaTheme="minorEastAsia"/>
                <w:b/>
                <w:bCs/>
                <w:sz w:val="22"/>
                <w:szCs w:val="22"/>
              </w:rPr>
            </w:pPr>
          </w:p>
        </w:tc>
        <w:tc>
          <w:tcPr>
            <w:tcW w:w="1387" w:type="dxa"/>
          </w:tcPr>
          <w:p w14:paraId="26402668" w14:textId="77777777" w:rsidR="00AF6702" w:rsidRPr="00702882" w:rsidRDefault="00AF6702" w:rsidP="00AD1954">
            <w:pPr>
              <w:jc w:val="center"/>
              <w:rPr>
                <w:b/>
                <w:bCs/>
                <w:sz w:val="22"/>
                <w:szCs w:val="22"/>
              </w:rPr>
            </w:pPr>
          </w:p>
        </w:tc>
      </w:tr>
      <w:tr w:rsidR="00454692" w:rsidRPr="00702882" w14:paraId="244A9EB0" w14:textId="77777777" w:rsidTr="00AE6820">
        <w:trPr>
          <w:trHeight w:val="283"/>
          <w:jc w:val="center"/>
        </w:trPr>
        <w:tc>
          <w:tcPr>
            <w:tcW w:w="583" w:type="dxa"/>
            <w:vAlign w:val="center"/>
          </w:tcPr>
          <w:p w14:paraId="03121EEA" w14:textId="77777777" w:rsidR="00AF6702" w:rsidRPr="00702882" w:rsidRDefault="00AF6702" w:rsidP="00AD1954">
            <w:pPr>
              <w:rPr>
                <w:b/>
                <w:bCs/>
                <w:sz w:val="22"/>
                <w:szCs w:val="22"/>
              </w:rPr>
            </w:pPr>
            <w:r w:rsidRPr="00702882">
              <w:rPr>
                <w:bCs/>
                <w:sz w:val="22"/>
                <w:szCs w:val="22"/>
              </w:rPr>
              <w:t>H4</w:t>
            </w:r>
          </w:p>
        </w:tc>
        <w:tc>
          <w:tcPr>
            <w:tcW w:w="4613" w:type="dxa"/>
            <w:vAlign w:val="center"/>
          </w:tcPr>
          <w:p w14:paraId="69389D25" w14:textId="77777777" w:rsidR="00AF6702" w:rsidRPr="00702882" w:rsidRDefault="00AF6702" w:rsidP="00AD1954">
            <w:pPr>
              <w:rPr>
                <w:b/>
                <w:bCs/>
                <w:sz w:val="22"/>
                <w:szCs w:val="22"/>
              </w:rPr>
            </w:pPr>
            <w:r w:rsidRPr="00702882">
              <w:rPr>
                <w:b/>
                <w:bCs/>
                <w:sz w:val="22"/>
                <w:szCs w:val="22"/>
              </w:rPr>
              <w:t>Unreserved General Fund balance (GFB)</w:t>
            </w:r>
          </w:p>
        </w:tc>
        <w:tc>
          <w:tcPr>
            <w:tcW w:w="1386" w:type="dxa"/>
          </w:tcPr>
          <w:p w14:paraId="3BF17FBE" w14:textId="77777777" w:rsidR="00AF6702" w:rsidRPr="00702882" w:rsidRDefault="00AF6702" w:rsidP="00AD1954">
            <w:pPr>
              <w:jc w:val="center"/>
              <w:rPr>
                <w:b/>
                <w:bCs/>
                <w:sz w:val="22"/>
                <w:szCs w:val="22"/>
              </w:rPr>
            </w:pPr>
            <w:r w:rsidRPr="00702882">
              <w:rPr>
                <w:sz w:val="22"/>
                <w:szCs w:val="22"/>
              </w:rPr>
              <w:t>Positive</w:t>
            </w:r>
          </w:p>
        </w:tc>
        <w:tc>
          <w:tcPr>
            <w:tcW w:w="1387" w:type="dxa"/>
          </w:tcPr>
          <w:p w14:paraId="3ABE6AB3" w14:textId="77777777" w:rsidR="00AF6702" w:rsidRPr="00702882" w:rsidRDefault="00AF6702" w:rsidP="00AD1954">
            <w:pPr>
              <w:jc w:val="center"/>
              <w:rPr>
                <w:b/>
                <w:bCs/>
                <w:sz w:val="22"/>
                <w:szCs w:val="22"/>
              </w:rPr>
            </w:pPr>
            <w:r w:rsidRPr="00702882">
              <w:rPr>
                <w:b/>
                <w:bCs/>
                <w:sz w:val="22"/>
                <w:szCs w:val="22"/>
              </w:rPr>
              <w:sym w:font="Wingdings" w:char="F0FC"/>
            </w:r>
          </w:p>
        </w:tc>
        <w:tc>
          <w:tcPr>
            <w:tcW w:w="1387" w:type="dxa"/>
          </w:tcPr>
          <w:p w14:paraId="3610243A" w14:textId="77777777" w:rsidR="00AF6702" w:rsidRPr="00702882" w:rsidRDefault="00AF6702" w:rsidP="00AD1954">
            <w:pPr>
              <w:jc w:val="center"/>
              <w:rPr>
                <w:b/>
                <w:bCs/>
                <w:sz w:val="22"/>
                <w:szCs w:val="22"/>
              </w:rPr>
            </w:pPr>
          </w:p>
        </w:tc>
      </w:tr>
    </w:tbl>
    <w:p w14:paraId="5DE26EB8" w14:textId="77777777" w:rsidR="001752F3" w:rsidRPr="00702882" w:rsidRDefault="001752F3" w:rsidP="001752F3">
      <w:pPr>
        <w:pStyle w:val="ad"/>
        <w:spacing w:before="0" w:beforeAutospacing="0" w:line="480" w:lineRule="auto"/>
        <w:contextualSpacing/>
        <w:rPr>
          <w:rFonts w:eastAsiaTheme="minorEastAsia"/>
          <w:color w:val="7030A0"/>
          <w:sz w:val="20"/>
          <w:szCs w:val="20"/>
        </w:rPr>
      </w:pPr>
    </w:p>
    <w:p w14:paraId="5CED43D0" w14:textId="672368AD" w:rsidR="00AF6702" w:rsidRPr="00702882" w:rsidRDefault="00AF6702" w:rsidP="00042DBD">
      <w:pPr>
        <w:pStyle w:val="ad"/>
        <w:spacing w:line="480" w:lineRule="auto"/>
        <w:ind w:firstLineChars="295" w:firstLine="708"/>
        <w:contextualSpacing/>
        <w:rPr>
          <w:rFonts w:eastAsiaTheme="minorEastAsia"/>
        </w:rPr>
      </w:pPr>
      <w:r w:rsidRPr="00702882">
        <w:rPr>
          <w:rFonts w:eastAsiaTheme="minorEastAsia"/>
        </w:rPr>
        <w:t xml:space="preserve">Table </w:t>
      </w:r>
      <w:r w:rsidR="00CE3163" w:rsidRPr="00702882">
        <w:rPr>
          <w:rFonts w:eastAsiaTheme="minorEastAsia"/>
        </w:rPr>
        <w:t>21</w:t>
      </w:r>
      <w:r w:rsidRPr="00702882">
        <w:rPr>
          <w:rFonts w:eastAsiaTheme="minorEastAsia"/>
        </w:rPr>
        <w:t>. Summary of Hypotheses and Results compares hypotheses with the findings from both fixed effects and GSCM models. Specifically, the findings commonly support Hypothesis 1, emphasizing the positive impact of stringent deposit rules, such as high caps, deposit revenue surplus, and deposit tied to revenue volatility. This highlights the importance of establishing clear saving obligations within BSF frameworks to enhance their size. However, empirical results do not support hypotheses 2 and 3, indicating insignificant effects of stringent withdrawal requirements and restrictions on BSF levels.</w:t>
      </w:r>
    </w:p>
    <w:p w14:paraId="22CF3A2E" w14:textId="77777777" w:rsidR="00D71D1D" w:rsidRPr="00702882" w:rsidRDefault="00D71D1D" w:rsidP="00042DBD">
      <w:pPr>
        <w:pStyle w:val="ad"/>
        <w:spacing w:line="480" w:lineRule="auto"/>
        <w:ind w:firstLineChars="295" w:firstLine="708"/>
        <w:contextualSpacing/>
        <w:rPr>
          <w:rFonts w:eastAsiaTheme="minorEastAsia"/>
          <w:color w:val="7030A0"/>
        </w:rPr>
      </w:pPr>
    </w:p>
    <w:p w14:paraId="1BE82A56" w14:textId="6DE0742A" w:rsidR="00042DBD" w:rsidRPr="00702882" w:rsidRDefault="00042DBD" w:rsidP="00D71D1D">
      <w:pPr>
        <w:spacing w:line="480" w:lineRule="auto"/>
        <w:jc w:val="center"/>
        <w:rPr>
          <w:rFonts w:eastAsiaTheme="minorEastAsia"/>
          <w:b/>
          <w:bCs/>
        </w:rPr>
      </w:pPr>
      <w:r w:rsidRPr="00702882">
        <w:rPr>
          <w:b/>
          <w:bCs/>
        </w:rPr>
        <w:lastRenderedPageBreak/>
        <w:t xml:space="preserve">Table </w:t>
      </w:r>
      <w:r w:rsidR="00454692" w:rsidRPr="00702882">
        <w:rPr>
          <w:rFonts w:eastAsiaTheme="minorEastAsia"/>
          <w:b/>
          <w:bCs/>
        </w:rPr>
        <w:t>2</w:t>
      </w:r>
      <w:r w:rsidR="003945CA" w:rsidRPr="00702882">
        <w:rPr>
          <w:rFonts w:eastAsiaTheme="minorEastAsia"/>
          <w:b/>
          <w:bCs/>
        </w:rPr>
        <w:t>1</w:t>
      </w:r>
      <w:r w:rsidRPr="00702882">
        <w:rPr>
          <w:b/>
          <w:bCs/>
        </w:rPr>
        <w:t>. Summary of Hypotheses and Results</w:t>
      </w:r>
    </w:p>
    <w:p w14:paraId="154F65FF" w14:textId="689895D2" w:rsidR="00AF6702" w:rsidRPr="00702882" w:rsidRDefault="000A478E" w:rsidP="00D71D1D">
      <w:pPr>
        <w:spacing w:line="480" w:lineRule="auto"/>
        <w:jc w:val="center"/>
      </w:pPr>
      <w:r w:rsidRPr="00702882">
        <w:rPr>
          <w:rFonts w:eastAsiaTheme="minorEastAsia"/>
        </w:rPr>
        <w:t xml:space="preserve">B. </w:t>
      </w:r>
      <w:r w:rsidR="00AF6702" w:rsidRPr="00702882">
        <w:t>The Effects of BSF Structural Features on GFB Levels</w:t>
      </w:r>
    </w:p>
    <w:tbl>
      <w:tblPr>
        <w:tblStyle w:val="a7"/>
        <w:tblW w:w="9498" w:type="dxa"/>
        <w:jc w:val="center"/>
        <w:tblBorders>
          <w:top w:val="single" w:sz="8" w:space="0" w:color="auto"/>
          <w:left w:val="none" w:sz="0" w:space="0" w:color="auto"/>
          <w:bottom w:val="single" w:sz="8"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4520"/>
        <w:gridCol w:w="1560"/>
        <w:gridCol w:w="1417"/>
        <w:gridCol w:w="1418"/>
      </w:tblGrid>
      <w:tr w:rsidR="00D71D1D" w:rsidRPr="00702882" w14:paraId="5B89D213" w14:textId="77777777" w:rsidTr="00AE6820">
        <w:trPr>
          <w:jc w:val="center"/>
        </w:trPr>
        <w:tc>
          <w:tcPr>
            <w:tcW w:w="583" w:type="dxa"/>
            <w:tcBorders>
              <w:top w:val="single" w:sz="8" w:space="0" w:color="auto"/>
              <w:bottom w:val="single" w:sz="8" w:space="0" w:color="auto"/>
            </w:tcBorders>
          </w:tcPr>
          <w:p w14:paraId="22089C8A" w14:textId="77777777" w:rsidR="00AF6702" w:rsidRPr="00702882" w:rsidRDefault="00AF6702" w:rsidP="00AD1954">
            <w:pPr>
              <w:rPr>
                <w:b/>
                <w:bCs/>
                <w:sz w:val="22"/>
                <w:szCs w:val="22"/>
              </w:rPr>
            </w:pPr>
          </w:p>
        </w:tc>
        <w:tc>
          <w:tcPr>
            <w:tcW w:w="4520" w:type="dxa"/>
            <w:tcBorders>
              <w:top w:val="single" w:sz="8" w:space="0" w:color="auto"/>
              <w:bottom w:val="single" w:sz="8" w:space="0" w:color="auto"/>
            </w:tcBorders>
            <w:vAlign w:val="center"/>
          </w:tcPr>
          <w:p w14:paraId="3F6A16C0" w14:textId="77777777" w:rsidR="00AF6702" w:rsidRPr="00702882" w:rsidRDefault="00AF6702" w:rsidP="00AD1954">
            <w:pPr>
              <w:jc w:val="center"/>
              <w:rPr>
                <w:sz w:val="22"/>
                <w:szCs w:val="22"/>
              </w:rPr>
            </w:pPr>
            <w:r w:rsidRPr="00702882">
              <w:rPr>
                <w:rFonts w:eastAsiaTheme="minorEastAsia"/>
                <w:sz w:val="22"/>
                <w:szCs w:val="22"/>
              </w:rPr>
              <w:t>Are empirical results supported?</w:t>
            </w:r>
          </w:p>
        </w:tc>
        <w:tc>
          <w:tcPr>
            <w:tcW w:w="1560" w:type="dxa"/>
            <w:tcBorders>
              <w:top w:val="single" w:sz="8" w:space="0" w:color="auto"/>
              <w:bottom w:val="single" w:sz="8" w:space="0" w:color="auto"/>
            </w:tcBorders>
          </w:tcPr>
          <w:p w14:paraId="63F79B90" w14:textId="77777777" w:rsidR="00AF6702" w:rsidRPr="00702882" w:rsidRDefault="00AF6702" w:rsidP="00AD1954">
            <w:pPr>
              <w:jc w:val="center"/>
              <w:rPr>
                <w:rFonts w:eastAsiaTheme="minorEastAsia"/>
                <w:i/>
                <w:iCs/>
                <w:sz w:val="22"/>
                <w:szCs w:val="22"/>
              </w:rPr>
            </w:pPr>
            <w:r w:rsidRPr="00702882">
              <w:rPr>
                <w:rFonts w:eastAsiaTheme="minorEastAsia"/>
                <w:i/>
                <w:iCs/>
                <w:sz w:val="22"/>
                <w:szCs w:val="22"/>
              </w:rPr>
              <w:t>Hypotheses</w:t>
            </w:r>
          </w:p>
        </w:tc>
        <w:tc>
          <w:tcPr>
            <w:tcW w:w="1417" w:type="dxa"/>
            <w:tcBorders>
              <w:top w:val="single" w:sz="8" w:space="0" w:color="auto"/>
              <w:bottom w:val="single" w:sz="8" w:space="0" w:color="auto"/>
            </w:tcBorders>
          </w:tcPr>
          <w:p w14:paraId="2D17DF05" w14:textId="77777777" w:rsidR="00AF6702" w:rsidRPr="00702882" w:rsidRDefault="00AF6702" w:rsidP="00AD1954">
            <w:pPr>
              <w:jc w:val="center"/>
              <w:rPr>
                <w:i/>
                <w:iCs/>
                <w:sz w:val="22"/>
                <w:szCs w:val="22"/>
              </w:rPr>
            </w:pPr>
            <w:r w:rsidRPr="00702882">
              <w:rPr>
                <w:i/>
                <w:iCs/>
                <w:sz w:val="22"/>
                <w:szCs w:val="22"/>
              </w:rPr>
              <w:t>Fixed Effects</w:t>
            </w:r>
          </w:p>
        </w:tc>
        <w:tc>
          <w:tcPr>
            <w:tcW w:w="1418" w:type="dxa"/>
            <w:tcBorders>
              <w:top w:val="single" w:sz="8" w:space="0" w:color="auto"/>
              <w:bottom w:val="single" w:sz="8" w:space="0" w:color="auto"/>
            </w:tcBorders>
          </w:tcPr>
          <w:p w14:paraId="07D39863" w14:textId="77777777" w:rsidR="00AF6702" w:rsidRPr="00702882" w:rsidRDefault="00AF6702" w:rsidP="00AD1954">
            <w:pPr>
              <w:jc w:val="center"/>
              <w:rPr>
                <w:rFonts w:eastAsiaTheme="minorEastAsia"/>
                <w:i/>
                <w:iCs/>
                <w:sz w:val="22"/>
                <w:szCs w:val="22"/>
              </w:rPr>
            </w:pPr>
            <w:r w:rsidRPr="00702882">
              <w:rPr>
                <w:rFonts w:eastAsiaTheme="minorEastAsia"/>
                <w:i/>
                <w:iCs/>
                <w:sz w:val="22"/>
                <w:szCs w:val="22"/>
              </w:rPr>
              <w:t>GSCM</w:t>
            </w:r>
          </w:p>
        </w:tc>
      </w:tr>
      <w:tr w:rsidR="00D71D1D" w:rsidRPr="00702882" w14:paraId="4402EFE5" w14:textId="77777777" w:rsidTr="00AE6820">
        <w:trPr>
          <w:jc w:val="center"/>
        </w:trPr>
        <w:tc>
          <w:tcPr>
            <w:tcW w:w="583" w:type="dxa"/>
          </w:tcPr>
          <w:p w14:paraId="4806DF9B" w14:textId="77777777" w:rsidR="00AF6702" w:rsidRPr="00702882" w:rsidRDefault="00AF6702" w:rsidP="00AD1954">
            <w:pPr>
              <w:rPr>
                <w:sz w:val="22"/>
                <w:szCs w:val="22"/>
              </w:rPr>
            </w:pPr>
            <w:r w:rsidRPr="00702882">
              <w:rPr>
                <w:sz w:val="22"/>
                <w:szCs w:val="22"/>
              </w:rPr>
              <w:t>H</w:t>
            </w:r>
            <w:r w:rsidRPr="00702882">
              <w:rPr>
                <w:sz w:val="22"/>
              </w:rPr>
              <w:t>5</w:t>
            </w:r>
          </w:p>
        </w:tc>
        <w:tc>
          <w:tcPr>
            <w:tcW w:w="4520" w:type="dxa"/>
          </w:tcPr>
          <w:p w14:paraId="4ABD0B9C" w14:textId="77777777" w:rsidR="00AF6702" w:rsidRPr="00702882" w:rsidRDefault="00AF6702" w:rsidP="00AD1954">
            <w:pPr>
              <w:rPr>
                <w:b/>
                <w:bCs/>
                <w:sz w:val="22"/>
                <w:szCs w:val="22"/>
              </w:rPr>
            </w:pPr>
            <w:r w:rsidRPr="00702882">
              <w:rPr>
                <w:b/>
                <w:sz w:val="22"/>
                <w:szCs w:val="22"/>
              </w:rPr>
              <w:t>High stringency of deposit requirements</w:t>
            </w:r>
          </w:p>
        </w:tc>
        <w:tc>
          <w:tcPr>
            <w:tcW w:w="1560" w:type="dxa"/>
          </w:tcPr>
          <w:p w14:paraId="51733264" w14:textId="77777777" w:rsidR="00AF6702" w:rsidRPr="00702882" w:rsidRDefault="00AF6702" w:rsidP="00AD1954">
            <w:pPr>
              <w:jc w:val="center"/>
              <w:rPr>
                <w:sz w:val="22"/>
                <w:szCs w:val="22"/>
              </w:rPr>
            </w:pPr>
            <w:r w:rsidRPr="00702882">
              <w:rPr>
                <w:bCs/>
                <w:sz w:val="22"/>
                <w:szCs w:val="22"/>
              </w:rPr>
              <w:t>Negative</w:t>
            </w:r>
          </w:p>
        </w:tc>
        <w:tc>
          <w:tcPr>
            <w:tcW w:w="1417" w:type="dxa"/>
          </w:tcPr>
          <w:p w14:paraId="4B61148C" w14:textId="77777777" w:rsidR="00AF6702" w:rsidRPr="00702882" w:rsidRDefault="00AF6702" w:rsidP="00AD1954">
            <w:pPr>
              <w:jc w:val="center"/>
              <w:rPr>
                <w:b/>
                <w:bCs/>
                <w:sz w:val="22"/>
                <w:szCs w:val="22"/>
              </w:rPr>
            </w:pPr>
          </w:p>
        </w:tc>
        <w:tc>
          <w:tcPr>
            <w:tcW w:w="1418" w:type="dxa"/>
          </w:tcPr>
          <w:p w14:paraId="665E201D" w14:textId="77777777" w:rsidR="00AF6702" w:rsidRPr="00702882" w:rsidRDefault="00AF6702" w:rsidP="00AD1954">
            <w:pPr>
              <w:jc w:val="center"/>
              <w:rPr>
                <w:b/>
                <w:bCs/>
                <w:sz w:val="22"/>
                <w:szCs w:val="22"/>
              </w:rPr>
            </w:pPr>
          </w:p>
        </w:tc>
      </w:tr>
      <w:tr w:rsidR="00D71D1D" w:rsidRPr="00702882" w14:paraId="54D7507A" w14:textId="77777777" w:rsidTr="00AE6820">
        <w:trPr>
          <w:jc w:val="center"/>
        </w:trPr>
        <w:tc>
          <w:tcPr>
            <w:tcW w:w="583" w:type="dxa"/>
          </w:tcPr>
          <w:p w14:paraId="3FBA0B98" w14:textId="77777777" w:rsidR="00AF6702" w:rsidRPr="00702882" w:rsidRDefault="00AF6702" w:rsidP="00AD1954">
            <w:pPr>
              <w:rPr>
                <w:b/>
                <w:bCs/>
                <w:sz w:val="22"/>
                <w:szCs w:val="22"/>
              </w:rPr>
            </w:pPr>
          </w:p>
        </w:tc>
        <w:tc>
          <w:tcPr>
            <w:tcW w:w="4520" w:type="dxa"/>
          </w:tcPr>
          <w:p w14:paraId="5F5B932B" w14:textId="77777777" w:rsidR="00AF6702" w:rsidRPr="00702882" w:rsidRDefault="00AF6702" w:rsidP="00AD1954">
            <w:pPr>
              <w:rPr>
                <w:b/>
                <w:bCs/>
                <w:sz w:val="22"/>
                <w:szCs w:val="22"/>
              </w:rPr>
            </w:pPr>
            <w:r w:rsidRPr="00702882">
              <w:rPr>
                <w:bCs/>
                <w:sz w:val="22"/>
                <w:szCs w:val="22"/>
              </w:rPr>
              <w:t>Source</w:t>
            </w:r>
          </w:p>
        </w:tc>
        <w:tc>
          <w:tcPr>
            <w:tcW w:w="1560" w:type="dxa"/>
          </w:tcPr>
          <w:p w14:paraId="5729C75D" w14:textId="77777777" w:rsidR="00AF6702" w:rsidRPr="00702882" w:rsidRDefault="00AF6702" w:rsidP="00AD1954">
            <w:pPr>
              <w:jc w:val="center"/>
              <w:rPr>
                <w:b/>
                <w:bCs/>
                <w:sz w:val="22"/>
                <w:szCs w:val="22"/>
              </w:rPr>
            </w:pPr>
          </w:p>
        </w:tc>
        <w:tc>
          <w:tcPr>
            <w:tcW w:w="1417" w:type="dxa"/>
          </w:tcPr>
          <w:p w14:paraId="78D22674" w14:textId="77777777" w:rsidR="00AF6702" w:rsidRPr="00702882" w:rsidRDefault="00AF6702" w:rsidP="00AD1954">
            <w:pPr>
              <w:jc w:val="center"/>
              <w:rPr>
                <w:b/>
                <w:bCs/>
                <w:sz w:val="22"/>
                <w:szCs w:val="22"/>
              </w:rPr>
            </w:pPr>
          </w:p>
        </w:tc>
        <w:tc>
          <w:tcPr>
            <w:tcW w:w="1418" w:type="dxa"/>
          </w:tcPr>
          <w:p w14:paraId="311A3105" w14:textId="77777777" w:rsidR="00AF6702" w:rsidRPr="00702882" w:rsidRDefault="00AF6702" w:rsidP="00AD1954">
            <w:pPr>
              <w:jc w:val="center"/>
              <w:rPr>
                <w:b/>
                <w:bCs/>
                <w:sz w:val="22"/>
                <w:szCs w:val="22"/>
              </w:rPr>
            </w:pPr>
          </w:p>
        </w:tc>
      </w:tr>
      <w:tr w:rsidR="00D71D1D" w:rsidRPr="00702882" w14:paraId="5D9140CD" w14:textId="77777777" w:rsidTr="00AE6820">
        <w:trPr>
          <w:jc w:val="center"/>
        </w:trPr>
        <w:tc>
          <w:tcPr>
            <w:tcW w:w="583" w:type="dxa"/>
          </w:tcPr>
          <w:p w14:paraId="633732FB" w14:textId="77777777" w:rsidR="00AF6702" w:rsidRPr="00702882" w:rsidRDefault="00AF6702" w:rsidP="00AD1954">
            <w:pPr>
              <w:rPr>
                <w:b/>
                <w:bCs/>
                <w:sz w:val="22"/>
                <w:szCs w:val="22"/>
              </w:rPr>
            </w:pPr>
          </w:p>
        </w:tc>
        <w:tc>
          <w:tcPr>
            <w:tcW w:w="4520" w:type="dxa"/>
          </w:tcPr>
          <w:p w14:paraId="57ABBF25" w14:textId="77777777" w:rsidR="00AF6702" w:rsidRPr="00702882" w:rsidRDefault="00AF6702" w:rsidP="00AD1954">
            <w:pPr>
              <w:rPr>
                <w:b/>
                <w:bCs/>
                <w:sz w:val="22"/>
                <w:szCs w:val="22"/>
              </w:rPr>
            </w:pPr>
            <w:r w:rsidRPr="00702882">
              <w:rPr>
                <w:bCs/>
                <w:sz w:val="22"/>
                <w:szCs w:val="22"/>
              </w:rPr>
              <w:t>Cap</w:t>
            </w:r>
          </w:p>
        </w:tc>
        <w:tc>
          <w:tcPr>
            <w:tcW w:w="1560" w:type="dxa"/>
          </w:tcPr>
          <w:p w14:paraId="72D0C0DC" w14:textId="77777777" w:rsidR="00AF6702" w:rsidRPr="00702882" w:rsidRDefault="00AF6702" w:rsidP="00AD1954">
            <w:pPr>
              <w:jc w:val="center"/>
              <w:rPr>
                <w:b/>
                <w:bCs/>
                <w:sz w:val="22"/>
                <w:szCs w:val="22"/>
              </w:rPr>
            </w:pPr>
          </w:p>
        </w:tc>
        <w:tc>
          <w:tcPr>
            <w:tcW w:w="1417" w:type="dxa"/>
          </w:tcPr>
          <w:p w14:paraId="4D83B0A1" w14:textId="77777777" w:rsidR="00AF6702" w:rsidRPr="00702882" w:rsidRDefault="00AF6702" w:rsidP="00AD1954">
            <w:pPr>
              <w:jc w:val="center"/>
              <w:rPr>
                <w:b/>
                <w:bCs/>
                <w:sz w:val="22"/>
                <w:szCs w:val="22"/>
              </w:rPr>
            </w:pPr>
          </w:p>
        </w:tc>
        <w:tc>
          <w:tcPr>
            <w:tcW w:w="1418" w:type="dxa"/>
          </w:tcPr>
          <w:p w14:paraId="501C024E" w14:textId="77777777" w:rsidR="00AF6702" w:rsidRPr="00702882" w:rsidRDefault="00AF6702" w:rsidP="00AD1954">
            <w:pPr>
              <w:jc w:val="center"/>
              <w:rPr>
                <w:b/>
                <w:bCs/>
                <w:sz w:val="22"/>
                <w:szCs w:val="22"/>
              </w:rPr>
            </w:pPr>
          </w:p>
        </w:tc>
      </w:tr>
      <w:tr w:rsidR="00D71D1D" w:rsidRPr="00702882" w14:paraId="7B2279B0" w14:textId="77777777" w:rsidTr="00AE6820">
        <w:trPr>
          <w:jc w:val="center"/>
        </w:trPr>
        <w:tc>
          <w:tcPr>
            <w:tcW w:w="583" w:type="dxa"/>
          </w:tcPr>
          <w:p w14:paraId="286FE9D7" w14:textId="77777777" w:rsidR="00AF6702" w:rsidRPr="00702882" w:rsidRDefault="00AF6702" w:rsidP="00AD1954">
            <w:pPr>
              <w:rPr>
                <w:b/>
                <w:bCs/>
                <w:sz w:val="22"/>
                <w:szCs w:val="22"/>
              </w:rPr>
            </w:pPr>
          </w:p>
        </w:tc>
        <w:tc>
          <w:tcPr>
            <w:tcW w:w="4520" w:type="dxa"/>
          </w:tcPr>
          <w:p w14:paraId="686AB020" w14:textId="77777777" w:rsidR="00AF6702" w:rsidRPr="00702882" w:rsidRDefault="00AF6702" w:rsidP="00AD1954">
            <w:pPr>
              <w:rPr>
                <w:b/>
                <w:bCs/>
                <w:sz w:val="22"/>
                <w:szCs w:val="22"/>
              </w:rPr>
            </w:pPr>
            <w:r w:rsidRPr="00702882">
              <w:rPr>
                <w:bCs/>
                <w:sz w:val="22"/>
                <w:szCs w:val="22"/>
              </w:rPr>
              <w:t>Deposit by revenue surplus (high)</w:t>
            </w:r>
          </w:p>
        </w:tc>
        <w:tc>
          <w:tcPr>
            <w:tcW w:w="1560" w:type="dxa"/>
          </w:tcPr>
          <w:p w14:paraId="5FF39F5A" w14:textId="77777777" w:rsidR="00AF6702" w:rsidRPr="00702882" w:rsidRDefault="00AF6702" w:rsidP="00AD1954">
            <w:pPr>
              <w:jc w:val="center"/>
              <w:rPr>
                <w:b/>
                <w:bCs/>
                <w:sz w:val="22"/>
                <w:szCs w:val="22"/>
              </w:rPr>
            </w:pPr>
          </w:p>
        </w:tc>
        <w:tc>
          <w:tcPr>
            <w:tcW w:w="1417" w:type="dxa"/>
          </w:tcPr>
          <w:p w14:paraId="203536D5" w14:textId="77777777" w:rsidR="00AF6702" w:rsidRPr="00702882" w:rsidRDefault="00AF6702" w:rsidP="00AD1954">
            <w:pPr>
              <w:jc w:val="center"/>
              <w:rPr>
                <w:b/>
                <w:bCs/>
                <w:sz w:val="22"/>
                <w:szCs w:val="22"/>
              </w:rPr>
            </w:pPr>
          </w:p>
        </w:tc>
        <w:tc>
          <w:tcPr>
            <w:tcW w:w="1418" w:type="dxa"/>
          </w:tcPr>
          <w:p w14:paraId="34855BE0" w14:textId="77777777" w:rsidR="00AF6702" w:rsidRPr="00702882" w:rsidRDefault="00AF6702" w:rsidP="00AD1954">
            <w:pPr>
              <w:jc w:val="center"/>
              <w:rPr>
                <w:rFonts w:eastAsiaTheme="minorEastAsia"/>
                <w:b/>
                <w:bCs/>
                <w:sz w:val="22"/>
                <w:szCs w:val="22"/>
              </w:rPr>
            </w:pPr>
          </w:p>
        </w:tc>
      </w:tr>
      <w:tr w:rsidR="00D71D1D" w:rsidRPr="00702882" w14:paraId="346C8E1C" w14:textId="77777777" w:rsidTr="00AE6820">
        <w:trPr>
          <w:jc w:val="center"/>
        </w:trPr>
        <w:tc>
          <w:tcPr>
            <w:tcW w:w="583" w:type="dxa"/>
          </w:tcPr>
          <w:p w14:paraId="74A3428E" w14:textId="77777777" w:rsidR="00AF6702" w:rsidRPr="00702882" w:rsidRDefault="00AF6702" w:rsidP="00AD1954">
            <w:pPr>
              <w:rPr>
                <w:b/>
                <w:bCs/>
                <w:sz w:val="22"/>
                <w:szCs w:val="22"/>
              </w:rPr>
            </w:pPr>
          </w:p>
        </w:tc>
        <w:tc>
          <w:tcPr>
            <w:tcW w:w="4520" w:type="dxa"/>
            <w:vAlign w:val="center"/>
          </w:tcPr>
          <w:p w14:paraId="363D37E6" w14:textId="77777777" w:rsidR="00AF6702" w:rsidRPr="00702882" w:rsidRDefault="00AF6702" w:rsidP="00AD1954">
            <w:pPr>
              <w:rPr>
                <w:b/>
                <w:bCs/>
                <w:sz w:val="22"/>
                <w:szCs w:val="22"/>
              </w:rPr>
            </w:pPr>
            <w:r w:rsidRPr="00702882">
              <w:rPr>
                <w:sz w:val="22"/>
                <w:szCs w:val="22"/>
              </w:rPr>
              <w:t>Deposit tied to volatility (formula)</w:t>
            </w:r>
          </w:p>
        </w:tc>
        <w:tc>
          <w:tcPr>
            <w:tcW w:w="1560" w:type="dxa"/>
          </w:tcPr>
          <w:p w14:paraId="65964533" w14:textId="77777777" w:rsidR="00AF6702" w:rsidRPr="00702882" w:rsidRDefault="00AF6702" w:rsidP="00AD1954">
            <w:pPr>
              <w:jc w:val="center"/>
              <w:rPr>
                <w:b/>
                <w:bCs/>
                <w:sz w:val="22"/>
                <w:szCs w:val="22"/>
              </w:rPr>
            </w:pPr>
          </w:p>
        </w:tc>
        <w:tc>
          <w:tcPr>
            <w:tcW w:w="1417" w:type="dxa"/>
          </w:tcPr>
          <w:p w14:paraId="50E99CC7" w14:textId="77777777" w:rsidR="00AF6702" w:rsidRPr="00702882" w:rsidRDefault="00AF6702" w:rsidP="00AD1954">
            <w:pPr>
              <w:jc w:val="center"/>
              <w:rPr>
                <w:b/>
                <w:bCs/>
                <w:sz w:val="22"/>
                <w:szCs w:val="22"/>
              </w:rPr>
            </w:pPr>
          </w:p>
        </w:tc>
        <w:tc>
          <w:tcPr>
            <w:tcW w:w="1418" w:type="dxa"/>
          </w:tcPr>
          <w:p w14:paraId="2D3063AC" w14:textId="77777777" w:rsidR="00AF6702" w:rsidRPr="00702882" w:rsidRDefault="00AF6702" w:rsidP="00AD1954">
            <w:pPr>
              <w:jc w:val="center"/>
              <w:rPr>
                <w:b/>
                <w:bCs/>
                <w:sz w:val="22"/>
                <w:szCs w:val="22"/>
              </w:rPr>
            </w:pPr>
          </w:p>
        </w:tc>
      </w:tr>
      <w:tr w:rsidR="00D71D1D" w:rsidRPr="00702882" w14:paraId="426B88F5" w14:textId="77777777" w:rsidTr="00AE6820">
        <w:trPr>
          <w:jc w:val="center"/>
        </w:trPr>
        <w:tc>
          <w:tcPr>
            <w:tcW w:w="583" w:type="dxa"/>
          </w:tcPr>
          <w:p w14:paraId="0D831EAD" w14:textId="77777777" w:rsidR="00AF6702" w:rsidRPr="00702882" w:rsidRDefault="00AF6702" w:rsidP="00AD1954">
            <w:pPr>
              <w:rPr>
                <w:b/>
                <w:bCs/>
                <w:sz w:val="22"/>
                <w:szCs w:val="22"/>
              </w:rPr>
            </w:pPr>
            <w:r w:rsidRPr="00702882">
              <w:rPr>
                <w:sz w:val="22"/>
                <w:szCs w:val="22"/>
              </w:rPr>
              <w:t>H</w:t>
            </w:r>
            <w:r w:rsidRPr="00702882">
              <w:rPr>
                <w:sz w:val="22"/>
              </w:rPr>
              <w:t>5</w:t>
            </w:r>
            <w:r w:rsidRPr="00702882">
              <w:rPr>
                <w:sz w:val="22"/>
                <w:szCs w:val="22"/>
              </w:rPr>
              <w:t>a</w:t>
            </w:r>
          </w:p>
        </w:tc>
        <w:tc>
          <w:tcPr>
            <w:tcW w:w="4520" w:type="dxa"/>
          </w:tcPr>
          <w:p w14:paraId="7A3C8E7D" w14:textId="77777777" w:rsidR="00AF6702" w:rsidRPr="00702882" w:rsidRDefault="00AF6702" w:rsidP="00AD1954">
            <w:pPr>
              <w:rPr>
                <w:b/>
                <w:bCs/>
                <w:sz w:val="22"/>
                <w:szCs w:val="22"/>
              </w:rPr>
            </w:pPr>
            <w:r w:rsidRPr="00702882">
              <w:rPr>
                <w:b/>
                <w:sz w:val="22"/>
                <w:szCs w:val="22"/>
              </w:rPr>
              <w:t>High stringency of deposit requirements</w:t>
            </w:r>
          </w:p>
        </w:tc>
        <w:tc>
          <w:tcPr>
            <w:tcW w:w="1560" w:type="dxa"/>
          </w:tcPr>
          <w:p w14:paraId="003341BB" w14:textId="77777777" w:rsidR="00AF6702" w:rsidRPr="00702882" w:rsidRDefault="00AF6702" w:rsidP="00AD1954">
            <w:pPr>
              <w:jc w:val="center"/>
              <w:rPr>
                <w:sz w:val="22"/>
                <w:szCs w:val="22"/>
              </w:rPr>
            </w:pPr>
            <w:r w:rsidRPr="00702882">
              <w:rPr>
                <w:bCs/>
                <w:sz w:val="22"/>
                <w:szCs w:val="22"/>
              </w:rPr>
              <w:t>Less Negative</w:t>
            </w:r>
          </w:p>
        </w:tc>
        <w:tc>
          <w:tcPr>
            <w:tcW w:w="1417" w:type="dxa"/>
          </w:tcPr>
          <w:p w14:paraId="496D6133" w14:textId="77777777" w:rsidR="00AF6702" w:rsidRPr="00702882" w:rsidRDefault="00AF6702" w:rsidP="00AD1954">
            <w:pPr>
              <w:jc w:val="center"/>
              <w:rPr>
                <w:b/>
                <w:bCs/>
                <w:sz w:val="22"/>
                <w:szCs w:val="22"/>
              </w:rPr>
            </w:pPr>
          </w:p>
        </w:tc>
        <w:tc>
          <w:tcPr>
            <w:tcW w:w="1418" w:type="dxa"/>
          </w:tcPr>
          <w:p w14:paraId="0436B933" w14:textId="77777777" w:rsidR="00AF6702" w:rsidRPr="00702882" w:rsidRDefault="00AF6702" w:rsidP="00AD1954">
            <w:pPr>
              <w:jc w:val="center"/>
              <w:rPr>
                <w:b/>
                <w:bCs/>
                <w:sz w:val="22"/>
                <w:szCs w:val="22"/>
              </w:rPr>
            </w:pPr>
          </w:p>
        </w:tc>
      </w:tr>
      <w:tr w:rsidR="00D71D1D" w:rsidRPr="00702882" w14:paraId="22091501" w14:textId="77777777" w:rsidTr="00AE6820">
        <w:trPr>
          <w:jc w:val="center"/>
        </w:trPr>
        <w:tc>
          <w:tcPr>
            <w:tcW w:w="583" w:type="dxa"/>
          </w:tcPr>
          <w:p w14:paraId="3271F805" w14:textId="77777777" w:rsidR="00AF6702" w:rsidRPr="00702882" w:rsidRDefault="00AF6702" w:rsidP="00AD1954">
            <w:pPr>
              <w:rPr>
                <w:b/>
                <w:bCs/>
                <w:sz w:val="22"/>
                <w:szCs w:val="22"/>
              </w:rPr>
            </w:pPr>
          </w:p>
        </w:tc>
        <w:tc>
          <w:tcPr>
            <w:tcW w:w="4520" w:type="dxa"/>
          </w:tcPr>
          <w:p w14:paraId="5944A990" w14:textId="77777777" w:rsidR="00AF6702" w:rsidRPr="00702882" w:rsidRDefault="00AF6702" w:rsidP="00AD1954">
            <w:pPr>
              <w:rPr>
                <w:b/>
                <w:bCs/>
                <w:sz w:val="22"/>
                <w:szCs w:val="22"/>
              </w:rPr>
            </w:pPr>
            <w:r w:rsidRPr="00702882">
              <w:rPr>
                <w:bCs/>
                <w:sz w:val="22"/>
                <w:szCs w:val="22"/>
              </w:rPr>
              <w:t>Source</w:t>
            </w:r>
          </w:p>
        </w:tc>
        <w:tc>
          <w:tcPr>
            <w:tcW w:w="1560" w:type="dxa"/>
          </w:tcPr>
          <w:p w14:paraId="3A29D9AC" w14:textId="77777777" w:rsidR="00AF6702" w:rsidRPr="00702882" w:rsidRDefault="00AF6702" w:rsidP="00AD1954">
            <w:pPr>
              <w:jc w:val="center"/>
              <w:rPr>
                <w:b/>
                <w:bCs/>
                <w:sz w:val="22"/>
                <w:szCs w:val="22"/>
              </w:rPr>
            </w:pPr>
          </w:p>
        </w:tc>
        <w:tc>
          <w:tcPr>
            <w:tcW w:w="1417" w:type="dxa"/>
          </w:tcPr>
          <w:p w14:paraId="72906596" w14:textId="77777777" w:rsidR="00AF6702" w:rsidRPr="00702882" w:rsidRDefault="00AF6702" w:rsidP="00AD1954">
            <w:pPr>
              <w:jc w:val="center"/>
              <w:rPr>
                <w:b/>
                <w:bCs/>
                <w:sz w:val="22"/>
                <w:szCs w:val="22"/>
              </w:rPr>
            </w:pPr>
          </w:p>
        </w:tc>
        <w:tc>
          <w:tcPr>
            <w:tcW w:w="1418" w:type="dxa"/>
          </w:tcPr>
          <w:p w14:paraId="28961DFC" w14:textId="77777777" w:rsidR="00AF6702" w:rsidRPr="00702882" w:rsidRDefault="00AF6702" w:rsidP="00AD1954">
            <w:pPr>
              <w:jc w:val="center"/>
              <w:rPr>
                <w:b/>
                <w:bCs/>
                <w:sz w:val="22"/>
                <w:szCs w:val="22"/>
              </w:rPr>
            </w:pPr>
          </w:p>
        </w:tc>
      </w:tr>
      <w:tr w:rsidR="00D71D1D" w:rsidRPr="00702882" w14:paraId="388BF3F3" w14:textId="77777777" w:rsidTr="00AE6820">
        <w:trPr>
          <w:jc w:val="center"/>
        </w:trPr>
        <w:tc>
          <w:tcPr>
            <w:tcW w:w="583" w:type="dxa"/>
          </w:tcPr>
          <w:p w14:paraId="517793A4" w14:textId="77777777" w:rsidR="00AF6702" w:rsidRPr="00702882" w:rsidRDefault="00AF6702" w:rsidP="00AD1954">
            <w:pPr>
              <w:rPr>
                <w:b/>
                <w:bCs/>
                <w:sz w:val="22"/>
                <w:szCs w:val="22"/>
              </w:rPr>
            </w:pPr>
          </w:p>
        </w:tc>
        <w:tc>
          <w:tcPr>
            <w:tcW w:w="4520" w:type="dxa"/>
          </w:tcPr>
          <w:p w14:paraId="7367D0F8" w14:textId="77777777" w:rsidR="00AF6702" w:rsidRPr="00702882" w:rsidRDefault="00AF6702" w:rsidP="00AD1954">
            <w:pPr>
              <w:rPr>
                <w:b/>
                <w:bCs/>
                <w:sz w:val="22"/>
                <w:szCs w:val="22"/>
              </w:rPr>
            </w:pPr>
            <w:r w:rsidRPr="00702882">
              <w:rPr>
                <w:bCs/>
                <w:sz w:val="22"/>
                <w:szCs w:val="22"/>
              </w:rPr>
              <w:t>Cap</w:t>
            </w:r>
          </w:p>
        </w:tc>
        <w:tc>
          <w:tcPr>
            <w:tcW w:w="1560" w:type="dxa"/>
          </w:tcPr>
          <w:p w14:paraId="70C8A47D" w14:textId="77777777" w:rsidR="00AF6702" w:rsidRPr="00702882" w:rsidRDefault="00AF6702" w:rsidP="00AD1954">
            <w:pPr>
              <w:jc w:val="center"/>
              <w:rPr>
                <w:b/>
                <w:bCs/>
                <w:sz w:val="22"/>
                <w:szCs w:val="22"/>
              </w:rPr>
            </w:pPr>
          </w:p>
        </w:tc>
        <w:tc>
          <w:tcPr>
            <w:tcW w:w="1417" w:type="dxa"/>
          </w:tcPr>
          <w:p w14:paraId="5C5B4CEA" w14:textId="77777777" w:rsidR="00AF6702" w:rsidRPr="00702882" w:rsidRDefault="00AF6702" w:rsidP="00AD1954">
            <w:pPr>
              <w:jc w:val="center"/>
              <w:rPr>
                <w:b/>
                <w:bCs/>
                <w:sz w:val="22"/>
                <w:szCs w:val="22"/>
              </w:rPr>
            </w:pPr>
          </w:p>
        </w:tc>
        <w:tc>
          <w:tcPr>
            <w:tcW w:w="1418" w:type="dxa"/>
          </w:tcPr>
          <w:p w14:paraId="35A29070" w14:textId="77777777" w:rsidR="00AF6702" w:rsidRPr="00702882" w:rsidRDefault="00AF6702" w:rsidP="00AD1954">
            <w:pPr>
              <w:jc w:val="center"/>
              <w:rPr>
                <w:b/>
                <w:bCs/>
                <w:sz w:val="22"/>
                <w:szCs w:val="22"/>
              </w:rPr>
            </w:pPr>
          </w:p>
        </w:tc>
      </w:tr>
      <w:tr w:rsidR="00D71D1D" w:rsidRPr="00702882" w14:paraId="1D38AA5E" w14:textId="77777777" w:rsidTr="00AE6820">
        <w:trPr>
          <w:jc w:val="center"/>
        </w:trPr>
        <w:tc>
          <w:tcPr>
            <w:tcW w:w="583" w:type="dxa"/>
          </w:tcPr>
          <w:p w14:paraId="6C1A9441" w14:textId="77777777" w:rsidR="00AF6702" w:rsidRPr="00702882" w:rsidRDefault="00AF6702" w:rsidP="00AD1954">
            <w:pPr>
              <w:rPr>
                <w:b/>
                <w:bCs/>
                <w:sz w:val="22"/>
                <w:szCs w:val="22"/>
              </w:rPr>
            </w:pPr>
          </w:p>
        </w:tc>
        <w:tc>
          <w:tcPr>
            <w:tcW w:w="4520" w:type="dxa"/>
          </w:tcPr>
          <w:p w14:paraId="52B67FCB" w14:textId="77777777" w:rsidR="00AF6702" w:rsidRPr="00702882" w:rsidRDefault="00AF6702" w:rsidP="00AD1954">
            <w:pPr>
              <w:rPr>
                <w:b/>
                <w:bCs/>
                <w:sz w:val="22"/>
                <w:szCs w:val="22"/>
              </w:rPr>
            </w:pPr>
            <w:r w:rsidRPr="00702882">
              <w:rPr>
                <w:bCs/>
                <w:sz w:val="22"/>
                <w:szCs w:val="22"/>
              </w:rPr>
              <w:t>Deposit by revenue surplus (high)</w:t>
            </w:r>
          </w:p>
        </w:tc>
        <w:tc>
          <w:tcPr>
            <w:tcW w:w="1560" w:type="dxa"/>
          </w:tcPr>
          <w:p w14:paraId="3E516417" w14:textId="77777777" w:rsidR="00AF6702" w:rsidRPr="00702882" w:rsidRDefault="00AF6702" w:rsidP="00AD1954">
            <w:pPr>
              <w:jc w:val="center"/>
              <w:rPr>
                <w:b/>
                <w:bCs/>
                <w:sz w:val="22"/>
                <w:szCs w:val="22"/>
              </w:rPr>
            </w:pPr>
          </w:p>
        </w:tc>
        <w:tc>
          <w:tcPr>
            <w:tcW w:w="1417" w:type="dxa"/>
          </w:tcPr>
          <w:p w14:paraId="53799BEC" w14:textId="77777777" w:rsidR="00AF6702" w:rsidRPr="00702882" w:rsidRDefault="00AF6702" w:rsidP="00AD1954">
            <w:pPr>
              <w:jc w:val="center"/>
              <w:rPr>
                <w:b/>
                <w:bCs/>
                <w:sz w:val="22"/>
                <w:szCs w:val="22"/>
              </w:rPr>
            </w:pPr>
          </w:p>
        </w:tc>
        <w:tc>
          <w:tcPr>
            <w:tcW w:w="1418" w:type="dxa"/>
          </w:tcPr>
          <w:p w14:paraId="7B5F9734" w14:textId="77777777" w:rsidR="00AF6702" w:rsidRPr="00702882" w:rsidRDefault="00AF6702" w:rsidP="00AD1954">
            <w:pPr>
              <w:jc w:val="center"/>
              <w:rPr>
                <w:b/>
                <w:bCs/>
                <w:sz w:val="22"/>
                <w:szCs w:val="22"/>
              </w:rPr>
            </w:pPr>
          </w:p>
        </w:tc>
      </w:tr>
      <w:tr w:rsidR="00D71D1D" w:rsidRPr="00702882" w14:paraId="5F658964" w14:textId="77777777" w:rsidTr="00AE6820">
        <w:trPr>
          <w:jc w:val="center"/>
        </w:trPr>
        <w:tc>
          <w:tcPr>
            <w:tcW w:w="583" w:type="dxa"/>
          </w:tcPr>
          <w:p w14:paraId="21EC9105" w14:textId="77777777" w:rsidR="00AF6702" w:rsidRPr="00702882" w:rsidRDefault="00AF6702" w:rsidP="00AD1954">
            <w:pPr>
              <w:rPr>
                <w:b/>
                <w:bCs/>
                <w:sz w:val="22"/>
                <w:szCs w:val="22"/>
              </w:rPr>
            </w:pPr>
          </w:p>
        </w:tc>
        <w:tc>
          <w:tcPr>
            <w:tcW w:w="4520" w:type="dxa"/>
            <w:vAlign w:val="center"/>
          </w:tcPr>
          <w:p w14:paraId="0B84417D" w14:textId="77777777" w:rsidR="00AF6702" w:rsidRPr="00702882" w:rsidRDefault="00AF6702" w:rsidP="00AD1954">
            <w:pPr>
              <w:rPr>
                <w:b/>
                <w:bCs/>
                <w:sz w:val="22"/>
                <w:szCs w:val="22"/>
              </w:rPr>
            </w:pPr>
            <w:r w:rsidRPr="00702882">
              <w:rPr>
                <w:sz w:val="22"/>
                <w:szCs w:val="22"/>
              </w:rPr>
              <w:t xml:space="preserve">Deposit tied to </w:t>
            </w:r>
            <w:r w:rsidRPr="00702882">
              <w:rPr>
                <w:rFonts w:eastAsiaTheme="minorEastAsia"/>
                <w:sz w:val="22"/>
                <w:szCs w:val="22"/>
              </w:rPr>
              <w:t xml:space="preserve">revenue </w:t>
            </w:r>
            <w:r w:rsidRPr="00702882">
              <w:rPr>
                <w:sz w:val="22"/>
                <w:szCs w:val="22"/>
              </w:rPr>
              <w:t>volatility (formula)</w:t>
            </w:r>
          </w:p>
        </w:tc>
        <w:tc>
          <w:tcPr>
            <w:tcW w:w="1560" w:type="dxa"/>
          </w:tcPr>
          <w:p w14:paraId="6BD115A0" w14:textId="77777777" w:rsidR="00AF6702" w:rsidRPr="00702882" w:rsidRDefault="00AF6702" w:rsidP="00AD1954">
            <w:pPr>
              <w:jc w:val="center"/>
              <w:rPr>
                <w:b/>
                <w:bCs/>
                <w:sz w:val="22"/>
                <w:szCs w:val="22"/>
              </w:rPr>
            </w:pPr>
          </w:p>
        </w:tc>
        <w:tc>
          <w:tcPr>
            <w:tcW w:w="1417" w:type="dxa"/>
          </w:tcPr>
          <w:p w14:paraId="4F378453" w14:textId="77777777" w:rsidR="00AF6702" w:rsidRPr="00702882" w:rsidRDefault="00AF6702" w:rsidP="00AD1954">
            <w:pPr>
              <w:jc w:val="center"/>
              <w:rPr>
                <w:b/>
                <w:bCs/>
                <w:sz w:val="22"/>
                <w:szCs w:val="22"/>
              </w:rPr>
            </w:pPr>
          </w:p>
        </w:tc>
        <w:tc>
          <w:tcPr>
            <w:tcW w:w="1418" w:type="dxa"/>
          </w:tcPr>
          <w:p w14:paraId="1FDC3EE5" w14:textId="77777777" w:rsidR="00AF6702" w:rsidRPr="00702882" w:rsidRDefault="00AF6702" w:rsidP="00AD1954">
            <w:pPr>
              <w:jc w:val="center"/>
              <w:rPr>
                <w:b/>
                <w:bCs/>
                <w:sz w:val="22"/>
                <w:szCs w:val="22"/>
              </w:rPr>
            </w:pPr>
          </w:p>
        </w:tc>
      </w:tr>
      <w:tr w:rsidR="00D71D1D" w:rsidRPr="00702882" w14:paraId="3645F926" w14:textId="77777777" w:rsidTr="00AE6820">
        <w:trPr>
          <w:jc w:val="center"/>
        </w:trPr>
        <w:tc>
          <w:tcPr>
            <w:tcW w:w="583" w:type="dxa"/>
            <w:vAlign w:val="center"/>
          </w:tcPr>
          <w:p w14:paraId="3F84D6BE" w14:textId="77777777" w:rsidR="00AF6702" w:rsidRPr="00702882" w:rsidRDefault="00AF6702" w:rsidP="00AD1954">
            <w:pPr>
              <w:rPr>
                <w:b/>
                <w:bCs/>
                <w:sz w:val="22"/>
                <w:szCs w:val="22"/>
              </w:rPr>
            </w:pPr>
            <w:r w:rsidRPr="00702882">
              <w:rPr>
                <w:sz w:val="22"/>
                <w:szCs w:val="22"/>
              </w:rPr>
              <w:t>H</w:t>
            </w:r>
            <w:r w:rsidRPr="00702882">
              <w:rPr>
                <w:sz w:val="22"/>
              </w:rPr>
              <w:t>6</w:t>
            </w:r>
          </w:p>
        </w:tc>
        <w:tc>
          <w:tcPr>
            <w:tcW w:w="4520" w:type="dxa"/>
            <w:vAlign w:val="center"/>
          </w:tcPr>
          <w:p w14:paraId="662EFF67" w14:textId="77777777" w:rsidR="00AF6702" w:rsidRPr="00702882" w:rsidRDefault="00AF6702" w:rsidP="00AD1954">
            <w:pPr>
              <w:rPr>
                <w:b/>
                <w:bCs/>
                <w:sz w:val="22"/>
                <w:szCs w:val="22"/>
              </w:rPr>
            </w:pPr>
            <w:r w:rsidRPr="00702882">
              <w:rPr>
                <w:b/>
                <w:bCs/>
                <w:sz w:val="22"/>
                <w:szCs w:val="22"/>
              </w:rPr>
              <w:t xml:space="preserve">High stringency of withdrawal requirements </w:t>
            </w:r>
          </w:p>
        </w:tc>
        <w:tc>
          <w:tcPr>
            <w:tcW w:w="1560" w:type="dxa"/>
          </w:tcPr>
          <w:p w14:paraId="3408FE17" w14:textId="77777777" w:rsidR="00AF6702" w:rsidRPr="00702882" w:rsidRDefault="00AF6702" w:rsidP="00AD1954">
            <w:pPr>
              <w:jc w:val="center"/>
              <w:rPr>
                <w:b/>
                <w:bCs/>
                <w:sz w:val="22"/>
                <w:szCs w:val="22"/>
              </w:rPr>
            </w:pPr>
            <w:r w:rsidRPr="00702882">
              <w:rPr>
                <w:bCs/>
                <w:sz w:val="22"/>
                <w:szCs w:val="22"/>
              </w:rPr>
              <w:t>Negative</w:t>
            </w:r>
          </w:p>
        </w:tc>
        <w:tc>
          <w:tcPr>
            <w:tcW w:w="1417" w:type="dxa"/>
          </w:tcPr>
          <w:p w14:paraId="580892DE" w14:textId="77777777" w:rsidR="00AF6702" w:rsidRPr="00702882" w:rsidRDefault="00AF6702" w:rsidP="00AD1954">
            <w:pPr>
              <w:jc w:val="center"/>
              <w:rPr>
                <w:b/>
                <w:bCs/>
                <w:sz w:val="22"/>
                <w:szCs w:val="22"/>
              </w:rPr>
            </w:pPr>
          </w:p>
        </w:tc>
        <w:tc>
          <w:tcPr>
            <w:tcW w:w="1418" w:type="dxa"/>
          </w:tcPr>
          <w:p w14:paraId="5BF738AC" w14:textId="77777777" w:rsidR="00AF6702" w:rsidRPr="00702882" w:rsidRDefault="00AF6702" w:rsidP="00AD1954">
            <w:pPr>
              <w:jc w:val="center"/>
              <w:rPr>
                <w:b/>
                <w:bCs/>
                <w:sz w:val="22"/>
                <w:szCs w:val="22"/>
              </w:rPr>
            </w:pPr>
          </w:p>
        </w:tc>
      </w:tr>
      <w:tr w:rsidR="00D71D1D" w:rsidRPr="00702882" w14:paraId="436EFA0D" w14:textId="77777777" w:rsidTr="00AE6820">
        <w:trPr>
          <w:jc w:val="center"/>
        </w:trPr>
        <w:tc>
          <w:tcPr>
            <w:tcW w:w="583" w:type="dxa"/>
            <w:vAlign w:val="center"/>
          </w:tcPr>
          <w:p w14:paraId="3573F867" w14:textId="77777777" w:rsidR="00AF6702" w:rsidRPr="00702882" w:rsidRDefault="00AF6702" w:rsidP="00AD1954">
            <w:pPr>
              <w:rPr>
                <w:b/>
                <w:bCs/>
                <w:sz w:val="22"/>
                <w:szCs w:val="22"/>
              </w:rPr>
            </w:pPr>
          </w:p>
        </w:tc>
        <w:tc>
          <w:tcPr>
            <w:tcW w:w="4520" w:type="dxa"/>
            <w:vAlign w:val="center"/>
          </w:tcPr>
          <w:p w14:paraId="3D0D59D7" w14:textId="77777777" w:rsidR="00AF6702" w:rsidRPr="00702882" w:rsidRDefault="00AF6702" w:rsidP="00AD1954">
            <w:pPr>
              <w:rPr>
                <w:b/>
                <w:bCs/>
                <w:sz w:val="22"/>
                <w:szCs w:val="22"/>
              </w:rPr>
            </w:pPr>
            <w:r w:rsidRPr="00702882">
              <w:rPr>
                <w:sz w:val="22"/>
                <w:szCs w:val="22"/>
              </w:rPr>
              <w:t xml:space="preserve">Withdrawal tied to </w:t>
            </w:r>
            <w:r w:rsidRPr="00702882">
              <w:rPr>
                <w:rFonts w:eastAsiaTheme="minorEastAsia"/>
                <w:sz w:val="22"/>
                <w:szCs w:val="22"/>
              </w:rPr>
              <w:t xml:space="preserve">revenue </w:t>
            </w:r>
            <w:r w:rsidRPr="00702882">
              <w:rPr>
                <w:sz w:val="22"/>
                <w:szCs w:val="22"/>
              </w:rPr>
              <w:t xml:space="preserve">volatility </w:t>
            </w:r>
          </w:p>
        </w:tc>
        <w:tc>
          <w:tcPr>
            <w:tcW w:w="1560" w:type="dxa"/>
          </w:tcPr>
          <w:p w14:paraId="443C5F74" w14:textId="77777777" w:rsidR="00AF6702" w:rsidRPr="00702882" w:rsidRDefault="00AF6702" w:rsidP="00AD1954">
            <w:pPr>
              <w:jc w:val="center"/>
              <w:rPr>
                <w:b/>
                <w:bCs/>
                <w:sz w:val="22"/>
                <w:szCs w:val="22"/>
              </w:rPr>
            </w:pPr>
          </w:p>
        </w:tc>
        <w:tc>
          <w:tcPr>
            <w:tcW w:w="1417" w:type="dxa"/>
          </w:tcPr>
          <w:p w14:paraId="5B26B084" w14:textId="77777777" w:rsidR="00AF6702" w:rsidRPr="00702882" w:rsidRDefault="00AF6702" w:rsidP="00AD1954">
            <w:pPr>
              <w:jc w:val="center"/>
              <w:rPr>
                <w:b/>
                <w:bCs/>
                <w:sz w:val="22"/>
                <w:szCs w:val="22"/>
              </w:rPr>
            </w:pPr>
            <w:r w:rsidRPr="00702882">
              <w:rPr>
                <w:b/>
                <w:bCs/>
                <w:sz w:val="22"/>
                <w:szCs w:val="22"/>
              </w:rPr>
              <w:sym w:font="Wingdings" w:char="F0FC"/>
            </w:r>
          </w:p>
        </w:tc>
        <w:tc>
          <w:tcPr>
            <w:tcW w:w="1418" w:type="dxa"/>
          </w:tcPr>
          <w:p w14:paraId="764EADD0" w14:textId="77777777" w:rsidR="00AF6702" w:rsidRPr="00702882" w:rsidRDefault="00AF6702" w:rsidP="00AD1954">
            <w:pPr>
              <w:jc w:val="center"/>
              <w:rPr>
                <w:b/>
                <w:bCs/>
                <w:sz w:val="22"/>
                <w:szCs w:val="22"/>
              </w:rPr>
            </w:pPr>
          </w:p>
        </w:tc>
      </w:tr>
      <w:tr w:rsidR="00D71D1D" w:rsidRPr="00702882" w14:paraId="5EC6695F" w14:textId="77777777" w:rsidTr="00AE6820">
        <w:trPr>
          <w:jc w:val="center"/>
        </w:trPr>
        <w:tc>
          <w:tcPr>
            <w:tcW w:w="583" w:type="dxa"/>
            <w:vAlign w:val="center"/>
          </w:tcPr>
          <w:p w14:paraId="137B975F" w14:textId="77777777" w:rsidR="00AF6702" w:rsidRPr="00702882" w:rsidRDefault="00AF6702" w:rsidP="00AD1954">
            <w:pPr>
              <w:rPr>
                <w:b/>
                <w:bCs/>
                <w:sz w:val="22"/>
                <w:szCs w:val="22"/>
              </w:rPr>
            </w:pPr>
          </w:p>
        </w:tc>
        <w:tc>
          <w:tcPr>
            <w:tcW w:w="4520" w:type="dxa"/>
            <w:vAlign w:val="center"/>
          </w:tcPr>
          <w:p w14:paraId="076AD867" w14:textId="77777777" w:rsidR="00AF6702" w:rsidRPr="00702882" w:rsidRDefault="00AF6702" w:rsidP="00AD1954">
            <w:pPr>
              <w:rPr>
                <w:b/>
                <w:bCs/>
                <w:sz w:val="22"/>
                <w:szCs w:val="22"/>
              </w:rPr>
            </w:pPr>
            <w:r w:rsidRPr="00702882">
              <w:rPr>
                <w:sz w:val="22"/>
                <w:szCs w:val="22"/>
              </w:rPr>
              <w:t>Withdrawal by revenue shortfall</w:t>
            </w:r>
          </w:p>
        </w:tc>
        <w:tc>
          <w:tcPr>
            <w:tcW w:w="1560" w:type="dxa"/>
          </w:tcPr>
          <w:p w14:paraId="28FCA66F" w14:textId="77777777" w:rsidR="00AF6702" w:rsidRPr="00702882" w:rsidRDefault="00AF6702" w:rsidP="00AD1954">
            <w:pPr>
              <w:jc w:val="center"/>
              <w:rPr>
                <w:b/>
                <w:bCs/>
                <w:sz w:val="22"/>
                <w:szCs w:val="22"/>
              </w:rPr>
            </w:pPr>
          </w:p>
        </w:tc>
        <w:tc>
          <w:tcPr>
            <w:tcW w:w="1417" w:type="dxa"/>
          </w:tcPr>
          <w:p w14:paraId="7F89C0F2" w14:textId="77777777" w:rsidR="00AF6702" w:rsidRPr="00702882" w:rsidRDefault="00AF6702" w:rsidP="00AD1954">
            <w:pPr>
              <w:jc w:val="center"/>
              <w:rPr>
                <w:b/>
                <w:bCs/>
                <w:sz w:val="22"/>
                <w:szCs w:val="22"/>
              </w:rPr>
            </w:pPr>
          </w:p>
        </w:tc>
        <w:tc>
          <w:tcPr>
            <w:tcW w:w="1418" w:type="dxa"/>
          </w:tcPr>
          <w:p w14:paraId="62BBEED6" w14:textId="77777777" w:rsidR="00AF6702" w:rsidRPr="00702882" w:rsidRDefault="00AF6702" w:rsidP="00AD1954">
            <w:pPr>
              <w:jc w:val="center"/>
              <w:rPr>
                <w:b/>
                <w:bCs/>
                <w:sz w:val="22"/>
                <w:szCs w:val="22"/>
              </w:rPr>
            </w:pPr>
          </w:p>
        </w:tc>
      </w:tr>
      <w:tr w:rsidR="00D71D1D" w:rsidRPr="00702882" w14:paraId="7786FB14" w14:textId="77777777" w:rsidTr="00AE6820">
        <w:trPr>
          <w:jc w:val="center"/>
        </w:trPr>
        <w:tc>
          <w:tcPr>
            <w:tcW w:w="583" w:type="dxa"/>
            <w:vAlign w:val="center"/>
          </w:tcPr>
          <w:p w14:paraId="04D520E0" w14:textId="77777777" w:rsidR="00AF6702" w:rsidRPr="00702882" w:rsidRDefault="00AF6702" w:rsidP="00AD1954">
            <w:pPr>
              <w:rPr>
                <w:b/>
                <w:bCs/>
                <w:sz w:val="22"/>
                <w:szCs w:val="22"/>
              </w:rPr>
            </w:pPr>
            <w:r w:rsidRPr="00702882">
              <w:rPr>
                <w:sz w:val="22"/>
                <w:szCs w:val="22"/>
              </w:rPr>
              <w:t>H</w:t>
            </w:r>
            <w:r w:rsidRPr="00702882">
              <w:rPr>
                <w:sz w:val="22"/>
              </w:rPr>
              <w:t>6</w:t>
            </w:r>
            <w:r w:rsidRPr="00702882">
              <w:rPr>
                <w:sz w:val="22"/>
                <w:szCs w:val="22"/>
              </w:rPr>
              <w:t>a</w:t>
            </w:r>
          </w:p>
        </w:tc>
        <w:tc>
          <w:tcPr>
            <w:tcW w:w="4520" w:type="dxa"/>
            <w:vAlign w:val="center"/>
          </w:tcPr>
          <w:p w14:paraId="7F5AE2E6" w14:textId="77777777" w:rsidR="00AF6702" w:rsidRPr="00702882" w:rsidRDefault="00AF6702" w:rsidP="00AD1954">
            <w:pPr>
              <w:rPr>
                <w:b/>
                <w:bCs/>
                <w:sz w:val="22"/>
                <w:szCs w:val="22"/>
              </w:rPr>
            </w:pPr>
            <w:r w:rsidRPr="00702882">
              <w:rPr>
                <w:b/>
                <w:bCs/>
                <w:sz w:val="22"/>
                <w:szCs w:val="22"/>
              </w:rPr>
              <w:t xml:space="preserve">High stringency of withdrawal requirements </w:t>
            </w:r>
          </w:p>
        </w:tc>
        <w:tc>
          <w:tcPr>
            <w:tcW w:w="1560" w:type="dxa"/>
          </w:tcPr>
          <w:p w14:paraId="5CBF943A" w14:textId="77777777" w:rsidR="00AF6702" w:rsidRPr="00702882" w:rsidRDefault="00AF6702" w:rsidP="00AD1954">
            <w:pPr>
              <w:jc w:val="center"/>
              <w:rPr>
                <w:sz w:val="22"/>
                <w:szCs w:val="22"/>
              </w:rPr>
            </w:pPr>
            <w:r w:rsidRPr="00702882">
              <w:rPr>
                <w:bCs/>
                <w:sz w:val="22"/>
                <w:szCs w:val="22"/>
              </w:rPr>
              <w:t>Less Negative</w:t>
            </w:r>
          </w:p>
        </w:tc>
        <w:tc>
          <w:tcPr>
            <w:tcW w:w="1417" w:type="dxa"/>
          </w:tcPr>
          <w:p w14:paraId="3CA66CE2" w14:textId="77777777" w:rsidR="00AF6702" w:rsidRPr="00702882" w:rsidRDefault="00AF6702" w:rsidP="00AD1954">
            <w:pPr>
              <w:jc w:val="center"/>
              <w:rPr>
                <w:b/>
                <w:bCs/>
                <w:sz w:val="22"/>
                <w:szCs w:val="22"/>
              </w:rPr>
            </w:pPr>
          </w:p>
        </w:tc>
        <w:tc>
          <w:tcPr>
            <w:tcW w:w="1418" w:type="dxa"/>
          </w:tcPr>
          <w:p w14:paraId="57ABDE96" w14:textId="77777777" w:rsidR="00AF6702" w:rsidRPr="00702882" w:rsidRDefault="00AF6702" w:rsidP="00AD1954">
            <w:pPr>
              <w:jc w:val="center"/>
              <w:rPr>
                <w:b/>
                <w:bCs/>
                <w:sz w:val="22"/>
                <w:szCs w:val="22"/>
              </w:rPr>
            </w:pPr>
          </w:p>
        </w:tc>
      </w:tr>
      <w:tr w:rsidR="00D71D1D" w:rsidRPr="00702882" w14:paraId="1C5F0C18" w14:textId="77777777" w:rsidTr="00AE6820">
        <w:trPr>
          <w:jc w:val="center"/>
        </w:trPr>
        <w:tc>
          <w:tcPr>
            <w:tcW w:w="583" w:type="dxa"/>
            <w:vAlign w:val="center"/>
          </w:tcPr>
          <w:p w14:paraId="105B1F43" w14:textId="77777777" w:rsidR="00AF6702" w:rsidRPr="00702882" w:rsidRDefault="00AF6702" w:rsidP="00AD1954">
            <w:pPr>
              <w:rPr>
                <w:b/>
                <w:bCs/>
                <w:sz w:val="22"/>
                <w:szCs w:val="22"/>
              </w:rPr>
            </w:pPr>
          </w:p>
        </w:tc>
        <w:tc>
          <w:tcPr>
            <w:tcW w:w="4520" w:type="dxa"/>
            <w:vAlign w:val="center"/>
          </w:tcPr>
          <w:p w14:paraId="12CAFD86" w14:textId="77777777" w:rsidR="00AF6702" w:rsidRPr="00702882" w:rsidRDefault="00AF6702" w:rsidP="00AD1954">
            <w:pPr>
              <w:rPr>
                <w:b/>
                <w:bCs/>
                <w:sz w:val="22"/>
                <w:szCs w:val="22"/>
              </w:rPr>
            </w:pPr>
            <w:r w:rsidRPr="00702882">
              <w:rPr>
                <w:sz w:val="22"/>
                <w:szCs w:val="22"/>
              </w:rPr>
              <w:t xml:space="preserve">Withdrawal tied to </w:t>
            </w:r>
            <w:r w:rsidRPr="00702882">
              <w:rPr>
                <w:rFonts w:eastAsiaTheme="minorEastAsia"/>
                <w:sz w:val="22"/>
                <w:szCs w:val="22"/>
              </w:rPr>
              <w:t xml:space="preserve">revenue </w:t>
            </w:r>
            <w:r w:rsidRPr="00702882">
              <w:rPr>
                <w:sz w:val="22"/>
                <w:szCs w:val="22"/>
              </w:rPr>
              <w:t xml:space="preserve">volatility </w:t>
            </w:r>
          </w:p>
        </w:tc>
        <w:tc>
          <w:tcPr>
            <w:tcW w:w="1560" w:type="dxa"/>
          </w:tcPr>
          <w:p w14:paraId="106CA94B" w14:textId="77777777" w:rsidR="00AF6702" w:rsidRPr="00702882" w:rsidRDefault="00AF6702" w:rsidP="00AD1954">
            <w:pPr>
              <w:jc w:val="center"/>
              <w:rPr>
                <w:b/>
                <w:bCs/>
                <w:sz w:val="22"/>
                <w:szCs w:val="22"/>
              </w:rPr>
            </w:pPr>
          </w:p>
        </w:tc>
        <w:tc>
          <w:tcPr>
            <w:tcW w:w="1417" w:type="dxa"/>
          </w:tcPr>
          <w:p w14:paraId="33A74AC9" w14:textId="77777777" w:rsidR="00AF6702" w:rsidRPr="00702882" w:rsidRDefault="00AF6702" w:rsidP="00AD1954">
            <w:pPr>
              <w:jc w:val="center"/>
              <w:rPr>
                <w:b/>
                <w:bCs/>
                <w:sz w:val="22"/>
                <w:szCs w:val="22"/>
              </w:rPr>
            </w:pPr>
          </w:p>
        </w:tc>
        <w:tc>
          <w:tcPr>
            <w:tcW w:w="1418" w:type="dxa"/>
          </w:tcPr>
          <w:p w14:paraId="33ECBEC3" w14:textId="77777777" w:rsidR="00AF6702" w:rsidRPr="00702882" w:rsidRDefault="00AF6702" w:rsidP="00AD1954">
            <w:pPr>
              <w:jc w:val="center"/>
              <w:rPr>
                <w:b/>
                <w:bCs/>
                <w:sz w:val="22"/>
                <w:szCs w:val="22"/>
              </w:rPr>
            </w:pPr>
          </w:p>
        </w:tc>
      </w:tr>
      <w:tr w:rsidR="00D71D1D" w:rsidRPr="00702882" w14:paraId="69F1B770" w14:textId="77777777" w:rsidTr="00AE6820">
        <w:trPr>
          <w:jc w:val="center"/>
        </w:trPr>
        <w:tc>
          <w:tcPr>
            <w:tcW w:w="583" w:type="dxa"/>
            <w:vAlign w:val="center"/>
          </w:tcPr>
          <w:p w14:paraId="055FB29D" w14:textId="77777777" w:rsidR="00AF6702" w:rsidRPr="00702882" w:rsidRDefault="00AF6702" w:rsidP="00AD1954">
            <w:pPr>
              <w:rPr>
                <w:b/>
                <w:bCs/>
                <w:sz w:val="22"/>
                <w:szCs w:val="22"/>
              </w:rPr>
            </w:pPr>
          </w:p>
        </w:tc>
        <w:tc>
          <w:tcPr>
            <w:tcW w:w="4520" w:type="dxa"/>
            <w:vAlign w:val="center"/>
          </w:tcPr>
          <w:p w14:paraId="4353E5DC" w14:textId="77777777" w:rsidR="00AF6702" w:rsidRPr="00702882" w:rsidRDefault="00AF6702" w:rsidP="00AD1954">
            <w:pPr>
              <w:rPr>
                <w:b/>
                <w:bCs/>
                <w:sz w:val="22"/>
                <w:szCs w:val="22"/>
              </w:rPr>
            </w:pPr>
            <w:r w:rsidRPr="00702882">
              <w:rPr>
                <w:sz w:val="22"/>
                <w:szCs w:val="22"/>
              </w:rPr>
              <w:t>Withdrawal by revenue shortfall</w:t>
            </w:r>
          </w:p>
        </w:tc>
        <w:tc>
          <w:tcPr>
            <w:tcW w:w="1560" w:type="dxa"/>
          </w:tcPr>
          <w:p w14:paraId="04A604F0" w14:textId="77777777" w:rsidR="00AF6702" w:rsidRPr="00702882" w:rsidRDefault="00AF6702" w:rsidP="00AD1954">
            <w:pPr>
              <w:jc w:val="center"/>
              <w:rPr>
                <w:b/>
                <w:bCs/>
                <w:sz w:val="22"/>
                <w:szCs w:val="22"/>
              </w:rPr>
            </w:pPr>
          </w:p>
        </w:tc>
        <w:tc>
          <w:tcPr>
            <w:tcW w:w="1417" w:type="dxa"/>
          </w:tcPr>
          <w:p w14:paraId="701820C2" w14:textId="77777777" w:rsidR="00AF6702" w:rsidRPr="00702882" w:rsidRDefault="00AF6702" w:rsidP="00AD1954">
            <w:pPr>
              <w:jc w:val="center"/>
              <w:rPr>
                <w:b/>
                <w:bCs/>
                <w:sz w:val="22"/>
                <w:szCs w:val="22"/>
              </w:rPr>
            </w:pPr>
          </w:p>
        </w:tc>
        <w:tc>
          <w:tcPr>
            <w:tcW w:w="1418" w:type="dxa"/>
          </w:tcPr>
          <w:p w14:paraId="68ADADCE" w14:textId="77777777" w:rsidR="00AF6702" w:rsidRPr="00702882" w:rsidRDefault="00AF6702" w:rsidP="00AD1954">
            <w:pPr>
              <w:jc w:val="center"/>
              <w:rPr>
                <w:b/>
                <w:bCs/>
                <w:sz w:val="22"/>
                <w:szCs w:val="22"/>
              </w:rPr>
            </w:pPr>
          </w:p>
        </w:tc>
      </w:tr>
      <w:tr w:rsidR="00D71D1D" w:rsidRPr="00702882" w14:paraId="42EA4A55" w14:textId="77777777" w:rsidTr="00AE6820">
        <w:trPr>
          <w:jc w:val="center"/>
        </w:trPr>
        <w:tc>
          <w:tcPr>
            <w:tcW w:w="583" w:type="dxa"/>
            <w:vAlign w:val="center"/>
          </w:tcPr>
          <w:p w14:paraId="6FB2CC35" w14:textId="77777777" w:rsidR="00AF6702" w:rsidRPr="00702882" w:rsidRDefault="00AF6702" w:rsidP="00AD1954">
            <w:pPr>
              <w:rPr>
                <w:b/>
                <w:bCs/>
                <w:sz w:val="22"/>
                <w:szCs w:val="22"/>
              </w:rPr>
            </w:pPr>
            <w:r w:rsidRPr="00702882">
              <w:rPr>
                <w:rFonts w:eastAsia="바탕"/>
                <w:bCs/>
                <w:sz w:val="22"/>
                <w:szCs w:val="22"/>
              </w:rPr>
              <w:t>H</w:t>
            </w:r>
            <w:r w:rsidRPr="00702882">
              <w:rPr>
                <w:rFonts w:eastAsia="바탕"/>
                <w:bCs/>
                <w:sz w:val="22"/>
              </w:rPr>
              <w:t>7</w:t>
            </w:r>
          </w:p>
        </w:tc>
        <w:tc>
          <w:tcPr>
            <w:tcW w:w="4520" w:type="dxa"/>
            <w:vAlign w:val="center"/>
          </w:tcPr>
          <w:p w14:paraId="3951073D" w14:textId="77777777" w:rsidR="00AF6702" w:rsidRPr="00702882" w:rsidRDefault="00AF6702" w:rsidP="00AD1954">
            <w:pPr>
              <w:rPr>
                <w:b/>
                <w:bCs/>
                <w:sz w:val="22"/>
                <w:szCs w:val="22"/>
              </w:rPr>
            </w:pPr>
            <w:r w:rsidRPr="00702882">
              <w:rPr>
                <w:b/>
                <w:sz w:val="22"/>
                <w:szCs w:val="22"/>
              </w:rPr>
              <w:t>High stringency of withdrawal restrictions</w:t>
            </w:r>
          </w:p>
        </w:tc>
        <w:tc>
          <w:tcPr>
            <w:tcW w:w="1560" w:type="dxa"/>
          </w:tcPr>
          <w:p w14:paraId="748F7DE8" w14:textId="77777777" w:rsidR="00AF6702" w:rsidRPr="00702882" w:rsidRDefault="00AF6702" w:rsidP="00AD1954">
            <w:pPr>
              <w:jc w:val="center"/>
              <w:rPr>
                <w:b/>
                <w:bCs/>
                <w:sz w:val="22"/>
                <w:szCs w:val="22"/>
              </w:rPr>
            </w:pPr>
            <w:r w:rsidRPr="00702882">
              <w:rPr>
                <w:bCs/>
                <w:sz w:val="22"/>
                <w:szCs w:val="22"/>
              </w:rPr>
              <w:t>Negative</w:t>
            </w:r>
          </w:p>
        </w:tc>
        <w:tc>
          <w:tcPr>
            <w:tcW w:w="1417" w:type="dxa"/>
          </w:tcPr>
          <w:p w14:paraId="3FDE29D0" w14:textId="77777777" w:rsidR="00AF6702" w:rsidRPr="00702882" w:rsidRDefault="00AF6702" w:rsidP="00AD1954">
            <w:pPr>
              <w:jc w:val="center"/>
              <w:rPr>
                <w:b/>
                <w:bCs/>
                <w:sz w:val="22"/>
                <w:szCs w:val="22"/>
              </w:rPr>
            </w:pPr>
          </w:p>
        </w:tc>
        <w:tc>
          <w:tcPr>
            <w:tcW w:w="1418" w:type="dxa"/>
          </w:tcPr>
          <w:p w14:paraId="48F6E635" w14:textId="77777777" w:rsidR="00AF6702" w:rsidRPr="00702882" w:rsidRDefault="00AF6702" w:rsidP="00AD1954">
            <w:pPr>
              <w:jc w:val="center"/>
              <w:rPr>
                <w:b/>
                <w:bCs/>
                <w:sz w:val="22"/>
                <w:szCs w:val="22"/>
              </w:rPr>
            </w:pPr>
          </w:p>
        </w:tc>
      </w:tr>
      <w:tr w:rsidR="00D71D1D" w:rsidRPr="00702882" w14:paraId="3DDFC70D" w14:textId="77777777" w:rsidTr="00AE6820">
        <w:trPr>
          <w:jc w:val="center"/>
        </w:trPr>
        <w:tc>
          <w:tcPr>
            <w:tcW w:w="583" w:type="dxa"/>
            <w:vAlign w:val="center"/>
          </w:tcPr>
          <w:p w14:paraId="313278DE" w14:textId="77777777" w:rsidR="00AF6702" w:rsidRPr="00702882" w:rsidRDefault="00AF6702" w:rsidP="00AD1954">
            <w:pPr>
              <w:rPr>
                <w:b/>
                <w:bCs/>
                <w:sz w:val="22"/>
                <w:szCs w:val="22"/>
              </w:rPr>
            </w:pPr>
          </w:p>
        </w:tc>
        <w:tc>
          <w:tcPr>
            <w:tcW w:w="4520" w:type="dxa"/>
            <w:vAlign w:val="center"/>
          </w:tcPr>
          <w:p w14:paraId="7853BC41" w14:textId="77777777" w:rsidR="00AF6702" w:rsidRPr="00702882" w:rsidRDefault="00AF6702" w:rsidP="00AD1954">
            <w:pPr>
              <w:rPr>
                <w:b/>
                <w:bCs/>
                <w:sz w:val="22"/>
                <w:szCs w:val="22"/>
              </w:rPr>
            </w:pPr>
            <w:r w:rsidRPr="00702882">
              <w:rPr>
                <w:bCs/>
                <w:sz w:val="22"/>
                <w:szCs w:val="22"/>
              </w:rPr>
              <w:t>Withdrawal limit</w:t>
            </w:r>
          </w:p>
        </w:tc>
        <w:tc>
          <w:tcPr>
            <w:tcW w:w="1560" w:type="dxa"/>
          </w:tcPr>
          <w:p w14:paraId="3F6A0120" w14:textId="77777777" w:rsidR="00AF6702" w:rsidRPr="00702882" w:rsidRDefault="00AF6702" w:rsidP="00AD1954">
            <w:pPr>
              <w:jc w:val="center"/>
              <w:rPr>
                <w:b/>
                <w:bCs/>
                <w:sz w:val="22"/>
                <w:szCs w:val="22"/>
              </w:rPr>
            </w:pPr>
          </w:p>
        </w:tc>
        <w:tc>
          <w:tcPr>
            <w:tcW w:w="1417" w:type="dxa"/>
          </w:tcPr>
          <w:p w14:paraId="60B9F7AC" w14:textId="77777777" w:rsidR="00AF6702" w:rsidRPr="00702882" w:rsidRDefault="00AF6702" w:rsidP="00AD1954">
            <w:pPr>
              <w:jc w:val="center"/>
              <w:rPr>
                <w:b/>
                <w:bCs/>
                <w:sz w:val="22"/>
                <w:szCs w:val="22"/>
              </w:rPr>
            </w:pPr>
          </w:p>
        </w:tc>
        <w:tc>
          <w:tcPr>
            <w:tcW w:w="1418" w:type="dxa"/>
          </w:tcPr>
          <w:p w14:paraId="595F7386" w14:textId="77777777" w:rsidR="00AF6702" w:rsidRPr="00702882" w:rsidRDefault="00AF6702" w:rsidP="00AD1954">
            <w:pPr>
              <w:jc w:val="center"/>
              <w:rPr>
                <w:b/>
                <w:bCs/>
                <w:sz w:val="22"/>
                <w:szCs w:val="22"/>
              </w:rPr>
            </w:pPr>
          </w:p>
        </w:tc>
      </w:tr>
      <w:tr w:rsidR="00D71D1D" w:rsidRPr="00702882" w14:paraId="45387660" w14:textId="77777777" w:rsidTr="00AE6820">
        <w:trPr>
          <w:jc w:val="center"/>
        </w:trPr>
        <w:tc>
          <w:tcPr>
            <w:tcW w:w="583" w:type="dxa"/>
            <w:vAlign w:val="center"/>
          </w:tcPr>
          <w:p w14:paraId="4CE422BA" w14:textId="77777777" w:rsidR="00AF6702" w:rsidRPr="00702882" w:rsidRDefault="00AF6702" w:rsidP="00AD1954">
            <w:pPr>
              <w:rPr>
                <w:b/>
                <w:bCs/>
                <w:sz w:val="22"/>
                <w:szCs w:val="22"/>
              </w:rPr>
            </w:pPr>
          </w:p>
        </w:tc>
        <w:tc>
          <w:tcPr>
            <w:tcW w:w="4520" w:type="dxa"/>
            <w:vAlign w:val="center"/>
          </w:tcPr>
          <w:p w14:paraId="67150DB6" w14:textId="77777777" w:rsidR="00AF6702" w:rsidRPr="00702882" w:rsidRDefault="00AF6702" w:rsidP="00AD1954">
            <w:pPr>
              <w:rPr>
                <w:bCs/>
                <w:sz w:val="22"/>
                <w:szCs w:val="22"/>
              </w:rPr>
            </w:pPr>
            <w:r w:rsidRPr="00702882">
              <w:rPr>
                <w:bCs/>
                <w:sz w:val="22"/>
                <w:szCs w:val="22"/>
              </w:rPr>
              <w:t>Repayment provision (high)</w:t>
            </w:r>
          </w:p>
        </w:tc>
        <w:tc>
          <w:tcPr>
            <w:tcW w:w="1560" w:type="dxa"/>
          </w:tcPr>
          <w:p w14:paraId="2DBBFEA6" w14:textId="77777777" w:rsidR="00AF6702" w:rsidRPr="00702882" w:rsidRDefault="00AF6702" w:rsidP="00AD1954">
            <w:pPr>
              <w:jc w:val="center"/>
              <w:rPr>
                <w:b/>
                <w:bCs/>
                <w:sz w:val="22"/>
                <w:szCs w:val="22"/>
              </w:rPr>
            </w:pPr>
          </w:p>
        </w:tc>
        <w:tc>
          <w:tcPr>
            <w:tcW w:w="1417" w:type="dxa"/>
          </w:tcPr>
          <w:p w14:paraId="2024DFA1" w14:textId="77777777" w:rsidR="00AF6702" w:rsidRPr="00702882" w:rsidRDefault="00AF6702" w:rsidP="00AD1954">
            <w:pPr>
              <w:jc w:val="center"/>
              <w:rPr>
                <w:b/>
                <w:bCs/>
                <w:sz w:val="22"/>
                <w:szCs w:val="22"/>
              </w:rPr>
            </w:pPr>
          </w:p>
        </w:tc>
        <w:tc>
          <w:tcPr>
            <w:tcW w:w="1418" w:type="dxa"/>
          </w:tcPr>
          <w:p w14:paraId="41A3D53E" w14:textId="77777777" w:rsidR="00AF6702" w:rsidRPr="00702882" w:rsidRDefault="00AF6702" w:rsidP="00AD1954">
            <w:pPr>
              <w:jc w:val="center"/>
              <w:rPr>
                <w:b/>
                <w:bCs/>
                <w:sz w:val="22"/>
                <w:szCs w:val="22"/>
              </w:rPr>
            </w:pPr>
          </w:p>
        </w:tc>
      </w:tr>
      <w:tr w:rsidR="00D71D1D" w:rsidRPr="00702882" w14:paraId="115E1A4F" w14:textId="77777777" w:rsidTr="00AE6820">
        <w:trPr>
          <w:jc w:val="center"/>
        </w:trPr>
        <w:tc>
          <w:tcPr>
            <w:tcW w:w="583" w:type="dxa"/>
            <w:vAlign w:val="center"/>
          </w:tcPr>
          <w:p w14:paraId="67FBB869" w14:textId="77777777" w:rsidR="00AF6702" w:rsidRPr="00702882" w:rsidRDefault="00AF6702" w:rsidP="00AD1954">
            <w:pPr>
              <w:rPr>
                <w:b/>
                <w:bCs/>
                <w:sz w:val="22"/>
                <w:szCs w:val="22"/>
              </w:rPr>
            </w:pPr>
            <w:r w:rsidRPr="00702882">
              <w:rPr>
                <w:rFonts w:eastAsia="바탕"/>
                <w:bCs/>
                <w:sz w:val="22"/>
                <w:szCs w:val="22"/>
              </w:rPr>
              <w:t>H</w:t>
            </w:r>
            <w:r w:rsidRPr="00702882">
              <w:rPr>
                <w:rFonts w:eastAsia="바탕"/>
                <w:bCs/>
                <w:sz w:val="22"/>
              </w:rPr>
              <w:t>7</w:t>
            </w:r>
            <w:r w:rsidRPr="00702882">
              <w:rPr>
                <w:rFonts w:eastAsia="바탕"/>
                <w:bCs/>
                <w:sz w:val="22"/>
                <w:szCs w:val="22"/>
              </w:rPr>
              <w:t>a</w:t>
            </w:r>
          </w:p>
        </w:tc>
        <w:tc>
          <w:tcPr>
            <w:tcW w:w="4520" w:type="dxa"/>
            <w:vAlign w:val="center"/>
          </w:tcPr>
          <w:p w14:paraId="3EDE9459" w14:textId="77777777" w:rsidR="00AF6702" w:rsidRPr="00702882" w:rsidRDefault="00AF6702" w:rsidP="00AD1954">
            <w:pPr>
              <w:rPr>
                <w:b/>
                <w:bCs/>
                <w:sz w:val="22"/>
                <w:szCs w:val="22"/>
              </w:rPr>
            </w:pPr>
            <w:r w:rsidRPr="00702882">
              <w:rPr>
                <w:b/>
                <w:sz w:val="22"/>
                <w:szCs w:val="22"/>
              </w:rPr>
              <w:t>High stringency of withdrawal restrictions</w:t>
            </w:r>
          </w:p>
        </w:tc>
        <w:tc>
          <w:tcPr>
            <w:tcW w:w="1560" w:type="dxa"/>
          </w:tcPr>
          <w:p w14:paraId="7BEDEC00" w14:textId="77777777" w:rsidR="00AF6702" w:rsidRPr="00702882" w:rsidRDefault="00AF6702" w:rsidP="00AD1954">
            <w:pPr>
              <w:jc w:val="center"/>
              <w:rPr>
                <w:sz w:val="22"/>
                <w:szCs w:val="22"/>
              </w:rPr>
            </w:pPr>
            <w:r w:rsidRPr="00702882">
              <w:rPr>
                <w:bCs/>
                <w:sz w:val="22"/>
              </w:rPr>
              <w:t>More</w:t>
            </w:r>
            <w:r w:rsidRPr="00702882">
              <w:rPr>
                <w:bCs/>
                <w:sz w:val="22"/>
                <w:szCs w:val="22"/>
              </w:rPr>
              <w:t xml:space="preserve"> Negative</w:t>
            </w:r>
          </w:p>
        </w:tc>
        <w:tc>
          <w:tcPr>
            <w:tcW w:w="1417" w:type="dxa"/>
          </w:tcPr>
          <w:p w14:paraId="7183BBC0" w14:textId="77777777" w:rsidR="00AF6702" w:rsidRPr="00702882" w:rsidRDefault="00AF6702" w:rsidP="00AD1954">
            <w:pPr>
              <w:jc w:val="center"/>
              <w:rPr>
                <w:b/>
                <w:bCs/>
                <w:sz w:val="22"/>
                <w:szCs w:val="22"/>
              </w:rPr>
            </w:pPr>
          </w:p>
        </w:tc>
        <w:tc>
          <w:tcPr>
            <w:tcW w:w="1418" w:type="dxa"/>
          </w:tcPr>
          <w:p w14:paraId="65C6A969" w14:textId="77777777" w:rsidR="00AF6702" w:rsidRPr="00702882" w:rsidRDefault="00AF6702" w:rsidP="00AD1954">
            <w:pPr>
              <w:jc w:val="center"/>
              <w:rPr>
                <w:b/>
                <w:bCs/>
                <w:sz w:val="22"/>
                <w:szCs w:val="22"/>
              </w:rPr>
            </w:pPr>
          </w:p>
        </w:tc>
      </w:tr>
      <w:tr w:rsidR="00D71D1D" w:rsidRPr="00702882" w14:paraId="66BB0B6A" w14:textId="77777777" w:rsidTr="00AE6820">
        <w:trPr>
          <w:jc w:val="center"/>
        </w:trPr>
        <w:tc>
          <w:tcPr>
            <w:tcW w:w="583" w:type="dxa"/>
            <w:vAlign w:val="center"/>
          </w:tcPr>
          <w:p w14:paraId="6223F129" w14:textId="77777777" w:rsidR="00AF6702" w:rsidRPr="00702882" w:rsidRDefault="00AF6702" w:rsidP="00AD1954">
            <w:pPr>
              <w:rPr>
                <w:b/>
                <w:bCs/>
                <w:sz w:val="22"/>
                <w:szCs w:val="22"/>
              </w:rPr>
            </w:pPr>
          </w:p>
        </w:tc>
        <w:tc>
          <w:tcPr>
            <w:tcW w:w="4520" w:type="dxa"/>
            <w:vAlign w:val="center"/>
          </w:tcPr>
          <w:p w14:paraId="17E78F08" w14:textId="77777777" w:rsidR="00AF6702" w:rsidRPr="00702882" w:rsidRDefault="00AF6702" w:rsidP="00AD1954">
            <w:pPr>
              <w:rPr>
                <w:b/>
                <w:bCs/>
                <w:sz w:val="22"/>
                <w:szCs w:val="22"/>
              </w:rPr>
            </w:pPr>
            <w:r w:rsidRPr="00702882">
              <w:rPr>
                <w:bCs/>
                <w:sz w:val="22"/>
                <w:szCs w:val="22"/>
              </w:rPr>
              <w:t>Withdrawal limit</w:t>
            </w:r>
          </w:p>
        </w:tc>
        <w:tc>
          <w:tcPr>
            <w:tcW w:w="1560" w:type="dxa"/>
          </w:tcPr>
          <w:p w14:paraId="2966F748" w14:textId="77777777" w:rsidR="00AF6702" w:rsidRPr="00702882" w:rsidRDefault="00AF6702" w:rsidP="00AD1954">
            <w:pPr>
              <w:jc w:val="center"/>
              <w:rPr>
                <w:b/>
                <w:bCs/>
                <w:sz w:val="22"/>
                <w:szCs w:val="22"/>
              </w:rPr>
            </w:pPr>
          </w:p>
        </w:tc>
        <w:tc>
          <w:tcPr>
            <w:tcW w:w="1417" w:type="dxa"/>
          </w:tcPr>
          <w:p w14:paraId="6E2942AB" w14:textId="77777777" w:rsidR="00AF6702" w:rsidRPr="00702882" w:rsidRDefault="00AF6702" w:rsidP="00AD1954">
            <w:pPr>
              <w:jc w:val="center"/>
              <w:rPr>
                <w:b/>
                <w:bCs/>
                <w:sz w:val="22"/>
                <w:szCs w:val="22"/>
              </w:rPr>
            </w:pPr>
          </w:p>
        </w:tc>
        <w:tc>
          <w:tcPr>
            <w:tcW w:w="1418" w:type="dxa"/>
          </w:tcPr>
          <w:p w14:paraId="3FEF9F32" w14:textId="77777777" w:rsidR="00AF6702" w:rsidRPr="00702882" w:rsidRDefault="00AF6702" w:rsidP="00AD1954">
            <w:pPr>
              <w:jc w:val="center"/>
              <w:rPr>
                <w:b/>
                <w:bCs/>
                <w:sz w:val="22"/>
                <w:szCs w:val="22"/>
              </w:rPr>
            </w:pPr>
          </w:p>
        </w:tc>
      </w:tr>
      <w:tr w:rsidR="00D71D1D" w:rsidRPr="00702882" w14:paraId="0CB25B38" w14:textId="77777777" w:rsidTr="00AE6820">
        <w:trPr>
          <w:jc w:val="center"/>
        </w:trPr>
        <w:tc>
          <w:tcPr>
            <w:tcW w:w="583" w:type="dxa"/>
            <w:vAlign w:val="center"/>
          </w:tcPr>
          <w:p w14:paraId="30B1E1F0" w14:textId="77777777" w:rsidR="00AF6702" w:rsidRPr="00702882" w:rsidRDefault="00AF6702" w:rsidP="00AD1954">
            <w:pPr>
              <w:rPr>
                <w:b/>
                <w:bCs/>
                <w:sz w:val="22"/>
                <w:szCs w:val="22"/>
              </w:rPr>
            </w:pPr>
          </w:p>
        </w:tc>
        <w:tc>
          <w:tcPr>
            <w:tcW w:w="4520" w:type="dxa"/>
            <w:vAlign w:val="center"/>
          </w:tcPr>
          <w:p w14:paraId="33357467" w14:textId="77777777" w:rsidR="00AF6702" w:rsidRPr="00702882" w:rsidRDefault="00AF6702" w:rsidP="00AD1954">
            <w:pPr>
              <w:rPr>
                <w:bCs/>
                <w:sz w:val="22"/>
                <w:szCs w:val="22"/>
              </w:rPr>
            </w:pPr>
            <w:r w:rsidRPr="00702882">
              <w:rPr>
                <w:bCs/>
                <w:sz w:val="22"/>
                <w:szCs w:val="22"/>
              </w:rPr>
              <w:t>Repayment provision (high)</w:t>
            </w:r>
          </w:p>
        </w:tc>
        <w:tc>
          <w:tcPr>
            <w:tcW w:w="1560" w:type="dxa"/>
          </w:tcPr>
          <w:p w14:paraId="24BF6072" w14:textId="77777777" w:rsidR="00AF6702" w:rsidRPr="00702882" w:rsidRDefault="00AF6702" w:rsidP="00AD1954">
            <w:pPr>
              <w:jc w:val="center"/>
              <w:rPr>
                <w:b/>
                <w:bCs/>
                <w:sz w:val="22"/>
                <w:szCs w:val="22"/>
              </w:rPr>
            </w:pPr>
          </w:p>
        </w:tc>
        <w:tc>
          <w:tcPr>
            <w:tcW w:w="1417" w:type="dxa"/>
          </w:tcPr>
          <w:p w14:paraId="5CE3C4C3" w14:textId="77777777" w:rsidR="00AF6702" w:rsidRPr="00702882" w:rsidRDefault="00AF6702" w:rsidP="00AD1954">
            <w:pPr>
              <w:jc w:val="center"/>
              <w:rPr>
                <w:b/>
                <w:bCs/>
                <w:sz w:val="22"/>
                <w:szCs w:val="22"/>
              </w:rPr>
            </w:pPr>
          </w:p>
        </w:tc>
        <w:tc>
          <w:tcPr>
            <w:tcW w:w="1418" w:type="dxa"/>
          </w:tcPr>
          <w:p w14:paraId="29005464" w14:textId="77777777" w:rsidR="00AF6702" w:rsidRPr="00702882" w:rsidRDefault="00AF6702" w:rsidP="00AD1954">
            <w:pPr>
              <w:jc w:val="center"/>
              <w:rPr>
                <w:b/>
                <w:bCs/>
                <w:sz w:val="22"/>
                <w:szCs w:val="22"/>
              </w:rPr>
            </w:pPr>
          </w:p>
        </w:tc>
      </w:tr>
      <w:tr w:rsidR="00D71D1D" w:rsidRPr="00702882" w14:paraId="0AD8919B" w14:textId="77777777" w:rsidTr="00AE6820">
        <w:trPr>
          <w:jc w:val="center"/>
        </w:trPr>
        <w:tc>
          <w:tcPr>
            <w:tcW w:w="583" w:type="dxa"/>
            <w:vAlign w:val="center"/>
          </w:tcPr>
          <w:p w14:paraId="7009969E" w14:textId="77777777" w:rsidR="00AF6702" w:rsidRPr="00702882" w:rsidRDefault="00AF6702" w:rsidP="00AD1954">
            <w:pPr>
              <w:rPr>
                <w:b/>
                <w:bCs/>
                <w:sz w:val="22"/>
                <w:szCs w:val="22"/>
              </w:rPr>
            </w:pPr>
            <w:r w:rsidRPr="00702882">
              <w:rPr>
                <w:bCs/>
                <w:sz w:val="22"/>
                <w:szCs w:val="22"/>
              </w:rPr>
              <w:t>H</w:t>
            </w:r>
            <w:r w:rsidRPr="00702882">
              <w:rPr>
                <w:bCs/>
                <w:sz w:val="22"/>
              </w:rPr>
              <w:t>8</w:t>
            </w:r>
          </w:p>
        </w:tc>
        <w:tc>
          <w:tcPr>
            <w:tcW w:w="4520" w:type="dxa"/>
            <w:vAlign w:val="center"/>
          </w:tcPr>
          <w:p w14:paraId="3AE40CBB" w14:textId="77777777" w:rsidR="00AF6702" w:rsidRPr="00702882" w:rsidRDefault="00AF6702" w:rsidP="00AD1954">
            <w:pPr>
              <w:rPr>
                <w:rFonts w:eastAsiaTheme="minorEastAsia"/>
                <w:b/>
                <w:bCs/>
                <w:sz w:val="22"/>
                <w:szCs w:val="22"/>
              </w:rPr>
            </w:pPr>
            <w:r w:rsidRPr="00702882">
              <w:rPr>
                <w:rFonts w:eastAsiaTheme="minorEastAsia"/>
                <w:b/>
                <w:bCs/>
                <w:sz w:val="22"/>
                <w:szCs w:val="22"/>
              </w:rPr>
              <w:t>Budget Stabilization Fund (BSF)</w:t>
            </w:r>
          </w:p>
        </w:tc>
        <w:tc>
          <w:tcPr>
            <w:tcW w:w="1560" w:type="dxa"/>
          </w:tcPr>
          <w:p w14:paraId="59C939F9" w14:textId="77777777" w:rsidR="00AF6702" w:rsidRPr="00702882" w:rsidRDefault="00AF6702" w:rsidP="00AD1954">
            <w:pPr>
              <w:jc w:val="center"/>
              <w:rPr>
                <w:rFonts w:eastAsiaTheme="minorEastAsia"/>
                <w:sz w:val="22"/>
                <w:szCs w:val="22"/>
              </w:rPr>
            </w:pPr>
            <w:r w:rsidRPr="00702882">
              <w:rPr>
                <w:rFonts w:eastAsiaTheme="minorEastAsia"/>
                <w:sz w:val="22"/>
                <w:szCs w:val="22"/>
              </w:rPr>
              <w:t>Positive</w:t>
            </w:r>
          </w:p>
        </w:tc>
        <w:tc>
          <w:tcPr>
            <w:tcW w:w="1417" w:type="dxa"/>
          </w:tcPr>
          <w:p w14:paraId="17C1EFB5" w14:textId="77777777" w:rsidR="00AF6702" w:rsidRPr="00702882" w:rsidRDefault="00AF6702" w:rsidP="00AD1954">
            <w:pPr>
              <w:jc w:val="center"/>
              <w:rPr>
                <w:b/>
                <w:bCs/>
                <w:sz w:val="22"/>
                <w:szCs w:val="22"/>
              </w:rPr>
            </w:pPr>
            <w:r w:rsidRPr="00702882">
              <w:rPr>
                <w:b/>
                <w:bCs/>
                <w:sz w:val="22"/>
                <w:szCs w:val="22"/>
              </w:rPr>
              <w:sym w:font="Wingdings" w:char="F0FC"/>
            </w:r>
          </w:p>
        </w:tc>
        <w:tc>
          <w:tcPr>
            <w:tcW w:w="1418" w:type="dxa"/>
          </w:tcPr>
          <w:p w14:paraId="0615BBF6" w14:textId="77777777" w:rsidR="00AF6702" w:rsidRPr="00702882" w:rsidRDefault="00AF6702" w:rsidP="00AD1954">
            <w:pPr>
              <w:jc w:val="center"/>
              <w:rPr>
                <w:b/>
                <w:bCs/>
                <w:sz w:val="22"/>
                <w:szCs w:val="22"/>
              </w:rPr>
            </w:pPr>
          </w:p>
        </w:tc>
      </w:tr>
    </w:tbl>
    <w:p w14:paraId="3156947E" w14:textId="77777777" w:rsidR="00AF6702" w:rsidRPr="00702882" w:rsidRDefault="00AF6702" w:rsidP="00C66AC4">
      <w:pPr>
        <w:pStyle w:val="ad"/>
        <w:spacing w:before="0" w:beforeAutospacing="0" w:line="480" w:lineRule="auto"/>
        <w:contextualSpacing/>
        <w:rPr>
          <w:rFonts w:eastAsiaTheme="minorEastAsia"/>
          <w:color w:val="7030A0"/>
        </w:rPr>
      </w:pPr>
    </w:p>
    <w:p w14:paraId="61F5014C" w14:textId="737D18AC" w:rsidR="00194FDA" w:rsidRPr="00702882" w:rsidRDefault="00AF6702" w:rsidP="00194FDA">
      <w:pPr>
        <w:pStyle w:val="ad"/>
        <w:spacing w:before="0" w:beforeAutospacing="0" w:line="480" w:lineRule="auto"/>
        <w:ind w:firstLineChars="295" w:firstLine="708"/>
        <w:contextualSpacing/>
        <w:rPr>
          <w:rFonts w:eastAsiaTheme="minorEastAsia"/>
        </w:rPr>
      </w:pPr>
      <w:r w:rsidRPr="00702882">
        <w:rPr>
          <w:rFonts w:eastAsiaTheme="minorEastAsia"/>
        </w:rPr>
        <w:t>The empirical findings from the fixed effects and GSCM models generally do not support our hypotheses regarding the effects of deposit and withdrawal rules on GFB levels. In the fixed effects models, it is observed that only withdrawal tied to revenue volatility affects GFB levels, whereas stringent deposit rules do not demonstrate a significant impact.</w:t>
      </w:r>
      <w:r w:rsidR="00194FDA" w:rsidRPr="00702882">
        <w:rPr>
          <w:rFonts w:eastAsiaTheme="minorEastAsia"/>
        </w:rPr>
        <w:t xml:space="preserve"> Meanwhile, the presence of both withdrawal tied to revenue volatility and withdrawal limit mitigates the negative effect of withdrawal tied to revenue volatility, as indicated by the fixed effects model results.</w:t>
      </w:r>
      <w:r w:rsidR="00502C31" w:rsidRPr="00702882">
        <w:rPr>
          <w:rFonts w:eastAsiaTheme="minorEastAsia"/>
        </w:rPr>
        <w:t xml:space="preserve"> The policy implications regarding these findings will be discussed in Chapter 8.</w:t>
      </w:r>
    </w:p>
    <w:p w14:paraId="4F050B7D" w14:textId="184F5AAB" w:rsidR="00FA15DC" w:rsidRPr="00702882" w:rsidRDefault="00FA15DC" w:rsidP="00502C31">
      <w:pPr>
        <w:pStyle w:val="ad"/>
        <w:spacing w:before="0" w:beforeAutospacing="0" w:line="480" w:lineRule="auto"/>
        <w:contextualSpacing/>
        <w:rPr>
          <w:rFonts w:eastAsiaTheme="minorEastAsia"/>
        </w:rPr>
      </w:pPr>
    </w:p>
    <w:p w14:paraId="7CCDB179" w14:textId="77777777" w:rsidR="00502C31" w:rsidRPr="00702882" w:rsidRDefault="00502C31" w:rsidP="00502C31">
      <w:pPr>
        <w:pStyle w:val="ad"/>
        <w:spacing w:before="0" w:beforeAutospacing="0" w:line="480" w:lineRule="auto"/>
        <w:contextualSpacing/>
        <w:rPr>
          <w:rFonts w:eastAsiaTheme="minorEastAsia"/>
          <w:color w:val="7030A0"/>
        </w:rPr>
      </w:pPr>
    </w:p>
    <w:p w14:paraId="3CF6BAE0" w14:textId="77777777" w:rsidR="00AF6702" w:rsidRPr="00702882" w:rsidRDefault="00AF6702" w:rsidP="00C66AC4">
      <w:pPr>
        <w:spacing w:line="480" w:lineRule="auto"/>
        <w:jc w:val="center"/>
        <w:rPr>
          <w:b/>
          <w:bCs/>
        </w:rPr>
      </w:pPr>
      <w:r w:rsidRPr="00702882">
        <w:rPr>
          <w:b/>
          <w:bCs/>
        </w:rPr>
        <w:lastRenderedPageBreak/>
        <w:t>7. QUALITATIVE ANALYSIS</w:t>
      </w:r>
    </w:p>
    <w:p w14:paraId="606BF87E" w14:textId="77777777" w:rsidR="00AF6702" w:rsidRPr="00702882" w:rsidRDefault="00AF6702" w:rsidP="00C66AC4">
      <w:pPr>
        <w:spacing w:line="480" w:lineRule="auto"/>
        <w:jc w:val="center"/>
        <w:rPr>
          <w:b/>
          <w:bCs/>
        </w:rPr>
      </w:pPr>
      <w:bookmarkStart w:id="67" w:name="QUALITATIVEANALYSIS"/>
      <w:bookmarkEnd w:id="67"/>
    </w:p>
    <w:p w14:paraId="2928E0CD" w14:textId="77777777" w:rsidR="00AF6702" w:rsidRPr="00702882" w:rsidRDefault="00AF6702" w:rsidP="00C66AC4">
      <w:pPr>
        <w:spacing w:line="480" w:lineRule="auto"/>
        <w:contextualSpacing/>
        <w:rPr>
          <w:b/>
          <w:bCs/>
        </w:rPr>
      </w:pPr>
      <w:r w:rsidRPr="00702882">
        <w:rPr>
          <w:b/>
          <w:bCs/>
        </w:rPr>
        <w:t>7.1 Case Studies</w:t>
      </w:r>
      <w:bookmarkStart w:id="68" w:name="CaseStudies"/>
      <w:bookmarkEnd w:id="68"/>
    </w:p>
    <w:p w14:paraId="2044E8F3" w14:textId="57F90FF6" w:rsidR="00AF6702" w:rsidRPr="00702882" w:rsidRDefault="00AF6702" w:rsidP="00C66AC4">
      <w:pPr>
        <w:spacing w:line="480" w:lineRule="auto"/>
        <w:ind w:firstLine="720"/>
        <w:contextualSpacing/>
        <w:rPr>
          <w:rFonts w:eastAsiaTheme="minorEastAsia"/>
        </w:rPr>
      </w:pPr>
      <w:r w:rsidRPr="00702882">
        <w:t xml:space="preserve">Quantitative research can provide a “general picture of the research problem” </w:t>
      </w:r>
      <w:sdt>
        <w:sdtPr>
          <w:rPr>
            <w:color w:val="000000"/>
          </w:rPr>
          <w:tag w:val="MENDELEY_CITATION_v3_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"/>
          <w:id w:val="1887915615"/>
          <w:placeholder>
            <w:docPart w:val="0A55EE6BA3FC458DAF1AB763612E4A78"/>
          </w:placeholder>
        </w:sdtPr>
        <w:sdtContent>
          <w:r w:rsidR="00F520AD" w:rsidRPr="00F520AD">
            <w:rPr>
              <w:color w:val="000000"/>
            </w:rPr>
            <w:t>(Ivankova et al., 2007, p. 7)</w:t>
          </w:r>
        </w:sdtContent>
      </w:sdt>
      <w:r w:rsidRPr="00702882">
        <w:t xml:space="preserve"> because it collects data from a large number of cases to support generalizations </w:t>
      </w:r>
      <w:sdt>
        <w:sdtPr>
          <w:rPr>
            <w:color w:val="000000"/>
          </w:rPr>
          <w:tag w:val="MENDELEY_CITATION_v3_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"/>
          <w:id w:val="-5133944"/>
          <w:placeholder>
            <w:docPart w:val="0A55EE6BA3FC458DAF1AB763612E4A78"/>
          </w:placeholder>
        </w:sdtPr>
        <w:sdtContent>
          <w:r w:rsidR="00F520AD" w:rsidRPr="00F520AD">
            <w:rPr>
              <w:color w:val="000000"/>
            </w:rPr>
            <w:t>(Coppedge, 1997)</w:t>
          </w:r>
        </w:sdtContent>
      </w:sdt>
      <w:r w:rsidRPr="00702882">
        <w:t xml:space="preserve">. However, quantitative research has its weaknesses. First, quantitative research runs the risk of “conceptual stretching,” in which dissimilar cases are grouped together into the same variable to obtain a larger sample </w:t>
      </w:r>
      <w:sdt>
        <w:sdtPr>
          <w:tag w:val="MENDELEY_CITATION_v3_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"/>
          <w:id w:val="105321163"/>
          <w:placeholder>
            <w:docPart w:val="4BE6AE1A6C9946E5B18D26611911A9FB"/>
          </w:placeholder>
        </w:sdtPr>
        <w:sdtContent>
          <w:r w:rsidR="00F520AD">
            <w:t>(George &amp; Bennett, 2005, p. 19)</w:t>
          </w:r>
        </w:sdtContent>
      </w:sdt>
      <w:r w:rsidRPr="00702882">
        <w:t>. Second, quantitative research cannot account for</w:t>
      </w:r>
      <w:r w:rsidR="00435C11" w:rsidRPr="00702882">
        <w:rPr>
          <w:rFonts w:eastAsiaTheme="minorEastAsia"/>
        </w:rPr>
        <w:t xml:space="preserve"> </w:t>
      </w:r>
      <w:r w:rsidR="00435C11" w:rsidRPr="00702882">
        <w:t>"contextual factors" beyond those explicitly captured within the variables being measured</w:t>
      </w:r>
      <w:r w:rsidR="00435C11" w:rsidRPr="00702882">
        <w:rPr>
          <w:rFonts w:eastAsiaTheme="minorEastAsia"/>
        </w:rPr>
        <w:t xml:space="preserve"> </w:t>
      </w:r>
      <w:sdt>
        <w:sdtPr>
          <w:rPr>
            <w:color w:val="000000"/>
          </w:rPr>
          <w:tag w:val="MENDELEY_CITATION_v3_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"/>
          <w:id w:val="-705495440"/>
          <w:placeholder>
            <w:docPart w:val="0A55EE6BA3FC458DAF1AB763612E4A78"/>
          </w:placeholder>
        </w:sdtPr>
        <w:sdtContent>
          <w:r w:rsidR="00F520AD" w:rsidRPr="00F520AD">
            <w:rPr>
              <w:color w:val="000000"/>
            </w:rPr>
            <w:t>(Starman, 2013, p. 37)</w:t>
          </w:r>
        </w:sdtContent>
      </w:sdt>
      <w:r w:rsidRPr="00702882">
        <w:t>. Some variables, such as norms or organizational culture, are hard to measure. I conduct qualitative case studies to address quantitative method weaknesses, serving three distinct purposes.</w:t>
      </w:r>
    </w:p>
    <w:p w14:paraId="0EA968E7" w14:textId="77777777" w:rsidR="00AF6702" w:rsidRPr="00702882" w:rsidRDefault="00AF6702" w:rsidP="00C66AC4">
      <w:pPr>
        <w:spacing w:line="480" w:lineRule="auto"/>
        <w:ind w:firstLine="720"/>
        <w:contextualSpacing/>
      </w:pPr>
      <w:r w:rsidRPr="00702882">
        <w:rPr>
          <w:rFonts w:eastAsia="바탕"/>
        </w:rPr>
        <w:t>The first objective is to provide a detailed elucidation of how causal mechanisms operate in individual cases. While the characteristics of Budget Stabilization Funds are quantified and coded for regression analysis, the BSF rules themselves do not inherently reveal whether states adhere to BSF deposit and withdrawal requirements. Case studies aid in enhancing our comprehension of the contextual factors within states and in identifying any disparities between the stipulated BSF rules and their actual implementation. The second objective is to unravel complex causal relationships and intricate interactions among various BSF rules, when states have undergone multiple changes to their BSF structures within a similar timeframe. In these scenarios, case studies allow us to disentangle the intricate web of causal connections, tracking individual developments.</w:t>
      </w:r>
    </w:p>
    <w:p w14:paraId="142A295B" w14:textId="64C2EC8F" w:rsidR="00AF6702" w:rsidRPr="00702882" w:rsidRDefault="00AF6702" w:rsidP="00C66AC4">
      <w:pPr>
        <w:spacing w:line="480" w:lineRule="auto"/>
        <w:ind w:firstLine="720"/>
        <w:contextualSpacing/>
        <w:rPr>
          <w:color w:val="7030A0"/>
        </w:rPr>
      </w:pPr>
      <w:r w:rsidRPr="00702882">
        <w:rPr>
          <w:rFonts w:eastAsia="바탕"/>
        </w:rPr>
        <w:t xml:space="preserve">The third aim of these case studies is to elucidate or complement the statistical results </w:t>
      </w:r>
      <w:sdt>
        <w:sdtPr>
          <w:rPr>
            <w:color w:val="000000"/>
          </w:rPr>
          <w:tag w:val="MENDELEY_CITATION_v3_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"/>
          <w:id w:val="-2039886377"/>
          <w:placeholder>
            <w:docPart w:val="F282B8CD996040B693C087C93C53AE35"/>
          </w:placeholder>
        </w:sdtPr>
        <w:sdtContent>
          <w:r w:rsidR="00F520AD" w:rsidRPr="00F520AD">
            <w:rPr>
              <w:color w:val="000000"/>
            </w:rPr>
            <w:t>(Bowen, 2009)</w:t>
          </w:r>
        </w:sdtContent>
      </w:sdt>
      <w:r w:rsidRPr="00702882">
        <w:t xml:space="preserve">. </w:t>
      </w:r>
      <w:r w:rsidRPr="00702882">
        <w:rPr>
          <w:rFonts w:eastAsia="바탕"/>
        </w:rPr>
        <w:t xml:space="preserve">As previously discussed, notable discrepancies exist between the results </w:t>
      </w:r>
      <w:r w:rsidRPr="00702882">
        <w:rPr>
          <w:rFonts w:eastAsia="바탕"/>
        </w:rPr>
        <w:lastRenderedPageBreak/>
        <w:t xml:space="preserve">derived from fixed effects models and GSCM concerning specific deposit and withdrawal rules. </w:t>
      </w:r>
      <w:r w:rsidRPr="00702882">
        <w:t xml:space="preserve">Employing case studies serves to illuminate these disparities in the results of these two modeling methodologies and facilitates the identification of the impacts of policy interventions on fiscal reserves </w:t>
      </w:r>
      <w:sdt>
        <w:sdtPr>
          <w:rPr>
            <w:color w:val="000000"/>
          </w:rPr>
          <w:tag w:val="MENDELEY_CITATION_v3_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"/>
          <w:id w:val="-1448461171"/>
          <w:placeholder>
            <w:docPart w:val="156B8C88E1A2445E974B40D160E2DC0B"/>
          </w:placeholder>
        </w:sdtPr>
        <w:sdtContent>
          <w:r w:rsidR="00F520AD" w:rsidRPr="00F520AD">
            <w:rPr>
              <w:color w:val="000000"/>
            </w:rPr>
            <w:t>(Abadie et al., 2010)</w:t>
          </w:r>
        </w:sdtContent>
      </w:sdt>
      <w:r w:rsidRPr="00702882">
        <w:t>. Case studies provide qualitative insights into real-world contexts, data peculiarities, and unique dynamics contributing to divergent model outcomes. They bridge the gap between statistical analysis and practical insights, enhancing research robustness and applicability.</w:t>
      </w:r>
    </w:p>
    <w:p w14:paraId="30814DD1" w14:textId="77777777" w:rsidR="00AF6702" w:rsidRPr="00702882" w:rsidRDefault="00AF6702" w:rsidP="00C66AC4">
      <w:pPr>
        <w:spacing w:line="480" w:lineRule="auto"/>
        <w:rPr>
          <w:b/>
          <w:bCs/>
          <w:color w:val="7030A0"/>
        </w:rPr>
      </w:pPr>
    </w:p>
    <w:p w14:paraId="6B9328E2" w14:textId="77777777" w:rsidR="00AF6702" w:rsidRPr="00702882" w:rsidRDefault="00AF6702" w:rsidP="00C66AC4">
      <w:pPr>
        <w:spacing w:line="480" w:lineRule="auto"/>
        <w:rPr>
          <w:b/>
          <w:bCs/>
        </w:rPr>
      </w:pPr>
      <w:r w:rsidRPr="00702882">
        <w:rPr>
          <w:b/>
          <w:bCs/>
        </w:rPr>
        <w:t>7.2 Document Analysis</w:t>
      </w:r>
      <w:bookmarkStart w:id="69" w:name="DocumentAnalysis"/>
      <w:bookmarkEnd w:id="69"/>
    </w:p>
    <w:p w14:paraId="07945DC4" w14:textId="61936EC5" w:rsidR="00AF6702" w:rsidRPr="00702882" w:rsidRDefault="00AF6702" w:rsidP="00C66AC4">
      <w:pPr>
        <w:spacing w:line="480" w:lineRule="auto"/>
        <w:ind w:firstLine="720"/>
      </w:pPr>
      <w:r w:rsidRPr="00702882">
        <w:t xml:space="preserve">For the case studies, the document analysis is used to collect and analyze the text data on </w:t>
      </w:r>
      <w:r w:rsidRPr="00702882">
        <w:rPr>
          <w:i/>
          <w:iCs/>
        </w:rPr>
        <w:t>1) BSF structural features, 2) fiscal conditions and fiscal practices (e.g., compliance with BSF deposit and withdrawal requirements and balanced budget requirements), and 3) political and fiscal context</w:t>
      </w:r>
      <w:r w:rsidRPr="00702882">
        <w:t xml:space="preserve"> to understand policy actions of state governments.</w:t>
      </w:r>
      <w:r w:rsidRPr="00702882">
        <w:rPr>
          <w:rFonts w:eastAsia="바탕"/>
        </w:rPr>
        <w:t xml:space="preserve"> </w:t>
      </w:r>
      <w:r w:rsidRPr="00702882">
        <w:t xml:space="preserve">Document analysis refers to reviewing documents and interpreting data to understand and develop empirical knowledge </w:t>
      </w:r>
      <w:sdt>
        <w:sdtPr>
          <w:tag w:val="MENDELEY_CITATION_v3_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"/>
          <w:id w:val="-140196300"/>
          <w:placeholder>
            <w:docPart w:val="37BC9146280544ADBE68FFAB9D107FF5"/>
          </w:placeholder>
        </w:sdtPr>
        <w:sdtContent>
          <w:r w:rsidR="00F520AD">
            <w:t>(Roller &amp; Lavrakas, 2015)</w:t>
          </w:r>
        </w:sdtContent>
      </w:sdt>
      <w:r w:rsidRPr="00702882">
        <w:t xml:space="preserve">. As a research method, document analysis helps the researcher understand meaning and uncover insights relevant to the research problem </w:t>
      </w:r>
      <w:sdt>
        <w:sdtPr>
          <w:rPr>
            <w:color w:val="000000"/>
          </w:rPr>
          <w:tag w:val="MENDELEY_CITATION_v3_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"/>
          <w:id w:val="236293578"/>
          <w:placeholder>
            <w:docPart w:val="8F71D5EBA2514337A9EC45B484995693"/>
          </w:placeholder>
        </w:sdtPr>
        <w:sdtContent>
          <w:r w:rsidR="00F520AD" w:rsidRPr="00F520AD">
            <w:rPr>
              <w:color w:val="000000"/>
            </w:rPr>
            <w:t>(Merriam, 2009)</w:t>
          </w:r>
        </w:sdtContent>
      </w:sdt>
      <w:r w:rsidRPr="00702882">
        <w:t xml:space="preserve">. It can generate “rich descriptions of a single phenomenon, event, organization, or program” </w:t>
      </w:r>
      <w:sdt>
        <w:sdtPr>
          <w:rPr>
            <w:color w:val="000000"/>
          </w:rPr>
          <w:tag w:val="MENDELEY_CITATION_v3_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"/>
          <w:id w:val="-773629306"/>
          <w:placeholder>
            <w:docPart w:val="8F71D5EBA2514337A9EC45B484995693"/>
          </w:placeholder>
        </w:sdtPr>
        <w:sdtContent>
          <w:r w:rsidR="00F520AD" w:rsidRPr="00F520AD">
            <w:rPr>
              <w:color w:val="000000"/>
            </w:rPr>
            <w:t>(Bowen, 2009, p. 29)</w:t>
          </w:r>
        </w:sdtContent>
      </w:sdt>
      <w:r w:rsidRPr="00702882">
        <w:t xml:space="preserve">. </w:t>
      </w:r>
    </w:p>
    <w:p w14:paraId="61DDDED3" w14:textId="703EA5B5" w:rsidR="00AF6702" w:rsidRPr="008744F5" w:rsidRDefault="00AF6702" w:rsidP="00C66AC4">
      <w:pPr>
        <w:spacing w:line="480" w:lineRule="auto"/>
        <w:ind w:firstLine="720"/>
      </w:pPr>
      <w:r w:rsidRPr="00702882">
        <w:t>Documents, which I reviewed, include state statutes, local newspapers, professional and government watchdog organizations’ reports, and state budget documents. First of all, I reviewed the legal documents</w:t>
      </w:r>
      <w:r w:rsidRPr="00702882">
        <w:rPr>
          <w:i/>
          <w:iCs/>
        </w:rPr>
        <w:t xml:space="preserve"> </w:t>
      </w:r>
      <w:r w:rsidRPr="00702882">
        <w:t>on BSF structural features and describe how selected states’ BSF characteristics differ from other states. Second, I reviewed state budget documents</w:t>
      </w:r>
      <w:r w:rsidRPr="00702882">
        <w:rPr>
          <w:i/>
          <w:iCs/>
        </w:rPr>
        <w:t xml:space="preserve"> </w:t>
      </w:r>
      <w:r w:rsidRPr="00702882">
        <w:t xml:space="preserve">(e.g., Annual Comprehensive Financial Reports and Budget Books) to understand selected states’ financial management practices, specifically their adherence with deposit and withdrawal </w:t>
      </w:r>
      <w:r w:rsidRPr="00702882">
        <w:lastRenderedPageBreak/>
        <w:t xml:space="preserve">requirements and reliance on fiscal reserves to adjust budgets. </w:t>
      </w:r>
      <w:r w:rsidRPr="008744F5">
        <w:t>Local newspapers and watchdog organizations’ reports w</w:t>
      </w:r>
      <w:r w:rsidR="00D048D6" w:rsidRPr="008744F5">
        <w:rPr>
          <w:rFonts w:eastAsiaTheme="minorEastAsia" w:hint="eastAsia"/>
        </w:rPr>
        <w:t>ere</w:t>
      </w:r>
      <w:r w:rsidRPr="008744F5">
        <w:t xml:space="preserve"> reviewed to understand financial management practices and state politics (e.g.,</w:t>
      </w:r>
      <w:r w:rsidR="00D048D6" w:rsidRPr="008744F5">
        <w:rPr>
          <w:rFonts w:eastAsiaTheme="minorEastAsia" w:hint="eastAsia"/>
        </w:rPr>
        <w:t xml:space="preserve"> the</w:t>
      </w:r>
      <w:r w:rsidRPr="008744F5">
        <w:t xml:space="preserve"> relationship between the executive and the legislative branches). </w:t>
      </w:r>
    </w:p>
    <w:p w14:paraId="17BA2E74" w14:textId="5C0E726A" w:rsidR="00AF6702" w:rsidRPr="00702882" w:rsidRDefault="00AF6702" w:rsidP="00C66AC4">
      <w:pPr>
        <w:spacing w:line="480" w:lineRule="auto"/>
        <w:ind w:firstLine="720"/>
        <w:rPr>
          <w:rFonts w:eastAsia="바탕"/>
        </w:rPr>
      </w:pPr>
      <w:r w:rsidRPr="00702882">
        <w:t xml:space="preserve">These documents not only produce research data, but also help verify findings or help corroborate evidence from other sources </w:t>
      </w:r>
      <w:sdt>
        <w:sdtPr>
          <w:rPr>
            <w:color w:val="000000"/>
          </w:rPr>
          <w:tag w:val="MENDELEY_CITATION_v3_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"/>
          <w:id w:val="-365064091"/>
          <w:placeholder>
            <w:docPart w:val="0E900B9261764E57887BB9C383A3C06A"/>
          </w:placeholder>
        </w:sdtPr>
        <w:sdtContent>
          <w:r w:rsidR="00F520AD" w:rsidRPr="00F520AD">
            <w:rPr>
              <w:color w:val="000000"/>
            </w:rPr>
            <w:t>(Bowen, 2009)</w:t>
          </w:r>
        </w:sdtContent>
      </w:sdt>
      <w:r w:rsidRPr="00702882">
        <w:t>. Data analysis involves providing a detailed explanation of BSF deposit and withdrawal rules and states’ fiscal and political context. To validate the findings, I combine different sources of information (e.g., document analysis and regression analysis results) for “triangulation,” referring to</w:t>
      </w:r>
      <w:r w:rsidRPr="00702882">
        <w:rPr>
          <w:rFonts w:eastAsia="바탕"/>
        </w:rPr>
        <w:t xml:space="preserve"> the combination of methodologies in the study of the same phenomenon </w:t>
      </w:r>
      <w:sdt>
        <w:sdtPr>
          <w:rPr>
            <w:rFonts w:eastAsia="바탕"/>
          </w:rPr>
          <w:tag w:val="MENDELEY_CITATION_v3_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"/>
          <w:id w:val="682940922"/>
          <w:placeholder>
            <w:docPart w:val="F6716BC7E8174DF6A2C6BB6C5B2BFE2F"/>
          </w:placeholder>
        </w:sdtPr>
        <w:sdtContent>
          <w:r w:rsidR="00F520AD">
            <w:t>(Bowen, 2009; Corbin &amp; Strauss, 2012)</w:t>
          </w:r>
        </w:sdtContent>
      </w:sdt>
      <w:r w:rsidRPr="00702882">
        <w:rPr>
          <w:rFonts w:eastAsia="바탕"/>
        </w:rPr>
        <w:t xml:space="preserve">, and compare the results of quantitative and qualitative research. The use of multiple sources of data and methods reduces potential biases, thereby increasing the credibility of the findings </w:t>
      </w:r>
      <w:sdt>
        <w:sdtPr>
          <w:rPr>
            <w:rFonts w:eastAsia="바탕"/>
            <w:color w:val="000000"/>
          </w:rPr>
          <w:tag w:val="MENDELEY_CITATION_v3_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"/>
          <w:id w:val="1512576488"/>
          <w:placeholder>
            <w:docPart w:val="7B918028E1594B2BAB368825F7878899"/>
          </w:placeholder>
        </w:sdtPr>
        <w:sdtContent>
          <w:r w:rsidR="00F520AD" w:rsidRPr="00F520AD">
            <w:rPr>
              <w:rFonts w:eastAsia="바탕"/>
              <w:color w:val="000000"/>
            </w:rPr>
            <w:t>(Eisner, 1991)</w:t>
          </w:r>
        </w:sdtContent>
      </w:sdt>
      <w:r w:rsidRPr="00702882">
        <w:rPr>
          <w:rFonts w:eastAsia="바탕"/>
        </w:rPr>
        <w:t xml:space="preserve">. </w:t>
      </w:r>
    </w:p>
    <w:p w14:paraId="441F1729" w14:textId="77777777" w:rsidR="00AF6702" w:rsidRPr="00702882" w:rsidRDefault="00AF6702" w:rsidP="00C66AC4">
      <w:pPr>
        <w:spacing w:line="480" w:lineRule="auto"/>
        <w:rPr>
          <w:rFonts w:eastAsia="바탕"/>
          <w:color w:val="7030A0"/>
        </w:rPr>
      </w:pPr>
    </w:p>
    <w:p w14:paraId="77C862B9" w14:textId="77777777" w:rsidR="00AF6702" w:rsidRPr="00702882" w:rsidRDefault="00AF6702" w:rsidP="00C66AC4">
      <w:pPr>
        <w:spacing w:line="480" w:lineRule="auto"/>
        <w:contextualSpacing/>
        <w:rPr>
          <w:b/>
          <w:bCs/>
        </w:rPr>
      </w:pPr>
      <w:r w:rsidRPr="00702882">
        <w:rPr>
          <w:b/>
          <w:bCs/>
        </w:rPr>
        <w:t>7.3 Deposit Tied to Revenue Volatility</w:t>
      </w:r>
      <w:bookmarkStart w:id="70" w:name="DepositTiedtoRevenueVolatility"/>
      <w:bookmarkEnd w:id="70"/>
    </w:p>
    <w:p w14:paraId="5D804373" w14:textId="25AC45CA" w:rsidR="00AF6702" w:rsidRPr="00702882" w:rsidRDefault="00AF6702" w:rsidP="00C66AC4">
      <w:pPr>
        <w:spacing w:line="480" w:lineRule="auto"/>
        <w:ind w:firstLineChars="295" w:firstLine="708"/>
        <w:contextualSpacing/>
      </w:pPr>
      <w:r w:rsidRPr="00702882">
        <w:t xml:space="preserve">As previously mentioned, it is challenging to make broad generalizations about deposit tied to revenue volatility since states employ diverse approaches to link deposits to revenue or economic conditions. These disparities cannot be adequately represented by the binary variable denoting the presence of a deposit tied to revenue volatility. Collapsing various deposit or withdrawal mechanisms into a single variable can lead to a “conceptual stretching” </w:t>
      </w:r>
      <w:sdt>
        <w:sdtPr>
          <w:tag w:val="MENDELEY_CITATION_v3_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"/>
          <w:id w:val="1954979041"/>
          <w:placeholder>
            <w:docPart w:val="E8DFEC9F68F64C2A843B6FA023994AB4"/>
          </w:placeholder>
        </w:sdtPr>
        <w:sdtContent>
          <w:r w:rsidR="00F520AD">
            <w:t>(George &amp; Bennett, 2005, p. 19)</w:t>
          </w:r>
        </w:sdtContent>
      </w:sdt>
      <w:r w:rsidRPr="00702882">
        <w:t xml:space="preserve">. </w:t>
      </w:r>
    </w:p>
    <w:p w14:paraId="1CA87084" w14:textId="77777777" w:rsidR="00AF6702" w:rsidRPr="00702882" w:rsidRDefault="00AF6702" w:rsidP="00C66AC4">
      <w:pPr>
        <w:spacing w:line="480" w:lineRule="auto"/>
        <w:ind w:firstLineChars="295" w:firstLine="708"/>
        <w:contextualSpacing/>
        <w:rPr>
          <w:rFonts w:eastAsiaTheme="minorEastAsia"/>
          <w:color w:val="7030A0"/>
        </w:rPr>
      </w:pPr>
      <w:r w:rsidRPr="00702882">
        <w:t xml:space="preserve">Despite the existence of </w:t>
      </w:r>
      <w:r w:rsidRPr="00702882">
        <w:rPr>
          <w:rFonts w:eastAsiaTheme="minorEastAsia"/>
        </w:rPr>
        <w:t>stringent</w:t>
      </w:r>
      <w:r w:rsidRPr="00702882">
        <w:t xml:space="preserve"> deposit and withdrawal regulations, some states did not effectively enforce these regulations. For example, the deposit tied to revenue volatility was either temporarily suspended or the actual implementation of the rule was obstructed due to the use of budgetary tactics. This is why the case studies focus on the practical application </w:t>
      </w:r>
      <w:r w:rsidRPr="00702882">
        <w:lastRenderedPageBreak/>
        <w:t xml:space="preserve">of the deposit/withdrawal tied to revenue volatility in certain states. Six states, including Arizona, Connecticut, Indiana, Michigan, Oklahoma (Revenue Stabilization Fund), and Virginia implemented a statutory formula that links deposit to revenue or economic volatility. </w:t>
      </w:r>
    </w:p>
    <w:p w14:paraId="0F915B3D" w14:textId="15D53552" w:rsidR="004D3BED" w:rsidRPr="00702882" w:rsidRDefault="00AF6702" w:rsidP="004E081B">
      <w:pPr>
        <w:spacing w:line="480" w:lineRule="auto"/>
        <w:ind w:firstLineChars="295" w:firstLine="708"/>
        <w:contextualSpacing/>
        <w:rPr>
          <w:rFonts w:eastAsiaTheme="minorEastAsia"/>
        </w:rPr>
      </w:pPr>
      <w:r w:rsidRPr="00702882">
        <w:t>This study</w:t>
      </w:r>
      <w:r w:rsidR="004B0CBC" w:rsidRPr="00702882">
        <w:rPr>
          <w:rFonts w:eastAsiaTheme="minorEastAsia"/>
        </w:rPr>
        <w:t xml:space="preserve"> </w:t>
      </w:r>
      <w:r w:rsidR="009E6C94" w:rsidRPr="00702882">
        <w:rPr>
          <w:rFonts w:eastAsiaTheme="minorEastAsia"/>
        </w:rPr>
        <w:t xml:space="preserve">specifically </w:t>
      </w:r>
      <w:r w:rsidRPr="00702882">
        <w:t xml:space="preserve">focuses on three out of the </w:t>
      </w:r>
      <w:r w:rsidRPr="00702882">
        <w:rPr>
          <w:rFonts w:eastAsiaTheme="minorEastAsia"/>
        </w:rPr>
        <w:t>six</w:t>
      </w:r>
      <w:r w:rsidRPr="00702882">
        <w:t xml:space="preserve"> states considered: Connecticut, Arizona, and Virginia. Among them, the Budget Reserve Fund (BRF) in Connecticut is singled out in the case study of deposit tied to revenue volatility for a distinct reason. Connecticut implemented a rule linking BRF deposit and withdrawal to revenue volatility in 2017</w:t>
      </w:r>
      <w:r w:rsidRPr="00702882">
        <w:rPr>
          <w:rFonts w:eastAsiaTheme="minorEastAsia"/>
        </w:rPr>
        <w:t xml:space="preserve"> as discussed in Section 6.4</w:t>
      </w:r>
      <w:r w:rsidRPr="00702882">
        <w:t xml:space="preserve">, unlike </w:t>
      </w:r>
      <w:r w:rsidR="004B0CBC" w:rsidRPr="00702882">
        <w:rPr>
          <w:rFonts w:eastAsiaTheme="minorEastAsia"/>
        </w:rPr>
        <w:t xml:space="preserve">other states (e.g., </w:t>
      </w:r>
      <w:r w:rsidRPr="00702882">
        <w:t>Arizona</w:t>
      </w:r>
      <w:r w:rsidR="004B0CBC" w:rsidRPr="00702882">
        <w:rPr>
          <w:rFonts w:eastAsiaTheme="minorEastAsia"/>
        </w:rPr>
        <w:t>)</w:t>
      </w:r>
      <w:r w:rsidRPr="00702882">
        <w:t xml:space="preserve"> had already adopted similar rules when they established their BSFs. By studying Connecticut’s BRF, we can effectively compare its BRF levels in the post-treatment periods to those in the pre-treatment periods. </w:t>
      </w:r>
    </w:p>
    <w:p w14:paraId="406E864E" w14:textId="77777777" w:rsidR="004E081B" w:rsidRPr="00702882" w:rsidRDefault="004E081B" w:rsidP="004E081B">
      <w:pPr>
        <w:spacing w:line="480" w:lineRule="auto"/>
        <w:ind w:firstLineChars="295" w:firstLine="708"/>
        <w:contextualSpacing/>
        <w:rPr>
          <w:rFonts w:eastAsiaTheme="minorEastAsia"/>
        </w:rPr>
      </w:pPr>
    </w:p>
    <w:p w14:paraId="54F44CE0" w14:textId="74F88791" w:rsidR="00AF6702" w:rsidRPr="00702882" w:rsidRDefault="00AF6702" w:rsidP="004E081B">
      <w:pPr>
        <w:spacing w:line="480" w:lineRule="auto"/>
        <w:jc w:val="center"/>
        <w:rPr>
          <w:rFonts w:eastAsiaTheme="minorEastAsia"/>
          <w:b/>
          <w:bCs/>
        </w:rPr>
      </w:pPr>
      <w:r w:rsidRPr="00702882">
        <w:rPr>
          <w:b/>
          <w:bCs/>
        </w:rPr>
        <w:t xml:space="preserve">Figure </w:t>
      </w:r>
      <w:r w:rsidR="007F3031" w:rsidRPr="00702882">
        <w:rPr>
          <w:rFonts w:eastAsiaTheme="minorEastAsia"/>
          <w:b/>
          <w:bCs/>
        </w:rPr>
        <w:t>11</w:t>
      </w:r>
      <w:r w:rsidRPr="00702882">
        <w:rPr>
          <w:b/>
          <w:bCs/>
        </w:rPr>
        <w:t xml:space="preserve">. </w:t>
      </w:r>
      <w:bookmarkStart w:id="71" w:name="_Hlk157343040"/>
      <w:r w:rsidRPr="00702882">
        <w:rPr>
          <w:b/>
          <w:bCs/>
        </w:rPr>
        <w:t>Trends of Budget Stabilization Funds’ Levels</w:t>
      </w:r>
      <w:bookmarkEnd w:id="71"/>
      <w:r w:rsidR="007A6F9A" w:rsidRPr="00702882">
        <w:rPr>
          <w:rFonts w:eastAsiaTheme="minorEastAsia"/>
          <w:b/>
          <w:bCs/>
        </w:rPr>
        <w:t>:</w:t>
      </w:r>
    </w:p>
    <w:p w14:paraId="28944D50" w14:textId="6B43EDCB" w:rsidR="007A6F9A" w:rsidRPr="00702882" w:rsidRDefault="007A6F9A" w:rsidP="004E081B">
      <w:pPr>
        <w:spacing w:line="480" w:lineRule="auto"/>
        <w:jc w:val="center"/>
        <w:rPr>
          <w:rFonts w:eastAsiaTheme="minorEastAsia"/>
          <w:b/>
          <w:bCs/>
        </w:rPr>
      </w:pPr>
      <w:r w:rsidRPr="00702882">
        <w:rPr>
          <w:rFonts w:eastAsiaTheme="minorEastAsia"/>
          <w:b/>
          <w:bCs/>
        </w:rPr>
        <w:t>Arizona, Connecticut, Indiana, Michigan, and Virginia</w:t>
      </w:r>
    </w:p>
    <w:p w14:paraId="3B36226A" w14:textId="77777777" w:rsidR="00AF6702" w:rsidRPr="00702882" w:rsidRDefault="00AF6702" w:rsidP="00C66AC4">
      <w:pPr>
        <w:spacing w:line="480" w:lineRule="auto"/>
        <w:contextualSpacing/>
        <w:jc w:val="center"/>
        <w:rPr>
          <w:rFonts w:eastAsiaTheme="minorEastAsia"/>
          <w:color w:val="7030A0"/>
        </w:rPr>
      </w:pPr>
      <w:r w:rsidRPr="00702882">
        <w:rPr>
          <w:noProof/>
          <w:color w:val="7030A0"/>
        </w:rPr>
        <w:drawing>
          <wp:inline distT="0" distB="0" distL="0" distR="0" wp14:anchorId="3B9D9226" wp14:editId="26FCA0BC">
            <wp:extent cx="5359264" cy="2889895"/>
            <wp:effectExtent l="0" t="0" r="13335" b="5715"/>
            <wp:docPr id="1386725216" name="차트 1">
              <a:extLst xmlns:a="http://schemas.openxmlformats.org/drawingml/2006/main">
                <a:ext uri="{FF2B5EF4-FFF2-40B4-BE49-F238E27FC236}">
                  <a16:creationId xmlns:a16="http://schemas.microsoft.com/office/drawing/2014/main" id="{9B4DF6EE-9E3A-476E-B427-F9B301113F9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17CF61E" w14:textId="77777777" w:rsidR="004E081B" w:rsidRPr="00702882" w:rsidRDefault="004E081B" w:rsidP="0078260A">
      <w:pPr>
        <w:spacing w:line="480" w:lineRule="auto"/>
        <w:contextualSpacing/>
        <w:rPr>
          <w:rFonts w:eastAsiaTheme="minorEastAsia"/>
          <w:color w:val="7030A0"/>
        </w:rPr>
      </w:pPr>
    </w:p>
    <w:p w14:paraId="2A835F5C" w14:textId="441CE37C" w:rsidR="004E081B" w:rsidRPr="00702882" w:rsidRDefault="004E081B" w:rsidP="004E081B">
      <w:pPr>
        <w:spacing w:line="480" w:lineRule="auto"/>
        <w:ind w:firstLineChars="295" w:firstLine="708"/>
        <w:contextualSpacing/>
        <w:rPr>
          <w:rFonts w:eastAsiaTheme="minorEastAsia"/>
        </w:rPr>
      </w:pPr>
      <w:r w:rsidRPr="00702882">
        <w:rPr>
          <w:rFonts w:eastAsiaTheme="minorEastAsia"/>
        </w:rPr>
        <w:lastRenderedPageBreak/>
        <w:t>Connecticut's BRF will be compared to Arizona’s Budget Stabilization Fund and Virginia’s Revenue Stabilization Fund. This is due to the fact that the BSF balances of Arizona and Virginia have consistently remained lower than those of other states. Virginia’s Budget Stabilization Fund averages approximately 3.6 percent of general fund expenditures, while Arizona’s stands at 3.8 percent for the period from 2000 to 2020, as shown in Figure 11. In contrast, other states maintain an average of 4.3 to 4.6 percent. Notably, the BSF levels in these states have shown an upward trend since fiscal year 2011. However, Arizona and Virginia did not experience this upward trajectory, particularly between 2014 and 2018. The following sections will explore how these states have implemented the “deposit (or withdrawal) tied to revenue volatility” differently.</w:t>
      </w:r>
    </w:p>
    <w:p w14:paraId="0974F85F" w14:textId="7B09E7C2" w:rsidR="00AF6702" w:rsidRPr="00702882" w:rsidRDefault="00AF6702" w:rsidP="00C66AC4">
      <w:pPr>
        <w:spacing w:line="480" w:lineRule="auto"/>
        <w:ind w:firstLineChars="295" w:firstLine="708"/>
        <w:contextualSpacing/>
        <w:rPr>
          <w:rFonts w:eastAsiaTheme="minorEastAsia"/>
        </w:rPr>
        <w:sectPr w:rsidR="00AF6702" w:rsidRPr="00702882" w:rsidSect="008512E5">
          <w:footerReference w:type="default" r:id="rId22"/>
          <w:pgSz w:w="11906" w:h="16838"/>
          <w:pgMar w:top="1701" w:right="1440" w:bottom="1440" w:left="1440" w:header="851" w:footer="992" w:gutter="0"/>
          <w:cols w:space="425"/>
          <w:docGrid w:linePitch="360"/>
        </w:sectPr>
      </w:pPr>
      <w:r w:rsidRPr="00702882">
        <w:rPr>
          <w:rFonts w:eastAsiaTheme="minorEastAsia"/>
        </w:rPr>
        <w:t>Oklahoma’s Revenue Stabilization Fund is not included in this case study. Enacted in 2016 through HB 2763, the fund serves as a reserve to protect the state budget from fluctuations in gross production and corporate income tax collections. Deposits into this fund depend on state revenues recovering to pre-2014-16 tax decline levels.</w:t>
      </w:r>
      <w:r w:rsidR="00F54170" w:rsidRPr="00F54170">
        <w:t xml:space="preserve"> </w:t>
      </w:r>
      <w:r w:rsidR="00F54170" w:rsidRPr="00F54170">
        <w:rPr>
          <w:rFonts w:eastAsiaTheme="minorEastAsia"/>
        </w:rPr>
        <w:t>The threshold was reached for the first time in fiscal year 2019, making it likely that deposits into this fund would be required in fiscal year 2021</w:t>
      </w:r>
      <w:r w:rsidR="00F54170" w:rsidRPr="00F54170">
        <w:rPr>
          <w:rFonts w:eastAsiaTheme="minorEastAsia" w:hint="eastAsia"/>
        </w:rPr>
        <w:t>.</w:t>
      </w:r>
      <w:r w:rsidRPr="00F54170">
        <w:rPr>
          <w:rStyle w:val="a5"/>
        </w:rPr>
        <w:footnoteReference w:id="46"/>
      </w:r>
      <w:r w:rsidR="00F54170">
        <w:rPr>
          <w:rFonts w:eastAsiaTheme="minorEastAsia" w:hint="eastAsia"/>
        </w:rPr>
        <w:t xml:space="preserve"> </w:t>
      </w:r>
      <w:r w:rsidR="00F54170" w:rsidRPr="00F54170">
        <w:rPr>
          <w:rFonts w:eastAsiaTheme="minorEastAsia"/>
        </w:rPr>
        <w:t>However, our dataset covers the period from 2002 to 2020, so fiscal year 2021 is not within its scope.</w:t>
      </w:r>
      <w:r w:rsidR="00F54170" w:rsidRPr="00F54170">
        <w:rPr>
          <w:rFonts w:eastAsiaTheme="minorEastAsia" w:hint="eastAsia"/>
        </w:rPr>
        <w:t xml:space="preserve"> </w:t>
      </w:r>
    </w:p>
    <w:p w14:paraId="67691147" w14:textId="77777777" w:rsidR="00AF6702" w:rsidRPr="00702882" w:rsidRDefault="00AF6702" w:rsidP="00C66AC4">
      <w:pPr>
        <w:spacing w:line="480" w:lineRule="auto"/>
        <w:ind w:firstLineChars="120" w:firstLine="283"/>
        <w:contextualSpacing/>
        <w:rPr>
          <w:b/>
          <w:bCs/>
          <w:i/>
          <w:iCs/>
        </w:rPr>
      </w:pPr>
      <w:r w:rsidRPr="00702882">
        <w:rPr>
          <w:b/>
          <w:bCs/>
          <w:i/>
          <w:iCs/>
        </w:rPr>
        <w:lastRenderedPageBreak/>
        <w:t>7.3.1 Connecticut’s Budget Reserve Fund</w:t>
      </w:r>
    </w:p>
    <w:p w14:paraId="44C8B68C" w14:textId="77777777" w:rsidR="00AF6702" w:rsidRPr="00702882" w:rsidRDefault="00AF6702" w:rsidP="00C66AC4">
      <w:pPr>
        <w:spacing w:line="480" w:lineRule="auto"/>
        <w:ind w:firstLineChars="295" w:firstLine="708"/>
        <w:contextualSpacing/>
      </w:pPr>
      <w:r w:rsidRPr="00702882">
        <w:t>The state of Connecticut adopted its Budget Reserve Fund (BRF) in 1978 and had not changed its BRF rules from 2003 to 2016. In 2017, Connecticut increased its cap and linked both deposit and withdrawal to revenue volatility. During the June Special Session, Public Act 17-2, effective Oct. 31, 2017, changed the withdrawal rule of Connecticut’s BRF.</w:t>
      </w:r>
      <w:r w:rsidRPr="00702882">
        <w:rPr>
          <w:rStyle w:val="a5"/>
        </w:rPr>
        <w:footnoteReference w:id="47"/>
      </w:r>
      <w:r w:rsidRPr="00702882">
        <w:rPr>
          <w:b/>
          <w:bCs/>
        </w:rPr>
        <w:t xml:space="preserve"> </w:t>
      </w:r>
      <w:r w:rsidRPr="00702882">
        <w:t>The 2017 Amendment granted the General Assembly authority to transfer funds from the BRF to the General Fund, contingent on a 1 percent or more decline in General Fund revenues forecasted by the consensus revenue estimate. Public Act 17-2 also introduced a provision directing personal income tax revenue exceeding a threshold of $3.15 billion</w:t>
      </w:r>
      <w:r w:rsidRPr="00702882">
        <w:rPr>
          <w:rFonts w:eastAsiaTheme="minorEastAsia"/>
        </w:rPr>
        <w:t xml:space="preserve"> received from personal income tax</w:t>
      </w:r>
      <w:r w:rsidRPr="00702882">
        <w:t xml:space="preserve"> to the BRF. This threshold amount, set at $3.15 billion, is “adjusted annually by the compound annual growth rate of personal income in the state over the preceding five calendar years,” using data taken from the U.S. Bureau of Economic Analysis (Conn. Gen. Stat. § 4-30a). </w:t>
      </w:r>
    </w:p>
    <w:p w14:paraId="3B52F101" w14:textId="25FAE631" w:rsidR="00AF6702" w:rsidRPr="00702882" w:rsidRDefault="00AF6702" w:rsidP="00AD4FDB">
      <w:pPr>
        <w:spacing w:line="480" w:lineRule="auto"/>
        <w:ind w:firstLineChars="295" w:firstLine="708"/>
        <w:contextualSpacing/>
      </w:pPr>
      <w:r w:rsidRPr="00702882">
        <w:t>In fiscal year 2018, Connecticut's BRF ended with a substantial balance of $1.2 billion, a significant increase from the previous year's $212.9 million, primarily due to this new provision (p. 17).</w:t>
      </w:r>
      <w:r w:rsidRPr="00702882">
        <w:rPr>
          <w:rStyle w:val="a5"/>
        </w:rPr>
        <w:footnoteReference w:id="48"/>
      </w:r>
      <w:r w:rsidRPr="00702882">
        <w:t xml:space="preserve"> The total collections from estimated and final income tax payments amounted to $4.6 billion, resulting in a significant revenue volatility deposit of $1.5 billion into the BRF, according to the </w:t>
      </w:r>
      <w:r w:rsidR="005C6A5D" w:rsidRPr="00702882">
        <w:t xml:space="preserve">Annual Comprehensive Financial Reports </w:t>
      </w:r>
      <w:r w:rsidRPr="00702882">
        <w:t>(</w:t>
      </w:r>
      <w:r w:rsidR="005C6A5D" w:rsidRPr="00702882">
        <w:rPr>
          <w:rFonts w:eastAsiaTheme="minorEastAsia"/>
        </w:rPr>
        <w:t>AC</w:t>
      </w:r>
      <w:r w:rsidRPr="00702882">
        <w:t>FR) for fiscal year 2018 (p. 17).</w:t>
      </w:r>
      <w:r w:rsidR="00AD4FDB" w:rsidRPr="00702882">
        <w:rPr>
          <w:rFonts w:eastAsiaTheme="minorEastAsia"/>
        </w:rPr>
        <w:t xml:space="preserve"> </w:t>
      </w:r>
      <w:r w:rsidRPr="00702882">
        <w:t xml:space="preserve">In fiscal year 2019, the BRF saw a significant increase, reaching $2.5 billion, more than doubling its prior year's balance of $1.2 billion. A $949.7 million volatility transfer was made to the BRF </w:t>
      </w:r>
      <w:r w:rsidRPr="00702882">
        <w:lastRenderedPageBreak/>
        <w:t xml:space="preserve">according to the </w:t>
      </w:r>
      <w:r w:rsidRPr="0044726B">
        <w:t xml:space="preserve">fiscal year 2019 </w:t>
      </w:r>
      <w:r w:rsidR="0044726B" w:rsidRPr="0044726B">
        <w:t>ACFR</w:t>
      </w:r>
      <w:r w:rsidRPr="0044726B">
        <w:t xml:space="preserve">. </w:t>
      </w:r>
      <w:r w:rsidRPr="00702882">
        <w:t>At the close of fiscal year 2019, the BRF balance was $1,185.3 million, roughly 6.2 percent of net General Fund appropriations. With the addition of a $370.67 million surplus transfer, the BRF's year-end balance exceeded $2.5 billion, approximately 13 percent of net General Fund appropriations for fiscal year 2020. This signifies a substantial increase in the BRF balance based on fiscal year 2019 results.</w:t>
      </w:r>
    </w:p>
    <w:p w14:paraId="77F48EB3" w14:textId="7337BD0C" w:rsidR="00AF6702" w:rsidRPr="00702882" w:rsidRDefault="00AF6702" w:rsidP="00C66AC4">
      <w:pPr>
        <w:spacing w:line="480" w:lineRule="auto"/>
        <w:ind w:firstLineChars="295" w:firstLine="708"/>
        <w:contextualSpacing/>
        <w:rPr>
          <w:rFonts w:eastAsiaTheme="minorEastAsia"/>
        </w:rPr>
      </w:pPr>
      <w:r w:rsidRPr="00702882">
        <w:t>In Connecticut, both deposit and withdrawal are linked to revenue volatility over a similar period. This suggests a potential interaction effect between “deposit tied to revenue volatility</w:t>
      </w:r>
      <w:r w:rsidRPr="00702882">
        <w:rPr>
          <w:rFonts w:eastAsiaTheme="minorEastAsia"/>
        </w:rPr>
        <w:t xml:space="preserve"> (DepoVol_formula)</w:t>
      </w:r>
      <w:r w:rsidRPr="00702882">
        <w:t>” and “withdrawal tied to revenue volatility</w:t>
      </w:r>
      <w:r w:rsidRPr="00702882">
        <w:rPr>
          <w:rFonts w:eastAsiaTheme="minorEastAsia"/>
        </w:rPr>
        <w:t xml:space="preserve"> (WithVol)</w:t>
      </w:r>
      <w:r w:rsidRPr="00702882">
        <w:t xml:space="preserve">.” </w:t>
      </w:r>
      <w:r w:rsidRPr="00702882">
        <w:rPr>
          <w:rFonts w:eastAsiaTheme="minorEastAsia"/>
        </w:rPr>
        <w:t xml:space="preserve">However, due to the problem of multicollinearity, the interaction effect between DepoVol_formula and WithVol is omitted from fixed effects models, as illustrated in Table 9. </w:t>
      </w:r>
      <w:r w:rsidRPr="00702882">
        <w:t>Connecticut also made changes to both “cap” and “deposit tied to revenue volatility</w:t>
      </w:r>
      <w:r w:rsidRPr="00702882">
        <w:rPr>
          <w:rFonts w:eastAsiaTheme="minorEastAsia"/>
        </w:rPr>
        <w:t xml:space="preserve"> (DepoVol_formula)</w:t>
      </w:r>
      <w:r w:rsidRPr="00702882">
        <w:t xml:space="preserve">” in 2017. </w:t>
      </w:r>
      <w:r w:rsidRPr="00702882">
        <w:rPr>
          <w:rFonts w:eastAsiaTheme="minorEastAsia"/>
        </w:rPr>
        <w:t>However, the results derived from the fixed effects models do not provide evidence supporting the interaction effect between the “cap” and “deposit tied to revenue volatility,” as illustrated in Table 9.</w:t>
      </w:r>
    </w:p>
    <w:p w14:paraId="7C1352F9" w14:textId="77777777" w:rsidR="00AF6702" w:rsidRPr="00702882" w:rsidRDefault="00AF6702" w:rsidP="00C66AC4">
      <w:pPr>
        <w:spacing w:line="480" w:lineRule="auto"/>
        <w:ind w:firstLineChars="295" w:firstLine="708"/>
        <w:contextualSpacing/>
        <w:rPr>
          <w:rFonts w:eastAsiaTheme="minorEastAsia"/>
        </w:rPr>
      </w:pPr>
      <w:r w:rsidRPr="00702882">
        <w:rPr>
          <w:rFonts w:eastAsiaTheme="minorEastAsia"/>
        </w:rPr>
        <w:t xml:space="preserve">In summary, the evidence from budget documents further corroborates the significant positive impact of revenue volatility linked to deposits on Connecticut's BRF. This finding aligns with the results observed in both fixed effects models and GSCM models, as discussed in Chapter 6. </w:t>
      </w:r>
    </w:p>
    <w:p w14:paraId="0C6314AB" w14:textId="77777777" w:rsidR="00AF6702" w:rsidRPr="00702882" w:rsidRDefault="00AF6702" w:rsidP="00C66AC4">
      <w:pPr>
        <w:spacing w:line="480" w:lineRule="auto"/>
        <w:ind w:firstLineChars="295" w:firstLine="708"/>
        <w:contextualSpacing/>
        <w:rPr>
          <w:rFonts w:eastAsiaTheme="minorEastAsia"/>
        </w:rPr>
      </w:pPr>
    </w:p>
    <w:p w14:paraId="501CA17D" w14:textId="77777777" w:rsidR="00AF6702" w:rsidRPr="00702882" w:rsidRDefault="00AF6702" w:rsidP="00C66AC4">
      <w:pPr>
        <w:spacing w:line="480" w:lineRule="auto"/>
        <w:ind w:firstLineChars="177" w:firstLine="417"/>
        <w:contextualSpacing/>
        <w:rPr>
          <w:b/>
          <w:bCs/>
          <w:i/>
          <w:iCs/>
        </w:rPr>
      </w:pPr>
      <w:r w:rsidRPr="00702882">
        <w:rPr>
          <w:b/>
          <w:bCs/>
          <w:i/>
          <w:iCs/>
        </w:rPr>
        <w:t>7.3.2 Arizona’s Budget Stabilization Fund</w:t>
      </w:r>
    </w:p>
    <w:p w14:paraId="756C092E" w14:textId="455FF1A0" w:rsidR="00AF6702" w:rsidRPr="00702882" w:rsidRDefault="003B727D" w:rsidP="00C66AC4">
      <w:pPr>
        <w:spacing w:line="480" w:lineRule="auto"/>
        <w:ind w:firstLineChars="295" w:firstLine="708"/>
        <w:contextualSpacing/>
        <w:rPr>
          <w:color w:val="7030A0"/>
        </w:rPr>
      </w:pPr>
      <w:r w:rsidRPr="00702882">
        <w:t>Arizona u</w:t>
      </w:r>
      <w:r w:rsidRPr="00702882">
        <w:rPr>
          <w:rFonts w:eastAsiaTheme="minorEastAsia"/>
        </w:rPr>
        <w:t>ses</w:t>
      </w:r>
      <w:r w:rsidRPr="00702882">
        <w:t xml:space="preserve"> a statutory formula to link contributions to its Budget Stabilization Fund (BSF) with rises in total personal income tax collections, adjusted for inflation. The deposit or withdrawal from the BSF in a specific fiscal year is determined by comparing the annual growth rate of real adjusted Arizona Personal Income for that calendar year, ending in the fiscal year, to </w:t>
      </w:r>
      <w:r w:rsidRPr="00702882">
        <w:lastRenderedPageBreak/>
        <w:t>its 7-year trend growth rate</w:t>
      </w:r>
      <w:r w:rsidR="00AF6702" w:rsidRPr="00702882">
        <w:t xml:space="preserve"> (A.R.S. § 35-144). The Arizona Economic Estimates Commission (EEC) makes the final determination of the appropriations or transfers from the BSF for the upcoming budget year on June 1.</w:t>
      </w:r>
      <w:r w:rsidR="00AF6702" w:rsidRPr="00702882">
        <w:rPr>
          <w:rStyle w:val="a5"/>
        </w:rPr>
        <w:footnoteReference w:id="49"/>
      </w:r>
      <w:r w:rsidR="00AF6702" w:rsidRPr="00702882">
        <w:t xml:space="preserve"> </w:t>
      </w:r>
    </w:p>
    <w:p w14:paraId="4CA92292" w14:textId="33924CB8" w:rsidR="00AF6702" w:rsidRPr="00702882" w:rsidRDefault="00AF6702" w:rsidP="00C66AC4">
      <w:pPr>
        <w:spacing w:line="480" w:lineRule="auto"/>
        <w:ind w:firstLineChars="295" w:firstLine="708"/>
        <w:contextualSpacing/>
      </w:pPr>
      <w:r w:rsidRPr="00702882">
        <w:t xml:space="preserve">However, </w:t>
      </w:r>
      <w:r w:rsidRPr="00702882">
        <w:rPr>
          <w:i/>
          <w:iCs/>
        </w:rPr>
        <w:t>the statutory formula does not automatically trigger deposits or withdrawals, but it requires legislative authorization</w:t>
      </w:r>
      <w:r w:rsidRPr="00702882">
        <w:t xml:space="preserve">, according to the Arizona’s </w:t>
      </w:r>
      <w:r w:rsidR="00391DE4" w:rsidRPr="00702882">
        <w:t xml:space="preserve">Annual Comprehensive Financial Report </w:t>
      </w:r>
      <w:r w:rsidRPr="00702882">
        <w:t>(</w:t>
      </w:r>
      <w:r w:rsidR="00391DE4" w:rsidRPr="00702882">
        <w:rPr>
          <w:rFonts w:eastAsiaTheme="minorEastAsia"/>
        </w:rPr>
        <w:t>AC</w:t>
      </w:r>
      <w:r w:rsidRPr="00702882">
        <w:t>FR). Originally, the State Treasurer has the authority to temporarily divest funds from the BSF to meet immediate cash needs in the general fund when there is a negative cash balance.</w:t>
      </w:r>
      <w:r w:rsidRPr="00702882">
        <w:rPr>
          <w:rStyle w:val="a5"/>
        </w:rPr>
        <w:footnoteReference w:id="50"/>
      </w:r>
      <w:r w:rsidRPr="00702882">
        <w:t xml:space="preserve"> However, the 2000 amendment to Section 35-144 of the Arizona Revised Statutes eliminates the obligation for the state treasurer to allocate or transfer the earnings from investments to the BSF.</w:t>
      </w:r>
      <w:r w:rsidRPr="00702882">
        <w:rPr>
          <w:rStyle w:val="a5"/>
        </w:rPr>
        <w:footnoteReference w:id="51"/>
      </w:r>
    </w:p>
    <w:p w14:paraId="0FA0146F" w14:textId="77777777" w:rsidR="00AF6702" w:rsidRPr="00702882" w:rsidRDefault="00AF6702" w:rsidP="00C66AC4">
      <w:pPr>
        <w:spacing w:line="480" w:lineRule="auto"/>
        <w:ind w:firstLineChars="295" w:firstLine="708"/>
        <w:contextualSpacing/>
      </w:pPr>
      <w:r w:rsidRPr="00702882">
        <w:t>After the 2000 amendment, the State Legislature, with the Governor's agreement, has the power to decrease deposits or increase withdrawals by a two-thirds majority vote. The discretion exercised by Arizona’s legislature appears to impact the BSF balances, by decreasing its required deposits. Indeed</w:t>
      </w:r>
      <w:r w:rsidRPr="00702882">
        <w:rPr>
          <w:i/>
          <w:iCs/>
        </w:rPr>
        <w:t>, the legislature discontinued making contributions to the BSF for the fiscal years 2015</w:t>
      </w:r>
      <w:r w:rsidRPr="00702882">
        <w:rPr>
          <w:rStyle w:val="a5"/>
          <w:i/>
          <w:iCs/>
        </w:rPr>
        <w:footnoteReference w:id="52"/>
      </w:r>
      <w:r w:rsidRPr="00702882">
        <w:rPr>
          <w:i/>
          <w:iCs/>
        </w:rPr>
        <w:t>, 2016, 2017</w:t>
      </w:r>
      <w:r w:rsidRPr="00702882">
        <w:rPr>
          <w:rStyle w:val="a5"/>
          <w:i/>
          <w:iCs/>
        </w:rPr>
        <w:footnoteReference w:id="53"/>
      </w:r>
      <w:r w:rsidRPr="00702882">
        <w:rPr>
          <w:i/>
          <w:iCs/>
        </w:rPr>
        <w:t>, and 2018</w:t>
      </w:r>
      <w:r w:rsidRPr="00702882">
        <w:t>.</w:t>
      </w:r>
      <w:r w:rsidRPr="00702882">
        <w:rPr>
          <w:rStyle w:val="a5"/>
        </w:rPr>
        <w:footnoteReference w:id="54"/>
      </w:r>
      <w:r w:rsidRPr="00702882">
        <w:t xml:space="preserve"> As illustrated in Figure 4, Arizona's BSF balances declined from 5.2% to 4.9% of general fund expenditures, and then remained at around 4.7% to 4.8% from fiscal years 2016 to 2018.</w:t>
      </w:r>
    </w:p>
    <w:p w14:paraId="0B3C8E31" w14:textId="77777777" w:rsidR="00AF6702" w:rsidRPr="00702882" w:rsidRDefault="00AF6702" w:rsidP="00C66AC4">
      <w:pPr>
        <w:spacing w:line="480" w:lineRule="auto"/>
        <w:ind w:firstLineChars="295" w:firstLine="708"/>
        <w:contextualSpacing/>
        <w:rPr>
          <w:rFonts w:eastAsiaTheme="minorEastAsia"/>
        </w:rPr>
      </w:pPr>
      <w:r w:rsidRPr="00702882">
        <w:t xml:space="preserve">It is worth emphasizing that in 2015, the annual growth rate reached 3.07%, surpassing the trend growth rate, which is represented by the 7-year average growth of 0.42%. Consequently, the calculation of Arizona Department of Revenue for fiscal years 2015 – 2016 </w:t>
      </w:r>
      <w:r w:rsidRPr="00702882">
        <w:lastRenderedPageBreak/>
        <w:t>suggests that a transfer of $237 million should be made to Arizona's BSF.</w:t>
      </w:r>
      <w:r w:rsidRPr="00702882">
        <w:rPr>
          <w:rStyle w:val="a5"/>
        </w:rPr>
        <w:footnoteReference w:id="55"/>
      </w:r>
      <w:r w:rsidRPr="00702882">
        <w:t xml:space="preserve"> Likewise, during the fiscal years 2016-2017, the annual growth rate stood at 3.17%, exceeding the trend growth rate represented by the 7-year average of 2.26%. Accordingly, based on the calculations of the Arizona Department of Revenue for those fiscal years, it is recommended that a transfer of $84.3 million be allocated to Arizona's BSF.</w:t>
      </w:r>
      <w:r w:rsidRPr="00702882">
        <w:rPr>
          <w:rStyle w:val="a5"/>
        </w:rPr>
        <w:footnoteReference w:id="56"/>
      </w:r>
      <w:r w:rsidRPr="00702882">
        <w:t xml:space="preserve"> Nevertheless, the legislature did not allocate any contributions to the BSF for the fiscal years 2015 through 2017.</w:t>
      </w:r>
    </w:p>
    <w:p w14:paraId="2D279331" w14:textId="77777777" w:rsidR="00AF6702" w:rsidRPr="00702882" w:rsidRDefault="00AF6702" w:rsidP="00C66AC4">
      <w:pPr>
        <w:spacing w:line="480" w:lineRule="auto"/>
        <w:rPr>
          <w:rFonts w:eastAsiaTheme="minorEastAsia"/>
        </w:rPr>
      </w:pPr>
    </w:p>
    <w:p w14:paraId="62468AC7" w14:textId="77777777" w:rsidR="00AF6702" w:rsidRPr="00702882" w:rsidRDefault="00AF6702" w:rsidP="00C66AC4">
      <w:pPr>
        <w:spacing w:line="480" w:lineRule="auto"/>
        <w:ind w:firstLine="360"/>
        <w:contextualSpacing/>
        <w:rPr>
          <w:b/>
          <w:bCs/>
          <w:i/>
          <w:iCs/>
        </w:rPr>
      </w:pPr>
      <w:r w:rsidRPr="00702882">
        <w:rPr>
          <w:b/>
          <w:bCs/>
          <w:i/>
          <w:iCs/>
        </w:rPr>
        <w:t xml:space="preserve">7.3.3 Virginia’s Revenue Stabilization Fund </w:t>
      </w:r>
    </w:p>
    <w:p w14:paraId="4746D52D" w14:textId="6ECD5BF6" w:rsidR="00AF6702" w:rsidRPr="00702882" w:rsidRDefault="00AF6702" w:rsidP="00C66AC4">
      <w:pPr>
        <w:spacing w:line="480" w:lineRule="auto"/>
        <w:ind w:firstLine="709"/>
        <w:contextualSpacing/>
        <w:rPr>
          <w:rFonts w:eastAsiaTheme="minorEastAsia"/>
          <w:color w:val="7030A0"/>
        </w:rPr>
      </w:pPr>
      <w:r w:rsidRPr="00702882">
        <w:t>In 1992, Virginia established a Revenue Stabilization Fund</w:t>
      </w:r>
      <w:r w:rsidR="0095009C" w:rsidRPr="00702882">
        <w:rPr>
          <w:rFonts w:eastAsiaTheme="minorEastAsia"/>
        </w:rPr>
        <w:t xml:space="preserve"> (RSF)</w:t>
      </w:r>
      <w:r w:rsidRPr="00702882">
        <w:t xml:space="preserve"> through a constitutional amendment.</w:t>
      </w:r>
      <w:r w:rsidRPr="00702882">
        <w:rPr>
          <w:rFonts w:eastAsiaTheme="minorEastAsia"/>
        </w:rPr>
        <w:t xml:space="preserve"> </w:t>
      </w:r>
      <w:r w:rsidRPr="00702882">
        <w:t>The General Assembly must appropriate the estimated amount required for deposit to the RSF accordance with Article X, Section 8 of the Constitution of Virginia.</w:t>
      </w:r>
      <w:r w:rsidRPr="00702882">
        <w:rPr>
          <w:rStyle w:val="a5"/>
        </w:rPr>
        <w:footnoteReference w:id="57"/>
      </w:r>
      <w:r w:rsidRPr="00702882">
        <w:t xml:space="preserve"> The Constitution mandates a deposit based on the following formula specified in the state's constitution: </w:t>
      </w:r>
      <w:r w:rsidR="00001D93" w:rsidRPr="00702882">
        <w:rPr>
          <w:rFonts w:eastAsiaTheme="minorEastAsia"/>
        </w:rPr>
        <w:t>“</w:t>
      </w:r>
      <w:r w:rsidRPr="00702882">
        <w:t xml:space="preserve">Deposit ≥ 0.5 </w:t>
      </w:r>
      <m:oMath>
        <m:r>
          <w:rPr>
            <w:rFonts w:ascii="Cambria Math" w:hAnsi="Cambria Math"/>
          </w:rPr>
          <m:t>×</m:t>
        </m:r>
      </m:oMath>
      <w:r w:rsidRPr="00702882">
        <w:t xml:space="preserve"> [(certified tax revenues) </w:t>
      </w:r>
      <m:oMath>
        <m:r>
          <w:rPr>
            <w:rFonts w:ascii="Cambria Math" w:hAnsi="Cambria Math"/>
          </w:rPr>
          <m:t>×</m:t>
        </m:r>
      </m:oMath>
      <w:r w:rsidRPr="00702882">
        <w:t xml:space="preserve"> (fiscal year's percent increase—average increase over six years)].</w:t>
      </w:r>
      <w:r w:rsidR="00001D93" w:rsidRPr="00702882">
        <w:rPr>
          <w:rFonts w:eastAsiaTheme="minorEastAsia"/>
        </w:rPr>
        <w:t>”</w:t>
      </w:r>
      <w:r w:rsidRPr="00702882">
        <w:t xml:space="preserve"> This deposit can exclude revenue growth resulting from tax rate increases or exemption repeal for up to six years. Growth in certified tax revenues can be excluded from the computation for a maximum of six calendar years from the year of the tax rate increase or exemption repeal's effectiveness.</w:t>
      </w:r>
      <w:r w:rsidR="00D51C83" w:rsidRPr="00702882">
        <w:t xml:space="preserve"> Withdrawals are authorized exclusively when the appropriated general fund revenues exceed the revised general fund revenue forecast </w:t>
      </w:r>
      <w:r w:rsidR="00D51C83" w:rsidRPr="00702882">
        <w:lastRenderedPageBreak/>
        <w:t>by more than 2.0 percent of the certified tax revenues collected in the latest fiscal year</w:t>
      </w:r>
      <w:r w:rsidR="003850B3" w:rsidRPr="00702882">
        <w:rPr>
          <w:rFonts w:eastAsiaTheme="minorEastAsia"/>
        </w:rPr>
        <w:t xml:space="preserve"> (</w:t>
      </w:r>
      <w:r w:rsidR="003850B3" w:rsidRPr="00702882">
        <w:t>Va. Const. art. X, § 8</w:t>
      </w:r>
      <w:r w:rsidR="003850B3" w:rsidRPr="00702882">
        <w:rPr>
          <w:rFonts w:eastAsiaTheme="minorEastAsia"/>
        </w:rPr>
        <w:t>).</w:t>
      </w:r>
    </w:p>
    <w:p w14:paraId="036CF3DF" w14:textId="65F084BD" w:rsidR="00AF6702" w:rsidRPr="00702882" w:rsidRDefault="00AF6702" w:rsidP="00C66AC4">
      <w:pPr>
        <w:spacing w:line="480" w:lineRule="auto"/>
        <w:ind w:firstLine="709"/>
        <w:contextualSpacing/>
      </w:pPr>
      <w:r w:rsidRPr="00702882">
        <w:t xml:space="preserve">Virginia, unlike many other states that mandate depositing the entirety of their revenue growth into their Budget Stabilization Funds (BSF), </w:t>
      </w:r>
      <w:r w:rsidRPr="00702882">
        <w:rPr>
          <w:i/>
          <w:iCs/>
        </w:rPr>
        <w:t>only allocates half of the increase in tax revenues</w:t>
      </w:r>
      <w:r w:rsidRPr="00702882">
        <w:t xml:space="preserve">, as specified by the previously mentioned formula. Saving only half of the revenue growth means that the BSF will accumulate funds at a slower rate compared to states that deposit the entire revenue growth. Over time, this can result in a smaller overall BSF balance. During fiscal years 2005 through 2010, a “dual computation” was performed to assess potential deposits with and without considering the effects of changes in tax rate structure, according to the </w:t>
      </w:r>
      <w:r w:rsidR="00AC71AE" w:rsidRPr="00702882">
        <w:t xml:space="preserve">Annual Comprehensive Financial Report </w:t>
      </w:r>
      <w:r w:rsidRPr="00702882">
        <w:t>(</w:t>
      </w:r>
      <w:r w:rsidR="00AC71AE" w:rsidRPr="00702882">
        <w:rPr>
          <w:rFonts w:eastAsiaTheme="minorEastAsia"/>
        </w:rPr>
        <w:t>AC</w:t>
      </w:r>
      <w:r w:rsidRPr="00702882">
        <w:t>FR) for the fiscal year 2011.</w:t>
      </w:r>
      <w:r w:rsidRPr="00702882">
        <w:rPr>
          <w:rStyle w:val="a5"/>
        </w:rPr>
        <w:footnoteReference w:id="58"/>
      </w:r>
      <w:r w:rsidRPr="00702882">
        <w:t xml:space="preserve"> </w:t>
      </w:r>
    </w:p>
    <w:p w14:paraId="1456642C" w14:textId="77777777" w:rsidR="00000662" w:rsidRPr="00702882" w:rsidRDefault="00AF6702" w:rsidP="00C66AC4">
      <w:pPr>
        <w:spacing w:line="480" w:lineRule="auto"/>
        <w:ind w:firstLine="709"/>
        <w:contextualSpacing/>
        <w:rPr>
          <w:rFonts w:eastAsiaTheme="minorEastAsia"/>
        </w:rPr>
      </w:pPr>
      <w:r w:rsidRPr="00702882">
        <w:t xml:space="preserve">The dual computation of Virginia's RSF typically involves two key components: First, Computation Based on Revenue Growth resulting from tax rate increases, as mentioned before. For example, the law might stipulate that a certain percentage (e.g., 1%) of the prior year's revenues should be deposited into the RSF. In addition to the revenue-based computation, Virginia's RSF may also include a component that takes into account economic conditions and budgetary needs. When the state's economy is strong and revenues are growing, this component might require additional deposits into the RSF. </w:t>
      </w:r>
    </w:p>
    <w:p w14:paraId="3FA54553" w14:textId="7E35D218" w:rsidR="00AF6702" w:rsidRPr="00702882" w:rsidRDefault="00AF6702" w:rsidP="00C66AC4">
      <w:pPr>
        <w:spacing w:line="480" w:lineRule="auto"/>
        <w:ind w:firstLine="709"/>
        <w:contextualSpacing/>
        <w:rPr>
          <w:color w:val="7030A0"/>
        </w:rPr>
      </w:pPr>
      <w:r w:rsidRPr="00702882">
        <w:t xml:space="preserve">However, a dual computation was not required for fiscal year 2011, according to the </w:t>
      </w:r>
      <w:r w:rsidR="0090072E">
        <w:t>ACFR</w:t>
      </w:r>
      <w:r w:rsidRPr="00702882">
        <w:t xml:space="preserve"> for fiscal year 2011. Based on fiscal year 2011 revenue collections, a deposit of $132.7 million is required for fiscal year 2013, as specified in Article X, Section 8 of the Constitution of Virginia.</w:t>
      </w:r>
      <w:r w:rsidRPr="00702882">
        <w:rPr>
          <w:rStyle w:val="a5"/>
        </w:rPr>
        <w:footnoteReference w:id="59"/>
      </w:r>
      <w:r w:rsidRPr="00702882">
        <w:t xml:space="preserve"> </w:t>
      </w:r>
      <w:r w:rsidR="00A2636D" w:rsidRPr="00702882">
        <w:t>Th</w:t>
      </w:r>
      <w:r w:rsidR="00A2636D" w:rsidRPr="00702882">
        <w:rPr>
          <w:rFonts w:eastAsiaTheme="minorEastAsia"/>
        </w:rPr>
        <w:t>us</w:t>
      </w:r>
      <w:r w:rsidR="00A2636D" w:rsidRPr="00702882">
        <w:t xml:space="preserve">, neither withdrawals nor deposits, aside from interest earnings, were required </w:t>
      </w:r>
      <w:r w:rsidR="00A2636D" w:rsidRPr="00702882">
        <w:lastRenderedPageBreak/>
        <w:t>for the R</w:t>
      </w:r>
      <w:r w:rsidR="00A2636D" w:rsidRPr="00702882">
        <w:rPr>
          <w:rFonts w:eastAsiaTheme="minorEastAsia"/>
        </w:rPr>
        <w:t>SF</w:t>
      </w:r>
      <w:r w:rsidR="00A2636D" w:rsidRPr="00702882">
        <w:t xml:space="preserve"> in fiscal year 2011. In Virginia, a withdrawal from the RSF can only occur when the allocated general fund revenues surpass the revised general fund revenue forecast by more than 2 percent of the certified tax revenues collected from the prior year.</w:t>
      </w:r>
      <w:r w:rsidR="00A2636D" w:rsidRPr="00702882">
        <w:rPr>
          <w:rFonts w:eastAsiaTheme="minorEastAsia"/>
          <w:b/>
          <w:bCs/>
          <w:i/>
          <w:iCs/>
        </w:rPr>
        <w:t xml:space="preserve"> </w:t>
      </w:r>
      <w:r w:rsidRPr="00702882">
        <w:t>This condition is established by the regulations specified in Article X, Section 8 of the Constitution of Virginia and Section 2.2-1830 of the Code of Virginia.</w:t>
      </w:r>
    </w:p>
    <w:p w14:paraId="42615B24" w14:textId="48FB7C15" w:rsidR="00AF6702" w:rsidRPr="00702882" w:rsidRDefault="00AF6702" w:rsidP="00C66AC4">
      <w:pPr>
        <w:spacing w:line="480" w:lineRule="auto"/>
        <w:ind w:firstLineChars="295" w:firstLine="708"/>
        <w:contextualSpacing/>
        <w:rPr>
          <w:color w:val="7030A0"/>
        </w:rPr>
      </w:pPr>
      <w:r w:rsidRPr="00702882">
        <w:t>In fiscal year 2015, a withdrawal of $467.7 million was authorized from the fund (p. 93).</w:t>
      </w:r>
      <w:r w:rsidRPr="00702882">
        <w:rPr>
          <w:rStyle w:val="a5"/>
        </w:rPr>
        <w:footnoteReference w:id="60"/>
      </w:r>
      <w:r w:rsidRPr="00702882">
        <w:t xml:space="preserve"> In fiscal year 2016, a withdrawal of $235.5 million was disbursed from the RSF (p. 92).</w:t>
      </w:r>
      <w:r w:rsidRPr="00702882">
        <w:rPr>
          <w:rStyle w:val="a5"/>
        </w:rPr>
        <w:footnoteReference w:id="61"/>
      </w:r>
      <w:r w:rsidRPr="00702882">
        <w:t xml:space="preserve"> The budget deficit arose due to a 3.1 percent increase in total final budget expenditures, exceeding the original budget by $612.2 million in 2016. The substantial rise can be chiefly attributed to budgeted expenses in the categories of individual and family services, which increased by $292.6 million, administration of justice with a $115.7 million increment, capital outlay rising by $82.9 million, and education expenses surging by $72.2 million (p. 34).</w:t>
      </w:r>
      <w:r w:rsidRPr="00702882">
        <w:rPr>
          <w:rStyle w:val="a5"/>
        </w:rPr>
        <w:footnoteReference w:id="62"/>
      </w:r>
      <w:r w:rsidR="00D62E4C" w:rsidRPr="00702882">
        <w:rPr>
          <w:rFonts w:eastAsiaTheme="minorEastAsia"/>
        </w:rPr>
        <w:t xml:space="preserve"> </w:t>
      </w:r>
      <w:r w:rsidRPr="00702882">
        <w:t>Individual and family services in the state of Virginia typically refer to a range of social and support services provided to individuals and families, such as child welfare services and funding for health services to promote their well-being and address various needs.</w:t>
      </w:r>
    </w:p>
    <w:p w14:paraId="0A815817" w14:textId="62CBF2B2" w:rsidR="00AF6702" w:rsidRPr="00702882" w:rsidRDefault="00AF6702" w:rsidP="00AD54DF">
      <w:pPr>
        <w:spacing w:line="480" w:lineRule="auto"/>
        <w:ind w:firstLineChars="295" w:firstLine="708"/>
        <w:contextualSpacing/>
        <w:rPr>
          <w:color w:val="7030A0"/>
        </w:rPr>
      </w:pPr>
      <w:r w:rsidRPr="00702882">
        <w:t>From 2014 to 2018, Virginia was governed by Democratic Governor Terry McAuliffe. During McAuliffe's tenure, the state legislature was under Republican control, and he exercised his veto power extensively, setting a record for the number of vetoes by a Virginia governo</w:t>
      </w:r>
      <w:r w:rsidR="00000662" w:rsidRPr="00702882">
        <w:rPr>
          <w:rFonts w:eastAsiaTheme="minorEastAsia"/>
        </w:rPr>
        <w:t xml:space="preserve">r </w:t>
      </w:r>
      <w:sdt>
        <w:sdtPr>
          <w:rPr>
            <w:color w:val="000000"/>
          </w:rPr>
          <w:tag w:val="MENDELEY_CITATION_v3_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"/>
          <w:id w:val="787078729"/>
          <w:placeholder>
            <w:docPart w:val="6EBCD0B2D09649E795C64274DB761533"/>
          </w:placeholder>
        </w:sdtPr>
        <w:sdtContent>
          <w:r w:rsidR="00F520AD" w:rsidRPr="00F520AD">
            <w:rPr>
              <w:rFonts w:eastAsiaTheme="minorEastAsia"/>
              <w:color w:val="000000"/>
            </w:rPr>
            <w:t>(Schneider, 2017)</w:t>
          </w:r>
        </w:sdtContent>
      </w:sdt>
      <w:r w:rsidRPr="00702882">
        <w:t xml:space="preserve">. For instance, McAuliffe exercised a veto on a bill aimed at restricting funding for Planned Parenthood, an organization that offers abortion services alongside other healthcare </w:t>
      </w:r>
      <w:r w:rsidRPr="00702882">
        <w:lastRenderedPageBreak/>
        <w:t xml:space="preserve">options </w:t>
      </w:r>
      <w:sdt>
        <w:sdtPr>
          <w:rPr>
            <w:color w:val="000000"/>
          </w:rPr>
          <w:tag w:val="MENDELEY_CITATION_v3_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"/>
          <w:id w:val="768197575"/>
          <w:placeholder>
            <w:docPart w:val="35B12F89A21E475CB21E7AD7059758A8"/>
          </w:placeholder>
        </w:sdtPr>
        <w:sdtContent>
          <w:r w:rsidR="00F520AD" w:rsidRPr="00F520AD">
            <w:rPr>
              <w:color w:val="000000"/>
            </w:rPr>
            <w:t>(Reuters, 2017)</w:t>
          </w:r>
        </w:sdtContent>
      </w:sdt>
      <w:r w:rsidRPr="00702882">
        <w:t xml:space="preserve">. </w:t>
      </w:r>
      <w:r w:rsidR="00632C5F" w:rsidRPr="00702882">
        <w:t>The bill, approved by the Republican-controlled legislature, aimed to prohibit the state from allocating funds to clinics that performed abortions not covered by Medicaid, the federal healthcare program for low-income individuals</w:t>
      </w:r>
      <w:r w:rsidR="00632C5F" w:rsidRPr="00702882">
        <w:rPr>
          <w:rFonts w:eastAsiaTheme="minorEastAsia"/>
        </w:rPr>
        <w:t xml:space="preserve"> </w:t>
      </w:r>
      <w:sdt>
        <w:sdtPr>
          <w:rPr>
            <w:color w:val="000000"/>
          </w:rPr>
          <w:tag w:val="MENDELEY_CITATION_v3_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"/>
          <w:id w:val="-1674259059"/>
          <w:placeholder>
            <w:docPart w:val="E29EFE2F0CAE4853A1BC05FB07FFE501"/>
          </w:placeholder>
        </w:sdtPr>
        <w:sdtContent>
          <w:r w:rsidR="00F520AD" w:rsidRPr="00F520AD">
            <w:rPr>
              <w:color w:val="000000"/>
            </w:rPr>
            <w:t>(Reuters, 2017)</w:t>
          </w:r>
        </w:sdtContent>
      </w:sdt>
      <w:r w:rsidRPr="00702882">
        <w:t>.</w:t>
      </w:r>
      <w:r w:rsidR="00AD54DF" w:rsidRPr="00702882">
        <w:rPr>
          <w:rFonts w:eastAsiaTheme="minorEastAsia"/>
          <w:color w:val="7030A0"/>
        </w:rPr>
        <w:t xml:space="preserve"> </w:t>
      </w:r>
      <w:r w:rsidRPr="00702882">
        <w:t xml:space="preserve">Amid the partisan division between a Democratic governor and a Republican-controlled legislature in Virginia, </w:t>
      </w:r>
      <w:r w:rsidRPr="00702882">
        <w:rPr>
          <w:i/>
          <w:iCs/>
        </w:rPr>
        <w:t>the governor wielded his veto power to safeguard welfare services for low-income individuals and families</w:t>
      </w:r>
      <w:r w:rsidRPr="00702882">
        <w:t>. Consequently, a budget deficit arose, compelling the state to tap into its RSF, notably during fiscal years 2015 and 2016.</w:t>
      </w:r>
      <w:r w:rsidRPr="00702882">
        <w:rPr>
          <w:rFonts w:eastAsiaTheme="minorEastAsia"/>
        </w:rPr>
        <w:t xml:space="preserve"> </w:t>
      </w:r>
    </w:p>
    <w:p w14:paraId="6DDA6DD6" w14:textId="77777777" w:rsidR="00ED36FA" w:rsidRPr="00702882" w:rsidRDefault="00ED36FA" w:rsidP="00C66AC4">
      <w:pPr>
        <w:spacing w:line="480" w:lineRule="auto"/>
        <w:ind w:firstLineChars="295" w:firstLine="708"/>
        <w:contextualSpacing/>
        <w:rPr>
          <w:rFonts w:eastAsiaTheme="minorEastAsia"/>
        </w:rPr>
      </w:pPr>
    </w:p>
    <w:p w14:paraId="1F1D12F8" w14:textId="77777777" w:rsidR="00AF6702" w:rsidRPr="00702882" w:rsidRDefault="00AF6702" w:rsidP="00C66AC4">
      <w:pPr>
        <w:spacing w:line="480" w:lineRule="auto"/>
        <w:ind w:firstLine="360"/>
        <w:contextualSpacing/>
        <w:rPr>
          <w:b/>
          <w:bCs/>
          <w:i/>
          <w:iCs/>
        </w:rPr>
      </w:pPr>
      <w:r w:rsidRPr="00702882">
        <w:rPr>
          <w:b/>
          <w:bCs/>
          <w:i/>
          <w:iCs/>
        </w:rPr>
        <w:t>7.3.4 Connecticut's BRF Compared to Arizona’s BSF and Virginia’s RSF</w:t>
      </w:r>
    </w:p>
    <w:p w14:paraId="396D78CE" w14:textId="77777777" w:rsidR="00AF6702" w:rsidRPr="00702882" w:rsidRDefault="00AF6702" w:rsidP="00C66AC4">
      <w:pPr>
        <w:spacing w:line="480" w:lineRule="auto"/>
        <w:ind w:firstLineChars="295" w:firstLine="708"/>
        <w:contextualSpacing/>
        <w:rPr>
          <w:rFonts w:eastAsiaTheme="minorEastAsia"/>
        </w:rPr>
      </w:pPr>
      <w:r w:rsidRPr="00702882">
        <w:t>How does Connecticut's deposit requirement work, and what are the differences when compared to Arizona and Virginia's cases? Connecticut's ability to implement its deposit and withdrawal rule with minimal political intervention sets it apart from Arizona and Virginia, reflecting a distinctive regulatory approach. Specifically, Connecticut's deposit rule operates with a high degree of automation, wherein</w:t>
      </w:r>
      <w:r w:rsidRPr="00702882">
        <w:rPr>
          <w:i/>
          <w:iCs/>
        </w:rPr>
        <w:t xml:space="preserve"> deposits and withdrawals are automatically triggered based on a statutory formula</w:t>
      </w:r>
      <w:r w:rsidRPr="00702882">
        <w:t xml:space="preserve">. This streamlined process minimizes the need for direct legislative authorization. </w:t>
      </w:r>
    </w:p>
    <w:p w14:paraId="37C03FF7" w14:textId="77777777" w:rsidR="00AF6702" w:rsidRPr="00702882" w:rsidRDefault="00AF6702" w:rsidP="00C66AC4">
      <w:pPr>
        <w:spacing w:line="480" w:lineRule="auto"/>
        <w:ind w:firstLineChars="295" w:firstLine="708"/>
        <w:contextualSpacing/>
        <w:rPr>
          <w:color w:val="7030A0"/>
        </w:rPr>
      </w:pPr>
      <w:r w:rsidRPr="00702882">
        <w:t>In contrast, Arizona, despite having a statutory formula in place, requires legislative approval even in favorable economic conditions when revenue surpluses occur. Consequently, Arizona has sometimes refrained from making transfers from the general fund to its BSF, highlighting the involvement of legislative discretion in the deposit process, a key point of differentiation with Connecticut.</w:t>
      </w:r>
      <w:r w:rsidRPr="00702882">
        <w:rPr>
          <w:rFonts w:eastAsiaTheme="minorEastAsia"/>
        </w:rPr>
        <w:t xml:space="preserve"> </w:t>
      </w:r>
      <w:r w:rsidRPr="00702882">
        <w:t xml:space="preserve">Furthermore, the political landscape further distinguishes Connecticut from Virginia. Unlike Virginia, where a period of political conflict unfolded from </w:t>
      </w:r>
      <w:r w:rsidRPr="00702882">
        <w:lastRenderedPageBreak/>
        <w:t xml:space="preserve">2014 to 2018, marked by a partisan division between a Democratic governor and a Republican-controlled legislature, Connecticut experienced relative political stability. </w:t>
      </w:r>
    </w:p>
    <w:p w14:paraId="6562CB5B" w14:textId="07FE0927" w:rsidR="00AF6702" w:rsidRPr="00702882" w:rsidRDefault="001D0995" w:rsidP="00C66AC4">
      <w:pPr>
        <w:spacing w:line="480" w:lineRule="auto"/>
        <w:ind w:firstLineChars="295" w:firstLine="708"/>
        <w:contextualSpacing/>
      </w:pPr>
      <w:r w:rsidRPr="00702882">
        <w:t>In 2017, Connecticut was among six states with a Democratic state government trifecta, which occurs when one political party holds the governor's office, a majority in the state Senate, and a majority in the state House</w:t>
      </w:r>
      <w:r w:rsidRPr="00702882">
        <w:rPr>
          <w:rFonts w:eastAsiaTheme="minorEastAsia"/>
        </w:rPr>
        <w:t xml:space="preserve"> </w:t>
      </w:r>
      <w:sdt>
        <w:sdtPr>
          <w:rPr>
            <w:color w:val="000000"/>
          </w:rPr>
          <w:tag w:val="MENDELEY_CITATION_v3_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"/>
          <w:id w:val="-941307328"/>
          <w:placeholder>
            <w:docPart w:val="AAFFE3DF11C446DBB17E7EDDF8E25A36"/>
          </w:placeholder>
        </w:sdtPr>
        <w:sdtContent>
          <w:r w:rsidR="00F520AD" w:rsidRPr="00F520AD">
            <w:rPr>
              <w:color w:val="000000"/>
            </w:rPr>
            <w:t>(Ballotpedia, 2016)</w:t>
          </w:r>
        </w:sdtContent>
      </w:sdt>
      <w:r w:rsidR="00AF6702" w:rsidRPr="00702882">
        <w:t>. This political alignment in Connecticut minimized the need for the governor to employ veto power to defend specific programs favored by their political supporters, as was the case in Virginia. Connecticut's political environment was less contentious during this period, unlike Virginia. The lower level of disagreement between Connecticut's governor and the legislature regarding the budget, contrasting with the contentious political landscape in Virginia, seems to have played a role in fostering increased savings.</w:t>
      </w:r>
    </w:p>
    <w:p w14:paraId="6E748CBE" w14:textId="77777777" w:rsidR="00AF6702" w:rsidRPr="00702882" w:rsidRDefault="00AF6702" w:rsidP="00C66AC4">
      <w:pPr>
        <w:spacing w:line="480" w:lineRule="auto"/>
        <w:ind w:firstLineChars="295" w:firstLine="708"/>
        <w:contextualSpacing/>
        <w:rPr>
          <w:rFonts w:eastAsiaTheme="minorEastAsia"/>
          <w:color w:val="7030A0"/>
        </w:rPr>
      </w:pPr>
    </w:p>
    <w:p w14:paraId="08484C63" w14:textId="411B1EC9" w:rsidR="00AF6702" w:rsidRPr="00702882" w:rsidRDefault="00AF6702" w:rsidP="00C66AC4">
      <w:pPr>
        <w:spacing w:line="480" w:lineRule="auto"/>
        <w:contextualSpacing/>
      </w:pPr>
      <w:r w:rsidRPr="00702882">
        <w:rPr>
          <w:b/>
          <w:bCs/>
        </w:rPr>
        <w:t>7.4</w:t>
      </w:r>
      <w:r w:rsidR="005104CE" w:rsidRPr="00702882">
        <w:rPr>
          <w:rFonts w:eastAsiaTheme="minorEastAsia"/>
          <w:b/>
          <w:bCs/>
        </w:rPr>
        <w:t>.</w:t>
      </w:r>
      <w:r w:rsidRPr="00702882">
        <w:rPr>
          <w:b/>
          <w:bCs/>
        </w:rPr>
        <w:t xml:space="preserve"> Deposit Revenue Surplus</w:t>
      </w:r>
      <w:bookmarkStart w:id="72" w:name="DepositRevenueSurplus"/>
      <w:bookmarkEnd w:id="72"/>
      <w:r w:rsidRPr="00702882">
        <w:rPr>
          <w:b/>
          <w:bCs/>
        </w:rPr>
        <w:t xml:space="preserve"> </w:t>
      </w:r>
    </w:p>
    <w:p w14:paraId="58A73314" w14:textId="53C2C9BB" w:rsidR="00AF6702" w:rsidRPr="00702882" w:rsidRDefault="00AF6702" w:rsidP="00C66AC4">
      <w:pPr>
        <w:tabs>
          <w:tab w:val="left" w:pos="5387"/>
        </w:tabs>
        <w:spacing w:line="480" w:lineRule="auto"/>
        <w:ind w:firstLineChars="295" w:firstLine="708"/>
        <w:contextualSpacing/>
        <w:rPr>
          <w:rFonts w:eastAsiaTheme="minorEastAsia"/>
        </w:rPr>
      </w:pPr>
      <w:r w:rsidRPr="00702882">
        <w:t>The variable labeled “deposit revenue surplus (</w:t>
      </w:r>
      <w:r w:rsidRPr="00702882">
        <w:rPr>
          <w:rFonts w:eastAsiaTheme="minorEastAsia"/>
        </w:rPr>
        <w:t>DepoSurplus_numeric</w:t>
      </w:r>
      <w:r w:rsidRPr="00702882">
        <w:t xml:space="preserve">)” has exhibited a </w:t>
      </w:r>
      <w:r w:rsidRPr="00702882">
        <w:rPr>
          <w:rFonts w:eastAsiaTheme="minorEastAsia"/>
        </w:rPr>
        <w:t>significant impact</w:t>
      </w:r>
      <w:r w:rsidRPr="00702882">
        <w:t xml:space="preserve"> on the levels of the</w:t>
      </w:r>
      <w:r w:rsidRPr="00702882">
        <w:rPr>
          <w:rFonts w:eastAsiaTheme="minorEastAsia"/>
        </w:rPr>
        <w:t xml:space="preserve"> BSF</w:t>
      </w:r>
      <w:r w:rsidRPr="00702882">
        <w:t xml:space="preserve"> in </w:t>
      </w:r>
      <w:r w:rsidRPr="00702882">
        <w:rPr>
          <w:rFonts w:eastAsiaTheme="minorEastAsia"/>
        </w:rPr>
        <w:t>both</w:t>
      </w:r>
      <w:r w:rsidRPr="00702882">
        <w:t xml:space="preserve"> fixed effects</w:t>
      </w:r>
      <w:r w:rsidRPr="00702882">
        <w:rPr>
          <w:rFonts w:eastAsiaTheme="minorEastAsia"/>
        </w:rPr>
        <w:t xml:space="preserve"> and GSCM models</w:t>
      </w:r>
      <w:r w:rsidRPr="00702882">
        <w:t xml:space="preserve">. This </w:t>
      </w:r>
      <w:r w:rsidRPr="00702882">
        <w:rPr>
          <w:rFonts w:eastAsiaTheme="minorEastAsia"/>
        </w:rPr>
        <w:t>result is consistent</w:t>
      </w:r>
      <w:r w:rsidRPr="00702882">
        <w:t xml:space="preserve"> with our initial hypothesis. </w:t>
      </w:r>
      <w:r w:rsidRPr="00702882">
        <w:rPr>
          <w:rFonts w:eastAsiaTheme="minorEastAsia"/>
        </w:rPr>
        <w:t xml:space="preserve">This study aims to comprehend the causal mechanism underlying the deposit revenue surplus, specifically examining two distinct funds: New Hampshire's Revenue Stabilization Fund, commonly </w:t>
      </w:r>
      <w:r w:rsidR="00F8764B" w:rsidRPr="00702882">
        <w:rPr>
          <w:rFonts w:eastAsiaTheme="minorEastAsia"/>
        </w:rPr>
        <w:t>known</w:t>
      </w:r>
      <w:r w:rsidRPr="00702882">
        <w:rPr>
          <w:rFonts w:eastAsiaTheme="minorEastAsia"/>
        </w:rPr>
        <w:t xml:space="preserve"> as the Rainy Day Fund (RDF), and Nebraska’s Cash Reserve Fund (CRF).</w:t>
      </w:r>
    </w:p>
    <w:p w14:paraId="215F5A30" w14:textId="7E10379C" w:rsidR="00AF6702" w:rsidRPr="00702882" w:rsidRDefault="00AF6702" w:rsidP="00C66AC4">
      <w:pPr>
        <w:tabs>
          <w:tab w:val="left" w:pos="5387"/>
        </w:tabs>
        <w:spacing w:line="480" w:lineRule="auto"/>
        <w:ind w:firstLineChars="295" w:firstLine="708"/>
        <w:contextualSpacing/>
        <w:rPr>
          <w:rFonts w:eastAsiaTheme="minorEastAsia"/>
        </w:rPr>
      </w:pPr>
      <w:r w:rsidRPr="00702882">
        <w:t>The selection of these cases is motivated by New Hampshire’s recent modification of the deposit requirements, introduced through the 2016 amendment, which will be elaborated on in the subsequent subsection.</w:t>
      </w:r>
      <w:r w:rsidRPr="00702882">
        <w:rPr>
          <w:rFonts w:eastAsiaTheme="minorEastAsia"/>
        </w:rPr>
        <w:t xml:space="preserve"> </w:t>
      </w:r>
      <w:r w:rsidRPr="00702882">
        <w:t xml:space="preserve">In the case of Nebraska, although the state did not alter its deposit rule from 2003 to 2020, there has been notable fluctuation in its balance levels from 2002 to 2020, as shown in Figure </w:t>
      </w:r>
      <w:r w:rsidR="008F717D" w:rsidRPr="00702882">
        <w:rPr>
          <w:rFonts w:eastAsiaTheme="minorEastAsia"/>
        </w:rPr>
        <w:t>12</w:t>
      </w:r>
      <w:r w:rsidRPr="00702882">
        <w:t xml:space="preserve">. Consequently, the focus of this examination is on determining </w:t>
      </w:r>
      <w:r w:rsidRPr="00702882">
        <w:lastRenderedPageBreak/>
        <w:t>whether withdrawals from the CRF mitigate the positive impact of depositing revenue surpluses on its overall balance.</w:t>
      </w:r>
    </w:p>
    <w:p w14:paraId="6213A7B2" w14:textId="77777777" w:rsidR="00AF6702" w:rsidRPr="00702882" w:rsidRDefault="00AF6702" w:rsidP="00C66AC4">
      <w:pPr>
        <w:tabs>
          <w:tab w:val="center" w:pos="4513"/>
        </w:tabs>
        <w:spacing w:line="480" w:lineRule="auto"/>
        <w:rPr>
          <w:rFonts w:eastAsiaTheme="minorEastAsia"/>
          <w:b/>
          <w:bCs/>
          <w:color w:val="7030A0"/>
        </w:rPr>
      </w:pPr>
    </w:p>
    <w:p w14:paraId="271543B6" w14:textId="0A85B906" w:rsidR="00AF6702" w:rsidRPr="00702882" w:rsidRDefault="00AF6702" w:rsidP="00C66AC4">
      <w:pPr>
        <w:spacing w:line="480" w:lineRule="auto"/>
        <w:jc w:val="center"/>
        <w:rPr>
          <w:rFonts w:eastAsiaTheme="minorEastAsia"/>
          <w:b/>
          <w:bCs/>
        </w:rPr>
      </w:pPr>
      <w:r w:rsidRPr="00702882">
        <w:rPr>
          <w:b/>
          <w:bCs/>
        </w:rPr>
        <w:t xml:space="preserve">Figure </w:t>
      </w:r>
      <w:r w:rsidR="0078260A" w:rsidRPr="00702882">
        <w:rPr>
          <w:rFonts w:eastAsiaTheme="minorEastAsia"/>
          <w:b/>
          <w:bCs/>
        </w:rPr>
        <w:t>12</w:t>
      </w:r>
      <w:r w:rsidRPr="00702882">
        <w:rPr>
          <w:b/>
          <w:bCs/>
        </w:rPr>
        <w:t>. Trends of Budget Stabilization Funds’ Levels</w:t>
      </w:r>
      <w:r w:rsidR="005F6DAA" w:rsidRPr="00702882">
        <w:rPr>
          <w:rFonts w:eastAsiaTheme="minorEastAsia"/>
          <w:b/>
          <w:bCs/>
        </w:rPr>
        <w:t>:</w:t>
      </w:r>
    </w:p>
    <w:p w14:paraId="786848CD" w14:textId="3DEB2051" w:rsidR="005F6DAA" w:rsidRPr="00702882" w:rsidRDefault="005F6DAA" w:rsidP="00C66AC4">
      <w:pPr>
        <w:spacing w:line="480" w:lineRule="auto"/>
        <w:jc w:val="center"/>
        <w:rPr>
          <w:rFonts w:eastAsiaTheme="minorEastAsia"/>
          <w:b/>
          <w:bCs/>
        </w:rPr>
      </w:pPr>
      <w:r w:rsidRPr="00702882">
        <w:rPr>
          <w:rFonts w:eastAsiaTheme="minorEastAsia"/>
          <w:b/>
          <w:bCs/>
        </w:rPr>
        <w:t>Nebraska and New Hampshire</w:t>
      </w:r>
    </w:p>
    <w:p w14:paraId="75D3741B" w14:textId="77777777" w:rsidR="00AF6702" w:rsidRPr="00702882" w:rsidRDefault="00AF6702" w:rsidP="00C66AC4">
      <w:pPr>
        <w:spacing w:line="480" w:lineRule="auto"/>
        <w:jc w:val="center"/>
        <w:rPr>
          <w:rFonts w:eastAsiaTheme="minorEastAsia"/>
          <w:b/>
          <w:bCs/>
          <w:color w:val="7030A0"/>
        </w:rPr>
      </w:pPr>
      <w:bookmarkStart w:id="73" w:name="TrendsofBudgetStabilization"/>
      <w:bookmarkEnd w:id="73"/>
    </w:p>
    <w:p w14:paraId="4C1A2B97" w14:textId="77777777" w:rsidR="00AF6702" w:rsidRPr="00702882" w:rsidRDefault="00AF6702" w:rsidP="00C66AC4">
      <w:pPr>
        <w:spacing w:line="480" w:lineRule="auto"/>
        <w:jc w:val="center"/>
        <w:rPr>
          <w:b/>
          <w:bCs/>
          <w:color w:val="7030A0"/>
        </w:rPr>
      </w:pPr>
      <w:r w:rsidRPr="00702882">
        <w:rPr>
          <w:noProof/>
          <w:color w:val="7030A0"/>
          <w14:ligatures w14:val="standardContextual"/>
        </w:rPr>
        <w:drawing>
          <wp:inline distT="0" distB="0" distL="0" distR="0" wp14:anchorId="44AF24F0" wp14:editId="0E28E076">
            <wp:extent cx="5440284" cy="3122014"/>
            <wp:effectExtent l="0" t="0" r="8255" b="2540"/>
            <wp:docPr id="2093472697" name="차트 1">
              <a:extLst xmlns:a="http://schemas.openxmlformats.org/drawingml/2006/main">
                <a:ext uri="{FF2B5EF4-FFF2-40B4-BE49-F238E27FC236}">
                  <a16:creationId xmlns:a16="http://schemas.microsoft.com/office/drawing/2014/main" id="{A94C3BED-564F-372A-F82E-13C6219DD42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D27A0BD" w14:textId="77777777" w:rsidR="00B654B0" w:rsidRPr="00702882" w:rsidRDefault="00B654B0" w:rsidP="00C66AC4">
      <w:pPr>
        <w:tabs>
          <w:tab w:val="left" w:pos="5387"/>
        </w:tabs>
        <w:spacing w:line="480" w:lineRule="auto"/>
        <w:contextualSpacing/>
        <w:rPr>
          <w:rFonts w:eastAsiaTheme="minorEastAsia"/>
        </w:rPr>
      </w:pPr>
    </w:p>
    <w:p w14:paraId="3C1507B2" w14:textId="77777777" w:rsidR="00AF6702" w:rsidRPr="00702882" w:rsidRDefault="00AF6702" w:rsidP="00C66AC4">
      <w:pPr>
        <w:tabs>
          <w:tab w:val="left" w:pos="5387"/>
        </w:tabs>
        <w:spacing w:line="480" w:lineRule="auto"/>
        <w:ind w:firstLineChars="177" w:firstLine="417"/>
        <w:contextualSpacing/>
        <w:rPr>
          <w:i/>
          <w:iCs/>
        </w:rPr>
      </w:pPr>
      <w:r w:rsidRPr="00702882">
        <w:rPr>
          <w:b/>
          <w:bCs/>
          <w:i/>
          <w:iCs/>
        </w:rPr>
        <w:t>7.4.1 New Hampshire’s Revenue Stabilization Fund</w:t>
      </w:r>
    </w:p>
    <w:p w14:paraId="0DD51361" w14:textId="448FBA58" w:rsidR="00AF6702" w:rsidRPr="00702882" w:rsidRDefault="00FB670A" w:rsidP="00FB670A">
      <w:pPr>
        <w:tabs>
          <w:tab w:val="left" w:pos="5387"/>
        </w:tabs>
        <w:spacing w:line="480" w:lineRule="auto"/>
        <w:ind w:firstLineChars="295" w:firstLine="708"/>
        <w:contextualSpacing/>
        <w:rPr>
          <w:rFonts w:eastAsiaTheme="minorEastAsia"/>
          <w:color w:val="C00000"/>
        </w:rPr>
      </w:pPr>
      <w:r w:rsidRPr="00702882">
        <w:rPr>
          <w:rFonts w:eastAsiaTheme="minorEastAsia"/>
        </w:rPr>
        <w:t xml:space="preserve">New Hampshire established the Revenue Stabilization Reserve Account, now known as the Rainy Day Fund (RDF), in 1986, as outlined in the New Hampshire Revised Statutes Annotated (RSA) 9:13-e. </w:t>
      </w:r>
      <w:r w:rsidR="00AF6702" w:rsidRPr="00702882">
        <w:t xml:space="preserve">The amendment, introduced by Chapter 158:41, Laws of 2001, mandates that at the end of every fiscal biennium and all subsequent ones, any surplus, determined via official audit per RSA 21-I:8, I(h), would be transferred to the RDF. </w:t>
      </w:r>
    </w:p>
    <w:p w14:paraId="4255304D" w14:textId="77777777" w:rsidR="00AF6702" w:rsidRPr="00702882" w:rsidRDefault="00AF6702" w:rsidP="00C66AC4">
      <w:pPr>
        <w:tabs>
          <w:tab w:val="left" w:pos="5387"/>
        </w:tabs>
        <w:spacing w:line="480" w:lineRule="auto"/>
        <w:ind w:firstLineChars="295" w:firstLine="708"/>
        <w:contextualSpacing/>
      </w:pPr>
      <w:r w:rsidRPr="00702882">
        <w:lastRenderedPageBreak/>
        <w:t>However, in any given fiscal year, “the total of such transfer shall not exceed half of the total potential maximum balance allowable under paragraph V.</w:t>
      </w:r>
      <w:r w:rsidRPr="00702882">
        <w:rPr>
          <w:rStyle w:val="a5"/>
        </w:rPr>
        <w:footnoteReference w:id="63"/>
      </w:r>
      <w:r w:rsidRPr="00702882">
        <w:t xml:space="preserve"> It means that the amount of surplus funds transferred from the General Fund to the RDF in any given fiscal year cannot be more than half of the 10 % of the actual general fund unrestricted revenues, which is maximum balance allowable. This restriction is in place to ensure that the transfer of surplus funds does not deplete the General Fund excessively. However, </w:t>
      </w:r>
      <w:r w:rsidRPr="00702882">
        <w:rPr>
          <w:i/>
          <w:iCs/>
        </w:rPr>
        <w:t>the aforementioned restriction on the amount of transfer was removed by the 2016 amendment under Chapter 237</w:t>
      </w:r>
      <w:r w:rsidRPr="00702882">
        <w:t>.</w:t>
      </w:r>
      <w:r w:rsidRPr="00702882">
        <w:rPr>
          <w:rStyle w:val="a5"/>
        </w:rPr>
        <w:footnoteReference w:id="64"/>
      </w:r>
      <w:r w:rsidRPr="00702882">
        <w:t xml:space="preserve"> Consequently, New Hampshire implemented the RDF policy that allows for the deposit of surplus funds into the RDF without any limitations. </w:t>
      </w:r>
    </w:p>
    <w:p w14:paraId="592ADF6D" w14:textId="77777777" w:rsidR="00AF6702" w:rsidRPr="00702882" w:rsidRDefault="00AF6702" w:rsidP="00C66AC4">
      <w:pPr>
        <w:tabs>
          <w:tab w:val="left" w:pos="5387"/>
        </w:tabs>
        <w:spacing w:line="480" w:lineRule="auto"/>
        <w:ind w:firstLineChars="295" w:firstLine="708"/>
        <w:contextualSpacing/>
        <w:rPr>
          <w:rFonts w:eastAsiaTheme="minorEastAsia"/>
        </w:rPr>
      </w:pPr>
      <w:r w:rsidRPr="00702882">
        <w:t>By conducting a case study of New Hampshire’s RDF, we can accurately contrast its RDF balance levels during the post-treatment periods with those observed in the pre-treatment periods. It is crucial to emphasize that the funds residing in the RDF cannot be used for any other purpose without specific approval from two-thirds of each house of the Legislature and the Governor. This provision ensures that the funds in the account are safeguarded for deficit reduction and requires a significant majority consensus for any deviation from this purpose. In the event of a General Fund undesignated fund balance deficit at the end of a fiscal biennium, a transfer from the reserved for RDF may only be executed if the General Fund's unrestricted revenues are lower than the budgeted amount. The transfer amount is restricted to the lesser of the General Fund undesignated fund balance deficit.</w:t>
      </w:r>
    </w:p>
    <w:p w14:paraId="5CCA3030" w14:textId="5AAA02CC" w:rsidR="00AF6702" w:rsidRPr="00702882" w:rsidRDefault="00AF6702" w:rsidP="00C66AC4">
      <w:pPr>
        <w:tabs>
          <w:tab w:val="left" w:pos="5387"/>
        </w:tabs>
        <w:spacing w:line="480" w:lineRule="auto"/>
        <w:ind w:firstLineChars="295" w:firstLine="708"/>
        <w:contextualSpacing/>
        <w:rPr>
          <w:rFonts w:eastAsiaTheme="minorEastAsia"/>
        </w:rPr>
      </w:pPr>
      <w:r w:rsidRPr="00702882">
        <w:t xml:space="preserve">Chapter 319:33, Laws of 2003, the transfer from the RDF to the General Fund is authorized in the situation of a General Fund deficit at the end of fiscal year 2003. At June 30, 2004, there were no transfers to or from the RDF. Therefore, the balance remained at $17.3 </w:t>
      </w:r>
      <w:r w:rsidRPr="00702882">
        <w:lastRenderedPageBreak/>
        <w:t xml:space="preserve">million, according to the </w:t>
      </w:r>
      <w:r w:rsidR="00AB6306" w:rsidRPr="00AB6306">
        <w:t>Annual Comprehensive Financial Report (ACFR).</w:t>
      </w:r>
      <w:r w:rsidRPr="00702882">
        <w:t xml:space="preserve"> for FY 2004.</w:t>
      </w:r>
      <w:r w:rsidRPr="00702882">
        <w:rPr>
          <w:rStyle w:val="a5"/>
        </w:rPr>
        <w:footnoteReference w:id="65"/>
      </w:r>
      <w:r w:rsidRPr="00702882">
        <w:t xml:space="preserve"> As per Chapter 177:53, Laws of 2005, the biennial transfer of surplus funds was temporarily suspended. Consequently, in fiscal year 2005, no transfers were made either into or out of the Rainy Day Fund (RDF).</w:t>
      </w:r>
      <w:r w:rsidRPr="00702882">
        <w:rPr>
          <w:rFonts w:eastAsiaTheme="minorEastAsia"/>
        </w:rPr>
        <w:t xml:space="preserve"> </w:t>
      </w:r>
      <w:r w:rsidRPr="00702882">
        <w:t>However, Chapter 35:1, Laws of 2006 directed that any undesignated general fund surplus for the fiscal year ending June 30, 2005, exceeding $30.5 million, should be transferred to the revenue stabilization reserve account (p. 10).</w:t>
      </w:r>
      <w:r w:rsidRPr="00702882">
        <w:rPr>
          <w:rStyle w:val="a5"/>
        </w:rPr>
        <w:footnoteReference w:id="66"/>
      </w:r>
      <w:r w:rsidRPr="00702882">
        <w:rPr>
          <w:b/>
          <w:bCs/>
        </w:rPr>
        <w:t xml:space="preserve"> </w:t>
      </w:r>
      <w:r w:rsidRPr="00702882">
        <w:t>Consequently, in fiscal year 2006, an amount of $51.7 million was transferred to the R</w:t>
      </w:r>
      <w:r w:rsidR="00E30E18" w:rsidRPr="00702882">
        <w:rPr>
          <w:rFonts w:eastAsiaTheme="minorEastAsia"/>
        </w:rPr>
        <w:t>D</w:t>
      </w:r>
      <w:r w:rsidRPr="00702882">
        <w:t>F, increasing the balance to $69.0 million as of June 30, 2006. The State's RDF remained at a steady $9.3 million balance from 2009 until 2015.</w:t>
      </w:r>
    </w:p>
    <w:p w14:paraId="53A7883D" w14:textId="46AE5558" w:rsidR="00AF6702" w:rsidRPr="00702882" w:rsidRDefault="00AF6702" w:rsidP="00C66AC4">
      <w:pPr>
        <w:tabs>
          <w:tab w:val="left" w:pos="5387"/>
        </w:tabs>
        <w:spacing w:line="480" w:lineRule="auto"/>
        <w:ind w:firstLineChars="295" w:firstLine="708"/>
        <w:contextualSpacing/>
        <w:rPr>
          <w:color w:val="7030A0"/>
        </w:rPr>
      </w:pPr>
      <w:r w:rsidRPr="00702882">
        <w:t>During fiscal year 2015, however, the RDF balance saw its first increase, rising to $22.3 million.</w:t>
      </w:r>
      <w:r w:rsidRPr="00702882">
        <w:rPr>
          <w:rStyle w:val="a5"/>
        </w:rPr>
        <w:footnoteReference w:id="67"/>
      </w:r>
      <w:r w:rsidRPr="00702882">
        <w:t xml:space="preserve"> Furthermore, in fiscal year 2015, the implementation of Chapter 214, Laws of 2014 took effect; this legislative directive specified that when the Department of Justice receives judgment or settlement funds exceeding $1 million, the initial 10 percent of those funds must be allocated to the RDF.</w:t>
      </w:r>
      <w:r w:rsidRPr="00702882">
        <w:rPr>
          <w:rStyle w:val="a5"/>
        </w:rPr>
        <w:footnoteReference w:id="68"/>
      </w:r>
      <w:r w:rsidRPr="00702882">
        <w:t xml:space="preserve"> While the RDF balance did increase in fiscal year 2015 compared to previous levels, it remains at 1.7% of general fund expenditures. This level is still considered modest when compared to reserves in other states.</w:t>
      </w:r>
      <w:r w:rsidRPr="00702882">
        <w:rPr>
          <w:rFonts w:eastAsiaTheme="minorEastAsia"/>
        </w:rPr>
        <w:t xml:space="preserve"> </w:t>
      </w:r>
      <w:r w:rsidRPr="00702882">
        <w:t>Moving into fiscal year 2016, the State received substantial environmental litigation settlement payments, totaling $307.2 million; thus, this resulted in a substantial $30.7 million boost to the RDF’s balance.</w:t>
      </w:r>
      <w:r w:rsidRPr="00702882">
        <w:rPr>
          <w:rStyle w:val="a5"/>
        </w:rPr>
        <w:footnoteReference w:id="69"/>
      </w:r>
      <w:r w:rsidRPr="00702882">
        <w:t xml:space="preserve"> Additionally, due to revenues exceeding expectations, an additional $40 million was transferred to the RDF during </w:t>
      </w:r>
      <w:r w:rsidRPr="00702882">
        <w:lastRenderedPageBreak/>
        <w:t xml:space="preserve">the fiscal year, culminating in a balance of $93.0 million as of June 30, 2016, according to the 2019 </w:t>
      </w:r>
      <w:r w:rsidR="003E4E5B">
        <w:t>ACFR</w:t>
      </w:r>
      <w:r w:rsidR="003E4E5B">
        <w:rPr>
          <w:rFonts w:eastAsiaTheme="minorEastAsia" w:hint="eastAsia"/>
        </w:rPr>
        <w:t xml:space="preserve">. </w:t>
      </w:r>
      <w:r w:rsidRPr="00702882">
        <w:t xml:space="preserve"> </w:t>
      </w:r>
    </w:p>
    <w:p w14:paraId="5D226E17" w14:textId="7CEEB979" w:rsidR="00AF6702" w:rsidRPr="00702882" w:rsidRDefault="00AF6702" w:rsidP="00C66AC4">
      <w:pPr>
        <w:tabs>
          <w:tab w:val="left" w:pos="5387"/>
        </w:tabs>
        <w:spacing w:line="480" w:lineRule="auto"/>
        <w:ind w:firstLineChars="295" w:firstLine="708"/>
        <w:contextualSpacing/>
      </w:pPr>
      <w:r w:rsidRPr="00702882">
        <w:t>The 2016 amendment outlined in Chapter 237 played a role in augmenting the RDF balance by modifying the statutory framework for RDF contributions. However, it should be noted that the growth of the RDF balance in New Hampshire was also influenced by revenue surpluses with robust economic conditions and decisions made by both the governor and the legislature. As per the press release, bipartisan legislation signed in 2016 bolstered the Rainy Day Fund by $40 million.</w:t>
      </w:r>
      <w:r w:rsidRPr="00702882">
        <w:rPr>
          <w:rStyle w:val="a5"/>
        </w:rPr>
        <w:footnoteReference w:id="70"/>
      </w:r>
      <w:r w:rsidRPr="00702882">
        <w:t xml:space="preserve"> The press release further highlights that former Governor Hassan (2013-2017) envisions the potential complete restoration of the Rainy Day Fund by the end of the biennium. To advance this objective, she advocated for and successfully obtained legislative approval for a new law that removes the previous cap on single-year transfers into the Rainy Day Fund, which was formerly restricted to 10 percent of the prior year's unrestricted general fund revenues, approximately $140-$150 million.</w:t>
      </w:r>
      <w:r w:rsidR="00852393" w:rsidRPr="00702882">
        <w:rPr>
          <w:rStyle w:val="a5"/>
        </w:rPr>
        <w:footnoteReference w:id="71"/>
      </w:r>
    </w:p>
    <w:p w14:paraId="0CE651B5" w14:textId="07006208" w:rsidR="00AF6702" w:rsidRPr="00702882" w:rsidRDefault="00AF6702" w:rsidP="00C66AC4">
      <w:pPr>
        <w:tabs>
          <w:tab w:val="left" w:pos="5387"/>
        </w:tabs>
        <w:spacing w:line="480" w:lineRule="auto"/>
        <w:ind w:firstLineChars="295" w:firstLine="708"/>
        <w:contextualSpacing/>
        <w:rPr>
          <w:color w:val="7030A0"/>
        </w:rPr>
      </w:pPr>
      <w:r w:rsidRPr="00702882">
        <w:t>In 2017, Chapter 156 of the Laws of 2017 set a new statutory limit stating that any surplus, once enough funds were transferred to reach a $100 million balance in the Rainy Day Fund (RDF), should be directed to the Public School Infrastructure Fund. This mandate resulted in the transfer of surplus funds exceeding fiscal year 2017 estimates (excluding a $0.9 million deposit) to the RDF, increasing it to $100 million.</w:t>
      </w:r>
      <w:r w:rsidR="0071330B" w:rsidRPr="00702882">
        <w:rPr>
          <w:rStyle w:val="a5"/>
        </w:rPr>
        <w:footnoteReference w:id="72"/>
      </w:r>
      <w:r w:rsidR="00B834B8" w:rsidRPr="00702882">
        <w:rPr>
          <w:rFonts w:eastAsiaTheme="minorEastAsia"/>
        </w:rPr>
        <w:t xml:space="preserve"> </w:t>
      </w:r>
      <w:r w:rsidRPr="00702882">
        <w:t>A subsequent transfer of $6.1 million from the fiscal year 2017 surplus contributed to this total.</w:t>
      </w:r>
      <w:r w:rsidRPr="00702882">
        <w:rPr>
          <w:rFonts w:eastAsiaTheme="minorEastAsia"/>
        </w:rPr>
        <w:t xml:space="preserve"> </w:t>
      </w:r>
      <w:r w:rsidRPr="00702882">
        <w:t xml:space="preserve">In 2018, Chapter 162 required an additional $10 million from FY 2018 excess revenues to be allocated to the RDF, elevating its balance to </w:t>
      </w:r>
      <w:r w:rsidRPr="00702882">
        <w:lastRenderedPageBreak/>
        <w:t>$110 million. Furthermore, Chapter 345 in 2019 directed $5 million of FY 2019 excess revenues, bringing the RDF's total to $115.3 million. This chapter also established a cap on RDF transfers, leaving $192.5 million in undesignated General Fund surplus as of June 30, 2019, to be carried forward into the next biennium.</w:t>
      </w:r>
    </w:p>
    <w:p w14:paraId="7AD94F10" w14:textId="1722F3C5" w:rsidR="00AF6702" w:rsidRPr="00702882" w:rsidRDefault="00AF6702" w:rsidP="00C66AC4">
      <w:pPr>
        <w:tabs>
          <w:tab w:val="left" w:pos="5387"/>
        </w:tabs>
        <w:spacing w:line="480" w:lineRule="auto"/>
        <w:ind w:firstLineChars="295" w:firstLine="708"/>
        <w:contextualSpacing/>
        <w:rPr>
          <w:rFonts w:eastAsiaTheme="minorEastAsia"/>
        </w:rPr>
      </w:pPr>
      <w:r w:rsidRPr="00702882">
        <w:t xml:space="preserve">In summary, </w:t>
      </w:r>
      <w:r w:rsidRPr="00702882">
        <w:rPr>
          <w:i/>
          <w:iCs/>
        </w:rPr>
        <w:t xml:space="preserve">New Hampshire enacted a substantial policy change in 2016, removing the restriction on RDF transfers and enabling the state to deposit its entire revenue surplus into the </w:t>
      </w:r>
      <w:r w:rsidRPr="005A676B">
        <w:rPr>
          <w:i/>
          <w:iCs/>
        </w:rPr>
        <w:t>fund.</w:t>
      </w:r>
      <w:r w:rsidRPr="00702882">
        <w:t xml:space="preserve"> </w:t>
      </w:r>
      <w:r w:rsidRPr="005A676B">
        <w:rPr>
          <w:i/>
          <w:iCs/>
        </w:rPr>
        <w:t>This change, driven by a collaborative effort between the governor and the legislature, resulted in a substantial increase in the RDF balance</w:t>
      </w:r>
      <w:r w:rsidRPr="00702882">
        <w:t xml:space="preserve">. </w:t>
      </w:r>
      <w:r w:rsidRPr="00702882">
        <w:rPr>
          <w:rFonts w:eastAsiaTheme="minorEastAsia"/>
        </w:rPr>
        <w:t xml:space="preserve">This finding aligns with the results obtained from both the fixed effects and GSCM models, revealing a positive impact of deposit revenue surplus on BSF levels. </w:t>
      </w:r>
    </w:p>
    <w:p w14:paraId="341FE8FE" w14:textId="77777777" w:rsidR="00AF6702" w:rsidRPr="00702882" w:rsidRDefault="00AF6702" w:rsidP="00A44076">
      <w:pPr>
        <w:tabs>
          <w:tab w:val="left" w:pos="5387"/>
        </w:tabs>
        <w:spacing w:line="480" w:lineRule="auto"/>
        <w:contextualSpacing/>
        <w:rPr>
          <w:rFonts w:eastAsiaTheme="minorEastAsia"/>
          <w:b/>
          <w:bCs/>
          <w:color w:val="7030A0"/>
        </w:rPr>
      </w:pPr>
    </w:p>
    <w:p w14:paraId="473A2CCB" w14:textId="77777777" w:rsidR="00AF6702" w:rsidRPr="00702882" w:rsidRDefault="00AF6702" w:rsidP="00C66AC4">
      <w:pPr>
        <w:tabs>
          <w:tab w:val="left" w:pos="5387"/>
        </w:tabs>
        <w:spacing w:line="480" w:lineRule="auto"/>
        <w:ind w:firstLineChars="180" w:firstLine="424"/>
        <w:contextualSpacing/>
        <w:rPr>
          <w:rFonts w:eastAsiaTheme="minorEastAsia"/>
        </w:rPr>
      </w:pPr>
      <w:r w:rsidRPr="00702882">
        <w:rPr>
          <w:b/>
          <w:bCs/>
          <w:i/>
          <w:iCs/>
        </w:rPr>
        <w:t>7.4.2 Nebraska’s Cash Reserve Fund</w:t>
      </w:r>
    </w:p>
    <w:p w14:paraId="1DD53D64" w14:textId="77777777" w:rsidR="00AF6702" w:rsidRPr="00702882" w:rsidRDefault="00AF6702" w:rsidP="00C66AC4">
      <w:pPr>
        <w:spacing w:line="480" w:lineRule="auto"/>
        <w:ind w:firstLineChars="295" w:firstLine="708"/>
        <w:rPr>
          <w:rFonts w:eastAsiaTheme="minorEastAsia"/>
        </w:rPr>
      </w:pPr>
      <w:r w:rsidRPr="00702882">
        <w:t xml:space="preserve">The state of Nebraska established the Cash Reserve Fund (CRF) within the state treasury in 1983. </w:t>
      </w:r>
      <w:r w:rsidRPr="00702882">
        <w:rPr>
          <w:rFonts w:eastAsiaTheme="minorEastAsia"/>
        </w:rPr>
        <w:t xml:space="preserve">In Figure 5, Nebraska’s Cash Reserve Fund (CRF) saw a notable increase of 14.2 percentage points from FY 2004 to 2007 and an additional 8.3 percentage points from FY 2013 to 2014. The Nebraska case study aims to identify whether this surge from 2003 to 2007 is due to a stringent deposit rule, such as depositing revenue surplus into CRF, or other factors. The Cash Reserve Fund is composed of two primary funding sources. The initial source consists of general funds. By statutory mandate, </w:t>
      </w:r>
      <w:r w:rsidRPr="00702882">
        <w:t>any revenues exceeding certified forecasts are required to be transferred from the General Fund to the Cash Reserve Fund.</w:t>
      </w:r>
      <w:r w:rsidRPr="00702882">
        <w:rPr>
          <w:rStyle w:val="a5"/>
        </w:rPr>
        <w:footnoteReference w:id="73"/>
      </w:r>
      <w:r w:rsidRPr="00702882">
        <w:t xml:space="preserve"> </w:t>
      </w:r>
    </w:p>
    <w:p w14:paraId="18A0F069" w14:textId="77777777" w:rsidR="00AF6702" w:rsidRPr="00702882" w:rsidRDefault="00AF6702" w:rsidP="00C66AC4">
      <w:pPr>
        <w:spacing w:line="480" w:lineRule="auto"/>
        <w:ind w:firstLineChars="295" w:firstLine="708"/>
        <w:rPr>
          <w:rFonts w:eastAsiaTheme="minorEastAsia"/>
          <w:color w:val="7030A0"/>
        </w:rPr>
      </w:pPr>
      <w:r w:rsidRPr="00702882">
        <w:t>The second funding source originates from federal funds.</w:t>
      </w:r>
      <w:r w:rsidRPr="00702882">
        <w:rPr>
          <w:rFonts w:eastAsiaTheme="minorEastAsia"/>
        </w:rPr>
        <w:t xml:space="preserve"> T</w:t>
      </w:r>
      <w:r w:rsidRPr="00702882">
        <w:t xml:space="preserve">he 2003 amendment specified that the Cash Reserve Fund is to receive federal funds obtained by the State of Nebraska for </w:t>
      </w:r>
      <w:r w:rsidRPr="00702882">
        <w:lastRenderedPageBreak/>
        <w:t>general government purposes, federal revenue sharing, or general fiscal relief of the state, in addition to transfers from other funds.</w:t>
      </w:r>
      <w:r w:rsidRPr="00702882">
        <w:rPr>
          <w:rStyle w:val="a5"/>
        </w:rPr>
        <w:footnoteReference w:id="74"/>
      </w:r>
      <w:r w:rsidRPr="00702882">
        <w:t xml:space="preserve"> For example, Nebraska received $29 million in the late fiscal year 2003 as a part of the “Jobs and Growth Tax Relief Act of 2003,” a federal fiscal relief. An additional $29 million was also received in fiscal years 2005-2006.</w:t>
      </w:r>
      <w:r w:rsidRPr="00702882">
        <w:rPr>
          <w:rStyle w:val="a5"/>
        </w:rPr>
        <w:footnoteReference w:id="75"/>
      </w:r>
      <w:r w:rsidRPr="00702882">
        <w:t xml:space="preserve"> These funds were allocated to the Cash Reserve Fund, serving as a financial support to the state. However, federal funds, being much smaller than general funds as a CRF funding source, sporadically contribute to CRF levels.</w:t>
      </w:r>
      <w:r w:rsidRPr="00702882">
        <w:rPr>
          <w:rFonts w:eastAsiaTheme="minorEastAsia"/>
        </w:rPr>
        <w:t xml:space="preserve"> </w:t>
      </w:r>
      <w:r w:rsidRPr="00702882">
        <w:t>Therefore, it is challenging to assert that federal funds are crucial for improving CRF levels.</w:t>
      </w:r>
    </w:p>
    <w:p w14:paraId="71339FC4" w14:textId="74833A13" w:rsidR="00AF6702" w:rsidRPr="00702882" w:rsidRDefault="00AF6702" w:rsidP="00C66AC4">
      <w:pPr>
        <w:spacing w:line="480" w:lineRule="auto"/>
        <w:ind w:firstLineChars="295" w:firstLine="708"/>
        <w:rPr>
          <w:rFonts w:eastAsiaTheme="minorEastAsia"/>
        </w:rPr>
      </w:pPr>
      <w:r w:rsidRPr="00702882">
        <w:rPr>
          <w:rFonts w:eastAsiaTheme="minorEastAsia"/>
        </w:rPr>
        <w:t>For example,</w:t>
      </w:r>
      <w:r w:rsidRPr="00702882">
        <w:t xml:space="preserve"> a statutory requirement led to a significant transfer of $262 million from the General Fund cash account—nearly ten times larger than the federal funds received in fiscal year 2005—to the Cash Reserve Fund due to the higher-than-anticipated revenues in 2005.</w:t>
      </w:r>
      <w:r w:rsidRPr="00702882">
        <w:rPr>
          <w:rStyle w:val="a5"/>
        </w:rPr>
        <w:footnoteReference w:id="76"/>
      </w:r>
      <w:r w:rsidRPr="00702882">
        <w:t xml:space="preserve"> However, this transfer was offset by a $146 million payment made on August 1, 2005, from the Cash Reserve Fund to settle a lawsuit against the State related to a low-level radioactive waste site, according to the 2007 </w:t>
      </w:r>
      <w:r w:rsidR="00E20145">
        <w:t>ACFR</w:t>
      </w:r>
      <w:r w:rsidRPr="00702882">
        <w:t>.</w:t>
      </w:r>
      <w:r w:rsidRPr="00702882">
        <w:rPr>
          <w:rFonts w:eastAsiaTheme="minorEastAsia"/>
        </w:rPr>
        <w:t xml:space="preserve"> In July 2007, a statutory transfer of $191 million was made from the General Fund to the CRF, as required by law. Statutory disbursements of $93 million from the CRF occurred in July 2007, leaving a balance of $614 million as of July 31, 2007.</w:t>
      </w:r>
    </w:p>
    <w:p w14:paraId="6485282C" w14:textId="77777777" w:rsidR="00AF6702" w:rsidRPr="00702882" w:rsidRDefault="00AF6702" w:rsidP="00C66AC4">
      <w:pPr>
        <w:spacing w:line="480" w:lineRule="auto"/>
        <w:ind w:firstLineChars="295" w:firstLine="708"/>
        <w:rPr>
          <w:rFonts w:eastAsiaTheme="minorEastAsia"/>
        </w:rPr>
      </w:pPr>
      <w:r w:rsidRPr="00702882">
        <w:rPr>
          <w:rFonts w:eastAsiaTheme="minorEastAsia"/>
        </w:rPr>
        <w:t xml:space="preserve">However, the upward trend in Cash Reserve Fund levels slows down in fiscal years 2008-2009, and it decreases until 2011. </w:t>
      </w:r>
      <w:r w:rsidRPr="00702882">
        <w:t xml:space="preserve">The Cash Reserve Fund can be used for legislatively mandated </w:t>
      </w:r>
      <w:r w:rsidRPr="00702882">
        <w:lastRenderedPageBreak/>
        <w:t>transfers to other funds as specified by law.</w:t>
      </w:r>
      <w:r w:rsidRPr="00702882">
        <w:rPr>
          <w:rStyle w:val="a5"/>
        </w:rPr>
        <w:footnoteReference w:id="77"/>
      </w:r>
      <w:r w:rsidRPr="00702882">
        <w:t xml:space="preserve"> These discretionary transfers allow the Legislature to allocate funds for specific purposes or projects as needed and within the limits of the law.</w:t>
      </w:r>
      <w:r w:rsidRPr="00702882">
        <w:rPr>
          <w:rStyle w:val="a5"/>
        </w:rPr>
        <w:footnoteReference w:id="78"/>
      </w:r>
      <w:r w:rsidRPr="00702882">
        <w:t xml:space="preserve"> In other words, while stringent deposit rules contribute to enhancing CRF balance levels, legislative discretion can still diminish the CRF levels augmented by these requirements.</w:t>
      </w:r>
      <w:r w:rsidRPr="00702882">
        <w:rPr>
          <w:rFonts w:eastAsiaTheme="minorEastAsia"/>
        </w:rPr>
        <w:t xml:space="preserve"> </w:t>
      </w:r>
    </w:p>
    <w:p w14:paraId="6363177E" w14:textId="687F0DAA" w:rsidR="00AF6702" w:rsidRPr="00702882" w:rsidRDefault="00AF6702" w:rsidP="00C66AC4">
      <w:pPr>
        <w:spacing w:line="480" w:lineRule="auto"/>
        <w:ind w:firstLineChars="295" w:firstLine="708"/>
        <w:rPr>
          <w:rFonts w:eastAsiaTheme="minorEastAsia"/>
        </w:rPr>
      </w:pPr>
      <w:r w:rsidRPr="00702882">
        <w:t>For instance, actual receipts for fiscal years 2007-2008 exceeded the forecast by $116.9 million; however, $109 million (net) was utilized for various transfers during the 2007 session</w:t>
      </w:r>
      <w:r w:rsidRPr="00702882">
        <w:rPr>
          <w:rFonts w:eastAsiaTheme="minorEastAsia"/>
        </w:rPr>
        <w:t>.</w:t>
      </w:r>
      <w:r w:rsidRPr="00702882">
        <w:rPr>
          <w:rStyle w:val="a5"/>
        </w:rPr>
        <w:footnoteReference w:id="79"/>
      </w:r>
      <w:r w:rsidRPr="00702882">
        <w:rPr>
          <w:rFonts w:eastAsiaTheme="minorEastAsia"/>
        </w:rPr>
        <w:t xml:space="preserve"> For fiscal year 2009, there were transfers from the Job Training Cash Fund to the CRF as per Laws 2005, LB 427, § 2; however, </w:t>
      </w:r>
      <w:r w:rsidRPr="00702882">
        <w:t xml:space="preserve">the Legislature utilized $109 million of Cash Reserve Funds in the 2007 session and $21 million for various purposes, including </w:t>
      </w:r>
      <w:r w:rsidRPr="00702882">
        <w:rPr>
          <w:rFonts w:eastAsiaTheme="minorEastAsia"/>
        </w:rPr>
        <w:t>water rights, state fair relocation, roads operations, and cultural preservation</w:t>
      </w:r>
      <w:r w:rsidRPr="00702882">
        <w:t>.</w:t>
      </w:r>
    </w:p>
    <w:p w14:paraId="6B89321C" w14:textId="77777777" w:rsidR="00AF6702" w:rsidRPr="00702882" w:rsidRDefault="00AF6702" w:rsidP="00C66AC4">
      <w:pPr>
        <w:spacing w:line="480" w:lineRule="auto"/>
        <w:ind w:firstLineChars="295" w:firstLine="708"/>
      </w:pPr>
      <w:r w:rsidRPr="00702882">
        <w:rPr>
          <w:rFonts w:eastAsiaTheme="minorEastAsia"/>
        </w:rPr>
        <w:t>The CRF initially decreased in 2010 and 2011 due to statutory transfers and borrowing for the Ethanol Production Incentive.</w:t>
      </w:r>
      <w:r w:rsidRPr="00702882">
        <w:rPr>
          <w:rStyle w:val="a5"/>
        </w:rPr>
        <w:footnoteReference w:id="80"/>
      </w:r>
      <w:r w:rsidRPr="00702882">
        <w:rPr>
          <w:rFonts w:eastAsiaTheme="minorEastAsia"/>
        </w:rPr>
        <w:t xml:space="preserve"> In 2012, the CRF experienced growth through a combination of net transfers and additional revenues. This increase was facilitated by borrowing a total of $4.46 million in FY2011-12, with repayment reflected in FY2012-13. Additionally, a statutory transfer of $37 million was made from the CRF to the General Fund during this period.</w:t>
      </w:r>
      <w:r w:rsidRPr="00702882">
        <w:rPr>
          <w:rStyle w:val="a5"/>
        </w:rPr>
        <w:footnoteReference w:id="81"/>
      </w:r>
      <w:r w:rsidRPr="00702882">
        <w:rPr>
          <w:rFonts w:eastAsiaTheme="minorEastAsia"/>
        </w:rPr>
        <w:t xml:space="preserve"> </w:t>
      </w:r>
      <w:r w:rsidRPr="00702882">
        <w:t>There were also other net transfers into the Fund, totaling $144 million, and additional revenues of $9 million. As a result, the Cash Reserve Fund balance increased to $429 million as of June 30, 2012.</w:t>
      </w:r>
      <w:r w:rsidRPr="00702882">
        <w:rPr>
          <w:rStyle w:val="a5"/>
        </w:rPr>
        <w:footnoteReference w:id="82"/>
      </w:r>
    </w:p>
    <w:p w14:paraId="09544740" w14:textId="0047A79A" w:rsidR="00AF6702" w:rsidRPr="00702882" w:rsidRDefault="00AF6702" w:rsidP="00C66AC4">
      <w:pPr>
        <w:spacing w:line="480" w:lineRule="auto"/>
        <w:ind w:firstLineChars="295" w:firstLine="708"/>
      </w:pPr>
      <w:r w:rsidRPr="00702882">
        <w:lastRenderedPageBreak/>
        <w:t xml:space="preserve">In early 2014, the Cash Reserve Fund stood at $384 million, according to the 2015 </w:t>
      </w:r>
      <w:r w:rsidR="001D3E8D">
        <w:t>ACFR</w:t>
      </w:r>
      <w:r w:rsidRPr="00702882">
        <w:t>.</w:t>
      </w:r>
      <w:r w:rsidRPr="00702882">
        <w:rPr>
          <w:rStyle w:val="a5"/>
        </w:rPr>
        <w:footnoteReference w:id="83"/>
      </w:r>
      <w:r w:rsidRPr="00702882">
        <w:t xml:space="preserve"> During that year, a net statutory transfer of $335 million from the General Fund significantly increased the Cash Reserve Fund's balance, resulting in a total of $719 million as of June 30, 2014; in 2015, a statutory transfer of $68 million from the Fund to the General Fund and other net transfers totaling $77 million occurred, maintaining a robust Fund balance of $728 million as of June 30, 2015.</w:t>
      </w:r>
      <w:r w:rsidRPr="00702882">
        <w:rPr>
          <w:rStyle w:val="a5"/>
        </w:rPr>
        <w:footnoteReference w:id="84"/>
      </w:r>
      <w:r w:rsidRPr="00702882">
        <w:t xml:space="preserve"> This substantiates the hypothesis that a stringent deposit rule contributes to increasing Nebraska's Cash Reserve Fund levels.</w:t>
      </w:r>
    </w:p>
    <w:p w14:paraId="013E0519" w14:textId="77777777" w:rsidR="00AF6702" w:rsidRPr="00702882" w:rsidRDefault="00AF6702" w:rsidP="00C66AC4">
      <w:pPr>
        <w:spacing w:line="480" w:lineRule="auto"/>
        <w:ind w:firstLineChars="295" w:firstLine="708"/>
        <w:rPr>
          <w:rFonts w:eastAsiaTheme="minorEastAsia"/>
        </w:rPr>
      </w:pPr>
      <w:r w:rsidRPr="00702882">
        <w:rPr>
          <w:rFonts w:eastAsiaTheme="minorEastAsia"/>
        </w:rPr>
        <w:t>In 2018, net statutory transfers to the General Fund were $225 million, while transfers out amounted to $116 million, leaving the Cash Reserve Fund at $340 million by June 30, 2018</w:t>
      </w:r>
      <w:r w:rsidRPr="00702882">
        <w:t>.</w:t>
      </w:r>
      <w:r w:rsidRPr="00702882">
        <w:rPr>
          <w:rStyle w:val="a5"/>
        </w:rPr>
        <w:footnoteReference w:id="85"/>
      </w:r>
      <w:r w:rsidRPr="00702882">
        <w:t xml:space="preserve"> Excess General Fund revenue, in accordance with statutory requirements, led to a $62 million transfer to the Cash Reserve Fund, elevating the balance to $397 million by November 30, 2018; however, in FY 2018, $118.23 million was transferred from the Cash Reserve Fund to the Capital Construction Fund, followed by transfers of $10.01 million and $10.43 million in 2019 and 2020, respectively.</w:t>
      </w:r>
      <w:r w:rsidRPr="00702882">
        <w:rPr>
          <w:rStyle w:val="a5"/>
        </w:rPr>
        <w:footnoteReference w:id="86"/>
      </w:r>
      <w:r w:rsidRPr="00702882">
        <w:t xml:space="preserve"> </w:t>
      </w:r>
    </w:p>
    <w:p w14:paraId="50A4140B" w14:textId="73A63B7A" w:rsidR="00AF6702" w:rsidRPr="00702882" w:rsidRDefault="00AF6702" w:rsidP="00041FEE">
      <w:pPr>
        <w:spacing w:line="480" w:lineRule="auto"/>
        <w:ind w:firstLineChars="295" w:firstLine="708"/>
        <w:rPr>
          <w:rFonts w:eastAsiaTheme="minorEastAsia"/>
        </w:rPr>
      </w:pPr>
      <w:r w:rsidRPr="00702882">
        <w:rPr>
          <w:rFonts w:eastAsiaTheme="minorEastAsia"/>
        </w:rPr>
        <w:t xml:space="preserve">In sum, </w:t>
      </w:r>
      <w:r w:rsidRPr="00702882">
        <w:rPr>
          <w:rFonts w:eastAsiaTheme="minorEastAsia"/>
          <w:i/>
          <w:iCs/>
        </w:rPr>
        <w:t>the notable rise in the CRF can be attributed to an unexpected surge in revenue and a stringent deposit rule that mandate the saving of such revenue surpluses in the CRF</w:t>
      </w:r>
      <w:r w:rsidRPr="00702882">
        <w:rPr>
          <w:rFonts w:eastAsiaTheme="minorEastAsia"/>
        </w:rPr>
        <w:t>. Nevertheless, this accrued CRF has been consistently tapped into by legislative appropriations for specific purposes (e.g., capital projects) or to offset budget deficits. Consequently, the CRF exhibits substantial fluctuations marked by sizable deposits and frequent withdrawals.</w:t>
      </w:r>
    </w:p>
    <w:p w14:paraId="73ACF846" w14:textId="77777777" w:rsidR="00041FEE" w:rsidRPr="00702882" w:rsidRDefault="00041FEE" w:rsidP="00C66AC4">
      <w:pPr>
        <w:spacing w:line="480" w:lineRule="auto"/>
        <w:rPr>
          <w:rFonts w:eastAsiaTheme="minorEastAsia"/>
          <w:b/>
          <w:bCs/>
        </w:rPr>
      </w:pPr>
    </w:p>
    <w:p w14:paraId="41A1C675" w14:textId="396BB289" w:rsidR="00AF6702" w:rsidRPr="00702882" w:rsidRDefault="00AF6702" w:rsidP="00C66AC4">
      <w:pPr>
        <w:spacing w:line="480" w:lineRule="auto"/>
        <w:rPr>
          <w:b/>
          <w:bCs/>
        </w:rPr>
      </w:pPr>
      <w:r w:rsidRPr="00702882">
        <w:rPr>
          <w:b/>
          <w:bCs/>
        </w:rPr>
        <w:lastRenderedPageBreak/>
        <w:t xml:space="preserve">7.5 </w:t>
      </w:r>
      <w:bookmarkStart w:id="74" w:name="FundingSources"/>
      <w:r w:rsidRPr="00702882">
        <w:rPr>
          <w:b/>
          <w:bCs/>
        </w:rPr>
        <w:t>Funding Source</w:t>
      </w:r>
      <w:bookmarkStart w:id="75" w:name="FundingSource"/>
      <w:bookmarkEnd w:id="74"/>
      <w:bookmarkEnd w:id="75"/>
    </w:p>
    <w:p w14:paraId="4E7ADC97" w14:textId="6B603318" w:rsidR="00041FEE" w:rsidRPr="00702882" w:rsidRDefault="00ED70F8" w:rsidP="00041FEE">
      <w:pPr>
        <w:tabs>
          <w:tab w:val="left" w:pos="5387"/>
        </w:tabs>
        <w:spacing w:line="480" w:lineRule="auto"/>
        <w:ind w:firstLineChars="295" w:firstLine="708"/>
        <w:contextualSpacing/>
        <w:rPr>
          <w:rFonts w:eastAsiaTheme="minorEastAsia"/>
        </w:rPr>
      </w:pPr>
      <w:r w:rsidRPr="00702882">
        <w:rPr>
          <w:rFonts w:eastAsiaTheme="minorEastAsia"/>
        </w:rPr>
        <w:t>The variable "source" demonstrates a negative influence on BSF levels in the fixed effects models. However, this negative effect is mitigated by the interaction term between "source" and the unemployment rate. In contrast, "source" shows a positive impact on BSF levels in the G</w:t>
      </w:r>
      <w:r w:rsidR="00041FEE" w:rsidRPr="00702882">
        <w:rPr>
          <w:rFonts w:eastAsiaTheme="minorEastAsia"/>
        </w:rPr>
        <w:t xml:space="preserve">eneralized Synthetic Control Method that </w:t>
      </w:r>
      <w:r w:rsidRPr="00702882">
        <w:rPr>
          <w:rFonts w:eastAsiaTheme="minorEastAsia"/>
        </w:rPr>
        <w:t>supports our initial hypothesis.</w:t>
      </w:r>
      <w:r w:rsidR="00612A77" w:rsidRPr="00702882">
        <w:rPr>
          <w:rFonts w:eastAsiaTheme="minorEastAsia"/>
        </w:rPr>
        <w:t xml:space="preserve"> </w:t>
      </w:r>
      <w:r w:rsidR="00041FEE" w:rsidRPr="00702882">
        <w:rPr>
          <w:rFonts w:eastAsiaTheme="minorEastAsia"/>
        </w:rPr>
        <w:t>To understand the mechanism of the effect of the source on BSF levels, I focus on analyzing the Texas Economic Stabilization Fund (ESF) and Hawaii’s Emergency and Budget Reserve Fund (EBRF).</w:t>
      </w:r>
    </w:p>
    <w:p w14:paraId="764755E2" w14:textId="7CCB1C2E" w:rsidR="00AF6702" w:rsidRPr="00702882" w:rsidRDefault="00AF6702" w:rsidP="00612A77">
      <w:pPr>
        <w:tabs>
          <w:tab w:val="left" w:pos="5387"/>
        </w:tabs>
        <w:spacing w:line="480" w:lineRule="auto"/>
        <w:ind w:firstLineChars="295" w:firstLine="708"/>
        <w:contextualSpacing/>
        <w:rPr>
          <w:rFonts w:eastAsiaTheme="minorEastAsia"/>
        </w:rPr>
      </w:pPr>
      <w:r w:rsidRPr="00702882">
        <w:t>Among the states with BSF funded by special revenues, we have excluded Alabama, Alaska, Oklahoma, and Wyoming, as previously mentioned. In the case of West Virginia, the Revenue Shortfall Reserve Fund-Part B received funding from the Tobacco Settlement Medical Trust Fund in fiscal year 2006, while Part A is funded by a surplus from the general fund.</w:t>
      </w:r>
      <w:r w:rsidRPr="00702882">
        <w:rPr>
          <w:rStyle w:val="a5"/>
        </w:rPr>
        <w:footnoteReference w:id="87"/>
      </w:r>
      <w:r w:rsidRPr="00702882">
        <w:t xml:space="preserve"> Nebraska's Cash Reserve Fund received federal funds for fiscal years 2004, 2005, and 2006, as discussed in the previous section; otherwise, it is funded by the general fund.</w:t>
      </w:r>
      <w:r w:rsidRPr="00702882">
        <w:rPr>
          <w:rStyle w:val="a5"/>
        </w:rPr>
        <w:footnoteReference w:id="88"/>
      </w:r>
    </w:p>
    <w:p w14:paraId="05ABFB53" w14:textId="2FFABFDC" w:rsidR="004B2E02" w:rsidRPr="00702882" w:rsidRDefault="009E78B9" w:rsidP="00C7556E">
      <w:pPr>
        <w:tabs>
          <w:tab w:val="left" w:pos="5387"/>
        </w:tabs>
        <w:spacing w:line="480" w:lineRule="auto"/>
        <w:ind w:firstLineChars="295" w:firstLine="708"/>
        <w:contextualSpacing/>
        <w:rPr>
          <w:rFonts w:eastAsiaTheme="minorEastAsia"/>
        </w:rPr>
      </w:pPr>
      <w:r w:rsidRPr="00702882">
        <w:t>Excluding the previously mentioned states, Hawaii, Louisiana, and Texas stand out as the remaining states relying on special revenue as a funding source for their BSFs. Th</w:t>
      </w:r>
      <w:r w:rsidR="006327DD" w:rsidRPr="00702882">
        <w:rPr>
          <w:rFonts w:eastAsiaTheme="minorEastAsia"/>
        </w:rPr>
        <w:t>us, the</w:t>
      </w:r>
      <w:r w:rsidRPr="00702882">
        <w:t xml:space="preserve"> study perform</w:t>
      </w:r>
      <w:r w:rsidR="006327DD" w:rsidRPr="00702882">
        <w:rPr>
          <w:rFonts w:eastAsiaTheme="minorEastAsia"/>
        </w:rPr>
        <w:t>s</w:t>
      </w:r>
      <w:r w:rsidRPr="00702882">
        <w:t xml:space="preserve"> a comparative analysis of three key fiscal reserves: Texas’ Economic Stabilization Fund (ESF), Hawaii’s Emergency and Budget Reserve Fund (EBRF), and Louisiana’s Budget Stabilization Fund (BSF). This comparison is especially noteworthy due to the significant growth observed in Texas’ ESF since the fiscal year 2008, in stark contrast to Louisiana’s BSF, which has exhibited a declining trend since the fiscal year 2009, as illustrated in Figure </w:t>
      </w:r>
      <w:r w:rsidRPr="00702882">
        <w:rPr>
          <w:rFonts w:eastAsiaTheme="minorEastAsia"/>
        </w:rPr>
        <w:t>13</w:t>
      </w:r>
      <w:r w:rsidRPr="00702882">
        <w:t xml:space="preserve">. Notably, Hawaii’s BRF has consistently maintained the lowest balance, as portrayed in Figure </w:t>
      </w:r>
      <w:r w:rsidRPr="00702882">
        <w:rPr>
          <w:rFonts w:eastAsiaTheme="minorEastAsia"/>
        </w:rPr>
        <w:t>13</w:t>
      </w:r>
      <w:r w:rsidRPr="00702882">
        <w:t xml:space="preserve">. </w:t>
      </w:r>
    </w:p>
    <w:p w14:paraId="2FF24F9B" w14:textId="77777777" w:rsidR="004743AC" w:rsidRPr="00702882" w:rsidRDefault="00AF6702" w:rsidP="004743AC">
      <w:pPr>
        <w:spacing w:line="480" w:lineRule="auto"/>
        <w:jc w:val="center"/>
        <w:rPr>
          <w:rFonts w:eastAsiaTheme="minorEastAsia"/>
          <w:b/>
          <w:bCs/>
        </w:rPr>
      </w:pPr>
      <w:r w:rsidRPr="00702882">
        <w:rPr>
          <w:b/>
          <w:bCs/>
        </w:rPr>
        <w:lastRenderedPageBreak/>
        <w:t xml:space="preserve">Figure </w:t>
      </w:r>
      <w:r w:rsidR="004F778E" w:rsidRPr="00702882">
        <w:rPr>
          <w:rFonts w:eastAsiaTheme="minorEastAsia"/>
          <w:b/>
          <w:bCs/>
        </w:rPr>
        <w:t>13</w:t>
      </w:r>
      <w:r w:rsidRPr="00702882">
        <w:rPr>
          <w:b/>
          <w:bCs/>
        </w:rPr>
        <w:t>. Trends of Budget Stabilization Funds’ Levels</w:t>
      </w:r>
      <w:r w:rsidR="004B2E02" w:rsidRPr="00702882">
        <w:rPr>
          <w:rFonts w:eastAsiaTheme="minorEastAsia"/>
          <w:b/>
          <w:bCs/>
        </w:rPr>
        <w:t>:</w:t>
      </w:r>
      <w:r w:rsidR="004743AC" w:rsidRPr="00702882">
        <w:rPr>
          <w:rFonts w:eastAsiaTheme="minorEastAsia"/>
          <w:b/>
          <w:bCs/>
        </w:rPr>
        <w:t xml:space="preserve"> </w:t>
      </w:r>
    </w:p>
    <w:p w14:paraId="7483A432" w14:textId="51E74296" w:rsidR="004B2E02" w:rsidRPr="00702882" w:rsidRDefault="004B2E02" w:rsidP="004743AC">
      <w:pPr>
        <w:spacing w:line="480" w:lineRule="auto"/>
        <w:jc w:val="center"/>
        <w:rPr>
          <w:rFonts w:eastAsiaTheme="minorEastAsia"/>
          <w:b/>
          <w:bCs/>
        </w:rPr>
      </w:pPr>
      <w:r w:rsidRPr="00702882">
        <w:rPr>
          <w:b/>
          <w:bCs/>
        </w:rPr>
        <w:t>Hawaii, Louisiana, and Texas</w:t>
      </w:r>
    </w:p>
    <w:p w14:paraId="28EDBC53" w14:textId="77777777" w:rsidR="00AF6702" w:rsidRPr="00702882" w:rsidRDefault="00AF6702" w:rsidP="00C66AC4">
      <w:pPr>
        <w:tabs>
          <w:tab w:val="left" w:pos="5387"/>
        </w:tabs>
        <w:spacing w:line="480" w:lineRule="auto"/>
        <w:contextualSpacing/>
        <w:jc w:val="center"/>
        <w:rPr>
          <w:color w:val="7030A0"/>
        </w:rPr>
      </w:pPr>
      <w:r w:rsidRPr="00702882">
        <w:rPr>
          <w:noProof/>
          <w:color w:val="7030A0"/>
        </w:rPr>
        <w:drawing>
          <wp:inline distT="0" distB="0" distL="0" distR="0" wp14:anchorId="5137B71A" wp14:editId="61784F0A">
            <wp:extent cx="5244920" cy="2852382"/>
            <wp:effectExtent l="0" t="0" r="13335" b="5715"/>
            <wp:docPr id="1681089359" name="차트 1">
              <a:extLst xmlns:a="http://schemas.openxmlformats.org/drawingml/2006/main">
                <a:ext uri="{FF2B5EF4-FFF2-40B4-BE49-F238E27FC236}">
                  <a16:creationId xmlns:a16="http://schemas.microsoft.com/office/drawing/2014/main" id="{9EA142D0-8A95-DF49-09A7-DE80C36A04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0BF9E31C" w14:textId="77777777" w:rsidR="00262610" w:rsidRPr="00702882" w:rsidRDefault="00262610" w:rsidP="00C66AC4">
      <w:pPr>
        <w:tabs>
          <w:tab w:val="left" w:pos="5387"/>
        </w:tabs>
        <w:spacing w:line="480" w:lineRule="auto"/>
        <w:contextualSpacing/>
        <w:rPr>
          <w:rFonts w:eastAsiaTheme="minorEastAsia"/>
          <w:color w:val="7030A0"/>
        </w:rPr>
      </w:pPr>
    </w:p>
    <w:p w14:paraId="1E20F8CF" w14:textId="77777777" w:rsidR="00AF6702" w:rsidRPr="00702882" w:rsidRDefault="00AF6702" w:rsidP="00C66AC4">
      <w:pPr>
        <w:tabs>
          <w:tab w:val="left" w:pos="5387"/>
        </w:tabs>
        <w:spacing w:line="480" w:lineRule="auto"/>
        <w:ind w:firstLineChars="177" w:firstLine="417"/>
        <w:contextualSpacing/>
      </w:pPr>
      <w:r w:rsidRPr="00702882">
        <w:rPr>
          <w:b/>
          <w:bCs/>
          <w:i/>
          <w:iCs/>
        </w:rPr>
        <w:t>7.5.1 Saving Rules for Texas' Economic Stabilization Fund</w:t>
      </w:r>
    </w:p>
    <w:p w14:paraId="71F5EAD2" w14:textId="4C00D6C1" w:rsidR="00AF6702" w:rsidRPr="00702882" w:rsidRDefault="00AF6702" w:rsidP="00C66AC4">
      <w:pPr>
        <w:tabs>
          <w:tab w:val="left" w:pos="5387"/>
        </w:tabs>
        <w:spacing w:line="480" w:lineRule="auto"/>
        <w:ind w:firstLineChars="295" w:firstLine="708"/>
        <w:contextualSpacing/>
        <w:rPr>
          <w:rFonts w:eastAsiaTheme="minorEastAsia"/>
        </w:rPr>
      </w:pPr>
      <w:r w:rsidRPr="00702882">
        <w:t>The Economic Stabilization Fund (ESF) came into existence through a constitutional amendment passed in 1988. Its formal establishment is outlined in Article III, Section 49-g of the Texas Constitution, and it became operational on September 1, 1989.</w:t>
      </w:r>
      <w:r w:rsidRPr="00702882">
        <w:rPr>
          <w:rStyle w:val="a5"/>
        </w:rPr>
        <w:footnoteReference w:id="89"/>
      </w:r>
      <w:r w:rsidR="004743AC" w:rsidRPr="00702882">
        <w:rPr>
          <w:rFonts w:eastAsiaTheme="minorEastAsia"/>
        </w:rPr>
        <w:t xml:space="preserve"> </w:t>
      </w:r>
      <w:r w:rsidR="007E4A97" w:rsidRPr="00702882">
        <w:rPr>
          <w:rFonts w:eastAsia="맑은 고딕"/>
        </w:rPr>
        <w:t>According to</w:t>
      </w:r>
      <w:r w:rsidRPr="00702882">
        <w:t xml:space="preserve"> the constitutional amendment establishing the fund, the Comptroller is required to transfer to the ESF</w:t>
      </w:r>
      <w:r w:rsidR="004743AC" w:rsidRPr="00702882">
        <w:rPr>
          <w:rFonts w:eastAsiaTheme="minorEastAsia"/>
        </w:rPr>
        <w:t xml:space="preserve"> </w:t>
      </w:r>
      <w:r w:rsidRPr="00702882">
        <w:t>1) half of any unencumbered positive balance of general revenues at the end of each fiscal biennium; 2) an amount of general revenue equal to 75 percent of the increase in oil production tax collections compared to fiscal year 1987; 3) an amount of general revenue equal to 75 percent of the increase in natural gas production tax collections compared to fiscal year 1987; 4) The Legislature may appropriate additional funds with a three-fifths vote.</w:t>
      </w:r>
    </w:p>
    <w:p w14:paraId="023E8164" w14:textId="77777777" w:rsidR="00AF6702" w:rsidRPr="00702882" w:rsidRDefault="00AF6702" w:rsidP="00C66AC4">
      <w:pPr>
        <w:tabs>
          <w:tab w:val="left" w:pos="5387"/>
        </w:tabs>
        <w:spacing w:line="480" w:lineRule="auto"/>
        <w:ind w:firstLineChars="295" w:firstLine="708"/>
        <w:contextualSpacing/>
        <w:rPr>
          <w:rFonts w:eastAsiaTheme="minorEastAsia"/>
        </w:rPr>
      </w:pPr>
      <w:r w:rsidRPr="00702882">
        <w:lastRenderedPageBreak/>
        <w:t>Appropriation of funds requires a three-fifths majority vote from present members under two conditions: when the comptroller certifies that the current biennium's general revenue appropriations surpass the available funds for the remaining period, or when estimated revenues for the upcoming biennium are anticipated to fall short of the current biennium's expected revenues. For any purpose, but with a two-thirds majority vote of members present.</w:t>
      </w:r>
      <w:r w:rsidRPr="00702882">
        <w:rPr>
          <w:rStyle w:val="a5"/>
        </w:rPr>
        <w:footnoteReference w:id="90"/>
      </w:r>
      <w:r w:rsidRPr="00702882">
        <w:t xml:space="preserve"> If the actual revenue shortfall exceeds the estimated one, the comptroller will transfer necessary funds from general revenue to the ESF to prevent exceeding the estimated shortfall. If changes in tax rates or bases by the legislature contribute to revenue differences between biennium, calculations will adjust to reflect what would have occurred without those changes.</w:t>
      </w:r>
    </w:p>
    <w:p w14:paraId="34A4AD9E" w14:textId="41E2FFE4" w:rsidR="00AF6702" w:rsidRPr="00702882" w:rsidRDefault="00AF6702" w:rsidP="0011095A">
      <w:pPr>
        <w:tabs>
          <w:tab w:val="left" w:pos="5387"/>
        </w:tabs>
        <w:spacing w:line="480" w:lineRule="auto"/>
        <w:ind w:firstLineChars="295" w:firstLine="708"/>
        <w:contextualSpacing/>
      </w:pPr>
      <w:r w:rsidRPr="00702882">
        <w:t>From the mid-1980s until September 2003, the inflation-adjusted cost of a barrel of crude oil on NYMEX consistently remained under $25 in 2008 dollars.</w:t>
      </w:r>
      <w:r w:rsidRPr="00702882">
        <w:rPr>
          <w:rStyle w:val="a5"/>
        </w:rPr>
        <w:footnoteReference w:id="91"/>
      </w:r>
      <w:r w:rsidRPr="00702882">
        <w:t xml:space="preserve"> However, a significant shift occurred in 2003 when the price started to climb, exceeding $30 per barrel. This upward trajectory continued, reaching $60 by August 11, 2005, marking a substantial increase. The peak of this upward trend was observed in July 2008 when the price of crude oil reached a remarkable $147.30 per barrel.</w:t>
      </w:r>
      <w:r w:rsidRPr="00702882">
        <w:rPr>
          <w:rStyle w:val="a5"/>
        </w:rPr>
        <w:footnoteReference w:id="92"/>
      </w:r>
      <w:r w:rsidR="0011095A" w:rsidRPr="00702882">
        <w:rPr>
          <w:rFonts w:eastAsiaTheme="minorEastAsia"/>
        </w:rPr>
        <w:t xml:space="preserve"> </w:t>
      </w:r>
      <w:r w:rsidRPr="00702882">
        <w:t>The rise in the price of crude oil had a favorable impact on Texas's budget. The fiscal year 2008 ended on a positive note, with a closing balance of $6.8 billion in general revenue-related funds, following the required constitutional transfers to the ESF.</w:t>
      </w:r>
      <w:r w:rsidRPr="00702882">
        <w:rPr>
          <w:rStyle w:val="a5"/>
        </w:rPr>
        <w:footnoteReference w:id="93"/>
      </w:r>
      <w:r w:rsidRPr="00702882">
        <w:t xml:space="preserve"> As a result, there was a significant boost in the ESF balance, which reached 19.5% of general fund expenditures. Nevertheless, the U.S. economic recession and a notable slowdown in the Texas economy had an adverse effect on the ESF, leading to a reduction in ESF levels to 12.9% of </w:t>
      </w:r>
      <w:r w:rsidRPr="00702882">
        <w:lastRenderedPageBreak/>
        <w:t xml:space="preserve">general fund expenditures. However, starting in 2011, Texas' ESF levels experienced consistent growth, culminating in fiscal year 2018 with a remarkable increase to 19.7% of general fund expenditures. The most substantial surge in ESF levels took place in fiscal year 2015, with an impressive increase of about 2.9 percentage points, rising from 14.3% in 2014 to 17.2% in 2015. </w:t>
      </w:r>
    </w:p>
    <w:p w14:paraId="2CA5639C" w14:textId="1919F058" w:rsidR="00AF6702" w:rsidRPr="00702882" w:rsidRDefault="00AF6702" w:rsidP="00C66AC4">
      <w:pPr>
        <w:tabs>
          <w:tab w:val="left" w:pos="5387"/>
        </w:tabs>
        <w:spacing w:line="480" w:lineRule="auto"/>
        <w:ind w:firstLineChars="295" w:firstLine="708"/>
        <w:contextualSpacing/>
      </w:pPr>
      <w:r w:rsidRPr="00702882">
        <w:t>The November 2014 constitutional amendment not only directed a portion of oil and gas tax revenue to the State Highway Fund</w:t>
      </w:r>
      <w:r w:rsidR="0011095A" w:rsidRPr="00702882">
        <w:rPr>
          <w:rFonts w:eastAsiaTheme="minorEastAsia"/>
        </w:rPr>
        <w:t>,</w:t>
      </w:r>
      <w:r w:rsidRPr="00702882">
        <w:t xml:space="preserve"> but also imposed the requirement that the ESF maintain a "sufficient" level of reserves.</w:t>
      </w:r>
      <w:r w:rsidRPr="00702882">
        <w:rPr>
          <w:rStyle w:val="a5"/>
        </w:rPr>
        <w:footnoteReference w:id="94"/>
      </w:r>
      <w:r w:rsidRPr="00702882">
        <w:t xml:space="preserve"> Nonetheless, neither the state constitution nor state law provides a precise value for this "sufficient fund balance"; to determine the appropriate amount, a Joint Select Committee conducts an assessment and defines the "sufficient fund balance" before each regular legislative session, presenting their recommendation to the Legislature </w:t>
      </w:r>
      <w:sdt>
        <w:sdtPr>
          <w:rPr>
            <w:color w:val="000000"/>
          </w:rPr>
          <w:tag w:val="MENDELEY_CITATION_v3_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"/>
          <w:id w:val="1165975464"/>
          <w:placeholder>
            <w:docPart w:val="DA64F0AB3A47449CAD8E8A14F8A7F9A7"/>
          </w:placeholder>
        </w:sdtPr>
        <w:sdtContent>
          <w:r w:rsidR="00F520AD" w:rsidRPr="00F520AD">
            <w:rPr>
              <w:color w:val="000000"/>
            </w:rPr>
            <w:t>(Costello et al., 2016)</w:t>
          </w:r>
        </w:sdtContent>
      </w:sdt>
      <w:r w:rsidRPr="00702882">
        <w:t>. As per the Committee Membership History of the Texas Legislature, a Joint Select Committee on the Economic Stabilization Fund Balance, established on August 26, 2014, was comprised of the following members: Rep. Myra Crownover (Cochair), Sen. Jane Nelson (Cochair), Sen. Robert Nichols (Vice Chair, Sen. Brian Birdwell, Sen. Kevin Eltife, Rep. Patricia Harless, Rep. Abel Herrero, Rep. John Otto, Rep. Sylvester Turner, and Sen. John Whitmire.</w:t>
      </w:r>
      <w:r w:rsidRPr="00702882">
        <w:rPr>
          <w:rStyle w:val="a5"/>
        </w:rPr>
        <w:footnoteReference w:id="95"/>
      </w:r>
      <w:r w:rsidRPr="00702882">
        <w:t xml:space="preserve"> Although the Legislature has the authority to establish a different amount, the committee's proposed value becomes effective by default. During the 2014-2017 biennium, the sufficient fund balance was established at $7 billion, according to the minutes of Joint Select Committee, held on December 11, 2014.</w:t>
      </w:r>
      <w:r w:rsidRPr="00702882">
        <w:rPr>
          <w:rStyle w:val="a5"/>
        </w:rPr>
        <w:footnoteReference w:id="96"/>
      </w:r>
      <w:r w:rsidRPr="00702882">
        <w:t xml:space="preserve"> For the 2018-2019 biennium, it was increased to $7.5 billion.</w:t>
      </w:r>
      <w:r w:rsidRPr="00702882">
        <w:rPr>
          <w:rStyle w:val="a5"/>
        </w:rPr>
        <w:footnoteReference w:id="97"/>
      </w:r>
    </w:p>
    <w:p w14:paraId="5FEB3003" w14:textId="5B3A02BC" w:rsidR="00AF6702" w:rsidRPr="00702882" w:rsidRDefault="00AF6702" w:rsidP="00C66AC4">
      <w:pPr>
        <w:tabs>
          <w:tab w:val="left" w:pos="5387"/>
        </w:tabs>
        <w:spacing w:line="480" w:lineRule="auto"/>
        <w:ind w:firstLineChars="295" w:firstLine="708"/>
        <w:contextualSpacing/>
        <w:rPr>
          <w:rFonts w:eastAsiaTheme="minorEastAsia"/>
        </w:rPr>
      </w:pPr>
      <w:r w:rsidRPr="00702882">
        <w:lastRenderedPageBreak/>
        <w:t xml:space="preserve">In 2017, Texas faced a natural disaster with Hurricane Harvey. The Legislature has appropriately allocated funds from the ESF to support Harvey recovery efforts in both the House and Senate versions of the current session's supplemental bill. While most ESF expenditures contribute to the “constitutional spending limit,” imposing a high ceiling, it does provide some level of restriction </w:t>
      </w:r>
      <w:sdt>
        <w:sdtPr>
          <w:tag w:val="MENDELEY_CITATION_v3_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"/>
          <w:id w:val="141089134"/>
          <w:placeholder>
            <w:docPart w:val="2F6272AB14F14A8A8C5D1DC6D09C852E"/>
          </w:placeholder>
        </w:sdtPr>
        <w:sdtContent>
          <w:r w:rsidR="00F520AD">
            <w:t>(Ginn &amp; Marquette, 2019)</w:t>
          </w:r>
        </w:sdtContent>
      </w:sdt>
      <w:r w:rsidRPr="00702882">
        <w:t xml:space="preserve">. This is due to a constitutional provision outlined in Article VIII, Section 22 (a), which stipulates that appropriations subject to the spending limit cannot increase at a rate exceeding the estimated growth of the state’s economy. In simpler terms, </w:t>
      </w:r>
      <w:r w:rsidRPr="00702882">
        <w:rPr>
          <w:rFonts w:eastAsiaTheme="minorEastAsia"/>
        </w:rPr>
        <w:t xml:space="preserve">money spent from the ESF is counted as part of overall government spending. This means using ESF funds can increase the total government expenditure allowed before reaching the constitutional spending limit. </w:t>
      </w:r>
      <w:r w:rsidRPr="00702882">
        <w:t xml:space="preserve">Even if the Legislature intends to use the ESF as a discretionary fund, there are inherent constraints in place </w:t>
      </w:r>
      <w:sdt>
        <w:sdtPr>
          <w:tag w:val="MENDELEY_CITATION_v3_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"/>
          <w:id w:val="-768773739"/>
          <w:placeholder>
            <w:docPart w:val="4CAA5246127A4404B394CD8FDCE11465"/>
          </w:placeholder>
        </w:sdtPr>
        <w:sdtContent>
          <w:r w:rsidR="00F520AD">
            <w:t>(Ginn &amp; Marquette, 2019)</w:t>
          </w:r>
        </w:sdtContent>
      </w:sdt>
      <w:r w:rsidRPr="00702882">
        <w:t>.</w:t>
      </w:r>
    </w:p>
    <w:p w14:paraId="5C9DC2D9" w14:textId="24014BD5" w:rsidR="00AF6702" w:rsidRPr="00702882" w:rsidRDefault="00AF6702" w:rsidP="00C66AC4">
      <w:pPr>
        <w:tabs>
          <w:tab w:val="left" w:pos="5387"/>
        </w:tabs>
        <w:spacing w:line="480" w:lineRule="auto"/>
        <w:ind w:firstLineChars="295" w:firstLine="708"/>
        <w:contextualSpacing/>
        <w:rPr>
          <w:rFonts w:eastAsiaTheme="minorEastAsia"/>
        </w:rPr>
      </w:pPr>
      <w:r w:rsidRPr="00702882">
        <w:t xml:space="preserve">In summary, </w:t>
      </w:r>
      <w:r w:rsidRPr="00702882">
        <w:rPr>
          <w:i/>
          <w:iCs/>
        </w:rPr>
        <w:t>the Economic Stabilization Fund (ESF) primarily derives its funding from severance taxes generated from oil and gas production, with occasional contributions from surpluses in the general fund</w:t>
      </w:r>
      <w:r w:rsidRPr="00702882">
        <w:t>. The revenue from oil and gas production plays a pivotal role in bolstering the ESF balances in Texas. While the constitutional spending limit can be a factor influencing ESF withdrawals, it is not the most significant factor contributing to ESF growth.</w:t>
      </w:r>
      <w:r w:rsidRPr="00702882">
        <w:rPr>
          <w:rFonts w:eastAsiaTheme="minorEastAsia"/>
        </w:rPr>
        <w:t xml:space="preserve"> </w:t>
      </w:r>
      <w:r w:rsidRPr="00702882">
        <w:t xml:space="preserve">A Joint Select Committee plays a crucial role in determining a “sufficient fund balance,” while the Comptroller is responsible for depositing a portion of general fund surpluses and revenue generated from oil and gas severance taxes. </w:t>
      </w:r>
      <w:r w:rsidRPr="00702882">
        <w:rPr>
          <w:rFonts w:eastAsiaTheme="minorEastAsia"/>
        </w:rPr>
        <w:t xml:space="preserve">The notable contribution of revenue generated from severance taxes to the enhancement of ESF balances in Texas </w:t>
      </w:r>
      <w:r w:rsidR="000C33D2" w:rsidRPr="00702882">
        <w:rPr>
          <w:rFonts w:eastAsiaTheme="minorEastAsia"/>
        </w:rPr>
        <w:t>is</w:t>
      </w:r>
      <w:r w:rsidRPr="00702882">
        <w:rPr>
          <w:rFonts w:eastAsiaTheme="minorEastAsia"/>
        </w:rPr>
        <w:t xml:space="preserve"> consistent with the findings observed in the GSCM, as depicted in Table 1</w:t>
      </w:r>
      <w:r w:rsidR="000C33D2" w:rsidRPr="00702882">
        <w:rPr>
          <w:rFonts w:eastAsiaTheme="minorEastAsia"/>
        </w:rPr>
        <w:t>9</w:t>
      </w:r>
      <w:r w:rsidRPr="00702882">
        <w:rPr>
          <w:rFonts w:eastAsiaTheme="minorEastAsia"/>
        </w:rPr>
        <w:t>.</w:t>
      </w:r>
    </w:p>
    <w:p w14:paraId="16F62675" w14:textId="77777777" w:rsidR="00D350C3" w:rsidRPr="00702882" w:rsidRDefault="00D350C3" w:rsidP="00C66AC4">
      <w:pPr>
        <w:tabs>
          <w:tab w:val="left" w:pos="5387"/>
        </w:tabs>
        <w:spacing w:line="480" w:lineRule="auto"/>
        <w:ind w:firstLineChars="295" w:firstLine="708"/>
        <w:contextualSpacing/>
        <w:rPr>
          <w:rFonts w:eastAsiaTheme="minorEastAsia"/>
          <w:color w:val="7030A0"/>
        </w:rPr>
      </w:pPr>
    </w:p>
    <w:p w14:paraId="7CF886BB" w14:textId="77777777" w:rsidR="00ED36FA" w:rsidRPr="00702882" w:rsidRDefault="00ED36FA" w:rsidP="00C66AC4">
      <w:pPr>
        <w:tabs>
          <w:tab w:val="left" w:pos="5387"/>
        </w:tabs>
        <w:spacing w:line="480" w:lineRule="auto"/>
        <w:ind w:firstLineChars="295" w:firstLine="708"/>
        <w:contextualSpacing/>
        <w:rPr>
          <w:rFonts w:eastAsiaTheme="minorEastAsia"/>
          <w:color w:val="7030A0"/>
        </w:rPr>
      </w:pPr>
    </w:p>
    <w:p w14:paraId="2B48DDEB" w14:textId="77777777" w:rsidR="00AF6702" w:rsidRPr="00702882" w:rsidRDefault="00AF6702" w:rsidP="00C66AC4">
      <w:pPr>
        <w:tabs>
          <w:tab w:val="left" w:pos="5387"/>
        </w:tabs>
        <w:spacing w:line="480" w:lineRule="auto"/>
        <w:ind w:firstLineChars="177" w:firstLine="417"/>
        <w:contextualSpacing/>
        <w:rPr>
          <w:b/>
          <w:bCs/>
          <w:i/>
          <w:iCs/>
        </w:rPr>
      </w:pPr>
      <w:r w:rsidRPr="00702882">
        <w:rPr>
          <w:b/>
          <w:bCs/>
          <w:i/>
          <w:iCs/>
        </w:rPr>
        <w:lastRenderedPageBreak/>
        <w:t>7.5.2 Hawaii's Emergency and Budget Reserve Fund</w:t>
      </w:r>
    </w:p>
    <w:p w14:paraId="2576471B" w14:textId="406F1134" w:rsidR="00AF6702" w:rsidRPr="00702882" w:rsidRDefault="00AF6702" w:rsidP="00C66AC4">
      <w:pPr>
        <w:spacing w:line="480" w:lineRule="auto"/>
        <w:ind w:firstLineChars="295" w:firstLine="708"/>
        <w:contextualSpacing/>
      </w:pPr>
      <w:r w:rsidRPr="00702882">
        <w:t>Hawaii Act 304, Section 3 (a) establishes the emergency budget and reserve fund as a special fund under the director of finance's administration.</w:t>
      </w:r>
      <w:r w:rsidRPr="00702882">
        <w:rPr>
          <w:rStyle w:val="a5"/>
        </w:rPr>
        <w:footnoteReference w:id="98"/>
      </w:r>
      <w:r w:rsidRPr="00702882">
        <w:t xml:space="preserve"> Subsection (b) of the emergency budget and reserve fund provision states that 40% of the tobacco settlement funds and appropriations authorized by the legislature constitute the fund. Furthermore, any interest accrued from the fund</w:t>
      </w:r>
      <w:r w:rsidR="000C0E4B" w:rsidRPr="00702882">
        <w:rPr>
          <w:rFonts w:eastAsiaTheme="minorEastAsia"/>
        </w:rPr>
        <w:t>’</w:t>
      </w:r>
      <w:r w:rsidRPr="00702882">
        <w:t xml:space="preserve">s balance will be allocated to the general fund. This funding source is distinct from the source of severance tax revenues in Texas, even if they are coded as "1" for the variable denoting “source.” </w:t>
      </w:r>
    </w:p>
    <w:p w14:paraId="45929C44" w14:textId="4E51D4D0" w:rsidR="00AF6702" w:rsidRPr="00702882" w:rsidRDefault="00AF6702" w:rsidP="00C66AC4">
      <w:pPr>
        <w:spacing w:line="480" w:lineRule="auto"/>
        <w:ind w:firstLineChars="295" w:firstLine="708"/>
        <w:contextualSpacing/>
      </w:pPr>
      <w:r w:rsidRPr="00702882">
        <w:t>The purpose of Hawaii's Emergency and Budget Reserve Fund (EBRF) is to function as a temporary supplemental funding source for the state during emergencies, economic downturns, or unforeseen revenue reductions. This fund is designated for various critical purposes, including sustaining essential public health, safety, and welfare programs, executing counter-cyclical economic and employment initiatives during economic downturns, repairing facilities or services affected by disasters, and responding to other emergencies as declared by the governor or deemed urgent by the legislature, as specified in subsection (d) of Hawaii Act 304, Section 3. Such appropriations necessitate a two-thirds majority vote in both houses of the legislature. However, it is essential to acknowledge that there remains a lack of clarity regarding the specific conditions that must be met for the u</w:t>
      </w:r>
      <w:r w:rsidR="000C0E4B" w:rsidRPr="00702882">
        <w:rPr>
          <w:rFonts w:eastAsiaTheme="minorEastAsia"/>
        </w:rPr>
        <w:t>se</w:t>
      </w:r>
      <w:r w:rsidRPr="00702882">
        <w:t xml:space="preserve"> of the EBRF in addressing revenue shortfalls.</w:t>
      </w:r>
    </w:p>
    <w:p w14:paraId="2481C528" w14:textId="77777777" w:rsidR="00AF6702" w:rsidRPr="00702882" w:rsidRDefault="00AF6702" w:rsidP="00C66AC4">
      <w:pPr>
        <w:spacing w:line="480" w:lineRule="auto"/>
        <w:ind w:firstLineChars="295" w:firstLine="708"/>
        <w:contextualSpacing/>
        <w:rPr>
          <w:color w:val="7030A0"/>
        </w:rPr>
      </w:pPr>
      <w:r w:rsidRPr="00702882">
        <w:t xml:space="preserve">In 2002, as per Hawaii Session Laws, Act 16, Section 24, which took effect on July 1, 2002, a noteworthy amendment was made. Specifically, the amendment altered subsection (a) by replacing the term “emergency budget and reserve fund” with “emergency and budget reserve fund.” Moreover, this amendment involved a substitution where “24.5 %” was introduced in </w:t>
      </w:r>
      <w:r w:rsidRPr="00702882">
        <w:lastRenderedPageBreak/>
        <w:t>place of the previous “40 %” of the moneys received from the Tobacco Settlement moneys as outlined in section 328L-2(b)(1).</w:t>
      </w:r>
      <w:r w:rsidRPr="00702882">
        <w:rPr>
          <w:rStyle w:val="a5"/>
        </w:rPr>
        <w:footnoteReference w:id="99"/>
      </w:r>
      <w:r w:rsidRPr="00702882">
        <w:t xml:space="preserve"> Furthermore, a significant amendment in 2009 entailed alterations to the tobacco settlement moneys. These changes involved the replacement of “24.5 percent of the moneys” with “15 percent” in subsection (b)(1) in the 2009 amendment.</w:t>
      </w:r>
      <w:r w:rsidRPr="00702882">
        <w:rPr>
          <w:rStyle w:val="a5"/>
        </w:rPr>
        <w:footnoteReference w:id="100"/>
      </w:r>
      <w:r w:rsidRPr="00702882">
        <w:t xml:space="preserve"> </w:t>
      </w:r>
      <w:r w:rsidRPr="00702882">
        <w:rPr>
          <w:i/>
          <w:iCs/>
        </w:rPr>
        <w:t>These alterations indicate a continual reduction in the funds deposited into the EBRF from the proceeds of the tobacco settlement</w:t>
      </w:r>
      <w:r w:rsidRPr="00702882">
        <w:t>.</w:t>
      </w:r>
    </w:p>
    <w:p w14:paraId="21754AF4" w14:textId="48EA1B6E" w:rsidR="00AF6702" w:rsidRPr="00702882" w:rsidRDefault="00AF6702" w:rsidP="00C66AC4">
      <w:pPr>
        <w:spacing w:line="480" w:lineRule="auto"/>
        <w:ind w:firstLineChars="295" w:firstLine="708"/>
        <w:contextualSpacing/>
      </w:pPr>
      <w:r w:rsidRPr="00702882">
        <w:t>In accordance with Hawaii Act 138, also known as 2009 Hi. SB 2806, which was signed into law on May 25, 2010, a provision states that if the state's general fund revenues surpass those of the preceding fiscal years for two consecutive fiscal years by a margin of 5%, then 5% of the remaining state general fund balance at the close of the fiscal year will be directed to the E</w:t>
      </w:r>
      <w:r w:rsidR="009E5EF3" w:rsidRPr="00702882">
        <w:rPr>
          <w:rFonts w:eastAsiaTheme="minorEastAsia"/>
        </w:rPr>
        <w:t>BRF</w:t>
      </w:r>
      <w:r w:rsidRPr="00702882">
        <w:t>. However, transfers will not take place if the balance of the Emergency and Budget Reserve Fund equals or exceeds 10% of the general fund revenues from the previous fiscal year.</w:t>
      </w:r>
    </w:p>
    <w:p w14:paraId="5F047BDA" w14:textId="24800CFE" w:rsidR="00AF6702" w:rsidRPr="00702882" w:rsidRDefault="00AF6702" w:rsidP="001A779C">
      <w:pPr>
        <w:spacing w:line="480" w:lineRule="auto"/>
        <w:ind w:firstLineChars="295" w:firstLine="708"/>
        <w:contextualSpacing/>
        <w:rPr>
          <w:color w:val="7030A0"/>
        </w:rPr>
      </w:pPr>
      <w:r w:rsidRPr="00702882">
        <w:t xml:space="preserve">This condition is designed to establish a safeguard for the state, enabling it to save a portion of its revenue surplus when experiencing economic growth or increased revenue. However, </w:t>
      </w:r>
      <w:r w:rsidRPr="00702882">
        <w:rPr>
          <w:i/>
          <w:iCs/>
        </w:rPr>
        <w:t>the requirement for a consecutive 5% increase in revenue for two consecutive fiscal years sets a relatively high bar for fund transfers to the EBRF</w:t>
      </w:r>
      <w:r w:rsidRPr="00702882">
        <w:t>. As a consequence of this threshold, the balance in the EBRF remained notably low, typically representing only about 0.2-1.5% of general fund expenditure until fiscal year 2017.</w:t>
      </w:r>
      <w:r w:rsidR="001A779C" w:rsidRPr="00702882">
        <w:rPr>
          <w:rFonts w:eastAsiaTheme="minorEastAsia"/>
          <w:color w:val="7030A0"/>
        </w:rPr>
        <w:t xml:space="preserve"> </w:t>
      </w:r>
      <w:r w:rsidRPr="00702882">
        <w:t>Indeed, although the general fund</w:t>
      </w:r>
      <w:r w:rsidR="00A0486F" w:rsidRPr="00702882">
        <w:rPr>
          <w:rFonts w:eastAsiaTheme="minorEastAsia"/>
        </w:rPr>
        <w:t xml:space="preserve"> </w:t>
      </w:r>
      <w:r w:rsidRPr="00702882">
        <w:t xml:space="preserve">maintained balances exceeding 5% of general fund revenues in fiscal years 2014 and 2015, the 2016 Legislature is not obligated to make a deposit into the EBRF; this is because in fiscal year </w:t>
      </w:r>
      <w:r w:rsidRPr="00702882">
        <w:lastRenderedPageBreak/>
        <w:t>2014, general fund revenues fell below 5% of the prior year's revenues, while in fiscal year 2015, general fund revenues exceeded 5% of the prior year's revenues (p. xv).</w:t>
      </w:r>
      <w:r w:rsidRPr="00702882">
        <w:rPr>
          <w:rStyle w:val="a5"/>
        </w:rPr>
        <w:footnoteReference w:id="101"/>
      </w:r>
      <w:r w:rsidRPr="00702882">
        <w:t xml:space="preserve"> </w:t>
      </w:r>
    </w:p>
    <w:p w14:paraId="4A105022" w14:textId="77777777" w:rsidR="00AF6702" w:rsidRPr="00702882" w:rsidRDefault="00AF6702" w:rsidP="00C66AC4">
      <w:pPr>
        <w:spacing w:line="480" w:lineRule="auto"/>
        <w:ind w:firstLineChars="295" w:firstLine="708"/>
        <w:contextualSpacing/>
      </w:pPr>
      <w:r w:rsidRPr="00702882">
        <w:t xml:space="preserve">Therefore, </w:t>
      </w:r>
      <w:r w:rsidRPr="00702882">
        <w:rPr>
          <w:i/>
          <w:iCs/>
        </w:rPr>
        <w:t>the 2009 amendment relaxed the BSF deposit requirement, establishing a high threshold for allocating funds to the EBRF and reducing the contribution from the tobacco settlement as a funding source</w:t>
      </w:r>
      <w:r w:rsidRPr="00702882">
        <w:t>. Consequently, despite the economic boom from 2013 to 2016, the EBRF balance remained within the range of 0.2% to 1.5% of general fund expenditures until fiscal year 2016. Following fiscal year 2017, the state of Hawaii experienced a notably modest increase in EBRF levels, ranging from 4.2% to 4.8% of general fund expenditures between 2017 and 2019. However, it should be noted that in comparison to the substantial increases in BSF levels observed in many states during the same period, Hawaii's EBRF increase was relatively small.</w:t>
      </w:r>
    </w:p>
    <w:p w14:paraId="6EDEFE71" w14:textId="77777777" w:rsidR="00AF6702" w:rsidRPr="00702882" w:rsidRDefault="00AF6702" w:rsidP="00C66AC4">
      <w:pPr>
        <w:spacing w:line="480" w:lineRule="auto"/>
        <w:contextualSpacing/>
        <w:rPr>
          <w:color w:val="7030A0"/>
        </w:rPr>
      </w:pPr>
    </w:p>
    <w:p w14:paraId="7BD429F0" w14:textId="77777777" w:rsidR="00AF6702" w:rsidRPr="00702882" w:rsidRDefault="00AF6702" w:rsidP="00C66AC4">
      <w:pPr>
        <w:tabs>
          <w:tab w:val="left" w:pos="5387"/>
        </w:tabs>
        <w:spacing w:line="480" w:lineRule="auto"/>
        <w:ind w:firstLineChars="177" w:firstLine="417"/>
        <w:contextualSpacing/>
        <w:rPr>
          <w:b/>
          <w:bCs/>
          <w:i/>
          <w:iCs/>
        </w:rPr>
      </w:pPr>
      <w:r w:rsidRPr="00702882">
        <w:rPr>
          <w:b/>
          <w:bCs/>
          <w:i/>
          <w:iCs/>
        </w:rPr>
        <w:t>7.5.3 Louisiana’s Budget Stabilization Fund</w:t>
      </w:r>
    </w:p>
    <w:p w14:paraId="1559C3D1" w14:textId="77777777" w:rsidR="00AF6702" w:rsidRPr="00702882" w:rsidRDefault="00AF6702" w:rsidP="00C66AC4">
      <w:pPr>
        <w:spacing w:line="480" w:lineRule="auto"/>
        <w:ind w:firstLineChars="295" w:firstLine="708"/>
        <w:contextualSpacing/>
      </w:pPr>
      <w:r w:rsidRPr="00702882">
        <w:t>The state of Louisiana established the Budget Stabilization Fund during the 1998-99 fiscal year, replacing the Revenue Stabilization and Mineral Trust Fund.</w:t>
      </w:r>
      <w:r w:rsidRPr="00702882">
        <w:rPr>
          <w:rStyle w:val="a5"/>
        </w:rPr>
        <w:footnoteReference w:id="102"/>
      </w:r>
      <w:r w:rsidRPr="00702882">
        <w:t xml:space="preserve"> In order to establish and maintain the account, legislators are required to allocate a minimum of $25 million annually or 25% of any officially acknowledged state surplus, whichever amount is</w:t>
      </w:r>
      <w:r w:rsidRPr="00702882">
        <w:rPr>
          <w:b/>
          <w:bCs/>
        </w:rPr>
        <w:t xml:space="preserve"> </w:t>
      </w:r>
      <w:r w:rsidRPr="00702882">
        <w:t>greater, as described in subsection A(3).</w:t>
      </w:r>
      <w:r w:rsidRPr="00702882">
        <w:rPr>
          <w:rStyle w:val="a5"/>
        </w:rPr>
        <w:footnoteReference w:id="103"/>
      </w:r>
      <w:r w:rsidRPr="00702882">
        <w:t xml:space="preserve"> Additionally, during periods of increased mineral revenue, a portion of certain oil and gas income must be directed towards the BSF, as described in A(2)(a). </w:t>
      </w:r>
    </w:p>
    <w:p w14:paraId="2FB9E47F" w14:textId="77777777" w:rsidR="00AF6702" w:rsidRPr="00702882" w:rsidRDefault="00AF6702" w:rsidP="00C66AC4">
      <w:pPr>
        <w:spacing w:line="480" w:lineRule="auto"/>
        <w:ind w:firstLineChars="295" w:firstLine="708"/>
        <w:contextualSpacing/>
        <w:rPr>
          <w:rFonts w:eastAsiaTheme="minorEastAsia"/>
        </w:rPr>
      </w:pPr>
      <w:r w:rsidRPr="00702882">
        <w:lastRenderedPageBreak/>
        <w:t xml:space="preserve">However, Louisiana's approach to its Budget Stabilization Fund (BSF) differs from that of other states. While many states, such as Alaska and Wyoming, deposit all revenue generated from severance tax into their BSFs, Louisiana has established a distinct threshold known as the “base,” set at $950 million for mineral revenues. This means that </w:t>
      </w:r>
      <w:r w:rsidRPr="00702882">
        <w:rPr>
          <w:i/>
          <w:iCs/>
        </w:rPr>
        <w:t>only mineral revenues</w:t>
      </w:r>
      <w:r w:rsidRPr="00702882">
        <w:rPr>
          <w:rFonts w:eastAsiaTheme="minorEastAsia"/>
          <w:i/>
          <w:iCs/>
        </w:rPr>
        <w:t xml:space="preserve">, </w:t>
      </w:r>
      <w:r w:rsidRPr="00702882">
        <w:rPr>
          <w:i/>
          <w:iCs/>
        </w:rPr>
        <w:t>primarily consi</w:t>
      </w:r>
      <w:r w:rsidRPr="00702882">
        <w:rPr>
          <w:rFonts w:eastAsiaTheme="minorEastAsia"/>
          <w:i/>
          <w:iCs/>
        </w:rPr>
        <w:t>sting of</w:t>
      </w:r>
      <w:r w:rsidRPr="00702882">
        <w:rPr>
          <w:i/>
          <w:iCs/>
        </w:rPr>
        <w:t xml:space="preserve"> severance tax and royalty collections</w:t>
      </w:r>
      <w:r w:rsidRPr="00702882">
        <w:rPr>
          <w:rFonts w:eastAsiaTheme="minorEastAsia"/>
          <w:i/>
          <w:iCs/>
        </w:rPr>
        <w:t xml:space="preserve">, </w:t>
      </w:r>
      <w:r w:rsidRPr="00702882">
        <w:rPr>
          <w:i/>
          <w:iCs/>
        </w:rPr>
        <w:t>surpassing this base amount are eligible for deposit into the BSF.</w:t>
      </w:r>
      <w:r w:rsidRPr="00702882">
        <w:rPr>
          <w:rFonts w:eastAsiaTheme="minorEastAsia"/>
        </w:rPr>
        <w:t xml:space="preserve"> </w:t>
      </w:r>
      <w:r w:rsidRPr="00702882">
        <w:t xml:space="preserve">Although this was the case during the initial years following the establishment of the savings account, more recently, </w:t>
      </w:r>
      <w:r w:rsidRPr="00702882">
        <w:rPr>
          <w:i/>
          <w:iCs/>
        </w:rPr>
        <w:t>the state has not been able to meet these criteria due to declines in both oil and gas prices as well as production levels</w:t>
      </w:r>
      <w:r w:rsidRPr="00702882">
        <w:t>.</w:t>
      </w:r>
      <w:r w:rsidRPr="00702882">
        <w:rPr>
          <w:rStyle w:val="a5"/>
        </w:rPr>
        <w:footnoteReference w:id="104"/>
      </w:r>
      <w:r w:rsidRPr="00702882">
        <w:t xml:space="preserve"> </w:t>
      </w:r>
    </w:p>
    <w:p w14:paraId="5A15D782" w14:textId="7A2817E1" w:rsidR="00AF6702" w:rsidRPr="00702882" w:rsidRDefault="00AF6702" w:rsidP="00A0486F">
      <w:pPr>
        <w:spacing w:line="480" w:lineRule="auto"/>
        <w:ind w:firstLineChars="295" w:firstLine="708"/>
        <w:contextualSpacing/>
        <w:rPr>
          <w:rFonts w:eastAsiaTheme="minorEastAsia"/>
        </w:rPr>
      </w:pPr>
      <w:r w:rsidRPr="00702882">
        <w:rPr>
          <w:rFonts w:eastAsiaTheme="minorEastAsia"/>
        </w:rPr>
        <w:t>Louisiana has only deposited its mineral revenue into the state's BSF for fiscal years 2003-2004 ($38.7 million), 2004-2005 ($206 million), and 2005-2006 ($108.5 million). However, since fiscal year 2007, mineral revenue exceeding the cap had not been allocated to the BSF until fiscal year 2022. This information was obtained from data provided by the Department of Treasury through a Freedom of Information Act (FOIA) request.</w:t>
      </w:r>
      <w:r w:rsidR="00A0486F" w:rsidRPr="00702882">
        <w:rPr>
          <w:rFonts w:eastAsiaTheme="minorEastAsia"/>
        </w:rPr>
        <w:t xml:space="preserve"> </w:t>
      </w:r>
      <w:r w:rsidRPr="00702882">
        <w:t>During its peak in the 2008-09 financial year, for example, the B</w:t>
      </w:r>
      <w:r w:rsidR="00A0486F" w:rsidRPr="00702882">
        <w:rPr>
          <w:rFonts w:eastAsiaTheme="minorEastAsia"/>
        </w:rPr>
        <w:t>SF</w:t>
      </w:r>
      <w:r w:rsidRPr="00702882">
        <w:t xml:space="preserve"> reached an impressive sum of nearly $854 million. Over time, however, governors and lawmakers frequently utilized this account, leading to a significant decrease in its balance, which dwindled to </w:t>
      </w:r>
      <w:r w:rsidR="00A0486F" w:rsidRPr="00702882">
        <w:rPr>
          <w:rFonts w:eastAsiaTheme="minorEastAsia"/>
        </w:rPr>
        <w:t>about</w:t>
      </w:r>
      <w:r w:rsidRPr="00702882">
        <w:t xml:space="preserve"> $287 million by the 2016-17 budget year.</w:t>
      </w:r>
      <w:r w:rsidRPr="00702882">
        <w:rPr>
          <w:rStyle w:val="a5"/>
        </w:rPr>
        <w:footnoteReference w:id="105"/>
      </w:r>
      <w:r w:rsidRPr="00702882">
        <w:t xml:space="preserve"> </w:t>
      </w:r>
    </w:p>
    <w:p w14:paraId="12F98BA5" w14:textId="77777777" w:rsidR="00AF6702" w:rsidRPr="00702882" w:rsidRDefault="00AF6702" w:rsidP="00C66AC4">
      <w:pPr>
        <w:spacing w:line="480" w:lineRule="auto"/>
        <w:ind w:firstLineChars="295" w:firstLine="708"/>
        <w:contextualSpacing/>
        <w:rPr>
          <w:rFonts w:eastAsiaTheme="minorEastAsia"/>
          <w:color w:val="7030A0"/>
        </w:rPr>
      </w:pPr>
      <w:r w:rsidRPr="00702882">
        <w:t>In the fiscal year 2018, the BSF balance experienced an increase, rising from $286.8 million to $321 million.</w:t>
      </w:r>
      <w:r w:rsidRPr="00702882">
        <w:rPr>
          <w:rStyle w:val="a5"/>
        </w:rPr>
        <w:footnoteReference w:id="106"/>
      </w:r>
      <w:r w:rsidRPr="00702882">
        <w:t xml:space="preserve"> However, </w:t>
      </w:r>
      <w:r w:rsidRPr="00702882">
        <w:rPr>
          <w:rFonts w:eastAsiaTheme="minorEastAsia"/>
        </w:rPr>
        <w:t>i</w:t>
      </w:r>
      <w:r w:rsidRPr="00702882">
        <w:t>t</w:t>
      </w:r>
      <w:r w:rsidRPr="00702882">
        <w:rPr>
          <w:rFonts w:eastAsiaTheme="minorEastAsia"/>
        </w:rPr>
        <w:t xml:space="preserve"> is</w:t>
      </w:r>
      <w:r w:rsidRPr="00702882">
        <w:t xml:space="preserve"> important to note that these deposits did not originate from mineral revenues</w:t>
      </w:r>
      <w:r w:rsidRPr="00702882">
        <w:rPr>
          <w:rFonts w:eastAsiaTheme="minorEastAsia"/>
        </w:rPr>
        <w:t xml:space="preserve">. </w:t>
      </w:r>
      <w:r w:rsidRPr="00702882">
        <w:t>This surplus emerged because the fiscal year 2018 concluded with a surplus of $308 million, indicating an excess of revenues over state government expenditures.</w:t>
      </w:r>
      <w:r w:rsidRPr="00702882">
        <w:rPr>
          <w:rStyle w:val="a5"/>
        </w:rPr>
        <w:footnoteReference w:id="107"/>
      </w:r>
      <w:r w:rsidRPr="00702882">
        <w:t xml:space="preserve"> </w:t>
      </w:r>
      <w:r w:rsidRPr="00702882">
        <w:rPr>
          <w:rFonts w:eastAsiaTheme="minorEastAsia"/>
        </w:rPr>
        <w:lastRenderedPageBreak/>
        <w:t>Interest earnings, $7.2 million, was also</w:t>
      </w:r>
      <w:r w:rsidRPr="00702882">
        <w:t xml:space="preserve"> </w:t>
      </w:r>
      <w:r w:rsidRPr="00702882">
        <w:rPr>
          <w:rFonts w:eastAsiaTheme="minorEastAsia"/>
        </w:rPr>
        <w:t>transferred</w:t>
      </w:r>
      <w:r w:rsidRPr="00702882">
        <w:t xml:space="preserve"> to the BSF</w:t>
      </w:r>
      <w:r w:rsidRPr="00702882">
        <w:rPr>
          <w:rFonts w:eastAsiaTheme="minorEastAsia"/>
        </w:rPr>
        <w:t>, according to the data obtained the Department of Treasury. However, it should be noted that n</w:t>
      </w:r>
      <w:r w:rsidRPr="00702882">
        <w:t>o allocation or deposit to the fund can occur if such action would result in the fund's balance surpassing four percent (4%) of the total state revenue receipts from the previous fiscal year.</w:t>
      </w:r>
      <w:r w:rsidRPr="00702882">
        <w:rPr>
          <w:rStyle w:val="a5"/>
        </w:rPr>
        <w:footnoteReference w:id="108"/>
      </w:r>
    </w:p>
    <w:p w14:paraId="0A6EEBE5" w14:textId="30C7F5A7" w:rsidR="00AF6702" w:rsidRPr="00702882" w:rsidRDefault="00AF6702" w:rsidP="00C66AC4">
      <w:pPr>
        <w:spacing w:line="480" w:lineRule="auto"/>
        <w:ind w:firstLineChars="295" w:firstLine="708"/>
        <w:contextualSpacing/>
        <w:rPr>
          <w:rFonts w:eastAsiaTheme="minorEastAsia"/>
        </w:rPr>
      </w:pPr>
      <w:r w:rsidRPr="00702882">
        <w:t xml:space="preserve">According to the 2018 </w:t>
      </w:r>
      <w:r w:rsidR="004A0F8C" w:rsidRPr="00702882">
        <w:t xml:space="preserve">Annual Comprehensive Financial Report </w:t>
      </w:r>
      <w:r w:rsidRPr="00702882">
        <w:t>(A</w:t>
      </w:r>
      <w:r w:rsidR="004A0F8C" w:rsidRPr="00702882">
        <w:rPr>
          <w:rFonts w:eastAsiaTheme="minorEastAsia"/>
        </w:rPr>
        <w:t>C</w:t>
      </w:r>
      <w:r w:rsidRPr="00702882">
        <w:t>FR), severance taxes totaled $461.0 million in fiscal year 2018 (p. 28).</w:t>
      </w:r>
      <w:r w:rsidRPr="00702882">
        <w:rPr>
          <w:rStyle w:val="a5"/>
        </w:rPr>
        <w:footnoteReference w:id="109"/>
      </w:r>
      <w:r w:rsidRPr="00702882">
        <w:t xml:space="preserve"> However, the report did not include information concerning the amount of royalty collections for the same fiscal year. According to State economist Greg Albrecht's projections, it was expected that Louisiana's mineral revenue would amount to approximately $528 million</w:t>
      </w:r>
      <w:r w:rsidRPr="00702882">
        <w:rPr>
          <w:rFonts w:eastAsiaTheme="minorEastAsia"/>
        </w:rPr>
        <w:t xml:space="preserve"> for the fiscal year 2018</w:t>
      </w:r>
      <w:r w:rsidRPr="00702882">
        <w:t xml:space="preserve">. </w:t>
      </w:r>
      <w:r w:rsidRPr="00702882">
        <w:rPr>
          <w:i/>
          <w:iCs/>
        </w:rPr>
        <w:t>This figure fell considerably below the $950 million threshold required for automatic contributions from mineral revenue to the BSF</w:t>
      </w:r>
      <w:r w:rsidRPr="00702882">
        <w:t>.</w:t>
      </w:r>
      <w:r w:rsidRPr="00702882">
        <w:rPr>
          <w:rStyle w:val="a5"/>
        </w:rPr>
        <w:footnoteReference w:id="110"/>
      </w:r>
    </w:p>
    <w:p w14:paraId="5C5C7772" w14:textId="77777777" w:rsidR="00AF6702" w:rsidRPr="00702882" w:rsidRDefault="00AF6702" w:rsidP="00C66AC4">
      <w:pPr>
        <w:spacing w:line="480" w:lineRule="auto"/>
        <w:ind w:firstLineChars="295" w:firstLine="708"/>
        <w:contextualSpacing/>
        <w:rPr>
          <w:rFonts w:eastAsiaTheme="minorEastAsia"/>
        </w:rPr>
      </w:pPr>
      <w:r w:rsidRPr="00702882">
        <w:t>The Revenue Estimating Conference consistently projects that mineral revenues will remain in a range, fluctuating from $678 million in fiscal year 2019 to an estimated $834 million in fiscal year 2023.</w:t>
      </w:r>
      <w:r w:rsidRPr="00702882">
        <w:rPr>
          <w:rStyle w:val="a5"/>
        </w:rPr>
        <w:footnoteReference w:id="111"/>
      </w:r>
      <w:r w:rsidRPr="00702882">
        <w:t xml:space="preserve"> Again, this projection falls short of the $950 million threshold required for automatic transfer from mineral revenue to the BSF. Thus, revenues generated from severance taxes and royalties have rarely been deposited into the BSF due to the high threshold (base amount) for automatic deposits, which stands in stark contrast to the situation in Texas.</w:t>
      </w:r>
    </w:p>
    <w:p w14:paraId="625F46A6" w14:textId="77777777" w:rsidR="00AF6702" w:rsidRPr="00702882" w:rsidRDefault="00AF6702" w:rsidP="00C66AC4">
      <w:pPr>
        <w:spacing w:line="480" w:lineRule="auto"/>
        <w:ind w:firstLineChars="295" w:firstLine="708"/>
        <w:contextualSpacing/>
        <w:rPr>
          <w:rFonts w:eastAsiaTheme="minorEastAsia"/>
        </w:rPr>
      </w:pPr>
      <w:r w:rsidRPr="00702882">
        <w:t xml:space="preserve">In summary, Texas' Economic Stabilization Fund (ESF) stands apart from Hawaii's Emergency and Budget Reserve Fund (EBRF) and Louisiana’s Budget Stabilization Fund (BSF) due to </w:t>
      </w:r>
      <w:r w:rsidRPr="00702882">
        <w:rPr>
          <w:i/>
          <w:iCs/>
        </w:rPr>
        <w:t>differences in the mandatory portion of contributions from special revenues and the underlying legislative intent</w:t>
      </w:r>
      <w:r w:rsidRPr="00702882">
        <w:t xml:space="preserve">. Texas benefits significantly from severance tax revenue, which </w:t>
      </w:r>
      <w:r w:rsidRPr="00702882">
        <w:lastRenderedPageBreak/>
        <w:t xml:space="preserve">serves as a substantial contributor to its ESF. In contrast, Louisiana's BSF does not see the same level of contribution from severance taxes due to </w:t>
      </w:r>
      <w:r w:rsidRPr="00702882">
        <w:rPr>
          <w:rFonts w:eastAsiaTheme="minorEastAsia"/>
        </w:rPr>
        <w:t>the</w:t>
      </w:r>
      <w:r w:rsidRPr="00702882">
        <w:t xml:space="preserve"> high threshold (base amount) requirement. Furthermore, Hawaii has been reducing its deposits from the tobacco settlement fund by altering the deposit rules pertaining to the mandatory portion of contributions from this fund. </w:t>
      </w:r>
    </w:p>
    <w:p w14:paraId="57138557" w14:textId="19E26318" w:rsidR="00AF6702" w:rsidRPr="00702882" w:rsidRDefault="00AF6702" w:rsidP="00C7556E">
      <w:pPr>
        <w:spacing w:line="480" w:lineRule="auto"/>
        <w:ind w:firstLineChars="295" w:firstLine="708"/>
        <w:contextualSpacing/>
        <w:rPr>
          <w:rFonts w:eastAsiaTheme="minorEastAsia"/>
        </w:rPr>
      </w:pPr>
      <w:r w:rsidRPr="00702882">
        <w:t xml:space="preserve">In addition, Texas' Joint Select Committee has demonstrated a willingness to bolster the ESF's balance, resulting in a substantial fund reserve. Conversely, Louisiana's governors and lawmakers have often tapped into the BSF, resulting in a notable decrease in its balance over time, rather than demonstrating a commitment to bolstering the BSF. Similarly, Hawaii has established a high bar for allocating funds to the EBRF, hindering its ability to accumulate savings. These disparities imply that the approaches taken by Hawaii and Louisiana could be a primary factor contributing to the negative </w:t>
      </w:r>
      <w:r w:rsidR="006D14A1">
        <w:rPr>
          <w:rFonts w:eastAsiaTheme="minorEastAsia" w:hint="eastAsia"/>
        </w:rPr>
        <w:t>coefficients</w:t>
      </w:r>
      <w:r w:rsidRPr="00702882">
        <w:t xml:space="preserve"> of the funding source in a panel data fixed effects model. </w:t>
      </w:r>
    </w:p>
    <w:p w14:paraId="7A8A6284" w14:textId="77777777" w:rsidR="002F4743" w:rsidRPr="00702882" w:rsidRDefault="002F4743" w:rsidP="00C7556E">
      <w:pPr>
        <w:spacing w:line="480" w:lineRule="auto"/>
        <w:ind w:firstLineChars="295" w:firstLine="708"/>
        <w:contextualSpacing/>
        <w:rPr>
          <w:rFonts w:eastAsiaTheme="minorEastAsia"/>
          <w:color w:val="7030A0"/>
        </w:rPr>
      </w:pPr>
    </w:p>
    <w:p w14:paraId="22EF496D" w14:textId="77777777" w:rsidR="00AF6702" w:rsidRPr="00702882" w:rsidRDefault="00AF6702" w:rsidP="00C66AC4">
      <w:pPr>
        <w:spacing w:line="480" w:lineRule="auto"/>
        <w:contextualSpacing/>
        <w:rPr>
          <w:rFonts w:eastAsiaTheme="minorEastAsia"/>
          <w:b/>
          <w:bCs/>
        </w:rPr>
      </w:pPr>
      <w:r w:rsidRPr="00702882">
        <w:rPr>
          <w:b/>
          <w:bCs/>
        </w:rPr>
        <w:t>7.6 Repayment Provision</w:t>
      </w:r>
      <w:bookmarkStart w:id="76" w:name="RepaymentProvision"/>
      <w:bookmarkEnd w:id="76"/>
    </w:p>
    <w:p w14:paraId="50E0A6E0" w14:textId="38935911" w:rsidR="00AF6702" w:rsidRPr="00702882" w:rsidRDefault="00AF6702" w:rsidP="00C66AC4">
      <w:pPr>
        <w:spacing w:line="480" w:lineRule="auto"/>
        <w:ind w:firstLineChars="295" w:firstLine="708"/>
        <w:contextualSpacing/>
        <w:rPr>
          <w:rFonts w:eastAsiaTheme="minorEastAsia"/>
        </w:rPr>
      </w:pPr>
      <w:r w:rsidRPr="00702882">
        <w:rPr>
          <w:rFonts w:eastAsiaTheme="minorEastAsia"/>
        </w:rPr>
        <w:t xml:space="preserve">The “repayment provision” variable exerts a negative effect on BSF levels in fixed effects models, as shown in Tables 9 and </w:t>
      </w:r>
      <w:r w:rsidR="00BD5A91" w:rsidRPr="00702882">
        <w:rPr>
          <w:rFonts w:eastAsiaTheme="minorEastAsia"/>
        </w:rPr>
        <w:t>10</w:t>
      </w:r>
      <w:r w:rsidRPr="00702882">
        <w:rPr>
          <w:rFonts w:eastAsiaTheme="minorEastAsia"/>
        </w:rPr>
        <w:t xml:space="preserve">, but this effect is </w:t>
      </w:r>
      <w:r w:rsidR="007634D8" w:rsidRPr="00702882">
        <w:rPr>
          <w:rFonts w:eastAsiaTheme="minorEastAsia"/>
        </w:rPr>
        <w:t>moderated</w:t>
      </w:r>
      <w:r w:rsidRPr="00702882">
        <w:rPr>
          <w:rFonts w:eastAsiaTheme="minorEastAsia"/>
        </w:rPr>
        <w:t xml:space="preserve"> during economic downturns. Meanwhile, it is statistically insignificant in the GSCM, as demonstrated in Table 1</w:t>
      </w:r>
      <w:r w:rsidR="007634D8" w:rsidRPr="00702882">
        <w:rPr>
          <w:rFonts w:eastAsiaTheme="minorEastAsia"/>
        </w:rPr>
        <w:t>9</w:t>
      </w:r>
      <w:r w:rsidRPr="00702882">
        <w:rPr>
          <w:rFonts w:eastAsiaTheme="minorEastAsia"/>
        </w:rPr>
        <w:t xml:space="preserve">. </w:t>
      </w:r>
      <w:r w:rsidRPr="00702882">
        <w:t xml:space="preserve">This observation diverges from our initial hypothesis, which suggested that the repayment provision improves BSF levels. Consequently, this section delves into an investigation into the reasons behind the insignificant impact of the repayment provision on BSF levels. The repayment provision is adopted by the following states: Illinois, Iowa, Mississippi, Missouri, Rhode Island, Texas, and West Virginia. </w:t>
      </w:r>
    </w:p>
    <w:p w14:paraId="556EB5C4" w14:textId="708A7EEE" w:rsidR="00AF6702" w:rsidRPr="00702882" w:rsidRDefault="00AF6702" w:rsidP="00C66AC4">
      <w:pPr>
        <w:spacing w:line="480" w:lineRule="auto"/>
        <w:ind w:firstLineChars="295" w:firstLine="708"/>
        <w:contextualSpacing/>
      </w:pPr>
      <w:r w:rsidRPr="00702882">
        <w:lastRenderedPageBreak/>
        <w:t>However, both Iowa and West Virginia have established two BSFs each. In Iowa, the Cash Reserve Fund has a stringent repayment provision, while the Economic Emergency Fund does not. Similarly, West Virginia</w:t>
      </w:r>
      <w:r w:rsidR="00DF2CEA" w:rsidRPr="00702882">
        <w:t>’</w:t>
      </w:r>
      <w:r w:rsidRPr="00702882">
        <w:t xml:space="preserve">s Revenue Shortfall Reserve Fund-Part A has strict repayment provisions, while Part B lacks such provisions, providing more flexibility. Thus, the situations in these two states differ from those in other states that operate only one BSF. As previously discussed, Texas maintains a larger balance in its Economic Stabilization Fund, thanks to funding derived from severance tax revenue. This sets Texas apart from other states that rely just on the general fund as their primary funding source. </w:t>
      </w:r>
    </w:p>
    <w:p w14:paraId="13400A9B" w14:textId="77777777" w:rsidR="00AF6702" w:rsidRPr="00702882" w:rsidRDefault="00AF6702" w:rsidP="00C66AC4">
      <w:pPr>
        <w:spacing w:line="480" w:lineRule="auto"/>
        <w:ind w:firstLineChars="295" w:firstLine="708"/>
        <w:contextualSpacing/>
      </w:pPr>
      <w:r w:rsidRPr="00702882">
        <w:t>Excluding the states mentioned earlier—namely, Illinois, Mississippi, Missouri, and Rhode Island—this study explicitly focuses on the cases of Mississippi and Illinois for several compelling reasons.</w:t>
      </w:r>
      <w:r w:rsidRPr="00702882">
        <w:rPr>
          <w:rFonts w:eastAsiaTheme="minorEastAsia"/>
        </w:rPr>
        <w:t xml:space="preserve"> </w:t>
      </w:r>
      <w:r w:rsidRPr="00702882">
        <w:t xml:space="preserve">In the case of Missouri, the state has retained its Budget Reserve Fund rules without modification since 2000, and its fund balance has consistently hovered around 6-7% for the past two decades. Similarly, Rhode Island has maintained its Budget Reserve Account at relatively stable levels, approximately 3% of general fund expenditures prior to a 2009 amendment. </w:t>
      </w:r>
    </w:p>
    <w:p w14:paraId="1AE38D17" w14:textId="51350E20" w:rsidR="00AF6702" w:rsidRPr="00702882" w:rsidRDefault="00AF6702" w:rsidP="00C66AC4">
      <w:pPr>
        <w:spacing w:line="480" w:lineRule="auto"/>
        <w:ind w:firstLineChars="295" w:firstLine="708"/>
        <w:contextualSpacing/>
      </w:pPr>
      <w:r w:rsidRPr="00702882">
        <w:t>Following this amendment, there was a modest increase, reaching approximately 5% of general fund expenditures in 2013, and this percentage has been maintained without significant fluctuations until 2019. Stable BSF levels in Missouri and Rhode Island suggest two scenarios: either funds borrowed from the BSF are promptly repaid in compliance with the state</w:t>
      </w:r>
      <w:r w:rsidR="00DF2CEA" w:rsidRPr="00702882">
        <w:t>’</w:t>
      </w:r>
      <w:r w:rsidRPr="00702882">
        <w:t xml:space="preserve">s requirement for reimbursement within the same fiscal year, or they have refrained from borrowing from their BSFs to avoid the burden of repayment. </w:t>
      </w:r>
    </w:p>
    <w:p w14:paraId="26A86859" w14:textId="77777777" w:rsidR="00AF6702" w:rsidRPr="00702882" w:rsidRDefault="00AF6702" w:rsidP="00C66AC4">
      <w:pPr>
        <w:spacing w:line="480" w:lineRule="auto"/>
        <w:contextualSpacing/>
        <w:rPr>
          <w:rFonts w:eastAsiaTheme="minorEastAsia"/>
          <w:color w:val="7030A0"/>
        </w:rPr>
      </w:pPr>
    </w:p>
    <w:p w14:paraId="25F2512C" w14:textId="77777777" w:rsidR="00DF2CEA" w:rsidRPr="00702882" w:rsidRDefault="00DF2CEA" w:rsidP="00C66AC4">
      <w:pPr>
        <w:spacing w:line="480" w:lineRule="auto"/>
        <w:contextualSpacing/>
        <w:rPr>
          <w:rFonts w:eastAsiaTheme="minorEastAsia"/>
          <w:color w:val="7030A0"/>
        </w:rPr>
      </w:pPr>
    </w:p>
    <w:p w14:paraId="25B7F2A1" w14:textId="538BDAA1" w:rsidR="00AF6702" w:rsidRPr="00702882" w:rsidRDefault="00AF6702" w:rsidP="00C66AC4">
      <w:pPr>
        <w:spacing w:line="480" w:lineRule="auto"/>
        <w:jc w:val="center"/>
        <w:rPr>
          <w:rFonts w:eastAsiaTheme="minorEastAsia"/>
          <w:b/>
          <w:bCs/>
        </w:rPr>
      </w:pPr>
      <w:r w:rsidRPr="00702882">
        <w:rPr>
          <w:b/>
          <w:bCs/>
        </w:rPr>
        <w:lastRenderedPageBreak/>
        <w:t xml:space="preserve">Figure </w:t>
      </w:r>
      <w:r w:rsidRPr="00702882">
        <w:rPr>
          <w:rFonts w:eastAsiaTheme="minorEastAsia"/>
          <w:b/>
          <w:bCs/>
        </w:rPr>
        <w:t>1</w:t>
      </w:r>
      <w:r w:rsidR="0082027D" w:rsidRPr="00702882">
        <w:rPr>
          <w:rFonts w:eastAsiaTheme="minorEastAsia"/>
          <w:b/>
          <w:bCs/>
        </w:rPr>
        <w:t>4</w:t>
      </w:r>
      <w:r w:rsidRPr="00702882">
        <w:rPr>
          <w:b/>
          <w:bCs/>
        </w:rPr>
        <w:t>. Trends of Budget Stabilization Funds’ Levels</w:t>
      </w:r>
      <w:r w:rsidR="00DF2CEA" w:rsidRPr="00702882">
        <w:rPr>
          <w:rFonts w:eastAsiaTheme="minorEastAsia"/>
          <w:b/>
          <w:bCs/>
        </w:rPr>
        <w:t>:</w:t>
      </w:r>
    </w:p>
    <w:p w14:paraId="73D19F45" w14:textId="3CE19A79" w:rsidR="00DF2CEA" w:rsidRPr="00702882" w:rsidRDefault="00DF2CEA" w:rsidP="00C66AC4">
      <w:pPr>
        <w:spacing w:line="480" w:lineRule="auto"/>
        <w:jc w:val="center"/>
        <w:rPr>
          <w:rFonts w:eastAsiaTheme="minorEastAsia"/>
          <w:b/>
          <w:bCs/>
        </w:rPr>
      </w:pPr>
      <w:r w:rsidRPr="00702882">
        <w:rPr>
          <w:rFonts w:eastAsiaTheme="minorEastAsia"/>
          <w:b/>
          <w:bCs/>
        </w:rPr>
        <w:t>Illinois, Mississippi, Missouri, and Rhode Island</w:t>
      </w:r>
    </w:p>
    <w:p w14:paraId="1CE3CB3B" w14:textId="77777777" w:rsidR="00AF6702" w:rsidRPr="00702882" w:rsidRDefault="00AF6702" w:rsidP="00C66AC4">
      <w:pPr>
        <w:spacing w:line="480" w:lineRule="auto"/>
        <w:contextualSpacing/>
        <w:jc w:val="center"/>
        <w:rPr>
          <w:color w:val="7030A0"/>
        </w:rPr>
      </w:pPr>
      <w:r w:rsidRPr="00702882">
        <w:rPr>
          <w:noProof/>
          <w:color w:val="7030A0"/>
        </w:rPr>
        <w:drawing>
          <wp:inline distT="0" distB="0" distL="0" distR="0" wp14:anchorId="5F7D105E" wp14:editId="5BE9C8E7">
            <wp:extent cx="5346833" cy="3123398"/>
            <wp:effectExtent l="0" t="0" r="6350" b="1270"/>
            <wp:docPr id="299886920" name="차트 1">
              <a:extLst xmlns:a="http://schemas.openxmlformats.org/drawingml/2006/main">
                <a:ext uri="{FF2B5EF4-FFF2-40B4-BE49-F238E27FC236}">
                  <a16:creationId xmlns:a16="http://schemas.microsoft.com/office/drawing/2014/main" id="{603F9AD2-4B48-8CE3-87AC-AB1903D6B4E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9F84782" w14:textId="77777777" w:rsidR="00AF6702" w:rsidRPr="00702882" w:rsidRDefault="00AF6702" w:rsidP="00C66AC4">
      <w:pPr>
        <w:spacing w:line="480" w:lineRule="auto"/>
        <w:contextualSpacing/>
        <w:rPr>
          <w:rFonts w:eastAsiaTheme="minorEastAsia"/>
          <w:color w:val="7030A0"/>
        </w:rPr>
      </w:pPr>
    </w:p>
    <w:p w14:paraId="74DC4574" w14:textId="0E409738" w:rsidR="00AF6702" w:rsidRPr="00702882" w:rsidRDefault="00AF6702" w:rsidP="00C66AC4">
      <w:pPr>
        <w:spacing w:line="480" w:lineRule="auto"/>
        <w:ind w:firstLine="720"/>
        <w:rPr>
          <w:rFonts w:eastAsiaTheme="minorEastAsia"/>
        </w:rPr>
      </w:pPr>
      <w:r w:rsidRPr="00702882">
        <w:t xml:space="preserve">In contrast, Mississippi’s Working Cash Stabilization Reserve Fund (WCSRF) has exhibited substantial fluctuations from 2000 to 2020. Therefore, it is imperative to investigate the factors contributing to these fluctuations and assess the effectiveness of the repayment provision in this context. </w:t>
      </w:r>
      <w:r w:rsidRPr="00702882">
        <w:rPr>
          <w:rFonts w:eastAsiaTheme="minorEastAsia"/>
        </w:rPr>
        <w:t xml:space="preserve">Furthermore, Mississippi has instituted a withdrawal limit, imposing spending restrictions on its BSF. Specifically, Mississippi can transfer a maximum of "fifty million dollars" from the Reserve Fund to the general funds in order to alleviate deficits (Miss. Code Ann. § 27-103-203). Therefore, Mississippi's WCSRF serves as a suitable case for </w:t>
      </w:r>
      <w:r w:rsidR="00F426C0" w:rsidRPr="00702882">
        <w:rPr>
          <w:rFonts w:eastAsiaTheme="minorEastAsia"/>
        </w:rPr>
        <w:t>understanding</w:t>
      </w:r>
      <w:r w:rsidRPr="00702882">
        <w:rPr>
          <w:rFonts w:eastAsiaTheme="minorEastAsia"/>
        </w:rPr>
        <w:t xml:space="preserve"> the impact of the repayment provision and withdrawal limit on WCSRF levels.</w:t>
      </w:r>
    </w:p>
    <w:p w14:paraId="41615D50" w14:textId="597DDD2E" w:rsidR="00AF6702" w:rsidRPr="00CF7C03" w:rsidRDefault="00AF6702" w:rsidP="00C66AC4">
      <w:pPr>
        <w:spacing w:line="480" w:lineRule="auto"/>
        <w:ind w:firstLineChars="295" w:firstLine="708"/>
        <w:contextualSpacing/>
        <w:rPr>
          <w:rFonts w:eastAsiaTheme="minorEastAsia"/>
        </w:rPr>
      </w:pPr>
      <w:r w:rsidRPr="00702882">
        <w:t xml:space="preserve">The </w:t>
      </w:r>
      <w:r w:rsidR="009738A0">
        <w:rPr>
          <w:rFonts w:eastAsiaTheme="minorEastAsia" w:hint="eastAsia"/>
        </w:rPr>
        <w:t>b</w:t>
      </w:r>
      <w:r w:rsidRPr="00702882">
        <w:t xml:space="preserve">alance in Illinois’ BSF has consistently remained within the range of 0-1% over the past two decades, as depicted in Figure </w:t>
      </w:r>
      <w:r w:rsidR="00F426C0" w:rsidRPr="00702882">
        <w:rPr>
          <w:rFonts w:eastAsiaTheme="minorEastAsia"/>
        </w:rPr>
        <w:t>14</w:t>
      </w:r>
      <w:r w:rsidRPr="00702882">
        <w:t xml:space="preserve">. This exceptionally low balance stands in contrast to the median BSF balance, which constituted 7.7% of general fund expenditures (equivalent to </w:t>
      </w:r>
      <w:r w:rsidRPr="00702882">
        <w:lastRenderedPageBreak/>
        <w:t xml:space="preserve">$733 million) in 2019. Consequently, Illinois' BSF can be characterized as an outlier, representing an “extreme case” in terms of BSF balance levels. Such extreme cases can offer unique insights not attainable from typical or representative cases, as they exhibit the capacity to “maximize variance on the dimension of interest” </w:t>
      </w:r>
      <w:sdt>
        <w:sdtPr>
          <w:rPr>
            <w:color w:val="000000"/>
          </w:rPr>
          <w:tag w:val="MENDELEY_CITATION_v3_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"/>
          <w:id w:val="-374234137"/>
          <w:placeholder>
            <w:docPart w:val="74090FE1F71D40C691B7650262677DD2"/>
          </w:placeholder>
        </w:sdtPr>
        <w:sdtContent>
          <w:r w:rsidR="00F520AD" w:rsidRPr="00F520AD">
            <w:rPr>
              <w:color w:val="000000"/>
            </w:rPr>
            <w:t>(Seawright, 2016)</w:t>
          </w:r>
        </w:sdtContent>
      </w:sdt>
      <w:r w:rsidRPr="00702882">
        <w:t>. For this reason, we will conduct a case study of Illinois’ BSF to explore any potential relationship between this low balance and the state's repayment provision.</w:t>
      </w:r>
    </w:p>
    <w:p w14:paraId="257EE25C" w14:textId="77777777" w:rsidR="00ED36FA" w:rsidRPr="00702882" w:rsidRDefault="00ED36FA" w:rsidP="00C66AC4">
      <w:pPr>
        <w:spacing w:line="480" w:lineRule="auto"/>
        <w:ind w:firstLineChars="295" w:firstLine="708"/>
        <w:contextualSpacing/>
        <w:rPr>
          <w:rFonts w:eastAsiaTheme="minorEastAsia"/>
        </w:rPr>
      </w:pPr>
    </w:p>
    <w:p w14:paraId="4F45AEBD" w14:textId="77777777" w:rsidR="00AF6702" w:rsidRPr="00702882" w:rsidRDefault="00AF6702" w:rsidP="00C66AC4">
      <w:pPr>
        <w:spacing w:line="480" w:lineRule="auto"/>
        <w:ind w:firstLineChars="177" w:firstLine="417"/>
        <w:contextualSpacing/>
        <w:rPr>
          <w:b/>
          <w:bCs/>
          <w:i/>
          <w:iCs/>
        </w:rPr>
      </w:pPr>
      <w:r w:rsidRPr="00702882">
        <w:rPr>
          <w:b/>
          <w:bCs/>
          <w:i/>
          <w:iCs/>
        </w:rPr>
        <w:t>7.6.1 Mississippi’s Working Cash Stabilization Reserve Fund</w:t>
      </w:r>
    </w:p>
    <w:p w14:paraId="3F4D58FC" w14:textId="77777777" w:rsidR="00AF6702" w:rsidRPr="00702882" w:rsidRDefault="00AF6702" w:rsidP="00C66AC4">
      <w:pPr>
        <w:tabs>
          <w:tab w:val="left" w:pos="1983"/>
        </w:tabs>
        <w:spacing w:line="480" w:lineRule="auto"/>
        <w:ind w:firstLineChars="295" w:firstLine="708"/>
        <w:contextualSpacing/>
      </w:pPr>
      <w:r w:rsidRPr="00702882">
        <w:t>In 1992, Mississippi's law established the Working Cash-Stabilization Reserve Fund (WCSRF), with annual deposits of 100% of the unencumbered general fund cash balance until reaching $40,000,000. After that, 50% of the unencumbered General Fund cash balance will be deposited annually. Once the account reaches 7.5% of General Fund appropriations, any excess above 50% of the unencumbered cash balance is transferred to the Education Enhancement Account.</w:t>
      </w:r>
      <w:r w:rsidRPr="00702882">
        <w:rPr>
          <w:rStyle w:val="a5"/>
        </w:rPr>
        <w:footnoteReference w:id="112"/>
      </w:r>
      <w:r w:rsidRPr="00702882">
        <w:t xml:space="preserve"> The WCSRF serves as a resource for addressing cash flow deficiencies in the General Fund, as certified by the Executive Director of the Department of Finance and Administration. A minimum of $4,000,000 remains available, as per Section 27-103-81, Mississippi Code of 1972. </w:t>
      </w:r>
    </w:p>
    <w:p w14:paraId="155B8A99" w14:textId="5EFB88ED" w:rsidR="00AF6702" w:rsidRPr="00702882" w:rsidRDefault="00AF6702" w:rsidP="00C66AC4">
      <w:pPr>
        <w:tabs>
          <w:tab w:val="left" w:pos="1983"/>
        </w:tabs>
        <w:spacing w:line="480" w:lineRule="auto"/>
        <w:ind w:firstLineChars="295" w:firstLine="708"/>
        <w:contextualSpacing/>
        <w:rPr>
          <w:color w:val="7030A0"/>
        </w:rPr>
      </w:pPr>
      <w:r w:rsidRPr="00702882">
        <w:t>The 1993 amendment introduced the Disaster Assistance Act, allowing limited fund transfers by the executive director. In case of potential revenue deficits, the governor may transfer up to $50,000,000 to the General Fund in one fiscal year. The State Treasurer promptly reimburses the fund for all borrowed sums from General Fund revenues during the fiscal year, and transfers in and out of the fund are immediately reported (p. 48).</w:t>
      </w:r>
      <w:r w:rsidRPr="00702882">
        <w:rPr>
          <w:rStyle w:val="a5"/>
        </w:rPr>
        <w:footnoteReference w:id="113"/>
      </w:r>
      <w:r w:rsidRPr="00702882">
        <w:t xml:space="preserve"> Following the 1993 </w:t>
      </w:r>
      <w:r w:rsidRPr="00702882">
        <w:lastRenderedPageBreak/>
        <w:t>amendment, subsequent amendments in 2004</w:t>
      </w:r>
      <w:r w:rsidR="00202330" w:rsidRPr="00702882">
        <w:rPr>
          <w:rFonts w:eastAsiaTheme="minorEastAsia"/>
        </w:rPr>
        <w:t>,</w:t>
      </w:r>
      <w:r w:rsidRPr="00702882">
        <w:rPr>
          <w:rStyle w:val="a5"/>
        </w:rPr>
        <w:footnoteReference w:id="114"/>
      </w:r>
      <w:r w:rsidR="00202330" w:rsidRPr="00702882">
        <w:rPr>
          <w:rFonts w:eastAsiaTheme="minorEastAsia"/>
        </w:rPr>
        <w:t xml:space="preserve"> </w:t>
      </w:r>
      <w:r w:rsidRPr="00702882">
        <w:t>2008</w:t>
      </w:r>
      <w:r w:rsidR="00202330" w:rsidRPr="00702882">
        <w:rPr>
          <w:rFonts w:eastAsiaTheme="minorEastAsia"/>
        </w:rPr>
        <w:t>,</w:t>
      </w:r>
      <w:r w:rsidRPr="00702882">
        <w:rPr>
          <w:rStyle w:val="a5"/>
        </w:rPr>
        <w:footnoteReference w:id="115"/>
      </w:r>
      <w:r w:rsidR="00202330" w:rsidRPr="00702882">
        <w:rPr>
          <w:rFonts w:eastAsiaTheme="minorEastAsia"/>
        </w:rPr>
        <w:t xml:space="preserve"> </w:t>
      </w:r>
      <w:r w:rsidRPr="00702882">
        <w:t>and 2015</w:t>
      </w:r>
      <w:r w:rsidRPr="00702882">
        <w:rPr>
          <w:rStyle w:val="a5"/>
        </w:rPr>
        <w:footnoteReference w:id="116"/>
      </w:r>
      <w:r w:rsidRPr="00702882">
        <w:t xml:space="preserve"> did not introduce significant changes to the structural characteristics of the WCSRF.</w:t>
      </w:r>
    </w:p>
    <w:p w14:paraId="73E0DB42" w14:textId="77777777" w:rsidR="00AF6702" w:rsidRPr="00702882" w:rsidRDefault="00AF6702" w:rsidP="00C66AC4">
      <w:pPr>
        <w:tabs>
          <w:tab w:val="left" w:pos="1983"/>
        </w:tabs>
        <w:spacing w:line="480" w:lineRule="auto"/>
        <w:ind w:firstLineChars="295" w:firstLine="708"/>
        <w:contextualSpacing/>
      </w:pPr>
      <w:r w:rsidRPr="00702882">
        <w:t>While there is a mandatory requirement to repay the funds borrowed from the WCSRF within the fiscal year, the balance in the WCSRF has experienced a significant decline, dropping from $231.9 million in FY 2000 to just $22.6 million in FY 2003. In fiscal year 2001, a transfer of $50,000,000 from the WCSRF to the General Fund was executed under the authorization of the Governor, aimed at addressing fiscal year 2001 deficits. The Legislature approved an additional transfer of $35,000,000 from the WCSRF (p. 9).</w:t>
      </w:r>
      <w:r w:rsidRPr="00702882">
        <w:rPr>
          <w:rStyle w:val="a5"/>
        </w:rPr>
        <w:footnoteReference w:id="117"/>
      </w:r>
      <w:r w:rsidRPr="00702882">
        <w:t xml:space="preserve"> In fiscal year 2002, the Governor authorized the maximum transfer of $50,000,000 from the WCSRF to the General Fund to offset the deficit in revenues (p. 27).</w:t>
      </w:r>
      <w:r w:rsidRPr="00702882">
        <w:rPr>
          <w:rStyle w:val="a5"/>
        </w:rPr>
        <w:footnoteReference w:id="118"/>
      </w:r>
      <w:r w:rsidRPr="00702882">
        <w:t xml:space="preserve"> On December 10, 2003, the General Fund had incurred borrowings totaling $51,860,000 from the Working Cash Stabilization Reserve Account.</w:t>
      </w:r>
      <w:r w:rsidRPr="00702882">
        <w:rPr>
          <w:rStyle w:val="a5"/>
        </w:rPr>
        <w:footnoteReference w:id="119"/>
      </w:r>
      <w:r w:rsidRPr="00702882">
        <w:t xml:space="preserve"> </w:t>
      </w:r>
    </w:p>
    <w:p w14:paraId="14485E5A" w14:textId="261A19E9" w:rsidR="00AF6702" w:rsidRPr="00702882" w:rsidRDefault="00AF6702" w:rsidP="00C66AC4">
      <w:pPr>
        <w:tabs>
          <w:tab w:val="left" w:pos="1983"/>
        </w:tabs>
        <w:spacing w:line="480" w:lineRule="auto"/>
        <w:ind w:firstLineChars="295" w:firstLine="708"/>
        <w:contextualSpacing/>
      </w:pPr>
      <w:r w:rsidRPr="00702882">
        <w:t>To comply with state regulations, the borrowed amount must be completely repaid by the end of the fiscal year.</w:t>
      </w:r>
      <w:r w:rsidRPr="00702882">
        <w:rPr>
          <w:b/>
          <w:bCs/>
          <w:i/>
          <w:iCs/>
        </w:rPr>
        <w:t xml:space="preserve"> </w:t>
      </w:r>
      <w:r w:rsidRPr="00702882">
        <w:t xml:space="preserve">However, </w:t>
      </w:r>
      <w:r w:rsidRPr="00702882">
        <w:rPr>
          <w:i/>
          <w:iCs/>
        </w:rPr>
        <w:t>the continuous decline in WCSRF balances from 2000 to 2003 may serve as evidence suggesting that the state did not fully repay the funds borrowed from the WCSRF within the fiscal year</w:t>
      </w:r>
      <w:r w:rsidRPr="00702882">
        <w:t xml:space="preserve">. In fiscal year 2004, a sum of $17,377,000 was transferred from the General Fund to the Account to fulfill the required $40,000,000 balance. Additionally, the entire 50 percent of unencumbered ending cash, amounting to $11,765,000, was deposited into the Account in accordance with the 2003 </w:t>
      </w:r>
      <w:r w:rsidR="00F81E22">
        <w:t>ACFR</w:t>
      </w:r>
      <w:r w:rsidRPr="00702882">
        <w:t xml:space="preserve"> (p. 10). </w:t>
      </w:r>
    </w:p>
    <w:p w14:paraId="37586169" w14:textId="3A9BB233" w:rsidR="00AF6702" w:rsidRPr="00702882" w:rsidRDefault="00AF6702" w:rsidP="00C66AC4">
      <w:pPr>
        <w:tabs>
          <w:tab w:val="left" w:pos="1983"/>
        </w:tabs>
        <w:spacing w:line="480" w:lineRule="auto"/>
        <w:ind w:firstLineChars="295" w:firstLine="708"/>
        <w:contextualSpacing/>
        <w:rPr>
          <w:color w:val="7030A0"/>
        </w:rPr>
      </w:pPr>
      <w:r w:rsidRPr="00702882">
        <w:t xml:space="preserve">In fiscal year 2004, the Governor authorized a transfer of $20,000,000 from the Working Cash Stabilization Reserve Account Fund to the General Fund to cover a projected deficit in </w:t>
      </w:r>
      <w:r w:rsidRPr="00702882">
        <w:lastRenderedPageBreak/>
        <w:t>revenues that did not occur (p. 26).</w:t>
      </w:r>
      <w:r w:rsidRPr="00702882">
        <w:rPr>
          <w:rStyle w:val="a5"/>
        </w:rPr>
        <w:footnoteReference w:id="120"/>
      </w:r>
      <w:r w:rsidRPr="00702882">
        <w:t xml:space="preserve"> In fiscal year 2005, a total of $15,924,000 was transferred from the General Fund to the Account for fiscal year 2004, ensuring the Account reached the mandated balance of $40,000,000; furthermore, the entire unencumbered ending cash amounting to $3,280,000, which constituted 50 percent, was also deposited into the Account, according to the 2004 </w:t>
      </w:r>
      <w:r w:rsidR="003E1136">
        <w:t>ACFR</w:t>
      </w:r>
      <w:r w:rsidRPr="00702882">
        <w:t xml:space="preserve"> (p. 8). </w:t>
      </w:r>
    </w:p>
    <w:p w14:paraId="06232D4F" w14:textId="4DFF591B" w:rsidR="005E1254" w:rsidRPr="00702882" w:rsidRDefault="00AF6702" w:rsidP="008312B6">
      <w:pPr>
        <w:tabs>
          <w:tab w:val="left" w:pos="1983"/>
        </w:tabs>
        <w:spacing w:line="480" w:lineRule="auto"/>
        <w:ind w:firstLineChars="295" w:firstLine="708"/>
        <w:contextualSpacing/>
        <w:rPr>
          <w:rFonts w:eastAsiaTheme="minorEastAsia"/>
        </w:rPr>
      </w:pPr>
      <w:r w:rsidRPr="00702882">
        <w:t xml:space="preserve">Even though the state mandated the reimbursement of borrowed funds from the WCSRF within the same fiscal year, </w:t>
      </w:r>
      <w:r w:rsidRPr="00702882">
        <w:rPr>
          <w:i/>
          <w:iCs/>
        </w:rPr>
        <w:t>if the funds are temporarily repaid and immediately withdrawn again, this practice may be perceived as a budgetary gimmick or accounting maneuver rather than a genuine repayment</w:t>
      </w:r>
      <w:r w:rsidRPr="00702882">
        <w:t xml:space="preserve">. </w:t>
      </w:r>
      <w:r w:rsidR="00461F80" w:rsidRPr="00702882">
        <w:rPr>
          <w:rFonts w:eastAsiaTheme="minorEastAsia"/>
        </w:rPr>
        <w:t>Similar</w:t>
      </w:r>
      <w:r w:rsidRPr="00702882">
        <w:t xml:space="preserve"> to the decline in the WCSRF from 2000 to 2005, the balances in the WCSRF witnessed a decrease, falling from $365 million in FY 2008 to $31.5 million in FY 2013, potentially indicating that a genuine repayment did not occur.</w:t>
      </w:r>
      <w:r w:rsidR="008312B6" w:rsidRPr="00702882">
        <w:rPr>
          <w:rFonts w:eastAsiaTheme="minorEastAsia"/>
        </w:rPr>
        <w:t xml:space="preserve"> </w:t>
      </w:r>
      <w:r w:rsidR="005E1254" w:rsidRPr="00702882">
        <w:rPr>
          <w:rFonts w:eastAsiaTheme="minorEastAsia"/>
        </w:rPr>
        <w:t xml:space="preserve">By repaying and then quickly withdrawing the fund, it can give the appearance of compliance with fiscal mandates without truly addressing the financial responsibility. </w:t>
      </w:r>
      <w:r w:rsidR="008312B6" w:rsidRPr="00702882">
        <w:rPr>
          <w:rFonts w:eastAsiaTheme="minorEastAsia"/>
        </w:rPr>
        <w:t>This can be misleading about the actual fiscal health.</w:t>
      </w:r>
    </w:p>
    <w:p w14:paraId="4C7EA995" w14:textId="77777777" w:rsidR="00AF6702" w:rsidRPr="00702882" w:rsidRDefault="00AF6702" w:rsidP="00C66AC4">
      <w:pPr>
        <w:spacing w:line="480" w:lineRule="auto"/>
        <w:contextualSpacing/>
        <w:rPr>
          <w:rFonts w:eastAsiaTheme="minorEastAsia"/>
        </w:rPr>
      </w:pPr>
    </w:p>
    <w:p w14:paraId="323C8F5F" w14:textId="77777777" w:rsidR="00AF6702" w:rsidRPr="00702882" w:rsidRDefault="00AF6702" w:rsidP="00C66AC4">
      <w:pPr>
        <w:spacing w:line="480" w:lineRule="auto"/>
        <w:ind w:firstLineChars="177" w:firstLine="417"/>
        <w:contextualSpacing/>
        <w:rPr>
          <w:b/>
          <w:bCs/>
          <w:i/>
          <w:iCs/>
        </w:rPr>
      </w:pPr>
      <w:r w:rsidRPr="00702882">
        <w:rPr>
          <w:b/>
          <w:bCs/>
          <w:i/>
          <w:iCs/>
        </w:rPr>
        <w:t>7.6.2 Illinois’ Budget Stabilization Funds</w:t>
      </w:r>
    </w:p>
    <w:p w14:paraId="51B92ED7" w14:textId="58F1337F" w:rsidR="00AF6702" w:rsidRPr="00702882" w:rsidRDefault="00AF6702" w:rsidP="002E3D9D">
      <w:pPr>
        <w:spacing w:line="480" w:lineRule="auto"/>
        <w:ind w:firstLineChars="295" w:firstLine="708"/>
        <w:contextualSpacing/>
        <w:rPr>
          <w:rFonts w:eastAsiaTheme="minorEastAsia"/>
          <w:color w:val="7030A0"/>
        </w:rPr>
      </w:pPr>
      <w:r w:rsidRPr="00702882">
        <w:t>Illinois established the Budget Stabilization Fund</w:t>
      </w:r>
      <w:r w:rsidR="002E3D9D" w:rsidRPr="00702882">
        <w:rPr>
          <w:rFonts w:eastAsiaTheme="minorEastAsia"/>
        </w:rPr>
        <w:t xml:space="preserve"> (BSF)</w:t>
      </w:r>
      <w:r w:rsidRPr="00702882">
        <w:t xml:space="preserve"> in 2001 with the primary purpose of serving as a reserve fund to be utilized to address budgetary shortfalls or fiscal emergencies as explicitly stated in section 5 of the Public Act 11.</w:t>
      </w:r>
      <w:r w:rsidRPr="00702882">
        <w:rPr>
          <w:rStyle w:val="a5"/>
        </w:rPr>
        <w:footnoteReference w:id="121"/>
      </w:r>
      <w:r w:rsidRPr="00702882">
        <w:t xml:space="preserve"> As stated in subsection (a) of Section 15 of the Budget Stabilization Act, when the General Assembly's appropriations and transfers from general funds are below 99.5% of estimated general funds revenues, the </w:t>
      </w:r>
      <w:r w:rsidRPr="00702882">
        <w:lastRenderedPageBreak/>
        <w:t>Comptroller is required to transfer 0.5% of estimated general funds revenues from the General Revenue Fund to the BSF.</w:t>
      </w:r>
      <w:r w:rsidR="002E3D9D" w:rsidRPr="00702882">
        <w:rPr>
          <w:rFonts w:eastAsiaTheme="minorEastAsia"/>
        </w:rPr>
        <w:t xml:space="preserve"> </w:t>
      </w:r>
      <w:r w:rsidRPr="00702882">
        <w:t xml:space="preserve">This provision encourages saving in times of relative fiscal health. Conversely, subsection (b) adopts a more cautious approach to savings in times of heightened fiscal uncertainty: if the General Assembly's appropriations and transfers from general funds dip below 99% of estimated general funds revenues, the Comptroller is required to transfer a higher percentage, specifically 1% of estimated general funds revenues, into the BSF. </w:t>
      </w:r>
    </w:p>
    <w:p w14:paraId="4846D0B6" w14:textId="77777777" w:rsidR="00AF6702" w:rsidRPr="00702882" w:rsidRDefault="00AF6702" w:rsidP="00C66AC4">
      <w:pPr>
        <w:spacing w:line="480" w:lineRule="auto"/>
        <w:ind w:firstLineChars="295" w:firstLine="708"/>
        <w:contextualSpacing/>
      </w:pPr>
      <w:r w:rsidRPr="00702882">
        <w:t xml:space="preserve">In compliance with Section 15(c), the Comptroller transfers 1/12 of the total transfer amount each fiscal year to the BSF on the first day of each month, or promptly thereafter. The Fund balance must not exceed 5% of estimated general funds revenues unless Section 25 of the State Finance Act entails outstanding liabilities. If the balance surpasses 5%, additional transfers are unnecessary unless Section 25 liabilities exist, in which case, the Comptroller continues monthly transfers at 1/12 of the total amount for those liabilities. The Act does not prohibit the General Assembly from allocating more funds to the BSF. </w:t>
      </w:r>
    </w:p>
    <w:p w14:paraId="5FC1B174" w14:textId="5C2D8611" w:rsidR="00AF6702" w:rsidRPr="00702882" w:rsidRDefault="00AF6702" w:rsidP="00C66AC4">
      <w:pPr>
        <w:spacing w:line="480" w:lineRule="auto"/>
        <w:ind w:firstLineChars="295" w:firstLine="708"/>
        <w:contextualSpacing/>
        <w:rPr>
          <w:strike/>
        </w:rPr>
      </w:pPr>
      <w:r w:rsidRPr="00702882">
        <w:t>Section 6z-51(b) stipulates that the State Comptroller may direct the State Treasurer to transfer funds from the BSF to the General Revenue Fund to address cash flow deficits. Furthermore, any borrowed funds must be repaid by June 30 of the same fiscal year in accordance with this section. However, this transfer is for the purpose of meeting short-term timing discrepancies within a fiscal year, and it does not imply a direct withdrawal of funds for other purposes. Based on the provided text of the Illinois Budget Stabilization Act, the authority to withdraw money from the B</w:t>
      </w:r>
      <w:r w:rsidR="002E3D9D" w:rsidRPr="00702882">
        <w:rPr>
          <w:rFonts w:eastAsiaTheme="minorEastAsia"/>
        </w:rPr>
        <w:t>SF</w:t>
      </w:r>
      <w:r w:rsidRPr="00702882">
        <w:t xml:space="preserve"> lies with the legislative branch, the General Assembly.</w:t>
      </w:r>
    </w:p>
    <w:p w14:paraId="24C19917" w14:textId="19B151F9" w:rsidR="00AF6702" w:rsidRPr="00702882" w:rsidRDefault="00AF6702" w:rsidP="00C66AC4">
      <w:pPr>
        <w:spacing w:line="480" w:lineRule="auto"/>
        <w:ind w:firstLineChars="295" w:firstLine="708"/>
        <w:contextualSpacing/>
        <w:rPr>
          <w:color w:val="7030A0"/>
        </w:rPr>
      </w:pPr>
      <w:r w:rsidRPr="00702882">
        <w:t xml:space="preserve">Despite the presence of rules governing deposits and withdrawals, it appears that these rules are not effectively implemented or enforced. The state has been wrestling with fiscal challenges, including budget deficits and unfunded pension liabilities </w:t>
      </w:r>
      <w:sdt>
        <w:sdtPr>
          <w:rPr>
            <w:color w:val="000000"/>
          </w:rPr>
          <w:tag w:val="MENDELEY_CITATION_v3_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"/>
          <w:id w:val="-1246645516"/>
          <w:placeholder>
            <w:docPart w:val="3966B731269B458DAB3345E8C0DB232F"/>
          </w:placeholder>
        </w:sdtPr>
        <w:sdtContent>
          <w:r w:rsidR="00F520AD" w:rsidRPr="00F520AD">
            <w:rPr>
              <w:color w:val="000000"/>
            </w:rPr>
            <w:t>(Bunch, 2010)</w:t>
          </w:r>
        </w:sdtContent>
      </w:sdt>
      <w:r w:rsidRPr="00702882">
        <w:t xml:space="preserve">. Hence, </w:t>
      </w:r>
      <w:r w:rsidRPr="00702882">
        <w:lastRenderedPageBreak/>
        <w:t xml:space="preserve">appropriations from general funds frequently surpassed 99% or 99.5% of the estimated revenues, rendering the state unable to allocate funds to the BSF. </w:t>
      </w:r>
      <w:r w:rsidRPr="00702882">
        <w:rPr>
          <w:i/>
          <w:iCs/>
        </w:rPr>
        <w:t>Since 2001,</w:t>
      </w:r>
      <w:r w:rsidRPr="00702882">
        <w:t xml:space="preserve"> </w:t>
      </w:r>
      <w:r w:rsidRPr="00702882">
        <w:rPr>
          <w:i/>
          <w:iCs/>
        </w:rPr>
        <w:t>the state of Illinois had not deposited any money from the general fund into the BSF until 2020</w:t>
      </w:r>
      <w:r w:rsidRPr="00702882">
        <w:t xml:space="preserve">. As of June 30, 2020, there was a balance of $4.15 million in the BSF, according to the 2020 </w:t>
      </w:r>
      <w:r w:rsidR="00B327D6">
        <w:t>ACFR</w:t>
      </w:r>
      <w:r w:rsidRPr="00702882">
        <w:t xml:space="preserve"> (p. 5).</w:t>
      </w:r>
      <w:r w:rsidRPr="00702882">
        <w:rPr>
          <w:rStyle w:val="a5"/>
        </w:rPr>
        <w:footnoteReference w:id="122"/>
      </w:r>
      <w:r w:rsidRPr="00702882">
        <w:t xml:space="preserve"> </w:t>
      </w:r>
    </w:p>
    <w:p w14:paraId="321ADB0D" w14:textId="15CA4DA8" w:rsidR="00AF6702" w:rsidRPr="00702882" w:rsidRDefault="00AF6702" w:rsidP="00C66AC4">
      <w:pPr>
        <w:spacing w:line="480" w:lineRule="auto"/>
        <w:ind w:firstLineChars="295" w:firstLine="708"/>
        <w:contextualSpacing/>
      </w:pPr>
      <w:r w:rsidRPr="00702882">
        <w:t xml:space="preserve">The initial contribution to the BSF occurred in 2001, as documented in the 2001 </w:t>
      </w:r>
      <w:r w:rsidR="00B327D6">
        <w:t>ACFR</w:t>
      </w:r>
      <w:r w:rsidRPr="00702882">
        <w:t xml:space="preserve">. In July of that year, a total of $226 million was transferred from the Tobacco Settlement Recovery Fund to the BSF under newly enacted legislation allowing a one-time transfer of remaining funds. In July 2002, however, a withdrawal of $226 million was made from the BSF, and these funds were subsequently transferred to the General Revenue Fund. Simultaneously, an additional $156 million in surplus balances from 28 other state funds was also transferred to the General Revenue Fund on the same day, according to the 2002 </w:t>
      </w:r>
      <w:r w:rsidR="00B327D6">
        <w:t>ACFR</w:t>
      </w:r>
      <w:r w:rsidRPr="00702882">
        <w:t xml:space="preserve">. </w:t>
      </w:r>
    </w:p>
    <w:p w14:paraId="4B525771" w14:textId="60363FAE" w:rsidR="00AF6702" w:rsidRPr="00702882" w:rsidRDefault="00AF6702" w:rsidP="00C66AC4">
      <w:pPr>
        <w:spacing w:line="480" w:lineRule="auto"/>
        <w:ind w:firstLineChars="295" w:firstLine="708"/>
        <w:contextualSpacing/>
      </w:pPr>
      <w:r w:rsidRPr="00702882">
        <w:t>As previously mentioned, the $226 million withdrawn from the BSF is subject to repayment by the end of fiscal year 2003, in accordance with Section 6z-51(b) (p. I-7).</w:t>
      </w:r>
      <w:r w:rsidRPr="00702882">
        <w:rPr>
          <w:rStyle w:val="a5"/>
        </w:rPr>
        <w:footnoteReference w:id="123"/>
      </w:r>
      <w:r w:rsidRPr="00702882">
        <w:t xml:space="preserve"> This amount was indeed repaid on June 30, 2003, as confirmed in the 2003 </w:t>
      </w:r>
      <w:r w:rsidR="003039BA">
        <w:t>ACFR</w:t>
      </w:r>
      <w:r w:rsidRPr="00702882">
        <w:t xml:space="preserve"> (p. I-7). However, it is important to note that, aside from the mandatory repayment, no additional funds from the General Revenue Fund were deposited into the BSF for fiscal year 2003. Thus, the balance in the BSF has remained constant at around 1 percent from 2001 to 2009. </w:t>
      </w:r>
    </w:p>
    <w:p w14:paraId="30F15C19" w14:textId="02E9E44E" w:rsidR="00AF6702" w:rsidRPr="00702882" w:rsidRDefault="00AF6702" w:rsidP="00C66AC4">
      <w:pPr>
        <w:spacing w:line="480" w:lineRule="auto"/>
        <w:ind w:firstLineChars="295" w:firstLine="708"/>
        <w:contextualSpacing/>
        <w:rPr>
          <w:b/>
          <w:bCs/>
          <w:color w:val="7030A0"/>
        </w:rPr>
      </w:pPr>
      <w:r w:rsidRPr="00702882">
        <w:t>By fiscal year 2009, the BSF had accumulated $275.7 million.</w:t>
      </w:r>
      <w:r w:rsidRPr="00702882">
        <w:rPr>
          <w:rStyle w:val="a5"/>
        </w:rPr>
        <w:footnoteReference w:id="124"/>
      </w:r>
      <w:r w:rsidRPr="00702882">
        <w:t xml:space="preserve"> During fiscal year 2010, the state transferred $275.704 million from the BSF to the General Revenue Account. By June 30, 2010, the BSF had a balance of zero, as all amounts had been fully transferred to the General Revenue Account, as stated in the 2010 </w:t>
      </w:r>
      <w:r w:rsidR="00D86E3C">
        <w:t>ACFR</w:t>
      </w:r>
      <w:r w:rsidRPr="00702882">
        <w:t xml:space="preserve"> (p. IX). Following the transfers in fiscal </w:t>
      </w:r>
      <w:r w:rsidRPr="00702882">
        <w:lastRenderedPageBreak/>
        <w:t xml:space="preserve">year 2010, the BSF had no balance until fiscal year 2014. In other word, </w:t>
      </w:r>
      <w:r w:rsidRPr="00702882">
        <w:rPr>
          <w:i/>
          <w:iCs/>
        </w:rPr>
        <w:t>the money borrowed from the BSF had not been repaid from 2010 to 2013</w:t>
      </w:r>
      <w:r w:rsidRPr="00702882">
        <w:t xml:space="preserve">. As of June 30, 2014, the balance in the Budget Stabilization Fund was $275.7 million (p. 5), with $275 million transferred according to the </w:t>
      </w:r>
      <w:r w:rsidR="0054640C" w:rsidRPr="00702882">
        <w:t xml:space="preserve">Annual Comprehensive Financial Report </w:t>
      </w:r>
      <w:r w:rsidRPr="00702882">
        <w:t>for Fiscal Year Ended June 30, 2014 (p. 264).</w:t>
      </w:r>
    </w:p>
    <w:p w14:paraId="366700F3" w14:textId="77777777" w:rsidR="00AF6702" w:rsidRPr="00702882" w:rsidRDefault="00AF6702" w:rsidP="00C66AC4">
      <w:pPr>
        <w:spacing w:line="480" w:lineRule="auto"/>
        <w:ind w:firstLineChars="295" w:firstLine="708"/>
        <w:contextualSpacing/>
      </w:pPr>
      <w:r w:rsidRPr="00702882">
        <w:t xml:space="preserve">Illinois’ BSF, as defined in Section 6z-51, underwent an amendment in 2016 through P.A. 99-523. This amendment introduced subsection (c), which exclusively applied to fiscal year 2017. Subsection (c) stipulated that for fiscal year 2017, expenditures from the Budget Stabilization Fund would only be permissible with specific authorization through appropriations. Additionally, </w:t>
      </w:r>
      <w:r w:rsidRPr="00702882">
        <w:rPr>
          <w:i/>
          <w:iCs/>
        </w:rPr>
        <w:t>any funds expended as per the appropriation were not subject to the previous repayment requirement</w:t>
      </w:r>
      <w:r w:rsidRPr="00702882">
        <w:t xml:space="preserve">. In other words, the 2016 amendment rendered the repayment provision inoperative. </w:t>
      </w:r>
    </w:p>
    <w:p w14:paraId="289C4A43" w14:textId="6D5E4844" w:rsidR="00AF6702" w:rsidRPr="00702882" w:rsidRDefault="00AF6702" w:rsidP="00C66AC4">
      <w:pPr>
        <w:spacing w:line="480" w:lineRule="auto"/>
        <w:ind w:firstLineChars="295" w:firstLine="708"/>
        <w:contextualSpacing/>
        <w:rPr>
          <w:rFonts w:eastAsiaTheme="minorEastAsia"/>
        </w:rPr>
      </w:pPr>
      <w:r w:rsidRPr="00702882">
        <w:rPr>
          <w:rFonts w:eastAsiaTheme="minorEastAsia"/>
        </w:rPr>
        <w:t>In summary, both Mississippi and Illinois often fail to adhere to the repayment requirement for their Budget Stabilization Funds. Rather than fulfilling this obligation, they resort to various budgetary maneuvers or render the repayment provision ineffective by amending BSF rules. These actions can undermine the intended purpose of the BSFs to mitigate economic volatility and ensure financial stability.</w:t>
      </w:r>
      <w:r w:rsidR="009B6A51" w:rsidRPr="00702882">
        <w:rPr>
          <w:rFonts w:eastAsiaTheme="minorEastAsia"/>
        </w:rPr>
        <w:t xml:space="preserve"> </w:t>
      </w:r>
    </w:p>
    <w:p w14:paraId="6B4FADC2" w14:textId="77777777" w:rsidR="007F7611" w:rsidRPr="00702882" w:rsidRDefault="007F7611" w:rsidP="00C66AC4">
      <w:pPr>
        <w:spacing w:line="480" w:lineRule="auto"/>
        <w:contextualSpacing/>
        <w:rPr>
          <w:rFonts w:eastAsiaTheme="minorEastAsia"/>
          <w:b/>
          <w:bCs/>
          <w:color w:val="7030A0"/>
        </w:rPr>
      </w:pPr>
    </w:p>
    <w:p w14:paraId="06249F7E" w14:textId="77777777" w:rsidR="0055477A" w:rsidRPr="00702882" w:rsidRDefault="0055477A" w:rsidP="00C66AC4">
      <w:pPr>
        <w:spacing w:line="480" w:lineRule="auto"/>
        <w:contextualSpacing/>
        <w:rPr>
          <w:rFonts w:eastAsiaTheme="minorEastAsia"/>
          <w:b/>
          <w:bCs/>
          <w:color w:val="7030A0"/>
        </w:rPr>
      </w:pPr>
    </w:p>
    <w:p w14:paraId="225E6619" w14:textId="77777777" w:rsidR="0055477A" w:rsidRPr="00702882" w:rsidRDefault="0055477A" w:rsidP="00C66AC4">
      <w:pPr>
        <w:spacing w:line="480" w:lineRule="auto"/>
        <w:contextualSpacing/>
        <w:rPr>
          <w:rFonts w:eastAsiaTheme="minorEastAsia"/>
          <w:b/>
          <w:bCs/>
          <w:color w:val="7030A0"/>
        </w:rPr>
      </w:pPr>
    </w:p>
    <w:p w14:paraId="2A176CBE" w14:textId="77777777" w:rsidR="0055477A" w:rsidRPr="00702882" w:rsidRDefault="0055477A" w:rsidP="00C66AC4">
      <w:pPr>
        <w:spacing w:line="480" w:lineRule="auto"/>
        <w:contextualSpacing/>
        <w:rPr>
          <w:rFonts w:eastAsiaTheme="minorEastAsia"/>
          <w:b/>
          <w:bCs/>
          <w:color w:val="7030A0"/>
        </w:rPr>
      </w:pPr>
    </w:p>
    <w:p w14:paraId="027D3400" w14:textId="77777777" w:rsidR="0055477A" w:rsidRPr="00702882" w:rsidRDefault="0055477A" w:rsidP="00C66AC4">
      <w:pPr>
        <w:spacing w:line="480" w:lineRule="auto"/>
        <w:contextualSpacing/>
        <w:rPr>
          <w:rFonts w:eastAsiaTheme="minorEastAsia"/>
          <w:b/>
          <w:bCs/>
          <w:color w:val="7030A0"/>
        </w:rPr>
      </w:pPr>
    </w:p>
    <w:p w14:paraId="025325BD" w14:textId="77777777" w:rsidR="0055477A" w:rsidRPr="00702882" w:rsidRDefault="0055477A" w:rsidP="00C66AC4">
      <w:pPr>
        <w:spacing w:line="480" w:lineRule="auto"/>
        <w:contextualSpacing/>
        <w:rPr>
          <w:rFonts w:eastAsiaTheme="minorEastAsia"/>
          <w:b/>
          <w:bCs/>
          <w:color w:val="7030A0"/>
        </w:rPr>
      </w:pPr>
    </w:p>
    <w:p w14:paraId="5D868852" w14:textId="77777777" w:rsidR="00AF6702" w:rsidRPr="00702882" w:rsidRDefault="00AF6702" w:rsidP="00C66AC4">
      <w:pPr>
        <w:spacing w:line="480" w:lineRule="auto"/>
        <w:contextualSpacing/>
        <w:rPr>
          <w:rFonts w:eastAsiaTheme="minorEastAsia"/>
          <w:b/>
          <w:bCs/>
          <w:color w:val="7030A0"/>
        </w:rPr>
      </w:pPr>
    </w:p>
    <w:p w14:paraId="0D2896B9" w14:textId="77777777" w:rsidR="00AF6702" w:rsidRPr="00702882" w:rsidRDefault="00AF6702" w:rsidP="00C66AC4">
      <w:pPr>
        <w:spacing w:line="480" w:lineRule="auto"/>
        <w:contextualSpacing/>
        <w:jc w:val="center"/>
        <w:rPr>
          <w:b/>
          <w:bCs/>
        </w:rPr>
      </w:pPr>
      <w:r w:rsidRPr="00702882">
        <w:rPr>
          <w:b/>
          <w:bCs/>
        </w:rPr>
        <w:lastRenderedPageBreak/>
        <w:t xml:space="preserve">8. </w:t>
      </w:r>
      <w:bookmarkStart w:id="77" w:name="FinalRemarks"/>
      <w:r w:rsidRPr="00702882">
        <w:rPr>
          <w:b/>
          <w:bCs/>
        </w:rPr>
        <w:t>FINAL REMARKS</w:t>
      </w:r>
      <w:bookmarkEnd w:id="77"/>
    </w:p>
    <w:p w14:paraId="692ADE05" w14:textId="77777777" w:rsidR="00AF6702" w:rsidRPr="00702882" w:rsidRDefault="00AF6702" w:rsidP="00C66AC4">
      <w:pPr>
        <w:spacing w:line="480" w:lineRule="auto"/>
        <w:contextualSpacing/>
      </w:pPr>
    </w:p>
    <w:p w14:paraId="2C94431B" w14:textId="77777777" w:rsidR="00AF6702" w:rsidRPr="00702882" w:rsidRDefault="00AF6702" w:rsidP="00C66AC4">
      <w:pPr>
        <w:spacing w:line="480" w:lineRule="auto"/>
        <w:contextualSpacing/>
        <w:rPr>
          <w:b/>
          <w:bCs/>
        </w:rPr>
      </w:pPr>
      <w:r w:rsidRPr="00702882">
        <w:rPr>
          <w:b/>
          <w:bCs/>
        </w:rPr>
        <w:t>8.1 Conclusion</w:t>
      </w:r>
      <w:bookmarkStart w:id="78" w:name="Conclusion"/>
      <w:bookmarkEnd w:id="78"/>
    </w:p>
    <w:p w14:paraId="4EDF1BC1" w14:textId="77777777" w:rsidR="00AF6702" w:rsidRPr="00702882" w:rsidRDefault="00AF6702" w:rsidP="00C66AC4">
      <w:pPr>
        <w:spacing w:line="480" w:lineRule="auto"/>
        <w:ind w:firstLineChars="295" w:firstLine="708"/>
        <w:contextualSpacing/>
      </w:pPr>
      <w:r w:rsidRPr="00702882">
        <w:t>The dissertation examined the impact of Budget Stabilization Fund (BSF) rules' stringency on fiscal slack levels within state governments. Across the United States, states have implemented BSFs to stabilize their budgets during economic downturns. Nonetheless, there exists considerable variation in the stringency of rules governing BSF deposits and withdrawals among states. Drawing upon insights from New Institutional Economics (NIE), the study sought to elucidate how the stringency of these rules influences states' patterns of saving and spending.</w:t>
      </w:r>
    </w:p>
    <w:p w14:paraId="603896C0" w14:textId="77777777" w:rsidR="00AF6702" w:rsidRPr="00702882" w:rsidRDefault="00AF6702" w:rsidP="00C66AC4">
      <w:pPr>
        <w:spacing w:line="480" w:lineRule="auto"/>
        <w:ind w:firstLineChars="295" w:firstLine="708"/>
        <w:contextualSpacing/>
      </w:pPr>
      <w:r w:rsidRPr="00702882">
        <w:t xml:space="preserve">The Fixed Effects and Generalized Synthetic Control Method (GSCM) models produce significant insights into states' saving and spending behaviors. Firstly, in line with hypothesis 1, the findings underscore a crucial policy implication concerning the efficacy of strict regulations governing BSF. Specifically, the results indicate that the implementation of stringent deposit rules, such as imposing high caps, tying deposits to revenue volatility, and depositing surplus revenue into BSF, positively influences BSF levels. This underscores the significance of establishing clearly defined saving obligation within BSF frameworks to enhance their size and resilience. Such policies can serve as invaluable instruments for state governments in preparing for economic downturns and alleviating fiscal stress. </w:t>
      </w:r>
    </w:p>
    <w:p w14:paraId="75FC2335" w14:textId="563F3DCF" w:rsidR="00AF6702" w:rsidRPr="00702882" w:rsidRDefault="00AF6702" w:rsidP="00C66AC4">
      <w:pPr>
        <w:spacing w:line="480" w:lineRule="auto"/>
        <w:ind w:firstLineChars="295" w:firstLine="708"/>
        <w:contextualSpacing/>
      </w:pPr>
      <w:r w:rsidRPr="00702882">
        <w:t xml:space="preserve">While stringent withdrawal rules do not exhibit a significant positive impact on BSF levels, this does not necessarily imply the ineffectiveness of stringent withdrawal rules. Withdrawal rules are inherently related to the use of BSF, which is expected to exert a negative impact on BSF levels. Moreover, these withdrawal rules often exhibit high correlation with specific deposit requirements, thus introducing collinearity concerns. Consequently, I </w:t>
      </w:r>
      <w:r w:rsidR="00A130E5" w:rsidRPr="00702882">
        <w:rPr>
          <w:rFonts w:eastAsiaTheme="minorEastAsia"/>
        </w:rPr>
        <w:t xml:space="preserve">also </w:t>
      </w:r>
      <w:r w:rsidR="00A130E5" w:rsidRPr="00702882">
        <w:rPr>
          <w:rFonts w:eastAsiaTheme="minorEastAsia"/>
        </w:rPr>
        <w:lastRenderedPageBreak/>
        <w:t>implemented</w:t>
      </w:r>
      <w:r w:rsidRPr="00702882">
        <w:t xml:space="preserve"> regression models, excluding the withdrawal rules with substantial correlations with certain deposit rules. Nonetheless, the outcomes from these reduced models align closely with those derived from the original models, as detailed in Chapter 6.</w:t>
      </w:r>
    </w:p>
    <w:p w14:paraId="64DF91D3" w14:textId="60D9DF59" w:rsidR="00AF6702" w:rsidRPr="00702882" w:rsidRDefault="00AF6702" w:rsidP="009B6A51">
      <w:pPr>
        <w:spacing w:line="480" w:lineRule="auto"/>
        <w:ind w:firstLineChars="295" w:firstLine="708"/>
        <w:contextualSpacing/>
        <w:rPr>
          <w:rFonts w:eastAsiaTheme="minorEastAsia"/>
        </w:rPr>
      </w:pPr>
      <w:r w:rsidRPr="00702882">
        <w:t xml:space="preserve">In the fixed effects models, it is observed that stringent withdrawal rules impact GFB levels, whereas stringent deposit rules do not exhibit a significant impact. </w:t>
      </w:r>
      <w:r w:rsidR="009B6A51" w:rsidRPr="00702882">
        <w:rPr>
          <w:rFonts w:eastAsiaTheme="minorEastAsia"/>
        </w:rPr>
        <w:t xml:space="preserve">The presence of both linking withdrawals to revenue volatility and imposing a withdrawal limit mitigates the negative effect on GFB levels, resulting in higher GFB levels by approximately 6 percentage points compared to only linking withdrawals to revenue volatility without a withdrawal limit. </w:t>
      </w:r>
      <w:r w:rsidRPr="00702882">
        <w:t xml:space="preserve">These findings suggest that when a state faces multiple stringent regulations restricting BSF use, it tends to maintain funds in the GFB account, as it represents a more readily accessible and available option than utilizing the BSF. </w:t>
      </w:r>
    </w:p>
    <w:p w14:paraId="6FEA494E" w14:textId="77777777" w:rsidR="00AF6702" w:rsidRPr="00702882" w:rsidRDefault="00AF6702" w:rsidP="00C66AC4">
      <w:pPr>
        <w:spacing w:line="480" w:lineRule="auto"/>
        <w:ind w:firstLineChars="295" w:firstLine="708"/>
        <w:contextualSpacing/>
      </w:pPr>
      <w:r w:rsidRPr="00702882">
        <w:t>In sum, the study highlights the importance of stringent deposit rules in enhancing BSF levels for fiscal stabilization. Additionally, the analysis reveals that stringent withdrawal rules have a significant impact on the GFB levels. This finding suggests that the presence of strict withdrawal regulations complicates slack resources and prompts nuanced considerations in devising effective fiscal management strategies for state governments. The analysis findings in this dissertation hold significant theoretical and practical implications, which will be elaborated upon in the subsequent section.</w:t>
      </w:r>
    </w:p>
    <w:p w14:paraId="0A0B26A2" w14:textId="77777777" w:rsidR="00AF6702" w:rsidRPr="00702882" w:rsidRDefault="00AF6702" w:rsidP="00C66AC4">
      <w:pPr>
        <w:spacing w:line="480" w:lineRule="auto"/>
        <w:contextualSpacing/>
        <w:rPr>
          <w:color w:val="7030A0"/>
        </w:rPr>
      </w:pPr>
    </w:p>
    <w:p w14:paraId="68D5BA8A" w14:textId="77777777" w:rsidR="00AF6702" w:rsidRPr="00702882" w:rsidRDefault="00AF6702" w:rsidP="00C66AC4">
      <w:pPr>
        <w:spacing w:line="480" w:lineRule="auto"/>
        <w:contextualSpacing/>
        <w:rPr>
          <w:color w:val="7030A0"/>
        </w:rPr>
      </w:pPr>
    </w:p>
    <w:p w14:paraId="6A6227FB" w14:textId="77777777" w:rsidR="00AF6702" w:rsidRPr="00702882" w:rsidRDefault="00AF6702" w:rsidP="00C66AC4">
      <w:pPr>
        <w:spacing w:line="480" w:lineRule="auto"/>
        <w:contextualSpacing/>
        <w:rPr>
          <w:rFonts w:eastAsiaTheme="minorEastAsia"/>
          <w:color w:val="7030A0"/>
        </w:rPr>
      </w:pPr>
    </w:p>
    <w:p w14:paraId="1E705E90" w14:textId="77777777" w:rsidR="00ED36FA" w:rsidRPr="00702882" w:rsidRDefault="00ED36FA" w:rsidP="00C66AC4">
      <w:pPr>
        <w:spacing w:line="480" w:lineRule="auto"/>
        <w:contextualSpacing/>
        <w:rPr>
          <w:rFonts w:eastAsiaTheme="minorEastAsia"/>
          <w:color w:val="7030A0"/>
        </w:rPr>
      </w:pPr>
    </w:p>
    <w:p w14:paraId="53BAA9B9" w14:textId="77777777" w:rsidR="00AF6702" w:rsidRPr="00702882" w:rsidRDefault="00AF6702" w:rsidP="00C66AC4">
      <w:pPr>
        <w:spacing w:line="480" w:lineRule="auto"/>
        <w:contextualSpacing/>
        <w:rPr>
          <w:rFonts w:eastAsiaTheme="minorEastAsia"/>
          <w:color w:val="7030A0"/>
        </w:rPr>
      </w:pPr>
    </w:p>
    <w:p w14:paraId="3B0DFEA4" w14:textId="77777777" w:rsidR="00AF6702" w:rsidRPr="00702882" w:rsidRDefault="00AF6702" w:rsidP="00C66AC4">
      <w:pPr>
        <w:spacing w:line="480" w:lineRule="auto"/>
        <w:contextualSpacing/>
        <w:rPr>
          <w:b/>
          <w:bCs/>
        </w:rPr>
      </w:pPr>
      <w:r w:rsidRPr="00702882">
        <w:rPr>
          <w:b/>
          <w:bCs/>
        </w:rPr>
        <w:lastRenderedPageBreak/>
        <w:t>8.2 Contributions and Limitatio</w:t>
      </w:r>
      <w:bookmarkStart w:id="79" w:name="ContributionsandLimitations"/>
      <w:bookmarkEnd w:id="79"/>
      <w:r w:rsidRPr="00702882">
        <w:rPr>
          <w:b/>
          <w:bCs/>
        </w:rPr>
        <w:t>ns</w:t>
      </w:r>
    </w:p>
    <w:p w14:paraId="22EEAAA7" w14:textId="4924DC35" w:rsidR="00AF6702" w:rsidRPr="00702882" w:rsidRDefault="00AF6702" w:rsidP="00C66AC4">
      <w:pPr>
        <w:spacing w:line="480" w:lineRule="auto"/>
        <w:ind w:firstLineChars="295" w:firstLine="708"/>
        <w:contextualSpacing/>
      </w:pPr>
      <w:r w:rsidRPr="00702882">
        <w:t>This section provides an overview of both the significant contributions made by this study as well as the limitations that necessitate careful consideration. First and foremost, the findings contribute to the understanding of how institutional arrangements, such as stringent BSF rules</w:t>
      </w:r>
      <w:r w:rsidR="009940A7" w:rsidRPr="00702882">
        <w:rPr>
          <w:rFonts w:eastAsiaTheme="minorEastAsia"/>
        </w:rPr>
        <w:t>,</w:t>
      </w:r>
      <w:r w:rsidRPr="00702882">
        <w:t xml:space="preserve"> influence state governments' fiscal behaviors. Grounded in the approaches of NIE, our study introduced a pioneering conceptualization of BSF stringency, incorporating</w:t>
      </w:r>
      <w:r w:rsidR="000A5917" w:rsidRPr="00702882">
        <w:rPr>
          <w:rFonts w:eastAsiaTheme="minorEastAsia"/>
        </w:rPr>
        <w:t xml:space="preserve"> </w:t>
      </w:r>
      <w:r w:rsidR="004F47F8" w:rsidRPr="00702882">
        <w:rPr>
          <w:rFonts w:eastAsiaTheme="minorEastAsia"/>
        </w:rPr>
        <w:t xml:space="preserve">the </w:t>
      </w:r>
      <w:r w:rsidR="000A5917" w:rsidRPr="00702882">
        <w:rPr>
          <w:rFonts w:eastAsiaTheme="minorEastAsia"/>
        </w:rPr>
        <w:t>degree of</w:t>
      </w:r>
      <w:r w:rsidRPr="00702882">
        <w:t xml:space="preserve"> precision</w:t>
      </w:r>
      <w:r w:rsidRPr="00702882">
        <w:rPr>
          <w:rFonts w:eastAsiaTheme="minorEastAsia"/>
        </w:rPr>
        <w:t xml:space="preserve"> and </w:t>
      </w:r>
      <w:r w:rsidR="004F47F8" w:rsidRPr="00702882">
        <w:rPr>
          <w:rFonts w:eastAsiaTheme="minorEastAsia"/>
        </w:rPr>
        <w:t xml:space="preserve">the </w:t>
      </w:r>
      <w:r w:rsidR="000A5917" w:rsidRPr="00702882">
        <w:rPr>
          <w:rFonts w:eastAsiaTheme="minorEastAsia"/>
        </w:rPr>
        <w:t xml:space="preserve">degree of </w:t>
      </w:r>
      <w:r w:rsidRPr="00702882">
        <w:t xml:space="preserve">obligation. In essence, the study posits that stringent BSF rules, characterized by clearly delineated conditions for both deposit and withdrawal along with substantial saving obligations, serve as guiding parameters that shape and restrict the actions of public officials and politicians. This framework enhances our understanding of the factors influencing BSF size and sheds light on the intricate relationship between BSF and GFB. </w:t>
      </w:r>
    </w:p>
    <w:p w14:paraId="391590AD" w14:textId="5964D49E" w:rsidR="00AF6702" w:rsidRPr="00702882" w:rsidRDefault="00AF6702" w:rsidP="00C66AC4">
      <w:pPr>
        <w:spacing w:line="480" w:lineRule="auto"/>
        <w:ind w:firstLineChars="295" w:firstLine="708"/>
        <w:contextualSpacing/>
      </w:pPr>
      <w:r w:rsidRPr="00702882">
        <w:t xml:space="preserve">This study also offers noteworthy practical implications, by empirically examining the effects of fourteen structural dimensions of BSF, including the number of BSF, voting requirements, repayment provision, and spending limits, on the sizes of </w:t>
      </w:r>
      <w:r w:rsidRPr="00702882">
        <w:rPr>
          <w:rFonts w:eastAsiaTheme="minorEastAsia"/>
        </w:rPr>
        <w:t>BSF and GFB</w:t>
      </w:r>
      <w:r w:rsidRPr="00702882">
        <w:t xml:space="preserve">. Policymakers can leverage the insights gleaned from this research to refine their BSF policies, aiming to enhance the effectiveness of these funds in stabilizing budgets during economic downturns. Detailed policy </w:t>
      </w:r>
      <w:r w:rsidR="009A6F67" w:rsidRPr="00702882">
        <w:rPr>
          <w:rFonts w:eastAsiaTheme="minorEastAsia"/>
        </w:rPr>
        <w:t>implication</w:t>
      </w:r>
      <w:r w:rsidRPr="00702882">
        <w:t>s will be provided in the subsequent subsection.</w:t>
      </w:r>
    </w:p>
    <w:p w14:paraId="0B5C05AE" w14:textId="77777777" w:rsidR="00AF6702" w:rsidRPr="00702882" w:rsidRDefault="00AF6702" w:rsidP="00C66AC4">
      <w:pPr>
        <w:spacing w:line="480" w:lineRule="auto"/>
        <w:ind w:firstLineChars="295" w:firstLine="708"/>
        <w:contextualSpacing/>
        <w:rPr>
          <w:color w:val="7030A0"/>
        </w:rPr>
      </w:pPr>
      <w:r w:rsidRPr="00702882">
        <w:t xml:space="preserve">Another significant contribution is our mitigation of the issue of "conceptual stretching" in certain variables, by employing numerical continuous variables and conducting case studies. Each state adopts diverse deposit and withdrawal rules, leading to significant variations. Attempting to group dissimilar cases into the same variable to obtain a larger sample size can result in inaccurate results. For instance, the ways in which deposits are tied to revenue volatility </w:t>
      </w:r>
      <w:r w:rsidRPr="00702882">
        <w:lastRenderedPageBreak/>
        <w:t xml:space="preserve">can vary significantly. The methods for imposing spending limits also exhibit substantial divergence. </w:t>
      </w:r>
    </w:p>
    <w:p w14:paraId="6452ACF7" w14:textId="77777777" w:rsidR="00AF6702" w:rsidRPr="00702882" w:rsidRDefault="00AF6702" w:rsidP="00C66AC4">
      <w:pPr>
        <w:spacing w:line="480" w:lineRule="auto"/>
        <w:ind w:firstLineChars="295" w:firstLine="708"/>
        <w:contextualSpacing/>
      </w:pPr>
      <w:r w:rsidRPr="00702882">
        <w:t>The nature and origin of funding sources also differ across states, with some relying on severance tax revenues and others utilizing tobacco settlement funds. Funding source from severance tax revenue, may substantially contribute to BSF levels, while others, like federal grants or tobacco settlement funds, may have a relatively modest impact on BSF or GFB levels. Additionally, dummy variables may not capture subtle changes in BSF rules. For instance, when Hawaii reduces the proportion of tobacco settlement funds from 40% to 24.6%, this gradual change cannot be adequately represented by a binary dummy variable.</w:t>
      </w:r>
    </w:p>
    <w:p w14:paraId="52C267E1" w14:textId="77777777" w:rsidR="00AF6702" w:rsidRPr="00702882" w:rsidRDefault="00AF6702" w:rsidP="00C66AC4">
      <w:pPr>
        <w:spacing w:line="480" w:lineRule="auto"/>
        <w:ind w:firstLineChars="295" w:firstLine="708"/>
        <w:contextualSpacing/>
      </w:pPr>
      <w:r w:rsidRPr="00702882">
        <w:t xml:space="preserve">Therefore, when examining funding sources, we used continuous numerical variables representing the funds from special revenue that were actually deposited into the BSF. Additionally, for deposit revenue surplus, we quantify the percentage of the general fund surplus mandated to be deposited into BSF. Withdrawal by the legislature is likewise measured as the percentage of votes required to utilize BSF. </w:t>
      </w:r>
    </w:p>
    <w:p w14:paraId="07180F03" w14:textId="77777777" w:rsidR="00AF6702" w:rsidRPr="00702882" w:rsidRDefault="00AF6702" w:rsidP="00C66AC4">
      <w:pPr>
        <w:spacing w:line="480" w:lineRule="auto"/>
        <w:ind w:firstLineChars="295" w:firstLine="708"/>
        <w:contextualSpacing/>
      </w:pPr>
      <w:r w:rsidRPr="00702882">
        <w:t>Our quantitative and qualitative case studies also play a crucial role in mitigating the issue of "conceptual stretching" in specific variables. The application of the Generalized Synthetic Control Method (GSCM) enables us to examine individual states' distinct BSF deposit and withdrawal rules, such as deposit and withdrawal tied to revenue volatility. This approach effectively disentangles the causal relationship between BSF rule stringency and the size of fiscal reserves, such as BSF and GFB, thereby addressing the endogeneity issue. Our qualitative case studies contribute significantly to elucidating the causal mechanisms and identifying the disparities between BSF policy and its practical implementation.</w:t>
      </w:r>
    </w:p>
    <w:p w14:paraId="4104ABA0" w14:textId="77777777" w:rsidR="00AF6702" w:rsidRPr="00702882" w:rsidRDefault="00AF6702" w:rsidP="00C66AC4">
      <w:pPr>
        <w:spacing w:line="480" w:lineRule="auto"/>
        <w:ind w:firstLineChars="295" w:firstLine="708"/>
        <w:contextualSpacing/>
      </w:pPr>
      <w:r w:rsidRPr="00702882">
        <w:lastRenderedPageBreak/>
        <w:t>Additionally, we provide a comprehensive analysis of fourteen structural dimensions of BSF, encompassing factors, such as the number of BSF, voting requirements for BSF use (withdrawal by legislature), repayment provision, and spending limits. This thorough examination enables us to assess their impact on BSF balance levels effectively. Our study also breaks new ground, by incorporating interaction terms between various variables, a novel approach that has not been explored in previous research. These insights collectively deepen our comprehension of BSF dynamics and provide a comprehensive perspective on the factors influencing BSF and GFB levels.</w:t>
      </w:r>
    </w:p>
    <w:p w14:paraId="6B38E22E" w14:textId="77777777" w:rsidR="00AF6702" w:rsidRPr="00702882" w:rsidRDefault="00AF6702" w:rsidP="00C66AC4">
      <w:pPr>
        <w:spacing w:line="480" w:lineRule="auto"/>
        <w:ind w:firstLineChars="295" w:firstLine="708"/>
        <w:contextualSpacing/>
      </w:pPr>
      <w:r w:rsidRPr="00702882">
        <w:t>Despite its contributions, this dissertation has several limitations. Firstly, the Budget Stabilization Funds of Alaska and Wyoming were excluded from the analysis due to their exceptionally large BSF levels, as they were considered outliers. Kansas and Montana were also excluded due to the recent establishment of their BSFs. Additionally, Oregon was omitted from the dataset because it established its Rainy Day Fund for general purposes in 2007, while Colorado was dropped due to the lack of an official BSF. Consequently, these states remain unexplored within the scope of this dissertation. These exclusions may limit the comprehensive understanding of the entire BSF landscape and its implementation challenges.</w:t>
      </w:r>
    </w:p>
    <w:p w14:paraId="0049DC60" w14:textId="1D77CFC7" w:rsidR="00AF6702" w:rsidRPr="00702882" w:rsidRDefault="00AF6702" w:rsidP="00C66AC4">
      <w:pPr>
        <w:spacing w:line="480" w:lineRule="auto"/>
        <w:ind w:firstLineChars="295" w:firstLine="708"/>
        <w:contextualSpacing/>
        <w:rPr>
          <w:color w:val="7030A0"/>
        </w:rPr>
      </w:pPr>
      <w:r w:rsidRPr="00702882">
        <w:t xml:space="preserve">Furthermore, it's important to acknowledge that the optimal level of BSF funding can differ based on the unique circumstances of each state, potentially influencing state saving behavior. While our study focuses on identifying factors that enhance BSF levels, I acknowledge the importance of not indiscriminately advocating for increased funding without considering the contextual factors that may affect its appropriateness. Determining the optimal level of BSF funding is contingent upon various factors, including a state's revenue history, revenue mix, </w:t>
      </w:r>
      <w:r w:rsidRPr="00702882">
        <w:lastRenderedPageBreak/>
        <w:t xml:space="preserve">desire for future expenditure growth, and success in generating interest earnings on fund balances </w:t>
      </w:r>
      <w:sdt>
        <w:sdtPr>
          <w:rPr>
            <w:color w:val="000000"/>
          </w:rPr>
          <w:tag w:val="MENDELEY_CITATION_v3_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"/>
          <w:id w:val="-191463213"/>
          <w:placeholder>
            <w:docPart w:val="5BF40514CA494468AE1B950C98DCB216"/>
          </w:placeholder>
        </w:sdtPr>
        <w:sdtContent>
          <w:r w:rsidR="00F520AD" w:rsidRPr="00F520AD">
            <w:rPr>
              <w:color w:val="000000"/>
            </w:rPr>
            <w:t>(Kriz, 2003).</w:t>
          </w:r>
        </w:sdtContent>
      </w:sdt>
      <w:r w:rsidRPr="00702882">
        <w:t xml:space="preserve"> </w:t>
      </w:r>
    </w:p>
    <w:p w14:paraId="2C980473" w14:textId="77777777" w:rsidR="00AF6702" w:rsidRPr="00702882" w:rsidRDefault="00AF6702" w:rsidP="00C66AC4">
      <w:pPr>
        <w:spacing w:line="480" w:lineRule="auto"/>
        <w:ind w:firstLineChars="295" w:firstLine="708"/>
        <w:contextualSpacing/>
      </w:pPr>
      <w:r w:rsidRPr="00702882">
        <w:t>Indeed, in states with already high BSF balances, there may be a point of diminishing returns or even potential harm to the state's economy by not reinvesting revenues back into essential programs and services. It is essential to strike a balance between maintaining a healthy BSF reserve and ensuring that funds are efficiently utilized to support economic growth and address pressing needs. However, it is important to acknowledge that exploring the varying necessity and optimal level of BSF funding is beyond the scope of our current research and will be pursued in future research endeavors.</w:t>
      </w:r>
    </w:p>
    <w:p w14:paraId="5EEF84BF" w14:textId="77777777" w:rsidR="00AF6702" w:rsidRPr="00702882" w:rsidRDefault="00AF6702" w:rsidP="00C66AC4">
      <w:pPr>
        <w:spacing w:line="480" w:lineRule="auto"/>
        <w:ind w:firstLineChars="295" w:firstLine="708"/>
        <w:contextualSpacing/>
      </w:pPr>
      <w:r w:rsidRPr="00702882">
        <w:t>Lastly, this dissertation primarily centers on quantitative data analysis, and I did not conduct interviews with key policy actors, such as legislators, governors, and government officials, who may wield influence over BSF policy design and implementation. Understanding the nuances of real-world operations often requires insights from these practitioners. Interviews with policy actors could also serve to validate the findings derived from document analysis and quantitative research. Therefore, future research endeavors should place an emphasis on engaging with these influential stakeholders to gain a more comprehensive perspective on BSF dynamics and their impact on GFB levels.</w:t>
      </w:r>
    </w:p>
    <w:p w14:paraId="25C47ADD" w14:textId="77777777" w:rsidR="00AF6702" w:rsidRPr="00702882" w:rsidRDefault="00AF6702" w:rsidP="00C66AC4">
      <w:pPr>
        <w:spacing w:line="480" w:lineRule="auto"/>
        <w:ind w:firstLineChars="295" w:firstLine="708"/>
        <w:contextualSpacing/>
        <w:rPr>
          <w:color w:val="7030A0"/>
        </w:rPr>
      </w:pPr>
    </w:p>
    <w:p w14:paraId="7DAA4434" w14:textId="77777777" w:rsidR="00AF6702" w:rsidRPr="00702882" w:rsidRDefault="00AF6702" w:rsidP="00C66AC4">
      <w:pPr>
        <w:spacing w:line="480" w:lineRule="auto"/>
        <w:ind w:firstLineChars="295" w:firstLine="708"/>
        <w:contextualSpacing/>
        <w:rPr>
          <w:color w:val="7030A0"/>
        </w:rPr>
      </w:pPr>
    </w:p>
    <w:p w14:paraId="08076984" w14:textId="77777777" w:rsidR="00AF6702" w:rsidRPr="00702882" w:rsidRDefault="00AF6702" w:rsidP="00C66AC4">
      <w:pPr>
        <w:spacing w:line="480" w:lineRule="auto"/>
        <w:ind w:firstLineChars="295" w:firstLine="708"/>
        <w:contextualSpacing/>
        <w:rPr>
          <w:color w:val="7030A0"/>
        </w:rPr>
      </w:pPr>
    </w:p>
    <w:p w14:paraId="1F67B2B7" w14:textId="77777777" w:rsidR="00AF6702" w:rsidRPr="00702882" w:rsidRDefault="00AF6702" w:rsidP="00C66AC4">
      <w:pPr>
        <w:spacing w:line="480" w:lineRule="auto"/>
        <w:ind w:firstLineChars="295" w:firstLine="708"/>
        <w:contextualSpacing/>
        <w:rPr>
          <w:color w:val="7030A0"/>
        </w:rPr>
      </w:pPr>
    </w:p>
    <w:p w14:paraId="683FCE13" w14:textId="77777777" w:rsidR="00AF6702" w:rsidRPr="00702882" w:rsidRDefault="00AF6702" w:rsidP="00C66AC4">
      <w:pPr>
        <w:spacing w:line="480" w:lineRule="auto"/>
        <w:ind w:firstLineChars="295" w:firstLine="708"/>
        <w:contextualSpacing/>
        <w:rPr>
          <w:color w:val="7030A0"/>
        </w:rPr>
      </w:pPr>
    </w:p>
    <w:p w14:paraId="403B188C" w14:textId="77777777" w:rsidR="00AF6702" w:rsidRPr="00702882" w:rsidRDefault="00AF6702" w:rsidP="004D3BED">
      <w:pPr>
        <w:spacing w:line="480" w:lineRule="auto"/>
        <w:contextualSpacing/>
        <w:rPr>
          <w:rFonts w:eastAsiaTheme="minorEastAsia"/>
          <w:color w:val="7030A0"/>
        </w:rPr>
      </w:pPr>
    </w:p>
    <w:p w14:paraId="48B8EEDD" w14:textId="2238C267" w:rsidR="005C6053" w:rsidRPr="00702882" w:rsidRDefault="00AF6702" w:rsidP="005C6053">
      <w:pPr>
        <w:spacing w:line="480" w:lineRule="auto"/>
        <w:contextualSpacing/>
        <w:rPr>
          <w:rFonts w:eastAsiaTheme="minorEastAsia"/>
          <w:b/>
          <w:bCs/>
        </w:rPr>
      </w:pPr>
      <w:r w:rsidRPr="00702882">
        <w:rPr>
          <w:b/>
          <w:bCs/>
        </w:rPr>
        <w:lastRenderedPageBreak/>
        <w:t xml:space="preserve">8.3 </w:t>
      </w:r>
      <w:bookmarkStart w:id="80" w:name="PolicyRecommendations"/>
      <w:bookmarkStart w:id="81" w:name="PolicyImplications"/>
      <w:r w:rsidRPr="00702882">
        <w:rPr>
          <w:b/>
          <w:bCs/>
        </w:rPr>
        <w:t xml:space="preserve">Policy </w:t>
      </w:r>
      <w:r w:rsidR="004D3BED" w:rsidRPr="00702882">
        <w:rPr>
          <w:rFonts w:eastAsiaTheme="minorEastAsia"/>
          <w:b/>
          <w:bCs/>
        </w:rPr>
        <w:t>Implications</w:t>
      </w:r>
      <w:bookmarkEnd w:id="80"/>
      <w:bookmarkEnd w:id="81"/>
      <w:r w:rsidRPr="00702882">
        <w:rPr>
          <w:b/>
          <w:bCs/>
        </w:rPr>
        <w:t xml:space="preserve"> </w:t>
      </w:r>
    </w:p>
    <w:p w14:paraId="5F619264" w14:textId="7686BF48" w:rsidR="005C6053" w:rsidRPr="00702882" w:rsidRDefault="005C6053" w:rsidP="005C6053">
      <w:pPr>
        <w:spacing w:line="480" w:lineRule="auto"/>
        <w:ind w:firstLineChars="295" w:firstLine="708"/>
        <w:contextualSpacing/>
        <w:rPr>
          <w:rFonts w:eastAsiaTheme="minorEastAsia"/>
        </w:rPr>
      </w:pPr>
      <w:r w:rsidRPr="00702882">
        <w:rPr>
          <w:rFonts w:eastAsiaTheme="minorEastAsia"/>
        </w:rPr>
        <w:t>Based on the empirical findings of this dissertation, several preliminary policy implications emerge for policymakers to consider when formulating and enacting legislation pertaining to Budget Stabilization Funds (BSF):</w:t>
      </w:r>
    </w:p>
    <w:p w14:paraId="5A237E64" w14:textId="285269DE" w:rsidR="000167CF" w:rsidRPr="00702882" w:rsidRDefault="000167CF" w:rsidP="000167CF">
      <w:pPr>
        <w:spacing w:line="480" w:lineRule="auto"/>
        <w:ind w:firstLineChars="295" w:firstLine="708"/>
        <w:contextualSpacing/>
        <w:rPr>
          <w:rFonts w:eastAsiaTheme="minorEastAsia"/>
        </w:rPr>
      </w:pPr>
      <w:r w:rsidRPr="00702882">
        <w:rPr>
          <w:rFonts w:eastAsiaTheme="minorEastAsia"/>
          <w:b/>
          <w:bCs/>
          <w:i/>
          <w:iCs/>
        </w:rPr>
        <w:t>First, p</w:t>
      </w:r>
      <w:r w:rsidR="005C6053" w:rsidRPr="00702882">
        <w:rPr>
          <w:rFonts w:eastAsiaTheme="minorEastAsia"/>
          <w:b/>
          <w:bCs/>
          <w:i/>
          <w:iCs/>
        </w:rPr>
        <w:t>olicymakers might consider depositing the entire revenue surplus into the BSF while implementing a high "cap" on BSF levels</w:t>
      </w:r>
      <w:r w:rsidR="005C6053" w:rsidRPr="00702882">
        <w:rPr>
          <w:rFonts w:eastAsiaTheme="minorEastAsia"/>
        </w:rPr>
        <w:t>. The results from both fixed effects and GSCM models suggest that a high cap and depositing the revenue surplus positively influence BSF levels. This approach could enhance the effectiveness and synergy in BSF management, thereby potentially boosting the size of the BSF.</w:t>
      </w:r>
    </w:p>
    <w:p w14:paraId="6A34176C" w14:textId="46376E8A" w:rsidR="00D91230" w:rsidRPr="00702882" w:rsidRDefault="000167CF" w:rsidP="00D91230">
      <w:pPr>
        <w:spacing w:line="480" w:lineRule="auto"/>
        <w:ind w:firstLineChars="295" w:firstLine="708"/>
        <w:contextualSpacing/>
        <w:rPr>
          <w:rFonts w:eastAsiaTheme="minorEastAsia"/>
        </w:rPr>
      </w:pPr>
      <w:r w:rsidRPr="00702882">
        <w:rPr>
          <w:rFonts w:eastAsiaTheme="minorEastAsia"/>
          <w:b/>
          <w:bCs/>
          <w:i/>
          <w:iCs/>
        </w:rPr>
        <w:t>Second, l</w:t>
      </w:r>
      <w:r w:rsidR="005C6053" w:rsidRPr="00702882">
        <w:rPr>
          <w:rFonts w:eastAsiaTheme="minorEastAsia"/>
          <w:b/>
          <w:bCs/>
          <w:i/>
          <w:iCs/>
        </w:rPr>
        <w:t>inking BSF deposits and withdrawals to revenue volatility through a well-defined formula may help minimize political interference and improve BSF levels</w:t>
      </w:r>
      <w:r w:rsidR="005C6053" w:rsidRPr="00702882">
        <w:rPr>
          <w:rFonts w:eastAsiaTheme="minorEastAsia"/>
        </w:rPr>
        <w:t>. The findings indicate that deposits tied to revenue volatility lead to improvements in BSF levels. However, case studies, such as those of Arizona and Connecticut, show varying results depending on legislative adherence to this rule. This suggests the importance of consistent application of systematic formulas.</w:t>
      </w:r>
    </w:p>
    <w:p w14:paraId="59C52777" w14:textId="43D6C3C0" w:rsidR="001A6F65" w:rsidRPr="00702882" w:rsidRDefault="001A6F65" w:rsidP="001A6F65">
      <w:pPr>
        <w:spacing w:line="480" w:lineRule="auto"/>
        <w:ind w:firstLineChars="295" w:firstLine="695"/>
        <w:contextualSpacing/>
        <w:rPr>
          <w:rFonts w:eastAsiaTheme="minorEastAsia"/>
        </w:rPr>
      </w:pPr>
      <w:r w:rsidRPr="00702882">
        <w:rPr>
          <w:b/>
          <w:bCs/>
          <w:i/>
          <w:iCs/>
        </w:rPr>
        <w:t>Third,</w:t>
      </w:r>
      <w:r w:rsidRPr="00702882">
        <w:rPr>
          <w:rFonts w:eastAsiaTheme="minorEastAsia"/>
          <w:b/>
          <w:bCs/>
          <w:i/>
          <w:iCs/>
        </w:rPr>
        <w:t xml:space="preserve"> i</w:t>
      </w:r>
      <w:r w:rsidR="005C6053" w:rsidRPr="00702882">
        <w:rPr>
          <w:rFonts w:eastAsiaTheme="minorEastAsia"/>
          <w:b/>
          <w:bCs/>
          <w:i/>
          <w:iCs/>
        </w:rPr>
        <w:t>mplementing stringent withdrawal rules, such as those tied to revenue volatility and revenue shortfalls, might effectively safeguard the fund’s original purpose</w:t>
      </w:r>
      <w:r w:rsidR="005C6053" w:rsidRPr="00702882">
        <w:rPr>
          <w:rFonts w:eastAsiaTheme="minorEastAsia"/>
        </w:rPr>
        <w:t>. These regulations could incentivize governments to access the BSF only when genuinely necessary. While they do not significantly boost BSF levels, their role in maintaining the fund’s purpose is noteworthy.</w:t>
      </w:r>
      <w:r w:rsidRPr="00702882">
        <w:rPr>
          <w:rFonts w:eastAsiaTheme="minorEastAsia"/>
        </w:rPr>
        <w:t xml:space="preserve"> </w:t>
      </w:r>
    </w:p>
    <w:p w14:paraId="43519436" w14:textId="77777777" w:rsidR="005E63EC" w:rsidRPr="00702882" w:rsidRDefault="005E63EC" w:rsidP="001A6F65">
      <w:pPr>
        <w:spacing w:line="480" w:lineRule="auto"/>
        <w:ind w:firstLineChars="295" w:firstLine="708"/>
        <w:contextualSpacing/>
        <w:rPr>
          <w:rFonts w:eastAsiaTheme="minorEastAsia"/>
        </w:rPr>
      </w:pPr>
    </w:p>
    <w:p w14:paraId="0BEE5C6A" w14:textId="77777777" w:rsidR="005E63EC" w:rsidRPr="00702882" w:rsidRDefault="005E63EC" w:rsidP="001A6F65">
      <w:pPr>
        <w:spacing w:line="480" w:lineRule="auto"/>
        <w:ind w:firstLineChars="295" w:firstLine="708"/>
        <w:contextualSpacing/>
        <w:rPr>
          <w:rFonts w:eastAsiaTheme="minorEastAsia"/>
        </w:rPr>
      </w:pPr>
    </w:p>
    <w:p w14:paraId="3231AAC7" w14:textId="4AE66CA8" w:rsidR="005E63EC" w:rsidRPr="00702882" w:rsidRDefault="001A6F65" w:rsidP="00546B4A">
      <w:pPr>
        <w:spacing w:line="480" w:lineRule="auto"/>
        <w:ind w:firstLineChars="295" w:firstLine="708"/>
        <w:contextualSpacing/>
        <w:rPr>
          <w:rFonts w:eastAsiaTheme="minorEastAsia"/>
        </w:rPr>
      </w:pPr>
      <w:r w:rsidRPr="00702882">
        <w:rPr>
          <w:rFonts w:eastAsiaTheme="minorEastAsia"/>
          <w:b/>
          <w:bCs/>
          <w:i/>
          <w:iCs/>
        </w:rPr>
        <w:lastRenderedPageBreak/>
        <w:t>Fourth, p</w:t>
      </w:r>
      <w:r w:rsidR="005C6053" w:rsidRPr="00702882">
        <w:rPr>
          <w:rFonts w:eastAsiaTheme="minorEastAsia"/>
          <w:b/>
          <w:bCs/>
          <w:i/>
          <w:iCs/>
        </w:rPr>
        <w:t>olicymakers might want to avoid overly stringent withdrawal restrictions, which can pose obstacles for states seeking access to the BSF</w:t>
      </w:r>
      <w:r w:rsidR="005C6053" w:rsidRPr="00702882">
        <w:rPr>
          <w:rFonts w:eastAsiaTheme="minorEastAsia"/>
        </w:rPr>
        <w:t>. The interaction between the "withdrawal limit" and "withdrawal tied to revenue volatility" has shown a positive impact on GFB levels. This finding suggests that overly stringent rules may lead states to retain more funds in their GFB accounts, which offer greater accessibility than the BSF. Further investigation into these dynamics could be beneficial.</w:t>
      </w:r>
    </w:p>
    <w:p w14:paraId="15161DEC" w14:textId="61FCFE38" w:rsidR="005C6053" w:rsidRPr="00702882" w:rsidRDefault="00546B4A" w:rsidP="005577BE">
      <w:pPr>
        <w:spacing w:line="480" w:lineRule="auto"/>
        <w:ind w:firstLineChars="295" w:firstLine="695"/>
        <w:contextualSpacing/>
        <w:rPr>
          <w:rFonts w:eastAsiaTheme="minorEastAsia"/>
        </w:rPr>
      </w:pPr>
      <w:r w:rsidRPr="00702882">
        <w:rPr>
          <w:b/>
          <w:bCs/>
          <w:i/>
          <w:iCs/>
        </w:rPr>
        <w:t xml:space="preserve">Lastly, </w:t>
      </w:r>
      <w:r w:rsidRPr="00702882">
        <w:rPr>
          <w:rFonts w:eastAsiaTheme="minorEastAsia"/>
          <w:b/>
          <w:bCs/>
          <w:i/>
          <w:iCs/>
        </w:rPr>
        <w:t>p</w:t>
      </w:r>
      <w:r w:rsidR="005C6053" w:rsidRPr="00702882">
        <w:rPr>
          <w:rFonts w:eastAsiaTheme="minorEastAsia"/>
          <w:b/>
          <w:bCs/>
          <w:i/>
          <w:iCs/>
        </w:rPr>
        <w:t>romoting transparency in the management of both the BSF and GFB is of paramount importance</w:t>
      </w:r>
      <w:r w:rsidR="005C6053" w:rsidRPr="00702882">
        <w:rPr>
          <w:rFonts w:eastAsiaTheme="minorEastAsia"/>
        </w:rPr>
        <w:t>. Case studies underscore that some states may resort to budgetary maneuvers rather than adhering to BSF policies. Transparent reporting and effective communication regarding fund balances, deposit and withdrawal regulations, and the intended purposes of each fund can foster public trust and understanding of fiscal choices.</w:t>
      </w:r>
    </w:p>
    <w:p w14:paraId="5223591E" w14:textId="64438107" w:rsidR="005C6053" w:rsidRPr="00702882" w:rsidRDefault="005C6053" w:rsidP="00723D64">
      <w:pPr>
        <w:spacing w:line="480" w:lineRule="auto"/>
        <w:ind w:firstLineChars="295" w:firstLine="708"/>
        <w:contextualSpacing/>
        <w:rPr>
          <w:rFonts w:eastAsiaTheme="minorEastAsia"/>
        </w:rPr>
      </w:pPr>
      <w:r w:rsidRPr="00702882">
        <w:rPr>
          <w:rFonts w:eastAsiaTheme="minorEastAsia"/>
        </w:rPr>
        <w:t>In summary, while stringent deposit and withdrawal rules can encourage responsible fiscal behavior, they should not excessively restrict the state’s flexibility to respond to urgent fiscal demands. These implications provide valuable guidance for crafting BSF legislation that can bolster fiscal stability and resilience. Policymakers should thoughtfully consider these suggestions, adapting them to their individual fiscal landscapes and priorities. By doing so, they can tailor their approach to BSF funding levels to best suit the unique needs and circumstances of their jurisdiction, thereby promoting prudent financial management.</w:t>
      </w:r>
    </w:p>
    <w:p w14:paraId="56DFDFF0" w14:textId="77777777" w:rsidR="00AF6702" w:rsidRPr="00702882" w:rsidRDefault="00AF6702" w:rsidP="00C66AC4">
      <w:pPr>
        <w:spacing w:line="480" w:lineRule="auto"/>
        <w:contextualSpacing/>
        <w:rPr>
          <w:color w:val="7030A0"/>
        </w:rPr>
      </w:pPr>
    </w:p>
    <w:p w14:paraId="659EE123" w14:textId="77777777" w:rsidR="00AF6702" w:rsidRPr="00702882" w:rsidRDefault="00AF6702" w:rsidP="00C66AC4">
      <w:pPr>
        <w:spacing w:line="480" w:lineRule="auto"/>
        <w:contextualSpacing/>
        <w:rPr>
          <w:color w:val="7030A0"/>
        </w:rPr>
      </w:pPr>
    </w:p>
    <w:p w14:paraId="1B2FEB96" w14:textId="77777777" w:rsidR="00AF6702" w:rsidRPr="00702882" w:rsidRDefault="00AF6702" w:rsidP="00C66AC4">
      <w:pPr>
        <w:spacing w:line="480" w:lineRule="auto"/>
        <w:contextualSpacing/>
        <w:jc w:val="center"/>
        <w:rPr>
          <w:rFonts w:eastAsiaTheme="minorEastAsia"/>
          <w:b/>
          <w:bCs/>
          <w:color w:val="7030A0"/>
        </w:rPr>
      </w:pPr>
    </w:p>
    <w:p w14:paraId="186D943D" w14:textId="77777777" w:rsidR="00AF6702" w:rsidRPr="00702882" w:rsidRDefault="00AF6702" w:rsidP="00C66AC4">
      <w:pPr>
        <w:spacing w:line="480" w:lineRule="auto"/>
        <w:contextualSpacing/>
        <w:rPr>
          <w:b/>
          <w:bCs/>
          <w:color w:val="7030A0"/>
        </w:rPr>
      </w:pPr>
    </w:p>
    <w:p w14:paraId="3EDCAB39" w14:textId="77777777" w:rsidR="00AF6702" w:rsidRPr="00702882" w:rsidRDefault="00AF6702" w:rsidP="00C66AC4">
      <w:pPr>
        <w:spacing w:line="480" w:lineRule="auto"/>
        <w:ind w:firstLineChars="295" w:firstLine="708"/>
        <w:contextualSpacing/>
        <w:rPr>
          <w:rFonts w:eastAsiaTheme="minorEastAsia"/>
          <w:color w:val="7030A0"/>
        </w:rPr>
        <w:sectPr w:rsidR="00AF6702" w:rsidRPr="00702882" w:rsidSect="008512E5">
          <w:footerReference w:type="even" r:id="rId26"/>
          <w:footerReference w:type="default" r:id="rId27"/>
          <w:pgSz w:w="12240" w:h="15840"/>
          <w:pgMar w:top="1440" w:right="1440" w:bottom="1440" w:left="1440" w:header="720" w:footer="720" w:gutter="0"/>
          <w:cols w:space="720"/>
          <w:docGrid w:linePitch="360"/>
        </w:sectPr>
      </w:pPr>
    </w:p>
    <w:p w14:paraId="32A172FD" w14:textId="02F3A92B" w:rsidR="00AF6702" w:rsidRPr="00702882" w:rsidRDefault="00AF6702" w:rsidP="00C66AC4">
      <w:pPr>
        <w:shd w:val="clear" w:color="auto" w:fill="FFFFFF"/>
        <w:spacing w:line="480" w:lineRule="auto"/>
        <w:jc w:val="center"/>
        <w:rPr>
          <w:rFonts w:eastAsiaTheme="minorEastAsia"/>
          <w:b/>
          <w:bCs/>
        </w:rPr>
      </w:pPr>
      <w:bookmarkStart w:id="82" w:name="Appendix"/>
      <w:bookmarkStart w:id="83" w:name="AppendixI"/>
      <w:r w:rsidRPr="00702882">
        <w:rPr>
          <w:b/>
          <w:bCs/>
        </w:rPr>
        <w:lastRenderedPageBreak/>
        <w:t>A</w:t>
      </w:r>
      <w:r w:rsidR="00586D17" w:rsidRPr="00702882">
        <w:rPr>
          <w:rFonts w:eastAsiaTheme="minorEastAsia"/>
          <w:b/>
          <w:bCs/>
        </w:rPr>
        <w:t>PPENDIX</w:t>
      </w:r>
      <w:bookmarkEnd w:id="82"/>
    </w:p>
    <w:bookmarkEnd w:id="83"/>
    <w:p w14:paraId="76C5201C" w14:textId="77777777" w:rsidR="00AF6702" w:rsidRPr="00702882" w:rsidRDefault="00AF6702" w:rsidP="00C66AC4">
      <w:pPr>
        <w:spacing w:line="480" w:lineRule="auto"/>
        <w:jc w:val="center"/>
      </w:pPr>
      <w:r w:rsidRPr="00702882">
        <w:t>Table 1. Changes in BSF Rules from 2000 to 2020</w:t>
      </w:r>
    </w:p>
    <w:tbl>
      <w:tblPr>
        <w:tblStyle w:val="a7"/>
        <w:tblW w:w="14305" w:type="dxa"/>
        <w:jc w:val="center"/>
        <w:tblLayout w:type="fixed"/>
        <w:tblLook w:val="04A0" w:firstRow="1" w:lastRow="0" w:firstColumn="1" w:lastColumn="0" w:noHBand="0" w:noVBand="1"/>
      </w:tblPr>
      <w:tblGrid>
        <w:gridCol w:w="1615"/>
        <w:gridCol w:w="630"/>
        <w:gridCol w:w="2520"/>
        <w:gridCol w:w="1467"/>
        <w:gridCol w:w="5283"/>
        <w:gridCol w:w="2790"/>
      </w:tblGrid>
      <w:tr w:rsidR="00850754" w:rsidRPr="00702882" w14:paraId="4CBB57AC" w14:textId="77777777" w:rsidTr="00AE6820">
        <w:trPr>
          <w:tblHeader/>
          <w:jc w:val="center"/>
        </w:trPr>
        <w:tc>
          <w:tcPr>
            <w:tcW w:w="1615" w:type="dxa"/>
          </w:tcPr>
          <w:p w14:paraId="036DC7F7" w14:textId="77777777" w:rsidR="00AF6702" w:rsidRPr="00702882" w:rsidRDefault="00AF6702" w:rsidP="004D3BED">
            <w:pPr>
              <w:rPr>
                <w:b/>
                <w:bCs/>
                <w:i/>
                <w:iCs/>
                <w:sz w:val="20"/>
                <w:szCs w:val="20"/>
              </w:rPr>
            </w:pPr>
            <w:r w:rsidRPr="00702882">
              <w:rPr>
                <w:b/>
                <w:bCs/>
                <w:i/>
                <w:iCs/>
                <w:sz w:val="20"/>
                <w:szCs w:val="20"/>
              </w:rPr>
              <w:t>State</w:t>
            </w:r>
          </w:p>
          <w:p w14:paraId="259CF086" w14:textId="77777777" w:rsidR="00AF6702" w:rsidRPr="00702882" w:rsidRDefault="00AF6702" w:rsidP="004D3BED">
            <w:pPr>
              <w:rPr>
                <w:i/>
                <w:iCs/>
                <w:sz w:val="20"/>
                <w:szCs w:val="20"/>
              </w:rPr>
            </w:pPr>
          </w:p>
        </w:tc>
        <w:tc>
          <w:tcPr>
            <w:tcW w:w="630" w:type="dxa"/>
          </w:tcPr>
          <w:p w14:paraId="10C41B73" w14:textId="77777777" w:rsidR="00AF6702" w:rsidRPr="00702882" w:rsidRDefault="00AF6702" w:rsidP="004D3BED">
            <w:pPr>
              <w:jc w:val="center"/>
              <w:rPr>
                <w:b/>
                <w:bCs/>
                <w:i/>
                <w:iCs/>
                <w:sz w:val="20"/>
                <w:szCs w:val="20"/>
              </w:rPr>
            </w:pPr>
            <w:r w:rsidRPr="00702882">
              <w:rPr>
                <w:b/>
                <w:bCs/>
                <w:i/>
                <w:iCs/>
                <w:sz w:val="20"/>
                <w:szCs w:val="20"/>
              </w:rPr>
              <w:t>Year</w:t>
            </w:r>
          </w:p>
        </w:tc>
        <w:tc>
          <w:tcPr>
            <w:tcW w:w="2520" w:type="dxa"/>
            <w:shd w:val="clear" w:color="auto" w:fill="auto"/>
          </w:tcPr>
          <w:p w14:paraId="4E5DCB4A" w14:textId="77777777" w:rsidR="00AF6702" w:rsidRPr="00702882" w:rsidRDefault="00AF6702" w:rsidP="004D3BED">
            <w:pPr>
              <w:jc w:val="center"/>
              <w:rPr>
                <w:b/>
                <w:bCs/>
                <w:i/>
                <w:iCs/>
                <w:sz w:val="20"/>
                <w:szCs w:val="20"/>
              </w:rPr>
            </w:pPr>
            <w:r w:rsidRPr="00702882">
              <w:rPr>
                <w:b/>
                <w:bCs/>
                <w:i/>
                <w:iCs/>
                <w:sz w:val="20"/>
                <w:szCs w:val="20"/>
              </w:rPr>
              <w:t>Fund Name</w:t>
            </w:r>
          </w:p>
          <w:p w14:paraId="7F4CBEC7" w14:textId="77777777" w:rsidR="00AF6702" w:rsidRPr="00702882" w:rsidRDefault="00AF6702" w:rsidP="004D3BED">
            <w:pPr>
              <w:jc w:val="center"/>
              <w:rPr>
                <w:i/>
                <w:iCs/>
                <w:sz w:val="20"/>
                <w:szCs w:val="20"/>
              </w:rPr>
            </w:pPr>
            <w:r w:rsidRPr="00702882">
              <w:rPr>
                <w:i/>
                <w:iCs/>
                <w:sz w:val="20"/>
                <w:szCs w:val="20"/>
              </w:rPr>
              <w:t>(Year that BSF enacted)</w:t>
            </w:r>
          </w:p>
        </w:tc>
        <w:tc>
          <w:tcPr>
            <w:tcW w:w="1467" w:type="dxa"/>
          </w:tcPr>
          <w:p w14:paraId="3E3FE3E3" w14:textId="77777777" w:rsidR="00AF6702" w:rsidRPr="00702882" w:rsidRDefault="00AF6702" w:rsidP="004D3BED">
            <w:pPr>
              <w:jc w:val="center"/>
              <w:rPr>
                <w:b/>
                <w:bCs/>
                <w:i/>
                <w:iCs/>
                <w:sz w:val="20"/>
                <w:szCs w:val="20"/>
              </w:rPr>
            </w:pPr>
            <w:r w:rsidRPr="00702882">
              <w:rPr>
                <w:b/>
                <w:bCs/>
                <w:i/>
                <w:iCs/>
                <w:sz w:val="20"/>
                <w:szCs w:val="20"/>
              </w:rPr>
              <w:t>Structure</w:t>
            </w:r>
          </w:p>
          <w:p w14:paraId="34163E3A" w14:textId="77777777" w:rsidR="00AF6702" w:rsidRPr="00702882" w:rsidRDefault="00AF6702" w:rsidP="004D3BED">
            <w:pPr>
              <w:jc w:val="center"/>
              <w:rPr>
                <w:i/>
                <w:iCs/>
                <w:sz w:val="20"/>
                <w:szCs w:val="20"/>
              </w:rPr>
            </w:pPr>
            <w:r w:rsidRPr="00702882">
              <w:rPr>
                <w:i/>
                <w:iCs/>
                <w:sz w:val="20"/>
                <w:szCs w:val="20"/>
              </w:rPr>
              <w:t>(Code)</w:t>
            </w:r>
          </w:p>
        </w:tc>
        <w:tc>
          <w:tcPr>
            <w:tcW w:w="5283" w:type="dxa"/>
          </w:tcPr>
          <w:p w14:paraId="545E0AD7" w14:textId="77777777" w:rsidR="00AF6702" w:rsidRPr="00702882" w:rsidRDefault="00AF6702" w:rsidP="004D3BED">
            <w:pPr>
              <w:jc w:val="center"/>
              <w:rPr>
                <w:b/>
                <w:bCs/>
                <w:i/>
                <w:iCs/>
                <w:sz w:val="20"/>
                <w:szCs w:val="20"/>
              </w:rPr>
            </w:pPr>
            <w:r w:rsidRPr="00702882">
              <w:rPr>
                <w:b/>
                <w:bCs/>
                <w:i/>
                <w:iCs/>
                <w:sz w:val="20"/>
                <w:szCs w:val="20"/>
              </w:rPr>
              <w:t>Summary of Change in Structure</w:t>
            </w:r>
          </w:p>
        </w:tc>
        <w:tc>
          <w:tcPr>
            <w:tcW w:w="2790" w:type="dxa"/>
          </w:tcPr>
          <w:p w14:paraId="36D2B6CB" w14:textId="77777777" w:rsidR="00AF6702" w:rsidRPr="00702882" w:rsidRDefault="00AF6702" w:rsidP="004D3BED">
            <w:pPr>
              <w:jc w:val="center"/>
              <w:rPr>
                <w:b/>
                <w:bCs/>
                <w:i/>
                <w:iCs/>
                <w:sz w:val="20"/>
                <w:szCs w:val="20"/>
              </w:rPr>
            </w:pPr>
            <w:r w:rsidRPr="00702882">
              <w:rPr>
                <w:b/>
                <w:bCs/>
                <w:i/>
                <w:iCs/>
                <w:sz w:val="20"/>
                <w:szCs w:val="20"/>
              </w:rPr>
              <w:t>Reference</w:t>
            </w:r>
          </w:p>
        </w:tc>
      </w:tr>
      <w:tr w:rsidR="00850754" w:rsidRPr="00702882" w14:paraId="012D0555" w14:textId="77777777" w:rsidTr="00AE6820">
        <w:trPr>
          <w:jc w:val="center"/>
        </w:trPr>
        <w:tc>
          <w:tcPr>
            <w:tcW w:w="1615" w:type="dxa"/>
          </w:tcPr>
          <w:p w14:paraId="4A1F37BA" w14:textId="77777777" w:rsidR="00AF6702" w:rsidRPr="00702882" w:rsidRDefault="00AF6702" w:rsidP="004D3BED">
            <w:pPr>
              <w:rPr>
                <w:sz w:val="20"/>
                <w:szCs w:val="20"/>
              </w:rPr>
            </w:pPr>
            <w:r w:rsidRPr="00702882">
              <w:rPr>
                <w:sz w:val="20"/>
                <w:szCs w:val="20"/>
              </w:rPr>
              <w:t>Alabama</w:t>
            </w:r>
          </w:p>
          <w:p w14:paraId="2AA9B709" w14:textId="77777777" w:rsidR="00AF6702" w:rsidRPr="00702882" w:rsidRDefault="00AF6702" w:rsidP="004D3BED">
            <w:pPr>
              <w:rPr>
                <w:sz w:val="20"/>
                <w:szCs w:val="20"/>
              </w:rPr>
            </w:pPr>
          </w:p>
        </w:tc>
        <w:tc>
          <w:tcPr>
            <w:tcW w:w="630" w:type="dxa"/>
          </w:tcPr>
          <w:p w14:paraId="4BDF8D4A" w14:textId="77777777" w:rsidR="00AF6702" w:rsidRPr="00702882" w:rsidRDefault="00AF6702" w:rsidP="004D3BED">
            <w:pPr>
              <w:rPr>
                <w:sz w:val="20"/>
                <w:szCs w:val="20"/>
              </w:rPr>
            </w:pPr>
            <w:r w:rsidRPr="00702882">
              <w:rPr>
                <w:sz w:val="20"/>
                <w:szCs w:val="20"/>
              </w:rPr>
              <w:t>2008</w:t>
            </w:r>
          </w:p>
        </w:tc>
        <w:tc>
          <w:tcPr>
            <w:tcW w:w="2520" w:type="dxa"/>
            <w:shd w:val="clear" w:color="auto" w:fill="auto"/>
          </w:tcPr>
          <w:p w14:paraId="5A3C327D" w14:textId="77777777" w:rsidR="00AF6702" w:rsidRPr="00702882" w:rsidRDefault="00AF6702" w:rsidP="004D3BED">
            <w:pPr>
              <w:rPr>
                <w:sz w:val="20"/>
                <w:szCs w:val="20"/>
              </w:rPr>
            </w:pPr>
            <w:r w:rsidRPr="00702882">
              <w:rPr>
                <w:sz w:val="20"/>
                <w:szCs w:val="20"/>
              </w:rPr>
              <w:t>General Fund Rainy Day Account</w:t>
            </w:r>
            <w:r w:rsidRPr="00702882">
              <w:rPr>
                <w:rStyle w:val="a5"/>
                <w:sz w:val="20"/>
                <w:szCs w:val="20"/>
              </w:rPr>
              <w:footnoteReference w:id="125"/>
            </w:r>
            <w:r w:rsidRPr="00702882">
              <w:rPr>
                <w:sz w:val="20"/>
                <w:szCs w:val="20"/>
              </w:rPr>
              <w:t xml:space="preserve"> (2008) </w:t>
            </w:r>
          </w:p>
        </w:tc>
        <w:tc>
          <w:tcPr>
            <w:tcW w:w="1467" w:type="dxa"/>
          </w:tcPr>
          <w:p w14:paraId="5269C0BF" w14:textId="77777777" w:rsidR="00AF6702" w:rsidRPr="00702882" w:rsidRDefault="00AF6702" w:rsidP="004D3BED">
            <w:pPr>
              <w:rPr>
                <w:sz w:val="20"/>
                <w:szCs w:val="20"/>
              </w:rPr>
            </w:pPr>
            <w:r w:rsidRPr="00702882">
              <w:rPr>
                <w:sz w:val="20"/>
                <w:szCs w:val="20"/>
              </w:rPr>
              <w:t xml:space="preserve">Number </w:t>
            </w:r>
          </w:p>
          <w:p w14:paraId="3E144956" w14:textId="77777777" w:rsidR="00AF6702" w:rsidRPr="00702882" w:rsidRDefault="00AF6702" w:rsidP="004D3BED">
            <w:pPr>
              <w:rPr>
                <w:sz w:val="20"/>
                <w:szCs w:val="20"/>
              </w:rPr>
            </w:pPr>
            <w:r w:rsidRPr="00702882">
              <w:rPr>
                <w:sz w:val="20"/>
                <w:szCs w:val="20"/>
              </w:rPr>
              <w:t>(0 → 1)</w:t>
            </w:r>
          </w:p>
        </w:tc>
        <w:tc>
          <w:tcPr>
            <w:tcW w:w="5283" w:type="dxa"/>
          </w:tcPr>
          <w:p w14:paraId="2B4E3BF0" w14:textId="77777777" w:rsidR="00AF6702" w:rsidRPr="00702882" w:rsidRDefault="00AF6702" w:rsidP="004D3BED">
            <w:pPr>
              <w:rPr>
                <w:sz w:val="20"/>
                <w:szCs w:val="20"/>
              </w:rPr>
            </w:pPr>
            <w:r w:rsidRPr="00702882">
              <w:rPr>
                <w:sz w:val="20"/>
                <w:szCs w:val="20"/>
              </w:rPr>
              <w:t>Repealed Amendment 709, reestablished the Education Trust Fund Rainy Day Account within the Alabama Trust Fund, and created a General Fund Rainy Day Account within the Alabama Trust Fund.</w:t>
            </w:r>
          </w:p>
        </w:tc>
        <w:tc>
          <w:tcPr>
            <w:tcW w:w="2790" w:type="dxa"/>
          </w:tcPr>
          <w:p w14:paraId="735E3BE7" w14:textId="77777777" w:rsidR="00AF6702" w:rsidRPr="00702882" w:rsidRDefault="00AF6702" w:rsidP="004D3BED">
            <w:pPr>
              <w:rPr>
                <w:sz w:val="20"/>
                <w:szCs w:val="20"/>
              </w:rPr>
            </w:pPr>
            <w:r w:rsidRPr="00702882">
              <w:rPr>
                <w:sz w:val="20"/>
                <w:szCs w:val="20"/>
              </w:rPr>
              <w:t xml:space="preserve">Acts 2008, No. 08-508 Repeal of Amendment No. 709 and Ala. Const., § 260.01. </w:t>
            </w:r>
          </w:p>
        </w:tc>
      </w:tr>
      <w:tr w:rsidR="00850754" w:rsidRPr="00702882" w14:paraId="65F5D0CC" w14:textId="77777777" w:rsidTr="00AE6820">
        <w:trPr>
          <w:jc w:val="center"/>
        </w:trPr>
        <w:tc>
          <w:tcPr>
            <w:tcW w:w="1615" w:type="dxa"/>
          </w:tcPr>
          <w:p w14:paraId="37323D76" w14:textId="77777777" w:rsidR="00AF6702" w:rsidRPr="00702882" w:rsidRDefault="00AF6702" w:rsidP="004D3BED">
            <w:pPr>
              <w:rPr>
                <w:sz w:val="20"/>
                <w:szCs w:val="20"/>
              </w:rPr>
            </w:pPr>
            <w:r w:rsidRPr="00702882">
              <w:rPr>
                <w:sz w:val="20"/>
                <w:szCs w:val="20"/>
              </w:rPr>
              <w:t xml:space="preserve">Alaska </w:t>
            </w:r>
          </w:p>
          <w:p w14:paraId="1D6C9875" w14:textId="77777777" w:rsidR="00AF6702" w:rsidRPr="00702882" w:rsidRDefault="00AF6702" w:rsidP="004D3BED">
            <w:pPr>
              <w:rPr>
                <w:sz w:val="20"/>
                <w:szCs w:val="20"/>
              </w:rPr>
            </w:pPr>
          </w:p>
        </w:tc>
        <w:tc>
          <w:tcPr>
            <w:tcW w:w="630" w:type="dxa"/>
          </w:tcPr>
          <w:p w14:paraId="6A219578" w14:textId="77777777" w:rsidR="00AF6702" w:rsidRPr="00702882" w:rsidRDefault="00AF6702" w:rsidP="004D3BED">
            <w:pPr>
              <w:rPr>
                <w:sz w:val="20"/>
                <w:szCs w:val="20"/>
              </w:rPr>
            </w:pPr>
            <w:r w:rsidRPr="00702882">
              <w:rPr>
                <w:sz w:val="20"/>
                <w:szCs w:val="20"/>
              </w:rPr>
              <w:t>2013</w:t>
            </w:r>
          </w:p>
        </w:tc>
        <w:tc>
          <w:tcPr>
            <w:tcW w:w="2520" w:type="dxa"/>
            <w:shd w:val="clear" w:color="auto" w:fill="auto"/>
          </w:tcPr>
          <w:p w14:paraId="25701C0C" w14:textId="77777777" w:rsidR="00AF6702" w:rsidRPr="00702882" w:rsidRDefault="00AF6702" w:rsidP="004D3BED">
            <w:pPr>
              <w:rPr>
                <w:sz w:val="20"/>
                <w:szCs w:val="20"/>
              </w:rPr>
            </w:pPr>
            <w:r w:rsidRPr="00702882">
              <w:rPr>
                <w:sz w:val="20"/>
                <w:szCs w:val="20"/>
              </w:rPr>
              <w:t>Statutory Budget Reserve Fund (2013)</w:t>
            </w:r>
          </w:p>
        </w:tc>
        <w:tc>
          <w:tcPr>
            <w:tcW w:w="1467" w:type="dxa"/>
          </w:tcPr>
          <w:p w14:paraId="58F0D113" w14:textId="77777777" w:rsidR="00AF6702" w:rsidRPr="00702882" w:rsidRDefault="00AF6702" w:rsidP="004D3BED">
            <w:pPr>
              <w:rPr>
                <w:sz w:val="20"/>
                <w:szCs w:val="20"/>
              </w:rPr>
            </w:pPr>
            <w:r w:rsidRPr="00702882">
              <w:rPr>
                <w:sz w:val="20"/>
                <w:szCs w:val="20"/>
              </w:rPr>
              <w:t xml:space="preserve">Number </w:t>
            </w:r>
          </w:p>
          <w:p w14:paraId="2991A224" w14:textId="77777777" w:rsidR="00AF6702" w:rsidRPr="00702882" w:rsidRDefault="00AF6702" w:rsidP="004D3BED">
            <w:pPr>
              <w:rPr>
                <w:sz w:val="20"/>
                <w:szCs w:val="20"/>
              </w:rPr>
            </w:pPr>
            <w:r w:rsidRPr="00702882">
              <w:rPr>
                <w:sz w:val="20"/>
                <w:szCs w:val="20"/>
              </w:rPr>
              <w:t>(0 → 1)</w:t>
            </w:r>
          </w:p>
        </w:tc>
        <w:tc>
          <w:tcPr>
            <w:tcW w:w="5283" w:type="dxa"/>
          </w:tcPr>
          <w:p w14:paraId="5306098E" w14:textId="77777777" w:rsidR="00AF6702" w:rsidRPr="00702882" w:rsidRDefault="00AF6702" w:rsidP="004D3BED">
            <w:pPr>
              <w:rPr>
                <w:sz w:val="20"/>
                <w:szCs w:val="20"/>
              </w:rPr>
            </w:pPr>
            <w:r w:rsidRPr="00702882">
              <w:rPr>
                <w:sz w:val="20"/>
                <w:szCs w:val="20"/>
              </w:rPr>
              <w:t>Alaska established the Statutory Budget Reserve Fund (SBRF). SBRF is appropriated to the general fund by the legislature with a simple majority vote, unlike CBRF that requires a supermajority vote for BSF use.</w:t>
            </w:r>
          </w:p>
        </w:tc>
        <w:tc>
          <w:tcPr>
            <w:tcW w:w="2790" w:type="dxa"/>
          </w:tcPr>
          <w:p w14:paraId="29A97B8E" w14:textId="77777777" w:rsidR="00AF6702" w:rsidRPr="00702882" w:rsidRDefault="00AF6702" w:rsidP="004D3BED">
            <w:pPr>
              <w:rPr>
                <w:sz w:val="20"/>
                <w:szCs w:val="20"/>
              </w:rPr>
            </w:pPr>
            <w:r w:rsidRPr="00702882">
              <w:rPr>
                <w:sz w:val="20"/>
                <w:szCs w:val="20"/>
              </w:rPr>
              <w:t>Alaska Stat. § 37.05.540</w:t>
            </w:r>
          </w:p>
        </w:tc>
      </w:tr>
      <w:tr w:rsidR="00850754" w:rsidRPr="00702882" w14:paraId="7305FB92" w14:textId="77777777" w:rsidTr="00AE6820">
        <w:trPr>
          <w:jc w:val="center"/>
        </w:trPr>
        <w:tc>
          <w:tcPr>
            <w:tcW w:w="1615" w:type="dxa"/>
          </w:tcPr>
          <w:p w14:paraId="225816A0" w14:textId="77777777" w:rsidR="00AF6702" w:rsidRPr="00702882" w:rsidRDefault="00AF6702" w:rsidP="004D3BED">
            <w:pPr>
              <w:rPr>
                <w:sz w:val="20"/>
                <w:szCs w:val="20"/>
              </w:rPr>
            </w:pPr>
            <w:r w:rsidRPr="00702882">
              <w:rPr>
                <w:sz w:val="20"/>
                <w:szCs w:val="20"/>
              </w:rPr>
              <w:t xml:space="preserve">Arizona </w:t>
            </w:r>
          </w:p>
          <w:p w14:paraId="2868BCE9" w14:textId="77777777" w:rsidR="00AF6702" w:rsidRPr="00702882" w:rsidRDefault="00AF6702" w:rsidP="004D3BED">
            <w:pPr>
              <w:rPr>
                <w:sz w:val="20"/>
                <w:szCs w:val="20"/>
              </w:rPr>
            </w:pPr>
          </w:p>
        </w:tc>
        <w:tc>
          <w:tcPr>
            <w:tcW w:w="630" w:type="dxa"/>
          </w:tcPr>
          <w:p w14:paraId="552406BE" w14:textId="77777777" w:rsidR="00AF6702" w:rsidRPr="00702882" w:rsidRDefault="00AF6702" w:rsidP="004D3BED">
            <w:pPr>
              <w:rPr>
                <w:sz w:val="20"/>
                <w:szCs w:val="20"/>
              </w:rPr>
            </w:pPr>
            <w:r w:rsidRPr="00702882">
              <w:rPr>
                <w:sz w:val="20"/>
                <w:szCs w:val="20"/>
              </w:rPr>
              <w:t>2019</w:t>
            </w:r>
          </w:p>
        </w:tc>
        <w:tc>
          <w:tcPr>
            <w:tcW w:w="2520" w:type="dxa"/>
          </w:tcPr>
          <w:p w14:paraId="62238788" w14:textId="77777777" w:rsidR="00AF6702" w:rsidRPr="00702882" w:rsidRDefault="00AF6702" w:rsidP="004D3BED">
            <w:pPr>
              <w:rPr>
                <w:sz w:val="20"/>
                <w:szCs w:val="20"/>
              </w:rPr>
            </w:pPr>
            <w:r w:rsidRPr="00702882">
              <w:rPr>
                <w:sz w:val="20"/>
                <w:szCs w:val="20"/>
              </w:rPr>
              <w:t>Budget Stabilization Fund (1990)</w:t>
            </w:r>
          </w:p>
        </w:tc>
        <w:tc>
          <w:tcPr>
            <w:tcW w:w="1467" w:type="dxa"/>
          </w:tcPr>
          <w:p w14:paraId="08134473" w14:textId="77777777" w:rsidR="00AF6702" w:rsidRPr="00702882" w:rsidRDefault="00AF6702" w:rsidP="004D3BED">
            <w:pPr>
              <w:rPr>
                <w:sz w:val="20"/>
                <w:szCs w:val="20"/>
              </w:rPr>
            </w:pPr>
            <w:r w:rsidRPr="00702882">
              <w:rPr>
                <w:sz w:val="20"/>
                <w:szCs w:val="20"/>
              </w:rPr>
              <w:t xml:space="preserve">Cap </w:t>
            </w:r>
          </w:p>
          <w:p w14:paraId="6635B3A9"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7</w:t>
            </w:r>
            <w:r w:rsidRPr="00702882">
              <w:rPr>
                <w:sz w:val="20"/>
                <w:szCs w:val="20"/>
              </w:rPr>
              <w:t xml:space="preserve"> → </w:t>
            </w:r>
            <w:r w:rsidRPr="00702882">
              <w:rPr>
                <w:rFonts w:eastAsiaTheme="minorEastAsia"/>
                <w:sz w:val="20"/>
                <w:szCs w:val="20"/>
              </w:rPr>
              <w:t>10</w:t>
            </w:r>
            <w:r w:rsidRPr="00702882">
              <w:rPr>
                <w:sz w:val="20"/>
                <w:szCs w:val="20"/>
              </w:rPr>
              <w:t>)</w:t>
            </w:r>
          </w:p>
        </w:tc>
        <w:tc>
          <w:tcPr>
            <w:tcW w:w="5283" w:type="dxa"/>
          </w:tcPr>
          <w:p w14:paraId="353A49F7" w14:textId="77777777" w:rsidR="00AF6702" w:rsidRPr="00702882" w:rsidRDefault="00AF6702" w:rsidP="004D3BED">
            <w:pPr>
              <w:rPr>
                <w:sz w:val="20"/>
                <w:szCs w:val="20"/>
              </w:rPr>
            </w:pPr>
            <w:r w:rsidRPr="00702882">
              <w:rPr>
                <w:sz w:val="20"/>
                <w:szCs w:val="20"/>
              </w:rPr>
              <w:t xml:space="preserve">The Budget Stabilization Fund balance shall not exceed ten percent of general fund revenue for the fiscal year. </w:t>
            </w:r>
          </w:p>
          <w:p w14:paraId="18344DF8" w14:textId="77777777" w:rsidR="00AF6702" w:rsidRPr="00702882" w:rsidRDefault="00AF6702" w:rsidP="004D3BED">
            <w:pPr>
              <w:rPr>
                <w:sz w:val="20"/>
                <w:szCs w:val="20"/>
              </w:rPr>
            </w:pPr>
            <w:r w:rsidRPr="00702882">
              <w:rPr>
                <w:sz w:val="20"/>
                <w:szCs w:val="20"/>
              </w:rPr>
              <w:t>Any surplus monies above ten percent shall be transferred by the state treasurer to the state general fund.</w:t>
            </w:r>
          </w:p>
        </w:tc>
        <w:tc>
          <w:tcPr>
            <w:tcW w:w="2790" w:type="dxa"/>
          </w:tcPr>
          <w:p w14:paraId="299FD047" w14:textId="77777777" w:rsidR="00AF6702" w:rsidRPr="00702882" w:rsidRDefault="00AF6702" w:rsidP="004D3BED">
            <w:pPr>
              <w:rPr>
                <w:sz w:val="20"/>
                <w:szCs w:val="20"/>
              </w:rPr>
            </w:pPr>
            <w:r w:rsidRPr="00702882">
              <w:rPr>
                <w:sz w:val="20"/>
                <w:szCs w:val="20"/>
              </w:rPr>
              <w:t>A.R.S. § 35-144; 2019 Ariz. Ch. 54, 2019 Ariz. SB 1091 (April 9, 2019)</w:t>
            </w:r>
          </w:p>
        </w:tc>
      </w:tr>
      <w:tr w:rsidR="00850754" w:rsidRPr="00702882" w14:paraId="5AC55B20" w14:textId="77777777" w:rsidTr="00AE6820">
        <w:trPr>
          <w:trHeight w:val="930"/>
          <w:jc w:val="center"/>
        </w:trPr>
        <w:tc>
          <w:tcPr>
            <w:tcW w:w="1615" w:type="dxa"/>
            <w:vMerge w:val="restart"/>
          </w:tcPr>
          <w:p w14:paraId="479110B1" w14:textId="77777777" w:rsidR="00AF6702" w:rsidRPr="00702882" w:rsidRDefault="00AF6702" w:rsidP="004D3BED">
            <w:pPr>
              <w:rPr>
                <w:sz w:val="20"/>
                <w:szCs w:val="20"/>
              </w:rPr>
            </w:pPr>
            <w:r w:rsidRPr="00702882">
              <w:rPr>
                <w:sz w:val="20"/>
                <w:szCs w:val="20"/>
              </w:rPr>
              <w:t xml:space="preserve">Arkansas </w:t>
            </w:r>
          </w:p>
          <w:p w14:paraId="233A2B7F" w14:textId="77777777" w:rsidR="00AF6702" w:rsidRPr="00702882" w:rsidRDefault="00AF6702" w:rsidP="004D3BED">
            <w:pPr>
              <w:rPr>
                <w:sz w:val="20"/>
                <w:szCs w:val="20"/>
              </w:rPr>
            </w:pPr>
          </w:p>
        </w:tc>
        <w:tc>
          <w:tcPr>
            <w:tcW w:w="630" w:type="dxa"/>
            <w:vMerge w:val="restart"/>
          </w:tcPr>
          <w:p w14:paraId="09A36EC6" w14:textId="77777777" w:rsidR="00AF6702" w:rsidRPr="00702882" w:rsidRDefault="00AF6702" w:rsidP="004D3BED">
            <w:pPr>
              <w:rPr>
                <w:sz w:val="20"/>
                <w:szCs w:val="20"/>
              </w:rPr>
            </w:pPr>
            <w:r w:rsidRPr="00702882">
              <w:rPr>
                <w:sz w:val="20"/>
                <w:szCs w:val="20"/>
              </w:rPr>
              <w:t>2007</w:t>
            </w:r>
          </w:p>
        </w:tc>
        <w:tc>
          <w:tcPr>
            <w:tcW w:w="2520" w:type="dxa"/>
          </w:tcPr>
          <w:p w14:paraId="5DDD47EB" w14:textId="77777777" w:rsidR="00AF6702" w:rsidRPr="00702882" w:rsidRDefault="00AF6702" w:rsidP="004D3BED">
            <w:pPr>
              <w:rPr>
                <w:sz w:val="20"/>
                <w:szCs w:val="20"/>
              </w:rPr>
            </w:pPr>
            <w:r w:rsidRPr="00702882">
              <w:rPr>
                <w:sz w:val="20"/>
                <w:szCs w:val="20"/>
              </w:rPr>
              <w:t>Long Term Reserve Fund (2002)</w:t>
            </w:r>
          </w:p>
        </w:tc>
        <w:tc>
          <w:tcPr>
            <w:tcW w:w="1467" w:type="dxa"/>
          </w:tcPr>
          <w:p w14:paraId="0D1CDFBC" w14:textId="77777777" w:rsidR="00AF6702" w:rsidRPr="00702882" w:rsidRDefault="00AF6702" w:rsidP="004D3BED">
            <w:pPr>
              <w:rPr>
                <w:sz w:val="20"/>
                <w:szCs w:val="20"/>
              </w:rPr>
            </w:pPr>
            <w:r w:rsidRPr="00702882">
              <w:rPr>
                <w:sz w:val="20"/>
                <w:szCs w:val="20"/>
              </w:rPr>
              <w:t xml:space="preserve">Withdrawal by legislature </w:t>
            </w:r>
          </w:p>
          <w:p w14:paraId="27BFEF36" w14:textId="77777777" w:rsidR="00AF6702" w:rsidRPr="00702882" w:rsidRDefault="00AF6702" w:rsidP="004D3BED">
            <w:pPr>
              <w:rPr>
                <w:strike/>
                <w:sz w:val="20"/>
                <w:szCs w:val="20"/>
              </w:rPr>
            </w:pPr>
            <w:r w:rsidRPr="00702882">
              <w:rPr>
                <w:sz w:val="20"/>
                <w:szCs w:val="20"/>
              </w:rPr>
              <w:t xml:space="preserve">(0 → </w:t>
            </w:r>
            <w:r w:rsidRPr="00702882">
              <w:rPr>
                <w:rFonts w:eastAsiaTheme="minorEastAsia"/>
                <w:sz w:val="20"/>
                <w:szCs w:val="20"/>
              </w:rPr>
              <w:t>0.5</w:t>
            </w:r>
            <w:r w:rsidRPr="00702882">
              <w:rPr>
                <w:sz w:val="20"/>
                <w:szCs w:val="20"/>
              </w:rPr>
              <w:t>)</w:t>
            </w:r>
          </w:p>
        </w:tc>
        <w:tc>
          <w:tcPr>
            <w:tcW w:w="5283" w:type="dxa"/>
          </w:tcPr>
          <w:p w14:paraId="0948C223" w14:textId="77777777" w:rsidR="00AF6702" w:rsidRPr="00702882" w:rsidRDefault="00AF6702" w:rsidP="004D3BED">
            <w:pPr>
              <w:rPr>
                <w:sz w:val="20"/>
                <w:szCs w:val="20"/>
              </w:rPr>
            </w:pPr>
            <w:r w:rsidRPr="00702882">
              <w:rPr>
                <w:sz w:val="20"/>
                <w:szCs w:val="20"/>
              </w:rPr>
              <w:t>In the event the Chief Fiscal Officer determines that a “revenue shortfall” exist, he or she may then transfer funds from the RDF, as approved by the legislative council or joint budget committee.</w:t>
            </w:r>
          </w:p>
        </w:tc>
        <w:tc>
          <w:tcPr>
            <w:tcW w:w="2790" w:type="dxa"/>
          </w:tcPr>
          <w:p w14:paraId="474C722F" w14:textId="77777777" w:rsidR="00AF6702" w:rsidRPr="00702882" w:rsidRDefault="00AF6702" w:rsidP="004D3BED">
            <w:pPr>
              <w:rPr>
                <w:sz w:val="20"/>
                <w:szCs w:val="20"/>
              </w:rPr>
            </w:pPr>
            <w:r w:rsidRPr="00702882">
              <w:rPr>
                <w:sz w:val="20"/>
                <w:szCs w:val="20"/>
              </w:rPr>
              <w:t>2007 Ark. ALS 1055, 2007 Ark. Acts 1055, 2007 Ark. HB 1066 (April 4, 2007).</w:t>
            </w:r>
          </w:p>
        </w:tc>
      </w:tr>
      <w:tr w:rsidR="00850754" w:rsidRPr="00702882" w14:paraId="607EAB39" w14:textId="77777777" w:rsidTr="00AE6820">
        <w:trPr>
          <w:jc w:val="center"/>
        </w:trPr>
        <w:tc>
          <w:tcPr>
            <w:tcW w:w="1615" w:type="dxa"/>
            <w:vMerge/>
          </w:tcPr>
          <w:p w14:paraId="6045C399" w14:textId="77777777" w:rsidR="00AF6702" w:rsidRPr="00702882" w:rsidRDefault="00AF6702" w:rsidP="004D3BED">
            <w:pPr>
              <w:rPr>
                <w:sz w:val="20"/>
                <w:szCs w:val="20"/>
              </w:rPr>
            </w:pPr>
          </w:p>
        </w:tc>
        <w:tc>
          <w:tcPr>
            <w:tcW w:w="630" w:type="dxa"/>
            <w:vMerge/>
          </w:tcPr>
          <w:p w14:paraId="6F6DB0C7" w14:textId="77777777" w:rsidR="00AF6702" w:rsidRPr="00702882" w:rsidRDefault="00AF6702" w:rsidP="004D3BED">
            <w:pPr>
              <w:rPr>
                <w:sz w:val="20"/>
                <w:szCs w:val="20"/>
              </w:rPr>
            </w:pPr>
          </w:p>
        </w:tc>
        <w:tc>
          <w:tcPr>
            <w:tcW w:w="2520" w:type="dxa"/>
          </w:tcPr>
          <w:p w14:paraId="5E23A738" w14:textId="77777777" w:rsidR="00AF6702" w:rsidRPr="00702882" w:rsidRDefault="00AF6702" w:rsidP="004D3BED">
            <w:pPr>
              <w:rPr>
                <w:sz w:val="20"/>
                <w:szCs w:val="20"/>
              </w:rPr>
            </w:pPr>
            <w:r w:rsidRPr="00702882">
              <w:rPr>
                <w:sz w:val="20"/>
                <w:szCs w:val="20"/>
              </w:rPr>
              <w:t>Long Term Reserve Fund (2002)</w:t>
            </w:r>
          </w:p>
        </w:tc>
        <w:tc>
          <w:tcPr>
            <w:tcW w:w="1467" w:type="dxa"/>
          </w:tcPr>
          <w:p w14:paraId="18D302F6" w14:textId="77777777" w:rsidR="00AF6702" w:rsidRPr="00702882" w:rsidRDefault="00AF6702" w:rsidP="004D3BED">
            <w:pPr>
              <w:rPr>
                <w:sz w:val="20"/>
                <w:szCs w:val="20"/>
              </w:rPr>
            </w:pPr>
            <w:r w:rsidRPr="00702882">
              <w:rPr>
                <w:sz w:val="20"/>
                <w:szCs w:val="20"/>
              </w:rPr>
              <w:t>Repayment provision</w:t>
            </w:r>
          </w:p>
          <w:p w14:paraId="72255541" w14:textId="77777777" w:rsidR="00AF6702" w:rsidRPr="00702882" w:rsidRDefault="00AF6702" w:rsidP="004D3BED">
            <w:pPr>
              <w:rPr>
                <w:sz w:val="20"/>
                <w:szCs w:val="20"/>
              </w:rPr>
            </w:pPr>
            <w:r w:rsidRPr="00702882">
              <w:rPr>
                <w:sz w:val="20"/>
                <w:szCs w:val="20"/>
              </w:rPr>
              <w:t xml:space="preserve">(0 → 1) </w:t>
            </w:r>
          </w:p>
        </w:tc>
        <w:tc>
          <w:tcPr>
            <w:tcW w:w="5283" w:type="dxa"/>
          </w:tcPr>
          <w:p w14:paraId="1D44A02B" w14:textId="77777777" w:rsidR="00AF6702" w:rsidRPr="00702882" w:rsidRDefault="00AF6702" w:rsidP="004D3BED">
            <w:pPr>
              <w:rPr>
                <w:sz w:val="20"/>
                <w:szCs w:val="20"/>
              </w:rPr>
            </w:pPr>
            <w:r w:rsidRPr="00702882">
              <w:rPr>
                <w:sz w:val="20"/>
                <w:szCs w:val="20"/>
              </w:rPr>
              <w:t>The chief fiscal officer of the state may replenish the Arkansas RDF by transferring no more than 50% if the balance in the General Revenue Allotment Reserve Fund.</w:t>
            </w:r>
          </w:p>
          <w:p w14:paraId="6CC14758" w14:textId="77777777" w:rsidR="00AF6702" w:rsidRPr="00702882" w:rsidRDefault="00AF6702" w:rsidP="004D3BED">
            <w:pPr>
              <w:rPr>
                <w:sz w:val="20"/>
                <w:szCs w:val="20"/>
              </w:rPr>
            </w:pPr>
          </w:p>
        </w:tc>
        <w:tc>
          <w:tcPr>
            <w:tcW w:w="2790" w:type="dxa"/>
          </w:tcPr>
          <w:p w14:paraId="4DDADDE0" w14:textId="77777777" w:rsidR="00AF6702" w:rsidRPr="00702882" w:rsidRDefault="00AF6702" w:rsidP="004D3BED">
            <w:pPr>
              <w:rPr>
                <w:sz w:val="20"/>
                <w:szCs w:val="20"/>
              </w:rPr>
            </w:pPr>
            <w:r w:rsidRPr="00702882">
              <w:rPr>
                <w:sz w:val="20"/>
                <w:szCs w:val="20"/>
              </w:rPr>
              <w:t>2007 Ark. ALS 1055, 2007 Ark. Acts 1055, 2007 Ark. HB 1066 (April 4, 2007).</w:t>
            </w:r>
          </w:p>
        </w:tc>
      </w:tr>
      <w:tr w:rsidR="00850754" w:rsidRPr="00702882" w14:paraId="3962E58D" w14:textId="77777777" w:rsidTr="00AE6820">
        <w:trPr>
          <w:trHeight w:val="930"/>
          <w:jc w:val="center"/>
        </w:trPr>
        <w:tc>
          <w:tcPr>
            <w:tcW w:w="1615" w:type="dxa"/>
            <w:vMerge/>
          </w:tcPr>
          <w:p w14:paraId="767B832B" w14:textId="77777777" w:rsidR="00AF6702" w:rsidRPr="00702882" w:rsidRDefault="00AF6702" w:rsidP="004D3BED">
            <w:pPr>
              <w:rPr>
                <w:sz w:val="20"/>
                <w:szCs w:val="20"/>
              </w:rPr>
            </w:pPr>
          </w:p>
        </w:tc>
        <w:tc>
          <w:tcPr>
            <w:tcW w:w="630" w:type="dxa"/>
          </w:tcPr>
          <w:p w14:paraId="7B64042D" w14:textId="77777777" w:rsidR="00AF6702" w:rsidRPr="00702882" w:rsidRDefault="00AF6702" w:rsidP="004D3BED">
            <w:pPr>
              <w:rPr>
                <w:sz w:val="20"/>
                <w:szCs w:val="20"/>
              </w:rPr>
            </w:pPr>
            <w:r w:rsidRPr="00702882">
              <w:rPr>
                <w:sz w:val="20"/>
                <w:szCs w:val="20"/>
              </w:rPr>
              <w:t>2017</w:t>
            </w:r>
          </w:p>
        </w:tc>
        <w:tc>
          <w:tcPr>
            <w:tcW w:w="2520" w:type="dxa"/>
          </w:tcPr>
          <w:p w14:paraId="4701206B" w14:textId="77777777" w:rsidR="00AF6702" w:rsidRPr="00702882" w:rsidRDefault="00AF6702" w:rsidP="004D3BED">
            <w:pPr>
              <w:rPr>
                <w:sz w:val="20"/>
                <w:szCs w:val="20"/>
              </w:rPr>
            </w:pPr>
            <w:r w:rsidRPr="00702882">
              <w:rPr>
                <w:sz w:val="20"/>
                <w:szCs w:val="20"/>
              </w:rPr>
              <w:t>Long Term Reserve Fund (2002)</w:t>
            </w:r>
          </w:p>
        </w:tc>
        <w:tc>
          <w:tcPr>
            <w:tcW w:w="1467" w:type="dxa"/>
          </w:tcPr>
          <w:p w14:paraId="11457C45" w14:textId="77777777" w:rsidR="00AF6702" w:rsidRPr="00702882" w:rsidRDefault="00AF6702" w:rsidP="004D3BED">
            <w:pPr>
              <w:rPr>
                <w:sz w:val="20"/>
                <w:szCs w:val="20"/>
              </w:rPr>
            </w:pPr>
            <w:r w:rsidRPr="00702882">
              <w:rPr>
                <w:sz w:val="20"/>
                <w:szCs w:val="20"/>
              </w:rPr>
              <w:t xml:space="preserve">Withdrawal by legislature </w:t>
            </w:r>
          </w:p>
          <w:p w14:paraId="31BD1CEA"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0.5</w:t>
            </w:r>
            <w:r w:rsidRPr="00702882">
              <w:rPr>
                <w:sz w:val="20"/>
                <w:szCs w:val="20"/>
              </w:rPr>
              <w:t xml:space="preserve"> → </w:t>
            </w:r>
            <w:r w:rsidRPr="00702882">
              <w:rPr>
                <w:rFonts w:eastAsiaTheme="minorEastAsia"/>
                <w:sz w:val="20"/>
                <w:szCs w:val="20"/>
              </w:rPr>
              <w:t>0.67</w:t>
            </w:r>
            <w:r w:rsidRPr="00702882">
              <w:rPr>
                <w:sz w:val="20"/>
                <w:szCs w:val="20"/>
              </w:rPr>
              <w:t>)</w:t>
            </w:r>
          </w:p>
        </w:tc>
        <w:tc>
          <w:tcPr>
            <w:tcW w:w="5283" w:type="dxa"/>
          </w:tcPr>
          <w:p w14:paraId="3F0AF92D" w14:textId="77777777" w:rsidR="00AF6702" w:rsidRPr="00702882" w:rsidRDefault="00AF6702" w:rsidP="004D3BED">
            <w:pPr>
              <w:rPr>
                <w:sz w:val="20"/>
                <w:szCs w:val="20"/>
              </w:rPr>
            </w:pPr>
            <w:r w:rsidRPr="00702882">
              <w:rPr>
                <w:sz w:val="20"/>
                <w:szCs w:val="20"/>
              </w:rPr>
              <w:t>A vote of at least two-thirds (2/3) of the members of the General Assembly is required to use the Long-Term Reserve Fund.</w:t>
            </w:r>
          </w:p>
        </w:tc>
        <w:tc>
          <w:tcPr>
            <w:tcW w:w="2790" w:type="dxa"/>
          </w:tcPr>
          <w:p w14:paraId="230607B8" w14:textId="77777777" w:rsidR="00AF6702" w:rsidRPr="00702882" w:rsidRDefault="00AF6702" w:rsidP="004D3BED">
            <w:pPr>
              <w:rPr>
                <w:sz w:val="20"/>
                <w:szCs w:val="20"/>
              </w:rPr>
            </w:pPr>
            <w:r w:rsidRPr="00702882">
              <w:rPr>
                <w:sz w:val="20"/>
                <w:szCs w:val="20"/>
              </w:rPr>
              <w:t>2017 Ark. ALS 7, 2017 Ark. Acts 7, 2017 Ark. SB 5 (May 4, 2017).</w:t>
            </w:r>
          </w:p>
        </w:tc>
      </w:tr>
      <w:tr w:rsidR="00850754" w:rsidRPr="00702882" w14:paraId="34E770E8" w14:textId="77777777" w:rsidTr="00AE6820">
        <w:trPr>
          <w:jc w:val="center"/>
        </w:trPr>
        <w:tc>
          <w:tcPr>
            <w:tcW w:w="1615" w:type="dxa"/>
            <w:vMerge w:val="restart"/>
          </w:tcPr>
          <w:p w14:paraId="220D258C" w14:textId="77777777" w:rsidR="00AF6702" w:rsidRPr="00702882" w:rsidRDefault="00AF6702" w:rsidP="004D3BED">
            <w:pPr>
              <w:rPr>
                <w:sz w:val="20"/>
                <w:szCs w:val="20"/>
              </w:rPr>
            </w:pPr>
            <w:r w:rsidRPr="00702882">
              <w:rPr>
                <w:sz w:val="20"/>
                <w:szCs w:val="20"/>
              </w:rPr>
              <w:t>California</w:t>
            </w:r>
          </w:p>
        </w:tc>
        <w:tc>
          <w:tcPr>
            <w:tcW w:w="630" w:type="dxa"/>
          </w:tcPr>
          <w:p w14:paraId="6D661EBC" w14:textId="77777777" w:rsidR="00AF6702" w:rsidRPr="00702882" w:rsidRDefault="00AF6702" w:rsidP="004D3BED">
            <w:pPr>
              <w:rPr>
                <w:sz w:val="20"/>
                <w:szCs w:val="20"/>
              </w:rPr>
            </w:pPr>
            <w:r w:rsidRPr="00702882">
              <w:rPr>
                <w:sz w:val="20"/>
                <w:szCs w:val="20"/>
              </w:rPr>
              <w:t>2005</w:t>
            </w:r>
          </w:p>
          <w:p w14:paraId="01B5F8F4" w14:textId="77777777" w:rsidR="00AF6702" w:rsidRPr="00702882" w:rsidRDefault="00AF6702" w:rsidP="004D3BED">
            <w:pPr>
              <w:rPr>
                <w:sz w:val="20"/>
                <w:szCs w:val="20"/>
              </w:rPr>
            </w:pPr>
          </w:p>
        </w:tc>
        <w:tc>
          <w:tcPr>
            <w:tcW w:w="2520" w:type="dxa"/>
          </w:tcPr>
          <w:p w14:paraId="3D1C566C" w14:textId="77777777" w:rsidR="00AF6702" w:rsidRPr="00702882" w:rsidRDefault="00AF6702" w:rsidP="004D3BED">
            <w:pPr>
              <w:rPr>
                <w:sz w:val="20"/>
                <w:szCs w:val="20"/>
              </w:rPr>
            </w:pPr>
            <w:r w:rsidRPr="00702882">
              <w:rPr>
                <w:sz w:val="20"/>
                <w:szCs w:val="20"/>
              </w:rPr>
              <w:t>Budget Stabilization Account (2004)</w:t>
            </w:r>
          </w:p>
        </w:tc>
        <w:tc>
          <w:tcPr>
            <w:tcW w:w="1467" w:type="dxa"/>
          </w:tcPr>
          <w:p w14:paraId="032C4668" w14:textId="77777777" w:rsidR="00AF6702" w:rsidRPr="00702882" w:rsidRDefault="00AF6702" w:rsidP="004D3BED">
            <w:pPr>
              <w:rPr>
                <w:sz w:val="20"/>
                <w:szCs w:val="20"/>
              </w:rPr>
            </w:pPr>
            <w:r w:rsidRPr="00702882">
              <w:rPr>
                <w:sz w:val="20"/>
                <w:szCs w:val="20"/>
              </w:rPr>
              <w:t xml:space="preserve">Number </w:t>
            </w:r>
          </w:p>
          <w:p w14:paraId="5495ADBD" w14:textId="77777777" w:rsidR="00AF6702" w:rsidRPr="00702882" w:rsidRDefault="00AF6702" w:rsidP="004D3BED">
            <w:pPr>
              <w:rPr>
                <w:sz w:val="20"/>
                <w:szCs w:val="20"/>
              </w:rPr>
            </w:pPr>
            <w:r w:rsidRPr="00702882">
              <w:rPr>
                <w:sz w:val="20"/>
                <w:szCs w:val="20"/>
              </w:rPr>
              <w:t>(0 → 1)</w:t>
            </w:r>
          </w:p>
        </w:tc>
        <w:tc>
          <w:tcPr>
            <w:tcW w:w="5283" w:type="dxa"/>
          </w:tcPr>
          <w:p w14:paraId="0D372114" w14:textId="77777777" w:rsidR="00AF6702" w:rsidRPr="00702882" w:rsidRDefault="00AF6702" w:rsidP="004D3BED">
            <w:pPr>
              <w:tabs>
                <w:tab w:val="left" w:pos="1152"/>
              </w:tabs>
              <w:rPr>
                <w:sz w:val="20"/>
                <w:szCs w:val="20"/>
              </w:rPr>
            </w:pPr>
            <w:r w:rsidRPr="00702882">
              <w:rPr>
                <w:sz w:val="20"/>
                <w:szCs w:val="20"/>
              </w:rPr>
              <w:t>The Budget Stabilization Account is created in the General Fund.</w:t>
            </w:r>
          </w:p>
          <w:p w14:paraId="16FCB896" w14:textId="77777777" w:rsidR="00AF6702" w:rsidRPr="00702882" w:rsidRDefault="00AF6702" w:rsidP="004D3BED">
            <w:pPr>
              <w:tabs>
                <w:tab w:val="left" w:pos="1152"/>
              </w:tabs>
              <w:rPr>
                <w:rFonts w:eastAsiaTheme="minorEastAsia"/>
                <w:sz w:val="20"/>
                <w:szCs w:val="20"/>
              </w:rPr>
            </w:pPr>
          </w:p>
          <w:p w14:paraId="19309E28" w14:textId="77777777" w:rsidR="00AF6702" w:rsidRPr="00702882" w:rsidRDefault="00AF6702" w:rsidP="004D3BED">
            <w:pPr>
              <w:tabs>
                <w:tab w:val="left" w:pos="1152"/>
              </w:tabs>
              <w:rPr>
                <w:rFonts w:eastAsiaTheme="minorEastAsia"/>
                <w:sz w:val="20"/>
                <w:szCs w:val="20"/>
              </w:rPr>
            </w:pPr>
          </w:p>
          <w:p w14:paraId="7930124F" w14:textId="77777777" w:rsidR="00AF6702" w:rsidRPr="00702882" w:rsidRDefault="00AF6702" w:rsidP="004D3BED">
            <w:pPr>
              <w:tabs>
                <w:tab w:val="left" w:pos="1152"/>
              </w:tabs>
              <w:rPr>
                <w:rFonts w:eastAsiaTheme="minorEastAsia"/>
                <w:sz w:val="20"/>
                <w:szCs w:val="20"/>
              </w:rPr>
            </w:pPr>
          </w:p>
        </w:tc>
        <w:tc>
          <w:tcPr>
            <w:tcW w:w="2790" w:type="dxa"/>
          </w:tcPr>
          <w:p w14:paraId="443B603A" w14:textId="77777777" w:rsidR="00AF6702" w:rsidRPr="00702882" w:rsidRDefault="00AF6702" w:rsidP="004D3BED">
            <w:pPr>
              <w:rPr>
                <w:sz w:val="20"/>
                <w:szCs w:val="20"/>
              </w:rPr>
            </w:pPr>
            <w:r w:rsidRPr="00702882">
              <w:rPr>
                <w:sz w:val="20"/>
                <w:szCs w:val="20"/>
              </w:rPr>
              <w:t>§ 20. Creation of Budget Stabilization Account; Transfer of moneys, Cal Const, Art. XVI § 20</w:t>
            </w:r>
          </w:p>
        </w:tc>
      </w:tr>
      <w:tr w:rsidR="00850754" w:rsidRPr="00702882" w14:paraId="501F4E15" w14:textId="77777777" w:rsidTr="00AE6820">
        <w:trPr>
          <w:jc w:val="center"/>
        </w:trPr>
        <w:tc>
          <w:tcPr>
            <w:tcW w:w="1615" w:type="dxa"/>
            <w:vMerge/>
          </w:tcPr>
          <w:p w14:paraId="2DE333F9" w14:textId="77777777" w:rsidR="00AF6702" w:rsidRPr="00702882" w:rsidRDefault="00AF6702" w:rsidP="004D3BED">
            <w:pPr>
              <w:rPr>
                <w:sz w:val="20"/>
                <w:szCs w:val="20"/>
              </w:rPr>
            </w:pPr>
          </w:p>
        </w:tc>
        <w:tc>
          <w:tcPr>
            <w:tcW w:w="630" w:type="dxa"/>
          </w:tcPr>
          <w:p w14:paraId="004D9A13" w14:textId="77777777" w:rsidR="00AF6702" w:rsidRPr="00702882" w:rsidRDefault="00AF6702" w:rsidP="004D3BED">
            <w:pPr>
              <w:rPr>
                <w:rFonts w:eastAsiaTheme="minorEastAsia"/>
                <w:sz w:val="20"/>
                <w:szCs w:val="20"/>
              </w:rPr>
            </w:pPr>
            <w:r w:rsidRPr="00702882">
              <w:rPr>
                <w:rFonts w:eastAsiaTheme="minorEastAsia"/>
                <w:sz w:val="20"/>
                <w:szCs w:val="20"/>
              </w:rPr>
              <w:t>2005</w:t>
            </w:r>
          </w:p>
        </w:tc>
        <w:tc>
          <w:tcPr>
            <w:tcW w:w="2520" w:type="dxa"/>
          </w:tcPr>
          <w:p w14:paraId="3C1C6A5F" w14:textId="77777777" w:rsidR="00AF6702" w:rsidRPr="00702882" w:rsidRDefault="00AF6702" w:rsidP="004D3BED">
            <w:pPr>
              <w:rPr>
                <w:rFonts w:eastAsiaTheme="minorEastAsia"/>
                <w:sz w:val="20"/>
                <w:szCs w:val="20"/>
              </w:rPr>
            </w:pPr>
            <w:r w:rsidRPr="00702882">
              <w:rPr>
                <w:sz w:val="20"/>
                <w:szCs w:val="20"/>
              </w:rPr>
              <w:t>Budget Stabilization Account (2004)</w:t>
            </w:r>
          </w:p>
          <w:p w14:paraId="2929A371" w14:textId="77777777" w:rsidR="00AF6702" w:rsidRPr="00702882" w:rsidRDefault="00AF6702" w:rsidP="004D3BED">
            <w:pPr>
              <w:rPr>
                <w:rFonts w:eastAsiaTheme="minorEastAsia"/>
                <w:sz w:val="20"/>
                <w:szCs w:val="20"/>
              </w:rPr>
            </w:pPr>
          </w:p>
          <w:p w14:paraId="3D70019D" w14:textId="77777777" w:rsidR="00AF6702" w:rsidRPr="00702882" w:rsidRDefault="00AF6702" w:rsidP="004D3BED">
            <w:pPr>
              <w:rPr>
                <w:rFonts w:eastAsiaTheme="minorEastAsia"/>
                <w:sz w:val="20"/>
                <w:szCs w:val="20"/>
              </w:rPr>
            </w:pPr>
          </w:p>
        </w:tc>
        <w:tc>
          <w:tcPr>
            <w:tcW w:w="1467" w:type="dxa"/>
          </w:tcPr>
          <w:p w14:paraId="0CFABC87" w14:textId="77777777" w:rsidR="00AF6702" w:rsidRPr="00702882" w:rsidRDefault="00AF6702" w:rsidP="004D3BED">
            <w:pPr>
              <w:rPr>
                <w:rFonts w:eastAsiaTheme="minorEastAsia"/>
                <w:sz w:val="20"/>
                <w:szCs w:val="20"/>
              </w:rPr>
            </w:pPr>
            <w:r w:rsidRPr="00702882">
              <w:rPr>
                <w:rFonts w:eastAsiaTheme="minorEastAsia"/>
                <w:sz w:val="20"/>
                <w:szCs w:val="20"/>
              </w:rPr>
              <w:t xml:space="preserve">Deposit tied to revenue volatility </w:t>
            </w:r>
          </w:p>
          <w:p w14:paraId="0A1F4E61" w14:textId="77777777" w:rsidR="00AF6702" w:rsidRPr="00702882" w:rsidRDefault="00AF6702" w:rsidP="004D3BED">
            <w:pPr>
              <w:rPr>
                <w:rFonts w:eastAsiaTheme="minorEastAsia"/>
                <w:sz w:val="20"/>
                <w:szCs w:val="20"/>
              </w:rPr>
            </w:pPr>
            <w:r w:rsidRPr="00702882">
              <w:rPr>
                <w:rFonts w:eastAsiaTheme="minorEastAsia"/>
                <w:sz w:val="20"/>
                <w:szCs w:val="20"/>
              </w:rPr>
              <w:t xml:space="preserve">(0 </w:t>
            </w:r>
            <w:r w:rsidRPr="00702882">
              <w:rPr>
                <w:sz w:val="20"/>
                <w:szCs w:val="20"/>
              </w:rPr>
              <w:t xml:space="preserve">→ </w:t>
            </w:r>
            <w:r w:rsidRPr="00702882">
              <w:rPr>
                <w:rFonts w:eastAsiaTheme="minorEastAsia"/>
                <w:sz w:val="20"/>
                <w:szCs w:val="20"/>
              </w:rPr>
              <w:t>1)</w:t>
            </w:r>
          </w:p>
        </w:tc>
        <w:tc>
          <w:tcPr>
            <w:tcW w:w="5283" w:type="dxa"/>
          </w:tcPr>
          <w:p w14:paraId="6E0E8FB7" w14:textId="77777777" w:rsidR="00AF6702" w:rsidRPr="00702882" w:rsidRDefault="00AF6702" w:rsidP="004D3BED">
            <w:pPr>
              <w:tabs>
                <w:tab w:val="left" w:pos="1152"/>
              </w:tabs>
              <w:rPr>
                <w:rFonts w:eastAsiaTheme="minorEastAsia"/>
                <w:sz w:val="20"/>
                <w:szCs w:val="20"/>
              </w:rPr>
            </w:pPr>
            <w:r w:rsidRPr="00702882">
              <w:rPr>
                <w:rFonts w:eastAsiaTheme="minorEastAsia"/>
                <w:sz w:val="20"/>
                <w:szCs w:val="20"/>
              </w:rPr>
              <w:t>A deposit equivalent to 1 percent of the projected General Fund revenues into the Budget Stabilization Account (BSA) must be made.</w:t>
            </w:r>
          </w:p>
        </w:tc>
        <w:tc>
          <w:tcPr>
            <w:tcW w:w="2790" w:type="dxa"/>
          </w:tcPr>
          <w:p w14:paraId="3FAC4D53" w14:textId="77777777" w:rsidR="00AF6702" w:rsidRPr="00702882" w:rsidRDefault="00AF6702" w:rsidP="004D3BED">
            <w:pPr>
              <w:rPr>
                <w:rFonts w:eastAsiaTheme="minorEastAsia"/>
                <w:sz w:val="20"/>
                <w:szCs w:val="20"/>
              </w:rPr>
            </w:pPr>
            <w:r w:rsidRPr="00702882">
              <w:rPr>
                <w:sz w:val="20"/>
                <w:szCs w:val="20"/>
              </w:rPr>
              <w:t>§ 20. Creation of Budget Stabilization Account; Transfer of moneys, Cal Const, Art. XVI § 20</w:t>
            </w:r>
          </w:p>
        </w:tc>
      </w:tr>
      <w:tr w:rsidR="00850754" w:rsidRPr="00702882" w14:paraId="243D06DD" w14:textId="77777777" w:rsidTr="00AE6820">
        <w:trPr>
          <w:jc w:val="center"/>
        </w:trPr>
        <w:tc>
          <w:tcPr>
            <w:tcW w:w="1615" w:type="dxa"/>
            <w:vMerge/>
          </w:tcPr>
          <w:p w14:paraId="5C0348CE" w14:textId="77777777" w:rsidR="00AF6702" w:rsidRPr="00702882" w:rsidRDefault="00AF6702" w:rsidP="004D3BED">
            <w:pPr>
              <w:rPr>
                <w:sz w:val="20"/>
                <w:szCs w:val="20"/>
              </w:rPr>
            </w:pPr>
          </w:p>
        </w:tc>
        <w:tc>
          <w:tcPr>
            <w:tcW w:w="630" w:type="dxa"/>
          </w:tcPr>
          <w:p w14:paraId="050CE420" w14:textId="77777777" w:rsidR="00AF6702" w:rsidRPr="00702882" w:rsidRDefault="00AF6702" w:rsidP="004D3BED">
            <w:pPr>
              <w:rPr>
                <w:sz w:val="20"/>
                <w:szCs w:val="20"/>
              </w:rPr>
            </w:pPr>
            <w:r w:rsidRPr="00702882">
              <w:rPr>
                <w:sz w:val="20"/>
                <w:szCs w:val="20"/>
              </w:rPr>
              <w:t>2006</w:t>
            </w:r>
          </w:p>
        </w:tc>
        <w:tc>
          <w:tcPr>
            <w:tcW w:w="2520" w:type="dxa"/>
          </w:tcPr>
          <w:p w14:paraId="5A985892" w14:textId="77777777" w:rsidR="00AF6702" w:rsidRPr="00702882" w:rsidRDefault="00AF6702" w:rsidP="004D3BED">
            <w:pPr>
              <w:rPr>
                <w:sz w:val="20"/>
                <w:szCs w:val="20"/>
              </w:rPr>
            </w:pPr>
            <w:r w:rsidRPr="00702882">
              <w:rPr>
                <w:sz w:val="20"/>
                <w:szCs w:val="20"/>
              </w:rPr>
              <w:t>Special Fund for Economic Uncertainties (1980)</w:t>
            </w:r>
            <w:r w:rsidRPr="00702882">
              <w:rPr>
                <w:rStyle w:val="a5"/>
                <w:sz w:val="20"/>
                <w:szCs w:val="20"/>
              </w:rPr>
              <w:footnoteReference w:id="126"/>
            </w:r>
          </w:p>
        </w:tc>
        <w:tc>
          <w:tcPr>
            <w:tcW w:w="1467" w:type="dxa"/>
          </w:tcPr>
          <w:p w14:paraId="218AB4AE" w14:textId="77777777" w:rsidR="00AF6702" w:rsidRPr="00702882" w:rsidRDefault="00AF6702" w:rsidP="004D3BED">
            <w:pPr>
              <w:rPr>
                <w:sz w:val="20"/>
                <w:szCs w:val="20"/>
              </w:rPr>
            </w:pPr>
            <w:r w:rsidRPr="00702882">
              <w:rPr>
                <w:sz w:val="20"/>
                <w:szCs w:val="20"/>
              </w:rPr>
              <w:t>NA</w:t>
            </w:r>
          </w:p>
        </w:tc>
        <w:tc>
          <w:tcPr>
            <w:tcW w:w="5283" w:type="dxa"/>
          </w:tcPr>
          <w:p w14:paraId="6142304E" w14:textId="77777777" w:rsidR="00AF6702" w:rsidRPr="00702882" w:rsidRDefault="00AF6702" w:rsidP="004D3BED">
            <w:pPr>
              <w:tabs>
                <w:tab w:val="left" w:pos="1008"/>
              </w:tabs>
              <w:rPr>
                <w:sz w:val="20"/>
                <w:szCs w:val="20"/>
              </w:rPr>
            </w:pPr>
            <w:r w:rsidRPr="00702882">
              <w:rPr>
                <w:sz w:val="20"/>
                <w:szCs w:val="20"/>
              </w:rPr>
              <w:t xml:space="preserve">(5) added “Notwithstanding Section 13340, there is hereby appropriated from the General Fund, without regard to fiscal years, for transfer by the Controller to the Fund as of the end of each fiscal year” to subd (e)(1). </w:t>
            </w:r>
          </w:p>
        </w:tc>
        <w:tc>
          <w:tcPr>
            <w:tcW w:w="2790" w:type="dxa"/>
          </w:tcPr>
          <w:p w14:paraId="434409E9" w14:textId="77777777" w:rsidR="00AF6702" w:rsidRPr="00702882" w:rsidRDefault="00AF6702" w:rsidP="004D3BED">
            <w:pPr>
              <w:tabs>
                <w:tab w:val="left" w:pos="525"/>
              </w:tabs>
              <w:rPr>
                <w:sz w:val="20"/>
                <w:szCs w:val="20"/>
              </w:rPr>
            </w:pPr>
            <w:r w:rsidRPr="00702882">
              <w:rPr>
                <w:sz w:val="20"/>
                <w:szCs w:val="20"/>
              </w:rPr>
              <w:t>§ 20. Creation of Budget Stabilization Account; Transfer of moneys, Cal Const, Art. XVI § 20</w:t>
            </w:r>
          </w:p>
        </w:tc>
      </w:tr>
      <w:tr w:rsidR="00850754" w:rsidRPr="00702882" w14:paraId="57D4A195" w14:textId="77777777" w:rsidTr="00AE6820">
        <w:trPr>
          <w:jc w:val="center"/>
        </w:trPr>
        <w:tc>
          <w:tcPr>
            <w:tcW w:w="1615" w:type="dxa"/>
            <w:vMerge/>
          </w:tcPr>
          <w:p w14:paraId="543D103F" w14:textId="77777777" w:rsidR="00AF6702" w:rsidRPr="00702882" w:rsidRDefault="00AF6702" w:rsidP="004D3BED">
            <w:pPr>
              <w:rPr>
                <w:sz w:val="20"/>
                <w:szCs w:val="20"/>
              </w:rPr>
            </w:pPr>
            <w:bookmarkStart w:id="84" w:name="_Hlk87188434"/>
          </w:p>
        </w:tc>
        <w:tc>
          <w:tcPr>
            <w:tcW w:w="630" w:type="dxa"/>
            <w:vMerge w:val="restart"/>
          </w:tcPr>
          <w:p w14:paraId="45A5110F" w14:textId="77777777" w:rsidR="00AF6702" w:rsidRPr="00702882" w:rsidRDefault="00AF6702" w:rsidP="004D3BED">
            <w:pPr>
              <w:rPr>
                <w:sz w:val="20"/>
                <w:szCs w:val="20"/>
              </w:rPr>
            </w:pPr>
            <w:r w:rsidRPr="00702882">
              <w:rPr>
                <w:sz w:val="20"/>
                <w:szCs w:val="20"/>
              </w:rPr>
              <w:t>2014</w:t>
            </w:r>
          </w:p>
        </w:tc>
        <w:tc>
          <w:tcPr>
            <w:tcW w:w="2520" w:type="dxa"/>
          </w:tcPr>
          <w:p w14:paraId="688C53EC" w14:textId="77777777" w:rsidR="00AF6702" w:rsidRPr="00702882" w:rsidRDefault="00AF6702" w:rsidP="004D3BED">
            <w:pPr>
              <w:rPr>
                <w:sz w:val="20"/>
                <w:szCs w:val="20"/>
              </w:rPr>
            </w:pPr>
            <w:r w:rsidRPr="00702882">
              <w:rPr>
                <w:sz w:val="20"/>
                <w:szCs w:val="20"/>
              </w:rPr>
              <w:t>Budget Stabilization Account (2004)</w:t>
            </w:r>
          </w:p>
        </w:tc>
        <w:tc>
          <w:tcPr>
            <w:tcW w:w="1467" w:type="dxa"/>
          </w:tcPr>
          <w:p w14:paraId="6A7C7F04" w14:textId="77777777" w:rsidR="00AF6702" w:rsidRPr="00702882" w:rsidRDefault="00AF6702" w:rsidP="004D3BED">
            <w:pPr>
              <w:rPr>
                <w:sz w:val="20"/>
                <w:szCs w:val="20"/>
              </w:rPr>
            </w:pPr>
            <w:r w:rsidRPr="00702882">
              <w:rPr>
                <w:sz w:val="20"/>
                <w:szCs w:val="20"/>
              </w:rPr>
              <w:t xml:space="preserve">Cap </w:t>
            </w:r>
          </w:p>
          <w:p w14:paraId="4521A713"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10</w:t>
            </w:r>
            <w:r w:rsidRPr="00702882">
              <w:rPr>
                <w:sz w:val="20"/>
                <w:szCs w:val="20"/>
              </w:rPr>
              <w:t>)</w:t>
            </w:r>
          </w:p>
          <w:p w14:paraId="37136FF3" w14:textId="77777777" w:rsidR="00AF6702" w:rsidRPr="00702882" w:rsidRDefault="00AF6702" w:rsidP="004D3BED">
            <w:pPr>
              <w:rPr>
                <w:sz w:val="20"/>
                <w:szCs w:val="20"/>
              </w:rPr>
            </w:pPr>
          </w:p>
        </w:tc>
        <w:tc>
          <w:tcPr>
            <w:tcW w:w="5283" w:type="dxa"/>
          </w:tcPr>
          <w:p w14:paraId="7FBA9444" w14:textId="77777777" w:rsidR="00AF6702" w:rsidRPr="00702882" w:rsidRDefault="00AF6702" w:rsidP="004D3BED">
            <w:pPr>
              <w:rPr>
                <w:sz w:val="20"/>
                <w:szCs w:val="20"/>
              </w:rPr>
            </w:pPr>
            <w:r w:rsidRPr="00702882">
              <w:rPr>
                <w:sz w:val="20"/>
                <w:szCs w:val="20"/>
              </w:rPr>
              <w:t>The amount of a transfer to the BSA for any fiscal year shall not exceed 10 percent of the amount of General Fund proceeds of taxes for the fiscal year estimated pursuant to subdivision (b).</w:t>
            </w:r>
          </w:p>
        </w:tc>
        <w:tc>
          <w:tcPr>
            <w:tcW w:w="2790" w:type="dxa"/>
          </w:tcPr>
          <w:p w14:paraId="33D6F07C" w14:textId="77777777" w:rsidR="00AF6702" w:rsidRPr="00702882" w:rsidRDefault="00AF6702" w:rsidP="004D3BED">
            <w:pPr>
              <w:rPr>
                <w:sz w:val="20"/>
                <w:szCs w:val="20"/>
              </w:rPr>
            </w:pPr>
            <w:r w:rsidRPr="00702882">
              <w:rPr>
                <w:sz w:val="20"/>
                <w:szCs w:val="20"/>
              </w:rPr>
              <w:t>§ 20. Creation of Budget Stabilization Account; Transfer of moneys, Cal Const, Art. XVI § 20.</w:t>
            </w:r>
          </w:p>
        </w:tc>
      </w:tr>
      <w:tr w:rsidR="00850754" w:rsidRPr="00702882" w14:paraId="37CD89E9" w14:textId="77777777" w:rsidTr="00AE6820">
        <w:trPr>
          <w:jc w:val="center"/>
        </w:trPr>
        <w:tc>
          <w:tcPr>
            <w:tcW w:w="1615" w:type="dxa"/>
            <w:vMerge/>
          </w:tcPr>
          <w:p w14:paraId="1347B77C" w14:textId="77777777" w:rsidR="00AF6702" w:rsidRPr="00702882" w:rsidRDefault="00AF6702" w:rsidP="004D3BED">
            <w:pPr>
              <w:rPr>
                <w:sz w:val="20"/>
                <w:szCs w:val="20"/>
              </w:rPr>
            </w:pPr>
          </w:p>
        </w:tc>
        <w:tc>
          <w:tcPr>
            <w:tcW w:w="630" w:type="dxa"/>
            <w:vMerge/>
          </w:tcPr>
          <w:p w14:paraId="4156C82B" w14:textId="77777777" w:rsidR="00AF6702" w:rsidRPr="00702882" w:rsidRDefault="00AF6702" w:rsidP="004D3BED">
            <w:pPr>
              <w:rPr>
                <w:sz w:val="20"/>
                <w:szCs w:val="20"/>
              </w:rPr>
            </w:pPr>
          </w:p>
        </w:tc>
        <w:tc>
          <w:tcPr>
            <w:tcW w:w="2520" w:type="dxa"/>
          </w:tcPr>
          <w:p w14:paraId="3949F556" w14:textId="77777777" w:rsidR="00AF6702" w:rsidRPr="00702882" w:rsidRDefault="00AF6702" w:rsidP="004D3BED">
            <w:pPr>
              <w:rPr>
                <w:sz w:val="20"/>
                <w:szCs w:val="20"/>
              </w:rPr>
            </w:pPr>
            <w:r w:rsidRPr="00702882">
              <w:rPr>
                <w:sz w:val="20"/>
                <w:szCs w:val="20"/>
              </w:rPr>
              <w:t>Budget Stabilization Account (2004)</w:t>
            </w:r>
          </w:p>
        </w:tc>
        <w:tc>
          <w:tcPr>
            <w:tcW w:w="1467" w:type="dxa"/>
          </w:tcPr>
          <w:p w14:paraId="6555A44E" w14:textId="77777777" w:rsidR="00AF6702" w:rsidRPr="00702882" w:rsidRDefault="00AF6702" w:rsidP="004D3BED">
            <w:pPr>
              <w:rPr>
                <w:sz w:val="20"/>
                <w:szCs w:val="20"/>
              </w:rPr>
            </w:pPr>
            <w:r w:rsidRPr="00702882">
              <w:rPr>
                <w:sz w:val="20"/>
                <w:szCs w:val="20"/>
              </w:rPr>
              <w:t>Withdrawal tied to volatility</w:t>
            </w:r>
          </w:p>
          <w:p w14:paraId="218D29CB" w14:textId="77777777" w:rsidR="00AF6702" w:rsidRPr="00702882" w:rsidRDefault="00AF6702" w:rsidP="004D3BED">
            <w:pPr>
              <w:rPr>
                <w:sz w:val="20"/>
                <w:szCs w:val="20"/>
              </w:rPr>
            </w:pPr>
            <w:r w:rsidRPr="00702882">
              <w:rPr>
                <w:sz w:val="20"/>
                <w:szCs w:val="20"/>
              </w:rPr>
              <w:t>(0 → 1)</w:t>
            </w:r>
          </w:p>
        </w:tc>
        <w:tc>
          <w:tcPr>
            <w:tcW w:w="5283" w:type="dxa"/>
          </w:tcPr>
          <w:p w14:paraId="3F8901F9" w14:textId="77777777" w:rsidR="00AF6702" w:rsidRPr="00702882" w:rsidRDefault="00AF6702" w:rsidP="004D3BED">
            <w:pPr>
              <w:rPr>
                <w:sz w:val="20"/>
                <w:szCs w:val="20"/>
              </w:rPr>
            </w:pPr>
            <w:r w:rsidRPr="00702882">
              <w:rPr>
                <w:sz w:val="20"/>
                <w:szCs w:val="20"/>
              </w:rPr>
              <w:t>Total General Fund expenditures are adjusted for the following: (i) The annual percentage change in the cost of living for the State, as measured by the California Consumer Price Index. (ii)  The annual percentage growth in the population of the State.</w:t>
            </w:r>
          </w:p>
        </w:tc>
        <w:tc>
          <w:tcPr>
            <w:tcW w:w="2790" w:type="dxa"/>
          </w:tcPr>
          <w:p w14:paraId="061D9443" w14:textId="77777777" w:rsidR="00AF6702" w:rsidRPr="00702882" w:rsidRDefault="00AF6702" w:rsidP="004D3BED">
            <w:pPr>
              <w:rPr>
                <w:sz w:val="20"/>
                <w:szCs w:val="20"/>
              </w:rPr>
            </w:pPr>
            <w:r w:rsidRPr="00702882">
              <w:rPr>
                <w:sz w:val="20"/>
                <w:szCs w:val="20"/>
              </w:rPr>
              <w:t>§ 22. Budget emergency, Cal Const, Art. XVI § 22.</w:t>
            </w:r>
          </w:p>
        </w:tc>
      </w:tr>
      <w:bookmarkEnd w:id="84"/>
      <w:tr w:rsidR="00850754" w:rsidRPr="00702882" w14:paraId="23ABB309" w14:textId="77777777" w:rsidTr="00AE6820">
        <w:trPr>
          <w:jc w:val="center"/>
        </w:trPr>
        <w:tc>
          <w:tcPr>
            <w:tcW w:w="1615" w:type="dxa"/>
            <w:vMerge/>
          </w:tcPr>
          <w:p w14:paraId="633072A1" w14:textId="77777777" w:rsidR="00AF6702" w:rsidRPr="00702882" w:rsidRDefault="00AF6702" w:rsidP="004D3BED">
            <w:pPr>
              <w:rPr>
                <w:sz w:val="20"/>
                <w:szCs w:val="20"/>
              </w:rPr>
            </w:pPr>
          </w:p>
        </w:tc>
        <w:tc>
          <w:tcPr>
            <w:tcW w:w="630" w:type="dxa"/>
            <w:vMerge/>
          </w:tcPr>
          <w:p w14:paraId="54AA732A" w14:textId="77777777" w:rsidR="00AF6702" w:rsidRPr="00702882" w:rsidRDefault="00AF6702" w:rsidP="004D3BED">
            <w:pPr>
              <w:rPr>
                <w:sz w:val="20"/>
                <w:szCs w:val="20"/>
              </w:rPr>
            </w:pPr>
          </w:p>
        </w:tc>
        <w:tc>
          <w:tcPr>
            <w:tcW w:w="2520" w:type="dxa"/>
          </w:tcPr>
          <w:p w14:paraId="2A10E295" w14:textId="77777777" w:rsidR="00AF6702" w:rsidRPr="00702882" w:rsidRDefault="00AF6702" w:rsidP="004D3BED">
            <w:pPr>
              <w:rPr>
                <w:sz w:val="20"/>
                <w:szCs w:val="20"/>
              </w:rPr>
            </w:pPr>
            <w:r w:rsidRPr="00702882">
              <w:rPr>
                <w:sz w:val="20"/>
                <w:szCs w:val="20"/>
              </w:rPr>
              <w:t>Budget Stabilization Account (2004)</w:t>
            </w:r>
          </w:p>
        </w:tc>
        <w:tc>
          <w:tcPr>
            <w:tcW w:w="1467" w:type="dxa"/>
          </w:tcPr>
          <w:p w14:paraId="64D13D2D" w14:textId="77777777" w:rsidR="00AF6702" w:rsidRPr="00702882" w:rsidRDefault="00AF6702" w:rsidP="004D3BED">
            <w:pPr>
              <w:rPr>
                <w:sz w:val="20"/>
                <w:szCs w:val="20"/>
              </w:rPr>
            </w:pPr>
            <w:r w:rsidRPr="00702882">
              <w:rPr>
                <w:sz w:val="20"/>
                <w:szCs w:val="20"/>
              </w:rPr>
              <w:t>Withdrawal limit</w:t>
            </w:r>
          </w:p>
          <w:p w14:paraId="4A24D963" w14:textId="77777777" w:rsidR="00AF6702" w:rsidRPr="00702882" w:rsidRDefault="00AF6702" w:rsidP="004D3BED">
            <w:pPr>
              <w:rPr>
                <w:sz w:val="20"/>
                <w:szCs w:val="20"/>
              </w:rPr>
            </w:pPr>
            <w:r w:rsidRPr="00702882">
              <w:rPr>
                <w:sz w:val="20"/>
                <w:szCs w:val="20"/>
              </w:rPr>
              <w:t>(0 → 1)</w:t>
            </w:r>
          </w:p>
        </w:tc>
        <w:tc>
          <w:tcPr>
            <w:tcW w:w="5283" w:type="dxa"/>
          </w:tcPr>
          <w:p w14:paraId="02B49657" w14:textId="77777777" w:rsidR="00AF6702" w:rsidRPr="00702882" w:rsidRDefault="00AF6702" w:rsidP="004D3BED">
            <w:pPr>
              <w:rPr>
                <w:sz w:val="20"/>
                <w:szCs w:val="20"/>
              </w:rPr>
            </w:pPr>
            <w:r w:rsidRPr="00702882">
              <w:rPr>
                <w:sz w:val="20"/>
                <w:szCs w:val="20"/>
              </w:rPr>
              <w:t>In the case of a fiscal budget emergency, the Legislature may only withdraw the lesser of: (1) the amount needed to maintain General Fund spending at the highest level of the past three enacted budget acts, or (2) 50 percent of the BSA balance</w:t>
            </w:r>
          </w:p>
        </w:tc>
        <w:tc>
          <w:tcPr>
            <w:tcW w:w="2790" w:type="dxa"/>
          </w:tcPr>
          <w:p w14:paraId="64F8463E" w14:textId="77777777" w:rsidR="00AF6702" w:rsidRPr="00702882" w:rsidRDefault="00AF6702" w:rsidP="004D3BED">
            <w:pPr>
              <w:rPr>
                <w:sz w:val="20"/>
                <w:szCs w:val="20"/>
              </w:rPr>
            </w:pPr>
            <w:r w:rsidRPr="00702882">
              <w:rPr>
                <w:sz w:val="20"/>
                <w:szCs w:val="20"/>
              </w:rPr>
              <w:t>§ 22. Budget emergency, Cal Const, Art. XVI § 22.</w:t>
            </w:r>
          </w:p>
        </w:tc>
      </w:tr>
      <w:tr w:rsidR="00850754" w:rsidRPr="00702882" w14:paraId="10FEEC6D" w14:textId="77777777" w:rsidTr="00AE6820">
        <w:trPr>
          <w:jc w:val="center"/>
        </w:trPr>
        <w:tc>
          <w:tcPr>
            <w:tcW w:w="1615" w:type="dxa"/>
            <w:vMerge/>
          </w:tcPr>
          <w:p w14:paraId="0D002A14" w14:textId="77777777" w:rsidR="00AF6702" w:rsidRPr="00702882" w:rsidRDefault="00AF6702" w:rsidP="004D3BED">
            <w:pPr>
              <w:rPr>
                <w:sz w:val="20"/>
                <w:szCs w:val="20"/>
              </w:rPr>
            </w:pPr>
          </w:p>
        </w:tc>
        <w:tc>
          <w:tcPr>
            <w:tcW w:w="630" w:type="dxa"/>
            <w:vMerge/>
          </w:tcPr>
          <w:p w14:paraId="5A5AF185" w14:textId="77777777" w:rsidR="00AF6702" w:rsidRPr="00702882" w:rsidRDefault="00AF6702" w:rsidP="004D3BED">
            <w:pPr>
              <w:rPr>
                <w:sz w:val="20"/>
                <w:szCs w:val="20"/>
              </w:rPr>
            </w:pPr>
          </w:p>
        </w:tc>
        <w:tc>
          <w:tcPr>
            <w:tcW w:w="2520" w:type="dxa"/>
          </w:tcPr>
          <w:p w14:paraId="6DF05441" w14:textId="77777777" w:rsidR="00AF6702" w:rsidRPr="00702882" w:rsidRDefault="00AF6702" w:rsidP="004D3BED">
            <w:pPr>
              <w:rPr>
                <w:sz w:val="20"/>
                <w:szCs w:val="20"/>
              </w:rPr>
            </w:pPr>
            <w:r w:rsidRPr="00702882">
              <w:rPr>
                <w:sz w:val="20"/>
                <w:szCs w:val="20"/>
              </w:rPr>
              <w:t>Budget Stabilization Account (2004)</w:t>
            </w:r>
          </w:p>
        </w:tc>
        <w:tc>
          <w:tcPr>
            <w:tcW w:w="1467" w:type="dxa"/>
          </w:tcPr>
          <w:p w14:paraId="37DD32C1" w14:textId="77777777" w:rsidR="00AF6702" w:rsidRPr="00702882" w:rsidRDefault="00AF6702" w:rsidP="004D3BED">
            <w:pPr>
              <w:rPr>
                <w:sz w:val="20"/>
                <w:szCs w:val="20"/>
              </w:rPr>
            </w:pPr>
            <w:r w:rsidRPr="00702882">
              <w:rPr>
                <w:sz w:val="20"/>
                <w:szCs w:val="20"/>
              </w:rPr>
              <w:t xml:space="preserve">Other use </w:t>
            </w:r>
          </w:p>
          <w:p w14:paraId="3BF0FABE" w14:textId="77777777" w:rsidR="00AF6702" w:rsidRPr="00702882" w:rsidRDefault="00AF6702" w:rsidP="004D3BED">
            <w:pPr>
              <w:rPr>
                <w:rFonts w:eastAsiaTheme="minorEastAsia"/>
                <w:sz w:val="20"/>
                <w:szCs w:val="20"/>
              </w:rPr>
            </w:pPr>
          </w:p>
          <w:p w14:paraId="26D022B1" w14:textId="77777777" w:rsidR="00AF6702" w:rsidRPr="00702882" w:rsidRDefault="00AF6702" w:rsidP="004D3BED">
            <w:pPr>
              <w:rPr>
                <w:sz w:val="20"/>
                <w:szCs w:val="20"/>
              </w:rPr>
            </w:pPr>
          </w:p>
          <w:p w14:paraId="19CFA7B6" w14:textId="77777777" w:rsidR="00AF6702" w:rsidRPr="00702882" w:rsidRDefault="00AF6702" w:rsidP="004D3BED">
            <w:pPr>
              <w:rPr>
                <w:sz w:val="20"/>
                <w:szCs w:val="20"/>
              </w:rPr>
            </w:pPr>
          </w:p>
        </w:tc>
        <w:tc>
          <w:tcPr>
            <w:tcW w:w="5283" w:type="dxa"/>
          </w:tcPr>
          <w:p w14:paraId="4E61A890" w14:textId="77777777" w:rsidR="00AF6702" w:rsidRPr="00702882" w:rsidRDefault="00AF6702" w:rsidP="004D3BED">
            <w:pPr>
              <w:rPr>
                <w:sz w:val="20"/>
                <w:szCs w:val="20"/>
              </w:rPr>
            </w:pPr>
            <w:r w:rsidRPr="00702882">
              <w:rPr>
                <w:sz w:val="20"/>
                <w:szCs w:val="20"/>
              </w:rPr>
              <w:t>General Fund proceeds of taxes would have been transferred to the BSA may be expended only for infrastructure, as defined by Section 13101 of the Government Code, including deferred maintenance thereon.</w:t>
            </w:r>
          </w:p>
        </w:tc>
        <w:tc>
          <w:tcPr>
            <w:tcW w:w="2790" w:type="dxa"/>
          </w:tcPr>
          <w:p w14:paraId="138C860A" w14:textId="77777777" w:rsidR="00AF6702" w:rsidRPr="00702882" w:rsidRDefault="00AF6702" w:rsidP="004D3BED">
            <w:pPr>
              <w:rPr>
                <w:sz w:val="20"/>
                <w:szCs w:val="20"/>
              </w:rPr>
            </w:pPr>
            <w:r w:rsidRPr="00702882">
              <w:rPr>
                <w:sz w:val="20"/>
                <w:szCs w:val="20"/>
              </w:rPr>
              <w:t>§ 20. Creation of Budget Stabilization Account; Transfer of moneys, Cal Const, Art. XVI § 20.</w:t>
            </w:r>
          </w:p>
        </w:tc>
      </w:tr>
      <w:tr w:rsidR="00850754" w:rsidRPr="00702882" w14:paraId="3410F8FF" w14:textId="77777777" w:rsidTr="00AE6820">
        <w:trPr>
          <w:jc w:val="center"/>
        </w:trPr>
        <w:tc>
          <w:tcPr>
            <w:tcW w:w="1615" w:type="dxa"/>
            <w:vMerge w:val="restart"/>
          </w:tcPr>
          <w:p w14:paraId="1EC0CD51" w14:textId="77777777" w:rsidR="00AF6702" w:rsidRPr="00702882" w:rsidRDefault="00AF6702" w:rsidP="004D3BED">
            <w:pPr>
              <w:rPr>
                <w:sz w:val="20"/>
                <w:szCs w:val="20"/>
              </w:rPr>
            </w:pPr>
            <w:r w:rsidRPr="00702882">
              <w:rPr>
                <w:sz w:val="20"/>
                <w:szCs w:val="20"/>
              </w:rPr>
              <w:t>Connecticut</w:t>
            </w:r>
          </w:p>
          <w:p w14:paraId="65916D59" w14:textId="77777777" w:rsidR="00AF6702" w:rsidRPr="00702882" w:rsidRDefault="00AF6702" w:rsidP="004D3BED">
            <w:pPr>
              <w:rPr>
                <w:sz w:val="20"/>
                <w:szCs w:val="20"/>
              </w:rPr>
            </w:pPr>
          </w:p>
        </w:tc>
        <w:tc>
          <w:tcPr>
            <w:tcW w:w="630" w:type="dxa"/>
          </w:tcPr>
          <w:p w14:paraId="171CCFC4" w14:textId="77777777" w:rsidR="00AF6702" w:rsidRPr="00702882" w:rsidRDefault="00AF6702" w:rsidP="004D3BED">
            <w:pPr>
              <w:rPr>
                <w:sz w:val="20"/>
                <w:szCs w:val="20"/>
              </w:rPr>
            </w:pPr>
            <w:r w:rsidRPr="00702882">
              <w:rPr>
                <w:sz w:val="20"/>
                <w:szCs w:val="20"/>
              </w:rPr>
              <w:t>2002</w:t>
            </w:r>
          </w:p>
        </w:tc>
        <w:tc>
          <w:tcPr>
            <w:tcW w:w="2520" w:type="dxa"/>
          </w:tcPr>
          <w:p w14:paraId="475B6347" w14:textId="77777777" w:rsidR="00AF6702" w:rsidRPr="00702882" w:rsidRDefault="00AF6702" w:rsidP="004D3BED">
            <w:pPr>
              <w:rPr>
                <w:sz w:val="20"/>
                <w:szCs w:val="20"/>
              </w:rPr>
            </w:pPr>
            <w:r w:rsidRPr="00702882">
              <w:rPr>
                <w:sz w:val="20"/>
                <w:szCs w:val="20"/>
              </w:rPr>
              <w:t>Budget Reserve Fund (1978)</w:t>
            </w:r>
          </w:p>
          <w:p w14:paraId="17FC62CD" w14:textId="77777777" w:rsidR="00AF6702" w:rsidRPr="00702882" w:rsidRDefault="00AF6702" w:rsidP="004D3BED">
            <w:pPr>
              <w:rPr>
                <w:rFonts w:eastAsiaTheme="minorEastAsia"/>
                <w:sz w:val="20"/>
                <w:szCs w:val="20"/>
              </w:rPr>
            </w:pPr>
          </w:p>
          <w:p w14:paraId="48671B4E" w14:textId="77777777" w:rsidR="00AF6702" w:rsidRPr="00702882" w:rsidRDefault="00AF6702" w:rsidP="004D3BED">
            <w:pPr>
              <w:rPr>
                <w:rFonts w:eastAsiaTheme="minorEastAsia"/>
                <w:sz w:val="20"/>
                <w:szCs w:val="20"/>
              </w:rPr>
            </w:pPr>
          </w:p>
        </w:tc>
        <w:tc>
          <w:tcPr>
            <w:tcW w:w="1467" w:type="dxa"/>
          </w:tcPr>
          <w:p w14:paraId="368F4818" w14:textId="77777777" w:rsidR="00AF6702" w:rsidRPr="00702882" w:rsidRDefault="00AF6702" w:rsidP="004D3BED">
            <w:pPr>
              <w:rPr>
                <w:sz w:val="20"/>
                <w:szCs w:val="20"/>
              </w:rPr>
            </w:pPr>
            <w:r w:rsidRPr="00702882">
              <w:rPr>
                <w:sz w:val="20"/>
                <w:szCs w:val="20"/>
              </w:rPr>
              <w:t xml:space="preserve">Cap </w:t>
            </w:r>
          </w:p>
          <w:p w14:paraId="31CD8282"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7.5</w:t>
            </w:r>
            <w:r w:rsidRPr="00702882">
              <w:rPr>
                <w:sz w:val="20"/>
                <w:szCs w:val="20"/>
              </w:rPr>
              <w:t>)</w:t>
            </w:r>
          </w:p>
        </w:tc>
        <w:tc>
          <w:tcPr>
            <w:tcW w:w="5283" w:type="dxa"/>
          </w:tcPr>
          <w:p w14:paraId="34147B23" w14:textId="77777777" w:rsidR="00AF6702" w:rsidRPr="00702882" w:rsidRDefault="00AF6702" w:rsidP="004D3BED">
            <w:pPr>
              <w:rPr>
                <w:sz w:val="20"/>
                <w:szCs w:val="20"/>
              </w:rPr>
            </w:pPr>
            <w:r w:rsidRPr="00702882">
              <w:rPr>
                <w:sz w:val="20"/>
                <w:szCs w:val="20"/>
              </w:rPr>
              <w:t>If the amount in the BRF equals 7.5 % of the net General Fund appropriations, no further transfers shall be made to the BRF.</w:t>
            </w:r>
          </w:p>
          <w:p w14:paraId="10C4B340" w14:textId="77777777" w:rsidR="00AF6702" w:rsidRPr="00702882" w:rsidRDefault="00AF6702" w:rsidP="004D3BED">
            <w:pPr>
              <w:rPr>
                <w:sz w:val="20"/>
                <w:szCs w:val="20"/>
              </w:rPr>
            </w:pPr>
          </w:p>
        </w:tc>
        <w:tc>
          <w:tcPr>
            <w:tcW w:w="2790" w:type="dxa"/>
          </w:tcPr>
          <w:p w14:paraId="651D674E" w14:textId="77777777" w:rsidR="00AF6702" w:rsidRPr="00702882" w:rsidRDefault="00AF6702" w:rsidP="004D3BED">
            <w:pPr>
              <w:tabs>
                <w:tab w:val="left" w:pos="468"/>
              </w:tabs>
              <w:rPr>
                <w:sz w:val="20"/>
                <w:szCs w:val="20"/>
              </w:rPr>
            </w:pPr>
            <w:r w:rsidRPr="00702882">
              <w:rPr>
                <w:sz w:val="20"/>
                <w:szCs w:val="20"/>
              </w:rPr>
              <w:t>2002 Ct. ALS 118, 2002 Ct. P.A. 118, 2002 Ct. SB 643 (June 7, 2002).</w:t>
            </w:r>
          </w:p>
        </w:tc>
      </w:tr>
      <w:tr w:rsidR="00850754" w:rsidRPr="00702882" w14:paraId="29B71ADC" w14:textId="77777777" w:rsidTr="00AE6820">
        <w:trPr>
          <w:jc w:val="center"/>
        </w:trPr>
        <w:tc>
          <w:tcPr>
            <w:tcW w:w="1615" w:type="dxa"/>
            <w:vMerge/>
          </w:tcPr>
          <w:p w14:paraId="0A2D2A6D" w14:textId="77777777" w:rsidR="00AF6702" w:rsidRPr="00702882" w:rsidRDefault="00AF6702" w:rsidP="004D3BED">
            <w:pPr>
              <w:rPr>
                <w:sz w:val="20"/>
                <w:szCs w:val="20"/>
              </w:rPr>
            </w:pPr>
          </w:p>
        </w:tc>
        <w:tc>
          <w:tcPr>
            <w:tcW w:w="630" w:type="dxa"/>
          </w:tcPr>
          <w:p w14:paraId="01C15EA2" w14:textId="77777777" w:rsidR="00AF6702" w:rsidRPr="00702882" w:rsidRDefault="00AF6702" w:rsidP="004D3BED">
            <w:pPr>
              <w:rPr>
                <w:sz w:val="20"/>
                <w:szCs w:val="20"/>
              </w:rPr>
            </w:pPr>
            <w:r w:rsidRPr="00702882">
              <w:rPr>
                <w:sz w:val="20"/>
                <w:szCs w:val="20"/>
              </w:rPr>
              <w:t>2003</w:t>
            </w:r>
          </w:p>
        </w:tc>
        <w:tc>
          <w:tcPr>
            <w:tcW w:w="2520" w:type="dxa"/>
          </w:tcPr>
          <w:p w14:paraId="725827D1" w14:textId="77777777" w:rsidR="00AF6702" w:rsidRPr="00702882" w:rsidRDefault="00AF6702" w:rsidP="004D3BED">
            <w:pPr>
              <w:rPr>
                <w:sz w:val="20"/>
                <w:szCs w:val="20"/>
              </w:rPr>
            </w:pPr>
            <w:r w:rsidRPr="00702882">
              <w:rPr>
                <w:sz w:val="20"/>
                <w:szCs w:val="20"/>
              </w:rPr>
              <w:t>Budget Reserve Fund (1978)</w:t>
            </w:r>
          </w:p>
          <w:p w14:paraId="3AFC7B42" w14:textId="77777777" w:rsidR="00AF6702" w:rsidRPr="00702882" w:rsidRDefault="00AF6702" w:rsidP="004D3BED">
            <w:pPr>
              <w:rPr>
                <w:rFonts w:eastAsiaTheme="minorEastAsia"/>
                <w:sz w:val="20"/>
                <w:szCs w:val="20"/>
              </w:rPr>
            </w:pPr>
          </w:p>
          <w:p w14:paraId="031166FA" w14:textId="77777777" w:rsidR="00AF6702" w:rsidRPr="00702882" w:rsidRDefault="00AF6702" w:rsidP="004D3BED">
            <w:pPr>
              <w:rPr>
                <w:rFonts w:eastAsiaTheme="minorEastAsia"/>
                <w:sz w:val="20"/>
                <w:szCs w:val="20"/>
              </w:rPr>
            </w:pPr>
          </w:p>
        </w:tc>
        <w:tc>
          <w:tcPr>
            <w:tcW w:w="1467" w:type="dxa"/>
          </w:tcPr>
          <w:p w14:paraId="4DA829AF" w14:textId="77777777" w:rsidR="00AF6702" w:rsidRPr="00702882" w:rsidRDefault="00AF6702" w:rsidP="004D3BED">
            <w:pPr>
              <w:rPr>
                <w:sz w:val="20"/>
                <w:szCs w:val="20"/>
              </w:rPr>
            </w:pPr>
            <w:r w:rsidRPr="00702882">
              <w:rPr>
                <w:sz w:val="20"/>
                <w:szCs w:val="20"/>
              </w:rPr>
              <w:t xml:space="preserve">Cap </w:t>
            </w:r>
          </w:p>
          <w:p w14:paraId="47540681"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7.5</w:t>
            </w:r>
            <w:r w:rsidRPr="00702882">
              <w:rPr>
                <w:sz w:val="20"/>
                <w:szCs w:val="20"/>
              </w:rPr>
              <w:t xml:space="preserve"> → </w:t>
            </w:r>
            <w:r w:rsidRPr="00702882">
              <w:rPr>
                <w:rFonts w:eastAsiaTheme="minorEastAsia"/>
                <w:sz w:val="20"/>
                <w:szCs w:val="20"/>
              </w:rPr>
              <w:t>10</w:t>
            </w:r>
            <w:r w:rsidRPr="00702882">
              <w:rPr>
                <w:sz w:val="20"/>
                <w:szCs w:val="20"/>
              </w:rPr>
              <w:t>)</w:t>
            </w:r>
          </w:p>
        </w:tc>
        <w:tc>
          <w:tcPr>
            <w:tcW w:w="5283" w:type="dxa"/>
          </w:tcPr>
          <w:p w14:paraId="7D8A4ADE" w14:textId="77777777" w:rsidR="00AF6702" w:rsidRPr="00702882" w:rsidRDefault="00AF6702" w:rsidP="004D3BED">
            <w:pPr>
              <w:rPr>
                <w:sz w:val="20"/>
                <w:szCs w:val="20"/>
              </w:rPr>
            </w:pPr>
            <w:r w:rsidRPr="00702882">
              <w:rPr>
                <w:sz w:val="20"/>
                <w:szCs w:val="20"/>
              </w:rPr>
              <w:t>If the amount in the BRF equals 10 % of the net General Fund appropriations, no further transfers shall be made to the BRF.</w:t>
            </w:r>
          </w:p>
          <w:p w14:paraId="3D6715D8" w14:textId="77777777" w:rsidR="00AF6702" w:rsidRPr="00702882" w:rsidRDefault="00AF6702" w:rsidP="004D3BED">
            <w:pPr>
              <w:rPr>
                <w:sz w:val="20"/>
                <w:szCs w:val="20"/>
              </w:rPr>
            </w:pPr>
          </w:p>
        </w:tc>
        <w:tc>
          <w:tcPr>
            <w:tcW w:w="2790" w:type="dxa"/>
          </w:tcPr>
          <w:p w14:paraId="36BDC83A" w14:textId="77777777" w:rsidR="00AF6702" w:rsidRPr="00702882" w:rsidRDefault="00AF6702" w:rsidP="004D3BED">
            <w:pPr>
              <w:tabs>
                <w:tab w:val="left" w:pos="468"/>
              </w:tabs>
              <w:rPr>
                <w:sz w:val="20"/>
                <w:szCs w:val="20"/>
              </w:rPr>
            </w:pPr>
            <w:r w:rsidRPr="00702882">
              <w:rPr>
                <w:sz w:val="20"/>
                <w:szCs w:val="20"/>
              </w:rPr>
              <w:t>2003 Ct. ALS 2, 2003 Ct. P.A. 2, 2003 Ct. HB 6495 (February 28, 2003).</w:t>
            </w:r>
          </w:p>
        </w:tc>
      </w:tr>
      <w:tr w:rsidR="00850754" w:rsidRPr="00702882" w14:paraId="1DABF021" w14:textId="77777777" w:rsidTr="00AE6820">
        <w:trPr>
          <w:jc w:val="center"/>
        </w:trPr>
        <w:tc>
          <w:tcPr>
            <w:tcW w:w="1615" w:type="dxa"/>
            <w:vMerge/>
          </w:tcPr>
          <w:p w14:paraId="708E2FD4" w14:textId="77777777" w:rsidR="00AF6702" w:rsidRPr="00702882" w:rsidRDefault="00AF6702" w:rsidP="004D3BED">
            <w:pPr>
              <w:rPr>
                <w:sz w:val="20"/>
                <w:szCs w:val="20"/>
              </w:rPr>
            </w:pPr>
          </w:p>
        </w:tc>
        <w:tc>
          <w:tcPr>
            <w:tcW w:w="630" w:type="dxa"/>
            <w:vMerge w:val="restart"/>
          </w:tcPr>
          <w:p w14:paraId="19CDC3EA" w14:textId="77777777" w:rsidR="00AF6702" w:rsidRPr="00702882" w:rsidRDefault="00AF6702" w:rsidP="004D3BED">
            <w:pPr>
              <w:rPr>
                <w:sz w:val="20"/>
                <w:szCs w:val="20"/>
              </w:rPr>
            </w:pPr>
            <w:r w:rsidRPr="00702882">
              <w:rPr>
                <w:sz w:val="20"/>
                <w:szCs w:val="20"/>
              </w:rPr>
              <w:t>2017</w:t>
            </w:r>
          </w:p>
        </w:tc>
        <w:tc>
          <w:tcPr>
            <w:tcW w:w="2520" w:type="dxa"/>
          </w:tcPr>
          <w:p w14:paraId="05E1B111" w14:textId="77777777" w:rsidR="00AF6702" w:rsidRPr="00702882" w:rsidRDefault="00AF6702" w:rsidP="004D3BED">
            <w:pPr>
              <w:rPr>
                <w:sz w:val="20"/>
                <w:szCs w:val="20"/>
              </w:rPr>
            </w:pPr>
            <w:r w:rsidRPr="00702882">
              <w:rPr>
                <w:sz w:val="20"/>
                <w:szCs w:val="20"/>
              </w:rPr>
              <w:t>Budget Reserve Fund (1978)</w:t>
            </w:r>
          </w:p>
        </w:tc>
        <w:tc>
          <w:tcPr>
            <w:tcW w:w="1467" w:type="dxa"/>
          </w:tcPr>
          <w:p w14:paraId="3E529079" w14:textId="77777777" w:rsidR="00AF6702" w:rsidRPr="00702882" w:rsidRDefault="00AF6702" w:rsidP="004D3BED">
            <w:pPr>
              <w:rPr>
                <w:sz w:val="20"/>
                <w:szCs w:val="20"/>
              </w:rPr>
            </w:pPr>
            <w:r w:rsidRPr="00702882">
              <w:rPr>
                <w:sz w:val="20"/>
                <w:szCs w:val="20"/>
              </w:rPr>
              <w:t xml:space="preserve">Cap </w:t>
            </w:r>
          </w:p>
          <w:p w14:paraId="007D4DC0"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15</w:t>
            </w:r>
            <w:r w:rsidRPr="00702882">
              <w:rPr>
                <w:sz w:val="20"/>
                <w:szCs w:val="20"/>
              </w:rPr>
              <w:t>)</w:t>
            </w:r>
          </w:p>
        </w:tc>
        <w:tc>
          <w:tcPr>
            <w:tcW w:w="5283" w:type="dxa"/>
          </w:tcPr>
          <w:p w14:paraId="621C5F6B" w14:textId="77777777" w:rsidR="00AF6702" w:rsidRPr="00702882" w:rsidRDefault="00AF6702" w:rsidP="004D3BED">
            <w:pPr>
              <w:rPr>
                <w:rFonts w:eastAsiaTheme="minorEastAsia"/>
                <w:sz w:val="20"/>
                <w:szCs w:val="20"/>
              </w:rPr>
            </w:pPr>
            <w:r w:rsidRPr="00702882">
              <w:rPr>
                <w:sz w:val="20"/>
                <w:szCs w:val="20"/>
              </w:rPr>
              <w:t>If the amount in the BRF equals 15 % of the net General Fund appropriations, no further transfers shall be made to the BRF.</w:t>
            </w:r>
          </w:p>
          <w:p w14:paraId="75856D33" w14:textId="77777777" w:rsidR="00AF6702" w:rsidRPr="00702882" w:rsidRDefault="00AF6702" w:rsidP="004D3BED">
            <w:pPr>
              <w:rPr>
                <w:rFonts w:eastAsiaTheme="minorEastAsia"/>
                <w:sz w:val="20"/>
                <w:szCs w:val="20"/>
              </w:rPr>
            </w:pPr>
          </w:p>
        </w:tc>
        <w:tc>
          <w:tcPr>
            <w:tcW w:w="2790" w:type="dxa"/>
          </w:tcPr>
          <w:p w14:paraId="1ABB4753" w14:textId="77777777" w:rsidR="00AF6702" w:rsidRPr="00702882" w:rsidRDefault="00AF6702" w:rsidP="004D3BED">
            <w:pPr>
              <w:rPr>
                <w:sz w:val="20"/>
                <w:szCs w:val="20"/>
              </w:rPr>
            </w:pPr>
            <w:r w:rsidRPr="00702882">
              <w:rPr>
                <w:sz w:val="20"/>
                <w:szCs w:val="20"/>
              </w:rPr>
              <w:t>2017 Ct. ALS 2, 2017 Ct. P.A. 2, 2017 Ct. SB 1502 (October 31, 2017).</w:t>
            </w:r>
          </w:p>
        </w:tc>
      </w:tr>
      <w:tr w:rsidR="00850754" w:rsidRPr="00702882" w14:paraId="20986ACD" w14:textId="77777777" w:rsidTr="00AE6820">
        <w:trPr>
          <w:jc w:val="center"/>
        </w:trPr>
        <w:tc>
          <w:tcPr>
            <w:tcW w:w="1615" w:type="dxa"/>
            <w:vMerge/>
          </w:tcPr>
          <w:p w14:paraId="6827E592" w14:textId="77777777" w:rsidR="00AF6702" w:rsidRPr="00702882" w:rsidRDefault="00AF6702" w:rsidP="004D3BED">
            <w:pPr>
              <w:rPr>
                <w:sz w:val="20"/>
                <w:szCs w:val="20"/>
              </w:rPr>
            </w:pPr>
          </w:p>
        </w:tc>
        <w:tc>
          <w:tcPr>
            <w:tcW w:w="630" w:type="dxa"/>
            <w:vMerge/>
          </w:tcPr>
          <w:p w14:paraId="5D9F0C19" w14:textId="77777777" w:rsidR="00AF6702" w:rsidRPr="00702882" w:rsidRDefault="00AF6702" w:rsidP="004D3BED">
            <w:pPr>
              <w:rPr>
                <w:sz w:val="20"/>
                <w:szCs w:val="20"/>
              </w:rPr>
            </w:pPr>
          </w:p>
        </w:tc>
        <w:tc>
          <w:tcPr>
            <w:tcW w:w="2520" w:type="dxa"/>
          </w:tcPr>
          <w:p w14:paraId="399FF0CD" w14:textId="77777777" w:rsidR="00AF6702" w:rsidRPr="00702882" w:rsidRDefault="00AF6702" w:rsidP="004D3BED">
            <w:pPr>
              <w:rPr>
                <w:sz w:val="20"/>
                <w:szCs w:val="20"/>
              </w:rPr>
            </w:pPr>
            <w:r w:rsidRPr="00702882">
              <w:rPr>
                <w:sz w:val="20"/>
                <w:szCs w:val="20"/>
              </w:rPr>
              <w:t>Budget Reserve Fund (1978)</w:t>
            </w:r>
          </w:p>
        </w:tc>
        <w:tc>
          <w:tcPr>
            <w:tcW w:w="1467" w:type="dxa"/>
          </w:tcPr>
          <w:p w14:paraId="47E5BA85" w14:textId="77777777" w:rsidR="00AF6702" w:rsidRPr="00702882" w:rsidRDefault="00AF6702" w:rsidP="004D3BED">
            <w:pPr>
              <w:rPr>
                <w:sz w:val="20"/>
                <w:szCs w:val="20"/>
              </w:rPr>
            </w:pPr>
            <w:r w:rsidRPr="00702882">
              <w:rPr>
                <w:sz w:val="20"/>
                <w:szCs w:val="20"/>
              </w:rPr>
              <w:t>Withdrawal tied to volatility</w:t>
            </w:r>
          </w:p>
          <w:p w14:paraId="5331562F" w14:textId="77777777" w:rsidR="00AF6702" w:rsidRPr="00702882" w:rsidRDefault="00AF6702" w:rsidP="004D3BED">
            <w:pPr>
              <w:rPr>
                <w:sz w:val="20"/>
                <w:szCs w:val="20"/>
              </w:rPr>
            </w:pPr>
            <w:r w:rsidRPr="00702882">
              <w:rPr>
                <w:sz w:val="20"/>
                <w:szCs w:val="20"/>
              </w:rPr>
              <w:t>(0 → 1)</w:t>
            </w:r>
          </w:p>
        </w:tc>
        <w:tc>
          <w:tcPr>
            <w:tcW w:w="5283" w:type="dxa"/>
          </w:tcPr>
          <w:p w14:paraId="26C4290F" w14:textId="77777777" w:rsidR="00AF6702" w:rsidRPr="00702882" w:rsidRDefault="00AF6702" w:rsidP="004D3BED">
            <w:pPr>
              <w:rPr>
                <w:sz w:val="20"/>
                <w:szCs w:val="20"/>
              </w:rPr>
            </w:pPr>
            <w:r w:rsidRPr="00702882">
              <w:rPr>
                <w:sz w:val="20"/>
                <w:szCs w:val="20"/>
              </w:rPr>
              <w:t>If any consensus revenue estimate projects a decline in the general fund revenues of 1 % or more, the BRF can be used.</w:t>
            </w:r>
          </w:p>
          <w:p w14:paraId="4E67F213" w14:textId="77777777" w:rsidR="00AF6702" w:rsidRPr="00702882" w:rsidRDefault="00AF6702" w:rsidP="004D3BED">
            <w:pPr>
              <w:rPr>
                <w:sz w:val="20"/>
                <w:szCs w:val="20"/>
              </w:rPr>
            </w:pPr>
          </w:p>
        </w:tc>
        <w:tc>
          <w:tcPr>
            <w:tcW w:w="2790" w:type="dxa"/>
          </w:tcPr>
          <w:p w14:paraId="04BEA3A4" w14:textId="77777777" w:rsidR="00AF6702" w:rsidRPr="00702882" w:rsidRDefault="00AF6702" w:rsidP="004D3BED">
            <w:pPr>
              <w:rPr>
                <w:sz w:val="20"/>
                <w:szCs w:val="20"/>
              </w:rPr>
            </w:pPr>
            <w:r w:rsidRPr="00702882">
              <w:rPr>
                <w:sz w:val="20"/>
                <w:szCs w:val="20"/>
              </w:rPr>
              <w:t>2017 Ct. ALS 2, 2017 Ct. P.A. 2, 2017 Ct. SB 1502 (October 31, 2017).</w:t>
            </w:r>
          </w:p>
        </w:tc>
      </w:tr>
      <w:tr w:rsidR="00850754" w:rsidRPr="00702882" w14:paraId="27E92930" w14:textId="77777777" w:rsidTr="00AE6820">
        <w:trPr>
          <w:jc w:val="center"/>
        </w:trPr>
        <w:tc>
          <w:tcPr>
            <w:tcW w:w="1615" w:type="dxa"/>
            <w:vMerge/>
          </w:tcPr>
          <w:p w14:paraId="1245F1FF" w14:textId="77777777" w:rsidR="00AF6702" w:rsidRPr="00702882" w:rsidRDefault="00AF6702" w:rsidP="004D3BED">
            <w:pPr>
              <w:rPr>
                <w:sz w:val="20"/>
                <w:szCs w:val="20"/>
              </w:rPr>
            </w:pPr>
          </w:p>
        </w:tc>
        <w:tc>
          <w:tcPr>
            <w:tcW w:w="630" w:type="dxa"/>
            <w:vMerge/>
          </w:tcPr>
          <w:p w14:paraId="20618DF8" w14:textId="77777777" w:rsidR="00AF6702" w:rsidRPr="00702882" w:rsidRDefault="00AF6702" w:rsidP="004D3BED">
            <w:pPr>
              <w:rPr>
                <w:sz w:val="20"/>
                <w:szCs w:val="20"/>
              </w:rPr>
            </w:pPr>
          </w:p>
        </w:tc>
        <w:tc>
          <w:tcPr>
            <w:tcW w:w="2520" w:type="dxa"/>
          </w:tcPr>
          <w:p w14:paraId="59901DC3" w14:textId="77777777" w:rsidR="00AF6702" w:rsidRPr="00702882" w:rsidRDefault="00AF6702" w:rsidP="004D3BED">
            <w:pPr>
              <w:rPr>
                <w:sz w:val="20"/>
                <w:szCs w:val="20"/>
              </w:rPr>
            </w:pPr>
            <w:r w:rsidRPr="00702882">
              <w:rPr>
                <w:sz w:val="20"/>
                <w:szCs w:val="20"/>
              </w:rPr>
              <w:t>Budget Reserve Fund (1978)</w:t>
            </w:r>
          </w:p>
        </w:tc>
        <w:tc>
          <w:tcPr>
            <w:tcW w:w="1467" w:type="dxa"/>
          </w:tcPr>
          <w:p w14:paraId="08D2A44D" w14:textId="77777777" w:rsidR="00AF6702" w:rsidRPr="00702882" w:rsidRDefault="00AF6702" w:rsidP="004D3BED">
            <w:pPr>
              <w:rPr>
                <w:sz w:val="20"/>
                <w:szCs w:val="20"/>
              </w:rPr>
            </w:pPr>
            <w:r w:rsidRPr="00702882">
              <w:rPr>
                <w:sz w:val="20"/>
                <w:szCs w:val="20"/>
              </w:rPr>
              <w:t xml:space="preserve">Deposit tied to volatility </w:t>
            </w:r>
          </w:p>
          <w:p w14:paraId="13F5C503" w14:textId="77777777" w:rsidR="00AF6702" w:rsidRPr="00702882" w:rsidRDefault="00AF6702" w:rsidP="004D3BED">
            <w:pPr>
              <w:rPr>
                <w:sz w:val="20"/>
                <w:szCs w:val="20"/>
              </w:rPr>
            </w:pPr>
            <w:r w:rsidRPr="00702882">
              <w:rPr>
                <w:sz w:val="20"/>
                <w:szCs w:val="20"/>
              </w:rPr>
              <w:t>(0 → 1)</w:t>
            </w:r>
          </w:p>
        </w:tc>
        <w:tc>
          <w:tcPr>
            <w:tcW w:w="5283" w:type="dxa"/>
          </w:tcPr>
          <w:p w14:paraId="5693CFEB" w14:textId="77777777" w:rsidR="00AF6702" w:rsidRPr="00702882" w:rsidRDefault="00AF6702" w:rsidP="004D3BED">
            <w:pPr>
              <w:rPr>
                <w:sz w:val="20"/>
                <w:szCs w:val="20"/>
              </w:rPr>
            </w:pPr>
            <w:r w:rsidRPr="00702882">
              <w:rPr>
                <w:sz w:val="20"/>
                <w:szCs w:val="20"/>
              </w:rPr>
              <w:t>Revenue in excess of $3.15 billion from personal income tax will be deposited in BRF. The threshold amount shall be adjusted annually by the compound annual growth rate of personal income in the state over the preceding five years.</w:t>
            </w:r>
          </w:p>
        </w:tc>
        <w:tc>
          <w:tcPr>
            <w:tcW w:w="2790" w:type="dxa"/>
          </w:tcPr>
          <w:p w14:paraId="7F9C3D50" w14:textId="77777777" w:rsidR="00AF6702" w:rsidRPr="00702882" w:rsidRDefault="00AF6702" w:rsidP="004D3BED">
            <w:pPr>
              <w:rPr>
                <w:sz w:val="20"/>
                <w:szCs w:val="20"/>
              </w:rPr>
            </w:pPr>
            <w:r w:rsidRPr="00702882">
              <w:rPr>
                <w:sz w:val="20"/>
                <w:szCs w:val="20"/>
              </w:rPr>
              <w:t>2018 Ct. ALS 81, 2018 Ct. P.A. 81, 2018 Ct. SB 543 (May 15, 2018).</w:t>
            </w:r>
          </w:p>
        </w:tc>
      </w:tr>
      <w:tr w:rsidR="00850754" w:rsidRPr="00702882" w14:paraId="588A8D31" w14:textId="77777777" w:rsidTr="00AE6820">
        <w:trPr>
          <w:jc w:val="center"/>
        </w:trPr>
        <w:tc>
          <w:tcPr>
            <w:tcW w:w="1615" w:type="dxa"/>
            <w:vMerge w:val="restart"/>
          </w:tcPr>
          <w:p w14:paraId="36DDEB7B" w14:textId="77777777" w:rsidR="00AF6702" w:rsidRPr="00702882" w:rsidRDefault="00AF6702" w:rsidP="004D3BED">
            <w:pPr>
              <w:rPr>
                <w:sz w:val="20"/>
                <w:szCs w:val="20"/>
              </w:rPr>
            </w:pPr>
            <w:r w:rsidRPr="00702882">
              <w:rPr>
                <w:sz w:val="20"/>
                <w:szCs w:val="20"/>
              </w:rPr>
              <w:t>Georgia</w:t>
            </w:r>
          </w:p>
          <w:p w14:paraId="7A9FADBD" w14:textId="77777777" w:rsidR="00AF6702" w:rsidRPr="00702882" w:rsidRDefault="00AF6702" w:rsidP="004D3BED">
            <w:pPr>
              <w:rPr>
                <w:sz w:val="20"/>
                <w:szCs w:val="20"/>
              </w:rPr>
            </w:pPr>
          </w:p>
        </w:tc>
        <w:tc>
          <w:tcPr>
            <w:tcW w:w="630" w:type="dxa"/>
            <w:vMerge w:val="restart"/>
          </w:tcPr>
          <w:p w14:paraId="5AD9269E" w14:textId="77777777" w:rsidR="00AF6702" w:rsidRPr="00702882" w:rsidRDefault="00AF6702" w:rsidP="004D3BED">
            <w:pPr>
              <w:rPr>
                <w:sz w:val="20"/>
                <w:szCs w:val="20"/>
              </w:rPr>
            </w:pPr>
            <w:r w:rsidRPr="00702882">
              <w:rPr>
                <w:sz w:val="20"/>
                <w:szCs w:val="20"/>
              </w:rPr>
              <w:t>2005</w:t>
            </w:r>
          </w:p>
          <w:p w14:paraId="57AB5815" w14:textId="77777777" w:rsidR="00AF6702" w:rsidRPr="00702882" w:rsidRDefault="00AF6702" w:rsidP="004D3BED">
            <w:pPr>
              <w:rPr>
                <w:sz w:val="20"/>
                <w:szCs w:val="20"/>
              </w:rPr>
            </w:pPr>
          </w:p>
          <w:p w14:paraId="635F11EA" w14:textId="77777777" w:rsidR="00AF6702" w:rsidRPr="00702882" w:rsidRDefault="00AF6702" w:rsidP="004D3BED">
            <w:pPr>
              <w:rPr>
                <w:sz w:val="20"/>
                <w:szCs w:val="20"/>
              </w:rPr>
            </w:pPr>
          </w:p>
          <w:p w14:paraId="513F3A9D" w14:textId="77777777" w:rsidR="00AF6702" w:rsidRPr="00702882" w:rsidRDefault="00AF6702" w:rsidP="004D3BED">
            <w:pPr>
              <w:rPr>
                <w:sz w:val="20"/>
                <w:szCs w:val="20"/>
              </w:rPr>
            </w:pPr>
          </w:p>
          <w:p w14:paraId="01B87580" w14:textId="77777777" w:rsidR="00AF6702" w:rsidRPr="00702882" w:rsidRDefault="00AF6702" w:rsidP="004D3BED">
            <w:pPr>
              <w:rPr>
                <w:sz w:val="20"/>
                <w:szCs w:val="20"/>
              </w:rPr>
            </w:pPr>
          </w:p>
          <w:p w14:paraId="1C806886" w14:textId="77777777" w:rsidR="00AF6702" w:rsidRPr="00702882" w:rsidRDefault="00AF6702" w:rsidP="004D3BED">
            <w:pPr>
              <w:rPr>
                <w:sz w:val="20"/>
                <w:szCs w:val="20"/>
              </w:rPr>
            </w:pPr>
          </w:p>
          <w:p w14:paraId="053698EE" w14:textId="77777777" w:rsidR="00AF6702" w:rsidRPr="00702882" w:rsidRDefault="00AF6702" w:rsidP="004D3BED">
            <w:pPr>
              <w:rPr>
                <w:sz w:val="20"/>
                <w:szCs w:val="20"/>
              </w:rPr>
            </w:pPr>
          </w:p>
          <w:p w14:paraId="1A958814" w14:textId="77777777" w:rsidR="00AF6702" w:rsidRPr="00702882" w:rsidRDefault="00AF6702" w:rsidP="004D3BED">
            <w:pPr>
              <w:rPr>
                <w:sz w:val="20"/>
                <w:szCs w:val="20"/>
              </w:rPr>
            </w:pPr>
          </w:p>
          <w:p w14:paraId="759221C8" w14:textId="77777777" w:rsidR="00AF6702" w:rsidRPr="00702882" w:rsidRDefault="00AF6702" w:rsidP="004D3BED">
            <w:pPr>
              <w:rPr>
                <w:sz w:val="20"/>
                <w:szCs w:val="20"/>
              </w:rPr>
            </w:pPr>
          </w:p>
          <w:p w14:paraId="0226F08B" w14:textId="77777777" w:rsidR="00AF6702" w:rsidRPr="00702882" w:rsidRDefault="00AF6702" w:rsidP="004D3BED">
            <w:pPr>
              <w:rPr>
                <w:sz w:val="20"/>
                <w:szCs w:val="20"/>
              </w:rPr>
            </w:pPr>
          </w:p>
        </w:tc>
        <w:tc>
          <w:tcPr>
            <w:tcW w:w="2520" w:type="dxa"/>
          </w:tcPr>
          <w:p w14:paraId="2AE6B3C7" w14:textId="77777777" w:rsidR="00AF6702" w:rsidRPr="00702882" w:rsidRDefault="00AF6702" w:rsidP="004D3BED">
            <w:pPr>
              <w:rPr>
                <w:sz w:val="20"/>
                <w:szCs w:val="20"/>
              </w:rPr>
            </w:pPr>
            <w:r w:rsidRPr="00702882">
              <w:rPr>
                <w:sz w:val="20"/>
                <w:szCs w:val="20"/>
              </w:rPr>
              <w:t>Revenue Shortfall Reserve (1976)</w:t>
            </w:r>
          </w:p>
        </w:tc>
        <w:tc>
          <w:tcPr>
            <w:tcW w:w="1467" w:type="dxa"/>
          </w:tcPr>
          <w:p w14:paraId="6F8BA45F" w14:textId="77777777" w:rsidR="00AF6702" w:rsidRPr="00702882" w:rsidRDefault="00AF6702" w:rsidP="004D3BED">
            <w:pPr>
              <w:rPr>
                <w:sz w:val="20"/>
                <w:szCs w:val="20"/>
              </w:rPr>
            </w:pPr>
            <w:r w:rsidRPr="00702882">
              <w:rPr>
                <w:sz w:val="20"/>
                <w:szCs w:val="20"/>
              </w:rPr>
              <w:t xml:space="preserve">Deposit by surplus </w:t>
            </w:r>
          </w:p>
          <w:p w14:paraId="5B2DC181"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0</w:t>
            </w:r>
            <w:r w:rsidRPr="00702882">
              <w:rPr>
                <w:sz w:val="20"/>
                <w:szCs w:val="20"/>
              </w:rPr>
              <w:t xml:space="preserve"> → </w:t>
            </w:r>
            <w:r w:rsidRPr="00702882">
              <w:rPr>
                <w:rFonts w:eastAsiaTheme="minorEastAsia"/>
                <w:sz w:val="20"/>
                <w:szCs w:val="20"/>
              </w:rPr>
              <w:t>1</w:t>
            </w:r>
            <w:r w:rsidRPr="00702882">
              <w:rPr>
                <w:sz w:val="20"/>
                <w:szCs w:val="20"/>
              </w:rPr>
              <w:t>)</w:t>
            </w:r>
          </w:p>
          <w:p w14:paraId="05654869" w14:textId="77777777" w:rsidR="00AF6702" w:rsidRPr="00702882" w:rsidRDefault="00AF6702" w:rsidP="004D3BED">
            <w:pPr>
              <w:rPr>
                <w:sz w:val="20"/>
                <w:szCs w:val="20"/>
              </w:rPr>
            </w:pPr>
          </w:p>
        </w:tc>
        <w:tc>
          <w:tcPr>
            <w:tcW w:w="5283" w:type="dxa"/>
          </w:tcPr>
          <w:p w14:paraId="19978FC1" w14:textId="77777777" w:rsidR="00AF6702" w:rsidRPr="00702882" w:rsidRDefault="00AF6702" w:rsidP="004D3BED">
            <w:pPr>
              <w:rPr>
                <w:sz w:val="20"/>
                <w:szCs w:val="20"/>
              </w:rPr>
            </w:pPr>
            <w:r w:rsidRPr="00702882">
              <w:rPr>
                <w:sz w:val="20"/>
                <w:szCs w:val="20"/>
              </w:rPr>
              <w:t xml:space="preserve">The amount of all surplus in state funds existing as of the end of each fiscal year shall be added to the Revenue Shortfall Reserve. </w:t>
            </w:r>
          </w:p>
        </w:tc>
        <w:tc>
          <w:tcPr>
            <w:tcW w:w="2790" w:type="dxa"/>
          </w:tcPr>
          <w:p w14:paraId="6672AE03" w14:textId="77777777" w:rsidR="00AF6702" w:rsidRPr="00702882" w:rsidRDefault="00AF6702" w:rsidP="004D3BED">
            <w:pPr>
              <w:rPr>
                <w:sz w:val="20"/>
                <w:szCs w:val="20"/>
              </w:rPr>
            </w:pPr>
            <w:r w:rsidRPr="00702882">
              <w:rPr>
                <w:sz w:val="20"/>
                <w:szCs w:val="20"/>
              </w:rPr>
              <w:t>2005 Ga. ALS 322, 2005 Ga. Act 322, 2005 Ga. HB 509 (May 9, 2005).</w:t>
            </w:r>
          </w:p>
        </w:tc>
      </w:tr>
      <w:tr w:rsidR="00850754" w:rsidRPr="00702882" w14:paraId="7C9A4A72" w14:textId="77777777" w:rsidTr="00AE6820">
        <w:trPr>
          <w:jc w:val="center"/>
        </w:trPr>
        <w:tc>
          <w:tcPr>
            <w:tcW w:w="1615" w:type="dxa"/>
            <w:vMerge/>
          </w:tcPr>
          <w:p w14:paraId="5657846A" w14:textId="77777777" w:rsidR="00AF6702" w:rsidRPr="00702882" w:rsidRDefault="00AF6702" w:rsidP="004D3BED">
            <w:pPr>
              <w:rPr>
                <w:sz w:val="20"/>
                <w:szCs w:val="20"/>
              </w:rPr>
            </w:pPr>
          </w:p>
        </w:tc>
        <w:tc>
          <w:tcPr>
            <w:tcW w:w="630" w:type="dxa"/>
            <w:vMerge/>
          </w:tcPr>
          <w:p w14:paraId="767FBAC2" w14:textId="77777777" w:rsidR="00AF6702" w:rsidRPr="00702882" w:rsidRDefault="00AF6702" w:rsidP="004D3BED">
            <w:pPr>
              <w:rPr>
                <w:sz w:val="20"/>
                <w:szCs w:val="20"/>
              </w:rPr>
            </w:pPr>
          </w:p>
        </w:tc>
        <w:tc>
          <w:tcPr>
            <w:tcW w:w="2520" w:type="dxa"/>
          </w:tcPr>
          <w:p w14:paraId="1D2CA608" w14:textId="77777777" w:rsidR="00AF6702" w:rsidRPr="00702882" w:rsidRDefault="00AF6702" w:rsidP="004D3BED">
            <w:pPr>
              <w:rPr>
                <w:sz w:val="20"/>
                <w:szCs w:val="20"/>
              </w:rPr>
            </w:pPr>
            <w:r w:rsidRPr="00702882">
              <w:rPr>
                <w:sz w:val="20"/>
                <w:szCs w:val="20"/>
              </w:rPr>
              <w:t>Revenue Shortfall Reserve (1976)</w:t>
            </w:r>
          </w:p>
        </w:tc>
        <w:tc>
          <w:tcPr>
            <w:tcW w:w="1467" w:type="dxa"/>
          </w:tcPr>
          <w:p w14:paraId="54EA36A1" w14:textId="77777777" w:rsidR="00AF6702" w:rsidRPr="00702882" w:rsidRDefault="00AF6702" w:rsidP="004D3BED">
            <w:pPr>
              <w:rPr>
                <w:sz w:val="20"/>
                <w:szCs w:val="20"/>
              </w:rPr>
            </w:pPr>
            <w:r w:rsidRPr="00702882">
              <w:rPr>
                <w:sz w:val="20"/>
                <w:szCs w:val="20"/>
              </w:rPr>
              <w:t xml:space="preserve">Cap </w:t>
            </w:r>
          </w:p>
          <w:p w14:paraId="383EA165"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10</w:t>
            </w:r>
            <w:r w:rsidRPr="00702882">
              <w:rPr>
                <w:sz w:val="20"/>
                <w:szCs w:val="20"/>
              </w:rPr>
              <w:t>)</w:t>
            </w:r>
          </w:p>
          <w:p w14:paraId="55C2708A" w14:textId="77777777" w:rsidR="00AF6702" w:rsidRPr="00702882" w:rsidRDefault="00AF6702" w:rsidP="004D3BED">
            <w:pPr>
              <w:rPr>
                <w:rFonts w:eastAsiaTheme="minorEastAsia"/>
                <w:sz w:val="20"/>
                <w:szCs w:val="20"/>
              </w:rPr>
            </w:pPr>
          </w:p>
          <w:p w14:paraId="1F643799" w14:textId="77777777" w:rsidR="00AF6702" w:rsidRPr="00702882" w:rsidRDefault="00AF6702" w:rsidP="004D3BED">
            <w:pPr>
              <w:rPr>
                <w:rFonts w:eastAsiaTheme="minorEastAsia"/>
                <w:sz w:val="20"/>
                <w:szCs w:val="20"/>
              </w:rPr>
            </w:pPr>
          </w:p>
        </w:tc>
        <w:tc>
          <w:tcPr>
            <w:tcW w:w="5283" w:type="dxa"/>
          </w:tcPr>
          <w:p w14:paraId="62B5BDC6" w14:textId="77777777" w:rsidR="00AF6702" w:rsidRPr="00702882" w:rsidRDefault="00AF6702" w:rsidP="004D3BED">
            <w:pPr>
              <w:tabs>
                <w:tab w:val="left" w:pos="391"/>
              </w:tabs>
              <w:rPr>
                <w:sz w:val="20"/>
                <w:szCs w:val="20"/>
              </w:rPr>
            </w:pPr>
            <w:r w:rsidRPr="00702882">
              <w:rPr>
                <w:sz w:val="20"/>
                <w:szCs w:val="20"/>
              </w:rPr>
              <w:t xml:space="preserve">The Revenue Shortfall Reserve shall not exceed 10 % of the previous fiscal year’s net revenue for any given fiscal year. </w:t>
            </w:r>
          </w:p>
        </w:tc>
        <w:tc>
          <w:tcPr>
            <w:tcW w:w="2790" w:type="dxa"/>
          </w:tcPr>
          <w:p w14:paraId="713E42EC" w14:textId="77777777" w:rsidR="00AF6702" w:rsidRPr="00702882" w:rsidRDefault="00AF6702" w:rsidP="004D3BED">
            <w:pPr>
              <w:tabs>
                <w:tab w:val="left" w:pos="391"/>
              </w:tabs>
              <w:rPr>
                <w:sz w:val="20"/>
                <w:szCs w:val="20"/>
              </w:rPr>
            </w:pPr>
            <w:r w:rsidRPr="00702882">
              <w:rPr>
                <w:sz w:val="20"/>
                <w:szCs w:val="20"/>
              </w:rPr>
              <w:t>2005 Ga. ALS 322, 2005 Ga. Act 322, 2005 Ga. HB 509 (May 9, 2005).</w:t>
            </w:r>
          </w:p>
        </w:tc>
      </w:tr>
      <w:tr w:rsidR="00850754" w:rsidRPr="00702882" w14:paraId="4C916BFB" w14:textId="77777777" w:rsidTr="00AE6820">
        <w:trPr>
          <w:jc w:val="center"/>
        </w:trPr>
        <w:tc>
          <w:tcPr>
            <w:tcW w:w="1615" w:type="dxa"/>
            <w:vMerge/>
          </w:tcPr>
          <w:p w14:paraId="4626FB36" w14:textId="77777777" w:rsidR="00AF6702" w:rsidRPr="00702882" w:rsidRDefault="00AF6702" w:rsidP="004D3BED">
            <w:pPr>
              <w:rPr>
                <w:sz w:val="20"/>
                <w:szCs w:val="20"/>
              </w:rPr>
            </w:pPr>
          </w:p>
        </w:tc>
        <w:tc>
          <w:tcPr>
            <w:tcW w:w="630" w:type="dxa"/>
            <w:vMerge/>
          </w:tcPr>
          <w:p w14:paraId="608033F0" w14:textId="77777777" w:rsidR="00AF6702" w:rsidRPr="00702882" w:rsidRDefault="00AF6702" w:rsidP="004D3BED">
            <w:pPr>
              <w:rPr>
                <w:sz w:val="20"/>
                <w:szCs w:val="20"/>
              </w:rPr>
            </w:pPr>
          </w:p>
        </w:tc>
        <w:tc>
          <w:tcPr>
            <w:tcW w:w="2520" w:type="dxa"/>
          </w:tcPr>
          <w:p w14:paraId="3155588D" w14:textId="77777777" w:rsidR="00AF6702" w:rsidRPr="00702882" w:rsidRDefault="00AF6702" w:rsidP="004D3BED">
            <w:pPr>
              <w:rPr>
                <w:sz w:val="20"/>
                <w:szCs w:val="20"/>
              </w:rPr>
            </w:pPr>
            <w:r w:rsidRPr="00702882">
              <w:rPr>
                <w:sz w:val="20"/>
                <w:szCs w:val="20"/>
              </w:rPr>
              <w:t>Revenue Shortfall Reserve (1976)</w:t>
            </w:r>
          </w:p>
        </w:tc>
        <w:tc>
          <w:tcPr>
            <w:tcW w:w="1467" w:type="dxa"/>
          </w:tcPr>
          <w:p w14:paraId="3232F550" w14:textId="77777777" w:rsidR="00AF6702" w:rsidRPr="00702882" w:rsidRDefault="00AF6702" w:rsidP="004D3BED">
            <w:pPr>
              <w:rPr>
                <w:sz w:val="20"/>
                <w:szCs w:val="20"/>
              </w:rPr>
            </w:pPr>
            <w:r w:rsidRPr="00702882">
              <w:rPr>
                <w:sz w:val="20"/>
                <w:szCs w:val="20"/>
              </w:rPr>
              <w:t>Withdrawal by budget shortfall</w:t>
            </w:r>
          </w:p>
          <w:p w14:paraId="67F9BA9A" w14:textId="77777777" w:rsidR="00AF6702" w:rsidRPr="00702882" w:rsidRDefault="00AF6702" w:rsidP="004D3BED">
            <w:pPr>
              <w:rPr>
                <w:sz w:val="20"/>
                <w:szCs w:val="20"/>
              </w:rPr>
            </w:pPr>
            <w:r w:rsidRPr="00702882">
              <w:rPr>
                <w:sz w:val="20"/>
                <w:szCs w:val="20"/>
              </w:rPr>
              <w:t>(0 → 1)</w:t>
            </w:r>
          </w:p>
        </w:tc>
        <w:tc>
          <w:tcPr>
            <w:tcW w:w="5283" w:type="dxa"/>
          </w:tcPr>
          <w:p w14:paraId="72789D27" w14:textId="77777777" w:rsidR="00AF6702" w:rsidRPr="00702882" w:rsidRDefault="00AF6702" w:rsidP="004D3BED">
            <w:pPr>
              <w:rPr>
                <w:sz w:val="20"/>
                <w:szCs w:val="20"/>
              </w:rPr>
            </w:pPr>
            <w:r w:rsidRPr="00702882">
              <w:rPr>
                <w:sz w:val="20"/>
                <w:szCs w:val="20"/>
              </w:rPr>
              <w:t xml:space="preserve">An amount shall be transferred from the Reserve to the General Fund to cover deficits in total expenditures by which total expenditures and contractual obligations of state funds authorized by appropriation exceed net revenue in state funds. </w:t>
            </w:r>
          </w:p>
        </w:tc>
        <w:tc>
          <w:tcPr>
            <w:tcW w:w="2790" w:type="dxa"/>
          </w:tcPr>
          <w:p w14:paraId="1831E100" w14:textId="77777777" w:rsidR="00AF6702" w:rsidRPr="00702882" w:rsidRDefault="00AF6702" w:rsidP="004D3BED">
            <w:pPr>
              <w:rPr>
                <w:sz w:val="20"/>
                <w:szCs w:val="20"/>
              </w:rPr>
            </w:pPr>
            <w:r w:rsidRPr="00702882">
              <w:rPr>
                <w:sz w:val="20"/>
                <w:szCs w:val="20"/>
              </w:rPr>
              <w:t>2005 Ga. ALS 322, 2005 Ga. Act 322, 2005 Ga. HB 509 (May 9, 2005).</w:t>
            </w:r>
          </w:p>
        </w:tc>
      </w:tr>
      <w:tr w:rsidR="00850754" w:rsidRPr="00702882" w14:paraId="69EFDB90" w14:textId="77777777" w:rsidTr="00AE6820">
        <w:trPr>
          <w:jc w:val="center"/>
        </w:trPr>
        <w:tc>
          <w:tcPr>
            <w:tcW w:w="1615" w:type="dxa"/>
            <w:vMerge/>
          </w:tcPr>
          <w:p w14:paraId="01E851C1" w14:textId="77777777" w:rsidR="00AF6702" w:rsidRPr="00702882" w:rsidRDefault="00AF6702" w:rsidP="004D3BED">
            <w:pPr>
              <w:rPr>
                <w:sz w:val="20"/>
                <w:szCs w:val="20"/>
              </w:rPr>
            </w:pPr>
          </w:p>
        </w:tc>
        <w:tc>
          <w:tcPr>
            <w:tcW w:w="630" w:type="dxa"/>
            <w:vMerge/>
          </w:tcPr>
          <w:p w14:paraId="48951D39" w14:textId="77777777" w:rsidR="00AF6702" w:rsidRPr="00702882" w:rsidRDefault="00AF6702" w:rsidP="004D3BED">
            <w:pPr>
              <w:rPr>
                <w:sz w:val="20"/>
                <w:szCs w:val="20"/>
              </w:rPr>
            </w:pPr>
          </w:p>
        </w:tc>
        <w:tc>
          <w:tcPr>
            <w:tcW w:w="2520" w:type="dxa"/>
          </w:tcPr>
          <w:p w14:paraId="1B8EF1D2" w14:textId="77777777" w:rsidR="00AF6702" w:rsidRPr="00702882" w:rsidRDefault="00AF6702" w:rsidP="004D3BED">
            <w:pPr>
              <w:rPr>
                <w:sz w:val="20"/>
                <w:szCs w:val="20"/>
              </w:rPr>
            </w:pPr>
            <w:r w:rsidRPr="00702882">
              <w:rPr>
                <w:sz w:val="20"/>
                <w:szCs w:val="20"/>
              </w:rPr>
              <w:t>Revenue Shortfall Reserve (1976)</w:t>
            </w:r>
          </w:p>
        </w:tc>
        <w:tc>
          <w:tcPr>
            <w:tcW w:w="1467" w:type="dxa"/>
          </w:tcPr>
          <w:p w14:paraId="55DFD529" w14:textId="77777777" w:rsidR="00AF6702" w:rsidRPr="00702882" w:rsidRDefault="00AF6702" w:rsidP="004D3BED">
            <w:pPr>
              <w:rPr>
                <w:sz w:val="20"/>
                <w:szCs w:val="20"/>
              </w:rPr>
            </w:pPr>
            <w:r w:rsidRPr="00702882">
              <w:rPr>
                <w:sz w:val="20"/>
                <w:szCs w:val="20"/>
              </w:rPr>
              <w:t>Other use</w:t>
            </w:r>
            <w:r w:rsidRPr="00702882">
              <w:rPr>
                <w:rStyle w:val="a5"/>
                <w:sz w:val="20"/>
                <w:szCs w:val="20"/>
              </w:rPr>
              <w:footnoteReference w:id="127"/>
            </w:r>
          </w:p>
          <w:p w14:paraId="070177DD" w14:textId="62E89E91" w:rsidR="00AF6702" w:rsidRPr="00702882" w:rsidRDefault="00AF6702" w:rsidP="004D3BED">
            <w:pPr>
              <w:rPr>
                <w:rFonts w:eastAsiaTheme="minorEastAsia"/>
                <w:sz w:val="20"/>
                <w:szCs w:val="20"/>
              </w:rPr>
            </w:pPr>
          </w:p>
        </w:tc>
        <w:tc>
          <w:tcPr>
            <w:tcW w:w="5283" w:type="dxa"/>
          </w:tcPr>
          <w:p w14:paraId="5E601753" w14:textId="77777777" w:rsidR="00AF6702" w:rsidRPr="00702882" w:rsidRDefault="00AF6702" w:rsidP="004D3BED">
            <w:pPr>
              <w:rPr>
                <w:sz w:val="20"/>
                <w:szCs w:val="20"/>
              </w:rPr>
            </w:pPr>
            <w:r w:rsidRPr="00702882">
              <w:rPr>
                <w:sz w:val="20"/>
                <w:szCs w:val="20"/>
              </w:rPr>
              <w:t>For each existing fiscal year, the General Assembly may appropriate from the Revenue Shortfall Reserve an amount up to 1 percent of the net revenue collections of the preceding fiscal year for funding increased K-12 needs.</w:t>
            </w:r>
          </w:p>
        </w:tc>
        <w:tc>
          <w:tcPr>
            <w:tcW w:w="2790" w:type="dxa"/>
          </w:tcPr>
          <w:p w14:paraId="276BB447" w14:textId="77777777" w:rsidR="00AF6702" w:rsidRPr="00702882" w:rsidRDefault="00AF6702" w:rsidP="004D3BED">
            <w:pPr>
              <w:rPr>
                <w:sz w:val="20"/>
                <w:szCs w:val="20"/>
              </w:rPr>
            </w:pPr>
            <w:r w:rsidRPr="00702882">
              <w:rPr>
                <w:sz w:val="20"/>
                <w:szCs w:val="20"/>
              </w:rPr>
              <w:t>2005 Ga. ALS 322, 2005 Ga. Act 322, 2005 Ga. HB 509 (May 9, 2005)</w:t>
            </w:r>
          </w:p>
        </w:tc>
      </w:tr>
      <w:tr w:rsidR="00850754" w:rsidRPr="00702882" w14:paraId="4E35A5AF" w14:textId="77777777" w:rsidTr="00AE6820">
        <w:trPr>
          <w:jc w:val="center"/>
        </w:trPr>
        <w:tc>
          <w:tcPr>
            <w:tcW w:w="1615" w:type="dxa"/>
            <w:vMerge/>
          </w:tcPr>
          <w:p w14:paraId="31C70000" w14:textId="77777777" w:rsidR="00AF6702" w:rsidRPr="00702882" w:rsidRDefault="00AF6702" w:rsidP="004D3BED">
            <w:pPr>
              <w:rPr>
                <w:sz w:val="20"/>
                <w:szCs w:val="20"/>
              </w:rPr>
            </w:pPr>
          </w:p>
        </w:tc>
        <w:tc>
          <w:tcPr>
            <w:tcW w:w="630" w:type="dxa"/>
          </w:tcPr>
          <w:p w14:paraId="3A57CDED" w14:textId="77777777" w:rsidR="00AF6702" w:rsidRPr="00702882" w:rsidRDefault="00AF6702" w:rsidP="004D3BED">
            <w:pPr>
              <w:rPr>
                <w:sz w:val="20"/>
                <w:szCs w:val="20"/>
              </w:rPr>
            </w:pPr>
            <w:r w:rsidRPr="00702882">
              <w:rPr>
                <w:sz w:val="20"/>
                <w:szCs w:val="20"/>
              </w:rPr>
              <w:t>2010</w:t>
            </w:r>
          </w:p>
        </w:tc>
        <w:tc>
          <w:tcPr>
            <w:tcW w:w="2520" w:type="dxa"/>
          </w:tcPr>
          <w:p w14:paraId="5583D357" w14:textId="77777777" w:rsidR="00AF6702" w:rsidRPr="00702882" w:rsidRDefault="00AF6702" w:rsidP="004D3BED">
            <w:pPr>
              <w:rPr>
                <w:rFonts w:eastAsiaTheme="minorEastAsia"/>
                <w:sz w:val="20"/>
                <w:szCs w:val="20"/>
              </w:rPr>
            </w:pPr>
            <w:r w:rsidRPr="00702882">
              <w:rPr>
                <w:sz w:val="20"/>
                <w:szCs w:val="20"/>
              </w:rPr>
              <w:t>Revenue Shortfall Reserve (1976)</w:t>
            </w:r>
          </w:p>
        </w:tc>
        <w:tc>
          <w:tcPr>
            <w:tcW w:w="1467" w:type="dxa"/>
          </w:tcPr>
          <w:p w14:paraId="3D4F8D11" w14:textId="77777777" w:rsidR="00AF6702" w:rsidRPr="00702882" w:rsidRDefault="00AF6702" w:rsidP="004D3BED">
            <w:pPr>
              <w:rPr>
                <w:sz w:val="20"/>
                <w:szCs w:val="20"/>
              </w:rPr>
            </w:pPr>
            <w:r w:rsidRPr="00702882">
              <w:rPr>
                <w:sz w:val="20"/>
                <w:szCs w:val="20"/>
              </w:rPr>
              <w:t xml:space="preserve">Cap </w:t>
            </w:r>
          </w:p>
          <w:p w14:paraId="2FE3A490"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15</w:t>
            </w:r>
            <w:r w:rsidRPr="00702882">
              <w:rPr>
                <w:sz w:val="20"/>
                <w:szCs w:val="20"/>
              </w:rPr>
              <w:t>)</w:t>
            </w:r>
          </w:p>
        </w:tc>
        <w:tc>
          <w:tcPr>
            <w:tcW w:w="5283" w:type="dxa"/>
          </w:tcPr>
          <w:p w14:paraId="4B2CE48E" w14:textId="77777777" w:rsidR="00AF6702" w:rsidRPr="00702882" w:rsidRDefault="00AF6702" w:rsidP="004D3BED">
            <w:pPr>
              <w:rPr>
                <w:rFonts w:eastAsiaTheme="minorEastAsia"/>
                <w:sz w:val="20"/>
                <w:szCs w:val="20"/>
              </w:rPr>
            </w:pPr>
            <w:r w:rsidRPr="00702882">
              <w:rPr>
                <w:sz w:val="20"/>
                <w:szCs w:val="20"/>
              </w:rPr>
              <w:t>The Revenue Shortfall Reserve shall not exceed 15 % of the previous fiscal year’s net revenue for any given fiscal year.</w:t>
            </w:r>
          </w:p>
        </w:tc>
        <w:tc>
          <w:tcPr>
            <w:tcW w:w="2790" w:type="dxa"/>
          </w:tcPr>
          <w:p w14:paraId="1448F6ED" w14:textId="77777777" w:rsidR="00AF6702" w:rsidRPr="00702882" w:rsidRDefault="00AF6702" w:rsidP="004D3BED">
            <w:pPr>
              <w:tabs>
                <w:tab w:val="left" w:pos="216"/>
              </w:tabs>
              <w:rPr>
                <w:sz w:val="20"/>
                <w:szCs w:val="20"/>
              </w:rPr>
            </w:pPr>
            <w:r w:rsidRPr="00702882">
              <w:rPr>
                <w:sz w:val="20"/>
                <w:szCs w:val="20"/>
              </w:rPr>
              <w:t>2010 Ga. ALS 387, 2010 Ga. Laws 387, 2010 Ga. Act 387 (May 20, 2010)</w:t>
            </w:r>
          </w:p>
        </w:tc>
      </w:tr>
      <w:tr w:rsidR="00850754" w:rsidRPr="00702882" w14:paraId="23415FAB" w14:textId="77777777" w:rsidTr="00AE6820">
        <w:trPr>
          <w:jc w:val="center"/>
        </w:trPr>
        <w:tc>
          <w:tcPr>
            <w:tcW w:w="1615" w:type="dxa"/>
            <w:vMerge w:val="restart"/>
          </w:tcPr>
          <w:p w14:paraId="7B21FE44" w14:textId="77777777" w:rsidR="00AF6702" w:rsidRPr="00702882" w:rsidRDefault="00AF6702" w:rsidP="004D3BED">
            <w:pPr>
              <w:rPr>
                <w:sz w:val="20"/>
                <w:szCs w:val="20"/>
              </w:rPr>
            </w:pPr>
            <w:r w:rsidRPr="00702882">
              <w:rPr>
                <w:sz w:val="20"/>
                <w:szCs w:val="20"/>
              </w:rPr>
              <w:t>Hawaii</w:t>
            </w:r>
          </w:p>
        </w:tc>
        <w:tc>
          <w:tcPr>
            <w:tcW w:w="630" w:type="dxa"/>
            <w:vMerge w:val="restart"/>
          </w:tcPr>
          <w:p w14:paraId="622472C8" w14:textId="77777777" w:rsidR="00AF6702" w:rsidRPr="00702882" w:rsidRDefault="00AF6702" w:rsidP="004D3BED">
            <w:pPr>
              <w:rPr>
                <w:sz w:val="20"/>
                <w:szCs w:val="20"/>
              </w:rPr>
            </w:pPr>
            <w:r w:rsidRPr="00702882">
              <w:rPr>
                <w:sz w:val="20"/>
                <w:szCs w:val="20"/>
              </w:rPr>
              <w:t>2010</w:t>
            </w:r>
          </w:p>
        </w:tc>
        <w:tc>
          <w:tcPr>
            <w:tcW w:w="2520" w:type="dxa"/>
          </w:tcPr>
          <w:p w14:paraId="2B545B11" w14:textId="77777777" w:rsidR="00AF6702" w:rsidRPr="00702882" w:rsidRDefault="00AF6702" w:rsidP="004D3BED">
            <w:pPr>
              <w:rPr>
                <w:sz w:val="20"/>
                <w:szCs w:val="20"/>
              </w:rPr>
            </w:pPr>
            <w:r w:rsidRPr="00702882">
              <w:rPr>
                <w:sz w:val="20"/>
                <w:szCs w:val="20"/>
              </w:rPr>
              <w:t>Emergency and budget reserve fund (1999)</w:t>
            </w:r>
          </w:p>
        </w:tc>
        <w:tc>
          <w:tcPr>
            <w:tcW w:w="1467" w:type="dxa"/>
          </w:tcPr>
          <w:p w14:paraId="5E36710B" w14:textId="77777777" w:rsidR="00AF6702" w:rsidRPr="00702882" w:rsidRDefault="00AF6702" w:rsidP="004D3BED">
            <w:pPr>
              <w:rPr>
                <w:sz w:val="20"/>
                <w:szCs w:val="20"/>
              </w:rPr>
            </w:pPr>
            <w:r w:rsidRPr="00702882">
              <w:rPr>
                <w:sz w:val="20"/>
                <w:szCs w:val="20"/>
              </w:rPr>
              <w:t xml:space="preserve">Deposit by surplus </w:t>
            </w:r>
          </w:p>
          <w:p w14:paraId="699B92FA" w14:textId="77777777" w:rsidR="00AF6702" w:rsidRPr="00702882" w:rsidRDefault="00AF6702" w:rsidP="004D3BED">
            <w:pPr>
              <w:rPr>
                <w:sz w:val="20"/>
                <w:szCs w:val="20"/>
              </w:rPr>
            </w:pPr>
            <w:r w:rsidRPr="00702882">
              <w:rPr>
                <w:sz w:val="20"/>
                <w:szCs w:val="20"/>
              </w:rPr>
              <w:t xml:space="preserve">(0 → </w:t>
            </w:r>
            <w:r w:rsidRPr="00702882">
              <w:rPr>
                <w:rFonts w:eastAsiaTheme="minorEastAsia"/>
                <w:sz w:val="20"/>
                <w:szCs w:val="20"/>
              </w:rPr>
              <w:t>0.05</w:t>
            </w:r>
            <w:r w:rsidRPr="00702882">
              <w:rPr>
                <w:sz w:val="20"/>
                <w:szCs w:val="20"/>
              </w:rPr>
              <w:t>)</w:t>
            </w:r>
          </w:p>
        </w:tc>
        <w:tc>
          <w:tcPr>
            <w:tcW w:w="5283" w:type="dxa"/>
          </w:tcPr>
          <w:p w14:paraId="106274D0" w14:textId="77777777" w:rsidR="00AF6702" w:rsidRPr="00702882" w:rsidRDefault="00AF6702" w:rsidP="004D3BED">
            <w:pPr>
              <w:rPr>
                <w:sz w:val="20"/>
                <w:szCs w:val="20"/>
              </w:rPr>
            </w:pPr>
            <w:r w:rsidRPr="00702882">
              <w:rPr>
                <w:sz w:val="20"/>
                <w:szCs w:val="20"/>
              </w:rPr>
              <w:t>General Fund Balance at the close of the fiscal year exceeding by 5 % of revenues shall be transferred to the Emergency and Budget Reserve Fund (BRF).</w:t>
            </w:r>
          </w:p>
          <w:p w14:paraId="2C2809EF" w14:textId="77777777" w:rsidR="00AF6702" w:rsidRPr="00702882" w:rsidRDefault="00AF6702" w:rsidP="004D3BED">
            <w:pPr>
              <w:rPr>
                <w:sz w:val="20"/>
                <w:szCs w:val="20"/>
              </w:rPr>
            </w:pPr>
          </w:p>
        </w:tc>
        <w:tc>
          <w:tcPr>
            <w:tcW w:w="2790" w:type="dxa"/>
          </w:tcPr>
          <w:p w14:paraId="1711DC69" w14:textId="77777777" w:rsidR="00AF6702" w:rsidRPr="00702882" w:rsidRDefault="00AF6702" w:rsidP="004D3BED">
            <w:pPr>
              <w:tabs>
                <w:tab w:val="left" w:pos="216"/>
              </w:tabs>
              <w:rPr>
                <w:sz w:val="20"/>
                <w:szCs w:val="20"/>
              </w:rPr>
            </w:pPr>
            <w:r w:rsidRPr="00702882">
              <w:rPr>
                <w:sz w:val="20"/>
                <w:szCs w:val="20"/>
              </w:rPr>
              <w:t>2010 Hi. ALS 138, 2010 Hi. Act 138, 2009 Hi. SB 2806 (May 25, 2010)</w:t>
            </w:r>
          </w:p>
        </w:tc>
      </w:tr>
      <w:tr w:rsidR="00850754" w:rsidRPr="00702882" w14:paraId="50F38AB0" w14:textId="77777777" w:rsidTr="00AE6820">
        <w:trPr>
          <w:jc w:val="center"/>
        </w:trPr>
        <w:tc>
          <w:tcPr>
            <w:tcW w:w="1615" w:type="dxa"/>
            <w:vMerge/>
          </w:tcPr>
          <w:p w14:paraId="1DFFED74" w14:textId="77777777" w:rsidR="00AF6702" w:rsidRPr="00702882" w:rsidRDefault="00AF6702" w:rsidP="004D3BED">
            <w:pPr>
              <w:rPr>
                <w:sz w:val="20"/>
                <w:szCs w:val="20"/>
              </w:rPr>
            </w:pPr>
          </w:p>
        </w:tc>
        <w:tc>
          <w:tcPr>
            <w:tcW w:w="630" w:type="dxa"/>
            <w:vMerge/>
          </w:tcPr>
          <w:p w14:paraId="7E4535CE" w14:textId="77777777" w:rsidR="00AF6702" w:rsidRPr="00702882" w:rsidRDefault="00AF6702" w:rsidP="004D3BED">
            <w:pPr>
              <w:rPr>
                <w:sz w:val="20"/>
                <w:szCs w:val="20"/>
              </w:rPr>
            </w:pPr>
          </w:p>
        </w:tc>
        <w:tc>
          <w:tcPr>
            <w:tcW w:w="2520" w:type="dxa"/>
          </w:tcPr>
          <w:p w14:paraId="402E28A8" w14:textId="77777777" w:rsidR="00AF6702" w:rsidRPr="00702882" w:rsidRDefault="00AF6702" w:rsidP="004D3BED">
            <w:pPr>
              <w:rPr>
                <w:sz w:val="20"/>
                <w:szCs w:val="20"/>
              </w:rPr>
            </w:pPr>
            <w:r w:rsidRPr="00702882">
              <w:rPr>
                <w:sz w:val="20"/>
                <w:szCs w:val="20"/>
              </w:rPr>
              <w:t>Emergency and budget reserve fund (1999)</w:t>
            </w:r>
          </w:p>
        </w:tc>
        <w:tc>
          <w:tcPr>
            <w:tcW w:w="1467" w:type="dxa"/>
          </w:tcPr>
          <w:p w14:paraId="45DA8295" w14:textId="77777777" w:rsidR="00AF6702" w:rsidRPr="00702882" w:rsidRDefault="00AF6702" w:rsidP="004D3BED">
            <w:pPr>
              <w:rPr>
                <w:sz w:val="20"/>
                <w:szCs w:val="20"/>
              </w:rPr>
            </w:pPr>
            <w:r w:rsidRPr="00702882">
              <w:rPr>
                <w:sz w:val="20"/>
                <w:szCs w:val="20"/>
              </w:rPr>
              <w:t xml:space="preserve">Cap </w:t>
            </w:r>
          </w:p>
          <w:p w14:paraId="6AD067E4"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10</w:t>
            </w:r>
            <w:r w:rsidRPr="00702882">
              <w:rPr>
                <w:sz w:val="20"/>
                <w:szCs w:val="20"/>
              </w:rPr>
              <w:t>)</w:t>
            </w:r>
          </w:p>
        </w:tc>
        <w:tc>
          <w:tcPr>
            <w:tcW w:w="5283" w:type="dxa"/>
          </w:tcPr>
          <w:p w14:paraId="582E86E5" w14:textId="77777777" w:rsidR="00AF6702" w:rsidRPr="00702882" w:rsidRDefault="00AF6702" w:rsidP="004D3BED">
            <w:pPr>
              <w:rPr>
                <w:sz w:val="20"/>
                <w:szCs w:val="20"/>
              </w:rPr>
            </w:pPr>
            <w:r w:rsidRPr="00702882">
              <w:rPr>
                <w:sz w:val="20"/>
                <w:szCs w:val="20"/>
              </w:rPr>
              <w:t>Transfers shall not be made to the Emergency and Budget Reserve Fund if the balance of the Fund is equal to or more than 10 % of General Fund revenues.</w:t>
            </w:r>
          </w:p>
          <w:p w14:paraId="0BF9DCC8" w14:textId="77777777" w:rsidR="00AF6702" w:rsidRPr="00702882" w:rsidRDefault="00AF6702" w:rsidP="004D3BED">
            <w:pPr>
              <w:rPr>
                <w:sz w:val="20"/>
                <w:szCs w:val="20"/>
              </w:rPr>
            </w:pPr>
          </w:p>
        </w:tc>
        <w:tc>
          <w:tcPr>
            <w:tcW w:w="2790" w:type="dxa"/>
          </w:tcPr>
          <w:p w14:paraId="0B97931E" w14:textId="77777777" w:rsidR="00AF6702" w:rsidRPr="00702882" w:rsidRDefault="00AF6702" w:rsidP="004D3BED">
            <w:pPr>
              <w:tabs>
                <w:tab w:val="left" w:pos="216"/>
              </w:tabs>
              <w:rPr>
                <w:sz w:val="20"/>
                <w:szCs w:val="20"/>
              </w:rPr>
            </w:pPr>
            <w:r w:rsidRPr="00702882">
              <w:rPr>
                <w:sz w:val="20"/>
                <w:szCs w:val="20"/>
              </w:rPr>
              <w:t>2010 Hi. ALS 138, 2010 Hi. Act 138, 2009 Hi. SB 2806 (May 25, 2010)</w:t>
            </w:r>
          </w:p>
        </w:tc>
      </w:tr>
      <w:tr w:rsidR="00850754" w:rsidRPr="00702882" w14:paraId="2F59C1CC" w14:textId="77777777" w:rsidTr="00AE6820">
        <w:trPr>
          <w:jc w:val="center"/>
        </w:trPr>
        <w:tc>
          <w:tcPr>
            <w:tcW w:w="1615" w:type="dxa"/>
            <w:vMerge/>
          </w:tcPr>
          <w:p w14:paraId="2A1C62E5" w14:textId="77777777" w:rsidR="00AF6702" w:rsidRPr="00702882" w:rsidRDefault="00AF6702" w:rsidP="004D3BED">
            <w:pPr>
              <w:rPr>
                <w:sz w:val="20"/>
                <w:szCs w:val="20"/>
              </w:rPr>
            </w:pPr>
          </w:p>
        </w:tc>
        <w:tc>
          <w:tcPr>
            <w:tcW w:w="630" w:type="dxa"/>
          </w:tcPr>
          <w:p w14:paraId="1E0AC6AE" w14:textId="77777777" w:rsidR="00AF6702" w:rsidRPr="00702882" w:rsidRDefault="00AF6702" w:rsidP="004D3BED">
            <w:pPr>
              <w:rPr>
                <w:sz w:val="20"/>
                <w:szCs w:val="20"/>
              </w:rPr>
            </w:pPr>
            <w:r w:rsidRPr="00702882">
              <w:rPr>
                <w:sz w:val="20"/>
                <w:szCs w:val="20"/>
              </w:rPr>
              <w:t>2017</w:t>
            </w:r>
          </w:p>
        </w:tc>
        <w:tc>
          <w:tcPr>
            <w:tcW w:w="2520" w:type="dxa"/>
          </w:tcPr>
          <w:p w14:paraId="1E74D2BC" w14:textId="77777777" w:rsidR="00AF6702" w:rsidRPr="00702882" w:rsidRDefault="00AF6702" w:rsidP="004D3BED">
            <w:pPr>
              <w:rPr>
                <w:sz w:val="20"/>
                <w:szCs w:val="20"/>
              </w:rPr>
            </w:pPr>
            <w:r w:rsidRPr="00702882">
              <w:rPr>
                <w:sz w:val="20"/>
                <w:szCs w:val="20"/>
              </w:rPr>
              <w:t>Emergency and budget reserve fund (1999)</w:t>
            </w:r>
          </w:p>
        </w:tc>
        <w:tc>
          <w:tcPr>
            <w:tcW w:w="1467" w:type="dxa"/>
          </w:tcPr>
          <w:p w14:paraId="02C541C1" w14:textId="77777777" w:rsidR="00AF6702" w:rsidRPr="00702882" w:rsidRDefault="00AF6702" w:rsidP="004D3BED">
            <w:pPr>
              <w:rPr>
                <w:sz w:val="20"/>
                <w:szCs w:val="20"/>
              </w:rPr>
            </w:pPr>
            <w:r w:rsidRPr="00702882">
              <w:rPr>
                <w:sz w:val="20"/>
                <w:szCs w:val="20"/>
              </w:rPr>
              <w:t xml:space="preserve">Withdrawal limit </w:t>
            </w:r>
          </w:p>
          <w:p w14:paraId="64783937" w14:textId="77777777" w:rsidR="00AF6702" w:rsidRPr="00702882" w:rsidRDefault="00AF6702" w:rsidP="004D3BED">
            <w:pPr>
              <w:rPr>
                <w:sz w:val="20"/>
                <w:szCs w:val="20"/>
              </w:rPr>
            </w:pPr>
            <w:r w:rsidRPr="00702882">
              <w:rPr>
                <w:sz w:val="20"/>
                <w:szCs w:val="20"/>
              </w:rPr>
              <w:t>(0 → 1)</w:t>
            </w:r>
          </w:p>
        </w:tc>
        <w:tc>
          <w:tcPr>
            <w:tcW w:w="5283" w:type="dxa"/>
          </w:tcPr>
          <w:p w14:paraId="7337E459" w14:textId="77777777" w:rsidR="00AF6702" w:rsidRPr="00702882" w:rsidRDefault="00AF6702" w:rsidP="004D3BED">
            <w:pPr>
              <w:rPr>
                <w:sz w:val="20"/>
                <w:szCs w:val="20"/>
              </w:rPr>
            </w:pPr>
            <w:r w:rsidRPr="00702882">
              <w:rPr>
                <w:sz w:val="20"/>
                <w:szCs w:val="20"/>
              </w:rPr>
              <w:t>The legislature shall not appropriate from the Reserve Fund: (1) more than 50 % of the balance in a single fiscal year; (2) to expend for discretionary costs in a fiscal year, an amount that exceeds 10 % of the total fiscal year; and (3) for a succeeding fiscal year, unless the current fiscal year’s tax collection is less than the collection for the previous year.</w:t>
            </w:r>
          </w:p>
        </w:tc>
        <w:tc>
          <w:tcPr>
            <w:tcW w:w="2790" w:type="dxa"/>
          </w:tcPr>
          <w:p w14:paraId="4240145B" w14:textId="77777777" w:rsidR="00AF6702" w:rsidRPr="00702882" w:rsidRDefault="00AF6702" w:rsidP="004D3BED">
            <w:pPr>
              <w:tabs>
                <w:tab w:val="left" w:pos="216"/>
              </w:tabs>
              <w:rPr>
                <w:sz w:val="20"/>
                <w:szCs w:val="20"/>
              </w:rPr>
            </w:pPr>
            <w:r w:rsidRPr="00702882">
              <w:rPr>
                <w:sz w:val="20"/>
                <w:szCs w:val="20"/>
              </w:rPr>
              <w:t>2017 Hi. ALS 207, 2017 Hi. Act 207, 2017 Hi. HB 471 (July 12, 2017)</w:t>
            </w:r>
          </w:p>
        </w:tc>
      </w:tr>
      <w:tr w:rsidR="00850754" w:rsidRPr="00702882" w14:paraId="25CB8001" w14:textId="77777777" w:rsidTr="00AE6820">
        <w:trPr>
          <w:jc w:val="center"/>
        </w:trPr>
        <w:tc>
          <w:tcPr>
            <w:tcW w:w="1615" w:type="dxa"/>
            <w:vMerge w:val="restart"/>
          </w:tcPr>
          <w:p w14:paraId="216C87AD" w14:textId="77777777" w:rsidR="00AF6702" w:rsidRPr="00702882" w:rsidRDefault="00AF6702" w:rsidP="004D3BED">
            <w:pPr>
              <w:rPr>
                <w:rFonts w:eastAsiaTheme="minorEastAsia"/>
                <w:sz w:val="20"/>
                <w:szCs w:val="20"/>
              </w:rPr>
            </w:pPr>
            <w:r w:rsidRPr="00702882">
              <w:rPr>
                <w:rFonts w:eastAsiaTheme="minorEastAsia"/>
                <w:sz w:val="20"/>
                <w:szCs w:val="20"/>
              </w:rPr>
              <w:t>Idaho</w:t>
            </w:r>
          </w:p>
        </w:tc>
        <w:tc>
          <w:tcPr>
            <w:tcW w:w="630" w:type="dxa"/>
            <w:vMerge w:val="restart"/>
          </w:tcPr>
          <w:p w14:paraId="5B9DC625" w14:textId="77777777" w:rsidR="00AF6702" w:rsidRPr="00702882" w:rsidRDefault="00AF6702" w:rsidP="004D3BED">
            <w:pPr>
              <w:rPr>
                <w:sz w:val="20"/>
                <w:szCs w:val="20"/>
              </w:rPr>
            </w:pPr>
            <w:r w:rsidRPr="00702882">
              <w:rPr>
                <w:sz w:val="20"/>
                <w:szCs w:val="20"/>
              </w:rPr>
              <w:t>2015</w:t>
            </w:r>
          </w:p>
          <w:p w14:paraId="4EC77286" w14:textId="77777777" w:rsidR="00AF6702" w:rsidRPr="00702882" w:rsidRDefault="00AF6702" w:rsidP="004D3BED">
            <w:pPr>
              <w:rPr>
                <w:sz w:val="20"/>
                <w:szCs w:val="20"/>
              </w:rPr>
            </w:pPr>
          </w:p>
          <w:p w14:paraId="54816CE6" w14:textId="77777777" w:rsidR="00AF6702" w:rsidRPr="00702882" w:rsidRDefault="00AF6702" w:rsidP="004D3BED">
            <w:pPr>
              <w:rPr>
                <w:sz w:val="20"/>
                <w:szCs w:val="20"/>
              </w:rPr>
            </w:pPr>
          </w:p>
          <w:p w14:paraId="043B94D1" w14:textId="77777777" w:rsidR="00AF6702" w:rsidRPr="00702882" w:rsidRDefault="00AF6702" w:rsidP="004D3BED">
            <w:pPr>
              <w:rPr>
                <w:sz w:val="20"/>
                <w:szCs w:val="20"/>
              </w:rPr>
            </w:pPr>
          </w:p>
          <w:p w14:paraId="7CC8C08E" w14:textId="77777777" w:rsidR="00AF6702" w:rsidRPr="00702882" w:rsidRDefault="00AF6702" w:rsidP="004D3BED">
            <w:pPr>
              <w:rPr>
                <w:sz w:val="20"/>
                <w:szCs w:val="20"/>
              </w:rPr>
            </w:pPr>
          </w:p>
        </w:tc>
        <w:tc>
          <w:tcPr>
            <w:tcW w:w="2520" w:type="dxa"/>
          </w:tcPr>
          <w:p w14:paraId="3C90155A" w14:textId="77777777" w:rsidR="00AF6702" w:rsidRPr="00702882" w:rsidRDefault="00AF6702" w:rsidP="004D3BED">
            <w:pPr>
              <w:rPr>
                <w:sz w:val="20"/>
                <w:szCs w:val="20"/>
              </w:rPr>
            </w:pPr>
            <w:r w:rsidRPr="00702882">
              <w:rPr>
                <w:sz w:val="20"/>
                <w:szCs w:val="20"/>
              </w:rPr>
              <w:t>Budget stabilization fund (1984)</w:t>
            </w:r>
          </w:p>
        </w:tc>
        <w:tc>
          <w:tcPr>
            <w:tcW w:w="1467" w:type="dxa"/>
          </w:tcPr>
          <w:p w14:paraId="7E8FEAA5" w14:textId="77777777" w:rsidR="00AF6702" w:rsidRPr="00702882" w:rsidRDefault="00AF6702" w:rsidP="004D3BED">
            <w:pPr>
              <w:rPr>
                <w:sz w:val="20"/>
                <w:szCs w:val="20"/>
              </w:rPr>
            </w:pPr>
            <w:r w:rsidRPr="00702882">
              <w:rPr>
                <w:sz w:val="20"/>
                <w:szCs w:val="20"/>
              </w:rPr>
              <w:t xml:space="preserve">Deposit by surplus </w:t>
            </w:r>
          </w:p>
          <w:p w14:paraId="7229AAAF"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0.166</w:t>
            </w:r>
            <w:r w:rsidRPr="00702882">
              <w:rPr>
                <w:sz w:val="20"/>
                <w:szCs w:val="20"/>
              </w:rPr>
              <w:t xml:space="preserve"> → </w:t>
            </w:r>
            <w:r w:rsidRPr="00702882">
              <w:rPr>
                <w:rFonts w:eastAsiaTheme="minorEastAsia"/>
                <w:sz w:val="20"/>
                <w:szCs w:val="20"/>
              </w:rPr>
              <w:t>0.5</w:t>
            </w:r>
            <w:r w:rsidRPr="00702882">
              <w:rPr>
                <w:sz w:val="20"/>
                <w:szCs w:val="20"/>
              </w:rPr>
              <w:t>)</w:t>
            </w:r>
          </w:p>
        </w:tc>
        <w:tc>
          <w:tcPr>
            <w:tcW w:w="5283" w:type="dxa"/>
          </w:tcPr>
          <w:p w14:paraId="4385E765" w14:textId="77777777" w:rsidR="00AF6702" w:rsidRPr="00702882" w:rsidRDefault="00AF6702" w:rsidP="004D3BED">
            <w:pPr>
              <w:rPr>
                <w:sz w:val="20"/>
                <w:szCs w:val="20"/>
              </w:rPr>
            </w:pPr>
            <w:r w:rsidRPr="00702882">
              <w:rPr>
                <w:sz w:val="20"/>
                <w:szCs w:val="20"/>
              </w:rPr>
              <w:t>The state controller shall transfer 50 % of any excess cash balance from the general fund to the budget stabilization fund.</w:t>
            </w:r>
          </w:p>
          <w:p w14:paraId="030AF638" w14:textId="77777777" w:rsidR="00AF6702" w:rsidRPr="00702882" w:rsidRDefault="00AF6702" w:rsidP="004D3BED">
            <w:pPr>
              <w:rPr>
                <w:rFonts w:eastAsiaTheme="minorEastAsia"/>
                <w:sz w:val="20"/>
                <w:szCs w:val="20"/>
              </w:rPr>
            </w:pPr>
          </w:p>
          <w:p w14:paraId="569484BB" w14:textId="77777777" w:rsidR="00AF6702" w:rsidRPr="00702882" w:rsidRDefault="00AF6702" w:rsidP="004D3BED">
            <w:pPr>
              <w:rPr>
                <w:rFonts w:eastAsiaTheme="minorEastAsia"/>
                <w:sz w:val="20"/>
                <w:szCs w:val="20"/>
              </w:rPr>
            </w:pPr>
          </w:p>
        </w:tc>
        <w:tc>
          <w:tcPr>
            <w:tcW w:w="2790" w:type="dxa"/>
          </w:tcPr>
          <w:p w14:paraId="1AB4D13B" w14:textId="77777777" w:rsidR="00AF6702" w:rsidRPr="00702882" w:rsidRDefault="00AF6702" w:rsidP="004D3BED">
            <w:pPr>
              <w:tabs>
                <w:tab w:val="left" w:pos="216"/>
              </w:tabs>
              <w:rPr>
                <w:sz w:val="20"/>
                <w:szCs w:val="20"/>
              </w:rPr>
            </w:pPr>
            <w:r w:rsidRPr="00702882">
              <w:rPr>
                <w:sz w:val="20"/>
                <w:szCs w:val="20"/>
              </w:rPr>
              <w:t>ALS 341, 2015 Idaho Sess. Laws 341, 2015 Ida. Ch. 341, 2015 Ida. HB 312 (April 21, 2015)</w:t>
            </w:r>
          </w:p>
        </w:tc>
      </w:tr>
      <w:tr w:rsidR="00850754" w:rsidRPr="00702882" w14:paraId="6A36E213" w14:textId="77777777" w:rsidTr="00AE6820">
        <w:trPr>
          <w:jc w:val="center"/>
        </w:trPr>
        <w:tc>
          <w:tcPr>
            <w:tcW w:w="1615" w:type="dxa"/>
            <w:vMerge/>
          </w:tcPr>
          <w:p w14:paraId="0AFA695A" w14:textId="77777777" w:rsidR="00AF6702" w:rsidRPr="00702882" w:rsidRDefault="00AF6702" w:rsidP="004D3BED">
            <w:pPr>
              <w:rPr>
                <w:sz w:val="20"/>
                <w:szCs w:val="20"/>
              </w:rPr>
            </w:pPr>
          </w:p>
        </w:tc>
        <w:tc>
          <w:tcPr>
            <w:tcW w:w="630" w:type="dxa"/>
            <w:vMerge/>
          </w:tcPr>
          <w:p w14:paraId="43A86402" w14:textId="77777777" w:rsidR="00AF6702" w:rsidRPr="00702882" w:rsidRDefault="00AF6702" w:rsidP="004D3BED">
            <w:pPr>
              <w:rPr>
                <w:sz w:val="20"/>
                <w:szCs w:val="20"/>
              </w:rPr>
            </w:pPr>
          </w:p>
        </w:tc>
        <w:tc>
          <w:tcPr>
            <w:tcW w:w="2520" w:type="dxa"/>
          </w:tcPr>
          <w:p w14:paraId="2E11710D" w14:textId="77777777" w:rsidR="00AF6702" w:rsidRPr="00702882" w:rsidRDefault="00AF6702" w:rsidP="004D3BED">
            <w:pPr>
              <w:rPr>
                <w:sz w:val="20"/>
                <w:szCs w:val="20"/>
              </w:rPr>
            </w:pPr>
            <w:r w:rsidRPr="00702882">
              <w:rPr>
                <w:sz w:val="20"/>
                <w:szCs w:val="20"/>
              </w:rPr>
              <w:t>Budget stabilization fund</w:t>
            </w:r>
          </w:p>
          <w:p w14:paraId="6E2ACEC5" w14:textId="77777777" w:rsidR="00AF6702" w:rsidRPr="00702882" w:rsidRDefault="00AF6702" w:rsidP="004D3BED">
            <w:pPr>
              <w:rPr>
                <w:sz w:val="20"/>
                <w:szCs w:val="20"/>
              </w:rPr>
            </w:pPr>
            <w:r w:rsidRPr="00702882">
              <w:rPr>
                <w:sz w:val="20"/>
                <w:szCs w:val="20"/>
              </w:rPr>
              <w:t>(1984)</w:t>
            </w:r>
          </w:p>
        </w:tc>
        <w:tc>
          <w:tcPr>
            <w:tcW w:w="1467" w:type="dxa"/>
          </w:tcPr>
          <w:p w14:paraId="7B4B4D9B" w14:textId="77777777" w:rsidR="00AF6702" w:rsidRPr="00702882" w:rsidRDefault="00AF6702" w:rsidP="004D3BED">
            <w:pPr>
              <w:rPr>
                <w:sz w:val="20"/>
                <w:szCs w:val="20"/>
              </w:rPr>
            </w:pPr>
            <w:r w:rsidRPr="00702882">
              <w:rPr>
                <w:sz w:val="20"/>
                <w:szCs w:val="20"/>
              </w:rPr>
              <w:t xml:space="preserve">Cap </w:t>
            </w:r>
          </w:p>
          <w:p w14:paraId="12ED1ED5"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10</w:t>
            </w:r>
            <w:r w:rsidRPr="00702882">
              <w:rPr>
                <w:sz w:val="20"/>
                <w:szCs w:val="20"/>
              </w:rPr>
              <w:t>)</w:t>
            </w:r>
          </w:p>
          <w:p w14:paraId="2DC49E08" w14:textId="77777777" w:rsidR="00AF6702" w:rsidRPr="00702882" w:rsidRDefault="00AF6702" w:rsidP="004D3BED">
            <w:pPr>
              <w:rPr>
                <w:sz w:val="20"/>
                <w:szCs w:val="20"/>
              </w:rPr>
            </w:pPr>
          </w:p>
        </w:tc>
        <w:tc>
          <w:tcPr>
            <w:tcW w:w="5283" w:type="dxa"/>
          </w:tcPr>
          <w:p w14:paraId="6AEF6BC6" w14:textId="77777777" w:rsidR="00AF6702" w:rsidRPr="00702882" w:rsidRDefault="00AF6702" w:rsidP="004D3BED">
            <w:pPr>
              <w:rPr>
                <w:sz w:val="20"/>
                <w:szCs w:val="20"/>
              </w:rPr>
            </w:pPr>
            <w:r w:rsidRPr="00702882">
              <w:rPr>
                <w:sz w:val="20"/>
                <w:szCs w:val="20"/>
              </w:rPr>
              <w:t>The amount of moneys in the BSF shall not exceed 10 % of the total general fund receipts for the fiscal year just ending.</w:t>
            </w:r>
          </w:p>
          <w:p w14:paraId="7E068715" w14:textId="77777777" w:rsidR="00AF6702" w:rsidRPr="00702882" w:rsidRDefault="00AF6702" w:rsidP="004D3BED">
            <w:pPr>
              <w:rPr>
                <w:rFonts w:eastAsiaTheme="minorEastAsia"/>
                <w:sz w:val="20"/>
                <w:szCs w:val="20"/>
              </w:rPr>
            </w:pPr>
          </w:p>
          <w:p w14:paraId="5B793015" w14:textId="77777777" w:rsidR="00AF6702" w:rsidRPr="00702882" w:rsidRDefault="00AF6702" w:rsidP="004D3BED">
            <w:pPr>
              <w:rPr>
                <w:rFonts w:eastAsiaTheme="minorEastAsia"/>
                <w:sz w:val="20"/>
                <w:szCs w:val="20"/>
              </w:rPr>
            </w:pPr>
          </w:p>
        </w:tc>
        <w:tc>
          <w:tcPr>
            <w:tcW w:w="2790" w:type="dxa"/>
          </w:tcPr>
          <w:p w14:paraId="53366E6B" w14:textId="77777777" w:rsidR="00AF6702" w:rsidRPr="00702882" w:rsidRDefault="00AF6702" w:rsidP="004D3BED">
            <w:pPr>
              <w:tabs>
                <w:tab w:val="left" w:pos="216"/>
              </w:tabs>
              <w:rPr>
                <w:sz w:val="20"/>
                <w:szCs w:val="20"/>
              </w:rPr>
            </w:pPr>
            <w:r w:rsidRPr="00702882">
              <w:rPr>
                <w:sz w:val="20"/>
                <w:szCs w:val="20"/>
              </w:rPr>
              <w:t>ALS 341, 2015 Idaho Sess. Laws 341, 2015 Ida. Ch. 341, 2015 Ida. HB 312 (April 21, 2015)</w:t>
            </w:r>
          </w:p>
        </w:tc>
      </w:tr>
      <w:tr w:rsidR="00850754" w:rsidRPr="00702882" w14:paraId="1F527082" w14:textId="77777777" w:rsidTr="00AE6820">
        <w:trPr>
          <w:jc w:val="center"/>
        </w:trPr>
        <w:tc>
          <w:tcPr>
            <w:tcW w:w="1615" w:type="dxa"/>
            <w:vMerge/>
          </w:tcPr>
          <w:p w14:paraId="568BDF9F" w14:textId="77777777" w:rsidR="00AF6702" w:rsidRPr="00702882" w:rsidRDefault="00AF6702" w:rsidP="004D3BED">
            <w:pPr>
              <w:rPr>
                <w:sz w:val="20"/>
                <w:szCs w:val="20"/>
              </w:rPr>
            </w:pPr>
          </w:p>
        </w:tc>
        <w:tc>
          <w:tcPr>
            <w:tcW w:w="630" w:type="dxa"/>
          </w:tcPr>
          <w:p w14:paraId="4F0EC61B" w14:textId="77777777" w:rsidR="00AF6702" w:rsidRPr="00702882" w:rsidRDefault="00AF6702" w:rsidP="004D3BED">
            <w:pPr>
              <w:rPr>
                <w:sz w:val="20"/>
                <w:szCs w:val="20"/>
              </w:rPr>
            </w:pPr>
            <w:r w:rsidRPr="00702882">
              <w:rPr>
                <w:sz w:val="20"/>
                <w:szCs w:val="20"/>
              </w:rPr>
              <w:t>2021</w:t>
            </w:r>
          </w:p>
        </w:tc>
        <w:tc>
          <w:tcPr>
            <w:tcW w:w="2520" w:type="dxa"/>
          </w:tcPr>
          <w:p w14:paraId="04D2D081" w14:textId="77777777" w:rsidR="00AF6702" w:rsidRPr="00702882" w:rsidRDefault="00AF6702" w:rsidP="004D3BED">
            <w:pPr>
              <w:rPr>
                <w:sz w:val="20"/>
                <w:szCs w:val="20"/>
              </w:rPr>
            </w:pPr>
            <w:r w:rsidRPr="00702882">
              <w:rPr>
                <w:sz w:val="20"/>
                <w:szCs w:val="20"/>
              </w:rPr>
              <w:t>Budget stabilization fund</w:t>
            </w:r>
          </w:p>
          <w:p w14:paraId="26959E69" w14:textId="77777777" w:rsidR="00AF6702" w:rsidRPr="00702882" w:rsidRDefault="00AF6702" w:rsidP="004D3BED">
            <w:pPr>
              <w:rPr>
                <w:sz w:val="20"/>
                <w:szCs w:val="20"/>
              </w:rPr>
            </w:pPr>
            <w:r w:rsidRPr="00702882">
              <w:rPr>
                <w:sz w:val="20"/>
                <w:szCs w:val="20"/>
              </w:rPr>
              <w:t>(1984)</w:t>
            </w:r>
          </w:p>
        </w:tc>
        <w:tc>
          <w:tcPr>
            <w:tcW w:w="1467" w:type="dxa"/>
          </w:tcPr>
          <w:p w14:paraId="54EAE8CD" w14:textId="77777777" w:rsidR="00AF6702" w:rsidRPr="00702882" w:rsidRDefault="00AF6702" w:rsidP="004D3BED">
            <w:pPr>
              <w:rPr>
                <w:sz w:val="20"/>
                <w:szCs w:val="20"/>
              </w:rPr>
            </w:pPr>
            <w:r w:rsidRPr="00702882">
              <w:rPr>
                <w:sz w:val="20"/>
                <w:szCs w:val="20"/>
              </w:rPr>
              <w:t xml:space="preserve">Cap </w:t>
            </w:r>
          </w:p>
          <w:p w14:paraId="52F1E553"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15</w:t>
            </w:r>
            <w:r w:rsidRPr="00702882">
              <w:rPr>
                <w:sz w:val="20"/>
                <w:szCs w:val="20"/>
              </w:rPr>
              <w:t>)</w:t>
            </w:r>
          </w:p>
          <w:p w14:paraId="24F78DBA" w14:textId="77777777" w:rsidR="00AF6702" w:rsidRPr="00702882" w:rsidRDefault="00AF6702" w:rsidP="004D3BED">
            <w:pPr>
              <w:rPr>
                <w:sz w:val="20"/>
                <w:szCs w:val="20"/>
              </w:rPr>
            </w:pPr>
          </w:p>
        </w:tc>
        <w:tc>
          <w:tcPr>
            <w:tcW w:w="5283" w:type="dxa"/>
          </w:tcPr>
          <w:p w14:paraId="4804D39D" w14:textId="77777777" w:rsidR="00AF6702" w:rsidRPr="00702882" w:rsidRDefault="00AF6702" w:rsidP="004D3BED">
            <w:pPr>
              <w:rPr>
                <w:sz w:val="20"/>
                <w:szCs w:val="20"/>
              </w:rPr>
            </w:pPr>
            <w:r w:rsidRPr="00702882">
              <w:rPr>
                <w:sz w:val="20"/>
                <w:szCs w:val="20"/>
              </w:rPr>
              <w:t>The amount of moneys in the BSF shall not exceed 15 % of the total general fund receipts for the fiscal year just ending.</w:t>
            </w:r>
          </w:p>
          <w:p w14:paraId="7C370CF7" w14:textId="77777777" w:rsidR="00AF6702" w:rsidRPr="00702882" w:rsidRDefault="00AF6702" w:rsidP="004D3BED">
            <w:pPr>
              <w:rPr>
                <w:sz w:val="20"/>
                <w:szCs w:val="20"/>
              </w:rPr>
            </w:pPr>
            <w:r w:rsidRPr="00702882">
              <w:rPr>
                <w:sz w:val="20"/>
                <w:szCs w:val="20"/>
              </w:rPr>
              <w:t>[effective July 2021]</w:t>
            </w:r>
          </w:p>
          <w:p w14:paraId="66F96540" w14:textId="77777777" w:rsidR="00AF6702" w:rsidRPr="00702882" w:rsidRDefault="00AF6702" w:rsidP="004D3BED">
            <w:pPr>
              <w:rPr>
                <w:rFonts w:eastAsiaTheme="minorEastAsia"/>
                <w:sz w:val="20"/>
                <w:szCs w:val="20"/>
              </w:rPr>
            </w:pPr>
          </w:p>
        </w:tc>
        <w:tc>
          <w:tcPr>
            <w:tcW w:w="2790" w:type="dxa"/>
          </w:tcPr>
          <w:p w14:paraId="08AE3C78" w14:textId="77777777" w:rsidR="00AF6702" w:rsidRPr="00702882" w:rsidRDefault="00AF6702" w:rsidP="004D3BED">
            <w:pPr>
              <w:tabs>
                <w:tab w:val="left" w:pos="468"/>
              </w:tabs>
              <w:rPr>
                <w:sz w:val="20"/>
                <w:szCs w:val="20"/>
              </w:rPr>
            </w:pPr>
            <w:r w:rsidRPr="00702882">
              <w:rPr>
                <w:sz w:val="20"/>
                <w:szCs w:val="20"/>
              </w:rPr>
              <w:t>ALS 112, 2020 Idaho Sess. Laws 112, 2020 Ida. Ch. 112, 2020 Ida. HB 449 (March 11, 2020)</w:t>
            </w:r>
          </w:p>
        </w:tc>
      </w:tr>
      <w:tr w:rsidR="00850754" w:rsidRPr="00702882" w14:paraId="4BAD7D95" w14:textId="77777777" w:rsidTr="00AE6820">
        <w:trPr>
          <w:jc w:val="center"/>
        </w:trPr>
        <w:tc>
          <w:tcPr>
            <w:tcW w:w="1615" w:type="dxa"/>
            <w:vMerge w:val="restart"/>
          </w:tcPr>
          <w:p w14:paraId="38B2E572" w14:textId="77777777" w:rsidR="00AF6702" w:rsidRPr="00702882" w:rsidRDefault="00AF6702" w:rsidP="004D3BED">
            <w:pPr>
              <w:rPr>
                <w:rFonts w:eastAsiaTheme="minorEastAsia"/>
                <w:sz w:val="20"/>
                <w:szCs w:val="20"/>
              </w:rPr>
            </w:pPr>
            <w:r w:rsidRPr="00702882">
              <w:rPr>
                <w:sz w:val="20"/>
                <w:szCs w:val="20"/>
              </w:rPr>
              <w:t>Illinois</w:t>
            </w:r>
          </w:p>
        </w:tc>
        <w:tc>
          <w:tcPr>
            <w:tcW w:w="630" w:type="dxa"/>
          </w:tcPr>
          <w:p w14:paraId="4219256C" w14:textId="77777777" w:rsidR="00AF6702" w:rsidRPr="00702882" w:rsidRDefault="00AF6702" w:rsidP="004D3BED">
            <w:pPr>
              <w:rPr>
                <w:sz w:val="20"/>
                <w:szCs w:val="20"/>
              </w:rPr>
            </w:pPr>
            <w:r w:rsidRPr="00702882">
              <w:rPr>
                <w:sz w:val="20"/>
                <w:szCs w:val="20"/>
              </w:rPr>
              <w:t>2010</w:t>
            </w:r>
          </w:p>
        </w:tc>
        <w:tc>
          <w:tcPr>
            <w:tcW w:w="2520" w:type="dxa"/>
          </w:tcPr>
          <w:p w14:paraId="59BD865C" w14:textId="77777777" w:rsidR="00AF6702" w:rsidRPr="00702882" w:rsidRDefault="00AF6702" w:rsidP="004D3BED">
            <w:pPr>
              <w:rPr>
                <w:sz w:val="20"/>
                <w:szCs w:val="20"/>
              </w:rPr>
            </w:pPr>
            <w:r w:rsidRPr="00702882">
              <w:rPr>
                <w:sz w:val="20"/>
                <w:szCs w:val="20"/>
              </w:rPr>
              <w:t>Budget stabilization fund</w:t>
            </w:r>
          </w:p>
          <w:p w14:paraId="56D8675D" w14:textId="77777777" w:rsidR="00AF6702" w:rsidRPr="00702882" w:rsidRDefault="00AF6702" w:rsidP="004D3BED">
            <w:pPr>
              <w:rPr>
                <w:sz w:val="20"/>
                <w:szCs w:val="20"/>
              </w:rPr>
            </w:pPr>
            <w:r w:rsidRPr="00702882">
              <w:rPr>
                <w:sz w:val="20"/>
                <w:szCs w:val="20"/>
              </w:rPr>
              <w:t>(2001)</w:t>
            </w:r>
          </w:p>
        </w:tc>
        <w:tc>
          <w:tcPr>
            <w:tcW w:w="1467" w:type="dxa"/>
          </w:tcPr>
          <w:p w14:paraId="470242DC" w14:textId="77777777" w:rsidR="00AF6702" w:rsidRPr="00702882" w:rsidRDefault="00AF6702" w:rsidP="004D3BED">
            <w:pPr>
              <w:rPr>
                <w:sz w:val="20"/>
                <w:szCs w:val="20"/>
              </w:rPr>
            </w:pPr>
            <w:r w:rsidRPr="00702882">
              <w:rPr>
                <w:sz w:val="20"/>
                <w:szCs w:val="20"/>
              </w:rPr>
              <w:t xml:space="preserve">Repayment provision </w:t>
            </w:r>
          </w:p>
          <w:p w14:paraId="3CCBD73A" w14:textId="77777777" w:rsidR="00AF6702" w:rsidRPr="00702882" w:rsidRDefault="00AF6702" w:rsidP="004D3BED">
            <w:pPr>
              <w:rPr>
                <w:sz w:val="20"/>
                <w:szCs w:val="20"/>
              </w:rPr>
            </w:pPr>
            <w:r w:rsidRPr="00702882">
              <w:rPr>
                <w:sz w:val="20"/>
                <w:szCs w:val="20"/>
              </w:rPr>
              <w:t>(4 → 0)</w:t>
            </w:r>
          </w:p>
        </w:tc>
        <w:tc>
          <w:tcPr>
            <w:tcW w:w="5283" w:type="dxa"/>
          </w:tcPr>
          <w:p w14:paraId="730C95B9" w14:textId="1A7FFADC" w:rsidR="00AF6702" w:rsidRPr="00702882" w:rsidRDefault="00AF6702" w:rsidP="004D3BED">
            <w:pPr>
              <w:rPr>
                <w:rFonts w:eastAsiaTheme="minorEastAsia"/>
                <w:sz w:val="20"/>
                <w:szCs w:val="20"/>
              </w:rPr>
            </w:pPr>
            <w:r w:rsidRPr="00702882">
              <w:rPr>
                <w:rFonts w:eastAsiaTheme="minorEastAsia"/>
                <w:sz w:val="20"/>
                <w:szCs w:val="20"/>
              </w:rPr>
              <w:t xml:space="preserve">By June 30, 2010, the BSF had a balance of zero, as all amounts had been fully transferred to the General Revenue Account, as stated in the 2010 </w:t>
            </w:r>
            <w:r w:rsidR="006C3B0D" w:rsidRPr="006C3B0D">
              <w:rPr>
                <w:rFonts w:eastAsiaTheme="minorEastAsia"/>
                <w:sz w:val="20"/>
                <w:szCs w:val="20"/>
              </w:rPr>
              <w:t>ACFR</w:t>
            </w:r>
            <w:r w:rsidRPr="00702882">
              <w:rPr>
                <w:rFonts w:eastAsiaTheme="minorEastAsia"/>
                <w:sz w:val="20"/>
                <w:szCs w:val="20"/>
              </w:rPr>
              <w:t xml:space="preserve"> (p. IX). The money borrowed from the BSF had not been repaid from 2010 to 2013. </w:t>
            </w:r>
          </w:p>
        </w:tc>
        <w:tc>
          <w:tcPr>
            <w:tcW w:w="2790" w:type="dxa"/>
          </w:tcPr>
          <w:p w14:paraId="44D8C940" w14:textId="4567799A" w:rsidR="00AF6702" w:rsidRPr="00702882" w:rsidRDefault="00BD673E" w:rsidP="004D3BED">
            <w:pPr>
              <w:tabs>
                <w:tab w:val="left" w:pos="468"/>
              </w:tabs>
              <w:rPr>
                <w:sz w:val="20"/>
                <w:szCs w:val="20"/>
              </w:rPr>
            </w:pPr>
            <w:r w:rsidRPr="00702882">
              <w:rPr>
                <w:sz w:val="20"/>
                <w:szCs w:val="20"/>
              </w:rPr>
              <w:t xml:space="preserve">Annual Comprehensive Financial Report </w:t>
            </w:r>
            <w:r w:rsidR="00AF6702" w:rsidRPr="00702882">
              <w:rPr>
                <w:sz w:val="20"/>
                <w:szCs w:val="20"/>
              </w:rPr>
              <w:t>for Fiscal Year Ended June 30, 2010</w:t>
            </w:r>
          </w:p>
        </w:tc>
      </w:tr>
      <w:tr w:rsidR="00850754" w:rsidRPr="00702882" w14:paraId="65078572" w14:textId="77777777" w:rsidTr="00AE6820">
        <w:trPr>
          <w:jc w:val="center"/>
        </w:trPr>
        <w:tc>
          <w:tcPr>
            <w:tcW w:w="1615" w:type="dxa"/>
            <w:vMerge/>
          </w:tcPr>
          <w:p w14:paraId="59B79518" w14:textId="77777777" w:rsidR="00AF6702" w:rsidRPr="00702882" w:rsidRDefault="00AF6702" w:rsidP="004D3BED">
            <w:pPr>
              <w:rPr>
                <w:sz w:val="20"/>
                <w:szCs w:val="20"/>
              </w:rPr>
            </w:pPr>
          </w:p>
        </w:tc>
        <w:tc>
          <w:tcPr>
            <w:tcW w:w="630" w:type="dxa"/>
          </w:tcPr>
          <w:p w14:paraId="72DF9CFF" w14:textId="77777777" w:rsidR="00AF6702" w:rsidRPr="00702882" w:rsidRDefault="00AF6702" w:rsidP="004D3BED">
            <w:pPr>
              <w:rPr>
                <w:sz w:val="20"/>
                <w:szCs w:val="20"/>
              </w:rPr>
            </w:pPr>
            <w:r w:rsidRPr="00702882">
              <w:rPr>
                <w:sz w:val="20"/>
                <w:szCs w:val="20"/>
              </w:rPr>
              <w:t>2014</w:t>
            </w:r>
          </w:p>
        </w:tc>
        <w:tc>
          <w:tcPr>
            <w:tcW w:w="2520" w:type="dxa"/>
          </w:tcPr>
          <w:p w14:paraId="0796D654" w14:textId="77777777" w:rsidR="00AF6702" w:rsidRPr="00702882" w:rsidRDefault="00AF6702" w:rsidP="004D3BED">
            <w:pPr>
              <w:rPr>
                <w:sz w:val="20"/>
                <w:szCs w:val="20"/>
              </w:rPr>
            </w:pPr>
            <w:r w:rsidRPr="00702882">
              <w:rPr>
                <w:sz w:val="20"/>
                <w:szCs w:val="20"/>
              </w:rPr>
              <w:t>Budget stabilization fund</w:t>
            </w:r>
          </w:p>
          <w:p w14:paraId="40A91960" w14:textId="77777777" w:rsidR="00AF6702" w:rsidRPr="00702882" w:rsidRDefault="00AF6702" w:rsidP="004D3BED">
            <w:pPr>
              <w:rPr>
                <w:sz w:val="20"/>
                <w:szCs w:val="20"/>
              </w:rPr>
            </w:pPr>
            <w:r w:rsidRPr="00702882">
              <w:rPr>
                <w:sz w:val="20"/>
                <w:szCs w:val="20"/>
              </w:rPr>
              <w:t>(2001)</w:t>
            </w:r>
          </w:p>
        </w:tc>
        <w:tc>
          <w:tcPr>
            <w:tcW w:w="1467" w:type="dxa"/>
          </w:tcPr>
          <w:p w14:paraId="323F4EF1" w14:textId="77777777" w:rsidR="00AF6702" w:rsidRPr="00702882" w:rsidRDefault="00AF6702" w:rsidP="004D3BED">
            <w:pPr>
              <w:rPr>
                <w:sz w:val="20"/>
                <w:szCs w:val="20"/>
              </w:rPr>
            </w:pPr>
            <w:r w:rsidRPr="00702882">
              <w:rPr>
                <w:sz w:val="20"/>
                <w:szCs w:val="20"/>
              </w:rPr>
              <w:t xml:space="preserve">Repayment provision </w:t>
            </w:r>
          </w:p>
          <w:p w14:paraId="41C44FF0" w14:textId="77777777" w:rsidR="00AF6702" w:rsidRPr="00702882" w:rsidRDefault="00AF6702" w:rsidP="004D3BED">
            <w:pPr>
              <w:rPr>
                <w:sz w:val="20"/>
                <w:szCs w:val="20"/>
              </w:rPr>
            </w:pPr>
            <w:r w:rsidRPr="00702882">
              <w:rPr>
                <w:sz w:val="20"/>
                <w:szCs w:val="20"/>
              </w:rPr>
              <w:t>(0 → 4)</w:t>
            </w:r>
          </w:p>
        </w:tc>
        <w:tc>
          <w:tcPr>
            <w:tcW w:w="5283" w:type="dxa"/>
          </w:tcPr>
          <w:p w14:paraId="233B829B" w14:textId="5C7952BC" w:rsidR="00AF6702" w:rsidRPr="00702882" w:rsidRDefault="00AF6702" w:rsidP="004D3BED">
            <w:pPr>
              <w:rPr>
                <w:rFonts w:eastAsiaTheme="minorEastAsia"/>
                <w:sz w:val="20"/>
                <w:szCs w:val="20"/>
              </w:rPr>
            </w:pPr>
            <w:r w:rsidRPr="00702882">
              <w:rPr>
                <w:rFonts w:eastAsiaTheme="minorEastAsia"/>
                <w:sz w:val="20"/>
                <w:szCs w:val="20"/>
              </w:rPr>
              <w:t xml:space="preserve">As of June 30, 2014, the balance in the Budget Stabilization Fund was $275.7 million (p. 5), with $275 million transferred according to the </w:t>
            </w:r>
            <w:r w:rsidR="00E34691" w:rsidRPr="00702882">
              <w:rPr>
                <w:sz w:val="20"/>
                <w:szCs w:val="20"/>
              </w:rPr>
              <w:t xml:space="preserve">Annual Comprehensive Financial Report </w:t>
            </w:r>
            <w:r w:rsidRPr="00702882">
              <w:rPr>
                <w:rFonts w:eastAsiaTheme="minorEastAsia"/>
                <w:sz w:val="20"/>
                <w:szCs w:val="20"/>
              </w:rPr>
              <w:t>for Fiscal Year Ended June 30, 2014 (p. 264).</w:t>
            </w:r>
          </w:p>
        </w:tc>
        <w:tc>
          <w:tcPr>
            <w:tcW w:w="2790" w:type="dxa"/>
          </w:tcPr>
          <w:p w14:paraId="3D0E34AC" w14:textId="4923FCA9" w:rsidR="00AF6702" w:rsidRPr="00702882" w:rsidRDefault="00BD673E" w:rsidP="004D3BED">
            <w:pPr>
              <w:tabs>
                <w:tab w:val="left" w:pos="468"/>
              </w:tabs>
              <w:rPr>
                <w:sz w:val="20"/>
                <w:szCs w:val="20"/>
              </w:rPr>
            </w:pPr>
            <w:r w:rsidRPr="00702882">
              <w:rPr>
                <w:sz w:val="20"/>
                <w:szCs w:val="20"/>
              </w:rPr>
              <w:t xml:space="preserve">Annual Comprehensive Financial Report </w:t>
            </w:r>
            <w:r w:rsidR="00AF6702" w:rsidRPr="00702882">
              <w:rPr>
                <w:sz w:val="20"/>
                <w:szCs w:val="20"/>
              </w:rPr>
              <w:t>for Fiscal Year Ended June 30, 2014</w:t>
            </w:r>
          </w:p>
        </w:tc>
      </w:tr>
      <w:tr w:rsidR="00850754" w:rsidRPr="00702882" w14:paraId="1B47227D" w14:textId="77777777" w:rsidTr="00AE6820">
        <w:trPr>
          <w:jc w:val="center"/>
        </w:trPr>
        <w:tc>
          <w:tcPr>
            <w:tcW w:w="1615" w:type="dxa"/>
            <w:vMerge/>
          </w:tcPr>
          <w:p w14:paraId="6C9753E2" w14:textId="77777777" w:rsidR="00AF6702" w:rsidRPr="00702882" w:rsidRDefault="00AF6702" w:rsidP="004D3BED">
            <w:pPr>
              <w:rPr>
                <w:b/>
                <w:bCs/>
                <w:sz w:val="20"/>
                <w:szCs w:val="20"/>
              </w:rPr>
            </w:pPr>
          </w:p>
        </w:tc>
        <w:tc>
          <w:tcPr>
            <w:tcW w:w="630" w:type="dxa"/>
          </w:tcPr>
          <w:p w14:paraId="0479ED68" w14:textId="77777777" w:rsidR="00AF6702" w:rsidRPr="00702882" w:rsidRDefault="00AF6702" w:rsidP="004D3BED">
            <w:pPr>
              <w:rPr>
                <w:sz w:val="20"/>
                <w:szCs w:val="20"/>
              </w:rPr>
            </w:pPr>
            <w:r w:rsidRPr="00702882">
              <w:rPr>
                <w:sz w:val="20"/>
                <w:szCs w:val="20"/>
              </w:rPr>
              <w:t>2017</w:t>
            </w:r>
          </w:p>
        </w:tc>
        <w:tc>
          <w:tcPr>
            <w:tcW w:w="2520" w:type="dxa"/>
          </w:tcPr>
          <w:p w14:paraId="54955C43" w14:textId="77777777" w:rsidR="00AF6702" w:rsidRPr="00702882" w:rsidRDefault="00AF6702" w:rsidP="004D3BED">
            <w:pPr>
              <w:rPr>
                <w:sz w:val="20"/>
                <w:szCs w:val="20"/>
              </w:rPr>
            </w:pPr>
            <w:r w:rsidRPr="00702882">
              <w:rPr>
                <w:sz w:val="20"/>
                <w:szCs w:val="20"/>
              </w:rPr>
              <w:t>Budget stabilization fund</w:t>
            </w:r>
          </w:p>
          <w:p w14:paraId="01015A00" w14:textId="77777777" w:rsidR="00AF6702" w:rsidRPr="00702882" w:rsidRDefault="00AF6702" w:rsidP="004D3BED">
            <w:pPr>
              <w:rPr>
                <w:sz w:val="20"/>
                <w:szCs w:val="20"/>
              </w:rPr>
            </w:pPr>
            <w:r w:rsidRPr="00702882">
              <w:rPr>
                <w:sz w:val="20"/>
                <w:szCs w:val="20"/>
              </w:rPr>
              <w:t>(2001)</w:t>
            </w:r>
          </w:p>
        </w:tc>
        <w:tc>
          <w:tcPr>
            <w:tcW w:w="1467" w:type="dxa"/>
          </w:tcPr>
          <w:p w14:paraId="2BE65571" w14:textId="77777777" w:rsidR="00AF6702" w:rsidRPr="00702882" w:rsidRDefault="00AF6702" w:rsidP="004D3BED">
            <w:pPr>
              <w:rPr>
                <w:sz w:val="20"/>
                <w:szCs w:val="20"/>
              </w:rPr>
            </w:pPr>
            <w:r w:rsidRPr="00702882">
              <w:rPr>
                <w:sz w:val="20"/>
                <w:szCs w:val="20"/>
              </w:rPr>
              <w:t xml:space="preserve">Repayment provision </w:t>
            </w:r>
          </w:p>
          <w:p w14:paraId="3E68A6AB" w14:textId="77777777" w:rsidR="00AF6702" w:rsidRPr="00702882" w:rsidRDefault="00AF6702" w:rsidP="004D3BED">
            <w:pPr>
              <w:rPr>
                <w:sz w:val="20"/>
                <w:szCs w:val="20"/>
              </w:rPr>
            </w:pPr>
            <w:r w:rsidRPr="00702882">
              <w:rPr>
                <w:sz w:val="20"/>
                <w:szCs w:val="20"/>
              </w:rPr>
              <w:t>(4 → 0)</w:t>
            </w:r>
          </w:p>
        </w:tc>
        <w:tc>
          <w:tcPr>
            <w:tcW w:w="5283" w:type="dxa"/>
          </w:tcPr>
          <w:p w14:paraId="4FCED290" w14:textId="77777777" w:rsidR="00AF6702" w:rsidRPr="00702882" w:rsidRDefault="00AF6702" w:rsidP="004D3BED">
            <w:pPr>
              <w:rPr>
                <w:sz w:val="20"/>
                <w:szCs w:val="20"/>
              </w:rPr>
            </w:pPr>
            <w:r w:rsidRPr="00702882">
              <w:rPr>
                <w:sz w:val="20"/>
                <w:szCs w:val="20"/>
              </w:rPr>
              <w:t>The 2016 amendment by P.A. 99-523, effective June 30, 2016, added (c): (c) During Fiscal Year 2017 only, amounts may be expended from the Budget Stabilization Fund only pursuant to specific authorization by appropriation. Any moneys expended pursuant to appropriation shall not be subject to repayment.</w:t>
            </w:r>
          </w:p>
        </w:tc>
        <w:tc>
          <w:tcPr>
            <w:tcW w:w="2790" w:type="dxa"/>
          </w:tcPr>
          <w:p w14:paraId="4C70B7C7" w14:textId="77777777" w:rsidR="00AF6702" w:rsidRPr="00702882" w:rsidRDefault="00AF6702" w:rsidP="004D3BED">
            <w:pPr>
              <w:tabs>
                <w:tab w:val="left" w:pos="468"/>
              </w:tabs>
              <w:rPr>
                <w:sz w:val="20"/>
                <w:szCs w:val="20"/>
              </w:rPr>
            </w:pPr>
            <w:r w:rsidRPr="00702882">
              <w:rPr>
                <w:sz w:val="20"/>
                <w:szCs w:val="20"/>
              </w:rPr>
              <w:t>FY2017 Stopgap Budget Implementation Act, ALS 523, Laws 523, 2015 ILL. P.A. 523, SB 1810 (June 30, 2016)</w:t>
            </w:r>
          </w:p>
        </w:tc>
      </w:tr>
      <w:tr w:rsidR="00850754" w:rsidRPr="00702882" w14:paraId="2F23CF04" w14:textId="77777777" w:rsidTr="00AE6820">
        <w:trPr>
          <w:jc w:val="center"/>
        </w:trPr>
        <w:tc>
          <w:tcPr>
            <w:tcW w:w="1615" w:type="dxa"/>
          </w:tcPr>
          <w:p w14:paraId="1302DD0B" w14:textId="77777777" w:rsidR="00AF6702" w:rsidRPr="00702882" w:rsidRDefault="00AF6702" w:rsidP="004D3BED">
            <w:pPr>
              <w:rPr>
                <w:sz w:val="20"/>
                <w:szCs w:val="20"/>
              </w:rPr>
            </w:pPr>
            <w:r w:rsidRPr="00702882">
              <w:rPr>
                <w:sz w:val="20"/>
                <w:szCs w:val="20"/>
              </w:rPr>
              <w:lastRenderedPageBreak/>
              <w:t>Iowa</w:t>
            </w:r>
          </w:p>
        </w:tc>
        <w:tc>
          <w:tcPr>
            <w:tcW w:w="630" w:type="dxa"/>
          </w:tcPr>
          <w:p w14:paraId="6FE6BB58" w14:textId="77777777" w:rsidR="00AF6702" w:rsidRPr="00702882" w:rsidRDefault="00AF6702" w:rsidP="004D3BED">
            <w:pPr>
              <w:rPr>
                <w:sz w:val="20"/>
                <w:szCs w:val="20"/>
              </w:rPr>
            </w:pPr>
            <w:r w:rsidRPr="00702882">
              <w:rPr>
                <w:sz w:val="20"/>
                <w:szCs w:val="20"/>
              </w:rPr>
              <w:t>2004</w:t>
            </w:r>
          </w:p>
        </w:tc>
        <w:tc>
          <w:tcPr>
            <w:tcW w:w="2520" w:type="dxa"/>
          </w:tcPr>
          <w:p w14:paraId="01AE22B2" w14:textId="77777777" w:rsidR="00AF6702" w:rsidRPr="00702882" w:rsidRDefault="00AF6702" w:rsidP="004D3BED">
            <w:pPr>
              <w:rPr>
                <w:sz w:val="20"/>
                <w:szCs w:val="20"/>
              </w:rPr>
            </w:pPr>
            <w:r w:rsidRPr="00702882">
              <w:rPr>
                <w:sz w:val="20"/>
                <w:szCs w:val="20"/>
              </w:rPr>
              <w:t>Cash Reserve Fund (1992)</w:t>
            </w:r>
          </w:p>
        </w:tc>
        <w:tc>
          <w:tcPr>
            <w:tcW w:w="1467" w:type="dxa"/>
          </w:tcPr>
          <w:p w14:paraId="1075C6BB" w14:textId="77777777" w:rsidR="00AF6702" w:rsidRPr="00702882" w:rsidRDefault="00AF6702" w:rsidP="004D3BED">
            <w:pPr>
              <w:rPr>
                <w:sz w:val="20"/>
                <w:szCs w:val="20"/>
              </w:rPr>
            </w:pPr>
            <w:r w:rsidRPr="00702882">
              <w:rPr>
                <w:sz w:val="20"/>
                <w:szCs w:val="20"/>
              </w:rPr>
              <w:t xml:space="preserve">Cap </w:t>
            </w:r>
          </w:p>
          <w:p w14:paraId="1155B307"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7.5</w:t>
            </w:r>
            <w:r w:rsidRPr="00702882">
              <w:rPr>
                <w:sz w:val="20"/>
                <w:szCs w:val="20"/>
              </w:rPr>
              <w:t>)</w:t>
            </w:r>
          </w:p>
        </w:tc>
        <w:tc>
          <w:tcPr>
            <w:tcW w:w="5283" w:type="dxa"/>
          </w:tcPr>
          <w:p w14:paraId="1FC1DBC7" w14:textId="77777777" w:rsidR="00AF6702" w:rsidRPr="00702882" w:rsidRDefault="00AF6702" w:rsidP="004D3BED">
            <w:pPr>
              <w:rPr>
                <w:sz w:val="20"/>
                <w:szCs w:val="20"/>
              </w:rPr>
            </w:pPr>
            <w:r w:rsidRPr="00702882">
              <w:rPr>
                <w:sz w:val="20"/>
                <w:szCs w:val="20"/>
              </w:rPr>
              <w:t>The cash reserve goal percentage for fiscal years beginning on or after July 1, 2004, is 7.5 % of the adjusted revenue estimate.</w:t>
            </w:r>
          </w:p>
        </w:tc>
        <w:tc>
          <w:tcPr>
            <w:tcW w:w="2790" w:type="dxa"/>
          </w:tcPr>
          <w:p w14:paraId="6B1918AA" w14:textId="77777777" w:rsidR="00AF6702" w:rsidRPr="00702882" w:rsidRDefault="00AF6702" w:rsidP="004D3BED">
            <w:pPr>
              <w:rPr>
                <w:sz w:val="20"/>
                <w:szCs w:val="20"/>
              </w:rPr>
            </w:pPr>
            <w:r w:rsidRPr="00702882">
              <w:rPr>
                <w:sz w:val="20"/>
                <w:szCs w:val="20"/>
              </w:rPr>
              <w:t>2003 Ia. ALS 179, 2003 Ia. Ch. 179, 2003 Ia. LAWS 179, 2003 Ia. SF 458 (May 30, 2003)</w:t>
            </w:r>
          </w:p>
          <w:p w14:paraId="3CD41484" w14:textId="77777777" w:rsidR="00AF6702" w:rsidRPr="00702882" w:rsidRDefault="00AF6702" w:rsidP="004D3BED">
            <w:pPr>
              <w:rPr>
                <w:sz w:val="20"/>
                <w:szCs w:val="20"/>
              </w:rPr>
            </w:pPr>
          </w:p>
        </w:tc>
      </w:tr>
      <w:tr w:rsidR="00850754" w:rsidRPr="00702882" w14:paraId="67C3AE8D" w14:textId="77777777" w:rsidTr="00AE6820">
        <w:trPr>
          <w:jc w:val="center"/>
        </w:trPr>
        <w:tc>
          <w:tcPr>
            <w:tcW w:w="1615" w:type="dxa"/>
          </w:tcPr>
          <w:p w14:paraId="0BC995BD" w14:textId="77777777" w:rsidR="00AF6702" w:rsidRPr="00702882" w:rsidRDefault="00AF6702" w:rsidP="004D3BED">
            <w:pPr>
              <w:rPr>
                <w:sz w:val="20"/>
                <w:szCs w:val="20"/>
              </w:rPr>
            </w:pPr>
            <w:r w:rsidRPr="00702882">
              <w:rPr>
                <w:sz w:val="20"/>
                <w:szCs w:val="20"/>
              </w:rPr>
              <w:t>Kansas</w:t>
            </w:r>
          </w:p>
        </w:tc>
        <w:tc>
          <w:tcPr>
            <w:tcW w:w="630" w:type="dxa"/>
          </w:tcPr>
          <w:p w14:paraId="4F821980" w14:textId="77777777" w:rsidR="00AF6702" w:rsidRPr="00702882" w:rsidRDefault="00AF6702" w:rsidP="004D3BED">
            <w:pPr>
              <w:rPr>
                <w:sz w:val="20"/>
                <w:szCs w:val="20"/>
              </w:rPr>
            </w:pPr>
            <w:r w:rsidRPr="00702882">
              <w:rPr>
                <w:sz w:val="20"/>
                <w:szCs w:val="20"/>
              </w:rPr>
              <w:t>2020</w:t>
            </w:r>
          </w:p>
        </w:tc>
        <w:tc>
          <w:tcPr>
            <w:tcW w:w="2520" w:type="dxa"/>
          </w:tcPr>
          <w:p w14:paraId="4D1912EC" w14:textId="77777777" w:rsidR="00AF6702" w:rsidRPr="00702882" w:rsidRDefault="00AF6702" w:rsidP="004D3BED">
            <w:pPr>
              <w:rPr>
                <w:sz w:val="20"/>
                <w:szCs w:val="20"/>
              </w:rPr>
            </w:pPr>
            <w:r w:rsidRPr="00702882">
              <w:rPr>
                <w:sz w:val="20"/>
                <w:szCs w:val="20"/>
              </w:rPr>
              <w:t>Budget Stabilization Fund (2017)</w:t>
            </w:r>
          </w:p>
        </w:tc>
        <w:tc>
          <w:tcPr>
            <w:tcW w:w="1467" w:type="dxa"/>
          </w:tcPr>
          <w:p w14:paraId="55F7D641" w14:textId="77777777" w:rsidR="00AF6702" w:rsidRPr="00702882" w:rsidRDefault="00AF6702" w:rsidP="004D3BED">
            <w:pPr>
              <w:rPr>
                <w:sz w:val="20"/>
                <w:szCs w:val="20"/>
              </w:rPr>
            </w:pPr>
            <w:r w:rsidRPr="00702882">
              <w:rPr>
                <w:sz w:val="20"/>
                <w:szCs w:val="20"/>
              </w:rPr>
              <w:t xml:space="preserve">Deposit by surplus </w:t>
            </w:r>
          </w:p>
          <w:p w14:paraId="1FE35262"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0.1</w:t>
            </w:r>
            <w:r w:rsidRPr="00702882">
              <w:rPr>
                <w:sz w:val="20"/>
                <w:szCs w:val="20"/>
              </w:rPr>
              <w:t xml:space="preserve"> → </w:t>
            </w:r>
            <w:r w:rsidRPr="00702882">
              <w:rPr>
                <w:rFonts w:eastAsiaTheme="minorEastAsia"/>
                <w:sz w:val="20"/>
                <w:szCs w:val="20"/>
              </w:rPr>
              <w:t>0.5</w:t>
            </w:r>
            <w:r w:rsidRPr="00702882">
              <w:rPr>
                <w:sz w:val="20"/>
                <w:szCs w:val="20"/>
              </w:rPr>
              <w:t>)</w:t>
            </w:r>
          </w:p>
        </w:tc>
        <w:tc>
          <w:tcPr>
            <w:tcW w:w="5283" w:type="dxa"/>
          </w:tcPr>
          <w:p w14:paraId="6EDC3A1D" w14:textId="77777777" w:rsidR="00AF6702" w:rsidRPr="00702882" w:rsidRDefault="00AF6702" w:rsidP="004D3BED">
            <w:pPr>
              <w:rPr>
                <w:sz w:val="20"/>
                <w:szCs w:val="20"/>
              </w:rPr>
            </w:pPr>
            <w:r w:rsidRPr="00702882">
              <w:rPr>
                <w:sz w:val="20"/>
                <w:szCs w:val="20"/>
              </w:rPr>
              <w:t xml:space="preserve">Upon receipt of such certification, or as soon thereafter as moneys are available, the director of accounts and reports shall transfer 50 % of such certified excess amount from the state general fund for the fiscal years ending June 30, 2021. </w:t>
            </w:r>
          </w:p>
        </w:tc>
        <w:tc>
          <w:tcPr>
            <w:tcW w:w="2790" w:type="dxa"/>
          </w:tcPr>
          <w:p w14:paraId="11AE5370" w14:textId="77777777" w:rsidR="00AF6702" w:rsidRPr="00702882" w:rsidRDefault="00AF6702" w:rsidP="004D3BED">
            <w:pPr>
              <w:rPr>
                <w:sz w:val="20"/>
                <w:szCs w:val="20"/>
              </w:rPr>
            </w:pPr>
            <w:r w:rsidRPr="00702882">
              <w:rPr>
                <w:sz w:val="20"/>
                <w:szCs w:val="20"/>
              </w:rPr>
              <w:t>2019 Kan. SB 66, 2020 Kan. Sess. Laws 5, 2020 Kan. Ch. 5, 2020 Kan. ALS 5 (March 25, 2020)</w:t>
            </w:r>
          </w:p>
        </w:tc>
      </w:tr>
      <w:tr w:rsidR="00850754" w:rsidRPr="00702882" w14:paraId="0882431D" w14:textId="77777777" w:rsidTr="00AE6820">
        <w:trPr>
          <w:jc w:val="center"/>
        </w:trPr>
        <w:tc>
          <w:tcPr>
            <w:tcW w:w="1615" w:type="dxa"/>
            <w:vMerge w:val="restart"/>
          </w:tcPr>
          <w:p w14:paraId="590C4045" w14:textId="77777777" w:rsidR="00AF6702" w:rsidRPr="00702882" w:rsidRDefault="00AF6702" w:rsidP="004D3BED">
            <w:pPr>
              <w:rPr>
                <w:sz w:val="20"/>
                <w:szCs w:val="20"/>
              </w:rPr>
            </w:pPr>
            <w:r w:rsidRPr="00702882">
              <w:rPr>
                <w:sz w:val="20"/>
                <w:szCs w:val="20"/>
              </w:rPr>
              <w:t>Maine</w:t>
            </w:r>
          </w:p>
        </w:tc>
        <w:tc>
          <w:tcPr>
            <w:tcW w:w="630" w:type="dxa"/>
            <w:vMerge w:val="restart"/>
          </w:tcPr>
          <w:p w14:paraId="460A8A3B" w14:textId="77777777" w:rsidR="00AF6702" w:rsidRPr="00702882" w:rsidRDefault="00AF6702" w:rsidP="004D3BED">
            <w:pPr>
              <w:rPr>
                <w:sz w:val="20"/>
                <w:szCs w:val="20"/>
              </w:rPr>
            </w:pPr>
            <w:r w:rsidRPr="00702882">
              <w:rPr>
                <w:sz w:val="20"/>
                <w:szCs w:val="20"/>
              </w:rPr>
              <w:t>2003</w:t>
            </w:r>
          </w:p>
        </w:tc>
        <w:tc>
          <w:tcPr>
            <w:tcW w:w="2520" w:type="dxa"/>
          </w:tcPr>
          <w:p w14:paraId="1D65DA3E" w14:textId="77777777" w:rsidR="00AF6702" w:rsidRPr="00702882" w:rsidRDefault="00AF6702" w:rsidP="004D3BED">
            <w:pPr>
              <w:rPr>
                <w:sz w:val="20"/>
                <w:szCs w:val="20"/>
              </w:rPr>
            </w:pPr>
            <w:r w:rsidRPr="00702882">
              <w:rPr>
                <w:sz w:val="20"/>
                <w:szCs w:val="20"/>
              </w:rPr>
              <w:t>Budget Stabilization Fund (1985)</w:t>
            </w:r>
          </w:p>
        </w:tc>
        <w:tc>
          <w:tcPr>
            <w:tcW w:w="1467" w:type="dxa"/>
          </w:tcPr>
          <w:p w14:paraId="67724A12" w14:textId="77777777" w:rsidR="00AF6702" w:rsidRPr="00702882" w:rsidRDefault="00AF6702" w:rsidP="004D3BED">
            <w:pPr>
              <w:rPr>
                <w:sz w:val="20"/>
                <w:szCs w:val="20"/>
              </w:rPr>
            </w:pPr>
            <w:r w:rsidRPr="00702882">
              <w:rPr>
                <w:sz w:val="20"/>
                <w:szCs w:val="20"/>
              </w:rPr>
              <w:t xml:space="preserve">Deposit by surplus </w:t>
            </w:r>
          </w:p>
          <w:p w14:paraId="269094AB"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0.5</w:t>
            </w:r>
            <w:r w:rsidRPr="00702882">
              <w:rPr>
                <w:sz w:val="20"/>
                <w:szCs w:val="20"/>
              </w:rPr>
              <w:t xml:space="preserve"> → </w:t>
            </w:r>
            <w:r w:rsidRPr="00702882">
              <w:rPr>
                <w:rFonts w:eastAsiaTheme="minorEastAsia"/>
                <w:sz w:val="20"/>
                <w:szCs w:val="20"/>
              </w:rPr>
              <w:t>0.32</w:t>
            </w:r>
            <w:r w:rsidRPr="00702882">
              <w:rPr>
                <w:sz w:val="20"/>
                <w:szCs w:val="20"/>
              </w:rPr>
              <w:t>)</w:t>
            </w:r>
          </w:p>
        </w:tc>
        <w:tc>
          <w:tcPr>
            <w:tcW w:w="5283" w:type="dxa"/>
          </w:tcPr>
          <w:p w14:paraId="13A42ED4" w14:textId="77777777" w:rsidR="00AF6702" w:rsidRPr="00702882" w:rsidRDefault="00AF6702" w:rsidP="004D3BED">
            <w:pPr>
              <w:rPr>
                <w:sz w:val="20"/>
                <w:szCs w:val="20"/>
              </w:rPr>
            </w:pPr>
            <w:r w:rsidRPr="00702882">
              <w:rPr>
                <w:sz w:val="20"/>
                <w:szCs w:val="20"/>
              </w:rPr>
              <w:t>The State Controller is required to transfer 32 % of the unappropriated surplus of General Fund when the fund is not at its statutory cap.</w:t>
            </w:r>
          </w:p>
        </w:tc>
        <w:tc>
          <w:tcPr>
            <w:tcW w:w="2790" w:type="dxa"/>
          </w:tcPr>
          <w:p w14:paraId="1CA5322A" w14:textId="17A07599" w:rsidR="00AF6702" w:rsidRPr="00702882" w:rsidRDefault="00AF6702" w:rsidP="004D3BED">
            <w:pPr>
              <w:tabs>
                <w:tab w:val="left" w:pos="468"/>
              </w:tabs>
              <w:rPr>
                <w:sz w:val="20"/>
                <w:szCs w:val="20"/>
              </w:rPr>
            </w:pPr>
            <w:r w:rsidRPr="00702882">
              <w:rPr>
                <w:sz w:val="20"/>
                <w:szCs w:val="20"/>
              </w:rPr>
              <w:t xml:space="preserve">§ 1513. Maine Rainy Day Fund [Repealed]; </w:t>
            </w:r>
            <w:r w:rsidR="00E32F43" w:rsidRPr="00702882">
              <w:rPr>
                <w:sz w:val="20"/>
                <w:szCs w:val="20"/>
              </w:rPr>
              <w:t xml:space="preserve">Annual Comprehensive Financial Report </w:t>
            </w:r>
            <w:r w:rsidRPr="00702882">
              <w:rPr>
                <w:sz w:val="20"/>
                <w:szCs w:val="20"/>
              </w:rPr>
              <w:t>(2003, p. v)</w:t>
            </w:r>
          </w:p>
        </w:tc>
      </w:tr>
      <w:tr w:rsidR="00850754" w:rsidRPr="00702882" w14:paraId="1528FFD2" w14:textId="77777777" w:rsidTr="00AE6820">
        <w:trPr>
          <w:jc w:val="center"/>
        </w:trPr>
        <w:tc>
          <w:tcPr>
            <w:tcW w:w="1615" w:type="dxa"/>
            <w:vMerge/>
          </w:tcPr>
          <w:p w14:paraId="08555873" w14:textId="77777777" w:rsidR="00AF6702" w:rsidRPr="00702882" w:rsidRDefault="00AF6702" w:rsidP="004D3BED">
            <w:pPr>
              <w:rPr>
                <w:sz w:val="20"/>
                <w:szCs w:val="20"/>
              </w:rPr>
            </w:pPr>
          </w:p>
        </w:tc>
        <w:tc>
          <w:tcPr>
            <w:tcW w:w="630" w:type="dxa"/>
            <w:vMerge/>
          </w:tcPr>
          <w:p w14:paraId="4D2EEDFF" w14:textId="77777777" w:rsidR="00AF6702" w:rsidRPr="00702882" w:rsidRDefault="00AF6702" w:rsidP="004D3BED">
            <w:pPr>
              <w:rPr>
                <w:sz w:val="20"/>
                <w:szCs w:val="20"/>
              </w:rPr>
            </w:pPr>
          </w:p>
        </w:tc>
        <w:tc>
          <w:tcPr>
            <w:tcW w:w="2520" w:type="dxa"/>
          </w:tcPr>
          <w:p w14:paraId="1C6D2EA6" w14:textId="77777777" w:rsidR="00AF6702" w:rsidRPr="00702882" w:rsidRDefault="00AF6702" w:rsidP="004D3BED">
            <w:pPr>
              <w:rPr>
                <w:sz w:val="20"/>
                <w:szCs w:val="20"/>
              </w:rPr>
            </w:pPr>
            <w:r w:rsidRPr="00702882">
              <w:rPr>
                <w:sz w:val="20"/>
                <w:szCs w:val="20"/>
              </w:rPr>
              <w:t>Budget Stabilization Fund (1985)</w:t>
            </w:r>
          </w:p>
        </w:tc>
        <w:tc>
          <w:tcPr>
            <w:tcW w:w="1467" w:type="dxa"/>
          </w:tcPr>
          <w:p w14:paraId="23A35612" w14:textId="77777777" w:rsidR="00AF6702" w:rsidRPr="00702882" w:rsidRDefault="00AF6702" w:rsidP="004D3BED">
            <w:pPr>
              <w:rPr>
                <w:sz w:val="20"/>
                <w:szCs w:val="20"/>
              </w:rPr>
            </w:pPr>
            <w:r w:rsidRPr="00702882">
              <w:rPr>
                <w:sz w:val="20"/>
                <w:szCs w:val="20"/>
              </w:rPr>
              <w:t xml:space="preserve">Cap </w:t>
            </w:r>
          </w:p>
          <w:p w14:paraId="4C29BA1E"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6</w:t>
            </w:r>
            <w:r w:rsidRPr="00702882">
              <w:rPr>
                <w:sz w:val="20"/>
                <w:szCs w:val="20"/>
              </w:rPr>
              <w:t xml:space="preserve"> → </w:t>
            </w:r>
            <w:r w:rsidRPr="00702882">
              <w:rPr>
                <w:rFonts w:eastAsiaTheme="minorEastAsia"/>
                <w:sz w:val="20"/>
                <w:szCs w:val="20"/>
              </w:rPr>
              <w:t>10</w:t>
            </w:r>
            <w:r w:rsidRPr="00702882">
              <w:rPr>
                <w:sz w:val="20"/>
                <w:szCs w:val="20"/>
              </w:rPr>
              <w:t>)</w:t>
            </w:r>
          </w:p>
        </w:tc>
        <w:tc>
          <w:tcPr>
            <w:tcW w:w="5283" w:type="dxa"/>
          </w:tcPr>
          <w:p w14:paraId="77D5F8F9" w14:textId="77777777" w:rsidR="00AF6702" w:rsidRPr="00702882" w:rsidRDefault="00AF6702" w:rsidP="004D3BED">
            <w:pPr>
              <w:rPr>
                <w:sz w:val="20"/>
                <w:szCs w:val="20"/>
              </w:rPr>
            </w:pPr>
            <w:r w:rsidRPr="00702882">
              <w:rPr>
                <w:sz w:val="20"/>
                <w:szCs w:val="20"/>
              </w:rPr>
              <w:t xml:space="preserve">Amounts in the stabilization fund may not exceed 10 % of total General Fund revenues in the immediately preceding state fiscal year. </w:t>
            </w:r>
          </w:p>
          <w:p w14:paraId="66BD4DC2" w14:textId="77777777" w:rsidR="00AF6702" w:rsidRPr="00702882" w:rsidRDefault="00AF6702" w:rsidP="004D3BED">
            <w:pPr>
              <w:rPr>
                <w:sz w:val="20"/>
                <w:szCs w:val="20"/>
              </w:rPr>
            </w:pPr>
          </w:p>
        </w:tc>
        <w:tc>
          <w:tcPr>
            <w:tcW w:w="2790" w:type="dxa"/>
          </w:tcPr>
          <w:p w14:paraId="075CFB80" w14:textId="11B32F0F" w:rsidR="00AF6702" w:rsidRPr="00702882" w:rsidRDefault="00AF6702" w:rsidP="004D3BED">
            <w:pPr>
              <w:tabs>
                <w:tab w:val="left" w:pos="468"/>
              </w:tabs>
              <w:rPr>
                <w:sz w:val="20"/>
                <w:szCs w:val="20"/>
              </w:rPr>
            </w:pPr>
            <w:r w:rsidRPr="00702882">
              <w:rPr>
                <w:sz w:val="20"/>
                <w:szCs w:val="20"/>
              </w:rPr>
              <w:t xml:space="preserve">§ 1513. Maine Rainy Day Fund [Repealed]; </w:t>
            </w:r>
            <w:r w:rsidR="00E32F43" w:rsidRPr="00702882">
              <w:rPr>
                <w:sz w:val="20"/>
                <w:szCs w:val="20"/>
              </w:rPr>
              <w:t xml:space="preserve">Annual Comprehensive Financial Report </w:t>
            </w:r>
            <w:r w:rsidRPr="00702882">
              <w:rPr>
                <w:sz w:val="20"/>
                <w:szCs w:val="20"/>
              </w:rPr>
              <w:t>(2003, p. v)</w:t>
            </w:r>
          </w:p>
        </w:tc>
      </w:tr>
      <w:tr w:rsidR="00850754" w:rsidRPr="00702882" w14:paraId="3F19F0F8" w14:textId="77777777" w:rsidTr="00AE6820">
        <w:trPr>
          <w:jc w:val="center"/>
        </w:trPr>
        <w:tc>
          <w:tcPr>
            <w:tcW w:w="1615" w:type="dxa"/>
            <w:vMerge/>
          </w:tcPr>
          <w:p w14:paraId="60EAD61B" w14:textId="77777777" w:rsidR="00AF6702" w:rsidRPr="00702882" w:rsidRDefault="00AF6702" w:rsidP="004D3BED">
            <w:pPr>
              <w:rPr>
                <w:sz w:val="20"/>
                <w:szCs w:val="20"/>
              </w:rPr>
            </w:pPr>
          </w:p>
        </w:tc>
        <w:tc>
          <w:tcPr>
            <w:tcW w:w="630" w:type="dxa"/>
          </w:tcPr>
          <w:p w14:paraId="2C24BA34" w14:textId="77777777" w:rsidR="00AF6702" w:rsidRPr="00702882" w:rsidRDefault="00AF6702" w:rsidP="004D3BED">
            <w:pPr>
              <w:rPr>
                <w:sz w:val="20"/>
                <w:szCs w:val="20"/>
              </w:rPr>
            </w:pPr>
            <w:r w:rsidRPr="00702882">
              <w:rPr>
                <w:sz w:val="20"/>
                <w:szCs w:val="20"/>
              </w:rPr>
              <w:t>2005</w:t>
            </w:r>
          </w:p>
        </w:tc>
        <w:tc>
          <w:tcPr>
            <w:tcW w:w="2520" w:type="dxa"/>
          </w:tcPr>
          <w:p w14:paraId="1808220D" w14:textId="77777777" w:rsidR="00AF6702" w:rsidRPr="00702882" w:rsidRDefault="00AF6702" w:rsidP="004D3BED">
            <w:pPr>
              <w:rPr>
                <w:sz w:val="20"/>
                <w:szCs w:val="20"/>
              </w:rPr>
            </w:pPr>
            <w:r w:rsidRPr="00702882">
              <w:rPr>
                <w:sz w:val="20"/>
                <w:szCs w:val="20"/>
              </w:rPr>
              <w:t>Budget Stabilization Fund (1985)</w:t>
            </w:r>
          </w:p>
        </w:tc>
        <w:tc>
          <w:tcPr>
            <w:tcW w:w="1467" w:type="dxa"/>
          </w:tcPr>
          <w:p w14:paraId="0B0F194E" w14:textId="77777777" w:rsidR="00AF6702" w:rsidRPr="00702882" w:rsidRDefault="00AF6702" w:rsidP="004D3BED">
            <w:pPr>
              <w:rPr>
                <w:sz w:val="20"/>
                <w:szCs w:val="20"/>
              </w:rPr>
            </w:pPr>
            <w:r w:rsidRPr="00702882">
              <w:rPr>
                <w:sz w:val="20"/>
                <w:szCs w:val="20"/>
              </w:rPr>
              <w:t xml:space="preserve">Cap </w:t>
            </w:r>
          </w:p>
          <w:p w14:paraId="5D4A6AE0"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12</w:t>
            </w:r>
            <w:r w:rsidRPr="00702882">
              <w:rPr>
                <w:sz w:val="20"/>
                <w:szCs w:val="20"/>
              </w:rPr>
              <w:t>)</w:t>
            </w:r>
          </w:p>
          <w:p w14:paraId="0AF2ED4B" w14:textId="77777777" w:rsidR="00AF6702" w:rsidRPr="00702882" w:rsidRDefault="00AF6702" w:rsidP="004D3BED">
            <w:pPr>
              <w:rPr>
                <w:sz w:val="20"/>
                <w:szCs w:val="20"/>
              </w:rPr>
            </w:pPr>
          </w:p>
        </w:tc>
        <w:tc>
          <w:tcPr>
            <w:tcW w:w="5283" w:type="dxa"/>
          </w:tcPr>
          <w:p w14:paraId="24860886" w14:textId="77777777" w:rsidR="00AF6702" w:rsidRPr="00702882" w:rsidRDefault="00AF6702" w:rsidP="004D3BED">
            <w:pPr>
              <w:rPr>
                <w:sz w:val="20"/>
                <w:szCs w:val="20"/>
              </w:rPr>
            </w:pPr>
            <w:r w:rsidRPr="00702882">
              <w:rPr>
                <w:sz w:val="20"/>
                <w:szCs w:val="20"/>
              </w:rPr>
              <w:t xml:space="preserve">Cap increased from 10% to 12%, but the code of the Cap remains the same. </w:t>
            </w:r>
          </w:p>
          <w:p w14:paraId="4501D1F3" w14:textId="77777777" w:rsidR="00AF6702" w:rsidRPr="00702882" w:rsidRDefault="00AF6702" w:rsidP="004D3BED">
            <w:pPr>
              <w:rPr>
                <w:sz w:val="20"/>
                <w:szCs w:val="20"/>
              </w:rPr>
            </w:pPr>
          </w:p>
        </w:tc>
        <w:tc>
          <w:tcPr>
            <w:tcW w:w="2790" w:type="dxa"/>
          </w:tcPr>
          <w:p w14:paraId="71E025E0" w14:textId="77777777" w:rsidR="00AF6702" w:rsidRPr="00702882" w:rsidRDefault="00AF6702" w:rsidP="004D3BED">
            <w:pPr>
              <w:tabs>
                <w:tab w:val="left" w:pos="468"/>
              </w:tabs>
              <w:rPr>
                <w:sz w:val="20"/>
                <w:szCs w:val="20"/>
              </w:rPr>
            </w:pPr>
            <w:r w:rsidRPr="00702882">
              <w:rPr>
                <w:sz w:val="20"/>
                <w:szCs w:val="20"/>
              </w:rPr>
              <w:t>2005 Me. ALS 2, 2005 Me. Laws 2, 2005 Me. Ch. 2, 2005 Me. HP 6 (January 21, 2005)</w:t>
            </w:r>
          </w:p>
        </w:tc>
      </w:tr>
      <w:tr w:rsidR="00850754" w:rsidRPr="00702882" w14:paraId="3B024F59" w14:textId="77777777" w:rsidTr="00AE6820">
        <w:trPr>
          <w:jc w:val="center"/>
        </w:trPr>
        <w:tc>
          <w:tcPr>
            <w:tcW w:w="1615" w:type="dxa"/>
            <w:vMerge/>
          </w:tcPr>
          <w:p w14:paraId="613E37D4" w14:textId="77777777" w:rsidR="00AF6702" w:rsidRPr="00702882" w:rsidRDefault="00AF6702" w:rsidP="004D3BED">
            <w:pPr>
              <w:rPr>
                <w:sz w:val="20"/>
                <w:szCs w:val="20"/>
              </w:rPr>
            </w:pPr>
          </w:p>
        </w:tc>
        <w:tc>
          <w:tcPr>
            <w:tcW w:w="630" w:type="dxa"/>
          </w:tcPr>
          <w:p w14:paraId="2AF0A2C6" w14:textId="77777777" w:rsidR="00AF6702" w:rsidRPr="00702882" w:rsidRDefault="00AF6702" w:rsidP="004D3BED">
            <w:pPr>
              <w:rPr>
                <w:sz w:val="20"/>
                <w:szCs w:val="20"/>
              </w:rPr>
            </w:pPr>
            <w:r w:rsidRPr="00702882">
              <w:rPr>
                <w:sz w:val="20"/>
                <w:szCs w:val="20"/>
              </w:rPr>
              <w:t>2015</w:t>
            </w:r>
          </w:p>
        </w:tc>
        <w:tc>
          <w:tcPr>
            <w:tcW w:w="2520" w:type="dxa"/>
          </w:tcPr>
          <w:p w14:paraId="6CA148D7" w14:textId="77777777" w:rsidR="00AF6702" w:rsidRPr="00702882" w:rsidRDefault="00AF6702" w:rsidP="004D3BED">
            <w:pPr>
              <w:rPr>
                <w:sz w:val="20"/>
                <w:szCs w:val="20"/>
              </w:rPr>
            </w:pPr>
            <w:r w:rsidRPr="00702882">
              <w:rPr>
                <w:sz w:val="20"/>
                <w:szCs w:val="20"/>
              </w:rPr>
              <w:t>Budget Stabilization Fund (1985)</w:t>
            </w:r>
          </w:p>
        </w:tc>
        <w:tc>
          <w:tcPr>
            <w:tcW w:w="1467" w:type="dxa"/>
          </w:tcPr>
          <w:p w14:paraId="027441D1" w14:textId="77777777" w:rsidR="00AF6702" w:rsidRPr="00702882" w:rsidRDefault="00AF6702" w:rsidP="004D3BED">
            <w:pPr>
              <w:rPr>
                <w:sz w:val="20"/>
                <w:szCs w:val="20"/>
              </w:rPr>
            </w:pPr>
            <w:r w:rsidRPr="00702882">
              <w:rPr>
                <w:sz w:val="20"/>
                <w:szCs w:val="20"/>
              </w:rPr>
              <w:t xml:space="preserve">Cap </w:t>
            </w:r>
          </w:p>
          <w:p w14:paraId="410D9D02"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12</w:t>
            </w:r>
            <w:r w:rsidRPr="00702882">
              <w:rPr>
                <w:sz w:val="20"/>
                <w:szCs w:val="20"/>
              </w:rPr>
              <w:t xml:space="preserve"> → </w:t>
            </w:r>
            <w:r w:rsidRPr="00702882">
              <w:rPr>
                <w:rFonts w:eastAsiaTheme="minorEastAsia"/>
                <w:sz w:val="20"/>
                <w:szCs w:val="20"/>
              </w:rPr>
              <w:t>18</w:t>
            </w:r>
            <w:r w:rsidRPr="00702882">
              <w:rPr>
                <w:sz w:val="20"/>
                <w:szCs w:val="20"/>
              </w:rPr>
              <w:t>)</w:t>
            </w:r>
          </w:p>
          <w:p w14:paraId="424D2467" w14:textId="77777777" w:rsidR="00AF6702" w:rsidRPr="00702882" w:rsidRDefault="00AF6702" w:rsidP="004D3BED">
            <w:pPr>
              <w:rPr>
                <w:sz w:val="20"/>
                <w:szCs w:val="20"/>
              </w:rPr>
            </w:pPr>
          </w:p>
        </w:tc>
        <w:tc>
          <w:tcPr>
            <w:tcW w:w="5283" w:type="dxa"/>
          </w:tcPr>
          <w:p w14:paraId="247A699F" w14:textId="77777777" w:rsidR="00AF6702" w:rsidRPr="00702882" w:rsidRDefault="00AF6702" w:rsidP="004D3BED">
            <w:pPr>
              <w:rPr>
                <w:sz w:val="20"/>
                <w:szCs w:val="20"/>
              </w:rPr>
            </w:pPr>
            <w:r w:rsidRPr="00702882">
              <w:rPr>
                <w:sz w:val="20"/>
                <w:szCs w:val="20"/>
              </w:rPr>
              <w:t xml:space="preserve">Cap increased from 12% to 18%, according to the 2015 amendments. </w:t>
            </w:r>
          </w:p>
          <w:p w14:paraId="0732C950" w14:textId="77777777" w:rsidR="00AF6702" w:rsidRPr="00702882" w:rsidRDefault="00AF6702" w:rsidP="004D3BED">
            <w:pPr>
              <w:rPr>
                <w:sz w:val="20"/>
                <w:szCs w:val="20"/>
              </w:rPr>
            </w:pPr>
          </w:p>
        </w:tc>
        <w:tc>
          <w:tcPr>
            <w:tcW w:w="2790" w:type="dxa"/>
          </w:tcPr>
          <w:p w14:paraId="4261BFA7" w14:textId="77777777" w:rsidR="00AF6702" w:rsidRPr="00702882" w:rsidRDefault="00AF6702" w:rsidP="004D3BED">
            <w:pPr>
              <w:tabs>
                <w:tab w:val="left" w:pos="468"/>
              </w:tabs>
              <w:rPr>
                <w:sz w:val="20"/>
                <w:szCs w:val="20"/>
              </w:rPr>
            </w:pPr>
            <w:r w:rsidRPr="00702882">
              <w:rPr>
                <w:sz w:val="20"/>
                <w:szCs w:val="20"/>
              </w:rPr>
              <w:t>2015 Me. ALS 267, 2015 Me. Laws 267, 2015 Me. Ch. 267, 2015 Me. HP 702 (June 18, 2015).</w:t>
            </w:r>
          </w:p>
        </w:tc>
      </w:tr>
      <w:tr w:rsidR="00850754" w:rsidRPr="00702882" w14:paraId="32F4BD3D" w14:textId="77777777" w:rsidTr="00AE6820">
        <w:trPr>
          <w:jc w:val="center"/>
        </w:trPr>
        <w:tc>
          <w:tcPr>
            <w:tcW w:w="1615" w:type="dxa"/>
            <w:vMerge w:val="restart"/>
          </w:tcPr>
          <w:p w14:paraId="62AACF77" w14:textId="77777777" w:rsidR="00AF6702" w:rsidRPr="00702882" w:rsidRDefault="00AF6702" w:rsidP="004D3BED">
            <w:pPr>
              <w:rPr>
                <w:sz w:val="20"/>
                <w:szCs w:val="20"/>
              </w:rPr>
            </w:pPr>
            <w:r w:rsidRPr="00702882">
              <w:rPr>
                <w:sz w:val="20"/>
                <w:szCs w:val="20"/>
              </w:rPr>
              <w:t>Maryland</w:t>
            </w:r>
          </w:p>
        </w:tc>
        <w:tc>
          <w:tcPr>
            <w:tcW w:w="630" w:type="dxa"/>
          </w:tcPr>
          <w:p w14:paraId="4DE5E2AB" w14:textId="77777777" w:rsidR="00AF6702" w:rsidRPr="00702882" w:rsidRDefault="00AF6702" w:rsidP="004D3BED">
            <w:pPr>
              <w:rPr>
                <w:sz w:val="20"/>
                <w:szCs w:val="20"/>
              </w:rPr>
            </w:pPr>
            <w:r w:rsidRPr="00702882">
              <w:rPr>
                <w:sz w:val="20"/>
                <w:szCs w:val="20"/>
              </w:rPr>
              <w:t>2003</w:t>
            </w:r>
          </w:p>
        </w:tc>
        <w:tc>
          <w:tcPr>
            <w:tcW w:w="2520" w:type="dxa"/>
          </w:tcPr>
          <w:p w14:paraId="07359D2E" w14:textId="77777777" w:rsidR="00AF6702" w:rsidRPr="00702882" w:rsidRDefault="00AF6702" w:rsidP="004D3BED">
            <w:pPr>
              <w:rPr>
                <w:sz w:val="20"/>
                <w:szCs w:val="20"/>
              </w:rPr>
            </w:pPr>
            <w:r w:rsidRPr="00702882">
              <w:rPr>
                <w:sz w:val="20"/>
                <w:szCs w:val="20"/>
              </w:rPr>
              <w:t>Revenue Stabilization Account (1986)</w:t>
            </w:r>
          </w:p>
        </w:tc>
        <w:tc>
          <w:tcPr>
            <w:tcW w:w="1467" w:type="dxa"/>
          </w:tcPr>
          <w:p w14:paraId="2EDBA622" w14:textId="77777777" w:rsidR="00AF6702" w:rsidRPr="00702882" w:rsidRDefault="00AF6702" w:rsidP="004D3BED">
            <w:pPr>
              <w:rPr>
                <w:sz w:val="20"/>
                <w:szCs w:val="20"/>
              </w:rPr>
            </w:pPr>
            <w:r w:rsidRPr="00702882">
              <w:rPr>
                <w:sz w:val="20"/>
                <w:szCs w:val="20"/>
              </w:rPr>
              <w:t>Deposit tied to BSF balance</w:t>
            </w:r>
          </w:p>
          <w:p w14:paraId="3B813793" w14:textId="77777777" w:rsidR="00AF6702" w:rsidRPr="00702882" w:rsidRDefault="00AF6702" w:rsidP="004D3BED">
            <w:pPr>
              <w:rPr>
                <w:sz w:val="20"/>
                <w:szCs w:val="20"/>
              </w:rPr>
            </w:pPr>
            <w:r w:rsidRPr="00702882">
              <w:rPr>
                <w:sz w:val="20"/>
                <w:szCs w:val="20"/>
              </w:rPr>
              <w:t>(0 → 1)</w:t>
            </w:r>
          </w:p>
        </w:tc>
        <w:tc>
          <w:tcPr>
            <w:tcW w:w="5283" w:type="dxa"/>
          </w:tcPr>
          <w:p w14:paraId="673DD858" w14:textId="77777777" w:rsidR="00AF6702" w:rsidRPr="00702882" w:rsidRDefault="00AF6702" w:rsidP="004D3BED">
            <w:pPr>
              <w:rPr>
                <w:sz w:val="20"/>
                <w:szCs w:val="20"/>
              </w:rPr>
            </w:pPr>
            <w:r w:rsidRPr="00702882">
              <w:rPr>
                <w:sz w:val="20"/>
                <w:szCs w:val="20"/>
              </w:rPr>
              <w:t xml:space="preserve">If the account balance is below 3 (or 3-5) % of the revenues, at least $100 million (or $500 million) will be appropriated. </w:t>
            </w:r>
          </w:p>
        </w:tc>
        <w:tc>
          <w:tcPr>
            <w:tcW w:w="2790" w:type="dxa"/>
          </w:tcPr>
          <w:p w14:paraId="4AA18EEB" w14:textId="77777777" w:rsidR="00AF6702" w:rsidRPr="00702882" w:rsidRDefault="00AF6702" w:rsidP="004D3BED">
            <w:pPr>
              <w:tabs>
                <w:tab w:val="left" w:pos="468"/>
              </w:tabs>
              <w:rPr>
                <w:sz w:val="20"/>
                <w:szCs w:val="20"/>
              </w:rPr>
            </w:pPr>
            <w:r w:rsidRPr="00702882">
              <w:rPr>
                <w:sz w:val="20"/>
                <w:szCs w:val="20"/>
              </w:rPr>
              <w:t>2003 Md. ALS 203, 2003 Md. Laws 203, 2003 Md. Chap. 203, 2003 Md. HB 935 (May 13, 2003)</w:t>
            </w:r>
          </w:p>
        </w:tc>
      </w:tr>
      <w:tr w:rsidR="00850754" w:rsidRPr="00702882" w14:paraId="5C7A8039" w14:textId="77777777" w:rsidTr="00AE6820">
        <w:trPr>
          <w:jc w:val="center"/>
        </w:trPr>
        <w:tc>
          <w:tcPr>
            <w:tcW w:w="1615" w:type="dxa"/>
            <w:vMerge/>
          </w:tcPr>
          <w:p w14:paraId="720CAE44" w14:textId="77777777" w:rsidR="00AF6702" w:rsidRPr="00702882" w:rsidRDefault="00AF6702" w:rsidP="004D3BED">
            <w:pPr>
              <w:rPr>
                <w:sz w:val="20"/>
                <w:szCs w:val="20"/>
              </w:rPr>
            </w:pPr>
          </w:p>
        </w:tc>
        <w:tc>
          <w:tcPr>
            <w:tcW w:w="630" w:type="dxa"/>
          </w:tcPr>
          <w:p w14:paraId="6B865020" w14:textId="77777777" w:rsidR="00AF6702" w:rsidRPr="00702882" w:rsidRDefault="00AF6702" w:rsidP="004D3BED">
            <w:pPr>
              <w:rPr>
                <w:sz w:val="20"/>
                <w:szCs w:val="20"/>
              </w:rPr>
            </w:pPr>
            <w:r w:rsidRPr="00702882">
              <w:rPr>
                <w:sz w:val="20"/>
                <w:szCs w:val="20"/>
              </w:rPr>
              <w:t>2004</w:t>
            </w:r>
          </w:p>
        </w:tc>
        <w:tc>
          <w:tcPr>
            <w:tcW w:w="2520" w:type="dxa"/>
          </w:tcPr>
          <w:p w14:paraId="1ABCCB58" w14:textId="77777777" w:rsidR="00AF6702" w:rsidRPr="00702882" w:rsidRDefault="00AF6702" w:rsidP="004D3BED">
            <w:pPr>
              <w:rPr>
                <w:sz w:val="20"/>
                <w:szCs w:val="20"/>
              </w:rPr>
            </w:pPr>
            <w:r w:rsidRPr="00702882">
              <w:rPr>
                <w:sz w:val="20"/>
                <w:szCs w:val="20"/>
              </w:rPr>
              <w:t>Revenue Stabilization Account (1986)</w:t>
            </w:r>
          </w:p>
        </w:tc>
        <w:tc>
          <w:tcPr>
            <w:tcW w:w="1467" w:type="dxa"/>
          </w:tcPr>
          <w:p w14:paraId="57D1C237" w14:textId="77777777" w:rsidR="00AF6702" w:rsidRPr="00702882" w:rsidRDefault="00AF6702" w:rsidP="004D3BED">
            <w:pPr>
              <w:rPr>
                <w:rFonts w:eastAsiaTheme="minorEastAsia"/>
                <w:sz w:val="20"/>
                <w:szCs w:val="20"/>
              </w:rPr>
            </w:pPr>
            <w:r w:rsidRPr="00702882">
              <w:rPr>
                <w:sz w:val="20"/>
                <w:szCs w:val="20"/>
              </w:rPr>
              <w:t>NA</w:t>
            </w:r>
          </w:p>
        </w:tc>
        <w:tc>
          <w:tcPr>
            <w:tcW w:w="5283" w:type="dxa"/>
          </w:tcPr>
          <w:p w14:paraId="25148A41" w14:textId="77777777" w:rsidR="00AF6702" w:rsidRPr="00702882" w:rsidRDefault="00AF6702" w:rsidP="004D3BED">
            <w:pPr>
              <w:rPr>
                <w:sz w:val="20"/>
                <w:szCs w:val="20"/>
              </w:rPr>
            </w:pPr>
            <w:r w:rsidRPr="00702882">
              <w:rPr>
                <w:sz w:val="20"/>
                <w:szCs w:val="20"/>
              </w:rPr>
              <w:t>The 2004 amendment to 7-311 made the following changes:</w:t>
            </w:r>
            <w:r w:rsidRPr="00702882">
              <w:rPr>
                <w:rFonts w:eastAsiaTheme="minorEastAsia"/>
                <w:sz w:val="20"/>
                <w:szCs w:val="20"/>
              </w:rPr>
              <w:t xml:space="preserve"> </w:t>
            </w:r>
            <w:r w:rsidRPr="00702882">
              <w:rPr>
                <w:sz w:val="20"/>
                <w:szCs w:val="20"/>
              </w:rPr>
              <w:t>In Subsection (C), it clarified that the Account is continuous and exempt from Section 7-302.</w:t>
            </w:r>
          </w:p>
          <w:p w14:paraId="2008A406" w14:textId="77777777" w:rsidR="00AF6702" w:rsidRPr="00702882" w:rsidRDefault="00AF6702" w:rsidP="004D3BED">
            <w:pPr>
              <w:rPr>
                <w:rFonts w:eastAsiaTheme="minorEastAsia"/>
                <w:sz w:val="20"/>
                <w:szCs w:val="20"/>
              </w:rPr>
            </w:pPr>
            <w:r w:rsidRPr="00702882">
              <w:rPr>
                <w:sz w:val="20"/>
                <w:szCs w:val="20"/>
              </w:rPr>
              <w:t>Subsection (E) mandates appropriations to the Account based on its balance and estimated General Fund revenues. It requires a minimum allocation of $100 million if the balance is below 3% of estimated General Fund revenues. If the balance falls between 3% and 5% of estimated General Fund revenues, an allocation of at least $50 million or an amount necessary to surpass 5% of estimated General Fund revenues is required.</w:t>
            </w:r>
          </w:p>
        </w:tc>
        <w:tc>
          <w:tcPr>
            <w:tcW w:w="2790" w:type="dxa"/>
          </w:tcPr>
          <w:p w14:paraId="06894DCE" w14:textId="77777777" w:rsidR="00AF6702" w:rsidRPr="00702882" w:rsidRDefault="00AF6702" w:rsidP="004D3BED">
            <w:pPr>
              <w:tabs>
                <w:tab w:val="left" w:pos="468"/>
              </w:tabs>
              <w:rPr>
                <w:sz w:val="20"/>
                <w:szCs w:val="20"/>
              </w:rPr>
            </w:pPr>
            <w:r w:rsidRPr="00702882">
              <w:rPr>
                <w:sz w:val="20"/>
                <w:szCs w:val="20"/>
              </w:rPr>
              <w:t>2003 Md. ALS 203, 2003 Md. Laws 203, 2003 Md. Chap. 203, 2003 Md. HB 935 (May 13, 2003)</w:t>
            </w:r>
          </w:p>
        </w:tc>
      </w:tr>
      <w:tr w:rsidR="00850754" w:rsidRPr="00702882" w14:paraId="2609A461" w14:textId="77777777" w:rsidTr="00AE6820">
        <w:trPr>
          <w:jc w:val="center"/>
        </w:trPr>
        <w:tc>
          <w:tcPr>
            <w:tcW w:w="1615" w:type="dxa"/>
            <w:vMerge/>
          </w:tcPr>
          <w:p w14:paraId="6295E0DF" w14:textId="77777777" w:rsidR="00AF6702" w:rsidRPr="00702882" w:rsidRDefault="00AF6702" w:rsidP="004D3BED">
            <w:pPr>
              <w:rPr>
                <w:sz w:val="20"/>
                <w:szCs w:val="20"/>
              </w:rPr>
            </w:pPr>
          </w:p>
        </w:tc>
        <w:tc>
          <w:tcPr>
            <w:tcW w:w="630" w:type="dxa"/>
          </w:tcPr>
          <w:p w14:paraId="2AE0C6DF" w14:textId="77777777" w:rsidR="00AF6702" w:rsidRPr="00702882" w:rsidRDefault="00AF6702" w:rsidP="004D3BED">
            <w:pPr>
              <w:rPr>
                <w:sz w:val="20"/>
                <w:szCs w:val="20"/>
              </w:rPr>
            </w:pPr>
            <w:r w:rsidRPr="00702882">
              <w:rPr>
                <w:sz w:val="20"/>
                <w:szCs w:val="20"/>
              </w:rPr>
              <w:t>2006</w:t>
            </w:r>
          </w:p>
        </w:tc>
        <w:tc>
          <w:tcPr>
            <w:tcW w:w="2520" w:type="dxa"/>
          </w:tcPr>
          <w:p w14:paraId="0C3A1628" w14:textId="77777777" w:rsidR="00AF6702" w:rsidRPr="00702882" w:rsidRDefault="00AF6702" w:rsidP="004D3BED">
            <w:pPr>
              <w:rPr>
                <w:sz w:val="20"/>
                <w:szCs w:val="20"/>
              </w:rPr>
            </w:pPr>
            <w:r w:rsidRPr="00702882">
              <w:rPr>
                <w:sz w:val="20"/>
                <w:szCs w:val="20"/>
              </w:rPr>
              <w:t>Revenue Stabilization Account (1986)</w:t>
            </w:r>
          </w:p>
          <w:p w14:paraId="2B70B867" w14:textId="77777777" w:rsidR="00AF6702" w:rsidRPr="00702882" w:rsidRDefault="00AF6702" w:rsidP="004D3BED">
            <w:pPr>
              <w:rPr>
                <w:sz w:val="20"/>
                <w:szCs w:val="20"/>
              </w:rPr>
            </w:pPr>
          </w:p>
        </w:tc>
        <w:tc>
          <w:tcPr>
            <w:tcW w:w="1467" w:type="dxa"/>
          </w:tcPr>
          <w:p w14:paraId="1E5EFFEB" w14:textId="77777777" w:rsidR="00AF6702" w:rsidRPr="00702882" w:rsidRDefault="00AF6702" w:rsidP="004D3BED">
            <w:pPr>
              <w:rPr>
                <w:sz w:val="20"/>
                <w:szCs w:val="20"/>
              </w:rPr>
            </w:pPr>
            <w:r w:rsidRPr="00702882">
              <w:rPr>
                <w:sz w:val="20"/>
                <w:szCs w:val="20"/>
              </w:rPr>
              <w:t xml:space="preserve">Cap </w:t>
            </w:r>
          </w:p>
          <w:p w14:paraId="3D8C8C33"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7.5</w:t>
            </w:r>
            <w:r w:rsidRPr="00702882">
              <w:rPr>
                <w:sz w:val="20"/>
                <w:szCs w:val="20"/>
              </w:rPr>
              <w:t>)</w:t>
            </w:r>
          </w:p>
        </w:tc>
        <w:tc>
          <w:tcPr>
            <w:tcW w:w="5283" w:type="dxa"/>
          </w:tcPr>
          <w:p w14:paraId="53EB5259" w14:textId="77777777" w:rsidR="00AF6702" w:rsidRPr="00702882" w:rsidRDefault="00AF6702" w:rsidP="004D3BED">
            <w:pPr>
              <w:rPr>
                <w:sz w:val="20"/>
                <w:szCs w:val="20"/>
              </w:rPr>
            </w:pPr>
            <w:r w:rsidRPr="00702882">
              <w:rPr>
                <w:sz w:val="20"/>
                <w:szCs w:val="20"/>
              </w:rPr>
              <w:t>The appropriations required by subsection (e) of the section (f) are not required when the Account balance exceeds 7.5% of the estimated General Fund revenues.</w:t>
            </w:r>
          </w:p>
        </w:tc>
        <w:tc>
          <w:tcPr>
            <w:tcW w:w="2790" w:type="dxa"/>
          </w:tcPr>
          <w:p w14:paraId="05C307A9" w14:textId="77777777" w:rsidR="00AF6702" w:rsidRPr="00702882" w:rsidRDefault="00AF6702" w:rsidP="004D3BED">
            <w:pPr>
              <w:tabs>
                <w:tab w:val="left" w:pos="468"/>
              </w:tabs>
              <w:rPr>
                <w:sz w:val="20"/>
                <w:szCs w:val="20"/>
              </w:rPr>
            </w:pPr>
            <w:r w:rsidRPr="00702882">
              <w:rPr>
                <w:sz w:val="20"/>
                <w:szCs w:val="20"/>
              </w:rPr>
              <w:t>2006 Md. ALS 52, 2006 Md. Laws 52, 2006 Md. Chap. 52, 2006 Md. HB 1331 (April 8, 2006)</w:t>
            </w:r>
          </w:p>
        </w:tc>
      </w:tr>
      <w:tr w:rsidR="00850754" w:rsidRPr="00702882" w14:paraId="6E02598F" w14:textId="77777777" w:rsidTr="00AE6820">
        <w:trPr>
          <w:jc w:val="center"/>
        </w:trPr>
        <w:tc>
          <w:tcPr>
            <w:tcW w:w="1615" w:type="dxa"/>
            <w:vMerge w:val="restart"/>
          </w:tcPr>
          <w:p w14:paraId="5AF3E9BD" w14:textId="77777777" w:rsidR="00AF6702" w:rsidRPr="00702882" w:rsidRDefault="00AF6702" w:rsidP="004D3BED">
            <w:pPr>
              <w:rPr>
                <w:sz w:val="20"/>
                <w:szCs w:val="20"/>
              </w:rPr>
            </w:pPr>
            <w:r w:rsidRPr="00702882">
              <w:rPr>
                <w:sz w:val="20"/>
                <w:szCs w:val="20"/>
              </w:rPr>
              <w:t xml:space="preserve">Massachusetts </w:t>
            </w:r>
          </w:p>
        </w:tc>
        <w:tc>
          <w:tcPr>
            <w:tcW w:w="630" w:type="dxa"/>
          </w:tcPr>
          <w:p w14:paraId="5A5AE2F5" w14:textId="77777777" w:rsidR="00AF6702" w:rsidRPr="00702882" w:rsidRDefault="00AF6702" w:rsidP="004D3BED">
            <w:pPr>
              <w:rPr>
                <w:sz w:val="20"/>
                <w:szCs w:val="20"/>
              </w:rPr>
            </w:pPr>
            <w:r w:rsidRPr="00702882">
              <w:rPr>
                <w:sz w:val="20"/>
                <w:szCs w:val="20"/>
              </w:rPr>
              <w:t>2001</w:t>
            </w:r>
          </w:p>
        </w:tc>
        <w:tc>
          <w:tcPr>
            <w:tcW w:w="2520" w:type="dxa"/>
          </w:tcPr>
          <w:p w14:paraId="6BC1AF09" w14:textId="77777777" w:rsidR="00AF6702" w:rsidRPr="00702882" w:rsidRDefault="00AF6702" w:rsidP="004D3BED">
            <w:pPr>
              <w:rPr>
                <w:sz w:val="20"/>
                <w:szCs w:val="20"/>
              </w:rPr>
            </w:pPr>
            <w:r w:rsidRPr="00702882">
              <w:rPr>
                <w:sz w:val="20"/>
                <w:szCs w:val="20"/>
              </w:rPr>
              <w:t>Commonwealth Stabilization Fund (1986)</w:t>
            </w:r>
          </w:p>
          <w:p w14:paraId="0064EAE7" w14:textId="77777777" w:rsidR="00AF6702" w:rsidRPr="00702882" w:rsidRDefault="00AF6702" w:rsidP="004D3BED">
            <w:pPr>
              <w:rPr>
                <w:sz w:val="20"/>
                <w:szCs w:val="20"/>
              </w:rPr>
            </w:pPr>
          </w:p>
          <w:p w14:paraId="3A94527F" w14:textId="77777777" w:rsidR="00AF6702" w:rsidRPr="00702882" w:rsidRDefault="00AF6702" w:rsidP="004D3BED">
            <w:pPr>
              <w:rPr>
                <w:sz w:val="20"/>
                <w:szCs w:val="20"/>
              </w:rPr>
            </w:pPr>
          </w:p>
        </w:tc>
        <w:tc>
          <w:tcPr>
            <w:tcW w:w="1467" w:type="dxa"/>
          </w:tcPr>
          <w:p w14:paraId="672D9CEA" w14:textId="77777777" w:rsidR="00AF6702" w:rsidRPr="00702882" w:rsidRDefault="00AF6702" w:rsidP="004D3BED">
            <w:pPr>
              <w:rPr>
                <w:sz w:val="20"/>
                <w:szCs w:val="20"/>
              </w:rPr>
            </w:pPr>
            <w:r w:rsidRPr="00702882">
              <w:rPr>
                <w:sz w:val="20"/>
                <w:szCs w:val="20"/>
              </w:rPr>
              <w:t>Cap</w:t>
            </w:r>
          </w:p>
          <w:p w14:paraId="5BE9AFDF"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7.5</w:t>
            </w:r>
            <w:r w:rsidRPr="00702882">
              <w:rPr>
                <w:sz w:val="20"/>
                <w:szCs w:val="20"/>
              </w:rPr>
              <w:t xml:space="preserve"> → </w:t>
            </w:r>
            <w:r w:rsidRPr="00702882">
              <w:rPr>
                <w:rFonts w:eastAsiaTheme="minorEastAsia"/>
                <w:sz w:val="20"/>
                <w:szCs w:val="20"/>
              </w:rPr>
              <w:t>10</w:t>
            </w:r>
            <w:r w:rsidRPr="00702882">
              <w:rPr>
                <w:sz w:val="20"/>
                <w:szCs w:val="20"/>
              </w:rPr>
              <w:t>)</w:t>
            </w:r>
          </w:p>
        </w:tc>
        <w:tc>
          <w:tcPr>
            <w:tcW w:w="5283" w:type="dxa"/>
          </w:tcPr>
          <w:p w14:paraId="2F0CE94F" w14:textId="77777777" w:rsidR="00AF6702" w:rsidRPr="00702882" w:rsidRDefault="00AF6702" w:rsidP="004D3BED">
            <w:pPr>
              <w:rPr>
                <w:sz w:val="20"/>
                <w:szCs w:val="20"/>
              </w:rPr>
            </w:pPr>
            <w:r w:rsidRPr="00702882">
              <w:rPr>
                <w:sz w:val="20"/>
                <w:szCs w:val="20"/>
              </w:rPr>
              <w:t>If the amount remaining in the fund exceeds 10 % of the budgeted revenues and other financial resources, the amounts so in excess shall be transferred to the Tax Reduction Fund established by section 2I.</w:t>
            </w:r>
          </w:p>
        </w:tc>
        <w:tc>
          <w:tcPr>
            <w:tcW w:w="2790" w:type="dxa"/>
          </w:tcPr>
          <w:p w14:paraId="1D5F59BD" w14:textId="77777777" w:rsidR="00AF6702" w:rsidRPr="00702882" w:rsidRDefault="00AF6702" w:rsidP="004D3BED">
            <w:pPr>
              <w:rPr>
                <w:sz w:val="20"/>
                <w:szCs w:val="20"/>
              </w:rPr>
            </w:pPr>
            <w:r w:rsidRPr="00702882">
              <w:rPr>
                <w:sz w:val="20"/>
                <w:szCs w:val="20"/>
              </w:rPr>
              <w:t>2001 Mass. ALS 177, 2001 Mass. Ch. 177, 2001 Mass. H.B. 4800 (December 1, 2001)</w:t>
            </w:r>
          </w:p>
        </w:tc>
      </w:tr>
      <w:tr w:rsidR="00850754" w:rsidRPr="00702882" w14:paraId="099082F5" w14:textId="77777777" w:rsidTr="00AE6820">
        <w:trPr>
          <w:jc w:val="center"/>
        </w:trPr>
        <w:tc>
          <w:tcPr>
            <w:tcW w:w="1615" w:type="dxa"/>
            <w:vMerge/>
          </w:tcPr>
          <w:p w14:paraId="6B32C21A" w14:textId="77777777" w:rsidR="00AF6702" w:rsidRPr="00702882" w:rsidRDefault="00AF6702" w:rsidP="004D3BED">
            <w:pPr>
              <w:rPr>
                <w:sz w:val="20"/>
                <w:szCs w:val="20"/>
              </w:rPr>
            </w:pPr>
          </w:p>
        </w:tc>
        <w:tc>
          <w:tcPr>
            <w:tcW w:w="630" w:type="dxa"/>
          </w:tcPr>
          <w:p w14:paraId="154D42BA" w14:textId="77777777" w:rsidR="00AF6702" w:rsidRPr="00702882" w:rsidRDefault="00AF6702" w:rsidP="004D3BED">
            <w:pPr>
              <w:rPr>
                <w:sz w:val="20"/>
                <w:szCs w:val="20"/>
              </w:rPr>
            </w:pPr>
            <w:r w:rsidRPr="00702882">
              <w:rPr>
                <w:sz w:val="20"/>
                <w:szCs w:val="20"/>
              </w:rPr>
              <w:t>2003</w:t>
            </w:r>
          </w:p>
        </w:tc>
        <w:tc>
          <w:tcPr>
            <w:tcW w:w="2520" w:type="dxa"/>
          </w:tcPr>
          <w:p w14:paraId="5005A6F8" w14:textId="77777777" w:rsidR="00AF6702" w:rsidRPr="00702882" w:rsidRDefault="00AF6702" w:rsidP="004D3BED">
            <w:pPr>
              <w:rPr>
                <w:sz w:val="20"/>
                <w:szCs w:val="20"/>
              </w:rPr>
            </w:pPr>
            <w:r w:rsidRPr="00702882">
              <w:rPr>
                <w:sz w:val="20"/>
                <w:szCs w:val="20"/>
              </w:rPr>
              <w:t>Commonwealth Stabilization Fund (1986)</w:t>
            </w:r>
          </w:p>
          <w:p w14:paraId="03E36A4A" w14:textId="77777777" w:rsidR="00AF6702" w:rsidRPr="00702882" w:rsidRDefault="00AF6702" w:rsidP="004D3BED">
            <w:pPr>
              <w:rPr>
                <w:sz w:val="20"/>
                <w:szCs w:val="20"/>
              </w:rPr>
            </w:pPr>
          </w:p>
          <w:p w14:paraId="46714577" w14:textId="77777777" w:rsidR="00AF6702" w:rsidRPr="00702882" w:rsidRDefault="00AF6702" w:rsidP="004D3BED">
            <w:pPr>
              <w:rPr>
                <w:sz w:val="20"/>
                <w:szCs w:val="20"/>
              </w:rPr>
            </w:pPr>
          </w:p>
        </w:tc>
        <w:tc>
          <w:tcPr>
            <w:tcW w:w="1467" w:type="dxa"/>
          </w:tcPr>
          <w:p w14:paraId="0282C2FF" w14:textId="77777777" w:rsidR="00AF6702" w:rsidRPr="00702882" w:rsidRDefault="00AF6702" w:rsidP="004D3BED">
            <w:pPr>
              <w:rPr>
                <w:sz w:val="20"/>
                <w:szCs w:val="20"/>
              </w:rPr>
            </w:pPr>
            <w:r w:rsidRPr="00702882">
              <w:rPr>
                <w:sz w:val="20"/>
                <w:szCs w:val="20"/>
              </w:rPr>
              <w:t xml:space="preserve">Cap </w:t>
            </w:r>
          </w:p>
          <w:p w14:paraId="6D7F5F2A"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15</w:t>
            </w:r>
            <w:r w:rsidRPr="00702882">
              <w:rPr>
                <w:sz w:val="20"/>
                <w:szCs w:val="20"/>
              </w:rPr>
              <w:t>)</w:t>
            </w:r>
          </w:p>
        </w:tc>
        <w:tc>
          <w:tcPr>
            <w:tcW w:w="5283" w:type="dxa"/>
          </w:tcPr>
          <w:p w14:paraId="4A72C6BF" w14:textId="77777777" w:rsidR="00AF6702" w:rsidRPr="00702882" w:rsidRDefault="00AF6702" w:rsidP="004D3BED">
            <w:pPr>
              <w:rPr>
                <w:sz w:val="20"/>
                <w:szCs w:val="20"/>
              </w:rPr>
            </w:pPr>
            <w:r w:rsidRPr="00702882">
              <w:rPr>
                <w:sz w:val="20"/>
                <w:szCs w:val="20"/>
              </w:rPr>
              <w:t>If the amount remaining in the fund exceeds 15 % of the budgeted revenues and other financial resources, the amounts so in excess shall be transferred to the Tax Reduction Fund established by section 2I.</w:t>
            </w:r>
          </w:p>
        </w:tc>
        <w:tc>
          <w:tcPr>
            <w:tcW w:w="2790" w:type="dxa"/>
          </w:tcPr>
          <w:p w14:paraId="303F5AF0" w14:textId="77777777" w:rsidR="00AF6702" w:rsidRPr="00702882" w:rsidRDefault="00AF6702" w:rsidP="004D3BED">
            <w:pPr>
              <w:tabs>
                <w:tab w:val="left" w:pos="468"/>
              </w:tabs>
              <w:rPr>
                <w:sz w:val="20"/>
                <w:szCs w:val="20"/>
              </w:rPr>
            </w:pPr>
            <w:r w:rsidRPr="00702882">
              <w:rPr>
                <w:sz w:val="20"/>
                <w:szCs w:val="20"/>
              </w:rPr>
              <w:t>2003 Mass. ALS 26, 2003 Mass. Ch. 26, 2003 Mass. H.B. 4004 (November 19, 2003)</w:t>
            </w:r>
          </w:p>
        </w:tc>
      </w:tr>
      <w:tr w:rsidR="00850754" w:rsidRPr="00702882" w14:paraId="4191ED86" w14:textId="77777777" w:rsidTr="00AE6820">
        <w:trPr>
          <w:jc w:val="center"/>
        </w:trPr>
        <w:tc>
          <w:tcPr>
            <w:tcW w:w="1615" w:type="dxa"/>
            <w:vMerge w:val="restart"/>
          </w:tcPr>
          <w:p w14:paraId="07FC9559" w14:textId="77777777" w:rsidR="00AF6702" w:rsidRPr="00702882" w:rsidRDefault="00AF6702" w:rsidP="004D3BED">
            <w:pPr>
              <w:rPr>
                <w:sz w:val="20"/>
                <w:szCs w:val="20"/>
              </w:rPr>
            </w:pPr>
            <w:r w:rsidRPr="00702882">
              <w:rPr>
                <w:sz w:val="20"/>
                <w:szCs w:val="20"/>
              </w:rPr>
              <w:t>Michigan</w:t>
            </w:r>
          </w:p>
        </w:tc>
        <w:tc>
          <w:tcPr>
            <w:tcW w:w="630" w:type="dxa"/>
            <w:vMerge w:val="restart"/>
          </w:tcPr>
          <w:p w14:paraId="7FFA2E7A" w14:textId="77777777" w:rsidR="00AF6702" w:rsidRPr="00702882" w:rsidRDefault="00AF6702" w:rsidP="004D3BED">
            <w:pPr>
              <w:rPr>
                <w:sz w:val="20"/>
                <w:szCs w:val="20"/>
              </w:rPr>
            </w:pPr>
            <w:r w:rsidRPr="00702882">
              <w:rPr>
                <w:sz w:val="20"/>
                <w:szCs w:val="20"/>
              </w:rPr>
              <w:t>2018</w:t>
            </w:r>
          </w:p>
        </w:tc>
        <w:tc>
          <w:tcPr>
            <w:tcW w:w="2520" w:type="dxa"/>
          </w:tcPr>
          <w:p w14:paraId="3BD5F289" w14:textId="77777777" w:rsidR="00AF6702" w:rsidRPr="00702882" w:rsidRDefault="00AF6702" w:rsidP="004D3BED">
            <w:pPr>
              <w:rPr>
                <w:sz w:val="20"/>
                <w:szCs w:val="20"/>
              </w:rPr>
            </w:pPr>
            <w:r w:rsidRPr="00702882">
              <w:rPr>
                <w:sz w:val="20"/>
                <w:szCs w:val="20"/>
              </w:rPr>
              <w:t>Counter-Cyclical Budget and Economic Stabilization Fund (1977)</w:t>
            </w:r>
          </w:p>
        </w:tc>
        <w:tc>
          <w:tcPr>
            <w:tcW w:w="1467" w:type="dxa"/>
          </w:tcPr>
          <w:p w14:paraId="19C6411F" w14:textId="77777777" w:rsidR="00AF6702" w:rsidRPr="00702882" w:rsidRDefault="00AF6702" w:rsidP="004D3BED">
            <w:pPr>
              <w:rPr>
                <w:sz w:val="20"/>
                <w:szCs w:val="20"/>
              </w:rPr>
            </w:pPr>
            <w:r w:rsidRPr="00702882">
              <w:rPr>
                <w:sz w:val="20"/>
                <w:szCs w:val="20"/>
              </w:rPr>
              <w:t xml:space="preserve">Cap </w:t>
            </w:r>
          </w:p>
          <w:p w14:paraId="65BD0373"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15</w:t>
            </w:r>
            <w:r w:rsidRPr="00702882">
              <w:rPr>
                <w:sz w:val="20"/>
                <w:szCs w:val="20"/>
              </w:rPr>
              <w:t>)</w:t>
            </w:r>
          </w:p>
        </w:tc>
        <w:tc>
          <w:tcPr>
            <w:tcW w:w="5283" w:type="dxa"/>
          </w:tcPr>
          <w:p w14:paraId="1F3A2DAB" w14:textId="77777777" w:rsidR="00AF6702" w:rsidRPr="00702882" w:rsidRDefault="00AF6702" w:rsidP="004D3BED">
            <w:pPr>
              <w:rPr>
                <w:sz w:val="20"/>
                <w:szCs w:val="20"/>
              </w:rPr>
            </w:pPr>
            <w:r w:rsidRPr="00702882">
              <w:rPr>
                <w:sz w:val="20"/>
                <w:szCs w:val="20"/>
              </w:rPr>
              <w:t>The balance in the fund shall not exceed 15% of the combined level of general fund-general purpose and school aid fund revenues.</w:t>
            </w:r>
          </w:p>
          <w:p w14:paraId="15F6B943" w14:textId="77777777" w:rsidR="00AF6702" w:rsidRPr="00702882" w:rsidRDefault="00AF6702" w:rsidP="004D3BED">
            <w:pPr>
              <w:rPr>
                <w:sz w:val="20"/>
                <w:szCs w:val="20"/>
              </w:rPr>
            </w:pPr>
          </w:p>
        </w:tc>
        <w:tc>
          <w:tcPr>
            <w:tcW w:w="2790" w:type="dxa"/>
          </w:tcPr>
          <w:p w14:paraId="352E0566" w14:textId="77777777" w:rsidR="00AF6702" w:rsidRPr="00702882" w:rsidRDefault="00AF6702" w:rsidP="004D3BED">
            <w:pPr>
              <w:rPr>
                <w:sz w:val="20"/>
                <w:szCs w:val="20"/>
              </w:rPr>
            </w:pPr>
            <w:r w:rsidRPr="00702882">
              <w:rPr>
                <w:sz w:val="20"/>
                <w:szCs w:val="20"/>
              </w:rPr>
              <w:t>2018 Mi. ALS 613, 2018 Mi. P.A. 613, 2017 Mi. H.B. 4602 (December 28, 2018)</w:t>
            </w:r>
          </w:p>
        </w:tc>
      </w:tr>
      <w:tr w:rsidR="00850754" w:rsidRPr="00702882" w14:paraId="3F6312B4" w14:textId="77777777" w:rsidTr="00AE6820">
        <w:trPr>
          <w:jc w:val="center"/>
        </w:trPr>
        <w:tc>
          <w:tcPr>
            <w:tcW w:w="1615" w:type="dxa"/>
            <w:vMerge/>
          </w:tcPr>
          <w:p w14:paraId="165214DC" w14:textId="77777777" w:rsidR="00AF6702" w:rsidRPr="00702882" w:rsidRDefault="00AF6702" w:rsidP="004D3BED">
            <w:pPr>
              <w:rPr>
                <w:sz w:val="20"/>
                <w:szCs w:val="20"/>
              </w:rPr>
            </w:pPr>
          </w:p>
        </w:tc>
        <w:tc>
          <w:tcPr>
            <w:tcW w:w="630" w:type="dxa"/>
            <w:vMerge/>
          </w:tcPr>
          <w:p w14:paraId="65F6F3F7" w14:textId="77777777" w:rsidR="00AF6702" w:rsidRPr="00702882" w:rsidRDefault="00AF6702" w:rsidP="004D3BED">
            <w:pPr>
              <w:rPr>
                <w:sz w:val="20"/>
                <w:szCs w:val="20"/>
              </w:rPr>
            </w:pPr>
          </w:p>
        </w:tc>
        <w:tc>
          <w:tcPr>
            <w:tcW w:w="2520" w:type="dxa"/>
          </w:tcPr>
          <w:p w14:paraId="4DFA45D6" w14:textId="77777777" w:rsidR="00AF6702" w:rsidRPr="00702882" w:rsidRDefault="00AF6702" w:rsidP="004D3BED">
            <w:pPr>
              <w:rPr>
                <w:sz w:val="20"/>
                <w:szCs w:val="20"/>
              </w:rPr>
            </w:pPr>
            <w:r w:rsidRPr="00702882">
              <w:rPr>
                <w:sz w:val="20"/>
                <w:szCs w:val="20"/>
              </w:rPr>
              <w:t>Counter-Cyclical Budget and Economic Stabilization Fund (1977)</w:t>
            </w:r>
          </w:p>
        </w:tc>
        <w:tc>
          <w:tcPr>
            <w:tcW w:w="1467" w:type="dxa"/>
          </w:tcPr>
          <w:p w14:paraId="15560D4B" w14:textId="77777777" w:rsidR="00AF6702" w:rsidRPr="00702882" w:rsidRDefault="00AF6702" w:rsidP="004D3BED">
            <w:pPr>
              <w:rPr>
                <w:sz w:val="20"/>
                <w:szCs w:val="20"/>
              </w:rPr>
            </w:pPr>
            <w:r w:rsidRPr="00702882">
              <w:rPr>
                <w:sz w:val="20"/>
                <w:szCs w:val="20"/>
              </w:rPr>
              <w:t xml:space="preserve">Withdrawal limit </w:t>
            </w:r>
          </w:p>
          <w:p w14:paraId="2148B4F7" w14:textId="77777777" w:rsidR="00AF6702" w:rsidRPr="00702882" w:rsidRDefault="00AF6702" w:rsidP="004D3BED">
            <w:pPr>
              <w:rPr>
                <w:sz w:val="20"/>
                <w:szCs w:val="20"/>
              </w:rPr>
            </w:pPr>
            <w:r w:rsidRPr="00702882">
              <w:rPr>
                <w:sz w:val="20"/>
                <w:szCs w:val="20"/>
              </w:rPr>
              <w:t>(0 → 1)</w:t>
            </w:r>
          </w:p>
        </w:tc>
        <w:tc>
          <w:tcPr>
            <w:tcW w:w="5283" w:type="dxa"/>
          </w:tcPr>
          <w:p w14:paraId="7D531C7A" w14:textId="77777777" w:rsidR="00AF6702" w:rsidRPr="00702882" w:rsidRDefault="00AF6702" w:rsidP="004D3BED">
            <w:pPr>
              <w:rPr>
                <w:sz w:val="20"/>
                <w:szCs w:val="20"/>
              </w:rPr>
            </w:pPr>
            <w:r w:rsidRPr="00702882">
              <w:rPr>
                <w:sz w:val="20"/>
                <w:szCs w:val="20"/>
              </w:rPr>
              <w:t xml:space="preserve">When the annual growth rate is estimated to be less than 0%, the legislature may appropriate by law for the fiscal year ending in the current calendar year no more than 25% of the prior fiscal year ending balance in the fund. </w:t>
            </w:r>
          </w:p>
        </w:tc>
        <w:tc>
          <w:tcPr>
            <w:tcW w:w="2790" w:type="dxa"/>
          </w:tcPr>
          <w:p w14:paraId="78786FB9" w14:textId="77777777" w:rsidR="00AF6702" w:rsidRPr="00702882" w:rsidRDefault="00AF6702" w:rsidP="004D3BED">
            <w:pPr>
              <w:tabs>
                <w:tab w:val="left" w:pos="468"/>
              </w:tabs>
              <w:rPr>
                <w:sz w:val="20"/>
                <w:szCs w:val="20"/>
              </w:rPr>
            </w:pPr>
            <w:r w:rsidRPr="00702882">
              <w:rPr>
                <w:sz w:val="20"/>
                <w:szCs w:val="20"/>
              </w:rPr>
              <w:t>2018 Mi. ALS 613, 2018 Mi. P.A. 613, 2017 Mi. H.B. 4602 (December 28, 2018)</w:t>
            </w:r>
          </w:p>
        </w:tc>
      </w:tr>
      <w:tr w:rsidR="00850754" w:rsidRPr="00702882" w14:paraId="2EDA3E67" w14:textId="77777777" w:rsidTr="00AE6820">
        <w:trPr>
          <w:jc w:val="center"/>
        </w:trPr>
        <w:tc>
          <w:tcPr>
            <w:tcW w:w="1615" w:type="dxa"/>
          </w:tcPr>
          <w:p w14:paraId="56D15F07" w14:textId="77777777" w:rsidR="00AF6702" w:rsidRPr="00702882" w:rsidRDefault="00AF6702" w:rsidP="004D3BED">
            <w:pPr>
              <w:rPr>
                <w:sz w:val="20"/>
                <w:szCs w:val="20"/>
              </w:rPr>
            </w:pPr>
            <w:r w:rsidRPr="00702882">
              <w:rPr>
                <w:sz w:val="20"/>
                <w:szCs w:val="20"/>
              </w:rPr>
              <w:t>Minnesota</w:t>
            </w:r>
          </w:p>
        </w:tc>
        <w:tc>
          <w:tcPr>
            <w:tcW w:w="630" w:type="dxa"/>
          </w:tcPr>
          <w:p w14:paraId="39376F01" w14:textId="77777777" w:rsidR="00AF6702" w:rsidRPr="00702882" w:rsidRDefault="00AF6702" w:rsidP="004D3BED">
            <w:pPr>
              <w:rPr>
                <w:sz w:val="20"/>
                <w:szCs w:val="20"/>
              </w:rPr>
            </w:pPr>
            <w:r w:rsidRPr="00702882">
              <w:rPr>
                <w:sz w:val="20"/>
                <w:szCs w:val="20"/>
              </w:rPr>
              <w:t>2014</w:t>
            </w:r>
          </w:p>
        </w:tc>
        <w:tc>
          <w:tcPr>
            <w:tcW w:w="2520" w:type="dxa"/>
          </w:tcPr>
          <w:p w14:paraId="1EAA3C94" w14:textId="77777777" w:rsidR="00AF6702" w:rsidRPr="00702882" w:rsidRDefault="00AF6702" w:rsidP="004D3BED">
            <w:pPr>
              <w:rPr>
                <w:sz w:val="20"/>
                <w:szCs w:val="20"/>
              </w:rPr>
            </w:pPr>
            <w:r w:rsidRPr="00702882">
              <w:rPr>
                <w:sz w:val="20"/>
                <w:szCs w:val="20"/>
              </w:rPr>
              <w:t>Budget Reserve and Cash Flow Accounts (1983)</w:t>
            </w:r>
          </w:p>
        </w:tc>
        <w:tc>
          <w:tcPr>
            <w:tcW w:w="1467" w:type="dxa"/>
          </w:tcPr>
          <w:p w14:paraId="03E2AA9F" w14:textId="77777777" w:rsidR="00AF6702" w:rsidRPr="00702882" w:rsidRDefault="00AF6702" w:rsidP="004D3BED">
            <w:pPr>
              <w:rPr>
                <w:sz w:val="20"/>
                <w:szCs w:val="20"/>
              </w:rPr>
            </w:pPr>
            <w:r w:rsidRPr="00702882">
              <w:rPr>
                <w:sz w:val="20"/>
                <w:szCs w:val="20"/>
              </w:rPr>
              <w:t xml:space="preserve">Deposit by surplus </w:t>
            </w:r>
          </w:p>
          <w:p w14:paraId="29B859B9" w14:textId="77777777" w:rsidR="00AF6702" w:rsidRPr="00702882" w:rsidRDefault="00AF6702" w:rsidP="004D3BED">
            <w:pPr>
              <w:rPr>
                <w:sz w:val="20"/>
                <w:szCs w:val="20"/>
              </w:rPr>
            </w:pPr>
            <w:r w:rsidRPr="00702882">
              <w:rPr>
                <w:sz w:val="20"/>
                <w:szCs w:val="20"/>
              </w:rPr>
              <w:t xml:space="preserve">(0 → </w:t>
            </w:r>
            <w:r w:rsidRPr="00702882">
              <w:rPr>
                <w:rFonts w:eastAsiaTheme="minorEastAsia"/>
                <w:sz w:val="20"/>
                <w:szCs w:val="20"/>
              </w:rPr>
              <w:t>0.33</w:t>
            </w:r>
            <w:r w:rsidRPr="00702882">
              <w:rPr>
                <w:sz w:val="20"/>
                <w:szCs w:val="20"/>
              </w:rPr>
              <w:t>)</w:t>
            </w:r>
          </w:p>
        </w:tc>
        <w:tc>
          <w:tcPr>
            <w:tcW w:w="5283" w:type="dxa"/>
          </w:tcPr>
          <w:p w14:paraId="2056DE62" w14:textId="77777777" w:rsidR="00AF6702" w:rsidRPr="00702882" w:rsidRDefault="00AF6702" w:rsidP="004D3BED">
            <w:pPr>
              <w:rPr>
                <w:sz w:val="20"/>
                <w:szCs w:val="20"/>
              </w:rPr>
            </w:pPr>
            <w:r w:rsidRPr="00702882">
              <w:rPr>
                <w:sz w:val="20"/>
                <w:szCs w:val="20"/>
              </w:rPr>
              <w:t xml:space="preserve">If there will be a positive unrestricted general fund balance, the commissioner shall transfer to the budget reserve account in the general fund. The amount of the transfer shall not exceed 33 percent of the positive unrestricted general fund balance.  </w:t>
            </w:r>
          </w:p>
        </w:tc>
        <w:tc>
          <w:tcPr>
            <w:tcW w:w="2790" w:type="dxa"/>
          </w:tcPr>
          <w:p w14:paraId="3F9E16B7" w14:textId="77777777" w:rsidR="00AF6702" w:rsidRPr="00702882" w:rsidRDefault="00AF6702" w:rsidP="004D3BED">
            <w:pPr>
              <w:tabs>
                <w:tab w:val="left" w:pos="468"/>
              </w:tabs>
              <w:rPr>
                <w:sz w:val="20"/>
                <w:szCs w:val="20"/>
              </w:rPr>
            </w:pPr>
            <w:r w:rsidRPr="00702882">
              <w:rPr>
                <w:sz w:val="20"/>
                <w:szCs w:val="20"/>
              </w:rPr>
              <w:t>MSL 2014 c 150 art 6 s 1, 2, and 3</w:t>
            </w:r>
          </w:p>
        </w:tc>
      </w:tr>
      <w:tr w:rsidR="00850754" w:rsidRPr="00702882" w14:paraId="38D1C1C8" w14:textId="77777777" w:rsidTr="00AE6820">
        <w:trPr>
          <w:jc w:val="center"/>
        </w:trPr>
        <w:tc>
          <w:tcPr>
            <w:tcW w:w="1615" w:type="dxa"/>
            <w:vMerge w:val="restart"/>
          </w:tcPr>
          <w:p w14:paraId="0598B9AE" w14:textId="77777777" w:rsidR="00AF6702" w:rsidRPr="00702882" w:rsidRDefault="00AF6702" w:rsidP="004D3BED">
            <w:pPr>
              <w:rPr>
                <w:sz w:val="20"/>
                <w:szCs w:val="20"/>
              </w:rPr>
            </w:pPr>
            <w:r w:rsidRPr="00702882">
              <w:rPr>
                <w:sz w:val="20"/>
                <w:szCs w:val="20"/>
              </w:rPr>
              <w:t>Mississippi</w:t>
            </w:r>
          </w:p>
        </w:tc>
        <w:tc>
          <w:tcPr>
            <w:tcW w:w="630" w:type="dxa"/>
          </w:tcPr>
          <w:p w14:paraId="4F180DE5" w14:textId="77777777" w:rsidR="00AF6702" w:rsidRPr="00702882" w:rsidRDefault="00AF6702" w:rsidP="004D3BED">
            <w:pPr>
              <w:rPr>
                <w:sz w:val="20"/>
                <w:szCs w:val="20"/>
              </w:rPr>
            </w:pPr>
            <w:r w:rsidRPr="00702882">
              <w:rPr>
                <w:sz w:val="20"/>
                <w:szCs w:val="20"/>
              </w:rPr>
              <w:t>2017</w:t>
            </w:r>
          </w:p>
        </w:tc>
        <w:tc>
          <w:tcPr>
            <w:tcW w:w="2520" w:type="dxa"/>
          </w:tcPr>
          <w:p w14:paraId="68D9E12E" w14:textId="77777777" w:rsidR="00AF6702" w:rsidRPr="00702882" w:rsidRDefault="00AF6702" w:rsidP="004D3BED">
            <w:pPr>
              <w:rPr>
                <w:sz w:val="20"/>
                <w:szCs w:val="20"/>
              </w:rPr>
            </w:pPr>
            <w:r w:rsidRPr="00702882">
              <w:rPr>
                <w:sz w:val="20"/>
                <w:szCs w:val="20"/>
              </w:rPr>
              <w:t>Working Cash-Stabilization Reserve Fund (1992)</w:t>
            </w:r>
          </w:p>
        </w:tc>
        <w:tc>
          <w:tcPr>
            <w:tcW w:w="1467" w:type="dxa"/>
          </w:tcPr>
          <w:p w14:paraId="09A09D7F" w14:textId="77777777" w:rsidR="00AF6702" w:rsidRPr="00702882" w:rsidRDefault="00AF6702" w:rsidP="004D3BED">
            <w:pPr>
              <w:rPr>
                <w:sz w:val="20"/>
                <w:szCs w:val="20"/>
              </w:rPr>
            </w:pPr>
            <w:r w:rsidRPr="00702882">
              <w:rPr>
                <w:sz w:val="20"/>
                <w:szCs w:val="20"/>
              </w:rPr>
              <w:t xml:space="preserve">Withdrawal limit </w:t>
            </w:r>
          </w:p>
          <w:p w14:paraId="71C6C74F" w14:textId="77777777" w:rsidR="00AF6702" w:rsidRPr="00702882" w:rsidRDefault="00AF6702" w:rsidP="004D3BED">
            <w:pPr>
              <w:rPr>
                <w:sz w:val="20"/>
                <w:szCs w:val="20"/>
              </w:rPr>
            </w:pPr>
            <w:r w:rsidRPr="00702882">
              <w:rPr>
                <w:sz w:val="20"/>
                <w:szCs w:val="20"/>
              </w:rPr>
              <w:t>(1 → 0)</w:t>
            </w:r>
          </w:p>
        </w:tc>
        <w:tc>
          <w:tcPr>
            <w:tcW w:w="5283" w:type="dxa"/>
          </w:tcPr>
          <w:p w14:paraId="71D9080C" w14:textId="77777777" w:rsidR="00AF6702" w:rsidRPr="00702882" w:rsidRDefault="00AF6702" w:rsidP="004D3BED">
            <w:pPr>
              <w:rPr>
                <w:sz w:val="20"/>
                <w:szCs w:val="20"/>
              </w:rPr>
            </w:pPr>
            <w:r w:rsidRPr="00702882">
              <w:rPr>
                <w:sz w:val="20"/>
                <w:szCs w:val="20"/>
              </w:rPr>
              <w:t xml:space="preserve">Spending limit still exists, but it was significantly relaxed, increasing its limit from $50,000,000 to 100,000,000 for fiscal year 2017. </w:t>
            </w:r>
          </w:p>
        </w:tc>
        <w:tc>
          <w:tcPr>
            <w:tcW w:w="2790" w:type="dxa"/>
          </w:tcPr>
          <w:p w14:paraId="2E16B95C" w14:textId="77777777" w:rsidR="00AF6702" w:rsidRPr="00702882" w:rsidRDefault="00AF6702" w:rsidP="004D3BED">
            <w:pPr>
              <w:tabs>
                <w:tab w:val="left" w:pos="468"/>
              </w:tabs>
              <w:rPr>
                <w:sz w:val="20"/>
                <w:szCs w:val="20"/>
              </w:rPr>
            </w:pPr>
            <w:r w:rsidRPr="00702882">
              <w:rPr>
                <w:sz w:val="20"/>
                <w:szCs w:val="20"/>
              </w:rPr>
              <w:t>2017 Miss. ALS 440, 2017 Miss. Gen. Laws 440, 2017 Miss. S.B. 2649 (April 18, 2017)</w:t>
            </w:r>
          </w:p>
        </w:tc>
      </w:tr>
      <w:tr w:rsidR="00850754" w:rsidRPr="00702882" w14:paraId="77EA0336" w14:textId="77777777" w:rsidTr="00AE6820">
        <w:trPr>
          <w:jc w:val="center"/>
        </w:trPr>
        <w:tc>
          <w:tcPr>
            <w:tcW w:w="1615" w:type="dxa"/>
            <w:vMerge/>
          </w:tcPr>
          <w:p w14:paraId="6203FACF" w14:textId="77777777" w:rsidR="00AF6702" w:rsidRPr="00702882" w:rsidRDefault="00AF6702" w:rsidP="004D3BED">
            <w:pPr>
              <w:rPr>
                <w:sz w:val="20"/>
                <w:szCs w:val="20"/>
              </w:rPr>
            </w:pPr>
          </w:p>
        </w:tc>
        <w:tc>
          <w:tcPr>
            <w:tcW w:w="630" w:type="dxa"/>
          </w:tcPr>
          <w:p w14:paraId="4DB9B948" w14:textId="77777777" w:rsidR="00AF6702" w:rsidRPr="00702882" w:rsidRDefault="00AF6702" w:rsidP="004D3BED">
            <w:pPr>
              <w:rPr>
                <w:sz w:val="20"/>
                <w:szCs w:val="20"/>
              </w:rPr>
            </w:pPr>
            <w:r w:rsidRPr="00702882">
              <w:rPr>
                <w:sz w:val="20"/>
                <w:szCs w:val="20"/>
              </w:rPr>
              <w:t>2018</w:t>
            </w:r>
          </w:p>
        </w:tc>
        <w:tc>
          <w:tcPr>
            <w:tcW w:w="2520" w:type="dxa"/>
          </w:tcPr>
          <w:p w14:paraId="6905D014" w14:textId="77777777" w:rsidR="00AF6702" w:rsidRPr="00702882" w:rsidRDefault="00AF6702" w:rsidP="004D3BED">
            <w:pPr>
              <w:rPr>
                <w:sz w:val="20"/>
                <w:szCs w:val="20"/>
              </w:rPr>
            </w:pPr>
            <w:r w:rsidRPr="00702882">
              <w:rPr>
                <w:sz w:val="20"/>
                <w:szCs w:val="20"/>
              </w:rPr>
              <w:t>Working Cash-Stabilization Reserve Fund (1992)</w:t>
            </w:r>
          </w:p>
        </w:tc>
        <w:tc>
          <w:tcPr>
            <w:tcW w:w="1467" w:type="dxa"/>
          </w:tcPr>
          <w:p w14:paraId="1F0C6FB3" w14:textId="77777777" w:rsidR="00AF6702" w:rsidRPr="00702882" w:rsidRDefault="00AF6702" w:rsidP="004D3BED">
            <w:pPr>
              <w:rPr>
                <w:sz w:val="20"/>
                <w:szCs w:val="20"/>
              </w:rPr>
            </w:pPr>
            <w:r w:rsidRPr="00702882">
              <w:rPr>
                <w:sz w:val="20"/>
                <w:szCs w:val="20"/>
              </w:rPr>
              <w:t xml:space="preserve">Withdrawal limit </w:t>
            </w:r>
          </w:p>
          <w:p w14:paraId="3B25F71A" w14:textId="77777777" w:rsidR="00AF6702" w:rsidRPr="00702882" w:rsidRDefault="00AF6702" w:rsidP="004D3BED">
            <w:pPr>
              <w:rPr>
                <w:sz w:val="20"/>
                <w:szCs w:val="20"/>
              </w:rPr>
            </w:pPr>
            <w:r w:rsidRPr="00702882">
              <w:rPr>
                <w:sz w:val="20"/>
                <w:szCs w:val="20"/>
              </w:rPr>
              <w:t>(0 → 1)</w:t>
            </w:r>
          </w:p>
        </w:tc>
        <w:tc>
          <w:tcPr>
            <w:tcW w:w="5283" w:type="dxa"/>
          </w:tcPr>
          <w:p w14:paraId="3A856874" w14:textId="77777777" w:rsidR="00AF6702" w:rsidRPr="00702882" w:rsidRDefault="00AF6702" w:rsidP="004D3BED">
            <w:pPr>
              <w:rPr>
                <w:sz w:val="20"/>
                <w:szCs w:val="20"/>
              </w:rPr>
            </w:pPr>
            <w:r w:rsidRPr="00702882">
              <w:rPr>
                <w:sz w:val="20"/>
                <w:szCs w:val="20"/>
              </w:rPr>
              <w:t xml:space="preserve">If a deficit in revenues from all sources may occur, a maximum of $50,000,000 may be transferred to the General Fund. </w:t>
            </w:r>
          </w:p>
        </w:tc>
        <w:tc>
          <w:tcPr>
            <w:tcW w:w="2790" w:type="dxa"/>
          </w:tcPr>
          <w:p w14:paraId="2B04F2F9" w14:textId="77777777" w:rsidR="00AF6702" w:rsidRPr="00702882" w:rsidRDefault="00AF6702" w:rsidP="004D3BED">
            <w:pPr>
              <w:rPr>
                <w:sz w:val="20"/>
                <w:szCs w:val="20"/>
              </w:rPr>
            </w:pPr>
            <w:r w:rsidRPr="00702882">
              <w:rPr>
                <w:sz w:val="20"/>
                <w:szCs w:val="20"/>
              </w:rPr>
              <w:t>2017 Miss. ALS 440, 2017 Miss. Gen. Laws 440, 2017 Miss. S.B. 2649 (April 18, 2017)</w:t>
            </w:r>
          </w:p>
        </w:tc>
      </w:tr>
      <w:tr w:rsidR="00850754" w:rsidRPr="00702882" w14:paraId="685A5825" w14:textId="77777777" w:rsidTr="00AE6820">
        <w:trPr>
          <w:jc w:val="center"/>
        </w:trPr>
        <w:tc>
          <w:tcPr>
            <w:tcW w:w="1615" w:type="dxa"/>
            <w:vMerge w:val="restart"/>
          </w:tcPr>
          <w:p w14:paraId="678A16C4" w14:textId="77777777" w:rsidR="00AF6702" w:rsidRPr="00702882" w:rsidRDefault="00AF6702" w:rsidP="004D3BED">
            <w:pPr>
              <w:rPr>
                <w:sz w:val="20"/>
                <w:szCs w:val="20"/>
              </w:rPr>
            </w:pPr>
            <w:r w:rsidRPr="00702882">
              <w:rPr>
                <w:sz w:val="20"/>
                <w:szCs w:val="20"/>
              </w:rPr>
              <w:t>Nebraska</w:t>
            </w:r>
          </w:p>
        </w:tc>
        <w:tc>
          <w:tcPr>
            <w:tcW w:w="630" w:type="dxa"/>
          </w:tcPr>
          <w:p w14:paraId="379849A0" w14:textId="77777777" w:rsidR="00AF6702" w:rsidRPr="00702882" w:rsidRDefault="00AF6702" w:rsidP="004D3BED">
            <w:pPr>
              <w:rPr>
                <w:sz w:val="20"/>
                <w:szCs w:val="20"/>
              </w:rPr>
            </w:pPr>
            <w:r w:rsidRPr="00702882">
              <w:rPr>
                <w:sz w:val="20"/>
                <w:szCs w:val="20"/>
              </w:rPr>
              <w:t>2004</w:t>
            </w:r>
          </w:p>
        </w:tc>
        <w:tc>
          <w:tcPr>
            <w:tcW w:w="2520" w:type="dxa"/>
          </w:tcPr>
          <w:p w14:paraId="684D5298" w14:textId="77777777" w:rsidR="00AF6702" w:rsidRPr="00702882" w:rsidRDefault="00AF6702" w:rsidP="004D3BED">
            <w:pPr>
              <w:rPr>
                <w:sz w:val="20"/>
                <w:szCs w:val="20"/>
              </w:rPr>
            </w:pPr>
            <w:r w:rsidRPr="00702882">
              <w:rPr>
                <w:sz w:val="20"/>
                <w:szCs w:val="20"/>
              </w:rPr>
              <w:t>Cash Reserve Fund (1983)</w:t>
            </w:r>
          </w:p>
          <w:p w14:paraId="79667864" w14:textId="77777777" w:rsidR="00AF6702" w:rsidRPr="00702882" w:rsidRDefault="00AF6702" w:rsidP="004D3BED">
            <w:pPr>
              <w:rPr>
                <w:sz w:val="20"/>
                <w:szCs w:val="20"/>
              </w:rPr>
            </w:pPr>
          </w:p>
        </w:tc>
        <w:tc>
          <w:tcPr>
            <w:tcW w:w="1467" w:type="dxa"/>
          </w:tcPr>
          <w:p w14:paraId="6B259919" w14:textId="77777777" w:rsidR="00AF6702" w:rsidRPr="00702882" w:rsidRDefault="00AF6702" w:rsidP="004D3BED">
            <w:pPr>
              <w:rPr>
                <w:sz w:val="20"/>
                <w:szCs w:val="20"/>
              </w:rPr>
            </w:pPr>
            <w:r w:rsidRPr="00702882">
              <w:rPr>
                <w:sz w:val="20"/>
                <w:szCs w:val="20"/>
              </w:rPr>
              <w:t xml:space="preserve">Source </w:t>
            </w:r>
          </w:p>
          <w:p w14:paraId="1C6F4F31" w14:textId="77777777" w:rsidR="00AF6702" w:rsidRPr="00702882" w:rsidRDefault="00AF6702" w:rsidP="004D3BED">
            <w:pPr>
              <w:rPr>
                <w:sz w:val="20"/>
                <w:szCs w:val="20"/>
              </w:rPr>
            </w:pPr>
            <w:r w:rsidRPr="00702882">
              <w:rPr>
                <w:sz w:val="20"/>
                <w:szCs w:val="20"/>
              </w:rPr>
              <w:t xml:space="preserve">(0 → </w:t>
            </w:r>
            <w:r w:rsidRPr="00702882">
              <w:rPr>
                <w:rFonts w:eastAsiaTheme="minorEastAsia"/>
                <w:sz w:val="20"/>
                <w:szCs w:val="20"/>
              </w:rPr>
              <w:t>2.25</w:t>
            </w:r>
            <w:r w:rsidRPr="00702882">
              <w:rPr>
                <w:sz w:val="20"/>
                <w:szCs w:val="20"/>
              </w:rPr>
              <w:t>)</w:t>
            </w:r>
          </w:p>
          <w:p w14:paraId="753DCF0F" w14:textId="77777777" w:rsidR="00AF6702" w:rsidRPr="00702882" w:rsidRDefault="00AF6702" w:rsidP="004D3BED">
            <w:pPr>
              <w:rPr>
                <w:sz w:val="20"/>
                <w:szCs w:val="20"/>
              </w:rPr>
            </w:pPr>
          </w:p>
        </w:tc>
        <w:tc>
          <w:tcPr>
            <w:tcW w:w="5283" w:type="dxa"/>
          </w:tcPr>
          <w:p w14:paraId="5F3D5E7F" w14:textId="77777777" w:rsidR="00AF6702" w:rsidRPr="00702882" w:rsidRDefault="00AF6702" w:rsidP="004D3BED">
            <w:pPr>
              <w:rPr>
                <w:sz w:val="20"/>
                <w:szCs w:val="20"/>
              </w:rPr>
            </w:pPr>
            <w:r w:rsidRPr="00702882">
              <w:rPr>
                <w:sz w:val="20"/>
                <w:szCs w:val="20"/>
              </w:rPr>
              <w:t xml:space="preserve">In addition to receiving transfers from other funds, the Cash Reserve Fund receive Federal Funds for undesignated general government purposes, Federal revenue sharing, or general fiscal relief of the state. </w:t>
            </w:r>
          </w:p>
        </w:tc>
        <w:tc>
          <w:tcPr>
            <w:tcW w:w="2790" w:type="dxa"/>
          </w:tcPr>
          <w:p w14:paraId="505F0547" w14:textId="77777777" w:rsidR="00AF6702" w:rsidRPr="00702882" w:rsidRDefault="00AF6702" w:rsidP="004D3BED">
            <w:pPr>
              <w:rPr>
                <w:sz w:val="20"/>
                <w:szCs w:val="20"/>
              </w:rPr>
            </w:pPr>
            <w:r w:rsidRPr="00702882">
              <w:rPr>
                <w:sz w:val="20"/>
                <w:szCs w:val="20"/>
              </w:rPr>
              <w:t>2003 Neb. ALS 798, 2003 Neb. Laws 798, 2003 Neb. LB 798 (May 26, 2003)</w:t>
            </w:r>
          </w:p>
        </w:tc>
      </w:tr>
      <w:tr w:rsidR="00850754" w:rsidRPr="00702882" w14:paraId="16757C20" w14:textId="77777777" w:rsidTr="00AE6820">
        <w:trPr>
          <w:jc w:val="center"/>
        </w:trPr>
        <w:tc>
          <w:tcPr>
            <w:tcW w:w="1615" w:type="dxa"/>
            <w:vMerge/>
          </w:tcPr>
          <w:p w14:paraId="6CF47E19" w14:textId="77777777" w:rsidR="00AF6702" w:rsidRPr="00702882" w:rsidRDefault="00AF6702" w:rsidP="004D3BED">
            <w:pPr>
              <w:rPr>
                <w:sz w:val="20"/>
                <w:szCs w:val="20"/>
              </w:rPr>
            </w:pPr>
          </w:p>
        </w:tc>
        <w:tc>
          <w:tcPr>
            <w:tcW w:w="630" w:type="dxa"/>
          </w:tcPr>
          <w:p w14:paraId="7A966C2E" w14:textId="77777777" w:rsidR="00AF6702" w:rsidRPr="00702882" w:rsidRDefault="00AF6702" w:rsidP="004D3BED">
            <w:pPr>
              <w:rPr>
                <w:sz w:val="20"/>
                <w:szCs w:val="20"/>
              </w:rPr>
            </w:pPr>
            <w:r w:rsidRPr="00702882">
              <w:rPr>
                <w:sz w:val="20"/>
                <w:szCs w:val="20"/>
              </w:rPr>
              <w:t>2007</w:t>
            </w:r>
          </w:p>
        </w:tc>
        <w:tc>
          <w:tcPr>
            <w:tcW w:w="2520" w:type="dxa"/>
          </w:tcPr>
          <w:p w14:paraId="77C11E83" w14:textId="77777777" w:rsidR="00AF6702" w:rsidRPr="00702882" w:rsidRDefault="00AF6702" w:rsidP="004D3BED">
            <w:pPr>
              <w:rPr>
                <w:sz w:val="20"/>
                <w:szCs w:val="20"/>
              </w:rPr>
            </w:pPr>
            <w:r w:rsidRPr="00702882">
              <w:rPr>
                <w:sz w:val="20"/>
                <w:szCs w:val="20"/>
              </w:rPr>
              <w:t>Cash Reserve Fund (1983)</w:t>
            </w:r>
          </w:p>
          <w:p w14:paraId="46BC86E5" w14:textId="77777777" w:rsidR="00AF6702" w:rsidRPr="00702882" w:rsidRDefault="00AF6702" w:rsidP="004D3BED">
            <w:pPr>
              <w:rPr>
                <w:sz w:val="20"/>
                <w:szCs w:val="20"/>
              </w:rPr>
            </w:pPr>
          </w:p>
          <w:p w14:paraId="498FCA0B" w14:textId="77777777" w:rsidR="00AF6702" w:rsidRPr="00702882" w:rsidRDefault="00AF6702" w:rsidP="004D3BED">
            <w:pPr>
              <w:rPr>
                <w:sz w:val="20"/>
                <w:szCs w:val="20"/>
              </w:rPr>
            </w:pPr>
          </w:p>
        </w:tc>
        <w:tc>
          <w:tcPr>
            <w:tcW w:w="1467" w:type="dxa"/>
          </w:tcPr>
          <w:p w14:paraId="2C46F372" w14:textId="77777777" w:rsidR="00AF6702" w:rsidRPr="00702882" w:rsidRDefault="00AF6702" w:rsidP="004D3BED">
            <w:pPr>
              <w:rPr>
                <w:sz w:val="20"/>
                <w:szCs w:val="20"/>
              </w:rPr>
            </w:pPr>
            <w:r w:rsidRPr="00702882">
              <w:rPr>
                <w:sz w:val="20"/>
                <w:szCs w:val="20"/>
              </w:rPr>
              <w:t xml:space="preserve">Deposit by surplus </w:t>
            </w:r>
          </w:p>
          <w:p w14:paraId="38F62206" w14:textId="77777777" w:rsidR="00AF6702" w:rsidRPr="00702882" w:rsidRDefault="00AF6702" w:rsidP="004D3BED">
            <w:pPr>
              <w:rPr>
                <w:sz w:val="20"/>
                <w:szCs w:val="20"/>
              </w:rPr>
            </w:pPr>
            <w:r w:rsidRPr="00702882">
              <w:rPr>
                <w:sz w:val="20"/>
                <w:szCs w:val="20"/>
              </w:rPr>
              <w:t xml:space="preserve">(0 → </w:t>
            </w:r>
            <w:r w:rsidRPr="00702882">
              <w:rPr>
                <w:rFonts w:eastAsiaTheme="minorEastAsia"/>
                <w:sz w:val="20"/>
                <w:szCs w:val="20"/>
              </w:rPr>
              <w:t>1</w:t>
            </w:r>
            <w:r w:rsidRPr="00702882">
              <w:rPr>
                <w:sz w:val="20"/>
                <w:szCs w:val="20"/>
              </w:rPr>
              <w:t>)</w:t>
            </w:r>
          </w:p>
        </w:tc>
        <w:tc>
          <w:tcPr>
            <w:tcW w:w="5283" w:type="dxa"/>
          </w:tcPr>
          <w:p w14:paraId="55841034" w14:textId="77777777" w:rsidR="00AF6702" w:rsidRPr="00702882" w:rsidRDefault="00AF6702" w:rsidP="004D3BED">
            <w:pPr>
              <w:rPr>
                <w:sz w:val="20"/>
                <w:szCs w:val="20"/>
              </w:rPr>
            </w:pPr>
            <w:r w:rsidRPr="00702882">
              <w:rPr>
                <w:sz w:val="20"/>
                <w:szCs w:val="20"/>
              </w:rPr>
              <w:t xml:space="preserve">Any unexpended and unobligated balance remaining within the subaccount for money transferred from the Cash Reserve Fund to the Job Training Cash Fund shall be transferred to the Cash Reserve Fund. </w:t>
            </w:r>
          </w:p>
        </w:tc>
        <w:tc>
          <w:tcPr>
            <w:tcW w:w="2790" w:type="dxa"/>
          </w:tcPr>
          <w:p w14:paraId="466E746E" w14:textId="77777777" w:rsidR="00AF6702" w:rsidRPr="00702882" w:rsidRDefault="00AF6702" w:rsidP="004D3BED">
            <w:pPr>
              <w:tabs>
                <w:tab w:val="left" w:pos="468"/>
              </w:tabs>
              <w:rPr>
                <w:sz w:val="20"/>
                <w:szCs w:val="20"/>
              </w:rPr>
            </w:pPr>
            <w:r w:rsidRPr="00702882">
              <w:rPr>
                <w:sz w:val="20"/>
                <w:szCs w:val="20"/>
              </w:rPr>
              <w:t>2005 Neb. ALS 427, 2005 Neb. Laws 427, 2005 Neb. LB 427 (May 24, 2005)</w:t>
            </w:r>
          </w:p>
        </w:tc>
      </w:tr>
      <w:tr w:rsidR="00850754" w:rsidRPr="00702882" w14:paraId="470062C9" w14:textId="77777777" w:rsidTr="00AE6820">
        <w:trPr>
          <w:jc w:val="center"/>
        </w:trPr>
        <w:tc>
          <w:tcPr>
            <w:tcW w:w="1615" w:type="dxa"/>
            <w:vMerge/>
          </w:tcPr>
          <w:p w14:paraId="34279B23" w14:textId="77777777" w:rsidR="00AF6702" w:rsidRPr="00702882" w:rsidRDefault="00AF6702" w:rsidP="004D3BED">
            <w:pPr>
              <w:rPr>
                <w:sz w:val="20"/>
                <w:szCs w:val="20"/>
              </w:rPr>
            </w:pPr>
          </w:p>
        </w:tc>
        <w:tc>
          <w:tcPr>
            <w:tcW w:w="630" w:type="dxa"/>
          </w:tcPr>
          <w:p w14:paraId="6E775A70" w14:textId="77777777" w:rsidR="00AF6702" w:rsidRPr="00702882" w:rsidRDefault="00AF6702" w:rsidP="004D3BED">
            <w:pPr>
              <w:rPr>
                <w:sz w:val="20"/>
                <w:szCs w:val="20"/>
              </w:rPr>
            </w:pPr>
            <w:r w:rsidRPr="00702882">
              <w:rPr>
                <w:sz w:val="20"/>
                <w:szCs w:val="20"/>
              </w:rPr>
              <w:t>2011</w:t>
            </w:r>
          </w:p>
        </w:tc>
        <w:tc>
          <w:tcPr>
            <w:tcW w:w="2520" w:type="dxa"/>
          </w:tcPr>
          <w:p w14:paraId="73D57AE3" w14:textId="77777777" w:rsidR="00AF6702" w:rsidRPr="00702882" w:rsidRDefault="00AF6702" w:rsidP="004D3BED">
            <w:pPr>
              <w:rPr>
                <w:sz w:val="20"/>
                <w:szCs w:val="20"/>
              </w:rPr>
            </w:pPr>
            <w:r w:rsidRPr="00702882">
              <w:rPr>
                <w:sz w:val="20"/>
                <w:szCs w:val="20"/>
              </w:rPr>
              <w:t>Cash Reserve Fund (1983)</w:t>
            </w:r>
          </w:p>
          <w:p w14:paraId="5FD84E93" w14:textId="77777777" w:rsidR="00AF6702" w:rsidRPr="00702882" w:rsidRDefault="00AF6702" w:rsidP="004D3BED">
            <w:pPr>
              <w:rPr>
                <w:sz w:val="20"/>
                <w:szCs w:val="20"/>
              </w:rPr>
            </w:pPr>
          </w:p>
        </w:tc>
        <w:tc>
          <w:tcPr>
            <w:tcW w:w="1467" w:type="dxa"/>
          </w:tcPr>
          <w:p w14:paraId="084B3DD7" w14:textId="77777777" w:rsidR="00AF6702" w:rsidRPr="00702882" w:rsidRDefault="00AF6702" w:rsidP="004D3BED">
            <w:pPr>
              <w:rPr>
                <w:sz w:val="20"/>
                <w:szCs w:val="20"/>
              </w:rPr>
            </w:pPr>
            <w:r w:rsidRPr="00702882">
              <w:rPr>
                <w:sz w:val="20"/>
                <w:szCs w:val="20"/>
              </w:rPr>
              <w:t>Discretionary use</w:t>
            </w:r>
          </w:p>
          <w:p w14:paraId="49900BD0" w14:textId="77777777" w:rsidR="00AF6702" w:rsidRPr="00702882" w:rsidRDefault="00AF6702" w:rsidP="004D3BED">
            <w:pPr>
              <w:rPr>
                <w:sz w:val="20"/>
                <w:szCs w:val="20"/>
              </w:rPr>
            </w:pPr>
          </w:p>
        </w:tc>
        <w:tc>
          <w:tcPr>
            <w:tcW w:w="5283" w:type="dxa"/>
          </w:tcPr>
          <w:p w14:paraId="362218EF" w14:textId="77777777" w:rsidR="00AF6702" w:rsidRPr="00702882" w:rsidRDefault="00AF6702" w:rsidP="004D3BED">
            <w:pPr>
              <w:rPr>
                <w:sz w:val="20"/>
                <w:szCs w:val="20"/>
              </w:rPr>
            </w:pPr>
            <w:r w:rsidRPr="00702882">
              <w:rPr>
                <w:sz w:val="20"/>
                <w:szCs w:val="20"/>
              </w:rPr>
              <w:t xml:space="preserve">The State Treasurer shall transfer not to exceed twelve million dollars in total between July 1, 2011, and November 30, 2012, from the Cash Reserve Fund to the Ethanol Production Incentive Cash Fund, for ethanol production incentive credits. </w:t>
            </w:r>
          </w:p>
        </w:tc>
        <w:tc>
          <w:tcPr>
            <w:tcW w:w="2790" w:type="dxa"/>
          </w:tcPr>
          <w:p w14:paraId="552351A7" w14:textId="77777777" w:rsidR="00AF6702" w:rsidRPr="00702882" w:rsidRDefault="00AF6702" w:rsidP="004D3BED">
            <w:pPr>
              <w:tabs>
                <w:tab w:val="left" w:pos="468"/>
              </w:tabs>
              <w:rPr>
                <w:sz w:val="20"/>
                <w:szCs w:val="20"/>
              </w:rPr>
            </w:pPr>
            <w:r w:rsidRPr="00702882">
              <w:rPr>
                <w:sz w:val="20"/>
                <w:szCs w:val="20"/>
              </w:rPr>
              <w:t>2011 Neb. ALS 379, 2011 Neb. Laws 379, 2011 Neb. LB 379 (May 17, 2011)</w:t>
            </w:r>
          </w:p>
        </w:tc>
      </w:tr>
      <w:tr w:rsidR="00850754" w:rsidRPr="00702882" w14:paraId="532E221A" w14:textId="77777777" w:rsidTr="00AE6820">
        <w:trPr>
          <w:jc w:val="center"/>
        </w:trPr>
        <w:tc>
          <w:tcPr>
            <w:tcW w:w="1615" w:type="dxa"/>
            <w:vMerge/>
          </w:tcPr>
          <w:p w14:paraId="74DAA12B" w14:textId="77777777" w:rsidR="00AF6702" w:rsidRPr="00702882" w:rsidRDefault="00AF6702" w:rsidP="004D3BED">
            <w:pPr>
              <w:rPr>
                <w:sz w:val="20"/>
                <w:szCs w:val="20"/>
              </w:rPr>
            </w:pPr>
          </w:p>
        </w:tc>
        <w:tc>
          <w:tcPr>
            <w:tcW w:w="630" w:type="dxa"/>
          </w:tcPr>
          <w:p w14:paraId="0265DAE6" w14:textId="77777777" w:rsidR="00AF6702" w:rsidRPr="00702882" w:rsidRDefault="00AF6702" w:rsidP="004D3BED">
            <w:pPr>
              <w:rPr>
                <w:sz w:val="20"/>
                <w:szCs w:val="20"/>
              </w:rPr>
            </w:pPr>
            <w:r w:rsidRPr="00702882">
              <w:rPr>
                <w:sz w:val="20"/>
                <w:szCs w:val="20"/>
              </w:rPr>
              <w:t>2013</w:t>
            </w:r>
          </w:p>
        </w:tc>
        <w:tc>
          <w:tcPr>
            <w:tcW w:w="2520" w:type="dxa"/>
          </w:tcPr>
          <w:p w14:paraId="188B48CD" w14:textId="77777777" w:rsidR="00AF6702" w:rsidRPr="00702882" w:rsidRDefault="00AF6702" w:rsidP="004D3BED">
            <w:pPr>
              <w:rPr>
                <w:sz w:val="20"/>
                <w:szCs w:val="20"/>
              </w:rPr>
            </w:pPr>
            <w:r w:rsidRPr="00702882">
              <w:rPr>
                <w:sz w:val="20"/>
                <w:szCs w:val="20"/>
              </w:rPr>
              <w:t>Cash Reserve Fund (1983)</w:t>
            </w:r>
          </w:p>
          <w:p w14:paraId="3274B080" w14:textId="77777777" w:rsidR="00AF6702" w:rsidRPr="00702882" w:rsidRDefault="00AF6702" w:rsidP="004D3BED">
            <w:pPr>
              <w:rPr>
                <w:sz w:val="20"/>
                <w:szCs w:val="20"/>
              </w:rPr>
            </w:pPr>
          </w:p>
        </w:tc>
        <w:tc>
          <w:tcPr>
            <w:tcW w:w="1467" w:type="dxa"/>
          </w:tcPr>
          <w:p w14:paraId="41A3E8AE" w14:textId="77777777" w:rsidR="00AF6702" w:rsidRPr="00702882" w:rsidRDefault="00AF6702" w:rsidP="004D3BED">
            <w:pPr>
              <w:rPr>
                <w:sz w:val="20"/>
                <w:szCs w:val="20"/>
              </w:rPr>
            </w:pPr>
            <w:r w:rsidRPr="00702882">
              <w:rPr>
                <w:sz w:val="20"/>
                <w:szCs w:val="20"/>
              </w:rPr>
              <w:t>Discretionary use</w:t>
            </w:r>
          </w:p>
          <w:p w14:paraId="48222E4E" w14:textId="77777777" w:rsidR="00AF6702" w:rsidRPr="00702882" w:rsidRDefault="00AF6702" w:rsidP="004D3BED">
            <w:pPr>
              <w:rPr>
                <w:sz w:val="20"/>
                <w:szCs w:val="20"/>
              </w:rPr>
            </w:pPr>
          </w:p>
          <w:p w14:paraId="62575108" w14:textId="77777777" w:rsidR="00AF6702" w:rsidRPr="00702882" w:rsidRDefault="00AF6702" w:rsidP="004D3BED">
            <w:pPr>
              <w:rPr>
                <w:sz w:val="20"/>
                <w:szCs w:val="20"/>
              </w:rPr>
            </w:pPr>
          </w:p>
        </w:tc>
        <w:tc>
          <w:tcPr>
            <w:tcW w:w="5283" w:type="dxa"/>
          </w:tcPr>
          <w:p w14:paraId="4ACC92EC" w14:textId="77777777" w:rsidR="00AF6702" w:rsidRPr="00702882" w:rsidRDefault="00AF6702" w:rsidP="004D3BED">
            <w:pPr>
              <w:rPr>
                <w:sz w:val="20"/>
                <w:szCs w:val="20"/>
              </w:rPr>
            </w:pPr>
            <w:r w:rsidRPr="00702882">
              <w:rPr>
                <w:sz w:val="20"/>
                <w:szCs w:val="20"/>
              </w:rPr>
              <w:t>The State Treasurer shall transfer not to exceed forty-three million fifteen thousand four hundred fifty-nine dollars in total from the Cash Reserve Fund to the Nebraska Capital Construction Fund between July 1, 2013, and June 30, 2017.</w:t>
            </w:r>
          </w:p>
        </w:tc>
        <w:tc>
          <w:tcPr>
            <w:tcW w:w="2790" w:type="dxa"/>
          </w:tcPr>
          <w:p w14:paraId="252D3A9B" w14:textId="77777777" w:rsidR="00AF6702" w:rsidRPr="00702882" w:rsidRDefault="00AF6702" w:rsidP="004D3BED">
            <w:pPr>
              <w:tabs>
                <w:tab w:val="left" w:pos="468"/>
              </w:tabs>
              <w:rPr>
                <w:sz w:val="20"/>
                <w:szCs w:val="20"/>
              </w:rPr>
            </w:pPr>
            <w:r w:rsidRPr="00702882">
              <w:rPr>
                <w:sz w:val="20"/>
                <w:szCs w:val="20"/>
              </w:rPr>
              <w:t>2013 Neb. ALS 200, 2013 Neb. Laws 200, 2013 Neb. LB 200 (May 25, 2013)</w:t>
            </w:r>
          </w:p>
        </w:tc>
      </w:tr>
      <w:tr w:rsidR="00850754" w:rsidRPr="00702882" w14:paraId="7282F1B1" w14:textId="77777777" w:rsidTr="00AE6820">
        <w:trPr>
          <w:jc w:val="center"/>
        </w:trPr>
        <w:tc>
          <w:tcPr>
            <w:tcW w:w="1615" w:type="dxa"/>
            <w:vMerge w:val="restart"/>
          </w:tcPr>
          <w:p w14:paraId="2BDF1876" w14:textId="77777777" w:rsidR="00AF6702" w:rsidRPr="00702882" w:rsidRDefault="00AF6702" w:rsidP="004D3BED">
            <w:pPr>
              <w:rPr>
                <w:sz w:val="20"/>
                <w:szCs w:val="20"/>
              </w:rPr>
            </w:pPr>
            <w:r w:rsidRPr="00702882">
              <w:rPr>
                <w:sz w:val="20"/>
                <w:szCs w:val="20"/>
              </w:rPr>
              <w:t>Nevada</w:t>
            </w:r>
          </w:p>
          <w:p w14:paraId="28BA389E" w14:textId="77777777" w:rsidR="00AF6702" w:rsidRPr="00702882" w:rsidRDefault="00AF6702" w:rsidP="004D3BED">
            <w:pPr>
              <w:rPr>
                <w:sz w:val="20"/>
                <w:szCs w:val="20"/>
              </w:rPr>
            </w:pPr>
          </w:p>
          <w:p w14:paraId="0B1ABF66" w14:textId="77777777" w:rsidR="00AF6702" w:rsidRPr="00702882" w:rsidRDefault="00AF6702" w:rsidP="004D3BED">
            <w:pPr>
              <w:rPr>
                <w:sz w:val="20"/>
                <w:szCs w:val="20"/>
              </w:rPr>
            </w:pPr>
          </w:p>
          <w:p w14:paraId="1C2D4FCC" w14:textId="77777777" w:rsidR="00AF6702" w:rsidRPr="00702882" w:rsidRDefault="00AF6702" w:rsidP="004D3BED">
            <w:pPr>
              <w:rPr>
                <w:sz w:val="20"/>
                <w:szCs w:val="20"/>
              </w:rPr>
            </w:pPr>
          </w:p>
          <w:p w14:paraId="115B113D" w14:textId="77777777" w:rsidR="00AF6702" w:rsidRPr="00702882" w:rsidRDefault="00AF6702" w:rsidP="004D3BED">
            <w:pPr>
              <w:rPr>
                <w:sz w:val="20"/>
                <w:szCs w:val="20"/>
              </w:rPr>
            </w:pPr>
          </w:p>
          <w:p w14:paraId="6DB1199D" w14:textId="77777777" w:rsidR="00AF6702" w:rsidRPr="00702882" w:rsidRDefault="00AF6702" w:rsidP="004D3BED">
            <w:pPr>
              <w:rPr>
                <w:rFonts w:eastAsiaTheme="minorEastAsia"/>
                <w:sz w:val="20"/>
                <w:szCs w:val="20"/>
              </w:rPr>
            </w:pPr>
          </w:p>
          <w:p w14:paraId="3E308EAD" w14:textId="77777777" w:rsidR="00AF6702" w:rsidRPr="00702882" w:rsidRDefault="00AF6702" w:rsidP="004D3BED">
            <w:pPr>
              <w:rPr>
                <w:sz w:val="20"/>
                <w:szCs w:val="20"/>
              </w:rPr>
            </w:pPr>
          </w:p>
          <w:p w14:paraId="67DE5963" w14:textId="77777777" w:rsidR="00AF6702" w:rsidRPr="00702882" w:rsidRDefault="00AF6702" w:rsidP="004D3BED">
            <w:pPr>
              <w:rPr>
                <w:sz w:val="20"/>
                <w:szCs w:val="20"/>
              </w:rPr>
            </w:pPr>
          </w:p>
          <w:p w14:paraId="5818234C" w14:textId="77777777" w:rsidR="00AF6702" w:rsidRPr="00702882" w:rsidRDefault="00AF6702" w:rsidP="004D3BED">
            <w:pPr>
              <w:rPr>
                <w:sz w:val="20"/>
                <w:szCs w:val="20"/>
              </w:rPr>
            </w:pPr>
          </w:p>
          <w:p w14:paraId="310F0FE0" w14:textId="77777777" w:rsidR="00AF6702" w:rsidRPr="00702882" w:rsidRDefault="00AF6702" w:rsidP="004D3BED">
            <w:pPr>
              <w:rPr>
                <w:rFonts w:eastAsiaTheme="minorEastAsia"/>
                <w:sz w:val="20"/>
                <w:szCs w:val="20"/>
              </w:rPr>
            </w:pPr>
          </w:p>
        </w:tc>
        <w:tc>
          <w:tcPr>
            <w:tcW w:w="630" w:type="dxa"/>
          </w:tcPr>
          <w:p w14:paraId="29E0C21E" w14:textId="77777777" w:rsidR="00AF6702" w:rsidRPr="00702882" w:rsidRDefault="00AF6702" w:rsidP="004D3BED">
            <w:pPr>
              <w:rPr>
                <w:sz w:val="20"/>
                <w:szCs w:val="20"/>
              </w:rPr>
            </w:pPr>
            <w:r w:rsidRPr="00702882">
              <w:rPr>
                <w:sz w:val="20"/>
                <w:szCs w:val="20"/>
              </w:rPr>
              <w:t>2001</w:t>
            </w:r>
          </w:p>
        </w:tc>
        <w:tc>
          <w:tcPr>
            <w:tcW w:w="2520" w:type="dxa"/>
          </w:tcPr>
          <w:p w14:paraId="2E83C627" w14:textId="77777777" w:rsidR="00AF6702" w:rsidRPr="00702882" w:rsidRDefault="00AF6702" w:rsidP="004D3BED">
            <w:pPr>
              <w:rPr>
                <w:sz w:val="20"/>
                <w:szCs w:val="20"/>
              </w:rPr>
            </w:pPr>
            <w:r w:rsidRPr="00702882">
              <w:rPr>
                <w:sz w:val="20"/>
                <w:szCs w:val="20"/>
              </w:rPr>
              <w:t>Emergency Account (1991)</w:t>
            </w:r>
            <w:r w:rsidRPr="00702882">
              <w:rPr>
                <w:rStyle w:val="a5"/>
                <w:sz w:val="20"/>
                <w:szCs w:val="20"/>
              </w:rPr>
              <w:footnoteReference w:id="128"/>
            </w:r>
          </w:p>
        </w:tc>
        <w:tc>
          <w:tcPr>
            <w:tcW w:w="1467" w:type="dxa"/>
          </w:tcPr>
          <w:p w14:paraId="10558410" w14:textId="77777777" w:rsidR="00AF6702" w:rsidRPr="00702882" w:rsidRDefault="00AF6702" w:rsidP="004D3BED">
            <w:pPr>
              <w:rPr>
                <w:sz w:val="20"/>
                <w:szCs w:val="20"/>
              </w:rPr>
            </w:pPr>
            <w:r w:rsidRPr="00702882">
              <w:rPr>
                <w:sz w:val="20"/>
                <w:szCs w:val="20"/>
              </w:rPr>
              <w:t xml:space="preserve">Withdrawal limit </w:t>
            </w:r>
          </w:p>
          <w:p w14:paraId="3BB80EA3" w14:textId="77777777" w:rsidR="00AF6702" w:rsidRPr="00702882" w:rsidRDefault="00AF6702" w:rsidP="004D3BED">
            <w:pPr>
              <w:rPr>
                <w:sz w:val="20"/>
                <w:szCs w:val="20"/>
              </w:rPr>
            </w:pPr>
            <w:r w:rsidRPr="00702882">
              <w:rPr>
                <w:sz w:val="20"/>
                <w:szCs w:val="20"/>
              </w:rPr>
              <w:t>(1 → 0)</w:t>
            </w:r>
          </w:p>
        </w:tc>
        <w:tc>
          <w:tcPr>
            <w:tcW w:w="5283" w:type="dxa"/>
          </w:tcPr>
          <w:p w14:paraId="1F165F3B" w14:textId="77777777" w:rsidR="00AF6702" w:rsidRPr="00702882" w:rsidRDefault="00AF6702" w:rsidP="004D3BED">
            <w:pPr>
              <w:rPr>
                <w:sz w:val="20"/>
                <w:szCs w:val="20"/>
              </w:rPr>
            </w:pPr>
            <w:r w:rsidRPr="00702882">
              <w:rPr>
                <w:sz w:val="20"/>
                <w:szCs w:val="20"/>
              </w:rPr>
              <w:t xml:space="preserve">The state board of examiners could not authorize the expenditure of more than $50,000. However, this limit on withdrawal was deleted in 2001. </w:t>
            </w:r>
          </w:p>
        </w:tc>
        <w:tc>
          <w:tcPr>
            <w:tcW w:w="2790" w:type="dxa"/>
          </w:tcPr>
          <w:p w14:paraId="38501002" w14:textId="77777777" w:rsidR="00AF6702" w:rsidRPr="00702882" w:rsidRDefault="00AF6702" w:rsidP="004D3BED">
            <w:pPr>
              <w:rPr>
                <w:sz w:val="20"/>
                <w:szCs w:val="20"/>
              </w:rPr>
            </w:pPr>
            <w:r w:rsidRPr="00702882">
              <w:rPr>
                <w:sz w:val="20"/>
                <w:szCs w:val="20"/>
              </w:rPr>
              <w:t>2001 Nev. ALS 240, 2001 Nev. Stat. 240, 2001 Nev. Ch. 240, 2001 Nev. AB 556 (May 29, 2001).</w:t>
            </w:r>
          </w:p>
        </w:tc>
      </w:tr>
      <w:tr w:rsidR="00850754" w:rsidRPr="00702882" w14:paraId="055994EA" w14:textId="77777777" w:rsidTr="00AE6820">
        <w:trPr>
          <w:jc w:val="center"/>
        </w:trPr>
        <w:tc>
          <w:tcPr>
            <w:tcW w:w="1615" w:type="dxa"/>
            <w:vMerge/>
          </w:tcPr>
          <w:p w14:paraId="247F12C1" w14:textId="77777777" w:rsidR="00AF6702" w:rsidRPr="00702882" w:rsidRDefault="00AF6702" w:rsidP="004D3BED">
            <w:pPr>
              <w:rPr>
                <w:sz w:val="20"/>
                <w:szCs w:val="20"/>
              </w:rPr>
            </w:pPr>
          </w:p>
        </w:tc>
        <w:tc>
          <w:tcPr>
            <w:tcW w:w="630" w:type="dxa"/>
          </w:tcPr>
          <w:p w14:paraId="39FF4EE7" w14:textId="77777777" w:rsidR="00AF6702" w:rsidRPr="00702882" w:rsidRDefault="00AF6702" w:rsidP="004D3BED">
            <w:pPr>
              <w:rPr>
                <w:sz w:val="20"/>
                <w:szCs w:val="20"/>
              </w:rPr>
            </w:pPr>
            <w:r w:rsidRPr="00702882">
              <w:rPr>
                <w:sz w:val="20"/>
                <w:szCs w:val="20"/>
              </w:rPr>
              <w:t>2003</w:t>
            </w:r>
          </w:p>
        </w:tc>
        <w:tc>
          <w:tcPr>
            <w:tcW w:w="2520" w:type="dxa"/>
          </w:tcPr>
          <w:p w14:paraId="1282D720" w14:textId="77777777" w:rsidR="00AF6702" w:rsidRPr="00702882" w:rsidRDefault="00AF6702" w:rsidP="004D3BED">
            <w:pPr>
              <w:rPr>
                <w:sz w:val="20"/>
                <w:szCs w:val="20"/>
              </w:rPr>
            </w:pPr>
            <w:r w:rsidRPr="00702882">
              <w:rPr>
                <w:sz w:val="20"/>
                <w:szCs w:val="20"/>
              </w:rPr>
              <w:t>Account to Stabilize Operation of State Government (1991)</w:t>
            </w:r>
          </w:p>
        </w:tc>
        <w:tc>
          <w:tcPr>
            <w:tcW w:w="1467" w:type="dxa"/>
          </w:tcPr>
          <w:p w14:paraId="4083ACFC" w14:textId="77777777" w:rsidR="00AF6702" w:rsidRPr="00702882" w:rsidRDefault="00AF6702" w:rsidP="004D3BED">
            <w:pPr>
              <w:rPr>
                <w:sz w:val="20"/>
                <w:szCs w:val="20"/>
              </w:rPr>
            </w:pPr>
            <w:r w:rsidRPr="00702882">
              <w:rPr>
                <w:sz w:val="20"/>
                <w:szCs w:val="20"/>
              </w:rPr>
              <w:t xml:space="preserve">Cap </w:t>
            </w:r>
          </w:p>
          <w:p w14:paraId="16900888"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15</w:t>
            </w:r>
            <w:r w:rsidRPr="00702882">
              <w:rPr>
                <w:sz w:val="20"/>
                <w:szCs w:val="20"/>
              </w:rPr>
              <w:t>)</w:t>
            </w:r>
          </w:p>
        </w:tc>
        <w:tc>
          <w:tcPr>
            <w:tcW w:w="5283" w:type="dxa"/>
          </w:tcPr>
          <w:p w14:paraId="2EA3F9BD" w14:textId="77777777" w:rsidR="00AF6702" w:rsidRPr="00702882" w:rsidRDefault="00AF6702" w:rsidP="004D3BED">
            <w:pPr>
              <w:rPr>
                <w:sz w:val="20"/>
                <w:szCs w:val="20"/>
              </w:rPr>
            </w:pPr>
            <w:r w:rsidRPr="00702882">
              <w:rPr>
                <w:sz w:val="20"/>
                <w:szCs w:val="20"/>
              </w:rPr>
              <w:t>The balance in the Fund must not exceed 15 % of the total of all appropriations from the State General Fund.</w:t>
            </w:r>
          </w:p>
        </w:tc>
        <w:tc>
          <w:tcPr>
            <w:tcW w:w="2790" w:type="dxa"/>
          </w:tcPr>
          <w:p w14:paraId="63B08134" w14:textId="77777777" w:rsidR="00AF6702" w:rsidRPr="00702882" w:rsidRDefault="00AF6702" w:rsidP="004D3BED">
            <w:pPr>
              <w:rPr>
                <w:sz w:val="20"/>
                <w:szCs w:val="20"/>
              </w:rPr>
            </w:pPr>
            <w:r w:rsidRPr="00702882">
              <w:rPr>
                <w:sz w:val="20"/>
                <w:szCs w:val="20"/>
              </w:rPr>
              <w:t>2003 Nev. Stat. 20th Special Session, Page 201 (CHAPTER 5, SB 8)</w:t>
            </w:r>
          </w:p>
        </w:tc>
      </w:tr>
      <w:tr w:rsidR="00850754" w:rsidRPr="00702882" w14:paraId="658CD557" w14:textId="77777777" w:rsidTr="00AE6820">
        <w:trPr>
          <w:jc w:val="center"/>
        </w:trPr>
        <w:tc>
          <w:tcPr>
            <w:tcW w:w="1615" w:type="dxa"/>
            <w:vMerge/>
          </w:tcPr>
          <w:p w14:paraId="58B2937F" w14:textId="77777777" w:rsidR="00AF6702" w:rsidRPr="00702882" w:rsidRDefault="00AF6702" w:rsidP="004D3BED">
            <w:pPr>
              <w:rPr>
                <w:sz w:val="20"/>
                <w:szCs w:val="20"/>
              </w:rPr>
            </w:pPr>
          </w:p>
        </w:tc>
        <w:tc>
          <w:tcPr>
            <w:tcW w:w="630" w:type="dxa"/>
          </w:tcPr>
          <w:p w14:paraId="55D15BB5" w14:textId="77777777" w:rsidR="00AF6702" w:rsidRPr="00702882" w:rsidRDefault="00AF6702" w:rsidP="004D3BED">
            <w:pPr>
              <w:rPr>
                <w:sz w:val="20"/>
                <w:szCs w:val="20"/>
              </w:rPr>
            </w:pPr>
            <w:r w:rsidRPr="00702882">
              <w:rPr>
                <w:sz w:val="20"/>
                <w:szCs w:val="20"/>
              </w:rPr>
              <w:t>2009</w:t>
            </w:r>
          </w:p>
          <w:p w14:paraId="5BB81029" w14:textId="77777777" w:rsidR="00AF6702" w:rsidRPr="00702882" w:rsidRDefault="00AF6702" w:rsidP="004D3BED">
            <w:pPr>
              <w:rPr>
                <w:sz w:val="20"/>
                <w:szCs w:val="20"/>
              </w:rPr>
            </w:pPr>
          </w:p>
          <w:p w14:paraId="3F50D3D4" w14:textId="77777777" w:rsidR="00AF6702" w:rsidRPr="00702882" w:rsidRDefault="00AF6702" w:rsidP="004D3BED">
            <w:pPr>
              <w:rPr>
                <w:sz w:val="20"/>
                <w:szCs w:val="20"/>
              </w:rPr>
            </w:pPr>
          </w:p>
          <w:p w14:paraId="1ADB4B2D" w14:textId="77777777" w:rsidR="00AF6702" w:rsidRPr="00702882" w:rsidRDefault="00AF6702" w:rsidP="004D3BED">
            <w:pPr>
              <w:rPr>
                <w:rFonts w:eastAsiaTheme="minorEastAsia"/>
                <w:sz w:val="20"/>
                <w:szCs w:val="20"/>
              </w:rPr>
            </w:pPr>
          </w:p>
        </w:tc>
        <w:tc>
          <w:tcPr>
            <w:tcW w:w="2520" w:type="dxa"/>
          </w:tcPr>
          <w:p w14:paraId="69DFCB0C" w14:textId="77777777" w:rsidR="00AF6702" w:rsidRPr="00702882" w:rsidRDefault="00AF6702" w:rsidP="004D3BED">
            <w:pPr>
              <w:rPr>
                <w:sz w:val="20"/>
                <w:szCs w:val="20"/>
              </w:rPr>
            </w:pPr>
            <w:r w:rsidRPr="00702882">
              <w:rPr>
                <w:sz w:val="20"/>
                <w:szCs w:val="20"/>
              </w:rPr>
              <w:t>Account to Stabilize Operation of State Government (1991)</w:t>
            </w:r>
          </w:p>
        </w:tc>
        <w:tc>
          <w:tcPr>
            <w:tcW w:w="1467" w:type="dxa"/>
          </w:tcPr>
          <w:p w14:paraId="497D730F" w14:textId="77777777" w:rsidR="00AF6702" w:rsidRPr="00702882" w:rsidRDefault="00AF6702" w:rsidP="004D3BED">
            <w:pPr>
              <w:rPr>
                <w:rFonts w:eastAsiaTheme="minorEastAsia"/>
                <w:sz w:val="20"/>
                <w:szCs w:val="20"/>
              </w:rPr>
            </w:pPr>
            <w:r w:rsidRPr="00702882">
              <w:rPr>
                <w:sz w:val="20"/>
                <w:szCs w:val="20"/>
              </w:rPr>
              <w:t xml:space="preserve">Cap  </w:t>
            </w:r>
          </w:p>
          <w:p w14:paraId="6CB3EF46" w14:textId="77777777" w:rsidR="00AF6702" w:rsidRPr="00702882" w:rsidRDefault="00AF6702" w:rsidP="004D3BED">
            <w:pPr>
              <w:rPr>
                <w:rFonts w:eastAsiaTheme="minorEastAsia"/>
                <w:sz w:val="20"/>
                <w:szCs w:val="20"/>
              </w:rPr>
            </w:pPr>
            <w:r w:rsidRPr="00702882">
              <w:rPr>
                <w:sz w:val="20"/>
                <w:szCs w:val="20"/>
              </w:rPr>
              <w:t>(</w:t>
            </w:r>
            <w:r w:rsidRPr="00702882">
              <w:rPr>
                <w:rFonts w:eastAsiaTheme="minorEastAsia"/>
                <w:sz w:val="20"/>
                <w:szCs w:val="20"/>
              </w:rPr>
              <w:t>15</w:t>
            </w:r>
            <w:r w:rsidRPr="00702882">
              <w:rPr>
                <w:sz w:val="20"/>
                <w:szCs w:val="20"/>
              </w:rPr>
              <w:t xml:space="preserve">→ </w:t>
            </w:r>
            <w:r w:rsidRPr="00702882">
              <w:rPr>
                <w:rFonts w:eastAsiaTheme="minorEastAsia"/>
                <w:sz w:val="20"/>
                <w:szCs w:val="20"/>
              </w:rPr>
              <w:t>20</w:t>
            </w:r>
            <w:r w:rsidRPr="00702882">
              <w:rPr>
                <w:sz w:val="20"/>
                <w:szCs w:val="20"/>
              </w:rPr>
              <w:t>)</w:t>
            </w:r>
          </w:p>
        </w:tc>
        <w:tc>
          <w:tcPr>
            <w:tcW w:w="5283" w:type="dxa"/>
          </w:tcPr>
          <w:p w14:paraId="4DEF2EB0" w14:textId="77777777" w:rsidR="00AF6702" w:rsidRPr="00702882" w:rsidRDefault="00AF6702" w:rsidP="004D3BED">
            <w:pPr>
              <w:rPr>
                <w:rFonts w:eastAsiaTheme="minorEastAsia"/>
                <w:sz w:val="20"/>
                <w:szCs w:val="20"/>
              </w:rPr>
            </w:pPr>
            <w:r w:rsidRPr="00702882">
              <w:rPr>
                <w:sz w:val="20"/>
                <w:szCs w:val="20"/>
              </w:rPr>
              <w:t>The balance in the Fund must not exceed 20 % of the total of all appropriations from the State General Fund.</w:t>
            </w:r>
          </w:p>
        </w:tc>
        <w:tc>
          <w:tcPr>
            <w:tcW w:w="2790" w:type="dxa"/>
          </w:tcPr>
          <w:p w14:paraId="6BDF0341" w14:textId="77777777" w:rsidR="00AF6702" w:rsidRPr="00702882" w:rsidRDefault="00AF6702" w:rsidP="004D3BED">
            <w:pPr>
              <w:tabs>
                <w:tab w:val="left" w:pos="468"/>
              </w:tabs>
              <w:rPr>
                <w:rFonts w:eastAsiaTheme="minorEastAsia"/>
                <w:sz w:val="20"/>
                <w:szCs w:val="20"/>
              </w:rPr>
            </w:pPr>
            <w:r w:rsidRPr="00702882">
              <w:rPr>
                <w:sz w:val="20"/>
                <w:szCs w:val="20"/>
              </w:rPr>
              <w:t>2009 Nev. ALS 322, 2009 Nev. Stat. 322, 2009 Nev. Ch. 322, 2009 Nev. AB 165 (May 29, 2009)</w:t>
            </w:r>
          </w:p>
        </w:tc>
      </w:tr>
      <w:tr w:rsidR="00850754" w:rsidRPr="00702882" w14:paraId="7AFB2F21" w14:textId="77777777" w:rsidTr="00AE6820">
        <w:trPr>
          <w:jc w:val="center"/>
        </w:trPr>
        <w:tc>
          <w:tcPr>
            <w:tcW w:w="1615" w:type="dxa"/>
          </w:tcPr>
          <w:p w14:paraId="66E146D7" w14:textId="77777777" w:rsidR="00AF6702" w:rsidRPr="00702882" w:rsidRDefault="00AF6702" w:rsidP="004D3BED">
            <w:pPr>
              <w:rPr>
                <w:sz w:val="20"/>
                <w:szCs w:val="20"/>
              </w:rPr>
            </w:pPr>
            <w:r w:rsidRPr="00702882">
              <w:rPr>
                <w:sz w:val="20"/>
                <w:szCs w:val="20"/>
              </w:rPr>
              <w:t>New Hampshire</w:t>
            </w:r>
          </w:p>
        </w:tc>
        <w:tc>
          <w:tcPr>
            <w:tcW w:w="630" w:type="dxa"/>
          </w:tcPr>
          <w:p w14:paraId="6B6796F2" w14:textId="77777777" w:rsidR="00AF6702" w:rsidRPr="00702882" w:rsidRDefault="00AF6702" w:rsidP="004D3BED">
            <w:pPr>
              <w:rPr>
                <w:sz w:val="20"/>
                <w:szCs w:val="20"/>
              </w:rPr>
            </w:pPr>
            <w:r w:rsidRPr="00702882">
              <w:rPr>
                <w:sz w:val="20"/>
                <w:szCs w:val="20"/>
              </w:rPr>
              <w:t>2016</w:t>
            </w:r>
          </w:p>
        </w:tc>
        <w:tc>
          <w:tcPr>
            <w:tcW w:w="2520" w:type="dxa"/>
          </w:tcPr>
          <w:p w14:paraId="0016B0E3" w14:textId="77777777" w:rsidR="00AF6702" w:rsidRPr="00702882" w:rsidRDefault="00AF6702" w:rsidP="004D3BED">
            <w:pPr>
              <w:rPr>
                <w:sz w:val="20"/>
                <w:szCs w:val="20"/>
              </w:rPr>
            </w:pPr>
            <w:r w:rsidRPr="00702882">
              <w:rPr>
                <w:sz w:val="20"/>
                <w:szCs w:val="20"/>
              </w:rPr>
              <w:t>Revenue Stabilization Reserve Account (1986)</w:t>
            </w:r>
          </w:p>
        </w:tc>
        <w:tc>
          <w:tcPr>
            <w:tcW w:w="1467" w:type="dxa"/>
          </w:tcPr>
          <w:p w14:paraId="018CA865" w14:textId="77777777" w:rsidR="00AF6702" w:rsidRPr="00702882" w:rsidRDefault="00AF6702" w:rsidP="004D3BED">
            <w:pPr>
              <w:rPr>
                <w:sz w:val="20"/>
                <w:szCs w:val="20"/>
              </w:rPr>
            </w:pPr>
            <w:r w:rsidRPr="00702882">
              <w:rPr>
                <w:sz w:val="20"/>
                <w:szCs w:val="20"/>
              </w:rPr>
              <w:t xml:space="preserve">Deposit by surplus </w:t>
            </w:r>
          </w:p>
          <w:p w14:paraId="0C24D974"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0.5</w:t>
            </w:r>
            <w:r w:rsidRPr="00702882">
              <w:rPr>
                <w:sz w:val="20"/>
                <w:szCs w:val="20"/>
              </w:rPr>
              <w:t xml:space="preserve"> → </w:t>
            </w:r>
            <w:r w:rsidRPr="00702882">
              <w:rPr>
                <w:rFonts w:eastAsiaTheme="minorEastAsia"/>
                <w:sz w:val="20"/>
                <w:szCs w:val="20"/>
              </w:rPr>
              <w:t>1</w:t>
            </w:r>
            <w:r w:rsidRPr="00702882">
              <w:rPr>
                <w:sz w:val="20"/>
                <w:szCs w:val="20"/>
              </w:rPr>
              <w:t>)</w:t>
            </w:r>
          </w:p>
        </w:tc>
        <w:tc>
          <w:tcPr>
            <w:tcW w:w="5283" w:type="dxa"/>
            <w:shd w:val="clear" w:color="auto" w:fill="auto"/>
          </w:tcPr>
          <w:p w14:paraId="7CB6DF17" w14:textId="77777777" w:rsidR="00AF6702" w:rsidRPr="00702882" w:rsidRDefault="00AF6702" w:rsidP="004D3BED">
            <w:pPr>
              <w:rPr>
                <w:sz w:val="20"/>
                <w:szCs w:val="20"/>
              </w:rPr>
            </w:pPr>
            <w:r w:rsidRPr="00702882">
              <w:rPr>
                <w:sz w:val="20"/>
                <w:szCs w:val="20"/>
              </w:rPr>
              <w:t xml:space="preserve">At the close of each fiscal biennium, any surplus, as determined by the official audit, shall be transferred to a revenue stabilization reserve account. </w:t>
            </w:r>
          </w:p>
        </w:tc>
        <w:tc>
          <w:tcPr>
            <w:tcW w:w="2790" w:type="dxa"/>
          </w:tcPr>
          <w:p w14:paraId="0E998175" w14:textId="77777777" w:rsidR="00AF6702" w:rsidRPr="00702882" w:rsidRDefault="00AF6702" w:rsidP="004D3BED">
            <w:pPr>
              <w:tabs>
                <w:tab w:val="left" w:pos="468"/>
              </w:tabs>
              <w:rPr>
                <w:sz w:val="20"/>
                <w:szCs w:val="20"/>
              </w:rPr>
            </w:pPr>
            <w:r w:rsidRPr="00702882">
              <w:rPr>
                <w:sz w:val="20"/>
                <w:szCs w:val="20"/>
              </w:rPr>
              <w:t>2016 NH ALS 237, 2016 NH Ch. 237, 2015 NH HB 1527 (June 10, 2016)</w:t>
            </w:r>
          </w:p>
          <w:p w14:paraId="3208142F" w14:textId="77777777" w:rsidR="00AF6702" w:rsidRPr="00702882" w:rsidRDefault="00AF6702" w:rsidP="004D3BED">
            <w:pPr>
              <w:tabs>
                <w:tab w:val="left" w:pos="468"/>
              </w:tabs>
              <w:rPr>
                <w:sz w:val="20"/>
                <w:szCs w:val="20"/>
              </w:rPr>
            </w:pPr>
          </w:p>
        </w:tc>
      </w:tr>
      <w:tr w:rsidR="00850754" w:rsidRPr="00702882" w14:paraId="211230F7" w14:textId="77777777" w:rsidTr="00AE6820">
        <w:trPr>
          <w:jc w:val="center"/>
        </w:trPr>
        <w:tc>
          <w:tcPr>
            <w:tcW w:w="1615" w:type="dxa"/>
          </w:tcPr>
          <w:p w14:paraId="114BFFF3" w14:textId="77777777" w:rsidR="00AF6702" w:rsidRPr="00702882" w:rsidRDefault="00AF6702" w:rsidP="004D3BED">
            <w:pPr>
              <w:rPr>
                <w:sz w:val="20"/>
                <w:szCs w:val="20"/>
              </w:rPr>
            </w:pPr>
            <w:r w:rsidRPr="00702882">
              <w:rPr>
                <w:sz w:val="20"/>
                <w:szCs w:val="20"/>
              </w:rPr>
              <w:t>New Mexico</w:t>
            </w:r>
          </w:p>
        </w:tc>
        <w:tc>
          <w:tcPr>
            <w:tcW w:w="630" w:type="dxa"/>
          </w:tcPr>
          <w:p w14:paraId="2BA6C39A" w14:textId="77777777" w:rsidR="00AF6702" w:rsidRPr="00702882" w:rsidRDefault="00AF6702" w:rsidP="004D3BED">
            <w:pPr>
              <w:rPr>
                <w:sz w:val="20"/>
                <w:szCs w:val="20"/>
              </w:rPr>
            </w:pPr>
            <w:r w:rsidRPr="00702882">
              <w:rPr>
                <w:sz w:val="20"/>
                <w:szCs w:val="20"/>
              </w:rPr>
              <w:t>2004</w:t>
            </w:r>
          </w:p>
        </w:tc>
        <w:tc>
          <w:tcPr>
            <w:tcW w:w="2520" w:type="dxa"/>
          </w:tcPr>
          <w:p w14:paraId="37AAB8DF" w14:textId="77777777" w:rsidR="00AF6702" w:rsidRPr="00702882" w:rsidRDefault="00AF6702" w:rsidP="004D3BED">
            <w:pPr>
              <w:rPr>
                <w:sz w:val="20"/>
                <w:szCs w:val="20"/>
              </w:rPr>
            </w:pPr>
            <w:r w:rsidRPr="00702882">
              <w:rPr>
                <w:sz w:val="20"/>
                <w:szCs w:val="20"/>
              </w:rPr>
              <w:t>Tax Stabilization Reserve (1978)</w:t>
            </w:r>
          </w:p>
        </w:tc>
        <w:tc>
          <w:tcPr>
            <w:tcW w:w="1467" w:type="dxa"/>
          </w:tcPr>
          <w:p w14:paraId="2B831941" w14:textId="77777777" w:rsidR="00AF6702" w:rsidRPr="00702882" w:rsidRDefault="00AF6702" w:rsidP="004D3BED">
            <w:pPr>
              <w:rPr>
                <w:sz w:val="20"/>
                <w:szCs w:val="20"/>
              </w:rPr>
            </w:pPr>
            <w:r w:rsidRPr="00702882">
              <w:rPr>
                <w:sz w:val="20"/>
                <w:szCs w:val="20"/>
              </w:rPr>
              <w:t xml:space="preserve">Deposit by surplus </w:t>
            </w:r>
          </w:p>
          <w:p w14:paraId="5F6CAF13" w14:textId="77777777" w:rsidR="00AF6702" w:rsidRPr="00702882" w:rsidRDefault="00AF6702" w:rsidP="004D3BED">
            <w:pPr>
              <w:rPr>
                <w:sz w:val="20"/>
                <w:szCs w:val="20"/>
              </w:rPr>
            </w:pPr>
            <w:r w:rsidRPr="00702882">
              <w:rPr>
                <w:sz w:val="20"/>
                <w:szCs w:val="20"/>
              </w:rPr>
              <w:t xml:space="preserve">(0 → </w:t>
            </w:r>
            <w:r w:rsidRPr="00702882">
              <w:rPr>
                <w:rFonts w:eastAsiaTheme="minorEastAsia"/>
                <w:sz w:val="20"/>
                <w:szCs w:val="20"/>
              </w:rPr>
              <w:t>1</w:t>
            </w:r>
            <w:r w:rsidRPr="00702882">
              <w:rPr>
                <w:sz w:val="20"/>
                <w:szCs w:val="20"/>
              </w:rPr>
              <w:t>)</w:t>
            </w:r>
          </w:p>
        </w:tc>
        <w:tc>
          <w:tcPr>
            <w:tcW w:w="5283" w:type="dxa"/>
          </w:tcPr>
          <w:p w14:paraId="67854B49" w14:textId="77777777" w:rsidR="00AF6702" w:rsidRPr="00702882" w:rsidRDefault="00AF6702" w:rsidP="004D3BED">
            <w:pPr>
              <w:rPr>
                <w:sz w:val="20"/>
                <w:szCs w:val="20"/>
              </w:rPr>
            </w:pPr>
            <w:r w:rsidRPr="00702882">
              <w:rPr>
                <w:sz w:val="20"/>
                <w:szCs w:val="20"/>
              </w:rPr>
              <w:t xml:space="preserve">Any unexpended or unencumbered balance remaining at the end of fiscal year 2004 shall revert to the tax stabilization reserve. </w:t>
            </w:r>
          </w:p>
        </w:tc>
        <w:tc>
          <w:tcPr>
            <w:tcW w:w="2790" w:type="dxa"/>
          </w:tcPr>
          <w:p w14:paraId="63032851" w14:textId="77777777" w:rsidR="00AF6702" w:rsidRPr="00702882" w:rsidRDefault="00AF6702" w:rsidP="004D3BED">
            <w:pPr>
              <w:tabs>
                <w:tab w:val="left" w:pos="468"/>
              </w:tabs>
              <w:rPr>
                <w:rFonts w:eastAsiaTheme="minorEastAsia"/>
                <w:sz w:val="20"/>
                <w:szCs w:val="20"/>
              </w:rPr>
            </w:pPr>
            <w:r w:rsidRPr="00702882">
              <w:rPr>
                <w:sz w:val="20"/>
                <w:szCs w:val="20"/>
              </w:rPr>
              <w:t>2002 N.M. ALS 109, 2002 N.M. Laws 109, 2002 N.M. Ch. 109, 2002 N.M. HB 451 (March 6, 2002)</w:t>
            </w:r>
          </w:p>
          <w:p w14:paraId="1689C789" w14:textId="77777777" w:rsidR="00850754" w:rsidRPr="00702882" w:rsidRDefault="00850754" w:rsidP="004D3BED">
            <w:pPr>
              <w:tabs>
                <w:tab w:val="left" w:pos="468"/>
              </w:tabs>
              <w:rPr>
                <w:rFonts w:eastAsiaTheme="minorEastAsia"/>
                <w:sz w:val="20"/>
                <w:szCs w:val="20"/>
              </w:rPr>
            </w:pPr>
          </w:p>
          <w:p w14:paraId="7FA6121F" w14:textId="77777777" w:rsidR="00850754" w:rsidRPr="00702882" w:rsidRDefault="00850754" w:rsidP="004D3BED">
            <w:pPr>
              <w:tabs>
                <w:tab w:val="left" w:pos="468"/>
              </w:tabs>
              <w:rPr>
                <w:rFonts w:eastAsiaTheme="minorEastAsia"/>
                <w:sz w:val="20"/>
                <w:szCs w:val="20"/>
              </w:rPr>
            </w:pPr>
          </w:p>
        </w:tc>
      </w:tr>
      <w:tr w:rsidR="00850754" w:rsidRPr="00702882" w14:paraId="689C5432" w14:textId="77777777" w:rsidTr="00AE6820">
        <w:trPr>
          <w:jc w:val="center"/>
        </w:trPr>
        <w:tc>
          <w:tcPr>
            <w:tcW w:w="1615" w:type="dxa"/>
            <w:vMerge w:val="restart"/>
          </w:tcPr>
          <w:p w14:paraId="51ED3764" w14:textId="77777777" w:rsidR="00AF6702" w:rsidRPr="00702882" w:rsidRDefault="00AF6702" w:rsidP="004D3BED">
            <w:pPr>
              <w:rPr>
                <w:sz w:val="20"/>
                <w:szCs w:val="20"/>
              </w:rPr>
            </w:pPr>
            <w:r w:rsidRPr="00702882">
              <w:rPr>
                <w:sz w:val="20"/>
                <w:szCs w:val="20"/>
              </w:rPr>
              <w:lastRenderedPageBreak/>
              <w:t>New York</w:t>
            </w:r>
          </w:p>
          <w:p w14:paraId="1472D1FF" w14:textId="77777777" w:rsidR="00AF6702" w:rsidRPr="00702882" w:rsidRDefault="00AF6702" w:rsidP="004D3BED">
            <w:pPr>
              <w:rPr>
                <w:rFonts w:eastAsiaTheme="minorEastAsia"/>
                <w:sz w:val="20"/>
                <w:szCs w:val="20"/>
              </w:rPr>
            </w:pPr>
          </w:p>
          <w:p w14:paraId="13EECEE0" w14:textId="77777777" w:rsidR="00AF6702" w:rsidRPr="00702882" w:rsidRDefault="00AF6702" w:rsidP="004D3BED">
            <w:pPr>
              <w:rPr>
                <w:rFonts w:eastAsiaTheme="minorEastAsia"/>
                <w:sz w:val="20"/>
                <w:szCs w:val="20"/>
              </w:rPr>
            </w:pPr>
          </w:p>
          <w:p w14:paraId="4B83136F" w14:textId="77777777" w:rsidR="00AF6702" w:rsidRPr="00702882" w:rsidRDefault="00AF6702" w:rsidP="004D3BED">
            <w:pPr>
              <w:rPr>
                <w:rFonts w:eastAsiaTheme="minorEastAsia"/>
                <w:sz w:val="20"/>
                <w:szCs w:val="20"/>
              </w:rPr>
            </w:pPr>
          </w:p>
          <w:p w14:paraId="7E8D5BAB" w14:textId="77777777" w:rsidR="00AF6702" w:rsidRPr="00702882" w:rsidRDefault="00AF6702" w:rsidP="004D3BED">
            <w:pPr>
              <w:rPr>
                <w:rFonts w:eastAsiaTheme="minorEastAsia"/>
                <w:sz w:val="20"/>
                <w:szCs w:val="20"/>
              </w:rPr>
            </w:pPr>
          </w:p>
          <w:p w14:paraId="1002A0DE" w14:textId="77777777" w:rsidR="00AF6702" w:rsidRPr="00702882" w:rsidRDefault="00AF6702" w:rsidP="004D3BED">
            <w:pPr>
              <w:rPr>
                <w:rFonts w:eastAsiaTheme="minorEastAsia"/>
                <w:sz w:val="20"/>
                <w:szCs w:val="20"/>
              </w:rPr>
            </w:pPr>
          </w:p>
          <w:p w14:paraId="4FE20DEF" w14:textId="77777777" w:rsidR="00AF6702" w:rsidRPr="00702882" w:rsidRDefault="00AF6702" w:rsidP="004D3BED">
            <w:pPr>
              <w:rPr>
                <w:rFonts w:eastAsiaTheme="minorEastAsia"/>
                <w:sz w:val="20"/>
                <w:szCs w:val="20"/>
              </w:rPr>
            </w:pPr>
          </w:p>
          <w:p w14:paraId="2E3D66E3" w14:textId="77777777" w:rsidR="00AF6702" w:rsidRPr="00702882" w:rsidRDefault="00AF6702" w:rsidP="004D3BED">
            <w:pPr>
              <w:rPr>
                <w:rFonts w:eastAsiaTheme="minorEastAsia"/>
                <w:sz w:val="20"/>
                <w:szCs w:val="20"/>
              </w:rPr>
            </w:pPr>
          </w:p>
          <w:p w14:paraId="04A0DCDF" w14:textId="77777777" w:rsidR="00AF6702" w:rsidRPr="00702882" w:rsidRDefault="00AF6702" w:rsidP="004D3BED">
            <w:pPr>
              <w:rPr>
                <w:rFonts w:eastAsiaTheme="minorEastAsia"/>
                <w:sz w:val="20"/>
                <w:szCs w:val="20"/>
              </w:rPr>
            </w:pPr>
          </w:p>
          <w:p w14:paraId="2A4618A7" w14:textId="77777777" w:rsidR="00AF6702" w:rsidRPr="00702882" w:rsidRDefault="00AF6702" w:rsidP="004D3BED">
            <w:pPr>
              <w:rPr>
                <w:rFonts w:eastAsiaTheme="minorEastAsia"/>
                <w:sz w:val="20"/>
                <w:szCs w:val="20"/>
              </w:rPr>
            </w:pPr>
          </w:p>
          <w:p w14:paraId="5E2C76A3" w14:textId="77777777" w:rsidR="00AF6702" w:rsidRPr="00702882" w:rsidRDefault="00AF6702" w:rsidP="004D3BED">
            <w:pPr>
              <w:rPr>
                <w:sz w:val="20"/>
                <w:szCs w:val="20"/>
              </w:rPr>
            </w:pPr>
          </w:p>
        </w:tc>
        <w:tc>
          <w:tcPr>
            <w:tcW w:w="630" w:type="dxa"/>
          </w:tcPr>
          <w:p w14:paraId="6AD03F5A" w14:textId="77777777" w:rsidR="00AF6702" w:rsidRPr="00702882" w:rsidRDefault="00AF6702" w:rsidP="004D3BED">
            <w:pPr>
              <w:rPr>
                <w:rFonts w:eastAsiaTheme="minorEastAsia"/>
                <w:sz w:val="20"/>
                <w:szCs w:val="20"/>
              </w:rPr>
            </w:pPr>
            <w:r w:rsidRPr="00702882">
              <w:rPr>
                <w:rFonts w:eastAsiaTheme="minorEastAsia"/>
                <w:sz w:val="20"/>
                <w:szCs w:val="20"/>
              </w:rPr>
              <w:t>2005</w:t>
            </w:r>
          </w:p>
        </w:tc>
        <w:tc>
          <w:tcPr>
            <w:tcW w:w="2520" w:type="dxa"/>
          </w:tcPr>
          <w:p w14:paraId="521B4E5D" w14:textId="77777777" w:rsidR="00AF6702" w:rsidRPr="00702882" w:rsidRDefault="00AF6702" w:rsidP="004D3BED">
            <w:pPr>
              <w:rPr>
                <w:rFonts w:eastAsiaTheme="minorEastAsia"/>
                <w:sz w:val="20"/>
                <w:szCs w:val="20"/>
              </w:rPr>
            </w:pPr>
            <w:r w:rsidRPr="00702882">
              <w:rPr>
                <w:rFonts w:eastAsiaTheme="minorEastAsia"/>
                <w:sz w:val="20"/>
                <w:szCs w:val="20"/>
              </w:rPr>
              <w:t>Tax Stabilization Reserve Fund</w:t>
            </w:r>
          </w:p>
        </w:tc>
        <w:tc>
          <w:tcPr>
            <w:tcW w:w="1467" w:type="dxa"/>
          </w:tcPr>
          <w:p w14:paraId="7C9A2A8F" w14:textId="77777777" w:rsidR="00AF6702" w:rsidRPr="00702882" w:rsidRDefault="00AF6702" w:rsidP="004D3BED">
            <w:pPr>
              <w:rPr>
                <w:rFonts w:eastAsiaTheme="minorEastAsia"/>
                <w:sz w:val="20"/>
                <w:szCs w:val="20"/>
              </w:rPr>
            </w:pPr>
            <w:r w:rsidRPr="00702882">
              <w:rPr>
                <w:rFonts w:eastAsiaTheme="minorEastAsia"/>
                <w:sz w:val="20"/>
                <w:szCs w:val="20"/>
              </w:rPr>
              <w:t>Cap</w:t>
            </w:r>
          </w:p>
          <w:p w14:paraId="415FBBEA" w14:textId="77777777" w:rsidR="00AF6702" w:rsidRPr="00702882" w:rsidRDefault="00AF6702" w:rsidP="004D3BED">
            <w:pPr>
              <w:rPr>
                <w:rFonts w:eastAsiaTheme="minorEastAsia"/>
                <w:sz w:val="20"/>
                <w:szCs w:val="20"/>
              </w:rPr>
            </w:pPr>
            <w:r w:rsidRPr="00702882">
              <w:rPr>
                <w:rFonts w:eastAsiaTheme="minorEastAsia"/>
                <w:sz w:val="20"/>
                <w:szCs w:val="20"/>
              </w:rPr>
              <w:t xml:space="preserve">(2 </w:t>
            </w:r>
            <w:r w:rsidRPr="00702882">
              <w:rPr>
                <w:sz w:val="20"/>
                <w:szCs w:val="20"/>
              </w:rPr>
              <w:t>→ 3)</w:t>
            </w:r>
            <w:r w:rsidRPr="00702882">
              <w:rPr>
                <w:rFonts w:eastAsiaTheme="minorEastAsia"/>
                <w:sz w:val="20"/>
                <w:szCs w:val="20"/>
              </w:rPr>
              <w:t xml:space="preserve"> </w:t>
            </w:r>
          </w:p>
        </w:tc>
        <w:tc>
          <w:tcPr>
            <w:tcW w:w="5283" w:type="dxa"/>
          </w:tcPr>
          <w:p w14:paraId="10B8E58A" w14:textId="77777777" w:rsidR="00AF6702" w:rsidRPr="00702882" w:rsidRDefault="00AF6702" w:rsidP="004D3BED">
            <w:pPr>
              <w:rPr>
                <w:rFonts w:eastAsiaTheme="minorEastAsia"/>
                <w:sz w:val="20"/>
                <w:szCs w:val="20"/>
              </w:rPr>
            </w:pPr>
            <w:r w:rsidRPr="00702882">
              <w:rPr>
                <w:rFonts w:eastAsiaTheme="minorEastAsia"/>
                <w:sz w:val="20"/>
                <w:szCs w:val="20"/>
              </w:rPr>
              <w:t>All surplus funds, up to 0.2 percent of the norm (total general fund disbursements), shall be transferred to the tax stabilization reserve fund. However, if this transfer would cause the reserve fund to exceed three percent of the norm, the transfer will be limited to bring it to that three percent limit.</w:t>
            </w:r>
          </w:p>
        </w:tc>
        <w:tc>
          <w:tcPr>
            <w:tcW w:w="2790" w:type="dxa"/>
          </w:tcPr>
          <w:p w14:paraId="204A9755" w14:textId="77777777" w:rsidR="00AF6702" w:rsidRPr="00702882" w:rsidRDefault="00AF6702" w:rsidP="004D3BED">
            <w:pPr>
              <w:rPr>
                <w:sz w:val="20"/>
                <w:szCs w:val="20"/>
              </w:rPr>
            </w:pPr>
            <w:r w:rsidRPr="00702882">
              <w:rPr>
                <w:sz w:val="20"/>
                <w:szCs w:val="20"/>
              </w:rPr>
              <w:t>2005 N.Y. ALS 666, 2005 N.Y. LAWS 666, 2005 N.Y. S.N. 2 (May 23, 2005).</w:t>
            </w:r>
          </w:p>
        </w:tc>
      </w:tr>
      <w:tr w:rsidR="00850754" w:rsidRPr="00702882" w14:paraId="685AC3F0" w14:textId="77777777" w:rsidTr="00AE6820">
        <w:trPr>
          <w:jc w:val="center"/>
        </w:trPr>
        <w:tc>
          <w:tcPr>
            <w:tcW w:w="1615" w:type="dxa"/>
            <w:vMerge/>
          </w:tcPr>
          <w:p w14:paraId="5056E478" w14:textId="77777777" w:rsidR="00AF6702" w:rsidRPr="00702882" w:rsidRDefault="00AF6702" w:rsidP="004D3BED">
            <w:pPr>
              <w:rPr>
                <w:sz w:val="20"/>
                <w:szCs w:val="20"/>
              </w:rPr>
            </w:pPr>
          </w:p>
        </w:tc>
        <w:tc>
          <w:tcPr>
            <w:tcW w:w="630" w:type="dxa"/>
          </w:tcPr>
          <w:p w14:paraId="3087B56C" w14:textId="77777777" w:rsidR="00AF6702" w:rsidRPr="00702882" w:rsidRDefault="00AF6702" w:rsidP="004D3BED">
            <w:pPr>
              <w:rPr>
                <w:sz w:val="20"/>
                <w:szCs w:val="20"/>
              </w:rPr>
            </w:pPr>
            <w:r w:rsidRPr="00702882">
              <w:rPr>
                <w:sz w:val="20"/>
                <w:szCs w:val="20"/>
              </w:rPr>
              <w:t>2007</w:t>
            </w:r>
          </w:p>
        </w:tc>
        <w:tc>
          <w:tcPr>
            <w:tcW w:w="2520" w:type="dxa"/>
          </w:tcPr>
          <w:p w14:paraId="6147C44D" w14:textId="77777777" w:rsidR="00AF6702" w:rsidRPr="00702882" w:rsidRDefault="00AF6702" w:rsidP="004D3BED">
            <w:pPr>
              <w:rPr>
                <w:sz w:val="20"/>
                <w:szCs w:val="20"/>
              </w:rPr>
            </w:pPr>
            <w:r w:rsidRPr="00702882">
              <w:rPr>
                <w:sz w:val="20"/>
                <w:szCs w:val="20"/>
              </w:rPr>
              <w:t>Rainy Day Reserve Fund (2007)</w:t>
            </w:r>
          </w:p>
        </w:tc>
        <w:tc>
          <w:tcPr>
            <w:tcW w:w="1467" w:type="dxa"/>
          </w:tcPr>
          <w:p w14:paraId="1942B689" w14:textId="77777777" w:rsidR="00AF6702" w:rsidRPr="00702882" w:rsidRDefault="00AF6702" w:rsidP="004D3BED">
            <w:pPr>
              <w:rPr>
                <w:sz w:val="20"/>
                <w:szCs w:val="20"/>
              </w:rPr>
            </w:pPr>
            <w:r w:rsidRPr="00702882">
              <w:rPr>
                <w:sz w:val="20"/>
                <w:szCs w:val="20"/>
              </w:rPr>
              <w:t xml:space="preserve">Number </w:t>
            </w:r>
          </w:p>
          <w:p w14:paraId="2F616336" w14:textId="027C6D6D" w:rsidR="00AF6702" w:rsidRPr="00702882" w:rsidRDefault="00AF6702" w:rsidP="004D3BED">
            <w:pPr>
              <w:rPr>
                <w:sz w:val="20"/>
                <w:szCs w:val="20"/>
              </w:rPr>
            </w:pPr>
            <w:r w:rsidRPr="00702882">
              <w:rPr>
                <w:sz w:val="20"/>
                <w:szCs w:val="20"/>
              </w:rPr>
              <w:t>(</w:t>
            </w:r>
            <w:r w:rsidR="00FD1091" w:rsidRPr="00702882">
              <w:rPr>
                <w:rFonts w:eastAsiaTheme="minorEastAsia"/>
                <w:sz w:val="20"/>
                <w:szCs w:val="20"/>
              </w:rPr>
              <w:t>0</w:t>
            </w:r>
            <w:r w:rsidRPr="00702882">
              <w:rPr>
                <w:sz w:val="20"/>
                <w:szCs w:val="20"/>
              </w:rPr>
              <w:t xml:space="preserve"> → </w:t>
            </w:r>
            <w:r w:rsidR="00FD1091" w:rsidRPr="00702882">
              <w:rPr>
                <w:rFonts w:eastAsiaTheme="minorEastAsia"/>
                <w:sz w:val="20"/>
                <w:szCs w:val="20"/>
              </w:rPr>
              <w:t>1</w:t>
            </w:r>
            <w:r w:rsidRPr="00702882">
              <w:rPr>
                <w:sz w:val="20"/>
                <w:szCs w:val="20"/>
              </w:rPr>
              <w:t>)</w:t>
            </w:r>
          </w:p>
        </w:tc>
        <w:tc>
          <w:tcPr>
            <w:tcW w:w="5283" w:type="dxa"/>
          </w:tcPr>
          <w:p w14:paraId="4627E65C" w14:textId="77777777" w:rsidR="00AF6702" w:rsidRPr="00702882" w:rsidRDefault="00AF6702" w:rsidP="004D3BED">
            <w:pPr>
              <w:rPr>
                <w:sz w:val="20"/>
                <w:szCs w:val="20"/>
              </w:rPr>
            </w:pPr>
            <w:r w:rsidRPr="00702882">
              <w:rPr>
                <w:sz w:val="20"/>
                <w:szCs w:val="20"/>
              </w:rPr>
              <w:t xml:space="preserve">Rainy Day Reserve Fund was established in 2007. </w:t>
            </w:r>
          </w:p>
          <w:p w14:paraId="03BD25CD" w14:textId="77777777" w:rsidR="00AF6702" w:rsidRPr="00702882" w:rsidRDefault="00AF6702" w:rsidP="004D3BED">
            <w:pPr>
              <w:rPr>
                <w:sz w:val="20"/>
                <w:szCs w:val="20"/>
              </w:rPr>
            </w:pPr>
          </w:p>
          <w:p w14:paraId="0A5FDCCD" w14:textId="77777777" w:rsidR="00AF6702" w:rsidRPr="00702882" w:rsidRDefault="00AF6702" w:rsidP="004D3BED">
            <w:pPr>
              <w:rPr>
                <w:sz w:val="20"/>
                <w:szCs w:val="20"/>
              </w:rPr>
            </w:pPr>
          </w:p>
          <w:p w14:paraId="1AA66836" w14:textId="77777777" w:rsidR="00AF6702" w:rsidRPr="00702882" w:rsidRDefault="00AF6702" w:rsidP="004D3BED">
            <w:pPr>
              <w:rPr>
                <w:sz w:val="20"/>
                <w:szCs w:val="20"/>
              </w:rPr>
            </w:pPr>
          </w:p>
        </w:tc>
        <w:tc>
          <w:tcPr>
            <w:tcW w:w="2790" w:type="dxa"/>
          </w:tcPr>
          <w:p w14:paraId="7CF89AE2" w14:textId="77777777" w:rsidR="00AF6702" w:rsidRPr="00702882" w:rsidRDefault="00AF6702" w:rsidP="004D3BED">
            <w:pPr>
              <w:rPr>
                <w:sz w:val="20"/>
                <w:szCs w:val="20"/>
              </w:rPr>
            </w:pPr>
            <w:r w:rsidRPr="00702882">
              <w:rPr>
                <w:sz w:val="20"/>
                <w:szCs w:val="20"/>
              </w:rPr>
              <w:t>2007 N.Y. ALS 1, 2007 N.Y. LAWS 1, 2007 N.Y. A.N. 2755 (January 24, 2007)</w:t>
            </w:r>
          </w:p>
        </w:tc>
      </w:tr>
      <w:tr w:rsidR="00850754" w:rsidRPr="00702882" w14:paraId="67AB59AF" w14:textId="77777777" w:rsidTr="00AE6820">
        <w:trPr>
          <w:jc w:val="center"/>
        </w:trPr>
        <w:tc>
          <w:tcPr>
            <w:tcW w:w="1615" w:type="dxa"/>
            <w:vMerge/>
          </w:tcPr>
          <w:p w14:paraId="7D1BC77E" w14:textId="77777777" w:rsidR="00AF6702" w:rsidRPr="00702882" w:rsidRDefault="00AF6702" w:rsidP="004D3BED">
            <w:pPr>
              <w:rPr>
                <w:sz w:val="20"/>
                <w:szCs w:val="20"/>
              </w:rPr>
            </w:pPr>
          </w:p>
        </w:tc>
        <w:tc>
          <w:tcPr>
            <w:tcW w:w="630" w:type="dxa"/>
          </w:tcPr>
          <w:p w14:paraId="2DC12FE6" w14:textId="77777777" w:rsidR="00AF6702" w:rsidRPr="00702882" w:rsidRDefault="00AF6702" w:rsidP="004D3BED">
            <w:pPr>
              <w:rPr>
                <w:sz w:val="20"/>
                <w:szCs w:val="20"/>
              </w:rPr>
            </w:pPr>
            <w:r w:rsidRPr="00702882">
              <w:rPr>
                <w:sz w:val="20"/>
                <w:szCs w:val="20"/>
              </w:rPr>
              <w:t>2007</w:t>
            </w:r>
          </w:p>
        </w:tc>
        <w:tc>
          <w:tcPr>
            <w:tcW w:w="2520" w:type="dxa"/>
          </w:tcPr>
          <w:p w14:paraId="67575F99" w14:textId="77777777" w:rsidR="00AF6702" w:rsidRPr="00702882" w:rsidRDefault="00AF6702" w:rsidP="004D3BED">
            <w:pPr>
              <w:rPr>
                <w:rFonts w:eastAsiaTheme="minorEastAsia"/>
                <w:sz w:val="20"/>
                <w:szCs w:val="20"/>
              </w:rPr>
            </w:pPr>
            <w:r w:rsidRPr="00702882">
              <w:rPr>
                <w:sz w:val="20"/>
                <w:szCs w:val="20"/>
              </w:rPr>
              <w:t>Rainy Day Reserve Fund (2007)</w:t>
            </w:r>
          </w:p>
          <w:p w14:paraId="1DFB50A4" w14:textId="77777777" w:rsidR="00AF6702" w:rsidRPr="00702882" w:rsidRDefault="00AF6702" w:rsidP="004D3BED">
            <w:pPr>
              <w:rPr>
                <w:rFonts w:eastAsiaTheme="minorEastAsia"/>
                <w:sz w:val="20"/>
                <w:szCs w:val="20"/>
              </w:rPr>
            </w:pPr>
          </w:p>
        </w:tc>
        <w:tc>
          <w:tcPr>
            <w:tcW w:w="1467" w:type="dxa"/>
          </w:tcPr>
          <w:p w14:paraId="4D51782C" w14:textId="77777777" w:rsidR="00AF6702" w:rsidRPr="00702882" w:rsidRDefault="00AF6702" w:rsidP="004D3BED">
            <w:pPr>
              <w:rPr>
                <w:rFonts w:eastAsiaTheme="minorEastAsia"/>
                <w:sz w:val="20"/>
                <w:szCs w:val="20"/>
              </w:rPr>
            </w:pPr>
            <w:r w:rsidRPr="00702882">
              <w:rPr>
                <w:rFonts w:eastAsiaTheme="minorEastAsia"/>
                <w:sz w:val="20"/>
                <w:szCs w:val="20"/>
              </w:rPr>
              <w:t>Cap</w:t>
            </w:r>
          </w:p>
          <w:p w14:paraId="497C0C98" w14:textId="77777777" w:rsidR="00AF6702" w:rsidRPr="00702882" w:rsidRDefault="00AF6702" w:rsidP="004D3BED">
            <w:pPr>
              <w:rPr>
                <w:rFonts w:eastAsiaTheme="minorEastAsia"/>
                <w:sz w:val="20"/>
                <w:szCs w:val="20"/>
              </w:rPr>
            </w:pPr>
            <w:r w:rsidRPr="00702882">
              <w:rPr>
                <w:rFonts w:eastAsiaTheme="minorEastAsia"/>
                <w:sz w:val="20"/>
                <w:szCs w:val="20"/>
              </w:rPr>
              <w:t xml:space="preserve">(3 </w:t>
            </w:r>
            <w:r w:rsidRPr="00702882">
              <w:rPr>
                <w:sz w:val="20"/>
                <w:szCs w:val="20"/>
              </w:rPr>
              <w:t>→ 5)</w:t>
            </w:r>
          </w:p>
        </w:tc>
        <w:tc>
          <w:tcPr>
            <w:tcW w:w="5283" w:type="dxa"/>
          </w:tcPr>
          <w:p w14:paraId="36FC108A" w14:textId="77777777" w:rsidR="00AF6702" w:rsidRPr="00702882" w:rsidRDefault="00AF6702" w:rsidP="004D3BED">
            <w:pPr>
              <w:rPr>
                <w:sz w:val="20"/>
                <w:szCs w:val="20"/>
              </w:rPr>
            </w:pPr>
            <w:r w:rsidRPr="00702882">
              <w:rPr>
                <w:sz w:val="20"/>
                <w:szCs w:val="20"/>
              </w:rPr>
              <w:t xml:space="preserve">The fund's maximum balance should not exceed five percent of the projected disbursement from the general fund in the upcoming fiscal year. </w:t>
            </w:r>
          </w:p>
          <w:p w14:paraId="7F13587E" w14:textId="77777777" w:rsidR="00AF6702" w:rsidRPr="00702882" w:rsidRDefault="00AF6702" w:rsidP="004D3BED">
            <w:pPr>
              <w:rPr>
                <w:sz w:val="20"/>
                <w:szCs w:val="20"/>
              </w:rPr>
            </w:pPr>
          </w:p>
        </w:tc>
        <w:tc>
          <w:tcPr>
            <w:tcW w:w="2790" w:type="dxa"/>
          </w:tcPr>
          <w:p w14:paraId="2436DC3A" w14:textId="77777777" w:rsidR="00AF6702" w:rsidRPr="00702882" w:rsidRDefault="00AF6702" w:rsidP="004D3BED">
            <w:pPr>
              <w:rPr>
                <w:sz w:val="20"/>
                <w:szCs w:val="20"/>
              </w:rPr>
            </w:pPr>
            <w:r w:rsidRPr="00702882">
              <w:rPr>
                <w:sz w:val="20"/>
                <w:szCs w:val="20"/>
              </w:rPr>
              <w:t>2007 N.Y. ALS 1, 2007 N.Y. LAWS 1, 2007 N.Y. A.N. 2755 (January 24, 2007)</w:t>
            </w:r>
          </w:p>
        </w:tc>
      </w:tr>
      <w:tr w:rsidR="00850754" w:rsidRPr="00702882" w14:paraId="1840F337" w14:textId="77777777" w:rsidTr="00AE6820">
        <w:trPr>
          <w:jc w:val="center"/>
        </w:trPr>
        <w:tc>
          <w:tcPr>
            <w:tcW w:w="1615" w:type="dxa"/>
            <w:vMerge/>
          </w:tcPr>
          <w:p w14:paraId="339C8CC1" w14:textId="77777777" w:rsidR="00AF6702" w:rsidRPr="00702882" w:rsidRDefault="00AF6702" w:rsidP="004D3BED">
            <w:pPr>
              <w:rPr>
                <w:sz w:val="20"/>
                <w:szCs w:val="20"/>
              </w:rPr>
            </w:pPr>
          </w:p>
        </w:tc>
        <w:tc>
          <w:tcPr>
            <w:tcW w:w="630" w:type="dxa"/>
          </w:tcPr>
          <w:p w14:paraId="17D09D76" w14:textId="77777777" w:rsidR="00AF6702" w:rsidRPr="00702882" w:rsidRDefault="00AF6702" w:rsidP="004D3BED">
            <w:pPr>
              <w:rPr>
                <w:sz w:val="20"/>
                <w:szCs w:val="20"/>
              </w:rPr>
            </w:pPr>
            <w:r w:rsidRPr="00702882">
              <w:rPr>
                <w:sz w:val="20"/>
                <w:szCs w:val="20"/>
              </w:rPr>
              <w:t>2007</w:t>
            </w:r>
          </w:p>
        </w:tc>
        <w:tc>
          <w:tcPr>
            <w:tcW w:w="2520" w:type="dxa"/>
          </w:tcPr>
          <w:p w14:paraId="39356713" w14:textId="77777777" w:rsidR="00AF6702" w:rsidRPr="00702882" w:rsidRDefault="00AF6702" w:rsidP="004D3BED">
            <w:pPr>
              <w:rPr>
                <w:rFonts w:eastAsiaTheme="minorEastAsia"/>
                <w:sz w:val="20"/>
                <w:szCs w:val="20"/>
              </w:rPr>
            </w:pPr>
            <w:r w:rsidRPr="00702882">
              <w:rPr>
                <w:sz w:val="20"/>
                <w:szCs w:val="20"/>
              </w:rPr>
              <w:t>Rainy Day Reserve Fund (2007)</w:t>
            </w:r>
          </w:p>
          <w:p w14:paraId="50C00803" w14:textId="77777777" w:rsidR="00AF6702" w:rsidRPr="00702882" w:rsidRDefault="00AF6702" w:rsidP="004D3BED">
            <w:pPr>
              <w:rPr>
                <w:sz w:val="20"/>
                <w:szCs w:val="20"/>
              </w:rPr>
            </w:pPr>
          </w:p>
        </w:tc>
        <w:tc>
          <w:tcPr>
            <w:tcW w:w="1467" w:type="dxa"/>
          </w:tcPr>
          <w:p w14:paraId="72003932" w14:textId="77777777" w:rsidR="00AF6702" w:rsidRPr="00702882" w:rsidRDefault="00AF6702" w:rsidP="004D3BED">
            <w:pPr>
              <w:rPr>
                <w:rFonts w:eastAsiaTheme="minorEastAsia"/>
                <w:sz w:val="20"/>
                <w:szCs w:val="20"/>
              </w:rPr>
            </w:pPr>
            <w:r w:rsidRPr="00702882">
              <w:rPr>
                <w:rFonts w:eastAsiaTheme="minorEastAsia"/>
                <w:sz w:val="20"/>
                <w:szCs w:val="20"/>
              </w:rPr>
              <w:t>Deposit tied to revenue volatility</w:t>
            </w:r>
          </w:p>
          <w:p w14:paraId="0D9F38C4" w14:textId="77777777" w:rsidR="00AF6702" w:rsidRPr="00702882" w:rsidRDefault="00AF6702" w:rsidP="004D3BED">
            <w:pPr>
              <w:rPr>
                <w:rFonts w:eastAsiaTheme="minorEastAsia"/>
                <w:sz w:val="20"/>
                <w:szCs w:val="20"/>
              </w:rPr>
            </w:pPr>
            <w:r w:rsidRPr="00702882">
              <w:rPr>
                <w:rFonts w:eastAsiaTheme="minorEastAsia"/>
                <w:sz w:val="20"/>
                <w:szCs w:val="20"/>
              </w:rPr>
              <w:t xml:space="preserve">(0 </w:t>
            </w:r>
            <w:r w:rsidRPr="00702882">
              <w:rPr>
                <w:sz w:val="20"/>
                <w:szCs w:val="20"/>
              </w:rPr>
              <w:t xml:space="preserve">→ </w:t>
            </w:r>
            <w:r w:rsidRPr="00702882">
              <w:rPr>
                <w:rFonts w:eastAsiaTheme="minorEastAsia"/>
                <w:sz w:val="20"/>
                <w:szCs w:val="20"/>
              </w:rPr>
              <w:t>0.75)</w:t>
            </w:r>
          </w:p>
        </w:tc>
        <w:tc>
          <w:tcPr>
            <w:tcW w:w="5283" w:type="dxa"/>
          </w:tcPr>
          <w:p w14:paraId="30516596" w14:textId="77777777" w:rsidR="00AF6702" w:rsidRPr="00702882" w:rsidRDefault="00AF6702" w:rsidP="004D3BED">
            <w:pPr>
              <w:rPr>
                <w:sz w:val="20"/>
                <w:szCs w:val="20"/>
              </w:rPr>
            </w:pPr>
            <w:r w:rsidRPr="00702882">
              <w:rPr>
                <w:sz w:val="20"/>
                <w:szCs w:val="20"/>
              </w:rPr>
              <w:t>Upon the director of the budget's request, the state comptroller will transfer funds to the rainy day reserve up to 0.75 percent of the projected disbursement for the current fiscal year.</w:t>
            </w:r>
          </w:p>
          <w:p w14:paraId="3DB2EFAD" w14:textId="77777777" w:rsidR="00AF6702" w:rsidRPr="00702882" w:rsidRDefault="00AF6702" w:rsidP="004D3BED">
            <w:pPr>
              <w:rPr>
                <w:sz w:val="20"/>
                <w:szCs w:val="20"/>
              </w:rPr>
            </w:pPr>
          </w:p>
        </w:tc>
        <w:tc>
          <w:tcPr>
            <w:tcW w:w="2790" w:type="dxa"/>
          </w:tcPr>
          <w:p w14:paraId="14A1A4EE" w14:textId="77777777" w:rsidR="00AF6702" w:rsidRPr="00702882" w:rsidRDefault="00AF6702" w:rsidP="004D3BED">
            <w:pPr>
              <w:rPr>
                <w:sz w:val="20"/>
                <w:szCs w:val="20"/>
              </w:rPr>
            </w:pPr>
            <w:r w:rsidRPr="00702882">
              <w:rPr>
                <w:sz w:val="20"/>
                <w:szCs w:val="20"/>
              </w:rPr>
              <w:t>2007 N.Y. ALS 1, 2007 N.Y. LAWS 1, 2007 N.Y. A.N. 2755 (January 24, 2007)</w:t>
            </w:r>
          </w:p>
        </w:tc>
      </w:tr>
      <w:tr w:rsidR="00850754" w:rsidRPr="00702882" w14:paraId="341CA945" w14:textId="77777777" w:rsidTr="00AE6820">
        <w:trPr>
          <w:jc w:val="center"/>
        </w:trPr>
        <w:tc>
          <w:tcPr>
            <w:tcW w:w="1615" w:type="dxa"/>
            <w:vMerge/>
          </w:tcPr>
          <w:p w14:paraId="0EBF33AA" w14:textId="77777777" w:rsidR="00AF6702" w:rsidRPr="00702882" w:rsidRDefault="00AF6702" w:rsidP="004D3BED">
            <w:pPr>
              <w:rPr>
                <w:sz w:val="20"/>
                <w:szCs w:val="20"/>
              </w:rPr>
            </w:pPr>
          </w:p>
        </w:tc>
        <w:tc>
          <w:tcPr>
            <w:tcW w:w="630" w:type="dxa"/>
          </w:tcPr>
          <w:p w14:paraId="582DBA74" w14:textId="77777777" w:rsidR="00AF6702" w:rsidRPr="00702882" w:rsidRDefault="00AF6702" w:rsidP="004D3BED">
            <w:pPr>
              <w:rPr>
                <w:sz w:val="20"/>
                <w:szCs w:val="20"/>
              </w:rPr>
            </w:pPr>
            <w:r w:rsidRPr="00702882">
              <w:rPr>
                <w:sz w:val="20"/>
                <w:szCs w:val="20"/>
              </w:rPr>
              <w:t>2012</w:t>
            </w:r>
          </w:p>
        </w:tc>
        <w:tc>
          <w:tcPr>
            <w:tcW w:w="2520" w:type="dxa"/>
          </w:tcPr>
          <w:p w14:paraId="6D56C8BB" w14:textId="77777777" w:rsidR="00AF6702" w:rsidRPr="00702882" w:rsidRDefault="00AF6702" w:rsidP="004D3BED">
            <w:pPr>
              <w:rPr>
                <w:sz w:val="20"/>
                <w:szCs w:val="20"/>
              </w:rPr>
            </w:pPr>
            <w:r w:rsidRPr="00702882">
              <w:rPr>
                <w:sz w:val="20"/>
                <w:szCs w:val="20"/>
              </w:rPr>
              <w:t>Rainy Day Reserve Fund (2007)</w:t>
            </w:r>
          </w:p>
          <w:p w14:paraId="355FB0E9" w14:textId="77777777" w:rsidR="00AF6702" w:rsidRPr="00702882" w:rsidRDefault="00AF6702" w:rsidP="004D3BED">
            <w:pPr>
              <w:rPr>
                <w:rFonts w:eastAsiaTheme="minorEastAsia"/>
                <w:sz w:val="20"/>
                <w:szCs w:val="20"/>
              </w:rPr>
            </w:pPr>
          </w:p>
        </w:tc>
        <w:tc>
          <w:tcPr>
            <w:tcW w:w="1467" w:type="dxa"/>
          </w:tcPr>
          <w:p w14:paraId="3312A19A" w14:textId="77777777" w:rsidR="00AF6702" w:rsidRPr="00702882" w:rsidRDefault="00AF6702" w:rsidP="004D3BED">
            <w:pPr>
              <w:rPr>
                <w:sz w:val="20"/>
                <w:szCs w:val="20"/>
              </w:rPr>
            </w:pPr>
            <w:r w:rsidRPr="00702882">
              <w:rPr>
                <w:sz w:val="20"/>
                <w:szCs w:val="20"/>
              </w:rPr>
              <w:t>Cap</w:t>
            </w:r>
          </w:p>
          <w:p w14:paraId="6CCE6B4E" w14:textId="77777777" w:rsidR="00AF6702" w:rsidRPr="00702882" w:rsidRDefault="00AF6702" w:rsidP="004D3BED">
            <w:pPr>
              <w:rPr>
                <w:sz w:val="20"/>
                <w:szCs w:val="20"/>
              </w:rPr>
            </w:pPr>
            <w:r w:rsidRPr="00702882">
              <w:rPr>
                <w:sz w:val="20"/>
                <w:szCs w:val="20"/>
              </w:rPr>
              <w:t>(5 → 3)</w:t>
            </w:r>
          </w:p>
        </w:tc>
        <w:tc>
          <w:tcPr>
            <w:tcW w:w="5283" w:type="dxa"/>
          </w:tcPr>
          <w:p w14:paraId="45F791C9" w14:textId="77777777" w:rsidR="00AF6702" w:rsidRPr="00702882" w:rsidRDefault="00AF6702" w:rsidP="004D3BED">
            <w:pPr>
              <w:rPr>
                <w:sz w:val="20"/>
                <w:szCs w:val="20"/>
              </w:rPr>
            </w:pPr>
            <w:r w:rsidRPr="00702882">
              <w:rPr>
                <w:sz w:val="20"/>
                <w:szCs w:val="20"/>
              </w:rPr>
              <w:t>The state comptroller shall transfer monies to the RDRF</w:t>
            </w:r>
            <w:r w:rsidRPr="00702882">
              <w:t xml:space="preserve"> </w:t>
            </w:r>
            <w:r w:rsidRPr="00702882">
              <w:rPr>
                <w:sz w:val="20"/>
                <w:szCs w:val="20"/>
              </w:rPr>
              <w:t xml:space="preserve">from the general fund, unless such transfer would increase the RDRF to an amount in excess of 3 % of the amount projected to be disbursed from the general fund during the fiscal year. </w:t>
            </w:r>
          </w:p>
          <w:p w14:paraId="45A0AF00" w14:textId="77777777" w:rsidR="00AF6702" w:rsidRPr="00702882" w:rsidRDefault="00AF6702" w:rsidP="004D3BED">
            <w:pPr>
              <w:rPr>
                <w:sz w:val="20"/>
                <w:szCs w:val="20"/>
              </w:rPr>
            </w:pPr>
          </w:p>
        </w:tc>
        <w:tc>
          <w:tcPr>
            <w:tcW w:w="2790" w:type="dxa"/>
          </w:tcPr>
          <w:p w14:paraId="40666AD1" w14:textId="77777777" w:rsidR="00AF6702" w:rsidRPr="00702882" w:rsidRDefault="00AF6702" w:rsidP="004D3BED">
            <w:pPr>
              <w:tabs>
                <w:tab w:val="left" w:pos="468"/>
              </w:tabs>
              <w:rPr>
                <w:sz w:val="20"/>
                <w:szCs w:val="20"/>
              </w:rPr>
            </w:pPr>
            <w:r w:rsidRPr="00702882">
              <w:rPr>
                <w:sz w:val="20"/>
                <w:szCs w:val="20"/>
              </w:rPr>
              <w:t>2012 N.Y. ALS 59, 2012 N.Y. LAWS 59, 2011 N.Y. A.N. 9059 (March 30, 2012)</w:t>
            </w:r>
          </w:p>
        </w:tc>
      </w:tr>
      <w:tr w:rsidR="00850754" w:rsidRPr="00702882" w14:paraId="0DAEBFDD" w14:textId="77777777" w:rsidTr="00AE6820">
        <w:trPr>
          <w:jc w:val="center"/>
        </w:trPr>
        <w:tc>
          <w:tcPr>
            <w:tcW w:w="1615" w:type="dxa"/>
            <w:vMerge/>
          </w:tcPr>
          <w:p w14:paraId="4A9691A2" w14:textId="77777777" w:rsidR="00AF6702" w:rsidRPr="00702882" w:rsidRDefault="00AF6702" w:rsidP="004D3BED">
            <w:pPr>
              <w:rPr>
                <w:sz w:val="20"/>
                <w:szCs w:val="20"/>
              </w:rPr>
            </w:pPr>
          </w:p>
        </w:tc>
        <w:tc>
          <w:tcPr>
            <w:tcW w:w="630" w:type="dxa"/>
          </w:tcPr>
          <w:p w14:paraId="0D5DDE54" w14:textId="77777777" w:rsidR="00AF6702" w:rsidRPr="00702882" w:rsidRDefault="00AF6702" w:rsidP="004D3BED">
            <w:pPr>
              <w:rPr>
                <w:rFonts w:eastAsiaTheme="minorEastAsia"/>
                <w:sz w:val="20"/>
                <w:szCs w:val="20"/>
              </w:rPr>
            </w:pPr>
            <w:r w:rsidRPr="00702882">
              <w:rPr>
                <w:rFonts w:eastAsiaTheme="minorEastAsia"/>
                <w:sz w:val="20"/>
                <w:szCs w:val="20"/>
              </w:rPr>
              <w:t>2012</w:t>
            </w:r>
          </w:p>
          <w:p w14:paraId="6526F443" w14:textId="77777777" w:rsidR="00AF6702" w:rsidRPr="00702882" w:rsidRDefault="00AF6702" w:rsidP="004D3BED">
            <w:pPr>
              <w:rPr>
                <w:rFonts w:eastAsiaTheme="minorEastAsia"/>
                <w:sz w:val="20"/>
                <w:szCs w:val="20"/>
              </w:rPr>
            </w:pPr>
          </w:p>
        </w:tc>
        <w:tc>
          <w:tcPr>
            <w:tcW w:w="2520" w:type="dxa"/>
          </w:tcPr>
          <w:p w14:paraId="22758D93" w14:textId="77777777" w:rsidR="00AF6702" w:rsidRPr="00702882" w:rsidRDefault="00AF6702" w:rsidP="004D3BED">
            <w:pPr>
              <w:rPr>
                <w:rFonts w:eastAsiaTheme="minorEastAsia"/>
                <w:sz w:val="20"/>
                <w:szCs w:val="20"/>
              </w:rPr>
            </w:pPr>
            <w:r w:rsidRPr="00702882">
              <w:rPr>
                <w:sz w:val="20"/>
                <w:szCs w:val="20"/>
              </w:rPr>
              <w:t>Rainy Day Reserve Fund (2007)</w:t>
            </w:r>
          </w:p>
          <w:p w14:paraId="12C51513" w14:textId="77777777" w:rsidR="00AF6702" w:rsidRPr="00702882" w:rsidRDefault="00AF6702" w:rsidP="004D3BED">
            <w:pPr>
              <w:rPr>
                <w:sz w:val="20"/>
                <w:szCs w:val="20"/>
              </w:rPr>
            </w:pPr>
          </w:p>
        </w:tc>
        <w:tc>
          <w:tcPr>
            <w:tcW w:w="1467" w:type="dxa"/>
          </w:tcPr>
          <w:p w14:paraId="2DC6371F" w14:textId="77777777" w:rsidR="00AF6702" w:rsidRPr="00702882" w:rsidRDefault="00AF6702" w:rsidP="004D3BED">
            <w:pPr>
              <w:rPr>
                <w:rFonts w:eastAsiaTheme="minorEastAsia"/>
                <w:sz w:val="20"/>
                <w:szCs w:val="20"/>
              </w:rPr>
            </w:pPr>
            <w:r w:rsidRPr="00702882">
              <w:rPr>
                <w:rFonts w:eastAsiaTheme="minorEastAsia"/>
                <w:sz w:val="20"/>
                <w:szCs w:val="20"/>
              </w:rPr>
              <w:t>Deposit tied to revenue volatility</w:t>
            </w:r>
          </w:p>
          <w:p w14:paraId="283D6319" w14:textId="77777777" w:rsidR="00AF6702" w:rsidRPr="00702882" w:rsidRDefault="00AF6702" w:rsidP="004D3BED">
            <w:pPr>
              <w:rPr>
                <w:sz w:val="20"/>
                <w:szCs w:val="20"/>
              </w:rPr>
            </w:pPr>
            <w:r w:rsidRPr="00702882">
              <w:rPr>
                <w:rFonts w:eastAsiaTheme="minorEastAsia"/>
                <w:sz w:val="20"/>
                <w:szCs w:val="20"/>
              </w:rPr>
              <w:t xml:space="preserve">(0 .75 </w:t>
            </w:r>
            <w:r w:rsidRPr="00702882">
              <w:rPr>
                <w:sz w:val="20"/>
                <w:szCs w:val="20"/>
              </w:rPr>
              <w:t xml:space="preserve">→ </w:t>
            </w:r>
            <w:r w:rsidRPr="00702882">
              <w:rPr>
                <w:rFonts w:eastAsiaTheme="minorEastAsia"/>
                <w:sz w:val="20"/>
                <w:szCs w:val="20"/>
              </w:rPr>
              <w:t>0.3)</w:t>
            </w:r>
          </w:p>
        </w:tc>
        <w:tc>
          <w:tcPr>
            <w:tcW w:w="5283" w:type="dxa"/>
          </w:tcPr>
          <w:p w14:paraId="560F90D2" w14:textId="77777777" w:rsidR="00AF6702" w:rsidRPr="00702882" w:rsidRDefault="00AF6702" w:rsidP="004D3BED">
            <w:pPr>
              <w:rPr>
                <w:rFonts w:eastAsiaTheme="minorEastAsia"/>
                <w:sz w:val="20"/>
                <w:szCs w:val="20"/>
              </w:rPr>
            </w:pPr>
            <w:r w:rsidRPr="00702882">
              <w:rPr>
                <w:rFonts w:eastAsiaTheme="minorEastAsia"/>
                <w:sz w:val="20"/>
                <w:szCs w:val="20"/>
              </w:rPr>
              <w:t>The state comptroller will transfer funds to the rainy day reserve up to 0.3 percent of the projected disbursement from the general fund for the current fiscal year. However, if this transfer would cause the reserve fund to exceed three percent of the projected disbursement for the following fiscal year, the transfer will be limited to maintain the reserve at that level.</w:t>
            </w:r>
          </w:p>
        </w:tc>
        <w:tc>
          <w:tcPr>
            <w:tcW w:w="2790" w:type="dxa"/>
          </w:tcPr>
          <w:p w14:paraId="2E33A0DB" w14:textId="77777777" w:rsidR="00AF6702" w:rsidRPr="00702882" w:rsidRDefault="00AF6702" w:rsidP="004D3BED">
            <w:pPr>
              <w:tabs>
                <w:tab w:val="left" w:pos="468"/>
              </w:tabs>
              <w:rPr>
                <w:sz w:val="20"/>
                <w:szCs w:val="20"/>
              </w:rPr>
            </w:pPr>
            <w:r w:rsidRPr="00702882">
              <w:rPr>
                <w:sz w:val="20"/>
                <w:szCs w:val="20"/>
              </w:rPr>
              <w:t>2012 N.Y. ALS 59, 2012 N.Y. LAWS 59, 2011 N.Y. A.N. 9059 (March 30, 2012)</w:t>
            </w:r>
          </w:p>
        </w:tc>
      </w:tr>
      <w:tr w:rsidR="00850754" w:rsidRPr="00702882" w14:paraId="012E7E08" w14:textId="77777777" w:rsidTr="00AE6820">
        <w:trPr>
          <w:jc w:val="center"/>
        </w:trPr>
        <w:tc>
          <w:tcPr>
            <w:tcW w:w="1615" w:type="dxa"/>
            <w:vMerge/>
          </w:tcPr>
          <w:p w14:paraId="04032DA6" w14:textId="77777777" w:rsidR="00AF6702" w:rsidRPr="00702882" w:rsidRDefault="00AF6702" w:rsidP="004D3BED">
            <w:pPr>
              <w:rPr>
                <w:sz w:val="20"/>
                <w:szCs w:val="20"/>
              </w:rPr>
            </w:pPr>
          </w:p>
        </w:tc>
        <w:tc>
          <w:tcPr>
            <w:tcW w:w="630" w:type="dxa"/>
          </w:tcPr>
          <w:p w14:paraId="08FADACD" w14:textId="77777777" w:rsidR="00AF6702" w:rsidRPr="00702882" w:rsidRDefault="00AF6702" w:rsidP="004D3BED">
            <w:pPr>
              <w:rPr>
                <w:sz w:val="20"/>
                <w:szCs w:val="20"/>
              </w:rPr>
            </w:pPr>
            <w:r w:rsidRPr="00702882">
              <w:rPr>
                <w:sz w:val="20"/>
                <w:szCs w:val="20"/>
              </w:rPr>
              <w:t>2015</w:t>
            </w:r>
          </w:p>
        </w:tc>
        <w:tc>
          <w:tcPr>
            <w:tcW w:w="2520" w:type="dxa"/>
          </w:tcPr>
          <w:p w14:paraId="1AA8A55E" w14:textId="77777777" w:rsidR="00AF6702" w:rsidRPr="00702882" w:rsidRDefault="00AF6702" w:rsidP="004D3BED">
            <w:pPr>
              <w:rPr>
                <w:sz w:val="20"/>
                <w:szCs w:val="20"/>
              </w:rPr>
            </w:pPr>
            <w:r w:rsidRPr="00702882">
              <w:rPr>
                <w:sz w:val="20"/>
                <w:szCs w:val="20"/>
              </w:rPr>
              <w:t>Rainy Day Reserve Fund (2007)</w:t>
            </w:r>
          </w:p>
        </w:tc>
        <w:tc>
          <w:tcPr>
            <w:tcW w:w="1467" w:type="dxa"/>
          </w:tcPr>
          <w:p w14:paraId="52DCD825" w14:textId="77777777" w:rsidR="00AF6702" w:rsidRPr="00702882" w:rsidRDefault="00AF6702" w:rsidP="004D3BED">
            <w:pPr>
              <w:rPr>
                <w:sz w:val="20"/>
                <w:szCs w:val="20"/>
              </w:rPr>
            </w:pPr>
            <w:r w:rsidRPr="00702882">
              <w:rPr>
                <w:sz w:val="20"/>
                <w:szCs w:val="20"/>
              </w:rPr>
              <w:t xml:space="preserve">Cap </w:t>
            </w:r>
          </w:p>
          <w:p w14:paraId="7D5CEAD7" w14:textId="77777777" w:rsidR="00AF6702" w:rsidRPr="00702882" w:rsidRDefault="00AF6702" w:rsidP="004D3BED">
            <w:pPr>
              <w:rPr>
                <w:sz w:val="20"/>
                <w:szCs w:val="20"/>
              </w:rPr>
            </w:pPr>
            <w:r w:rsidRPr="00702882">
              <w:rPr>
                <w:sz w:val="20"/>
                <w:szCs w:val="20"/>
              </w:rPr>
              <w:t>(3 → 5)</w:t>
            </w:r>
          </w:p>
        </w:tc>
        <w:tc>
          <w:tcPr>
            <w:tcW w:w="5283" w:type="dxa"/>
          </w:tcPr>
          <w:p w14:paraId="70AA2D6B" w14:textId="77777777" w:rsidR="00AF6702" w:rsidRPr="00702882" w:rsidRDefault="00AF6702" w:rsidP="004D3BED">
            <w:pPr>
              <w:rPr>
                <w:sz w:val="20"/>
                <w:szCs w:val="20"/>
              </w:rPr>
            </w:pPr>
            <w:r w:rsidRPr="00702882">
              <w:rPr>
                <w:sz w:val="20"/>
                <w:szCs w:val="20"/>
              </w:rPr>
              <w:t>The state comptroller shall transfer monies to the RDRF</w:t>
            </w:r>
            <w:r w:rsidRPr="00702882">
              <w:t xml:space="preserve"> </w:t>
            </w:r>
            <w:r w:rsidRPr="00702882">
              <w:rPr>
                <w:sz w:val="20"/>
                <w:szCs w:val="20"/>
              </w:rPr>
              <w:t>from the general fund, unless such transfer would increase the RDRF to an amount in excess of 5 % of the amount projected to be disbursed from the general fund during the fiscal year.</w:t>
            </w:r>
          </w:p>
          <w:p w14:paraId="4B9D50B1" w14:textId="77777777" w:rsidR="00AF6702" w:rsidRPr="00702882" w:rsidRDefault="00AF6702" w:rsidP="004D3BED">
            <w:pPr>
              <w:rPr>
                <w:sz w:val="20"/>
                <w:szCs w:val="20"/>
              </w:rPr>
            </w:pPr>
          </w:p>
        </w:tc>
        <w:tc>
          <w:tcPr>
            <w:tcW w:w="2790" w:type="dxa"/>
          </w:tcPr>
          <w:p w14:paraId="6D2D62A6" w14:textId="77777777" w:rsidR="00AF6702" w:rsidRPr="00702882" w:rsidRDefault="00AF6702" w:rsidP="004D3BED">
            <w:pPr>
              <w:tabs>
                <w:tab w:val="left" w:pos="468"/>
              </w:tabs>
              <w:rPr>
                <w:sz w:val="20"/>
                <w:szCs w:val="20"/>
              </w:rPr>
            </w:pPr>
            <w:r w:rsidRPr="00702882">
              <w:rPr>
                <w:sz w:val="20"/>
                <w:szCs w:val="20"/>
              </w:rPr>
              <w:t>2015 N.Y. ALS 60, 2015 N.Y. Laws 60, 2015 N.Y. Ch. 60, 2015 N.Y. SB 4610 (April 13, 2015)</w:t>
            </w:r>
          </w:p>
        </w:tc>
      </w:tr>
      <w:tr w:rsidR="00850754" w:rsidRPr="00702882" w14:paraId="32065072" w14:textId="77777777" w:rsidTr="00AE6820">
        <w:trPr>
          <w:jc w:val="center"/>
        </w:trPr>
        <w:tc>
          <w:tcPr>
            <w:tcW w:w="1615" w:type="dxa"/>
            <w:vMerge/>
          </w:tcPr>
          <w:p w14:paraId="6FA5B8F8" w14:textId="77777777" w:rsidR="00AF6702" w:rsidRPr="00702882" w:rsidRDefault="00AF6702" w:rsidP="004D3BED">
            <w:pPr>
              <w:rPr>
                <w:rFonts w:eastAsiaTheme="minorEastAsia"/>
                <w:sz w:val="20"/>
                <w:szCs w:val="20"/>
              </w:rPr>
            </w:pPr>
          </w:p>
        </w:tc>
        <w:tc>
          <w:tcPr>
            <w:tcW w:w="630" w:type="dxa"/>
          </w:tcPr>
          <w:p w14:paraId="43B5E78C" w14:textId="77777777" w:rsidR="00AF6702" w:rsidRPr="00702882" w:rsidRDefault="00AF6702" w:rsidP="004D3BED">
            <w:pPr>
              <w:rPr>
                <w:rFonts w:eastAsiaTheme="minorEastAsia"/>
                <w:sz w:val="20"/>
                <w:szCs w:val="20"/>
              </w:rPr>
            </w:pPr>
            <w:r w:rsidRPr="00702882">
              <w:rPr>
                <w:rFonts w:eastAsiaTheme="minorEastAsia"/>
                <w:sz w:val="20"/>
                <w:szCs w:val="20"/>
              </w:rPr>
              <w:t>2015</w:t>
            </w:r>
          </w:p>
        </w:tc>
        <w:tc>
          <w:tcPr>
            <w:tcW w:w="2520" w:type="dxa"/>
          </w:tcPr>
          <w:p w14:paraId="3480C8FE" w14:textId="77777777" w:rsidR="00AF6702" w:rsidRPr="00702882" w:rsidRDefault="00AF6702" w:rsidP="004D3BED">
            <w:pPr>
              <w:rPr>
                <w:sz w:val="20"/>
                <w:szCs w:val="20"/>
              </w:rPr>
            </w:pPr>
            <w:r w:rsidRPr="00702882">
              <w:rPr>
                <w:sz w:val="20"/>
                <w:szCs w:val="20"/>
              </w:rPr>
              <w:t>Rainy Day Reserve Fund (2007)</w:t>
            </w:r>
          </w:p>
        </w:tc>
        <w:tc>
          <w:tcPr>
            <w:tcW w:w="1467" w:type="dxa"/>
          </w:tcPr>
          <w:p w14:paraId="4BAB77AA" w14:textId="77777777" w:rsidR="00AF6702" w:rsidRPr="00702882" w:rsidRDefault="00AF6702" w:rsidP="004D3BED">
            <w:pPr>
              <w:rPr>
                <w:rFonts w:eastAsiaTheme="minorEastAsia"/>
                <w:sz w:val="20"/>
                <w:szCs w:val="20"/>
              </w:rPr>
            </w:pPr>
            <w:r w:rsidRPr="00702882">
              <w:rPr>
                <w:rFonts w:eastAsiaTheme="minorEastAsia"/>
                <w:sz w:val="20"/>
                <w:szCs w:val="20"/>
              </w:rPr>
              <w:t>Deposit tied to revenue volatility</w:t>
            </w:r>
          </w:p>
          <w:p w14:paraId="0C1A81DD" w14:textId="77777777" w:rsidR="00AF6702" w:rsidRPr="00702882" w:rsidRDefault="00AF6702" w:rsidP="004D3BED">
            <w:pPr>
              <w:rPr>
                <w:sz w:val="20"/>
                <w:szCs w:val="20"/>
              </w:rPr>
            </w:pPr>
            <w:r w:rsidRPr="00702882">
              <w:rPr>
                <w:rFonts w:eastAsiaTheme="minorEastAsia"/>
                <w:sz w:val="20"/>
                <w:szCs w:val="20"/>
              </w:rPr>
              <w:t xml:space="preserve">(0.3 </w:t>
            </w:r>
            <w:r w:rsidRPr="00702882">
              <w:rPr>
                <w:sz w:val="20"/>
                <w:szCs w:val="20"/>
              </w:rPr>
              <w:t xml:space="preserve">→ </w:t>
            </w:r>
            <w:r w:rsidRPr="00702882">
              <w:rPr>
                <w:rFonts w:eastAsiaTheme="minorEastAsia"/>
                <w:sz w:val="20"/>
                <w:szCs w:val="20"/>
              </w:rPr>
              <w:t>0.75)</w:t>
            </w:r>
          </w:p>
        </w:tc>
        <w:tc>
          <w:tcPr>
            <w:tcW w:w="5283" w:type="dxa"/>
          </w:tcPr>
          <w:p w14:paraId="6FF4AB3D" w14:textId="77777777" w:rsidR="00AF6702" w:rsidRPr="00702882" w:rsidRDefault="00AF6702" w:rsidP="004D3BED">
            <w:pPr>
              <w:rPr>
                <w:sz w:val="20"/>
                <w:szCs w:val="20"/>
              </w:rPr>
            </w:pPr>
            <w:r w:rsidRPr="00702882">
              <w:rPr>
                <w:sz w:val="20"/>
                <w:szCs w:val="20"/>
              </w:rPr>
              <w:t>Upon the director of the budget's request, the state comptroller will transfer funds to the rainy day reserve up to 0.75 percent of the projected disbursement for the current fiscal year.</w:t>
            </w:r>
          </w:p>
          <w:p w14:paraId="185A2698" w14:textId="77777777" w:rsidR="00AF6702" w:rsidRPr="00702882" w:rsidRDefault="00AF6702" w:rsidP="004D3BED">
            <w:pPr>
              <w:rPr>
                <w:rFonts w:eastAsiaTheme="minorEastAsia"/>
                <w:sz w:val="20"/>
                <w:szCs w:val="20"/>
              </w:rPr>
            </w:pPr>
          </w:p>
          <w:p w14:paraId="55874A31" w14:textId="77777777" w:rsidR="00AF6702" w:rsidRPr="00702882" w:rsidRDefault="00AF6702" w:rsidP="004D3BED">
            <w:pPr>
              <w:rPr>
                <w:rFonts w:eastAsiaTheme="minorEastAsia"/>
                <w:sz w:val="20"/>
                <w:szCs w:val="20"/>
              </w:rPr>
            </w:pPr>
          </w:p>
        </w:tc>
        <w:tc>
          <w:tcPr>
            <w:tcW w:w="2790" w:type="dxa"/>
          </w:tcPr>
          <w:p w14:paraId="423623C0" w14:textId="77777777" w:rsidR="00AF6702" w:rsidRPr="00702882" w:rsidRDefault="00AF6702" w:rsidP="004D3BED">
            <w:pPr>
              <w:tabs>
                <w:tab w:val="left" w:pos="468"/>
              </w:tabs>
              <w:rPr>
                <w:sz w:val="20"/>
                <w:szCs w:val="20"/>
              </w:rPr>
            </w:pPr>
            <w:r w:rsidRPr="00702882">
              <w:rPr>
                <w:sz w:val="20"/>
                <w:szCs w:val="20"/>
              </w:rPr>
              <w:t>2015 N.Y. ALS 60, 2015 N.Y. Laws 60, 2015 N.Y. Ch. 60, 2015 N.Y. SB 4610 (April 13, 2015)</w:t>
            </w:r>
          </w:p>
        </w:tc>
      </w:tr>
      <w:tr w:rsidR="00850754" w:rsidRPr="00702882" w14:paraId="31A3A145" w14:textId="77777777" w:rsidTr="00AE6820">
        <w:trPr>
          <w:jc w:val="center"/>
        </w:trPr>
        <w:tc>
          <w:tcPr>
            <w:tcW w:w="1615" w:type="dxa"/>
            <w:vMerge w:val="restart"/>
          </w:tcPr>
          <w:p w14:paraId="3748FB22" w14:textId="77777777" w:rsidR="00AF6702" w:rsidRPr="00702882" w:rsidRDefault="00AF6702" w:rsidP="004D3BED">
            <w:pPr>
              <w:rPr>
                <w:sz w:val="20"/>
                <w:szCs w:val="20"/>
              </w:rPr>
            </w:pPr>
            <w:r w:rsidRPr="00702882">
              <w:rPr>
                <w:sz w:val="20"/>
                <w:szCs w:val="20"/>
              </w:rPr>
              <w:lastRenderedPageBreak/>
              <w:t>North Carolina</w:t>
            </w:r>
          </w:p>
        </w:tc>
        <w:tc>
          <w:tcPr>
            <w:tcW w:w="630" w:type="dxa"/>
          </w:tcPr>
          <w:p w14:paraId="05D71967" w14:textId="77777777" w:rsidR="00AF6702" w:rsidRPr="00702882" w:rsidRDefault="00AF6702" w:rsidP="004D3BED">
            <w:pPr>
              <w:rPr>
                <w:sz w:val="20"/>
                <w:szCs w:val="20"/>
              </w:rPr>
            </w:pPr>
            <w:r w:rsidRPr="00702882">
              <w:rPr>
                <w:sz w:val="20"/>
                <w:szCs w:val="20"/>
              </w:rPr>
              <w:t>2006</w:t>
            </w:r>
          </w:p>
        </w:tc>
        <w:tc>
          <w:tcPr>
            <w:tcW w:w="2520" w:type="dxa"/>
          </w:tcPr>
          <w:p w14:paraId="27F633ED" w14:textId="77777777" w:rsidR="00AF6702" w:rsidRPr="00702882" w:rsidRDefault="00AF6702" w:rsidP="004D3BED">
            <w:pPr>
              <w:rPr>
                <w:sz w:val="20"/>
                <w:szCs w:val="20"/>
              </w:rPr>
            </w:pPr>
            <w:r w:rsidRPr="00702882">
              <w:rPr>
                <w:sz w:val="20"/>
                <w:szCs w:val="20"/>
              </w:rPr>
              <w:t>Savings Reserve (1991)</w:t>
            </w:r>
          </w:p>
          <w:p w14:paraId="2B32C4B8" w14:textId="77777777" w:rsidR="00AF6702" w:rsidRPr="00702882" w:rsidRDefault="00AF6702" w:rsidP="004D3BED">
            <w:pPr>
              <w:rPr>
                <w:sz w:val="20"/>
                <w:szCs w:val="20"/>
              </w:rPr>
            </w:pPr>
          </w:p>
          <w:p w14:paraId="55B19478" w14:textId="77777777" w:rsidR="00AF6702" w:rsidRPr="00702882" w:rsidRDefault="00AF6702" w:rsidP="004D3BED">
            <w:pPr>
              <w:jc w:val="right"/>
              <w:rPr>
                <w:sz w:val="20"/>
                <w:szCs w:val="20"/>
              </w:rPr>
            </w:pPr>
          </w:p>
        </w:tc>
        <w:tc>
          <w:tcPr>
            <w:tcW w:w="1467" w:type="dxa"/>
          </w:tcPr>
          <w:p w14:paraId="1899A054" w14:textId="77777777" w:rsidR="00AF6702" w:rsidRPr="00702882" w:rsidRDefault="00AF6702" w:rsidP="004D3BED">
            <w:pPr>
              <w:rPr>
                <w:sz w:val="20"/>
                <w:szCs w:val="20"/>
              </w:rPr>
            </w:pPr>
            <w:r w:rsidRPr="00702882">
              <w:rPr>
                <w:sz w:val="20"/>
                <w:szCs w:val="20"/>
              </w:rPr>
              <w:t xml:space="preserve">Cap </w:t>
            </w:r>
          </w:p>
          <w:p w14:paraId="58A87D19"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8</w:t>
            </w:r>
            <w:r w:rsidRPr="00702882">
              <w:rPr>
                <w:sz w:val="20"/>
                <w:szCs w:val="20"/>
              </w:rPr>
              <w:t>)</w:t>
            </w:r>
          </w:p>
        </w:tc>
        <w:tc>
          <w:tcPr>
            <w:tcW w:w="5283" w:type="dxa"/>
          </w:tcPr>
          <w:p w14:paraId="52D405F7" w14:textId="77777777" w:rsidR="00AF6702" w:rsidRPr="00702882" w:rsidRDefault="00AF6702" w:rsidP="004D3BED">
            <w:pPr>
              <w:rPr>
                <w:sz w:val="20"/>
                <w:szCs w:val="20"/>
              </w:rPr>
            </w:pPr>
            <w:r w:rsidRPr="00702882">
              <w:rPr>
                <w:sz w:val="20"/>
                <w:szCs w:val="20"/>
              </w:rPr>
              <w:t xml:space="preserve">A balance in the Savings Reserve Account is maintained at least 8 % of the previous year’s General Fund budget. </w:t>
            </w:r>
          </w:p>
        </w:tc>
        <w:tc>
          <w:tcPr>
            <w:tcW w:w="2790" w:type="dxa"/>
          </w:tcPr>
          <w:p w14:paraId="2AF5C56D" w14:textId="77777777" w:rsidR="00AF6702" w:rsidRPr="00702882" w:rsidRDefault="00AF6702" w:rsidP="004D3BED">
            <w:pPr>
              <w:tabs>
                <w:tab w:val="left" w:pos="540"/>
              </w:tabs>
              <w:rPr>
                <w:sz w:val="20"/>
                <w:szCs w:val="20"/>
              </w:rPr>
            </w:pPr>
            <w:r w:rsidRPr="00702882">
              <w:rPr>
                <w:sz w:val="20"/>
                <w:szCs w:val="20"/>
              </w:rPr>
              <w:t>2006 N.C. Sess. Laws 203, 2006 N.C. Ch. 203, 2005 N.C. HB 914 (August 7, 2006)</w:t>
            </w:r>
          </w:p>
        </w:tc>
      </w:tr>
      <w:tr w:rsidR="00850754" w:rsidRPr="00702882" w14:paraId="359A9539" w14:textId="77777777" w:rsidTr="00AE6820">
        <w:trPr>
          <w:jc w:val="center"/>
        </w:trPr>
        <w:tc>
          <w:tcPr>
            <w:tcW w:w="1615" w:type="dxa"/>
            <w:vMerge/>
          </w:tcPr>
          <w:p w14:paraId="6D6E9028" w14:textId="77777777" w:rsidR="00AF6702" w:rsidRPr="00702882" w:rsidRDefault="00AF6702" w:rsidP="004D3BED">
            <w:pPr>
              <w:rPr>
                <w:sz w:val="20"/>
                <w:szCs w:val="20"/>
              </w:rPr>
            </w:pPr>
          </w:p>
        </w:tc>
        <w:tc>
          <w:tcPr>
            <w:tcW w:w="630" w:type="dxa"/>
          </w:tcPr>
          <w:p w14:paraId="459D424C" w14:textId="77777777" w:rsidR="00AF6702" w:rsidRPr="00702882" w:rsidRDefault="00AF6702" w:rsidP="004D3BED">
            <w:pPr>
              <w:rPr>
                <w:rFonts w:eastAsiaTheme="minorEastAsia"/>
                <w:sz w:val="20"/>
                <w:szCs w:val="20"/>
              </w:rPr>
            </w:pPr>
            <w:r w:rsidRPr="00702882">
              <w:rPr>
                <w:rFonts w:eastAsiaTheme="minorEastAsia"/>
                <w:sz w:val="20"/>
                <w:szCs w:val="20"/>
              </w:rPr>
              <w:t>2016</w:t>
            </w:r>
          </w:p>
        </w:tc>
        <w:tc>
          <w:tcPr>
            <w:tcW w:w="2520" w:type="dxa"/>
          </w:tcPr>
          <w:p w14:paraId="3D052983" w14:textId="77777777" w:rsidR="00AF6702" w:rsidRPr="00702882" w:rsidRDefault="00AF6702" w:rsidP="004D3BED">
            <w:pPr>
              <w:rPr>
                <w:sz w:val="20"/>
                <w:szCs w:val="20"/>
              </w:rPr>
            </w:pPr>
            <w:r w:rsidRPr="00702882">
              <w:rPr>
                <w:sz w:val="20"/>
                <w:szCs w:val="20"/>
              </w:rPr>
              <w:t>Savings Reserve (1991)</w:t>
            </w:r>
          </w:p>
          <w:p w14:paraId="0A166082" w14:textId="77777777" w:rsidR="00AF6702" w:rsidRPr="00702882" w:rsidRDefault="00AF6702" w:rsidP="004D3BED">
            <w:pPr>
              <w:rPr>
                <w:rFonts w:eastAsiaTheme="minorEastAsia"/>
                <w:sz w:val="20"/>
                <w:szCs w:val="20"/>
              </w:rPr>
            </w:pPr>
          </w:p>
          <w:p w14:paraId="17810D82" w14:textId="77777777" w:rsidR="00AF6702" w:rsidRPr="00702882" w:rsidRDefault="00AF6702" w:rsidP="004D3BED">
            <w:pPr>
              <w:rPr>
                <w:rFonts w:eastAsiaTheme="minorEastAsia"/>
                <w:sz w:val="20"/>
                <w:szCs w:val="20"/>
              </w:rPr>
            </w:pPr>
          </w:p>
        </w:tc>
        <w:tc>
          <w:tcPr>
            <w:tcW w:w="1467" w:type="dxa"/>
          </w:tcPr>
          <w:p w14:paraId="4CEFE322" w14:textId="77777777" w:rsidR="00AF6702" w:rsidRPr="00702882" w:rsidRDefault="00AF6702" w:rsidP="004D3BED">
            <w:pPr>
              <w:rPr>
                <w:rFonts w:eastAsiaTheme="minorEastAsia"/>
                <w:sz w:val="20"/>
                <w:szCs w:val="20"/>
              </w:rPr>
            </w:pPr>
            <w:r w:rsidRPr="00702882">
              <w:rPr>
                <w:rFonts w:eastAsiaTheme="minorEastAsia"/>
                <w:sz w:val="20"/>
                <w:szCs w:val="20"/>
              </w:rPr>
              <w:t>Source</w:t>
            </w:r>
          </w:p>
          <w:p w14:paraId="29E95DF4" w14:textId="77777777" w:rsidR="00AF6702" w:rsidRPr="00702882" w:rsidRDefault="00AF6702" w:rsidP="004D3BED">
            <w:pPr>
              <w:rPr>
                <w:rFonts w:eastAsiaTheme="minorEastAsia"/>
                <w:sz w:val="20"/>
                <w:szCs w:val="20"/>
              </w:rPr>
            </w:pPr>
            <w:r w:rsidRPr="00702882">
              <w:rPr>
                <w:rFonts w:eastAsiaTheme="minorEastAsia"/>
                <w:sz w:val="20"/>
                <w:szCs w:val="20"/>
              </w:rPr>
              <w:t>($250 million)</w:t>
            </w:r>
          </w:p>
        </w:tc>
        <w:tc>
          <w:tcPr>
            <w:tcW w:w="5283" w:type="dxa"/>
          </w:tcPr>
          <w:p w14:paraId="78C621DE" w14:textId="77777777" w:rsidR="00AF6702" w:rsidRPr="00702882" w:rsidRDefault="00AF6702" w:rsidP="004D3BED">
            <w:pPr>
              <w:rPr>
                <w:rFonts w:eastAsiaTheme="minorEastAsia"/>
                <w:sz w:val="20"/>
                <w:szCs w:val="20"/>
              </w:rPr>
            </w:pPr>
            <w:r w:rsidRPr="00702882">
              <w:rPr>
                <w:rFonts w:eastAsiaTheme="minorEastAsia"/>
                <w:sz w:val="20"/>
                <w:szCs w:val="20"/>
              </w:rPr>
              <w:t xml:space="preserve">During the 2015-2016 fiscal year, Session Law 2015-241 authorized the State Controller to transfer $250 million from the Repairs and Renovations Reserve to the Savings Reserve. </w:t>
            </w:r>
          </w:p>
          <w:p w14:paraId="640E45BF" w14:textId="77777777" w:rsidR="00AF6702" w:rsidRPr="00702882" w:rsidRDefault="00AF6702" w:rsidP="004D3BED">
            <w:pPr>
              <w:rPr>
                <w:rFonts w:eastAsiaTheme="minorEastAsia"/>
                <w:sz w:val="20"/>
                <w:szCs w:val="20"/>
              </w:rPr>
            </w:pPr>
          </w:p>
        </w:tc>
        <w:tc>
          <w:tcPr>
            <w:tcW w:w="2790" w:type="dxa"/>
          </w:tcPr>
          <w:p w14:paraId="12969338" w14:textId="407A28E5" w:rsidR="00AF6702" w:rsidRPr="00702882" w:rsidRDefault="00326B00" w:rsidP="004D3BED">
            <w:pPr>
              <w:tabs>
                <w:tab w:val="left" w:pos="540"/>
              </w:tabs>
              <w:rPr>
                <w:rFonts w:eastAsiaTheme="minorEastAsia"/>
                <w:sz w:val="20"/>
                <w:szCs w:val="20"/>
              </w:rPr>
            </w:pPr>
            <w:r w:rsidRPr="00702882">
              <w:rPr>
                <w:sz w:val="20"/>
                <w:szCs w:val="20"/>
              </w:rPr>
              <w:t xml:space="preserve">Annual Comprehensive Financial Report </w:t>
            </w:r>
            <w:r w:rsidR="00AF6702" w:rsidRPr="00702882">
              <w:rPr>
                <w:sz w:val="20"/>
                <w:szCs w:val="20"/>
              </w:rPr>
              <w:t>for Fiscal Year Ended June 30, 2016</w:t>
            </w:r>
          </w:p>
        </w:tc>
      </w:tr>
      <w:tr w:rsidR="00850754" w:rsidRPr="00702882" w14:paraId="40397AD2" w14:textId="77777777" w:rsidTr="00AE6820">
        <w:trPr>
          <w:jc w:val="center"/>
        </w:trPr>
        <w:tc>
          <w:tcPr>
            <w:tcW w:w="1615" w:type="dxa"/>
            <w:vMerge/>
          </w:tcPr>
          <w:p w14:paraId="065B894C" w14:textId="77777777" w:rsidR="00AF6702" w:rsidRPr="00702882" w:rsidRDefault="00AF6702" w:rsidP="004D3BED">
            <w:pPr>
              <w:rPr>
                <w:sz w:val="20"/>
                <w:szCs w:val="20"/>
              </w:rPr>
            </w:pPr>
          </w:p>
        </w:tc>
        <w:tc>
          <w:tcPr>
            <w:tcW w:w="630" w:type="dxa"/>
          </w:tcPr>
          <w:p w14:paraId="00AED712" w14:textId="77777777" w:rsidR="00AF6702" w:rsidRPr="00702882" w:rsidRDefault="00AF6702" w:rsidP="004D3BED">
            <w:pPr>
              <w:rPr>
                <w:sz w:val="20"/>
                <w:szCs w:val="20"/>
              </w:rPr>
            </w:pPr>
            <w:r w:rsidRPr="00702882">
              <w:rPr>
                <w:sz w:val="20"/>
                <w:szCs w:val="20"/>
              </w:rPr>
              <w:t>2018</w:t>
            </w:r>
          </w:p>
        </w:tc>
        <w:tc>
          <w:tcPr>
            <w:tcW w:w="2520" w:type="dxa"/>
          </w:tcPr>
          <w:p w14:paraId="4E7D7254" w14:textId="77777777" w:rsidR="00AF6702" w:rsidRPr="00702882" w:rsidRDefault="00AF6702" w:rsidP="004D3BED">
            <w:pPr>
              <w:rPr>
                <w:sz w:val="20"/>
                <w:szCs w:val="20"/>
              </w:rPr>
            </w:pPr>
            <w:r w:rsidRPr="00702882">
              <w:rPr>
                <w:sz w:val="20"/>
                <w:szCs w:val="20"/>
              </w:rPr>
              <w:t>Savings Reserve (1991)</w:t>
            </w:r>
          </w:p>
          <w:p w14:paraId="3D97E179" w14:textId="77777777" w:rsidR="00AF6702" w:rsidRPr="00702882" w:rsidRDefault="00AF6702" w:rsidP="004D3BED">
            <w:pPr>
              <w:rPr>
                <w:sz w:val="20"/>
                <w:szCs w:val="20"/>
              </w:rPr>
            </w:pPr>
          </w:p>
        </w:tc>
        <w:tc>
          <w:tcPr>
            <w:tcW w:w="1467" w:type="dxa"/>
          </w:tcPr>
          <w:p w14:paraId="06B1C5EA" w14:textId="77777777" w:rsidR="00AF6702" w:rsidRPr="00702882" w:rsidRDefault="00AF6702" w:rsidP="004D3BED">
            <w:pPr>
              <w:rPr>
                <w:sz w:val="20"/>
                <w:szCs w:val="20"/>
              </w:rPr>
            </w:pPr>
            <w:r w:rsidRPr="00702882">
              <w:rPr>
                <w:sz w:val="20"/>
                <w:szCs w:val="20"/>
              </w:rPr>
              <w:t>Deposit tied to volatility</w:t>
            </w:r>
          </w:p>
          <w:p w14:paraId="6D024526" w14:textId="77777777" w:rsidR="00AF6702" w:rsidRPr="00702882" w:rsidRDefault="00AF6702" w:rsidP="004D3BED">
            <w:pPr>
              <w:rPr>
                <w:sz w:val="20"/>
                <w:szCs w:val="20"/>
              </w:rPr>
            </w:pPr>
            <w:r w:rsidRPr="00702882">
              <w:rPr>
                <w:sz w:val="20"/>
                <w:szCs w:val="20"/>
              </w:rPr>
              <w:t>(0 → 1)</w:t>
            </w:r>
          </w:p>
        </w:tc>
        <w:tc>
          <w:tcPr>
            <w:tcW w:w="5283" w:type="dxa"/>
          </w:tcPr>
          <w:p w14:paraId="0B23A3EA" w14:textId="77777777" w:rsidR="00AF6702" w:rsidRPr="00702882" w:rsidRDefault="00AF6702" w:rsidP="004D3BED">
            <w:pPr>
              <w:rPr>
                <w:sz w:val="20"/>
                <w:szCs w:val="20"/>
              </w:rPr>
            </w:pPr>
            <w:r w:rsidRPr="00702882">
              <w:rPr>
                <w:sz w:val="20"/>
                <w:szCs w:val="20"/>
              </w:rPr>
              <w:t xml:space="preserve">Each Current Operations Appropriations Act enacted by the General Assembly shall include a transfer to the Savings Reserve of 15 % of each fiscal year's estimated growth in State tax revenues that are deposited in the General Fund. </w:t>
            </w:r>
          </w:p>
        </w:tc>
        <w:tc>
          <w:tcPr>
            <w:tcW w:w="2790" w:type="dxa"/>
          </w:tcPr>
          <w:p w14:paraId="71540B11" w14:textId="77777777" w:rsidR="00AF6702" w:rsidRPr="00702882" w:rsidRDefault="00AF6702" w:rsidP="004D3BED">
            <w:pPr>
              <w:tabs>
                <w:tab w:val="left" w:pos="468"/>
              </w:tabs>
              <w:rPr>
                <w:sz w:val="20"/>
                <w:szCs w:val="20"/>
              </w:rPr>
            </w:pPr>
            <w:r w:rsidRPr="00702882">
              <w:rPr>
                <w:sz w:val="20"/>
                <w:szCs w:val="20"/>
              </w:rPr>
              <w:t>2017 N.C. ALS 5, 2017 N.C. Sess. Laws 5, 2017 N.C. Ch. 5, 2017 N.C. HB 7 (April 13, 2017)</w:t>
            </w:r>
          </w:p>
        </w:tc>
      </w:tr>
      <w:tr w:rsidR="00850754" w:rsidRPr="00702882" w14:paraId="550EDC27" w14:textId="77777777" w:rsidTr="00AE6820">
        <w:trPr>
          <w:jc w:val="center"/>
        </w:trPr>
        <w:tc>
          <w:tcPr>
            <w:tcW w:w="1615" w:type="dxa"/>
            <w:vMerge/>
          </w:tcPr>
          <w:p w14:paraId="782996A3" w14:textId="77777777" w:rsidR="00AF6702" w:rsidRPr="00702882" w:rsidRDefault="00AF6702" w:rsidP="004D3BED">
            <w:pPr>
              <w:rPr>
                <w:sz w:val="20"/>
                <w:szCs w:val="20"/>
              </w:rPr>
            </w:pPr>
          </w:p>
        </w:tc>
        <w:tc>
          <w:tcPr>
            <w:tcW w:w="630" w:type="dxa"/>
          </w:tcPr>
          <w:p w14:paraId="6E84EEF0" w14:textId="77777777" w:rsidR="00AF6702" w:rsidRPr="00702882" w:rsidRDefault="00AF6702" w:rsidP="004D3BED">
            <w:pPr>
              <w:rPr>
                <w:sz w:val="20"/>
                <w:szCs w:val="20"/>
              </w:rPr>
            </w:pPr>
            <w:r w:rsidRPr="00702882">
              <w:rPr>
                <w:sz w:val="20"/>
                <w:szCs w:val="20"/>
              </w:rPr>
              <w:t>2018</w:t>
            </w:r>
          </w:p>
        </w:tc>
        <w:tc>
          <w:tcPr>
            <w:tcW w:w="2520" w:type="dxa"/>
          </w:tcPr>
          <w:p w14:paraId="7CCF539C" w14:textId="77777777" w:rsidR="00AF6702" w:rsidRPr="00702882" w:rsidRDefault="00AF6702" w:rsidP="004D3BED">
            <w:pPr>
              <w:rPr>
                <w:sz w:val="20"/>
                <w:szCs w:val="20"/>
              </w:rPr>
            </w:pPr>
            <w:r w:rsidRPr="00702882">
              <w:rPr>
                <w:sz w:val="20"/>
                <w:szCs w:val="20"/>
              </w:rPr>
              <w:t>Savings Reserve (1991)</w:t>
            </w:r>
          </w:p>
          <w:p w14:paraId="38C79390" w14:textId="77777777" w:rsidR="00AF6702" w:rsidRPr="00702882" w:rsidRDefault="00AF6702" w:rsidP="004D3BED">
            <w:pPr>
              <w:rPr>
                <w:sz w:val="20"/>
                <w:szCs w:val="20"/>
              </w:rPr>
            </w:pPr>
          </w:p>
        </w:tc>
        <w:tc>
          <w:tcPr>
            <w:tcW w:w="1467" w:type="dxa"/>
          </w:tcPr>
          <w:p w14:paraId="5B74D9F2" w14:textId="77777777" w:rsidR="00AF6702" w:rsidRPr="00702882" w:rsidRDefault="00AF6702" w:rsidP="004D3BED">
            <w:pPr>
              <w:rPr>
                <w:sz w:val="20"/>
                <w:szCs w:val="20"/>
              </w:rPr>
            </w:pPr>
            <w:r w:rsidRPr="00702882">
              <w:rPr>
                <w:sz w:val="20"/>
                <w:szCs w:val="20"/>
              </w:rPr>
              <w:t xml:space="preserve">Withdrawal by legislature </w:t>
            </w:r>
          </w:p>
          <w:p w14:paraId="2CDA0290" w14:textId="77777777" w:rsidR="00AF6702" w:rsidRPr="00702882" w:rsidRDefault="00AF6702" w:rsidP="004D3BED">
            <w:pPr>
              <w:rPr>
                <w:sz w:val="20"/>
                <w:szCs w:val="20"/>
              </w:rPr>
            </w:pPr>
            <w:r w:rsidRPr="00702882">
              <w:rPr>
                <w:sz w:val="20"/>
                <w:szCs w:val="20"/>
              </w:rPr>
              <w:t>(0.5 → 0.67)</w:t>
            </w:r>
          </w:p>
        </w:tc>
        <w:tc>
          <w:tcPr>
            <w:tcW w:w="5283" w:type="dxa"/>
          </w:tcPr>
          <w:p w14:paraId="42A12C7F" w14:textId="77777777" w:rsidR="00AF6702" w:rsidRPr="00702882" w:rsidRDefault="00AF6702" w:rsidP="004D3BED">
            <w:pPr>
              <w:rPr>
                <w:sz w:val="20"/>
                <w:szCs w:val="20"/>
              </w:rPr>
            </w:pPr>
            <w:r w:rsidRPr="00702882">
              <w:rPr>
                <w:sz w:val="20"/>
                <w:szCs w:val="20"/>
              </w:rPr>
              <w:t xml:space="preserve">Funds reserved to the Savings Reserve are available for expenditure upon a 2/3 vote of the Senate and House of Representatives present. </w:t>
            </w:r>
          </w:p>
        </w:tc>
        <w:tc>
          <w:tcPr>
            <w:tcW w:w="2790" w:type="dxa"/>
          </w:tcPr>
          <w:p w14:paraId="3C34EA57" w14:textId="77777777" w:rsidR="00AF6702" w:rsidRPr="00702882" w:rsidRDefault="00AF6702" w:rsidP="004D3BED">
            <w:pPr>
              <w:tabs>
                <w:tab w:val="left" w:pos="468"/>
              </w:tabs>
              <w:rPr>
                <w:sz w:val="20"/>
                <w:szCs w:val="20"/>
              </w:rPr>
            </w:pPr>
            <w:r w:rsidRPr="00702882">
              <w:rPr>
                <w:sz w:val="20"/>
                <w:szCs w:val="20"/>
              </w:rPr>
              <w:t>2017 N.C. ALS 5, 2017 N.C. Sess. Laws 5, 2017 N.C. Ch. 5, 2017 N.C. HB 7 (April 13, 2017)</w:t>
            </w:r>
          </w:p>
        </w:tc>
      </w:tr>
      <w:tr w:rsidR="00850754" w:rsidRPr="00702882" w14:paraId="3536AC49" w14:textId="77777777" w:rsidTr="00AE6820">
        <w:trPr>
          <w:jc w:val="center"/>
        </w:trPr>
        <w:tc>
          <w:tcPr>
            <w:tcW w:w="1615" w:type="dxa"/>
            <w:vMerge w:val="restart"/>
            <w:shd w:val="clear" w:color="auto" w:fill="auto"/>
          </w:tcPr>
          <w:p w14:paraId="3620A820" w14:textId="77777777" w:rsidR="00AF6702" w:rsidRPr="00702882" w:rsidRDefault="00AF6702" w:rsidP="004D3BED">
            <w:pPr>
              <w:rPr>
                <w:sz w:val="20"/>
                <w:szCs w:val="20"/>
              </w:rPr>
            </w:pPr>
            <w:r w:rsidRPr="00702882">
              <w:rPr>
                <w:sz w:val="20"/>
                <w:szCs w:val="20"/>
              </w:rPr>
              <w:t>North Dakota</w:t>
            </w:r>
          </w:p>
        </w:tc>
        <w:tc>
          <w:tcPr>
            <w:tcW w:w="630" w:type="dxa"/>
            <w:shd w:val="clear" w:color="auto" w:fill="auto"/>
          </w:tcPr>
          <w:p w14:paraId="1DDE92F1" w14:textId="77777777" w:rsidR="00AF6702" w:rsidRPr="00702882" w:rsidRDefault="00AF6702" w:rsidP="004D3BED">
            <w:pPr>
              <w:rPr>
                <w:sz w:val="20"/>
                <w:szCs w:val="20"/>
              </w:rPr>
            </w:pPr>
            <w:r w:rsidRPr="00702882">
              <w:rPr>
                <w:sz w:val="20"/>
                <w:szCs w:val="20"/>
              </w:rPr>
              <w:t>2007</w:t>
            </w:r>
          </w:p>
        </w:tc>
        <w:tc>
          <w:tcPr>
            <w:tcW w:w="2520" w:type="dxa"/>
            <w:shd w:val="clear" w:color="auto" w:fill="auto"/>
          </w:tcPr>
          <w:p w14:paraId="7EB7EDAE" w14:textId="77777777" w:rsidR="00AF6702" w:rsidRPr="00702882" w:rsidRDefault="00AF6702" w:rsidP="004D3BED">
            <w:pPr>
              <w:rPr>
                <w:sz w:val="20"/>
                <w:szCs w:val="20"/>
              </w:rPr>
            </w:pPr>
            <w:r w:rsidRPr="00702882">
              <w:rPr>
                <w:sz w:val="20"/>
                <w:szCs w:val="20"/>
              </w:rPr>
              <w:t>Budget Stabilization Fund (1987)</w:t>
            </w:r>
          </w:p>
        </w:tc>
        <w:tc>
          <w:tcPr>
            <w:tcW w:w="1467" w:type="dxa"/>
            <w:shd w:val="clear" w:color="auto" w:fill="auto"/>
          </w:tcPr>
          <w:p w14:paraId="71262D03" w14:textId="77777777" w:rsidR="00AF6702" w:rsidRPr="00702882" w:rsidRDefault="00AF6702" w:rsidP="004D3BED">
            <w:pPr>
              <w:rPr>
                <w:sz w:val="20"/>
                <w:szCs w:val="20"/>
              </w:rPr>
            </w:pPr>
            <w:r w:rsidRPr="00702882">
              <w:rPr>
                <w:sz w:val="20"/>
                <w:szCs w:val="20"/>
              </w:rPr>
              <w:t xml:space="preserve">Cap </w:t>
            </w:r>
          </w:p>
          <w:p w14:paraId="6099AF38"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10</w:t>
            </w:r>
            <w:r w:rsidRPr="00702882">
              <w:rPr>
                <w:sz w:val="20"/>
                <w:szCs w:val="20"/>
              </w:rPr>
              <w:t>)</w:t>
            </w:r>
          </w:p>
        </w:tc>
        <w:tc>
          <w:tcPr>
            <w:tcW w:w="5283" w:type="dxa"/>
            <w:shd w:val="clear" w:color="auto" w:fill="auto"/>
          </w:tcPr>
          <w:p w14:paraId="02E3DD2D" w14:textId="77777777" w:rsidR="00AF6702" w:rsidRPr="00702882" w:rsidRDefault="00AF6702" w:rsidP="004D3BED">
            <w:pPr>
              <w:rPr>
                <w:sz w:val="20"/>
                <w:szCs w:val="20"/>
              </w:rPr>
            </w:pPr>
            <w:r w:rsidRPr="00702882">
              <w:rPr>
                <w:sz w:val="20"/>
                <w:szCs w:val="20"/>
              </w:rPr>
              <w:t>Any amounts for deposit in the fund and any interest or earnings of the fund which would bring the balance in the fund to an amount greater than 10 % of the current biennial state general fund budget may not be deposited or retained in the fund but must be deposited instead in the general fund.</w:t>
            </w:r>
          </w:p>
        </w:tc>
        <w:tc>
          <w:tcPr>
            <w:tcW w:w="2790" w:type="dxa"/>
            <w:shd w:val="clear" w:color="auto" w:fill="auto"/>
          </w:tcPr>
          <w:p w14:paraId="7AA8B50D" w14:textId="77777777" w:rsidR="00AF6702" w:rsidRPr="00702882" w:rsidRDefault="00AF6702" w:rsidP="004D3BED">
            <w:pPr>
              <w:tabs>
                <w:tab w:val="left" w:pos="468"/>
              </w:tabs>
              <w:rPr>
                <w:sz w:val="20"/>
                <w:szCs w:val="20"/>
              </w:rPr>
            </w:pPr>
            <w:r w:rsidRPr="00702882">
              <w:rPr>
                <w:sz w:val="20"/>
                <w:szCs w:val="20"/>
              </w:rPr>
              <w:t>2007 N.D. ALS 26, 2007 N.D. Laws 26, 2007 N.D. Ch. 26, 2007 N.D. HB 1429 (April 12, 2007).</w:t>
            </w:r>
          </w:p>
        </w:tc>
      </w:tr>
      <w:tr w:rsidR="00850754" w:rsidRPr="00702882" w14:paraId="265CDC10" w14:textId="77777777" w:rsidTr="00AE6820">
        <w:trPr>
          <w:jc w:val="center"/>
        </w:trPr>
        <w:tc>
          <w:tcPr>
            <w:tcW w:w="1615" w:type="dxa"/>
            <w:vMerge/>
            <w:shd w:val="clear" w:color="auto" w:fill="E2EFD9" w:themeFill="accent6" w:themeFillTint="33"/>
          </w:tcPr>
          <w:p w14:paraId="0D7C40F8" w14:textId="77777777" w:rsidR="00AF6702" w:rsidRPr="00702882" w:rsidRDefault="00AF6702" w:rsidP="004D3BED">
            <w:pPr>
              <w:rPr>
                <w:sz w:val="20"/>
                <w:szCs w:val="20"/>
              </w:rPr>
            </w:pPr>
          </w:p>
        </w:tc>
        <w:tc>
          <w:tcPr>
            <w:tcW w:w="630" w:type="dxa"/>
            <w:vMerge w:val="restart"/>
            <w:shd w:val="clear" w:color="auto" w:fill="auto"/>
          </w:tcPr>
          <w:p w14:paraId="72D51267" w14:textId="77777777" w:rsidR="00AF6702" w:rsidRPr="00702882" w:rsidRDefault="00AF6702" w:rsidP="004D3BED">
            <w:pPr>
              <w:rPr>
                <w:sz w:val="20"/>
                <w:szCs w:val="20"/>
              </w:rPr>
            </w:pPr>
            <w:r w:rsidRPr="00702882">
              <w:rPr>
                <w:sz w:val="20"/>
                <w:szCs w:val="20"/>
              </w:rPr>
              <w:t>2017</w:t>
            </w:r>
          </w:p>
        </w:tc>
        <w:tc>
          <w:tcPr>
            <w:tcW w:w="2520" w:type="dxa"/>
            <w:shd w:val="clear" w:color="auto" w:fill="auto"/>
          </w:tcPr>
          <w:p w14:paraId="732FEEFA" w14:textId="77777777" w:rsidR="00AF6702" w:rsidRPr="00702882" w:rsidRDefault="00AF6702" w:rsidP="004D3BED">
            <w:pPr>
              <w:rPr>
                <w:sz w:val="20"/>
                <w:szCs w:val="20"/>
              </w:rPr>
            </w:pPr>
            <w:r w:rsidRPr="00702882">
              <w:rPr>
                <w:sz w:val="20"/>
                <w:szCs w:val="20"/>
              </w:rPr>
              <w:t>Budget Stabilization Fund (1987)</w:t>
            </w:r>
          </w:p>
        </w:tc>
        <w:tc>
          <w:tcPr>
            <w:tcW w:w="1467" w:type="dxa"/>
            <w:shd w:val="clear" w:color="auto" w:fill="auto"/>
          </w:tcPr>
          <w:p w14:paraId="10EFECE0" w14:textId="77777777" w:rsidR="00AF6702" w:rsidRPr="00702882" w:rsidRDefault="00AF6702" w:rsidP="004D3BED">
            <w:pPr>
              <w:rPr>
                <w:sz w:val="20"/>
                <w:szCs w:val="20"/>
              </w:rPr>
            </w:pPr>
            <w:r w:rsidRPr="00702882">
              <w:rPr>
                <w:sz w:val="20"/>
                <w:szCs w:val="20"/>
              </w:rPr>
              <w:t xml:space="preserve">Cap </w:t>
            </w:r>
          </w:p>
          <w:p w14:paraId="5F5F112F"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15</w:t>
            </w:r>
            <w:r w:rsidRPr="00702882">
              <w:rPr>
                <w:sz w:val="20"/>
                <w:szCs w:val="20"/>
              </w:rPr>
              <w:t>)</w:t>
            </w:r>
          </w:p>
        </w:tc>
        <w:tc>
          <w:tcPr>
            <w:tcW w:w="5283" w:type="dxa"/>
            <w:shd w:val="clear" w:color="auto" w:fill="auto"/>
          </w:tcPr>
          <w:p w14:paraId="5D2320AC" w14:textId="77777777" w:rsidR="00AF6702" w:rsidRPr="00702882" w:rsidRDefault="00AF6702" w:rsidP="004D3BED">
            <w:pPr>
              <w:rPr>
                <w:sz w:val="20"/>
                <w:szCs w:val="20"/>
              </w:rPr>
            </w:pPr>
            <w:r w:rsidRPr="00702882">
              <w:rPr>
                <w:sz w:val="20"/>
                <w:szCs w:val="20"/>
              </w:rPr>
              <w:t>Any amounts for deposit in the fund and any interest or earnings of the fund which would bring the balance in the fund to an amount greater than 15 % of the current biennial state general fund budget may not be deposited or retained in the fund but must be deposited instead in the general fund.</w:t>
            </w:r>
          </w:p>
        </w:tc>
        <w:tc>
          <w:tcPr>
            <w:tcW w:w="2790" w:type="dxa"/>
            <w:shd w:val="clear" w:color="auto" w:fill="auto"/>
          </w:tcPr>
          <w:p w14:paraId="27A95634" w14:textId="77777777" w:rsidR="00AF6702" w:rsidRPr="00702882" w:rsidRDefault="00AF6702" w:rsidP="004D3BED">
            <w:pPr>
              <w:tabs>
                <w:tab w:val="left" w:pos="468"/>
              </w:tabs>
              <w:rPr>
                <w:sz w:val="20"/>
                <w:szCs w:val="20"/>
              </w:rPr>
            </w:pPr>
            <w:r w:rsidRPr="00702882">
              <w:rPr>
                <w:sz w:val="20"/>
                <w:szCs w:val="20"/>
              </w:rPr>
              <w:t>2017 N.D. HB 1155, 2017 N.D. Laws 394, 2017 N.D. Ch. 394, 2017 N.D. ALS 394 (April 18, 2017)</w:t>
            </w:r>
          </w:p>
        </w:tc>
      </w:tr>
      <w:tr w:rsidR="00850754" w:rsidRPr="00702882" w14:paraId="61FE8559" w14:textId="77777777" w:rsidTr="00AE6820">
        <w:trPr>
          <w:jc w:val="center"/>
        </w:trPr>
        <w:tc>
          <w:tcPr>
            <w:tcW w:w="1615" w:type="dxa"/>
            <w:vMerge/>
            <w:shd w:val="clear" w:color="auto" w:fill="E2EFD9" w:themeFill="accent6" w:themeFillTint="33"/>
          </w:tcPr>
          <w:p w14:paraId="53731D1D" w14:textId="77777777" w:rsidR="00AF6702" w:rsidRPr="00702882" w:rsidRDefault="00AF6702" w:rsidP="004D3BED">
            <w:pPr>
              <w:rPr>
                <w:sz w:val="20"/>
                <w:szCs w:val="20"/>
              </w:rPr>
            </w:pPr>
          </w:p>
        </w:tc>
        <w:tc>
          <w:tcPr>
            <w:tcW w:w="630" w:type="dxa"/>
            <w:vMerge/>
            <w:shd w:val="clear" w:color="auto" w:fill="auto"/>
          </w:tcPr>
          <w:p w14:paraId="0230D06F" w14:textId="77777777" w:rsidR="00AF6702" w:rsidRPr="00702882" w:rsidRDefault="00AF6702" w:rsidP="004D3BED">
            <w:pPr>
              <w:rPr>
                <w:sz w:val="20"/>
                <w:szCs w:val="20"/>
              </w:rPr>
            </w:pPr>
          </w:p>
        </w:tc>
        <w:tc>
          <w:tcPr>
            <w:tcW w:w="2520" w:type="dxa"/>
            <w:shd w:val="clear" w:color="auto" w:fill="auto"/>
          </w:tcPr>
          <w:p w14:paraId="25B8DF35" w14:textId="77777777" w:rsidR="00AF6702" w:rsidRPr="00702882" w:rsidRDefault="00AF6702" w:rsidP="004D3BED">
            <w:pPr>
              <w:rPr>
                <w:sz w:val="20"/>
                <w:szCs w:val="20"/>
              </w:rPr>
            </w:pPr>
            <w:r w:rsidRPr="00702882">
              <w:rPr>
                <w:sz w:val="20"/>
                <w:szCs w:val="20"/>
              </w:rPr>
              <w:t>Budget Stabilization Fund (1987)</w:t>
            </w:r>
          </w:p>
        </w:tc>
        <w:tc>
          <w:tcPr>
            <w:tcW w:w="1467" w:type="dxa"/>
            <w:shd w:val="clear" w:color="auto" w:fill="auto"/>
          </w:tcPr>
          <w:p w14:paraId="4057C687" w14:textId="77777777" w:rsidR="00AF6702" w:rsidRPr="00702882" w:rsidRDefault="00AF6702" w:rsidP="004D3BED">
            <w:pPr>
              <w:rPr>
                <w:sz w:val="20"/>
                <w:szCs w:val="20"/>
              </w:rPr>
            </w:pPr>
            <w:r w:rsidRPr="00702882">
              <w:rPr>
                <w:sz w:val="20"/>
                <w:szCs w:val="20"/>
              </w:rPr>
              <w:t>Withdrawal limit</w:t>
            </w:r>
          </w:p>
          <w:p w14:paraId="02680476" w14:textId="77777777" w:rsidR="00AF6702" w:rsidRPr="00702882" w:rsidRDefault="00AF6702" w:rsidP="004D3BED">
            <w:pPr>
              <w:rPr>
                <w:sz w:val="20"/>
                <w:szCs w:val="20"/>
              </w:rPr>
            </w:pPr>
            <w:r w:rsidRPr="00702882">
              <w:rPr>
                <w:sz w:val="20"/>
                <w:szCs w:val="20"/>
              </w:rPr>
              <w:t>(0 → 1)</w:t>
            </w:r>
          </w:p>
        </w:tc>
        <w:tc>
          <w:tcPr>
            <w:tcW w:w="5283" w:type="dxa"/>
            <w:shd w:val="clear" w:color="auto" w:fill="auto"/>
          </w:tcPr>
          <w:p w14:paraId="6B7FC70E" w14:textId="77777777" w:rsidR="00AF6702" w:rsidRPr="00702882" w:rsidRDefault="00AF6702" w:rsidP="004D3BED">
            <w:pPr>
              <w:rPr>
                <w:sz w:val="20"/>
                <w:szCs w:val="20"/>
              </w:rPr>
            </w:pPr>
            <w:r w:rsidRPr="00702882">
              <w:rPr>
                <w:sz w:val="20"/>
                <w:szCs w:val="20"/>
              </w:rPr>
              <w:t>After general fund allotments totaling at least 3% have been made during the biennium, the governor may order a transfer up to an amount equal to the 3 % of general fund appropriations.</w:t>
            </w:r>
          </w:p>
        </w:tc>
        <w:tc>
          <w:tcPr>
            <w:tcW w:w="2790" w:type="dxa"/>
            <w:shd w:val="clear" w:color="auto" w:fill="auto"/>
          </w:tcPr>
          <w:p w14:paraId="20045A07" w14:textId="77777777" w:rsidR="00AF6702" w:rsidRPr="00702882" w:rsidRDefault="00AF6702" w:rsidP="004D3BED">
            <w:pPr>
              <w:tabs>
                <w:tab w:val="left" w:pos="468"/>
              </w:tabs>
              <w:rPr>
                <w:sz w:val="20"/>
                <w:szCs w:val="20"/>
              </w:rPr>
            </w:pPr>
            <w:r w:rsidRPr="00702882">
              <w:rPr>
                <w:sz w:val="20"/>
                <w:szCs w:val="20"/>
              </w:rPr>
              <w:t>2017 N.D. HB 1155, 2017 N.D. Laws 394, 2017 N.D. Ch. 394, 2017 N.D. ALS 394 (April 18, 2017)</w:t>
            </w:r>
          </w:p>
        </w:tc>
      </w:tr>
      <w:tr w:rsidR="00850754" w:rsidRPr="00702882" w14:paraId="09050ED6" w14:textId="77777777" w:rsidTr="00AE6820">
        <w:trPr>
          <w:jc w:val="center"/>
        </w:trPr>
        <w:tc>
          <w:tcPr>
            <w:tcW w:w="1615" w:type="dxa"/>
            <w:shd w:val="clear" w:color="auto" w:fill="auto"/>
          </w:tcPr>
          <w:p w14:paraId="7C4E9A1E" w14:textId="77777777" w:rsidR="00AF6702" w:rsidRPr="00702882" w:rsidRDefault="00AF6702" w:rsidP="004D3BED">
            <w:pPr>
              <w:rPr>
                <w:sz w:val="20"/>
                <w:szCs w:val="20"/>
              </w:rPr>
            </w:pPr>
            <w:r w:rsidRPr="00702882">
              <w:rPr>
                <w:sz w:val="20"/>
                <w:szCs w:val="20"/>
              </w:rPr>
              <w:t>Ohio</w:t>
            </w:r>
          </w:p>
        </w:tc>
        <w:tc>
          <w:tcPr>
            <w:tcW w:w="630" w:type="dxa"/>
            <w:shd w:val="clear" w:color="auto" w:fill="auto"/>
          </w:tcPr>
          <w:p w14:paraId="6E7B7B97" w14:textId="77777777" w:rsidR="00AF6702" w:rsidRPr="00702882" w:rsidRDefault="00AF6702" w:rsidP="004D3BED">
            <w:pPr>
              <w:rPr>
                <w:sz w:val="20"/>
                <w:szCs w:val="20"/>
              </w:rPr>
            </w:pPr>
            <w:r w:rsidRPr="00702882">
              <w:rPr>
                <w:sz w:val="20"/>
                <w:szCs w:val="20"/>
              </w:rPr>
              <w:t>2015</w:t>
            </w:r>
          </w:p>
        </w:tc>
        <w:tc>
          <w:tcPr>
            <w:tcW w:w="2520" w:type="dxa"/>
            <w:shd w:val="clear" w:color="auto" w:fill="auto"/>
          </w:tcPr>
          <w:p w14:paraId="12413217" w14:textId="77777777" w:rsidR="00AF6702" w:rsidRPr="00702882" w:rsidRDefault="00AF6702" w:rsidP="004D3BED">
            <w:pPr>
              <w:rPr>
                <w:sz w:val="20"/>
                <w:szCs w:val="20"/>
              </w:rPr>
            </w:pPr>
            <w:r w:rsidRPr="00702882">
              <w:rPr>
                <w:sz w:val="20"/>
                <w:szCs w:val="20"/>
              </w:rPr>
              <w:t>Budget Stabilization Fund (1989)</w:t>
            </w:r>
          </w:p>
          <w:p w14:paraId="6A2B54ED" w14:textId="77777777" w:rsidR="00AF6702" w:rsidRPr="00702882" w:rsidRDefault="00AF6702" w:rsidP="004D3BED">
            <w:pPr>
              <w:rPr>
                <w:sz w:val="20"/>
                <w:szCs w:val="20"/>
              </w:rPr>
            </w:pPr>
          </w:p>
        </w:tc>
        <w:tc>
          <w:tcPr>
            <w:tcW w:w="1467" w:type="dxa"/>
            <w:shd w:val="clear" w:color="auto" w:fill="auto"/>
          </w:tcPr>
          <w:p w14:paraId="1B65E742" w14:textId="77777777" w:rsidR="00AF6702" w:rsidRPr="00702882" w:rsidRDefault="00AF6702" w:rsidP="004D3BED">
            <w:pPr>
              <w:rPr>
                <w:sz w:val="20"/>
                <w:szCs w:val="20"/>
              </w:rPr>
            </w:pPr>
            <w:r w:rsidRPr="00702882">
              <w:rPr>
                <w:sz w:val="20"/>
                <w:szCs w:val="20"/>
              </w:rPr>
              <w:t xml:space="preserve">Cap </w:t>
            </w:r>
          </w:p>
          <w:p w14:paraId="2F659CAE"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8.5</w:t>
            </w:r>
            <w:r w:rsidRPr="00702882">
              <w:rPr>
                <w:sz w:val="20"/>
                <w:szCs w:val="20"/>
              </w:rPr>
              <w:t>)</w:t>
            </w:r>
          </w:p>
        </w:tc>
        <w:tc>
          <w:tcPr>
            <w:tcW w:w="5283" w:type="dxa"/>
            <w:shd w:val="clear" w:color="auto" w:fill="auto"/>
          </w:tcPr>
          <w:p w14:paraId="6838808C" w14:textId="77777777" w:rsidR="00AF6702" w:rsidRPr="00702882" w:rsidRDefault="00AF6702" w:rsidP="004D3BED">
            <w:pPr>
              <w:rPr>
                <w:sz w:val="20"/>
                <w:szCs w:val="20"/>
              </w:rPr>
            </w:pPr>
            <w:r w:rsidRPr="00702882">
              <w:rPr>
                <w:sz w:val="20"/>
                <w:szCs w:val="20"/>
              </w:rPr>
              <w:t>It is the intent of the general assembly to maintain an amount of money in the budget stabilization fund that amounts to approximately 8.5 % of the general revenue fund revenues for the preceding fiscal year.</w:t>
            </w:r>
          </w:p>
        </w:tc>
        <w:tc>
          <w:tcPr>
            <w:tcW w:w="2790" w:type="dxa"/>
            <w:shd w:val="clear" w:color="auto" w:fill="auto"/>
          </w:tcPr>
          <w:p w14:paraId="5AA863AF" w14:textId="77777777" w:rsidR="00AF6702" w:rsidRPr="00702882" w:rsidRDefault="00AF6702" w:rsidP="004D3BED">
            <w:pPr>
              <w:tabs>
                <w:tab w:val="left" w:pos="468"/>
              </w:tabs>
              <w:rPr>
                <w:sz w:val="20"/>
                <w:szCs w:val="20"/>
              </w:rPr>
            </w:pPr>
            <w:r w:rsidRPr="00702882">
              <w:rPr>
                <w:sz w:val="20"/>
                <w:szCs w:val="20"/>
              </w:rPr>
              <w:t>§ 131.43 Budget stabilization fund., ORC Ann. 131.43</w:t>
            </w:r>
          </w:p>
        </w:tc>
      </w:tr>
      <w:tr w:rsidR="00850754" w:rsidRPr="00702882" w14:paraId="057F534D" w14:textId="77777777" w:rsidTr="00AE6820">
        <w:trPr>
          <w:jc w:val="center"/>
        </w:trPr>
        <w:tc>
          <w:tcPr>
            <w:tcW w:w="1615" w:type="dxa"/>
            <w:vMerge w:val="restart"/>
            <w:shd w:val="clear" w:color="auto" w:fill="auto"/>
          </w:tcPr>
          <w:p w14:paraId="2216EE8D" w14:textId="77777777" w:rsidR="00AF6702" w:rsidRPr="00702882" w:rsidRDefault="00AF6702" w:rsidP="004D3BED">
            <w:pPr>
              <w:rPr>
                <w:sz w:val="20"/>
                <w:szCs w:val="20"/>
              </w:rPr>
            </w:pPr>
            <w:r w:rsidRPr="00702882">
              <w:rPr>
                <w:sz w:val="20"/>
                <w:szCs w:val="20"/>
              </w:rPr>
              <w:t>Oklahoma</w:t>
            </w:r>
          </w:p>
          <w:p w14:paraId="64CA63A6" w14:textId="77777777" w:rsidR="00AF6702" w:rsidRPr="00702882" w:rsidRDefault="00AF6702" w:rsidP="004D3BED">
            <w:pPr>
              <w:rPr>
                <w:sz w:val="20"/>
                <w:szCs w:val="20"/>
              </w:rPr>
            </w:pPr>
          </w:p>
          <w:p w14:paraId="435DBBA2" w14:textId="77777777" w:rsidR="00AF6702" w:rsidRPr="00702882" w:rsidRDefault="00AF6702" w:rsidP="004D3BED">
            <w:pPr>
              <w:rPr>
                <w:sz w:val="20"/>
                <w:szCs w:val="20"/>
              </w:rPr>
            </w:pPr>
          </w:p>
        </w:tc>
        <w:tc>
          <w:tcPr>
            <w:tcW w:w="630" w:type="dxa"/>
            <w:shd w:val="clear" w:color="auto" w:fill="auto"/>
          </w:tcPr>
          <w:p w14:paraId="7DF41801" w14:textId="77777777" w:rsidR="00AF6702" w:rsidRPr="00702882" w:rsidRDefault="00AF6702" w:rsidP="004D3BED">
            <w:pPr>
              <w:rPr>
                <w:sz w:val="20"/>
                <w:szCs w:val="20"/>
              </w:rPr>
            </w:pPr>
            <w:r w:rsidRPr="00702882">
              <w:rPr>
                <w:sz w:val="20"/>
                <w:szCs w:val="20"/>
              </w:rPr>
              <w:t>2010</w:t>
            </w:r>
          </w:p>
        </w:tc>
        <w:tc>
          <w:tcPr>
            <w:tcW w:w="2520" w:type="dxa"/>
            <w:shd w:val="clear" w:color="auto" w:fill="auto"/>
          </w:tcPr>
          <w:p w14:paraId="1849DC9F" w14:textId="77777777" w:rsidR="00AF6702" w:rsidRPr="00702882" w:rsidRDefault="00AF6702" w:rsidP="004D3BED">
            <w:pPr>
              <w:rPr>
                <w:sz w:val="20"/>
                <w:szCs w:val="20"/>
              </w:rPr>
            </w:pPr>
            <w:r w:rsidRPr="00702882">
              <w:rPr>
                <w:sz w:val="20"/>
                <w:szCs w:val="20"/>
              </w:rPr>
              <w:t>Constitutional Reserve Fund (1985)</w:t>
            </w:r>
          </w:p>
          <w:p w14:paraId="64A175C8" w14:textId="77777777" w:rsidR="00AF6702" w:rsidRPr="00702882" w:rsidRDefault="00AF6702" w:rsidP="004D3BED">
            <w:pPr>
              <w:rPr>
                <w:sz w:val="20"/>
                <w:szCs w:val="20"/>
              </w:rPr>
            </w:pPr>
          </w:p>
        </w:tc>
        <w:tc>
          <w:tcPr>
            <w:tcW w:w="1467" w:type="dxa"/>
            <w:shd w:val="clear" w:color="auto" w:fill="auto"/>
          </w:tcPr>
          <w:p w14:paraId="21307870" w14:textId="77777777" w:rsidR="00AF6702" w:rsidRPr="00702882" w:rsidRDefault="00AF6702" w:rsidP="004D3BED">
            <w:pPr>
              <w:rPr>
                <w:sz w:val="20"/>
                <w:szCs w:val="20"/>
              </w:rPr>
            </w:pPr>
            <w:r w:rsidRPr="00702882">
              <w:rPr>
                <w:sz w:val="20"/>
                <w:szCs w:val="20"/>
              </w:rPr>
              <w:t xml:space="preserve">Cap </w:t>
            </w:r>
          </w:p>
          <w:p w14:paraId="5B89210D"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15</w:t>
            </w:r>
            <w:r w:rsidRPr="00702882">
              <w:rPr>
                <w:sz w:val="20"/>
                <w:szCs w:val="20"/>
              </w:rPr>
              <w:t>)</w:t>
            </w:r>
          </w:p>
        </w:tc>
        <w:tc>
          <w:tcPr>
            <w:tcW w:w="5283" w:type="dxa"/>
            <w:shd w:val="clear" w:color="auto" w:fill="auto"/>
          </w:tcPr>
          <w:p w14:paraId="36C5CAB0" w14:textId="77777777" w:rsidR="00AF6702" w:rsidRPr="00702882" w:rsidRDefault="00AF6702" w:rsidP="004D3BED">
            <w:pPr>
              <w:rPr>
                <w:sz w:val="20"/>
                <w:szCs w:val="20"/>
              </w:rPr>
            </w:pPr>
            <w:r w:rsidRPr="00702882">
              <w:rPr>
                <w:sz w:val="20"/>
                <w:szCs w:val="20"/>
              </w:rPr>
              <w:t>All surplus funds or monies accruing to the General Revenue Fund (GRF) shall be placed in a Constitutional Reserve Fund until such time that the amount of said Fund equals 15% of the GRF certification for the preceding fiscal year.</w:t>
            </w:r>
          </w:p>
        </w:tc>
        <w:tc>
          <w:tcPr>
            <w:tcW w:w="2790" w:type="dxa"/>
            <w:shd w:val="clear" w:color="auto" w:fill="auto"/>
          </w:tcPr>
          <w:p w14:paraId="5CFD890B" w14:textId="77777777" w:rsidR="00AF6702" w:rsidRPr="00702882" w:rsidRDefault="00AF6702" w:rsidP="004D3BED">
            <w:pPr>
              <w:tabs>
                <w:tab w:val="left" w:pos="468"/>
              </w:tabs>
              <w:rPr>
                <w:sz w:val="20"/>
                <w:szCs w:val="20"/>
              </w:rPr>
            </w:pPr>
            <w:r w:rsidRPr="00702882">
              <w:rPr>
                <w:sz w:val="20"/>
                <w:szCs w:val="20"/>
              </w:rPr>
              <w:t>State Question No. 757</w:t>
            </w:r>
          </w:p>
        </w:tc>
      </w:tr>
      <w:tr w:rsidR="00850754" w:rsidRPr="00702882" w14:paraId="71B99572" w14:textId="77777777" w:rsidTr="00AE6820">
        <w:trPr>
          <w:jc w:val="center"/>
        </w:trPr>
        <w:tc>
          <w:tcPr>
            <w:tcW w:w="1615" w:type="dxa"/>
            <w:vMerge/>
            <w:shd w:val="clear" w:color="auto" w:fill="E2EFD9" w:themeFill="accent6" w:themeFillTint="33"/>
          </w:tcPr>
          <w:p w14:paraId="00AB5E75" w14:textId="77777777" w:rsidR="00AF6702" w:rsidRPr="00702882" w:rsidRDefault="00AF6702" w:rsidP="004D3BED">
            <w:pPr>
              <w:rPr>
                <w:sz w:val="20"/>
                <w:szCs w:val="20"/>
              </w:rPr>
            </w:pPr>
          </w:p>
        </w:tc>
        <w:tc>
          <w:tcPr>
            <w:tcW w:w="630" w:type="dxa"/>
            <w:shd w:val="clear" w:color="auto" w:fill="auto"/>
          </w:tcPr>
          <w:p w14:paraId="49536BCC" w14:textId="77777777" w:rsidR="00AF6702" w:rsidRPr="00702882" w:rsidRDefault="00AF6702" w:rsidP="004D3BED">
            <w:pPr>
              <w:rPr>
                <w:sz w:val="20"/>
                <w:szCs w:val="20"/>
              </w:rPr>
            </w:pPr>
            <w:r w:rsidRPr="00702882">
              <w:rPr>
                <w:sz w:val="20"/>
                <w:szCs w:val="20"/>
              </w:rPr>
              <w:t>2016</w:t>
            </w:r>
          </w:p>
        </w:tc>
        <w:tc>
          <w:tcPr>
            <w:tcW w:w="2520" w:type="dxa"/>
            <w:shd w:val="clear" w:color="auto" w:fill="auto"/>
          </w:tcPr>
          <w:p w14:paraId="205B3AEB" w14:textId="77777777" w:rsidR="00AF6702" w:rsidRPr="00702882" w:rsidRDefault="00AF6702" w:rsidP="004D3BED">
            <w:pPr>
              <w:rPr>
                <w:sz w:val="20"/>
                <w:szCs w:val="20"/>
              </w:rPr>
            </w:pPr>
            <w:r w:rsidRPr="00702882">
              <w:rPr>
                <w:sz w:val="20"/>
                <w:szCs w:val="20"/>
              </w:rPr>
              <w:t>Revenue Stabilization Fund (2016)</w:t>
            </w:r>
          </w:p>
        </w:tc>
        <w:tc>
          <w:tcPr>
            <w:tcW w:w="1467" w:type="dxa"/>
            <w:shd w:val="clear" w:color="auto" w:fill="auto"/>
          </w:tcPr>
          <w:p w14:paraId="66F00516" w14:textId="77777777" w:rsidR="00AF6702" w:rsidRPr="00702882" w:rsidRDefault="00AF6702" w:rsidP="004D3BED">
            <w:pPr>
              <w:rPr>
                <w:sz w:val="20"/>
                <w:szCs w:val="20"/>
              </w:rPr>
            </w:pPr>
            <w:r w:rsidRPr="00702882">
              <w:rPr>
                <w:sz w:val="20"/>
                <w:szCs w:val="20"/>
              </w:rPr>
              <w:t xml:space="preserve">Number </w:t>
            </w:r>
          </w:p>
          <w:p w14:paraId="21001448"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0</w:t>
            </w:r>
            <w:r w:rsidRPr="00702882">
              <w:rPr>
                <w:sz w:val="20"/>
                <w:szCs w:val="20"/>
              </w:rPr>
              <w:t xml:space="preserve"> → </w:t>
            </w:r>
            <w:r w:rsidRPr="00702882">
              <w:rPr>
                <w:rFonts w:eastAsiaTheme="minorEastAsia"/>
                <w:sz w:val="20"/>
                <w:szCs w:val="20"/>
              </w:rPr>
              <w:t>1</w:t>
            </w:r>
            <w:r w:rsidRPr="00702882">
              <w:rPr>
                <w:sz w:val="20"/>
                <w:szCs w:val="20"/>
              </w:rPr>
              <w:t>)</w:t>
            </w:r>
          </w:p>
        </w:tc>
        <w:tc>
          <w:tcPr>
            <w:tcW w:w="5283" w:type="dxa"/>
            <w:shd w:val="clear" w:color="auto" w:fill="auto"/>
          </w:tcPr>
          <w:p w14:paraId="1B16C83A" w14:textId="77777777" w:rsidR="00AF6702" w:rsidRPr="00702882" w:rsidRDefault="00AF6702" w:rsidP="004D3BED">
            <w:pPr>
              <w:rPr>
                <w:sz w:val="20"/>
                <w:szCs w:val="20"/>
              </w:rPr>
            </w:pPr>
            <w:r w:rsidRPr="00702882">
              <w:rPr>
                <w:sz w:val="20"/>
                <w:szCs w:val="20"/>
              </w:rPr>
              <w:t>The “Revenue Stabilization Fund” is created in the State Treasury a revolving fund. The fund shall be a continuing fund, not subject to fiscal year limitations.</w:t>
            </w:r>
          </w:p>
        </w:tc>
        <w:tc>
          <w:tcPr>
            <w:tcW w:w="2790" w:type="dxa"/>
            <w:shd w:val="clear" w:color="auto" w:fill="auto"/>
          </w:tcPr>
          <w:p w14:paraId="540C2A24" w14:textId="77777777" w:rsidR="00AF6702" w:rsidRPr="00702882" w:rsidRDefault="00AF6702" w:rsidP="004D3BED">
            <w:pPr>
              <w:tabs>
                <w:tab w:val="left" w:pos="468"/>
              </w:tabs>
              <w:rPr>
                <w:sz w:val="20"/>
                <w:szCs w:val="20"/>
              </w:rPr>
            </w:pPr>
            <w:r w:rsidRPr="00702882">
              <w:rPr>
                <w:sz w:val="20"/>
                <w:szCs w:val="20"/>
              </w:rPr>
              <w:t>2016 OK. ALS 337, 2016 OK. Laws 337, 2016 OK. Ch. 337, 2015 OK. HB 2763 (May 27, 2016)</w:t>
            </w:r>
          </w:p>
        </w:tc>
      </w:tr>
      <w:tr w:rsidR="00850754" w:rsidRPr="00702882" w14:paraId="43EF49B6" w14:textId="77777777" w:rsidTr="00AE6820">
        <w:trPr>
          <w:jc w:val="center"/>
        </w:trPr>
        <w:tc>
          <w:tcPr>
            <w:tcW w:w="1615" w:type="dxa"/>
            <w:vMerge/>
            <w:shd w:val="clear" w:color="auto" w:fill="E2EFD9" w:themeFill="accent6" w:themeFillTint="33"/>
          </w:tcPr>
          <w:p w14:paraId="77A7259B" w14:textId="77777777" w:rsidR="00AF6702" w:rsidRPr="00702882" w:rsidRDefault="00AF6702" w:rsidP="004D3BED">
            <w:pPr>
              <w:rPr>
                <w:sz w:val="20"/>
                <w:szCs w:val="20"/>
              </w:rPr>
            </w:pPr>
          </w:p>
        </w:tc>
        <w:tc>
          <w:tcPr>
            <w:tcW w:w="630" w:type="dxa"/>
            <w:vMerge w:val="restart"/>
            <w:shd w:val="clear" w:color="auto" w:fill="auto"/>
          </w:tcPr>
          <w:p w14:paraId="625A9A6D" w14:textId="77777777" w:rsidR="00AF6702" w:rsidRPr="00702882" w:rsidRDefault="00AF6702" w:rsidP="004D3BED">
            <w:pPr>
              <w:rPr>
                <w:sz w:val="20"/>
                <w:szCs w:val="20"/>
              </w:rPr>
            </w:pPr>
            <w:r w:rsidRPr="00702882">
              <w:rPr>
                <w:sz w:val="20"/>
                <w:szCs w:val="20"/>
              </w:rPr>
              <w:t>2018</w:t>
            </w:r>
          </w:p>
        </w:tc>
        <w:tc>
          <w:tcPr>
            <w:tcW w:w="2520" w:type="dxa"/>
            <w:shd w:val="clear" w:color="auto" w:fill="auto"/>
          </w:tcPr>
          <w:p w14:paraId="48E32FD3" w14:textId="77777777" w:rsidR="00AF6702" w:rsidRPr="00702882" w:rsidRDefault="00AF6702" w:rsidP="004D3BED">
            <w:pPr>
              <w:rPr>
                <w:sz w:val="20"/>
                <w:szCs w:val="20"/>
              </w:rPr>
            </w:pPr>
            <w:r w:rsidRPr="00702882">
              <w:rPr>
                <w:sz w:val="20"/>
                <w:szCs w:val="20"/>
              </w:rPr>
              <w:t>Revenue Stabilization Fund (2016)</w:t>
            </w:r>
          </w:p>
          <w:p w14:paraId="4EAE7E87" w14:textId="77777777" w:rsidR="00AF6702" w:rsidRPr="00702882" w:rsidRDefault="00AF6702" w:rsidP="004D3BED">
            <w:pPr>
              <w:rPr>
                <w:sz w:val="20"/>
                <w:szCs w:val="20"/>
              </w:rPr>
            </w:pPr>
          </w:p>
        </w:tc>
        <w:tc>
          <w:tcPr>
            <w:tcW w:w="1467" w:type="dxa"/>
            <w:shd w:val="clear" w:color="auto" w:fill="auto"/>
          </w:tcPr>
          <w:p w14:paraId="1738E8D2" w14:textId="77777777" w:rsidR="00AF6702" w:rsidRPr="00702882" w:rsidRDefault="00AF6702" w:rsidP="004D3BED">
            <w:pPr>
              <w:rPr>
                <w:sz w:val="20"/>
                <w:szCs w:val="20"/>
              </w:rPr>
            </w:pPr>
            <w:r w:rsidRPr="00702882">
              <w:rPr>
                <w:sz w:val="20"/>
                <w:szCs w:val="20"/>
              </w:rPr>
              <w:t>Deposit tied to volatility</w:t>
            </w:r>
            <w:r w:rsidRPr="00702882">
              <w:rPr>
                <w:rStyle w:val="a5"/>
                <w:sz w:val="20"/>
                <w:szCs w:val="20"/>
              </w:rPr>
              <w:footnoteReference w:id="129"/>
            </w:r>
          </w:p>
          <w:p w14:paraId="7D4889B7" w14:textId="77777777" w:rsidR="00AF6702" w:rsidRPr="00702882" w:rsidRDefault="00AF6702" w:rsidP="004D3BED">
            <w:pPr>
              <w:rPr>
                <w:sz w:val="20"/>
                <w:szCs w:val="20"/>
              </w:rPr>
            </w:pPr>
            <w:r w:rsidRPr="00702882">
              <w:rPr>
                <w:sz w:val="20"/>
                <w:szCs w:val="20"/>
              </w:rPr>
              <w:t>(0 → 1)</w:t>
            </w:r>
          </w:p>
        </w:tc>
        <w:tc>
          <w:tcPr>
            <w:tcW w:w="5283" w:type="dxa"/>
            <w:shd w:val="clear" w:color="auto" w:fill="auto"/>
          </w:tcPr>
          <w:p w14:paraId="62D831FB" w14:textId="77777777" w:rsidR="00AF6702" w:rsidRPr="00702882" w:rsidRDefault="00AF6702" w:rsidP="004D3BED">
            <w:pPr>
              <w:rPr>
                <w:sz w:val="20"/>
                <w:szCs w:val="20"/>
              </w:rPr>
            </w:pPr>
            <w:r w:rsidRPr="00702882">
              <w:rPr>
                <w:sz w:val="20"/>
                <w:szCs w:val="20"/>
              </w:rPr>
              <w:t>The Revenue Stabilization Fund shall consist of 1) 100% of the revenue derived from the gross production tax on oil &amp; natural gas, 2) 75% of the revenue derived from corporate income tax, which are in excess of the five-year average computed, and 3) any amounts appropriated by the Legislature.</w:t>
            </w:r>
            <w:r w:rsidRPr="00702882">
              <w:rPr>
                <w:rStyle w:val="a5"/>
                <w:sz w:val="20"/>
                <w:szCs w:val="20"/>
              </w:rPr>
              <w:footnoteReference w:id="130"/>
            </w:r>
          </w:p>
        </w:tc>
        <w:tc>
          <w:tcPr>
            <w:tcW w:w="2790" w:type="dxa"/>
            <w:shd w:val="clear" w:color="auto" w:fill="auto"/>
          </w:tcPr>
          <w:p w14:paraId="1B0257CE" w14:textId="77777777" w:rsidR="00AF6702" w:rsidRPr="00702882" w:rsidRDefault="00AF6702" w:rsidP="004D3BED">
            <w:pPr>
              <w:tabs>
                <w:tab w:val="left" w:pos="468"/>
              </w:tabs>
              <w:rPr>
                <w:sz w:val="20"/>
                <w:szCs w:val="20"/>
              </w:rPr>
            </w:pPr>
            <w:r w:rsidRPr="00702882">
              <w:rPr>
                <w:sz w:val="20"/>
                <w:szCs w:val="20"/>
              </w:rPr>
              <w:t>2016 OK. ALS 337, 2016 OK. Laws 337, 2016 OK. Ch. 337, 2015 OK. HB 2763 (May 27, 2016)</w:t>
            </w:r>
          </w:p>
        </w:tc>
      </w:tr>
      <w:tr w:rsidR="00850754" w:rsidRPr="00702882" w14:paraId="1B1FCE04" w14:textId="77777777" w:rsidTr="00AE6820">
        <w:trPr>
          <w:jc w:val="center"/>
        </w:trPr>
        <w:tc>
          <w:tcPr>
            <w:tcW w:w="1615" w:type="dxa"/>
            <w:vMerge/>
            <w:shd w:val="clear" w:color="auto" w:fill="E2EFD9" w:themeFill="accent6" w:themeFillTint="33"/>
          </w:tcPr>
          <w:p w14:paraId="4DEB96B8" w14:textId="77777777" w:rsidR="00AF6702" w:rsidRPr="00702882" w:rsidRDefault="00AF6702" w:rsidP="004D3BED">
            <w:pPr>
              <w:rPr>
                <w:sz w:val="20"/>
                <w:szCs w:val="20"/>
              </w:rPr>
            </w:pPr>
          </w:p>
        </w:tc>
        <w:tc>
          <w:tcPr>
            <w:tcW w:w="630" w:type="dxa"/>
            <w:vMerge/>
            <w:shd w:val="clear" w:color="auto" w:fill="auto"/>
          </w:tcPr>
          <w:p w14:paraId="6201F53F" w14:textId="77777777" w:rsidR="00AF6702" w:rsidRPr="00702882" w:rsidRDefault="00AF6702" w:rsidP="004D3BED">
            <w:pPr>
              <w:rPr>
                <w:sz w:val="20"/>
                <w:szCs w:val="20"/>
              </w:rPr>
            </w:pPr>
          </w:p>
        </w:tc>
        <w:tc>
          <w:tcPr>
            <w:tcW w:w="2520" w:type="dxa"/>
            <w:shd w:val="clear" w:color="auto" w:fill="auto"/>
          </w:tcPr>
          <w:p w14:paraId="002A5B04" w14:textId="77777777" w:rsidR="00AF6702" w:rsidRPr="00702882" w:rsidRDefault="00AF6702" w:rsidP="004D3BED">
            <w:pPr>
              <w:rPr>
                <w:sz w:val="20"/>
                <w:szCs w:val="20"/>
              </w:rPr>
            </w:pPr>
            <w:r w:rsidRPr="00702882">
              <w:rPr>
                <w:sz w:val="20"/>
                <w:szCs w:val="20"/>
              </w:rPr>
              <w:t>Revenue Stabilization Fund (2016)</w:t>
            </w:r>
          </w:p>
        </w:tc>
        <w:tc>
          <w:tcPr>
            <w:tcW w:w="1467" w:type="dxa"/>
            <w:shd w:val="clear" w:color="auto" w:fill="auto"/>
          </w:tcPr>
          <w:p w14:paraId="73F255DB" w14:textId="77777777" w:rsidR="00AF6702" w:rsidRPr="00702882" w:rsidRDefault="00AF6702" w:rsidP="004D3BED">
            <w:pPr>
              <w:rPr>
                <w:sz w:val="20"/>
                <w:szCs w:val="20"/>
              </w:rPr>
            </w:pPr>
            <w:r w:rsidRPr="00702882">
              <w:rPr>
                <w:sz w:val="20"/>
                <w:szCs w:val="20"/>
              </w:rPr>
              <w:t>Withdrawal tied to volatility</w:t>
            </w:r>
          </w:p>
          <w:p w14:paraId="32D4B59C" w14:textId="77777777" w:rsidR="00AF6702" w:rsidRPr="00702882" w:rsidRDefault="00AF6702" w:rsidP="004D3BED">
            <w:pPr>
              <w:rPr>
                <w:sz w:val="20"/>
                <w:szCs w:val="20"/>
              </w:rPr>
            </w:pPr>
            <w:r w:rsidRPr="00702882">
              <w:rPr>
                <w:sz w:val="20"/>
                <w:szCs w:val="20"/>
              </w:rPr>
              <w:t>(0 → 1)</w:t>
            </w:r>
          </w:p>
        </w:tc>
        <w:tc>
          <w:tcPr>
            <w:tcW w:w="5283" w:type="dxa"/>
            <w:shd w:val="clear" w:color="auto" w:fill="auto"/>
          </w:tcPr>
          <w:p w14:paraId="2547FE0F" w14:textId="77777777" w:rsidR="00AF6702" w:rsidRPr="00702882" w:rsidRDefault="00AF6702" w:rsidP="004D3BED">
            <w:pPr>
              <w:rPr>
                <w:sz w:val="20"/>
                <w:szCs w:val="20"/>
              </w:rPr>
            </w:pPr>
            <w:r w:rsidRPr="00702882">
              <w:rPr>
                <w:sz w:val="20"/>
                <w:szCs w:val="20"/>
              </w:rPr>
              <w:t>If one or more of the revenue sources are forecasted to experience a revenue decrease, then the total deposits to the RSF shall be reduced in an amount equal to such revenue decreases. “Revenue decrease” means an identified revenue source derived in an amount less than the five-year average for such revenue source.</w:t>
            </w:r>
          </w:p>
        </w:tc>
        <w:tc>
          <w:tcPr>
            <w:tcW w:w="2790" w:type="dxa"/>
            <w:shd w:val="clear" w:color="auto" w:fill="auto"/>
          </w:tcPr>
          <w:p w14:paraId="55EA5DDD" w14:textId="77777777" w:rsidR="00AF6702" w:rsidRPr="00702882" w:rsidRDefault="00AF6702" w:rsidP="004D3BED">
            <w:pPr>
              <w:tabs>
                <w:tab w:val="left" w:pos="468"/>
              </w:tabs>
              <w:rPr>
                <w:sz w:val="20"/>
                <w:szCs w:val="20"/>
              </w:rPr>
            </w:pPr>
            <w:r w:rsidRPr="00702882">
              <w:rPr>
                <w:sz w:val="20"/>
                <w:szCs w:val="20"/>
              </w:rPr>
              <w:t>2016 OK. ALS 337, 2016 OK. Laws 337, 2016 OK. Ch. 337, 2015 OK. HB 2763 (May 27, 2016)</w:t>
            </w:r>
          </w:p>
        </w:tc>
      </w:tr>
      <w:tr w:rsidR="00850754" w:rsidRPr="00702882" w14:paraId="027D8DE5" w14:textId="77777777" w:rsidTr="00AE6820">
        <w:trPr>
          <w:jc w:val="center"/>
        </w:trPr>
        <w:tc>
          <w:tcPr>
            <w:tcW w:w="1615" w:type="dxa"/>
            <w:shd w:val="clear" w:color="auto" w:fill="auto"/>
          </w:tcPr>
          <w:p w14:paraId="2E2F240E" w14:textId="77777777" w:rsidR="00AF6702" w:rsidRPr="00702882" w:rsidRDefault="00AF6702" w:rsidP="004D3BED">
            <w:pPr>
              <w:rPr>
                <w:sz w:val="20"/>
                <w:szCs w:val="20"/>
              </w:rPr>
            </w:pPr>
            <w:r w:rsidRPr="00702882">
              <w:rPr>
                <w:sz w:val="20"/>
                <w:szCs w:val="20"/>
              </w:rPr>
              <w:t>Oregon</w:t>
            </w:r>
          </w:p>
        </w:tc>
        <w:tc>
          <w:tcPr>
            <w:tcW w:w="630" w:type="dxa"/>
            <w:shd w:val="clear" w:color="auto" w:fill="auto"/>
          </w:tcPr>
          <w:p w14:paraId="6186F431" w14:textId="77777777" w:rsidR="00AF6702" w:rsidRPr="00702882" w:rsidRDefault="00AF6702" w:rsidP="004D3BED">
            <w:pPr>
              <w:rPr>
                <w:sz w:val="20"/>
                <w:szCs w:val="20"/>
              </w:rPr>
            </w:pPr>
            <w:r w:rsidRPr="00702882">
              <w:rPr>
                <w:sz w:val="20"/>
                <w:szCs w:val="20"/>
              </w:rPr>
              <w:t>2007</w:t>
            </w:r>
          </w:p>
        </w:tc>
        <w:tc>
          <w:tcPr>
            <w:tcW w:w="2520" w:type="dxa"/>
            <w:shd w:val="clear" w:color="auto" w:fill="auto"/>
          </w:tcPr>
          <w:p w14:paraId="1152E41B" w14:textId="77777777" w:rsidR="00AF6702" w:rsidRPr="00702882" w:rsidRDefault="00AF6702" w:rsidP="004D3BED">
            <w:pPr>
              <w:rPr>
                <w:sz w:val="20"/>
                <w:szCs w:val="20"/>
              </w:rPr>
            </w:pPr>
            <w:r w:rsidRPr="00702882">
              <w:rPr>
                <w:sz w:val="20"/>
                <w:szCs w:val="20"/>
              </w:rPr>
              <w:t>Oregon Rainy Day Fund (2007)</w:t>
            </w:r>
            <w:r w:rsidRPr="00702882">
              <w:rPr>
                <w:rStyle w:val="a5"/>
                <w:sz w:val="20"/>
                <w:szCs w:val="20"/>
              </w:rPr>
              <w:footnoteReference w:id="131"/>
            </w:r>
          </w:p>
        </w:tc>
        <w:tc>
          <w:tcPr>
            <w:tcW w:w="1467" w:type="dxa"/>
            <w:shd w:val="clear" w:color="auto" w:fill="auto"/>
          </w:tcPr>
          <w:p w14:paraId="34058D4B" w14:textId="77777777" w:rsidR="00AF6702" w:rsidRPr="00702882" w:rsidRDefault="00AF6702" w:rsidP="004D3BED">
            <w:pPr>
              <w:rPr>
                <w:rFonts w:eastAsiaTheme="minorEastAsia"/>
                <w:sz w:val="20"/>
                <w:szCs w:val="20"/>
              </w:rPr>
            </w:pPr>
            <w:r w:rsidRPr="00702882">
              <w:rPr>
                <w:sz w:val="20"/>
                <w:szCs w:val="20"/>
              </w:rPr>
              <w:t xml:space="preserve">Number </w:t>
            </w:r>
          </w:p>
          <w:p w14:paraId="540A3389" w14:textId="77777777" w:rsidR="00AF6702" w:rsidRPr="00702882" w:rsidRDefault="00AF6702" w:rsidP="004D3BED">
            <w:pPr>
              <w:rPr>
                <w:rFonts w:eastAsiaTheme="minorEastAsia"/>
                <w:sz w:val="20"/>
                <w:szCs w:val="20"/>
              </w:rPr>
            </w:pPr>
            <w:r w:rsidRPr="00702882">
              <w:rPr>
                <w:rFonts w:eastAsiaTheme="minorEastAsia"/>
                <w:sz w:val="20"/>
                <w:szCs w:val="20"/>
              </w:rPr>
              <w:t xml:space="preserve">(0 </w:t>
            </w:r>
            <w:r w:rsidRPr="00702882">
              <w:rPr>
                <w:sz w:val="20"/>
                <w:szCs w:val="20"/>
              </w:rPr>
              <w:t>→ 1)</w:t>
            </w:r>
          </w:p>
        </w:tc>
        <w:tc>
          <w:tcPr>
            <w:tcW w:w="5283" w:type="dxa"/>
            <w:shd w:val="clear" w:color="auto" w:fill="auto"/>
          </w:tcPr>
          <w:p w14:paraId="2667FEF0" w14:textId="77777777" w:rsidR="00AF6702" w:rsidRPr="00702882" w:rsidRDefault="00AF6702" w:rsidP="004D3BED">
            <w:pPr>
              <w:rPr>
                <w:sz w:val="20"/>
                <w:szCs w:val="20"/>
              </w:rPr>
            </w:pPr>
            <w:r w:rsidRPr="00702882">
              <w:rPr>
                <w:sz w:val="20"/>
                <w:szCs w:val="20"/>
              </w:rPr>
              <w:t xml:space="preserve">The ORDF was established by the 2007 Legislature as a general purpose reserve fund. </w:t>
            </w:r>
          </w:p>
          <w:p w14:paraId="7EAC13CD" w14:textId="77777777" w:rsidR="00AF6702" w:rsidRPr="00702882" w:rsidRDefault="00AF6702" w:rsidP="004D3BED">
            <w:pPr>
              <w:rPr>
                <w:rFonts w:eastAsiaTheme="minorEastAsia"/>
                <w:sz w:val="20"/>
                <w:szCs w:val="20"/>
              </w:rPr>
            </w:pPr>
          </w:p>
          <w:p w14:paraId="2A809EC7" w14:textId="77777777" w:rsidR="00AF6702" w:rsidRPr="00702882" w:rsidRDefault="00AF6702" w:rsidP="004D3BED">
            <w:pPr>
              <w:rPr>
                <w:rFonts w:eastAsiaTheme="minorEastAsia"/>
                <w:sz w:val="20"/>
                <w:szCs w:val="20"/>
              </w:rPr>
            </w:pPr>
          </w:p>
        </w:tc>
        <w:tc>
          <w:tcPr>
            <w:tcW w:w="2790" w:type="dxa"/>
            <w:shd w:val="clear" w:color="auto" w:fill="auto"/>
          </w:tcPr>
          <w:p w14:paraId="23580326" w14:textId="77777777" w:rsidR="00AF6702" w:rsidRPr="00702882" w:rsidRDefault="00AF6702" w:rsidP="004D3BED">
            <w:pPr>
              <w:tabs>
                <w:tab w:val="left" w:pos="468"/>
              </w:tabs>
              <w:rPr>
                <w:sz w:val="20"/>
                <w:szCs w:val="20"/>
              </w:rPr>
            </w:pPr>
            <w:r w:rsidRPr="00702882">
              <w:rPr>
                <w:sz w:val="20"/>
                <w:szCs w:val="20"/>
              </w:rPr>
              <w:t>Oregon Rainy Day Fund (§§ 293.144 — 293.160)</w:t>
            </w:r>
          </w:p>
        </w:tc>
      </w:tr>
      <w:tr w:rsidR="00850754" w:rsidRPr="00702882" w14:paraId="41C2B034" w14:textId="77777777" w:rsidTr="00AE6820">
        <w:trPr>
          <w:jc w:val="center"/>
        </w:trPr>
        <w:tc>
          <w:tcPr>
            <w:tcW w:w="1615" w:type="dxa"/>
            <w:vMerge w:val="restart"/>
            <w:shd w:val="clear" w:color="auto" w:fill="auto"/>
          </w:tcPr>
          <w:p w14:paraId="25B92970" w14:textId="77777777" w:rsidR="00AF6702" w:rsidRPr="00702882" w:rsidRDefault="00AF6702" w:rsidP="004D3BED">
            <w:pPr>
              <w:rPr>
                <w:sz w:val="20"/>
                <w:szCs w:val="20"/>
              </w:rPr>
            </w:pPr>
            <w:r w:rsidRPr="00702882">
              <w:rPr>
                <w:sz w:val="20"/>
                <w:szCs w:val="20"/>
              </w:rPr>
              <w:t>Pennsylvania</w:t>
            </w:r>
          </w:p>
        </w:tc>
        <w:tc>
          <w:tcPr>
            <w:tcW w:w="630" w:type="dxa"/>
            <w:shd w:val="clear" w:color="auto" w:fill="auto"/>
          </w:tcPr>
          <w:p w14:paraId="4B777DB6" w14:textId="77777777" w:rsidR="00AF6702" w:rsidRPr="00702882" w:rsidRDefault="00AF6702" w:rsidP="004D3BED">
            <w:pPr>
              <w:rPr>
                <w:rFonts w:eastAsiaTheme="minorEastAsia"/>
                <w:sz w:val="20"/>
                <w:szCs w:val="20"/>
              </w:rPr>
            </w:pPr>
            <w:r w:rsidRPr="00702882">
              <w:rPr>
                <w:rFonts w:eastAsiaTheme="minorEastAsia"/>
                <w:sz w:val="20"/>
                <w:szCs w:val="20"/>
              </w:rPr>
              <w:t>2002</w:t>
            </w:r>
          </w:p>
        </w:tc>
        <w:tc>
          <w:tcPr>
            <w:tcW w:w="2520" w:type="dxa"/>
            <w:shd w:val="clear" w:color="auto" w:fill="auto"/>
          </w:tcPr>
          <w:p w14:paraId="421E9FA9" w14:textId="77777777" w:rsidR="00AF6702" w:rsidRPr="00702882" w:rsidRDefault="00AF6702" w:rsidP="004D3BED">
            <w:pPr>
              <w:rPr>
                <w:sz w:val="20"/>
                <w:szCs w:val="20"/>
              </w:rPr>
            </w:pPr>
            <w:r w:rsidRPr="00702882">
              <w:rPr>
                <w:sz w:val="20"/>
                <w:szCs w:val="20"/>
              </w:rPr>
              <w:t>Budget Stabilization Reserve Fund (1985)</w:t>
            </w:r>
          </w:p>
          <w:p w14:paraId="2BDFE97E" w14:textId="77777777" w:rsidR="00AF6702" w:rsidRPr="00702882" w:rsidRDefault="00AF6702" w:rsidP="004D3BED">
            <w:pPr>
              <w:rPr>
                <w:rFonts w:eastAsiaTheme="minorEastAsia"/>
                <w:sz w:val="20"/>
                <w:szCs w:val="20"/>
              </w:rPr>
            </w:pPr>
          </w:p>
          <w:p w14:paraId="480D4B1C" w14:textId="77777777" w:rsidR="00AF6702" w:rsidRPr="00702882" w:rsidRDefault="00AF6702" w:rsidP="004D3BED">
            <w:pPr>
              <w:rPr>
                <w:rFonts w:eastAsiaTheme="minorEastAsia"/>
                <w:sz w:val="20"/>
                <w:szCs w:val="20"/>
              </w:rPr>
            </w:pPr>
          </w:p>
        </w:tc>
        <w:tc>
          <w:tcPr>
            <w:tcW w:w="1467" w:type="dxa"/>
            <w:shd w:val="clear" w:color="auto" w:fill="auto"/>
          </w:tcPr>
          <w:p w14:paraId="41073DD3" w14:textId="77777777" w:rsidR="00AF6702" w:rsidRPr="00702882" w:rsidRDefault="00AF6702" w:rsidP="004D3BED">
            <w:pPr>
              <w:rPr>
                <w:sz w:val="20"/>
                <w:szCs w:val="20"/>
              </w:rPr>
            </w:pPr>
            <w:r w:rsidRPr="00702882">
              <w:rPr>
                <w:sz w:val="20"/>
                <w:szCs w:val="20"/>
              </w:rPr>
              <w:t xml:space="preserve">Deposit by surplus </w:t>
            </w:r>
          </w:p>
          <w:p w14:paraId="4DDB9A86" w14:textId="77777777" w:rsidR="00AF6702" w:rsidRPr="00702882" w:rsidRDefault="00AF6702" w:rsidP="004D3BED">
            <w:pPr>
              <w:rPr>
                <w:sz w:val="20"/>
                <w:szCs w:val="20"/>
              </w:rPr>
            </w:pPr>
            <w:r w:rsidRPr="00702882">
              <w:rPr>
                <w:sz w:val="20"/>
                <w:szCs w:val="20"/>
              </w:rPr>
              <w:t>(0.1 → 0.25)</w:t>
            </w:r>
          </w:p>
        </w:tc>
        <w:tc>
          <w:tcPr>
            <w:tcW w:w="5283" w:type="dxa"/>
            <w:shd w:val="clear" w:color="auto" w:fill="auto"/>
          </w:tcPr>
          <w:p w14:paraId="7CC3DC78" w14:textId="77777777" w:rsidR="00AF6702" w:rsidRPr="00702882" w:rsidRDefault="00AF6702" w:rsidP="004D3BED">
            <w:pPr>
              <w:rPr>
                <w:sz w:val="20"/>
                <w:szCs w:val="20"/>
              </w:rPr>
            </w:pPr>
            <w:r w:rsidRPr="00702882">
              <w:rPr>
                <w:sz w:val="20"/>
                <w:szCs w:val="20"/>
              </w:rPr>
              <w:t>25% of any General Fund revenue surplus will be deposited into the Rainy Day Fund. However, if the Rainy Day Fund balance reaches or exceeds 6% of total General Fund revenue, and there is a surplus for that fiscal year, only 10% of the surplus will be deposited into the rainy day fund account.</w:t>
            </w:r>
          </w:p>
        </w:tc>
        <w:tc>
          <w:tcPr>
            <w:tcW w:w="2790" w:type="dxa"/>
            <w:shd w:val="clear" w:color="auto" w:fill="auto"/>
          </w:tcPr>
          <w:p w14:paraId="00EDE6FA" w14:textId="77777777" w:rsidR="00AF6702" w:rsidRPr="00702882" w:rsidRDefault="00AF6702" w:rsidP="004D3BED">
            <w:pPr>
              <w:rPr>
                <w:sz w:val="20"/>
                <w:szCs w:val="20"/>
              </w:rPr>
            </w:pPr>
            <w:r w:rsidRPr="00702882">
              <w:rPr>
                <w:sz w:val="20"/>
                <w:szCs w:val="20"/>
              </w:rPr>
              <w:t>Act of Jun. 29, 2002, P.L. 614, No.91, Section 1702-A (b).</w:t>
            </w:r>
          </w:p>
        </w:tc>
      </w:tr>
      <w:tr w:rsidR="00850754" w:rsidRPr="00702882" w14:paraId="716CD069" w14:textId="77777777" w:rsidTr="00AE6820">
        <w:trPr>
          <w:jc w:val="center"/>
        </w:trPr>
        <w:tc>
          <w:tcPr>
            <w:tcW w:w="1615" w:type="dxa"/>
            <w:vMerge/>
            <w:shd w:val="clear" w:color="auto" w:fill="auto"/>
          </w:tcPr>
          <w:p w14:paraId="64EE9B3F" w14:textId="77777777" w:rsidR="00AF6702" w:rsidRPr="00702882" w:rsidRDefault="00AF6702" w:rsidP="004D3BED">
            <w:pPr>
              <w:rPr>
                <w:sz w:val="20"/>
                <w:szCs w:val="20"/>
              </w:rPr>
            </w:pPr>
          </w:p>
        </w:tc>
        <w:tc>
          <w:tcPr>
            <w:tcW w:w="630" w:type="dxa"/>
            <w:shd w:val="clear" w:color="auto" w:fill="auto"/>
          </w:tcPr>
          <w:p w14:paraId="30C6BBD2" w14:textId="77777777" w:rsidR="00AF6702" w:rsidRPr="00702882" w:rsidRDefault="00AF6702" w:rsidP="004D3BED">
            <w:pPr>
              <w:rPr>
                <w:rFonts w:eastAsiaTheme="minorEastAsia"/>
                <w:sz w:val="20"/>
                <w:szCs w:val="20"/>
              </w:rPr>
            </w:pPr>
            <w:r w:rsidRPr="00702882">
              <w:rPr>
                <w:rFonts w:eastAsiaTheme="minorEastAsia"/>
                <w:sz w:val="20"/>
                <w:szCs w:val="20"/>
              </w:rPr>
              <w:t>2002</w:t>
            </w:r>
          </w:p>
        </w:tc>
        <w:tc>
          <w:tcPr>
            <w:tcW w:w="2520" w:type="dxa"/>
            <w:shd w:val="clear" w:color="auto" w:fill="auto"/>
          </w:tcPr>
          <w:p w14:paraId="53202B66" w14:textId="77777777" w:rsidR="00AF6702" w:rsidRPr="00702882" w:rsidRDefault="00AF6702" w:rsidP="004D3BED">
            <w:pPr>
              <w:rPr>
                <w:sz w:val="20"/>
                <w:szCs w:val="20"/>
              </w:rPr>
            </w:pPr>
            <w:r w:rsidRPr="00702882">
              <w:rPr>
                <w:sz w:val="20"/>
                <w:szCs w:val="20"/>
              </w:rPr>
              <w:t>Budget Stabilization Reserve Fund (1985)</w:t>
            </w:r>
          </w:p>
          <w:p w14:paraId="142DC62B" w14:textId="77777777" w:rsidR="00AF6702" w:rsidRPr="00702882" w:rsidRDefault="00AF6702" w:rsidP="004D3BED">
            <w:pPr>
              <w:rPr>
                <w:rFonts w:eastAsiaTheme="minorEastAsia"/>
                <w:sz w:val="20"/>
                <w:szCs w:val="20"/>
              </w:rPr>
            </w:pPr>
          </w:p>
          <w:p w14:paraId="3B18187E" w14:textId="77777777" w:rsidR="00AF6702" w:rsidRPr="00702882" w:rsidRDefault="00AF6702" w:rsidP="004D3BED">
            <w:pPr>
              <w:rPr>
                <w:sz w:val="20"/>
                <w:szCs w:val="20"/>
              </w:rPr>
            </w:pPr>
          </w:p>
        </w:tc>
        <w:tc>
          <w:tcPr>
            <w:tcW w:w="1467" w:type="dxa"/>
            <w:shd w:val="clear" w:color="auto" w:fill="auto"/>
          </w:tcPr>
          <w:p w14:paraId="26706E72" w14:textId="77777777" w:rsidR="00AF6702" w:rsidRPr="00702882" w:rsidRDefault="00AF6702" w:rsidP="004D3BED">
            <w:pPr>
              <w:rPr>
                <w:rFonts w:eastAsiaTheme="minorEastAsia"/>
                <w:sz w:val="20"/>
                <w:szCs w:val="20"/>
              </w:rPr>
            </w:pPr>
            <w:r w:rsidRPr="00702882">
              <w:rPr>
                <w:rFonts w:eastAsiaTheme="minorEastAsia"/>
                <w:sz w:val="20"/>
                <w:szCs w:val="20"/>
              </w:rPr>
              <w:t>Cap</w:t>
            </w:r>
          </w:p>
          <w:p w14:paraId="4249C8A1" w14:textId="77777777" w:rsidR="00AF6702" w:rsidRPr="00702882" w:rsidRDefault="00AF6702" w:rsidP="004D3BED">
            <w:pPr>
              <w:rPr>
                <w:rFonts w:eastAsiaTheme="minorEastAsia"/>
                <w:sz w:val="20"/>
                <w:szCs w:val="20"/>
              </w:rPr>
            </w:pPr>
            <w:r w:rsidRPr="00702882">
              <w:rPr>
                <w:rFonts w:eastAsiaTheme="minorEastAsia"/>
                <w:sz w:val="20"/>
                <w:szCs w:val="20"/>
              </w:rPr>
              <w:t xml:space="preserve">(3 </w:t>
            </w:r>
            <w:r w:rsidRPr="00702882">
              <w:rPr>
                <w:sz w:val="20"/>
                <w:szCs w:val="20"/>
              </w:rPr>
              <w:t xml:space="preserve">→ </w:t>
            </w:r>
            <w:r w:rsidRPr="00702882">
              <w:rPr>
                <w:rFonts w:eastAsiaTheme="minorEastAsia"/>
                <w:sz w:val="20"/>
                <w:szCs w:val="20"/>
              </w:rPr>
              <w:t>6)</w:t>
            </w:r>
          </w:p>
        </w:tc>
        <w:tc>
          <w:tcPr>
            <w:tcW w:w="5283" w:type="dxa"/>
            <w:shd w:val="clear" w:color="auto" w:fill="auto"/>
          </w:tcPr>
          <w:p w14:paraId="23A2B1B1" w14:textId="77777777" w:rsidR="00AF6702" w:rsidRPr="00702882" w:rsidRDefault="00AF6702" w:rsidP="004D3BED">
            <w:pPr>
              <w:rPr>
                <w:sz w:val="20"/>
                <w:szCs w:val="20"/>
              </w:rPr>
            </w:pPr>
            <w:r w:rsidRPr="00702882">
              <w:rPr>
                <w:sz w:val="20"/>
                <w:szCs w:val="20"/>
              </w:rPr>
              <w:t xml:space="preserve">The General Assembly declares its intention and objective to establish a stabilization reserve, ultimately amounting to 6% of the revenues of the Commonwealth's General Fund. </w:t>
            </w:r>
          </w:p>
        </w:tc>
        <w:tc>
          <w:tcPr>
            <w:tcW w:w="2790" w:type="dxa"/>
            <w:shd w:val="clear" w:color="auto" w:fill="auto"/>
          </w:tcPr>
          <w:p w14:paraId="338787AD" w14:textId="77777777" w:rsidR="00AF6702" w:rsidRPr="00702882" w:rsidRDefault="00AF6702" w:rsidP="004D3BED">
            <w:pPr>
              <w:rPr>
                <w:sz w:val="20"/>
                <w:szCs w:val="20"/>
              </w:rPr>
            </w:pPr>
            <w:r w:rsidRPr="00702882">
              <w:rPr>
                <w:sz w:val="20"/>
                <w:szCs w:val="20"/>
              </w:rPr>
              <w:t>Act of Jun. 29, 2002, P.L. 614, No.91, Section 1702-A (b).</w:t>
            </w:r>
          </w:p>
        </w:tc>
      </w:tr>
      <w:tr w:rsidR="00850754" w:rsidRPr="00702882" w14:paraId="288F1D8A" w14:textId="77777777" w:rsidTr="00AE6820">
        <w:trPr>
          <w:jc w:val="center"/>
        </w:trPr>
        <w:tc>
          <w:tcPr>
            <w:tcW w:w="1615" w:type="dxa"/>
            <w:vMerge/>
            <w:shd w:val="clear" w:color="auto" w:fill="auto"/>
          </w:tcPr>
          <w:p w14:paraId="768440CE" w14:textId="77777777" w:rsidR="00AF6702" w:rsidRPr="00702882" w:rsidRDefault="00AF6702" w:rsidP="004D3BED">
            <w:pPr>
              <w:rPr>
                <w:sz w:val="20"/>
                <w:szCs w:val="20"/>
              </w:rPr>
            </w:pPr>
          </w:p>
        </w:tc>
        <w:tc>
          <w:tcPr>
            <w:tcW w:w="630" w:type="dxa"/>
            <w:shd w:val="clear" w:color="auto" w:fill="auto"/>
          </w:tcPr>
          <w:p w14:paraId="4AB717FF" w14:textId="77777777" w:rsidR="00AF6702" w:rsidRPr="00702882" w:rsidRDefault="00AF6702" w:rsidP="004D3BED">
            <w:pPr>
              <w:rPr>
                <w:sz w:val="20"/>
                <w:szCs w:val="20"/>
              </w:rPr>
            </w:pPr>
            <w:r w:rsidRPr="00702882">
              <w:rPr>
                <w:sz w:val="20"/>
                <w:szCs w:val="20"/>
              </w:rPr>
              <w:t>2008</w:t>
            </w:r>
          </w:p>
        </w:tc>
        <w:tc>
          <w:tcPr>
            <w:tcW w:w="2520" w:type="dxa"/>
            <w:shd w:val="clear" w:color="auto" w:fill="auto"/>
          </w:tcPr>
          <w:p w14:paraId="6D206089" w14:textId="77777777" w:rsidR="00AF6702" w:rsidRPr="00702882" w:rsidRDefault="00AF6702" w:rsidP="004D3BED">
            <w:pPr>
              <w:rPr>
                <w:sz w:val="20"/>
                <w:szCs w:val="20"/>
              </w:rPr>
            </w:pPr>
            <w:r w:rsidRPr="00702882">
              <w:rPr>
                <w:sz w:val="20"/>
                <w:szCs w:val="20"/>
              </w:rPr>
              <w:t>Budget Stabilization Reserve Fund (1985)</w:t>
            </w:r>
          </w:p>
          <w:p w14:paraId="0E244BE1" w14:textId="77777777" w:rsidR="00AF6702" w:rsidRPr="00702882" w:rsidRDefault="00AF6702" w:rsidP="004D3BED">
            <w:pPr>
              <w:rPr>
                <w:sz w:val="20"/>
                <w:szCs w:val="20"/>
              </w:rPr>
            </w:pPr>
          </w:p>
        </w:tc>
        <w:tc>
          <w:tcPr>
            <w:tcW w:w="1467" w:type="dxa"/>
            <w:shd w:val="clear" w:color="auto" w:fill="auto"/>
          </w:tcPr>
          <w:p w14:paraId="217F9DA1" w14:textId="77777777" w:rsidR="00AF6702" w:rsidRPr="00702882" w:rsidRDefault="00AF6702" w:rsidP="004D3BED">
            <w:pPr>
              <w:rPr>
                <w:sz w:val="20"/>
                <w:szCs w:val="20"/>
              </w:rPr>
            </w:pPr>
            <w:r w:rsidRPr="00702882">
              <w:rPr>
                <w:sz w:val="20"/>
                <w:szCs w:val="20"/>
              </w:rPr>
              <w:t xml:space="preserve">Deposit by surplus </w:t>
            </w:r>
          </w:p>
          <w:p w14:paraId="37CEE761" w14:textId="77777777" w:rsidR="00AF6702" w:rsidRPr="00702882" w:rsidRDefault="00AF6702" w:rsidP="004D3BED">
            <w:pPr>
              <w:rPr>
                <w:sz w:val="20"/>
                <w:szCs w:val="20"/>
              </w:rPr>
            </w:pPr>
            <w:r w:rsidRPr="00702882">
              <w:rPr>
                <w:sz w:val="20"/>
                <w:szCs w:val="20"/>
              </w:rPr>
              <w:t>(0.25 → 0)</w:t>
            </w:r>
          </w:p>
        </w:tc>
        <w:tc>
          <w:tcPr>
            <w:tcW w:w="5283" w:type="dxa"/>
            <w:shd w:val="clear" w:color="auto" w:fill="auto"/>
          </w:tcPr>
          <w:p w14:paraId="178F4F6E" w14:textId="77777777" w:rsidR="00AF6702" w:rsidRPr="00702882" w:rsidRDefault="00AF6702" w:rsidP="004D3BED">
            <w:pPr>
              <w:rPr>
                <w:sz w:val="20"/>
                <w:szCs w:val="20"/>
              </w:rPr>
            </w:pPr>
            <w:r w:rsidRPr="00702882">
              <w:rPr>
                <w:sz w:val="20"/>
                <w:szCs w:val="20"/>
              </w:rPr>
              <w:t xml:space="preserve">Act 53 of 2008 suspended the transfer of surplus funds to the Budget Stabilization Reserve Fund. </w:t>
            </w:r>
          </w:p>
          <w:p w14:paraId="6FE6E49B" w14:textId="77777777" w:rsidR="00AF6702" w:rsidRPr="00702882" w:rsidRDefault="00AF6702" w:rsidP="004D3BED">
            <w:pPr>
              <w:rPr>
                <w:rFonts w:eastAsiaTheme="minorEastAsia"/>
                <w:sz w:val="20"/>
                <w:szCs w:val="20"/>
              </w:rPr>
            </w:pPr>
          </w:p>
          <w:p w14:paraId="07DD109D" w14:textId="77777777" w:rsidR="00AF6702" w:rsidRPr="00702882" w:rsidRDefault="00AF6702" w:rsidP="004D3BED">
            <w:pPr>
              <w:rPr>
                <w:rFonts w:eastAsiaTheme="minorEastAsia"/>
                <w:sz w:val="20"/>
                <w:szCs w:val="20"/>
              </w:rPr>
            </w:pPr>
          </w:p>
        </w:tc>
        <w:tc>
          <w:tcPr>
            <w:tcW w:w="2790" w:type="dxa"/>
            <w:shd w:val="clear" w:color="auto" w:fill="auto"/>
          </w:tcPr>
          <w:p w14:paraId="46D305B7" w14:textId="77777777" w:rsidR="00AF6702" w:rsidRPr="00702882" w:rsidRDefault="00AF6702" w:rsidP="004D3BED">
            <w:pPr>
              <w:tabs>
                <w:tab w:val="left" w:pos="468"/>
              </w:tabs>
              <w:rPr>
                <w:sz w:val="20"/>
                <w:szCs w:val="20"/>
              </w:rPr>
            </w:pPr>
            <w:r w:rsidRPr="00702882">
              <w:rPr>
                <w:sz w:val="20"/>
                <w:szCs w:val="20"/>
              </w:rPr>
              <w:t>Act of Jul. 4, 2008, P.L. 629, No. 53</w:t>
            </w:r>
          </w:p>
        </w:tc>
      </w:tr>
      <w:tr w:rsidR="00850754" w:rsidRPr="00702882" w14:paraId="7ED24CB8" w14:textId="77777777" w:rsidTr="00AE6820">
        <w:trPr>
          <w:jc w:val="center"/>
        </w:trPr>
        <w:tc>
          <w:tcPr>
            <w:tcW w:w="1615" w:type="dxa"/>
            <w:vMerge/>
            <w:shd w:val="clear" w:color="auto" w:fill="E2EFD9" w:themeFill="accent6" w:themeFillTint="33"/>
          </w:tcPr>
          <w:p w14:paraId="156D0BBB" w14:textId="77777777" w:rsidR="00AF6702" w:rsidRPr="00702882" w:rsidRDefault="00AF6702" w:rsidP="004D3BED">
            <w:pPr>
              <w:rPr>
                <w:sz w:val="20"/>
                <w:szCs w:val="20"/>
              </w:rPr>
            </w:pPr>
          </w:p>
        </w:tc>
        <w:tc>
          <w:tcPr>
            <w:tcW w:w="630" w:type="dxa"/>
            <w:shd w:val="clear" w:color="auto" w:fill="auto"/>
          </w:tcPr>
          <w:p w14:paraId="1367BB2F" w14:textId="77777777" w:rsidR="00AF6702" w:rsidRPr="00702882" w:rsidRDefault="00AF6702" w:rsidP="004D3BED">
            <w:pPr>
              <w:rPr>
                <w:sz w:val="20"/>
                <w:szCs w:val="20"/>
              </w:rPr>
            </w:pPr>
            <w:r w:rsidRPr="00702882">
              <w:rPr>
                <w:sz w:val="20"/>
                <w:szCs w:val="20"/>
              </w:rPr>
              <w:t>2018</w:t>
            </w:r>
          </w:p>
        </w:tc>
        <w:tc>
          <w:tcPr>
            <w:tcW w:w="2520" w:type="dxa"/>
            <w:shd w:val="clear" w:color="auto" w:fill="auto"/>
          </w:tcPr>
          <w:p w14:paraId="0D84C109" w14:textId="77777777" w:rsidR="00AF6702" w:rsidRPr="00702882" w:rsidRDefault="00AF6702" w:rsidP="004D3BED">
            <w:pPr>
              <w:rPr>
                <w:sz w:val="20"/>
                <w:szCs w:val="20"/>
              </w:rPr>
            </w:pPr>
            <w:r w:rsidRPr="00702882">
              <w:rPr>
                <w:sz w:val="20"/>
                <w:szCs w:val="20"/>
              </w:rPr>
              <w:t>Budget Stabilization Reserve Fund (1985)</w:t>
            </w:r>
          </w:p>
          <w:p w14:paraId="38EE2A45" w14:textId="77777777" w:rsidR="00AF6702" w:rsidRPr="00702882" w:rsidRDefault="00AF6702" w:rsidP="004D3BED">
            <w:pPr>
              <w:rPr>
                <w:sz w:val="20"/>
                <w:szCs w:val="20"/>
              </w:rPr>
            </w:pPr>
          </w:p>
        </w:tc>
        <w:tc>
          <w:tcPr>
            <w:tcW w:w="1467" w:type="dxa"/>
            <w:shd w:val="clear" w:color="auto" w:fill="auto"/>
          </w:tcPr>
          <w:p w14:paraId="23D87528" w14:textId="77777777" w:rsidR="00AF6702" w:rsidRPr="00702882" w:rsidRDefault="00AF6702" w:rsidP="004D3BED">
            <w:pPr>
              <w:rPr>
                <w:sz w:val="20"/>
                <w:szCs w:val="20"/>
              </w:rPr>
            </w:pPr>
            <w:r w:rsidRPr="00702882">
              <w:rPr>
                <w:sz w:val="20"/>
                <w:szCs w:val="20"/>
              </w:rPr>
              <w:t xml:space="preserve">Deposit by surplus </w:t>
            </w:r>
          </w:p>
          <w:p w14:paraId="42133C13" w14:textId="77777777" w:rsidR="00AF6702" w:rsidRPr="00702882" w:rsidRDefault="00AF6702" w:rsidP="004D3BED">
            <w:pPr>
              <w:rPr>
                <w:sz w:val="20"/>
                <w:szCs w:val="20"/>
              </w:rPr>
            </w:pPr>
            <w:r w:rsidRPr="00702882">
              <w:rPr>
                <w:sz w:val="20"/>
                <w:szCs w:val="20"/>
              </w:rPr>
              <w:t>(0 → 0.5)</w:t>
            </w:r>
          </w:p>
        </w:tc>
        <w:tc>
          <w:tcPr>
            <w:tcW w:w="5283" w:type="dxa"/>
            <w:shd w:val="clear" w:color="auto" w:fill="auto"/>
          </w:tcPr>
          <w:p w14:paraId="76F475BF" w14:textId="77777777" w:rsidR="00AF6702" w:rsidRPr="00702882" w:rsidRDefault="00AF6702" w:rsidP="004D3BED">
            <w:pPr>
              <w:rPr>
                <w:sz w:val="20"/>
                <w:szCs w:val="20"/>
              </w:rPr>
            </w:pPr>
            <w:r w:rsidRPr="00702882">
              <w:rPr>
                <w:sz w:val="20"/>
                <w:szCs w:val="20"/>
              </w:rPr>
              <w:t>If the Secretary of the Budget certifies that there is a surplus in the General Fund for the 2017-2018 fiscal year, 50% of the surplus shall be deposited by the end of the next succeeding quarter into the Budget Stabilization Reserve Fund.</w:t>
            </w:r>
          </w:p>
          <w:p w14:paraId="1B562038" w14:textId="77777777" w:rsidR="00AF6702" w:rsidRPr="00702882" w:rsidRDefault="00AF6702" w:rsidP="004D3BED">
            <w:pPr>
              <w:rPr>
                <w:sz w:val="20"/>
                <w:szCs w:val="20"/>
              </w:rPr>
            </w:pPr>
          </w:p>
        </w:tc>
        <w:tc>
          <w:tcPr>
            <w:tcW w:w="2790" w:type="dxa"/>
            <w:shd w:val="clear" w:color="auto" w:fill="auto"/>
          </w:tcPr>
          <w:p w14:paraId="521EB353" w14:textId="77777777" w:rsidR="00AF6702" w:rsidRPr="00702882" w:rsidRDefault="00AF6702" w:rsidP="004D3BED">
            <w:pPr>
              <w:rPr>
                <w:sz w:val="20"/>
                <w:szCs w:val="20"/>
              </w:rPr>
            </w:pPr>
            <w:r w:rsidRPr="00702882">
              <w:rPr>
                <w:sz w:val="20"/>
                <w:szCs w:val="20"/>
              </w:rPr>
              <w:t xml:space="preserve">Act of Jun. 22, 2018, P.L. 281, No. 42, Session of 2018. </w:t>
            </w:r>
          </w:p>
        </w:tc>
      </w:tr>
      <w:tr w:rsidR="00850754" w:rsidRPr="00702882" w14:paraId="45F5F374" w14:textId="77777777" w:rsidTr="00AE6820">
        <w:trPr>
          <w:jc w:val="center"/>
        </w:trPr>
        <w:tc>
          <w:tcPr>
            <w:tcW w:w="1615" w:type="dxa"/>
            <w:vMerge/>
            <w:shd w:val="clear" w:color="auto" w:fill="auto"/>
          </w:tcPr>
          <w:p w14:paraId="64D61951" w14:textId="77777777" w:rsidR="00AF6702" w:rsidRPr="00702882" w:rsidRDefault="00AF6702" w:rsidP="004D3BED">
            <w:pPr>
              <w:rPr>
                <w:sz w:val="20"/>
                <w:szCs w:val="20"/>
              </w:rPr>
            </w:pPr>
          </w:p>
        </w:tc>
        <w:tc>
          <w:tcPr>
            <w:tcW w:w="630" w:type="dxa"/>
            <w:shd w:val="clear" w:color="auto" w:fill="auto"/>
          </w:tcPr>
          <w:p w14:paraId="0496169D" w14:textId="77777777" w:rsidR="00AF6702" w:rsidRPr="00702882" w:rsidRDefault="00AF6702" w:rsidP="004D3BED">
            <w:pPr>
              <w:rPr>
                <w:rFonts w:eastAsiaTheme="minorEastAsia"/>
                <w:sz w:val="20"/>
                <w:szCs w:val="20"/>
              </w:rPr>
            </w:pPr>
            <w:r w:rsidRPr="00702882">
              <w:rPr>
                <w:rFonts w:eastAsiaTheme="minorEastAsia"/>
                <w:sz w:val="20"/>
                <w:szCs w:val="20"/>
              </w:rPr>
              <w:t>2019</w:t>
            </w:r>
          </w:p>
        </w:tc>
        <w:tc>
          <w:tcPr>
            <w:tcW w:w="2520" w:type="dxa"/>
            <w:shd w:val="clear" w:color="auto" w:fill="auto"/>
          </w:tcPr>
          <w:p w14:paraId="0CEE44E1" w14:textId="77777777" w:rsidR="00AF6702" w:rsidRPr="00702882" w:rsidRDefault="00AF6702" w:rsidP="004D3BED">
            <w:pPr>
              <w:rPr>
                <w:sz w:val="20"/>
                <w:szCs w:val="20"/>
              </w:rPr>
            </w:pPr>
            <w:r w:rsidRPr="00702882">
              <w:rPr>
                <w:sz w:val="20"/>
                <w:szCs w:val="20"/>
              </w:rPr>
              <w:t>Budget Stabilization Reserve Fund (1985)</w:t>
            </w:r>
          </w:p>
          <w:p w14:paraId="2BD515ED" w14:textId="77777777" w:rsidR="00AF6702" w:rsidRPr="00702882" w:rsidRDefault="00AF6702" w:rsidP="004D3BED">
            <w:pPr>
              <w:rPr>
                <w:rFonts w:eastAsiaTheme="minorEastAsia"/>
                <w:sz w:val="20"/>
                <w:szCs w:val="20"/>
              </w:rPr>
            </w:pPr>
          </w:p>
          <w:p w14:paraId="28B6E2B1" w14:textId="77777777" w:rsidR="00AF6702" w:rsidRPr="00702882" w:rsidRDefault="00AF6702" w:rsidP="004D3BED">
            <w:pPr>
              <w:rPr>
                <w:rFonts w:eastAsiaTheme="minorEastAsia"/>
                <w:sz w:val="20"/>
                <w:szCs w:val="20"/>
              </w:rPr>
            </w:pPr>
          </w:p>
        </w:tc>
        <w:tc>
          <w:tcPr>
            <w:tcW w:w="1467" w:type="dxa"/>
            <w:shd w:val="clear" w:color="auto" w:fill="auto"/>
          </w:tcPr>
          <w:p w14:paraId="0B235F9E" w14:textId="77777777" w:rsidR="00AF6702" w:rsidRPr="00702882" w:rsidRDefault="00AF6702" w:rsidP="004D3BED">
            <w:pPr>
              <w:rPr>
                <w:sz w:val="20"/>
                <w:szCs w:val="20"/>
              </w:rPr>
            </w:pPr>
            <w:r w:rsidRPr="00702882">
              <w:rPr>
                <w:sz w:val="20"/>
                <w:szCs w:val="20"/>
              </w:rPr>
              <w:t xml:space="preserve">Deposit by surplus </w:t>
            </w:r>
          </w:p>
          <w:p w14:paraId="6717F687" w14:textId="77777777" w:rsidR="00AF6702" w:rsidRPr="00702882" w:rsidRDefault="00AF6702" w:rsidP="004D3BED">
            <w:pPr>
              <w:rPr>
                <w:sz w:val="20"/>
                <w:szCs w:val="20"/>
              </w:rPr>
            </w:pPr>
            <w:r w:rsidRPr="00702882">
              <w:rPr>
                <w:sz w:val="20"/>
                <w:szCs w:val="20"/>
              </w:rPr>
              <w:t>(0.5 → 1)</w:t>
            </w:r>
          </w:p>
        </w:tc>
        <w:tc>
          <w:tcPr>
            <w:tcW w:w="5283" w:type="dxa"/>
            <w:shd w:val="clear" w:color="auto" w:fill="auto"/>
          </w:tcPr>
          <w:p w14:paraId="1D5999D9" w14:textId="77777777" w:rsidR="00AF6702" w:rsidRPr="00702882" w:rsidRDefault="00AF6702" w:rsidP="004D3BED">
            <w:pPr>
              <w:rPr>
                <w:sz w:val="20"/>
                <w:szCs w:val="20"/>
              </w:rPr>
            </w:pPr>
            <w:r w:rsidRPr="00702882">
              <w:rPr>
                <w:sz w:val="20"/>
                <w:szCs w:val="20"/>
              </w:rPr>
              <w:t>Act 20 of 2019 provided for a transfer of an amount equal to 100 percent for the fiscal year ending June 30, 2019. Act 20 of 2019 transferred one hundred percent of the 2018-19 General Fund surplus; the amount transferred was $317 million.</w:t>
            </w:r>
          </w:p>
          <w:p w14:paraId="116FD687" w14:textId="77777777" w:rsidR="00AF6702" w:rsidRPr="00702882" w:rsidRDefault="00AF6702" w:rsidP="004D3BED">
            <w:pPr>
              <w:rPr>
                <w:sz w:val="20"/>
                <w:szCs w:val="20"/>
              </w:rPr>
            </w:pPr>
          </w:p>
        </w:tc>
        <w:tc>
          <w:tcPr>
            <w:tcW w:w="2790" w:type="dxa"/>
            <w:shd w:val="clear" w:color="auto" w:fill="auto"/>
          </w:tcPr>
          <w:p w14:paraId="0A85B178" w14:textId="77777777" w:rsidR="00AF6702" w:rsidRPr="00702882" w:rsidRDefault="00AF6702" w:rsidP="004D3BED">
            <w:pPr>
              <w:rPr>
                <w:rFonts w:eastAsiaTheme="minorEastAsia"/>
                <w:sz w:val="20"/>
                <w:szCs w:val="20"/>
              </w:rPr>
            </w:pPr>
            <w:r w:rsidRPr="00702882">
              <w:rPr>
                <w:rFonts w:eastAsiaTheme="minorEastAsia"/>
                <w:sz w:val="20"/>
                <w:szCs w:val="20"/>
              </w:rPr>
              <w:t xml:space="preserve">Act of Jun. 28, 2019, P.L. 173, No. 20. </w:t>
            </w:r>
          </w:p>
        </w:tc>
      </w:tr>
      <w:tr w:rsidR="00850754" w:rsidRPr="00702882" w14:paraId="2CA2CE39" w14:textId="77777777" w:rsidTr="00AE6820">
        <w:trPr>
          <w:jc w:val="center"/>
        </w:trPr>
        <w:tc>
          <w:tcPr>
            <w:tcW w:w="1615" w:type="dxa"/>
            <w:vMerge w:val="restart"/>
            <w:shd w:val="clear" w:color="auto" w:fill="auto"/>
          </w:tcPr>
          <w:p w14:paraId="07897F16" w14:textId="77777777" w:rsidR="00AF6702" w:rsidRPr="00702882" w:rsidRDefault="00AF6702" w:rsidP="004D3BED">
            <w:pPr>
              <w:rPr>
                <w:sz w:val="20"/>
                <w:szCs w:val="20"/>
              </w:rPr>
            </w:pPr>
            <w:r w:rsidRPr="00702882">
              <w:rPr>
                <w:sz w:val="20"/>
                <w:szCs w:val="20"/>
              </w:rPr>
              <w:t xml:space="preserve">Rhode Island  </w:t>
            </w:r>
          </w:p>
        </w:tc>
        <w:tc>
          <w:tcPr>
            <w:tcW w:w="630" w:type="dxa"/>
            <w:shd w:val="clear" w:color="auto" w:fill="auto"/>
          </w:tcPr>
          <w:p w14:paraId="40DD2F95" w14:textId="77777777" w:rsidR="00AF6702" w:rsidRPr="00702882" w:rsidRDefault="00AF6702" w:rsidP="004D3BED">
            <w:pPr>
              <w:rPr>
                <w:sz w:val="20"/>
                <w:szCs w:val="20"/>
              </w:rPr>
            </w:pPr>
            <w:r w:rsidRPr="00702882">
              <w:rPr>
                <w:sz w:val="20"/>
                <w:szCs w:val="20"/>
              </w:rPr>
              <w:t>2009</w:t>
            </w:r>
          </w:p>
        </w:tc>
        <w:tc>
          <w:tcPr>
            <w:tcW w:w="2520" w:type="dxa"/>
            <w:shd w:val="clear" w:color="auto" w:fill="auto"/>
          </w:tcPr>
          <w:p w14:paraId="007730A3" w14:textId="77777777" w:rsidR="00AF6702" w:rsidRPr="00702882" w:rsidRDefault="00AF6702" w:rsidP="004D3BED">
            <w:pPr>
              <w:rPr>
                <w:sz w:val="20"/>
                <w:szCs w:val="20"/>
              </w:rPr>
            </w:pPr>
            <w:r w:rsidRPr="00702882">
              <w:rPr>
                <w:sz w:val="20"/>
                <w:szCs w:val="20"/>
              </w:rPr>
              <w:t>State budget reserve and cash stabilization account (1985)</w:t>
            </w:r>
          </w:p>
          <w:p w14:paraId="779197F5" w14:textId="77777777" w:rsidR="00AF6702" w:rsidRPr="00702882" w:rsidRDefault="00AF6702" w:rsidP="004D3BED">
            <w:pPr>
              <w:rPr>
                <w:sz w:val="20"/>
                <w:szCs w:val="20"/>
              </w:rPr>
            </w:pPr>
          </w:p>
        </w:tc>
        <w:tc>
          <w:tcPr>
            <w:tcW w:w="1467" w:type="dxa"/>
            <w:shd w:val="clear" w:color="auto" w:fill="auto"/>
          </w:tcPr>
          <w:p w14:paraId="277F7B6E" w14:textId="77777777" w:rsidR="00AF6702" w:rsidRPr="00702882" w:rsidRDefault="00AF6702" w:rsidP="004D3BED">
            <w:pPr>
              <w:rPr>
                <w:sz w:val="20"/>
                <w:szCs w:val="20"/>
              </w:rPr>
            </w:pPr>
            <w:r w:rsidRPr="00702882">
              <w:rPr>
                <w:sz w:val="20"/>
                <w:szCs w:val="20"/>
              </w:rPr>
              <w:t xml:space="preserve">Cap </w:t>
            </w:r>
          </w:p>
          <w:p w14:paraId="60AEFFDA" w14:textId="77777777" w:rsidR="00AF6702" w:rsidRPr="00702882" w:rsidRDefault="00AF6702" w:rsidP="004D3BED">
            <w:pPr>
              <w:rPr>
                <w:sz w:val="20"/>
                <w:szCs w:val="20"/>
              </w:rPr>
            </w:pPr>
            <w:r w:rsidRPr="00702882">
              <w:rPr>
                <w:sz w:val="20"/>
                <w:szCs w:val="20"/>
              </w:rPr>
              <w:t>(3.4 → 5)</w:t>
            </w:r>
          </w:p>
        </w:tc>
        <w:tc>
          <w:tcPr>
            <w:tcW w:w="5283" w:type="dxa"/>
            <w:shd w:val="clear" w:color="auto" w:fill="auto"/>
          </w:tcPr>
          <w:p w14:paraId="349A46AE" w14:textId="77777777" w:rsidR="00AF6702" w:rsidRPr="00702882" w:rsidRDefault="00AF6702" w:rsidP="004D3BED">
            <w:pPr>
              <w:rPr>
                <w:sz w:val="20"/>
                <w:szCs w:val="20"/>
              </w:rPr>
            </w:pPr>
            <w:r w:rsidRPr="00702882">
              <w:rPr>
                <w:sz w:val="20"/>
                <w:szCs w:val="20"/>
              </w:rPr>
              <w:t xml:space="preserve">Cap had increased marginally from 3.4 % in 2009 to 5% in 2013. </w:t>
            </w:r>
          </w:p>
        </w:tc>
        <w:tc>
          <w:tcPr>
            <w:tcW w:w="2790" w:type="dxa"/>
            <w:shd w:val="clear" w:color="auto" w:fill="auto"/>
          </w:tcPr>
          <w:p w14:paraId="1D965E0D" w14:textId="77777777" w:rsidR="00AF6702" w:rsidRPr="00702882" w:rsidRDefault="00AF6702" w:rsidP="004D3BED">
            <w:pPr>
              <w:tabs>
                <w:tab w:val="left" w:pos="468"/>
              </w:tabs>
              <w:rPr>
                <w:sz w:val="20"/>
                <w:szCs w:val="20"/>
              </w:rPr>
            </w:pPr>
            <w:r w:rsidRPr="00702882">
              <w:rPr>
                <w:sz w:val="20"/>
                <w:szCs w:val="20"/>
              </w:rPr>
              <w:t>R.I. Gen. Laws § 35-3-20</w:t>
            </w:r>
          </w:p>
        </w:tc>
      </w:tr>
      <w:tr w:rsidR="00850754" w:rsidRPr="00702882" w14:paraId="3FBB9127" w14:textId="77777777" w:rsidTr="00AE6820">
        <w:trPr>
          <w:jc w:val="center"/>
        </w:trPr>
        <w:tc>
          <w:tcPr>
            <w:tcW w:w="1615" w:type="dxa"/>
            <w:vMerge/>
            <w:shd w:val="clear" w:color="auto" w:fill="auto"/>
          </w:tcPr>
          <w:p w14:paraId="7CCE2EB4" w14:textId="77777777" w:rsidR="00AF6702" w:rsidRPr="00702882" w:rsidRDefault="00AF6702" w:rsidP="004D3BED">
            <w:pPr>
              <w:rPr>
                <w:sz w:val="20"/>
                <w:szCs w:val="20"/>
              </w:rPr>
            </w:pPr>
          </w:p>
        </w:tc>
        <w:tc>
          <w:tcPr>
            <w:tcW w:w="630" w:type="dxa"/>
            <w:shd w:val="clear" w:color="auto" w:fill="auto"/>
          </w:tcPr>
          <w:p w14:paraId="0CE2B2F8" w14:textId="77777777" w:rsidR="00AF6702" w:rsidRPr="00702882" w:rsidRDefault="00AF6702" w:rsidP="004D3BED">
            <w:pPr>
              <w:rPr>
                <w:sz w:val="20"/>
                <w:szCs w:val="20"/>
              </w:rPr>
            </w:pPr>
            <w:r w:rsidRPr="00702882">
              <w:rPr>
                <w:sz w:val="20"/>
                <w:szCs w:val="20"/>
              </w:rPr>
              <w:t>2010</w:t>
            </w:r>
          </w:p>
        </w:tc>
        <w:tc>
          <w:tcPr>
            <w:tcW w:w="2520" w:type="dxa"/>
            <w:shd w:val="clear" w:color="auto" w:fill="auto"/>
          </w:tcPr>
          <w:p w14:paraId="6FF88611" w14:textId="77777777" w:rsidR="00AF6702" w:rsidRPr="00702882" w:rsidRDefault="00AF6702" w:rsidP="004D3BED">
            <w:pPr>
              <w:rPr>
                <w:sz w:val="20"/>
                <w:szCs w:val="20"/>
              </w:rPr>
            </w:pPr>
            <w:r w:rsidRPr="00702882">
              <w:rPr>
                <w:sz w:val="20"/>
                <w:szCs w:val="20"/>
              </w:rPr>
              <w:t>State budget reserve and cash stabilization account (1985)</w:t>
            </w:r>
          </w:p>
          <w:p w14:paraId="2C3C404D" w14:textId="77777777" w:rsidR="00AF6702" w:rsidRPr="00702882" w:rsidRDefault="00AF6702" w:rsidP="004D3BED">
            <w:pPr>
              <w:rPr>
                <w:sz w:val="20"/>
                <w:szCs w:val="20"/>
              </w:rPr>
            </w:pPr>
          </w:p>
        </w:tc>
        <w:tc>
          <w:tcPr>
            <w:tcW w:w="1467" w:type="dxa"/>
            <w:shd w:val="clear" w:color="auto" w:fill="auto"/>
          </w:tcPr>
          <w:p w14:paraId="1E7B82D8" w14:textId="77777777" w:rsidR="00AF6702" w:rsidRPr="00702882" w:rsidRDefault="00AF6702" w:rsidP="004D3BED">
            <w:pPr>
              <w:rPr>
                <w:sz w:val="20"/>
                <w:szCs w:val="20"/>
              </w:rPr>
            </w:pPr>
            <w:r w:rsidRPr="00702882">
              <w:rPr>
                <w:sz w:val="20"/>
                <w:szCs w:val="20"/>
              </w:rPr>
              <w:t xml:space="preserve">Repayment </w:t>
            </w:r>
          </w:p>
          <w:p w14:paraId="03576D24" w14:textId="77777777" w:rsidR="00AF6702" w:rsidRPr="00702882" w:rsidRDefault="00AF6702" w:rsidP="004D3BED">
            <w:pPr>
              <w:rPr>
                <w:sz w:val="20"/>
                <w:szCs w:val="20"/>
              </w:rPr>
            </w:pPr>
            <w:r w:rsidRPr="00702882">
              <w:rPr>
                <w:sz w:val="20"/>
                <w:szCs w:val="20"/>
              </w:rPr>
              <w:t>(4 → 0)</w:t>
            </w:r>
          </w:p>
        </w:tc>
        <w:tc>
          <w:tcPr>
            <w:tcW w:w="5283" w:type="dxa"/>
            <w:shd w:val="clear" w:color="auto" w:fill="auto"/>
          </w:tcPr>
          <w:p w14:paraId="4C02BB4B" w14:textId="77777777" w:rsidR="00AF6702" w:rsidRPr="00702882" w:rsidRDefault="00AF6702" w:rsidP="004D3BED">
            <w:pPr>
              <w:rPr>
                <w:sz w:val="20"/>
                <w:szCs w:val="20"/>
              </w:rPr>
            </w:pPr>
            <w:r w:rsidRPr="00702882">
              <w:rPr>
                <w:sz w:val="20"/>
                <w:szCs w:val="20"/>
              </w:rPr>
              <w:t>The amount of the transfer (from</w:t>
            </w:r>
            <w:r w:rsidRPr="00702882">
              <w:t xml:space="preserve"> </w:t>
            </w:r>
            <w:r w:rsidRPr="00702882">
              <w:rPr>
                <w:sz w:val="20"/>
                <w:szCs w:val="20"/>
              </w:rPr>
              <w:t>Budget Reserve and Cash Stabilization Account to General Fund) shall be transferred to the Rhode Island Capital Plan fund from funds payable into the general revenue fund in the fiscal year following the fiscal year in which the transfer was made, except</w:t>
            </w:r>
            <w:r w:rsidRPr="00702882">
              <w:rPr>
                <w:i/>
                <w:iCs/>
                <w:sz w:val="20"/>
                <w:szCs w:val="20"/>
              </w:rPr>
              <w:t xml:space="preserve"> </w:t>
            </w:r>
            <w:r w:rsidRPr="00702882">
              <w:rPr>
                <w:sz w:val="20"/>
                <w:szCs w:val="20"/>
              </w:rPr>
              <w:t>that in fiscal year 2010.</w:t>
            </w:r>
          </w:p>
        </w:tc>
        <w:tc>
          <w:tcPr>
            <w:tcW w:w="2790" w:type="dxa"/>
            <w:shd w:val="clear" w:color="auto" w:fill="auto"/>
          </w:tcPr>
          <w:p w14:paraId="1FD81573" w14:textId="77777777" w:rsidR="00AF6702" w:rsidRPr="00702882" w:rsidRDefault="00AF6702" w:rsidP="004D3BED">
            <w:pPr>
              <w:rPr>
                <w:sz w:val="20"/>
                <w:szCs w:val="20"/>
              </w:rPr>
            </w:pPr>
            <w:r w:rsidRPr="00702882">
              <w:rPr>
                <w:sz w:val="20"/>
                <w:szCs w:val="20"/>
              </w:rPr>
              <w:t>R.I. Gen. Laws § 35-3-20</w:t>
            </w:r>
          </w:p>
        </w:tc>
      </w:tr>
      <w:tr w:rsidR="00850754" w:rsidRPr="00702882" w14:paraId="3532F21F" w14:textId="77777777" w:rsidTr="00AE6820">
        <w:trPr>
          <w:jc w:val="center"/>
        </w:trPr>
        <w:tc>
          <w:tcPr>
            <w:tcW w:w="1615" w:type="dxa"/>
            <w:vMerge/>
            <w:shd w:val="clear" w:color="auto" w:fill="auto"/>
          </w:tcPr>
          <w:p w14:paraId="19BC5DBC" w14:textId="77777777" w:rsidR="00AF6702" w:rsidRPr="00702882" w:rsidRDefault="00AF6702" w:rsidP="004D3BED">
            <w:pPr>
              <w:rPr>
                <w:sz w:val="20"/>
                <w:szCs w:val="20"/>
              </w:rPr>
            </w:pPr>
          </w:p>
        </w:tc>
        <w:tc>
          <w:tcPr>
            <w:tcW w:w="630" w:type="dxa"/>
            <w:shd w:val="clear" w:color="auto" w:fill="auto"/>
          </w:tcPr>
          <w:p w14:paraId="6A64C398" w14:textId="77777777" w:rsidR="00AF6702" w:rsidRPr="00702882" w:rsidRDefault="00AF6702" w:rsidP="004D3BED">
            <w:pPr>
              <w:rPr>
                <w:sz w:val="20"/>
                <w:szCs w:val="20"/>
              </w:rPr>
            </w:pPr>
            <w:r w:rsidRPr="00702882">
              <w:rPr>
                <w:sz w:val="20"/>
                <w:szCs w:val="20"/>
              </w:rPr>
              <w:t>2011</w:t>
            </w:r>
          </w:p>
        </w:tc>
        <w:tc>
          <w:tcPr>
            <w:tcW w:w="2520" w:type="dxa"/>
            <w:shd w:val="clear" w:color="auto" w:fill="auto"/>
          </w:tcPr>
          <w:p w14:paraId="36B0974E" w14:textId="77777777" w:rsidR="00AF6702" w:rsidRPr="00702882" w:rsidRDefault="00AF6702" w:rsidP="004D3BED">
            <w:pPr>
              <w:rPr>
                <w:sz w:val="20"/>
                <w:szCs w:val="20"/>
              </w:rPr>
            </w:pPr>
            <w:r w:rsidRPr="00702882">
              <w:rPr>
                <w:sz w:val="20"/>
                <w:szCs w:val="20"/>
              </w:rPr>
              <w:t>State budget reserve and cash stabilization account (1985)</w:t>
            </w:r>
          </w:p>
        </w:tc>
        <w:tc>
          <w:tcPr>
            <w:tcW w:w="1467" w:type="dxa"/>
            <w:shd w:val="clear" w:color="auto" w:fill="auto"/>
          </w:tcPr>
          <w:p w14:paraId="2FA95332" w14:textId="77777777" w:rsidR="00AF6702" w:rsidRPr="00702882" w:rsidRDefault="00AF6702" w:rsidP="004D3BED">
            <w:pPr>
              <w:rPr>
                <w:sz w:val="20"/>
                <w:szCs w:val="20"/>
              </w:rPr>
            </w:pPr>
            <w:r w:rsidRPr="00702882">
              <w:rPr>
                <w:sz w:val="20"/>
                <w:szCs w:val="20"/>
              </w:rPr>
              <w:t xml:space="preserve">Repayment </w:t>
            </w:r>
          </w:p>
          <w:p w14:paraId="0DE96010" w14:textId="77777777" w:rsidR="00AF6702" w:rsidRPr="00702882" w:rsidRDefault="00AF6702" w:rsidP="004D3BED">
            <w:pPr>
              <w:rPr>
                <w:sz w:val="20"/>
                <w:szCs w:val="20"/>
              </w:rPr>
            </w:pPr>
            <w:r w:rsidRPr="00702882">
              <w:rPr>
                <w:sz w:val="20"/>
                <w:szCs w:val="20"/>
              </w:rPr>
              <w:t>(0 → 4)</w:t>
            </w:r>
          </w:p>
        </w:tc>
        <w:tc>
          <w:tcPr>
            <w:tcW w:w="5283" w:type="dxa"/>
            <w:shd w:val="clear" w:color="auto" w:fill="auto"/>
          </w:tcPr>
          <w:p w14:paraId="4D16F072" w14:textId="77777777" w:rsidR="00AF6702" w:rsidRPr="00702882" w:rsidRDefault="00AF6702" w:rsidP="004D3BED">
            <w:pPr>
              <w:rPr>
                <w:sz w:val="20"/>
                <w:szCs w:val="20"/>
              </w:rPr>
            </w:pPr>
            <w:r w:rsidRPr="00702882">
              <w:rPr>
                <w:sz w:val="20"/>
                <w:szCs w:val="20"/>
              </w:rPr>
              <w:t>There shall be no repayment of the amount transferred in fiscal year 2010, and the repayment shall be made in fiscal year 2011.</w:t>
            </w:r>
          </w:p>
          <w:p w14:paraId="04132CD2" w14:textId="77777777" w:rsidR="00AF6702" w:rsidRPr="00702882" w:rsidRDefault="00AF6702" w:rsidP="004D3BED">
            <w:pPr>
              <w:rPr>
                <w:sz w:val="20"/>
                <w:szCs w:val="20"/>
              </w:rPr>
            </w:pPr>
          </w:p>
        </w:tc>
        <w:tc>
          <w:tcPr>
            <w:tcW w:w="2790" w:type="dxa"/>
            <w:shd w:val="clear" w:color="auto" w:fill="auto"/>
          </w:tcPr>
          <w:p w14:paraId="6EAB1AE0" w14:textId="77777777" w:rsidR="00AF6702" w:rsidRPr="00702882" w:rsidRDefault="00AF6702" w:rsidP="004D3BED">
            <w:pPr>
              <w:rPr>
                <w:sz w:val="20"/>
                <w:szCs w:val="20"/>
              </w:rPr>
            </w:pPr>
            <w:r w:rsidRPr="00702882">
              <w:rPr>
                <w:sz w:val="20"/>
                <w:szCs w:val="20"/>
              </w:rPr>
              <w:t>R.I. Gen. Laws § 35-3-20</w:t>
            </w:r>
          </w:p>
        </w:tc>
      </w:tr>
      <w:tr w:rsidR="00850754" w:rsidRPr="00702882" w14:paraId="1CE4C4D7" w14:textId="77777777" w:rsidTr="00AE6820">
        <w:trPr>
          <w:jc w:val="center"/>
        </w:trPr>
        <w:tc>
          <w:tcPr>
            <w:tcW w:w="1615" w:type="dxa"/>
            <w:vMerge w:val="restart"/>
            <w:shd w:val="clear" w:color="auto" w:fill="auto"/>
          </w:tcPr>
          <w:p w14:paraId="7E7F54B7" w14:textId="77777777" w:rsidR="00AF6702" w:rsidRPr="00702882" w:rsidRDefault="00AF6702" w:rsidP="004D3BED">
            <w:pPr>
              <w:rPr>
                <w:sz w:val="20"/>
                <w:szCs w:val="20"/>
              </w:rPr>
            </w:pPr>
            <w:r w:rsidRPr="00702882">
              <w:rPr>
                <w:sz w:val="20"/>
                <w:szCs w:val="20"/>
              </w:rPr>
              <w:t>South Carolina</w:t>
            </w:r>
          </w:p>
        </w:tc>
        <w:tc>
          <w:tcPr>
            <w:tcW w:w="630" w:type="dxa"/>
            <w:vMerge w:val="restart"/>
            <w:shd w:val="clear" w:color="auto" w:fill="auto"/>
          </w:tcPr>
          <w:p w14:paraId="75E1FF4A" w14:textId="77777777" w:rsidR="00AF6702" w:rsidRPr="00702882" w:rsidRDefault="00AF6702" w:rsidP="004D3BED">
            <w:pPr>
              <w:rPr>
                <w:sz w:val="20"/>
                <w:szCs w:val="20"/>
              </w:rPr>
            </w:pPr>
            <w:r w:rsidRPr="00702882">
              <w:rPr>
                <w:sz w:val="20"/>
                <w:szCs w:val="20"/>
              </w:rPr>
              <w:t>2013</w:t>
            </w:r>
          </w:p>
        </w:tc>
        <w:tc>
          <w:tcPr>
            <w:tcW w:w="2520" w:type="dxa"/>
            <w:shd w:val="clear" w:color="auto" w:fill="auto"/>
          </w:tcPr>
          <w:p w14:paraId="7A0BC22D" w14:textId="77777777" w:rsidR="00AF6702" w:rsidRPr="00702882" w:rsidRDefault="00AF6702" w:rsidP="004D3BED">
            <w:pPr>
              <w:rPr>
                <w:sz w:val="20"/>
                <w:szCs w:val="20"/>
              </w:rPr>
            </w:pPr>
            <w:r w:rsidRPr="00702882">
              <w:rPr>
                <w:sz w:val="20"/>
                <w:szCs w:val="20"/>
              </w:rPr>
              <w:t>General Reserve Fund (1977)</w:t>
            </w:r>
          </w:p>
        </w:tc>
        <w:tc>
          <w:tcPr>
            <w:tcW w:w="1467" w:type="dxa"/>
            <w:shd w:val="clear" w:color="auto" w:fill="auto"/>
          </w:tcPr>
          <w:p w14:paraId="302521C6" w14:textId="77777777" w:rsidR="00AF6702" w:rsidRPr="00702882" w:rsidRDefault="00AF6702" w:rsidP="004D3BED">
            <w:pPr>
              <w:rPr>
                <w:sz w:val="20"/>
                <w:szCs w:val="20"/>
              </w:rPr>
            </w:pPr>
            <w:r w:rsidRPr="00702882">
              <w:rPr>
                <w:sz w:val="20"/>
                <w:szCs w:val="20"/>
              </w:rPr>
              <w:t>Deposit tied to volatility</w:t>
            </w:r>
          </w:p>
          <w:p w14:paraId="1B8D7249" w14:textId="77777777" w:rsidR="00AF6702" w:rsidRPr="00702882" w:rsidRDefault="00AF6702" w:rsidP="004D3BED">
            <w:pPr>
              <w:rPr>
                <w:sz w:val="20"/>
                <w:szCs w:val="20"/>
              </w:rPr>
            </w:pPr>
            <w:r w:rsidRPr="00702882">
              <w:rPr>
                <w:sz w:val="20"/>
                <w:szCs w:val="20"/>
              </w:rPr>
              <w:t>(0 → 1)</w:t>
            </w:r>
          </w:p>
        </w:tc>
        <w:tc>
          <w:tcPr>
            <w:tcW w:w="5283" w:type="dxa"/>
            <w:shd w:val="clear" w:color="auto" w:fill="auto"/>
          </w:tcPr>
          <w:p w14:paraId="1C662DB1" w14:textId="77777777" w:rsidR="00AF6702" w:rsidRPr="00702882" w:rsidRDefault="00AF6702" w:rsidP="004D3BED">
            <w:pPr>
              <w:rPr>
                <w:rFonts w:eastAsiaTheme="minorEastAsia"/>
                <w:sz w:val="20"/>
                <w:szCs w:val="20"/>
              </w:rPr>
            </w:pPr>
            <w:r w:rsidRPr="00702882">
              <w:rPr>
                <w:rFonts w:eastAsiaTheme="minorEastAsia"/>
                <w:sz w:val="20"/>
                <w:szCs w:val="20"/>
              </w:rPr>
              <w:t>The General Assembly shall provide for a General Reserve Fund of five percent of the general fund revenue of the latest completed fiscal year.</w:t>
            </w:r>
          </w:p>
        </w:tc>
        <w:tc>
          <w:tcPr>
            <w:tcW w:w="2790" w:type="dxa"/>
            <w:shd w:val="clear" w:color="auto" w:fill="auto"/>
          </w:tcPr>
          <w:p w14:paraId="16F3AA9B" w14:textId="77777777" w:rsidR="00AF6702" w:rsidRPr="00702882" w:rsidRDefault="00AF6702" w:rsidP="004D3BED">
            <w:pPr>
              <w:tabs>
                <w:tab w:val="left" w:pos="468"/>
              </w:tabs>
              <w:rPr>
                <w:sz w:val="20"/>
                <w:szCs w:val="20"/>
              </w:rPr>
            </w:pPr>
            <w:r w:rsidRPr="00702882">
              <w:rPr>
                <w:sz w:val="20"/>
                <w:szCs w:val="20"/>
              </w:rPr>
              <w:t>2012 S.C. Acts 152, 2011 S.C. S.B. 6, 2011 S.C. R. 172 (May 8, 2012)</w:t>
            </w:r>
          </w:p>
        </w:tc>
      </w:tr>
      <w:tr w:rsidR="00850754" w:rsidRPr="00702882" w14:paraId="49F54E99" w14:textId="77777777" w:rsidTr="00AE6820">
        <w:trPr>
          <w:jc w:val="center"/>
        </w:trPr>
        <w:tc>
          <w:tcPr>
            <w:tcW w:w="1615" w:type="dxa"/>
            <w:vMerge/>
            <w:shd w:val="clear" w:color="auto" w:fill="E2EFD9" w:themeFill="accent6" w:themeFillTint="33"/>
          </w:tcPr>
          <w:p w14:paraId="0F603F5B" w14:textId="77777777" w:rsidR="00AF6702" w:rsidRPr="00702882" w:rsidRDefault="00AF6702" w:rsidP="004D3BED">
            <w:pPr>
              <w:rPr>
                <w:sz w:val="20"/>
                <w:szCs w:val="20"/>
              </w:rPr>
            </w:pPr>
          </w:p>
        </w:tc>
        <w:tc>
          <w:tcPr>
            <w:tcW w:w="630" w:type="dxa"/>
            <w:vMerge/>
            <w:shd w:val="clear" w:color="auto" w:fill="E2EFD9" w:themeFill="accent6" w:themeFillTint="33"/>
          </w:tcPr>
          <w:p w14:paraId="7A6B31F7" w14:textId="77777777" w:rsidR="00AF6702" w:rsidRPr="00702882" w:rsidRDefault="00AF6702" w:rsidP="004D3BED">
            <w:pPr>
              <w:rPr>
                <w:sz w:val="20"/>
                <w:szCs w:val="20"/>
              </w:rPr>
            </w:pPr>
          </w:p>
        </w:tc>
        <w:tc>
          <w:tcPr>
            <w:tcW w:w="2520" w:type="dxa"/>
            <w:shd w:val="clear" w:color="auto" w:fill="auto"/>
          </w:tcPr>
          <w:p w14:paraId="7D68BB80" w14:textId="77777777" w:rsidR="00AF6702" w:rsidRPr="00702882" w:rsidRDefault="00AF6702" w:rsidP="004D3BED">
            <w:pPr>
              <w:rPr>
                <w:sz w:val="20"/>
                <w:szCs w:val="20"/>
              </w:rPr>
            </w:pPr>
            <w:r w:rsidRPr="00702882">
              <w:rPr>
                <w:sz w:val="20"/>
                <w:szCs w:val="20"/>
              </w:rPr>
              <w:t>General Reserve Fund (1977)</w:t>
            </w:r>
          </w:p>
        </w:tc>
        <w:tc>
          <w:tcPr>
            <w:tcW w:w="1467" w:type="dxa"/>
            <w:shd w:val="clear" w:color="auto" w:fill="auto"/>
          </w:tcPr>
          <w:p w14:paraId="35EE178F" w14:textId="77777777" w:rsidR="00AF6702" w:rsidRPr="00702882" w:rsidRDefault="00AF6702" w:rsidP="004D3BED">
            <w:pPr>
              <w:rPr>
                <w:sz w:val="20"/>
                <w:szCs w:val="20"/>
              </w:rPr>
            </w:pPr>
            <w:r w:rsidRPr="00702882">
              <w:rPr>
                <w:sz w:val="20"/>
                <w:szCs w:val="20"/>
              </w:rPr>
              <w:t>Deposit by legislature</w:t>
            </w:r>
          </w:p>
          <w:p w14:paraId="0A0A9EBF" w14:textId="77777777" w:rsidR="00AF6702" w:rsidRPr="00702882" w:rsidRDefault="00AF6702" w:rsidP="004D3BED">
            <w:pPr>
              <w:rPr>
                <w:sz w:val="20"/>
                <w:szCs w:val="20"/>
              </w:rPr>
            </w:pPr>
            <w:r w:rsidRPr="00702882">
              <w:rPr>
                <w:sz w:val="20"/>
                <w:szCs w:val="20"/>
              </w:rPr>
              <w:t>(0 → 1)</w:t>
            </w:r>
          </w:p>
        </w:tc>
        <w:tc>
          <w:tcPr>
            <w:tcW w:w="5283" w:type="dxa"/>
            <w:shd w:val="clear" w:color="auto" w:fill="auto"/>
          </w:tcPr>
          <w:p w14:paraId="5478B80A" w14:textId="77777777" w:rsidR="00AF6702" w:rsidRPr="00702882" w:rsidRDefault="00AF6702" w:rsidP="004D3BED">
            <w:pPr>
              <w:rPr>
                <w:rFonts w:eastAsiaTheme="minorEastAsia"/>
                <w:sz w:val="20"/>
                <w:szCs w:val="20"/>
              </w:rPr>
            </w:pPr>
            <w:r w:rsidRPr="00702882">
              <w:rPr>
                <w:sz w:val="20"/>
                <w:szCs w:val="20"/>
              </w:rPr>
              <w:t>The General Assembly shall provide for a General Reserve Fund until it reaches 5 % of general fund revenue of the latest completed fiscal year.</w:t>
            </w:r>
          </w:p>
        </w:tc>
        <w:tc>
          <w:tcPr>
            <w:tcW w:w="2790" w:type="dxa"/>
            <w:shd w:val="clear" w:color="auto" w:fill="auto"/>
          </w:tcPr>
          <w:p w14:paraId="36392961" w14:textId="77777777" w:rsidR="00AF6702" w:rsidRPr="00702882" w:rsidRDefault="00AF6702" w:rsidP="004D3BED">
            <w:pPr>
              <w:tabs>
                <w:tab w:val="left" w:pos="468"/>
              </w:tabs>
              <w:rPr>
                <w:sz w:val="20"/>
                <w:szCs w:val="20"/>
              </w:rPr>
            </w:pPr>
            <w:r w:rsidRPr="00702882">
              <w:rPr>
                <w:sz w:val="20"/>
                <w:szCs w:val="20"/>
              </w:rPr>
              <w:t>2012 S.C. Acts 152, 2011 S.C. S.B. 6, 2011 S.C. R. 172 (May 8, 2012)</w:t>
            </w:r>
          </w:p>
        </w:tc>
      </w:tr>
      <w:tr w:rsidR="00850754" w:rsidRPr="00702882" w14:paraId="28A4116A" w14:textId="77777777" w:rsidTr="00AE6820">
        <w:trPr>
          <w:jc w:val="center"/>
        </w:trPr>
        <w:tc>
          <w:tcPr>
            <w:tcW w:w="1615" w:type="dxa"/>
            <w:vMerge/>
            <w:shd w:val="clear" w:color="auto" w:fill="E2EFD9" w:themeFill="accent6" w:themeFillTint="33"/>
          </w:tcPr>
          <w:p w14:paraId="62D50DAF" w14:textId="77777777" w:rsidR="00AF6702" w:rsidRPr="00702882" w:rsidRDefault="00AF6702" w:rsidP="004D3BED">
            <w:pPr>
              <w:rPr>
                <w:sz w:val="20"/>
                <w:szCs w:val="20"/>
              </w:rPr>
            </w:pPr>
          </w:p>
        </w:tc>
        <w:tc>
          <w:tcPr>
            <w:tcW w:w="630" w:type="dxa"/>
            <w:vMerge/>
            <w:shd w:val="clear" w:color="auto" w:fill="E2EFD9" w:themeFill="accent6" w:themeFillTint="33"/>
          </w:tcPr>
          <w:p w14:paraId="227AE511" w14:textId="77777777" w:rsidR="00AF6702" w:rsidRPr="00702882" w:rsidRDefault="00AF6702" w:rsidP="004D3BED">
            <w:pPr>
              <w:rPr>
                <w:sz w:val="20"/>
                <w:szCs w:val="20"/>
              </w:rPr>
            </w:pPr>
          </w:p>
        </w:tc>
        <w:tc>
          <w:tcPr>
            <w:tcW w:w="2520" w:type="dxa"/>
            <w:shd w:val="clear" w:color="auto" w:fill="auto"/>
          </w:tcPr>
          <w:p w14:paraId="5FB285A1" w14:textId="77777777" w:rsidR="00AF6702" w:rsidRPr="00702882" w:rsidRDefault="00AF6702" w:rsidP="004D3BED">
            <w:pPr>
              <w:rPr>
                <w:sz w:val="20"/>
                <w:szCs w:val="20"/>
              </w:rPr>
            </w:pPr>
            <w:r w:rsidRPr="00702882">
              <w:rPr>
                <w:sz w:val="20"/>
                <w:szCs w:val="20"/>
              </w:rPr>
              <w:t>General Reserve Fund (1977)</w:t>
            </w:r>
          </w:p>
        </w:tc>
        <w:tc>
          <w:tcPr>
            <w:tcW w:w="1467" w:type="dxa"/>
            <w:shd w:val="clear" w:color="auto" w:fill="auto"/>
          </w:tcPr>
          <w:p w14:paraId="5EBD6421" w14:textId="77777777" w:rsidR="00AF6702" w:rsidRPr="00702882" w:rsidRDefault="00AF6702" w:rsidP="004D3BED">
            <w:pPr>
              <w:rPr>
                <w:sz w:val="20"/>
                <w:szCs w:val="20"/>
              </w:rPr>
            </w:pPr>
            <w:r w:rsidRPr="00702882">
              <w:rPr>
                <w:sz w:val="20"/>
                <w:szCs w:val="20"/>
              </w:rPr>
              <w:t>Repayment provision</w:t>
            </w:r>
          </w:p>
          <w:p w14:paraId="22B71C62" w14:textId="77777777" w:rsidR="00AF6702" w:rsidRPr="00702882" w:rsidRDefault="00AF6702" w:rsidP="004D3BED">
            <w:pPr>
              <w:rPr>
                <w:sz w:val="20"/>
                <w:szCs w:val="20"/>
              </w:rPr>
            </w:pPr>
            <w:r w:rsidRPr="00702882">
              <w:rPr>
                <w:sz w:val="20"/>
                <w:szCs w:val="20"/>
              </w:rPr>
              <w:t>(3 → 2)</w:t>
            </w:r>
          </w:p>
        </w:tc>
        <w:tc>
          <w:tcPr>
            <w:tcW w:w="5283" w:type="dxa"/>
            <w:shd w:val="clear" w:color="auto" w:fill="auto"/>
          </w:tcPr>
          <w:p w14:paraId="65C89FA2" w14:textId="77777777" w:rsidR="00AF6702" w:rsidRPr="00702882" w:rsidRDefault="00AF6702" w:rsidP="004D3BED">
            <w:pPr>
              <w:rPr>
                <w:sz w:val="20"/>
                <w:szCs w:val="20"/>
              </w:rPr>
            </w:pPr>
            <w:r w:rsidRPr="00702882">
              <w:rPr>
                <w:sz w:val="20"/>
                <w:szCs w:val="20"/>
              </w:rPr>
              <w:t>The amount withdrawn from the reserve fund must be restored to the reserve fund within 5 fiscal years until the 5 %, or the applicable percentage amount required to be transferred to the General Reserve Fund, is again reached and maintained.</w:t>
            </w:r>
          </w:p>
        </w:tc>
        <w:tc>
          <w:tcPr>
            <w:tcW w:w="2790" w:type="dxa"/>
            <w:shd w:val="clear" w:color="auto" w:fill="auto"/>
          </w:tcPr>
          <w:p w14:paraId="5CA1075B" w14:textId="77777777" w:rsidR="00AF6702" w:rsidRPr="00702882" w:rsidRDefault="00AF6702" w:rsidP="004D3BED">
            <w:pPr>
              <w:tabs>
                <w:tab w:val="left" w:pos="468"/>
              </w:tabs>
              <w:rPr>
                <w:sz w:val="20"/>
                <w:szCs w:val="20"/>
              </w:rPr>
            </w:pPr>
            <w:r w:rsidRPr="00702882">
              <w:rPr>
                <w:sz w:val="20"/>
                <w:szCs w:val="20"/>
              </w:rPr>
              <w:t>2012 S.C. Acts 152, 2011 S.C. S.B. 6, 2011 S.C. R. 172 (May 8, 2012)</w:t>
            </w:r>
          </w:p>
        </w:tc>
      </w:tr>
      <w:tr w:rsidR="00850754" w:rsidRPr="00702882" w14:paraId="198AA3C5" w14:textId="77777777" w:rsidTr="00AE6820">
        <w:trPr>
          <w:jc w:val="center"/>
        </w:trPr>
        <w:tc>
          <w:tcPr>
            <w:tcW w:w="1615" w:type="dxa"/>
            <w:vMerge w:val="restart"/>
            <w:shd w:val="clear" w:color="auto" w:fill="auto"/>
          </w:tcPr>
          <w:p w14:paraId="393CE3CE" w14:textId="77777777" w:rsidR="00AF6702" w:rsidRPr="00702882" w:rsidRDefault="00AF6702" w:rsidP="004D3BED">
            <w:pPr>
              <w:rPr>
                <w:sz w:val="20"/>
                <w:szCs w:val="20"/>
              </w:rPr>
            </w:pPr>
            <w:r w:rsidRPr="00702882">
              <w:rPr>
                <w:sz w:val="20"/>
                <w:szCs w:val="20"/>
              </w:rPr>
              <w:lastRenderedPageBreak/>
              <w:t>South Dakota</w:t>
            </w:r>
          </w:p>
        </w:tc>
        <w:tc>
          <w:tcPr>
            <w:tcW w:w="630" w:type="dxa"/>
            <w:vMerge w:val="restart"/>
            <w:shd w:val="clear" w:color="auto" w:fill="auto"/>
          </w:tcPr>
          <w:p w14:paraId="6FFC1692" w14:textId="77777777" w:rsidR="00AF6702" w:rsidRPr="00702882" w:rsidRDefault="00AF6702" w:rsidP="004D3BED">
            <w:pPr>
              <w:rPr>
                <w:sz w:val="20"/>
                <w:szCs w:val="20"/>
              </w:rPr>
            </w:pPr>
            <w:r w:rsidRPr="00702882">
              <w:rPr>
                <w:sz w:val="20"/>
                <w:szCs w:val="20"/>
              </w:rPr>
              <w:t>2002</w:t>
            </w:r>
          </w:p>
        </w:tc>
        <w:tc>
          <w:tcPr>
            <w:tcW w:w="2520" w:type="dxa"/>
            <w:shd w:val="clear" w:color="auto" w:fill="auto"/>
          </w:tcPr>
          <w:p w14:paraId="34FADCD8" w14:textId="77777777" w:rsidR="00AF6702" w:rsidRPr="00702882" w:rsidRDefault="00AF6702" w:rsidP="004D3BED">
            <w:pPr>
              <w:rPr>
                <w:sz w:val="20"/>
                <w:szCs w:val="20"/>
              </w:rPr>
            </w:pPr>
            <w:r w:rsidRPr="00702882">
              <w:rPr>
                <w:sz w:val="20"/>
                <w:szCs w:val="20"/>
              </w:rPr>
              <w:t>General Reserve Fund (1991)</w:t>
            </w:r>
          </w:p>
        </w:tc>
        <w:tc>
          <w:tcPr>
            <w:tcW w:w="1467" w:type="dxa"/>
            <w:shd w:val="clear" w:color="auto" w:fill="auto"/>
          </w:tcPr>
          <w:p w14:paraId="16F72369" w14:textId="77777777" w:rsidR="00AF6702" w:rsidRPr="00702882" w:rsidRDefault="00AF6702" w:rsidP="004D3BED">
            <w:pPr>
              <w:rPr>
                <w:rFonts w:eastAsiaTheme="minorEastAsia"/>
                <w:sz w:val="20"/>
                <w:szCs w:val="20"/>
              </w:rPr>
            </w:pPr>
            <w:r w:rsidRPr="00702882">
              <w:rPr>
                <w:sz w:val="20"/>
                <w:szCs w:val="20"/>
              </w:rPr>
              <w:t>Deposit by executive</w:t>
            </w:r>
          </w:p>
          <w:p w14:paraId="22163DED" w14:textId="77777777" w:rsidR="00AF6702" w:rsidRPr="00702882" w:rsidRDefault="00AF6702" w:rsidP="004D3BED">
            <w:pPr>
              <w:rPr>
                <w:rFonts w:eastAsiaTheme="minorEastAsia"/>
                <w:sz w:val="20"/>
                <w:szCs w:val="20"/>
              </w:rPr>
            </w:pPr>
            <w:r w:rsidRPr="00702882">
              <w:rPr>
                <w:rFonts w:eastAsiaTheme="minorEastAsia"/>
                <w:sz w:val="20"/>
                <w:szCs w:val="20"/>
              </w:rPr>
              <w:t xml:space="preserve">(0 </w:t>
            </w:r>
            <w:r w:rsidRPr="00702882">
              <w:rPr>
                <w:sz w:val="20"/>
                <w:szCs w:val="20"/>
              </w:rPr>
              <w:t>→ 1)</w:t>
            </w:r>
          </w:p>
        </w:tc>
        <w:tc>
          <w:tcPr>
            <w:tcW w:w="5283" w:type="dxa"/>
            <w:shd w:val="clear" w:color="auto" w:fill="auto"/>
          </w:tcPr>
          <w:p w14:paraId="4A526B37" w14:textId="77777777" w:rsidR="00AF6702" w:rsidRPr="00702882" w:rsidRDefault="00AF6702" w:rsidP="004D3BED">
            <w:pPr>
              <w:rPr>
                <w:sz w:val="20"/>
                <w:szCs w:val="20"/>
              </w:rPr>
            </w:pPr>
            <w:r w:rsidRPr="00702882">
              <w:rPr>
                <w:rFonts w:eastAsia="바탕"/>
                <w:sz w:val="20"/>
                <w:szCs w:val="20"/>
              </w:rPr>
              <w:t>On July first of each fiscal year, t</w:t>
            </w:r>
            <w:r w:rsidRPr="00702882">
              <w:rPr>
                <w:sz w:val="20"/>
                <w:szCs w:val="20"/>
              </w:rPr>
              <w:t>he commissioner of the Bureau of Finance and Management shall transfer all prior year unobligated cash into the budget reserve fund.</w:t>
            </w:r>
          </w:p>
        </w:tc>
        <w:tc>
          <w:tcPr>
            <w:tcW w:w="2790" w:type="dxa"/>
            <w:shd w:val="clear" w:color="auto" w:fill="auto"/>
          </w:tcPr>
          <w:p w14:paraId="56E7E6B5" w14:textId="77777777" w:rsidR="00AF6702" w:rsidRPr="00702882" w:rsidRDefault="00AF6702" w:rsidP="004D3BED">
            <w:pPr>
              <w:tabs>
                <w:tab w:val="left" w:pos="468"/>
              </w:tabs>
              <w:rPr>
                <w:sz w:val="20"/>
                <w:szCs w:val="20"/>
              </w:rPr>
            </w:pPr>
            <w:r w:rsidRPr="00702882">
              <w:rPr>
                <w:sz w:val="20"/>
                <w:szCs w:val="20"/>
              </w:rPr>
              <w:t>2002 S.D. ALS 27, 2002 S.D. Laws 27, 2002 S.D. CH 27, 2002 S.D. HB 1195 (February 27, 2002).</w:t>
            </w:r>
          </w:p>
        </w:tc>
      </w:tr>
      <w:tr w:rsidR="00850754" w:rsidRPr="00702882" w14:paraId="6B887BCC" w14:textId="77777777" w:rsidTr="00AE6820">
        <w:trPr>
          <w:jc w:val="center"/>
        </w:trPr>
        <w:tc>
          <w:tcPr>
            <w:tcW w:w="1615" w:type="dxa"/>
            <w:vMerge/>
            <w:shd w:val="clear" w:color="auto" w:fill="E2EFD9" w:themeFill="accent6" w:themeFillTint="33"/>
          </w:tcPr>
          <w:p w14:paraId="76B97343" w14:textId="77777777" w:rsidR="00AF6702" w:rsidRPr="00702882" w:rsidRDefault="00AF6702" w:rsidP="004D3BED">
            <w:pPr>
              <w:rPr>
                <w:sz w:val="20"/>
                <w:szCs w:val="20"/>
              </w:rPr>
            </w:pPr>
          </w:p>
        </w:tc>
        <w:tc>
          <w:tcPr>
            <w:tcW w:w="630" w:type="dxa"/>
            <w:vMerge/>
            <w:shd w:val="clear" w:color="auto" w:fill="E2EFD9" w:themeFill="accent6" w:themeFillTint="33"/>
          </w:tcPr>
          <w:p w14:paraId="4387C21B" w14:textId="77777777" w:rsidR="00AF6702" w:rsidRPr="00702882" w:rsidRDefault="00AF6702" w:rsidP="004D3BED">
            <w:pPr>
              <w:rPr>
                <w:sz w:val="20"/>
                <w:szCs w:val="20"/>
              </w:rPr>
            </w:pPr>
          </w:p>
        </w:tc>
        <w:tc>
          <w:tcPr>
            <w:tcW w:w="2520" w:type="dxa"/>
            <w:shd w:val="clear" w:color="auto" w:fill="auto"/>
          </w:tcPr>
          <w:p w14:paraId="4A2E6DE2" w14:textId="77777777" w:rsidR="00AF6702" w:rsidRPr="00702882" w:rsidRDefault="00AF6702" w:rsidP="004D3BED">
            <w:pPr>
              <w:rPr>
                <w:sz w:val="20"/>
                <w:szCs w:val="20"/>
              </w:rPr>
            </w:pPr>
            <w:r w:rsidRPr="00702882">
              <w:rPr>
                <w:sz w:val="20"/>
                <w:szCs w:val="20"/>
              </w:rPr>
              <w:t>General Reserve Fund (1991)</w:t>
            </w:r>
          </w:p>
        </w:tc>
        <w:tc>
          <w:tcPr>
            <w:tcW w:w="1467" w:type="dxa"/>
            <w:shd w:val="clear" w:color="auto" w:fill="auto"/>
          </w:tcPr>
          <w:p w14:paraId="723A5C67" w14:textId="77777777" w:rsidR="00AF6702" w:rsidRPr="00702882" w:rsidRDefault="00AF6702" w:rsidP="004D3BED">
            <w:pPr>
              <w:rPr>
                <w:sz w:val="20"/>
                <w:szCs w:val="20"/>
              </w:rPr>
            </w:pPr>
            <w:r w:rsidRPr="00702882">
              <w:rPr>
                <w:sz w:val="20"/>
                <w:szCs w:val="20"/>
              </w:rPr>
              <w:t xml:space="preserve">Cap </w:t>
            </w:r>
          </w:p>
          <w:p w14:paraId="43F7CB70"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10</w:t>
            </w:r>
            <w:r w:rsidRPr="00702882">
              <w:rPr>
                <w:sz w:val="20"/>
                <w:szCs w:val="20"/>
              </w:rPr>
              <w:t>)</w:t>
            </w:r>
          </w:p>
        </w:tc>
        <w:tc>
          <w:tcPr>
            <w:tcW w:w="5283" w:type="dxa"/>
            <w:shd w:val="clear" w:color="auto" w:fill="auto"/>
          </w:tcPr>
          <w:p w14:paraId="14445072" w14:textId="77777777" w:rsidR="00AF6702" w:rsidRPr="00702882" w:rsidRDefault="00AF6702" w:rsidP="004D3BED">
            <w:pPr>
              <w:rPr>
                <w:rFonts w:eastAsia="바탕"/>
                <w:sz w:val="20"/>
                <w:szCs w:val="20"/>
              </w:rPr>
            </w:pPr>
            <w:r w:rsidRPr="00702882">
              <w:rPr>
                <w:sz w:val="20"/>
                <w:szCs w:val="20"/>
              </w:rPr>
              <w:t>All unobligated cash up to an amount equal to 10 % of the general fund appropriations is transferred into the reserve fund.</w:t>
            </w:r>
          </w:p>
        </w:tc>
        <w:tc>
          <w:tcPr>
            <w:tcW w:w="2790" w:type="dxa"/>
            <w:shd w:val="clear" w:color="auto" w:fill="auto"/>
          </w:tcPr>
          <w:p w14:paraId="1BCEE734" w14:textId="77777777" w:rsidR="00AF6702" w:rsidRPr="00702882" w:rsidRDefault="00AF6702" w:rsidP="004D3BED">
            <w:pPr>
              <w:tabs>
                <w:tab w:val="left" w:pos="468"/>
              </w:tabs>
              <w:rPr>
                <w:sz w:val="20"/>
                <w:szCs w:val="20"/>
              </w:rPr>
            </w:pPr>
            <w:r w:rsidRPr="00702882">
              <w:rPr>
                <w:sz w:val="20"/>
                <w:szCs w:val="20"/>
              </w:rPr>
              <w:t>2002 S.D. ALS 27, 2002 S.D. Laws 27, 2002 S.D. CH 27, 2002 S.D. HB 1195 (February 27, 2002).</w:t>
            </w:r>
          </w:p>
        </w:tc>
      </w:tr>
      <w:tr w:rsidR="00850754" w:rsidRPr="00702882" w14:paraId="63AE0E31" w14:textId="77777777" w:rsidTr="00AE6820">
        <w:trPr>
          <w:jc w:val="center"/>
        </w:trPr>
        <w:tc>
          <w:tcPr>
            <w:tcW w:w="1615" w:type="dxa"/>
            <w:shd w:val="clear" w:color="auto" w:fill="auto"/>
          </w:tcPr>
          <w:p w14:paraId="6E022D01" w14:textId="77777777" w:rsidR="00AF6702" w:rsidRPr="00702882" w:rsidRDefault="00AF6702" w:rsidP="004D3BED">
            <w:pPr>
              <w:rPr>
                <w:sz w:val="20"/>
                <w:szCs w:val="20"/>
              </w:rPr>
            </w:pPr>
            <w:r w:rsidRPr="00702882">
              <w:rPr>
                <w:sz w:val="20"/>
                <w:szCs w:val="20"/>
              </w:rPr>
              <w:t>Tennessee</w:t>
            </w:r>
          </w:p>
        </w:tc>
        <w:tc>
          <w:tcPr>
            <w:tcW w:w="630" w:type="dxa"/>
            <w:shd w:val="clear" w:color="auto" w:fill="auto"/>
          </w:tcPr>
          <w:p w14:paraId="64856EC8" w14:textId="77777777" w:rsidR="00AF6702" w:rsidRPr="00702882" w:rsidRDefault="00AF6702" w:rsidP="004D3BED">
            <w:pPr>
              <w:rPr>
                <w:sz w:val="20"/>
                <w:szCs w:val="20"/>
              </w:rPr>
            </w:pPr>
            <w:r w:rsidRPr="00702882">
              <w:rPr>
                <w:sz w:val="20"/>
                <w:szCs w:val="20"/>
              </w:rPr>
              <w:t>2013</w:t>
            </w:r>
          </w:p>
        </w:tc>
        <w:tc>
          <w:tcPr>
            <w:tcW w:w="2520" w:type="dxa"/>
            <w:shd w:val="clear" w:color="auto" w:fill="auto"/>
          </w:tcPr>
          <w:p w14:paraId="6DF7CC64" w14:textId="77777777" w:rsidR="00AF6702" w:rsidRPr="00702882" w:rsidRDefault="00AF6702" w:rsidP="004D3BED">
            <w:pPr>
              <w:rPr>
                <w:sz w:val="20"/>
                <w:szCs w:val="20"/>
              </w:rPr>
            </w:pPr>
            <w:r w:rsidRPr="00702882">
              <w:rPr>
                <w:sz w:val="20"/>
                <w:szCs w:val="20"/>
              </w:rPr>
              <w:t>Reserve for Revenue Fluctuations (1972)</w:t>
            </w:r>
          </w:p>
        </w:tc>
        <w:tc>
          <w:tcPr>
            <w:tcW w:w="1467" w:type="dxa"/>
            <w:shd w:val="clear" w:color="auto" w:fill="auto"/>
          </w:tcPr>
          <w:p w14:paraId="5668FB15" w14:textId="77777777" w:rsidR="00AF6702" w:rsidRPr="00702882" w:rsidRDefault="00AF6702" w:rsidP="004D3BED">
            <w:pPr>
              <w:rPr>
                <w:sz w:val="20"/>
                <w:szCs w:val="20"/>
              </w:rPr>
            </w:pPr>
            <w:r w:rsidRPr="00702882">
              <w:rPr>
                <w:sz w:val="20"/>
                <w:szCs w:val="20"/>
              </w:rPr>
              <w:t xml:space="preserve">Cap </w:t>
            </w:r>
          </w:p>
          <w:p w14:paraId="14753E0E"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8</w:t>
            </w:r>
            <w:r w:rsidRPr="00702882">
              <w:rPr>
                <w:sz w:val="20"/>
                <w:szCs w:val="20"/>
              </w:rPr>
              <w:t>)</w:t>
            </w:r>
          </w:p>
        </w:tc>
        <w:tc>
          <w:tcPr>
            <w:tcW w:w="5283" w:type="dxa"/>
            <w:shd w:val="clear" w:color="auto" w:fill="auto"/>
          </w:tcPr>
          <w:p w14:paraId="70DA685D" w14:textId="77777777" w:rsidR="00AF6702" w:rsidRPr="00702882" w:rsidRDefault="00AF6702" w:rsidP="004D3BED">
            <w:pPr>
              <w:rPr>
                <w:sz w:val="20"/>
                <w:szCs w:val="20"/>
              </w:rPr>
            </w:pPr>
            <w:r w:rsidRPr="00702882">
              <w:rPr>
                <w:sz w:val="20"/>
                <w:szCs w:val="20"/>
              </w:rPr>
              <w:t>An amount sufficient to maintain the reserve at 8 % of the estimated state tax revenues to be allocated to the general fund and the education trust fund for that year.</w:t>
            </w:r>
          </w:p>
        </w:tc>
        <w:tc>
          <w:tcPr>
            <w:tcW w:w="2790" w:type="dxa"/>
            <w:shd w:val="clear" w:color="auto" w:fill="auto"/>
          </w:tcPr>
          <w:p w14:paraId="05E2AA5B" w14:textId="77777777" w:rsidR="00AF6702" w:rsidRPr="00702882" w:rsidRDefault="00AF6702" w:rsidP="004D3BED">
            <w:pPr>
              <w:tabs>
                <w:tab w:val="left" w:pos="468"/>
              </w:tabs>
              <w:rPr>
                <w:sz w:val="20"/>
                <w:szCs w:val="20"/>
              </w:rPr>
            </w:pPr>
            <w:r w:rsidRPr="00702882">
              <w:rPr>
                <w:sz w:val="20"/>
                <w:szCs w:val="20"/>
              </w:rPr>
              <w:t>2013 Tenn. ALS 175, 2013 Tenn. Pub. Acts 175, 2013 Tenn. Pub. Ch. 175, Tenn. SB 994 (April 23, 2013).</w:t>
            </w:r>
          </w:p>
        </w:tc>
      </w:tr>
      <w:tr w:rsidR="00850754" w:rsidRPr="00702882" w14:paraId="4821B7CD" w14:textId="77777777" w:rsidTr="00AE6820">
        <w:trPr>
          <w:jc w:val="center"/>
        </w:trPr>
        <w:tc>
          <w:tcPr>
            <w:tcW w:w="1615" w:type="dxa"/>
            <w:vMerge w:val="restart"/>
            <w:shd w:val="clear" w:color="auto" w:fill="auto"/>
          </w:tcPr>
          <w:p w14:paraId="2763634A" w14:textId="77777777" w:rsidR="00AF6702" w:rsidRPr="00702882" w:rsidRDefault="00AF6702" w:rsidP="004D3BED">
            <w:pPr>
              <w:rPr>
                <w:sz w:val="20"/>
                <w:szCs w:val="20"/>
              </w:rPr>
            </w:pPr>
            <w:r w:rsidRPr="00702882">
              <w:rPr>
                <w:sz w:val="20"/>
                <w:szCs w:val="20"/>
              </w:rPr>
              <w:t>Utah</w:t>
            </w:r>
          </w:p>
        </w:tc>
        <w:tc>
          <w:tcPr>
            <w:tcW w:w="630" w:type="dxa"/>
            <w:shd w:val="clear" w:color="auto" w:fill="auto"/>
          </w:tcPr>
          <w:p w14:paraId="2AE4E088" w14:textId="77777777" w:rsidR="00AF6702" w:rsidRPr="00702882" w:rsidRDefault="00AF6702" w:rsidP="004D3BED">
            <w:pPr>
              <w:rPr>
                <w:sz w:val="20"/>
                <w:szCs w:val="20"/>
              </w:rPr>
            </w:pPr>
            <w:r w:rsidRPr="00702882">
              <w:rPr>
                <w:sz w:val="20"/>
                <w:szCs w:val="20"/>
              </w:rPr>
              <w:t>2003</w:t>
            </w:r>
          </w:p>
        </w:tc>
        <w:tc>
          <w:tcPr>
            <w:tcW w:w="2520" w:type="dxa"/>
            <w:shd w:val="clear" w:color="auto" w:fill="auto"/>
          </w:tcPr>
          <w:p w14:paraId="2986824C" w14:textId="77777777" w:rsidR="00AF6702" w:rsidRPr="00702882" w:rsidRDefault="00AF6702" w:rsidP="004D3BED">
            <w:pPr>
              <w:rPr>
                <w:sz w:val="20"/>
                <w:szCs w:val="20"/>
              </w:rPr>
            </w:pPr>
            <w:r w:rsidRPr="00702882">
              <w:rPr>
                <w:sz w:val="20"/>
                <w:szCs w:val="20"/>
              </w:rPr>
              <w:t>Budget Reserve Account (1986)</w:t>
            </w:r>
          </w:p>
          <w:p w14:paraId="28415CA0" w14:textId="77777777" w:rsidR="00AF6702" w:rsidRPr="00702882" w:rsidRDefault="00AF6702" w:rsidP="004D3BED">
            <w:pPr>
              <w:rPr>
                <w:sz w:val="20"/>
                <w:szCs w:val="20"/>
              </w:rPr>
            </w:pPr>
          </w:p>
        </w:tc>
        <w:tc>
          <w:tcPr>
            <w:tcW w:w="1467" w:type="dxa"/>
            <w:shd w:val="clear" w:color="auto" w:fill="auto"/>
          </w:tcPr>
          <w:p w14:paraId="6E8B36BF" w14:textId="77777777" w:rsidR="00AF6702" w:rsidRPr="00702882" w:rsidRDefault="00AF6702" w:rsidP="004D3BED">
            <w:pPr>
              <w:rPr>
                <w:sz w:val="20"/>
                <w:szCs w:val="20"/>
              </w:rPr>
            </w:pPr>
            <w:r w:rsidRPr="00702882">
              <w:rPr>
                <w:sz w:val="20"/>
                <w:szCs w:val="20"/>
              </w:rPr>
              <w:t xml:space="preserve">Cap </w:t>
            </w:r>
          </w:p>
          <w:p w14:paraId="6DC0284F"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8</w:t>
            </w:r>
            <w:r w:rsidRPr="00702882">
              <w:rPr>
                <w:sz w:val="20"/>
                <w:szCs w:val="20"/>
              </w:rPr>
              <w:t xml:space="preserve"> → </w:t>
            </w:r>
            <w:r w:rsidRPr="00702882">
              <w:rPr>
                <w:rFonts w:eastAsiaTheme="minorEastAsia"/>
                <w:sz w:val="20"/>
                <w:szCs w:val="20"/>
              </w:rPr>
              <w:t>6</w:t>
            </w:r>
            <w:r w:rsidRPr="00702882">
              <w:rPr>
                <w:sz w:val="20"/>
                <w:szCs w:val="20"/>
              </w:rPr>
              <w:t>)</w:t>
            </w:r>
          </w:p>
        </w:tc>
        <w:tc>
          <w:tcPr>
            <w:tcW w:w="5283" w:type="dxa"/>
            <w:shd w:val="clear" w:color="auto" w:fill="auto"/>
          </w:tcPr>
          <w:p w14:paraId="7FD74054" w14:textId="77777777" w:rsidR="00AF6702" w:rsidRPr="00702882" w:rsidRDefault="00AF6702" w:rsidP="004D3BED">
            <w:pPr>
              <w:rPr>
                <w:sz w:val="20"/>
                <w:szCs w:val="20"/>
              </w:rPr>
            </w:pPr>
            <w:r w:rsidRPr="00702882">
              <w:rPr>
                <w:sz w:val="20"/>
                <w:szCs w:val="20"/>
              </w:rPr>
              <w:t xml:space="preserve">Budget Reserve Account may not exceed 6 % of the total of the General Fund appropriation amount for the fiscal year in which the surplus occurred. </w:t>
            </w:r>
          </w:p>
        </w:tc>
        <w:tc>
          <w:tcPr>
            <w:tcW w:w="2790" w:type="dxa"/>
            <w:shd w:val="clear" w:color="auto" w:fill="auto"/>
          </w:tcPr>
          <w:p w14:paraId="7FCBCA6D" w14:textId="77777777" w:rsidR="00AF6702" w:rsidRPr="00702882" w:rsidRDefault="00AF6702" w:rsidP="004D3BED">
            <w:pPr>
              <w:tabs>
                <w:tab w:val="left" w:pos="468"/>
              </w:tabs>
              <w:rPr>
                <w:sz w:val="20"/>
                <w:szCs w:val="20"/>
              </w:rPr>
            </w:pPr>
            <w:r w:rsidRPr="00702882">
              <w:rPr>
                <w:sz w:val="20"/>
                <w:szCs w:val="20"/>
              </w:rPr>
              <w:t>2003 Ut. ALS 88, 2003 Utah Laws 88, 2003 Ut. Ch. 88, 2003 Ut. HB 27 (March 15, 2003).</w:t>
            </w:r>
          </w:p>
        </w:tc>
      </w:tr>
      <w:tr w:rsidR="00850754" w:rsidRPr="00702882" w14:paraId="3108F47B" w14:textId="77777777" w:rsidTr="00AE6820">
        <w:trPr>
          <w:jc w:val="center"/>
        </w:trPr>
        <w:tc>
          <w:tcPr>
            <w:tcW w:w="1615" w:type="dxa"/>
            <w:vMerge/>
            <w:shd w:val="clear" w:color="auto" w:fill="auto"/>
          </w:tcPr>
          <w:p w14:paraId="50950538" w14:textId="77777777" w:rsidR="00AF6702" w:rsidRPr="00702882" w:rsidRDefault="00AF6702" w:rsidP="004D3BED">
            <w:pPr>
              <w:rPr>
                <w:sz w:val="20"/>
                <w:szCs w:val="20"/>
              </w:rPr>
            </w:pPr>
          </w:p>
        </w:tc>
        <w:tc>
          <w:tcPr>
            <w:tcW w:w="630" w:type="dxa"/>
            <w:shd w:val="clear" w:color="auto" w:fill="auto"/>
          </w:tcPr>
          <w:p w14:paraId="7FF615B3" w14:textId="77777777" w:rsidR="00AF6702" w:rsidRPr="00702882" w:rsidRDefault="00AF6702" w:rsidP="004D3BED">
            <w:pPr>
              <w:rPr>
                <w:sz w:val="20"/>
                <w:szCs w:val="20"/>
              </w:rPr>
            </w:pPr>
            <w:r w:rsidRPr="00702882">
              <w:rPr>
                <w:sz w:val="20"/>
                <w:szCs w:val="20"/>
              </w:rPr>
              <w:t>2012</w:t>
            </w:r>
          </w:p>
        </w:tc>
        <w:tc>
          <w:tcPr>
            <w:tcW w:w="2520" w:type="dxa"/>
            <w:shd w:val="clear" w:color="auto" w:fill="auto"/>
          </w:tcPr>
          <w:p w14:paraId="1EAB647F" w14:textId="77777777" w:rsidR="00AF6702" w:rsidRPr="00702882" w:rsidRDefault="00AF6702" w:rsidP="004D3BED">
            <w:pPr>
              <w:rPr>
                <w:sz w:val="20"/>
                <w:szCs w:val="20"/>
              </w:rPr>
            </w:pPr>
            <w:r w:rsidRPr="00702882">
              <w:rPr>
                <w:sz w:val="20"/>
                <w:szCs w:val="20"/>
              </w:rPr>
              <w:t>Budget Reserve Account (1986)</w:t>
            </w:r>
          </w:p>
          <w:p w14:paraId="303B2857" w14:textId="77777777" w:rsidR="00AF6702" w:rsidRPr="00702882" w:rsidRDefault="00AF6702" w:rsidP="004D3BED">
            <w:pPr>
              <w:rPr>
                <w:sz w:val="20"/>
                <w:szCs w:val="20"/>
              </w:rPr>
            </w:pPr>
          </w:p>
        </w:tc>
        <w:tc>
          <w:tcPr>
            <w:tcW w:w="1467" w:type="dxa"/>
            <w:shd w:val="clear" w:color="auto" w:fill="auto"/>
          </w:tcPr>
          <w:p w14:paraId="68876107" w14:textId="4B4D2AAA" w:rsidR="00AF6702" w:rsidRPr="00702882" w:rsidRDefault="00AF6702" w:rsidP="004D3BED">
            <w:pPr>
              <w:rPr>
                <w:rFonts w:eastAsiaTheme="minorEastAsia"/>
                <w:sz w:val="20"/>
                <w:szCs w:val="20"/>
              </w:rPr>
            </w:pPr>
            <w:r w:rsidRPr="00702882">
              <w:rPr>
                <w:sz w:val="20"/>
                <w:szCs w:val="20"/>
              </w:rPr>
              <w:t xml:space="preserve">Cap </w:t>
            </w:r>
          </w:p>
          <w:p w14:paraId="2CA23810"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6</w:t>
            </w:r>
            <w:r w:rsidRPr="00702882">
              <w:rPr>
                <w:sz w:val="20"/>
                <w:szCs w:val="20"/>
              </w:rPr>
              <w:t xml:space="preserve"> → </w:t>
            </w:r>
            <w:r w:rsidRPr="00702882">
              <w:rPr>
                <w:rFonts w:eastAsiaTheme="minorEastAsia"/>
                <w:sz w:val="20"/>
                <w:szCs w:val="20"/>
              </w:rPr>
              <w:t>8</w:t>
            </w:r>
            <w:r w:rsidRPr="00702882">
              <w:rPr>
                <w:sz w:val="20"/>
                <w:szCs w:val="20"/>
              </w:rPr>
              <w:t>)</w:t>
            </w:r>
          </w:p>
        </w:tc>
        <w:tc>
          <w:tcPr>
            <w:tcW w:w="5283" w:type="dxa"/>
            <w:shd w:val="clear" w:color="auto" w:fill="auto"/>
          </w:tcPr>
          <w:p w14:paraId="664D9494" w14:textId="77777777" w:rsidR="00AF6702" w:rsidRPr="00702882" w:rsidRDefault="00AF6702" w:rsidP="004D3BED">
            <w:pPr>
              <w:rPr>
                <w:sz w:val="20"/>
                <w:szCs w:val="20"/>
              </w:rPr>
            </w:pPr>
            <w:r w:rsidRPr="00702882">
              <w:rPr>
                <w:sz w:val="20"/>
                <w:szCs w:val="20"/>
              </w:rPr>
              <w:t>Budget Reserve Account may not exceed 8 % of the total of the General Fund appropriation amount for the fiscal year in which the surplus occurred.</w:t>
            </w:r>
          </w:p>
        </w:tc>
        <w:tc>
          <w:tcPr>
            <w:tcW w:w="2790" w:type="dxa"/>
            <w:shd w:val="clear" w:color="auto" w:fill="auto"/>
          </w:tcPr>
          <w:p w14:paraId="4949D8A4" w14:textId="77777777" w:rsidR="00AF6702" w:rsidRPr="00702882" w:rsidRDefault="00AF6702" w:rsidP="004D3BED">
            <w:pPr>
              <w:tabs>
                <w:tab w:val="left" w:pos="468"/>
              </w:tabs>
              <w:rPr>
                <w:sz w:val="20"/>
                <w:szCs w:val="20"/>
              </w:rPr>
            </w:pPr>
            <w:r w:rsidRPr="00702882">
              <w:rPr>
                <w:sz w:val="20"/>
                <w:szCs w:val="20"/>
              </w:rPr>
              <w:t>2012 Ut. ALS 141, 2012 Utah Laws 141, 2012 Ut. Ch. 141, 2012 Ut. SB 280 (March 16, 2012).</w:t>
            </w:r>
          </w:p>
        </w:tc>
      </w:tr>
      <w:tr w:rsidR="00850754" w:rsidRPr="00702882" w14:paraId="4E1A6D7B" w14:textId="77777777" w:rsidTr="00AE6820">
        <w:trPr>
          <w:jc w:val="center"/>
        </w:trPr>
        <w:tc>
          <w:tcPr>
            <w:tcW w:w="1615" w:type="dxa"/>
            <w:vMerge/>
            <w:shd w:val="clear" w:color="auto" w:fill="auto"/>
          </w:tcPr>
          <w:p w14:paraId="3F97D18C" w14:textId="77777777" w:rsidR="00AF6702" w:rsidRPr="00702882" w:rsidRDefault="00AF6702" w:rsidP="004D3BED">
            <w:pPr>
              <w:rPr>
                <w:sz w:val="20"/>
                <w:szCs w:val="20"/>
              </w:rPr>
            </w:pPr>
          </w:p>
        </w:tc>
        <w:tc>
          <w:tcPr>
            <w:tcW w:w="630" w:type="dxa"/>
            <w:shd w:val="clear" w:color="auto" w:fill="auto"/>
          </w:tcPr>
          <w:p w14:paraId="3E4ED0E9" w14:textId="77777777" w:rsidR="00AF6702" w:rsidRPr="00702882" w:rsidRDefault="00AF6702" w:rsidP="004D3BED">
            <w:pPr>
              <w:rPr>
                <w:sz w:val="20"/>
                <w:szCs w:val="20"/>
              </w:rPr>
            </w:pPr>
            <w:r w:rsidRPr="00702882">
              <w:rPr>
                <w:sz w:val="20"/>
                <w:szCs w:val="20"/>
              </w:rPr>
              <w:t>2015</w:t>
            </w:r>
          </w:p>
        </w:tc>
        <w:tc>
          <w:tcPr>
            <w:tcW w:w="2520" w:type="dxa"/>
            <w:shd w:val="clear" w:color="auto" w:fill="auto"/>
          </w:tcPr>
          <w:p w14:paraId="70B14772" w14:textId="77777777" w:rsidR="00AF6702" w:rsidRPr="00702882" w:rsidRDefault="00AF6702" w:rsidP="004D3BED">
            <w:pPr>
              <w:rPr>
                <w:sz w:val="20"/>
                <w:szCs w:val="20"/>
              </w:rPr>
            </w:pPr>
            <w:r w:rsidRPr="00702882">
              <w:rPr>
                <w:sz w:val="20"/>
                <w:szCs w:val="20"/>
              </w:rPr>
              <w:t>Budget Reserve Account (1986)</w:t>
            </w:r>
          </w:p>
          <w:p w14:paraId="5C0EC138" w14:textId="77777777" w:rsidR="00AF6702" w:rsidRPr="00702882" w:rsidRDefault="00AF6702" w:rsidP="004D3BED">
            <w:pPr>
              <w:rPr>
                <w:sz w:val="20"/>
                <w:szCs w:val="20"/>
              </w:rPr>
            </w:pPr>
          </w:p>
        </w:tc>
        <w:tc>
          <w:tcPr>
            <w:tcW w:w="1467" w:type="dxa"/>
            <w:shd w:val="clear" w:color="auto" w:fill="auto"/>
          </w:tcPr>
          <w:p w14:paraId="3D177542" w14:textId="18EDDE3E" w:rsidR="00AF6702" w:rsidRPr="00702882" w:rsidRDefault="00AF6702" w:rsidP="004D3BED">
            <w:pPr>
              <w:rPr>
                <w:rFonts w:eastAsiaTheme="minorEastAsia"/>
                <w:sz w:val="20"/>
                <w:szCs w:val="20"/>
              </w:rPr>
            </w:pPr>
            <w:r w:rsidRPr="00702882">
              <w:rPr>
                <w:sz w:val="20"/>
                <w:szCs w:val="20"/>
              </w:rPr>
              <w:t xml:space="preserve">Cap </w:t>
            </w:r>
          </w:p>
          <w:p w14:paraId="47FA3EBE"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8</w:t>
            </w:r>
            <w:r w:rsidRPr="00702882">
              <w:rPr>
                <w:sz w:val="20"/>
                <w:szCs w:val="20"/>
              </w:rPr>
              <w:t xml:space="preserve"> → </w:t>
            </w:r>
            <w:r w:rsidRPr="00702882">
              <w:rPr>
                <w:rFonts w:eastAsiaTheme="minorEastAsia"/>
                <w:sz w:val="20"/>
                <w:szCs w:val="20"/>
              </w:rPr>
              <w:t>9</w:t>
            </w:r>
            <w:r w:rsidRPr="00702882">
              <w:rPr>
                <w:sz w:val="20"/>
                <w:szCs w:val="20"/>
              </w:rPr>
              <w:t>)</w:t>
            </w:r>
          </w:p>
        </w:tc>
        <w:tc>
          <w:tcPr>
            <w:tcW w:w="5283" w:type="dxa"/>
            <w:shd w:val="clear" w:color="auto" w:fill="auto"/>
          </w:tcPr>
          <w:p w14:paraId="6645C9BA" w14:textId="77777777" w:rsidR="00AF6702" w:rsidRPr="00702882" w:rsidRDefault="00AF6702" w:rsidP="004D3BED">
            <w:pPr>
              <w:rPr>
                <w:sz w:val="20"/>
                <w:szCs w:val="20"/>
              </w:rPr>
            </w:pPr>
            <w:r w:rsidRPr="00702882">
              <w:rPr>
                <w:sz w:val="20"/>
                <w:szCs w:val="20"/>
              </w:rPr>
              <w:t>Budget Reserve Account may not exceed 9 % of the total of the General Fund appropriation amount for the fiscal year in which the surplus occurred.</w:t>
            </w:r>
          </w:p>
        </w:tc>
        <w:tc>
          <w:tcPr>
            <w:tcW w:w="2790" w:type="dxa"/>
            <w:shd w:val="clear" w:color="auto" w:fill="auto"/>
          </w:tcPr>
          <w:p w14:paraId="1E58C215" w14:textId="77777777" w:rsidR="00AF6702" w:rsidRPr="00702882" w:rsidRDefault="00AF6702" w:rsidP="004D3BED">
            <w:pPr>
              <w:tabs>
                <w:tab w:val="left" w:pos="468"/>
              </w:tabs>
              <w:rPr>
                <w:sz w:val="20"/>
                <w:szCs w:val="20"/>
              </w:rPr>
            </w:pPr>
            <w:r w:rsidRPr="00702882">
              <w:rPr>
                <w:sz w:val="20"/>
                <w:szCs w:val="20"/>
              </w:rPr>
              <w:t>2015 Ut. HB 333, 2015 Utah Laws 214, 2015 Ut. Ch. 214, 2015 Ut. ALS 214 (March 26, 2015)</w:t>
            </w:r>
          </w:p>
        </w:tc>
      </w:tr>
      <w:tr w:rsidR="00850754" w:rsidRPr="00702882" w14:paraId="29F31848" w14:textId="77777777" w:rsidTr="00AE6820">
        <w:trPr>
          <w:jc w:val="center"/>
        </w:trPr>
        <w:tc>
          <w:tcPr>
            <w:tcW w:w="1615" w:type="dxa"/>
            <w:shd w:val="clear" w:color="auto" w:fill="auto"/>
          </w:tcPr>
          <w:p w14:paraId="66E6D6F5" w14:textId="77777777" w:rsidR="00AF6702" w:rsidRPr="00702882" w:rsidRDefault="00AF6702" w:rsidP="004D3BED">
            <w:pPr>
              <w:rPr>
                <w:sz w:val="20"/>
                <w:szCs w:val="20"/>
              </w:rPr>
            </w:pPr>
            <w:r w:rsidRPr="00702882">
              <w:rPr>
                <w:sz w:val="20"/>
                <w:szCs w:val="20"/>
              </w:rPr>
              <w:t>Virginia</w:t>
            </w:r>
          </w:p>
        </w:tc>
        <w:tc>
          <w:tcPr>
            <w:tcW w:w="630" w:type="dxa"/>
            <w:shd w:val="clear" w:color="auto" w:fill="auto"/>
          </w:tcPr>
          <w:p w14:paraId="40D15596" w14:textId="77777777" w:rsidR="00AF6702" w:rsidRPr="00702882" w:rsidRDefault="00AF6702" w:rsidP="004D3BED">
            <w:pPr>
              <w:rPr>
                <w:sz w:val="20"/>
                <w:szCs w:val="20"/>
              </w:rPr>
            </w:pPr>
            <w:r w:rsidRPr="00702882">
              <w:rPr>
                <w:sz w:val="20"/>
                <w:szCs w:val="20"/>
              </w:rPr>
              <w:t>2010</w:t>
            </w:r>
          </w:p>
        </w:tc>
        <w:tc>
          <w:tcPr>
            <w:tcW w:w="2520" w:type="dxa"/>
            <w:shd w:val="clear" w:color="auto" w:fill="auto"/>
          </w:tcPr>
          <w:p w14:paraId="39CD3A81" w14:textId="77777777" w:rsidR="00AF6702" w:rsidRPr="00702882" w:rsidRDefault="00AF6702" w:rsidP="004D3BED">
            <w:pPr>
              <w:rPr>
                <w:sz w:val="20"/>
                <w:szCs w:val="20"/>
              </w:rPr>
            </w:pPr>
            <w:r w:rsidRPr="00702882">
              <w:rPr>
                <w:sz w:val="20"/>
                <w:szCs w:val="20"/>
              </w:rPr>
              <w:t>Revenue Stabilization Fund (1992)</w:t>
            </w:r>
          </w:p>
          <w:p w14:paraId="114A26A1" w14:textId="77777777" w:rsidR="00AF6702" w:rsidRPr="00702882" w:rsidRDefault="00AF6702" w:rsidP="004D3BED">
            <w:pPr>
              <w:rPr>
                <w:sz w:val="20"/>
                <w:szCs w:val="20"/>
              </w:rPr>
            </w:pPr>
          </w:p>
        </w:tc>
        <w:tc>
          <w:tcPr>
            <w:tcW w:w="1467" w:type="dxa"/>
            <w:shd w:val="clear" w:color="auto" w:fill="auto"/>
          </w:tcPr>
          <w:p w14:paraId="64B8B811" w14:textId="77777777" w:rsidR="00AF6702" w:rsidRPr="00702882" w:rsidRDefault="00AF6702" w:rsidP="004D3BED">
            <w:pPr>
              <w:rPr>
                <w:sz w:val="20"/>
                <w:szCs w:val="20"/>
              </w:rPr>
            </w:pPr>
            <w:r w:rsidRPr="00702882">
              <w:rPr>
                <w:sz w:val="20"/>
                <w:szCs w:val="20"/>
              </w:rPr>
              <w:t xml:space="preserve">Cap </w:t>
            </w:r>
          </w:p>
          <w:p w14:paraId="1D7A4C41"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15</w:t>
            </w:r>
            <w:r w:rsidRPr="00702882">
              <w:rPr>
                <w:sz w:val="20"/>
                <w:szCs w:val="20"/>
              </w:rPr>
              <w:t>)</w:t>
            </w:r>
          </w:p>
        </w:tc>
        <w:tc>
          <w:tcPr>
            <w:tcW w:w="5283" w:type="dxa"/>
            <w:shd w:val="clear" w:color="auto" w:fill="auto"/>
          </w:tcPr>
          <w:p w14:paraId="77CC188D" w14:textId="77777777" w:rsidR="00AF6702" w:rsidRPr="00702882" w:rsidRDefault="00AF6702" w:rsidP="004D3BED">
            <w:pPr>
              <w:rPr>
                <w:rFonts w:eastAsiaTheme="minorEastAsia"/>
                <w:sz w:val="20"/>
                <w:szCs w:val="20"/>
              </w:rPr>
            </w:pPr>
            <w:r w:rsidRPr="00702882">
              <w:rPr>
                <w:sz w:val="20"/>
                <w:szCs w:val="20"/>
              </w:rPr>
              <w:t>Fund capped at 15 % of the average annual tax revenues derived from income and retail sales for the three fiscal years immediately preceding.</w:t>
            </w:r>
          </w:p>
        </w:tc>
        <w:tc>
          <w:tcPr>
            <w:tcW w:w="2790" w:type="dxa"/>
            <w:shd w:val="clear" w:color="auto" w:fill="auto"/>
          </w:tcPr>
          <w:p w14:paraId="6BD6C93D" w14:textId="77777777" w:rsidR="00AF6702" w:rsidRPr="00702882" w:rsidRDefault="00AF6702" w:rsidP="004D3BED">
            <w:pPr>
              <w:rPr>
                <w:sz w:val="20"/>
                <w:szCs w:val="20"/>
              </w:rPr>
            </w:pPr>
            <w:r w:rsidRPr="00702882">
              <w:rPr>
                <w:sz w:val="20"/>
                <w:szCs w:val="20"/>
              </w:rPr>
              <w:t>Va. Const. Art. X, § 8</w:t>
            </w:r>
          </w:p>
        </w:tc>
      </w:tr>
      <w:tr w:rsidR="00850754" w:rsidRPr="00702882" w14:paraId="4852C8BE" w14:textId="77777777" w:rsidTr="00AE6820">
        <w:trPr>
          <w:jc w:val="center"/>
        </w:trPr>
        <w:tc>
          <w:tcPr>
            <w:tcW w:w="1615" w:type="dxa"/>
            <w:vMerge w:val="restart"/>
            <w:shd w:val="clear" w:color="auto" w:fill="auto"/>
          </w:tcPr>
          <w:p w14:paraId="6DF74404" w14:textId="77777777" w:rsidR="00AF6702" w:rsidRPr="00702882" w:rsidRDefault="00AF6702" w:rsidP="004D3BED">
            <w:pPr>
              <w:rPr>
                <w:sz w:val="20"/>
                <w:szCs w:val="20"/>
              </w:rPr>
            </w:pPr>
            <w:r w:rsidRPr="00702882">
              <w:rPr>
                <w:sz w:val="20"/>
                <w:szCs w:val="20"/>
              </w:rPr>
              <w:t>Washington</w:t>
            </w:r>
          </w:p>
        </w:tc>
        <w:tc>
          <w:tcPr>
            <w:tcW w:w="630" w:type="dxa"/>
            <w:shd w:val="clear" w:color="auto" w:fill="auto"/>
          </w:tcPr>
          <w:p w14:paraId="41F940B1" w14:textId="77777777" w:rsidR="00AF6702" w:rsidRPr="00702882" w:rsidRDefault="00AF6702" w:rsidP="004D3BED">
            <w:pPr>
              <w:rPr>
                <w:sz w:val="20"/>
                <w:szCs w:val="20"/>
              </w:rPr>
            </w:pPr>
            <w:r w:rsidRPr="00702882">
              <w:rPr>
                <w:sz w:val="20"/>
                <w:szCs w:val="20"/>
              </w:rPr>
              <w:t>2002</w:t>
            </w:r>
          </w:p>
        </w:tc>
        <w:tc>
          <w:tcPr>
            <w:tcW w:w="2520" w:type="dxa"/>
            <w:shd w:val="clear" w:color="auto" w:fill="auto"/>
          </w:tcPr>
          <w:p w14:paraId="1233AE3B" w14:textId="77777777" w:rsidR="00AF6702" w:rsidRPr="00702882" w:rsidRDefault="00AF6702" w:rsidP="004D3BED">
            <w:pPr>
              <w:rPr>
                <w:b/>
                <w:bCs/>
                <w:sz w:val="20"/>
                <w:szCs w:val="20"/>
              </w:rPr>
            </w:pPr>
            <w:r w:rsidRPr="00702882">
              <w:rPr>
                <w:sz w:val="20"/>
                <w:szCs w:val="20"/>
              </w:rPr>
              <w:t>Emergency Reserve Fund (1981)</w:t>
            </w:r>
          </w:p>
        </w:tc>
        <w:tc>
          <w:tcPr>
            <w:tcW w:w="1467" w:type="dxa"/>
            <w:shd w:val="clear" w:color="auto" w:fill="auto"/>
          </w:tcPr>
          <w:p w14:paraId="63AFBE6F" w14:textId="77777777" w:rsidR="00AF6702" w:rsidRPr="00702882" w:rsidRDefault="00AF6702" w:rsidP="004D3BED">
            <w:pPr>
              <w:rPr>
                <w:rFonts w:eastAsiaTheme="minorEastAsia"/>
                <w:sz w:val="20"/>
                <w:szCs w:val="20"/>
              </w:rPr>
            </w:pPr>
            <w:r w:rsidRPr="00702882">
              <w:rPr>
                <w:sz w:val="20"/>
                <w:szCs w:val="20"/>
              </w:rPr>
              <w:t xml:space="preserve">Withdrawal by legislature </w:t>
            </w:r>
          </w:p>
          <w:p w14:paraId="6829A095"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0.67</w:t>
            </w:r>
            <w:r w:rsidRPr="00702882">
              <w:rPr>
                <w:sz w:val="20"/>
                <w:szCs w:val="20"/>
              </w:rPr>
              <w:t xml:space="preserve"> → </w:t>
            </w:r>
            <w:r w:rsidRPr="00702882">
              <w:rPr>
                <w:rFonts w:eastAsiaTheme="minorEastAsia"/>
                <w:sz w:val="20"/>
                <w:szCs w:val="20"/>
              </w:rPr>
              <w:t>0.5</w:t>
            </w:r>
            <w:r w:rsidRPr="00702882">
              <w:rPr>
                <w:sz w:val="20"/>
                <w:szCs w:val="20"/>
              </w:rPr>
              <w:t>)</w:t>
            </w:r>
          </w:p>
        </w:tc>
        <w:tc>
          <w:tcPr>
            <w:tcW w:w="5283" w:type="dxa"/>
            <w:shd w:val="clear" w:color="auto" w:fill="auto"/>
          </w:tcPr>
          <w:p w14:paraId="2002626D" w14:textId="77777777" w:rsidR="00AF6702" w:rsidRPr="00702882" w:rsidRDefault="00AF6702" w:rsidP="004D3BED">
            <w:pPr>
              <w:rPr>
                <w:sz w:val="20"/>
                <w:szCs w:val="20"/>
              </w:rPr>
            </w:pPr>
            <w:r w:rsidRPr="00702882">
              <w:rPr>
                <w:sz w:val="20"/>
                <w:szCs w:val="20"/>
              </w:rPr>
              <w:t>The supermajority vote requirement for the Legislature to appropriate money from the Emergency Reserve Fund was suspended for the 2001-03 Biennium.</w:t>
            </w:r>
            <w:r w:rsidRPr="00702882">
              <w:rPr>
                <w:rStyle w:val="a5"/>
                <w:sz w:val="20"/>
                <w:szCs w:val="20"/>
              </w:rPr>
              <w:footnoteReference w:id="132"/>
            </w:r>
          </w:p>
        </w:tc>
        <w:tc>
          <w:tcPr>
            <w:tcW w:w="2790" w:type="dxa"/>
            <w:shd w:val="clear" w:color="auto" w:fill="auto"/>
          </w:tcPr>
          <w:p w14:paraId="1686B176" w14:textId="77777777" w:rsidR="00AF6702" w:rsidRPr="00702882" w:rsidRDefault="00AF6702" w:rsidP="004D3BED">
            <w:pPr>
              <w:tabs>
                <w:tab w:val="left" w:pos="468"/>
              </w:tabs>
              <w:rPr>
                <w:sz w:val="20"/>
                <w:szCs w:val="20"/>
              </w:rPr>
            </w:pPr>
            <w:r w:rsidRPr="00702882">
              <w:rPr>
                <w:sz w:val="20"/>
                <w:szCs w:val="20"/>
              </w:rPr>
              <w:t>Wash. Const. Art. VII, § 12</w:t>
            </w:r>
          </w:p>
        </w:tc>
      </w:tr>
      <w:tr w:rsidR="00850754" w:rsidRPr="00702882" w14:paraId="158211D7" w14:textId="77777777" w:rsidTr="00AE6820">
        <w:trPr>
          <w:jc w:val="center"/>
        </w:trPr>
        <w:tc>
          <w:tcPr>
            <w:tcW w:w="1615" w:type="dxa"/>
            <w:vMerge/>
            <w:shd w:val="clear" w:color="auto" w:fill="auto"/>
          </w:tcPr>
          <w:p w14:paraId="2AEC08CD" w14:textId="77777777" w:rsidR="00AF6702" w:rsidRPr="00702882" w:rsidRDefault="00AF6702" w:rsidP="004D3BED">
            <w:pPr>
              <w:rPr>
                <w:sz w:val="20"/>
                <w:szCs w:val="20"/>
              </w:rPr>
            </w:pPr>
          </w:p>
        </w:tc>
        <w:tc>
          <w:tcPr>
            <w:tcW w:w="630" w:type="dxa"/>
            <w:vMerge w:val="restart"/>
            <w:shd w:val="clear" w:color="auto" w:fill="auto"/>
          </w:tcPr>
          <w:p w14:paraId="3C1A69E7" w14:textId="77777777" w:rsidR="00AF6702" w:rsidRPr="00702882" w:rsidRDefault="00AF6702" w:rsidP="004D3BED">
            <w:pPr>
              <w:rPr>
                <w:sz w:val="20"/>
                <w:szCs w:val="20"/>
              </w:rPr>
            </w:pPr>
            <w:r w:rsidRPr="00702882">
              <w:rPr>
                <w:sz w:val="20"/>
                <w:szCs w:val="20"/>
              </w:rPr>
              <w:t>2009</w:t>
            </w:r>
          </w:p>
          <w:p w14:paraId="5C5D9D0E" w14:textId="77777777" w:rsidR="00AF6702" w:rsidRPr="00702882" w:rsidRDefault="00AF6702" w:rsidP="004D3BED">
            <w:pPr>
              <w:rPr>
                <w:sz w:val="20"/>
                <w:szCs w:val="20"/>
              </w:rPr>
            </w:pPr>
          </w:p>
          <w:p w14:paraId="0E5F0FA2" w14:textId="77777777" w:rsidR="00AF6702" w:rsidRPr="00702882" w:rsidRDefault="00AF6702" w:rsidP="004D3BED">
            <w:pPr>
              <w:rPr>
                <w:sz w:val="20"/>
                <w:szCs w:val="20"/>
              </w:rPr>
            </w:pPr>
          </w:p>
          <w:p w14:paraId="6FE782C1" w14:textId="77777777" w:rsidR="00AF6702" w:rsidRPr="00702882" w:rsidRDefault="00AF6702" w:rsidP="004D3BED">
            <w:pPr>
              <w:rPr>
                <w:sz w:val="20"/>
                <w:szCs w:val="20"/>
              </w:rPr>
            </w:pPr>
          </w:p>
          <w:p w14:paraId="1F901C34" w14:textId="77777777" w:rsidR="00AF6702" w:rsidRPr="00702882" w:rsidRDefault="00AF6702" w:rsidP="004D3BED">
            <w:pPr>
              <w:rPr>
                <w:sz w:val="20"/>
                <w:szCs w:val="20"/>
              </w:rPr>
            </w:pPr>
          </w:p>
          <w:p w14:paraId="7696B48E" w14:textId="77777777" w:rsidR="00AF6702" w:rsidRPr="00702882" w:rsidRDefault="00AF6702" w:rsidP="004D3BED">
            <w:pPr>
              <w:rPr>
                <w:sz w:val="20"/>
                <w:szCs w:val="20"/>
              </w:rPr>
            </w:pPr>
          </w:p>
          <w:p w14:paraId="0E99983C" w14:textId="77777777" w:rsidR="00AF6702" w:rsidRPr="00702882" w:rsidRDefault="00AF6702" w:rsidP="004D3BED">
            <w:pPr>
              <w:rPr>
                <w:sz w:val="20"/>
                <w:szCs w:val="20"/>
              </w:rPr>
            </w:pPr>
          </w:p>
          <w:p w14:paraId="3571F7F6" w14:textId="77777777" w:rsidR="00AF6702" w:rsidRPr="00702882" w:rsidRDefault="00AF6702" w:rsidP="004D3BED">
            <w:pPr>
              <w:rPr>
                <w:sz w:val="20"/>
                <w:szCs w:val="20"/>
              </w:rPr>
            </w:pPr>
          </w:p>
          <w:p w14:paraId="70425AC0" w14:textId="77777777" w:rsidR="00AF6702" w:rsidRPr="00702882" w:rsidRDefault="00AF6702" w:rsidP="004D3BED">
            <w:pPr>
              <w:rPr>
                <w:sz w:val="20"/>
                <w:szCs w:val="20"/>
              </w:rPr>
            </w:pPr>
          </w:p>
          <w:p w14:paraId="3CA07568" w14:textId="77777777" w:rsidR="00AF6702" w:rsidRPr="00702882" w:rsidRDefault="00AF6702" w:rsidP="004D3BED">
            <w:pPr>
              <w:rPr>
                <w:sz w:val="20"/>
                <w:szCs w:val="20"/>
              </w:rPr>
            </w:pPr>
          </w:p>
          <w:p w14:paraId="72C4E1C8" w14:textId="77777777" w:rsidR="00AF6702" w:rsidRPr="00702882" w:rsidRDefault="00AF6702" w:rsidP="004D3BED">
            <w:pPr>
              <w:rPr>
                <w:sz w:val="20"/>
                <w:szCs w:val="20"/>
              </w:rPr>
            </w:pPr>
          </w:p>
          <w:p w14:paraId="0616AF0B" w14:textId="77777777" w:rsidR="00AF6702" w:rsidRPr="00702882" w:rsidRDefault="00AF6702" w:rsidP="004D3BED">
            <w:pPr>
              <w:rPr>
                <w:sz w:val="20"/>
                <w:szCs w:val="20"/>
              </w:rPr>
            </w:pPr>
          </w:p>
          <w:p w14:paraId="2F45F65D" w14:textId="77777777" w:rsidR="00AF6702" w:rsidRPr="00702882" w:rsidRDefault="00AF6702" w:rsidP="004D3BED">
            <w:pPr>
              <w:rPr>
                <w:sz w:val="20"/>
                <w:szCs w:val="20"/>
              </w:rPr>
            </w:pPr>
          </w:p>
          <w:p w14:paraId="2A091E8F" w14:textId="77777777" w:rsidR="00AF6702" w:rsidRPr="00702882" w:rsidRDefault="00AF6702" w:rsidP="004D3BED">
            <w:pPr>
              <w:rPr>
                <w:sz w:val="20"/>
                <w:szCs w:val="20"/>
              </w:rPr>
            </w:pPr>
          </w:p>
          <w:p w14:paraId="3AE62672" w14:textId="77777777" w:rsidR="00AF6702" w:rsidRPr="00702882" w:rsidRDefault="00AF6702" w:rsidP="004D3BED">
            <w:pPr>
              <w:rPr>
                <w:sz w:val="20"/>
                <w:szCs w:val="20"/>
              </w:rPr>
            </w:pPr>
          </w:p>
          <w:p w14:paraId="2A5DBCBB" w14:textId="77777777" w:rsidR="00AF6702" w:rsidRPr="00702882" w:rsidRDefault="00AF6702" w:rsidP="004D3BED">
            <w:pPr>
              <w:rPr>
                <w:sz w:val="20"/>
                <w:szCs w:val="20"/>
              </w:rPr>
            </w:pPr>
          </w:p>
        </w:tc>
        <w:tc>
          <w:tcPr>
            <w:tcW w:w="2520" w:type="dxa"/>
            <w:shd w:val="clear" w:color="auto" w:fill="auto"/>
          </w:tcPr>
          <w:p w14:paraId="691E1930" w14:textId="77777777" w:rsidR="00AF6702" w:rsidRPr="00702882" w:rsidRDefault="00AF6702" w:rsidP="004D3BED">
            <w:pPr>
              <w:rPr>
                <w:sz w:val="20"/>
                <w:szCs w:val="20"/>
              </w:rPr>
            </w:pPr>
            <w:r w:rsidRPr="00702882">
              <w:rPr>
                <w:sz w:val="20"/>
                <w:szCs w:val="20"/>
              </w:rPr>
              <w:lastRenderedPageBreak/>
              <w:t>Budget Stabilization Account (1981)</w:t>
            </w:r>
          </w:p>
        </w:tc>
        <w:tc>
          <w:tcPr>
            <w:tcW w:w="1467" w:type="dxa"/>
            <w:shd w:val="clear" w:color="auto" w:fill="auto"/>
          </w:tcPr>
          <w:p w14:paraId="42B93CAD" w14:textId="77777777" w:rsidR="00AF6702" w:rsidRPr="00702882" w:rsidRDefault="00AF6702" w:rsidP="004D3BED">
            <w:pPr>
              <w:rPr>
                <w:sz w:val="20"/>
                <w:szCs w:val="20"/>
              </w:rPr>
            </w:pPr>
            <w:r w:rsidRPr="00702882">
              <w:rPr>
                <w:sz w:val="20"/>
                <w:szCs w:val="20"/>
              </w:rPr>
              <w:t>NA</w:t>
            </w:r>
          </w:p>
        </w:tc>
        <w:tc>
          <w:tcPr>
            <w:tcW w:w="5283" w:type="dxa"/>
            <w:shd w:val="clear" w:color="auto" w:fill="auto"/>
          </w:tcPr>
          <w:p w14:paraId="57598473" w14:textId="77777777" w:rsidR="00AF6702" w:rsidRPr="00702882" w:rsidRDefault="00AF6702" w:rsidP="004D3BED">
            <w:pPr>
              <w:rPr>
                <w:rFonts w:eastAsiaTheme="minorEastAsia"/>
                <w:sz w:val="20"/>
                <w:szCs w:val="20"/>
              </w:rPr>
            </w:pPr>
            <w:r w:rsidRPr="00702882">
              <w:rPr>
                <w:sz w:val="20"/>
                <w:szCs w:val="20"/>
              </w:rPr>
              <w:t>On the effective date of this section, the state treasurer shall transfer all money remaining in the emergency reserve fund to the budget stabilization account.</w:t>
            </w:r>
            <w:r w:rsidRPr="00702882">
              <w:rPr>
                <w:rStyle w:val="a5"/>
                <w:sz w:val="20"/>
                <w:szCs w:val="20"/>
              </w:rPr>
              <w:footnoteReference w:id="133"/>
            </w:r>
          </w:p>
        </w:tc>
        <w:tc>
          <w:tcPr>
            <w:tcW w:w="2790" w:type="dxa"/>
            <w:shd w:val="clear" w:color="auto" w:fill="auto"/>
          </w:tcPr>
          <w:p w14:paraId="203B142F" w14:textId="77777777" w:rsidR="00AF6702" w:rsidRPr="00702882" w:rsidRDefault="00AF6702" w:rsidP="004D3BED">
            <w:pPr>
              <w:rPr>
                <w:sz w:val="20"/>
                <w:szCs w:val="20"/>
              </w:rPr>
            </w:pPr>
            <w:r w:rsidRPr="00702882">
              <w:rPr>
                <w:sz w:val="20"/>
                <w:szCs w:val="20"/>
              </w:rPr>
              <w:t>2007 Wa. ALS 484, 2007 Wa. Ch. 484, 2007 Wa. SB 5311 (May 15, 2007)</w:t>
            </w:r>
          </w:p>
        </w:tc>
      </w:tr>
      <w:tr w:rsidR="00850754" w:rsidRPr="00702882" w14:paraId="4C59A666" w14:textId="77777777" w:rsidTr="00AE6820">
        <w:trPr>
          <w:jc w:val="center"/>
        </w:trPr>
        <w:tc>
          <w:tcPr>
            <w:tcW w:w="1615" w:type="dxa"/>
            <w:vMerge/>
            <w:shd w:val="clear" w:color="auto" w:fill="auto"/>
          </w:tcPr>
          <w:p w14:paraId="39F31283" w14:textId="77777777" w:rsidR="00AF6702" w:rsidRPr="00702882" w:rsidRDefault="00AF6702" w:rsidP="004D3BED">
            <w:pPr>
              <w:rPr>
                <w:sz w:val="20"/>
                <w:szCs w:val="20"/>
              </w:rPr>
            </w:pPr>
          </w:p>
        </w:tc>
        <w:tc>
          <w:tcPr>
            <w:tcW w:w="630" w:type="dxa"/>
            <w:vMerge/>
            <w:shd w:val="clear" w:color="auto" w:fill="auto"/>
          </w:tcPr>
          <w:p w14:paraId="3D1A0847" w14:textId="77777777" w:rsidR="00AF6702" w:rsidRPr="00702882" w:rsidRDefault="00AF6702" w:rsidP="004D3BED">
            <w:pPr>
              <w:rPr>
                <w:sz w:val="20"/>
                <w:szCs w:val="20"/>
              </w:rPr>
            </w:pPr>
          </w:p>
        </w:tc>
        <w:tc>
          <w:tcPr>
            <w:tcW w:w="2520" w:type="dxa"/>
            <w:shd w:val="clear" w:color="auto" w:fill="auto"/>
          </w:tcPr>
          <w:p w14:paraId="2ABC59B8" w14:textId="77777777" w:rsidR="00AF6702" w:rsidRPr="00702882" w:rsidRDefault="00AF6702" w:rsidP="004D3BED">
            <w:pPr>
              <w:rPr>
                <w:sz w:val="20"/>
                <w:szCs w:val="20"/>
              </w:rPr>
            </w:pPr>
            <w:r w:rsidRPr="00702882">
              <w:rPr>
                <w:sz w:val="20"/>
                <w:szCs w:val="20"/>
              </w:rPr>
              <w:t>Budget Stabilization Account (1981)</w:t>
            </w:r>
          </w:p>
        </w:tc>
        <w:tc>
          <w:tcPr>
            <w:tcW w:w="1467" w:type="dxa"/>
            <w:shd w:val="clear" w:color="auto" w:fill="auto"/>
          </w:tcPr>
          <w:p w14:paraId="16CABE17" w14:textId="77777777" w:rsidR="00AF6702" w:rsidRPr="00702882" w:rsidRDefault="00AF6702" w:rsidP="004D3BED">
            <w:pPr>
              <w:rPr>
                <w:sz w:val="20"/>
                <w:szCs w:val="20"/>
              </w:rPr>
            </w:pPr>
            <w:r w:rsidRPr="00702882">
              <w:rPr>
                <w:sz w:val="20"/>
                <w:szCs w:val="20"/>
              </w:rPr>
              <w:t xml:space="preserve">Deposit tied to volatility </w:t>
            </w:r>
          </w:p>
          <w:p w14:paraId="7AEB2E73" w14:textId="77777777" w:rsidR="00AF6702" w:rsidRPr="00702882" w:rsidRDefault="00AF6702" w:rsidP="004D3BED">
            <w:pPr>
              <w:rPr>
                <w:sz w:val="20"/>
                <w:szCs w:val="20"/>
              </w:rPr>
            </w:pPr>
            <w:r w:rsidRPr="00702882">
              <w:rPr>
                <w:sz w:val="20"/>
                <w:szCs w:val="20"/>
              </w:rPr>
              <w:t>(0 → 1)</w:t>
            </w:r>
          </w:p>
        </w:tc>
        <w:tc>
          <w:tcPr>
            <w:tcW w:w="5283" w:type="dxa"/>
            <w:shd w:val="clear" w:color="auto" w:fill="auto"/>
          </w:tcPr>
          <w:p w14:paraId="2B61F787" w14:textId="77777777" w:rsidR="00AF6702" w:rsidRPr="00702882" w:rsidRDefault="00AF6702" w:rsidP="004D3BED">
            <w:pPr>
              <w:rPr>
                <w:sz w:val="20"/>
                <w:szCs w:val="20"/>
              </w:rPr>
            </w:pPr>
            <w:r w:rsidRPr="00702882">
              <w:rPr>
                <w:sz w:val="20"/>
                <w:szCs w:val="20"/>
              </w:rPr>
              <w:t>By June 30th of each fiscal year, the state treasurer shall transfer an amount equal to 1 % of the general state revenues for that fiscal year to the budget stabilization account (BSA).</w:t>
            </w:r>
          </w:p>
          <w:p w14:paraId="6861B25C" w14:textId="77777777" w:rsidR="00AF6702" w:rsidRPr="00702882" w:rsidRDefault="00AF6702" w:rsidP="004D3BED">
            <w:pPr>
              <w:rPr>
                <w:sz w:val="20"/>
                <w:szCs w:val="20"/>
              </w:rPr>
            </w:pPr>
          </w:p>
        </w:tc>
        <w:tc>
          <w:tcPr>
            <w:tcW w:w="2790" w:type="dxa"/>
            <w:shd w:val="clear" w:color="auto" w:fill="auto"/>
          </w:tcPr>
          <w:p w14:paraId="070455BB" w14:textId="77777777" w:rsidR="00AF6702" w:rsidRPr="00702882" w:rsidRDefault="00AF6702" w:rsidP="004D3BED">
            <w:pPr>
              <w:rPr>
                <w:sz w:val="20"/>
                <w:szCs w:val="20"/>
              </w:rPr>
            </w:pPr>
            <w:r w:rsidRPr="00702882">
              <w:rPr>
                <w:sz w:val="20"/>
                <w:szCs w:val="20"/>
              </w:rPr>
              <w:t>AMENDMENT 99, 2007 Engrossed Substitute Senate Joint Resolution No. 8206 (November 6, 2007)</w:t>
            </w:r>
          </w:p>
        </w:tc>
      </w:tr>
      <w:tr w:rsidR="00850754" w:rsidRPr="00702882" w14:paraId="4D452748" w14:textId="77777777" w:rsidTr="00AE6820">
        <w:trPr>
          <w:jc w:val="center"/>
        </w:trPr>
        <w:tc>
          <w:tcPr>
            <w:tcW w:w="1615" w:type="dxa"/>
            <w:vMerge/>
            <w:shd w:val="clear" w:color="auto" w:fill="auto"/>
          </w:tcPr>
          <w:p w14:paraId="26516B20" w14:textId="77777777" w:rsidR="00AF6702" w:rsidRPr="00702882" w:rsidRDefault="00AF6702" w:rsidP="004D3BED">
            <w:pPr>
              <w:rPr>
                <w:sz w:val="20"/>
                <w:szCs w:val="20"/>
              </w:rPr>
            </w:pPr>
          </w:p>
        </w:tc>
        <w:tc>
          <w:tcPr>
            <w:tcW w:w="630" w:type="dxa"/>
            <w:vMerge/>
            <w:shd w:val="clear" w:color="auto" w:fill="auto"/>
          </w:tcPr>
          <w:p w14:paraId="1C877CD3" w14:textId="77777777" w:rsidR="00AF6702" w:rsidRPr="00702882" w:rsidRDefault="00AF6702" w:rsidP="004D3BED">
            <w:pPr>
              <w:rPr>
                <w:sz w:val="20"/>
                <w:szCs w:val="20"/>
              </w:rPr>
            </w:pPr>
          </w:p>
        </w:tc>
        <w:tc>
          <w:tcPr>
            <w:tcW w:w="2520" w:type="dxa"/>
            <w:shd w:val="clear" w:color="auto" w:fill="auto"/>
          </w:tcPr>
          <w:p w14:paraId="14CC6819" w14:textId="77777777" w:rsidR="00AF6702" w:rsidRPr="00702882" w:rsidRDefault="00AF6702" w:rsidP="004D3BED">
            <w:pPr>
              <w:rPr>
                <w:sz w:val="20"/>
                <w:szCs w:val="20"/>
              </w:rPr>
            </w:pPr>
            <w:r w:rsidRPr="00702882">
              <w:rPr>
                <w:sz w:val="20"/>
                <w:szCs w:val="20"/>
              </w:rPr>
              <w:t>Budget Stabilization Account (1981)</w:t>
            </w:r>
          </w:p>
        </w:tc>
        <w:tc>
          <w:tcPr>
            <w:tcW w:w="1467" w:type="dxa"/>
            <w:shd w:val="clear" w:color="auto" w:fill="auto"/>
          </w:tcPr>
          <w:p w14:paraId="00C23877" w14:textId="77777777" w:rsidR="00AF6702" w:rsidRPr="00702882" w:rsidRDefault="00AF6702" w:rsidP="004D3BED">
            <w:pPr>
              <w:rPr>
                <w:sz w:val="20"/>
                <w:szCs w:val="20"/>
              </w:rPr>
            </w:pPr>
            <w:r w:rsidRPr="00702882">
              <w:rPr>
                <w:sz w:val="20"/>
                <w:szCs w:val="20"/>
              </w:rPr>
              <w:t xml:space="preserve">Withdrawal by legislature </w:t>
            </w:r>
          </w:p>
          <w:p w14:paraId="35FCD53E" w14:textId="77777777" w:rsidR="00AF6702" w:rsidRPr="00702882" w:rsidRDefault="00AF6702" w:rsidP="004D3BED">
            <w:pPr>
              <w:rPr>
                <w:sz w:val="20"/>
                <w:szCs w:val="20"/>
              </w:rPr>
            </w:pPr>
            <w:r w:rsidRPr="00702882">
              <w:rPr>
                <w:sz w:val="20"/>
                <w:szCs w:val="20"/>
              </w:rPr>
              <w:t>(0.5 → 0.6)</w:t>
            </w:r>
          </w:p>
        </w:tc>
        <w:tc>
          <w:tcPr>
            <w:tcW w:w="5283" w:type="dxa"/>
            <w:shd w:val="clear" w:color="auto" w:fill="auto"/>
          </w:tcPr>
          <w:p w14:paraId="3F8D8537" w14:textId="77777777" w:rsidR="00AF6702" w:rsidRPr="00702882" w:rsidRDefault="00AF6702" w:rsidP="004D3BED">
            <w:pPr>
              <w:rPr>
                <w:sz w:val="20"/>
                <w:szCs w:val="20"/>
              </w:rPr>
            </w:pPr>
            <w:r w:rsidRPr="00702882">
              <w:rPr>
                <w:sz w:val="20"/>
                <w:szCs w:val="20"/>
              </w:rPr>
              <w:t>Any amount may be withdrawn and appropriated from the BSA at any time by the favorable vote of at least 3/5 of the members of each house of the legislature.</w:t>
            </w:r>
          </w:p>
          <w:p w14:paraId="333C5E2E" w14:textId="77777777" w:rsidR="00AF6702" w:rsidRPr="00702882" w:rsidRDefault="00AF6702" w:rsidP="004D3BED">
            <w:pPr>
              <w:rPr>
                <w:sz w:val="20"/>
                <w:szCs w:val="20"/>
              </w:rPr>
            </w:pPr>
          </w:p>
        </w:tc>
        <w:tc>
          <w:tcPr>
            <w:tcW w:w="2790" w:type="dxa"/>
            <w:shd w:val="clear" w:color="auto" w:fill="auto"/>
          </w:tcPr>
          <w:p w14:paraId="2DF5E454" w14:textId="77777777" w:rsidR="00AF6702" w:rsidRPr="00702882" w:rsidRDefault="00AF6702" w:rsidP="004D3BED">
            <w:pPr>
              <w:rPr>
                <w:sz w:val="20"/>
                <w:szCs w:val="20"/>
              </w:rPr>
            </w:pPr>
            <w:r w:rsidRPr="00702882">
              <w:rPr>
                <w:sz w:val="20"/>
                <w:szCs w:val="20"/>
              </w:rPr>
              <w:t>AMENDMENT 99, 2007 Engrossed Substitute Senate Joint Resolution No. 8206 (November 6, 2007)</w:t>
            </w:r>
          </w:p>
        </w:tc>
      </w:tr>
      <w:tr w:rsidR="00850754" w:rsidRPr="00702882" w14:paraId="1C848315" w14:textId="77777777" w:rsidTr="00AE6820">
        <w:trPr>
          <w:jc w:val="center"/>
        </w:trPr>
        <w:tc>
          <w:tcPr>
            <w:tcW w:w="1615" w:type="dxa"/>
            <w:vMerge/>
            <w:shd w:val="clear" w:color="auto" w:fill="auto"/>
          </w:tcPr>
          <w:p w14:paraId="7100DAE8" w14:textId="77777777" w:rsidR="00AF6702" w:rsidRPr="00702882" w:rsidRDefault="00AF6702" w:rsidP="004D3BED">
            <w:pPr>
              <w:rPr>
                <w:sz w:val="20"/>
                <w:szCs w:val="20"/>
              </w:rPr>
            </w:pPr>
          </w:p>
        </w:tc>
        <w:tc>
          <w:tcPr>
            <w:tcW w:w="630" w:type="dxa"/>
            <w:vMerge/>
            <w:shd w:val="clear" w:color="auto" w:fill="auto"/>
          </w:tcPr>
          <w:p w14:paraId="48DAE9BF" w14:textId="77777777" w:rsidR="00AF6702" w:rsidRPr="00702882" w:rsidRDefault="00AF6702" w:rsidP="004D3BED">
            <w:pPr>
              <w:rPr>
                <w:sz w:val="20"/>
                <w:szCs w:val="20"/>
              </w:rPr>
            </w:pPr>
          </w:p>
        </w:tc>
        <w:tc>
          <w:tcPr>
            <w:tcW w:w="2520" w:type="dxa"/>
            <w:shd w:val="clear" w:color="auto" w:fill="auto"/>
          </w:tcPr>
          <w:p w14:paraId="11461AC8" w14:textId="77777777" w:rsidR="00AF6702" w:rsidRPr="00702882" w:rsidRDefault="00AF6702" w:rsidP="004D3BED">
            <w:pPr>
              <w:rPr>
                <w:sz w:val="20"/>
                <w:szCs w:val="20"/>
              </w:rPr>
            </w:pPr>
            <w:r w:rsidRPr="00702882">
              <w:rPr>
                <w:sz w:val="20"/>
                <w:szCs w:val="20"/>
              </w:rPr>
              <w:t>Budget Stabilization Account (1981)</w:t>
            </w:r>
          </w:p>
        </w:tc>
        <w:tc>
          <w:tcPr>
            <w:tcW w:w="1467" w:type="dxa"/>
            <w:shd w:val="clear" w:color="auto" w:fill="auto"/>
          </w:tcPr>
          <w:p w14:paraId="497E2EB1" w14:textId="77777777" w:rsidR="00AF6702" w:rsidRPr="00702882" w:rsidRDefault="00AF6702" w:rsidP="004D3BED">
            <w:pPr>
              <w:rPr>
                <w:sz w:val="20"/>
                <w:szCs w:val="20"/>
              </w:rPr>
            </w:pPr>
            <w:r w:rsidRPr="00702882">
              <w:rPr>
                <w:sz w:val="20"/>
                <w:szCs w:val="20"/>
              </w:rPr>
              <w:t>Withdrawal tied to volatility</w:t>
            </w:r>
          </w:p>
          <w:p w14:paraId="08D21372" w14:textId="77777777" w:rsidR="00AF6702" w:rsidRPr="00702882" w:rsidRDefault="00AF6702" w:rsidP="004D3BED">
            <w:pPr>
              <w:rPr>
                <w:sz w:val="20"/>
                <w:szCs w:val="20"/>
              </w:rPr>
            </w:pPr>
            <w:r w:rsidRPr="00702882">
              <w:rPr>
                <w:sz w:val="20"/>
                <w:szCs w:val="20"/>
              </w:rPr>
              <w:t>(0 → 1)</w:t>
            </w:r>
          </w:p>
        </w:tc>
        <w:tc>
          <w:tcPr>
            <w:tcW w:w="5283" w:type="dxa"/>
            <w:shd w:val="clear" w:color="auto" w:fill="auto"/>
          </w:tcPr>
          <w:p w14:paraId="7E40B967" w14:textId="77777777" w:rsidR="00AF6702" w:rsidRPr="00702882" w:rsidRDefault="00AF6702" w:rsidP="004D3BED">
            <w:pPr>
              <w:rPr>
                <w:sz w:val="20"/>
                <w:szCs w:val="20"/>
              </w:rPr>
            </w:pPr>
            <w:r w:rsidRPr="00702882">
              <w:rPr>
                <w:sz w:val="20"/>
                <w:szCs w:val="20"/>
              </w:rPr>
              <w:t xml:space="preserve">Moneys may be withdrawn and appropriated from the BSA by the favorable vote of a majority of the members elected to each house of the legislature, if the employment growth forecast for any fiscal year is estimated to be less than 1 %. </w:t>
            </w:r>
          </w:p>
        </w:tc>
        <w:tc>
          <w:tcPr>
            <w:tcW w:w="2790" w:type="dxa"/>
            <w:shd w:val="clear" w:color="auto" w:fill="auto"/>
          </w:tcPr>
          <w:p w14:paraId="14159F14" w14:textId="77777777" w:rsidR="00AF6702" w:rsidRPr="00702882" w:rsidRDefault="00AF6702" w:rsidP="004D3BED">
            <w:pPr>
              <w:tabs>
                <w:tab w:val="left" w:pos="468"/>
              </w:tabs>
              <w:rPr>
                <w:sz w:val="20"/>
                <w:szCs w:val="20"/>
              </w:rPr>
            </w:pPr>
            <w:r w:rsidRPr="00702882">
              <w:rPr>
                <w:sz w:val="20"/>
                <w:szCs w:val="20"/>
              </w:rPr>
              <w:t>AMENDMENT 99, 2007 Engrossed Substitute Senate Joint Resolution No. 8206 (November 6, 2007)</w:t>
            </w:r>
          </w:p>
        </w:tc>
      </w:tr>
      <w:tr w:rsidR="00850754" w:rsidRPr="00702882" w14:paraId="5B32CF12" w14:textId="77777777" w:rsidTr="00AE6820">
        <w:trPr>
          <w:jc w:val="center"/>
        </w:trPr>
        <w:tc>
          <w:tcPr>
            <w:tcW w:w="1615" w:type="dxa"/>
            <w:vMerge/>
            <w:shd w:val="clear" w:color="auto" w:fill="auto"/>
          </w:tcPr>
          <w:p w14:paraId="22A574AD" w14:textId="77777777" w:rsidR="00AF6702" w:rsidRPr="00702882" w:rsidRDefault="00AF6702" w:rsidP="004D3BED">
            <w:pPr>
              <w:rPr>
                <w:sz w:val="20"/>
                <w:szCs w:val="20"/>
              </w:rPr>
            </w:pPr>
          </w:p>
        </w:tc>
        <w:tc>
          <w:tcPr>
            <w:tcW w:w="630" w:type="dxa"/>
            <w:shd w:val="clear" w:color="auto" w:fill="auto"/>
          </w:tcPr>
          <w:p w14:paraId="4079E598" w14:textId="77777777" w:rsidR="00AF6702" w:rsidRPr="00702882" w:rsidRDefault="00AF6702" w:rsidP="004D3BED">
            <w:pPr>
              <w:rPr>
                <w:sz w:val="20"/>
                <w:szCs w:val="20"/>
              </w:rPr>
            </w:pPr>
            <w:r w:rsidRPr="00702882">
              <w:rPr>
                <w:sz w:val="20"/>
                <w:szCs w:val="20"/>
              </w:rPr>
              <w:t>2012</w:t>
            </w:r>
          </w:p>
        </w:tc>
        <w:tc>
          <w:tcPr>
            <w:tcW w:w="2520" w:type="dxa"/>
            <w:shd w:val="clear" w:color="auto" w:fill="auto"/>
          </w:tcPr>
          <w:p w14:paraId="1F69BC68" w14:textId="77777777" w:rsidR="00AF6702" w:rsidRPr="00702882" w:rsidRDefault="00AF6702" w:rsidP="004D3BED">
            <w:pPr>
              <w:rPr>
                <w:sz w:val="20"/>
                <w:szCs w:val="20"/>
              </w:rPr>
            </w:pPr>
            <w:r w:rsidRPr="00702882">
              <w:rPr>
                <w:sz w:val="20"/>
                <w:szCs w:val="20"/>
              </w:rPr>
              <w:t>Budget Stabilization Account (1981)</w:t>
            </w:r>
          </w:p>
        </w:tc>
        <w:tc>
          <w:tcPr>
            <w:tcW w:w="1467" w:type="dxa"/>
            <w:shd w:val="clear" w:color="auto" w:fill="auto"/>
          </w:tcPr>
          <w:p w14:paraId="366DA07F" w14:textId="77777777" w:rsidR="00AF6702" w:rsidRPr="00702882" w:rsidRDefault="00AF6702" w:rsidP="004D3BED">
            <w:pPr>
              <w:rPr>
                <w:sz w:val="20"/>
                <w:szCs w:val="20"/>
              </w:rPr>
            </w:pPr>
            <w:r w:rsidRPr="00702882">
              <w:rPr>
                <w:sz w:val="20"/>
                <w:szCs w:val="20"/>
              </w:rPr>
              <w:t xml:space="preserve">Cap </w:t>
            </w:r>
          </w:p>
          <w:p w14:paraId="26B30340" w14:textId="77777777" w:rsidR="00AF6702" w:rsidRPr="00702882" w:rsidRDefault="00AF6702" w:rsidP="004D3BED">
            <w:pPr>
              <w:rPr>
                <w:sz w:val="20"/>
                <w:szCs w:val="20"/>
              </w:rPr>
            </w:pPr>
            <w:r w:rsidRPr="00702882">
              <w:rPr>
                <w:sz w:val="20"/>
                <w:szCs w:val="20"/>
              </w:rPr>
              <w:t>(5 → 10)</w:t>
            </w:r>
          </w:p>
        </w:tc>
        <w:tc>
          <w:tcPr>
            <w:tcW w:w="5283" w:type="dxa"/>
            <w:shd w:val="clear" w:color="auto" w:fill="auto"/>
          </w:tcPr>
          <w:p w14:paraId="3C90834B" w14:textId="77777777" w:rsidR="00AF6702" w:rsidRPr="00702882" w:rsidRDefault="00AF6702" w:rsidP="004D3BED">
            <w:pPr>
              <w:rPr>
                <w:rFonts w:eastAsiaTheme="minorEastAsia"/>
                <w:sz w:val="20"/>
                <w:szCs w:val="20"/>
              </w:rPr>
            </w:pPr>
            <w:r w:rsidRPr="00702882">
              <w:rPr>
                <w:sz w:val="20"/>
                <w:szCs w:val="20"/>
              </w:rPr>
              <w:t xml:space="preserve">The balance in the budget stabilization account, exceeding 10 % of the general state revenues, can be appropriated. </w:t>
            </w:r>
          </w:p>
          <w:p w14:paraId="0F09B44F" w14:textId="77777777" w:rsidR="00AF6702" w:rsidRPr="00702882" w:rsidRDefault="00AF6702" w:rsidP="004D3BED">
            <w:pPr>
              <w:rPr>
                <w:rFonts w:eastAsiaTheme="minorEastAsia"/>
                <w:sz w:val="20"/>
                <w:szCs w:val="20"/>
              </w:rPr>
            </w:pPr>
          </w:p>
        </w:tc>
        <w:tc>
          <w:tcPr>
            <w:tcW w:w="2790" w:type="dxa"/>
            <w:shd w:val="clear" w:color="auto" w:fill="auto"/>
          </w:tcPr>
          <w:p w14:paraId="0256E8EF" w14:textId="77777777" w:rsidR="00AF6702" w:rsidRPr="00702882" w:rsidRDefault="00AF6702" w:rsidP="004D3BED">
            <w:pPr>
              <w:tabs>
                <w:tab w:val="left" w:pos="468"/>
              </w:tabs>
              <w:rPr>
                <w:sz w:val="20"/>
                <w:szCs w:val="20"/>
              </w:rPr>
            </w:pPr>
            <w:r w:rsidRPr="00702882">
              <w:rPr>
                <w:sz w:val="20"/>
                <w:szCs w:val="20"/>
              </w:rPr>
              <w:t>AMENDMENT 106, 2011 Senate Joint Resolution No. 8206. (November 8, 2011)</w:t>
            </w:r>
          </w:p>
        </w:tc>
      </w:tr>
      <w:tr w:rsidR="00850754" w:rsidRPr="00702882" w14:paraId="26202526" w14:textId="77777777" w:rsidTr="00AE6820">
        <w:trPr>
          <w:jc w:val="center"/>
        </w:trPr>
        <w:tc>
          <w:tcPr>
            <w:tcW w:w="1615" w:type="dxa"/>
            <w:vMerge w:val="restart"/>
            <w:shd w:val="clear" w:color="auto" w:fill="auto"/>
          </w:tcPr>
          <w:p w14:paraId="473ED2DD" w14:textId="77777777" w:rsidR="00AF6702" w:rsidRPr="00702882" w:rsidRDefault="00AF6702" w:rsidP="004D3BED">
            <w:pPr>
              <w:rPr>
                <w:sz w:val="20"/>
                <w:szCs w:val="20"/>
              </w:rPr>
            </w:pPr>
            <w:r w:rsidRPr="00702882">
              <w:rPr>
                <w:sz w:val="20"/>
                <w:szCs w:val="20"/>
              </w:rPr>
              <w:t>West Virginia</w:t>
            </w:r>
          </w:p>
        </w:tc>
        <w:tc>
          <w:tcPr>
            <w:tcW w:w="630" w:type="dxa"/>
            <w:vMerge w:val="restart"/>
            <w:shd w:val="clear" w:color="auto" w:fill="auto"/>
          </w:tcPr>
          <w:p w14:paraId="502C334A" w14:textId="77777777" w:rsidR="00AF6702" w:rsidRPr="00702882" w:rsidRDefault="00AF6702" w:rsidP="004D3BED">
            <w:pPr>
              <w:rPr>
                <w:sz w:val="20"/>
                <w:szCs w:val="20"/>
              </w:rPr>
            </w:pPr>
            <w:r w:rsidRPr="00702882">
              <w:rPr>
                <w:sz w:val="20"/>
                <w:szCs w:val="20"/>
              </w:rPr>
              <w:t>2006</w:t>
            </w:r>
          </w:p>
        </w:tc>
        <w:tc>
          <w:tcPr>
            <w:tcW w:w="2520" w:type="dxa"/>
            <w:shd w:val="clear" w:color="auto" w:fill="auto"/>
          </w:tcPr>
          <w:p w14:paraId="4AB870E7" w14:textId="77777777" w:rsidR="00AF6702" w:rsidRPr="00702882" w:rsidRDefault="00AF6702" w:rsidP="004D3BED">
            <w:pPr>
              <w:rPr>
                <w:sz w:val="20"/>
                <w:szCs w:val="20"/>
              </w:rPr>
            </w:pPr>
            <w:r w:rsidRPr="00702882">
              <w:rPr>
                <w:sz w:val="20"/>
                <w:szCs w:val="20"/>
              </w:rPr>
              <w:t>Revenue Shortfall</w:t>
            </w:r>
          </w:p>
          <w:p w14:paraId="20D031A6" w14:textId="77777777" w:rsidR="00AF6702" w:rsidRPr="00702882" w:rsidRDefault="00AF6702" w:rsidP="004D3BED">
            <w:pPr>
              <w:rPr>
                <w:sz w:val="20"/>
                <w:szCs w:val="20"/>
              </w:rPr>
            </w:pPr>
            <w:r w:rsidRPr="00702882">
              <w:rPr>
                <w:sz w:val="20"/>
                <w:szCs w:val="20"/>
              </w:rPr>
              <w:t>Reserve Fund (1994)</w:t>
            </w:r>
          </w:p>
        </w:tc>
        <w:tc>
          <w:tcPr>
            <w:tcW w:w="1467" w:type="dxa"/>
            <w:shd w:val="clear" w:color="auto" w:fill="auto"/>
          </w:tcPr>
          <w:p w14:paraId="6E0D7E13" w14:textId="77777777" w:rsidR="00AF6702" w:rsidRPr="00702882" w:rsidRDefault="00AF6702" w:rsidP="004D3BED">
            <w:pPr>
              <w:rPr>
                <w:sz w:val="20"/>
                <w:szCs w:val="20"/>
              </w:rPr>
            </w:pPr>
            <w:r w:rsidRPr="00702882">
              <w:rPr>
                <w:sz w:val="20"/>
                <w:szCs w:val="20"/>
              </w:rPr>
              <w:t xml:space="preserve">Cap </w:t>
            </w:r>
          </w:p>
          <w:p w14:paraId="16AA97C4"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5</w:t>
            </w:r>
            <w:r w:rsidRPr="00702882">
              <w:rPr>
                <w:sz w:val="20"/>
                <w:szCs w:val="20"/>
              </w:rPr>
              <w:t xml:space="preserve"> → </w:t>
            </w:r>
            <w:r w:rsidRPr="00702882">
              <w:rPr>
                <w:rFonts w:eastAsiaTheme="minorEastAsia"/>
                <w:sz w:val="20"/>
                <w:szCs w:val="20"/>
              </w:rPr>
              <w:t>10</w:t>
            </w:r>
            <w:r w:rsidRPr="00702882">
              <w:rPr>
                <w:sz w:val="20"/>
                <w:szCs w:val="20"/>
              </w:rPr>
              <w:t>)</w:t>
            </w:r>
          </w:p>
        </w:tc>
        <w:tc>
          <w:tcPr>
            <w:tcW w:w="5283" w:type="dxa"/>
            <w:shd w:val="clear" w:color="auto" w:fill="auto"/>
          </w:tcPr>
          <w:p w14:paraId="298CED3B" w14:textId="77777777" w:rsidR="00AF6702" w:rsidRPr="00702882" w:rsidRDefault="00AF6702" w:rsidP="004D3BED">
            <w:pPr>
              <w:rPr>
                <w:sz w:val="20"/>
                <w:szCs w:val="20"/>
              </w:rPr>
            </w:pPr>
            <w:r w:rsidRPr="00702882">
              <w:rPr>
                <w:sz w:val="20"/>
                <w:szCs w:val="20"/>
              </w:rPr>
              <w:t>The revenue shortfall reserve fund shall be funded up to an aggregate amount not to exceed 10 % of total appropriations from State Fund, General Revenue, for the fiscal year just ended.</w:t>
            </w:r>
          </w:p>
        </w:tc>
        <w:tc>
          <w:tcPr>
            <w:tcW w:w="2790" w:type="dxa"/>
            <w:shd w:val="clear" w:color="auto" w:fill="auto"/>
          </w:tcPr>
          <w:p w14:paraId="1E75BEA9" w14:textId="77777777" w:rsidR="00AF6702" w:rsidRPr="00702882" w:rsidRDefault="00AF6702" w:rsidP="004D3BED">
            <w:pPr>
              <w:rPr>
                <w:sz w:val="20"/>
                <w:szCs w:val="20"/>
              </w:rPr>
            </w:pPr>
            <w:r w:rsidRPr="00702882">
              <w:rPr>
                <w:sz w:val="20"/>
                <w:szCs w:val="20"/>
              </w:rPr>
              <w:t>2006 W.V. ALS 194, 2006 W. Va. Acts 194, 2006 W.V. Ch. 194, 2006 W.V. HB 4015 (March 31, 2006)</w:t>
            </w:r>
          </w:p>
        </w:tc>
      </w:tr>
      <w:tr w:rsidR="00850754" w:rsidRPr="00702882" w14:paraId="18057001" w14:textId="77777777" w:rsidTr="00AE6820">
        <w:trPr>
          <w:jc w:val="center"/>
        </w:trPr>
        <w:tc>
          <w:tcPr>
            <w:tcW w:w="1615" w:type="dxa"/>
            <w:vMerge/>
            <w:shd w:val="clear" w:color="auto" w:fill="auto"/>
          </w:tcPr>
          <w:p w14:paraId="3A3DEEC8" w14:textId="77777777" w:rsidR="00AF6702" w:rsidRPr="00702882" w:rsidRDefault="00AF6702" w:rsidP="004D3BED">
            <w:pPr>
              <w:rPr>
                <w:sz w:val="20"/>
                <w:szCs w:val="20"/>
              </w:rPr>
            </w:pPr>
          </w:p>
        </w:tc>
        <w:tc>
          <w:tcPr>
            <w:tcW w:w="630" w:type="dxa"/>
            <w:vMerge/>
            <w:shd w:val="clear" w:color="auto" w:fill="auto"/>
          </w:tcPr>
          <w:p w14:paraId="74FE4F89" w14:textId="77777777" w:rsidR="00AF6702" w:rsidRPr="00702882" w:rsidRDefault="00AF6702" w:rsidP="004D3BED">
            <w:pPr>
              <w:rPr>
                <w:sz w:val="20"/>
                <w:szCs w:val="20"/>
              </w:rPr>
            </w:pPr>
          </w:p>
        </w:tc>
        <w:tc>
          <w:tcPr>
            <w:tcW w:w="2520" w:type="dxa"/>
            <w:shd w:val="clear" w:color="auto" w:fill="auto"/>
          </w:tcPr>
          <w:p w14:paraId="5B3E35A7" w14:textId="77777777" w:rsidR="00AF6702" w:rsidRPr="00702882" w:rsidRDefault="00AF6702" w:rsidP="004D3BED">
            <w:pPr>
              <w:rPr>
                <w:sz w:val="20"/>
                <w:szCs w:val="20"/>
              </w:rPr>
            </w:pPr>
            <w:r w:rsidRPr="00702882">
              <w:rPr>
                <w:sz w:val="20"/>
                <w:szCs w:val="20"/>
              </w:rPr>
              <w:t>Revenue Shortfall</w:t>
            </w:r>
          </w:p>
          <w:p w14:paraId="7C9D1D4F" w14:textId="77777777" w:rsidR="00AF6702" w:rsidRPr="00702882" w:rsidRDefault="00AF6702" w:rsidP="004D3BED">
            <w:pPr>
              <w:rPr>
                <w:sz w:val="20"/>
                <w:szCs w:val="20"/>
              </w:rPr>
            </w:pPr>
            <w:r w:rsidRPr="00702882">
              <w:rPr>
                <w:sz w:val="20"/>
                <w:szCs w:val="20"/>
              </w:rPr>
              <w:t>Reserve Fund—Part B (2006)</w:t>
            </w:r>
          </w:p>
        </w:tc>
        <w:tc>
          <w:tcPr>
            <w:tcW w:w="1467" w:type="dxa"/>
            <w:shd w:val="clear" w:color="auto" w:fill="auto"/>
          </w:tcPr>
          <w:p w14:paraId="327A5124" w14:textId="77777777" w:rsidR="00AF6702" w:rsidRPr="00702882" w:rsidRDefault="00AF6702" w:rsidP="004D3BED">
            <w:pPr>
              <w:rPr>
                <w:sz w:val="20"/>
                <w:szCs w:val="20"/>
              </w:rPr>
            </w:pPr>
            <w:r w:rsidRPr="00702882">
              <w:rPr>
                <w:sz w:val="20"/>
                <w:szCs w:val="20"/>
              </w:rPr>
              <w:t>Number</w:t>
            </w:r>
          </w:p>
          <w:p w14:paraId="1987AC38"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0</w:t>
            </w:r>
            <w:r w:rsidRPr="00702882">
              <w:rPr>
                <w:sz w:val="20"/>
                <w:szCs w:val="20"/>
              </w:rPr>
              <w:t xml:space="preserve"> → </w:t>
            </w:r>
            <w:r w:rsidRPr="00702882">
              <w:rPr>
                <w:rFonts w:eastAsiaTheme="minorEastAsia"/>
                <w:sz w:val="20"/>
                <w:szCs w:val="20"/>
              </w:rPr>
              <w:t>1</w:t>
            </w:r>
            <w:r w:rsidRPr="00702882">
              <w:rPr>
                <w:sz w:val="20"/>
                <w:szCs w:val="20"/>
              </w:rPr>
              <w:t>)</w:t>
            </w:r>
          </w:p>
        </w:tc>
        <w:tc>
          <w:tcPr>
            <w:tcW w:w="5283" w:type="dxa"/>
            <w:shd w:val="clear" w:color="auto" w:fill="auto"/>
          </w:tcPr>
          <w:p w14:paraId="04E6A788" w14:textId="77777777" w:rsidR="00AF6702" w:rsidRPr="00702882" w:rsidRDefault="00AF6702" w:rsidP="004D3BED">
            <w:pPr>
              <w:rPr>
                <w:sz w:val="20"/>
                <w:szCs w:val="20"/>
              </w:rPr>
            </w:pPr>
            <w:r w:rsidRPr="00702882">
              <w:rPr>
                <w:sz w:val="20"/>
                <w:szCs w:val="20"/>
              </w:rPr>
              <w:t xml:space="preserve">The state established a Revenue Shortfall Reserve Fund—Part B (Rainy Day Fund—Part B) that began with the cash balance of the West Virginia Tobacco Settlement Medical Trust Fund on June 9, 2006. </w:t>
            </w:r>
          </w:p>
        </w:tc>
        <w:tc>
          <w:tcPr>
            <w:tcW w:w="2790" w:type="dxa"/>
            <w:shd w:val="clear" w:color="auto" w:fill="auto"/>
          </w:tcPr>
          <w:p w14:paraId="1FB5AEF3" w14:textId="77777777" w:rsidR="00AF6702" w:rsidRPr="00702882" w:rsidRDefault="00AF6702" w:rsidP="004D3BED">
            <w:pPr>
              <w:tabs>
                <w:tab w:val="left" w:pos="468"/>
              </w:tabs>
              <w:rPr>
                <w:sz w:val="20"/>
                <w:szCs w:val="20"/>
              </w:rPr>
            </w:pPr>
            <w:r w:rsidRPr="00702882">
              <w:rPr>
                <w:sz w:val="20"/>
                <w:szCs w:val="20"/>
              </w:rPr>
              <w:t>W.Va. Code §11B-2-20 (August 5, 2011)</w:t>
            </w:r>
          </w:p>
        </w:tc>
      </w:tr>
      <w:tr w:rsidR="00850754" w:rsidRPr="00702882" w14:paraId="442DF125" w14:textId="77777777" w:rsidTr="00AE6820">
        <w:trPr>
          <w:jc w:val="center"/>
        </w:trPr>
        <w:tc>
          <w:tcPr>
            <w:tcW w:w="1615" w:type="dxa"/>
            <w:vMerge/>
            <w:shd w:val="clear" w:color="auto" w:fill="auto"/>
          </w:tcPr>
          <w:p w14:paraId="23A69408" w14:textId="77777777" w:rsidR="00AF6702" w:rsidRPr="00702882" w:rsidRDefault="00AF6702" w:rsidP="004D3BED">
            <w:pPr>
              <w:rPr>
                <w:sz w:val="20"/>
                <w:szCs w:val="20"/>
              </w:rPr>
            </w:pPr>
          </w:p>
        </w:tc>
        <w:tc>
          <w:tcPr>
            <w:tcW w:w="630" w:type="dxa"/>
            <w:shd w:val="clear" w:color="auto" w:fill="auto"/>
          </w:tcPr>
          <w:p w14:paraId="4889BD30" w14:textId="77777777" w:rsidR="00AF6702" w:rsidRPr="00702882" w:rsidRDefault="00AF6702" w:rsidP="004D3BED">
            <w:pPr>
              <w:rPr>
                <w:sz w:val="20"/>
                <w:szCs w:val="20"/>
              </w:rPr>
            </w:pPr>
            <w:r w:rsidRPr="00702882">
              <w:rPr>
                <w:sz w:val="20"/>
                <w:szCs w:val="20"/>
              </w:rPr>
              <w:t>2011</w:t>
            </w:r>
          </w:p>
        </w:tc>
        <w:tc>
          <w:tcPr>
            <w:tcW w:w="2520" w:type="dxa"/>
            <w:shd w:val="clear" w:color="auto" w:fill="auto"/>
          </w:tcPr>
          <w:p w14:paraId="672BC2CF" w14:textId="77777777" w:rsidR="00AF6702" w:rsidRPr="00702882" w:rsidRDefault="00AF6702" w:rsidP="004D3BED">
            <w:pPr>
              <w:rPr>
                <w:sz w:val="20"/>
                <w:szCs w:val="20"/>
              </w:rPr>
            </w:pPr>
            <w:r w:rsidRPr="00702882">
              <w:rPr>
                <w:sz w:val="20"/>
                <w:szCs w:val="20"/>
              </w:rPr>
              <w:t>Revenue Shortfall</w:t>
            </w:r>
          </w:p>
          <w:p w14:paraId="14DD8061" w14:textId="77777777" w:rsidR="00AF6702" w:rsidRPr="00702882" w:rsidRDefault="00AF6702" w:rsidP="004D3BED">
            <w:pPr>
              <w:rPr>
                <w:sz w:val="20"/>
                <w:szCs w:val="20"/>
              </w:rPr>
            </w:pPr>
            <w:r w:rsidRPr="00702882">
              <w:rPr>
                <w:sz w:val="20"/>
                <w:szCs w:val="20"/>
              </w:rPr>
              <w:t>Reserve Fund (1994)</w:t>
            </w:r>
          </w:p>
        </w:tc>
        <w:tc>
          <w:tcPr>
            <w:tcW w:w="1467" w:type="dxa"/>
            <w:shd w:val="clear" w:color="auto" w:fill="auto"/>
          </w:tcPr>
          <w:p w14:paraId="1092C269" w14:textId="77777777" w:rsidR="00AF6702" w:rsidRPr="00702882" w:rsidRDefault="00AF6702" w:rsidP="004D3BED">
            <w:pPr>
              <w:rPr>
                <w:sz w:val="20"/>
                <w:szCs w:val="20"/>
              </w:rPr>
            </w:pPr>
            <w:r w:rsidRPr="00702882">
              <w:rPr>
                <w:sz w:val="20"/>
                <w:szCs w:val="20"/>
              </w:rPr>
              <w:t>Cap</w:t>
            </w:r>
          </w:p>
          <w:p w14:paraId="69390052" w14:textId="77777777" w:rsidR="00AF6702" w:rsidRPr="00702882" w:rsidRDefault="00AF6702" w:rsidP="004D3BED">
            <w:pPr>
              <w:rPr>
                <w:sz w:val="20"/>
                <w:szCs w:val="20"/>
              </w:rPr>
            </w:pPr>
            <w:r w:rsidRPr="00702882">
              <w:rPr>
                <w:sz w:val="20"/>
                <w:szCs w:val="20"/>
              </w:rPr>
              <w:t>(</w:t>
            </w:r>
            <w:r w:rsidRPr="00702882">
              <w:rPr>
                <w:rFonts w:eastAsiaTheme="minorEastAsia"/>
                <w:sz w:val="20"/>
                <w:szCs w:val="20"/>
              </w:rPr>
              <w:t>10</w:t>
            </w:r>
            <w:r w:rsidRPr="00702882">
              <w:rPr>
                <w:sz w:val="20"/>
                <w:szCs w:val="20"/>
              </w:rPr>
              <w:t xml:space="preserve"> → </w:t>
            </w:r>
            <w:r w:rsidRPr="00702882">
              <w:rPr>
                <w:rFonts w:eastAsiaTheme="minorEastAsia"/>
                <w:sz w:val="20"/>
                <w:szCs w:val="20"/>
              </w:rPr>
              <w:t>1</w:t>
            </w:r>
            <w:r w:rsidRPr="00702882">
              <w:rPr>
                <w:sz w:val="20"/>
                <w:szCs w:val="20"/>
              </w:rPr>
              <w:t>3)</w:t>
            </w:r>
          </w:p>
        </w:tc>
        <w:tc>
          <w:tcPr>
            <w:tcW w:w="5283" w:type="dxa"/>
            <w:shd w:val="clear" w:color="auto" w:fill="auto"/>
          </w:tcPr>
          <w:p w14:paraId="4ACE433F" w14:textId="77777777" w:rsidR="00AF6702" w:rsidRPr="00702882" w:rsidRDefault="00AF6702" w:rsidP="004D3BED">
            <w:pPr>
              <w:rPr>
                <w:sz w:val="20"/>
                <w:szCs w:val="20"/>
              </w:rPr>
            </w:pPr>
            <w:r w:rsidRPr="00702882">
              <w:rPr>
                <w:sz w:val="20"/>
                <w:szCs w:val="20"/>
              </w:rPr>
              <w:t>The revenue shortfall reserve fund shall be funded up to an aggregate amount not to exceed 13 % of total appropriations from State Fund, General Revenue, for the fiscal year just ended.</w:t>
            </w:r>
          </w:p>
        </w:tc>
        <w:tc>
          <w:tcPr>
            <w:tcW w:w="2790" w:type="dxa"/>
            <w:shd w:val="clear" w:color="auto" w:fill="auto"/>
          </w:tcPr>
          <w:p w14:paraId="65F6B295" w14:textId="77777777" w:rsidR="00AF6702" w:rsidRPr="00702882" w:rsidRDefault="00AF6702" w:rsidP="004D3BED">
            <w:pPr>
              <w:tabs>
                <w:tab w:val="left" w:pos="468"/>
              </w:tabs>
              <w:rPr>
                <w:sz w:val="20"/>
                <w:szCs w:val="20"/>
              </w:rPr>
            </w:pPr>
            <w:r w:rsidRPr="00702882">
              <w:rPr>
                <w:sz w:val="20"/>
                <w:szCs w:val="20"/>
              </w:rPr>
              <w:t>2011 W.V. ALS 7;, 2011 W. Va. Acts 7;, 2011 W.V. Ch. 7;, 2011 W.V. SB 617 (March 23, 2011).</w:t>
            </w:r>
          </w:p>
        </w:tc>
      </w:tr>
      <w:tr w:rsidR="00850754" w:rsidRPr="00702882" w14:paraId="1E10F388" w14:textId="77777777" w:rsidTr="00AE6820">
        <w:trPr>
          <w:trHeight w:val="930"/>
          <w:jc w:val="center"/>
        </w:trPr>
        <w:tc>
          <w:tcPr>
            <w:tcW w:w="1615" w:type="dxa"/>
            <w:vMerge w:val="restart"/>
            <w:shd w:val="clear" w:color="auto" w:fill="auto"/>
          </w:tcPr>
          <w:p w14:paraId="3188EB50" w14:textId="77777777" w:rsidR="00AF6702" w:rsidRPr="00702882" w:rsidRDefault="00AF6702" w:rsidP="004D3BED">
            <w:pPr>
              <w:rPr>
                <w:rFonts w:eastAsiaTheme="minorEastAsia"/>
                <w:sz w:val="20"/>
                <w:szCs w:val="20"/>
              </w:rPr>
            </w:pPr>
            <w:r w:rsidRPr="00702882">
              <w:rPr>
                <w:sz w:val="20"/>
                <w:szCs w:val="20"/>
              </w:rPr>
              <w:t>Wyoming</w:t>
            </w:r>
          </w:p>
        </w:tc>
        <w:tc>
          <w:tcPr>
            <w:tcW w:w="630" w:type="dxa"/>
            <w:shd w:val="clear" w:color="auto" w:fill="auto"/>
          </w:tcPr>
          <w:p w14:paraId="6CB831DA" w14:textId="77777777" w:rsidR="00AF6702" w:rsidRPr="00702882" w:rsidRDefault="00AF6702" w:rsidP="004D3BED">
            <w:pPr>
              <w:rPr>
                <w:rFonts w:eastAsiaTheme="minorEastAsia"/>
                <w:sz w:val="20"/>
                <w:szCs w:val="20"/>
              </w:rPr>
            </w:pPr>
            <w:r w:rsidRPr="00702882">
              <w:rPr>
                <w:sz w:val="20"/>
                <w:szCs w:val="20"/>
              </w:rPr>
              <w:t>2005</w:t>
            </w:r>
          </w:p>
          <w:p w14:paraId="715D7792" w14:textId="77777777" w:rsidR="00AF6702" w:rsidRPr="00702882" w:rsidRDefault="00AF6702" w:rsidP="004D3BED">
            <w:pPr>
              <w:rPr>
                <w:rFonts w:eastAsiaTheme="minorEastAsia"/>
                <w:sz w:val="20"/>
                <w:szCs w:val="20"/>
              </w:rPr>
            </w:pPr>
          </w:p>
        </w:tc>
        <w:tc>
          <w:tcPr>
            <w:tcW w:w="2520" w:type="dxa"/>
            <w:shd w:val="clear" w:color="auto" w:fill="auto"/>
          </w:tcPr>
          <w:p w14:paraId="29C11427" w14:textId="77777777" w:rsidR="00AF6702" w:rsidRPr="00702882" w:rsidRDefault="00AF6702" w:rsidP="004D3BED">
            <w:pPr>
              <w:rPr>
                <w:rFonts w:eastAsiaTheme="minorEastAsia"/>
                <w:sz w:val="20"/>
                <w:szCs w:val="20"/>
              </w:rPr>
            </w:pPr>
            <w:r w:rsidRPr="00702882">
              <w:rPr>
                <w:sz w:val="20"/>
                <w:szCs w:val="20"/>
              </w:rPr>
              <w:t>Legislative Stabilization Reserve Account (2005)</w:t>
            </w:r>
          </w:p>
        </w:tc>
        <w:tc>
          <w:tcPr>
            <w:tcW w:w="1467" w:type="dxa"/>
            <w:shd w:val="clear" w:color="auto" w:fill="auto"/>
          </w:tcPr>
          <w:p w14:paraId="6F2ED63C" w14:textId="77777777" w:rsidR="00AF6702" w:rsidRPr="00702882" w:rsidRDefault="00AF6702" w:rsidP="004D3BED">
            <w:pPr>
              <w:rPr>
                <w:sz w:val="20"/>
                <w:szCs w:val="20"/>
              </w:rPr>
            </w:pPr>
            <w:r w:rsidRPr="00702882">
              <w:rPr>
                <w:sz w:val="20"/>
                <w:szCs w:val="20"/>
              </w:rPr>
              <w:t xml:space="preserve">Number </w:t>
            </w:r>
          </w:p>
          <w:p w14:paraId="72DDB33B" w14:textId="77777777" w:rsidR="00AF6702" w:rsidRPr="00702882" w:rsidRDefault="00AF6702" w:rsidP="004D3BED">
            <w:pPr>
              <w:rPr>
                <w:rFonts w:eastAsiaTheme="minorEastAsia"/>
                <w:sz w:val="20"/>
                <w:szCs w:val="20"/>
              </w:rPr>
            </w:pPr>
            <w:r w:rsidRPr="00702882">
              <w:rPr>
                <w:sz w:val="20"/>
                <w:szCs w:val="20"/>
              </w:rPr>
              <w:t>(</w:t>
            </w:r>
            <w:r w:rsidRPr="00702882">
              <w:rPr>
                <w:rFonts w:eastAsiaTheme="minorEastAsia"/>
                <w:sz w:val="20"/>
                <w:szCs w:val="20"/>
              </w:rPr>
              <w:t xml:space="preserve">0 </w:t>
            </w:r>
            <w:r w:rsidRPr="00702882">
              <w:rPr>
                <w:sz w:val="20"/>
                <w:szCs w:val="20"/>
              </w:rPr>
              <w:t xml:space="preserve">→ </w:t>
            </w:r>
            <w:r w:rsidRPr="00702882">
              <w:rPr>
                <w:rFonts w:eastAsiaTheme="minorEastAsia"/>
                <w:sz w:val="20"/>
                <w:szCs w:val="20"/>
              </w:rPr>
              <w:t>1</w:t>
            </w:r>
            <w:r w:rsidRPr="00702882">
              <w:rPr>
                <w:sz w:val="20"/>
                <w:szCs w:val="20"/>
              </w:rPr>
              <w:t>)</w:t>
            </w:r>
          </w:p>
        </w:tc>
        <w:tc>
          <w:tcPr>
            <w:tcW w:w="5283" w:type="dxa"/>
            <w:shd w:val="clear" w:color="auto" w:fill="auto"/>
          </w:tcPr>
          <w:p w14:paraId="3E31CCF4" w14:textId="77777777" w:rsidR="00AF6702" w:rsidRPr="00702882" w:rsidRDefault="00AF6702" w:rsidP="004D3BED">
            <w:pPr>
              <w:rPr>
                <w:rFonts w:eastAsiaTheme="minorEastAsia"/>
                <w:sz w:val="20"/>
                <w:szCs w:val="20"/>
              </w:rPr>
            </w:pPr>
            <w:r w:rsidRPr="00702882">
              <w:rPr>
                <w:sz w:val="20"/>
                <w:szCs w:val="20"/>
              </w:rPr>
              <w:t>Legislative Stabilization Reserve Account was established in 2005</w:t>
            </w:r>
            <w:r w:rsidRPr="00702882">
              <w:rPr>
                <w:rFonts w:eastAsiaTheme="minorEastAsia"/>
                <w:sz w:val="20"/>
                <w:szCs w:val="20"/>
              </w:rPr>
              <w:t>.</w:t>
            </w:r>
          </w:p>
        </w:tc>
        <w:tc>
          <w:tcPr>
            <w:tcW w:w="2790" w:type="dxa"/>
            <w:shd w:val="clear" w:color="auto" w:fill="auto"/>
          </w:tcPr>
          <w:p w14:paraId="1790837C" w14:textId="77777777" w:rsidR="00AF6702" w:rsidRPr="00702882" w:rsidRDefault="00AF6702" w:rsidP="004D3BED">
            <w:pPr>
              <w:rPr>
                <w:rFonts w:eastAsiaTheme="minorEastAsia"/>
                <w:sz w:val="20"/>
                <w:szCs w:val="20"/>
              </w:rPr>
            </w:pPr>
            <w:r w:rsidRPr="00702882">
              <w:rPr>
                <w:sz w:val="20"/>
                <w:szCs w:val="20"/>
              </w:rPr>
              <w:t>2005 Wyoming Session Laws, Chapter 191, Section 4, Section 301(d).</w:t>
            </w:r>
          </w:p>
        </w:tc>
      </w:tr>
      <w:tr w:rsidR="00850754" w:rsidRPr="00702882" w14:paraId="5C934C0A" w14:textId="77777777" w:rsidTr="00AE6820">
        <w:trPr>
          <w:jc w:val="center"/>
        </w:trPr>
        <w:tc>
          <w:tcPr>
            <w:tcW w:w="1615" w:type="dxa"/>
            <w:vMerge/>
            <w:shd w:val="clear" w:color="auto" w:fill="auto"/>
          </w:tcPr>
          <w:p w14:paraId="0B5B66D3" w14:textId="77777777" w:rsidR="00AF6702" w:rsidRPr="00702882" w:rsidRDefault="00AF6702" w:rsidP="004D3BED">
            <w:pPr>
              <w:rPr>
                <w:sz w:val="20"/>
                <w:szCs w:val="20"/>
              </w:rPr>
            </w:pPr>
          </w:p>
        </w:tc>
        <w:tc>
          <w:tcPr>
            <w:tcW w:w="630" w:type="dxa"/>
            <w:shd w:val="clear" w:color="auto" w:fill="auto"/>
          </w:tcPr>
          <w:p w14:paraId="4C846BE4" w14:textId="77777777" w:rsidR="00AF6702" w:rsidRPr="00702882" w:rsidRDefault="00AF6702" w:rsidP="004D3BED">
            <w:pPr>
              <w:rPr>
                <w:sz w:val="20"/>
                <w:szCs w:val="20"/>
              </w:rPr>
            </w:pPr>
            <w:r w:rsidRPr="00702882">
              <w:rPr>
                <w:sz w:val="20"/>
                <w:szCs w:val="20"/>
              </w:rPr>
              <w:t>2015</w:t>
            </w:r>
          </w:p>
        </w:tc>
        <w:tc>
          <w:tcPr>
            <w:tcW w:w="2520" w:type="dxa"/>
            <w:shd w:val="clear" w:color="auto" w:fill="auto"/>
          </w:tcPr>
          <w:p w14:paraId="0F2BEF5C" w14:textId="77777777" w:rsidR="00AF6702" w:rsidRPr="00702882" w:rsidRDefault="00AF6702" w:rsidP="004D3BED">
            <w:pPr>
              <w:rPr>
                <w:sz w:val="20"/>
                <w:szCs w:val="20"/>
              </w:rPr>
            </w:pPr>
            <w:r w:rsidRPr="00702882">
              <w:rPr>
                <w:sz w:val="20"/>
                <w:szCs w:val="20"/>
              </w:rPr>
              <w:t>Legislative Stabilization Reserve Account (2005)</w:t>
            </w:r>
          </w:p>
          <w:p w14:paraId="238A549F" w14:textId="77777777" w:rsidR="00AF6702" w:rsidRPr="00702882" w:rsidRDefault="00AF6702" w:rsidP="004D3BED">
            <w:pPr>
              <w:rPr>
                <w:sz w:val="20"/>
                <w:szCs w:val="20"/>
              </w:rPr>
            </w:pPr>
          </w:p>
        </w:tc>
        <w:tc>
          <w:tcPr>
            <w:tcW w:w="1467" w:type="dxa"/>
            <w:shd w:val="clear" w:color="auto" w:fill="auto"/>
          </w:tcPr>
          <w:p w14:paraId="0CDD1415" w14:textId="77777777" w:rsidR="00AF6702" w:rsidRPr="00702882" w:rsidRDefault="00AF6702" w:rsidP="004D3BED">
            <w:pPr>
              <w:rPr>
                <w:sz w:val="20"/>
                <w:szCs w:val="20"/>
              </w:rPr>
            </w:pPr>
            <w:r w:rsidRPr="00702882">
              <w:rPr>
                <w:sz w:val="20"/>
                <w:szCs w:val="20"/>
              </w:rPr>
              <w:t>Deposit tied to volatility</w:t>
            </w:r>
          </w:p>
          <w:p w14:paraId="18582593" w14:textId="77777777" w:rsidR="00AF6702" w:rsidRPr="00702882" w:rsidRDefault="00AF6702" w:rsidP="004D3BED">
            <w:pPr>
              <w:rPr>
                <w:sz w:val="20"/>
                <w:szCs w:val="20"/>
              </w:rPr>
            </w:pPr>
            <w:r w:rsidRPr="00702882">
              <w:rPr>
                <w:sz w:val="20"/>
                <w:szCs w:val="20"/>
              </w:rPr>
              <w:t>(0 → 1)</w:t>
            </w:r>
          </w:p>
        </w:tc>
        <w:tc>
          <w:tcPr>
            <w:tcW w:w="5283" w:type="dxa"/>
            <w:shd w:val="clear" w:color="auto" w:fill="auto"/>
          </w:tcPr>
          <w:p w14:paraId="08A637DF" w14:textId="77777777" w:rsidR="00AF6702" w:rsidRPr="00702882" w:rsidRDefault="00AF6702" w:rsidP="004D3BED">
            <w:pPr>
              <w:rPr>
                <w:sz w:val="20"/>
                <w:szCs w:val="20"/>
              </w:rPr>
            </w:pPr>
            <w:r w:rsidRPr="00702882">
              <w:rPr>
                <w:sz w:val="20"/>
                <w:szCs w:val="20"/>
              </w:rPr>
              <w:t xml:space="preserve">Any earnings in excess of 2.5% of the previous 5-year average market value of the trust fund shall be credited to the legislative stabilization reserve account and the strategic investments and projects account created by W.S. 9-4-220 in equal amounts. </w:t>
            </w:r>
          </w:p>
        </w:tc>
        <w:tc>
          <w:tcPr>
            <w:tcW w:w="2790" w:type="dxa"/>
            <w:shd w:val="clear" w:color="auto" w:fill="auto"/>
          </w:tcPr>
          <w:p w14:paraId="6BBA13B7" w14:textId="77777777" w:rsidR="00AF6702" w:rsidRPr="00702882" w:rsidRDefault="00AF6702" w:rsidP="004D3BED">
            <w:pPr>
              <w:rPr>
                <w:sz w:val="20"/>
                <w:szCs w:val="20"/>
              </w:rPr>
            </w:pPr>
            <w:r w:rsidRPr="00702882">
              <w:rPr>
                <w:sz w:val="20"/>
                <w:szCs w:val="20"/>
              </w:rPr>
              <w:t>2015 Wy. ALS 195, 2015 Wyo. Sess. Laws 195, Ch. 195, 2015 Wy. SF 146, Wy. EA 91 (March 10, 2015).</w:t>
            </w:r>
          </w:p>
        </w:tc>
      </w:tr>
      <w:tr w:rsidR="00850754" w:rsidRPr="00702882" w14:paraId="54312B07" w14:textId="77777777" w:rsidTr="00AE6820">
        <w:trPr>
          <w:jc w:val="center"/>
        </w:trPr>
        <w:tc>
          <w:tcPr>
            <w:tcW w:w="1615" w:type="dxa"/>
            <w:vMerge/>
            <w:shd w:val="clear" w:color="auto" w:fill="E2EFD9" w:themeFill="accent6" w:themeFillTint="33"/>
          </w:tcPr>
          <w:p w14:paraId="19D8FF84" w14:textId="77777777" w:rsidR="00AF6702" w:rsidRPr="00702882" w:rsidRDefault="00AF6702" w:rsidP="004D3BED">
            <w:pPr>
              <w:rPr>
                <w:sz w:val="20"/>
                <w:szCs w:val="20"/>
              </w:rPr>
            </w:pPr>
          </w:p>
        </w:tc>
        <w:tc>
          <w:tcPr>
            <w:tcW w:w="630" w:type="dxa"/>
            <w:shd w:val="clear" w:color="auto" w:fill="auto"/>
          </w:tcPr>
          <w:p w14:paraId="34CF234D" w14:textId="77777777" w:rsidR="00AF6702" w:rsidRPr="00702882" w:rsidRDefault="00AF6702" w:rsidP="004D3BED">
            <w:pPr>
              <w:rPr>
                <w:sz w:val="20"/>
                <w:szCs w:val="20"/>
              </w:rPr>
            </w:pPr>
            <w:r w:rsidRPr="00702882">
              <w:rPr>
                <w:sz w:val="20"/>
                <w:szCs w:val="20"/>
              </w:rPr>
              <w:t>2017</w:t>
            </w:r>
          </w:p>
        </w:tc>
        <w:tc>
          <w:tcPr>
            <w:tcW w:w="2520" w:type="dxa"/>
            <w:shd w:val="clear" w:color="auto" w:fill="auto"/>
          </w:tcPr>
          <w:p w14:paraId="098A0B3B" w14:textId="77777777" w:rsidR="00AF6702" w:rsidRPr="00702882" w:rsidRDefault="00AF6702" w:rsidP="004D3BED">
            <w:pPr>
              <w:rPr>
                <w:sz w:val="20"/>
                <w:szCs w:val="20"/>
              </w:rPr>
            </w:pPr>
            <w:r w:rsidRPr="00702882">
              <w:rPr>
                <w:sz w:val="20"/>
                <w:szCs w:val="20"/>
              </w:rPr>
              <w:t>Budget Reserve Account (1982)</w:t>
            </w:r>
          </w:p>
        </w:tc>
        <w:tc>
          <w:tcPr>
            <w:tcW w:w="1467" w:type="dxa"/>
            <w:shd w:val="clear" w:color="auto" w:fill="auto"/>
          </w:tcPr>
          <w:p w14:paraId="0FDD8A23" w14:textId="77777777" w:rsidR="00AF6702" w:rsidRPr="00702882" w:rsidRDefault="00AF6702" w:rsidP="004D3BED">
            <w:pPr>
              <w:rPr>
                <w:sz w:val="20"/>
                <w:szCs w:val="20"/>
              </w:rPr>
            </w:pPr>
            <w:r w:rsidRPr="00702882">
              <w:rPr>
                <w:sz w:val="20"/>
                <w:szCs w:val="20"/>
              </w:rPr>
              <w:t>Withdrawal by budget shortfall</w:t>
            </w:r>
          </w:p>
          <w:p w14:paraId="410920EE" w14:textId="77777777" w:rsidR="00AF6702" w:rsidRPr="00702882" w:rsidRDefault="00AF6702" w:rsidP="004D3BED">
            <w:pPr>
              <w:rPr>
                <w:sz w:val="20"/>
                <w:szCs w:val="20"/>
              </w:rPr>
            </w:pPr>
            <w:r w:rsidRPr="00702882">
              <w:rPr>
                <w:sz w:val="20"/>
                <w:szCs w:val="20"/>
              </w:rPr>
              <w:t>(0 → 1)</w:t>
            </w:r>
          </w:p>
        </w:tc>
        <w:tc>
          <w:tcPr>
            <w:tcW w:w="5283" w:type="dxa"/>
            <w:shd w:val="clear" w:color="auto" w:fill="auto"/>
          </w:tcPr>
          <w:p w14:paraId="1641177D" w14:textId="77777777" w:rsidR="00AF6702" w:rsidRPr="00702882" w:rsidRDefault="00AF6702" w:rsidP="004D3BED">
            <w:pPr>
              <w:rPr>
                <w:rFonts w:eastAsiaTheme="minorEastAsia"/>
                <w:sz w:val="20"/>
                <w:szCs w:val="20"/>
              </w:rPr>
            </w:pPr>
            <w:r w:rsidRPr="00702882">
              <w:rPr>
                <w:sz w:val="20"/>
                <w:szCs w:val="20"/>
              </w:rPr>
              <w:t>In preparing the state budget for legislative distribution, the governor must recommend allocating at least 5% of estimated general fund receipts for the next biennium to the budget reserve account.</w:t>
            </w:r>
          </w:p>
        </w:tc>
        <w:tc>
          <w:tcPr>
            <w:tcW w:w="2790" w:type="dxa"/>
            <w:shd w:val="clear" w:color="auto" w:fill="auto"/>
          </w:tcPr>
          <w:p w14:paraId="5A2EE5C2" w14:textId="77777777" w:rsidR="00AF6702" w:rsidRPr="00702882" w:rsidRDefault="00AF6702" w:rsidP="004D3BED">
            <w:pPr>
              <w:tabs>
                <w:tab w:val="left" w:pos="468"/>
              </w:tabs>
              <w:rPr>
                <w:sz w:val="20"/>
                <w:szCs w:val="20"/>
              </w:rPr>
            </w:pPr>
            <w:r w:rsidRPr="00702882">
              <w:rPr>
                <w:sz w:val="20"/>
                <w:szCs w:val="20"/>
              </w:rPr>
              <w:t>Law 2016 ch.18, § 1, effective July 1, 2016</w:t>
            </w:r>
          </w:p>
        </w:tc>
      </w:tr>
    </w:tbl>
    <w:p w14:paraId="41B5BEAD" w14:textId="77777777" w:rsidR="00AF6702" w:rsidRDefault="00AF6702" w:rsidP="00F3133D">
      <w:pPr>
        <w:spacing w:line="480" w:lineRule="auto"/>
        <w:rPr>
          <w:rFonts w:eastAsiaTheme="minorEastAsia"/>
          <w:sz w:val="20"/>
          <w:szCs w:val="20"/>
        </w:rPr>
      </w:pPr>
      <w:r w:rsidRPr="00702882">
        <w:rPr>
          <w:sz w:val="20"/>
          <w:szCs w:val="20"/>
        </w:rPr>
        <w:t>Note: BSF structures are defined in Table 3.</w:t>
      </w:r>
    </w:p>
    <w:p w14:paraId="7BCE1076" w14:textId="59CCBF00" w:rsidR="00F3133D" w:rsidRPr="00F3133D" w:rsidRDefault="00F3133D" w:rsidP="00F3133D">
      <w:pPr>
        <w:spacing w:line="480" w:lineRule="auto"/>
        <w:rPr>
          <w:rFonts w:eastAsiaTheme="minorEastAsia"/>
          <w:sz w:val="20"/>
          <w:szCs w:val="20"/>
        </w:rPr>
        <w:sectPr w:rsidR="00F3133D" w:rsidRPr="00F3133D" w:rsidSect="008512E5">
          <w:pgSz w:w="15840" w:h="12240" w:orient="landscape"/>
          <w:pgMar w:top="1440" w:right="1440" w:bottom="1440" w:left="1440" w:header="720" w:footer="720" w:gutter="0"/>
          <w:cols w:space="720"/>
          <w:docGrid w:linePitch="360"/>
        </w:sectPr>
      </w:pPr>
    </w:p>
    <w:p w14:paraId="5A75A836" w14:textId="77777777" w:rsidR="00401A0D" w:rsidRPr="00702882" w:rsidRDefault="00401A0D" w:rsidP="00B7282E">
      <w:pPr>
        <w:spacing w:line="480" w:lineRule="auto"/>
        <w:ind w:leftChars="-1" w:left="567" w:hangingChars="237" w:hanging="569"/>
        <w:jc w:val="center"/>
        <w:rPr>
          <w:rFonts w:eastAsiaTheme="minorEastAsia"/>
          <w:b/>
          <w:bCs/>
        </w:rPr>
      </w:pPr>
      <w:bookmarkStart w:id="85" w:name="CITEDLITERATURE"/>
      <w:r w:rsidRPr="00702882">
        <w:rPr>
          <w:rFonts w:eastAsiaTheme="minorEastAsia"/>
          <w:b/>
          <w:bCs/>
        </w:rPr>
        <w:lastRenderedPageBreak/>
        <w:t>CITED LITERATURE</w:t>
      </w:r>
    </w:p>
    <w:bookmarkEnd w:id="85"/>
    <w:p w14:paraId="6EC308E4" w14:textId="77777777" w:rsidR="00401A0D" w:rsidRDefault="00401A0D" w:rsidP="00401A0D">
      <w:pPr>
        <w:autoSpaceDE w:val="0"/>
        <w:autoSpaceDN w:val="0"/>
        <w:ind w:leftChars="-1" w:left="567" w:hangingChars="237" w:hanging="569"/>
      </w:pPr>
      <w:r>
        <w:t xml:space="preserve">Abadie, A., Diamond, A., &amp; Hainmueller, A. J. (2010). Synthetic control methods for comparative case studies: Estimating the effect of California’s Tobacco control program. </w:t>
      </w:r>
      <w:r>
        <w:rPr>
          <w:i/>
          <w:iCs/>
        </w:rPr>
        <w:t>Journal of the American Statistical Association</w:t>
      </w:r>
      <w:r>
        <w:t xml:space="preserve">, </w:t>
      </w:r>
      <w:r>
        <w:rPr>
          <w:i/>
          <w:iCs/>
        </w:rPr>
        <w:t>105</w:t>
      </w:r>
      <w:r>
        <w:t>(490). https://doi.org/10.1198/jasa.2009.ap08746</w:t>
      </w:r>
    </w:p>
    <w:p w14:paraId="4B38F489" w14:textId="77777777" w:rsidR="00401A0D" w:rsidRDefault="00401A0D" w:rsidP="00401A0D">
      <w:pPr>
        <w:autoSpaceDE w:val="0"/>
        <w:autoSpaceDN w:val="0"/>
        <w:ind w:leftChars="-1" w:left="567" w:hangingChars="237" w:hanging="569"/>
      </w:pPr>
      <w:r>
        <w:t xml:space="preserve">Abadie, A., Diamond, A., &amp; Hainmueller, J. (2015). Comparative Politics and the Synthetic Control Method. </w:t>
      </w:r>
      <w:r>
        <w:rPr>
          <w:i/>
          <w:iCs/>
        </w:rPr>
        <w:t>American Journal of Political Science</w:t>
      </w:r>
      <w:r>
        <w:t xml:space="preserve">, </w:t>
      </w:r>
      <w:r>
        <w:rPr>
          <w:i/>
          <w:iCs/>
        </w:rPr>
        <w:t>59</w:t>
      </w:r>
      <w:r>
        <w:t>(2). https://doi.org/10.1111/ajps.12116</w:t>
      </w:r>
    </w:p>
    <w:p w14:paraId="630A0036" w14:textId="77777777" w:rsidR="00401A0D" w:rsidRDefault="00401A0D" w:rsidP="00401A0D">
      <w:pPr>
        <w:autoSpaceDE w:val="0"/>
        <w:autoSpaceDN w:val="0"/>
        <w:ind w:leftChars="-1" w:left="567" w:hangingChars="237" w:hanging="569"/>
      </w:pPr>
      <w:r>
        <w:t xml:space="preserve">Abbott, K. W., Keohane, R. O., Moravcsik, A., Slaughter, A. M., &amp; Snidal, D. (2000). The concept of legalization. </w:t>
      </w:r>
      <w:r>
        <w:rPr>
          <w:i/>
          <w:iCs/>
        </w:rPr>
        <w:t>International Organization</w:t>
      </w:r>
      <w:r>
        <w:t xml:space="preserve">, </w:t>
      </w:r>
      <w:r>
        <w:rPr>
          <w:i/>
          <w:iCs/>
        </w:rPr>
        <w:t>54</w:t>
      </w:r>
      <w:r>
        <w:t>(3). https://doi.org/10.1162/002081800551271</w:t>
      </w:r>
    </w:p>
    <w:p w14:paraId="11B70CA9" w14:textId="77777777" w:rsidR="00401A0D" w:rsidRDefault="00401A0D" w:rsidP="00401A0D">
      <w:pPr>
        <w:autoSpaceDE w:val="0"/>
        <w:autoSpaceDN w:val="0"/>
        <w:ind w:leftChars="-1" w:left="567" w:hangingChars="237" w:hanging="569"/>
      </w:pPr>
      <w:r>
        <w:t xml:space="preserve">Alesina, A., &amp; Perotti, R. (1996). Fiscal Discipline and the Budget Process. </w:t>
      </w:r>
      <w:r>
        <w:rPr>
          <w:i/>
          <w:iCs/>
        </w:rPr>
        <w:t>American Economic Review</w:t>
      </w:r>
      <w:r>
        <w:t xml:space="preserve">, </w:t>
      </w:r>
      <w:r>
        <w:rPr>
          <w:i/>
          <w:iCs/>
        </w:rPr>
        <w:t>86</w:t>
      </w:r>
      <w:r>
        <w:t>(2), 401–407. https://doi.org/10.2307/2118160</w:t>
      </w:r>
    </w:p>
    <w:p w14:paraId="366D583B" w14:textId="77777777" w:rsidR="00401A0D" w:rsidRDefault="00401A0D" w:rsidP="00401A0D">
      <w:pPr>
        <w:autoSpaceDE w:val="0"/>
        <w:autoSpaceDN w:val="0"/>
        <w:ind w:leftChars="-1" w:left="567" w:hangingChars="237" w:hanging="569"/>
      </w:pPr>
      <w:r>
        <w:t xml:space="preserve">Alesina, A., Perotti, R., &amp; Tavares, J. (1998). The political economy of fiscal adjustments. </w:t>
      </w:r>
      <w:r>
        <w:rPr>
          <w:i/>
          <w:iCs/>
        </w:rPr>
        <w:t>Brookings Papers on Economic Activity</w:t>
      </w:r>
      <w:r>
        <w:t xml:space="preserve">, </w:t>
      </w:r>
      <w:r>
        <w:rPr>
          <w:i/>
          <w:iCs/>
        </w:rPr>
        <w:t>1</w:t>
      </w:r>
      <w:r>
        <w:t>. https://doi.org/10.2307/2534672</w:t>
      </w:r>
    </w:p>
    <w:p w14:paraId="1BDEA90D" w14:textId="77777777" w:rsidR="00401A0D" w:rsidRDefault="00401A0D" w:rsidP="00401A0D">
      <w:pPr>
        <w:autoSpaceDE w:val="0"/>
        <w:autoSpaceDN w:val="0"/>
        <w:ind w:leftChars="-1" w:left="567" w:hangingChars="237" w:hanging="569"/>
      </w:pPr>
      <w:r>
        <w:t xml:space="preserve">Alt, J. E., &amp; Lassen, D. D. (2006). Transparency, political polarization, and political budget cycles in OECD countries. In </w:t>
      </w:r>
      <w:r>
        <w:rPr>
          <w:i/>
          <w:iCs/>
        </w:rPr>
        <w:t>American Journal of Political Science</w:t>
      </w:r>
      <w:r>
        <w:t xml:space="preserve"> (Vol. 50, Issue 3). https://doi.org/10.1111/j.1540-5907.2006.00200.x</w:t>
      </w:r>
    </w:p>
    <w:p w14:paraId="4808147D" w14:textId="77777777" w:rsidR="00401A0D" w:rsidRDefault="00401A0D" w:rsidP="00401A0D">
      <w:pPr>
        <w:autoSpaceDE w:val="0"/>
        <w:autoSpaceDN w:val="0"/>
        <w:ind w:leftChars="-1" w:left="567" w:hangingChars="237" w:hanging="569"/>
      </w:pPr>
      <w:r>
        <w:t xml:space="preserve">Alt, J. E., &amp; Lowry, R. C. (1994). Divided Government, Fiscal Institutions, and Budget Deficits: Evidence from the States. </w:t>
      </w:r>
      <w:r>
        <w:rPr>
          <w:i/>
          <w:iCs/>
        </w:rPr>
        <w:t>American Political Science Review</w:t>
      </w:r>
      <w:r>
        <w:t xml:space="preserve">, </w:t>
      </w:r>
      <w:r>
        <w:rPr>
          <w:i/>
          <w:iCs/>
        </w:rPr>
        <w:t>88</w:t>
      </w:r>
      <w:r>
        <w:t>(4), 811–828. https://doi.org/10.2307/2082709</w:t>
      </w:r>
    </w:p>
    <w:p w14:paraId="7906E529" w14:textId="77777777" w:rsidR="00401A0D" w:rsidRDefault="00401A0D" w:rsidP="00401A0D">
      <w:pPr>
        <w:autoSpaceDE w:val="0"/>
        <w:autoSpaceDN w:val="0"/>
        <w:ind w:leftChars="-1" w:left="567" w:hangingChars="237" w:hanging="569"/>
      </w:pPr>
      <w:r>
        <w:t xml:space="preserve">Alt, J. E., &amp; Lowry, R. C. (2000). A dynamic model of state budget outcomes under divided partisan government. </w:t>
      </w:r>
      <w:r>
        <w:rPr>
          <w:i/>
          <w:iCs/>
        </w:rPr>
        <w:t>Journal of Politics</w:t>
      </w:r>
      <w:r>
        <w:t xml:space="preserve">, </w:t>
      </w:r>
      <w:r>
        <w:rPr>
          <w:i/>
          <w:iCs/>
        </w:rPr>
        <w:t>62</w:t>
      </w:r>
      <w:r>
        <w:t>(4). https://doi.org/10.1111/0022-3816.00045</w:t>
      </w:r>
    </w:p>
    <w:p w14:paraId="1892495D" w14:textId="77777777" w:rsidR="00401A0D" w:rsidRDefault="00401A0D" w:rsidP="00401A0D">
      <w:pPr>
        <w:autoSpaceDE w:val="0"/>
        <w:autoSpaceDN w:val="0"/>
        <w:ind w:leftChars="-1" w:left="567" w:hangingChars="237" w:hanging="569"/>
      </w:pPr>
      <w:r>
        <w:t xml:space="preserve">Alt, J. E., &amp; Lowry, R. C. (2003). Party differences in state budget outcomes are there after all: Response to “reexamining the dynamic model of divided partisan government.” In </w:t>
      </w:r>
      <w:r>
        <w:rPr>
          <w:i/>
          <w:iCs/>
        </w:rPr>
        <w:t>Journal of Politics</w:t>
      </w:r>
      <w:r>
        <w:t xml:space="preserve"> (Vol. 65, Issue 2). https://doi.org/10.1111/1468-2508.t01-2-00011</w:t>
      </w:r>
    </w:p>
    <w:p w14:paraId="3F1524D1" w14:textId="77777777" w:rsidR="00401A0D" w:rsidRDefault="00401A0D" w:rsidP="00401A0D">
      <w:pPr>
        <w:autoSpaceDE w:val="0"/>
        <w:autoSpaceDN w:val="0"/>
        <w:ind w:leftChars="-1" w:left="567" w:hangingChars="237" w:hanging="569"/>
      </w:pPr>
      <w:r>
        <w:t xml:space="preserve">Amiel, L., Deller, S., Stallmann, J., &amp; Maher, C. (2014). Does the Restrictiveness of State Tax and Expenditure Limitations Affect State Revenues and Expenditures? </w:t>
      </w:r>
      <w:r>
        <w:rPr>
          <w:i/>
          <w:iCs/>
        </w:rPr>
        <w:t>International Journal of Public Administration</w:t>
      </w:r>
      <w:r>
        <w:t xml:space="preserve">, </w:t>
      </w:r>
      <w:r>
        <w:rPr>
          <w:i/>
          <w:iCs/>
        </w:rPr>
        <w:t>37</w:t>
      </w:r>
      <w:r>
        <w:t>(4). https://doi.org/10.1080/01900692.2013.812113</w:t>
      </w:r>
    </w:p>
    <w:p w14:paraId="293229F6" w14:textId="77777777" w:rsidR="00401A0D" w:rsidRDefault="00401A0D" w:rsidP="00401A0D">
      <w:pPr>
        <w:autoSpaceDE w:val="0"/>
        <w:autoSpaceDN w:val="0"/>
        <w:ind w:leftChars="-1" w:left="567" w:hangingChars="237" w:hanging="569"/>
      </w:pPr>
      <w:r>
        <w:t xml:space="preserve">Angrist, J. D., &amp; Pischke, J.-S. (2009). Mostly Harmless Econometrics. In </w:t>
      </w:r>
      <w:r>
        <w:rPr>
          <w:i/>
          <w:iCs/>
        </w:rPr>
        <w:t>Mostly Harmless Econometrics</w:t>
      </w:r>
      <w:r>
        <w:t>. https://doi.org/10.2307/j.ctvcm4j72</w:t>
      </w:r>
    </w:p>
    <w:p w14:paraId="04809983" w14:textId="77777777" w:rsidR="00401A0D" w:rsidRDefault="00401A0D" w:rsidP="00401A0D">
      <w:pPr>
        <w:autoSpaceDE w:val="0"/>
        <w:autoSpaceDN w:val="0"/>
        <w:ind w:leftChars="-1" w:left="567" w:hangingChars="237" w:hanging="569"/>
      </w:pPr>
      <w:r>
        <w:t xml:space="preserve">Bai, J. (2009). Panel Data Models With Interactive Fixed Effects. </w:t>
      </w:r>
      <w:r>
        <w:rPr>
          <w:i/>
          <w:iCs/>
        </w:rPr>
        <w:t>Econometrica</w:t>
      </w:r>
      <w:r>
        <w:t xml:space="preserve">, </w:t>
      </w:r>
      <w:r>
        <w:rPr>
          <w:i/>
          <w:iCs/>
        </w:rPr>
        <w:t>77</w:t>
      </w:r>
      <w:r>
        <w:t>(4), 1229–1279. https://doi.org/10.3982/ECTA6135</w:t>
      </w:r>
    </w:p>
    <w:p w14:paraId="548DF395" w14:textId="77777777" w:rsidR="00401A0D" w:rsidRDefault="00401A0D" w:rsidP="00401A0D">
      <w:pPr>
        <w:autoSpaceDE w:val="0"/>
        <w:autoSpaceDN w:val="0"/>
        <w:ind w:leftChars="-1" w:left="567" w:hangingChars="237" w:hanging="569"/>
      </w:pPr>
      <w:r>
        <w:t xml:space="preserve">Ballotpedia. (2016). Connecticut elections, 2016 . </w:t>
      </w:r>
      <w:r>
        <w:rPr>
          <w:i/>
          <w:iCs/>
        </w:rPr>
        <w:t>Ballotpedia</w:t>
      </w:r>
      <w:r>
        <w:t>. https://ballotpedia.org/Connecticut_elections,_2016</w:t>
      </w:r>
    </w:p>
    <w:p w14:paraId="64C66F6C" w14:textId="77777777" w:rsidR="00401A0D" w:rsidRDefault="00401A0D" w:rsidP="00401A0D">
      <w:pPr>
        <w:autoSpaceDE w:val="0"/>
        <w:autoSpaceDN w:val="0"/>
        <w:ind w:leftChars="-1" w:left="567" w:hangingChars="237" w:hanging="569"/>
      </w:pPr>
      <w:r>
        <w:t xml:space="preserve">Barrilleaux, C., Holbrook, T., &amp; Langer, L. (2002). Electoral Competition, Legislative Balance, and American State Welfare Policy. </w:t>
      </w:r>
      <w:r>
        <w:rPr>
          <w:i/>
          <w:iCs/>
        </w:rPr>
        <w:t>American Journal of Political Science</w:t>
      </w:r>
      <w:r>
        <w:t xml:space="preserve">, </w:t>
      </w:r>
      <w:r>
        <w:rPr>
          <w:i/>
          <w:iCs/>
        </w:rPr>
        <w:t>46</w:t>
      </w:r>
      <w:r>
        <w:t>(2). https://doi.org/10.2307/3088385</w:t>
      </w:r>
    </w:p>
    <w:p w14:paraId="2BAD6956" w14:textId="77777777" w:rsidR="00401A0D" w:rsidRDefault="00401A0D" w:rsidP="00401A0D">
      <w:pPr>
        <w:autoSpaceDE w:val="0"/>
        <w:autoSpaceDN w:val="0"/>
        <w:ind w:leftChars="-1" w:left="567" w:hangingChars="237" w:hanging="569"/>
      </w:pPr>
      <w:r>
        <w:t xml:space="preserve">Besley, T., &amp; Case, A. (1995). Incumbent Behavior: Vote-Seeking, Tax-Setting, and Yardstick Competition. </w:t>
      </w:r>
      <w:r>
        <w:rPr>
          <w:i/>
          <w:iCs/>
        </w:rPr>
        <w:t>The American Economic Review</w:t>
      </w:r>
      <w:r>
        <w:t xml:space="preserve">, </w:t>
      </w:r>
      <w:r>
        <w:rPr>
          <w:i/>
          <w:iCs/>
        </w:rPr>
        <w:t>85</w:t>
      </w:r>
      <w:r>
        <w:t>(1), 25–45.</w:t>
      </w:r>
    </w:p>
    <w:p w14:paraId="36AEDFAF" w14:textId="77777777" w:rsidR="00401A0D" w:rsidRDefault="00401A0D" w:rsidP="00401A0D">
      <w:pPr>
        <w:autoSpaceDE w:val="0"/>
        <w:autoSpaceDN w:val="0"/>
        <w:ind w:leftChars="-1" w:left="567" w:hangingChars="237" w:hanging="569"/>
      </w:pPr>
      <w:r>
        <w:t xml:space="preserve">Bowen, G. A. (2009). Document analysis as a qualitative research method. </w:t>
      </w:r>
      <w:r>
        <w:rPr>
          <w:i/>
          <w:iCs/>
        </w:rPr>
        <w:t>Qualitative Research Journal</w:t>
      </w:r>
      <w:r>
        <w:t xml:space="preserve">, </w:t>
      </w:r>
      <w:r>
        <w:rPr>
          <w:i/>
          <w:iCs/>
        </w:rPr>
        <w:t>9</w:t>
      </w:r>
      <w:r>
        <w:t>(2). https://doi.org/10.3316/QRJ0902027</w:t>
      </w:r>
    </w:p>
    <w:p w14:paraId="6DC81570" w14:textId="77777777" w:rsidR="00401A0D" w:rsidRDefault="00401A0D" w:rsidP="00401A0D">
      <w:pPr>
        <w:autoSpaceDE w:val="0"/>
        <w:autoSpaceDN w:val="0"/>
        <w:ind w:leftChars="-1" w:left="567" w:hangingChars="237" w:hanging="569"/>
      </w:pPr>
      <w:r>
        <w:t xml:space="preserve">Breton, A., &amp; Wintrobe, R. (1975). The Equilibrium Size of a Budget-maximizing Bureau: A Note on Niskanen’s Theory of Bureaucracy. </w:t>
      </w:r>
      <w:r>
        <w:rPr>
          <w:i/>
          <w:iCs/>
        </w:rPr>
        <w:t xml:space="preserve">Journal of Political Economy </w:t>
      </w:r>
      <w:r>
        <w:t xml:space="preserve">, </w:t>
      </w:r>
      <w:r>
        <w:rPr>
          <w:i/>
          <w:iCs/>
        </w:rPr>
        <w:t>83</w:t>
      </w:r>
      <w:r>
        <w:t>(1), 195–207. https://www.jstor.org/stable/1833280?seq=1#metadata_info_tab_contents</w:t>
      </w:r>
    </w:p>
    <w:p w14:paraId="2FEB53DD" w14:textId="77777777" w:rsidR="00401A0D" w:rsidRDefault="00401A0D" w:rsidP="00401A0D">
      <w:pPr>
        <w:autoSpaceDE w:val="0"/>
        <w:autoSpaceDN w:val="0"/>
        <w:ind w:leftChars="-1" w:left="567" w:hangingChars="237" w:hanging="569"/>
      </w:pPr>
      <w:r>
        <w:lastRenderedPageBreak/>
        <w:t xml:space="preserve">Brooks, L., &amp; Phillips, J. H. (2010). An institutional explanation for the stickiness of federal grants. </w:t>
      </w:r>
      <w:r>
        <w:rPr>
          <w:i/>
          <w:iCs/>
        </w:rPr>
        <w:t>Journal of Law, Economics, and Organization</w:t>
      </w:r>
      <w:r>
        <w:t xml:space="preserve">, </w:t>
      </w:r>
      <w:r>
        <w:rPr>
          <w:i/>
          <w:iCs/>
        </w:rPr>
        <w:t>26</w:t>
      </w:r>
      <w:r>
        <w:t>(2), 243–264. https://doi.org/10.1093/jleo/ewn016</w:t>
      </w:r>
    </w:p>
    <w:p w14:paraId="71FD0798" w14:textId="77777777" w:rsidR="00401A0D" w:rsidRDefault="00401A0D" w:rsidP="00401A0D">
      <w:pPr>
        <w:autoSpaceDE w:val="0"/>
        <w:autoSpaceDN w:val="0"/>
        <w:ind w:leftChars="-1" w:left="567" w:hangingChars="237" w:hanging="569"/>
      </w:pPr>
      <w:r>
        <w:t xml:space="preserve">Brown, R. D. (1995). Party Cleavages and Welfare Effort in the American States. </w:t>
      </w:r>
      <w:r>
        <w:rPr>
          <w:i/>
          <w:iCs/>
        </w:rPr>
        <w:t>American Political Science Review</w:t>
      </w:r>
      <w:r>
        <w:t xml:space="preserve">, </w:t>
      </w:r>
      <w:r>
        <w:rPr>
          <w:i/>
          <w:iCs/>
        </w:rPr>
        <w:t>89</w:t>
      </w:r>
      <w:r>
        <w:t>(1), 23–33. https://doi.org/10.2307/2083072</w:t>
      </w:r>
    </w:p>
    <w:p w14:paraId="131948E9" w14:textId="77777777" w:rsidR="00401A0D" w:rsidRDefault="00401A0D" w:rsidP="00401A0D">
      <w:pPr>
        <w:autoSpaceDE w:val="0"/>
        <w:autoSpaceDN w:val="0"/>
        <w:ind w:leftChars="-1" w:left="567" w:hangingChars="237" w:hanging="569"/>
      </w:pPr>
      <w:r>
        <w:t xml:space="preserve">Buchanan, J. M., &amp; Wagner, R. E. (1977). Democracy in deficit. In </w:t>
      </w:r>
      <w:r>
        <w:rPr>
          <w:i/>
          <w:iCs/>
        </w:rPr>
        <w:t>The Collected Works of James M. Buchanan volume 8</w:t>
      </w:r>
      <w:r>
        <w:t>. Academic Press.</w:t>
      </w:r>
    </w:p>
    <w:p w14:paraId="4C0EBB55" w14:textId="77777777" w:rsidR="00401A0D" w:rsidRDefault="00401A0D" w:rsidP="00401A0D">
      <w:pPr>
        <w:autoSpaceDE w:val="0"/>
        <w:autoSpaceDN w:val="0"/>
        <w:ind w:leftChars="-1" w:left="567" w:hangingChars="237" w:hanging="569"/>
      </w:pPr>
      <w:r>
        <w:t xml:space="preserve">Buerger, C., Reitano, V., &amp; Sorrentino, C. (2022). State fiscal reserves: Supplementation and substitution over economic boom and bust years. </w:t>
      </w:r>
      <w:r>
        <w:rPr>
          <w:i/>
          <w:iCs/>
        </w:rPr>
        <w:t>Public Budgeting and Finance</w:t>
      </w:r>
      <w:r>
        <w:t xml:space="preserve">, </w:t>
      </w:r>
      <w:r>
        <w:rPr>
          <w:i/>
          <w:iCs/>
        </w:rPr>
        <w:t>42</w:t>
      </w:r>
      <w:r>
        <w:t>(1). https://doi.org/10.1111/pbaf.12311</w:t>
      </w:r>
    </w:p>
    <w:p w14:paraId="6C35778E" w14:textId="77777777" w:rsidR="00401A0D" w:rsidRDefault="00401A0D" w:rsidP="00401A0D">
      <w:pPr>
        <w:autoSpaceDE w:val="0"/>
        <w:autoSpaceDN w:val="0"/>
        <w:ind w:leftChars="-1" w:left="567" w:hangingChars="237" w:hanging="569"/>
      </w:pPr>
      <w:r>
        <w:t xml:space="preserve">Bunch, B. S. (2010). Budget Deficits in the States: Illinois. </w:t>
      </w:r>
      <w:r>
        <w:rPr>
          <w:i/>
          <w:iCs/>
        </w:rPr>
        <w:t>Public Budgeting and Finance</w:t>
      </w:r>
      <w:r>
        <w:t xml:space="preserve">, </w:t>
      </w:r>
      <w:r>
        <w:rPr>
          <w:i/>
          <w:iCs/>
        </w:rPr>
        <w:t>30</w:t>
      </w:r>
      <w:r>
        <w:t>(1). https://doi.org/10.1111/j.1540-5850.2010.00951.x</w:t>
      </w:r>
    </w:p>
    <w:p w14:paraId="5A386DF5" w14:textId="77777777" w:rsidR="00401A0D" w:rsidRDefault="00401A0D" w:rsidP="00401A0D">
      <w:pPr>
        <w:autoSpaceDE w:val="0"/>
        <w:autoSpaceDN w:val="0"/>
        <w:ind w:leftChars="-1" w:left="567" w:hangingChars="237" w:hanging="569"/>
      </w:pPr>
      <w:r>
        <w:t xml:space="preserve">Cameron, C. A., Gelbach, J. B., &amp; Miller, D. L. (2011). Robust inference with multiway clustering. </w:t>
      </w:r>
      <w:r>
        <w:rPr>
          <w:i/>
          <w:iCs/>
        </w:rPr>
        <w:t>Journal of Business and Economic Statistics</w:t>
      </w:r>
      <w:r>
        <w:t xml:space="preserve">, </w:t>
      </w:r>
      <w:r>
        <w:rPr>
          <w:i/>
          <w:iCs/>
        </w:rPr>
        <w:t>29</w:t>
      </w:r>
      <w:r>
        <w:t>(2). https://doi.org/10.1198/jbes.2010.07136</w:t>
      </w:r>
    </w:p>
    <w:p w14:paraId="41DF3515" w14:textId="77777777" w:rsidR="00401A0D" w:rsidRDefault="00401A0D" w:rsidP="00401A0D">
      <w:pPr>
        <w:autoSpaceDE w:val="0"/>
        <w:autoSpaceDN w:val="0"/>
        <w:ind w:leftChars="-1" w:left="567" w:hangingChars="237" w:hanging="569"/>
      </w:pPr>
      <w:r>
        <w:t xml:space="preserve">Cameron, C. A., &amp; Miller, D. L. (2015). A practitioner’s guide to cluster- robust inference. </w:t>
      </w:r>
      <w:r>
        <w:rPr>
          <w:i/>
          <w:iCs/>
        </w:rPr>
        <w:t>Journal of Human Resources</w:t>
      </w:r>
      <w:r>
        <w:t xml:space="preserve">, </w:t>
      </w:r>
      <w:r>
        <w:rPr>
          <w:i/>
          <w:iCs/>
        </w:rPr>
        <w:t>50</w:t>
      </w:r>
      <w:r>
        <w:t>(2). https://doi.org/10.3368/jhr.50.2.317</w:t>
      </w:r>
    </w:p>
    <w:p w14:paraId="2B0441BE" w14:textId="77777777" w:rsidR="00401A0D" w:rsidRDefault="00401A0D" w:rsidP="00401A0D">
      <w:pPr>
        <w:autoSpaceDE w:val="0"/>
        <w:autoSpaceDN w:val="0"/>
        <w:ind w:leftChars="-1" w:left="567" w:hangingChars="237" w:hanging="569"/>
      </w:pPr>
      <w:r>
        <w:t xml:space="preserve">Carlson, A., Morrison, S., Poulette, J., &amp; Schaefer, S. (2018). </w:t>
      </w:r>
      <w:r>
        <w:rPr>
          <w:i/>
          <w:iCs/>
        </w:rPr>
        <w:t>Budget stabilization reserve fund, Part III Recommendations for strengthening state finances</w:t>
      </w:r>
      <w:r>
        <w:t>. https://leg.mt.gov/content/Publications/fiscal/interim/May-2018/BSRFIII-final.pdf</w:t>
      </w:r>
    </w:p>
    <w:p w14:paraId="5D5AEB11" w14:textId="77777777" w:rsidR="00401A0D" w:rsidRDefault="00401A0D" w:rsidP="00401A0D">
      <w:pPr>
        <w:autoSpaceDE w:val="0"/>
        <w:autoSpaceDN w:val="0"/>
        <w:ind w:leftChars="-1" w:left="567" w:hangingChars="237" w:hanging="569"/>
      </w:pPr>
      <w:r>
        <w:t xml:space="preserve">Castro, G. Á., &amp; Camarillo, D. B. R. (2014). Determinants of tax revenue in OECD countries over the period 2001-2011. </w:t>
      </w:r>
      <w:r>
        <w:rPr>
          <w:i/>
          <w:iCs/>
        </w:rPr>
        <w:t>Contaduria y Administracion</w:t>
      </w:r>
      <w:r>
        <w:t xml:space="preserve">, </w:t>
      </w:r>
      <w:r>
        <w:rPr>
          <w:i/>
          <w:iCs/>
        </w:rPr>
        <w:t>59</w:t>
      </w:r>
      <w:r>
        <w:t>(3). https://doi.org/10.1016/s0186-1042(14)71265-3</w:t>
      </w:r>
    </w:p>
    <w:p w14:paraId="03F8CB3D" w14:textId="77777777" w:rsidR="00401A0D" w:rsidRDefault="00401A0D" w:rsidP="00401A0D">
      <w:pPr>
        <w:autoSpaceDE w:val="0"/>
        <w:autoSpaceDN w:val="0"/>
        <w:ind w:leftChars="-1" w:left="567" w:hangingChars="237" w:hanging="569"/>
      </w:pPr>
      <w:r>
        <w:t xml:space="preserve">Choi, E. (2022). Do Budget Stabilization Funds Invite Transparent Budget Reporting? Budget Stabilization Funds and Fiscal Behavior of States. </w:t>
      </w:r>
      <w:r>
        <w:rPr>
          <w:i/>
          <w:iCs/>
        </w:rPr>
        <w:t>Journal of Policy Studies</w:t>
      </w:r>
      <w:r>
        <w:t xml:space="preserve">, </w:t>
      </w:r>
      <w:r>
        <w:rPr>
          <w:i/>
          <w:iCs/>
        </w:rPr>
        <w:t>37</w:t>
      </w:r>
      <w:r>
        <w:t>(3), 67–84.</w:t>
      </w:r>
    </w:p>
    <w:p w14:paraId="7A999163" w14:textId="77777777" w:rsidR="00401A0D" w:rsidRDefault="00401A0D" w:rsidP="00401A0D">
      <w:pPr>
        <w:autoSpaceDE w:val="0"/>
        <w:autoSpaceDN w:val="0"/>
        <w:ind w:leftChars="-1" w:left="567" w:hangingChars="237" w:hanging="569"/>
      </w:pPr>
      <w:r>
        <w:t xml:space="preserve">Clark, T. N., &amp; Ferguson, L. C. (1983). </w:t>
      </w:r>
      <w:r>
        <w:rPr>
          <w:i/>
          <w:iCs/>
        </w:rPr>
        <w:t xml:space="preserve">City money: Political processes, fiscal strain, and retrenchment. </w:t>
      </w:r>
      <w:r>
        <w:t>Columbia University Press.</w:t>
      </w:r>
    </w:p>
    <w:p w14:paraId="706B85F0" w14:textId="77777777" w:rsidR="00401A0D" w:rsidRPr="003B215E" w:rsidRDefault="00401A0D" w:rsidP="00401A0D">
      <w:pPr>
        <w:autoSpaceDE w:val="0"/>
        <w:autoSpaceDN w:val="0"/>
        <w:ind w:leftChars="-1" w:left="567" w:hangingChars="237" w:hanging="569"/>
        <w:rPr>
          <w:rFonts w:eastAsiaTheme="minorEastAsia"/>
        </w:rPr>
      </w:pPr>
      <w:r>
        <w:t xml:space="preserve">Coppedge, M. (1997). How the large n could complement the small in democratization research. </w:t>
      </w:r>
      <w:r>
        <w:rPr>
          <w:i/>
          <w:iCs/>
        </w:rPr>
        <w:t>Annual Meeting of the American Political Science Association</w:t>
      </w:r>
      <w:r>
        <w:rPr>
          <w:rFonts w:eastAsiaTheme="minorEastAsia" w:hint="eastAsia"/>
        </w:rPr>
        <w:t>.</w:t>
      </w:r>
    </w:p>
    <w:p w14:paraId="67FE3581" w14:textId="77777777" w:rsidR="00401A0D" w:rsidRDefault="00401A0D" w:rsidP="00401A0D">
      <w:pPr>
        <w:autoSpaceDE w:val="0"/>
        <w:autoSpaceDN w:val="0"/>
        <w:ind w:leftChars="-1" w:left="567" w:hangingChars="237" w:hanging="569"/>
      </w:pPr>
      <w:r>
        <w:t xml:space="preserve">Corbin, J., &amp; Strauss, A. (2012). Basics of Qualitative Research (3rd ed.): Techniques and Procedures for Developing Grounded Theory. In </w:t>
      </w:r>
      <w:r>
        <w:rPr>
          <w:i/>
          <w:iCs/>
        </w:rPr>
        <w:t>Basics of Qualitative Research (3rd ed.): Techniques and Procedures for Developing Grounded Theory</w:t>
      </w:r>
      <w:r>
        <w:t>. https://doi.org/10.4135/9781452230153</w:t>
      </w:r>
    </w:p>
    <w:p w14:paraId="1E5796AB" w14:textId="77777777" w:rsidR="00401A0D" w:rsidRDefault="00401A0D" w:rsidP="00401A0D">
      <w:pPr>
        <w:autoSpaceDE w:val="0"/>
        <w:autoSpaceDN w:val="0"/>
        <w:ind w:leftChars="-1" w:left="567" w:hangingChars="237" w:hanging="569"/>
      </w:pPr>
      <w:r>
        <w:t xml:space="preserve">Costello, T. J., Green, D., &amp; Graves, P. (2016, September). </w:t>
      </w:r>
      <w:r>
        <w:rPr>
          <w:i/>
          <w:iCs/>
        </w:rPr>
        <w:t>Fiscal Notes: The Texas Economic Stabilization Fund Saving for Rainy Days</w:t>
      </w:r>
      <w:r>
        <w:t>. Texas Comptroller of Public Accounts. https://comptroller.texas.gov/economy/fiscal-notes/2016/september/rainy-day.php</w:t>
      </w:r>
    </w:p>
    <w:p w14:paraId="213BDAD1" w14:textId="77777777" w:rsidR="00401A0D" w:rsidRDefault="00401A0D" w:rsidP="00401A0D">
      <w:pPr>
        <w:autoSpaceDE w:val="0"/>
        <w:autoSpaceDN w:val="0"/>
        <w:ind w:leftChars="-1" w:left="567" w:hangingChars="237" w:hanging="569"/>
      </w:pPr>
      <w:r>
        <w:t xml:space="preserve">Cyert, R. M. ;, &amp; March, J. G. (1963). A Behavioral Theory of the Firm. In </w:t>
      </w:r>
      <w:r>
        <w:rPr>
          <w:i/>
          <w:iCs/>
        </w:rPr>
        <w:t>American Political Science Review</w:t>
      </w:r>
      <w:r>
        <w:t xml:space="preserve"> (Issue 3). Prentice-Hall.</w:t>
      </w:r>
    </w:p>
    <w:p w14:paraId="10463C5A" w14:textId="77777777" w:rsidR="00401A0D" w:rsidRDefault="00401A0D" w:rsidP="00401A0D">
      <w:pPr>
        <w:autoSpaceDE w:val="0"/>
        <w:autoSpaceDN w:val="0"/>
        <w:ind w:leftChars="-1" w:left="567" w:hangingChars="237" w:hanging="569"/>
      </w:pPr>
      <w:r>
        <w:t xml:space="preserve">Douglas, J. W., &amp; Gaddie, R. K. (2002). State rainy day funds and fiscal crises: Rainy day funds and the 1990–1991 recession revisited. </w:t>
      </w:r>
      <w:r>
        <w:rPr>
          <w:i/>
          <w:iCs/>
        </w:rPr>
        <w:t>Public Budgeting and Finance</w:t>
      </w:r>
      <w:r>
        <w:t xml:space="preserve">, </w:t>
      </w:r>
      <w:r>
        <w:rPr>
          <w:i/>
          <w:iCs/>
        </w:rPr>
        <w:t>22</w:t>
      </w:r>
      <w:r>
        <w:t>(1). https://doi.org/10.1111/1540-5850.00063</w:t>
      </w:r>
    </w:p>
    <w:p w14:paraId="7185F38D" w14:textId="77777777" w:rsidR="00401A0D" w:rsidRDefault="00401A0D" w:rsidP="00401A0D">
      <w:pPr>
        <w:autoSpaceDE w:val="0"/>
        <w:autoSpaceDN w:val="0"/>
        <w:ind w:leftChars="-1" w:left="567" w:hangingChars="237" w:hanging="569"/>
      </w:pPr>
      <w:r>
        <w:t xml:space="preserve">Downs, A. (1961). Problems of Majority Voting: In Defense of Majority Voting. </w:t>
      </w:r>
      <w:r>
        <w:rPr>
          <w:i/>
          <w:iCs/>
        </w:rPr>
        <w:t>Journal of Political Economy</w:t>
      </w:r>
      <w:r>
        <w:t xml:space="preserve">, </w:t>
      </w:r>
      <w:r>
        <w:rPr>
          <w:i/>
          <w:iCs/>
        </w:rPr>
        <w:t>69</w:t>
      </w:r>
      <w:r>
        <w:t>(2). https://doi.org/10.1086/258455</w:t>
      </w:r>
    </w:p>
    <w:p w14:paraId="3ADD6488" w14:textId="77777777" w:rsidR="00401A0D" w:rsidRDefault="00401A0D" w:rsidP="00401A0D">
      <w:pPr>
        <w:autoSpaceDE w:val="0"/>
        <w:autoSpaceDN w:val="0"/>
        <w:ind w:leftChars="-1" w:left="567" w:hangingChars="237" w:hanging="569"/>
      </w:pPr>
      <w:r>
        <w:t xml:space="preserve">Drazen, A., &amp; Eslava, M. (2006). </w:t>
      </w:r>
      <w:r>
        <w:rPr>
          <w:i/>
          <w:iCs/>
        </w:rPr>
        <w:t>Pork Barrel Cycles</w:t>
      </w:r>
      <w:r>
        <w:t>. http://www.nber.org/papers/w12190</w:t>
      </w:r>
    </w:p>
    <w:p w14:paraId="5A667611" w14:textId="77777777" w:rsidR="00401A0D" w:rsidRDefault="00401A0D" w:rsidP="00401A0D">
      <w:pPr>
        <w:autoSpaceDE w:val="0"/>
        <w:autoSpaceDN w:val="0"/>
        <w:ind w:leftChars="-1" w:left="567" w:hangingChars="237" w:hanging="569"/>
      </w:pPr>
      <w:r>
        <w:t xml:space="preserve">Dye, R. F., Hudspeth, N. W., &amp; Merriman, D. F. (2011). </w:t>
      </w:r>
      <w:r>
        <w:rPr>
          <w:i/>
          <w:iCs/>
        </w:rPr>
        <w:t>Transparency in State Budgets</w:t>
      </w:r>
      <w:r>
        <w:t>. http://igpa.uillinois.edu/fiscalfutures.</w:t>
      </w:r>
    </w:p>
    <w:p w14:paraId="27CC6104" w14:textId="77777777" w:rsidR="00401A0D" w:rsidRDefault="00401A0D" w:rsidP="00401A0D">
      <w:pPr>
        <w:autoSpaceDE w:val="0"/>
        <w:autoSpaceDN w:val="0"/>
        <w:ind w:leftChars="-1" w:left="567" w:hangingChars="237" w:hanging="569"/>
      </w:pPr>
      <w:r>
        <w:lastRenderedPageBreak/>
        <w:t xml:space="preserve">Eichengreen, B., &amp; Bayoumi, T. (1994). The political economy of fiscal restrictions: Implications for Europe from the United States. </w:t>
      </w:r>
      <w:r>
        <w:rPr>
          <w:i/>
          <w:iCs/>
        </w:rPr>
        <w:t>European Economic Review</w:t>
      </w:r>
      <w:r>
        <w:t>.</w:t>
      </w:r>
    </w:p>
    <w:p w14:paraId="66B28D13" w14:textId="77777777" w:rsidR="00401A0D" w:rsidRDefault="00401A0D" w:rsidP="00401A0D">
      <w:pPr>
        <w:autoSpaceDE w:val="0"/>
        <w:autoSpaceDN w:val="0"/>
        <w:ind w:leftChars="-1" w:left="567" w:hangingChars="237" w:hanging="569"/>
      </w:pPr>
      <w:r>
        <w:t xml:space="preserve">Eisner, E. (1991). What Makes a Study Qualitative? In </w:t>
      </w:r>
      <w:r>
        <w:rPr>
          <w:i/>
          <w:iCs/>
        </w:rPr>
        <w:t>The enlightented eye: Qualitative inquiry and the enhancement of educational practice</w:t>
      </w:r>
      <w:r>
        <w:t>.</w:t>
      </w:r>
    </w:p>
    <w:p w14:paraId="6ADAFBB3" w14:textId="77777777" w:rsidR="00401A0D" w:rsidRDefault="00401A0D" w:rsidP="00401A0D">
      <w:pPr>
        <w:autoSpaceDE w:val="0"/>
        <w:autoSpaceDN w:val="0"/>
        <w:ind w:leftChars="-1" w:left="567" w:hangingChars="237" w:hanging="569"/>
      </w:pPr>
      <w:r>
        <w:t xml:space="preserve">GASB. (1999). </w:t>
      </w:r>
      <w:r>
        <w:rPr>
          <w:i/>
          <w:iCs/>
        </w:rPr>
        <w:t>Statement No. 34 of the Governmental Accounting Standards Board: Basic Financial Statements—and Management’s Discussion and Analysis—for State and Local Governments</w:t>
      </w:r>
      <w:r>
        <w:t>.</w:t>
      </w:r>
    </w:p>
    <w:p w14:paraId="6DF6EE25" w14:textId="77777777" w:rsidR="00401A0D" w:rsidRDefault="00401A0D" w:rsidP="00401A0D">
      <w:pPr>
        <w:autoSpaceDE w:val="0"/>
        <w:autoSpaceDN w:val="0"/>
        <w:ind w:leftChars="-1" w:left="567" w:hangingChars="237" w:hanging="569"/>
      </w:pPr>
      <w:r>
        <w:t xml:space="preserve">George, A., &amp; Bennett, A. (2005). Case Study and Theory Development in the Social Science. In </w:t>
      </w:r>
      <w:r>
        <w:rPr>
          <w:i/>
          <w:iCs/>
        </w:rPr>
        <w:t>Case Studies and Theory Development in the Social Science</w:t>
      </w:r>
      <w:r>
        <w:t xml:space="preserve"> (Vol. 6).</w:t>
      </w:r>
    </w:p>
    <w:p w14:paraId="351B05D7" w14:textId="77777777" w:rsidR="00401A0D" w:rsidRDefault="00401A0D" w:rsidP="00401A0D">
      <w:pPr>
        <w:autoSpaceDE w:val="0"/>
        <w:autoSpaceDN w:val="0"/>
        <w:ind w:leftChars="-1" w:left="567" w:hangingChars="237" w:hanging="569"/>
      </w:pPr>
      <w:r>
        <w:t xml:space="preserve">Ginn, V., &amp; Marquette, J. (2019). </w:t>
      </w:r>
      <w:r>
        <w:rPr>
          <w:i/>
          <w:iCs/>
        </w:rPr>
        <w:t>Don’t Grow Government with Texas’ Rainy Day Fund</w:t>
      </w:r>
      <w:r>
        <w:t>. Texas Public Policy Foundation. https://www.texaspolicy.com/dont-grow-government-with-texas-rainy-day-fund/</w:t>
      </w:r>
    </w:p>
    <w:p w14:paraId="68BBE172" w14:textId="77777777" w:rsidR="00401A0D" w:rsidRDefault="00401A0D" w:rsidP="00401A0D">
      <w:pPr>
        <w:autoSpaceDE w:val="0"/>
        <w:autoSpaceDN w:val="0"/>
        <w:ind w:leftChars="-1" w:left="567" w:hangingChars="237" w:hanging="569"/>
      </w:pPr>
      <w:r>
        <w:t xml:space="preserve">Gold, S. D. (1991). Changes in state government finances in the 1980s. </w:t>
      </w:r>
      <w:r>
        <w:rPr>
          <w:i/>
          <w:iCs/>
        </w:rPr>
        <w:t>National Tax Journal</w:t>
      </w:r>
      <w:r>
        <w:t xml:space="preserve">, </w:t>
      </w:r>
      <w:r>
        <w:rPr>
          <w:i/>
          <w:iCs/>
        </w:rPr>
        <w:t>44</w:t>
      </w:r>
      <w:r>
        <w:t>(1). https://doi.org/10.1086/ntj41788874</w:t>
      </w:r>
    </w:p>
    <w:p w14:paraId="0AC4B22D" w14:textId="3F4AD315" w:rsidR="00401A0D" w:rsidRDefault="00401A0D" w:rsidP="00401A0D">
      <w:pPr>
        <w:autoSpaceDE w:val="0"/>
        <w:autoSpaceDN w:val="0"/>
        <w:ind w:leftChars="-1" w:left="567" w:hangingChars="237" w:hanging="569"/>
      </w:pPr>
      <w:r>
        <w:t xml:space="preserve">Gonzalez, C. Y., &amp; Paqueo, V. (2003). </w:t>
      </w:r>
      <w:r w:rsidRPr="00A867FC">
        <w:t>Social sector expenditures and rainy-day funds.</w:t>
      </w:r>
      <w:r>
        <w:t xml:space="preserve"> </w:t>
      </w:r>
      <w:r w:rsidR="00A867FC" w:rsidRPr="00A867FC">
        <w:rPr>
          <w:i/>
          <w:iCs/>
        </w:rPr>
        <w:t>Policy Research Working Paper Series</w:t>
      </w:r>
      <w:r w:rsidR="00A867FC" w:rsidRPr="00A867FC">
        <w:t xml:space="preserve"> 3131, The World Bank.</w:t>
      </w:r>
      <w:r w:rsidR="00A867FC">
        <w:rPr>
          <w:rFonts w:eastAsiaTheme="minorEastAsia" w:hint="eastAsia"/>
        </w:rPr>
        <w:t xml:space="preserve"> </w:t>
      </w:r>
      <w:r>
        <w:t>https://ssrn.com/abstract=636551</w:t>
      </w:r>
    </w:p>
    <w:p w14:paraId="36F42112" w14:textId="77777777" w:rsidR="00401A0D" w:rsidRDefault="00401A0D" w:rsidP="00401A0D">
      <w:pPr>
        <w:autoSpaceDE w:val="0"/>
        <w:autoSpaceDN w:val="0"/>
        <w:ind w:leftChars="-1" w:left="567" w:hangingChars="237" w:hanging="569"/>
      </w:pPr>
      <w:r>
        <w:t xml:space="preserve">Gore, A. K. (2009). Why do cities hoard cash? determinants and implications of municipal cash holdings. </w:t>
      </w:r>
      <w:r>
        <w:rPr>
          <w:i/>
          <w:iCs/>
        </w:rPr>
        <w:t>Accounting Review</w:t>
      </w:r>
      <w:r>
        <w:t xml:space="preserve">, </w:t>
      </w:r>
      <w:r>
        <w:rPr>
          <w:i/>
          <w:iCs/>
        </w:rPr>
        <w:t>84</w:t>
      </w:r>
      <w:r>
        <w:t>(1), 183–207. https://doi.org/10.2308/accr.2009.84.1.183</w:t>
      </w:r>
    </w:p>
    <w:p w14:paraId="4EA57645" w14:textId="77777777" w:rsidR="00401A0D" w:rsidRDefault="00401A0D" w:rsidP="00401A0D">
      <w:pPr>
        <w:autoSpaceDE w:val="0"/>
        <w:autoSpaceDN w:val="0"/>
        <w:ind w:leftChars="-1" w:left="567" w:hangingChars="237" w:hanging="569"/>
      </w:pPr>
      <w:r>
        <w:t xml:space="preserve">Gorina, E., Maher, C., &amp; Park, S. (2019). Toward a Theory of Fiscal Slack. </w:t>
      </w:r>
      <w:r>
        <w:rPr>
          <w:i/>
          <w:iCs/>
        </w:rPr>
        <w:t>Public Budgeting and Finance</w:t>
      </w:r>
      <w:r>
        <w:t xml:space="preserve">, </w:t>
      </w:r>
      <w:r>
        <w:rPr>
          <w:i/>
          <w:iCs/>
        </w:rPr>
        <w:t>39</w:t>
      </w:r>
      <w:r>
        <w:t>(4). https://doi.org/10.1111/pbaf.12240</w:t>
      </w:r>
    </w:p>
    <w:p w14:paraId="3CB720E4" w14:textId="77777777" w:rsidR="00401A0D" w:rsidRDefault="00401A0D" w:rsidP="00401A0D">
      <w:pPr>
        <w:autoSpaceDE w:val="0"/>
        <w:autoSpaceDN w:val="0"/>
        <w:ind w:leftChars="-1" w:left="567" w:hangingChars="237" w:hanging="569"/>
      </w:pPr>
      <w:r>
        <w:t xml:space="preserve">Gould, J. A. (2009). Divided governments and tough choices: An empirical study of the effect of divided government on state expenditures. </w:t>
      </w:r>
      <w:r>
        <w:rPr>
          <w:i/>
          <w:iCs/>
        </w:rPr>
        <w:t>State Politics &amp; Policy Quarterly</w:t>
      </w:r>
      <w:r>
        <w:t xml:space="preserve">, </w:t>
      </w:r>
      <w:r>
        <w:rPr>
          <w:i/>
          <w:iCs/>
        </w:rPr>
        <w:t>9</w:t>
      </w:r>
      <w:r>
        <w:t>(1), 6–25.</w:t>
      </w:r>
    </w:p>
    <w:p w14:paraId="58758CEA" w14:textId="77777777" w:rsidR="00401A0D" w:rsidRDefault="00401A0D" w:rsidP="00401A0D">
      <w:pPr>
        <w:autoSpaceDE w:val="0"/>
        <w:autoSpaceDN w:val="0"/>
        <w:ind w:leftChars="-1" w:left="567" w:hangingChars="237" w:hanging="569"/>
      </w:pPr>
      <w:r>
        <w:t xml:space="preserve">Gramlich, E. M. (1977). A Review of the Theory of Intergovernmental Grants. In W. E. Oates (Ed.), </w:t>
      </w:r>
      <w:r>
        <w:rPr>
          <w:i/>
          <w:iCs/>
        </w:rPr>
        <w:t>The Political Economy of Fiscal Federalism</w:t>
      </w:r>
      <w:r>
        <w:t>. Heath.</w:t>
      </w:r>
    </w:p>
    <w:p w14:paraId="30ABCECA" w14:textId="77777777" w:rsidR="00401A0D" w:rsidRDefault="00401A0D" w:rsidP="00401A0D">
      <w:pPr>
        <w:autoSpaceDE w:val="0"/>
        <w:autoSpaceDN w:val="0"/>
        <w:ind w:leftChars="-1" w:left="567" w:hangingChars="237" w:hanging="569"/>
      </w:pPr>
      <w:r>
        <w:t xml:space="preserve">Greene, W. H. (2012). Econometric Analysis. In </w:t>
      </w:r>
      <w:r>
        <w:rPr>
          <w:i/>
          <w:iCs/>
        </w:rPr>
        <w:t>Prentice Hall</w:t>
      </w:r>
      <w:r>
        <w:t xml:space="preserve"> (Vol. 97).</w:t>
      </w:r>
    </w:p>
    <w:p w14:paraId="4A28F6CC" w14:textId="77777777" w:rsidR="00401A0D" w:rsidRDefault="00401A0D" w:rsidP="00401A0D">
      <w:pPr>
        <w:autoSpaceDE w:val="0"/>
        <w:autoSpaceDN w:val="0"/>
        <w:ind w:leftChars="-1" w:left="567" w:hangingChars="237" w:hanging="569"/>
      </w:pPr>
      <w:r>
        <w:t xml:space="preserve">Hendrick, R. (2006). The Role of Slack in Local Government Finances. </w:t>
      </w:r>
      <w:r>
        <w:rPr>
          <w:i/>
          <w:iCs/>
        </w:rPr>
        <w:t>Public Budgeting and Finance</w:t>
      </w:r>
      <w:r>
        <w:t xml:space="preserve">, </w:t>
      </w:r>
      <w:r>
        <w:rPr>
          <w:i/>
          <w:iCs/>
        </w:rPr>
        <w:t>26</w:t>
      </w:r>
      <w:r>
        <w:t>(1), 14–46. https://doi.org/10.1111/j.1540-5850.2006.00837.x</w:t>
      </w:r>
    </w:p>
    <w:p w14:paraId="2090BAAA" w14:textId="77777777" w:rsidR="00401A0D" w:rsidRPr="00A12A73" w:rsidRDefault="00401A0D" w:rsidP="00401A0D">
      <w:pPr>
        <w:widowControl w:val="0"/>
        <w:autoSpaceDE w:val="0"/>
        <w:autoSpaceDN w:val="0"/>
        <w:adjustRightInd w:val="0"/>
        <w:spacing w:line="276" w:lineRule="auto"/>
        <w:ind w:left="770" w:hangingChars="321" w:hanging="770"/>
        <w:rPr>
          <w:rFonts w:eastAsia="TimesNewRomanPSMT"/>
          <w:color w:val="000000"/>
        </w:rPr>
      </w:pPr>
      <w:r>
        <w:t xml:space="preserve">Hendrick, R., Choi, E., &amp; Kan, M. (2019). </w:t>
      </w:r>
      <w:r w:rsidRPr="00A12A73">
        <w:t>The Structural Features of Rainy-Day Fund Enabling Legislation: What Policies Matter?</w:t>
      </w:r>
      <w:r>
        <w:rPr>
          <w:rFonts w:eastAsiaTheme="minorEastAsia" w:hint="eastAsia"/>
        </w:rPr>
        <w:t xml:space="preserve"> </w:t>
      </w:r>
      <w:r w:rsidRPr="00A12A73">
        <w:rPr>
          <w:rFonts w:eastAsia="TimesNewRomanPSMT" w:hint="eastAsia"/>
          <w:i/>
          <w:iCs/>
          <w:color w:val="000000"/>
        </w:rPr>
        <w:t>T</w:t>
      </w:r>
      <w:r w:rsidRPr="00A12A73">
        <w:rPr>
          <w:rFonts w:eastAsia="TimesNewRomanPSMT"/>
          <w:i/>
          <w:iCs/>
          <w:color w:val="000000"/>
        </w:rPr>
        <w:t>he 31st annual conference of the Association for Budgeting and Financial Management (ABFM)</w:t>
      </w:r>
      <w:r w:rsidRPr="00702882">
        <w:rPr>
          <w:rFonts w:eastAsia="TimesNewRomanPSMT"/>
          <w:color w:val="000000"/>
        </w:rPr>
        <w:t>, Washington, DC.</w:t>
      </w:r>
    </w:p>
    <w:p w14:paraId="6B55DB54" w14:textId="77777777" w:rsidR="00401A0D" w:rsidRDefault="00401A0D" w:rsidP="00401A0D">
      <w:pPr>
        <w:autoSpaceDE w:val="0"/>
        <w:autoSpaceDN w:val="0"/>
        <w:ind w:leftChars="-1" w:left="567" w:hangingChars="237" w:hanging="569"/>
      </w:pPr>
      <w:r>
        <w:t xml:space="preserve">Hill, T. D., Davis, A. P., Roos, J. M., &amp; French, M. T. (2020). Limitations of Fixed-Effects Models for Panel Data. </w:t>
      </w:r>
      <w:r>
        <w:rPr>
          <w:i/>
          <w:iCs/>
        </w:rPr>
        <w:t>Sociological Perspectives</w:t>
      </w:r>
      <w:r>
        <w:t xml:space="preserve">, </w:t>
      </w:r>
      <w:r>
        <w:rPr>
          <w:i/>
          <w:iCs/>
        </w:rPr>
        <w:t>63</w:t>
      </w:r>
      <w:r>
        <w:t>(3), 357–369. https://doi.org/10.1177/0731121419863785</w:t>
      </w:r>
    </w:p>
    <w:p w14:paraId="57CC21F8" w14:textId="77777777" w:rsidR="00401A0D" w:rsidRDefault="00401A0D" w:rsidP="00401A0D">
      <w:pPr>
        <w:autoSpaceDE w:val="0"/>
        <w:autoSpaceDN w:val="0"/>
        <w:ind w:leftChars="-1" w:left="567" w:hangingChars="237" w:hanging="569"/>
      </w:pPr>
      <w:r>
        <w:t xml:space="preserve">Hou, Y. (2003). What Stabilizes State General Fund Expenditures in Downturn Years—Budget Stabilization Fund or General Fund Unreserved Undesignated Balance? </w:t>
      </w:r>
      <w:r>
        <w:rPr>
          <w:i/>
          <w:iCs/>
        </w:rPr>
        <w:t xml:space="preserve">Public Budgeting </w:t>
      </w:r>
      <w:r>
        <w:rPr>
          <w:rFonts w:eastAsiaTheme="minorEastAsia" w:hint="eastAsia"/>
          <w:i/>
          <w:iCs/>
        </w:rPr>
        <w:t>and</w:t>
      </w:r>
      <w:r>
        <w:rPr>
          <w:i/>
          <w:iCs/>
        </w:rPr>
        <w:t xml:space="preserve"> Finance</w:t>
      </w:r>
      <w:r>
        <w:t xml:space="preserve">, </w:t>
      </w:r>
      <w:r>
        <w:rPr>
          <w:i/>
          <w:iCs/>
        </w:rPr>
        <w:t>23</w:t>
      </w:r>
      <w:r>
        <w:t>(3), 64–91. https://doi.org/10.1111/1540-5850.2303004</w:t>
      </w:r>
    </w:p>
    <w:p w14:paraId="4D401C0E" w14:textId="77777777" w:rsidR="00401A0D" w:rsidRDefault="00401A0D" w:rsidP="00401A0D">
      <w:pPr>
        <w:autoSpaceDE w:val="0"/>
        <w:autoSpaceDN w:val="0"/>
        <w:ind w:leftChars="-1" w:left="567" w:hangingChars="237" w:hanging="569"/>
      </w:pPr>
      <w:r>
        <w:t xml:space="preserve">Hou, Y. (2004). Budget Stabilization Fund: Structural Features of the Enabling Legislation and Balance Levels. </w:t>
      </w:r>
      <w:r>
        <w:rPr>
          <w:i/>
          <w:iCs/>
        </w:rPr>
        <w:t>Public Budgeting and Finance</w:t>
      </w:r>
      <w:r>
        <w:t xml:space="preserve">, </w:t>
      </w:r>
      <w:r>
        <w:rPr>
          <w:i/>
          <w:iCs/>
        </w:rPr>
        <w:t>24</w:t>
      </w:r>
      <w:r>
        <w:t>(3), 38–64. https://doi.org/10.1111/j.0275-1100.2004.02403003.x</w:t>
      </w:r>
    </w:p>
    <w:p w14:paraId="2F8133AE" w14:textId="77777777" w:rsidR="00401A0D" w:rsidRDefault="00401A0D" w:rsidP="00401A0D">
      <w:pPr>
        <w:autoSpaceDE w:val="0"/>
        <w:autoSpaceDN w:val="0"/>
        <w:ind w:leftChars="-1" w:left="567" w:hangingChars="237" w:hanging="569"/>
      </w:pPr>
      <w:r>
        <w:t xml:space="preserve">Hou, Y., &amp; Brewer, G. A. (2010). Substitution and Supplementation Between Co-Functional Policy Instruments: Evidence from State Budget Stabilization Practices. </w:t>
      </w:r>
      <w:r>
        <w:rPr>
          <w:i/>
          <w:iCs/>
        </w:rPr>
        <w:t>Public Administration Review</w:t>
      </w:r>
      <w:r>
        <w:t xml:space="preserve">, </w:t>
      </w:r>
      <w:r>
        <w:rPr>
          <w:i/>
          <w:iCs/>
        </w:rPr>
        <w:t>70</w:t>
      </w:r>
      <w:r>
        <w:t>(6). https://doi.org/10.1111/j.1540-6210.2010.02223.x</w:t>
      </w:r>
    </w:p>
    <w:p w14:paraId="0AA877F3" w14:textId="77777777" w:rsidR="00401A0D" w:rsidRDefault="00401A0D" w:rsidP="00401A0D">
      <w:pPr>
        <w:autoSpaceDE w:val="0"/>
        <w:autoSpaceDN w:val="0"/>
        <w:ind w:leftChars="-1" w:left="567" w:hangingChars="237" w:hanging="569"/>
      </w:pPr>
      <w:r>
        <w:t xml:space="preserve">Hou, Y., &amp; Duncombe, W. (2008). State saving behavior: Effects of two fiscal and budgetary institutions. </w:t>
      </w:r>
      <w:r>
        <w:rPr>
          <w:i/>
          <w:iCs/>
        </w:rPr>
        <w:t>Public Budgeting and Finance</w:t>
      </w:r>
      <w:r>
        <w:t xml:space="preserve">, </w:t>
      </w:r>
      <w:r>
        <w:rPr>
          <w:i/>
          <w:iCs/>
        </w:rPr>
        <w:t>28</w:t>
      </w:r>
      <w:r>
        <w:t>(3). https://doi.org/10.1111/j.1540-5850.2008.00910.x</w:t>
      </w:r>
    </w:p>
    <w:p w14:paraId="7C0E61AB" w14:textId="77777777" w:rsidR="00401A0D" w:rsidRDefault="00401A0D" w:rsidP="00401A0D">
      <w:pPr>
        <w:autoSpaceDE w:val="0"/>
        <w:autoSpaceDN w:val="0"/>
        <w:ind w:leftChars="-1" w:left="567" w:hangingChars="237" w:hanging="569"/>
      </w:pPr>
      <w:r>
        <w:lastRenderedPageBreak/>
        <w:t xml:space="preserve">Hou, Y., &amp; Moynihan, D. P. (2008). The case for countercyclical fiscal capacity. </w:t>
      </w:r>
      <w:r>
        <w:rPr>
          <w:i/>
          <w:iCs/>
        </w:rPr>
        <w:t>Journal of Public Administration Research and Theory</w:t>
      </w:r>
      <w:r>
        <w:t xml:space="preserve">, </w:t>
      </w:r>
      <w:r>
        <w:rPr>
          <w:i/>
          <w:iCs/>
        </w:rPr>
        <w:t>18</w:t>
      </w:r>
      <w:r>
        <w:t>(1). https://doi.org/10.1093/jopart/mum006</w:t>
      </w:r>
    </w:p>
    <w:p w14:paraId="4EC5C665" w14:textId="77777777" w:rsidR="00401A0D" w:rsidRDefault="00401A0D" w:rsidP="00401A0D">
      <w:pPr>
        <w:autoSpaceDE w:val="0"/>
        <w:autoSpaceDN w:val="0"/>
        <w:ind w:leftChars="-1" w:left="567" w:hangingChars="237" w:hanging="569"/>
      </w:pPr>
      <w:r>
        <w:t xml:space="preserve">Hou, Y., Moynihan, D. P., &amp; Ingraham, P. W. (2003). Capacity, Management, and Performance: Exploring the Links. </w:t>
      </w:r>
      <w:r>
        <w:rPr>
          <w:i/>
          <w:iCs/>
        </w:rPr>
        <w:t>American Review of Public Administration</w:t>
      </w:r>
      <w:r>
        <w:t xml:space="preserve">, </w:t>
      </w:r>
      <w:r>
        <w:rPr>
          <w:i/>
          <w:iCs/>
        </w:rPr>
        <w:t>33</w:t>
      </w:r>
      <w:r>
        <w:t>(3). https://doi.org/10.1177/0275074003251651</w:t>
      </w:r>
    </w:p>
    <w:p w14:paraId="1458F27A" w14:textId="77777777" w:rsidR="00401A0D" w:rsidRDefault="00401A0D" w:rsidP="00401A0D">
      <w:pPr>
        <w:autoSpaceDE w:val="0"/>
        <w:autoSpaceDN w:val="0"/>
        <w:ind w:leftChars="-1" w:left="567" w:hangingChars="237" w:hanging="569"/>
      </w:pPr>
      <w:r>
        <w:t xml:space="preserve">Hou, Y., &amp; Smith, D. L. (2006). A Framework for Understanding State Balanced Budget Requirement Systems: Reexamining Distinctive Features and an Operational Definition. </w:t>
      </w:r>
      <w:r>
        <w:rPr>
          <w:i/>
          <w:iCs/>
        </w:rPr>
        <w:t>Public Budgeting and Finance</w:t>
      </w:r>
      <w:r>
        <w:t xml:space="preserve">, </w:t>
      </w:r>
      <w:r>
        <w:rPr>
          <w:i/>
          <w:iCs/>
        </w:rPr>
        <w:t>26</w:t>
      </w:r>
      <w:r>
        <w:t>(3). https://doi.org/10.1111/j.1540-5850.2006.00853.x</w:t>
      </w:r>
    </w:p>
    <w:p w14:paraId="335AE75F" w14:textId="77777777" w:rsidR="00401A0D" w:rsidRDefault="00401A0D" w:rsidP="00401A0D">
      <w:pPr>
        <w:autoSpaceDE w:val="0"/>
        <w:autoSpaceDN w:val="0"/>
        <w:ind w:leftChars="-1" w:left="567" w:hangingChars="237" w:hanging="569"/>
      </w:pPr>
      <w:r>
        <w:t xml:space="preserve">Hou, Y., &amp; Smith, D. L. (2010). Do state balanced budget requirements matter? Testing two explanatory frameworks. </w:t>
      </w:r>
      <w:r>
        <w:rPr>
          <w:i/>
          <w:iCs/>
        </w:rPr>
        <w:t>Public Choice</w:t>
      </w:r>
      <w:r>
        <w:t xml:space="preserve">, </w:t>
      </w:r>
      <w:r>
        <w:rPr>
          <w:i/>
          <w:iCs/>
        </w:rPr>
        <w:t>145</w:t>
      </w:r>
      <w:r>
        <w:t>(1). https://doi.org/10.1007/s11127-009-9528-6</w:t>
      </w:r>
    </w:p>
    <w:p w14:paraId="416AF211" w14:textId="77777777" w:rsidR="00401A0D" w:rsidRDefault="00401A0D" w:rsidP="00401A0D">
      <w:pPr>
        <w:autoSpaceDE w:val="0"/>
        <w:autoSpaceDN w:val="0"/>
        <w:ind w:leftChars="-1" w:left="567" w:hangingChars="237" w:hanging="569"/>
      </w:pPr>
      <w:r>
        <w:t xml:space="preserve">Ingraham, P. W., &amp; Donahue, A. K. (2000). Dissecting the black box revisited: Characterizing government management capacity. In C. J. Heinrich &amp; L. E. Lynn (Eds.), </w:t>
      </w:r>
      <w:r>
        <w:rPr>
          <w:i/>
          <w:iCs/>
        </w:rPr>
        <w:t>Government and performance: New perspectives</w:t>
      </w:r>
      <w:r>
        <w:t>. Georgetown University Press.</w:t>
      </w:r>
    </w:p>
    <w:p w14:paraId="3ED545C0" w14:textId="77777777" w:rsidR="00401A0D" w:rsidRDefault="00401A0D" w:rsidP="00401A0D">
      <w:pPr>
        <w:autoSpaceDE w:val="0"/>
        <w:autoSpaceDN w:val="0"/>
        <w:ind w:leftChars="-1" w:left="567" w:hangingChars="237" w:hanging="569"/>
      </w:pPr>
      <w:r>
        <w:t xml:space="preserve">Inman, R. P. (2011). flypaper effect. In </w:t>
      </w:r>
      <w:r>
        <w:rPr>
          <w:i/>
          <w:iCs/>
        </w:rPr>
        <w:t>The New Palgrave Dictionary of Economics</w:t>
      </w:r>
      <w:r>
        <w:t>. https://doi.org/10.1057/9780230226203.1901</w:t>
      </w:r>
    </w:p>
    <w:p w14:paraId="16E1ACD8" w14:textId="77777777" w:rsidR="00401A0D" w:rsidRDefault="00401A0D" w:rsidP="00401A0D">
      <w:pPr>
        <w:autoSpaceDE w:val="0"/>
        <w:autoSpaceDN w:val="0"/>
        <w:ind w:leftChars="-1" w:left="567" w:hangingChars="237" w:hanging="569"/>
      </w:pPr>
      <w:r>
        <w:t xml:space="preserve">Ivankova, N., Stick, S., Ivankova, N. v, &amp; Creswell, J. W. (2007). A Sample Mixed Methods Dissertation Proposal. </w:t>
      </w:r>
      <w:r>
        <w:rPr>
          <w:i/>
          <w:iCs/>
        </w:rPr>
        <w:t>Field Methods Journal of Research in Education</w:t>
      </w:r>
      <w:r>
        <w:t xml:space="preserve">, </w:t>
      </w:r>
      <w:r>
        <w:rPr>
          <w:i/>
          <w:iCs/>
        </w:rPr>
        <w:t>48</w:t>
      </w:r>
      <w:r>
        <w:t>(151).</w:t>
      </w:r>
    </w:p>
    <w:p w14:paraId="6AB0A8FE" w14:textId="77777777" w:rsidR="00401A0D" w:rsidRDefault="00401A0D" w:rsidP="00401A0D">
      <w:pPr>
        <w:autoSpaceDE w:val="0"/>
        <w:autoSpaceDN w:val="0"/>
        <w:ind w:leftChars="-1" w:left="567" w:hangingChars="237" w:hanging="569"/>
      </w:pPr>
      <w:r>
        <w:t xml:space="preserve">Johnson, C. L., &amp; Kriz, K. A. (2005). Fiscal Institutions, Credit Ratings, and Borrowing Costs. </w:t>
      </w:r>
      <w:r>
        <w:rPr>
          <w:i/>
          <w:iCs/>
        </w:rPr>
        <w:t>Public Budgeting and Finance</w:t>
      </w:r>
      <w:r>
        <w:t xml:space="preserve">, </w:t>
      </w:r>
      <w:r>
        <w:rPr>
          <w:i/>
          <w:iCs/>
        </w:rPr>
        <w:t>25</w:t>
      </w:r>
      <w:r>
        <w:t>(1). https://doi.org/10.1111/j.0275-1100.2005.00356.x</w:t>
      </w:r>
    </w:p>
    <w:p w14:paraId="164FFFE7" w14:textId="77777777" w:rsidR="00401A0D" w:rsidRDefault="00401A0D" w:rsidP="00401A0D">
      <w:pPr>
        <w:autoSpaceDE w:val="0"/>
        <w:autoSpaceDN w:val="0"/>
        <w:ind w:leftChars="-1" w:left="567" w:hangingChars="237" w:hanging="569"/>
      </w:pPr>
      <w:r>
        <w:t xml:space="preserve">Joyce, P. G. (2001). What’s so magical about five percent? A nationwide look at factors that influence the optimal size of state rainy day funds. </w:t>
      </w:r>
      <w:r>
        <w:rPr>
          <w:i/>
          <w:iCs/>
        </w:rPr>
        <w:t>Public Budgeting and Finance</w:t>
      </w:r>
      <w:r>
        <w:t xml:space="preserve">, </w:t>
      </w:r>
      <w:r>
        <w:rPr>
          <w:i/>
          <w:iCs/>
        </w:rPr>
        <w:t>21</w:t>
      </w:r>
      <w:r>
        <w:t>(2). https://doi.org/10.1111/0275-1100.00050</w:t>
      </w:r>
    </w:p>
    <w:p w14:paraId="1618FC6A" w14:textId="77777777" w:rsidR="00401A0D" w:rsidRDefault="00401A0D" w:rsidP="00401A0D">
      <w:pPr>
        <w:autoSpaceDE w:val="0"/>
        <w:autoSpaceDN w:val="0"/>
        <w:ind w:leftChars="-1" w:left="567" w:hangingChars="237" w:hanging="569"/>
      </w:pPr>
      <w:r>
        <w:t xml:space="preserve">Kallen, C. (2017). </w:t>
      </w:r>
      <w:r>
        <w:rPr>
          <w:i/>
          <w:iCs/>
        </w:rPr>
        <w:t>State tax and expenditure limitations and supermajority requirements: New and updated data</w:t>
      </w:r>
      <w:r>
        <w:t xml:space="preserve"> (956520).</w:t>
      </w:r>
    </w:p>
    <w:p w14:paraId="57982A86" w14:textId="77777777" w:rsidR="00401A0D" w:rsidRDefault="00401A0D" w:rsidP="00401A0D">
      <w:pPr>
        <w:autoSpaceDE w:val="0"/>
        <w:autoSpaceDN w:val="0"/>
        <w:ind w:leftChars="-1" w:left="567" w:hangingChars="237" w:hanging="569"/>
      </w:pPr>
      <w:r>
        <w:t xml:space="preserve">Kneebone, R. D., &amp; Mckenzie, K. J. (2001). Electoral and partisan cycles in fiscal policy: An examination of Canadian provinces. </w:t>
      </w:r>
      <w:r>
        <w:rPr>
          <w:i/>
          <w:iCs/>
        </w:rPr>
        <w:t>International Tax and Public Finance</w:t>
      </w:r>
      <w:r>
        <w:t xml:space="preserve">, </w:t>
      </w:r>
      <w:r>
        <w:rPr>
          <w:i/>
          <w:iCs/>
        </w:rPr>
        <w:t>8</w:t>
      </w:r>
      <w:r>
        <w:t>(5–6). https://doi.org/10.1023/A:1012895211073</w:t>
      </w:r>
    </w:p>
    <w:p w14:paraId="03A4437B" w14:textId="77777777" w:rsidR="00401A0D" w:rsidRDefault="00401A0D" w:rsidP="00401A0D">
      <w:pPr>
        <w:autoSpaceDE w:val="0"/>
        <w:autoSpaceDN w:val="0"/>
        <w:ind w:leftChars="-1" w:left="567" w:hangingChars="237" w:hanging="569"/>
      </w:pPr>
      <w:r>
        <w:t xml:space="preserve">Knight, B., &amp; Levinson, A. (1999). Rainy Day Funds and State Government Savings. </w:t>
      </w:r>
      <w:r>
        <w:rPr>
          <w:i/>
          <w:iCs/>
        </w:rPr>
        <w:t>National Tax Journal</w:t>
      </w:r>
      <w:r>
        <w:t xml:space="preserve">, </w:t>
      </w:r>
      <w:r>
        <w:rPr>
          <w:i/>
          <w:iCs/>
        </w:rPr>
        <w:t>52</w:t>
      </w:r>
      <w:r>
        <w:t>(3). https://doi.org/10.1086/ntj41789735</w:t>
      </w:r>
    </w:p>
    <w:p w14:paraId="4FBD6F45" w14:textId="77777777" w:rsidR="00401A0D" w:rsidRDefault="00401A0D" w:rsidP="00401A0D">
      <w:pPr>
        <w:autoSpaceDE w:val="0"/>
        <w:autoSpaceDN w:val="0"/>
        <w:ind w:leftChars="-1" w:left="567" w:hangingChars="237" w:hanging="569"/>
      </w:pPr>
      <w:r>
        <w:t xml:space="preserve">Kratochwill, T. R., Hitchcock, J., Horner, R. H., Levin, J. R., Odom, S. L., Rindskopf, D. M., &amp; Shadish, W. R. (2010). </w:t>
      </w:r>
      <w:r>
        <w:rPr>
          <w:i/>
          <w:iCs/>
        </w:rPr>
        <w:t>What Works Clearinghouse SINGLE-CASE DESIGN TECHNICAL DOCUMENTATION</w:t>
      </w:r>
      <w:r>
        <w:t>. http://ies.ed.gov/ncee/wwc/pdf/wwc_scd.pdf.</w:t>
      </w:r>
    </w:p>
    <w:p w14:paraId="31627CA3" w14:textId="77777777" w:rsidR="00401A0D" w:rsidRDefault="00401A0D" w:rsidP="00401A0D">
      <w:pPr>
        <w:autoSpaceDE w:val="0"/>
        <w:autoSpaceDN w:val="0"/>
        <w:ind w:leftChars="-1" w:left="567" w:hangingChars="237" w:hanging="569"/>
      </w:pPr>
      <w:r>
        <w:t xml:space="preserve">Kriz, K. (2003). The Optimal Level of Local Government Fund Balances: A Simulation Approach. </w:t>
      </w:r>
      <w:r>
        <w:rPr>
          <w:i/>
          <w:iCs/>
        </w:rPr>
        <w:t>State Tax Notes</w:t>
      </w:r>
      <w:r>
        <w:t xml:space="preserve">, </w:t>
      </w:r>
      <w:r>
        <w:rPr>
          <w:i/>
          <w:iCs/>
        </w:rPr>
        <w:t>27</w:t>
      </w:r>
      <w:r>
        <w:t>(10).</w:t>
      </w:r>
    </w:p>
    <w:p w14:paraId="2A545980" w14:textId="77777777" w:rsidR="00401A0D" w:rsidRDefault="00401A0D" w:rsidP="00401A0D">
      <w:pPr>
        <w:autoSpaceDE w:val="0"/>
        <w:autoSpaceDN w:val="0"/>
        <w:ind w:leftChars="-1" w:left="567" w:hangingChars="237" w:hanging="569"/>
      </w:pPr>
      <w:r>
        <w:t xml:space="preserve">Kriz, K. A. (2015). Is there an optimal size of fiscal reserves for local governments? In </w:t>
      </w:r>
      <w:r>
        <w:rPr>
          <w:i/>
          <w:iCs/>
        </w:rPr>
        <w:t>Local Government Budget Stabilization: Explorations and Evidence</w:t>
      </w:r>
      <w:r>
        <w:t>. https://doi.org/10.1007/978-3-319-15186-1_9</w:t>
      </w:r>
    </w:p>
    <w:p w14:paraId="00FA46A4" w14:textId="77777777" w:rsidR="00401A0D" w:rsidRDefault="00401A0D" w:rsidP="00401A0D">
      <w:pPr>
        <w:autoSpaceDE w:val="0"/>
        <w:autoSpaceDN w:val="0"/>
        <w:ind w:leftChars="-1" w:left="567" w:hangingChars="237" w:hanging="569"/>
      </w:pPr>
      <w:r>
        <w:t xml:space="preserve">Kwak, S. (2014). The Dynamics of State Fiscal Behavior Over the Business Cycle: Are State Fiscal Policies Procyclical? </w:t>
      </w:r>
      <w:r>
        <w:rPr>
          <w:i/>
          <w:iCs/>
        </w:rPr>
        <w:t>American Review of Public Administration</w:t>
      </w:r>
      <w:r>
        <w:t xml:space="preserve">, </w:t>
      </w:r>
      <w:r>
        <w:rPr>
          <w:i/>
          <w:iCs/>
        </w:rPr>
        <w:t>44</w:t>
      </w:r>
      <w:r>
        <w:t>(5). https://doi.org/10.1177/0275074012475155</w:t>
      </w:r>
    </w:p>
    <w:p w14:paraId="1C74AB77" w14:textId="77777777" w:rsidR="00401A0D" w:rsidRDefault="00401A0D" w:rsidP="00401A0D">
      <w:pPr>
        <w:autoSpaceDE w:val="0"/>
        <w:autoSpaceDN w:val="0"/>
        <w:ind w:leftChars="-1" w:left="567" w:hangingChars="237" w:hanging="569"/>
      </w:pPr>
      <w:r>
        <w:t xml:space="preserve">Lauth, T. P. (2003). Budgeting during a recession phase of the business cycle: The georgia experience. </w:t>
      </w:r>
      <w:r>
        <w:rPr>
          <w:i/>
          <w:iCs/>
        </w:rPr>
        <w:t>Public Budgeting and Finance</w:t>
      </w:r>
      <w:r>
        <w:t xml:space="preserve">, </w:t>
      </w:r>
      <w:r>
        <w:rPr>
          <w:i/>
          <w:iCs/>
        </w:rPr>
        <w:t>23</w:t>
      </w:r>
      <w:r>
        <w:t>(2). https://doi.org/10.1111/1540-5850.2302003</w:t>
      </w:r>
    </w:p>
    <w:p w14:paraId="42E2BC50" w14:textId="77777777" w:rsidR="00401A0D" w:rsidRPr="00A12A73" w:rsidRDefault="00401A0D" w:rsidP="00401A0D">
      <w:pPr>
        <w:autoSpaceDE w:val="0"/>
        <w:autoSpaceDN w:val="0"/>
        <w:ind w:leftChars="-1" w:left="567" w:hangingChars="237" w:hanging="569"/>
        <w:rPr>
          <w:rFonts w:eastAsiaTheme="minorEastAsia"/>
        </w:rPr>
      </w:pPr>
      <w:r>
        <w:t xml:space="preserve">Lawrence, P. R., &amp; Lorsch, J. W. (1967). </w:t>
      </w:r>
      <w:r w:rsidRPr="00A12A73">
        <w:rPr>
          <w:rStyle w:val="af6"/>
          <w:rFonts w:eastAsiaTheme="majorEastAsia"/>
          <w:i w:val="0"/>
          <w:iCs w:val="0"/>
        </w:rPr>
        <w:t>Organization and environment: Managing differentiation and integration</w:t>
      </w:r>
      <w:r>
        <w:t xml:space="preserve">. </w:t>
      </w:r>
      <w:r w:rsidRPr="00A12A73">
        <w:rPr>
          <w:i/>
          <w:iCs/>
        </w:rPr>
        <w:t>Harvard Business School Press</w:t>
      </w:r>
      <w:r>
        <w:t>.</w:t>
      </w:r>
    </w:p>
    <w:p w14:paraId="0F5F245E" w14:textId="77777777" w:rsidR="00401A0D" w:rsidRDefault="00401A0D" w:rsidP="00401A0D">
      <w:pPr>
        <w:autoSpaceDE w:val="0"/>
        <w:autoSpaceDN w:val="0"/>
        <w:ind w:leftChars="-1" w:left="567" w:hangingChars="237" w:hanging="569"/>
      </w:pPr>
      <w:r>
        <w:lastRenderedPageBreak/>
        <w:t xml:space="preserve">Lee, S., &amp; Chen, G. (2022). Disaster Experience and Governments’ Savings: The Moderating Role of Organizational Capacity. </w:t>
      </w:r>
      <w:r>
        <w:rPr>
          <w:i/>
          <w:iCs/>
        </w:rPr>
        <w:t>Journal of Public Administration Research and Theory</w:t>
      </w:r>
      <w:r>
        <w:t xml:space="preserve">, </w:t>
      </w:r>
      <w:r>
        <w:rPr>
          <w:i/>
          <w:iCs/>
        </w:rPr>
        <w:t>32</w:t>
      </w:r>
      <w:r>
        <w:t>(3). https://doi.org/10.1093/jopart/muab043</w:t>
      </w:r>
    </w:p>
    <w:p w14:paraId="5002D71B" w14:textId="77777777" w:rsidR="00401A0D" w:rsidRDefault="00401A0D" w:rsidP="00401A0D">
      <w:pPr>
        <w:autoSpaceDE w:val="0"/>
        <w:autoSpaceDN w:val="0"/>
        <w:ind w:leftChars="-1" w:left="567" w:hangingChars="237" w:hanging="569"/>
      </w:pPr>
      <w:r>
        <w:t xml:space="preserve">Levine, C. H., Rubin, I. S., &amp; Wolohojian, G. G. (1981). The politics of retrenchment: how local governments manage fiscal stress. In </w:t>
      </w:r>
      <w:r>
        <w:rPr>
          <w:i/>
          <w:iCs/>
        </w:rPr>
        <w:t>The politics of retrenchment: how local governments manage fiscal stress.</w:t>
      </w:r>
      <w:r>
        <w:t xml:space="preserve"> Sage Publications. https://doi.org/10.2307/3323693</w:t>
      </w:r>
    </w:p>
    <w:p w14:paraId="1803000D" w14:textId="77777777" w:rsidR="00401A0D" w:rsidRDefault="00401A0D" w:rsidP="00401A0D">
      <w:pPr>
        <w:autoSpaceDE w:val="0"/>
        <w:autoSpaceDN w:val="0"/>
        <w:ind w:leftChars="-1" w:left="567" w:hangingChars="237" w:hanging="569"/>
      </w:pPr>
      <w:r>
        <w:t xml:space="preserve">Lucas, R. E. (1976). Econometric policy evaluation: A critique. </w:t>
      </w:r>
      <w:r>
        <w:rPr>
          <w:i/>
          <w:iCs/>
        </w:rPr>
        <w:t>Carnegie-Rochester Conference Series on Public Policy</w:t>
      </w:r>
      <w:r>
        <w:t xml:space="preserve">, </w:t>
      </w:r>
      <w:r>
        <w:rPr>
          <w:i/>
          <w:iCs/>
        </w:rPr>
        <w:t>1</w:t>
      </w:r>
      <w:r>
        <w:t>(C), 19–46. https://doi.org/10.1016/S0167-2231(76)80003-6</w:t>
      </w:r>
    </w:p>
    <w:p w14:paraId="4625B303" w14:textId="77777777" w:rsidR="00401A0D" w:rsidRDefault="00401A0D" w:rsidP="00401A0D">
      <w:pPr>
        <w:autoSpaceDE w:val="0"/>
        <w:autoSpaceDN w:val="0"/>
        <w:ind w:leftChars="-1" w:left="567" w:hangingChars="237" w:hanging="569"/>
      </w:pPr>
      <w:r>
        <w:t xml:space="preserve">Lynn, L. E., Heinrich, C. J., &amp; Hill, C. J. (2000). Studying Governance and Public Management: Challenges and Prospects. </w:t>
      </w:r>
      <w:r>
        <w:rPr>
          <w:i/>
          <w:iCs/>
        </w:rPr>
        <w:t>Journal of Public Administration Research and Theory</w:t>
      </w:r>
      <w:r>
        <w:t xml:space="preserve">, </w:t>
      </w:r>
      <w:r>
        <w:rPr>
          <w:i/>
          <w:iCs/>
        </w:rPr>
        <w:t>10</w:t>
      </w:r>
      <w:r>
        <w:t>(2), 233–262. https://doi.org/10.1093/oxfordjournals.jpart.a024269</w:t>
      </w:r>
    </w:p>
    <w:p w14:paraId="2F514E16" w14:textId="77777777" w:rsidR="00401A0D" w:rsidRDefault="00401A0D" w:rsidP="00401A0D">
      <w:pPr>
        <w:autoSpaceDE w:val="0"/>
        <w:autoSpaceDN w:val="0"/>
        <w:ind w:leftChars="-1" w:left="567" w:hangingChars="237" w:hanging="569"/>
      </w:pPr>
      <w:r>
        <w:t xml:space="preserve">Maag, E., &amp; Merriman, D. F. (2001). </w:t>
      </w:r>
      <w:r>
        <w:rPr>
          <w:i/>
          <w:iCs/>
        </w:rPr>
        <w:t>Understanding States’ Fiscal Health During and After the 2001 Recession</w:t>
      </w:r>
      <w:r>
        <w:t>. www.coloradobudget.com/rdf_report.cfm.</w:t>
      </w:r>
    </w:p>
    <w:p w14:paraId="5D2D6D38" w14:textId="77777777" w:rsidR="00401A0D" w:rsidRDefault="00401A0D" w:rsidP="00401A0D">
      <w:pPr>
        <w:autoSpaceDE w:val="0"/>
        <w:autoSpaceDN w:val="0"/>
        <w:ind w:leftChars="-1" w:left="567" w:hangingChars="237" w:hanging="569"/>
      </w:pPr>
      <w:r>
        <w:t xml:space="preserve">Maher, C. S., Stallmann, J. I., Deller, S. C., &amp; Park, S. (2017). The effects of tax and expenditure limits on state fiscal reserves. </w:t>
      </w:r>
      <w:r>
        <w:rPr>
          <w:i/>
          <w:iCs/>
        </w:rPr>
        <w:t>Public Policy and Administration</w:t>
      </w:r>
      <w:r>
        <w:t xml:space="preserve">, </w:t>
      </w:r>
      <w:r>
        <w:rPr>
          <w:i/>
          <w:iCs/>
        </w:rPr>
        <w:t>32</w:t>
      </w:r>
      <w:r>
        <w:t>(2). https://doi.org/10.1177/0952076716660607</w:t>
      </w:r>
    </w:p>
    <w:p w14:paraId="32C3E545" w14:textId="77777777" w:rsidR="00401A0D" w:rsidRPr="001554E1" w:rsidRDefault="00401A0D" w:rsidP="00401A0D">
      <w:pPr>
        <w:autoSpaceDE w:val="0"/>
        <w:autoSpaceDN w:val="0"/>
        <w:ind w:leftChars="-1" w:left="567" w:hangingChars="237" w:hanging="569"/>
        <w:rPr>
          <w:rFonts w:eastAsiaTheme="minorEastAsia"/>
        </w:rPr>
      </w:pPr>
      <w:r>
        <w:t xml:space="preserve">March, J. G., &amp; Simon, H. A. (1958). </w:t>
      </w:r>
      <w:r w:rsidRPr="001554E1">
        <w:rPr>
          <w:rStyle w:val="af6"/>
          <w:rFonts w:eastAsiaTheme="majorEastAsia"/>
          <w:i w:val="0"/>
          <w:iCs w:val="0"/>
        </w:rPr>
        <w:t>Organizations</w:t>
      </w:r>
      <w:r w:rsidRPr="001554E1">
        <w:rPr>
          <w:i/>
          <w:iCs/>
        </w:rPr>
        <w:t>.</w:t>
      </w:r>
      <w:r>
        <w:t xml:space="preserve"> </w:t>
      </w:r>
      <w:r w:rsidRPr="001554E1">
        <w:rPr>
          <w:i/>
          <w:iCs/>
        </w:rPr>
        <w:t>Wiley</w:t>
      </w:r>
      <w:r>
        <w:t>.</w:t>
      </w:r>
    </w:p>
    <w:p w14:paraId="203F5F6F" w14:textId="77777777" w:rsidR="00401A0D" w:rsidRDefault="00401A0D" w:rsidP="00401A0D">
      <w:pPr>
        <w:autoSpaceDE w:val="0"/>
        <w:autoSpaceDN w:val="0"/>
        <w:ind w:leftChars="-1" w:left="567" w:hangingChars="237" w:hanging="569"/>
      </w:pPr>
      <w:r>
        <w:t xml:space="preserve">Marlowe, J. (2005). Fiscal Slack and Counter-Cyclical Expenditure Stabilization: A First Look at the Local Level. </w:t>
      </w:r>
      <w:r>
        <w:rPr>
          <w:i/>
          <w:iCs/>
        </w:rPr>
        <w:t>Public Budgeting and Finance</w:t>
      </w:r>
      <w:r>
        <w:t xml:space="preserve">, </w:t>
      </w:r>
      <w:r>
        <w:rPr>
          <w:i/>
          <w:iCs/>
        </w:rPr>
        <w:t>25</w:t>
      </w:r>
      <w:r>
        <w:t>(3). https://doi.org/10.1111/j.1540-5850.2005.00367.x</w:t>
      </w:r>
    </w:p>
    <w:p w14:paraId="3A3CF739" w14:textId="77777777" w:rsidR="00401A0D" w:rsidRDefault="00401A0D" w:rsidP="00401A0D">
      <w:pPr>
        <w:autoSpaceDE w:val="0"/>
        <w:autoSpaceDN w:val="0"/>
        <w:ind w:leftChars="-1" w:left="567" w:hangingChars="237" w:hanging="569"/>
      </w:pPr>
      <w:r>
        <w:t xml:space="preserve">Martell, C. R., &amp; Smith, B. M. (2004). Grant Levels and Debt Issuance: Is There a Relationship? Is There Symmetry? </w:t>
      </w:r>
      <w:r>
        <w:rPr>
          <w:i/>
          <w:iCs/>
        </w:rPr>
        <w:t>Public Budgeting and Finance</w:t>
      </w:r>
      <w:r>
        <w:t xml:space="preserve">, </w:t>
      </w:r>
      <w:r>
        <w:rPr>
          <w:i/>
          <w:iCs/>
        </w:rPr>
        <w:t>24</w:t>
      </w:r>
      <w:r>
        <w:t>(3). https://doi.org/10.1111/j.0275-1100.2004.02403004.x</w:t>
      </w:r>
    </w:p>
    <w:p w14:paraId="4FE50DA3" w14:textId="77777777" w:rsidR="00401A0D" w:rsidRDefault="00401A0D" w:rsidP="00401A0D">
      <w:pPr>
        <w:autoSpaceDE w:val="0"/>
        <w:autoSpaceDN w:val="0"/>
        <w:ind w:leftChars="-1" w:left="567" w:hangingChars="237" w:hanging="569"/>
      </w:pPr>
      <w:r>
        <w:t xml:space="preserve">McNichol, E. C. (2014). </w:t>
      </w:r>
      <w:r>
        <w:rPr>
          <w:i/>
          <w:iCs/>
        </w:rPr>
        <w:t>When and How States Should Strengthen Their Rainy Day Funds</w:t>
      </w:r>
      <w:r>
        <w:t>. Center on Budget and Policy Priorities. https://www.cbpp.org/research/state-budget-and-tax/when-and-how-states-should-strengthen-their-rainy-day-funds</w:t>
      </w:r>
    </w:p>
    <w:p w14:paraId="21490E71" w14:textId="77777777" w:rsidR="00401A0D" w:rsidRDefault="00401A0D" w:rsidP="00401A0D">
      <w:pPr>
        <w:autoSpaceDE w:val="0"/>
        <w:autoSpaceDN w:val="0"/>
        <w:ind w:leftChars="-1" w:left="567" w:hangingChars="237" w:hanging="569"/>
      </w:pPr>
      <w:r>
        <w:t xml:space="preserve">Merriam, S. B. (2009). Qualitative research: A guide to design and implementation. In </w:t>
      </w:r>
      <w:r>
        <w:rPr>
          <w:i/>
          <w:iCs/>
        </w:rPr>
        <w:t>The JosseyBass higher and adult education series</w:t>
      </w:r>
      <w:r>
        <w:t xml:space="preserve"> (Vol. 2nd). https://doi.org/10.1097/NCI.0b013e3181edd9b1</w:t>
      </w:r>
    </w:p>
    <w:p w14:paraId="0ABBD1EE" w14:textId="77777777" w:rsidR="00401A0D" w:rsidRDefault="00401A0D" w:rsidP="00401A0D">
      <w:pPr>
        <w:autoSpaceDE w:val="0"/>
        <w:autoSpaceDN w:val="0"/>
        <w:ind w:leftChars="-1" w:left="567" w:hangingChars="237" w:hanging="569"/>
      </w:pPr>
      <w:r>
        <w:t xml:space="preserve">Migué, J.-L., &amp; Bélanger, G. (1974). Toward a General Theory of Managerial Discretion. </w:t>
      </w:r>
      <w:r>
        <w:rPr>
          <w:i/>
          <w:iCs/>
        </w:rPr>
        <w:t>Public Choice Vol. 17 (Spring)</w:t>
      </w:r>
      <w:r>
        <w:t>, 27–51. https://www.jstor.org/stable/30023151?seq=1#metadata_info_tab_contents</w:t>
      </w:r>
    </w:p>
    <w:p w14:paraId="627158DF" w14:textId="77777777" w:rsidR="00401A0D" w:rsidRDefault="00401A0D" w:rsidP="00401A0D">
      <w:pPr>
        <w:autoSpaceDE w:val="0"/>
        <w:autoSpaceDN w:val="0"/>
        <w:ind w:leftChars="-1" w:left="567" w:hangingChars="237" w:hanging="569"/>
      </w:pPr>
      <w:r>
        <w:t xml:space="preserve">Mullins, D. R., &amp; Joyce, P. G. (1996). Tax and expenditure limitations and state and local fiscal structure: An empirical assessment. </w:t>
      </w:r>
      <w:r>
        <w:rPr>
          <w:i/>
          <w:iCs/>
        </w:rPr>
        <w:t>Public Budgeting and Finance</w:t>
      </w:r>
      <w:r>
        <w:t xml:space="preserve">, </w:t>
      </w:r>
      <w:r>
        <w:rPr>
          <w:i/>
          <w:iCs/>
        </w:rPr>
        <w:t>16</w:t>
      </w:r>
      <w:r>
        <w:t>(1). https://doi.org/10.1111/1540-5850.01061</w:t>
      </w:r>
    </w:p>
    <w:p w14:paraId="316B52CE" w14:textId="77777777" w:rsidR="00401A0D" w:rsidRDefault="00401A0D" w:rsidP="00401A0D">
      <w:pPr>
        <w:autoSpaceDE w:val="0"/>
        <w:autoSpaceDN w:val="0"/>
        <w:ind w:leftChars="-1" w:left="567" w:hangingChars="237" w:hanging="569"/>
      </w:pPr>
      <w:r>
        <w:t xml:space="preserve">National Association of State Budget Officers. (2018). </w:t>
      </w:r>
      <w:r>
        <w:rPr>
          <w:i/>
          <w:iCs/>
        </w:rPr>
        <w:t>The fiscal survey of states: Fall 2018</w:t>
      </w:r>
      <w:r>
        <w:t>. https://higherlogicdownload.s3.amazonaws.com/NASBO/9d2d2db1-c943-4f1b-b750-0fca152d64c2/UploadedImages/Fiscal%20Survey/NASBO_Fall_2018_Fiscal_Survey_of_States_S.pdf</w:t>
      </w:r>
    </w:p>
    <w:p w14:paraId="7D5482F9" w14:textId="77777777" w:rsidR="00401A0D" w:rsidRDefault="00401A0D" w:rsidP="00401A0D">
      <w:pPr>
        <w:autoSpaceDE w:val="0"/>
        <w:autoSpaceDN w:val="0"/>
        <w:ind w:leftChars="-1" w:left="567" w:hangingChars="237" w:hanging="569"/>
      </w:pPr>
      <w:r>
        <w:t xml:space="preserve">National Conference of State Legislatures. (2018). </w:t>
      </w:r>
      <w:r>
        <w:rPr>
          <w:i/>
          <w:iCs/>
        </w:rPr>
        <w:t>Rainy Day Fund Structures</w:t>
      </w:r>
      <w:r>
        <w:t>. https://www.ncsl.org/research/fiscal-policy/rainy-day-funds.aspx</w:t>
      </w:r>
    </w:p>
    <w:p w14:paraId="2E317801" w14:textId="77777777" w:rsidR="00401A0D" w:rsidRDefault="00401A0D" w:rsidP="00401A0D">
      <w:pPr>
        <w:autoSpaceDE w:val="0"/>
        <w:autoSpaceDN w:val="0"/>
        <w:ind w:leftChars="-1" w:left="567" w:hangingChars="237" w:hanging="569"/>
      </w:pPr>
      <w:r>
        <w:t xml:space="preserve">Navin, J. C., &amp; Navin, L. J. (2003). </w:t>
      </w:r>
      <w:r>
        <w:rPr>
          <w:i/>
          <w:iCs/>
        </w:rPr>
        <w:t>The Optimal Size of Countercyclical Budget Stabilization Funds: A Case Study of Ohio</w:t>
      </w:r>
      <w:r>
        <w:t>. https://papers.ssrn.com/abstract=465698</w:t>
      </w:r>
    </w:p>
    <w:p w14:paraId="3AD5876B" w14:textId="77777777" w:rsidR="00401A0D" w:rsidRPr="00F37D27" w:rsidRDefault="00401A0D" w:rsidP="00401A0D">
      <w:pPr>
        <w:autoSpaceDE w:val="0"/>
        <w:autoSpaceDN w:val="0"/>
        <w:ind w:leftChars="-1" w:left="567" w:hangingChars="237" w:hanging="569"/>
        <w:rPr>
          <w:rFonts w:eastAsiaTheme="minorEastAsia"/>
        </w:rPr>
      </w:pPr>
      <w:r>
        <w:t xml:space="preserve">Nebraska Unicameral Legislature. (2005). </w:t>
      </w:r>
      <w:r w:rsidRPr="00F37D27">
        <w:t>Appropriations Committee Preliminary Report for FY 2005-06/ FY 2006-07 Biennial Budget</w:t>
      </w:r>
      <w:r w:rsidRPr="00F37D27">
        <w:rPr>
          <w:rFonts w:eastAsiaTheme="minorEastAsia" w:hint="eastAsia"/>
        </w:rPr>
        <w:t>.</w:t>
      </w:r>
    </w:p>
    <w:p w14:paraId="2CB8F188" w14:textId="77777777" w:rsidR="00401A0D" w:rsidRDefault="00401A0D" w:rsidP="00401A0D">
      <w:pPr>
        <w:autoSpaceDE w:val="0"/>
        <w:autoSpaceDN w:val="0"/>
        <w:ind w:leftChars="-1" w:left="567" w:hangingChars="237" w:hanging="569"/>
      </w:pPr>
      <w:r>
        <w:lastRenderedPageBreak/>
        <w:t xml:space="preserve">Nevada Legislature. (2003). </w:t>
      </w:r>
      <w:r>
        <w:rPr>
          <w:i/>
          <w:iCs/>
        </w:rPr>
        <w:t>Economic Forum</w:t>
      </w:r>
      <w:r>
        <w:t>. Nevada Legislature. https://www.leg.state.nv.us/division/fiscal/economic%20forum/index.html</w:t>
      </w:r>
    </w:p>
    <w:p w14:paraId="4E16CA31" w14:textId="77777777" w:rsidR="00401A0D" w:rsidRDefault="00401A0D" w:rsidP="00401A0D">
      <w:pPr>
        <w:autoSpaceDE w:val="0"/>
        <w:autoSpaceDN w:val="0"/>
        <w:ind w:leftChars="-1" w:left="567" w:hangingChars="237" w:hanging="569"/>
      </w:pPr>
      <w:r>
        <w:t xml:space="preserve">Niskanen, W. (2003). </w:t>
      </w:r>
      <w:r>
        <w:rPr>
          <w:i/>
          <w:iCs/>
        </w:rPr>
        <w:t>A case for divided government</w:t>
      </w:r>
      <w:r>
        <w:t>. Cato Policy Report, Washington DC: Cato Institute. https://www.cato.org/sites/cato.org/files/serials/files/policy-report/2003/3/niskanen.pdf</w:t>
      </w:r>
    </w:p>
    <w:p w14:paraId="5B57A732" w14:textId="77777777" w:rsidR="00401A0D" w:rsidRDefault="00401A0D" w:rsidP="00401A0D">
      <w:pPr>
        <w:autoSpaceDE w:val="0"/>
        <w:autoSpaceDN w:val="0"/>
        <w:ind w:leftChars="-1" w:left="567" w:hangingChars="237" w:hanging="569"/>
      </w:pPr>
      <w:r>
        <w:t xml:space="preserve">Nordhaus, W. D. (1975). The Political Business Cycle. </w:t>
      </w:r>
      <w:r>
        <w:rPr>
          <w:i/>
          <w:iCs/>
        </w:rPr>
        <w:t>The Review of Economic Studies</w:t>
      </w:r>
      <w:r>
        <w:t xml:space="preserve">, </w:t>
      </w:r>
      <w:r>
        <w:rPr>
          <w:i/>
          <w:iCs/>
        </w:rPr>
        <w:t>42</w:t>
      </w:r>
      <w:r>
        <w:t>(2), 169–190.</w:t>
      </w:r>
    </w:p>
    <w:p w14:paraId="4CB60A7F" w14:textId="77777777" w:rsidR="00401A0D" w:rsidRDefault="00401A0D" w:rsidP="00401A0D">
      <w:pPr>
        <w:autoSpaceDE w:val="0"/>
        <w:autoSpaceDN w:val="0"/>
        <w:ind w:leftChars="-1" w:left="567" w:hangingChars="237" w:hanging="569"/>
      </w:pPr>
      <w:r>
        <w:t xml:space="preserve">O’Toole, L. J., &amp; Meier, K. J. (1999). Modeling the Impact of Public Management: Implications of Structural Context. </w:t>
      </w:r>
      <w:r>
        <w:rPr>
          <w:i/>
          <w:iCs/>
        </w:rPr>
        <w:t>Journal of Public Administration Research and Theory</w:t>
      </w:r>
      <w:r>
        <w:t xml:space="preserve">, </w:t>
      </w:r>
      <w:r>
        <w:rPr>
          <w:i/>
          <w:iCs/>
        </w:rPr>
        <w:t>9</w:t>
      </w:r>
      <w:r>
        <w:t>(4). https://doi.org/10.1093/oxfordjournals.jpart.a024421</w:t>
      </w:r>
    </w:p>
    <w:p w14:paraId="7EBD8219" w14:textId="77777777" w:rsidR="00401A0D" w:rsidRPr="00D91F66" w:rsidRDefault="00401A0D" w:rsidP="00401A0D">
      <w:pPr>
        <w:tabs>
          <w:tab w:val="center" w:pos="4512"/>
        </w:tabs>
        <w:autoSpaceDE w:val="0"/>
        <w:autoSpaceDN w:val="0"/>
        <w:ind w:leftChars="-1" w:left="567" w:hangingChars="237" w:hanging="569"/>
        <w:rPr>
          <w:rFonts w:eastAsiaTheme="minorEastAsia"/>
          <w:i/>
          <w:iCs/>
        </w:rPr>
      </w:pPr>
      <w:r>
        <w:t xml:space="preserve">Pallay, G. (2013). </w:t>
      </w:r>
      <w:r w:rsidRPr="003B215E">
        <w:rPr>
          <w:rStyle w:val="af6"/>
          <w:rFonts w:eastAsiaTheme="majorEastAsia"/>
          <w:i w:val="0"/>
          <w:iCs w:val="0"/>
        </w:rPr>
        <w:t>Who runs the states?</w:t>
      </w:r>
      <w:r>
        <w:t xml:space="preserve"> </w:t>
      </w:r>
      <w:r w:rsidRPr="003B215E">
        <w:rPr>
          <w:i/>
          <w:iCs/>
        </w:rPr>
        <w:t>Ballotpedia</w:t>
      </w:r>
      <w:r>
        <w:t xml:space="preserve">. Retrieved from </w:t>
      </w:r>
      <w:hyperlink r:id="rId28" w:tgtFrame="_new" w:history="1">
        <w:r w:rsidRPr="00D91F66">
          <w:rPr>
            <w:rStyle w:val="aa"/>
            <w:color w:val="auto"/>
            <w:u w:val="none"/>
          </w:rPr>
          <w:t>https://ballotpedia.org/Ballotpedia:Who_Runs_the_States</w:t>
        </w:r>
      </w:hyperlink>
    </w:p>
    <w:p w14:paraId="473502BA" w14:textId="77777777" w:rsidR="00401A0D" w:rsidRPr="003D16F4" w:rsidRDefault="00401A0D" w:rsidP="00401A0D">
      <w:pPr>
        <w:autoSpaceDE w:val="0"/>
        <w:autoSpaceDN w:val="0"/>
        <w:ind w:leftChars="-1" w:left="567" w:hangingChars="237" w:hanging="569"/>
        <w:rPr>
          <w:rFonts w:eastAsiaTheme="minorEastAsia"/>
        </w:rPr>
      </w:pPr>
      <w:r>
        <w:t xml:space="preserve">Pammer, W. J. (1990). Managing fiscal strain in major American cities: understanding retrenchment in the public sector. </w:t>
      </w:r>
      <w:r>
        <w:rPr>
          <w:i/>
          <w:iCs/>
        </w:rPr>
        <w:t>Choice Reviews Online</w:t>
      </w:r>
      <w:r>
        <w:t xml:space="preserve">, </w:t>
      </w:r>
      <w:r>
        <w:rPr>
          <w:i/>
          <w:iCs/>
        </w:rPr>
        <w:t>27</w:t>
      </w:r>
      <w:r>
        <w:t>(11). https://doi.org/10.5860/choice.27-6445</w:t>
      </w:r>
    </w:p>
    <w:p w14:paraId="57B666F8" w14:textId="77777777" w:rsidR="00401A0D" w:rsidRPr="003D16F4" w:rsidRDefault="00401A0D" w:rsidP="00401A0D">
      <w:pPr>
        <w:autoSpaceDE w:val="0"/>
        <w:autoSpaceDN w:val="0"/>
        <w:ind w:leftChars="-1" w:left="567" w:hangingChars="237" w:hanging="569"/>
        <w:rPr>
          <w:rFonts w:eastAsiaTheme="minorEastAsia"/>
        </w:rPr>
      </w:pPr>
      <w:r w:rsidRPr="003D16F4">
        <w:rPr>
          <w:rFonts w:eastAsiaTheme="minorEastAsia"/>
        </w:rPr>
        <w:t xml:space="preserve">Persson, T., &amp; Tabellini, G. (2003). The </w:t>
      </w:r>
      <w:r>
        <w:rPr>
          <w:rFonts w:eastAsiaTheme="minorEastAsia" w:hint="eastAsia"/>
        </w:rPr>
        <w:t>e</w:t>
      </w:r>
      <w:r w:rsidRPr="003D16F4">
        <w:rPr>
          <w:rFonts w:eastAsiaTheme="minorEastAsia"/>
        </w:rPr>
        <w:t xml:space="preserve">conomic </w:t>
      </w:r>
      <w:r>
        <w:rPr>
          <w:rFonts w:eastAsiaTheme="minorEastAsia" w:hint="eastAsia"/>
        </w:rPr>
        <w:t>e</w:t>
      </w:r>
      <w:r w:rsidRPr="003D16F4">
        <w:rPr>
          <w:rFonts w:eastAsiaTheme="minorEastAsia"/>
        </w:rPr>
        <w:t xml:space="preserve">ffects of </w:t>
      </w:r>
      <w:r>
        <w:rPr>
          <w:rFonts w:eastAsiaTheme="minorEastAsia" w:hint="eastAsia"/>
        </w:rPr>
        <w:t>c</w:t>
      </w:r>
      <w:r w:rsidRPr="003D16F4">
        <w:rPr>
          <w:rFonts w:eastAsiaTheme="minorEastAsia"/>
        </w:rPr>
        <w:t>onstitutions: What do the data say? MIT Press.</w:t>
      </w:r>
    </w:p>
    <w:p w14:paraId="0DF80578" w14:textId="77777777" w:rsidR="00401A0D" w:rsidRDefault="00401A0D" w:rsidP="00401A0D">
      <w:pPr>
        <w:autoSpaceDE w:val="0"/>
        <w:autoSpaceDN w:val="0"/>
        <w:ind w:leftChars="-1" w:left="567" w:hangingChars="237" w:hanging="569"/>
      </w:pPr>
      <w:r>
        <w:t xml:space="preserve">Pierson, K., Hand, M. L., &amp; Thompson, F. (2015). The government finance database: A common resource for quantitative research in public financial analysis. </w:t>
      </w:r>
      <w:r>
        <w:rPr>
          <w:i/>
          <w:iCs/>
        </w:rPr>
        <w:t>PLoS ONE</w:t>
      </w:r>
      <w:r>
        <w:t xml:space="preserve">, </w:t>
      </w:r>
      <w:r>
        <w:rPr>
          <w:i/>
          <w:iCs/>
        </w:rPr>
        <w:t>10</w:t>
      </w:r>
      <w:r>
        <w:t>(6). https://doi.org/10.1371/journal.pone.0130119</w:t>
      </w:r>
    </w:p>
    <w:p w14:paraId="7EF682FD" w14:textId="77777777" w:rsidR="00401A0D" w:rsidRDefault="00401A0D" w:rsidP="00401A0D">
      <w:pPr>
        <w:autoSpaceDE w:val="0"/>
        <w:autoSpaceDN w:val="0"/>
        <w:ind w:leftChars="-1" w:left="567" w:hangingChars="237" w:hanging="569"/>
      </w:pPr>
      <w:r>
        <w:t xml:space="preserve">Poterba, J. M. (1994). State Responses to Fiscal Crises: The Effects of Budgetary Institutions and Politics. </w:t>
      </w:r>
      <w:r>
        <w:rPr>
          <w:i/>
          <w:iCs/>
        </w:rPr>
        <w:t>Journal of Political Economy</w:t>
      </w:r>
      <w:r>
        <w:t xml:space="preserve">, </w:t>
      </w:r>
      <w:r>
        <w:rPr>
          <w:i/>
          <w:iCs/>
        </w:rPr>
        <w:t>102</w:t>
      </w:r>
      <w:r>
        <w:t>(4), 799–821. https://doi.org/10.1086/261955</w:t>
      </w:r>
    </w:p>
    <w:p w14:paraId="520C1F2B" w14:textId="77777777" w:rsidR="00401A0D" w:rsidRDefault="00401A0D" w:rsidP="00401A0D">
      <w:pPr>
        <w:autoSpaceDE w:val="0"/>
        <w:autoSpaceDN w:val="0"/>
        <w:ind w:leftChars="-1" w:left="567" w:hangingChars="237" w:hanging="569"/>
      </w:pPr>
      <w:r>
        <w:t xml:space="preserve">Reuters. (2017, February 21). Virginia governor vetoes bill defunding Planned Parenthood. </w:t>
      </w:r>
      <w:r>
        <w:rPr>
          <w:i/>
          <w:iCs/>
        </w:rPr>
        <w:t>Reuters</w:t>
      </w:r>
      <w:r>
        <w:t>. https://www.reuters.com/article/virginia-plannedparenthood-idUSL1N1G61KJ</w:t>
      </w:r>
    </w:p>
    <w:p w14:paraId="361486D2" w14:textId="77777777" w:rsidR="00401A0D" w:rsidRDefault="00401A0D" w:rsidP="00401A0D">
      <w:pPr>
        <w:autoSpaceDE w:val="0"/>
        <w:autoSpaceDN w:val="0"/>
        <w:ind w:leftChars="-1" w:left="567" w:hangingChars="237" w:hanging="569"/>
      </w:pPr>
      <w:r>
        <w:t xml:space="preserve">Rodríguez-Tejedo, I. (2012). The Determinants of the Structure of Rainy Day Funds. In </w:t>
      </w:r>
      <w:r>
        <w:rPr>
          <w:i/>
          <w:iCs/>
        </w:rPr>
        <w:t>Public Administration Review</w:t>
      </w:r>
      <w:r>
        <w:t xml:space="preserve"> (Vol. 72, Issue 3). https://doi.org/10.1111/j.1540-6210.2011.02523.x</w:t>
      </w:r>
    </w:p>
    <w:p w14:paraId="4C84E3BB" w14:textId="77777777" w:rsidR="00401A0D" w:rsidRDefault="00401A0D" w:rsidP="00401A0D">
      <w:pPr>
        <w:autoSpaceDE w:val="0"/>
        <w:autoSpaceDN w:val="0"/>
        <w:ind w:leftChars="-1" w:left="567" w:hangingChars="237" w:hanging="569"/>
      </w:pPr>
      <w:r>
        <w:t xml:space="preserve">Rogoff, K. (1990). Equilibrium Political Budget. </w:t>
      </w:r>
      <w:r>
        <w:rPr>
          <w:i/>
          <w:iCs/>
        </w:rPr>
        <w:t>American Economic Review</w:t>
      </w:r>
      <w:r>
        <w:t xml:space="preserve">, </w:t>
      </w:r>
      <w:r>
        <w:rPr>
          <w:i/>
          <w:iCs/>
        </w:rPr>
        <w:t>80</w:t>
      </w:r>
      <w:r>
        <w:t>(1).</w:t>
      </w:r>
    </w:p>
    <w:p w14:paraId="212154AD" w14:textId="77777777" w:rsidR="00401A0D" w:rsidRDefault="00401A0D" w:rsidP="00401A0D">
      <w:pPr>
        <w:autoSpaceDE w:val="0"/>
        <w:autoSpaceDN w:val="0"/>
        <w:ind w:leftChars="-1" w:left="567" w:hangingChars="237" w:hanging="569"/>
      </w:pPr>
      <w:r>
        <w:t xml:space="preserve">Roller, M. R., &amp; Lavrakas, P. J. (2015). Applied qualitative research design: A total quality framework approach. In </w:t>
      </w:r>
      <w:r>
        <w:rPr>
          <w:i/>
          <w:iCs/>
        </w:rPr>
        <w:t>Applied qualitative research design: A total quality framework approach.</w:t>
      </w:r>
    </w:p>
    <w:p w14:paraId="16BA3F3A" w14:textId="77777777" w:rsidR="00401A0D" w:rsidRDefault="00401A0D" w:rsidP="00401A0D">
      <w:pPr>
        <w:autoSpaceDE w:val="0"/>
        <w:autoSpaceDN w:val="0"/>
        <w:ind w:leftChars="-1" w:left="567" w:hangingChars="237" w:hanging="569"/>
      </w:pPr>
      <w:r>
        <w:t xml:space="preserve">Rose, S. (2006). Do fiscal rules dampen the political business cycle? </w:t>
      </w:r>
      <w:r>
        <w:rPr>
          <w:i/>
          <w:iCs/>
        </w:rPr>
        <w:t>Public Choice</w:t>
      </w:r>
      <w:r>
        <w:t xml:space="preserve">, </w:t>
      </w:r>
      <w:r>
        <w:rPr>
          <w:i/>
          <w:iCs/>
        </w:rPr>
        <w:t>128</w:t>
      </w:r>
      <w:r>
        <w:t>(3–4). https://doi.org/10.1007/s11127-005-9007-7</w:t>
      </w:r>
    </w:p>
    <w:p w14:paraId="02184766" w14:textId="77777777" w:rsidR="00401A0D" w:rsidRDefault="00401A0D" w:rsidP="00401A0D">
      <w:pPr>
        <w:autoSpaceDE w:val="0"/>
        <w:autoSpaceDN w:val="0"/>
        <w:ind w:leftChars="-1" w:left="567" w:hangingChars="237" w:hanging="569"/>
      </w:pPr>
      <w:r>
        <w:t xml:space="preserve">Rose, S. (2008). The Political Manipulation of U.S. State Rainy Day Funds Under Rules Versus Discretion. </w:t>
      </w:r>
      <w:r>
        <w:rPr>
          <w:i/>
          <w:iCs/>
        </w:rPr>
        <w:t>State Politics and Policy Quarterly</w:t>
      </w:r>
      <w:r>
        <w:t xml:space="preserve">, </w:t>
      </w:r>
      <w:r>
        <w:rPr>
          <w:i/>
          <w:iCs/>
        </w:rPr>
        <w:t>8</w:t>
      </w:r>
      <w:r>
        <w:t>(2). https://doi.org/10.1177/153244000800800203</w:t>
      </w:r>
    </w:p>
    <w:p w14:paraId="7877D7C9" w14:textId="77777777" w:rsidR="00401A0D" w:rsidRDefault="00401A0D" w:rsidP="00401A0D">
      <w:pPr>
        <w:autoSpaceDE w:val="0"/>
        <w:autoSpaceDN w:val="0"/>
        <w:ind w:leftChars="-1" w:left="567" w:hangingChars="237" w:hanging="569"/>
      </w:pPr>
      <w:r>
        <w:t xml:space="preserve">Ryu, S., Cho, I., &amp; Kim, J. (2020). Does the Stringency of State Tax and Expenditure Limitations Discourage Political Manipulation in Fiscal Reserves? </w:t>
      </w:r>
      <w:r>
        <w:rPr>
          <w:i/>
          <w:iCs/>
        </w:rPr>
        <w:t>Public Administration Review</w:t>
      </w:r>
      <w:r>
        <w:t>. https://doi.org/10.1111/puar.13306</w:t>
      </w:r>
    </w:p>
    <w:p w14:paraId="289E4205" w14:textId="77777777" w:rsidR="00401A0D" w:rsidRDefault="00401A0D" w:rsidP="00401A0D">
      <w:pPr>
        <w:autoSpaceDE w:val="0"/>
        <w:autoSpaceDN w:val="0"/>
        <w:ind w:leftChars="-1" w:left="567" w:hangingChars="237" w:hanging="569"/>
      </w:pPr>
      <w:r>
        <w:t xml:space="preserve">Salmon, P. (1987). Decentralisation as an incentive scheme. </w:t>
      </w:r>
      <w:r>
        <w:rPr>
          <w:i/>
          <w:iCs/>
        </w:rPr>
        <w:t>Oxford Review of Economic Policy</w:t>
      </w:r>
      <w:r>
        <w:t xml:space="preserve">, </w:t>
      </w:r>
      <w:r>
        <w:rPr>
          <w:i/>
          <w:iCs/>
        </w:rPr>
        <w:t>3</w:t>
      </w:r>
      <w:r>
        <w:t>(2). https://doi.org/10.1093/oxrep/3.2.24</w:t>
      </w:r>
    </w:p>
    <w:p w14:paraId="5A5777EE" w14:textId="77777777" w:rsidR="00401A0D" w:rsidRDefault="00401A0D" w:rsidP="00401A0D">
      <w:pPr>
        <w:autoSpaceDE w:val="0"/>
        <w:autoSpaceDN w:val="0"/>
        <w:ind w:leftChars="-1" w:left="567" w:hangingChars="237" w:hanging="569"/>
      </w:pPr>
      <w:r>
        <w:t xml:space="preserve">Schein, E. H. (1993). On dialogue, culture, and organizational learning. </w:t>
      </w:r>
      <w:r>
        <w:rPr>
          <w:i/>
          <w:iCs/>
        </w:rPr>
        <w:t>Organizational Dynamics</w:t>
      </w:r>
      <w:r>
        <w:t xml:space="preserve">, </w:t>
      </w:r>
      <w:r>
        <w:rPr>
          <w:i/>
          <w:iCs/>
        </w:rPr>
        <w:t>22</w:t>
      </w:r>
      <w:r>
        <w:t>(2). https://doi.org/10.1016/0090-2616(93)90052-3</w:t>
      </w:r>
    </w:p>
    <w:p w14:paraId="68A0D58D" w14:textId="77777777" w:rsidR="00401A0D" w:rsidRDefault="00401A0D" w:rsidP="00401A0D">
      <w:pPr>
        <w:autoSpaceDE w:val="0"/>
        <w:autoSpaceDN w:val="0"/>
        <w:ind w:leftChars="-1" w:left="567" w:hangingChars="237" w:hanging="569"/>
      </w:pPr>
      <w:r>
        <w:t xml:space="preserve">Schneider, G. S. (2017, March 23). McAuliffe breaks record for most vetoes by a Virgnia governor. </w:t>
      </w:r>
      <w:r>
        <w:rPr>
          <w:i/>
          <w:iCs/>
        </w:rPr>
        <w:t>Washington Post</w:t>
      </w:r>
      <w:r>
        <w:t>. https://www.washingtonpost.com/local/virginia-</w:t>
      </w:r>
      <w:r>
        <w:lastRenderedPageBreak/>
        <w:t>politics/mcauliffe-poised-to-set-the-record-most-vetoes-by-a-virginia-governor/2017/03/22/6141e204-0e6b-11e7-9d5a-a83e627dc120_story.html</w:t>
      </w:r>
    </w:p>
    <w:p w14:paraId="7D2D783B" w14:textId="77777777" w:rsidR="00401A0D" w:rsidRDefault="00401A0D" w:rsidP="00401A0D">
      <w:pPr>
        <w:autoSpaceDE w:val="0"/>
        <w:autoSpaceDN w:val="0"/>
        <w:ind w:leftChars="-1" w:left="567" w:hangingChars="237" w:hanging="569"/>
      </w:pPr>
      <w:r>
        <w:t xml:space="preserve">Seawright, J. (2016). Multi-Method Social Science: Combining Qualitative and Quantitative Tools. </w:t>
      </w:r>
      <w:r>
        <w:rPr>
          <w:i/>
          <w:iCs/>
        </w:rPr>
        <w:t>Strategies for Social Inquiry</w:t>
      </w:r>
      <w:r>
        <w:t>.</w:t>
      </w:r>
    </w:p>
    <w:p w14:paraId="546A72DB" w14:textId="77777777" w:rsidR="00401A0D" w:rsidRDefault="00401A0D" w:rsidP="00401A0D">
      <w:pPr>
        <w:autoSpaceDE w:val="0"/>
        <w:autoSpaceDN w:val="0"/>
        <w:ind w:leftChars="-1" w:left="567" w:hangingChars="237" w:hanging="569"/>
      </w:pPr>
      <w:r>
        <w:t xml:space="preserve">Shadbegian, R. J. (1996). Do Tax and Expenditure Limitations affect the size and growth of state government? </w:t>
      </w:r>
      <w:r>
        <w:rPr>
          <w:i/>
          <w:iCs/>
        </w:rPr>
        <w:t>Contemporary Economic Policy</w:t>
      </w:r>
      <w:r>
        <w:t xml:space="preserve">, </w:t>
      </w:r>
      <w:r>
        <w:rPr>
          <w:i/>
          <w:iCs/>
        </w:rPr>
        <w:t>14</w:t>
      </w:r>
      <w:r>
        <w:t>(1). https://doi.org/10.1111/j.1465-7287.1996.tb00600.x</w:t>
      </w:r>
    </w:p>
    <w:p w14:paraId="12C52C7B" w14:textId="77777777" w:rsidR="00401A0D" w:rsidRDefault="00401A0D" w:rsidP="00401A0D">
      <w:pPr>
        <w:autoSpaceDE w:val="0"/>
        <w:autoSpaceDN w:val="0"/>
        <w:ind w:leftChars="-1" w:left="567" w:hangingChars="237" w:hanging="569"/>
      </w:pPr>
      <w:r>
        <w:t xml:space="preserve">Shleifer, A. (1985). A Theory of Yardstick Competition. </w:t>
      </w:r>
      <w:r>
        <w:rPr>
          <w:i/>
          <w:iCs/>
        </w:rPr>
        <w:t>The RAND Journal of Economics</w:t>
      </w:r>
      <w:r>
        <w:t xml:space="preserve">, </w:t>
      </w:r>
      <w:r>
        <w:rPr>
          <w:i/>
          <w:iCs/>
        </w:rPr>
        <w:t>16</w:t>
      </w:r>
      <w:r>
        <w:t>(3). https://doi.org/10.2307/2555560</w:t>
      </w:r>
    </w:p>
    <w:p w14:paraId="314813E5" w14:textId="77777777" w:rsidR="00401A0D" w:rsidRDefault="00401A0D" w:rsidP="00401A0D">
      <w:pPr>
        <w:autoSpaceDE w:val="0"/>
        <w:autoSpaceDN w:val="0"/>
        <w:ind w:leftChars="-1" w:left="567" w:hangingChars="237" w:hanging="569"/>
      </w:pPr>
      <w:r>
        <w:t xml:space="preserve">Simon, H. A. (1947). </w:t>
      </w:r>
      <w:r>
        <w:rPr>
          <w:i/>
          <w:iCs/>
        </w:rPr>
        <w:t>Administrative Behavior</w:t>
      </w:r>
      <w:r>
        <w:t>. Macmillan.</w:t>
      </w:r>
    </w:p>
    <w:p w14:paraId="35300E49" w14:textId="77777777" w:rsidR="00401A0D" w:rsidRDefault="00401A0D" w:rsidP="00401A0D">
      <w:pPr>
        <w:autoSpaceDE w:val="0"/>
        <w:autoSpaceDN w:val="0"/>
        <w:ind w:leftChars="-1" w:left="567" w:hangingChars="237" w:hanging="569"/>
      </w:pPr>
      <w:r>
        <w:t xml:space="preserve">Smallman, C. (1996). Risk and organizational behaviour: A research model. </w:t>
      </w:r>
      <w:r>
        <w:rPr>
          <w:i/>
          <w:iCs/>
        </w:rPr>
        <w:t>Disaster Prevention and Management: An International Journal</w:t>
      </w:r>
      <w:r>
        <w:t xml:space="preserve">, </w:t>
      </w:r>
      <w:r>
        <w:rPr>
          <w:i/>
          <w:iCs/>
        </w:rPr>
        <w:t>5</w:t>
      </w:r>
      <w:r>
        <w:t>(2). https://doi.org/10.1108/09653569610112880</w:t>
      </w:r>
    </w:p>
    <w:p w14:paraId="0FA0D50C" w14:textId="77777777" w:rsidR="00401A0D" w:rsidRDefault="00401A0D" w:rsidP="00401A0D">
      <w:pPr>
        <w:autoSpaceDE w:val="0"/>
        <w:autoSpaceDN w:val="0"/>
        <w:ind w:leftChars="-1" w:left="567" w:hangingChars="237" w:hanging="569"/>
      </w:pPr>
      <w:r>
        <w:t xml:space="preserve">Sobel, R. S., &amp; Holcombe, R. G. (1996). The Impact of State Rainy Day Funds in Easing State Fiscal Crises During the 1990-1991 Recession. </w:t>
      </w:r>
      <w:r>
        <w:rPr>
          <w:i/>
          <w:iCs/>
        </w:rPr>
        <w:t xml:space="preserve">Public Budgeting </w:t>
      </w:r>
      <w:r>
        <w:rPr>
          <w:rFonts w:eastAsiaTheme="minorEastAsia" w:hint="eastAsia"/>
          <w:i/>
          <w:iCs/>
        </w:rPr>
        <w:t xml:space="preserve">&amp; </w:t>
      </w:r>
      <w:r>
        <w:rPr>
          <w:i/>
          <w:iCs/>
        </w:rPr>
        <w:t>Finance</w:t>
      </w:r>
      <w:r>
        <w:t xml:space="preserve">, </w:t>
      </w:r>
      <w:r>
        <w:rPr>
          <w:i/>
          <w:iCs/>
        </w:rPr>
        <w:t>16</w:t>
      </w:r>
      <w:r>
        <w:t>(3), 28–48. https://doi.org/10.1111/1540-5850.01075</w:t>
      </w:r>
    </w:p>
    <w:p w14:paraId="2819EEA0" w14:textId="77777777" w:rsidR="00401A0D" w:rsidRDefault="00401A0D" w:rsidP="00401A0D">
      <w:pPr>
        <w:autoSpaceDE w:val="0"/>
        <w:autoSpaceDN w:val="0"/>
        <w:ind w:leftChars="-1" w:left="567" w:hangingChars="237" w:hanging="569"/>
      </w:pPr>
      <w:r>
        <w:t xml:space="preserve">Spears, M. (2020). State Budget Surpluses, Deficits, and Rainy Day Funds. In </w:t>
      </w:r>
      <w:r>
        <w:rPr>
          <w:i/>
          <w:iCs/>
        </w:rPr>
        <w:t>The Sycamore Institute</w:t>
      </w:r>
      <w:r>
        <w:t>. https://www.sycamoreinstitutetn.org/state-budget-surpluses-rainy-day-funds-deficits/.</w:t>
      </w:r>
    </w:p>
    <w:p w14:paraId="05E42B9F" w14:textId="77777777" w:rsidR="00401A0D" w:rsidRPr="00EB37EA" w:rsidRDefault="00401A0D" w:rsidP="00401A0D">
      <w:pPr>
        <w:autoSpaceDE w:val="0"/>
        <w:autoSpaceDN w:val="0"/>
        <w:ind w:leftChars="-1" w:left="567" w:hangingChars="237" w:hanging="569"/>
        <w:rPr>
          <w:rFonts w:eastAsiaTheme="minorEastAsia"/>
        </w:rPr>
      </w:pPr>
      <w:r>
        <w:t xml:space="preserve">Starman, A. B. (2013). The case study as a type of qual research. </w:t>
      </w:r>
      <w:r>
        <w:rPr>
          <w:i/>
          <w:iCs/>
        </w:rPr>
        <w:t>Journal of Contemporary Educational Studies</w:t>
      </w:r>
      <w:r>
        <w:t xml:space="preserve">, </w:t>
      </w:r>
      <w:r>
        <w:rPr>
          <w:i/>
          <w:iCs/>
        </w:rPr>
        <w:t>1</w:t>
      </w:r>
      <w:r>
        <w:t>.</w:t>
      </w:r>
    </w:p>
    <w:p w14:paraId="1D6A2EC8" w14:textId="77777777" w:rsidR="00401A0D" w:rsidRDefault="00401A0D" w:rsidP="00401A0D">
      <w:pPr>
        <w:autoSpaceDE w:val="0"/>
        <w:autoSpaceDN w:val="0"/>
        <w:ind w:leftChars="-1" w:left="567" w:hangingChars="237" w:hanging="569"/>
      </w:pPr>
      <w:r>
        <w:t xml:space="preserve">Su, M. (2019). Understanding the Accumulation of Local Government Savings: A Dynamic Analysis. </w:t>
      </w:r>
      <w:r>
        <w:rPr>
          <w:i/>
          <w:iCs/>
        </w:rPr>
        <w:t>International Journal of Public Administration</w:t>
      </w:r>
      <w:r>
        <w:t xml:space="preserve">, </w:t>
      </w:r>
      <w:r>
        <w:rPr>
          <w:i/>
          <w:iCs/>
        </w:rPr>
        <w:t>42</w:t>
      </w:r>
      <w:r>
        <w:t>(11). https://doi.org/10.1080/01900692.2018.1522506</w:t>
      </w:r>
    </w:p>
    <w:p w14:paraId="0D917518" w14:textId="77777777" w:rsidR="00401A0D" w:rsidRDefault="00401A0D" w:rsidP="00401A0D">
      <w:pPr>
        <w:autoSpaceDE w:val="0"/>
        <w:autoSpaceDN w:val="0"/>
        <w:ind w:leftChars="-1" w:left="567" w:hangingChars="237" w:hanging="569"/>
      </w:pPr>
      <w:r>
        <w:t xml:space="preserve">Su, M., &amp; Hildreth, W. B. (2018). Does Financial Slack Reduce Municipal Short-Term Borrowing? </w:t>
      </w:r>
      <w:r>
        <w:rPr>
          <w:i/>
          <w:iCs/>
        </w:rPr>
        <w:t>Public Budgeting and Finance</w:t>
      </w:r>
      <w:r>
        <w:t xml:space="preserve">, </w:t>
      </w:r>
      <w:r>
        <w:rPr>
          <w:i/>
          <w:iCs/>
        </w:rPr>
        <w:t>38</w:t>
      </w:r>
      <w:r>
        <w:t>(1), 95–113. https://doi.org/10.1111/pbaf.12189</w:t>
      </w:r>
    </w:p>
    <w:p w14:paraId="2045C34E" w14:textId="77777777" w:rsidR="00401A0D" w:rsidRDefault="00401A0D" w:rsidP="00401A0D">
      <w:pPr>
        <w:autoSpaceDE w:val="0"/>
        <w:autoSpaceDN w:val="0"/>
        <w:ind w:leftChars="-1" w:left="567" w:hangingChars="237" w:hanging="569"/>
      </w:pPr>
      <w:r>
        <w:t xml:space="preserve">Sun, R. (2014). Reevaluating the Effect of Tax and Expenditure Limitations: An Instrumental Variable Approach. </w:t>
      </w:r>
      <w:r>
        <w:rPr>
          <w:i/>
          <w:iCs/>
        </w:rPr>
        <w:t>Public Finance Review</w:t>
      </w:r>
      <w:r>
        <w:t xml:space="preserve">, </w:t>
      </w:r>
      <w:r>
        <w:rPr>
          <w:i/>
          <w:iCs/>
        </w:rPr>
        <w:t>42</w:t>
      </w:r>
      <w:r>
        <w:t>(1). https://doi.org/10.1177/1091142112459210</w:t>
      </w:r>
    </w:p>
    <w:p w14:paraId="2F6259E9" w14:textId="77777777" w:rsidR="00401A0D" w:rsidRDefault="00401A0D" w:rsidP="00401A0D">
      <w:pPr>
        <w:autoSpaceDE w:val="0"/>
        <w:autoSpaceDN w:val="0"/>
        <w:ind w:leftChars="-1" w:left="567" w:hangingChars="237" w:hanging="569"/>
      </w:pPr>
      <w:r>
        <w:t xml:space="preserve">Tausanovitch, C., &amp; Warshaw, C. (2014). Representation in municipal government. In </w:t>
      </w:r>
      <w:r>
        <w:rPr>
          <w:i/>
          <w:iCs/>
        </w:rPr>
        <w:t>American Political Science Review</w:t>
      </w:r>
      <w:r>
        <w:t xml:space="preserve"> (Vol. 108, Issue 3). https://doi.org/10.1017/S0003055414000318</w:t>
      </w:r>
    </w:p>
    <w:p w14:paraId="6B1FF990" w14:textId="3D0D8F40" w:rsidR="00401A0D" w:rsidRPr="00497C6B" w:rsidRDefault="00401A0D" w:rsidP="00401A0D">
      <w:pPr>
        <w:autoSpaceDE w:val="0"/>
        <w:autoSpaceDN w:val="0"/>
        <w:ind w:leftChars="-1" w:left="567" w:hangingChars="237" w:hanging="569"/>
        <w:rPr>
          <w:rFonts w:eastAsiaTheme="minorEastAsia"/>
        </w:rPr>
      </w:pPr>
      <w:r>
        <w:t xml:space="preserve">Thatcher, D. (2008). </w:t>
      </w:r>
      <w:r>
        <w:rPr>
          <w:i/>
          <w:iCs/>
        </w:rPr>
        <w:t>State Budget Stabilization Funds</w:t>
      </w:r>
      <w:r>
        <w:t xml:space="preserve">. National Conference of State Legislatures. </w:t>
      </w:r>
      <w:hyperlink r:id="rId29" w:history="1">
        <w:r w:rsidR="00497C6B" w:rsidRPr="00497C6B">
          <w:rPr>
            <w:rStyle w:val="aa"/>
            <w:color w:val="auto"/>
            <w:u w:val="none"/>
          </w:rPr>
          <w:t>https://www.ncsl.org/research/fiscal-policy/state-budget-stabilization-funds-spring-2008.aspx</w:t>
        </w:r>
      </w:hyperlink>
    </w:p>
    <w:p w14:paraId="44B5F2D0" w14:textId="2377ACBF" w:rsidR="00401A0D" w:rsidRPr="00C81CBC" w:rsidRDefault="00401A0D" w:rsidP="00401A0D">
      <w:pPr>
        <w:autoSpaceDE w:val="0"/>
        <w:autoSpaceDN w:val="0"/>
        <w:ind w:leftChars="-1" w:left="567" w:hangingChars="237" w:hanging="569"/>
        <w:rPr>
          <w:rFonts w:eastAsiaTheme="minorEastAsia"/>
        </w:rPr>
      </w:pPr>
      <w:r>
        <w:t xml:space="preserve">The Pew Charitable Trust. (2017). </w:t>
      </w:r>
      <w:r w:rsidRPr="00C81CBC">
        <w:t>Rainy Day Funds and State Credit Ratings How well-designed policies and timely use can protect against downgrades.</w:t>
      </w:r>
      <w:r w:rsidR="00DB2862">
        <w:rPr>
          <w:rFonts w:eastAsiaTheme="minorEastAsia" w:hint="eastAsia"/>
        </w:rPr>
        <w:t xml:space="preserve"> </w:t>
      </w:r>
      <w:r w:rsidR="00DB2862" w:rsidRPr="00DB2862">
        <w:rPr>
          <w:rFonts w:eastAsiaTheme="minorEastAsia"/>
        </w:rPr>
        <w:t>https://www.pewtrusts.org/en/research-and-analysis/reports/2017/05/rainy-day-funds-and-state-credit-ratings</w:t>
      </w:r>
    </w:p>
    <w:p w14:paraId="1330E5D0" w14:textId="5783DA7C" w:rsidR="00401A0D" w:rsidRPr="00DB2862" w:rsidRDefault="00401A0D" w:rsidP="00401A0D">
      <w:pPr>
        <w:autoSpaceDE w:val="0"/>
        <w:autoSpaceDN w:val="0"/>
        <w:ind w:leftChars="-1" w:left="567" w:hangingChars="237" w:hanging="569"/>
        <w:rPr>
          <w:rFonts w:eastAsiaTheme="minorEastAsia"/>
        </w:rPr>
      </w:pPr>
      <w:r>
        <w:t xml:space="preserve">The Pew Charitable Trusts. (2014). </w:t>
      </w:r>
      <w:r w:rsidRPr="00C81CBC">
        <w:t>Managing Uncertainty How State Budgeting Can Smooth Revenue Volatility.</w:t>
      </w:r>
      <w:r w:rsidR="00DB2862">
        <w:rPr>
          <w:rFonts w:eastAsiaTheme="minorEastAsia" w:hint="eastAsia"/>
        </w:rPr>
        <w:t xml:space="preserve"> </w:t>
      </w:r>
      <w:r w:rsidR="00DB2862" w:rsidRPr="00DB2862">
        <w:rPr>
          <w:rFonts w:eastAsiaTheme="minorEastAsia"/>
        </w:rPr>
        <w:t>https://www.pewtrusts.org/en/research-and-analysis/reports/2014/02/04/managing-uncertainty</w:t>
      </w:r>
    </w:p>
    <w:p w14:paraId="55ED24A4" w14:textId="77777777" w:rsidR="00401A0D" w:rsidRDefault="00401A0D" w:rsidP="00401A0D">
      <w:pPr>
        <w:autoSpaceDE w:val="0"/>
        <w:autoSpaceDN w:val="0"/>
        <w:ind w:leftChars="-1" w:left="567" w:hangingChars="237" w:hanging="569"/>
      </w:pPr>
      <w:r>
        <w:t xml:space="preserve">The Pew Charitable Trusts. (2017). </w:t>
      </w:r>
      <w:r w:rsidRPr="00C81CBC">
        <w:t>When to Use State Rainy Day Funds.</w:t>
      </w:r>
      <w:r>
        <w:t xml:space="preserve"> https://www.pewtrusts.org/en/research-and-analysis/reports/2017/04/when-to-use-state-rainy-day-funds</w:t>
      </w:r>
    </w:p>
    <w:p w14:paraId="05A39DBE" w14:textId="77777777" w:rsidR="00401A0D" w:rsidRDefault="00401A0D" w:rsidP="00401A0D">
      <w:pPr>
        <w:autoSpaceDE w:val="0"/>
        <w:autoSpaceDN w:val="0"/>
        <w:ind w:leftChars="-1" w:left="567" w:hangingChars="237" w:hanging="569"/>
      </w:pPr>
      <w:r>
        <w:lastRenderedPageBreak/>
        <w:t xml:space="preserve">The Pew Charitable Trusts. (2022). </w:t>
      </w:r>
      <w:r>
        <w:rPr>
          <w:i/>
          <w:iCs/>
        </w:rPr>
        <w:t>States build their reserves amid growing uncertainties</w:t>
      </w:r>
      <w:r>
        <w:t>. https://www.pewtrusts.org/en/research-and-analysis/articles/2022/10/18/states-build-their-reserves-amid-growing-uncertainties</w:t>
      </w:r>
    </w:p>
    <w:p w14:paraId="70E746A8" w14:textId="77777777" w:rsidR="00401A0D" w:rsidRDefault="00401A0D" w:rsidP="00401A0D">
      <w:pPr>
        <w:autoSpaceDE w:val="0"/>
        <w:autoSpaceDN w:val="0"/>
        <w:ind w:leftChars="-1" w:left="567" w:hangingChars="237" w:hanging="569"/>
      </w:pPr>
      <w:r>
        <w:t xml:space="preserve">The Volcker Alliance. (2021). </w:t>
      </w:r>
      <w:r>
        <w:rPr>
          <w:i/>
          <w:iCs/>
        </w:rPr>
        <w:t>Rainy Day Fund Strategies - A Call to Action</w:t>
      </w:r>
      <w:r>
        <w:t>. https://www.volckeralliance.org/resources/rainy-day-fund-strategies-call-action-0</w:t>
      </w:r>
    </w:p>
    <w:p w14:paraId="738E838E" w14:textId="77777777" w:rsidR="00401A0D" w:rsidRDefault="00401A0D" w:rsidP="00401A0D">
      <w:pPr>
        <w:autoSpaceDE w:val="0"/>
        <w:autoSpaceDN w:val="0"/>
        <w:ind w:leftChars="-1" w:left="567" w:hangingChars="237" w:hanging="569"/>
      </w:pPr>
      <w:r>
        <w:t xml:space="preserve">Tiebout, C. M. (1956). A Pure Theory of Local Expenditures. </w:t>
      </w:r>
      <w:r>
        <w:rPr>
          <w:i/>
          <w:iCs/>
        </w:rPr>
        <w:t>Journal of Political Economy</w:t>
      </w:r>
      <w:r>
        <w:t xml:space="preserve">, </w:t>
      </w:r>
      <w:r>
        <w:rPr>
          <w:i/>
          <w:iCs/>
        </w:rPr>
        <w:t>64</w:t>
      </w:r>
      <w:r>
        <w:t>(5). https://doi.org/10.1086/257839</w:t>
      </w:r>
    </w:p>
    <w:p w14:paraId="3D59C769" w14:textId="77777777" w:rsidR="00401A0D" w:rsidRDefault="00401A0D" w:rsidP="00401A0D">
      <w:pPr>
        <w:autoSpaceDE w:val="0"/>
        <w:autoSpaceDN w:val="0"/>
        <w:ind w:leftChars="-1" w:left="567" w:hangingChars="237" w:hanging="569"/>
      </w:pPr>
      <w:r>
        <w:t xml:space="preserve">Toft, B., &amp; Reynolds, S. (2005). </w:t>
      </w:r>
      <w:r w:rsidRPr="00A12A73">
        <w:t>Learning from disasters: A management approach.</w:t>
      </w:r>
      <w:r>
        <w:t xml:space="preserve"> </w:t>
      </w:r>
      <w:r w:rsidRPr="00A12A73">
        <w:rPr>
          <w:i/>
          <w:iCs/>
        </w:rPr>
        <w:t xml:space="preserve">Palgrave </w:t>
      </w:r>
      <w:r>
        <w:t>Macmillan.</w:t>
      </w:r>
    </w:p>
    <w:p w14:paraId="3843E57B" w14:textId="77777777" w:rsidR="00401A0D" w:rsidRDefault="00401A0D" w:rsidP="00401A0D">
      <w:pPr>
        <w:autoSpaceDE w:val="0"/>
        <w:autoSpaceDN w:val="0"/>
        <w:ind w:leftChars="-1" w:left="567" w:hangingChars="237" w:hanging="569"/>
      </w:pPr>
      <w:r>
        <w:t xml:space="preserve">Torres-Reyna, O. (2014). Panel Data Analysis Fixed &amp; Random Effects. </w:t>
      </w:r>
      <w:r>
        <w:rPr>
          <w:i/>
          <w:iCs/>
        </w:rPr>
        <w:t>Princeton University</w:t>
      </w:r>
      <w:r>
        <w:t xml:space="preserve">, </w:t>
      </w:r>
      <w:r>
        <w:rPr>
          <w:i/>
          <w:iCs/>
        </w:rPr>
        <w:t>http://www.princeton.edu/~otorres/</w:t>
      </w:r>
      <w:r>
        <w:t>.</w:t>
      </w:r>
    </w:p>
    <w:p w14:paraId="1FC76D76" w14:textId="77777777" w:rsidR="00401A0D" w:rsidRDefault="00401A0D" w:rsidP="00401A0D">
      <w:pPr>
        <w:autoSpaceDE w:val="0"/>
        <w:autoSpaceDN w:val="0"/>
        <w:ind w:leftChars="-1" w:left="567" w:hangingChars="237" w:hanging="569"/>
      </w:pPr>
      <w:r>
        <w:t xml:space="preserve">von Hagen, J. (2008). Political Economy of Fiscal Institutions. In </w:t>
      </w:r>
      <w:r>
        <w:rPr>
          <w:i/>
          <w:iCs/>
        </w:rPr>
        <w:t>The Oxford Handbook of Political Economy</w:t>
      </w:r>
      <w:r>
        <w:t>. https://doi.org/10.1093/oxfordhb/9780199548477.003.0026</w:t>
      </w:r>
    </w:p>
    <w:p w14:paraId="40BF102C" w14:textId="77777777" w:rsidR="00401A0D" w:rsidRDefault="00401A0D" w:rsidP="00401A0D">
      <w:pPr>
        <w:autoSpaceDE w:val="0"/>
        <w:autoSpaceDN w:val="0"/>
        <w:ind w:leftChars="-1" w:left="567" w:hangingChars="237" w:hanging="569"/>
      </w:pPr>
      <w:r>
        <w:t xml:space="preserve">von Hagen, J., &amp; Harden, I. J. (2019). Budget processes and commitment to fiscal discipline. </w:t>
      </w:r>
      <w:r>
        <w:rPr>
          <w:i/>
          <w:iCs/>
        </w:rPr>
        <w:t>Credit and Capital Markets</w:t>
      </w:r>
      <w:r>
        <w:t xml:space="preserve">, </w:t>
      </w:r>
      <w:r>
        <w:rPr>
          <w:i/>
          <w:iCs/>
        </w:rPr>
        <w:t>52</w:t>
      </w:r>
      <w:r>
        <w:t>(4). https://doi.org/10.3790/ccm.52.4.527</w:t>
      </w:r>
    </w:p>
    <w:p w14:paraId="7CDC4CAF" w14:textId="77777777" w:rsidR="00401A0D" w:rsidRDefault="00401A0D" w:rsidP="00401A0D">
      <w:pPr>
        <w:autoSpaceDE w:val="0"/>
        <w:autoSpaceDN w:val="0"/>
        <w:ind w:leftChars="-1" w:left="567" w:hangingChars="237" w:hanging="569"/>
      </w:pPr>
      <w:r>
        <w:t xml:space="preserve">Wagner, G. A. (2003). Are state budget stabilization funds only the illusion of savings? Evidence from stationary panel data. </w:t>
      </w:r>
      <w:r>
        <w:rPr>
          <w:i/>
          <w:iCs/>
        </w:rPr>
        <w:t>Quarterly Review of Economics and Finance</w:t>
      </w:r>
      <w:r>
        <w:t xml:space="preserve">, </w:t>
      </w:r>
      <w:r>
        <w:rPr>
          <w:i/>
          <w:iCs/>
        </w:rPr>
        <w:t>43</w:t>
      </w:r>
      <w:r>
        <w:t>(2), 213–238. https://doi.org/10.1016/S1062-9769(01)00132-6</w:t>
      </w:r>
    </w:p>
    <w:p w14:paraId="2A76DA93" w14:textId="77777777" w:rsidR="00401A0D" w:rsidRDefault="00401A0D" w:rsidP="00401A0D">
      <w:pPr>
        <w:autoSpaceDE w:val="0"/>
        <w:autoSpaceDN w:val="0"/>
        <w:ind w:leftChars="-1" w:left="567" w:hangingChars="237" w:hanging="569"/>
      </w:pPr>
      <w:r>
        <w:t xml:space="preserve">Wagner, G. A. (2004). The Bond Market and Fiscal Institutions: Have Budget Stabilization Funds Reduced State Borrowing. In </w:t>
      </w:r>
      <w:r>
        <w:rPr>
          <w:i/>
          <w:iCs/>
        </w:rPr>
        <w:t>National Tax Journal</w:t>
      </w:r>
      <w:r>
        <w:t xml:space="preserve"> (Vol. 57).</w:t>
      </w:r>
    </w:p>
    <w:p w14:paraId="2CABFCC4" w14:textId="77777777" w:rsidR="00401A0D" w:rsidRDefault="00401A0D" w:rsidP="00401A0D">
      <w:pPr>
        <w:autoSpaceDE w:val="0"/>
        <w:autoSpaceDN w:val="0"/>
        <w:ind w:leftChars="-1" w:left="567" w:hangingChars="237" w:hanging="569"/>
      </w:pPr>
      <w:r>
        <w:t xml:space="preserve">Wagner, G. A., &amp; Elder, E. M. (2005). The role of budget stabilization funds in smoothing government expenditures over the business cycle. In </w:t>
      </w:r>
      <w:r>
        <w:rPr>
          <w:i/>
          <w:iCs/>
        </w:rPr>
        <w:t>Public Finance Review</w:t>
      </w:r>
      <w:r>
        <w:t xml:space="preserve"> (Vol. 33, Issue 4, pp. 439–465). https://doi.org/10.1177/1091142105276442</w:t>
      </w:r>
    </w:p>
    <w:p w14:paraId="5D0CA9FE" w14:textId="77777777" w:rsidR="00401A0D" w:rsidRDefault="00401A0D" w:rsidP="00401A0D">
      <w:pPr>
        <w:autoSpaceDE w:val="0"/>
        <w:autoSpaceDN w:val="0"/>
        <w:ind w:leftChars="-1" w:left="567" w:hangingChars="237" w:hanging="569"/>
      </w:pPr>
      <w:r>
        <w:t xml:space="preserve">Wagner, G. A., &amp; Sobel, R. S. (2006). State Budget Stabilization Fund Adoption: Preparing for the Next Recession or Circumventing Fiscal Constraints? </w:t>
      </w:r>
      <w:r>
        <w:rPr>
          <w:i/>
          <w:iCs/>
        </w:rPr>
        <w:t>Choice</w:t>
      </w:r>
      <w:r>
        <w:t xml:space="preserve">, </w:t>
      </w:r>
      <w:r>
        <w:rPr>
          <w:i/>
          <w:iCs/>
        </w:rPr>
        <w:t>126</w:t>
      </w:r>
      <w:r>
        <w:t>(1), 177–199. https://doi.org/10.1007/s</w:t>
      </w:r>
    </w:p>
    <w:p w14:paraId="49E2575B" w14:textId="77777777" w:rsidR="00401A0D" w:rsidRDefault="00401A0D" w:rsidP="00401A0D">
      <w:pPr>
        <w:autoSpaceDE w:val="0"/>
        <w:autoSpaceDN w:val="0"/>
        <w:ind w:leftChars="-1" w:left="567" w:hangingChars="237" w:hanging="569"/>
      </w:pPr>
      <w:r>
        <w:t xml:space="preserve">Wang, W., &amp; Hou, Y. (2012). Do local governments save and spend across budget cycles? evidence from North Carolina. </w:t>
      </w:r>
      <w:r>
        <w:rPr>
          <w:i/>
          <w:iCs/>
        </w:rPr>
        <w:t>American Review of Public Administration</w:t>
      </w:r>
      <w:r>
        <w:t xml:space="preserve">, </w:t>
      </w:r>
      <w:r>
        <w:rPr>
          <w:i/>
          <w:iCs/>
        </w:rPr>
        <w:t>42</w:t>
      </w:r>
      <w:r>
        <w:t>(2). https://doi.org/10.1177/0275074011398387</w:t>
      </w:r>
    </w:p>
    <w:p w14:paraId="0B3E0EFC" w14:textId="77777777" w:rsidR="00401A0D" w:rsidRDefault="00401A0D" w:rsidP="00401A0D">
      <w:pPr>
        <w:autoSpaceDE w:val="0"/>
        <w:autoSpaceDN w:val="0"/>
        <w:ind w:leftChars="-1" w:left="567" w:hangingChars="237" w:hanging="569"/>
      </w:pPr>
      <w:r>
        <w:t xml:space="preserve">Wooldridge, J. M. (2013). Introductory econometrics : a modern approach. 5th. In </w:t>
      </w:r>
      <w:r>
        <w:rPr>
          <w:i/>
          <w:iCs/>
        </w:rPr>
        <w:t>South-Western Cengange learning</w:t>
      </w:r>
      <w:r>
        <w:t>.</w:t>
      </w:r>
    </w:p>
    <w:p w14:paraId="66D1939D" w14:textId="77777777" w:rsidR="00401A0D" w:rsidRDefault="00401A0D" w:rsidP="00401A0D">
      <w:pPr>
        <w:autoSpaceDE w:val="0"/>
        <w:autoSpaceDN w:val="0"/>
        <w:ind w:leftChars="-1" w:left="567" w:hangingChars="237" w:hanging="569"/>
      </w:pPr>
      <w:r>
        <w:t xml:space="preserve">Wu, Y., &amp; Shi, Y. (2021). Does General Fund Balance Stabilize Municipal Expenditure? Evidence from Large American Cities. </w:t>
      </w:r>
      <w:r>
        <w:rPr>
          <w:i/>
          <w:iCs/>
        </w:rPr>
        <w:t>International Journal of Public Administration</w:t>
      </w:r>
      <w:r>
        <w:t xml:space="preserve">, </w:t>
      </w:r>
      <w:r>
        <w:rPr>
          <w:i/>
          <w:iCs/>
        </w:rPr>
        <w:t>44</w:t>
      </w:r>
      <w:r>
        <w:t>(5). https://doi.org/10.1080/01900692.2020.1728772</w:t>
      </w:r>
    </w:p>
    <w:p w14:paraId="1118E579" w14:textId="77777777" w:rsidR="00401A0D" w:rsidRDefault="00401A0D" w:rsidP="00401A0D">
      <w:pPr>
        <w:autoSpaceDE w:val="0"/>
        <w:autoSpaceDN w:val="0"/>
        <w:ind w:leftChars="-1" w:left="567" w:hangingChars="237" w:hanging="569"/>
      </w:pPr>
      <w:r>
        <w:t xml:space="preserve">Xu, Y. (2017a). Generalized synthetic control method: Causal inference with interactive fixed effects models. </w:t>
      </w:r>
      <w:r>
        <w:rPr>
          <w:i/>
          <w:iCs/>
        </w:rPr>
        <w:t>Political Analysis</w:t>
      </w:r>
      <w:r>
        <w:t xml:space="preserve">, </w:t>
      </w:r>
      <w:r>
        <w:rPr>
          <w:i/>
          <w:iCs/>
        </w:rPr>
        <w:t>25</w:t>
      </w:r>
      <w:r>
        <w:t>(1). https://doi.org/10.1017/pan.2016.2</w:t>
      </w:r>
    </w:p>
    <w:p w14:paraId="03281AF8" w14:textId="77777777" w:rsidR="00401A0D" w:rsidRDefault="00401A0D" w:rsidP="00401A0D">
      <w:pPr>
        <w:autoSpaceDE w:val="0"/>
        <w:autoSpaceDN w:val="0"/>
        <w:ind w:leftChars="-1" w:left="567" w:hangingChars="237" w:hanging="569"/>
        <w:rPr>
          <w:rFonts w:eastAsiaTheme="minorEastAsia"/>
        </w:rPr>
      </w:pPr>
      <w:r>
        <w:t xml:space="preserve">Xu, Y. (2017b). </w:t>
      </w:r>
      <w:r>
        <w:rPr>
          <w:i/>
          <w:iCs/>
        </w:rPr>
        <w:t>Package “gsynth” Type Package Title Generalized Synthetic Control Method</w:t>
      </w:r>
      <w:r>
        <w:t xml:space="preserve">. </w:t>
      </w:r>
      <w:hyperlink r:id="rId30" w:history="1">
        <w:r w:rsidRPr="003D16F4">
          <w:rPr>
            <w:rStyle w:val="aa"/>
            <w:rFonts w:eastAsiaTheme="majorEastAsia"/>
            <w:color w:val="auto"/>
            <w:u w:val="none"/>
          </w:rPr>
          <w:t>https://doi.org/10.1017/pan.2016.2</w:t>
        </w:r>
      </w:hyperlink>
    </w:p>
    <w:p w14:paraId="349F3E90" w14:textId="77777777" w:rsidR="00401A0D" w:rsidRPr="003D16F4" w:rsidRDefault="00401A0D" w:rsidP="00401A0D">
      <w:pPr>
        <w:autoSpaceDE w:val="0"/>
        <w:autoSpaceDN w:val="0"/>
        <w:ind w:leftChars="-1" w:left="567" w:hangingChars="237" w:hanging="569"/>
        <w:rPr>
          <w:rFonts w:eastAsiaTheme="minorEastAsia"/>
        </w:rPr>
      </w:pPr>
      <w:r>
        <w:t xml:space="preserve">Zeldow, B., &amp; Hatfield, L. (2019). Difference-in-Differences. Retrieved from </w:t>
      </w:r>
      <w:hyperlink r:id="rId31" w:tgtFrame="_new" w:history="1">
        <w:r w:rsidRPr="003D16F4">
          <w:rPr>
            <w:rStyle w:val="aa"/>
            <w:rFonts w:eastAsiaTheme="majorEastAsia"/>
            <w:color w:val="auto"/>
            <w:u w:val="none"/>
          </w:rPr>
          <w:t>https://diff.healthpolicydatascience.org/</w:t>
        </w:r>
      </w:hyperlink>
    </w:p>
    <w:p w14:paraId="5C2FE312" w14:textId="77777777" w:rsidR="00401A0D" w:rsidRDefault="00401A0D" w:rsidP="00401A0D">
      <w:pPr>
        <w:autoSpaceDE w:val="0"/>
        <w:autoSpaceDN w:val="0"/>
        <w:ind w:leftChars="-1" w:left="567" w:hangingChars="237" w:hanging="569"/>
      </w:pPr>
      <w:r>
        <w:t xml:space="preserve">Zhang, F., Welch, E. W., &amp; Miao, Q. (2018). Public organization adaptation to extreme events: Mediating role of risk perception. </w:t>
      </w:r>
      <w:r>
        <w:rPr>
          <w:i/>
          <w:iCs/>
        </w:rPr>
        <w:t>Journal of Public Administration Research and Theory</w:t>
      </w:r>
      <w:r>
        <w:t xml:space="preserve">, </w:t>
      </w:r>
      <w:r>
        <w:rPr>
          <w:i/>
          <w:iCs/>
        </w:rPr>
        <w:t>28</w:t>
      </w:r>
      <w:r>
        <w:t>(3). https://doi.org/10.1093/jopart/muy004</w:t>
      </w:r>
    </w:p>
    <w:p w14:paraId="34270255" w14:textId="77777777" w:rsidR="00401A0D" w:rsidRPr="003B215E" w:rsidRDefault="00401A0D" w:rsidP="00401A0D">
      <w:pPr>
        <w:ind w:leftChars="-1" w:left="567" w:hangingChars="237" w:hanging="569"/>
      </w:pPr>
    </w:p>
    <w:p w14:paraId="5E0E550C" w14:textId="41F25F3E" w:rsidR="00F3133D" w:rsidRPr="00401A0D" w:rsidRDefault="00F3133D" w:rsidP="00F3133D">
      <w:pPr>
        <w:widowControl w:val="0"/>
        <w:autoSpaceDE w:val="0"/>
        <w:autoSpaceDN w:val="0"/>
        <w:adjustRightInd w:val="0"/>
        <w:spacing w:line="276" w:lineRule="auto"/>
        <w:rPr>
          <w:rFonts w:eastAsiaTheme="minorEastAsia"/>
        </w:rPr>
      </w:pPr>
    </w:p>
    <w:p w14:paraId="75AD79F4" w14:textId="77777777" w:rsidR="00F3133D" w:rsidRDefault="00F3133D" w:rsidP="00F3133D">
      <w:pPr>
        <w:widowControl w:val="0"/>
        <w:autoSpaceDE w:val="0"/>
        <w:autoSpaceDN w:val="0"/>
        <w:adjustRightInd w:val="0"/>
        <w:spacing w:line="276" w:lineRule="auto"/>
        <w:rPr>
          <w:rFonts w:eastAsiaTheme="minorEastAsia"/>
        </w:rPr>
      </w:pPr>
    </w:p>
    <w:p w14:paraId="1282C124" w14:textId="66E18B64" w:rsidR="001A376E" w:rsidRPr="00702882" w:rsidRDefault="001A376E" w:rsidP="00401A0D">
      <w:pPr>
        <w:widowControl w:val="0"/>
        <w:autoSpaceDE w:val="0"/>
        <w:autoSpaceDN w:val="0"/>
        <w:adjustRightInd w:val="0"/>
        <w:spacing w:line="276" w:lineRule="auto"/>
        <w:jc w:val="center"/>
        <w:rPr>
          <w:rFonts w:eastAsia="TimesNewRomanPS-BoldMT"/>
          <w:b/>
          <w:bCs/>
          <w:color w:val="000000"/>
        </w:rPr>
      </w:pPr>
      <w:bookmarkStart w:id="86" w:name="VITA"/>
      <w:r w:rsidRPr="00702882">
        <w:rPr>
          <w:rFonts w:eastAsia="TimesNewRomanPS-BoldMT"/>
          <w:b/>
          <w:bCs/>
          <w:color w:val="000000"/>
        </w:rPr>
        <w:lastRenderedPageBreak/>
        <w:t>V</w:t>
      </w:r>
      <w:r w:rsidR="007453B2" w:rsidRPr="00702882">
        <w:rPr>
          <w:rFonts w:eastAsia="TimesNewRomanPS-BoldMT"/>
          <w:b/>
          <w:bCs/>
          <w:color w:val="000000"/>
        </w:rPr>
        <w:t>ITA</w:t>
      </w:r>
    </w:p>
    <w:bookmarkEnd w:id="86"/>
    <w:p w14:paraId="2FFB3F4E" w14:textId="77777777" w:rsidR="001A376E" w:rsidRPr="00702882" w:rsidRDefault="001A376E" w:rsidP="006103EB">
      <w:pPr>
        <w:widowControl w:val="0"/>
        <w:autoSpaceDE w:val="0"/>
        <w:autoSpaceDN w:val="0"/>
        <w:adjustRightInd w:val="0"/>
        <w:spacing w:line="276" w:lineRule="auto"/>
        <w:rPr>
          <w:rFonts w:eastAsia="TimesNewRomanPS-BoldMT"/>
          <w:b/>
          <w:bCs/>
          <w:color w:val="000000"/>
          <w:sz w:val="22"/>
          <w:szCs w:val="22"/>
        </w:rPr>
      </w:pPr>
    </w:p>
    <w:p w14:paraId="09D0D535" w14:textId="7181F073" w:rsidR="006103EB" w:rsidRPr="00FB3E52" w:rsidRDefault="006103EB" w:rsidP="00FB3E52">
      <w:pPr>
        <w:widowControl w:val="0"/>
        <w:autoSpaceDE w:val="0"/>
        <w:autoSpaceDN w:val="0"/>
        <w:adjustRightInd w:val="0"/>
        <w:spacing w:line="276" w:lineRule="auto"/>
        <w:jc w:val="center"/>
        <w:rPr>
          <w:rFonts w:eastAsia="TimesNewRomanPS-BoldMT"/>
          <w:color w:val="000000"/>
        </w:rPr>
      </w:pPr>
      <w:r w:rsidRPr="00FB3E52">
        <w:rPr>
          <w:rFonts w:eastAsia="TimesNewRomanPS-BoldMT"/>
          <w:color w:val="000000"/>
        </w:rPr>
        <w:t>E</w:t>
      </w:r>
      <w:r w:rsidR="00750812" w:rsidRPr="00FB3E52">
        <w:rPr>
          <w:rFonts w:eastAsia="TimesNewRomanPS-BoldMT"/>
          <w:color w:val="000000"/>
        </w:rPr>
        <w:t>UNJOO CHOI</w:t>
      </w:r>
    </w:p>
    <w:p w14:paraId="7497E140" w14:textId="77777777" w:rsidR="00010176" w:rsidRPr="00702882" w:rsidRDefault="00010176" w:rsidP="00954DDC">
      <w:pPr>
        <w:widowControl w:val="0"/>
        <w:autoSpaceDE w:val="0"/>
        <w:autoSpaceDN w:val="0"/>
        <w:adjustRightInd w:val="0"/>
        <w:spacing w:line="276" w:lineRule="auto"/>
        <w:rPr>
          <w:rFonts w:eastAsia="TimesNewRomanPSMT"/>
          <w:color w:val="0563C2"/>
        </w:rPr>
      </w:pPr>
    </w:p>
    <w:p w14:paraId="41E5CCB4"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r w:rsidRPr="00702882">
        <w:rPr>
          <w:rFonts w:eastAsia="TimesNewRomanPS-BoldMT"/>
          <w:b/>
          <w:bCs/>
          <w:color w:val="000000"/>
        </w:rPr>
        <w:t>EDUCATION</w:t>
      </w:r>
    </w:p>
    <w:p w14:paraId="27EAF84C" w14:textId="77777777" w:rsidR="006103EB" w:rsidRPr="00702882" w:rsidRDefault="006103EB" w:rsidP="006103EB">
      <w:pPr>
        <w:widowControl w:val="0"/>
        <w:autoSpaceDE w:val="0"/>
        <w:autoSpaceDN w:val="0"/>
        <w:adjustRightInd w:val="0"/>
        <w:spacing w:line="276" w:lineRule="auto"/>
        <w:rPr>
          <w:rFonts w:eastAsia="TimesNewRomanPSMT"/>
          <w:color w:val="000000"/>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9"/>
        <w:gridCol w:w="6911"/>
      </w:tblGrid>
      <w:tr w:rsidR="004F1F12" w:rsidRPr="00702882" w14:paraId="6D02A285" w14:textId="77777777" w:rsidTr="00392A27">
        <w:tc>
          <w:tcPr>
            <w:tcW w:w="2552" w:type="dxa"/>
          </w:tcPr>
          <w:p w14:paraId="6335FDF7" w14:textId="744F28F0" w:rsidR="006103EB" w:rsidRPr="00702882" w:rsidRDefault="006103EB" w:rsidP="00392A27">
            <w:pPr>
              <w:widowControl w:val="0"/>
              <w:autoSpaceDE w:val="0"/>
              <w:autoSpaceDN w:val="0"/>
              <w:adjustRightInd w:val="0"/>
              <w:spacing w:line="276" w:lineRule="auto"/>
              <w:jc w:val="both"/>
              <w:rPr>
                <w:rFonts w:eastAsia="TimesNewRomanPSMT"/>
                <w:color w:val="000000"/>
              </w:rPr>
            </w:pPr>
            <w:r w:rsidRPr="00702882">
              <w:rPr>
                <w:rFonts w:eastAsia="TimesNewRomanPSMT"/>
                <w:color w:val="000000"/>
              </w:rPr>
              <w:t>2024</w:t>
            </w:r>
          </w:p>
        </w:tc>
        <w:tc>
          <w:tcPr>
            <w:tcW w:w="7229" w:type="dxa"/>
          </w:tcPr>
          <w:p w14:paraId="295CE870" w14:textId="4A211868" w:rsidR="006103EB" w:rsidRPr="00702882" w:rsidRDefault="006103EB" w:rsidP="00392A27">
            <w:pPr>
              <w:widowControl w:val="0"/>
              <w:autoSpaceDE w:val="0"/>
              <w:autoSpaceDN w:val="0"/>
              <w:adjustRightInd w:val="0"/>
              <w:spacing w:line="276" w:lineRule="auto"/>
              <w:ind w:leftChars="-1" w:left="-2"/>
              <w:rPr>
                <w:rFonts w:eastAsia="TimesNewRomanPSMT"/>
                <w:color w:val="000000"/>
              </w:rPr>
            </w:pPr>
            <w:r w:rsidRPr="00702882">
              <w:rPr>
                <w:rFonts w:eastAsia="TimesNewRomanPSMT"/>
                <w:b/>
                <w:bCs/>
                <w:color w:val="000000"/>
              </w:rPr>
              <w:t>University of Illinois</w:t>
            </w:r>
            <w:r w:rsidR="006A3A59" w:rsidRPr="00702882">
              <w:rPr>
                <w:rFonts w:eastAsia="TimesNewRomanPSMT"/>
                <w:b/>
                <w:bCs/>
                <w:color w:val="000000"/>
              </w:rPr>
              <w:t xml:space="preserve"> </w:t>
            </w:r>
            <w:r w:rsidRPr="00702882">
              <w:rPr>
                <w:rFonts w:eastAsia="TimesNewRomanPSMT"/>
                <w:b/>
                <w:bCs/>
                <w:color w:val="000000"/>
              </w:rPr>
              <w:t>Chicago</w:t>
            </w:r>
            <w:r w:rsidRPr="00702882">
              <w:rPr>
                <w:rFonts w:eastAsia="TimesNewRomanPSMT"/>
                <w:color w:val="000000"/>
              </w:rPr>
              <w:t xml:space="preserve"> (Chicago, Illinois)</w:t>
            </w:r>
          </w:p>
          <w:p w14:paraId="16238DC6" w14:textId="1B6E2636" w:rsidR="006103EB" w:rsidRPr="00702882" w:rsidRDefault="006103EB" w:rsidP="005A0558">
            <w:pPr>
              <w:widowControl w:val="0"/>
              <w:autoSpaceDE w:val="0"/>
              <w:autoSpaceDN w:val="0"/>
              <w:adjustRightInd w:val="0"/>
              <w:spacing w:line="276" w:lineRule="auto"/>
              <w:ind w:leftChars="-1" w:left="-2"/>
              <w:rPr>
                <w:rFonts w:eastAsia="TimesNewRomanPSMT"/>
                <w:color w:val="000000"/>
              </w:rPr>
            </w:pPr>
            <w:r w:rsidRPr="00702882">
              <w:rPr>
                <w:rFonts w:eastAsia="TimesNewRomanPSMT"/>
                <w:color w:val="000000"/>
              </w:rPr>
              <w:t>Ph.D. in Public Policy, Management, &amp; Analytics</w:t>
            </w:r>
          </w:p>
        </w:tc>
      </w:tr>
    </w:tbl>
    <w:p w14:paraId="1921ADFF" w14:textId="77777777" w:rsidR="006103EB" w:rsidRPr="00702882" w:rsidRDefault="006103EB" w:rsidP="006103EB">
      <w:pPr>
        <w:widowControl w:val="0"/>
        <w:autoSpaceDE w:val="0"/>
        <w:autoSpaceDN w:val="0"/>
        <w:adjustRightInd w:val="0"/>
        <w:spacing w:line="276" w:lineRule="auto"/>
        <w:rPr>
          <w:rFonts w:eastAsia="TimesNewRomanPSMT"/>
          <w:color w:val="000000"/>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50"/>
        <w:gridCol w:w="6910"/>
      </w:tblGrid>
      <w:tr w:rsidR="006103EB" w:rsidRPr="00702882" w14:paraId="6982969F" w14:textId="77777777" w:rsidTr="00392A27">
        <w:tc>
          <w:tcPr>
            <w:tcW w:w="2552" w:type="dxa"/>
          </w:tcPr>
          <w:p w14:paraId="3C1CD5D8" w14:textId="77777777" w:rsidR="006103EB" w:rsidRPr="00702882" w:rsidRDefault="006103EB" w:rsidP="00392A27">
            <w:pPr>
              <w:widowControl w:val="0"/>
              <w:autoSpaceDE w:val="0"/>
              <w:autoSpaceDN w:val="0"/>
              <w:adjustRightInd w:val="0"/>
              <w:spacing w:line="276" w:lineRule="auto"/>
              <w:jc w:val="both"/>
              <w:rPr>
                <w:rFonts w:eastAsia="TimesNewRomanPSMT"/>
                <w:color w:val="000000"/>
              </w:rPr>
            </w:pPr>
            <w:r w:rsidRPr="00702882">
              <w:rPr>
                <w:rFonts w:eastAsia="TimesNewRomanPSMT"/>
                <w:color w:val="000000"/>
              </w:rPr>
              <w:t>2019</w:t>
            </w:r>
          </w:p>
        </w:tc>
        <w:tc>
          <w:tcPr>
            <w:tcW w:w="7229" w:type="dxa"/>
          </w:tcPr>
          <w:p w14:paraId="3944A0E0"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BoldMT"/>
                <w:b/>
                <w:bCs/>
                <w:color w:val="000000"/>
              </w:rPr>
              <w:t xml:space="preserve">University of Michigan </w:t>
            </w:r>
            <w:r w:rsidRPr="00702882">
              <w:rPr>
                <w:rFonts w:eastAsia="TimesNewRomanPSMT"/>
                <w:color w:val="000000"/>
              </w:rPr>
              <w:t>(Ann Arbor, MI)</w:t>
            </w:r>
          </w:p>
          <w:p w14:paraId="18DC9050"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MT"/>
                <w:color w:val="000000"/>
              </w:rPr>
              <w:t>Inter-University Consortium for Political and Social Research (ICPSR),</w:t>
            </w:r>
          </w:p>
          <w:p w14:paraId="609905DB"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MT"/>
                <w:color w:val="000000"/>
              </w:rPr>
              <w:t>Summer Program in Quantitative Methods of Social Research</w:t>
            </w:r>
          </w:p>
        </w:tc>
      </w:tr>
    </w:tbl>
    <w:p w14:paraId="51D93976" w14:textId="77777777" w:rsidR="006103EB" w:rsidRPr="00702882" w:rsidRDefault="006103EB" w:rsidP="006103EB">
      <w:pPr>
        <w:widowControl w:val="0"/>
        <w:autoSpaceDE w:val="0"/>
        <w:autoSpaceDN w:val="0"/>
        <w:adjustRightInd w:val="0"/>
        <w:spacing w:line="276" w:lineRule="auto"/>
        <w:rPr>
          <w:rFonts w:eastAsia="TimesNewRomanPSMT"/>
          <w:color w:val="000000"/>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9"/>
        <w:gridCol w:w="6911"/>
      </w:tblGrid>
      <w:tr w:rsidR="006103EB" w:rsidRPr="00702882" w14:paraId="4DA780B0" w14:textId="77777777" w:rsidTr="00392A27">
        <w:tc>
          <w:tcPr>
            <w:tcW w:w="2552" w:type="dxa"/>
          </w:tcPr>
          <w:p w14:paraId="157E4CB2" w14:textId="77777777" w:rsidR="006103EB" w:rsidRPr="00702882" w:rsidRDefault="006103EB" w:rsidP="00392A27">
            <w:pPr>
              <w:widowControl w:val="0"/>
              <w:autoSpaceDE w:val="0"/>
              <w:autoSpaceDN w:val="0"/>
              <w:adjustRightInd w:val="0"/>
              <w:spacing w:line="276" w:lineRule="auto"/>
              <w:jc w:val="both"/>
              <w:rPr>
                <w:rFonts w:eastAsia="TimesNewRomanPSMT"/>
                <w:color w:val="000000"/>
              </w:rPr>
            </w:pPr>
            <w:r w:rsidRPr="00702882">
              <w:rPr>
                <w:rFonts w:eastAsia="TimesNewRomanPSMT"/>
                <w:color w:val="000000"/>
              </w:rPr>
              <w:t xml:space="preserve">2011 – 2013 </w:t>
            </w:r>
          </w:p>
        </w:tc>
        <w:tc>
          <w:tcPr>
            <w:tcW w:w="7229" w:type="dxa"/>
          </w:tcPr>
          <w:p w14:paraId="29510090"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BoldMT"/>
                <w:b/>
                <w:bCs/>
                <w:color w:val="000000"/>
              </w:rPr>
              <w:t xml:space="preserve">Georgetown University </w:t>
            </w:r>
            <w:r w:rsidRPr="00702882">
              <w:rPr>
                <w:rFonts w:eastAsia="TimesNewRomanPSMT"/>
                <w:color w:val="000000"/>
              </w:rPr>
              <w:t>(Washington D.C.)</w:t>
            </w:r>
          </w:p>
          <w:p w14:paraId="238F5B1F" w14:textId="0BF33208"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MT"/>
                <w:color w:val="000000"/>
              </w:rPr>
              <w:t>Master of Arts in Government</w:t>
            </w:r>
          </w:p>
        </w:tc>
      </w:tr>
    </w:tbl>
    <w:p w14:paraId="2E00C445" w14:textId="77777777" w:rsidR="006103EB" w:rsidRPr="00702882" w:rsidRDefault="006103EB" w:rsidP="006103EB">
      <w:pPr>
        <w:widowControl w:val="0"/>
        <w:autoSpaceDE w:val="0"/>
        <w:autoSpaceDN w:val="0"/>
        <w:adjustRightInd w:val="0"/>
        <w:spacing w:line="276" w:lineRule="auto"/>
        <w:rPr>
          <w:rFonts w:eastAsia="TimesNewRomanPSMT"/>
          <w:color w:val="000000"/>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52"/>
        <w:gridCol w:w="6908"/>
      </w:tblGrid>
      <w:tr w:rsidR="006103EB" w:rsidRPr="00702882" w14:paraId="5E03B2B1" w14:textId="77777777" w:rsidTr="00392A27">
        <w:tc>
          <w:tcPr>
            <w:tcW w:w="2552" w:type="dxa"/>
          </w:tcPr>
          <w:p w14:paraId="6E7646DB" w14:textId="77777777" w:rsidR="006103EB" w:rsidRPr="00702882" w:rsidRDefault="006103EB" w:rsidP="00392A27">
            <w:pPr>
              <w:widowControl w:val="0"/>
              <w:autoSpaceDE w:val="0"/>
              <w:autoSpaceDN w:val="0"/>
              <w:adjustRightInd w:val="0"/>
              <w:spacing w:line="276" w:lineRule="auto"/>
              <w:jc w:val="both"/>
              <w:rPr>
                <w:rFonts w:eastAsia="TimesNewRomanPSMT"/>
                <w:color w:val="000000"/>
              </w:rPr>
            </w:pPr>
            <w:r w:rsidRPr="00702882">
              <w:rPr>
                <w:rFonts w:eastAsia="TimesNewRomanPSMT"/>
                <w:color w:val="000000"/>
              </w:rPr>
              <w:t>2000 – 2005</w:t>
            </w:r>
          </w:p>
        </w:tc>
        <w:tc>
          <w:tcPr>
            <w:tcW w:w="7229" w:type="dxa"/>
          </w:tcPr>
          <w:p w14:paraId="4A893DD0"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BoldMT"/>
                <w:b/>
                <w:bCs/>
                <w:color w:val="000000"/>
              </w:rPr>
              <w:t xml:space="preserve">Sogang University </w:t>
            </w:r>
            <w:r w:rsidRPr="00702882">
              <w:rPr>
                <w:rFonts w:eastAsia="TimesNewRomanPSMT"/>
                <w:color w:val="000000"/>
              </w:rPr>
              <w:t>(Seoul, S. Korea)</w:t>
            </w:r>
          </w:p>
          <w:p w14:paraId="0E1530F4"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MT"/>
                <w:color w:val="000000"/>
              </w:rPr>
              <w:t>Bachelor of Arts in Political Science and English Literature</w:t>
            </w:r>
          </w:p>
        </w:tc>
      </w:tr>
    </w:tbl>
    <w:p w14:paraId="4EEB1707" w14:textId="77777777" w:rsidR="006103EB" w:rsidRPr="00702882" w:rsidRDefault="006103EB" w:rsidP="006103EB">
      <w:pPr>
        <w:widowControl w:val="0"/>
        <w:tabs>
          <w:tab w:val="left" w:pos="1620"/>
        </w:tabs>
        <w:autoSpaceDE w:val="0"/>
        <w:autoSpaceDN w:val="0"/>
        <w:adjustRightInd w:val="0"/>
        <w:spacing w:line="276" w:lineRule="auto"/>
        <w:rPr>
          <w:rFonts w:eastAsia="TimesNewRomanPS-BoldMT"/>
          <w:b/>
          <w:bCs/>
          <w:color w:val="000000"/>
        </w:rPr>
      </w:pPr>
    </w:p>
    <w:p w14:paraId="2BDF4282" w14:textId="77777777" w:rsidR="006103EB" w:rsidRPr="00702882" w:rsidRDefault="006103EB" w:rsidP="006103EB">
      <w:pPr>
        <w:widowControl w:val="0"/>
        <w:tabs>
          <w:tab w:val="left" w:pos="1620"/>
        </w:tabs>
        <w:autoSpaceDE w:val="0"/>
        <w:autoSpaceDN w:val="0"/>
        <w:adjustRightInd w:val="0"/>
        <w:spacing w:line="276" w:lineRule="auto"/>
        <w:rPr>
          <w:rFonts w:eastAsia="TimesNewRomanPS-BoldMT"/>
          <w:b/>
          <w:bCs/>
          <w:color w:val="000000"/>
        </w:rPr>
      </w:pPr>
    </w:p>
    <w:p w14:paraId="2F073C56"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r w:rsidRPr="00702882">
        <w:rPr>
          <w:rFonts w:eastAsia="TimesNewRomanPS-BoldMT"/>
          <w:b/>
          <w:bCs/>
          <w:color w:val="000000"/>
        </w:rPr>
        <w:t>PROFESSIONAL EXPERIENCE</w:t>
      </w:r>
    </w:p>
    <w:p w14:paraId="43A2712E"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p>
    <w:p w14:paraId="49DCC58E" w14:textId="01678693" w:rsidR="006103EB" w:rsidRPr="00702882" w:rsidRDefault="006103EB" w:rsidP="006103EB">
      <w:pPr>
        <w:widowControl w:val="0"/>
        <w:autoSpaceDE w:val="0"/>
        <w:autoSpaceDN w:val="0"/>
        <w:adjustRightInd w:val="0"/>
        <w:spacing w:line="276" w:lineRule="auto"/>
        <w:rPr>
          <w:rFonts w:eastAsia="TimesNewRomanPS-BoldMT"/>
          <w:b/>
          <w:bCs/>
          <w:color w:val="000000"/>
        </w:rPr>
      </w:pPr>
      <w:r w:rsidRPr="00702882">
        <w:rPr>
          <w:rFonts w:eastAsia="TimesNewRomanPS-BoldMT"/>
          <w:b/>
          <w:bCs/>
          <w:color w:val="000000"/>
        </w:rPr>
        <w:t xml:space="preserve">Teaching </w:t>
      </w:r>
      <w:r w:rsidR="00010176" w:rsidRPr="00702882">
        <w:rPr>
          <w:rFonts w:eastAsia="TimesNewRomanPS-BoldMT"/>
          <w:b/>
          <w:bCs/>
          <w:color w:val="000000"/>
        </w:rPr>
        <w:t xml:space="preserve">and Research </w:t>
      </w:r>
      <w:r w:rsidRPr="00702882">
        <w:rPr>
          <w:rFonts w:eastAsia="TimesNewRomanPS-BoldMT"/>
          <w:b/>
          <w:bCs/>
          <w:color w:val="000000"/>
        </w:rPr>
        <w:t>Experience</w:t>
      </w:r>
    </w:p>
    <w:p w14:paraId="3593BC3E"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51"/>
        <w:gridCol w:w="6909"/>
      </w:tblGrid>
      <w:tr w:rsidR="006103EB" w:rsidRPr="00702882" w14:paraId="4E69AB25" w14:textId="77777777" w:rsidTr="00392A27">
        <w:tc>
          <w:tcPr>
            <w:tcW w:w="2552" w:type="dxa"/>
          </w:tcPr>
          <w:p w14:paraId="7FA96053" w14:textId="676D9BBD" w:rsidR="006103EB" w:rsidRPr="00702882" w:rsidRDefault="006103EB" w:rsidP="00392A27">
            <w:pPr>
              <w:widowControl w:val="0"/>
              <w:autoSpaceDE w:val="0"/>
              <w:autoSpaceDN w:val="0"/>
              <w:adjustRightInd w:val="0"/>
              <w:spacing w:line="276" w:lineRule="auto"/>
              <w:jc w:val="both"/>
              <w:rPr>
                <w:rFonts w:eastAsia="TimesNewRomanPSMT"/>
                <w:color w:val="000000"/>
              </w:rPr>
            </w:pPr>
            <w:r w:rsidRPr="00702882">
              <w:rPr>
                <w:rFonts w:eastAsia="TimesNewRomanPSMT"/>
                <w:color w:val="000000"/>
              </w:rPr>
              <w:t xml:space="preserve">2023 – </w:t>
            </w:r>
            <w:r w:rsidR="007909B5" w:rsidRPr="00702882">
              <w:rPr>
                <w:rFonts w:eastAsia="TimesNewRomanPSMT"/>
                <w:color w:val="000000"/>
              </w:rPr>
              <w:t>2024</w:t>
            </w:r>
          </w:p>
        </w:tc>
        <w:tc>
          <w:tcPr>
            <w:tcW w:w="7229" w:type="dxa"/>
          </w:tcPr>
          <w:p w14:paraId="6BC70DCF" w14:textId="17C5D699" w:rsidR="006103EB" w:rsidRPr="00702882" w:rsidRDefault="006103EB" w:rsidP="007909B5">
            <w:pPr>
              <w:widowControl w:val="0"/>
              <w:autoSpaceDE w:val="0"/>
              <w:autoSpaceDN w:val="0"/>
              <w:adjustRightInd w:val="0"/>
              <w:spacing w:line="276" w:lineRule="auto"/>
              <w:jc w:val="both"/>
              <w:rPr>
                <w:rFonts w:eastAsia="TimesNewRomanPSMT"/>
                <w:color w:val="000000"/>
              </w:rPr>
            </w:pPr>
            <w:r w:rsidRPr="00702882">
              <w:rPr>
                <w:rFonts w:eastAsia="TimesNewRomanPS-ItalicMT"/>
                <w:i/>
                <w:iCs/>
                <w:color w:val="000000"/>
              </w:rPr>
              <w:t xml:space="preserve">Adjunct Faculty, </w:t>
            </w:r>
            <w:r w:rsidRPr="00702882">
              <w:rPr>
                <w:rFonts w:eastAsia="TimesNewRomanPSMT"/>
                <w:color w:val="000000"/>
              </w:rPr>
              <w:t>Illinois Institute of Technology (Chicago, Illinois)</w:t>
            </w:r>
          </w:p>
        </w:tc>
      </w:tr>
    </w:tbl>
    <w:p w14:paraId="384B7BED" w14:textId="77777777" w:rsidR="006103EB" w:rsidRPr="00702882" w:rsidRDefault="006103EB" w:rsidP="006103EB">
      <w:pPr>
        <w:widowControl w:val="0"/>
        <w:autoSpaceDE w:val="0"/>
        <w:autoSpaceDN w:val="0"/>
        <w:adjustRightInd w:val="0"/>
        <w:spacing w:line="276" w:lineRule="auto"/>
        <w:rPr>
          <w:rFonts w:eastAsia="TimesNewRomanPSMT"/>
          <w:color w:val="000000"/>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9"/>
        <w:gridCol w:w="6911"/>
      </w:tblGrid>
      <w:tr w:rsidR="006103EB" w:rsidRPr="00702882" w14:paraId="4EB8F765" w14:textId="77777777" w:rsidTr="00392A27">
        <w:tc>
          <w:tcPr>
            <w:tcW w:w="2552" w:type="dxa"/>
          </w:tcPr>
          <w:p w14:paraId="42DE1302" w14:textId="77777777" w:rsidR="006103EB" w:rsidRPr="00702882" w:rsidRDefault="006103EB" w:rsidP="00392A27">
            <w:pPr>
              <w:widowControl w:val="0"/>
              <w:autoSpaceDE w:val="0"/>
              <w:autoSpaceDN w:val="0"/>
              <w:adjustRightInd w:val="0"/>
              <w:spacing w:line="276" w:lineRule="auto"/>
              <w:jc w:val="both"/>
              <w:rPr>
                <w:rFonts w:eastAsia="TimesNewRomanPSMT"/>
                <w:color w:val="000000"/>
              </w:rPr>
            </w:pPr>
            <w:r w:rsidRPr="00702882">
              <w:rPr>
                <w:rFonts w:eastAsia="TimesNewRomanPSMT"/>
                <w:color w:val="000000"/>
              </w:rPr>
              <w:t>2016 – 2021</w:t>
            </w:r>
          </w:p>
        </w:tc>
        <w:tc>
          <w:tcPr>
            <w:tcW w:w="7229" w:type="dxa"/>
          </w:tcPr>
          <w:p w14:paraId="5C8BFA62"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ItalicMT"/>
                <w:i/>
                <w:iCs/>
                <w:color w:val="000000"/>
              </w:rPr>
              <w:t>Teaching Assistant</w:t>
            </w:r>
            <w:r w:rsidRPr="00702882">
              <w:rPr>
                <w:rFonts w:eastAsia="TimesNewRomanPSMT"/>
                <w:color w:val="000000"/>
              </w:rPr>
              <w:t>, Department of Public Policy, Management, &amp;</w:t>
            </w:r>
          </w:p>
          <w:p w14:paraId="0CDB28CD" w14:textId="70B416F7" w:rsidR="006103EB" w:rsidRPr="00702882" w:rsidRDefault="006103EB" w:rsidP="007909B5">
            <w:pPr>
              <w:widowControl w:val="0"/>
              <w:autoSpaceDE w:val="0"/>
              <w:autoSpaceDN w:val="0"/>
              <w:adjustRightInd w:val="0"/>
              <w:spacing w:line="276" w:lineRule="auto"/>
              <w:rPr>
                <w:rFonts w:eastAsia="TimesNewRomanPSMT"/>
                <w:color w:val="000000"/>
              </w:rPr>
            </w:pPr>
            <w:r w:rsidRPr="00702882">
              <w:rPr>
                <w:rFonts w:eastAsia="TimesNewRomanPSMT"/>
                <w:color w:val="000000"/>
              </w:rPr>
              <w:t>Analytics, University of Illinois</w:t>
            </w:r>
            <w:r w:rsidR="003C5FF8" w:rsidRPr="00702882">
              <w:rPr>
                <w:rFonts w:eastAsia="TimesNewRomanPSMT"/>
                <w:color w:val="000000"/>
              </w:rPr>
              <w:t xml:space="preserve"> </w:t>
            </w:r>
            <w:r w:rsidRPr="00702882">
              <w:rPr>
                <w:rFonts w:eastAsia="TimesNewRomanPSMT"/>
                <w:color w:val="000000"/>
              </w:rPr>
              <w:t>Chicago</w:t>
            </w:r>
          </w:p>
        </w:tc>
      </w:tr>
    </w:tbl>
    <w:p w14:paraId="6B5F40AC" w14:textId="77777777" w:rsidR="006103EB" w:rsidRPr="00702882" w:rsidRDefault="006103EB" w:rsidP="006103EB">
      <w:pPr>
        <w:widowControl w:val="0"/>
        <w:autoSpaceDE w:val="0"/>
        <w:autoSpaceDN w:val="0"/>
        <w:adjustRightInd w:val="0"/>
        <w:spacing w:line="276" w:lineRule="auto"/>
        <w:rPr>
          <w:rFonts w:eastAsia="TimesNewRomanPSMT"/>
          <w:color w:val="000000"/>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9"/>
        <w:gridCol w:w="6911"/>
      </w:tblGrid>
      <w:tr w:rsidR="006103EB" w:rsidRPr="00702882" w14:paraId="16F743B2" w14:textId="77777777" w:rsidTr="00392A27">
        <w:tc>
          <w:tcPr>
            <w:tcW w:w="2552" w:type="dxa"/>
          </w:tcPr>
          <w:p w14:paraId="4040F00F"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MT"/>
                <w:color w:val="000000"/>
              </w:rPr>
              <w:t>2016 – 2021</w:t>
            </w:r>
          </w:p>
        </w:tc>
        <w:tc>
          <w:tcPr>
            <w:tcW w:w="7229" w:type="dxa"/>
          </w:tcPr>
          <w:p w14:paraId="164646BE"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ItalicMT"/>
                <w:i/>
                <w:iCs/>
                <w:color w:val="000000"/>
              </w:rPr>
              <w:t>Research Assistant</w:t>
            </w:r>
            <w:r w:rsidRPr="00702882">
              <w:rPr>
                <w:rFonts w:eastAsia="TimesNewRomanPSMT"/>
                <w:color w:val="000000"/>
              </w:rPr>
              <w:t>, Department of Public Policy, Management, &amp;</w:t>
            </w:r>
          </w:p>
          <w:p w14:paraId="74164F90" w14:textId="47E200E2" w:rsidR="006103EB" w:rsidRPr="00702882" w:rsidRDefault="006103EB" w:rsidP="007909B5">
            <w:pPr>
              <w:widowControl w:val="0"/>
              <w:autoSpaceDE w:val="0"/>
              <w:autoSpaceDN w:val="0"/>
              <w:adjustRightInd w:val="0"/>
              <w:spacing w:line="276" w:lineRule="auto"/>
              <w:rPr>
                <w:rFonts w:eastAsia="TimesNewRomanPSMT"/>
                <w:color w:val="000000"/>
              </w:rPr>
            </w:pPr>
            <w:r w:rsidRPr="00702882">
              <w:rPr>
                <w:rFonts w:eastAsia="TimesNewRomanPSMT"/>
                <w:color w:val="000000"/>
              </w:rPr>
              <w:t>Analytics, University of Illinois Chicago</w:t>
            </w:r>
          </w:p>
        </w:tc>
      </w:tr>
    </w:tbl>
    <w:p w14:paraId="26ECCB39"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p>
    <w:p w14:paraId="653D0F17"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r w:rsidRPr="00702882">
        <w:rPr>
          <w:rFonts w:eastAsia="TimesNewRomanPS-BoldMT"/>
          <w:b/>
          <w:bCs/>
          <w:color w:val="000000"/>
        </w:rPr>
        <w:t>Other Professional Experience</w:t>
      </w:r>
    </w:p>
    <w:p w14:paraId="7278C6D6"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6"/>
        <w:gridCol w:w="6914"/>
      </w:tblGrid>
      <w:tr w:rsidR="006103EB" w:rsidRPr="00702882" w14:paraId="7D2B544D" w14:textId="77777777" w:rsidTr="00392A27">
        <w:tc>
          <w:tcPr>
            <w:tcW w:w="2552" w:type="dxa"/>
          </w:tcPr>
          <w:p w14:paraId="1E70E5A6" w14:textId="77777777"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MT"/>
                <w:color w:val="000000"/>
              </w:rPr>
              <w:t>2013</w:t>
            </w:r>
          </w:p>
        </w:tc>
        <w:tc>
          <w:tcPr>
            <w:tcW w:w="7229" w:type="dxa"/>
          </w:tcPr>
          <w:p w14:paraId="2685FC43" w14:textId="06166C80" w:rsidR="006103EB" w:rsidRPr="00702882" w:rsidRDefault="006103EB" w:rsidP="007909B5">
            <w:pPr>
              <w:widowControl w:val="0"/>
              <w:autoSpaceDE w:val="0"/>
              <w:autoSpaceDN w:val="0"/>
              <w:adjustRightInd w:val="0"/>
              <w:spacing w:line="276" w:lineRule="auto"/>
              <w:rPr>
                <w:rFonts w:eastAsia="TimesNewRomanPSMT"/>
                <w:color w:val="000000"/>
              </w:rPr>
            </w:pPr>
            <w:r w:rsidRPr="00702882">
              <w:rPr>
                <w:rFonts w:eastAsia="TimesNewRomanPS-ItalicMT"/>
                <w:i/>
                <w:iCs/>
                <w:color w:val="000000"/>
              </w:rPr>
              <w:t>Research Specialist</w:t>
            </w:r>
            <w:r w:rsidRPr="00702882">
              <w:rPr>
                <w:rFonts w:eastAsia="TimesNewRomanPSMT"/>
                <w:color w:val="000000"/>
              </w:rPr>
              <w:t xml:space="preserve">, Korean Trade-Investment Promotion Agency (KOTRA), Washington D.C., USA </w:t>
            </w:r>
          </w:p>
        </w:tc>
      </w:tr>
      <w:tr w:rsidR="004C1DE1" w:rsidRPr="00702882" w14:paraId="63C5DC30" w14:textId="77777777" w:rsidTr="00392A27">
        <w:tc>
          <w:tcPr>
            <w:tcW w:w="2552" w:type="dxa"/>
          </w:tcPr>
          <w:p w14:paraId="21929EF8" w14:textId="77777777" w:rsidR="004C1DE1" w:rsidRPr="00702882" w:rsidRDefault="004C1DE1" w:rsidP="00392A27">
            <w:pPr>
              <w:widowControl w:val="0"/>
              <w:autoSpaceDE w:val="0"/>
              <w:autoSpaceDN w:val="0"/>
              <w:adjustRightInd w:val="0"/>
              <w:spacing w:line="276" w:lineRule="auto"/>
              <w:rPr>
                <w:rFonts w:eastAsia="TimesNewRomanPSMT"/>
                <w:color w:val="000000"/>
              </w:rPr>
            </w:pPr>
          </w:p>
        </w:tc>
        <w:tc>
          <w:tcPr>
            <w:tcW w:w="7229" w:type="dxa"/>
          </w:tcPr>
          <w:p w14:paraId="10E95DF3" w14:textId="77777777" w:rsidR="004C1DE1" w:rsidRPr="00702882" w:rsidRDefault="004C1DE1" w:rsidP="007909B5">
            <w:pPr>
              <w:widowControl w:val="0"/>
              <w:autoSpaceDE w:val="0"/>
              <w:autoSpaceDN w:val="0"/>
              <w:adjustRightInd w:val="0"/>
              <w:spacing w:line="276" w:lineRule="auto"/>
              <w:rPr>
                <w:rFonts w:eastAsia="TimesNewRomanPS-ItalicMT"/>
                <w:i/>
                <w:iCs/>
                <w:color w:val="000000"/>
              </w:rPr>
            </w:pPr>
          </w:p>
        </w:tc>
      </w:tr>
      <w:tr w:rsidR="006103EB" w:rsidRPr="00702882" w14:paraId="3E22A212" w14:textId="77777777" w:rsidTr="00392A27">
        <w:tc>
          <w:tcPr>
            <w:tcW w:w="2552" w:type="dxa"/>
          </w:tcPr>
          <w:p w14:paraId="024E167F" w14:textId="604DAAB4" w:rsidR="006103EB" w:rsidRPr="00702882" w:rsidRDefault="006103EB" w:rsidP="00392A27">
            <w:pPr>
              <w:widowControl w:val="0"/>
              <w:autoSpaceDE w:val="0"/>
              <w:autoSpaceDN w:val="0"/>
              <w:adjustRightInd w:val="0"/>
              <w:spacing w:line="276" w:lineRule="auto"/>
              <w:rPr>
                <w:rFonts w:eastAsia="TimesNewRomanPSMT"/>
                <w:color w:val="000000"/>
              </w:rPr>
            </w:pPr>
            <w:r w:rsidRPr="00702882">
              <w:rPr>
                <w:rFonts w:eastAsia="TimesNewRomanPSMT"/>
                <w:color w:val="000000"/>
              </w:rPr>
              <w:t>2005 – 200</w:t>
            </w:r>
            <w:r w:rsidR="007909B5" w:rsidRPr="00702882">
              <w:rPr>
                <w:rFonts w:eastAsia="TimesNewRomanPSMT"/>
                <w:color w:val="000000"/>
              </w:rPr>
              <w:t>9</w:t>
            </w:r>
          </w:p>
        </w:tc>
        <w:tc>
          <w:tcPr>
            <w:tcW w:w="7229" w:type="dxa"/>
          </w:tcPr>
          <w:p w14:paraId="0E03AD79" w14:textId="37431113" w:rsidR="006103EB" w:rsidRPr="00702882" w:rsidRDefault="00965CA3" w:rsidP="00392A27">
            <w:pPr>
              <w:widowControl w:val="0"/>
              <w:autoSpaceDE w:val="0"/>
              <w:autoSpaceDN w:val="0"/>
              <w:adjustRightInd w:val="0"/>
              <w:spacing w:line="276" w:lineRule="auto"/>
              <w:rPr>
                <w:rFonts w:eastAsia="TimesNewRomanPSMT"/>
                <w:i/>
                <w:iCs/>
                <w:color w:val="000000"/>
              </w:rPr>
            </w:pPr>
            <w:r w:rsidRPr="00702882">
              <w:rPr>
                <w:rFonts w:eastAsia="TimesNewRomanPSMT"/>
                <w:i/>
                <w:iCs/>
                <w:color w:val="000000"/>
              </w:rPr>
              <w:t>Journalist and Singapore Correspondent</w:t>
            </w:r>
            <w:r w:rsidR="006103EB" w:rsidRPr="00702882">
              <w:rPr>
                <w:rFonts w:eastAsia="TimesNewRomanPSMT"/>
                <w:color w:val="000000"/>
              </w:rPr>
              <w:t>, The Hankyoreh newspaper and Hankyoreh 21 (Seoul, S. Korea</w:t>
            </w:r>
            <w:r w:rsidR="002617EA">
              <w:rPr>
                <w:rFonts w:eastAsia="TimesNewRomanPSMT" w:hint="eastAsia"/>
                <w:color w:val="000000"/>
              </w:rPr>
              <w:t xml:space="preserve"> and Singapore</w:t>
            </w:r>
            <w:r w:rsidR="006103EB" w:rsidRPr="00702882">
              <w:rPr>
                <w:rFonts w:eastAsia="TimesNewRomanPSMT"/>
                <w:color w:val="000000"/>
              </w:rPr>
              <w:t>)</w:t>
            </w:r>
          </w:p>
        </w:tc>
      </w:tr>
    </w:tbl>
    <w:p w14:paraId="51B05F56"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p>
    <w:p w14:paraId="7E6EAA4F" w14:textId="77777777" w:rsidR="006103EB" w:rsidRPr="00702882" w:rsidRDefault="006103EB" w:rsidP="002C2DF3">
      <w:pPr>
        <w:widowControl w:val="0"/>
        <w:autoSpaceDE w:val="0"/>
        <w:autoSpaceDN w:val="0"/>
        <w:adjustRightInd w:val="0"/>
        <w:spacing w:line="276" w:lineRule="auto"/>
        <w:rPr>
          <w:rFonts w:eastAsia="TimesNewRomanPS-BoldMT"/>
          <w:b/>
          <w:bCs/>
          <w:color w:val="000000"/>
        </w:rPr>
      </w:pPr>
      <w:r w:rsidRPr="00702882">
        <w:rPr>
          <w:rFonts w:eastAsia="TimesNewRomanPS-BoldMT"/>
          <w:b/>
          <w:bCs/>
          <w:color w:val="000000"/>
        </w:rPr>
        <w:lastRenderedPageBreak/>
        <w:t>ACADEMIC PUBLICATIONS</w:t>
      </w:r>
    </w:p>
    <w:p w14:paraId="76889082" w14:textId="77777777" w:rsidR="006103EB" w:rsidRPr="00702882" w:rsidRDefault="006103EB" w:rsidP="006103EB">
      <w:pPr>
        <w:widowControl w:val="0"/>
        <w:autoSpaceDE w:val="0"/>
        <w:autoSpaceDN w:val="0"/>
        <w:adjustRightInd w:val="0"/>
        <w:spacing w:line="276" w:lineRule="auto"/>
        <w:rPr>
          <w:rFonts w:eastAsia="TimesNewRomanPS-BoldMT"/>
          <w:b/>
          <w:bCs/>
          <w:color w:val="000000"/>
          <w:u w:val="single"/>
        </w:rPr>
      </w:pPr>
    </w:p>
    <w:p w14:paraId="701CB626"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r w:rsidRPr="00702882">
        <w:rPr>
          <w:rFonts w:eastAsia="TimesNewRomanPS-BoldMT"/>
          <w:b/>
          <w:bCs/>
          <w:color w:val="000000"/>
        </w:rPr>
        <w:t>Publications (peer-reviewed journals)</w:t>
      </w:r>
    </w:p>
    <w:p w14:paraId="1884B170" w14:textId="77777777" w:rsidR="006103EB" w:rsidRPr="00702882" w:rsidRDefault="006103EB" w:rsidP="006103EB">
      <w:pPr>
        <w:widowControl w:val="0"/>
        <w:autoSpaceDE w:val="0"/>
        <w:autoSpaceDN w:val="0"/>
        <w:adjustRightInd w:val="0"/>
        <w:spacing w:line="276" w:lineRule="auto"/>
        <w:contextualSpacing/>
        <w:rPr>
          <w:rFonts w:eastAsia="TimesNewRomanPS-BoldMT"/>
          <w:b/>
          <w:bCs/>
          <w:color w:val="000000"/>
        </w:rPr>
      </w:pPr>
    </w:p>
    <w:p w14:paraId="51B17498" w14:textId="1904B654" w:rsidR="002C2DF3" w:rsidRPr="00702882" w:rsidRDefault="006103EB" w:rsidP="002C2DF3">
      <w:pPr>
        <w:widowControl w:val="0"/>
        <w:autoSpaceDE w:val="0"/>
        <w:autoSpaceDN w:val="0"/>
        <w:adjustRightInd w:val="0"/>
        <w:spacing w:line="276" w:lineRule="auto"/>
        <w:ind w:left="770" w:hangingChars="321" w:hanging="770"/>
        <w:contextualSpacing/>
        <w:rPr>
          <w:rFonts w:eastAsiaTheme="minorEastAsia"/>
          <w:color w:val="000000"/>
        </w:rPr>
      </w:pPr>
      <w:r w:rsidRPr="00702882">
        <w:rPr>
          <w:rFonts w:eastAsia="TimesNewRomanPSMT"/>
          <w:color w:val="000000"/>
        </w:rPr>
        <w:t>Choi, Eunjoo. (2022). Do Budget Stabilization Funds Invite Transparent Budget Reporting? Budget Stabilization Funds and Fiscal Behavior of States. Journal of Policy Studies, 37(3), 65-82.</w:t>
      </w:r>
    </w:p>
    <w:p w14:paraId="7A1E2093" w14:textId="77777777" w:rsidR="00010176" w:rsidRPr="00702882" w:rsidRDefault="00010176" w:rsidP="002C2DF3">
      <w:pPr>
        <w:widowControl w:val="0"/>
        <w:autoSpaceDE w:val="0"/>
        <w:autoSpaceDN w:val="0"/>
        <w:adjustRightInd w:val="0"/>
        <w:spacing w:line="276" w:lineRule="auto"/>
        <w:ind w:left="770" w:hangingChars="321" w:hanging="770"/>
        <w:contextualSpacing/>
        <w:rPr>
          <w:rFonts w:eastAsia="TimesNewRomanPSMT"/>
          <w:color w:val="000000"/>
        </w:rPr>
      </w:pPr>
    </w:p>
    <w:p w14:paraId="1DE0F0F8" w14:textId="320D7374" w:rsidR="00010176" w:rsidRPr="00702882" w:rsidRDefault="00010176" w:rsidP="006103EB">
      <w:pPr>
        <w:widowControl w:val="0"/>
        <w:autoSpaceDE w:val="0"/>
        <w:autoSpaceDN w:val="0"/>
        <w:adjustRightInd w:val="0"/>
        <w:spacing w:line="276" w:lineRule="auto"/>
        <w:rPr>
          <w:rFonts w:eastAsia="TimesNewRomanPS-BoldMT"/>
          <w:b/>
          <w:bCs/>
          <w:color w:val="000000"/>
        </w:rPr>
      </w:pPr>
      <w:r w:rsidRPr="00702882">
        <w:rPr>
          <w:rFonts w:eastAsia="TimesNewRomanPS-BoldMT"/>
          <w:b/>
          <w:bCs/>
          <w:color w:val="000000"/>
        </w:rPr>
        <w:t>Conference Presentations</w:t>
      </w:r>
    </w:p>
    <w:p w14:paraId="3D50EFA1"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6505D139" w14:textId="77777777" w:rsidR="006103EB" w:rsidRPr="00702882" w:rsidRDefault="006103EB" w:rsidP="006103EB">
      <w:pPr>
        <w:widowControl w:val="0"/>
        <w:autoSpaceDE w:val="0"/>
        <w:autoSpaceDN w:val="0"/>
        <w:adjustRightInd w:val="0"/>
        <w:spacing w:line="276" w:lineRule="auto"/>
        <w:ind w:left="770" w:hangingChars="321" w:hanging="770"/>
        <w:rPr>
          <w:rFonts w:eastAsia="TimesNewRomanPSMT"/>
        </w:rPr>
      </w:pPr>
      <w:r w:rsidRPr="00702882">
        <w:rPr>
          <w:rFonts w:eastAsia="TimesNewRomanPSMT"/>
        </w:rPr>
        <w:t xml:space="preserve">Eunjoo Choi, Seeun Ryu, and Yonghong Wu (2023). The Impact of Fiscal Rules and Cutback Strategies on State Pension Funding in the U.S. Paper presented at the 35th annual conference of the Association for Budgeting and Financial Management (ABFM), October 26-28, 2023; Denver, CO. </w:t>
      </w:r>
    </w:p>
    <w:p w14:paraId="2B385A77" w14:textId="77777777" w:rsidR="006103EB" w:rsidRPr="00702882" w:rsidRDefault="006103EB" w:rsidP="006103EB">
      <w:pPr>
        <w:widowControl w:val="0"/>
        <w:autoSpaceDE w:val="0"/>
        <w:autoSpaceDN w:val="0"/>
        <w:adjustRightInd w:val="0"/>
        <w:spacing w:line="276" w:lineRule="auto"/>
        <w:rPr>
          <w:rFonts w:eastAsia="TimesNewRomanPSMT"/>
          <w:color w:val="FF0000"/>
        </w:rPr>
      </w:pPr>
    </w:p>
    <w:p w14:paraId="2BF34A25" w14:textId="77777777" w:rsidR="006103EB" w:rsidRPr="00702882" w:rsidRDefault="006103EB" w:rsidP="006103EB">
      <w:pPr>
        <w:widowControl w:val="0"/>
        <w:autoSpaceDE w:val="0"/>
        <w:autoSpaceDN w:val="0"/>
        <w:adjustRightInd w:val="0"/>
        <w:spacing w:line="276" w:lineRule="auto"/>
        <w:ind w:left="770" w:hangingChars="321" w:hanging="770"/>
        <w:rPr>
          <w:rFonts w:eastAsia="TimesNewRomanPSMT"/>
        </w:rPr>
      </w:pPr>
      <w:r w:rsidRPr="00702882">
        <w:rPr>
          <w:rFonts w:eastAsia="TimesNewRomanPSMT"/>
        </w:rPr>
        <w:t xml:space="preserve">Ryu, Seeun and Eunjoo Choi (2023). </w:t>
      </w:r>
      <w:r w:rsidRPr="00702882">
        <w:t xml:space="preserve">Fiscal Slack, Rules, and Resilience. </w:t>
      </w:r>
      <w:r w:rsidRPr="00702882">
        <w:rPr>
          <w:rFonts w:eastAsia="TimesNewRomanPSMT"/>
        </w:rPr>
        <w:t xml:space="preserve">Paper presented at the 35th annual conference of the Association for Budgeting and Financial Management (ABFM), October 26-28, 2023; Denver, CO. </w:t>
      </w:r>
    </w:p>
    <w:p w14:paraId="2F7028C9"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7CD97B76" w14:textId="77777777" w:rsidR="006103EB" w:rsidRPr="00702882" w:rsidRDefault="006103EB" w:rsidP="006103EB">
      <w:pPr>
        <w:widowControl w:val="0"/>
        <w:autoSpaceDE w:val="0"/>
        <w:autoSpaceDN w:val="0"/>
        <w:adjustRightInd w:val="0"/>
        <w:spacing w:line="276" w:lineRule="auto"/>
        <w:ind w:left="770" w:hangingChars="321" w:hanging="770"/>
        <w:rPr>
          <w:rFonts w:eastAsia="TimesNewRomanPSMT"/>
          <w:color w:val="000000"/>
        </w:rPr>
      </w:pPr>
      <w:r w:rsidRPr="00702882">
        <w:rPr>
          <w:rFonts w:eastAsia="TimesNewRomanPSMT"/>
          <w:color w:val="000000"/>
        </w:rPr>
        <w:t>Choi, Eunjoo. (2022). Fiscal Condition, State Savings, and Pension Funding in the U.S. States: A panel vector autoregressive analysis. Paper presented at the Association for Public Policy Analysis &amp; Management (APPAM) Fall Research Conference, Washington D.C.</w:t>
      </w:r>
    </w:p>
    <w:p w14:paraId="1FB35124" w14:textId="77777777" w:rsidR="004C7FEA" w:rsidRPr="00702882" w:rsidRDefault="004C7FEA" w:rsidP="006103EB">
      <w:pPr>
        <w:widowControl w:val="0"/>
        <w:autoSpaceDE w:val="0"/>
        <w:autoSpaceDN w:val="0"/>
        <w:adjustRightInd w:val="0"/>
        <w:spacing w:line="276" w:lineRule="auto"/>
        <w:ind w:left="770" w:hangingChars="321" w:hanging="770"/>
        <w:rPr>
          <w:rFonts w:eastAsia="TimesNewRomanPSMT"/>
          <w:color w:val="000000"/>
        </w:rPr>
      </w:pPr>
    </w:p>
    <w:p w14:paraId="3E6252E8" w14:textId="77777777" w:rsidR="006103EB" w:rsidRPr="00702882" w:rsidRDefault="006103EB" w:rsidP="006103EB">
      <w:pPr>
        <w:widowControl w:val="0"/>
        <w:autoSpaceDE w:val="0"/>
        <w:autoSpaceDN w:val="0"/>
        <w:adjustRightInd w:val="0"/>
        <w:spacing w:line="276" w:lineRule="auto"/>
        <w:ind w:left="770" w:hangingChars="321" w:hanging="770"/>
        <w:rPr>
          <w:rFonts w:eastAsia="TimesNewRomanPSMT"/>
          <w:color w:val="000000"/>
        </w:rPr>
      </w:pPr>
      <w:r w:rsidRPr="00702882">
        <w:rPr>
          <w:rFonts w:eastAsia="TimesNewRomanPSMT"/>
          <w:color w:val="000000"/>
        </w:rPr>
        <w:t>Choi, Eunjoo. (2022). Budget Stabilization Funds and Fiscal Behavior of State in Times of Fiscal Stress. Paper presented at the Midwest Political Science Association (MPSA) Conference, Chicago, IL, 2022.</w:t>
      </w:r>
    </w:p>
    <w:p w14:paraId="5D135DA1" w14:textId="77777777" w:rsidR="006103EB" w:rsidRPr="00702882" w:rsidRDefault="006103EB" w:rsidP="006103EB">
      <w:pPr>
        <w:widowControl w:val="0"/>
        <w:autoSpaceDE w:val="0"/>
        <w:autoSpaceDN w:val="0"/>
        <w:adjustRightInd w:val="0"/>
        <w:spacing w:line="276" w:lineRule="auto"/>
        <w:ind w:left="770" w:hangingChars="321" w:hanging="770"/>
        <w:rPr>
          <w:rFonts w:eastAsia="TimesNewRomanPSMT"/>
          <w:color w:val="000000"/>
        </w:rPr>
      </w:pPr>
    </w:p>
    <w:p w14:paraId="4AFBD10A" w14:textId="77777777" w:rsidR="006103EB" w:rsidRPr="00702882" w:rsidRDefault="006103EB" w:rsidP="006103EB">
      <w:pPr>
        <w:widowControl w:val="0"/>
        <w:autoSpaceDE w:val="0"/>
        <w:autoSpaceDN w:val="0"/>
        <w:adjustRightInd w:val="0"/>
        <w:spacing w:line="276" w:lineRule="auto"/>
        <w:ind w:left="770" w:hangingChars="321" w:hanging="770"/>
        <w:rPr>
          <w:rFonts w:eastAsia="TimesNewRomanPSMT"/>
          <w:color w:val="000000"/>
        </w:rPr>
      </w:pPr>
      <w:r w:rsidRPr="00702882">
        <w:rPr>
          <w:rFonts w:eastAsia="TimesNewRomanPSMT"/>
          <w:color w:val="000000"/>
        </w:rPr>
        <w:t>Choi, Eunjoo and Rebecca Hendrick. (2022). What Rainy Day Fund Policies Matter? Indicators of RDF Stringency and Their Impact on State Fiscal Performance. Paper presented at the Association for Budgeting &amp; Financial Management (ABFM) Job-market showcase, 2020.</w:t>
      </w:r>
    </w:p>
    <w:p w14:paraId="398F4786" w14:textId="77777777" w:rsidR="006103EB" w:rsidRPr="00702882" w:rsidRDefault="006103EB" w:rsidP="006103EB">
      <w:pPr>
        <w:widowControl w:val="0"/>
        <w:autoSpaceDE w:val="0"/>
        <w:autoSpaceDN w:val="0"/>
        <w:adjustRightInd w:val="0"/>
        <w:spacing w:line="276" w:lineRule="auto"/>
        <w:ind w:left="770" w:hangingChars="321" w:hanging="770"/>
        <w:rPr>
          <w:rFonts w:eastAsia="TimesNewRomanPSMT"/>
          <w:color w:val="000000"/>
        </w:rPr>
      </w:pPr>
    </w:p>
    <w:p w14:paraId="48B79FD1" w14:textId="77777777" w:rsidR="006103EB" w:rsidRPr="00702882" w:rsidRDefault="006103EB" w:rsidP="006103EB">
      <w:pPr>
        <w:widowControl w:val="0"/>
        <w:autoSpaceDE w:val="0"/>
        <w:autoSpaceDN w:val="0"/>
        <w:adjustRightInd w:val="0"/>
        <w:spacing w:line="276" w:lineRule="auto"/>
        <w:ind w:left="770" w:hangingChars="321" w:hanging="770"/>
        <w:rPr>
          <w:rFonts w:eastAsia="TimesNewRomanPSMT"/>
          <w:color w:val="000000"/>
        </w:rPr>
      </w:pPr>
      <w:r w:rsidRPr="00702882">
        <w:rPr>
          <w:rFonts w:eastAsia="TimesNewRomanPSMT"/>
          <w:color w:val="000000"/>
        </w:rPr>
        <w:t>Choi, Eunjoo. (2019). Does the Stringency of Rainy-Day Fund Rules Matter? Principal Component Regression Analyses of RDF Policies. Paper presented at the Midwest Public Affairs Conference (MPAC), Indianapolis, IN, 2019.</w:t>
      </w:r>
    </w:p>
    <w:p w14:paraId="477B0159" w14:textId="77777777" w:rsidR="006103EB" w:rsidRPr="00702882" w:rsidRDefault="006103EB" w:rsidP="006103EB">
      <w:pPr>
        <w:widowControl w:val="0"/>
        <w:autoSpaceDE w:val="0"/>
        <w:autoSpaceDN w:val="0"/>
        <w:adjustRightInd w:val="0"/>
        <w:spacing w:line="276" w:lineRule="auto"/>
        <w:ind w:left="770" w:hangingChars="321" w:hanging="770"/>
        <w:rPr>
          <w:rFonts w:eastAsia="TimesNewRomanPSMT"/>
          <w:color w:val="000000"/>
        </w:rPr>
      </w:pPr>
    </w:p>
    <w:p w14:paraId="54EF86CD" w14:textId="77777777" w:rsidR="006103EB" w:rsidRDefault="006103EB" w:rsidP="006103EB">
      <w:pPr>
        <w:widowControl w:val="0"/>
        <w:autoSpaceDE w:val="0"/>
        <w:autoSpaceDN w:val="0"/>
        <w:adjustRightInd w:val="0"/>
        <w:spacing w:line="276" w:lineRule="auto"/>
        <w:ind w:left="770" w:hangingChars="321" w:hanging="770"/>
        <w:rPr>
          <w:rFonts w:eastAsia="TimesNewRomanPSMT"/>
          <w:color w:val="000000"/>
        </w:rPr>
      </w:pPr>
      <w:r w:rsidRPr="00702882">
        <w:rPr>
          <w:rFonts w:eastAsia="TimesNewRomanPSMT"/>
          <w:color w:val="000000"/>
        </w:rPr>
        <w:t xml:space="preserve">Hendrick, Rebecca, Eunjoo Choi, and Mingyue Kan. (2019). The Structural Features of Rainy-Day Fund Enabling Legislation.” </w:t>
      </w:r>
      <w:bookmarkStart w:id="87" w:name="_Hlk169017349"/>
      <w:r w:rsidRPr="00702882">
        <w:rPr>
          <w:rFonts w:eastAsia="TimesNewRomanPSMT"/>
          <w:color w:val="000000"/>
        </w:rPr>
        <w:t>Paper presented at the 31st annual conference of the Association for Budgeting and Financial Management (ABFM), September 26-28, 2019; Washington, DC.</w:t>
      </w:r>
    </w:p>
    <w:bookmarkEnd w:id="87"/>
    <w:p w14:paraId="7812BC39"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r w:rsidRPr="00702882">
        <w:rPr>
          <w:rFonts w:eastAsia="TimesNewRomanPS-BoldMT"/>
          <w:b/>
          <w:bCs/>
          <w:color w:val="000000"/>
        </w:rPr>
        <w:lastRenderedPageBreak/>
        <w:t>AWARDS, GRANTS, AND FELLOWSHIPS</w:t>
      </w:r>
    </w:p>
    <w:p w14:paraId="01CBC156"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00C49FA4" w14:textId="77777777"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Best Student Paper Award at the 2019 Midwest Public Affairs Conference (MPAC)</w:t>
      </w:r>
    </w:p>
    <w:p w14:paraId="122D0E2E"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56A2C6A9" w14:textId="702041EC"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Inter-university Consortium for Political and Social Research (ICPSR) Scholarship (Summer 2019),</w:t>
      </w:r>
      <w:r w:rsidR="00896F1E">
        <w:rPr>
          <w:rFonts w:eastAsia="TimesNewRomanPSMT" w:hint="eastAsia"/>
          <w:color w:val="000000"/>
        </w:rPr>
        <w:t xml:space="preserve"> </w:t>
      </w:r>
      <w:r w:rsidRPr="00702882">
        <w:rPr>
          <w:rFonts w:eastAsia="TimesNewRomanPSMT"/>
          <w:color w:val="000000"/>
        </w:rPr>
        <w:t>University of Illinois Chicago</w:t>
      </w:r>
    </w:p>
    <w:p w14:paraId="3DAC20B4"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41E96D00" w14:textId="208DDEEA"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Department of Public Administration Scholar Award (DPASA) (2016 – 2021), Tuition and Stipend,</w:t>
      </w:r>
      <w:r w:rsidR="00896F1E">
        <w:rPr>
          <w:rFonts w:eastAsia="TimesNewRomanPSMT" w:hint="eastAsia"/>
          <w:color w:val="000000"/>
        </w:rPr>
        <w:t xml:space="preserve"> </w:t>
      </w:r>
      <w:r w:rsidRPr="00702882">
        <w:rPr>
          <w:rFonts w:eastAsia="TimesNewRomanPSMT"/>
          <w:color w:val="000000"/>
        </w:rPr>
        <w:t>University of Illinois Chicago</w:t>
      </w:r>
    </w:p>
    <w:p w14:paraId="33078293"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4229189E" w14:textId="77777777"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Academic Excellence Scholarship (Fall 2004), Sogang University (GPA 4.10/4.3)</w:t>
      </w:r>
    </w:p>
    <w:p w14:paraId="3DA24FB9"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16D93C62" w14:textId="77777777"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Travel Grant for the 2022 APPAM conference, Association for Public Policy Analysis &amp; Management</w:t>
      </w:r>
    </w:p>
    <w:p w14:paraId="26EE3CB7"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1C9C0C67" w14:textId="3C634A0E"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Travel Grant for the 2019 ABFM conference, University of Illinois Chicago</w:t>
      </w:r>
    </w:p>
    <w:p w14:paraId="29948FAE"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4358CBE5" w14:textId="481CD60C"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Travel Grant for the 2019 MPAC conference, University of Illinois Chicago</w:t>
      </w:r>
    </w:p>
    <w:p w14:paraId="4092E72F"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p>
    <w:p w14:paraId="5EBBCB7E" w14:textId="77777777" w:rsidR="006103EB" w:rsidRPr="00500440" w:rsidRDefault="006103EB" w:rsidP="006103EB">
      <w:pPr>
        <w:widowControl w:val="0"/>
        <w:autoSpaceDE w:val="0"/>
        <w:autoSpaceDN w:val="0"/>
        <w:adjustRightInd w:val="0"/>
        <w:spacing w:line="276" w:lineRule="auto"/>
        <w:rPr>
          <w:rFonts w:eastAsia="TimesNewRomanPS-BoldMT"/>
          <w:b/>
          <w:bCs/>
          <w:color w:val="000000"/>
        </w:rPr>
      </w:pPr>
    </w:p>
    <w:p w14:paraId="657A7D4F"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r w:rsidRPr="00702882">
        <w:rPr>
          <w:rFonts w:eastAsia="TimesNewRomanPS-BoldMT"/>
          <w:b/>
          <w:bCs/>
          <w:color w:val="000000"/>
        </w:rPr>
        <w:t>PROFESSIONAL MEMBERSHIPS, CERTIFICATIONS AND OTHER ACTIVITIES</w:t>
      </w:r>
    </w:p>
    <w:p w14:paraId="2726260E"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7D8E9F34" w14:textId="77777777"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Manuscript Reviewer, International Review of Public Administration (IRPA)</w:t>
      </w:r>
    </w:p>
    <w:p w14:paraId="637E8FF7"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0965DD29" w14:textId="77777777"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Member, Association for Budgeting and Financial Management (ABFM)</w:t>
      </w:r>
    </w:p>
    <w:p w14:paraId="23E22CFC"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36E49724" w14:textId="77777777"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Member, Association for Public Policy Analysis &amp; Management (APPAM)</w:t>
      </w:r>
    </w:p>
    <w:p w14:paraId="7A870083" w14:textId="77777777" w:rsidR="006103EB" w:rsidRPr="00702882" w:rsidRDefault="006103EB" w:rsidP="006103EB">
      <w:pPr>
        <w:widowControl w:val="0"/>
        <w:autoSpaceDE w:val="0"/>
        <w:autoSpaceDN w:val="0"/>
        <w:adjustRightInd w:val="0"/>
        <w:spacing w:line="276" w:lineRule="auto"/>
        <w:rPr>
          <w:rFonts w:eastAsia="TimesNewRomanPSMT"/>
          <w:color w:val="000000"/>
        </w:rPr>
      </w:pPr>
    </w:p>
    <w:p w14:paraId="282BA9E3" w14:textId="77777777" w:rsidR="006103EB" w:rsidRPr="00702882" w:rsidRDefault="006103EB" w:rsidP="006103EB">
      <w:pPr>
        <w:widowControl w:val="0"/>
        <w:autoSpaceDE w:val="0"/>
        <w:autoSpaceDN w:val="0"/>
        <w:adjustRightInd w:val="0"/>
        <w:spacing w:line="276" w:lineRule="auto"/>
        <w:rPr>
          <w:rFonts w:eastAsia="TimesNewRomanPSMT"/>
          <w:color w:val="000000"/>
        </w:rPr>
      </w:pPr>
      <w:r w:rsidRPr="00702882">
        <w:rPr>
          <w:rFonts w:eastAsia="TimesNewRomanPSMT"/>
          <w:color w:val="000000"/>
        </w:rPr>
        <w:t>Member, Midwest Political Science Association (MPSA)</w:t>
      </w:r>
    </w:p>
    <w:p w14:paraId="2E212C87" w14:textId="77777777" w:rsidR="006103EB" w:rsidRPr="00702882" w:rsidRDefault="006103EB" w:rsidP="006103EB">
      <w:pPr>
        <w:widowControl w:val="0"/>
        <w:autoSpaceDE w:val="0"/>
        <w:autoSpaceDN w:val="0"/>
        <w:adjustRightInd w:val="0"/>
        <w:spacing w:line="276" w:lineRule="auto"/>
        <w:rPr>
          <w:rFonts w:eastAsia="TimesNewRomanPS-BoldMT"/>
          <w:b/>
          <w:bCs/>
          <w:color w:val="000000"/>
        </w:rPr>
      </w:pPr>
    </w:p>
    <w:p w14:paraId="580F2992" w14:textId="77777777" w:rsidR="006103EB" w:rsidRPr="00702882" w:rsidRDefault="006103EB" w:rsidP="004C7FEA">
      <w:pPr>
        <w:rPr>
          <w:rFonts w:eastAsiaTheme="minorEastAsia"/>
          <w:color w:val="7030A0"/>
        </w:rPr>
      </w:pPr>
    </w:p>
    <w:sectPr w:rsidR="006103EB" w:rsidRPr="00702882" w:rsidSect="008512E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904AA6" w14:textId="77777777" w:rsidR="00BE4B94" w:rsidRDefault="00BE4B94" w:rsidP="00AF6702">
      <w:r>
        <w:separator/>
      </w:r>
    </w:p>
  </w:endnote>
  <w:endnote w:type="continuationSeparator" w:id="0">
    <w:p w14:paraId="31BB963C" w14:textId="77777777" w:rsidR="00BE4B94" w:rsidRDefault="00BE4B94" w:rsidP="00AF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굴림체">
    <w:panose1 w:val="020B0609000101010101"/>
    <w:charset w:val="81"/>
    <w:family w:val="modern"/>
    <w:pitch w:val="fixed"/>
    <w:sig w:usb0="B00002AF" w:usb1="69D77CFB" w:usb2="00000030" w:usb3="00000000" w:csb0="0008009F" w:csb1="00000000"/>
  </w:font>
  <w:font w:name="바탕">
    <w:altName w:val="Batang"/>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굴림">
    <w:altName w:val="Gulim"/>
    <w:panose1 w:val="020B0600000101010101"/>
    <w:charset w:val="81"/>
    <w:family w:val="modern"/>
    <w:pitch w:val="variable"/>
    <w:sig w:usb0="B00002AF" w:usb1="69D77CFB" w:usb2="00000030" w:usb3="00000000" w:csb0="0008009F" w:csb1="00000000"/>
  </w:font>
  <w:font w:name="TimesNewRomanPSMT">
    <w:altName w:val="맑은 고딕"/>
    <w:panose1 w:val="00000000000000000000"/>
    <w:charset w:val="81"/>
    <w:family w:val="auto"/>
    <w:notTrueType/>
    <w:pitch w:val="default"/>
    <w:sig w:usb0="00000001" w:usb1="09060000" w:usb2="00000010" w:usb3="00000000" w:csb0="00080000" w:csb1="00000000"/>
  </w:font>
  <w:font w:name="TimesNewRomanPS-BoldMT">
    <w:altName w:val="맑은 고딕"/>
    <w:panose1 w:val="00000000000000000000"/>
    <w:charset w:val="81"/>
    <w:family w:val="auto"/>
    <w:notTrueType/>
    <w:pitch w:val="default"/>
    <w:sig w:usb0="00000001" w:usb1="09060000" w:usb2="00000010" w:usb3="00000000" w:csb0="00080000" w:csb1="00000000"/>
  </w:font>
  <w:font w:name="TimesNewRomanPS-ItalicMT">
    <w:altName w:val="맑은 고딕"/>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9"/>
      </w:rPr>
      <w:id w:val="-1127166690"/>
      <w:docPartObj>
        <w:docPartGallery w:val="Page Numbers (Bottom of Page)"/>
        <w:docPartUnique/>
      </w:docPartObj>
    </w:sdtPr>
    <w:sdtContent>
      <w:p w14:paraId="63E17A64" w14:textId="77777777" w:rsidR="00AF6702" w:rsidRDefault="00AF6702" w:rsidP="0096575A">
        <w:pPr>
          <w:pStyle w:val="a8"/>
          <w:framePr w:wrap="none" w:vAnchor="text" w:hAnchor="margin" w:xAlign="center" w:y="1"/>
          <w:rPr>
            <w:rStyle w:val="a9"/>
          </w:rPr>
        </w:pPr>
        <w:r>
          <w:rPr>
            <w:rStyle w:val="a9"/>
          </w:rPr>
          <w:fldChar w:fldCharType="begin"/>
        </w:r>
        <w:r>
          <w:rPr>
            <w:rStyle w:val="a9"/>
          </w:rPr>
          <w:instrText xml:space="preserve"> PAGE </w:instrText>
        </w:r>
        <w:r>
          <w:rPr>
            <w:rStyle w:val="a9"/>
          </w:rPr>
          <w:fldChar w:fldCharType="separate"/>
        </w:r>
        <w:r>
          <w:rPr>
            <w:rStyle w:val="a9"/>
            <w:noProof/>
          </w:rPr>
          <w:t>1</w:t>
        </w:r>
        <w:r>
          <w:rPr>
            <w:rStyle w:val="a9"/>
          </w:rPr>
          <w:fldChar w:fldCharType="end"/>
        </w:r>
      </w:p>
    </w:sdtContent>
  </w:sdt>
  <w:p w14:paraId="5C21332E" w14:textId="77777777" w:rsidR="00AF6702" w:rsidRDefault="00AF6702">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9"/>
      </w:rPr>
      <w:id w:val="1837490195"/>
      <w:docPartObj>
        <w:docPartGallery w:val="Page Numbers (Bottom of Page)"/>
        <w:docPartUnique/>
      </w:docPartObj>
    </w:sdtPr>
    <w:sdtContent>
      <w:p w14:paraId="4808A390" w14:textId="77777777" w:rsidR="00AF6702" w:rsidRDefault="00AF6702" w:rsidP="0096575A">
        <w:pPr>
          <w:pStyle w:val="a8"/>
          <w:framePr w:wrap="none" w:vAnchor="text" w:hAnchor="margin" w:xAlign="center" w:y="1"/>
          <w:rPr>
            <w:rStyle w:val="a9"/>
          </w:rPr>
        </w:pPr>
        <w:r>
          <w:rPr>
            <w:rStyle w:val="a9"/>
          </w:rPr>
          <w:fldChar w:fldCharType="begin"/>
        </w:r>
        <w:r>
          <w:rPr>
            <w:rStyle w:val="a9"/>
          </w:rPr>
          <w:instrText xml:space="preserve"> PAGE </w:instrText>
        </w:r>
        <w:r>
          <w:rPr>
            <w:rStyle w:val="a9"/>
          </w:rPr>
          <w:fldChar w:fldCharType="separate"/>
        </w:r>
        <w:r>
          <w:rPr>
            <w:rStyle w:val="a9"/>
            <w:noProof/>
          </w:rPr>
          <w:t>1</w:t>
        </w:r>
        <w:r>
          <w:rPr>
            <w:rStyle w:val="a9"/>
          </w:rPr>
          <w:fldChar w:fldCharType="end"/>
        </w:r>
      </w:p>
    </w:sdtContent>
  </w:sdt>
  <w:p w14:paraId="0E77AA40" w14:textId="77777777" w:rsidR="00AF6702" w:rsidRDefault="00AF6702">
    <w:pPr>
      <w:pStyle w:val="a8"/>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63167539"/>
      <w:docPartObj>
        <w:docPartGallery w:val="Page Numbers (Bottom of Page)"/>
        <w:docPartUnique/>
      </w:docPartObj>
    </w:sdtPr>
    <w:sdtContent>
      <w:p w14:paraId="4E37F046" w14:textId="77777777" w:rsidR="00AF6702" w:rsidRDefault="00AF6702">
        <w:pPr>
          <w:pStyle w:val="a8"/>
          <w:jc w:val="center"/>
        </w:pPr>
        <w:r>
          <w:fldChar w:fldCharType="begin"/>
        </w:r>
        <w:r>
          <w:instrText>PAGE   \* MERGEFORMAT</w:instrText>
        </w:r>
        <w:r>
          <w:fldChar w:fldCharType="separate"/>
        </w:r>
        <w:r>
          <w:rPr>
            <w:lang w:val="ko-KR"/>
          </w:rPr>
          <w:t>2</w:t>
        </w:r>
        <w:r>
          <w:fldChar w:fldCharType="end"/>
        </w:r>
      </w:p>
    </w:sdtContent>
  </w:sdt>
  <w:p w14:paraId="5309846C" w14:textId="77777777" w:rsidR="00AF6702" w:rsidRDefault="00AF6702">
    <w:pPr>
      <w:pStyle w:val="a8"/>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9"/>
      </w:rPr>
      <w:id w:val="-721365630"/>
      <w:docPartObj>
        <w:docPartGallery w:val="Page Numbers (Bottom of Page)"/>
        <w:docPartUnique/>
      </w:docPartObj>
    </w:sdtPr>
    <w:sdtContent>
      <w:p w14:paraId="7834FB34" w14:textId="77777777" w:rsidR="00AF6702" w:rsidRDefault="00AF6702" w:rsidP="0096575A">
        <w:pPr>
          <w:pStyle w:val="a8"/>
          <w:framePr w:wrap="none" w:vAnchor="text" w:hAnchor="margin" w:xAlign="center" w:y="1"/>
          <w:rPr>
            <w:rStyle w:val="a9"/>
          </w:rPr>
        </w:pPr>
        <w:r>
          <w:rPr>
            <w:rStyle w:val="a9"/>
          </w:rPr>
          <w:fldChar w:fldCharType="begin"/>
        </w:r>
        <w:r>
          <w:rPr>
            <w:rStyle w:val="a9"/>
          </w:rPr>
          <w:instrText xml:space="preserve"> PAGE </w:instrText>
        </w:r>
        <w:r>
          <w:rPr>
            <w:rStyle w:val="a9"/>
          </w:rPr>
          <w:fldChar w:fldCharType="separate"/>
        </w:r>
        <w:r>
          <w:rPr>
            <w:rStyle w:val="a9"/>
            <w:noProof/>
          </w:rPr>
          <w:t>1</w:t>
        </w:r>
        <w:r>
          <w:rPr>
            <w:rStyle w:val="a9"/>
          </w:rPr>
          <w:fldChar w:fldCharType="end"/>
        </w:r>
      </w:p>
    </w:sdtContent>
  </w:sdt>
  <w:p w14:paraId="2395E03F" w14:textId="77777777" w:rsidR="00AF6702" w:rsidRDefault="00AF6702">
    <w:pPr>
      <w:pStyle w:val="a8"/>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9"/>
      </w:rPr>
      <w:id w:val="1323702101"/>
      <w:docPartObj>
        <w:docPartGallery w:val="Page Numbers (Bottom of Page)"/>
        <w:docPartUnique/>
      </w:docPartObj>
    </w:sdtPr>
    <w:sdtContent>
      <w:p w14:paraId="7342AD2D" w14:textId="77777777" w:rsidR="00AF6702" w:rsidRDefault="00AF6702" w:rsidP="0096575A">
        <w:pPr>
          <w:pStyle w:val="a8"/>
          <w:framePr w:wrap="none" w:vAnchor="text" w:hAnchor="margin" w:xAlign="center" w:y="1"/>
          <w:rPr>
            <w:rStyle w:val="a9"/>
          </w:rPr>
        </w:pPr>
        <w:r>
          <w:rPr>
            <w:rStyle w:val="a9"/>
          </w:rPr>
          <w:fldChar w:fldCharType="begin"/>
        </w:r>
        <w:r>
          <w:rPr>
            <w:rStyle w:val="a9"/>
          </w:rPr>
          <w:instrText xml:space="preserve"> PAGE </w:instrText>
        </w:r>
        <w:r>
          <w:rPr>
            <w:rStyle w:val="a9"/>
          </w:rPr>
          <w:fldChar w:fldCharType="separate"/>
        </w:r>
        <w:r>
          <w:rPr>
            <w:rStyle w:val="a9"/>
            <w:noProof/>
          </w:rPr>
          <w:t>1</w:t>
        </w:r>
        <w:r>
          <w:rPr>
            <w:rStyle w:val="a9"/>
          </w:rPr>
          <w:fldChar w:fldCharType="end"/>
        </w:r>
      </w:p>
    </w:sdtContent>
  </w:sdt>
  <w:p w14:paraId="5FFA9BE5" w14:textId="77777777" w:rsidR="00AF6702" w:rsidRDefault="00AF6702">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4DCF5E" w14:textId="77777777" w:rsidR="00BE4B94" w:rsidRDefault="00BE4B94" w:rsidP="00AF6702">
      <w:r>
        <w:separator/>
      </w:r>
    </w:p>
  </w:footnote>
  <w:footnote w:type="continuationSeparator" w:id="0">
    <w:p w14:paraId="51499925" w14:textId="77777777" w:rsidR="00BE4B94" w:rsidRDefault="00BE4B94" w:rsidP="00AF6702">
      <w:r>
        <w:continuationSeparator/>
      </w:r>
    </w:p>
  </w:footnote>
  <w:footnote w:id="1">
    <w:p w14:paraId="32CD2F31"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According to the NASBO’s Fiscal Survey of the States (2018), general fund ending balances represent fund balances comprising both “reserved and unreserved” amounts. NASBO accommodates variations in states’ accounting practices for recording general fund balances and budgetary stabilization funds. Ending balances, as defined by NASBO, are a type of “surplus funds and reserves that states may use to respond to unforeseen circumstances and help smooth revenue volatility” (p. ix).</w:t>
      </w:r>
    </w:p>
  </w:footnote>
  <w:footnote w:id="2">
    <w:p w14:paraId="7E10A1B6" w14:textId="77777777" w:rsidR="009E450D" w:rsidRPr="00466CD3" w:rsidRDefault="009E450D" w:rsidP="009E450D">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Prior to the 2008 constitutional amendment, the state of Alabama did not have a Rainy Day Account for General Fund programs and services, but there was the Education Trust Fund Rainy Day Account to cover Education Trust Fund shortfalls. Nevertheless, Alabama’s Education Trust Fund Rainy Day Account has been treated as an important Rainy Day Fund in the prior literature.</w:t>
      </w:r>
    </w:p>
  </w:footnote>
  <w:footnote w:id="3">
    <w:p w14:paraId="5F18CD6F" w14:textId="77777777" w:rsidR="009E450D" w:rsidRPr="00466CD3" w:rsidRDefault="009E450D" w:rsidP="009E450D">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Before establishing the Oregon Rainy Day Fund (ORDF), the state of Oregon did not have a Rainy Day Account for General Fund programs and services, but there was the Education Stability Fund for public education (Or. Const. art. XV, § 4).</w:t>
      </w:r>
    </w:p>
  </w:footnote>
  <w:footnote w:id="4">
    <w:p w14:paraId="014CF42A" w14:textId="25EDF90B" w:rsidR="00AF6702" w:rsidRPr="00571446" w:rsidRDefault="00AF6702" w:rsidP="00AF6702">
      <w:pPr>
        <w:pStyle w:val="a4"/>
        <w:rPr>
          <w:rFonts w:ascii="Times New Roman" w:hAnsi="Times New Roman" w:cs="Times New Roman"/>
        </w:rPr>
      </w:pPr>
      <w:r w:rsidRPr="00571446">
        <w:rPr>
          <w:rStyle w:val="a5"/>
          <w:rFonts w:ascii="Times New Roman" w:hAnsi="Times New Roman" w:cs="Times New Roman"/>
        </w:rPr>
        <w:footnoteRef/>
      </w:r>
      <w:r w:rsidRPr="00571446">
        <w:rPr>
          <w:rFonts w:ascii="Times New Roman" w:hAnsi="Times New Roman" w:cs="Times New Roman"/>
        </w:rPr>
        <w:t xml:space="preserve"> </w:t>
      </w:r>
      <w:r w:rsidRPr="00975189">
        <w:rPr>
          <w:rFonts w:ascii="Times New Roman" w:hAnsi="Times New Roman" w:cs="Times New Roman"/>
        </w:rPr>
        <w:t xml:space="preserve">The rank order of BSF deposit and withdrawal rule categories, developed by Wagner (2003), has been used in several studies, including </w:t>
      </w:r>
      <w:sdt>
        <w:sdtPr>
          <w:rPr>
            <w:rFonts w:ascii="Times New Roman" w:hAnsi="Times New Roman" w:cs="Times New Roman"/>
            <w:color w:val="000000"/>
          </w:rPr>
          <w:tag w:val="MENDELEY_CITATION_v3_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"/>
          <w:id w:val="1927067782"/>
          <w:placeholder>
            <w:docPart w:val="DefaultPlaceholder_-1854013440"/>
          </w:placeholder>
        </w:sdtPr>
        <w:sdtContent>
          <w:r w:rsidR="00F520AD" w:rsidRPr="00F520AD">
            <w:rPr>
              <w:rFonts w:ascii="Times New Roman" w:hAnsi="Times New Roman" w:cs="Times New Roman"/>
              <w:color w:val="000000"/>
            </w:rPr>
            <w:t>Wagner and Elder (2005)</w:t>
          </w:r>
        </w:sdtContent>
      </w:sdt>
      <w:r w:rsidRPr="00975189">
        <w:rPr>
          <w:rFonts w:ascii="Times New Roman" w:hAnsi="Times New Roman" w:cs="Times New Roman"/>
        </w:rPr>
        <w:t xml:space="preserve">, Wagner and Sober (2006), Rodriguez-Tejedo (2012), </w:t>
      </w:r>
      <w:r w:rsidR="00040161" w:rsidRPr="00975189">
        <w:rPr>
          <w:rFonts w:ascii="Times New Roman" w:hAnsi="Times New Roman" w:cs="Times New Roman"/>
        </w:rPr>
        <w:t>Buerger, Reitano, &amp; Sorrentino (202</w:t>
      </w:r>
      <w:r w:rsidR="001D150B" w:rsidRPr="00975189">
        <w:rPr>
          <w:rFonts w:ascii="Times New Roman" w:hAnsi="Times New Roman" w:cs="Times New Roman"/>
        </w:rPr>
        <w:t>2</w:t>
      </w:r>
      <w:r w:rsidR="00040161" w:rsidRPr="00975189">
        <w:rPr>
          <w:rFonts w:ascii="Times New Roman" w:hAnsi="Times New Roman" w:cs="Times New Roman"/>
        </w:rPr>
        <w:t xml:space="preserve">), </w:t>
      </w:r>
      <w:r w:rsidRPr="00975189">
        <w:rPr>
          <w:rFonts w:ascii="Times New Roman" w:hAnsi="Times New Roman" w:cs="Times New Roman"/>
        </w:rPr>
        <w:t xml:space="preserve">Ryu, Cho, and Kim (2020), and </w:t>
      </w:r>
      <w:sdt>
        <w:sdtPr>
          <w:rPr>
            <w:rFonts w:ascii="Times New Roman" w:hAnsi="Times New Roman" w:cs="Times New Roman"/>
            <w:color w:val="000000"/>
          </w:rPr>
          <w:tag w:val="MENDELEY_CITATION_v3_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"/>
          <w:id w:val="1450669358"/>
          <w:placeholder>
            <w:docPart w:val="DefaultPlaceholder_-1854013440"/>
          </w:placeholder>
        </w:sdtPr>
        <w:sdtContent>
          <w:r w:rsidR="00F520AD" w:rsidRPr="00F520AD">
            <w:rPr>
              <w:rFonts w:ascii="Times New Roman" w:hAnsi="Times New Roman" w:cs="Times New Roman"/>
              <w:color w:val="000000"/>
            </w:rPr>
            <w:t>Lee and Chen (2022)</w:t>
          </w:r>
        </w:sdtContent>
      </w:sdt>
      <w:r w:rsidR="00975189" w:rsidRPr="00975189">
        <w:rPr>
          <w:rFonts w:ascii="Times New Roman" w:hAnsi="Times New Roman" w:cs="Times New Roman"/>
        </w:rPr>
        <w:t>.</w:t>
      </w:r>
      <w:r w:rsidRPr="00571446">
        <w:rPr>
          <w:rFonts w:ascii="Times New Roman" w:hAnsi="Times New Roman" w:cs="Times New Roman"/>
        </w:rPr>
        <w:t xml:space="preserve"> </w:t>
      </w:r>
    </w:p>
  </w:footnote>
  <w:footnote w:id="5">
    <w:p w14:paraId="003F9819"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State of Hawaii. Department of Budget and Finance, State Fiscal Reserve. Accessed March 15, 2019. </w:t>
      </w:r>
      <w:hyperlink r:id="rId1" w:history="1">
        <w:r w:rsidRPr="00466CD3">
          <w:rPr>
            <w:rStyle w:val="aa"/>
            <w:rFonts w:ascii="Times New Roman" w:hAnsi="Times New Roman" w:cs="Times New Roman"/>
          </w:rPr>
          <w:t>http://budget.hawaii.gov/budget/about-budget/state-fiscal-reserves/</w:t>
        </w:r>
      </w:hyperlink>
      <w:r w:rsidRPr="00466CD3">
        <w:rPr>
          <w:rFonts w:ascii="Times New Roman" w:hAnsi="Times New Roman" w:cs="Times New Roman"/>
        </w:rPr>
        <w:t xml:space="preserve"> </w:t>
      </w:r>
    </w:p>
  </w:footnote>
  <w:footnote w:id="6">
    <w:p w14:paraId="22BAAA56"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Urban Institute. Project: State and Local Backgrounders: Severance Taxes. Accessed October 17, 2022.</w:t>
      </w:r>
    </w:p>
  </w:footnote>
  <w:footnote w:id="7">
    <w:p w14:paraId="6E256D82" w14:textId="77777777"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1991 Fla. ALS 109, 1991 Fla. Laws ch. 109, 1991 Fla. HB 2313 (May 24, 1991). </w:t>
      </w:r>
    </w:p>
  </w:footnote>
  <w:footnote w:id="8">
    <w:p w14:paraId="2CE6F483" w14:textId="77777777" w:rsidR="00AF6702" w:rsidRPr="002B106E"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following statement is found in 1998 Fla. ALS 73, which is also known as 1998 Fla. Laws ch. 73, and was enacted through 1997 Fla. SB 832 on May 21, 1998: “By September 15 of each year, the governor shall authorize the comptroller to transfer, and the comptroller shall transfer pursuant to appropriations made by law, to the budget stabilization fund the amount of money needed for the balance of that fund to equal the amount specified in subparagraph 1., less any amounts expended and not restored. </w:t>
      </w:r>
      <w:r w:rsidRPr="002B106E">
        <w:rPr>
          <w:rFonts w:ascii="Times New Roman" w:hAnsi="Times New Roman" w:cs="Times New Roman"/>
        </w:rPr>
        <w:t>The moneys needed for this transfer may be appropriated by the legislature from any funds.”</w:t>
      </w:r>
    </w:p>
  </w:footnote>
  <w:footnote w:id="9">
    <w:p w14:paraId="333F08CD"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Conn. Gen. Stat. § 4-30a</w:t>
      </w:r>
    </w:p>
  </w:footnote>
  <w:footnote w:id="10">
    <w:p w14:paraId="144177B1" w14:textId="77777777" w:rsidR="00AF6702" w:rsidRPr="00466CD3" w:rsidRDefault="00AF6702" w:rsidP="00AF6702">
      <w:pPr>
        <w:pStyle w:val="a4"/>
        <w:rPr>
          <w:rFonts w:ascii="Times New Roman" w:hAnsi="Times New Roman" w:cs="Times New Roman"/>
          <w:b/>
          <w:bCs/>
        </w:rPr>
      </w:pPr>
      <w:r w:rsidRPr="00466CD3">
        <w:rPr>
          <w:rStyle w:val="a5"/>
          <w:rFonts w:ascii="Times New Roman" w:hAnsi="Times New Roman" w:cs="Times New Roman"/>
        </w:rPr>
        <w:footnoteRef/>
      </w:r>
      <w:r w:rsidRPr="00466CD3">
        <w:rPr>
          <w:rFonts w:ascii="Times New Roman" w:hAnsi="Times New Roman" w:cs="Times New Roman"/>
        </w:rPr>
        <w:t xml:space="preserve"> Minn. Stat. § 16A.152</w:t>
      </w:r>
    </w:p>
  </w:footnote>
  <w:footnote w:id="11">
    <w:p w14:paraId="2E998543" w14:textId="656D7DE9"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Minnesota. </w:t>
      </w:r>
      <w:r w:rsidR="00B5249B" w:rsidRPr="00B5249B">
        <w:rPr>
          <w:rFonts w:ascii="Times New Roman" w:hAnsi="Times New Roman" w:cs="Times New Roman"/>
        </w:rPr>
        <w:t xml:space="preserve">Annual Comprehensive Financial Report </w:t>
      </w:r>
      <w:r w:rsidRPr="00466CD3">
        <w:rPr>
          <w:rFonts w:ascii="Times New Roman" w:hAnsi="Times New Roman" w:cs="Times New Roman"/>
        </w:rPr>
        <w:t xml:space="preserve">for the Year Ended June 30, 2015. </w:t>
      </w:r>
    </w:p>
  </w:footnote>
  <w:footnote w:id="12">
    <w:p w14:paraId="529A2B83" w14:textId="623D8D13"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General Government. 9658 Budget Stabilization Account. </w:t>
      </w:r>
    </w:p>
  </w:footnote>
  <w:footnote w:id="13">
    <w:p w14:paraId="7F842810" w14:textId="654CA58D"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Mississippi.</w:t>
      </w:r>
      <w:r w:rsidR="00001FD3" w:rsidRPr="00001FD3">
        <w:t xml:space="preserve"> </w:t>
      </w:r>
      <w:r w:rsidR="00001FD3" w:rsidRPr="00001FD3">
        <w:rPr>
          <w:rFonts w:ascii="Times New Roman" w:hAnsi="Times New Roman" w:cs="Times New Roman"/>
        </w:rPr>
        <w:t>Annual Comprehensive Financial Report</w:t>
      </w:r>
      <w:r w:rsidRPr="00466CD3">
        <w:rPr>
          <w:rFonts w:ascii="Times New Roman" w:hAnsi="Times New Roman" w:cs="Times New Roman"/>
        </w:rPr>
        <w:t xml:space="preserve">. Fiscal Year Ended June 30, 2001. </w:t>
      </w:r>
    </w:p>
  </w:footnote>
  <w:footnote w:id="14">
    <w:p w14:paraId="0C01E819" w14:textId="7377EB0B"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2000 Fla. ALS 371, 2000 Fla. Laws ch. 371, 2000 Fla. HB 2377 (June 26, 2000).</w:t>
      </w:r>
    </w:p>
  </w:footnote>
  <w:footnote w:id="15">
    <w:p w14:paraId="107DA9B0" w14:textId="77777777" w:rsidR="002546AC" w:rsidRPr="00466CD3" w:rsidRDefault="002546AC" w:rsidP="002546AC">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National Conference of State Legislatures. Supermajority Vote Requirements. Retrieved September 19, 2021, from </w:t>
      </w:r>
      <w:hyperlink r:id="rId2" w:history="1">
        <w:r w:rsidRPr="00466CD3">
          <w:rPr>
            <w:rStyle w:val="aa"/>
            <w:rFonts w:ascii="Times New Roman" w:hAnsi="Times New Roman" w:cs="Times New Roman"/>
          </w:rPr>
          <w:t>https://www.ncsl.org/research/elections-and-campaigns/supermajority-vote-requirements.aspx</w:t>
        </w:r>
      </w:hyperlink>
      <w:r w:rsidRPr="00466CD3">
        <w:rPr>
          <w:rFonts w:ascii="Times New Roman" w:hAnsi="Times New Roman" w:cs="Times New Roman"/>
        </w:rPr>
        <w:t xml:space="preserve">. </w:t>
      </w:r>
    </w:p>
  </w:footnote>
  <w:footnote w:id="16">
    <w:p w14:paraId="5152B4A7"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Alaska’s Budget Reserve Funds can be used for any purpose with a three-fourths vote of the members of the legislature (Alaska Const. Art. IX, § 17).</w:t>
      </w:r>
    </w:p>
  </w:footnote>
  <w:footnote w:id="17">
    <w:p w14:paraId="6CE941A8" w14:textId="08D48202"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t>
      </w:r>
      <w:r w:rsidRPr="00466CD3">
        <w:rPr>
          <w:rFonts w:ascii="Times New Roman" w:hAnsi="Times New Roman" w:cs="Times New Roman"/>
          <w:shd w:val="clear" w:color="auto" w:fill="FFFFFF"/>
        </w:rPr>
        <w:t xml:space="preserve">2002 N.M. ALS 109, 2002 N.M. Laws 109, 2002 N.M. Ch. 109, 2002 N.M. HB 451 (March 6, 2002).  </w:t>
      </w:r>
    </w:p>
  </w:footnote>
  <w:footnote w:id="18">
    <w:p w14:paraId="4B88C5D0"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For example, the Florida Statute 215.18(1) notes that the BSF may be used when there is a “deficiency in any fund”; such language can be interpreted as revenue shortfalls although it may imply “managerial mistakes or technical errors in revenue forecasting” (Hou, 2004).</w:t>
      </w:r>
    </w:p>
  </w:footnote>
  <w:footnote w:id="19">
    <w:p w14:paraId="59199919" w14:textId="38C010EF"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t>
      </w:r>
      <w:r w:rsidR="000235AE" w:rsidRPr="000235AE">
        <w:rPr>
          <w:rFonts w:ascii="Times New Roman" w:hAnsi="Times New Roman" w:cs="Times New Roman"/>
        </w:rPr>
        <w:t>The Pew (2017) categorizes Maryland's BSF deposit rule as "deposit tied to revenue volatility" in its State Rainy Day Funds table. However, Maryland's BSF does not link to revenue or economic volatility; instead, it mandates maintaining a BSF balance level relative to a specific amount of revenues or expenditures.</w:t>
      </w:r>
    </w:p>
  </w:footnote>
  <w:footnote w:id="20">
    <w:p w14:paraId="46133A6F"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study will not discuss any other BSFs for special service needs with special funds.</w:t>
      </w:r>
    </w:p>
  </w:footnote>
  <w:footnote w:id="21">
    <w:p w14:paraId="6AB592CE" w14:textId="274B679E"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t>
      </w:r>
      <w:r w:rsidR="001C57CC" w:rsidRPr="001C57CC">
        <w:rPr>
          <w:rFonts w:ascii="Times New Roman" w:hAnsi="Times New Roman" w:cs="Times New Roman"/>
        </w:rPr>
        <w:t>Nebraska Legislative Bill 798</w:t>
      </w:r>
      <w:r w:rsidR="001C57CC">
        <w:rPr>
          <w:rFonts w:ascii="Times New Roman" w:hAnsi="Times New Roman" w:cs="Times New Roman" w:hint="eastAsia"/>
        </w:rPr>
        <w:t xml:space="preserve"> </w:t>
      </w:r>
      <w:r w:rsidR="001C57CC" w:rsidRPr="001C57CC">
        <w:rPr>
          <w:rFonts w:ascii="Times New Roman" w:hAnsi="Times New Roman" w:cs="Times New Roman"/>
        </w:rPr>
        <w:t>featured a provision outlining that the Cash Reserve Fund would be designated to receive federal funds received by the State of Nebraska for undesignated general government purposes, federal revenue sharing, or general fiscal relief of the state.</w:t>
      </w:r>
      <w:r w:rsidR="001C57CC">
        <w:rPr>
          <w:rFonts w:ascii="Times New Roman" w:hAnsi="Times New Roman" w:cs="Times New Roman" w:hint="eastAsia"/>
        </w:rPr>
        <w:t xml:space="preserve"> </w:t>
      </w:r>
      <w:r w:rsidRPr="00466CD3">
        <w:rPr>
          <w:rFonts w:ascii="Times New Roman" w:hAnsi="Times New Roman" w:cs="Times New Roman"/>
        </w:rPr>
        <w:t xml:space="preserve">As a result, Nebraska received $29 million in late FY2003 as part of the federal fiscal relief, and another $29 million was received in FY05-06. These funds were deposited into the Cash Reserve Fund to provide temporary financial support to the state during those respective fiscal years </w:t>
      </w:r>
      <w:sdt>
        <w:sdtPr>
          <w:rPr>
            <w:rFonts w:ascii="Times New Roman" w:hAnsi="Times New Roman" w:cs="Times New Roman"/>
            <w:color w:val="000000"/>
          </w:rPr>
          <w:tag w:val="MENDELEY_CITATION_v3_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"/>
          <w:id w:val="-629241404"/>
          <w:placeholder>
            <w:docPart w:val="A8204E284AB740B88D3300B652FFDEDA"/>
          </w:placeholder>
        </w:sdtPr>
        <w:sdtContent>
          <w:r w:rsidR="00F520AD" w:rsidRPr="00F520AD">
            <w:rPr>
              <w:rFonts w:ascii="Times New Roman" w:hAnsi="Times New Roman" w:cs="Times New Roman"/>
              <w:color w:val="000000"/>
            </w:rPr>
            <w:t>(Nebraska Unicameral Legislature, 2005)</w:t>
          </w:r>
        </w:sdtContent>
      </w:sdt>
      <w:r w:rsidRPr="00466CD3">
        <w:rPr>
          <w:rFonts w:ascii="Times New Roman" w:hAnsi="Times New Roman" w:cs="Times New Roman"/>
        </w:rPr>
        <w:t>.</w:t>
      </w:r>
    </w:p>
  </w:footnote>
  <w:footnote w:id="22">
    <w:p w14:paraId="52CDEAE9" w14:textId="5AA8C593" w:rsidR="00AF6702" w:rsidRPr="00466CD3" w:rsidRDefault="00AF6702" w:rsidP="00DE1BCE">
      <w:pPr>
        <w:pStyle w:val="a4"/>
        <w:tabs>
          <w:tab w:val="left" w:pos="1701"/>
        </w:tabs>
        <w:rPr>
          <w:rFonts w:ascii="Times New Roman" w:hAnsi="Times New Roman" w:cs="Times New Roman"/>
        </w:rPr>
      </w:pPr>
      <w:r w:rsidRPr="00466CD3">
        <w:rPr>
          <w:rStyle w:val="a5"/>
          <w:rFonts w:ascii="Times New Roman" w:hAnsi="Times New Roman" w:cs="Times New Roman"/>
        </w:rPr>
        <w:footnoteRef/>
      </w:r>
      <w:r w:rsidR="00DE1BCE" w:rsidRPr="00DE1BCE">
        <w:rPr>
          <w:rFonts w:ascii="Times New Roman" w:hAnsi="Times New Roman" w:cs="Times New Roman"/>
        </w:rPr>
        <w:t>According to subsection 1 of NRS 353.288, the State Controller is mandated to transfer from the general fund to the Account</w:t>
      </w:r>
      <w:r w:rsidR="00DE1BCE">
        <w:rPr>
          <w:rFonts w:ascii="Times New Roman" w:hAnsi="Times New Roman" w:cs="Times New Roman" w:hint="eastAsia"/>
        </w:rPr>
        <w:t xml:space="preserve">: </w:t>
      </w:r>
      <w:r w:rsidR="00DE1BCE" w:rsidRPr="00DE1BCE">
        <w:rPr>
          <w:rFonts w:ascii="Times New Roman" w:hAnsi="Times New Roman" w:cs="Times New Roman"/>
        </w:rPr>
        <w:t>A. 40% of the unrestricted balance of the State General Fund from the previous fiscal year, remaining after deducting 7% of all appropriations made from the State General Fund during that previous fiscal year for the operation of all state departments, institutions, agencies, and schools</w:t>
      </w:r>
      <w:r w:rsidR="00DE1BCE">
        <w:rPr>
          <w:rFonts w:ascii="Times New Roman" w:hAnsi="Times New Roman" w:cs="Times New Roman" w:hint="eastAsia"/>
        </w:rPr>
        <w:t xml:space="preserve">; </w:t>
      </w:r>
      <w:r w:rsidR="00DE1BCE" w:rsidRPr="00DE1BCE">
        <w:rPr>
          <w:rFonts w:ascii="Times New Roman" w:hAnsi="Times New Roman" w:cs="Times New Roman"/>
        </w:rPr>
        <w:t>B. An additional 1% of the total anticipated revenue for that fiscal year, as projected by the Economic Forum and adjusted by relevant legislation affecting state revenue.</w:t>
      </w:r>
      <w:r w:rsidR="00DE1BCE">
        <w:rPr>
          <w:rFonts w:ascii="Times New Roman" w:hAnsi="Times New Roman" w:cs="Times New Roman" w:hint="eastAsia"/>
        </w:rPr>
        <w:t xml:space="preserve"> </w:t>
      </w:r>
      <w:r w:rsidR="00DE1BCE" w:rsidRPr="00DE1BCE">
        <w:rPr>
          <w:rFonts w:ascii="Times New Roman" w:hAnsi="Times New Roman" w:cs="Times New Roman"/>
        </w:rPr>
        <w:t>It's noteworthy that subsection (b) became effective in July 2015 (FY 2016), as per the 2013 Nevada Statutes, Chapter 446. Additionally, the Governor is responsible for appointing all five members of the Economic Forum, while the Senate Majority Leader and the Speaker of the Assembly each nominate one member for appointment</w:t>
      </w:r>
      <w:r w:rsidR="00DE1BCE">
        <w:rPr>
          <w:rFonts w:ascii="Times New Roman" w:hAnsi="Times New Roman" w:cs="Times New Roman" w:hint="eastAsia"/>
        </w:rPr>
        <w:t xml:space="preserve"> </w:t>
      </w:r>
      <w:sdt>
        <w:sdtPr>
          <w:rPr>
            <w:rFonts w:ascii="Times New Roman" w:hAnsi="Times New Roman" w:cs="Times New Roman"/>
            <w:color w:val="000000"/>
          </w:rPr>
          <w:tag w:val="MENDELEY_CITATION_v3_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"/>
          <w:id w:val="525075392"/>
          <w:placeholder>
            <w:docPart w:val="A8204E284AB740B88D3300B652FFDEDA"/>
          </w:placeholder>
        </w:sdtPr>
        <w:sdtContent>
          <w:r w:rsidR="00F520AD" w:rsidRPr="00F520AD">
            <w:rPr>
              <w:rFonts w:ascii="Times New Roman" w:hAnsi="Times New Roman" w:cs="Times New Roman"/>
              <w:color w:val="000000"/>
            </w:rPr>
            <w:t>(Nevada Legislature, 2003)</w:t>
          </w:r>
        </w:sdtContent>
      </w:sdt>
      <w:r w:rsidRPr="00466CD3">
        <w:rPr>
          <w:rFonts w:ascii="Times New Roman" w:hAnsi="Times New Roman" w:cs="Times New Roman"/>
        </w:rPr>
        <w:t>.</w:t>
      </w:r>
    </w:p>
  </w:footnote>
  <w:footnote w:id="23">
    <w:p w14:paraId="40B9D312"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calculation of estimated unencumbered funds takes into account various factors. The revenue estimate and estimated unencumbered funds are determined through a joint resolution approved by the General Assembly and the Governor (Del. Const. Art. VIII, § 6).</w:t>
      </w:r>
    </w:p>
  </w:footnote>
  <w:footnote w:id="24">
    <w:p w14:paraId="33E33EFE" w14:textId="16959CA5" w:rsidR="00AF6702" w:rsidRPr="00857E8C"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t>
      </w:r>
      <w:r w:rsidRPr="00857E8C">
        <w:rPr>
          <w:rFonts w:ascii="Times New Roman" w:hAnsi="Times New Roman" w:cs="Times New Roman"/>
        </w:rPr>
        <w:t>In Pennsylvania, the</w:t>
      </w:r>
      <w:r w:rsidR="00857E8C" w:rsidRPr="00857E8C">
        <w:rPr>
          <w:rFonts w:ascii="Times New Roman" w:hAnsi="Times New Roman" w:cs="Times New Roman" w:hint="eastAsia"/>
        </w:rPr>
        <w:t xml:space="preserve"> allocation</w:t>
      </w:r>
      <w:r w:rsidRPr="00857E8C">
        <w:rPr>
          <w:rFonts w:ascii="Times New Roman" w:hAnsi="Times New Roman" w:cs="Times New Roman"/>
        </w:rPr>
        <w:t xml:space="preserve"> of surplus funds to the Budget Stabilization Reserve Fund was suspended by the Act 53 of 2008 for fiscal years 2007-2008, and the Act 46 of 2010 for fiscal years 2010-2011 through 2015-2016. </w:t>
      </w:r>
    </w:p>
  </w:footnote>
  <w:footnote w:id="25">
    <w:p w14:paraId="2FF46DDE" w14:textId="5E8DA93E"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Reserve for Revenue Fluctuations is typically sourced from budget surpluses. However, it's important to note that surpluses do not automatically flow into the Reserve. Instead, the deposit amount is determined each year based on the specified target balance in the annual appropriations bill </w:t>
      </w:r>
      <w:sdt>
        <w:sdtPr>
          <w:rPr>
            <w:rFonts w:ascii="Times New Roman" w:hAnsi="Times New Roman" w:cs="Times New Roman"/>
            <w:color w:val="000000"/>
          </w:rPr>
          <w:tag w:val="MENDELEY_CITATION_v3_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"/>
          <w:id w:val="-429048235"/>
          <w:placeholder>
            <w:docPart w:val="A8204E284AB740B88D3300B652FFDEDA"/>
          </w:placeholder>
        </w:sdtPr>
        <w:sdtContent>
          <w:r w:rsidR="00F520AD" w:rsidRPr="00F520AD">
            <w:rPr>
              <w:rFonts w:ascii="Times New Roman" w:hAnsi="Times New Roman" w:cs="Times New Roman"/>
              <w:color w:val="000000"/>
            </w:rPr>
            <w:t>(Spears, 2020)</w:t>
          </w:r>
        </w:sdtContent>
      </w:sdt>
      <w:r w:rsidRPr="00466CD3">
        <w:rPr>
          <w:rFonts w:ascii="Times New Roman" w:hAnsi="Times New Roman" w:cs="Times New Roman"/>
        </w:rPr>
        <w:t>.</w:t>
      </w:r>
    </w:p>
  </w:footnote>
  <w:footnote w:id="26">
    <w:p w14:paraId="4F279E16" w14:textId="2F3E52BA"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t>
      </w:r>
      <w:r w:rsidR="00CD0380" w:rsidRPr="00CD0380">
        <w:rPr>
          <w:rFonts w:ascii="Times New Roman" w:hAnsi="Times New Roman" w:cs="Times New Roman"/>
        </w:rPr>
        <w:t>New Hampshire's Revenue Stabilization Reserve Account is limited to a maximum of 10% of the actual General Fund unrestricted revenue for the most recently completed fiscal year</w:t>
      </w:r>
      <w:r w:rsidR="00CD0380">
        <w:rPr>
          <w:rFonts w:ascii="Times New Roman" w:hAnsi="Times New Roman" w:cs="Times New Roman" w:hint="eastAsia"/>
        </w:rPr>
        <w:t xml:space="preserve"> </w:t>
      </w:r>
      <w:r w:rsidRPr="00466CD3">
        <w:rPr>
          <w:rFonts w:ascii="Times New Roman" w:hAnsi="Times New Roman" w:cs="Times New Roman"/>
        </w:rPr>
        <w:t>(RSA 9:13-e). It is not a 10% of general fund revenues</w:t>
      </w:r>
      <w:r>
        <w:rPr>
          <w:rFonts w:ascii="Times New Roman" w:hAnsi="Times New Roman" w:cs="Times New Roman" w:hint="eastAsia"/>
        </w:rPr>
        <w:t>,</w:t>
      </w:r>
      <w:r w:rsidRPr="00466CD3">
        <w:rPr>
          <w:rFonts w:ascii="Times New Roman" w:hAnsi="Times New Roman" w:cs="Times New Roman"/>
        </w:rPr>
        <w:t xml:space="preserve"> but 10% of general fund surplus. </w:t>
      </w:r>
      <w:r>
        <w:rPr>
          <w:rFonts w:ascii="Times New Roman" w:hAnsi="Times New Roman" w:cs="Times New Roman" w:hint="eastAsia"/>
        </w:rPr>
        <w:t xml:space="preserve">Thus, New Hampshire is classified into the category 1. </w:t>
      </w:r>
    </w:p>
  </w:footnote>
  <w:footnote w:id="27">
    <w:p w14:paraId="3DE893ED"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cap of Idaho’s Budget Stabilization Fund had been increased from 10 percent of general fund receipts to 15 percent of total general fund receipts for the fiscal year ending. However, it took effect in July, 2021, thus the state’s cap is classified into the category 3 (10-14 % of general fund expenditures) for the fiscal year 2020. </w:t>
      </w:r>
    </w:p>
  </w:footnote>
  <w:footnote w:id="28">
    <w:p w14:paraId="1E7FAE16" w14:textId="5C61DEDB" w:rsidR="00AF6702" w:rsidRPr="00466CD3" w:rsidRDefault="00AF6702" w:rsidP="00AF6702">
      <w:pPr>
        <w:spacing w:line="276" w:lineRule="auto"/>
        <w:rPr>
          <w:sz w:val="20"/>
          <w:szCs w:val="20"/>
        </w:rPr>
      </w:pPr>
      <w:r w:rsidRPr="00466CD3">
        <w:rPr>
          <w:rStyle w:val="a5"/>
          <w:sz w:val="20"/>
          <w:szCs w:val="20"/>
        </w:rPr>
        <w:footnoteRef/>
      </w:r>
      <w:r w:rsidRPr="00466CD3">
        <w:rPr>
          <w:sz w:val="20"/>
          <w:szCs w:val="20"/>
        </w:rPr>
        <w:t xml:space="preserve"> Section 6z-51 of 30 ILCS 105 states that </w:t>
      </w:r>
      <w:r w:rsidR="00CD0380">
        <w:rPr>
          <w:rFonts w:eastAsiaTheme="minorEastAsia" w:hint="eastAsia"/>
          <w:sz w:val="20"/>
          <w:szCs w:val="20"/>
        </w:rPr>
        <w:t>t</w:t>
      </w:r>
      <w:r w:rsidR="00CD0380" w:rsidRPr="00CD0380">
        <w:rPr>
          <w:sz w:val="20"/>
          <w:szCs w:val="20"/>
        </w:rPr>
        <w:t>he State Comptroller is authorized to instruct the State Treasurer to transfer funds from the Budget Stabilization Fund to the General Revenue Fund in order to manage "cash flow deficits."</w:t>
      </w:r>
      <w:r w:rsidR="00CD0380">
        <w:rPr>
          <w:rFonts w:eastAsiaTheme="minorEastAsia" w:hint="eastAsia"/>
          <w:sz w:val="20"/>
          <w:szCs w:val="20"/>
        </w:rPr>
        <w:t xml:space="preserve"> </w:t>
      </w:r>
      <w:r w:rsidRPr="00466CD3">
        <w:rPr>
          <w:sz w:val="20"/>
          <w:szCs w:val="20"/>
        </w:rPr>
        <w:t xml:space="preserve">This transfer is for the purpose of meeting short-term timing discrepancies within a fiscal year. </w:t>
      </w:r>
    </w:p>
  </w:footnote>
  <w:footnote w:id="29">
    <w:p w14:paraId="2346444E" w14:textId="77777777" w:rsidR="00AF6702" w:rsidRPr="00466CD3" w:rsidRDefault="00AF6702" w:rsidP="00AF6702">
      <w:pPr>
        <w:pStyle w:val="a4"/>
        <w:tabs>
          <w:tab w:val="left" w:pos="3534"/>
        </w:tabs>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Counter-cyclical Revenue and Economic Stabilization Fund in Indiana allows the executive branch, specifically the budget agency, to transfer additional funds to the general fund if there is a determination of insufficient funds to meet statutory obligations. This transfer requires approval from the governor and review by the budget committee (Burns Ind. Code Ann. § 4-10-18-4). </w:t>
      </w:r>
    </w:p>
  </w:footnote>
  <w:footnote w:id="30">
    <w:p w14:paraId="59B734A8" w14:textId="075982F5" w:rsidR="00AF6702" w:rsidRPr="00CD0380"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t>
      </w:r>
      <w:r w:rsidRPr="00CD0380">
        <w:rPr>
          <w:rFonts w:ascii="Times New Roman" w:hAnsi="Times New Roman" w:cs="Times New Roman"/>
        </w:rPr>
        <w:t xml:space="preserve">In Maine, </w:t>
      </w:r>
      <w:r w:rsidR="00CD0380" w:rsidRPr="00CD0380">
        <w:rPr>
          <w:rFonts w:ascii="Times New Roman" w:hAnsi="Times New Roman" w:cs="Times New Roman" w:hint="eastAsia"/>
        </w:rPr>
        <w:t>t</w:t>
      </w:r>
      <w:r w:rsidR="00CD0380" w:rsidRPr="00CD0380">
        <w:rPr>
          <w:rFonts w:ascii="Times New Roman" w:hAnsi="Times New Roman" w:cs="Times New Roman"/>
        </w:rPr>
        <w:t xml:space="preserve">he Governor is responsible for </w:t>
      </w:r>
      <w:r w:rsidR="00CD0380" w:rsidRPr="00CD0380">
        <w:rPr>
          <w:rFonts w:ascii="Times New Roman" w:hAnsi="Times New Roman" w:cs="Times New Roman" w:hint="eastAsia"/>
        </w:rPr>
        <w:t>distributing</w:t>
      </w:r>
      <w:r w:rsidR="00CD0380" w:rsidRPr="00CD0380">
        <w:rPr>
          <w:rFonts w:ascii="Times New Roman" w:hAnsi="Times New Roman" w:cs="Times New Roman"/>
        </w:rPr>
        <w:t xml:space="preserve"> funds from the Stabilization Fund to provide for benefits as stipulated in Title 25, Chapter 195-A</w:t>
      </w:r>
      <w:r w:rsidRPr="00CD0380">
        <w:rPr>
          <w:rFonts w:ascii="Times New Roman" w:hAnsi="Times New Roman" w:cs="Times New Roman"/>
        </w:rPr>
        <w:t xml:space="preserve">, based on specific requests from officials and consultation with the State Budget Officer (5 M.R.S. § 1532). </w:t>
      </w:r>
    </w:p>
  </w:footnote>
  <w:footnote w:id="31">
    <w:p w14:paraId="646C0671" w14:textId="204D95B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Montana distinguishes itself from other states by granting the Governor a greater degree of autonomy in two key areas: 1) the authority to reduce expenditures and 2) the capacity to allocate funds from the budget stabilization fund </w:t>
      </w:r>
      <w:sdt>
        <w:sdtPr>
          <w:rPr>
            <w:rFonts w:ascii="Times New Roman" w:hAnsi="Times New Roman" w:cs="Times New Roman"/>
            <w:color w:val="000000"/>
          </w:rPr>
          <w:tag w:val="MENDELEY_CITATION_v3_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"/>
          <w:id w:val="1824006012"/>
          <w:placeholder>
            <w:docPart w:val="A8204E284AB740B88D3300B652FFDEDA"/>
          </w:placeholder>
        </w:sdtPr>
        <w:sdtContent>
          <w:r w:rsidR="00F520AD" w:rsidRPr="00F520AD">
            <w:rPr>
              <w:rFonts w:ascii="Times New Roman" w:hAnsi="Times New Roman" w:cs="Times New Roman"/>
              <w:color w:val="000000"/>
            </w:rPr>
            <w:t>(Carlson et al., 2018)</w:t>
          </w:r>
        </w:sdtContent>
      </w:sdt>
      <w:r w:rsidRPr="00466CD3">
        <w:rPr>
          <w:rFonts w:ascii="Times New Roman" w:hAnsi="Times New Roman" w:cs="Times New Roman"/>
        </w:rPr>
        <w:t xml:space="preserve">. However, the legislature can withdrawal from BSF balance, too </w:t>
      </w:r>
      <w:sdt>
        <w:sdtPr>
          <w:rPr>
            <w:rFonts w:ascii="Times New Roman" w:hAnsi="Times New Roman" w:cs="Times New Roman"/>
            <w:color w:val="000000"/>
          </w:rPr>
          <w:tag w:val="MENDELEY_CITATION_v3_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"/>
          <w:id w:val="1788001779"/>
          <w:placeholder>
            <w:docPart w:val="9AFC7A3B320640F48DD1DF9C7D3D5C1E"/>
          </w:placeholder>
        </w:sdtPr>
        <w:sdtContent>
          <w:r w:rsidR="00F520AD" w:rsidRPr="00F520AD">
            <w:rPr>
              <w:rFonts w:ascii="Times New Roman" w:hAnsi="Times New Roman" w:cs="Times New Roman"/>
              <w:color w:val="000000"/>
            </w:rPr>
            <w:t>(Carlson et al., 2018)</w:t>
          </w:r>
        </w:sdtContent>
      </w:sdt>
      <w:r w:rsidRPr="00466CD3">
        <w:rPr>
          <w:rFonts w:ascii="Times New Roman" w:hAnsi="Times New Roman" w:cs="Times New Roman"/>
        </w:rPr>
        <w:t>.</w:t>
      </w:r>
    </w:p>
  </w:footnote>
  <w:footnote w:id="32">
    <w:p w14:paraId="1F400F18"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Section 6 clarifies that balances in the "Surplus Revenue Fund" may be used to cover the costs of emergencies identified by the Governor. For such use, proper notification to the Joint Budget Oversight Committee or its successor is required (1990 N.J. Laws 44). </w:t>
      </w:r>
    </w:p>
  </w:footnote>
  <w:footnote w:id="33">
    <w:p w14:paraId="778FD0BA"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In North Dakota, the governor could order transfers from the budget stabilization fund to the general fund based on different scenarios involving general fund allotments made during the biennium (2017 N.D. Laws 394). </w:t>
      </w:r>
    </w:p>
  </w:footnote>
  <w:footnote w:id="34">
    <w:p w14:paraId="63475492" w14:textId="62DD3E32" w:rsidR="00AF6702" w:rsidRPr="00CD0380" w:rsidRDefault="00AF6702" w:rsidP="00AF6702">
      <w:pPr>
        <w:pStyle w:val="a4"/>
        <w:rPr>
          <w:rFonts w:ascii="Times New Roman" w:hAnsi="Times New Roman" w:cs="Times New Roman"/>
          <w:color w:val="C00000"/>
        </w:rPr>
      </w:pPr>
      <w:r w:rsidRPr="00466CD3">
        <w:rPr>
          <w:rStyle w:val="a5"/>
          <w:rFonts w:ascii="Times New Roman" w:hAnsi="Times New Roman" w:cs="Times New Roman"/>
        </w:rPr>
        <w:footnoteRef/>
      </w:r>
      <w:r w:rsidRPr="00466CD3">
        <w:rPr>
          <w:rFonts w:ascii="Times New Roman" w:hAnsi="Times New Roman" w:cs="Times New Roman"/>
        </w:rPr>
        <w:t xml:space="preserve"> Oklahoma’s Revenue Stabilization Fund (RSF)</w:t>
      </w:r>
      <w:r>
        <w:rPr>
          <w:rFonts w:ascii="Times New Roman" w:hAnsi="Times New Roman" w:cs="Times New Roman"/>
        </w:rPr>
        <w:t xml:space="preserve"> was </w:t>
      </w:r>
      <w:r w:rsidRPr="00466CD3">
        <w:rPr>
          <w:rFonts w:ascii="Times New Roman" w:hAnsi="Times New Roman" w:cs="Times New Roman"/>
        </w:rPr>
        <w:t>created in 2016</w:t>
      </w:r>
      <w:r>
        <w:rPr>
          <w:rFonts w:ascii="Times New Roman" w:hAnsi="Times New Roman" w:cs="Times New Roman"/>
        </w:rPr>
        <w:t xml:space="preserve"> and </w:t>
      </w:r>
      <w:r w:rsidRPr="00466CD3">
        <w:rPr>
          <w:rFonts w:ascii="Times New Roman" w:hAnsi="Times New Roman" w:cs="Times New Roman"/>
        </w:rPr>
        <w:t xml:space="preserve">both the executive and the legislature </w:t>
      </w:r>
      <w:r>
        <w:rPr>
          <w:rFonts w:ascii="Times New Roman" w:hAnsi="Times New Roman" w:cs="Times New Roman"/>
        </w:rPr>
        <w:t xml:space="preserve">can </w:t>
      </w:r>
      <w:r w:rsidRPr="00466CD3">
        <w:rPr>
          <w:rFonts w:ascii="Times New Roman" w:hAnsi="Times New Roman" w:cs="Times New Roman"/>
        </w:rPr>
        <w:t xml:space="preserve">withdraw money from the RSF: </w:t>
      </w:r>
      <w:r w:rsidR="00CD0380" w:rsidRPr="00CD0380">
        <w:rPr>
          <w:rFonts w:ascii="Times New Roman" w:hAnsi="Times New Roman" w:cs="Times New Roman"/>
        </w:rPr>
        <w:t>The Director of the Office of Management and Enterprise Services is authorized to withdraw up to one-fourth (1/4) of the beginning-of-year balance from the Revenue Stabilization Fund, subject to the limitation of the declared revenue failure amount under Section 34.49 of Title 62 of the Oklahoma Statutes. Similarly, under Section 34.49 of Title 62 of the Oklahoma Statutes, the Legislature may appropriate up to one-fourth (1/4) of the beginning-of-year balance from the Revenue Stabilization Fund, provided that it does not exceed the declared revenue failure amount.</w:t>
      </w:r>
    </w:p>
  </w:footnote>
  <w:footnote w:id="35">
    <w:p w14:paraId="42845F8C" w14:textId="504D0812" w:rsidR="00AF6702" w:rsidRPr="002278DC" w:rsidRDefault="00AF6702" w:rsidP="002A695B">
      <w:pPr>
        <w:pStyle w:val="a4"/>
        <w:contextualSpacing/>
        <w:rPr>
          <w:rFonts w:ascii="Times New Roman" w:hAnsi="Times New Roman" w:cs="Times New Roman"/>
        </w:rPr>
      </w:pPr>
      <w:r w:rsidRPr="002278DC">
        <w:rPr>
          <w:rStyle w:val="a5"/>
          <w:rFonts w:ascii="Times New Roman" w:hAnsi="Times New Roman" w:cs="Times New Roman"/>
        </w:rPr>
        <w:footnoteRef/>
      </w:r>
      <w:r w:rsidRPr="002278DC">
        <w:rPr>
          <w:rFonts w:ascii="Times New Roman" w:hAnsi="Times New Roman" w:cs="Times New Roman"/>
        </w:rPr>
        <w:t xml:space="preserve"> The Arizona Economic Estimates Commission (EEC) calculates the amount of deposits or withdrawals of the Budget Stabilization Fund (BSF), by using a statutory formula; however, the EEC calculations must be authorized by legislative actions, according to the </w:t>
      </w:r>
      <w:r w:rsidR="003D158E" w:rsidRPr="003D158E">
        <w:rPr>
          <w:rFonts w:ascii="Times New Roman" w:hAnsi="Times New Roman" w:cs="Times New Roman"/>
        </w:rPr>
        <w:t>Annual Comprehensive Financial Report</w:t>
      </w:r>
      <w:sdt>
        <w:sdtPr>
          <w:rPr>
            <w:rFonts w:ascii="Times New Roman" w:hAnsi="Times New Roman" w:cs="Times New Roman"/>
            <w:color w:val="000000"/>
          </w:rPr>
          <w:tag w:val="MENDELEY_CITATION_v3_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"/>
          <w:id w:val="968088770"/>
          <w:placeholder>
            <w:docPart w:val="04BC0EAE82F94520B155B617BE4DC9B4"/>
          </w:placeholder>
        </w:sdtPr>
        <w:sdtContent>
          <w:r w:rsidR="00F520AD" w:rsidRPr="00F520AD">
            <w:rPr>
              <w:rFonts w:ascii="Times New Roman" w:hAnsi="Times New Roman" w:cs="Times New Roman"/>
              <w:color w:val="000000"/>
            </w:rPr>
            <w:t>(2020, p. 81).</w:t>
          </w:r>
        </w:sdtContent>
      </w:sdt>
      <w:r w:rsidRPr="002278DC">
        <w:rPr>
          <w:rFonts w:ascii="Times New Roman" w:hAnsi="Times New Roman" w:cs="Times New Roman"/>
        </w:rPr>
        <w:t xml:space="preserve"> </w:t>
      </w:r>
    </w:p>
  </w:footnote>
  <w:footnote w:id="36">
    <w:p w14:paraId="6B525706" w14:textId="61E53F70" w:rsidR="00AF6702" w:rsidRPr="002A695B" w:rsidRDefault="00AF6702" w:rsidP="002A695B">
      <w:pPr>
        <w:pStyle w:val="a4"/>
        <w:contextualSpacing/>
        <w:rPr>
          <w:rFonts w:ascii="Times New Roman" w:hAnsi="Times New Roman" w:cs="Times New Roman"/>
          <w:color w:val="C00000"/>
        </w:rPr>
      </w:pPr>
      <w:r w:rsidRPr="00466CD3">
        <w:rPr>
          <w:rStyle w:val="a5"/>
          <w:rFonts w:ascii="Times New Roman" w:hAnsi="Times New Roman" w:cs="Times New Roman"/>
        </w:rPr>
        <w:footnoteRef/>
      </w:r>
      <w:r w:rsidRPr="00466CD3">
        <w:rPr>
          <w:rFonts w:ascii="Times New Roman" w:hAnsi="Times New Roman" w:cs="Times New Roman"/>
        </w:rPr>
        <w:t xml:space="preserve"> </w:t>
      </w:r>
      <w:r w:rsidR="002A695B" w:rsidRPr="002A695B">
        <w:rPr>
          <w:rFonts w:ascii="Times New Roman" w:hAnsi="Times New Roman" w:cs="Times New Roman"/>
        </w:rPr>
        <w:t>As mandated by Laws 2013, LB200, § 1, the State Treasurer is obligated to transfer a total maximum amount of $43,015,459 from the Cash Reserve Fund to the Nebraska Capital Construction Fund within the period spanning from July 1, 2013, to June 30, 2017.</w:t>
      </w:r>
    </w:p>
  </w:footnote>
  <w:footnote w:id="37">
    <w:p w14:paraId="50E160DD" w14:textId="5F3A36AE"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Hawaii also relies on General Fund to fund its Emergency and Budget Reserve (EBR) as </w:t>
      </w:r>
      <w:r w:rsidR="00FB2BD8">
        <w:rPr>
          <w:rFonts w:ascii="Times New Roman" w:hAnsi="Times New Roman" w:cs="Times New Roman" w:hint="eastAsia"/>
        </w:rPr>
        <w:t>t</w:t>
      </w:r>
      <w:r w:rsidR="00FB2BD8" w:rsidRPr="00FB2BD8">
        <w:rPr>
          <w:rFonts w:ascii="Times New Roman" w:hAnsi="Times New Roman" w:cs="Times New Roman"/>
        </w:rPr>
        <w:t>he state is mandated to deposit five percent of the general fund balance at the conclusion of each fiscal year, provided that state general fund revenues for two consecutive fiscal years surpass the revenue of the preceding fiscal year by five percent</w:t>
      </w:r>
      <w:r w:rsidR="00FB2BD8">
        <w:rPr>
          <w:rFonts w:ascii="Times New Roman" w:hAnsi="Times New Roman" w:cs="Times New Roman" w:hint="eastAsia"/>
        </w:rPr>
        <w:t xml:space="preserve"> </w:t>
      </w:r>
      <w:r w:rsidRPr="00466CD3">
        <w:rPr>
          <w:rFonts w:ascii="Times New Roman" w:hAnsi="Times New Roman" w:cs="Times New Roman"/>
        </w:rPr>
        <w:t>(HRS § 328L-3).</w:t>
      </w:r>
    </w:p>
  </w:footnote>
  <w:footnote w:id="38">
    <w:p w14:paraId="714DD679" w14:textId="3B833D03"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t>
      </w:r>
      <w:r w:rsidR="009509EA" w:rsidRPr="009509EA">
        <w:rPr>
          <w:rFonts w:ascii="Times New Roman" w:hAnsi="Times New Roman" w:cs="Times New Roman"/>
        </w:rPr>
        <w:t>West Virginia's Revenue Shortfall Reserve Fund-Part B is comprised of funds transferred from the Tobacco Settlement Medical Trust Fund and repayments made toward the loan from the West Virginia Tobacco Settlement Medical Trust Fund to the Physician’s Mutual Insurance Company. Conversely, the state's Revenue Shortfall Reserve Fund-Part A is funded through surplus revenue</w:t>
      </w:r>
      <w:r w:rsidR="009509EA">
        <w:rPr>
          <w:rFonts w:ascii="Times New Roman" w:hAnsi="Times New Roman" w:cs="Times New Roman" w:hint="eastAsia"/>
        </w:rPr>
        <w:t xml:space="preserve"> </w:t>
      </w:r>
      <w:r w:rsidRPr="00466CD3">
        <w:rPr>
          <w:rFonts w:ascii="Times New Roman" w:hAnsi="Times New Roman" w:cs="Times New Roman"/>
        </w:rPr>
        <w:t>(W.Va. Code §11B-2-20).</w:t>
      </w:r>
    </w:p>
  </w:footnote>
  <w:footnote w:id="39">
    <w:p w14:paraId="5229D824" w14:textId="6A33BD16"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009509EA">
        <w:rPr>
          <w:rFonts w:ascii="Times New Roman" w:hAnsi="Times New Roman" w:cs="Times New Roman" w:hint="eastAsia"/>
        </w:rPr>
        <w:t xml:space="preserve"> </w:t>
      </w:r>
      <w:r w:rsidR="009509EA" w:rsidRPr="009509EA">
        <w:rPr>
          <w:rFonts w:ascii="Times New Roman" w:hAnsi="Times New Roman" w:cs="Times New Roman"/>
        </w:rPr>
        <w:t xml:space="preserve">In Louisiana, revenues generated from the production of or exploration for minerals that exceed $750 million are required to be transferred to the </w:t>
      </w:r>
      <w:r w:rsidR="00000A0E">
        <w:rPr>
          <w:rFonts w:ascii="Times New Roman" w:hAnsi="Times New Roman" w:cs="Times New Roman" w:hint="eastAsia"/>
        </w:rPr>
        <w:t>BSF</w:t>
      </w:r>
      <w:r w:rsidR="009509EA">
        <w:rPr>
          <w:rFonts w:ascii="Times New Roman" w:hAnsi="Times New Roman" w:cs="Times New Roman" w:hint="eastAsia"/>
        </w:rPr>
        <w:t xml:space="preserve"> </w:t>
      </w:r>
      <w:r w:rsidRPr="00466CD3">
        <w:rPr>
          <w:rFonts w:ascii="Times New Roman" w:hAnsi="Times New Roman" w:cs="Times New Roman"/>
        </w:rPr>
        <w:t xml:space="preserve">(La. Const. Art. VII, § 10.3). The amount of deposit averaged from 2000 to 2019 is $434 million, approximately 36.7 percent of revenues from the production of minerals. Thus, Louisiana is classified in the second category, “deposit 25 – 40 % of revenue surplus.” </w:t>
      </w:r>
    </w:p>
  </w:footnote>
  <w:footnote w:id="40">
    <w:p w14:paraId="7B918259" w14:textId="097BF77C" w:rsidR="00000A0E"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t>
      </w:r>
      <w:r w:rsidR="009509EA" w:rsidRPr="009509EA">
        <w:rPr>
          <w:rFonts w:ascii="Times New Roman" w:hAnsi="Times New Roman" w:cs="Times New Roman"/>
        </w:rPr>
        <w:t xml:space="preserve">In North Dakota, any general fund surplus exceeding $65 million must be </w:t>
      </w:r>
      <w:r w:rsidR="009509EA">
        <w:rPr>
          <w:rFonts w:ascii="Times New Roman" w:hAnsi="Times New Roman" w:cs="Times New Roman" w:hint="eastAsia"/>
        </w:rPr>
        <w:t>allocated</w:t>
      </w:r>
      <w:r w:rsidR="009509EA" w:rsidRPr="009509EA">
        <w:rPr>
          <w:rFonts w:ascii="Times New Roman" w:hAnsi="Times New Roman" w:cs="Times New Roman"/>
        </w:rPr>
        <w:t xml:space="preserve"> to the </w:t>
      </w:r>
      <w:r w:rsidR="00000A0E">
        <w:rPr>
          <w:rFonts w:ascii="Times New Roman" w:hAnsi="Times New Roman" w:cs="Times New Roman" w:hint="eastAsia"/>
        </w:rPr>
        <w:t>BSF</w:t>
      </w:r>
      <w:r w:rsidR="009509EA">
        <w:rPr>
          <w:rFonts w:ascii="Times New Roman" w:hAnsi="Times New Roman" w:cs="Times New Roman" w:hint="eastAsia"/>
        </w:rPr>
        <w:t xml:space="preserve"> </w:t>
      </w:r>
      <w:r w:rsidRPr="00466CD3">
        <w:rPr>
          <w:rFonts w:ascii="Times New Roman" w:hAnsi="Times New Roman" w:cs="Times New Roman"/>
        </w:rPr>
        <w:t>(N.D. Cent. Code, § 54-27.2-02). The amount of deposit averaged from 2000 to 2019 is $234 million, about 73% of revenue surplus. Thus, North Dakota is classified in the third category, “deposit 50 – 75 % of revenue surplus.”</w:t>
      </w:r>
    </w:p>
  </w:footnote>
  <w:footnote w:id="41">
    <w:p w14:paraId="375C8FC4" w14:textId="775A0E00"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With the November 2019 forecast for the 2020-21 biennium, $284 million was allocated to the Budget Reserve Account, according to the Minnesota’s </w:t>
      </w:r>
      <w:r w:rsidR="00267BBA" w:rsidRPr="00267BBA">
        <w:rPr>
          <w:rFonts w:ascii="Times New Roman" w:hAnsi="Times New Roman" w:cs="Times New Roman"/>
        </w:rPr>
        <w:t xml:space="preserve">Annual Comprehensive Financial Report </w:t>
      </w:r>
      <w:r w:rsidRPr="00466CD3">
        <w:rPr>
          <w:rFonts w:ascii="Times New Roman" w:hAnsi="Times New Roman" w:cs="Times New Roman"/>
        </w:rPr>
        <w:t>for the Year Ended June 30, 2020 (p. 23). $284 million accounts for about 1 % of General Fund Revenue because General Fund Revenue and General Fund Spending of the enacted budget for fiscal year 2020 were $23.518 billion and $23.950 billion, respectively.</w:t>
      </w:r>
    </w:p>
  </w:footnote>
  <w:footnote w:id="42">
    <w:p w14:paraId="75041EB4" w14:textId="605011B0" w:rsidR="00AF6702" w:rsidRPr="00E20DB0" w:rsidRDefault="00AF6702" w:rsidP="00AF6702">
      <w:pPr>
        <w:pStyle w:val="a4"/>
        <w:rPr>
          <w:rFonts w:ascii="Times New Roman" w:hAnsi="Times New Roman" w:cs="Times New Roman"/>
        </w:rPr>
      </w:pPr>
      <w:r w:rsidRPr="00E20DB0">
        <w:rPr>
          <w:rStyle w:val="a5"/>
          <w:rFonts w:ascii="Times New Roman" w:hAnsi="Times New Roman" w:cs="Times New Roman"/>
        </w:rPr>
        <w:footnoteRef/>
      </w:r>
      <w:r w:rsidRPr="00E20DB0">
        <w:rPr>
          <w:rFonts w:ascii="Times New Roman" w:hAnsi="Times New Roman" w:cs="Times New Roman"/>
        </w:rPr>
        <w:t xml:space="preserve"> </w:t>
      </w:r>
      <w:r>
        <w:rPr>
          <w:rFonts w:ascii="Times New Roman" w:hAnsi="Times New Roman" w:cs="Times New Roman"/>
        </w:rPr>
        <w:t xml:space="preserve">Fiscal stress is </w:t>
      </w:r>
      <w:r w:rsidRPr="00E20DB0">
        <w:rPr>
          <w:rFonts w:ascii="Times New Roman" w:hAnsi="Times New Roman" w:cs="Times New Roman"/>
        </w:rPr>
        <w:t xml:space="preserve">measured by </w:t>
      </w:r>
      <w:r w:rsidR="000F523F">
        <w:rPr>
          <w:rFonts w:ascii="Times New Roman" w:hAnsi="Times New Roman" w:cs="Times New Roman"/>
        </w:rPr>
        <w:t>“</w:t>
      </w:r>
      <w:r w:rsidRPr="00E20DB0">
        <w:rPr>
          <w:rFonts w:ascii="Times New Roman" w:hAnsi="Times New Roman" w:cs="Times New Roman"/>
        </w:rPr>
        <w:t>the sum of tax increases and expenditure shortfalls as a percentage of general expenditures</w:t>
      </w:r>
      <w:r w:rsidR="000F523F">
        <w:rPr>
          <w:rFonts w:ascii="Times New Roman" w:hAnsi="Times New Roman" w:cs="Times New Roman"/>
        </w:rPr>
        <w:t>”</w:t>
      </w:r>
      <w:r>
        <w:rPr>
          <w:rFonts w:ascii="Times New Roman" w:hAnsi="Times New Roman" w:cs="Times New Roman"/>
        </w:rPr>
        <w:t xml:space="preserve"> in the study of </w:t>
      </w:r>
      <w:r w:rsidRPr="00E20DB0">
        <w:rPr>
          <w:rFonts w:ascii="Times New Roman" w:hAnsi="Times New Roman" w:cs="Times New Roman"/>
        </w:rPr>
        <w:t>Sobel and Holcombe (1996)</w:t>
      </w:r>
      <w:r>
        <w:rPr>
          <w:rFonts w:ascii="Times New Roman" w:hAnsi="Times New Roman" w:cs="Times New Roman"/>
        </w:rPr>
        <w:t xml:space="preserve">. </w:t>
      </w:r>
    </w:p>
  </w:footnote>
  <w:footnote w:id="43">
    <w:p w14:paraId="3A1ACAB0"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In consumer choice theory, the substitution effect refers to the effect of a price change of a good on consumption (or the amount of the good demanded by a consumer) (Mankiw, 2018).</w:t>
      </w:r>
    </w:p>
  </w:footnote>
  <w:footnote w:id="44">
    <w:p w14:paraId="30DE9FF9" w14:textId="0F7F7DB8"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00826E9A" w:rsidRPr="00826E9A">
        <w:rPr>
          <w:rFonts w:ascii="Times New Roman" w:hAnsi="Times New Roman" w:cs="Times New Roman"/>
        </w:rPr>
        <w:t>Theoretically, a supplementation effect suggests a positive relationship between BSF and GFB, emphasizing BSF's role in boosting total savings. Conversely, a substitution effect posits that GFB is replaced by BSF, leading to no increase in total savings. Both effects focus on BSF's impact on total savings, treating it as a predictor of balances. However, these effects are not utilized in hypotheses 1-4, which treat GFB as an independent or control variable for predicting BSF levels</w:t>
      </w:r>
      <w:r w:rsidRPr="00466CD3">
        <w:rPr>
          <w:rFonts w:ascii="Times New Roman" w:hAnsi="Times New Roman" w:cs="Times New Roman"/>
        </w:rPr>
        <w:t>.</w:t>
      </w:r>
    </w:p>
  </w:footnote>
  <w:footnote w:id="45">
    <w:p w14:paraId="3CE7EC63" w14:textId="4915C689" w:rsidR="00873BC9" w:rsidRPr="00873BC9" w:rsidRDefault="00873BC9">
      <w:pPr>
        <w:pStyle w:val="a4"/>
        <w:rPr>
          <w:rFonts w:ascii="Times New Roman" w:hAnsi="Times New Roman" w:cs="Times New Roman"/>
        </w:rPr>
      </w:pPr>
      <w:r w:rsidRPr="00873BC9">
        <w:rPr>
          <w:rStyle w:val="a5"/>
          <w:rFonts w:ascii="Times New Roman" w:hAnsi="Times New Roman" w:cs="Times New Roman"/>
        </w:rPr>
        <w:footnoteRef/>
      </w:r>
      <w:r w:rsidRPr="00873BC9">
        <w:rPr>
          <w:rFonts w:ascii="Times New Roman" w:hAnsi="Times New Roman" w:cs="Times New Roman"/>
        </w:rPr>
        <w:t xml:space="preserve"> U.S. Bureau of Economic Analysis. (2024). Gross Domestic Product by State. Retrieved from </w:t>
      </w:r>
      <w:hyperlink r:id="rId3" w:history="1">
        <w:r w:rsidRPr="00873BC9">
          <w:rPr>
            <w:rStyle w:val="aa"/>
            <w:rFonts w:ascii="Times New Roman" w:hAnsi="Times New Roman" w:cs="Times New Roman"/>
          </w:rPr>
          <w:t>https://www.bea.gov/data/gdp/gdp-state</w:t>
        </w:r>
      </w:hyperlink>
      <w:r w:rsidRPr="00873BC9">
        <w:rPr>
          <w:rFonts w:ascii="Times New Roman" w:hAnsi="Times New Roman" w:cs="Times New Roman"/>
        </w:rPr>
        <w:t xml:space="preserve">. </w:t>
      </w:r>
    </w:p>
  </w:footnote>
  <w:footnote w:id="46">
    <w:p w14:paraId="67ABEBB8"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Pr>
          <w:rFonts w:ascii="Times New Roman" w:hAnsi="Times New Roman" w:cs="Times New Roman"/>
        </w:rPr>
        <w:t xml:space="preserve"> </w:t>
      </w:r>
      <w:r w:rsidRPr="00466CD3">
        <w:rPr>
          <w:rFonts w:ascii="Times New Roman" w:hAnsi="Times New Roman" w:cs="Times New Roman"/>
        </w:rPr>
        <w:t xml:space="preserve">Oklahoma Policy Institute. "Rainy Day Fund." Accessed on January 19, 2024. Retrieved from </w:t>
      </w:r>
      <w:hyperlink r:id="rId4" w:history="1">
        <w:r w:rsidRPr="00C15D73">
          <w:rPr>
            <w:rStyle w:val="aa"/>
            <w:rFonts w:ascii="Times New Roman" w:hAnsi="Times New Roman" w:cs="Times New Roman"/>
          </w:rPr>
          <w:t>https://okpolicy.org/resources/online-budget-guide/budget-process/essentials-of-public-budgeting/rainy-day-fund/</w:t>
        </w:r>
      </w:hyperlink>
      <w:r>
        <w:rPr>
          <w:rFonts w:ascii="Times New Roman" w:hAnsi="Times New Roman" w:cs="Times New Roman"/>
        </w:rPr>
        <w:t xml:space="preserve">. </w:t>
      </w:r>
    </w:p>
  </w:footnote>
  <w:footnote w:id="47">
    <w:p w14:paraId="497EF0FF" w14:textId="77777777" w:rsidR="00AF6702" w:rsidRPr="00466CD3" w:rsidRDefault="00AF6702" w:rsidP="00AF6702">
      <w:pPr>
        <w:tabs>
          <w:tab w:val="left" w:pos="2468"/>
        </w:tabs>
        <w:contextualSpacing/>
        <w:rPr>
          <w:sz w:val="20"/>
          <w:szCs w:val="20"/>
        </w:rPr>
      </w:pPr>
      <w:r w:rsidRPr="00466CD3">
        <w:rPr>
          <w:rStyle w:val="a5"/>
          <w:sz w:val="20"/>
          <w:szCs w:val="20"/>
        </w:rPr>
        <w:footnoteRef/>
      </w:r>
      <w:r w:rsidRPr="00466CD3">
        <w:rPr>
          <w:sz w:val="20"/>
          <w:szCs w:val="20"/>
        </w:rPr>
        <w:t xml:space="preserve"> 2017 Ct. ALS 2, 2017 Ct. P.A. 2, 2017 Ct. SB 1502 (October 31, 2017). Public Act 18-49 amended Subsection (a) by adding a reference to the affected business entity tax imposed under Section 12-699. This amendment was effective from May 31, 2018. Furthermore, Public Act 18-81 amended Subsection (a) by designating the existing provision regarding the transfer of estimated and final payments of personal income tax as Subdivision (1), making amendments to add an annual adjustment of the threshold amount, and adding Subdivision (2) that relates to the amendment of the threshold amount by the General Assembly. This amendment was effective from May 15, 2018, corresponding to the fiscal year 2018. </w:t>
      </w:r>
    </w:p>
  </w:footnote>
  <w:footnote w:id="48">
    <w:p w14:paraId="25F049D8" w14:textId="052226D9"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Connecticut. </w:t>
      </w:r>
      <w:r w:rsidR="00152723">
        <w:rPr>
          <w:rFonts w:ascii="Times New Roman" w:hAnsi="Times New Roman" w:cs="Times New Roman"/>
        </w:rPr>
        <w:t xml:space="preserve">Annual </w:t>
      </w:r>
      <w:r w:rsidR="00152723" w:rsidRPr="00874EEE">
        <w:rPr>
          <w:rFonts w:ascii="Times New Roman" w:hAnsi="Times New Roman" w:cs="Times New Roman"/>
        </w:rPr>
        <w:t>Comprehensive Financial Report</w:t>
      </w:r>
      <w:r w:rsidR="00152723">
        <w:rPr>
          <w:rFonts w:ascii="Times New Roman" w:hAnsi="Times New Roman" w:cs="Times New Roman" w:hint="eastAsia"/>
        </w:rPr>
        <w:t xml:space="preserve"> </w:t>
      </w:r>
      <w:r w:rsidRPr="00466CD3">
        <w:rPr>
          <w:rFonts w:ascii="Times New Roman" w:hAnsi="Times New Roman" w:cs="Times New Roman"/>
        </w:rPr>
        <w:t xml:space="preserve">for the Fiscal Year Ended June 30, 2018. </w:t>
      </w:r>
    </w:p>
  </w:footnote>
  <w:footnote w:id="49">
    <w:p w14:paraId="0E4DA9D4" w14:textId="645A21F2"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Arizona. </w:t>
      </w:r>
      <w:r w:rsidR="00C848F8">
        <w:rPr>
          <w:rFonts w:ascii="Times New Roman" w:hAnsi="Times New Roman" w:cs="Times New Roman"/>
        </w:rPr>
        <w:t xml:space="preserve">Annual </w:t>
      </w:r>
      <w:r w:rsidR="00C848F8" w:rsidRPr="00874EEE">
        <w:rPr>
          <w:rFonts w:ascii="Times New Roman" w:hAnsi="Times New Roman" w:cs="Times New Roman"/>
        </w:rPr>
        <w:t>Comprehensive Financial Report</w:t>
      </w:r>
      <w:r w:rsidR="00C848F8">
        <w:rPr>
          <w:rFonts w:ascii="Times New Roman" w:hAnsi="Times New Roman" w:cs="Times New Roman" w:hint="eastAsia"/>
        </w:rPr>
        <w:t xml:space="preserve"> </w:t>
      </w:r>
      <w:r w:rsidRPr="00466CD3">
        <w:rPr>
          <w:rFonts w:ascii="Times New Roman" w:hAnsi="Times New Roman" w:cs="Times New Roman"/>
        </w:rPr>
        <w:t xml:space="preserve">for the Fiscal Year Ended June 30, 2018. </w:t>
      </w:r>
    </w:p>
  </w:footnote>
  <w:footnote w:id="50">
    <w:p w14:paraId="5478F2FF"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1990 Ariz. ALS 6, 1990 Ariz. Ch. 6, 1990 Ariz. HB 2011 (July 5, 1990).</w:t>
      </w:r>
    </w:p>
  </w:footnote>
  <w:footnote w:id="51">
    <w:p w14:paraId="3F0EF754" w14:textId="77777777"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2000 Ariz. ALS 193, 2000 Ariz. Sess. Laws 193, 2000 Ariz. Ch. 193, 2000 Ariz. SB 1426 (April 7, 2000).</w:t>
      </w:r>
    </w:p>
  </w:footnote>
  <w:footnote w:id="52">
    <w:p w14:paraId="3C33316D" w14:textId="776DA958"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Arizona. </w:t>
      </w:r>
      <w:r w:rsidR="00C848F8">
        <w:rPr>
          <w:rFonts w:ascii="Times New Roman" w:hAnsi="Times New Roman" w:cs="Times New Roman"/>
        </w:rPr>
        <w:t xml:space="preserve">Annual </w:t>
      </w:r>
      <w:r w:rsidR="00C848F8" w:rsidRPr="00874EEE">
        <w:rPr>
          <w:rFonts w:ascii="Times New Roman" w:hAnsi="Times New Roman" w:cs="Times New Roman"/>
        </w:rPr>
        <w:t>Comprehensive Financial Report</w:t>
      </w:r>
      <w:r w:rsidR="00C848F8" w:rsidRPr="00466CD3">
        <w:rPr>
          <w:rFonts w:ascii="Times New Roman" w:hAnsi="Times New Roman" w:cs="Times New Roman"/>
        </w:rPr>
        <w:t xml:space="preserve"> </w:t>
      </w:r>
      <w:r w:rsidRPr="00466CD3">
        <w:rPr>
          <w:rFonts w:ascii="Times New Roman" w:hAnsi="Times New Roman" w:cs="Times New Roman"/>
        </w:rPr>
        <w:t xml:space="preserve">for the Fiscal Year Ended June 30, 2015 (p. 252). </w:t>
      </w:r>
    </w:p>
  </w:footnote>
  <w:footnote w:id="53">
    <w:p w14:paraId="12FBE942" w14:textId="7AB806BC"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Arizona. </w:t>
      </w:r>
      <w:r w:rsidR="00C848F8">
        <w:rPr>
          <w:rFonts w:ascii="Times New Roman" w:hAnsi="Times New Roman" w:cs="Times New Roman"/>
        </w:rPr>
        <w:t xml:space="preserve">Annual </w:t>
      </w:r>
      <w:r w:rsidR="00C848F8" w:rsidRPr="00874EEE">
        <w:rPr>
          <w:rFonts w:ascii="Times New Roman" w:hAnsi="Times New Roman" w:cs="Times New Roman"/>
        </w:rPr>
        <w:t>Comprehensive Financial Report</w:t>
      </w:r>
      <w:r w:rsidR="00C848F8" w:rsidRPr="00466CD3">
        <w:rPr>
          <w:rFonts w:ascii="Times New Roman" w:hAnsi="Times New Roman" w:cs="Times New Roman"/>
        </w:rPr>
        <w:t xml:space="preserve"> </w:t>
      </w:r>
      <w:r w:rsidRPr="00466CD3">
        <w:rPr>
          <w:rFonts w:ascii="Times New Roman" w:hAnsi="Times New Roman" w:cs="Times New Roman"/>
        </w:rPr>
        <w:t xml:space="preserve">for the Fiscal Year Ended June 30, 2017 (p. 252). </w:t>
      </w:r>
    </w:p>
  </w:footnote>
  <w:footnote w:id="54">
    <w:p w14:paraId="65304777" w14:textId="6A758DD7"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Arizona. </w:t>
      </w:r>
      <w:r w:rsidR="00C848F8">
        <w:rPr>
          <w:rFonts w:ascii="Times New Roman" w:hAnsi="Times New Roman" w:cs="Times New Roman"/>
        </w:rPr>
        <w:t xml:space="preserve">Annual </w:t>
      </w:r>
      <w:r w:rsidR="00C848F8" w:rsidRPr="00874EEE">
        <w:rPr>
          <w:rFonts w:ascii="Times New Roman" w:hAnsi="Times New Roman" w:cs="Times New Roman"/>
        </w:rPr>
        <w:t>Comprehensive Financial Report</w:t>
      </w:r>
      <w:r w:rsidR="00C848F8" w:rsidRPr="00466CD3">
        <w:rPr>
          <w:rFonts w:ascii="Times New Roman" w:hAnsi="Times New Roman" w:cs="Times New Roman"/>
        </w:rPr>
        <w:t xml:space="preserve"> </w:t>
      </w:r>
      <w:r w:rsidRPr="00466CD3">
        <w:rPr>
          <w:rFonts w:ascii="Times New Roman" w:hAnsi="Times New Roman" w:cs="Times New Roman"/>
        </w:rPr>
        <w:t xml:space="preserve">for the Fiscal Year Ended June 30, 2018 (p. 266). </w:t>
      </w:r>
    </w:p>
  </w:footnote>
  <w:footnote w:id="55">
    <w:p w14:paraId="08328CCE" w14:textId="02C37483"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Arizona Department of Revenue. Economic Estimates Commission Fiscal Year 15/16 Calculations for Budget Stabilization Funds.</w:t>
      </w:r>
      <w:r w:rsidR="00286F9B">
        <w:rPr>
          <w:rFonts w:ascii="Times New Roman" w:hAnsi="Times New Roman" w:cs="Times New Roman" w:hint="eastAsia"/>
        </w:rPr>
        <w:t xml:space="preserve"> R</w:t>
      </w:r>
      <w:r w:rsidR="00286F9B" w:rsidRPr="00286F9B">
        <w:rPr>
          <w:rFonts w:ascii="Times New Roman" w:hAnsi="Times New Roman" w:cs="Times New Roman"/>
        </w:rPr>
        <w:t>etrieved from</w:t>
      </w:r>
      <w:r w:rsidRPr="00466CD3">
        <w:rPr>
          <w:rFonts w:ascii="Times New Roman" w:hAnsi="Times New Roman" w:cs="Times New Roman"/>
        </w:rPr>
        <w:t xml:space="preserve"> </w:t>
      </w:r>
      <w:hyperlink r:id="rId5" w:history="1">
        <w:r w:rsidRPr="00466CD3">
          <w:rPr>
            <w:rStyle w:val="aa"/>
            <w:rFonts w:ascii="Times New Roman" w:hAnsi="Times New Roman" w:cs="Times New Roman"/>
          </w:rPr>
          <w:t>https://azdor.gov/sites/default/files/2023-03/REPORTS_ESTIMATES_2016_bsf-fy2015-16.pdf</w:t>
        </w:r>
      </w:hyperlink>
      <w:r w:rsidRPr="00466CD3">
        <w:rPr>
          <w:rFonts w:ascii="Times New Roman" w:hAnsi="Times New Roman" w:cs="Times New Roman"/>
        </w:rPr>
        <w:t xml:space="preserve">. </w:t>
      </w:r>
    </w:p>
  </w:footnote>
  <w:footnote w:id="56">
    <w:p w14:paraId="165075E2" w14:textId="10D018DD"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Arizona Department of Revenue. Economic Estimates Commission Fiscal Year 16/17 Calculations for Budget Stabilization Funds. </w:t>
      </w:r>
      <w:r w:rsidR="00286F9B">
        <w:rPr>
          <w:rFonts w:ascii="Times New Roman" w:hAnsi="Times New Roman" w:cs="Times New Roman" w:hint="eastAsia"/>
        </w:rPr>
        <w:t>R</w:t>
      </w:r>
      <w:r w:rsidR="00286F9B" w:rsidRPr="00286F9B">
        <w:rPr>
          <w:rFonts w:ascii="Times New Roman" w:hAnsi="Times New Roman" w:cs="Times New Roman"/>
        </w:rPr>
        <w:t>etrieved from</w:t>
      </w:r>
      <w:r w:rsidR="00286F9B" w:rsidRPr="00466CD3">
        <w:rPr>
          <w:rFonts w:ascii="Times New Roman" w:hAnsi="Times New Roman" w:cs="Times New Roman"/>
        </w:rPr>
        <w:t xml:space="preserve"> </w:t>
      </w:r>
      <w:hyperlink r:id="rId6" w:history="1">
        <w:r w:rsidRPr="00466CD3">
          <w:rPr>
            <w:rStyle w:val="aa"/>
            <w:rFonts w:ascii="Times New Roman" w:hAnsi="Times New Roman" w:cs="Times New Roman"/>
          </w:rPr>
          <w:t>https://azdor.gov/sites/default/files/2023-03/REPORTS_ESTIMATES_2017_bsf-fy2016-17.pdf</w:t>
        </w:r>
      </w:hyperlink>
      <w:r w:rsidRPr="00466CD3">
        <w:rPr>
          <w:rFonts w:ascii="Times New Roman" w:hAnsi="Times New Roman" w:cs="Times New Roman"/>
        </w:rPr>
        <w:t xml:space="preserve">. </w:t>
      </w:r>
    </w:p>
  </w:footnote>
  <w:footnote w:id="57">
    <w:p w14:paraId="27C717AD" w14:textId="1A568C3C"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Va. Const. art. X, § 8 The amendment ratified November 3, 1992 and effective January 1, 1993—Added the second, third, and fourth paragraphs. </w:t>
      </w:r>
      <w:r w:rsidR="00286F9B">
        <w:rPr>
          <w:rFonts w:ascii="Times New Roman" w:hAnsi="Times New Roman" w:cs="Times New Roman" w:hint="eastAsia"/>
        </w:rPr>
        <w:t>R</w:t>
      </w:r>
      <w:r w:rsidR="00286F9B" w:rsidRPr="00286F9B">
        <w:rPr>
          <w:rFonts w:ascii="Times New Roman" w:hAnsi="Times New Roman" w:cs="Times New Roman"/>
        </w:rPr>
        <w:t>etrieved from</w:t>
      </w:r>
      <w:r w:rsidR="00286F9B" w:rsidRPr="00466CD3">
        <w:rPr>
          <w:rFonts w:ascii="Times New Roman" w:hAnsi="Times New Roman" w:cs="Times New Roman"/>
        </w:rPr>
        <w:t xml:space="preserve"> </w:t>
      </w:r>
      <w:hyperlink r:id="rId7" w:history="1">
        <w:r w:rsidRPr="00466CD3">
          <w:rPr>
            <w:rStyle w:val="aa"/>
            <w:rFonts w:ascii="Times New Roman" w:hAnsi="Times New Roman" w:cs="Times New Roman"/>
          </w:rPr>
          <w:t>https://law.lis.virginia.gov/constitutionexpand/article10/</w:t>
        </w:r>
      </w:hyperlink>
      <w:r w:rsidRPr="00466CD3">
        <w:rPr>
          <w:rFonts w:ascii="Times New Roman" w:hAnsi="Times New Roman" w:cs="Times New Roman"/>
        </w:rPr>
        <w:t xml:space="preserve">. </w:t>
      </w:r>
    </w:p>
  </w:footnote>
  <w:footnote w:id="58">
    <w:p w14:paraId="1BE400A5" w14:textId="3B35C394"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Virginia. </w:t>
      </w:r>
      <w:r w:rsidR="00586966">
        <w:rPr>
          <w:rFonts w:ascii="Times New Roman" w:hAnsi="Times New Roman" w:cs="Times New Roman"/>
        </w:rPr>
        <w:t xml:space="preserve">Annual </w:t>
      </w:r>
      <w:r w:rsidR="00586966" w:rsidRPr="00874EEE">
        <w:rPr>
          <w:rFonts w:ascii="Times New Roman" w:hAnsi="Times New Roman" w:cs="Times New Roman"/>
        </w:rPr>
        <w:t>Comprehensive Financial Report</w:t>
      </w:r>
      <w:r w:rsidR="00586966" w:rsidRPr="00466CD3">
        <w:rPr>
          <w:rFonts w:ascii="Times New Roman" w:hAnsi="Times New Roman" w:cs="Times New Roman"/>
        </w:rPr>
        <w:t xml:space="preserve"> </w:t>
      </w:r>
      <w:r w:rsidRPr="00466CD3">
        <w:rPr>
          <w:rFonts w:ascii="Times New Roman" w:hAnsi="Times New Roman" w:cs="Times New Roman"/>
        </w:rPr>
        <w:t>for the Fiscal Year Ended June 30, 2011 (p.92).</w:t>
      </w:r>
      <w:r w:rsidR="008F6ABE">
        <w:rPr>
          <w:rFonts w:ascii="Times New Roman" w:hAnsi="Times New Roman" w:cs="Times New Roman" w:hint="eastAsia"/>
        </w:rPr>
        <w:t xml:space="preserve"> R</w:t>
      </w:r>
      <w:r w:rsidR="008F6ABE" w:rsidRPr="00286F9B">
        <w:rPr>
          <w:rFonts w:ascii="Times New Roman" w:hAnsi="Times New Roman" w:cs="Times New Roman"/>
        </w:rPr>
        <w:t>etrieved from</w:t>
      </w:r>
      <w:r w:rsidRPr="00466CD3">
        <w:rPr>
          <w:rFonts w:ascii="Times New Roman" w:hAnsi="Times New Roman" w:cs="Times New Roman"/>
        </w:rPr>
        <w:t xml:space="preserve"> </w:t>
      </w:r>
      <w:hyperlink r:id="rId8" w:history="1">
        <w:r w:rsidRPr="00466CD3">
          <w:rPr>
            <w:rStyle w:val="aa"/>
            <w:rFonts w:ascii="Times New Roman" w:hAnsi="Times New Roman" w:cs="Times New Roman"/>
          </w:rPr>
          <w:t>https://www.doa.virginia.gov/reports/ACFReport/2011/2011ACFReport.pdf</w:t>
        </w:r>
      </w:hyperlink>
      <w:r w:rsidRPr="00466CD3">
        <w:rPr>
          <w:rFonts w:ascii="Times New Roman" w:hAnsi="Times New Roman" w:cs="Times New Roman"/>
        </w:rPr>
        <w:t xml:space="preserve">. </w:t>
      </w:r>
    </w:p>
  </w:footnote>
  <w:footnote w:id="59">
    <w:p w14:paraId="14F987A5"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Ibid. </w:t>
      </w:r>
    </w:p>
  </w:footnote>
  <w:footnote w:id="60">
    <w:p w14:paraId="43D58647" w14:textId="0ABA9B70"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Virginia. </w:t>
      </w:r>
      <w:r w:rsidR="00DC1B76">
        <w:rPr>
          <w:rFonts w:ascii="Times New Roman" w:hAnsi="Times New Roman" w:cs="Times New Roman"/>
        </w:rPr>
        <w:t xml:space="preserve">Annual </w:t>
      </w:r>
      <w:r w:rsidR="00DC1B76" w:rsidRPr="00874EEE">
        <w:rPr>
          <w:rFonts w:ascii="Times New Roman" w:hAnsi="Times New Roman" w:cs="Times New Roman"/>
        </w:rPr>
        <w:t>Comprehensive Financial Report</w:t>
      </w:r>
      <w:r w:rsidR="00DC1B76" w:rsidRPr="00466CD3">
        <w:rPr>
          <w:rFonts w:ascii="Times New Roman" w:hAnsi="Times New Roman" w:cs="Times New Roman"/>
        </w:rPr>
        <w:t xml:space="preserve"> </w:t>
      </w:r>
      <w:r w:rsidRPr="00466CD3">
        <w:rPr>
          <w:rFonts w:ascii="Times New Roman" w:hAnsi="Times New Roman" w:cs="Times New Roman"/>
        </w:rPr>
        <w:t xml:space="preserve">for the Fiscal Year Ended June 30, 2015. </w:t>
      </w:r>
      <w:r w:rsidR="008F6ABE">
        <w:rPr>
          <w:rFonts w:ascii="Times New Roman" w:hAnsi="Times New Roman" w:cs="Times New Roman" w:hint="eastAsia"/>
        </w:rPr>
        <w:t>R</w:t>
      </w:r>
      <w:r w:rsidR="008F6ABE" w:rsidRPr="00286F9B">
        <w:rPr>
          <w:rFonts w:ascii="Times New Roman" w:hAnsi="Times New Roman" w:cs="Times New Roman"/>
        </w:rPr>
        <w:t>etrieved from</w:t>
      </w:r>
      <w:r w:rsidR="008F6ABE" w:rsidRPr="00466CD3">
        <w:rPr>
          <w:rFonts w:ascii="Times New Roman" w:hAnsi="Times New Roman" w:cs="Times New Roman"/>
        </w:rPr>
        <w:t xml:space="preserve"> </w:t>
      </w:r>
      <w:hyperlink r:id="rId9" w:history="1">
        <w:r w:rsidRPr="00466CD3">
          <w:rPr>
            <w:rStyle w:val="aa"/>
            <w:rFonts w:ascii="Times New Roman" w:hAnsi="Times New Roman" w:cs="Times New Roman"/>
          </w:rPr>
          <w:t>https://www.doa.virginia.gov/reports/ACFReport/2015/2015ACFReport.pdf</w:t>
        </w:r>
      </w:hyperlink>
      <w:r w:rsidRPr="00466CD3">
        <w:rPr>
          <w:rFonts w:ascii="Times New Roman" w:hAnsi="Times New Roman" w:cs="Times New Roman"/>
        </w:rPr>
        <w:t xml:space="preserve">. </w:t>
      </w:r>
    </w:p>
  </w:footnote>
  <w:footnote w:id="61">
    <w:p w14:paraId="718D3A9D" w14:textId="577C09C3"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Virginia. </w:t>
      </w:r>
      <w:r w:rsidR="00DC1B76">
        <w:rPr>
          <w:rFonts w:ascii="Times New Roman" w:hAnsi="Times New Roman" w:cs="Times New Roman"/>
        </w:rPr>
        <w:t xml:space="preserve">Annual </w:t>
      </w:r>
      <w:r w:rsidR="00DC1B76" w:rsidRPr="00874EEE">
        <w:rPr>
          <w:rFonts w:ascii="Times New Roman" w:hAnsi="Times New Roman" w:cs="Times New Roman"/>
        </w:rPr>
        <w:t>Comprehensive Financial Report</w:t>
      </w:r>
      <w:r w:rsidR="00DC1B76" w:rsidRPr="00466CD3">
        <w:rPr>
          <w:rFonts w:ascii="Times New Roman" w:hAnsi="Times New Roman" w:cs="Times New Roman"/>
        </w:rPr>
        <w:t xml:space="preserve"> </w:t>
      </w:r>
      <w:r w:rsidRPr="00466CD3">
        <w:rPr>
          <w:rFonts w:ascii="Times New Roman" w:hAnsi="Times New Roman" w:cs="Times New Roman"/>
        </w:rPr>
        <w:t xml:space="preserve">for the Fiscal Year Ended June 30, 2016. </w:t>
      </w:r>
      <w:r w:rsidR="008F6ABE">
        <w:rPr>
          <w:rFonts w:ascii="Times New Roman" w:hAnsi="Times New Roman" w:cs="Times New Roman" w:hint="eastAsia"/>
        </w:rPr>
        <w:t>R</w:t>
      </w:r>
      <w:r w:rsidR="008F6ABE" w:rsidRPr="00286F9B">
        <w:rPr>
          <w:rFonts w:ascii="Times New Roman" w:hAnsi="Times New Roman" w:cs="Times New Roman"/>
        </w:rPr>
        <w:t>etrieved from</w:t>
      </w:r>
      <w:r w:rsidR="008F6ABE" w:rsidRPr="00466CD3">
        <w:rPr>
          <w:rFonts w:ascii="Times New Roman" w:hAnsi="Times New Roman" w:cs="Times New Roman"/>
        </w:rPr>
        <w:t xml:space="preserve"> </w:t>
      </w:r>
      <w:hyperlink r:id="rId10" w:history="1">
        <w:r w:rsidRPr="00466CD3">
          <w:rPr>
            <w:rStyle w:val="aa"/>
            <w:rFonts w:ascii="Times New Roman" w:hAnsi="Times New Roman" w:cs="Times New Roman"/>
          </w:rPr>
          <w:t>https://www.doa.virginia.gov/reports/ACFReport/2016/2016ACFReport.pdf</w:t>
        </w:r>
      </w:hyperlink>
      <w:r w:rsidRPr="00466CD3">
        <w:rPr>
          <w:rFonts w:ascii="Times New Roman" w:hAnsi="Times New Roman" w:cs="Times New Roman"/>
        </w:rPr>
        <w:t xml:space="preserve">. </w:t>
      </w:r>
    </w:p>
  </w:footnote>
  <w:footnote w:id="62">
    <w:p w14:paraId="520E9DA8"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Ibid. </w:t>
      </w:r>
    </w:p>
  </w:footnote>
  <w:footnote w:id="63">
    <w:p w14:paraId="15C3235B"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2001 NH ALS 158, 2001 NH Ch. 158, 2001 NH HB 170 (July 5, 2001). </w:t>
      </w:r>
    </w:p>
  </w:footnote>
  <w:footnote w:id="64">
    <w:p w14:paraId="7A300E0E"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2016 NH ALS 237, 2016 NH Ch. 237, 2015 NH HB 1527 (June 10, 2016).</w:t>
      </w:r>
    </w:p>
  </w:footnote>
  <w:footnote w:id="65">
    <w:p w14:paraId="2098318A" w14:textId="0C7F373E"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New Hampshire. </w:t>
      </w:r>
      <w:r w:rsidR="000344A5">
        <w:rPr>
          <w:rFonts w:ascii="Times New Roman" w:hAnsi="Times New Roman" w:cs="Times New Roman"/>
        </w:rPr>
        <w:t xml:space="preserve">Annual </w:t>
      </w:r>
      <w:r w:rsidR="000344A5" w:rsidRPr="00874EEE">
        <w:rPr>
          <w:rFonts w:ascii="Times New Roman" w:hAnsi="Times New Roman" w:cs="Times New Roman"/>
        </w:rPr>
        <w:t>Comprehensive Financial Report</w:t>
      </w:r>
      <w:r w:rsidR="000344A5" w:rsidRPr="00466CD3">
        <w:rPr>
          <w:rFonts w:ascii="Times New Roman" w:hAnsi="Times New Roman" w:cs="Times New Roman"/>
        </w:rPr>
        <w:t xml:space="preserve"> </w:t>
      </w:r>
      <w:r w:rsidRPr="00466CD3">
        <w:rPr>
          <w:rFonts w:ascii="Times New Roman" w:hAnsi="Times New Roman" w:cs="Times New Roman"/>
        </w:rPr>
        <w:t xml:space="preserve">for the fiscal year ended June 30, 2004. </w:t>
      </w:r>
    </w:p>
  </w:footnote>
  <w:footnote w:id="66">
    <w:p w14:paraId="09B137C1" w14:textId="4F514816"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New Hampshire. </w:t>
      </w:r>
      <w:r w:rsidR="000344A5">
        <w:rPr>
          <w:rFonts w:ascii="Times New Roman" w:hAnsi="Times New Roman" w:cs="Times New Roman"/>
        </w:rPr>
        <w:t xml:space="preserve">Annual </w:t>
      </w:r>
      <w:r w:rsidR="000344A5" w:rsidRPr="00874EEE">
        <w:rPr>
          <w:rFonts w:ascii="Times New Roman" w:hAnsi="Times New Roman" w:cs="Times New Roman"/>
        </w:rPr>
        <w:t>Comprehensive Financial Report</w:t>
      </w:r>
      <w:r w:rsidR="000344A5" w:rsidRPr="00466CD3">
        <w:rPr>
          <w:rFonts w:ascii="Times New Roman" w:hAnsi="Times New Roman" w:cs="Times New Roman"/>
        </w:rPr>
        <w:t xml:space="preserve"> </w:t>
      </w:r>
      <w:r w:rsidRPr="00466CD3">
        <w:rPr>
          <w:rFonts w:ascii="Times New Roman" w:hAnsi="Times New Roman" w:cs="Times New Roman"/>
        </w:rPr>
        <w:t xml:space="preserve">for the fiscal year ended June 30, 2006. </w:t>
      </w:r>
    </w:p>
  </w:footnote>
  <w:footnote w:id="67">
    <w:p w14:paraId="6EB49890" w14:textId="0DB4EA36"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New Hampshire. </w:t>
      </w:r>
      <w:r w:rsidR="000344A5">
        <w:rPr>
          <w:rFonts w:ascii="Times New Roman" w:hAnsi="Times New Roman" w:cs="Times New Roman"/>
        </w:rPr>
        <w:t xml:space="preserve">Annual </w:t>
      </w:r>
      <w:r w:rsidR="000344A5" w:rsidRPr="00874EEE">
        <w:rPr>
          <w:rFonts w:ascii="Times New Roman" w:hAnsi="Times New Roman" w:cs="Times New Roman"/>
        </w:rPr>
        <w:t>Comprehensive Financial Report</w:t>
      </w:r>
      <w:r w:rsidR="000344A5" w:rsidRPr="00466CD3">
        <w:rPr>
          <w:rFonts w:ascii="Times New Roman" w:hAnsi="Times New Roman" w:cs="Times New Roman"/>
        </w:rPr>
        <w:t xml:space="preserve"> </w:t>
      </w:r>
      <w:r w:rsidRPr="00466CD3">
        <w:rPr>
          <w:rFonts w:ascii="Times New Roman" w:hAnsi="Times New Roman" w:cs="Times New Roman"/>
        </w:rPr>
        <w:t xml:space="preserve">for the fiscal year ended June 30, 2019. </w:t>
      </w:r>
    </w:p>
  </w:footnote>
  <w:footnote w:id="68">
    <w:p w14:paraId="214DC805"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Ibid. </w:t>
      </w:r>
    </w:p>
  </w:footnote>
  <w:footnote w:id="69">
    <w:p w14:paraId="3FFF3D76"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Ibid.</w:t>
      </w:r>
    </w:p>
  </w:footnote>
  <w:footnote w:id="70">
    <w:p w14:paraId="3DE5A2F2" w14:textId="68714805" w:rsidR="00AF6702" w:rsidRPr="0071330B" w:rsidRDefault="00AF6702" w:rsidP="00AF6702">
      <w:pPr>
        <w:pStyle w:val="a4"/>
        <w:contextualSpacing/>
        <w:rPr>
          <w:rFonts w:ascii="Times New Roman" w:hAnsi="Times New Roman" w:cs="Times New Roman"/>
        </w:rPr>
      </w:pPr>
      <w:r w:rsidRPr="0071330B">
        <w:rPr>
          <w:rStyle w:val="a5"/>
          <w:rFonts w:ascii="Times New Roman" w:hAnsi="Times New Roman" w:cs="Times New Roman"/>
        </w:rPr>
        <w:footnoteRef/>
      </w:r>
      <w:r w:rsidRPr="0071330B">
        <w:rPr>
          <w:rFonts w:ascii="Times New Roman" w:hAnsi="Times New Roman" w:cs="Times New Roman"/>
        </w:rPr>
        <w:t xml:space="preserve"> Press Release. (2016, September 30). Governor Hassan Announces Surplus of $130 Million for FY 16. An Official New Hampshire Government Website.</w:t>
      </w:r>
      <w:r w:rsidR="00720D7B" w:rsidRPr="0071330B">
        <w:rPr>
          <w:rFonts w:ascii="Times New Roman" w:hAnsi="Times New Roman" w:cs="Times New Roman"/>
        </w:rPr>
        <w:t xml:space="preserve"> Retrieved from</w:t>
      </w:r>
      <w:r w:rsidRPr="0071330B">
        <w:rPr>
          <w:rFonts w:ascii="Times New Roman" w:hAnsi="Times New Roman" w:cs="Times New Roman"/>
        </w:rPr>
        <w:t xml:space="preserve"> </w:t>
      </w:r>
      <w:hyperlink r:id="rId11" w:history="1">
        <w:r w:rsidRPr="0071330B">
          <w:rPr>
            <w:rStyle w:val="aa"/>
            <w:rFonts w:ascii="Times New Roman" w:hAnsi="Times New Roman" w:cs="Times New Roman"/>
          </w:rPr>
          <w:t>https://www.nh.gov/news/2016/documents/pr-2016-09-30-surplus-fy16.pdf</w:t>
        </w:r>
      </w:hyperlink>
      <w:r w:rsidRPr="0071330B">
        <w:rPr>
          <w:rFonts w:ascii="Times New Roman" w:hAnsi="Times New Roman" w:cs="Times New Roman"/>
        </w:rPr>
        <w:t xml:space="preserve">. </w:t>
      </w:r>
    </w:p>
  </w:footnote>
  <w:footnote w:id="71">
    <w:p w14:paraId="6D4E3F7B" w14:textId="4688415E" w:rsidR="00852393" w:rsidRPr="0071330B" w:rsidRDefault="00852393">
      <w:pPr>
        <w:pStyle w:val="a4"/>
        <w:rPr>
          <w:rFonts w:ascii="Times New Roman" w:hAnsi="Times New Roman" w:cs="Times New Roman"/>
        </w:rPr>
      </w:pPr>
      <w:r w:rsidRPr="0071330B">
        <w:rPr>
          <w:rStyle w:val="a5"/>
          <w:rFonts w:ascii="Times New Roman" w:hAnsi="Times New Roman" w:cs="Times New Roman"/>
        </w:rPr>
        <w:footnoteRef/>
      </w:r>
      <w:r w:rsidRPr="0071330B">
        <w:rPr>
          <w:rFonts w:ascii="Times New Roman" w:hAnsi="Times New Roman" w:cs="Times New Roman"/>
        </w:rPr>
        <w:t xml:space="preserve"> Ibid.</w:t>
      </w:r>
    </w:p>
  </w:footnote>
  <w:footnote w:id="72">
    <w:p w14:paraId="4C0657EC" w14:textId="2FF8523D" w:rsidR="0071330B" w:rsidRPr="00B834B8" w:rsidRDefault="0071330B" w:rsidP="00B834B8">
      <w:pPr>
        <w:pStyle w:val="a4"/>
        <w:rPr>
          <w:rFonts w:ascii="Times New Roman" w:hAnsi="Times New Roman" w:cs="Times New Roman"/>
        </w:rPr>
      </w:pPr>
      <w:r w:rsidRPr="0071330B">
        <w:rPr>
          <w:rStyle w:val="a5"/>
          <w:rFonts w:ascii="Times New Roman" w:hAnsi="Times New Roman" w:cs="Times New Roman"/>
        </w:rPr>
        <w:footnoteRef/>
      </w:r>
      <w:r w:rsidR="00B834B8">
        <w:rPr>
          <w:rFonts w:ascii="Times New Roman" w:hAnsi="Times New Roman" w:cs="Times New Roman" w:hint="eastAsia"/>
        </w:rPr>
        <w:t xml:space="preserve"> </w:t>
      </w:r>
      <w:r w:rsidR="00B834B8" w:rsidRPr="00B834B8">
        <w:rPr>
          <w:rFonts w:ascii="Times New Roman" w:hAnsi="Times New Roman" w:cs="Times New Roman"/>
        </w:rPr>
        <w:t>New Hampshire State Treasury. (2018).</w:t>
      </w:r>
      <w:r w:rsidR="00B834B8">
        <w:rPr>
          <w:rFonts w:ascii="Times New Roman" w:hAnsi="Times New Roman" w:cs="Times New Roman" w:hint="eastAsia"/>
        </w:rPr>
        <w:t xml:space="preserve"> </w:t>
      </w:r>
      <w:r w:rsidR="00B834B8" w:rsidRPr="00B834B8">
        <w:rPr>
          <w:rFonts w:ascii="Times New Roman" w:hAnsi="Times New Roman" w:cs="Times New Roman"/>
        </w:rPr>
        <w:t>New Hampshire information statement 2018. Retrieved</w:t>
      </w:r>
      <w:r w:rsidR="00987723">
        <w:rPr>
          <w:rFonts w:ascii="Times New Roman" w:hAnsi="Times New Roman" w:cs="Times New Roman" w:hint="eastAsia"/>
        </w:rPr>
        <w:t xml:space="preserve"> </w:t>
      </w:r>
      <w:r w:rsidR="00B834B8" w:rsidRPr="00B834B8">
        <w:rPr>
          <w:rFonts w:ascii="Times New Roman" w:hAnsi="Times New Roman" w:cs="Times New Roman"/>
        </w:rPr>
        <w:t xml:space="preserve">from </w:t>
      </w:r>
      <w:hyperlink r:id="rId12" w:history="1">
        <w:r w:rsidR="00B834B8" w:rsidRPr="0045120A">
          <w:rPr>
            <w:rStyle w:val="aa"/>
            <w:rFonts w:ascii="Times New Roman" w:hAnsi="Times New Roman" w:cs="Times New Roman"/>
          </w:rPr>
          <w:t>https://www.nh.gov/treasury/documents/nh-information-statement-2018.pdf</w:t>
        </w:r>
      </w:hyperlink>
      <w:r w:rsidR="00B834B8">
        <w:rPr>
          <w:rFonts w:ascii="Times New Roman" w:hAnsi="Times New Roman" w:cs="Times New Roman" w:hint="eastAsia"/>
        </w:rPr>
        <w:t xml:space="preserve">. </w:t>
      </w:r>
    </w:p>
  </w:footnote>
  <w:footnote w:id="73">
    <w:p w14:paraId="2DA8F7E8"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Nebraska Unicameral Legislature. Appropriations Committee Preliminary Report. FY2009-10/FY2010-11 Biennial Budget. February 2009 (p. 5). </w:t>
      </w:r>
      <w:hyperlink r:id="rId13" w:history="1">
        <w:r w:rsidRPr="00466CD3">
          <w:rPr>
            <w:rStyle w:val="aa"/>
            <w:rFonts w:ascii="Times New Roman" w:hAnsi="Times New Roman" w:cs="Times New Roman"/>
          </w:rPr>
          <w:t>https://nebraskalegislature.gov/pdf/reports/fiscal/2009prelim.pdf</w:t>
        </w:r>
      </w:hyperlink>
      <w:r w:rsidRPr="00466CD3">
        <w:rPr>
          <w:rStyle w:val="aa"/>
          <w:rFonts w:ascii="Times New Roman" w:hAnsi="Times New Roman" w:cs="Times New Roman"/>
        </w:rPr>
        <w:t>.</w:t>
      </w:r>
    </w:p>
  </w:footnote>
  <w:footnote w:id="74">
    <w:p w14:paraId="463B3887"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2003 Neb. ALS 798, 2003 Neb. Laws 798, 2003 Neb. LB 798 (May 26, 2003). </w:t>
      </w:r>
      <w:hyperlink r:id="rId14" w:history="1">
        <w:r w:rsidRPr="00466CD3">
          <w:rPr>
            <w:rStyle w:val="aa"/>
            <w:rFonts w:ascii="Times New Roman" w:hAnsi="Times New Roman" w:cs="Times New Roman"/>
          </w:rPr>
          <w:t>https://advance-lexis-com.proxy.cc.uic.edu/api/document?collection=statutes-legislation&amp;id=urn:contentItem:48SJ-2RY0-0031-30PY-00000-00&amp;context=1516831</w:t>
        </w:r>
      </w:hyperlink>
      <w:r w:rsidRPr="00466CD3">
        <w:rPr>
          <w:rFonts w:ascii="Times New Roman" w:hAnsi="Times New Roman" w:cs="Times New Roman"/>
        </w:rPr>
        <w:t xml:space="preserve">. </w:t>
      </w:r>
    </w:p>
  </w:footnote>
  <w:footnote w:id="75">
    <w:p w14:paraId="68F46430"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Nebraska Unicameral Legislature. Appropriations Committee Preliminary Report. FY2005-6/FY2006-07 Biennial Budget. February 2005. </w:t>
      </w:r>
      <w:hyperlink r:id="rId15" w:anchor="search=%22appropriations%20committee%20preliminary%20report%22" w:history="1">
        <w:r w:rsidRPr="00466CD3">
          <w:rPr>
            <w:rStyle w:val="aa"/>
            <w:rFonts w:ascii="Times New Roman" w:hAnsi="Times New Roman" w:cs="Times New Roman"/>
          </w:rPr>
          <w:t>http://govdocs.nebraska.gov/epubs/L3720/B005-2005.pdf#search=%22appropriations%20committee%20preliminary%20report%22</w:t>
        </w:r>
      </w:hyperlink>
      <w:r w:rsidRPr="00466CD3">
        <w:rPr>
          <w:rFonts w:ascii="Times New Roman" w:hAnsi="Times New Roman" w:cs="Times New Roman"/>
        </w:rPr>
        <w:t xml:space="preserve">. </w:t>
      </w:r>
    </w:p>
  </w:footnote>
  <w:footnote w:id="76">
    <w:p w14:paraId="02B47AC7" w14:textId="553B72B1"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Nebraska</w:t>
      </w:r>
      <w:r w:rsidR="00E036A1">
        <w:rPr>
          <w:rFonts w:ascii="Times New Roman" w:hAnsi="Times New Roman" w:cs="Times New Roman" w:hint="eastAsia"/>
        </w:rPr>
        <w:t xml:space="preserve">, </w:t>
      </w:r>
      <w:r w:rsidR="00E036A1">
        <w:rPr>
          <w:rFonts w:ascii="Times New Roman" w:hAnsi="Times New Roman" w:cs="Times New Roman"/>
        </w:rPr>
        <w:t xml:space="preserve">Annual </w:t>
      </w:r>
      <w:r w:rsidR="00E036A1" w:rsidRPr="00874EEE">
        <w:rPr>
          <w:rFonts w:ascii="Times New Roman" w:hAnsi="Times New Roman" w:cs="Times New Roman"/>
        </w:rPr>
        <w:t>Comprehensive Financial Report</w:t>
      </w:r>
      <w:r w:rsidR="00E036A1" w:rsidRPr="00466CD3">
        <w:rPr>
          <w:rFonts w:ascii="Times New Roman" w:hAnsi="Times New Roman" w:cs="Times New Roman"/>
        </w:rPr>
        <w:t xml:space="preserve"> </w:t>
      </w:r>
      <w:r w:rsidRPr="00466CD3">
        <w:rPr>
          <w:rFonts w:ascii="Times New Roman" w:hAnsi="Times New Roman" w:cs="Times New Roman"/>
        </w:rPr>
        <w:t xml:space="preserve">Fiscal Year Ended June 30, 2007 (p. 25). </w:t>
      </w:r>
      <w:hyperlink r:id="rId16" w:anchor="search=%22comprehensive%20annual%20financial%20report%202005%22" w:history="1">
        <w:r w:rsidRPr="00466CD3">
          <w:rPr>
            <w:rStyle w:val="aa"/>
            <w:rFonts w:ascii="Times New Roman" w:hAnsi="Times New Roman" w:cs="Times New Roman"/>
          </w:rPr>
          <w:t>http://govdocs.nebraska.gov/epubs/A2100/A001-2005.pdf#search=%22comprehensive%20annual%20financial%20report%202005%22</w:t>
        </w:r>
      </w:hyperlink>
      <w:r w:rsidRPr="00466CD3">
        <w:rPr>
          <w:rFonts w:ascii="Times New Roman" w:hAnsi="Times New Roman" w:cs="Times New Roman"/>
        </w:rPr>
        <w:t xml:space="preserve">. </w:t>
      </w:r>
    </w:p>
  </w:footnote>
  <w:footnote w:id="77">
    <w:p w14:paraId="60D6E900" w14:textId="2A67967E"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Nebraska</w:t>
      </w:r>
      <w:r w:rsidR="00E036A1">
        <w:rPr>
          <w:rFonts w:ascii="Times New Roman" w:hAnsi="Times New Roman" w:cs="Times New Roman" w:hint="eastAsia"/>
        </w:rPr>
        <w:t xml:space="preserve">, </w:t>
      </w:r>
      <w:r w:rsidR="00E036A1">
        <w:rPr>
          <w:rFonts w:ascii="Times New Roman" w:hAnsi="Times New Roman" w:cs="Times New Roman"/>
        </w:rPr>
        <w:t xml:space="preserve">Annual </w:t>
      </w:r>
      <w:r w:rsidR="00E036A1" w:rsidRPr="00874EEE">
        <w:rPr>
          <w:rFonts w:ascii="Times New Roman" w:hAnsi="Times New Roman" w:cs="Times New Roman"/>
        </w:rPr>
        <w:t>Comprehensive Financial Report</w:t>
      </w:r>
      <w:r w:rsidR="00E036A1" w:rsidRPr="00466CD3">
        <w:rPr>
          <w:rFonts w:ascii="Times New Roman" w:hAnsi="Times New Roman" w:cs="Times New Roman"/>
        </w:rPr>
        <w:t xml:space="preserve"> </w:t>
      </w:r>
      <w:r w:rsidRPr="00466CD3">
        <w:rPr>
          <w:rFonts w:ascii="Times New Roman" w:hAnsi="Times New Roman" w:cs="Times New Roman"/>
        </w:rPr>
        <w:t xml:space="preserve">Fiscal Year Ended June 30, 2007 (p. 25). </w:t>
      </w:r>
    </w:p>
  </w:footnote>
  <w:footnote w:id="78">
    <w:p w14:paraId="2FB5947F" w14:textId="44EDD8E2" w:rsidR="00AF6702" w:rsidRPr="00466CD3" w:rsidRDefault="00AF6702" w:rsidP="00041FEE">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w:t>
      </w:r>
      <w:r w:rsidR="00041FEE" w:rsidRPr="00041FEE">
        <w:rPr>
          <w:rFonts w:ascii="Times New Roman" w:hAnsi="Times New Roman" w:cs="Times New Roman"/>
        </w:rPr>
        <w:t xml:space="preserve">Nebraska Legislature. Appropriations Committee. (2003). Preliminary report of the appropriations committee. </w:t>
      </w:r>
      <w:hyperlink r:id="rId17" w:anchor="search=%22appropriations%20committee%20preliminary%20report%22" w:history="1">
        <w:r w:rsidR="00041FEE" w:rsidRPr="00EB57A4">
          <w:rPr>
            <w:rStyle w:val="aa"/>
            <w:rFonts w:ascii="Times New Roman" w:hAnsi="Times New Roman" w:cs="Times New Roman"/>
          </w:rPr>
          <w:t>http://govdocs.nebraska.gov/epubs/L3720/B005-2003.pdf#search=%22appropriations%20committee%20preliminary%20report%22</w:t>
        </w:r>
      </w:hyperlink>
      <w:r w:rsidR="00041FEE">
        <w:rPr>
          <w:rFonts w:ascii="Times New Roman" w:hAnsi="Times New Roman" w:cs="Times New Roman" w:hint="eastAsia"/>
        </w:rPr>
        <w:t xml:space="preserve">. </w:t>
      </w:r>
    </w:p>
  </w:footnote>
  <w:footnote w:id="79">
    <w:p w14:paraId="640EA167"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Nebraska Unicameral Legislature. Appropriations Committee Preliminary Report. FY2009-10/FY2010-11 Biennial Budget. February 2009 (p. 5). </w:t>
      </w:r>
      <w:hyperlink r:id="rId18" w:history="1">
        <w:r w:rsidRPr="00466CD3">
          <w:rPr>
            <w:rStyle w:val="aa"/>
            <w:rFonts w:ascii="Times New Roman" w:hAnsi="Times New Roman" w:cs="Times New Roman"/>
          </w:rPr>
          <w:t>https://nebraskalegislature.gov/pdf/reports/fiscal/2009prelim.pdf</w:t>
        </w:r>
      </w:hyperlink>
      <w:r w:rsidRPr="00466CD3">
        <w:rPr>
          <w:rFonts w:ascii="Times New Roman" w:hAnsi="Times New Roman" w:cs="Times New Roman"/>
        </w:rPr>
        <w:t xml:space="preserve">. </w:t>
      </w:r>
    </w:p>
  </w:footnote>
  <w:footnote w:id="80">
    <w:p w14:paraId="2052E162"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Nebraska Unicameral Legislature. Appropriations Committee Preliminary Report. FY2013-14/FY2014-15 Biennial Budget. February 2009. </w:t>
      </w:r>
      <w:hyperlink r:id="rId19" w:history="1">
        <w:r w:rsidRPr="00466CD3">
          <w:rPr>
            <w:rStyle w:val="aa"/>
            <w:rFonts w:ascii="Times New Roman" w:hAnsi="Times New Roman" w:cs="Times New Roman"/>
          </w:rPr>
          <w:t>https://nebraskalegislature.gov/pdf/reports/fiscal/2013prelim.pdf</w:t>
        </w:r>
      </w:hyperlink>
      <w:r w:rsidRPr="00466CD3">
        <w:rPr>
          <w:rFonts w:ascii="Times New Roman" w:hAnsi="Times New Roman" w:cs="Times New Roman"/>
        </w:rPr>
        <w:t xml:space="preserve">. </w:t>
      </w:r>
    </w:p>
  </w:footnote>
  <w:footnote w:id="81">
    <w:p w14:paraId="269D34D6" w14:textId="051E4415"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Nebraska</w:t>
      </w:r>
      <w:r w:rsidR="0070150B">
        <w:rPr>
          <w:rFonts w:ascii="Times New Roman" w:hAnsi="Times New Roman" w:cs="Times New Roman" w:hint="eastAsia"/>
        </w:rPr>
        <w:t xml:space="preserve">, </w:t>
      </w:r>
      <w:r w:rsidR="0070150B">
        <w:rPr>
          <w:rFonts w:ascii="Times New Roman" w:hAnsi="Times New Roman" w:cs="Times New Roman"/>
        </w:rPr>
        <w:t xml:space="preserve">Annual </w:t>
      </w:r>
      <w:r w:rsidR="0070150B" w:rsidRPr="00874EEE">
        <w:rPr>
          <w:rFonts w:ascii="Times New Roman" w:hAnsi="Times New Roman" w:cs="Times New Roman"/>
        </w:rPr>
        <w:t>Comprehensive Financial Report</w:t>
      </w:r>
      <w:r w:rsidR="0070150B" w:rsidRPr="00466CD3">
        <w:rPr>
          <w:rFonts w:ascii="Times New Roman" w:hAnsi="Times New Roman" w:cs="Times New Roman"/>
        </w:rPr>
        <w:t xml:space="preserve"> </w:t>
      </w:r>
      <w:r w:rsidRPr="00466CD3">
        <w:rPr>
          <w:rFonts w:ascii="Times New Roman" w:hAnsi="Times New Roman" w:cs="Times New Roman"/>
        </w:rPr>
        <w:t xml:space="preserve">Fiscal Year Ended June 30, 2013. </w:t>
      </w:r>
    </w:p>
  </w:footnote>
  <w:footnote w:id="82">
    <w:p w14:paraId="7800AD1C"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Ibid. </w:t>
      </w:r>
    </w:p>
  </w:footnote>
  <w:footnote w:id="83">
    <w:p w14:paraId="4CFE144A" w14:textId="75EA5632"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Nebraska</w:t>
      </w:r>
      <w:r w:rsidR="005B7075">
        <w:rPr>
          <w:rFonts w:ascii="Times New Roman" w:hAnsi="Times New Roman" w:cs="Times New Roman" w:hint="eastAsia"/>
        </w:rPr>
        <w:t xml:space="preserve">, </w:t>
      </w:r>
      <w:r w:rsidR="005B7075">
        <w:rPr>
          <w:rFonts w:ascii="Times New Roman" w:hAnsi="Times New Roman" w:cs="Times New Roman"/>
        </w:rPr>
        <w:t xml:space="preserve">Annual </w:t>
      </w:r>
      <w:r w:rsidR="005B7075" w:rsidRPr="00874EEE">
        <w:rPr>
          <w:rFonts w:ascii="Times New Roman" w:hAnsi="Times New Roman" w:cs="Times New Roman"/>
        </w:rPr>
        <w:t>Comprehensive Financial Report</w:t>
      </w:r>
      <w:r w:rsidR="005B7075" w:rsidRPr="00466CD3">
        <w:rPr>
          <w:rFonts w:ascii="Times New Roman" w:hAnsi="Times New Roman" w:cs="Times New Roman"/>
        </w:rPr>
        <w:t xml:space="preserve"> </w:t>
      </w:r>
      <w:r w:rsidRPr="00466CD3">
        <w:rPr>
          <w:rFonts w:ascii="Times New Roman" w:hAnsi="Times New Roman" w:cs="Times New Roman"/>
        </w:rPr>
        <w:t xml:space="preserve">Fiscal Year Ended June 30, 2015. (p. 24). </w:t>
      </w:r>
    </w:p>
  </w:footnote>
  <w:footnote w:id="84">
    <w:p w14:paraId="4A5D444E"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Ibid.</w:t>
      </w:r>
    </w:p>
  </w:footnote>
  <w:footnote w:id="85">
    <w:p w14:paraId="771253FA" w14:textId="478D6F52"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Nebraska</w:t>
      </w:r>
      <w:r w:rsidR="005B7075">
        <w:rPr>
          <w:rFonts w:ascii="Times New Roman" w:hAnsi="Times New Roman" w:cs="Times New Roman" w:hint="eastAsia"/>
        </w:rPr>
        <w:t xml:space="preserve">, </w:t>
      </w:r>
      <w:r w:rsidR="005B7075">
        <w:rPr>
          <w:rFonts w:ascii="Times New Roman" w:hAnsi="Times New Roman" w:cs="Times New Roman"/>
        </w:rPr>
        <w:t xml:space="preserve">Annual </w:t>
      </w:r>
      <w:r w:rsidR="005B7075" w:rsidRPr="00874EEE">
        <w:rPr>
          <w:rFonts w:ascii="Times New Roman" w:hAnsi="Times New Roman" w:cs="Times New Roman"/>
        </w:rPr>
        <w:t>Comprehensive Financial Report</w:t>
      </w:r>
      <w:r w:rsidR="005B7075" w:rsidRPr="00466CD3">
        <w:rPr>
          <w:rFonts w:ascii="Times New Roman" w:hAnsi="Times New Roman" w:cs="Times New Roman"/>
        </w:rPr>
        <w:t xml:space="preserve"> </w:t>
      </w:r>
      <w:r w:rsidRPr="00466CD3">
        <w:rPr>
          <w:rFonts w:ascii="Times New Roman" w:hAnsi="Times New Roman" w:cs="Times New Roman"/>
        </w:rPr>
        <w:t xml:space="preserve">Fiscal Year Ended June 30, 2018. </w:t>
      </w:r>
    </w:p>
  </w:footnote>
  <w:footnote w:id="86">
    <w:p w14:paraId="152C9063" w14:textId="0509EB7A" w:rsidR="00AF6702" w:rsidRPr="00E100D2" w:rsidRDefault="00AF6702" w:rsidP="00E100D2">
      <w:pPr>
        <w:pStyle w:val="a4"/>
        <w:rPr>
          <w:rFonts w:ascii="Times New Roman" w:hAnsi="Times New Roman" w:cs="Times New Roman"/>
        </w:rPr>
      </w:pPr>
      <w:r w:rsidRPr="00466CD3">
        <w:rPr>
          <w:rStyle w:val="a5"/>
          <w:rFonts w:ascii="Times New Roman" w:hAnsi="Times New Roman" w:cs="Times New Roman"/>
        </w:rPr>
        <w:footnoteRef/>
      </w:r>
      <w:r w:rsidR="00E100D2">
        <w:rPr>
          <w:rFonts w:ascii="Times New Roman" w:hAnsi="Times New Roman" w:cs="Times New Roman" w:hint="eastAsia"/>
        </w:rPr>
        <w:t xml:space="preserve"> </w:t>
      </w:r>
      <w:r w:rsidR="00E100D2" w:rsidRPr="00E100D2">
        <w:rPr>
          <w:rFonts w:ascii="Times New Roman" w:hAnsi="Times New Roman" w:cs="Times New Roman"/>
        </w:rPr>
        <w:t xml:space="preserve">Nebraska Legislature. (2018). Preliminary report on the 2018 fiscal year budget. </w:t>
      </w:r>
      <w:hyperlink r:id="rId20" w:history="1">
        <w:r w:rsidR="00E100D2" w:rsidRPr="00EB57A4">
          <w:rPr>
            <w:rStyle w:val="aa"/>
            <w:rFonts w:ascii="Times New Roman" w:hAnsi="Times New Roman" w:cs="Times New Roman"/>
          </w:rPr>
          <w:t>https://nebraskalegislature.gov/pdf/reports/fiscal/2018prelim.pdf</w:t>
        </w:r>
      </w:hyperlink>
      <w:r w:rsidR="00E100D2">
        <w:rPr>
          <w:rFonts w:ascii="Times New Roman" w:hAnsi="Times New Roman" w:cs="Times New Roman" w:hint="eastAsia"/>
        </w:rPr>
        <w:t xml:space="preserve">. </w:t>
      </w:r>
    </w:p>
  </w:footnote>
  <w:footnote w:id="87">
    <w:p w14:paraId="69ABF576" w14:textId="009DEAF2"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West Virginia. </w:t>
      </w:r>
      <w:r w:rsidR="00B673D6">
        <w:rPr>
          <w:rFonts w:ascii="Times New Roman" w:hAnsi="Times New Roman" w:cs="Times New Roman"/>
        </w:rPr>
        <w:t xml:space="preserve">Annual </w:t>
      </w:r>
      <w:r w:rsidR="00B673D6" w:rsidRPr="00874EEE">
        <w:rPr>
          <w:rFonts w:ascii="Times New Roman" w:hAnsi="Times New Roman" w:cs="Times New Roman"/>
        </w:rPr>
        <w:t>Comprehensive Financial Report</w:t>
      </w:r>
      <w:r w:rsidR="00B673D6" w:rsidRPr="00466CD3">
        <w:rPr>
          <w:rFonts w:ascii="Times New Roman" w:hAnsi="Times New Roman" w:cs="Times New Roman"/>
        </w:rPr>
        <w:t xml:space="preserve"> </w:t>
      </w:r>
      <w:r w:rsidRPr="00466CD3">
        <w:rPr>
          <w:rFonts w:ascii="Times New Roman" w:hAnsi="Times New Roman" w:cs="Times New Roman"/>
        </w:rPr>
        <w:t xml:space="preserve">for the Fiscal Year Ended June 30, 2006. </w:t>
      </w:r>
    </w:p>
  </w:footnote>
  <w:footnote w:id="88">
    <w:p w14:paraId="04F4A55C"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Nebraska Unicameral Legislature, Ninety-Ninth Legislature, First Session. (2005, February). Appropriations Committee Preliminary Report. </w:t>
      </w:r>
      <w:hyperlink r:id="rId21" w:anchor="search=%22appropriations%20committee%20preliminary%20report%22" w:history="1">
        <w:r w:rsidRPr="00466CD3">
          <w:rPr>
            <w:rStyle w:val="aa"/>
            <w:rFonts w:ascii="Times New Roman" w:hAnsi="Times New Roman" w:cs="Times New Roman"/>
          </w:rPr>
          <w:t>http://govdocs.nebraska.gov/epubs/L3720/B005-2005.pdf#search=%22appropriations%20committee%20preliminary%20report%22</w:t>
        </w:r>
      </w:hyperlink>
      <w:r w:rsidRPr="00466CD3">
        <w:rPr>
          <w:rFonts w:ascii="Times New Roman" w:hAnsi="Times New Roman" w:cs="Times New Roman"/>
        </w:rPr>
        <w:t xml:space="preserve">. </w:t>
      </w:r>
    </w:p>
  </w:footnote>
  <w:footnote w:id="89">
    <w:p w14:paraId="387866B5"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Sec. 49-g. Economic Stabilization Fund; Allocation of Certain Oil and Gas Production Tax Revenue., Tex. Const. Art. III, § 49-g. </w:t>
      </w:r>
    </w:p>
  </w:footnote>
  <w:footnote w:id="90">
    <w:p w14:paraId="7E08EEA3"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Ibid. </w:t>
      </w:r>
    </w:p>
  </w:footnote>
  <w:footnote w:id="91">
    <w:p w14:paraId="37B7EEF5"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Crude Oil EmiNY Weekly Commodity Futures Price Chart : NYMEX. </w:t>
      </w:r>
      <w:hyperlink r:id="rId22" w:history="1">
        <w:r w:rsidRPr="00466CD3">
          <w:rPr>
            <w:rStyle w:val="aa"/>
            <w:rFonts w:ascii="Times New Roman" w:hAnsi="Times New Roman" w:cs="Times New Roman"/>
          </w:rPr>
          <w:t>https://futures.tradingcharts.com/chart/QM/W</w:t>
        </w:r>
      </w:hyperlink>
      <w:r w:rsidRPr="00466CD3">
        <w:rPr>
          <w:rFonts w:ascii="Times New Roman" w:hAnsi="Times New Roman" w:cs="Times New Roman"/>
        </w:rPr>
        <w:t xml:space="preserve">. </w:t>
      </w:r>
    </w:p>
  </w:footnote>
  <w:footnote w:id="92">
    <w:p w14:paraId="2656FDB4"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Ibid. </w:t>
      </w:r>
    </w:p>
  </w:footnote>
  <w:footnote w:id="93">
    <w:p w14:paraId="724FADEA" w14:textId="343B6371"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State of Texas.</w:t>
      </w:r>
      <w:r w:rsidR="00BB763D" w:rsidRPr="00BB763D">
        <w:rPr>
          <w:rFonts w:ascii="Times New Roman" w:hAnsi="Times New Roman" w:cs="Times New Roman"/>
        </w:rPr>
        <w:t xml:space="preserve"> </w:t>
      </w:r>
      <w:r w:rsidR="00BB763D">
        <w:rPr>
          <w:rFonts w:ascii="Times New Roman" w:hAnsi="Times New Roman" w:cs="Times New Roman"/>
        </w:rPr>
        <w:t xml:space="preserve">Annual </w:t>
      </w:r>
      <w:r w:rsidR="00BB763D" w:rsidRPr="00874EEE">
        <w:rPr>
          <w:rFonts w:ascii="Times New Roman" w:hAnsi="Times New Roman" w:cs="Times New Roman"/>
        </w:rPr>
        <w:t>Comprehensive Financial Report</w:t>
      </w:r>
      <w:r w:rsidRPr="00466CD3">
        <w:rPr>
          <w:rFonts w:ascii="Times New Roman" w:hAnsi="Times New Roman" w:cs="Times New Roman"/>
        </w:rPr>
        <w:t xml:space="preserve"> Fiscal Year Ending August 31, 2008. (p. 35). </w:t>
      </w:r>
    </w:p>
  </w:footnote>
  <w:footnote w:id="94">
    <w:p w14:paraId="75CFEDCE"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Texas Constitution, Article 3. Legislative Department, section 49-g. </w:t>
      </w:r>
      <w:hyperlink r:id="rId23" w:anchor="3.49-g" w:history="1">
        <w:r w:rsidRPr="00466CD3">
          <w:rPr>
            <w:rStyle w:val="aa"/>
            <w:rFonts w:ascii="Times New Roman" w:hAnsi="Times New Roman" w:cs="Times New Roman"/>
          </w:rPr>
          <w:t>https://statutes.capitol.texas.gov/Docs/CN/htm/CN.3.htm#3.49-g</w:t>
        </w:r>
      </w:hyperlink>
      <w:r w:rsidRPr="00466CD3">
        <w:rPr>
          <w:rFonts w:ascii="Times New Roman" w:hAnsi="Times New Roman" w:cs="Times New Roman"/>
        </w:rPr>
        <w:t xml:space="preserve">. </w:t>
      </w:r>
    </w:p>
  </w:footnote>
  <w:footnote w:id="95">
    <w:p w14:paraId="44E2E528"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Texas Legislature Online. Committee Membership. Joint Committee on Economic Stabilization Fund Balance, Select (C850), Legislature: 83(3) – 2013. </w:t>
      </w:r>
      <w:hyperlink r:id="rId24" w:history="1">
        <w:r w:rsidRPr="00466CD3">
          <w:rPr>
            <w:rStyle w:val="aa"/>
            <w:rFonts w:ascii="Times New Roman" w:hAnsi="Times New Roman" w:cs="Times New Roman"/>
          </w:rPr>
          <w:t>https://capitol.texas.gov/committees/MembershipCmte.aspx?LegSess=833&amp;CmteCode=C850</w:t>
        </w:r>
      </w:hyperlink>
      <w:r w:rsidRPr="00466CD3">
        <w:rPr>
          <w:rFonts w:ascii="Times New Roman" w:hAnsi="Times New Roman" w:cs="Times New Roman"/>
        </w:rPr>
        <w:t xml:space="preserve">. </w:t>
      </w:r>
    </w:p>
  </w:footnote>
  <w:footnote w:id="96">
    <w:p w14:paraId="4F7E09F8"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Minutes, Joint Select Committee on Economic Stabilization Fund Balance, Select. (2014, December 11). </w:t>
      </w:r>
      <w:hyperlink r:id="rId25" w:history="1">
        <w:r w:rsidRPr="00466CD3">
          <w:rPr>
            <w:rStyle w:val="aa"/>
            <w:rFonts w:ascii="Times New Roman" w:hAnsi="Times New Roman" w:cs="Times New Roman"/>
          </w:rPr>
          <w:t>https://capitol.texas.gov/tlodocs/83R/minutes/pdf/C8502014121110001.PDF</w:t>
        </w:r>
      </w:hyperlink>
      <w:r w:rsidRPr="00466CD3">
        <w:rPr>
          <w:rFonts w:ascii="Times New Roman" w:hAnsi="Times New Roman" w:cs="Times New Roman"/>
        </w:rPr>
        <w:t xml:space="preserve">. </w:t>
      </w:r>
    </w:p>
  </w:footnote>
  <w:footnote w:id="97">
    <w:p w14:paraId="31515226"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Minutes, Joint Select Committee on Economic Stabilization Fund Balance, Select. (2018, November 30). </w:t>
      </w:r>
      <w:hyperlink r:id="rId26" w:history="1">
        <w:r w:rsidRPr="00466CD3">
          <w:rPr>
            <w:rStyle w:val="aa"/>
            <w:rFonts w:ascii="Times New Roman" w:hAnsi="Times New Roman" w:cs="Times New Roman"/>
          </w:rPr>
          <w:t>https://capitol.texas.gov/tlodocs/85R/minutes/pdf/C8502018113010001.PDF</w:t>
        </w:r>
      </w:hyperlink>
      <w:r w:rsidRPr="00466CD3">
        <w:rPr>
          <w:rFonts w:ascii="Times New Roman" w:hAnsi="Times New Roman" w:cs="Times New Roman"/>
        </w:rPr>
        <w:t xml:space="preserve">. </w:t>
      </w:r>
    </w:p>
  </w:footnote>
  <w:footnote w:id="98">
    <w:p w14:paraId="17C95A97" w14:textId="77777777"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Hi. Act 304, SB 1034 (July 7, 1999) § 2. </w:t>
      </w:r>
    </w:p>
  </w:footnote>
  <w:footnote w:id="99">
    <w:p w14:paraId="22A52414" w14:textId="77777777"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2002 Hi. ALS 16, 2002 Hi. Act 16, 2001 Hi. HB 2613 (April 12, 2002). </w:t>
      </w:r>
    </w:p>
  </w:footnote>
  <w:footnote w:id="100">
    <w:p w14:paraId="3465E936"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2009 Hi. ALS 119, 2009 Hi. Act 119, 2009 Hi. SB 292 (June 15, 2009).</w:t>
      </w:r>
    </w:p>
  </w:footnote>
  <w:footnote w:id="101">
    <w:p w14:paraId="44B07D35" w14:textId="2F724D0E"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Hawaii. (2015, December 21). The FY 2017 Executive Supplemental Budget. Budget in Brief Prepared by the Department of Budget and Finance. </w:t>
      </w:r>
    </w:p>
  </w:footnote>
  <w:footnote w:id="102">
    <w:p w14:paraId="41C023C2" w14:textId="3A6EDD78"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Louisiana. </w:t>
      </w:r>
      <w:r w:rsidR="00BB763D">
        <w:rPr>
          <w:rFonts w:ascii="Times New Roman" w:hAnsi="Times New Roman" w:cs="Times New Roman"/>
        </w:rPr>
        <w:t xml:space="preserve">Annual </w:t>
      </w:r>
      <w:r w:rsidR="00BB763D" w:rsidRPr="00874EEE">
        <w:rPr>
          <w:rFonts w:ascii="Times New Roman" w:hAnsi="Times New Roman" w:cs="Times New Roman"/>
        </w:rPr>
        <w:t>Comprehensive Financial Report</w:t>
      </w:r>
      <w:r w:rsidR="00BB763D" w:rsidRPr="00466CD3">
        <w:rPr>
          <w:rFonts w:ascii="Times New Roman" w:hAnsi="Times New Roman" w:cs="Times New Roman"/>
        </w:rPr>
        <w:t xml:space="preserve"> </w:t>
      </w:r>
      <w:r w:rsidRPr="00466CD3">
        <w:rPr>
          <w:rFonts w:ascii="Times New Roman" w:hAnsi="Times New Roman" w:cs="Times New Roman"/>
        </w:rPr>
        <w:t xml:space="preserve">for the </w:t>
      </w:r>
      <w:r w:rsidR="00BB763D">
        <w:rPr>
          <w:rFonts w:ascii="Times New Roman" w:hAnsi="Times New Roman" w:cs="Times New Roman" w:hint="eastAsia"/>
        </w:rPr>
        <w:t xml:space="preserve">Fiscal </w:t>
      </w:r>
      <w:r w:rsidRPr="00466CD3">
        <w:rPr>
          <w:rFonts w:ascii="Times New Roman" w:hAnsi="Times New Roman" w:cs="Times New Roman"/>
        </w:rPr>
        <w:t xml:space="preserve">Year Ended June 30, 1998 (p. 78). </w:t>
      </w:r>
    </w:p>
  </w:footnote>
  <w:footnote w:id="103">
    <w:p w14:paraId="0328AA96" w14:textId="255455F5"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 39:94. Budget Stabilization Fund, La. R.S. § 39:94 (Current through the 2023 First Extraordinary and Act 344 of the 2023 Regular Session with exceptions to Act 150 and Act 279). </w:t>
      </w:r>
    </w:p>
  </w:footnote>
  <w:footnote w:id="104">
    <w:p w14:paraId="4A24FF8D"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Procopio, Steven. (2022). PAR Snapshot. Louisiana Builds Rainy Day Fund. The Public Affairs Research Council of Louisiana. </w:t>
      </w:r>
      <w:hyperlink r:id="rId27" w:history="1">
        <w:r w:rsidRPr="00466CD3">
          <w:rPr>
            <w:rStyle w:val="aa"/>
            <w:rFonts w:ascii="Times New Roman" w:hAnsi="Times New Roman" w:cs="Times New Roman"/>
          </w:rPr>
          <w:t>https://parlouisiana.org/wp-content/uploads/2023/02/PAR-Snapshot-10.12.22.pdf</w:t>
        </w:r>
      </w:hyperlink>
      <w:r w:rsidRPr="00466CD3">
        <w:rPr>
          <w:rFonts w:ascii="Times New Roman" w:hAnsi="Times New Roman" w:cs="Times New Roman"/>
        </w:rPr>
        <w:t xml:space="preserve">. </w:t>
      </w:r>
    </w:p>
  </w:footnote>
  <w:footnote w:id="105">
    <w:p w14:paraId="086CB3DF"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Procopio, Steven. (2022). PAR Snapshot. Louisiana Builds Rainy Day Fund. The Public Affairs Research Council of Louisiana. </w:t>
      </w:r>
      <w:hyperlink r:id="rId28" w:history="1">
        <w:r w:rsidRPr="00466CD3">
          <w:rPr>
            <w:rStyle w:val="aa"/>
            <w:rFonts w:ascii="Times New Roman" w:hAnsi="Times New Roman" w:cs="Times New Roman"/>
          </w:rPr>
          <w:t>https://parlouisiana.org/wp-content/uploads/2023/02/PAR-Snapshot-10.12.22.pdf</w:t>
        </w:r>
      </w:hyperlink>
      <w:r w:rsidRPr="00466CD3">
        <w:rPr>
          <w:rFonts w:ascii="Times New Roman" w:hAnsi="Times New Roman" w:cs="Times New Roman"/>
        </w:rPr>
        <w:t xml:space="preserve">. </w:t>
      </w:r>
    </w:p>
  </w:footnote>
  <w:footnote w:id="106">
    <w:p w14:paraId="4D3D2EDA" w14:textId="1E7B82BF"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Louisiana. </w:t>
      </w:r>
      <w:r w:rsidR="001B2F7A">
        <w:rPr>
          <w:rFonts w:ascii="Times New Roman" w:hAnsi="Times New Roman" w:cs="Times New Roman"/>
        </w:rPr>
        <w:t xml:space="preserve">Annual </w:t>
      </w:r>
      <w:r w:rsidR="001B2F7A" w:rsidRPr="00874EEE">
        <w:rPr>
          <w:rFonts w:ascii="Times New Roman" w:hAnsi="Times New Roman" w:cs="Times New Roman"/>
        </w:rPr>
        <w:t>Comprehensive Financial Report</w:t>
      </w:r>
      <w:r w:rsidR="001B2F7A" w:rsidRPr="00466CD3">
        <w:rPr>
          <w:rFonts w:ascii="Times New Roman" w:hAnsi="Times New Roman" w:cs="Times New Roman"/>
        </w:rPr>
        <w:t xml:space="preserve"> </w:t>
      </w:r>
      <w:r w:rsidRPr="00466CD3">
        <w:rPr>
          <w:rFonts w:ascii="Times New Roman" w:hAnsi="Times New Roman" w:cs="Times New Roman"/>
        </w:rPr>
        <w:t xml:space="preserve">for the Year Ended June 30, 2018. </w:t>
      </w:r>
      <w:hyperlink r:id="rId29" w:history="1">
        <w:r w:rsidRPr="00466CD3">
          <w:rPr>
            <w:rStyle w:val="aa"/>
            <w:rFonts w:ascii="Times New Roman" w:hAnsi="Times New Roman" w:cs="Times New Roman"/>
          </w:rPr>
          <w:t>https://www.doa.la.gov/media/d4cfwjlv/cafr-2018.pdf</w:t>
        </w:r>
      </w:hyperlink>
      <w:r w:rsidRPr="00466CD3">
        <w:rPr>
          <w:rFonts w:ascii="Times New Roman" w:hAnsi="Times New Roman" w:cs="Times New Roman"/>
        </w:rPr>
        <w:t xml:space="preserve">. </w:t>
      </w:r>
    </w:p>
  </w:footnote>
  <w:footnote w:id="107">
    <w:p w14:paraId="3F3B4DEB"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Ibid. </w:t>
      </w:r>
    </w:p>
  </w:footnote>
  <w:footnote w:id="108">
    <w:p w14:paraId="6128F959"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 10.3. Budget Stabilization Fund, La. Const. Art. VII, § 10.3.</w:t>
      </w:r>
    </w:p>
  </w:footnote>
  <w:footnote w:id="109">
    <w:p w14:paraId="7BF2C862" w14:textId="345F754A"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Louisiana. </w:t>
      </w:r>
      <w:r w:rsidR="00585949">
        <w:rPr>
          <w:rFonts w:ascii="Times New Roman" w:hAnsi="Times New Roman" w:cs="Times New Roman"/>
        </w:rPr>
        <w:t xml:space="preserve">Annual </w:t>
      </w:r>
      <w:r w:rsidR="00585949" w:rsidRPr="00874EEE">
        <w:rPr>
          <w:rFonts w:ascii="Times New Roman" w:hAnsi="Times New Roman" w:cs="Times New Roman"/>
        </w:rPr>
        <w:t>Comprehensive Financial Report</w:t>
      </w:r>
      <w:r w:rsidR="00585949" w:rsidRPr="00466CD3">
        <w:rPr>
          <w:rFonts w:ascii="Times New Roman" w:hAnsi="Times New Roman" w:cs="Times New Roman"/>
        </w:rPr>
        <w:t xml:space="preserve"> </w:t>
      </w:r>
      <w:r w:rsidRPr="00466CD3">
        <w:rPr>
          <w:rFonts w:ascii="Times New Roman" w:hAnsi="Times New Roman" w:cs="Times New Roman"/>
        </w:rPr>
        <w:t>for the Year Ended June 30, 2018.</w:t>
      </w:r>
    </w:p>
  </w:footnote>
  <w:footnote w:id="110">
    <w:p w14:paraId="2BFE5DE0" w14:textId="7DDE3A7B"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Revenue Estimating Conference. (2017, December 14). State Revenue Out</w:t>
      </w:r>
      <w:r w:rsidR="0087096A">
        <w:rPr>
          <w:rFonts w:ascii="Times New Roman" w:hAnsi="Times New Roman" w:cs="Times New Roman" w:hint="eastAsia"/>
        </w:rPr>
        <w:t>l</w:t>
      </w:r>
      <w:r w:rsidRPr="00466CD3">
        <w:rPr>
          <w:rFonts w:ascii="Times New Roman" w:hAnsi="Times New Roman" w:cs="Times New Roman"/>
        </w:rPr>
        <w:t xml:space="preserve">ook. Legislative Fiscal Office. </w:t>
      </w:r>
    </w:p>
  </w:footnote>
  <w:footnote w:id="111">
    <w:p w14:paraId="58642108" w14:textId="4B55098A"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Revenue Estimating Conference. (2019, April 10). State Revenue Out</w:t>
      </w:r>
      <w:r w:rsidR="0087096A">
        <w:rPr>
          <w:rFonts w:ascii="Times New Roman" w:hAnsi="Times New Roman" w:cs="Times New Roman" w:hint="eastAsia"/>
        </w:rPr>
        <w:t>l</w:t>
      </w:r>
      <w:r w:rsidRPr="00466CD3">
        <w:rPr>
          <w:rFonts w:ascii="Times New Roman" w:hAnsi="Times New Roman" w:cs="Times New Roman"/>
        </w:rPr>
        <w:t xml:space="preserve">ook. Legislative Fiscal Office. </w:t>
      </w:r>
    </w:p>
  </w:footnote>
  <w:footnote w:id="112">
    <w:p w14:paraId="145414C3"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Laws, 1992, ch. 484 § 2</w:t>
      </w:r>
    </w:p>
  </w:footnote>
  <w:footnote w:id="113">
    <w:p w14:paraId="78AD430B" w14:textId="1ECC9086"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Mississippi.</w:t>
      </w:r>
      <w:r w:rsidR="004824B1" w:rsidRPr="004824B1">
        <w:rPr>
          <w:rFonts w:ascii="Times New Roman" w:hAnsi="Times New Roman" w:cs="Times New Roman"/>
        </w:rPr>
        <w:t xml:space="preserve"> </w:t>
      </w:r>
      <w:r w:rsidR="004824B1">
        <w:rPr>
          <w:rFonts w:ascii="Times New Roman" w:hAnsi="Times New Roman" w:cs="Times New Roman"/>
        </w:rPr>
        <w:t xml:space="preserve">Annual </w:t>
      </w:r>
      <w:r w:rsidR="004824B1" w:rsidRPr="00874EEE">
        <w:rPr>
          <w:rFonts w:ascii="Times New Roman" w:hAnsi="Times New Roman" w:cs="Times New Roman"/>
        </w:rPr>
        <w:t>Comprehensive Financial Report</w:t>
      </w:r>
      <w:r w:rsidRPr="00466CD3">
        <w:rPr>
          <w:rFonts w:ascii="Times New Roman" w:hAnsi="Times New Roman" w:cs="Times New Roman"/>
        </w:rPr>
        <w:t xml:space="preserve"> Fiscal Year Ended June 30, 1996. </w:t>
      </w:r>
    </w:p>
  </w:footnote>
  <w:footnote w:id="114">
    <w:p w14:paraId="29F204C5"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2004 Miss. ALS 596, 2004 Miss. Laws 596, 2004 Miss. H.B. 1860 (May 27, 2004). </w:t>
      </w:r>
    </w:p>
  </w:footnote>
  <w:footnote w:id="115">
    <w:p w14:paraId="44ADB223"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2008 Miss. ALS 455, 2008 Miss. Gen. Laws 455, 2008 Miss. H.B. 1244 (April 10, 2008). </w:t>
      </w:r>
    </w:p>
  </w:footnote>
  <w:footnote w:id="116">
    <w:p w14:paraId="5697C7DF" w14:textId="7777777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2015 Miss. ALS 471, 2015 Miss. Gen. Laws 471, 2015 Miss. H.B. 434 (April 22, 2015). </w:t>
      </w:r>
    </w:p>
  </w:footnote>
  <w:footnote w:id="117">
    <w:p w14:paraId="17DBAA14" w14:textId="421F48E2"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Mississippi.</w:t>
      </w:r>
      <w:r w:rsidR="001B4852" w:rsidRPr="001B4852">
        <w:rPr>
          <w:rFonts w:ascii="Times New Roman" w:hAnsi="Times New Roman" w:cs="Times New Roman"/>
        </w:rPr>
        <w:t xml:space="preserve"> </w:t>
      </w:r>
      <w:r w:rsidR="001B4852">
        <w:rPr>
          <w:rFonts w:ascii="Times New Roman" w:hAnsi="Times New Roman" w:cs="Times New Roman"/>
        </w:rPr>
        <w:t xml:space="preserve">Annual </w:t>
      </w:r>
      <w:r w:rsidR="001B4852" w:rsidRPr="00874EEE">
        <w:rPr>
          <w:rFonts w:ascii="Times New Roman" w:hAnsi="Times New Roman" w:cs="Times New Roman"/>
        </w:rPr>
        <w:t>Comprehensive Financial Report</w:t>
      </w:r>
      <w:r w:rsidRPr="00466CD3">
        <w:rPr>
          <w:rFonts w:ascii="Times New Roman" w:hAnsi="Times New Roman" w:cs="Times New Roman"/>
        </w:rPr>
        <w:t xml:space="preserve">. Fiscal Year Ended June 30, 2001. </w:t>
      </w:r>
    </w:p>
  </w:footnote>
  <w:footnote w:id="118">
    <w:p w14:paraId="045736C6" w14:textId="43F91F9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Mississippi.</w:t>
      </w:r>
      <w:r w:rsidR="001B4852" w:rsidRPr="001B4852">
        <w:rPr>
          <w:rFonts w:ascii="Times New Roman" w:hAnsi="Times New Roman" w:cs="Times New Roman"/>
        </w:rPr>
        <w:t xml:space="preserve"> </w:t>
      </w:r>
      <w:r w:rsidR="001B4852">
        <w:rPr>
          <w:rFonts w:ascii="Times New Roman" w:hAnsi="Times New Roman" w:cs="Times New Roman"/>
        </w:rPr>
        <w:t xml:space="preserve">Annual </w:t>
      </w:r>
      <w:r w:rsidR="001B4852" w:rsidRPr="00874EEE">
        <w:rPr>
          <w:rFonts w:ascii="Times New Roman" w:hAnsi="Times New Roman" w:cs="Times New Roman"/>
        </w:rPr>
        <w:t>Comprehensive Financial Report</w:t>
      </w:r>
      <w:r w:rsidRPr="00466CD3">
        <w:rPr>
          <w:rFonts w:ascii="Times New Roman" w:hAnsi="Times New Roman" w:cs="Times New Roman"/>
        </w:rPr>
        <w:t xml:space="preserve">. Fiscal Year Ended June 30, 2002. </w:t>
      </w:r>
    </w:p>
  </w:footnote>
  <w:footnote w:id="119">
    <w:p w14:paraId="20DD01D4" w14:textId="15237217"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Mississippi.</w:t>
      </w:r>
      <w:r w:rsidR="001B4852" w:rsidRPr="001B4852">
        <w:rPr>
          <w:rFonts w:ascii="Times New Roman" w:hAnsi="Times New Roman" w:cs="Times New Roman"/>
        </w:rPr>
        <w:t xml:space="preserve"> </w:t>
      </w:r>
      <w:r w:rsidR="001B4852">
        <w:rPr>
          <w:rFonts w:ascii="Times New Roman" w:hAnsi="Times New Roman" w:cs="Times New Roman"/>
        </w:rPr>
        <w:t xml:space="preserve">Annual </w:t>
      </w:r>
      <w:r w:rsidR="001B4852" w:rsidRPr="00874EEE">
        <w:rPr>
          <w:rFonts w:ascii="Times New Roman" w:hAnsi="Times New Roman" w:cs="Times New Roman"/>
        </w:rPr>
        <w:t>Comprehensive Financial Report</w:t>
      </w:r>
      <w:r w:rsidRPr="00466CD3">
        <w:rPr>
          <w:rFonts w:ascii="Times New Roman" w:hAnsi="Times New Roman" w:cs="Times New Roman"/>
        </w:rPr>
        <w:t xml:space="preserve">. Fiscal Year Ended June 30, 2003. </w:t>
      </w:r>
    </w:p>
  </w:footnote>
  <w:footnote w:id="120">
    <w:p w14:paraId="599BE8D2" w14:textId="4494BFF9"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Mississippi.</w:t>
      </w:r>
      <w:r w:rsidR="00E34FC7" w:rsidRPr="00E34FC7">
        <w:rPr>
          <w:rFonts w:ascii="Times New Roman" w:hAnsi="Times New Roman" w:cs="Times New Roman"/>
        </w:rPr>
        <w:t xml:space="preserve"> </w:t>
      </w:r>
      <w:r w:rsidR="00E34FC7">
        <w:rPr>
          <w:rFonts w:ascii="Times New Roman" w:hAnsi="Times New Roman" w:cs="Times New Roman"/>
        </w:rPr>
        <w:t xml:space="preserve">Annual </w:t>
      </w:r>
      <w:r w:rsidR="00E34FC7" w:rsidRPr="00874EEE">
        <w:rPr>
          <w:rFonts w:ascii="Times New Roman" w:hAnsi="Times New Roman" w:cs="Times New Roman"/>
        </w:rPr>
        <w:t>Comprehensive Financial Report</w:t>
      </w:r>
      <w:r w:rsidRPr="00466CD3">
        <w:rPr>
          <w:rFonts w:ascii="Times New Roman" w:hAnsi="Times New Roman" w:cs="Times New Roman"/>
        </w:rPr>
        <w:t xml:space="preserve">. Fiscal Year Ended June 30, 2004. </w:t>
      </w:r>
    </w:p>
  </w:footnote>
  <w:footnote w:id="121">
    <w:p w14:paraId="4D3FB314" w14:textId="77777777" w:rsidR="00AF6702" w:rsidRPr="00466CD3" w:rsidRDefault="00AF6702" w:rsidP="00AF6702">
      <w:pPr>
        <w:pStyle w:val="a4"/>
        <w:spacing w:before="240"/>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FY2002 Budget Implementation (State Finance) Act, 2001 ILL. ALS 11, 2001 Ill. Laws 11, 2001 ILL. P.A. 11, 2001 ILL. HB 3493 (June 11, 2001).</w:t>
      </w:r>
    </w:p>
  </w:footnote>
  <w:footnote w:id="122">
    <w:p w14:paraId="1FC5EA99" w14:textId="2A1A753F"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Illinois, </w:t>
      </w:r>
      <w:r w:rsidR="00334225">
        <w:rPr>
          <w:rFonts w:ascii="Times New Roman" w:hAnsi="Times New Roman" w:cs="Times New Roman"/>
        </w:rPr>
        <w:t xml:space="preserve">Annual </w:t>
      </w:r>
      <w:r w:rsidR="00334225" w:rsidRPr="00874EEE">
        <w:rPr>
          <w:rFonts w:ascii="Times New Roman" w:hAnsi="Times New Roman" w:cs="Times New Roman"/>
        </w:rPr>
        <w:t>Comprehensive Financial Report</w:t>
      </w:r>
      <w:r w:rsidR="00334225" w:rsidRPr="00466CD3">
        <w:rPr>
          <w:rFonts w:ascii="Times New Roman" w:hAnsi="Times New Roman" w:cs="Times New Roman"/>
        </w:rPr>
        <w:t xml:space="preserve"> </w:t>
      </w:r>
      <w:r w:rsidR="00945D3D">
        <w:rPr>
          <w:rFonts w:ascii="Times New Roman" w:hAnsi="Times New Roman" w:cs="Times New Roman" w:hint="eastAsia"/>
        </w:rPr>
        <w:t>f</w:t>
      </w:r>
      <w:r w:rsidRPr="00466CD3">
        <w:rPr>
          <w:rFonts w:ascii="Times New Roman" w:hAnsi="Times New Roman" w:cs="Times New Roman"/>
        </w:rPr>
        <w:t xml:space="preserve">or Fiscal Year Ended June 30, 2009. </w:t>
      </w:r>
    </w:p>
  </w:footnote>
  <w:footnote w:id="123">
    <w:p w14:paraId="06C5AB61" w14:textId="0EFEB052"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Illinois, </w:t>
      </w:r>
      <w:r w:rsidR="00334225">
        <w:rPr>
          <w:rFonts w:ascii="Times New Roman" w:hAnsi="Times New Roman" w:cs="Times New Roman"/>
        </w:rPr>
        <w:t xml:space="preserve">Annual </w:t>
      </w:r>
      <w:r w:rsidR="00334225" w:rsidRPr="00874EEE">
        <w:rPr>
          <w:rFonts w:ascii="Times New Roman" w:hAnsi="Times New Roman" w:cs="Times New Roman"/>
        </w:rPr>
        <w:t>Comprehensive Financial Report</w:t>
      </w:r>
      <w:r w:rsidR="00334225" w:rsidRPr="00466CD3">
        <w:rPr>
          <w:rFonts w:ascii="Times New Roman" w:hAnsi="Times New Roman" w:cs="Times New Roman"/>
        </w:rPr>
        <w:t xml:space="preserve"> </w:t>
      </w:r>
      <w:r w:rsidRPr="00466CD3">
        <w:rPr>
          <w:rFonts w:ascii="Times New Roman" w:hAnsi="Times New Roman" w:cs="Times New Roman"/>
        </w:rPr>
        <w:t xml:space="preserve">for Fiscal Year Ended June 30, 2002. </w:t>
      </w:r>
    </w:p>
  </w:footnote>
  <w:footnote w:id="124">
    <w:p w14:paraId="684C59C4" w14:textId="78582BD4" w:rsidR="00AF6702" w:rsidRPr="00466CD3" w:rsidRDefault="00AF6702" w:rsidP="00AF6702">
      <w:pPr>
        <w:pStyle w:val="a4"/>
        <w:contextualSpacing/>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State of Illinois, </w:t>
      </w:r>
      <w:r w:rsidR="00334225">
        <w:rPr>
          <w:rFonts w:ascii="Times New Roman" w:hAnsi="Times New Roman" w:cs="Times New Roman"/>
        </w:rPr>
        <w:t xml:space="preserve">Annual </w:t>
      </w:r>
      <w:r w:rsidR="00334225" w:rsidRPr="00874EEE">
        <w:rPr>
          <w:rFonts w:ascii="Times New Roman" w:hAnsi="Times New Roman" w:cs="Times New Roman"/>
        </w:rPr>
        <w:t>Comprehensive Financial Report</w:t>
      </w:r>
      <w:r w:rsidR="00334225" w:rsidRPr="00466CD3">
        <w:rPr>
          <w:rFonts w:ascii="Times New Roman" w:hAnsi="Times New Roman" w:cs="Times New Roman"/>
        </w:rPr>
        <w:t xml:space="preserve"> </w:t>
      </w:r>
      <w:r w:rsidRPr="00466CD3">
        <w:rPr>
          <w:rFonts w:ascii="Times New Roman" w:hAnsi="Times New Roman" w:cs="Times New Roman"/>
        </w:rPr>
        <w:t xml:space="preserve">for Fiscal Year Ended June 30, 2009. </w:t>
      </w:r>
    </w:p>
  </w:footnote>
  <w:footnote w:id="125">
    <w:p w14:paraId="541C9084"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Prior to the 2008 constitutional amendment, the state of Alabama did not have a Rainy Day Account for General Fund programs and services, but there was the Education Trust Fund Rainy Day Account to cover Education Trust Fund shortfalls. Nevertheless, Alabama’s Education Trust Fund Rainy Day Account has been treated as an important Rainy Day Fund in the existing literature, thus, it is also included in this study. </w:t>
      </w:r>
    </w:p>
  </w:footnote>
  <w:footnote w:id="126">
    <w:p w14:paraId="66E0E966"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Budget Act of 1980 (AB 1806) created the Reserve for Economic Uncertainties as an account within the General Fund. Chapter 139, Statutes of 1985 renamed it Special Fund for Economic Uncertainties.</w:t>
      </w:r>
    </w:p>
  </w:footnote>
  <w:footnote w:id="127">
    <w:p w14:paraId="5D66D8E7"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General Assembly of Georgia was authorized to appropriate $ 12.5 million for fiscal year 1985 from the Revenue Shortfall Reserve for the purpose of financing the construction of water and sewer projects, through loans to local governments by the Georgia Development Authority. Thus, the Reserve has been used for miscellaneous purposes (e.g., capital project), so the code for Other Use remains the same. </w:t>
      </w:r>
    </w:p>
  </w:footnote>
  <w:footnote w:id="128">
    <w:p w14:paraId="4D9BF081"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emergency fund was created as a trust fund in 1960 (Nev. Rev. Stat. Ann. § 353.263). However, in 1991, it was reestablished within the state General Fund (1991 Nev. ALS 556, Ch. 556, SB 497).</w:t>
      </w:r>
    </w:p>
  </w:footnote>
  <w:footnote w:id="129">
    <w:p w14:paraId="726675DA"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Although HB 2763 was passed in 2016, Deposit tied to revenue volatility and withdrawal tied to volatility began to be implemented in 2018. </w:t>
      </w:r>
    </w:p>
  </w:footnote>
  <w:footnote w:id="130">
    <w:p w14:paraId="5FC42919"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"Moving five-year average amount for oil and gas" means, for purposes of the apportionments prescribed by this section, the amount of gross production tax on natural gas collected for each of the five (5) complete fiscal years, as computed by the State Board of Equalization pursuant to Section 2 of the act. </w:t>
      </w:r>
    </w:p>
  </w:footnote>
  <w:footnote w:id="131">
    <w:p w14:paraId="03699C7F"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Before establishing the Oregon Rainy Day Fund (ORDF), the state of Oregon did not have a Rainy Day Account for General Fund programs and services, but there was the Education Stability Fund for public education (Or. Const. art. XV, § 4). Nevertheless, Education Stability Fund has been treated as an important Rainy Day Fund in the existing literature, thus, it is also included in this study. </w:t>
      </w:r>
    </w:p>
    <w:p w14:paraId="05A563A5" w14:textId="77777777" w:rsidR="00AF6702" w:rsidRPr="00466CD3" w:rsidRDefault="00AF6702" w:rsidP="00AF6702">
      <w:pPr>
        <w:pStyle w:val="a4"/>
        <w:rPr>
          <w:rFonts w:ascii="Times New Roman" w:hAnsi="Times New Roman" w:cs="Times New Roman"/>
        </w:rPr>
      </w:pPr>
    </w:p>
  </w:footnote>
  <w:footnote w:id="132">
    <w:p w14:paraId="34EC6A90"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The Washington State Tax Structure Study Committee. (November, 2002). Tax Alternatives for Washington State: A Report to the Legislature Prepared Pursuant to Chapter 7, Section 138, Laws of 2001, Volume 2, Appendices. </w:t>
      </w:r>
      <w:hyperlink r:id="rId30" w:history="1">
        <w:r w:rsidRPr="00466CD3">
          <w:rPr>
            <w:rStyle w:val="aa"/>
            <w:rFonts w:ascii="Times New Roman" w:hAnsi="Times New Roman" w:cs="Times New Roman"/>
          </w:rPr>
          <w:t>https://dor.wa.gov/sites/default/files/legacy/content/aboutus/statisticsandreports/wataxstudy/volume_2.pdf</w:t>
        </w:r>
      </w:hyperlink>
      <w:r w:rsidRPr="00466CD3">
        <w:rPr>
          <w:rFonts w:ascii="Times New Roman" w:hAnsi="Times New Roman" w:cs="Times New Roman"/>
        </w:rPr>
        <w:t xml:space="preserve">. </w:t>
      </w:r>
    </w:p>
  </w:footnote>
  <w:footnote w:id="133">
    <w:p w14:paraId="6CC0E3F0" w14:textId="77777777" w:rsidR="00AF6702" w:rsidRPr="00466CD3" w:rsidRDefault="00AF6702" w:rsidP="00AF6702">
      <w:pPr>
        <w:pStyle w:val="a4"/>
        <w:rPr>
          <w:rFonts w:ascii="Times New Roman" w:hAnsi="Times New Roman" w:cs="Times New Roman"/>
        </w:rPr>
      </w:pPr>
      <w:r w:rsidRPr="00466CD3">
        <w:rPr>
          <w:rStyle w:val="a5"/>
          <w:rFonts w:ascii="Times New Roman" w:hAnsi="Times New Roman" w:cs="Times New Roman"/>
        </w:rPr>
        <w:footnoteRef/>
      </w:r>
      <w:r w:rsidRPr="00466CD3">
        <w:rPr>
          <w:rFonts w:ascii="Times New Roman" w:hAnsi="Times New Roman" w:cs="Times New Roman"/>
        </w:rPr>
        <w:t xml:space="preserve"> In November 2007, Washington state voters ratified Engrossed Substitute Senate Joint Resolution 8206, amending the Washington Constitution</w:t>
      </w:r>
    </w:p>
    <w:p w14:paraId="3EF54EEC" w14:textId="6A0DC555" w:rsidR="00AF6702" w:rsidRPr="00466CD3" w:rsidRDefault="00AF6702" w:rsidP="00AF6702">
      <w:pPr>
        <w:pStyle w:val="a4"/>
        <w:rPr>
          <w:rFonts w:ascii="Times New Roman" w:hAnsi="Times New Roman" w:cs="Times New Roman"/>
        </w:rPr>
      </w:pPr>
      <w:r w:rsidRPr="00466CD3">
        <w:rPr>
          <w:rFonts w:ascii="Times New Roman" w:hAnsi="Times New Roman" w:cs="Times New Roman"/>
        </w:rPr>
        <w:t>and establishing the Budget Stabilization Account (BSA) (</w:t>
      </w:r>
      <w:r w:rsidR="008C2AE8" w:rsidRPr="008C2AE8">
        <w:rPr>
          <w:rFonts w:ascii="Times New Roman" w:hAnsi="Times New Roman" w:cs="Times New Roman"/>
        </w:rPr>
        <w:t>ACFR</w:t>
      </w:r>
      <w:r w:rsidRPr="00466CD3">
        <w:rPr>
          <w:rFonts w:ascii="Times New Roman" w:hAnsi="Times New Roman" w:cs="Times New Roman"/>
        </w:rPr>
        <w:t xml:space="preserve">, 2007, p. 33).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0A58DD"/>
    <w:multiLevelType w:val="multilevel"/>
    <w:tmpl w:val="0D1ADD76"/>
    <w:lvl w:ilvl="0">
      <w:start w:val="1"/>
      <w:numFmt w:val="decimal"/>
      <w:lvlText w:val="%1."/>
      <w:lvlJc w:val="left"/>
      <w:pPr>
        <w:ind w:left="360" w:hanging="360"/>
      </w:pPr>
      <w:rPr>
        <w:rFonts w:hint="eastAsia"/>
      </w:rPr>
    </w:lvl>
    <w:lvl w:ilvl="1">
      <w:start w:val="1"/>
      <w:numFmt w:val="decimal"/>
      <w:lvlText w:val="%1.%2."/>
      <w:lvlJc w:val="left"/>
      <w:pPr>
        <w:ind w:left="792" w:hanging="432"/>
      </w:pPr>
      <w:rPr>
        <w:rFonts w:hint="eastAsia"/>
        <w:color w:val="auto"/>
      </w:rPr>
    </w:lvl>
    <w:lvl w:ilvl="2">
      <w:start w:val="1"/>
      <w:numFmt w:val="decimal"/>
      <w:lvlText w:val="%1.%2.%3."/>
      <w:lvlJc w:val="left"/>
      <w:pPr>
        <w:ind w:left="1224" w:hanging="504"/>
      </w:pPr>
      <w:rPr>
        <w:rFonts w:hint="eastAsia"/>
      </w:rPr>
    </w:lvl>
    <w:lvl w:ilvl="3">
      <w:start w:val="1"/>
      <w:numFmt w:val="decimal"/>
      <w:lvlText w:val="%1.%2.%3.%4."/>
      <w:lvlJc w:val="left"/>
      <w:pPr>
        <w:ind w:left="1728" w:hanging="648"/>
      </w:pPr>
      <w:rPr>
        <w:rFonts w:hint="eastAsia"/>
      </w:rPr>
    </w:lvl>
    <w:lvl w:ilvl="4">
      <w:start w:val="1"/>
      <w:numFmt w:val="decimal"/>
      <w:lvlText w:val="%1.%2.%3.%4.%5."/>
      <w:lvlJc w:val="left"/>
      <w:pPr>
        <w:ind w:left="2232" w:hanging="792"/>
      </w:pPr>
      <w:rPr>
        <w:rFonts w:hint="eastAsia"/>
      </w:rPr>
    </w:lvl>
    <w:lvl w:ilvl="5">
      <w:start w:val="1"/>
      <w:numFmt w:val="decimal"/>
      <w:lvlText w:val="%1.%2.%3.%4.%5.%6."/>
      <w:lvlJc w:val="left"/>
      <w:pPr>
        <w:ind w:left="2736" w:hanging="936"/>
      </w:pPr>
      <w:rPr>
        <w:rFonts w:hint="eastAsia"/>
      </w:rPr>
    </w:lvl>
    <w:lvl w:ilvl="6">
      <w:start w:val="1"/>
      <w:numFmt w:val="decimal"/>
      <w:lvlText w:val="%1.%2.%3.%4.%5.%6.%7."/>
      <w:lvlJc w:val="left"/>
      <w:pPr>
        <w:ind w:left="3240" w:hanging="1080"/>
      </w:pPr>
      <w:rPr>
        <w:rFonts w:hint="eastAsia"/>
      </w:rPr>
    </w:lvl>
    <w:lvl w:ilvl="7">
      <w:start w:val="1"/>
      <w:numFmt w:val="decimal"/>
      <w:lvlText w:val="%1.%2.%3.%4.%5.%6.%7.%8."/>
      <w:lvlJc w:val="left"/>
      <w:pPr>
        <w:ind w:left="3744" w:hanging="1224"/>
      </w:pPr>
      <w:rPr>
        <w:rFonts w:hint="eastAsia"/>
      </w:rPr>
    </w:lvl>
    <w:lvl w:ilvl="8">
      <w:start w:val="1"/>
      <w:numFmt w:val="decimal"/>
      <w:lvlText w:val="%1.%2.%3.%4.%5.%6.%7.%8.%9."/>
      <w:lvlJc w:val="left"/>
      <w:pPr>
        <w:ind w:left="4320" w:hanging="1440"/>
      </w:pPr>
      <w:rPr>
        <w:rFonts w:hint="eastAsia"/>
      </w:rPr>
    </w:lvl>
  </w:abstractNum>
  <w:abstractNum w:abstractNumId="1" w15:restartNumberingAfterBreak="0">
    <w:nsid w:val="0B585AAA"/>
    <w:multiLevelType w:val="hybridMultilevel"/>
    <w:tmpl w:val="A43406FE"/>
    <w:lvl w:ilvl="0" w:tplc="E1F88F7A">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6D04BF8"/>
    <w:multiLevelType w:val="hybridMultilevel"/>
    <w:tmpl w:val="9BEC13E2"/>
    <w:lvl w:ilvl="0" w:tplc="46D831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3A0EC1"/>
    <w:multiLevelType w:val="multilevel"/>
    <w:tmpl w:val="4760C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D0C09EC"/>
    <w:multiLevelType w:val="hybridMultilevel"/>
    <w:tmpl w:val="B302EFBC"/>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 w15:restartNumberingAfterBreak="0">
    <w:nsid w:val="20807AF4"/>
    <w:multiLevelType w:val="multilevel"/>
    <w:tmpl w:val="68D63EE4"/>
    <w:lvl w:ilvl="0">
      <w:start w:val="1"/>
      <w:numFmt w:val="decimal"/>
      <w:lvlText w:val="%1."/>
      <w:lvlJc w:val="left"/>
      <w:pPr>
        <w:ind w:left="360" w:hanging="360"/>
      </w:pPr>
      <w:rPr>
        <w:rFonts w:hint="eastAsia"/>
      </w:rPr>
    </w:lvl>
    <w:lvl w:ilvl="1">
      <w:start w:val="1"/>
      <w:numFmt w:val="decimal"/>
      <w:lvlText w:val="%1.%2."/>
      <w:lvlJc w:val="left"/>
      <w:pPr>
        <w:ind w:left="716"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740423"/>
    <w:multiLevelType w:val="hybridMultilevel"/>
    <w:tmpl w:val="A998DB04"/>
    <w:lvl w:ilvl="0" w:tplc="BF9AF23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6775994"/>
    <w:multiLevelType w:val="hybridMultilevel"/>
    <w:tmpl w:val="3680236E"/>
    <w:lvl w:ilvl="0" w:tplc="D206F01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A412C50"/>
    <w:multiLevelType w:val="hybridMultilevel"/>
    <w:tmpl w:val="581A784E"/>
    <w:lvl w:ilvl="0" w:tplc="E5A23AA4">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9" w15:restartNumberingAfterBreak="0">
    <w:nsid w:val="2C777DB1"/>
    <w:multiLevelType w:val="hybridMultilevel"/>
    <w:tmpl w:val="7424F21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FF90F95"/>
    <w:multiLevelType w:val="hybridMultilevel"/>
    <w:tmpl w:val="2578D2F0"/>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18E52AD"/>
    <w:multiLevelType w:val="hybridMultilevel"/>
    <w:tmpl w:val="DF08CBD8"/>
    <w:lvl w:ilvl="0" w:tplc="3A8EDD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4393D0C"/>
    <w:multiLevelType w:val="hybridMultilevel"/>
    <w:tmpl w:val="87C29E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57F06BE"/>
    <w:multiLevelType w:val="hybridMultilevel"/>
    <w:tmpl w:val="CCB84AA6"/>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385D116A"/>
    <w:multiLevelType w:val="hybridMultilevel"/>
    <w:tmpl w:val="F0A21F3A"/>
    <w:lvl w:ilvl="0" w:tplc="DE3E9C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A2423C9"/>
    <w:multiLevelType w:val="multilevel"/>
    <w:tmpl w:val="0D1ADD76"/>
    <w:lvl w:ilvl="0">
      <w:start w:val="1"/>
      <w:numFmt w:val="decimal"/>
      <w:lvlText w:val="%1."/>
      <w:lvlJc w:val="left"/>
      <w:pPr>
        <w:ind w:left="360" w:hanging="360"/>
      </w:pPr>
      <w:rPr>
        <w:rFonts w:hint="eastAsia"/>
      </w:rPr>
    </w:lvl>
    <w:lvl w:ilvl="1">
      <w:start w:val="1"/>
      <w:numFmt w:val="decimal"/>
      <w:lvlText w:val="%1.%2."/>
      <w:lvlJc w:val="left"/>
      <w:pPr>
        <w:ind w:left="792" w:hanging="432"/>
      </w:pPr>
      <w:rPr>
        <w:rFonts w:hint="eastAsia"/>
        <w:color w:val="auto"/>
      </w:rPr>
    </w:lvl>
    <w:lvl w:ilvl="2">
      <w:start w:val="1"/>
      <w:numFmt w:val="decimal"/>
      <w:lvlText w:val="%1.%2.%3."/>
      <w:lvlJc w:val="left"/>
      <w:pPr>
        <w:ind w:left="1224" w:hanging="504"/>
      </w:pPr>
      <w:rPr>
        <w:rFonts w:hint="eastAsia"/>
      </w:rPr>
    </w:lvl>
    <w:lvl w:ilvl="3">
      <w:start w:val="1"/>
      <w:numFmt w:val="decimal"/>
      <w:lvlText w:val="%1.%2.%3.%4."/>
      <w:lvlJc w:val="left"/>
      <w:pPr>
        <w:ind w:left="1728" w:hanging="648"/>
      </w:pPr>
      <w:rPr>
        <w:rFonts w:hint="eastAsia"/>
      </w:rPr>
    </w:lvl>
    <w:lvl w:ilvl="4">
      <w:start w:val="1"/>
      <w:numFmt w:val="decimal"/>
      <w:lvlText w:val="%1.%2.%3.%4.%5."/>
      <w:lvlJc w:val="left"/>
      <w:pPr>
        <w:ind w:left="2232" w:hanging="792"/>
      </w:pPr>
      <w:rPr>
        <w:rFonts w:hint="eastAsia"/>
      </w:rPr>
    </w:lvl>
    <w:lvl w:ilvl="5">
      <w:start w:val="1"/>
      <w:numFmt w:val="decimal"/>
      <w:lvlText w:val="%1.%2.%3.%4.%5.%6."/>
      <w:lvlJc w:val="left"/>
      <w:pPr>
        <w:ind w:left="2736" w:hanging="936"/>
      </w:pPr>
      <w:rPr>
        <w:rFonts w:hint="eastAsia"/>
      </w:rPr>
    </w:lvl>
    <w:lvl w:ilvl="6">
      <w:start w:val="1"/>
      <w:numFmt w:val="decimal"/>
      <w:lvlText w:val="%1.%2.%3.%4.%5.%6.%7."/>
      <w:lvlJc w:val="left"/>
      <w:pPr>
        <w:ind w:left="3240" w:hanging="1080"/>
      </w:pPr>
      <w:rPr>
        <w:rFonts w:hint="eastAsia"/>
      </w:rPr>
    </w:lvl>
    <w:lvl w:ilvl="7">
      <w:start w:val="1"/>
      <w:numFmt w:val="decimal"/>
      <w:lvlText w:val="%1.%2.%3.%4.%5.%6.%7.%8."/>
      <w:lvlJc w:val="left"/>
      <w:pPr>
        <w:ind w:left="3744" w:hanging="1224"/>
      </w:pPr>
      <w:rPr>
        <w:rFonts w:hint="eastAsia"/>
      </w:rPr>
    </w:lvl>
    <w:lvl w:ilvl="8">
      <w:start w:val="1"/>
      <w:numFmt w:val="decimal"/>
      <w:lvlText w:val="%1.%2.%3.%4.%5.%6.%7.%8.%9."/>
      <w:lvlJc w:val="left"/>
      <w:pPr>
        <w:ind w:left="4320" w:hanging="1440"/>
      </w:pPr>
      <w:rPr>
        <w:rFonts w:hint="eastAsia"/>
      </w:rPr>
    </w:lvl>
  </w:abstractNum>
  <w:abstractNum w:abstractNumId="16" w15:restartNumberingAfterBreak="0">
    <w:nsid w:val="40816915"/>
    <w:multiLevelType w:val="hybridMultilevel"/>
    <w:tmpl w:val="1D7A1A9C"/>
    <w:lvl w:ilvl="0" w:tplc="71240A58">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2211F8F"/>
    <w:multiLevelType w:val="hybridMultilevel"/>
    <w:tmpl w:val="B302EFBC"/>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8" w15:restartNumberingAfterBreak="0">
    <w:nsid w:val="435F684A"/>
    <w:multiLevelType w:val="hybridMultilevel"/>
    <w:tmpl w:val="327C50DA"/>
    <w:lvl w:ilvl="0" w:tplc="04090001">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9" w15:restartNumberingAfterBreak="0">
    <w:nsid w:val="46A03C9B"/>
    <w:multiLevelType w:val="hybridMultilevel"/>
    <w:tmpl w:val="56882C86"/>
    <w:lvl w:ilvl="0" w:tplc="04090019">
      <w:start w:val="1"/>
      <w:numFmt w:val="lowerLetter"/>
      <w:lvlText w:val="%1."/>
      <w:lvlJc w:val="left"/>
      <w:pPr>
        <w:ind w:left="144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4BB93A5C"/>
    <w:multiLevelType w:val="hybridMultilevel"/>
    <w:tmpl w:val="C9DA385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FFA7A08"/>
    <w:multiLevelType w:val="hybridMultilevel"/>
    <w:tmpl w:val="B302EFB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524E5174"/>
    <w:multiLevelType w:val="hybridMultilevel"/>
    <w:tmpl w:val="4F225DE8"/>
    <w:lvl w:ilvl="0" w:tplc="04090001">
      <w:start w:val="1"/>
      <w:numFmt w:val="bullet"/>
      <w:lvlText w:val=""/>
      <w:lvlJc w:val="left"/>
      <w:pPr>
        <w:ind w:left="880" w:hanging="440"/>
      </w:pPr>
      <w:rPr>
        <w:rFonts w:ascii="Wingdings" w:hAnsi="Wingdings" w:hint="default"/>
        <w:sz w:val="15"/>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23" w15:restartNumberingAfterBreak="0">
    <w:nsid w:val="56F07CFC"/>
    <w:multiLevelType w:val="hybridMultilevel"/>
    <w:tmpl w:val="2D321F0E"/>
    <w:lvl w:ilvl="0" w:tplc="04090001">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24" w15:restartNumberingAfterBreak="0">
    <w:nsid w:val="5CFF7AB4"/>
    <w:multiLevelType w:val="hybridMultilevel"/>
    <w:tmpl w:val="57EA16EC"/>
    <w:lvl w:ilvl="0" w:tplc="04090019">
      <w:start w:val="1"/>
      <w:numFmt w:val="lowerLetter"/>
      <w:lvlText w:val="%1."/>
      <w:lvlJc w:val="left"/>
      <w:pPr>
        <w:ind w:left="880" w:hanging="440"/>
      </w:pPr>
    </w:lvl>
    <w:lvl w:ilvl="1" w:tplc="04090019">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25" w15:restartNumberingAfterBreak="0">
    <w:nsid w:val="647943FE"/>
    <w:multiLevelType w:val="hybridMultilevel"/>
    <w:tmpl w:val="7424F21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BE206C5"/>
    <w:multiLevelType w:val="hybridMultilevel"/>
    <w:tmpl w:val="D188D3D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D1C1B0D"/>
    <w:multiLevelType w:val="hybridMultilevel"/>
    <w:tmpl w:val="057CB2B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E0507E7"/>
    <w:multiLevelType w:val="hybridMultilevel"/>
    <w:tmpl w:val="CC5C9A30"/>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9" w15:restartNumberingAfterBreak="0">
    <w:nsid w:val="6EBE3657"/>
    <w:multiLevelType w:val="hybridMultilevel"/>
    <w:tmpl w:val="3B348C48"/>
    <w:lvl w:ilvl="0" w:tplc="E5A23AA4">
      <w:start w:val="1"/>
      <w:numFmt w:val="bullet"/>
      <w:lvlText w:val=""/>
      <w:lvlJc w:val="left"/>
      <w:pPr>
        <w:ind w:left="880" w:hanging="44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30" w15:restartNumberingAfterBreak="0">
    <w:nsid w:val="70B40775"/>
    <w:multiLevelType w:val="hybridMultilevel"/>
    <w:tmpl w:val="1EA87938"/>
    <w:lvl w:ilvl="0" w:tplc="2AF66B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4D260C1"/>
    <w:multiLevelType w:val="hybridMultilevel"/>
    <w:tmpl w:val="9CD05D6E"/>
    <w:lvl w:ilvl="0" w:tplc="04090001">
      <w:start w:val="1"/>
      <w:numFmt w:val="bullet"/>
      <w:lvlText w:val=""/>
      <w:lvlJc w:val="left"/>
      <w:pPr>
        <w:ind w:left="878" w:hanging="440"/>
      </w:pPr>
      <w:rPr>
        <w:rFonts w:ascii="Wingdings" w:hAnsi="Wingdings" w:hint="default"/>
        <w:sz w:val="15"/>
      </w:rPr>
    </w:lvl>
    <w:lvl w:ilvl="1" w:tplc="04090003" w:tentative="1">
      <w:start w:val="1"/>
      <w:numFmt w:val="bullet"/>
      <w:lvlText w:val=""/>
      <w:lvlJc w:val="left"/>
      <w:pPr>
        <w:ind w:left="1318" w:hanging="440"/>
      </w:pPr>
      <w:rPr>
        <w:rFonts w:ascii="Wingdings" w:hAnsi="Wingdings" w:hint="default"/>
      </w:rPr>
    </w:lvl>
    <w:lvl w:ilvl="2" w:tplc="04090005" w:tentative="1">
      <w:start w:val="1"/>
      <w:numFmt w:val="bullet"/>
      <w:lvlText w:val=""/>
      <w:lvlJc w:val="left"/>
      <w:pPr>
        <w:ind w:left="1758" w:hanging="440"/>
      </w:pPr>
      <w:rPr>
        <w:rFonts w:ascii="Wingdings" w:hAnsi="Wingdings" w:hint="default"/>
      </w:rPr>
    </w:lvl>
    <w:lvl w:ilvl="3" w:tplc="04090001" w:tentative="1">
      <w:start w:val="1"/>
      <w:numFmt w:val="bullet"/>
      <w:lvlText w:val=""/>
      <w:lvlJc w:val="left"/>
      <w:pPr>
        <w:ind w:left="2198" w:hanging="440"/>
      </w:pPr>
      <w:rPr>
        <w:rFonts w:ascii="Wingdings" w:hAnsi="Wingdings" w:hint="default"/>
      </w:rPr>
    </w:lvl>
    <w:lvl w:ilvl="4" w:tplc="04090003" w:tentative="1">
      <w:start w:val="1"/>
      <w:numFmt w:val="bullet"/>
      <w:lvlText w:val=""/>
      <w:lvlJc w:val="left"/>
      <w:pPr>
        <w:ind w:left="2638" w:hanging="440"/>
      </w:pPr>
      <w:rPr>
        <w:rFonts w:ascii="Wingdings" w:hAnsi="Wingdings" w:hint="default"/>
      </w:rPr>
    </w:lvl>
    <w:lvl w:ilvl="5" w:tplc="04090005" w:tentative="1">
      <w:start w:val="1"/>
      <w:numFmt w:val="bullet"/>
      <w:lvlText w:val=""/>
      <w:lvlJc w:val="left"/>
      <w:pPr>
        <w:ind w:left="3078" w:hanging="440"/>
      </w:pPr>
      <w:rPr>
        <w:rFonts w:ascii="Wingdings" w:hAnsi="Wingdings" w:hint="default"/>
      </w:rPr>
    </w:lvl>
    <w:lvl w:ilvl="6" w:tplc="04090001" w:tentative="1">
      <w:start w:val="1"/>
      <w:numFmt w:val="bullet"/>
      <w:lvlText w:val=""/>
      <w:lvlJc w:val="left"/>
      <w:pPr>
        <w:ind w:left="3518" w:hanging="440"/>
      </w:pPr>
      <w:rPr>
        <w:rFonts w:ascii="Wingdings" w:hAnsi="Wingdings" w:hint="default"/>
      </w:rPr>
    </w:lvl>
    <w:lvl w:ilvl="7" w:tplc="04090003" w:tentative="1">
      <w:start w:val="1"/>
      <w:numFmt w:val="bullet"/>
      <w:lvlText w:val=""/>
      <w:lvlJc w:val="left"/>
      <w:pPr>
        <w:ind w:left="3958" w:hanging="440"/>
      </w:pPr>
      <w:rPr>
        <w:rFonts w:ascii="Wingdings" w:hAnsi="Wingdings" w:hint="default"/>
      </w:rPr>
    </w:lvl>
    <w:lvl w:ilvl="8" w:tplc="04090005" w:tentative="1">
      <w:start w:val="1"/>
      <w:numFmt w:val="bullet"/>
      <w:lvlText w:val=""/>
      <w:lvlJc w:val="left"/>
      <w:pPr>
        <w:ind w:left="4398" w:hanging="440"/>
      </w:pPr>
      <w:rPr>
        <w:rFonts w:ascii="Wingdings" w:hAnsi="Wingdings" w:hint="default"/>
      </w:rPr>
    </w:lvl>
  </w:abstractNum>
  <w:abstractNum w:abstractNumId="32" w15:restartNumberingAfterBreak="0">
    <w:nsid w:val="7ACE0255"/>
    <w:multiLevelType w:val="hybridMultilevel"/>
    <w:tmpl w:val="A6DCCEF0"/>
    <w:lvl w:ilvl="0" w:tplc="70000B4C">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BAF2D76"/>
    <w:multiLevelType w:val="hybridMultilevel"/>
    <w:tmpl w:val="A5D44F6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EA5579E"/>
    <w:multiLevelType w:val="hybridMultilevel"/>
    <w:tmpl w:val="5ACE2940"/>
    <w:lvl w:ilvl="0" w:tplc="04090001">
      <w:start w:val="1"/>
      <w:numFmt w:val="bullet"/>
      <w:lvlText w:val=""/>
      <w:lvlJc w:val="left"/>
      <w:pPr>
        <w:ind w:left="880" w:hanging="440"/>
      </w:pPr>
      <w:rPr>
        <w:rFonts w:ascii="Wingdings" w:hAnsi="Wingdings" w:hint="default"/>
        <w:sz w:val="15"/>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num w:numId="1" w16cid:durableId="886452554">
    <w:abstractNumId w:val="10"/>
  </w:num>
  <w:num w:numId="2" w16cid:durableId="1021470191">
    <w:abstractNumId w:val="21"/>
  </w:num>
  <w:num w:numId="3" w16cid:durableId="1313677119">
    <w:abstractNumId w:val="28"/>
  </w:num>
  <w:num w:numId="4" w16cid:durableId="1606646132">
    <w:abstractNumId w:val="17"/>
  </w:num>
  <w:num w:numId="5" w16cid:durableId="1748989138">
    <w:abstractNumId w:val="20"/>
  </w:num>
  <w:num w:numId="6" w16cid:durableId="1566798462">
    <w:abstractNumId w:val="26"/>
  </w:num>
  <w:num w:numId="7" w16cid:durableId="544877759">
    <w:abstractNumId w:val="33"/>
  </w:num>
  <w:num w:numId="8" w16cid:durableId="1500195496">
    <w:abstractNumId w:val="27"/>
  </w:num>
  <w:num w:numId="9" w16cid:durableId="175659034">
    <w:abstractNumId w:val="11"/>
  </w:num>
  <w:num w:numId="10" w16cid:durableId="1796364961">
    <w:abstractNumId w:val="2"/>
  </w:num>
  <w:num w:numId="11" w16cid:durableId="1446535328">
    <w:abstractNumId w:val="30"/>
  </w:num>
  <w:num w:numId="12" w16cid:durableId="41952654">
    <w:abstractNumId w:val="6"/>
  </w:num>
  <w:num w:numId="13" w16cid:durableId="2018799651">
    <w:abstractNumId w:val="16"/>
  </w:num>
  <w:num w:numId="14" w16cid:durableId="607851402">
    <w:abstractNumId w:val="32"/>
  </w:num>
  <w:num w:numId="15" w16cid:durableId="1175151471">
    <w:abstractNumId w:val="7"/>
  </w:num>
  <w:num w:numId="16" w16cid:durableId="261449590">
    <w:abstractNumId w:val="1"/>
  </w:num>
  <w:num w:numId="17" w16cid:durableId="1755082510">
    <w:abstractNumId w:val="13"/>
  </w:num>
  <w:num w:numId="18" w16cid:durableId="542719249">
    <w:abstractNumId w:val="14"/>
  </w:num>
  <w:num w:numId="19" w16cid:durableId="1729180914">
    <w:abstractNumId w:val="4"/>
  </w:num>
  <w:num w:numId="20" w16cid:durableId="780955380">
    <w:abstractNumId w:val="25"/>
  </w:num>
  <w:num w:numId="21" w16cid:durableId="1078403672">
    <w:abstractNumId w:val="9"/>
  </w:num>
  <w:num w:numId="22" w16cid:durableId="1153907731">
    <w:abstractNumId w:val="5"/>
  </w:num>
  <w:num w:numId="23" w16cid:durableId="1913539727">
    <w:abstractNumId w:val="19"/>
  </w:num>
  <w:num w:numId="24" w16cid:durableId="1240022270">
    <w:abstractNumId w:val="12"/>
  </w:num>
  <w:num w:numId="25" w16cid:durableId="944924160">
    <w:abstractNumId w:val="3"/>
  </w:num>
  <w:num w:numId="26" w16cid:durableId="1319917677">
    <w:abstractNumId w:val="23"/>
  </w:num>
  <w:num w:numId="27" w16cid:durableId="539514309">
    <w:abstractNumId w:val="8"/>
  </w:num>
  <w:num w:numId="28" w16cid:durableId="719674668">
    <w:abstractNumId w:val="29"/>
  </w:num>
  <w:num w:numId="29" w16cid:durableId="171839650">
    <w:abstractNumId w:val="24"/>
  </w:num>
  <w:num w:numId="30" w16cid:durableId="1318026198">
    <w:abstractNumId w:val="0"/>
  </w:num>
  <w:num w:numId="31" w16cid:durableId="206531337">
    <w:abstractNumId w:val="15"/>
  </w:num>
  <w:num w:numId="32" w16cid:durableId="1762136863">
    <w:abstractNumId w:val="18"/>
  </w:num>
  <w:num w:numId="33" w16cid:durableId="80152849">
    <w:abstractNumId w:val="31"/>
  </w:num>
  <w:num w:numId="34" w16cid:durableId="1952319170">
    <w:abstractNumId w:val="34"/>
  </w:num>
  <w:num w:numId="35" w16cid:durableId="26843878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6702"/>
    <w:rsid w:val="00000662"/>
    <w:rsid w:val="00000A0E"/>
    <w:rsid w:val="00000AE0"/>
    <w:rsid w:val="00001D93"/>
    <w:rsid w:val="00001FD3"/>
    <w:rsid w:val="000037BC"/>
    <w:rsid w:val="00004054"/>
    <w:rsid w:val="000051D7"/>
    <w:rsid w:val="00007237"/>
    <w:rsid w:val="00010176"/>
    <w:rsid w:val="00010931"/>
    <w:rsid w:val="0001103C"/>
    <w:rsid w:val="0001185C"/>
    <w:rsid w:val="00012C18"/>
    <w:rsid w:val="00012E8A"/>
    <w:rsid w:val="00014AA3"/>
    <w:rsid w:val="00016417"/>
    <w:rsid w:val="000167CF"/>
    <w:rsid w:val="0002021F"/>
    <w:rsid w:val="00021F71"/>
    <w:rsid w:val="000225BC"/>
    <w:rsid w:val="000228AD"/>
    <w:rsid w:val="00022CC1"/>
    <w:rsid w:val="000235AE"/>
    <w:rsid w:val="00023A8B"/>
    <w:rsid w:val="00023E58"/>
    <w:rsid w:val="00026C56"/>
    <w:rsid w:val="00027346"/>
    <w:rsid w:val="0003100E"/>
    <w:rsid w:val="000344A5"/>
    <w:rsid w:val="0003537B"/>
    <w:rsid w:val="00035833"/>
    <w:rsid w:val="000377ED"/>
    <w:rsid w:val="00040161"/>
    <w:rsid w:val="00041662"/>
    <w:rsid w:val="00041FEE"/>
    <w:rsid w:val="00042DBD"/>
    <w:rsid w:val="00046FBB"/>
    <w:rsid w:val="00053842"/>
    <w:rsid w:val="00055EF7"/>
    <w:rsid w:val="00057179"/>
    <w:rsid w:val="00057B68"/>
    <w:rsid w:val="00061AF6"/>
    <w:rsid w:val="00063585"/>
    <w:rsid w:val="00063608"/>
    <w:rsid w:val="00063A97"/>
    <w:rsid w:val="00063C2F"/>
    <w:rsid w:val="00071EB7"/>
    <w:rsid w:val="00072BA5"/>
    <w:rsid w:val="00073A32"/>
    <w:rsid w:val="000760AC"/>
    <w:rsid w:val="00076599"/>
    <w:rsid w:val="0008061E"/>
    <w:rsid w:val="00082BF8"/>
    <w:rsid w:val="00083545"/>
    <w:rsid w:val="00084FED"/>
    <w:rsid w:val="00085EED"/>
    <w:rsid w:val="00087102"/>
    <w:rsid w:val="00090AC1"/>
    <w:rsid w:val="00090C6D"/>
    <w:rsid w:val="000915A2"/>
    <w:rsid w:val="00091CA6"/>
    <w:rsid w:val="0009653F"/>
    <w:rsid w:val="00096F65"/>
    <w:rsid w:val="000A1C68"/>
    <w:rsid w:val="000A2A06"/>
    <w:rsid w:val="000A2C55"/>
    <w:rsid w:val="000A2DBB"/>
    <w:rsid w:val="000A478E"/>
    <w:rsid w:val="000A4B05"/>
    <w:rsid w:val="000A5917"/>
    <w:rsid w:val="000A5995"/>
    <w:rsid w:val="000B00B4"/>
    <w:rsid w:val="000B0585"/>
    <w:rsid w:val="000B461C"/>
    <w:rsid w:val="000B621B"/>
    <w:rsid w:val="000B6C04"/>
    <w:rsid w:val="000C0E4B"/>
    <w:rsid w:val="000C33D2"/>
    <w:rsid w:val="000C4001"/>
    <w:rsid w:val="000C502E"/>
    <w:rsid w:val="000C57E9"/>
    <w:rsid w:val="000D5AB2"/>
    <w:rsid w:val="000D7BD5"/>
    <w:rsid w:val="000E091F"/>
    <w:rsid w:val="000E14D7"/>
    <w:rsid w:val="000E3683"/>
    <w:rsid w:val="000E371E"/>
    <w:rsid w:val="000E398D"/>
    <w:rsid w:val="000F03DD"/>
    <w:rsid w:val="000F2D2D"/>
    <w:rsid w:val="000F4569"/>
    <w:rsid w:val="000F523F"/>
    <w:rsid w:val="000F6665"/>
    <w:rsid w:val="00105609"/>
    <w:rsid w:val="0010798C"/>
    <w:rsid w:val="0011095A"/>
    <w:rsid w:val="001130B8"/>
    <w:rsid w:val="00116EA1"/>
    <w:rsid w:val="00120BBB"/>
    <w:rsid w:val="00123383"/>
    <w:rsid w:val="00125759"/>
    <w:rsid w:val="00126841"/>
    <w:rsid w:val="0012763F"/>
    <w:rsid w:val="00130E6F"/>
    <w:rsid w:val="00131039"/>
    <w:rsid w:val="00133465"/>
    <w:rsid w:val="00134C6A"/>
    <w:rsid w:val="00135FE3"/>
    <w:rsid w:val="00136E81"/>
    <w:rsid w:val="001423D0"/>
    <w:rsid w:val="001442B5"/>
    <w:rsid w:val="001443BF"/>
    <w:rsid w:val="00144683"/>
    <w:rsid w:val="00145FFE"/>
    <w:rsid w:val="00152723"/>
    <w:rsid w:val="00153004"/>
    <w:rsid w:val="001572D9"/>
    <w:rsid w:val="001574FA"/>
    <w:rsid w:val="001625FB"/>
    <w:rsid w:val="001635A9"/>
    <w:rsid w:val="0016673A"/>
    <w:rsid w:val="00170208"/>
    <w:rsid w:val="00171AB2"/>
    <w:rsid w:val="001752F3"/>
    <w:rsid w:val="00175BB0"/>
    <w:rsid w:val="001809BE"/>
    <w:rsid w:val="0018145C"/>
    <w:rsid w:val="001816E0"/>
    <w:rsid w:val="00181775"/>
    <w:rsid w:val="00182AFE"/>
    <w:rsid w:val="00183340"/>
    <w:rsid w:val="00190E1E"/>
    <w:rsid w:val="001913FB"/>
    <w:rsid w:val="001933CA"/>
    <w:rsid w:val="001934AC"/>
    <w:rsid w:val="001942DD"/>
    <w:rsid w:val="00194CAB"/>
    <w:rsid w:val="00194FDA"/>
    <w:rsid w:val="001953D6"/>
    <w:rsid w:val="001975C1"/>
    <w:rsid w:val="001979EE"/>
    <w:rsid w:val="00197FD1"/>
    <w:rsid w:val="001A039C"/>
    <w:rsid w:val="001A0CA1"/>
    <w:rsid w:val="001A1CEE"/>
    <w:rsid w:val="001A376E"/>
    <w:rsid w:val="001A5884"/>
    <w:rsid w:val="001A6F65"/>
    <w:rsid w:val="001A779C"/>
    <w:rsid w:val="001B03B3"/>
    <w:rsid w:val="001B07A0"/>
    <w:rsid w:val="001B0857"/>
    <w:rsid w:val="001B13D0"/>
    <w:rsid w:val="001B2F7A"/>
    <w:rsid w:val="001B4127"/>
    <w:rsid w:val="001B4852"/>
    <w:rsid w:val="001B56AA"/>
    <w:rsid w:val="001B67A6"/>
    <w:rsid w:val="001C2AC4"/>
    <w:rsid w:val="001C2D60"/>
    <w:rsid w:val="001C2FDC"/>
    <w:rsid w:val="001C57CC"/>
    <w:rsid w:val="001C7313"/>
    <w:rsid w:val="001C7828"/>
    <w:rsid w:val="001D0995"/>
    <w:rsid w:val="001D0D7D"/>
    <w:rsid w:val="001D150B"/>
    <w:rsid w:val="001D229B"/>
    <w:rsid w:val="001D3E8D"/>
    <w:rsid w:val="001D45AB"/>
    <w:rsid w:val="001D7948"/>
    <w:rsid w:val="001D7AD8"/>
    <w:rsid w:val="001E2763"/>
    <w:rsid w:val="001E3A4E"/>
    <w:rsid w:val="001E435C"/>
    <w:rsid w:val="001E6235"/>
    <w:rsid w:val="001F0DA0"/>
    <w:rsid w:val="001F477E"/>
    <w:rsid w:val="00200C91"/>
    <w:rsid w:val="0020167C"/>
    <w:rsid w:val="00202110"/>
    <w:rsid w:val="00202330"/>
    <w:rsid w:val="002058F4"/>
    <w:rsid w:val="00205BF7"/>
    <w:rsid w:val="002110D3"/>
    <w:rsid w:val="00214FB2"/>
    <w:rsid w:val="00220E1F"/>
    <w:rsid w:val="002227D4"/>
    <w:rsid w:val="00222C63"/>
    <w:rsid w:val="0022599C"/>
    <w:rsid w:val="002266F0"/>
    <w:rsid w:val="00226EA5"/>
    <w:rsid w:val="002308AF"/>
    <w:rsid w:val="00230B24"/>
    <w:rsid w:val="00230C54"/>
    <w:rsid w:val="002345EE"/>
    <w:rsid w:val="00234B35"/>
    <w:rsid w:val="00235A05"/>
    <w:rsid w:val="00236F84"/>
    <w:rsid w:val="00237260"/>
    <w:rsid w:val="002375FD"/>
    <w:rsid w:val="002429ED"/>
    <w:rsid w:val="0024447B"/>
    <w:rsid w:val="002471F0"/>
    <w:rsid w:val="002546AC"/>
    <w:rsid w:val="0026125A"/>
    <w:rsid w:val="002617EA"/>
    <w:rsid w:val="00262610"/>
    <w:rsid w:val="00267BBA"/>
    <w:rsid w:val="0027047D"/>
    <w:rsid w:val="00270585"/>
    <w:rsid w:val="00272488"/>
    <w:rsid w:val="00273AEF"/>
    <w:rsid w:val="00273F59"/>
    <w:rsid w:val="00275BB4"/>
    <w:rsid w:val="00280A67"/>
    <w:rsid w:val="0028197F"/>
    <w:rsid w:val="00281E60"/>
    <w:rsid w:val="002827F1"/>
    <w:rsid w:val="0028338A"/>
    <w:rsid w:val="00284FE6"/>
    <w:rsid w:val="0028516C"/>
    <w:rsid w:val="00285359"/>
    <w:rsid w:val="002854EB"/>
    <w:rsid w:val="00285574"/>
    <w:rsid w:val="00286E84"/>
    <w:rsid w:val="00286F9B"/>
    <w:rsid w:val="002A15A5"/>
    <w:rsid w:val="002A249E"/>
    <w:rsid w:val="002A411B"/>
    <w:rsid w:val="002A695B"/>
    <w:rsid w:val="002B076E"/>
    <w:rsid w:val="002B1084"/>
    <w:rsid w:val="002B77C6"/>
    <w:rsid w:val="002C0B07"/>
    <w:rsid w:val="002C2AE3"/>
    <w:rsid w:val="002C2C7C"/>
    <w:rsid w:val="002C2DF3"/>
    <w:rsid w:val="002D0A2C"/>
    <w:rsid w:val="002D1B76"/>
    <w:rsid w:val="002D27C4"/>
    <w:rsid w:val="002D3D79"/>
    <w:rsid w:val="002E1730"/>
    <w:rsid w:val="002E3774"/>
    <w:rsid w:val="002E3D9D"/>
    <w:rsid w:val="002E42B3"/>
    <w:rsid w:val="002E7B52"/>
    <w:rsid w:val="002F1677"/>
    <w:rsid w:val="002F1976"/>
    <w:rsid w:val="002F3365"/>
    <w:rsid w:val="002F4080"/>
    <w:rsid w:val="002F4743"/>
    <w:rsid w:val="002F5206"/>
    <w:rsid w:val="002F6868"/>
    <w:rsid w:val="002F7C78"/>
    <w:rsid w:val="002F7FE5"/>
    <w:rsid w:val="00300C0F"/>
    <w:rsid w:val="00300FBE"/>
    <w:rsid w:val="003039BA"/>
    <w:rsid w:val="00304F3F"/>
    <w:rsid w:val="0030577D"/>
    <w:rsid w:val="00306EC9"/>
    <w:rsid w:val="00307970"/>
    <w:rsid w:val="00312341"/>
    <w:rsid w:val="00313CE9"/>
    <w:rsid w:val="0032074E"/>
    <w:rsid w:val="00322742"/>
    <w:rsid w:val="003234DD"/>
    <w:rsid w:val="00326B00"/>
    <w:rsid w:val="00326D4D"/>
    <w:rsid w:val="00327EB1"/>
    <w:rsid w:val="00330848"/>
    <w:rsid w:val="00330F49"/>
    <w:rsid w:val="00330F71"/>
    <w:rsid w:val="00332FF1"/>
    <w:rsid w:val="00334225"/>
    <w:rsid w:val="00335A99"/>
    <w:rsid w:val="00335D5E"/>
    <w:rsid w:val="0033615F"/>
    <w:rsid w:val="00340699"/>
    <w:rsid w:val="0034079C"/>
    <w:rsid w:val="00341640"/>
    <w:rsid w:val="003429E5"/>
    <w:rsid w:val="003433BC"/>
    <w:rsid w:val="00344830"/>
    <w:rsid w:val="00345678"/>
    <w:rsid w:val="00345FBA"/>
    <w:rsid w:val="00351364"/>
    <w:rsid w:val="00351C7B"/>
    <w:rsid w:val="0036482C"/>
    <w:rsid w:val="0036545E"/>
    <w:rsid w:val="00371C61"/>
    <w:rsid w:val="003733F2"/>
    <w:rsid w:val="00374CCC"/>
    <w:rsid w:val="003806EB"/>
    <w:rsid w:val="003813B7"/>
    <w:rsid w:val="003850B3"/>
    <w:rsid w:val="00385C3C"/>
    <w:rsid w:val="0039119A"/>
    <w:rsid w:val="00391DE4"/>
    <w:rsid w:val="0039216B"/>
    <w:rsid w:val="003945CA"/>
    <w:rsid w:val="00395186"/>
    <w:rsid w:val="003A0BFA"/>
    <w:rsid w:val="003A0FED"/>
    <w:rsid w:val="003A21D7"/>
    <w:rsid w:val="003A5263"/>
    <w:rsid w:val="003B0142"/>
    <w:rsid w:val="003B103A"/>
    <w:rsid w:val="003B1D72"/>
    <w:rsid w:val="003B246D"/>
    <w:rsid w:val="003B4541"/>
    <w:rsid w:val="003B727D"/>
    <w:rsid w:val="003B7A1F"/>
    <w:rsid w:val="003C14A8"/>
    <w:rsid w:val="003C3659"/>
    <w:rsid w:val="003C3A75"/>
    <w:rsid w:val="003C4EEE"/>
    <w:rsid w:val="003C5FF8"/>
    <w:rsid w:val="003C7473"/>
    <w:rsid w:val="003C7FAB"/>
    <w:rsid w:val="003D158E"/>
    <w:rsid w:val="003D47B7"/>
    <w:rsid w:val="003D67D0"/>
    <w:rsid w:val="003D70FE"/>
    <w:rsid w:val="003D7BC3"/>
    <w:rsid w:val="003D7C4F"/>
    <w:rsid w:val="003E00E2"/>
    <w:rsid w:val="003E1136"/>
    <w:rsid w:val="003E3241"/>
    <w:rsid w:val="003E4E5B"/>
    <w:rsid w:val="003E5EEC"/>
    <w:rsid w:val="003F2F66"/>
    <w:rsid w:val="00401A0D"/>
    <w:rsid w:val="0041017D"/>
    <w:rsid w:val="00410565"/>
    <w:rsid w:val="00416081"/>
    <w:rsid w:val="00420E05"/>
    <w:rsid w:val="0042232C"/>
    <w:rsid w:val="00423228"/>
    <w:rsid w:val="00423892"/>
    <w:rsid w:val="00427B6D"/>
    <w:rsid w:val="004305F2"/>
    <w:rsid w:val="00431116"/>
    <w:rsid w:val="00435C11"/>
    <w:rsid w:val="00437BD4"/>
    <w:rsid w:val="0044140C"/>
    <w:rsid w:val="00441527"/>
    <w:rsid w:val="00441C21"/>
    <w:rsid w:val="00443403"/>
    <w:rsid w:val="004439C4"/>
    <w:rsid w:val="004454A5"/>
    <w:rsid w:val="00445AB6"/>
    <w:rsid w:val="0044726B"/>
    <w:rsid w:val="00450535"/>
    <w:rsid w:val="00453500"/>
    <w:rsid w:val="00454692"/>
    <w:rsid w:val="004608FE"/>
    <w:rsid w:val="00461F80"/>
    <w:rsid w:val="00462BDE"/>
    <w:rsid w:val="00463C00"/>
    <w:rsid w:val="00464AF5"/>
    <w:rsid w:val="00464C1E"/>
    <w:rsid w:val="00471B5D"/>
    <w:rsid w:val="0047363F"/>
    <w:rsid w:val="00473C49"/>
    <w:rsid w:val="00473E5E"/>
    <w:rsid w:val="0047407F"/>
    <w:rsid w:val="004743AC"/>
    <w:rsid w:val="004751B9"/>
    <w:rsid w:val="00477B27"/>
    <w:rsid w:val="00481D04"/>
    <w:rsid w:val="004824B1"/>
    <w:rsid w:val="00482DA3"/>
    <w:rsid w:val="00484362"/>
    <w:rsid w:val="00484FA7"/>
    <w:rsid w:val="00490B8D"/>
    <w:rsid w:val="00490D74"/>
    <w:rsid w:val="0049161E"/>
    <w:rsid w:val="004973F7"/>
    <w:rsid w:val="0049764F"/>
    <w:rsid w:val="00497C6B"/>
    <w:rsid w:val="004A00F4"/>
    <w:rsid w:val="004A0F8C"/>
    <w:rsid w:val="004A141F"/>
    <w:rsid w:val="004A2D24"/>
    <w:rsid w:val="004A3594"/>
    <w:rsid w:val="004A3F63"/>
    <w:rsid w:val="004A4804"/>
    <w:rsid w:val="004A4FE1"/>
    <w:rsid w:val="004A7C5A"/>
    <w:rsid w:val="004A7D87"/>
    <w:rsid w:val="004B0CBC"/>
    <w:rsid w:val="004B211C"/>
    <w:rsid w:val="004B2E02"/>
    <w:rsid w:val="004B33B1"/>
    <w:rsid w:val="004B499F"/>
    <w:rsid w:val="004B4BD7"/>
    <w:rsid w:val="004B6B3D"/>
    <w:rsid w:val="004C1DE1"/>
    <w:rsid w:val="004C31F2"/>
    <w:rsid w:val="004C710F"/>
    <w:rsid w:val="004C7FEA"/>
    <w:rsid w:val="004D3BED"/>
    <w:rsid w:val="004D47D8"/>
    <w:rsid w:val="004D5101"/>
    <w:rsid w:val="004D56BA"/>
    <w:rsid w:val="004E081B"/>
    <w:rsid w:val="004E0EE4"/>
    <w:rsid w:val="004E14F7"/>
    <w:rsid w:val="004E1C93"/>
    <w:rsid w:val="004E2370"/>
    <w:rsid w:val="004E25C2"/>
    <w:rsid w:val="004E3A0C"/>
    <w:rsid w:val="004E440D"/>
    <w:rsid w:val="004E4827"/>
    <w:rsid w:val="004E5093"/>
    <w:rsid w:val="004E50E8"/>
    <w:rsid w:val="004E70BB"/>
    <w:rsid w:val="004E7FD7"/>
    <w:rsid w:val="004F1F12"/>
    <w:rsid w:val="004F2989"/>
    <w:rsid w:val="004F4572"/>
    <w:rsid w:val="004F47F8"/>
    <w:rsid w:val="004F4A6B"/>
    <w:rsid w:val="004F6206"/>
    <w:rsid w:val="004F6A54"/>
    <w:rsid w:val="004F778E"/>
    <w:rsid w:val="004F7F1F"/>
    <w:rsid w:val="00500440"/>
    <w:rsid w:val="005017D6"/>
    <w:rsid w:val="00501BDB"/>
    <w:rsid w:val="00502C31"/>
    <w:rsid w:val="00503749"/>
    <w:rsid w:val="00503A19"/>
    <w:rsid w:val="0050510D"/>
    <w:rsid w:val="005104CE"/>
    <w:rsid w:val="005119ED"/>
    <w:rsid w:val="00512587"/>
    <w:rsid w:val="0051313B"/>
    <w:rsid w:val="00513D07"/>
    <w:rsid w:val="005160C1"/>
    <w:rsid w:val="0052271F"/>
    <w:rsid w:val="00522CEF"/>
    <w:rsid w:val="005243D9"/>
    <w:rsid w:val="005259C7"/>
    <w:rsid w:val="005361C0"/>
    <w:rsid w:val="00536C23"/>
    <w:rsid w:val="005407C7"/>
    <w:rsid w:val="00540BBD"/>
    <w:rsid w:val="005411A5"/>
    <w:rsid w:val="00541562"/>
    <w:rsid w:val="005424C8"/>
    <w:rsid w:val="00544507"/>
    <w:rsid w:val="0054640C"/>
    <w:rsid w:val="00546B4A"/>
    <w:rsid w:val="00546F95"/>
    <w:rsid w:val="00547775"/>
    <w:rsid w:val="00547DCE"/>
    <w:rsid w:val="00552C68"/>
    <w:rsid w:val="005538C6"/>
    <w:rsid w:val="0055477A"/>
    <w:rsid w:val="00554E92"/>
    <w:rsid w:val="00554EE5"/>
    <w:rsid w:val="005577BE"/>
    <w:rsid w:val="005634A6"/>
    <w:rsid w:val="0056364B"/>
    <w:rsid w:val="005679E1"/>
    <w:rsid w:val="00571446"/>
    <w:rsid w:val="00571D0D"/>
    <w:rsid w:val="005802C6"/>
    <w:rsid w:val="00580E1C"/>
    <w:rsid w:val="0058138E"/>
    <w:rsid w:val="00582BA6"/>
    <w:rsid w:val="005833B3"/>
    <w:rsid w:val="00584E86"/>
    <w:rsid w:val="0058556F"/>
    <w:rsid w:val="00585949"/>
    <w:rsid w:val="00586966"/>
    <w:rsid w:val="00586D17"/>
    <w:rsid w:val="0059151E"/>
    <w:rsid w:val="0059215F"/>
    <w:rsid w:val="0059255F"/>
    <w:rsid w:val="00593CA0"/>
    <w:rsid w:val="00594E45"/>
    <w:rsid w:val="00595C07"/>
    <w:rsid w:val="00597426"/>
    <w:rsid w:val="005A0558"/>
    <w:rsid w:val="005A255F"/>
    <w:rsid w:val="005A4317"/>
    <w:rsid w:val="005A676B"/>
    <w:rsid w:val="005B16DF"/>
    <w:rsid w:val="005B2EC7"/>
    <w:rsid w:val="005B2FFF"/>
    <w:rsid w:val="005B6F3D"/>
    <w:rsid w:val="005B7075"/>
    <w:rsid w:val="005C0318"/>
    <w:rsid w:val="005C1196"/>
    <w:rsid w:val="005C1AFD"/>
    <w:rsid w:val="005C4B8B"/>
    <w:rsid w:val="005C6053"/>
    <w:rsid w:val="005C6A5D"/>
    <w:rsid w:val="005C7ADC"/>
    <w:rsid w:val="005D18E5"/>
    <w:rsid w:val="005D685D"/>
    <w:rsid w:val="005D69E5"/>
    <w:rsid w:val="005E1254"/>
    <w:rsid w:val="005E2B35"/>
    <w:rsid w:val="005E63EC"/>
    <w:rsid w:val="005F19FF"/>
    <w:rsid w:val="005F1E6A"/>
    <w:rsid w:val="005F2C07"/>
    <w:rsid w:val="005F2D8F"/>
    <w:rsid w:val="005F33FF"/>
    <w:rsid w:val="005F37DB"/>
    <w:rsid w:val="005F3A19"/>
    <w:rsid w:val="005F3A2D"/>
    <w:rsid w:val="005F435F"/>
    <w:rsid w:val="005F67D2"/>
    <w:rsid w:val="005F6DAA"/>
    <w:rsid w:val="00600711"/>
    <w:rsid w:val="00600F6E"/>
    <w:rsid w:val="00601151"/>
    <w:rsid w:val="0060314B"/>
    <w:rsid w:val="0060473E"/>
    <w:rsid w:val="00604752"/>
    <w:rsid w:val="00604AF3"/>
    <w:rsid w:val="006103EB"/>
    <w:rsid w:val="00610C85"/>
    <w:rsid w:val="00611482"/>
    <w:rsid w:val="00612590"/>
    <w:rsid w:val="00612A77"/>
    <w:rsid w:val="00614ECB"/>
    <w:rsid w:val="00615C12"/>
    <w:rsid w:val="00617CE6"/>
    <w:rsid w:val="0062118D"/>
    <w:rsid w:val="00625B3A"/>
    <w:rsid w:val="00626E4A"/>
    <w:rsid w:val="00631489"/>
    <w:rsid w:val="00631AC5"/>
    <w:rsid w:val="006327DD"/>
    <w:rsid w:val="00632C5F"/>
    <w:rsid w:val="0063314C"/>
    <w:rsid w:val="006335D3"/>
    <w:rsid w:val="00634808"/>
    <w:rsid w:val="00634C34"/>
    <w:rsid w:val="00636C38"/>
    <w:rsid w:val="00637074"/>
    <w:rsid w:val="00641A61"/>
    <w:rsid w:val="006423AA"/>
    <w:rsid w:val="00650436"/>
    <w:rsid w:val="00650459"/>
    <w:rsid w:val="00652C97"/>
    <w:rsid w:val="006600C5"/>
    <w:rsid w:val="00661415"/>
    <w:rsid w:val="00662C28"/>
    <w:rsid w:val="00665581"/>
    <w:rsid w:val="0067144A"/>
    <w:rsid w:val="006716E1"/>
    <w:rsid w:val="00673EEF"/>
    <w:rsid w:val="00675FC6"/>
    <w:rsid w:val="0067704D"/>
    <w:rsid w:val="00677DEE"/>
    <w:rsid w:val="00680CA0"/>
    <w:rsid w:val="00680DF4"/>
    <w:rsid w:val="00681125"/>
    <w:rsid w:val="00682063"/>
    <w:rsid w:val="00682946"/>
    <w:rsid w:val="00684877"/>
    <w:rsid w:val="006852BF"/>
    <w:rsid w:val="006852CE"/>
    <w:rsid w:val="0068594C"/>
    <w:rsid w:val="00687572"/>
    <w:rsid w:val="00690276"/>
    <w:rsid w:val="00692104"/>
    <w:rsid w:val="00693688"/>
    <w:rsid w:val="006969CE"/>
    <w:rsid w:val="006A0319"/>
    <w:rsid w:val="006A2562"/>
    <w:rsid w:val="006A28E4"/>
    <w:rsid w:val="006A3A59"/>
    <w:rsid w:val="006A3C65"/>
    <w:rsid w:val="006A4907"/>
    <w:rsid w:val="006A6A12"/>
    <w:rsid w:val="006A6A23"/>
    <w:rsid w:val="006A73B1"/>
    <w:rsid w:val="006A7AA5"/>
    <w:rsid w:val="006B05CA"/>
    <w:rsid w:val="006B21FA"/>
    <w:rsid w:val="006B2FFC"/>
    <w:rsid w:val="006B4DA9"/>
    <w:rsid w:val="006B54B0"/>
    <w:rsid w:val="006B67FE"/>
    <w:rsid w:val="006C04B4"/>
    <w:rsid w:val="006C08D2"/>
    <w:rsid w:val="006C3659"/>
    <w:rsid w:val="006C3B0D"/>
    <w:rsid w:val="006C5A0F"/>
    <w:rsid w:val="006D14A1"/>
    <w:rsid w:val="006D2057"/>
    <w:rsid w:val="006D7082"/>
    <w:rsid w:val="006D7D72"/>
    <w:rsid w:val="006D7EB3"/>
    <w:rsid w:val="006D7FBD"/>
    <w:rsid w:val="006E0185"/>
    <w:rsid w:val="006E04A3"/>
    <w:rsid w:val="006E09F2"/>
    <w:rsid w:val="006E2996"/>
    <w:rsid w:val="006E3010"/>
    <w:rsid w:val="006E3779"/>
    <w:rsid w:val="006F0586"/>
    <w:rsid w:val="006F0F2B"/>
    <w:rsid w:val="006F3267"/>
    <w:rsid w:val="006F353A"/>
    <w:rsid w:val="006F4015"/>
    <w:rsid w:val="006F5BAE"/>
    <w:rsid w:val="006F6074"/>
    <w:rsid w:val="006F6815"/>
    <w:rsid w:val="006F7240"/>
    <w:rsid w:val="0070150B"/>
    <w:rsid w:val="00702812"/>
    <w:rsid w:val="00702882"/>
    <w:rsid w:val="00702EDD"/>
    <w:rsid w:val="00703378"/>
    <w:rsid w:val="0070446E"/>
    <w:rsid w:val="0070638F"/>
    <w:rsid w:val="007066FE"/>
    <w:rsid w:val="007078B5"/>
    <w:rsid w:val="00710E06"/>
    <w:rsid w:val="007113EE"/>
    <w:rsid w:val="00711CDA"/>
    <w:rsid w:val="0071330B"/>
    <w:rsid w:val="00713C92"/>
    <w:rsid w:val="00715369"/>
    <w:rsid w:val="00715642"/>
    <w:rsid w:val="00720D7B"/>
    <w:rsid w:val="0072170A"/>
    <w:rsid w:val="00723D64"/>
    <w:rsid w:val="00724DA6"/>
    <w:rsid w:val="00730ED6"/>
    <w:rsid w:val="007317BA"/>
    <w:rsid w:val="00741973"/>
    <w:rsid w:val="00742533"/>
    <w:rsid w:val="00743963"/>
    <w:rsid w:val="007449A2"/>
    <w:rsid w:val="007453B2"/>
    <w:rsid w:val="007461C5"/>
    <w:rsid w:val="00746741"/>
    <w:rsid w:val="00746A95"/>
    <w:rsid w:val="00747BC1"/>
    <w:rsid w:val="00750812"/>
    <w:rsid w:val="007537F5"/>
    <w:rsid w:val="0075453E"/>
    <w:rsid w:val="00754760"/>
    <w:rsid w:val="00754E49"/>
    <w:rsid w:val="00756C12"/>
    <w:rsid w:val="0075704B"/>
    <w:rsid w:val="007579A1"/>
    <w:rsid w:val="0076024E"/>
    <w:rsid w:val="0076074E"/>
    <w:rsid w:val="00761E99"/>
    <w:rsid w:val="007634D8"/>
    <w:rsid w:val="00763CB2"/>
    <w:rsid w:val="007643CF"/>
    <w:rsid w:val="0076721B"/>
    <w:rsid w:val="00774639"/>
    <w:rsid w:val="0077798E"/>
    <w:rsid w:val="00777C52"/>
    <w:rsid w:val="007803B6"/>
    <w:rsid w:val="00780FAC"/>
    <w:rsid w:val="0078260A"/>
    <w:rsid w:val="007831DA"/>
    <w:rsid w:val="007837F7"/>
    <w:rsid w:val="00784A11"/>
    <w:rsid w:val="007909B5"/>
    <w:rsid w:val="0079397C"/>
    <w:rsid w:val="00793B9F"/>
    <w:rsid w:val="00795538"/>
    <w:rsid w:val="007956C9"/>
    <w:rsid w:val="007A1D82"/>
    <w:rsid w:val="007A23BD"/>
    <w:rsid w:val="007A3737"/>
    <w:rsid w:val="007A6897"/>
    <w:rsid w:val="007A6F9A"/>
    <w:rsid w:val="007B06EF"/>
    <w:rsid w:val="007B0DD0"/>
    <w:rsid w:val="007B23F3"/>
    <w:rsid w:val="007B2D1B"/>
    <w:rsid w:val="007B3034"/>
    <w:rsid w:val="007B568F"/>
    <w:rsid w:val="007B7037"/>
    <w:rsid w:val="007B7E38"/>
    <w:rsid w:val="007C0562"/>
    <w:rsid w:val="007C39B9"/>
    <w:rsid w:val="007C4D55"/>
    <w:rsid w:val="007C598A"/>
    <w:rsid w:val="007C7B29"/>
    <w:rsid w:val="007D326A"/>
    <w:rsid w:val="007D4A75"/>
    <w:rsid w:val="007E1BD3"/>
    <w:rsid w:val="007E21EF"/>
    <w:rsid w:val="007E25DD"/>
    <w:rsid w:val="007E2FC8"/>
    <w:rsid w:val="007E4A97"/>
    <w:rsid w:val="007E4BFC"/>
    <w:rsid w:val="007E4C20"/>
    <w:rsid w:val="007E6721"/>
    <w:rsid w:val="007F0881"/>
    <w:rsid w:val="007F3031"/>
    <w:rsid w:val="007F3CC0"/>
    <w:rsid w:val="007F3DC1"/>
    <w:rsid w:val="007F4819"/>
    <w:rsid w:val="007F5986"/>
    <w:rsid w:val="007F6260"/>
    <w:rsid w:val="007F7025"/>
    <w:rsid w:val="007F7611"/>
    <w:rsid w:val="00800500"/>
    <w:rsid w:val="00800B8E"/>
    <w:rsid w:val="0080230B"/>
    <w:rsid w:val="00802805"/>
    <w:rsid w:val="00802C07"/>
    <w:rsid w:val="00804352"/>
    <w:rsid w:val="00815C58"/>
    <w:rsid w:val="0082027D"/>
    <w:rsid w:val="008214D9"/>
    <w:rsid w:val="00822BD9"/>
    <w:rsid w:val="00823EC9"/>
    <w:rsid w:val="00824192"/>
    <w:rsid w:val="00826E9A"/>
    <w:rsid w:val="008312B6"/>
    <w:rsid w:val="00831B49"/>
    <w:rsid w:val="00835B8B"/>
    <w:rsid w:val="008417B5"/>
    <w:rsid w:val="00843280"/>
    <w:rsid w:val="0084525F"/>
    <w:rsid w:val="008453FD"/>
    <w:rsid w:val="00846580"/>
    <w:rsid w:val="00846FDD"/>
    <w:rsid w:val="00847373"/>
    <w:rsid w:val="00850754"/>
    <w:rsid w:val="008512E5"/>
    <w:rsid w:val="00852393"/>
    <w:rsid w:val="008528A1"/>
    <w:rsid w:val="00852B00"/>
    <w:rsid w:val="00853DCC"/>
    <w:rsid w:val="00854865"/>
    <w:rsid w:val="0085568A"/>
    <w:rsid w:val="00857E8C"/>
    <w:rsid w:val="00863385"/>
    <w:rsid w:val="008643F4"/>
    <w:rsid w:val="008705F8"/>
    <w:rsid w:val="0087096A"/>
    <w:rsid w:val="00870D11"/>
    <w:rsid w:val="00872A64"/>
    <w:rsid w:val="008731D5"/>
    <w:rsid w:val="00873873"/>
    <w:rsid w:val="00873BC9"/>
    <w:rsid w:val="0087418D"/>
    <w:rsid w:val="008744F5"/>
    <w:rsid w:val="00880BDD"/>
    <w:rsid w:val="00882032"/>
    <w:rsid w:val="008822B2"/>
    <w:rsid w:val="00883347"/>
    <w:rsid w:val="00883A4A"/>
    <w:rsid w:val="008844FD"/>
    <w:rsid w:val="008851F2"/>
    <w:rsid w:val="0088575D"/>
    <w:rsid w:val="00892BD6"/>
    <w:rsid w:val="00893051"/>
    <w:rsid w:val="00893F9E"/>
    <w:rsid w:val="0089474B"/>
    <w:rsid w:val="00894963"/>
    <w:rsid w:val="00896F1E"/>
    <w:rsid w:val="008A029F"/>
    <w:rsid w:val="008A2543"/>
    <w:rsid w:val="008A4B74"/>
    <w:rsid w:val="008A568D"/>
    <w:rsid w:val="008B179F"/>
    <w:rsid w:val="008B242D"/>
    <w:rsid w:val="008B24B7"/>
    <w:rsid w:val="008B2CA8"/>
    <w:rsid w:val="008B571B"/>
    <w:rsid w:val="008C2AE8"/>
    <w:rsid w:val="008C7CFD"/>
    <w:rsid w:val="008C7DA3"/>
    <w:rsid w:val="008D265E"/>
    <w:rsid w:val="008D29BF"/>
    <w:rsid w:val="008D69F3"/>
    <w:rsid w:val="008D7D5B"/>
    <w:rsid w:val="008E16CC"/>
    <w:rsid w:val="008E466E"/>
    <w:rsid w:val="008E617F"/>
    <w:rsid w:val="008F0F11"/>
    <w:rsid w:val="008F0FB8"/>
    <w:rsid w:val="008F229C"/>
    <w:rsid w:val="008F33E6"/>
    <w:rsid w:val="008F42AD"/>
    <w:rsid w:val="008F54DB"/>
    <w:rsid w:val="008F6ABE"/>
    <w:rsid w:val="008F717D"/>
    <w:rsid w:val="008F7704"/>
    <w:rsid w:val="0090072E"/>
    <w:rsid w:val="009018BE"/>
    <w:rsid w:val="00901B03"/>
    <w:rsid w:val="00903926"/>
    <w:rsid w:val="009056A6"/>
    <w:rsid w:val="00911F69"/>
    <w:rsid w:val="00914C26"/>
    <w:rsid w:val="009161D6"/>
    <w:rsid w:val="00920E4D"/>
    <w:rsid w:val="00922D39"/>
    <w:rsid w:val="00923A50"/>
    <w:rsid w:val="009300B1"/>
    <w:rsid w:val="009331CB"/>
    <w:rsid w:val="00940797"/>
    <w:rsid w:val="0094331C"/>
    <w:rsid w:val="00943D10"/>
    <w:rsid w:val="009453C9"/>
    <w:rsid w:val="009457A9"/>
    <w:rsid w:val="00945D3D"/>
    <w:rsid w:val="0094652C"/>
    <w:rsid w:val="00946FA5"/>
    <w:rsid w:val="00947CB5"/>
    <w:rsid w:val="0095009C"/>
    <w:rsid w:val="009509EA"/>
    <w:rsid w:val="00950B5B"/>
    <w:rsid w:val="00951E75"/>
    <w:rsid w:val="00953E2A"/>
    <w:rsid w:val="00954305"/>
    <w:rsid w:val="00954DDC"/>
    <w:rsid w:val="00954E8E"/>
    <w:rsid w:val="00956005"/>
    <w:rsid w:val="00956043"/>
    <w:rsid w:val="00961A3B"/>
    <w:rsid w:val="0096430B"/>
    <w:rsid w:val="00964EEB"/>
    <w:rsid w:val="00965171"/>
    <w:rsid w:val="00965CA3"/>
    <w:rsid w:val="0097110F"/>
    <w:rsid w:val="009711E4"/>
    <w:rsid w:val="00971D7B"/>
    <w:rsid w:val="00972CE6"/>
    <w:rsid w:val="009738A0"/>
    <w:rsid w:val="00975189"/>
    <w:rsid w:val="00975610"/>
    <w:rsid w:val="009758FC"/>
    <w:rsid w:val="00975D32"/>
    <w:rsid w:val="00976047"/>
    <w:rsid w:val="009764FA"/>
    <w:rsid w:val="00977B54"/>
    <w:rsid w:val="00983BFC"/>
    <w:rsid w:val="00986BE3"/>
    <w:rsid w:val="00987723"/>
    <w:rsid w:val="00993AC4"/>
    <w:rsid w:val="00993CF4"/>
    <w:rsid w:val="009940A7"/>
    <w:rsid w:val="009A13B1"/>
    <w:rsid w:val="009A18A9"/>
    <w:rsid w:val="009A1A27"/>
    <w:rsid w:val="009A54C2"/>
    <w:rsid w:val="009A6F67"/>
    <w:rsid w:val="009B1246"/>
    <w:rsid w:val="009B1941"/>
    <w:rsid w:val="009B3019"/>
    <w:rsid w:val="009B4C9B"/>
    <w:rsid w:val="009B6A15"/>
    <w:rsid w:val="009B6A51"/>
    <w:rsid w:val="009B71B7"/>
    <w:rsid w:val="009B753B"/>
    <w:rsid w:val="009B7C87"/>
    <w:rsid w:val="009C0166"/>
    <w:rsid w:val="009C0B43"/>
    <w:rsid w:val="009C0B95"/>
    <w:rsid w:val="009C2275"/>
    <w:rsid w:val="009C3086"/>
    <w:rsid w:val="009C3C4D"/>
    <w:rsid w:val="009C3F56"/>
    <w:rsid w:val="009C42E2"/>
    <w:rsid w:val="009D158A"/>
    <w:rsid w:val="009D15EB"/>
    <w:rsid w:val="009D2555"/>
    <w:rsid w:val="009D4938"/>
    <w:rsid w:val="009E0786"/>
    <w:rsid w:val="009E1212"/>
    <w:rsid w:val="009E3F16"/>
    <w:rsid w:val="009E450D"/>
    <w:rsid w:val="009E5EF3"/>
    <w:rsid w:val="009E6664"/>
    <w:rsid w:val="009E6C94"/>
    <w:rsid w:val="009E78B9"/>
    <w:rsid w:val="009F41D8"/>
    <w:rsid w:val="009F714A"/>
    <w:rsid w:val="00A01066"/>
    <w:rsid w:val="00A03BC8"/>
    <w:rsid w:val="00A041A4"/>
    <w:rsid w:val="00A0486F"/>
    <w:rsid w:val="00A05F5F"/>
    <w:rsid w:val="00A062DE"/>
    <w:rsid w:val="00A130E5"/>
    <w:rsid w:val="00A13538"/>
    <w:rsid w:val="00A139CD"/>
    <w:rsid w:val="00A16B1E"/>
    <w:rsid w:val="00A21BC7"/>
    <w:rsid w:val="00A21DFB"/>
    <w:rsid w:val="00A242ED"/>
    <w:rsid w:val="00A2636D"/>
    <w:rsid w:val="00A30F92"/>
    <w:rsid w:val="00A31465"/>
    <w:rsid w:val="00A3355A"/>
    <w:rsid w:val="00A3376C"/>
    <w:rsid w:val="00A3426C"/>
    <w:rsid w:val="00A37F0E"/>
    <w:rsid w:val="00A44076"/>
    <w:rsid w:val="00A50BDE"/>
    <w:rsid w:val="00A50DC9"/>
    <w:rsid w:val="00A52927"/>
    <w:rsid w:val="00A52B81"/>
    <w:rsid w:val="00A52D4E"/>
    <w:rsid w:val="00A60001"/>
    <w:rsid w:val="00A60692"/>
    <w:rsid w:val="00A66478"/>
    <w:rsid w:val="00A70F8E"/>
    <w:rsid w:val="00A740B1"/>
    <w:rsid w:val="00A75942"/>
    <w:rsid w:val="00A775A5"/>
    <w:rsid w:val="00A8112C"/>
    <w:rsid w:val="00A83CCC"/>
    <w:rsid w:val="00A857F6"/>
    <w:rsid w:val="00A867FC"/>
    <w:rsid w:val="00A86DD2"/>
    <w:rsid w:val="00A86F22"/>
    <w:rsid w:val="00A90FC1"/>
    <w:rsid w:val="00A924E7"/>
    <w:rsid w:val="00A94AAE"/>
    <w:rsid w:val="00A94B3A"/>
    <w:rsid w:val="00A9677B"/>
    <w:rsid w:val="00AA200F"/>
    <w:rsid w:val="00AA20F4"/>
    <w:rsid w:val="00AA25FF"/>
    <w:rsid w:val="00AA3782"/>
    <w:rsid w:val="00AA62CA"/>
    <w:rsid w:val="00AA774A"/>
    <w:rsid w:val="00AA78DE"/>
    <w:rsid w:val="00AB45D0"/>
    <w:rsid w:val="00AB5FE5"/>
    <w:rsid w:val="00AB6306"/>
    <w:rsid w:val="00AB6E46"/>
    <w:rsid w:val="00AB70EC"/>
    <w:rsid w:val="00AC0264"/>
    <w:rsid w:val="00AC131D"/>
    <w:rsid w:val="00AC21F4"/>
    <w:rsid w:val="00AC2366"/>
    <w:rsid w:val="00AC28C3"/>
    <w:rsid w:val="00AC333E"/>
    <w:rsid w:val="00AC5E5E"/>
    <w:rsid w:val="00AC5EBF"/>
    <w:rsid w:val="00AC7046"/>
    <w:rsid w:val="00AC71AE"/>
    <w:rsid w:val="00AD0417"/>
    <w:rsid w:val="00AD0E57"/>
    <w:rsid w:val="00AD1509"/>
    <w:rsid w:val="00AD1954"/>
    <w:rsid w:val="00AD1D16"/>
    <w:rsid w:val="00AD231F"/>
    <w:rsid w:val="00AD4FDB"/>
    <w:rsid w:val="00AD54DF"/>
    <w:rsid w:val="00AD6DCA"/>
    <w:rsid w:val="00AD78B1"/>
    <w:rsid w:val="00AE159C"/>
    <w:rsid w:val="00AE2193"/>
    <w:rsid w:val="00AE2A7A"/>
    <w:rsid w:val="00AE471A"/>
    <w:rsid w:val="00AE74F8"/>
    <w:rsid w:val="00AF21CD"/>
    <w:rsid w:val="00AF3309"/>
    <w:rsid w:val="00AF6702"/>
    <w:rsid w:val="00B03DDD"/>
    <w:rsid w:val="00B1046B"/>
    <w:rsid w:val="00B109CB"/>
    <w:rsid w:val="00B109D7"/>
    <w:rsid w:val="00B10D06"/>
    <w:rsid w:val="00B15495"/>
    <w:rsid w:val="00B15EBE"/>
    <w:rsid w:val="00B176F7"/>
    <w:rsid w:val="00B2162C"/>
    <w:rsid w:val="00B23126"/>
    <w:rsid w:val="00B23380"/>
    <w:rsid w:val="00B23593"/>
    <w:rsid w:val="00B26A49"/>
    <w:rsid w:val="00B31127"/>
    <w:rsid w:val="00B31C53"/>
    <w:rsid w:val="00B327D6"/>
    <w:rsid w:val="00B359E2"/>
    <w:rsid w:val="00B4012B"/>
    <w:rsid w:val="00B40A85"/>
    <w:rsid w:val="00B452A8"/>
    <w:rsid w:val="00B5018D"/>
    <w:rsid w:val="00B50D54"/>
    <w:rsid w:val="00B5249B"/>
    <w:rsid w:val="00B526A0"/>
    <w:rsid w:val="00B52A3E"/>
    <w:rsid w:val="00B54300"/>
    <w:rsid w:val="00B57EA2"/>
    <w:rsid w:val="00B607EC"/>
    <w:rsid w:val="00B61B49"/>
    <w:rsid w:val="00B62396"/>
    <w:rsid w:val="00B6493E"/>
    <w:rsid w:val="00B654B0"/>
    <w:rsid w:val="00B6557E"/>
    <w:rsid w:val="00B673D6"/>
    <w:rsid w:val="00B67F50"/>
    <w:rsid w:val="00B7282E"/>
    <w:rsid w:val="00B731EC"/>
    <w:rsid w:val="00B73361"/>
    <w:rsid w:val="00B73BDD"/>
    <w:rsid w:val="00B74A15"/>
    <w:rsid w:val="00B75BF3"/>
    <w:rsid w:val="00B7651B"/>
    <w:rsid w:val="00B7758F"/>
    <w:rsid w:val="00B77FB3"/>
    <w:rsid w:val="00B8203A"/>
    <w:rsid w:val="00B834B8"/>
    <w:rsid w:val="00B85D73"/>
    <w:rsid w:val="00B86C9D"/>
    <w:rsid w:val="00B91EE7"/>
    <w:rsid w:val="00B93640"/>
    <w:rsid w:val="00B93E81"/>
    <w:rsid w:val="00B94805"/>
    <w:rsid w:val="00B9554F"/>
    <w:rsid w:val="00B95BC4"/>
    <w:rsid w:val="00B9658A"/>
    <w:rsid w:val="00B967F7"/>
    <w:rsid w:val="00B97198"/>
    <w:rsid w:val="00B97FE2"/>
    <w:rsid w:val="00BA07E2"/>
    <w:rsid w:val="00BA3048"/>
    <w:rsid w:val="00BA3659"/>
    <w:rsid w:val="00BA469E"/>
    <w:rsid w:val="00BA4AA8"/>
    <w:rsid w:val="00BA4D66"/>
    <w:rsid w:val="00BA7C44"/>
    <w:rsid w:val="00BB05C7"/>
    <w:rsid w:val="00BB763D"/>
    <w:rsid w:val="00BC0ABF"/>
    <w:rsid w:val="00BC28B9"/>
    <w:rsid w:val="00BC2932"/>
    <w:rsid w:val="00BC3589"/>
    <w:rsid w:val="00BC4000"/>
    <w:rsid w:val="00BC4B65"/>
    <w:rsid w:val="00BC622C"/>
    <w:rsid w:val="00BC67B5"/>
    <w:rsid w:val="00BC7315"/>
    <w:rsid w:val="00BD1C87"/>
    <w:rsid w:val="00BD1D9D"/>
    <w:rsid w:val="00BD4BF5"/>
    <w:rsid w:val="00BD5A91"/>
    <w:rsid w:val="00BD5DCE"/>
    <w:rsid w:val="00BD673E"/>
    <w:rsid w:val="00BD743A"/>
    <w:rsid w:val="00BD7611"/>
    <w:rsid w:val="00BE0F61"/>
    <w:rsid w:val="00BE4B94"/>
    <w:rsid w:val="00BE695E"/>
    <w:rsid w:val="00BF0C30"/>
    <w:rsid w:val="00BF3EAC"/>
    <w:rsid w:val="00BF3EED"/>
    <w:rsid w:val="00BF7E19"/>
    <w:rsid w:val="00C00315"/>
    <w:rsid w:val="00C01AF6"/>
    <w:rsid w:val="00C0209D"/>
    <w:rsid w:val="00C03630"/>
    <w:rsid w:val="00C0748A"/>
    <w:rsid w:val="00C078EC"/>
    <w:rsid w:val="00C110E9"/>
    <w:rsid w:val="00C1135E"/>
    <w:rsid w:val="00C11540"/>
    <w:rsid w:val="00C124DD"/>
    <w:rsid w:val="00C144E1"/>
    <w:rsid w:val="00C150B2"/>
    <w:rsid w:val="00C1539A"/>
    <w:rsid w:val="00C210FE"/>
    <w:rsid w:val="00C21D1B"/>
    <w:rsid w:val="00C22B5F"/>
    <w:rsid w:val="00C2344F"/>
    <w:rsid w:val="00C2600E"/>
    <w:rsid w:val="00C26197"/>
    <w:rsid w:val="00C33E7D"/>
    <w:rsid w:val="00C33EBC"/>
    <w:rsid w:val="00C35CD8"/>
    <w:rsid w:val="00C367B7"/>
    <w:rsid w:val="00C374D8"/>
    <w:rsid w:val="00C44BBA"/>
    <w:rsid w:val="00C45F2D"/>
    <w:rsid w:val="00C46624"/>
    <w:rsid w:val="00C46FB2"/>
    <w:rsid w:val="00C52DC2"/>
    <w:rsid w:val="00C54007"/>
    <w:rsid w:val="00C54B4C"/>
    <w:rsid w:val="00C55F80"/>
    <w:rsid w:val="00C61584"/>
    <w:rsid w:val="00C643EA"/>
    <w:rsid w:val="00C6455C"/>
    <w:rsid w:val="00C664EB"/>
    <w:rsid w:val="00C66AC4"/>
    <w:rsid w:val="00C67878"/>
    <w:rsid w:val="00C70210"/>
    <w:rsid w:val="00C71123"/>
    <w:rsid w:val="00C7156B"/>
    <w:rsid w:val="00C717BF"/>
    <w:rsid w:val="00C75489"/>
    <w:rsid w:val="00C7556E"/>
    <w:rsid w:val="00C76468"/>
    <w:rsid w:val="00C76D8A"/>
    <w:rsid w:val="00C770A1"/>
    <w:rsid w:val="00C8092E"/>
    <w:rsid w:val="00C81CBC"/>
    <w:rsid w:val="00C82E86"/>
    <w:rsid w:val="00C848F8"/>
    <w:rsid w:val="00C84914"/>
    <w:rsid w:val="00C85550"/>
    <w:rsid w:val="00C85DB5"/>
    <w:rsid w:val="00C868F5"/>
    <w:rsid w:val="00C86D17"/>
    <w:rsid w:val="00C91C2C"/>
    <w:rsid w:val="00C94DFD"/>
    <w:rsid w:val="00C95204"/>
    <w:rsid w:val="00C97736"/>
    <w:rsid w:val="00CA2A5E"/>
    <w:rsid w:val="00CA456A"/>
    <w:rsid w:val="00CA55C9"/>
    <w:rsid w:val="00CB00F6"/>
    <w:rsid w:val="00CB0796"/>
    <w:rsid w:val="00CB2C27"/>
    <w:rsid w:val="00CB4AF6"/>
    <w:rsid w:val="00CC1490"/>
    <w:rsid w:val="00CC2CAD"/>
    <w:rsid w:val="00CC3711"/>
    <w:rsid w:val="00CC49B5"/>
    <w:rsid w:val="00CC710E"/>
    <w:rsid w:val="00CC7876"/>
    <w:rsid w:val="00CD0380"/>
    <w:rsid w:val="00CD232C"/>
    <w:rsid w:val="00CD55C1"/>
    <w:rsid w:val="00CD6277"/>
    <w:rsid w:val="00CD6ECB"/>
    <w:rsid w:val="00CE082D"/>
    <w:rsid w:val="00CE264D"/>
    <w:rsid w:val="00CE3163"/>
    <w:rsid w:val="00CE3497"/>
    <w:rsid w:val="00CE5620"/>
    <w:rsid w:val="00CE7E3C"/>
    <w:rsid w:val="00CF0563"/>
    <w:rsid w:val="00CF075A"/>
    <w:rsid w:val="00CF0CD3"/>
    <w:rsid w:val="00CF1E84"/>
    <w:rsid w:val="00CF3325"/>
    <w:rsid w:val="00CF3710"/>
    <w:rsid w:val="00CF38DB"/>
    <w:rsid w:val="00CF51A1"/>
    <w:rsid w:val="00CF5237"/>
    <w:rsid w:val="00CF5B8F"/>
    <w:rsid w:val="00CF7C03"/>
    <w:rsid w:val="00D018C3"/>
    <w:rsid w:val="00D03092"/>
    <w:rsid w:val="00D048D6"/>
    <w:rsid w:val="00D067FB"/>
    <w:rsid w:val="00D06B0E"/>
    <w:rsid w:val="00D06C0C"/>
    <w:rsid w:val="00D079E5"/>
    <w:rsid w:val="00D11F91"/>
    <w:rsid w:val="00D120DE"/>
    <w:rsid w:val="00D131DA"/>
    <w:rsid w:val="00D15EE2"/>
    <w:rsid w:val="00D17656"/>
    <w:rsid w:val="00D218C2"/>
    <w:rsid w:val="00D21BF0"/>
    <w:rsid w:val="00D22FCC"/>
    <w:rsid w:val="00D24239"/>
    <w:rsid w:val="00D2495D"/>
    <w:rsid w:val="00D24A06"/>
    <w:rsid w:val="00D25CB9"/>
    <w:rsid w:val="00D26191"/>
    <w:rsid w:val="00D268CE"/>
    <w:rsid w:val="00D271BC"/>
    <w:rsid w:val="00D274A5"/>
    <w:rsid w:val="00D27A28"/>
    <w:rsid w:val="00D30946"/>
    <w:rsid w:val="00D310C7"/>
    <w:rsid w:val="00D350C3"/>
    <w:rsid w:val="00D36AAC"/>
    <w:rsid w:val="00D432C5"/>
    <w:rsid w:val="00D44E07"/>
    <w:rsid w:val="00D45090"/>
    <w:rsid w:val="00D46F47"/>
    <w:rsid w:val="00D474F7"/>
    <w:rsid w:val="00D500A3"/>
    <w:rsid w:val="00D51C83"/>
    <w:rsid w:val="00D52CE2"/>
    <w:rsid w:val="00D53812"/>
    <w:rsid w:val="00D5424D"/>
    <w:rsid w:val="00D55118"/>
    <w:rsid w:val="00D55B06"/>
    <w:rsid w:val="00D60DE3"/>
    <w:rsid w:val="00D6239B"/>
    <w:rsid w:val="00D62E4C"/>
    <w:rsid w:val="00D62E64"/>
    <w:rsid w:val="00D64107"/>
    <w:rsid w:val="00D67A75"/>
    <w:rsid w:val="00D709BE"/>
    <w:rsid w:val="00D713BB"/>
    <w:rsid w:val="00D71D1D"/>
    <w:rsid w:val="00D72729"/>
    <w:rsid w:val="00D73689"/>
    <w:rsid w:val="00D76358"/>
    <w:rsid w:val="00D80D77"/>
    <w:rsid w:val="00D83AD6"/>
    <w:rsid w:val="00D842AA"/>
    <w:rsid w:val="00D8471A"/>
    <w:rsid w:val="00D84C0E"/>
    <w:rsid w:val="00D86E3C"/>
    <w:rsid w:val="00D87FAA"/>
    <w:rsid w:val="00D91230"/>
    <w:rsid w:val="00D92582"/>
    <w:rsid w:val="00D92E96"/>
    <w:rsid w:val="00D979DA"/>
    <w:rsid w:val="00DA2211"/>
    <w:rsid w:val="00DA343D"/>
    <w:rsid w:val="00DA423B"/>
    <w:rsid w:val="00DA5F1D"/>
    <w:rsid w:val="00DB1998"/>
    <w:rsid w:val="00DB2862"/>
    <w:rsid w:val="00DB5290"/>
    <w:rsid w:val="00DB70A4"/>
    <w:rsid w:val="00DC1B76"/>
    <w:rsid w:val="00DC221B"/>
    <w:rsid w:val="00DC2668"/>
    <w:rsid w:val="00DC4AAE"/>
    <w:rsid w:val="00DC640E"/>
    <w:rsid w:val="00DC660D"/>
    <w:rsid w:val="00DD071E"/>
    <w:rsid w:val="00DD0D56"/>
    <w:rsid w:val="00DD201F"/>
    <w:rsid w:val="00DD2EA0"/>
    <w:rsid w:val="00DD6AF2"/>
    <w:rsid w:val="00DD727E"/>
    <w:rsid w:val="00DE1BCE"/>
    <w:rsid w:val="00DE1C6D"/>
    <w:rsid w:val="00DE3756"/>
    <w:rsid w:val="00DE529E"/>
    <w:rsid w:val="00DE5369"/>
    <w:rsid w:val="00DE5E8C"/>
    <w:rsid w:val="00DE68B7"/>
    <w:rsid w:val="00DE6F85"/>
    <w:rsid w:val="00DF2CEA"/>
    <w:rsid w:val="00DF2D01"/>
    <w:rsid w:val="00DF3894"/>
    <w:rsid w:val="00E02AFC"/>
    <w:rsid w:val="00E036A1"/>
    <w:rsid w:val="00E04747"/>
    <w:rsid w:val="00E05824"/>
    <w:rsid w:val="00E0744B"/>
    <w:rsid w:val="00E100D2"/>
    <w:rsid w:val="00E11740"/>
    <w:rsid w:val="00E123AD"/>
    <w:rsid w:val="00E1274A"/>
    <w:rsid w:val="00E132A9"/>
    <w:rsid w:val="00E136B6"/>
    <w:rsid w:val="00E13BE4"/>
    <w:rsid w:val="00E14411"/>
    <w:rsid w:val="00E20145"/>
    <w:rsid w:val="00E22326"/>
    <w:rsid w:val="00E2495A"/>
    <w:rsid w:val="00E26CF4"/>
    <w:rsid w:val="00E30E18"/>
    <w:rsid w:val="00E32F43"/>
    <w:rsid w:val="00E331AD"/>
    <w:rsid w:val="00E34691"/>
    <w:rsid w:val="00E34F0D"/>
    <w:rsid w:val="00E34FC7"/>
    <w:rsid w:val="00E4277F"/>
    <w:rsid w:val="00E45FD8"/>
    <w:rsid w:val="00E54A6C"/>
    <w:rsid w:val="00E56FEA"/>
    <w:rsid w:val="00E6027F"/>
    <w:rsid w:val="00E61923"/>
    <w:rsid w:val="00E61942"/>
    <w:rsid w:val="00E64BCB"/>
    <w:rsid w:val="00E66810"/>
    <w:rsid w:val="00E66CBB"/>
    <w:rsid w:val="00E678BE"/>
    <w:rsid w:val="00E67E1F"/>
    <w:rsid w:val="00E71806"/>
    <w:rsid w:val="00E7316F"/>
    <w:rsid w:val="00E73B9D"/>
    <w:rsid w:val="00E73C36"/>
    <w:rsid w:val="00E75118"/>
    <w:rsid w:val="00E7695E"/>
    <w:rsid w:val="00E770C9"/>
    <w:rsid w:val="00E77FE1"/>
    <w:rsid w:val="00E83AAF"/>
    <w:rsid w:val="00E8701A"/>
    <w:rsid w:val="00E87566"/>
    <w:rsid w:val="00E905AA"/>
    <w:rsid w:val="00E908B1"/>
    <w:rsid w:val="00E90B87"/>
    <w:rsid w:val="00E93000"/>
    <w:rsid w:val="00E96655"/>
    <w:rsid w:val="00E973E2"/>
    <w:rsid w:val="00E977C8"/>
    <w:rsid w:val="00EA0179"/>
    <w:rsid w:val="00EA2DAC"/>
    <w:rsid w:val="00EA37B5"/>
    <w:rsid w:val="00EA52A0"/>
    <w:rsid w:val="00EA5C09"/>
    <w:rsid w:val="00EB01D2"/>
    <w:rsid w:val="00EB37EA"/>
    <w:rsid w:val="00EB3BCE"/>
    <w:rsid w:val="00EB4BF2"/>
    <w:rsid w:val="00EB6236"/>
    <w:rsid w:val="00EC1A5D"/>
    <w:rsid w:val="00EC2818"/>
    <w:rsid w:val="00EC3EEE"/>
    <w:rsid w:val="00EC6D9B"/>
    <w:rsid w:val="00EC76F9"/>
    <w:rsid w:val="00EC7A1B"/>
    <w:rsid w:val="00ED115E"/>
    <w:rsid w:val="00ED2E5E"/>
    <w:rsid w:val="00ED36FA"/>
    <w:rsid w:val="00ED399C"/>
    <w:rsid w:val="00ED4D29"/>
    <w:rsid w:val="00ED61D4"/>
    <w:rsid w:val="00ED6D46"/>
    <w:rsid w:val="00ED70F8"/>
    <w:rsid w:val="00ED7401"/>
    <w:rsid w:val="00EE1B2B"/>
    <w:rsid w:val="00EE45B5"/>
    <w:rsid w:val="00EE480C"/>
    <w:rsid w:val="00EE4927"/>
    <w:rsid w:val="00EE5E78"/>
    <w:rsid w:val="00EE7EDB"/>
    <w:rsid w:val="00EF0217"/>
    <w:rsid w:val="00EF3D46"/>
    <w:rsid w:val="00EF7151"/>
    <w:rsid w:val="00EF79BB"/>
    <w:rsid w:val="00F014FE"/>
    <w:rsid w:val="00F01B66"/>
    <w:rsid w:val="00F023BE"/>
    <w:rsid w:val="00F028B9"/>
    <w:rsid w:val="00F05544"/>
    <w:rsid w:val="00F055FB"/>
    <w:rsid w:val="00F058DF"/>
    <w:rsid w:val="00F1083C"/>
    <w:rsid w:val="00F10888"/>
    <w:rsid w:val="00F13C98"/>
    <w:rsid w:val="00F14220"/>
    <w:rsid w:val="00F149E0"/>
    <w:rsid w:val="00F15EA5"/>
    <w:rsid w:val="00F1702F"/>
    <w:rsid w:val="00F17429"/>
    <w:rsid w:val="00F2022E"/>
    <w:rsid w:val="00F20650"/>
    <w:rsid w:val="00F20B26"/>
    <w:rsid w:val="00F21FEC"/>
    <w:rsid w:val="00F25A2D"/>
    <w:rsid w:val="00F25DB8"/>
    <w:rsid w:val="00F26687"/>
    <w:rsid w:val="00F3133D"/>
    <w:rsid w:val="00F3295C"/>
    <w:rsid w:val="00F35486"/>
    <w:rsid w:val="00F35F83"/>
    <w:rsid w:val="00F360CD"/>
    <w:rsid w:val="00F41C8C"/>
    <w:rsid w:val="00F42205"/>
    <w:rsid w:val="00F42617"/>
    <w:rsid w:val="00F426C0"/>
    <w:rsid w:val="00F441BD"/>
    <w:rsid w:val="00F50572"/>
    <w:rsid w:val="00F51869"/>
    <w:rsid w:val="00F518D9"/>
    <w:rsid w:val="00F520AD"/>
    <w:rsid w:val="00F54170"/>
    <w:rsid w:val="00F54DF6"/>
    <w:rsid w:val="00F554FB"/>
    <w:rsid w:val="00F57DF2"/>
    <w:rsid w:val="00F61102"/>
    <w:rsid w:val="00F61162"/>
    <w:rsid w:val="00F629E1"/>
    <w:rsid w:val="00F645F1"/>
    <w:rsid w:val="00F64618"/>
    <w:rsid w:val="00F67EE2"/>
    <w:rsid w:val="00F701CE"/>
    <w:rsid w:val="00F7221A"/>
    <w:rsid w:val="00F741E0"/>
    <w:rsid w:val="00F7478A"/>
    <w:rsid w:val="00F74B9A"/>
    <w:rsid w:val="00F75F74"/>
    <w:rsid w:val="00F76BC9"/>
    <w:rsid w:val="00F81E22"/>
    <w:rsid w:val="00F8435D"/>
    <w:rsid w:val="00F8764B"/>
    <w:rsid w:val="00F879F9"/>
    <w:rsid w:val="00F87A56"/>
    <w:rsid w:val="00F87A9A"/>
    <w:rsid w:val="00F87E59"/>
    <w:rsid w:val="00F90ACC"/>
    <w:rsid w:val="00F90BF4"/>
    <w:rsid w:val="00F92CD1"/>
    <w:rsid w:val="00F955DF"/>
    <w:rsid w:val="00F973AC"/>
    <w:rsid w:val="00FA0E65"/>
    <w:rsid w:val="00FA15DC"/>
    <w:rsid w:val="00FA202D"/>
    <w:rsid w:val="00FA3166"/>
    <w:rsid w:val="00FA7CC5"/>
    <w:rsid w:val="00FB047A"/>
    <w:rsid w:val="00FB2BD8"/>
    <w:rsid w:val="00FB303D"/>
    <w:rsid w:val="00FB38E3"/>
    <w:rsid w:val="00FB3E52"/>
    <w:rsid w:val="00FB5A7A"/>
    <w:rsid w:val="00FB670A"/>
    <w:rsid w:val="00FB77FD"/>
    <w:rsid w:val="00FC0523"/>
    <w:rsid w:val="00FC09BE"/>
    <w:rsid w:val="00FC24EB"/>
    <w:rsid w:val="00FC4A6E"/>
    <w:rsid w:val="00FC5C69"/>
    <w:rsid w:val="00FC5CA6"/>
    <w:rsid w:val="00FC70A0"/>
    <w:rsid w:val="00FD0598"/>
    <w:rsid w:val="00FD1091"/>
    <w:rsid w:val="00FD3688"/>
    <w:rsid w:val="00FD3E0D"/>
    <w:rsid w:val="00FD5F7A"/>
    <w:rsid w:val="00FE059F"/>
    <w:rsid w:val="00FE05E5"/>
    <w:rsid w:val="00FE4D53"/>
    <w:rsid w:val="00FE6A9D"/>
    <w:rsid w:val="00FE709C"/>
    <w:rsid w:val="00FF03B5"/>
    <w:rsid w:val="00FF16D9"/>
    <w:rsid w:val="00FF21B9"/>
    <w:rsid w:val="00FF3E5D"/>
    <w:rsid w:val="00FF427A"/>
    <w:rsid w:val="00FF5DA5"/>
    <w:rsid w:val="00FF5DD7"/>
    <w:rsid w:val="00FF64C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02A41A"/>
  <w15:chartTrackingRefBased/>
  <w15:docId w15:val="{219DD7A7-428E-4915-8BD0-BCE70CB2D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Cs w:val="22"/>
        <w:lang w:val="en-US" w:eastAsia="ko-KR" w:bidi="ar-SA"/>
        <w14:ligatures w14:val="standardContextual"/>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F6702"/>
    <w:pPr>
      <w:spacing w:after="0" w:line="240" w:lineRule="auto"/>
      <w:jc w:val="left"/>
    </w:pPr>
    <w:rPr>
      <w:rFonts w:ascii="Times New Roman" w:eastAsia="Times New Roman" w:hAnsi="Times New Roman" w:cs="Times New Roman"/>
      <w:kern w:val="0"/>
      <w:sz w:val="24"/>
      <w:szCs w:val="24"/>
      <w14:ligatures w14:val="none"/>
    </w:rPr>
  </w:style>
  <w:style w:type="paragraph" w:styleId="1">
    <w:name w:val="heading 1"/>
    <w:basedOn w:val="a"/>
    <w:next w:val="a"/>
    <w:link w:val="1Char"/>
    <w:uiPriority w:val="9"/>
    <w:qFormat/>
    <w:rsid w:val="00AF6702"/>
    <w:pPr>
      <w:keepNext/>
      <w:keepLines/>
      <w:spacing w:before="480" w:line="276" w:lineRule="auto"/>
      <w:outlineLvl w:val="0"/>
    </w:pPr>
    <w:rPr>
      <w:rFonts w:asciiTheme="majorHAnsi" w:eastAsiaTheme="majorEastAsia" w:hAnsiTheme="majorHAnsi" w:cstheme="majorBidi"/>
      <w:b/>
      <w:bCs/>
      <w:color w:val="2F5496" w:themeColor="accent1" w:themeShade="BF"/>
      <w:sz w:val="28"/>
      <w:szCs w:val="28"/>
      <w:lang w:eastAsia="en-US" w:bidi="en-US"/>
    </w:rPr>
  </w:style>
  <w:style w:type="paragraph" w:styleId="3">
    <w:name w:val="heading 3"/>
    <w:basedOn w:val="a"/>
    <w:next w:val="a"/>
    <w:link w:val="3Char"/>
    <w:uiPriority w:val="9"/>
    <w:semiHidden/>
    <w:unhideWhenUsed/>
    <w:qFormat/>
    <w:rsid w:val="00B9554F"/>
    <w:pPr>
      <w:keepNext/>
      <w:ind w:leftChars="300" w:left="300" w:hangingChars="200" w:hanging="2000"/>
      <w:outlineLvl w:val="2"/>
    </w:pPr>
    <w:rPr>
      <w:rFonts w:asciiTheme="majorHAnsi" w:eastAsiaTheme="majorEastAsia" w:hAnsiTheme="majorHAnsi" w:cstheme="majorBidi"/>
    </w:rPr>
  </w:style>
  <w:style w:type="paragraph" w:styleId="5">
    <w:name w:val="heading 5"/>
    <w:basedOn w:val="a"/>
    <w:next w:val="a"/>
    <w:link w:val="5Char"/>
    <w:uiPriority w:val="9"/>
    <w:semiHidden/>
    <w:unhideWhenUsed/>
    <w:qFormat/>
    <w:rsid w:val="00AF6702"/>
    <w:pPr>
      <w:keepNext/>
      <w:keepLines/>
      <w:spacing w:before="40"/>
      <w:outlineLvl w:val="4"/>
    </w:pPr>
    <w:rPr>
      <w:rFonts w:asciiTheme="majorHAnsi" w:eastAsiaTheme="majorEastAsia" w:hAnsiTheme="majorHAnsi" w:cstheme="majorBidi"/>
      <w:color w:val="2F5496"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AF6702"/>
    <w:rPr>
      <w:rFonts w:asciiTheme="majorHAnsi" w:eastAsiaTheme="majorEastAsia" w:hAnsiTheme="majorHAnsi" w:cstheme="majorBidi"/>
      <w:b/>
      <w:bCs/>
      <w:color w:val="2F5496" w:themeColor="accent1" w:themeShade="BF"/>
      <w:kern w:val="0"/>
      <w:sz w:val="28"/>
      <w:szCs w:val="28"/>
      <w:lang w:eastAsia="en-US" w:bidi="en-US"/>
      <w14:ligatures w14:val="none"/>
    </w:rPr>
  </w:style>
  <w:style w:type="character" w:customStyle="1" w:styleId="5Char">
    <w:name w:val="제목 5 Char"/>
    <w:basedOn w:val="a0"/>
    <w:link w:val="5"/>
    <w:uiPriority w:val="9"/>
    <w:semiHidden/>
    <w:rsid w:val="00AF6702"/>
    <w:rPr>
      <w:rFonts w:asciiTheme="majorHAnsi" w:eastAsiaTheme="majorEastAsia" w:hAnsiTheme="majorHAnsi" w:cstheme="majorBidi"/>
      <w:color w:val="2F5496" w:themeColor="accent1" w:themeShade="BF"/>
      <w:kern w:val="0"/>
      <w:sz w:val="24"/>
      <w:szCs w:val="24"/>
      <w14:ligatures w14:val="none"/>
    </w:rPr>
  </w:style>
  <w:style w:type="paragraph" w:styleId="a3">
    <w:name w:val="List Paragraph"/>
    <w:basedOn w:val="a"/>
    <w:uiPriority w:val="34"/>
    <w:qFormat/>
    <w:rsid w:val="00AF6702"/>
    <w:pPr>
      <w:ind w:left="720"/>
      <w:contextualSpacing/>
    </w:pPr>
    <w:rPr>
      <w:rFonts w:asciiTheme="minorHAnsi" w:eastAsiaTheme="minorEastAsia" w:hAnsiTheme="minorHAnsi" w:cstheme="minorBidi"/>
    </w:rPr>
  </w:style>
  <w:style w:type="paragraph" w:styleId="a4">
    <w:name w:val="footnote text"/>
    <w:basedOn w:val="a"/>
    <w:link w:val="Char"/>
    <w:uiPriority w:val="99"/>
    <w:unhideWhenUsed/>
    <w:rsid w:val="00AF6702"/>
    <w:rPr>
      <w:rFonts w:asciiTheme="minorHAnsi" w:eastAsiaTheme="minorEastAsia" w:hAnsiTheme="minorHAnsi" w:cstheme="minorBidi"/>
      <w:sz w:val="20"/>
      <w:szCs w:val="20"/>
    </w:rPr>
  </w:style>
  <w:style w:type="character" w:customStyle="1" w:styleId="Char">
    <w:name w:val="각주 텍스트 Char"/>
    <w:basedOn w:val="a0"/>
    <w:link w:val="a4"/>
    <w:uiPriority w:val="99"/>
    <w:rsid w:val="00AF6702"/>
    <w:rPr>
      <w:kern w:val="0"/>
      <w:szCs w:val="20"/>
      <w14:ligatures w14:val="none"/>
    </w:rPr>
  </w:style>
  <w:style w:type="character" w:styleId="a5">
    <w:name w:val="footnote reference"/>
    <w:basedOn w:val="a0"/>
    <w:uiPriority w:val="99"/>
    <w:unhideWhenUsed/>
    <w:rsid w:val="00AF6702"/>
    <w:rPr>
      <w:vertAlign w:val="superscript"/>
    </w:rPr>
  </w:style>
  <w:style w:type="table" w:customStyle="1" w:styleId="PlainTable41">
    <w:name w:val="Plain Table 41"/>
    <w:basedOn w:val="a1"/>
    <w:uiPriority w:val="44"/>
    <w:rsid w:val="00AF6702"/>
    <w:pPr>
      <w:spacing w:after="0" w:line="240" w:lineRule="auto"/>
      <w:jc w:val="left"/>
    </w:pPr>
    <w:rPr>
      <w:kern w:val="0"/>
      <w:sz w:val="24"/>
      <w:szCs w:val="24"/>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a6">
    <w:name w:val="Placeholder Text"/>
    <w:basedOn w:val="a0"/>
    <w:uiPriority w:val="99"/>
    <w:semiHidden/>
    <w:rsid w:val="00AF6702"/>
    <w:rPr>
      <w:color w:val="808080"/>
    </w:rPr>
  </w:style>
  <w:style w:type="table" w:styleId="a7">
    <w:name w:val="Table Grid"/>
    <w:basedOn w:val="a1"/>
    <w:uiPriority w:val="39"/>
    <w:rsid w:val="00AF6702"/>
    <w:pPr>
      <w:spacing w:after="0" w:line="240" w:lineRule="auto"/>
      <w:jc w:val="left"/>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footer"/>
    <w:basedOn w:val="a"/>
    <w:link w:val="Char0"/>
    <w:uiPriority w:val="99"/>
    <w:unhideWhenUsed/>
    <w:rsid w:val="00AF6702"/>
    <w:pPr>
      <w:tabs>
        <w:tab w:val="center" w:pos="4680"/>
        <w:tab w:val="right" w:pos="9360"/>
      </w:tabs>
    </w:pPr>
    <w:rPr>
      <w:rFonts w:asciiTheme="minorHAnsi" w:eastAsiaTheme="minorEastAsia" w:hAnsiTheme="minorHAnsi" w:cstheme="minorBidi"/>
    </w:rPr>
  </w:style>
  <w:style w:type="character" w:customStyle="1" w:styleId="Char0">
    <w:name w:val="바닥글 Char"/>
    <w:basedOn w:val="a0"/>
    <w:link w:val="a8"/>
    <w:uiPriority w:val="99"/>
    <w:rsid w:val="00AF6702"/>
    <w:rPr>
      <w:kern w:val="0"/>
      <w:sz w:val="24"/>
      <w:szCs w:val="24"/>
      <w14:ligatures w14:val="none"/>
    </w:rPr>
  </w:style>
  <w:style w:type="character" w:styleId="a9">
    <w:name w:val="page number"/>
    <w:basedOn w:val="a0"/>
    <w:uiPriority w:val="99"/>
    <w:semiHidden/>
    <w:unhideWhenUsed/>
    <w:rsid w:val="00AF6702"/>
  </w:style>
  <w:style w:type="character" w:styleId="aa">
    <w:name w:val="Hyperlink"/>
    <w:basedOn w:val="a0"/>
    <w:uiPriority w:val="99"/>
    <w:unhideWhenUsed/>
    <w:rsid w:val="00AF6702"/>
    <w:rPr>
      <w:color w:val="0563C1" w:themeColor="hyperlink"/>
      <w:u w:val="single"/>
    </w:rPr>
  </w:style>
  <w:style w:type="character" w:styleId="ab">
    <w:name w:val="Unresolved Mention"/>
    <w:basedOn w:val="a0"/>
    <w:uiPriority w:val="99"/>
    <w:semiHidden/>
    <w:unhideWhenUsed/>
    <w:rsid w:val="00AF6702"/>
    <w:rPr>
      <w:color w:val="605E5C"/>
      <w:shd w:val="clear" w:color="auto" w:fill="E1DFDD"/>
    </w:rPr>
  </w:style>
  <w:style w:type="paragraph" w:styleId="ac">
    <w:name w:val="annotation text"/>
    <w:basedOn w:val="a"/>
    <w:link w:val="Char1"/>
    <w:uiPriority w:val="99"/>
    <w:unhideWhenUsed/>
    <w:rsid w:val="00AF6702"/>
    <w:rPr>
      <w:sz w:val="20"/>
      <w:szCs w:val="20"/>
    </w:rPr>
  </w:style>
  <w:style w:type="character" w:customStyle="1" w:styleId="Char1">
    <w:name w:val="메모 텍스트 Char"/>
    <w:basedOn w:val="a0"/>
    <w:link w:val="ac"/>
    <w:uiPriority w:val="99"/>
    <w:rsid w:val="00AF6702"/>
    <w:rPr>
      <w:rFonts w:ascii="Times New Roman" w:eastAsia="Times New Roman" w:hAnsi="Times New Roman" w:cs="Times New Roman"/>
      <w:kern w:val="0"/>
      <w:szCs w:val="20"/>
      <w14:ligatures w14:val="none"/>
    </w:rPr>
  </w:style>
  <w:style w:type="table" w:styleId="4">
    <w:name w:val="Plain Table 4"/>
    <w:basedOn w:val="a1"/>
    <w:uiPriority w:val="44"/>
    <w:rsid w:val="00AF6702"/>
    <w:pPr>
      <w:spacing w:after="0" w:line="240" w:lineRule="auto"/>
      <w:jc w:val="left"/>
    </w:pPr>
    <w:rPr>
      <w:kern w:val="0"/>
      <w:sz w:val="24"/>
      <w:szCs w:val="24"/>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3">
    <w:name w:val="List Table 2 Accent 3"/>
    <w:basedOn w:val="a1"/>
    <w:uiPriority w:val="47"/>
    <w:rsid w:val="00AF6702"/>
    <w:pPr>
      <w:spacing w:after="0" w:line="240" w:lineRule="auto"/>
      <w:jc w:val="left"/>
    </w:pPr>
    <w:rPr>
      <w:kern w:val="0"/>
      <w:sz w:val="24"/>
      <w:szCs w:val="24"/>
      <w14:ligatures w14:val="none"/>
    </w:r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ad">
    <w:name w:val="Normal (Web)"/>
    <w:basedOn w:val="a"/>
    <w:uiPriority w:val="99"/>
    <w:unhideWhenUsed/>
    <w:rsid w:val="00AF6702"/>
    <w:pPr>
      <w:spacing w:before="100" w:beforeAutospacing="1" w:after="100" w:afterAutospacing="1"/>
    </w:pPr>
  </w:style>
  <w:style w:type="character" w:styleId="ae">
    <w:name w:val="Intense Emphasis"/>
    <w:basedOn w:val="a0"/>
    <w:uiPriority w:val="21"/>
    <w:qFormat/>
    <w:rsid w:val="00AF6702"/>
    <w:rPr>
      <w:i/>
      <w:iCs/>
      <w:color w:val="4472C4" w:themeColor="accent1"/>
    </w:rPr>
  </w:style>
  <w:style w:type="paragraph" w:styleId="af">
    <w:name w:val="No Spacing"/>
    <w:uiPriority w:val="1"/>
    <w:qFormat/>
    <w:rsid w:val="00AF6702"/>
    <w:pPr>
      <w:spacing w:after="0" w:line="240" w:lineRule="auto"/>
      <w:jc w:val="left"/>
    </w:pPr>
    <w:rPr>
      <w:rFonts w:ascii="Times New Roman" w:eastAsia="Times New Roman" w:hAnsi="Times New Roman" w:cs="Times New Roman"/>
      <w:kern w:val="0"/>
      <w:sz w:val="24"/>
      <w:szCs w:val="24"/>
      <w14:ligatures w14:val="none"/>
    </w:rPr>
  </w:style>
  <w:style w:type="paragraph" w:styleId="af0">
    <w:name w:val="Revision"/>
    <w:hidden/>
    <w:uiPriority w:val="99"/>
    <w:semiHidden/>
    <w:rsid w:val="00AF6702"/>
    <w:pPr>
      <w:spacing w:after="0" w:line="240" w:lineRule="auto"/>
      <w:jc w:val="left"/>
    </w:pPr>
    <w:rPr>
      <w:rFonts w:ascii="Times New Roman" w:eastAsia="Times New Roman" w:hAnsi="Times New Roman" w:cs="Times New Roman"/>
      <w:kern w:val="0"/>
      <w:sz w:val="24"/>
      <w:szCs w:val="24"/>
      <w14:ligatures w14:val="none"/>
    </w:rPr>
  </w:style>
  <w:style w:type="paragraph" w:styleId="TOC">
    <w:name w:val="TOC Heading"/>
    <w:basedOn w:val="1"/>
    <w:next w:val="a"/>
    <w:uiPriority w:val="39"/>
    <w:unhideWhenUsed/>
    <w:qFormat/>
    <w:rsid w:val="00AF6702"/>
    <w:pPr>
      <w:outlineLvl w:val="9"/>
    </w:pPr>
    <w:rPr>
      <w:lang w:bidi="ar-SA"/>
    </w:rPr>
  </w:style>
  <w:style w:type="paragraph" w:styleId="af1">
    <w:name w:val="Date"/>
    <w:basedOn w:val="a"/>
    <w:next w:val="a"/>
    <w:link w:val="Char2"/>
    <w:uiPriority w:val="99"/>
    <w:semiHidden/>
    <w:unhideWhenUsed/>
    <w:rsid w:val="00AF6702"/>
  </w:style>
  <w:style w:type="character" w:customStyle="1" w:styleId="Char2">
    <w:name w:val="날짜 Char"/>
    <w:basedOn w:val="a0"/>
    <w:link w:val="af1"/>
    <w:uiPriority w:val="99"/>
    <w:semiHidden/>
    <w:rsid w:val="00AF6702"/>
    <w:rPr>
      <w:rFonts w:ascii="Times New Roman" w:eastAsia="Times New Roman" w:hAnsi="Times New Roman" w:cs="Times New Roman"/>
      <w:kern w:val="0"/>
      <w:sz w:val="24"/>
      <w:szCs w:val="24"/>
      <w14:ligatures w14:val="none"/>
    </w:rPr>
  </w:style>
  <w:style w:type="character" w:styleId="af2">
    <w:name w:val="annotation reference"/>
    <w:basedOn w:val="a0"/>
    <w:uiPriority w:val="99"/>
    <w:semiHidden/>
    <w:unhideWhenUsed/>
    <w:rsid w:val="00AF6702"/>
    <w:rPr>
      <w:sz w:val="16"/>
      <w:szCs w:val="16"/>
    </w:rPr>
  </w:style>
  <w:style w:type="paragraph" w:styleId="af3">
    <w:name w:val="annotation subject"/>
    <w:basedOn w:val="ac"/>
    <w:next w:val="ac"/>
    <w:link w:val="Char3"/>
    <w:uiPriority w:val="99"/>
    <w:semiHidden/>
    <w:unhideWhenUsed/>
    <w:rsid w:val="00AF6702"/>
    <w:rPr>
      <w:b/>
      <w:bCs/>
    </w:rPr>
  </w:style>
  <w:style w:type="character" w:customStyle="1" w:styleId="Char3">
    <w:name w:val="메모 주제 Char"/>
    <w:basedOn w:val="Char1"/>
    <w:link w:val="af3"/>
    <w:uiPriority w:val="99"/>
    <w:semiHidden/>
    <w:rsid w:val="00AF6702"/>
    <w:rPr>
      <w:rFonts w:ascii="Times New Roman" w:eastAsia="Times New Roman" w:hAnsi="Times New Roman" w:cs="Times New Roman"/>
      <w:b/>
      <w:bCs/>
      <w:kern w:val="0"/>
      <w:szCs w:val="20"/>
      <w14:ligatures w14:val="none"/>
    </w:rPr>
  </w:style>
  <w:style w:type="paragraph" w:styleId="af4">
    <w:name w:val="header"/>
    <w:basedOn w:val="a"/>
    <w:link w:val="Char4"/>
    <w:uiPriority w:val="99"/>
    <w:unhideWhenUsed/>
    <w:rsid w:val="00AF6702"/>
    <w:pPr>
      <w:tabs>
        <w:tab w:val="center" w:pos="4513"/>
        <w:tab w:val="right" w:pos="9026"/>
      </w:tabs>
      <w:snapToGrid w:val="0"/>
    </w:pPr>
  </w:style>
  <w:style w:type="character" w:customStyle="1" w:styleId="Char4">
    <w:name w:val="머리글 Char"/>
    <w:basedOn w:val="a0"/>
    <w:link w:val="af4"/>
    <w:uiPriority w:val="99"/>
    <w:rsid w:val="00AF6702"/>
    <w:rPr>
      <w:rFonts w:ascii="Times New Roman" w:eastAsia="Times New Roman" w:hAnsi="Times New Roman" w:cs="Times New Roman"/>
      <w:kern w:val="0"/>
      <w:sz w:val="24"/>
      <w:szCs w:val="24"/>
      <w14:ligatures w14:val="none"/>
    </w:rPr>
  </w:style>
  <w:style w:type="character" w:styleId="af5">
    <w:name w:val="FollowedHyperlink"/>
    <w:basedOn w:val="a0"/>
    <w:uiPriority w:val="99"/>
    <w:semiHidden/>
    <w:unhideWhenUsed/>
    <w:rsid w:val="00AF6702"/>
    <w:rPr>
      <w:color w:val="954F72" w:themeColor="followedHyperlink"/>
      <w:u w:val="single"/>
    </w:rPr>
  </w:style>
  <w:style w:type="paragraph" w:customStyle="1" w:styleId="msonormal0">
    <w:name w:val="msonormal"/>
    <w:basedOn w:val="a"/>
    <w:rsid w:val="00AF6702"/>
    <w:pPr>
      <w:spacing w:before="100" w:beforeAutospacing="1" w:after="100" w:afterAutospacing="1"/>
    </w:pPr>
    <w:rPr>
      <w:rFonts w:eastAsiaTheme="minorEastAsia"/>
    </w:rPr>
  </w:style>
  <w:style w:type="table" w:styleId="2">
    <w:name w:val="Plain Table 2"/>
    <w:basedOn w:val="a1"/>
    <w:uiPriority w:val="42"/>
    <w:rsid w:val="00AF6702"/>
    <w:pPr>
      <w:spacing w:after="0" w:line="240" w:lineRule="auto"/>
      <w:jc w:val="left"/>
    </w:pPr>
    <w:rPr>
      <w:kern w:val="0"/>
      <w:sz w:val="24"/>
      <w:szCs w:val="24"/>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HTML">
    <w:name w:val="HTML Preformatted"/>
    <w:basedOn w:val="a"/>
    <w:link w:val="HTMLChar"/>
    <w:uiPriority w:val="99"/>
    <w:semiHidden/>
    <w:unhideWhenUsed/>
    <w:rsid w:val="00AF67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굴림체" w:eastAsia="굴림체" w:hAnsi="굴림체" w:cs="굴림체"/>
    </w:rPr>
  </w:style>
  <w:style w:type="character" w:customStyle="1" w:styleId="HTMLChar">
    <w:name w:val="미리 서식이 지정된 HTML Char"/>
    <w:basedOn w:val="a0"/>
    <w:link w:val="HTML"/>
    <w:uiPriority w:val="99"/>
    <w:semiHidden/>
    <w:rsid w:val="00AF6702"/>
    <w:rPr>
      <w:rFonts w:ascii="굴림체" w:eastAsia="굴림체" w:hAnsi="굴림체" w:cs="굴림체"/>
      <w:kern w:val="0"/>
      <w:sz w:val="24"/>
      <w:szCs w:val="24"/>
      <w14:ligatures w14:val="none"/>
    </w:rPr>
  </w:style>
  <w:style w:type="character" w:customStyle="1" w:styleId="gnd-iwgdh3b">
    <w:name w:val="gnd-iwgdh3b"/>
    <w:basedOn w:val="a0"/>
    <w:rsid w:val="00AF6702"/>
  </w:style>
  <w:style w:type="character" w:customStyle="1" w:styleId="gnvwddmdn3b">
    <w:name w:val="gnvwddmdn3b"/>
    <w:basedOn w:val="a0"/>
    <w:rsid w:val="00AF6702"/>
  </w:style>
  <w:style w:type="character" w:customStyle="1" w:styleId="3Char">
    <w:name w:val="제목 3 Char"/>
    <w:basedOn w:val="a0"/>
    <w:link w:val="3"/>
    <w:uiPriority w:val="9"/>
    <w:semiHidden/>
    <w:rsid w:val="00B9554F"/>
    <w:rPr>
      <w:rFonts w:asciiTheme="majorHAnsi" w:eastAsiaTheme="majorEastAsia" w:hAnsiTheme="majorHAnsi" w:cstheme="majorBidi"/>
      <w:kern w:val="0"/>
      <w:sz w:val="24"/>
      <w:szCs w:val="24"/>
      <w14:ligatures w14:val="none"/>
    </w:rPr>
  </w:style>
  <w:style w:type="character" w:styleId="af6">
    <w:name w:val="Emphasis"/>
    <w:basedOn w:val="a0"/>
    <w:uiPriority w:val="20"/>
    <w:qFormat/>
    <w:rsid w:val="00401A0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1723">
      <w:bodyDiv w:val="1"/>
      <w:marLeft w:val="0"/>
      <w:marRight w:val="0"/>
      <w:marTop w:val="0"/>
      <w:marBottom w:val="0"/>
      <w:divBdr>
        <w:top w:val="none" w:sz="0" w:space="0" w:color="auto"/>
        <w:left w:val="none" w:sz="0" w:space="0" w:color="auto"/>
        <w:bottom w:val="none" w:sz="0" w:space="0" w:color="auto"/>
        <w:right w:val="none" w:sz="0" w:space="0" w:color="auto"/>
      </w:divBdr>
    </w:div>
    <w:div w:id="1012764">
      <w:bodyDiv w:val="1"/>
      <w:marLeft w:val="0"/>
      <w:marRight w:val="0"/>
      <w:marTop w:val="0"/>
      <w:marBottom w:val="0"/>
      <w:divBdr>
        <w:top w:val="none" w:sz="0" w:space="0" w:color="auto"/>
        <w:left w:val="none" w:sz="0" w:space="0" w:color="auto"/>
        <w:bottom w:val="none" w:sz="0" w:space="0" w:color="auto"/>
        <w:right w:val="none" w:sz="0" w:space="0" w:color="auto"/>
      </w:divBdr>
    </w:div>
    <w:div w:id="1663826">
      <w:bodyDiv w:val="1"/>
      <w:marLeft w:val="0"/>
      <w:marRight w:val="0"/>
      <w:marTop w:val="0"/>
      <w:marBottom w:val="0"/>
      <w:divBdr>
        <w:top w:val="none" w:sz="0" w:space="0" w:color="auto"/>
        <w:left w:val="none" w:sz="0" w:space="0" w:color="auto"/>
        <w:bottom w:val="none" w:sz="0" w:space="0" w:color="auto"/>
        <w:right w:val="none" w:sz="0" w:space="0" w:color="auto"/>
      </w:divBdr>
    </w:div>
    <w:div w:id="3553509">
      <w:bodyDiv w:val="1"/>
      <w:marLeft w:val="0"/>
      <w:marRight w:val="0"/>
      <w:marTop w:val="0"/>
      <w:marBottom w:val="0"/>
      <w:divBdr>
        <w:top w:val="none" w:sz="0" w:space="0" w:color="auto"/>
        <w:left w:val="none" w:sz="0" w:space="0" w:color="auto"/>
        <w:bottom w:val="none" w:sz="0" w:space="0" w:color="auto"/>
        <w:right w:val="none" w:sz="0" w:space="0" w:color="auto"/>
      </w:divBdr>
    </w:div>
    <w:div w:id="4479563">
      <w:bodyDiv w:val="1"/>
      <w:marLeft w:val="0"/>
      <w:marRight w:val="0"/>
      <w:marTop w:val="0"/>
      <w:marBottom w:val="0"/>
      <w:divBdr>
        <w:top w:val="none" w:sz="0" w:space="0" w:color="auto"/>
        <w:left w:val="none" w:sz="0" w:space="0" w:color="auto"/>
        <w:bottom w:val="none" w:sz="0" w:space="0" w:color="auto"/>
        <w:right w:val="none" w:sz="0" w:space="0" w:color="auto"/>
      </w:divBdr>
    </w:div>
    <w:div w:id="4523051">
      <w:bodyDiv w:val="1"/>
      <w:marLeft w:val="0"/>
      <w:marRight w:val="0"/>
      <w:marTop w:val="0"/>
      <w:marBottom w:val="0"/>
      <w:divBdr>
        <w:top w:val="none" w:sz="0" w:space="0" w:color="auto"/>
        <w:left w:val="none" w:sz="0" w:space="0" w:color="auto"/>
        <w:bottom w:val="none" w:sz="0" w:space="0" w:color="auto"/>
        <w:right w:val="none" w:sz="0" w:space="0" w:color="auto"/>
      </w:divBdr>
    </w:div>
    <w:div w:id="5836507">
      <w:bodyDiv w:val="1"/>
      <w:marLeft w:val="0"/>
      <w:marRight w:val="0"/>
      <w:marTop w:val="0"/>
      <w:marBottom w:val="0"/>
      <w:divBdr>
        <w:top w:val="none" w:sz="0" w:space="0" w:color="auto"/>
        <w:left w:val="none" w:sz="0" w:space="0" w:color="auto"/>
        <w:bottom w:val="none" w:sz="0" w:space="0" w:color="auto"/>
        <w:right w:val="none" w:sz="0" w:space="0" w:color="auto"/>
      </w:divBdr>
    </w:div>
    <w:div w:id="6060312">
      <w:bodyDiv w:val="1"/>
      <w:marLeft w:val="0"/>
      <w:marRight w:val="0"/>
      <w:marTop w:val="0"/>
      <w:marBottom w:val="0"/>
      <w:divBdr>
        <w:top w:val="none" w:sz="0" w:space="0" w:color="auto"/>
        <w:left w:val="none" w:sz="0" w:space="0" w:color="auto"/>
        <w:bottom w:val="none" w:sz="0" w:space="0" w:color="auto"/>
        <w:right w:val="none" w:sz="0" w:space="0" w:color="auto"/>
      </w:divBdr>
      <w:divsChild>
        <w:div w:id="2142729056">
          <w:marLeft w:val="480"/>
          <w:marRight w:val="0"/>
          <w:marTop w:val="0"/>
          <w:marBottom w:val="0"/>
          <w:divBdr>
            <w:top w:val="none" w:sz="0" w:space="0" w:color="auto"/>
            <w:left w:val="none" w:sz="0" w:space="0" w:color="auto"/>
            <w:bottom w:val="none" w:sz="0" w:space="0" w:color="auto"/>
            <w:right w:val="none" w:sz="0" w:space="0" w:color="auto"/>
          </w:divBdr>
        </w:div>
        <w:div w:id="427700254">
          <w:marLeft w:val="480"/>
          <w:marRight w:val="0"/>
          <w:marTop w:val="0"/>
          <w:marBottom w:val="0"/>
          <w:divBdr>
            <w:top w:val="none" w:sz="0" w:space="0" w:color="auto"/>
            <w:left w:val="none" w:sz="0" w:space="0" w:color="auto"/>
            <w:bottom w:val="none" w:sz="0" w:space="0" w:color="auto"/>
            <w:right w:val="none" w:sz="0" w:space="0" w:color="auto"/>
          </w:divBdr>
        </w:div>
        <w:div w:id="900676656">
          <w:marLeft w:val="480"/>
          <w:marRight w:val="0"/>
          <w:marTop w:val="0"/>
          <w:marBottom w:val="0"/>
          <w:divBdr>
            <w:top w:val="none" w:sz="0" w:space="0" w:color="auto"/>
            <w:left w:val="none" w:sz="0" w:space="0" w:color="auto"/>
            <w:bottom w:val="none" w:sz="0" w:space="0" w:color="auto"/>
            <w:right w:val="none" w:sz="0" w:space="0" w:color="auto"/>
          </w:divBdr>
        </w:div>
        <w:div w:id="977421354">
          <w:marLeft w:val="480"/>
          <w:marRight w:val="0"/>
          <w:marTop w:val="0"/>
          <w:marBottom w:val="0"/>
          <w:divBdr>
            <w:top w:val="none" w:sz="0" w:space="0" w:color="auto"/>
            <w:left w:val="none" w:sz="0" w:space="0" w:color="auto"/>
            <w:bottom w:val="none" w:sz="0" w:space="0" w:color="auto"/>
            <w:right w:val="none" w:sz="0" w:space="0" w:color="auto"/>
          </w:divBdr>
        </w:div>
        <w:div w:id="288898441">
          <w:marLeft w:val="480"/>
          <w:marRight w:val="0"/>
          <w:marTop w:val="0"/>
          <w:marBottom w:val="0"/>
          <w:divBdr>
            <w:top w:val="none" w:sz="0" w:space="0" w:color="auto"/>
            <w:left w:val="none" w:sz="0" w:space="0" w:color="auto"/>
            <w:bottom w:val="none" w:sz="0" w:space="0" w:color="auto"/>
            <w:right w:val="none" w:sz="0" w:space="0" w:color="auto"/>
          </w:divBdr>
        </w:div>
        <w:div w:id="804083850">
          <w:marLeft w:val="480"/>
          <w:marRight w:val="0"/>
          <w:marTop w:val="0"/>
          <w:marBottom w:val="0"/>
          <w:divBdr>
            <w:top w:val="none" w:sz="0" w:space="0" w:color="auto"/>
            <w:left w:val="none" w:sz="0" w:space="0" w:color="auto"/>
            <w:bottom w:val="none" w:sz="0" w:space="0" w:color="auto"/>
            <w:right w:val="none" w:sz="0" w:space="0" w:color="auto"/>
          </w:divBdr>
        </w:div>
        <w:div w:id="1561362373">
          <w:marLeft w:val="480"/>
          <w:marRight w:val="0"/>
          <w:marTop w:val="0"/>
          <w:marBottom w:val="0"/>
          <w:divBdr>
            <w:top w:val="none" w:sz="0" w:space="0" w:color="auto"/>
            <w:left w:val="none" w:sz="0" w:space="0" w:color="auto"/>
            <w:bottom w:val="none" w:sz="0" w:space="0" w:color="auto"/>
            <w:right w:val="none" w:sz="0" w:space="0" w:color="auto"/>
          </w:divBdr>
        </w:div>
        <w:div w:id="1148207449">
          <w:marLeft w:val="480"/>
          <w:marRight w:val="0"/>
          <w:marTop w:val="0"/>
          <w:marBottom w:val="0"/>
          <w:divBdr>
            <w:top w:val="none" w:sz="0" w:space="0" w:color="auto"/>
            <w:left w:val="none" w:sz="0" w:space="0" w:color="auto"/>
            <w:bottom w:val="none" w:sz="0" w:space="0" w:color="auto"/>
            <w:right w:val="none" w:sz="0" w:space="0" w:color="auto"/>
          </w:divBdr>
        </w:div>
        <w:div w:id="1308702045">
          <w:marLeft w:val="480"/>
          <w:marRight w:val="0"/>
          <w:marTop w:val="0"/>
          <w:marBottom w:val="0"/>
          <w:divBdr>
            <w:top w:val="none" w:sz="0" w:space="0" w:color="auto"/>
            <w:left w:val="none" w:sz="0" w:space="0" w:color="auto"/>
            <w:bottom w:val="none" w:sz="0" w:space="0" w:color="auto"/>
            <w:right w:val="none" w:sz="0" w:space="0" w:color="auto"/>
          </w:divBdr>
        </w:div>
        <w:div w:id="1188526018">
          <w:marLeft w:val="480"/>
          <w:marRight w:val="0"/>
          <w:marTop w:val="0"/>
          <w:marBottom w:val="0"/>
          <w:divBdr>
            <w:top w:val="none" w:sz="0" w:space="0" w:color="auto"/>
            <w:left w:val="none" w:sz="0" w:space="0" w:color="auto"/>
            <w:bottom w:val="none" w:sz="0" w:space="0" w:color="auto"/>
            <w:right w:val="none" w:sz="0" w:space="0" w:color="auto"/>
          </w:divBdr>
        </w:div>
        <w:div w:id="2036618951">
          <w:marLeft w:val="480"/>
          <w:marRight w:val="0"/>
          <w:marTop w:val="0"/>
          <w:marBottom w:val="0"/>
          <w:divBdr>
            <w:top w:val="none" w:sz="0" w:space="0" w:color="auto"/>
            <w:left w:val="none" w:sz="0" w:space="0" w:color="auto"/>
            <w:bottom w:val="none" w:sz="0" w:space="0" w:color="auto"/>
            <w:right w:val="none" w:sz="0" w:space="0" w:color="auto"/>
          </w:divBdr>
        </w:div>
        <w:div w:id="1040207433">
          <w:marLeft w:val="480"/>
          <w:marRight w:val="0"/>
          <w:marTop w:val="0"/>
          <w:marBottom w:val="0"/>
          <w:divBdr>
            <w:top w:val="none" w:sz="0" w:space="0" w:color="auto"/>
            <w:left w:val="none" w:sz="0" w:space="0" w:color="auto"/>
            <w:bottom w:val="none" w:sz="0" w:space="0" w:color="auto"/>
            <w:right w:val="none" w:sz="0" w:space="0" w:color="auto"/>
          </w:divBdr>
        </w:div>
        <w:div w:id="1878738632">
          <w:marLeft w:val="480"/>
          <w:marRight w:val="0"/>
          <w:marTop w:val="0"/>
          <w:marBottom w:val="0"/>
          <w:divBdr>
            <w:top w:val="none" w:sz="0" w:space="0" w:color="auto"/>
            <w:left w:val="none" w:sz="0" w:space="0" w:color="auto"/>
            <w:bottom w:val="none" w:sz="0" w:space="0" w:color="auto"/>
            <w:right w:val="none" w:sz="0" w:space="0" w:color="auto"/>
          </w:divBdr>
        </w:div>
        <w:div w:id="446047535">
          <w:marLeft w:val="480"/>
          <w:marRight w:val="0"/>
          <w:marTop w:val="0"/>
          <w:marBottom w:val="0"/>
          <w:divBdr>
            <w:top w:val="none" w:sz="0" w:space="0" w:color="auto"/>
            <w:left w:val="none" w:sz="0" w:space="0" w:color="auto"/>
            <w:bottom w:val="none" w:sz="0" w:space="0" w:color="auto"/>
            <w:right w:val="none" w:sz="0" w:space="0" w:color="auto"/>
          </w:divBdr>
        </w:div>
        <w:div w:id="434403834">
          <w:marLeft w:val="480"/>
          <w:marRight w:val="0"/>
          <w:marTop w:val="0"/>
          <w:marBottom w:val="0"/>
          <w:divBdr>
            <w:top w:val="none" w:sz="0" w:space="0" w:color="auto"/>
            <w:left w:val="none" w:sz="0" w:space="0" w:color="auto"/>
            <w:bottom w:val="none" w:sz="0" w:space="0" w:color="auto"/>
            <w:right w:val="none" w:sz="0" w:space="0" w:color="auto"/>
          </w:divBdr>
        </w:div>
        <w:div w:id="1959019863">
          <w:marLeft w:val="480"/>
          <w:marRight w:val="0"/>
          <w:marTop w:val="0"/>
          <w:marBottom w:val="0"/>
          <w:divBdr>
            <w:top w:val="none" w:sz="0" w:space="0" w:color="auto"/>
            <w:left w:val="none" w:sz="0" w:space="0" w:color="auto"/>
            <w:bottom w:val="none" w:sz="0" w:space="0" w:color="auto"/>
            <w:right w:val="none" w:sz="0" w:space="0" w:color="auto"/>
          </w:divBdr>
        </w:div>
        <w:div w:id="1366057221">
          <w:marLeft w:val="480"/>
          <w:marRight w:val="0"/>
          <w:marTop w:val="0"/>
          <w:marBottom w:val="0"/>
          <w:divBdr>
            <w:top w:val="none" w:sz="0" w:space="0" w:color="auto"/>
            <w:left w:val="none" w:sz="0" w:space="0" w:color="auto"/>
            <w:bottom w:val="none" w:sz="0" w:space="0" w:color="auto"/>
            <w:right w:val="none" w:sz="0" w:space="0" w:color="auto"/>
          </w:divBdr>
        </w:div>
        <w:div w:id="1121648784">
          <w:marLeft w:val="480"/>
          <w:marRight w:val="0"/>
          <w:marTop w:val="0"/>
          <w:marBottom w:val="0"/>
          <w:divBdr>
            <w:top w:val="none" w:sz="0" w:space="0" w:color="auto"/>
            <w:left w:val="none" w:sz="0" w:space="0" w:color="auto"/>
            <w:bottom w:val="none" w:sz="0" w:space="0" w:color="auto"/>
            <w:right w:val="none" w:sz="0" w:space="0" w:color="auto"/>
          </w:divBdr>
        </w:div>
        <w:div w:id="1846094266">
          <w:marLeft w:val="480"/>
          <w:marRight w:val="0"/>
          <w:marTop w:val="0"/>
          <w:marBottom w:val="0"/>
          <w:divBdr>
            <w:top w:val="none" w:sz="0" w:space="0" w:color="auto"/>
            <w:left w:val="none" w:sz="0" w:space="0" w:color="auto"/>
            <w:bottom w:val="none" w:sz="0" w:space="0" w:color="auto"/>
            <w:right w:val="none" w:sz="0" w:space="0" w:color="auto"/>
          </w:divBdr>
        </w:div>
        <w:div w:id="1213494446">
          <w:marLeft w:val="480"/>
          <w:marRight w:val="0"/>
          <w:marTop w:val="0"/>
          <w:marBottom w:val="0"/>
          <w:divBdr>
            <w:top w:val="none" w:sz="0" w:space="0" w:color="auto"/>
            <w:left w:val="none" w:sz="0" w:space="0" w:color="auto"/>
            <w:bottom w:val="none" w:sz="0" w:space="0" w:color="auto"/>
            <w:right w:val="none" w:sz="0" w:space="0" w:color="auto"/>
          </w:divBdr>
        </w:div>
        <w:div w:id="1574464071">
          <w:marLeft w:val="480"/>
          <w:marRight w:val="0"/>
          <w:marTop w:val="0"/>
          <w:marBottom w:val="0"/>
          <w:divBdr>
            <w:top w:val="none" w:sz="0" w:space="0" w:color="auto"/>
            <w:left w:val="none" w:sz="0" w:space="0" w:color="auto"/>
            <w:bottom w:val="none" w:sz="0" w:space="0" w:color="auto"/>
            <w:right w:val="none" w:sz="0" w:space="0" w:color="auto"/>
          </w:divBdr>
        </w:div>
        <w:div w:id="450979193">
          <w:marLeft w:val="480"/>
          <w:marRight w:val="0"/>
          <w:marTop w:val="0"/>
          <w:marBottom w:val="0"/>
          <w:divBdr>
            <w:top w:val="none" w:sz="0" w:space="0" w:color="auto"/>
            <w:left w:val="none" w:sz="0" w:space="0" w:color="auto"/>
            <w:bottom w:val="none" w:sz="0" w:space="0" w:color="auto"/>
            <w:right w:val="none" w:sz="0" w:space="0" w:color="auto"/>
          </w:divBdr>
        </w:div>
        <w:div w:id="240718111">
          <w:marLeft w:val="480"/>
          <w:marRight w:val="0"/>
          <w:marTop w:val="0"/>
          <w:marBottom w:val="0"/>
          <w:divBdr>
            <w:top w:val="none" w:sz="0" w:space="0" w:color="auto"/>
            <w:left w:val="none" w:sz="0" w:space="0" w:color="auto"/>
            <w:bottom w:val="none" w:sz="0" w:space="0" w:color="auto"/>
            <w:right w:val="none" w:sz="0" w:space="0" w:color="auto"/>
          </w:divBdr>
        </w:div>
        <w:div w:id="1408766988">
          <w:marLeft w:val="480"/>
          <w:marRight w:val="0"/>
          <w:marTop w:val="0"/>
          <w:marBottom w:val="0"/>
          <w:divBdr>
            <w:top w:val="none" w:sz="0" w:space="0" w:color="auto"/>
            <w:left w:val="none" w:sz="0" w:space="0" w:color="auto"/>
            <w:bottom w:val="none" w:sz="0" w:space="0" w:color="auto"/>
            <w:right w:val="none" w:sz="0" w:space="0" w:color="auto"/>
          </w:divBdr>
        </w:div>
        <w:div w:id="908609688">
          <w:marLeft w:val="480"/>
          <w:marRight w:val="0"/>
          <w:marTop w:val="0"/>
          <w:marBottom w:val="0"/>
          <w:divBdr>
            <w:top w:val="none" w:sz="0" w:space="0" w:color="auto"/>
            <w:left w:val="none" w:sz="0" w:space="0" w:color="auto"/>
            <w:bottom w:val="none" w:sz="0" w:space="0" w:color="auto"/>
            <w:right w:val="none" w:sz="0" w:space="0" w:color="auto"/>
          </w:divBdr>
        </w:div>
        <w:div w:id="1674606869">
          <w:marLeft w:val="480"/>
          <w:marRight w:val="0"/>
          <w:marTop w:val="0"/>
          <w:marBottom w:val="0"/>
          <w:divBdr>
            <w:top w:val="none" w:sz="0" w:space="0" w:color="auto"/>
            <w:left w:val="none" w:sz="0" w:space="0" w:color="auto"/>
            <w:bottom w:val="none" w:sz="0" w:space="0" w:color="auto"/>
            <w:right w:val="none" w:sz="0" w:space="0" w:color="auto"/>
          </w:divBdr>
        </w:div>
        <w:div w:id="593322415">
          <w:marLeft w:val="480"/>
          <w:marRight w:val="0"/>
          <w:marTop w:val="0"/>
          <w:marBottom w:val="0"/>
          <w:divBdr>
            <w:top w:val="none" w:sz="0" w:space="0" w:color="auto"/>
            <w:left w:val="none" w:sz="0" w:space="0" w:color="auto"/>
            <w:bottom w:val="none" w:sz="0" w:space="0" w:color="auto"/>
            <w:right w:val="none" w:sz="0" w:space="0" w:color="auto"/>
          </w:divBdr>
        </w:div>
        <w:div w:id="996689572">
          <w:marLeft w:val="480"/>
          <w:marRight w:val="0"/>
          <w:marTop w:val="0"/>
          <w:marBottom w:val="0"/>
          <w:divBdr>
            <w:top w:val="none" w:sz="0" w:space="0" w:color="auto"/>
            <w:left w:val="none" w:sz="0" w:space="0" w:color="auto"/>
            <w:bottom w:val="none" w:sz="0" w:space="0" w:color="auto"/>
            <w:right w:val="none" w:sz="0" w:space="0" w:color="auto"/>
          </w:divBdr>
        </w:div>
        <w:div w:id="1845630637">
          <w:marLeft w:val="480"/>
          <w:marRight w:val="0"/>
          <w:marTop w:val="0"/>
          <w:marBottom w:val="0"/>
          <w:divBdr>
            <w:top w:val="none" w:sz="0" w:space="0" w:color="auto"/>
            <w:left w:val="none" w:sz="0" w:space="0" w:color="auto"/>
            <w:bottom w:val="none" w:sz="0" w:space="0" w:color="auto"/>
            <w:right w:val="none" w:sz="0" w:space="0" w:color="auto"/>
          </w:divBdr>
        </w:div>
        <w:div w:id="471291311">
          <w:marLeft w:val="480"/>
          <w:marRight w:val="0"/>
          <w:marTop w:val="0"/>
          <w:marBottom w:val="0"/>
          <w:divBdr>
            <w:top w:val="none" w:sz="0" w:space="0" w:color="auto"/>
            <w:left w:val="none" w:sz="0" w:space="0" w:color="auto"/>
            <w:bottom w:val="none" w:sz="0" w:space="0" w:color="auto"/>
            <w:right w:val="none" w:sz="0" w:space="0" w:color="auto"/>
          </w:divBdr>
        </w:div>
        <w:div w:id="536967509">
          <w:marLeft w:val="480"/>
          <w:marRight w:val="0"/>
          <w:marTop w:val="0"/>
          <w:marBottom w:val="0"/>
          <w:divBdr>
            <w:top w:val="none" w:sz="0" w:space="0" w:color="auto"/>
            <w:left w:val="none" w:sz="0" w:space="0" w:color="auto"/>
            <w:bottom w:val="none" w:sz="0" w:space="0" w:color="auto"/>
            <w:right w:val="none" w:sz="0" w:space="0" w:color="auto"/>
          </w:divBdr>
        </w:div>
        <w:div w:id="1202085281">
          <w:marLeft w:val="480"/>
          <w:marRight w:val="0"/>
          <w:marTop w:val="0"/>
          <w:marBottom w:val="0"/>
          <w:divBdr>
            <w:top w:val="none" w:sz="0" w:space="0" w:color="auto"/>
            <w:left w:val="none" w:sz="0" w:space="0" w:color="auto"/>
            <w:bottom w:val="none" w:sz="0" w:space="0" w:color="auto"/>
            <w:right w:val="none" w:sz="0" w:space="0" w:color="auto"/>
          </w:divBdr>
        </w:div>
        <w:div w:id="1436944339">
          <w:marLeft w:val="480"/>
          <w:marRight w:val="0"/>
          <w:marTop w:val="0"/>
          <w:marBottom w:val="0"/>
          <w:divBdr>
            <w:top w:val="none" w:sz="0" w:space="0" w:color="auto"/>
            <w:left w:val="none" w:sz="0" w:space="0" w:color="auto"/>
            <w:bottom w:val="none" w:sz="0" w:space="0" w:color="auto"/>
            <w:right w:val="none" w:sz="0" w:space="0" w:color="auto"/>
          </w:divBdr>
        </w:div>
        <w:div w:id="497616763">
          <w:marLeft w:val="480"/>
          <w:marRight w:val="0"/>
          <w:marTop w:val="0"/>
          <w:marBottom w:val="0"/>
          <w:divBdr>
            <w:top w:val="none" w:sz="0" w:space="0" w:color="auto"/>
            <w:left w:val="none" w:sz="0" w:space="0" w:color="auto"/>
            <w:bottom w:val="none" w:sz="0" w:space="0" w:color="auto"/>
            <w:right w:val="none" w:sz="0" w:space="0" w:color="auto"/>
          </w:divBdr>
        </w:div>
        <w:div w:id="1257710752">
          <w:marLeft w:val="480"/>
          <w:marRight w:val="0"/>
          <w:marTop w:val="0"/>
          <w:marBottom w:val="0"/>
          <w:divBdr>
            <w:top w:val="none" w:sz="0" w:space="0" w:color="auto"/>
            <w:left w:val="none" w:sz="0" w:space="0" w:color="auto"/>
            <w:bottom w:val="none" w:sz="0" w:space="0" w:color="auto"/>
            <w:right w:val="none" w:sz="0" w:space="0" w:color="auto"/>
          </w:divBdr>
        </w:div>
        <w:div w:id="401484516">
          <w:marLeft w:val="480"/>
          <w:marRight w:val="0"/>
          <w:marTop w:val="0"/>
          <w:marBottom w:val="0"/>
          <w:divBdr>
            <w:top w:val="none" w:sz="0" w:space="0" w:color="auto"/>
            <w:left w:val="none" w:sz="0" w:space="0" w:color="auto"/>
            <w:bottom w:val="none" w:sz="0" w:space="0" w:color="auto"/>
            <w:right w:val="none" w:sz="0" w:space="0" w:color="auto"/>
          </w:divBdr>
        </w:div>
        <w:div w:id="2050572389">
          <w:marLeft w:val="480"/>
          <w:marRight w:val="0"/>
          <w:marTop w:val="0"/>
          <w:marBottom w:val="0"/>
          <w:divBdr>
            <w:top w:val="none" w:sz="0" w:space="0" w:color="auto"/>
            <w:left w:val="none" w:sz="0" w:space="0" w:color="auto"/>
            <w:bottom w:val="none" w:sz="0" w:space="0" w:color="auto"/>
            <w:right w:val="none" w:sz="0" w:space="0" w:color="auto"/>
          </w:divBdr>
        </w:div>
        <w:div w:id="1385330030">
          <w:marLeft w:val="480"/>
          <w:marRight w:val="0"/>
          <w:marTop w:val="0"/>
          <w:marBottom w:val="0"/>
          <w:divBdr>
            <w:top w:val="none" w:sz="0" w:space="0" w:color="auto"/>
            <w:left w:val="none" w:sz="0" w:space="0" w:color="auto"/>
            <w:bottom w:val="none" w:sz="0" w:space="0" w:color="auto"/>
            <w:right w:val="none" w:sz="0" w:space="0" w:color="auto"/>
          </w:divBdr>
        </w:div>
        <w:div w:id="604771112">
          <w:marLeft w:val="480"/>
          <w:marRight w:val="0"/>
          <w:marTop w:val="0"/>
          <w:marBottom w:val="0"/>
          <w:divBdr>
            <w:top w:val="none" w:sz="0" w:space="0" w:color="auto"/>
            <w:left w:val="none" w:sz="0" w:space="0" w:color="auto"/>
            <w:bottom w:val="none" w:sz="0" w:space="0" w:color="auto"/>
            <w:right w:val="none" w:sz="0" w:space="0" w:color="auto"/>
          </w:divBdr>
        </w:div>
        <w:div w:id="1516115592">
          <w:marLeft w:val="480"/>
          <w:marRight w:val="0"/>
          <w:marTop w:val="0"/>
          <w:marBottom w:val="0"/>
          <w:divBdr>
            <w:top w:val="none" w:sz="0" w:space="0" w:color="auto"/>
            <w:left w:val="none" w:sz="0" w:space="0" w:color="auto"/>
            <w:bottom w:val="none" w:sz="0" w:space="0" w:color="auto"/>
            <w:right w:val="none" w:sz="0" w:space="0" w:color="auto"/>
          </w:divBdr>
        </w:div>
        <w:div w:id="1120689844">
          <w:marLeft w:val="480"/>
          <w:marRight w:val="0"/>
          <w:marTop w:val="0"/>
          <w:marBottom w:val="0"/>
          <w:divBdr>
            <w:top w:val="none" w:sz="0" w:space="0" w:color="auto"/>
            <w:left w:val="none" w:sz="0" w:space="0" w:color="auto"/>
            <w:bottom w:val="none" w:sz="0" w:space="0" w:color="auto"/>
            <w:right w:val="none" w:sz="0" w:space="0" w:color="auto"/>
          </w:divBdr>
        </w:div>
        <w:div w:id="1796480339">
          <w:marLeft w:val="480"/>
          <w:marRight w:val="0"/>
          <w:marTop w:val="0"/>
          <w:marBottom w:val="0"/>
          <w:divBdr>
            <w:top w:val="none" w:sz="0" w:space="0" w:color="auto"/>
            <w:left w:val="none" w:sz="0" w:space="0" w:color="auto"/>
            <w:bottom w:val="none" w:sz="0" w:space="0" w:color="auto"/>
            <w:right w:val="none" w:sz="0" w:space="0" w:color="auto"/>
          </w:divBdr>
        </w:div>
        <w:div w:id="1259175755">
          <w:marLeft w:val="480"/>
          <w:marRight w:val="0"/>
          <w:marTop w:val="0"/>
          <w:marBottom w:val="0"/>
          <w:divBdr>
            <w:top w:val="none" w:sz="0" w:space="0" w:color="auto"/>
            <w:left w:val="none" w:sz="0" w:space="0" w:color="auto"/>
            <w:bottom w:val="none" w:sz="0" w:space="0" w:color="auto"/>
            <w:right w:val="none" w:sz="0" w:space="0" w:color="auto"/>
          </w:divBdr>
        </w:div>
        <w:div w:id="602032142">
          <w:marLeft w:val="480"/>
          <w:marRight w:val="0"/>
          <w:marTop w:val="0"/>
          <w:marBottom w:val="0"/>
          <w:divBdr>
            <w:top w:val="none" w:sz="0" w:space="0" w:color="auto"/>
            <w:left w:val="none" w:sz="0" w:space="0" w:color="auto"/>
            <w:bottom w:val="none" w:sz="0" w:space="0" w:color="auto"/>
            <w:right w:val="none" w:sz="0" w:space="0" w:color="auto"/>
          </w:divBdr>
        </w:div>
        <w:div w:id="499004025">
          <w:marLeft w:val="480"/>
          <w:marRight w:val="0"/>
          <w:marTop w:val="0"/>
          <w:marBottom w:val="0"/>
          <w:divBdr>
            <w:top w:val="none" w:sz="0" w:space="0" w:color="auto"/>
            <w:left w:val="none" w:sz="0" w:space="0" w:color="auto"/>
            <w:bottom w:val="none" w:sz="0" w:space="0" w:color="auto"/>
            <w:right w:val="none" w:sz="0" w:space="0" w:color="auto"/>
          </w:divBdr>
        </w:div>
        <w:div w:id="742608649">
          <w:marLeft w:val="480"/>
          <w:marRight w:val="0"/>
          <w:marTop w:val="0"/>
          <w:marBottom w:val="0"/>
          <w:divBdr>
            <w:top w:val="none" w:sz="0" w:space="0" w:color="auto"/>
            <w:left w:val="none" w:sz="0" w:space="0" w:color="auto"/>
            <w:bottom w:val="none" w:sz="0" w:space="0" w:color="auto"/>
            <w:right w:val="none" w:sz="0" w:space="0" w:color="auto"/>
          </w:divBdr>
        </w:div>
        <w:div w:id="1249776325">
          <w:marLeft w:val="480"/>
          <w:marRight w:val="0"/>
          <w:marTop w:val="0"/>
          <w:marBottom w:val="0"/>
          <w:divBdr>
            <w:top w:val="none" w:sz="0" w:space="0" w:color="auto"/>
            <w:left w:val="none" w:sz="0" w:space="0" w:color="auto"/>
            <w:bottom w:val="none" w:sz="0" w:space="0" w:color="auto"/>
            <w:right w:val="none" w:sz="0" w:space="0" w:color="auto"/>
          </w:divBdr>
        </w:div>
        <w:div w:id="363756178">
          <w:marLeft w:val="480"/>
          <w:marRight w:val="0"/>
          <w:marTop w:val="0"/>
          <w:marBottom w:val="0"/>
          <w:divBdr>
            <w:top w:val="none" w:sz="0" w:space="0" w:color="auto"/>
            <w:left w:val="none" w:sz="0" w:space="0" w:color="auto"/>
            <w:bottom w:val="none" w:sz="0" w:space="0" w:color="auto"/>
            <w:right w:val="none" w:sz="0" w:space="0" w:color="auto"/>
          </w:divBdr>
        </w:div>
        <w:div w:id="1496260208">
          <w:marLeft w:val="480"/>
          <w:marRight w:val="0"/>
          <w:marTop w:val="0"/>
          <w:marBottom w:val="0"/>
          <w:divBdr>
            <w:top w:val="none" w:sz="0" w:space="0" w:color="auto"/>
            <w:left w:val="none" w:sz="0" w:space="0" w:color="auto"/>
            <w:bottom w:val="none" w:sz="0" w:space="0" w:color="auto"/>
            <w:right w:val="none" w:sz="0" w:space="0" w:color="auto"/>
          </w:divBdr>
        </w:div>
        <w:div w:id="1700817150">
          <w:marLeft w:val="480"/>
          <w:marRight w:val="0"/>
          <w:marTop w:val="0"/>
          <w:marBottom w:val="0"/>
          <w:divBdr>
            <w:top w:val="none" w:sz="0" w:space="0" w:color="auto"/>
            <w:left w:val="none" w:sz="0" w:space="0" w:color="auto"/>
            <w:bottom w:val="none" w:sz="0" w:space="0" w:color="auto"/>
            <w:right w:val="none" w:sz="0" w:space="0" w:color="auto"/>
          </w:divBdr>
        </w:div>
        <w:div w:id="262569793">
          <w:marLeft w:val="480"/>
          <w:marRight w:val="0"/>
          <w:marTop w:val="0"/>
          <w:marBottom w:val="0"/>
          <w:divBdr>
            <w:top w:val="none" w:sz="0" w:space="0" w:color="auto"/>
            <w:left w:val="none" w:sz="0" w:space="0" w:color="auto"/>
            <w:bottom w:val="none" w:sz="0" w:space="0" w:color="auto"/>
            <w:right w:val="none" w:sz="0" w:space="0" w:color="auto"/>
          </w:divBdr>
        </w:div>
        <w:div w:id="371612172">
          <w:marLeft w:val="480"/>
          <w:marRight w:val="0"/>
          <w:marTop w:val="0"/>
          <w:marBottom w:val="0"/>
          <w:divBdr>
            <w:top w:val="none" w:sz="0" w:space="0" w:color="auto"/>
            <w:left w:val="none" w:sz="0" w:space="0" w:color="auto"/>
            <w:bottom w:val="none" w:sz="0" w:space="0" w:color="auto"/>
            <w:right w:val="none" w:sz="0" w:space="0" w:color="auto"/>
          </w:divBdr>
        </w:div>
        <w:div w:id="1437946833">
          <w:marLeft w:val="480"/>
          <w:marRight w:val="0"/>
          <w:marTop w:val="0"/>
          <w:marBottom w:val="0"/>
          <w:divBdr>
            <w:top w:val="none" w:sz="0" w:space="0" w:color="auto"/>
            <w:left w:val="none" w:sz="0" w:space="0" w:color="auto"/>
            <w:bottom w:val="none" w:sz="0" w:space="0" w:color="auto"/>
            <w:right w:val="none" w:sz="0" w:space="0" w:color="auto"/>
          </w:divBdr>
        </w:div>
        <w:div w:id="649098994">
          <w:marLeft w:val="480"/>
          <w:marRight w:val="0"/>
          <w:marTop w:val="0"/>
          <w:marBottom w:val="0"/>
          <w:divBdr>
            <w:top w:val="none" w:sz="0" w:space="0" w:color="auto"/>
            <w:left w:val="none" w:sz="0" w:space="0" w:color="auto"/>
            <w:bottom w:val="none" w:sz="0" w:space="0" w:color="auto"/>
            <w:right w:val="none" w:sz="0" w:space="0" w:color="auto"/>
          </w:divBdr>
        </w:div>
        <w:div w:id="1884976222">
          <w:marLeft w:val="480"/>
          <w:marRight w:val="0"/>
          <w:marTop w:val="0"/>
          <w:marBottom w:val="0"/>
          <w:divBdr>
            <w:top w:val="none" w:sz="0" w:space="0" w:color="auto"/>
            <w:left w:val="none" w:sz="0" w:space="0" w:color="auto"/>
            <w:bottom w:val="none" w:sz="0" w:space="0" w:color="auto"/>
            <w:right w:val="none" w:sz="0" w:space="0" w:color="auto"/>
          </w:divBdr>
        </w:div>
        <w:div w:id="1618368403">
          <w:marLeft w:val="480"/>
          <w:marRight w:val="0"/>
          <w:marTop w:val="0"/>
          <w:marBottom w:val="0"/>
          <w:divBdr>
            <w:top w:val="none" w:sz="0" w:space="0" w:color="auto"/>
            <w:left w:val="none" w:sz="0" w:space="0" w:color="auto"/>
            <w:bottom w:val="none" w:sz="0" w:space="0" w:color="auto"/>
            <w:right w:val="none" w:sz="0" w:space="0" w:color="auto"/>
          </w:divBdr>
        </w:div>
        <w:div w:id="1638754552">
          <w:marLeft w:val="480"/>
          <w:marRight w:val="0"/>
          <w:marTop w:val="0"/>
          <w:marBottom w:val="0"/>
          <w:divBdr>
            <w:top w:val="none" w:sz="0" w:space="0" w:color="auto"/>
            <w:left w:val="none" w:sz="0" w:space="0" w:color="auto"/>
            <w:bottom w:val="none" w:sz="0" w:space="0" w:color="auto"/>
            <w:right w:val="none" w:sz="0" w:space="0" w:color="auto"/>
          </w:divBdr>
        </w:div>
        <w:div w:id="1686903288">
          <w:marLeft w:val="480"/>
          <w:marRight w:val="0"/>
          <w:marTop w:val="0"/>
          <w:marBottom w:val="0"/>
          <w:divBdr>
            <w:top w:val="none" w:sz="0" w:space="0" w:color="auto"/>
            <w:left w:val="none" w:sz="0" w:space="0" w:color="auto"/>
            <w:bottom w:val="none" w:sz="0" w:space="0" w:color="auto"/>
            <w:right w:val="none" w:sz="0" w:space="0" w:color="auto"/>
          </w:divBdr>
        </w:div>
        <w:div w:id="1236940622">
          <w:marLeft w:val="480"/>
          <w:marRight w:val="0"/>
          <w:marTop w:val="0"/>
          <w:marBottom w:val="0"/>
          <w:divBdr>
            <w:top w:val="none" w:sz="0" w:space="0" w:color="auto"/>
            <w:left w:val="none" w:sz="0" w:space="0" w:color="auto"/>
            <w:bottom w:val="none" w:sz="0" w:space="0" w:color="auto"/>
            <w:right w:val="none" w:sz="0" w:space="0" w:color="auto"/>
          </w:divBdr>
        </w:div>
        <w:div w:id="339048613">
          <w:marLeft w:val="480"/>
          <w:marRight w:val="0"/>
          <w:marTop w:val="0"/>
          <w:marBottom w:val="0"/>
          <w:divBdr>
            <w:top w:val="none" w:sz="0" w:space="0" w:color="auto"/>
            <w:left w:val="none" w:sz="0" w:space="0" w:color="auto"/>
            <w:bottom w:val="none" w:sz="0" w:space="0" w:color="auto"/>
            <w:right w:val="none" w:sz="0" w:space="0" w:color="auto"/>
          </w:divBdr>
        </w:div>
        <w:div w:id="2142382609">
          <w:marLeft w:val="480"/>
          <w:marRight w:val="0"/>
          <w:marTop w:val="0"/>
          <w:marBottom w:val="0"/>
          <w:divBdr>
            <w:top w:val="none" w:sz="0" w:space="0" w:color="auto"/>
            <w:left w:val="none" w:sz="0" w:space="0" w:color="auto"/>
            <w:bottom w:val="none" w:sz="0" w:space="0" w:color="auto"/>
            <w:right w:val="none" w:sz="0" w:space="0" w:color="auto"/>
          </w:divBdr>
        </w:div>
        <w:div w:id="193080235">
          <w:marLeft w:val="480"/>
          <w:marRight w:val="0"/>
          <w:marTop w:val="0"/>
          <w:marBottom w:val="0"/>
          <w:divBdr>
            <w:top w:val="none" w:sz="0" w:space="0" w:color="auto"/>
            <w:left w:val="none" w:sz="0" w:space="0" w:color="auto"/>
            <w:bottom w:val="none" w:sz="0" w:space="0" w:color="auto"/>
            <w:right w:val="none" w:sz="0" w:space="0" w:color="auto"/>
          </w:divBdr>
        </w:div>
        <w:div w:id="1867060791">
          <w:marLeft w:val="480"/>
          <w:marRight w:val="0"/>
          <w:marTop w:val="0"/>
          <w:marBottom w:val="0"/>
          <w:divBdr>
            <w:top w:val="none" w:sz="0" w:space="0" w:color="auto"/>
            <w:left w:val="none" w:sz="0" w:space="0" w:color="auto"/>
            <w:bottom w:val="none" w:sz="0" w:space="0" w:color="auto"/>
            <w:right w:val="none" w:sz="0" w:space="0" w:color="auto"/>
          </w:divBdr>
        </w:div>
        <w:div w:id="1998264472">
          <w:marLeft w:val="480"/>
          <w:marRight w:val="0"/>
          <w:marTop w:val="0"/>
          <w:marBottom w:val="0"/>
          <w:divBdr>
            <w:top w:val="none" w:sz="0" w:space="0" w:color="auto"/>
            <w:left w:val="none" w:sz="0" w:space="0" w:color="auto"/>
            <w:bottom w:val="none" w:sz="0" w:space="0" w:color="auto"/>
            <w:right w:val="none" w:sz="0" w:space="0" w:color="auto"/>
          </w:divBdr>
        </w:div>
        <w:div w:id="1465731639">
          <w:marLeft w:val="480"/>
          <w:marRight w:val="0"/>
          <w:marTop w:val="0"/>
          <w:marBottom w:val="0"/>
          <w:divBdr>
            <w:top w:val="none" w:sz="0" w:space="0" w:color="auto"/>
            <w:left w:val="none" w:sz="0" w:space="0" w:color="auto"/>
            <w:bottom w:val="none" w:sz="0" w:space="0" w:color="auto"/>
            <w:right w:val="none" w:sz="0" w:space="0" w:color="auto"/>
          </w:divBdr>
        </w:div>
        <w:div w:id="723452762">
          <w:marLeft w:val="480"/>
          <w:marRight w:val="0"/>
          <w:marTop w:val="0"/>
          <w:marBottom w:val="0"/>
          <w:divBdr>
            <w:top w:val="none" w:sz="0" w:space="0" w:color="auto"/>
            <w:left w:val="none" w:sz="0" w:space="0" w:color="auto"/>
            <w:bottom w:val="none" w:sz="0" w:space="0" w:color="auto"/>
            <w:right w:val="none" w:sz="0" w:space="0" w:color="auto"/>
          </w:divBdr>
        </w:div>
        <w:div w:id="360520599">
          <w:marLeft w:val="480"/>
          <w:marRight w:val="0"/>
          <w:marTop w:val="0"/>
          <w:marBottom w:val="0"/>
          <w:divBdr>
            <w:top w:val="none" w:sz="0" w:space="0" w:color="auto"/>
            <w:left w:val="none" w:sz="0" w:space="0" w:color="auto"/>
            <w:bottom w:val="none" w:sz="0" w:space="0" w:color="auto"/>
            <w:right w:val="none" w:sz="0" w:space="0" w:color="auto"/>
          </w:divBdr>
        </w:div>
        <w:div w:id="565995320">
          <w:marLeft w:val="480"/>
          <w:marRight w:val="0"/>
          <w:marTop w:val="0"/>
          <w:marBottom w:val="0"/>
          <w:divBdr>
            <w:top w:val="none" w:sz="0" w:space="0" w:color="auto"/>
            <w:left w:val="none" w:sz="0" w:space="0" w:color="auto"/>
            <w:bottom w:val="none" w:sz="0" w:space="0" w:color="auto"/>
            <w:right w:val="none" w:sz="0" w:space="0" w:color="auto"/>
          </w:divBdr>
        </w:div>
        <w:div w:id="179123825">
          <w:marLeft w:val="480"/>
          <w:marRight w:val="0"/>
          <w:marTop w:val="0"/>
          <w:marBottom w:val="0"/>
          <w:divBdr>
            <w:top w:val="none" w:sz="0" w:space="0" w:color="auto"/>
            <w:left w:val="none" w:sz="0" w:space="0" w:color="auto"/>
            <w:bottom w:val="none" w:sz="0" w:space="0" w:color="auto"/>
            <w:right w:val="none" w:sz="0" w:space="0" w:color="auto"/>
          </w:divBdr>
        </w:div>
        <w:div w:id="1408915351">
          <w:marLeft w:val="480"/>
          <w:marRight w:val="0"/>
          <w:marTop w:val="0"/>
          <w:marBottom w:val="0"/>
          <w:divBdr>
            <w:top w:val="none" w:sz="0" w:space="0" w:color="auto"/>
            <w:left w:val="none" w:sz="0" w:space="0" w:color="auto"/>
            <w:bottom w:val="none" w:sz="0" w:space="0" w:color="auto"/>
            <w:right w:val="none" w:sz="0" w:space="0" w:color="auto"/>
          </w:divBdr>
        </w:div>
        <w:div w:id="914629100">
          <w:marLeft w:val="480"/>
          <w:marRight w:val="0"/>
          <w:marTop w:val="0"/>
          <w:marBottom w:val="0"/>
          <w:divBdr>
            <w:top w:val="none" w:sz="0" w:space="0" w:color="auto"/>
            <w:left w:val="none" w:sz="0" w:space="0" w:color="auto"/>
            <w:bottom w:val="none" w:sz="0" w:space="0" w:color="auto"/>
            <w:right w:val="none" w:sz="0" w:space="0" w:color="auto"/>
          </w:divBdr>
        </w:div>
        <w:div w:id="219176594">
          <w:marLeft w:val="480"/>
          <w:marRight w:val="0"/>
          <w:marTop w:val="0"/>
          <w:marBottom w:val="0"/>
          <w:divBdr>
            <w:top w:val="none" w:sz="0" w:space="0" w:color="auto"/>
            <w:left w:val="none" w:sz="0" w:space="0" w:color="auto"/>
            <w:bottom w:val="none" w:sz="0" w:space="0" w:color="auto"/>
            <w:right w:val="none" w:sz="0" w:space="0" w:color="auto"/>
          </w:divBdr>
        </w:div>
        <w:div w:id="1843200678">
          <w:marLeft w:val="480"/>
          <w:marRight w:val="0"/>
          <w:marTop w:val="0"/>
          <w:marBottom w:val="0"/>
          <w:divBdr>
            <w:top w:val="none" w:sz="0" w:space="0" w:color="auto"/>
            <w:left w:val="none" w:sz="0" w:space="0" w:color="auto"/>
            <w:bottom w:val="none" w:sz="0" w:space="0" w:color="auto"/>
            <w:right w:val="none" w:sz="0" w:space="0" w:color="auto"/>
          </w:divBdr>
        </w:div>
        <w:div w:id="1579754290">
          <w:marLeft w:val="480"/>
          <w:marRight w:val="0"/>
          <w:marTop w:val="0"/>
          <w:marBottom w:val="0"/>
          <w:divBdr>
            <w:top w:val="none" w:sz="0" w:space="0" w:color="auto"/>
            <w:left w:val="none" w:sz="0" w:space="0" w:color="auto"/>
            <w:bottom w:val="none" w:sz="0" w:space="0" w:color="auto"/>
            <w:right w:val="none" w:sz="0" w:space="0" w:color="auto"/>
          </w:divBdr>
        </w:div>
        <w:div w:id="1995180457">
          <w:marLeft w:val="480"/>
          <w:marRight w:val="0"/>
          <w:marTop w:val="0"/>
          <w:marBottom w:val="0"/>
          <w:divBdr>
            <w:top w:val="none" w:sz="0" w:space="0" w:color="auto"/>
            <w:left w:val="none" w:sz="0" w:space="0" w:color="auto"/>
            <w:bottom w:val="none" w:sz="0" w:space="0" w:color="auto"/>
            <w:right w:val="none" w:sz="0" w:space="0" w:color="auto"/>
          </w:divBdr>
        </w:div>
        <w:div w:id="1451514384">
          <w:marLeft w:val="480"/>
          <w:marRight w:val="0"/>
          <w:marTop w:val="0"/>
          <w:marBottom w:val="0"/>
          <w:divBdr>
            <w:top w:val="none" w:sz="0" w:space="0" w:color="auto"/>
            <w:left w:val="none" w:sz="0" w:space="0" w:color="auto"/>
            <w:bottom w:val="none" w:sz="0" w:space="0" w:color="auto"/>
            <w:right w:val="none" w:sz="0" w:space="0" w:color="auto"/>
          </w:divBdr>
        </w:div>
        <w:div w:id="1864393490">
          <w:marLeft w:val="480"/>
          <w:marRight w:val="0"/>
          <w:marTop w:val="0"/>
          <w:marBottom w:val="0"/>
          <w:divBdr>
            <w:top w:val="none" w:sz="0" w:space="0" w:color="auto"/>
            <w:left w:val="none" w:sz="0" w:space="0" w:color="auto"/>
            <w:bottom w:val="none" w:sz="0" w:space="0" w:color="auto"/>
            <w:right w:val="none" w:sz="0" w:space="0" w:color="auto"/>
          </w:divBdr>
        </w:div>
        <w:div w:id="406801580">
          <w:marLeft w:val="480"/>
          <w:marRight w:val="0"/>
          <w:marTop w:val="0"/>
          <w:marBottom w:val="0"/>
          <w:divBdr>
            <w:top w:val="none" w:sz="0" w:space="0" w:color="auto"/>
            <w:left w:val="none" w:sz="0" w:space="0" w:color="auto"/>
            <w:bottom w:val="none" w:sz="0" w:space="0" w:color="auto"/>
            <w:right w:val="none" w:sz="0" w:space="0" w:color="auto"/>
          </w:divBdr>
        </w:div>
        <w:div w:id="767508500">
          <w:marLeft w:val="480"/>
          <w:marRight w:val="0"/>
          <w:marTop w:val="0"/>
          <w:marBottom w:val="0"/>
          <w:divBdr>
            <w:top w:val="none" w:sz="0" w:space="0" w:color="auto"/>
            <w:left w:val="none" w:sz="0" w:space="0" w:color="auto"/>
            <w:bottom w:val="none" w:sz="0" w:space="0" w:color="auto"/>
            <w:right w:val="none" w:sz="0" w:space="0" w:color="auto"/>
          </w:divBdr>
        </w:div>
        <w:div w:id="1675188074">
          <w:marLeft w:val="480"/>
          <w:marRight w:val="0"/>
          <w:marTop w:val="0"/>
          <w:marBottom w:val="0"/>
          <w:divBdr>
            <w:top w:val="none" w:sz="0" w:space="0" w:color="auto"/>
            <w:left w:val="none" w:sz="0" w:space="0" w:color="auto"/>
            <w:bottom w:val="none" w:sz="0" w:space="0" w:color="auto"/>
            <w:right w:val="none" w:sz="0" w:space="0" w:color="auto"/>
          </w:divBdr>
        </w:div>
        <w:div w:id="1863738072">
          <w:marLeft w:val="480"/>
          <w:marRight w:val="0"/>
          <w:marTop w:val="0"/>
          <w:marBottom w:val="0"/>
          <w:divBdr>
            <w:top w:val="none" w:sz="0" w:space="0" w:color="auto"/>
            <w:left w:val="none" w:sz="0" w:space="0" w:color="auto"/>
            <w:bottom w:val="none" w:sz="0" w:space="0" w:color="auto"/>
            <w:right w:val="none" w:sz="0" w:space="0" w:color="auto"/>
          </w:divBdr>
        </w:div>
        <w:div w:id="813791330">
          <w:marLeft w:val="480"/>
          <w:marRight w:val="0"/>
          <w:marTop w:val="0"/>
          <w:marBottom w:val="0"/>
          <w:divBdr>
            <w:top w:val="none" w:sz="0" w:space="0" w:color="auto"/>
            <w:left w:val="none" w:sz="0" w:space="0" w:color="auto"/>
            <w:bottom w:val="none" w:sz="0" w:space="0" w:color="auto"/>
            <w:right w:val="none" w:sz="0" w:space="0" w:color="auto"/>
          </w:divBdr>
        </w:div>
        <w:div w:id="1739091813">
          <w:marLeft w:val="480"/>
          <w:marRight w:val="0"/>
          <w:marTop w:val="0"/>
          <w:marBottom w:val="0"/>
          <w:divBdr>
            <w:top w:val="none" w:sz="0" w:space="0" w:color="auto"/>
            <w:left w:val="none" w:sz="0" w:space="0" w:color="auto"/>
            <w:bottom w:val="none" w:sz="0" w:space="0" w:color="auto"/>
            <w:right w:val="none" w:sz="0" w:space="0" w:color="auto"/>
          </w:divBdr>
        </w:div>
        <w:div w:id="1652634134">
          <w:marLeft w:val="480"/>
          <w:marRight w:val="0"/>
          <w:marTop w:val="0"/>
          <w:marBottom w:val="0"/>
          <w:divBdr>
            <w:top w:val="none" w:sz="0" w:space="0" w:color="auto"/>
            <w:left w:val="none" w:sz="0" w:space="0" w:color="auto"/>
            <w:bottom w:val="none" w:sz="0" w:space="0" w:color="auto"/>
            <w:right w:val="none" w:sz="0" w:space="0" w:color="auto"/>
          </w:divBdr>
        </w:div>
        <w:div w:id="2013602103">
          <w:marLeft w:val="480"/>
          <w:marRight w:val="0"/>
          <w:marTop w:val="0"/>
          <w:marBottom w:val="0"/>
          <w:divBdr>
            <w:top w:val="none" w:sz="0" w:space="0" w:color="auto"/>
            <w:left w:val="none" w:sz="0" w:space="0" w:color="auto"/>
            <w:bottom w:val="none" w:sz="0" w:space="0" w:color="auto"/>
            <w:right w:val="none" w:sz="0" w:space="0" w:color="auto"/>
          </w:divBdr>
        </w:div>
        <w:div w:id="768550902">
          <w:marLeft w:val="480"/>
          <w:marRight w:val="0"/>
          <w:marTop w:val="0"/>
          <w:marBottom w:val="0"/>
          <w:divBdr>
            <w:top w:val="none" w:sz="0" w:space="0" w:color="auto"/>
            <w:left w:val="none" w:sz="0" w:space="0" w:color="auto"/>
            <w:bottom w:val="none" w:sz="0" w:space="0" w:color="auto"/>
            <w:right w:val="none" w:sz="0" w:space="0" w:color="auto"/>
          </w:divBdr>
        </w:div>
        <w:div w:id="1377316903">
          <w:marLeft w:val="480"/>
          <w:marRight w:val="0"/>
          <w:marTop w:val="0"/>
          <w:marBottom w:val="0"/>
          <w:divBdr>
            <w:top w:val="none" w:sz="0" w:space="0" w:color="auto"/>
            <w:left w:val="none" w:sz="0" w:space="0" w:color="auto"/>
            <w:bottom w:val="none" w:sz="0" w:space="0" w:color="auto"/>
            <w:right w:val="none" w:sz="0" w:space="0" w:color="auto"/>
          </w:divBdr>
        </w:div>
        <w:div w:id="535629487">
          <w:marLeft w:val="480"/>
          <w:marRight w:val="0"/>
          <w:marTop w:val="0"/>
          <w:marBottom w:val="0"/>
          <w:divBdr>
            <w:top w:val="none" w:sz="0" w:space="0" w:color="auto"/>
            <w:left w:val="none" w:sz="0" w:space="0" w:color="auto"/>
            <w:bottom w:val="none" w:sz="0" w:space="0" w:color="auto"/>
            <w:right w:val="none" w:sz="0" w:space="0" w:color="auto"/>
          </w:divBdr>
        </w:div>
        <w:div w:id="959648942">
          <w:marLeft w:val="480"/>
          <w:marRight w:val="0"/>
          <w:marTop w:val="0"/>
          <w:marBottom w:val="0"/>
          <w:divBdr>
            <w:top w:val="none" w:sz="0" w:space="0" w:color="auto"/>
            <w:left w:val="none" w:sz="0" w:space="0" w:color="auto"/>
            <w:bottom w:val="none" w:sz="0" w:space="0" w:color="auto"/>
            <w:right w:val="none" w:sz="0" w:space="0" w:color="auto"/>
          </w:divBdr>
        </w:div>
        <w:div w:id="914120958">
          <w:marLeft w:val="480"/>
          <w:marRight w:val="0"/>
          <w:marTop w:val="0"/>
          <w:marBottom w:val="0"/>
          <w:divBdr>
            <w:top w:val="none" w:sz="0" w:space="0" w:color="auto"/>
            <w:left w:val="none" w:sz="0" w:space="0" w:color="auto"/>
            <w:bottom w:val="none" w:sz="0" w:space="0" w:color="auto"/>
            <w:right w:val="none" w:sz="0" w:space="0" w:color="auto"/>
          </w:divBdr>
        </w:div>
        <w:div w:id="1522934189">
          <w:marLeft w:val="480"/>
          <w:marRight w:val="0"/>
          <w:marTop w:val="0"/>
          <w:marBottom w:val="0"/>
          <w:divBdr>
            <w:top w:val="none" w:sz="0" w:space="0" w:color="auto"/>
            <w:left w:val="none" w:sz="0" w:space="0" w:color="auto"/>
            <w:bottom w:val="none" w:sz="0" w:space="0" w:color="auto"/>
            <w:right w:val="none" w:sz="0" w:space="0" w:color="auto"/>
          </w:divBdr>
        </w:div>
        <w:div w:id="612905911">
          <w:marLeft w:val="480"/>
          <w:marRight w:val="0"/>
          <w:marTop w:val="0"/>
          <w:marBottom w:val="0"/>
          <w:divBdr>
            <w:top w:val="none" w:sz="0" w:space="0" w:color="auto"/>
            <w:left w:val="none" w:sz="0" w:space="0" w:color="auto"/>
            <w:bottom w:val="none" w:sz="0" w:space="0" w:color="auto"/>
            <w:right w:val="none" w:sz="0" w:space="0" w:color="auto"/>
          </w:divBdr>
        </w:div>
        <w:div w:id="1773818375">
          <w:marLeft w:val="480"/>
          <w:marRight w:val="0"/>
          <w:marTop w:val="0"/>
          <w:marBottom w:val="0"/>
          <w:divBdr>
            <w:top w:val="none" w:sz="0" w:space="0" w:color="auto"/>
            <w:left w:val="none" w:sz="0" w:space="0" w:color="auto"/>
            <w:bottom w:val="none" w:sz="0" w:space="0" w:color="auto"/>
            <w:right w:val="none" w:sz="0" w:space="0" w:color="auto"/>
          </w:divBdr>
        </w:div>
        <w:div w:id="1048725715">
          <w:marLeft w:val="480"/>
          <w:marRight w:val="0"/>
          <w:marTop w:val="0"/>
          <w:marBottom w:val="0"/>
          <w:divBdr>
            <w:top w:val="none" w:sz="0" w:space="0" w:color="auto"/>
            <w:left w:val="none" w:sz="0" w:space="0" w:color="auto"/>
            <w:bottom w:val="none" w:sz="0" w:space="0" w:color="auto"/>
            <w:right w:val="none" w:sz="0" w:space="0" w:color="auto"/>
          </w:divBdr>
        </w:div>
        <w:div w:id="1862011759">
          <w:marLeft w:val="480"/>
          <w:marRight w:val="0"/>
          <w:marTop w:val="0"/>
          <w:marBottom w:val="0"/>
          <w:divBdr>
            <w:top w:val="none" w:sz="0" w:space="0" w:color="auto"/>
            <w:left w:val="none" w:sz="0" w:space="0" w:color="auto"/>
            <w:bottom w:val="none" w:sz="0" w:space="0" w:color="auto"/>
            <w:right w:val="none" w:sz="0" w:space="0" w:color="auto"/>
          </w:divBdr>
        </w:div>
        <w:div w:id="136383724">
          <w:marLeft w:val="480"/>
          <w:marRight w:val="0"/>
          <w:marTop w:val="0"/>
          <w:marBottom w:val="0"/>
          <w:divBdr>
            <w:top w:val="none" w:sz="0" w:space="0" w:color="auto"/>
            <w:left w:val="none" w:sz="0" w:space="0" w:color="auto"/>
            <w:bottom w:val="none" w:sz="0" w:space="0" w:color="auto"/>
            <w:right w:val="none" w:sz="0" w:space="0" w:color="auto"/>
          </w:divBdr>
        </w:div>
        <w:div w:id="1722095432">
          <w:marLeft w:val="480"/>
          <w:marRight w:val="0"/>
          <w:marTop w:val="0"/>
          <w:marBottom w:val="0"/>
          <w:divBdr>
            <w:top w:val="none" w:sz="0" w:space="0" w:color="auto"/>
            <w:left w:val="none" w:sz="0" w:space="0" w:color="auto"/>
            <w:bottom w:val="none" w:sz="0" w:space="0" w:color="auto"/>
            <w:right w:val="none" w:sz="0" w:space="0" w:color="auto"/>
          </w:divBdr>
        </w:div>
        <w:div w:id="1632638243">
          <w:marLeft w:val="480"/>
          <w:marRight w:val="0"/>
          <w:marTop w:val="0"/>
          <w:marBottom w:val="0"/>
          <w:divBdr>
            <w:top w:val="none" w:sz="0" w:space="0" w:color="auto"/>
            <w:left w:val="none" w:sz="0" w:space="0" w:color="auto"/>
            <w:bottom w:val="none" w:sz="0" w:space="0" w:color="auto"/>
            <w:right w:val="none" w:sz="0" w:space="0" w:color="auto"/>
          </w:divBdr>
        </w:div>
        <w:div w:id="436561899">
          <w:marLeft w:val="480"/>
          <w:marRight w:val="0"/>
          <w:marTop w:val="0"/>
          <w:marBottom w:val="0"/>
          <w:divBdr>
            <w:top w:val="none" w:sz="0" w:space="0" w:color="auto"/>
            <w:left w:val="none" w:sz="0" w:space="0" w:color="auto"/>
            <w:bottom w:val="none" w:sz="0" w:space="0" w:color="auto"/>
            <w:right w:val="none" w:sz="0" w:space="0" w:color="auto"/>
          </w:divBdr>
        </w:div>
        <w:div w:id="521938318">
          <w:marLeft w:val="480"/>
          <w:marRight w:val="0"/>
          <w:marTop w:val="0"/>
          <w:marBottom w:val="0"/>
          <w:divBdr>
            <w:top w:val="none" w:sz="0" w:space="0" w:color="auto"/>
            <w:left w:val="none" w:sz="0" w:space="0" w:color="auto"/>
            <w:bottom w:val="none" w:sz="0" w:space="0" w:color="auto"/>
            <w:right w:val="none" w:sz="0" w:space="0" w:color="auto"/>
          </w:divBdr>
        </w:div>
        <w:div w:id="147674013">
          <w:marLeft w:val="480"/>
          <w:marRight w:val="0"/>
          <w:marTop w:val="0"/>
          <w:marBottom w:val="0"/>
          <w:divBdr>
            <w:top w:val="none" w:sz="0" w:space="0" w:color="auto"/>
            <w:left w:val="none" w:sz="0" w:space="0" w:color="auto"/>
            <w:bottom w:val="none" w:sz="0" w:space="0" w:color="auto"/>
            <w:right w:val="none" w:sz="0" w:space="0" w:color="auto"/>
          </w:divBdr>
        </w:div>
        <w:div w:id="666633118">
          <w:marLeft w:val="480"/>
          <w:marRight w:val="0"/>
          <w:marTop w:val="0"/>
          <w:marBottom w:val="0"/>
          <w:divBdr>
            <w:top w:val="none" w:sz="0" w:space="0" w:color="auto"/>
            <w:left w:val="none" w:sz="0" w:space="0" w:color="auto"/>
            <w:bottom w:val="none" w:sz="0" w:space="0" w:color="auto"/>
            <w:right w:val="none" w:sz="0" w:space="0" w:color="auto"/>
          </w:divBdr>
        </w:div>
        <w:div w:id="892885084">
          <w:marLeft w:val="480"/>
          <w:marRight w:val="0"/>
          <w:marTop w:val="0"/>
          <w:marBottom w:val="0"/>
          <w:divBdr>
            <w:top w:val="none" w:sz="0" w:space="0" w:color="auto"/>
            <w:left w:val="none" w:sz="0" w:space="0" w:color="auto"/>
            <w:bottom w:val="none" w:sz="0" w:space="0" w:color="auto"/>
            <w:right w:val="none" w:sz="0" w:space="0" w:color="auto"/>
          </w:divBdr>
        </w:div>
        <w:div w:id="540241568">
          <w:marLeft w:val="480"/>
          <w:marRight w:val="0"/>
          <w:marTop w:val="0"/>
          <w:marBottom w:val="0"/>
          <w:divBdr>
            <w:top w:val="none" w:sz="0" w:space="0" w:color="auto"/>
            <w:left w:val="none" w:sz="0" w:space="0" w:color="auto"/>
            <w:bottom w:val="none" w:sz="0" w:space="0" w:color="auto"/>
            <w:right w:val="none" w:sz="0" w:space="0" w:color="auto"/>
          </w:divBdr>
        </w:div>
        <w:div w:id="922638876">
          <w:marLeft w:val="480"/>
          <w:marRight w:val="0"/>
          <w:marTop w:val="0"/>
          <w:marBottom w:val="0"/>
          <w:divBdr>
            <w:top w:val="none" w:sz="0" w:space="0" w:color="auto"/>
            <w:left w:val="none" w:sz="0" w:space="0" w:color="auto"/>
            <w:bottom w:val="none" w:sz="0" w:space="0" w:color="auto"/>
            <w:right w:val="none" w:sz="0" w:space="0" w:color="auto"/>
          </w:divBdr>
        </w:div>
        <w:div w:id="992098772">
          <w:marLeft w:val="480"/>
          <w:marRight w:val="0"/>
          <w:marTop w:val="0"/>
          <w:marBottom w:val="0"/>
          <w:divBdr>
            <w:top w:val="none" w:sz="0" w:space="0" w:color="auto"/>
            <w:left w:val="none" w:sz="0" w:space="0" w:color="auto"/>
            <w:bottom w:val="none" w:sz="0" w:space="0" w:color="auto"/>
            <w:right w:val="none" w:sz="0" w:space="0" w:color="auto"/>
          </w:divBdr>
        </w:div>
        <w:div w:id="1537809142">
          <w:marLeft w:val="480"/>
          <w:marRight w:val="0"/>
          <w:marTop w:val="0"/>
          <w:marBottom w:val="0"/>
          <w:divBdr>
            <w:top w:val="none" w:sz="0" w:space="0" w:color="auto"/>
            <w:left w:val="none" w:sz="0" w:space="0" w:color="auto"/>
            <w:bottom w:val="none" w:sz="0" w:space="0" w:color="auto"/>
            <w:right w:val="none" w:sz="0" w:space="0" w:color="auto"/>
          </w:divBdr>
        </w:div>
        <w:div w:id="49770576">
          <w:marLeft w:val="480"/>
          <w:marRight w:val="0"/>
          <w:marTop w:val="0"/>
          <w:marBottom w:val="0"/>
          <w:divBdr>
            <w:top w:val="none" w:sz="0" w:space="0" w:color="auto"/>
            <w:left w:val="none" w:sz="0" w:space="0" w:color="auto"/>
            <w:bottom w:val="none" w:sz="0" w:space="0" w:color="auto"/>
            <w:right w:val="none" w:sz="0" w:space="0" w:color="auto"/>
          </w:divBdr>
        </w:div>
        <w:div w:id="2037542801">
          <w:marLeft w:val="480"/>
          <w:marRight w:val="0"/>
          <w:marTop w:val="0"/>
          <w:marBottom w:val="0"/>
          <w:divBdr>
            <w:top w:val="none" w:sz="0" w:space="0" w:color="auto"/>
            <w:left w:val="none" w:sz="0" w:space="0" w:color="auto"/>
            <w:bottom w:val="none" w:sz="0" w:space="0" w:color="auto"/>
            <w:right w:val="none" w:sz="0" w:space="0" w:color="auto"/>
          </w:divBdr>
        </w:div>
        <w:div w:id="328561361">
          <w:marLeft w:val="480"/>
          <w:marRight w:val="0"/>
          <w:marTop w:val="0"/>
          <w:marBottom w:val="0"/>
          <w:divBdr>
            <w:top w:val="none" w:sz="0" w:space="0" w:color="auto"/>
            <w:left w:val="none" w:sz="0" w:space="0" w:color="auto"/>
            <w:bottom w:val="none" w:sz="0" w:space="0" w:color="auto"/>
            <w:right w:val="none" w:sz="0" w:space="0" w:color="auto"/>
          </w:divBdr>
        </w:div>
        <w:div w:id="1252621238">
          <w:marLeft w:val="480"/>
          <w:marRight w:val="0"/>
          <w:marTop w:val="0"/>
          <w:marBottom w:val="0"/>
          <w:divBdr>
            <w:top w:val="none" w:sz="0" w:space="0" w:color="auto"/>
            <w:left w:val="none" w:sz="0" w:space="0" w:color="auto"/>
            <w:bottom w:val="none" w:sz="0" w:space="0" w:color="auto"/>
            <w:right w:val="none" w:sz="0" w:space="0" w:color="auto"/>
          </w:divBdr>
        </w:div>
        <w:div w:id="993488589">
          <w:marLeft w:val="480"/>
          <w:marRight w:val="0"/>
          <w:marTop w:val="0"/>
          <w:marBottom w:val="0"/>
          <w:divBdr>
            <w:top w:val="none" w:sz="0" w:space="0" w:color="auto"/>
            <w:left w:val="none" w:sz="0" w:space="0" w:color="auto"/>
            <w:bottom w:val="none" w:sz="0" w:space="0" w:color="auto"/>
            <w:right w:val="none" w:sz="0" w:space="0" w:color="auto"/>
          </w:divBdr>
        </w:div>
        <w:div w:id="51777702">
          <w:marLeft w:val="480"/>
          <w:marRight w:val="0"/>
          <w:marTop w:val="0"/>
          <w:marBottom w:val="0"/>
          <w:divBdr>
            <w:top w:val="none" w:sz="0" w:space="0" w:color="auto"/>
            <w:left w:val="none" w:sz="0" w:space="0" w:color="auto"/>
            <w:bottom w:val="none" w:sz="0" w:space="0" w:color="auto"/>
            <w:right w:val="none" w:sz="0" w:space="0" w:color="auto"/>
          </w:divBdr>
        </w:div>
        <w:div w:id="883715863">
          <w:marLeft w:val="480"/>
          <w:marRight w:val="0"/>
          <w:marTop w:val="0"/>
          <w:marBottom w:val="0"/>
          <w:divBdr>
            <w:top w:val="none" w:sz="0" w:space="0" w:color="auto"/>
            <w:left w:val="none" w:sz="0" w:space="0" w:color="auto"/>
            <w:bottom w:val="none" w:sz="0" w:space="0" w:color="auto"/>
            <w:right w:val="none" w:sz="0" w:space="0" w:color="auto"/>
          </w:divBdr>
        </w:div>
        <w:div w:id="1412964293">
          <w:marLeft w:val="480"/>
          <w:marRight w:val="0"/>
          <w:marTop w:val="0"/>
          <w:marBottom w:val="0"/>
          <w:divBdr>
            <w:top w:val="none" w:sz="0" w:space="0" w:color="auto"/>
            <w:left w:val="none" w:sz="0" w:space="0" w:color="auto"/>
            <w:bottom w:val="none" w:sz="0" w:space="0" w:color="auto"/>
            <w:right w:val="none" w:sz="0" w:space="0" w:color="auto"/>
          </w:divBdr>
        </w:div>
        <w:div w:id="398485404">
          <w:marLeft w:val="480"/>
          <w:marRight w:val="0"/>
          <w:marTop w:val="0"/>
          <w:marBottom w:val="0"/>
          <w:divBdr>
            <w:top w:val="none" w:sz="0" w:space="0" w:color="auto"/>
            <w:left w:val="none" w:sz="0" w:space="0" w:color="auto"/>
            <w:bottom w:val="none" w:sz="0" w:space="0" w:color="auto"/>
            <w:right w:val="none" w:sz="0" w:space="0" w:color="auto"/>
          </w:divBdr>
        </w:div>
        <w:div w:id="391074855">
          <w:marLeft w:val="480"/>
          <w:marRight w:val="0"/>
          <w:marTop w:val="0"/>
          <w:marBottom w:val="0"/>
          <w:divBdr>
            <w:top w:val="none" w:sz="0" w:space="0" w:color="auto"/>
            <w:left w:val="none" w:sz="0" w:space="0" w:color="auto"/>
            <w:bottom w:val="none" w:sz="0" w:space="0" w:color="auto"/>
            <w:right w:val="none" w:sz="0" w:space="0" w:color="auto"/>
          </w:divBdr>
        </w:div>
        <w:div w:id="730614771">
          <w:marLeft w:val="480"/>
          <w:marRight w:val="0"/>
          <w:marTop w:val="0"/>
          <w:marBottom w:val="0"/>
          <w:divBdr>
            <w:top w:val="none" w:sz="0" w:space="0" w:color="auto"/>
            <w:left w:val="none" w:sz="0" w:space="0" w:color="auto"/>
            <w:bottom w:val="none" w:sz="0" w:space="0" w:color="auto"/>
            <w:right w:val="none" w:sz="0" w:space="0" w:color="auto"/>
          </w:divBdr>
        </w:div>
        <w:div w:id="393505336">
          <w:marLeft w:val="480"/>
          <w:marRight w:val="0"/>
          <w:marTop w:val="0"/>
          <w:marBottom w:val="0"/>
          <w:divBdr>
            <w:top w:val="none" w:sz="0" w:space="0" w:color="auto"/>
            <w:left w:val="none" w:sz="0" w:space="0" w:color="auto"/>
            <w:bottom w:val="none" w:sz="0" w:space="0" w:color="auto"/>
            <w:right w:val="none" w:sz="0" w:space="0" w:color="auto"/>
          </w:divBdr>
        </w:div>
        <w:div w:id="963928446">
          <w:marLeft w:val="480"/>
          <w:marRight w:val="0"/>
          <w:marTop w:val="0"/>
          <w:marBottom w:val="0"/>
          <w:divBdr>
            <w:top w:val="none" w:sz="0" w:space="0" w:color="auto"/>
            <w:left w:val="none" w:sz="0" w:space="0" w:color="auto"/>
            <w:bottom w:val="none" w:sz="0" w:space="0" w:color="auto"/>
            <w:right w:val="none" w:sz="0" w:space="0" w:color="auto"/>
          </w:divBdr>
        </w:div>
        <w:div w:id="1834833872">
          <w:marLeft w:val="480"/>
          <w:marRight w:val="0"/>
          <w:marTop w:val="0"/>
          <w:marBottom w:val="0"/>
          <w:divBdr>
            <w:top w:val="none" w:sz="0" w:space="0" w:color="auto"/>
            <w:left w:val="none" w:sz="0" w:space="0" w:color="auto"/>
            <w:bottom w:val="none" w:sz="0" w:space="0" w:color="auto"/>
            <w:right w:val="none" w:sz="0" w:space="0" w:color="auto"/>
          </w:divBdr>
        </w:div>
        <w:div w:id="467550117">
          <w:marLeft w:val="480"/>
          <w:marRight w:val="0"/>
          <w:marTop w:val="0"/>
          <w:marBottom w:val="0"/>
          <w:divBdr>
            <w:top w:val="none" w:sz="0" w:space="0" w:color="auto"/>
            <w:left w:val="none" w:sz="0" w:space="0" w:color="auto"/>
            <w:bottom w:val="none" w:sz="0" w:space="0" w:color="auto"/>
            <w:right w:val="none" w:sz="0" w:space="0" w:color="auto"/>
          </w:divBdr>
        </w:div>
        <w:div w:id="1160385477">
          <w:marLeft w:val="480"/>
          <w:marRight w:val="0"/>
          <w:marTop w:val="0"/>
          <w:marBottom w:val="0"/>
          <w:divBdr>
            <w:top w:val="none" w:sz="0" w:space="0" w:color="auto"/>
            <w:left w:val="none" w:sz="0" w:space="0" w:color="auto"/>
            <w:bottom w:val="none" w:sz="0" w:space="0" w:color="auto"/>
            <w:right w:val="none" w:sz="0" w:space="0" w:color="auto"/>
          </w:divBdr>
        </w:div>
        <w:div w:id="270868309">
          <w:marLeft w:val="480"/>
          <w:marRight w:val="0"/>
          <w:marTop w:val="0"/>
          <w:marBottom w:val="0"/>
          <w:divBdr>
            <w:top w:val="none" w:sz="0" w:space="0" w:color="auto"/>
            <w:left w:val="none" w:sz="0" w:space="0" w:color="auto"/>
            <w:bottom w:val="none" w:sz="0" w:space="0" w:color="auto"/>
            <w:right w:val="none" w:sz="0" w:space="0" w:color="auto"/>
          </w:divBdr>
        </w:div>
        <w:div w:id="1043478937">
          <w:marLeft w:val="480"/>
          <w:marRight w:val="0"/>
          <w:marTop w:val="0"/>
          <w:marBottom w:val="0"/>
          <w:divBdr>
            <w:top w:val="none" w:sz="0" w:space="0" w:color="auto"/>
            <w:left w:val="none" w:sz="0" w:space="0" w:color="auto"/>
            <w:bottom w:val="none" w:sz="0" w:space="0" w:color="auto"/>
            <w:right w:val="none" w:sz="0" w:space="0" w:color="auto"/>
          </w:divBdr>
        </w:div>
        <w:div w:id="1362513048">
          <w:marLeft w:val="480"/>
          <w:marRight w:val="0"/>
          <w:marTop w:val="0"/>
          <w:marBottom w:val="0"/>
          <w:divBdr>
            <w:top w:val="none" w:sz="0" w:space="0" w:color="auto"/>
            <w:left w:val="none" w:sz="0" w:space="0" w:color="auto"/>
            <w:bottom w:val="none" w:sz="0" w:space="0" w:color="auto"/>
            <w:right w:val="none" w:sz="0" w:space="0" w:color="auto"/>
          </w:divBdr>
        </w:div>
        <w:div w:id="242372609">
          <w:marLeft w:val="480"/>
          <w:marRight w:val="0"/>
          <w:marTop w:val="0"/>
          <w:marBottom w:val="0"/>
          <w:divBdr>
            <w:top w:val="none" w:sz="0" w:space="0" w:color="auto"/>
            <w:left w:val="none" w:sz="0" w:space="0" w:color="auto"/>
            <w:bottom w:val="none" w:sz="0" w:space="0" w:color="auto"/>
            <w:right w:val="none" w:sz="0" w:space="0" w:color="auto"/>
          </w:divBdr>
        </w:div>
        <w:div w:id="777337192">
          <w:marLeft w:val="480"/>
          <w:marRight w:val="0"/>
          <w:marTop w:val="0"/>
          <w:marBottom w:val="0"/>
          <w:divBdr>
            <w:top w:val="none" w:sz="0" w:space="0" w:color="auto"/>
            <w:left w:val="none" w:sz="0" w:space="0" w:color="auto"/>
            <w:bottom w:val="none" w:sz="0" w:space="0" w:color="auto"/>
            <w:right w:val="none" w:sz="0" w:space="0" w:color="auto"/>
          </w:divBdr>
        </w:div>
        <w:div w:id="1400401114">
          <w:marLeft w:val="480"/>
          <w:marRight w:val="0"/>
          <w:marTop w:val="0"/>
          <w:marBottom w:val="0"/>
          <w:divBdr>
            <w:top w:val="none" w:sz="0" w:space="0" w:color="auto"/>
            <w:left w:val="none" w:sz="0" w:space="0" w:color="auto"/>
            <w:bottom w:val="none" w:sz="0" w:space="0" w:color="auto"/>
            <w:right w:val="none" w:sz="0" w:space="0" w:color="auto"/>
          </w:divBdr>
        </w:div>
        <w:div w:id="1948535258">
          <w:marLeft w:val="480"/>
          <w:marRight w:val="0"/>
          <w:marTop w:val="0"/>
          <w:marBottom w:val="0"/>
          <w:divBdr>
            <w:top w:val="none" w:sz="0" w:space="0" w:color="auto"/>
            <w:left w:val="none" w:sz="0" w:space="0" w:color="auto"/>
            <w:bottom w:val="none" w:sz="0" w:space="0" w:color="auto"/>
            <w:right w:val="none" w:sz="0" w:space="0" w:color="auto"/>
          </w:divBdr>
        </w:div>
        <w:div w:id="1511488061">
          <w:marLeft w:val="480"/>
          <w:marRight w:val="0"/>
          <w:marTop w:val="0"/>
          <w:marBottom w:val="0"/>
          <w:divBdr>
            <w:top w:val="none" w:sz="0" w:space="0" w:color="auto"/>
            <w:left w:val="none" w:sz="0" w:space="0" w:color="auto"/>
            <w:bottom w:val="none" w:sz="0" w:space="0" w:color="auto"/>
            <w:right w:val="none" w:sz="0" w:space="0" w:color="auto"/>
          </w:divBdr>
        </w:div>
        <w:div w:id="1241982888">
          <w:marLeft w:val="480"/>
          <w:marRight w:val="0"/>
          <w:marTop w:val="0"/>
          <w:marBottom w:val="0"/>
          <w:divBdr>
            <w:top w:val="none" w:sz="0" w:space="0" w:color="auto"/>
            <w:left w:val="none" w:sz="0" w:space="0" w:color="auto"/>
            <w:bottom w:val="none" w:sz="0" w:space="0" w:color="auto"/>
            <w:right w:val="none" w:sz="0" w:space="0" w:color="auto"/>
          </w:divBdr>
        </w:div>
        <w:div w:id="662468959">
          <w:marLeft w:val="480"/>
          <w:marRight w:val="0"/>
          <w:marTop w:val="0"/>
          <w:marBottom w:val="0"/>
          <w:divBdr>
            <w:top w:val="none" w:sz="0" w:space="0" w:color="auto"/>
            <w:left w:val="none" w:sz="0" w:space="0" w:color="auto"/>
            <w:bottom w:val="none" w:sz="0" w:space="0" w:color="auto"/>
            <w:right w:val="none" w:sz="0" w:space="0" w:color="auto"/>
          </w:divBdr>
        </w:div>
        <w:div w:id="703944144">
          <w:marLeft w:val="480"/>
          <w:marRight w:val="0"/>
          <w:marTop w:val="0"/>
          <w:marBottom w:val="0"/>
          <w:divBdr>
            <w:top w:val="none" w:sz="0" w:space="0" w:color="auto"/>
            <w:left w:val="none" w:sz="0" w:space="0" w:color="auto"/>
            <w:bottom w:val="none" w:sz="0" w:space="0" w:color="auto"/>
            <w:right w:val="none" w:sz="0" w:space="0" w:color="auto"/>
          </w:divBdr>
        </w:div>
        <w:div w:id="431828079">
          <w:marLeft w:val="480"/>
          <w:marRight w:val="0"/>
          <w:marTop w:val="0"/>
          <w:marBottom w:val="0"/>
          <w:divBdr>
            <w:top w:val="none" w:sz="0" w:space="0" w:color="auto"/>
            <w:left w:val="none" w:sz="0" w:space="0" w:color="auto"/>
            <w:bottom w:val="none" w:sz="0" w:space="0" w:color="auto"/>
            <w:right w:val="none" w:sz="0" w:space="0" w:color="auto"/>
          </w:divBdr>
        </w:div>
        <w:div w:id="1914778459">
          <w:marLeft w:val="480"/>
          <w:marRight w:val="0"/>
          <w:marTop w:val="0"/>
          <w:marBottom w:val="0"/>
          <w:divBdr>
            <w:top w:val="none" w:sz="0" w:space="0" w:color="auto"/>
            <w:left w:val="none" w:sz="0" w:space="0" w:color="auto"/>
            <w:bottom w:val="none" w:sz="0" w:space="0" w:color="auto"/>
            <w:right w:val="none" w:sz="0" w:space="0" w:color="auto"/>
          </w:divBdr>
        </w:div>
        <w:div w:id="1379622668">
          <w:marLeft w:val="480"/>
          <w:marRight w:val="0"/>
          <w:marTop w:val="0"/>
          <w:marBottom w:val="0"/>
          <w:divBdr>
            <w:top w:val="none" w:sz="0" w:space="0" w:color="auto"/>
            <w:left w:val="none" w:sz="0" w:space="0" w:color="auto"/>
            <w:bottom w:val="none" w:sz="0" w:space="0" w:color="auto"/>
            <w:right w:val="none" w:sz="0" w:space="0" w:color="auto"/>
          </w:divBdr>
        </w:div>
        <w:div w:id="1955205778">
          <w:marLeft w:val="480"/>
          <w:marRight w:val="0"/>
          <w:marTop w:val="0"/>
          <w:marBottom w:val="0"/>
          <w:divBdr>
            <w:top w:val="none" w:sz="0" w:space="0" w:color="auto"/>
            <w:left w:val="none" w:sz="0" w:space="0" w:color="auto"/>
            <w:bottom w:val="none" w:sz="0" w:space="0" w:color="auto"/>
            <w:right w:val="none" w:sz="0" w:space="0" w:color="auto"/>
          </w:divBdr>
        </w:div>
        <w:div w:id="186992631">
          <w:marLeft w:val="480"/>
          <w:marRight w:val="0"/>
          <w:marTop w:val="0"/>
          <w:marBottom w:val="0"/>
          <w:divBdr>
            <w:top w:val="none" w:sz="0" w:space="0" w:color="auto"/>
            <w:left w:val="none" w:sz="0" w:space="0" w:color="auto"/>
            <w:bottom w:val="none" w:sz="0" w:space="0" w:color="auto"/>
            <w:right w:val="none" w:sz="0" w:space="0" w:color="auto"/>
          </w:divBdr>
        </w:div>
      </w:divsChild>
    </w:div>
    <w:div w:id="6448251">
      <w:bodyDiv w:val="1"/>
      <w:marLeft w:val="0"/>
      <w:marRight w:val="0"/>
      <w:marTop w:val="0"/>
      <w:marBottom w:val="0"/>
      <w:divBdr>
        <w:top w:val="none" w:sz="0" w:space="0" w:color="auto"/>
        <w:left w:val="none" w:sz="0" w:space="0" w:color="auto"/>
        <w:bottom w:val="none" w:sz="0" w:space="0" w:color="auto"/>
        <w:right w:val="none" w:sz="0" w:space="0" w:color="auto"/>
      </w:divBdr>
    </w:div>
    <w:div w:id="7298976">
      <w:bodyDiv w:val="1"/>
      <w:marLeft w:val="0"/>
      <w:marRight w:val="0"/>
      <w:marTop w:val="0"/>
      <w:marBottom w:val="0"/>
      <w:divBdr>
        <w:top w:val="none" w:sz="0" w:space="0" w:color="auto"/>
        <w:left w:val="none" w:sz="0" w:space="0" w:color="auto"/>
        <w:bottom w:val="none" w:sz="0" w:space="0" w:color="auto"/>
        <w:right w:val="none" w:sz="0" w:space="0" w:color="auto"/>
      </w:divBdr>
    </w:div>
    <w:div w:id="8220564">
      <w:bodyDiv w:val="1"/>
      <w:marLeft w:val="0"/>
      <w:marRight w:val="0"/>
      <w:marTop w:val="0"/>
      <w:marBottom w:val="0"/>
      <w:divBdr>
        <w:top w:val="none" w:sz="0" w:space="0" w:color="auto"/>
        <w:left w:val="none" w:sz="0" w:space="0" w:color="auto"/>
        <w:bottom w:val="none" w:sz="0" w:space="0" w:color="auto"/>
        <w:right w:val="none" w:sz="0" w:space="0" w:color="auto"/>
      </w:divBdr>
    </w:div>
    <w:div w:id="8220978">
      <w:bodyDiv w:val="1"/>
      <w:marLeft w:val="0"/>
      <w:marRight w:val="0"/>
      <w:marTop w:val="0"/>
      <w:marBottom w:val="0"/>
      <w:divBdr>
        <w:top w:val="none" w:sz="0" w:space="0" w:color="auto"/>
        <w:left w:val="none" w:sz="0" w:space="0" w:color="auto"/>
        <w:bottom w:val="none" w:sz="0" w:space="0" w:color="auto"/>
        <w:right w:val="none" w:sz="0" w:space="0" w:color="auto"/>
      </w:divBdr>
    </w:div>
    <w:div w:id="8333772">
      <w:bodyDiv w:val="1"/>
      <w:marLeft w:val="0"/>
      <w:marRight w:val="0"/>
      <w:marTop w:val="0"/>
      <w:marBottom w:val="0"/>
      <w:divBdr>
        <w:top w:val="none" w:sz="0" w:space="0" w:color="auto"/>
        <w:left w:val="none" w:sz="0" w:space="0" w:color="auto"/>
        <w:bottom w:val="none" w:sz="0" w:space="0" w:color="auto"/>
        <w:right w:val="none" w:sz="0" w:space="0" w:color="auto"/>
      </w:divBdr>
    </w:div>
    <w:div w:id="8723308">
      <w:bodyDiv w:val="1"/>
      <w:marLeft w:val="0"/>
      <w:marRight w:val="0"/>
      <w:marTop w:val="0"/>
      <w:marBottom w:val="0"/>
      <w:divBdr>
        <w:top w:val="none" w:sz="0" w:space="0" w:color="auto"/>
        <w:left w:val="none" w:sz="0" w:space="0" w:color="auto"/>
        <w:bottom w:val="none" w:sz="0" w:space="0" w:color="auto"/>
        <w:right w:val="none" w:sz="0" w:space="0" w:color="auto"/>
      </w:divBdr>
    </w:div>
    <w:div w:id="9306684">
      <w:bodyDiv w:val="1"/>
      <w:marLeft w:val="0"/>
      <w:marRight w:val="0"/>
      <w:marTop w:val="0"/>
      <w:marBottom w:val="0"/>
      <w:divBdr>
        <w:top w:val="none" w:sz="0" w:space="0" w:color="auto"/>
        <w:left w:val="none" w:sz="0" w:space="0" w:color="auto"/>
        <w:bottom w:val="none" w:sz="0" w:space="0" w:color="auto"/>
        <w:right w:val="none" w:sz="0" w:space="0" w:color="auto"/>
      </w:divBdr>
    </w:div>
    <w:div w:id="9644392">
      <w:bodyDiv w:val="1"/>
      <w:marLeft w:val="0"/>
      <w:marRight w:val="0"/>
      <w:marTop w:val="0"/>
      <w:marBottom w:val="0"/>
      <w:divBdr>
        <w:top w:val="none" w:sz="0" w:space="0" w:color="auto"/>
        <w:left w:val="none" w:sz="0" w:space="0" w:color="auto"/>
        <w:bottom w:val="none" w:sz="0" w:space="0" w:color="auto"/>
        <w:right w:val="none" w:sz="0" w:space="0" w:color="auto"/>
      </w:divBdr>
    </w:div>
    <w:div w:id="11225446">
      <w:bodyDiv w:val="1"/>
      <w:marLeft w:val="0"/>
      <w:marRight w:val="0"/>
      <w:marTop w:val="0"/>
      <w:marBottom w:val="0"/>
      <w:divBdr>
        <w:top w:val="none" w:sz="0" w:space="0" w:color="auto"/>
        <w:left w:val="none" w:sz="0" w:space="0" w:color="auto"/>
        <w:bottom w:val="none" w:sz="0" w:space="0" w:color="auto"/>
        <w:right w:val="none" w:sz="0" w:space="0" w:color="auto"/>
      </w:divBdr>
    </w:div>
    <w:div w:id="11499759">
      <w:bodyDiv w:val="1"/>
      <w:marLeft w:val="0"/>
      <w:marRight w:val="0"/>
      <w:marTop w:val="0"/>
      <w:marBottom w:val="0"/>
      <w:divBdr>
        <w:top w:val="none" w:sz="0" w:space="0" w:color="auto"/>
        <w:left w:val="none" w:sz="0" w:space="0" w:color="auto"/>
        <w:bottom w:val="none" w:sz="0" w:space="0" w:color="auto"/>
        <w:right w:val="none" w:sz="0" w:space="0" w:color="auto"/>
      </w:divBdr>
    </w:div>
    <w:div w:id="12652520">
      <w:bodyDiv w:val="1"/>
      <w:marLeft w:val="0"/>
      <w:marRight w:val="0"/>
      <w:marTop w:val="0"/>
      <w:marBottom w:val="0"/>
      <w:divBdr>
        <w:top w:val="none" w:sz="0" w:space="0" w:color="auto"/>
        <w:left w:val="none" w:sz="0" w:space="0" w:color="auto"/>
        <w:bottom w:val="none" w:sz="0" w:space="0" w:color="auto"/>
        <w:right w:val="none" w:sz="0" w:space="0" w:color="auto"/>
      </w:divBdr>
    </w:div>
    <w:div w:id="13651739">
      <w:bodyDiv w:val="1"/>
      <w:marLeft w:val="0"/>
      <w:marRight w:val="0"/>
      <w:marTop w:val="0"/>
      <w:marBottom w:val="0"/>
      <w:divBdr>
        <w:top w:val="none" w:sz="0" w:space="0" w:color="auto"/>
        <w:left w:val="none" w:sz="0" w:space="0" w:color="auto"/>
        <w:bottom w:val="none" w:sz="0" w:space="0" w:color="auto"/>
        <w:right w:val="none" w:sz="0" w:space="0" w:color="auto"/>
      </w:divBdr>
    </w:div>
    <w:div w:id="13772423">
      <w:bodyDiv w:val="1"/>
      <w:marLeft w:val="0"/>
      <w:marRight w:val="0"/>
      <w:marTop w:val="0"/>
      <w:marBottom w:val="0"/>
      <w:divBdr>
        <w:top w:val="none" w:sz="0" w:space="0" w:color="auto"/>
        <w:left w:val="none" w:sz="0" w:space="0" w:color="auto"/>
        <w:bottom w:val="none" w:sz="0" w:space="0" w:color="auto"/>
        <w:right w:val="none" w:sz="0" w:space="0" w:color="auto"/>
      </w:divBdr>
    </w:div>
    <w:div w:id="14312219">
      <w:bodyDiv w:val="1"/>
      <w:marLeft w:val="0"/>
      <w:marRight w:val="0"/>
      <w:marTop w:val="0"/>
      <w:marBottom w:val="0"/>
      <w:divBdr>
        <w:top w:val="none" w:sz="0" w:space="0" w:color="auto"/>
        <w:left w:val="none" w:sz="0" w:space="0" w:color="auto"/>
        <w:bottom w:val="none" w:sz="0" w:space="0" w:color="auto"/>
        <w:right w:val="none" w:sz="0" w:space="0" w:color="auto"/>
      </w:divBdr>
    </w:div>
    <w:div w:id="15231175">
      <w:bodyDiv w:val="1"/>
      <w:marLeft w:val="0"/>
      <w:marRight w:val="0"/>
      <w:marTop w:val="0"/>
      <w:marBottom w:val="0"/>
      <w:divBdr>
        <w:top w:val="none" w:sz="0" w:space="0" w:color="auto"/>
        <w:left w:val="none" w:sz="0" w:space="0" w:color="auto"/>
        <w:bottom w:val="none" w:sz="0" w:space="0" w:color="auto"/>
        <w:right w:val="none" w:sz="0" w:space="0" w:color="auto"/>
      </w:divBdr>
    </w:div>
    <w:div w:id="16085182">
      <w:bodyDiv w:val="1"/>
      <w:marLeft w:val="0"/>
      <w:marRight w:val="0"/>
      <w:marTop w:val="0"/>
      <w:marBottom w:val="0"/>
      <w:divBdr>
        <w:top w:val="none" w:sz="0" w:space="0" w:color="auto"/>
        <w:left w:val="none" w:sz="0" w:space="0" w:color="auto"/>
        <w:bottom w:val="none" w:sz="0" w:space="0" w:color="auto"/>
        <w:right w:val="none" w:sz="0" w:space="0" w:color="auto"/>
      </w:divBdr>
    </w:div>
    <w:div w:id="17047391">
      <w:bodyDiv w:val="1"/>
      <w:marLeft w:val="0"/>
      <w:marRight w:val="0"/>
      <w:marTop w:val="0"/>
      <w:marBottom w:val="0"/>
      <w:divBdr>
        <w:top w:val="none" w:sz="0" w:space="0" w:color="auto"/>
        <w:left w:val="none" w:sz="0" w:space="0" w:color="auto"/>
        <w:bottom w:val="none" w:sz="0" w:space="0" w:color="auto"/>
        <w:right w:val="none" w:sz="0" w:space="0" w:color="auto"/>
      </w:divBdr>
    </w:div>
    <w:div w:id="17239516">
      <w:bodyDiv w:val="1"/>
      <w:marLeft w:val="0"/>
      <w:marRight w:val="0"/>
      <w:marTop w:val="0"/>
      <w:marBottom w:val="0"/>
      <w:divBdr>
        <w:top w:val="none" w:sz="0" w:space="0" w:color="auto"/>
        <w:left w:val="none" w:sz="0" w:space="0" w:color="auto"/>
        <w:bottom w:val="none" w:sz="0" w:space="0" w:color="auto"/>
        <w:right w:val="none" w:sz="0" w:space="0" w:color="auto"/>
      </w:divBdr>
    </w:div>
    <w:div w:id="17699261">
      <w:bodyDiv w:val="1"/>
      <w:marLeft w:val="0"/>
      <w:marRight w:val="0"/>
      <w:marTop w:val="0"/>
      <w:marBottom w:val="0"/>
      <w:divBdr>
        <w:top w:val="none" w:sz="0" w:space="0" w:color="auto"/>
        <w:left w:val="none" w:sz="0" w:space="0" w:color="auto"/>
        <w:bottom w:val="none" w:sz="0" w:space="0" w:color="auto"/>
        <w:right w:val="none" w:sz="0" w:space="0" w:color="auto"/>
      </w:divBdr>
    </w:div>
    <w:div w:id="18044675">
      <w:bodyDiv w:val="1"/>
      <w:marLeft w:val="0"/>
      <w:marRight w:val="0"/>
      <w:marTop w:val="0"/>
      <w:marBottom w:val="0"/>
      <w:divBdr>
        <w:top w:val="none" w:sz="0" w:space="0" w:color="auto"/>
        <w:left w:val="none" w:sz="0" w:space="0" w:color="auto"/>
        <w:bottom w:val="none" w:sz="0" w:space="0" w:color="auto"/>
        <w:right w:val="none" w:sz="0" w:space="0" w:color="auto"/>
      </w:divBdr>
    </w:div>
    <w:div w:id="18625437">
      <w:bodyDiv w:val="1"/>
      <w:marLeft w:val="0"/>
      <w:marRight w:val="0"/>
      <w:marTop w:val="0"/>
      <w:marBottom w:val="0"/>
      <w:divBdr>
        <w:top w:val="none" w:sz="0" w:space="0" w:color="auto"/>
        <w:left w:val="none" w:sz="0" w:space="0" w:color="auto"/>
        <w:bottom w:val="none" w:sz="0" w:space="0" w:color="auto"/>
        <w:right w:val="none" w:sz="0" w:space="0" w:color="auto"/>
      </w:divBdr>
    </w:div>
    <w:div w:id="18967869">
      <w:bodyDiv w:val="1"/>
      <w:marLeft w:val="0"/>
      <w:marRight w:val="0"/>
      <w:marTop w:val="0"/>
      <w:marBottom w:val="0"/>
      <w:divBdr>
        <w:top w:val="none" w:sz="0" w:space="0" w:color="auto"/>
        <w:left w:val="none" w:sz="0" w:space="0" w:color="auto"/>
        <w:bottom w:val="none" w:sz="0" w:space="0" w:color="auto"/>
        <w:right w:val="none" w:sz="0" w:space="0" w:color="auto"/>
      </w:divBdr>
    </w:div>
    <w:div w:id="19403066">
      <w:bodyDiv w:val="1"/>
      <w:marLeft w:val="0"/>
      <w:marRight w:val="0"/>
      <w:marTop w:val="0"/>
      <w:marBottom w:val="0"/>
      <w:divBdr>
        <w:top w:val="none" w:sz="0" w:space="0" w:color="auto"/>
        <w:left w:val="none" w:sz="0" w:space="0" w:color="auto"/>
        <w:bottom w:val="none" w:sz="0" w:space="0" w:color="auto"/>
        <w:right w:val="none" w:sz="0" w:space="0" w:color="auto"/>
      </w:divBdr>
    </w:div>
    <w:div w:id="19551284">
      <w:bodyDiv w:val="1"/>
      <w:marLeft w:val="0"/>
      <w:marRight w:val="0"/>
      <w:marTop w:val="0"/>
      <w:marBottom w:val="0"/>
      <w:divBdr>
        <w:top w:val="none" w:sz="0" w:space="0" w:color="auto"/>
        <w:left w:val="none" w:sz="0" w:space="0" w:color="auto"/>
        <w:bottom w:val="none" w:sz="0" w:space="0" w:color="auto"/>
        <w:right w:val="none" w:sz="0" w:space="0" w:color="auto"/>
      </w:divBdr>
    </w:div>
    <w:div w:id="20127003">
      <w:bodyDiv w:val="1"/>
      <w:marLeft w:val="0"/>
      <w:marRight w:val="0"/>
      <w:marTop w:val="0"/>
      <w:marBottom w:val="0"/>
      <w:divBdr>
        <w:top w:val="none" w:sz="0" w:space="0" w:color="auto"/>
        <w:left w:val="none" w:sz="0" w:space="0" w:color="auto"/>
        <w:bottom w:val="none" w:sz="0" w:space="0" w:color="auto"/>
        <w:right w:val="none" w:sz="0" w:space="0" w:color="auto"/>
      </w:divBdr>
    </w:div>
    <w:div w:id="21395333">
      <w:bodyDiv w:val="1"/>
      <w:marLeft w:val="0"/>
      <w:marRight w:val="0"/>
      <w:marTop w:val="0"/>
      <w:marBottom w:val="0"/>
      <w:divBdr>
        <w:top w:val="none" w:sz="0" w:space="0" w:color="auto"/>
        <w:left w:val="none" w:sz="0" w:space="0" w:color="auto"/>
        <w:bottom w:val="none" w:sz="0" w:space="0" w:color="auto"/>
        <w:right w:val="none" w:sz="0" w:space="0" w:color="auto"/>
      </w:divBdr>
    </w:div>
    <w:div w:id="22829706">
      <w:bodyDiv w:val="1"/>
      <w:marLeft w:val="0"/>
      <w:marRight w:val="0"/>
      <w:marTop w:val="0"/>
      <w:marBottom w:val="0"/>
      <w:divBdr>
        <w:top w:val="none" w:sz="0" w:space="0" w:color="auto"/>
        <w:left w:val="none" w:sz="0" w:space="0" w:color="auto"/>
        <w:bottom w:val="none" w:sz="0" w:space="0" w:color="auto"/>
        <w:right w:val="none" w:sz="0" w:space="0" w:color="auto"/>
      </w:divBdr>
    </w:div>
    <w:div w:id="23673818">
      <w:bodyDiv w:val="1"/>
      <w:marLeft w:val="0"/>
      <w:marRight w:val="0"/>
      <w:marTop w:val="0"/>
      <w:marBottom w:val="0"/>
      <w:divBdr>
        <w:top w:val="none" w:sz="0" w:space="0" w:color="auto"/>
        <w:left w:val="none" w:sz="0" w:space="0" w:color="auto"/>
        <w:bottom w:val="none" w:sz="0" w:space="0" w:color="auto"/>
        <w:right w:val="none" w:sz="0" w:space="0" w:color="auto"/>
      </w:divBdr>
    </w:div>
    <w:div w:id="23792202">
      <w:bodyDiv w:val="1"/>
      <w:marLeft w:val="0"/>
      <w:marRight w:val="0"/>
      <w:marTop w:val="0"/>
      <w:marBottom w:val="0"/>
      <w:divBdr>
        <w:top w:val="none" w:sz="0" w:space="0" w:color="auto"/>
        <w:left w:val="none" w:sz="0" w:space="0" w:color="auto"/>
        <w:bottom w:val="none" w:sz="0" w:space="0" w:color="auto"/>
        <w:right w:val="none" w:sz="0" w:space="0" w:color="auto"/>
      </w:divBdr>
    </w:div>
    <w:div w:id="23946582">
      <w:bodyDiv w:val="1"/>
      <w:marLeft w:val="0"/>
      <w:marRight w:val="0"/>
      <w:marTop w:val="0"/>
      <w:marBottom w:val="0"/>
      <w:divBdr>
        <w:top w:val="none" w:sz="0" w:space="0" w:color="auto"/>
        <w:left w:val="none" w:sz="0" w:space="0" w:color="auto"/>
        <w:bottom w:val="none" w:sz="0" w:space="0" w:color="auto"/>
        <w:right w:val="none" w:sz="0" w:space="0" w:color="auto"/>
      </w:divBdr>
    </w:div>
    <w:div w:id="24642875">
      <w:bodyDiv w:val="1"/>
      <w:marLeft w:val="0"/>
      <w:marRight w:val="0"/>
      <w:marTop w:val="0"/>
      <w:marBottom w:val="0"/>
      <w:divBdr>
        <w:top w:val="none" w:sz="0" w:space="0" w:color="auto"/>
        <w:left w:val="none" w:sz="0" w:space="0" w:color="auto"/>
        <w:bottom w:val="none" w:sz="0" w:space="0" w:color="auto"/>
        <w:right w:val="none" w:sz="0" w:space="0" w:color="auto"/>
      </w:divBdr>
    </w:div>
    <w:div w:id="25914148">
      <w:bodyDiv w:val="1"/>
      <w:marLeft w:val="0"/>
      <w:marRight w:val="0"/>
      <w:marTop w:val="0"/>
      <w:marBottom w:val="0"/>
      <w:divBdr>
        <w:top w:val="none" w:sz="0" w:space="0" w:color="auto"/>
        <w:left w:val="none" w:sz="0" w:space="0" w:color="auto"/>
        <w:bottom w:val="none" w:sz="0" w:space="0" w:color="auto"/>
        <w:right w:val="none" w:sz="0" w:space="0" w:color="auto"/>
      </w:divBdr>
    </w:div>
    <w:div w:id="26108715">
      <w:bodyDiv w:val="1"/>
      <w:marLeft w:val="0"/>
      <w:marRight w:val="0"/>
      <w:marTop w:val="0"/>
      <w:marBottom w:val="0"/>
      <w:divBdr>
        <w:top w:val="none" w:sz="0" w:space="0" w:color="auto"/>
        <w:left w:val="none" w:sz="0" w:space="0" w:color="auto"/>
        <w:bottom w:val="none" w:sz="0" w:space="0" w:color="auto"/>
        <w:right w:val="none" w:sz="0" w:space="0" w:color="auto"/>
      </w:divBdr>
    </w:div>
    <w:div w:id="26218811">
      <w:bodyDiv w:val="1"/>
      <w:marLeft w:val="0"/>
      <w:marRight w:val="0"/>
      <w:marTop w:val="0"/>
      <w:marBottom w:val="0"/>
      <w:divBdr>
        <w:top w:val="none" w:sz="0" w:space="0" w:color="auto"/>
        <w:left w:val="none" w:sz="0" w:space="0" w:color="auto"/>
        <w:bottom w:val="none" w:sz="0" w:space="0" w:color="auto"/>
        <w:right w:val="none" w:sz="0" w:space="0" w:color="auto"/>
      </w:divBdr>
    </w:div>
    <w:div w:id="27268313">
      <w:bodyDiv w:val="1"/>
      <w:marLeft w:val="0"/>
      <w:marRight w:val="0"/>
      <w:marTop w:val="0"/>
      <w:marBottom w:val="0"/>
      <w:divBdr>
        <w:top w:val="none" w:sz="0" w:space="0" w:color="auto"/>
        <w:left w:val="none" w:sz="0" w:space="0" w:color="auto"/>
        <w:bottom w:val="none" w:sz="0" w:space="0" w:color="auto"/>
        <w:right w:val="none" w:sz="0" w:space="0" w:color="auto"/>
      </w:divBdr>
    </w:div>
    <w:div w:id="28069889">
      <w:bodyDiv w:val="1"/>
      <w:marLeft w:val="0"/>
      <w:marRight w:val="0"/>
      <w:marTop w:val="0"/>
      <w:marBottom w:val="0"/>
      <w:divBdr>
        <w:top w:val="none" w:sz="0" w:space="0" w:color="auto"/>
        <w:left w:val="none" w:sz="0" w:space="0" w:color="auto"/>
        <w:bottom w:val="none" w:sz="0" w:space="0" w:color="auto"/>
        <w:right w:val="none" w:sz="0" w:space="0" w:color="auto"/>
      </w:divBdr>
    </w:div>
    <w:div w:id="28071640">
      <w:bodyDiv w:val="1"/>
      <w:marLeft w:val="0"/>
      <w:marRight w:val="0"/>
      <w:marTop w:val="0"/>
      <w:marBottom w:val="0"/>
      <w:divBdr>
        <w:top w:val="none" w:sz="0" w:space="0" w:color="auto"/>
        <w:left w:val="none" w:sz="0" w:space="0" w:color="auto"/>
        <w:bottom w:val="none" w:sz="0" w:space="0" w:color="auto"/>
        <w:right w:val="none" w:sz="0" w:space="0" w:color="auto"/>
      </w:divBdr>
    </w:div>
    <w:div w:id="28919491">
      <w:bodyDiv w:val="1"/>
      <w:marLeft w:val="0"/>
      <w:marRight w:val="0"/>
      <w:marTop w:val="0"/>
      <w:marBottom w:val="0"/>
      <w:divBdr>
        <w:top w:val="none" w:sz="0" w:space="0" w:color="auto"/>
        <w:left w:val="none" w:sz="0" w:space="0" w:color="auto"/>
        <w:bottom w:val="none" w:sz="0" w:space="0" w:color="auto"/>
        <w:right w:val="none" w:sz="0" w:space="0" w:color="auto"/>
      </w:divBdr>
    </w:div>
    <w:div w:id="29038083">
      <w:bodyDiv w:val="1"/>
      <w:marLeft w:val="0"/>
      <w:marRight w:val="0"/>
      <w:marTop w:val="0"/>
      <w:marBottom w:val="0"/>
      <w:divBdr>
        <w:top w:val="none" w:sz="0" w:space="0" w:color="auto"/>
        <w:left w:val="none" w:sz="0" w:space="0" w:color="auto"/>
        <w:bottom w:val="none" w:sz="0" w:space="0" w:color="auto"/>
        <w:right w:val="none" w:sz="0" w:space="0" w:color="auto"/>
      </w:divBdr>
    </w:div>
    <w:div w:id="29963060">
      <w:bodyDiv w:val="1"/>
      <w:marLeft w:val="0"/>
      <w:marRight w:val="0"/>
      <w:marTop w:val="0"/>
      <w:marBottom w:val="0"/>
      <w:divBdr>
        <w:top w:val="none" w:sz="0" w:space="0" w:color="auto"/>
        <w:left w:val="none" w:sz="0" w:space="0" w:color="auto"/>
        <w:bottom w:val="none" w:sz="0" w:space="0" w:color="auto"/>
        <w:right w:val="none" w:sz="0" w:space="0" w:color="auto"/>
      </w:divBdr>
    </w:div>
    <w:div w:id="30617928">
      <w:bodyDiv w:val="1"/>
      <w:marLeft w:val="0"/>
      <w:marRight w:val="0"/>
      <w:marTop w:val="0"/>
      <w:marBottom w:val="0"/>
      <w:divBdr>
        <w:top w:val="none" w:sz="0" w:space="0" w:color="auto"/>
        <w:left w:val="none" w:sz="0" w:space="0" w:color="auto"/>
        <w:bottom w:val="none" w:sz="0" w:space="0" w:color="auto"/>
        <w:right w:val="none" w:sz="0" w:space="0" w:color="auto"/>
      </w:divBdr>
    </w:div>
    <w:div w:id="30690563">
      <w:bodyDiv w:val="1"/>
      <w:marLeft w:val="0"/>
      <w:marRight w:val="0"/>
      <w:marTop w:val="0"/>
      <w:marBottom w:val="0"/>
      <w:divBdr>
        <w:top w:val="none" w:sz="0" w:space="0" w:color="auto"/>
        <w:left w:val="none" w:sz="0" w:space="0" w:color="auto"/>
        <w:bottom w:val="none" w:sz="0" w:space="0" w:color="auto"/>
        <w:right w:val="none" w:sz="0" w:space="0" w:color="auto"/>
      </w:divBdr>
    </w:div>
    <w:div w:id="31076853">
      <w:bodyDiv w:val="1"/>
      <w:marLeft w:val="0"/>
      <w:marRight w:val="0"/>
      <w:marTop w:val="0"/>
      <w:marBottom w:val="0"/>
      <w:divBdr>
        <w:top w:val="none" w:sz="0" w:space="0" w:color="auto"/>
        <w:left w:val="none" w:sz="0" w:space="0" w:color="auto"/>
        <w:bottom w:val="none" w:sz="0" w:space="0" w:color="auto"/>
        <w:right w:val="none" w:sz="0" w:space="0" w:color="auto"/>
      </w:divBdr>
    </w:div>
    <w:div w:id="31267540">
      <w:bodyDiv w:val="1"/>
      <w:marLeft w:val="0"/>
      <w:marRight w:val="0"/>
      <w:marTop w:val="0"/>
      <w:marBottom w:val="0"/>
      <w:divBdr>
        <w:top w:val="none" w:sz="0" w:space="0" w:color="auto"/>
        <w:left w:val="none" w:sz="0" w:space="0" w:color="auto"/>
        <w:bottom w:val="none" w:sz="0" w:space="0" w:color="auto"/>
        <w:right w:val="none" w:sz="0" w:space="0" w:color="auto"/>
      </w:divBdr>
    </w:div>
    <w:div w:id="31342344">
      <w:bodyDiv w:val="1"/>
      <w:marLeft w:val="0"/>
      <w:marRight w:val="0"/>
      <w:marTop w:val="0"/>
      <w:marBottom w:val="0"/>
      <w:divBdr>
        <w:top w:val="none" w:sz="0" w:space="0" w:color="auto"/>
        <w:left w:val="none" w:sz="0" w:space="0" w:color="auto"/>
        <w:bottom w:val="none" w:sz="0" w:space="0" w:color="auto"/>
        <w:right w:val="none" w:sz="0" w:space="0" w:color="auto"/>
      </w:divBdr>
    </w:div>
    <w:div w:id="31540900">
      <w:bodyDiv w:val="1"/>
      <w:marLeft w:val="0"/>
      <w:marRight w:val="0"/>
      <w:marTop w:val="0"/>
      <w:marBottom w:val="0"/>
      <w:divBdr>
        <w:top w:val="none" w:sz="0" w:space="0" w:color="auto"/>
        <w:left w:val="none" w:sz="0" w:space="0" w:color="auto"/>
        <w:bottom w:val="none" w:sz="0" w:space="0" w:color="auto"/>
        <w:right w:val="none" w:sz="0" w:space="0" w:color="auto"/>
      </w:divBdr>
    </w:div>
    <w:div w:id="31611427">
      <w:bodyDiv w:val="1"/>
      <w:marLeft w:val="0"/>
      <w:marRight w:val="0"/>
      <w:marTop w:val="0"/>
      <w:marBottom w:val="0"/>
      <w:divBdr>
        <w:top w:val="none" w:sz="0" w:space="0" w:color="auto"/>
        <w:left w:val="none" w:sz="0" w:space="0" w:color="auto"/>
        <w:bottom w:val="none" w:sz="0" w:space="0" w:color="auto"/>
        <w:right w:val="none" w:sz="0" w:space="0" w:color="auto"/>
      </w:divBdr>
    </w:div>
    <w:div w:id="32003832">
      <w:bodyDiv w:val="1"/>
      <w:marLeft w:val="0"/>
      <w:marRight w:val="0"/>
      <w:marTop w:val="0"/>
      <w:marBottom w:val="0"/>
      <w:divBdr>
        <w:top w:val="none" w:sz="0" w:space="0" w:color="auto"/>
        <w:left w:val="none" w:sz="0" w:space="0" w:color="auto"/>
        <w:bottom w:val="none" w:sz="0" w:space="0" w:color="auto"/>
        <w:right w:val="none" w:sz="0" w:space="0" w:color="auto"/>
      </w:divBdr>
    </w:div>
    <w:div w:id="32198333">
      <w:bodyDiv w:val="1"/>
      <w:marLeft w:val="0"/>
      <w:marRight w:val="0"/>
      <w:marTop w:val="0"/>
      <w:marBottom w:val="0"/>
      <w:divBdr>
        <w:top w:val="none" w:sz="0" w:space="0" w:color="auto"/>
        <w:left w:val="none" w:sz="0" w:space="0" w:color="auto"/>
        <w:bottom w:val="none" w:sz="0" w:space="0" w:color="auto"/>
        <w:right w:val="none" w:sz="0" w:space="0" w:color="auto"/>
      </w:divBdr>
      <w:divsChild>
        <w:div w:id="1937859193">
          <w:marLeft w:val="480"/>
          <w:marRight w:val="0"/>
          <w:marTop w:val="0"/>
          <w:marBottom w:val="0"/>
          <w:divBdr>
            <w:top w:val="none" w:sz="0" w:space="0" w:color="auto"/>
            <w:left w:val="none" w:sz="0" w:space="0" w:color="auto"/>
            <w:bottom w:val="none" w:sz="0" w:space="0" w:color="auto"/>
            <w:right w:val="none" w:sz="0" w:space="0" w:color="auto"/>
          </w:divBdr>
        </w:div>
        <w:div w:id="238752499">
          <w:marLeft w:val="480"/>
          <w:marRight w:val="0"/>
          <w:marTop w:val="0"/>
          <w:marBottom w:val="0"/>
          <w:divBdr>
            <w:top w:val="none" w:sz="0" w:space="0" w:color="auto"/>
            <w:left w:val="none" w:sz="0" w:space="0" w:color="auto"/>
            <w:bottom w:val="none" w:sz="0" w:space="0" w:color="auto"/>
            <w:right w:val="none" w:sz="0" w:space="0" w:color="auto"/>
          </w:divBdr>
        </w:div>
        <w:div w:id="1102920207">
          <w:marLeft w:val="480"/>
          <w:marRight w:val="0"/>
          <w:marTop w:val="0"/>
          <w:marBottom w:val="0"/>
          <w:divBdr>
            <w:top w:val="none" w:sz="0" w:space="0" w:color="auto"/>
            <w:left w:val="none" w:sz="0" w:space="0" w:color="auto"/>
            <w:bottom w:val="none" w:sz="0" w:space="0" w:color="auto"/>
            <w:right w:val="none" w:sz="0" w:space="0" w:color="auto"/>
          </w:divBdr>
        </w:div>
        <w:div w:id="1132138538">
          <w:marLeft w:val="480"/>
          <w:marRight w:val="0"/>
          <w:marTop w:val="0"/>
          <w:marBottom w:val="0"/>
          <w:divBdr>
            <w:top w:val="none" w:sz="0" w:space="0" w:color="auto"/>
            <w:left w:val="none" w:sz="0" w:space="0" w:color="auto"/>
            <w:bottom w:val="none" w:sz="0" w:space="0" w:color="auto"/>
            <w:right w:val="none" w:sz="0" w:space="0" w:color="auto"/>
          </w:divBdr>
        </w:div>
        <w:div w:id="1299411865">
          <w:marLeft w:val="480"/>
          <w:marRight w:val="0"/>
          <w:marTop w:val="0"/>
          <w:marBottom w:val="0"/>
          <w:divBdr>
            <w:top w:val="none" w:sz="0" w:space="0" w:color="auto"/>
            <w:left w:val="none" w:sz="0" w:space="0" w:color="auto"/>
            <w:bottom w:val="none" w:sz="0" w:space="0" w:color="auto"/>
            <w:right w:val="none" w:sz="0" w:space="0" w:color="auto"/>
          </w:divBdr>
        </w:div>
        <w:div w:id="1531213874">
          <w:marLeft w:val="480"/>
          <w:marRight w:val="0"/>
          <w:marTop w:val="0"/>
          <w:marBottom w:val="0"/>
          <w:divBdr>
            <w:top w:val="none" w:sz="0" w:space="0" w:color="auto"/>
            <w:left w:val="none" w:sz="0" w:space="0" w:color="auto"/>
            <w:bottom w:val="none" w:sz="0" w:space="0" w:color="auto"/>
            <w:right w:val="none" w:sz="0" w:space="0" w:color="auto"/>
          </w:divBdr>
        </w:div>
        <w:div w:id="1947536708">
          <w:marLeft w:val="480"/>
          <w:marRight w:val="0"/>
          <w:marTop w:val="0"/>
          <w:marBottom w:val="0"/>
          <w:divBdr>
            <w:top w:val="none" w:sz="0" w:space="0" w:color="auto"/>
            <w:left w:val="none" w:sz="0" w:space="0" w:color="auto"/>
            <w:bottom w:val="none" w:sz="0" w:space="0" w:color="auto"/>
            <w:right w:val="none" w:sz="0" w:space="0" w:color="auto"/>
          </w:divBdr>
        </w:div>
        <w:div w:id="1628195866">
          <w:marLeft w:val="480"/>
          <w:marRight w:val="0"/>
          <w:marTop w:val="0"/>
          <w:marBottom w:val="0"/>
          <w:divBdr>
            <w:top w:val="none" w:sz="0" w:space="0" w:color="auto"/>
            <w:left w:val="none" w:sz="0" w:space="0" w:color="auto"/>
            <w:bottom w:val="none" w:sz="0" w:space="0" w:color="auto"/>
            <w:right w:val="none" w:sz="0" w:space="0" w:color="auto"/>
          </w:divBdr>
        </w:div>
        <w:div w:id="444618023">
          <w:marLeft w:val="480"/>
          <w:marRight w:val="0"/>
          <w:marTop w:val="0"/>
          <w:marBottom w:val="0"/>
          <w:divBdr>
            <w:top w:val="none" w:sz="0" w:space="0" w:color="auto"/>
            <w:left w:val="none" w:sz="0" w:space="0" w:color="auto"/>
            <w:bottom w:val="none" w:sz="0" w:space="0" w:color="auto"/>
            <w:right w:val="none" w:sz="0" w:space="0" w:color="auto"/>
          </w:divBdr>
        </w:div>
        <w:div w:id="1071082080">
          <w:marLeft w:val="480"/>
          <w:marRight w:val="0"/>
          <w:marTop w:val="0"/>
          <w:marBottom w:val="0"/>
          <w:divBdr>
            <w:top w:val="none" w:sz="0" w:space="0" w:color="auto"/>
            <w:left w:val="none" w:sz="0" w:space="0" w:color="auto"/>
            <w:bottom w:val="none" w:sz="0" w:space="0" w:color="auto"/>
            <w:right w:val="none" w:sz="0" w:space="0" w:color="auto"/>
          </w:divBdr>
        </w:div>
        <w:div w:id="1076056898">
          <w:marLeft w:val="480"/>
          <w:marRight w:val="0"/>
          <w:marTop w:val="0"/>
          <w:marBottom w:val="0"/>
          <w:divBdr>
            <w:top w:val="none" w:sz="0" w:space="0" w:color="auto"/>
            <w:left w:val="none" w:sz="0" w:space="0" w:color="auto"/>
            <w:bottom w:val="none" w:sz="0" w:space="0" w:color="auto"/>
            <w:right w:val="none" w:sz="0" w:space="0" w:color="auto"/>
          </w:divBdr>
        </w:div>
        <w:div w:id="792870329">
          <w:marLeft w:val="480"/>
          <w:marRight w:val="0"/>
          <w:marTop w:val="0"/>
          <w:marBottom w:val="0"/>
          <w:divBdr>
            <w:top w:val="none" w:sz="0" w:space="0" w:color="auto"/>
            <w:left w:val="none" w:sz="0" w:space="0" w:color="auto"/>
            <w:bottom w:val="none" w:sz="0" w:space="0" w:color="auto"/>
            <w:right w:val="none" w:sz="0" w:space="0" w:color="auto"/>
          </w:divBdr>
        </w:div>
        <w:div w:id="1980649130">
          <w:marLeft w:val="480"/>
          <w:marRight w:val="0"/>
          <w:marTop w:val="0"/>
          <w:marBottom w:val="0"/>
          <w:divBdr>
            <w:top w:val="none" w:sz="0" w:space="0" w:color="auto"/>
            <w:left w:val="none" w:sz="0" w:space="0" w:color="auto"/>
            <w:bottom w:val="none" w:sz="0" w:space="0" w:color="auto"/>
            <w:right w:val="none" w:sz="0" w:space="0" w:color="auto"/>
          </w:divBdr>
        </w:div>
        <w:div w:id="1422138952">
          <w:marLeft w:val="480"/>
          <w:marRight w:val="0"/>
          <w:marTop w:val="0"/>
          <w:marBottom w:val="0"/>
          <w:divBdr>
            <w:top w:val="none" w:sz="0" w:space="0" w:color="auto"/>
            <w:left w:val="none" w:sz="0" w:space="0" w:color="auto"/>
            <w:bottom w:val="none" w:sz="0" w:space="0" w:color="auto"/>
            <w:right w:val="none" w:sz="0" w:space="0" w:color="auto"/>
          </w:divBdr>
        </w:div>
        <w:div w:id="565847862">
          <w:marLeft w:val="480"/>
          <w:marRight w:val="0"/>
          <w:marTop w:val="0"/>
          <w:marBottom w:val="0"/>
          <w:divBdr>
            <w:top w:val="none" w:sz="0" w:space="0" w:color="auto"/>
            <w:left w:val="none" w:sz="0" w:space="0" w:color="auto"/>
            <w:bottom w:val="none" w:sz="0" w:space="0" w:color="auto"/>
            <w:right w:val="none" w:sz="0" w:space="0" w:color="auto"/>
          </w:divBdr>
        </w:div>
        <w:div w:id="1527596286">
          <w:marLeft w:val="480"/>
          <w:marRight w:val="0"/>
          <w:marTop w:val="0"/>
          <w:marBottom w:val="0"/>
          <w:divBdr>
            <w:top w:val="none" w:sz="0" w:space="0" w:color="auto"/>
            <w:left w:val="none" w:sz="0" w:space="0" w:color="auto"/>
            <w:bottom w:val="none" w:sz="0" w:space="0" w:color="auto"/>
            <w:right w:val="none" w:sz="0" w:space="0" w:color="auto"/>
          </w:divBdr>
        </w:div>
        <w:div w:id="552352342">
          <w:marLeft w:val="480"/>
          <w:marRight w:val="0"/>
          <w:marTop w:val="0"/>
          <w:marBottom w:val="0"/>
          <w:divBdr>
            <w:top w:val="none" w:sz="0" w:space="0" w:color="auto"/>
            <w:left w:val="none" w:sz="0" w:space="0" w:color="auto"/>
            <w:bottom w:val="none" w:sz="0" w:space="0" w:color="auto"/>
            <w:right w:val="none" w:sz="0" w:space="0" w:color="auto"/>
          </w:divBdr>
        </w:div>
        <w:div w:id="24330427">
          <w:marLeft w:val="480"/>
          <w:marRight w:val="0"/>
          <w:marTop w:val="0"/>
          <w:marBottom w:val="0"/>
          <w:divBdr>
            <w:top w:val="none" w:sz="0" w:space="0" w:color="auto"/>
            <w:left w:val="none" w:sz="0" w:space="0" w:color="auto"/>
            <w:bottom w:val="none" w:sz="0" w:space="0" w:color="auto"/>
            <w:right w:val="none" w:sz="0" w:space="0" w:color="auto"/>
          </w:divBdr>
        </w:div>
        <w:div w:id="823395408">
          <w:marLeft w:val="480"/>
          <w:marRight w:val="0"/>
          <w:marTop w:val="0"/>
          <w:marBottom w:val="0"/>
          <w:divBdr>
            <w:top w:val="none" w:sz="0" w:space="0" w:color="auto"/>
            <w:left w:val="none" w:sz="0" w:space="0" w:color="auto"/>
            <w:bottom w:val="none" w:sz="0" w:space="0" w:color="auto"/>
            <w:right w:val="none" w:sz="0" w:space="0" w:color="auto"/>
          </w:divBdr>
        </w:div>
        <w:div w:id="1106736262">
          <w:marLeft w:val="480"/>
          <w:marRight w:val="0"/>
          <w:marTop w:val="0"/>
          <w:marBottom w:val="0"/>
          <w:divBdr>
            <w:top w:val="none" w:sz="0" w:space="0" w:color="auto"/>
            <w:left w:val="none" w:sz="0" w:space="0" w:color="auto"/>
            <w:bottom w:val="none" w:sz="0" w:space="0" w:color="auto"/>
            <w:right w:val="none" w:sz="0" w:space="0" w:color="auto"/>
          </w:divBdr>
        </w:div>
        <w:div w:id="604726848">
          <w:marLeft w:val="480"/>
          <w:marRight w:val="0"/>
          <w:marTop w:val="0"/>
          <w:marBottom w:val="0"/>
          <w:divBdr>
            <w:top w:val="none" w:sz="0" w:space="0" w:color="auto"/>
            <w:left w:val="none" w:sz="0" w:space="0" w:color="auto"/>
            <w:bottom w:val="none" w:sz="0" w:space="0" w:color="auto"/>
            <w:right w:val="none" w:sz="0" w:space="0" w:color="auto"/>
          </w:divBdr>
        </w:div>
        <w:div w:id="493451251">
          <w:marLeft w:val="480"/>
          <w:marRight w:val="0"/>
          <w:marTop w:val="0"/>
          <w:marBottom w:val="0"/>
          <w:divBdr>
            <w:top w:val="none" w:sz="0" w:space="0" w:color="auto"/>
            <w:left w:val="none" w:sz="0" w:space="0" w:color="auto"/>
            <w:bottom w:val="none" w:sz="0" w:space="0" w:color="auto"/>
            <w:right w:val="none" w:sz="0" w:space="0" w:color="auto"/>
          </w:divBdr>
        </w:div>
        <w:div w:id="88238519">
          <w:marLeft w:val="480"/>
          <w:marRight w:val="0"/>
          <w:marTop w:val="0"/>
          <w:marBottom w:val="0"/>
          <w:divBdr>
            <w:top w:val="none" w:sz="0" w:space="0" w:color="auto"/>
            <w:left w:val="none" w:sz="0" w:space="0" w:color="auto"/>
            <w:bottom w:val="none" w:sz="0" w:space="0" w:color="auto"/>
            <w:right w:val="none" w:sz="0" w:space="0" w:color="auto"/>
          </w:divBdr>
        </w:div>
        <w:div w:id="1455172846">
          <w:marLeft w:val="480"/>
          <w:marRight w:val="0"/>
          <w:marTop w:val="0"/>
          <w:marBottom w:val="0"/>
          <w:divBdr>
            <w:top w:val="none" w:sz="0" w:space="0" w:color="auto"/>
            <w:left w:val="none" w:sz="0" w:space="0" w:color="auto"/>
            <w:bottom w:val="none" w:sz="0" w:space="0" w:color="auto"/>
            <w:right w:val="none" w:sz="0" w:space="0" w:color="auto"/>
          </w:divBdr>
        </w:div>
        <w:div w:id="1210651040">
          <w:marLeft w:val="480"/>
          <w:marRight w:val="0"/>
          <w:marTop w:val="0"/>
          <w:marBottom w:val="0"/>
          <w:divBdr>
            <w:top w:val="none" w:sz="0" w:space="0" w:color="auto"/>
            <w:left w:val="none" w:sz="0" w:space="0" w:color="auto"/>
            <w:bottom w:val="none" w:sz="0" w:space="0" w:color="auto"/>
            <w:right w:val="none" w:sz="0" w:space="0" w:color="auto"/>
          </w:divBdr>
        </w:div>
        <w:div w:id="2042589673">
          <w:marLeft w:val="480"/>
          <w:marRight w:val="0"/>
          <w:marTop w:val="0"/>
          <w:marBottom w:val="0"/>
          <w:divBdr>
            <w:top w:val="none" w:sz="0" w:space="0" w:color="auto"/>
            <w:left w:val="none" w:sz="0" w:space="0" w:color="auto"/>
            <w:bottom w:val="none" w:sz="0" w:space="0" w:color="auto"/>
            <w:right w:val="none" w:sz="0" w:space="0" w:color="auto"/>
          </w:divBdr>
        </w:div>
        <w:div w:id="1807813905">
          <w:marLeft w:val="480"/>
          <w:marRight w:val="0"/>
          <w:marTop w:val="0"/>
          <w:marBottom w:val="0"/>
          <w:divBdr>
            <w:top w:val="none" w:sz="0" w:space="0" w:color="auto"/>
            <w:left w:val="none" w:sz="0" w:space="0" w:color="auto"/>
            <w:bottom w:val="none" w:sz="0" w:space="0" w:color="auto"/>
            <w:right w:val="none" w:sz="0" w:space="0" w:color="auto"/>
          </w:divBdr>
        </w:div>
        <w:div w:id="1140611226">
          <w:marLeft w:val="480"/>
          <w:marRight w:val="0"/>
          <w:marTop w:val="0"/>
          <w:marBottom w:val="0"/>
          <w:divBdr>
            <w:top w:val="none" w:sz="0" w:space="0" w:color="auto"/>
            <w:left w:val="none" w:sz="0" w:space="0" w:color="auto"/>
            <w:bottom w:val="none" w:sz="0" w:space="0" w:color="auto"/>
            <w:right w:val="none" w:sz="0" w:space="0" w:color="auto"/>
          </w:divBdr>
        </w:div>
        <w:div w:id="1067723839">
          <w:marLeft w:val="480"/>
          <w:marRight w:val="0"/>
          <w:marTop w:val="0"/>
          <w:marBottom w:val="0"/>
          <w:divBdr>
            <w:top w:val="none" w:sz="0" w:space="0" w:color="auto"/>
            <w:left w:val="none" w:sz="0" w:space="0" w:color="auto"/>
            <w:bottom w:val="none" w:sz="0" w:space="0" w:color="auto"/>
            <w:right w:val="none" w:sz="0" w:space="0" w:color="auto"/>
          </w:divBdr>
        </w:div>
        <w:div w:id="1693190779">
          <w:marLeft w:val="480"/>
          <w:marRight w:val="0"/>
          <w:marTop w:val="0"/>
          <w:marBottom w:val="0"/>
          <w:divBdr>
            <w:top w:val="none" w:sz="0" w:space="0" w:color="auto"/>
            <w:left w:val="none" w:sz="0" w:space="0" w:color="auto"/>
            <w:bottom w:val="none" w:sz="0" w:space="0" w:color="auto"/>
            <w:right w:val="none" w:sz="0" w:space="0" w:color="auto"/>
          </w:divBdr>
        </w:div>
        <w:div w:id="832648120">
          <w:marLeft w:val="480"/>
          <w:marRight w:val="0"/>
          <w:marTop w:val="0"/>
          <w:marBottom w:val="0"/>
          <w:divBdr>
            <w:top w:val="none" w:sz="0" w:space="0" w:color="auto"/>
            <w:left w:val="none" w:sz="0" w:space="0" w:color="auto"/>
            <w:bottom w:val="none" w:sz="0" w:space="0" w:color="auto"/>
            <w:right w:val="none" w:sz="0" w:space="0" w:color="auto"/>
          </w:divBdr>
        </w:div>
        <w:div w:id="1693261091">
          <w:marLeft w:val="480"/>
          <w:marRight w:val="0"/>
          <w:marTop w:val="0"/>
          <w:marBottom w:val="0"/>
          <w:divBdr>
            <w:top w:val="none" w:sz="0" w:space="0" w:color="auto"/>
            <w:left w:val="none" w:sz="0" w:space="0" w:color="auto"/>
            <w:bottom w:val="none" w:sz="0" w:space="0" w:color="auto"/>
            <w:right w:val="none" w:sz="0" w:space="0" w:color="auto"/>
          </w:divBdr>
        </w:div>
        <w:div w:id="2013137728">
          <w:marLeft w:val="480"/>
          <w:marRight w:val="0"/>
          <w:marTop w:val="0"/>
          <w:marBottom w:val="0"/>
          <w:divBdr>
            <w:top w:val="none" w:sz="0" w:space="0" w:color="auto"/>
            <w:left w:val="none" w:sz="0" w:space="0" w:color="auto"/>
            <w:bottom w:val="none" w:sz="0" w:space="0" w:color="auto"/>
            <w:right w:val="none" w:sz="0" w:space="0" w:color="auto"/>
          </w:divBdr>
        </w:div>
        <w:div w:id="103770578">
          <w:marLeft w:val="480"/>
          <w:marRight w:val="0"/>
          <w:marTop w:val="0"/>
          <w:marBottom w:val="0"/>
          <w:divBdr>
            <w:top w:val="none" w:sz="0" w:space="0" w:color="auto"/>
            <w:left w:val="none" w:sz="0" w:space="0" w:color="auto"/>
            <w:bottom w:val="none" w:sz="0" w:space="0" w:color="auto"/>
            <w:right w:val="none" w:sz="0" w:space="0" w:color="auto"/>
          </w:divBdr>
        </w:div>
        <w:div w:id="728457833">
          <w:marLeft w:val="480"/>
          <w:marRight w:val="0"/>
          <w:marTop w:val="0"/>
          <w:marBottom w:val="0"/>
          <w:divBdr>
            <w:top w:val="none" w:sz="0" w:space="0" w:color="auto"/>
            <w:left w:val="none" w:sz="0" w:space="0" w:color="auto"/>
            <w:bottom w:val="none" w:sz="0" w:space="0" w:color="auto"/>
            <w:right w:val="none" w:sz="0" w:space="0" w:color="auto"/>
          </w:divBdr>
        </w:div>
        <w:div w:id="449711332">
          <w:marLeft w:val="480"/>
          <w:marRight w:val="0"/>
          <w:marTop w:val="0"/>
          <w:marBottom w:val="0"/>
          <w:divBdr>
            <w:top w:val="none" w:sz="0" w:space="0" w:color="auto"/>
            <w:left w:val="none" w:sz="0" w:space="0" w:color="auto"/>
            <w:bottom w:val="none" w:sz="0" w:space="0" w:color="auto"/>
            <w:right w:val="none" w:sz="0" w:space="0" w:color="auto"/>
          </w:divBdr>
        </w:div>
        <w:div w:id="162822848">
          <w:marLeft w:val="480"/>
          <w:marRight w:val="0"/>
          <w:marTop w:val="0"/>
          <w:marBottom w:val="0"/>
          <w:divBdr>
            <w:top w:val="none" w:sz="0" w:space="0" w:color="auto"/>
            <w:left w:val="none" w:sz="0" w:space="0" w:color="auto"/>
            <w:bottom w:val="none" w:sz="0" w:space="0" w:color="auto"/>
            <w:right w:val="none" w:sz="0" w:space="0" w:color="auto"/>
          </w:divBdr>
        </w:div>
        <w:div w:id="1446272801">
          <w:marLeft w:val="480"/>
          <w:marRight w:val="0"/>
          <w:marTop w:val="0"/>
          <w:marBottom w:val="0"/>
          <w:divBdr>
            <w:top w:val="none" w:sz="0" w:space="0" w:color="auto"/>
            <w:left w:val="none" w:sz="0" w:space="0" w:color="auto"/>
            <w:bottom w:val="none" w:sz="0" w:space="0" w:color="auto"/>
            <w:right w:val="none" w:sz="0" w:space="0" w:color="auto"/>
          </w:divBdr>
        </w:div>
        <w:div w:id="379130756">
          <w:marLeft w:val="480"/>
          <w:marRight w:val="0"/>
          <w:marTop w:val="0"/>
          <w:marBottom w:val="0"/>
          <w:divBdr>
            <w:top w:val="none" w:sz="0" w:space="0" w:color="auto"/>
            <w:left w:val="none" w:sz="0" w:space="0" w:color="auto"/>
            <w:bottom w:val="none" w:sz="0" w:space="0" w:color="auto"/>
            <w:right w:val="none" w:sz="0" w:space="0" w:color="auto"/>
          </w:divBdr>
        </w:div>
        <w:div w:id="260846185">
          <w:marLeft w:val="480"/>
          <w:marRight w:val="0"/>
          <w:marTop w:val="0"/>
          <w:marBottom w:val="0"/>
          <w:divBdr>
            <w:top w:val="none" w:sz="0" w:space="0" w:color="auto"/>
            <w:left w:val="none" w:sz="0" w:space="0" w:color="auto"/>
            <w:bottom w:val="none" w:sz="0" w:space="0" w:color="auto"/>
            <w:right w:val="none" w:sz="0" w:space="0" w:color="auto"/>
          </w:divBdr>
        </w:div>
        <w:div w:id="446125519">
          <w:marLeft w:val="480"/>
          <w:marRight w:val="0"/>
          <w:marTop w:val="0"/>
          <w:marBottom w:val="0"/>
          <w:divBdr>
            <w:top w:val="none" w:sz="0" w:space="0" w:color="auto"/>
            <w:left w:val="none" w:sz="0" w:space="0" w:color="auto"/>
            <w:bottom w:val="none" w:sz="0" w:space="0" w:color="auto"/>
            <w:right w:val="none" w:sz="0" w:space="0" w:color="auto"/>
          </w:divBdr>
        </w:div>
        <w:div w:id="1781878617">
          <w:marLeft w:val="480"/>
          <w:marRight w:val="0"/>
          <w:marTop w:val="0"/>
          <w:marBottom w:val="0"/>
          <w:divBdr>
            <w:top w:val="none" w:sz="0" w:space="0" w:color="auto"/>
            <w:left w:val="none" w:sz="0" w:space="0" w:color="auto"/>
            <w:bottom w:val="none" w:sz="0" w:space="0" w:color="auto"/>
            <w:right w:val="none" w:sz="0" w:space="0" w:color="auto"/>
          </w:divBdr>
        </w:div>
        <w:div w:id="283194522">
          <w:marLeft w:val="480"/>
          <w:marRight w:val="0"/>
          <w:marTop w:val="0"/>
          <w:marBottom w:val="0"/>
          <w:divBdr>
            <w:top w:val="none" w:sz="0" w:space="0" w:color="auto"/>
            <w:left w:val="none" w:sz="0" w:space="0" w:color="auto"/>
            <w:bottom w:val="none" w:sz="0" w:space="0" w:color="auto"/>
            <w:right w:val="none" w:sz="0" w:space="0" w:color="auto"/>
          </w:divBdr>
        </w:div>
        <w:div w:id="24985770">
          <w:marLeft w:val="480"/>
          <w:marRight w:val="0"/>
          <w:marTop w:val="0"/>
          <w:marBottom w:val="0"/>
          <w:divBdr>
            <w:top w:val="none" w:sz="0" w:space="0" w:color="auto"/>
            <w:left w:val="none" w:sz="0" w:space="0" w:color="auto"/>
            <w:bottom w:val="none" w:sz="0" w:space="0" w:color="auto"/>
            <w:right w:val="none" w:sz="0" w:space="0" w:color="auto"/>
          </w:divBdr>
        </w:div>
        <w:div w:id="520704291">
          <w:marLeft w:val="480"/>
          <w:marRight w:val="0"/>
          <w:marTop w:val="0"/>
          <w:marBottom w:val="0"/>
          <w:divBdr>
            <w:top w:val="none" w:sz="0" w:space="0" w:color="auto"/>
            <w:left w:val="none" w:sz="0" w:space="0" w:color="auto"/>
            <w:bottom w:val="none" w:sz="0" w:space="0" w:color="auto"/>
            <w:right w:val="none" w:sz="0" w:space="0" w:color="auto"/>
          </w:divBdr>
        </w:div>
        <w:div w:id="867138943">
          <w:marLeft w:val="480"/>
          <w:marRight w:val="0"/>
          <w:marTop w:val="0"/>
          <w:marBottom w:val="0"/>
          <w:divBdr>
            <w:top w:val="none" w:sz="0" w:space="0" w:color="auto"/>
            <w:left w:val="none" w:sz="0" w:space="0" w:color="auto"/>
            <w:bottom w:val="none" w:sz="0" w:space="0" w:color="auto"/>
            <w:right w:val="none" w:sz="0" w:space="0" w:color="auto"/>
          </w:divBdr>
        </w:div>
        <w:div w:id="28799852">
          <w:marLeft w:val="480"/>
          <w:marRight w:val="0"/>
          <w:marTop w:val="0"/>
          <w:marBottom w:val="0"/>
          <w:divBdr>
            <w:top w:val="none" w:sz="0" w:space="0" w:color="auto"/>
            <w:left w:val="none" w:sz="0" w:space="0" w:color="auto"/>
            <w:bottom w:val="none" w:sz="0" w:space="0" w:color="auto"/>
            <w:right w:val="none" w:sz="0" w:space="0" w:color="auto"/>
          </w:divBdr>
        </w:div>
        <w:div w:id="304238321">
          <w:marLeft w:val="480"/>
          <w:marRight w:val="0"/>
          <w:marTop w:val="0"/>
          <w:marBottom w:val="0"/>
          <w:divBdr>
            <w:top w:val="none" w:sz="0" w:space="0" w:color="auto"/>
            <w:left w:val="none" w:sz="0" w:space="0" w:color="auto"/>
            <w:bottom w:val="none" w:sz="0" w:space="0" w:color="auto"/>
            <w:right w:val="none" w:sz="0" w:space="0" w:color="auto"/>
          </w:divBdr>
        </w:div>
        <w:div w:id="1381514682">
          <w:marLeft w:val="480"/>
          <w:marRight w:val="0"/>
          <w:marTop w:val="0"/>
          <w:marBottom w:val="0"/>
          <w:divBdr>
            <w:top w:val="none" w:sz="0" w:space="0" w:color="auto"/>
            <w:left w:val="none" w:sz="0" w:space="0" w:color="auto"/>
            <w:bottom w:val="none" w:sz="0" w:space="0" w:color="auto"/>
            <w:right w:val="none" w:sz="0" w:space="0" w:color="auto"/>
          </w:divBdr>
        </w:div>
        <w:div w:id="1747610024">
          <w:marLeft w:val="480"/>
          <w:marRight w:val="0"/>
          <w:marTop w:val="0"/>
          <w:marBottom w:val="0"/>
          <w:divBdr>
            <w:top w:val="none" w:sz="0" w:space="0" w:color="auto"/>
            <w:left w:val="none" w:sz="0" w:space="0" w:color="auto"/>
            <w:bottom w:val="none" w:sz="0" w:space="0" w:color="auto"/>
            <w:right w:val="none" w:sz="0" w:space="0" w:color="auto"/>
          </w:divBdr>
        </w:div>
        <w:div w:id="344210936">
          <w:marLeft w:val="480"/>
          <w:marRight w:val="0"/>
          <w:marTop w:val="0"/>
          <w:marBottom w:val="0"/>
          <w:divBdr>
            <w:top w:val="none" w:sz="0" w:space="0" w:color="auto"/>
            <w:left w:val="none" w:sz="0" w:space="0" w:color="auto"/>
            <w:bottom w:val="none" w:sz="0" w:space="0" w:color="auto"/>
            <w:right w:val="none" w:sz="0" w:space="0" w:color="auto"/>
          </w:divBdr>
        </w:div>
        <w:div w:id="239295668">
          <w:marLeft w:val="480"/>
          <w:marRight w:val="0"/>
          <w:marTop w:val="0"/>
          <w:marBottom w:val="0"/>
          <w:divBdr>
            <w:top w:val="none" w:sz="0" w:space="0" w:color="auto"/>
            <w:left w:val="none" w:sz="0" w:space="0" w:color="auto"/>
            <w:bottom w:val="none" w:sz="0" w:space="0" w:color="auto"/>
            <w:right w:val="none" w:sz="0" w:space="0" w:color="auto"/>
          </w:divBdr>
        </w:div>
        <w:div w:id="1847984341">
          <w:marLeft w:val="480"/>
          <w:marRight w:val="0"/>
          <w:marTop w:val="0"/>
          <w:marBottom w:val="0"/>
          <w:divBdr>
            <w:top w:val="none" w:sz="0" w:space="0" w:color="auto"/>
            <w:left w:val="none" w:sz="0" w:space="0" w:color="auto"/>
            <w:bottom w:val="none" w:sz="0" w:space="0" w:color="auto"/>
            <w:right w:val="none" w:sz="0" w:space="0" w:color="auto"/>
          </w:divBdr>
        </w:div>
        <w:div w:id="179054703">
          <w:marLeft w:val="480"/>
          <w:marRight w:val="0"/>
          <w:marTop w:val="0"/>
          <w:marBottom w:val="0"/>
          <w:divBdr>
            <w:top w:val="none" w:sz="0" w:space="0" w:color="auto"/>
            <w:left w:val="none" w:sz="0" w:space="0" w:color="auto"/>
            <w:bottom w:val="none" w:sz="0" w:space="0" w:color="auto"/>
            <w:right w:val="none" w:sz="0" w:space="0" w:color="auto"/>
          </w:divBdr>
        </w:div>
        <w:div w:id="539441039">
          <w:marLeft w:val="480"/>
          <w:marRight w:val="0"/>
          <w:marTop w:val="0"/>
          <w:marBottom w:val="0"/>
          <w:divBdr>
            <w:top w:val="none" w:sz="0" w:space="0" w:color="auto"/>
            <w:left w:val="none" w:sz="0" w:space="0" w:color="auto"/>
            <w:bottom w:val="none" w:sz="0" w:space="0" w:color="auto"/>
            <w:right w:val="none" w:sz="0" w:space="0" w:color="auto"/>
          </w:divBdr>
        </w:div>
        <w:div w:id="1602488594">
          <w:marLeft w:val="480"/>
          <w:marRight w:val="0"/>
          <w:marTop w:val="0"/>
          <w:marBottom w:val="0"/>
          <w:divBdr>
            <w:top w:val="none" w:sz="0" w:space="0" w:color="auto"/>
            <w:left w:val="none" w:sz="0" w:space="0" w:color="auto"/>
            <w:bottom w:val="none" w:sz="0" w:space="0" w:color="auto"/>
            <w:right w:val="none" w:sz="0" w:space="0" w:color="auto"/>
          </w:divBdr>
        </w:div>
        <w:div w:id="1970890210">
          <w:marLeft w:val="480"/>
          <w:marRight w:val="0"/>
          <w:marTop w:val="0"/>
          <w:marBottom w:val="0"/>
          <w:divBdr>
            <w:top w:val="none" w:sz="0" w:space="0" w:color="auto"/>
            <w:left w:val="none" w:sz="0" w:space="0" w:color="auto"/>
            <w:bottom w:val="none" w:sz="0" w:space="0" w:color="auto"/>
            <w:right w:val="none" w:sz="0" w:space="0" w:color="auto"/>
          </w:divBdr>
        </w:div>
        <w:div w:id="1196893785">
          <w:marLeft w:val="480"/>
          <w:marRight w:val="0"/>
          <w:marTop w:val="0"/>
          <w:marBottom w:val="0"/>
          <w:divBdr>
            <w:top w:val="none" w:sz="0" w:space="0" w:color="auto"/>
            <w:left w:val="none" w:sz="0" w:space="0" w:color="auto"/>
            <w:bottom w:val="none" w:sz="0" w:space="0" w:color="auto"/>
            <w:right w:val="none" w:sz="0" w:space="0" w:color="auto"/>
          </w:divBdr>
        </w:div>
        <w:div w:id="935526802">
          <w:marLeft w:val="480"/>
          <w:marRight w:val="0"/>
          <w:marTop w:val="0"/>
          <w:marBottom w:val="0"/>
          <w:divBdr>
            <w:top w:val="none" w:sz="0" w:space="0" w:color="auto"/>
            <w:left w:val="none" w:sz="0" w:space="0" w:color="auto"/>
            <w:bottom w:val="none" w:sz="0" w:space="0" w:color="auto"/>
            <w:right w:val="none" w:sz="0" w:space="0" w:color="auto"/>
          </w:divBdr>
        </w:div>
        <w:div w:id="1215503039">
          <w:marLeft w:val="480"/>
          <w:marRight w:val="0"/>
          <w:marTop w:val="0"/>
          <w:marBottom w:val="0"/>
          <w:divBdr>
            <w:top w:val="none" w:sz="0" w:space="0" w:color="auto"/>
            <w:left w:val="none" w:sz="0" w:space="0" w:color="auto"/>
            <w:bottom w:val="none" w:sz="0" w:space="0" w:color="auto"/>
            <w:right w:val="none" w:sz="0" w:space="0" w:color="auto"/>
          </w:divBdr>
        </w:div>
        <w:div w:id="560288201">
          <w:marLeft w:val="480"/>
          <w:marRight w:val="0"/>
          <w:marTop w:val="0"/>
          <w:marBottom w:val="0"/>
          <w:divBdr>
            <w:top w:val="none" w:sz="0" w:space="0" w:color="auto"/>
            <w:left w:val="none" w:sz="0" w:space="0" w:color="auto"/>
            <w:bottom w:val="none" w:sz="0" w:space="0" w:color="auto"/>
            <w:right w:val="none" w:sz="0" w:space="0" w:color="auto"/>
          </w:divBdr>
        </w:div>
        <w:div w:id="1762608044">
          <w:marLeft w:val="480"/>
          <w:marRight w:val="0"/>
          <w:marTop w:val="0"/>
          <w:marBottom w:val="0"/>
          <w:divBdr>
            <w:top w:val="none" w:sz="0" w:space="0" w:color="auto"/>
            <w:left w:val="none" w:sz="0" w:space="0" w:color="auto"/>
            <w:bottom w:val="none" w:sz="0" w:space="0" w:color="auto"/>
            <w:right w:val="none" w:sz="0" w:space="0" w:color="auto"/>
          </w:divBdr>
        </w:div>
        <w:div w:id="828521754">
          <w:marLeft w:val="480"/>
          <w:marRight w:val="0"/>
          <w:marTop w:val="0"/>
          <w:marBottom w:val="0"/>
          <w:divBdr>
            <w:top w:val="none" w:sz="0" w:space="0" w:color="auto"/>
            <w:left w:val="none" w:sz="0" w:space="0" w:color="auto"/>
            <w:bottom w:val="none" w:sz="0" w:space="0" w:color="auto"/>
            <w:right w:val="none" w:sz="0" w:space="0" w:color="auto"/>
          </w:divBdr>
        </w:div>
        <w:div w:id="1140924689">
          <w:marLeft w:val="480"/>
          <w:marRight w:val="0"/>
          <w:marTop w:val="0"/>
          <w:marBottom w:val="0"/>
          <w:divBdr>
            <w:top w:val="none" w:sz="0" w:space="0" w:color="auto"/>
            <w:left w:val="none" w:sz="0" w:space="0" w:color="auto"/>
            <w:bottom w:val="none" w:sz="0" w:space="0" w:color="auto"/>
            <w:right w:val="none" w:sz="0" w:space="0" w:color="auto"/>
          </w:divBdr>
        </w:div>
        <w:div w:id="518616522">
          <w:marLeft w:val="480"/>
          <w:marRight w:val="0"/>
          <w:marTop w:val="0"/>
          <w:marBottom w:val="0"/>
          <w:divBdr>
            <w:top w:val="none" w:sz="0" w:space="0" w:color="auto"/>
            <w:left w:val="none" w:sz="0" w:space="0" w:color="auto"/>
            <w:bottom w:val="none" w:sz="0" w:space="0" w:color="auto"/>
            <w:right w:val="none" w:sz="0" w:space="0" w:color="auto"/>
          </w:divBdr>
        </w:div>
        <w:div w:id="654844981">
          <w:marLeft w:val="480"/>
          <w:marRight w:val="0"/>
          <w:marTop w:val="0"/>
          <w:marBottom w:val="0"/>
          <w:divBdr>
            <w:top w:val="none" w:sz="0" w:space="0" w:color="auto"/>
            <w:left w:val="none" w:sz="0" w:space="0" w:color="auto"/>
            <w:bottom w:val="none" w:sz="0" w:space="0" w:color="auto"/>
            <w:right w:val="none" w:sz="0" w:space="0" w:color="auto"/>
          </w:divBdr>
        </w:div>
        <w:div w:id="1258099770">
          <w:marLeft w:val="480"/>
          <w:marRight w:val="0"/>
          <w:marTop w:val="0"/>
          <w:marBottom w:val="0"/>
          <w:divBdr>
            <w:top w:val="none" w:sz="0" w:space="0" w:color="auto"/>
            <w:left w:val="none" w:sz="0" w:space="0" w:color="auto"/>
            <w:bottom w:val="none" w:sz="0" w:space="0" w:color="auto"/>
            <w:right w:val="none" w:sz="0" w:space="0" w:color="auto"/>
          </w:divBdr>
        </w:div>
        <w:div w:id="1494832210">
          <w:marLeft w:val="480"/>
          <w:marRight w:val="0"/>
          <w:marTop w:val="0"/>
          <w:marBottom w:val="0"/>
          <w:divBdr>
            <w:top w:val="none" w:sz="0" w:space="0" w:color="auto"/>
            <w:left w:val="none" w:sz="0" w:space="0" w:color="auto"/>
            <w:bottom w:val="none" w:sz="0" w:space="0" w:color="auto"/>
            <w:right w:val="none" w:sz="0" w:space="0" w:color="auto"/>
          </w:divBdr>
        </w:div>
        <w:div w:id="1154762349">
          <w:marLeft w:val="480"/>
          <w:marRight w:val="0"/>
          <w:marTop w:val="0"/>
          <w:marBottom w:val="0"/>
          <w:divBdr>
            <w:top w:val="none" w:sz="0" w:space="0" w:color="auto"/>
            <w:left w:val="none" w:sz="0" w:space="0" w:color="auto"/>
            <w:bottom w:val="none" w:sz="0" w:space="0" w:color="auto"/>
            <w:right w:val="none" w:sz="0" w:space="0" w:color="auto"/>
          </w:divBdr>
        </w:div>
        <w:div w:id="1414742128">
          <w:marLeft w:val="480"/>
          <w:marRight w:val="0"/>
          <w:marTop w:val="0"/>
          <w:marBottom w:val="0"/>
          <w:divBdr>
            <w:top w:val="none" w:sz="0" w:space="0" w:color="auto"/>
            <w:left w:val="none" w:sz="0" w:space="0" w:color="auto"/>
            <w:bottom w:val="none" w:sz="0" w:space="0" w:color="auto"/>
            <w:right w:val="none" w:sz="0" w:space="0" w:color="auto"/>
          </w:divBdr>
        </w:div>
        <w:div w:id="1427460507">
          <w:marLeft w:val="480"/>
          <w:marRight w:val="0"/>
          <w:marTop w:val="0"/>
          <w:marBottom w:val="0"/>
          <w:divBdr>
            <w:top w:val="none" w:sz="0" w:space="0" w:color="auto"/>
            <w:left w:val="none" w:sz="0" w:space="0" w:color="auto"/>
            <w:bottom w:val="none" w:sz="0" w:space="0" w:color="auto"/>
            <w:right w:val="none" w:sz="0" w:space="0" w:color="auto"/>
          </w:divBdr>
        </w:div>
        <w:div w:id="1220635223">
          <w:marLeft w:val="480"/>
          <w:marRight w:val="0"/>
          <w:marTop w:val="0"/>
          <w:marBottom w:val="0"/>
          <w:divBdr>
            <w:top w:val="none" w:sz="0" w:space="0" w:color="auto"/>
            <w:left w:val="none" w:sz="0" w:space="0" w:color="auto"/>
            <w:bottom w:val="none" w:sz="0" w:space="0" w:color="auto"/>
            <w:right w:val="none" w:sz="0" w:space="0" w:color="auto"/>
          </w:divBdr>
        </w:div>
        <w:div w:id="658390233">
          <w:marLeft w:val="480"/>
          <w:marRight w:val="0"/>
          <w:marTop w:val="0"/>
          <w:marBottom w:val="0"/>
          <w:divBdr>
            <w:top w:val="none" w:sz="0" w:space="0" w:color="auto"/>
            <w:left w:val="none" w:sz="0" w:space="0" w:color="auto"/>
            <w:bottom w:val="none" w:sz="0" w:space="0" w:color="auto"/>
            <w:right w:val="none" w:sz="0" w:space="0" w:color="auto"/>
          </w:divBdr>
        </w:div>
        <w:div w:id="323363473">
          <w:marLeft w:val="480"/>
          <w:marRight w:val="0"/>
          <w:marTop w:val="0"/>
          <w:marBottom w:val="0"/>
          <w:divBdr>
            <w:top w:val="none" w:sz="0" w:space="0" w:color="auto"/>
            <w:left w:val="none" w:sz="0" w:space="0" w:color="auto"/>
            <w:bottom w:val="none" w:sz="0" w:space="0" w:color="auto"/>
            <w:right w:val="none" w:sz="0" w:space="0" w:color="auto"/>
          </w:divBdr>
        </w:div>
        <w:div w:id="934090264">
          <w:marLeft w:val="480"/>
          <w:marRight w:val="0"/>
          <w:marTop w:val="0"/>
          <w:marBottom w:val="0"/>
          <w:divBdr>
            <w:top w:val="none" w:sz="0" w:space="0" w:color="auto"/>
            <w:left w:val="none" w:sz="0" w:space="0" w:color="auto"/>
            <w:bottom w:val="none" w:sz="0" w:space="0" w:color="auto"/>
            <w:right w:val="none" w:sz="0" w:space="0" w:color="auto"/>
          </w:divBdr>
        </w:div>
        <w:div w:id="590352602">
          <w:marLeft w:val="480"/>
          <w:marRight w:val="0"/>
          <w:marTop w:val="0"/>
          <w:marBottom w:val="0"/>
          <w:divBdr>
            <w:top w:val="none" w:sz="0" w:space="0" w:color="auto"/>
            <w:left w:val="none" w:sz="0" w:space="0" w:color="auto"/>
            <w:bottom w:val="none" w:sz="0" w:space="0" w:color="auto"/>
            <w:right w:val="none" w:sz="0" w:space="0" w:color="auto"/>
          </w:divBdr>
        </w:div>
        <w:div w:id="2011058111">
          <w:marLeft w:val="480"/>
          <w:marRight w:val="0"/>
          <w:marTop w:val="0"/>
          <w:marBottom w:val="0"/>
          <w:divBdr>
            <w:top w:val="none" w:sz="0" w:space="0" w:color="auto"/>
            <w:left w:val="none" w:sz="0" w:space="0" w:color="auto"/>
            <w:bottom w:val="none" w:sz="0" w:space="0" w:color="auto"/>
            <w:right w:val="none" w:sz="0" w:space="0" w:color="auto"/>
          </w:divBdr>
        </w:div>
        <w:div w:id="1105266745">
          <w:marLeft w:val="480"/>
          <w:marRight w:val="0"/>
          <w:marTop w:val="0"/>
          <w:marBottom w:val="0"/>
          <w:divBdr>
            <w:top w:val="none" w:sz="0" w:space="0" w:color="auto"/>
            <w:left w:val="none" w:sz="0" w:space="0" w:color="auto"/>
            <w:bottom w:val="none" w:sz="0" w:space="0" w:color="auto"/>
            <w:right w:val="none" w:sz="0" w:space="0" w:color="auto"/>
          </w:divBdr>
        </w:div>
        <w:div w:id="1152136580">
          <w:marLeft w:val="480"/>
          <w:marRight w:val="0"/>
          <w:marTop w:val="0"/>
          <w:marBottom w:val="0"/>
          <w:divBdr>
            <w:top w:val="none" w:sz="0" w:space="0" w:color="auto"/>
            <w:left w:val="none" w:sz="0" w:space="0" w:color="auto"/>
            <w:bottom w:val="none" w:sz="0" w:space="0" w:color="auto"/>
            <w:right w:val="none" w:sz="0" w:space="0" w:color="auto"/>
          </w:divBdr>
        </w:div>
        <w:div w:id="1377773568">
          <w:marLeft w:val="480"/>
          <w:marRight w:val="0"/>
          <w:marTop w:val="0"/>
          <w:marBottom w:val="0"/>
          <w:divBdr>
            <w:top w:val="none" w:sz="0" w:space="0" w:color="auto"/>
            <w:left w:val="none" w:sz="0" w:space="0" w:color="auto"/>
            <w:bottom w:val="none" w:sz="0" w:space="0" w:color="auto"/>
            <w:right w:val="none" w:sz="0" w:space="0" w:color="auto"/>
          </w:divBdr>
        </w:div>
        <w:div w:id="202865136">
          <w:marLeft w:val="480"/>
          <w:marRight w:val="0"/>
          <w:marTop w:val="0"/>
          <w:marBottom w:val="0"/>
          <w:divBdr>
            <w:top w:val="none" w:sz="0" w:space="0" w:color="auto"/>
            <w:left w:val="none" w:sz="0" w:space="0" w:color="auto"/>
            <w:bottom w:val="none" w:sz="0" w:space="0" w:color="auto"/>
            <w:right w:val="none" w:sz="0" w:space="0" w:color="auto"/>
          </w:divBdr>
        </w:div>
        <w:div w:id="1557470936">
          <w:marLeft w:val="480"/>
          <w:marRight w:val="0"/>
          <w:marTop w:val="0"/>
          <w:marBottom w:val="0"/>
          <w:divBdr>
            <w:top w:val="none" w:sz="0" w:space="0" w:color="auto"/>
            <w:left w:val="none" w:sz="0" w:space="0" w:color="auto"/>
            <w:bottom w:val="none" w:sz="0" w:space="0" w:color="auto"/>
            <w:right w:val="none" w:sz="0" w:space="0" w:color="auto"/>
          </w:divBdr>
        </w:div>
        <w:div w:id="928345761">
          <w:marLeft w:val="480"/>
          <w:marRight w:val="0"/>
          <w:marTop w:val="0"/>
          <w:marBottom w:val="0"/>
          <w:divBdr>
            <w:top w:val="none" w:sz="0" w:space="0" w:color="auto"/>
            <w:left w:val="none" w:sz="0" w:space="0" w:color="auto"/>
            <w:bottom w:val="none" w:sz="0" w:space="0" w:color="auto"/>
            <w:right w:val="none" w:sz="0" w:space="0" w:color="auto"/>
          </w:divBdr>
        </w:div>
        <w:div w:id="1574579615">
          <w:marLeft w:val="480"/>
          <w:marRight w:val="0"/>
          <w:marTop w:val="0"/>
          <w:marBottom w:val="0"/>
          <w:divBdr>
            <w:top w:val="none" w:sz="0" w:space="0" w:color="auto"/>
            <w:left w:val="none" w:sz="0" w:space="0" w:color="auto"/>
            <w:bottom w:val="none" w:sz="0" w:space="0" w:color="auto"/>
            <w:right w:val="none" w:sz="0" w:space="0" w:color="auto"/>
          </w:divBdr>
        </w:div>
        <w:div w:id="696082187">
          <w:marLeft w:val="480"/>
          <w:marRight w:val="0"/>
          <w:marTop w:val="0"/>
          <w:marBottom w:val="0"/>
          <w:divBdr>
            <w:top w:val="none" w:sz="0" w:space="0" w:color="auto"/>
            <w:left w:val="none" w:sz="0" w:space="0" w:color="auto"/>
            <w:bottom w:val="none" w:sz="0" w:space="0" w:color="auto"/>
            <w:right w:val="none" w:sz="0" w:space="0" w:color="auto"/>
          </w:divBdr>
        </w:div>
        <w:div w:id="782186020">
          <w:marLeft w:val="480"/>
          <w:marRight w:val="0"/>
          <w:marTop w:val="0"/>
          <w:marBottom w:val="0"/>
          <w:divBdr>
            <w:top w:val="none" w:sz="0" w:space="0" w:color="auto"/>
            <w:left w:val="none" w:sz="0" w:space="0" w:color="auto"/>
            <w:bottom w:val="none" w:sz="0" w:space="0" w:color="auto"/>
            <w:right w:val="none" w:sz="0" w:space="0" w:color="auto"/>
          </w:divBdr>
        </w:div>
        <w:div w:id="1596784735">
          <w:marLeft w:val="480"/>
          <w:marRight w:val="0"/>
          <w:marTop w:val="0"/>
          <w:marBottom w:val="0"/>
          <w:divBdr>
            <w:top w:val="none" w:sz="0" w:space="0" w:color="auto"/>
            <w:left w:val="none" w:sz="0" w:space="0" w:color="auto"/>
            <w:bottom w:val="none" w:sz="0" w:space="0" w:color="auto"/>
            <w:right w:val="none" w:sz="0" w:space="0" w:color="auto"/>
          </w:divBdr>
        </w:div>
        <w:div w:id="298147850">
          <w:marLeft w:val="480"/>
          <w:marRight w:val="0"/>
          <w:marTop w:val="0"/>
          <w:marBottom w:val="0"/>
          <w:divBdr>
            <w:top w:val="none" w:sz="0" w:space="0" w:color="auto"/>
            <w:left w:val="none" w:sz="0" w:space="0" w:color="auto"/>
            <w:bottom w:val="none" w:sz="0" w:space="0" w:color="auto"/>
            <w:right w:val="none" w:sz="0" w:space="0" w:color="auto"/>
          </w:divBdr>
        </w:div>
        <w:div w:id="46414117">
          <w:marLeft w:val="480"/>
          <w:marRight w:val="0"/>
          <w:marTop w:val="0"/>
          <w:marBottom w:val="0"/>
          <w:divBdr>
            <w:top w:val="none" w:sz="0" w:space="0" w:color="auto"/>
            <w:left w:val="none" w:sz="0" w:space="0" w:color="auto"/>
            <w:bottom w:val="none" w:sz="0" w:space="0" w:color="auto"/>
            <w:right w:val="none" w:sz="0" w:space="0" w:color="auto"/>
          </w:divBdr>
        </w:div>
        <w:div w:id="1754351881">
          <w:marLeft w:val="480"/>
          <w:marRight w:val="0"/>
          <w:marTop w:val="0"/>
          <w:marBottom w:val="0"/>
          <w:divBdr>
            <w:top w:val="none" w:sz="0" w:space="0" w:color="auto"/>
            <w:left w:val="none" w:sz="0" w:space="0" w:color="auto"/>
            <w:bottom w:val="none" w:sz="0" w:space="0" w:color="auto"/>
            <w:right w:val="none" w:sz="0" w:space="0" w:color="auto"/>
          </w:divBdr>
        </w:div>
        <w:div w:id="1461269508">
          <w:marLeft w:val="480"/>
          <w:marRight w:val="0"/>
          <w:marTop w:val="0"/>
          <w:marBottom w:val="0"/>
          <w:divBdr>
            <w:top w:val="none" w:sz="0" w:space="0" w:color="auto"/>
            <w:left w:val="none" w:sz="0" w:space="0" w:color="auto"/>
            <w:bottom w:val="none" w:sz="0" w:space="0" w:color="auto"/>
            <w:right w:val="none" w:sz="0" w:space="0" w:color="auto"/>
          </w:divBdr>
        </w:div>
        <w:div w:id="759645504">
          <w:marLeft w:val="480"/>
          <w:marRight w:val="0"/>
          <w:marTop w:val="0"/>
          <w:marBottom w:val="0"/>
          <w:divBdr>
            <w:top w:val="none" w:sz="0" w:space="0" w:color="auto"/>
            <w:left w:val="none" w:sz="0" w:space="0" w:color="auto"/>
            <w:bottom w:val="none" w:sz="0" w:space="0" w:color="auto"/>
            <w:right w:val="none" w:sz="0" w:space="0" w:color="auto"/>
          </w:divBdr>
        </w:div>
        <w:div w:id="1718316859">
          <w:marLeft w:val="480"/>
          <w:marRight w:val="0"/>
          <w:marTop w:val="0"/>
          <w:marBottom w:val="0"/>
          <w:divBdr>
            <w:top w:val="none" w:sz="0" w:space="0" w:color="auto"/>
            <w:left w:val="none" w:sz="0" w:space="0" w:color="auto"/>
            <w:bottom w:val="none" w:sz="0" w:space="0" w:color="auto"/>
            <w:right w:val="none" w:sz="0" w:space="0" w:color="auto"/>
          </w:divBdr>
        </w:div>
        <w:div w:id="1430783243">
          <w:marLeft w:val="480"/>
          <w:marRight w:val="0"/>
          <w:marTop w:val="0"/>
          <w:marBottom w:val="0"/>
          <w:divBdr>
            <w:top w:val="none" w:sz="0" w:space="0" w:color="auto"/>
            <w:left w:val="none" w:sz="0" w:space="0" w:color="auto"/>
            <w:bottom w:val="none" w:sz="0" w:space="0" w:color="auto"/>
            <w:right w:val="none" w:sz="0" w:space="0" w:color="auto"/>
          </w:divBdr>
        </w:div>
        <w:div w:id="1986664432">
          <w:marLeft w:val="480"/>
          <w:marRight w:val="0"/>
          <w:marTop w:val="0"/>
          <w:marBottom w:val="0"/>
          <w:divBdr>
            <w:top w:val="none" w:sz="0" w:space="0" w:color="auto"/>
            <w:left w:val="none" w:sz="0" w:space="0" w:color="auto"/>
            <w:bottom w:val="none" w:sz="0" w:space="0" w:color="auto"/>
            <w:right w:val="none" w:sz="0" w:space="0" w:color="auto"/>
          </w:divBdr>
        </w:div>
        <w:div w:id="873350804">
          <w:marLeft w:val="480"/>
          <w:marRight w:val="0"/>
          <w:marTop w:val="0"/>
          <w:marBottom w:val="0"/>
          <w:divBdr>
            <w:top w:val="none" w:sz="0" w:space="0" w:color="auto"/>
            <w:left w:val="none" w:sz="0" w:space="0" w:color="auto"/>
            <w:bottom w:val="none" w:sz="0" w:space="0" w:color="auto"/>
            <w:right w:val="none" w:sz="0" w:space="0" w:color="auto"/>
          </w:divBdr>
        </w:div>
        <w:div w:id="1563638578">
          <w:marLeft w:val="480"/>
          <w:marRight w:val="0"/>
          <w:marTop w:val="0"/>
          <w:marBottom w:val="0"/>
          <w:divBdr>
            <w:top w:val="none" w:sz="0" w:space="0" w:color="auto"/>
            <w:left w:val="none" w:sz="0" w:space="0" w:color="auto"/>
            <w:bottom w:val="none" w:sz="0" w:space="0" w:color="auto"/>
            <w:right w:val="none" w:sz="0" w:space="0" w:color="auto"/>
          </w:divBdr>
        </w:div>
        <w:div w:id="1793405828">
          <w:marLeft w:val="480"/>
          <w:marRight w:val="0"/>
          <w:marTop w:val="0"/>
          <w:marBottom w:val="0"/>
          <w:divBdr>
            <w:top w:val="none" w:sz="0" w:space="0" w:color="auto"/>
            <w:left w:val="none" w:sz="0" w:space="0" w:color="auto"/>
            <w:bottom w:val="none" w:sz="0" w:space="0" w:color="auto"/>
            <w:right w:val="none" w:sz="0" w:space="0" w:color="auto"/>
          </w:divBdr>
        </w:div>
        <w:div w:id="1082488863">
          <w:marLeft w:val="480"/>
          <w:marRight w:val="0"/>
          <w:marTop w:val="0"/>
          <w:marBottom w:val="0"/>
          <w:divBdr>
            <w:top w:val="none" w:sz="0" w:space="0" w:color="auto"/>
            <w:left w:val="none" w:sz="0" w:space="0" w:color="auto"/>
            <w:bottom w:val="none" w:sz="0" w:space="0" w:color="auto"/>
            <w:right w:val="none" w:sz="0" w:space="0" w:color="auto"/>
          </w:divBdr>
        </w:div>
        <w:div w:id="2091345857">
          <w:marLeft w:val="480"/>
          <w:marRight w:val="0"/>
          <w:marTop w:val="0"/>
          <w:marBottom w:val="0"/>
          <w:divBdr>
            <w:top w:val="none" w:sz="0" w:space="0" w:color="auto"/>
            <w:left w:val="none" w:sz="0" w:space="0" w:color="auto"/>
            <w:bottom w:val="none" w:sz="0" w:space="0" w:color="auto"/>
            <w:right w:val="none" w:sz="0" w:space="0" w:color="auto"/>
          </w:divBdr>
        </w:div>
        <w:div w:id="1910194567">
          <w:marLeft w:val="480"/>
          <w:marRight w:val="0"/>
          <w:marTop w:val="0"/>
          <w:marBottom w:val="0"/>
          <w:divBdr>
            <w:top w:val="none" w:sz="0" w:space="0" w:color="auto"/>
            <w:left w:val="none" w:sz="0" w:space="0" w:color="auto"/>
            <w:bottom w:val="none" w:sz="0" w:space="0" w:color="auto"/>
            <w:right w:val="none" w:sz="0" w:space="0" w:color="auto"/>
          </w:divBdr>
        </w:div>
        <w:div w:id="1082874027">
          <w:marLeft w:val="480"/>
          <w:marRight w:val="0"/>
          <w:marTop w:val="0"/>
          <w:marBottom w:val="0"/>
          <w:divBdr>
            <w:top w:val="none" w:sz="0" w:space="0" w:color="auto"/>
            <w:left w:val="none" w:sz="0" w:space="0" w:color="auto"/>
            <w:bottom w:val="none" w:sz="0" w:space="0" w:color="auto"/>
            <w:right w:val="none" w:sz="0" w:space="0" w:color="auto"/>
          </w:divBdr>
        </w:div>
        <w:div w:id="1216039465">
          <w:marLeft w:val="480"/>
          <w:marRight w:val="0"/>
          <w:marTop w:val="0"/>
          <w:marBottom w:val="0"/>
          <w:divBdr>
            <w:top w:val="none" w:sz="0" w:space="0" w:color="auto"/>
            <w:left w:val="none" w:sz="0" w:space="0" w:color="auto"/>
            <w:bottom w:val="none" w:sz="0" w:space="0" w:color="auto"/>
            <w:right w:val="none" w:sz="0" w:space="0" w:color="auto"/>
          </w:divBdr>
        </w:div>
        <w:div w:id="1006175246">
          <w:marLeft w:val="480"/>
          <w:marRight w:val="0"/>
          <w:marTop w:val="0"/>
          <w:marBottom w:val="0"/>
          <w:divBdr>
            <w:top w:val="none" w:sz="0" w:space="0" w:color="auto"/>
            <w:left w:val="none" w:sz="0" w:space="0" w:color="auto"/>
            <w:bottom w:val="none" w:sz="0" w:space="0" w:color="auto"/>
            <w:right w:val="none" w:sz="0" w:space="0" w:color="auto"/>
          </w:divBdr>
        </w:div>
        <w:div w:id="555356332">
          <w:marLeft w:val="480"/>
          <w:marRight w:val="0"/>
          <w:marTop w:val="0"/>
          <w:marBottom w:val="0"/>
          <w:divBdr>
            <w:top w:val="none" w:sz="0" w:space="0" w:color="auto"/>
            <w:left w:val="none" w:sz="0" w:space="0" w:color="auto"/>
            <w:bottom w:val="none" w:sz="0" w:space="0" w:color="auto"/>
            <w:right w:val="none" w:sz="0" w:space="0" w:color="auto"/>
          </w:divBdr>
        </w:div>
        <w:div w:id="806582908">
          <w:marLeft w:val="480"/>
          <w:marRight w:val="0"/>
          <w:marTop w:val="0"/>
          <w:marBottom w:val="0"/>
          <w:divBdr>
            <w:top w:val="none" w:sz="0" w:space="0" w:color="auto"/>
            <w:left w:val="none" w:sz="0" w:space="0" w:color="auto"/>
            <w:bottom w:val="none" w:sz="0" w:space="0" w:color="auto"/>
            <w:right w:val="none" w:sz="0" w:space="0" w:color="auto"/>
          </w:divBdr>
        </w:div>
        <w:div w:id="370959369">
          <w:marLeft w:val="480"/>
          <w:marRight w:val="0"/>
          <w:marTop w:val="0"/>
          <w:marBottom w:val="0"/>
          <w:divBdr>
            <w:top w:val="none" w:sz="0" w:space="0" w:color="auto"/>
            <w:left w:val="none" w:sz="0" w:space="0" w:color="auto"/>
            <w:bottom w:val="none" w:sz="0" w:space="0" w:color="auto"/>
            <w:right w:val="none" w:sz="0" w:space="0" w:color="auto"/>
          </w:divBdr>
        </w:div>
        <w:div w:id="293219103">
          <w:marLeft w:val="480"/>
          <w:marRight w:val="0"/>
          <w:marTop w:val="0"/>
          <w:marBottom w:val="0"/>
          <w:divBdr>
            <w:top w:val="none" w:sz="0" w:space="0" w:color="auto"/>
            <w:left w:val="none" w:sz="0" w:space="0" w:color="auto"/>
            <w:bottom w:val="none" w:sz="0" w:space="0" w:color="auto"/>
            <w:right w:val="none" w:sz="0" w:space="0" w:color="auto"/>
          </w:divBdr>
        </w:div>
        <w:div w:id="253973197">
          <w:marLeft w:val="480"/>
          <w:marRight w:val="0"/>
          <w:marTop w:val="0"/>
          <w:marBottom w:val="0"/>
          <w:divBdr>
            <w:top w:val="none" w:sz="0" w:space="0" w:color="auto"/>
            <w:left w:val="none" w:sz="0" w:space="0" w:color="auto"/>
            <w:bottom w:val="none" w:sz="0" w:space="0" w:color="auto"/>
            <w:right w:val="none" w:sz="0" w:space="0" w:color="auto"/>
          </w:divBdr>
        </w:div>
        <w:div w:id="1339962599">
          <w:marLeft w:val="480"/>
          <w:marRight w:val="0"/>
          <w:marTop w:val="0"/>
          <w:marBottom w:val="0"/>
          <w:divBdr>
            <w:top w:val="none" w:sz="0" w:space="0" w:color="auto"/>
            <w:left w:val="none" w:sz="0" w:space="0" w:color="auto"/>
            <w:bottom w:val="none" w:sz="0" w:space="0" w:color="auto"/>
            <w:right w:val="none" w:sz="0" w:space="0" w:color="auto"/>
          </w:divBdr>
        </w:div>
        <w:div w:id="1677802717">
          <w:marLeft w:val="480"/>
          <w:marRight w:val="0"/>
          <w:marTop w:val="0"/>
          <w:marBottom w:val="0"/>
          <w:divBdr>
            <w:top w:val="none" w:sz="0" w:space="0" w:color="auto"/>
            <w:left w:val="none" w:sz="0" w:space="0" w:color="auto"/>
            <w:bottom w:val="none" w:sz="0" w:space="0" w:color="auto"/>
            <w:right w:val="none" w:sz="0" w:space="0" w:color="auto"/>
          </w:divBdr>
        </w:div>
        <w:div w:id="504707323">
          <w:marLeft w:val="480"/>
          <w:marRight w:val="0"/>
          <w:marTop w:val="0"/>
          <w:marBottom w:val="0"/>
          <w:divBdr>
            <w:top w:val="none" w:sz="0" w:space="0" w:color="auto"/>
            <w:left w:val="none" w:sz="0" w:space="0" w:color="auto"/>
            <w:bottom w:val="none" w:sz="0" w:space="0" w:color="auto"/>
            <w:right w:val="none" w:sz="0" w:space="0" w:color="auto"/>
          </w:divBdr>
        </w:div>
        <w:div w:id="1258175524">
          <w:marLeft w:val="480"/>
          <w:marRight w:val="0"/>
          <w:marTop w:val="0"/>
          <w:marBottom w:val="0"/>
          <w:divBdr>
            <w:top w:val="none" w:sz="0" w:space="0" w:color="auto"/>
            <w:left w:val="none" w:sz="0" w:space="0" w:color="auto"/>
            <w:bottom w:val="none" w:sz="0" w:space="0" w:color="auto"/>
            <w:right w:val="none" w:sz="0" w:space="0" w:color="auto"/>
          </w:divBdr>
        </w:div>
        <w:div w:id="505756001">
          <w:marLeft w:val="480"/>
          <w:marRight w:val="0"/>
          <w:marTop w:val="0"/>
          <w:marBottom w:val="0"/>
          <w:divBdr>
            <w:top w:val="none" w:sz="0" w:space="0" w:color="auto"/>
            <w:left w:val="none" w:sz="0" w:space="0" w:color="auto"/>
            <w:bottom w:val="none" w:sz="0" w:space="0" w:color="auto"/>
            <w:right w:val="none" w:sz="0" w:space="0" w:color="auto"/>
          </w:divBdr>
        </w:div>
        <w:div w:id="25101069">
          <w:marLeft w:val="480"/>
          <w:marRight w:val="0"/>
          <w:marTop w:val="0"/>
          <w:marBottom w:val="0"/>
          <w:divBdr>
            <w:top w:val="none" w:sz="0" w:space="0" w:color="auto"/>
            <w:left w:val="none" w:sz="0" w:space="0" w:color="auto"/>
            <w:bottom w:val="none" w:sz="0" w:space="0" w:color="auto"/>
            <w:right w:val="none" w:sz="0" w:space="0" w:color="auto"/>
          </w:divBdr>
        </w:div>
        <w:div w:id="229661632">
          <w:marLeft w:val="480"/>
          <w:marRight w:val="0"/>
          <w:marTop w:val="0"/>
          <w:marBottom w:val="0"/>
          <w:divBdr>
            <w:top w:val="none" w:sz="0" w:space="0" w:color="auto"/>
            <w:left w:val="none" w:sz="0" w:space="0" w:color="auto"/>
            <w:bottom w:val="none" w:sz="0" w:space="0" w:color="auto"/>
            <w:right w:val="none" w:sz="0" w:space="0" w:color="auto"/>
          </w:divBdr>
        </w:div>
        <w:div w:id="2130314320">
          <w:marLeft w:val="480"/>
          <w:marRight w:val="0"/>
          <w:marTop w:val="0"/>
          <w:marBottom w:val="0"/>
          <w:divBdr>
            <w:top w:val="none" w:sz="0" w:space="0" w:color="auto"/>
            <w:left w:val="none" w:sz="0" w:space="0" w:color="auto"/>
            <w:bottom w:val="none" w:sz="0" w:space="0" w:color="auto"/>
            <w:right w:val="none" w:sz="0" w:space="0" w:color="auto"/>
          </w:divBdr>
        </w:div>
        <w:div w:id="1238247703">
          <w:marLeft w:val="480"/>
          <w:marRight w:val="0"/>
          <w:marTop w:val="0"/>
          <w:marBottom w:val="0"/>
          <w:divBdr>
            <w:top w:val="none" w:sz="0" w:space="0" w:color="auto"/>
            <w:left w:val="none" w:sz="0" w:space="0" w:color="auto"/>
            <w:bottom w:val="none" w:sz="0" w:space="0" w:color="auto"/>
            <w:right w:val="none" w:sz="0" w:space="0" w:color="auto"/>
          </w:divBdr>
        </w:div>
        <w:div w:id="598803599">
          <w:marLeft w:val="480"/>
          <w:marRight w:val="0"/>
          <w:marTop w:val="0"/>
          <w:marBottom w:val="0"/>
          <w:divBdr>
            <w:top w:val="none" w:sz="0" w:space="0" w:color="auto"/>
            <w:left w:val="none" w:sz="0" w:space="0" w:color="auto"/>
            <w:bottom w:val="none" w:sz="0" w:space="0" w:color="auto"/>
            <w:right w:val="none" w:sz="0" w:space="0" w:color="auto"/>
          </w:divBdr>
        </w:div>
        <w:div w:id="2140225598">
          <w:marLeft w:val="480"/>
          <w:marRight w:val="0"/>
          <w:marTop w:val="0"/>
          <w:marBottom w:val="0"/>
          <w:divBdr>
            <w:top w:val="none" w:sz="0" w:space="0" w:color="auto"/>
            <w:left w:val="none" w:sz="0" w:space="0" w:color="auto"/>
            <w:bottom w:val="none" w:sz="0" w:space="0" w:color="auto"/>
            <w:right w:val="none" w:sz="0" w:space="0" w:color="auto"/>
          </w:divBdr>
        </w:div>
        <w:div w:id="322858001">
          <w:marLeft w:val="480"/>
          <w:marRight w:val="0"/>
          <w:marTop w:val="0"/>
          <w:marBottom w:val="0"/>
          <w:divBdr>
            <w:top w:val="none" w:sz="0" w:space="0" w:color="auto"/>
            <w:left w:val="none" w:sz="0" w:space="0" w:color="auto"/>
            <w:bottom w:val="none" w:sz="0" w:space="0" w:color="auto"/>
            <w:right w:val="none" w:sz="0" w:space="0" w:color="auto"/>
          </w:divBdr>
        </w:div>
        <w:div w:id="1118647757">
          <w:marLeft w:val="480"/>
          <w:marRight w:val="0"/>
          <w:marTop w:val="0"/>
          <w:marBottom w:val="0"/>
          <w:divBdr>
            <w:top w:val="none" w:sz="0" w:space="0" w:color="auto"/>
            <w:left w:val="none" w:sz="0" w:space="0" w:color="auto"/>
            <w:bottom w:val="none" w:sz="0" w:space="0" w:color="auto"/>
            <w:right w:val="none" w:sz="0" w:space="0" w:color="auto"/>
          </w:divBdr>
        </w:div>
        <w:div w:id="1668168801">
          <w:marLeft w:val="480"/>
          <w:marRight w:val="0"/>
          <w:marTop w:val="0"/>
          <w:marBottom w:val="0"/>
          <w:divBdr>
            <w:top w:val="none" w:sz="0" w:space="0" w:color="auto"/>
            <w:left w:val="none" w:sz="0" w:space="0" w:color="auto"/>
            <w:bottom w:val="none" w:sz="0" w:space="0" w:color="auto"/>
            <w:right w:val="none" w:sz="0" w:space="0" w:color="auto"/>
          </w:divBdr>
        </w:div>
        <w:div w:id="1567641445">
          <w:marLeft w:val="480"/>
          <w:marRight w:val="0"/>
          <w:marTop w:val="0"/>
          <w:marBottom w:val="0"/>
          <w:divBdr>
            <w:top w:val="none" w:sz="0" w:space="0" w:color="auto"/>
            <w:left w:val="none" w:sz="0" w:space="0" w:color="auto"/>
            <w:bottom w:val="none" w:sz="0" w:space="0" w:color="auto"/>
            <w:right w:val="none" w:sz="0" w:space="0" w:color="auto"/>
          </w:divBdr>
        </w:div>
        <w:div w:id="958488565">
          <w:marLeft w:val="480"/>
          <w:marRight w:val="0"/>
          <w:marTop w:val="0"/>
          <w:marBottom w:val="0"/>
          <w:divBdr>
            <w:top w:val="none" w:sz="0" w:space="0" w:color="auto"/>
            <w:left w:val="none" w:sz="0" w:space="0" w:color="auto"/>
            <w:bottom w:val="none" w:sz="0" w:space="0" w:color="auto"/>
            <w:right w:val="none" w:sz="0" w:space="0" w:color="auto"/>
          </w:divBdr>
        </w:div>
        <w:div w:id="1146624609">
          <w:marLeft w:val="480"/>
          <w:marRight w:val="0"/>
          <w:marTop w:val="0"/>
          <w:marBottom w:val="0"/>
          <w:divBdr>
            <w:top w:val="none" w:sz="0" w:space="0" w:color="auto"/>
            <w:left w:val="none" w:sz="0" w:space="0" w:color="auto"/>
            <w:bottom w:val="none" w:sz="0" w:space="0" w:color="auto"/>
            <w:right w:val="none" w:sz="0" w:space="0" w:color="auto"/>
          </w:divBdr>
        </w:div>
        <w:div w:id="970205165">
          <w:marLeft w:val="480"/>
          <w:marRight w:val="0"/>
          <w:marTop w:val="0"/>
          <w:marBottom w:val="0"/>
          <w:divBdr>
            <w:top w:val="none" w:sz="0" w:space="0" w:color="auto"/>
            <w:left w:val="none" w:sz="0" w:space="0" w:color="auto"/>
            <w:bottom w:val="none" w:sz="0" w:space="0" w:color="auto"/>
            <w:right w:val="none" w:sz="0" w:space="0" w:color="auto"/>
          </w:divBdr>
        </w:div>
        <w:div w:id="1587838648">
          <w:marLeft w:val="480"/>
          <w:marRight w:val="0"/>
          <w:marTop w:val="0"/>
          <w:marBottom w:val="0"/>
          <w:divBdr>
            <w:top w:val="none" w:sz="0" w:space="0" w:color="auto"/>
            <w:left w:val="none" w:sz="0" w:space="0" w:color="auto"/>
            <w:bottom w:val="none" w:sz="0" w:space="0" w:color="auto"/>
            <w:right w:val="none" w:sz="0" w:space="0" w:color="auto"/>
          </w:divBdr>
        </w:div>
        <w:div w:id="200167373">
          <w:marLeft w:val="480"/>
          <w:marRight w:val="0"/>
          <w:marTop w:val="0"/>
          <w:marBottom w:val="0"/>
          <w:divBdr>
            <w:top w:val="none" w:sz="0" w:space="0" w:color="auto"/>
            <w:left w:val="none" w:sz="0" w:space="0" w:color="auto"/>
            <w:bottom w:val="none" w:sz="0" w:space="0" w:color="auto"/>
            <w:right w:val="none" w:sz="0" w:space="0" w:color="auto"/>
          </w:divBdr>
        </w:div>
        <w:div w:id="172258754">
          <w:marLeft w:val="480"/>
          <w:marRight w:val="0"/>
          <w:marTop w:val="0"/>
          <w:marBottom w:val="0"/>
          <w:divBdr>
            <w:top w:val="none" w:sz="0" w:space="0" w:color="auto"/>
            <w:left w:val="none" w:sz="0" w:space="0" w:color="auto"/>
            <w:bottom w:val="none" w:sz="0" w:space="0" w:color="auto"/>
            <w:right w:val="none" w:sz="0" w:space="0" w:color="auto"/>
          </w:divBdr>
        </w:div>
        <w:div w:id="1111314947">
          <w:marLeft w:val="480"/>
          <w:marRight w:val="0"/>
          <w:marTop w:val="0"/>
          <w:marBottom w:val="0"/>
          <w:divBdr>
            <w:top w:val="none" w:sz="0" w:space="0" w:color="auto"/>
            <w:left w:val="none" w:sz="0" w:space="0" w:color="auto"/>
            <w:bottom w:val="none" w:sz="0" w:space="0" w:color="auto"/>
            <w:right w:val="none" w:sz="0" w:space="0" w:color="auto"/>
          </w:divBdr>
        </w:div>
        <w:div w:id="2004815361">
          <w:marLeft w:val="480"/>
          <w:marRight w:val="0"/>
          <w:marTop w:val="0"/>
          <w:marBottom w:val="0"/>
          <w:divBdr>
            <w:top w:val="none" w:sz="0" w:space="0" w:color="auto"/>
            <w:left w:val="none" w:sz="0" w:space="0" w:color="auto"/>
            <w:bottom w:val="none" w:sz="0" w:space="0" w:color="auto"/>
            <w:right w:val="none" w:sz="0" w:space="0" w:color="auto"/>
          </w:divBdr>
        </w:div>
        <w:div w:id="911889559">
          <w:marLeft w:val="480"/>
          <w:marRight w:val="0"/>
          <w:marTop w:val="0"/>
          <w:marBottom w:val="0"/>
          <w:divBdr>
            <w:top w:val="none" w:sz="0" w:space="0" w:color="auto"/>
            <w:left w:val="none" w:sz="0" w:space="0" w:color="auto"/>
            <w:bottom w:val="none" w:sz="0" w:space="0" w:color="auto"/>
            <w:right w:val="none" w:sz="0" w:space="0" w:color="auto"/>
          </w:divBdr>
        </w:div>
        <w:div w:id="1825275677">
          <w:marLeft w:val="480"/>
          <w:marRight w:val="0"/>
          <w:marTop w:val="0"/>
          <w:marBottom w:val="0"/>
          <w:divBdr>
            <w:top w:val="none" w:sz="0" w:space="0" w:color="auto"/>
            <w:left w:val="none" w:sz="0" w:space="0" w:color="auto"/>
            <w:bottom w:val="none" w:sz="0" w:space="0" w:color="auto"/>
            <w:right w:val="none" w:sz="0" w:space="0" w:color="auto"/>
          </w:divBdr>
        </w:div>
        <w:div w:id="386496329">
          <w:marLeft w:val="480"/>
          <w:marRight w:val="0"/>
          <w:marTop w:val="0"/>
          <w:marBottom w:val="0"/>
          <w:divBdr>
            <w:top w:val="none" w:sz="0" w:space="0" w:color="auto"/>
            <w:left w:val="none" w:sz="0" w:space="0" w:color="auto"/>
            <w:bottom w:val="none" w:sz="0" w:space="0" w:color="auto"/>
            <w:right w:val="none" w:sz="0" w:space="0" w:color="auto"/>
          </w:divBdr>
        </w:div>
        <w:div w:id="1897089208">
          <w:marLeft w:val="480"/>
          <w:marRight w:val="0"/>
          <w:marTop w:val="0"/>
          <w:marBottom w:val="0"/>
          <w:divBdr>
            <w:top w:val="none" w:sz="0" w:space="0" w:color="auto"/>
            <w:left w:val="none" w:sz="0" w:space="0" w:color="auto"/>
            <w:bottom w:val="none" w:sz="0" w:space="0" w:color="auto"/>
            <w:right w:val="none" w:sz="0" w:space="0" w:color="auto"/>
          </w:divBdr>
        </w:div>
        <w:div w:id="112673870">
          <w:marLeft w:val="480"/>
          <w:marRight w:val="0"/>
          <w:marTop w:val="0"/>
          <w:marBottom w:val="0"/>
          <w:divBdr>
            <w:top w:val="none" w:sz="0" w:space="0" w:color="auto"/>
            <w:left w:val="none" w:sz="0" w:space="0" w:color="auto"/>
            <w:bottom w:val="none" w:sz="0" w:space="0" w:color="auto"/>
            <w:right w:val="none" w:sz="0" w:space="0" w:color="auto"/>
          </w:divBdr>
        </w:div>
        <w:div w:id="824737678">
          <w:marLeft w:val="480"/>
          <w:marRight w:val="0"/>
          <w:marTop w:val="0"/>
          <w:marBottom w:val="0"/>
          <w:divBdr>
            <w:top w:val="none" w:sz="0" w:space="0" w:color="auto"/>
            <w:left w:val="none" w:sz="0" w:space="0" w:color="auto"/>
            <w:bottom w:val="none" w:sz="0" w:space="0" w:color="auto"/>
            <w:right w:val="none" w:sz="0" w:space="0" w:color="auto"/>
          </w:divBdr>
        </w:div>
        <w:div w:id="323052813">
          <w:marLeft w:val="480"/>
          <w:marRight w:val="0"/>
          <w:marTop w:val="0"/>
          <w:marBottom w:val="0"/>
          <w:divBdr>
            <w:top w:val="none" w:sz="0" w:space="0" w:color="auto"/>
            <w:left w:val="none" w:sz="0" w:space="0" w:color="auto"/>
            <w:bottom w:val="none" w:sz="0" w:space="0" w:color="auto"/>
            <w:right w:val="none" w:sz="0" w:space="0" w:color="auto"/>
          </w:divBdr>
        </w:div>
        <w:div w:id="758210122">
          <w:marLeft w:val="480"/>
          <w:marRight w:val="0"/>
          <w:marTop w:val="0"/>
          <w:marBottom w:val="0"/>
          <w:divBdr>
            <w:top w:val="none" w:sz="0" w:space="0" w:color="auto"/>
            <w:left w:val="none" w:sz="0" w:space="0" w:color="auto"/>
            <w:bottom w:val="none" w:sz="0" w:space="0" w:color="auto"/>
            <w:right w:val="none" w:sz="0" w:space="0" w:color="auto"/>
          </w:divBdr>
        </w:div>
        <w:div w:id="1885555562">
          <w:marLeft w:val="480"/>
          <w:marRight w:val="0"/>
          <w:marTop w:val="0"/>
          <w:marBottom w:val="0"/>
          <w:divBdr>
            <w:top w:val="none" w:sz="0" w:space="0" w:color="auto"/>
            <w:left w:val="none" w:sz="0" w:space="0" w:color="auto"/>
            <w:bottom w:val="none" w:sz="0" w:space="0" w:color="auto"/>
            <w:right w:val="none" w:sz="0" w:space="0" w:color="auto"/>
          </w:divBdr>
        </w:div>
      </w:divsChild>
    </w:div>
    <w:div w:id="32460896">
      <w:bodyDiv w:val="1"/>
      <w:marLeft w:val="0"/>
      <w:marRight w:val="0"/>
      <w:marTop w:val="0"/>
      <w:marBottom w:val="0"/>
      <w:divBdr>
        <w:top w:val="none" w:sz="0" w:space="0" w:color="auto"/>
        <w:left w:val="none" w:sz="0" w:space="0" w:color="auto"/>
        <w:bottom w:val="none" w:sz="0" w:space="0" w:color="auto"/>
        <w:right w:val="none" w:sz="0" w:space="0" w:color="auto"/>
      </w:divBdr>
    </w:div>
    <w:div w:id="33234544">
      <w:bodyDiv w:val="1"/>
      <w:marLeft w:val="0"/>
      <w:marRight w:val="0"/>
      <w:marTop w:val="0"/>
      <w:marBottom w:val="0"/>
      <w:divBdr>
        <w:top w:val="none" w:sz="0" w:space="0" w:color="auto"/>
        <w:left w:val="none" w:sz="0" w:space="0" w:color="auto"/>
        <w:bottom w:val="none" w:sz="0" w:space="0" w:color="auto"/>
        <w:right w:val="none" w:sz="0" w:space="0" w:color="auto"/>
      </w:divBdr>
    </w:div>
    <w:div w:id="33385121">
      <w:bodyDiv w:val="1"/>
      <w:marLeft w:val="0"/>
      <w:marRight w:val="0"/>
      <w:marTop w:val="0"/>
      <w:marBottom w:val="0"/>
      <w:divBdr>
        <w:top w:val="none" w:sz="0" w:space="0" w:color="auto"/>
        <w:left w:val="none" w:sz="0" w:space="0" w:color="auto"/>
        <w:bottom w:val="none" w:sz="0" w:space="0" w:color="auto"/>
        <w:right w:val="none" w:sz="0" w:space="0" w:color="auto"/>
      </w:divBdr>
    </w:div>
    <w:div w:id="34473244">
      <w:bodyDiv w:val="1"/>
      <w:marLeft w:val="0"/>
      <w:marRight w:val="0"/>
      <w:marTop w:val="0"/>
      <w:marBottom w:val="0"/>
      <w:divBdr>
        <w:top w:val="none" w:sz="0" w:space="0" w:color="auto"/>
        <w:left w:val="none" w:sz="0" w:space="0" w:color="auto"/>
        <w:bottom w:val="none" w:sz="0" w:space="0" w:color="auto"/>
        <w:right w:val="none" w:sz="0" w:space="0" w:color="auto"/>
      </w:divBdr>
    </w:div>
    <w:div w:id="34504445">
      <w:bodyDiv w:val="1"/>
      <w:marLeft w:val="0"/>
      <w:marRight w:val="0"/>
      <w:marTop w:val="0"/>
      <w:marBottom w:val="0"/>
      <w:divBdr>
        <w:top w:val="none" w:sz="0" w:space="0" w:color="auto"/>
        <w:left w:val="none" w:sz="0" w:space="0" w:color="auto"/>
        <w:bottom w:val="none" w:sz="0" w:space="0" w:color="auto"/>
        <w:right w:val="none" w:sz="0" w:space="0" w:color="auto"/>
      </w:divBdr>
    </w:div>
    <w:div w:id="34813683">
      <w:bodyDiv w:val="1"/>
      <w:marLeft w:val="0"/>
      <w:marRight w:val="0"/>
      <w:marTop w:val="0"/>
      <w:marBottom w:val="0"/>
      <w:divBdr>
        <w:top w:val="none" w:sz="0" w:space="0" w:color="auto"/>
        <w:left w:val="none" w:sz="0" w:space="0" w:color="auto"/>
        <w:bottom w:val="none" w:sz="0" w:space="0" w:color="auto"/>
        <w:right w:val="none" w:sz="0" w:space="0" w:color="auto"/>
      </w:divBdr>
    </w:div>
    <w:div w:id="35014403">
      <w:bodyDiv w:val="1"/>
      <w:marLeft w:val="0"/>
      <w:marRight w:val="0"/>
      <w:marTop w:val="0"/>
      <w:marBottom w:val="0"/>
      <w:divBdr>
        <w:top w:val="none" w:sz="0" w:space="0" w:color="auto"/>
        <w:left w:val="none" w:sz="0" w:space="0" w:color="auto"/>
        <w:bottom w:val="none" w:sz="0" w:space="0" w:color="auto"/>
        <w:right w:val="none" w:sz="0" w:space="0" w:color="auto"/>
      </w:divBdr>
    </w:div>
    <w:div w:id="35203297">
      <w:bodyDiv w:val="1"/>
      <w:marLeft w:val="0"/>
      <w:marRight w:val="0"/>
      <w:marTop w:val="0"/>
      <w:marBottom w:val="0"/>
      <w:divBdr>
        <w:top w:val="none" w:sz="0" w:space="0" w:color="auto"/>
        <w:left w:val="none" w:sz="0" w:space="0" w:color="auto"/>
        <w:bottom w:val="none" w:sz="0" w:space="0" w:color="auto"/>
        <w:right w:val="none" w:sz="0" w:space="0" w:color="auto"/>
      </w:divBdr>
    </w:div>
    <w:div w:id="35661123">
      <w:bodyDiv w:val="1"/>
      <w:marLeft w:val="0"/>
      <w:marRight w:val="0"/>
      <w:marTop w:val="0"/>
      <w:marBottom w:val="0"/>
      <w:divBdr>
        <w:top w:val="none" w:sz="0" w:space="0" w:color="auto"/>
        <w:left w:val="none" w:sz="0" w:space="0" w:color="auto"/>
        <w:bottom w:val="none" w:sz="0" w:space="0" w:color="auto"/>
        <w:right w:val="none" w:sz="0" w:space="0" w:color="auto"/>
      </w:divBdr>
      <w:divsChild>
        <w:div w:id="1759253280">
          <w:marLeft w:val="480"/>
          <w:marRight w:val="0"/>
          <w:marTop w:val="0"/>
          <w:marBottom w:val="0"/>
          <w:divBdr>
            <w:top w:val="none" w:sz="0" w:space="0" w:color="auto"/>
            <w:left w:val="none" w:sz="0" w:space="0" w:color="auto"/>
            <w:bottom w:val="none" w:sz="0" w:space="0" w:color="auto"/>
            <w:right w:val="none" w:sz="0" w:space="0" w:color="auto"/>
          </w:divBdr>
        </w:div>
        <w:div w:id="1645695542">
          <w:marLeft w:val="480"/>
          <w:marRight w:val="0"/>
          <w:marTop w:val="0"/>
          <w:marBottom w:val="0"/>
          <w:divBdr>
            <w:top w:val="none" w:sz="0" w:space="0" w:color="auto"/>
            <w:left w:val="none" w:sz="0" w:space="0" w:color="auto"/>
            <w:bottom w:val="none" w:sz="0" w:space="0" w:color="auto"/>
            <w:right w:val="none" w:sz="0" w:space="0" w:color="auto"/>
          </w:divBdr>
        </w:div>
        <w:div w:id="1044259041">
          <w:marLeft w:val="480"/>
          <w:marRight w:val="0"/>
          <w:marTop w:val="0"/>
          <w:marBottom w:val="0"/>
          <w:divBdr>
            <w:top w:val="none" w:sz="0" w:space="0" w:color="auto"/>
            <w:left w:val="none" w:sz="0" w:space="0" w:color="auto"/>
            <w:bottom w:val="none" w:sz="0" w:space="0" w:color="auto"/>
            <w:right w:val="none" w:sz="0" w:space="0" w:color="auto"/>
          </w:divBdr>
        </w:div>
        <w:div w:id="2036074569">
          <w:marLeft w:val="480"/>
          <w:marRight w:val="0"/>
          <w:marTop w:val="0"/>
          <w:marBottom w:val="0"/>
          <w:divBdr>
            <w:top w:val="none" w:sz="0" w:space="0" w:color="auto"/>
            <w:left w:val="none" w:sz="0" w:space="0" w:color="auto"/>
            <w:bottom w:val="none" w:sz="0" w:space="0" w:color="auto"/>
            <w:right w:val="none" w:sz="0" w:space="0" w:color="auto"/>
          </w:divBdr>
        </w:div>
        <w:div w:id="112482377">
          <w:marLeft w:val="480"/>
          <w:marRight w:val="0"/>
          <w:marTop w:val="0"/>
          <w:marBottom w:val="0"/>
          <w:divBdr>
            <w:top w:val="none" w:sz="0" w:space="0" w:color="auto"/>
            <w:left w:val="none" w:sz="0" w:space="0" w:color="auto"/>
            <w:bottom w:val="none" w:sz="0" w:space="0" w:color="auto"/>
            <w:right w:val="none" w:sz="0" w:space="0" w:color="auto"/>
          </w:divBdr>
        </w:div>
        <w:div w:id="565460862">
          <w:marLeft w:val="480"/>
          <w:marRight w:val="0"/>
          <w:marTop w:val="0"/>
          <w:marBottom w:val="0"/>
          <w:divBdr>
            <w:top w:val="none" w:sz="0" w:space="0" w:color="auto"/>
            <w:left w:val="none" w:sz="0" w:space="0" w:color="auto"/>
            <w:bottom w:val="none" w:sz="0" w:space="0" w:color="auto"/>
            <w:right w:val="none" w:sz="0" w:space="0" w:color="auto"/>
          </w:divBdr>
        </w:div>
        <w:div w:id="1604803404">
          <w:marLeft w:val="480"/>
          <w:marRight w:val="0"/>
          <w:marTop w:val="0"/>
          <w:marBottom w:val="0"/>
          <w:divBdr>
            <w:top w:val="none" w:sz="0" w:space="0" w:color="auto"/>
            <w:left w:val="none" w:sz="0" w:space="0" w:color="auto"/>
            <w:bottom w:val="none" w:sz="0" w:space="0" w:color="auto"/>
            <w:right w:val="none" w:sz="0" w:space="0" w:color="auto"/>
          </w:divBdr>
        </w:div>
        <w:div w:id="608397438">
          <w:marLeft w:val="480"/>
          <w:marRight w:val="0"/>
          <w:marTop w:val="0"/>
          <w:marBottom w:val="0"/>
          <w:divBdr>
            <w:top w:val="none" w:sz="0" w:space="0" w:color="auto"/>
            <w:left w:val="none" w:sz="0" w:space="0" w:color="auto"/>
            <w:bottom w:val="none" w:sz="0" w:space="0" w:color="auto"/>
            <w:right w:val="none" w:sz="0" w:space="0" w:color="auto"/>
          </w:divBdr>
        </w:div>
        <w:div w:id="339696060">
          <w:marLeft w:val="480"/>
          <w:marRight w:val="0"/>
          <w:marTop w:val="0"/>
          <w:marBottom w:val="0"/>
          <w:divBdr>
            <w:top w:val="none" w:sz="0" w:space="0" w:color="auto"/>
            <w:left w:val="none" w:sz="0" w:space="0" w:color="auto"/>
            <w:bottom w:val="none" w:sz="0" w:space="0" w:color="auto"/>
            <w:right w:val="none" w:sz="0" w:space="0" w:color="auto"/>
          </w:divBdr>
        </w:div>
        <w:div w:id="387802290">
          <w:marLeft w:val="480"/>
          <w:marRight w:val="0"/>
          <w:marTop w:val="0"/>
          <w:marBottom w:val="0"/>
          <w:divBdr>
            <w:top w:val="none" w:sz="0" w:space="0" w:color="auto"/>
            <w:left w:val="none" w:sz="0" w:space="0" w:color="auto"/>
            <w:bottom w:val="none" w:sz="0" w:space="0" w:color="auto"/>
            <w:right w:val="none" w:sz="0" w:space="0" w:color="auto"/>
          </w:divBdr>
        </w:div>
        <w:div w:id="1940791124">
          <w:marLeft w:val="480"/>
          <w:marRight w:val="0"/>
          <w:marTop w:val="0"/>
          <w:marBottom w:val="0"/>
          <w:divBdr>
            <w:top w:val="none" w:sz="0" w:space="0" w:color="auto"/>
            <w:left w:val="none" w:sz="0" w:space="0" w:color="auto"/>
            <w:bottom w:val="none" w:sz="0" w:space="0" w:color="auto"/>
            <w:right w:val="none" w:sz="0" w:space="0" w:color="auto"/>
          </w:divBdr>
        </w:div>
        <w:div w:id="626620688">
          <w:marLeft w:val="480"/>
          <w:marRight w:val="0"/>
          <w:marTop w:val="0"/>
          <w:marBottom w:val="0"/>
          <w:divBdr>
            <w:top w:val="none" w:sz="0" w:space="0" w:color="auto"/>
            <w:left w:val="none" w:sz="0" w:space="0" w:color="auto"/>
            <w:bottom w:val="none" w:sz="0" w:space="0" w:color="auto"/>
            <w:right w:val="none" w:sz="0" w:space="0" w:color="auto"/>
          </w:divBdr>
        </w:div>
        <w:div w:id="392853095">
          <w:marLeft w:val="480"/>
          <w:marRight w:val="0"/>
          <w:marTop w:val="0"/>
          <w:marBottom w:val="0"/>
          <w:divBdr>
            <w:top w:val="none" w:sz="0" w:space="0" w:color="auto"/>
            <w:left w:val="none" w:sz="0" w:space="0" w:color="auto"/>
            <w:bottom w:val="none" w:sz="0" w:space="0" w:color="auto"/>
            <w:right w:val="none" w:sz="0" w:space="0" w:color="auto"/>
          </w:divBdr>
        </w:div>
        <w:div w:id="1361781741">
          <w:marLeft w:val="480"/>
          <w:marRight w:val="0"/>
          <w:marTop w:val="0"/>
          <w:marBottom w:val="0"/>
          <w:divBdr>
            <w:top w:val="none" w:sz="0" w:space="0" w:color="auto"/>
            <w:left w:val="none" w:sz="0" w:space="0" w:color="auto"/>
            <w:bottom w:val="none" w:sz="0" w:space="0" w:color="auto"/>
            <w:right w:val="none" w:sz="0" w:space="0" w:color="auto"/>
          </w:divBdr>
        </w:div>
        <w:div w:id="558126518">
          <w:marLeft w:val="480"/>
          <w:marRight w:val="0"/>
          <w:marTop w:val="0"/>
          <w:marBottom w:val="0"/>
          <w:divBdr>
            <w:top w:val="none" w:sz="0" w:space="0" w:color="auto"/>
            <w:left w:val="none" w:sz="0" w:space="0" w:color="auto"/>
            <w:bottom w:val="none" w:sz="0" w:space="0" w:color="auto"/>
            <w:right w:val="none" w:sz="0" w:space="0" w:color="auto"/>
          </w:divBdr>
        </w:div>
        <w:div w:id="985091933">
          <w:marLeft w:val="480"/>
          <w:marRight w:val="0"/>
          <w:marTop w:val="0"/>
          <w:marBottom w:val="0"/>
          <w:divBdr>
            <w:top w:val="none" w:sz="0" w:space="0" w:color="auto"/>
            <w:left w:val="none" w:sz="0" w:space="0" w:color="auto"/>
            <w:bottom w:val="none" w:sz="0" w:space="0" w:color="auto"/>
            <w:right w:val="none" w:sz="0" w:space="0" w:color="auto"/>
          </w:divBdr>
        </w:div>
        <w:div w:id="1917014489">
          <w:marLeft w:val="480"/>
          <w:marRight w:val="0"/>
          <w:marTop w:val="0"/>
          <w:marBottom w:val="0"/>
          <w:divBdr>
            <w:top w:val="none" w:sz="0" w:space="0" w:color="auto"/>
            <w:left w:val="none" w:sz="0" w:space="0" w:color="auto"/>
            <w:bottom w:val="none" w:sz="0" w:space="0" w:color="auto"/>
            <w:right w:val="none" w:sz="0" w:space="0" w:color="auto"/>
          </w:divBdr>
        </w:div>
        <w:div w:id="74324933">
          <w:marLeft w:val="480"/>
          <w:marRight w:val="0"/>
          <w:marTop w:val="0"/>
          <w:marBottom w:val="0"/>
          <w:divBdr>
            <w:top w:val="none" w:sz="0" w:space="0" w:color="auto"/>
            <w:left w:val="none" w:sz="0" w:space="0" w:color="auto"/>
            <w:bottom w:val="none" w:sz="0" w:space="0" w:color="auto"/>
            <w:right w:val="none" w:sz="0" w:space="0" w:color="auto"/>
          </w:divBdr>
        </w:div>
        <w:div w:id="27613314">
          <w:marLeft w:val="480"/>
          <w:marRight w:val="0"/>
          <w:marTop w:val="0"/>
          <w:marBottom w:val="0"/>
          <w:divBdr>
            <w:top w:val="none" w:sz="0" w:space="0" w:color="auto"/>
            <w:left w:val="none" w:sz="0" w:space="0" w:color="auto"/>
            <w:bottom w:val="none" w:sz="0" w:space="0" w:color="auto"/>
            <w:right w:val="none" w:sz="0" w:space="0" w:color="auto"/>
          </w:divBdr>
        </w:div>
        <w:div w:id="1069426333">
          <w:marLeft w:val="480"/>
          <w:marRight w:val="0"/>
          <w:marTop w:val="0"/>
          <w:marBottom w:val="0"/>
          <w:divBdr>
            <w:top w:val="none" w:sz="0" w:space="0" w:color="auto"/>
            <w:left w:val="none" w:sz="0" w:space="0" w:color="auto"/>
            <w:bottom w:val="none" w:sz="0" w:space="0" w:color="auto"/>
            <w:right w:val="none" w:sz="0" w:space="0" w:color="auto"/>
          </w:divBdr>
        </w:div>
        <w:div w:id="957565445">
          <w:marLeft w:val="480"/>
          <w:marRight w:val="0"/>
          <w:marTop w:val="0"/>
          <w:marBottom w:val="0"/>
          <w:divBdr>
            <w:top w:val="none" w:sz="0" w:space="0" w:color="auto"/>
            <w:left w:val="none" w:sz="0" w:space="0" w:color="auto"/>
            <w:bottom w:val="none" w:sz="0" w:space="0" w:color="auto"/>
            <w:right w:val="none" w:sz="0" w:space="0" w:color="auto"/>
          </w:divBdr>
        </w:div>
        <w:div w:id="1759405998">
          <w:marLeft w:val="480"/>
          <w:marRight w:val="0"/>
          <w:marTop w:val="0"/>
          <w:marBottom w:val="0"/>
          <w:divBdr>
            <w:top w:val="none" w:sz="0" w:space="0" w:color="auto"/>
            <w:left w:val="none" w:sz="0" w:space="0" w:color="auto"/>
            <w:bottom w:val="none" w:sz="0" w:space="0" w:color="auto"/>
            <w:right w:val="none" w:sz="0" w:space="0" w:color="auto"/>
          </w:divBdr>
        </w:div>
        <w:div w:id="1298102801">
          <w:marLeft w:val="480"/>
          <w:marRight w:val="0"/>
          <w:marTop w:val="0"/>
          <w:marBottom w:val="0"/>
          <w:divBdr>
            <w:top w:val="none" w:sz="0" w:space="0" w:color="auto"/>
            <w:left w:val="none" w:sz="0" w:space="0" w:color="auto"/>
            <w:bottom w:val="none" w:sz="0" w:space="0" w:color="auto"/>
            <w:right w:val="none" w:sz="0" w:space="0" w:color="auto"/>
          </w:divBdr>
        </w:div>
        <w:div w:id="29767467">
          <w:marLeft w:val="480"/>
          <w:marRight w:val="0"/>
          <w:marTop w:val="0"/>
          <w:marBottom w:val="0"/>
          <w:divBdr>
            <w:top w:val="none" w:sz="0" w:space="0" w:color="auto"/>
            <w:left w:val="none" w:sz="0" w:space="0" w:color="auto"/>
            <w:bottom w:val="none" w:sz="0" w:space="0" w:color="auto"/>
            <w:right w:val="none" w:sz="0" w:space="0" w:color="auto"/>
          </w:divBdr>
        </w:div>
        <w:div w:id="1493712837">
          <w:marLeft w:val="480"/>
          <w:marRight w:val="0"/>
          <w:marTop w:val="0"/>
          <w:marBottom w:val="0"/>
          <w:divBdr>
            <w:top w:val="none" w:sz="0" w:space="0" w:color="auto"/>
            <w:left w:val="none" w:sz="0" w:space="0" w:color="auto"/>
            <w:bottom w:val="none" w:sz="0" w:space="0" w:color="auto"/>
            <w:right w:val="none" w:sz="0" w:space="0" w:color="auto"/>
          </w:divBdr>
        </w:div>
        <w:div w:id="1870676891">
          <w:marLeft w:val="480"/>
          <w:marRight w:val="0"/>
          <w:marTop w:val="0"/>
          <w:marBottom w:val="0"/>
          <w:divBdr>
            <w:top w:val="none" w:sz="0" w:space="0" w:color="auto"/>
            <w:left w:val="none" w:sz="0" w:space="0" w:color="auto"/>
            <w:bottom w:val="none" w:sz="0" w:space="0" w:color="auto"/>
            <w:right w:val="none" w:sz="0" w:space="0" w:color="auto"/>
          </w:divBdr>
        </w:div>
        <w:div w:id="179785651">
          <w:marLeft w:val="480"/>
          <w:marRight w:val="0"/>
          <w:marTop w:val="0"/>
          <w:marBottom w:val="0"/>
          <w:divBdr>
            <w:top w:val="none" w:sz="0" w:space="0" w:color="auto"/>
            <w:left w:val="none" w:sz="0" w:space="0" w:color="auto"/>
            <w:bottom w:val="none" w:sz="0" w:space="0" w:color="auto"/>
            <w:right w:val="none" w:sz="0" w:space="0" w:color="auto"/>
          </w:divBdr>
        </w:div>
        <w:div w:id="1573196323">
          <w:marLeft w:val="480"/>
          <w:marRight w:val="0"/>
          <w:marTop w:val="0"/>
          <w:marBottom w:val="0"/>
          <w:divBdr>
            <w:top w:val="none" w:sz="0" w:space="0" w:color="auto"/>
            <w:left w:val="none" w:sz="0" w:space="0" w:color="auto"/>
            <w:bottom w:val="none" w:sz="0" w:space="0" w:color="auto"/>
            <w:right w:val="none" w:sz="0" w:space="0" w:color="auto"/>
          </w:divBdr>
        </w:div>
        <w:div w:id="1255018740">
          <w:marLeft w:val="480"/>
          <w:marRight w:val="0"/>
          <w:marTop w:val="0"/>
          <w:marBottom w:val="0"/>
          <w:divBdr>
            <w:top w:val="none" w:sz="0" w:space="0" w:color="auto"/>
            <w:left w:val="none" w:sz="0" w:space="0" w:color="auto"/>
            <w:bottom w:val="none" w:sz="0" w:space="0" w:color="auto"/>
            <w:right w:val="none" w:sz="0" w:space="0" w:color="auto"/>
          </w:divBdr>
        </w:div>
        <w:div w:id="1509830992">
          <w:marLeft w:val="480"/>
          <w:marRight w:val="0"/>
          <w:marTop w:val="0"/>
          <w:marBottom w:val="0"/>
          <w:divBdr>
            <w:top w:val="none" w:sz="0" w:space="0" w:color="auto"/>
            <w:left w:val="none" w:sz="0" w:space="0" w:color="auto"/>
            <w:bottom w:val="none" w:sz="0" w:space="0" w:color="auto"/>
            <w:right w:val="none" w:sz="0" w:space="0" w:color="auto"/>
          </w:divBdr>
        </w:div>
        <w:div w:id="114254462">
          <w:marLeft w:val="480"/>
          <w:marRight w:val="0"/>
          <w:marTop w:val="0"/>
          <w:marBottom w:val="0"/>
          <w:divBdr>
            <w:top w:val="none" w:sz="0" w:space="0" w:color="auto"/>
            <w:left w:val="none" w:sz="0" w:space="0" w:color="auto"/>
            <w:bottom w:val="none" w:sz="0" w:space="0" w:color="auto"/>
            <w:right w:val="none" w:sz="0" w:space="0" w:color="auto"/>
          </w:divBdr>
        </w:div>
        <w:div w:id="2070611434">
          <w:marLeft w:val="480"/>
          <w:marRight w:val="0"/>
          <w:marTop w:val="0"/>
          <w:marBottom w:val="0"/>
          <w:divBdr>
            <w:top w:val="none" w:sz="0" w:space="0" w:color="auto"/>
            <w:left w:val="none" w:sz="0" w:space="0" w:color="auto"/>
            <w:bottom w:val="none" w:sz="0" w:space="0" w:color="auto"/>
            <w:right w:val="none" w:sz="0" w:space="0" w:color="auto"/>
          </w:divBdr>
        </w:div>
        <w:div w:id="1798714260">
          <w:marLeft w:val="480"/>
          <w:marRight w:val="0"/>
          <w:marTop w:val="0"/>
          <w:marBottom w:val="0"/>
          <w:divBdr>
            <w:top w:val="none" w:sz="0" w:space="0" w:color="auto"/>
            <w:left w:val="none" w:sz="0" w:space="0" w:color="auto"/>
            <w:bottom w:val="none" w:sz="0" w:space="0" w:color="auto"/>
            <w:right w:val="none" w:sz="0" w:space="0" w:color="auto"/>
          </w:divBdr>
        </w:div>
        <w:div w:id="280499748">
          <w:marLeft w:val="480"/>
          <w:marRight w:val="0"/>
          <w:marTop w:val="0"/>
          <w:marBottom w:val="0"/>
          <w:divBdr>
            <w:top w:val="none" w:sz="0" w:space="0" w:color="auto"/>
            <w:left w:val="none" w:sz="0" w:space="0" w:color="auto"/>
            <w:bottom w:val="none" w:sz="0" w:space="0" w:color="auto"/>
            <w:right w:val="none" w:sz="0" w:space="0" w:color="auto"/>
          </w:divBdr>
        </w:div>
        <w:div w:id="532428472">
          <w:marLeft w:val="480"/>
          <w:marRight w:val="0"/>
          <w:marTop w:val="0"/>
          <w:marBottom w:val="0"/>
          <w:divBdr>
            <w:top w:val="none" w:sz="0" w:space="0" w:color="auto"/>
            <w:left w:val="none" w:sz="0" w:space="0" w:color="auto"/>
            <w:bottom w:val="none" w:sz="0" w:space="0" w:color="auto"/>
            <w:right w:val="none" w:sz="0" w:space="0" w:color="auto"/>
          </w:divBdr>
        </w:div>
        <w:div w:id="1790782354">
          <w:marLeft w:val="480"/>
          <w:marRight w:val="0"/>
          <w:marTop w:val="0"/>
          <w:marBottom w:val="0"/>
          <w:divBdr>
            <w:top w:val="none" w:sz="0" w:space="0" w:color="auto"/>
            <w:left w:val="none" w:sz="0" w:space="0" w:color="auto"/>
            <w:bottom w:val="none" w:sz="0" w:space="0" w:color="auto"/>
            <w:right w:val="none" w:sz="0" w:space="0" w:color="auto"/>
          </w:divBdr>
        </w:div>
        <w:div w:id="842206738">
          <w:marLeft w:val="480"/>
          <w:marRight w:val="0"/>
          <w:marTop w:val="0"/>
          <w:marBottom w:val="0"/>
          <w:divBdr>
            <w:top w:val="none" w:sz="0" w:space="0" w:color="auto"/>
            <w:left w:val="none" w:sz="0" w:space="0" w:color="auto"/>
            <w:bottom w:val="none" w:sz="0" w:space="0" w:color="auto"/>
            <w:right w:val="none" w:sz="0" w:space="0" w:color="auto"/>
          </w:divBdr>
        </w:div>
        <w:div w:id="1712458609">
          <w:marLeft w:val="480"/>
          <w:marRight w:val="0"/>
          <w:marTop w:val="0"/>
          <w:marBottom w:val="0"/>
          <w:divBdr>
            <w:top w:val="none" w:sz="0" w:space="0" w:color="auto"/>
            <w:left w:val="none" w:sz="0" w:space="0" w:color="auto"/>
            <w:bottom w:val="none" w:sz="0" w:space="0" w:color="auto"/>
            <w:right w:val="none" w:sz="0" w:space="0" w:color="auto"/>
          </w:divBdr>
        </w:div>
        <w:div w:id="2009743223">
          <w:marLeft w:val="480"/>
          <w:marRight w:val="0"/>
          <w:marTop w:val="0"/>
          <w:marBottom w:val="0"/>
          <w:divBdr>
            <w:top w:val="none" w:sz="0" w:space="0" w:color="auto"/>
            <w:left w:val="none" w:sz="0" w:space="0" w:color="auto"/>
            <w:bottom w:val="none" w:sz="0" w:space="0" w:color="auto"/>
            <w:right w:val="none" w:sz="0" w:space="0" w:color="auto"/>
          </w:divBdr>
        </w:div>
        <w:div w:id="1215236028">
          <w:marLeft w:val="480"/>
          <w:marRight w:val="0"/>
          <w:marTop w:val="0"/>
          <w:marBottom w:val="0"/>
          <w:divBdr>
            <w:top w:val="none" w:sz="0" w:space="0" w:color="auto"/>
            <w:left w:val="none" w:sz="0" w:space="0" w:color="auto"/>
            <w:bottom w:val="none" w:sz="0" w:space="0" w:color="auto"/>
            <w:right w:val="none" w:sz="0" w:space="0" w:color="auto"/>
          </w:divBdr>
        </w:div>
        <w:div w:id="727263083">
          <w:marLeft w:val="480"/>
          <w:marRight w:val="0"/>
          <w:marTop w:val="0"/>
          <w:marBottom w:val="0"/>
          <w:divBdr>
            <w:top w:val="none" w:sz="0" w:space="0" w:color="auto"/>
            <w:left w:val="none" w:sz="0" w:space="0" w:color="auto"/>
            <w:bottom w:val="none" w:sz="0" w:space="0" w:color="auto"/>
            <w:right w:val="none" w:sz="0" w:space="0" w:color="auto"/>
          </w:divBdr>
        </w:div>
        <w:div w:id="262501062">
          <w:marLeft w:val="480"/>
          <w:marRight w:val="0"/>
          <w:marTop w:val="0"/>
          <w:marBottom w:val="0"/>
          <w:divBdr>
            <w:top w:val="none" w:sz="0" w:space="0" w:color="auto"/>
            <w:left w:val="none" w:sz="0" w:space="0" w:color="auto"/>
            <w:bottom w:val="none" w:sz="0" w:space="0" w:color="auto"/>
            <w:right w:val="none" w:sz="0" w:space="0" w:color="auto"/>
          </w:divBdr>
        </w:div>
        <w:div w:id="52706735">
          <w:marLeft w:val="480"/>
          <w:marRight w:val="0"/>
          <w:marTop w:val="0"/>
          <w:marBottom w:val="0"/>
          <w:divBdr>
            <w:top w:val="none" w:sz="0" w:space="0" w:color="auto"/>
            <w:left w:val="none" w:sz="0" w:space="0" w:color="auto"/>
            <w:bottom w:val="none" w:sz="0" w:space="0" w:color="auto"/>
            <w:right w:val="none" w:sz="0" w:space="0" w:color="auto"/>
          </w:divBdr>
        </w:div>
        <w:div w:id="1819376411">
          <w:marLeft w:val="480"/>
          <w:marRight w:val="0"/>
          <w:marTop w:val="0"/>
          <w:marBottom w:val="0"/>
          <w:divBdr>
            <w:top w:val="none" w:sz="0" w:space="0" w:color="auto"/>
            <w:left w:val="none" w:sz="0" w:space="0" w:color="auto"/>
            <w:bottom w:val="none" w:sz="0" w:space="0" w:color="auto"/>
            <w:right w:val="none" w:sz="0" w:space="0" w:color="auto"/>
          </w:divBdr>
        </w:div>
        <w:div w:id="1169979291">
          <w:marLeft w:val="480"/>
          <w:marRight w:val="0"/>
          <w:marTop w:val="0"/>
          <w:marBottom w:val="0"/>
          <w:divBdr>
            <w:top w:val="none" w:sz="0" w:space="0" w:color="auto"/>
            <w:left w:val="none" w:sz="0" w:space="0" w:color="auto"/>
            <w:bottom w:val="none" w:sz="0" w:space="0" w:color="auto"/>
            <w:right w:val="none" w:sz="0" w:space="0" w:color="auto"/>
          </w:divBdr>
        </w:div>
        <w:div w:id="749042227">
          <w:marLeft w:val="480"/>
          <w:marRight w:val="0"/>
          <w:marTop w:val="0"/>
          <w:marBottom w:val="0"/>
          <w:divBdr>
            <w:top w:val="none" w:sz="0" w:space="0" w:color="auto"/>
            <w:left w:val="none" w:sz="0" w:space="0" w:color="auto"/>
            <w:bottom w:val="none" w:sz="0" w:space="0" w:color="auto"/>
            <w:right w:val="none" w:sz="0" w:space="0" w:color="auto"/>
          </w:divBdr>
        </w:div>
        <w:div w:id="1099908645">
          <w:marLeft w:val="480"/>
          <w:marRight w:val="0"/>
          <w:marTop w:val="0"/>
          <w:marBottom w:val="0"/>
          <w:divBdr>
            <w:top w:val="none" w:sz="0" w:space="0" w:color="auto"/>
            <w:left w:val="none" w:sz="0" w:space="0" w:color="auto"/>
            <w:bottom w:val="none" w:sz="0" w:space="0" w:color="auto"/>
            <w:right w:val="none" w:sz="0" w:space="0" w:color="auto"/>
          </w:divBdr>
        </w:div>
        <w:div w:id="383255825">
          <w:marLeft w:val="480"/>
          <w:marRight w:val="0"/>
          <w:marTop w:val="0"/>
          <w:marBottom w:val="0"/>
          <w:divBdr>
            <w:top w:val="none" w:sz="0" w:space="0" w:color="auto"/>
            <w:left w:val="none" w:sz="0" w:space="0" w:color="auto"/>
            <w:bottom w:val="none" w:sz="0" w:space="0" w:color="auto"/>
            <w:right w:val="none" w:sz="0" w:space="0" w:color="auto"/>
          </w:divBdr>
        </w:div>
        <w:div w:id="1904949261">
          <w:marLeft w:val="480"/>
          <w:marRight w:val="0"/>
          <w:marTop w:val="0"/>
          <w:marBottom w:val="0"/>
          <w:divBdr>
            <w:top w:val="none" w:sz="0" w:space="0" w:color="auto"/>
            <w:left w:val="none" w:sz="0" w:space="0" w:color="auto"/>
            <w:bottom w:val="none" w:sz="0" w:space="0" w:color="auto"/>
            <w:right w:val="none" w:sz="0" w:space="0" w:color="auto"/>
          </w:divBdr>
        </w:div>
        <w:div w:id="1337803633">
          <w:marLeft w:val="480"/>
          <w:marRight w:val="0"/>
          <w:marTop w:val="0"/>
          <w:marBottom w:val="0"/>
          <w:divBdr>
            <w:top w:val="none" w:sz="0" w:space="0" w:color="auto"/>
            <w:left w:val="none" w:sz="0" w:space="0" w:color="auto"/>
            <w:bottom w:val="none" w:sz="0" w:space="0" w:color="auto"/>
            <w:right w:val="none" w:sz="0" w:space="0" w:color="auto"/>
          </w:divBdr>
        </w:div>
        <w:div w:id="763264029">
          <w:marLeft w:val="480"/>
          <w:marRight w:val="0"/>
          <w:marTop w:val="0"/>
          <w:marBottom w:val="0"/>
          <w:divBdr>
            <w:top w:val="none" w:sz="0" w:space="0" w:color="auto"/>
            <w:left w:val="none" w:sz="0" w:space="0" w:color="auto"/>
            <w:bottom w:val="none" w:sz="0" w:space="0" w:color="auto"/>
            <w:right w:val="none" w:sz="0" w:space="0" w:color="auto"/>
          </w:divBdr>
        </w:div>
        <w:div w:id="373236141">
          <w:marLeft w:val="480"/>
          <w:marRight w:val="0"/>
          <w:marTop w:val="0"/>
          <w:marBottom w:val="0"/>
          <w:divBdr>
            <w:top w:val="none" w:sz="0" w:space="0" w:color="auto"/>
            <w:left w:val="none" w:sz="0" w:space="0" w:color="auto"/>
            <w:bottom w:val="none" w:sz="0" w:space="0" w:color="auto"/>
            <w:right w:val="none" w:sz="0" w:space="0" w:color="auto"/>
          </w:divBdr>
        </w:div>
        <w:div w:id="1170832395">
          <w:marLeft w:val="480"/>
          <w:marRight w:val="0"/>
          <w:marTop w:val="0"/>
          <w:marBottom w:val="0"/>
          <w:divBdr>
            <w:top w:val="none" w:sz="0" w:space="0" w:color="auto"/>
            <w:left w:val="none" w:sz="0" w:space="0" w:color="auto"/>
            <w:bottom w:val="none" w:sz="0" w:space="0" w:color="auto"/>
            <w:right w:val="none" w:sz="0" w:space="0" w:color="auto"/>
          </w:divBdr>
        </w:div>
        <w:div w:id="1525316280">
          <w:marLeft w:val="480"/>
          <w:marRight w:val="0"/>
          <w:marTop w:val="0"/>
          <w:marBottom w:val="0"/>
          <w:divBdr>
            <w:top w:val="none" w:sz="0" w:space="0" w:color="auto"/>
            <w:left w:val="none" w:sz="0" w:space="0" w:color="auto"/>
            <w:bottom w:val="none" w:sz="0" w:space="0" w:color="auto"/>
            <w:right w:val="none" w:sz="0" w:space="0" w:color="auto"/>
          </w:divBdr>
        </w:div>
        <w:div w:id="1350252487">
          <w:marLeft w:val="480"/>
          <w:marRight w:val="0"/>
          <w:marTop w:val="0"/>
          <w:marBottom w:val="0"/>
          <w:divBdr>
            <w:top w:val="none" w:sz="0" w:space="0" w:color="auto"/>
            <w:left w:val="none" w:sz="0" w:space="0" w:color="auto"/>
            <w:bottom w:val="none" w:sz="0" w:space="0" w:color="auto"/>
            <w:right w:val="none" w:sz="0" w:space="0" w:color="auto"/>
          </w:divBdr>
        </w:div>
        <w:div w:id="79916880">
          <w:marLeft w:val="480"/>
          <w:marRight w:val="0"/>
          <w:marTop w:val="0"/>
          <w:marBottom w:val="0"/>
          <w:divBdr>
            <w:top w:val="none" w:sz="0" w:space="0" w:color="auto"/>
            <w:left w:val="none" w:sz="0" w:space="0" w:color="auto"/>
            <w:bottom w:val="none" w:sz="0" w:space="0" w:color="auto"/>
            <w:right w:val="none" w:sz="0" w:space="0" w:color="auto"/>
          </w:divBdr>
        </w:div>
        <w:div w:id="812523612">
          <w:marLeft w:val="480"/>
          <w:marRight w:val="0"/>
          <w:marTop w:val="0"/>
          <w:marBottom w:val="0"/>
          <w:divBdr>
            <w:top w:val="none" w:sz="0" w:space="0" w:color="auto"/>
            <w:left w:val="none" w:sz="0" w:space="0" w:color="auto"/>
            <w:bottom w:val="none" w:sz="0" w:space="0" w:color="auto"/>
            <w:right w:val="none" w:sz="0" w:space="0" w:color="auto"/>
          </w:divBdr>
        </w:div>
        <w:div w:id="1944920697">
          <w:marLeft w:val="480"/>
          <w:marRight w:val="0"/>
          <w:marTop w:val="0"/>
          <w:marBottom w:val="0"/>
          <w:divBdr>
            <w:top w:val="none" w:sz="0" w:space="0" w:color="auto"/>
            <w:left w:val="none" w:sz="0" w:space="0" w:color="auto"/>
            <w:bottom w:val="none" w:sz="0" w:space="0" w:color="auto"/>
            <w:right w:val="none" w:sz="0" w:space="0" w:color="auto"/>
          </w:divBdr>
        </w:div>
        <w:div w:id="313146058">
          <w:marLeft w:val="480"/>
          <w:marRight w:val="0"/>
          <w:marTop w:val="0"/>
          <w:marBottom w:val="0"/>
          <w:divBdr>
            <w:top w:val="none" w:sz="0" w:space="0" w:color="auto"/>
            <w:left w:val="none" w:sz="0" w:space="0" w:color="auto"/>
            <w:bottom w:val="none" w:sz="0" w:space="0" w:color="auto"/>
            <w:right w:val="none" w:sz="0" w:space="0" w:color="auto"/>
          </w:divBdr>
        </w:div>
        <w:div w:id="1945455230">
          <w:marLeft w:val="480"/>
          <w:marRight w:val="0"/>
          <w:marTop w:val="0"/>
          <w:marBottom w:val="0"/>
          <w:divBdr>
            <w:top w:val="none" w:sz="0" w:space="0" w:color="auto"/>
            <w:left w:val="none" w:sz="0" w:space="0" w:color="auto"/>
            <w:bottom w:val="none" w:sz="0" w:space="0" w:color="auto"/>
            <w:right w:val="none" w:sz="0" w:space="0" w:color="auto"/>
          </w:divBdr>
        </w:div>
        <w:div w:id="1705398162">
          <w:marLeft w:val="480"/>
          <w:marRight w:val="0"/>
          <w:marTop w:val="0"/>
          <w:marBottom w:val="0"/>
          <w:divBdr>
            <w:top w:val="none" w:sz="0" w:space="0" w:color="auto"/>
            <w:left w:val="none" w:sz="0" w:space="0" w:color="auto"/>
            <w:bottom w:val="none" w:sz="0" w:space="0" w:color="auto"/>
            <w:right w:val="none" w:sz="0" w:space="0" w:color="auto"/>
          </w:divBdr>
        </w:div>
        <w:div w:id="383455617">
          <w:marLeft w:val="480"/>
          <w:marRight w:val="0"/>
          <w:marTop w:val="0"/>
          <w:marBottom w:val="0"/>
          <w:divBdr>
            <w:top w:val="none" w:sz="0" w:space="0" w:color="auto"/>
            <w:left w:val="none" w:sz="0" w:space="0" w:color="auto"/>
            <w:bottom w:val="none" w:sz="0" w:space="0" w:color="auto"/>
            <w:right w:val="none" w:sz="0" w:space="0" w:color="auto"/>
          </w:divBdr>
        </w:div>
        <w:div w:id="478809734">
          <w:marLeft w:val="480"/>
          <w:marRight w:val="0"/>
          <w:marTop w:val="0"/>
          <w:marBottom w:val="0"/>
          <w:divBdr>
            <w:top w:val="none" w:sz="0" w:space="0" w:color="auto"/>
            <w:left w:val="none" w:sz="0" w:space="0" w:color="auto"/>
            <w:bottom w:val="none" w:sz="0" w:space="0" w:color="auto"/>
            <w:right w:val="none" w:sz="0" w:space="0" w:color="auto"/>
          </w:divBdr>
        </w:div>
        <w:div w:id="1236671364">
          <w:marLeft w:val="480"/>
          <w:marRight w:val="0"/>
          <w:marTop w:val="0"/>
          <w:marBottom w:val="0"/>
          <w:divBdr>
            <w:top w:val="none" w:sz="0" w:space="0" w:color="auto"/>
            <w:left w:val="none" w:sz="0" w:space="0" w:color="auto"/>
            <w:bottom w:val="none" w:sz="0" w:space="0" w:color="auto"/>
            <w:right w:val="none" w:sz="0" w:space="0" w:color="auto"/>
          </w:divBdr>
        </w:div>
        <w:div w:id="1859931084">
          <w:marLeft w:val="480"/>
          <w:marRight w:val="0"/>
          <w:marTop w:val="0"/>
          <w:marBottom w:val="0"/>
          <w:divBdr>
            <w:top w:val="none" w:sz="0" w:space="0" w:color="auto"/>
            <w:left w:val="none" w:sz="0" w:space="0" w:color="auto"/>
            <w:bottom w:val="none" w:sz="0" w:space="0" w:color="auto"/>
            <w:right w:val="none" w:sz="0" w:space="0" w:color="auto"/>
          </w:divBdr>
        </w:div>
        <w:div w:id="1701541813">
          <w:marLeft w:val="480"/>
          <w:marRight w:val="0"/>
          <w:marTop w:val="0"/>
          <w:marBottom w:val="0"/>
          <w:divBdr>
            <w:top w:val="none" w:sz="0" w:space="0" w:color="auto"/>
            <w:left w:val="none" w:sz="0" w:space="0" w:color="auto"/>
            <w:bottom w:val="none" w:sz="0" w:space="0" w:color="auto"/>
            <w:right w:val="none" w:sz="0" w:space="0" w:color="auto"/>
          </w:divBdr>
        </w:div>
        <w:div w:id="526873278">
          <w:marLeft w:val="480"/>
          <w:marRight w:val="0"/>
          <w:marTop w:val="0"/>
          <w:marBottom w:val="0"/>
          <w:divBdr>
            <w:top w:val="none" w:sz="0" w:space="0" w:color="auto"/>
            <w:left w:val="none" w:sz="0" w:space="0" w:color="auto"/>
            <w:bottom w:val="none" w:sz="0" w:space="0" w:color="auto"/>
            <w:right w:val="none" w:sz="0" w:space="0" w:color="auto"/>
          </w:divBdr>
        </w:div>
        <w:div w:id="1598782071">
          <w:marLeft w:val="480"/>
          <w:marRight w:val="0"/>
          <w:marTop w:val="0"/>
          <w:marBottom w:val="0"/>
          <w:divBdr>
            <w:top w:val="none" w:sz="0" w:space="0" w:color="auto"/>
            <w:left w:val="none" w:sz="0" w:space="0" w:color="auto"/>
            <w:bottom w:val="none" w:sz="0" w:space="0" w:color="auto"/>
            <w:right w:val="none" w:sz="0" w:space="0" w:color="auto"/>
          </w:divBdr>
        </w:div>
        <w:div w:id="177280650">
          <w:marLeft w:val="480"/>
          <w:marRight w:val="0"/>
          <w:marTop w:val="0"/>
          <w:marBottom w:val="0"/>
          <w:divBdr>
            <w:top w:val="none" w:sz="0" w:space="0" w:color="auto"/>
            <w:left w:val="none" w:sz="0" w:space="0" w:color="auto"/>
            <w:bottom w:val="none" w:sz="0" w:space="0" w:color="auto"/>
            <w:right w:val="none" w:sz="0" w:space="0" w:color="auto"/>
          </w:divBdr>
        </w:div>
        <w:div w:id="564070355">
          <w:marLeft w:val="480"/>
          <w:marRight w:val="0"/>
          <w:marTop w:val="0"/>
          <w:marBottom w:val="0"/>
          <w:divBdr>
            <w:top w:val="none" w:sz="0" w:space="0" w:color="auto"/>
            <w:left w:val="none" w:sz="0" w:space="0" w:color="auto"/>
            <w:bottom w:val="none" w:sz="0" w:space="0" w:color="auto"/>
            <w:right w:val="none" w:sz="0" w:space="0" w:color="auto"/>
          </w:divBdr>
        </w:div>
        <w:div w:id="1222909729">
          <w:marLeft w:val="480"/>
          <w:marRight w:val="0"/>
          <w:marTop w:val="0"/>
          <w:marBottom w:val="0"/>
          <w:divBdr>
            <w:top w:val="none" w:sz="0" w:space="0" w:color="auto"/>
            <w:left w:val="none" w:sz="0" w:space="0" w:color="auto"/>
            <w:bottom w:val="none" w:sz="0" w:space="0" w:color="auto"/>
            <w:right w:val="none" w:sz="0" w:space="0" w:color="auto"/>
          </w:divBdr>
        </w:div>
        <w:div w:id="1849101145">
          <w:marLeft w:val="480"/>
          <w:marRight w:val="0"/>
          <w:marTop w:val="0"/>
          <w:marBottom w:val="0"/>
          <w:divBdr>
            <w:top w:val="none" w:sz="0" w:space="0" w:color="auto"/>
            <w:left w:val="none" w:sz="0" w:space="0" w:color="auto"/>
            <w:bottom w:val="none" w:sz="0" w:space="0" w:color="auto"/>
            <w:right w:val="none" w:sz="0" w:space="0" w:color="auto"/>
          </w:divBdr>
        </w:div>
        <w:div w:id="172839443">
          <w:marLeft w:val="480"/>
          <w:marRight w:val="0"/>
          <w:marTop w:val="0"/>
          <w:marBottom w:val="0"/>
          <w:divBdr>
            <w:top w:val="none" w:sz="0" w:space="0" w:color="auto"/>
            <w:left w:val="none" w:sz="0" w:space="0" w:color="auto"/>
            <w:bottom w:val="none" w:sz="0" w:space="0" w:color="auto"/>
            <w:right w:val="none" w:sz="0" w:space="0" w:color="auto"/>
          </w:divBdr>
        </w:div>
        <w:div w:id="1457334802">
          <w:marLeft w:val="480"/>
          <w:marRight w:val="0"/>
          <w:marTop w:val="0"/>
          <w:marBottom w:val="0"/>
          <w:divBdr>
            <w:top w:val="none" w:sz="0" w:space="0" w:color="auto"/>
            <w:left w:val="none" w:sz="0" w:space="0" w:color="auto"/>
            <w:bottom w:val="none" w:sz="0" w:space="0" w:color="auto"/>
            <w:right w:val="none" w:sz="0" w:space="0" w:color="auto"/>
          </w:divBdr>
        </w:div>
        <w:div w:id="870995583">
          <w:marLeft w:val="480"/>
          <w:marRight w:val="0"/>
          <w:marTop w:val="0"/>
          <w:marBottom w:val="0"/>
          <w:divBdr>
            <w:top w:val="none" w:sz="0" w:space="0" w:color="auto"/>
            <w:left w:val="none" w:sz="0" w:space="0" w:color="auto"/>
            <w:bottom w:val="none" w:sz="0" w:space="0" w:color="auto"/>
            <w:right w:val="none" w:sz="0" w:space="0" w:color="auto"/>
          </w:divBdr>
        </w:div>
        <w:div w:id="2006938034">
          <w:marLeft w:val="480"/>
          <w:marRight w:val="0"/>
          <w:marTop w:val="0"/>
          <w:marBottom w:val="0"/>
          <w:divBdr>
            <w:top w:val="none" w:sz="0" w:space="0" w:color="auto"/>
            <w:left w:val="none" w:sz="0" w:space="0" w:color="auto"/>
            <w:bottom w:val="none" w:sz="0" w:space="0" w:color="auto"/>
            <w:right w:val="none" w:sz="0" w:space="0" w:color="auto"/>
          </w:divBdr>
        </w:div>
        <w:div w:id="1954241456">
          <w:marLeft w:val="480"/>
          <w:marRight w:val="0"/>
          <w:marTop w:val="0"/>
          <w:marBottom w:val="0"/>
          <w:divBdr>
            <w:top w:val="none" w:sz="0" w:space="0" w:color="auto"/>
            <w:left w:val="none" w:sz="0" w:space="0" w:color="auto"/>
            <w:bottom w:val="none" w:sz="0" w:space="0" w:color="auto"/>
            <w:right w:val="none" w:sz="0" w:space="0" w:color="auto"/>
          </w:divBdr>
        </w:div>
        <w:div w:id="1452165791">
          <w:marLeft w:val="480"/>
          <w:marRight w:val="0"/>
          <w:marTop w:val="0"/>
          <w:marBottom w:val="0"/>
          <w:divBdr>
            <w:top w:val="none" w:sz="0" w:space="0" w:color="auto"/>
            <w:left w:val="none" w:sz="0" w:space="0" w:color="auto"/>
            <w:bottom w:val="none" w:sz="0" w:space="0" w:color="auto"/>
            <w:right w:val="none" w:sz="0" w:space="0" w:color="auto"/>
          </w:divBdr>
        </w:div>
        <w:div w:id="717586374">
          <w:marLeft w:val="480"/>
          <w:marRight w:val="0"/>
          <w:marTop w:val="0"/>
          <w:marBottom w:val="0"/>
          <w:divBdr>
            <w:top w:val="none" w:sz="0" w:space="0" w:color="auto"/>
            <w:left w:val="none" w:sz="0" w:space="0" w:color="auto"/>
            <w:bottom w:val="none" w:sz="0" w:space="0" w:color="auto"/>
            <w:right w:val="none" w:sz="0" w:space="0" w:color="auto"/>
          </w:divBdr>
        </w:div>
        <w:div w:id="113133133">
          <w:marLeft w:val="480"/>
          <w:marRight w:val="0"/>
          <w:marTop w:val="0"/>
          <w:marBottom w:val="0"/>
          <w:divBdr>
            <w:top w:val="none" w:sz="0" w:space="0" w:color="auto"/>
            <w:left w:val="none" w:sz="0" w:space="0" w:color="auto"/>
            <w:bottom w:val="none" w:sz="0" w:space="0" w:color="auto"/>
            <w:right w:val="none" w:sz="0" w:space="0" w:color="auto"/>
          </w:divBdr>
        </w:div>
        <w:div w:id="1553733071">
          <w:marLeft w:val="480"/>
          <w:marRight w:val="0"/>
          <w:marTop w:val="0"/>
          <w:marBottom w:val="0"/>
          <w:divBdr>
            <w:top w:val="none" w:sz="0" w:space="0" w:color="auto"/>
            <w:left w:val="none" w:sz="0" w:space="0" w:color="auto"/>
            <w:bottom w:val="none" w:sz="0" w:space="0" w:color="auto"/>
            <w:right w:val="none" w:sz="0" w:space="0" w:color="auto"/>
          </w:divBdr>
        </w:div>
        <w:div w:id="319581283">
          <w:marLeft w:val="480"/>
          <w:marRight w:val="0"/>
          <w:marTop w:val="0"/>
          <w:marBottom w:val="0"/>
          <w:divBdr>
            <w:top w:val="none" w:sz="0" w:space="0" w:color="auto"/>
            <w:left w:val="none" w:sz="0" w:space="0" w:color="auto"/>
            <w:bottom w:val="none" w:sz="0" w:space="0" w:color="auto"/>
            <w:right w:val="none" w:sz="0" w:space="0" w:color="auto"/>
          </w:divBdr>
        </w:div>
        <w:div w:id="1454905211">
          <w:marLeft w:val="480"/>
          <w:marRight w:val="0"/>
          <w:marTop w:val="0"/>
          <w:marBottom w:val="0"/>
          <w:divBdr>
            <w:top w:val="none" w:sz="0" w:space="0" w:color="auto"/>
            <w:left w:val="none" w:sz="0" w:space="0" w:color="auto"/>
            <w:bottom w:val="none" w:sz="0" w:space="0" w:color="auto"/>
            <w:right w:val="none" w:sz="0" w:space="0" w:color="auto"/>
          </w:divBdr>
        </w:div>
        <w:div w:id="978264745">
          <w:marLeft w:val="480"/>
          <w:marRight w:val="0"/>
          <w:marTop w:val="0"/>
          <w:marBottom w:val="0"/>
          <w:divBdr>
            <w:top w:val="none" w:sz="0" w:space="0" w:color="auto"/>
            <w:left w:val="none" w:sz="0" w:space="0" w:color="auto"/>
            <w:bottom w:val="none" w:sz="0" w:space="0" w:color="auto"/>
            <w:right w:val="none" w:sz="0" w:space="0" w:color="auto"/>
          </w:divBdr>
        </w:div>
        <w:div w:id="1114792471">
          <w:marLeft w:val="480"/>
          <w:marRight w:val="0"/>
          <w:marTop w:val="0"/>
          <w:marBottom w:val="0"/>
          <w:divBdr>
            <w:top w:val="none" w:sz="0" w:space="0" w:color="auto"/>
            <w:left w:val="none" w:sz="0" w:space="0" w:color="auto"/>
            <w:bottom w:val="none" w:sz="0" w:space="0" w:color="auto"/>
            <w:right w:val="none" w:sz="0" w:space="0" w:color="auto"/>
          </w:divBdr>
        </w:div>
        <w:div w:id="1564484258">
          <w:marLeft w:val="480"/>
          <w:marRight w:val="0"/>
          <w:marTop w:val="0"/>
          <w:marBottom w:val="0"/>
          <w:divBdr>
            <w:top w:val="none" w:sz="0" w:space="0" w:color="auto"/>
            <w:left w:val="none" w:sz="0" w:space="0" w:color="auto"/>
            <w:bottom w:val="none" w:sz="0" w:space="0" w:color="auto"/>
            <w:right w:val="none" w:sz="0" w:space="0" w:color="auto"/>
          </w:divBdr>
        </w:div>
        <w:div w:id="1401099079">
          <w:marLeft w:val="480"/>
          <w:marRight w:val="0"/>
          <w:marTop w:val="0"/>
          <w:marBottom w:val="0"/>
          <w:divBdr>
            <w:top w:val="none" w:sz="0" w:space="0" w:color="auto"/>
            <w:left w:val="none" w:sz="0" w:space="0" w:color="auto"/>
            <w:bottom w:val="none" w:sz="0" w:space="0" w:color="auto"/>
            <w:right w:val="none" w:sz="0" w:space="0" w:color="auto"/>
          </w:divBdr>
        </w:div>
        <w:div w:id="1815904103">
          <w:marLeft w:val="480"/>
          <w:marRight w:val="0"/>
          <w:marTop w:val="0"/>
          <w:marBottom w:val="0"/>
          <w:divBdr>
            <w:top w:val="none" w:sz="0" w:space="0" w:color="auto"/>
            <w:left w:val="none" w:sz="0" w:space="0" w:color="auto"/>
            <w:bottom w:val="none" w:sz="0" w:space="0" w:color="auto"/>
            <w:right w:val="none" w:sz="0" w:space="0" w:color="auto"/>
          </w:divBdr>
        </w:div>
        <w:div w:id="1230572970">
          <w:marLeft w:val="480"/>
          <w:marRight w:val="0"/>
          <w:marTop w:val="0"/>
          <w:marBottom w:val="0"/>
          <w:divBdr>
            <w:top w:val="none" w:sz="0" w:space="0" w:color="auto"/>
            <w:left w:val="none" w:sz="0" w:space="0" w:color="auto"/>
            <w:bottom w:val="none" w:sz="0" w:space="0" w:color="auto"/>
            <w:right w:val="none" w:sz="0" w:space="0" w:color="auto"/>
          </w:divBdr>
        </w:div>
        <w:div w:id="1496873550">
          <w:marLeft w:val="480"/>
          <w:marRight w:val="0"/>
          <w:marTop w:val="0"/>
          <w:marBottom w:val="0"/>
          <w:divBdr>
            <w:top w:val="none" w:sz="0" w:space="0" w:color="auto"/>
            <w:left w:val="none" w:sz="0" w:space="0" w:color="auto"/>
            <w:bottom w:val="none" w:sz="0" w:space="0" w:color="auto"/>
            <w:right w:val="none" w:sz="0" w:space="0" w:color="auto"/>
          </w:divBdr>
        </w:div>
        <w:div w:id="1897811701">
          <w:marLeft w:val="480"/>
          <w:marRight w:val="0"/>
          <w:marTop w:val="0"/>
          <w:marBottom w:val="0"/>
          <w:divBdr>
            <w:top w:val="none" w:sz="0" w:space="0" w:color="auto"/>
            <w:left w:val="none" w:sz="0" w:space="0" w:color="auto"/>
            <w:bottom w:val="none" w:sz="0" w:space="0" w:color="auto"/>
            <w:right w:val="none" w:sz="0" w:space="0" w:color="auto"/>
          </w:divBdr>
        </w:div>
        <w:div w:id="783501714">
          <w:marLeft w:val="480"/>
          <w:marRight w:val="0"/>
          <w:marTop w:val="0"/>
          <w:marBottom w:val="0"/>
          <w:divBdr>
            <w:top w:val="none" w:sz="0" w:space="0" w:color="auto"/>
            <w:left w:val="none" w:sz="0" w:space="0" w:color="auto"/>
            <w:bottom w:val="none" w:sz="0" w:space="0" w:color="auto"/>
            <w:right w:val="none" w:sz="0" w:space="0" w:color="auto"/>
          </w:divBdr>
        </w:div>
        <w:div w:id="541212663">
          <w:marLeft w:val="480"/>
          <w:marRight w:val="0"/>
          <w:marTop w:val="0"/>
          <w:marBottom w:val="0"/>
          <w:divBdr>
            <w:top w:val="none" w:sz="0" w:space="0" w:color="auto"/>
            <w:left w:val="none" w:sz="0" w:space="0" w:color="auto"/>
            <w:bottom w:val="none" w:sz="0" w:space="0" w:color="auto"/>
            <w:right w:val="none" w:sz="0" w:space="0" w:color="auto"/>
          </w:divBdr>
        </w:div>
        <w:div w:id="226107716">
          <w:marLeft w:val="480"/>
          <w:marRight w:val="0"/>
          <w:marTop w:val="0"/>
          <w:marBottom w:val="0"/>
          <w:divBdr>
            <w:top w:val="none" w:sz="0" w:space="0" w:color="auto"/>
            <w:left w:val="none" w:sz="0" w:space="0" w:color="auto"/>
            <w:bottom w:val="none" w:sz="0" w:space="0" w:color="auto"/>
            <w:right w:val="none" w:sz="0" w:space="0" w:color="auto"/>
          </w:divBdr>
        </w:div>
        <w:div w:id="1297954976">
          <w:marLeft w:val="480"/>
          <w:marRight w:val="0"/>
          <w:marTop w:val="0"/>
          <w:marBottom w:val="0"/>
          <w:divBdr>
            <w:top w:val="none" w:sz="0" w:space="0" w:color="auto"/>
            <w:left w:val="none" w:sz="0" w:space="0" w:color="auto"/>
            <w:bottom w:val="none" w:sz="0" w:space="0" w:color="auto"/>
            <w:right w:val="none" w:sz="0" w:space="0" w:color="auto"/>
          </w:divBdr>
        </w:div>
        <w:div w:id="576789471">
          <w:marLeft w:val="480"/>
          <w:marRight w:val="0"/>
          <w:marTop w:val="0"/>
          <w:marBottom w:val="0"/>
          <w:divBdr>
            <w:top w:val="none" w:sz="0" w:space="0" w:color="auto"/>
            <w:left w:val="none" w:sz="0" w:space="0" w:color="auto"/>
            <w:bottom w:val="none" w:sz="0" w:space="0" w:color="auto"/>
            <w:right w:val="none" w:sz="0" w:space="0" w:color="auto"/>
          </w:divBdr>
        </w:div>
        <w:div w:id="1549486862">
          <w:marLeft w:val="480"/>
          <w:marRight w:val="0"/>
          <w:marTop w:val="0"/>
          <w:marBottom w:val="0"/>
          <w:divBdr>
            <w:top w:val="none" w:sz="0" w:space="0" w:color="auto"/>
            <w:left w:val="none" w:sz="0" w:space="0" w:color="auto"/>
            <w:bottom w:val="none" w:sz="0" w:space="0" w:color="auto"/>
            <w:right w:val="none" w:sz="0" w:space="0" w:color="auto"/>
          </w:divBdr>
        </w:div>
        <w:div w:id="588848864">
          <w:marLeft w:val="480"/>
          <w:marRight w:val="0"/>
          <w:marTop w:val="0"/>
          <w:marBottom w:val="0"/>
          <w:divBdr>
            <w:top w:val="none" w:sz="0" w:space="0" w:color="auto"/>
            <w:left w:val="none" w:sz="0" w:space="0" w:color="auto"/>
            <w:bottom w:val="none" w:sz="0" w:space="0" w:color="auto"/>
            <w:right w:val="none" w:sz="0" w:space="0" w:color="auto"/>
          </w:divBdr>
        </w:div>
        <w:div w:id="1884173837">
          <w:marLeft w:val="480"/>
          <w:marRight w:val="0"/>
          <w:marTop w:val="0"/>
          <w:marBottom w:val="0"/>
          <w:divBdr>
            <w:top w:val="none" w:sz="0" w:space="0" w:color="auto"/>
            <w:left w:val="none" w:sz="0" w:space="0" w:color="auto"/>
            <w:bottom w:val="none" w:sz="0" w:space="0" w:color="auto"/>
            <w:right w:val="none" w:sz="0" w:space="0" w:color="auto"/>
          </w:divBdr>
        </w:div>
        <w:div w:id="317921101">
          <w:marLeft w:val="480"/>
          <w:marRight w:val="0"/>
          <w:marTop w:val="0"/>
          <w:marBottom w:val="0"/>
          <w:divBdr>
            <w:top w:val="none" w:sz="0" w:space="0" w:color="auto"/>
            <w:left w:val="none" w:sz="0" w:space="0" w:color="auto"/>
            <w:bottom w:val="none" w:sz="0" w:space="0" w:color="auto"/>
            <w:right w:val="none" w:sz="0" w:space="0" w:color="auto"/>
          </w:divBdr>
        </w:div>
        <w:div w:id="1190098647">
          <w:marLeft w:val="480"/>
          <w:marRight w:val="0"/>
          <w:marTop w:val="0"/>
          <w:marBottom w:val="0"/>
          <w:divBdr>
            <w:top w:val="none" w:sz="0" w:space="0" w:color="auto"/>
            <w:left w:val="none" w:sz="0" w:space="0" w:color="auto"/>
            <w:bottom w:val="none" w:sz="0" w:space="0" w:color="auto"/>
            <w:right w:val="none" w:sz="0" w:space="0" w:color="auto"/>
          </w:divBdr>
        </w:div>
        <w:div w:id="1120879826">
          <w:marLeft w:val="480"/>
          <w:marRight w:val="0"/>
          <w:marTop w:val="0"/>
          <w:marBottom w:val="0"/>
          <w:divBdr>
            <w:top w:val="none" w:sz="0" w:space="0" w:color="auto"/>
            <w:left w:val="none" w:sz="0" w:space="0" w:color="auto"/>
            <w:bottom w:val="none" w:sz="0" w:space="0" w:color="auto"/>
            <w:right w:val="none" w:sz="0" w:space="0" w:color="auto"/>
          </w:divBdr>
        </w:div>
        <w:div w:id="453451190">
          <w:marLeft w:val="480"/>
          <w:marRight w:val="0"/>
          <w:marTop w:val="0"/>
          <w:marBottom w:val="0"/>
          <w:divBdr>
            <w:top w:val="none" w:sz="0" w:space="0" w:color="auto"/>
            <w:left w:val="none" w:sz="0" w:space="0" w:color="auto"/>
            <w:bottom w:val="none" w:sz="0" w:space="0" w:color="auto"/>
            <w:right w:val="none" w:sz="0" w:space="0" w:color="auto"/>
          </w:divBdr>
        </w:div>
        <w:div w:id="114712816">
          <w:marLeft w:val="480"/>
          <w:marRight w:val="0"/>
          <w:marTop w:val="0"/>
          <w:marBottom w:val="0"/>
          <w:divBdr>
            <w:top w:val="none" w:sz="0" w:space="0" w:color="auto"/>
            <w:left w:val="none" w:sz="0" w:space="0" w:color="auto"/>
            <w:bottom w:val="none" w:sz="0" w:space="0" w:color="auto"/>
            <w:right w:val="none" w:sz="0" w:space="0" w:color="auto"/>
          </w:divBdr>
        </w:div>
        <w:div w:id="214315558">
          <w:marLeft w:val="480"/>
          <w:marRight w:val="0"/>
          <w:marTop w:val="0"/>
          <w:marBottom w:val="0"/>
          <w:divBdr>
            <w:top w:val="none" w:sz="0" w:space="0" w:color="auto"/>
            <w:left w:val="none" w:sz="0" w:space="0" w:color="auto"/>
            <w:bottom w:val="none" w:sz="0" w:space="0" w:color="auto"/>
            <w:right w:val="none" w:sz="0" w:space="0" w:color="auto"/>
          </w:divBdr>
        </w:div>
        <w:div w:id="492794579">
          <w:marLeft w:val="480"/>
          <w:marRight w:val="0"/>
          <w:marTop w:val="0"/>
          <w:marBottom w:val="0"/>
          <w:divBdr>
            <w:top w:val="none" w:sz="0" w:space="0" w:color="auto"/>
            <w:left w:val="none" w:sz="0" w:space="0" w:color="auto"/>
            <w:bottom w:val="none" w:sz="0" w:space="0" w:color="auto"/>
            <w:right w:val="none" w:sz="0" w:space="0" w:color="auto"/>
          </w:divBdr>
        </w:div>
        <w:div w:id="514806305">
          <w:marLeft w:val="480"/>
          <w:marRight w:val="0"/>
          <w:marTop w:val="0"/>
          <w:marBottom w:val="0"/>
          <w:divBdr>
            <w:top w:val="none" w:sz="0" w:space="0" w:color="auto"/>
            <w:left w:val="none" w:sz="0" w:space="0" w:color="auto"/>
            <w:bottom w:val="none" w:sz="0" w:space="0" w:color="auto"/>
            <w:right w:val="none" w:sz="0" w:space="0" w:color="auto"/>
          </w:divBdr>
        </w:div>
        <w:div w:id="1316565969">
          <w:marLeft w:val="480"/>
          <w:marRight w:val="0"/>
          <w:marTop w:val="0"/>
          <w:marBottom w:val="0"/>
          <w:divBdr>
            <w:top w:val="none" w:sz="0" w:space="0" w:color="auto"/>
            <w:left w:val="none" w:sz="0" w:space="0" w:color="auto"/>
            <w:bottom w:val="none" w:sz="0" w:space="0" w:color="auto"/>
            <w:right w:val="none" w:sz="0" w:space="0" w:color="auto"/>
          </w:divBdr>
        </w:div>
        <w:div w:id="249388307">
          <w:marLeft w:val="480"/>
          <w:marRight w:val="0"/>
          <w:marTop w:val="0"/>
          <w:marBottom w:val="0"/>
          <w:divBdr>
            <w:top w:val="none" w:sz="0" w:space="0" w:color="auto"/>
            <w:left w:val="none" w:sz="0" w:space="0" w:color="auto"/>
            <w:bottom w:val="none" w:sz="0" w:space="0" w:color="auto"/>
            <w:right w:val="none" w:sz="0" w:space="0" w:color="auto"/>
          </w:divBdr>
        </w:div>
        <w:div w:id="390036182">
          <w:marLeft w:val="480"/>
          <w:marRight w:val="0"/>
          <w:marTop w:val="0"/>
          <w:marBottom w:val="0"/>
          <w:divBdr>
            <w:top w:val="none" w:sz="0" w:space="0" w:color="auto"/>
            <w:left w:val="none" w:sz="0" w:space="0" w:color="auto"/>
            <w:bottom w:val="none" w:sz="0" w:space="0" w:color="auto"/>
            <w:right w:val="none" w:sz="0" w:space="0" w:color="auto"/>
          </w:divBdr>
        </w:div>
        <w:div w:id="1574513136">
          <w:marLeft w:val="480"/>
          <w:marRight w:val="0"/>
          <w:marTop w:val="0"/>
          <w:marBottom w:val="0"/>
          <w:divBdr>
            <w:top w:val="none" w:sz="0" w:space="0" w:color="auto"/>
            <w:left w:val="none" w:sz="0" w:space="0" w:color="auto"/>
            <w:bottom w:val="none" w:sz="0" w:space="0" w:color="auto"/>
            <w:right w:val="none" w:sz="0" w:space="0" w:color="auto"/>
          </w:divBdr>
        </w:div>
        <w:div w:id="425544734">
          <w:marLeft w:val="480"/>
          <w:marRight w:val="0"/>
          <w:marTop w:val="0"/>
          <w:marBottom w:val="0"/>
          <w:divBdr>
            <w:top w:val="none" w:sz="0" w:space="0" w:color="auto"/>
            <w:left w:val="none" w:sz="0" w:space="0" w:color="auto"/>
            <w:bottom w:val="none" w:sz="0" w:space="0" w:color="auto"/>
            <w:right w:val="none" w:sz="0" w:space="0" w:color="auto"/>
          </w:divBdr>
        </w:div>
        <w:div w:id="1158305793">
          <w:marLeft w:val="480"/>
          <w:marRight w:val="0"/>
          <w:marTop w:val="0"/>
          <w:marBottom w:val="0"/>
          <w:divBdr>
            <w:top w:val="none" w:sz="0" w:space="0" w:color="auto"/>
            <w:left w:val="none" w:sz="0" w:space="0" w:color="auto"/>
            <w:bottom w:val="none" w:sz="0" w:space="0" w:color="auto"/>
            <w:right w:val="none" w:sz="0" w:space="0" w:color="auto"/>
          </w:divBdr>
        </w:div>
        <w:div w:id="1377925595">
          <w:marLeft w:val="480"/>
          <w:marRight w:val="0"/>
          <w:marTop w:val="0"/>
          <w:marBottom w:val="0"/>
          <w:divBdr>
            <w:top w:val="none" w:sz="0" w:space="0" w:color="auto"/>
            <w:left w:val="none" w:sz="0" w:space="0" w:color="auto"/>
            <w:bottom w:val="none" w:sz="0" w:space="0" w:color="auto"/>
            <w:right w:val="none" w:sz="0" w:space="0" w:color="auto"/>
          </w:divBdr>
        </w:div>
        <w:div w:id="1093092978">
          <w:marLeft w:val="480"/>
          <w:marRight w:val="0"/>
          <w:marTop w:val="0"/>
          <w:marBottom w:val="0"/>
          <w:divBdr>
            <w:top w:val="none" w:sz="0" w:space="0" w:color="auto"/>
            <w:left w:val="none" w:sz="0" w:space="0" w:color="auto"/>
            <w:bottom w:val="none" w:sz="0" w:space="0" w:color="auto"/>
            <w:right w:val="none" w:sz="0" w:space="0" w:color="auto"/>
          </w:divBdr>
        </w:div>
        <w:div w:id="78331616">
          <w:marLeft w:val="480"/>
          <w:marRight w:val="0"/>
          <w:marTop w:val="0"/>
          <w:marBottom w:val="0"/>
          <w:divBdr>
            <w:top w:val="none" w:sz="0" w:space="0" w:color="auto"/>
            <w:left w:val="none" w:sz="0" w:space="0" w:color="auto"/>
            <w:bottom w:val="none" w:sz="0" w:space="0" w:color="auto"/>
            <w:right w:val="none" w:sz="0" w:space="0" w:color="auto"/>
          </w:divBdr>
        </w:div>
        <w:div w:id="1940091893">
          <w:marLeft w:val="480"/>
          <w:marRight w:val="0"/>
          <w:marTop w:val="0"/>
          <w:marBottom w:val="0"/>
          <w:divBdr>
            <w:top w:val="none" w:sz="0" w:space="0" w:color="auto"/>
            <w:left w:val="none" w:sz="0" w:space="0" w:color="auto"/>
            <w:bottom w:val="none" w:sz="0" w:space="0" w:color="auto"/>
            <w:right w:val="none" w:sz="0" w:space="0" w:color="auto"/>
          </w:divBdr>
        </w:div>
        <w:div w:id="373773980">
          <w:marLeft w:val="480"/>
          <w:marRight w:val="0"/>
          <w:marTop w:val="0"/>
          <w:marBottom w:val="0"/>
          <w:divBdr>
            <w:top w:val="none" w:sz="0" w:space="0" w:color="auto"/>
            <w:left w:val="none" w:sz="0" w:space="0" w:color="auto"/>
            <w:bottom w:val="none" w:sz="0" w:space="0" w:color="auto"/>
            <w:right w:val="none" w:sz="0" w:space="0" w:color="auto"/>
          </w:divBdr>
        </w:div>
        <w:div w:id="686255059">
          <w:marLeft w:val="480"/>
          <w:marRight w:val="0"/>
          <w:marTop w:val="0"/>
          <w:marBottom w:val="0"/>
          <w:divBdr>
            <w:top w:val="none" w:sz="0" w:space="0" w:color="auto"/>
            <w:left w:val="none" w:sz="0" w:space="0" w:color="auto"/>
            <w:bottom w:val="none" w:sz="0" w:space="0" w:color="auto"/>
            <w:right w:val="none" w:sz="0" w:space="0" w:color="auto"/>
          </w:divBdr>
        </w:div>
        <w:div w:id="1844004371">
          <w:marLeft w:val="480"/>
          <w:marRight w:val="0"/>
          <w:marTop w:val="0"/>
          <w:marBottom w:val="0"/>
          <w:divBdr>
            <w:top w:val="none" w:sz="0" w:space="0" w:color="auto"/>
            <w:left w:val="none" w:sz="0" w:space="0" w:color="auto"/>
            <w:bottom w:val="none" w:sz="0" w:space="0" w:color="auto"/>
            <w:right w:val="none" w:sz="0" w:space="0" w:color="auto"/>
          </w:divBdr>
        </w:div>
        <w:div w:id="1601840265">
          <w:marLeft w:val="480"/>
          <w:marRight w:val="0"/>
          <w:marTop w:val="0"/>
          <w:marBottom w:val="0"/>
          <w:divBdr>
            <w:top w:val="none" w:sz="0" w:space="0" w:color="auto"/>
            <w:left w:val="none" w:sz="0" w:space="0" w:color="auto"/>
            <w:bottom w:val="none" w:sz="0" w:space="0" w:color="auto"/>
            <w:right w:val="none" w:sz="0" w:space="0" w:color="auto"/>
          </w:divBdr>
        </w:div>
        <w:div w:id="262686122">
          <w:marLeft w:val="480"/>
          <w:marRight w:val="0"/>
          <w:marTop w:val="0"/>
          <w:marBottom w:val="0"/>
          <w:divBdr>
            <w:top w:val="none" w:sz="0" w:space="0" w:color="auto"/>
            <w:left w:val="none" w:sz="0" w:space="0" w:color="auto"/>
            <w:bottom w:val="none" w:sz="0" w:space="0" w:color="auto"/>
            <w:right w:val="none" w:sz="0" w:space="0" w:color="auto"/>
          </w:divBdr>
        </w:div>
        <w:div w:id="1374692690">
          <w:marLeft w:val="480"/>
          <w:marRight w:val="0"/>
          <w:marTop w:val="0"/>
          <w:marBottom w:val="0"/>
          <w:divBdr>
            <w:top w:val="none" w:sz="0" w:space="0" w:color="auto"/>
            <w:left w:val="none" w:sz="0" w:space="0" w:color="auto"/>
            <w:bottom w:val="none" w:sz="0" w:space="0" w:color="auto"/>
            <w:right w:val="none" w:sz="0" w:space="0" w:color="auto"/>
          </w:divBdr>
        </w:div>
        <w:div w:id="410548168">
          <w:marLeft w:val="480"/>
          <w:marRight w:val="0"/>
          <w:marTop w:val="0"/>
          <w:marBottom w:val="0"/>
          <w:divBdr>
            <w:top w:val="none" w:sz="0" w:space="0" w:color="auto"/>
            <w:left w:val="none" w:sz="0" w:space="0" w:color="auto"/>
            <w:bottom w:val="none" w:sz="0" w:space="0" w:color="auto"/>
            <w:right w:val="none" w:sz="0" w:space="0" w:color="auto"/>
          </w:divBdr>
        </w:div>
        <w:div w:id="369838320">
          <w:marLeft w:val="480"/>
          <w:marRight w:val="0"/>
          <w:marTop w:val="0"/>
          <w:marBottom w:val="0"/>
          <w:divBdr>
            <w:top w:val="none" w:sz="0" w:space="0" w:color="auto"/>
            <w:left w:val="none" w:sz="0" w:space="0" w:color="auto"/>
            <w:bottom w:val="none" w:sz="0" w:space="0" w:color="auto"/>
            <w:right w:val="none" w:sz="0" w:space="0" w:color="auto"/>
          </w:divBdr>
        </w:div>
        <w:div w:id="296842628">
          <w:marLeft w:val="480"/>
          <w:marRight w:val="0"/>
          <w:marTop w:val="0"/>
          <w:marBottom w:val="0"/>
          <w:divBdr>
            <w:top w:val="none" w:sz="0" w:space="0" w:color="auto"/>
            <w:left w:val="none" w:sz="0" w:space="0" w:color="auto"/>
            <w:bottom w:val="none" w:sz="0" w:space="0" w:color="auto"/>
            <w:right w:val="none" w:sz="0" w:space="0" w:color="auto"/>
          </w:divBdr>
        </w:div>
        <w:div w:id="1032994905">
          <w:marLeft w:val="480"/>
          <w:marRight w:val="0"/>
          <w:marTop w:val="0"/>
          <w:marBottom w:val="0"/>
          <w:divBdr>
            <w:top w:val="none" w:sz="0" w:space="0" w:color="auto"/>
            <w:left w:val="none" w:sz="0" w:space="0" w:color="auto"/>
            <w:bottom w:val="none" w:sz="0" w:space="0" w:color="auto"/>
            <w:right w:val="none" w:sz="0" w:space="0" w:color="auto"/>
          </w:divBdr>
        </w:div>
        <w:div w:id="1717780322">
          <w:marLeft w:val="480"/>
          <w:marRight w:val="0"/>
          <w:marTop w:val="0"/>
          <w:marBottom w:val="0"/>
          <w:divBdr>
            <w:top w:val="none" w:sz="0" w:space="0" w:color="auto"/>
            <w:left w:val="none" w:sz="0" w:space="0" w:color="auto"/>
            <w:bottom w:val="none" w:sz="0" w:space="0" w:color="auto"/>
            <w:right w:val="none" w:sz="0" w:space="0" w:color="auto"/>
          </w:divBdr>
        </w:div>
        <w:div w:id="749497282">
          <w:marLeft w:val="480"/>
          <w:marRight w:val="0"/>
          <w:marTop w:val="0"/>
          <w:marBottom w:val="0"/>
          <w:divBdr>
            <w:top w:val="none" w:sz="0" w:space="0" w:color="auto"/>
            <w:left w:val="none" w:sz="0" w:space="0" w:color="auto"/>
            <w:bottom w:val="none" w:sz="0" w:space="0" w:color="auto"/>
            <w:right w:val="none" w:sz="0" w:space="0" w:color="auto"/>
          </w:divBdr>
        </w:div>
        <w:div w:id="793985748">
          <w:marLeft w:val="480"/>
          <w:marRight w:val="0"/>
          <w:marTop w:val="0"/>
          <w:marBottom w:val="0"/>
          <w:divBdr>
            <w:top w:val="none" w:sz="0" w:space="0" w:color="auto"/>
            <w:left w:val="none" w:sz="0" w:space="0" w:color="auto"/>
            <w:bottom w:val="none" w:sz="0" w:space="0" w:color="auto"/>
            <w:right w:val="none" w:sz="0" w:space="0" w:color="auto"/>
          </w:divBdr>
        </w:div>
        <w:div w:id="1437139059">
          <w:marLeft w:val="480"/>
          <w:marRight w:val="0"/>
          <w:marTop w:val="0"/>
          <w:marBottom w:val="0"/>
          <w:divBdr>
            <w:top w:val="none" w:sz="0" w:space="0" w:color="auto"/>
            <w:left w:val="none" w:sz="0" w:space="0" w:color="auto"/>
            <w:bottom w:val="none" w:sz="0" w:space="0" w:color="auto"/>
            <w:right w:val="none" w:sz="0" w:space="0" w:color="auto"/>
          </w:divBdr>
        </w:div>
        <w:div w:id="771628214">
          <w:marLeft w:val="480"/>
          <w:marRight w:val="0"/>
          <w:marTop w:val="0"/>
          <w:marBottom w:val="0"/>
          <w:divBdr>
            <w:top w:val="none" w:sz="0" w:space="0" w:color="auto"/>
            <w:left w:val="none" w:sz="0" w:space="0" w:color="auto"/>
            <w:bottom w:val="none" w:sz="0" w:space="0" w:color="auto"/>
            <w:right w:val="none" w:sz="0" w:space="0" w:color="auto"/>
          </w:divBdr>
        </w:div>
        <w:div w:id="339434219">
          <w:marLeft w:val="480"/>
          <w:marRight w:val="0"/>
          <w:marTop w:val="0"/>
          <w:marBottom w:val="0"/>
          <w:divBdr>
            <w:top w:val="none" w:sz="0" w:space="0" w:color="auto"/>
            <w:left w:val="none" w:sz="0" w:space="0" w:color="auto"/>
            <w:bottom w:val="none" w:sz="0" w:space="0" w:color="auto"/>
            <w:right w:val="none" w:sz="0" w:space="0" w:color="auto"/>
          </w:divBdr>
        </w:div>
        <w:div w:id="1242134360">
          <w:marLeft w:val="480"/>
          <w:marRight w:val="0"/>
          <w:marTop w:val="0"/>
          <w:marBottom w:val="0"/>
          <w:divBdr>
            <w:top w:val="none" w:sz="0" w:space="0" w:color="auto"/>
            <w:left w:val="none" w:sz="0" w:space="0" w:color="auto"/>
            <w:bottom w:val="none" w:sz="0" w:space="0" w:color="auto"/>
            <w:right w:val="none" w:sz="0" w:space="0" w:color="auto"/>
          </w:divBdr>
        </w:div>
        <w:div w:id="1706371591">
          <w:marLeft w:val="480"/>
          <w:marRight w:val="0"/>
          <w:marTop w:val="0"/>
          <w:marBottom w:val="0"/>
          <w:divBdr>
            <w:top w:val="none" w:sz="0" w:space="0" w:color="auto"/>
            <w:left w:val="none" w:sz="0" w:space="0" w:color="auto"/>
            <w:bottom w:val="none" w:sz="0" w:space="0" w:color="auto"/>
            <w:right w:val="none" w:sz="0" w:space="0" w:color="auto"/>
          </w:divBdr>
        </w:div>
        <w:div w:id="1415054197">
          <w:marLeft w:val="480"/>
          <w:marRight w:val="0"/>
          <w:marTop w:val="0"/>
          <w:marBottom w:val="0"/>
          <w:divBdr>
            <w:top w:val="none" w:sz="0" w:space="0" w:color="auto"/>
            <w:left w:val="none" w:sz="0" w:space="0" w:color="auto"/>
            <w:bottom w:val="none" w:sz="0" w:space="0" w:color="auto"/>
            <w:right w:val="none" w:sz="0" w:space="0" w:color="auto"/>
          </w:divBdr>
        </w:div>
        <w:div w:id="288167241">
          <w:marLeft w:val="480"/>
          <w:marRight w:val="0"/>
          <w:marTop w:val="0"/>
          <w:marBottom w:val="0"/>
          <w:divBdr>
            <w:top w:val="none" w:sz="0" w:space="0" w:color="auto"/>
            <w:left w:val="none" w:sz="0" w:space="0" w:color="auto"/>
            <w:bottom w:val="none" w:sz="0" w:space="0" w:color="auto"/>
            <w:right w:val="none" w:sz="0" w:space="0" w:color="auto"/>
          </w:divBdr>
        </w:div>
        <w:div w:id="295793346">
          <w:marLeft w:val="480"/>
          <w:marRight w:val="0"/>
          <w:marTop w:val="0"/>
          <w:marBottom w:val="0"/>
          <w:divBdr>
            <w:top w:val="none" w:sz="0" w:space="0" w:color="auto"/>
            <w:left w:val="none" w:sz="0" w:space="0" w:color="auto"/>
            <w:bottom w:val="none" w:sz="0" w:space="0" w:color="auto"/>
            <w:right w:val="none" w:sz="0" w:space="0" w:color="auto"/>
          </w:divBdr>
        </w:div>
        <w:div w:id="431560149">
          <w:marLeft w:val="480"/>
          <w:marRight w:val="0"/>
          <w:marTop w:val="0"/>
          <w:marBottom w:val="0"/>
          <w:divBdr>
            <w:top w:val="none" w:sz="0" w:space="0" w:color="auto"/>
            <w:left w:val="none" w:sz="0" w:space="0" w:color="auto"/>
            <w:bottom w:val="none" w:sz="0" w:space="0" w:color="auto"/>
            <w:right w:val="none" w:sz="0" w:space="0" w:color="auto"/>
          </w:divBdr>
        </w:div>
        <w:div w:id="1863930473">
          <w:marLeft w:val="480"/>
          <w:marRight w:val="0"/>
          <w:marTop w:val="0"/>
          <w:marBottom w:val="0"/>
          <w:divBdr>
            <w:top w:val="none" w:sz="0" w:space="0" w:color="auto"/>
            <w:left w:val="none" w:sz="0" w:space="0" w:color="auto"/>
            <w:bottom w:val="none" w:sz="0" w:space="0" w:color="auto"/>
            <w:right w:val="none" w:sz="0" w:space="0" w:color="auto"/>
          </w:divBdr>
        </w:div>
        <w:div w:id="880048945">
          <w:marLeft w:val="480"/>
          <w:marRight w:val="0"/>
          <w:marTop w:val="0"/>
          <w:marBottom w:val="0"/>
          <w:divBdr>
            <w:top w:val="none" w:sz="0" w:space="0" w:color="auto"/>
            <w:left w:val="none" w:sz="0" w:space="0" w:color="auto"/>
            <w:bottom w:val="none" w:sz="0" w:space="0" w:color="auto"/>
            <w:right w:val="none" w:sz="0" w:space="0" w:color="auto"/>
          </w:divBdr>
        </w:div>
        <w:div w:id="786126393">
          <w:marLeft w:val="480"/>
          <w:marRight w:val="0"/>
          <w:marTop w:val="0"/>
          <w:marBottom w:val="0"/>
          <w:divBdr>
            <w:top w:val="none" w:sz="0" w:space="0" w:color="auto"/>
            <w:left w:val="none" w:sz="0" w:space="0" w:color="auto"/>
            <w:bottom w:val="none" w:sz="0" w:space="0" w:color="auto"/>
            <w:right w:val="none" w:sz="0" w:space="0" w:color="auto"/>
          </w:divBdr>
        </w:div>
        <w:div w:id="618680577">
          <w:marLeft w:val="480"/>
          <w:marRight w:val="0"/>
          <w:marTop w:val="0"/>
          <w:marBottom w:val="0"/>
          <w:divBdr>
            <w:top w:val="none" w:sz="0" w:space="0" w:color="auto"/>
            <w:left w:val="none" w:sz="0" w:space="0" w:color="auto"/>
            <w:bottom w:val="none" w:sz="0" w:space="0" w:color="auto"/>
            <w:right w:val="none" w:sz="0" w:space="0" w:color="auto"/>
          </w:divBdr>
        </w:div>
        <w:div w:id="1257908911">
          <w:marLeft w:val="480"/>
          <w:marRight w:val="0"/>
          <w:marTop w:val="0"/>
          <w:marBottom w:val="0"/>
          <w:divBdr>
            <w:top w:val="none" w:sz="0" w:space="0" w:color="auto"/>
            <w:left w:val="none" w:sz="0" w:space="0" w:color="auto"/>
            <w:bottom w:val="none" w:sz="0" w:space="0" w:color="auto"/>
            <w:right w:val="none" w:sz="0" w:space="0" w:color="auto"/>
          </w:divBdr>
        </w:div>
        <w:div w:id="738553638">
          <w:marLeft w:val="480"/>
          <w:marRight w:val="0"/>
          <w:marTop w:val="0"/>
          <w:marBottom w:val="0"/>
          <w:divBdr>
            <w:top w:val="none" w:sz="0" w:space="0" w:color="auto"/>
            <w:left w:val="none" w:sz="0" w:space="0" w:color="auto"/>
            <w:bottom w:val="none" w:sz="0" w:space="0" w:color="auto"/>
            <w:right w:val="none" w:sz="0" w:space="0" w:color="auto"/>
          </w:divBdr>
        </w:div>
      </w:divsChild>
    </w:div>
    <w:div w:id="35743758">
      <w:bodyDiv w:val="1"/>
      <w:marLeft w:val="0"/>
      <w:marRight w:val="0"/>
      <w:marTop w:val="0"/>
      <w:marBottom w:val="0"/>
      <w:divBdr>
        <w:top w:val="none" w:sz="0" w:space="0" w:color="auto"/>
        <w:left w:val="none" w:sz="0" w:space="0" w:color="auto"/>
        <w:bottom w:val="none" w:sz="0" w:space="0" w:color="auto"/>
        <w:right w:val="none" w:sz="0" w:space="0" w:color="auto"/>
      </w:divBdr>
    </w:div>
    <w:div w:id="36241627">
      <w:bodyDiv w:val="1"/>
      <w:marLeft w:val="0"/>
      <w:marRight w:val="0"/>
      <w:marTop w:val="0"/>
      <w:marBottom w:val="0"/>
      <w:divBdr>
        <w:top w:val="none" w:sz="0" w:space="0" w:color="auto"/>
        <w:left w:val="none" w:sz="0" w:space="0" w:color="auto"/>
        <w:bottom w:val="none" w:sz="0" w:space="0" w:color="auto"/>
        <w:right w:val="none" w:sz="0" w:space="0" w:color="auto"/>
      </w:divBdr>
    </w:div>
    <w:div w:id="36899096">
      <w:bodyDiv w:val="1"/>
      <w:marLeft w:val="0"/>
      <w:marRight w:val="0"/>
      <w:marTop w:val="0"/>
      <w:marBottom w:val="0"/>
      <w:divBdr>
        <w:top w:val="none" w:sz="0" w:space="0" w:color="auto"/>
        <w:left w:val="none" w:sz="0" w:space="0" w:color="auto"/>
        <w:bottom w:val="none" w:sz="0" w:space="0" w:color="auto"/>
        <w:right w:val="none" w:sz="0" w:space="0" w:color="auto"/>
      </w:divBdr>
    </w:div>
    <w:div w:id="36904872">
      <w:bodyDiv w:val="1"/>
      <w:marLeft w:val="0"/>
      <w:marRight w:val="0"/>
      <w:marTop w:val="0"/>
      <w:marBottom w:val="0"/>
      <w:divBdr>
        <w:top w:val="none" w:sz="0" w:space="0" w:color="auto"/>
        <w:left w:val="none" w:sz="0" w:space="0" w:color="auto"/>
        <w:bottom w:val="none" w:sz="0" w:space="0" w:color="auto"/>
        <w:right w:val="none" w:sz="0" w:space="0" w:color="auto"/>
      </w:divBdr>
    </w:div>
    <w:div w:id="37318605">
      <w:bodyDiv w:val="1"/>
      <w:marLeft w:val="0"/>
      <w:marRight w:val="0"/>
      <w:marTop w:val="0"/>
      <w:marBottom w:val="0"/>
      <w:divBdr>
        <w:top w:val="none" w:sz="0" w:space="0" w:color="auto"/>
        <w:left w:val="none" w:sz="0" w:space="0" w:color="auto"/>
        <w:bottom w:val="none" w:sz="0" w:space="0" w:color="auto"/>
        <w:right w:val="none" w:sz="0" w:space="0" w:color="auto"/>
      </w:divBdr>
    </w:div>
    <w:div w:id="37438312">
      <w:bodyDiv w:val="1"/>
      <w:marLeft w:val="0"/>
      <w:marRight w:val="0"/>
      <w:marTop w:val="0"/>
      <w:marBottom w:val="0"/>
      <w:divBdr>
        <w:top w:val="none" w:sz="0" w:space="0" w:color="auto"/>
        <w:left w:val="none" w:sz="0" w:space="0" w:color="auto"/>
        <w:bottom w:val="none" w:sz="0" w:space="0" w:color="auto"/>
        <w:right w:val="none" w:sz="0" w:space="0" w:color="auto"/>
      </w:divBdr>
    </w:div>
    <w:div w:id="37821495">
      <w:bodyDiv w:val="1"/>
      <w:marLeft w:val="0"/>
      <w:marRight w:val="0"/>
      <w:marTop w:val="0"/>
      <w:marBottom w:val="0"/>
      <w:divBdr>
        <w:top w:val="none" w:sz="0" w:space="0" w:color="auto"/>
        <w:left w:val="none" w:sz="0" w:space="0" w:color="auto"/>
        <w:bottom w:val="none" w:sz="0" w:space="0" w:color="auto"/>
        <w:right w:val="none" w:sz="0" w:space="0" w:color="auto"/>
      </w:divBdr>
    </w:div>
    <w:div w:id="38019029">
      <w:bodyDiv w:val="1"/>
      <w:marLeft w:val="0"/>
      <w:marRight w:val="0"/>
      <w:marTop w:val="0"/>
      <w:marBottom w:val="0"/>
      <w:divBdr>
        <w:top w:val="none" w:sz="0" w:space="0" w:color="auto"/>
        <w:left w:val="none" w:sz="0" w:space="0" w:color="auto"/>
        <w:bottom w:val="none" w:sz="0" w:space="0" w:color="auto"/>
        <w:right w:val="none" w:sz="0" w:space="0" w:color="auto"/>
      </w:divBdr>
    </w:div>
    <w:div w:id="38211920">
      <w:bodyDiv w:val="1"/>
      <w:marLeft w:val="0"/>
      <w:marRight w:val="0"/>
      <w:marTop w:val="0"/>
      <w:marBottom w:val="0"/>
      <w:divBdr>
        <w:top w:val="none" w:sz="0" w:space="0" w:color="auto"/>
        <w:left w:val="none" w:sz="0" w:space="0" w:color="auto"/>
        <w:bottom w:val="none" w:sz="0" w:space="0" w:color="auto"/>
        <w:right w:val="none" w:sz="0" w:space="0" w:color="auto"/>
      </w:divBdr>
    </w:div>
    <w:div w:id="38284392">
      <w:bodyDiv w:val="1"/>
      <w:marLeft w:val="0"/>
      <w:marRight w:val="0"/>
      <w:marTop w:val="0"/>
      <w:marBottom w:val="0"/>
      <w:divBdr>
        <w:top w:val="none" w:sz="0" w:space="0" w:color="auto"/>
        <w:left w:val="none" w:sz="0" w:space="0" w:color="auto"/>
        <w:bottom w:val="none" w:sz="0" w:space="0" w:color="auto"/>
        <w:right w:val="none" w:sz="0" w:space="0" w:color="auto"/>
      </w:divBdr>
    </w:div>
    <w:div w:id="38748676">
      <w:bodyDiv w:val="1"/>
      <w:marLeft w:val="0"/>
      <w:marRight w:val="0"/>
      <w:marTop w:val="0"/>
      <w:marBottom w:val="0"/>
      <w:divBdr>
        <w:top w:val="none" w:sz="0" w:space="0" w:color="auto"/>
        <w:left w:val="none" w:sz="0" w:space="0" w:color="auto"/>
        <w:bottom w:val="none" w:sz="0" w:space="0" w:color="auto"/>
        <w:right w:val="none" w:sz="0" w:space="0" w:color="auto"/>
      </w:divBdr>
    </w:div>
    <w:div w:id="39866687">
      <w:bodyDiv w:val="1"/>
      <w:marLeft w:val="0"/>
      <w:marRight w:val="0"/>
      <w:marTop w:val="0"/>
      <w:marBottom w:val="0"/>
      <w:divBdr>
        <w:top w:val="none" w:sz="0" w:space="0" w:color="auto"/>
        <w:left w:val="none" w:sz="0" w:space="0" w:color="auto"/>
        <w:bottom w:val="none" w:sz="0" w:space="0" w:color="auto"/>
        <w:right w:val="none" w:sz="0" w:space="0" w:color="auto"/>
      </w:divBdr>
    </w:div>
    <w:div w:id="39979872">
      <w:bodyDiv w:val="1"/>
      <w:marLeft w:val="0"/>
      <w:marRight w:val="0"/>
      <w:marTop w:val="0"/>
      <w:marBottom w:val="0"/>
      <w:divBdr>
        <w:top w:val="none" w:sz="0" w:space="0" w:color="auto"/>
        <w:left w:val="none" w:sz="0" w:space="0" w:color="auto"/>
        <w:bottom w:val="none" w:sz="0" w:space="0" w:color="auto"/>
        <w:right w:val="none" w:sz="0" w:space="0" w:color="auto"/>
      </w:divBdr>
    </w:div>
    <w:div w:id="40330843">
      <w:bodyDiv w:val="1"/>
      <w:marLeft w:val="0"/>
      <w:marRight w:val="0"/>
      <w:marTop w:val="0"/>
      <w:marBottom w:val="0"/>
      <w:divBdr>
        <w:top w:val="none" w:sz="0" w:space="0" w:color="auto"/>
        <w:left w:val="none" w:sz="0" w:space="0" w:color="auto"/>
        <w:bottom w:val="none" w:sz="0" w:space="0" w:color="auto"/>
        <w:right w:val="none" w:sz="0" w:space="0" w:color="auto"/>
      </w:divBdr>
    </w:div>
    <w:div w:id="40832902">
      <w:bodyDiv w:val="1"/>
      <w:marLeft w:val="0"/>
      <w:marRight w:val="0"/>
      <w:marTop w:val="0"/>
      <w:marBottom w:val="0"/>
      <w:divBdr>
        <w:top w:val="none" w:sz="0" w:space="0" w:color="auto"/>
        <w:left w:val="none" w:sz="0" w:space="0" w:color="auto"/>
        <w:bottom w:val="none" w:sz="0" w:space="0" w:color="auto"/>
        <w:right w:val="none" w:sz="0" w:space="0" w:color="auto"/>
      </w:divBdr>
    </w:div>
    <w:div w:id="40911373">
      <w:bodyDiv w:val="1"/>
      <w:marLeft w:val="0"/>
      <w:marRight w:val="0"/>
      <w:marTop w:val="0"/>
      <w:marBottom w:val="0"/>
      <w:divBdr>
        <w:top w:val="none" w:sz="0" w:space="0" w:color="auto"/>
        <w:left w:val="none" w:sz="0" w:space="0" w:color="auto"/>
        <w:bottom w:val="none" w:sz="0" w:space="0" w:color="auto"/>
        <w:right w:val="none" w:sz="0" w:space="0" w:color="auto"/>
      </w:divBdr>
    </w:div>
    <w:div w:id="41249013">
      <w:bodyDiv w:val="1"/>
      <w:marLeft w:val="0"/>
      <w:marRight w:val="0"/>
      <w:marTop w:val="0"/>
      <w:marBottom w:val="0"/>
      <w:divBdr>
        <w:top w:val="none" w:sz="0" w:space="0" w:color="auto"/>
        <w:left w:val="none" w:sz="0" w:space="0" w:color="auto"/>
        <w:bottom w:val="none" w:sz="0" w:space="0" w:color="auto"/>
        <w:right w:val="none" w:sz="0" w:space="0" w:color="auto"/>
      </w:divBdr>
    </w:div>
    <w:div w:id="41250913">
      <w:bodyDiv w:val="1"/>
      <w:marLeft w:val="0"/>
      <w:marRight w:val="0"/>
      <w:marTop w:val="0"/>
      <w:marBottom w:val="0"/>
      <w:divBdr>
        <w:top w:val="none" w:sz="0" w:space="0" w:color="auto"/>
        <w:left w:val="none" w:sz="0" w:space="0" w:color="auto"/>
        <w:bottom w:val="none" w:sz="0" w:space="0" w:color="auto"/>
        <w:right w:val="none" w:sz="0" w:space="0" w:color="auto"/>
      </w:divBdr>
    </w:div>
    <w:div w:id="42795773">
      <w:bodyDiv w:val="1"/>
      <w:marLeft w:val="0"/>
      <w:marRight w:val="0"/>
      <w:marTop w:val="0"/>
      <w:marBottom w:val="0"/>
      <w:divBdr>
        <w:top w:val="none" w:sz="0" w:space="0" w:color="auto"/>
        <w:left w:val="none" w:sz="0" w:space="0" w:color="auto"/>
        <w:bottom w:val="none" w:sz="0" w:space="0" w:color="auto"/>
        <w:right w:val="none" w:sz="0" w:space="0" w:color="auto"/>
      </w:divBdr>
    </w:div>
    <w:div w:id="42875995">
      <w:bodyDiv w:val="1"/>
      <w:marLeft w:val="0"/>
      <w:marRight w:val="0"/>
      <w:marTop w:val="0"/>
      <w:marBottom w:val="0"/>
      <w:divBdr>
        <w:top w:val="none" w:sz="0" w:space="0" w:color="auto"/>
        <w:left w:val="none" w:sz="0" w:space="0" w:color="auto"/>
        <w:bottom w:val="none" w:sz="0" w:space="0" w:color="auto"/>
        <w:right w:val="none" w:sz="0" w:space="0" w:color="auto"/>
      </w:divBdr>
    </w:div>
    <w:div w:id="43794081">
      <w:bodyDiv w:val="1"/>
      <w:marLeft w:val="0"/>
      <w:marRight w:val="0"/>
      <w:marTop w:val="0"/>
      <w:marBottom w:val="0"/>
      <w:divBdr>
        <w:top w:val="none" w:sz="0" w:space="0" w:color="auto"/>
        <w:left w:val="none" w:sz="0" w:space="0" w:color="auto"/>
        <w:bottom w:val="none" w:sz="0" w:space="0" w:color="auto"/>
        <w:right w:val="none" w:sz="0" w:space="0" w:color="auto"/>
      </w:divBdr>
    </w:div>
    <w:div w:id="44067364">
      <w:bodyDiv w:val="1"/>
      <w:marLeft w:val="0"/>
      <w:marRight w:val="0"/>
      <w:marTop w:val="0"/>
      <w:marBottom w:val="0"/>
      <w:divBdr>
        <w:top w:val="none" w:sz="0" w:space="0" w:color="auto"/>
        <w:left w:val="none" w:sz="0" w:space="0" w:color="auto"/>
        <w:bottom w:val="none" w:sz="0" w:space="0" w:color="auto"/>
        <w:right w:val="none" w:sz="0" w:space="0" w:color="auto"/>
      </w:divBdr>
    </w:div>
    <w:div w:id="45566153">
      <w:bodyDiv w:val="1"/>
      <w:marLeft w:val="0"/>
      <w:marRight w:val="0"/>
      <w:marTop w:val="0"/>
      <w:marBottom w:val="0"/>
      <w:divBdr>
        <w:top w:val="none" w:sz="0" w:space="0" w:color="auto"/>
        <w:left w:val="none" w:sz="0" w:space="0" w:color="auto"/>
        <w:bottom w:val="none" w:sz="0" w:space="0" w:color="auto"/>
        <w:right w:val="none" w:sz="0" w:space="0" w:color="auto"/>
      </w:divBdr>
    </w:div>
    <w:div w:id="46614962">
      <w:bodyDiv w:val="1"/>
      <w:marLeft w:val="0"/>
      <w:marRight w:val="0"/>
      <w:marTop w:val="0"/>
      <w:marBottom w:val="0"/>
      <w:divBdr>
        <w:top w:val="none" w:sz="0" w:space="0" w:color="auto"/>
        <w:left w:val="none" w:sz="0" w:space="0" w:color="auto"/>
        <w:bottom w:val="none" w:sz="0" w:space="0" w:color="auto"/>
        <w:right w:val="none" w:sz="0" w:space="0" w:color="auto"/>
      </w:divBdr>
    </w:div>
    <w:div w:id="47388201">
      <w:bodyDiv w:val="1"/>
      <w:marLeft w:val="0"/>
      <w:marRight w:val="0"/>
      <w:marTop w:val="0"/>
      <w:marBottom w:val="0"/>
      <w:divBdr>
        <w:top w:val="none" w:sz="0" w:space="0" w:color="auto"/>
        <w:left w:val="none" w:sz="0" w:space="0" w:color="auto"/>
        <w:bottom w:val="none" w:sz="0" w:space="0" w:color="auto"/>
        <w:right w:val="none" w:sz="0" w:space="0" w:color="auto"/>
      </w:divBdr>
    </w:div>
    <w:div w:id="48311239">
      <w:bodyDiv w:val="1"/>
      <w:marLeft w:val="0"/>
      <w:marRight w:val="0"/>
      <w:marTop w:val="0"/>
      <w:marBottom w:val="0"/>
      <w:divBdr>
        <w:top w:val="none" w:sz="0" w:space="0" w:color="auto"/>
        <w:left w:val="none" w:sz="0" w:space="0" w:color="auto"/>
        <w:bottom w:val="none" w:sz="0" w:space="0" w:color="auto"/>
        <w:right w:val="none" w:sz="0" w:space="0" w:color="auto"/>
      </w:divBdr>
    </w:div>
    <w:div w:id="48386065">
      <w:bodyDiv w:val="1"/>
      <w:marLeft w:val="0"/>
      <w:marRight w:val="0"/>
      <w:marTop w:val="0"/>
      <w:marBottom w:val="0"/>
      <w:divBdr>
        <w:top w:val="none" w:sz="0" w:space="0" w:color="auto"/>
        <w:left w:val="none" w:sz="0" w:space="0" w:color="auto"/>
        <w:bottom w:val="none" w:sz="0" w:space="0" w:color="auto"/>
        <w:right w:val="none" w:sz="0" w:space="0" w:color="auto"/>
      </w:divBdr>
    </w:div>
    <w:div w:id="49965605">
      <w:bodyDiv w:val="1"/>
      <w:marLeft w:val="0"/>
      <w:marRight w:val="0"/>
      <w:marTop w:val="0"/>
      <w:marBottom w:val="0"/>
      <w:divBdr>
        <w:top w:val="none" w:sz="0" w:space="0" w:color="auto"/>
        <w:left w:val="none" w:sz="0" w:space="0" w:color="auto"/>
        <w:bottom w:val="none" w:sz="0" w:space="0" w:color="auto"/>
        <w:right w:val="none" w:sz="0" w:space="0" w:color="auto"/>
      </w:divBdr>
    </w:div>
    <w:div w:id="50004259">
      <w:bodyDiv w:val="1"/>
      <w:marLeft w:val="0"/>
      <w:marRight w:val="0"/>
      <w:marTop w:val="0"/>
      <w:marBottom w:val="0"/>
      <w:divBdr>
        <w:top w:val="none" w:sz="0" w:space="0" w:color="auto"/>
        <w:left w:val="none" w:sz="0" w:space="0" w:color="auto"/>
        <w:bottom w:val="none" w:sz="0" w:space="0" w:color="auto"/>
        <w:right w:val="none" w:sz="0" w:space="0" w:color="auto"/>
      </w:divBdr>
    </w:div>
    <w:div w:id="50930578">
      <w:bodyDiv w:val="1"/>
      <w:marLeft w:val="0"/>
      <w:marRight w:val="0"/>
      <w:marTop w:val="0"/>
      <w:marBottom w:val="0"/>
      <w:divBdr>
        <w:top w:val="none" w:sz="0" w:space="0" w:color="auto"/>
        <w:left w:val="none" w:sz="0" w:space="0" w:color="auto"/>
        <w:bottom w:val="none" w:sz="0" w:space="0" w:color="auto"/>
        <w:right w:val="none" w:sz="0" w:space="0" w:color="auto"/>
      </w:divBdr>
    </w:div>
    <w:div w:id="51077965">
      <w:bodyDiv w:val="1"/>
      <w:marLeft w:val="0"/>
      <w:marRight w:val="0"/>
      <w:marTop w:val="0"/>
      <w:marBottom w:val="0"/>
      <w:divBdr>
        <w:top w:val="none" w:sz="0" w:space="0" w:color="auto"/>
        <w:left w:val="none" w:sz="0" w:space="0" w:color="auto"/>
        <w:bottom w:val="none" w:sz="0" w:space="0" w:color="auto"/>
        <w:right w:val="none" w:sz="0" w:space="0" w:color="auto"/>
      </w:divBdr>
    </w:div>
    <w:div w:id="51776114">
      <w:bodyDiv w:val="1"/>
      <w:marLeft w:val="0"/>
      <w:marRight w:val="0"/>
      <w:marTop w:val="0"/>
      <w:marBottom w:val="0"/>
      <w:divBdr>
        <w:top w:val="none" w:sz="0" w:space="0" w:color="auto"/>
        <w:left w:val="none" w:sz="0" w:space="0" w:color="auto"/>
        <w:bottom w:val="none" w:sz="0" w:space="0" w:color="auto"/>
        <w:right w:val="none" w:sz="0" w:space="0" w:color="auto"/>
      </w:divBdr>
    </w:div>
    <w:div w:id="52242193">
      <w:bodyDiv w:val="1"/>
      <w:marLeft w:val="0"/>
      <w:marRight w:val="0"/>
      <w:marTop w:val="0"/>
      <w:marBottom w:val="0"/>
      <w:divBdr>
        <w:top w:val="none" w:sz="0" w:space="0" w:color="auto"/>
        <w:left w:val="none" w:sz="0" w:space="0" w:color="auto"/>
        <w:bottom w:val="none" w:sz="0" w:space="0" w:color="auto"/>
        <w:right w:val="none" w:sz="0" w:space="0" w:color="auto"/>
      </w:divBdr>
    </w:div>
    <w:div w:id="52701010">
      <w:bodyDiv w:val="1"/>
      <w:marLeft w:val="0"/>
      <w:marRight w:val="0"/>
      <w:marTop w:val="0"/>
      <w:marBottom w:val="0"/>
      <w:divBdr>
        <w:top w:val="none" w:sz="0" w:space="0" w:color="auto"/>
        <w:left w:val="none" w:sz="0" w:space="0" w:color="auto"/>
        <w:bottom w:val="none" w:sz="0" w:space="0" w:color="auto"/>
        <w:right w:val="none" w:sz="0" w:space="0" w:color="auto"/>
      </w:divBdr>
    </w:div>
    <w:div w:id="52776462">
      <w:bodyDiv w:val="1"/>
      <w:marLeft w:val="0"/>
      <w:marRight w:val="0"/>
      <w:marTop w:val="0"/>
      <w:marBottom w:val="0"/>
      <w:divBdr>
        <w:top w:val="none" w:sz="0" w:space="0" w:color="auto"/>
        <w:left w:val="none" w:sz="0" w:space="0" w:color="auto"/>
        <w:bottom w:val="none" w:sz="0" w:space="0" w:color="auto"/>
        <w:right w:val="none" w:sz="0" w:space="0" w:color="auto"/>
      </w:divBdr>
    </w:div>
    <w:div w:id="54279876">
      <w:bodyDiv w:val="1"/>
      <w:marLeft w:val="0"/>
      <w:marRight w:val="0"/>
      <w:marTop w:val="0"/>
      <w:marBottom w:val="0"/>
      <w:divBdr>
        <w:top w:val="none" w:sz="0" w:space="0" w:color="auto"/>
        <w:left w:val="none" w:sz="0" w:space="0" w:color="auto"/>
        <w:bottom w:val="none" w:sz="0" w:space="0" w:color="auto"/>
        <w:right w:val="none" w:sz="0" w:space="0" w:color="auto"/>
      </w:divBdr>
    </w:div>
    <w:div w:id="54856384">
      <w:bodyDiv w:val="1"/>
      <w:marLeft w:val="0"/>
      <w:marRight w:val="0"/>
      <w:marTop w:val="0"/>
      <w:marBottom w:val="0"/>
      <w:divBdr>
        <w:top w:val="none" w:sz="0" w:space="0" w:color="auto"/>
        <w:left w:val="none" w:sz="0" w:space="0" w:color="auto"/>
        <w:bottom w:val="none" w:sz="0" w:space="0" w:color="auto"/>
        <w:right w:val="none" w:sz="0" w:space="0" w:color="auto"/>
      </w:divBdr>
    </w:div>
    <w:div w:id="55053243">
      <w:bodyDiv w:val="1"/>
      <w:marLeft w:val="0"/>
      <w:marRight w:val="0"/>
      <w:marTop w:val="0"/>
      <w:marBottom w:val="0"/>
      <w:divBdr>
        <w:top w:val="none" w:sz="0" w:space="0" w:color="auto"/>
        <w:left w:val="none" w:sz="0" w:space="0" w:color="auto"/>
        <w:bottom w:val="none" w:sz="0" w:space="0" w:color="auto"/>
        <w:right w:val="none" w:sz="0" w:space="0" w:color="auto"/>
      </w:divBdr>
    </w:div>
    <w:div w:id="55934673">
      <w:bodyDiv w:val="1"/>
      <w:marLeft w:val="0"/>
      <w:marRight w:val="0"/>
      <w:marTop w:val="0"/>
      <w:marBottom w:val="0"/>
      <w:divBdr>
        <w:top w:val="none" w:sz="0" w:space="0" w:color="auto"/>
        <w:left w:val="none" w:sz="0" w:space="0" w:color="auto"/>
        <w:bottom w:val="none" w:sz="0" w:space="0" w:color="auto"/>
        <w:right w:val="none" w:sz="0" w:space="0" w:color="auto"/>
      </w:divBdr>
    </w:div>
    <w:div w:id="62024980">
      <w:bodyDiv w:val="1"/>
      <w:marLeft w:val="0"/>
      <w:marRight w:val="0"/>
      <w:marTop w:val="0"/>
      <w:marBottom w:val="0"/>
      <w:divBdr>
        <w:top w:val="none" w:sz="0" w:space="0" w:color="auto"/>
        <w:left w:val="none" w:sz="0" w:space="0" w:color="auto"/>
        <w:bottom w:val="none" w:sz="0" w:space="0" w:color="auto"/>
        <w:right w:val="none" w:sz="0" w:space="0" w:color="auto"/>
      </w:divBdr>
    </w:div>
    <w:div w:id="62143700">
      <w:bodyDiv w:val="1"/>
      <w:marLeft w:val="0"/>
      <w:marRight w:val="0"/>
      <w:marTop w:val="0"/>
      <w:marBottom w:val="0"/>
      <w:divBdr>
        <w:top w:val="none" w:sz="0" w:space="0" w:color="auto"/>
        <w:left w:val="none" w:sz="0" w:space="0" w:color="auto"/>
        <w:bottom w:val="none" w:sz="0" w:space="0" w:color="auto"/>
        <w:right w:val="none" w:sz="0" w:space="0" w:color="auto"/>
      </w:divBdr>
    </w:div>
    <w:div w:id="62148558">
      <w:bodyDiv w:val="1"/>
      <w:marLeft w:val="0"/>
      <w:marRight w:val="0"/>
      <w:marTop w:val="0"/>
      <w:marBottom w:val="0"/>
      <w:divBdr>
        <w:top w:val="none" w:sz="0" w:space="0" w:color="auto"/>
        <w:left w:val="none" w:sz="0" w:space="0" w:color="auto"/>
        <w:bottom w:val="none" w:sz="0" w:space="0" w:color="auto"/>
        <w:right w:val="none" w:sz="0" w:space="0" w:color="auto"/>
      </w:divBdr>
    </w:div>
    <w:div w:id="62259815">
      <w:bodyDiv w:val="1"/>
      <w:marLeft w:val="0"/>
      <w:marRight w:val="0"/>
      <w:marTop w:val="0"/>
      <w:marBottom w:val="0"/>
      <w:divBdr>
        <w:top w:val="none" w:sz="0" w:space="0" w:color="auto"/>
        <w:left w:val="none" w:sz="0" w:space="0" w:color="auto"/>
        <w:bottom w:val="none" w:sz="0" w:space="0" w:color="auto"/>
        <w:right w:val="none" w:sz="0" w:space="0" w:color="auto"/>
      </w:divBdr>
    </w:div>
    <w:div w:id="63527826">
      <w:bodyDiv w:val="1"/>
      <w:marLeft w:val="0"/>
      <w:marRight w:val="0"/>
      <w:marTop w:val="0"/>
      <w:marBottom w:val="0"/>
      <w:divBdr>
        <w:top w:val="none" w:sz="0" w:space="0" w:color="auto"/>
        <w:left w:val="none" w:sz="0" w:space="0" w:color="auto"/>
        <w:bottom w:val="none" w:sz="0" w:space="0" w:color="auto"/>
        <w:right w:val="none" w:sz="0" w:space="0" w:color="auto"/>
      </w:divBdr>
    </w:div>
    <w:div w:id="63528665">
      <w:bodyDiv w:val="1"/>
      <w:marLeft w:val="0"/>
      <w:marRight w:val="0"/>
      <w:marTop w:val="0"/>
      <w:marBottom w:val="0"/>
      <w:divBdr>
        <w:top w:val="none" w:sz="0" w:space="0" w:color="auto"/>
        <w:left w:val="none" w:sz="0" w:space="0" w:color="auto"/>
        <w:bottom w:val="none" w:sz="0" w:space="0" w:color="auto"/>
        <w:right w:val="none" w:sz="0" w:space="0" w:color="auto"/>
      </w:divBdr>
    </w:div>
    <w:div w:id="63920460">
      <w:bodyDiv w:val="1"/>
      <w:marLeft w:val="0"/>
      <w:marRight w:val="0"/>
      <w:marTop w:val="0"/>
      <w:marBottom w:val="0"/>
      <w:divBdr>
        <w:top w:val="none" w:sz="0" w:space="0" w:color="auto"/>
        <w:left w:val="none" w:sz="0" w:space="0" w:color="auto"/>
        <w:bottom w:val="none" w:sz="0" w:space="0" w:color="auto"/>
        <w:right w:val="none" w:sz="0" w:space="0" w:color="auto"/>
      </w:divBdr>
    </w:div>
    <w:div w:id="64499573">
      <w:bodyDiv w:val="1"/>
      <w:marLeft w:val="0"/>
      <w:marRight w:val="0"/>
      <w:marTop w:val="0"/>
      <w:marBottom w:val="0"/>
      <w:divBdr>
        <w:top w:val="none" w:sz="0" w:space="0" w:color="auto"/>
        <w:left w:val="none" w:sz="0" w:space="0" w:color="auto"/>
        <w:bottom w:val="none" w:sz="0" w:space="0" w:color="auto"/>
        <w:right w:val="none" w:sz="0" w:space="0" w:color="auto"/>
      </w:divBdr>
    </w:div>
    <w:div w:id="65227308">
      <w:bodyDiv w:val="1"/>
      <w:marLeft w:val="0"/>
      <w:marRight w:val="0"/>
      <w:marTop w:val="0"/>
      <w:marBottom w:val="0"/>
      <w:divBdr>
        <w:top w:val="none" w:sz="0" w:space="0" w:color="auto"/>
        <w:left w:val="none" w:sz="0" w:space="0" w:color="auto"/>
        <w:bottom w:val="none" w:sz="0" w:space="0" w:color="auto"/>
        <w:right w:val="none" w:sz="0" w:space="0" w:color="auto"/>
      </w:divBdr>
    </w:div>
    <w:div w:id="65539519">
      <w:bodyDiv w:val="1"/>
      <w:marLeft w:val="0"/>
      <w:marRight w:val="0"/>
      <w:marTop w:val="0"/>
      <w:marBottom w:val="0"/>
      <w:divBdr>
        <w:top w:val="none" w:sz="0" w:space="0" w:color="auto"/>
        <w:left w:val="none" w:sz="0" w:space="0" w:color="auto"/>
        <w:bottom w:val="none" w:sz="0" w:space="0" w:color="auto"/>
        <w:right w:val="none" w:sz="0" w:space="0" w:color="auto"/>
      </w:divBdr>
    </w:div>
    <w:div w:id="65611204">
      <w:bodyDiv w:val="1"/>
      <w:marLeft w:val="0"/>
      <w:marRight w:val="0"/>
      <w:marTop w:val="0"/>
      <w:marBottom w:val="0"/>
      <w:divBdr>
        <w:top w:val="none" w:sz="0" w:space="0" w:color="auto"/>
        <w:left w:val="none" w:sz="0" w:space="0" w:color="auto"/>
        <w:bottom w:val="none" w:sz="0" w:space="0" w:color="auto"/>
        <w:right w:val="none" w:sz="0" w:space="0" w:color="auto"/>
      </w:divBdr>
    </w:div>
    <w:div w:id="65929558">
      <w:bodyDiv w:val="1"/>
      <w:marLeft w:val="0"/>
      <w:marRight w:val="0"/>
      <w:marTop w:val="0"/>
      <w:marBottom w:val="0"/>
      <w:divBdr>
        <w:top w:val="none" w:sz="0" w:space="0" w:color="auto"/>
        <w:left w:val="none" w:sz="0" w:space="0" w:color="auto"/>
        <w:bottom w:val="none" w:sz="0" w:space="0" w:color="auto"/>
        <w:right w:val="none" w:sz="0" w:space="0" w:color="auto"/>
      </w:divBdr>
    </w:div>
    <w:div w:id="66002353">
      <w:bodyDiv w:val="1"/>
      <w:marLeft w:val="0"/>
      <w:marRight w:val="0"/>
      <w:marTop w:val="0"/>
      <w:marBottom w:val="0"/>
      <w:divBdr>
        <w:top w:val="none" w:sz="0" w:space="0" w:color="auto"/>
        <w:left w:val="none" w:sz="0" w:space="0" w:color="auto"/>
        <w:bottom w:val="none" w:sz="0" w:space="0" w:color="auto"/>
        <w:right w:val="none" w:sz="0" w:space="0" w:color="auto"/>
      </w:divBdr>
    </w:div>
    <w:div w:id="66347133">
      <w:bodyDiv w:val="1"/>
      <w:marLeft w:val="0"/>
      <w:marRight w:val="0"/>
      <w:marTop w:val="0"/>
      <w:marBottom w:val="0"/>
      <w:divBdr>
        <w:top w:val="none" w:sz="0" w:space="0" w:color="auto"/>
        <w:left w:val="none" w:sz="0" w:space="0" w:color="auto"/>
        <w:bottom w:val="none" w:sz="0" w:space="0" w:color="auto"/>
        <w:right w:val="none" w:sz="0" w:space="0" w:color="auto"/>
      </w:divBdr>
    </w:div>
    <w:div w:id="68310343">
      <w:bodyDiv w:val="1"/>
      <w:marLeft w:val="0"/>
      <w:marRight w:val="0"/>
      <w:marTop w:val="0"/>
      <w:marBottom w:val="0"/>
      <w:divBdr>
        <w:top w:val="none" w:sz="0" w:space="0" w:color="auto"/>
        <w:left w:val="none" w:sz="0" w:space="0" w:color="auto"/>
        <w:bottom w:val="none" w:sz="0" w:space="0" w:color="auto"/>
        <w:right w:val="none" w:sz="0" w:space="0" w:color="auto"/>
      </w:divBdr>
    </w:div>
    <w:div w:id="68500267">
      <w:bodyDiv w:val="1"/>
      <w:marLeft w:val="0"/>
      <w:marRight w:val="0"/>
      <w:marTop w:val="0"/>
      <w:marBottom w:val="0"/>
      <w:divBdr>
        <w:top w:val="none" w:sz="0" w:space="0" w:color="auto"/>
        <w:left w:val="none" w:sz="0" w:space="0" w:color="auto"/>
        <w:bottom w:val="none" w:sz="0" w:space="0" w:color="auto"/>
        <w:right w:val="none" w:sz="0" w:space="0" w:color="auto"/>
      </w:divBdr>
    </w:div>
    <w:div w:id="69816969">
      <w:bodyDiv w:val="1"/>
      <w:marLeft w:val="0"/>
      <w:marRight w:val="0"/>
      <w:marTop w:val="0"/>
      <w:marBottom w:val="0"/>
      <w:divBdr>
        <w:top w:val="none" w:sz="0" w:space="0" w:color="auto"/>
        <w:left w:val="none" w:sz="0" w:space="0" w:color="auto"/>
        <w:bottom w:val="none" w:sz="0" w:space="0" w:color="auto"/>
        <w:right w:val="none" w:sz="0" w:space="0" w:color="auto"/>
      </w:divBdr>
    </w:div>
    <w:div w:id="70276560">
      <w:bodyDiv w:val="1"/>
      <w:marLeft w:val="0"/>
      <w:marRight w:val="0"/>
      <w:marTop w:val="0"/>
      <w:marBottom w:val="0"/>
      <w:divBdr>
        <w:top w:val="none" w:sz="0" w:space="0" w:color="auto"/>
        <w:left w:val="none" w:sz="0" w:space="0" w:color="auto"/>
        <w:bottom w:val="none" w:sz="0" w:space="0" w:color="auto"/>
        <w:right w:val="none" w:sz="0" w:space="0" w:color="auto"/>
      </w:divBdr>
    </w:div>
    <w:div w:id="71315176">
      <w:bodyDiv w:val="1"/>
      <w:marLeft w:val="0"/>
      <w:marRight w:val="0"/>
      <w:marTop w:val="0"/>
      <w:marBottom w:val="0"/>
      <w:divBdr>
        <w:top w:val="none" w:sz="0" w:space="0" w:color="auto"/>
        <w:left w:val="none" w:sz="0" w:space="0" w:color="auto"/>
        <w:bottom w:val="none" w:sz="0" w:space="0" w:color="auto"/>
        <w:right w:val="none" w:sz="0" w:space="0" w:color="auto"/>
      </w:divBdr>
    </w:div>
    <w:div w:id="71969647">
      <w:bodyDiv w:val="1"/>
      <w:marLeft w:val="0"/>
      <w:marRight w:val="0"/>
      <w:marTop w:val="0"/>
      <w:marBottom w:val="0"/>
      <w:divBdr>
        <w:top w:val="none" w:sz="0" w:space="0" w:color="auto"/>
        <w:left w:val="none" w:sz="0" w:space="0" w:color="auto"/>
        <w:bottom w:val="none" w:sz="0" w:space="0" w:color="auto"/>
        <w:right w:val="none" w:sz="0" w:space="0" w:color="auto"/>
      </w:divBdr>
    </w:div>
    <w:div w:id="72047551">
      <w:bodyDiv w:val="1"/>
      <w:marLeft w:val="0"/>
      <w:marRight w:val="0"/>
      <w:marTop w:val="0"/>
      <w:marBottom w:val="0"/>
      <w:divBdr>
        <w:top w:val="none" w:sz="0" w:space="0" w:color="auto"/>
        <w:left w:val="none" w:sz="0" w:space="0" w:color="auto"/>
        <w:bottom w:val="none" w:sz="0" w:space="0" w:color="auto"/>
        <w:right w:val="none" w:sz="0" w:space="0" w:color="auto"/>
      </w:divBdr>
    </w:div>
    <w:div w:id="72051867">
      <w:bodyDiv w:val="1"/>
      <w:marLeft w:val="0"/>
      <w:marRight w:val="0"/>
      <w:marTop w:val="0"/>
      <w:marBottom w:val="0"/>
      <w:divBdr>
        <w:top w:val="none" w:sz="0" w:space="0" w:color="auto"/>
        <w:left w:val="none" w:sz="0" w:space="0" w:color="auto"/>
        <w:bottom w:val="none" w:sz="0" w:space="0" w:color="auto"/>
        <w:right w:val="none" w:sz="0" w:space="0" w:color="auto"/>
      </w:divBdr>
    </w:div>
    <w:div w:id="72437460">
      <w:bodyDiv w:val="1"/>
      <w:marLeft w:val="0"/>
      <w:marRight w:val="0"/>
      <w:marTop w:val="0"/>
      <w:marBottom w:val="0"/>
      <w:divBdr>
        <w:top w:val="none" w:sz="0" w:space="0" w:color="auto"/>
        <w:left w:val="none" w:sz="0" w:space="0" w:color="auto"/>
        <w:bottom w:val="none" w:sz="0" w:space="0" w:color="auto"/>
        <w:right w:val="none" w:sz="0" w:space="0" w:color="auto"/>
      </w:divBdr>
    </w:div>
    <w:div w:id="72894365">
      <w:bodyDiv w:val="1"/>
      <w:marLeft w:val="0"/>
      <w:marRight w:val="0"/>
      <w:marTop w:val="0"/>
      <w:marBottom w:val="0"/>
      <w:divBdr>
        <w:top w:val="none" w:sz="0" w:space="0" w:color="auto"/>
        <w:left w:val="none" w:sz="0" w:space="0" w:color="auto"/>
        <w:bottom w:val="none" w:sz="0" w:space="0" w:color="auto"/>
        <w:right w:val="none" w:sz="0" w:space="0" w:color="auto"/>
      </w:divBdr>
    </w:div>
    <w:div w:id="72900446">
      <w:bodyDiv w:val="1"/>
      <w:marLeft w:val="0"/>
      <w:marRight w:val="0"/>
      <w:marTop w:val="0"/>
      <w:marBottom w:val="0"/>
      <w:divBdr>
        <w:top w:val="none" w:sz="0" w:space="0" w:color="auto"/>
        <w:left w:val="none" w:sz="0" w:space="0" w:color="auto"/>
        <w:bottom w:val="none" w:sz="0" w:space="0" w:color="auto"/>
        <w:right w:val="none" w:sz="0" w:space="0" w:color="auto"/>
      </w:divBdr>
    </w:div>
    <w:div w:id="72970494">
      <w:bodyDiv w:val="1"/>
      <w:marLeft w:val="0"/>
      <w:marRight w:val="0"/>
      <w:marTop w:val="0"/>
      <w:marBottom w:val="0"/>
      <w:divBdr>
        <w:top w:val="none" w:sz="0" w:space="0" w:color="auto"/>
        <w:left w:val="none" w:sz="0" w:space="0" w:color="auto"/>
        <w:bottom w:val="none" w:sz="0" w:space="0" w:color="auto"/>
        <w:right w:val="none" w:sz="0" w:space="0" w:color="auto"/>
      </w:divBdr>
    </w:div>
    <w:div w:id="73472560">
      <w:bodyDiv w:val="1"/>
      <w:marLeft w:val="0"/>
      <w:marRight w:val="0"/>
      <w:marTop w:val="0"/>
      <w:marBottom w:val="0"/>
      <w:divBdr>
        <w:top w:val="none" w:sz="0" w:space="0" w:color="auto"/>
        <w:left w:val="none" w:sz="0" w:space="0" w:color="auto"/>
        <w:bottom w:val="none" w:sz="0" w:space="0" w:color="auto"/>
        <w:right w:val="none" w:sz="0" w:space="0" w:color="auto"/>
      </w:divBdr>
    </w:div>
    <w:div w:id="73825295">
      <w:bodyDiv w:val="1"/>
      <w:marLeft w:val="0"/>
      <w:marRight w:val="0"/>
      <w:marTop w:val="0"/>
      <w:marBottom w:val="0"/>
      <w:divBdr>
        <w:top w:val="none" w:sz="0" w:space="0" w:color="auto"/>
        <w:left w:val="none" w:sz="0" w:space="0" w:color="auto"/>
        <w:bottom w:val="none" w:sz="0" w:space="0" w:color="auto"/>
        <w:right w:val="none" w:sz="0" w:space="0" w:color="auto"/>
      </w:divBdr>
    </w:div>
    <w:div w:id="74933795">
      <w:bodyDiv w:val="1"/>
      <w:marLeft w:val="0"/>
      <w:marRight w:val="0"/>
      <w:marTop w:val="0"/>
      <w:marBottom w:val="0"/>
      <w:divBdr>
        <w:top w:val="none" w:sz="0" w:space="0" w:color="auto"/>
        <w:left w:val="none" w:sz="0" w:space="0" w:color="auto"/>
        <w:bottom w:val="none" w:sz="0" w:space="0" w:color="auto"/>
        <w:right w:val="none" w:sz="0" w:space="0" w:color="auto"/>
      </w:divBdr>
    </w:div>
    <w:div w:id="75169956">
      <w:bodyDiv w:val="1"/>
      <w:marLeft w:val="0"/>
      <w:marRight w:val="0"/>
      <w:marTop w:val="0"/>
      <w:marBottom w:val="0"/>
      <w:divBdr>
        <w:top w:val="none" w:sz="0" w:space="0" w:color="auto"/>
        <w:left w:val="none" w:sz="0" w:space="0" w:color="auto"/>
        <w:bottom w:val="none" w:sz="0" w:space="0" w:color="auto"/>
        <w:right w:val="none" w:sz="0" w:space="0" w:color="auto"/>
      </w:divBdr>
    </w:div>
    <w:div w:id="75633728">
      <w:bodyDiv w:val="1"/>
      <w:marLeft w:val="0"/>
      <w:marRight w:val="0"/>
      <w:marTop w:val="0"/>
      <w:marBottom w:val="0"/>
      <w:divBdr>
        <w:top w:val="none" w:sz="0" w:space="0" w:color="auto"/>
        <w:left w:val="none" w:sz="0" w:space="0" w:color="auto"/>
        <w:bottom w:val="none" w:sz="0" w:space="0" w:color="auto"/>
        <w:right w:val="none" w:sz="0" w:space="0" w:color="auto"/>
      </w:divBdr>
    </w:div>
    <w:div w:id="76248749">
      <w:bodyDiv w:val="1"/>
      <w:marLeft w:val="0"/>
      <w:marRight w:val="0"/>
      <w:marTop w:val="0"/>
      <w:marBottom w:val="0"/>
      <w:divBdr>
        <w:top w:val="none" w:sz="0" w:space="0" w:color="auto"/>
        <w:left w:val="none" w:sz="0" w:space="0" w:color="auto"/>
        <w:bottom w:val="none" w:sz="0" w:space="0" w:color="auto"/>
        <w:right w:val="none" w:sz="0" w:space="0" w:color="auto"/>
      </w:divBdr>
      <w:divsChild>
        <w:div w:id="1012300229">
          <w:marLeft w:val="480"/>
          <w:marRight w:val="0"/>
          <w:marTop w:val="0"/>
          <w:marBottom w:val="0"/>
          <w:divBdr>
            <w:top w:val="none" w:sz="0" w:space="0" w:color="auto"/>
            <w:left w:val="none" w:sz="0" w:space="0" w:color="auto"/>
            <w:bottom w:val="none" w:sz="0" w:space="0" w:color="auto"/>
            <w:right w:val="none" w:sz="0" w:space="0" w:color="auto"/>
          </w:divBdr>
        </w:div>
        <w:div w:id="1561399901">
          <w:marLeft w:val="480"/>
          <w:marRight w:val="0"/>
          <w:marTop w:val="0"/>
          <w:marBottom w:val="0"/>
          <w:divBdr>
            <w:top w:val="none" w:sz="0" w:space="0" w:color="auto"/>
            <w:left w:val="none" w:sz="0" w:space="0" w:color="auto"/>
            <w:bottom w:val="none" w:sz="0" w:space="0" w:color="auto"/>
            <w:right w:val="none" w:sz="0" w:space="0" w:color="auto"/>
          </w:divBdr>
        </w:div>
        <w:div w:id="307126766">
          <w:marLeft w:val="480"/>
          <w:marRight w:val="0"/>
          <w:marTop w:val="0"/>
          <w:marBottom w:val="0"/>
          <w:divBdr>
            <w:top w:val="none" w:sz="0" w:space="0" w:color="auto"/>
            <w:left w:val="none" w:sz="0" w:space="0" w:color="auto"/>
            <w:bottom w:val="none" w:sz="0" w:space="0" w:color="auto"/>
            <w:right w:val="none" w:sz="0" w:space="0" w:color="auto"/>
          </w:divBdr>
        </w:div>
        <w:div w:id="1829052242">
          <w:marLeft w:val="480"/>
          <w:marRight w:val="0"/>
          <w:marTop w:val="0"/>
          <w:marBottom w:val="0"/>
          <w:divBdr>
            <w:top w:val="none" w:sz="0" w:space="0" w:color="auto"/>
            <w:left w:val="none" w:sz="0" w:space="0" w:color="auto"/>
            <w:bottom w:val="none" w:sz="0" w:space="0" w:color="auto"/>
            <w:right w:val="none" w:sz="0" w:space="0" w:color="auto"/>
          </w:divBdr>
        </w:div>
        <w:div w:id="1799562928">
          <w:marLeft w:val="480"/>
          <w:marRight w:val="0"/>
          <w:marTop w:val="0"/>
          <w:marBottom w:val="0"/>
          <w:divBdr>
            <w:top w:val="none" w:sz="0" w:space="0" w:color="auto"/>
            <w:left w:val="none" w:sz="0" w:space="0" w:color="auto"/>
            <w:bottom w:val="none" w:sz="0" w:space="0" w:color="auto"/>
            <w:right w:val="none" w:sz="0" w:space="0" w:color="auto"/>
          </w:divBdr>
        </w:div>
        <w:div w:id="1143740522">
          <w:marLeft w:val="480"/>
          <w:marRight w:val="0"/>
          <w:marTop w:val="0"/>
          <w:marBottom w:val="0"/>
          <w:divBdr>
            <w:top w:val="none" w:sz="0" w:space="0" w:color="auto"/>
            <w:left w:val="none" w:sz="0" w:space="0" w:color="auto"/>
            <w:bottom w:val="none" w:sz="0" w:space="0" w:color="auto"/>
            <w:right w:val="none" w:sz="0" w:space="0" w:color="auto"/>
          </w:divBdr>
        </w:div>
        <w:div w:id="1012226196">
          <w:marLeft w:val="480"/>
          <w:marRight w:val="0"/>
          <w:marTop w:val="0"/>
          <w:marBottom w:val="0"/>
          <w:divBdr>
            <w:top w:val="none" w:sz="0" w:space="0" w:color="auto"/>
            <w:left w:val="none" w:sz="0" w:space="0" w:color="auto"/>
            <w:bottom w:val="none" w:sz="0" w:space="0" w:color="auto"/>
            <w:right w:val="none" w:sz="0" w:space="0" w:color="auto"/>
          </w:divBdr>
        </w:div>
        <w:div w:id="1160583028">
          <w:marLeft w:val="480"/>
          <w:marRight w:val="0"/>
          <w:marTop w:val="0"/>
          <w:marBottom w:val="0"/>
          <w:divBdr>
            <w:top w:val="none" w:sz="0" w:space="0" w:color="auto"/>
            <w:left w:val="none" w:sz="0" w:space="0" w:color="auto"/>
            <w:bottom w:val="none" w:sz="0" w:space="0" w:color="auto"/>
            <w:right w:val="none" w:sz="0" w:space="0" w:color="auto"/>
          </w:divBdr>
        </w:div>
        <w:div w:id="799881876">
          <w:marLeft w:val="480"/>
          <w:marRight w:val="0"/>
          <w:marTop w:val="0"/>
          <w:marBottom w:val="0"/>
          <w:divBdr>
            <w:top w:val="none" w:sz="0" w:space="0" w:color="auto"/>
            <w:left w:val="none" w:sz="0" w:space="0" w:color="auto"/>
            <w:bottom w:val="none" w:sz="0" w:space="0" w:color="auto"/>
            <w:right w:val="none" w:sz="0" w:space="0" w:color="auto"/>
          </w:divBdr>
        </w:div>
        <w:div w:id="1704091770">
          <w:marLeft w:val="480"/>
          <w:marRight w:val="0"/>
          <w:marTop w:val="0"/>
          <w:marBottom w:val="0"/>
          <w:divBdr>
            <w:top w:val="none" w:sz="0" w:space="0" w:color="auto"/>
            <w:left w:val="none" w:sz="0" w:space="0" w:color="auto"/>
            <w:bottom w:val="none" w:sz="0" w:space="0" w:color="auto"/>
            <w:right w:val="none" w:sz="0" w:space="0" w:color="auto"/>
          </w:divBdr>
        </w:div>
        <w:div w:id="639305605">
          <w:marLeft w:val="480"/>
          <w:marRight w:val="0"/>
          <w:marTop w:val="0"/>
          <w:marBottom w:val="0"/>
          <w:divBdr>
            <w:top w:val="none" w:sz="0" w:space="0" w:color="auto"/>
            <w:left w:val="none" w:sz="0" w:space="0" w:color="auto"/>
            <w:bottom w:val="none" w:sz="0" w:space="0" w:color="auto"/>
            <w:right w:val="none" w:sz="0" w:space="0" w:color="auto"/>
          </w:divBdr>
        </w:div>
        <w:div w:id="1279798365">
          <w:marLeft w:val="480"/>
          <w:marRight w:val="0"/>
          <w:marTop w:val="0"/>
          <w:marBottom w:val="0"/>
          <w:divBdr>
            <w:top w:val="none" w:sz="0" w:space="0" w:color="auto"/>
            <w:left w:val="none" w:sz="0" w:space="0" w:color="auto"/>
            <w:bottom w:val="none" w:sz="0" w:space="0" w:color="auto"/>
            <w:right w:val="none" w:sz="0" w:space="0" w:color="auto"/>
          </w:divBdr>
        </w:div>
        <w:div w:id="66079536">
          <w:marLeft w:val="480"/>
          <w:marRight w:val="0"/>
          <w:marTop w:val="0"/>
          <w:marBottom w:val="0"/>
          <w:divBdr>
            <w:top w:val="none" w:sz="0" w:space="0" w:color="auto"/>
            <w:left w:val="none" w:sz="0" w:space="0" w:color="auto"/>
            <w:bottom w:val="none" w:sz="0" w:space="0" w:color="auto"/>
            <w:right w:val="none" w:sz="0" w:space="0" w:color="auto"/>
          </w:divBdr>
        </w:div>
        <w:div w:id="1927104096">
          <w:marLeft w:val="480"/>
          <w:marRight w:val="0"/>
          <w:marTop w:val="0"/>
          <w:marBottom w:val="0"/>
          <w:divBdr>
            <w:top w:val="none" w:sz="0" w:space="0" w:color="auto"/>
            <w:left w:val="none" w:sz="0" w:space="0" w:color="auto"/>
            <w:bottom w:val="none" w:sz="0" w:space="0" w:color="auto"/>
            <w:right w:val="none" w:sz="0" w:space="0" w:color="auto"/>
          </w:divBdr>
        </w:div>
        <w:div w:id="197596578">
          <w:marLeft w:val="480"/>
          <w:marRight w:val="0"/>
          <w:marTop w:val="0"/>
          <w:marBottom w:val="0"/>
          <w:divBdr>
            <w:top w:val="none" w:sz="0" w:space="0" w:color="auto"/>
            <w:left w:val="none" w:sz="0" w:space="0" w:color="auto"/>
            <w:bottom w:val="none" w:sz="0" w:space="0" w:color="auto"/>
            <w:right w:val="none" w:sz="0" w:space="0" w:color="auto"/>
          </w:divBdr>
        </w:div>
        <w:div w:id="1051537180">
          <w:marLeft w:val="480"/>
          <w:marRight w:val="0"/>
          <w:marTop w:val="0"/>
          <w:marBottom w:val="0"/>
          <w:divBdr>
            <w:top w:val="none" w:sz="0" w:space="0" w:color="auto"/>
            <w:left w:val="none" w:sz="0" w:space="0" w:color="auto"/>
            <w:bottom w:val="none" w:sz="0" w:space="0" w:color="auto"/>
            <w:right w:val="none" w:sz="0" w:space="0" w:color="auto"/>
          </w:divBdr>
        </w:div>
        <w:div w:id="1246914092">
          <w:marLeft w:val="480"/>
          <w:marRight w:val="0"/>
          <w:marTop w:val="0"/>
          <w:marBottom w:val="0"/>
          <w:divBdr>
            <w:top w:val="none" w:sz="0" w:space="0" w:color="auto"/>
            <w:left w:val="none" w:sz="0" w:space="0" w:color="auto"/>
            <w:bottom w:val="none" w:sz="0" w:space="0" w:color="auto"/>
            <w:right w:val="none" w:sz="0" w:space="0" w:color="auto"/>
          </w:divBdr>
        </w:div>
        <w:div w:id="1207529659">
          <w:marLeft w:val="480"/>
          <w:marRight w:val="0"/>
          <w:marTop w:val="0"/>
          <w:marBottom w:val="0"/>
          <w:divBdr>
            <w:top w:val="none" w:sz="0" w:space="0" w:color="auto"/>
            <w:left w:val="none" w:sz="0" w:space="0" w:color="auto"/>
            <w:bottom w:val="none" w:sz="0" w:space="0" w:color="auto"/>
            <w:right w:val="none" w:sz="0" w:space="0" w:color="auto"/>
          </w:divBdr>
        </w:div>
        <w:div w:id="713886954">
          <w:marLeft w:val="480"/>
          <w:marRight w:val="0"/>
          <w:marTop w:val="0"/>
          <w:marBottom w:val="0"/>
          <w:divBdr>
            <w:top w:val="none" w:sz="0" w:space="0" w:color="auto"/>
            <w:left w:val="none" w:sz="0" w:space="0" w:color="auto"/>
            <w:bottom w:val="none" w:sz="0" w:space="0" w:color="auto"/>
            <w:right w:val="none" w:sz="0" w:space="0" w:color="auto"/>
          </w:divBdr>
        </w:div>
        <w:div w:id="693850238">
          <w:marLeft w:val="480"/>
          <w:marRight w:val="0"/>
          <w:marTop w:val="0"/>
          <w:marBottom w:val="0"/>
          <w:divBdr>
            <w:top w:val="none" w:sz="0" w:space="0" w:color="auto"/>
            <w:left w:val="none" w:sz="0" w:space="0" w:color="auto"/>
            <w:bottom w:val="none" w:sz="0" w:space="0" w:color="auto"/>
            <w:right w:val="none" w:sz="0" w:space="0" w:color="auto"/>
          </w:divBdr>
        </w:div>
        <w:div w:id="1744135139">
          <w:marLeft w:val="480"/>
          <w:marRight w:val="0"/>
          <w:marTop w:val="0"/>
          <w:marBottom w:val="0"/>
          <w:divBdr>
            <w:top w:val="none" w:sz="0" w:space="0" w:color="auto"/>
            <w:left w:val="none" w:sz="0" w:space="0" w:color="auto"/>
            <w:bottom w:val="none" w:sz="0" w:space="0" w:color="auto"/>
            <w:right w:val="none" w:sz="0" w:space="0" w:color="auto"/>
          </w:divBdr>
        </w:div>
        <w:div w:id="1514806710">
          <w:marLeft w:val="480"/>
          <w:marRight w:val="0"/>
          <w:marTop w:val="0"/>
          <w:marBottom w:val="0"/>
          <w:divBdr>
            <w:top w:val="none" w:sz="0" w:space="0" w:color="auto"/>
            <w:left w:val="none" w:sz="0" w:space="0" w:color="auto"/>
            <w:bottom w:val="none" w:sz="0" w:space="0" w:color="auto"/>
            <w:right w:val="none" w:sz="0" w:space="0" w:color="auto"/>
          </w:divBdr>
        </w:div>
        <w:div w:id="657656165">
          <w:marLeft w:val="480"/>
          <w:marRight w:val="0"/>
          <w:marTop w:val="0"/>
          <w:marBottom w:val="0"/>
          <w:divBdr>
            <w:top w:val="none" w:sz="0" w:space="0" w:color="auto"/>
            <w:left w:val="none" w:sz="0" w:space="0" w:color="auto"/>
            <w:bottom w:val="none" w:sz="0" w:space="0" w:color="auto"/>
            <w:right w:val="none" w:sz="0" w:space="0" w:color="auto"/>
          </w:divBdr>
        </w:div>
        <w:div w:id="1596088692">
          <w:marLeft w:val="480"/>
          <w:marRight w:val="0"/>
          <w:marTop w:val="0"/>
          <w:marBottom w:val="0"/>
          <w:divBdr>
            <w:top w:val="none" w:sz="0" w:space="0" w:color="auto"/>
            <w:left w:val="none" w:sz="0" w:space="0" w:color="auto"/>
            <w:bottom w:val="none" w:sz="0" w:space="0" w:color="auto"/>
            <w:right w:val="none" w:sz="0" w:space="0" w:color="auto"/>
          </w:divBdr>
        </w:div>
        <w:div w:id="1361131168">
          <w:marLeft w:val="480"/>
          <w:marRight w:val="0"/>
          <w:marTop w:val="0"/>
          <w:marBottom w:val="0"/>
          <w:divBdr>
            <w:top w:val="none" w:sz="0" w:space="0" w:color="auto"/>
            <w:left w:val="none" w:sz="0" w:space="0" w:color="auto"/>
            <w:bottom w:val="none" w:sz="0" w:space="0" w:color="auto"/>
            <w:right w:val="none" w:sz="0" w:space="0" w:color="auto"/>
          </w:divBdr>
        </w:div>
        <w:div w:id="1910727545">
          <w:marLeft w:val="480"/>
          <w:marRight w:val="0"/>
          <w:marTop w:val="0"/>
          <w:marBottom w:val="0"/>
          <w:divBdr>
            <w:top w:val="none" w:sz="0" w:space="0" w:color="auto"/>
            <w:left w:val="none" w:sz="0" w:space="0" w:color="auto"/>
            <w:bottom w:val="none" w:sz="0" w:space="0" w:color="auto"/>
            <w:right w:val="none" w:sz="0" w:space="0" w:color="auto"/>
          </w:divBdr>
        </w:div>
        <w:div w:id="620496049">
          <w:marLeft w:val="480"/>
          <w:marRight w:val="0"/>
          <w:marTop w:val="0"/>
          <w:marBottom w:val="0"/>
          <w:divBdr>
            <w:top w:val="none" w:sz="0" w:space="0" w:color="auto"/>
            <w:left w:val="none" w:sz="0" w:space="0" w:color="auto"/>
            <w:bottom w:val="none" w:sz="0" w:space="0" w:color="auto"/>
            <w:right w:val="none" w:sz="0" w:space="0" w:color="auto"/>
          </w:divBdr>
        </w:div>
        <w:div w:id="609312853">
          <w:marLeft w:val="480"/>
          <w:marRight w:val="0"/>
          <w:marTop w:val="0"/>
          <w:marBottom w:val="0"/>
          <w:divBdr>
            <w:top w:val="none" w:sz="0" w:space="0" w:color="auto"/>
            <w:left w:val="none" w:sz="0" w:space="0" w:color="auto"/>
            <w:bottom w:val="none" w:sz="0" w:space="0" w:color="auto"/>
            <w:right w:val="none" w:sz="0" w:space="0" w:color="auto"/>
          </w:divBdr>
        </w:div>
        <w:div w:id="578633614">
          <w:marLeft w:val="480"/>
          <w:marRight w:val="0"/>
          <w:marTop w:val="0"/>
          <w:marBottom w:val="0"/>
          <w:divBdr>
            <w:top w:val="none" w:sz="0" w:space="0" w:color="auto"/>
            <w:left w:val="none" w:sz="0" w:space="0" w:color="auto"/>
            <w:bottom w:val="none" w:sz="0" w:space="0" w:color="auto"/>
            <w:right w:val="none" w:sz="0" w:space="0" w:color="auto"/>
          </w:divBdr>
        </w:div>
        <w:div w:id="77873296">
          <w:marLeft w:val="480"/>
          <w:marRight w:val="0"/>
          <w:marTop w:val="0"/>
          <w:marBottom w:val="0"/>
          <w:divBdr>
            <w:top w:val="none" w:sz="0" w:space="0" w:color="auto"/>
            <w:left w:val="none" w:sz="0" w:space="0" w:color="auto"/>
            <w:bottom w:val="none" w:sz="0" w:space="0" w:color="auto"/>
            <w:right w:val="none" w:sz="0" w:space="0" w:color="auto"/>
          </w:divBdr>
        </w:div>
        <w:div w:id="1468083553">
          <w:marLeft w:val="480"/>
          <w:marRight w:val="0"/>
          <w:marTop w:val="0"/>
          <w:marBottom w:val="0"/>
          <w:divBdr>
            <w:top w:val="none" w:sz="0" w:space="0" w:color="auto"/>
            <w:left w:val="none" w:sz="0" w:space="0" w:color="auto"/>
            <w:bottom w:val="none" w:sz="0" w:space="0" w:color="auto"/>
            <w:right w:val="none" w:sz="0" w:space="0" w:color="auto"/>
          </w:divBdr>
        </w:div>
        <w:div w:id="1385904465">
          <w:marLeft w:val="480"/>
          <w:marRight w:val="0"/>
          <w:marTop w:val="0"/>
          <w:marBottom w:val="0"/>
          <w:divBdr>
            <w:top w:val="none" w:sz="0" w:space="0" w:color="auto"/>
            <w:left w:val="none" w:sz="0" w:space="0" w:color="auto"/>
            <w:bottom w:val="none" w:sz="0" w:space="0" w:color="auto"/>
            <w:right w:val="none" w:sz="0" w:space="0" w:color="auto"/>
          </w:divBdr>
        </w:div>
        <w:div w:id="263803905">
          <w:marLeft w:val="480"/>
          <w:marRight w:val="0"/>
          <w:marTop w:val="0"/>
          <w:marBottom w:val="0"/>
          <w:divBdr>
            <w:top w:val="none" w:sz="0" w:space="0" w:color="auto"/>
            <w:left w:val="none" w:sz="0" w:space="0" w:color="auto"/>
            <w:bottom w:val="none" w:sz="0" w:space="0" w:color="auto"/>
            <w:right w:val="none" w:sz="0" w:space="0" w:color="auto"/>
          </w:divBdr>
        </w:div>
        <w:div w:id="777456458">
          <w:marLeft w:val="480"/>
          <w:marRight w:val="0"/>
          <w:marTop w:val="0"/>
          <w:marBottom w:val="0"/>
          <w:divBdr>
            <w:top w:val="none" w:sz="0" w:space="0" w:color="auto"/>
            <w:left w:val="none" w:sz="0" w:space="0" w:color="auto"/>
            <w:bottom w:val="none" w:sz="0" w:space="0" w:color="auto"/>
            <w:right w:val="none" w:sz="0" w:space="0" w:color="auto"/>
          </w:divBdr>
        </w:div>
        <w:div w:id="85272040">
          <w:marLeft w:val="480"/>
          <w:marRight w:val="0"/>
          <w:marTop w:val="0"/>
          <w:marBottom w:val="0"/>
          <w:divBdr>
            <w:top w:val="none" w:sz="0" w:space="0" w:color="auto"/>
            <w:left w:val="none" w:sz="0" w:space="0" w:color="auto"/>
            <w:bottom w:val="none" w:sz="0" w:space="0" w:color="auto"/>
            <w:right w:val="none" w:sz="0" w:space="0" w:color="auto"/>
          </w:divBdr>
        </w:div>
        <w:div w:id="1941835406">
          <w:marLeft w:val="480"/>
          <w:marRight w:val="0"/>
          <w:marTop w:val="0"/>
          <w:marBottom w:val="0"/>
          <w:divBdr>
            <w:top w:val="none" w:sz="0" w:space="0" w:color="auto"/>
            <w:left w:val="none" w:sz="0" w:space="0" w:color="auto"/>
            <w:bottom w:val="none" w:sz="0" w:space="0" w:color="auto"/>
            <w:right w:val="none" w:sz="0" w:space="0" w:color="auto"/>
          </w:divBdr>
        </w:div>
        <w:div w:id="800801812">
          <w:marLeft w:val="480"/>
          <w:marRight w:val="0"/>
          <w:marTop w:val="0"/>
          <w:marBottom w:val="0"/>
          <w:divBdr>
            <w:top w:val="none" w:sz="0" w:space="0" w:color="auto"/>
            <w:left w:val="none" w:sz="0" w:space="0" w:color="auto"/>
            <w:bottom w:val="none" w:sz="0" w:space="0" w:color="auto"/>
            <w:right w:val="none" w:sz="0" w:space="0" w:color="auto"/>
          </w:divBdr>
        </w:div>
        <w:div w:id="1493906801">
          <w:marLeft w:val="480"/>
          <w:marRight w:val="0"/>
          <w:marTop w:val="0"/>
          <w:marBottom w:val="0"/>
          <w:divBdr>
            <w:top w:val="none" w:sz="0" w:space="0" w:color="auto"/>
            <w:left w:val="none" w:sz="0" w:space="0" w:color="auto"/>
            <w:bottom w:val="none" w:sz="0" w:space="0" w:color="auto"/>
            <w:right w:val="none" w:sz="0" w:space="0" w:color="auto"/>
          </w:divBdr>
        </w:div>
        <w:div w:id="1936402009">
          <w:marLeft w:val="480"/>
          <w:marRight w:val="0"/>
          <w:marTop w:val="0"/>
          <w:marBottom w:val="0"/>
          <w:divBdr>
            <w:top w:val="none" w:sz="0" w:space="0" w:color="auto"/>
            <w:left w:val="none" w:sz="0" w:space="0" w:color="auto"/>
            <w:bottom w:val="none" w:sz="0" w:space="0" w:color="auto"/>
            <w:right w:val="none" w:sz="0" w:space="0" w:color="auto"/>
          </w:divBdr>
        </w:div>
        <w:div w:id="776874725">
          <w:marLeft w:val="480"/>
          <w:marRight w:val="0"/>
          <w:marTop w:val="0"/>
          <w:marBottom w:val="0"/>
          <w:divBdr>
            <w:top w:val="none" w:sz="0" w:space="0" w:color="auto"/>
            <w:left w:val="none" w:sz="0" w:space="0" w:color="auto"/>
            <w:bottom w:val="none" w:sz="0" w:space="0" w:color="auto"/>
            <w:right w:val="none" w:sz="0" w:space="0" w:color="auto"/>
          </w:divBdr>
        </w:div>
        <w:div w:id="1651902743">
          <w:marLeft w:val="480"/>
          <w:marRight w:val="0"/>
          <w:marTop w:val="0"/>
          <w:marBottom w:val="0"/>
          <w:divBdr>
            <w:top w:val="none" w:sz="0" w:space="0" w:color="auto"/>
            <w:left w:val="none" w:sz="0" w:space="0" w:color="auto"/>
            <w:bottom w:val="none" w:sz="0" w:space="0" w:color="auto"/>
            <w:right w:val="none" w:sz="0" w:space="0" w:color="auto"/>
          </w:divBdr>
        </w:div>
        <w:div w:id="1655257886">
          <w:marLeft w:val="480"/>
          <w:marRight w:val="0"/>
          <w:marTop w:val="0"/>
          <w:marBottom w:val="0"/>
          <w:divBdr>
            <w:top w:val="none" w:sz="0" w:space="0" w:color="auto"/>
            <w:left w:val="none" w:sz="0" w:space="0" w:color="auto"/>
            <w:bottom w:val="none" w:sz="0" w:space="0" w:color="auto"/>
            <w:right w:val="none" w:sz="0" w:space="0" w:color="auto"/>
          </w:divBdr>
        </w:div>
        <w:div w:id="1487553917">
          <w:marLeft w:val="480"/>
          <w:marRight w:val="0"/>
          <w:marTop w:val="0"/>
          <w:marBottom w:val="0"/>
          <w:divBdr>
            <w:top w:val="none" w:sz="0" w:space="0" w:color="auto"/>
            <w:left w:val="none" w:sz="0" w:space="0" w:color="auto"/>
            <w:bottom w:val="none" w:sz="0" w:space="0" w:color="auto"/>
            <w:right w:val="none" w:sz="0" w:space="0" w:color="auto"/>
          </w:divBdr>
        </w:div>
        <w:div w:id="1668366936">
          <w:marLeft w:val="480"/>
          <w:marRight w:val="0"/>
          <w:marTop w:val="0"/>
          <w:marBottom w:val="0"/>
          <w:divBdr>
            <w:top w:val="none" w:sz="0" w:space="0" w:color="auto"/>
            <w:left w:val="none" w:sz="0" w:space="0" w:color="auto"/>
            <w:bottom w:val="none" w:sz="0" w:space="0" w:color="auto"/>
            <w:right w:val="none" w:sz="0" w:space="0" w:color="auto"/>
          </w:divBdr>
        </w:div>
        <w:div w:id="1214999520">
          <w:marLeft w:val="480"/>
          <w:marRight w:val="0"/>
          <w:marTop w:val="0"/>
          <w:marBottom w:val="0"/>
          <w:divBdr>
            <w:top w:val="none" w:sz="0" w:space="0" w:color="auto"/>
            <w:left w:val="none" w:sz="0" w:space="0" w:color="auto"/>
            <w:bottom w:val="none" w:sz="0" w:space="0" w:color="auto"/>
            <w:right w:val="none" w:sz="0" w:space="0" w:color="auto"/>
          </w:divBdr>
        </w:div>
        <w:div w:id="1770663367">
          <w:marLeft w:val="480"/>
          <w:marRight w:val="0"/>
          <w:marTop w:val="0"/>
          <w:marBottom w:val="0"/>
          <w:divBdr>
            <w:top w:val="none" w:sz="0" w:space="0" w:color="auto"/>
            <w:left w:val="none" w:sz="0" w:space="0" w:color="auto"/>
            <w:bottom w:val="none" w:sz="0" w:space="0" w:color="auto"/>
            <w:right w:val="none" w:sz="0" w:space="0" w:color="auto"/>
          </w:divBdr>
        </w:div>
        <w:div w:id="17044759">
          <w:marLeft w:val="480"/>
          <w:marRight w:val="0"/>
          <w:marTop w:val="0"/>
          <w:marBottom w:val="0"/>
          <w:divBdr>
            <w:top w:val="none" w:sz="0" w:space="0" w:color="auto"/>
            <w:left w:val="none" w:sz="0" w:space="0" w:color="auto"/>
            <w:bottom w:val="none" w:sz="0" w:space="0" w:color="auto"/>
            <w:right w:val="none" w:sz="0" w:space="0" w:color="auto"/>
          </w:divBdr>
        </w:div>
        <w:div w:id="1859272533">
          <w:marLeft w:val="480"/>
          <w:marRight w:val="0"/>
          <w:marTop w:val="0"/>
          <w:marBottom w:val="0"/>
          <w:divBdr>
            <w:top w:val="none" w:sz="0" w:space="0" w:color="auto"/>
            <w:left w:val="none" w:sz="0" w:space="0" w:color="auto"/>
            <w:bottom w:val="none" w:sz="0" w:space="0" w:color="auto"/>
            <w:right w:val="none" w:sz="0" w:space="0" w:color="auto"/>
          </w:divBdr>
        </w:div>
        <w:div w:id="583681684">
          <w:marLeft w:val="480"/>
          <w:marRight w:val="0"/>
          <w:marTop w:val="0"/>
          <w:marBottom w:val="0"/>
          <w:divBdr>
            <w:top w:val="none" w:sz="0" w:space="0" w:color="auto"/>
            <w:left w:val="none" w:sz="0" w:space="0" w:color="auto"/>
            <w:bottom w:val="none" w:sz="0" w:space="0" w:color="auto"/>
            <w:right w:val="none" w:sz="0" w:space="0" w:color="auto"/>
          </w:divBdr>
        </w:div>
        <w:div w:id="288318091">
          <w:marLeft w:val="480"/>
          <w:marRight w:val="0"/>
          <w:marTop w:val="0"/>
          <w:marBottom w:val="0"/>
          <w:divBdr>
            <w:top w:val="none" w:sz="0" w:space="0" w:color="auto"/>
            <w:left w:val="none" w:sz="0" w:space="0" w:color="auto"/>
            <w:bottom w:val="none" w:sz="0" w:space="0" w:color="auto"/>
            <w:right w:val="none" w:sz="0" w:space="0" w:color="auto"/>
          </w:divBdr>
        </w:div>
        <w:div w:id="1336222445">
          <w:marLeft w:val="480"/>
          <w:marRight w:val="0"/>
          <w:marTop w:val="0"/>
          <w:marBottom w:val="0"/>
          <w:divBdr>
            <w:top w:val="none" w:sz="0" w:space="0" w:color="auto"/>
            <w:left w:val="none" w:sz="0" w:space="0" w:color="auto"/>
            <w:bottom w:val="none" w:sz="0" w:space="0" w:color="auto"/>
            <w:right w:val="none" w:sz="0" w:space="0" w:color="auto"/>
          </w:divBdr>
        </w:div>
        <w:div w:id="1808353698">
          <w:marLeft w:val="480"/>
          <w:marRight w:val="0"/>
          <w:marTop w:val="0"/>
          <w:marBottom w:val="0"/>
          <w:divBdr>
            <w:top w:val="none" w:sz="0" w:space="0" w:color="auto"/>
            <w:left w:val="none" w:sz="0" w:space="0" w:color="auto"/>
            <w:bottom w:val="none" w:sz="0" w:space="0" w:color="auto"/>
            <w:right w:val="none" w:sz="0" w:space="0" w:color="auto"/>
          </w:divBdr>
        </w:div>
        <w:div w:id="1531607629">
          <w:marLeft w:val="480"/>
          <w:marRight w:val="0"/>
          <w:marTop w:val="0"/>
          <w:marBottom w:val="0"/>
          <w:divBdr>
            <w:top w:val="none" w:sz="0" w:space="0" w:color="auto"/>
            <w:left w:val="none" w:sz="0" w:space="0" w:color="auto"/>
            <w:bottom w:val="none" w:sz="0" w:space="0" w:color="auto"/>
            <w:right w:val="none" w:sz="0" w:space="0" w:color="auto"/>
          </w:divBdr>
        </w:div>
        <w:div w:id="1108160940">
          <w:marLeft w:val="480"/>
          <w:marRight w:val="0"/>
          <w:marTop w:val="0"/>
          <w:marBottom w:val="0"/>
          <w:divBdr>
            <w:top w:val="none" w:sz="0" w:space="0" w:color="auto"/>
            <w:left w:val="none" w:sz="0" w:space="0" w:color="auto"/>
            <w:bottom w:val="none" w:sz="0" w:space="0" w:color="auto"/>
            <w:right w:val="none" w:sz="0" w:space="0" w:color="auto"/>
          </w:divBdr>
        </w:div>
        <w:div w:id="1055275299">
          <w:marLeft w:val="480"/>
          <w:marRight w:val="0"/>
          <w:marTop w:val="0"/>
          <w:marBottom w:val="0"/>
          <w:divBdr>
            <w:top w:val="none" w:sz="0" w:space="0" w:color="auto"/>
            <w:left w:val="none" w:sz="0" w:space="0" w:color="auto"/>
            <w:bottom w:val="none" w:sz="0" w:space="0" w:color="auto"/>
            <w:right w:val="none" w:sz="0" w:space="0" w:color="auto"/>
          </w:divBdr>
        </w:div>
        <w:div w:id="1138642256">
          <w:marLeft w:val="480"/>
          <w:marRight w:val="0"/>
          <w:marTop w:val="0"/>
          <w:marBottom w:val="0"/>
          <w:divBdr>
            <w:top w:val="none" w:sz="0" w:space="0" w:color="auto"/>
            <w:left w:val="none" w:sz="0" w:space="0" w:color="auto"/>
            <w:bottom w:val="none" w:sz="0" w:space="0" w:color="auto"/>
            <w:right w:val="none" w:sz="0" w:space="0" w:color="auto"/>
          </w:divBdr>
        </w:div>
        <w:div w:id="355543437">
          <w:marLeft w:val="480"/>
          <w:marRight w:val="0"/>
          <w:marTop w:val="0"/>
          <w:marBottom w:val="0"/>
          <w:divBdr>
            <w:top w:val="none" w:sz="0" w:space="0" w:color="auto"/>
            <w:left w:val="none" w:sz="0" w:space="0" w:color="auto"/>
            <w:bottom w:val="none" w:sz="0" w:space="0" w:color="auto"/>
            <w:right w:val="none" w:sz="0" w:space="0" w:color="auto"/>
          </w:divBdr>
        </w:div>
        <w:div w:id="2109885059">
          <w:marLeft w:val="480"/>
          <w:marRight w:val="0"/>
          <w:marTop w:val="0"/>
          <w:marBottom w:val="0"/>
          <w:divBdr>
            <w:top w:val="none" w:sz="0" w:space="0" w:color="auto"/>
            <w:left w:val="none" w:sz="0" w:space="0" w:color="auto"/>
            <w:bottom w:val="none" w:sz="0" w:space="0" w:color="auto"/>
            <w:right w:val="none" w:sz="0" w:space="0" w:color="auto"/>
          </w:divBdr>
        </w:div>
        <w:div w:id="1950817034">
          <w:marLeft w:val="480"/>
          <w:marRight w:val="0"/>
          <w:marTop w:val="0"/>
          <w:marBottom w:val="0"/>
          <w:divBdr>
            <w:top w:val="none" w:sz="0" w:space="0" w:color="auto"/>
            <w:left w:val="none" w:sz="0" w:space="0" w:color="auto"/>
            <w:bottom w:val="none" w:sz="0" w:space="0" w:color="auto"/>
            <w:right w:val="none" w:sz="0" w:space="0" w:color="auto"/>
          </w:divBdr>
        </w:div>
        <w:div w:id="756748097">
          <w:marLeft w:val="480"/>
          <w:marRight w:val="0"/>
          <w:marTop w:val="0"/>
          <w:marBottom w:val="0"/>
          <w:divBdr>
            <w:top w:val="none" w:sz="0" w:space="0" w:color="auto"/>
            <w:left w:val="none" w:sz="0" w:space="0" w:color="auto"/>
            <w:bottom w:val="none" w:sz="0" w:space="0" w:color="auto"/>
            <w:right w:val="none" w:sz="0" w:space="0" w:color="auto"/>
          </w:divBdr>
        </w:div>
        <w:div w:id="1914312451">
          <w:marLeft w:val="480"/>
          <w:marRight w:val="0"/>
          <w:marTop w:val="0"/>
          <w:marBottom w:val="0"/>
          <w:divBdr>
            <w:top w:val="none" w:sz="0" w:space="0" w:color="auto"/>
            <w:left w:val="none" w:sz="0" w:space="0" w:color="auto"/>
            <w:bottom w:val="none" w:sz="0" w:space="0" w:color="auto"/>
            <w:right w:val="none" w:sz="0" w:space="0" w:color="auto"/>
          </w:divBdr>
        </w:div>
        <w:div w:id="8682446">
          <w:marLeft w:val="480"/>
          <w:marRight w:val="0"/>
          <w:marTop w:val="0"/>
          <w:marBottom w:val="0"/>
          <w:divBdr>
            <w:top w:val="none" w:sz="0" w:space="0" w:color="auto"/>
            <w:left w:val="none" w:sz="0" w:space="0" w:color="auto"/>
            <w:bottom w:val="none" w:sz="0" w:space="0" w:color="auto"/>
            <w:right w:val="none" w:sz="0" w:space="0" w:color="auto"/>
          </w:divBdr>
        </w:div>
        <w:div w:id="985934625">
          <w:marLeft w:val="480"/>
          <w:marRight w:val="0"/>
          <w:marTop w:val="0"/>
          <w:marBottom w:val="0"/>
          <w:divBdr>
            <w:top w:val="none" w:sz="0" w:space="0" w:color="auto"/>
            <w:left w:val="none" w:sz="0" w:space="0" w:color="auto"/>
            <w:bottom w:val="none" w:sz="0" w:space="0" w:color="auto"/>
            <w:right w:val="none" w:sz="0" w:space="0" w:color="auto"/>
          </w:divBdr>
        </w:div>
        <w:div w:id="2139060053">
          <w:marLeft w:val="480"/>
          <w:marRight w:val="0"/>
          <w:marTop w:val="0"/>
          <w:marBottom w:val="0"/>
          <w:divBdr>
            <w:top w:val="none" w:sz="0" w:space="0" w:color="auto"/>
            <w:left w:val="none" w:sz="0" w:space="0" w:color="auto"/>
            <w:bottom w:val="none" w:sz="0" w:space="0" w:color="auto"/>
            <w:right w:val="none" w:sz="0" w:space="0" w:color="auto"/>
          </w:divBdr>
        </w:div>
        <w:div w:id="708839947">
          <w:marLeft w:val="480"/>
          <w:marRight w:val="0"/>
          <w:marTop w:val="0"/>
          <w:marBottom w:val="0"/>
          <w:divBdr>
            <w:top w:val="none" w:sz="0" w:space="0" w:color="auto"/>
            <w:left w:val="none" w:sz="0" w:space="0" w:color="auto"/>
            <w:bottom w:val="none" w:sz="0" w:space="0" w:color="auto"/>
            <w:right w:val="none" w:sz="0" w:space="0" w:color="auto"/>
          </w:divBdr>
        </w:div>
        <w:div w:id="2017919274">
          <w:marLeft w:val="480"/>
          <w:marRight w:val="0"/>
          <w:marTop w:val="0"/>
          <w:marBottom w:val="0"/>
          <w:divBdr>
            <w:top w:val="none" w:sz="0" w:space="0" w:color="auto"/>
            <w:left w:val="none" w:sz="0" w:space="0" w:color="auto"/>
            <w:bottom w:val="none" w:sz="0" w:space="0" w:color="auto"/>
            <w:right w:val="none" w:sz="0" w:space="0" w:color="auto"/>
          </w:divBdr>
        </w:div>
        <w:div w:id="1856991079">
          <w:marLeft w:val="480"/>
          <w:marRight w:val="0"/>
          <w:marTop w:val="0"/>
          <w:marBottom w:val="0"/>
          <w:divBdr>
            <w:top w:val="none" w:sz="0" w:space="0" w:color="auto"/>
            <w:left w:val="none" w:sz="0" w:space="0" w:color="auto"/>
            <w:bottom w:val="none" w:sz="0" w:space="0" w:color="auto"/>
            <w:right w:val="none" w:sz="0" w:space="0" w:color="auto"/>
          </w:divBdr>
        </w:div>
        <w:div w:id="1510487864">
          <w:marLeft w:val="480"/>
          <w:marRight w:val="0"/>
          <w:marTop w:val="0"/>
          <w:marBottom w:val="0"/>
          <w:divBdr>
            <w:top w:val="none" w:sz="0" w:space="0" w:color="auto"/>
            <w:left w:val="none" w:sz="0" w:space="0" w:color="auto"/>
            <w:bottom w:val="none" w:sz="0" w:space="0" w:color="auto"/>
            <w:right w:val="none" w:sz="0" w:space="0" w:color="auto"/>
          </w:divBdr>
        </w:div>
        <w:div w:id="354502611">
          <w:marLeft w:val="480"/>
          <w:marRight w:val="0"/>
          <w:marTop w:val="0"/>
          <w:marBottom w:val="0"/>
          <w:divBdr>
            <w:top w:val="none" w:sz="0" w:space="0" w:color="auto"/>
            <w:left w:val="none" w:sz="0" w:space="0" w:color="auto"/>
            <w:bottom w:val="none" w:sz="0" w:space="0" w:color="auto"/>
            <w:right w:val="none" w:sz="0" w:space="0" w:color="auto"/>
          </w:divBdr>
        </w:div>
        <w:div w:id="1637108036">
          <w:marLeft w:val="480"/>
          <w:marRight w:val="0"/>
          <w:marTop w:val="0"/>
          <w:marBottom w:val="0"/>
          <w:divBdr>
            <w:top w:val="none" w:sz="0" w:space="0" w:color="auto"/>
            <w:left w:val="none" w:sz="0" w:space="0" w:color="auto"/>
            <w:bottom w:val="none" w:sz="0" w:space="0" w:color="auto"/>
            <w:right w:val="none" w:sz="0" w:space="0" w:color="auto"/>
          </w:divBdr>
        </w:div>
        <w:div w:id="1582175894">
          <w:marLeft w:val="480"/>
          <w:marRight w:val="0"/>
          <w:marTop w:val="0"/>
          <w:marBottom w:val="0"/>
          <w:divBdr>
            <w:top w:val="none" w:sz="0" w:space="0" w:color="auto"/>
            <w:left w:val="none" w:sz="0" w:space="0" w:color="auto"/>
            <w:bottom w:val="none" w:sz="0" w:space="0" w:color="auto"/>
            <w:right w:val="none" w:sz="0" w:space="0" w:color="auto"/>
          </w:divBdr>
        </w:div>
        <w:div w:id="887034667">
          <w:marLeft w:val="480"/>
          <w:marRight w:val="0"/>
          <w:marTop w:val="0"/>
          <w:marBottom w:val="0"/>
          <w:divBdr>
            <w:top w:val="none" w:sz="0" w:space="0" w:color="auto"/>
            <w:left w:val="none" w:sz="0" w:space="0" w:color="auto"/>
            <w:bottom w:val="none" w:sz="0" w:space="0" w:color="auto"/>
            <w:right w:val="none" w:sz="0" w:space="0" w:color="auto"/>
          </w:divBdr>
        </w:div>
        <w:div w:id="700204210">
          <w:marLeft w:val="480"/>
          <w:marRight w:val="0"/>
          <w:marTop w:val="0"/>
          <w:marBottom w:val="0"/>
          <w:divBdr>
            <w:top w:val="none" w:sz="0" w:space="0" w:color="auto"/>
            <w:left w:val="none" w:sz="0" w:space="0" w:color="auto"/>
            <w:bottom w:val="none" w:sz="0" w:space="0" w:color="auto"/>
            <w:right w:val="none" w:sz="0" w:space="0" w:color="auto"/>
          </w:divBdr>
        </w:div>
        <w:div w:id="1303384518">
          <w:marLeft w:val="480"/>
          <w:marRight w:val="0"/>
          <w:marTop w:val="0"/>
          <w:marBottom w:val="0"/>
          <w:divBdr>
            <w:top w:val="none" w:sz="0" w:space="0" w:color="auto"/>
            <w:left w:val="none" w:sz="0" w:space="0" w:color="auto"/>
            <w:bottom w:val="none" w:sz="0" w:space="0" w:color="auto"/>
            <w:right w:val="none" w:sz="0" w:space="0" w:color="auto"/>
          </w:divBdr>
        </w:div>
        <w:div w:id="1548103694">
          <w:marLeft w:val="480"/>
          <w:marRight w:val="0"/>
          <w:marTop w:val="0"/>
          <w:marBottom w:val="0"/>
          <w:divBdr>
            <w:top w:val="none" w:sz="0" w:space="0" w:color="auto"/>
            <w:left w:val="none" w:sz="0" w:space="0" w:color="auto"/>
            <w:bottom w:val="none" w:sz="0" w:space="0" w:color="auto"/>
            <w:right w:val="none" w:sz="0" w:space="0" w:color="auto"/>
          </w:divBdr>
        </w:div>
        <w:div w:id="322047993">
          <w:marLeft w:val="480"/>
          <w:marRight w:val="0"/>
          <w:marTop w:val="0"/>
          <w:marBottom w:val="0"/>
          <w:divBdr>
            <w:top w:val="none" w:sz="0" w:space="0" w:color="auto"/>
            <w:left w:val="none" w:sz="0" w:space="0" w:color="auto"/>
            <w:bottom w:val="none" w:sz="0" w:space="0" w:color="auto"/>
            <w:right w:val="none" w:sz="0" w:space="0" w:color="auto"/>
          </w:divBdr>
        </w:div>
        <w:div w:id="1866095968">
          <w:marLeft w:val="480"/>
          <w:marRight w:val="0"/>
          <w:marTop w:val="0"/>
          <w:marBottom w:val="0"/>
          <w:divBdr>
            <w:top w:val="none" w:sz="0" w:space="0" w:color="auto"/>
            <w:left w:val="none" w:sz="0" w:space="0" w:color="auto"/>
            <w:bottom w:val="none" w:sz="0" w:space="0" w:color="auto"/>
            <w:right w:val="none" w:sz="0" w:space="0" w:color="auto"/>
          </w:divBdr>
        </w:div>
        <w:div w:id="165175915">
          <w:marLeft w:val="480"/>
          <w:marRight w:val="0"/>
          <w:marTop w:val="0"/>
          <w:marBottom w:val="0"/>
          <w:divBdr>
            <w:top w:val="none" w:sz="0" w:space="0" w:color="auto"/>
            <w:left w:val="none" w:sz="0" w:space="0" w:color="auto"/>
            <w:bottom w:val="none" w:sz="0" w:space="0" w:color="auto"/>
            <w:right w:val="none" w:sz="0" w:space="0" w:color="auto"/>
          </w:divBdr>
        </w:div>
        <w:div w:id="619650524">
          <w:marLeft w:val="480"/>
          <w:marRight w:val="0"/>
          <w:marTop w:val="0"/>
          <w:marBottom w:val="0"/>
          <w:divBdr>
            <w:top w:val="none" w:sz="0" w:space="0" w:color="auto"/>
            <w:left w:val="none" w:sz="0" w:space="0" w:color="auto"/>
            <w:bottom w:val="none" w:sz="0" w:space="0" w:color="auto"/>
            <w:right w:val="none" w:sz="0" w:space="0" w:color="auto"/>
          </w:divBdr>
        </w:div>
        <w:div w:id="93789523">
          <w:marLeft w:val="480"/>
          <w:marRight w:val="0"/>
          <w:marTop w:val="0"/>
          <w:marBottom w:val="0"/>
          <w:divBdr>
            <w:top w:val="none" w:sz="0" w:space="0" w:color="auto"/>
            <w:left w:val="none" w:sz="0" w:space="0" w:color="auto"/>
            <w:bottom w:val="none" w:sz="0" w:space="0" w:color="auto"/>
            <w:right w:val="none" w:sz="0" w:space="0" w:color="auto"/>
          </w:divBdr>
        </w:div>
        <w:div w:id="831526773">
          <w:marLeft w:val="480"/>
          <w:marRight w:val="0"/>
          <w:marTop w:val="0"/>
          <w:marBottom w:val="0"/>
          <w:divBdr>
            <w:top w:val="none" w:sz="0" w:space="0" w:color="auto"/>
            <w:left w:val="none" w:sz="0" w:space="0" w:color="auto"/>
            <w:bottom w:val="none" w:sz="0" w:space="0" w:color="auto"/>
            <w:right w:val="none" w:sz="0" w:space="0" w:color="auto"/>
          </w:divBdr>
        </w:div>
        <w:div w:id="240413483">
          <w:marLeft w:val="480"/>
          <w:marRight w:val="0"/>
          <w:marTop w:val="0"/>
          <w:marBottom w:val="0"/>
          <w:divBdr>
            <w:top w:val="none" w:sz="0" w:space="0" w:color="auto"/>
            <w:left w:val="none" w:sz="0" w:space="0" w:color="auto"/>
            <w:bottom w:val="none" w:sz="0" w:space="0" w:color="auto"/>
            <w:right w:val="none" w:sz="0" w:space="0" w:color="auto"/>
          </w:divBdr>
        </w:div>
        <w:div w:id="1462726850">
          <w:marLeft w:val="480"/>
          <w:marRight w:val="0"/>
          <w:marTop w:val="0"/>
          <w:marBottom w:val="0"/>
          <w:divBdr>
            <w:top w:val="none" w:sz="0" w:space="0" w:color="auto"/>
            <w:left w:val="none" w:sz="0" w:space="0" w:color="auto"/>
            <w:bottom w:val="none" w:sz="0" w:space="0" w:color="auto"/>
            <w:right w:val="none" w:sz="0" w:space="0" w:color="auto"/>
          </w:divBdr>
        </w:div>
        <w:div w:id="602953829">
          <w:marLeft w:val="480"/>
          <w:marRight w:val="0"/>
          <w:marTop w:val="0"/>
          <w:marBottom w:val="0"/>
          <w:divBdr>
            <w:top w:val="none" w:sz="0" w:space="0" w:color="auto"/>
            <w:left w:val="none" w:sz="0" w:space="0" w:color="auto"/>
            <w:bottom w:val="none" w:sz="0" w:space="0" w:color="auto"/>
            <w:right w:val="none" w:sz="0" w:space="0" w:color="auto"/>
          </w:divBdr>
        </w:div>
        <w:div w:id="1198011378">
          <w:marLeft w:val="480"/>
          <w:marRight w:val="0"/>
          <w:marTop w:val="0"/>
          <w:marBottom w:val="0"/>
          <w:divBdr>
            <w:top w:val="none" w:sz="0" w:space="0" w:color="auto"/>
            <w:left w:val="none" w:sz="0" w:space="0" w:color="auto"/>
            <w:bottom w:val="none" w:sz="0" w:space="0" w:color="auto"/>
            <w:right w:val="none" w:sz="0" w:space="0" w:color="auto"/>
          </w:divBdr>
        </w:div>
        <w:div w:id="2064332808">
          <w:marLeft w:val="480"/>
          <w:marRight w:val="0"/>
          <w:marTop w:val="0"/>
          <w:marBottom w:val="0"/>
          <w:divBdr>
            <w:top w:val="none" w:sz="0" w:space="0" w:color="auto"/>
            <w:left w:val="none" w:sz="0" w:space="0" w:color="auto"/>
            <w:bottom w:val="none" w:sz="0" w:space="0" w:color="auto"/>
            <w:right w:val="none" w:sz="0" w:space="0" w:color="auto"/>
          </w:divBdr>
        </w:div>
        <w:div w:id="1041977295">
          <w:marLeft w:val="480"/>
          <w:marRight w:val="0"/>
          <w:marTop w:val="0"/>
          <w:marBottom w:val="0"/>
          <w:divBdr>
            <w:top w:val="none" w:sz="0" w:space="0" w:color="auto"/>
            <w:left w:val="none" w:sz="0" w:space="0" w:color="auto"/>
            <w:bottom w:val="none" w:sz="0" w:space="0" w:color="auto"/>
            <w:right w:val="none" w:sz="0" w:space="0" w:color="auto"/>
          </w:divBdr>
        </w:div>
        <w:div w:id="691034035">
          <w:marLeft w:val="480"/>
          <w:marRight w:val="0"/>
          <w:marTop w:val="0"/>
          <w:marBottom w:val="0"/>
          <w:divBdr>
            <w:top w:val="none" w:sz="0" w:space="0" w:color="auto"/>
            <w:left w:val="none" w:sz="0" w:space="0" w:color="auto"/>
            <w:bottom w:val="none" w:sz="0" w:space="0" w:color="auto"/>
            <w:right w:val="none" w:sz="0" w:space="0" w:color="auto"/>
          </w:divBdr>
        </w:div>
        <w:div w:id="1134833614">
          <w:marLeft w:val="480"/>
          <w:marRight w:val="0"/>
          <w:marTop w:val="0"/>
          <w:marBottom w:val="0"/>
          <w:divBdr>
            <w:top w:val="none" w:sz="0" w:space="0" w:color="auto"/>
            <w:left w:val="none" w:sz="0" w:space="0" w:color="auto"/>
            <w:bottom w:val="none" w:sz="0" w:space="0" w:color="auto"/>
            <w:right w:val="none" w:sz="0" w:space="0" w:color="auto"/>
          </w:divBdr>
        </w:div>
        <w:div w:id="425081310">
          <w:marLeft w:val="480"/>
          <w:marRight w:val="0"/>
          <w:marTop w:val="0"/>
          <w:marBottom w:val="0"/>
          <w:divBdr>
            <w:top w:val="none" w:sz="0" w:space="0" w:color="auto"/>
            <w:left w:val="none" w:sz="0" w:space="0" w:color="auto"/>
            <w:bottom w:val="none" w:sz="0" w:space="0" w:color="auto"/>
            <w:right w:val="none" w:sz="0" w:space="0" w:color="auto"/>
          </w:divBdr>
        </w:div>
        <w:div w:id="713773780">
          <w:marLeft w:val="480"/>
          <w:marRight w:val="0"/>
          <w:marTop w:val="0"/>
          <w:marBottom w:val="0"/>
          <w:divBdr>
            <w:top w:val="none" w:sz="0" w:space="0" w:color="auto"/>
            <w:left w:val="none" w:sz="0" w:space="0" w:color="auto"/>
            <w:bottom w:val="none" w:sz="0" w:space="0" w:color="auto"/>
            <w:right w:val="none" w:sz="0" w:space="0" w:color="auto"/>
          </w:divBdr>
        </w:div>
        <w:div w:id="534924908">
          <w:marLeft w:val="480"/>
          <w:marRight w:val="0"/>
          <w:marTop w:val="0"/>
          <w:marBottom w:val="0"/>
          <w:divBdr>
            <w:top w:val="none" w:sz="0" w:space="0" w:color="auto"/>
            <w:left w:val="none" w:sz="0" w:space="0" w:color="auto"/>
            <w:bottom w:val="none" w:sz="0" w:space="0" w:color="auto"/>
            <w:right w:val="none" w:sz="0" w:space="0" w:color="auto"/>
          </w:divBdr>
        </w:div>
        <w:div w:id="1541474334">
          <w:marLeft w:val="480"/>
          <w:marRight w:val="0"/>
          <w:marTop w:val="0"/>
          <w:marBottom w:val="0"/>
          <w:divBdr>
            <w:top w:val="none" w:sz="0" w:space="0" w:color="auto"/>
            <w:left w:val="none" w:sz="0" w:space="0" w:color="auto"/>
            <w:bottom w:val="none" w:sz="0" w:space="0" w:color="auto"/>
            <w:right w:val="none" w:sz="0" w:space="0" w:color="auto"/>
          </w:divBdr>
        </w:div>
        <w:div w:id="1436097612">
          <w:marLeft w:val="480"/>
          <w:marRight w:val="0"/>
          <w:marTop w:val="0"/>
          <w:marBottom w:val="0"/>
          <w:divBdr>
            <w:top w:val="none" w:sz="0" w:space="0" w:color="auto"/>
            <w:left w:val="none" w:sz="0" w:space="0" w:color="auto"/>
            <w:bottom w:val="none" w:sz="0" w:space="0" w:color="auto"/>
            <w:right w:val="none" w:sz="0" w:space="0" w:color="auto"/>
          </w:divBdr>
        </w:div>
        <w:div w:id="1376202152">
          <w:marLeft w:val="480"/>
          <w:marRight w:val="0"/>
          <w:marTop w:val="0"/>
          <w:marBottom w:val="0"/>
          <w:divBdr>
            <w:top w:val="none" w:sz="0" w:space="0" w:color="auto"/>
            <w:left w:val="none" w:sz="0" w:space="0" w:color="auto"/>
            <w:bottom w:val="none" w:sz="0" w:space="0" w:color="auto"/>
            <w:right w:val="none" w:sz="0" w:space="0" w:color="auto"/>
          </w:divBdr>
        </w:div>
        <w:div w:id="1834446744">
          <w:marLeft w:val="480"/>
          <w:marRight w:val="0"/>
          <w:marTop w:val="0"/>
          <w:marBottom w:val="0"/>
          <w:divBdr>
            <w:top w:val="none" w:sz="0" w:space="0" w:color="auto"/>
            <w:left w:val="none" w:sz="0" w:space="0" w:color="auto"/>
            <w:bottom w:val="none" w:sz="0" w:space="0" w:color="auto"/>
            <w:right w:val="none" w:sz="0" w:space="0" w:color="auto"/>
          </w:divBdr>
        </w:div>
        <w:div w:id="813254881">
          <w:marLeft w:val="480"/>
          <w:marRight w:val="0"/>
          <w:marTop w:val="0"/>
          <w:marBottom w:val="0"/>
          <w:divBdr>
            <w:top w:val="none" w:sz="0" w:space="0" w:color="auto"/>
            <w:left w:val="none" w:sz="0" w:space="0" w:color="auto"/>
            <w:bottom w:val="none" w:sz="0" w:space="0" w:color="auto"/>
            <w:right w:val="none" w:sz="0" w:space="0" w:color="auto"/>
          </w:divBdr>
        </w:div>
        <w:div w:id="1966963858">
          <w:marLeft w:val="480"/>
          <w:marRight w:val="0"/>
          <w:marTop w:val="0"/>
          <w:marBottom w:val="0"/>
          <w:divBdr>
            <w:top w:val="none" w:sz="0" w:space="0" w:color="auto"/>
            <w:left w:val="none" w:sz="0" w:space="0" w:color="auto"/>
            <w:bottom w:val="none" w:sz="0" w:space="0" w:color="auto"/>
            <w:right w:val="none" w:sz="0" w:space="0" w:color="auto"/>
          </w:divBdr>
        </w:div>
        <w:div w:id="811756665">
          <w:marLeft w:val="480"/>
          <w:marRight w:val="0"/>
          <w:marTop w:val="0"/>
          <w:marBottom w:val="0"/>
          <w:divBdr>
            <w:top w:val="none" w:sz="0" w:space="0" w:color="auto"/>
            <w:left w:val="none" w:sz="0" w:space="0" w:color="auto"/>
            <w:bottom w:val="none" w:sz="0" w:space="0" w:color="auto"/>
            <w:right w:val="none" w:sz="0" w:space="0" w:color="auto"/>
          </w:divBdr>
        </w:div>
        <w:div w:id="1454246304">
          <w:marLeft w:val="480"/>
          <w:marRight w:val="0"/>
          <w:marTop w:val="0"/>
          <w:marBottom w:val="0"/>
          <w:divBdr>
            <w:top w:val="none" w:sz="0" w:space="0" w:color="auto"/>
            <w:left w:val="none" w:sz="0" w:space="0" w:color="auto"/>
            <w:bottom w:val="none" w:sz="0" w:space="0" w:color="auto"/>
            <w:right w:val="none" w:sz="0" w:space="0" w:color="auto"/>
          </w:divBdr>
        </w:div>
        <w:div w:id="221915288">
          <w:marLeft w:val="480"/>
          <w:marRight w:val="0"/>
          <w:marTop w:val="0"/>
          <w:marBottom w:val="0"/>
          <w:divBdr>
            <w:top w:val="none" w:sz="0" w:space="0" w:color="auto"/>
            <w:left w:val="none" w:sz="0" w:space="0" w:color="auto"/>
            <w:bottom w:val="none" w:sz="0" w:space="0" w:color="auto"/>
            <w:right w:val="none" w:sz="0" w:space="0" w:color="auto"/>
          </w:divBdr>
        </w:div>
        <w:div w:id="649672023">
          <w:marLeft w:val="480"/>
          <w:marRight w:val="0"/>
          <w:marTop w:val="0"/>
          <w:marBottom w:val="0"/>
          <w:divBdr>
            <w:top w:val="none" w:sz="0" w:space="0" w:color="auto"/>
            <w:left w:val="none" w:sz="0" w:space="0" w:color="auto"/>
            <w:bottom w:val="none" w:sz="0" w:space="0" w:color="auto"/>
            <w:right w:val="none" w:sz="0" w:space="0" w:color="auto"/>
          </w:divBdr>
        </w:div>
        <w:div w:id="4748510">
          <w:marLeft w:val="480"/>
          <w:marRight w:val="0"/>
          <w:marTop w:val="0"/>
          <w:marBottom w:val="0"/>
          <w:divBdr>
            <w:top w:val="none" w:sz="0" w:space="0" w:color="auto"/>
            <w:left w:val="none" w:sz="0" w:space="0" w:color="auto"/>
            <w:bottom w:val="none" w:sz="0" w:space="0" w:color="auto"/>
            <w:right w:val="none" w:sz="0" w:space="0" w:color="auto"/>
          </w:divBdr>
        </w:div>
        <w:div w:id="1158106454">
          <w:marLeft w:val="480"/>
          <w:marRight w:val="0"/>
          <w:marTop w:val="0"/>
          <w:marBottom w:val="0"/>
          <w:divBdr>
            <w:top w:val="none" w:sz="0" w:space="0" w:color="auto"/>
            <w:left w:val="none" w:sz="0" w:space="0" w:color="auto"/>
            <w:bottom w:val="none" w:sz="0" w:space="0" w:color="auto"/>
            <w:right w:val="none" w:sz="0" w:space="0" w:color="auto"/>
          </w:divBdr>
        </w:div>
        <w:div w:id="1764689629">
          <w:marLeft w:val="480"/>
          <w:marRight w:val="0"/>
          <w:marTop w:val="0"/>
          <w:marBottom w:val="0"/>
          <w:divBdr>
            <w:top w:val="none" w:sz="0" w:space="0" w:color="auto"/>
            <w:left w:val="none" w:sz="0" w:space="0" w:color="auto"/>
            <w:bottom w:val="none" w:sz="0" w:space="0" w:color="auto"/>
            <w:right w:val="none" w:sz="0" w:space="0" w:color="auto"/>
          </w:divBdr>
        </w:div>
        <w:div w:id="1161850398">
          <w:marLeft w:val="480"/>
          <w:marRight w:val="0"/>
          <w:marTop w:val="0"/>
          <w:marBottom w:val="0"/>
          <w:divBdr>
            <w:top w:val="none" w:sz="0" w:space="0" w:color="auto"/>
            <w:left w:val="none" w:sz="0" w:space="0" w:color="auto"/>
            <w:bottom w:val="none" w:sz="0" w:space="0" w:color="auto"/>
            <w:right w:val="none" w:sz="0" w:space="0" w:color="auto"/>
          </w:divBdr>
        </w:div>
        <w:div w:id="432558488">
          <w:marLeft w:val="480"/>
          <w:marRight w:val="0"/>
          <w:marTop w:val="0"/>
          <w:marBottom w:val="0"/>
          <w:divBdr>
            <w:top w:val="none" w:sz="0" w:space="0" w:color="auto"/>
            <w:left w:val="none" w:sz="0" w:space="0" w:color="auto"/>
            <w:bottom w:val="none" w:sz="0" w:space="0" w:color="auto"/>
            <w:right w:val="none" w:sz="0" w:space="0" w:color="auto"/>
          </w:divBdr>
        </w:div>
        <w:div w:id="1318026977">
          <w:marLeft w:val="480"/>
          <w:marRight w:val="0"/>
          <w:marTop w:val="0"/>
          <w:marBottom w:val="0"/>
          <w:divBdr>
            <w:top w:val="none" w:sz="0" w:space="0" w:color="auto"/>
            <w:left w:val="none" w:sz="0" w:space="0" w:color="auto"/>
            <w:bottom w:val="none" w:sz="0" w:space="0" w:color="auto"/>
            <w:right w:val="none" w:sz="0" w:space="0" w:color="auto"/>
          </w:divBdr>
        </w:div>
        <w:div w:id="918171723">
          <w:marLeft w:val="480"/>
          <w:marRight w:val="0"/>
          <w:marTop w:val="0"/>
          <w:marBottom w:val="0"/>
          <w:divBdr>
            <w:top w:val="none" w:sz="0" w:space="0" w:color="auto"/>
            <w:left w:val="none" w:sz="0" w:space="0" w:color="auto"/>
            <w:bottom w:val="none" w:sz="0" w:space="0" w:color="auto"/>
            <w:right w:val="none" w:sz="0" w:space="0" w:color="auto"/>
          </w:divBdr>
        </w:div>
        <w:div w:id="863709634">
          <w:marLeft w:val="480"/>
          <w:marRight w:val="0"/>
          <w:marTop w:val="0"/>
          <w:marBottom w:val="0"/>
          <w:divBdr>
            <w:top w:val="none" w:sz="0" w:space="0" w:color="auto"/>
            <w:left w:val="none" w:sz="0" w:space="0" w:color="auto"/>
            <w:bottom w:val="none" w:sz="0" w:space="0" w:color="auto"/>
            <w:right w:val="none" w:sz="0" w:space="0" w:color="auto"/>
          </w:divBdr>
        </w:div>
        <w:div w:id="1738432355">
          <w:marLeft w:val="480"/>
          <w:marRight w:val="0"/>
          <w:marTop w:val="0"/>
          <w:marBottom w:val="0"/>
          <w:divBdr>
            <w:top w:val="none" w:sz="0" w:space="0" w:color="auto"/>
            <w:left w:val="none" w:sz="0" w:space="0" w:color="auto"/>
            <w:bottom w:val="none" w:sz="0" w:space="0" w:color="auto"/>
            <w:right w:val="none" w:sz="0" w:space="0" w:color="auto"/>
          </w:divBdr>
        </w:div>
        <w:div w:id="1701123567">
          <w:marLeft w:val="480"/>
          <w:marRight w:val="0"/>
          <w:marTop w:val="0"/>
          <w:marBottom w:val="0"/>
          <w:divBdr>
            <w:top w:val="none" w:sz="0" w:space="0" w:color="auto"/>
            <w:left w:val="none" w:sz="0" w:space="0" w:color="auto"/>
            <w:bottom w:val="none" w:sz="0" w:space="0" w:color="auto"/>
            <w:right w:val="none" w:sz="0" w:space="0" w:color="auto"/>
          </w:divBdr>
        </w:div>
        <w:div w:id="1258170198">
          <w:marLeft w:val="480"/>
          <w:marRight w:val="0"/>
          <w:marTop w:val="0"/>
          <w:marBottom w:val="0"/>
          <w:divBdr>
            <w:top w:val="none" w:sz="0" w:space="0" w:color="auto"/>
            <w:left w:val="none" w:sz="0" w:space="0" w:color="auto"/>
            <w:bottom w:val="none" w:sz="0" w:space="0" w:color="auto"/>
            <w:right w:val="none" w:sz="0" w:space="0" w:color="auto"/>
          </w:divBdr>
        </w:div>
        <w:div w:id="263854186">
          <w:marLeft w:val="480"/>
          <w:marRight w:val="0"/>
          <w:marTop w:val="0"/>
          <w:marBottom w:val="0"/>
          <w:divBdr>
            <w:top w:val="none" w:sz="0" w:space="0" w:color="auto"/>
            <w:left w:val="none" w:sz="0" w:space="0" w:color="auto"/>
            <w:bottom w:val="none" w:sz="0" w:space="0" w:color="auto"/>
            <w:right w:val="none" w:sz="0" w:space="0" w:color="auto"/>
          </w:divBdr>
        </w:div>
        <w:div w:id="1877889687">
          <w:marLeft w:val="480"/>
          <w:marRight w:val="0"/>
          <w:marTop w:val="0"/>
          <w:marBottom w:val="0"/>
          <w:divBdr>
            <w:top w:val="none" w:sz="0" w:space="0" w:color="auto"/>
            <w:left w:val="none" w:sz="0" w:space="0" w:color="auto"/>
            <w:bottom w:val="none" w:sz="0" w:space="0" w:color="auto"/>
            <w:right w:val="none" w:sz="0" w:space="0" w:color="auto"/>
          </w:divBdr>
        </w:div>
        <w:div w:id="810944496">
          <w:marLeft w:val="480"/>
          <w:marRight w:val="0"/>
          <w:marTop w:val="0"/>
          <w:marBottom w:val="0"/>
          <w:divBdr>
            <w:top w:val="none" w:sz="0" w:space="0" w:color="auto"/>
            <w:left w:val="none" w:sz="0" w:space="0" w:color="auto"/>
            <w:bottom w:val="none" w:sz="0" w:space="0" w:color="auto"/>
            <w:right w:val="none" w:sz="0" w:space="0" w:color="auto"/>
          </w:divBdr>
        </w:div>
        <w:div w:id="1323125853">
          <w:marLeft w:val="480"/>
          <w:marRight w:val="0"/>
          <w:marTop w:val="0"/>
          <w:marBottom w:val="0"/>
          <w:divBdr>
            <w:top w:val="none" w:sz="0" w:space="0" w:color="auto"/>
            <w:left w:val="none" w:sz="0" w:space="0" w:color="auto"/>
            <w:bottom w:val="none" w:sz="0" w:space="0" w:color="auto"/>
            <w:right w:val="none" w:sz="0" w:space="0" w:color="auto"/>
          </w:divBdr>
        </w:div>
        <w:div w:id="1555307882">
          <w:marLeft w:val="480"/>
          <w:marRight w:val="0"/>
          <w:marTop w:val="0"/>
          <w:marBottom w:val="0"/>
          <w:divBdr>
            <w:top w:val="none" w:sz="0" w:space="0" w:color="auto"/>
            <w:left w:val="none" w:sz="0" w:space="0" w:color="auto"/>
            <w:bottom w:val="none" w:sz="0" w:space="0" w:color="auto"/>
            <w:right w:val="none" w:sz="0" w:space="0" w:color="auto"/>
          </w:divBdr>
        </w:div>
        <w:div w:id="57439314">
          <w:marLeft w:val="480"/>
          <w:marRight w:val="0"/>
          <w:marTop w:val="0"/>
          <w:marBottom w:val="0"/>
          <w:divBdr>
            <w:top w:val="none" w:sz="0" w:space="0" w:color="auto"/>
            <w:left w:val="none" w:sz="0" w:space="0" w:color="auto"/>
            <w:bottom w:val="none" w:sz="0" w:space="0" w:color="auto"/>
            <w:right w:val="none" w:sz="0" w:space="0" w:color="auto"/>
          </w:divBdr>
        </w:div>
        <w:div w:id="1672567012">
          <w:marLeft w:val="480"/>
          <w:marRight w:val="0"/>
          <w:marTop w:val="0"/>
          <w:marBottom w:val="0"/>
          <w:divBdr>
            <w:top w:val="none" w:sz="0" w:space="0" w:color="auto"/>
            <w:left w:val="none" w:sz="0" w:space="0" w:color="auto"/>
            <w:bottom w:val="none" w:sz="0" w:space="0" w:color="auto"/>
            <w:right w:val="none" w:sz="0" w:space="0" w:color="auto"/>
          </w:divBdr>
        </w:div>
        <w:div w:id="555163405">
          <w:marLeft w:val="480"/>
          <w:marRight w:val="0"/>
          <w:marTop w:val="0"/>
          <w:marBottom w:val="0"/>
          <w:divBdr>
            <w:top w:val="none" w:sz="0" w:space="0" w:color="auto"/>
            <w:left w:val="none" w:sz="0" w:space="0" w:color="auto"/>
            <w:bottom w:val="none" w:sz="0" w:space="0" w:color="auto"/>
            <w:right w:val="none" w:sz="0" w:space="0" w:color="auto"/>
          </w:divBdr>
        </w:div>
        <w:div w:id="2028561665">
          <w:marLeft w:val="480"/>
          <w:marRight w:val="0"/>
          <w:marTop w:val="0"/>
          <w:marBottom w:val="0"/>
          <w:divBdr>
            <w:top w:val="none" w:sz="0" w:space="0" w:color="auto"/>
            <w:left w:val="none" w:sz="0" w:space="0" w:color="auto"/>
            <w:bottom w:val="none" w:sz="0" w:space="0" w:color="auto"/>
            <w:right w:val="none" w:sz="0" w:space="0" w:color="auto"/>
          </w:divBdr>
        </w:div>
        <w:div w:id="687292795">
          <w:marLeft w:val="480"/>
          <w:marRight w:val="0"/>
          <w:marTop w:val="0"/>
          <w:marBottom w:val="0"/>
          <w:divBdr>
            <w:top w:val="none" w:sz="0" w:space="0" w:color="auto"/>
            <w:left w:val="none" w:sz="0" w:space="0" w:color="auto"/>
            <w:bottom w:val="none" w:sz="0" w:space="0" w:color="auto"/>
            <w:right w:val="none" w:sz="0" w:space="0" w:color="auto"/>
          </w:divBdr>
        </w:div>
        <w:div w:id="1049301436">
          <w:marLeft w:val="480"/>
          <w:marRight w:val="0"/>
          <w:marTop w:val="0"/>
          <w:marBottom w:val="0"/>
          <w:divBdr>
            <w:top w:val="none" w:sz="0" w:space="0" w:color="auto"/>
            <w:left w:val="none" w:sz="0" w:space="0" w:color="auto"/>
            <w:bottom w:val="none" w:sz="0" w:space="0" w:color="auto"/>
            <w:right w:val="none" w:sz="0" w:space="0" w:color="auto"/>
          </w:divBdr>
        </w:div>
        <w:div w:id="827937574">
          <w:marLeft w:val="480"/>
          <w:marRight w:val="0"/>
          <w:marTop w:val="0"/>
          <w:marBottom w:val="0"/>
          <w:divBdr>
            <w:top w:val="none" w:sz="0" w:space="0" w:color="auto"/>
            <w:left w:val="none" w:sz="0" w:space="0" w:color="auto"/>
            <w:bottom w:val="none" w:sz="0" w:space="0" w:color="auto"/>
            <w:right w:val="none" w:sz="0" w:space="0" w:color="auto"/>
          </w:divBdr>
        </w:div>
        <w:div w:id="1723090697">
          <w:marLeft w:val="480"/>
          <w:marRight w:val="0"/>
          <w:marTop w:val="0"/>
          <w:marBottom w:val="0"/>
          <w:divBdr>
            <w:top w:val="none" w:sz="0" w:space="0" w:color="auto"/>
            <w:left w:val="none" w:sz="0" w:space="0" w:color="auto"/>
            <w:bottom w:val="none" w:sz="0" w:space="0" w:color="auto"/>
            <w:right w:val="none" w:sz="0" w:space="0" w:color="auto"/>
          </w:divBdr>
        </w:div>
        <w:div w:id="879515871">
          <w:marLeft w:val="480"/>
          <w:marRight w:val="0"/>
          <w:marTop w:val="0"/>
          <w:marBottom w:val="0"/>
          <w:divBdr>
            <w:top w:val="none" w:sz="0" w:space="0" w:color="auto"/>
            <w:left w:val="none" w:sz="0" w:space="0" w:color="auto"/>
            <w:bottom w:val="none" w:sz="0" w:space="0" w:color="auto"/>
            <w:right w:val="none" w:sz="0" w:space="0" w:color="auto"/>
          </w:divBdr>
        </w:div>
        <w:div w:id="472066966">
          <w:marLeft w:val="480"/>
          <w:marRight w:val="0"/>
          <w:marTop w:val="0"/>
          <w:marBottom w:val="0"/>
          <w:divBdr>
            <w:top w:val="none" w:sz="0" w:space="0" w:color="auto"/>
            <w:left w:val="none" w:sz="0" w:space="0" w:color="auto"/>
            <w:bottom w:val="none" w:sz="0" w:space="0" w:color="auto"/>
            <w:right w:val="none" w:sz="0" w:space="0" w:color="auto"/>
          </w:divBdr>
        </w:div>
        <w:div w:id="1538860120">
          <w:marLeft w:val="480"/>
          <w:marRight w:val="0"/>
          <w:marTop w:val="0"/>
          <w:marBottom w:val="0"/>
          <w:divBdr>
            <w:top w:val="none" w:sz="0" w:space="0" w:color="auto"/>
            <w:left w:val="none" w:sz="0" w:space="0" w:color="auto"/>
            <w:bottom w:val="none" w:sz="0" w:space="0" w:color="auto"/>
            <w:right w:val="none" w:sz="0" w:space="0" w:color="auto"/>
          </w:divBdr>
        </w:div>
        <w:div w:id="882980343">
          <w:marLeft w:val="480"/>
          <w:marRight w:val="0"/>
          <w:marTop w:val="0"/>
          <w:marBottom w:val="0"/>
          <w:divBdr>
            <w:top w:val="none" w:sz="0" w:space="0" w:color="auto"/>
            <w:left w:val="none" w:sz="0" w:space="0" w:color="auto"/>
            <w:bottom w:val="none" w:sz="0" w:space="0" w:color="auto"/>
            <w:right w:val="none" w:sz="0" w:space="0" w:color="auto"/>
          </w:divBdr>
        </w:div>
        <w:div w:id="835876434">
          <w:marLeft w:val="480"/>
          <w:marRight w:val="0"/>
          <w:marTop w:val="0"/>
          <w:marBottom w:val="0"/>
          <w:divBdr>
            <w:top w:val="none" w:sz="0" w:space="0" w:color="auto"/>
            <w:left w:val="none" w:sz="0" w:space="0" w:color="auto"/>
            <w:bottom w:val="none" w:sz="0" w:space="0" w:color="auto"/>
            <w:right w:val="none" w:sz="0" w:space="0" w:color="auto"/>
          </w:divBdr>
        </w:div>
        <w:div w:id="1161189914">
          <w:marLeft w:val="480"/>
          <w:marRight w:val="0"/>
          <w:marTop w:val="0"/>
          <w:marBottom w:val="0"/>
          <w:divBdr>
            <w:top w:val="none" w:sz="0" w:space="0" w:color="auto"/>
            <w:left w:val="none" w:sz="0" w:space="0" w:color="auto"/>
            <w:bottom w:val="none" w:sz="0" w:space="0" w:color="auto"/>
            <w:right w:val="none" w:sz="0" w:space="0" w:color="auto"/>
          </w:divBdr>
        </w:div>
        <w:div w:id="1738818345">
          <w:marLeft w:val="480"/>
          <w:marRight w:val="0"/>
          <w:marTop w:val="0"/>
          <w:marBottom w:val="0"/>
          <w:divBdr>
            <w:top w:val="none" w:sz="0" w:space="0" w:color="auto"/>
            <w:left w:val="none" w:sz="0" w:space="0" w:color="auto"/>
            <w:bottom w:val="none" w:sz="0" w:space="0" w:color="auto"/>
            <w:right w:val="none" w:sz="0" w:space="0" w:color="auto"/>
          </w:divBdr>
        </w:div>
        <w:div w:id="2141729848">
          <w:marLeft w:val="480"/>
          <w:marRight w:val="0"/>
          <w:marTop w:val="0"/>
          <w:marBottom w:val="0"/>
          <w:divBdr>
            <w:top w:val="none" w:sz="0" w:space="0" w:color="auto"/>
            <w:left w:val="none" w:sz="0" w:space="0" w:color="auto"/>
            <w:bottom w:val="none" w:sz="0" w:space="0" w:color="auto"/>
            <w:right w:val="none" w:sz="0" w:space="0" w:color="auto"/>
          </w:divBdr>
        </w:div>
        <w:div w:id="1132555622">
          <w:marLeft w:val="480"/>
          <w:marRight w:val="0"/>
          <w:marTop w:val="0"/>
          <w:marBottom w:val="0"/>
          <w:divBdr>
            <w:top w:val="none" w:sz="0" w:space="0" w:color="auto"/>
            <w:left w:val="none" w:sz="0" w:space="0" w:color="auto"/>
            <w:bottom w:val="none" w:sz="0" w:space="0" w:color="auto"/>
            <w:right w:val="none" w:sz="0" w:space="0" w:color="auto"/>
          </w:divBdr>
        </w:div>
        <w:div w:id="2144497952">
          <w:marLeft w:val="480"/>
          <w:marRight w:val="0"/>
          <w:marTop w:val="0"/>
          <w:marBottom w:val="0"/>
          <w:divBdr>
            <w:top w:val="none" w:sz="0" w:space="0" w:color="auto"/>
            <w:left w:val="none" w:sz="0" w:space="0" w:color="auto"/>
            <w:bottom w:val="none" w:sz="0" w:space="0" w:color="auto"/>
            <w:right w:val="none" w:sz="0" w:space="0" w:color="auto"/>
          </w:divBdr>
        </w:div>
        <w:div w:id="1317494910">
          <w:marLeft w:val="480"/>
          <w:marRight w:val="0"/>
          <w:marTop w:val="0"/>
          <w:marBottom w:val="0"/>
          <w:divBdr>
            <w:top w:val="none" w:sz="0" w:space="0" w:color="auto"/>
            <w:left w:val="none" w:sz="0" w:space="0" w:color="auto"/>
            <w:bottom w:val="none" w:sz="0" w:space="0" w:color="auto"/>
            <w:right w:val="none" w:sz="0" w:space="0" w:color="auto"/>
          </w:divBdr>
        </w:div>
        <w:div w:id="1717393214">
          <w:marLeft w:val="480"/>
          <w:marRight w:val="0"/>
          <w:marTop w:val="0"/>
          <w:marBottom w:val="0"/>
          <w:divBdr>
            <w:top w:val="none" w:sz="0" w:space="0" w:color="auto"/>
            <w:left w:val="none" w:sz="0" w:space="0" w:color="auto"/>
            <w:bottom w:val="none" w:sz="0" w:space="0" w:color="auto"/>
            <w:right w:val="none" w:sz="0" w:space="0" w:color="auto"/>
          </w:divBdr>
        </w:div>
        <w:div w:id="1915967746">
          <w:marLeft w:val="480"/>
          <w:marRight w:val="0"/>
          <w:marTop w:val="0"/>
          <w:marBottom w:val="0"/>
          <w:divBdr>
            <w:top w:val="none" w:sz="0" w:space="0" w:color="auto"/>
            <w:left w:val="none" w:sz="0" w:space="0" w:color="auto"/>
            <w:bottom w:val="none" w:sz="0" w:space="0" w:color="auto"/>
            <w:right w:val="none" w:sz="0" w:space="0" w:color="auto"/>
          </w:divBdr>
        </w:div>
        <w:div w:id="11535122">
          <w:marLeft w:val="480"/>
          <w:marRight w:val="0"/>
          <w:marTop w:val="0"/>
          <w:marBottom w:val="0"/>
          <w:divBdr>
            <w:top w:val="none" w:sz="0" w:space="0" w:color="auto"/>
            <w:left w:val="none" w:sz="0" w:space="0" w:color="auto"/>
            <w:bottom w:val="none" w:sz="0" w:space="0" w:color="auto"/>
            <w:right w:val="none" w:sz="0" w:space="0" w:color="auto"/>
          </w:divBdr>
        </w:div>
        <w:div w:id="1201475124">
          <w:marLeft w:val="480"/>
          <w:marRight w:val="0"/>
          <w:marTop w:val="0"/>
          <w:marBottom w:val="0"/>
          <w:divBdr>
            <w:top w:val="none" w:sz="0" w:space="0" w:color="auto"/>
            <w:left w:val="none" w:sz="0" w:space="0" w:color="auto"/>
            <w:bottom w:val="none" w:sz="0" w:space="0" w:color="auto"/>
            <w:right w:val="none" w:sz="0" w:space="0" w:color="auto"/>
          </w:divBdr>
        </w:div>
        <w:div w:id="745302619">
          <w:marLeft w:val="480"/>
          <w:marRight w:val="0"/>
          <w:marTop w:val="0"/>
          <w:marBottom w:val="0"/>
          <w:divBdr>
            <w:top w:val="none" w:sz="0" w:space="0" w:color="auto"/>
            <w:left w:val="none" w:sz="0" w:space="0" w:color="auto"/>
            <w:bottom w:val="none" w:sz="0" w:space="0" w:color="auto"/>
            <w:right w:val="none" w:sz="0" w:space="0" w:color="auto"/>
          </w:divBdr>
        </w:div>
      </w:divsChild>
    </w:div>
    <w:div w:id="76706950">
      <w:bodyDiv w:val="1"/>
      <w:marLeft w:val="0"/>
      <w:marRight w:val="0"/>
      <w:marTop w:val="0"/>
      <w:marBottom w:val="0"/>
      <w:divBdr>
        <w:top w:val="none" w:sz="0" w:space="0" w:color="auto"/>
        <w:left w:val="none" w:sz="0" w:space="0" w:color="auto"/>
        <w:bottom w:val="none" w:sz="0" w:space="0" w:color="auto"/>
        <w:right w:val="none" w:sz="0" w:space="0" w:color="auto"/>
      </w:divBdr>
    </w:div>
    <w:div w:id="76945080">
      <w:bodyDiv w:val="1"/>
      <w:marLeft w:val="0"/>
      <w:marRight w:val="0"/>
      <w:marTop w:val="0"/>
      <w:marBottom w:val="0"/>
      <w:divBdr>
        <w:top w:val="none" w:sz="0" w:space="0" w:color="auto"/>
        <w:left w:val="none" w:sz="0" w:space="0" w:color="auto"/>
        <w:bottom w:val="none" w:sz="0" w:space="0" w:color="auto"/>
        <w:right w:val="none" w:sz="0" w:space="0" w:color="auto"/>
      </w:divBdr>
    </w:div>
    <w:div w:id="77411369">
      <w:bodyDiv w:val="1"/>
      <w:marLeft w:val="0"/>
      <w:marRight w:val="0"/>
      <w:marTop w:val="0"/>
      <w:marBottom w:val="0"/>
      <w:divBdr>
        <w:top w:val="none" w:sz="0" w:space="0" w:color="auto"/>
        <w:left w:val="none" w:sz="0" w:space="0" w:color="auto"/>
        <w:bottom w:val="none" w:sz="0" w:space="0" w:color="auto"/>
        <w:right w:val="none" w:sz="0" w:space="0" w:color="auto"/>
      </w:divBdr>
    </w:div>
    <w:div w:id="77870371">
      <w:bodyDiv w:val="1"/>
      <w:marLeft w:val="0"/>
      <w:marRight w:val="0"/>
      <w:marTop w:val="0"/>
      <w:marBottom w:val="0"/>
      <w:divBdr>
        <w:top w:val="none" w:sz="0" w:space="0" w:color="auto"/>
        <w:left w:val="none" w:sz="0" w:space="0" w:color="auto"/>
        <w:bottom w:val="none" w:sz="0" w:space="0" w:color="auto"/>
        <w:right w:val="none" w:sz="0" w:space="0" w:color="auto"/>
      </w:divBdr>
    </w:div>
    <w:div w:id="78672812">
      <w:bodyDiv w:val="1"/>
      <w:marLeft w:val="0"/>
      <w:marRight w:val="0"/>
      <w:marTop w:val="0"/>
      <w:marBottom w:val="0"/>
      <w:divBdr>
        <w:top w:val="none" w:sz="0" w:space="0" w:color="auto"/>
        <w:left w:val="none" w:sz="0" w:space="0" w:color="auto"/>
        <w:bottom w:val="none" w:sz="0" w:space="0" w:color="auto"/>
        <w:right w:val="none" w:sz="0" w:space="0" w:color="auto"/>
      </w:divBdr>
    </w:div>
    <w:div w:id="79569327">
      <w:bodyDiv w:val="1"/>
      <w:marLeft w:val="0"/>
      <w:marRight w:val="0"/>
      <w:marTop w:val="0"/>
      <w:marBottom w:val="0"/>
      <w:divBdr>
        <w:top w:val="none" w:sz="0" w:space="0" w:color="auto"/>
        <w:left w:val="none" w:sz="0" w:space="0" w:color="auto"/>
        <w:bottom w:val="none" w:sz="0" w:space="0" w:color="auto"/>
        <w:right w:val="none" w:sz="0" w:space="0" w:color="auto"/>
      </w:divBdr>
    </w:div>
    <w:div w:id="79643349">
      <w:bodyDiv w:val="1"/>
      <w:marLeft w:val="0"/>
      <w:marRight w:val="0"/>
      <w:marTop w:val="0"/>
      <w:marBottom w:val="0"/>
      <w:divBdr>
        <w:top w:val="none" w:sz="0" w:space="0" w:color="auto"/>
        <w:left w:val="none" w:sz="0" w:space="0" w:color="auto"/>
        <w:bottom w:val="none" w:sz="0" w:space="0" w:color="auto"/>
        <w:right w:val="none" w:sz="0" w:space="0" w:color="auto"/>
      </w:divBdr>
    </w:div>
    <w:div w:id="80680673">
      <w:bodyDiv w:val="1"/>
      <w:marLeft w:val="0"/>
      <w:marRight w:val="0"/>
      <w:marTop w:val="0"/>
      <w:marBottom w:val="0"/>
      <w:divBdr>
        <w:top w:val="none" w:sz="0" w:space="0" w:color="auto"/>
        <w:left w:val="none" w:sz="0" w:space="0" w:color="auto"/>
        <w:bottom w:val="none" w:sz="0" w:space="0" w:color="auto"/>
        <w:right w:val="none" w:sz="0" w:space="0" w:color="auto"/>
      </w:divBdr>
    </w:div>
    <w:div w:id="80755875">
      <w:bodyDiv w:val="1"/>
      <w:marLeft w:val="0"/>
      <w:marRight w:val="0"/>
      <w:marTop w:val="0"/>
      <w:marBottom w:val="0"/>
      <w:divBdr>
        <w:top w:val="none" w:sz="0" w:space="0" w:color="auto"/>
        <w:left w:val="none" w:sz="0" w:space="0" w:color="auto"/>
        <w:bottom w:val="none" w:sz="0" w:space="0" w:color="auto"/>
        <w:right w:val="none" w:sz="0" w:space="0" w:color="auto"/>
      </w:divBdr>
    </w:div>
    <w:div w:id="81877896">
      <w:bodyDiv w:val="1"/>
      <w:marLeft w:val="0"/>
      <w:marRight w:val="0"/>
      <w:marTop w:val="0"/>
      <w:marBottom w:val="0"/>
      <w:divBdr>
        <w:top w:val="none" w:sz="0" w:space="0" w:color="auto"/>
        <w:left w:val="none" w:sz="0" w:space="0" w:color="auto"/>
        <w:bottom w:val="none" w:sz="0" w:space="0" w:color="auto"/>
        <w:right w:val="none" w:sz="0" w:space="0" w:color="auto"/>
      </w:divBdr>
    </w:div>
    <w:div w:id="82070523">
      <w:bodyDiv w:val="1"/>
      <w:marLeft w:val="0"/>
      <w:marRight w:val="0"/>
      <w:marTop w:val="0"/>
      <w:marBottom w:val="0"/>
      <w:divBdr>
        <w:top w:val="none" w:sz="0" w:space="0" w:color="auto"/>
        <w:left w:val="none" w:sz="0" w:space="0" w:color="auto"/>
        <w:bottom w:val="none" w:sz="0" w:space="0" w:color="auto"/>
        <w:right w:val="none" w:sz="0" w:space="0" w:color="auto"/>
      </w:divBdr>
    </w:div>
    <w:div w:id="82117263">
      <w:bodyDiv w:val="1"/>
      <w:marLeft w:val="0"/>
      <w:marRight w:val="0"/>
      <w:marTop w:val="0"/>
      <w:marBottom w:val="0"/>
      <w:divBdr>
        <w:top w:val="none" w:sz="0" w:space="0" w:color="auto"/>
        <w:left w:val="none" w:sz="0" w:space="0" w:color="auto"/>
        <w:bottom w:val="none" w:sz="0" w:space="0" w:color="auto"/>
        <w:right w:val="none" w:sz="0" w:space="0" w:color="auto"/>
      </w:divBdr>
    </w:div>
    <w:div w:id="82530950">
      <w:bodyDiv w:val="1"/>
      <w:marLeft w:val="0"/>
      <w:marRight w:val="0"/>
      <w:marTop w:val="0"/>
      <w:marBottom w:val="0"/>
      <w:divBdr>
        <w:top w:val="none" w:sz="0" w:space="0" w:color="auto"/>
        <w:left w:val="none" w:sz="0" w:space="0" w:color="auto"/>
        <w:bottom w:val="none" w:sz="0" w:space="0" w:color="auto"/>
        <w:right w:val="none" w:sz="0" w:space="0" w:color="auto"/>
      </w:divBdr>
    </w:div>
    <w:div w:id="82724292">
      <w:bodyDiv w:val="1"/>
      <w:marLeft w:val="0"/>
      <w:marRight w:val="0"/>
      <w:marTop w:val="0"/>
      <w:marBottom w:val="0"/>
      <w:divBdr>
        <w:top w:val="none" w:sz="0" w:space="0" w:color="auto"/>
        <w:left w:val="none" w:sz="0" w:space="0" w:color="auto"/>
        <w:bottom w:val="none" w:sz="0" w:space="0" w:color="auto"/>
        <w:right w:val="none" w:sz="0" w:space="0" w:color="auto"/>
      </w:divBdr>
    </w:div>
    <w:div w:id="82724523">
      <w:bodyDiv w:val="1"/>
      <w:marLeft w:val="0"/>
      <w:marRight w:val="0"/>
      <w:marTop w:val="0"/>
      <w:marBottom w:val="0"/>
      <w:divBdr>
        <w:top w:val="none" w:sz="0" w:space="0" w:color="auto"/>
        <w:left w:val="none" w:sz="0" w:space="0" w:color="auto"/>
        <w:bottom w:val="none" w:sz="0" w:space="0" w:color="auto"/>
        <w:right w:val="none" w:sz="0" w:space="0" w:color="auto"/>
      </w:divBdr>
    </w:div>
    <w:div w:id="82999551">
      <w:bodyDiv w:val="1"/>
      <w:marLeft w:val="0"/>
      <w:marRight w:val="0"/>
      <w:marTop w:val="0"/>
      <w:marBottom w:val="0"/>
      <w:divBdr>
        <w:top w:val="none" w:sz="0" w:space="0" w:color="auto"/>
        <w:left w:val="none" w:sz="0" w:space="0" w:color="auto"/>
        <w:bottom w:val="none" w:sz="0" w:space="0" w:color="auto"/>
        <w:right w:val="none" w:sz="0" w:space="0" w:color="auto"/>
      </w:divBdr>
      <w:divsChild>
        <w:div w:id="594902839">
          <w:marLeft w:val="480"/>
          <w:marRight w:val="0"/>
          <w:marTop w:val="0"/>
          <w:marBottom w:val="0"/>
          <w:divBdr>
            <w:top w:val="none" w:sz="0" w:space="0" w:color="auto"/>
            <w:left w:val="none" w:sz="0" w:space="0" w:color="auto"/>
            <w:bottom w:val="none" w:sz="0" w:space="0" w:color="auto"/>
            <w:right w:val="none" w:sz="0" w:space="0" w:color="auto"/>
          </w:divBdr>
        </w:div>
        <w:div w:id="494689939">
          <w:marLeft w:val="480"/>
          <w:marRight w:val="0"/>
          <w:marTop w:val="0"/>
          <w:marBottom w:val="0"/>
          <w:divBdr>
            <w:top w:val="none" w:sz="0" w:space="0" w:color="auto"/>
            <w:left w:val="none" w:sz="0" w:space="0" w:color="auto"/>
            <w:bottom w:val="none" w:sz="0" w:space="0" w:color="auto"/>
            <w:right w:val="none" w:sz="0" w:space="0" w:color="auto"/>
          </w:divBdr>
        </w:div>
        <w:div w:id="290020418">
          <w:marLeft w:val="480"/>
          <w:marRight w:val="0"/>
          <w:marTop w:val="0"/>
          <w:marBottom w:val="0"/>
          <w:divBdr>
            <w:top w:val="none" w:sz="0" w:space="0" w:color="auto"/>
            <w:left w:val="none" w:sz="0" w:space="0" w:color="auto"/>
            <w:bottom w:val="none" w:sz="0" w:space="0" w:color="auto"/>
            <w:right w:val="none" w:sz="0" w:space="0" w:color="auto"/>
          </w:divBdr>
        </w:div>
        <w:div w:id="2051762373">
          <w:marLeft w:val="480"/>
          <w:marRight w:val="0"/>
          <w:marTop w:val="0"/>
          <w:marBottom w:val="0"/>
          <w:divBdr>
            <w:top w:val="none" w:sz="0" w:space="0" w:color="auto"/>
            <w:left w:val="none" w:sz="0" w:space="0" w:color="auto"/>
            <w:bottom w:val="none" w:sz="0" w:space="0" w:color="auto"/>
            <w:right w:val="none" w:sz="0" w:space="0" w:color="auto"/>
          </w:divBdr>
        </w:div>
        <w:div w:id="369915716">
          <w:marLeft w:val="480"/>
          <w:marRight w:val="0"/>
          <w:marTop w:val="0"/>
          <w:marBottom w:val="0"/>
          <w:divBdr>
            <w:top w:val="none" w:sz="0" w:space="0" w:color="auto"/>
            <w:left w:val="none" w:sz="0" w:space="0" w:color="auto"/>
            <w:bottom w:val="none" w:sz="0" w:space="0" w:color="auto"/>
            <w:right w:val="none" w:sz="0" w:space="0" w:color="auto"/>
          </w:divBdr>
        </w:div>
        <w:div w:id="1274941536">
          <w:marLeft w:val="480"/>
          <w:marRight w:val="0"/>
          <w:marTop w:val="0"/>
          <w:marBottom w:val="0"/>
          <w:divBdr>
            <w:top w:val="none" w:sz="0" w:space="0" w:color="auto"/>
            <w:left w:val="none" w:sz="0" w:space="0" w:color="auto"/>
            <w:bottom w:val="none" w:sz="0" w:space="0" w:color="auto"/>
            <w:right w:val="none" w:sz="0" w:space="0" w:color="auto"/>
          </w:divBdr>
        </w:div>
        <w:div w:id="987783548">
          <w:marLeft w:val="480"/>
          <w:marRight w:val="0"/>
          <w:marTop w:val="0"/>
          <w:marBottom w:val="0"/>
          <w:divBdr>
            <w:top w:val="none" w:sz="0" w:space="0" w:color="auto"/>
            <w:left w:val="none" w:sz="0" w:space="0" w:color="auto"/>
            <w:bottom w:val="none" w:sz="0" w:space="0" w:color="auto"/>
            <w:right w:val="none" w:sz="0" w:space="0" w:color="auto"/>
          </w:divBdr>
        </w:div>
        <w:div w:id="25493806">
          <w:marLeft w:val="480"/>
          <w:marRight w:val="0"/>
          <w:marTop w:val="0"/>
          <w:marBottom w:val="0"/>
          <w:divBdr>
            <w:top w:val="none" w:sz="0" w:space="0" w:color="auto"/>
            <w:left w:val="none" w:sz="0" w:space="0" w:color="auto"/>
            <w:bottom w:val="none" w:sz="0" w:space="0" w:color="auto"/>
            <w:right w:val="none" w:sz="0" w:space="0" w:color="auto"/>
          </w:divBdr>
        </w:div>
        <w:div w:id="1877766235">
          <w:marLeft w:val="480"/>
          <w:marRight w:val="0"/>
          <w:marTop w:val="0"/>
          <w:marBottom w:val="0"/>
          <w:divBdr>
            <w:top w:val="none" w:sz="0" w:space="0" w:color="auto"/>
            <w:left w:val="none" w:sz="0" w:space="0" w:color="auto"/>
            <w:bottom w:val="none" w:sz="0" w:space="0" w:color="auto"/>
            <w:right w:val="none" w:sz="0" w:space="0" w:color="auto"/>
          </w:divBdr>
        </w:div>
        <w:div w:id="871696826">
          <w:marLeft w:val="480"/>
          <w:marRight w:val="0"/>
          <w:marTop w:val="0"/>
          <w:marBottom w:val="0"/>
          <w:divBdr>
            <w:top w:val="none" w:sz="0" w:space="0" w:color="auto"/>
            <w:left w:val="none" w:sz="0" w:space="0" w:color="auto"/>
            <w:bottom w:val="none" w:sz="0" w:space="0" w:color="auto"/>
            <w:right w:val="none" w:sz="0" w:space="0" w:color="auto"/>
          </w:divBdr>
        </w:div>
        <w:div w:id="884802440">
          <w:marLeft w:val="480"/>
          <w:marRight w:val="0"/>
          <w:marTop w:val="0"/>
          <w:marBottom w:val="0"/>
          <w:divBdr>
            <w:top w:val="none" w:sz="0" w:space="0" w:color="auto"/>
            <w:left w:val="none" w:sz="0" w:space="0" w:color="auto"/>
            <w:bottom w:val="none" w:sz="0" w:space="0" w:color="auto"/>
            <w:right w:val="none" w:sz="0" w:space="0" w:color="auto"/>
          </w:divBdr>
        </w:div>
        <w:div w:id="1337344786">
          <w:marLeft w:val="480"/>
          <w:marRight w:val="0"/>
          <w:marTop w:val="0"/>
          <w:marBottom w:val="0"/>
          <w:divBdr>
            <w:top w:val="none" w:sz="0" w:space="0" w:color="auto"/>
            <w:left w:val="none" w:sz="0" w:space="0" w:color="auto"/>
            <w:bottom w:val="none" w:sz="0" w:space="0" w:color="auto"/>
            <w:right w:val="none" w:sz="0" w:space="0" w:color="auto"/>
          </w:divBdr>
        </w:div>
        <w:div w:id="1468014597">
          <w:marLeft w:val="480"/>
          <w:marRight w:val="0"/>
          <w:marTop w:val="0"/>
          <w:marBottom w:val="0"/>
          <w:divBdr>
            <w:top w:val="none" w:sz="0" w:space="0" w:color="auto"/>
            <w:left w:val="none" w:sz="0" w:space="0" w:color="auto"/>
            <w:bottom w:val="none" w:sz="0" w:space="0" w:color="auto"/>
            <w:right w:val="none" w:sz="0" w:space="0" w:color="auto"/>
          </w:divBdr>
        </w:div>
        <w:div w:id="1640499990">
          <w:marLeft w:val="480"/>
          <w:marRight w:val="0"/>
          <w:marTop w:val="0"/>
          <w:marBottom w:val="0"/>
          <w:divBdr>
            <w:top w:val="none" w:sz="0" w:space="0" w:color="auto"/>
            <w:left w:val="none" w:sz="0" w:space="0" w:color="auto"/>
            <w:bottom w:val="none" w:sz="0" w:space="0" w:color="auto"/>
            <w:right w:val="none" w:sz="0" w:space="0" w:color="auto"/>
          </w:divBdr>
        </w:div>
        <w:div w:id="1655404803">
          <w:marLeft w:val="480"/>
          <w:marRight w:val="0"/>
          <w:marTop w:val="0"/>
          <w:marBottom w:val="0"/>
          <w:divBdr>
            <w:top w:val="none" w:sz="0" w:space="0" w:color="auto"/>
            <w:left w:val="none" w:sz="0" w:space="0" w:color="auto"/>
            <w:bottom w:val="none" w:sz="0" w:space="0" w:color="auto"/>
            <w:right w:val="none" w:sz="0" w:space="0" w:color="auto"/>
          </w:divBdr>
        </w:div>
        <w:div w:id="1033069666">
          <w:marLeft w:val="480"/>
          <w:marRight w:val="0"/>
          <w:marTop w:val="0"/>
          <w:marBottom w:val="0"/>
          <w:divBdr>
            <w:top w:val="none" w:sz="0" w:space="0" w:color="auto"/>
            <w:left w:val="none" w:sz="0" w:space="0" w:color="auto"/>
            <w:bottom w:val="none" w:sz="0" w:space="0" w:color="auto"/>
            <w:right w:val="none" w:sz="0" w:space="0" w:color="auto"/>
          </w:divBdr>
        </w:div>
        <w:div w:id="564026234">
          <w:marLeft w:val="480"/>
          <w:marRight w:val="0"/>
          <w:marTop w:val="0"/>
          <w:marBottom w:val="0"/>
          <w:divBdr>
            <w:top w:val="none" w:sz="0" w:space="0" w:color="auto"/>
            <w:left w:val="none" w:sz="0" w:space="0" w:color="auto"/>
            <w:bottom w:val="none" w:sz="0" w:space="0" w:color="auto"/>
            <w:right w:val="none" w:sz="0" w:space="0" w:color="auto"/>
          </w:divBdr>
        </w:div>
        <w:div w:id="572854702">
          <w:marLeft w:val="480"/>
          <w:marRight w:val="0"/>
          <w:marTop w:val="0"/>
          <w:marBottom w:val="0"/>
          <w:divBdr>
            <w:top w:val="none" w:sz="0" w:space="0" w:color="auto"/>
            <w:left w:val="none" w:sz="0" w:space="0" w:color="auto"/>
            <w:bottom w:val="none" w:sz="0" w:space="0" w:color="auto"/>
            <w:right w:val="none" w:sz="0" w:space="0" w:color="auto"/>
          </w:divBdr>
        </w:div>
        <w:div w:id="1029452767">
          <w:marLeft w:val="480"/>
          <w:marRight w:val="0"/>
          <w:marTop w:val="0"/>
          <w:marBottom w:val="0"/>
          <w:divBdr>
            <w:top w:val="none" w:sz="0" w:space="0" w:color="auto"/>
            <w:left w:val="none" w:sz="0" w:space="0" w:color="auto"/>
            <w:bottom w:val="none" w:sz="0" w:space="0" w:color="auto"/>
            <w:right w:val="none" w:sz="0" w:space="0" w:color="auto"/>
          </w:divBdr>
        </w:div>
        <w:div w:id="1753045378">
          <w:marLeft w:val="480"/>
          <w:marRight w:val="0"/>
          <w:marTop w:val="0"/>
          <w:marBottom w:val="0"/>
          <w:divBdr>
            <w:top w:val="none" w:sz="0" w:space="0" w:color="auto"/>
            <w:left w:val="none" w:sz="0" w:space="0" w:color="auto"/>
            <w:bottom w:val="none" w:sz="0" w:space="0" w:color="auto"/>
            <w:right w:val="none" w:sz="0" w:space="0" w:color="auto"/>
          </w:divBdr>
        </w:div>
        <w:div w:id="1510219024">
          <w:marLeft w:val="480"/>
          <w:marRight w:val="0"/>
          <w:marTop w:val="0"/>
          <w:marBottom w:val="0"/>
          <w:divBdr>
            <w:top w:val="none" w:sz="0" w:space="0" w:color="auto"/>
            <w:left w:val="none" w:sz="0" w:space="0" w:color="auto"/>
            <w:bottom w:val="none" w:sz="0" w:space="0" w:color="auto"/>
            <w:right w:val="none" w:sz="0" w:space="0" w:color="auto"/>
          </w:divBdr>
        </w:div>
        <w:div w:id="601688735">
          <w:marLeft w:val="480"/>
          <w:marRight w:val="0"/>
          <w:marTop w:val="0"/>
          <w:marBottom w:val="0"/>
          <w:divBdr>
            <w:top w:val="none" w:sz="0" w:space="0" w:color="auto"/>
            <w:left w:val="none" w:sz="0" w:space="0" w:color="auto"/>
            <w:bottom w:val="none" w:sz="0" w:space="0" w:color="auto"/>
            <w:right w:val="none" w:sz="0" w:space="0" w:color="auto"/>
          </w:divBdr>
        </w:div>
        <w:div w:id="1261138098">
          <w:marLeft w:val="480"/>
          <w:marRight w:val="0"/>
          <w:marTop w:val="0"/>
          <w:marBottom w:val="0"/>
          <w:divBdr>
            <w:top w:val="none" w:sz="0" w:space="0" w:color="auto"/>
            <w:left w:val="none" w:sz="0" w:space="0" w:color="auto"/>
            <w:bottom w:val="none" w:sz="0" w:space="0" w:color="auto"/>
            <w:right w:val="none" w:sz="0" w:space="0" w:color="auto"/>
          </w:divBdr>
        </w:div>
        <w:div w:id="1593271814">
          <w:marLeft w:val="480"/>
          <w:marRight w:val="0"/>
          <w:marTop w:val="0"/>
          <w:marBottom w:val="0"/>
          <w:divBdr>
            <w:top w:val="none" w:sz="0" w:space="0" w:color="auto"/>
            <w:left w:val="none" w:sz="0" w:space="0" w:color="auto"/>
            <w:bottom w:val="none" w:sz="0" w:space="0" w:color="auto"/>
            <w:right w:val="none" w:sz="0" w:space="0" w:color="auto"/>
          </w:divBdr>
        </w:div>
        <w:div w:id="647562996">
          <w:marLeft w:val="480"/>
          <w:marRight w:val="0"/>
          <w:marTop w:val="0"/>
          <w:marBottom w:val="0"/>
          <w:divBdr>
            <w:top w:val="none" w:sz="0" w:space="0" w:color="auto"/>
            <w:left w:val="none" w:sz="0" w:space="0" w:color="auto"/>
            <w:bottom w:val="none" w:sz="0" w:space="0" w:color="auto"/>
            <w:right w:val="none" w:sz="0" w:space="0" w:color="auto"/>
          </w:divBdr>
        </w:div>
        <w:div w:id="1199004666">
          <w:marLeft w:val="480"/>
          <w:marRight w:val="0"/>
          <w:marTop w:val="0"/>
          <w:marBottom w:val="0"/>
          <w:divBdr>
            <w:top w:val="none" w:sz="0" w:space="0" w:color="auto"/>
            <w:left w:val="none" w:sz="0" w:space="0" w:color="auto"/>
            <w:bottom w:val="none" w:sz="0" w:space="0" w:color="auto"/>
            <w:right w:val="none" w:sz="0" w:space="0" w:color="auto"/>
          </w:divBdr>
        </w:div>
        <w:div w:id="2088068922">
          <w:marLeft w:val="480"/>
          <w:marRight w:val="0"/>
          <w:marTop w:val="0"/>
          <w:marBottom w:val="0"/>
          <w:divBdr>
            <w:top w:val="none" w:sz="0" w:space="0" w:color="auto"/>
            <w:left w:val="none" w:sz="0" w:space="0" w:color="auto"/>
            <w:bottom w:val="none" w:sz="0" w:space="0" w:color="auto"/>
            <w:right w:val="none" w:sz="0" w:space="0" w:color="auto"/>
          </w:divBdr>
        </w:div>
        <w:div w:id="419446926">
          <w:marLeft w:val="480"/>
          <w:marRight w:val="0"/>
          <w:marTop w:val="0"/>
          <w:marBottom w:val="0"/>
          <w:divBdr>
            <w:top w:val="none" w:sz="0" w:space="0" w:color="auto"/>
            <w:left w:val="none" w:sz="0" w:space="0" w:color="auto"/>
            <w:bottom w:val="none" w:sz="0" w:space="0" w:color="auto"/>
            <w:right w:val="none" w:sz="0" w:space="0" w:color="auto"/>
          </w:divBdr>
        </w:div>
        <w:div w:id="173954808">
          <w:marLeft w:val="480"/>
          <w:marRight w:val="0"/>
          <w:marTop w:val="0"/>
          <w:marBottom w:val="0"/>
          <w:divBdr>
            <w:top w:val="none" w:sz="0" w:space="0" w:color="auto"/>
            <w:left w:val="none" w:sz="0" w:space="0" w:color="auto"/>
            <w:bottom w:val="none" w:sz="0" w:space="0" w:color="auto"/>
            <w:right w:val="none" w:sz="0" w:space="0" w:color="auto"/>
          </w:divBdr>
        </w:div>
        <w:div w:id="1255281441">
          <w:marLeft w:val="480"/>
          <w:marRight w:val="0"/>
          <w:marTop w:val="0"/>
          <w:marBottom w:val="0"/>
          <w:divBdr>
            <w:top w:val="none" w:sz="0" w:space="0" w:color="auto"/>
            <w:left w:val="none" w:sz="0" w:space="0" w:color="auto"/>
            <w:bottom w:val="none" w:sz="0" w:space="0" w:color="auto"/>
            <w:right w:val="none" w:sz="0" w:space="0" w:color="auto"/>
          </w:divBdr>
        </w:div>
        <w:div w:id="141117261">
          <w:marLeft w:val="480"/>
          <w:marRight w:val="0"/>
          <w:marTop w:val="0"/>
          <w:marBottom w:val="0"/>
          <w:divBdr>
            <w:top w:val="none" w:sz="0" w:space="0" w:color="auto"/>
            <w:left w:val="none" w:sz="0" w:space="0" w:color="auto"/>
            <w:bottom w:val="none" w:sz="0" w:space="0" w:color="auto"/>
            <w:right w:val="none" w:sz="0" w:space="0" w:color="auto"/>
          </w:divBdr>
        </w:div>
        <w:div w:id="1597639934">
          <w:marLeft w:val="480"/>
          <w:marRight w:val="0"/>
          <w:marTop w:val="0"/>
          <w:marBottom w:val="0"/>
          <w:divBdr>
            <w:top w:val="none" w:sz="0" w:space="0" w:color="auto"/>
            <w:left w:val="none" w:sz="0" w:space="0" w:color="auto"/>
            <w:bottom w:val="none" w:sz="0" w:space="0" w:color="auto"/>
            <w:right w:val="none" w:sz="0" w:space="0" w:color="auto"/>
          </w:divBdr>
        </w:div>
        <w:div w:id="1999989760">
          <w:marLeft w:val="480"/>
          <w:marRight w:val="0"/>
          <w:marTop w:val="0"/>
          <w:marBottom w:val="0"/>
          <w:divBdr>
            <w:top w:val="none" w:sz="0" w:space="0" w:color="auto"/>
            <w:left w:val="none" w:sz="0" w:space="0" w:color="auto"/>
            <w:bottom w:val="none" w:sz="0" w:space="0" w:color="auto"/>
            <w:right w:val="none" w:sz="0" w:space="0" w:color="auto"/>
          </w:divBdr>
        </w:div>
        <w:div w:id="59645690">
          <w:marLeft w:val="480"/>
          <w:marRight w:val="0"/>
          <w:marTop w:val="0"/>
          <w:marBottom w:val="0"/>
          <w:divBdr>
            <w:top w:val="none" w:sz="0" w:space="0" w:color="auto"/>
            <w:left w:val="none" w:sz="0" w:space="0" w:color="auto"/>
            <w:bottom w:val="none" w:sz="0" w:space="0" w:color="auto"/>
            <w:right w:val="none" w:sz="0" w:space="0" w:color="auto"/>
          </w:divBdr>
        </w:div>
        <w:div w:id="1874465072">
          <w:marLeft w:val="480"/>
          <w:marRight w:val="0"/>
          <w:marTop w:val="0"/>
          <w:marBottom w:val="0"/>
          <w:divBdr>
            <w:top w:val="none" w:sz="0" w:space="0" w:color="auto"/>
            <w:left w:val="none" w:sz="0" w:space="0" w:color="auto"/>
            <w:bottom w:val="none" w:sz="0" w:space="0" w:color="auto"/>
            <w:right w:val="none" w:sz="0" w:space="0" w:color="auto"/>
          </w:divBdr>
        </w:div>
        <w:div w:id="2085761440">
          <w:marLeft w:val="480"/>
          <w:marRight w:val="0"/>
          <w:marTop w:val="0"/>
          <w:marBottom w:val="0"/>
          <w:divBdr>
            <w:top w:val="none" w:sz="0" w:space="0" w:color="auto"/>
            <w:left w:val="none" w:sz="0" w:space="0" w:color="auto"/>
            <w:bottom w:val="none" w:sz="0" w:space="0" w:color="auto"/>
            <w:right w:val="none" w:sz="0" w:space="0" w:color="auto"/>
          </w:divBdr>
        </w:div>
        <w:div w:id="1948194486">
          <w:marLeft w:val="480"/>
          <w:marRight w:val="0"/>
          <w:marTop w:val="0"/>
          <w:marBottom w:val="0"/>
          <w:divBdr>
            <w:top w:val="none" w:sz="0" w:space="0" w:color="auto"/>
            <w:left w:val="none" w:sz="0" w:space="0" w:color="auto"/>
            <w:bottom w:val="none" w:sz="0" w:space="0" w:color="auto"/>
            <w:right w:val="none" w:sz="0" w:space="0" w:color="auto"/>
          </w:divBdr>
        </w:div>
        <w:div w:id="405611943">
          <w:marLeft w:val="480"/>
          <w:marRight w:val="0"/>
          <w:marTop w:val="0"/>
          <w:marBottom w:val="0"/>
          <w:divBdr>
            <w:top w:val="none" w:sz="0" w:space="0" w:color="auto"/>
            <w:left w:val="none" w:sz="0" w:space="0" w:color="auto"/>
            <w:bottom w:val="none" w:sz="0" w:space="0" w:color="auto"/>
            <w:right w:val="none" w:sz="0" w:space="0" w:color="auto"/>
          </w:divBdr>
        </w:div>
        <w:div w:id="1379208183">
          <w:marLeft w:val="480"/>
          <w:marRight w:val="0"/>
          <w:marTop w:val="0"/>
          <w:marBottom w:val="0"/>
          <w:divBdr>
            <w:top w:val="none" w:sz="0" w:space="0" w:color="auto"/>
            <w:left w:val="none" w:sz="0" w:space="0" w:color="auto"/>
            <w:bottom w:val="none" w:sz="0" w:space="0" w:color="auto"/>
            <w:right w:val="none" w:sz="0" w:space="0" w:color="auto"/>
          </w:divBdr>
        </w:div>
        <w:div w:id="1028020444">
          <w:marLeft w:val="480"/>
          <w:marRight w:val="0"/>
          <w:marTop w:val="0"/>
          <w:marBottom w:val="0"/>
          <w:divBdr>
            <w:top w:val="none" w:sz="0" w:space="0" w:color="auto"/>
            <w:left w:val="none" w:sz="0" w:space="0" w:color="auto"/>
            <w:bottom w:val="none" w:sz="0" w:space="0" w:color="auto"/>
            <w:right w:val="none" w:sz="0" w:space="0" w:color="auto"/>
          </w:divBdr>
        </w:div>
        <w:div w:id="857356594">
          <w:marLeft w:val="480"/>
          <w:marRight w:val="0"/>
          <w:marTop w:val="0"/>
          <w:marBottom w:val="0"/>
          <w:divBdr>
            <w:top w:val="none" w:sz="0" w:space="0" w:color="auto"/>
            <w:left w:val="none" w:sz="0" w:space="0" w:color="auto"/>
            <w:bottom w:val="none" w:sz="0" w:space="0" w:color="auto"/>
            <w:right w:val="none" w:sz="0" w:space="0" w:color="auto"/>
          </w:divBdr>
        </w:div>
        <w:div w:id="1291597766">
          <w:marLeft w:val="480"/>
          <w:marRight w:val="0"/>
          <w:marTop w:val="0"/>
          <w:marBottom w:val="0"/>
          <w:divBdr>
            <w:top w:val="none" w:sz="0" w:space="0" w:color="auto"/>
            <w:left w:val="none" w:sz="0" w:space="0" w:color="auto"/>
            <w:bottom w:val="none" w:sz="0" w:space="0" w:color="auto"/>
            <w:right w:val="none" w:sz="0" w:space="0" w:color="auto"/>
          </w:divBdr>
        </w:div>
        <w:div w:id="1939025606">
          <w:marLeft w:val="480"/>
          <w:marRight w:val="0"/>
          <w:marTop w:val="0"/>
          <w:marBottom w:val="0"/>
          <w:divBdr>
            <w:top w:val="none" w:sz="0" w:space="0" w:color="auto"/>
            <w:left w:val="none" w:sz="0" w:space="0" w:color="auto"/>
            <w:bottom w:val="none" w:sz="0" w:space="0" w:color="auto"/>
            <w:right w:val="none" w:sz="0" w:space="0" w:color="auto"/>
          </w:divBdr>
        </w:div>
        <w:div w:id="51121555">
          <w:marLeft w:val="480"/>
          <w:marRight w:val="0"/>
          <w:marTop w:val="0"/>
          <w:marBottom w:val="0"/>
          <w:divBdr>
            <w:top w:val="none" w:sz="0" w:space="0" w:color="auto"/>
            <w:left w:val="none" w:sz="0" w:space="0" w:color="auto"/>
            <w:bottom w:val="none" w:sz="0" w:space="0" w:color="auto"/>
            <w:right w:val="none" w:sz="0" w:space="0" w:color="auto"/>
          </w:divBdr>
        </w:div>
        <w:div w:id="1702051790">
          <w:marLeft w:val="480"/>
          <w:marRight w:val="0"/>
          <w:marTop w:val="0"/>
          <w:marBottom w:val="0"/>
          <w:divBdr>
            <w:top w:val="none" w:sz="0" w:space="0" w:color="auto"/>
            <w:left w:val="none" w:sz="0" w:space="0" w:color="auto"/>
            <w:bottom w:val="none" w:sz="0" w:space="0" w:color="auto"/>
            <w:right w:val="none" w:sz="0" w:space="0" w:color="auto"/>
          </w:divBdr>
        </w:div>
        <w:div w:id="806432374">
          <w:marLeft w:val="480"/>
          <w:marRight w:val="0"/>
          <w:marTop w:val="0"/>
          <w:marBottom w:val="0"/>
          <w:divBdr>
            <w:top w:val="none" w:sz="0" w:space="0" w:color="auto"/>
            <w:left w:val="none" w:sz="0" w:space="0" w:color="auto"/>
            <w:bottom w:val="none" w:sz="0" w:space="0" w:color="auto"/>
            <w:right w:val="none" w:sz="0" w:space="0" w:color="auto"/>
          </w:divBdr>
        </w:div>
        <w:div w:id="1588610564">
          <w:marLeft w:val="480"/>
          <w:marRight w:val="0"/>
          <w:marTop w:val="0"/>
          <w:marBottom w:val="0"/>
          <w:divBdr>
            <w:top w:val="none" w:sz="0" w:space="0" w:color="auto"/>
            <w:left w:val="none" w:sz="0" w:space="0" w:color="auto"/>
            <w:bottom w:val="none" w:sz="0" w:space="0" w:color="auto"/>
            <w:right w:val="none" w:sz="0" w:space="0" w:color="auto"/>
          </w:divBdr>
        </w:div>
        <w:div w:id="843203701">
          <w:marLeft w:val="480"/>
          <w:marRight w:val="0"/>
          <w:marTop w:val="0"/>
          <w:marBottom w:val="0"/>
          <w:divBdr>
            <w:top w:val="none" w:sz="0" w:space="0" w:color="auto"/>
            <w:left w:val="none" w:sz="0" w:space="0" w:color="auto"/>
            <w:bottom w:val="none" w:sz="0" w:space="0" w:color="auto"/>
            <w:right w:val="none" w:sz="0" w:space="0" w:color="auto"/>
          </w:divBdr>
        </w:div>
        <w:div w:id="720985218">
          <w:marLeft w:val="480"/>
          <w:marRight w:val="0"/>
          <w:marTop w:val="0"/>
          <w:marBottom w:val="0"/>
          <w:divBdr>
            <w:top w:val="none" w:sz="0" w:space="0" w:color="auto"/>
            <w:left w:val="none" w:sz="0" w:space="0" w:color="auto"/>
            <w:bottom w:val="none" w:sz="0" w:space="0" w:color="auto"/>
            <w:right w:val="none" w:sz="0" w:space="0" w:color="auto"/>
          </w:divBdr>
        </w:div>
        <w:div w:id="599988723">
          <w:marLeft w:val="480"/>
          <w:marRight w:val="0"/>
          <w:marTop w:val="0"/>
          <w:marBottom w:val="0"/>
          <w:divBdr>
            <w:top w:val="none" w:sz="0" w:space="0" w:color="auto"/>
            <w:left w:val="none" w:sz="0" w:space="0" w:color="auto"/>
            <w:bottom w:val="none" w:sz="0" w:space="0" w:color="auto"/>
            <w:right w:val="none" w:sz="0" w:space="0" w:color="auto"/>
          </w:divBdr>
        </w:div>
        <w:div w:id="1090008968">
          <w:marLeft w:val="480"/>
          <w:marRight w:val="0"/>
          <w:marTop w:val="0"/>
          <w:marBottom w:val="0"/>
          <w:divBdr>
            <w:top w:val="none" w:sz="0" w:space="0" w:color="auto"/>
            <w:left w:val="none" w:sz="0" w:space="0" w:color="auto"/>
            <w:bottom w:val="none" w:sz="0" w:space="0" w:color="auto"/>
            <w:right w:val="none" w:sz="0" w:space="0" w:color="auto"/>
          </w:divBdr>
        </w:div>
        <w:div w:id="4285639">
          <w:marLeft w:val="480"/>
          <w:marRight w:val="0"/>
          <w:marTop w:val="0"/>
          <w:marBottom w:val="0"/>
          <w:divBdr>
            <w:top w:val="none" w:sz="0" w:space="0" w:color="auto"/>
            <w:left w:val="none" w:sz="0" w:space="0" w:color="auto"/>
            <w:bottom w:val="none" w:sz="0" w:space="0" w:color="auto"/>
            <w:right w:val="none" w:sz="0" w:space="0" w:color="auto"/>
          </w:divBdr>
        </w:div>
        <w:div w:id="350567721">
          <w:marLeft w:val="480"/>
          <w:marRight w:val="0"/>
          <w:marTop w:val="0"/>
          <w:marBottom w:val="0"/>
          <w:divBdr>
            <w:top w:val="none" w:sz="0" w:space="0" w:color="auto"/>
            <w:left w:val="none" w:sz="0" w:space="0" w:color="auto"/>
            <w:bottom w:val="none" w:sz="0" w:space="0" w:color="auto"/>
            <w:right w:val="none" w:sz="0" w:space="0" w:color="auto"/>
          </w:divBdr>
        </w:div>
        <w:div w:id="550503395">
          <w:marLeft w:val="480"/>
          <w:marRight w:val="0"/>
          <w:marTop w:val="0"/>
          <w:marBottom w:val="0"/>
          <w:divBdr>
            <w:top w:val="none" w:sz="0" w:space="0" w:color="auto"/>
            <w:left w:val="none" w:sz="0" w:space="0" w:color="auto"/>
            <w:bottom w:val="none" w:sz="0" w:space="0" w:color="auto"/>
            <w:right w:val="none" w:sz="0" w:space="0" w:color="auto"/>
          </w:divBdr>
        </w:div>
        <w:div w:id="5911003">
          <w:marLeft w:val="480"/>
          <w:marRight w:val="0"/>
          <w:marTop w:val="0"/>
          <w:marBottom w:val="0"/>
          <w:divBdr>
            <w:top w:val="none" w:sz="0" w:space="0" w:color="auto"/>
            <w:left w:val="none" w:sz="0" w:space="0" w:color="auto"/>
            <w:bottom w:val="none" w:sz="0" w:space="0" w:color="auto"/>
            <w:right w:val="none" w:sz="0" w:space="0" w:color="auto"/>
          </w:divBdr>
        </w:div>
        <w:div w:id="743991106">
          <w:marLeft w:val="480"/>
          <w:marRight w:val="0"/>
          <w:marTop w:val="0"/>
          <w:marBottom w:val="0"/>
          <w:divBdr>
            <w:top w:val="none" w:sz="0" w:space="0" w:color="auto"/>
            <w:left w:val="none" w:sz="0" w:space="0" w:color="auto"/>
            <w:bottom w:val="none" w:sz="0" w:space="0" w:color="auto"/>
            <w:right w:val="none" w:sz="0" w:space="0" w:color="auto"/>
          </w:divBdr>
        </w:div>
        <w:div w:id="2084792826">
          <w:marLeft w:val="480"/>
          <w:marRight w:val="0"/>
          <w:marTop w:val="0"/>
          <w:marBottom w:val="0"/>
          <w:divBdr>
            <w:top w:val="none" w:sz="0" w:space="0" w:color="auto"/>
            <w:left w:val="none" w:sz="0" w:space="0" w:color="auto"/>
            <w:bottom w:val="none" w:sz="0" w:space="0" w:color="auto"/>
            <w:right w:val="none" w:sz="0" w:space="0" w:color="auto"/>
          </w:divBdr>
        </w:div>
        <w:div w:id="788202880">
          <w:marLeft w:val="480"/>
          <w:marRight w:val="0"/>
          <w:marTop w:val="0"/>
          <w:marBottom w:val="0"/>
          <w:divBdr>
            <w:top w:val="none" w:sz="0" w:space="0" w:color="auto"/>
            <w:left w:val="none" w:sz="0" w:space="0" w:color="auto"/>
            <w:bottom w:val="none" w:sz="0" w:space="0" w:color="auto"/>
            <w:right w:val="none" w:sz="0" w:space="0" w:color="auto"/>
          </w:divBdr>
        </w:div>
        <w:div w:id="1273901723">
          <w:marLeft w:val="480"/>
          <w:marRight w:val="0"/>
          <w:marTop w:val="0"/>
          <w:marBottom w:val="0"/>
          <w:divBdr>
            <w:top w:val="none" w:sz="0" w:space="0" w:color="auto"/>
            <w:left w:val="none" w:sz="0" w:space="0" w:color="auto"/>
            <w:bottom w:val="none" w:sz="0" w:space="0" w:color="auto"/>
            <w:right w:val="none" w:sz="0" w:space="0" w:color="auto"/>
          </w:divBdr>
        </w:div>
        <w:div w:id="298152560">
          <w:marLeft w:val="480"/>
          <w:marRight w:val="0"/>
          <w:marTop w:val="0"/>
          <w:marBottom w:val="0"/>
          <w:divBdr>
            <w:top w:val="none" w:sz="0" w:space="0" w:color="auto"/>
            <w:left w:val="none" w:sz="0" w:space="0" w:color="auto"/>
            <w:bottom w:val="none" w:sz="0" w:space="0" w:color="auto"/>
            <w:right w:val="none" w:sz="0" w:space="0" w:color="auto"/>
          </w:divBdr>
        </w:div>
        <w:div w:id="1647975751">
          <w:marLeft w:val="480"/>
          <w:marRight w:val="0"/>
          <w:marTop w:val="0"/>
          <w:marBottom w:val="0"/>
          <w:divBdr>
            <w:top w:val="none" w:sz="0" w:space="0" w:color="auto"/>
            <w:left w:val="none" w:sz="0" w:space="0" w:color="auto"/>
            <w:bottom w:val="none" w:sz="0" w:space="0" w:color="auto"/>
            <w:right w:val="none" w:sz="0" w:space="0" w:color="auto"/>
          </w:divBdr>
        </w:div>
        <w:div w:id="1902641660">
          <w:marLeft w:val="480"/>
          <w:marRight w:val="0"/>
          <w:marTop w:val="0"/>
          <w:marBottom w:val="0"/>
          <w:divBdr>
            <w:top w:val="none" w:sz="0" w:space="0" w:color="auto"/>
            <w:left w:val="none" w:sz="0" w:space="0" w:color="auto"/>
            <w:bottom w:val="none" w:sz="0" w:space="0" w:color="auto"/>
            <w:right w:val="none" w:sz="0" w:space="0" w:color="auto"/>
          </w:divBdr>
        </w:div>
        <w:div w:id="217858680">
          <w:marLeft w:val="480"/>
          <w:marRight w:val="0"/>
          <w:marTop w:val="0"/>
          <w:marBottom w:val="0"/>
          <w:divBdr>
            <w:top w:val="none" w:sz="0" w:space="0" w:color="auto"/>
            <w:left w:val="none" w:sz="0" w:space="0" w:color="auto"/>
            <w:bottom w:val="none" w:sz="0" w:space="0" w:color="auto"/>
            <w:right w:val="none" w:sz="0" w:space="0" w:color="auto"/>
          </w:divBdr>
        </w:div>
        <w:div w:id="338122195">
          <w:marLeft w:val="480"/>
          <w:marRight w:val="0"/>
          <w:marTop w:val="0"/>
          <w:marBottom w:val="0"/>
          <w:divBdr>
            <w:top w:val="none" w:sz="0" w:space="0" w:color="auto"/>
            <w:left w:val="none" w:sz="0" w:space="0" w:color="auto"/>
            <w:bottom w:val="none" w:sz="0" w:space="0" w:color="auto"/>
            <w:right w:val="none" w:sz="0" w:space="0" w:color="auto"/>
          </w:divBdr>
        </w:div>
        <w:div w:id="74593878">
          <w:marLeft w:val="480"/>
          <w:marRight w:val="0"/>
          <w:marTop w:val="0"/>
          <w:marBottom w:val="0"/>
          <w:divBdr>
            <w:top w:val="none" w:sz="0" w:space="0" w:color="auto"/>
            <w:left w:val="none" w:sz="0" w:space="0" w:color="auto"/>
            <w:bottom w:val="none" w:sz="0" w:space="0" w:color="auto"/>
            <w:right w:val="none" w:sz="0" w:space="0" w:color="auto"/>
          </w:divBdr>
        </w:div>
        <w:div w:id="1889761128">
          <w:marLeft w:val="480"/>
          <w:marRight w:val="0"/>
          <w:marTop w:val="0"/>
          <w:marBottom w:val="0"/>
          <w:divBdr>
            <w:top w:val="none" w:sz="0" w:space="0" w:color="auto"/>
            <w:left w:val="none" w:sz="0" w:space="0" w:color="auto"/>
            <w:bottom w:val="none" w:sz="0" w:space="0" w:color="auto"/>
            <w:right w:val="none" w:sz="0" w:space="0" w:color="auto"/>
          </w:divBdr>
        </w:div>
        <w:div w:id="1286808419">
          <w:marLeft w:val="480"/>
          <w:marRight w:val="0"/>
          <w:marTop w:val="0"/>
          <w:marBottom w:val="0"/>
          <w:divBdr>
            <w:top w:val="none" w:sz="0" w:space="0" w:color="auto"/>
            <w:left w:val="none" w:sz="0" w:space="0" w:color="auto"/>
            <w:bottom w:val="none" w:sz="0" w:space="0" w:color="auto"/>
            <w:right w:val="none" w:sz="0" w:space="0" w:color="auto"/>
          </w:divBdr>
        </w:div>
        <w:div w:id="1849365706">
          <w:marLeft w:val="480"/>
          <w:marRight w:val="0"/>
          <w:marTop w:val="0"/>
          <w:marBottom w:val="0"/>
          <w:divBdr>
            <w:top w:val="none" w:sz="0" w:space="0" w:color="auto"/>
            <w:left w:val="none" w:sz="0" w:space="0" w:color="auto"/>
            <w:bottom w:val="none" w:sz="0" w:space="0" w:color="auto"/>
            <w:right w:val="none" w:sz="0" w:space="0" w:color="auto"/>
          </w:divBdr>
        </w:div>
        <w:div w:id="877477333">
          <w:marLeft w:val="480"/>
          <w:marRight w:val="0"/>
          <w:marTop w:val="0"/>
          <w:marBottom w:val="0"/>
          <w:divBdr>
            <w:top w:val="none" w:sz="0" w:space="0" w:color="auto"/>
            <w:left w:val="none" w:sz="0" w:space="0" w:color="auto"/>
            <w:bottom w:val="none" w:sz="0" w:space="0" w:color="auto"/>
            <w:right w:val="none" w:sz="0" w:space="0" w:color="auto"/>
          </w:divBdr>
        </w:div>
        <w:div w:id="203954578">
          <w:marLeft w:val="480"/>
          <w:marRight w:val="0"/>
          <w:marTop w:val="0"/>
          <w:marBottom w:val="0"/>
          <w:divBdr>
            <w:top w:val="none" w:sz="0" w:space="0" w:color="auto"/>
            <w:left w:val="none" w:sz="0" w:space="0" w:color="auto"/>
            <w:bottom w:val="none" w:sz="0" w:space="0" w:color="auto"/>
            <w:right w:val="none" w:sz="0" w:space="0" w:color="auto"/>
          </w:divBdr>
        </w:div>
        <w:div w:id="70393605">
          <w:marLeft w:val="480"/>
          <w:marRight w:val="0"/>
          <w:marTop w:val="0"/>
          <w:marBottom w:val="0"/>
          <w:divBdr>
            <w:top w:val="none" w:sz="0" w:space="0" w:color="auto"/>
            <w:left w:val="none" w:sz="0" w:space="0" w:color="auto"/>
            <w:bottom w:val="none" w:sz="0" w:space="0" w:color="auto"/>
            <w:right w:val="none" w:sz="0" w:space="0" w:color="auto"/>
          </w:divBdr>
        </w:div>
        <w:div w:id="1030255433">
          <w:marLeft w:val="480"/>
          <w:marRight w:val="0"/>
          <w:marTop w:val="0"/>
          <w:marBottom w:val="0"/>
          <w:divBdr>
            <w:top w:val="none" w:sz="0" w:space="0" w:color="auto"/>
            <w:left w:val="none" w:sz="0" w:space="0" w:color="auto"/>
            <w:bottom w:val="none" w:sz="0" w:space="0" w:color="auto"/>
            <w:right w:val="none" w:sz="0" w:space="0" w:color="auto"/>
          </w:divBdr>
        </w:div>
        <w:div w:id="1743983850">
          <w:marLeft w:val="480"/>
          <w:marRight w:val="0"/>
          <w:marTop w:val="0"/>
          <w:marBottom w:val="0"/>
          <w:divBdr>
            <w:top w:val="none" w:sz="0" w:space="0" w:color="auto"/>
            <w:left w:val="none" w:sz="0" w:space="0" w:color="auto"/>
            <w:bottom w:val="none" w:sz="0" w:space="0" w:color="auto"/>
            <w:right w:val="none" w:sz="0" w:space="0" w:color="auto"/>
          </w:divBdr>
        </w:div>
        <w:div w:id="1770152670">
          <w:marLeft w:val="480"/>
          <w:marRight w:val="0"/>
          <w:marTop w:val="0"/>
          <w:marBottom w:val="0"/>
          <w:divBdr>
            <w:top w:val="none" w:sz="0" w:space="0" w:color="auto"/>
            <w:left w:val="none" w:sz="0" w:space="0" w:color="auto"/>
            <w:bottom w:val="none" w:sz="0" w:space="0" w:color="auto"/>
            <w:right w:val="none" w:sz="0" w:space="0" w:color="auto"/>
          </w:divBdr>
        </w:div>
        <w:div w:id="794641026">
          <w:marLeft w:val="480"/>
          <w:marRight w:val="0"/>
          <w:marTop w:val="0"/>
          <w:marBottom w:val="0"/>
          <w:divBdr>
            <w:top w:val="none" w:sz="0" w:space="0" w:color="auto"/>
            <w:left w:val="none" w:sz="0" w:space="0" w:color="auto"/>
            <w:bottom w:val="none" w:sz="0" w:space="0" w:color="auto"/>
            <w:right w:val="none" w:sz="0" w:space="0" w:color="auto"/>
          </w:divBdr>
        </w:div>
        <w:div w:id="187987412">
          <w:marLeft w:val="480"/>
          <w:marRight w:val="0"/>
          <w:marTop w:val="0"/>
          <w:marBottom w:val="0"/>
          <w:divBdr>
            <w:top w:val="none" w:sz="0" w:space="0" w:color="auto"/>
            <w:left w:val="none" w:sz="0" w:space="0" w:color="auto"/>
            <w:bottom w:val="none" w:sz="0" w:space="0" w:color="auto"/>
            <w:right w:val="none" w:sz="0" w:space="0" w:color="auto"/>
          </w:divBdr>
        </w:div>
        <w:div w:id="1660621423">
          <w:marLeft w:val="480"/>
          <w:marRight w:val="0"/>
          <w:marTop w:val="0"/>
          <w:marBottom w:val="0"/>
          <w:divBdr>
            <w:top w:val="none" w:sz="0" w:space="0" w:color="auto"/>
            <w:left w:val="none" w:sz="0" w:space="0" w:color="auto"/>
            <w:bottom w:val="none" w:sz="0" w:space="0" w:color="auto"/>
            <w:right w:val="none" w:sz="0" w:space="0" w:color="auto"/>
          </w:divBdr>
        </w:div>
        <w:div w:id="1016888024">
          <w:marLeft w:val="480"/>
          <w:marRight w:val="0"/>
          <w:marTop w:val="0"/>
          <w:marBottom w:val="0"/>
          <w:divBdr>
            <w:top w:val="none" w:sz="0" w:space="0" w:color="auto"/>
            <w:left w:val="none" w:sz="0" w:space="0" w:color="auto"/>
            <w:bottom w:val="none" w:sz="0" w:space="0" w:color="auto"/>
            <w:right w:val="none" w:sz="0" w:space="0" w:color="auto"/>
          </w:divBdr>
        </w:div>
        <w:div w:id="1257901580">
          <w:marLeft w:val="480"/>
          <w:marRight w:val="0"/>
          <w:marTop w:val="0"/>
          <w:marBottom w:val="0"/>
          <w:divBdr>
            <w:top w:val="none" w:sz="0" w:space="0" w:color="auto"/>
            <w:left w:val="none" w:sz="0" w:space="0" w:color="auto"/>
            <w:bottom w:val="none" w:sz="0" w:space="0" w:color="auto"/>
            <w:right w:val="none" w:sz="0" w:space="0" w:color="auto"/>
          </w:divBdr>
        </w:div>
        <w:div w:id="2070422421">
          <w:marLeft w:val="480"/>
          <w:marRight w:val="0"/>
          <w:marTop w:val="0"/>
          <w:marBottom w:val="0"/>
          <w:divBdr>
            <w:top w:val="none" w:sz="0" w:space="0" w:color="auto"/>
            <w:left w:val="none" w:sz="0" w:space="0" w:color="auto"/>
            <w:bottom w:val="none" w:sz="0" w:space="0" w:color="auto"/>
            <w:right w:val="none" w:sz="0" w:space="0" w:color="auto"/>
          </w:divBdr>
        </w:div>
        <w:div w:id="1523275906">
          <w:marLeft w:val="480"/>
          <w:marRight w:val="0"/>
          <w:marTop w:val="0"/>
          <w:marBottom w:val="0"/>
          <w:divBdr>
            <w:top w:val="none" w:sz="0" w:space="0" w:color="auto"/>
            <w:left w:val="none" w:sz="0" w:space="0" w:color="auto"/>
            <w:bottom w:val="none" w:sz="0" w:space="0" w:color="auto"/>
            <w:right w:val="none" w:sz="0" w:space="0" w:color="auto"/>
          </w:divBdr>
        </w:div>
        <w:div w:id="1732461645">
          <w:marLeft w:val="480"/>
          <w:marRight w:val="0"/>
          <w:marTop w:val="0"/>
          <w:marBottom w:val="0"/>
          <w:divBdr>
            <w:top w:val="none" w:sz="0" w:space="0" w:color="auto"/>
            <w:left w:val="none" w:sz="0" w:space="0" w:color="auto"/>
            <w:bottom w:val="none" w:sz="0" w:space="0" w:color="auto"/>
            <w:right w:val="none" w:sz="0" w:space="0" w:color="auto"/>
          </w:divBdr>
        </w:div>
        <w:div w:id="1221555628">
          <w:marLeft w:val="480"/>
          <w:marRight w:val="0"/>
          <w:marTop w:val="0"/>
          <w:marBottom w:val="0"/>
          <w:divBdr>
            <w:top w:val="none" w:sz="0" w:space="0" w:color="auto"/>
            <w:left w:val="none" w:sz="0" w:space="0" w:color="auto"/>
            <w:bottom w:val="none" w:sz="0" w:space="0" w:color="auto"/>
            <w:right w:val="none" w:sz="0" w:space="0" w:color="auto"/>
          </w:divBdr>
        </w:div>
        <w:div w:id="1743679166">
          <w:marLeft w:val="480"/>
          <w:marRight w:val="0"/>
          <w:marTop w:val="0"/>
          <w:marBottom w:val="0"/>
          <w:divBdr>
            <w:top w:val="none" w:sz="0" w:space="0" w:color="auto"/>
            <w:left w:val="none" w:sz="0" w:space="0" w:color="auto"/>
            <w:bottom w:val="none" w:sz="0" w:space="0" w:color="auto"/>
            <w:right w:val="none" w:sz="0" w:space="0" w:color="auto"/>
          </w:divBdr>
        </w:div>
        <w:div w:id="653023811">
          <w:marLeft w:val="480"/>
          <w:marRight w:val="0"/>
          <w:marTop w:val="0"/>
          <w:marBottom w:val="0"/>
          <w:divBdr>
            <w:top w:val="none" w:sz="0" w:space="0" w:color="auto"/>
            <w:left w:val="none" w:sz="0" w:space="0" w:color="auto"/>
            <w:bottom w:val="none" w:sz="0" w:space="0" w:color="auto"/>
            <w:right w:val="none" w:sz="0" w:space="0" w:color="auto"/>
          </w:divBdr>
        </w:div>
        <w:div w:id="589003480">
          <w:marLeft w:val="480"/>
          <w:marRight w:val="0"/>
          <w:marTop w:val="0"/>
          <w:marBottom w:val="0"/>
          <w:divBdr>
            <w:top w:val="none" w:sz="0" w:space="0" w:color="auto"/>
            <w:left w:val="none" w:sz="0" w:space="0" w:color="auto"/>
            <w:bottom w:val="none" w:sz="0" w:space="0" w:color="auto"/>
            <w:right w:val="none" w:sz="0" w:space="0" w:color="auto"/>
          </w:divBdr>
        </w:div>
        <w:div w:id="2047172615">
          <w:marLeft w:val="480"/>
          <w:marRight w:val="0"/>
          <w:marTop w:val="0"/>
          <w:marBottom w:val="0"/>
          <w:divBdr>
            <w:top w:val="none" w:sz="0" w:space="0" w:color="auto"/>
            <w:left w:val="none" w:sz="0" w:space="0" w:color="auto"/>
            <w:bottom w:val="none" w:sz="0" w:space="0" w:color="auto"/>
            <w:right w:val="none" w:sz="0" w:space="0" w:color="auto"/>
          </w:divBdr>
        </w:div>
        <w:div w:id="1938100010">
          <w:marLeft w:val="480"/>
          <w:marRight w:val="0"/>
          <w:marTop w:val="0"/>
          <w:marBottom w:val="0"/>
          <w:divBdr>
            <w:top w:val="none" w:sz="0" w:space="0" w:color="auto"/>
            <w:left w:val="none" w:sz="0" w:space="0" w:color="auto"/>
            <w:bottom w:val="none" w:sz="0" w:space="0" w:color="auto"/>
            <w:right w:val="none" w:sz="0" w:space="0" w:color="auto"/>
          </w:divBdr>
        </w:div>
        <w:div w:id="908032425">
          <w:marLeft w:val="480"/>
          <w:marRight w:val="0"/>
          <w:marTop w:val="0"/>
          <w:marBottom w:val="0"/>
          <w:divBdr>
            <w:top w:val="none" w:sz="0" w:space="0" w:color="auto"/>
            <w:left w:val="none" w:sz="0" w:space="0" w:color="auto"/>
            <w:bottom w:val="none" w:sz="0" w:space="0" w:color="auto"/>
            <w:right w:val="none" w:sz="0" w:space="0" w:color="auto"/>
          </w:divBdr>
        </w:div>
        <w:div w:id="169103630">
          <w:marLeft w:val="480"/>
          <w:marRight w:val="0"/>
          <w:marTop w:val="0"/>
          <w:marBottom w:val="0"/>
          <w:divBdr>
            <w:top w:val="none" w:sz="0" w:space="0" w:color="auto"/>
            <w:left w:val="none" w:sz="0" w:space="0" w:color="auto"/>
            <w:bottom w:val="none" w:sz="0" w:space="0" w:color="auto"/>
            <w:right w:val="none" w:sz="0" w:space="0" w:color="auto"/>
          </w:divBdr>
        </w:div>
        <w:div w:id="1086730281">
          <w:marLeft w:val="480"/>
          <w:marRight w:val="0"/>
          <w:marTop w:val="0"/>
          <w:marBottom w:val="0"/>
          <w:divBdr>
            <w:top w:val="none" w:sz="0" w:space="0" w:color="auto"/>
            <w:left w:val="none" w:sz="0" w:space="0" w:color="auto"/>
            <w:bottom w:val="none" w:sz="0" w:space="0" w:color="auto"/>
            <w:right w:val="none" w:sz="0" w:space="0" w:color="auto"/>
          </w:divBdr>
        </w:div>
        <w:div w:id="620187538">
          <w:marLeft w:val="480"/>
          <w:marRight w:val="0"/>
          <w:marTop w:val="0"/>
          <w:marBottom w:val="0"/>
          <w:divBdr>
            <w:top w:val="none" w:sz="0" w:space="0" w:color="auto"/>
            <w:left w:val="none" w:sz="0" w:space="0" w:color="auto"/>
            <w:bottom w:val="none" w:sz="0" w:space="0" w:color="auto"/>
            <w:right w:val="none" w:sz="0" w:space="0" w:color="auto"/>
          </w:divBdr>
        </w:div>
        <w:div w:id="814688282">
          <w:marLeft w:val="480"/>
          <w:marRight w:val="0"/>
          <w:marTop w:val="0"/>
          <w:marBottom w:val="0"/>
          <w:divBdr>
            <w:top w:val="none" w:sz="0" w:space="0" w:color="auto"/>
            <w:left w:val="none" w:sz="0" w:space="0" w:color="auto"/>
            <w:bottom w:val="none" w:sz="0" w:space="0" w:color="auto"/>
            <w:right w:val="none" w:sz="0" w:space="0" w:color="auto"/>
          </w:divBdr>
        </w:div>
        <w:div w:id="997461701">
          <w:marLeft w:val="480"/>
          <w:marRight w:val="0"/>
          <w:marTop w:val="0"/>
          <w:marBottom w:val="0"/>
          <w:divBdr>
            <w:top w:val="none" w:sz="0" w:space="0" w:color="auto"/>
            <w:left w:val="none" w:sz="0" w:space="0" w:color="auto"/>
            <w:bottom w:val="none" w:sz="0" w:space="0" w:color="auto"/>
            <w:right w:val="none" w:sz="0" w:space="0" w:color="auto"/>
          </w:divBdr>
        </w:div>
        <w:div w:id="186799474">
          <w:marLeft w:val="480"/>
          <w:marRight w:val="0"/>
          <w:marTop w:val="0"/>
          <w:marBottom w:val="0"/>
          <w:divBdr>
            <w:top w:val="none" w:sz="0" w:space="0" w:color="auto"/>
            <w:left w:val="none" w:sz="0" w:space="0" w:color="auto"/>
            <w:bottom w:val="none" w:sz="0" w:space="0" w:color="auto"/>
            <w:right w:val="none" w:sz="0" w:space="0" w:color="auto"/>
          </w:divBdr>
        </w:div>
        <w:div w:id="176041663">
          <w:marLeft w:val="480"/>
          <w:marRight w:val="0"/>
          <w:marTop w:val="0"/>
          <w:marBottom w:val="0"/>
          <w:divBdr>
            <w:top w:val="none" w:sz="0" w:space="0" w:color="auto"/>
            <w:left w:val="none" w:sz="0" w:space="0" w:color="auto"/>
            <w:bottom w:val="none" w:sz="0" w:space="0" w:color="auto"/>
            <w:right w:val="none" w:sz="0" w:space="0" w:color="auto"/>
          </w:divBdr>
        </w:div>
        <w:div w:id="100153904">
          <w:marLeft w:val="480"/>
          <w:marRight w:val="0"/>
          <w:marTop w:val="0"/>
          <w:marBottom w:val="0"/>
          <w:divBdr>
            <w:top w:val="none" w:sz="0" w:space="0" w:color="auto"/>
            <w:left w:val="none" w:sz="0" w:space="0" w:color="auto"/>
            <w:bottom w:val="none" w:sz="0" w:space="0" w:color="auto"/>
            <w:right w:val="none" w:sz="0" w:space="0" w:color="auto"/>
          </w:divBdr>
        </w:div>
        <w:div w:id="609320668">
          <w:marLeft w:val="480"/>
          <w:marRight w:val="0"/>
          <w:marTop w:val="0"/>
          <w:marBottom w:val="0"/>
          <w:divBdr>
            <w:top w:val="none" w:sz="0" w:space="0" w:color="auto"/>
            <w:left w:val="none" w:sz="0" w:space="0" w:color="auto"/>
            <w:bottom w:val="none" w:sz="0" w:space="0" w:color="auto"/>
            <w:right w:val="none" w:sz="0" w:space="0" w:color="auto"/>
          </w:divBdr>
        </w:div>
        <w:div w:id="411778406">
          <w:marLeft w:val="480"/>
          <w:marRight w:val="0"/>
          <w:marTop w:val="0"/>
          <w:marBottom w:val="0"/>
          <w:divBdr>
            <w:top w:val="none" w:sz="0" w:space="0" w:color="auto"/>
            <w:left w:val="none" w:sz="0" w:space="0" w:color="auto"/>
            <w:bottom w:val="none" w:sz="0" w:space="0" w:color="auto"/>
            <w:right w:val="none" w:sz="0" w:space="0" w:color="auto"/>
          </w:divBdr>
        </w:div>
        <w:div w:id="1324040744">
          <w:marLeft w:val="480"/>
          <w:marRight w:val="0"/>
          <w:marTop w:val="0"/>
          <w:marBottom w:val="0"/>
          <w:divBdr>
            <w:top w:val="none" w:sz="0" w:space="0" w:color="auto"/>
            <w:left w:val="none" w:sz="0" w:space="0" w:color="auto"/>
            <w:bottom w:val="none" w:sz="0" w:space="0" w:color="auto"/>
            <w:right w:val="none" w:sz="0" w:space="0" w:color="auto"/>
          </w:divBdr>
        </w:div>
        <w:div w:id="1778254901">
          <w:marLeft w:val="480"/>
          <w:marRight w:val="0"/>
          <w:marTop w:val="0"/>
          <w:marBottom w:val="0"/>
          <w:divBdr>
            <w:top w:val="none" w:sz="0" w:space="0" w:color="auto"/>
            <w:left w:val="none" w:sz="0" w:space="0" w:color="auto"/>
            <w:bottom w:val="none" w:sz="0" w:space="0" w:color="auto"/>
            <w:right w:val="none" w:sz="0" w:space="0" w:color="auto"/>
          </w:divBdr>
        </w:div>
        <w:div w:id="1240603420">
          <w:marLeft w:val="480"/>
          <w:marRight w:val="0"/>
          <w:marTop w:val="0"/>
          <w:marBottom w:val="0"/>
          <w:divBdr>
            <w:top w:val="none" w:sz="0" w:space="0" w:color="auto"/>
            <w:left w:val="none" w:sz="0" w:space="0" w:color="auto"/>
            <w:bottom w:val="none" w:sz="0" w:space="0" w:color="auto"/>
            <w:right w:val="none" w:sz="0" w:space="0" w:color="auto"/>
          </w:divBdr>
        </w:div>
        <w:div w:id="596525015">
          <w:marLeft w:val="480"/>
          <w:marRight w:val="0"/>
          <w:marTop w:val="0"/>
          <w:marBottom w:val="0"/>
          <w:divBdr>
            <w:top w:val="none" w:sz="0" w:space="0" w:color="auto"/>
            <w:left w:val="none" w:sz="0" w:space="0" w:color="auto"/>
            <w:bottom w:val="none" w:sz="0" w:space="0" w:color="auto"/>
            <w:right w:val="none" w:sz="0" w:space="0" w:color="auto"/>
          </w:divBdr>
        </w:div>
        <w:div w:id="332219319">
          <w:marLeft w:val="480"/>
          <w:marRight w:val="0"/>
          <w:marTop w:val="0"/>
          <w:marBottom w:val="0"/>
          <w:divBdr>
            <w:top w:val="none" w:sz="0" w:space="0" w:color="auto"/>
            <w:left w:val="none" w:sz="0" w:space="0" w:color="auto"/>
            <w:bottom w:val="none" w:sz="0" w:space="0" w:color="auto"/>
            <w:right w:val="none" w:sz="0" w:space="0" w:color="auto"/>
          </w:divBdr>
        </w:div>
        <w:div w:id="1095831559">
          <w:marLeft w:val="480"/>
          <w:marRight w:val="0"/>
          <w:marTop w:val="0"/>
          <w:marBottom w:val="0"/>
          <w:divBdr>
            <w:top w:val="none" w:sz="0" w:space="0" w:color="auto"/>
            <w:left w:val="none" w:sz="0" w:space="0" w:color="auto"/>
            <w:bottom w:val="none" w:sz="0" w:space="0" w:color="auto"/>
            <w:right w:val="none" w:sz="0" w:space="0" w:color="auto"/>
          </w:divBdr>
        </w:div>
        <w:div w:id="1862544789">
          <w:marLeft w:val="480"/>
          <w:marRight w:val="0"/>
          <w:marTop w:val="0"/>
          <w:marBottom w:val="0"/>
          <w:divBdr>
            <w:top w:val="none" w:sz="0" w:space="0" w:color="auto"/>
            <w:left w:val="none" w:sz="0" w:space="0" w:color="auto"/>
            <w:bottom w:val="none" w:sz="0" w:space="0" w:color="auto"/>
            <w:right w:val="none" w:sz="0" w:space="0" w:color="auto"/>
          </w:divBdr>
        </w:div>
        <w:div w:id="1251623984">
          <w:marLeft w:val="480"/>
          <w:marRight w:val="0"/>
          <w:marTop w:val="0"/>
          <w:marBottom w:val="0"/>
          <w:divBdr>
            <w:top w:val="none" w:sz="0" w:space="0" w:color="auto"/>
            <w:left w:val="none" w:sz="0" w:space="0" w:color="auto"/>
            <w:bottom w:val="none" w:sz="0" w:space="0" w:color="auto"/>
            <w:right w:val="none" w:sz="0" w:space="0" w:color="auto"/>
          </w:divBdr>
        </w:div>
        <w:div w:id="2034959133">
          <w:marLeft w:val="480"/>
          <w:marRight w:val="0"/>
          <w:marTop w:val="0"/>
          <w:marBottom w:val="0"/>
          <w:divBdr>
            <w:top w:val="none" w:sz="0" w:space="0" w:color="auto"/>
            <w:left w:val="none" w:sz="0" w:space="0" w:color="auto"/>
            <w:bottom w:val="none" w:sz="0" w:space="0" w:color="auto"/>
            <w:right w:val="none" w:sz="0" w:space="0" w:color="auto"/>
          </w:divBdr>
        </w:div>
        <w:div w:id="577403175">
          <w:marLeft w:val="480"/>
          <w:marRight w:val="0"/>
          <w:marTop w:val="0"/>
          <w:marBottom w:val="0"/>
          <w:divBdr>
            <w:top w:val="none" w:sz="0" w:space="0" w:color="auto"/>
            <w:left w:val="none" w:sz="0" w:space="0" w:color="auto"/>
            <w:bottom w:val="none" w:sz="0" w:space="0" w:color="auto"/>
            <w:right w:val="none" w:sz="0" w:space="0" w:color="auto"/>
          </w:divBdr>
        </w:div>
        <w:div w:id="365446572">
          <w:marLeft w:val="480"/>
          <w:marRight w:val="0"/>
          <w:marTop w:val="0"/>
          <w:marBottom w:val="0"/>
          <w:divBdr>
            <w:top w:val="none" w:sz="0" w:space="0" w:color="auto"/>
            <w:left w:val="none" w:sz="0" w:space="0" w:color="auto"/>
            <w:bottom w:val="none" w:sz="0" w:space="0" w:color="auto"/>
            <w:right w:val="none" w:sz="0" w:space="0" w:color="auto"/>
          </w:divBdr>
        </w:div>
        <w:div w:id="441534246">
          <w:marLeft w:val="480"/>
          <w:marRight w:val="0"/>
          <w:marTop w:val="0"/>
          <w:marBottom w:val="0"/>
          <w:divBdr>
            <w:top w:val="none" w:sz="0" w:space="0" w:color="auto"/>
            <w:left w:val="none" w:sz="0" w:space="0" w:color="auto"/>
            <w:bottom w:val="none" w:sz="0" w:space="0" w:color="auto"/>
            <w:right w:val="none" w:sz="0" w:space="0" w:color="auto"/>
          </w:divBdr>
        </w:div>
        <w:div w:id="1948850568">
          <w:marLeft w:val="480"/>
          <w:marRight w:val="0"/>
          <w:marTop w:val="0"/>
          <w:marBottom w:val="0"/>
          <w:divBdr>
            <w:top w:val="none" w:sz="0" w:space="0" w:color="auto"/>
            <w:left w:val="none" w:sz="0" w:space="0" w:color="auto"/>
            <w:bottom w:val="none" w:sz="0" w:space="0" w:color="auto"/>
            <w:right w:val="none" w:sz="0" w:space="0" w:color="auto"/>
          </w:divBdr>
        </w:div>
        <w:div w:id="2140340421">
          <w:marLeft w:val="480"/>
          <w:marRight w:val="0"/>
          <w:marTop w:val="0"/>
          <w:marBottom w:val="0"/>
          <w:divBdr>
            <w:top w:val="none" w:sz="0" w:space="0" w:color="auto"/>
            <w:left w:val="none" w:sz="0" w:space="0" w:color="auto"/>
            <w:bottom w:val="none" w:sz="0" w:space="0" w:color="auto"/>
            <w:right w:val="none" w:sz="0" w:space="0" w:color="auto"/>
          </w:divBdr>
        </w:div>
        <w:div w:id="333459515">
          <w:marLeft w:val="480"/>
          <w:marRight w:val="0"/>
          <w:marTop w:val="0"/>
          <w:marBottom w:val="0"/>
          <w:divBdr>
            <w:top w:val="none" w:sz="0" w:space="0" w:color="auto"/>
            <w:left w:val="none" w:sz="0" w:space="0" w:color="auto"/>
            <w:bottom w:val="none" w:sz="0" w:space="0" w:color="auto"/>
            <w:right w:val="none" w:sz="0" w:space="0" w:color="auto"/>
          </w:divBdr>
        </w:div>
        <w:div w:id="1551306609">
          <w:marLeft w:val="480"/>
          <w:marRight w:val="0"/>
          <w:marTop w:val="0"/>
          <w:marBottom w:val="0"/>
          <w:divBdr>
            <w:top w:val="none" w:sz="0" w:space="0" w:color="auto"/>
            <w:left w:val="none" w:sz="0" w:space="0" w:color="auto"/>
            <w:bottom w:val="none" w:sz="0" w:space="0" w:color="auto"/>
            <w:right w:val="none" w:sz="0" w:space="0" w:color="auto"/>
          </w:divBdr>
        </w:div>
        <w:div w:id="1723598938">
          <w:marLeft w:val="480"/>
          <w:marRight w:val="0"/>
          <w:marTop w:val="0"/>
          <w:marBottom w:val="0"/>
          <w:divBdr>
            <w:top w:val="none" w:sz="0" w:space="0" w:color="auto"/>
            <w:left w:val="none" w:sz="0" w:space="0" w:color="auto"/>
            <w:bottom w:val="none" w:sz="0" w:space="0" w:color="auto"/>
            <w:right w:val="none" w:sz="0" w:space="0" w:color="auto"/>
          </w:divBdr>
        </w:div>
        <w:div w:id="1438600171">
          <w:marLeft w:val="480"/>
          <w:marRight w:val="0"/>
          <w:marTop w:val="0"/>
          <w:marBottom w:val="0"/>
          <w:divBdr>
            <w:top w:val="none" w:sz="0" w:space="0" w:color="auto"/>
            <w:left w:val="none" w:sz="0" w:space="0" w:color="auto"/>
            <w:bottom w:val="none" w:sz="0" w:space="0" w:color="auto"/>
            <w:right w:val="none" w:sz="0" w:space="0" w:color="auto"/>
          </w:divBdr>
        </w:div>
        <w:div w:id="1221862433">
          <w:marLeft w:val="480"/>
          <w:marRight w:val="0"/>
          <w:marTop w:val="0"/>
          <w:marBottom w:val="0"/>
          <w:divBdr>
            <w:top w:val="none" w:sz="0" w:space="0" w:color="auto"/>
            <w:left w:val="none" w:sz="0" w:space="0" w:color="auto"/>
            <w:bottom w:val="none" w:sz="0" w:space="0" w:color="auto"/>
            <w:right w:val="none" w:sz="0" w:space="0" w:color="auto"/>
          </w:divBdr>
        </w:div>
        <w:div w:id="684743703">
          <w:marLeft w:val="480"/>
          <w:marRight w:val="0"/>
          <w:marTop w:val="0"/>
          <w:marBottom w:val="0"/>
          <w:divBdr>
            <w:top w:val="none" w:sz="0" w:space="0" w:color="auto"/>
            <w:left w:val="none" w:sz="0" w:space="0" w:color="auto"/>
            <w:bottom w:val="none" w:sz="0" w:space="0" w:color="auto"/>
            <w:right w:val="none" w:sz="0" w:space="0" w:color="auto"/>
          </w:divBdr>
        </w:div>
        <w:div w:id="335966370">
          <w:marLeft w:val="480"/>
          <w:marRight w:val="0"/>
          <w:marTop w:val="0"/>
          <w:marBottom w:val="0"/>
          <w:divBdr>
            <w:top w:val="none" w:sz="0" w:space="0" w:color="auto"/>
            <w:left w:val="none" w:sz="0" w:space="0" w:color="auto"/>
            <w:bottom w:val="none" w:sz="0" w:space="0" w:color="auto"/>
            <w:right w:val="none" w:sz="0" w:space="0" w:color="auto"/>
          </w:divBdr>
        </w:div>
        <w:div w:id="1178733386">
          <w:marLeft w:val="480"/>
          <w:marRight w:val="0"/>
          <w:marTop w:val="0"/>
          <w:marBottom w:val="0"/>
          <w:divBdr>
            <w:top w:val="none" w:sz="0" w:space="0" w:color="auto"/>
            <w:left w:val="none" w:sz="0" w:space="0" w:color="auto"/>
            <w:bottom w:val="none" w:sz="0" w:space="0" w:color="auto"/>
            <w:right w:val="none" w:sz="0" w:space="0" w:color="auto"/>
          </w:divBdr>
        </w:div>
        <w:div w:id="490684711">
          <w:marLeft w:val="480"/>
          <w:marRight w:val="0"/>
          <w:marTop w:val="0"/>
          <w:marBottom w:val="0"/>
          <w:divBdr>
            <w:top w:val="none" w:sz="0" w:space="0" w:color="auto"/>
            <w:left w:val="none" w:sz="0" w:space="0" w:color="auto"/>
            <w:bottom w:val="none" w:sz="0" w:space="0" w:color="auto"/>
            <w:right w:val="none" w:sz="0" w:space="0" w:color="auto"/>
          </w:divBdr>
        </w:div>
        <w:div w:id="834881080">
          <w:marLeft w:val="480"/>
          <w:marRight w:val="0"/>
          <w:marTop w:val="0"/>
          <w:marBottom w:val="0"/>
          <w:divBdr>
            <w:top w:val="none" w:sz="0" w:space="0" w:color="auto"/>
            <w:left w:val="none" w:sz="0" w:space="0" w:color="auto"/>
            <w:bottom w:val="none" w:sz="0" w:space="0" w:color="auto"/>
            <w:right w:val="none" w:sz="0" w:space="0" w:color="auto"/>
          </w:divBdr>
        </w:div>
        <w:div w:id="710345637">
          <w:marLeft w:val="480"/>
          <w:marRight w:val="0"/>
          <w:marTop w:val="0"/>
          <w:marBottom w:val="0"/>
          <w:divBdr>
            <w:top w:val="none" w:sz="0" w:space="0" w:color="auto"/>
            <w:left w:val="none" w:sz="0" w:space="0" w:color="auto"/>
            <w:bottom w:val="none" w:sz="0" w:space="0" w:color="auto"/>
            <w:right w:val="none" w:sz="0" w:space="0" w:color="auto"/>
          </w:divBdr>
        </w:div>
        <w:div w:id="394398843">
          <w:marLeft w:val="480"/>
          <w:marRight w:val="0"/>
          <w:marTop w:val="0"/>
          <w:marBottom w:val="0"/>
          <w:divBdr>
            <w:top w:val="none" w:sz="0" w:space="0" w:color="auto"/>
            <w:left w:val="none" w:sz="0" w:space="0" w:color="auto"/>
            <w:bottom w:val="none" w:sz="0" w:space="0" w:color="auto"/>
            <w:right w:val="none" w:sz="0" w:space="0" w:color="auto"/>
          </w:divBdr>
        </w:div>
        <w:div w:id="1148327499">
          <w:marLeft w:val="480"/>
          <w:marRight w:val="0"/>
          <w:marTop w:val="0"/>
          <w:marBottom w:val="0"/>
          <w:divBdr>
            <w:top w:val="none" w:sz="0" w:space="0" w:color="auto"/>
            <w:left w:val="none" w:sz="0" w:space="0" w:color="auto"/>
            <w:bottom w:val="none" w:sz="0" w:space="0" w:color="auto"/>
            <w:right w:val="none" w:sz="0" w:space="0" w:color="auto"/>
          </w:divBdr>
        </w:div>
        <w:div w:id="140005555">
          <w:marLeft w:val="480"/>
          <w:marRight w:val="0"/>
          <w:marTop w:val="0"/>
          <w:marBottom w:val="0"/>
          <w:divBdr>
            <w:top w:val="none" w:sz="0" w:space="0" w:color="auto"/>
            <w:left w:val="none" w:sz="0" w:space="0" w:color="auto"/>
            <w:bottom w:val="none" w:sz="0" w:space="0" w:color="auto"/>
            <w:right w:val="none" w:sz="0" w:space="0" w:color="auto"/>
          </w:divBdr>
        </w:div>
        <w:div w:id="188572003">
          <w:marLeft w:val="480"/>
          <w:marRight w:val="0"/>
          <w:marTop w:val="0"/>
          <w:marBottom w:val="0"/>
          <w:divBdr>
            <w:top w:val="none" w:sz="0" w:space="0" w:color="auto"/>
            <w:left w:val="none" w:sz="0" w:space="0" w:color="auto"/>
            <w:bottom w:val="none" w:sz="0" w:space="0" w:color="auto"/>
            <w:right w:val="none" w:sz="0" w:space="0" w:color="auto"/>
          </w:divBdr>
        </w:div>
        <w:div w:id="1658073040">
          <w:marLeft w:val="480"/>
          <w:marRight w:val="0"/>
          <w:marTop w:val="0"/>
          <w:marBottom w:val="0"/>
          <w:divBdr>
            <w:top w:val="none" w:sz="0" w:space="0" w:color="auto"/>
            <w:left w:val="none" w:sz="0" w:space="0" w:color="auto"/>
            <w:bottom w:val="none" w:sz="0" w:space="0" w:color="auto"/>
            <w:right w:val="none" w:sz="0" w:space="0" w:color="auto"/>
          </w:divBdr>
        </w:div>
        <w:div w:id="1196457277">
          <w:marLeft w:val="480"/>
          <w:marRight w:val="0"/>
          <w:marTop w:val="0"/>
          <w:marBottom w:val="0"/>
          <w:divBdr>
            <w:top w:val="none" w:sz="0" w:space="0" w:color="auto"/>
            <w:left w:val="none" w:sz="0" w:space="0" w:color="auto"/>
            <w:bottom w:val="none" w:sz="0" w:space="0" w:color="auto"/>
            <w:right w:val="none" w:sz="0" w:space="0" w:color="auto"/>
          </w:divBdr>
        </w:div>
        <w:div w:id="1554997132">
          <w:marLeft w:val="480"/>
          <w:marRight w:val="0"/>
          <w:marTop w:val="0"/>
          <w:marBottom w:val="0"/>
          <w:divBdr>
            <w:top w:val="none" w:sz="0" w:space="0" w:color="auto"/>
            <w:left w:val="none" w:sz="0" w:space="0" w:color="auto"/>
            <w:bottom w:val="none" w:sz="0" w:space="0" w:color="auto"/>
            <w:right w:val="none" w:sz="0" w:space="0" w:color="auto"/>
          </w:divBdr>
        </w:div>
        <w:div w:id="1243639923">
          <w:marLeft w:val="480"/>
          <w:marRight w:val="0"/>
          <w:marTop w:val="0"/>
          <w:marBottom w:val="0"/>
          <w:divBdr>
            <w:top w:val="none" w:sz="0" w:space="0" w:color="auto"/>
            <w:left w:val="none" w:sz="0" w:space="0" w:color="auto"/>
            <w:bottom w:val="none" w:sz="0" w:space="0" w:color="auto"/>
            <w:right w:val="none" w:sz="0" w:space="0" w:color="auto"/>
          </w:divBdr>
        </w:div>
        <w:div w:id="316420285">
          <w:marLeft w:val="480"/>
          <w:marRight w:val="0"/>
          <w:marTop w:val="0"/>
          <w:marBottom w:val="0"/>
          <w:divBdr>
            <w:top w:val="none" w:sz="0" w:space="0" w:color="auto"/>
            <w:left w:val="none" w:sz="0" w:space="0" w:color="auto"/>
            <w:bottom w:val="none" w:sz="0" w:space="0" w:color="auto"/>
            <w:right w:val="none" w:sz="0" w:space="0" w:color="auto"/>
          </w:divBdr>
        </w:div>
        <w:div w:id="1070006383">
          <w:marLeft w:val="480"/>
          <w:marRight w:val="0"/>
          <w:marTop w:val="0"/>
          <w:marBottom w:val="0"/>
          <w:divBdr>
            <w:top w:val="none" w:sz="0" w:space="0" w:color="auto"/>
            <w:left w:val="none" w:sz="0" w:space="0" w:color="auto"/>
            <w:bottom w:val="none" w:sz="0" w:space="0" w:color="auto"/>
            <w:right w:val="none" w:sz="0" w:space="0" w:color="auto"/>
          </w:divBdr>
        </w:div>
        <w:div w:id="1339890473">
          <w:marLeft w:val="480"/>
          <w:marRight w:val="0"/>
          <w:marTop w:val="0"/>
          <w:marBottom w:val="0"/>
          <w:divBdr>
            <w:top w:val="none" w:sz="0" w:space="0" w:color="auto"/>
            <w:left w:val="none" w:sz="0" w:space="0" w:color="auto"/>
            <w:bottom w:val="none" w:sz="0" w:space="0" w:color="auto"/>
            <w:right w:val="none" w:sz="0" w:space="0" w:color="auto"/>
          </w:divBdr>
        </w:div>
      </w:divsChild>
    </w:div>
    <w:div w:id="83308906">
      <w:bodyDiv w:val="1"/>
      <w:marLeft w:val="0"/>
      <w:marRight w:val="0"/>
      <w:marTop w:val="0"/>
      <w:marBottom w:val="0"/>
      <w:divBdr>
        <w:top w:val="none" w:sz="0" w:space="0" w:color="auto"/>
        <w:left w:val="none" w:sz="0" w:space="0" w:color="auto"/>
        <w:bottom w:val="none" w:sz="0" w:space="0" w:color="auto"/>
        <w:right w:val="none" w:sz="0" w:space="0" w:color="auto"/>
      </w:divBdr>
    </w:div>
    <w:div w:id="83693510">
      <w:bodyDiv w:val="1"/>
      <w:marLeft w:val="0"/>
      <w:marRight w:val="0"/>
      <w:marTop w:val="0"/>
      <w:marBottom w:val="0"/>
      <w:divBdr>
        <w:top w:val="none" w:sz="0" w:space="0" w:color="auto"/>
        <w:left w:val="none" w:sz="0" w:space="0" w:color="auto"/>
        <w:bottom w:val="none" w:sz="0" w:space="0" w:color="auto"/>
        <w:right w:val="none" w:sz="0" w:space="0" w:color="auto"/>
      </w:divBdr>
    </w:div>
    <w:div w:id="84301897">
      <w:bodyDiv w:val="1"/>
      <w:marLeft w:val="0"/>
      <w:marRight w:val="0"/>
      <w:marTop w:val="0"/>
      <w:marBottom w:val="0"/>
      <w:divBdr>
        <w:top w:val="none" w:sz="0" w:space="0" w:color="auto"/>
        <w:left w:val="none" w:sz="0" w:space="0" w:color="auto"/>
        <w:bottom w:val="none" w:sz="0" w:space="0" w:color="auto"/>
        <w:right w:val="none" w:sz="0" w:space="0" w:color="auto"/>
      </w:divBdr>
      <w:divsChild>
        <w:div w:id="1661887906">
          <w:marLeft w:val="480"/>
          <w:marRight w:val="0"/>
          <w:marTop w:val="0"/>
          <w:marBottom w:val="0"/>
          <w:divBdr>
            <w:top w:val="none" w:sz="0" w:space="0" w:color="auto"/>
            <w:left w:val="none" w:sz="0" w:space="0" w:color="auto"/>
            <w:bottom w:val="none" w:sz="0" w:space="0" w:color="auto"/>
            <w:right w:val="none" w:sz="0" w:space="0" w:color="auto"/>
          </w:divBdr>
        </w:div>
        <w:div w:id="85661423">
          <w:marLeft w:val="480"/>
          <w:marRight w:val="0"/>
          <w:marTop w:val="0"/>
          <w:marBottom w:val="0"/>
          <w:divBdr>
            <w:top w:val="none" w:sz="0" w:space="0" w:color="auto"/>
            <w:left w:val="none" w:sz="0" w:space="0" w:color="auto"/>
            <w:bottom w:val="none" w:sz="0" w:space="0" w:color="auto"/>
            <w:right w:val="none" w:sz="0" w:space="0" w:color="auto"/>
          </w:divBdr>
        </w:div>
        <w:div w:id="2075422945">
          <w:marLeft w:val="480"/>
          <w:marRight w:val="0"/>
          <w:marTop w:val="0"/>
          <w:marBottom w:val="0"/>
          <w:divBdr>
            <w:top w:val="none" w:sz="0" w:space="0" w:color="auto"/>
            <w:left w:val="none" w:sz="0" w:space="0" w:color="auto"/>
            <w:bottom w:val="none" w:sz="0" w:space="0" w:color="auto"/>
            <w:right w:val="none" w:sz="0" w:space="0" w:color="auto"/>
          </w:divBdr>
        </w:div>
        <w:div w:id="2071925692">
          <w:marLeft w:val="480"/>
          <w:marRight w:val="0"/>
          <w:marTop w:val="0"/>
          <w:marBottom w:val="0"/>
          <w:divBdr>
            <w:top w:val="none" w:sz="0" w:space="0" w:color="auto"/>
            <w:left w:val="none" w:sz="0" w:space="0" w:color="auto"/>
            <w:bottom w:val="none" w:sz="0" w:space="0" w:color="auto"/>
            <w:right w:val="none" w:sz="0" w:space="0" w:color="auto"/>
          </w:divBdr>
        </w:div>
        <w:div w:id="1811289056">
          <w:marLeft w:val="480"/>
          <w:marRight w:val="0"/>
          <w:marTop w:val="0"/>
          <w:marBottom w:val="0"/>
          <w:divBdr>
            <w:top w:val="none" w:sz="0" w:space="0" w:color="auto"/>
            <w:left w:val="none" w:sz="0" w:space="0" w:color="auto"/>
            <w:bottom w:val="none" w:sz="0" w:space="0" w:color="auto"/>
            <w:right w:val="none" w:sz="0" w:space="0" w:color="auto"/>
          </w:divBdr>
        </w:div>
        <w:div w:id="1441221990">
          <w:marLeft w:val="480"/>
          <w:marRight w:val="0"/>
          <w:marTop w:val="0"/>
          <w:marBottom w:val="0"/>
          <w:divBdr>
            <w:top w:val="none" w:sz="0" w:space="0" w:color="auto"/>
            <w:left w:val="none" w:sz="0" w:space="0" w:color="auto"/>
            <w:bottom w:val="none" w:sz="0" w:space="0" w:color="auto"/>
            <w:right w:val="none" w:sz="0" w:space="0" w:color="auto"/>
          </w:divBdr>
        </w:div>
        <w:div w:id="1549410234">
          <w:marLeft w:val="480"/>
          <w:marRight w:val="0"/>
          <w:marTop w:val="0"/>
          <w:marBottom w:val="0"/>
          <w:divBdr>
            <w:top w:val="none" w:sz="0" w:space="0" w:color="auto"/>
            <w:left w:val="none" w:sz="0" w:space="0" w:color="auto"/>
            <w:bottom w:val="none" w:sz="0" w:space="0" w:color="auto"/>
            <w:right w:val="none" w:sz="0" w:space="0" w:color="auto"/>
          </w:divBdr>
        </w:div>
        <w:div w:id="2067533035">
          <w:marLeft w:val="480"/>
          <w:marRight w:val="0"/>
          <w:marTop w:val="0"/>
          <w:marBottom w:val="0"/>
          <w:divBdr>
            <w:top w:val="none" w:sz="0" w:space="0" w:color="auto"/>
            <w:left w:val="none" w:sz="0" w:space="0" w:color="auto"/>
            <w:bottom w:val="none" w:sz="0" w:space="0" w:color="auto"/>
            <w:right w:val="none" w:sz="0" w:space="0" w:color="auto"/>
          </w:divBdr>
        </w:div>
        <w:div w:id="998772206">
          <w:marLeft w:val="480"/>
          <w:marRight w:val="0"/>
          <w:marTop w:val="0"/>
          <w:marBottom w:val="0"/>
          <w:divBdr>
            <w:top w:val="none" w:sz="0" w:space="0" w:color="auto"/>
            <w:left w:val="none" w:sz="0" w:space="0" w:color="auto"/>
            <w:bottom w:val="none" w:sz="0" w:space="0" w:color="auto"/>
            <w:right w:val="none" w:sz="0" w:space="0" w:color="auto"/>
          </w:divBdr>
        </w:div>
        <w:div w:id="469179432">
          <w:marLeft w:val="480"/>
          <w:marRight w:val="0"/>
          <w:marTop w:val="0"/>
          <w:marBottom w:val="0"/>
          <w:divBdr>
            <w:top w:val="none" w:sz="0" w:space="0" w:color="auto"/>
            <w:left w:val="none" w:sz="0" w:space="0" w:color="auto"/>
            <w:bottom w:val="none" w:sz="0" w:space="0" w:color="auto"/>
            <w:right w:val="none" w:sz="0" w:space="0" w:color="auto"/>
          </w:divBdr>
        </w:div>
        <w:div w:id="516192968">
          <w:marLeft w:val="480"/>
          <w:marRight w:val="0"/>
          <w:marTop w:val="0"/>
          <w:marBottom w:val="0"/>
          <w:divBdr>
            <w:top w:val="none" w:sz="0" w:space="0" w:color="auto"/>
            <w:left w:val="none" w:sz="0" w:space="0" w:color="auto"/>
            <w:bottom w:val="none" w:sz="0" w:space="0" w:color="auto"/>
            <w:right w:val="none" w:sz="0" w:space="0" w:color="auto"/>
          </w:divBdr>
        </w:div>
        <w:div w:id="1442653369">
          <w:marLeft w:val="480"/>
          <w:marRight w:val="0"/>
          <w:marTop w:val="0"/>
          <w:marBottom w:val="0"/>
          <w:divBdr>
            <w:top w:val="none" w:sz="0" w:space="0" w:color="auto"/>
            <w:left w:val="none" w:sz="0" w:space="0" w:color="auto"/>
            <w:bottom w:val="none" w:sz="0" w:space="0" w:color="auto"/>
            <w:right w:val="none" w:sz="0" w:space="0" w:color="auto"/>
          </w:divBdr>
        </w:div>
        <w:div w:id="2090342681">
          <w:marLeft w:val="480"/>
          <w:marRight w:val="0"/>
          <w:marTop w:val="0"/>
          <w:marBottom w:val="0"/>
          <w:divBdr>
            <w:top w:val="none" w:sz="0" w:space="0" w:color="auto"/>
            <w:left w:val="none" w:sz="0" w:space="0" w:color="auto"/>
            <w:bottom w:val="none" w:sz="0" w:space="0" w:color="auto"/>
            <w:right w:val="none" w:sz="0" w:space="0" w:color="auto"/>
          </w:divBdr>
        </w:div>
        <w:div w:id="229078892">
          <w:marLeft w:val="480"/>
          <w:marRight w:val="0"/>
          <w:marTop w:val="0"/>
          <w:marBottom w:val="0"/>
          <w:divBdr>
            <w:top w:val="none" w:sz="0" w:space="0" w:color="auto"/>
            <w:left w:val="none" w:sz="0" w:space="0" w:color="auto"/>
            <w:bottom w:val="none" w:sz="0" w:space="0" w:color="auto"/>
            <w:right w:val="none" w:sz="0" w:space="0" w:color="auto"/>
          </w:divBdr>
        </w:div>
        <w:div w:id="1910336419">
          <w:marLeft w:val="480"/>
          <w:marRight w:val="0"/>
          <w:marTop w:val="0"/>
          <w:marBottom w:val="0"/>
          <w:divBdr>
            <w:top w:val="none" w:sz="0" w:space="0" w:color="auto"/>
            <w:left w:val="none" w:sz="0" w:space="0" w:color="auto"/>
            <w:bottom w:val="none" w:sz="0" w:space="0" w:color="auto"/>
            <w:right w:val="none" w:sz="0" w:space="0" w:color="auto"/>
          </w:divBdr>
        </w:div>
        <w:div w:id="1216625522">
          <w:marLeft w:val="480"/>
          <w:marRight w:val="0"/>
          <w:marTop w:val="0"/>
          <w:marBottom w:val="0"/>
          <w:divBdr>
            <w:top w:val="none" w:sz="0" w:space="0" w:color="auto"/>
            <w:left w:val="none" w:sz="0" w:space="0" w:color="auto"/>
            <w:bottom w:val="none" w:sz="0" w:space="0" w:color="auto"/>
            <w:right w:val="none" w:sz="0" w:space="0" w:color="auto"/>
          </w:divBdr>
        </w:div>
        <w:div w:id="1173833529">
          <w:marLeft w:val="480"/>
          <w:marRight w:val="0"/>
          <w:marTop w:val="0"/>
          <w:marBottom w:val="0"/>
          <w:divBdr>
            <w:top w:val="none" w:sz="0" w:space="0" w:color="auto"/>
            <w:left w:val="none" w:sz="0" w:space="0" w:color="auto"/>
            <w:bottom w:val="none" w:sz="0" w:space="0" w:color="auto"/>
            <w:right w:val="none" w:sz="0" w:space="0" w:color="auto"/>
          </w:divBdr>
        </w:div>
        <w:div w:id="323124788">
          <w:marLeft w:val="480"/>
          <w:marRight w:val="0"/>
          <w:marTop w:val="0"/>
          <w:marBottom w:val="0"/>
          <w:divBdr>
            <w:top w:val="none" w:sz="0" w:space="0" w:color="auto"/>
            <w:left w:val="none" w:sz="0" w:space="0" w:color="auto"/>
            <w:bottom w:val="none" w:sz="0" w:space="0" w:color="auto"/>
            <w:right w:val="none" w:sz="0" w:space="0" w:color="auto"/>
          </w:divBdr>
        </w:div>
        <w:div w:id="95640506">
          <w:marLeft w:val="480"/>
          <w:marRight w:val="0"/>
          <w:marTop w:val="0"/>
          <w:marBottom w:val="0"/>
          <w:divBdr>
            <w:top w:val="none" w:sz="0" w:space="0" w:color="auto"/>
            <w:left w:val="none" w:sz="0" w:space="0" w:color="auto"/>
            <w:bottom w:val="none" w:sz="0" w:space="0" w:color="auto"/>
            <w:right w:val="none" w:sz="0" w:space="0" w:color="auto"/>
          </w:divBdr>
        </w:div>
        <w:div w:id="1015378703">
          <w:marLeft w:val="480"/>
          <w:marRight w:val="0"/>
          <w:marTop w:val="0"/>
          <w:marBottom w:val="0"/>
          <w:divBdr>
            <w:top w:val="none" w:sz="0" w:space="0" w:color="auto"/>
            <w:left w:val="none" w:sz="0" w:space="0" w:color="auto"/>
            <w:bottom w:val="none" w:sz="0" w:space="0" w:color="auto"/>
            <w:right w:val="none" w:sz="0" w:space="0" w:color="auto"/>
          </w:divBdr>
        </w:div>
        <w:div w:id="2030179288">
          <w:marLeft w:val="480"/>
          <w:marRight w:val="0"/>
          <w:marTop w:val="0"/>
          <w:marBottom w:val="0"/>
          <w:divBdr>
            <w:top w:val="none" w:sz="0" w:space="0" w:color="auto"/>
            <w:left w:val="none" w:sz="0" w:space="0" w:color="auto"/>
            <w:bottom w:val="none" w:sz="0" w:space="0" w:color="auto"/>
            <w:right w:val="none" w:sz="0" w:space="0" w:color="auto"/>
          </w:divBdr>
        </w:div>
        <w:div w:id="1475565643">
          <w:marLeft w:val="480"/>
          <w:marRight w:val="0"/>
          <w:marTop w:val="0"/>
          <w:marBottom w:val="0"/>
          <w:divBdr>
            <w:top w:val="none" w:sz="0" w:space="0" w:color="auto"/>
            <w:left w:val="none" w:sz="0" w:space="0" w:color="auto"/>
            <w:bottom w:val="none" w:sz="0" w:space="0" w:color="auto"/>
            <w:right w:val="none" w:sz="0" w:space="0" w:color="auto"/>
          </w:divBdr>
        </w:div>
        <w:div w:id="56586267">
          <w:marLeft w:val="480"/>
          <w:marRight w:val="0"/>
          <w:marTop w:val="0"/>
          <w:marBottom w:val="0"/>
          <w:divBdr>
            <w:top w:val="none" w:sz="0" w:space="0" w:color="auto"/>
            <w:left w:val="none" w:sz="0" w:space="0" w:color="auto"/>
            <w:bottom w:val="none" w:sz="0" w:space="0" w:color="auto"/>
            <w:right w:val="none" w:sz="0" w:space="0" w:color="auto"/>
          </w:divBdr>
        </w:div>
        <w:div w:id="614286257">
          <w:marLeft w:val="480"/>
          <w:marRight w:val="0"/>
          <w:marTop w:val="0"/>
          <w:marBottom w:val="0"/>
          <w:divBdr>
            <w:top w:val="none" w:sz="0" w:space="0" w:color="auto"/>
            <w:left w:val="none" w:sz="0" w:space="0" w:color="auto"/>
            <w:bottom w:val="none" w:sz="0" w:space="0" w:color="auto"/>
            <w:right w:val="none" w:sz="0" w:space="0" w:color="auto"/>
          </w:divBdr>
        </w:div>
        <w:div w:id="863396575">
          <w:marLeft w:val="480"/>
          <w:marRight w:val="0"/>
          <w:marTop w:val="0"/>
          <w:marBottom w:val="0"/>
          <w:divBdr>
            <w:top w:val="none" w:sz="0" w:space="0" w:color="auto"/>
            <w:left w:val="none" w:sz="0" w:space="0" w:color="auto"/>
            <w:bottom w:val="none" w:sz="0" w:space="0" w:color="auto"/>
            <w:right w:val="none" w:sz="0" w:space="0" w:color="auto"/>
          </w:divBdr>
        </w:div>
        <w:div w:id="615212843">
          <w:marLeft w:val="480"/>
          <w:marRight w:val="0"/>
          <w:marTop w:val="0"/>
          <w:marBottom w:val="0"/>
          <w:divBdr>
            <w:top w:val="none" w:sz="0" w:space="0" w:color="auto"/>
            <w:left w:val="none" w:sz="0" w:space="0" w:color="auto"/>
            <w:bottom w:val="none" w:sz="0" w:space="0" w:color="auto"/>
            <w:right w:val="none" w:sz="0" w:space="0" w:color="auto"/>
          </w:divBdr>
        </w:div>
        <w:div w:id="1712919486">
          <w:marLeft w:val="480"/>
          <w:marRight w:val="0"/>
          <w:marTop w:val="0"/>
          <w:marBottom w:val="0"/>
          <w:divBdr>
            <w:top w:val="none" w:sz="0" w:space="0" w:color="auto"/>
            <w:left w:val="none" w:sz="0" w:space="0" w:color="auto"/>
            <w:bottom w:val="none" w:sz="0" w:space="0" w:color="auto"/>
            <w:right w:val="none" w:sz="0" w:space="0" w:color="auto"/>
          </w:divBdr>
        </w:div>
        <w:div w:id="1077242794">
          <w:marLeft w:val="480"/>
          <w:marRight w:val="0"/>
          <w:marTop w:val="0"/>
          <w:marBottom w:val="0"/>
          <w:divBdr>
            <w:top w:val="none" w:sz="0" w:space="0" w:color="auto"/>
            <w:left w:val="none" w:sz="0" w:space="0" w:color="auto"/>
            <w:bottom w:val="none" w:sz="0" w:space="0" w:color="auto"/>
            <w:right w:val="none" w:sz="0" w:space="0" w:color="auto"/>
          </w:divBdr>
        </w:div>
        <w:div w:id="1504469317">
          <w:marLeft w:val="480"/>
          <w:marRight w:val="0"/>
          <w:marTop w:val="0"/>
          <w:marBottom w:val="0"/>
          <w:divBdr>
            <w:top w:val="none" w:sz="0" w:space="0" w:color="auto"/>
            <w:left w:val="none" w:sz="0" w:space="0" w:color="auto"/>
            <w:bottom w:val="none" w:sz="0" w:space="0" w:color="auto"/>
            <w:right w:val="none" w:sz="0" w:space="0" w:color="auto"/>
          </w:divBdr>
        </w:div>
        <w:div w:id="2023433966">
          <w:marLeft w:val="480"/>
          <w:marRight w:val="0"/>
          <w:marTop w:val="0"/>
          <w:marBottom w:val="0"/>
          <w:divBdr>
            <w:top w:val="none" w:sz="0" w:space="0" w:color="auto"/>
            <w:left w:val="none" w:sz="0" w:space="0" w:color="auto"/>
            <w:bottom w:val="none" w:sz="0" w:space="0" w:color="auto"/>
            <w:right w:val="none" w:sz="0" w:space="0" w:color="auto"/>
          </w:divBdr>
        </w:div>
        <w:div w:id="1858034264">
          <w:marLeft w:val="480"/>
          <w:marRight w:val="0"/>
          <w:marTop w:val="0"/>
          <w:marBottom w:val="0"/>
          <w:divBdr>
            <w:top w:val="none" w:sz="0" w:space="0" w:color="auto"/>
            <w:left w:val="none" w:sz="0" w:space="0" w:color="auto"/>
            <w:bottom w:val="none" w:sz="0" w:space="0" w:color="auto"/>
            <w:right w:val="none" w:sz="0" w:space="0" w:color="auto"/>
          </w:divBdr>
        </w:div>
        <w:div w:id="1180316385">
          <w:marLeft w:val="480"/>
          <w:marRight w:val="0"/>
          <w:marTop w:val="0"/>
          <w:marBottom w:val="0"/>
          <w:divBdr>
            <w:top w:val="none" w:sz="0" w:space="0" w:color="auto"/>
            <w:left w:val="none" w:sz="0" w:space="0" w:color="auto"/>
            <w:bottom w:val="none" w:sz="0" w:space="0" w:color="auto"/>
            <w:right w:val="none" w:sz="0" w:space="0" w:color="auto"/>
          </w:divBdr>
        </w:div>
        <w:div w:id="1860269329">
          <w:marLeft w:val="480"/>
          <w:marRight w:val="0"/>
          <w:marTop w:val="0"/>
          <w:marBottom w:val="0"/>
          <w:divBdr>
            <w:top w:val="none" w:sz="0" w:space="0" w:color="auto"/>
            <w:left w:val="none" w:sz="0" w:space="0" w:color="auto"/>
            <w:bottom w:val="none" w:sz="0" w:space="0" w:color="auto"/>
            <w:right w:val="none" w:sz="0" w:space="0" w:color="auto"/>
          </w:divBdr>
        </w:div>
        <w:div w:id="818811786">
          <w:marLeft w:val="480"/>
          <w:marRight w:val="0"/>
          <w:marTop w:val="0"/>
          <w:marBottom w:val="0"/>
          <w:divBdr>
            <w:top w:val="none" w:sz="0" w:space="0" w:color="auto"/>
            <w:left w:val="none" w:sz="0" w:space="0" w:color="auto"/>
            <w:bottom w:val="none" w:sz="0" w:space="0" w:color="auto"/>
            <w:right w:val="none" w:sz="0" w:space="0" w:color="auto"/>
          </w:divBdr>
        </w:div>
        <w:div w:id="1768962421">
          <w:marLeft w:val="480"/>
          <w:marRight w:val="0"/>
          <w:marTop w:val="0"/>
          <w:marBottom w:val="0"/>
          <w:divBdr>
            <w:top w:val="none" w:sz="0" w:space="0" w:color="auto"/>
            <w:left w:val="none" w:sz="0" w:space="0" w:color="auto"/>
            <w:bottom w:val="none" w:sz="0" w:space="0" w:color="auto"/>
            <w:right w:val="none" w:sz="0" w:space="0" w:color="auto"/>
          </w:divBdr>
        </w:div>
        <w:div w:id="858541943">
          <w:marLeft w:val="480"/>
          <w:marRight w:val="0"/>
          <w:marTop w:val="0"/>
          <w:marBottom w:val="0"/>
          <w:divBdr>
            <w:top w:val="none" w:sz="0" w:space="0" w:color="auto"/>
            <w:left w:val="none" w:sz="0" w:space="0" w:color="auto"/>
            <w:bottom w:val="none" w:sz="0" w:space="0" w:color="auto"/>
            <w:right w:val="none" w:sz="0" w:space="0" w:color="auto"/>
          </w:divBdr>
        </w:div>
        <w:div w:id="566037351">
          <w:marLeft w:val="480"/>
          <w:marRight w:val="0"/>
          <w:marTop w:val="0"/>
          <w:marBottom w:val="0"/>
          <w:divBdr>
            <w:top w:val="none" w:sz="0" w:space="0" w:color="auto"/>
            <w:left w:val="none" w:sz="0" w:space="0" w:color="auto"/>
            <w:bottom w:val="none" w:sz="0" w:space="0" w:color="auto"/>
            <w:right w:val="none" w:sz="0" w:space="0" w:color="auto"/>
          </w:divBdr>
        </w:div>
        <w:div w:id="1362824721">
          <w:marLeft w:val="480"/>
          <w:marRight w:val="0"/>
          <w:marTop w:val="0"/>
          <w:marBottom w:val="0"/>
          <w:divBdr>
            <w:top w:val="none" w:sz="0" w:space="0" w:color="auto"/>
            <w:left w:val="none" w:sz="0" w:space="0" w:color="auto"/>
            <w:bottom w:val="none" w:sz="0" w:space="0" w:color="auto"/>
            <w:right w:val="none" w:sz="0" w:space="0" w:color="auto"/>
          </w:divBdr>
        </w:div>
        <w:div w:id="153688191">
          <w:marLeft w:val="480"/>
          <w:marRight w:val="0"/>
          <w:marTop w:val="0"/>
          <w:marBottom w:val="0"/>
          <w:divBdr>
            <w:top w:val="none" w:sz="0" w:space="0" w:color="auto"/>
            <w:left w:val="none" w:sz="0" w:space="0" w:color="auto"/>
            <w:bottom w:val="none" w:sz="0" w:space="0" w:color="auto"/>
            <w:right w:val="none" w:sz="0" w:space="0" w:color="auto"/>
          </w:divBdr>
        </w:div>
        <w:div w:id="638803948">
          <w:marLeft w:val="480"/>
          <w:marRight w:val="0"/>
          <w:marTop w:val="0"/>
          <w:marBottom w:val="0"/>
          <w:divBdr>
            <w:top w:val="none" w:sz="0" w:space="0" w:color="auto"/>
            <w:left w:val="none" w:sz="0" w:space="0" w:color="auto"/>
            <w:bottom w:val="none" w:sz="0" w:space="0" w:color="auto"/>
            <w:right w:val="none" w:sz="0" w:space="0" w:color="auto"/>
          </w:divBdr>
        </w:div>
        <w:div w:id="1848783268">
          <w:marLeft w:val="480"/>
          <w:marRight w:val="0"/>
          <w:marTop w:val="0"/>
          <w:marBottom w:val="0"/>
          <w:divBdr>
            <w:top w:val="none" w:sz="0" w:space="0" w:color="auto"/>
            <w:left w:val="none" w:sz="0" w:space="0" w:color="auto"/>
            <w:bottom w:val="none" w:sz="0" w:space="0" w:color="auto"/>
            <w:right w:val="none" w:sz="0" w:space="0" w:color="auto"/>
          </w:divBdr>
        </w:div>
        <w:div w:id="1116103469">
          <w:marLeft w:val="480"/>
          <w:marRight w:val="0"/>
          <w:marTop w:val="0"/>
          <w:marBottom w:val="0"/>
          <w:divBdr>
            <w:top w:val="none" w:sz="0" w:space="0" w:color="auto"/>
            <w:left w:val="none" w:sz="0" w:space="0" w:color="auto"/>
            <w:bottom w:val="none" w:sz="0" w:space="0" w:color="auto"/>
            <w:right w:val="none" w:sz="0" w:space="0" w:color="auto"/>
          </w:divBdr>
        </w:div>
        <w:div w:id="319844630">
          <w:marLeft w:val="480"/>
          <w:marRight w:val="0"/>
          <w:marTop w:val="0"/>
          <w:marBottom w:val="0"/>
          <w:divBdr>
            <w:top w:val="none" w:sz="0" w:space="0" w:color="auto"/>
            <w:left w:val="none" w:sz="0" w:space="0" w:color="auto"/>
            <w:bottom w:val="none" w:sz="0" w:space="0" w:color="auto"/>
            <w:right w:val="none" w:sz="0" w:space="0" w:color="auto"/>
          </w:divBdr>
        </w:div>
        <w:div w:id="120074136">
          <w:marLeft w:val="480"/>
          <w:marRight w:val="0"/>
          <w:marTop w:val="0"/>
          <w:marBottom w:val="0"/>
          <w:divBdr>
            <w:top w:val="none" w:sz="0" w:space="0" w:color="auto"/>
            <w:left w:val="none" w:sz="0" w:space="0" w:color="auto"/>
            <w:bottom w:val="none" w:sz="0" w:space="0" w:color="auto"/>
            <w:right w:val="none" w:sz="0" w:space="0" w:color="auto"/>
          </w:divBdr>
        </w:div>
        <w:div w:id="947858628">
          <w:marLeft w:val="480"/>
          <w:marRight w:val="0"/>
          <w:marTop w:val="0"/>
          <w:marBottom w:val="0"/>
          <w:divBdr>
            <w:top w:val="none" w:sz="0" w:space="0" w:color="auto"/>
            <w:left w:val="none" w:sz="0" w:space="0" w:color="auto"/>
            <w:bottom w:val="none" w:sz="0" w:space="0" w:color="auto"/>
            <w:right w:val="none" w:sz="0" w:space="0" w:color="auto"/>
          </w:divBdr>
        </w:div>
        <w:div w:id="1371804197">
          <w:marLeft w:val="480"/>
          <w:marRight w:val="0"/>
          <w:marTop w:val="0"/>
          <w:marBottom w:val="0"/>
          <w:divBdr>
            <w:top w:val="none" w:sz="0" w:space="0" w:color="auto"/>
            <w:left w:val="none" w:sz="0" w:space="0" w:color="auto"/>
            <w:bottom w:val="none" w:sz="0" w:space="0" w:color="auto"/>
            <w:right w:val="none" w:sz="0" w:space="0" w:color="auto"/>
          </w:divBdr>
        </w:div>
        <w:div w:id="499856391">
          <w:marLeft w:val="480"/>
          <w:marRight w:val="0"/>
          <w:marTop w:val="0"/>
          <w:marBottom w:val="0"/>
          <w:divBdr>
            <w:top w:val="none" w:sz="0" w:space="0" w:color="auto"/>
            <w:left w:val="none" w:sz="0" w:space="0" w:color="auto"/>
            <w:bottom w:val="none" w:sz="0" w:space="0" w:color="auto"/>
            <w:right w:val="none" w:sz="0" w:space="0" w:color="auto"/>
          </w:divBdr>
        </w:div>
        <w:div w:id="810295134">
          <w:marLeft w:val="480"/>
          <w:marRight w:val="0"/>
          <w:marTop w:val="0"/>
          <w:marBottom w:val="0"/>
          <w:divBdr>
            <w:top w:val="none" w:sz="0" w:space="0" w:color="auto"/>
            <w:left w:val="none" w:sz="0" w:space="0" w:color="auto"/>
            <w:bottom w:val="none" w:sz="0" w:space="0" w:color="auto"/>
            <w:right w:val="none" w:sz="0" w:space="0" w:color="auto"/>
          </w:divBdr>
        </w:div>
        <w:div w:id="1024478780">
          <w:marLeft w:val="480"/>
          <w:marRight w:val="0"/>
          <w:marTop w:val="0"/>
          <w:marBottom w:val="0"/>
          <w:divBdr>
            <w:top w:val="none" w:sz="0" w:space="0" w:color="auto"/>
            <w:left w:val="none" w:sz="0" w:space="0" w:color="auto"/>
            <w:bottom w:val="none" w:sz="0" w:space="0" w:color="auto"/>
            <w:right w:val="none" w:sz="0" w:space="0" w:color="auto"/>
          </w:divBdr>
        </w:div>
        <w:div w:id="223571516">
          <w:marLeft w:val="480"/>
          <w:marRight w:val="0"/>
          <w:marTop w:val="0"/>
          <w:marBottom w:val="0"/>
          <w:divBdr>
            <w:top w:val="none" w:sz="0" w:space="0" w:color="auto"/>
            <w:left w:val="none" w:sz="0" w:space="0" w:color="auto"/>
            <w:bottom w:val="none" w:sz="0" w:space="0" w:color="auto"/>
            <w:right w:val="none" w:sz="0" w:space="0" w:color="auto"/>
          </w:divBdr>
        </w:div>
        <w:div w:id="1537037608">
          <w:marLeft w:val="480"/>
          <w:marRight w:val="0"/>
          <w:marTop w:val="0"/>
          <w:marBottom w:val="0"/>
          <w:divBdr>
            <w:top w:val="none" w:sz="0" w:space="0" w:color="auto"/>
            <w:left w:val="none" w:sz="0" w:space="0" w:color="auto"/>
            <w:bottom w:val="none" w:sz="0" w:space="0" w:color="auto"/>
            <w:right w:val="none" w:sz="0" w:space="0" w:color="auto"/>
          </w:divBdr>
        </w:div>
        <w:div w:id="1222330400">
          <w:marLeft w:val="480"/>
          <w:marRight w:val="0"/>
          <w:marTop w:val="0"/>
          <w:marBottom w:val="0"/>
          <w:divBdr>
            <w:top w:val="none" w:sz="0" w:space="0" w:color="auto"/>
            <w:left w:val="none" w:sz="0" w:space="0" w:color="auto"/>
            <w:bottom w:val="none" w:sz="0" w:space="0" w:color="auto"/>
            <w:right w:val="none" w:sz="0" w:space="0" w:color="auto"/>
          </w:divBdr>
        </w:div>
        <w:div w:id="1613127573">
          <w:marLeft w:val="480"/>
          <w:marRight w:val="0"/>
          <w:marTop w:val="0"/>
          <w:marBottom w:val="0"/>
          <w:divBdr>
            <w:top w:val="none" w:sz="0" w:space="0" w:color="auto"/>
            <w:left w:val="none" w:sz="0" w:space="0" w:color="auto"/>
            <w:bottom w:val="none" w:sz="0" w:space="0" w:color="auto"/>
            <w:right w:val="none" w:sz="0" w:space="0" w:color="auto"/>
          </w:divBdr>
        </w:div>
        <w:div w:id="820149269">
          <w:marLeft w:val="480"/>
          <w:marRight w:val="0"/>
          <w:marTop w:val="0"/>
          <w:marBottom w:val="0"/>
          <w:divBdr>
            <w:top w:val="none" w:sz="0" w:space="0" w:color="auto"/>
            <w:left w:val="none" w:sz="0" w:space="0" w:color="auto"/>
            <w:bottom w:val="none" w:sz="0" w:space="0" w:color="auto"/>
            <w:right w:val="none" w:sz="0" w:space="0" w:color="auto"/>
          </w:divBdr>
        </w:div>
        <w:div w:id="1256401551">
          <w:marLeft w:val="480"/>
          <w:marRight w:val="0"/>
          <w:marTop w:val="0"/>
          <w:marBottom w:val="0"/>
          <w:divBdr>
            <w:top w:val="none" w:sz="0" w:space="0" w:color="auto"/>
            <w:left w:val="none" w:sz="0" w:space="0" w:color="auto"/>
            <w:bottom w:val="none" w:sz="0" w:space="0" w:color="auto"/>
            <w:right w:val="none" w:sz="0" w:space="0" w:color="auto"/>
          </w:divBdr>
        </w:div>
        <w:div w:id="1353798405">
          <w:marLeft w:val="480"/>
          <w:marRight w:val="0"/>
          <w:marTop w:val="0"/>
          <w:marBottom w:val="0"/>
          <w:divBdr>
            <w:top w:val="none" w:sz="0" w:space="0" w:color="auto"/>
            <w:left w:val="none" w:sz="0" w:space="0" w:color="auto"/>
            <w:bottom w:val="none" w:sz="0" w:space="0" w:color="auto"/>
            <w:right w:val="none" w:sz="0" w:space="0" w:color="auto"/>
          </w:divBdr>
        </w:div>
        <w:div w:id="2078627663">
          <w:marLeft w:val="480"/>
          <w:marRight w:val="0"/>
          <w:marTop w:val="0"/>
          <w:marBottom w:val="0"/>
          <w:divBdr>
            <w:top w:val="none" w:sz="0" w:space="0" w:color="auto"/>
            <w:left w:val="none" w:sz="0" w:space="0" w:color="auto"/>
            <w:bottom w:val="none" w:sz="0" w:space="0" w:color="auto"/>
            <w:right w:val="none" w:sz="0" w:space="0" w:color="auto"/>
          </w:divBdr>
        </w:div>
        <w:div w:id="252058101">
          <w:marLeft w:val="480"/>
          <w:marRight w:val="0"/>
          <w:marTop w:val="0"/>
          <w:marBottom w:val="0"/>
          <w:divBdr>
            <w:top w:val="none" w:sz="0" w:space="0" w:color="auto"/>
            <w:left w:val="none" w:sz="0" w:space="0" w:color="auto"/>
            <w:bottom w:val="none" w:sz="0" w:space="0" w:color="auto"/>
            <w:right w:val="none" w:sz="0" w:space="0" w:color="auto"/>
          </w:divBdr>
        </w:div>
        <w:div w:id="311251728">
          <w:marLeft w:val="480"/>
          <w:marRight w:val="0"/>
          <w:marTop w:val="0"/>
          <w:marBottom w:val="0"/>
          <w:divBdr>
            <w:top w:val="none" w:sz="0" w:space="0" w:color="auto"/>
            <w:left w:val="none" w:sz="0" w:space="0" w:color="auto"/>
            <w:bottom w:val="none" w:sz="0" w:space="0" w:color="auto"/>
            <w:right w:val="none" w:sz="0" w:space="0" w:color="auto"/>
          </w:divBdr>
        </w:div>
        <w:div w:id="629943664">
          <w:marLeft w:val="480"/>
          <w:marRight w:val="0"/>
          <w:marTop w:val="0"/>
          <w:marBottom w:val="0"/>
          <w:divBdr>
            <w:top w:val="none" w:sz="0" w:space="0" w:color="auto"/>
            <w:left w:val="none" w:sz="0" w:space="0" w:color="auto"/>
            <w:bottom w:val="none" w:sz="0" w:space="0" w:color="auto"/>
            <w:right w:val="none" w:sz="0" w:space="0" w:color="auto"/>
          </w:divBdr>
        </w:div>
        <w:div w:id="1527669026">
          <w:marLeft w:val="480"/>
          <w:marRight w:val="0"/>
          <w:marTop w:val="0"/>
          <w:marBottom w:val="0"/>
          <w:divBdr>
            <w:top w:val="none" w:sz="0" w:space="0" w:color="auto"/>
            <w:left w:val="none" w:sz="0" w:space="0" w:color="auto"/>
            <w:bottom w:val="none" w:sz="0" w:space="0" w:color="auto"/>
            <w:right w:val="none" w:sz="0" w:space="0" w:color="auto"/>
          </w:divBdr>
        </w:div>
        <w:div w:id="2056197711">
          <w:marLeft w:val="480"/>
          <w:marRight w:val="0"/>
          <w:marTop w:val="0"/>
          <w:marBottom w:val="0"/>
          <w:divBdr>
            <w:top w:val="none" w:sz="0" w:space="0" w:color="auto"/>
            <w:left w:val="none" w:sz="0" w:space="0" w:color="auto"/>
            <w:bottom w:val="none" w:sz="0" w:space="0" w:color="auto"/>
            <w:right w:val="none" w:sz="0" w:space="0" w:color="auto"/>
          </w:divBdr>
        </w:div>
        <w:div w:id="1343967032">
          <w:marLeft w:val="480"/>
          <w:marRight w:val="0"/>
          <w:marTop w:val="0"/>
          <w:marBottom w:val="0"/>
          <w:divBdr>
            <w:top w:val="none" w:sz="0" w:space="0" w:color="auto"/>
            <w:left w:val="none" w:sz="0" w:space="0" w:color="auto"/>
            <w:bottom w:val="none" w:sz="0" w:space="0" w:color="auto"/>
            <w:right w:val="none" w:sz="0" w:space="0" w:color="auto"/>
          </w:divBdr>
        </w:div>
        <w:div w:id="1147547950">
          <w:marLeft w:val="480"/>
          <w:marRight w:val="0"/>
          <w:marTop w:val="0"/>
          <w:marBottom w:val="0"/>
          <w:divBdr>
            <w:top w:val="none" w:sz="0" w:space="0" w:color="auto"/>
            <w:left w:val="none" w:sz="0" w:space="0" w:color="auto"/>
            <w:bottom w:val="none" w:sz="0" w:space="0" w:color="auto"/>
            <w:right w:val="none" w:sz="0" w:space="0" w:color="auto"/>
          </w:divBdr>
        </w:div>
        <w:div w:id="1284265760">
          <w:marLeft w:val="480"/>
          <w:marRight w:val="0"/>
          <w:marTop w:val="0"/>
          <w:marBottom w:val="0"/>
          <w:divBdr>
            <w:top w:val="none" w:sz="0" w:space="0" w:color="auto"/>
            <w:left w:val="none" w:sz="0" w:space="0" w:color="auto"/>
            <w:bottom w:val="none" w:sz="0" w:space="0" w:color="auto"/>
            <w:right w:val="none" w:sz="0" w:space="0" w:color="auto"/>
          </w:divBdr>
        </w:div>
        <w:div w:id="322198770">
          <w:marLeft w:val="480"/>
          <w:marRight w:val="0"/>
          <w:marTop w:val="0"/>
          <w:marBottom w:val="0"/>
          <w:divBdr>
            <w:top w:val="none" w:sz="0" w:space="0" w:color="auto"/>
            <w:left w:val="none" w:sz="0" w:space="0" w:color="auto"/>
            <w:bottom w:val="none" w:sz="0" w:space="0" w:color="auto"/>
            <w:right w:val="none" w:sz="0" w:space="0" w:color="auto"/>
          </w:divBdr>
        </w:div>
        <w:div w:id="267931267">
          <w:marLeft w:val="480"/>
          <w:marRight w:val="0"/>
          <w:marTop w:val="0"/>
          <w:marBottom w:val="0"/>
          <w:divBdr>
            <w:top w:val="none" w:sz="0" w:space="0" w:color="auto"/>
            <w:left w:val="none" w:sz="0" w:space="0" w:color="auto"/>
            <w:bottom w:val="none" w:sz="0" w:space="0" w:color="auto"/>
            <w:right w:val="none" w:sz="0" w:space="0" w:color="auto"/>
          </w:divBdr>
        </w:div>
        <w:div w:id="769280023">
          <w:marLeft w:val="480"/>
          <w:marRight w:val="0"/>
          <w:marTop w:val="0"/>
          <w:marBottom w:val="0"/>
          <w:divBdr>
            <w:top w:val="none" w:sz="0" w:space="0" w:color="auto"/>
            <w:left w:val="none" w:sz="0" w:space="0" w:color="auto"/>
            <w:bottom w:val="none" w:sz="0" w:space="0" w:color="auto"/>
            <w:right w:val="none" w:sz="0" w:space="0" w:color="auto"/>
          </w:divBdr>
        </w:div>
        <w:div w:id="1678195083">
          <w:marLeft w:val="480"/>
          <w:marRight w:val="0"/>
          <w:marTop w:val="0"/>
          <w:marBottom w:val="0"/>
          <w:divBdr>
            <w:top w:val="none" w:sz="0" w:space="0" w:color="auto"/>
            <w:left w:val="none" w:sz="0" w:space="0" w:color="auto"/>
            <w:bottom w:val="none" w:sz="0" w:space="0" w:color="auto"/>
            <w:right w:val="none" w:sz="0" w:space="0" w:color="auto"/>
          </w:divBdr>
        </w:div>
        <w:div w:id="1751003968">
          <w:marLeft w:val="480"/>
          <w:marRight w:val="0"/>
          <w:marTop w:val="0"/>
          <w:marBottom w:val="0"/>
          <w:divBdr>
            <w:top w:val="none" w:sz="0" w:space="0" w:color="auto"/>
            <w:left w:val="none" w:sz="0" w:space="0" w:color="auto"/>
            <w:bottom w:val="none" w:sz="0" w:space="0" w:color="auto"/>
            <w:right w:val="none" w:sz="0" w:space="0" w:color="auto"/>
          </w:divBdr>
        </w:div>
        <w:div w:id="2008094840">
          <w:marLeft w:val="480"/>
          <w:marRight w:val="0"/>
          <w:marTop w:val="0"/>
          <w:marBottom w:val="0"/>
          <w:divBdr>
            <w:top w:val="none" w:sz="0" w:space="0" w:color="auto"/>
            <w:left w:val="none" w:sz="0" w:space="0" w:color="auto"/>
            <w:bottom w:val="none" w:sz="0" w:space="0" w:color="auto"/>
            <w:right w:val="none" w:sz="0" w:space="0" w:color="auto"/>
          </w:divBdr>
        </w:div>
        <w:div w:id="444154411">
          <w:marLeft w:val="480"/>
          <w:marRight w:val="0"/>
          <w:marTop w:val="0"/>
          <w:marBottom w:val="0"/>
          <w:divBdr>
            <w:top w:val="none" w:sz="0" w:space="0" w:color="auto"/>
            <w:left w:val="none" w:sz="0" w:space="0" w:color="auto"/>
            <w:bottom w:val="none" w:sz="0" w:space="0" w:color="auto"/>
            <w:right w:val="none" w:sz="0" w:space="0" w:color="auto"/>
          </w:divBdr>
        </w:div>
        <w:div w:id="1961913215">
          <w:marLeft w:val="480"/>
          <w:marRight w:val="0"/>
          <w:marTop w:val="0"/>
          <w:marBottom w:val="0"/>
          <w:divBdr>
            <w:top w:val="none" w:sz="0" w:space="0" w:color="auto"/>
            <w:left w:val="none" w:sz="0" w:space="0" w:color="auto"/>
            <w:bottom w:val="none" w:sz="0" w:space="0" w:color="auto"/>
            <w:right w:val="none" w:sz="0" w:space="0" w:color="auto"/>
          </w:divBdr>
        </w:div>
        <w:div w:id="1687554780">
          <w:marLeft w:val="480"/>
          <w:marRight w:val="0"/>
          <w:marTop w:val="0"/>
          <w:marBottom w:val="0"/>
          <w:divBdr>
            <w:top w:val="none" w:sz="0" w:space="0" w:color="auto"/>
            <w:left w:val="none" w:sz="0" w:space="0" w:color="auto"/>
            <w:bottom w:val="none" w:sz="0" w:space="0" w:color="auto"/>
            <w:right w:val="none" w:sz="0" w:space="0" w:color="auto"/>
          </w:divBdr>
        </w:div>
        <w:div w:id="1914000342">
          <w:marLeft w:val="480"/>
          <w:marRight w:val="0"/>
          <w:marTop w:val="0"/>
          <w:marBottom w:val="0"/>
          <w:divBdr>
            <w:top w:val="none" w:sz="0" w:space="0" w:color="auto"/>
            <w:left w:val="none" w:sz="0" w:space="0" w:color="auto"/>
            <w:bottom w:val="none" w:sz="0" w:space="0" w:color="auto"/>
            <w:right w:val="none" w:sz="0" w:space="0" w:color="auto"/>
          </w:divBdr>
        </w:div>
        <w:div w:id="1872719590">
          <w:marLeft w:val="480"/>
          <w:marRight w:val="0"/>
          <w:marTop w:val="0"/>
          <w:marBottom w:val="0"/>
          <w:divBdr>
            <w:top w:val="none" w:sz="0" w:space="0" w:color="auto"/>
            <w:left w:val="none" w:sz="0" w:space="0" w:color="auto"/>
            <w:bottom w:val="none" w:sz="0" w:space="0" w:color="auto"/>
            <w:right w:val="none" w:sz="0" w:space="0" w:color="auto"/>
          </w:divBdr>
        </w:div>
        <w:div w:id="1474252460">
          <w:marLeft w:val="480"/>
          <w:marRight w:val="0"/>
          <w:marTop w:val="0"/>
          <w:marBottom w:val="0"/>
          <w:divBdr>
            <w:top w:val="none" w:sz="0" w:space="0" w:color="auto"/>
            <w:left w:val="none" w:sz="0" w:space="0" w:color="auto"/>
            <w:bottom w:val="none" w:sz="0" w:space="0" w:color="auto"/>
            <w:right w:val="none" w:sz="0" w:space="0" w:color="auto"/>
          </w:divBdr>
        </w:div>
        <w:div w:id="224073963">
          <w:marLeft w:val="480"/>
          <w:marRight w:val="0"/>
          <w:marTop w:val="0"/>
          <w:marBottom w:val="0"/>
          <w:divBdr>
            <w:top w:val="none" w:sz="0" w:space="0" w:color="auto"/>
            <w:left w:val="none" w:sz="0" w:space="0" w:color="auto"/>
            <w:bottom w:val="none" w:sz="0" w:space="0" w:color="auto"/>
            <w:right w:val="none" w:sz="0" w:space="0" w:color="auto"/>
          </w:divBdr>
        </w:div>
        <w:div w:id="1057169465">
          <w:marLeft w:val="480"/>
          <w:marRight w:val="0"/>
          <w:marTop w:val="0"/>
          <w:marBottom w:val="0"/>
          <w:divBdr>
            <w:top w:val="none" w:sz="0" w:space="0" w:color="auto"/>
            <w:left w:val="none" w:sz="0" w:space="0" w:color="auto"/>
            <w:bottom w:val="none" w:sz="0" w:space="0" w:color="auto"/>
            <w:right w:val="none" w:sz="0" w:space="0" w:color="auto"/>
          </w:divBdr>
        </w:div>
        <w:div w:id="1500148133">
          <w:marLeft w:val="480"/>
          <w:marRight w:val="0"/>
          <w:marTop w:val="0"/>
          <w:marBottom w:val="0"/>
          <w:divBdr>
            <w:top w:val="none" w:sz="0" w:space="0" w:color="auto"/>
            <w:left w:val="none" w:sz="0" w:space="0" w:color="auto"/>
            <w:bottom w:val="none" w:sz="0" w:space="0" w:color="auto"/>
            <w:right w:val="none" w:sz="0" w:space="0" w:color="auto"/>
          </w:divBdr>
        </w:div>
        <w:div w:id="2137214551">
          <w:marLeft w:val="480"/>
          <w:marRight w:val="0"/>
          <w:marTop w:val="0"/>
          <w:marBottom w:val="0"/>
          <w:divBdr>
            <w:top w:val="none" w:sz="0" w:space="0" w:color="auto"/>
            <w:left w:val="none" w:sz="0" w:space="0" w:color="auto"/>
            <w:bottom w:val="none" w:sz="0" w:space="0" w:color="auto"/>
            <w:right w:val="none" w:sz="0" w:space="0" w:color="auto"/>
          </w:divBdr>
        </w:div>
        <w:div w:id="533495360">
          <w:marLeft w:val="480"/>
          <w:marRight w:val="0"/>
          <w:marTop w:val="0"/>
          <w:marBottom w:val="0"/>
          <w:divBdr>
            <w:top w:val="none" w:sz="0" w:space="0" w:color="auto"/>
            <w:left w:val="none" w:sz="0" w:space="0" w:color="auto"/>
            <w:bottom w:val="none" w:sz="0" w:space="0" w:color="auto"/>
            <w:right w:val="none" w:sz="0" w:space="0" w:color="auto"/>
          </w:divBdr>
        </w:div>
        <w:div w:id="865945921">
          <w:marLeft w:val="480"/>
          <w:marRight w:val="0"/>
          <w:marTop w:val="0"/>
          <w:marBottom w:val="0"/>
          <w:divBdr>
            <w:top w:val="none" w:sz="0" w:space="0" w:color="auto"/>
            <w:left w:val="none" w:sz="0" w:space="0" w:color="auto"/>
            <w:bottom w:val="none" w:sz="0" w:space="0" w:color="auto"/>
            <w:right w:val="none" w:sz="0" w:space="0" w:color="auto"/>
          </w:divBdr>
        </w:div>
        <w:div w:id="2084721826">
          <w:marLeft w:val="480"/>
          <w:marRight w:val="0"/>
          <w:marTop w:val="0"/>
          <w:marBottom w:val="0"/>
          <w:divBdr>
            <w:top w:val="none" w:sz="0" w:space="0" w:color="auto"/>
            <w:left w:val="none" w:sz="0" w:space="0" w:color="auto"/>
            <w:bottom w:val="none" w:sz="0" w:space="0" w:color="auto"/>
            <w:right w:val="none" w:sz="0" w:space="0" w:color="auto"/>
          </w:divBdr>
        </w:div>
        <w:div w:id="1823426654">
          <w:marLeft w:val="480"/>
          <w:marRight w:val="0"/>
          <w:marTop w:val="0"/>
          <w:marBottom w:val="0"/>
          <w:divBdr>
            <w:top w:val="none" w:sz="0" w:space="0" w:color="auto"/>
            <w:left w:val="none" w:sz="0" w:space="0" w:color="auto"/>
            <w:bottom w:val="none" w:sz="0" w:space="0" w:color="auto"/>
            <w:right w:val="none" w:sz="0" w:space="0" w:color="auto"/>
          </w:divBdr>
        </w:div>
        <w:div w:id="2013945831">
          <w:marLeft w:val="480"/>
          <w:marRight w:val="0"/>
          <w:marTop w:val="0"/>
          <w:marBottom w:val="0"/>
          <w:divBdr>
            <w:top w:val="none" w:sz="0" w:space="0" w:color="auto"/>
            <w:left w:val="none" w:sz="0" w:space="0" w:color="auto"/>
            <w:bottom w:val="none" w:sz="0" w:space="0" w:color="auto"/>
            <w:right w:val="none" w:sz="0" w:space="0" w:color="auto"/>
          </w:divBdr>
        </w:div>
        <w:div w:id="604004347">
          <w:marLeft w:val="480"/>
          <w:marRight w:val="0"/>
          <w:marTop w:val="0"/>
          <w:marBottom w:val="0"/>
          <w:divBdr>
            <w:top w:val="none" w:sz="0" w:space="0" w:color="auto"/>
            <w:left w:val="none" w:sz="0" w:space="0" w:color="auto"/>
            <w:bottom w:val="none" w:sz="0" w:space="0" w:color="auto"/>
            <w:right w:val="none" w:sz="0" w:space="0" w:color="auto"/>
          </w:divBdr>
        </w:div>
        <w:div w:id="1070886647">
          <w:marLeft w:val="480"/>
          <w:marRight w:val="0"/>
          <w:marTop w:val="0"/>
          <w:marBottom w:val="0"/>
          <w:divBdr>
            <w:top w:val="none" w:sz="0" w:space="0" w:color="auto"/>
            <w:left w:val="none" w:sz="0" w:space="0" w:color="auto"/>
            <w:bottom w:val="none" w:sz="0" w:space="0" w:color="auto"/>
            <w:right w:val="none" w:sz="0" w:space="0" w:color="auto"/>
          </w:divBdr>
        </w:div>
        <w:div w:id="373042895">
          <w:marLeft w:val="480"/>
          <w:marRight w:val="0"/>
          <w:marTop w:val="0"/>
          <w:marBottom w:val="0"/>
          <w:divBdr>
            <w:top w:val="none" w:sz="0" w:space="0" w:color="auto"/>
            <w:left w:val="none" w:sz="0" w:space="0" w:color="auto"/>
            <w:bottom w:val="none" w:sz="0" w:space="0" w:color="auto"/>
            <w:right w:val="none" w:sz="0" w:space="0" w:color="auto"/>
          </w:divBdr>
        </w:div>
        <w:div w:id="109593841">
          <w:marLeft w:val="480"/>
          <w:marRight w:val="0"/>
          <w:marTop w:val="0"/>
          <w:marBottom w:val="0"/>
          <w:divBdr>
            <w:top w:val="none" w:sz="0" w:space="0" w:color="auto"/>
            <w:left w:val="none" w:sz="0" w:space="0" w:color="auto"/>
            <w:bottom w:val="none" w:sz="0" w:space="0" w:color="auto"/>
            <w:right w:val="none" w:sz="0" w:space="0" w:color="auto"/>
          </w:divBdr>
        </w:div>
        <w:div w:id="32660084">
          <w:marLeft w:val="480"/>
          <w:marRight w:val="0"/>
          <w:marTop w:val="0"/>
          <w:marBottom w:val="0"/>
          <w:divBdr>
            <w:top w:val="none" w:sz="0" w:space="0" w:color="auto"/>
            <w:left w:val="none" w:sz="0" w:space="0" w:color="auto"/>
            <w:bottom w:val="none" w:sz="0" w:space="0" w:color="auto"/>
            <w:right w:val="none" w:sz="0" w:space="0" w:color="auto"/>
          </w:divBdr>
        </w:div>
        <w:div w:id="1232887082">
          <w:marLeft w:val="480"/>
          <w:marRight w:val="0"/>
          <w:marTop w:val="0"/>
          <w:marBottom w:val="0"/>
          <w:divBdr>
            <w:top w:val="none" w:sz="0" w:space="0" w:color="auto"/>
            <w:left w:val="none" w:sz="0" w:space="0" w:color="auto"/>
            <w:bottom w:val="none" w:sz="0" w:space="0" w:color="auto"/>
            <w:right w:val="none" w:sz="0" w:space="0" w:color="auto"/>
          </w:divBdr>
        </w:div>
        <w:div w:id="932785574">
          <w:marLeft w:val="480"/>
          <w:marRight w:val="0"/>
          <w:marTop w:val="0"/>
          <w:marBottom w:val="0"/>
          <w:divBdr>
            <w:top w:val="none" w:sz="0" w:space="0" w:color="auto"/>
            <w:left w:val="none" w:sz="0" w:space="0" w:color="auto"/>
            <w:bottom w:val="none" w:sz="0" w:space="0" w:color="auto"/>
            <w:right w:val="none" w:sz="0" w:space="0" w:color="auto"/>
          </w:divBdr>
        </w:div>
        <w:div w:id="710768836">
          <w:marLeft w:val="480"/>
          <w:marRight w:val="0"/>
          <w:marTop w:val="0"/>
          <w:marBottom w:val="0"/>
          <w:divBdr>
            <w:top w:val="none" w:sz="0" w:space="0" w:color="auto"/>
            <w:left w:val="none" w:sz="0" w:space="0" w:color="auto"/>
            <w:bottom w:val="none" w:sz="0" w:space="0" w:color="auto"/>
            <w:right w:val="none" w:sz="0" w:space="0" w:color="auto"/>
          </w:divBdr>
        </w:div>
        <w:div w:id="500433539">
          <w:marLeft w:val="480"/>
          <w:marRight w:val="0"/>
          <w:marTop w:val="0"/>
          <w:marBottom w:val="0"/>
          <w:divBdr>
            <w:top w:val="none" w:sz="0" w:space="0" w:color="auto"/>
            <w:left w:val="none" w:sz="0" w:space="0" w:color="auto"/>
            <w:bottom w:val="none" w:sz="0" w:space="0" w:color="auto"/>
            <w:right w:val="none" w:sz="0" w:space="0" w:color="auto"/>
          </w:divBdr>
        </w:div>
        <w:div w:id="1243369033">
          <w:marLeft w:val="480"/>
          <w:marRight w:val="0"/>
          <w:marTop w:val="0"/>
          <w:marBottom w:val="0"/>
          <w:divBdr>
            <w:top w:val="none" w:sz="0" w:space="0" w:color="auto"/>
            <w:left w:val="none" w:sz="0" w:space="0" w:color="auto"/>
            <w:bottom w:val="none" w:sz="0" w:space="0" w:color="auto"/>
            <w:right w:val="none" w:sz="0" w:space="0" w:color="auto"/>
          </w:divBdr>
        </w:div>
        <w:div w:id="1816137438">
          <w:marLeft w:val="480"/>
          <w:marRight w:val="0"/>
          <w:marTop w:val="0"/>
          <w:marBottom w:val="0"/>
          <w:divBdr>
            <w:top w:val="none" w:sz="0" w:space="0" w:color="auto"/>
            <w:left w:val="none" w:sz="0" w:space="0" w:color="auto"/>
            <w:bottom w:val="none" w:sz="0" w:space="0" w:color="auto"/>
            <w:right w:val="none" w:sz="0" w:space="0" w:color="auto"/>
          </w:divBdr>
        </w:div>
        <w:div w:id="1511529426">
          <w:marLeft w:val="480"/>
          <w:marRight w:val="0"/>
          <w:marTop w:val="0"/>
          <w:marBottom w:val="0"/>
          <w:divBdr>
            <w:top w:val="none" w:sz="0" w:space="0" w:color="auto"/>
            <w:left w:val="none" w:sz="0" w:space="0" w:color="auto"/>
            <w:bottom w:val="none" w:sz="0" w:space="0" w:color="auto"/>
            <w:right w:val="none" w:sz="0" w:space="0" w:color="auto"/>
          </w:divBdr>
        </w:div>
        <w:div w:id="1482035761">
          <w:marLeft w:val="480"/>
          <w:marRight w:val="0"/>
          <w:marTop w:val="0"/>
          <w:marBottom w:val="0"/>
          <w:divBdr>
            <w:top w:val="none" w:sz="0" w:space="0" w:color="auto"/>
            <w:left w:val="none" w:sz="0" w:space="0" w:color="auto"/>
            <w:bottom w:val="none" w:sz="0" w:space="0" w:color="auto"/>
            <w:right w:val="none" w:sz="0" w:space="0" w:color="auto"/>
          </w:divBdr>
        </w:div>
        <w:div w:id="1590846543">
          <w:marLeft w:val="480"/>
          <w:marRight w:val="0"/>
          <w:marTop w:val="0"/>
          <w:marBottom w:val="0"/>
          <w:divBdr>
            <w:top w:val="none" w:sz="0" w:space="0" w:color="auto"/>
            <w:left w:val="none" w:sz="0" w:space="0" w:color="auto"/>
            <w:bottom w:val="none" w:sz="0" w:space="0" w:color="auto"/>
            <w:right w:val="none" w:sz="0" w:space="0" w:color="auto"/>
          </w:divBdr>
        </w:div>
        <w:div w:id="590896996">
          <w:marLeft w:val="480"/>
          <w:marRight w:val="0"/>
          <w:marTop w:val="0"/>
          <w:marBottom w:val="0"/>
          <w:divBdr>
            <w:top w:val="none" w:sz="0" w:space="0" w:color="auto"/>
            <w:left w:val="none" w:sz="0" w:space="0" w:color="auto"/>
            <w:bottom w:val="none" w:sz="0" w:space="0" w:color="auto"/>
            <w:right w:val="none" w:sz="0" w:space="0" w:color="auto"/>
          </w:divBdr>
        </w:div>
        <w:div w:id="720666239">
          <w:marLeft w:val="480"/>
          <w:marRight w:val="0"/>
          <w:marTop w:val="0"/>
          <w:marBottom w:val="0"/>
          <w:divBdr>
            <w:top w:val="none" w:sz="0" w:space="0" w:color="auto"/>
            <w:left w:val="none" w:sz="0" w:space="0" w:color="auto"/>
            <w:bottom w:val="none" w:sz="0" w:space="0" w:color="auto"/>
            <w:right w:val="none" w:sz="0" w:space="0" w:color="auto"/>
          </w:divBdr>
        </w:div>
        <w:div w:id="807476537">
          <w:marLeft w:val="480"/>
          <w:marRight w:val="0"/>
          <w:marTop w:val="0"/>
          <w:marBottom w:val="0"/>
          <w:divBdr>
            <w:top w:val="none" w:sz="0" w:space="0" w:color="auto"/>
            <w:left w:val="none" w:sz="0" w:space="0" w:color="auto"/>
            <w:bottom w:val="none" w:sz="0" w:space="0" w:color="auto"/>
            <w:right w:val="none" w:sz="0" w:space="0" w:color="auto"/>
          </w:divBdr>
        </w:div>
        <w:div w:id="639699729">
          <w:marLeft w:val="480"/>
          <w:marRight w:val="0"/>
          <w:marTop w:val="0"/>
          <w:marBottom w:val="0"/>
          <w:divBdr>
            <w:top w:val="none" w:sz="0" w:space="0" w:color="auto"/>
            <w:left w:val="none" w:sz="0" w:space="0" w:color="auto"/>
            <w:bottom w:val="none" w:sz="0" w:space="0" w:color="auto"/>
            <w:right w:val="none" w:sz="0" w:space="0" w:color="auto"/>
          </w:divBdr>
        </w:div>
        <w:div w:id="982781369">
          <w:marLeft w:val="480"/>
          <w:marRight w:val="0"/>
          <w:marTop w:val="0"/>
          <w:marBottom w:val="0"/>
          <w:divBdr>
            <w:top w:val="none" w:sz="0" w:space="0" w:color="auto"/>
            <w:left w:val="none" w:sz="0" w:space="0" w:color="auto"/>
            <w:bottom w:val="none" w:sz="0" w:space="0" w:color="auto"/>
            <w:right w:val="none" w:sz="0" w:space="0" w:color="auto"/>
          </w:divBdr>
        </w:div>
        <w:div w:id="142309171">
          <w:marLeft w:val="480"/>
          <w:marRight w:val="0"/>
          <w:marTop w:val="0"/>
          <w:marBottom w:val="0"/>
          <w:divBdr>
            <w:top w:val="none" w:sz="0" w:space="0" w:color="auto"/>
            <w:left w:val="none" w:sz="0" w:space="0" w:color="auto"/>
            <w:bottom w:val="none" w:sz="0" w:space="0" w:color="auto"/>
            <w:right w:val="none" w:sz="0" w:space="0" w:color="auto"/>
          </w:divBdr>
        </w:div>
        <w:div w:id="754782883">
          <w:marLeft w:val="480"/>
          <w:marRight w:val="0"/>
          <w:marTop w:val="0"/>
          <w:marBottom w:val="0"/>
          <w:divBdr>
            <w:top w:val="none" w:sz="0" w:space="0" w:color="auto"/>
            <w:left w:val="none" w:sz="0" w:space="0" w:color="auto"/>
            <w:bottom w:val="none" w:sz="0" w:space="0" w:color="auto"/>
            <w:right w:val="none" w:sz="0" w:space="0" w:color="auto"/>
          </w:divBdr>
        </w:div>
        <w:div w:id="189689962">
          <w:marLeft w:val="480"/>
          <w:marRight w:val="0"/>
          <w:marTop w:val="0"/>
          <w:marBottom w:val="0"/>
          <w:divBdr>
            <w:top w:val="none" w:sz="0" w:space="0" w:color="auto"/>
            <w:left w:val="none" w:sz="0" w:space="0" w:color="auto"/>
            <w:bottom w:val="none" w:sz="0" w:space="0" w:color="auto"/>
            <w:right w:val="none" w:sz="0" w:space="0" w:color="auto"/>
          </w:divBdr>
        </w:div>
        <w:div w:id="1890258952">
          <w:marLeft w:val="480"/>
          <w:marRight w:val="0"/>
          <w:marTop w:val="0"/>
          <w:marBottom w:val="0"/>
          <w:divBdr>
            <w:top w:val="none" w:sz="0" w:space="0" w:color="auto"/>
            <w:left w:val="none" w:sz="0" w:space="0" w:color="auto"/>
            <w:bottom w:val="none" w:sz="0" w:space="0" w:color="auto"/>
            <w:right w:val="none" w:sz="0" w:space="0" w:color="auto"/>
          </w:divBdr>
        </w:div>
        <w:div w:id="1835878785">
          <w:marLeft w:val="480"/>
          <w:marRight w:val="0"/>
          <w:marTop w:val="0"/>
          <w:marBottom w:val="0"/>
          <w:divBdr>
            <w:top w:val="none" w:sz="0" w:space="0" w:color="auto"/>
            <w:left w:val="none" w:sz="0" w:space="0" w:color="auto"/>
            <w:bottom w:val="none" w:sz="0" w:space="0" w:color="auto"/>
            <w:right w:val="none" w:sz="0" w:space="0" w:color="auto"/>
          </w:divBdr>
        </w:div>
        <w:div w:id="583536951">
          <w:marLeft w:val="480"/>
          <w:marRight w:val="0"/>
          <w:marTop w:val="0"/>
          <w:marBottom w:val="0"/>
          <w:divBdr>
            <w:top w:val="none" w:sz="0" w:space="0" w:color="auto"/>
            <w:left w:val="none" w:sz="0" w:space="0" w:color="auto"/>
            <w:bottom w:val="none" w:sz="0" w:space="0" w:color="auto"/>
            <w:right w:val="none" w:sz="0" w:space="0" w:color="auto"/>
          </w:divBdr>
        </w:div>
        <w:div w:id="1143698431">
          <w:marLeft w:val="480"/>
          <w:marRight w:val="0"/>
          <w:marTop w:val="0"/>
          <w:marBottom w:val="0"/>
          <w:divBdr>
            <w:top w:val="none" w:sz="0" w:space="0" w:color="auto"/>
            <w:left w:val="none" w:sz="0" w:space="0" w:color="auto"/>
            <w:bottom w:val="none" w:sz="0" w:space="0" w:color="auto"/>
            <w:right w:val="none" w:sz="0" w:space="0" w:color="auto"/>
          </w:divBdr>
        </w:div>
        <w:div w:id="2067946043">
          <w:marLeft w:val="480"/>
          <w:marRight w:val="0"/>
          <w:marTop w:val="0"/>
          <w:marBottom w:val="0"/>
          <w:divBdr>
            <w:top w:val="none" w:sz="0" w:space="0" w:color="auto"/>
            <w:left w:val="none" w:sz="0" w:space="0" w:color="auto"/>
            <w:bottom w:val="none" w:sz="0" w:space="0" w:color="auto"/>
            <w:right w:val="none" w:sz="0" w:space="0" w:color="auto"/>
          </w:divBdr>
        </w:div>
        <w:div w:id="23751775">
          <w:marLeft w:val="480"/>
          <w:marRight w:val="0"/>
          <w:marTop w:val="0"/>
          <w:marBottom w:val="0"/>
          <w:divBdr>
            <w:top w:val="none" w:sz="0" w:space="0" w:color="auto"/>
            <w:left w:val="none" w:sz="0" w:space="0" w:color="auto"/>
            <w:bottom w:val="none" w:sz="0" w:space="0" w:color="auto"/>
            <w:right w:val="none" w:sz="0" w:space="0" w:color="auto"/>
          </w:divBdr>
        </w:div>
        <w:div w:id="1450466464">
          <w:marLeft w:val="480"/>
          <w:marRight w:val="0"/>
          <w:marTop w:val="0"/>
          <w:marBottom w:val="0"/>
          <w:divBdr>
            <w:top w:val="none" w:sz="0" w:space="0" w:color="auto"/>
            <w:left w:val="none" w:sz="0" w:space="0" w:color="auto"/>
            <w:bottom w:val="none" w:sz="0" w:space="0" w:color="auto"/>
            <w:right w:val="none" w:sz="0" w:space="0" w:color="auto"/>
          </w:divBdr>
        </w:div>
        <w:div w:id="1437289277">
          <w:marLeft w:val="480"/>
          <w:marRight w:val="0"/>
          <w:marTop w:val="0"/>
          <w:marBottom w:val="0"/>
          <w:divBdr>
            <w:top w:val="none" w:sz="0" w:space="0" w:color="auto"/>
            <w:left w:val="none" w:sz="0" w:space="0" w:color="auto"/>
            <w:bottom w:val="none" w:sz="0" w:space="0" w:color="auto"/>
            <w:right w:val="none" w:sz="0" w:space="0" w:color="auto"/>
          </w:divBdr>
        </w:div>
        <w:div w:id="1282958453">
          <w:marLeft w:val="480"/>
          <w:marRight w:val="0"/>
          <w:marTop w:val="0"/>
          <w:marBottom w:val="0"/>
          <w:divBdr>
            <w:top w:val="none" w:sz="0" w:space="0" w:color="auto"/>
            <w:left w:val="none" w:sz="0" w:space="0" w:color="auto"/>
            <w:bottom w:val="none" w:sz="0" w:space="0" w:color="auto"/>
            <w:right w:val="none" w:sz="0" w:space="0" w:color="auto"/>
          </w:divBdr>
        </w:div>
        <w:div w:id="560333094">
          <w:marLeft w:val="480"/>
          <w:marRight w:val="0"/>
          <w:marTop w:val="0"/>
          <w:marBottom w:val="0"/>
          <w:divBdr>
            <w:top w:val="none" w:sz="0" w:space="0" w:color="auto"/>
            <w:left w:val="none" w:sz="0" w:space="0" w:color="auto"/>
            <w:bottom w:val="none" w:sz="0" w:space="0" w:color="auto"/>
            <w:right w:val="none" w:sz="0" w:space="0" w:color="auto"/>
          </w:divBdr>
        </w:div>
        <w:div w:id="1616449325">
          <w:marLeft w:val="480"/>
          <w:marRight w:val="0"/>
          <w:marTop w:val="0"/>
          <w:marBottom w:val="0"/>
          <w:divBdr>
            <w:top w:val="none" w:sz="0" w:space="0" w:color="auto"/>
            <w:left w:val="none" w:sz="0" w:space="0" w:color="auto"/>
            <w:bottom w:val="none" w:sz="0" w:space="0" w:color="auto"/>
            <w:right w:val="none" w:sz="0" w:space="0" w:color="auto"/>
          </w:divBdr>
        </w:div>
        <w:div w:id="2042784813">
          <w:marLeft w:val="480"/>
          <w:marRight w:val="0"/>
          <w:marTop w:val="0"/>
          <w:marBottom w:val="0"/>
          <w:divBdr>
            <w:top w:val="none" w:sz="0" w:space="0" w:color="auto"/>
            <w:left w:val="none" w:sz="0" w:space="0" w:color="auto"/>
            <w:bottom w:val="none" w:sz="0" w:space="0" w:color="auto"/>
            <w:right w:val="none" w:sz="0" w:space="0" w:color="auto"/>
          </w:divBdr>
        </w:div>
        <w:div w:id="218521582">
          <w:marLeft w:val="480"/>
          <w:marRight w:val="0"/>
          <w:marTop w:val="0"/>
          <w:marBottom w:val="0"/>
          <w:divBdr>
            <w:top w:val="none" w:sz="0" w:space="0" w:color="auto"/>
            <w:left w:val="none" w:sz="0" w:space="0" w:color="auto"/>
            <w:bottom w:val="none" w:sz="0" w:space="0" w:color="auto"/>
            <w:right w:val="none" w:sz="0" w:space="0" w:color="auto"/>
          </w:divBdr>
        </w:div>
        <w:div w:id="341711339">
          <w:marLeft w:val="480"/>
          <w:marRight w:val="0"/>
          <w:marTop w:val="0"/>
          <w:marBottom w:val="0"/>
          <w:divBdr>
            <w:top w:val="none" w:sz="0" w:space="0" w:color="auto"/>
            <w:left w:val="none" w:sz="0" w:space="0" w:color="auto"/>
            <w:bottom w:val="none" w:sz="0" w:space="0" w:color="auto"/>
            <w:right w:val="none" w:sz="0" w:space="0" w:color="auto"/>
          </w:divBdr>
        </w:div>
        <w:div w:id="1531913110">
          <w:marLeft w:val="480"/>
          <w:marRight w:val="0"/>
          <w:marTop w:val="0"/>
          <w:marBottom w:val="0"/>
          <w:divBdr>
            <w:top w:val="none" w:sz="0" w:space="0" w:color="auto"/>
            <w:left w:val="none" w:sz="0" w:space="0" w:color="auto"/>
            <w:bottom w:val="none" w:sz="0" w:space="0" w:color="auto"/>
            <w:right w:val="none" w:sz="0" w:space="0" w:color="auto"/>
          </w:divBdr>
        </w:div>
        <w:div w:id="1946108379">
          <w:marLeft w:val="480"/>
          <w:marRight w:val="0"/>
          <w:marTop w:val="0"/>
          <w:marBottom w:val="0"/>
          <w:divBdr>
            <w:top w:val="none" w:sz="0" w:space="0" w:color="auto"/>
            <w:left w:val="none" w:sz="0" w:space="0" w:color="auto"/>
            <w:bottom w:val="none" w:sz="0" w:space="0" w:color="auto"/>
            <w:right w:val="none" w:sz="0" w:space="0" w:color="auto"/>
          </w:divBdr>
        </w:div>
        <w:div w:id="1389458304">
          <w:marLeft w:val="480"/>
          <w:marRight w:val="0"/>
          <w:marTop w:val="0"/>
          <w:marBottom w:val="0"/>
          <w:divBdr>
            <w:top w:val="none" w:sz="0" w:space="0" w:color="auto"/>
            <w:left w:val="none" w:sz="0" w:space="0" w:color="auto"/>
            <w:bottom w:val="none" w:sz="0" w:space="0" w:color="auto"/>
            <w:right w:val="none" w:sz="0" w:space="0" w:color="auto"/>
          </w:divBdr>
        </w:div>
        <w:div w:id="271473003">
          <w:marLeft w:val="480"/>
          <w:marRight w:val="0"/>
          <w:marTop w:val="0"/>
          <w:marBottom w:val="0"/>
          <w:divBdr>
            <w:top w:val="none" w:sz="0" w:space="0" w:color="auto"/>
            <w:left w:val="none" w:sz="0" w:space="0" w:color="auto"/>
            <w:bottom w:val="none" w:sz="0" w:space="0" w:color="auto"/>
            <w:right w:val="none" w:sz="0" w:space="0" w:color="auto"/>
          </w:divBdr>
        </w:div>
        <w:div w:id="1827554364">
          <w:marLeft w:val="480"/>
          <w:marRight w:val="0"/>
          <w:marTop w:val="0"/>
          <w:marBottom w:val="0"/>
          <w:divBdr>
            <w:top w:val="none" w:sz="0" w:space="0" w:color="auto"/>
            <w:left w:val="none" w:sz="0" w:space="0" w:color="auto"/>
            <w:bottom w:val="none" w:sz="0" w:space="0" w:color="auto"/>
            <w:right w:val="none" w:sz="0" w:space="0" w:color="auto"/>
          </w:divBdr>
        </w:div>
        <w:div w:id="2083944121">
          <w:marLeft w:val="480"/>
          <w:marRight w:val="0"/>
          <w:marTop w:val="0"/>
          <w:marBottom w:val="0"/>
          <w:divBdr>
            <w:top w:val="none" w:sz="0" w:space="0" w:color="auto"/>
            <w:left w:val="none" w:sz="0" w:space="0" w:color="auto"/>
            <w:bottom w:val="none" w:sz="0" w:space="0" w:color="auto"/>
            <w:right w:val="none" w:sz="0" w:space="0" w:color="auto"/>
          </w:divBdr>
        </w:div>
        <w:div w:id="1149401628">
          <w:marLeft w:val="480"/>
          <w:marRight w:val="0"/>
          <w:marTop w:val="0"/>
          <w:marBottom w:val="0"/>
          <w:divBdr>
            <w:top w:val="none" w:sz="0" w:space="0" w:color="auto"/>
            <w:left w:val="none" w:sz="0" w:space="0" w:color="auto"/>
            <w:bottom w:val="none" w:sz="0" w:space="0" w:color="auto"/>
            <w:right w:val="none" w:sz="0" w:space="0" w:color="auto"/>
          </w:divBdr>
        </w:div>
        <w:div w:id="1905869132">
          <w:marLeft w:val="480"/>
          <w:marRight w:val="0"/>
          <w:marTop w:val="0"/>
          <w:marBottom w:val="0"/>
          <w:divBdr>
            <w:top w:val="none" w:sz="0" w:space="0" w:color="auto"/>
            <w:left w:val="none" w:sz="0" w:space="0" w:color="auto"/>
            <w:bottom w:val="none" w:sz="0" w:space="0" w:color="auto"/>
            <w:right w:val="none" w:sz="0" w:space="0" w:color="auto"/>
          </w:divBdr>
        </w:div>
        <w:div w:id="1546067858">
          <w:marLeft w:val="480"/>
          <w:marRight w:val="0"/>
          <w:marTop w:val="0"/>
          <w:marBottom w:val="0"/>
          <w:divBdr>
            <w:top w:val="none" w:sz="0" w:space="0" w:color="auto"/>
            <w:left w:val="none" w:sz="0" w:space="0" w:color="auto"/>
            <w:bottom w:val="none" w:sz="0" w:space="0" w:color="auto"/>
            <w:right w:val="none" w:sz="0" w:space="0" w:color="auto"/>
          </w:divBdr>
        </w:div>
        <w:div w:id="1241450136">
          <w:marLeft w:val="480"/>
          <w:marRight w:val="0"/>
          <w:marTop w:val="0"/>
          <w:marBottom w:val="0"/>
          <w:divBdr>
            <w:top w:val="none" w:sz="0" w:space="0" w:color="auto"/>
            <w:left w:val="none" w:sz="0" w:space="0" w:color="auto"/>
            <w:bottom w:val="none" w:sz="0" w:space="0" w:color="auto"/>
            <w:right w:val="none" w:sz="0" w:space="0" w:color="auto"/>
          </w:divBdr>
        </w:div>
        <w:div w:id="462040272">
          <w:marLeft w:val="480"/>
          <w:marRight w:val="0"/>
          <w:marTop w:val="0"/>
          <w:marBottom w:val="0"/>
          <w:divBdr>
            <w:top w:val="none" w:sz="0" w:space="0" w:color="auto"/>
            <w:left w:val="none" w:sz="0" w:space="0" w:color="auto"/>
            <w:bottom w:val="none" w:sz="0" w:space="0" w:color="auto"/>
            <w:right w:val="none" w:sz="0" w:space="0" w:color="auto"/>
          </w:divBdr>
        </w:div>
        <w:div w:id="577176174">
          <w:marLeft w:val="480"/>
          <w:marRight w:val="0"/>
          <w:marTop w:val="0"/>
          <w:marBottom w:val="0"/>
          <w:divBdr>
            <w:top w:val="none" w:sz="0" w:space="0" w:color="auto"/>
            <w:left w:val="none" w:sz="0" w:space="0" w:color="auto"/>
            <w:bottom w:val="none" w:sz="0" w:space="0" w:color="auto"/>
            <w:right w:val="none" w:sz="0" w:space="0" w:color="auto"/>
          </w:divBdr>
        </w:div>
        <w:div w:id="246423596">
          <w:marLeft w:val="480"/>
          <w:marRight w:val="0"/>
          <w:marTop w:val="0"/>
          <w:marBottom w:val="0"/>
          <w:divBdr>
            <w:top w:val="none" w:sz="0" w:space="0" w:color="auto"/>
            <w:left w:val="none" w:sz="0" w:space="0" w:color="auto"/>
            <w:bottom w:val="none" w:sz="0" w:space="0" w:color="auto"/>
            <w:right w:val="none" w:sz="0" w:space="0" w:color="auto"/>
          </w:divBdr>
        </w:div>
        <w:div w:id="610862346">
          <w:marLeft w:val="480"/>
          <w:marRight w:val="0"/>
          <w:marTop w:val="0"/>
          <w:marBottom w:val="0"/>
          <w:divBdr>
            <w:top w:val="none" w:sz="0" w:space="0" w:color="auto"/>
            <w:left w:val="none" w:sz="0" w:space="0" w:color="auto"/>
            <w:bottom w:val="none" w:sz="0" w:space="0" w:color="auto"/>
            <w:right w:val="none" w:sz="0" w:space="0" w:color="auto"/>
          </w:divBdr>
        </w:div>
        <w:div w:id="441342788">
          <w:marLeft w:val="480"/>
          <w:marRight w:val="0"/>
          <w:marTop w:val="0"/>
          <w:marBottom w:val="0"/>
          <w:divBdr>
            <w:top w:val="none" w:sz="0" w:space="0" w:color="auto"/>
            <w:left w:val="none" w:sz="0" w:space="0" w:color="auto"/>
            <w:bottom w:val="none" w:sz="0" w:space="0" w:color="auto"/>
            <w:right w:val="none" w:sz="0" w:space="0" w:color="auto"/>
          </w:divBdr>
        </w:div>
        <w:div w:id="511333742">
          <w:marLeft w:val="480"/>
          <w:marRight w:val="0"/>
          <w:marTop w:val="0"/>
          <w:marBottom w:val="0"/>
          <w:divBdr>
            <w:top w:val="none" w:sz="0" w:space="0" w:color="auto"/>
            <w:left w:val="none" w:sz="0" w:space="0" w:color="auto"/>
            <w:bottom w:val="none" w:sz="0" w:space="0" w:color="auto"/>
            <w:right w:val="none" w:sz="0" w:space="0" w:color="auto"/>
          </w:divBdr>
        </w:div>
        <w:div w:id="65497936">
          <w:marLeft w:val="480"/>
          <w:marRight w:val="0"/>
          <w:marTop w:val="0"/>
          <w:marBottom w:val="0"/>
          <w:divBdr>
            <w:top w:val="none" w:sz="0" w:space="0" w:color="auto"/>
            <w:left w:val="none" w:sz="0" w:space="0" w:color="auto"/>
            <w:bottom w:val="none" w:sz="0" w:space="0" w:color="auto"/>
            <w:right w:val="none" w:sz="0" w:space="0" w:color="auto"/>
          </w:divBdr>
        </w:div>
      </w:divsChild>
    </w:div>
    <w:div w:id="84307062">
      <w:bodyDiv w:val="1"/>
      <w:marLeft w:val="0"/>
      <w:marRight w:val="0"/>
      <w:marTop w:val="0"/>
      <w:marBottom w:val="0"/>
      <w:divBdr>
        <w:top w:val="none" w:sz="0" w:space="0" w:color="auto"/>
        <w:left w:val="none" w:sz="0" w:space="0" w:color="auto"/>
        <w:bottom w:val="none" w:sz="0" w:space="0" w:color="auto"/>
        <w:right w:val="none" w:sz="0" w:space="0" w:color="auto"/>
      </w:divBdr>
    </w:div>
    <w:div w:id="84961607">
      <w:bodyDiv w:val="1"/>
      <w:marLeft w:val="0"/>
      <w:marRight w:val="0"/>
      <w:marTop w:val="0"/>
      <w:marBottom w:val="0"/>
      <w:divBdr>
        <w:top w:val="none" w:sz="0" w:space="0" w:color="auto"/>
        <w:left w:val="none" w:sz="0" w:space="0" w:color="auto"/>
        <w:bottom w:val="none" w:sz="0" w:space="0" w:color="auto"/>
        <w:right w:val="none" w:sz="0" w:space="0" w:color="auto"/>
      </w:divBdr>
    </w:div>
    <w:div w:id="86387947">
      <w:bodyDiv w:val="1"/>
      <w:marLeft w:val="0"/>
      <w:marRight w:val="0"/>
      <w:marTop w:val="0"/>
      <w:marBottom w:val="0"/>
      <w:divBdr>
        <w:top w:val="none" w:sz="0" w:space="0" w:color="auto"/>
        <w:left w:val="none" w:sz="0" w:space="0" w:color="auto"/>
        <w:bottom w:val="none" w:sz="0" w:space="0" w:color="auto"/>
        <w:right w:val="none" w:sz="0" w:space="0" w:color="auto"/>
      </w:divBdr>
    </w:div>
    <w:div w:id="88088342">
      <w:bodyDiv w:val="1"/>
      <w:marLeft w:val="0"/>
      <w:marRight w:val="0"/>
      <w:marTop w:val="0"/>
      <w:marBottom w:val="0"/>
      <w:divBdr>
        <w:top w:val="none" w:sz="0" w:space="0" w:color="auto"/>
        <w:left w:val="none" w:sz="0" w:space="0" w:color="auto"/>
        <w:bottom w:val="none" w:sz="0" w:space="0" w:color="auto"/>
        <w:right w:val="none" w:sz="0" w:space="0" w:color="auto"/>
      </w:divBdr>
    </w:div>
    <w:div w:id="88741143">
      <w:bodyDiv w:val="1"/>
      <w:marLeft w:val="0"/>
      <w:marRight w:val="0"/>
      <w:marTop w:val="0"/>
      <w:marBottom w:val="0"/>
      <w:divBdr>
        <w:top w:val="none" w:sz="0" w:space="0" w:color="auto"/>
        <w:left w:val="none" w:sz="0" w:space="0" w:color="auto"/>
        <w:bottom w:val="none" w:sz="0" w:space="0" w:color="auto"/>
        <w:right w:val="none" w:sz="0" w:space="0" w:color="auto"/>
      </w:divBdr>
    </w:div>
    <w:div w:id="88889693">
      <w:bodyDiv w:val="1"/>
      <w:marLeft w:val="0"/>
      <w:marRight w:val="0"/>
      <w:marTop w:val="0"/>
      <w:marBottom w:val="0"/>
      <w:divBdr>
        <w:top w:val="none" w:sz="0" w:space="0" w:color="auto"/>
        <w:left w:val="none" w:sz="0" w:space="0" w:color="auto"/>
        <w:bottom w:val="none" w:sz="0" w:space="0" w:color="auto"/>
        <w:right w:val="none" w:sz="0" w:space="0" w:color="auto"/>
      </w:divBdr>
    </w:div>
    <w:div w:id="88939669">
      <w:bodyDiv w:val="1"/>
      <w:marLeft w:val="0"/>
      <w:marRight w:val="0"/>
      <w:marTop w:val="0"/>
      <w:marBottom w:val="0"/>
      <w:divBdr>
        <w:top w:val="none" w:sz="0" w:space="0" w:color="auto"/>
        <w:left w:val="none" w:sz="0" w:space="0" w:color="auto"/>
        <w:bottom w:val="none" w:sz="0" w:space="0" w:color="auto"/>
        <w:right w:val="none" w:sz="0" w:space="0" w:color="auto"/>
      </w:divBdr>
    </w:div>
    <w:div w:id="89130947">
      <w:bodyDiv w:val="1"/>
      <w:marLeft w:val="0"/>
      <w:marRight w:val="0"/>
      <w:marTop w:val="0"/>
      <w:marBottom w:val="0"/>
      <w:divBdr>
        <w:top w:val="none" w:sz="0" w:space="0" w:color="auto"/>
        <w:left w:val="none" w:sz="0" w:space="0" w:color="auto"/>
        <w:bottom w:val="none" w:sz="0" w:space="0" w:color="auto"/>
        <w:right w:val="none" w:sz="0" w:space="0" w:color="auto"/>
      </w:divBdr>
    </w:div>
    <w:div w:id="89200970">
      <w:bodyDiv w:val="1"/>
      <w:marLeft w:val="0"/>
      <w:marRight w:val="0"/>
      <w:marTop w:val="0"/>
      <w:marBottom w:val="0"/>
      <w:divBdr>
        <w:top w:val="none" w:sz="0" w:space="0" w:color="auto"/>
        <w:left w:val="none" w:sz="0" w:space="0" w:color="auto"/>
        <w:bottom w:val="none" w:sz="0" w:space="0" w:color="auto"/>
        <w:right w:val="none" w:sz="0" w:space="0" w:color="auto"/>
      </w:divBdr>
    </w:div>
    <w:div w:id="89473127">
      <w:bodyDiv w:val="1"/>
      <w:marLeft w:val="0"/>
      <w:marRight w:val="0"/>
      <w:marTop w:val="0"/>
      <w:marBottom w:val="0"/>
      <w:divBdr>
        <w:top w:val="none" w:sz="0" w:space="0" w:color="auto"/>
        <w:left w:val="none" w:sz="0" w:space="0" w:color="auto"/>
        <w:bottom w:val="none" w:sz="0" w:space="0" w:color="auto"/>
        <w:right w:val="none" w:sz="0" w:space="0" w:color="auto"/>
      </w:divBdr>
    </w:div>
    <w:div w:id="89856450">
      <w:bodyDiv w:val="1"/>
      <w:marLeft w:val="0"/>
      <w:marRight w:val="0"/>
      <w:marTop w:val="0"/>
      <w:marBottom w:val="0"/>
      <w:divBdr>
        <w:top w:val="none" w:sz="0" w:space="0" w:color="auto"/>
        <w:left w:val="none" w:sz="0" w:space="0" w:color="auto"/>
        <w:bottom w:val="none" w:sz="0" w:space="0" w:color="auto"/>
        <w:right w:val="none" w:sz="0" w:space="0" w:color="auto"/>
      </w:divBdr>
    </w:div>
    <w:div w:id="90274152">
      <w:bodyDiv w:val="1"/>
      <w:marLeft w:val="0"/>
      <w:marRight w:val="0"/>
      <w:marTop w:val="0"/>
      <w:marBottom w:val="0"/>
      <w:divBdr>
        <w:top w:val="none" w:sz="0" w:space="0" w:color="auto"/>
        <w:left w:val="none" w:sz="0" w:space="0" w:color="auto"/>
        <w:bottom w:val="none" w:sz="0" w:space="0" w:color="auto"/>
        <w:right w:val="none" w:sz="0" w:space="0" w:color="auto"/>
      </w:divBdr>
    </w:div>
    <w:div w:id="90664887">
      <w:bodyDiv w:val="1"/>
      <w:marLeft w:val="0"/>
      <w:marRight w:val="0"/>
      <w:marTop w:val="0"/>
      <w:marBottom w:val="0"/>
      <w:divBdr>
        <w:top w:val="none" w:sz="0" w:space="0" w:color="auto"/>
        <w:left w:val="none" w:sz="0" w:space="0" w:color="auto"/>
        <w:bottom w:val="none" w:sz="0" w:space="0" w:color="auto"/>
        <w:right w:val="none" w:sz="0" w:space="0" w:color="auto"/>
      </w:divBdr>
    </w:div>
    <w:div w:id="92212696">
      <w:bodyDiv w:val="1"/>
      <w:marLeft w:val="0"/>
      <w:marRight w:val="0"/>
      <w:marTop w:val="0"/>
      <w:marBottom w:val="0"/>
      <w:divBdr>
        <w:top w:val="none" w:sz="0" w:space="0" w:color="auto"/>
        <w:left w:val="none" w:sz="0" w:space="0" w:color="auto"/>
        <w:bottom w:val="none" w:sz="0" w:space="0" w:color="auto"/>
        <w:right w:val="none" w:sz="0" w:space="0" w:color="auto"/>
      </w:divBdr>
    </w:div>
    <w:div w:id="92432931">
      <w:bodyDiv w:val="1"/>
      <w:marLeft w:val="0"/>
      <w:marRight w:val="0"/>
      <w:marTop w:val="0"/>
      <w:marBottom w:val="0"/>
      <w:divBdr>
        <w:top w:val="none" w:sz="0" w:space="0" w:color="auto"/>
        <w:left w:val="none" w:sz="0" w:space="0" w:color="auto"/>
        <w:bottom w:val="none" w:sz="0" w:space="0" w:color="auto"/>
        <w:right w:val="none" w:sz="0" w:space="0" w:color="auto"/>
      </w:divBdr>
    </w:div>
    <w:div w:id="92825163">
      <w:bodyDiv w:val="1"/>
      <w:marLeft w:val="0"/>
      <w:marRight w:val="0"/>
      <w:marTop w:val="0"/>
      <w:marBottom w:val="0"/>
      <w:divBdr>
        <w:top w:val="none" w:sz="0" w:space="0" w:color="auto"/>
        <w:left w:val="none" w:sz="0" w:space="0" w:color="auto"/>
        <w:bottom w:val="none" w:sz="0" w:space="0" w:color="auto"/>
        <w:right w:val="none" w:sz="0" w:space="0" w:color="auto"/>
      </w:divBdr>
    </w:div>
    <w:div w:id="93133426">
      <w:bodyDiv w:val="1"/>
      <w:marLeft w:val="0"/>
      <w:marRight w:val="0"/>
      <w:marTop w:val="0"/>
      <w:marBottom w:val="0"/>
      <w:divBdr>
        <w:top w:val="none" w:sz="0" w:space="0" w:color="auto"/>
        <w:left w:val="none" w:sz="0" w:space="0" w:color="auto"/>
        <w:bottom w:val="none" w:sz="0" w:space="0" w:color="auto"/>
        <w:right w:val="none" w:sz="0" w:space="0" w:color="auto"/>
      </w:divBdr>
    </w:div>
    <w:div w:id="94182092">
      <w:bodyDiv w:val="1"/>
      <w:marLeft w:val="0"/>
      <w:marRight w:val="0"/>
      <w:marTop w:val="0"/>
      <w:marBottom w:val="0"/>
      <w:divBdr>
        <w:top w:val="none" w:sz="0" w:space="0" w:color="auto"/>
        <w:left w:val="none" w:sz="0" w:space="0" w:color="auto"/>
        <w:bottom w:val="none" w:sz="0" w:space="0" w:color="auto"/>
        <w:right w:val="none" w:sz="0" w:space="0" w:color="auto"/>
      </w:divBdr>
    </w:div>
    <w:div w:id="94597987">
      <w:bodyDiv w:val="1"/>
      <w:marLeft w:val="0"/>
      <w:marRight w:val="0"/>
      <w:marTop w:val="0"/>
      <w:marBottom w:val="0"/>
      <w:divBdr>
        <w:top w:val="none" w:sz="0" w:space="0" w:color="auto"/>
        <w:left w:val="none" w:sz="0" w:space="0" w:color="auto"/>
        <w:bottom w:val="none" w:sz="0" w:space="0" w:color="auto"/>
        <w:right w:val="none" w:sz="0" w:space="0" w:color="auto"/>
      </w:divBdr>
    </w:div>
    <w:div w:id="95366688">
      <w:bodyDiv w:val="1"/>
      <w:marLeft w:val="0"/>
      <w:marRight w:val="0"/>
      <w:marTop w:val="0"/>
      <w:marBottom w:val="0"/>
      <w:divBdr>
        <w:top w:val="none" w:sz="0" w:space="0" w:color="auto"/>
        <w:left w:val="none" w:sz="0" w:space="0" w:color="auto"/>
        <w:bottom w:val="none" w:sz="0" w:space="0" w:color="auto"/>
        <w:right w:val="none" w:sz="0" w:space="0" w:color="auto"/>
      </w:divBdr>
    </w:div>
    <w:div w:id="95711876">
      <w:bodyDiv w:val="1"/>
      <w:marLeft w:val="0"/>
      <w:marRight w:val="0"/>
      <w:marTop w:val="0"/>
      <w:marBottom w:val="0"/>
      <w:divBdr>
        <w:top w:val="none" w:sz="0" w:space="0" w:color="auto"/>
        <w:left w:val="none" w:sz="0" w:space="0" w:color="auto"/>
        <w:bottom w:val="none" w:sz="0" w:space="0" w:color="auto"/>
        <w:right w:val="none" w:sz="0" w:space="0" w:color="auto"/>
      </w:divBdr>
    </w:div>
    <w:div w:id="96220175">
      <w:bodyDiv w:val="1"/>
      <w:marLeft w:val="0"/>
      <w:marRight w:val="0"/>
      <w:marTop w:val="0"/>
      <w:marBottom w:val="0"/>
      <w:divBdr>
        <w:top w:val="none" w:sz="0" w:space="0" w:color="auto"/>
        <w:left w:val="none" w:sz="0" w:space="0" w:color="auto"/>
        <w:bottom w:val="none" w:sz="0" w:space="0" w:color="auto"/>
        <w:right w:val="none" w:sz="0" w:space="0" w:color="auto"/>
      </w:divBdr>
    </w:div>
    <w:div w:id="96368782">
      <w:bodyDiv w:val="1"/>
      <w:marLeft w:val="0"/>
      <w:marRight w:val="0"/>
      <w:marTop w:val="0"/>
      <w:marBottom w:val="0"/>
      <w:divBdr>
        <w:top w:val="none" w:sz="0" w:space="0" w:color="auto"/>
        <w:left w:val="none" w:sz="0" w:space="0" w:color="auto"/>
        <w:bottom w:val="none" w:sz="0" w:space="0" w:color="auto"/>
        <w:right w:val="none" w:sz="0" w:space="0" w:color="auto"/>
      </w:divBdr>
    </w:div>
    <w:div w:id="97414184">
      <w:bodyDiv w:val="1"/>
      <w:marLeft w:val="0"/>
      <w:marRight w:val="0"/>
      <w:marTop w:val="0"/>
      <w:marBottom w:val="0"/>
      <w:divBdr>
        <w:top w:val="none" w:sz="0" w:space="0" w:color="auto"/>
        <w:left w:val="none" w:sz="0" w:space="0" w:color="auto"/>
        <w:bottom w:val="none" w:sz="0" w:space="0" w:color="auto"/>
        <w:right w:val="none" w:sz="0" w:space="0" w:color="auto"/>
      </w:divBdr>
    </w:div>
    <w:div w:id="97722346">
      <w:bodyDiv w:val="1"/>
      <w:marLeft w:val="0"/>
      <w:marRight w:val="0"/>
      <w:marTop w:val="0"/>
      <w:marBottom w:val="0"/>
      <w:divBdr>
        <w:top w:val="none" w:sz="0" w:space="0" w:color="auto"/>
        <w:left w:val="none" w:sz="0" w:space="0" w:color="auto"/>
        <w:bottom w:val="none" w:sz="0" w:space="0" w:color="auto"/>
        <w:right w:val="none" w:sz="0" w:space="0" w:color="auto"/>
      </w:divBdr>
    </w:div>
    <w:div w:id="99960953">
      <w:bodyDiv w:val="1"/>
      <w:marLeft w:val="0"/>
      <w:marRight w:val="0"/>
      <w:marTop w:val="0"/>
      <w:marBottom w:val="0"/>
      <w:divBdr>
        <w:top w:val="none" w:sz="0" w:space="0" w:color="auto"/>
        <w:left w:val="none" w:sz="0" w:space="0" w:color="auto"/>
        <w:bottom w:val="none" w:sz="0" w:space="0" w:color="auto"/>
        <w:right w:val="none" w:sz="0" w:space="0" w:color="auto"/>
      </w:divBdr>
    </w:div>
    <w:div w:id="100346812">
      <w:bodyDiv w:val="1"/>
      <w:marLeft w:val="0"/>
      <w:marRight w:val="0"/>
      <w:marTop w:val="0"/>
      <w:marBottom w:val="0"/>
      <w:divBdr>
        <w:top w:val="none" w:sz="0" w:space="0" w:color="auto"/>
        <w:left w:val="none" w:sz="0" w:space="0" w:color="auto"/>
        <w:bottom w:val="none" w:sz="0" w:space="0" w:color="auto"/>
        <w:right w:val="none" w:sz="0" w:space="0" w:color="auto"/>
      </w:divBdr>
    </w:div>
    <w:div w:id="101267505">
      <w:bodyDiv w:val="1"/>
      <w:marLeft w:val="0"/>
      <w:marRight w:val="0"/>
      <w:marTop w:val="0"/>
      <w:marBottom w:val="0"/>
      <w:divBdr>
        <w:top w:val="none" w:sz="0" w:space="0" w:color="auto"/>
        <w:left w:val="none" w:sz="0" w:space="0" w:color="auto"/>
        <w:bottom w:val="none" w:sz="0" w:space="0" w:color="auto"/>
        <w:right w:val="none" w:sz="0" w:space="0" w:color="auto"/>
      </w:divBdr>
    </w:div>
    <w:div w:id="101583168">
      <w:bodyDiv w:val="1"/>
      <w:marLeft w:val="0"/>
      <w:marRight w:val="0"/>
      <w:marTop w:val="0"/>
      <w:marBottom w:val="0"/>
      <w:divBdr>
        <w:top w:val="none" w:sz="0" w:space="0" w:color="auto"/>
        <w:left w:val="none" w:sz="0" w:space="0" w:color="auto"/>
        <w:bottom w:val="none" w:sz="0" w:space="0" w:color="auto"/>
        <w:right w:val="none" w:sz="0" w:space="0" w:color="auto"/>
      </w:divBdr>
    </w:div>
    <w:div w:id="102700580">
      <w:bodyDiv w:val="1"/>
      <w:marLeft w:val="0"/>
      <w:marRight w:val="0"/>
      <w:marTop w:val="0"/>
      <w:marBottom w:val="0"/>
      <w:divBdr>
        <w:top w:val="none" w:sz="0" w:space="0" w:color="auto"/>
        <w:left w:val="none" w:sz="0" w:space="0" w:color="auto"/>
        <w:bottom w:val="none" w:sz="0" w:space="0" w:color="auto"/>
        <w:right w:val="none" w:sz="0" w:space="0" w:color="auto"/>
      </w:divBdr>
    </w:div>
    <w:div w:id="103111325">
      <w:bodyDiv w:val="1"/>
      <w:marLeft w:val="0"/>
      <w:marRight w:val="0"/>
      <w:marTop w:val="0"/>
      <w:marBottom w:val="0"/>
      <w:divBdr>
        <w:top w:val="none" w:sz="0" w:space="0" w:color="auto"/>
        <w:left w:val="none" w:sz="0" w:space="0" w:color="auto"/>
        <w:bottom w:val="none" w:sz="0" w:space="0" w:color="auto"/>
        <w:right w:val="none" w:sz="0" w:space="0" w:color="auto"/>
      </w:divBdr>
    </w:div>
    <w:div w:id="103423109">
      <w:bodyDiv w:val="1"/>
      <w:marLeft w:val="0"/>
      <w:marRight w:val="0"/>
      <w:marTop w:val="0"/>
      <w:marBottom w:val="0"/>
      <w:divBdr>
        <w:top w:val="none" w:sz="0" w:space="0" w:color="auto"/>
        <w:left w:val="none" w:sz="0" w:space="0" w:color="auto"/>
        <w:bottom w:val="none" w:sz="0" w:space="0" w:color="auto"/>
        <w:right w:val="none" w:sz="0" w:space="0" w:color="auto"/>
      </w:divBdr>
    </w:div>
    <w:div w:id="107433510">
      <w:bodyDiv w:val="1"/>
      <w:marLeft w:val="0"/>
      <w:marRight w:val="0"/>
      <w:marTop w:val="0"/>
      <w:marBottom w:val="0"/>
      <w:divBdr>
        <w:top w:val="none" w:sz="0" w:space="0" w:color="auto"/>
        <w:left w:val="none" w:sz="0" w:space="0" w:color="auto"/>
        <w:bottom w:val="none" w:sz="0" w:space="0" w:color="auto"/>
        <w:right w:val="none" w:sz="0" w:space="0" w:color="auto"/>
      </w:divBdr>
    </w:div>
    <w:div w:id="107507978">
      <w:bodyDiv w:val="1"/>
      <w:marLeft w:val="0"/>
      <w:marRight w:val="0"/>
      <w:marTop w:val="0"/>
      <w:marBottom w:val="0"/>
      <w:divBdr>
        <w:top w:val="none" w:sz="0" w:space="0" w:color="auto"/>
        <w:left w:val="none" w:sz="0" w:space="0" w:color="auto"/>
        <w:bottom w:val="none" w:sz="0" w:space="0" w:color="auto"/>
        <w:right w:val="none" w:sz="0" w:space="0" w:color="auto"/>
      </w:divBdr>
    </w:div>
    <w:div w:id="108401030">
      <w:bodyDiv w:val="1"/>
      <w:marLeft w:val="0"/>
      <w:marRight w:val="0"/>
      <w:marTop w:val="0"/>
      <w:marBottom w:val="0"/>
      <w:divBdr>
        <w:top w:val="none" w:sz="0" w:space="0" w:color="auto"/>
        <w:left w:val="none" w:sz="0" w:space="0" w:color="auto"/>
        <w:bottom w:val="none" w:sz="0" w:space="0" w:color="auto"/>
        <w:right w:val="none" w:sz="0" w:space="0" w:color="auto"/>
      </w:divBdr>
    </w:div>
    <w:div w:id="109321358">
      <w:bodyDiv w:val="1"/>
      <w:marLeft w:val="0"/>
      <w:marRight w:val="0"/>
      <w:marTop w:val="0"/>
      <w:marBottom w:val="0"/>
      <w:divBdr>
        <w:top w:val="none" w:sz="0" w:space="0" w:color="auto"/>
        <w:left w:val="none" w:sz="0" w:space="0" w:color="auto"/>
        <w:bottom w:val="none" w:sz="0" w:space="0" w:color="auto"/>
        <w:right w:val="none" w:sz="0" w:space="0" w:color="auto"/>
      </w:divBdr>
    </w:div>
    <w:div w:id="109398612">
      <w:bodyDiv w:val="1"/>
      <w:marLeft w:val="0"/>
      <w:marRight w:val="0"/>
      <w:marTop w:val="0"/>
      <w:marBottom w:val="0"/>
      <w:divBdr>
        <w:top w:val="none" w:sz="0" w:space="0" w:color="auto"/>
        <w:left w:val="none" w:sz="0" w:space="0" w:color="auto"/>
        <w:bottom w:val="none" w:sz="0" w:space="0" w:color="auto"/>
        <w:right w:val="none" w:sz="0" w:space="0" w:color="auto"/>
      </w:divBdr>
    </w:div>
    <w:div w:id="109715002">
      <w:bodyDiv w:val="1"/>
      <w:marLeft w:val="0"/>
      <w:marRight w:val="0"/>
      <w:marTop w:val="0"/>
      <w:marBottom w:val="0"/>
      <w:divBdr>
        <w:top w:val="none" w:sz="0" w:space="0" w:color="auto"/>
        <w:left w:val="none" w:sz="0" w:space="0" w:color="auto"/>
        <w:bottom w:val="none" w:sz="0" w:space="0" w:color="auto"/>
        <w:right w:val="none" w:sz="0" w:space="0" w:color="auto"/>
      </w:divBdr>
    </w:div>
    <w:div w:id="109861947">
      <w:bodyDiv w:val="1"/>
      <w:marLeft w:val="0"/>
      <w:marRight w:val="0"/>
      <w:marTop w:val="0"/>
      <w:marBottom w:val="0"/>
      <w:divBdr>
        <w:top w:val="none" w:sz="0" w:space="0" w:color="auto"/>
        <w:left w:val="none" w:sz="0" w:space="0" w:color="auto"/>
        <w:bottom w:val="none" w:sz="0" w:space="0" w:color="auto"/>
        <w:right w:val="none" w:sz="0" w:space="0" w:color="auto"/>
      </w:divBdr>
    </w:div>
    <w:div w:id="110130879">
      <w:bodyDiv w:val="1"/>
      <w:marLeft w:val="0"/>
      <w:marRight w:val="0"/>
      <w:marTop w:val="0"/>
      <w:marBottom w:val="0"/>
      <w:divBdr>
        <w:top w:val="none" w:sz="0" w:space="0" w:color="auto"/>
        <w:left w:val="none" w:sz="0" w:space="0" w:color="auto"/>
        <w:bottom w:val="none" w:sz="0" w:space="0" w:color="auto"/>
        <w:right w:val="none" w:sz="0" w:space="0" w:color="auto"/>
      </w:divBdr>
    </w:div>
    <w:div w:id="111944310">
      <w:bodyDiv w:val="1"/>
      <w:marLeft w:val="0"/>
      <w:marRight w:val="0"/>
      <w:marTop w:val="0"/>
      <w:marBottom w:val="0"/>
      <w:divBdr>
        <w:top w:val="none" w:sz="0" w:space="0" w:color="auto"/>
        <w:left w:val="none" w:sz="0" w:space="0" w:color="auto"/>
        <w:bottom w:val="none" w:sz="0" w:space="0" w:color="auto"/>
        <w:right w:val="none" w:sz="0" w:space="0" w:color="auto"/>
      </w:divBdr>
    </w:div>
    <w:div w:id="112947933">
      <w:bodyDiv w:val="1"/>
      <w:marLeft w:val="0"/>
      <w:marRight w:val="0"/>
      <w:marTop w:val="0"/>
      <w:marBottom w:val="0"/>
      <w:divBdr>
        <w:top w:val="none" w:sz="0" w:space="0" w:color="auto"/>
        <w:left w:val="none" w:sz="0" w:space="0" w:color="auto"/>
        <w:bottom w:val="none" w:sz="0" w:space="0" w:color="auto"/>
        <w:right w:val="none" w:sz="0" w:space="0" w:color="auto"/>
      </w:divBdr>
    </w:div>
    <w:div w:id="113909992">
      <w:bodyDiv w:val="1"/>
      <w:marLeft w:val="0"/>
      <w:marRight w:val="0"/>
      <w:marTop w:val="0"/>
      <w:marBottom w:val="0"/>
      <w:divBdr>
        <w:top w:val="none" w:sz="0" w:space="0" w:color="auto"/>
        <w:left w:val="none" w:sz="0" w:space="0" w:color="auto"/>
        <w:bottom w:val="none" w:sz="0" w:space="0" w:color="auto"/>
        <w:right w:val="none" w:sz="0" w:space="0" w:color="auto"/>
      </w:divBdr>
    </w:div>
    <w:div w:id="114059306">
      <w:bodyDiv w:val="1"/>
      <w:marLeft w:val="0"/>
      <w:marRight w:val="0"/>
      <w:marTop w:val="0"/>
      <w:marBottom w:val="0"/>
      <w:divBdr>
        <w:top w:val="none" w:sz="0" w:space="0" w:color="auto"/>
        <w:left w:val="none" w:sz="0" w:space="0" w:color="auto"/>
        <w:bottom w:val="none" w:sz="0" w:space="0" w:color="auto"/>
        <w:right w:val="none" w:sz="0" w:space="0" w:color="auto"/>
      </w:divBdr>
    </w:div>
    <w:div w:id="114688295">
      <w:bodyDiv w:val="1"/>
      <w:marLeft w:val="0"/>
      <w:marRight w:val="0"/>
      <w:marTop w:val="0"/>
      <w:marBottom w:val="0"/>
      <w:divBdr>
        <w:top w:val="none" w:sz="0" w:space="0" w:color="auto"/>
        <w:left w:val="none" w:sz="0" w:space="0" w:color="auto"/>
        <w:bottom w:val="none" w:sz="0" w:space="0" w:color="auto"/>
        <w:right w:val="none" w:sz="0" w:space="0" w:color="auto"/>
      </w:divBdr>
    </w:div>
    <w:div w:id="114835334">
      <w:bodyDiv w:val="1"/>
      <w:marLeft w:val="0"/>
      <w:marRight w:val="0"/>
      <w:marTop w:val="0"/>
      <w:marBottom w:val="0"/>
      <w:divBdr>
        <w:top w:val="none" w:sz="0" w:space="0" w:color="auto"/>
        <w:left w:val="none" w:sz="0" w:space="0" w:color="auto"/>
        <w:bottom w:val="none" w:sz="0" w:space="0" w:color="auto"/>
        <w:right w:val="none" w:sz="0" w:space="0" w:color="auto"/>
      </w:divBdr>
    </w:div>
    <w:div w:id="115489284">
      <w:bodyDiv w:val="1"/>
      <w:marLeft w:val="0"/>
      <w:marRight w:val="0"/>
      <w:marTop w:val="0"/>
      <w:marBottom w:val="0"/>
      <w:divBdr>
        <w:top w:val="none" w:sz="0" w:space="0" w:color="auto"/>
        <w:left w:val="none" w:sz="0" w:space="0" w:color="auto"/>
        <w:bottom w:val="none" w:sz="0" w:space="0" w:color="auto"/>
        <w:right w:val="none" w:sz="0" w:space="0" w:color="auto"/>
      </w:divBdr>
    </w:div>
    <w:div w:id="115568627">
      <w:bodyDiv w:val="1"/>
      <w:marLeft w:val="0"/>
      <w:marRight w:val="0"/>
      <w:marTop w:val="0"/>
      <w:marBottom w:val="0"/>
      <w:divBdr>
        <w:top w:val="none" w:sz="0" w:space="0" w:color="auto"/>
        <w:left w:val="none" w:sz="0" w:space="0" w:color="auto"/>
        <w:bottom w:val="none" w:sz="0" w:space="0" w:color="auto"/>
        <w:right w:val="none" w:sz="0" w:space="0" w:color="auto"/>
      </w:divBdr>
    </w:div>
    <w:div w:id="115804331">
      <w:bodyDiv w:val="1"/>
      <w:marLeft w:val="0"/>
      <w:marRight w:val="0"/>
      <w:marTop w:val="0"/>
      <w:marBottom w:val="0"/>
      <w:divBdr>
        <w:top w:val="none" w:sz="0" w:space="0" w:color="auto"/>
        <w:left w:val="none" w:sz="0" w:space="0" w:color="auto"/>
        <w:bottom w:val="none" w:sz="0" w:space="0" w:color="auto"/>
        <w:right w:val="none" w:sz="0" w:space="0" w:color="auto"/>
      </w:divBdr>
    </w:div>
    <w:div w:id="116803012">
      <w:bodyDiv w:val="1"/>
      <w:marLeft w:val="0"/>
      <w:marRight w:val="0"/>
      <w:marTop w:val="0"/>
      <w:marBottom w:val="0"/>
      <w:divBdr>
        <w:top w:val="none" w:sz="0" w:space="0" w:color="auto"/>
        <w:left w:val="none" w:sz="0" w:space="0" w:color="auto"/>
        <w:bottom w:val="none" w:sz="0" w:space="0" w:color="auto"/>
        <w:right w:val="none" w:sz="0" w:space="0" w:color="auto"/>
      </w:divBdr>
    </w:div>
    <w:div w:id="116995236">
      <w:bodyDiv w:val="1"/>
      <w:marLeft w:val="0"/>
      <w:marRight w:val="0"/>
      <w:marTop w:val="0"/>
      <w:marBottom w:val="0"/>
      <w:divBdr>
        <w:top w:val="none" w:sz="0" w:space="0" w:color="auto"/>
        <w:left w:val="none" w:sz="0" w:space="0" w:color="auto"/>
        <w:bottom w:val="none" w:sz="0" w:space="0" w:color="auto"/>
        <w:right w:val="none" w:sz="0" w:space="0" w:color="auto"/>
      </w:divBdr>
    </w:div>
    <w:div w:id="117838138">
      <w:bodyDiv w:val="1"/>
      <w:marLeft w:val="0"/>
      <w:marRight w:val="0"/>
      <w:marTop w:val="0"/>
      <w:marBottom w:val="0"/>
      <w:divBdr>
        <w:top w:val="none" w:sz="0" w:space="0" w:color="auto"/>
        <w:left w:val="none" w:sz="0" w:space="0" w:color="auto"/>
        <w:bottom w:val="none" w:sz="0" w:space="0" w:color="auto"/>
        <w:right w:val="none" w:sz="0" w:space="0" w:color="auto"/>
      </w:divBdr>
    </w:div>
    <w:div w:id="117989228">
      <w:bodyDiv w:val="1"/>
      <w:marLeft w:val="0"/>
      <w:marRight w:val="0"/>
      <w:marTop w:val="0"/>
      <w:marBottom w:val="0"/>
      <w:divBdr>
        <w:top w:val="none" w:sz="0" w:space="0" w:color="auto"/>
        <w:left w:val="none" w:sz="0" w:space="0" w:color="auto"/>
        <w:bottom w:val="none" w:sz="0" w:space="0" w:color="auto"/>
        <w:right w:val="none" w:sz="0" w:space="0" w:color="auto"/>
      </w:divBdr>
    </w:div>
    <w:div w:id="118496745">
      <w:bodyDiv w:val="1"/>
      <w:marLeft w:val="0"/>
      <w:marRight w:val="0"/>
      <w:marTop w:val="0"/>
      <w:marBottom w:val="0"/>
      <w:divBdr>
        <w:top w:val="none" w:sz="0" w:space="0" w:color="auto"/>
        <w:left w:val="none" w:sz="0" w:space="0" w:color="auto"/>
        <w:bottom w:val="none" w:sz="0" w:space="0" w:color="auto"/>
        <w:right w:val="none" w:sz="0" w:space="0" w:color="auto"/>
      </w:divBdr>
    </w:div>
    <w:div w:id="118764250">
      <w:bodyDiv w:val="1"/>
      <w:marLeft w:val="0"/>
      <w:marRight w:val="0"/>
      <w:marTop w:val="0"/>
      <w:marBottom w:val="0"/>
      <w:divBdr>
        <w:top w:val="none" w:sz="0" w:space="0" w:color="auto"/>
        <w:left w:val="none" w:sz="0" w:space="0" w:color="auto"/>
        <w:bottom w:val="none" w:sz="0" w:space="0" w:color="auto"/>
        <w:right w:val="none" w:sz="0" w:space="0" w:color="auto"/>
      </w:divBdr>
    </w:div>
    <w:div w:id="118959444">
      <w:bodyDiv w:val="1"/>
      <w:marLeft w:val="0"/>
      <w:marRight w:val="0"/>
      <w:marTop w:val="0"/>
      <w:marBottom w:val="0"/>
      <w:divBdr>
        <w:top w:val="none" w:sz="0" w:space="0" w:color="auto"/>
        <w:left w:val="none" w:sz="0" w:space="0" w:color="auto"/>
        <w:bottom w:val="none" w:sz="0" w:space="0" w:color="auto"/>
        <w:right w:val="none" w:sz="0" w:space="0" w:color="auto"/>
      </w:divBdr>
    </w:div>
    <w:div w:id="119345720">
      <w:bodyDiv w:val="1"/>
      <w:marLeft w:val="0"/>
      <w:marRight w:val="0"/>
      <w:marTop w:val="0"/>
      <w:marBottom w:val="0"/>
      <w:divBdr>
        <w:top w:val="none" w:sz="0" w:space="0" w:color="auto"/>
        <w:left w:val="none" w:sz="0" w:space="0" w:color="auto"/>
        <w:bottom w:val="none" w:sz="0" w:space="0" w:color="auto"/>
        <w:right w:val="none" w:sz="0" w:space="0" w:color="auto"/>
      </w:divBdr>
    </w:div>
    <w:div w:id="119959252">
      <w:bodyDiv w:val="1"/>
      <w:marLeft w:val="0"/>
      <w:marRight w:val="0"/>
      <w:marTop w:val="0"/>
      <w:marBottom w:val="0"/>
      <w:divBdr>
        <w:top w:val="none" w:sz="0" w:space="0" w:color="auto"/>
        <w:left w:val="none" w:sz="0" w:space="0" w:color="auto"/>
        <w:bottom w:val="none" w:sz="0" w:space="0" w:color="auto"/>
        <w:right w:val="none" w:sz="0" w:space="0" w:color="auto"/>
      </w:divBdr>
    </w:div>
    <w:div w:id="120610129">
      <w:bodyDiv w:val="1"/>
      <w:marLeft w:val="0"/>
      <w:marRight w:val="0"/>
      <w:marTop w:val="0"/>
      <w:marBottom w:val="0"/>
      <w:divBdr>
        <w:top w:val="none" w:sz="0" w:space="0" w:color="auto"/>
        <w:left w:val="none" w:sz="0" w:space="0" w:color="auto"/>
        <w:bottom w:val="none" w:sz="0" w:space="0" w:color="auto"/>
        <w:right w:val="none" w:sz="0" w:space="0" w:color="auto"/>
      </w:divBdr>
    </w:div>
    <w:div w:id="120853797">
      <w:bodyDiv w:val="1"/>
      <w:marLeft w:val="0"/>
      <w:marRight w:val="0"/>
      <w:marTop w:val="0"/>
      <w:marBottom w:val="0"/>
      <w:divBdr>
        <w:top w:val="none" w:sz="0" w:space="0" w:color="auto"/>
        <w:left w:val="none" w:sz="0" w:space="0" w:color="auto"/>
        <w:bottom w:val="none" w:sz="0" w:space="0" w:color="auto"/>
        <w:right w:val="none" w:sz="0" w:space="0" w:color="auto"/>
      </w:divBdr>
    </w:div>
    <w:div w:id="122118497">
      <w:bodyDiv w:val="1"/>
      <w:marLeft w:val="0"/>
      <w:marRight w:val="0"/>
      <w:marTop w:val="0"/>
      <w:marBottom w:val="0"/>
      <w:divBdr>
        <w:top w:val="none" w:sz="0" w:space="0" w:color="auto"/>
        <w:left w:val="none" w:sz="0" w:space="0" w:color="auto"/>
        <w:bottom w:val="none" w:sz="0" w:space="0" w:color="auto"/>
        <w:right w:val="none" w:sz="0" w:space="0" w:color="auto"/>
      </w:divBdr>
    </w:div>
    <w:div w:id="123432889">
      <w:bodyDiv w:val="1"/>
      <w:marLeft w:val="0"/>
      <w:marRight w:val="0"/>
      <w:marTop w:val="0"/>
      <w:marBottom w:val="0"/>
      <w:divBdr>
        <w:top w:val="none" w:sz="0" w:space="0" w:color="auto"/>
        <w:left w:val="none" w:sz="0" w:space="0" w:color="auto"/>
        <w:bottom w:val="none" w:sz="0" w:space="0" w:color="auto"/>
        <w:right w:val="none" w:sz="0" w:space="0" w:color="auto"/>
      </w:divBdr>
    </w:div>
    <w:div w:id="123544565">
      <w:bodyDiv w:val="1"/>
      <w:marLeft w:val="0"/>
      <w:marRight w:val="0"/>
      <w:marTop w:val="0"/>
      <w:marBottom w:val="0"/>
      <w:divBdr>
        <w:top w:val="none" w:sz="0" w:space="0" w:color="auto"/>
        <w:left w:val="none" w:sz="0" w:space="0" w:color="auto"/>
        <w:bottom w:val="none" w:sz="0" w:space="0" w:color="auto"/>
        <w:right w:val="none" w:sz="0" w:space="0" w:color="auto"/>
      </w:divBdr>
    </w:div>
    <w:div w:id="123622543">
      <w:bodyDiv w:val="1"/>
      <w:marLeft w:val="0"/>
      <w:marRight w:val="0"/>
      <w:marTop w:val="0"/>
      <w:marBottom w:val="0"/>
      <w:divBdr>
        <w:top w:val="none" w:sz="0" w:space="0" w:color="auto"/>
        <w:left w:val="none" w:sz="0" w:space="0" w:color="auto"/>
        <w:bottom w:val="none" w:sz="0" w:space="0" w:color="auto"/>
        <w:right w:val="none" w:sz="0" w:space="0" w:color="auto"/>
      </w:divBdr>
    </w:div>
    <w:div w:id="123692290">
      <w:bodyDiv w:val="1"/>
      <w:marLeft w:val="0"/>
      <w:marRight w:val="0"/>
      <w:marTop w:val="0"/>
      <w:marBottom w:val="0"/>
      <w:divBdr>
        <w:top w:val="none" w:sz="0" w:space="0" w:color="auto"/>
        <w:left w:val="none" w:sz="0" w:space="0" w:color="auto"/>
        <w:bottom w:val="none" w:sz="0" w:space="0" w:color="auto"/>
        <w:right w:val="none" w:sz="0" w:space="0" w:color="auto"/>
      </w:divBdr>
    </w:div>
    <w:div w:id="123694576">
      <w:bodyDiv w:val="1"/>
      <w:marLeft w:val="0"/>
      <w:marRight w:val="0"/>
      <w:marTop w:val="0"/>
      <w:marBottom w:val="0"/>
      <w:divBdr>
        <w:top w:val="none" w:sz="0" w:space="0" w:color="auto"/>
        <w:left w:val="none" w:sz="0" w:space="0" w:color="auto"/>
        <w:bottom w:val="none" w:sz="0" w:space="0" w:color="auto"/>
        <w:right w:val="none" w:sz="0" w:space="0" w:color="auto"/>
      </w:divBdr>
    </w:div>
    <w:div w:id="124005526">
      <w:bodyDiv w:val="1"/>
      <w:marLeft w:val="0"/>
      <w:marRight w:val="0"/>
      <w:marTop w:val="0"/>
      <w:marBottom w:val="0"/>
      <w:divBdr>
        <w:top w:val="none" w:sz="0" w:space="0" w:color="auto"/>
        <w:left w:val="none" w:sz="0" w:space="0" w:color="auto"/>
        <w:bottom w:val="none" w:sz="0" w:space="0" w:color="auto"/>
        <w:right w:val="none" w:sz="0" w:space="0" w:color="auto"/>
      </w:divBdr>
    </w:div>
    <w:div w:id="124473275">
      <w:bodyDiv w:val="1"/>
      <w:marLeft w:val="0"/>
      <w:marRight w:val="0"/>
      <w:marTop w:val="0"/>
      <w:marBottom w:val="0"/>
      <w:divBdr>
        <w:top w:val="none" w:sz="0" w:space="0" w:color="auto"/>
        <w:left w:val="none" w:sz="0" w:space="0" w:color="auto"/>
        <w:bottom w:val="none" w:sz="0" w:space="0" w:color="auto"/>
        <w:right w:val="none" w:sz="0" w:space="0" w:color="auto"/>
      </w:divBdr>
    </w:div>
    <w:div w:id="124616471">
      <w:bodyDiv w:val="1"/>
      <w:marLeft w:val="0"/>
      <w:marRight w:val="0"/>
      <w:marTop w:val="0"/>
      <w:marBottom w:val="0"/>
      <w:divBdr>
        <w:top w:val="none" w:sz="0" w:space="0" w:color="auto"/>
        <w:left w:val="none" w:sz="0" w:space="0" w:color="auto"/>
        <w:bottom w:val="none" w:sz="0" w:space="0" w:color="auto"/>
        <w:right w:val="none" w:sz="0" w:space="0" w:color="auto"/>
      </w:divBdr>
    </w:div>
    <w:div w:id="124735859">
      <w:bodyDiv w:val="1"/>
      <w:marLeft w:val="0"/>
      <w:marRight w:val="0"/>
      <w:marTop w:val="0"/>
      <w:marBottom w:val="0"/>
      <w:divBdr>
        <w:top w:val="none" w:sz="0" w:space="0" w:color="auto"/>
        <w:left w:val="none" w:sz="0" w:space="0" w:color="auto"/>
        <w:bottom w:val="none" w:sz="0" w:space="0" w:color="auto"/>
        <w:right w:val="none" w:sz="0" w:space="0" w:color="auto"/>
      </w:divBdr>
    </w:div>
    <w:div w:id="124934374">
      <w:bodyDiv w:val="1"/>
      <w:marLeft w:val="0"/>
      <w:marRight w:val="0"/>
      <w:marTop w:val="0"/>
      <w:marBottom w:val="0"/>
      <w:divBdr>
        <w:top w:val="none" w:sz="0" w:space="0" w:color="auto"/>
        <w:left w:val="none" w:sz="0" w:space="0" w:color="auto"/>
        <w:bottom w:val="none" w:sz="0" w:space="0" w:color="auto"/>
        <w:right w:val="none" w:sz="0" w:space="0" w:color="auto"/>
      </w:divBdr>
    </w:div>
    <w:div w:id="125201838">
      <w:bodyDiv w:val="1"/>
      <w:marLeft w:val="0"/>
      <w:marRight w:val="0"/>
      <w:marTop w:val="0"/>
      <w:marBottom w:val="0"/>
      <w:divBdr>
        <w:top w:val="none" w:sz="0" w:space="0" w:color="auto"/>
        <w:left w:val="none" w:sz="0" w:space="0" w:color="auto"/>
        <w:bottom w:val="none" w:sz="0" w:space="0" w:color="auto"/>
        <w:right w:val="none" w:sz="0" w:space="0" w:color="auto"/>
      </w:divBdr>
    </w:div>
    <w:div w:id="125246051">
      <w:bodyDiv w:val="1"/>
      <w:marLeft w:val="0"/>
      <w:marRight w:val="0"/>
      <w:marTop w:val="0"/>
      <w:marBottom w:val="0"/>
      <w:divBdr>
        <w:top w:val="none" w:sz="0" w:space="0" w:color="auto"/>
        <w:left w:val="none" w:sz="0" w:space="0" w:color="auto"/>
        <w:bottom w:val="none" w:sz="0" w:space="0" w:color="auto"/>
        <w:right w:val="none" w:sz="0" w:space="0" w:color="auto"/>
      </w:divBdr>
    </w:div>
    <w:div w:id="125702437">
      <w:bodyDiv w:val="1"/>
      <w:marLeft w:val="0"/>
      <w:marRight w:val="0"/>
      <w:marTop w:val="0"/>
      <w:marBottom w:val="0"/>
      <w:divBdr>
        <w:top w:val="none" w:sz="0" w:space="0" w:color="auto"/>
        <w:left w:val="none" w:sz="0" w:space="0" w:color="auto"/>
        <w:bottom w:val="none" w:sz="0" w:space="0" w:color="auto"/>
        <w:right w:val="none" w:sz="0" w:space="0" w:color="auto"/>
      </w:divBdr>
    </w:div>
    <w:div w:id="126626400">
      <w:bodyDiv w:val="1"/>
      <w:marLeft w:val="0"/>
      <w:marRight w:val="0"/>
      <w:marTop w:val="0"/>
      <w:marBottom w:val="0"/>
      <w:divBdr>
        <w:top w:val="none" w:sz="0" w:space="0" w:color="auto"/>
        <w:left w:val="none" w:sz="0" w:space="0" w:color="auto"/>
        <w:bottom w:val="none" w:sz="0" w:space="0" w:color="auto"/>
        <w:right w:val="none" w:sz="0" w:space="0" w:color="auto"/>
      </w:divBdr>
    </w:div>
    <w:div w:id="126749000">
      <w:bodyDiv w:val="1"/>
      <w:marLeft w:val="0"/>
      <w:marRight w:val="0"/>
      <w:marTop w:val="0"/>
      <w:marBottom w:val="0"/>
      <w:divBdr>
        <w:top w:val="none" w:sz="0" w:space="0" w:color="auto"/>
        <w:left w:val="none" w:sz="0" w:space="0" w:color="auto"/>
        <w:bottom w:val="none" w:sz="0" w:space="0" w:color="auto"/>
        <w:right w:val="none" w:sz="0" w:space="0" w:color="auto"/>
      </w:divBdr>
    </w:div>
    <w:div w:id="127094527">
      <w:bodyDiv w:val="1"/>
      <w:marLeft w:val="0"/>
      <w:marRight w:val="0"/>
      <w:marTop w:val="0"/>
      <w:marBottom w:val="0"/>
      <w:divBdr>
        <w:top w:val="none" w:sz="0" w:space="0" w:color="auto"/>
        <w:left w:val="none" w:sz="0" w:space="0" w:color="auto"/>
        <w:bottom w:val="none" w:sz="0" w:space="0" w:color="auto"/>
        <w:right w:val="none" w:sz="0" w:space="0" w:color="auto"/>
      </w:divBdr>
    </w:div>
    <w:div w:id="127941035">
      <w:bodyDiv w:val="1"/>
      <w:marLeft w:val="0"/>
      <w:marRight w:val="0"/>
      <w:marTop w:val="0"/>
      <w:marBottom w:val="0"/>
      <w:divBdr>
        <w:top w:val="none" w:sz="0" w:space="0" w:color="auto"/>
        <w:left w:val="none" w:sz="0" w:space="0" w:color="auto"/>
        <w:bottom w:val="none" w:sz="0" w:space="0" w:color="auto"/>
        <w:right w:val="none" w:sz="0" w:space="0" w:color="auto"/>
      </w:divBdr>
    </w:div>
    <w:div w:id="128481568">
      <w:bodyDiv w:val="1"/>
      <w:marLeft w:val="0"/>
      <w:marRight w:val="0"/>
      <w:marTop w:val="0"/>
      <w:marBottom w:val="0"/>
      <w:divBdr>
        <w:top w:val="none" w:sz="0" w:space="0" w:color="auto"/>
        <w:left w:val="none" w:sz="0" w:space="0" w:color="auto"/>
        <w:bottom w:val="none" w:sz="0" w:space="0" w:color="auto"/>
        <w:right w:val="none" w:sz="0" w:space="0" w:color="auto"/>
      </w:divBdr>
    </w:div>
    <w:div w:id="128790096">
      <w:bodyDiv w:val="1"/>
      <w:marLeft w:val="0"/>
      <w:marRight w:val="0"/>
      <w:marTop w:val="0"/>
      <w:marBottom w:val="0"/>
      <w:divBdr>
        <w:top w:val="none" w:sz="0" w:space="0" w:color="auto"/>
        <w:left w:val="none" w:sz="0" w:space="0" w:color="auto"/>
        <w:bottom w:val="none" w:sz="0" w:space="0" w:color="auto"/>
        <w:right w:val="none" w:sz="0" w:space="0" w:color="auto"/>
      </w:divBdr>
    </w:div>
    <w:div w:id="129321972">
      <w:bodyDiv w:val="1"/>
      <w:marLeft w:val="0"/>
      <w:marRight w:val="0"/>
      <w:marTop w:val="0"/>
      <w:marBottom w:val="0"/>
      <w:divBdr>
        <w:top w:val="none" w:sz="0" w:space="0" w:color="auto"/>
        <w:left w:val="none" w:sz="0" w:space="0" w:color="auto"/>
        <w:bottom w:val="none" w:sz="0" w:space="0" w:color="auto"/>
        <w:right w:val="none" w:sz="0" w:space="0" w:color="auto"/>
      </w:divBdr>
    </w:div>
    <w:div w:id="129397928">
      <w:bodyDiv w:val="1"/>
      <w:marLeft w:val="0"/>
      <w:marRight w:val="0"/>
      <w:marTop w:val="0"/>
      <w:marBottom w:val="0"/>
      <w:divBdr>
        <w:top w:val="none" w:sz="0" w:space="0" w:color="auto"/>
        <w:left w:val="none" w:sz="0" w:space="0" w:color="auto"/>
        <w:bottom w:val="none" w:sz="0" w:space="0" w:color="auto"/>
        <w:right w:val="none" w:sz="0" w:space="0" w:color="auto"/>
      </w:divBdr>
    </w:div>
    <w:div w:id="130054747">
      <w:bodyDiv w:val="1"/>
      <w:marLeft w:val="0"/>
      <w:marRight w:val="0"/>
      <w:marTop w:val="0"/>
      <w:marBottom w:val="0"/>
      <w:divBdr>
        <w:top w:val="none" w:sz="0" w:space="0" w:color="auto"/>
        <w:left w:val="none" w:sz="0" w:space="0" w:color="auto"/>
        <w:bottom w:val="none" w:sz="0" w:space="0" w:color="auto"/>
        <w:right w:val="none" w:sz="0" w:space="0" w:color="auto"/>
      </w:divBdr>
    </w:div>
    <w:div w:id="130757991">
      <w:bodyDiv w:val="1"/>
      <w:marLeft w:val="0"/>
      <w:marRight w:val="0"/>
      <w:marTop w:val="0"/>
      <w:marBottom w:val="0"/>
      <w:divBdr>
        <w:top w:val="none" w:sz="0" w:space="0" w:color="auto"/>
        <w:left w:val="none" w:sz="0" w:space="0" w:color="auto"/>
        <w:bottom w:val="none" w:sz="0" w:space="0" w:color="auto"/>
        <w:right w:val="none" w:sz="0" w:space="0" w:color="auto"/>
      </w:divBdr>
    </w:div>
    <w:div w:id="131485661">
      <w:bodyDiv w:val="1"/>
      <w:marLeft w:val="0"/>
      <w:marRight w:val="0"/>
      <w:marTop w:val="0"/>
      <w:marBottom w:val="0"/>
      <w:divBdr>
        <w:top w:val="none" w:sz="0" w:space="0" w:color="auto"/>
        <w:left w:val="none" w:sz="0" w:space="0" w:color="auto"/>
        <w:bottom w:val="none" w:sz="0" w:space="0" w:color="auto"/>
        <w:right w:val="none" w:sz="0" w:space="0" w:color="auto"/>
      </w:divBdr>
    </w:div>
    <w:div w:id="132527758">
      <w:bodyDiv w:val="1"/>
      <w:marLeft w:val="0"/>
      <w:marRight w:val="0"/>
      <w:marTop w:val="0"/>
      <w:marBottom w:val="0"/>
      <w:divBdr>
        <w:top w:val="none" w:sz="0" w:space="0" w:color="auto"/>
        <w:left w:val="none" w:sz="0" w:space="0" w:color="auto"/>
        <w:bottom w:val="none" w:sz="0" w:space="0" w:color="auto"/>
        <w:right w:val="none" w:sz="0" w:space="0" w:color="auto"/>
      </w:divBdr>
    </w:div>
    <w:div w:id="133791113">
      <w:bodyDiv w:val="1"/>
      <w:marLeft w:val="0"/>
      <w:marRight w:val="0"/>
      <w:marTop w:val="0"/>
      <w:marBottom w:val="0"/>
      <w:divBdr>
        <w:top w:val="none" w:sz="0" w:space="0" w:color="auto"/>
        <w:left w:val="none" w:sz="0" w:space="0" w:color="auto"/>
        <w:bottom w:val="none" w:sz="0" w:space="0" w:color="auto"/>
        <w:right w:val="none" w:sz="0" w:space="0" w:color="auto"/>
      </w:divBdr>
    </w:div>
    <w:div w:id="133957400">
      <w:bodyDiv w:val="1"/>
      <w:marLeft w:val="0"/>
      <w:marRight w:val="0"/>
      <w:marTop w:val="0"/>
      <w:marBottom w:val="0"/>
      <w:divBdr>
        <w:top w:val="none" w:sz="0" w:space="0" w:color="auto"/>
        <w:left w:val="none" w:sz="0" w:space="0" w:color="auto"/>
        <w:bottom w:val="none" w:sz="0" w:space="0" w:color="auto"/>
        <w:right w:val="none" w:sz="0" w:space="0" w:color="auto"/>
      </w:divBdr>
    </w:div>
    <w:div w:id="133957891">
      <w:bodyDiv w:val="1"/>
      <w:marLeft w:val="0"/>
      <w:marRight w:val="0"/>
      <w:marTop w:val="0"/>
      <w:marBottom w:val="0"/>
      <w:divBdr>
        <w:top w:val="none" w:sz="0" w:space="0" w:color="auto"/>
        <w:left w:val="none" w:sz="0" w:space="0" w:color="auto"/>
        <w:bottom w:val="none" w:sz="0" w:space="0" w:color="auto"/>
        <w:right w:val="none" w:sz="0" w:space="0" w:color="auto"/>
      </w:divBdr>
    </w:div>
    <w:div w:id="134219348">
      <w:bodyDiv w:val="1"/>
      <w:marLeft w:val="0"/>
      <w:marRight w:val="0"/>
      <w:marTop w:val="0"/>
      <w:marBottom w:val="0"/>
      <w:divBdr>
        <w:top w:val="none" w:sz="0" w:space="0" w:color="auto"/>
        <w:left w:val="none" w:sz="0" w:space="0" w:color="auto"/>
        <w:bottom w:val="none" w:sz="0" w:space="0" w:color="auto"/>
        <w:right w:val="none" w:sz="0" w:space="0" w:color="auto"/>
      </w:divBdr>
    </w:div>
    <w:div w:id="134300222">
      <w:bodyDiv w:val="1"/>
      <w:marLeft w:val="0"/>
      <w:marRight w:val="0"/>
      <w:marTop w:val="0"/>
      <w:marBottom w:val="0"/>
      <w:divBdr>
        <w:top w:val="none" w:sz="0" w:space="0" w:color="auto"/>
        <w:left w:val="none" w:sz="0" w:space="0" w:color="auto"/>
        <w:bottom w:val="none" w:sz="0" w:space="0" w:color="auto"/>
        <w:right w:val="none" w:sz="0" w:space="0" w:color="auto"/>
      </w:divBdr>
    </w:div>
    <w:div w:id="134416398">
      <w:bodyDiv w:val="1"/>
      <w:marLeft w:val="0"/>
      <w:marRight w:val="0"/>
      <w:marTop w:val="0"/>
      <w:marBottom w:val="0"/>
      <w:divBdr>
        <w:top w:val="none" w:sz="0" w:space="0" w:color="auto"/>
        <w:left w:val="none" w:sz="0" w:space="0" w:color="auto"/>
        <w:bottom w:val="none" w:sz="0" w:space="0" w:color="auto"/>
        <w:right w:val="none" w:sz="0" w:space="0" w:color="auto"/>
      </w:divBdr>
    </w:div>
    <w:div w:id="135219922">
      <w:bodyDiv w:val="1"/>
      <w:marLeft w:val="0"/>
      <w:marRight w:val="0"/>
      <w:marTop w:val="0"/>
      <w:marBottom w:val="0"/>
      <w:divBdr>
        <w:top w:val="none" w:sz="0" w:space="0" w:color="auto"/>
        <w:left w:val="none" w:sz="0" w:space="0" w:color="auto"/>
        <w:bottom w:val="none" w:sz="0" w:space="0" w:color="auto"/>
        <w:right w:val="none" w:sz="0" w:space="0" w:color="auto"/>
      </w:divBdr>
    </w:div>
    <w:div w:id="135806235">
      <w:bodyDiv w:val="1"/>
      <w:marLeft w:val="0"/>
      <w:marRight w:val="0"/>
      <w:marTop w:val="0"/>
      <w:marBottom w:val="0"/>
      <w:divBdr>
        <w:top w:val="none" w:sz="0" w:space="0" w:color="auto"/>
        <w:left w:val="none" w:sz="0" w:space="0" w:color="auto"/>
        <w:bottom w:val="none" w:sz="0" w:space="0" w:color="auto"/>
        <w:right w:val="none" w:sz="0" w:space="0" w:color="auto"/>
      </w:divBdr>
    </w:div>
    <w:div w:id="136653129">
      <w:bodyDiv w:val="1"/>
      <w:marLeft w:val="0"/>
      <w:marRight w:val="0"/>
      <w:marTop w:val="0"/>
      <w:marBottom w:val="0"/>
      <w:divBdr>
        <w:top w:val="none" w:sz="0" w:space="0" w:color="auto"/>
        <w:left w:val="none" w:sz="0" w:space="0" w:color="auto"/>
        <w:bottom w:val="none" w:sz="0" w:space="0" w:color="auto"/>
        <w:right w:val="none" w:sz="0" w:space="0" w:color="auto"/>
      </w:divBdr>
    </w:div>
    <w:div w:id="137042086">
      <w:bodyDiv w:val="1"/>
      <w:marLeft w:val="0"/>
      <w:marRight w:val="0"/>
      <w:marTop w:val="0"/>
      <w:marBottom w:val="0"/>
      <w:divBdr>
        <w:top w:val="none" w:sz="0" w:space="0" w:color="auto"/>
        <w:left w:val="none" w:sz="0" w:space="0" w:color="auto"/>
        <w:bottom w:val="none" w:sz="0" w:space="0" w:color="auto"/>
        <w:right w:val="none" w:sz="0" w:space="0" w:color="auto"/>
      </w:divBdr>
    </w:div>
    <w:div w:id="137191377">
      <w:bodyDiv w:val="1"/>
      <w:marLeft w:val="0"/>
      <w:marRight w:val="0"/>
      <w:marTop w:val="0"/>
      <w:marBottom w:val="0"/>
      <w:divBdr>
        <w:top w:val="none" w:sz="0" w:space="0" w:color="auto"/>
        <w:left w:val="none" w:sz="0" w:space="0" w:color="auto"/>
        <w:bottom w:val="none" w:sz="0" w:space="0" w:color="auto"/>
        <w:right w:val="none" w:sz="0" w:space="0" w:color="auto"/>
      </w:divBdr>
    </w:div>
    <w:div w:id="137191437">
      <w:bodyDiv w:val="1"/>
      <w:marLeft w:val="0"/>
      <w:marRight w:val="0"/>
      <w:marTop w:val="0"/>
      <w:marBottom w:val="0"/>
      <w:divBdr>
        <w:top w:val="none" w:sz="0" w:space="0" w:color="auto"/>
        <w:left w:val="none" w:sz="0" w:space="0" w:color="auto"/>
        <w:bottom w:val="none" w:sz="0" w:space="0" w:color="auto"/>
        <w:right w:val="none" w:sz="0" w:space="0" w:color="auto"/>
      </w:divBdr>
    </w:div>
    <w:div w:id="137695253">
      <w:bodyDiv w:val="1"/>
      <w:marLeft w:val="0"/>
      <w:marRight w:val="0"/>
      <w:marTop w:val="0"/>
      <w:marBottom w:val="0"/>
      <w:divBdr>
        <w:top w:val="none" w:sz="0" w:space="0" w:color="auto"/>
        <w:left w:val="none" w:sz="0" w:space="0" w:color="auto"/>
        <w:bottom w:val="none" w:sz="0" w:space="0" w:color="auto"/>
        <w:right w:val="none" w:sz="0" w:space="0" w:color="auto"/>
      </w:divBdr>
      <w:divsChild>
        <w:div w:id="2025669697">
          <w:marLeft w:val="480"/>
          <w:marRight w:val="0"/>
          <w:marTop w:val="0"/>
          <w:marBottom w:val="0"/>
          <w:divBdr>
            <w:top w:val="none" w:sz="0" w:space="0" w:color="auto"/>
            <w:left w:val="none" w:sz="0" w:space="0" w:color="auto"/>
            <w:bottom w:val="none" w:sz="0" w:space="0" w:color="auto"/>
            <w:right w:val="none" w:sz="0" w:space="0" w:color="auto"/>
          </w:divBdr>
        </w:div>
        <w:div w:id="79182686">
          <w:marLeft w:val="480"/>
          <w:marRight w:val="0"/>
          <w:marTop w:val="0"/>
          <w:marBottom w:val="0"/>
          <w:divBdr>
            <w:top w:val="none" w:sz="0" w:space="0" w:color="auto"/>
            <w:left w:val="none" w:sz="0" w:space="0" w:color="auto"/>
            <w:bottom w:val="none" w:sz="0" w:space="0" w:color="auto"/>
            <w:right w:val="none" w:sz="0" w:space="0" w:color="auto"/>
          </w:divBdr>
        </w:div>
        <w:div w:id="1555194329">
          <w:marLeft w:val="480"/>
          <w:marRight w:val="0"/>
          <w:marTop w:val="0"/>
          <w:marBottom w:val="0"/>
          <w:divBdr>
            <w:top w:val="none" w:sz="0" w:space="0" w:color="auto"/>
            <w:left w:val="none" w:sz="0" w:space="0" w:color="auto"/>
            <w:bottom w:val="none" w:sz="0" w:space="0" w:color="auto"/>
            <w:right w:val="none" w:sz="0" w:space="0" w:color="auto"/>
          </w:divBdr>
        </w:div>
        <w:div w:id="1510098958">
          <w:marLeft w:val="480"/>
          <w:marRight w:val="0"/>
          <w:marTop w:val="0"/>
          <w:marBottom w:val="0"/>
          <w:divBdr>
            <w:top w:val="none" w:sz="0" w:space="0" w:color="auto"/>
            <w:left w:val="none" w:sz="0" w:space="0" w:color="auto"/>
            <w:bottom w:val="none" w:sz="0" w:space="0" w:color="auto"/>
            <w:right w:val="none" w:sz="0" w:space="0" w:color="auto"/>
          </w:divBdr>
        </w:div>
        <w:div w:id="1356686759">
          <w:marLeft w:val="480"/>
          <w:marRight w:val="0"/>
          <w:marTop w:val="0"/>
          <w:marBottom w:val="0"/>
          <w:divBdr>
            <w:top w:val="none" w:sz="0" w:space="0" w:color="auto"/>
            <w:left w:val="none" w:sz="0" w:space="0" w:color="auto"/>
            <w:bottom w:val="none" w:sz="0" w:space="0" w:color="auto"/>
            <w:right w:val="none" w:sz="0" w:space="0" w:color="auto"/>
          </w:divBdr>
        </w:div>
        <w:div w:id="233206075">
          <w:marLeft w:val="480"/>
          <w:marRight w:val="0"/>
          <w:marTop w:val="0"/>
          <w:marBottom w:val="0"/>
          <w:divBdr>
            <w:top w:val="none" w:sz="0" w:space="0" w:color="auto"/>
            <w:left w:val="none" w:sz="0" w:space="0" w:color="auto"/>
            <w:bottom w:val="none" w:sz="0" w:space="0" w:color="auto"/>
            <w:right w:val="none" w:sz="0" w:space="0" w:color="auto"/>
          </w:divBdr>
        </w:div>
        <w:div w:id="1553346506">
          <w:marLeft w:val="480"/>
          <w:marRight w:val="0"/>
          <w:marTop w:val="0"/>
          <w:marBottom w:val="0"/>
          <w:divBdr>
            <w:top w:val="none" w:sz="0" w:space="0" w:color="auto"/>
            <w:left w:val="none" w:sz="0" w:space="0" w:color="auto"/>
            <w:bottom w:val="none" w:sz="0" w:space="0" w:color="auto"/>
            <w:right w:val="none" w:sz="0" w:space="0" w:color="auto"/>
          </w:divBdr>
        </w:div>
        <w:div w:id="246885183">
          <w:marLeft w:val="480"/>
          <w:marRight w:val="0"/>
          <w:marTop w:val="0"/>
          <w:marBottom w:val="0"/>
          <w:divBdr>
            <w:top w:val="none" w:sz="0" w:space="0" w:color="auto"/>
            <w:left w:val="none" w:sz="0" w:space="0" w:color="auto"/>
            <w:bottom w:val="none" w:sz="0" w:space="0" w:color="auto"/>
            <w:right w:val="none" w:sz="0" w:space="0" w:color="auto"/>
          </w:divBdr>
        </w:div>
        <w:div w:id="708920410">
          <w:marLeft w:val="480"/>
          <w:marRight w:val="0"/>
          <w:marTop w:val="0"/>
          <w:marBottom w:val="0"/>
          <w:divBdr>
            <w:top w:val="none" w:sz="0" w:space="0" w:color="auto"/>
            <w:left w:val="none" w:sz="0" w:space="0" w:color="auto"/>
            <w:bottom w:val="none" w:sz="0" w:space="0" w:color="auto"/>
            <w:right w:val="none" w:sz="0" w:space="0" w:color="auto"/>
          </w:divBdr>
        </w:div>
        <w:div w:id="198275323">
          <w:marLeft w:val="480"/>
          <w:marRight w:val="0"/>
          <w:marTop w:val="0"/>
          <w:marBottom w:val="0"/>
          <w:divBdr>
            <w:top w:val="none" w:sz="0" w:space="0" w:color="auto"/>
            <w:left w:val="none" w:sz="0" w:space="0" w:color="auto"/>
            <w:bottom w:val="none" w:sz="0" w:space="0" w:color="auto"/>
            <w:right w:val="none" w:sz="0" w:space="0" w:color="auto"/>
          </w:divBdr>
        </w:div>
        <w:div w:id="1446465774">
          <w:marLeft w:val="480"/>
          <w:marRight w:val="0"/>
          <w:marTop w:val="0"/>
          <w:marBottom w:val="0"/>
          <w:divBdr>
            <w:top w:val="none" w:sz="0" w:space="0" w:color="auto"/>
            <w:left w:val="none" w:sz="0" w:space="0" w:color="auto"/>
            <w:bottom w:val="none" w:sz="0" w:space="0" w:color="auto"/>
            <w:right w:val="none" w:sz="0" w:space="0" w:color="auto"/>
          </w:divBdr>
        </w:div>
        <w:div w:id="1673336031">
          <w:marLeft w:val="480"/>
          <w:marRight w:val="0"/>
          <w:marTop w:val="0"/>
          <w:marBottom w:val="0"/>
          <w:divBdr>
            <w:top w:val="none" w:sz="0" w:space="0" w:color="auto"/>
            <w:left w:val="none" w:sz="0" w:space="0" w:color="auto"/>
            <w:bottom w:val="none" w:sz="0" w:space="0" w:color="auto"/>
            <w:right w:val="none" w:sz="0" w:space="0" w:color="auto"/>
          </w:divBdr>
        </w:div>
        <w:div w:id="834033310">
          <w:marLeft w:val="480"/>
          <w:marRight w:val="0"/>
          <w:marTop w:val="0"/>
          <w:marBottom w:val="0"/>
          <w:divBdr>
            <w:top w:val="none" w:sz="0" w:space="0" w:color="auto"/>
            <w:left w:val="none" w:sz="0" w:space="0" w:color="auto"/>
            <w:bottom w:val="none" w:sz="0" w:space="0" w:color="auto"/>
            <w:right w:val="none" w:sz="0" w:space="0" w:color="auto"/>
          </w:divBdr>
        </w:div>
        <w:div w:id="641886966">
          <w:marLeft w:val="480"/>
          <w:marRight w:val="0"/>
          <w:marTop w:val="0"/>
          <w:marBottom w:val="0"/>
          <w:divBdr>
            <w:top w:val="none" w:sz="0" w:space="0" w:color="auto"/>
            <w:left w:val="none" w:sz="0" w:space="0" w:color="auto"/>
            <w:bottom w:val="none" w:sz="0" w:space="0" w:color="auto"/>
            <w:right w:val="none" w:sz="0" w:space="0" w:color="auto"/>
          </w:divBdr>
        </w:div>
        <w:div w:id="1613247753">
          <w:marLeft w:val="480"/>
          <w:marRight w:val="0"/>
          <w:marTop w:val="0"/>
          <w:marBottom w:val="0"/>
          <w:divBdr>
            <w:top w:val="none" w:sz="0" w:space="0" w:color="auto"/>
            <w:left w:val="none" w:sz="0" w:space="0" w:color="auto"/>
            <w:bottom w:val="none" w:sz="0" w:space="0" w:color="auto"/>
            <w:right w:val="none" w:sz="0" w:space="0" w:color="auto"/>
          </w:divBdr>
        </w:div>
        <w:div w:id="1609041797">
          <w:marLeft w:val="480"/>
          <w:marRight w:val="0"/>
          <w:marTop w:val="0"/>
          <w:marBottom w:val="0"/>
          <w:divBdr>
            <w:top w:val="none" w:sz="0" w:space="0" w:color="auto"/>
            <w:left w:val="none" w:sz="0" w:space="0" w:color="auto"/>
            <w:bottom w:val="none" w:sz="0" w:space="0" w:color="auto"/>
            <w:right w:val="none" w:sz="0" w:space="0" w:color="auto"/>
          </w:divBdr>
        </w:div>
        <w:div w:id="366218118">
          <w:marLeft w:val="480"/>
          <w:marRight w:val="0"/>
          <w:marTop w:val="0"/>
          <w:marBottom w:val="0"/>
          <w:divBdr>
            <w:top w:val="none" w:sz="0" w:space="0" w:color="auto"/>
            <w:left w:val="none" w:sz="0" w:space="0" w:color="auto"/>
            <w:bottom w:val="none" w:sz="0" w:space="0" w:color="auto"/>
            <w:right w:val="none" w:sz="0" w:space="0" w:color="auto"/>
          </w:divBdr>
        </w:div>
        <w:div w:id="499007278">
          <w:marLeft w:val="480"/>
          <w:marRight w:val="0"/>
          <w:marTop w:val="0"/>
          <w:marBottom w:val="0"/>
          <w:divBdr>
            <w:top w:val="none" w:sz="0" w:space="0" w:color="auto"/>
            <w:left w:val="none" w:sz="0" w:space="0" w:color="auto"/>
            <w:bottom w:val="none" w:sz="0" w:space="0" w:color="auto"/>
            <w:right w:val="none" w:sz="0" w:space="0" w:color="auto"/>
          </w:divBdr>
        </w:div>
        <w:div w:id="1574705988">
          <w:marLeft w:val="480"/>
          <w:marRight w:val="0"/>
          <w:marTop w:val="0"/>
          <w:marBottom w:val="0"/>
          <w:divBdr>
            <w:top w:val="none" w:sz="0" w:space="0" w:color="auto"/>
            <w:left w:val="none" w:sz="0" w:space="0" w:color="auto"/>
            <w:bottom w:val="none" w:sz="0" w:space="0" w:color="auto"/>
            <w:right w:val="none" w:sz="0" w:space="0" w:color="auto"/>
          </w:divBdr>
        </w:div>
        <w:div w:id="2131239452">
          <w:marLeft w:val="480"/>
          <w:marRight w:val="0"/>
          <w:marTop w:val="0"/>
          <w:marBottom w:val="0"/>
          <w:divBdr>
            <w:top w:val="none" w:sz="0" w:space="0" w:color="auto"/>
            <w:left w:val="none" w:sz="0" w:space="0" w:color="auto"/>
            <w:bottom w:val="none" w:sz="0" w:space="0" w:color="auto"/>
            <w:right w:val="none" w:sz="0" w:space="0" w:color="auto"/>
          </w:divBdr>
        </w:div>
        <w:div w:id="361326874">
          <w:marLeft w:val="480"/>
          <w:marRight w:val="0"/>
          <w:marTop w:val="0"/>
          <w:marBottom w:val="0"/>
          <w:divBdr>
            <w:top w:val="none" w:sz="0" w:space="0" w:color="auto"/>
            <w:left w:val="none" w:sz="0" w:space="0" w:color="auto"/>
            <w:bottom w:val="none" w:sz="0" w:space="0" w:color="auto"/>
            <w:right w:val="none" w:sz="0" w:space="0" w:color="auto"/>
          </w:divBdr>
        </w:div>
        <w:div w:id="1608387732">
          <w:marLeft w:val="480"/>
          <w:marRight w:val="0"/>
          <w:marTop w:val="0"/>
          <w:marBottom w:val="0"/>
          <w:divBdr>
            <w:top w:val="none" w:sz="0" w:space="0" w:color="auto"/>
            <w:left w:val="none" w:sz="0" w:space="0" w:color="auto"/>
            <w:bottom w:val="none" w:sz="0" w:space="0" w:color="auto"/>
            <w:right w:val="none" w:sz="0" w:space="0" w:color="auto"/>
          </w:divBdr>
        </w:div>
        <w:div w:id="395131874">
          <w:marLeft w:val="480"/>
          <w:marRight w:val="0"/>
          <w:marTop w:val="0"/>
          <w:marBottom w:val="0"/>
          <w:divBdr>
            <w:top w:val="none" w:sz="0" w:space="0" w:color="auto"/>
            <w:left w:val="none" w:sz="0" w:space="0" w:color="auto"/>
            <w:bottom w:val="none" w:sz="0" w:space="0" w:color="auto"/>
            <w:right w:val="none" w:sz="0" w:space="0" w:color="auto"/>
          </w:divBdr>
        </w:div>
        <w:div w:id="101922683">
          <w:marLeft w:val="480"/>
          <w:marRight w:val="0"/>
          <w:marTop w:val="0"/>
          <w:marBottom w:val="0"/>
          <w:divBdr>
            <w:top w:val="none" w:sz="0" w:space="0" w:color="auto"/>
            <w:left w:val="none" w:sz="0" w:space="0" w:color="auto"/>
            <w:bottom w:val="none" w:sz="0" w:space="0" w:color="auto"/>
            <w:right w:val="none" w:sz="0" w:space="0" w:color="auto"/>
          </w:divBdr>
        </w:div>
        <w:div w:id="695815878">
          <w:marLeft w:val="480"/>
          <w:marRight w:val="0"/>
          <w:marTop w:val="0"/>
          <w:marBottom w:val="0"/>
          <w:divBdr>
            <w:top w:val="none" w:sz="0" w:space="0" w:color="auto"/>
            <w:left w:val="none" w:sz="0" w:space="0" w:color="auto"/>
            <w:bottom w:val="none" w:sz="0" w:space="0" w:color="auto"/>
            <w:right w:val="none" w:sz="0" w:space="0" w:color="auto"/>
          </w:divBdr>
        </w:div>
        <w:div w:id="730348343">
          <w:marLeft w:val="480"/>
          <w:marRight w:val="0"/>
          <w:marTop w:val="0"/>
          <w:marBottom w:val="0"/>
          <w:divBdr>
            <w:top w:val="none" w:sz="0" w:space="0" w:color="auto"/>
            <w:left w:val="none" w:sz="0" w:space="0" w:color="auto"/>
            <w:bottom w:val="none" w:sz="0" w:space="0" w:color="auto"/>
            <w:right w:val="none" w:sz="0" w:space="0" w:color="auto"/>
          </w:divBdr>
        </w:div>
        <w:div w:id="539324387">
          <w:marLeft w:val="480"/>
          <w:marRight w:val="0"/>
          <w:marTop w:val="0"/>
          <w:marBottom w:val="0"/>
          <w:divBdr>
            <w:top w:val="none" w:sz="0" w:space="0" w:color="auto"/>
            <w:left w:val="none" w:sz="0" w:space="0" w:color="auto"/>
            <w:bottom w:val="none" w:sz="0" w:space="0" w:color="auto"/>
            <w:right w:val="none" w:sz="0" w:space="0" w:color="auto"/>
          </w:divBdr>
        </w:div>
        <w:div w:id="1680546384">
          <w:marLeft w:val="480"/>
          <w:marRight w:val="0"/>
          <w:marTop w:val="0"/>
          <w:marBottom w:val="0"/>
          <w:divBdr>
            <w:top w:val="none" w:sz="0" w:space="0" w:color="auto"/>
            <w:left w:val="none" w:sz="0" w:space="0" w:color="auto"/>
            <w:bottom w:val="none" w:sz="0" w:space="0" w:color="auto"/>
            <w:right w:val="none" w:sz="0" w:space="0" w:color="auto"/>
          </w:divBdr>
        </w:div>
        <w:div w:id="1332175025">
          <w:marLeft w:val="480"/>
          <w:marRight w:val="0"/>
          <w:marTop w:val="0"/>
          <w:marBottom w:val="0"/>
          <w:divBdr>
            <w:top w:val="none" w:sz="0" w:space="0" w:color="auto"/>
            <w:left w:val="none" w:sz="0" w:space="0" w:color="auto"/>
            <w:bottom w:val="none" w:sz="0" w:space="0" w:color="auto"/>
            <w:right w:val="none" w:sz="0" w:space="0" w:color="auto"/>
          </w:divBdr>
        </w:div>
        <w:div w:id="522086974">
          <w:marLeft w:val="480"/>
          <w:marRight w:val="0"/>
          <w:marTop w:val="0"/>
          <w:marBottom w:val="0"/>
          <w:divBdr>
            <w:top w:val="none" w:sz="0" w:space="0" w:color="auto"/>
            <w:left w:val="none" w:sz="0" w:space="0" w:color="auto"/>
            <w:bottom w:val="none" w:sz="0" w:space="0" w:color="auto"/>
            <w:right w:val="none" w:sz="0" w:space="0" w:color="auto"/>
          </w:divBdr>
        </w:div>
        <w:div w:id="1472399844">
          <w:marLeft w:val="480"/>
          <w:marRight w:val="0"/>
          <w:marTop w:val="0"/>
          <w:marBottom w:val="0"/>
          <w:divBdr>
            <w:top w:val="none" w:sz="0" w:space="0" w:color="auto"/>
            <w:left w:val="none" w:sz="0" w:space="0" w:color="auto"/>
            <w:bottom w:val="none" w:sz="0" w:space="0" w:color="auto"/>
            <w:right w:val="none" w:sz="0" w:space="0" w:color="auto"/>
          </w:divBdr>
        </w:div>
        <w:div w:id="1361591386">
          <w:marLeft w:val="480"/>
          <w:marRight w:val="0"/>
          <w:marTop w:val="0"/>
          <w:marBottom w:val="0"/>
          <w:divBdr>
            <w:top w:val="none" w:sz="0" w:space="0" w:color="auto"/>
            <w:left w:val="none" w:sz="0" w:space="0" w:color="auto"/>
            <w:bottom w:val="none" w:sz="0" w:space="0" w:color="auto"/>
            <w:right w:val="none" w:sz="0" w:space="0" w:color="auto"/>
          </w:divBdr>
        </w:div>
        <w:div w:id="1418013042">
          <w:marLeft w:val="480"/>
          <w:marRight w:val="0"/>
          <w:marTop w:val="0"/>
          <w:marBottom w:val="0"/>
          <w:divBdr>
            <w:top w:val="none" w:sz="0" w:space="0" w:color="auto"/>
            <w:left w:val="none" w:sz="0" w:space="0" w:color="auto"/>
            <w:bottom w:val="none" w:sz="0" w:space="0" w:color="auto"/>
            <w:right w:val="none" w:sz="0" w:space="0" w:color="auto"/>
          </w:divBdr>
        </w:div>
        <w:div w:id="1686469846">
          <w:marLeft w:val="480"/>
          <w:marRight w:val="0"/>
          <w:marTop w:val="0"/>
          <w:marBottom w:val="0"/>
          <w:divBdr>
            <w:top w:val="none" w:sz="0" w:space="0" w:color="auto"/>
            <w:left w:val="none" w:sz="0" w:space="0" w:color="auto"/>
            <w:bottom w:val="none" w:sz="0" w:space="0" w:color="auto"/>
            <w:right w:val="none" w:sz="0" w:space="0" w:color="auto"/>
          </w:divBdr>
        </w:div>
        <w:div w:id="1309281077">
          <w:marLeft w:val="480"/>
          <w:marRight w:val="0"/>
          <w:marTop w:val="0"/>
          <w:marBottom w:val="0"/>
          <w:divBdr>
            <w:top w:val="none" w:sz="0" w:space="0" w:color="auto"/>
            <w:left w:val="none" w:sz="0" w:space="0" w:color="auto"/>
            <w:bottom w:val="none" w:sz="0" w:space="0" w:color="auto"/>
            <w:right w:val="none" w:sz="0" w:space="0" w:color="auto"/>
          </w:divBdr>
        </w:div>
        <w:div w:id="534735448">
          <w:marLeft w:val="480"/>
          <w:marRight w:val="0"/>
          <w:marTop w:val="0"/>
          <w:marBottom w:val="0"/>
          <w:divBdr>
            <w:top w:val="none" w:sz="0" w:space="0" w:color="auto"/>
            <w:left w:val="none" w:sz="0" w:space="0" w:color="auto"/>
            <w:bottom w:val="none" w:sz="0" w:space="0" w:color="auto"/>
            <w:right w:val="none" w:sz="0" w:space="0" w:color="auto"/>
          </w:divBdr>
        </w:div>
        <w:div w:id="885416075">
          <w:marLeft w:val="480"/>
          <w:marRight w:val="0"/>
          <w:marTop w:val="0"/>
          <w:marBottom w:val="0"/>
          <w:divBdr>
            <w:top w:val="none" w:sz="0" w:space="0" w:color="auto"/>
            <w:left w:val="none" w:sz="0" w:space="0" w:color="auto"/>
            <w:bottom w:val="none" w:sz="0" w:space="0" w:color="auto"/>
            <w:right w:val="none" w:sz="0" w:space="0" w:color="auto"/>
          </w:divBdr>
        </w:div>
        <w:div w:id="1105687417">
          <w:marLeft w:val="480"/>
          <w:marRight w:val="0"/>
          <w:marTop w:val="0"/>
          <w:marBottom w:val="0"/>
          <w:divBdr>
            <w:top w:val="none" w:sz="0" w:space="0" w:color="auto"/>
            <w:left w:val="none" w:sz="0" w:space="0" w:color="auto"/>
            <w:bottom w:val="none" w:sz="0" w:space="0" w:color="auto"/>
            <w:right w:val="none" w:sz="0" w:space="0" w:color="auto"/>
          </w:divBdr>
        </w:div>
        <w:div w:id="1905990821">
          <w:marLeft w:val="480"/>
          <w:marRight w:val="0"/>
          <w:marTop w:val="0"/>
          <w:marBottom w:val="0"/>
          <w:divBdr>
            <w:top w:val="none" w:sz="0" w:space="0" w:color="auto"/>
            <w:left w:val="none" w:sz="0" w:space="0" w:color="auto"/>
            <w:bottom w:val="none" w:sz="0" w:space="0" w:color="auto"/>
            <w:right w:val="none" w:sz="0" w:space="0" w:color="auto"/>
          </w:divBdr>
        </w:div>
        <w:div w:id="159539916">
          <w:marLeft w:val="480"/>
          <w:marRight w:val="0"/>
          <w:marTop w:val="0"/>
          <w:marBottom w:val="0"/>
          <w:divBdr>
            <w:top w:val="none" w:sz="0" w:space="0" w:color="auto"/>
            <w:left w:val="none" w:sz="0" w:space="0" w:color="auto"/>
            <w:bottom w:val="none" w:sz="0" w:space="0" w:color="auto"/>
            <w:right w:val="none" w:sz="0" w:space="0" w:color="auto"/>
          </w:divBdr>
        </w:div>
        <w:div w:id="1194536775">
          <w:marLeft w:val="480"/>
          <w:marRight w:val="0"/>
          <w:marTop w:val="0"/>
          <w:marBottom w:val="0"/>
          <w:divBdr>
            <w:top w:val="none" w:sz="0" w:space="0" w:color="auto"/>
            <w:left w:val="none" w:sz="0" w:space="0" w:color="auto"/>
            <w:bottom w:val="none" w:sz="0" w:space="0" w:color="auto"/>
            <w:right w:val="none" w:sz="0" w:space="0" w:color="auto"/>
          </w:divBdr>
        </w:div>
        <w:div w:id="91904532">
          <w:marLeft w:val="480"/>
          <w:marRight w:val="0"/>
          <w:marTop w:val="0"/>
          <w:marBottom w:val="0"/>
          <w:divBdr>
            <w:top w:val="none" w:sz="0" w:space="0" w:color="auto"/>
            <w:left w:val="none" w:sz="0" w:space="0" w:color="auto"/>
            <w:bottom w:val="none" w:sz="0" w:space="0" w:color="auto"/>
            <w:right w:val="none" w:sz="0" w:space="0" w:color="auto"/>
          </w:divBdr>
        </w:div>
        <w:div w:id="294332990">
          <w:marLeft w:val="480"/>
          <w:marRight w:val="0"/>
          <w:marTop w:val="0"/>
          <w:marBottom w:val="0"/>
          <w:divBdr>
            <w:top w:val="none" w:sz="0" w:space="0" w:color="auto"/>
            <w:left w:val="none" w:sz="0" w:space="0" w:color="auto"/>
            <w:bottom w:val="none" w:sz="0" w:space="0" w:color="auto"/>
            <w:right w:val="none" w:sz="0" w:space="0" w:color="auto"/>
          </w:divBdr>
        </w:div>
        <w:div w:id="527062301">
          <w:marLeft w:val="480"/>
          <w:marRight w:val="0"/>
          <w:marTop w:val="0"/>
          <w:marBottom w:val="0"/>
          <w:divBdr>
            <w:top w:val="none" w:sz="0" w:space="0" w:color="auto"/>
            <w:left w:val="none" w:sz="0" w:space="0" w:color="auto"/>
            <w:bottom w:val="none" w:sz="0" w:space="0" w:color="auto"/>
            <w:right w:val="none" w:sz="0" w:space="0" w:color="auto"/>
          </w:divBdr>
        </w:div>
        <w:div w:id="2137943230">
          <w:marLeft w:val="480"/>
          <w:marRight w:val="0"/>
          <w:marTop w:val="0"/>
          <w:marBottom w:val="0"/>
          <w:divBdr>
            <w:top w:val="none" w:sz="0" w:space="0" w:color="auto"/>
            <w:left w:val="none" w:sz="0" w:space="0" w:color="auto"/>
            <w:bottom w:val="none" w:sz="0" w:space="0" w:color="auto"/>
            <w:right w:val="none" w:sz="0" w:space="0" w:color="auto"/>
          </w:divBdr>
        </w:div>
        <w:div w:id="1131631825">
          <w:marLeft w:val="480"/>
          <w:marRight w:val="0"/>
          <w:marTop w:val="0"/>
          <w:marBottom w:val="0"/>
          <w:divBdr>
            <w:top w:val="none" w:sz="0" w:space="0" w:color="auto"/>
            <w:left w:val="none" w:sz="0" w:space="0" w:color="auto"/>
            <w:bottom w:val="none" w:sz="0" w:space="0" w:color="auto"/>
            <w:right w:val="none" w:sz="0" w:space="0" w:color="auto"/>
          </w:divBdr>
        </w:div>
        <w:div w:id="802188775">
          <w:marLeft w:val="480"/>
          <w:marRight w:val="0"/>
          <w:marTop w:val="0"/>
          <w:marBottom w:val="0"/>
          <w:divBdr>
            <w:top w:val="none" w:sz="0" w:space="0" w:color="auto"/>
            <w:left w:val="none" w:sz="0" w:space="0" w:color="auto"/>
            <w:bottom w:val="none" w:sz="0" w:space="0" w:color="auto"/>
            <w:right w:val="none" w:sz="0" w:space="0" w:color="auto"/>
          </w:divBdr>
        </w:div>
        <w:div w:id="1367178275">
          <w:marLeft w:val="480"/>
          <w:marRight w:val="0"/>
          <w:marTop w:val="0"/>
          <w:marBottom w:val="0"/>
          <w:divBdr>
            <w:top w:val="none" w:sz="0" w:space="0" w:color="auto"/>
            <w:left w:val="none" w:sz="0" w:space="0" w:color="auto"/>
            <w:bottom w:val="none" w:sz="0" w:space="0" w:color="auto"/>
            <w:right w:val="none" w:sz="0" w:space="0" w:color="auto"/>
          </w:divBdr>
        </w:div>
        <w:div w:id="657224413">
          <w:marLeft w:val="480"/>
          <w:marRight w:val="0"/>
          <w:marTop w:val="0"/>
          <w:marBottom w:val="0"/>
          <w:divBdr>
            <w:top w:val="none" w:sz="0" w:space="0" w:color="auto"/>
            <w:left w:val="none" w:sz="0" w:space="0" w:color="auto"/>
            <w:bottom w:val="none" w:sz="0" w:space="0" w:color="auto"/>
            <w:right w:val="none" w:sz="0" w:space="0" w:color="auto"/>
          </w:divBdr>
        </w:div>
        <w:div w:id="640959689">
          <w:marLeft w:val="480"/>
          <w:marRight w:val="0"/>
          <w:marTop w:val="0"/>
          <w:marBottom w:val="0"/>
          <w:divBdr>
            <w:top w:val="none" w:sz="0" w:space="0" w:color="auto"/>
            <w:left w:val="none" w:sz="0" w:space="0" w:color="auto"/>
            <w:bottom w:val="none" w:sz="0" w:space="0" w:color="auto"/>
            <w:right w:val="none" w:sz="0" w:space="0" w:color="auto"/>
          </w:divBdr>
        </w:div>
        <w:div w:id="322318870">
          <w:marLeft w:val="480"/>
          <w:marRight w:val="0"/>
          <w:marTop w:val="0"/>
          <w:marBottom w:val="0"/>
          <w:divBdr>
            <w:top w:val="none" w:sz="0" w:space="0" w:color="auto"/>
            <w:left w:val="none" w:sz="0" w:space="0" w:color="auto"/>
            <w:bottom w:val="none" w:sz="0" w:space="0" w:color="auto"/>
            <w:right w:val="none" w:sz="0" w:space="0" w:color="auto"/>
          </w:divBdr>
        </w:div>
        <w:div w:id="1181428114">
          <w:marLeft w:val="480"/>
          <w:marRight w:val="0"/>
          <w:marTop w:val="0"/>
          <w:marBottom w:val="0"/>
          <w:divBdr>
            <w:top w:val="none" w:sz="0" w:space="0" w:color="auto"/>
            <w:left w:val="none" w:sz="0" w:space="0" w:color="auto"/>
            <w:bottom w:val="none" w:sz="0" w:space="0" w:color="auto"/>
            <w:right w:val="none" w:sz="0" w:space="0" w:color="auto"/>
          </w:divBdr>
        </w:div>
        <w:div w:id="278994074">
          <w:marLeft w:val="480"/>
          <w:marRight w:val="0"/>
          <w:marTop w:val="0"/>
          <w:marBottom w:val="0"/>
          <w:divBdr>
            <w:top w:val="none" w:sz="0" w:space="0" w:color="auto"/>
            <w:left w:val="none" w:sz="0" w:space="0" w:color="auto"/>
            <w:bottom w:val="none" w:sz="0" w:space="0" w:color="auto"/>
            <w:right w:val="none" w:sz="0" w:space="0" w:color="auto"/>
          </w:divBdr>
        </w:div>
        <w:div w:id="389891637">
          <w:marLeft w:val="480"/>
          <w:marRight w:val="0"/>
          <w:marTop w:val="0"/>
          <w:marBottom w:val="0"/>
          <w:divBdr>
            <w:top w:val="none" w:sz="0" w:space="0" w:color="auto"/>
            <w:left w:val="none" w:sz="0" w:space="0" w:color="auto"/>
            <w:bottom w:val="none" w:sz="0" w:space="0" w:color="auto"/>
            <w:right w:val="none" w:sz="0" w:space="0" w:color="auto"/>
          </w:divBdr>
        </w:div>
        <w:div w:id="664627435">
          <w:marLeft w:val="480"/>
          <w:marRight w:val="0"/>
          <w:marTop w:val="0"/>
          <w:marBottom w:val="0"/>
          <w:divBdr>
            <w:top w:val="none" w:sz="0" w:space="0" w:color="auto"/>
            <w:left w:val="none" w:sz="0" w:space="0" w:color="auto"/>
            <w:bottom w:val="none" w:sz="0" w:space="0" w:color="auto"/>
            <w:right w:val="none" w:sz="0" w:space="0" w:color="auto"/>
          </w:divBdr>
        </w:div>
        <w:div w:id="1596014253">
          <w:marLeft w:val="480"/>
          <w:marRight w:val="0"/>
          <w:marTop w:val="0"/>
          <w:marBottom w:val="0"/>
          <w:divBdr>
            <w:top w:val="none" w:sz="0" w:space="0" w:color="auto"/>
            <w:left w:val="none" w:sz="0" w:space="0" w:color="auto"/>
            <w:bottom w:val="none" w:sz="0" w:space="0" w:color="auto"/>
            <w:right w:val="none" w:sz="0" w:space="0" w:color="auto"/>
          </w:divBdr>
        </w:div>
        <w:div w:id="890337869">
          <w:marLeft w:val="480"/>
          <w:marRight w:val="0"/>
          <w:marTop w:val="0"/>
          <w:marBottom w:val="0"/>
          <w:divBdr>
            <w:top w:val="none" w:sz="0" w:space="0" w:color="auto"/>
            <w:left w:val="none" w:sz="0" w:space="0" w:color="auto"/>
            <w:bottom w:val="none" w:sz="0" w:space="0" w:color="auto"/>
            <w:right w:val="none" w:sz="0" w:space="0" w:color="auto"/>
          </w:divBdr>
        </w:div>
        <w:div w:id="715810399">
          <w:marLeft w:val="480"/>
          <w:marRight w:val="0"/>
          <w:marTop w:val="0"/>
          <w:marBottom w:val="0"/>
          <w:divBdr>
            <w:top w:val="none" w:sz="0" w:space="0" w:color="auto"/>
            <w:left w:val="none" w:sz="0" w:space="0" w:color="auto"/>
            <w:bottom w:val="none" w:sz="0" w:space="0" w:color="auto"/>
            <w:right w:val="none" w:sz="0" w:space="0" w:color="auto"/>
          </w:divBdr>
        </w:div>
        <w:div w:id="127821836">
          <w:marLeft w:val="480"/>
          <w:marRight w:val="0"/>
          <w:marTop w:val="0"/>
          <w:marBottom w:val="0"/>
          <w:divBdr>
            <w:top w:val="none" w:sz="0" w:space="0" w:color="auto"/>
            <w:left w:val="none" w:sz="0" w:space="0" w:color="auto"/>
            <w:bottom w:val="none" w:sz="0" w:space="0" w:color="auto"/>
            <w:right w:val="none" w:sz="0" w:space="0" w:color="auto"/>
          </w:divBdr>
        </w:div>
        <w:div w:id="755638841">
          <w:marLeft w:val="480"/>
          <w:marRight w:val="0"/>
          <w:marTop w:val="0"/>
          <w:marBottom w:val="0"/>
          <w:divBdr>
            <w:top w:val="none" w:sz="0" w:space="0" w:color="auto"/>
            <w:left w:val="none" w:sz="0" w:space="0" w:color="auto"/>
            <w:bottom w:val="none" w:sz="0" w:space="0" w:color="auto"/>
            <w:right w:val="none" w:sz="0" w:space="0" w:color="auto"/>
          </w:divBdr>
        </w:div>
        <w:div w:id="727919594">
          <w:marLeft w:val="480"/>
          <w:marRight w:val="0"/>
          <w:marTop w:val="0"/>
          <w:marBottom w:val="0"/>
          <w:divBdr>
            <w:top w:val="none" w:sz="0" w:space="0" w:color="auto"/>
            <w:left w:val="none" w:sz="0" w:space="0" w:color="auto"/>
            <w:bottom w:val="none" w:sz="0" w:space="0" w:color="auto"/>
            <w:right w:val="none" w:sz="0" w:space="0" w:color="auto"/>
          </w:divBdr>
        </w:div>
        <w:div w:id="536236605">
          <w:marLeft w:val="480"/>
          <w:marRight w:val="0"/>
          <w:marTop w:val="0"/>
          <w:marBottom w:val="0"/>
          <w:divBdr>
            <w:top w:val="none" w:sz="0" w:space="0" w:color="auto"/>
            <w:left w:val="none" w:sz="0" w:space="0" w:color="auto"/>
            <w:bottom w:val="none" w:sz="0" w:space="0" w:color="auto"/>
            <w:right w:val="none" w:sz="0" w:space="0" w:color="auto"/>
          </w:divBdr>
        </w:div>
        <w:div w:id="1759404973">
          <w:marLeft w:val="480"/>
          <w:marRight w:val="0"/>
          <w:marTop w:val="0"/>
          <w:marBottom w:val="0"/>
          <w:divBdr>
            <w:top w:val="none" w:sz="0" w:space="0" w:color="auto"/>
            <w:left w:val="none" w:sz="0" w:space="0" w:color="auto"/>
            <w:bottom w:val="none" w:sz="0" w:space="0" w:color="auto"/>
            <w:right w:val="none" w:sz="0" w:space="0" w:color="auto"/>
          </w:divBdr>
        </w:div>
        <w:div w:id="680083761">
          <w:marLeft w:val="480"/>
          <w:marRight w:val="0"/>
          <w:marTop w:val="0"/>
          <w:marBottom w:val="0"/>
          <w:divBdr>
            <w:top w:val="none" w:sz="0" w:space="0" w:color="auto"/>
            <w:left w:val="none" w:sz="0" w:space="0" w:color="auto"/>
            <w:bottom w:val="none" w:sz="0" w:space="0" w:color="auto"/>
            <w:right w:val="none" w:sz="0" w:space="0" w:color="auto"/>
          </w:divBdr>
        </w:div>
        <w:div w:id="575168673">
          <w:marLeft w:val="480"/>
          <w:marRight w:val="0"/>
          <w:marTop w:val="0"/>
          <w:marBottom w:val="0"/>
          <w:divBdr>
            <w:top w:val="none" w:sz="0" w:space="0" w:color="auto"/>
            <w:left w:val="none" w:sz="0" w:space="0" w:color="auto"/>
            <w:bottom w:val="none" w:sz="0" w:space="0" w:color="auto"/>
            <w:right w:val="none" w:sz="0" w:space="0" w:color="auto"/>
          </w:divBdr>
        </w:div>
        <w:div w:id="845286620">
          <w:marLeft w:val="480"/>
          <w:marRight w:val="0"/>
          <w:marTop w:val="0"/>
          <w:marBottom w:val="0"/>
          <w:divBdr>
            <w:top w:val="none" w:sz="0" w:space="0" w:color="auto"/>
            <w:left w:val="none" w:sz="0" w:space="0" w:color="auto"/>
            <w:bottom w:val="none" w:sz="0" w:space="0" w:color="auto"/>
            <w:right w:val="none" w:sz="0" w:space="0" w:color="auto"/>
          </w:divBdr>
        </w:div>
        <w:div w:id="1321814948">
          <w:marLeft w:val="480"/>
          <w:marRight w:val="0"/>
          <w:marTop w:val="0"/>
          <w:marBottom w:val="0"/>
          <w:divBdr>
            <w:top w:val="none" w:sz="0" w:space="0" w:color="auto"/>
            <w:left w:val="none" w:sz="0" w:space="0" w:color="auto"/>
            <w:bottom w:val="none" w:sz="0" w:space="0" w:color="auto"/>
            <w:right w:val="none" w:sz="0" w:space="0" w:color="auto"/>
          </w:divBdr>
        </w:div>
        <w:div w:id="152648248">
          <w:marLeft w:val="480"/>
          <w:marRight w:val="0"/>
          <w:marTop w:val="0"/>
          <w:marBottom w:val="0"/>
          <w:divBdr>
            <w:top w:val="none" w:sz="0" w:space="0" w:color="auto"/>
            <w:left w:val="none" w:sz="0" w:space="0" w:color="auto"/>
            <w:bottom w:val="none" w:sz="0" w:space="0" w:color="auto"/>
            <w:right w:val="none" w:sz="0" w:space="0" w:color="auto"/>
          </w:divBdr>
        </w:div>
        <w:div w:id="380249504">
          <w:marLeft w:val="480"/>
          <w:marRight w:val="0"/>
          <w:marTop w:val="0"/>
          <w:marBottom w:val="0"/>
          <w:divBdr>
            <w:top w:val="none" w:sz="0" w:space="0" w:color="auto"/>
            <w:left w:val="none" w:sz="0" w:space="0" w:color="auto"/>
            <w:bottom w:val="none" w:sz="0" w:space="0" w:color="auto"/>
            <w:right w:val="none" w:sz="0" w:space="0" w:color="auto"/>
          </w:divBdr>
        </w:div>
        <w:div w:id="88818550">
          <w:marLeft w:val="480"/>
          <w:marRight w:val="0"/>
          <w:marTop w:val="0"/>
          <w:marBottom w:val="0"/>
          <w:divBdr>
            <w:top w:val="none" w:sz="0" w:space="0" w:color="auto"/>
            <w:left w:val="none" w:sz="0" w:space="0" w:color="auto"/>
            <w:bottom w:val="none" w:sz="0" w:space="0" w:color="auto"/>
            <w:right w:val="none" w:sz="0" w:space="0" w:color="auto"/>
          </w:divBdr>
        </w:div>
        <w:div w:id="1727025446">
          <w:marLeft w:val="480"/>
          <w:marRight w:val="0"/>
          <w:marTop w:val="0"/>
          <w:marBottom w:val="0"/>
          <w:divBdr>
            <w:top w:val="none" w:sz="0" w:space="0" w:color="auto"/>
            <w:left w:val="none" w:sz="0" w:space="0" w:color="auto"/>
            <w:bottom w:val="none" w:sz="0" w:space="0" w:color="auto"/>
            <w:right w:val="none" w:sz="0" w:space="0" w:color="auto"/>
          </w:divBdr>
        </w:div>
        <w:div w:id="435708548">
          <w:marLeft w:val="480"/>
          <w:marRight w:val="0"/>
          <w:marTop w:val="0"/>
          <w:marBottom w:val="0"/>
          <w:divBdr>
            <w:top w:val="none" w:sz="0" w:space="0" w:color="auto"/>
            <w:left w:val="none" w:sz="0" w:space="0" w:color="auto"/>
            <w:bottom w:val="none" w:sz="0" w:space="0" w:color="auto"/>
            <w:right w:val="none" w:sz="0" w:space="0" w:color="auto"/>
          </w:divBdr>
        </w:div>
        <w:div w:id="867067534">
          <w:marLeft w:val="480"/>
          <w:marRight w:val="0"/>
          <w:marTop w:val="0"/>
          <w:marBottom w:val="0"/>
          <w:divBdr>
            <w:top w:val="none" w:sz="0" w:space="0" w:color="auto"/>
            <w:left w:val="none" w:sz="0" w:space="0" w:color="auto"/>
            <w:bottom w:val="none" w:sz="0" w:space="0" w:color="auto"/>
            <w:right w:val="none" w:sz="0" w:space="0" w:color="auto"/>
          </w:divBdr>
        </w:div>
        <w:div w:id="518932583">
          <w:marLeft w:val="480"/>
          <w:marRight w:val="0"/>
          <w:marTop w:val="0"/>
          <w:marBottom w:val="0"/>
          <w:divBdr>
            <w:top w:val="none" w:sz="0" w:space="0" w:color="auto"/>
            <w:left w:val="none" w:sz="0" w:space="0" w:color="auto"/>
            <w:bottom w:val="none" w:sz="0" w:space="0" w:color="auto"/>
            <w:right w:val="none" w:sz="0" w:space="0" w:color="auto"/>
          </w:divBdr>
        </w:div>
        <w:div w:id="1989241144">
          <w:marLeft w:val="480"/>
          <w:marRight w:val="0"/>
          <w:marTop w:val="0"/>
          <w:marBottom w:val="0"/>
          <w:divBdr>
            <w:top w:val="none" w:sz="0" w:space="0" w:color="auto"/>
            <w:left w:val="none" w:sz="0" w:space="0" w:color="auto"/>
            <w:bottom w:val="none" w:sz="0" w:space="0" w:color="auto"/>
            <w:right w:val="none" w:sz="0" w:space="0" w:color="auto"/>
          </w:divBdr>
        </w:div>
        <w:div w:id="615405914">
          <w:marLeft w:val="480"/>
          <w:marRight w:val="0"/>
          <w:marTop w:val="0"/>
          <w:marBottom w:val="0"/>
          <w:divBdr>
            <w:top w:val="none" w:sz="0" w:space="0" w:color="auto"/>
            <w:left w:val="none" w:sz="0" w:space="0" w:color="auto"/>
            <w:bottom w:val="none" w:sz="0" w:space="0" w:color="auto"/>
            <w:right w:val="none" w:sz="0" w:space="0" w:color="auto"/>
          </w:divBdr>
        </w:div>
        <w:div w:id="314188997">
          <w:marLeft w:val="480"/>
          <w:marRight w:val="0"/>
          <w:marTop w:val="0"/>
          <w:marBottom w:val="0"/>
          <w:divBdr>
            <w:top w:val="none" w:sz="0" w:space="0" w:color="auto"/>
            <w:left w:val="none" w:sz="0" w:space="0" w:color="auto"/>
            <w:bottom w:val="none" w:sz="0" w:space="0" w:color="auto"/>
            <w:right w:val="none" w:sz="0" w:space="0" w:color="auto"/>
          </w:divBdr>
        </w:div>
        <w:div w:id="1028212480">
          <w:marLeft w:val="480"/>
          <w:marRight w:val="0"/>
          <w:marTop w:val="0"/>
          <w:marBottom w:val="0"/>
          <w:divBdr>
            <w:top w:val="none" w:sz="0" w:space="0" w:color="auto"/>
            <w:left w:val="none" w:sz="0" w:space="0" w:color="auto"/>
            <w:bottom w:val="none" w:sz="0" w:space="0" w:color="auto"/>
            <w:right w:val="none" w:sz="0" w:space="0" w:color="auto"/>
          </w:divBdr>
        </w:div>
        <w:div w:id="1459688418">
          <w:marLeft w:val="480"/>
          <w:marRight w:val="0"/>
          <w:marTop w:val="0"/>
          <w:marBottom w:val="0"/>
          <w:divBdr>
            <w:top w:val="none" w:sz="0" w:space="0" w:color="auto"/>
            <w:left w:val="none" w:sz="0" w:space="0" w:color="auto"/>
            <w:bottom w:val="none" w:sz="0" w:space="0" w:color="auto"/>
            <w:right w:val="none" w:sz="0" w:space="0" w:color="auto"/>
          </w:divBdr>
        </w:div>
        <w:div w:id="2121029175">
          <w:marLeft w:val="480"/>
          <w:marRight w:val="0"/>
          <w:marTop w:val="0"/>
          <w:marBottom w:val="0"/>
          <w:divBdr>
            <w:top w:val="none" w:sz="0" w:space="0" w:color="auto"/>
            <w:left w:val="none" w:sz="0" w:space="0" w:color="auto"/>
            <w:bottom w:val="none" w:sz="0" w:space="0" w:color="auto"/>
            <w:right w:val="none" w:sz="0" w:space="0" w:color="auto"/>
          </w:divBdr>
        </w:div>
        <w:div w:id="1084187470">
          <w:marLeft w:val="480"/>
          <w:marRight w:val="0"/>
          <w:marTop w:val="0"/>
          <w:marBottom w:val="0"/>
          <w:divBdr>
            <w:top w:val="none" w:sz="0" w:space="0" w:color="auto"/>
            <w:left w:val="none" w:sz="0" w:space="0" w:color="auto"/>
            <w:bottom w:val="none" w:sz="0" w:space="0" w:color="auto"/>
            <w:right w:val="none" w:sz="0" w:space="0" w:color="auto"/>
          </w:divBdr>
        </w:div>
        <w:div w:id="363335980">
          <w:marLeft w:val="480"/>
          <w:marRight w:val="0"/>
          <w:marTop w:val="0"/>
          <w:marBottom w:val="0"/>
          <w:divBdr>
            <w:top w:val="none" w:sz="0" w:space="0" w:color="auto"/>
            <w:left w:val="none" w:sz="0" w:space="0" w:color="auto"/>
            <w:bottom w:val="none" w:sz="0" w:space="0" w:color="auto"/>
            <w:right w:val="none" w:sz="0" w:space="0" w:color="auto"/>
          </w:divBdr>
        </w:div>
        <w:div w:id="830367909">
          <w:marLeft w:val="480"/>
          <w:marRight w:val="0"/>
          <w:marTop w:val="0"/>
          <w:marBottom w:val="0"/>
          <w:divBdr>
            <w:top w:val="none" w:sz="0" w:space="0" w:color="auto"/>
            <w:left w:val="none" w:sz="0" w:space="0" w:color="auto"/>
            <w:bottom w:val="none" w:sz="0" w:space="0" w:color="auto"/>
            <w:right w:val="none" w:sz="0" w:space="0" w:color="auto"/>
          </w:divBdr>
        </w:div>
        <w:div w:id="779684557">
          <w:marLeft w:val="480"/>
          <w:marRight w:val="0"/>
          <w:marTop w:val="0"/>
          <w:marBottom w:val="0"/>
          <w:divBdr>
            <w:top w:val="none" w:sz="0" w:space="0" w:color="auto"/>
            <w:left w:val="none" w:sz="0" w:space="0" w:color="auto"/>
            <w:bottom w:val="none" w:sz="0" w:space="0" w:color="auto"/>
            <w:right w:val="none" w:sz="0" w:space="0" w:color="auto"/>
          </w:divBdr>
        </w:div>
        <w:div w:id="2063552641">
          <w:marLeft w:val="480"/>
          <w:marRight w:val="0"/>
          <w:marTop w:val="0"/>
          <w:marBottom w:val="0"/>
          <w:divBdr>
            <w:top w:val="none" w:sz="0" w:space="0" w:color="auto"/>
            <w:left w:val="none" w:sz="0" w:space="0" w:color="auto"/>
            <w:bottom w:val="none" w:sz="0" w:space="0" w:color="auto"/>
            <w:right w:val="none" w:sz="0" w:space="0" w:color="auto"/>
          </w:divBdr>
        </w:div>
        <w:div w:id="1175876153">
          <w:marLeft w:val="480"/>
          <w:marRight w:val="0"/>
          <w:marTop w:val="0"/>
          <w:marBottom w:val="0"/>
          <w:divBdr>
            <w:top w:val="none" w:sz="0" w:space="0" w:color="auto"/>
            <w:left w:val="none" w:sz="0" w:space="0" w:color="auto"/>
            <w:bottom w:val="none" w:sz="0" w:space="0" w:color="auto"/>
            <w:right w:val="none" w:sz="0" w:space="0" w:color="auto"/>
          </w:divBdr>
        </w:div>
        <w:div w:id="1040665112">
          <w:marLeft w:val="480"/>
          <w:marRight w:val="0"/>
          <w:marTop w:val="0"/>
          <w:marBottom w:val="0"/>
          <w:divBdr>
            <w:top w:val="none" w:sz="0" w:space="0" w:color="auto"/>
            <w:left w:val="none" w:sz="0" w:space="0" w:color="auto"/>
            <w:bottom w:val="none" w:sz="0" w:space="0" w:color="auto"/>
            <w:right w:val="none" w:sz="0" w:space="0" w:color="auto"/>
          </w:divBdr>
        </w:div>
        <w:div w:id="539391949">
          <w:marLeft w:val="480"/>
          <w:marRight w:val="0"/>
          <w:marTop w:val="0"/>
          <w:marBottom w:val="0"/>
          <w:divBdr>
            <w:top w:val="none" w:sz="0" w:space="0" w:color="auto"/>
            <w:left w:val="none" w:sz="0" w:space="0" w:color="auto"/>
            <w:bottom w:val="none" w:sz="0" w:space="0" w:color="auto"/>
            <w:right w:val="none" w:sz="0" w:space="0" w:color="auto"/>
          </w:divBdr>
        </w:div>
        <w:div w:id="1892840016">
          <w:marLeft w:val="480"/>
          <w:marRight w:val="0"/>
          <w:marTop w:val="0"/>
          <w:marBottom w:val="0"/>
          <w:divBdr>
            <w:top w:val="none" w:sz="0" w:space="0" w:color="auto"/>
            <w:left w:val="none" w:sz="0" w:space="0" w:color="auto"/>
            <w:bottom w:val="none" w:sz="0" w:space="0" w:color="auto"/>
            <w:right w:val="none" w:sz="0" w:space="0" w:color="auto"/>
          </w:divBdr>
        </w:div>
        <w:div w:id="1190141727">
          <w:marLeft w:val="480"/>
          <w:marRight w:val="0"/>
          <w:marTop w:val="0"/>
          <w:marBottom w:val="0"/>
          <w:divBdr>
            <w:top w:val="none" w:sz="0" w:space="0" w:color="auto"/>
            <w:left w:val="none" w:sz="0" w:space="0" w:color="auto"/>
            <w:bottom w:val="none" w:sz="0" w:space="0" w:color="auto"/>
            <w:right w:val="none" w:sz="0" w:space="0" w:color="auto"/>
          </w:divBdr>
        </w:div>
        <w:div w:id="1965766397">
          <w:marLeft w:val="480"/>
          <w:marRight w:val="0"/>
          <w:marTop w:val="0"/>
          <w:marBottom w:val="0"/>
          <w:divBdr>
            <w:top w:val="none" w:sz="0" w:space="0" w:color="auto"/>
            <w:left w:val="none" w:sz="0" w:space="0" w:color="auto"/>
            <w:bottom w:val="none" w:sz="0" w:space="0" w:color="auto"/>
            <w:right w:val="none" w:sz="0" w:space="0" w:color="auto"/>
          </w:divBdr>
        </w:div>
        <w:div w:id="182550504">
          <w:marLeft w:val="480"/>
          <w:marRight w:val="0"/>
          <w:marTop w:val="0"/>
          <w:marBottom w:val="0"/>
          <w:divBdr>
            <w:top w:val="none" w:sz="0" w:space="0" w:color="auto"/>
            <w:left w:val="none" w:sz="0" w:space="0" w:color="auto"/>
            <w:bottom w:val="none" w:sz="0" w:space="0" w:color="auto"/>
            <w:right w:val="none" w:sz="0" w:space="0" w:color="auto"/>
          </w:divBdr>
        </w:div>
        <w:div w:id="1332414459">
          <w:marLeft w:val="480"/>
          <w:marRight w:val="0"/>
          <w:marTop w:val="0"/>
          <w:marBottom w:val="0"/>
          <w:divBdr>
            <w:top w:val="none" w:sz="0" w:space="0" w:color="auto"/>
            <w:left w:val="none" w:sz="0" w:space="0" w:color="auto"/>
            <w:bottom w:val="none" w:sz="0" w:space="0" w:color="auto"/>
            <w:right w:val="none" w:sz="0" w:space="0" w:color="auto"/>
          </w:divBdr>
        </w:div>
        <w:div w:id="459811727">
          <w:marLeft w:val="480"/>
          <w:marRight w:val="0"/>
          <w:marTop w:val="0"/>
          <w:marBottom w:val="0"/>
          <w:divBdr>
            <w:top w:val="none" w:sz="0" w:space="0" w:color="auto"/>
            <w:left w:val="none" w:sz="0" w:space="0" w:color="auto"/>
            <w:bottom w:val="none" w:sz="0" w:space="0" w:color="auto"/>
            <w:right w:val="none" w:sz="0" w:space="0" w:color="auto"/>
          </w:divBdr>
        </w:div>
        <w:div w:id="1611009565">
          <w:marLeft w:val="480"/>
          <w:marRight w:val="0"/>
          <w:marTop w:val="0"/>
          <w:marBottom w:val="0"/>
          <w:divBdr>
            <w:top w:val="none" w:sz="0" w:space="0" w:color="auto"/>
            <w:left w:val="none" w:sz="0" w:space="0" w:color="auto"/>
            <w:bottom w:val="none" w:sz="0" w:space="0" w:color="auto"/>
            <w:right w:val="none" w:sz="0" w:space="0" w:color="auto"/>
          </w:divBdr>
        </w:div>
        <w:div w:id="455218937">
          <w:marLeft w:val="480"/>
          <w:marRight w:val="0"/>
          <w:marTop w:val="0"/>
          <w:marBottom w:val="0"/>
          <w:divBdr>
            <w:top w:val="none" w:sz="0" w:space="0" w:color="auto"/>
            <w:left w:val="none" w:sz="0" w:space="0" w:color="auto"/>
            <w:bottom w:val="none" w:sz="0" w:space="0" w:color="auto"/>
            <w:right w:val="none" w:sz="0" w:space="0" w:color="auto"/>
          </w:divBdr>
        </w:div>
        <w:div w:id="82726664">
          <w:marLeft w:val="480"/>
          <w:marRight w:val="0"/>
          <w:marTop w:val="0"/>
          <w:marBottom w:val="0"/>
          <w:divBdr>
            <w:top w:val="none" w:sz="0" w:space="0" w:color="auto"/>
            <w:left w:val="none" w:sz="0" w:space="0" w:color="auto"/>
            <w:bottom w:val="none" w:sz="0" w:space="0" w:color="auto"/>
            <w:right w:val="none" w:sz="0" w:space="0" w:color="auto"/>
          </w:divBdr>
        </w:div>
        <w:div w:id="554392553">
          <w:marLeft w:val="480"/>
          <w:marRight w:val="0"/>
          <w:marTop w:val="0"/>
          <w:marBottom w:val="0"/>
          <w:divBdr>
            <w:top w:val="none" w:sz="0" w:space="0" w:color="auto"/>
            <w:left w:val="none" w:sz="0" w:space="0" w:color="auto"/>
            <w:bottom w:val="none" w:sz="0" w:space="0" w:color="auto"/>
            <w:right w:val="none" w:sz="0" w:space="0" w:color="auto"/>
          </w:divBdr>
        </w:div>
        <w:div w:id="1239285935">
          <w:marLeft w:val="480"/>
          <w:marRight w:val="0"/>
          <w:marTop w:val="0"/>
          <w:marBottom w:val="0"/>
          <w:divBdr>
            <w:top w:val="none" w:sz="0" w:space="0" w:color="auto"/>
            <w:left w:val="none" w:sz="0" w:space="0" w:color="auto"/>
            <w:bottom w:val="none" w:sz="0" w:space="0" w:color="auto"/>
            <w:right w:val="none" w:sz="0" w:space="0" w:color="auto"/>
          </w:divBdr>
        </w:div>
        <w:div w:id="360588679">
          <w:marLeft w:val="480"/>
          <w:marRight w:val="0"/>
          <w:marTop w:val="0"/>
          <w:marBottom w:val="0"/>
          <w:divBdr>
            <w:top w:val="none" w:sz="0" w:space="0" w:color="auto"/>
            <w:left w:val="none" w:sz="0" w:space="0" w:color="auto"/>
            <w:bottom w:val="none" w:sz="0" w:space="0" w:color="auto"/>
            <w:right w:val="none" w:sz="0" w:space="0" w:color="auto"/>
          </w:divBdr>
        </w:div>
        <w:div w:id="1998338835">
          <w:marLeft w:val="480"/>
          <w:marRight w:val="0"/>
          <w:marTop w:val="0"/>
          <w:marBottom w:val="0"/>
          <w:divBdr>
            <w:top w:val="none" w:sz="0" w:space="0" w:color="auto"/>
            <w:left w:val="none" w:sz="0" w:space="0" w:color="auto"/>
            <w:bottom w:val="none" w:sz="0" w:space="0" w:color="auto"/>
            <w:right w:val="none" w:sz="0" w:space="0" w:color="auto"/>
          </w:divBdr>
        </w:div>
        <w:div w:id="2089304904">
          <w:marLeft w:val="480"/>
          <w:marRight w:val="0"/>
          <w:marTop w:val="0"/>
          <w:marBottom w:val="0"/>
          <w:divBdr>
            <w:top w:val="none" w:sz="0" w:space="0" w:color="auto"/>
            <w:left w:val="none" w:sz="0" w:space="0" w:color="auto"/>
            <w:bottom w:val="none" w:sz="0" w:space="0" w:color="auto"/>
            <w:right w:val="none" w:sz="0" w:space="0" w:color="auto"/>
          </w:divBdr>
        </w:div>
        <w:div w:id="1097629022">
          <w:marLeft w:val="480"/>
          <w:marRight w:val="0"/>
          <w:marTop w:val="0"/>
          <w:marBottom w:val="0"/>
          <w:divBdr>
            <w:top w:val="none" w:sz="0" w:space="0" w:color="auto"/>
            <w:left w:val="none" w:sz="0" w:space="0" w:color="auto"/>
            <w:bottom w:val="none" w:sz="0" w:space="0" w:color="auto"/>
            <w:right w:val="none" w:sz="0" w:space="0" w:color="auto"/>
          </w:divBdr>
        </w:div>
        <w:div w:id="247546628">
          <w:marLeft w:val="480"/>
          <w:marRight w:val="0"/>
          <w:marTop w:val="0"/>
          <w:marBottom w:val="0"/>
          <w:divBdr>
            <w:top w:val="none" w:sz="0" w:space="0" w:color="auto"/>
            <w:left w:val="none" w:sz="0" w:space="0" w:color="auto"/>
            <w:bottom w:val="none" w:sz="0" w:space="0" w:color="auto"/>
            <w:right w:val="none" w:sz="0" w:space="0" w:color="auto"/>
          </w:divBdr>
        </w:div>
        <w:div w:id="412703758">
          <w:marLeft w:val="480"/>
          <w:marRight w:val="0"/>
          <w:marTop w:val="0"/>
          <w:marBottom w:val="0"/>
          <w:divBdr>
            <w:top w:val="none" w:sz="0" w:space="0" w:color="auto"/>
            <w:left w:val="none" w:sz="0" w:space="0" w:color="auto"/>
            <w:bottom w:val="none" w:sz="0" w:space="0" w:color="auto"/>
            <w:right w:val="none" w:sz="0" w:space="0" w:color="auto"/>
          </w:divBdr>
        </w:div>
        <w:div w:id="226037806">
          <w:marLeft w:val="480"/>
          <w:marRight w:val="0"/>
          <w:marTop w:val="0"/>
          <w:marBottom w:val="0"/>
          <w:divBdr>
            <w:top w:val="none" w:sz="0" w:space="0" w:color="auto"/>
            <w:left w:val="none" w:sz="0" w:space="0" w:color="auto"/>
            <w:bottom w:val="none" w:sz="0" w:space="0" w:color="auto"/>
            <w:right w:val="none" w:sz="0" w:space="0" w:color="auto"/>
          </w:divBdr>
        </w:div>
        <w:div w:id="187721281">
          <w:marLeft w:val="480"/>
          <w:marRight w:val="0"/>
          <w:marTop w:val="0"/>
          <w:marBottom w:val="0"/>
          <w:divBdr>
            <w:top w:val="none" w:sz="0" w:space="0" w:color="auto"/>
            <w:left w:val="none" w:sz="0" w:space="0" w:color="auto"/>
            <w:bottom w:val="none" w:sz="0" w:space="0" w:color="auto"/>
            <w:right w:val="none" w:sz="0" w:space="0" w:color="auto"/>
          </w:divBdr>
        </w:div>
        <w:div w:id="1165172503">
          <w:marLeft w:val="480"/>
          <w:marRight w:val="0"/>
          <w:marTop w:val="0"/>
          <w:marBottom w:val="0"/>
          <w:divBdr>
            <w:top w:val="none" w:sz="0" w:space="0" w:color="auto"/>
            <w:left w:val="none" w:sz="0" w:space="0" w:color="auto"/>
            <w:bottom w:val="none" w:sz="0" w:space="0" w:color="auto"/>
            <w:right w:val="none" w:sz="0" w:space="0" w:color="auto"/>
          </w:divBdr>
        </w:div>
        <w:div w:id="1301569348">
          <w:marLeft w:val="480"/>
          <w:marRight w:val="0"/>
          <w:marTop w:val="0"/>
          <w:marBottom w:val="0"/>
          <w:divBdr>
            <w:top w:val="none" w:sz="0" w:space="0" w:color="auto"/>
            <w:left w:val="none" w:sz="0" w:space="0" w:color="auto"/>
            <w:bottom w:val="none" w:sz="0" w:space="0" w:color="auto"/>
            <w:right w:val="none" w:sz="0" w:space="0" w:color="auto"/>
          </w:divBdr>
        </w:div>
        <w:div w:id="2028751980">
          <w:marLeft w:val="480"/>
          <w:marRight w:val="0"/>
          <w:marTop w:val="0"/>
          <w:marBottom w:val="0"/>
          <w:divBdr>
            <w:top w:val="none" w:sz="0" w:space="0" w:color="auto"/>
            <w:left w:val="none" w:sz="0" w:space="0" w:color="auto"/>
            <w:bottom w:val="none" w:sz="0" w:space="0" w:color="auto"/>
            <w:right w:val="none" w:sz="0" w:space="0" w:color="auto"/>
          </w:divBdr>
        </w:div>
        <w:div w:id="2080208848">
          <w:marLeft w:val="480"/>
          <w:marRight w:val="0"/>
          <w:marTop w:val="0"/>
          <w:marBottom w:val="0"/>
          <w:divBdr>
            <w:top w:val="none" w:sz="0" w:space="0" w:color="auto"/>
            <w:left w:val="none" w:sz="0" w:space="0" w:color="auto"/>
            <w:bottom w:val="none" w:sz="0" w:space="0" w:color="auto"/>
            <w:right w:val="none" w:sz="0" w:space="0" w:color="auto"/>
          </w:divBdr>
        </w:div>
        <w:div w:id="45491776">
          <w:marLeft w:val="480"/>
          <w:marRight w:val="0"/>
          <w:marTop w:val="0"/>
          <w:marBottom w:val="0"/>
          <w:divBdr>
            <w:top w:val="none" w:sz="0" w:space="0" w:color="auto"/>
            <w:left w:val="none" w:sz="0" w:space="0" w:color="auto"/>
            <w:bottom w:val="none" w:sz="0" w:space="0" w:color="auto"/>
            <w:right w:val="none" w:sz="0" w:space="0" w:color="auto"/>
          </w:divBdr>
        </w:div>
        <w:div w:id="781921282">
          <w:marLeft w:val="480"/>
          <w:marRight w:val="0"/>
          <w:marTop w:val="0"/>
          <w:marBottom w:val="0"/>
          <w:divBdr>
            <w:top w:val="none" w:sz="0" w:space="0" w:color="auto"/>
            <w:left w:val="none" w:sz="0" w:space="0" w:color="auto"/>
            <w:bottom w:val="none" w:sz="0" w:space="0" w:color="auto"/>
            <w:right w:val="none" w:sz="0" w:space="0" w:color="auto"/>
          </w:divBdr>
        </w:div>
        <w:div w:id="1773935095">
          <w:marLeft w:val="480"/>
          <w:marRight w:val="0"/>
          <w:marTop w:val="0"/>
          <w:marBottom w:val="0"/>
          <w:divBdr>
            <w:top w:val="none" w:sz="0" w:space="0" w:color="auto"/>
            <w:left w:val="none" w:sz="0" w:space="0" w:color="auto"/>
            <w:bottom w:val="none" w:sz="0" w:space="0" w:color="auto"/>
            <w:right w:val="none" w:sz="0" w:space="0" w:color="auto"/>
          </w:divBdr>
        </w:div>
        <w:div w:id="2046102969">
          <w:marLeft w:val="480"/>
          <w:marRight w:val="0"/>
          <w:marTop w:val="0"/>
          <w:marBottom w:val="0"/>
          <w:divBdr>
            <w:top w:val="none" w:sz="0" w:space="0" w:color="auto"/>
            <w:left w:val="none" w:sz="0" w:space="0" w:color="auto"/>
            <w:bottom w:val="none" w:sz="0" w:space="0" w:color="auto"/>
            <w:right w:val="none" w:sz="0" w:space="0" w:color="auto"/>
          </w:divBdr>
        </w:div>
        <w:div w:id="1690179598">
          <w:marLeft w:val="480"/>
          <w:marRight w:val="0"/>
          <w:marTop w:val="0"/>
          <w:marBottom w:val="0"/>
          <w:divBdr>
            <w:top w:val="none" w:sz="0" w:space="0" w:color="auto"/>
            <w:left w:val="none" w:sz="0" w:space="0" w:color="auto"/>
            <w:bottom w:val="none" w:sz="0" w:space="0" w:color="auto"/>
            <w:right w:val="none" w:sz="0" w:space="0" w:color="auto"/>
          </w:divBdr>
        </w:div>
        <w:div w:id="479199578">
          <w:marLeft w:val="480"/>
          <w:marRight w:val="0"/>
          <w:marTop w:val="0"/>
          <w:marBottom w:val="0"/>
          <w:divBdr>
            <w:top w:val="none" w:sz="0" w:space="0" w:color="auto"/>
            <w:left w:val="none" w:sz="0" w:space="0" w:color="auto"/>
            <w:bottom w:val="none" w:sz="0" w:space="0" w:color="auto"/>
            <w:right w:val="none" w:sz="0" w:space="0" w:color="auto"/>
          </w:divBdr>
        </w:div>
        <w:div w:id="62872770">
          <w:marLeft w:val="480"/>
          <w:marRight w:val="0"/>
          <w:marTop w:val="0"/>
          <w:marBottom w:val="0"/>
          <w:divBdr>
            <w:top w:val="none" w:sz="0" w:space="0" w:color="auto"/>
            <w:left w:val="none" w:sz="0" w:space="0" w:color="auto"/>
            <w:bottom w:val="none" w:sz="0" w:space="0" w:color="auto"/>
            <w:right w:val="none" w:sz="0" w:space="0" w:color="auto"/>
          </w:divBdr>
        </w:div>
        <w:div w:id="847134124">
          <w:marLeft w:val="480"/>
          <w:marRight w:val="0"/>
          <w:marTop w:val="0"/>
          <w:marBottom w:val="0"/>
          <w:divBdr>
            <w:top w:val="none" w:sz="0" w:space="0" w:color="auto"/>
            <w:left w:val="none" w:sz="0" w:space="0" w:color="auto"/>
            <w:bottom w:val="none" w:sz="0" w:space="0" w:color="auto"/>
            <w:right w:val="none" w:sz="0" w:space="0" w:color="auto"/>
          </w:divBdr>
        </w:div>
        <w:div w:id="1648627320">
          <w:marLeft w:val="480"/>
          <w:marRight w:val="0"/>
          <w:marTop w:val="0"/>
          <w:marBottom w:val="0"/>
          <w:divBdr>
            <w:top w:val="none" w:sz="0" w:space="0" w:color="auto"/>
            <w:left w:val="none" w:sz="0" w:space="0" w:color="auto"/>
            <w:bottom w:val="none" w:sz="0" w:space="0" w:color="auto"/>
            <w:right w:val="none" w:sz="0" w:space="0" w:color="auto"/>
          </w:divBdr>
        </w:div>
        <w:div w:id="1183712317">
          <w:marLeft w:val="480"/>
          <w:marRight w:val="0"/>
          <w:marTop w:val="0"/>
          <w:marBottom w:val="0"/>
          <w:divBdr>
            <w:top w:val="none" w:sz="0" w:space="0" w:color="auto"/>
            <w:left w:val="none" w:sz="0" w:space="0" w:color="auto"/>
            <w:bottom w:val="none" w:sz="0" w:space="0" w:color="auto"/>
            <w:right w:val="none" w:sz="0" w:space="0" w:color="auto"/>
          </w:divBdr>
        </w:div>
        <w:div w:id="514464518">
          <w:marLeft w:val="480"/>
          <w:marRight w:val="0"/>
          <w:marTop w:val="0"/>
          <w:marBottom w:val="0"/>
          <w:divBdr>
            <w:top w:val="none" w:sz="0" w:space="0" w:color="auto"/>
            <w:left w:val="none" w:sz="0" w:space="0" w:color="auto"/>
            <w:bottom w:val="none" w:sz="0" w:space="0" w:color="auto"/>
            <w:right w:val="none" w:sz="0" w:space="0" w:color="auto"/>
          </w:divBdr>
        </w:div>
        <w:div w:id="2010251352">
          <w:marLeft w:val="480"/>
          <w:marRight w:val="0"/>
          <w:marTop w:val="0"/>
          <w:marBottom w:val="0"/>
          <w:divBdr>
            <w:top w:val="none" w:sz="0" w:space="0" w:color="auto"/>
            <w:left w:val="none" w:sz="0" w:space="0" w:color="auto"/>
            <w:bottom w:val="none" w:sz="0" w:space="0" w:color="auto"/>
            <w:right w:val="none" w:sz="0" w:space="0" w:color="auto"/>
          </w:divBdr>
        </w:div>
        <w:div w:id="605121248">
          <w:marLeft w:val="480"/>
          <w:marRight w:val="0"/>
          <w:marTop w:val="0"/>
          <w:marBottom w:val="0"/>
          <w:divBdr>
            <w:top w:val="none" w:sz="0" w:space="0" w:color="auto"/>
            <w:left w:val="none" w:sz="0" w:space="0" w:color="auto"/>
            <w:bottom w:val="none" w:sz="0" w:space="0" w:color="auto"/>
            <w:right w:val="none" w:sz="0" w:space="0" w:color="auto"/>
          </w:divBdr>
        </w:div>
        <w:div w:id="1396852752">
          <w:marLeft w:val="480"/>
          <w:marRight w:val="0"/>
          <w:marTop w:val="0"/>
          <w:marBottom w:val="0"/>
          <w:divBdr>
            <w:top w:val="none" w:sz="0" w:space="0" w:color="auto"/>
            <w:left w:val="none" w:sz="0" w:space="0" w:color="auto"/>
            <w:bottom w:val="none" w:sz="0" w:space="0" w:color="auto"/>
            <w:right w:val="none" w:sz="0" w:space="0" w:color="auto"/>
          </w:divBdr>
        </w:div>
        <w:div w:id="1030030831">
          <w:marLeft w:val="480"/>
          <w:marRight w:val="0"/>
          <w:marTop w:val="0"/>
          <w:marBottom w:val="0"/>
          <w:divBdr>
            <w:top w:val="none" w:sz="0" w:space="0" w:color="auto"/>
            <w:left w:val="none" w:sz="0" w:space="0" w:color="auto"/>
            <w:bottom w:val="none" w:sz="0" w:space="0" w:color="auto"/>
            <w:right w:val="none" w:sz="0" w:space="0" w:color="auto"/>
          </w:divBdr>
        </w:div>
        <w:div w:id="1195801742">
          <w:marLeft w:val="480"/>
          <w:marRight w:val="0"/>
          <w:marTop w:val="0"/>
          <w:marBottom w:val="0"/>
          <w:divBdr>
            <w:top w:val="none" w:sz="0" w:space="0" w:color="auto"/>
            <w:left w:val="none" w:sz="0" w:space="0" w:color="auto"/>
            <w:bottom w:val="none" w:sz="0" w:space="0" w:color="auto"/>
            <w:right w:val="none" w:sz="0" w:space="0" w:color="auto"/>
          </w:divBdr>
        </w:div>
        <w:div w:id="2075396771">
          <w:marLeft w:val="480"/>
          <w:marRight w:val="0"/>
          <w:marTop w:val="0"/>
          <w:marBottom w:val="0"/>
          <w:divBdr>
            <w:top w:val="none" w:sz="0" w:space="0" w:color="auto"/>
            <w:left w:val="none" w:sz="0" w:space="0" w:color="auto"/>
            <w:bottom w:val="none" w:sz="0" w:space="0" w:color="auto"/>
            <w:right w:val="none" w:sz="0" w:space="0" w:color="auto"/>
          </w:divBdr>
        </w:div>
        <w:div w:id="591553591">
          <w:marLeft w:val="480"/>
          <w:marRight w:val="0"/>
          <w:marTop w:val="0"/>
          <w:marBottom w:val="0"/>
          <w:divBdr>
            <w:top w:val="none" w:sz="0" w:space="0" w:color="auto"/>
            <w:left w:val="none" w:sz="0" w:space="0" w:color="auto"/>
            <w:bottom w:val="none" w:sz="0" w:space="0" w:color="auto"/>
            <w:right w:val="none" w:sz="0" w:space="0" w:color="auto"/>
          </w:divBdr>
        </w:div>
        <w:div w:id="337925308">
          <w:marLeft w:val="480"/>
          <w:marRight w:val="0"/>
          <w:marTop w:val="0"/>
          <w:marBottom w:val="0"/>
          <w:divBdr>
            <w:top w:val="none" w:sz="0" w:space="0" w:color="auto"/>
            <w:left w:val="none" w:sz="0" w:space="0" w:color="auto"/>
            <w:bottom w:val="none" w:sz="0" w:space="0" w:color="auto"/>
            <w:right w:val="none" w:sz="0" w:space="0" w:color="auto"/>
          </w:divBdr>
        </w:div>
        <w:div w:id="961157983">
          <w:marLeft w:val="480"/>
          <w:marRight w:val="0"/>
          <w:marTop w:val="0"/>
          <w:marBottom w:val="0"/>
          <w:divBdr>
            <w:top w:val="none" w:sz="0" w:space="0" w:color="auto"/>
            <w:left w:val="none" w:sz="0" w:space="0" w:color="auto"/>
            <w:bottom w:val="none" w:sz="0" w:space="0" w:color="auto"/>
            <w:right w:val="none" w:sz="0" w:space="0" w:color="auto"/>
          </w:divBdr>
        </w:div>
        <w:div w:id="908074680">
          <w:marLeft w:val="480"/>
          <w:marRight w:val="0"/>
          <w:marTop w:val="0"/>
          <w:marBottom w:val="0"/>
          <w:divBdr>
            <w:top w:val="none" w:sz="0" w:space="0" w:color="auto"/>
            <w:left w:val="none" w:sz="0" w:space="0" w:color="auto"/>
            <w:bottom w:val="none" w:sz="0" w:space="0" w:color="auto"/>
            <w:right w:val="none" w:sz="0" w:space="0" w:color="auto"/>
          </w:divBdr>
        </w:div>
        <w:div w:id="1558084691">
          <w:marLeft w:val="480"/>
          <w:marRight w:val="0"/>
          <w:marTop w:val="0"/>
          <w:marBottom w:val="0"/>
          <w:divBdr>
            <w:top w:val="none" w:sz="0" w:space="0" w:color="auto"/>
            <w:left w:val="none" w:sz="0" w:space="0" w:color="auto"/>
            <w:bottom w:val="none" w:sz="0" w:space="0" w:color="auto"/>
            <w:right w:val="none" w:sz="0" w:space="0" w:color="auto"/>
          </w:divBdr>
        </w:div>
        <w:div w:id="1116942474">
          <w:marLeft w:val="480"/>
          <w:marRight w:val="0"/>
          <w:marTop w:val="0"/>
          <w:marBottom w:val="0"/>
          <w:divBdr>
            <w:top w:val="none" w:sz="0" w:space="0" w:color="auto"/>
            <w:left w:val="none" w:sz="0" w:space="0" w:color="auto"/>
            <w:bottom w:val="none" w:sz="0" w:space="0" w:color="auto"/>
            <w:right w:val="none" w:sz="0" w:space="0" w:color="auto"/>
          </w:divBdr>
        </w:div>
        <w:div w:id="929965719">
          <w:marLeft w:val="480"/>
          <w:marRight w:val="0"/>
          <w:marTop w:val="0"/>
          <w:marBottom w:val="0"/>
          <w:divBdr>
            <w:top w:val="none" w:sz="0" w:space="0" w:color="auto"/>
            <w:left w:val="none" w:sz="0" w:space="0" w:color="auto"/>
            <w:bottom w:val="none" w:sz="0" w:space="0" w:color="auto"/>
            <w:right w:val="none" w:sz="0" w:space="0" w:color="auto"/>
          </w:divBdr>
        </w:div>
        <w:div w:id="1494838240">
          <w:marLeft w:val="480"/>
          <w:marRight w:val="0"/>
          <w:marTop w:val="0"/>
          <w:marBottom w:val="0"/>
          <w:divBdr>
            <w:top w:val="none" w:sz="0" w:space="0" w:color="auto"/>
            <w:left w:val="none" w:sz="0" w:space="0" w:color="auto"/>
            <w:bottom w:val="none" w:sz="0" w:space="0" w:color="auto"/>
            <w:right w:val="none" w:sz="0" w:space="0" w:color="auto"/>
          </w:divBdr>
        </w:div>
        <w:div w:id="1592078030">
          <w:marLeft w:val="480"/>
          <w:marRight w:val="0"/>
          <w:marTop w:val="0"/>
          <w:marBottom w:val="0"/>
          <w:divBdr>
            <w:top w:val="none" w:sz="0" w:space="0" w:color="auto"/>
            <w:left w:val="none" w:sz="0" w:space="0" w:color="auto"/>
            <w:bottom w:val="none" w:sz="0" w:space="0" w:color="auto"/>
            <w:right w:val="none" w:sz="0" w:space="0" w:color="auto"/>
          </w:divBdr>
        </w:div>
        <w:div w:id="1019967759">
          <w:marLeft w:val="480"/>
          <w:marRight w:val="0"/>
          <w:marTop w:val="0"/>
          <w:marBottom w:val="0"/>
          <w:divBdr>
            <w:top w:val="none" w:sz="0" w:space="0" w:color="auto"/>
            <w:left w:val="none" w:sz="0" w:space="0" w:color="auto"/>
            <w:bottom w:val="none" w:sz="0" w:space="0" w:color="auto"/>
            <w:right w:val="none" w:sz="0" w:space="0" w:color="auto"/>
          </w:divBdr>
        </w:div>
      </w:divsChild>
    </w:div>
    <w:div w:id="137769937">
      <w:bodyDiv w:val="1"/>
      <w:marLeft w:val="0"/>
      <w:marRight w:val="0"/>
      <w:marTop w:val="0"/>
      <w:marBottom w:val="0"/>
      <w:divBdr>
        <w:top w:val="none" w:sz="0" w:space="0" w:color="auto"/>
        <w:left w:val="none" w:sz="0" w:space="0" w:color="auto"/>
        <w:bottom w:val="none" w:sz="0" w:space="0" w:color="auto"/>
        <w:right w:val="none" w:sz="0" w:space="0" w:color="auto"/>
      </w:divBdr>
    </w:div>
    <w:div w:id="137845833">
      <w:bodyDiv w:val="1"/>
      <w:marLeft w:val="0"/>
      <w:marRight w:val="0"/>
      <w:marTop w:val="0"/>
      <w:marBottom w:val="0"/>
      <w:divBdr>
        <w:top w:val="none" w:sz="0" w:space="0" w:color="auto"/>
        <w:left w:val="none" w:sz="0" w:space="0" w:color="auto"/>
        <w:bottom w:val="none" w:sz="0" w:space="0" w:color="auto"/>
        <w:right w:val="none" w:sz="0" w:space="0" w:color="auto"/>
      </w:divBdr>
    </w:div>
    <w:div w:id="138153838">
      <w:bodyDiv w:val="1"/>
      <w:marLeft w:val="0"/>
      <w:marRight w:val="0"/>
      <w:marTop w:val="0"/>
      <w:marBottom w:val="0"/>
      <w:divBdr>
        <w:top w:val="none" w:sz="0" w:space="0" w:color="auto"/>
        <w:left w:val="none" w:sz="0" w:space="0" w:color="auto"/>
        <w:bottom w:val="none" w:sz="0" w:space="0" w:color="auto"/>
        <w:right w:val="none" w:sz="0" w:space="0" w:color="auto"/>
      </w:divBdr>
    </w:div>
    <w:div w:id="138235871">
      <w:bodyDiv w:val="1"/>
      <w:marLeft w:val="0"/>
      <w:marRight w:val="0"/>
      <w:marTop w:val="0"/>
      <w:marBottom w:val="0"/>
      <w:divBdr>
        <w:top w:val="none" w:sz="0" w:space="0" w:color="auto"/>
        <w:left w:val="none" w:sz="0" w:space="0" w:color="auto"/>
        <w:bottom w:val="none" w:sz="0" w:space="0" w:color="auto"/>
        <w:right w:val="none" w:sz="0" w:space="0" w:color="auto"/>
      </w:divBdr>
    </w:div>
    <w:div w:id="138696114">
      <w:bodyDiv w:val="1"/>
      <w:marLeft w:val="0"/>
      <w:marRight w:val="0"/>
      <w:marTop w:val="0"/>
      <w:marBottom w:val="0"/>
      <w:divBdr>
        <w:top w:val="none" w:sz="0" w:space="0" w:color="auto"/>
        <w:left w:val="none" w:sz="0" w:space="0" w:color="auto"/>
        <w:bottom w:val="none" w:sz="0" w:space="0" w:color="auto"/>
        <w:right w:val="none" w:sz="0" w:space="0" w:color="auto"/>
      </w:divBdr>
    </w:div>
    <w:div w:id="139689076">
      <w:bodyDiv w:val="1"/>
      <w:marLeft w:val="0"/>
      <w:marRight w:val="0"/>
      <w:marTop w:val="0"/>
      <w:marBottom w:val="0"/>
      <w:divBdr>
        <w:top w:val="none" w:sz="0" w:space="0" w:color="auto"/>
        <w:left w:val="none" w:sz="0" w:space="0" w:color="auto"/>
        <w:bottom w:val="none" w:sz="0" w:space="0" w:color="auto"/>
        <w:right w:val="none" w:sz="0" w:space="0" w:color="auto"/>
      </w:divBdr>
    </w:div>
    <w:div w:id="139813588">
      <w:bodyDiv w:val="1"/>
      <w:marLeft w:val="0"/>
      <w:marRight w:val="0"/>
      <w:marTop w:val="0"/>
      <w:marBottom w:val="0"/>
      <w:divBdr>
        <w:top w:val="none" w:sz="0" w:space="0" w:color="auto"/>
        <w:left w:val="none" w:sz="0" w:space="0" w:color="auto"/>
        <w:bottom w:val="none" w:sz="0" w:space="0" w:color="auto"/>
        <w:right w:val="none" w:sz="0" w:space="0" w:color="auto"/>
      </w:divBdr>
    </w:div>
    <w:div w:id="140194774">
      <w:bodyDiv w:val="1"/>
      <w:marLeft w:val="0"/>
      <w:marRight w:val="0"/>
      <w:marTop w:val="0"/>
      <w:marBottom w:val="0"/>
      <w:divBdr>
        <w:top w:val="none" w:sz="0" w:space="0" w:color="auto"/>
        <w:left w:val="none" w:sz="0" w:space="0" w:color="auto"/>
        <w:bottom w:val="none" w:sz="0" w:space="0" w:color="auto"/>
        <w:right w:val="none" w:sz="0" w:space="0" w:color="auto"/>
      </w:divBdr>
    </w:div>
    <w:div w:id="140275419">
      <w:bodyDiv w:val="1"/>
      <w:marLeft w:val="0"/>
      <w:marRight w:val="0"/>
      <w:marTop w:val="0"/>
      <w:marBottom w:val="0"/>
      <w:divBdr>
        <w:top w:val="none" w:sz="0" w:space="0" w:color="auto"/>
        <w:left w:val="none" w:sz="0" w:space="0" w:color="auto"/>
        <w:bottom w:val="none" w:sz="0" w:space="0" w:color="auto"/>
        <w:right w:val="none" w:sz="0" w:space="0" w:color="auto"/>
      </w:divBdr>
    </w:div>
    <w:div w:id="140973681">
      <w:bodyDiv w:val="1"/>
      <w:marLeft w:val="0"/>
      <w:marRight w:val="0"/>
      <w:marTop w:val="0"/>
      <w:marBottom w:val="0"/>
      <w:divBdr>
        <w:top w:val="none" w:sz="0" w:space="0" w:color="auto"/>
        <w:left w:val="none" w:sz="0" w:space="0" w:color="auto"/>
        <w:bottom w:val="none" w:sz="0" w:space="0" w:color="auto"/>
        <w:right w:val="none" w:sz="0" w:space="0" w:color="auto"/>
      </w:divBdr>
      <w:divsChild>
        <w:div w:id="96412224">
          <w:marLeft w:val="480"/>
          <w:marRight w:val="0"/>
          <w:marTop w:val="0"/>
          <w:marBottom w:val="0"/>
          <w:divBdr>
            <w:top w:val="none" w:sz="0" w:space="0" w:color="auto"/>
            <w:left w:val="none" w:sz="0" w:space="0" w:color="auto"/>
            <w:bottom w:val="none" w:sz="0" w:space="0" w:color="auto"/>
            <w:right w:val="none" w:sz="0" w:space="0" w:color="auto"/>
          </w:divBdr>
        </w:div>
        <w:div w:id="867832315">
          <w:marLeft w:val="480"/>
          <w:marRight w:val="0"/>
          <w:marTop w:val="0"/>
          <w:marBottom w:val="0"/>
          <w:divBdr>
            <w:top w:val="none" w:sz="0" w:space="0" w:color="auto"/>
            <w:left w:val="none" w:sz="0" w:space="0" w:color="auto"/>
            <w:bottom w:val="none" w:sz="0" w:space="0" w:color="auto"/>
            <w:right w:val="none" w:sz="0" w:space="0" w:color="auto"/>
          </w:divBdr>
        </w:div>
        <w:div w:id="1980762207">
          <w:marLeft w:val="480"/>
          <w:marRight w:val="0"/>
          <w:marTop w:val="0"/>
          <w:marBottom w:val="0"/>
          <w:divBdr>
            <w:top w:val="none" w:sz="0" w:space="0" w:color="auto"/>
            <w:left w:val="none" w:sz="0" w:space="0" w:color="auto"/>
            <w:bottom w:val="none" w:sz="0" w:space="0" w:color="auto"/>
            <w:right w:val="none" w:sz="0" w:space="0" w:color="auto"/>
          </w:divBdr>
        </w:div>
        <w:div w:id="426462097">
          <w:marLeft w:val="480"/>
          <w:marRight w:val="0"/>
          <w:marTop w:val="0"/>
          <w:marBottom w:val="0"/>
          <w:divBdr>
            <w:top w:val="none" w:sz="0" w:space="0" w:color="auto"/>
            <w:left w:val="none" w:sz="0" w:space="0" w:color="auto"/>
            <w:bottom w:val="none" w:sz="0" w:space="0" w:color="auto"/>
            <w:right w:val="none" w:sz="0" w:space="0" w:color="auto"/>
          </w:divBdr>
        </w:div>
        <w:div w:id="476533186">
          <w:marLeft w:val="480"/>
          <w:marRight w:val="0"/>
          <w:marTop w:val="0"/>
          <w:marBottom w:val="0"/>
          <w:divBdr>
            <w:top w:val="none" w:sz="0" w:space="0" w:color="auto"/>
            <w:left w:val="none" w:sz="0" w:space="0" w:color="auto"/>
            <w:bottom w:val="none" w:sz="0" w:space="0" w:color="auto"/>
            <w:right w:val="none" w:sz="0" w:space="0" w:color="auto"/>
          </w:divBdr>
        </w:div>
        <w:div w:id="556362533">
          <w:marLeft w:val="480"/>
          <w:marRight w:val="0"/>
          <w:marTop w:val="0"/>
          <w:marBottom w:val="0"/>
          <w:divBdr>
            <w:top w:val="none" w:sz="0" w:space="0" w:color="auto"/>
            <w:left w:val="none" w:sz="0" w:space="0" w:color="auto"/>
            <w:bottom w:val="none" w:sz="0" w:space="0" w:color="auto"/>
            <w:right w:val="none" w:sz="0" w:space="0" w:color="auto"/>
          </w:divBdr>
        </w:div>
        <w:div w:id="2130776823">
          <w:marLeft w:val="480"/>
          <w:marRight w:val="0"/>
          <w:marTop w:val="0"/>
          <w:marBottom w:val="0"/>
          <w:divBdr>
            <w:top w:val="none" w:sz="0" w:space="0" w:color="auto"/>
            <w:left w:val="none" w:sz="0" w:space="0" w:color="auto"/>
            <w:bottom w:val="none" w:sz="0" w:space="0" w:color="auto"/>
            <w:right w:val="none" w:sz="0" w:space="0" w:color="auto"/>
          </w:divBdr>
        </w:div>
        <w:div w:id="1740784208">
          <w:marLeft w:val="480"/>
          <w:marRight w:val="0"/>
          <w:marTop w:val="0"/>
          <w:marBottom w:val="0"/>
          <w:divBdr>
            <w:top w:val="none" w:sz="0" w:space="0" w:color="auto"/>
            <w:left w:val="none" w:sz="0" w:space="0" w:color="auto"/>
            <w:bottom w:val="none" w:sz="0" w:space="0" w:color="auto"/>
            <w:right w:val="none" w:sz="0" w:space="0" w:color="auto"/>
          </w:divBdr>
        </w:div>
        <w:div w:id="799803499">
          <w:marLeft w:val="480"/>
          <w:marRight w:val="0"/>
          <w:marTop w:val="0"/>
          <w:marBottom w:val="0"/>
          <w:divBdr>
            <w:top w:val="none" w:sz="0" w:space="0" w:color="auto"/>
            <w:left w:val="none" w:sz="0" w:space="0" w:color="auto"/>
            <w:bottom w:val="none" w:sz="0" w:space="0" w:color="auto"/>
            <w:right w:val="none" w:sz="0" w:space="0" w:color="auto"/>
          </w:divBdr>
        </w:div>
        <w:div w:id="1876042481">
          <w:marLeft w:val="480"/>
          <w:marRight w:val="0"/>
          <w:marTop w:val="0"/>
          <w:marBottom w:val="0"/>
          <w:divBdr>
            <w:top w:val="none" w:sz="0" w:space="0" w:color="auto"/>
            <w:left w:val="none" w:sz="0" w:space="0" w:color="auto"/>
            <w:bottom w:val="none" w:sz="0" w:space="0" w:color="auto"/>
            <w:right w:val="none" w:sz="0" w:space="0" w:color="auto"/>
          </w:divBdr>
        </w:div>
        <w:div w:id="366874931">
          <w:marLeft w:val="480"/>
          <w:marRight w:val="0"/>
          <w:marTop w:val="0"/>
          <w:marBottom w:val="0"/>
          <w:divBdr>
            <w:top w:val="none" w:sz="0" w:space="0" w:color="auto"/>
            <w:left w:val="none" w:sz="0" w:space="0" w:color="auto"/>
            <w:bottom w:val="none" w:sz="0" w:space="0" w:color="auto"/>
            <w:right w:val="none" w:sz="0" w:space="0" w:color="auto"/>
          </w:divBdr>
        </w:div>
        <w:div w:id="1376276499">
          <w:marLeft w:val="480"/>
          <w:marRight w:val="0"/>
          <w:marTop w:val="0"/>
          <w:marBottom w:val="0"/>
          <w:divBdr>
            <w:top w:val="none" w:sz="0" w:space="0" w:color="auto"/>
            <w:left w:val="none" w:sz="0" w:space="0" w:color="auto"/>
            <w:bottom w:val="none" w:sz="0" w:space="0" w:color="auto"/>
            <w:right w:val="none" w:sz="0" w:space="0" w:color="auto"/>
          </w:divBdr>
        </w:div>
        <w:div w:id="848371011">
          <w:marLeft w:val="480"/>
          <w:marRight w:val="0"/>
          <w:marTop w:val="0"/>
          <w:marBottom w:val="0"/>
          <w:divBdr>
            <w:top w:val="none" w:sz="0" w:space="0" w:color="auto"/>
            <w:left w:val="none" w:sz="0" w:space="0" w:color="auto"/>
            <w:bottom w:val="none" w:sz="0" w:space="0" w:color="auto"/>
            <w:right w:val="none" w:sz="0" w:space="0" w:color="auto"/>
          </w:divBdr>
        </w:div>
        <w:div w:id="632441953">
          <w:marLeft w:val="480"/>
          <w:marRight w:val="0"/>
          <w:marTop w:val="0"/>
          <w:marBottom w:val="0"/>
          <w:divBdr>
            <w:top w:val="none" w:sz="0" w:space="0" w:color="auto"/>
            <w:left w:val="none" w:sz="0" w:space="0" w:color="auto"/>
            <w:bottom w:val="none" w:sz="0" w:space="0" w:color="auto"/>
            <w:right w:val="none" w:sz="0" w:space="0" w:color="auto"/>
          </w:divBdr>
        </w:div>
        <w:div w:id="284237696">
          <w:marLeft w:val="480"/>
          <w:marRight w:val="0"/>
          <w:marTop w:val="0"/>
          <w:marBottom w:val="0"/>
          <w:divBdr>
            <w:top w:val="none" w:sz="0" w:space="0" w:color="auto"/>
            <w:left w:val="none" w:sz="0" w:space="0" w:color="auto"/>
            <w:bottom w:val="none" w:sz="0" w:space="0" w:color="auto"/>
            <w:right w:val="none" w:sz="0" w:space="0" w:color="auto"/>
          </w:divBdr>
        </w:div>
        <w:div w:id="582834212">
          <w:marLeft w:val="480"/>
          <w:marRight w:val="0"/>
          <w:marTop w:val="0"/>
          <w:marBottom w:val="0"/>
          <w:divBdr>
            <w:top w:val="none" w:sz="0" w:space="0" w:color="auto"/>
            <w:left w:val="none" w:sz="0" w:space="0" w:color="auto"/>
            <w:bottom w:val="none" w:sz="0" w:space="0" w:color="auto"/>
            <w:right w:val="none" w:sz="0" w:space="0" w:color="auto"/>
          </w:divBdr>
        </w:div>
        <w:div w:id="762577462">
          <w:marLeft w:val="480"/>
          <w:marRight w:val="0"/>
          <w:marTop w:val="0"/>
          <w:marBottom w:val="0"/>
          <w:divBdr>
            <w:top w:val="none" w:sz="0" w:space="0" w:color="auto"/>
            <w:left w:val="none" w:sz="0" w:space="0" w:color="auto"/>
            <w:bottom w:val="none" w:sz="0" w:space="0" w:color="auto"/>
            <w:right w:val="none" w:sz="0" w:space="0" w:color="auto"/>
          </w:divBdr>
        </w:div>
        <w:div w:id="364213933">
          <w:marLeft w:val="480"/>
          <w:marRight w:val="0"/>
          <w:marTop w:val="0"/>
          <w:marBottom w:val="0"/>
          <w:divBdr>
            <w:top w:val="none" w:sz="0" w:space="0" w:color="auto"/>
            <w:left w:val="none" w:sz="0" w:space="0" w:color="auto"/>
            <w:bottom w:val="none" w:sz="0" w:space="0" w:color="auto"/>
            <w:right w:val="none" w:sz="0" w:space="0" w:color="auto"/>
          </w:divBdr>
        </w:div>
        <w:div w:id="777796246">
          <w:marLeft w:val="480"/>
          <w:marRight w:val="0"/>
          <w:marTop w:val="0"/>
          <w:marBottom w:val="0"/>
          <w:divBdr>
            <w:top w:val="none" w:sz="0" w:space="0" w:color="auto"/>
            <w:left w:val="none" w:sz="0" w:space="0" w:color="auto"/>
            <w:bottom w:val="none" w:sz="0" w:space="0" w:color="auto"/>
            <w:right w:val="none" w:sz="0" w:space="0" w:color="auto"/>
          </w:divBdr>
        </w:div>
        <w:div w:id="556207507">
          <w:marLeft w:val="480"/>
          <w:marRight w:val="0"/>
          <w:marTop w:val="0"/>
          <w:marBottom w:val="0"/>
          <w:divBdr>
            <w:top w:val="none" w:sz="0" w:space="0" w:color="auto"/>
            <w:left w:val="none" w:sz="0" w:space="0" w:color="auto"/>
            <w:bottom w:val="none" w:sz="0" w:space="0" w:color="auto"/>
            <w:right w:val="none" w:sz="0" w:space="0" w:color="auto"/>
          </w:divBdr>
        </w:div>
        <w:div w:id="1075474871">
          <w:marLeft w:val="480"/>
          <w:marRight w:val="0"/>
          <w:marTop w:val="0"/>
          <w:marBottom w:val="0"/>
          <w:divBdr>
            <w:top w:val="none" w:sz="0" w:space="0" w:color="auto"/>
            <w:left w:val="none" w:sz="0" w:space="0" w:color="auto"/>
            <w:bottom w:val="none" w:sz="0" w:space="0" w:color="auto"/>
            <w:right w:val="none" w:sz="0" w:space="0" w:color="auto"/>
          </w:divBdr>
        </w:div>
        <w:div w:id="834612506">
          <w:marLeft w:val="480"/>
          <w:marRight w:val="0"/>
          <w:marTop w:val="0"/>
          <w:marBottom w:val="0"/>
          <w:divBdr>
            <w:top w:val="none" w:sz="0" w:space="0" w:color="auto"/>
            <w:left w:val="none" w:sz="0" w:space="0" w:color="auto"/>
            <w:bottom w:val="none" w:sz="0" w:space="0" w:color="auto"/>
            <w:right w:val="none" w:sz="0" w:space="0" w:color="auto"/>
          </w:divBdr>
        </w:div>
        <w:div w:id="1392581711">
          <w:marLeft w:val="480"/>
          <w:marRight w:val="0"/>
          <w:marTop w:val="0"/>
          <w:marBottom w:val="0"/>
          <w:divBdr>
            <w:top w:val="none" w:sz="0" w:space="0" w:color="auto"/>
            <w:left w:val="none" w:sz="0" w:space="0" w:color="auto"/>
            <w:bottom w:val="none" w:sz="0" w:space="0" w:color="auto"/>
            <w:right w:val="none" w:sz="0" w:space="0" w:color="auto"/>
          </w:divBdr>
        </w:div>
        <w:div w:id="1648052166">
          <w:marLeft w:val="480"/>
          <w:marRight w:val="0"/>
          <w:marTop w:val="0"/>
          <w:marBottom w:val="0"/>
          <w:divBdr>
            <w:top w:val="none" w:sz="0" w:space="0" w:color="auto"/>
            <w:left w:val="none" w:sz="0" w:space="0" w:color="auto"/>
            <w:bottom w:val="none" w:sz="0" w:space="0" w:color="auto"/>
            <w:right w:val="none" w:sz="0" w:space="0" w:color="auto"/>
          </w:divBdr>
        </w:div>
        <w:div w:id="475147888">
          <w:marLeft w:val="480"/>
          <w:marRight w:val="0"/>
          <w:marTop w:val="0"/>
          <w:marBottom w:val="0"/>
          <w:divBdr>
            <w:top w:val="none" w:sz="0" w:space="0" w:color="auto"/>
            <w:left w:val="none" w:sz="0" w:space="0" w:color="auto"/>
            <w:bottom w:val="none" w:sz="0" w:space="0" w:color="auto"/>
            <w:right w:val="none" w:sz="0" w:space="0" w:color="auto"/>
          </w:divBdr>
        </w:div>
        <w:div w:id="1619145946">
          <w:marLeft w:val="480"/>
          <w:marRight w:val="0"/>
          <w:marTop w:val="0"/>
          <w:marBottom w:val="0"/>
          <w:divBdr>
            <w:top w:val="none" w:sz="0" w:space="0" w:color="auto"/>
            <w:left w:val="none" w:sz="0" w:space="0" w:color="auto"/>
            <w:bottom w:val="none" w:sz="0" w:space="0" w:color="auto"/>
            <w:right w:val="none" w:sz="0" w:space="0" w:color="auto"/>
          </w:divBdr>
        </w:div>
        <w:div w:id="332223452">
          <w:marLeft w:val="480"/>
          <w:marRight w:val="0"/>
          <w:marTop w:val="0"/>
          <w:marBottom w:val="0"/>
          <w:divBdr>
            <w:top w:val="none" w:sz="0" w:space="0" w:color="auto"/>
            <w:left w:val="none" w:sz="0" w:space="0" w:color="auto"/>
            <w:bottom w:val="none" w:sz="0" w:space="0" w:color="auto"/>
            <w:right w:val="none" w:sz="0" w:space="0" w:color="auto"/>
          </w:divBdr>
        </w:div>
        <w:div w:id="36004455">
          <w:marLeft w:val="480"/>
          <w:marRight w:val="0"/>
          <w:marTop w:val="0"/>
          <w:marBottom w:val="0"/>
          <w:divBdr>
            <w:top w:val="none" w:sz="0" w:space="0" w:color="auto"/>
            <w:left w:val="none" w:sz="0" w:space="0" w:color="auto"/>
            <w:bottom w:val="none" w:sz="0" w:space="0" w:color="auto"/>
            <w:right w:val="none" w:sz="0" w:space="0" w:color="auto"/>
          </w:divBdr>
        </w:div>
        <w:div w:id="1383209134">
          <w:marLeft w:val="480"/>
          <w:marRight w:val="0"/>
          <w:marTop w:val="0"/>
          <w:marBottom w:val="0"/>
          <w:divBdr>
            <w:top w:val="none" w:sz="0" w:space="0" w:color="auto"/>
            <w:left w:val="none" w:sz="0" w:space="0" w:color="auto"/>
            <w:bottom w:val="none" w:sz="0" w:space="0" w:color="auto"/>
            <w:right w:val="none" w:sz="0" w:space="0" w:color="auto"/>
          </w:divBdr>
        </w:div>
        <w:div w:id="607348346">
          <w:marLeft w:val="480"/>
          <w:marRight w:val="0"/>
          <w:marTop w:val="0"/>
          <w:marBottom w:val="0"/>
          <w:divBdr>
            <w:top w:val="none" w:sz="0" w:space="0" w:color="auto"/>
            <w:left w:val="none" w:sz="0" w:space="0" w:color="auto"/>
            <w:bottom w:val="none" w:sz="0" w:space="0" w:color="auto"/>
            <w:right w:val="none" w:sz="0" w:space="0" w:color="auto"/>
          </w:divBdr>
        </w:div>
        <w:div w:id="808595236">
          <w:marLeft w:val="480"/>
          <w:marRight w:val="0"/>
          <w:marTop w:val="0"/>
          <w:marBottom w:val="0"/>
          <w:divBdr>
            <w:top w:val="none" w:sz="0" w:space="0" w:color="auto"/>
            <w:left w:val="none" w:sz="0" w:space="0" w:color="auto"/>
            <w:bottom w:val="none" w:sz="0" w:space="0" w:color="auto"/>
            <w:right w:val="none" w:sz="0" w:space="0" w:color="auto"/>
          </w:divBdr>
        </w:div>
        <w:div w:id="344282638">
          <w:marLeft w:val="480"/>
          <w:marRight w:val="0"/>
          <w:marTop w:val="0"/>
          <w:marBottom w:val="0"/>
          <w:divBdr>
            <w:top w:val="none" w:sz="0" w:space="0" w:color="auto"/>
            <w:left w:val="none" w:sz="0" w:space="0" w:color="auto"/>
            <w:bottom w:val="none" w:sz="0" w:space="0" w:color="auto"/>
            <w:right w:val="none" w:sz="0" w:space="0" w:color="auto"/>
          </w:divBdr>
        </w:div>
        <w:div w:id="295180439">
          <w:marLeft w:val="480"/>
          <w:marRight w:val="0"/>
          <w:marTop w:val="0"/>
          <w:marBottom w:val="0"/>
          <w:divBdr>
            <w:top w:val="none" w:sz="0" w:space="0" w:color="auto"/>
            <w:left w:val="none" w:sz="0" w:space="0" w:color="auto"/>
            <w:bottom w:val="none" w:sz="0" w:space="0" w:color="auto"/>
            <w:right w:val="none" w:sz="0" w:space="0" w:color="auto"/>
          </w:divBdr>
        </w:div>
        <w:div w:id="674652494">
          <w:marLeft w:val="480"/>
          <w:marRight w:val="0"/>
          <w:marTop w:val="0"/>
          <w:marBottom w:val="0"/>
          <w:divBdr>
            <w:top w:val="none" w:sz="0" w:space="0" w:color="auto"/>
            <w:left w:val="none" w:sz="0" w:space="0" w:color="auto"/>
            <w:bottom w:val="none" w:sz="0" w:space="0" w:color="auto"/>
            <w:right w:val="none" w:sz="0" w:space="0" w:color="auto"/>
          </w:divBdr>
        </w:div>
        <w:div w:id="581063599">
          <w:marLeft w:val="480"/>
          <w:marRight w:val="0"/>
          <w:marTop w:val="0"/>
          <w:marBottom w:val="0"/>
          <w:divBdr>
            <w:top w:val="none" w:sz="0" w:space="0" w:color="auto"/>
            <w:left w:val="none" w:sz="0" w:space="0" w:color="auto"/>
            <w:bottom w:val="none" w:sz="0" w:space="0" w:color="auto"/>
            <w:right w:val="none" w:sz="0" w:space="0" w:color="auto"/>
          </w:divBdr>
        </w:div>
        <w:div w:id="1561280705">
          <w:marLeft w:val="480"/>
          <w:marRight w:val="0"/>
          <w:marTop w:val="0"/>
          <w:marBottom w:val="0"/>
          <w:divBdr>
            <w:top w:val="none" w:sz="0" w:space="0" w:color="auto"/>
            <w:left w:val="none" w:sz="0" w:space="0" w:color="auto"/>
            <w:bottom w:val="none" w:sz="0" w:space="0" w:color="auto"/>
            <w:right w:val="none" w:sz="0" w:space="0" w:color="auto"/>
          </w:divBdr>
        </w:div>
        <w:div w:id="646591092">
          <w:marLeft w:val="480"/>
          <w:marRight w:val="0"/>
          <w:marTop w:val="0"/>
          <w:marBottom w:val="0"/>
          <w:divBdr>
            <w:top w:val="none" w:sz="0" w:space="0" w:color="auto"/>
            <w:left w:val="none" w:sz="0" w:space="0" w:color="auto"/>
            <w:bottom w:val="none" w:sz="0" w:space="0" w:color="auto"/>
            <w:right w:val="none" w:sz="0" w:space="0" w:color="auto"/>
          </w:divBdr>
        </w:div>
        <w:div w:id="2104718752">
          <w:marLeft w:val="480"/>
          <w:marRight w:val="0"/>
          <w:marTop w:val="0"/>
          <w:marBottom w:val="0"/>
          <w:divBdr>
            <w:top w:val="none" w:sz="0" w:space="0" w:color="auto"/>
            <w:left w:val="none" w:sz="0" w:space="0" w:color="auto"/>
            <w:bottom w:val="none" w:sz="0" w:space="0" w:color="auto"/>
            <w:right w:val="none" w:sz="0" w:space="0" w:color="auto"/>
          </w:divBdr>
        </w:div>
        <w:div w:id="1558206705">
          <w:marLeft w:val="480"/>
          <w:marRight w:val="0"/>
          <w:marTop w:val="0"/>
          <w:marBottom w:val="0"/>
          <w:divBdr>
            <w:top w:val="none" w:sz="0" w:space="0" w:color="auto"/>
            <w:left w:val="none" w:sz="0" w:space="0" w:color="auto"/>
            <w:bottom w:val="none" w:sz="0" w:space="0" w:color="auto"/>
            <w:right w:val="none" w:sz="0" w:space="0" w:color="auto"/>
          </w:divBdr>
        </w:div>
        <w:div w:id="453253593">
          <w:marLeft w:val="480"/>
          <w:marRight w:val="0"/>
          <w:marTop w:val="0"/>
          <w:marBottom w:val="0"/>
          <w:divBdr>
            <w:top w:val="none" w:sz="0" w:space="0" w:color="auto"/>
            <w:left w:val="none" w:sz="0" w:space="0" w:color="auto"/>
            <w:bottom w:val="none" w:sz="0" w:space="0" w:color="auto"/>
            <w:right w:val="none" w:sz="0" w:space="0" w:color="auto"/>
          </w:divBdr>
        </w:div>
        <w:div w:id="1011372996">
          <w:marLeft w:val="480"/>
          <w:marRight w:val="0"/>
          <w:marTop w:val="0"/>
          <w:marBottom w:val="0"/>
          <w:divBdr>
            <w:top w:val="none" w:sz="0" w:space="0" w:color="auto"/>
            <w:left w:val="none" w:sz="0" w:space="0" w:color="auto"/>
            <w:bottom w:val="none" w:sz="0" w:space="0" w:color="auto"/>
            <w:right w:val="none" w:sz="0" w:space="0" w:color="auto"/>
          </w:divBdr>
        </w:div>
        <w:div w:id="1182669177">
          <w:marLeft w:val="480"/>
          <w:marRight w:val="0"/>
          <w:marTop w:val="0"/>
          <w:marBottom w:val="0"/>
          <w:divBdr>
            <w:top w:val="none" w:sz="0" w:space="0" w:color="auto"/>
            <w:left w:val="none" w:sz="0" w:space="0" w:color="auto"/>
            <w:bottom w:val="none" w:sz="0" w:space="0" w:color="auto"/>
            <w:right w:val="none" w:sz="0" w:space="0" w:color="auto"/>
          </w:divBdr>
        </w:div>
        <w:div w:id="1560751916">
          <w:marLeft w:val="480"/>
          <w:marRight w:val="0"/>
          <w:marTop w:val="0"/>
          <w:marBottom w:val="0"/>
          <w:divBdr>
            <w:top w:val="none" w:sz="0" w:space="0" w:color="auto"/>
            <w:left w:val="none" w:sz="0" w:space="0" w:color="auto"/>
            <w:bottom w:val="none" w:sz="0" w:space="0" w:color="auto"/>
            <w:right w:val="none" w:sz="0" w:space="0" w:color="auto"/>
          </w:divBdr>
        </w:div>
        <w:div w:id="1266693713">
          <w:marLeft w:val="480"/>
          <w:marRight w:val="0"/>
          <w:marTop w:val="0"/>
          <w:marBottom w:val="0"/>
          <w:divBdr>
            <w:top w:val="none" w:sz="0" w:space="0" w:color="auto"/>
            <w:left w:val="none" w:sz="0" w:space="0" w:color="auto"/>
            <w:bottom w:val="none" w:sz="0" w:space="0" w:color="auto"/>
            <w:right w:val="none" w:sz="0" w:space="0" w:color="auto"/>
          </w:divBdr>
        </w:div>
        <w:div w:id="1668748058">
          <w:marLeft w:val="480"/>
          <w:marRight w:val="0"/>
          <w:marTop w:val="0"/>
          <w:marBottom w:val="0"/>
          <w:divBdr>
            <w:top w:val="none" w:sz="0" w:space="0" w:color="auto"/>
            <w:left w:val="none" w:sz="0" w:space="0" w:color="auto"/>
            <w:bottom w:val="none" w:sz="0" w:space="0" w:color="auto"/>
            <w:right w:val="none" w:sz="0" w:space="0" w:color="auto"/>
          </w:divBdr>
        </w:div>
        <w:div w:id="1879125749">
          <w:marLeft w:val="480"/>
          <w:marRight w:val="0"/>
          <w:marTop w:val="0"/>
          <w:marBottom w:val="0"/>
          <w:divBdr>
            <w:top w:val="none" w:sz="0" w:space="0" w:color="auto"/>
            <w:left w:val="none" w:sz="0" w:space="0" w:color="auto"/>
            <w:bottom w:val="none" w:sz="0" w:space="0" w:color="auto"/>
            <w:right w:val="none" w:sz="0" w:space="0" w:color="auto"/>
          </w:divBdr>
        </w:div>
        <w:div w:id="450635278">
          <w:marLeft w:val="480"/>
          <w:marRight w:val="0"/>
          <w:marTop w:val="0"/>
          <w:marBottom w:val="0"/>
          <w:divBdr>
            <w:top w:val="none" w:sz="0" w:space="0" w:color="auto"/>
            <w:left w:val="none" w:sz="0" w:space="0" w:color="auto"/>
            <w:bottom w:val="none" w:sz="0" w:space="0" w:color="auto"/>
            <w:right w:val="none" w:sz="0" w:space="0" w:color="auto"/>
          </w:divBdr>
        </w:div>
        <w:div w:id="2021807921">
          <w:marLeft w:val="480"/>
          <w:marRight w:val="0"/>
          <w:marTop w:val="0"/>
          <w:marBottom w:val="0"/>
          <w:divBdr>
            <w:top w:val="none" w:sz="0" w:space="0" w:color="auto"/>
            <w:left w:val="none" w:sz="0" w:space="0" w:color="auto"/>
            <w:bottom w:val="none" w:sz="0" w:space="0" w:color="auto"/>
            <w:right w:val="none" w:sz="0" w:space="0" w:color="auto"/>
          </w:divBdr>
        </w:div>
        <w:div w:id="644747652">
          <w:marLeft w:val="480"/>
          <w:marRight w:val="0"/>
          <w:marTop w:val="0"/>
          <w:marBottom w:val="0"/>
          <w:divBdr>
            <w:top w:val="none" w:sz="0" w:space="0" w:color="auto"/>
            <w:left w:val="none" w:sz="0" w:space="0" w:color="auto"/>
            <w:bottom w:val="none" w:sz="0" w:space="0" w:color="auto"/>
            <w:right w:val="none" w:sz="0" w:space="0" w:color="auto"/>
          </w:divBdr>
        </w:div>
        <w:div w:id="84962866">
          <w:marLeft w:val="480"/>
          <w:marRight w:val="0"/>
          <w:marTop w:val="0"/>
          <w:marBottom w:val="0"/>
          <w:divBdr>
            <w:top w:val="none" w:sz="0" w:space="0" w:color="auto"/>
            <w:left w:val="none" w:sz="0" w:space="0" w:color="auto"/>
            <w:bottom w:val="none" w:sz="0" w:space="0" w:color="auto"/>
            <w:right w:val="none" w:sz="0" w:space="0" w:color="auto"/>
          </w:divBdr>
        </w:div>
        <w:div w:id="1137340176">
          <w:marLeft w:val="480"/>
          <w:marRight w:val="0"/>
          <w:marTop w:val="0"/>
          <w:marBottom w:val="0"/>
          <w:divBdr>
            <w:top w:val="none" w:sz="0" w:space="0" w:color="auto"/>
            <w:left w:val="none" w:sz="0" w:space="0" w:color="auto"/>
            <w:bottom w:val="none" w:sz="0" w:space="0" w:color="auto"/>
            <w:right w:val="none" w:sz="0" w:space="0" w:color="auto"/>
          </w:divBdr>
        </w:div>
        <w:div w:id="445544978">
          <w:marLeft w:val="480"/>
          <w:marRight w:val="0"/>
          <w:marTop w:val="0"/>
          <w:marBottom w:val="0"/>
          <w:divBdr>
            <w:top w:val="none" w:sz="0" w:space="0" w:color="auto"/>
            <w:left w:val="none" w:sz="0" w:space="0" w:color="auto"/>
            <w:bottom w:val="none" w:sz="0" w:space="0" w:color="auto"/>
            <w:right w:val="none" w:sz="0" w:space="0" w:color="auto"/>
          </w:divBdr>
        </w:div>
        <w:div w:id="715852342">
          <w:marLeft w:val="480"/>
          <w:marRight w:val="0"/>
          <w:marTop w:val="0"/>
          <w:marBottom w:val="0"/>
          <w:divBdr>
            <w:top w:val="none" w:sz="0" w:space="0" w:color="auto"/>
            <w:left w:val="none" w:sz="0" w:space="0" w:color="auto"/>
            <w:bottom w:val="none" w:sz="0" w:space="0" w:color="auto"/>
            <w:right w:val="none" w:sz="0" w:space="0" w:color="auto"/>
          </w:divBdr>
        </w:div>
        <w:div w:id="1254122304">
          <w:marLeft w:val="480"/>
          <w:marRight w:val="0"/>
          <w:marTop w:val="0"/>
          <w:marBottom w:val="0"/>
          <w:divBdr>
            <w:top w:val="none" w:sz="0" w:space="0" w:color="auto"/>
            <w:left w:val="none" w:sz="0" w:space="0" w:color="auto"/>
            <w:bottom w:val="none" w:sz="0" w:space="0" w:color="auto"/>
            <w:right w:val="none" w:sz="0" w:space="0" w:color="auto"/>
          </w:divBdr>
        </w:div>
        <w:div w:id="408189796">
          <w:marLeft w:val="480"/>
          <w:marRight w:val="0"/>
          <w:marTop w:val="0"/>
          <w:marBottom w:val="0"/>
          <w:divBdr>
            <w:top w:val="none" w:sz="0" w:space="0" w:color="auto"/>
            <w:left w:val="none" w:sz="0" w:space="0" w:color="auto"/>
            <w:bottom w:val="none" w:sz="0" w:space="0" w:color="auto"/>
            <w:right w:val="none" w:sz="0" w:space="0" w:color="auto"/>
          </w:divBdr>
        </w:div>
        <w:div w:id="1472214324">
          <w:marLeft w:val="480"/>
          <w:marRight w:val="0"/>
          <w:marTop w:val="0"/>
          <w:marBottom w:val="0"/>
          <w:divBdr>
            <w:top w:val="none" w:sz="0" w:space="0" w:color="auto"/>
            <w:left w:val="none" w:sz="0" w:space="0" w:color="auto"/>
            <w:bottom w:val="none" w:sz="0" w:space="0" w:color="auto"/>
            <w:right w:val="none" w:sz="0" w:space="0" w:color="auto"/>
          </w:divBdr>
        </w:div>
        <w:div w:id="1110975719">
          <w:marLeft w:val="480"/>
          <w:marRight w:val="0"/>
          <w:marTop w:val="0"/>
          <w:marBottom w:val="0"/>
          <w:divBdr>
            <w:top w:val="none" w:sz="0" w:space="0" w:color="auto"/>
            <w:left w:val="none" w:sz="0" w:space="0" w:color="auto"/>
            <w:bottom w:val="none" w:sz="0" w:space="0" w:color="auto"/>
            <w:right w:val="none" w:sz="0" w:space="0" w:color="auto"/>
          </w:divBdr>
        </w:div>
        <w:div w:id="118492742">
          <w:marLeft w:val="480"/>
          <w:marRight w:val="0"/>
          <w:marTop w:val="0"/>
          <w:marBottom w:val="0"/>
          <w:divBdr>
            <w:top w:val="none" w:sz="0" w:space="0" w:color="auto"/>
            <w:left w:val="none" w:sz="0" w:space="0" w:color="auto"/>
            <w:bottom w:val="none" w:sz="0" w:space="0" w:color="auto"/>
            <w:right w:val="none" w:sz="0" w:space="0" w:color="auto"/>
          </w:divBdr>
        </w:div>
        <w:div w:id="1660845202">
          <w:marLeft w:val="480"/>
          <w:marRight w:val="0"/>
          <w:marTop w:val="0"/>
          <w:marBottom w:val="0"/>
          <w:divBdr>
            <w:top w:val="none" w:sz="0" w:space="0" w:color="auto"/>
            <w:left w:val="none" w:sz="0" w:space="0" w:color="auto"/>
            <w:bottom w:val="none" w:sz="0" w:space="0" w:color="auto"/>
            <w:right w:val="none" w:sz="0" w:space="0" w:color="auto"/>
          </w:divBdr>
        </w:div>
        <w:div w:id="932011339">
          <w:marLeft w:val="480"/>
          <w:marRight w:val="0"/>
          <w:marTop w:val="0"/>
          <w:marBottom w:val="0"/>
          <w:divBdr>
            <w:top w:val="none" w:sz="0" w:space="0" w:color="auto"/>
            <w:left w:val="none" w:sz="0" w:space="0" w:color="auto"/>
            <w:bottom w:val="none" w:sz="0" w:space="0" w:color="auto"/>
            <w:right w:val="none" w:sz="0" w:space="0" w:color="auto"/>
          </w:divBdr>
        </w:div>
        <w:div w:id="1643924538">
          <w:marLeft w:val="480"/>
          <w:marRight w:val="0"/>
          <w:marTop w:val="0"/>
          <w:marBottom w:val="0"/>
          <w:divBdr>
            <w:top w:val="none" w:sz="0" w:space="0" w:color="auto"/>
            <w:left w:val="none" w:sz="0" w:space="0" w:color="auto"/>
            <w:bottom w:val="none" w:sz="0" w:space="0" w:color="auto"/>
            <w:right w:val="none" w:sz="0" w:space="0" w:color="auto"/>
          </w:divBdr>
        </w:div>
        <w:div w:id="1630210119">
          <w:marLeft w:val="480"/>
          <w:marRight w:val="0"/>
          <w:marTop w:val="0"/>
          <w:marBottom w:val="0"/>
          <w:divBdr>
            <w:top w:val="none" w:sz="0" w:space="0" w:color="auto"/>
            <w:left w:val="none" w:sz="0" w:space="0" w:color="auto"/>
            <w:bottom w:val="none" w:sz="0" w:space="0" w:color="auto"/>
            <w:right w:val="none" w:sz="0" w:space="0" w:color="auto"/>
          </w:divBdr>
        </w:div>
        <w:div w:id="203445755">
          <w:marLeft w:val="480"/>
          <w:marRight w:val="0"/>
          <w:marTop w:val="0"/>
          <w:marBottom w:val="0"/>
          <w:divBdr>
            <w:top w:val="none" w:sz="0" w:space="0" w:color="auto"/>
            <w:left w:val="none" w:sz="0" w:space="0" w:color="auto"/>
            <w:bottom w:val="none" w:sz="0" w:space="0" w:color="auto"/>
            <w:right w:val="none" w:sz="0" w:space="0" w:color="auto"/>
          </w:divBdr>
        </w:div>
        <w:div w:id="615989119">
          <w:marLeft w:val="480"/>
          <w:marRight w:val="0"/>
          <w:marTop w:val="0"/>
          <w:marBottom w:val="0"/>
          <w:divBdr>
            <w:top w:val="none" w:sz="0" w:space="0" w:color="auto"/>
            <w:left w:val="none" w:sz="0" w:space="0" w:color="auto"/>
            <w:bottom w:val="none" w:sz="0" w:space="0" w:color="auto"/>
            <w:right w:val="none" w:sz="0" w:space="0" w:color="auto"/>
          </w:divBdr>
        </w:div>
        <w:div w:id="2146190549">
          <w:marLeft w:val="480"/>
          <w:marRight w:val="0"/>
          <w:marTop w:val="0"/>
          <w:marBottom w:val="0"/>
          <w:divBdr>
            <w:top w:val="none" w:sz="0" w:space="0" w:color="auto"/>
            <w:left w:val="none" w:sz="0" w:space="0" w:color="auto"/>
            <w:bottom w:val="none" w:sz="0" w:space="0" w:color="auto"/>
            <w:right w:val="none" w:sz="0" w:space="0" w:color="auto"/>
          </w:divBdr>
        </w:div>
        <w:div w:id="298537373">
          <w:marLeft w:val="480"/>
          <w:marRight w:val="0"/>
          <w:marTop w:val="0"/>
          <w:marBottom w:val="0"/>
          <w:divBdr>
            <w:top w:val="none" w:sz="0" w:space="0" w:color="auto"/>
            <w:left w:val="none" w:sz="0" w:space="0" w:color="auto"/>
            <w:bottom w:val="none" w:sz="0" w:space="0" w:color="auto"/>
            <w:right w:val="none" w:sz="0" w:space="0" w:color="auto"/>
          </w:divBdr>
        </w:div>
        <w:div w:id="916018740">
          <w:marLeft w:val="480"/>
          <w:marRight w:val="0"/>
          <w:marTop w:val="0"/>
          <w:marBottom w:val="0"/>
          <w:divBdr>
            <w:top w:val="none" w:sz="0" w:space="0" w:color="auto"/>
            <w:left w:val="none" w:sz="0" w:space="0" w:color="auto"/>
            <w:bottom w:val="none" w:sz="0" w:space="0" w:color="auto"/>
            <w:right w:val="none" w:sz="0" w:space="0" w:color="auto"/>
          </w:divBdr>
        </w:div>
        <w:div w:id="1597981902">
          <w:marLeft w:val="480"/>
          <w:marRight w:val="0"/>
          <w:marTop w:val="0"/>
          <w:marBottom w:val="0"/>
          <w:divBdr>
            <w:top w:val="none" w:sz="0" w:space="0" w:color="auto"/>
            <w:left w:val="none" w:sz="0" w:space="0" w:color="auto"/>
            <w:bottom w:val="none" w:sz="0" w:space="0" w:color="auto"/>
            <w:right w:val="none" w:sz="0" w:space="0" w:color="auto"/>
          </w:divBdr>
        </w:div>
        <w:div w:id="931402922">
          <w:marLeft w:val="480"/>
          <w:marRight w:val="0"/>
          <w:marTop w:val="0"/>
          <w:marBottom w:val="0"/>
          <w:divBdr>
            <w:top w:val="none" w:sz="0" w:space="0" w:color="auto"/>
            <w:left w:val="none" w:sz="0" w:space="0" w:color="auto"/>
            <w:bottom w:val="none" w:sz="0" w:space="0" w:color="auto"/>
            <w:right w:val="none" w:sz="0" w:space="0" w:color="auto"/>
          </w:divBdr>
        </w:div>
        <w:div w:id="830485215">
          <w:marLeft w:val="480"/>
          <w:marRight w:val="0"/>
          <w:marTop w:val="0"/>
          <w:marBottom w:val="0"/>
          <w:divBdr>
            <w:top w:val="none" w:sz="0" w:space="0" w:color="auto"/>
            <w:left w:val="none" w:sz="0" w:space="0" w:color="auto"/>
            <w:bottom w:val="none" w:sz="0" w:space="0" w:color="auto"/>
            <w:right w:val="none" w:sz="0" w:space="0" w:color="auto"/>
          </w:divBdr>
        </w:div>
        <w:div w:id="509681721">
          <w:marLeft w:val="480"/>
          <w:marRight w:val="0"/>
          <w:marTop w:val="0"/>
          <w:marBottom w:val="0"/>
          <w:divBdr>
            <w:top w:val="none" w:sz="0" w:space="0" w:color="auto"/>
            <w:left w:val="none" w:sz="0" w:space="0" w:color="auto"/>
            <w:bottom w:val="none" w:sz="0" w:space="0" w:color="auto"/>
            <w:right w:val="none" w:sz="0" w:space="0" w:color="auto"/>
          </w:divBdr>
        </w:div>
        <w:div w:id="1500389818">
          <w:marLeft w:val="480"/>
          <w:marRight w:val="0"/>
          <w:marTop w:val="0"/>
          <w:marBottom w:val="0"/>
          <w:divBdr>
            <w:top w:val="none" w:sz="0" w:space="0" w:color="auto"/>
            <w:left w:val="none" w:sz="0" w:space="0" w:color="auto"/>
            <w:bottom w:val="none" w:sz="0" w:space="0" w:color="auto"/>
            <w:right w:val="none" w:sz="0" w:space="0" w:color="auto"/>
          </w:divBdr>
        </w:div>
        <w:div w:id="2089376977">
          <w:marLeft w:val="480"/>
          <w:marRight w:val="0"/>
          <w:marTop w:val="0"/>
          <w:marBottom w:val="0"/>
          <w:divBdr>
            <w:top w:val="none" w:sz="0" w:space="0" w:color="auto"/>
            <w:left w:val="none" w:sz="0" w:space="0" w:color="auto"/>
            <w:bottom w:val="none" w:sz="0" w:space="0" w:color="auto"/>
            <w:right w:val="none" w:sz="0" w:space="0" w:color="auto"/>
          </w:divBdr>
        </w:div>
        <w:div w:id="2008173231">
          <w:marLeft w:val="480"/>
          <w:marRight w:val="0"/>
          <w:marTop w:val="0"/>
          <w:marBottom w:val="0"/>
          <w:divBdr>
            <w:top w:val="none" w:sz="0" w:space="0" w:color="auto"/>
            <w:left w:val="none" w:sz="0" w:space="0" w:color="auto"/>
            <w:bottom w:val="none" w:sz="0" w:space="0" w:color="auto"/>
            <w:right w:val="none" w:sz="0" w:space="0" w:color="auto"/>
          </w:divBdr>
        </w:div>
        <w:div w:id="236743765">
          <w:marLeft w:val="480"/>
          <w:marRight w:val="0"/>
          <w:marTop w:val="0"/>
          <w:marBottom w:val="0"/>
          <w:divBdr>
            <w:top w:val="none" w:sz="0" w:space="0" w:color="auto"/>
            <w:left w:val="none" w:sz="0" w:space="0" w:color="auto"/>
            <w:bottom w:val="none" w:sz="0" w:space="0" w:color="auto"/>
            <w:right w:val="none" w:sz="0" w:space="0" w:color="auto"/>
          </w:divBdr>
        </w:div>
        <w:div w:id="1055473453">
          <w:marLeft w:val="480"/>
          <w:marRight w:val="0"/>
          <w:marTop w:val="0"/>
          <w:marBottom w:val="0"/>
          <w:divBdr>
            <w:top w:val="none" w:sz="0" w:space="0" w:color="auto"/>
            <w:left w:val="none" w:sz="0" w:space="0" w:color="auto"/>
            <w:bottom w:val="none" w:sz="0" w:space="0" w:color="auto"/>
            <w:right w:val="none" w:sz="0" w:space="0" w:color="auto"/>
          </w:divBdr>
        </w:div>
        <w:div w:id="2050254020">
          <w:marLeft w:val="480"/>
          <w:marRight w:val="0"/>
          <w:marTop w:val="0"/>
          <w:marBottom w:val="0"/>
          <w:divBdr>
            <w:top w:val="none" w:sz="0" w:space="0" w:color="auto"/>
            <w:left w:val="none" w:sz="0" w:space="0" w:color="auto"/>
            <w:bottom w:val="none" w:sz="0" w:space="0" w:color="auto"/>
            <w:right w:val="none" w:sz="0" w:space="0" w:color="auto"/>
          </w:divBdr>
        </w:div>
        <w:div w:id="510221178">
          <w:marLeft w:val="480"/>
          <w:marRight w:val="0"/>
          <w:marTop w:val="0"/>
          <w:marBottom w:val="0"/>
          <w:divBdr>
            <w:top w:val="none" w:sz="0" w:space="0" w:color="auto"/>
            <w:left w:val="none" w:sz="0" w:space="0" w:color="auto"/>
            <w:bottom w:val="none" w:sz="0" w:space="0" w:color="auto"/>
            <w:right w:val="none" w:sz="0" w:space="0" w:color="auto"/>
          </w:divBdr>
        </w:div>
        <w:div w:id="166402938">
          <w:marLeft w:val="480"/>
          <w:marRight w:val="0"/>
          <w:marTop w:val="0"/>
          <w:marBottom w:val="0"/>
          <w:divBdr>
            <w:top w:val="none" w:sz="0" w:space="0" w:color="auto"/>
            <w:left w:val="none" w:sz="0" w:space="0" w:color="auto"/>
            <w:bottom w:val="none" w:sz="0" w:space="0" w:color="auto"/>
            <w:right w:val="none" w:sz="0" w:space="0" w:color="auto"/>
          </w:divBdr>
        </w:div>
        <w:div w:id="1738556581">
          <w:marLeft w:val="480"/>
          <w:marRight w:val="0"/>
          <w:marTop w:val="0"/>
          <w:marBottom w:val="0"/>
          <w:divBdr>
            <w:top w:val="none" w:sz="0" w:space="0" w:color="auto"/>
            <w:left w:val="none" w:sz="0" w:space="0" w:color="auto"/>
            <w:bottom w:val="none" w:sz="0" w:space="0" w:color="auto"/>
            <w:right w:val="none" w:sz="0" w:space="0" w:color="auto"/>
          </w:divBdr>
        </w:div>
        <w:div w:id="834566206">
          <w:marLeft w:val="480"/>
          <w:marRight w:val="0"/>
          <w:marTop w:val="0"/>
          <w:marBottom w:val="0"/>
          <w:divBdr>
            <w:top w:val="none" w:sz="0" w:space="0" w:color="auto"/>
            <w:left w:val="none" w:sz="0" w:space="0" w:color="auto"/>
            <w:bottom w:val="none" w:sz="0" w:space="0" w:color="auto"/>
            <w:right w:val="none" w:sz="0" w:space="0" w:color="auto"/>
          </w:divBdr>
        </w:div>
        <w:div w:id="797187865">
          <w:marLeft w:val="480"/>
          <w:marRight w:val="0"/>
          <w:marTop w:val="0"/>
          <w:marBottom w:val="0"/>
          <w:divBdr>
            <w:top w:val="none" w:sz="0" w:space="0" w:color="auto"/>
            <w:left w:val="none" w:sz="0" w:space="0" w:color="auto"/>
            <w:bottom w:val="none" w:sz="0" w:space="0" w:color="auto"/>
            <w:right w:val="none" w:sz="0" w:space="0" w:color="auto"/>
          </w:divBdr>
        </w:div>
        <w:div w:id="1321543671">
          <w:marLeft w:val="480"/>
          <w:marRight w:val="0"/>
          <w:marTop w:val="0"/>
          <w:marBottom w:val="0"/>
          <w:divBdr>
            <w:top w:val="none" w:sz="0" w:space="0" w:color="auto"/>
            <w:left w:val="none" w:sz="0" w:space="0" w:color="auto"/>
            <w:bottom w:val="none" w:sz="0" w:space="0" w:color="auto"/>
            <w:right w:val="none" w:sz="0" w:space="0" w:color="auto"/>
          </w:divBdr>
        </w:div>
        <w:div w:id="1830244909">
          <w:marLeft w:val="480"/>
          <w:marRight w:val="0"/>
          <w:marTop w:val="0"/>
          <w:marBottom w:val="0"/>
          <w:divBdr>
            <w:top w:val="none" w:sz="0" w:space="0" w:color="auto"/>
            <w:left w:val="none" w:sz="0" w:space="0" w:color="auto"/>
            <w:bottom w:val="none" w:sz="0" w:space="0" w:color="auto"/>
            <w:right w:val="none" w:sz="0" w:space="0" w:color="auto"/>
          </w:divBdr>
        </w:div>
        <w:div w:id="1551725510">
          <w:marLeft w:val="480"/>
          <w:marRight w:val="0"/>
          <w:marTop w:val="0"/>
          <w:marBottom w:val="0"/>
          <w:divBdr>
            <w:top w:val="none" w:sz="0" w:space="0" w:color="auto"/>
            <w:left w:val="none" w:sz="0" w:space="0" w:color="auto"/>
            <w:bottom w:val="none" w:sz="0" w:space="0" w:color="auto"/>
            <w:right w:val="none" w:sz="0" w:space="0" w:color="auto"/>
          </w:divBdr>
        </w:div>
        <w:div w:id="1494636634">
          <w:marLeft w:val="480"/>
          <w:marRight w:val="0"/>
          <w:marTop w:val="0"/>
          <w:marBottom w:val="0"/>
          <w:divBdr>
            <w:top w:val="none" w:sz="0" w:space="0" w:color="auto"/>
            <w:left w:val="none" w:sz="0" w:space="0" w:color="auto"/>
            <w:bottom w:val="none" w:sz="0" w:space="0" w:color="auto"/>
            <w:right w:val="none" w:sz="0" w:space="0" w:color="auto"/>
          </w:divBdr>
        </w:div>
        <w:div w:id="1070924811">
          <w:marLeft w:val="480"/>
          <w:marRight w:val="0"/>
          <w:marTop w:val="0"/>
          <w:marBottom w:val="0"/>
          <w:divBdr>
            <w:top w:val="none" w:sz="0" w:space="0" w:color="auto"/>
            <w:left w:val="none" w:sz="0" w:space="0" w:color="auto"/>
            <w:bottom w:val="none" w:sz="0" w:space="0" w:color="auto"/>
            <w:right w:val="none" w:sz="0" w:space="0" w:color="auto"/>
          </w:divBdr>
        </w:div>
        <w:div w:id="704184387">
          <w:marLeft w:val="480"/>
          <w:marRight w:val="0"/>
          <w:marTop w:val="0"/>
          <w:marBottom w:val="0"/>
          <w:divBdr>
            <w:top w:val="none" w:sz="0" w:space="0" w:color="auto"/>
            <w:left w:val="none" w:sz="0" w:space="0" w:color="auto"/>
            <w:bottom w:val="none" w:sz="0" w:space="0" w:color="auto"/>
            <w:right w:val="none" w:sz="0" w:space="0" w:color="auto"/>
          </w:divBdr>
        </w:div>
        <w:div w:id="1413312407">
          <w:marLeft w:val="480"/>
          <w:marRight w:val="0"/>
          <w:marTop w:val="0"/>
          <w:marBottom w:val="0"/>
          <w:divBdr>
            <w:top w:val="none" w:sz="0" w:space="0" w:color="auto"/>
            <w:left w:val="none" w:sz="0" w:space="0" w:color="auto"/>
            <w:bottom w:val="none" w:sz="0" w:space="0" w:color="auto"/>
            <w:right w:val="none" w:sz="0" w:space="0" w:color="auto"/>
          </w:divBdr>
        </w:div>
        <w:div w:id="369308569">
          <w:marLeft w:val="480"/>
          <w:marRight w:val="0"/>
          <w:marTop w:val="0"/>
          <w:marBottom w:val="0"/>
          <w:divBdr>
            <w:top w:val="none" w:sz="0" w:space="0" w:color="auto"/>
            <w:left w:val="none" w:sz="0" w:space="0" w:color="auto"/>
            <w:bottom w:val="none" w:sz="0" w:space="0" w:color="auto"/>
            <w:right w:val="none" w:sz="0" w:space="0" w:color="auto"/>
          </w:divBdr>
        </w:div>
        <w:div w:id="1977369623">
          <w:marLeft w:val="480"/>
          <w:marRight w:val="0"/>
          <w:marTop w:val="0"/>
          <w:marBottom w:val="0"/>
          <w:divBdr>
            <w:top w:val="none" w:sz="0" w:space="0" w:color="auto"/>
            <w:left w:val="none" w:sz="0" w:space="0" w:color="auto"/>
            <w:bottom w:val="none" w:sz="0" w:space="0" w:color="auto"/>
            <w:right w:val="none" w:sz="0" w:space="0" w:color="auto"/>
          </w:divBdr>
        </w:div>
        <w:div w:id="1897281912">
          <w:marLeft w:val="480"/>
          <w:marRight w:val="0"/>
          <w:marTop w:val="0"/>
          <w:marBottom w:val="0"/>
          <w:divBdr>
            <w:top w:val="none" w:sz="0" w:space="0" w:color="auto"/>
            <w:left w:val="none" w:sz="0" w:space="0" w:color="auto"/>
            <w:bottom w:val="none" w:sz="0" w:space="0" w:color="auto"/>
            <w:right w:val="none" w:sz="0" w:space="0" w:color="auto"/>
          </w:divBdr>
        </w:div>
        <w:div w:id="1335183151">
          <w:marLeft w:val="480"/>
          <w:marRight w:val="0"/>
          <w:marTop w:val="0"/>
          <w:marBottom w:val="0"/>
          <w:divBdr>
            <w:top w:val="none" w:sz="0" w:space="0" w:color="auto"/>
            <w:left w:val="none" w:sz="0" w:space="0" w:color="auto"/>
            <w:bottom w:val="none" w:sz="0" w:space="0" w:color="auto"/>
            <w:right w:val="none" w:sz="0" w:space="0" w:color="auto"/>
          </w:divBdr>
        </w:div>
        <w:div w:id="1514953240">
          <w:marLeft w:val="480"/>
          <w:marRight w:val="0"/>
          <w:marTop w:val="0"/>
          <w:marBottom w:val="0"/>
          <w:divBdr>
            <w:top w:val="none" w:sz="0" w:space="0" w:color="auto"/>
            <w:left w:val="none" w:sz="0" w:space="0" w:color="auto"/>
            <w:bottom w:val="none" w:sz="0" w:space="0" w:color="auto"/>
            <w:right w:val="none" w:sz="0" w:space="0" w:color="auto"/>
          </w:divBdr>
        </w:div>
        <w:div w:id="466629837">
          <w:marLeft w:val="480"/>
          <w:marRight w:val="0"/>
          <w:marTop w:val="0"/>
          <w:marBottom w:val="0"/>
          <w:divBdr>
            <w:top w:val="none" w:sz="0" w:space="0" w:color="auto"/>
            <w:left w:val="none" w:sz="0" w:space="0" w:color="auto"/>
            <w:bottom w:val="none" w:sz="0" w:space="0" w:color="auto"/>
            <w:right w:val="none" w:sz="0" w:space="0" w:color="auto"/>
          </w:divBdr>
        </w:div>
        <w:div w:id="1084837791">
          <w:marLeft w:val="480"/>
          <w:marRight w:val="0"/>
          <w:marTop w:val="0"/>
          <w:marBottom w:val="0"/>
          <w:divBdr>
            <w:top w:val="none" w:sz="0" w:space="0" w:color="auto"/>
            <w:left w:val="none" w:sz="0" w:space="0" w:color="auto"/>
            <w:bottom w:val="none" w:sz="0" w:space="0" w:color="auto"/>
            <w:right w:val="none" w:sz="0" w:space="0" w:color="auto"/>
          </w:divBdr>
        </w:div>
        <w:div w:id="688528536">
          <w:marLeft w:val="480"/>
          <w:marRight w:val="0"/>
          <w:marTop w:val="0"/>
          <w:marBottom w:val="0"/>
          <w:divBdr>
            <w:top w:val="none" w:sz="0" w:space="0" w:color="auto"/>
            <w:left w:val="none" w:sz="0" w:space="0" w:color="auto"/>
            <w:bottom w:val="none" w:sz="0" w:space="0" w:color="auto"/>
            <w:right w:val="none" w:sz="0" w:space="0" w:color="auto"/>
          </w:divBdr>
        </w:div>
        <w:div w:id="1014652216">
          <w:marLeft w:val="480"/>
          <w:marRight w:val="0"/>
          <w:marTop w:val="0"/>
          <w:marBottom w:val="0"/>
          <w:divBdr>
            <w:top w:val="none" w:sz="0" w:space="0" w:color="auto"/>
            <w:left w:val="none" w:sz="0" w:space="0" w:color="auto"/>
            <w:bottom w:val="none" w:sz="0" w:space="0" w:color="auto"/>
            <w:right w:val="none" w:sz="0" w:space="0" w:color="auto"/>
          </w:divBdr>
        </w:div>
        <w:div w:id="1026909718">
          <w:marLeft w:val="480"/>
          <w:marRight w:val="0"/>
          <w:marTop w:val="0"/>
          <w:marBottom w:val="0"/>
          <w:divBdr>
            <w:top w:val="none" w:sz="0" w:space="0" w:color="auto"/>
            <w:left w:val="none" w:sz="0" w:space="0" w:color="auto"/>
            <w:bottom w:val="none" w:sz="0" w:space="0" w:color="auto"/>
            <w:right w:val="none" w:sz="0" w:space="0" w:color="auto"/>
          </w:divBdr>
        </w:div>
        <w:div w:id="1038236317">
          <w:marLeft w:val="480"/>
          <w:marRight w:val="0"/>
          <w:marTop w:val="0"/>
          <w:marBottom w:val="0"/>
          <w:divBdr>
            <w:top w:val="none" w:sz="0" w:space="0" w:color="auto"/>
            <w:left w:val="none" w:sz="0" w:space="0" w:color="auto"/>
            <w:bottom w:val="none" w:sz="0" w:space="0" w:color="auto"/>
            <w:right w:val="none" w:sz="0" w:space="0" w:color="auto"/>
          </w:divBdr>
        </w:div>
        <w:div w:id="1463419504">
          <w:marLeft w:val="480"/>
          <w:marRight w:val="0"/>
          <w:marTop w:val="0"/>
          <w:marBottom w:val="0"/>
          <w:divBdr>
            <w:top w:val="none" w:sz="0" w:space="0" w:color="auto"/>
            <w:left w:val="none" w:sz="0" w:space="0" w:color="auto"/>
            <w:bottom w:val="none" w:sz="0" w:space="0" w:color="auto"/>
            <w:right w:val="none" w:sz="0" w:space="0" w:color="auto"/>
          </w:divBdr>
        </w:div>
        <w:div w:id="1529180544">
          <w:marLeft w:val="480"/>
          <w:marRight w:val="0"/>
          <w:marTop w:val="0"/>
          <w:marBottom w:val="0"/>
          <w:divBdr>
            <w:top w:val="none" w:sz="0" w:space="0" w:color="auto"/>
            <w:left w:val="none" w:sz="0" w:space="0" w:color="auto"/>
            <w:bottom w:val="none" w:sz="0" w:space="0" w:color="auto"/>
            <w:right w:val="none" w:sz="0" w:space="0" w:color="auto"/>
          </w:divBdr>
        </w:div>
        <w:div w:id="1578854828">
          <w:marLeft w:val="480"/>
          <w:marRight w:val="0"/>
          <w:marTop w:val="0"/>
          <w:marBottom w:val="0"/>
          <w:divBdr>
            <w:top w:val="none" w:sz="0" w:space="0" w:color="auto"/>
            <w:left w:val="none" w:sz="0" w:space="0" w:color="auto"/>
            <w:bottom w:val="none" w:sz="0" w:space="0" w:color="auto"/>
            <w:right w:val="none" w:sz="0" w:space="0" w:color="auto"/>
          </w:divBdr>
        </w:div>
        <w:div w:id="179468082">
          <w:marLeft w:val="480"/>
          <w:marRight w:val="0"/>
          <w:marTop w:val="0"/>
          <w:marBottom w:val="0"/>
          <w:divBdr>
            <w:top w:val="none" w:sz="0" w:space="0" w:color="auto"/>
            <w:left w:val="none" w:sz="0" w:space="0" w:color="auto"/>
            <w:bottom w:val="none" w:sz="0" w:space="0" w:color="auto"/>
            <w:right w:val="none" w:sz="0" w:space="0" w:color="auto"/>
          </w:divBdr>
        </w:div>
        <w:div w:id="439498990">
          <w:marLeft w:val="480"/>
          <w:marRight w:val="0"/>
          <w:marTop w:val="0"/>
          <w:marBottom w:val="0"/>
          <w:divBdr>
            <w:top w:val="none" w:sz="0" w:space="0" w:color="auto"/>
            <w:left w:val="none" w:sz="0" w:space="0" w:color="auto"/>
            <w:bottom w:val="none" w:sz="0" w:space="0" w:color="auto"/>
            <w:right w:val="none" w:sz="0" w:space="0" w:color="auto"/>
          </w:divBdr>
        </w:div>
        <w:div w:id="1726952889">
          <w:marLeft w:val="480"/>
          <w:marRight w:val="0"/>
          <w:marTop w:val="0"/>
          <w:marBottom w:val="0"/>
          <w:divBdr>
            <w:top w:val="none" w:sz="0" w:space="0" w:color="auto"/>
            <w:left w:val="none" w:sz="0" w:space="0" w:color="auto"/>
            <w:bottom w:val="none" w:sz="0" w:space="0" w:color="auto"/>
            <w:right w:val="none" w:sz="0" w:space="0" w:color="auto"/>
          </w:divBdr>
        </w:div>
        <w:div w:id="125205682">
          <w:marLeft w:val="480"/>
          <w:marRight w:val="0"/>
          <w:marTop w:val="0"/>
          <w:marBottom w:val="0"/>
          <w:divBdr>
            <w:top w:val="none" w:sz="0" w:space="0" w:color="auto"/>
            <w:left w:val="none" w:sz="0" w:space="0" w:color="auto"/>
            <w:bottom w:val="none" w:sz="0" w:space="0" w:color="auto"/>
            <w:right w:val="none" w:sz="0" w:space="0" w:color="auto"/>
          </w:divBdr>
        </w:div>
        <w:div w:id="1132020719">
          <w:marLeft w:val="480"/>
          <w:marRight w:val="0"/>
          <w:marTop w:val="0"/>
          <w:marBottom w:val="0"/>
          <w:divBdr>
            <w:top w:val="none" w:sz="0" w:space="0" w:color="auto"/>
            <w:left w:val="none" w:sz="0" w:space="0" w:color="auto"/>
            <w:bottom w:val="none" w:sz="0" w:space="0" w:color="auto"/>
            <w:right w:val="none" w:sz="0" w:space="0" w:color="auto"/>
          </w:divBdr>
        </w:div>
        <w:div w:id="42297392">
          <w:marLeft w:val="480"/>
          <w:marRight w:val="0"/>
          <w:marTop w:val="0"/>
          <w:marBottom w:val="0"/>
          <w:divBdr>
            <w:top w:val="none" w:sz="0" w:space="0" w:color="auto"/>
            <w:left w:val="none" w:sz="0" w:space="0" w:color="auto"/>
            <w:bottom w:val="none" w:sz="0" w:space="0" w:color="auto"/>
            <w:right w:val="none" w:sz="0" w:space="0" w:color="auto"/>
          </w:divBdr>
        </w:div>
        <w:div w:id="1791165666">
          <w:marLeft w:val="480"/>
          <w:marRight w:val="0"/>
          <w:marTop w:val="0"/>
          <w:marBottom w:val="0"/>
          <w:divBdr>
            <w:top w:val="none" w:sz="0" w:space="0" w:color="auto"/>
            <w:left w:val="none" w:sz="0" w:space="0" w:color="auto"/>
            <w:bottom w:val="none" w:sz="0" w:space="0" w:color="auto"/>
            <w:right w:val="none" w:sz="0" w:space="0" w:color="auto"/>
          </w:divBdr>
        </w:div>
        <w:div w:id="384834194">
          <w:marLeft w:val="480"/>
          <w:marRight w:val="0"/>
          <w:marTop w:val="0"/>
          <w:marBottom w:val="0"/>
          <w:divBdr>
            <w:top w:val="none" w:sz="0" w:space="0" w:color="auto"/>
            <w:left w:val="none" w:sz="0" w:space="0" w:color="auto"/>
            <w:bottom w:val="none" w:sz="0" w:space="0" w:color="auto"/>
            <w:right w:val="none" w:sz="0" w:space="0" w:color="auto"/>
          </w:divBdr>
        </w:div>
        <w:div w:id="543446649">
          <w:marLeft w:val="480"/>
          <w:marRight w:val="0"/>
          <w:marTop w:val="0"/>
          <w:marBottom w:val="0"/>
          <w:divBdr>
            <w:top w:val="none" w:sz="0" w:space="0" w:color="auto"/>
            <w:left w:val="none" w:sz="0" w:space="0" w:color="auto"/>
            <w:bottom w:val="none" w:sz="0" w:space="0" w:color="auto"/>
            <w:right w:val="none" w:sz="0" w:space="0" w:color="auto"/>
          </w:divBdr>
        </w:div>
        <w:div w:id="1442458973">
          <w:marLeft w:val="480"/>
          <w:marRight w:val="0"/>
          <w:marTop w:val="0"/>
          <w:marBottom w:val="0"/>
          <w:divBdr>
            <w:top w:val="none" w:sz="0" w:space="0" w:color="auto"/>
            <w:left w:val="none" w:sz="0" w:space="0" w:color="auto"/>
            <w:bottom w:val="none" w:sz="0" w:space="0" w:color="auto"/>
            <w:right w:val="none" w:sz="0" w:space="0" w:color="auto"/>
          </w:divBdr>
        </w:div>
        <w:div w:id="1226256787">
          <w:marLeft w:val="480"/>
          <w:marRight w:val="0"/>
          <w:marTop w:val="0"/>
          <w:marBottom w:val="0"/>
          <w:divBdr>
            <w:top w:val="none" w:sz="0" w:space="0" w:color="auto"/>
            <w:left w:val="none" w:sz="0" w:space="0" w:color="auto"/>
            <w:bottom w:val="none" w:sz="0" w:space="0" w:color="auto"/>
            <w:right w:val="none" w:sz="0" w:space="0" w:color="auto"/>
          </w:divBdr>
        </w:div>
        <w:div w:id="1188446073">
          <w:marLeft w:val="480"/>
          <w:marRight w:val="0"/>
          <w:marTop w:val="0"/>
          <w:marBottom w:val="0"/>
          <w:divBdr>
            <w:top w:val="none" w:sz="0" w:space="0" w:color="auto"/>
            <w:left w:val="none" w:sz="0" w:space="0" w:color="auto"/>
            <w:bottom w:val="none" w:sz="0" w:space="0" w:color="auto"/>
            <w:right w:val="none" w:sz="0" w:space="0" w:color="auto"/>
          </w:divBdr>
        </w:div>
        <w:div w:id="1438014993">
          <w:marLeft w:val="480"/>
          <w:marRight w:val="0"/>
          <w:marTop w:val="0"/>
          <w:marBottom w:val="0"/>
          <w:divBdr>
            <w:top w:val="none" w:sz="0" w:space="0" w:color="auto"/>
            <w:left w:val="none" w:sz="0" w:space="0" w:color="auto"/>
            <w:bottom w:val="none" w:sz="0" w:space="0" w:color="auto"/>
            <w:right w:val="none" w:sz="0" w:space="0" w:color="auto"/>
          </w:divBdr>
        </w:div>
        <w:div w:id="1647082606">
          <w:marLeft w:val="480"/>
          <w:marRight w:val="0"/>
          <w:marTop w:val="0"/>
          <w:marBottom w:val="0"/>
          <w:divBdr>
            <w:top w:val="none" w:sz="0" w:space="0" w:color="auto"/>
            <w:left w:val="none" w:sz="0" w:space="0" w:color="auto"/>
            <w:bottom w:val="none" w:sz="0" w:space="0" w:color="auto"/>
            <w:right w:val="none" w:sz="0" w:space="0" w:color="auto"/>
          </w:divBdr>
        </w:div>
        <w:div w:id="545993430">
          <w:marLeft w:val="480"/>
          <w:marRight w:val="0"/>
          <w:marTop w:val="0"/>
          <w:marBottom w:val="0"/>
          <w:divBdr>
            <w:top w:val="none" w:sz="0" w:space="0" w:color="auto"/>
            <w:left w:val="none" w:sz="0" w:space="0" w:color="auto"/>
            <w:bottom w:val="none" w:sz="0" w:space="0" w:color="auto"/>
            <w:right w:val="none" w:sz="0" w:space="0" w:color="auto"/>
          </w:divBdr>
        </w:div>
        <w:div w:id="1353990436">
          <w:marLeft w:val="480"/>
          <w:marRight w:val="0"/>
          <w:marTop w:val="0"/>
          <w:marBottom w:val="0"/>
          <w:divBdr>
            <w:top w:val="none" w:sz="0" w:space="0" w:color="auto"/>
            <w:left w:val="none" w:sz="0" w:space="0" w:color="auto"/>
            <w:bottom w:val="none" w:sz="0" w:space="0" w:color="auto"/>
            <w:right w:val="none" w:sz="0" w:space="0" w:color="auto"/>
          </w:divBdr>
        </w:div>
        <w:div w:id="970749117">
          <w:marLeft w:val="480"/>
          <w:marRight w:val="0"/>
          <w:marTop w:val="0"/>
          <w:marBottom w:val="0"/>
          <w:divBdr>
            <w:top w:val="none" w:sz="0" w:space="0" w:color="auto"/>
            <w:left w:val="none" w:sz="0" w:space="0" w:color="auto"/>
            <w:bottom w:val="none" w:sz="0" w:space="0" w:color="auto"/>
            <w:right w:val="none" w:sz="0" w:space="0" w:color="auto"/>
          </w:divBdr>
        </w:div>
        <w:div w:id="1555041113">
          <w:marLeft w:val="480"/>
          <w:marRight w:val="0"/>
          <w:marTop w:val="0"/>
          <w:marBottom w:val="0"/>
          <w:divBdr>
            <w:top w:val="none" w:sz="0" w:space="0" w:color="auto"/>
            <w:left w:val="none" w:sz="0" w:space="0" w:color="auto"/>
            <w:bottom w:val="none" w:sz="0" w:space="0" w:color="auto"/>
            <w:right w:val="none" w:sz="0" w:space="0" w:color="auto"/>
          </w:divBdr>
        </w:div>
        <w:div w:id="1793865402">
          <w:marLeft w:val="480"/>
          <w:marRight w:val="0"/>
          <w:marTop w:val="0"/>
          <w:marBottom w:val="0"/>
          <w:divBdr>
            <w:top w:val="none" w:sz="0" w:space="0" w:color="auto"/>
            <w:left w:val="none" w:sz="0" w:space="0" w:color="auto"/>
            <w:bottom w:val="none" w:sz="0" w:space="0" w:color="auto"/>
            <w:right w:val="none" w:sz="0" w:space="0" w:color="auto"/>
          </w:divBdr>
        </w:div>
        <w:div w:id="1205629991">
          <w:marLeft w:val="480"/>
          <w:marRight w:val="0"/>
          <w:marTop w:val="0"/>
          <w:marBottom w:val="0"/>
          <w:divBdr>
            <w:top w:val="none" w:sz="0" w:space="0" w:color="auto"/>
            <w:left w:val="none" w:sz="0" w:space="0" w:color="auto"/>
            <w:bottom w:val="none" w:sz="0" w:space="0" w:color="auto"/>
            <w:right w:val="none" w:sz="0" w:space="0" w:color="auto"/>
          </w:divBdr>
        </w:div>
        <w:div w:id="455874954">
          <w:marLeft w:val="480"/>
          <w:marRight w:val="0"/>
          <w:marTop w:val="0"/>
          <w:marBottom w:val="0"/>
          <w:divBdr>
            <w:top w:val="none" w:sz="0" w:space="0" w:color="auto"/>
            <w:left w:val="none" w:sz="0" w:space="0" w:color="auto"/>
            <w:bottom w:val="none" w:sz="0" w:space="0" w:color="auto"/>
            <w:right w:val="none" w:sz="0" w:space="0" w:color="auto"/>
          </w:divBdr>
        </w:div>
        <w:div w:id="1666132016">
          <w:marLeft w:val="480"/>
          <w:marRight w:val="0"/>
          <w:marTop w:val="0"/>
          <w:marBottom w:val="0"/>
          <w:divBdr>
            <w:top w:val="none" w:sz="0" w:space="0" w:color="auto"/>
            <w:left w:val="none" w:sz="0" w:space="0" w:color="auto"/>
            <w:bottom w:val="none" w:sz="0" w:space="0" w:color="auto"/>
            <w:right w:val="none" w:sz="0" w:space="0" w:color="auto"/>
          </w:divBdr>
        </w:div>
        <w:div w:id="691607834">
          <w:marLeft w:val="480"/>
          <w:marRight w:val="0"/>
          <w:marTop w:val="0"/>
          <w:marBottom w:val="0"/>
          <w:divBdr>
            <w:top w:val="none" w:sz="0" w:space="0" w:color="auto"/>
            <w:left w:val="none" w:sz="0" w:space="0" w:color="auto"/>
            <w:bottom w:val="none" w:sz="0" w:space="0" w:color="auto"/>
            <w:right w:val="none" w:sz="0" w:space="0" w:color="auto"/>
          </w:divBdr>
        </w:div>
        <w:div w:id="1827093314">
          <w:marLeft w:val="480"/>
          <w:marRight w:val="0"/>
          <w:marTop w:val="0"/>
          <w:marBottom w:val="0"/>
          <w:divBdr>
            <w:top w:val="none" w:sz="0" w:space="0" w:color="auto"/>
            <w:left w:val="none" w:sz="0" w:space="0" w:color="auto"/>
            <w:bottom w:val="none" w:sz="0" w:space="0" w:color="auto"/>
            <w:right w:val="none" w:sz="0" w:space="0" w:color="auto"/>
          </w:divBdr>
        </w:div>
        <w:div w:id="1788041607">
          <w:marLeft w:val="480"/>
          <w:marRight w:val="0"/>
          <w:marTop w:val="0"/>
          <w:marBottom w:val="0"/>
          <w:divBdr>
            <w:top w:val="none" w:sz="0" w:space="0" w:color="auto"/>
            <w:left w:val="none" w:sz="0" w:space="0" w:color="auto"/>
            <w:bottom w:val="none" w:sz="0" w:space="0" w:color="auto"/>
            <w:right w:val="none" w:sz="0" w:space="0" w:color="auto"/>
          </w:divBdr>
        </w:div>
        <w:div w:id="661665722">
          <w:marLeft w:val="480"/>
          <w:marRight w:val="0"/>
          <w:marTop w:val="0"/>
          <w:marBottom w:val="0"/>
          <w:divBdr>
            <w:top w:val="none" w:sz="0" w:space="0" w:color="auto"/>
            <w:left w:val="none" w:sz="0" w:space="0" w:color="auto"/>
            <w:bottom w:val="none" w:sz="0" w:space="0" w:color="auto"/>
            <w:right w:val="none" w:sz="0" w:space="0" w:color="auto"/>
          </w:divBdr>
        </w:div>
        <w:div w:id="1653291360">
          <w:marLeft w:val="480"/>
          <w:marRight w:val="0"/>
          <w:marTop w:val="0"/>
          <w:marBottom w:val="0"/>
          <w:divBdr>
            <w:top w:val="none" w:sz="0" w:space="0" w:color="auto"/>
            <w:left w:val="none" w:sz="0" w:space="0" w:color="auto"/>
            <w:bottom w:val="none" w:sz="0" w:space="0" w:color="auto"/>
            <w:right w:val="none" w:sz="0" w:space="0" w:color="auto"/>
          </w:divBdr>
        </w:div>
        <w:div w:id="1395278961">
          <w:marLeft w:val="480"/>
          <w:marRight w:val="0"/>
          <w:marTop w:val="0"/>
          <w:marBottom w:val="0"/>
          <w:divBdr>
            <w:top w:val="none" w:sz="0" w:space="0" w:color="auto"/>
            <w:left w:val="none" w:sz="0" w:space="0" w:color="auto"/>
            <w:bottom w:val="none" w:sz="0" w:space="0" w:color="auto"/>
            <w:right w:val="none" w:sz="0" w:space="0" w:color="auto"/>
          </w:divBdr>
        </w:div>
        <w:div w:id="1731271202">
          <w:marLeft w:val="480"/>
          <w:marRight w:val="0"/>
          <w:marTop w:val="0"/>
          <w:marBottom w:val="0"/>
          <w:divBdr>
            <w:top w:val="none" w:sz="0" w:space="0" w:color="auto"/>
            <w:left w:val="none" w:sz="0" w:space="0" w:color="auto"/>
            <w:bottom w:val="none" w:sz="0" w:space="0" w:color="auto"/>
            <w:right w:val="none" w:sz="0" w:space="0" w:color="auto"/>
          </w:divBdr>
        </w:div>
        <w:div w:id="783770121">
          <w:marLeft w:val="480"/>
          <w:marRight w:val="0"/>
          <w:marTop w:val="0"/>
          <w:marBottom w:val="0"/>
          <w:divBdr>
            <w:top w:val="none" w:sz="0" w:space="0" w:color="auto"/>
            <w:left w:val="none" w:sz="0" w:space="0" w:color="auto"/>
            <w:bottom w:val="none" w:sz="0" w:space="0" w:color="auto"/>
            <w:right w:val="none" w:sz="0" w:space="0" w:color="auto"/>
          </w:divBdr>
        </w:div>
        <w:div w:id="720134515">
          <w:marLeft w:val="480"/>
          <w:marRight w:val="0"/>
          <w:marTop w:val="0"/>
          <w:marBottom w:val="0"/>
          <w:divBdr>
            <w:top w:val="none" w:sz="0" w:space="0" w:color="auto"/>
            <w:left w:val="none" w:sz="0" w:space="0" w:color="auto"/>
            <w:bottom w:val="none" w:sz="0" w:space="0" w:color="auto"/>
            <w:right w:val="none" w:sz="0" w:space="0" w:color="auto"/>
          </w:divBdr>
        </w:div>
        <w:div w:id="780220513">
          <w:marLeft w:val="480"/>
          <w:marRight w:val="0"/>
          <w:marTop w:val="0"/>
          <w:marBottom w:val="0"/>
          <w:divBdr>
            <w:top w:val="none" w:sz="0" w:space="0" w:color="auto"/>
            <w:left w:val="none" w:sz="0" w:space="0" w:color="auto"/>
            <w:bottom w:val="none" w:sz="0" w:space="0" w:color="auto"/>
            <w:right w:val="none" w:sz="0" w:space="0" w:color="auto"/>
          </w:divBdr>
        </w:div>
        <w:div w:id="713427758">
          <w:marLeft w:val="480"/>
          <w:marRight w:val="0"/>
          <w:marTop w:val="0"/>
          <w:marBottom w:val="0"/>
          <w:divBdr>
            <w:top w:val="none" w:sz="0" w:space="0" w:color="auto"/>
            <w:left w:val="none" w:sz="0" w:space="0" w:color="auto"/>
            <w:bottom w:val="none" w:sz="0" w:space="0" w:color="auto"/>
            <w:right w:val="none" w:sz="0" w:space="0" w:color="auto"/>
          </w:divBdr>
        </w:div>
      </w:divsChild>
    </w:div>
    <w:div w:id="141123810">
      <w:bodyDiv w:val="1"/>
      <w:marLeft w:val="0"/>
      <w:marRight w:val="0"/>
      <w:marTop w:val="0"/>
      <w:marBottom w:val="0"/>
      <w:divBdr>
        <w:top w:val="none" w:sz="0" w:space="0" w:color="auto"/>
        <w:left w:val="none" w:sz="0" w:space="0" w:color="auto"/>
        <w:bottom w:val="none" w:sz="0" w:space="0" w:color="auto"/>
        <w:right w:val="none" w:sz="0" w:space="0" w:color="auto"/>
      </w:divBdr>
    </w:div>
    <w:div w:id="141587212">
      <w:bodyDiv w:val="1"/>
      <w:marLeft w:val="0"/>
      <w:marRight w:val="0"/>
      <w:marTop w:val="0"/>
      <w:marBottom w:val="0"/>
      <w:divBdr>
        <w:top w:val="none" w:sz="0" w:space="0" w:color="auto"/>
        <w:left w:val="none" w:sz="0" w:space="0" w:color="auto"/>
        <w:bottom w:val="none" w:sz="0" w:space="0" w:color="auto"/>
        <w:right w:val="none" w:sz="0" w:space="0" w:color="auto"/>
      </w:divBdr>
    </w:div>
    <w:div w:id="142353443">
      <w:bodyDiv w:val="1"/>
      <w:marLeft w:val="0"/>
      <w:marRight w:val="0"/>
      <w:marTop w:val="0"/>
      <w:marBottom w:val="0"/>
      <w:divBdr>
        <w:top w:val="none" w:sz="0" w:space="0" w:color="auto"/>
        <w:left w:val="none" w:sz="0" w:space="0" w:color="auto"/>
        <w:bottom w:val="none" w:sz="0" w:space="0" w:color="auto"/>
        <w:right w:val="none" w:sz="0" w:space="0" w:color="auto"/>
      </w:divBdr>
    </w:div>
    <w:div w:id="142821773">
      <w:bodyDiv w:val="1"/>
      <w:marLeft w:val="0"/>
      <w:marRight w:val="0"/>
      <w:marTop w:val="0"/>
      <w:marBottom w:val="0"/>
      <w:divBdr>
        <w:top w:val="none" w:sz="0" w:space="0" w:color="auto"/>
        <w:left w:val="none" w:sz="0" w:space="0" w:color="auto"/>
        <w:bottom w:val="none" w:sz="0" w:space="0" w:color="auto"/>
        <w:right w:val="none" w:sz="0" w:space="0" w:color="auto"/>
      </w:divBdr>
    </w:div>
    <w:div w:id="143087271">
      <w:bodyDiv w:val="1"/>
      <w:marLeft w:val="0"/>
      <w:marRight w:val="0"/>
      <w:marTop w:val="0"/>
      <w:marBottom w:val="0"/>
      <w:divBdr>
        <w:top w:val="none" w:sz="0" w:space="0" w:color="auto"/>
        <w:left w:val="none" w:sz="0" w:space="0" w:color="auto"/>
        <w:bottom w:val="none" w:sz="0" w:space="0" w:color="auto"/>
        <w:right w:val="none" w:sz="0" w:space="0" w:color="auto"/>
      </w:divBdr>
    </w:div>
    <w:div w:id="143350457">
      <w:bodyDiv w:val="1"/>
      <w:marLeft w:val="0"/>
      <w:marRight w:val="0"/>
      <w:marTop w:val="0"/>
      <w:marBottom w:val="0"/>
      <w:divBdr>
        <w:top w:val="none" w:sz="0" w:space="0" w:color="auto"/>
        <w:left w:val="none" w:sz="0" w:space="0" w:color="auto"/>
        <w:bottom w:val="none" w:sz="0" w:space="0" w:color="auto"/>
        <w:right w:val="none" w:sz="0" w:space="0" w:color="auto"/>
      </w:divBdr>
    </w:div>
    <w:div w:id="143662799">
      <w:bodyDiv w:val="1"/>
      <w:marLeft w:val="0"/>
      <w:marRight w:val="0"/>
      <w:marTop w:val="0"/>
      <w:marBottom w:val="0"/>
      <w:divBdr>
        <w:top w:val="none" w:sz="0" w:space="0" w:color="auto"/>
        <w:left w:val="none" w:sz="0" w:space="0" w:color="auto"/>
        <w:bottom w:val="none" w:sz="0" w:space="0" w:color="auto"/>
        <w:right w:val="none" w:sz="0" w:space="0" w:color="auto"/>
      </w:divBdr>
    </w:div>
    <w:div w:id="143789179">
      <w:bodyDiv w:val="1"/>
      <w:marLeft w:val="0"/>
      <w:marRight w:val="0"/>
      <w:marTop w:val="0"/>
      <w:marBottom w:val="0"/>
      <w:divBdr>
        <w:top w:val="none" w:sz="0" w:space="0" w:color="auto"/>
        <w:left w:val="none" w:sz="0" w:space="0" w:color="auto"/>
        <w:bottom w:val="none" w:sz="0" w:space="0" w:color="auto"/>
        <w:right w:val="none" w:sz="0" w:space="0" w:color="auto"/>
      </w:divBdr>
    </w:div>
    <w:div w:id="143931201">
      <w:bodyDiv w:val="1"/>
      <w:marLeft w:val="0"/>
      <w:marRight w:val="0"/>
      <w:marTop w:val="0"/>
      <w:marBottom w:val="0"/>
      <w:divBdr>
        <w:top w:val="none" w:sz="0" w:space="0" w:color="auto"/>
        <w:left w:val="none" w:sz="0" w:space="0" w:color="auto"/>
        <w:bottom w:val="none" w:sz="0" w:space="0" w:color="auto"/>
        <w:right w:val="none" w:sz="0" w:space="0" w:color="auto"/>
      </w:divBdr>
    </w:div>
    <w:div w:id="145050008">
      <w:bodyDiv w:val="1"/>
      <w:marLeft w:val="0"/>
      <w:marRight w:val="0"/>
      <w:marTop w:val="0"/>
      <w:marBottom w:val="0"/>
      <w:divBdr>
        <w:top w:val="none" w:sz="0" w:space="0" w:color="auto"/>
        <w:left w:val="none" w:sz="0" w:space="0" w:color="auto"/>
        <w:bottom w:val="none" w:sz="0" w:space="0" w:color="auto"/>
        <w:right w:val="none" w:sz="0" w:space="0" w:color="auto"/>
      </w:divBdr>
    </w:div>
    <w:div w:id="145097412">
      <w:bodyDiv w:val="1"/>
      <w:marLeft w:val="0"/>
      <w:marRight w:val="0"/>
      <w:marTop w:val="0"/>
      <w:marBottom w:val="0"/>
      <w:divBdr>
        <w:top w:val="none" w:sz="0" w:space="0" w:color="auto"/>
        <w:left w:val="none" w:sz="0" w:space="0" w:color="auto"/>
        <w:bottom w:val="none" w:sz="0" w:space="0" w:color="auto"/>
        <w:right w:val="none" w:sz="0" w:space="0" w:color="auto"/>
      </w:divBdr>
    </w:div>
    <w:div w:id="145711428">
      <w:bodyDiv w:val="1"/>
      <w:marLeft w:val="0"/>
      <w:marRight w:val="0"/>
      <w:marTop w:val="0"/>
      <w:marBottom w:val="0"/>
      <w:divBdr>
        <w:top w:val="none" w:sz="0" w:space="0" w:color="auto"/>
        <w:left w:val="none" w:sz="0" w:space="0" w:color="auto"/>
        <w:bottom w:val="none" w:sz="0" w:space="0" w:color="auto"/>
        <w:right w:val="none" w:sz="0" w:space="0" w:color="auto"/>
      </w:divBdr>
    </w:div>
    <w:div w:id="147020712">
      <w:bodyDiv w:val="1"/>
      <w:marLeft w:val="0"/>
      <w:marRight w:val="0"/>
      <w:marTop w:val="0"/>
      <w:marBottom w:val="0"/>
      <w:divBdr>
        <w:top w:val="none" w:sz="0" w:space="0" w:color="auto"/>
        <w:left w:val="none" w:sz="0" w:space="0" w:color="auto"/>
        <w:bottom w:val="none" w:sz="0" w:space="0" w:color="auto"/>
        <w:right w:val="none" w:sz="0" w:space="0" w:color="auto"/>
      </w:divBdr>
    </w:div>
    <w:div w:id="147134052">
      <w:bodyDiv w:val="1"/>
      <w:marLeft w:val="0"/>
      <w:marRight w:val="0"/>
      <w:marTop w:val="0"/>
      <w:marBottom w:val="0"/>
      <w:divBdr>
        <w:top w:val="none" w:sz="0" w:space="0" w:color="auto"/>
        <w:left w:val="none" w:sz="0" w:space="0" w:color="auto"/>
        <w:bottom w:val="none" w:sz="0" w:space="0" w:color="auto"/>
        <w:right w:val="none" w:sz="0" w:space="0" w:color="auto"/>
      </w:divBdr>
    </w:div>
    <w:div w:id="147983346">
      <w:bodyDiv w:val="1"/>
      <w:marLeft w:val="0"/>
      <w:marRight w:val="0"/>
      <w:marTop w:val="0"/>
      <w:marBottom w:val="0"/>
      <w:divBdr>
        <w:top w:val="none" w:sz="0" w:space="0" w:color="auto"/>
        <w:left w:val="none" w:sz="0" w:space="0" w:color="auto"/>
        <w:bottom w:val="none" w:sz="0" w:space="0" w:color="auto"/>
        <w:right w:val="none" w:sz="0" w:space="0" w:color="auto"/>
      </w:divBdr>
    </w:div>
    <w:div w:id="148909418">
      <w:bodyDiv w:val="1"/>
      <w:marLeft w:val="0"/>
      <w:marRight w:val="0"/>
      <w:marTop w:val="0"/>
      <w:marBottom w:val="0"/>
      <w:divBdr>
        <w:top w:val="none" w:sz="0" w:space="0" w:color="auto"/>
        <w:left w:val="none" w:sz="0" w:space="0" w:color="auto"/>
        <w:bottom w:val="none" w:sz="0" w:space="0" w:color="auto"/>
        <w:right w:val="none" w:sz="0" w:space="0" w:color="auto"/>
      </w:divBdr>
    </w:div>
    <w:div w:id="148984915">
      <w:bodyDiv w:val="1"/>
      <w:marLeft w:val="0"/>
      <w:marRight w:val="0"/>
      <w:marTop w:val="0"/>
      <w:marBottom w:val="0"/>
      <w:divBdr>
        <w:top w:val="none" w:sz="0" w:space="0" w:color="auto"/>
        <w:left w:val="none" w:sz="0" w:space="0" w:color="auto"/>
        <w:bottom w:val="none" w:sz="0" w:space="0" w:color="auto"/>
        <w:right w:val="none" w:sz="0" w:space="0" w:color="auto"/>
      </w:divBdr>
    </w:div>
    <w:div w:id="149323285">
      <w:bodyDiv w:val="1"/>
      <w:marLeft w:val="0"/>
      <w:marRight w:val="0"/>
      <w:marTop w:val="0"/>
      <w:marBottom w:val="0"/>
      <w:divBdr>
        <w:top w:val="none" w:sz="0" w:space="0" w:color="auto"/>
        <w:left w:val="none" w:sz="0" w:space="0" w:color="auto"/>
        <w:bottom w:val="none" w:sz="0" w:space="0" w:color="auto"/>
        <w:right w:val="none" w:sz="0" w:space="0" w:color="auto"/>
      </w:divBdr>
    </w:div>
    <w:div w:id="149446096">
      <w:bodyDiv w:val="1"/>
      <w:marLeft w:val="0"/>
      <w:marRight w:val="0"/>
      <w:marTop w:val="0"/>
      <w:marBottom w:val="0"/>
      <w:divBdr>
        <w:top w:val="none" w:sz="0" w:space="0" w:color="auto"/>
        <w:left w:val="none" w:sz="0" w:space="0" w:color="auto"/>
        <w:bottom w:val="none" w:sz="0" w:space="0" w:color="auto"/>
        <w:right w:val="none" w:sz="0" w:space="0" w:color="auto"/>
      </w:divBdr>
    </w:div>
    <w:div w:id="149761047">
      <w:bodyDiv w:val="1"/>
      <w:marLeft w:val="0"/>
      <w:marRight w:val="0"/>
      <w:marTop w:val="0"/>
      <w:marBottom w:val="0"/>
      <w:divBdr>
        <w:top w:val="none" w:sz="0" w:space="0" w:color="auto"/>
        <w:left w:val="none" w:sz="0" w:space="0" w:color="auto"/>
        <w:bottom w:val="none" w:sz="0" w:space="0" w:color="auto"/>
        <w:right w:val="none" w:sz="0" w:space="0" w:color="auto"/>
      </w:divBdr>
    </w:div>
    <w:div w:id="150028186">
      <w:bodyDiv w:val="1"/>
      <w:marLeft w:val="0"/>
      <w:marRight w:val="0"/>
      <w:marTop w:val="0"/>
      <w:marBottom w:val="0"/>
      <w:divBdr>
        <w:top w:val="none" w:sz="0" w:space="0" w:color="auto"/>
        <w:left w:val="none" w:sz="0" w:space="0" w:color="auto"/>
        <w:bottom w:val="none" w:sz="0" w:space="0" w:color="auto"/>
        <w:right w:val="none" w:sz="0" w:space="0" w:color="auto"/>
      </w:divBdr>
    </w:div>
    <w:div w:id="152186690">
      <w:bodyDiv w:val="1"/>
      <w:marLeft w:val="0"/>
      <w:marRight w:val="0"/>
      <w:marTop w:val="0"/>
      <w:marBottom w:val="0"/>
      <w:divBdr>
        <w:top w:val="none" w:sz="0" w:space="0" w:color="auto"/>
        <w:left w:val="none" w:sz="0" w:space="0" w:color="auto"/>
        <w:bottom w:val="none" w:sz="0" w:space="0" w:color="auto"/>
        <w:right w:val="none" w:sz="0" w:space="0" w:color="auto"/>
      </w:divBdr>
    </w:div>
    <w:div w:id="152572185">
      <w:bodyDiv w:val="1"/>
      <w:marLeft w:val="0"/>
      <w:marRight w:val="0"/>
      <w:marTop w:val="0"/>
      <w:marBottom w:val="0"/>
      <w:divBdr>
        <w:top w:val="none" w:sz="0" w:space="0" w:color="auto"/>
        <w:left w:val="none" w:sz="0" w:space="0" w:color="auto"/>
        <w:bottom w:val="none" w:sz="0" w:space="0" w:color="auto"/>
        <w:right w:val="none" w:sz="0" w:space="0" w:color="auto"/>
      </w:divBdr>
    </w:div>
    <w:div w:id="152723637">
      <w:bodyDiv w:val="1"/>
      <w:marLeft w:val="0"/>
      <w:marRight w:val="0"/>
      <w:marTop w:val="0"/>
      <w:marBottom w:val="0"/>
      <w:divBdr>
        <w:top w:val="none" w:sz="0" w:space="0" w:color="auto"/>
        <w:left w:val="none" w:sz="0" w:space="0" w:color="auto"/>
        <w:bottom w:val="none" w:sz="0" w:space="0" w:color="auto"/>
        <w:right w:val="none" w:sz="0" w:space="0" w:color="auto"/>
      </w:divBdr>
    </w:div>
    <w:div w:id="152913267">
      <w:bodyDiv w:val="1"/>
      <w:marLeft w:val="0"/>
      <w:marRight w:val="0"/>
      <w:marTop w:val="0"/>
      <w:marBottom w:val="0"/>
      <w:divBdr>
        <w:top w:val="none" w:sz="0" w:space="0" w:color="auto"/>
        <w:left w:val="none" w:sz="0" w:space="0" w:color="auto"/>
        <w:bottom w:val="none" w:sz="0" w:space="0" w:color="auto"/>
        <w:right w:val="none" w:sz="0" w:space="0" w:color="auto"/>
      </w:divBdr>
    </w:div>
    <w:div w:id="153182022">
      <w:bodyDiv w:val="1"/>
      <w:marLeft w:val="0"/>
      <w:marRight w:val="0"/>
      <w:marTop w:val="0"/>
      <w:marBottom w:val="0"/>
      <w:divBdr>
        <w:top w:val="none" w:sz="0" w:space="0" w:color="auto"/>
        <w:left w:val="none" w:sz="0" w:space="0" w:color="auto"/>
        <w:bottom w:val="none" w:sz="0" w:space="0" w:color="auto"/>
        <w:right w:val="none" w:sz="0" w:space="0" w:color="auto"/>
      </w:divBdr>
    </w:div>
    <w:div w:id="153571493">
      <w:bodyDiv w:val="1"/>
      <w:marLeft w:val="0"/>
      <w:marRight w:val="0"/>
      <w:marTop w:val="0"/>
      <w:marBottom w:val="0"/>
      <w:divBdr>
        <w:top w:val="none" w:sz="0" w:space="0" w:color="auto"/>
        <w:left w:val="none" w:sz="0" w:space="0" w:color="auto"/>
        <w:bottom w:val="none" w:sz="0" w:space="0" w:color="auto"/>
        <w:right w:val="none" w:sz="0" w:space="0" w:color="auto"/>
      </w:divBdr>
    </w:div>
    <w:div w:id="153959475">
      <w:bodyDiv w:val="1"/>
      <w:marLeft w:val="0"/>
      <w:marRight w:val="0"/>
      <w:marTop w:val="0"/>
      <w:marBottom w:val="0"/>
      <w:divBdr>
        <w:top w:val="none" w:sz="0" w:space="0" w:color="auto"/>
        <w:left w:val="none" w:sz="0" w:space="0" w:color="auto"/>
        <w:bottom w:val="none" w:sz="0" w:space="0" w:color="auto"/>
        <w:right w:val="none" w:sz="0" w:space="0" w:color="auto"/>
      </w:divBdr>
    </w:div>
    <w:div w:id="154300471">
      <w:bodyDiv w:val="1"/>
      <w:marLeft w:val="0"/>
      <w:marRight w:val="0"/>
      <w:marTop w:val="0"/>
      <w:marBottom w:val="0"/>
      <w:divBdr>
        <w:top w:val="none" w:sz="0" w:space="0" w:color="auto"/>
        <w:left w:val="none" w:sz="0" w:space="0" w:color="auto"/>
        <w:bottom w:val="none" w:sz="0" w:space="0" w:color="auto"/>
        <w:right w:val="none" w:sz="0" w:space="0" w:color="auto"/>
      </w:divBdr>
    </w:div>
    <w:div w:id="154610356">
      <w:bodyDiv w:val="1"/>
      <w:marLeft w:val="0"/>
      <w:marRight w:val="0"/>
      <w:marTop w:val="0"/>
      <w:marBottom w:val="0"/>
      <w:divBdr>
        <w:top w:val="none" w:sz="0" w:space="0" w:color="auto"/>
        <w:left w:val="none" w:sz="0" w:space="0" w:color="auto"/>
        <w:bottom w:val="none" w:sz="0" w:space="0" w:color="auto"/>
        <w:right w:val="none" w:sz="0" w:space="0" w:color="auto"/>
      </w:divBdr>
    </w:div>
    <w:div w:id="155266859">
      <w:bodyDiv w:val="1"/>
      <w:marLeft w:val="0"/>
      <w:marRight w:val="0"/>
      <w:marTop w:val="0"/>
      <w:marBottom w:val="0"/>
      <w:divBdr>
        <w:top w:val="none" w:sz="0" w:space="0" w:color="auto"/>
        <w:left w:val="none" w:sz="0" w:space="0" w:color="auto"/>
        <w:bottom w:val="none" w:sz="0" w:space="0" w:color="auto"/>
        <w:right w:val="none" w:sz="0" w:space="0" w:color="auto"/>
      </w:divBdr>
    </w:div>
    <w:div w:id="155346283">
      <w:bodyDiv w:val="1"/>
      <w:marLeft w:val="0"/>
      <w:marRight w:val="0"/>
      <w:marTop w:val="0"/>
      <w:marBottom w:val="0"/>
      <w:divBdr>
        <w:top w:val="none" w:sz="0" w:space="0" w:color="auto"/>
        <w:left w:val="none" w:sz="0" w:space="0" w:color="auto"/>
        <w:bottom w:val="none" w:sz="0" w:space="0" w:color="auto"/>
        <w:right w:val="none" w:sz="0" w:space="0" w:color="auto"/>
      </w:divBdr>
    </w:div>
    <w:div w:id="155927861">
      <w:bodyDiv w:val="1"/>
      <w:marLeft w:val="0"/>
      <w:marRight w:val="0"/>
      <w:marTop w:val="0"/>
      <w:marBottom w:val="0"/>
      <w:divBdr>
        <w:top w:val="none" w:sz="0" w:space="0" w:color="auto"/>
        <w:left w:val="none" w:sz="0" w:space="0" w:color="auto"/>
        <w:bottom w:val="none" w:sz="0" w:space="0" w:color="auto"/>
        <w:right w:val="none" w:sz="0" w:space="0" w:color="auto"/>
      </w:divBdr>
    </w:div>
    <w:div w:id="157234709">
      <w:bodyDiv w:val="1"/>
      <w:marLeft w:val="0"/>
      <w:marRight w:val="0"/>
      <w:marTop w:val="0"/>
      <w:marBottom w:val="0"/>
      <w:divBdr>
        <w:top w:val="none" w:sz="0" w:space="0" w:color="auto"/>
        <w:left w:val="none" w:sz="0" w:space="0" w:color="auto"/>
        <w:bottom w:val="none" w:sz="0" w:space="0" w:color="auto"/>
        <w:right w:val="none" w:sz="0" w:space="0" w:color="auto"/>
      </w:divBdr>
    </w:div>
    <w:div w:id="157311614">
      <w:bodyDiv w:val="1"/>
      <w:marLeft w:val="0"/>
      <w:marRight w:val="0"/>
      <w:marTop w:val="0"/>
      <w:marBottom w:val="0"/>
      <w:divBdr>
        <w:top w:val="none" w:sz="0" w:space="0" w:color="auto"/>
        <w:left w:val="none" w:sz="0" w:space="0" w:color="auto"/>
        <w:bottom w:val="none" w:sz="0" w:space="0" w:color="auto"/>
        <w:right w:val="none" w:sz="0" w:space="0" w:color="auto"/>
      </w:divBdr>
    </w:div>
    <w:div w:id="157576750">
      <w:bodyDiv w:val="1"/>
      <w:marLeft w:val="0"/>
      <w:marRight w:val="0"/>
      <w:marTop w:val="0"/>
      <w:marBottom w:val="0"/>
      <w:divBdr>
        <w:top w:val="none" w:sz="0" w:space="0" w:color="auto"/>
        <w:left w:val="none" w:sz="0" w:space="0" w:color="auto"/>
        <w:bottom w:val="none" w:sz="0" w:space="0" w:color="auto"/>
        <w:right w:val="none" w:sz="0" w:space="0" w:color="auto"/>
      </w:divBdr>
    </w:div>
    <w:div w:id="158158124">
      <w:bodyDiv w:val="1"/>
      <w:marLeft w:val="0"/>
      <w:marRight w:val="0"/>
      <w:marTop w:val="0"/>
      <w:marBottom w:val="0"/>
      <w:divBdr>
        <w:top w:val="none" w:sz="0" w:space="0" w:color="auto"/>
        <w:left w:val="none" w:sz="0" w:space="0" w:color="auto"/>
        <w:bottom w:val="none" w:sz="0" w:space="0" w:color="auto"/>
        <w:right w:val="none" w:sz="0" w:space="0" w:color="auto"/>
      </w:divBdr>
    </w:div>
    <w:div w:id="158231528">
      <w:bodyDiv w:val="1"/>
      <w:marLeft w:val="0"/>
      <w:marRight w:val="0"/>
      <w:marTop w:val="0"/>
      <w:marBottom w:val="0"/>
      <w:divBdr>
        <w:top w:val="none" w:sz="0" w:space="0" w:color="auto"/>
        <w:left w:val="none" w:sz="0" w:space="0" w:color="auto"/>
        <w:bottom w:val="none" w:sz="0" w:space="0" w:color="auto"/>
        <w:right w:val="none" w:sz="0" w:space="0" w:color="auto"/>
      </w:divBdr>
    </w:div>
    <w:div w:id="158274637">
      <w:bodyDiv w:val="1"/>
      <w:marLeft w:val="0"/>
      <w:marRight w:val="0"/>
      <w:marTop w:val="0"/>
      <w:marBottom w:val="0"/>
      <w:divBdr>
        <w:top w:val="none" w:sz="0" w:space="0" w:color="auto"/>
        <w:left w:val="none" w:sz="0" w:space="0" w:color="auto"/>
        <w:bottom w:val="none" w:sz="0" w:space="0" w:color="auto"/>
        <w:right w:val="none" w:sz="0" w:space="0" w:color="auto"/>
      </w:divBdr>
    </w:div>
    <w:div w:id="159544677">
      <w:bodyDiv w:val="1"/>
      <w:marLeft w:val="0"/>
      <w:marRight w:val="0"/>
      <w:marTop w:val="0"/>
      <w:marBottom w:val="0"/>
      <w:divBdr>
        <w:top w:val="none" w:sz="0" w:space="0" w:color="auto"/>
        <w:left w:val="none" w:sz="0" w:space="0" w:color="auto"/>
        <w:bottom w:val="none" w:sz="0" w:space="0" w:color="auto"/>
        <w:right w:val="none" w:sz="0" w:space="0" w:color="auto"/>
      </w:divBdr>
    </w:div>
    <w:div w:id="159657722">
      <w:bodyDiv w:val="1"/>
      <w:marLeft w:val="0"/>
      <w:marRight w:val="0"/>
      <w:marTop w:val="0"/>
      <w:marBottom w:val="0"/>
      <w:divBdr>
        <w:top w:val="none" w:sz="0" w:space="0" w:color="auto"/>
        <w:left w:val="none" w:sz="0" w:space="0" w:color="auto"/>
        <w:bottom w:val="none" w:sz="0" w:space="0" w:color="auto"/>
        <w:right w:val="none" w:sz="0" w:space="0" w:color="auto"/>
      </w:divBdr>
    </w:div>
    <w:div w:id="160126385">
      <w:bodyDiv w:val="1"/>
      <w:marLeft w:val="0"/>
      <w:marRight w:val="0"/>
      <w:marTop w:val="0"/>
      <w:marBottom w:val="0"/>
      <w:divBdr>
        <w:top w:val="none" w:sz="0" w:space="0" w:color="auto"/>
        <w:left w:val="none" w:sz="0" w:space="0" w:color="auto"/>
        <w:bottom w:val="none" w:sz="0" w:space="0" w:color="auto"/>
        <w:right w:val="none" w:sz="0" w:space="0" w:color="auto"/>
      </w:divBdr>
    </w:div>
    <w:div w:id="160659587">
      <w:bodyDiv w:val="1"/>
      <w:marLeft w:val="0"/>
      <w:marRight w:val="0"/>
      <w:marTop w:val="0"/>
      <w:marBottom w:val="0"/>
      <w:divBdr>
        <w:top w:val="none" w:sz="0" w:space="0" w:color="auto"/>
        <w:left w:val="none" w:sz="0" w:space="0" w:color="auto"/>
        <w:bottom w:val="none" w:sz="0" w:space="0" w:color="auto"/>
        <w:right w:val="none" w:sz="0" w:space="0" w:color="auto"/>
      </w:divBdr>
    </w:div>
    <w:div w:id="160779282">
      <w:bodyDiv w:val="1"/>
      <w:marLeft w:val="0"/>
      <w:marRight w:val="0"/>
      <w:marTop w:val="0"/>
      <w:marBottom w:val="0"/>
      <w:divBdr>
        <w:top w:val="none" w:sz="0" w:space="0" w:color="auto"/>
        <w:left w:val="none" w:sz="0" w:space="0" w:color="auto"/>
        <w:bottom w:val="none" w:sz="0" w:space="0" w:color="auto"/>
        <w:right w:val="none" w:sz="0" w:space="0" w:color="auto"/>
      </w:divBdr>
    </w:div>
    <w:div w:id="162362829">
      <w:bodyDiv w:val="1"/>
      <w:marLeft w:val="0"/>
      <w:marRight w:val="0"/>
      <w:marTop w:val="0"/>
      <w:marBottom w:val="0"/>
      <w:divBdr>
        <w:top w:val="none" w:sz="0" w:space="0" w:color="auto"/>
        <w:left w:val="none" w:sz="0" w:space="0" w:color="auto"/>
        <w:bottom w:val="none" w:sz="0" w:space="0" w:color="auto"/>
        <w:right w:val="none" w:sz="0" w:space="0" w:color="auto"/>
      </w:divBdr>
    </w:div>
    <w:div w:id="162936776">
      <w:bodyDiv w:val="1"/>
      <w:marLeft w:val="0"/>
      <w:marRight w:val="0"/>
      <w:marTop w:val="0"/>
      <w:marBottom w:val="0"/>
      <w:divBdr>
        <w:top w:val="none" w:sz="0" w:space="0" w:color="auto"/>
        <w:left w:val="none" w:sz="0" w:space="0" w:color="auto"/>
        <w:bottom w:val="none" w:sz="0" w:space="0" w:color="auto"/>
        <w:right w:val="none" w:sz="0" w:space="0" w:color="auto"/>
      </w:divBdr>
    </w:div>
    <w:div w:id="162942193">
      <w:bodyDiv w:val="1"/>
      <w:marLeft w:val="0"/>
      <w:marRight w:val="0"/>
      <w:marTop w:val="0"/>
      <w:marBottom w:val="0"/>
      <w:divBdr>
        <w:top w:val="none" w:sz="0" w:space="0" w:color="auto"/>
        <w:left w:val="none" w:sz="0" w:space="0" w:color="auto"/>
        <w:bottom w:val="none" w:sz="0" w:space="0" w:color="auto"/>
        <w:right w:val="none" w:sz="0" w:space="0" w:color="auto"/>
      </w:divBdr>
    </w:div>
    <w:div w:id="163590388">
      <w:bodyDiv w:val="1"/>
      <w:marLeft w:val="0"/>
      <w:marRight w:val="0"/>
      <w:marTop w:val="0"/>
      <w:marBottom w:val="0"/>
      <w:divBdr>
        <w:top w:val="none" w:sz="0" w:space="0" w:color="auto"/>
        <w:left w:val="none" w:sz="0" w:space="0" w:color="auto"/>
        <w:bottom w:val="none" w:sz="0" w:space="0" w:color="auto"/>
        <w:right w:val="none" w:sz="0" w:space="0" w:color="auto"/>
      </w:divBdr>
    </w:div>
    <w:div w:id="163597950">
      <w:bodyDiv w:val="1"/>
      <w:marLeft w:val="0"/>
      <w:marRight w:val="0"/>
      <w:marTop w:val="0"/>
      <w:marBottom w:val="0"/>
      <w:divBdr>
        <w:top w:val="none" w:sz="0" w:space="0" w:color="auto"/>
        <w:left w:val="none" w:sz="0" w:space="0" w:color="auto"/>
        <w:bottom w:val="none" w:sz="0" w:space="0" w:color="auto"/>
        <w:right w:val="none" w:sz="0" w:space="0" w:color="auto"/>
      </w:divBdr>
    </w:div>
    <w:div w:id="164250256">
      <w:bodyDiv w:val="1"/>
      <w:marLeft w:val="0"/>
      <w:marRight w:val="0"/>
      <w:marTop w:val="0"/>
      <w:marBottom w:val="0"/>
      <w:divBdr>
        <w:top w:val="none" w:sz="0" w:space="0" w:color="auto"/>
        <w:left w:val="none" w:sz="0" w:space="0" w:color="auto"/>
        <w:bottom w:val="none" w:sz="0" w:space="0" w:color="auto"/>
        <w:right w:val="none" w:sz="0" w:space="0" w:color="auto"/>
      </w:divBdr>
    </w:div>
    <w:div w:id="164825037">
      <w:bodyDiv w:val="1"/>
      <w:marLeft w:val="0"/>
      <w:marRight w:val="0"/>
      <w:marTop w:val="0"/>
      <w:marBottom w:val="0"/>
      <w:divBdr>
        <w:top w:val="none" w:sz="0" w:space="0" w:color="auto"/>
        <w:left w:val="none" w:sz="0" w:space="0" w:color="auto"/>
        <w:bottom w:val="none" w:sz="0" w:space="0" w:color="auto"/>
        <w:right w:val="none" w:sz="0" w:space="0" w:color="auto"/>
      </w:divBdr>
    </w:div>
    <w:div w:id="165898472">
      <w:bodyDiv w:val="1"/>
      <w:marLeft w:val="0"/>
      <w:marRight w:val="0"/>
      <w:marTop w:val="0"/>
      <w:marBottom w:val="0"/>
      <w:divBdr>
        <w:top w:val="none" w:sz="0" w:space="0" w:color="auto"/>
        <w:left w:val="none" w:sz="0" w:space="0" w:color="auto"/>
        <w:bottom w:val="none" w:sz="0" w:space="0" w:color="auto"/>
        <w:right w:val="none" w:sz="0" w:space="0" w:color="auto"/>
      </w:divBdr>
    </w:div>
    <w:div w:id="166136254">
      <w:bodyDiv w:val="1"/>
      <w:marLeft w:val="0"/>
      <w:marRight w:val="0"/>
      <w:marTop w:val="0"/>
      <w:marBottom w:val="0"/>
      <w:divBdr>
        <w:top w:val="none" w:sz="0" w:space="0" w:color="auto"/>
        <w:left w:val="none" w:sz="0" w:space="0" w:color="auto"/>
        <w:bottom w:val="none" w:sz="0" w:space="0" w:color="auto"/>
        <w:right w:val="none" w:sz="0" w:space="0" w:color="auto"/>
      </w:divBdr>
    </w:div>
    <w:div w:id="166216321">
      <w:bodyDiv w:val="1"/>
      <w:marLeft w:val="0"/>
      <w:marRight w:val="0"/>
      <w:marTop w:val="0"/>
      <w:marBottom w:val="0"/>
      <w:divBdr>
        <w:top w:val="none" w:sz="0" w:space="0" w:color="auto"/>
        <w:left w:val="none" w:sz="0" w:space="0" w:color="auto"/>
        <w:bottom w:val="none" w:sz="0" w:space="0" w:color="auto"/>
        <w:right w:val="none" w:sz="0" w:space="0" w:color="auto"/>
      </w:divBdr>
    </w:div>
    <w:div w:id="166673672">
      <w:bodyDiv w:val="1"/>
      <w:marLeft w:val="0"/>
      <w:marRight w:val="0"/>
      <w:marTop w:val="0"/>
      <w:marBottom w:val="0"/>
      <w:divBdr>
        <w:top w:val="none" w:sz="0" w:space="0" w:color="auto"/>
        <w:left w:val="none" w:sz="0" w:space="0" w:color="auto"/>
        <w:bottom w:val="none" w:sz="0" w:space="0" w:color="auto"/>
        <w:right w:val="none" w:sz="0" w:space="0" w:color="auto"/>
      </w:divBdr>
    </w:div>
    <w:div w:id="168716293">
      <w:bodyDiv w:val="1"/>
      <w:marLeft w:val="0"/>
      <w:marRight w:val="0"/>
      <w:marTop w:val="0"/>
      <w:marBottom w:val="0"/>
      <w:divBdr>
        <w:top w:val="none" w:sz="0" w:space="0" w:color="auto"/>
        <w:left w:val="none" w:sz="0" w:space="0" w:color="auto"/>
        <w:bottom w:val="none" w:sz="0" w:space="0" w:color="auto"/>
        <w:right w:val="none" w:sz="0" w:space="0" w:color="auto"/>
      </w:divBdr>
    </w:div>
    <w:div w:id="168832721">
      <w:bodyDiv w:val="1"/>
      <w:marLeft w:val="0"/>
      <w:marRight w:val="0"/>
      <w:marTop w:val="0"/>
      <w:marBottom w:val="0"/>
      <w:divBdr>
        <w:top w:val="none" w:sz="0" w:space="0" w:color="auto"/>
        <w:left w:val="none" w:sz="0" w:space="0" w:color="auto"/>
        <w:bottom w:val="none" w:sz="0" w:space="0" w:color="auto"/>
        <w:right w:val="none" w:sz="0" w:space="0" w:color="auto"/>
      </w:divBdr>
    </w:div>
    <w:div w:id="168956797">
      <w:bodyDiv w:val="1"/>
      <w:marLeft w:val="0"/>
      <w:marRight w:val="0"/>
      <w:marTop w:val="0"/>
      <w:marBottom w:val="0"/>
      <w:divBdr>
        <w:top w:val="none" w:sz="0" w:space="0" w:color="auto"/>
        <w:left w:val="none" w:sz="0" w:space="0" w:color="auto"/>
        <w:bottom w:val="none" w:sz="0" w:space="0" w:color="auto"/>
        <w:right w:val="none" w:sz="0" w:space="0" w:color="auto"/>
      </w:divBdr>
    </w:div>
    <w:div w:id="169104698">
      <w:bodyDiv w:val="1"/>
      <w:marLeft w:val="0"/>
      <w:marRight w:val="0"/>
      <w:marTop w:val="0"/>
      <w:marBottom w:val="0"/>
      <w:divBdr>
        <w:top w:val="none" w:sz="0" w:space="0" w:color="auto"/>
        <w:left w:val="none" w:sz="0" w:space="0" w:color="auto"/>
        <w:bottom w:val="none" w:sz="0" w:space="0" w:color="auto"/>
        <w:right w:val="none" w:sz="0" w:space="0" w:color="auto"/>
      </w:divBdr>
    </w:div>
    <w:div w:id="169294308">
      <w:bodyDiv w:val="1"/>
      <w:marLeft w:val="0"/>
      <w:marRight w:val="0"/>
      <w:marTop w:val="0"/>
      <w:marBottom w:val="0"/>
      <w:divBdr>
        <w:top w:val="none" w:sz="0" w:space="0" w:color="auto"/>
        <w:left w:val="none" w:sz="0" w:space="0" w:color="auto"/>
        <w:bottom w:val="none" w:sz="0" w:space="0" w:color="auto"/>
        <w:right w:val="none" w:sz="0" w:space="0" w:color="auto"/>
      </w:divBdr>
    </w:div>
    <w:div w:id="169294785">
      <w:bodyDiv w:val="1"/>
      <w:marLeft w:val="0"/>
      <w:marRight w:val="0"/>
      <w:marTop w:val="0"/>
      <w:marBottom w:val="0"/>
      <w:divBdr>
        <w:top w:val="none" w:sz="0" w:space="0" w:color="auto"/>
        <w:left w:val="none" w:sz="0" w:space="0" w:color="auto"/>
        <w:bottom w:val="none" w:sz="0" w:space="0" w:color="auto"/>
        <w:right w:val="none" w:sz="0" w:space="0" w:color="auto"/>
      </w:divBdr>
    </w:div>
    <w:div w:id="171456341">
      <w:bodyDiv w:val="1"/>
      <w:marLeft w:val="0"/>
      <w:marRight w:val="0"/>
      <w:marTop w:val="0"/>
      <w:marBottom w:val="0"/>
      <w:divBdr>
        <w:top w:val="none" w:sz="0" w:space="0" w:color="auto"/>
        <w:left w:val="none" w:sz="0" w:space="0" w:color="auto"/>
        <w:bottom w:val="none" w:sz="0" w:space="0" w:color="auto"/>
        <w:right w:val="none" w:sz="0" w:space="0" w:color="auto"/>
      </w:divBdr>
    </w:div>
    <w:div w:id="171579100">
      <w:bodyDiv w:val="1"/>
      <w:marLeft w:val="0"/>
      <w:marRight w:val="0"/>
      <w:marTop w:val="0"/>
      <w:marBottom w:val="0"/>
      <w:divBdr>
        <w:top w:val="none" w:sz="0" w:space="0" w:color="auto"/>
        <w:left w:val="none" w:sz="0" w:space="0" w:color="auto"/>
        <w:bottom w:val="none" w:sz="0" w:space="0" w:color="auto"/>
        <w:right w:val="none" w:sz="0" w:space="0" w:color="auto"/>
      </w:divBdr>
    </w:div>
    <w:div w:id="171727236">
      <w:bodyDiv w:val="1"/>
      <w:marLeft w:val="0"/>
      <w:marRight w:val="0"/>
      <w:marTop w:val="0"/>
      <w:marBottom w:val="0"/>
      <w:divBdr>
        <w:top w:val="none" w:sz="0" w:space="0" w:color="auto"/>
        <w:left w:val="none" w:sz="0" w:space="0" w:color="auto"/>
        <w:bottom w:val="none" w:sz="0" w:space="0" w:color="auto"/>
        <w:right w:val="none" w:sz="0" w:space="0" w:color="auto"/>
      </w:divBdr>
    </w:div>
    <w:div w:id="172233379">
      <w:bodyDiv w:val="1"/>
      <w:marLeft w:val="0"/>
      <w:marRight w:val="0"/>
      <w:marTop w:val="0"/>
      <w:marBottom w:val="0"/>
      <w:divBdr>
        <w:top w:val="none" w:sz="0" w:space="0" w:color="auto"/>
        <w:left w:val="none" w:sz="0" w:space="0" w:color="auto"/>
        <w:bottom w:val="none" w:sz="0" w:space="0" w:color="auto"/>
        <w:right w:val="none" w:sz="0" w:space="0" w:color="auto"/>
      </w:divBdr>
    </w:div>
    <w:div w:id="173036072">
      <w:bodyDiv w:val="1"/>
      <w:marLeft w:val="0"/>
      <w:marRight w:val="0"/>
      <w:marTop w:val="0"/>
      <w:marBottom w:val="0"/>
      <w:divBdr>
        <w:top w:val="none" w:sz="0" w:space="0" w:color="auto"/>
        <w:left w:val="none" w:sz="0" w:space="0" w:color="auto"/>
        <w:bottom w:val="none" w:sz="0" w:space="0" w:color="auto"/>
        <w:right w:val="none" w:sz="0" w:space="0" w:color="auto"/>
      </w:divBdr>
    </w:div>
    <w:div w:id="173036690">
      <w:bodyDiv w:val="1"/>
      <w:marLeft w:val="0"/>
      <w:marRight w:val="0"/>
      <w:marTop w:val="0"/>
      <w:marBottom w:val="0"/>
      <w:divBdr>
        <w:top w:val="none" w:sz="0" w:space="0" w:color="auto"/>
        <w:left w:val="none" w:sz="0" w:space="0" w:color="auto"/>
        <w:bottom w:val="none" w:sz="0" w:space="0" w:color="auto"/>
        <w:right w:val="none" w:sz="0" w:space="0" w:color="auto"/>
      </w:divBdr>
    </w:div>
    <w:div w:id="173230515">
      <w:bodyDiv w:val="1"/>
      <w:marLeft w:val="0"/>
      <w:marRight w:val="0"/>
      <w:marTop w:val="0"/>
      <w:marBottom w:val="0"/>
      <w:divBdr>
        <w:top w:val="none" w:sz="0" w:space="0" w:color="auto"/>
        <w:left w:val="none" w:sz="0" w:space="0" w:color="auto"/>
        <w:bottom w:val="none" w:sz="0" w:space="0" w:color="auto"/>
        <w:right w:val="none" w:sz="0" w:space="0" w:color="auto"/>
      </w:divBdr>
    </w:div>
    <w:div w:id="173343444">
      <w:bodyDiv w:val="1"/>
      <w:marLeft w:val="0"/>
      <w:marRight w:val="0"/>
      <w:marTop w:val="0"/>
      <w:marBottom w:val="0"/>
      <w:divBdr>
        <w:top w:val="none" w:sz="0" w:space="0" w:color="auto"/>
        <w:left w:val="none" w:sz="0" w:space="0" w:color="auto"/>
        <w:bottom w:val="none" w:sz="0" w:space="0" w:color="auto"/>
        <w:right w:val="none" w:sz="0" w:space="0" w:color="auto"/>
      </w:divBdr>
    </w:div>
    <w:div w:id="173614826">
      <w:bodyDiv w:val="1"/>
      <w:marLeft w:val="0"/>
      <w:marRight w:val="0"/>
      <w:marTop w:val="0"/>
      <w:marBottom w:val="0"/>
      <w:divBdr>
        <w:top w:val="none" w:sz="0" w:space="0" w:color="auto"/>
        <w:left w:val="none" w:sz="0" w:space="0" w:color="auto"/>
        <w:bottom w:val="none" w:sz="0" w:space="0" w:color="auto"/>
        <w:right w:val="none" w:sz="0" w:space="0" w:color="auto"/>
      </w:divBdr>
    </w:div>
    <w:div w:id="173810324">
      <w:bodyDiv w:val="1"/>
      <w:marLeft w:val="0"/>
      <w:marRight w:val="0"/>
      <w:marTop w:val="0"/>
      <w:marBottom w:val="0"/>
      <w:divBdr>
        <w:top w:val="none" w:sz="0" w:space="0" w:color="auto"/>
        <w:left w:val="none" w:sz="0" w:space="0" w:color="auto"/>
        <w:bottom w:val="none" w:sz="0" w:space="0" w:color="auto"/>
        <w:right w:val="none" w:sz="0" w:space="0" w:color="auto"/>
      </w:divBdr>
    </w:div>
    <w:div w:id="174077960">
      <w:bodyDiv w:val="1"/>
      <w:marLeft w:val="0"/>
      <w:marRight w:val="0"/>
      <w:marTop w:val="0"/>
      <w:marBottom w:val="0"/>
      <w:divBdr>
        <w:top w:val="none" w:sz="0" w:space="0" w:color="auto"/>
        <w:left w:val="none" w:sz="0" w:space="0" w:color="auto"/>
        <w:bottom w:val="none" w:sz="0" w:space="0" w:color="auto"/>
        <w:right w:val="none" w:sz="0" w:space="0" w:color="auto"/>
      </w:divBdr>
    </w:div>
    <w:div w:id="174538856">
      <w:bodyDiv w:val="1"/>
      <w:marLeft w:val="0"/>
      <w:marRight w:val="0"/>
      <w:marTop w:val="0"/>
      <w:marBottom w:val="0"/>
      <w:divBdr>
        <w:top w:val="none" w:sz="0" w:space="0" w:color="auto"/>
        <w:left w:val="none" w:sz="0" w:space="0" w:color="auto"/>
        <w:bottom w:val="none" w:sz="0" w:space="0" w:color="auto"/>
        <w:right w:val="none" w:sz="0" w:space="0" w:color="auto"/>
      </w:divBdr>
    </w:div>
    <w:div w:id="174610776">
      <w:bodyDiv w:val="1"/>
      <w:marLeft w:val="0"/>
      <w:marRight w:val="0"/>
      <w:marTop w:val="0"/>
      <w:marBottom w:val="0"/>
      <w:divBdr>
        <w:top w:val="none" w:sz="0" w:space="0" w:color="auto"/>
        <w:left w:val="none" w:sz="0" w:space="0" w:color="auto"/>
        <w:bottom w:val="none" w:sz="0" w:space="0" w:color="auto"/>
        <w:right w:val="none" w:sz="0" w:space="0" w:color="auto"/>
      </w:divBdr>
    </w:div>
    <w:div w:id="174733253">
      <w:bodyDiv w:val="1"/>
      <w:marLeft w:val="0"/>
      <w:marRight w:val="0"/>
      <w:marTop w:val="0"/>
      <w:marBottom w:val="0"/>
      <w:divBdr>
        <w:top w:val="none" w:sz="0" w:space="0" w:color="auto"/>
        <w:left w:val="none" w:sz="0" w:space="0" w:color="auto"/>
        <w:bottom w:val="none" w:sz="0" w:space="0" w:color="auto"/>
        <w:right w:val="none" w:sz="0" w:space="0" w:color="auto"/>
      </w:divBdr>
    </w:div>
    <w:div w:id="175727715">
      <w:bodyDiv w:val="1"/>
      <w:marLeft w:val="0"/>
      <w:marRight w:val="0"/>
      <w:marTop w:val="0"/>
      <w:marBottom w:val="0"/>
      <w:divBdr>
        <w:top w:val="none" w:sz="0" w:space="0" w:color="auto"/>
        <w:left w:val="none" w:sz="0" w:space="0" w:color="auto"/>
        <w:bottom w:val="none" w:sz="0" w:space="0" w:color="auto"/>
        <w:right w:val="none" w:sz="0" w:space="0" w:color="auto"/>
      </w:divBdr>
    </w:div>
    <w:div w:id="175970958">
      <w:bodyDiv w:val="1"/>
      <w:marLeft w:val="0"/>
      <w:marRight w:val="0"/>
      <w:marTop w:val="0"/>
      <w:marBottom w:val="0"/>
      <w:divBdr>
        <w:top w:val="none" w:sz="0" w:space="0" w:color="auto"/>
        <w:left w:val="none" w:sz="0" w:space="0" w:color="auto"/>
        <w:bottom w:val="none" w:sz="0" w:space="0" w:color="auto"/>
        <w:right w:val="none" w:sz="0" w:space="0" w:color="auto"/>
      </w:divBdr>
    </w:div>
    <w:div w:id="176307797">
      <w:bodyDiv w:val="1"/>
      <w:marLeft w:val="0"/>
      <w:marRight w:val="0"/>
      <w:marTop w:val="0"/>
      <w:marBottom w:val="0"/>
      <w:divBdr>
        <w:top w:val="none" w:sz="0" w:space="0" w:color="auto"/>
        <w:left w:val="none" w:sz="0" w:space="0" w:color="auto"/>
        <w:bottom w:val="none" w:sz="0" w:space="0" w:color="auto"/>
        <w:right w:val="none" w:sz="0" w:space="0" w:color="auto"/>
      </w:divBdr>
    </w:div>
    <w:div w:id="176434771">
      <w:bodyDiv w:val="1"/>
      <w:marLeft w:val="0"/>
      <w:marRight w:val="0"/>
      <w:marTop w:val="0"/>
      <w:marBottom w:val="0"/>
      <w:divBdr>
        <w:top w:val="none" w:sz="0" w:space="0" w:color="auto"/>
        <w:left w:val="none" w:sz="0" w:space="0" w:color="auto"/>
        <w:bottom w:val="none" w:sz="0" w:space="0" w:color="auto"/>
        <w:right w:val="none" w:sz="0" w:space="0" w:color="auto"/>
      </w:divBdr>
    </w:div>
    <w:div w:id="176893261">
      <w:bodyDiv w:val="1"/>
      <w:marLeft w:val="0"/>
      <w:marRight w:val="0"/>
      <w:marTop w:val="0"/>
      <w:marBottom w:val="0"/>
      <w:divBdr>
        <w:top w:val="none" w:sz="0" w:space="0" w:color="auto"/>
        <w:left w:val="none" w:sz="0" w:space="0" w:color="auto"/>
        <w:bottom w:val="none" w:sz="0" w:space="0" w:color="auto"/>
        <w:right w:val="none" w:sz="0" w:space="0" w:color="auto"/>
      </w:divBdr>
    </w:div>
    <w:div w:id="177041194">
      <w:bodyDiv w:val="1"/>
      <w:marLeft w:val="0"/>
      <w:marRight w:val="0"/>
      <w:marTop w:val="0"/>
      <w:marBottom w:val="0"/>
      <w:divBdr>
        <w:top w:val="none" w:sz="0" w:space="0" w:color="auto"/>
        <w:left w:val="none" w:sz="0" w:space="0" w:color="auto"/>
        <w:bottom w:val="none" w:sz="0" w:space="0" w:color="auto"/>
        <w:right w:val="none" w:sz="0" w:space="0" w:color="auto"/>
      </w:divBdr>
    </w:div>
    <w:div w:id="177045300">
      <w:bodyDiv w:val="1"/>
      <w:marLeft w:val="0"/>
      <w:marRight w:val="0"/>
      <w:marTop w:val="0"/>
      <w:marBottom w:val="0"/>
      <w:divBdr>
        <w:top w:val="none" w:sz="0" w:space="0" w:color="auto"/>
        <w:left w:val="none" w:sz="0" w:space="0" w:color="auto"/>
        <w:bottom w:val="none" w:sz="0" w:space="0" w:color="auto"/>
        <w:right w:val="none" w:sz="0" w:space="0" w:color="auto"/>
      </w:divBdr>
    </w:div>
    <w:div w:id="177282476">
      <w:bodyDiv w:val="1"/>
      <w:marLeft w:val="0"/>
      <w:marRight w:val="0"/>
      <w:marTop w:val="0"/>
      <w:marBottom w:val="0"/>
      <w:divBdr>
        <w:top w:val="none" w:sz="0" w:space="0" w:color="auto"/>
        <w:left w:val="none" w:sz="0" w:space="0" w:color="auto"/>
        <w:bottom w:val="none" w:sz="0" w:space="0" w:color="auto"/>
        <w:right w:val="none" w:sz="0" w:space="0" w:color="auto"/>
      </w:divBdr>
    </w:div>
    <w:div w:id="177620672">
      <w:bodyDiv w:val="1"/>
      <w:marLeft w:val="0"/>
      <w:marRight w:val="0"/>
      <w:marTop w:val="0"/>
      <w:marBottom w:val="0"/>
      <w:divBdr>
        <w:top w:val="none" w:sz="0" w:space="0" w:color="auto"/>
        <w:left w:val="none" w:sz="0" w:space="0" w:color="auto"/>
        <w:bottom w:val="none" w:sz="0" w:space="0" w:color="auto"/>
        <w:right w:val="none" w:sz="0" w:space="0" w:color="auto"/>
      </w:divBdr>
    </w:div>
    <w:div w:id="177811331">
      <w:bodyDiv w:val="1"/>
      <w:marLeft w:val="0"/>
      <w:marRight w:val="0"/>
      <w:marTop w:val="0"/>
      <w:marBottom w:val="0"/>
      <w:divBdr>
        <w:top w:val="none" w:sz="0" w:space="0" w:color="auto"/>
        <w:left w:val="none" w:sz="0" w:space="0" w:color="auto"/>
        <w:bottom w:val="none" w:sz="0" w:space="0" w:color="auto"/>
        <w:right w:val="none" w:sz="0" w:space="0" w:color="auto"/>
      </w:divBdr>
    </w:div>
    <w:div w:id="178616969">
      <w:bodyDiv w:val="1"/>
      <w:marLeft w:val="0"/>
      <w:marRight w:val="0"/>
      <w:marTop w:val="0"/>
      <w:marBottom w:val="0"/>
      <w:divBdr>
        <w:top w:val="none" w:sz="0" w:space="0" w:color="auto"/>
        <w:left w:val="none" w:sz="0" w:space="0" w:color="auto"/>
        <w:bottom w:val="none" w:sz="0" w:space="0" w:color="auto"/>
        <w:right w:val="none" w:sz="0" w:space="0" w:color="auto"/>
      </w:divBdr>
    </w:div>
    <w:div w:id="179127626">
      <w:bodyDiv w:val="1"/>
      <w:marLeft w:val="0"/>
      <w:marRight w:val="0"/>
      <w:marTop w:val="0"/>
      <w:marBottom w:val="0"/>
      <w:divBdr>
        <w:top w:val="none" w:sz="0" w:space="0" w:color="auto"/>
        <w:left w:val="none" w:sz="0" w:space="0" w:color="auto"/>
        <w:bottom w:val="none" w:sz="0" w:space="0" w:color="auto"/>
        <w:right w:val="none" w:sz="0" w:space="0" w:color="auto"/>
      </w:divBdr>
    </w:div>
    <w:div w:id="179701796">
      <w:bodyDiv w:val="1"/>
      <w:marLeft w:val="0"/>
      <w:marRight w:val="0"/>
      <w:marTop w:val="0"/>
      <w:marBottom w:val="0"/>
      <w:divBdr>
        <w:top w:val="none" w:sz="0" w:space="0" w:color="auto"/>
        <w:left w:val="none" w:sz="0" w:space="0" w:color="auto"/>
        <w:bottom w:val="none" w:sz="0" w:space="0" w:color="auto"/>
        <w:right w:val="none" w:sz="0" w:space="0" w:color="auto"/>
      </w:divBdr>
    </w:div>
    <w:div w:id="179903540">
      <w:bodyDiv w:val="1"/>
      <w:marLeft w:val="0"/>
      <w:marRight w:val="0"/>
      <w:marTop w:val="0"/>
      <w:marBottom w:val="0"/>
      <w:divBdr>
        <w:top w:val="none" w:sz="0" w:space="0" w:color="auto"/>
        <w:left w:val="none" w:sz="0" w:space="0" w:color="auto"/>
        <w:bottom w:val="none" w:sz="0" w:space="0" w:color="auto"/>
        <w:right w:val="none" w:sz="0" w:space="0" w:color="auto"/>
      </w:divBdr>
    </w:div>
    <w:div w:id="180289741">
      <w:bodyDiv w:val="1"/>
      <w:marLeft w:val="0"/>
      <w:marRight w:val="0"/>
      <w:marTop w:val="0"/>
      <w:marBottom w:val="0"/>
      <w:divBdr>
        <w:top w:val="none" w:sz="0" w:space="0" w:color="auto"/>
        <w:left w:val="none" w:sz="0" w:space="0" w:color="auto"/>
        <w:bottom w:val="none" w:sz="0" w:space="0" w:color="auto"/>
        <w:right w:val="none" w:sz="0" w:space="0" w:color="auto"/>
      </w:divBdr>
    </w:div>
    <w:div w:id="181096406">
      <w:bodyDiv w:val="1"/>
      <w:marLeft w:val="0"/>
      <w:marRight w:val="0"/>
      <w:marTop w:val="0"/>
      <w:marBottom w:val="0"/>
      <w:divBdr>
        <w:top w:val="none" w:sz="0" w:space="0" w:color="auto"/>
        <w:left w:val="none" w:sz="0" w:space="0" w:color="auto"/>
        <w:bottom w:val="none" w:sz="0" w:space="0" w:color="auto"/>
        <w:right w:val="none" w:sz="0" w:space="0" w:color="auto"/>
      </w:divBdr>
    </w:div>
    <w:div w:id="181209266">
      <w:bodyDiv w:val="1"/>
      <w:marLeft w:val="0"/>
      <w:marRight w:val="0"/>
      <w:marTop w:val="0"/>
      <w:marBottom w:val="0"/>
      <w:divBdr>
        <w:top w:val="none" w:sz="0" w:space="0" w:color="auto"/>
        <w:left w:val="none" w:sz="0" w:space="0" w:color="auto"/>
        <w:bottom w:val="none" w:sz="0" w:space="0" w:color="auto"/>
        <w:right w:val="none" w:sz="0" w:space="0" w:color="auto"/>
      </w:divBdr>
    </w:div>
    <w:div w:id="182129442">
      <w:bodyDiv w:val="1"/>
      <w:marLeft w:val="0"/>
      <w:marRight w:val="0"/>
      <w:marTop w:val="0"/>
      <w:marBottom w:val="0"/>
      <w:divBdr>
        <w:top w:val="none" w:sz="0" w:space="0" w:color="auto"/>
        <w:left w:val="none" w:sz="0" w:space="0" w:color="auto"/>
        <w:bottom w:val="none" w:sz="0" w:space="0" w:color="auto"/>
        <w:right w:val="none" w:sz="0" w:space="0" w:color="auto"/>
      </w:divBdr>
    </w:div>
    <w:div w:id="182286893">
      <w:bodyDiv w:val="1"/>
      <w:marLeft w:val="0"/>
      <w:marRight w:val="0"/>
      <w:marTop w:val="0"/>
      <w:marBottom w:val="0"/>
      <w:divBdr>
        <w:top w:val="none" w:sz="0" w:space="0" w:color="auto"/>
        <w:left w:val="none" w:sz="0" w:space="0" w:color="auto"/>
        <w:bottom w:val="none" w:sz="0" w:space="0" w:color="auto"/>
        <w:right w:val="none" w:sz="0" w:space="0" w:color="auto"/>
      </w:divBdr>
    </w:div>
    <w:div w:id="182520863">
      <w:bodyDiv w:val="1"/>
      <w:marLeft w:val="0"/>
      <w:marRight w:val="0"/>
      <w:marTop w:val="0"/>
      <w:marBottom w:val="0"/>
      <w:divBdr>
        <w:top w:val="none" w:sz="0" w:space="0" w:color="auto"/>
        <w:left w:val="none" w:sz="0" w:space="0" w:color="auto"/>
        <w:bottom w:val="none" w:sz="0" w:space="0" w:color="auto"/>
        <w:right w:val="none" w:sz="0" w:space="0" w:color="auto"/>
      </w:divBdr>
    </w:div>
    <w:div w:id="182785541">
      <w:bodyDiv w:val="1"/>
      <w:marLeft w:val="0"/>
      <w:marRight w:val="0"/>
      <w:marTop w:val="0"/>
      <w:marBottom w:val="0"/>
      <w:divBdr>
        <w:top w:val="none" w:sz="0" w:space="0" w:color="auto"/>
        <w:left w:val="none" w:sz="0" w:space="0" w:color="auto"/>
        <w:bottom w:val="none" w:sz="0" w:space="0" w:color="auto"/>
        <w:right w:val="none" w:sz="0" w:space="0" w:color="auto"/>
      </w:divBdr>
    </w:div>
    <w:div w:id="183129358">
      <w:bodyDiv w:val="1"/>
      <w:marLeft w:val="0"/>
      <w:marRight w:val="0"/>
      <w:marTop w:val="0"/>
      <w:marBottom w:val="0"/>
      <w:divBdr>
        <w:top w:val="none" w:sz="0" w:space="0" w:color="auto"/>
        <w:left w:val="none" w:sz="0" w:space="0" w:color="auto"/>
        <w:bottom w:val="none" w:sz="0" w:space="0" w:color="auto"/>
        <w:right w:val="none" w:sz="0" w:space="0" w:color="auto"/>
      </w:divBdr>
    </w:div>
    <w:div w:id="183594724">
      <w:bodyDiv w:val="1"/>
      <w:marLeft w:val="0"/>
      <w:marRight w:val="0"/>
      <w:marTop w:val="0"/>
      <w:marBottom w:val="0"/>
      <w:divBdr>
        <w:top w:val="none" w:sz="0" w:space="0" w:color="auto"/>
        <w:left w:val="none" w:sz="0" w:space="0" w:color="auto"/>
        <w:bottom w:val="none" w:sz="0" w:space="0" w:color="auto"/>
        <w:right w:val="none" w:sz="0" w:space="0" w:color="auto"/>
      </w:divBdr>
    </w:div>
    <w:div w:id="183834031">
      <w:bodyDiv w:val="1"/>
      <w:marLeft w:val="0"/>
      <w:marRight w:val="0"/>
      <w:marTop w:val="0"/>
      <w:marBottom w:val="0"/>
      <w:divBdr>
        <w:top w:val="none" w:sz="0" w:space="0" w:color="auto"/>
        <w:left w:val="none" w:sz="0" w:space="0" w:color="auto"/>
        <w:bottom w:val="none" w:sz="0" w:space="0" w:color="auto"/>
        <w:right w:val="none" w:sz="0" w:space="0" w:color="auto"/>
      </w:divBdr>
    </w:div>
    <w:div w:id="183977114">
      <w:bodyDiv w:val="1"/>
      <w:marLeft w:val="0"/>
      <w:marRight w:val="0"/>
      <w:marTop w:val="0"/>
      <w:marBottom w:val="0"/>
      <w:divBdr>
        <w:top w:val="none" w:sz="0" w:space="0" w:color="auto"/>
        <w:left w:val="none" w:sz="0" w:space="0" w:color="auto"/>
        <w:bottom w:val="none" w:sz="0" w:space="0" w:color="auto"/>
        <w:right w:val="none" w:sz="0" w:space="0" w:color="auto"/>
      </w:divBdr>
    </w:div>
    <w:div w:id="183980702">
      <w:bodyDiv w:val="1"/>
      <w:marLeft w:val="0"/>
      <w:marRight w:val="0"/>
      <w:marTop w:val="0"/>
      <w:marBottom w:val="0"/>
      <w:divBdr>
        <w:top w:val="none" w:sz="0" w:space="0" w:color="auto"/>
        <w:left w:val="none" w:sz="0" w:space="0" w:color="auto"/>
        <w:bottom w:val="none" w:sz="0" w:space="0" w:color="auto"/>
        <w:right w:val="none" w:sz="0" w:space="0" w:color="auto"/>
      </w:divBdr>
    </w:div>
    <w:div w:id="185414211">
      <w:bodyDiv w:val="1"/>
      <w:marLeft w:val="0"/>
      <w:marRight w:val="0"/>
      <w:marTop w:val="0"/>
      <w:marBottom w:val="0"/>
      <w:divBdr>
        <w:top w:val="none" w:sz="0" w:space="0" w:color="auto"/>
        <w:left w:val="none" w:sz="0" w:space="0" w:color="auto"/>
        <w:bottom w:val="none" w:sz="0" w:space="0" w:color="auto"/>
        <w:right w:val="none" w:sz="0" w:space="0" w:color="auto"/>
      </w:divBdr>
    </w:div>
    <w:div w:id="185608115">
      <w:bodyDiv w:val="1"/>
      <w:marLeft w:val="0"/>
      <w:marRight w:val="0"/>
      <w:marTop w:val="0"/>
      <w:marBottom w:val="0"/>
      <w:divBdr>
        <w:top w:val="none" w:sz="0" w:space="0" w:color="auto"/>
        <w:left w:val="none" w:sz="0" w:space="0" w:color="auto"/>
        <w:bottom w:val="none" w:sz="0" w:space="0" w:color="auto"/>
        <w:right w:val="none" w:sz="0" w:space="0" w:color="auto"/>
      </w:divBdr>
    </w:div>
    <w:div w:id="188033213">
      <w:bodyDiv w:val="1"/>
      <w:marLeft w:val="0"/>
      <w:marRight w:val="0"/>
      <w:marTop w:val="0"/>
      <w:marBottom w:val="0"/>
      <w:divBdr>
        <w:top w:val="none" w:sz="0" w:space="0" w:color="auto"/>
        <w:left w:val="none" w:sz="0" w:space="0" w:color="auto"/>
        <w:bottom w:val="none" w:sz="0" w:space="0" w:color="auto"/>
        <w:right w:val="none" w:sz="0" w:space="0" w:color="auto"/>
      </w:divBdr>
    </w:div>
    <w:div w:id="188154267">
      <w:bodyDiv w:val="1"/>
      <w:marLeft w:val="0"/>
      <w:marRight w:val="0"/>
      <w:marTop w:val="0"/>
      <w:marBottom w:val="0"/>
      <w:divBdr>
        <w:top w:val="none" w:sz="0" w:space="0" w:color="auto"/>
        <w:left w:val="none" w:sz="0" w:space="0" w:color="auto"/>
        <w:bottom w:val="none" w:sz="0" w:space="0" w:color="auto"/>
        <w:right w:val="none" w:sz="0" w:space="0" w:color="auto"/>
      </w:divBdr>
    </w:div>
    <w:div w:id="188223566">
      <w:bodyDiv w:val="1"/>
      <w:marLeft w:val="0"/>
      <w:marRight w:val="0"/>
      <w:marTop w:val="0"/>
      <w:marBottom w:val="0"/>
      <w:divBdr>
        <w:top w:val="none" w:sz="0" w:space="0" w:color="auto"/>
        <w:left w:val="none" w:sz="0" w:space="0" w:color="auto"/>
        <w:bottom w:val="none" w:sz="0" w:space="0" w:color="auto"/>
        <w:right w:val="none" w:sz="0" w:space="0" w:color="auto"/>
      </w:divBdr>
    </w:div>
    <w:div w:id="188568564">
      <w:bodyDiv w:val="1"/>
      <w:marLeft w:val="0"/>
      <w:marRight w:val="0"/>
      <w:marTop w:val="0"/>
      <w:marBottom w:val="0"/>
      <w:divBdr>
        <w:top w:val="none" w:sz="0" w:space="0" w:color="auto"/>
        <w:left w:val="none" w:sz="0" w:space="0" w:color="auto"/>
        <w:bottom w:val="none" w:sz="0" w:space="0" w:color="auto"/>
        <w:right w:val="none" w:sz="0" w:space="0" w:color="auto"/>
      </w:divBdr>
    </w:div>
    <w:div w:id="189295585">
      <w:bodyDiv w:val="1"/>
      <w:marLeft w:val="0"/>
      <w:marRight w:val="0"/>
      <w:marTop w:val="0"/>
      <w:marBottom w:val="0"/>
      <w:divBdr>
        <w:top w:val="none" w:sz="0" w:space="0" w:color="auto"/>
        <w:left w:val="none" w:sz="0" w:space="0" w:color="auto"/>
        <w:bottom w:val="none" w:sz="0" w:space="0" w:color="auto"/>
        <w:right w:val="none" w:sz="0" w:space="0" w:color="auto"/>
      </w:divBdr>
    </w:div>
    <w:div w:id="189413776">
      <w:bodyDiv w:val="1"/>
      <w:marLeft w:val="0"/>
      <w:marRight w:val="0"/>
      <w:marTop w:val="0"/>
      <w:marBottom w:val="0"/>
      <w:divBdr>
        <w:top w:val="none" w:sz="0" w:space="0" w:color="auto"/>
        <w:left w:val="none" w:sz="0" w:space="0" w:color="auto"/>
        <w:bottom w:val="none" w:sz="0" w:space="0" w:color="auto"/>
        <w:right w:val="none" w:sz="0" w:space="0" w:color="auto"/>
      </w:divBdr>
    </w:div>
    <w:div w:id="189493962">
      <w:bodyDiv w:val="1"/>
      <w:marLeft w:val="0"/>
      <w:marRight w:val="0"/>
      <w:marTop w:val="0"/>
      <w:marBottom w:val="0"/>
      <w:divBdr>
        <w:top w:val="none" w:sz="0" w:space="0" w:color="auto"/>
        <w:left w:val="none" w:sz="0" w:space="0" w:color="auto"/>
        <w:bottom w:val="none" w:sz="0" w:space="0" w:color="auto"/>
        <w:right w:val="none" w:sz="0" w:space="0" w:color="auto"/>
      </w:divBdr>
    </w:div>
    <w:div w:id="191042091">
      <w:bodyDiv w:val="1"/>
      <w:marLeft w:val="0"/>
      <w:marRight w:val="0"/>
      <w:marTop w:val="0"/>
      <w:marBottom w:val="0"/>
      <w:divBdr>
        <w:top w:val="none" w:sz="0" w:space="0" w:color="auto"/>
        <w:left w:val="none" w:sz="0" w:space="0" w:color="auto"/>
        <w:bottom w:val="none" w:sz="0" w:space="0" w:color="auto"/>
        <w:right w:val="none" w:sz="0" w:space="0" w:color="auto"/>
      </w:divBdr>
    </w:div>
    <w:div w:id="191111351">
      <w:bodyDiv w:val="1"/>
      <w:marLeft w:val="0"/>
      <w:marRight w:val="0"/>
      <w:marTop w:val="0"/>
      <w:marBottom w:val="0"/>
      <w:divBdr>
        <w:top w:val="none" w:sz="0" w:space="0" w:color="auto"/>
        <w:left w:val="none" w:sz="0" w:space="0" w:color="auto"/>
        <w:bottom w:val="none" w:sz="0" w:space="0" w:color="auto"/>
        <w:right w:val="none" w:sz="0" w:space="0" w:color="auto"/>
      </w:divBdr>
    </w:div>
    <w:div w:id="191455247">
      <w:bodyDiv w:val="1"/>
      <w:marLeft w:val="0"/>
      <w:marRight w:val="0"/>
      <w:marTop w:val="0"/>
      <w:marBottom w:val="0"/>
      <w:divBdr>
        <w:top w:val="none" w:sz="0" w:space="0" w:color="auto"/>
        <w:left w:val="none" w:sz="0" w:space="0" w:color="auto"/>
        <w:bottom w:val="none" w:sz="0" w:space="0" w:color="auto"/>
        <w:right w:val="none" w:sz="0" w:space="0" w:color="auto"/>
      </w:divBdr>
    </w:div>
    <w:div w:id="191578731">
      <w:bodyDiv w:val="1"/>
      <w:marLeft w:val="0"/>
      <w:marRight w:val="0"/>
      <w:marTop w:val="0"/>
      <w:marBottom w:val="0"/>
      <w:divBdr>
        <w:top w:val="none" w:sz="0" w:space="0" w:color="auto"/>
        <w:left w:val="none" w:sz="0" w:space="0" w:color="auto"/>
        <w:bottom w:val="none" w:sz="0" w:space="0" w:color="auto"/>
        <w:right w:val="none" w:sz="0" w:space="0" w:color="auto"/>
      </w:divBdr>
    </w:div>
    <w:div w:id="192885573">
      <w:bodyDiv w:val="1"/>
      <w:marLeft w:val="0"/>
      <w:marRight w:val="0"/>
      <w:marTop w:val="0"/>
      <w:marBottom w:val="0"/>
      <w:divBdr>
        <w:top w:val="none" w:sz="0" w:space="0" w:color="auto"/>
        <w:left w:val="none" w:sz="0" w:space="0" w:color="auto"/>
        <w:bottom w:val="none" w:sz="0" w:space="0" w:color="auto"/>
        <w:right w:val="none" w:sz="0" w:space="0" w:color="auto"/>
      </w:divBdr>
    </w:div>
    <w:div w:id="194124823">
      <w:bodyDiv w:val="1"/>
      <w:marLeft w:val="0"/>
      <w:marRight w:val="0"/>
      <w:marTop w:val="0"/>
      <w:marBottom w:val="0"/>
      <w:divBdr>
        <w:top w:val="none" w:sz="0" w:space="0" w:color="auto"/>
        <w:left w:val="none" w:sz="0" w:space="0" w:color="auto"/>
        <w:bottom w:val="none" w:sz="0" w:space="0" w:color="auto"/>
        <w:right w:val="none" w:sz="0" w:space="0" w:color="auto"/>
      </w:divBdr>
    </w:div>
    <w:div w:id="194199039">
      <w:bodyDiv w:val="1"/>
      <w:marLeft w:val="0"/>
      <w:marRight w:val="0"/>
      <w:marTop w:val="0"/>
      <w:marBottom w:val="0"/>
      <w:divBdr>
        <w:top w:val="none" w:sz="0" w:space="0" w:color="auto"/>
        <w:left w:val="none" w:sz="0" w:space="0" w:color="auto"/>
        <w:bottom w:val="none" w:sz="0" w:space="0" w:color="auto"/>
        <w:right w:val="none" w:sz="0" w:space="0" w:color="auto"/>
      </w:divBdr>
    </w:div>
    <w:div w:id="194732268">
      <w:bodyDiv w:val="1"/>
      <w:marLeft w:val="0"/>
      <w:marRight w:val="0"/>
      <w:marTop w:val="0"/>
      <w:marBottom w:val="0"/>
      <w:divBdr>
        <w:top w:val="none" w:sz="0" w:space="0" w:color="auto"/>
        <w:left w:val="none" w:sz="0" w:space="0" w:color="auto"/>
        <w:bottom w:val="none" w:sz="0" w:space="0" w:color="auto"/>
        <w:right w:val="none" w:sz="0" w:space="0" w:color="auto"/>
      </w:divBdr>
    </w:div>
    <w:div w:id="194929988">
      <w:bodyDiv w:val="1"/>
      <w:marLeft w:val="0"/>
      <w:marRight w:val="0"/>
      <w:marTop w:val="0"/>
      <w:marBottom w:val="0"/>
      <w:divBdr>
        <w:top w:val="none" w:sz="0" w:space="0" w:color="auto"/>
        <w:left w:val="none" w:sz="0" w:space="0" w:color="auto"/>
        <w:bottom w:val="none" w:sz="0" w:space="0" w:color="auto"/>
        <w:right w:val="none" w:sz="0" w:space="0" w:color="auto"/>
      </w:divBdr>
    </w:div>
    <w:div w:id="195386546">
      <w:bodyDiv w:val="1"/>
      <w:marLeft w:val="0"/>
      <w:marRight w:val="0"/>
      <w:marTop w:val="0"/>
      <w:marBottom w:val="0"/>
      <w:divBdr>
        <w:top w:val="none" w:sz="0" w:space="0" w:color="auto"/>
        <w:left w:val="none" w:sz="0" w:space="0" w:color="auto"/>
        <w:bottom w:val="none" w:sz="0" w:space="0" w:color="auto"/>
        <w:right w:val="none" w:sz="0" w:space="0" w:color="auto"/>
      </w:divBdr>
    </w:div>
    <w:div w:id="196435716">
      <w:bodyDiv w:val="1"/>
      <w:marLeft w:val="0"/>
      <w:marRight w:val="0"/>
      <w:marTop w:val="0"/>
      <w:marBottom w:val="0"/>
      <w:divBdr>
        <w:top w:val="none" w:sz="0" w:space="0" w:color="auto"/>
        <w:left w:val="none" w:sz="0" w:space="0" w:color="auto"/>
        <w:bottom w:val="none" w:sz="0" w:space="0" w:color="auto"/>
        <w:right w:val="none" w:sz="0" w:space="0" w:color="auto"/>
      </w:divBdr>
    </w:div>
    <w:div w:id="196771372">
      <w:bodyDiv w:val="1"/>
      <w:marLeft w:val="0"/>
      <w:marRight w:val="0"/>
      <w:marTop w:val="0"/>
      <w:marBottom w:val="0"/>
      <w:divBdr>
        <w:top w:val="none" w:sz="0" w:space="0" w:color="auto"/>
        <w:left w:val="none" w:sz="0" w:space="0" w:color="auto"/>
        <w:bottom w:val="none" w:sz="0" w:space="0" w:color="auto"/>
        <w:right w:val="none" w:sz="0" w:space="0" w:color="auto"/>
      </w:divBdr>
    </w:div>
    <w:div w:id="197620730">
      <w:bodyDiv w:val="1"/>
      <w:marLeft w:val="0"/>
      <w:marRight w:val="0"/>
      <w:marTop w:val="0"/>
      <w:marBottom w:val="0"/>
      <w:divBdr>
        <w:top w:val="none" w:sz="0" w:space="0" w:color="auto"/>
        <w:left w:val="none" w:sz="0" w:space="0" w:color="auto"/>
        <w:bottom w:val="none" w:sz="0" w:space="0" w:color="auto"/>
        <w:right w:val="none" w:sz="0" w:space="0" w:color="auto"/>
      </w:divBdr>
    </w:div>
    <w:div w:id="197931039">
      <w:bodyDiv w:val="1"/>
      <w:marLeft w:val="0"/>
      <w:marRight w:val="0"/>
      <w:marTop w:val="0"/>
      <w:marBottom w:val="0"/>
      <w:divBdr>
        <w:top w:val="none" w:sz="0" w:space="0" w:color="auto"/>
        <w:left w:val="none" w:sz="0" w:space="0" w:color="auto"/>
        <w:bottom w:val="none" w:sz="0" w:space="0" w:color="auto"/>
        <w:right w:val="none" w:sz="0" w:space="0" w:color="auto"/>
      </w:divBdr>
    </w:div>
    <w:div w:id="198588552">
      <w:bodyDiv w:val="1"/>
      <w:marLeft w:val="0"/>
      <w:marRight w:val="0"/>
      <w:marTop w:val="0"/>
      <w:marBottom w:val="0"/>
      <w:divBdr>
        <w:top w:val="none" w:sz="0" w:space="0" w:color="auto"/>
        <w:left w:val="none" w:sz="0" w:space="0" w:color="auto"/>
        <w:bottom w:val="none" w:sz="0" w:space="0" w:color="auto"/>
        <w:right w:val="none" w:sz="0" w:space="0" w:color="auto"/>
      </w:divBdr>
    </w:div>
    <w:div w:id="198664911">
      <w:bodyDiv w:val="1"/>
      <w:marLeft w:val="0"/>
      <w:marRight w:val="0"/>
      <w:marTop w:val="0"/>
      <w:marBottom w:val="0"/>
      <w:divBdr>
        <w:top w:val="none" w:sz="0" w:space="0" w:color="auto"/>
        <w:left w:val="none" w:sz="0" w:space="0" w:color="auto"/>
        <w:bottom w:val="none" w:sz="0" w:space="0" w:color="auto"/>
        <w:right w:val="none" w:sz="0" w:space="0" w:color="auto"/>
      </w:divBdr>
    </w:div>
    <w:div w:id="199896909">
      <w:bodyDiv w:val="1"/>
      <w:marLeft w:val="0"/>
      <w:marRight w:val="0"/>
      <w:marTop w:val="0"/>
      <w:marBottom w:val="0"/>
      <w:divBdr>
        <w:top w:val="none" w:sz="0" w:space="0" w:color="auto"/>
        <w:left w:val="none" w:sz="0" w:space="0" w:color="auto"/>
        <w:bottom w:val="none" w:sz="0" w:space="0" w:color="auto"/>
        <w:right w:val="none" w:sz="0" w:space="0" w:color="auto"/>
      </w:divBdr>
    </w:div>
    <w:div w:id="200674950">
      <w:bodyDiv w:val="1"/>
      <w:marLeft w:val="0"/>
      <w:marRight w:val="0"/>
      <w:marTop w:val="0"/>
      <w:marBottom w:val="0"/>
      <w:divBdr>
        <w:top w:val="none" w:sz="0" w:space="0" w:color="auto"/>
        <w:left w:val="none" w:sz="0" w:space="0" w:color="auto"/>
        <w:bottom w:val="none" w:sz="0" w:space="0" w:color="auto"/>
        <w:right w:val="none" w:sz="0" w:space="0" w:color="auto"/>
      </w:divBdr>
    </w:div>
    <w:div w:id="200750326">
      <w:bodyDiv w:val="1"/>
      <w:marLeft w:val="0"/>
      <w:marRight w:val="0"/>
      <w:marTop w:val="0"/>
      <w:marBottom w:val="0"/>
      <w:divBdr>
        <w:top w:val="none" w:sz="0" w:space="0" w:color="auto"/>
        <w:left w:val="none" w:sz="0" w:space="0" w:color="auto"/>
        <w:bottom w:val="none" w:sz="0" w:space="0" w:color="auto"/>
        <w:right w:val="none" w:sz="0" w:space="0" w:color="auto"/>
      </w:divBdr>
    </w:div>
    <w:div w:id="201669935">
      <w:bodyDiv w:val="1"/>
      <w:marLeft w:val="0"/>
      <w:marRight w:val="0"/>
      <w:marTop w:val="0"/>
      <w:marBottom w:val="0"/>
      <w:divBdr>
        <w:top w:val="none" w:sz="0" w:space="0" w:color="auto"/>
        <w:left w:val="none" w:sz="0" w:space="0" w:color="auto"/>
        <w:bottom w:val="none" w:sz="0" w:space="0" w:color="auto"/>
        <w:right w:val="none" w:sz="0" w:space="0" w:color="auto"/>
      </w:divBdr>
    </w:div>
    <w:div w:id="201790126">
      <w:bodyDiv w:val="1"/>
      <w:marLeft w:val="0"/>
      <w:marRight w:val="0"/>
      <w:marTop w:val="0"/>
      <w:marBottom w:val="0"/>
      <w:divBdr>
        <w:top w:val="none" w:sz="0" w:space="0" w:color="auto"/>
        <w:left w:val="none" w:sz="0" w:space="0" w:color="auto"/>
        <w:bottom w:val="none" w:sz="0" w:space="0" w:color="auto"/>
        <w:right w:val="none" w:sz="0" w:space="0" w:color="auto"/>
      </w:divBdr>
    </w:div>
    <w:div w:id="201940502">
      <w:bodyDiv w:val="1"/>
      <w:marLeft w:val="0"/>
      <w:marRight w:val="0"/>
      <w:marTop w:val="0"/>
      <w:marBottom w:val="0"/>
      <w:divBdr>
        <w:top w:val="none" w:sz="0" w:space="0" w:color="auto"/>
        <w:left w:val="none" w:sz="0" w:space="0" w:color="auto"/>
        <w:bottom w:val="none" w:sz="0" w:space="0" w:color="auto"/>
        <w:right w:val="none" w:sz="0" w:space="0" w:color="auto"/>
      </w:divBdr>
    </w:div>
    <w:div w:id="202209840">
      <w:bodyDiv w:val="1"/>
      <w:marLeft w:val="0"/>
      <w:marRight w:val="0"/>
      <w:marTop w:val="0"/>
      <w:marBottom w:val="0"/>
      <w:divBdr>
        <w:top w:val="none" w:sz="0" w:space="0" w:color="auto"/>
        <w:left w:val="none" w:sz="0" w:space="0" w:color="auto"/>
        <w:bottom w:val="none" w:sz="0" w:space="0" w:color="auto"/>
        <w:right w:val="none" w:sz="0" w:space="0" w:color="auto"/>
      </w:divBdr>
    </w:div>
    <w:div w:id="202449346">
      <w:bodyDiv w:val="1"/>
      <w:marLeft w:val="0"/>
      <w:marRight w:val="0"/>
      <w:marTop w:val="0"/>
      <w:marBottom w:val="0"/>
      <w:divBdr>
        <w:top w:val="none" w:sz="0" w:space="0" w:color="auto"/>
        <w:left w:val="none" w:sz="0" w:space="0" w:color="auto"/>
        <w:bottom w:val="none" w:sz="0" w:space="0" w:color="auto"/>
        <w:right w:val="none" w:sz="0" w:space="0" w:color="auto"/>
      </w:divBdr>
    </w:div>
    <w:div w:id="202519746">
      <w:bodyDiv w:val="1"/>
      <w:marLeft w:val="0"/>
      <w:marRight w:val="0"/>
      <w:marTop w:val="0"/>
      <w:marBottom w:val="0"/>
      <w:divBdr>
        <w:top w:val="none" w:sz="0" w:space="0" w:color="auto"/>
        <w:left w:val="none" w:sz="0" w:space="0" w:color="auto"/>
        <w:bottom w:val="none" w:sz="0" w:space="0" w:color="auto"/>
        <w:right w:val="none" w:sz="0" w:space="0" w:color="auto"/>
      </w:divBdr>
    </w:div>
    <w:div w:id="203451116">
      <w:bodyDiv w:val="1"/>
      <w:marLeft w:val="0"/>
      <w:marRight w:val="0"/>
      <w:marTop w:val="0"/>
      <w:marBottom w:val="0"/>
      <w:divBdr>
        <w:top w:val="none" w:sz="0" w:space="0" w:color="auto"/>
        <w:left w:val="none" w:sz="0" w:space="0" w:color="auto"/>
        <w:bottom w:val="none" w:sz="0" w:space="0" w:color="auto"/>
        <w:right w:val="none" w:sz="0" w:space="0" w:color="auto"/>
      </w:divBdr>
    </w:div>
    <w:div w:id="203641693">
      <w:bodyDiv w:val="1"/>
      <w:marLeft w:val="0"/>
      <w:marRight w:val="0"/>
      <w:marTop w:val="0"/>
      <w:marBottom w:val="0"/>
      <w:divBdr>
        <w:top w:val="none" w:sz="0" w:space="0" w:color="auto"/>
        <w:left w:val="none" w:sz="0" w:space="0" w:color="auto"/>
        <w:bottom w:val="none" w:sz="0" w:space="0" w:color="auto"/>
        <w:right w:val="none" w:sz="0" w:space="0" w:color="auto"/>
      </w:divBdr>
    </w:div>
    <w:div w:id="203759556">
      <w:bodyDiv w:val="1"/>
      <w:marLeft w:val="0"/>
      <w:marRight w:val="0"/>
      <w:marTop w:val="0"/>
      <w:marBottom w:val="0"/>
      <w:divBdr>
        <w:top w:val="none" w:sz="0" w:space="0" w:color="auto"/>
        <w:left w:val="none" w:sz="0" w:space="0" w:color="auto"/>
        <w:bottom w:val="none" w:sz="0" w:space="0" w:color="auto"/>
        <w:right w:val="none" w:sz="0" w:space="0" w:color="auto"/>
      </w:divBdr>
    </w:div>
    <w:div w:id="203762323">
      <w:bodyDiv w:val="1"/>
      <w:marLeft w:val="0"/>
      <w:marRight w:val="0"/>
      <w:marTop w:val="0"/>
      <w:marBottom w:val="0"/>
      <w:divBdr>
        <w:top w:val="none" w:sz="0" w:space="0" w:color="auto"/>
        <w:left w:val="none" w:sz="0" w:space="0" w:color="auto"/>
        <w:bottom w:val="none" w:sz="0" w:space="0" w:color="auto"/>
        <w:right w:val="none" w:sz="0" w:space="0" w:color="auto"/>
      </w:divBdr>
    </w:div>
    <w:div w:id="203979640">
      <w:bodyDiv w:val="1"/>
      <w:marLeft w:val="0"/>
      <w:marRight w:val="0"/>
      <w:marTop w:val="0"/>
      <w:marBottom w:val="0"/>
      <w:divBdr>
        <w:top w:val="none" w:sz="0" w:space="0" w:color="auto"/>
        <w:left w:val="none" w:sz="0" w:space="0" w:color="auto"/>
        <w:bottom w:val="none" w:sz="0" w:space="0" w:color="auto"/>
        <w:right w:val="none" w:sz="0" w:space="0" w:color="auto"/>
      </w:divBdr>
    </w:div>
    <w:div w:id="204097967">
      <w:bodyDiv w:val="1"/>
      <w:marLeft w:val="0"/>
      <w:marRight w:val="0"/>
      <w:marTop w:val="0"/>
      <w:marBottom w:val="0"/>
      <w:divBdr>
        <w:top w:val="none" w:sz="0" w:space="0" w:color="auto"/>
        <w:left w:val="none" w:sz="0" w:space="0" w:color="auto"/>
        <w:bottom w:val="none" w:sz="0" w:space="0" w:color="auto"/>
        <w:right w:val="none" w:sz="0" w:space="0" w:color="auto"/>
      </w:divBdr>
    </w:div>
    <w:div w:id="204099561">
      <w:bodyDiv w:val="1"/>
      <w:marLeft w:val="0"/>
      <w:marRight w:val="0"/>
      <w:marTop w:val="0"/>
      <w:marBottom w:val="0"/>
      <w:divBdr>
        <w:top w:val="none" w:sz="0" w:space="0" w:color="auto"/>
        <w:left w:val="none" w:sz="0" w:space="0" w:color="auto"/>
        <w:bottom w:val="none" w:sz="0" w:space="0" w:color="auto"/>
        <w:right w:val="none" w:sz="0" w:space="0" w:color="auto"/>
      </w:divBdr>
    </w:div>
    <w:div w:id="204295109">
      <w:bodyDiv w:val="1"/>
      <w:marLeft w:val="0"/>
      <w:marRight w:val="0"/>
      <w:marTop w:val="0"/>
      <w:marBottom w:val="0"/>
      <w:divBdr>
        <w:top w:val="none" w:sz="0" w:space="0" w:color="auto"/>
        <w:left w:val="none" w:sz="0" w:space="0" w:color="auto"/>
        <w:bottom w:val="none" w:sz="0" w:space="0" w:color="auto"/>
        <w:right w:val="none" w:sz="0" w:space="0" w:color="auto"/>
      </w:divBdr>
    </w:div>
    <w:div w:id="204830506">
      <w:bodyDiv w:val="1"/>
      <w:marLeft w:val="0"/>
      <w:marRight w:val="0"/>
      <w:marTop w:val="0"/>
      <w:marBottom w:val="0"/>
      <w:divBdr>
        <w:top w:val="none" w:sz="0" w:space="0" w:color="auto"/>
        <w:left w:val="none" w:sz="0" w:space="0" w:color="auto"/>
        <w:bottom w:val="none" w:sz="0" w:space="0" w:color="auto"/>
        <w:right w:val="none" w:sz="0" w:space="0" w:color="auto"/>
      </w:divBdr>
    </w:div>
    <w:div w:id="205794177">
      <w:bodyDiv w:val="1"/>
      <w:marLeft w:val="0"/>
      <w:marRight w:val="0"/>
      <w:marTop w:val="0"/>
      <w:marBottom w:val="0"/>
      <w:divBdr>
        <w:top w:val="none" w:sz="0" w:space="0" w:color="auto"/>
        <w:left w:val="none" w:sz="0" w:space="0" w:color="auto"/>
        <w:bottom w:val="none" w:sz="0" w:space="0" w:color="auto"/>
        <w:right w:val="none" w:sz="0" w:space="0" w:color="auto"/>
      </w:divBdr>
    </w:div>
    <w:div w:id="206114937">
      <w:bodyDiv w:val="1"/>
      <w:marLeft w:val="0"/>
      <w:marRight w:val="0"/>
      <w:marTop w:val="0"/>
      <w:marBottom w:val="0"/>
      <w:divBdr>
        <w:top w:val="none" w:sz="0" w:space="0" w:color="auto"/>
        <w:left w:val="none" w:sz="0" w:space="0" w:color="auto"/>
        <w:bottom w:val="none" w:sz="0" w:space="0" w:color="auto"/>
        <w:right w:val="none" w:sz="0" w:space="0" w:color="auto"/>
      </w:divBdr>
    </w:div>
    <w:div w:id="206183513">
      <w:bodyDiv w:val="1"/>
      <w:marLeft w:val="0"/>
      <w:marRight w:val="0"/>
      <w:marTop w:val="0"/>
      <w:marBottom w:val="0"/>
      <w:divBdr>
        <w:top w:val="none" w:sz="0" w:space="0" w:color="auto"/>
        <w:left w:val="none" w:sz="0" w:space="0" w:color="auto"/>
        <w:bottom w:val="none" w:sz="0" w:space="0" w:color="auto"/>
        <w:right w:val="none" w:sz="0" w:space="0" w:color="auto"/>
      </w:divBdr>
    </w:div>
    <w:div w:id="206337298">
      <w:bodyDiv w:val="1"/>
      <w:marLeft w:val="0"/>
      <w:marRight w:val="0"/>
      <w:marTop w:val="0"/>
      <w:marBottom w:val="0"/>
      <w:divBdr>
        <w:top w:val="none" w:sz="0" w:space="0" w:color="auto"/>
        <w:left w:val="none" w:sz="0" w:space="0" w:color="auto"/>
        <w:bottom w:val="none" w:sz="0" w:space="0" w:color="auto"/>
        <w:right w:val="none" w:sz="0" w:space="0" w:color="auto"/>
      </w:divBdr>
    </w:div>
    <w:div w:id="206379139">
      <w:bodyDiv w:val="1"/>
      <w:marLeft w:val="0"/>
      <w:marRight w:val="0"/>
      <w:marTop w:val="0"/>
      <w:marBottom w:val="0"/>
      <w:divBdr>
        <w:top w:val="none" w:sz="0" w:space="0" w:color="auto"/>
        <w:left w:val="none" w:sz="0" w:space="0" w:color="auto"/>
        <w:bottom w:val="none" w:sz="0" w:space="0" w:color="auto"/>
        <w:right w:val="none" w:sz="0" w:space="0" w:color="auto"/>
      </w:divBdr>
    </w:div>
    <w:div w:id="206722673">
      <w:bodyDiv w:val="1"/>
      <w:marLeft w:val="0"/>
      <w:marRight w:val="0"/>
      <w:marTop w:val="0"/>
      <w:marBottom w:val="0"/>
      <w:divBdr>
        <w:top w:val="none" w:sz="0" w:space="0" w:color="auto"/>
        <w:left w:val="none" w:sz="0" w:space="0" w:color="auto"/>
        <w:bottom w:val="none" w:sz="0" w:space="0" w:color="auto"/>
        <w:right w:val="none" w:sz="0" w:space="0" w:color="auto"/>
      </w:divBdr>
    </w:div>
    <w:div w:id="206767642">
      <w:bodyDiv w:val="1"/>
      <w:marLeft w:val="0"/>
      <w:marRight w:val="0"/>
      <w:marTop w:val="0"/>
      <w:marBottom w:val="0"/>
      <w:divBdr>
        <w:top w:val="none" w:sz="0" w:space="0" w:color="auto"/>
        <w:left w:val="none" w:sz="0" w:space="0" w:color="auto"/>
        <w:bottom w:val="none" w:sz="0" w:space="0" w:color="auto"/>
        <w:right w:val="none" w:sz="0" w:space="0" w:color="auto"/>
      </w:divBdr>
    </w:div>
    <w:div w:id="207030725">
      <w:bodyDiv w:val="1"/>
      <w:marLeft w:val="0"/>
      <w:marRight w:val="0"/>
      <w:marTop w:val="0"/>
      <w:marBottom w:val="0"/>
      <w:divBdr>
        <w:top w:val="none" w:sz="0" w:space="0" w:color="auto"/>
        <w:left w:val="none" w:sz="0" w:space="0" w:color="auto"/>
        <w:bottom w:val="none" w:sz="0" w:space="0" w:color="auto"/>
        <w:right w:val="none" w:sz="0" w:space="0" w:color="auto"/>
      </w:divBdr>
    </w:div>
    <w:div w:id="207188090">
      <w:bodyDiv w:val="1"/>
      <w:marLeft w:val="0"/>
      <w:marRight w:val="0"/>
      <w:marTop w:val="0"/>
      <w:marBottom w:val="0"/>
      <w:divBdr>
        <w:top w:val="none" w:sz="0" w:space="0" w:color="auto"/>
        <w:left w:val="none" w:sz="0" w:space="0" w:color="auto"/>
        <w:bottom w:val="none" w:sz="0" w:space="0" w:color="auto"/>
        <w:right w:val="none" w:sz="0" w:space="0" w:color="auto"/>
      </w:divBdr>
    </w:div>
    <w:div w:id="207227397">
      <w:bodyDiv w:val="1"/>
      <w:marLeft w:val="0"/>
      <w:marRight w:val="0"/>
      <w:marTop w:val="0"/>
      <w:marBottom w:val="0"/>
      <w:divBdr>
        <w:top w:val="none" w:sz="0" w:space="0" w:color="auto"/>
        <w:left w:val="none" w:sz="0" w:space="0" w:color="auto"/>
        <w:bottom w:val="none" w:sz="0" w:space="0" w:color="auto"/>
        <w:right w:val="none" w:sz="0" w:space="0" w:color="auto"/>
      </w:divBdr>
    </w:div>
    <w:div w:id="207229846">
      <w:bodyDiv w:val="1"/>
      <w:marLeft w:val="0"/>
      <w:marRight w:val="0"/>
      <w:marTop w:val="0"/>
      <w:marBottom w:val="0"/>
      <w:divBdr>
        <w:top w:val="none" w:sz="0" w:space="0" w:color="auto"/>
        <w:left w:val="none" w:sz="0" w:space="0" w:color="auto"/>
        <w:bottom w:val="none" w:sz="0" w:space="0" w:color="auto"/>
        <w:right w:val="none" w:sz="0" w:space="0" w:color="auto"/>
      </w:divBdr>
    </w:div>
    <w:div w:id="207256790">
      <w:bodyDiv w:val="1"/>
      <w:marLeft w:val="0"/>
      <w:marRight w:val="0"/>
      <w:marTop w:val="0"/>
      <w:marBottom w:val="0"/>
      <w:divBdr>
        <w:top w:val="none" w:sz="0" w:space="0" w:color="auto"/>
        <w:left w:val="none" w:sz="0" w:space="0" w:color="auto"/>
        <w:bottom w:val="none" w:sz="0" w:space="0" w:color="auto"/>
        <w:right w:val="none" w:sz="0" w:space="0" w:color="auto"/>
      </w:divBdr>
    </w:div>
    <w:div w:id="208493743">
      <w:bodyDiv w:val="1"/>
      <w:marLeft w:val="0"/>
      <w:marRight w:val="0"/>
      <w:marTop w:val="0"/>
      <w:marBottom w:val="0"/>
      <w:divBdr>
        <w:top w:val="none" w:sz="0" w:space="0" w:color="auto"/>
        <w:left w:val="none" w:sz="0" w:space="0" w:color="auto"/>
        <w:bottom w:val="none" w:sz="0" w:space="0" w:color="auto"/>
        <w:right w:val="none" w:sz="0" w:space="0" w:color="auto"/>
      </w:divBdr>
    </w:div>
    <w:div w:id="208615745">
      <w:bodyDiv w:val="1"/>
      <w:marLeft w:val="0"/>
      <w:marRight w:val="0"/>
      <w:marTop w:val="0"/>
      <w:marBottom w:val="0"/>
      <w:divBdr>
        <w:top w:val="none" w:sz="0" w:space="0" w:color="auto"/>
        <w:left w:val="none" w:sz="0" w:space="0" w:color="auto"/>
        <w:bottom w:val="none" w:sz="0" w:space="0" w:color="auto"/>
        <w:right w:val="none" w:sz="0" w:space="0" w:color="auto"/>
      </w:divBdr>
    </w:div>
    <w:div w:id="209923248">
      <w:bodyDiv w:val="1"/>
      <w:marLeft w:val="0"/>
      <w:marRight w:val="0"/>
      <w:marTop w:val="0"/>
      <w:marBottom w:val="0"/>
      <w:divBdr>
        <w:top w:val="none" w:sz="0" w:space="0" w:color="auto"/>
        <w:left w:val="none" w:sz="0" w:space="0" w:color="auto"/>
        <w:bottom w:val="none" w:sz="0" w:space="0" w:color="auto"/>
        <w:right w:val="none" w:sz="0" w:space="0" w:color="auto"/>
      </w:divBdr>
    </w:div>
    <w:div w:id="210463709">
      <w:bodyDiv w:val="1"/>
      <w:marLeft w:val="0"/>
      <w:marRight w:val="0"/>
      <w:marTop w:val="0"/>
      <w:marBottom w:val="0"/>
      <w:divBdr>
        <w:top w:val="none" w:sz="0" w:space="0" w:color="auto"/>
        <w:left w:val="none" w:sz="0" w:space="0" w:color="auto"/>
        <w:bottom w:val="none" w:sz="0" w:space="0" w:color="auto"/>
        <w:right w:val="none" w:sz="0" w:space="0" w:color="auto"/>
      </w:divBdr>
    </w:div>
    <w:div w:id="211887180">
      <w:bodyDiv w:val="1"/>
      <w:marLeft w:val="0"/>
      <w:marRight w:val="0"/>
      <w:marTop w:val="0"/>
      <w:marBottom w:val="0"/>
      <w:divBdr>
        <w:top w:val="none" w:sz="0" w:space="0" w:color="auto"/>
        <w:left w:val="none" w:sz="0" w:space="0" w:color="auto"/>
        <w:bottom w:val="none" w:sz="0" w:space="0" w:color="auto"/>
        <w:right w:val="none" w:sz="0" w:space="0" w:color="auto"/>
      </w:divBdr>
    </w:div>
    <w:div w:id="211890686">
      <w:bodyDiv w:val="1"/>
      <w:marLeft w:val="0"/>
      <w:marRight w:val="0"/>
      <w:marTop w:val="0"/>
      <w:marBottom w:val="0"/>
      <w:divBdr>
        <w:top w:val="none" w:sz="0" w:space="0" w:color="auto"/>
        <w:left w:val="none" w:sz="0" w:space="0" w:color="auto"/>
        <w:bottom w:val="none" w:sz="0" w:space="0" w:color="auto"/>
        <w:right w:val="none" w:sz="0" w:space="0" w:color="auto"/>
      </w:divBdr>
    </w:div>
    <w:div w:id="212887996">
      <w:bodyDiv w:val="1"/>
      <w:marLeft w:val="0"/>
      <w:marRight w:val="0"/>
      <w:marTop w:val="0"/>
      <w:marBottom w:val="0"/>
      <w:divBdr>
        <w:top w:val="none" w:sz="0" w:space="0" w:color="auto"/>
        <w:left w:val="none" w:sz="0" w:space="0" w:color="auto"/>
        <w:bottom w:val="none" w:sz="0" w:space="0" w:color="auto"/>
        <w:right w:val="none" w:sz="0" w:space="0" w:color="auto"/>
      </w:divBdr>
    </w:div>
    <w:div w:id="213321577">
      <w:bodyDiv w:val="1"/>
      <w:marLeft w:val="0"/>
      <w:marRight w:val="0"/>
      <w:marTop w:val="0"/>
      <w:marBottom w:val="0"/>
      <w:divBdr>
        <w:top w:val="none" w:sz="0" w:space="0" w:color="auto"/>
        <w:left w:val="none" w:sz="0" w:space="0" w:color="auto"/>
        <w:bottom w:val="none" w:sz="0" w:space="0" w:color="auto"/>
        <w:right w:val="none" w:sz="0" w:space="0" w:color="auto"/>
      </w:divBdr>
    </w:div>
    <w:div w:id="213466692">
      <w:bodyDiv w:val="1"/>
      <w:marLeft w:val="0"/>
      <w:marRight w:val="0"/>
      <w:marTop w:val="0"/>
      <w:marBottom w:val="0"/>
      <w:divBdr>
        <w:top w:val="none" w:sz="0" w:space="0" w:color="auto"/>
        <w:left w:val="none" w:sz="0" w:space="0" w:color="auto"/>
        <w:bottom w:val="none" w:sz="0" w:space="0" w:color="auto"/>
        <w:right w:val="none" w:sz="0" w:space="0" w:color="auto"/>
      </w:divBdr>
    </w:div>
    <w:div w:id="213471554">
      <w:bodyDiv w:val="1"/>
      <w:marLeft w:val="0"/>
      <w:marRight w:val="0"/>
      <w:marTop w:val="0"/>
      <w:marBottom w:val="0"/>
      <w:divBdr>
        <w:top w:val="none" w:sz="0" w:space="0" w:color="auto"/>
        <w:left w:val="none" w:sz="0" w:space="0" w:color="auto"/>
        <w:bottom w:val="none" w:sz="0" w:space="0" w:color="auto"/>
        <w:right w:val="none" w:sz="0" w:space="0" w:color="auto"/>
      </w:divBdr>
    </w:div>
    <w:div w:id="213932369">
      <w:bodyDiv w:val="1"/>
      <w:marLeft w:val="0"/>
      <w:marRight w:val="0"/>
      <w:marTop w:val="0"/>
      <w:marBottom w:val="0"/>
      <w:divBdr>
        <w:top w:val="none" w:sz="0" w:space="0" w:color="auto"/>
        <w:left w:val="none" w:sz="0" w:space="0" w:color="auto"/>
        <w:bottom w:val="none" w:sz="0" w:space="0" w:color="auto"/>
        <w:right w:val="none" w:sz="0" w:space="0" w:color="auto"/>
      </w:divBdr>
    </w:div>
    <w:div w:id="214003726">
      <w:bodyDiv w:val="1"/>
      <w:marLeft w:val="0"/>
      <w:marRight w:val="0"/>
      <w:marTop w:val="0"/>
      <w:marBottom w:val="0"/>
      <w:divBdr>
        <w:top w:val="none" w:sz="0" w:space="0" w:color="auto"/>
        <w:left w:val="none" w:sz="0" w:space="0" w:color="auto"/>
        <w:bottom w:val="none" w:sz="0" w:space="0" w:color="auto"/>
        <w:right w:val="none" w:sz="0" w:space="0" w:color="auto"/>
      </w:divBdr>
    </w:div>
    <w:div w:id="214968591">
      <w:bodyDiv w:val="1"/>
      <w:marLeft w:val="0"/>
      <w:marRight w:val="0"/>
      <w:marTop w:val="0"/>
      <w:marBottom w:val="0"/>
      <w:divBdr>
        <w:top w:val="none" w:sz="0" w:space="0" w:color="auto"/>
        <w:left w:val="none" w:sz="0" w:space="0" w:color="auto"/>
        <w:bottom w:val="none" w:sz="0" w:space="0" w:color="auto"/>
        <w:right w:val="none" w:sz="0" w:space="0" w:color="auto"/>
      </w:divBdr>
    </w:div>
    <w:div w:id="216861240">
      <w:bodyDiv w:val="1"/>
      <w:marLeft w:val="0"/>
      <w:marRight w:val="0"/>
      <w:marTop w:val="0"/>
      <w:marBottom w:val="0"/>
      <w:divBdr>
        <w:top w:val="none" w:sz="0" w:space="0" w:color="auto"/>
        <w:left w:val="none" w:sz="0" w:space="0" w:color="auto"/>
        <w:bottom w:val="none" w:sz="0" w:space="0" w:color="auto"/>
        <w:right w:val="none" w:sz="0" w:space="0" w:color="auto"/>
      </w:divBdr>
    </w:div>
    <w:div w:id="217860646">
      <w:bodyDiv w:val="1"/>
      <w:marLeft w:val="0"/>
      <w:marRight w:val="0"/>
      <w:marTop w:val="0"/>
      <w:marBottom w:val="0"/>
      <w:divBdr>
        <w:top w:val="none" w:sz="0" w:space="0" w:color="auto"/>
        <w:left w:val="none" w:sz="0" w:space="0" w:color="auto"/>
        <w:bottom w:val="none" w:sz="0" w:space="0" w:color="auto"/>
        <w:right w:val="none" w:sz="0" w:space="0" w:color="auto"/>
      </w:divBdr>
    </w:div>
    <w:div w:id="218251868">
      <w:bodyDiv w:val="1"/>
      <w:marLeft w:val="0"/>
      <w:marRight w:val="0"/>
      <w:marTop w:val="0"/>
      <w:marBottom w:val="0"/>
      <w:divBdr>
        <w:top w:val="none" w:sz="0" w:space="0" w:color="auto"/>
        <w:left w:val="none" w:sz="0" w:space="0" w:color="auto"/>
        <w:bottom w:val="none" w:sz="0" w:space="0" w:color="auto"/>
        <w:right w:val="none" w:sz="0" w:space="0" w:color="auto"/>
      </w:divBdr>
    </w:div>
    <w:div w:id="218521343">
      <w:bodyDiv w:val="1"/>
      <w:marLeft w:val="0"/>
      <w:marRight w:val="0"/>
      <w:marTop w:val="0"/>
      <w:marBottom w:val="0"/>
      <w:divBdr>
        <w:top w:val="none" w:sz="0" w:space="0" w:color="auto"/>
        <w:left w:val="none" w:sz="0" w:space="0" w:color="auto"/>
        <w:bottom w:val="none" w:sz="0" w:space="0" w:color="auto"/>
        <w:right w:val="none" w:sz="0" w:space="0" w:color="auto"/>
      </w:divBdr>
    </w:div>
    <w:div w:id="219635787">
      <w:bodyDiv w:val="1"/>
      <w:marLeft w:val="0"/>
      <w:marRight w:val="0"/>
      <w:marTop w:val="0"/>
      <w:marBottom w:val="0"/>
      <w:divBdr>
        <w:top w:val="none" w:sz="0" w:space="0" w:color="auto"/>
        <w:left w:val="none" w:sz="0" w:space="0" w:color="auto"/>
        <w:bottom w:val="none" w:sz="0" w:space="0" w:color="auto"/>
        <w:right w:val="none" w:sz="0" w:space="0" w:color="auto"/>
      </w:divBdr>
    </w:div>
    <w:div w:id="220676138">
      <w:bodyDiv w:val="1"/>
      <w:marLeft w:val="0"/>
      <w:marRight w:val="0"/>
      <w:marTop w:val="0"/>
      <w:marBottom w:val="0"/>
      <w:divBdr>
        <w:top w:val="none" w:sz="0" w:space="0" w:color="auto"/>
        <w:left w:val="none" w:sz="0" w:space="0" w:color="auto"/>
        <w:bottom w:val="none" w:sz="0" w:space="0" w:color="auto"/>
        <w:right w:val="none" w:sz="0" w:space="0" w:color="auto"/>
      </w:divBdr>
    </w:div>
    <w:div w:id="221984282">
      <w:bodyDiv w:val="1"/>
      <w:marLeft w:val="0"/>
      <w:marRight w:val="0"/>
      <w:marTop w:val="0"/>
      <w:marBottom w:val="0"/>
      <w:divBdr>
        <w:top w:val="none" w:sz="0" w:space="0" w:color="auto"/>
        <w:left w:val="none" w:sz="0" w:space="0" w:color="auto"/>
        <w:bottom w:val="none" w:sz="0" w:space="0" w:color="auto"/>
        <w:right w:val="none" w:sz="0" w:space="0" w:color="auto"/>
      </w:divBdr>
    </w:div>
    <w:div w:id="222059208">
      <w:bodyDiv w:val="1"/>
      <w:marLeft w:val="0"/>
      <w:marRight w:val="0"/>
      <w:marTop w:val="0"/>
      <w:marBottom w:val="0"/>
      <w:divBdr>
        <w:top w:val="none" w:sz="0" w:space="0" w:color="auto"/>
        <w:left w:val="none" w:sz="0" w:space="0" w:color="auto"/>
        <w:bottom w:val="none" w:sz="0" w:space="0" w:color="auto"/>
        <w:right w:val="none" w:sz="0" w:space="0" w:color="auto"/>
      </w:divBdr>
    </w:div>
    <w:div w:id="223370586">
      <w:bodyDiv w:val="1"/>
      <w:marLeft w:val="0"/>
      <w:marRight w:val="0"/>
      <w:marTop w:val="0"/>
      <w:marBottom w:val="0"/>
      <w:divBdr>
        <w:top w:val="none" w:sz="0" w:space="0" w:color="auto"/>
        <w:left w:val="none" w:sz="0" w:space="0" w:color="auto"/>
        <w:bottom w:val="none" w:sz="0" w:space="0" w:color="auto"/>
        <w:right w:val="none" w:sz="0" w:space="0" w:color="auto"/>
      </w:divBdr>
    </w:div>
    <w:div w:id="223567883">
      <w:bodyDiv w:val="1"/>
      <w:marLeft w:val="0"/>
      <w:marRight w:val="0"/>
      <w:marTop w:val="0"/>
      <w:marBottom w:val="0"/>
      <w:divBdr>
        <w:top w:val="none" w:sz="0" w:space="0" w:color="auto"/>
        <w:left w:val="none" w:sz="0" w:space="0" w:color="auto"/>
        <w:bottom w:val="none" w:sz="0" w:space="0" w:color="auto"/>
        <w:right w:val="none" w:sz="0" w:space="0" w:color="auto"/>
      </w:divBdr>
    </w:div>
    <w:div w:id="224145512">
      <w:bodyDiv w:val="1"/>
      <w:marLeft w:val="0"/>
      <w:marRight w:val="0"/>
      <w:marTop w:val="0"/>
      <w:marBottom w:val="0"/>
      <w:divBdr>
        <w:top w:val="none" w:sz="0" w:space="0" w:color="auto"/>
        <w:left w:val="none" w:sz="0" w:space="0" w:color="auto"/>
        <w:bottom w:val="none" w:sz="0" w:space="0" w:color="auto"/>
        <w:right w:val="none" w:sz="0" w:space="0" w:color="auto"/>
      </w:divBdr>
    </w:div>
    <w:div w:id="224225119">
      <w:bodyDiv w:val="1"/>
      <w:marLeft w:val="0"/>
      <w:marRight w:val="0"/>
      <w:marTop w:val="0"/>
      <w:marBottom w:val="0"/>
      <w:divBdr>
        <w:top w:val="none" w:sz="0" w:space="0" w:color="auto"/>
        <w:left w:val="none" w:sz="0" w:space="0" w:color="auto"/>
        <w:bottom w:val="none" w:sz="0" w:space="0" w:color="auto"/>
        <w:right w:val="none" w:sz="0" w:space="0" w:color="auto"/>
      </w:divBdr>
    </w:div>
    <w:div w:id="224604045">
      <w:bodyDiv w:val="1"/>
      <w:marLeft w:val="0"/>
      <w:marRight w:val="0"/>
      <w:marTop w:val="0"/>
      <w:marBottom w:val="0"/>
      <w:divBdr>
        <w:top w:val="none" w:sz="0" w:space="0" w:color="auto"/>
        <w:left w:val="none" w:sz="0" w:space="0" w:color="auto"/>
        <w:bottom w:val="none" w:sz="0" w:space="0" w:color="auto"/>
        <w:right w:val="none" w:sz="0" w:space="0" w:color="auto"/>
      </w:divBdr>
      <w:divsChild>
        <w:div w:id="653603741">
          <w:marLeft w:val="480"/>
          <w:marRight w:val="0"/>
          <w:marTop w:val="0"/>
          <w:marBottom w:val="0"/>
          <w:divBdr>
            <w:top w:val="none" w:sz="0" w:space="0" w:color="auto"/>
            <w:left w:val="none" w:sz="0" w:space="0" w:color="auto"/>
            <w:bottom w:val="none" w:sz="0" w:space="0" w:color="auto"/>
            <w:right w:val="none" w:sz="0" w:space="0" w:color="auto"/>
          </w:divBdr>
        </w:div>
        <w:div w:id="1688096338">
          <w:marLeft w:val="480"/>
          <w:marRight w:val="0"/>
          <w:marTop w:val="0"/>
          <w:marBottom w:val="0"/>
          <w:divBdr>
            <w:top w:val="none" w:sz="0" w:space="0" w:color="auto"/>
            <w:left w:val="none" w:sz="0" w:space="0" w:color="auto"/>
            <w:bottom w:val="none" w:sz="0" w:space="0" w:color="auto"/>
            <w:right w:val="none" w:sz="0" w:space="0" w:color="auto"/>
          </w:divBdr>
        </w:div>
        <w:div w:id="1012730586">
          <w:marLeft w:val="480"/>
          <w:marRight w:val="0"/>
          <w:marTop w:val="0"/>
          <w:marBottom w:val="0"/>
          <w:divBdr>
            <w:top w:val="none" w:sz="0" w:space="0" w:color="auto"/>
            <w:left w:val="none" w:sz="0" w:space="0" w:color="auto"/>
            <w:bottom w:val="none" w:sz="0" w:space="0" w:color="auto"/>
            <w:right w:val="none" w:sz="0" w:space="0" w:color="auto"/>
          </w:divBdr>
        </w:div>
        <w:div w:id="348718892">
          <w:marLeft w:val="480"/>
          <w:marRight w:val="0"/>
          <w:marTop w:val="0"/>
          <w:marBottom w:val="0"/>
          <w:divBdr>
            <w:top w:val="none" w:sz="0" w:space="0" w:color="auto"/>
            <w:left w:val="none" w:sz="0" w:space="0" w:color="auto"/>
            <w:bottom w:val="none" w:sz="0" w:space="0" w:color="auto"/>
            <w:right w:val="none" w:sz="0" w:space="0" w:color="auto"/>
          </w:divBdr>
        </w:div>
        <w:div w:id="2023236536">
          <w:marLeft w:val="480"/>
          <w:marRight w:val="0"/>
          <w:marTop w:val="0"/>
          <w:marBottom w:val="0"/>
          <w:divBdr>
            <w:top w:val="none" w:sz="0" w:space="0" w:color="auto"/>
            <w:left w:val="none" w:sz="0" w:space="0" w:color="auto"/>
            <w:bottom w:val="none" w:sz="0" w:space="0" w:color="auto"/>
            <w:right w:val="none" w:sz="0" w:space="0" w:color="auto"/>
          </w:divBdr>
        </w:div>
        <w:div w:id="1069501999">
          <w:marLeft w:val="480"/>
          <w:marRight w:val="0"/>
          <w:marTop w:val="0"/>
          <w:marBottom w:val="0"/>
          <w:divBdr>
            <w:top w:val="none" w:sz="0" w:space="0" w:color="auto"/>
            <w:left w:val="none" w:sz="0" w:space="0" w:color="auto"/>
            <w:bottom w:val="none" w:sz="0" w:space="0" w:color="auto"/>
            <w:right w:val="none" w:sz="0" w:space="0" w:color="auto"/>
          </w:divBdr>
        </w:div>
        <w:div w:id="912086524">
          <w:marLeft w:val="480"/>
          <w:marRight w:val="0"/>
          <w:marTop w:val="0"/>
          <w:marBottom w:val="0"/>
          <w:divBdr>
            <w:top w:val="none" w:sz="0" w:space="0" w:color="auto"/>
            <w:left w:val="none" w:sz="0" w:space="0" w:color="auto"/>
            <w:bottom w:val="none" w:sz="0" w:space="0" w:color="auto"/>
            <w:right w:val="none" w:sz="0" w:space="0" w:color="auto"/>
          </w:divBdr>
        </w:div>
        <w:div w:id="1649548699">
          <w:marLeft w:val="480"/>
          <w:marRight w:val="0"/>
          <w:marTop w:val="0"/>
          <w:marBottom w:val="0"/>
          <w:divBdr>
            <w:top w:val="none" w:sz="0" w:space="0" w:color="auto"/>
            <w:left w:val="none" w:sz="0" w:space="0" w:color="auto"/>
            <w:bottom w:val="none" w:sz="0" w:space="0" w:color="auto"/>
            <w:right w:val="none" w:sz="0" w:space="0" w:color="auto"/>
          </w:divBdr>
        </w:div>
        <w:div w:id="2043438642">
          <w:marLeft w:val="480"/>
          <w:marRight w:val="0"/>
          <w:marTop w:val="0"/>
          <w:marBottom w:val="0"/>
          <w:divBdr>
            <w:top w:val="none" w:sz="0" w:space="0" w:color="auto"/>
            <w:left w:val="none" w:sz="0" w:space="0" w:color="auto"/>
            <w:bottom w:val="none" w:sz="0" w:space="0" w:color="auto"/>
            <w:right w:val="none" w:sz="0" w:space="0" w:color="auto"/>
          </w:divBdr>
        </w:div>
        <w:div w:id="560795784">
          <w:marLeft w:val="480"/>
          <w:marRight w:val="0"/>
          <w:marTop w:val="0"/>
          <w:marBottom w:val="0"/>
          <w:divBdr>
            <w:top w:val="none" w:sz="0" w:space="0" w:color="auto"/>
            <w:left w:val="none" w:sz="0" w:space="0" w:color="auto"/>
            <w:bottom w:val="none" w:sz="0" w:space="0" w:color="auto"/>
            <w:right w:val="none" w:sz="0" w:space="0" w:color="auto"/>
          </w:divBdr>
        </w:div>
        <w:div w:id="691956223">
          <w:marLeft w:val="480"/>
          <w:marRight w:val="0"/>
          <w:marTop w:val="0"/>
          <w:marBottom w:val="0"/>
          <w:divBdr>
            <w:top w:val="none" w:sz="0" w:space="0" w:color="auto"/>
            <w:left w:val="none" w:sz="0" w:space="0" w:color="auto"/>
            <w:bottom w:val="none" w:sz="0" w:space="0" w:color="auto"/>
            <w:right w:val="none" w:sz="0" w:space="0" w:color="auto"/>
          </w:divBdr>
        </w:div>
        <w:div w:id="2045985776">
          <w:marLeft w:val="480"/>
          <w:marRight w:val="0"/>
          <w:marTop w:val="0"/>
          <w:marBottom w:val="0"/>
          <w:divBdr>
            <w:top w:val="none" w:sz="0" w:space="0" w:color="auto"/>
            <w:left w:val="none" w:sz="0" w:space="0" w:color="auto"/>
            <w:bottom w:val="none" w:sz="0" w:space="0" w:color="auto"/>
            <w:right w:val="none" w:sz="0" w:space="0" w:color="auto"/>
          </w:divBdr>
        </w:div>
        <w:div w:id="997923599">
          <w:marLeft w:val="480"/>
          <w:marRight w:val="0"/>
          <w:marTop w:val="0"/>
          <w:marBottom w:val="0"/>
          <w:divBdr>
            <w:top w:val="none" w:sz="0" w:space="0" w:color="auto"/>
            <w:left w:val="none" w:sz="0" w:space="0" w:color="auto"/>
            <w:bottom w:val="none" w:sz="0" w:space="0" w:color="auto"/>
            <w:right w:val="none" w:sz="0" w:space="0" w:color="auto"/>
          </w:divBdr>
        </w:div>
        <w:div w:id="2048989876">
          <w:marLeft w:val="480"/>
          <w:marRight w:val="0"/>
          <w:marTop w:val="0"/>
          <w:marBottom w:val="0"/>
          <w:divBdr>
            <w:top w:val="none" w:sz="0" w:space="0" w:color="auto"/>
            <w:left w:val="none" w:sz="0" w:space="0" w:color="auto"/>
            <w:bottom w:val="none" w:sz="0" w:space="0" w:color="auto"/>
            <w:right w:val="none" w:sz="0" w:space="0" w:color="auto"/>
          </w:divBdr>
        </w:div>
        <w:div w:id="1633176197">
          <w:marLeft w:val="480"/>
          <w:marRight w:val="0"/>
          <w:marTop w:val="0"/>
          <w:marBottom w:val="0"/>
          <w:divBdr>
            <w:top w:val="none" w:sz="0" w:space="0" w:color="auto"/>
            <w:left w:val="none" w:sz="0" w:space="0" w:color="auto"/>
            <w:bottom w:val="none" w:sz="0" w:space="0" w:color="auto"/>
            <w:right w:val="none" w:sz="0" w:space="0" w:color="auto"/>
          </w:divBdr>
        </w:div>
        <w:div w:id="504322699">
          <w:marLeft w:val="480"/>
          <w:marRight w:val="0"/>
          <w:marTop w:val="0"/>
          <w:marBottom w:val="0"/>
          <w:divBdr>
            <w:top w:val="none" w:sz="0" w:space="0" w:color="auto"/>
            <w:left w:val="none" w:sz="0" w:space="0" w:color="auto"/>
            <w:bottom w:val="none" w:sz="0" w:space="0" w:color="auto"/>
            <w:right w:val="none" w:sz="0" w:space="0" w:color="auto"/>
          </w:divBdr>
        </w:div>
        <w:div w:id="800422730">
          <w:marLeft w:val="480"/>
          <w:marRight w:val="0"/>
          <w:marTop w:val="0"/>
          <w:marBottom w:val="0"/>
          <w:divBdr>
            <w:top w:val="none" w:sz="0" w:space="0" w:color="auto"/>
            <w:left w:val="none" w:sz="0" w:space="0" w:color="auto"/>
            <w:bottom w:val="none" w:sz="0" w:space="0" w:color="auto"/>
            <w:right w:val="none" w:sz="0" w:space="0" w:color="auto"/>
          </w:divBdr>
        </w:div>
        <w:div w:id="67657029">
          <w:marLeft w:val="480"/>
          <w:marRight w:val="0"/>
          <w:marTop w:val="0"/>
          <w:marBottom w:val="0"/>
          <w:divBdr>
            <w:top w:val="none" w:sz="0" w:space="0" w:color="auto"/>
            <w:left w:val="none" w:sz="0" w:space="0" w:color="auto"/>
            <w:bottom w:val="none" w:sz="0" w:space="0" w:color="auto"/>
            <w:right w:val="none" w:sz="0" w:space="0" w:color="auto"/>
          </w:divBdr>
        </w:div>
        <w:div w:id="1476219176">
          <w:marLeft w:val="480"/>
          <w:marRight w:val="0"/>
          <w:marTop w:val="0"/>
          <w:marBottom w:val="0"/>
          <w:divBdr>
            <w:top w:val="none" w:sz="0" w:space="0" w:color="auto"/>
            <w:left w:val="none" w:sz="0" w:space="0" w:color="auto"/>
            <w:bottom w:val="none" w:sz="0" w:space="0" w:color="auto"/>
            <w:right w:val="none" w:sz="0" w:space="0" w:color="auto"/>
          </w:divBdr>
        </w:div>
        <w:div w:id="1134450236">
          <w:marLeft w:val="480"/>
          <w:marRight w:val="0"/>
          <w:marTop w:val="0"/>
          <w:marBottom w:val="0"/>
          <w:divBdr>
            <w:top w:val="none" w:sz="0" w:space="0" w:color="auto"/>
            <w:left w:val="none" w:sz="0" w:space="0" w:color="auto"/>
            <w:bottom w:val="none" w:sz="0" w:space="0" w:color="auto"/>
            <w:right w:val="none" w:sz="0" w:space="0" w:color="auto"/>
          </w:divBdr>
        </w:div>
        <w:div w:id="472915646">
          <w:marLeft w:val="480"/>
          <w:marRight w:val="0"/>
          <w:marTop w:val="0"/>
          <w:marBottom w:val="0"/>
          <w:divBdr>
            <w:top w:val="none" w:sz="0" w:space="0" w:color="auto"/>
            <w:left w:val="none" w:sz="0" w:space="0" w:color="auto"/>
            <w:bottom w:val="none" w:sz="0" w:space="0" w:color="auto"/>
            <w:right w:val="none" w:sz="0" w:space="0" w:color="auto"/>
          </w:divBdr>
        </w:div>
        <w:div w:id="2014216066">
          <w:marLeft w:val="480"/>
          <w:marRight w:val="0"/>
          <w:marTop w:val="0"/>
          <w:marBottom w:val="0"/>
          <w:divBdr>
            <w:top w:val="none" w:sz="0" w:space="0" w:color="auto"/>
            <w:left w:val="none" w:sz="0" w:space="0" w:color="auto"/>
            <w:bottom w:val="none" w:sz="0" w:space="0" w:color="auto"/>
            <w:right w:val="none" w:sz="0" w:space="0" w:color="auto"/>
          </w:divBdr>
        </w:div>
        <w:div w:id="1154180966">
          <w:marLeft w:val="480"/>
          <w:marRight w:val="0"/>
          <w:marTop w:val="0"/>
          <w:marBottom w:val="0"/>
          <w:divBdr>
            <w:top w:val="none" w:sz="0" w:space="0" w:color="auto"/>
            <w:left w:val="none" w:sz="0" w:space="0" w:color="auto"/>
            <w:bottom w:val="none" w:sz="0" w:space="0" w:color="auto"/>
            <w:right w:val="none" w:sz="0" w:space="0" w:color="auto"/>
          </w:divBdr>
        </w:div>
        <w:div w:id="595791735">
          <w:marLeft w:val="480"/>
          <w:marRight w:val="0"/>
          <w:marTop w:val="0"/>
          <w:marBottom w:val="0"/>
          <w:divBdr>
            <w:top w:val="none" w:sz="0" w:space="0" w:color="auto"/>
            <w:left w:val="none" w:sz="0" w:space="0" w:color="auto"/>
            <w:bottom w:val="none" w:sz="0" w:space="0" w:color="auto"/>
            <w:right w:val="none" w:sz="0" w:space="0" w:color="auto"/>
          </w:divBdr>
        </w:div>
        <w:div w:id="1080103137">
          <w:marLeft w:val="480"/>
          <w:marRight w:val="0"/>
          <w:marTop w:val="0"/>
          <w:marBottom w:val="0"/>
          <w:divBdr>
            <w:top w:val="none" w:sz="0" w:space="0" w:color="auto"/>
            <w:left w:val="none" w:sz="0" w:space="0" w:color="auto"/>
            <w:bottom w:val="none" w:sz="0" w:space="0" w:color="auto"/>
            <w:right w:val="none" w:sz="0" w:space="0" w:color="auto"/>
          </w:divBdr>
        </w:div>
        <w:div w:id="812528820">
          <w:marLeft w:val="480"/>
          <w:marRight w:val="0"/>
          <w:marTop w:val="0"/>
          <w:marBottom w:val="0"/>
          <w:divBdr>
            <w:top w:val="none" w:sz="0" w:space="0" w:color="auto"/>
            <w:left w:val="none" w:sz="0" w:space="0" w:color="auto"/>
            <w:bottom w:val="none" w:sz="0" w:space="0" w:color="auto"/>
            <w:right w:val="none" w:sz="0" w:space="0" w:color="auto"/>
          </w:divBdr>
        </w:div>
        <w:div w:id="49548474">
          <w:marLeft w:val="480"/>
          <w:marRight w:val="0"/>
          <w:marTop w:val="0"/>
          <w:marBottom w:val="0"/>
          <w:divBdr>
            <w:top w:val="none" w:sz="0" w:space="0" w:color="auto"/>
            <w:left w:val="none" w:sz="0" w:space="0" w:color="auto"/>
            <w:bottom w:val="none" w:sz="0" w:space="0" w:color="auto"/>
            <w:right w:val="none" w:sz="0" w:space="0" w:color="auto"/>
          </w:divBdr>
        </w:div>
        <w:div w:id="571156873">
          <w:marLeft w:val="480"/>
          <w:marRight w:val="0"/>
          <w:marTop w:val="0"/>
          <w:marBottom w:val="0"/>
          <w:divBdr>
            <w:top w:val="none" w:sz="0" w:space="0" w:color="auto"/>
            <w:left w:val="none" w:sz="0" w:space="0" w:color="auto"/>
            <w:bottom w:val="none" w:sz="0" w:space="0" w:color="auto"/>
            <w:right w:val="none" w:sz="0" w:space="0" w:color="auto"/>
          </w:divBdr>
        </w:div>
        <w:div w:id="1088582242">
          <w:marLeft w:val="480"/>
          <w:marRight w:val="0"/>
          <w:marTop w:val="0"/>
          <w:marBottom w:val="0"/>
          <w:divBdr>
            <w:top w:val="none" w:sz="0" w:space="0" w:color="auto"/>
            <w:left w:val="none" w:sz="0" w:space="0" w:color="auto"/>
            <w:bottom w:val="none" w:sz="0" w:space="0" w:color="auto"/>
            <w:right w:val="none" w:sz="0" w:space="0" w:color="auto"/>
          </w:divBdr>
        </w:div>
        <w:div w:id="1332366147">
          <w:marLeft w:val="480"/>
          <w:marRight w:val="0"/>
          <w:marTop w:val="0"/>
          <w:marBottom w:val="0"/>
          <w:divBdr>
            <w:top w:val="none" w:sz="0" w:space="0" w:color="auto"/>
            <w:left w:val="none" w:sz="0" w:space="0" w:color="auto"/>
            <w:bottom w:val="none" w:sz="0" w:space="0" w:color="auto"/>
            <w:right w:val="none" w:sz="0" w:space="0" w:color="auto"/>
          </w:divBdr>
        </w:div>
        <w:div w:id="581372491">
          <w:marLeft w:val="480"/>
          <w:marRight w:val="0"/>
          <w:marTop w:val="0"/>
          <w:marBottom w:val="0"/>
          <w:divBdr>
            <w:top w:val="none" w:sz="0" w:space="0" w:color="auto"/>
            <w:left w:val="none" w:sz="0" w:space="0" w:color="auto"/>
            <w:bottom w:val="none" w:sz="0" w:space="0" w:color="auto"/>
            <w:right w:val="none" w:sz="0" w:space="0" w:color="auto"/>
          </w:divBdr>
        </w:div>
        <w:div w:id="251819014">
          <w:marLeft w:val="480"/>
          <w:marRight w:val="0"/>
          <w:marTop w:val="0"/>
          <w:marBottom w:val="0"/>
          <w:divBdr>
            <w:top w:val="none" w:sz="0" w:space="0" w:color="auto"/>
            <w:left w:val="none" w:sz="0" w:space="0" w:color="auto"/>
            <w:bottom w:val="none" w:sz="0" w:space="0" w:color="auto"/>
            <w:right w:val="none" w:sz="0" w:space="0" w:color="auto"/>
          </w:divBdr>
        </w:div>
        <w:div w:id="1766681285">
          <w:marLeft w:val="480"/>
          <w:marRight w:val="0"/>
          <w:marTop w:val="0"/>
          <w:marBottom w:val="0"/>
          <w:divBdr>
            <w:top w:val="none" w:sz="0" w:space="0" w:color="auto"/>
            <w:left w:val="none" w:sz="0" w:space="0" w:color="auto"/>
            <w:bottom w:val="none" w:sz="0" w:space="0" w:color="auto"/>
            <w:right w:val="none" w:sz="0" w:space="0" w:color="auto"/>
          </w:divBdr>
        </w:div>
        <w:div w:id="1044477300">
          <w:marLeft w:val="480"/>
          <w:marRight w:val="0"/>
          <w:marTop w:val="0"/>
          <w:marBottom w:val="0"/>
          <w:divBdr>
            <w:top w:val="none" w:sz="0" w:space="0" w:color="auto"/>
            <w:left w:val="none" w:sz="0" w:space="0" w:color="auto"/>
            <w:bottom w:val="none" w:sz="0" w:space="0" w:color="auto"/>
            <w:right w:val="none" w:sz="0" w:space="0" w:color="auto"/>
          </w:divBdr>
        </w:div>
        <w:div w:id="1040012422">
          <w:marLeft w:val="480"/>
          <w:marRight w:val="0"/>
          <w:marTop w:val="0"/>
          <w:marBottom w:val="0"/>
          <w:divBdr>
            <w:top w:val="none" w:sz="0" w:space="0" w:color="auto"/>
            <w:left w:val="none" w:sz="0" w:space="0" w:color="auto"/>
            <w:bottom w:val="none" w:sz="0" w:space="0" w:color="auto"/>
            <w:right w:val="none" w:sz="0" w:space="0" w:color="auto"/>
          </w:divBdr>
        </w:div>
        <w:div w:id="859126474">
          <w:marLeft w:val="480"/>
          <w:marRight w:val="0"/>
          <w:marTop w:val="0"/>
          <w:marBottom w:val="0"/>
          <w:divBdr>
            <w:top w:val="none" w:sz="0" w:space="0" w:color="auto"/>
            <w:left w:val="none" w:sz="0" w:space="0" w:color="auto"/>
            <w:bottom w:val="none" w:sz="0" w:space="0" w:color="auto"/>
            <w:right w:val="none" w:sz="0" w:space="0" w:color="auto"/>
          </w:divBdr>
        </w:div>
        <w:div w:id="319699831">
          <w:marLeft w:val="480"/>
          <w:marRight w:val="0"/>
          <w:marTop w:val="0"/>
          <w:marBottom w:val="0"/>
          <w:divBdr>
            <w:top w:val="none" w:sz="0" w:space="0" w:color="auto"/>
            <w:left w:val="none" w:sz="0" w:space="0" w:color="auto"/>
            <w:bottom w:val="none" w:sz="0" w:space="0" w:color="auto"/>
            <w:right w:val="none" w:sz="0" w:space="0" w:color="auto"/>
          </w:divBdr>
        </w:div>
        <w:div w:id="902452895">
          <w:marLeft w:val="480"/>
          <w:marRight w:val="0"/>
          <w:marTop w:val="0"/>
          <w:marBottom w:val="0"/>
          <w:divBdr>
            <w:top w:val="none" w:sz="0" w:space="0" w:color="auto"/>
            <w:left w:val="none" w:sz="0" w:space="0" w:color="auto"/>
            <w:bottom w:val="none" w:sz="0" w:space="0" w:color="auto"/>
            <w:right w:val="none" w:sz="0" w:space="0" w:color="auto"/>
          </w:divBdr>
        </w:div>
        <w:div w:id="1579359647">
          <w:marLeft w:val="480"/>
          <w:marRight w:val="0"/>
          <w:marTop w:val="0"/>
          <w:marBottom w:val="0"/>
          <w:divBdr>
            <w:top w:val="none" w:sz="0" w:space="0" w:color="auto"/>
            <w:left w:val="none" w:sz="0" w:space="0" w:color="auto"/>
            <w:bottom w:val="none" w:sz="0" w:space="0" w:color="auto"/>
            <w:right w:val="none" w:sz="0" w:space="0" w:color="auto"/>
          </w:divBdr>
        </w:div>
        <w:div w:id="979531333">
          <w:marLeft w:val="480"/>
          <w:marRight w:val="0"/>
          <w:marTop w:val="0"/>
          <w:marBottom w:val="0"/>
          <w:divBdr>
            <w:top w:val="none" w:sz="0" w:space="0" w:color="auto"/>
            <w:left w:val="none" w:sz="0" w:space="0" w:color="auto"/>
            <w:bottom w:val="none" w:sz="0" w:space="0" w:color="auto"/>
            <w:right w:val="none" w:sz="0" w:space="0" w:color="auto"/>
          </w:divBdr>
        </w:div>
        <w:div w:id="639581167">
          <w:marLeft w:val="480"/>
          <w:marRight w:val="0"/>
          <w:marTop w:val="0"/>
          <w:marBottom w:val="0"/>
          <w:divBdr>
            <w:top w:val="none" w:sz="0" w:space="0" w:color="auto"/>
            <w:left w:val="none" w:sz="0" w:space="0" w:color="auto"/>
            <w:bottom w:val="none" w:sz="0" w:space="0" w:color="auto"/>
            <w:right w:val="none" w:sz="0" w:space="0" w:color="auto"/>
          </w:divBdr>
        </w:div>
        <w:div w:id="775490166">
          <w:marLeft w:val="480"/>
          <w:marRight w:val="0"/>
          <w:marTop w:val="0"/>
          <w:marBottom w:val="0"/>
          <w:divBdr>
            <w:top w:val="none" w:sz="0" w:space="0" w:color="auto"/>
            <w:left w:val="none" w:sz="0" w:space="0" w:color="auto"/>
            <w:bottom w:val="none" w:sz="0" w:space="0" w:color="auto"/>
            <w:right w:val="none" w:sz="0" w:space="0" w:color="auto"/>
          </w:divBdr>
        </w:div>
        <w:div w:id="707071104">
          <w:marLeft w:val="480"/>
          <w:marRight w:val="0"/>
          <w:marTop w:val="0"/>
          <w:marBottom w:val="0"/>
          <w:divBdr>
            <w:top w:val="none" w:sz="0" w:space="0" w:color="auto"/>
            <w:left w:val="none" w:sz="0" w:space="0" w:color="auto"/>
            <w:bottom w:val="none" w:sz="0" w:space="0" w:color="auto"/>
            <w:right w:val="none" w:sz="0" w:space="0" w:color="auto"/>
          </w:divBdr>
        </w:div>
        <w:div w:id="1221747720">
          <w:marLeft w:val="480"/>
          <w:marRight w:val="0"/>
          <w:marTop w:val="0"/>
          <w:marBottom w:val="0"/>
          <w:divBdr>
            <w:top w:val="none" w:sz="0" w:space="0" w:color="auto"/>
            <w:left w:val="none" w:sz="0" w:space="0" w:color="auto"/>
            <w:bottom w:val="none" w:sz="0" w:space="0" w:color="auto"/>
            <w:right w:val="none" w:sz="0" w:space="0" w:color="auto"/>
          </w:divBdr>
        </w:div>
        <w:div w:id="1201942057">
          <w:marLeft w:val="480"/>
          <w:marRight w:val="0"/>
          <w:marTop w:val="0"/>
          <w:marBottom w:val="0"/>
          <w:divBdr>
            <w:top w:val="none" w:sz="0" w:space="0" w:color="auto"/>
            <w:left w:val="none" w:sz="0" w:space="0" w:color="auto"/>
            <w:bottom w:val="none" w:sz="0" w:space="0" w:color="auto"/>
            <w:right w:val="none" w:sz="0" w:space="0" w:color="auto"/>
          </w:divBdr>
        </w:div>
        <w:div w:id="1995865251">
          <w:marLeft w:val="480"/>
          <w:marRight w:val="0"/>
          <w:marTop w:val="0"/>
          <w:marBottom w:val="0"/>
          <w:divBdr>
            <w:top w:val="none" w:sz="0" w:space="0" w:color="auto"/>
            <w:left w:val="none" w:sz="0" w:space="0" w:color="auto"/>
            <w:bottom w:val="none" w:sz="0" w:space="0" w:color="auto"/>
            <w:right w:val="none" w:sz="0" w:space="0" w:color="auto"/>
          </w:divBdr>
        </w:div>
        <w:div w:id="81031071">
          <w:marLeft w:val="480"/>
          <w:marRight w:val="0"/>
          <w:marTop w:val="0"/>
          <w:marBottom w:val="0"/>
          <w:divBdr>
            <w:top w:val="none" w:sz="0" w:space="0" w:color="auto"/>
            <w:left w:val="none" w:sz="0" w:space="0" w:color="auto"/>
            <w:bottom w:val="none" w:sz="0" w:space="0" w:color="auto"/>
            <w:right w:val="none" w:sz="0" w:space="0" w:color="auto"/>
          </w:divBdr>
        </w:div>
        <w:div w:id="872421974">
          <w:marLeft w:val="480"/>
          <w:marRight w:val="0"/>
          <w:marTop w:val="0"/>
          <w:marBottom w:val="0"/>
          <w:divBdr>
            <w:top w:val="none" w:sz="0" w:space="0" w:color="auto"/>
            <w:left w:val="none" w:sz="0" w:space="0" w:color="auto"/>
            <w:bottom w:val="none" w:sz="0" w:space="0" w:color="auto"/>
            <w:right w:val="none" w:sz="0" w:space="0" w:color="auto"/>
          </w:divBdr>
        </w:div>
        <w:div w:id="1474102858">
          <w:marLeft w:val="480"/>
          <w:marRight w:val="0"/>
          <w:marTop w:val="0"/>
          <w:marBottom w:val="0"/>
          <w:divBdr>
            <w:top w:val="none" w:sz="0" w:space="0" w:color="auto"/>
            <w:left w:val="none" w:sz="0" w:space="0" w:color="auto"/>
            <w:bottom w:val="none" w:sz="0" w:space="0" w:color="auto"/>
            <w:right w:val="none" w:sz="0" w:space="0" w:color="auto"/>
          </w:divBdr>
        </w:div>
        <w:div w:id="434521104">
          <w:marLeft w:val="480"/>
          <w:marRight w:val="0"/>
          <w:marTop w:val="0"/>
          <w:marBottom w:val="0"/>
          <w:divBdr>
            <w:top w:val="none" w:sz="0" w:space="0" w:color="auto"/>
            <w:left w:val="none" w:sz="0" w:space="0" w:color="auto"/>
            <w:bottom w:val="none" w:sz="0" w:space="0" w:color="auto"/>
            <w:right w:val="none" w:sz="0" w:space="0" w:color="auto"/>
          </w:divBdr>
        </w:div>
        <w:div w:id="1170021986">
          <w:marLeft w:val="480"/>
          <w:marRight w:val="0"/>
          <w:marTop w:val="0"/>
          <w:marBottom w:val="0"/>
          <w:divBdr>
            <w:top w:val="none" w:sz="0" w:space="0" w:color="auto"/>
            <w:left w:val="none" w:sz="0" w:space="0" w:color="auto"/>
            <w:bottom w:val="none" w:sz="0" w:space="0" w:color="auto"/>
            <w:right w:val="none" w:sz="0" w:space="0" w:color="auto"/>
          </w:divBdr>
        </w:div>
        <w:div w:id="1199510338">
          <w:marLeft w:val="480"/>
          <w:marRight w:val="0"/>
          <w:marTop w:val="0"/>
          <w:marBottom w:val="0"/>
          <w:divBdr>
            <w:top w:val="none" w:sz="0" w:space="0" w:color="auto"/>
            <w:left w:val="none" w:sz="0" w:space="0" w:color="auto"/>
            <w:bottom w:val="none" w:sz="0" w:space="0" w:color="auto"/>
            <w:right w:val="none" w:sz="0" w:space="0" w:color="auto"/>
          </w:divBdr>
        </w:div>
        <w:div w:id="760293612">
          <w:marLeft w:val="480"/>
          <w:marRight w:val="0"/>
          <w:marTop w:val="0"/>
          <w:marBottom w:val="0"/>
          <w:divBdr>
            <w:top w:val="none" w:sz="0" w:space="0" w:color="auto"/>
            <w:left w:val="none" w:sz="0" w:space="0" w:color="auto"/>
            <w:bottom w:val="none" w:sz="0" w:space="0" w:color="auto"/>
            <w:right w:val="none" w:sz="0" w:space="0" w:color="auto"/>
          </w:divBdr>
        </w:div>
        <w:div w:id="2012443148">
          <w:marLeft w:val="480"/>
          <w:marRight w:val="0"/>
          <w:marTop w:val="0"/>
          <w:marBottom w:val="0"/>
          <w:divBdr>
            <w:top w:val="none" w:sz="0" w:space="0" w:color="auto"/>
            <w:left w:val="none" w:sz="0" w:space="0" w:color="auto"/>
            <w:bottom w:val="none" w:sz="0" w:space="0" w:color="auto"/>
            <w:right w:val="none" w:sz="0" w:space="0" w:color="auto"/>
          </w:divBdr>
        </w:div>
        <w:div w:id="1999921107">
          <w:marLeft w:val="480"/>
          <w:marRight w:val="0"/>
          <w:marTop w:val="0"/>
          <w:marBottom w:val="0"/>
          <w:divBdr>
            <w:top w:val="none" w:sz="0" w:space="0" w:color="auto"/>
            <w:left w:val="none" w:sz="0" w:space="0" w:color="auto"/>
            <w:bottom w:val="none" w:sz="0" w:space="0" w:color="auto"/>
            <w:right w:val="none" w:sz="0" w:space="0" w:color="auto"/>
          </w:divBdr>
        </w:div>
        <w:div w:id="1707412061">
          <w:marLeft w:val="480"/>
          <w:marRight w:val="0"/>
          <w:marTop w:val="0"/>
          <w:marBottom w:val="0"/>
          <w:divBdr>
            <w:top w:val="none" w:sz="0" w:space="0" w:color="auto"/>
            <w:left w:val="none" w:sz="0" w:space="0" w:color="auto"/>
            <w:bottom w:val="none" w:sz="0" w:space="0" w:color="auto"/>
            <w:right w:val="none" w:sz="0" w:space="0" w:color="auto"/>
          </w:divBdr>
        </w:div>
        <w:div w:id="870342263">
          <w:marLeft w:val="480"/>
          <w:marRight w:val="0"/>
          <w:marTop w:val="0"/>
          <w:marBottom w:val="0"/>
          <w:divBdr>
            <w:top w:val="none" w:sz="0" w:space="0" w:color="auto"/>
            <w:left w:val="none" w:sz="0" w:space="0" w:color="auto"/>
            <w:bottom w:val="none" w:sz="0" w:space="0" w:color="auto"/>
            <w:right w:val="none" w:sz="0" w:space="0" w:color="auto"/>
          </w:divBdr>
        </w:div>
        <w:div w:id="196284586">
          <w:marLeft w:val="480"/>
          <w:marRight w:val="0"/>
          <w:marTop w:val="0"/>
          <w:marBottom w:val="0"/>
          <w:divBdr>
            <w:top w:val="none" w:sz="0" w:space="0" w:color="auto"/>
            <w:left w:val="none" w:sz="0" w:space="0" w:color="auto"/>
            <w:bottom w:val="none" w:sz="0" w:space="0" w:color="auto"/>
            <w:right w:val="none" w:sz="0" w:space="0" w:color="auto"/>
          </w:divBdr>
        </w:div>
        <w:div w:id="1463621864">
          <w:marLeft w:val="480"/>
          <w:marRight w:val="0"/>
          <w:marTop w:val="0"/>
          <w:marBottom w:val="0"/>
          <w:divBdr>
            <w:top w:val="none" w:sz="0" w:space="0" w:color="auto"/>
            <w:left w:val="none" w:sz="0" w:space="0" w:color="auto"/>
            <w:bottom w:val="none" w:sz="0" w:space="0" w:color="auto"/>
            <w:right w:val="none" w:sz="0" w:space="0" w:color="auto"/>
          </w:divBdr>
        </w:div>
        <w:div w:id="1684555500">
          <w:marLeft w:val="480"/>
          <w:marRight w:val="0"/>
          <w:marTop w:val="0"/>
          <w:marBottom w:val="0"/>
          <w:divBdr>
            <w:top w:val="none" w:sz="0" w:space="0" w:color="auto"/>
            <w:left w:val="none" w:sz="0" w:space="0" w:color="auto"/>
            <w:bottom w:val="none" w:sz="0" w:space="0" w:color="auto"/>
            <w:right w:val="none" w:sz="0" w:space="0" w:color="auto"/>
          </w:divBdr>
        </w:div>
        <w:div w:id="826673610">
          <w:marLeft w:val="480"/>
          <w:marRight w:val="0"/>
          <w:marTop w:val="0"/>
          <w:marBottom w:val="0"/>
          <w:divBdr>
            <w:top w:val="none" w:sz="0" w:space="0" w:color="auto"/>
            <w:left w:val="none" w:sz="0" w:space="0" w:color="auto"/>
            <w:bottom w:val="none" w:sz="0" w:space="0" w:color="auto"/>
            <w:right w:val="none" w:sz="0" w:space="0" w:color="auto"/>
          </w:divBdr>
        </w:div>
        <w:div w:id="201212999">
          <w:marLeft w:val="480"/>
          <w:marRight w:val="0"/>
          <w:marTop w:val="0"/>
          <w:marBottom w:val="0"/>
          <w:divBdr>
            <w:top w:val="none" w:sz="0" w:space="0" w:color="auto"/>
            <w:left w:val="none" w:sz="0" w:space="0" w:color="auto"/>
            <w:bottom w:val="none" w:sz="0" w:space="0" w:color="auto"/>
            <w:right w:val="none" w:sz="0" w:space="0" w:color="auto"/>
          </w:divBdr>
        </w:div>
        <w:div w:id="954139661">
          <w:marLeft w:val="480"/>
          <w:marRight w:val="0"/>
          <w:marTop w:val="0"/>
          <w:marBottom w:val="0"/>
          <w:divBdr>
            <w:top w:val="none" w:sz="0" w:space="0" w:color="auto"/>
            <w:left w:val="none" w:sz="0" w:space="0" w:color="auto"/>
            <w:bottom w:val="none" w:sz="0" w:space="0" w:color="auto"/>
            <w:right w:val="none" w:sz="0" w:space="0" w:color="auto"/>
          </w:divBdr>
        </w:div>
        <w:div w:id="1087119611">
          <w:marLeft w:val="480"/>
          <w:marRight w:val="0"/>
          <w:marTop w:val="0"/>
          <w:marBottom w:val="0"/>
          <w:divBdr>
            <w:top w:val="none" w:sz="0" w:space="0" w:color="auto"/>
            <w:left w:val="none" w:sz="0" w:space="0" w:color="auto"/>
            <w:bottom w:val="none" w:sz="0" w:space="0" w:color="auto"/>
            <w:right w:val="none" w:sz="0" w:space="0" w:color="auto"/>
          </w:divBdr>
        </w:div>
        <w:div w:id="530531989">
          <w:marLeft w:val="480"/>
          <w:marRight w:val="0"/>
          <w:marTop w:val="0"/>
          <w:marBottom w:val="0"/>
          <w:divBdr>
            <w:top w:val="none" w:sz="0" w:space="0" w:color="auto"/>
            <w:left w:val="none" w:sz="0" w:space="0" w:color="auto"/>
            <w:bottom w:val="none" w:sz="0" w:space="0" w:color="auto"/>
            <w:right w:val="none" w:sz="0" w:space="0" w:color="auto"/>
          </w:divBdr>
        </w:div>
        <w:div w:id="1236354860">
          <w:marLeft w:val="480"/>
          <w:marRight w:val="0"/>
          <w:marTop w:val="0"/>
          <w:marBottom w:val="0"/>
          <w:divBdr>
            <w:top w:val="none" w:sz="0" w:space="0" w:color="auto"/>
            <w:left w:val="none" w:sz="0" w:space="0" w:color="auto"/>
            <w:bottom w:val="none" w:sz="0" w:space="0" w:color="auto"/>
            <w:right w:val="none" w:sz="0" w:space="0" w:color="auto"/>
          </w:divBdr>
        </w:div>
        <w:div w:id="460077520">
          <w:marLeft w:val="480"/>
          <w:marRight w:val="0"/>
          <w:marTop w:val="0"/>
          <w:marBottom w:val="0"/>
          <w:divBdr>
            <w:top w:val="none" w:sz="0" w:space="0" w:color="auto"/>
            <w:left w:val="none" w:sz="0" w:space="0" w:color="auto"/>
            <w:bottom w:val="none" w:sz="0" w:space="0" w:color="auto"/>
            <w:right w:val="none" w:sz="0" w:space="0" w:color="auto"/>
          </w:divBdr>
        </w:div>
        <w:div w:id="653875236">
          <w:marLeft w:val="480"/>
          <w:marRight w:val="0"/>
          <w:marTop w:val="0"/>
          <w:marBottom w:val="0"/>
          <w:divBdr>
            <w:top w:val="none" w:sz="0" w:space="0" w:color="auto"/>
            <w:left w:val="none" w:sz="0" w:space="0" w:color="auto"/>
            <w:bottom w:val="none" w:sz="0" w:space="0" w:color="auto"/>
            <w:right w:val="none" w:sz="0" w:space="0" w:color="auto"/>
          </w:divBdr>
        </w:div>
        <w:div w:id="183439965">
          <w:marLeft w:val="480"/>
          <w:marRight w:val="0"/>
          <w:marTop w:val="0"/>
          <w:marBottom w:val="0"/>
          <w:divBdr>
            <w:top w:val="none" w:sz="0" w:space="0" w:color="auto"/>
            <w:left w:val="none" w:sz="0" w:space="0" w:color="auto"/>
            <w:bottom w:val="none" w:sz="0" w:space="0" w:color="auto"/>
            <w:right w:val="none" w:sz="0" w:space="0" w:color="auto"/>
          </w:divBdr>
        </w:div>
        <w:div w:id="588852881">
          <w:marLeft w:val="480"/>
          <w:marRight w:val="0"/>
          <w:marTop w:val="0"/>
          <w:marBottom w:val="0"/>
          <w:divBdr>
            <w:top w:val="none" w:sz="0" w:space="0" w:color="auto"/>
            <w:left w:val="none" w:sz="0" w:space="0" w:color="auto"/>
            <w:bottom w:val="none" w:sz="0" w:space="0" w:color="auto"/>
            <w:right w:val="none" w:sz="0" w:space="0" w:color="auto"/>
          </w:divBdr>
        </w:div>
        <w:div w:id="683047606">
          <w:marLeft w:val="480"/>
          <w:marRight w:val="0"/>
          <w:marTop w:val="0"/>
          <w:marBottom w:val="0"/>
          <w:divBdr>
            <w:top w:val="none" w:sz="0" w:space="0" w:color="auto"/>
            <w:left w:val="none" w:sz="0" w:space="0" w:color="auto"/>
            <w:bottom w:val="none" w:sz="0" w:space="0" w:color="auto"/>
            <w:right w:val="none" w:sz="0" w:space="0" w:color="auto"/>
          </w:divBdr>
        </w:div>
        <w:div w:id="1730110166">
          <w:marLeft w:val="480"/>
          <w:marRight w:val="0"/>
          <w:marTop w:val="0"/>
          <w:marBottom w:val="0"/>
          <w:divBdr>
            <w:top w:val="none" w:sz="0" w:space="0" w:color="auto"/>
            <w:left w:val="none" w:sz="0" w:space="0" w:color="auto"/>
            <w:bottom w:val="none" w:sz="0" w:space="0" w:color="auto"/>
            <w:right w:val="none" w:sz="0" w:space="0" w:color="auto"/>
          </w:divBdr>
        </w:div>
        <w:div w:id="483937418">
          <w:marLeft w:val="480"/>
          <w:marRight w:val="0"/>
          <w:marTop w:val="0"/>
          <w:marBottom w:val="0"/>
          <w:divBdr>
            <w:top w:val="none" w:sz="0" w:space="0" w:color="auto"/>
            <w:left w:val="none" w:sz="0" w:space="0" w:color="auto"/>
            <w:bottom w:val="none" w:sz="0" w:space="0" w:color="auto"/>
            <w:right w:val="none" w:sz="0" w:space="0" w:color="auto"/>
          </w:divBdr>
        </w:div>
        <w:div w:id="556284710">
          <w:marLeft w:val="480"/>
          <w:marRight w:val="0"/>
          <w:marTop w:val="0"/>
          <w:marBottom w:val="0"/>
          <w:divBdr>
            <w:top w:val="none" w:sz="0" w:space="0" w:color="auto"/>
            <w:left w:val="none" w:sz="0" w:space="0" w:color="auto"/>
            <w:bottom w:val="none" w:sz="0" w:space="0" w:color="auto"/>
            <w:right w:val="none" w:sz="0" w:space="0" w:color="auto"/>
          </w:divBdr>
        </w:div>
        <w:div w:id="1960061264">
          <w:marLeft w:val="480"/>
          <w:marRight w:val="0"/>
          <w:marTop w:val="0"/>
          <w:marBottom w:val="0"/>
          <w:divBdr>
            <w:top w:val="none" w:sz="0" w:space="0" w:color="auto"/>
            <w:left w:val="none" w:sz="0" w:space="0" w:color="auto"/>
            <w:bottom w:val="none" w:sz="0" w:space="0" w:color="auto"/>
            <w:right w:val="none" w:sz="0" w:space="0" w:color="auto"/>
          </w:divBdr>
        </w:div>
        <w:div w:id="2041054975">
          <w:marLeft w:val="480"/>
          <w:marRight w:val="0"/>
          <w:marTop w:val="0"/>
          <w:marBottom w:val="0"/>
          <w:divBdr>
            <w:top w:val="none" w:sz="0" w:space="0" w:color="auto"/>
            <w:left w:val="none" w:sz="0" w:space="0" w:color="auto"/>
            <w:bottom w:val="none" w:sz="0" w:space="0" w:color="auto"/>
            <w:right w:val="none" w:sz="0" w:space="0" w:color="auto"/>
          </w:divBdr>
        </w:div>
        <w:div w:id="381103582">
          <w:marLeft w:val="480"/>
          <w:marRight w:val="0"/>
          <w:marTop w:val="0"/>
          <w:marBottom w:val="0"/>
          <w:divBdr>
            <w:top w:val="none" w:sz="0" w:space="0" w:color="auto"/>
            <w:left w:val="none" w:sz="0" w:space="0" w:color="auto"/>
            <w:bottom w:val="none" w:sz="0" w:space="0" w:color="auto"/>
            <w:right w:val="none" w:sz="0" w:space="0" w:color="auto"/>
          </w:divBdr>
        </w:div>
        <w:div w:id="513498607">
          <w:marLeft w:val="480"/>
          <w:marRight w:val="0"/>
          <w:marTop w:val="0"/>
          <w:marBottom w:val="0"/>
          <w:divBdr>
            <w:top w:val="none" w:sz="0" w:space="0" w:color="auto"/>
            <w:left w:val="none" w:sz="0" w:space="0" w:color="auto"/>
            <w:bottom w:val="none" w:sz="0" w:space="0" w:color="auto"/>
            <w:right w:val="none" w:sz="0" w:space="0" w:color="auto"/>
          </w:divBdr>
        </w:div>
        <w:div w:id="933054068">
          <w:marLeft w:val="480"/>
          <w:marRight w:val="0"/>
          <w:marTop w:val="0"/>
          <w:marBottom w:val="0"/>
          <w:divBdr>
            <w:top w:val="none" w:sz="0" w:space="0" w:color="auto"/>
            <w:left w:val="none" w:sz="0" w:space="0" w:color="auto"/>
            <w:bottom w:val="none" w:sz="0" w:space="0" w:color="auto"/>
            <w:right w:val="none" w:sz="0" w:space="0" w:color="auto"/>
          </w:divBdr>
        </w:div>
        <w:div w:id="1094470700">
          <w:marLeft w:val="480"/>
          <w:marRight w:val="0"/>
          <w:marTop w:val="0"/>
          <w:marBottom w:val="0"/>
          <w:divBdr>
            <w:top w:val="none" w:sz="0" w:space="0" w:color="auto"/>
            <w:left w:val="none" w:sz="0" w:space="0" w:color="auto"/>
            <w:bottom w:val="none" w:sz="0" w:space="0" w:color="auto"/>
            <w:right w:val="none" w:sz="0" w:space="0" w:color="auto"/>
          </w:divBdr>
        </w:div>
        <w:div w:id="924802745">
          <w:marLeft w:val="480"/>
          <w:marRight w:val="0"/>
          <w:marTop w:val="0"/>
          <w:marBottom w:val="0"/>
          <w:divBdr>
            <w:top w:val="none" w:sz="0" w:space="0" w:color="auto"/>
            <w:left w:val="none" w:sz="0" w:space="0" w:color="auto"/>
            <w:bottom w:val="none" w:sz="0" w:space="0" w:color="auto"/>
            <w:right w:val="none" w:sz="0" w:space="0" w:color="auto"/>
          </w:divBdr>
        </w:div>
        <w:div w:id="1109543896">
          <w:marLeft w:val="480"/>
          <w:marRight w:val="0"/>
          <w:marTop w:val="0"/>
          <w:marBottom w:val="0"/>
          <w:divBdr>
            <w:top w:val="none" w:sz="0" w:space="0" w:color="auto"/>
            <w:left w:val="none" w:sz="0" w:space="0" w:color="auto"/>
            <w:bottom w:val="none" w:sz="0" w:space="0" w:color="auto"/>
            <w:right w:val="none" w:sz="0" w:space="0" w:color="auto"/>
          </w:divBdr>
        </w:div>
        <w:div w:id="968903445">
          <w:marLeft w:val="480"/>
          <w:marRight w:val="0"/>
          <w:marTop w:val="0"/>
          <w:marBottom w:val="0"/>
          <w:divBdr>
            <w:top w:val="none" w:sz="0" w:space="0" w:color="auto"/>
            <w:left w:val="none" w:sz="0" w:space="0" w:color="auto"/>
            <w:bottom w:val="none" w:sz="0" w:space="0" w:color="auto"/>
            <w:right w:val="none" w:sz="0" w:space="0" w:color="auto"/>
          </w:divBdr>
        </w:div>
        <w:div w:id="478232549">
          <w:marLeft w:val="480"/>
          <w:marRight w:val="0"/>
          <w:marTop w:val="0"/>
          <w:marBottom w:val="0"/>
          <w:divBdr>
            <w:top w:val="none" w:sz="0" w:space="0" w:color="auto"/>
            <w:left w:val="none" w:sz="0" w:space="0" w:color="auto"/>
            <w:bottom w:val="none" w:sz="0" w:space="0" w:color="auto"/>
            <w:right w:val="none" w:sz="0" w:space="0" w:color="auto"/>
          </w:divBdr>
        </w:div>
        <w:div w:id="1089423874">
          <w:marLeft w:val="480"/>
          <w:marRight w:val="0"/>
          <w:marTop w:val="0"/>
          <w:marBottom w:val="0"/>
          <w:divBdr>
            <w:top w:val="none" w:sz="0" w:space="0" w:color="auto"/>
            <w:left w:val="none" w:sz="0" w:space="0" w:color="auto"/>
            <w:bottom w:val="none" w:sz="0" w:space="0" w:color="auto"/>
            <w:right w:val="none" w:sz="0" w:space="0" w:color="auto"/>
          </w:divBdr>
        </w:div>
        <w:div w:id="2058311838">
          <w:marLeft w:val="480"/>
          <w:marRight w:val="0"/>
          <w:marTop w:val="0"/>
          <w:marBottom w:val="0"/>
          <w:divBdr>
            <w:top w:val="none" w:sz="0" w:space="0" w:color="auto"/>
            <w:left w:val="none" w:sz="0" w:space="0" w:color="auto"/>
            <w:bottom w:val="none" w:sz="0" w:space="0" w:color="auto"/>
            <w:right w:val="none" w:sz="0" w:space="0" w:color="auto"/>
          </w:divBdr>
        </w:div>
        <w:div w:id="2133353876">
          <w:marLeft w:val="480"/>
          <w:marRight w:val="0"/>
          <w:marTop w:val="0"/>
          <w:marBottom w:val="0"/>
          <w:divBdr>
            <w:top w:val="none" w:sz="0" w:space="0" w:color="auto"/>
            <w:left w:val="none" w:sz="0" w:space="0" w:color="auto"/>
            <w:bottom w:val="none" w:sz="0" w:space="0" w:color="auto"/>
            <w:right w:val="none" w:sz="0" w:space="0" w:color="auto"/>
          </w:divBdr>
        </w:div>
        <w:div w:id="1663509537">
          <w:marLeft w:val="480"/>
          <w:marRight w:val="0"/>
          <w:marTop w:val="0"/>
          <w:marBottom w:val="0"/>
          <w:divBdr>
            <w:top w:val="none" w:sz="0" w:space="0" w:color="auto"/>
            <w:left w:val="none" w:sz="0" w:space="0" w:color="auto"/>
            <w:bottom w:val="none" w:sz="0" w:space="0" w:color="auto"/>
            <w:right w:val="none" w:sz="0" w:space="0" w:color="auto"/>
          </w:divBdr>
        </w:div>
        <w:div w:id="699362387">
          <w:marLeft w:val="480"/>
          <w:marRight w:val="0"/>
          <w:marTop w:val="0"/>
          <w:marBottom w:val="0"/>
          <w:divBdr>
            <w:top w:val="none" w:sz="0" w:space="0" w:color="auto"/>
            <w:left w:val="none" w:sz="0" w:space="0" w:color="auto"/>
            <w:bottom w:val="none" w:sz="0" w:space="0" w:color="auto"/>
            <w:right w:val="none" w:sz="0" w:space="0" w:color="auto"/>
          </w:divBdr>
        </w:div>
        <w:div w:id="765344006">
          <w:marLeft w:val="480"/>
          <w:marRight w:val="0"/>
          <w:marTop w:val="0"/>
          <w:marBottom w:val="0"/>
          <w:divBdr>
            <w:top w:val="none" w:sz="0" w:space="0" w:color="auto"/>
            <w:left w:val="none" w:sz="0" w:space="0" w:color="auto"/>
            <w:bottom w:val="none" w:sz="0" w:space="0" w:color="auto"/>
            <w:right w:val="none" w:sz="0" w:space="0" w:color="auto"/>
          </w:divBdr>
        </w:div>
        <w:div w:id="217518895">
          <w:marLeft w:val="480"/>
          <w:marRight w:val="0"/>
          <w:marTop w:val="0"/>
          <w:marBottom w:val="0"/>
          <w:divBdr>
            <w:top w:val="none" w:sz="0" w:space="0" w:color="auto"/>
            <w:left w:val="none" w:sz="0" w:space="0" w:color="auto"/>
            <w:bottom w:val="none" w:sz="0" w:space="0" w:color="auto"/>
            <w:right w:val="none" w:sz="0" w:space="0" w:color="auto"/>
          </w:divBdr>
        </w:div>
        <w:div w:id="859007076">
          <w:marLeft w:val="480"/>
          <w:marRight w:val="0"/>
          <w:marTop w:val="0"/>
          <w:marBottom w:val="0"/>
          <w:divBdr>
            <w:top w:val="none" w:sz="0" w:space="0" w:color="auto"/>
            <w:left w:val="none" w:sz="0" w:space="0" w:color="auto"/>
            <w:bottom w:val="none" w:sz="0" w:space="0" w:color="auto"/>
            <w:right w:val="none" w:sz="0" w:space="0" w:color="auto"/>
          </w:divBdr>
        </w:div>
        <w:div w:id="1737623311">
          <w:marLeft w:val="480"/>
          <w:marRight w:val="0"/>
          <w:marTop w:val="0"/>
          <w:marBottom w:val="0"/>
          <w:divBdr>
            <w:top w:val="none" w:sz="0" w:space="0" w:color="auto"/>
            <w:left w:val="none" w:sz="0" w:space="0" w:color="auto"/>
            <w:bottom w:val="none" w:sz="0" w:space="0" w:color="auto"/>
            <w:right w:val="none" w:sz="0" w:space="0" w:color="auto"/>
          </w:divBdr>
        </w:div>
        <w:div w:id="660933060">
          <w:marLeft w:val="480"/>
          <w:marRight w:val="0"/>
          <w:marTop w:val="0"/>
          <w:marBottom w:val="0"/>
          <w:divBdr>
            <w:top w:val="none" w:sz="0" w:space="0" w:color="auto"/>
            <w:left w:val="none" w:sz="0" w:space="0" w:color="auto"/>
            <w:bottom w:val="none" w:sz="0" w:space="0" w:color="auto"/>
            <w:right w:val="none" w:sz="0" w:space="0" w:color="auto"/>
          </w:divBdr>
        </w:div>
        <w:div w:id="2059934645">
          <w:marLeft w:val="480"/>
          <w:marRight w:val="0"/>
          <w:marTop w:val="0"/>
          <w:marBottom w:val="0"/>
          <w:divBdr>
            <w:top w:val="none" w:sz="0" w:space="0" w:color="auto"/>
            <w:left w:val="none" w:sz="0" w:space="0" w:color="auto"/>
            <w:bottom w:val="none" w:sz="0" w:space="0" w:color="auto"/>
            <w:right w:val="none" w:sz="0" w:space="0" w:color="auto"/>
          </w:divBdr>
        </w:div>
        <w:div w:id="623466174">
          <w:marLeft w:val="480"/>
          <w:marRight w:val="0"/>
          <w:marTop w:val="0"/>
          <w:marBottom w:val="0"/>
          <w:divBdr>
            <w:top w:val="none" w:sz="0" w:space="0" w:color="auto"/>
            <w:left w:val="none" w:sz="0" w:space="0" w:color="auto"/>
            <w:bottom w:val="none" w:sz="0" w:space="0" w:color="auto"/>
            <w:right w:val="none" w:sz="0" w:space="0" w:color="auto"/>
          </w:divBdr>
        </w:div>
        <w:div w:id="799225885">
          <w:marLeft w:val="480"/>
          <w:marRight w:val="0"/>
          <w:marTop w:val="0"/>
          <w:marBottom w:val="0"/>
          <w:divBdr>
            <w:top w:val="none" w:sz="0" w:space="0" w:color="auto"/>
            <w:left w:val="none" w:sz="0" w:space="0" w:color="auto"/>
            <w:bottom w:val="none" w:sz="0" w:space="0" w:color="auto"/>
            <w:right w:val="none" w:sz="0" w:space="0" w:color="auto"/>
          </w:divBdr>
        </w:div>
        <w:div w:id="266891759">
          <w:marLeft w:val="480"/>
          <w:marRight w:val="0"/>
          <w:marTop w:val="0"/>
          <w:marBottom w:val="0"/>
          <w:divBdr>
            <w:top w:val="none" w:sz="0" w:space="0" w:color="auto"/>
            <w:left w:val="none" w:sz="0" w:space="0" w:color="auto"/>
            <w:bottom w:val="none" w:sz="0" w:space="0" w:color="auto"/>
            <w:right w:val="none" w:sz="0" w:space="0" w:color="auto"/>
          </w:divBdr>
        </w:div>
        <w:div w:id="1128165747">
          <w:marLeft w:val="480"/>
          <w:marRight w:val="0"/>
          <w:marTop w:val="0"/>
          <w:marBottom w:val="0"/>
          <w:divBdr>
            <w:top w:val="none" w:sz="0" w:space="0" w:color="auto"/>
            <w:left w:val="none" w:sz="0" w:space="0" w:color="auto"/>
            <w:bottom w:val="none" w:sz="0" w:space="0" w:color="auto"/>
            <w:right w:val="none" w:sz="0" w:space="0" w:color="auto"/>
          </w:divBdr>
        </w:div>
        <w:div w:id="2015109768">
          <w:marLeft w:val="480"/>
          <w:marRight w:val="0"/>
          <w:marTop w:val="0"/>
          <w:marBottom w:val="0"/>
          <w:divBdr>
            <w:top w:val="none" w:sz="0" w:space="0" w:color="auto"/>
            <w:left w:val="none" w:sz="0" w:space="0" w:color="auto"/>
            <w:bottom w:val="none" w:sz="0" w:space="0" w:color="auto"/>
            <w:right w:val="none" w:sz="0" w:space="0" w:color="auto"/>
          </w:divBdr>
        </w:div>
        <w:div w:id="1238827823">
          <w:marLeft w:val="480"/>
          <w:marRight w:val="0"/>
          <w:marTop w:val="0"/>
          <w:marBottom w:val="0"/>
          <w:divBdr>
            <w:top w:val="none" w:sz="0" w:space="0" w:color="auto"/>
            <w:left w:val="none" w:sz="0" w:space="0" w:color="auto"/>
            <w:bottom w:val="none" w:sz="0" w:space="0" w:color="auto"/>
            <w:right w:val="none" w:sz="0" w:space="0" w:color="auto"/>
          </w:divBdr>
        </w:div>
        <w:div w:id="1991521179">
          <w:marLeft w:val="480"/>
          <w:marRight w:val="0"/>
          <w:marTop w:val="0"/>
          <w:marBottom w:val="0"/>
          <w:divBdr>
            <w:top w:val="none" w:sz="0" w:space="0" w:color="auto"/>
            <w:left w:val="none" w:sz="0" w:space="0" w:color="auto"/>
            <w:bottom w:val="none" w:sz="0" w:space="0" w:color="auto"/>
            <w:right w:val="none" w:sz="0" w:space="0" w:color="auto"/>
          </w:divBdr>
        </w:div>
        <w:div w:id="2137530387">
          <w:marLeft w:val="480"/>
          <w:marRight w:val="0"/>
          <w:marTop w:val="0"/>
          <w:marBottom w:val="0"/>
          <w:divBdr>
            <w:top w:val="none" w:sz="0" w:space="0" w:color="auto"/>
            <w:left w:val="none" w:sz="0" w:space="0" w:color="auto"/>
            <w:bottom w:val="none" w:sz="0" w:space="0" w:color="auto"/>
            <w:right w:val="none" w:sz="0" w:space="0" w:color="auto"/>
          </w:divBdr>
        </w:div>
        <w:div w:id="95299345">
          <w:marLeft w:val="480"/>
          <w:marRight w:val="0"/>
          <w:marTop w:val="0"/>
          <w:marBottom w:val="0"/>
          <w:divBdr>
            <w:top w:val="none" w:sz="0" w:space="0" w:color="auto"/>
            <w:left w:val="none" w:sz="0" w:space="0" w:color="auto"/>
            <w:bottom w:val="none" w:sz="0" w:space="0" w:color="auto"/>
            <w:right w:val="none" w:sz="0" w:space="0" w:color="auto"/>
          </w:divBdr>
        </w:div>
        <w:div w:id="467402957">
          <w:marLeft w:val="480"/>
          <w:marRight w:val="0"/>
          <w:marTop w:val="0"/>
          <w:marBottom w:val="0"/>
          <w:divBdr>
            <w:top w:val="none" w:sz="0" w:space="0" w:color="auto"/>
            <w:left w:val="none" w:sz="0" w:space="0" w:color="auto"/>
            <w:bottom w:val="none" w:sz="0" w:space="0" w:color="auto"/>
            <w:right w:val="none" w:sz="0" w:space="0" w:color="auto"/>
          </w:divBdr>
        </w:div>
        <w:div w:id="37517609">
          <w:marLeft w:val="480"/>
          <w:marRight w:val="0"/>
          <w:marTop w:val="0"/>
          <w:marBottom w:val="0"/>
          <w:divBdr>
            <w:top w:val="none" w:sz="0" w:space="0" w:color="auto"/>
            <w:left w:val="none" w:sz="0" w:space="0" w:color="auto"/>
            <w:bottom w:val="none" w:sz="0" w:space="0" w:color="auto"/>
            <w:right w:val="none" w:sz="0" w:space="0" w:color="auto"/>
          </w:divBdr>
        </w:div>
        <w:div w:id="888567361">
          <w:marLeft w:val="480"/>
          <w:marRight w:val="0"/>
          <w:marTop w:val="0"/>
          <w:marBottom w:val="0"/>
          <w:divBdr>
            <w:top w:val="none" w:sz="0" w:space="0" w:color="auto"/>
            <w:left w:val="none" w:sz="0" w:space="0" w:color="auto"/>
            <w:bottom w:val="none" w:sz="0" w:space="0" w:color="auto"/>
            <w:right w:val="none" w:sz="0" w:space="0" w:color="auto"/>
          </w:divBdr>
        </w:div>
        <w:div w:id="1753548160">
          <w:marLeft w:val="480"/>
          <w:marRight w:val="0"/>
          <w:marTop w:val="0"/>
          <w:marBottom w:val="0"/>
          <w:divBdr>
            <w:top w:val="none" w:sz="0" w:space="0" w:color="auto"/>
            <w:left w:val="none" w:sz="0" w:space="0" w:color="auto"/>
            <w:bottom w:val="none" w:sz="0" w:space="0" w:color="auto"/>
            <w:right w:val="none" w:sz="0" w:space="0" w:color="auto"/>
          </w:divBdr>
        </w:div>
        <w:div w:id="1631595031">
          <w:marLeft w:val="480"/>
          <w:marRight w:val="0"/>
          <w:marTop w:val="0"/>
          <w:marBottom w:val="0"/>
          <w:divBdr>
            <w:top w:val="none" w:sz="0" w:space="0" w:color="auto"/>
            <w:left w:val="none" w:sz="0" w:space="0" w:color="auto"/>
            <w:bottom w:val="none" w:sz="0" w:space="0" w:color="auto"/>
            <w:right w:val="none" w:sz="0" w:space="0" w:color="auto"/>
          </w:divBdr>
        </w:div>
        <w:div w:id="1827889934">
          <w:marLeft w:val="480"/>
          <w:marRight w:val="0"/>
          <w:marTop w:val="0"/>
          <w:marBottom w:val="0"/>
          <w:divBdr>
            <w:top w:val="none" w:sz="0" w:space="0" w:color="auto"/>
            <w:left w:val="none" w:sz="0" w:space="0" w:color="auto"/>
            <w:bottom w:val="none" w:sz="0" w:space="0" w:color="auto"/>
            <w:right w:val="none" w:sz="0" w:space="0" w:color="auto"/>
          </w:divBdr>
        </w:div>
        <w:div w:id="609238961">
          <w:marLeft w:val="480"/>
          <w:marRight w:val="0"/>
          <w:marTop w:val="0"/>
          <w:marBottom w:val="0"/>
          <w:divBdr>
            <w:top w:val="none" w:sz="0" w:space="0" w:color="auto"/>
            <w:left w:val="none" w:sz="0" w:space="0" w:color="auto"/>
            <w:bottom w:val="none" w:sz="0" w:space="0" w:color="auto"/>
            <w:right w:val="none" w:sz="0" w:space="0" w:color="auto"/>
          </w:divBdr>
        </w:div>
        <w:div w:id="1431656520">
          <w:marLeft w:val="480"/>
          <w:marRight w:val="0"/>
          <w:marTop w:val="0"/>
          <w:marBottom w:val="0"/>
          <w:divBdr>
            <w:top w:val="none" w:sz="0" w:space="0" w:color="auto"/>
            <w:left w:val="none" w:sz="0" w:space="0" w:color="auto"/>
            <w:bottom w:val="none" w:sz="0" w:space="0" w:color="auto"/>
            <w:right w:val="none" w:sz="0" w:space="0" w:color="auto"/>
          </w:divBdr>
        </w:div>
        <w:div w:id="228812803">
          <w:marLeft w:val="480"/>
          <w:marRight w:val="0"/>
          <w:marTop w:val="0"/>
          <w:marBottom w:val="0"/>
          <w:divBdr>
            <w:top w:val="none" w:sz="0" w:space="0" w:color="auto"/>
            <w:left w:val="none" w:sz="0" w:space="0" w:color="auto"/>
            <w:bottom w:val="none" w:sz="0" w:space="0" w:color="auto"/>
            <w:right w:val="none" w:sz="0" w:space="0" w:color="auto"/>
          </w:divBdr>
        </w:div>
        <w:div w:id="1954706150">
          <w:marLeft w:val="480"/>
          <w:marRight w:val="0"/>
          <w:marTop w:val="0"/>
          <w:marBottom w:val="0"/>
          <w:divBdr>
            <w:top w:val="none" w:sz="0" w:space="0" w:color="auto"/>
            <w:left w:val="none" w:sz="0" w:space="0" w:color="auto"/>
            <w:bottom w:val="none" w:sz="0" w:space="0" w:color="auto"/>
            <w:right w:val="none" w:sz="0" w:space="0" w:color="auto"/>
          </w:divBdr>
        </w:div>
        <w:div w:id="2078433880">
          <w:marLeft w:val="480"/>
          <w:marRight w:val="0"/>
          <w:marTop w:val="0"/>
          <w:marBottom w:val="0"/>
          <w:divBdr>
            <w:top w:val="none" w:sz="0" w:space="0" w:color="auto"/>
            <w:left w:val="none" w:sz="0" w:space="0" w:color="auto"/>
            <w:bottom w:val="none" w:sz="0" w:space="0" w:color="auto"/>
            <w:right w:val="none" w:sz="0" w:space="0" w:color="auto"/>
          </w:divBdr>
        </w:div>
        <w:div w:id="1286041004">
          <w:marLeft w:val="480"/>
          <w:marRight w:val="0"/>
          <w:marTop w:val="0"/>
          <w:marBottom w:val="0"/>
          <w:divBdr>
            <w:top w:val="none" w:sz="0" w:space="0" w:color="auto"/>
            <w:left w:val="none" w:sz="0" w:space="0" w:color="auto"/>
            <w:bottom w:val="none" w:sz="0" w:space="0" w:color="auto"/>
            <w:right w:val="none" w:sz="0" w:space="0" w:color="auto"/>
          </w:divBdr>
        </w:div>
        <w:div w:id="272245339">
          <w:marLeft w:val="480"/>
          <w:marRight w:val="0"/>
          <w:marTop w:val="0"/>
          <w:marBottom w:val="0"/>
          <w:divBdr>
            <w:top w:val="none" w:sz="0" w:space="0" w:color="auto"/>
            <w:left w:val="none" w:sz="0" w:space="0" w:color="auto"/>
            <w:bottom w:val="none" w:sz="0" w:space="0" w:color="auto"/>
            <w:right w:val="none" w:sz="0" w:space="0" w:color="auto"/>
          </w:divBdr>
        </w:div>
        <w:div w:id="491217353">
          <w:marLeft w:val="480"/>
          <w:marRight w:val="0"/>
          <w:marTop w:val="0"/>
          <w:marBottom w:val="0"/>
          <w:divBdr>
            <w:top w:val="none" w:sz="0" w:space="0" w:color="auto"/>
            <w:left w:val="none" w:sz="0" w:space="0" w:color="auto"/>
            <w:bottom w:val="none" w:sz="0" w:space="0" w:color="auto"/>
            <w:right w:val="none" w:sz="0" w:space="0" w:color="auto"/>
          </w:divBdr>
        </w:div>
        <w:div w:id="990671827">
          <w:marLeft w:val="480"/>
          <w:marRight w:val="0"/>
          <w:marTop w:val="0"/>
          <w:marBottom w:val="0"/>
          <w:divBdr>
            <w:top w:val="none" w:sz="0" w:space="0" w:color="auto"/>
            <w:left w:val="none" w:sz="0" w:space="0" w:color="auto"/>
            <w:bottom w:val="none" w:sz="0" w:space="0" w:color="auto"/>
            <w:right w:val="none" w:sz="0" w:space="0" w:color="auto"/>
          </w:divBdr>
        </w:div>
        <w:div w:id="161046854">
          <w:marLeft w:val="480"/>
          <w:marRight w:val="0"/>
          <w:marTop w:val="0"/>
          <w:marBottom w:val="0"/>
          <w:divBdr>
            <w:top w:val="none" w:sz="0" w:space="0" w:color="auto"/>
            <w:left w:val="none" w:sz="0" w:space="0" w:color="auto"/>
            <w:bottom w:val="none" w:sz="0" w:space="0" w:color="auto"/>
            <w:right w:val="none" w:sz="0" w:space="0" w:color="auto"/>
          </w:divBdr>
        </w:div>
        <w:div w:id="111635821">
          <w:marLeft w:val="480"/>
          <w:marRight w:val="0"/>
          <w:marTop w:val="0"/>
          <w:marBottom w:val="0"/>
          <w:divBdr>
            <w:top w:val="none" w:sz="0" w:space="0" w:color="auto"/>
            <w:left w:val="none" w:sz="0" w:space="0" w:color="auto"/>
            <w:bottom w:val="none" w:sz="0" w:space="0" w:color="auto"/>
            <w:right w:val="none" w:sz="0" w:space="0" w:color="auto"/>
          </w:divBdr>
        </w:div>
        <w:div w:id="601185436">
          <w:marLeft w:val="480"/>
          <w:marRight w:val="0"/>
          <w:marTop w:val="0"/>
          <w:marBottom w:val="0"/>
          <w:divBdr>
            <w:top w:val="none" w:sz="0" w:space="0" w:color="auto"/>
            <w:left w:val="none" w:sz="0" w:space="0" w:color="auto"/>
            <w:bottom w:val="none" w:sz="0" w:space="0" w:color="auto"/>
            <w:right w:val="none" w:sz="0" w:space="0" w:color="auto"/>
          </w:divBdr>
        </w:div>
        <w:div w:id="1450706983">
          <w:marLeft w:val="480"/>
          <w:marRight w:val="0"/>
          <w:marTop w:val="0"/>
          <w:marBottom w:val="0"/>
          <w:divBdr>
            <w:top w:val="none" w:sz="0" w:space="0" w:color="auto"/>
            <w:left w:val="none" w:sz="0" w:space="0" w:color="auto"/>
            <w:bottom w:val="none" w:sz="0" w:space="0" w:color="auto"/>
            <w:right w:val="none" w:sz="0" w:space="0" w:color="auto"/>
          </w:divBdr>
        </w:div>
        <w:div w:id="1222866056">
          <w:marLeft w:val="480"/>
          <w:marRight w:val="0"/>
          <w:marTop w:val="0"/>
          <w:marBottom w:val="0"/>
          <w:divBdr>
            <w:top w:val="none" w:sz="0" w:space="0" w:color="auto"/>
            <w:left w:val="none" w:sz="0" w:space="0" w:color="auto"/>
            <w:bottom w:val="none" w:sz="0" w:space="0" w:color="auto"/>
            <w:right w:val="none" w:sz="0" w:space="0" w:color="auto"/>
          </w:divBdr>
        </w:div>
        <w:div w:id="513225536">
          <w:marLeft w:val="480"/>
          <w:marRight w:val="0"/>
          <w:marTop w:val="0"/>
          <w:marBottom w:val="0"/>
          <w:divBdr>
            <w:top w:val="none" w:sz="0" w:space="0" w:color="auto"/>
            <w:left w:val="none" w:sz="0" w:space="0" w:color="auto"/>
            <w:bottom w:val="none" w:sz="0" w:space="0" w:color="auto"/>
            <w:right w:val="none" w:sz="0" w:space="0" w:color="auto"/>
          </w:divBdr>
        </w:div>
        <w:div w:id="704673052">
          <w:marLeft w:val="480"/>
          <w:marRight w:val="0"/>
          <w:marTop w:val="0"/>
          <w:marBottom w:val="0"/>
          <w:divBdr>
            <w:top w:val="none" w:sz="0" w:space="0" w:color="auto"/>
            <w:left w:val="none" w:sz="0" w:space="0" w:color="auto"/>
            <w:bottom w:val="none" w:sz="0" w:space="0" w:color="auto"/>
            <w:right w:val="none" w:sz="0" w:space="0" w:color="auto"/>
          </w:divBdr>
        </w:div>
        <w:div w:id="39475772">
          <w:marLeft w:val="480"/>
          <w:marRight w:val="0"/>
          <w:marTop w:val="0"/>
          <w:marBottom w:val="0"/>
          <w:divBdr>
            <w:top w:val="none" w:sz="0" w:space="0" w:color="auto"/>
            <w:left w:val="none" w:sz="0" w:space="0" w:color="auto"/>
            <w:bottom w:val="none" w:sz="0" w:space="0" w:color="auto"/>
            <w:right w:val="none" w:sz="0" w:space="0" w:color="auto"/>
          </w:divBdr>
        </w:div>
        <w:div w:id="432164135">
          <w:marLeft w:val="480"/>
          <w:marRight w:val="0"/>
          <w:marTop w:val="0"/>
          <w:marBottom w:val="0"/>
          <w:divBdr>
            <w:top w:val="none" w:sz="0" w:space="0" w:color="auto"/>
            <w:left w:val="none" w:sz="0" w:space="0" w:color="auto"/>
            <w:bottom w:val="none" w:sz="0" w:space="0" w:color="auto"/>
            <w:right w:val="none" w:sz="0" w:space="0" w:color="auto"/>
          </w:divBdr>
        </w:div>
        <w:div w:id="804009946">
          <w:marLeft w:val="480"/>
          <w:marRight w:val="0"/>
          <w:marTop w:val="0"/>
          <w:marBottom w:val="0"/>
          <w:divBdr>
            <w:top w:val="none" w:sz="0" w:space="0" w:color="auto"/>
            <w:left w:val="none" w:sz="0" w:space="0" w:color="auto"/>
            <w:bottom w:val="none" w:sz="0" w:space="0" w:color="auto"/>
            <w:right w:val="none" w:sz="0" w:space="0" w:color="auto"/>
          </w:divBdr>
        </w:div>
        <w:div w:id="1045301069">
          <w:marLeft w:val="480"/>
          <w:marRight w:val="0"/>
          <w:marTop w:val="0"/>
          <w:marBottom w:val="0"/>
          <w:divBdr>
            <w:top w:val="none" w:sz="0" w:space="0" w:color="auto"/>
            <w:left w:val="none" w:sz="0" w:space="0" w:color="auto"/>
            <w:bottom w:val="none" w:sz="0" w:space="0" w:color="auto"/>
            <w:right w:val="none" w:sz="0" w:space="0" w:color="auto"/>
          </w:divBdr>
        </w:div>
        <w:div w:id="1213692259">
          <w:marLeft w:val="480"/>
          <w:marRight w:val="0"/>
          <w:marTop w:val="0"/>
          <w:marBottom w:val="0"/>
          <w:divBdr>
            <w:top w:val="none" w:sz="0" w:space="0" w:color="auto"/>
            <w:left w:val="none" w:sz="0" w:space="0" w:color="auto"/>
            <w:bottom w:val="none" w:sz="0" w:space="0" w:color="auto"/>
            <w:right w:val="none" w:sz="0" w:space="0" w:color="auto"/>
          </w:divBdr>
        </w:div>
        <w:div w:id="653528343">
          <w:marLeft w:val="480"/>
          <w:marRight w:val="0"/>
          <w:marTop w:val="0"/>
          <w:marBottom w:val="0"/>
          <w:divBdr>
            <w:top w:val="none" w:sz="0" w:space="0" w:color="auto"/>
            <w:left w:val="none" w:sz="0" w:space="0" w:color="auto"/>
            <w:bottom w:val="none" w:sz="0" w:space="0" w:color="auto"/>
            <w:right w:val="none" w:sz="0" w:space="0" w:color="auto"/>
          </w:divBdr>
        </w:div>
        <w:div w:id="1987780112">
          <w:marLeft w:val="480"/>
          <w:marRight w:val="0"/>
          <w:marTop w:val="0"/>
          <w:marBottom w:val="0"/>
          <w:divBdr>
            <w:top w:val="none" w:sz="0" w:space="0" w:color="auto"/>
            <w:left w:val="none" w:sz="0" w:space="0" w:color="auto"/>
            <w:bottom w:val="none" w:sz="0" w:space="0" w:color="auto"/>
            <w:right w:val="none" w:sz="0" w:space="0" w:color="auto"/>
          </w:divBdr>
        </w:div>
        <w:div w:id="572394438">
          <w:marLeft w:val="480"/>
          <w:marRight w:val="0"/>
          <w:marTop w:val="0"/>
          <w:marBottom w:val="0"/>
          <w:divBdr>
            <w:top w:val="none" w:sz="0" w:space="0" w:color="auto"/>
            <w:left w:val="none" w:sz="0" w:space="0" w:color="auto"/>
            <w:bottom w:val="none" w:sz="0" w:space="0" w:color="auto"/>
            <w:right w:val="none" w:sz="0" w:space="0" w:color="auto"/>
          </w:divBdr>
        </w:div>
        <w:div w:id="1577083806">
          <w:marLeft w:val="480"/>
          <w:marRight w:val="0"/>
          <w:marTop w:val="0"/>
          <w:marBottom w:val="0"/>
          <w:divBdr>
            <w:top w:val="none" w:sz="0" w:space="0" w:color="auto"/>
            <w:left w:val="none" w:sz="0" w:space="0" w:color="auto"/>
            <w:bottom w:val="none" w:sz="0" w:space="0" w:color="auto"/>
            <w:right w:val="none" w:sz="0" w:space="0" w:color="auto"/>
          </w:divBdr>
        </w:div>
        <w:div w:id="865366191">
          <w:marLeft w:val="480"/>
          <w:marRight w:val="0"/>
          <w:marTop w:val="0"/>
          <w:marBottom w:val="0"/>
          <w:divBdr>
            <w:top w:val="none" w:sz="0" w:space="0" w:color="auto"/>
            <w:left w:val="none" w:sz="0" w:space="0" w:color="auto"/>
            <w:bottom w:val="none" w:sz="0" w:space="0" w:color="auto"/>
            <w:right w:val="none" w:sz="0" w:space="0" w:color="auto"/>
          </w:divBdr>
        </w:div>
        <w:div w:id="2121027138">
          <w:marLeft w:val="480"/>
          <w:marRight w:val="0"/>
          <w:marTop w:val="0"/>
          <w:marBottom w:val="0"/>
          <w:divBdr>
            <w:top w:val="none" w:sz="0" w:space="0" w:color="auto"/>
            <w:left w:val="none" w:sz="0" w:space="0" w:color="auto"/>
            <w:bottom w:val="none" w:sz="0" w:space="0" w:color="auto"/>
            <w:right w:val="none" w:sz="0" w:space="0" w:color="auto"/>
          </w:divBdr>
        </w:div>
        <w:div w:id="434441794">
          <w:marLeft w:val="480"/>
          <w:marRight w:val="0"/>
          <w:marTop w:val="0"/>
          <w:marBottom w:val="0"/>
          <w:divBdr>
            <w:top w:val="none" w:sz="0" w:space="0" w:color="auto"/>
            <w:left w:val="none" w:sz="0" w:space="0" w:color="auto"/>
            <w:bottom w:val="none" w:sz="0" w:space="0" w:color="auto"/>
            <w:right w:val="none" w:sz="0" w:space="0" w:color="auto"/>
          </w:divBdr>
        </w:div>
        <w:div w:id="1648706287">
          <w:marLeft w:val="480"/>
          <w:marRight w:val="0"/>
          <w:marTop w:val="0"/>
          <w:marBottom w:val="0"/>
          <w:divBdr>
            <w:top w:val="none" w:sz="0" w:space="0" w:color="auto"/>
            <w:left w:val="none" w:sz="0" w:space="0" w:color="auto"/>
            <w:bottom w:val="none" w:sz="0" w:space="0" w:color="auto"/>
            <w:right w:val="none" w:sz="0" w:space="0" w:color="auto"/>
          </w:divBdr>
        </w:div>
        <w:div w:id="1408529500">
          <w:marLeft w:val="480"/>
          <w:marRight w:val="0"/>
          <w:marTop w:val="0"/>
          <w:marBottom w:val="0"/>
          <w:divBdr>
            <w:top w:val="none" w:sz="0" w:space="0" w:color="auto"/>
            <w:left w:val="none" w:sz="0" w:space="0" w:color="auto"/>
            <w:bottom w:val="none" w:sz="0" w:space="0" w:color="auto"/>
            <w:right w:val="none" w:sz="0" w:space="0" w:color="auto"/>
          </w:divBdr>
        </w:div>
        <w:div w:id="141164598">
          <w:marLeft w:val="480"/>
          <w:marRight w:val="0"/>
          <w:marTop w:val="0"/>
          <w:marBottom w:val="0"/>
          <w:divBdr>
            <w:top w:val="none" w:sz="0" w:space="0" w:color="auto"/>
            <w:left w:val="none" w:sz="0" w:space="0" w:color="auto"/>
            <w:bottom w:val="none" w:sz="0" w:space="0" w:color="auto"/>
            <w:right w:val="none" w:sz="0" w:space="0" w:color="auto"/>
          </w:divBdr>
        </w:div>
        <w:div w:id="340163736">
          <w:marLeft w:val="480"/>
          <w:marRight w:val="0"/>
          <w:marTop w:val="0"/>
          <w:marBottom w:val="0"/>
          <w:divBdr>
            <w:top w:val="none" w:sz="0" w:space="0" w:color="auto"/>
            <w:left w:val="none" w:sz="0" w:space="0" w:color="auto"/>
            <w:bottom w:val="none" w:sz="0" w:space="0" w:color="auto"/>
            <w:right w:val="none" w:sz="0" w:space="0" w:color="auto"/>
          </w:divBdr>
        </w:div>
        <w:div w:id="893463373">
          <w:marLeft w:val="480"/>
          <w:marRight w:val="0"/>
          <w:marTop w:val="0"/>
          <w:marBottom w:val="0"/>
          <w:divBdr>
            <w:top w:val="none" w:sz="0" w:space="0" w:color="auto"/>
            <w:left w:val="none" w:sz="0" w:space="0" w:color="auto"/>
            <w:bottom w:val="none" w:sz="0" w:space="0" w:color="auto"/>
            <w:right w:val="none" w:sz="0" w:space="0" w:color="auto"/>
          </w:divBdr>
        </w:div>
        <w:div w:id="1052340013">
          <w:marLeft w:val="480"/>
          <w:marRight w:val="0"/>
          <w:marTop w:val="0"/>
          <w:marBottom w:val="0"/>
          <w:divBdr>
            <w:top w:val="none" w:sz="0" w:space="0" w:color="auto"/>
            <w:left w:val="none" w:sz="0" w:space="0" w:color="auto"/>
            <w:bottom w:val="none" w:sz="0" w:space="0" w:color="auto"/>
            <w:right w:val="none" w:sz="0" w:space="0" w:color="auto"/>
          </w:divBdr>
        </w:div>
        <w:div w:id="1640987604">
          <w:marLeft w:val="480"/>
          <w:marRight w:val="0"/>
          <w:marTop w:val="0"/>
          <w:marBottom w:val="0"/>
          <w:divBdr>
            <w:top w:val="none" w:sz="0" w:space="0" w:color="auto"/>
            <w:left w:val="none" w:sz="0" w:space="0" w:color="auto"/>
            <w:bottom w:val="none" w:sz="0" w:space="0" w:color="auto"/>
            <w:right w:val="none" w:sz="0" w:space="0" w:color="auto"/>
          </w:divBdr>
        </w:div>
        <w:div w:id="312028984">
          <w:marLeft w:val="480"/>
          <w:marRight w:val="0"/>
          <w:marTop w:val="0"/>
          <w:marBottom w:val="0"/>
          <w:divBdr>
            <w:top w:val="none" w:sz="0" w:space="0" w:color="auto"/>
            <w:left w:val="none" w:sz="0" w:space="0" w:color="auto"/>
            <w:bottom w:val="none" w:sz="0" w:space="0" w:color="auto"/>
            <w:right w:val="none" w:sz="0" w:space="0" w:color="auto"/>
          </w:divBdr>
        </w:div>
      </w:divsChild>
    </w:div>
    <w:div w:id="224948974">
      <w:bodyDiv w:val="1"/>
      <w:marLeft w:val="0"/>
      <w:marRight w:val="0"/>
      <w:marTop w:val="0"/>
      <w:marBottom w:val="0"/>
      <w:divBdr>
        <w:top w:val="none" w:sz="0" w:space="0" w:color="auto"/>
        <w:left w:val="none" w:sz="0" w:space="0" w:color="auto"/>
        <w:bottom w:val="none" w:sz="0" w:space="0" w:color="auto"/>
        <w:right w:val="none" w:sz="0" w:space="0" w:color="auto"/>
      </w:divBdr>
    </w:div>
    <w:div w:id="224952273">
      <w:bodyDiv w:val="1"/>
      <w:marLeft w:val="0"/>
      <w:marRight w:val="0"/>
      <w:marTop w:val="0"/>
      <w:marBottom w:val="0"/>
      <w:divBdr>
        <w:top w:val="none" w:sz="0" w:space="0" w:color="auto"/>
        <w:left w:val="none" w:sz="0" w:space="0" w:color="auto"/>
        <w:bottom w:val="none" w:sz="0" w:space="0" w:color="auto"/>
        <w:right w:val="none" w:sz="0" w:space="0" w:color="auto"/>
      </w:divBdr>
    </w:div>
    <w:div w:id="225651962">
      <w:bodyDiv w:val="1"/>
      <w:marLeft w:val="0"/>
      <w:marRight w:val="0"/>
      <w:marTop w:val="0"/>
      <w:marBottom w:val="0"/>
      <w:divBdr>
        <w:top w:val="none" w:sz="0" w:space="0" w:color="auto"/>
        <w:left w:val="none" w:sz="0" w:space="0" w:color="auto"/>
        <w:bottom w:val="none" w:sz="0" w:space="0" w:color="auto"/>
        <w:right w:val="none" w:sz="0" w:space="0" w:color="auto"/>
      </w:divBdr>
    </w:div>
    <w:div w:id="225919705">
      <w:bodyDiv w:val="1"/>
      <w:marLeft w:val="0"/>
      <w:marRight w:val="0"/>
      <w:marTop w:val="0"/>
      <w:marBottom w:val="0"/>
      <w:divBdr>
        <w:top w:val="none" w:sz="0" w:space="0" w:color="auto"/>
        <w:left w:val="none" w:sz="0" w:space="0" w:color="auto"/>
        <w:bottom w:val="none" w:sz="0" w:space="0" w:color="auto"/>
        <w:right w:val="none" w:sz="0" w:space="0" w:color="auto"/>
      </w:divBdr>
    </w:div>
    <w:div w:id="225990947">
      <w:bodyDiv w:val="1"/>
      <w:marLeft w:val="0"/>
      <w:marRight w:val="0"/>
      <w:marTop w:val="0"/>
      <w:marBottom w:val="0"/>
      <w:divBdr>
        <w:top w:val="none" w:sz="0" w:space="0" w:color="auto"/>
        <w:left w:val="none" w:sz="0" w:space="0" w:color="auto"/>
        <w:bottom w:val="none" w:sz="0" w:space="0" w:color="auto"/>
        <w:right w:val="none" w:sz="0" w:space="0" w:color="auto"/>
      </w:divBdr>
    </w:div>
    <w:div w:id="227040703">
      <w:bodyDiv w:val="1"/>
      <w:marLeft w:val="0"/>
      <w:marRight w:val="0"/>
      <w:marTop w:val="0"/>
      <w:marBottom w:val="0"/>
      <w:divBdr>
        <w:top w:val="none" w:sz="0" w:space="0" w:color="auto"/>
        <w:left w:val="none" w:sz="0" w:space="0" w:color="auto"/>
        <w:bottom w:val="none" w:sz="0" w:space="0" w:color="auto"/>
        <w:right w:val="none" w:sz="0" w:space="0" w:color="auto"/>
      </w:divBdr>
    </w:div>
    <w:div w:id="228149340">
      <w:bodyDiv w:val="1"/>
      <w:marLeft w:val="0"/>
      <w:marRight w:val="0"/>
      <w:marTop w:val="0"/>
      <w:marBottom w:val="0"/>
      <w:divBdr>
        <w:top w:val="none" w:sz="0" w:space="0" w:color="auto"/>
        <w:left w:val="none" w:sz="0" w:space="0" w:color="auto"/>
        <w:bottom w:val="none" w:sz="0" w:space="0" w:color="auto"/>
        <w:right w:val="none" w:sz="0" w:space="0" w:color="auto"/>
      </w:divBdr>
    </w:div>
    <w:div w:id="228151847">
      <w:bodyDiv w:val="1"/>
      <w:marLeft w:val="0"/>
      <w:marRight w:val="0"/>
      <w:marTop w:val="0"/>
      <w:marBottom w:val="0"/>
      <w:divBdr>
        <w:top w:val="none" w:sz="0" w:space="0" w:color="auto"/>
        <w:left w:val="none" w:sz="0" w:space="0" w:color="auto"/>
        <w:bottom w:val="none" w:sz="0" w:space="0" w:color="auto"/>
        <w:right w:val="none" w:sz="0" w:space="0" w:color="auto"/>
      </w:divBdr>
    </w:div>
    <w:div w:id="228198099">
      <w:bodyDiv w:val="1"/>
      <w:marLeft w:val="0"/>
      <w:marRight w:val="0"/>
      <w:marTop w:val="0"/>
      <w:marBottom w:val="0"/>
      <w:divBdr>
        <w:top w:val="none" w:sz="0" w:space="0" w:color="auto"/>
        <w:left w:val="none" w:sz="0" w:space="0" w:color="auto"/>
        <w:bottom w:val="none" w:sz="0" w:space="0" w:color="auto"/>
        <w:right w:val="none" w:sz="0" w:space="0" w:color="auto"/>
      </w:divBdr>
    </w:div>
    <w:div w:id="228536841">
      <w:bodyDiv w:val="1"/>
      <w:marLeft w:val="0"/>
      <w:marRight w:val="0"/>
      <w:marTop w:val="0"/>
      <w:marBottom w:val="0"/>
      <w:divBdr>
        <w:top w:val="none" w:sz="0" w:space="0" w:color="auto"/>
        <w:left w:val="none" w:sz="0" w:space="0" w:color="auto"/>
        <w:bottom w:val="none" w:sz="0" w:space="0" w:color="auto"/>
        <w:right w:val="none" w:sz="0" w:space="0" w:color="auto"/>
      </w:divBdr>
    </w:div>
    <w:div w:id="229005347">
      <w:bodyDiv w:val="1"/>
      <w:marLeft w:val="0"/>
      <w:marRight w:val="0"/>
      <w:marTop w:val="0"/>
      <w:marBottom w:val="0"/>
      <w:divBdr>
        <w:top w:val="none" w:sz="0" w:space="0" w:color="auto"/>
        <w:left w:val="none" w:sz="0" w:space="0" w:color="auto"/>
        <w:bottom w:val="none" w:sz="0" w:space="0" w:color="auto"/>
        <w:right w:val="none" w:sz="0" w:space="0" w:color="auto"/>
      </w:divBdr>
    </w:div>
    <w:div w:id="229077579">
      <w:bodyDiv w:val="1"/>
      <w:marLeft w:val="0"/>
      <w:marRight w:val="0"/>
      <w:marTop w:val="0"/>
      <w:marBottom w:val="0"/>
      <w:divBdr>
        <w:top w:val="none" w:sz="0" w:space="0" w:color="auto"/>
        <w:left w:val="none" w:sz="0" w:space="0" w:color="auto"/>
        <w:bottom w:val="none" w:sz="0" w:space="0" w:color="auto"/>
        <w:right w:val="none" w:sz="0" w:space="0" w:color="auto"/>
      </w:divBdr>
    </w:div>
    <w:div w:id="229655693">
      <w:bodyDiv w:val="1"/>
      <w:marLeft w:val="0"/>
      <w:marRight w:val="0"/>
      <w:marTop w:val="0"/>
      <w:marBottom w:val="0"/>
      <w:divBdr>
        <w:top w:val="none" w:sz="0" w:space="0" w:color="auto"/>
        <w:left w:val="none" w:sz="0" w:space="0" w:color="auto"/>
        <w:bottom w:val="none" w:sz="0" w:space="0" w:color="auto"/>
        <w:right w:val="none" w:sz="0" w:space="0" w:color="auto"/>
      </w:divBdr>
    </w:div>
    <w:div w:id="230700583">
      <w:bodyDiv w:val="1"/>
      <w:marLeft w:val="0"/>
      <w:marRight w:val="0"/>
      <w:marTop w:val="0"/>
      <w:marBottom w:val="0"/>
      <w:divBdr>
        <w:top w:val="none" w:sz="0" w:space="0" w:color="auto"/>
        <w:left w:val="none" w:sz="0" w:space="0" w:color="auto"/>
        <w:bottom w:val="none" w:sz="0" w:space="0" w:color="auto"/>
        <w:right w:val="none" w:sz="0" w:space="0" w:color="auto"/>
      </w:divBdr>
    </w:div>
    <w:div w:id="231277669">
      <w:bodyDiv w:val="1"/>
      <w:marLeft w:val="0"/>
      <w:marRight w:val="0"/>
      <w:marTop w:val="0"/>
      <w:marBottom w:val="0"/>
      <w:divBdr>
        <w:top w:val="none" w:sz="0" w:space="0" w:color="auto"/>
        <w:left w:val="none" w:sz="0" w:space="0" w:color="auto"/>
        <w:bottom w:val="none" w:sz="0" w:space="0" w:color="auto"/>
        <w:right w:val="none" w:sz="0" w:space="0" w:color="auto"/>
      </w:divBdr>
    </w:div>
    <w:div w:id="231736621">
      <w:bodyDiv w:val="1"/>
      <w:marLeft w:val="0"/>
      <w:marRight w:val="0"/>
      <w:marTop w:val="0"/>
      <w:marBottom w:val="0"/>
      <w:divBdr>
        <w:top w:val="none" w:sz="0" w:space="0" w:color="auto"/>
        <w:left w:val="none" w:sz="0" w:space="0" w:color="auto"/>
        <w:bottom w:val="none" w:sz="0" w:space="0" w:color="auto"/>
        <w:right w:val="none" w:sz="0" w:space="0" w:color="auto"/>
      </w:divBdr>
    </w:div>
    <w:div w:id="233440648">
      <w:bodyDiv w:val="1"/>
      <w:marLeft w:val="0"/>
      <w:marRight w:val="0"/>
      <w:marTop w:val="0"/>
      <w:marBottom w:val="0"/>
      <w:divBdr>
        <w:top w:val="none" w:sz="0" w:space="0" w:color="auto"/>
        <w:left w:val="none" w:sz="0" w:space="0" w:color="auto"/>
        <w:bottom w:val="none" w:sz="0" w:space="0" w:color="auto"/>
        <w:right w:val="none" w:sz="0" w:space="0" w:color="auto"/>
      </w:divBdr>
    </w:div>
    <w:div w:id="233516937">
      <w:bodyDiv w:val="1"/>
      <w:marLeft w:val="0"/>
      <w:marRight w:val="0"/>
      <w:marTop w:val="0"/>
      <w:marBottom w:val="0"/>
      <w:divBdr>
        <w:top w:val="none" w:sz="0" w:space="0" w:color="auto"/>
        <w:left w:val="none" w:sz="0" w:space="0" w:color="auto"/>
        <w:bottom w:val="none" w:sz="0" w:space="0" w:color="auto"/>
        <w:right w:val="none" w:sz="0" w:space="0" w:color="auto"/>
      </w:divBdr>
    </w:div>
    <w:div w:id="234362534">
      <w:bodyDiv w:val="1"/>
      <w:marLeft w:val="0"/>
      <w:marRight w:val="0"/>
      <w:marTop w:val="0"/>
      <w:marBottom w:val="0"/>
      <w:divBdr>
        <w:top w:val="none" w:sz="0" w:space="0" w:color="auto"/>
        <w:left w:val="none" w:sz="0" w:space="0" w:color="auto"/>
        <w:bottom w:val="none" w:sz="0" w:space="0" w:color="auto"/>
        <w:right w:val="none" w:sz="0" w:space="0" w:color="auto"/>
      </w:divBdr>
    </w:div>
    <w:div w:id="235017009">
      <w:bodyDiv w:val="1"/>
      <w:marLeft w:val="0"/>
      <w:marRight w:val="0"/>
      <w:marTop w:val="0"/>
      <w:marBottom w:val="0"/>
      <w:divBdr>
        <w:top w:val="none" w:sz="0" w:space="0" w:color="auto"/>
        <w:left w:val="none" w:sz="0" w:space="0" w:color="auto"/>
        <w:bottom w:val="none" w:sz="0" w:space="0" w:color="auto"/>
        <w:right w:val="none" w:sz="0" w:space="0" w:color="auto"/>
      </w:divBdr>
    </w:div>
    <w:div w:id="235633510">
      <w:bodyDiv w:val="1"/>
      <w:marLeft w:val="0"/>
      <w:marRight w:val="0"/>
      <w:marTop w:val="0"/>
      <w:marBottom w:val="0"/>
      <w:divBdr>
        <w:top w:val="none" w:sz="0" w:space="0" w:color="auto"/>
        <w:left w:val="none" w:sz="0" w:space="0" w:color="auto"/>
        <w:bottom w:val="none" w:sz="0" w:space="0" w:color="auto"/>
        <w:right w:val="none" w:sz="0" w:space="0" w:color="auto"/>
      </w:divBdr>
    </w:div>
    <w:div w:id="236323740">
      <w:bodyDiv w:val="1"/>
      <w:marLeft w:val="0"/>
      <w:marRight w:val="0"/>
      <w:marTop w:val="0"/>
      <w:marBottom w:val="0"/>
      <w:divBdr>
        <w:top w:val="none" w:sz="0" w:space="0" w:color="auto"/>
        <w:left w:val="none" w:sz="0" w:space="0" w:color="auto"/>
        <w:bottom w:val="none" w:sz="0" w:space="0" w:color="auto"/>
        <w:right w:val="none" w:sz="0" w:space="0" w:color="auto"/>
      </w:divBdr>
    </w:div>
    <w:div w:id="236406271">
      <w:bodyDiv w:val="1"/>
      <w:marLeft w:val="0"/>
      <w:marRight w:val="0"/>
      <w:marTop w:val="0"/>
      <w:marBottom w:val="0"/>
      <w:divBdr>
        <w:top w:val="none" w:sz="0" w:space="0" w:color="auto"/>
        <w:left w:val="none" w:sz="0" w:space="0" w:color="auto"/>
        <w:bottom w:val="none" w:sz="0" w:space="0" w:color="auto"/>
        <w:right w:val="none" w:sz="0" w:space="0" w:color="auto"/>
      </w:divBdr>
    </w:div>
    <w:div w:id="237135139">
      <w:bodyDiv w:val="1"/>
      <w:marLeft w:val="0"/>
      <w:marRight w:val="0"/>
      <w:marTop w:val="0"/>
      <w:marBottom w:val="0"/>
      <w:divBdr>
        <w:top w:val="none" w:sz="0" w:space="0" w:color="auto"/>
        <w:left w:val="none" w:sz="0" w:space="0" w:color="auto"/>
        <w:bottom w:val="none" w:sz="0" w:space="0" w:color="auto"/>
        <w:right w:val="none" w:sz="0" w:space="0" w:color="auto"/>
      </w:divBdr>
    </w:div>
    <w:div w:id="237137001">
      <w:bodyDiv w:val="1"/>
      <w:marLeft w:val="0"/>
      <w:marRight w:val="0"/>
      <w:marTop w:val="0"/>
      <w:marBottom w:val="0"/>
      <w:divBdr>
        <w:top w:val="none" w:sz="0" w:space="0" w:color="auto"/>
        <w:left w:val="none" w:sz="0" w:space="0" w:color="auto"/>
        <w:bottom w:val="none" w:sz="0" w:space="0" w:color="auto"/>
        <w:right w:val="none" w:sz="0" w:space="0" w:color="auto"/>
      </w:divBdr>
    </w:div>
    <w:div w:id="237401287">
      <w:bodyDiv w:val="1"/>
      <w:marLeft w:val="0"/>
      <w:marRight w:val="0"/>
      <w:marTop w:val="0"/>
      <w:marBottom w:val="0"/>
      <w:divBdr>
        <w:top w:val="none" w:sz="0" w:space="0" w:color="auto"/>
        <w:left w:val="none" w:sz="0" w:space="0" w:color="auto"/>
        <w:bottom w:val="none" w:sz="0" w:space="0" w:color="auto"/>
        <w:right w:val="none" w:sz="0" w:space="0" w:color="auto"/>
      </w:divBdr>
    </w:div>
    <w:div w:id="238516232">
      <w:bodyDiv w:val="1"/>
      <w:marLeft w:val="0"/>
      <w:marRight w:val="0"/>
      <w:marTop w:val="0"/>
      <w:marBottom w:val="0"/>
      <w:divBdr>
        <w:top w:val="none" w:sz="0" w:space="0" w:color="auto"/>
        <w:left w:val="none" w:sz="0" w:space="0" w:color="auto"/>
        <w:bottom w:val="none" w:sz="0" w:space="0" w:color="auto"/>
        <w:right w:val="none" w:sz="0" w:space="0" w:color="auto"/>
      </w:divBdr>
    </w:div>
    <w:div w:id="239481758">
      <w:bodyDiv w:val="1"/>
      <w:marLeft w:val="0"/>
      <w:marRight w:val="0"/>
      <w:marTop w:val="0"/>
      <w:marBottom w:val="0"/>
      <w:divBdr>
        <w:top w:val="none" w:sz="0" w:space="0" w:color="auto"/>
        <w:left w:val="none" w:sz="0" w:space="0" w:color="auto"/>
        <w:bottom w:val="none" w:sz="0" w:space="0" w:color="auto"/>
        <w:right w:val="none" w:sz="0" w:space="0" w:color="auto"/>
      </w:divBdr>
      <w:divsChild>
        <w:div w:id="1428234179">
          <w:marLeft w:val="480"/>
          <w:marRight w:val="0"/>
          <w:marTop w:val="0"/>
          <w:marBottom w:val="0"/>
          <w:divBdr>
            <w:top w:val="none" w:sz="0" w:space="0" w:color="auto"/>
            <w:left w:val="none" w:sz="0" w:space="0" w:color="auto"/>
            <w:bottom w:val="none" w:sz="0" w:space="0" w:color="auto"/>
            <w:right w:val="none" w:sz="0" w:space="0" w:color="auto"/>
          </w:divBdr>
        </w:div>
        <w:div w:id="1841584195">
          <w:marLeft w:val="480"/>
          <w:marRight w:val="0"/>
          <w:marTop w:val="0"/>
          <w:marBottom w:val="0"/>
          <w:divBdr>
            <w:top w:val="none" w:sz="0" w:space="0" w:color="auto"/>
            <w:left w:val="none" w:sz="0" w:space="0" w:color="auto"/>
            <w:bottom w:val="none" w:sz="0" w:space="0" w:color="auto"/>
            <w:right w:val="none" w:sz="0" w:space="0" w:color="auto"/>
          </w:divBdr>
        </w:div>
        <w:div w:id="1151141330">
          <w:marLeft w:val="480"/>
          <w:marRight w:val="0"/>
          <w:marTop w:val="0"/>
          <w:marBottom w:val="0"/>
          <w:divBdr>
            <w:top w:val="none" w:sz="0" w:space="0" w:color="auto"/>
            <w:left w:val="none" w:sz="0" w:space="0" w:color="auto"/>
            <w:bottom w:val="none" w:sz="0" w:space="0" w:color="auto"/>
            <w:right w:val="none" w:sz="0" w:space="0" w:color="auto"/>
          </w:divBdr>
        </w:div>
        <w:div w:id="437146023">
          <w:marLeft w:val="480"/>
          <w:marRight w:val="0"/>
          <w:marTop w:val="0"/>
          <w:marBottom w:val="0"/>
          <w:divBdr>
            <w:top w:val="none" w:sz="0" w:space="0" w:color="auto"/>
            <w:left w:val="none" w:sz="0" w:space="0" w:color="auto"/>
            <w:bottom w:val="none" w:sz="0" w:space="0" w:color="auto"/>
            <w:right w:val="none" w:sz="0" w:space="0" w:color="auto"/>
          </w:divBdr>
        </w:div>
        <w:div w:id="472337019">
          <w:marLeft w:val="480"/>
          <w:marRight w:val="0"/>
          <w:marTop w:val="0"/>
          <w:marBottom w:val="0"/>
          <w:divBdr>
            <w:top w:val="none" w:sz="0" w:space="0" w:color="auto"/>
            <w:left w:val="none" w:sz="0" w:space="0" w:color="auto"/>
            <w:bottom w:val="none" w:sz="0" w:space="0" w:color="auto"/>
            <w:right w:val="none" w:sz="0" w:space="0" w:color="auto"/>
          </w:divBdr>
        </w:div>
        <w:div w:id="1324158719">
          <w:marLeft w:val="480"/>
          <w:marRight w:val="0"/>
          <w:marTop w:val="0"/>
          <w:marBottom w:val="0"/>
          <w:divBdr>
            <w:top w:val="none" w:sz="0" w:space="0" w:color="auto"/>
            <w:left w:val="none" w:sz="0" w:space="0" w:color="auto"/>
            <w:bottom w:val="none" w:sz="0" w:space="0" w:color="auto"/>
            <w:right w:val="none" w:sz="0" w:space="0" w:color="auto"/>
          </w:divBdr>
        </w:div>
        <w:div w:id="701320108">
          <w:marLeft w:val="480"/>
          <w:marRight w:val="0"/>
          <w:marTop w:val="0"/>
          <w:marBottom w:val="0"/>
          <w:divBdr>
            <w:top w:val="none" w:sz="0" w:space="0" w:color="auto"/>
            <w:left w:val="none" w:sz="0" w:space="0" w:color="auto"/>
            <w:bottom w:val="none" w:sz="0" w:space="0" w:color="auto"/>
            <w:right w:val="none" w:sz="0" w:space="0" w:color="auto"/>
          </w:divBdr>
        </w:div>
        <w:div w:id="1702433154">
          <w:marLeft w:val="480"/>
          <w:marRight w:val="0"/>
          <w:marTop w:val="0"/>
          <w:marBottom w:val="0"/>
          <w:divBdr>
            <w:top w:val="none" w:sz="0" w:space="0" w:color="auto"/>
            <w:left w:val="none" w:sz="0" w:space="0" w:color="auto"/>
            <w:bottom w:val="none" w:sz="0" w:space="0" w:color="auto"/>
            <w:right w:val="none" w:sz="0" w:space="0" w:color="auto"/>
          </w:divBdr>
        </w:div>
        <w:div w:id="777068047">
          <w:marLeft w:val="480"/>
          <w:marRight w:val="0"/>
          <w:marTop w:val="0"/>
          <w:marBottom w:val="0"/>
          <w:divBdr>
            <w:top w:val="none" w:sz="0" w:space="0" w:color="auto"/>
            <w:left w:val="none" w:sz="0" w:space="0" w:color="auto"/>
            <w:bottom w:val="none" w:sz="0" w:space="0" w:color="auto"/>
            <w:right w:val="none" w:sz="0" w:space="0" w:color="auto"/>
          </w:divBdr>
        </w:div>
        <w:div w:id="410390978">
          <w:marLeft w:val="480"/>
          <w:marRight w:val="0"/>
          <w:marTop w:val="0"/>
          <w:marBottom w:val="0"/>
          <w:divBdr>
            <w:top w:val="none" w:sz="0" w:space="0" w:color="auto"/>
            <w:left w:val="none" w:sz="0" w:space="0" w:color="auto"/>
            <w:bottom w:val="none" w:sz="0" w:space="0" w:color="auto"/>
            <w:right w:val="none" w:sz="0" w:space="0" w:color="auto"/>
          </w:divBdr>
        </w:div>
        <w:div w:id="1846673661">
          <w:marLeft w:val="480"/>
          <w:marRight w:val="0"/>
          <w:marTop w:val="0"/>
          <w:marBottom w:val="0"/>
          <w:divBdr>
            <w:top w:val="none" w:sz="0" w:space="0" w:color="auto"/>
            <w:left w:val="none" w:sz="0" w:space="0" w:color="auto"/>
            <w:bottom w:val="none" w:sz="0" w:space="0" w:color="auto"/>
            <w:right w:val="none" w:sz="0" w:space="0" w:color="auto"/>
          </w:divBdr>
        </w:div>
        <w:div w:id="307714603">
          <w:marLeft w:val="480"/>
          <w:marRight w:val="0"/>
          <w:marTop w:val="0"/>
          <w:marBottom w:val="0"/>
          <w:divBdr>
            <w:top w:val="none" w:sz="0" w:space="0" w:color="auto"/>
            <w:left w:val="none" w:sz="0" w:space="0" w:color="auto"/>
            <w:bottom w:val="none" w:sz="0" w:space="0" w:color="auto"/>
            <w:right w:val="none" w:sz="0" w:space="0" w:color="auto"/>
          </w:divBdr>
        </w:div>
        <w:div w:id="2100832815">
          <w:marLeft w:val="480"/>
          <w:marRight w:val="0"/>
          <w:marTop w:val="0"/>
          <w:marBottom w:val="0"/>
          <w:divBdr>
            <w:top w:val="none" w:sz="0" w:space="0" w:color="auto"/>
            <w:left w:val="none" w:sz="0" w:space="0" w:color="auto"/>
            <w:bottom w:val="none" w:sz="0" w:space="0" w:color="auto"/>
            <w:right w:val="none" w:sz="0" w:space="0" w:color="auto"/>
          </w:divBdr>
        </w:div>
        <w:div w:id="1964382197">
          <w:marLeft w:val="480"/>
          <w:marRight w:val="0"/>
          <w:marTop w:val="0"/>
          <w:marBottom w:val="0"/>
          <w:divBdr>
            <w:top w:val="none" w:sz="0" w:space="0" w:color="auto"/>
            <w:left w:val="none" w:sz="0" w:space="0" w:color="auto"/>
            <w:bottom w:val="none" w:sz="0" w:space="0" w:color="auto"/>
            <w:right w:val="none" w:sz="0" w:space="0" w:color="auto"/>
          </w:divBdr>
        </w:div>
        <w:div w:id="988292533">
          <w:marLeft w:val="480"/>
          <w:marRight w:val="0"/>
          <w:marTop w:val="0"/>
          <w:marBottom w:val="0"/>
          <w:divBdr>
            <w:top w:val="none" w:sz="0" w:space="0" w:color="auto"/>
            <w:left w:val="none" w:sz="0" w:space="0" w:color="auto"/>
            <w:bottom w:val="none" w:sz="0" w:space="0" w:color="auto"/>
            <w:right w:val="none" w:sz="0" w:space="0" w:color="auto"/>
          </w:divBdr>
        </w:div>
        <w:div w:id="1563328412">
          <w:marLeft w:val="480"/>
          <w:marRight w:val="0"/>
          <w:marTop w:val="0"/>
          <w:marBottom w:val="0"/>
          <w:divBdr>
            <w:top w:val="none" w:sz="0" w:space="0" w:color="auto"/>
            <w:left w:val="none" w:sz="0" w:space="0" w:color="auto"/>
            <w:bottom w:val="none" w:sz="0" w:space="0" w:color="auto"/>
            <w:right w:val="none" w:sz="0" w:space="0" w:color="auto"/>
          </w:divBdr>
        </w:div>
        <w:div w:id="347409838">
          <w:marLeft w:val="480"/>
          <w:marRight w:val="0"/>
          <w:marTop w:val="0"/>
          <w:marBottom w:val="0"/>
          <w:divBdr>
            <w:top w:val="none" w:sz="0" w:space="0" w:color="auto"/>
            <w:left w:val="none" w:sz="0" w:space="0" w:color="auto"/>
            <w:bottom w:val="none" w:sz="0" w:space="0" w:color="auto"/>
            <w:right w:val="none" w:sz="0" w:space="0" w:color="auto"/>
          </w:divBdr>
        </w:div>
        <w:div w:id="1277371224">
          <w:marLeft w:val="480"/>
          <w:marRight w:val="0"/>
          <w:marTop w:val="0"/>
          <w:marBottom w:val="0"/>
          <w:divBdr>
            <w:top w:val="none" w:sz="0" w:space="0" w:color="auto"/>
            <w:left w:val="none" w:sz="0" w:space="0" w:color="auto"/>
            <w:bottom w:val="none" w:sz="0" w:space="0" w:color="auto"/>
            <w:right w:val="none" w:sz="0" w:space="0" w:color="auto"/>
          </w:divBdr>
        </w:div>
        <w:div w:id="951861478">
          <w:marLeft w:val="480"/>
          <w:marRight w:val="0"/>
          <w:marTop w:val="0"/>
          <w:marBottom w:val="0"/>
          <w:divBdr>
            <w:top w:val="none" w:sz="0" w:space="0" w:color="auto"/>
            <w:left w:val="none" w:sz="0" w:space="0" w:color="auto"/>
            <w:bottom w:val="none" w:sz="0" w:space="0" w:color="auto"/>
            <w:right w:val="none" w:sz="0" w:space="0" w:color="auto"/>
          </w:divBdr>
        </w:div>
        <w:div w:id="1173646696">
          <w:marLeft w:val="480"/>
          <w:marRight w:val="0"/>
          <w:marTop w:val="0"/>
          <w:marBottom w:val="0"/>
          <w:divBdr>
            <w:top w:val="none" w:sz="0" w:space="0" w:color="auto"/>
            <w:left w:val="none" w:sz="0" w:space="0" w:color="auto"/>
            <w:bottom w:val="none" w:sz="0" w:space="0" w:color="auto"/>
            <w:right w:val="none" w:sz="0" w:space="0" w:color="auto"/>
          </w:divBdr>
        </w:div>
        <w:div w:id="232199354">
          <w:marLeft w:val="480"/>
          <w:marRight w:val="0"/>
          <w:marTop w:val="0"/>
          <w:marBottom w:val="0"/>
          <w:divBdr>
            <w:top w:val="none" w:sz="0" w:space="0" w:color="auto"/>
            <w:left w:val="none" w:sz="0" w:space="0" w:color="auto"/>
            <w:bottom w:val="none" w:sz="0" w:space="0" w:color="auto"/>
            <w:right w:val="none" w:sz="0" w:space="0" w:color="auto"/>
          </w:divBdr>
        </w:div>
        <w:div w:id="98839696">
          <w:marLeft w:val="480"/>
          <w:marRight w:val="0"/>
          <w:marTop w:val="0"/>
          <w:marBottom w:val="0"/>
          <w:divBdr>
            <w:top w:val="none" w:sz="0" w:space="0" w:color="auto"/>
            <w:left w:val="none" w:sz="0" w:space="0" w:color="auto"/>
            <w:bottom w:val="none" w:sz="0" w:space="0" w:color="auto"/>
            <w:right w:val="none" w:sz="0" w:space="0" w:color="auto"/>
          </w:divBdr>
        </w:div>
        <w:div w:id="2102487407">
          <w:marLeft w:val="480"/>
          <w:marRight w:val="0"/>
          <w:marTop w:val="0"/>
          <w:marBottom w:val="0"/>
          <w:divBdr>
            <w:top w:val="none" w:sz="0" w:space="0" w:color="auto"/>
            <w:left w:val="none" w:sz="0" w:space="0" w:color="auto"/>
            <w:bottom w:val="none" w:sz="0" w:space="0" w:color="auto"/>
            <w:right w:val="none" w:sz="0" w:space="0" w:color="auto"/>
          </w:divBdr>
        </w:div>
        <w:div w:id="1680429269">
          <w:marLeft w:val="480"/>
          <w:marRight w:val="0"/>
          <w:marTop w:val="0"/>
          <w:marBottom w:val="0"/>
          <w:divBdr>
            <w:top w:val="none" w:sz="0" w:space="0" w:color="auto"/>
            <w:left w:val="none" w:sz="0" w:space="0" w:color="auto"/>
            <w:bottom w:val="none" w:sz="0" w:space="0" w:color="auto"/>
            <w:right w:val="none" w:sz="0" w:space="0" w:color="auto"/>
          </w:divBdr>
        </w:div>
        <w:div w:id="1567447395">
          <w:marLeft w:val="480"/>
          <w:marRight w:val="0"/>
          <w:marTop w:val="0"/>
          <w:marBottom w:val="0"/>
          <w:divBdr>
            <w:top w:val="none" w:sz="0" w:space="0" w:color="auto"/>
            <w:left w:val="none" w:sz="0" w:space="0" w:color="auto"/>
            <w:bottom w:val="none" w:sz="0" w:space="0" w:color="auto"/>
            <w:right w:val="none" w:sz="0" w:space="0" w:color="auto"/>
          </w:divBdr>
        </w:div>
        <w:div w:id="1524438351">
          <w:marLeft w:val="480"/>
          <w:marRight w:val="0"/>
          <w:marTop w:val="0"/>
          <w:marBottom w:val="0"/>
          <w:divBdr>
            <w:top w:val="none" w:sz="0" w:space="0" w:color="auto"/>
            <w:left w:val="none" w:sz="0" w:space="0" w:color="auto"/>
            <w:bottom w:val="none" w:sz="0" w:space="0" w:color="auto"/>
            <w:right w:val="none" w:sz="0" w:space="0" w:color="auto"/>
          </w:divBdr>
        </w:div>
        <w:div w:id="1184318371">
          <w:marLeft w:val="480"/>
          <w:marRight w:val="0"/>
          <w:marTop w:val="0"/>
          <w:marBottom w:val="0"/>
          <w:divBdr>
            <w:top w:val="none" w:sz="0" w:space="0" w:color="auto"/>
            <w:left w:val="none" w:sz="0" w:space="0" w:color="auto"/>
            <w:bottom w:val="none" w:sz="0" w:space="0" w:color="auto"/>
            <w:right w:val="none" w:sz="0" w:space="0" w:color="auto"/>
          </w:divBdr>
        </w:div>
        <w:div w:id="1560480061">
          <w:marLeft w:val="480"/>
          <w:marRight w:val="0"/>
          <w:marTop w:val="0"/>
          <w:marBottom w:val="0"/>
          <w:divBdr>
            <w:top w:val="none" w:sz="0" w:space="0" w:color="auto"/>
            <w:left w:val="none" w:sz="0" w:space="0" w:color="auto"/>
            <w:bottom w:val="none" w:sz="0" w:space="0" w:color="auto"/>
            <w:right w:val="none" w:sz="0" w:space="0" w:color="auto"/>
          </w:divBdr>
        </w:div>
        <w:div w:id="1646084113">
          <w:marLeft w:val="480"/>
          <w:marRight w:val="0"/>
          <w:marTop w:val="0"/>
          <w:marBottom w:val="0"/>
          <w:divBdr>
            <w:top w:val="none" w:sz="0" w:space="0" w:color="auto"/>
            <w:left w:val="none" w:sz="0" w:space="0" w:color="auto"/>
            <w:bottom w:val="none" w:sz="0" w:space="0" w:color="auto"/>
            <w:right w:val="none" w:sz="0" w:space="0" w:color="auto"/>
          </w:divBdr>
        </w:div>
        <w:div w:id="1519923922">
          <w:marLeft w:val="480"/>
          <w:marRight w:val="0"/>
          <w:marTop w:val="0"/>
          <w:marBottom w:val="0"/>
          <w:divBdr>
            <w:top w:val="none" w:sz="0" w:space="0" w:color="auto"/>
            <w:left w:val="none" w:sz="0" w:space="0" w:color="auto"/>
            <w:bottom w:val="none" w:sz="0" w:space="0" w:color="auto"/>
            <w:right w:val="none" w:sz="0" w:space="0" w:color="auto"/>
          </w:divBdr>
        </w:div>
        <w:div w:id="694888658">
          <w:marLeft w:val="480"/>
          <w:marRight w:val="0"/>
          <w:marTop w:val="0"/>
          <w:marBottom w:val="0"/>
          <w:divBdr>
            <w:top w:val="none" w:sz="0" w:space="0" w:color="auto"/>
            <w:left w:val="none" w:sz="0" w:space="0" w:color="auto"/>
            <w:bottom w:val="none" w:sz="0" w:space="0" w:color="auto"/>
            <w:right w:val="none" w:sz="0" w:space="0" w:color="auto"/>
          </w:divBdr>
        </w:div>
        <w:div w:id="488596799">
          <w:marLeft w:val="480"/>
          <w:marRight w:val="0"/>
          <w:marTop w:val="0"/>
          <w:marBottom w:val="0"/>
          <w:divBdr>
            <w:top w:val="none" w:sz="0" w:space="0" w:color="auto"/>
            <w:left w:val="none" w:sz="0" w:space="0" w:color="auto"/>
            <w:bottom w:val="none" w:sz="0" w:space="0" w:color="auto"/>
            <w:right w:val="none" w:sz="0" w:space="0" w:color="auto"/>
          </w:divBdr>
        </w:div>
        <w:div w:id="71199887">
          <w:marLeft w:val="480"/>
          <w:marRight w:val="0"/>
          <w:marTop w:val="0"/>
          <w:marBottom w:val="0"/>
          <w:divBdr>
            <w:top w:val="none" w:sz="0" w:space="0" w:color="auto"/>
            <w:left w:val="none" w:sz="0" w:space="0" w:color="auto"/>
            <w:bottom w:val="none" w:sz="0" w:space="0" w:color="auto"/>
            <w:right w:val="none" w:sz="0" w:space="0" w:color="auto"/>
          </w:divBdr>
        </w:div>
        <w:div w:id="2127387213">
          <w:marLeft w:val="480"/>
          <w:marRight w:val="0"/>
          <w:marTop w:val="0"/>
          <w:marBottom w:val="0"/>
          <w:divBdr>
            <w:top w:val="none" w:sz="0" w:space="0" w:color="auto"/>
            <w:left w:val="none" w:sz="0" w:space="0" w:color="auto"/>
            <w:bottom w:val="none" w:sz="0" w:space="0" w:color="auto"/>
            <w:right w:val="none" w:sz="0" w:space="0" w:color="auto"/>
          </w:divBdr>
        </w:div>
        <w:div w:id="248857219">
          <w:marLeft w:val="480"/>
          <w:marRight w:val="0"/>
          <w:marTop w:val="0"/>
          <w:marBottom w:val="0"/>
          <w:divBdr>
            <w:top w:val="none" w:sz="0" w:space="0" w:color="auto"/>
            <w:left w:val="none" w:sz="0" w:space="0" w:color="auto"/>
            <w:bottom w:val="none" w:sz="0" w:space="0" w:color="auto"/>
            <w:right w:val="none" w:sz="0" w:space="0" w:color="auto"/>
          </w:divBdr>
        </w:div>
        <w:div w:id="947783626">
          <w:marLeft w:val="480"/>
          <w:marRight w:val="0"/>
          <w:marTop w:val="0"/>
          <w:marBottom w:val="0"/>
          <w:divBdr>
            <w:top w:val="none" w:sz="0" w:space="0" w:color="auto"/>
            <w:left w:val="none" w:sz="0" w:space="0" w:color="auto"/>
            <w:bottom w:val="none" w:sz="0" w:space="0" w:color="auto"/>
            <w:right w:val="none" w:sz="0" w:space="0" w:color="auto"/>
          </w:divBdr>
        </w:div>
        <w:div w:id="539824230">
          <w:marLeft w:val="480"/>
          <w:marRight w:val="0"/>
          <w:marTop w:val="0"/>
          <w:marBottom w:val="0"/>
          <w:divBdr>
            <w:top w:val="none" w:sz="0" w:space="0" w:color="auto"/>
            <w:left w:val="none" w:sz="0" w:space="0" w:color="auto"/>
            <w:bottom w:val="none" w:sz="0" w:space="0" w:color="auto"/>
            <w:right w:val="none" w:sz="0" w:space="0" w:color="auto"/>
          </w:divBdr>
        </w:div>
        <w:div w:id="1625696536">
          <w:marLeft w:val="480"/>
          <w:marRight w:val="0"/>
          <w:marTop w:val="0"/>
          <w:marBottom w:val="0"/>
          <w:divBdr>
            <w:top w:val="none" w:sz="0" w:space="0" w:color="auto"/>
            <w:left w:val="none" w:sz="0" w:space="0" w:color="auto"/>
            <w:bottom w:val="none" w:sz="0" w:space="0" w:color="auto"/>
            <w:right w:val="none" w:sz="0" w:space="0" w:color="auto"/>
          </w:divBdr>
        </w:div>
        <w:div w:id="1081367313">
          <w:marLeft w:val="480"/>
          <w:marRight w:val="0"/>
          <w:marTop w:val="0"/>
          <w:marBottom w:val="0"/>
          <w:divBdr>
            <w:top w:val="none" w:sz="0" w:space="0" w:color="auto"/>
            <w:left w:val="none" w:sz="0" w:space="0" w:color="auto"/>
            <w:bottom w:val="none" w:sz="0" w:space="0" w:color="auto"/>
            <w:right w:val="none" w:sz="0" w:space="0" w:color="auto"/>
          </w:divBdr>
        </w:div>
        <w:div w:id="443959480">
          <w:marLeft w:val="480"/>
          <w:marRight w:val="0"/>
          <w:marTop w:val="0"/>
          <w:marBottom w:val="0"/>
          <w:divBdr>
            <w:top w:val="none" w:sz="0" w:space="0" w:color="auto"/>
            <w:left w:val="none" w:sz="0" w:space="0" w:color="auto"/>
            <w:bottom w:val="none" w:sz="0" w:space="0" w:color="auto"/>
            <w:right w:val="none" w:sz="0" w:space="0" w:color="auto"/>
          </w:divBdr>
        </w:div>
        <w:div w:id="1911690490">
          <w:marLeft w:val="480"/>
          <w:marRight w:val="0"/>
          <w:marTop w:val="0"/>
          <w:marBottom w:val="0"/>
          <w:divBdr>
            <w:top w:val="none" w:sz="0" w:space="0" w:color="auto"/>
            <w:left w:val="none" w:sz="0" w:space="0" w:color="auto"/>
            <w:bottom w:val="none" w:sz="0" w:space="0" w:color="auto"/>
            <w:right w:val="none" w:sz="0" w:space="0" w:color="auto"/>
          </w:divBdr>
        </w:div>
        <w:div w:id="154684151">
          <w:marLeft w:val="480"/>
          <w:marRight w:val="0"/>
          <w:marTop w:val="0"/>
          <w:marBottom w:val="0"/>
          <w:divBdr>
            <w:top w:val="none" w:sz="0" w:space="0" w:color="auto"/>
            <w:left w:val="none" w:sz="0" w:space="0" w:color="auto"/>
            <w:bottom w:val="none" w:sz="0" w:space="0" w:color="auto"/>
            <w:right w:val="none" w:sz="0" w:space="0" w:color="auto"/>
          </w:divBdr>
        </w:div>
        <w:div w:id="853687880">
          <w:marLeft w:val="480"/>
          <w:marRight w:val="0"/>
          <w:marTop w:val="0"/>
          <w:marBottom w:val="0"/>
          <w:divBdr>
            <w:top w:val="none" w:sz="0" w:space="0" w:color="auto"/>
            <w:left w:val="none" w:sz="0" w:space="0" w:color="auto"/>
            <w:bottom w:val="none" w:sz="0" w:space="0" w:color="auto"/>
            <w:right w:val="none" w:sz="0" w:space="0" w:color="auto"/>
          </w:divBdr>
        </w:div>
        <w:div w:id="2045860068">
          <w:marLeft w:val="480"/>
          <w:marRight w:val="0"/>
          <w:marTop w:val="0"/>
          <w:marBottom w:val="0"/>
          <w:divBdr>
            <w:top w:val="none" w:sz="0" w:space="0" w:color="auto"/>
            <w:left w:val="none" w:sz="0" w:space="0" w:color="auto"/>
            <w:bottom w:val="none" w:sz="0" w:space="0" w:color="auto"/>
            <w:right w:val="none" w:sz="0" w:space="0" w:color="auto"/>
          </w:divBdr>
        </w:div>
        <w:div w:id="308174218">
          <w:marLeft w:val="480"/>
          <w:marRight w:val="0"/>
          <w:marTop w:val="0"/>
          <w:marBottom w:val="0"/>
          <w:divBdr>
            <w:top w:val="none" w:sz="0" w:space="0" w:color="auto"/>
            <w:left w:val="none" w:sz="0" w:space="0" w:color="auto"/>
            <w:bottom w:val="none" w:sz="0" w:space="0" w:color="auto"/>
            <w:right w:val="none" w:sz="0" w:space="0" w:color="auto"/>
          </w:divBdr>
        </w:div>
        <w:div w:id="1648048727">
          <w:marLeft w:val="480"/>
          <w:marRight w:val="0"/>
          <w:marTop w:val="0"/>
          <w:marBottom w:val="0"/>
          <w:divBdr>
            <w:top w:val="none" w:sz="0" w:space="0" w:color="auto"/>
            <w:left w:val="none" w:sz="0" w:space="0" w:color="auto"/>
            <w:bottom w:val="none" w:sz="0" w:space="0" w:color="auto"/>
            <w:right w:val="none" w:sz="0" w:space="0" w:color="auto"/>
          </w:divBdr>
        </w:div>
        <w:div w:id="549420838">
          <w:marLeft w:val="480"/>
          <w:marRight w:val="0"/>
          <w:marTop w:val="0"/>
          <w:marBottom w:val="0"/>
          <w:divBdr>
            <w:top w:val="none" w:sz="0" w:space="0" w:color="auto"/>
            <w:left w:val="none" w:sz="0" w:space="0" w:color="auto"/>
            <w:bottom w:val="none" w:sz="0" w:space="0" w:color="auto"/>
            <w:right w:val="none" w:sz="0" w:space="0" w:color="auto"/>
          </w:divBdr>
        </w:div>
        <w:div w:id="1581282893">
          <w:marLeft w:val="480"/>
          <w:marRight w:val="0"/>
          <w:marTop w:val="0"/>
          <w:marBottom w:val="0"/>
          <w:divBdr>
            <w:top w:val="none" w:sz="0" w:space="0" w:color="auto"/>
            <w:left w:val="none" w:sz="0" w:space="0" w:color="auto"/>
            <w:bottom w:val="none" w:sz="0" w:space="0" w:color="auto"/>
            <w:right w:val="none" w:sz="0" w:space="0" w:color="auto"/>
          </w:divBdr>
        </w:div>
        <w:div w:id="601882960">
          <w:marLeft w:val="480"/>
          <w:marRight w:val="0"/>
          <w:marTop w:val="0"/>
          <w:marBottom w:val="0"/>
          <w:divBdr>
            <w:top w:val="none" w:sz="0" w:space="0" w:color="auto"/>
            <w:left w:val="none" w:sz="0" w:space="0" w:color="auto"/>
            <w:bottom w:val="none" w:sz="0" w:space="0" w:color="auto"/>
            <w:right w:val="none" w:sz="0" w:space="0" w:color="auto"/>
          </w:divBdr>
        </w:div>
        <w:div w:id="1171261323">
          <w:marLeft w:val="480"/>
          <w:marRight w:val="0"/>
          <w:marTop w:val="0"/>
          <w:marBottom w:val="0"/>
          <w:divBdr>
            <w:top w:val="none" w:sz="0" w:space="0" w:color="auto"/>
            <w:left w:val="none" w:sz="0" w:space="0" w:color="auto"/>
            <w:bottom w:val="none" w:sz="0" w:space="0" w:color="auto"/>
            <w:right w:val="none" w:sz="0" w:space="0" w:color="auto"/>
          </w:divBdr>
        </w:div>
        <w:div w:id="791749362">
          <w:marLeft w:val="480"/>
          <w:marRight w:val="0"/>
          <w:marTop w:val="0"/>
          <w:marBottom w:val="0"/>
          <w:divBdr>
            <w:top w:val="none" w:sz="0" w:space="0" w:color="auto"/>
            <w:left w:val="none" w:sz="0" w:space="0" w:color="auto"/>
            <w:bottom w:val="none" w:sz="0" w:space="0" w:color="auto"/>
            <w:right w:val="none" w:sz="0" w:space="0" w:color="auto"/>
          </w:divBdr>
        </w:div>
        <w:div w:id="666399650">
          <w:marLeft w:val="480"/>
          <w:marRight w:val="0"/>
          <w:marTop w:val="0"/>
          <w:marBottom w:val="0"/>
          <w:divBdr>
            <w:top w:val="none" w:sz="0" w:space="0" w:color="auto"/>
            <w:left w:val="none" w:sz="0" w:space="0" w:color="auto"/>
            <w:bottom w:val="none" w:sz="0" w:space="0" w:color="auto"/>
            <w:right w:val="none" w:sz="0" w:space="0" w:color="auto"/>
          </w:divBdr>
        </w:div>
        <w:div w:id="1075474236">
          <w:marLeft w:val="480"/>
          <w:marRight w:val="0"/>
          <w:marTop w:val="0"/>
          <w:marBottom w:val="0"/>
          <w:divBdr>
            <w:top w:val="none" w:sz="0" w:space="0" w:color="auto"/>
            <w:left w:val="none" w:sz="0" w:space="0" w:color="auto"/>
            <w:bottom w:val="none" w:sz="0" w:space="0" w:color="auto"/>
            <w:right w:val="none" w:sz="0" w:space="0" w:color="auto"/>
          </w:divBdr>
        </w:div>
        <w:div w:id="66613777">
          <w:marLeft w:val="480"/>
          <w:marRight w:val="0"/>
          <w:marTop w:val="0"/>
          <w:marBottom w:val="0"/>
          <w:divBdr>
            <w:top w:val="none" w:sz="0" w:space="0" w:color="auto"/>
            <w:left w:val="none" w:sz="0" w:space="0" w:color="auto"/>
            <w:bottom w:val="none" w:sz="0" w:space="0" w:color="auto"/>
            <w:right w:val="none" w:sz="0" w:space="0" w:color="auto"/>
          </w:divBdr>
        </w:div>
        <w:div w:id="333534079">
          <w:marLeft w:val="480"/>
          <w:marRight w:val="0"/>
          <w:marTop w:val="0"/>
          <w:marBottom w:val="0"/>
          <w:divBdr>
            <w:top w:val="none" w:sz="0" w:space="0" w:color="auto"/>
            <w:left w:val="none" w:sz="0" w:space="0" w:color="auto"/>
            <w:bottom w:val="none" w:sz="0" w:space="0" w:color="auto"/>
            <w:right w:val="none" w:sz="0" w:space="0" w:color="auto"/>
          </w:divBdr>
        </w:div>
        <w:div w:id="1087313779">
          <w:marLeft w:val="480"/>
          <w:marRight w:val="0"/>
          <w:marTop w:val="0"/>
          <w:marBottom w:val="0"/>
          <w:divBdr>
            <w:top w:val="none" w:sz="0" w:space="0" w:color="auto"/>
            <w:left w:val="none" w:sz="0" w:space="0" w:color="auto"/>
            <w:bottom w:val="none" w:sz="0" w:space="0" w:color="auto"/>
            <w:right w:val="none" w:sz="0" w:space="0" w:color="auto"/>
          </w:divBdr>
        </w:div>
        <w:div w:id="2038238462">
          <w:marLeft w:val="480"/>
          <w:marRight w:val="0"/>
          <w:marTop w:val="0"/>
          <w:marBottom w:val="0"/>
          <w:divBdr>
            <w:top w:val="none" w:sz="0" w:space="0" w:color="auto"/>
            <w:left w:val="none" w:sz="0" w:space="0" w:color="auto"/>
            <w:bottom w:val="none" w:sz="0" w:space="0" w:color="auto"/>
            <w:right w:val="none" w:sz="0" w:space="0" w:color="auto"/>
          </w:divBdr>
        </w:div>
        <w:div w:id="703478278">
          <w:marLeft w:val="480"/>
          <w:marRight w:val="0"/>
          <w:marTop w:val="0"/>
          <w:marBottom w:val="0"/>
          <w:divBdr>
            <w:top w:val="none" w:sz="0" w:space="0" w:color="auto"/>
            <w:left w:val="none" w:sz="0" w:space="0" w:color="auto"/>
            <w:bottom w:val="none" w:sz="0" w:space="0" w:color="auto"/>
            <w:right w:val="none" w:sz="0" w:space="0" w:color="auto"/>
          </w:divBdr>
        </w:div>
        <w:div w:id="2068910896">
          <w:marLeft w:val="480"/>
          <w:marRight w:val="0"/>
          <w:marTop w:val="0"/>
          <w:marBottom w:val="0"/>
          <w:divBdr>
            <w:top w:val="none" w:sz="0" w:space="0" w:color="auto"/>
            <w:left w:val="none" w:sz="0" w:space="0" w:color="auto"/>
            <w:bottom w:val="none" w:sz="0" w:space="0" w:color="auto"/>
            <w:right w:val="none" w:sz="0" w:space="0" w:color="auto"/>
          </w:divBdr>
        </w:div>
        <w:div w:id="1165705699">
          <w:marLeft w:val="480"/>
          <w:marRight w:val="0"/>
          <w:marTop w:val="0"/>
          <w:marBottom w:val="0"/>
          <w:divBdr>
            <w:top w:val="none" w:sz="0" w:space="0" w:color="auto"/>
            <w:left w:val="none" w:sz="0" w:space="0" w:color="auto"/>
            <w:bottom w:val="none" w:sz="0" w:space="0" w:color="auto"/>
            <w:right w:val="none" w:sz="0" w:space="0" w:color="auto"/>
          </w:divBdr>
        </w:div>
        <w:div w:id="1704401154">
          <w:marLeft w:val="480"/>
          <w:marRight w:val="0"/>
          <w:marTop w:val="0"/>
          <w:marBottom w:val="0"/>
          <w:divBdr>
            <w:top w:val="none" w:sz="0" w:space="0" w:color="auto"/>
            <w:left w:val="none" w:sz="0" w:space="0" w:color="auto"/>
            <w:bottom w:val="none" w:sz="0" w:space="0" w:color="auto"/>
            <w:right w:val="none" w:sz="0" w:space="0" w:color="auto"/>
          </w:divBdr>
        </w:div>
        <w:div w:id="1934702040">
          <w:marLeft w:val="480"/>
          <w:marRight w:val="0"/>
          <w:marTop w:val="0"/>
          <w:marBottom w:val="0"/>
          <w:divBdr>
            <w:top w:val="none" w:sz="0" w:space="0" w:color="auto"/>
            <w:left w:val="none" w:sz="0" w:space="0" w:color="auto"/>
            <w:bottom w:val="none" w:sz="0" w:space="0" w:color="auto"/>
            <w:right w:val="none" w:sz="0" w:space="0" w:color="auto"/>
          </w:divBdr>
        </w:div>
        <w:div w:id="786193285">
          <w:marLeft w:val="480"/>
          <w:marRight w:val="0"/>
          <w:marTop w:val="0"/>
          <w:marBottom w:val="0"/>
          <w:divBdr>
            <w:top w:val="none" w:sz="0" w:space="0" w:color="auto"/>
            <w:left w:val="none" w:sz="0" w:space="0" w:color="auto"/>
            <w:bottom w:val="none" w:sz="0" w:space="0" w:color="auto"/>
            <w:right w:val="none" w:sz="0" w:space="0" w:color="auto"/>
          </w:divBdr>
        </w:div>
        <w:div w:id="2085569122">
          <w:marLeft w:val="480"/>
          <w:marRight w:val="0"/>
          <w:marTop w:val="0"/>
          <w:marBottom w:val="0"/>
          <w:divBdr>
            <w:top w:val="none" w:sz="0" w:space="0" w:color="auto"/>
            <w:left w:val="none" w:sz="0" w:space="0" w:color="auto"/>
            <w:bottom w:val="none" w:sz="0" w:space="0" w:color="auto"/>
            <w:right w:val="none" w:sz="0" w:space="0" w:color="auto"/>
          </w:divBdr>
        </w:div>
        <w:div w:id="1069379174">
          <w:marLeft w:val="480"/>
          <w:marRight w:val="0"/>
          <w:marTop w:val="0"/>
          <w:marBottom w:val="0"/>
          <w:divBdr>
            <w:top w:val="none" w:sz="0" w:space="0" w:color="auto"/>
            <w:left w:val="none" w:sz="0" w:space="0" w:color="auto"/>
            <w:bottom w:val="none" w:sz="0" w:space="0" w:color="auto"/>
            <w:right w:val="none" w:sz="0" w:space="0" w:color="auto"/>
          </w:divBdr>
        </w:div>
        <w:div w:id="2114549939">
          <w:marLeft w:val="480"/>
          <w:marRight w:val="0"/>
          <w:marTop w:val="0"/>
          <w:marBottom w:val="0"/>
          <w:divBdr>
            <w:top w:val="none" w:sz="0" w:space="0" w:color="auto"/>
            <w:left w:val="none" w:sz="0" w:space="0" w:color="auto"/>
            <w:bottom w:val="none" w:sz="0" w:space="0" w:color="auto"/>
            <w:right w:val="none" w:sz="0" w:space="0" w:color="auto"/>
          </w:divBdr>
        </w:div>
        <w:div w:id="52701053">
          <w:marLeft w:val="480"/>
          <w:marRight w:val="0"/>
          <w:marTop w:val="0"/>
          <w:marBottom w:val="0"/>
          <w:divBdr>
            <w:top w:val="none" w:sz="0" w:space="0" w:color="auto"/>
            <w:left w:val="none" w:sz="0" w:space="0" w:color="auto"/>
            <w:bottom w:val="none" w:sz="0" w:space="0" w:color="auto"/>
            <w:right w:val="none" w:sz="0" w:space="0" w:color="auto"/>
          </w:divBdr>
        </w:div>
        <w:div w:id="1248268009">
          <w:marLeft w:val="480"/>
          <w:marRight w:val="0"/>
          <w:marTop w:val="0"/>
          <w:marBottom w:val="0"/>
          <w:divBdr>
            <w:top w:val="none" w:sz="0" w:space="0" w:color="auto"/>
            <w:left w:val="none" w:sz="0" w:space="0" w:color="auto"/>
            <w:bottom w:val="none" w:sz="0" w:space="0" w:color="auto"/>
            <w:right w:val="none" w:sz="0" w:space="0" w:color="auto"/>
          </w:divBdr>
        </w:div>
        <w:div w:id="1207988071">
          <w:marLeft w:val="480"/>
          <w:marRight w:val="0"/>
          <w:marTop w:val="0"/>
          <w:marBottom w:val="0"/>
          <w:divBdr>
            <w:top w:val="none" w:sz="0" w:space="0" w:color="auto"/>
            <w:left w:val="none" w:sz="0" w:space="0" w:color="auto"/>
            <w:bottom w:val="none" w:sz="0" w:space="0" w:color="auto"/>
            <w:right w:val="none" w:sz="0" w:space="0" w:color="auto"/>
          </w:divBdr>
        </w:div>
        <w:div w:id="255141982">
          <w:marLeft w:val="480"/>
          <w:marRight w:val="0"/>
          <w:marTop w:val="0"/>
          <w:marBottom w:val="0"/>
          <w:divBdr>
            <w:top w:val="none" w:sz="0" w:space="0" w:color="auto"/>
            <w:left w:val="none" w:sz="0" w:space="0" w:color="auto"/>
            <w:bottom w:val="none" w:sz="0" w:space="0" w:color="auto"/>
            <w:right w:val="none" w:sz="0" w:space="0" w:color="auto"/>
          </w:divBdr>
        </w:div>
        <w:div w:id="852066100">
          <w:marLeft w:val="480"/>
          <w:marRight w:val="0"/>
          <w:marTop w:val="0"/>
          <w:marBottom w:val="0"/>
          <w:divBdr>
            <w:top w:val="none" w:sz="0" w:space="0" w:color="auto"/>
            <w:left w:val="none" w:sz="0" w:space="0" w:color="auto"/>
            <w:bottom w:val="none" w:sz="0" w:space="0" w:color="auto"/>
            <w:right w:val="none" w:sz="0" w:space="0" w:color="auto"/>
          </w:divBdr>
        </w:div>
        <w:div w:id="1263148998">
          <w:marLeft w:val="480"/>
          <w:marRight w:val="0"/>
          <w:marTop w:val="0"/>
          <w:marBottom w:val="0"/>
          <w:divBdr>
            <w:top w:val="none" w:sz="0" w:space="0" w:color="auto"/>
            <w:left w:val="none" w:sz="0" w:space="0" w:color="auto"/>
            <w:bottom w:val="none" w:sz="0" w:space="0" w:color="auto"/>
            <w:right w:val="none" w:sz="0" w:space="0" w:color="auto"/>
          </w:divBdr>
        </w:div>
        <w:div w:id="1458332454">
          <w:marLeft w:val="480"/>
          <w:marRight w:val="0"/>
          <w:marTop w:val="0"/>
          <w:marBottom w:val="0"/>
          <w:divBdr>
            <w:top w:val="none" w:sz="0" w:space="0" w:color="auto"/>
            <w:left w:val="none" w:sz="0" w:space="0" w:color="auto"/>
            <w:bottom w:val="none" w:sz="0" w:space="0" w:color="auto"/>
            <w:right w:val="none" w:sz="0" w:space="0" w:color="auto"/>
          </w:divBdr>
        </w:div>
        <w:div w:id="105319859">
          <w:marLeft w:val="480"/>
          <w:marRight w:val="0"/>
          <w:marTop w:val="0"/>
          <w:marBottom w:val="0"/>
          <w:divBdr>
            <w:top w:val="none" w:sz="0" w:space="0" w:color="auto"/>
            <w:left w:val="none" w:sz="0" w:space="0" w:color="auto"/>
            <w:bottom w:val="none" w:sz="0" w:space="0" w:color="auto"/>
            <w:right w:val="none" w:sz="0" w:space="0" w:color="auto"/>
          </w:divBdr>
        </w:div>
        <w:div w:id="660425637">
          <w:marLeft w:val="480"/>
          <w:marRight w:val="0"/>
          <w:marTop w:val="0"/>
          <w:marBottom w:val="0"/>
          <w:divBdr>
            <w:top w:val="none" w:sz="0" w:space="0" w:color="auto"/>
            <w:left w:val="none" w:sz="0" w:space="0" w:color="auto"/>
            <w:bottom w:val="none" w:sz="0" w:space="0" w:color="auto"/>
            <w:right w:val="none" w:sz="0" w:space="0" w:color="auto"/>
          </w:divBdr>
        </w:div>
        <w:div w:id="785465543">
          <w:marLeft w:val="480"/>
          <w:marRight w:val="0"/>
          <w:marTop w:val="0"/>
          <w:marBottom w:val="0"/>
          <w:divBdr>
            <w:top w:val="none" w:sz="0" w:space="0" w:color="auto"/>
            <w:left w:val="none" w:sz="0" w:space="0" w:color="auto"/>
            <w:bottom w:val="none" w:sz="0" w:space="0" w:color="auto"/>
            <w:right w:val="none" w:sz="0" w:space="0" w:color="auto"/>
          </w:divBdr>
        </w:div>
        <w:div w:id="274872786">
          <w:marLeft w:val="480"/>
          <w:marRight w:val="0"/>
          <w:marTop w:val="0"/>
          <w:marBottom w:val="0"/>
          <w:divBdr>
            <w:top w:val="none" w:sz="0" w:space="0" w:color="auto"/>
            <w:left w:val="none" w:sz="0" w:space="0" w:color="auto"/>
            <w:bottom w:val="none" w:sz="0" w:space="0" w:color="auto"/>
            <w:right w:val="none" w:sz="0" w:space="0" w:color="auto"/>
          </w:divBdr>
        </w:div>
        <w:div w:id="603810737">
          <w:marLeft w:val="480"/>
          <w:marRight w:val="0"/>
          <w:marTop w:val="0"/>
          <w:marBottom w:val="0"/>
          <w:divBdr>
            <w:top w:val="none" w:sz="0" w:space="0" w:color="auto"/>
            <w:left w:val="none" w:sz="0" w:space="0" w:color="auto"/>
            <w:bottom w:val="none" w:sz="0" w:space="0" w:color="auto"/>
            <w:right w:val="none" w:sz="0" w:space="0" w:color="auto"/>
          </w:divBdr>
        </w:div>
        <w:div w:id="1441679283">
          <w:marLeft w:val="480"/>
          <w:marRight w:val="0"/>
          <w:marTop w:val="0"/>
          <w:marBottom w:val="0"/>
          <w:divBdr>
            <w:top w:val="none" w:sz="0" w:space="0" w:color="auto"/>
            <w:left w:val="none" w:sz="0" w:space="0" w:color="auto"/>
            <w:bottom w:val="none" w:sz="0" w:space="0" w:color="auto"/>
            <w:right w:val="none" w:sz="0" w:space="0" w:color="auto"/>
          </w:divBdr>
        </w:div>
        <w:div w:id="1700400012">
          <w:marLeft w:val="480"/>
          <w:marRight w:val="0"/>
          <w:marTop w:val="0"/>
          <w:marBottom w:val="0"/>
          <w:divBdr>
            <w:top w:val="none" w:sz="0" w:space="0" w:color="auto"/>
            <w:left w:val="none" w:sz="0" w:space="0" w:color="auto"/>
            <w:bottom w:val="none" w:sz="0" w:space="0" w:color="auto"/>
            <w:right w:val="none" w:sz="0" w:space="0" w:color="auto"/>
          </w:divBdr>
        </w:div>
        <w:div w:id="2051878173">
          <w:marLeft w:val="480"/>
          <w:marRight w:val="0"/>
          <w:marTop w:val="0"/>
          <w:marBottom w:val="0"/>
          <w:divBdr>
            <w:top w:val="none" w:sz="0" w:space="0" w:color="auto"/>
            <w:left w:val="none" w:sz="0" w:space="0" w:color="auto"/>
            <w:bottom w:val="none" w:sz="0" w:space="0" w:color="auto"/>
            <w:right w:val="none" w:sz="0" w:space="0" w:color="auto"/>
          </w:divBdr>
        </w:div>
        <w:div w:id="1630083615">
          <w:marLeft w:val="480"/>
          <w:marRight w:val="0"/>
          <w:marTop w:val="0"/>
          <w:marBottom w:val="0"/>
          <w:divBdr>
            <w:top w:val="none" w:sz="0" w:space="0" w:color="auto"/>
            <w:left w:val="none" w:sz="0" w:space="0" w:color="auto"/>
            <w:bottom w:val="none" w:sz="0" w:space="0" w:color="auto"/>
            <w:right w:val="none" w:sz="0" w:space="0" w:color="auto"/>
          </w:divBdr>
        </w:div>
        <w:div w:id="580066894">
          <w:marLeft w:val="480"/>
          <w:marRight w:val="0"/>
          <w:marTop w:val="0"/>
          <w:marBottom w:val="0"/>
          <w:divBdr>
            <w:top w:val="none" w:sz="0" w:space="0" w:color="auto"/>
            <w:left w:val="none" w:sz="0" w:space="0" w:color="auto"/>
            <w:bottom w:val="none" w:sz="0" w:space="0" w:color="auto"/>
            <w:right w:val="none" w:sz="0" w:space="0" w:color="auto"/>
          </w:divBdr>
        </w:div>
        <w:div w:id="463814329">
          <w:marLeft w:val="480"/>
          <w:marRight w:val="0"/>
          <w:marTop w:val="0"/>
          <w:marBottom w:val="0"/>
          <w:divBdr>
            <w:top w:val="none" w:sz="0" w:space="0" w:color="auto"/>
            <w:left w:val="none" w:sz="0" w:space="0" w:color="auto"/>
            <w:bottom w:val="none" w:sz="0" w:space="0" w:color="auto"/>
            <w:right w:val="none" w:sz="0" w:space="0" w:color="auto"/>
          </w:divBdr>
        </w:div>
        <w:div w:id="1249391278">
          <w:marLeft w:val="480"/>
          <w:marRight w:val="0"/>
          <w:marTop w:val="0"/>
          <w:marBottom w:val="0"/>
          <w:divBdr>
            <w:top w:val="none" w:sz="0" w:space="0" w:color="auto"/>
            <w:left w:val="none" w:sz="0" w:space="0" w:color="auto"/>
            <w:bottom w:val="none" w:sz="0" w:space="0" w:color="auto"/>
            <w:right w:val="none" w:sz="0" w:space="0" w:color="auto"/>
          </w:divBdr>
        </w:div>
        <w:div w:id="1767265423">
          <w:marLeft w:val="480"/>
          <w:marRight w:val="0"/>
          <w:marTop w:val="0"/>
          <w:marBottom w:val="0"/>
          <w:divBdr>
            <w:top w:val="none" w:sz="0" w:space="0" w:color="auto"/>
            <w:left w:val="none" w:sz="0" w:space="0" w:color="auto"/>
            <w:bottom w:val="none" w:sz="0" w:space="0" w:color="auto"/>
            <w:right w:val="none" w:sz="0" w:space="0" w:color="auto"/>
          </w:divBdr>
        </w:div>
        <w:div w:id="591670328">
          <w:marLeft w:val="480"/>
          <w:marRight w:val="0"/>
          <w:marTop w:val="0"/>
          <w:marBottom w:val="0"/>
          <w:divBdr>
            <w:top w:val="none" w:sz="0" w:space="0" w:color="auto"/>
            <w:left w:val="none" w:sz="0" w:space="0" w:color="auto"/>
            <w:bottom w:val="none" w:sz="0" w:space="0" w:color="auto"/>
            <w:right w:val="none" w:sz="0" w:space="0" w:color="auto"/>
          </w:divBdr>
        </w:div>
        <w:div w:id="112017397">
          <w:marLeft w:val="480"/>
          <w:marRight w:val="0"/>
          <w:marTop w:val="0"/>
          <w:marBottom w:val="0"/>
          <w:divBdr>
            <w:top w:val="none" w:sz="0" w:space="0" w:color="auto"/>
            <w:left w:val="none" w:sz="0" w:space="0" w:color="auto"/>
            <w:bottom w:val="none" w:sz="0" w:space="0" w:color="auto"/>
            <w:right w:val="none" w:sz="0" w:space="0" w:color="auto"/>
          </w:divBdr>
        </w:div>
        <w:div w:id="1352754601">
          <w:marLeft w:val="480"/>
          <w:marRight w:val="0"/>
          <w:marTop w:val="0"/>
          <w:marBottom w:val="0"/>
          <w:divBdr>
            <w:top w:val="none" w:sz="0" w:space="0" w:color="auto"/>
            <w:left w:val="none" w:sz="0" w:space="0" w:color="auto"/>
            <w:bottom w:val="none" w:sz="0" w:space="0" w:color="auto"/>
            <w:right w:val="none" w:sz="0" w:space="0" w:color="auto"/>
          </w:divBdr>
        </w:div>
        <w:div w:id="766391353">
          <w:marLeft w:val="480"/>
          <w:marRight w:val="0"/>
          <w:marTop w:val="0"/>
          <w:marBottom w:val="0"/>
          <w:divBdr>
            <w:top w:val="none" w:sz="0" w:space="0" w:color="auto"/>
            <w:left w:val="none" w:sz="0" w:space="0" w:color="auto"/>
            <w:bottom w:val="none" w:sz="0" w:space="0" w:color="auto"/>
            <w:right w:val="none" w:sz="0" w:space="0" w:color="auto"/>
          </w:divBdr>
        </w:div>
        <w:div w:id="1438260074">
          <w:marLeft w:val="480"/>
          <w:marRight w:val="0"/>
          <w:marTop w:val="0"/>
          <w:marBottom w:val="0"/>
          <w:divBdr>
            <w:top w:val="none" w:sz="0" w:space="0" w:color="auto"/>
            <w:left w:val="none" w:sz="0" w:space="0" w:color="auto"/>
            <w:bottom w:val="none" w:sz="0" w:space="0" w:color="auto"/>
            <w:right w:val="none" w:sz="0" w:space="0" w:color="auto"/>
          </w:divBdr>
        </w:div>
        <w:div w:id="434793436">
          <w:marLeft w:val="480"/>
          <w:marRight w:val="0"/>
          <w:marTop w:val="0"/>
          <w:marBottom w:val="0"/>
          <w:divBdr>
            <w:top w:val="none" w:sz="0" w:space="0" w:color="auto"/>
            <w:left w:val="none" w:sz="0" w:space="0" w:color="auto"/>
            <w:bottom w:val="none" w:sz="0" w:space="0" w:color="auto"/>
            <w:right w:val="none" w:sz="0" w:space="0" w:color="auto"/>
          </w:divBdr>
        </w:div>
        <w:div w:id="1679306010">
          <w:marLeft w:val="480"/>
          <w:marRight w:val="0"/>
          <w:marTop w:val="0"/>
          <w:marBottom w:val="0"/>
          <w:divBdr>
            <w:top w:val="none" w:sz="0" w:space="0" w:color="auto"/>
            <w:left w:val="none" w:sz="0" w:space="0" w:color="auto"/>
            <w:bottom w:val="none" w:sz="0" w:space="0" w:color="auto"/>
            <w:right w:val="none" w:sz="0" w:space="0" w:color="auto"/>
          </w:divBdr>
        </w:div>
        <w:div w:id="789518753">
          <w:marLeft w:val="480"/>
          <w:marRight w:val="0"/>
          <w:marTop w:val="0"/>
          <w:marBottom w:val="0"/>
          <w:divBdr>
            <w:top w:val="none" w:sz="0" w:space="0" w:color="auto"/>
            <w:left w:val="none" w:sz="0" w:space="0" w:color="auto"/>
            <w:bottom w:val="none" w:sz="0" w:space="0" w:color="auto"/>
            <w:right w:val="none" w:sz="0" w:space="0" w:color="auto"/>
          </w:divBdr>
        </w:div>
        <w:div w:id="1156728737">
          <w:marLeft w:val="480"/>
          <w:marRight w:val="0"/>
          <w:marTop w:val="0"/>
          <w:marBottom w:val="0"/>
          <w:divBdr>
            <w:top w:val="none" w:sz="0" w:space="0" w:color="auto"/>
            <w:left w:val="none" w:sz="0" w:space="0" w:color="auto"/>
            <w:bottom w:val="none" w:sz="0" w:space="0" w:color="auto"/>
            <w:right w:val="none" w:sz="0" w:space="0" w:color="auto"/>
          </w:divBdr>
        </w:div>
        <w:div w:id="1920358892">
          <w:marLeft w:val="480"/>
          <w:marRight w:val="0"/>
          <w:marTop w:val="0"/>
          <w:marBottom w:val="0"/>
          <w:divBdr>
            <w:top w:val="none" w:sz="0" w:space="0" w:color="auto"/>
            <w:left w:val="none" w:sz="0" w:space="0" w:color="auto"/>
            <w:bottom w:val="none" w:sz="0" w:space="0" w:color="auto"/>
            <w:right w:val="none" w:sz="0" w:space="0" w:color="auto"/>
          </w:divBdr>
        </w:div>
        <w:div w:id="825442400">
          <w:marLeft w:val="480"/>
          <w:marRight w:val="0"/>
          <w:marTop w:val="0"/>
          <w:marBottom w:val="0"/>
          <w:divBdr>
            <w:top w:val="none" w:sz="0" w:space="0" w:color="auto"/>
            <w:left w:val="none" w:sz="0" w:space="0" w:color="auto"/>
            <w:bottom w:val="none" w:sz="0" w:space="0" w:color="auto"/>
            <w:right w:val="none" w:sz="0" w:space="0" w:color="auto"/>
          </w:divBdr>
        </w:div>
        <w:div w:id="1521774777">
          <w:marLeft w:val="480"/>
          <w:marRight w:val="0"/>
          <w:marTop w:val="0"/>
          <w:marBottom w:val="0"/>
          <w:divBdr>
            <w:top w:val="none" w:sz="0" w:space="0" w:color="auto"/>
            <w:left w:val="none" w:sz="0" w:space="0" w:color="auto"/>
            <w:bottom w:val="none" w:sz="0" w:space="0" w:color="auto"/>
            <w:right w:val="none" w:sz="0" w:space="0" w:color="auto"/>
          </w:divBdr>
        </w:div>
        <w:div w:id="1596548622">
          <w:marLeft w:val="480"/>
          <w:marRight w:val="0"/>
          <w:marTop w:val="0"/>
          <w:marBottom w:val="0"/>
          <w:divBdr>
            <w:top w:val="none" w:sz="0" w:space="0" w:color="auto"/>
            <w:left w:val="none" w:sz="0" w:space="0" w:color="auto"/>
            <w:bottom w:val="none" w:sz="0" w:space="0" w:color="auto"/>
            <w:right w:val="none" w:sz="0" w:space="0" w:color="auto"/>
          </w:divBdr>
        </w:div>
        <w:div w:id="327751723">
          <w:marLeft w:val="480"/>
          <w:marRight w:val="0"/>
          <w:marTop w:val="0"/>
          <w:marBottom w:val="0"/>
          <w:divBdr>
            <w:top w:val="none" w:sz="0" w:space="0" w:color="auto"/>
            <w:left w:val="none" w:sz="0" w:space="0" w:color="auto"/>
            <w:bottom w:val="none" w:sz="0" w:space="0" w:color="auto"/>
            <w:right w:val="none" w:sz="0" w:space="0" w:color="auto"/>
          </w:divBdr>
        </w:div>
        <w:div w:id="1953053422">
          <w:marLeft w:val="480"/>
          <w:marRight w:val="0"/>
          <w:marTop w:val="0"/>
          <w:marBottom w:val="0"/>
          <w:divBdr>
            <w:top w:val="none" w:sz="0" w:space="0" w:color="auto"/>
            <w:left w:val="none" w:sz="0" w:space="0" w:color="auto"/>
            <w:bottom w:val="none" w:sz="0" w:space="0" w:color="auto"/>
            <w:right w:val="none" w:sz="0" w:space="0" w:color="auto"/>
          </w:divBdr>
        </w:div>
        <w:div w:id="819690827">
          <w:marLeft w:val="480"/>
          <w:marRight w:val="0"/>
          <w:marTop w:val="0"/>
          <w:marBottom w:val="0"/>
          <w:divBdr>
            <w:top w:val="none" w:sz="0" w:space="0" w:color="auto"/>
            <w:left w:val="none" w:sz="0" w:space="0" w:color="auto"/>
            <w:bottom w:val="none" w:sz="0" w:space="0" w:color="auto"/>
            <w:right w:val="none" w:sz="0" w:space="0" w:color="auto"/>
          </w:divBdr>
        </w:div>
        <w:div w:id="312487829">
          <w:marLeft w:val="480"/>
          <w:marRight w:val="0"/>
          <w:marTop w:val="0"/>
          <w:marBottom w:val="0"/>
          <w:divBdr>
            <w:top w:val="none" w:sz="0" w:space="0" w:color="auto"/>
            <w:left w:val="none" w:sz="0" w:space="0" w:color="auto"/>
            <w:bottom w:val="none" w:sz="0" w:space="0" w:color="auto"/>
            <w:right w:val="none" w:sz="0" w:space="0" w:color="auto"/>
          </w:divBdr>
        </w:div>
        <w:div w:id="1661931174">
          <w:marLeft w:val="480"/>
          <w:marRight w:val="0"/>
          <w:marTop w:val="0"/>
          <w:marBottom w:val="0"/>
          <w:divBdr>
            <w:top w:val="none" w:sz="0" w:space="0" w:color="auto"/>
            <w:left w:val="none" w:sz="0" w:space="0" w:color="auto"/>
            <w:bottom w:val="none" w:sz="0" w:space="0" w:color="auto"/>
            <w:right w:val="none" w:sz="0" w:space="0" w:color="auto"/>
          </w:divBdr>
        </w:div>
        <w:div w:id="1392193042">
          <w:marLeft w:val="480"/>
          <w:marRight w:val="0"/>
          <w:marTop w:val="0"/>
          <w:marBottom w:val="0"/>
          <w:divBdr>
            <w:top w:val="none" w:sz="0" w:space="0" w:color="auto"/>
            <w:left w:val="none" w:sz="0" w:space="0" w:color="auto"/>
            <w:bottom w:val="none" w:sz="0" w:space="0" w:color="auto"/>
            <w:right w:val="none" w:sz="0" w:space="0" w:color="auto"/>
          </w:divBdr>
        </w:div>
        <w:div w:id="66271161">
          <w:marLeft w:val="480"/>
          <w:marRight w:val="0"/>
          <w:marTop w:val="0"/>
          <w:marBottom w:val="0"/>
          <w:divBdr>
            <w:top w:val="none" w:sz="0" w:space="0" w:color="auto"/>
            <w:left w:val="none" w:sz="0" w:space="0" w:color="auto"/>
            <w:bottom w:val="none" w:sz="0" w:space="0" w:color="auto"/>
            <w:right w:val="none" w:sz="0" w:space="0" w:color="auto"/>
          </w:divBdr>
        </w:div>
        <w:div w:id="653680672">
          <w:marLeft w:val="480"/>
          <w:marRight w:val="0"/>
          <w:marTop w:val="0"/>
          <w:marBottom w:val="0"/>
          <w:divBdr>
            <w:top w:val="none" w:sz="0" w:space="0" w:color="auto"/>
            <w:left w:val="none" w:sz="0" w:space="0" w:color="auto"/>
            <w:bottom w:val="none" w:sz="0" w:space="0" w:color="auto"/>
            <w:right w:val="none" w:sz="0" w:space="0" w:color="auto"/>
          </w:divBdr>
        </w:div>
        <w:div w:id="1721242502">
          <w:marLeft w:val="480"/>
          <w:marRight w:val="0"/>
          <w:marTop w:val="0"/>
          <w:marBottom w:val="0"/>
          <w:divBdr>
            <w:top w:val="none" w:sz="0" w:space="0" w:color="auto"/>
            <w:left w:val="none" w:sz="0" w:space="0" w:color="auto"/>
            <w:bottom w:val="none" w:sz="0" w:space="0" w:color="auto"/>
            <w:right w:val="none" w:sz="0" w:space="0" w:color="auto"/>
          </w:divBdr>
        </w:div>
        <w:div w:id="230384993">
          <w:marLeft w:val="480"/>
          <w:marRight w:val="0"/>
          <w:marTop w:val="0"/>
          <w:marBottom w:val="0"/>
          <w:divBdr>
            <w:top w:val="none" w:sz="0" w:space="0" w:color="auto"/>
            <w:left w:val="none" w:sz="0" w:space="0" w:color="auto"/>
            <w:bottom w:val="none" w:sz="0" w:space="0" w:color="auto"/>
            <w:right w:val="none" w:sz="0" w:space="0" w:color="auto"/>
          </w:divBdr>
        </w:div>
        <w:div w:id="997349182">
          <w:marLeft w:val="480"/>
          <w:marRight w:val="0"/>
          <w:marTop w:val="0"/>
          <w:marBottom w:val="0"/>
          <w:divBdr>
            <w:top w:val="none" w:sz="0" w:space="0" w:color="auto"/>
            <w:left w:val="none" w:sz="0" w:space="0" w:color="auto"/>
            <w:bottom w:val="none" w:sz="0" w:space="0" w:color="auto"/>
            <w:right w:val="none" w:sz="0" w:space="0" w:color="auto"/>
          </w:divBdr>
        </w:div>
        <w:div w:id="1949972176">
          <w:marLeft w:val="480"/>
          <w:marRight w:val="0"/>
          <w:marTop w:val="0"/>
          <w:marBottom w:val="0"/>
          <w:divBdr>
            <w:top w:val="none" w:sz="0" w:space="0" w:color="auto"/>
            <w:left w:val="none" w:sz="0" w:space="0" w:color="auto"/>
            <w:bottom w:val="none" w:sz="0" w:space="0" w:color="auto"/>
            <w:right w:val="none" w:sz="0" w:space="0" w:color="auto"/>
          </w:divBdr>
        </w:div>
        <w:div w:id="973949936">
          <w:marLeft w:val="480"/>
          <w:marRight w:val="0"/>
          <w:marTop w:val="0"/>
          <w:marBottom w:val="0"/>
          <w:divBdr>
            <w:top w:val="none" w:sz="0" w:space="0" w:color="auto"/>
            <w:left w:val="none" w:sz="0" w:space="0" w:color="auto"/>
            <w:bottom w:val="none" w:sz="0" w:space="0" w:color="auto"/>
            <w:right w:val="none" w:sz="0" w:space="0" w:color="auto"/>
          </w:divBdr>
        </w:div>
        <w:div w:id="471213377">
          <w:marLeft w:val="480"/>
          <w:marRight w:val="0"/>
          <w:marTop w:val="0"/>
          <w:marBottom w:val="0"/>
          <w:divBdr>
            <w:top w:val="none" w:sz="0" w:space="0" w:color="auto"/>
            <w:left w:val="none" w:sz="0" w:space="0" w:color="auto"/>
            <w:bottom w:val="none" w:sz="0" w:space="0" w:color="auto"/>
            <w:right w:val="none" w:sz="0" w:space="0" w:color="auto"/>
          </w:divBdr>
        </w:div>
        <w:div w:id="988361566">
          <w:marLeft w:val="480"/>
          <w:marRight w:val="0"/>
          <w:marTop w:val="0"/>
          <w:marBottom w:val="0"/>
          <w:divBdr>
            <w:top w:val="none" w:sz="0" w:space="0" w:color="auto"/>
            <w:left w:val="none" w:sz="0" w:space="0" w:color="auto"/>
            <w:bottom w:val="none" w:sz="0" w:space="0" w:color="auto"/>
            <w:right w:val="none" w:sz="0" w:space="0" w:color="auto"/>
          </w:divBdr>
        </w:div>
        <w:div w:id="1673603427">
          <w:marLeft w:val="480"/>
          <w:marRight w:val="0"/>
          <w:marTop w:val="0"/>
          <w:marBottom w:val="0"/>
          <w:divBdr>
            <w:top w:val="none" w:sz="0" w:space="0" w:color="auto"/>
            <w:left w:val="none" w:sz="0" w:space="0" w:color="auto"/>
            <w:bottom w:val="none" w:sz="0" w:space="0" w:color="auto"/>
            <w:right w:val="none" w:sz="0" w:space="0" w:color="auto"/>
          </w:divBdr>
        </w:div>
        <w:div w:id="1683581106">
          <w:marLeft w:val="480"/>
          <w:marRight w:val="0"/>
          <w:marTop w:val="0"/>
          <w:marBottom w:val="0"/>
          <w:divBdr>
            <w:top w:val="none" w:sz="0" w:space="0" w:color="auto"/>
            <w:left w:val="none" w:sz="0" w:space="0" w:color="auto"/>
            <w:bottom w:val="none" w:sz="0" w:space="0" w:color="auto"/>
            <w:right w:val="none" w:sz="0" w:space="0" w:color="auto"/>
          </w:divBdr>
        </w:div>
        <w:div w:id="1725373209">
          <w:marLeft w:val="480"/>
          <w:marRight w:val="0"/>
          <w:marTop w:val="0"/>
          <w:marBottom w:val="0"/>
          <w:divBdr>
            <w:top w:val="none" w:sz="0" w:space="0" w:color="auto"/>
            <w:left w:val="none" w:sz="0" w:space="0" w:color="auto"/>
            <w:bottom w:val="none" w:sz="0" w:space="0" w:color="auto"/>
            <w:right w:val="none" w:sz="0" w:space="0" w:color="auto"/>
          </w:divBdr>
        </w:div>
        <w:div w:id="937568253">
          <w:marLeft w:val="480"/>
          <w:marRight w:val="0"/>
          <w:marTop w:val="0"/>
          <w:marBottom w:val="0"/>
          <w:divBdr>
            <w:top w:val="none" w:sz="0" w:space="0" w:color="auto"/>
            <w:left w:val="none" w:sz="0" w:space="0" w:color="auto"/>
            <w:bottom w:val="none" w:sz="0" w:space="0" w:color="auto"/>
            <w:right w:val="none" w:sz="0" w:space="0" w:color="auto"/>
          </w:divBdr>
        </w:div>
        <w:div w:id="1512525809">
          <w:marLeft w:val="480"/>
          <w:marRight w:val="0"/>
          <w:marTop w:val="0"/>
          <w:marBottom w:val="0"/>
          <w:divBdr>
            <w:top w:val="none" w:sz="0" w:space="0" w:color="auto"/>
            <w:left w:val="none" w:sz="0" w:space="0" w:color="auto"/>
            <w:bottom w:val="none" w:sz="0" w:space="0" w:color="auto"/>
            <w:right w:val="none" w:sz="0" w:space="0" w:color="auto"/>
          </w:divBdr>
        </w:div>
        <w:div w:id="755979903">
          <w:marLeft w:val="480"/>
          <w:marRight w:val="0"/>
          <w:marTop w:val="0"/>
          <w:marBottom w:val="0"/>
          <w:divBdr>
            <w:top w:val="none" w:sz="0" w:space="0" w:color="auto"/>
            <w:left w:val="none" w:sz="0" w:space="0" w:color="auto"/>
            <w:bottom w:val="none" w:sz="0" w:space="0" w:color="auto"/>
            <w:right w:val="none" w:sz="0" w:space="0" w:color="auto"/>
          </w:divBdr>
        </w:div>
        <w:div w:id="1753549515">
          <w:marLeft w:val="480"/>
          <w:marRight w:val="0"/>
          <w:marTop w:val="0"/>
          <w:marBottom w:val="0"/>
          <w:divBdr>
            <w:top w:val="none" w:sz="0" w:space="0" w:color="auto"/>
            <w:left w:val="none" w:sz="0" w:space="0" w:color="auto"/>
            <w:bottom w:val="none" w:sz="0" w:space="0" w:color="auto"/>
            <w:right w:val="none" w:sz="0" w:space="0" w:color="auto"/>
          </w:divBdr>
        </w:div>
        <w:div w:id="10880324">
          <w:marLeft w:val="480"/>
          <w:marRight w:val="0"/>
          <w:marTop w:val="0"/>
          <w:marBottom w:val="0"/>
          <w:divBdr>
            <w:top w:val="none" w:sz="0" w:space="0" w:color="auto"/>
            <w:left w:val="none" w:sz="0" w:space="0" w:color="auto"/>
            <w:bottom w:val="none" w:sz="0" w:space="0" w:color="auto"/>
            <w:right w:val="none" w:sz="0" w:space="0" w:color="auto"/>
          </w:divBdr>
        </w:div>
        <w:div w:id="995381331">
          <w:marLeft w:val="480"/>
          <w:marRight w:val="0"/>
          <w:marTop w:val="0"/>
          <w:marBottom w:val="0"/>
          <w:divBdr>
            <w:top w:val="none" w:sz="0" w:space="0" w:color="auto"/>
            <w:left w:val="none" w:sz="0" w:space="0" w:color="auto"/>
            <w:bottom w:val="none" w:sz="0" w:space="0" w:color="auto"/>
            <w:right w:val="none" w:sz="0" w:space="0" w:color="auto"/>
          </w:divBdr>
        </w:div>
        <w:div w:id="1158497003">
          <w:marLeft w:val="480"/>
          <w:marRight w:val="0"/>
          <w:marTop w:val="0"/>
          <w:marBottom w:val="0"/>
          <w:divBdr>
            <w:top w:val="none" w:sz="0" w:space="0" w:color="auto"/>
            <w:left w:val="none" w:sz="0" w:space="0" w:color="auto"/>
            <w:bottom w:val="none" w:sz="0" w:space="0" w:color="auto"/>
            <w:right w:val="none" w:sz="0" w:space="0" w:color="auto"/>
          </w:divBdr>
        </w:div>
        <w:div w:id="1537304919">
          <w:marLeft w:val="480"/>
          <w:marRight w:val="0"/>
          <w:marTop w:val="0"/>
          <w:marBottom w:val="0"/>
          <w:divBdr>
            <w:top w:val="none" w:sz="0" w:space="0" w:color="auto"/>
            <w:left w:val="none" w:sz="0" w:space="0" w:color="auto"/>
            <w:bottom w:val="none" w:sz="0" w:space="0" w:color="auto"/>
            <w:right w:val="none" w:sz="0" w:space="0" w:color="auto"/>
          </w:divBdr>
        </w:div>
        <w:div w:id="985470701">
          <w:marLeft w:val="480"/>
          <w:marRight w:val="0"/>
          <w:marTop w:val="0"/>
          <w:marBottom w:val="0"/>
          <w:divBdr>
            <w:top w:val="none" w:sz="0" w:space="0" w:color="auto"/>
            <w:left w:val="none" w:sz="0" w:space="0" w:color="auto"/>
            <w:bottom w:val="none" w:sz="0" w:space="0" w:color="auto"/>
            <w:right w:val="none" w:sz="0" w:space="0" w:color="auto"/>
          </w:divBdr>
        </w:div>
        <w:div w:id="1375542925">
          <w:marLeft w:val="480"/>
          <w:marRight w:val="0"/>
          <w:marTop w:val="0"/>
          <w:marBottom w:val="0"/>
          <w:divBdr>
            <w:top w:val="none" w:sz="0" w:space="0" w:color="auto"/>
            <w:left w:val="none" w:sz="0" w:space="0" w:color="auto"/>
            <w:bottom w:val="none" w:sz="0" w:space="0" w:color="auto"/>
            <w:right w:val="none" w:sz="0" w:space="0" w:color="auto"/>
          </w:divBdr>
        </w:div>
        <w:div w:id="923219422">
          <w:marLeft w:val="480"/>
          <w:marRight w:val="0"/>
          <w:marTop w:val="0"/>
          <w:marBottom w:val="0"/>
          <w:divBdr>
            <w:top w:val="none" w:sz="0" w:space="0" w:color="auto"/>
            <w:left w:val="none" w:sz="0" w:space="0" w:color="auto"/>
            <w:bottom w:val="none" w:sz="0" w:space="0" w:color="auto"/>
            <w:right w:val="none" w:sz="0" w:space="0" w:color="auto"/>
          </w:divBdr>
        </w:div>
        <w:div w:id="276067180">
          <w:marLeft w:val="480"/>
          <w:marRight w:val="0"/>
          <w:marTop w:val="0"/>
          <w:marBottom w:val="0"/>
          <w:divBdr>
            <w:top w:val="none" w:sz="0" w:space="0" w:color="auto"/>
            <w:left w:val="none" w:sz="0" w:space="0" w:color="auto"/>
            <w:bottom w:val="none" w:sz="0" w:space="0" w:color="auto"/>
            <w:right w:val="none" w:sz="0" w:space="0" w:color="auto"/>
          </w:divBdr>
        </w:div>
        <w:div w:id="650134517">
          <w:marLeft w:val="480"/>
          <w:marRight w:val="0"/>
          <w:marTop w:val="0"/>
          <w:marBottom w:val="0"/>
          <w:divBdr>
            <w:top w:val="none" w:sz="0" w:space="0" w:color="auto"/>
            <w:left w:val="none" w:sz="0" w:space="0" w:color="auto"/>
            <w:bottom w:val="none" w:sz="0" w:space="0" w:color="auto"/>
            <w:right w:val="none" w:sz="0" w:space="0" w:color="auto"/>
          </w:divBdr>
        </w:div>
        <w:div w:id="1896355435">
          <w:marLeft w:val="480"/>
          <w:marRight w:val="0"/>
          <w:marTop w:val="0"/>
          <w:marBottom w:val="0"/>
          <w:divBdr>
            <w:top w:val="none" w:sz="0" w:space="0" w:color="auto"/>
            <w:left w:val="none" w:sz="0" w:space="0" w:color="auto"/>
            <w:bottom w:val="none" w:sz="0" w:space="0" w:color="auto"/>
            <w:right w:val="none" w:sz="0" w:space="0" w:color="auto"/>
          </w:divBdr>
        </w:div>
        <w:div w:id="2043896613">
          <w:marLeft w:val="480"/>
          <w:marRight w:val="0"/>
          <w:marTop w:val="0"/>
          <w:marBottom w:val="0"/>
          <w:divBdr>
            <w:top w:val="none" w:sz="0" w:space="0" w:color="auto"/>
            <w:left w:val="none" w:sz="0" w:space="0" w:color="auto"/>
            <w:bottom w:val="none" w:sz="0" w:space="0" w:color="auto"/>
            <w:right w:val="none" w:sz="0" w:space="0" w:color="auto"/>
          </w:divBdr>
        </w:div>
        <w:div w:id="144009199">
          <w:marLeft w:val="480"/>
          <w:marRight w:val="0"/>
          <w:marTop w:val="0"/>
          <w:marBottom w:val="0"/>
          <w:divBdr>
            <w:top w:val="none" w:sz="0" w:space="0" w:color="auto"/>
            <w:left w:val="none" w:sz="0" w:space="0" w:color="auto"/>
            <w:bottom w:val="none" w:sz="0" w:space="0" w:color="auto"/>
            <w:right w:val="none" w:sz="0" w:space="0" w:color="auto"/>
          </w:divBdr>
        </w:div>
        <w:div w:id="2029944690">
          <w:marLeft w:val="480"/>
          <w:marRight w:val="0"/>
          <w:marTop w:val="0"/>
          <w:marBottom w:val="0"/>
          <w:divBdr>
            <w:top w:val="none" w:sz="0" w:space="0" w:color="auto"/>
            <w:left w:val="none" w:sz="0" w:space="0" w:color="auto"/>
            <w:bottom w:val="none" w:sz="0" w:space="0" w:color="auto"/>
            <w:right w:val="none" w:sz="0" w:space="0" w:color="auto"/>
          </w:divBdr>
        </w:div>
        <w:div w:id="322397487">
          <w:marLeft w:val="480"/>
          <w:marRight w:val="0"/>
          <w:marTop w:val="0"/>
          <w:marBottom w:val="0"/>
          <w:divBdr>
            <w:top w:val="none" w:sz="0" w:space="0" w:color="auto"/>
            <w:left w:val="none" w:sz="0" w:space="0" w:color="auto"/>
            <w:bottom w:val="none" w:sz="0" w:space="0" w:color="auto"/>
            <w:right w:val="none" w:sz="0" w:space="0" w:color="auto"/>
          </w:divBdr>
        </w:div>
        <w:div w:id="1004671200">
          <w:marLeft w:val="480"/>
          <w:marRight w:val="0"/>
          <w:marTop w:val="0"/>
          <w:marBottom w:val="0"/>
          <w:divBdr>
            <w:top w:val="none" w:sz="0" w:space="0" w:color="auto"/>
            <w:left w:val="none" w:sz="0" w:space="0" w:color="auto"/>
            <w:bottom w:val="none" w:sz="0" w:space="0" w:color="auto"/>
            <w:right w:val="none" w:sz="0" w:space="0" w:color="auto"/>
          </w:divBdr>
        </w:div>
        <w:div w:id="1608271616">
          <w:marLeft w:val="480"/>
          <w:marRight w:val="0"/>
          <w:marTop w:val="0"/>
          <w:marBottom w:val="0"/>
          <w:divBdr>
            <w:top w:val="none" w:sz="0" w:space="0" w:color="auto"/>
            <w:left w:val="none" w:sz="0" w:space="0" w:color="auto"/>
            <w:bottom w:val="none" w:sz="0" w:space="0" w:color="auto"/>
            <w:right w:val="none" w:sz="0" w:space="0" w:color="auto"/>
          </w:divBdr>
        </w:div>
        <w:div w:id="1912348042">
          <w:marLeft w:val="480"/>
          <w:marRight w:val="0"/>
          <w:marTop w:val="0"/>
          <w:marBottom w:val="0"/>
          <w:divBdr>
            <w:top w:val="none" w:sz="0" w:space="0" w:color="auto"/>
            <w:left w:val="none" w:sz="0" w:space="0" w:color="auto"/>
            <w:bottom w:val="none" w:sz="0" w:space="0" w:color="auto"/>
            <w:right w:val="none" w:sz="0" w:space="0" w:color="auto"/>
          </w:divBdr>
        </w:div>
        <w:div w:id="658922875">
          <w:marLeft w:val="480"/>
          <w:marRight w:val="0"/>
          <w:marTop w:val="0"/>
          <w:marBottom w:val="0"/>
          <w:divBdr>
            <w:top w:val="none" w:sz="0" w:space="0" w:color="auto"/>
            <w:left w:val="none" w:sz="0" w:space="0" w:color="auto"/>
            <w:bottom w:val="none" w:sz="0" w:space="0" w:color="auto"/>
            <w:right w:val="none" w:sz="0" w:space="0" w:color="auto"/>
          </w:divBdr>
        </w:div>
        <w:div w:id="511574355">
          <w:marLeft w:val="480"/>
          <w:marRight w:val="0"/>
          <w:marTop w:val="0"/>
          <w:marBottom w:val="0"/>
          <w:divBdr>
            <w:top w:val="none" w:sz="0" w:space="0" w:color="auto"/>
            <w:left w:val="none" w:sz="0" w:space="0" w:color="auto"/>
            <w:bottom w:val="none" w:sz="0" w:space="0" w:color="auto"/>
            <w:right w:val="none" w:sz="0" w:space="0" w:color="auto"/>
          </w:divBdr>
        </w:div>
        <w:div w:id="1843398738">
          <w:marLeft w:val="480"/>
          <w:marRight w:val="0"/>
          <w:marTop w:val="0"/>
          <w:marBottom w:val="0"/>
          <w:divBdr>
            <w:top w:val="none" w:sz="0" w:space="0" w:color="auto"/>
            <w:left w:val="none" w:sz="0" w:space="0" w:color="auto"/>
            <w:bottom w:val="none" w:sz="0" w:space="0" w:color="auto"/>
            <w:right w:val="none" w:sz="0" w:space="0" w:color="auto"/>
          </w:divBdr>
        </w:div>
      </w:divsChild>
    </w:div>
    <w:div w:id="239680294">
      <w:bodyDiv w:val="1"/>
      <w:marLeft w:val="0"/>
      <w:marRight w:val="0"/>
      <w:marTop w:val="0"/>
      <w:marBottom w:val="0"/>
      <w:divBdr>
        <w:top w:val="none" w:sz="0" w:space="0" w:color="auto"/>
        <w:left w:val="none" w:sz="0" w:space="0" w:color="auto"/>
        <w:bottom w:val="none" w:sz="0" w:space="0" w:color="auto"/>
        <w:right w:val="none" w:sz="0" w:space="0" w:color="auto"/>
      </w:divBdr>
    </w:div>
    <w:div w:id="240260714">
      <w:bodyDiv w:val="1"/>
      <w:marLeft w:val="0"/>
      <w:marRight w:val="0"/>
      <w:marTop w:val="0"/>
      <w:marBottom w:val="0"/>
      <w:divBdr>
        <w:top w:val="none" w:sz="0" w:space="0" w:color="auto"/>
        <w:left w:val="none" w:sz="0" w:space="0" w:color="auto"/>
        <w:bottom w:val="none" w:sz="0" w:space="0" w:color="auto"/>
        <w:right w:val="none" w:sz="0" w:space="0" w:color="auto"/>
      </w:divBdr>
    </w:div>
    <w:div w:id="240455051">
      <w:bodyDiv w:val="1"/>
      <w:marLeft w:val="0"/>
      <w:marRight w:val="0"/>
      <w:marTop w:val="0"/>
      <w:marBottom w:val="0"/>
      <w:divBdr>
        <w:top w:val="none" w:sz="0" w:space="0" w:color="auto"/>
        <w:left w:val="none" w:sz="0" w:space="0" w:color="auto"/>
        <w:bottom w:val="none" w:sz="0" w:space="0" w:color="auto"/>
        <w:right w:val="none" w:sz="0" w:space="0" w:color="auto"/>
      </w:divBdr>
    </w:div>
    <w:div w:id="240719690">
      <w:bodyDiv w:val="1"/>
      <w:marLeft w:val="0"/>
      <w:marRight w:val="0"/>
      <w:marTop w:val="0"/>
      <w:marBottom w:val="0"/>
      <w:divBdr>
        <w:top w:val="none" w:sz="0" w:space="0" w:color="auto"/>
        <w:left w:val="none" w:sz="0" w:space="0" w:color="auto"/>
        <w:bottom w:val="none" w:sz="0" w:space="0" w:color="auto"/>
        <w:right w:val="none" w:sz="0" w:space="0" w:color="auto"/>
      </w:divBdr>
    </w:div>
    <w:div w:id="242955531">
      <w:bodyDiv w:val="1"/>
      <w:marLeft w:val="0"/>
      <w:marRight w:val="0"/>
      <w:marTop w:val="0"/>
      <w:marBottom w:val="0"/>
      <w:divBdr>
        <w:top w:val="none" w:sz="0" w:space="0" w:color="auto"/>
        <w:left w:val="none" w:sz="0" w:space="0" w:color="auto"/>
        <w:bottom w:val="none" w:sz="0" w:space="0" w:color="auto"/>
        <w:right w:val="none" w:sz="0" w:space="0" w:color="auto"/>
      </w:divBdr>
    </w:div>
    <w:div w:id="243413353">
      <w:bodyDiv w:val="1"/>
      <w:marLeft w:val="0"/>
      <w:marRight w:val="0"/>
      <w:marTop w:val="0"/>
      <w:marBottom w:val="0"/>
      <w:divBdr>
        <w:top w:val="none" w:sz="0" w:space="0" w:color="auto"/>
        <w:left w:val="none" w:sz="0" w:space="0" w:color="auto"/>
        <w:bottom w:val="none" w:sz="0" w:space="0" w:color="auto"/>
        <w:right w:val="none" w:sz="0" w:space="0" w:color="auto"/>
      </w:divBdr>
    </w:div>
    <w:div w:id="243689529">
      <w:bodyDiv w:val="1"/>
      <w:marLeft w:val="0"/>
      <w:marRight w:val="0"/>
      <w:marTop w:val="0"/>
      <w:marBottom w:val="0"/>
      <w:divBdr>
        <w:top w:val="none" w:sz="0" w:space="0" w:color="auto"/>
        <w:left w:val="none" w:sz="0" w:space="0" w:color="auto"/>
        <w:bottom w:val="none" w:sz="0" w:space="0" w:color="auto"/>
        <w:right w:val="none" w:sz="0" w:space="0" w:color="auto"/>
      </w:divBdr>
    </w:div>
    <w:div w:id="244144507">
      <w:bodyDiv w:val="1"/>
      <w:marLeft w:val="0"/>
      <w:marRight w:val="0"/>
      <w:marTop w:val="0"/>
      <w:marBottom w:val="0"/>
      <w:divBdr>
        <w:top w:val="none" w:sz="0" w:space="0" w:color="auto"/>
        <w:left w:val="none" w:sz="0" w:space="0" w:color="auto"/>
        <w:bottom w:val="none" w:sz="0" w:space="0" w:color="auto"/>
        <w:right w:val="none" w:sz="0" w:space="0" w:color="auto"/>
      </w:divBdr>
    </w:div>
    <w:div w:id="245498077">
      <w:bodyDiv w:val="1"/>
      <w:marLeft w:val="0"/>
      <w:marRight w:val="0"/>
      <w:marTop w:val="0"/>
      <w:marBottom w:val="0"/>
      <w:divBdr>
        <w:top w:val="none" w:sz="0" w:space="0" w:color="auto"/>
        <w:left w:val="none" w:sz="0" w:space="0" w:color="auto"/>
        <w:bottom w:val="none" w:sz="0" w:space="0" w:color="auto"/>
        <w:right w:val="none" w:sz="0" w:space="0" w:color="auto"/>
      </w:divBdr>
    </w:div>
    <w:div w:id="246111206">
      <w:bodyDiv w:val="1"/>
      <w:marLeft w:val="0"/>
      <w:marRight w:val="0"/>
      <w:marTop w:val="0"/>
      <w:marBottom w:val="0"/>
      <w:divBdr>
        <w:top w:val="none" w:sz="0" w:space="0" w:color="auto"/>
        <w:left w:val="none" w:sz="0" w:space="0" w:color="auto"/>
        <w:bottom w:val="none" w:sz="0" w:space="0" w:color="auto"/>
        <w:right w:val="none" w:sz="0" w:space="0" w:color="auto"/>
      </w:divBdr>
    </w:div>
    <w:div w:id="246231135">
      <w:bodyDiv w:val="1"/>
      <w:marLeft w:val="0"/>
      <w:marRight w:val="0"/>
      <w:marTop w:val="0"/>
      <w:marBottom w:val="0"/>
      <w:divBdr>
        <w:top w:val="none" w:sz="0" w:space="0" w:color="auto"/>
        <w:left w:val="none" w:sz="0" w:space="0" w:color="auto"/>
        <w:bottom w:val="none" w:sz="0" w:space="0" w:color="auto"/>
        <w:right w:val="none" w:sz="0" w:space="0" w:color="auto"/>
      </w:divBdr>
    </w:div>
    <w:div w:id="247082666">
      <w:bodyDiv w:val="1"/>
      <w:marLeft w:val="0"/>
      <w:marRight w:val="0"/>
      <w:marTop w:val="0"/>
      <w:marBottom w:val="0"/>
      <w:divBdr>
        <w:top w:val="none" w:sz="0" w:space="0" w:color="auto"/>
        <w:left w:val="none" w:sz="0" w:space="0" w:color="auto"/>
        <w:bottom w:val="none" w:sz="0" w:space="0" w:color="auto"/>
        <w:right w:val="none" w:sz="0" w:space="0" w:color="auto"/>
      </w:divBdr>
    </w:div>
    <w:div w:id="250358639">
      <w:bodyDiv w:val="1"/>
      <w:marLeft w:val="0"/>
      <w:marRight w:val="0"/>
      <w:marTop w:val="0"/>
      <w:marBottom w:val="0"/>
      <w:divBdr>
        <w:top w:val="none" w:sz="0" w:space="0" w:color="auto"/>
        <w:left w:val="none" w:sz="0" w:space="0" w:color="auto"/>
        <w:bottom w:val="none" w:sz="0" w:space="0" w:color="auto"/>
        <w:right w:val="none" w:sz="0" w:space="0" w:color="auto"/>
      </w:divBdr>
    </w:div>
    <w:div w:id="251011324">
      <w:bodyDiv w:val="1"/>
      <w:marLeft w:val="0"/>
      <w:marRight w:val="0"/>
      <w:marTop w:val="0"/>
      <w:marBottom w:val="0"/>
      <w:divBdr>
        <w:top w:val="none" w:sz="0" w:space="0" w:color="auto"/>
        <w:left w:val="none" w:sz="0" w:space="0" w:color="auto"/>
        <w:bottom w:val="none" w:sz="0" w:space="0" w:color="auto"/>
        <w:right w:val="none" w:sz="0" w:space="0" w:color="auto"/>
      </w:divBdr>
    </w:div>
    <w:div w:id="251015325">
      <w:bodyDiv w:val="1"/>
      <w:marLeft w:val="0"/>
      <w:marRight w:val="0"/>
      <w:marTop w:val="0"/>
      <w:marBottom w:val="0"/>
      <w:divBdr>
        <w:top w:val="none" w:sz="0" w:space="0" w:color="auto"/>
        <w:left w:val="none" w:sz="0" w:space="0" w:color="auto"/>
        <w:bottom w:val="none" w:sz="0" w:space="0" w:color="auto"/>
        <w:right w:val="none" w:sz="0" w:space="0" w:color="auto"/>
      </w:divBdr>
    </w:div>
    <w:div w:id="251208762">
      <w:bodyDiv w:val="1"/>
      <w:marLeft w:val="0"/>
      <w:marRight w:val="0"/>
      <w:marTop w:val="0"/>
      <w:marBottom w:val="0"/>
      <w:divBdr>
        <w:top w:val="none" w:sz="0" w:space="0" w:color="auto"/>
        <w:left w:val="none" w:sz="0" w:space="0" w:color="auto"/>
        <w:bottom w:val="none" w:sz="0" w:space="0" w:color="auto"/>
        <w:right w:val="none" w:sz="0" w:space="0" w:color="auto"/>
      </w:divBdr>
    </w:div>
    <w:div w:id="251473554">
      <w:bodyDiv w:val="1"/>
      <w:marLeft w:val="0"/>
      <w:marRight w:val="0"/>
      <w:marTop w:val="0"/>
      <w:marBottom w:val="0"/>
      <w:divBdr>
        <w:top w:val="none" w:sz="0" w:space="0" w:color="auto"/>
        <w:left w:val="none" w:sz="0" w:space="0" w:color="auto"/>
        <w:bottom w:val="none" w:sz="0" w:space="0" w:color="auto"/>
        <w:right w:val="none" w:sz="0" w:space="0" w:color="auto"/>
      </w:divBdr>
    </w:div>
    <w:div w:id="251815201">
      <w:bodyDiv w:val="1"/>
      <w:marLeft w:val="0"/>
      <w:marRight w:val="0"/>
      <w:marTop w:val="0"/>
      <w:marBottom w:val="0"/>
      <w:divBdr>
        <w:top w:val="none" w:sz="0" w:space="0" w:color="auto"/>
        <w:left w:val="none" w:sz="0" w:space="0" w:color="auto"/>
        <w:bottom w:val="none" w:sz="0" w:space="0" w:color="auto"/>
        <w:right w:val="none" w:sz="0" w:space="0" w:color="auto"/>
      </w:divBdr>
    </w:div>
    <w:div w:id="252394273">
      <w:bodyDiv w:val="1"/>
      <w:marLeft w:val="0"/>
      <w:marRight w:val="0"/>
      <w:marTop w:val="0"/>
      <w:marBottom w:val="0"/>
      <w:divBdr>
        <w:top w:val="none" w:sz="0" w:space="0" w:color="auto"/>
        <w:left w:val="none" w:sz="0" w:space="0" w:color="auto"/>
        <w:bottom w:val="none" w:sz="0" w:space="0" w:color="auto"/>
        <w:right w:val="none" w:sz="0" w:space="0" w:color="auto"/>
      </w:divBdr>
    </w:div>
    <w:div w:id="253169310">
      <w:bodyDiv w:val="1"/>
      <w:marLeft w:val="0"/>
      <w:marRight w:val="0"/>
      <w:marTop w:val="0"/>
      <w:marBottom w:val="0"/>
      <w:divBdr>
        <w:top w:val="none" w:sz="0" w:space="0" w:color="auto"/>
        <w:left w:val="none" w:sz="0" w:space="0" w:color="auto"/>
        <w:bottom w:val="none" w:sz="0" w:space="0" w:color="auto"/>
        <w:right w:val="none" w:sz="0" w:space="0" w:color="auto"/>
      </w:divBdr>
    </w:div>
    <w:div w:id="253367350">
      <w:bodyDiv w:val="1"/>
      <w:marLeft w:val="0"/>
      <w:marRight w:val="0"/>
      <w:marTop w:val="0"/>
      <w:marBottom w:val="0"/>
      <w:divBdr>
        <w:top w:val="none" w:sz="0" w:space="0" w:color="auto"/>
        <w:left w:val="none" w:sz="0" w:space="0" w:color="auto"/>
        <w:bottom w:val="none" w:sz="0" w:space="0" w:color="auto"/>
        <w:right w:val="none" w:sz="0" w:space="0" w:color="auto"/>
      </w:divBdr>
    </w:div>
    <w:div w:id="253979403">
      <w:bodyDiv w:val="1"/>
      <w:marLeft w:val="0"/>
      <w:marRight w:val="0"/>
      <w:marTop w:val="0"/>
      <w:marBottom w:val="0"/>
      <w:divBdr>
        <w:top w:val="none" w:sz="0" w:space="0" w:color="auto"/>
        <w:left w:val="none" w:sz="0" w:space="0" w:color="auto"/>
        <w:bottom w:val="none" w:sz="0" w:space="0" w:color="auto"/>
        <w:right w:val="none" w:sz="0" w:space="0" w:color="auto"/>
      </w:divBdr>
    </w:div>
    <w:div w:id="254093500">
      <w:bodyDiv w:val="1"/>
      <w:marLeft w:val="0"/>
      <w:marRight w:val="0"/>
      <w:marTop w:val="0"/>
      <w:marBottom w:val="0"/>
      <w:divBdr>
        <w:top w:val="none" w:sz="0" w:space="0" w:color="auto"/>
        <w:left w:val="none" w:sz="0" w:space="0" w:color="auto"/>
        <w:bottom w:val="none" w:sz="0" w:space="0" w:color="auto"/>
        <w:right w:val="none" w:sz="0" w:space="0" w:color="auto"/>
      </w:divBdr>
    </w:div>
    <w:div w:id="254896846">
      <w:bodyDiv w:val="1"/>
      <w:marLeft w:val="0"/>
      <w:marRight w:val="0"/>
      <w:marTop w:val="0"/>
      <w:marBottom w:val="0"/>
      <w:divBdr>
        <w:top w:val="none" w:sz="0" w:space="0" w:color="auto"/>
        <w:left w:val="none" w:sz="0" w:space="0" w:color="auto"/>
        <w:bottom w:val="none" w:sz="0" w:space="0" w:color="auto"/>
        <w:right w:val="none" w:sz="0" w:space="0" w:color="auto"/>
      </w:divBdr>
    </w:div>
    <w:div w:id="254900221">
      <w:bodyDiv w:val="1"/>
      <w:marLeft w:val="0"/>
      <w:marRight w:val="0"/>
      <w:marTop w:val="0"/>
      <w:marBottom w:val="0"/>
      <w:divBdr>
        <w:top w:val="none" w:sz="0" w:space="0" w:color="auto"/>
        <w:left w:val="none" w:sz="0" w:space="0" w:color="auto"/>
        <w:bottom w:val="none" w:sz="0" w:space="0" w:color="auto"/>
        <w:right w:val="none" w:sz="0" w:space="0" w:color="auto"/>
      </w:divBdr>
    </w:div>
    <w:div w:id="255331700">
      <w:bodyDiv w:val="1"/>
      <w:marLeft w:val="0"/>
      <w:marRight w:val="0"/>
      <w:marTop w:val="0"/>
      <w:marBottom w:val="0"/>
      <w:divBdr>
        <w:top w:val="none" w:sz="0" w:space="0" w:color="auto"/>
        <w:left w:val="none" w:sz="0" w:space="0" w:color="auto"/>
        <w:bottom w:val="none" w:sz="0" w:space="0" w:color="auto"/>
        <w:right w:val="none" w:sz="0" w:space="0" w:color="auto"/>
      </w:divBdr>
    </w:div>
    <w:div w:id="256405161">
      <w:bodyDiv w:val="1"/>
      <w:marLeft w:val="0"/>
      <w:marRight w:val="0"/>
      <w:marTop w:val="0"/>
      <w:marBottom w:val="0"/>
      <w:divBdr>
        <w:top w:val="none" w:sz="0" w:space="0" w:color="auto"/>
        <w:left w:val="none" w:sz="0" w:space="0" w:color="auto"/>
        <w:bottom w:val="none" w:sz="0" w:space="0" w:color="auto"/>
        <w:right w:val="none" w:sz="0" w:space="0" w:color="auto"/>
      </w:divBdr>
      <w:divsChild>
        <w:div w:id="341787937">
          <w:marLeft w:val="480"/>
          <w:marRight w:val="0"/>
          <w:marTop w:val="0"/>
          <w:marBottom w:val="0"/>
          <w:divBdr>
            <w:top w:val="none" w:sz="0" w:space="0" w:color="auto"/>
            <w:left w:val="none" w:sz="0" w:space="0" w:color="auto"/>
            <w:bottom w:val="none" w:sz="0" w:space="0" w:color="auto"/>
            <w:right w:val="none" w:sz="0" w:space="0" w:color="auto"/>
          </w:divBdr>
        </w:div>
        <w:div w:id="521090379">
          <w:marLeft w:val="480"/>
          <w:marRight w:val="0"/>
          <w:marTop w:val="0"/>
          <w:marBottom w:val="0"/>
          <w:divBdr>
            <w:top w:val="none" w:sz="0" w:space="0" w:color="auto"/>
            <w:left w:val="none" w:sz="0" w:space="0" w:color="auto"/>
            <w:bottom w:val="none" w:sz="0" w:space="0" w:color="auto"/>
            <w:right w:val="none" w:sz="0" w:space="0" w:color="auto"/>
          </w:divBdr>
        </w:div>
        <w:div w:id="640816877">
          <w:marLeft w:val="480"/>
          <w:marRight w:val="0"/>
          <w:marTop w:val="0"/>
          <w:marBottom w:val="0"/>
          <w:divBdr>
            <w:top w:val="none" w:sz="0" w:space="0" w:color="auto"/>
            <w:left w:val="none" w:sz="0" w:space="0" w:color="auto"/>
            <w:bottom w:val="none" w:sz="0" w:space="0" w:color="auto"/>
            <w:right w:val="none" w:sz="0" w:space="0" w:color="auto"/>
          </w:divBdr>
        </w:div>
        <w:div w:id="322315607">
          <w:marLeft w:val="480"/>
          <w:marRight w:val="0"/>
          <w:marTop w:val="0"/>
          <w:marBottom w:val="0"/>
          <w:divBdr>
            <w:top w:val="none" w:sz="0" w:space="0" w:color="auto"/>
            <w:left w:val="none" w:sz="0" w:space="0" w:color="auto"/>
            <w:bottom w:val="none" w:sz="0" w:space="0" w:color="auto"/>
            <w:right w:val="none" w:sz="0" w:space="0" w:color="auto"/>
          </w:divBdr>
        </w:div>
        <w:div w:id="1567689009">
          <w:marLeft w:val="480"/>
          <w:marRight w:val="0"/>
          <w:marTop w:val="0"/>
          <w:marBottom w:val="0"/>
          <w:divBdr>
            <w:top w:val="none" w:sz="0" w:space="0" w:color="auto"/>
            <w:left w:val="none" w:sz="0" w:space="0" w:color="auto"/>
            <w:bottom w:val="none" w:sz="0" w:space="0" w:color="auto"/>
            <w:right w:val="none" w:sz="0" w:space="0" w:color="auto"/>
          </w:divBdr>
        </w:div>
        <w:div w:id="1120369895">
          <w:marLeft w:val="480"/>
          <w:marRight w:val="0"/>
          <w:marTop w:val="0"/>
          <w:marBottom w:val="0"/>
          <w:divBdr>
            <w:top w:val="none" w:sz="0" w:space="0" w:color="auto"/>
            <w:left w:val="none" w:sz="0" w:space="0" w:color="auto"/>
            <w:bottom w:val="none" w:sz="0" w:space="0" w:color="auto"/>
            <w:right w:val="none" w:sz="0" w:space="0" w:color="auto"/>
          </w:divBdr>
        </w:div>
        <w:div w:id="1820337816">
          <w:marLeft w:val="480"/>
          <w:marRight w:val="0"/>
          <w:marTop w:val="0"/>
          <w:marBottom w:val="0"/>
          <w:divBdr>
            <w:top w:val="none" w:sz="0" w:space="0" w:color="auto"/>
            <w:left w:val="none" w:sz="0" w:space="0" w:color="auto"/>
            <w:bottom w:val="none" w:sz="0" w:space="0" w:color="auto"/>
            <w:right w:val="none" w:sz="0" w:space="0" w:color="auto"/>
          </w:divBdr>
        </w:div>
        <w:div w:id="939920193">
          <w:marLeft w:val="480"/>
          <w:marRight w:val="0"/>
          <w:marTop w:val="0"/>
          <w:marBottom w:val="0"/>
          <w:divBdr>
            <w:top w:val="none" w:sz="0" w:space="0" w:color="auto"/>
            <w:left w:val="none" w:sz="0" w:space="0" w:color="auto"/>
            <w:bottom w:val="none" w:sz="0" w:space="0" w:color="auto"/>
            <w:right w:val="none" w:sz="0" w:space="0" w:color="auto"/>
          </w:divBdr>
        </w:div>
        <w:div w:id="273053539">
          <w:marLeft w:val="480"/>
          <w:marRight w:val="0"/>
          <w:marTop w:val="0"/>
          <w:marBottom w:val="0"/>
          <w:divBdr>
            <w:top w:val="none" w:sz="0" w:space="0" w:color="auto"/>
            <w:left w:val="none" w:sz="0" w:space="0" w:color="auto"/>
            <w:bottom w:val="none" w:sz="0" w:space="0" w:color="auto"/>
            <w:right w:val="none" w:sz="0" w:space="0" w:color="auto"/>
          </w:divBdr>
        </w:div>
        <w:div w:id="1211380700">
          <w:marLeft w:val="480"/>
          <w:marRight w:val="0"/>
          <w:marTop w:val="0"/>
          <w:marBottom w:val="0"/>
          <w:divBdr>
            <w:top w:val="none" w:sz="0" w:space="0" w:color="auto"/>
            <w:left w:val="none" w:sz="0" w:space="0" w:color="auto"/>
            <w:bottom w:val="none" w:sz="0" w:space="0" w:color="auto"/>
            <w:right w:val="none" w:sz="0" w:space="0" w:color="auto"/>
          </w:divBdr>
        </w:div>
        <w:div w:id="1332026342">
          <w:marLeft w:val="480"/>
          <w:marRight w:val="0"/>
          <w:marTop w:val="0"/>
          <w:marBottom w:val="0"/>
          <w:divBdr>
            <w:top w:val="none" w:sz="0" w:space="0" w:color="auto"/>
            <w:left w:val="none" w:sz="0" w:space="0" w:color="auto"/>
            <w:bottom w:val="none" w:sz="0" w:space="0" w:color="auto"/>
            <w:right w:val="none" w:sz="0" w:space="0" w:color="auto"/>
          </w:divBdr>
        </w:div>
        <w:div w:id="1221330463">
          <w:marLeft w:val="480"/>
          <w:marRight w:val="0"/>
          <w:marTop w:val="0"/>
          <w:marBottom w:val="0"/>
          <w:divBdr>
            <w:top w:val="none" w:sz="0" w:space="0" w:color="auto"/>
            <w:left w:val="none" w:sz="0" w:space="0" w:color="auto"/>
            <w:bottom w:val="none" w:sz="0" w:space="0" w:color="auto"/>
            <w:right w:val="none" w:sz="0" w:space="0" w:color="auto"/>
          </w:divBdr>
        </w:div>
        <w:div w:id="1790663606">
          <w:marLeft w:val="480"/>
          <w:marRight w:val="0"/>
          <w:marTop w:val="0"/>
          <w:marBottom w:val="0"/>
          <w:divBdr>
            <w:top w:val="none" w:sz="0" w:space="0" w:color="auto"/>
            <w:left w:val="none" w:sz="0" w:space="0" w:color="auto"/>
            <w:bottom w:val="none" w:sz="0" w:space="0" w:color="auto"/>
            <w:right w:val="none" w:sz="0" w:space="0" w:color="auto"/>
          </w:divBdr>
        </w:div>
        <w:div w:id="757869670">
          <w:marLeft w:val="480"/>
          <w:marRight w:val="0"/>
          <w:marTop w:val="0"/>
          <w:marBottom w:val="0"/>
          <w:divBdr>
            <w:top w:val="none" w:sz="0" w:space="0" w:color="auto"/>
            <w:left w:val="none" w:sz="0" w:space="0" w:color="auto"/>
            <w:bottom w:val="none" w:sz="0" w:space="0" w:color="auto"/>
            <w:right w:val="none" w:sz="0" w:space="0" w:color="auto"/>
          </w:divBdr>
        </w:div>
        <w:div w:id="888611980">
          <w:marLeft w:val="480"/>
          <w:marRight w:val="0"/>
          <w:marTop w:val="0"/>
          <w:marBottom w:val="0"/>
          <w:divBdr>
            <w:top w:val="none" w:sz="0" w:space="0" w:color="auto"/>
            <w:left w:val="none" w:sz="0" w:space="0" w:color="auto"/>
            <w:bottom w:val="none" w:sz="0" w:space="0" w:color="auto"/>
            <w:right w:val="none" w:sz="0" w:space="0" w:color="auto"/>
          </w:divBdr>
        </w:div>
        <w:div w:id="62065536">
          <w:marLeft w:val="480"/>
          <w:marRight w:val="0"/>
          <w:marTop w:val="0"/>
          <w:marBottom w:val="0"/>
          <w:divBdr>
            <w:top w:val="none" w:sz="0" w:space="0" w:color="auto"/>
            <w:left w:val="none" w:sz="0" w:space="0" w:color="auto"/>
            <w:bottom w:val="none" w:sz="0" w:space="0" w:color="auto"/>
            <w:right w:val="none" w:sz="0" w:space="0" w:color="auto"/>
          </w:divBdr>
        </w:div>
        <w:div w:id="2143618949">
          <w:marLeft w:val="480"/>
          <w:marRight w:val="0"/>
          <w:marTop w:val="0"/>
          <w:marBottom w:val="0"/>
          <w:divBdr>
            <w:top w:val="none" w:sz="0" w:space="0" w:color="auto"/>
            <w:left w:val="none" w:sz="0" w:space="0" w:color="auto"/>
            <w:bottom w:val="none" w:sz="0" w:space="0" w:color="auto"/>
            <w:right w:val="none" w:sz="0" w:space="0" w:color="auto"/>
          </w:divBdr>
        </w:div>
        <w:div w:id="1155412686">
          <w:marLeft w:val="480"/>
          <w:marRight w:val="0"/>
          <w:marTop w:val="0"/>
          <w:marBottom w:val="0"/>
          <w:divBdr>
            <w:top w:val="none" w:sz="0" w:space="0" w:color="auto"/>
            <w:left w:val="none" w:sz="0" w:space="0" w:color="auto"/>
            <w:bottom w:val="none" w:sz="0" w:space="0" w:color="auto"/>
            <w:right w:val="none" w:sz="0" w:space="0" w:color="auto"/>
          </w:divBdr>
        </w:div>
        <w:div w:id="1579705153">
          <w:marLeft w:val="480"/>
          <w:marRight w:val="0"/>
          <w:marTop w:val="0"/>
          <w:marBottom w:val="0"/>
          <w:divBdr>
            <w:top w:val="none" w:sz="0" w:space="0" w:color="auto"/>
            <w:left w:val="none" w:sz="0" w:space="0" w:color="auto"/>
            <w:bottom w:val="none" w:sz="0" w:space="0" w:color="auto"/>
            <w:right w:val="none" w:sz="0" w:space="0" w:color="auto"/>
          </w:divBdr>
        </w:div>
        <w:div w:id="2019186726">
          <w:marLeft w:val="480"/>
          <w:marRight w:val="0"/>
          <w:marTop w:val="0"/>
          <w:marBottom w:val="0"/>
          <w:divBdr>
            <w:top w:val="none" w:sz="0" w:space="0" w:color="auto"/>
            <w:left w:val="none" w:sz="0" w:space="0" w:color="auto"/>
            <w:bottom w:val="none" w:sz="0" w:space="0" w:color="auto"/>
            <w:right w:val="none" w:sz="0" w:space="0" w:color="auto"/>
          </w:divBdr>
        </w:div>
        <w:div w:id="1249996661">
          <w:marLeft w:val="480"/>
          <w:marRight w:val="0"/>
          <w:marTop w:val="0"/>
          <w:marBottom w:val="0"/>
          <w:divBdr>
            <w:top w:val="none" w:sz="0" w:space="0" w:color="auto"/>
            <w:left w:val="none" w:sz="0" w:space="0" w:color="auto"/>
            <w:bottom w:val="none" w:sz="0" w:space="0" w:color="auto"/>
            <w:right w:val="none" w:sz="0" w:space="0" w:color="auto"/>
          </w:divBdr>
        </w:div>
        <w:div w:id="1298150106">
          <w:marLeft w:val="480"/>
          <w:marRight w:val="0"/>
          <w:marTop w:val="0"/>
          <w:marBottom w:val="0"/>
          <w:divBdr>
            <w:top w:val="none" w:sz="0" w:space="0" w:color="auto"/>
            <w:left w:val="none" w:sz="0" w:space="0" w:color="auto"/>
            <w:bottom w:val="none" w:sz="0" w:space="0" w:color="auto"/>
            <w:right w:val="none" w:sz="0" w:space="0" w:color="auto"/>
          </w:divBdr>
        </w:div>
        <w:div w:id="1645936888">
          <w:marLeft w:val="480"/>
          <w:marRight w:val="0"/>
          <w:marTop w:val="0"/>
          <w:marBottom w:val="0"/>
          <w:divBdr>
            <w:top w:val="none" w:sz="0" w:space="0" w:color="auto"/>
            <w:left w:val="none" w:sz="0" w:space="0" w:color="auto"/>
            <w:bottom w:val="none" w:sz="0" w:space="0" w:color="auto"/>
            <w:right w:val="none" w:sz="0" w:space="0" w:color="auto"/>
          </w:divBdr>
        </w:div>
        <w:div w:id="1043091812">
          <w:marLeft w:val="480"/>
          <w:marRight w:val="0"/>
          <w:marTop w:val="0"/>
          <w:marBottom w:val="0"/>
          <w:divBdr>
            <w:top w:val="none" w:sz="0" w:space="0" w:color="auto"/>
            <w:left w:val="none" w:sz="0" w:space="0" w:color="auto"/>
            <w:bottom w:val="none" w:sz="0" w:space="0" w:color="auto"/>
            <w:right w:val="none" w:sz="0" w:space="0" w:color="auto"/>
          </w:divBdr>
        </w:div>
        <w:div w:id="746079803">
          <w:marLeft w:val="480"/>
          <w:marRight w:val="0"/>
          <w:marTop w:val="0"/>
          <w:marBottom w:val="0"/>
          <w:divBdr>
            <w:top w:val="none" w:sz="0" w:space="0" w:color="auto"/>
            <w:left w:val="none" w:sz="0" w:space="0" w:color="auto"/>
            <w:bottom w:val="none" w:sz="0" w:space="0" w:color="auto"/>
            <w:right w:val="none" w:sz="0" w:space="0" w:color="auto"/>
          </w:divBdr>
        </w:div>
        <w:div w:id="82148473">
          <w:marLeft w:val="480"/>
          <w:marRight w:val="0"/>
          <w:marTop w:val="0"/>
          <w:marBottom w:val="0"/>
          <w:divBdr>
            <w:top w:val="none" w:sz="0" w:space="0" w:color="auto"/>
            <w:left w:val="none" w:sz="0" w:space="0" w:color="auto"/>
            <w:bottom w:val="none" w:sz="0" w:space="0" w:color="auto"/>
            <w:right w:val="none" w:sz="0" w:space="0" w:color="auto"/>
          </w:divBdr>
        </w:div>
        <w:div w:id="1941524015">
          <w:marLeft w:val="480"/>
          <w:marRight w:val="0"/>
          <w:marTop w:val="0"/>
          <w:marBottom w:val="0"/>
          <w:divBdr>
            <w:top w:val="none" w:sz="0" w:space="0" w:color="auto"/>
            <w:left w:val="none" w:sz="0" w:space="0" w:color="auto"/>
            <w:bottom w:val="none" w:sz="0" w:space="0" w:color="auto"/>
            <w:right w:val="none" w:sz="0" w:space="0" w:color="auto"/>
          </w:divBdr>
        </w:div>
        <w:div w:id="13961816">
          <w:marLeft w:val="480"/>
          <w:marRight w:val="0"/>
          <w:marTop w:val="0"/>
          <w:marBottom w:val="0"/>
          <w:divBdr>
            <w:top w:val="none" w:sz="0" w:space="0" w:color="auto"/>
            <w:left w:val="none" w:sz="0" w:space="0" w:color="auto"/>
            <w:bottom w:val="none" w:sz="0" w:space="0" w:color="auto"/>
            <w:right w:val="none" w:sz="0" w:space="0" w:color="auto"/>
          </w:divBdr>
        </w:div>
        <w:div w:id="937252482">
          <w:marLeft w:val="480"/>
          <w:marRight w:val="0"/>
          <w:marTop w:val="0"/>
          <w:marBottom w:val="0"/>
          <w:divBdr>
            <w:top w:val="none" w:sz="0" w:space="0" w:color="auto"/>
            <w:left w:val="none" w:sz="0" w:space="0" w:color="auto"/>
            <w:bottom w:val="none" w:sz="0" w:space="0" w:color="auto"/>
            <w:right w:val="none" w:sz="0" w:space="0" w:color="auto"/>
          </w:divBdr>
        </w:div>
        <w:div w:id="1812792792">
          <w:marLeft w:val="480"/>
          <w:marRight w:val="0"/>
          <w:marTop w:val="0"/>
          <w:marBottom w:val="0"/>
          <w:divBdr>
            <w:top w:val="none" w:sz="0" w:space="0" w:color="auto"/>
            <w:left w:val="none" w:sz="0" w:space="0" w:color="auto"/>
            <w:bottom w:val="none" w:sz="0" w:space="0" w:color="auto"/>
            <w:right w:val="none" w:sz="0" w:space="0" w:color="auto"/>
          </w:divBdr>
        </w:div>
        <w:div w:id="1759593010">
          <w:marLeft w:val="480"/>
          <w:marRight w:val="0"/>
          <w:marTop w:val="0"/>
          <w:marBottom w:val="0"/>
          <w:divBdr>
            <w:top w:val="none" w:sz="0" w:space="0" w:color="auto"/>
            <w:left w:val="none" w:sz="0" w:space="0" w:color="auto"/>
            <w:bottom w:val="none" w:sz="0" w:space="0" w:color="auto"/>
            <w:right w:val="none" w:sz="0" w:space="0" w:color="auto"/>
          </w:divBdr>
        </w:div>
        <w:div w:id="1457408003">
          <w:marLeft w:val="480"/>
          <w:marRight w:val="0"/>
          <w:marTop w:val="0"/>
          <w:marBottom w:val="0"/>
          <w:divBdr>
            <w:top w:val="none" w:sz="0" w:space="0" w:color="auto"/>
            <w:left w:val="none" w:sz="0" w:space="0" w:color="auto"/>
            <w:bottom w:val="none" w:sz="0" w:space="0" w:color="auto"/>
            <w:right w:val="none" w:sz="0" w:space="0" w:color="auto"/>
          </w:divBdr>
        </w:div>
        <w:div w:id="1700399974">
          <w:marLeft w:val="480"/>
          <w:marRight w:val="0"/>
          <w:marTop w:val="0"/>
          <w:marBottom w:val="0"/>
          <w:divBdr>
            <w:top w:val="none" w:sz="0" w:space="0" w:color="auto"/>
            <w:left w:val="none" w:sz="0" w:space="0" w:color="auto"/>
            <w:bottom w:val="none" w:sz="0" w:space="0" w:color="auto"/>
            <w:right w:val="none" w:sz="0" w:space="0" w:color="auto"/>
          </w:divBdr>
        </w:div>
        <w:div w:id="779951477">
          <w:marLeft w:val="480"/>
          <w:marRight w:val="0"/>
          <w:marTop w:val="0"/>
          <w:marBottom w:val="0"/>
          <w:divBdr>
            <w:top w:val="none" w:sz="0" w:space="0" w:color="auto"/>
            <w:left w:val="none" w:sz="0" w:space="0" w:color="auto"/>
            <w:bottom w:val="none" w:sz="0" w:space="0" w:color="auto"/>
            <w:right w:val="none" w:sz="0" w:space="0" w:color="auto"/>
          </w:divBdr>
        </w:div>
        <w:div w:id="519583375">
          <w:marLeft w:val="480"/>
          <w:marRight w:val="0"/>
          <w:marTop w:val="0"/>
          <w:marBottom w:val="0"/>
          <w:divBdr>
            <w:top w:val="none" w:sz="0" w:space="0" w:color="auto"/>
            <w:left w:val="none" w:sz="0" w:space="0" w:color="auto"/>
            <w:bottom w:val="none" w:sz="0" w:space="0" w:color="auto"/>
            <w:right w:val="none" w:sz="0" w:space="0" w:color="auto"/>
          </w:divBdr>
        </w:div>
        <w:div w:id="510460163">
          <w:marLeft w:val="480"/>
          <w:marRight w:val="0"/>
          <w:marTop w:val="0"/>
          <w:marBottom w:val="0"/>
          <w:divBdr>
            <w:top w:val="none" w:sz="0" w:space="0" w:color="auto"/>
            <w:left w:val="none" w:sz="0" w:space="0" w:color="auto"/>
            <w:bottom w:val="none" w:sz="0" w:space="0" w:color="auto"/>
            <w:right w:val="none" w:sz="0" w:space="0" w:color="auto"/>
          </w:divBdr>
        </w:div>
        <w:div w:id="1371419798">
          <w:marLeft w:val="480"/>
          <w:marRight w:val="0"/>
          <w:marTop w:val="0"/>
          <w:marBottom w:val="0"/>
          <w:divBdr>
            <w:top w:val="none" w:sz="0" w:space="0" w:color="auto"/>
            <w:left w:val="none" w:sz="0" w:space="0" w:color="auto"/>
            <w:bottom w:val="none" w:sz="0" w:space="0" w:color="auto"/>
            <w:right w:val="none" w:sz="0" w:space="0" w:color="auto"/>
          </w:divBdr>
        </w:div>
        <w:div w:id="1976983286">
          <w:marLeft w:val="480"/>
          <w:marRight w:val="0"/>
          <w:marTop w:val="0"/>
          <w:marBottom w:val="0"/>
          <w:divBdr>
            <w:top w:val="none" w:sz="0" w:space="0" w:color="auto"/>
            <w:left w:val="none" w:sz="0" w:space="0" w:color="auto"/>
            <w:bottom w:val="none" w:sz="0" w:space="0" w:color="auto"/>
            <w:right w:val="none" w:sz="0" w:space="0" w:color="auto"/>
          </w:divBdr>
        </w:div>
        <w:div w:id="1072047376">
          <w:marLeft w:val="480"/>
          <w:marRight w:val="0"/>
          <w:marTop w:val="0"/>
          <w:marBottom w:val="0"/>
          <w:divBdr>
            <w:top w:val="none" w:sz="0" w:space="0" w:color="auto"/>
            <w:left w:val="none" w:sz="0" w:space="0" w:color="auto"/>
            <w:bottom w:val="none" w:sz="0" w:space="0" w:color="auto"/>
            <w:right w:val="none" w:sz="0" w:space="0" w:color="auto"/>
          </w:divBdr>
        </w:div>
        <w:div w:id="1677808003">
          <w:marLeft w:val="480"/>
          <w:marRight w:val="0"/>
          <w:marTop w:val="0"/>
          <w:marBottom w:val="0"/>
          <w:divBdr>
            <w:top w:val="none" w:sz="0" w:space="0" w:color="auto"/>
            <w:left w:val="none" w:sz="0" w:space="0" w:color="auto"/>
            <w:bottom w:val="none" w:sz="0" w:space="0" w:color="auto"/>
            <w:right w:val="none" w:sz="0" w:space="0" w:color="auto"/>
          </w:divBdr>
        </w:div>
        <w:div w:id="289213587">
          <w:marLeft w:val="480"/>
          <w:marRight w:val="0"/>
          <w:marTop w:val="0"/>
          <w:marBottom w:val="0"/>
          <w:divBdr>
            <w:top w:val="none" w:sz="0" w:space="0" w:color="auto"/>
            <w:left w:val="none" w:sz="0" w:space="0" w:color="auto"/>
            <w:bottom w:val="none" w:sz="0" w:space="0" w:color="auto"/>
            <w:right w:val="none" w:sz="0" w:space="0" w:color="auto"/>
          </w:divBdr>
        </w:div>
        <w:div w:id="1695496788">
          <w:marLeft w:val="480"/>
          <w:marRight w:val="0"/>
          <w:marTop w:val="0"/>
          <w:marBottom w:val="0"/>
          <w:divBdr>
            <w:top w:val="none" w:sz="0" w:space="0" w:color="auto"/>
            <w:left w:val="none" w:sz="0" w:space="0" w:color="auto"/>
            <w:bottom w:val="none" w:sz="0" w:space="0" w:color="auto"/>
            <w:right w:val="none" w:sz="0" w:space="0" w:color="auto"/>
          </w:divBdr>
        </w:div>
        <w:div w:id="1689529168">
          <w:marLeft w:val="480"/>
          <w:marRight w:val="0"/>
          <w:marTop w:val="0"/>
          <w:marBottom w:val="0"/>
          <w:divBdr>
            <w:top w:val="none" w:sz="0" w:space="0" w:color="auto"/>
            <w:left w:val="none" w:sz="0" w:space="0" w:color="auto"/>
            <w:bottom w:val="none" w:sz="0" w:space="0" w:color="auto"/>
            <w:right w:val="none" w:sz="0" w:space="0" w:color="auto"/>
          </w:divBdr>
        </w:div>
        <w:div w:id="1892418254">
          <w:marLeft w:val="480"/>
          <w:marRight w:val="0"/>
          <w:marTop w:val="0"/>
          <w:marBottom w:val="0"/>
          <w:divBdr>
            <w:top w:val="none" w:sz="0" w:space="0" w:color="auto"/>
            <w:left w:val="none" w:sz="0" w:space="0" w:color="auto"/>
            <w:bottom w:val="none" w:sz="0" w:space="0" w:color="auto"/>
            <w:right w:val="none" w:sz="0" w:space="0" w:color="auto"/>
          </w:divBdr>
        </w:div>
        <w:div w:id="1157456588">
          <w:marLeft w:val="480"/>
          <w:marRight w:val="0"/>
          <w:marTop w:val="0"/>
          <w:marBottom w:val="0"/>
          <w:divBdr>
            <w:top w:val="none" w:sz="0" w:space="0" w:color="auto"/>
            <w:left w:val="none" w:sz="0" w:space="0" w:color="auto"/>
            <w:bottom w:val="none" w:sz="0" w:space="0" w:color="auto"/>
            <w:right w:val="none" w:sz="0" w:space="0" w:color="auto"/>
          </w:divBdr>
        </w:div>
        <w:div w:id="1073745089">
          <w:marLeft w:val="480"/>
          <w:marRight w:val="0"/>
          <w:marTop w:val="0"/>
          <w:marBottom w:val="0"/>
          <w:divBdr>
            <w:top w:val="none" w:sz="0" w:space="0" w:color="auto"/>
            <w:left w:val="none" w:sz="0" w:space="0" w:color="auto"/>
            <w:bottom w:val="none" w:sz="0" w:space="0" w:color="auto"/>
            <w:right w:val="none" w:sz="0" w:space="0" w:color="auto"/>
          </w:divBdr>
        </w:div>
        <w:div w:id="155000651">
          <w:marLeft w:val="480"/>
          <w:marRight w:val="0"/>
          <w:marTop w:val="0"/>
          <w:marBottom w:val="0"/>
          <w:divBdr>
            <w:top w:val="none" w:sz="0" w:space="0" w:color="auto"/>
            <w:left w:val="none" w:sz="0" w:space="0" w:color="auto"/>
            <w:bottom w:val="none" w:sz="0" w:space="0" w:color="auto"/>
            <w:right w:val="none" w:sz="0" w:space="0" w:color="auto"/>
          </w:divBdr>
        </w:div>
        <w:div w:id="2033215225">
          <w:marLeft w:val="480"/>
          <w:marRight w:val="0"/>
          <w:marTop w:val="0"/>
          <w:marBottom w:val="0"/>
          <w:divBdr>
            <w:top w:val="none" w:sz="0" w:space="0" w:color="auto"/>
            <w:left w:val="none" w:sz="0" w:space="0" w:color="auto"/>
            <w:bottom w:val="none" w:sz="0" w:space="0" w:color="auto"/>
            <w:right w:val="none" w:sz="0" w:space="0" w:color="auto"/>
          </w:divBdr>
        </w:div>
        <w:div w:id="1881866568">
          <w:marLeft w:val="480"/>
          <w:marRight w:val="0"/>
          <w:marTop w:val="0"/>
          <w:marBottom w:val="0"/>
          <w:divBdr>
            <w:top w:val="none" w:sz="0" w:space="0" w:color="auto"/>
            <w:left w:val="none" w:sz="0" w:space="0" w:color="auto"/>
            <w:bottom w:val="none" w:sz="0" w:space="0" w:color="auto"/>
            <w:right w:val="none" w:sz="0" w:space="0" w:color="auto"/>
          </w:divBdr>
        </w:div>
        <w:div w:id="1586576649">
          <w:marLeft w:val="480"/>
          <w:marRight w:val="0"/>
          <w:marTop w:val="0"/>
          <w:marBottom w:val="0"/>
          <w:divBdr>
            <w:top w:val="none" w:sz="0" w:space="0" w:color="auto"/>
            <w:left w:val="none" w:sz="0" w:space="0" w:color="auto"/>
            <w:bottom w:val="none" w:sz="0" w:space="0" w:color="auto"/>
            <w:right w:val="none" w:sz="0" w:space="0" w:color="auto"/>
          </w:divBdr>
        </w:div>
        <w:div w:id="1188174268">
          <w:marLeft w:val="480"/>
          <w:marRight w:val="0"/>
          <w:marTop w:val="0"/>
          <w:marBottom w:val="0"/>
          <w:divBdr>
            <w:top w:val="none" w:sz="0" w:space="0" w:color="auto"/>
            <w:left w:val="none" w:sz="0" w:space="0" w:color="auto"/>
            <w:bottom w:val="none" w:sz="0" w:space="0" w:color="auto"/>
            <w:right w:val="none" w:sz="0" w:space="0" w:color="auto"/>
          </w:divBdr>
        </w:div>
        <w:div w:id="1727949383">
          <w:marLeft w:val="480"/>
          <w:marRight w:val="0"/>
          <w:marTop w:val="0"/>
          <w:marBottom w:val="0"/>
          <w:divBdr>
            <w:top w:val="none" w:sz="0" w:space="0" w:color="auto"/>
            <w:left w:val="none" w:sz="0" w:space="0" w:color="auto"/>
            <w:bottom w:val="none" w:sz="0" w:space="0" w:color="auto"/>
            <w:right w:val="none" w:sz="0" w:space="0" w:color="auto"/>
          </w:divBdr>
        </w:div>
        <w:div w:id="362289083">
          <w:marLeft w:val="480"/>
          <w:marRight w:val="0"/>
          <w:marTop w:val="0"/>
          <w:marBottom w:val="0"/>
          <w:divBdr>
            <w:top w:val="none" w:sz="0" w:space="0" w:color="auto"/>
            <w:left w:val="none" w:sz="0" w:space="0" w:color="auto"/>
            <w:bottom w:val="none" w:sz="0" w:space="0" w:color="auto"/>
            <w:right w:val="none" w:sz="0" w:space="0" w:color="auto"/>
          </w:divBdr>
        </w:div>
        <w:div w:id="617687037">
          <w:marLeft w:val="480"/>
          <w:marRight w:val="0"/>
          <w:marTop w:val="0"/>
          <w:marBottom w:val="0"/>
          <w:divBdr>
            <w:top w:val="none" w:sz="0" w:space="0" w:color="auto"/>
            <w:left w:val="none" w:sz="0" w:space="0" w:color="auto"/>
            <w:bottom w:val="none" w:sz="0" w:space="0" w:color="auto"/>
            <w:right w:val="none" w:sz="0" w:space="0" w:color="auto"/>
          </w:divBdr>
        </w:div>
        <w:div w:id="1227182134">
          <w:marLeft w:val="480"/>
          <w:marRight w:val="0"/>
          <w:marTop w:val="0"/>
          <w:marBottom w:val="0"/>
          <w:divBdr>
            <w:top w:val="none" w:sz="0" w:space="0" w:color="auto"/>
            <w:left w:val="none" w:sz="0" w:space="0" w:color="auto"/>
            <w:bottom w:val="none" w:sz="0" w:space="0" w:color="auto"/>
            <w:right w:val="none" w:sz="0" w:space="0" w:color="auto"/>
          </w:divBdr>
        </w:div>
        <w:div w:id="494034306">
          <w:marLeft w:val="480"/>
          <w:marRight w:val="0"/>
          <w:marTop w:val="0"/>
          <w:marBottom w:val="0"/>
          <w:divBdr>
            <w:top w:val="none" w:sz="0" w:space="0" w:color="auto"/>
            <w:left w:val="none" w:sz="0" w:space="0" w:color="auto"/>
            <w:bottom w:val="none" w:sz="0" w:space="0" w:color="auto"/>
            <w:right w:val="none" w:sz="0" w:space="0" w:color="auto"/>
          </w:divBdr>
        </w:div>
        <w:div w:id="909386354">
          <w:marLeft w:val="480"/>
          <w:marRight w:val="0"/>
          <w:marTop w:val="0"/>
          <w:marBottom w:val="0"/>
          <w:divBdr>
            <w:top w:val="none" w:sz="0" w:space="0" w:color="auto"/>
            <w:left w:val="none" w:sz="0" w:space="0" w:color="auto"/>
            <w:bottom w:val="none" w:sz="0" w:space="0" w:color="auto"/>
            <w:right w:val="none" w:sz="0" w:space="0" w:color="auto"/>
          </w:divBdr>
        </w:div>
        <w:div w:id="1545677054">
          <w:marLeft w:val="480"/>
          <w:marRight w:val="0"/>
          <w:marTop w:val="0"/>
          <w:marBottom w:val="0"/>
          <w:divBdr>
            <w:top w:val="none" w:sz="0" w:space="0" w:color="auto"/>
            <w:left w:val="none" w:sz="0" w:space="0" w:color="auto"/>
            <w:bottom w:val="none" w:sz="0" w:space="0" w:color="auto"/>
            <w:right w:val="none" w:sz="0" w:space="0" w:color="auto"/>
          </w:divBdr>
        </w:div>
        <w:div w:id="1892576501">
          <w:marLeft w:val="480"/>
          <w:marRight w:val="0"/>
          <w:marTop w:val="0"/>
          <w:marBottom w:val="0"/>
          <w:divBdr>
            <w:top w:val="none" w:sz="0" w:space="0" w:color="auto"/>
            <w:left w:val="none" w:sz="0" w:space="0" w:color="auto"/>
            <w:bottom w:val="none" w:sz="0" w:space="0" w:color="auto"/>
            <w:right w:val="none" w:sz="0" w:space="0" w:color="auto"/>
          </w:divBdr>
        </w:div>
        <w:div w:id="275407968">
          <w:marLeft w:val="480"/>
          <w:marRight w:val="0"/>
          <w:marTop w:val="0"/>
          <w:marBottom w:val="0"/>
          <w:divBdr>
            <w:top w:val="none" w:sz="0" w:space="0" w:color="auto"/>
            <w:left w:val="none" w:sz="0" w:space="0" w:color="auto"/>
            <w:bottom w:val="none" w:sz="0" w:space="0" w:color="auto"/>
            <w:right w:val="none" w:sz="0" w:space="0" w:color="auto"/>
          </w:divBdr>
        </w:div>
        <w:div w:id="441994506">
          <w:marLeft w:val="480"/>
          <w:marRight w:val="0"/>
          <w:marTop w:val="0"/>
          <w:marBottom w:val="0"/>
          <w:divBdr>
            <w:top w:val="none" w:sz="0" w:space="0" w:color="auto"/>
            <w:left w:val="none" w:sz="0" w:space="0" w:color="auto"/>
            <w:bottom w:val="none" w:sz="0" w:space="0" w:color="auto"/>
            <w:right w:val="none" w:sz="0" w:space="0" w:color="auto"/>
          </w:divBdr>
        </w:div>
        <w:div w:id="246380259">
          <w:marLeft w:val="480"/>
          <w:marRight w:val="0"/>
          <w:marTop w:val="0"/>
          <w:marBottom w:val="0"/>
          <w:divBdr>
            <w:top w:val="none" w:sz="0" w:space="0" w:color="auto"/>
            <w:left w:val="none" w:sz="0" w:space="0" w:color="auto"/>
            <w:bottom w:val="none" w:sz="0" w:space="0" w:color="auto"/>
            <w:right w:val="none" w:sz="0" w:space="0" w:color="auto"/>
          </w:divBdr>
        </w:div>
        <w:div w:id="1319191147">
          <w:marLeft w:val="480"/>
          <w:marRight w:val="0"/>
          <w:marTop w:val="0"/>
          <w:marBottom w:val="0"/>
          <w:divBdr>
            <w:top w:val="none" w:sz="0" w:space="0" w:color="auto"/>
            <w:left w:val="none" w:sz="0" w:space="0" w:color="auto"/>
            <w:bottom w:val="none" w:sz="0" w:space="0" w:color="auto"/>
            <w:right w:val="none" w:sz="0" w:space="0" w:color="auto"/>
          </w:divBdr>
        </w:div>
        <w:div w:id="1376929692">
          <w:marLeft w:val="480"/>
          <w:marRight w:val="0"/>
          <w:marTop w:val="0"/>
          <w:marBottom w:val="0"/>
          <w:divBdr>
            <w:top w:val="none" w:sz="0" w:space="0" w:color="auto"/>
            <w:left w:val="none" w:sz="0" w:space="0" w:color="auto"/>
            <w:bottom w:val="none" w:sz="0" w:space="0" w:color="auto"/>
            <w:right w:val="none" w:sz="0" w:space="0" w:color="auto"/>
          </w:divBdr>
        </w:div>
        <w:div w:id="278415054">
          <w:marLeft w:val="480"/>
          <w:marRight w:val="0"/>
          <w:marTop w:val="0"/>
          <w:marBottom w:val="0"/>
          <w:divBdr>
            <w:top w:val="none" w:sz="0" w:space="0" w:color="auto"/>
            <w:left w:val="none" w:sz="0" w:space="0" w:color="auto"/>
            <w:bottom w:val="none" w:sz="0" w:space="0" w:color="auto"/>
            <w:right w:val="none" w:sz="0" w:space="0" w:color="auto"/>
          </w:divBdr>
        </w:div>
        <w:div w:id="342511257">
          <w:marLeft w:val="480"/>
          <w:marRight w:val="0"/>
          <w:marTop w:val="0"/>
          <w:marBottom w:val="0"/>
          <w:divBdr>
            <w:top w:val="none" w:sz="0" w:space="0" w:color="auto"/>
            <w:left w:val="none" w:sz="0" w:space="0" w:color="auto"/>
            <w:bottom w:val="none" w:sz="0" w:space="0" w:color="auto"/>
            <w:right w:val="none" w:sz="0" w:space="0" w:color="auto"/>
          </w:divBdr>
        </w:div>
        <w:div w:id="1445733983">
          <w:marLeft w:val="480"/>
          <w:marRight w:val="0"/>
          <w:marTop w:val="0"/>
          <w:marBottom w:val="0"/>
          <w:divBdr>
            <w:top w:val="none" w:sz="0" w:space="0" w:color="auto"/>
            <w:left w:val="none" w:sz="0" w:space="0" w:color="auto"/>
            <w:bottom w:val="none" w:sz="0" w:space="0" w:color="auto"/>
            <w:right w:val="none" w:sz="0" w:space="0" w:color="auto"/>
          </w:divBdr>
        </w:div>
        <w:div w:id="1406075106">
          <w:marLeft w:val="480"/>
          <w:marRight w:val="0"/>
          <w:marTop w:val="0"/>
          <w:marBottom w:val="0"/>
          <w:divBdr>
            <w:top w:val="none" w:sz="0" w:space="0" w:color="auto"/>
            <w:left w:val="none" w:sz="0" w:space="0" w:color="auto"/>
            <w:bottom w:val="none" w:sz="0" w:space="0" w:color="auto"/>
            <w:right w:val="none" w:sz="0" w:space="0" w:color="auto"/>
          </w:divBdr>
        </w:div>
        <w:div w:id="1034385886">
          <w:marLeft w:val="480"/>
          <w:marRight w:val="0"/>
          <w:marTop w:val="0"/>
          <w:marBottom w:val="0"/>
          <w:divBdr>
            <w:top w:val="none" w:sz="0" w:space="0" w:color="auto"/>
            <w:left w:val="none" w:sz="0" w:space="0" w:color="auto"/>
            <w:bottom w:val="none" w:sz="0" w:space="0" w:color="auto"/>
            <w:right w:val="none" w:sz="0" w:space="0" w:color="auto"/>
          </w:divBdr>
        </w:div>
        <w:div w:id="2050687873">
          <w:marLeft w:val="480"/>
          <w:marRight w:val="0"/>
          <w:marTop w:val="0"/>
          <w:marBottom w:val="0"/>
          <w:divBdr>
            <w:top w:val="none" w:sz="0" w:space="0" w:color="auto"/>
            <w:left w:val="none" w:sz="0" w:space="0" w:color="auto"/>
            <w:bottom w:val="none" w:sz="0" w:space="0" w:color="auto"/>
            <w:right w:val="none" w:sz="0" w:space="0" w:color="auto"/>
          </w:divBdr>
        </w:div>
        <w:div w:id="407461510">
          <w:marLeft w:val="480"/>
          <w:marRight w:val="0"/>
          <w:marTop w:val="0"/>
          <w:marBottom w:val="0"/>
          <w:divBdr>
            <w:top w:val="none" w:sz="0" w:space="0" w:color="auto"/>
            <w:left w:val="none" w:sz="0" w:space="0" w:color="auto"/>
            <w:bottom w:val="none" w:sz="0" w:space="0" w:color="auto"/>
            <w:right w:val="none" w:sz="0" w:space="0" w:color="auto"/>
          </w:divBdr>
        </w:div>
        <w:div w:id="850946244">
          <w:marLeft w:val="480"/>
          <w:marRight w:val="0"/>
          <w:marTop w:val="0"/>
          <w:marBottom w:val="0"/>
          <w:divBdr>
            <w:top w:val="none" w:sz="0" w:space="0" w:color="auto"/>
            <w:left w:val="none" w:sz="0" w:space="0" w:color="auto"/>
            <w:bottom w:val="none" w:sz="0" w:space="0" w:color="auto"/>
            <w:right w:val="none" w:sz="0" w:space="0" w:color="auto"/>
          </w:divBdr>
        </w:div>
        <w:div w:id="2088573288">
          <w:marLeft w:val="480"/>
          <w:marRight w:val="0"/>
          <w:marTop w:val="0"/>
          <w:marBottom w:val="0"/>
          <w:divBdr>
            <w:top w:val="none" w:sz="0" w:space="0" w:color="auto"/>
            <w:left w:val="none" w:sz="0" w:space="0" w:color="auto"/>
            <w:bottom w:val="none" w:sz="0" w:space="0" w:color="auto"/>
            <w:right w:val="none" w:sz="0" w:space="0" w:color="auto"/>
          </w:divBdr>
        </w:div>
        <w:div w:id="1719165762">
          <w:marLeft w:val="480"/>
          <w:marRight w:val="0"/>
          <w:marTop w:val="0"/>
          <w:marBottom w:val="0"/>
          <w:divBdr>
            <w:top w:val="none" w:sz="0" w:space="0" w:color="auto"/>
            <w:left w:val="none" w:sz="0" w:space="0" w:color="auto"/>
            <w:bottom w:val="none" w:sz="0" w:space="0" w:color="auto"/>
            <w:right w:val="none" w:sz="0" w:space="0" w:color="auto"/>
          </w:divBdr>
        </w:div>
        <w:div w:id="962619863">
          <w:marLeft w:val="480"/>
          <w:marRight w:val="0"/>
          <w:marTop w:val="0"/>
          <w:marBottom w:val="0"/>
          <w:divBdr>
            <w:top w:val="none" w:sz="0" w:space="0" w:color="auto"/>
            <w:left w:val="none" w:sz="0" w:space="0" w:color="auto"/>
            <w:bottom w:val="none" w:sz="0" w:space="0" w:color="auto"/>
            <w:right w:val="none" w:sz="0" w:space="0" w:color="auto"/>
          </w:divBdr>
        </w:div>
        <w:div w:id="2064524653">
          <w:marLeft w:val="480"/>
          <w:marRight w:val="0"/>
          <w:marTop w:val="0"/>
          <w:marBottom w:val="0"/>
          <w:divBdr>
            <w:top w:val="none" w:sz="0" w:space="0" w:color="auto"/>
            <w:left w:val="none" w:sz="0" w:space="0" w:color="auto"/>
            <w:bottom w:val="none" w:sz="0" w:space="0" w:color="auto"/>
            <w:right w:val="none" w:sz="0" w:space="0" w:color="auto"/>
          </w:divBdr>
        </w:div>
        <w:div w:id="1217283645">
          <w:marLeft w:val="480"/>
          <w:marRight w:val="0"/>
          <w:marTop w:val="0"/>
          <w:marBottom w:val="0"/>
          <w:divBdr>
            <w:top w:val="none" w:sz="0" w:space="0" w:color="auto"/>
            <w:left w:val="none" w:sz="0" w:space="0" w:color="auto"/>
            <w:bottom w:val="none" w:sz="0" w:space="0" w:color="auto"/>
            <w:right w:val="none" w:sz="0" w:space="0" w:color="auto"/>
          </w:divBdr>
        </w:div>
        <w:div w:id="95827463">
          <w:marLeft w:val="480"/>
          <w:marRight w:val="0"/>
          <w:marTop w:val="0"/>
          <w:marBottom w:val="0"/>
          <w:divBdr>
            <w:top w:val="none" w:sz="0" w:space="0" w:color="auto"/>
            <w:left w:val="none" w:sz="0" w:space="0" w:color="auto"/>
            <w:bottom w:val="none" w:sz="0" w:space="0" w:color="auto"/>
            <w:right w:val="none" w:sz="0" w:space="0" w:color="auto"/>
          </w:divBdr>
        </w:div>
        <w:div w:id="1582642341">
          <w:marLeft w:val="480"/>
          <w:marRight w:val="0"/>
          <w:marTop w:val="0"/>
          <w:marBottom w:val="0"/>
          <w:divBdr>
            <w:top w:val="none" w:sz="0" w:space="0" w:color="auto"/>
            <w:left w:val="none" w:sz="0" w:space="0" w:color="auto"/>
            <w:bottom w:val="none" w:sz="0" w:space="0" w:color="auto"/>
            <w:right w:val="none" w:sz="0" w:space="0" w:color="auto"/>
          </w:divBdr>
        </w:div>
        <w:div w:id="1989825726">
          <w:marLeft w:val="480"/>
          <w:marRight w:val="0"/>
          <w:marTop w:val="0"/>
          <w:marBottom w:val="0"/>
          <w:divBdr>
            <w:top w:val="none" w:sz="0" w:space="0" w:color="auto"/>
            <w:left w:val="none" w:sz="0" w:space="0" w:color="auto"/>
            <w:bottom w:val="none" w:sz="0" w:space="0" w:color="auto"/>
            <w:right w:val="none" w:sz="0" w:space="0" w:color="auto"/>
          </w:divBdr>
        </w:div>
        <w:div w:id="304046636">
          <w:marLeft w:val="480"/>
          <w:marRight w:val="0"/>
          <w:marTop w:val="0"/>
          <w:marBottom w:val="0"/>
          <w:divBdr>
            <w:top w:val="none" w:sz="0" w:space="0" w:color="auto"/>
            <w:left w:val="none" w:sz="0" w:space="0" w:color="auto"/>
            <w:bottom w:val="none" w:sz="0" w:space="0" w:color="auto"/>
            <w:right w:val="none" w:sz="0" w:space="0" w:color="auto"/>
          </w:divBdr>
        </w:div>
        <w:div w:id="1759868331">
          <w:marLeft w:val="480"/>
          <w:marRight w:val="0"/>
          <w:marTop w:val="0"/>
          <w:marBottom w:val="0"/>
          <w:divBdr>
            <w:top w:val="none" w:sz="0" w:space="0" w:color="auto"/>
            <w:left w:val="none" w:sz="0" w:space="0" w:color="auto"/>
            <w:bottom w:val="none" w:sz="0" w:space="0" w:color="auto"/>
            <w:right w:val="none" w:sz="0" w:space="0" w:color="auto"/>
          </w:divBdr>
        </w:div>
        <w:div w:id="1267814667">
          <w:marLeft w:val="480"/>
          <w:marRight w:val="0"/>
          <w:marTop w:val="0"/>
          <w:marBottom w:val="0"/>
          <w:divBdr>
            <w:top w:val="none" w:sz="0" w:space="0" w:color="auto"/>
            <w:left w:val="none" w:sz="0" w:space="0" w:color="auto"/>
            <w:bottom w:val="none" w:sz="0" w:space="0" w:color="auto"/>
            <w:right w:val="none" w:sz="0" w:space="0" w:color="auto"/>
          </w:divBdr>
        </w:div>
        <w:div w:id="1933277813">
          <w:marLeft w:val="480"/>
          <w:marRight w:val="0"/>
          <w:marTop w:val="0"/>
          <w:marBottom w:val="0"/>
          <w:divBdr>
            <w:top w:val="none" w:sz="0" w:space="0" w:color="auto"/>
            <w:left w:val="none" w:sz="0" w:space="0" w:color="auto"/>
            <w:bottom w:val="none" w:sz="0" w:space="0" w:color="auto"/>
            <w:right w:val="none" w:sz="0" w:space="0" w:color="auto"/>
          </w:divBdr>
        </w:div>
        <w:div w:id="15498949">
          <w:marLeft w:val="480"/>
          <w:marRight w:val="0"/>
          <w:marTop w:val="0"/>
          <w:marBottom w:val="0"/>
          <w:divBdr>
            <w:top w:val="none" w:sz="0" w:space="0" w:color="auto"/>
            <w:left w:val="none" w:sz="0" w:space="0" w:color="auto"/>
            <w:bottom w:val="none" w:sz="0" w:space="0" w:color="auto"/>
            <w:right w:val="none" w:sz="0" w:space="0" w:color="auto"/>
          </w:divBdr>
        </w:div>
        <w:div w:id="1749381741">
          <w:marLeft w:val="480"/>
          <w:marRight w:val="0"/>
          <w:marTop w:val="0"/>
          <w:marBottom w:val="0"/>
          <w:divBdr>
            <w:top w:val="none" w:sz="0" w:space="0" w:color="auto"/>
            <w:left w:val="none" w:sz="0" w:space="0" w:color="auto"/>
            <w:bottom w:val="none" w:sz="0" w:space="0" w:color="auto"/>
            <w:right w:val="none" w:sz="0" w:space="0" w:color="auto"/>
          </w:divBdr>
        </w:div>
        <w:div w:id="361513081">
          <w:marLeft w:val="480"/>
          <w:marRight w:val="0"/>
          <w:marTop w:val="0"/>
          <w:marBottom w:val="0"/>
          <w:divBdr>
            <w:top w:val="none" w:sz="0" w:space="0" w:color="auto"/>
            <w:left w:val="none" w:sz="0" w:space="0" w:color="auto"/>
            <w:bottom w:val="none" w:sz="0" w:space="0" w:color="auto"/>
            <w:right w:val="none" w:sz="0" w:space="0" w:color="auto"/>
          </w:divBdr>
        </w:div>
        <w:div w:id="1848397075">
          <w:marLeft w:val="480"/>
          <w:marRight w:val="0"/>
          <w:marTop w:val="0"/>
          <w:marBottom w:val="0"/>
          <w:divBdr>
            <w:top w:val="none" w:sz="0" w:space="0" w:color="auto"/>
            <w:left w:val="none" w:sz="0" w:space="0" w:color="auto"/>
            <w:bottom w:val="none" w:sz="0" w:space="0" w:color="auto"/>
            <w:right w:val="none" w:sz="0" w:space="0" w:color="auto"/>
          </w:divBdr>
        </w:div>
        <w:div w:id="1066759461">
          <w:marLeft w:val="480"/>
          <w:marRight w:val="0"/>
          <w:marTop w:val="0"/>
          <w:marBottom w:val="0"/>
          <w:divBdr>
            <w:top w:val="none" w:sz="0" w:space="0" w:color="auto"/>
            <w:left w:val="none" w:sz="0" w:space="0" w:color="auto"/>
            <w:bottom w:val="none" w:sz="0" w:space="0" w:color="auto"/>
            <w:right w:val="none" w:sz="0" w:space="0" w:color="auto"/>
          </w:divBdr>
        </w:div>
        <w:div w:id="828447324">
          <w:marLeft w:val="480"/>
          <w:marRight w:val="0"/>
          <w:marTop w:val="0"/>
          <w:marBottom w:val="0"/>
          <w:divBdr>
            <w:top w:val="none" w:sz="0" w:space="0" w:color="auto"/>
            <w:left w:val="none" w:sz="0" w:space="0" w:color="auto"/>
            <w:bottom w:val="none" w:sz="0" w:space="0" w:color="auto"/>
            <w:right w:val="none" w:sz="0" w:space="0" w:color="auto"/>
          </w:divBdr>
        </w:div>
        <w:div w:id="1744795620">
          <w:marLeft w:val="480"/>
          <w:marRight w:val="0"/>
          <w:marTop w:val="0"/>
          <w:marBottom w:val="0"/>
          <w:divBdr>
            <w:top w:val="none" w:sz="0" w:space="0" w:color="auto"/>
            <w:left w:val="none" w:sz="0" w:space="0" w:color="auto"/>
            <w:bottom w:val="none" w:sz="0" w:space="0" w:color="auto"/>
            <w:right w:val="none" w:sz="0" w:space="0" w:color="auto"/>
          </w:divBdr>
        </w:div>
        <w:div w:id="469053187">
          <w:marLeft w:val="480"/>
          <w:marRight w:val="0"/>
          <w:marTop w:val="0"/>
          <w:marBottom w:val="0"/>
          <w:divBdr>
            <w:top w:val="none" w:sz="0" w:space="0" w:color="auto"/>
            <w:left w:val="none" w:sz="0" w:space="0" w:color="auto"/>
            <w:bottom w:val="none" w:sz="0" w:space="0" w:color="auto"/>
            <w:right w:val="none" w:sz="0" w:space="0" w:color="auto"/>
          </w:divBdr>
        </w:div>
        <w:div w:id="861091998">
          <w:marLeft w:val="480"/>
          <w:marRight w:val="0"/>
          <w:marTop w:val="0"/>
          <w:marBottom w:val="0"/>
          <w:divBdr>
            <w:top w:val="none" w:sz="0" w:space="0" w:color="auto"/>
            <w:left w:val="none" w:sz="0" w:space="0" w:color="auto"/>
            <w:bottom w:val="none" w:sz="0" w:space="0" w:color="auto"/>
            <w:right w:val="none" w:sz="0" w:space="0" w:color="auto"/>
          </w:divBdr>
        </w:div>
        <w:div w:id="1476216701">
          <w:marLeft w:val="480"/>
          <w:marRight w:val="0"/>
          <w:marTop w:val="0"/>
          <w:marBottom w:val="0"/>
          <w:divBdr>
            <w:top w:val="none" w:sz="0" w:space="0" w:color="auto"/>
            <w:left w:val="none" w:sz="0" w:space="0" w:color="auto"/>
            <w:bottom w:val="none" w:sz="0" w:space="0" w:color="auto"/>
            <w:right w:val="none" w:sz="0" w:space="0" w:color="auto"/>
          </w:divBdr>
        </w:div>
        <w:div w:id="1229195498">
          <w:marLeft w:val="480"/>
          <w:marRight w:val="0"/>
          <w:marTop w:val="0"/>
          <w:marBottom w:val="0"/>
          <w:divBdr>
            <w:top w:val="none" w:sz="0" w:space="0" w:color="auto"/>
            <w:left w:val="none" w:sz="0" w:space="0" w:color="auto"/>
            <w:bottom w:val="none" w:sz="0" w:space="0" w:color="auto"/>
            <w:right w:val="none" w:sz="0" w:space="0" w:color="auto"/>
          </w:divBdr>
        </w:div>
        <w:div w:id="1231576498">
          <w:marLeft w:val="480"/>
          <w:marRight w:val="0"/>
          <w:marTop w:val="0"/>
          <w:marBottom w:val="0"/>
          <w:divBdr>
            <w:top w:val="none" w:sz="0" w:space="0" w:color="auto"/>
            <w:left w:val="none" w:sz="0" w:space="0" w:color="auto"/>
            <w:bottom w:val="none" w:sz="0" w:space="0" w:color="auto"/>
            <w:right w:val="none" w:sz="0" w:space="0" w:color="auto"/>
          </w:divBdr>
        </w:div>
        <w:div w:id="2121025550">
          <w:marLeft w:val="480"/>
          <w:marRight w:val="0"/>
          <w:marTop w:val="0"/>
          <w:marBottom w:val="0"/>
          <w:divBdr>
            <w:top w:val="none" w:sz="0" w:space="0" w:color="auto"/>
            <w:left w:val="none" w:sz="0" w:space="0" w:color="auto"/>
            <w:bottom w:val="none" w:sz="0" w:space="0" w:color="auto"/>
            <w:right w:val="none" w:sz="0" w:space="0" w:color="auto"/>
          </w:divBdr>
        </w:div>
        <w:div w:id="1866750397">
          <w:marLeft w:val="480"/>
          <w:marRight w:val="0"/>
          <w:marTop w:val="0"/>
          <w:marBottom w:val="0"/>
          <w:divBdr>
            <w:top w:val="none" w:sz="0" w:space="0" w:color="auto"/>
            <w:left w:val="none" w:sz="0" w:space="0" w:color="auto"/>
            <w:bottom w:val="none" w:sz="0" w:space="0" w:color="auto"/>
            <w:right w:val="none" w:sz="0" w:space="0" w:color="auto"/>
          </w:divBdr>
        </w:div>
        <w:div w:id="1226910139">
          <w:marLeft w:val="480"/>
          <w:marRight w:val="0"/>
          <w:marTop w:val="0"/>
          <w:marBottom w:val="0"/>
          <w:divBdr>
            <w:top w:val="none" w:sz="0" w:space="0" w:color="auto"/>
            <w:left w:val="none" w:sz="0" w:space="0" w:color="auto"/>
            <w:bottom w:val="none" w:sz="0" w:space="0" w:color="auto"/>
            <w:right w:val="none" w:sz="0" w:space="0" w:color="auto"/>
          </w:divBdr>
        </w:div>
        <w:div w:id="552469227">
          <w:marLeft w:val="480"/>
          <w:marRight w:val="0"/>
          <w:marTop w:val="0"/>
          <w:marBottom w:val="0"/>
          <w:divBdr>
            <w:top w:val="none" w:sz="0" w:space="0" w:color="auto"/>
            <w:left w:val="none" w:sz="0" w:space="0" w:color="auto"/>
            <w:bottom w:val="none" w:sz="0" w:space="0" w:color="auto"/>
            <w:right w:val="none" w:sz="0" w:space="0" w:color="auto"/>
          </w:divBdr>
        </w:div>
        <w:div w:id="1043018802">
          <w:marLeft w:val="480"/>
          <w:marRight w:val="0"/>
          <w:marTop w:val="0"/>
          <w:marBottom w:val="0"/>
          <w:divBdr>
            <w:top w:val="none" w:sz="0" w:space="0" w:color="auto"/>
            <w:left w:val="none" w:sz="0" w:space="0" w:color="auto"/>
            <w:bottom w:val="none" w:sz="0" w:space="0" w:color="auto"/>
            <w:right w:val="none" w:sz="0" w:space="0" w:color="auto"/>
          </w:divBdr>
        </w:div>
        <w:div w:id="1799756105">
          <w:marLeft w:val="480"/>
          <w:marRight w:val="0"/>
          <w:marTop w:val="0"/>
          <w:marBottom w:val="0"/>
          <w:divBdr>
            <w:top w:val="none" w:sz="0" w:space="0" w:color="auto"/>
            <w:left w:val="none" w:sz="0" w:space="0" w:color="auto"/>
            <w:bottom w:val="none" w:sz="0" w:space="0" w:color="auto"/>
            <w:right w:val="none" w:sz="0" w:space="0" w:color="auto"/>
          </w:divBdr>
        </w:div>
        <w:div w:id="1700350177">
          <w:marLeft w:val="480"/>
          <w:marRight w:val="0"/>
          <w:marTop w:val="0"/>
          <w:marBottom w:val="0"/>
          <w:divBdr>
            <w:top w:val="none" w:sz="0" w:space="0" w:color="auto"/>
            <w:left w:val="none" w:sz="0" w:space="0" w:color="auto"/>
            <w:bottom w:val="none" w:sz="0" w:space="0" w:color="auto"/>
            <w:right w:val="none" w:sz="0" w:space="0" w:color="auto"/>
          </w:divBdr>
        </w:div>
        <w:div w:id="1718309596">
          <w:marLeft w:val="480"/>
          <w:marRight w:val="0"/>
          <w:marTop w:val="0"/>
          <w:marBottom w:val="0"/>
          <w:divBdr>
            <w:top w:val="none" w:sz="0" w:space="0" w:color="auto"/>
            <w:left w:val="none" w:sz="0" w:space="0" w:color="auto"/>
            <w:bottom w:val="none" w:sz="0" w:space="0" w:color="auto"/>
            <w:right w:val="none" w:sz="0" w:space="0" w:color="auto"/>
          </w:divBdr>
        </w:div>
        <w:div w:id="1755278645">
          <w:marLeft w:val="480"/>
          <w:marRight w:val="0"/>
          <w:marTop w:val="0"/>
          <w:marBottom w:val="0"/>
          <w:divBdr>
            <w:top w:val="none" w:sz="0" w:space="0" w:color="auto"/>
            <w:left w:val="none" w:sz="0" w:space="0" w:color="auto"/>
            <w:bottom w:val="none" w:sz="0" w:space="0" w:color="auto"/>
            <w:right w:val="none" w:sz="0" w:space="0" w:color="auto"/>
          </w:divBdr>
        </w:div>
        <w:div w:id="1480734374">
          <w:marLeft w:val="480"/>
          <w:marRight w:val="0"/>
          <w:marTop w:val="0"/>
          <w:marBottom w:val="0"/>
          <w:divBdr>
            <w:top w:val="none" w:sz="0" w:space="0" w:color="auto"/>
            <w:left w:val="none" w:sz="0" w:space="0" w:color="auto"/>
            <w:bottom w:val="none" w:sz="0" w:space="0" w:color="auto"/>
            <w:right w:val="none" w:sz="0" w:space="0" w:color="auto"/>
          </w:divBdr>
        </w:div>
        <w:div w:id="2016490896">
          <w:marLeft w:val="480"/>
          <w:marRight w:val="0"/>
          <w:marTop w:val="0"/>
          <w:marBottom w:val="0"/>
          <w:divBdr>
            <w:top w:val="none" w:sz="0" w:space="0" w:color="auto"/>
            <w:left w:val="none" w:sz="0" w:space="0" w:color="auto"/>
            <w:bottom w:val="none" w:sz="0" w:space="0" w:color="auto"/>
            <w:right w:val="none" w:sz="0" w:space="0" w:color="auto"/>
          </w:divBdr>
        </w:div>
        <w:div w:id="655837126">
          <w:marLeft w:val="480"/>
          <w:marRight w:val="0"/>
          <w:marTop w:val="0"/>
          <w:marBottom w:val="0"/>
          <w:divBdr>
            <w:top w:val="none" w:sz="0" w:space="0" w:color="auto"/>
            <w:left w:val="none" w:sz="0" w:space="0" w:color="auto"/>
            <w:bottom w:val="none" w:sz="0" w:space="0" w:color="auto"/>
            <w:right w:val="none" w:sz="0" w:space="0" w:color="auto"/>
          </w:divBdr>
        </w:div>
        <w:div w:id="706178774">
          <w:marLeft w:val="480"/>
          <w:marRight w:val="0"/>
          <w:marTop w:val="0"/>
          <w:marBottom w:val="0"/>
          <w:divBdr>
            <w:top w:val="none" w:sz="0" w:space="0" w:color="auto"/>
            <w:left w:val="none" w:sz="0" w:space="0" w:color="auto"/>
            <w:bottom w:val="none" w:sz="0" w:space="0" w:color="auto"/>
            <w:right w:val="none" w:sz="0" w:space="0" w:color="auto"/>
          </w:divBdr>
        </w:div>
        <w:div w:id="552497722">
          <w:marLeft w:val="480"/>
          <w:marRight w:val="0"/>
          <w:marTop w:val="0"/>
          <w:marBottom w:val="0"/>
          <w:divBdr>
            <w:top w:val="none" w:sz="0" w:space="0" w:color="auto"/>
            <w:left w:val="none" w:sz="0" w:space="0" w:color="auto"/>
            <w:bottom w:val="none" w:sz="0" w:space="0" w:color="auto"/>
            <w:right w:val="none" w:sz="0" w:space="0" w:color="auto"/>
          </w:divBdr>
        </w:div>
        <w:div w:id="470444460">
          <w:marLeft w:val="480"/>
          <w:marRight w:val="0"/>
          <w:marTop w:val="0"/>
          <w:marBottom w:val="0"/>
          <w:divBdr>
            <w:top w:val="none" w:sz="0" w:space="0" w:color="auto"/>
            <w:left w:val="none" w:sz="0" w:space="0" w:color="auto"/>
            <w:bottom w:val="none" w:sz="0" w:space="0" w:color="auto"/>
            <w:right w:val="none" w:sz="0" w:space="0" w:color="auto"/>
          </w:divBdr>
        </w:div>
        <w:div w:id="1078942437">
          <w:marLeft w:val="480"/>
          <w:marRight w:val="0"/>
          <w:marTop w:val="0"/>
          <w:marBottom w:val="0"/>
          <w:divBdr>
            <w:top w:val="none" w:sz="0" w:space="0" w:color="auto"/>
            <w:left w:val="none" w:sz="0" w:space="0" w:color="auto"/>
            <w:bottom w:val="none" w:sz="0" w:space="0" w:color="auto"/>
            <w:right w:val="none" w:sz="0" w:space="0" w:color="auto"/>
          </w:divBdr>
        </w:div>
        <w:div w:id="621376404">
          <w:marLeft w:val="480"/>
          <w:marRight w:val="0"/>
          <w:marTop w:val="0"/>
          <w:marBottom w:val="0"/>
          <w:divBdr>
            <w:top w:val="none" w:sz="0" w:space="0" w:color="auto"/>
            <w:left w:val="none" w:sz="0" w:space="0" w:color="auto"/>
            <w:bottom w:val="none" w:sz="0" w:space="0" w:color="auto"/>
            <w:right w:val="none" w:sz="0" w:space="0" w:color="auto"/>
          </w:divBdr>
        </w:div>
        <w:div w:id="1701469893">
          <w:marLeft w:val="480"/>
          <w:marRight w:val="0"/>
          <w:marTop w:val="0"/>
          <w:marBottom w:val="0"/>
          <w:divBdr>
            <w:top w:val="none" w:sz="0" w:space="0" w:color="auto"/>
            <w:left w:val="none" w:sz="0" w:space="0" w:color="auto"/>
            <w:bottom w:val="none" w:sz="0" w:space="0" w:color="auto"/>
            <w:right w:val="none" w:sz="0" w:space="0" w:color="auto"/>
          </w:divBdr>
        </w:div>
        <w:div w:id="799805945">
          <w:marLeft w:val="480"/>
          <w:marRight w:val="0"/>
          <w:marTop w:val="0"/>
          <w:marBottom w:val="0"/>
          <w:divBdr>
            <w:top w:val="none" w:sz="0" w:space="0" w:color="auto"/>
            <w:left w:val="none" w:sz="0" w:space="0" w:color="auto"/>
            <w:bottom w:val="none" w:sz="0" w:space="0" w:color="auto"/>
            <w:right w:val="none" w:sz="0" w:space="0" w:color="auto"/>
          </w:divBdr>
        </w:div>
        <w:div w:id="2116558607">
          <w:marLeft w:val="480"/>
          <w:marRight w:val="0"/>
          <w:marTop w:val="0"/>
          <w:marBottom w:val="0"/>
          <w:divBdr>
            <w:top w:val="none" w:sz="0" w:space="0" w:color="auto"/>
            <w:left w:val="none" w:sz="0" w:space="0" w:color="auto"/>
            <w:bottom w:val="none" w:sz="0" w:space="0" w:color="auto"/>
            <w:right w:val="none" w:sz="0" w:space="0" w:color="auto"/>
          </w:divBdr>
        </w:div>
        <w:div w:id="702824646">
          <w:marLeft w:val="480"/>
          <w:marRight w:val="0"/>
          <w:marTop w:val="0"/>
          <w:marBottom w:val="0"/>
          <w:divBdr>
            <w:top w:val="none" w:sz="0" w:space="0" w:color="auto"/>
            <w:left w:val="none" w:sz="0" w:space="0" w:color="auto"/>
            <w:bottom w:val="none" w:sz="0" w:space="0" w:color="auto"/>
            <w:right w:val="none" w:sz="0" w:space="0" w:color="auto"/>
          </w:divBdr>
        </w:div>
        <w:div w:id="529685949">
          <w:marLeft w:val="480"/>
          <w:marRight w:val="0"/>
          <w:marTop w:val="0"/>
          <w:marBottom w:val="0"/>
          <w:divBdr>
            <w:top w:val="none" w:sz="0" w:space="0" w:color="auto"/>
            <w:left w:val="none" w:sz="0" w:space="0" w:color="auto"/>
            <w:bottom w:val="none" w:sz="0" w:space="0" w:color="auto"/>
            <w:right w:val="none" w:sz="0" w:space="0" w:color="auto"/>
          </w:divBdr>
        </w:div>
        <w:div w:id="985471185">
          <w:marLeft w:val="480"/>
          <w:marRight w:val="0"/>
          <w:marTop w:val="0"/>
          <w:marBottom w:val="0"/>
          <w:divBdr>
            <w:top w:val="none" w:sz="0" w:space="0" w:color="auto"/>
            <w:left w:val="none" w:sz="0" w:space="0" w:color="auto"/>
            <w:bottom w:val="none" w:sz="0" w:space="0" w:color="auto"/>
            <w:right w:val="none" w:sz="0" w:space="0" w:color="auto"/>
          </w:divBdr>
        </w:div>
        <w:div w:id="2026444765">
          <w:marLeft w:val="480"/>
          <w:marRight w:val="0"/>
          <w:marTop w:val="0"/>
          <w:marBottom w:val="0"/>
          <w:divBdr>
            <w:top w:val="none" w:sz="0" w:space="0" w:color="auto"/>
            <w:left w:val="none" w:sz="0" w:space="0" w:color="auto"/>
            <w:bottom w:val="none" w:sz="0" w:space="0" w:color="auto"/>
            <w:right w:val="none" w:sz="0" w:space="0" w:color="auto"/>
          </w:divBdr>
        </w:div>
        <w:div w:id="1913352858">
          <w:marLeft w:val="480"/>
          <w:marRight w:val="0"/>
          <w:marTop w:val="0"/>
          <w:marBottom w:val="0"/>
          <w:divBdr>
            <w:top w:val="none" w:sz="0" w:space="0" w:color="auto"/>
            <w:left w:val="none" w:sz="0" w:space="0" w:color="auto"/>
            <w:bottom w:val="none" w:sz="0" w:space="0" w:color="auto"/>
            <w:right w:val="none" w:sz="0" w:space="0" w:color="auto"/>
          </w:divBdr>
        </w:div>
        <w:div w:id="1894845363">
          <w:marLeft w:val="480"/>
          <w:marRight w:val="0"/>
          <w:marTop w:val="0"/>
          <w:marBottom w:val="0"/>
          <w:divBdr>
            <w:top w:val="none" w:sz="0" w:space="0" w:color="auto"/>
            <w:left w:val="none" w:sz="0" w:space="0" w:color="auto"/>
            <w:bottom w:val="none" w:sz="0" w:space="0" w:color="auto"/>
            <w:right w:val="none" w:sz="0" w:space="0" w:color="auto"/>
          </w:divBdr>
        </w:div>
        <w:div w:id="145975659">
          <w:marLeft w:val="480"/>
          <w:marRight w:val="0"/>
          <w:marTop w:val="0"/>
          <w:marBottom w:val="0"/>
          <w:divBdr>
            <w:top w:val="none" w:sz="0" w:space="0" w:color="auto"/>
            <w:left w:val="none" w:sz="0" w:space="0" w:color="auto"/>
            <w:bottom w:val="none" w:sz="0" w:space="0" w:color="auto"/>
            <w:right w:val="none" w:sz="0" w:space="0" w:color="auto"/>
          </w:divBdr>
        </w:div>
        <w:div w:id="859777167">
          <w:marLeft w:val="480"/>
          <w:marRight w:val="0"/>
          <w:marTop w:val="0"/>
          <w:marBottom w:val="0"/>
          <w:divBdr>
            <w:top w:val="none" w:sz="0" w:space="0" w:color="auto"/>
            <w:left w:val="none" w:sz="0" w:space="0" w:color="auto"/>
            <w:bottom w:val="none" w:sz="0" w:space="0" w:color="auto"/>
            <w:right w:val="none" w:sz="0" w:space="0" w:color="auto"/>
          </w:divBdr>
        </w:div>
        <w:div w:id="1480344075">
          <w:marLeft w:val="480"/>
          <w:marRight w:val="0"/>
          <w:marTop w:val="0"/>
          <w:marBottom w:val="0"/>
          <w:divBdr>
            <w:top w:val="none" w:sz="0" w:space="0" w:color="auto"/>
            <w:left w:val="none" w:sz="0" w:space="0" w:color="auto"/>
            <w:bottom w:val="none" w:sz="0" w:space="0" w:color="auto"/>
            <w:right w:val="none" w:sz="0" w:space="0" w:color="auto"/>
          </w:divBdr>
        </w:div>
        <w:div w:id="1801536295">
          <w:marLeft w:val="480"/>
          <w:marRight w:val="0"/>
          <w:marTop w:val="0"/>
          <w:marBottom w:val="0"/>
          <w:divBdr>
            <w:top w:val="none" w:sz="0" w:space="0" w:color="auto"/>
            <w:left w:val="none" w:sz="0" w:space="0" w:color="auto"/>
            <w:bottom w:val="none" w:sz="0" w:space="0" w:color="auto"/>
            <w:right w:val="none" w:sz="0" w:space="0" w:color="auto"/>
          </w:divBdr>
        </w:div>
        <w:div w:id="368653025">
          <w:marLeft w:val="480"/>
          <w:marRight w:val="0"/>
          <w:marTop w:val="0"/>
          <w:marBottom w:val="0"/>
          <w:divBdr>
            <w:top w:val="none" w:sz="0" w:space="0" w:color="auto"/>
            <w:left w:val="none" w:sz="0" w:space="0" w:color="auto"/>
            <w:bottom w:val="none" w:sz="0" w:space="0" w:color="auto"/>
            <w:right w:val="none" w:sz="0" w:space="0" w:color="auto"/>
          </w:divBdr>
        </w:div>
        <w:div w:id="769812338">
          <w:marLeft w:val="480"/>
          <w:marRight w:val="0"/>
          <w:marTop w:val="0"/>
          <w:marBottom w:val="0"/>
          <w:divBdr>
            <w:top w:val="none" w:sz="0" w:space="0" w:color="auto"/>
            <w:left w:val="none" w:sz="0" w:space="0" w:color="auto"/>
            <w:bottom w:val="none" w:sz="0" w:space="0" w:color="auto"/>
            <w:right w:val="none" w:sz="0" w:space="0" w:color="auto"/>
          </w:divBdr>
        </w:div>
        <w:div w:id="1372147869">
          <w:marLeft w:val="480"/>
          <w:marRight w:val="0"/>
          <w:marTop w:val="0"/>
          <w:marBottom w:val="0"/>
          <w:divBdr>
            <w:top w:val="none" w:sz="0" w:space="0" w:color="auto"/>
            <w:left w:val="none" w:sz="0" w:space="0" w:color="auto"/>
            <w:bottom w:val="none" w:sz="0" w:space="0" w:color="auto"/>
            <w:right w:val="none" w:sz="0" w:space="0" w:color="auto"/>
          </w:divBdr>
        </w:div>
        <w:div w:id="1852797203">
          <w:marLeft w:val="480"/>
          <w:marRight w:val="0"/>
          <w:marTop w:val="0"/>
          <w:marBottom w:val="0"/>
          <w:divBdr>
            <w:top w:val="none" w:sz="0" w:space="0" w:color="auto"/>
            <w:left w:val="none" w:sz="0" w:space="0" w:color="auto"/>
            <w:bottom w:val="none" w:sz="0" w:space="0" w:color="auto"/>
            <w:right w:val="none" w:sz="0" w:space="0" w:color="auto"/>
          </w:divBdr>
        </w:div>
        <w:div w:id="1141190726">
          <w:marLeft w:val="480"/>
          <w:marRight w:val="0"/>
          <w:marTop w:val="0"/>
          <w:marBottom w:val="0"/>
          <w:divBdr>
            <w:top w:val="none" w:sz="0" w:space="0" w:color="auto"/>
            <w:left w:val="none" w:sz="0" w:space="0" w:color="auto"/>
            <w:bottom w:val="none" w:sz="0" w:space="0" w:color="auto"/>
            <w:right w:val="none" w:sz="0" w:space="0" w:color="auto"/>
          </w:divBdr>
        </w:div>
        <w:div w:id="714546283">
          <w:marLeft w:val="480"/>
          <w:marRight w:val="0"/>
          <w:marTop w:val="0"/>
          <w:marBottom w:val="0"/>
          <w:divBdr>
            <w:top w:val="none" w:sz="0" w:space="0" w:color="auto"/>
            <w:left w:val="none" w:sz="0" w:space="0" w:color="auto"/>
            <w:bottom w:val="none" w:sz="0" w:space="0" w:color="auto"/>
            <w:right w:val="none" w:sz="0" w:space="0" w:color="auto"/>
          </w:divBdr>
        </w:div>
        <w:div w:id="1068070874">
          <w:marLeft w:val="480"/>
          <w:marRight w:val="0"/>
          <w:marTop w:val="0"/>
          <w:marBottom w:val="0"/>
          <w:divBdr>
            <w:top w:val="none" w:sz="0" w:space="0" w:color="auto"/>
            <w:left w:val="none" w:sz="0" w:space="0" w:color="auto"/>
            <w:bottom w:val="none" w:sz="0" w:space="0" w:color="auto"/>
            <w:right w:val="none" w:sz="0" w:space="0" w:color="auto"/>
          </w:divBdr>
        </w:div>
        <w:div w:id="684599549">
          <w:marLeft w:val="480"/>
          <w:marRight w:val="0"/>
          <w:marTop w:val="0"/>
          <w:marBottom w:val="0"/>
          <w:divBdr>
            <w:top w:val="none" w:sz="0" w:space="0" w:color="auto"/>
            <w:left w:val="none" w:sz="0" w:space="0" w:color="auto"/>
            <w:bottom w:val="none" w:sz="0" w:space="0" w:color="auto"/>
            <w:right w:val="none" w:sz="0" w:space="0" w:color="auto"/>
          </w:divBdr>
        </w:div>
        <w:div w:id="785347419">
          <w:marLeft w:val="480"/>
          <w:marRight w:val="0"/>
          <w:marTop w:val="0"/>
          <w:marBottom w:val="0"/>
          <w:divBdr>
            <w:top w:val="none" w:sz="0" w:space="0" w:color="auto"/>
            <w:left w:val="none" w:sz="0" w:space="0" w:color="auto"/>
            <w:bottom w:val="none" w:sz="0" w:space="0" w:color="auto"/>
            <w:right w:val="none" w:sz="0" w:space="0" w:color="auto"/>
          </w:divBdr>
        </w:div>
        <w:div w:id="2023242988">
          <w:marLeft w:val="480"/>
          <w:marRight w:val="0"/>
          <w:marTop w:val="0"/>
          <w:marBottom w:val="0"/>
          <w:divBdr>
            <w:top w:val="none" w:sz="0" w:space="0" w:color="auto"/>
            <w:left w:val="none" w:sz="0" w:space="0" w:color="auto"/>
            <w:bottom w:val="none" w:sz="0" w:space="0" w:color="auto"/>
            <w:right w:val="none" w:sz="0" w:space="0" w:color="auto"/>
          </w:divBdr>
        </w:div>
      </w:divsChild>
    </w:div>
    <w:div w:id="256407176">
      <w:bodyDiv w:val="1"/>
      <w:marLeft w:val="0"/>
      <w:marRight w:val="0"/>
      <w:marTop w:val="0"/>
      <w:marBottom w:val="0"/>
      <w:divBdr>
        <w:top w:val="none" w:sz="0" w:space="0" w:color="auto"/>
        <w:left w:val="none" w:sz="0" w:space="0" w:color="auto"/>
        <w:bottom w:val="none" w:sz="0" w:space="0" w:color="auto"/>
        <w:right w:val="none" w:sz="0" w:space="0" w:color="auto"/>
      </w:divBdr>
    </w:div>
    <w:div w:id="256525587">
      <w:bodyDiv w:val="1"/>
      <w:marLeft w:val="0"/>
      <w:marRight w:val="0"/>
      <w:marTop w:val="0"/>
      <w:marBottom w:val="0"/>
      <w:divBdr>
        <w:top w:val="none" w:sz="0" w:space="0" w:color="auto"/>
        <w:left w:val="none" w:sz="0" w:space="0" w:color="auto"/>
        <w:bottom w:val="none" w:sz="0" w:space="0" w:color="auto"/>
        <w:right w:val="none" w:sz="0" w:space="0" w:color="auto"/>
      </w:divBdr>
    </w:div>
    <w:div w:id="256714294">
      <w:bodyDiv w:val="1"/>
      <w:marLeft w:val="0"/>
      <w:marRight w:val="0"/>
      <w:marTop w:val="0"/>
      <w:marBottom w:val="0"/>
      <w:divBdr>
        <w:top w:val="none" w:sz="0" w:space="0" w:color="auto"/>
        <w:left w:val="none" w:sz="0" w:space="0" w:color="auto"/>
        <w:bottom w:val="none" w:sz="0" w:space="0" w:color="auto"/>
        <w:right w:val="none" w:sz="0" w:space="0" w:color="auto"/>
      </w:divBdr>
    </w:div>
    <w:div w:id="256862840">
      <w:bodyDiv w:val="1"/>
      <w:marLeft w:val="0"/>
      <w:marRight w:val="0"/>
      <w:marTop w:val="0"/>
      <w:marBottom w:val="0"/>
      <w:divBdr>
        <w:top w:val="none" w:sz="0" w:space="0" w:color="auto"/>
        <w:left w:val="none" w:sz="0" w:space="0" w:color="auto"/>
        <w:bottom w:val="none" w:sz="0" w:space="0" w:color="auto"/>
        <w:right w:val="none" w:sz="0" w:space="0" w:color="auto"/>
      </w:divBdr>
    </w:div>
    <w:div w:id="256980714">
      <w:bodyDiv w:val="1"/>
      <w:marLeft w:val="0"/>
      <w:marRight w:val="0"/>
      <w:marTop w:val="0"/>
      <w:marBottom w:val="0"/>
      <w:divBdr>
        <w:top w:val="none" w:sz="0" w:space="0" w:color="auto"/>
        <w:left w:val="none" w:sz="0" w:space="0" w:color="auto"/>
        <w:bottom w:val="none" w:sz="0" w:space="0" w:color="auto"/>
        <w:right w:val="none" w:sz="0" w:space="0" w:color="auto"/>
      </w:divBdr>
    </w:div>
    <w:div w:id="257100100">
      <w:bodyDiv w:val="1"/>
      <w:marLeft w:val="0"/>
      <w:marRight w:val="0"/>
      <w:marTop w:val="0"/>
      <w:marBottom w:val="0"/>
      <w:divBdr>
        <w:top w:val="none" w:sz="0" w:space="0" w:color="auto"/>
        <w:left w:val="none" w:sz="0" w:space="0" w:color="auto"/>
        <w:bottom w:val="none" w:sz="0" w:space="0" w:color="auto"/>
        <w:right w:val="none" w:sz="0" w:space="0" w:color="auto"/>
      </w:divBdr>
    </w:div>
    <w:div w:id="258216099">
      <w:bodyDiv w:val="1"/>
      <w:marLeft w:val="0"/>
      <w:marRight w:val="0"/>
      <w:marTop w:val="0"/>
      <w:marBottom w:val="0"/>
      <w:divBdr>
        <w:top w:val="none" w:sz="0" w:space="0" w:color="auto"/>
        <w:left w:val="none" w:sz="0" w:space="0" w:color="auto"/>
        <w:bottom w:val="none" w:sz="0" w:space="0" w:color="auto"/>
        <w:right w:val="none" w:sz="0" w:space="0" w:color="auto"/>
      </w:divBdr>
    </w:div>
    <w:div w:id="260073356">
      <w:bodyDiv w:val="1"/>
      <w:marLeft w:val="0"/>
      <w:marRight w:val="0"/>
      <w:marTop w:val="0"/>
      <w:marBottom w:val="0"/>
      <w:divBdr>
        <w:top w:val="none" w:sz="0" w:space="0" w:color="auto"/>
        <w:left w:val="none" w:sz="0" w:space="0" w:color="auto"/>
        <w:bottom w:val="none" w:sz="0" w:space="0" w:color="auto"/>
        <w:right w:val="none" w:sz="0" w:space="0" w:color="auto"/>
      </w:divBdr>
    </w:div>
    <w:div w:id="260377055">
      <w:bodyDiv w:val="1"/>
      <w:marLeft w:val="0"/>
      <w:marRight w:val="0"/>
      <w:marTop w:val="0"/>
      <w:marBottom w:val="0"/>
      <w:divBdr>
        <w:top w:val="none" w:sz="0" w:space="0" w:color="auto"/>
        <w:left w:val="none" w:sz="0" w:space="0" w:color="auto"/>
        <w:bottom w:val="none" w:sz="0" w:space="0" w:color="auto"/>
        <w:right w:val="none" w:sz="0" w:space="0" w:color="auto"/>
      </w:divBdr>
    </w:div>
    <w:div w:id="260845062">
      <w:bodyDiv w:val="1"/>
      <w:marLeft w:val="0"/>
      <w:marRight w:val="0"/>
      <w:marTop w:val="0"/>
      <w:marBottom w:val="0"/>
      <w:divBdr>
        <w:top w:val="none" w:sz="0" w:space="0" w:color="auto"/>
        <w:left w:val="none" w:sz="0" w:space="0" w:color="auto"/>
        <w:bottom w:val="none" w:sz="0" w:space="0" w:color="auto"/>
        <w:right w:val="none" w:sz="0" w:space="0" w:color="auto"/>
      </w:divBdr>
    </w:div>
    <w:div w:id="261108634">
      <w:bodyDiv w:val="1"/>
      <w:marLeft w:val="0"/>
      <w:marRight w:val="0"/>
      <w:marTop w:val="0"/>
      <w:marBottom w:val="0"/>
      <w:divBdr>
        <w:top w:val="none" w:sz="0" w:space="0" w:color="auto"/>
        <w:left w:val="none" w:sz="0" w:space="0" w:color="auto"/>
        <w:bottom w:val="none" w:sz="0" w:space="0" w:color="auto"/>
        <w:right w:val="none" w:sz="0" w:space="0" w:color="auto"/>
      </w:divBdr>
    </w:div>
    <w:div w:id="261837670">
      <w:bodyDiv w:val="1"/>
      <w:marLeft w:val="0"/>
      <w:marRight w:val="0"/>
      <w:marTop w:val="0"/>
      <w:marBottom w:val="0"/>
      <w:divBdr>
        <w:top w:val="none" w:sz="0" w:space="0" w:color="auto"/>
        <w:left w:val="none" w:sz="0" w:space="0" w:color="auto"/>
        <w:bottom w:val="none" w:sz="0" w:space="0" w:color="auto"/>
        <w:right w:val="none" w:sz="0" w:space="0" w:color="auto"/>
      </w:divBdr>
    </w:div>
    <w:div w:id="262110938">
      <w:bodyDiv w:val="1"/>
      <w:marLeft w:val="0"/>
      <w:marRight w:val="0"/>
      <w:marTop w:val="0"/>
      <w:marBottom w:val="0"/>
      <w:divBdr>
        <w:top w:val="none" w:sz="0" w:space="0" w:color="auto"/>
        <w:left w:val="none" w:sz="0" w:space="0" w:color="auto"/>
        <w:bottom w:val="none" w:sz="0" w:space="0" w:color="auto"/>
        <w:right w:val="none" w:sz="0" w:space="0" w:color="auto"/>
      </w:divBdr>
    </w:div>
    <w:div w:id="262568354">
      <w:bodyDiv w:val="1"/>
      <w:marLeft w:val="0"/>
      <w:marRight w:val="0"/>
      <w:marTop w:val="0"/>
      <w:marBottom w:val="0"/>
      <w:divBdr>
        <w:top w:val="none" w:sz="0" w:space="0" w:color="auto"/>
        <w:left w:val="none" w:sz="0" w:space="0" w:color="auto"/>
        <w:bottom w:val="none" w:sz="0" w:space="0" w:color="auto"/>
        <w:right w:val="none" w:sz="0" w:space="0" w:color="auto"/>
      </w:divBdr>
    </w:div>
    <w:div w:id="263156013">
      <w:bodyDiv w:val="1"/>
      <w:marLeft w:val="0"/>
      <w:marRight w:val="0"/>
      <w:marTop w:val="0"/>
      <w:marBottom w:val="0"/>
      <w:divBdr>
        <w:top w:val="none" w:sz="0" w:space="0" w:color="auto"/>
        <w:left w:val="none" w:sz="0" w:space="0" w:color="auto"/>
        <w:bottom w:val="none" w:sz="0" w:space="0" w:color="auto"/>
        <w:right w:val="none" w:sz="0" w:space="0" w:color="auto"/>
      </w:divBdr>
    </w:div>
    <w:div w:id="263269962">
      <w:bodyDiv w:val="1"/>
      <w:marLeft w:val="0"/>
      <w:marRight w:val="0"/>
      <w:marTop w:val="0"/>
      <w:marBottom w:val="0"/>
      <w:divBdr>
        <w:top w:val="none" w:sz="0" w:space="0" w:color="auto"/>
        <w:left w:val="none" w:sz="0" w:space="0" w:color="auto"/>
        <w:bottom w:val="none" w:sz="0" w:space="0" w:color="auto"/>
        <w:right w:val="none" w:sz="0" w:space="0" w:color="auto"/>
      </w:divBdr>
    </w:div>
    <w:div w:id="263271529">
      <w:bodyDiv w:val="1"/>
      <w:marLeft w:val="0"/>
      <w:marRight w:val="0"/>
      <w:marTop w:val="0"/>
      <w:marBottom w:val="0"/>
      <w:divBdr>
        <w:top w:val="none" w:sz="0" w:space="0" w:color="auto"/>
        <w:left w:val="none" w:sz="0" w:space="0" w:color="auto"/>
        <w:bottom w:val="none" w:sz="0" w:space="0" w:color="auto"/>
        <w:right w:val="none" w:sz="0" w:space="0" w:color="auto"/>
      </w:divBdr>
    </w:div>
    <w:div w:id="263467339">
      <w:bodyDiv w:val="1"/>
      <w:marLeft w:val="0"/>
      <w:marRight w:val="0"/>
      <w:marTop w:val="0"/>
      <w:marBottom w:val="0"/>
      <w:divBdr>
        <w:top w:val="none" w:sz="0" w:space="0" w:color="auto"/>
        <w:left w:val="none" w:sz="0" w:space="0" w:color="auto"/>
        <w:bottom w:val="none" w:sz="0" w:space="0" w:color="auto"/>
        <w:right w:val="none" w:sz="0" w:space="0" w:color="auto"/>
      </w:divBdr>
    </w:div>
    <w:div w:id="263654091">
      <w:bodyDiv w:val="1"/>
      <w:marLeft w:val="0"/>
      <w:marRight w:val="0"/>
      <w:marTop w:val="0"/>
      <w:marBottom w:val="0"/>
      <w:divBdr>
        <w:top w:val="none" w:sz="0" w:space="0" w:color="auto"/>
        <w:left w:val="none" w:sz="0" w:space="0" w:color="auto"/>
        <w:bottom w:val="none" w:sz="0" w:space="0" w:color="auto"/>
        <w:right w:val="none" w:sz="0" w:space="0" w:color="auto"/>
      </w:divBdr>
    </w:div>
    <w:div w:id="265231773">
      <w:bodyDiv w:val="1"/>
      <w:marLeft w:val="0"/>
      <w:marRight w:val="0"/>
      <w:marTop w:val="0"/>
      <w:marBottom w:val="0"/>
      <w:divBdr>
        <w:top w:val="none" w:sz="0" w:space="0" w:color="auto"/>
        <w:left w:val="none" w:sz="0" w:space="0" w:color="auto"/>
        <w:bottom w:val="none" w:sz="0" w:space="0" w:color="auto"/>
        <w:right w:val="none" w:sz="0" w:space="0" w:color="auto"/>
      </w:divBdr>
      <w:divsChild>
        <w:div w:id="1304431806">
          <w:marLeft w:val="480"/>
          <w:marRight w:val="0"/>
          <w:marTop w:val="0"/>
          <w:marBottom w:val="0"/>
          <w:divBdr>
            <w:top w:val="none" w:sz="0" w:space="0" w:color="auto"/>
            <w:left w:val="none" w:sz="0" w:space="0" w:color="auto"/>
            <w:bottom w:val="none" w:sz="0" w:space="0" w:color="auto"/>
            <w:right w:val="none" w:sz="0" w:space="0" w:color="auto"/>
          </w:divBdr>
        </w:div>
        <w:div w:id="1900045486">
          <w:marLeft w:val="480"/>
          <w:marRight w:val="0"/>
          <w:marTop w:val="0"/>
          <w:marBottom w:val="0"/>
          <w:divBdr>
            <w:top w:val="none" w:sz="0" w:space="0" w:color="auto"/>
            <w:left w:val="none" w:sz="0" w:space="0" w:color="auto"/>
            <w:bottom w:val="none" w:sz="0" w:space="0" w:color="auto"/>
            <w:right w:val="none" w:sz="0" w:space="0" w:color="auto"/>
          </w:divBdr>
        </w:div>
        <w:div w:id="408385588">
          <w:marLeft w:val="480"/>
          <w:marRight w:val="0"/>
          <w:marTop w:val="0"/>
          <w:marBottom w:val="0"/>
          <w:divBdr>
            <w:top w:val="none" w:sz="0" w:space="0" w:color="auto"/>
            <w:left w:val="none" w:sz="0" w:space="0" w:color="auto"/>
            <w:bottom w:val="none" w:sz="0" w:space="0" w:color="auto"/>
            <w:right w:val="none" w:sz="0" w:space="0" w:color="auto"/>
          </w:divBdr>
        </w:div>
        <w:div w:id="809712622">
          <w:marLeft w:val="480"/>
          <w:marRight w:val="0"/>
          <w:marTop w:val="0"/>
          <w:marBottom w:val="0"/>
          <w:divBdr>
            <w:top w:val="none" w:sz="0" w:space="0" w:color="auto"/>
            <w:left w:val="none" w:sz="0" w:space="0" w:color="auto"/>
            <w:bottom w:val="none" w:sz="0" w:space="0" w:color="auto"/>
            <w:right w:val="none" w:sz="0" w:space="0" w:color="auto"/>
          </w:divBdr>
        </w:div>
        <w:div w:id="1454206522">
          <w:marLeft w:val="480"/>
          <w:marRight w:val="0"/>
          <w:marTop w:val="0"/>
          <w:marBottom w:val="0"/>
          <w:divBdr>
            <w:top w:val="none" w:sz="0" w:space="0" w:color="auto"/>
            <w:left w:val="none" w:sz="0" w:space="0" w:color="auto"/>
            <w:bottom w:val="none" w:sz="0" w:space="0" w:color="auto"/>
            <w:right w:val="none" w:sz="0" w:space="0" w:color="auto"/>
          </w:divBdr>
        </w:div>
        <w:div w:id="1744135258">
          <w:marLeft w:val="480"/>
          <w:marRight w:val="0"/>
          <w:marTop w:val="0"/>
          <w:marBottom w:val="0"/>
          <w:divBdr>
            <w:top w:val="none" w:sz="0" w:space="0" w:color="auto"/>
            <w:left w:val="none" w:sz="0" w:space="0" w:color="auto"/>
            <w:bottom w:val="none" w:sz="0" w:space="0" w:color="auto"/>
            <w:right w:val="none" w:sz="0" w:space="0" w:color="auto"/>
          </w:divBdr>
        </w:div>
        <w:div w:id="1033111996">
          <w:marLeft w:val="480"/>
          <w:marRight w:val="0"/>
          <w:marTop w:val="0"/>
          <w:marBottom w:val="0"/>
          <w:divBdr>
            <w:top w:val="none" w:sz="0" w:space="0" w:color="auto"/>
            <w:left w:val="none" w:sz="0" w:space="0" w:color="auto"/>
            <w:bottom w:val="none" w:sz="0" w:space="0" w:color="auto"/>
            <w:right w:val="none" w:sz="0" w:space="0" w:color="auto"/>
          </w:divBdr>
        </w:div>
        <w:div w:id="736899650">
          <w:marLeft w:val="480"/>
          <w:marRight w:val="0"/>
          <w:marTop w:val="0"/>
          <w:marBottom w:val="0"/>
          <w:divBdr>
            <w:top w:val="none" w:sz="0" w:space="0" w:color="auto"/>
            <w:left w:val="none" w:sz="0" w:space="0" w:color="auto"/>
            <w:bottom w:val="none" w:sz="0" w:space="0" w:color="auto"/>
            <w:right w:val="none" w:sz="0" w:space="0" w:color="auto"/>
          </w:divBdr>
        </w:div>
        <w:div w:id="586311823">
          <w:marLeft w:val="480"/>
          <w:marRight w:val="0"/>
          <w:marTop w:val="0"/>
          <w:marBottom w:val="0"/>
          <w:divBdr>
            <w:top w:val="none" w:sz="0" w:space="0" w:color="auto"/>
            <w:left w:val="none" w:sz="0" w:space="0" w:color="auto"/>
            <w:bottom w:val="none" w:sz="0" w:space="0" w:color="auto"/>
            <w:right w:val="none" w:sz="0" w:space="0" w:color="auto"/>
          </w:divBdr>
        </w:div>
        <w:div w:id="239021870">
          <w:marLeft w:val="480"/>
          <w:marRight w:val="0"/>
          <w:marTop w:val="0"/>
          <w:marBottom w:val="0"/>
          <w:divBdr>
            <w:top w:val="none" w:sz="0" w:space="0" w:color="auto"/>
            <w:left w:val="none" w:sz="0" w:space="0" w:color="auto"/>
            <w:bottom w:val="none" w:sz="0" w:space="0" w:color="auto"/>
            <w:right w:val="none" w:sz="0" w:space="0" w:color="auto"/>
          </w:divBdr>
        </w:div>
        <w:div w:id="861213135">
          <w:marLeft w:val="480"/>
          <w:marRight w:val="0"/>
          <w:marTop w:val="0"/>
          <w:marBottom w:val="0"/>
          <w:divBdr>
            <w:top w:val="none" w:sz="0" w:space="0" w:color="auto"/>
            <w:left w:val="none" w:sz="0" w:space="0" w:color="auto"/>
            <w:bottom w:val="none" w:sz="0" w:space="0" w:color="auto"/>
            <w:right w:val="none" w:sz="0" w:space="0" w:color="auto"/>
          </w:divBdr>
        </w:div>
        <w:div w:id="720060584">
          <w:marLeft w:val="480"/>
          <w:marRight w:val="0"/>
          <w:marTop w:val="0"/>
          <w:marBottom w:val="0"/>
          <w:divBdr>
            <w:top w:val="none" w:sz="0" w:space="0" w:color="auto"/>
            <w:left w:val="none" w:sz="0" w:space="0" w:color="auto"/>
            <w:bottom w:val="none" w:sz="0" w:space="0" w:color="auto"/>
            <w:right w:val="none" w:sz="0" w:space="0" w:color="auto"/>
          </w:divBdr>
        </w:div>
        <w:div w:id="1289244288">
          <w:marLeft w:val="480"/>
          <w:marRight w:val="0"/>
          <w:marTop w:val="0"/>
          <w:marBottom w:val="0"/>
          <w:divBdr>
            <w:top w:val="none" w:sz="0" w:space="0" w:color="auto"/>
            <w:left w:val="none" w:sz="0" w:space="0" w:color="auto"/>
            <w:bottom w:val="none" w:sz="0" w:space="0" w:color="auto"/>
            <w:right w:val="none" w:sz="0" w:space="0" w:color="auto"/>
          </w:divBdr>
        </w:div>
        <w:div w:id="613487857">
          <w:marLeft w:val="480"/>
          <w:marRight w:val="0"/>
          <w:marTop w:val="0"/>
          <w:marBottom w:val="0"/>
          <w:divBdr>
            <w:top w:val="none" w:sz="0" w:space="0" w:color="auto"/>
            <w:left w:val="none" w:sz="0" w:space="0" w:color="auto"/>
            <w:bottom w:val="none" w:sz="0" w:space="0" w:color="auto"/>
            <w:right w:val="none" w:sz="0" w:space="0" w:color="auto"/>
          </w:divBdr>
        </w:div>
        <w:div w:id="1179201874">
          <w:marLeft w:val="480"/>
          <w:marRight w:val="0"/>
          <w:marTop w:val="0"/>
          <w:marBottom w:val="0"/>
          <w:divBdr>
            <w:top w:val="none" w:sz="0" w:space="0" w:color="auto"/>
            <w:left w:val="none" w:sz="0" w:space="0" w:color="auto"/>
            <w:bottom w:val="none" w:sz="0" w:space="0" w:color="auto"/>
            <w:right w:val="none" w:sz="0" w:space="0" w:color="auto"/>
          </w:divBdr>
        </w:div>
        <w:div w:id="304550697">
          <w:marLeft w:val="480"/>
          <w:marRight w:val="0"/>
          <w:marTop w:val="0"/>
          <w:marBottom w:val="0"/>
          <w:divBdr>
            <w:top w:val="none" w:sz="0" w:space="0" w:color="auto"/>
            <w:left w:val="none" w:sz="0" w:space="0" w:color="auto"/>
            <w:bottom w:val="none" w:sz="0" w:space="0" w:color="auto"/>
            <w:right w:val="none" w:sz="0" w:space="0" w:color="auto"/>
          </w:divBdr>
        </w:div>
        <w:div w:id="1336497645">
          <w:marLeft w:val="480"/>
          <w:marRight w:val="0"/>
          <w:marTop w:val="0"/>
          <w:marBottom w:val="0"/>
          <w:divBdr>
            <w:top w:val="none" w:sz="0" w:space="0" w:color="auto"/>
            <w:left w:val="none" w:sz="0" w:space="0" w:color="auto"/>
            <w:bottom w:val="none" w:sz="0" w:space="0" w:color="auto"/>
            <w:right w:val="none" w:sz="0" w:space="0" w:color="auto"/>
          </w:divBdr>
        </w:div>
        <w:div w:id="922639223">
          <w:marLeft w:val="480"/>
          <w:marRight w:val="0"/>
          <w:marTop w:val="0"/>
          <w:marBottom w:val="0"/>
          <w:divBdr>
            <w:top w:val="none" w:sz="0" w:space="0" w:color="auto"/>
            <w:left w:val="none" w:sz="0" w:space="0" w:color="auto"/>
            <w:bottom w:val="none" w:sz="0" w:space="0" w:color="auto"/>
            <w:right w:val="none" w:sz="0" w:space="0" w:color="auto"/>
          </w:divBdr>
        </w:div>
        <w:div w:id="410125830">
          <w:marLeft w:val="480"/>
          <w:marRight w:val="0"/>
          <w:marTop w:val="0"/>
          <w:marBottom w:val="0"/>
          <w:divBdr>
            <w:top w:val="none" w:sz="0" w:space="0" w:color="auto"/>
            <w:left w:val="none" w:sz="0" w:space="0" w:color="auto"/>
            <w:bottom w:val="none" w:sz="0" w:space="0" w:color="auto"/>
            <w:right w:val="none" w:sz="0" w:space="0" w:color="auto"/>
          </w:divBdr>
        </w:div>
        <w:div w:id="953631113">
          <w:marLeft w:val="480"/>
          <w:marRight w:val="0"/>
          <w:marTop w:val="0"/>
          <w:marBottom w:val="0"/>
          <w:divBdr>
            <w:top w:val="none" w:sz="0" w:space="0" w:color="auto"/>
            <w:left w:val="none" w:sz="0" w:space="0" w:color="auto"/>
            <w:bottom w:val="none" w:sz="0" w:space="0" w:color="auto"/>
            <w:right w:val="none" w:sz="0" w:space="0" w:color="auto"/>
          </w:divBdr>
        </w:div>
        <w:div w:id="893199505">
          <w:marLeft w:val="480"/>
          <w:marRight w:val="0"/>
          <w:marTop w:val="0"/>
          <w:marBottom w:val="0"/>
          <w:divBdr>
            <w:top w:val="none" w:sz="0" w:space="0" w:color="auto"/>
            <w:left w:val="none" w:sz="0" w:space="0" w:color="auto"/>
            <w:bottom w:val="none" w:sz="0" w:space="0" w:color="auto"/>
            <w:right w:val="none" w:sz="0" w:space="0" w:color="auto"/>
          </w:divBdr>
        </w:div>
        <w:div w:id="996419298">
          <w:marLeft w:val="480"/>
          <w:marRight w:val="0"/>
          <w:marTop w:val="0"/>
          <w:marBottom w:val="0"/>
          <w:divBdr>
            <w:top w:val="none" w:sz="0" w:space="0" w:color="auto"/>
            <w:left w:val="none" w:sz="0" w:space="0" w:color="auto"/>
            <w:bottom w:val="none" w:sz="0" w:space="0" w:color="auto"/>
            <w:right w:val="none" w:sz="0" w:space="0" w:color="auto"/>
          </w:divBdr>
        </w:div>
        <w:div w:id="1754427453">
          <w:marLeft w:val="480"/>
          <w:marRight w:val="0"/>
          <w:marTop w:val="0"/>
          <w:marBottom w:val="0"/>
          <w:divBdr>
            <w:top w:val="none" w:sz="0" w:space="0" w:color="auto"/>
            <w:left w:val="none" w:sz="0" w:space="0" w:color="auto"/>
            <w:bottom w:val="none" w:sz="0" w:space="0" w:color="auto"/>
            <w:right w:val="none" w:sz="0" w:space="0" w:color="auto"/>
          </w:divBdr>
        </w:div>
        <w:div w:id="1104807757">
          <w:marLeft w:val="480"/>
          <w:marRight w:val="0"/>
          <w:marTop w:val="0"/>
          <w:marBottom w:val="0"/>
          <w:divBdr>
            <w:top w:val="none" w:sz="0" w:space="0" w:color="auto"/>
            <w:left w:val="none" w:sz="0" w:space="0" w:color="auto"/>
            <w:bottom w:val="none" w:sz="0" w:space="0" w:color="auto"/>
            <w:right w:val="none" w:sz="0" w:space="0" w:color="auto"/>
          </w:divBdr>
        </w:div>
        <w:div w:id="1655255029">
          <w:marLeft w:val="480"/>
          <w:marRight w:val="0"/>
          <w:marTop w:val="0"/>
          <w:marBottom w:val="0"/>
          <w:divBdr>
            <w:top w:val="none" w:sz="0" w:space="0" w:color="auto"/>
            <w:left w:val="none" w:sz="0" w:space="0" w:color="auto"/>
            <w:bottom w:val="none" w:sz="0" w:space="0" w:color="auto"/>
            <w:right w:val="none" w:sz="0" w:space="0" w:color="auto"/>
          </w:divBdr>
        </w:div>
        <w:div w:id="579800242">
          <w:marLeft w:val="480"/>
          <w:marRight w:val="0"/>
          <w:marTop w:val="0"/>
          <w:marBottom w:val="0"/>
          <w:divBdr>
            <w:top w:val="none" w:sz="0" w:space="0" w:color="auto"/>
            <w:left w:val="none" w:sz="0" w:space="0" w:color="auto"/>
            <w:bottom w:val="none" w:sz="0" w:space="0" w:color="auto"/>
            <w:right w:val="none" w:sz="0" w:space="0" w:color="auto"/>
          </w:divBdr>
        </w:div>
        <w:div w:id="344132154">
          <w:marLeft w:val="480"/>
          <w:marRight w:val="0"/>
          <w:marTop w:val="0"/>
          <w:marBottom w:val="0"/>
          <w:divBdr>
            <w:top w:val="none" w:sz="0" w:space="0" w:color="auto"/>
            <w:left w:val="none" w:sz="0" w:space="0" w:color="auto"/>
            <w:bottom w:val="none" w:sz="0" w:space="0" w:color="auto"/>
            <w:right w:val="none" w:sz="0" w:space="0" w:color="auto"/>
          </w:divBdr>
        </w:div>
        <w:div w:id="261962729">
          <w:marLeft w:val="480"/>
          <w:marRight w:val="0"/>
          <w:marTop w:val="0"/>
          <w:marBottom w:val="0"/>
          <w:divBdr>
            <w:top w:val="none" w:sz="0" w:space="0" w:color="auto"/>
            <w:left w:val="none" w:sz="0" w:space="0" w:color="auto"/>
            <w:bottom w:val="none" w:sz="0" w:space="0" w:color="auto"/>
            <w:right w:val="none" w:sz="0" w:space="0" w:color="auto"/>
          </w:divBdr>
        </w:div>
        <w:div w:id="1525826677">
          <w:marLeft w:val="480"/>
          <w:marRight w:val="0"/>
          <w:marTop w:val="0"/>
          <w:marBottom w:val="0"/>
          <w:divBdr>
            <w:top w:val="none" w:sz="0" w:space="0" w:color="auto"/>
            <w:left w:val="none" w:sz="0" w:space="0" w:color="auto"/>
            <w:bottom w:val="none" w:sz="0" w:space="0" w:color="auto"/>
            <w:right w:val="none" w:sz="0" w:space="0" w:color="auto"/>
          </w:divBdr>
        </w:div>
        <w:div w:id="839278439">
          <w:marLeft w:val="480"/>
          <w:marRight w:val="0"/>
          <w:marTop w:val="0"/>
          <w:marBottom w:val="0"/>
          <w:divBdr>
            <w:top w:val="none" w:sz="0" w:space="0" w:color="auto"/>
            <w:left w:val="none" w:sz="0" w:space="0" w:color="auto"/>
            <w:bottom w:val="none" w:sz="0" w:space="0" w:color="auto"/>
            <w:right w:val="none" w:sz="0" w:space="0" w:color="auto"/>
          </w:divBdr>
        </w:div>
        <w:div w:id="1946185706">
          <w:marLeft w:val="480"/>
          <w:marRight w:val="0"/>
          <w:marTop w:val="0"/>
          <w:marBottom w:val="0"/>
          <w:divBdr>
            <w:top w:val="none" w:sz="0" w:space="0" w:color="auto"/>
            <w:left w:val="none" w:sz="0" w:space="0" w:color="auto"/>
            <w:bottom w:val="none" w:sz="0" w:space="0" w:color="auto"/>
            <w:right w:val="none" w:sz="0" w:space="0" w:color="auto"/>
          </w:divBdr>
        </w:div>
        <w:div w:id="93676327">
          <w:marLeft w:val="480"/>
          <w:marRight w:val="0"/>
          <w:marTop w:val="0"/>
          <w:marBottom w:val="0"/>
          <w:divBdr>
            <w:top w:val="none" w:sz="0" w:space="0" w:color="auto"/>
            <w:left w:val="none" w:sz="0" w:space="0" w:color="auto"/>
            <w:bottom w:val="none" w:sz="0" w:space="0" w:color="auto"/>
            <w:right w:val="none" w:sz="0" w:space="0" w:color="auto"/>
          </w:divBdr>
        </w:div>
        <w:div w:id="57479013">
          <w:marLeft w:val="480"/>
          <w:marRight w:val="0"/>
          <w:marTop w:val="0"/>
          <w:marBottom w:val="0"/>
          <w:divBdr>
            <w:top w:val="none" w:sz="0" w:space="0" w:color="auto"/>
            <w:left w:val="none" w:sz="0" w:space="0" w:color="auto"/>
            <w:bottom w:val="none" w:sz="0" w:space="0" w:color="auto"/>
            <w:right w:val="none" w:sz="0" w:space="0" w:color="auto"/>
          </w:divBdr>
        </w:div>
        <w:div w:id="1153523776">
          <w:marLeft w:val="480"/>
          <w:marRight w:val="0"/>
          <w:marTop w:val="0"/>
          <w:marBottom w:val="0"/>
          <w:divBdr>
            <w:top w:val="none" w:sz="0" w:space="0" w:color="auto"/>
            <w:left w:val="none" w:sz="0" w:space="0" w:color="auto"/>
            <w:bottom w:val="none" w:sz="0" w:space="0" w:color="auto"/>
            <w:right w:val="none" w:sz="0" w:space="0" w:color="auto"/>
          </w:divBdr>
        </w:div>
        <w:div w:id="1264921089">
          <w:marLeft w:val="480"/>
          <w:marRight w:val="0"/>
          <w:marTop w:val="0"/>
          <w:marBottom w:val="0"/>
          <w:divBdr>
            <w:top w:val="none" w:sz="0" w:space="0" w:color="auto"/>
            <w:left w:val="none" w:sz="0" w:space="0" w:color="auto"/>
            <w:bottom w:val="none" w:sz="0" w:space="0" w:color="auto"/>
            <w:right w:val="none" w:sz="0" w:space="0" w:color="auto"/>
          </w:divBdr>
        </w:div>
        <w:div w:id="935747737">
          <w:marLeft w:val="480"/>
          <w:marRight w:val="0"/>
          <w:marTop w:val="0"/>
          <w:marBottom w:val="0"/>
          <w:divBdr>
            <w:top w:val="none" w:sz="0" w:space="0" w:color="auto"/>
            <w:left w:val="none" w:sz="0" w:space="0" w:color="auto"/>
            <w:bottom w:val="none" w:sz="0" w:space="0" w:color="auto"/>
            <w:right w:val="none" w:sz="0" w:space="0" w:color="auto"/>
          </w:divBdr>
        </w:div>
        <w:div w:id="680741447">
          <w:marLeft w:val="480"/>
          <w:marRight w:val="0"/>
          <w:marTop w:val="0"/>
          <w:marBottom w:val="0"/>
          <w:divBdr>
            <w:top w:val="none" w:sz="0" w:space="0" w:color="auto"/>
            <w:left w:val="none" w:sz="0" w:space="0" w:color="auto"/>
            <w:bottom w:val="none" w:sz="0" w:space="0" w:color="auto"/>
            <w:right w:val="none" w:sz="0" w:space="0" w:color="auto"/>
          </w:divBdr>
        </w:div>
        <w:div w:id="1278873393">
          <w:marLeft w:val="480"/>
          <w:marRight w:val="0"/>
          <w:marTop w:val="0"/>
          <w:marBottom w:val="0"/>
          <w:divBdr>
            <w:top w:val="none" w:sz="0" w:space="0" w:color="auto"/>
            <w:left w:val="none" w:sz="0" w:space="0" w:color="auto"/>
            <w:bottom w:val="none" w:sz="0" w:space="0" w:color="auto"/>
            <w:right w:val="none" w:sz="0" w:space="0" w:color="auto"/>
          </w:divBdr>
        </w:div>
        <w:div w:id="620111567">
          <w:marLeft w:val="480"/>
          <w:marRight w:val="0"/>
          <w:marTop w:val="0"/>
          <w:marBottom w:val="0"/>
          <w:divBdr>
            <w:top w:val="none" w:sz="0" w:space="0" w:color="auto"/>
            <w:left w:val="none" w:sz="0" w:space="0" w:color="auto"/>
            <w:bottom w:val="none" w:sz="0" w:space="0" w:color="auto"/>
            <w:right w:val="none" w:sz="0" w:space="0" w:color="auto"/>
          </w:divBdr>
        </w:div>
        <w:div w:id="1466240542">
          <w:marLeft w:val="480"/>
          <w:marRight w:val="0"/>
          <w:marTop w:val="0"/>
          <w:marBottom w:val="0"/>
          <w:divBdr>
            <w:top w:val="none" w:sz="0" w:space="0" w:color="auto"/>
            <w:left w:val="none" w:sz="0" w:space="0" w:color="auto"/>
            <w:bottom w:val="none" w:sz="0" w:space="0" w:color="auto"/>
            <w:right w:val="none" w:sz="0" w:space="0" w:color="auto"/>
          </w:divBdr>
        </w:div>
        <w:div w:id="831142845">
          <w:marLeft w:val="480"/>
          <w:marRight w:val="0"/>
          <w:marTop w:val="0"/>
          <w:marBottom w:val="0"/>
          <w:divBdr>
            <w:top w:val="none" w:sz="0" w:space="0" w:color="auto"/>
            <w:left w:val="none" w:sz="0" w:space="0" w:color="auto"/>
            <w:bottom w:val="none" w:sz="0" w:space="0" w:color="auto"/>
            <w:right w:val="none" w:sz="0" w:space="0" w:color="auto"/>
          </w:divBdr>
        </w:div>
        <w:div w:id="2039307883">
          <w:marLeft w:val="480"/>
          <w:marRight w:val="0"/>
          <w:marTop w:val="0"/>
          <w:marBottom w:val="0"/>
          <w:divBdr>
            <w:top w:val="none" w:sz="0" w:space="0" w:color="auto"/>
            <w:left w:val="none" w:sz="0" w:space="0" w:color="auto"/>
            <w:bottom w:val="none" w:sz="0" w:space="0" w:color="auto"/>
            <w:right w:val="none" w:sz="0" w:space="0" w:color="auto"/>
          </w:divBdr>
        </w:div>
        <w:div w:id="1152982706">
          <w:marLeft w:val="480"/>
          <w:marRight w:val="0"/>
          <w:marTop w:val="0"/>
          <w:marBottom w:val="0"/>
          <w:divBdr>
            <w:top w:val="none" w:sz="0" w:space="0" w:color="auto"/>
            <w:left w:val="none" w:sz="0" w:space="0" w:color="auto"/>
            <w:bottom w:val="none" w:sz="0" w:space="0" w:color="auto"/>
            <w:right w:val="none" w:sz="0" w:space="0" w:color="auto"/>
          </w:divBdr>
        </w:div>
        <w:div w:id="716512168">
          <w:marLeft w:val="480"/>
          <w:marRight w:val="0"/>
          <w:marTop w:val="0"/>
          <w:marBottom w:val="0"/>
          <w:divBdr>
            <w:top w:val="none" w:sz="0" w:space="0" w:color="auto"/>
            <w:left w:val="none" w:sz="0" w:space="0" w:color="auto"/>
            <w:bottom w:val="none" w:sz="0" w:space="0" w:color="auto"/>
            <w:right w:val="none" w:sz="0" w:space="0" w:color="auto"/>
          </w:divBdr>
        </w:div>
        <w:div w:id="99035657">
          <w:marLeft w:val="480"/>
          <w:marRight w:val="0"/>
          <w:marTop w:val="0"/>
          <w:marBottom w:val="0"/>
          <w:divBdr>
            <w:top w:val="none" w:sz="0" w:space="0" w:color="auto"/>
            <w:left w:val="none" w:sz="0" w:space="0" w:color="auto"/>
            <w:bottom w:val="none" w:sz="0" w:space="0" w:color="auto"/>
            <w:right w:val="none" w:sz="0" w:space="0" w:color="auto"/>
          </w:divBdr>
        </w:div>
        <w:div w:id="1094010152">
          <w:marLeft w:val="480"/>
          <w:marRight w:val="0"/>
          <w:marTop w:val="0"/>
          <w:marBottom w:val="0"/>
          <w:divBdr>
            <w:top w:val="none" w:sz="0" w:space="0" w:color="auto"/>
            <w:left w:val="none" w:sz="0" w:space="0" w:color="auto"/>
            <w:bottom w:val="none" w:sz="0" w:space="0" w:color="auto"/>
            <w:right w:val="none" w:sz="0" w:space="0" w:color="auto"/>
          </w:divBdr>
        </w:div>
        <w:div w:id="1938174869">
          <w:marLeft w:val="480"/>
          <w:marRight w:val="0"/>
          <w:marTop w:val="0"/>
          <w:marBottom w:val="0"/>
          <w:divBdr>
            <w:top w:val="none" w:sz="0" w:space="0" w:color="auto"/>
            <w:left w:val="none" w:sz="0" w:space="0" w:color="auto"/>
            <w:bottom w:val="none" w:sz="0" w:space="0" w:color="auto"/>
            <w:right w:val="none" w:sz="0" w:space="0" w:color="auto"/>
          </w:divBdr>
        </w:div>
        <w:div w:id="1220944711">
          <w:marLeft w:val="480"/>
          <w:marRight w:val="0"/>
          <w:marTop w:val="0"/>
          <w:marBottom w:val="0"/>
          <w:divBdr>
            <w:top w:val="none" w:sz="0" w:space="0" w:color="auto"/>
            <w:left w:val="none" w:sz="0" w:space="0" w:color="auto"/>
            <w:bottom w:val="none" w:sz="0" w:space="0" w:color="auto"/>
            <w:right w:val="none" w:sz="0" w:space="0" w:color="auto"/>
          </w:divBdr>
        </w:div>
        <w:div w:id="1541938835">
          <w:marLeft w:val="480"/>
          <w:marRight w:val="0"/>
          <w:marTop w:val="0"/>
          <w:marBottom w:val="0"/>
          <w:divBdr>
            <w:top w:val="none" w:sz="0" w:space="0" w:color="auto"/>
            <w:left w:val="none" w:sz="0" w:space="0" w:color="auto"/>
            <w:bottom w:val="none" w:sz="0" w:space="0" w:color="auto"/>
            <w:right w:val="none" w:sz="0" w:space="0" w:color="auto"/>
          </w:divBdr>
        </w:div>
        <w:div w:id="1938323800">
          <w:marLeft w:val="480"/>
          <w:marRight w:val="0"/>
          <w:marTop w:val="0"/>
          <w:marBottom w:val="0"/>
          <w:divBdr>
            <w:top w:val="none" w:sz="0" w:space="0" w:color="auto"/>
            <w:left w:val="none" w:sz="0" w:space="0" w:color="auto"/>
            <w:bottom w:val="none" w:sz="0" w:space="0" w:color="auto"/>
            <w:right w:val="none" w:sz="0" w:space="0" w:color="auto"/>
          </w:divBdr>
        </w:div>
        <w:div w:id="356732743">
          <w:marLeft w:val="480"/>
          <w:marRight w:val="0"/>
          <w:marTop w:val="0"/>
          <w:marBottom w:val="0"/>
          <w:divBdr>
            <w:top w:val="none" w:sz="0" w:space="0" w:color="auto"/>
            <w:left w:val="none" w:sz="0" w:space="0" w:color="auto"/>
            <w:bottom w:val="none" w:sz="0" w:space="0" w:color="auto"/>
            <w:right w:val="none" w:sz="0" w:space="0" w:color="auto"/>
          </w:divBdr>
        </w:div>
        <w:div w:id="1992177523">
          <w:marLeft w:val="480"/>
          <w:marRight w:val="0"/>
          <w:marTop w:val="0"/>
          <w:marBottom w:val="0"/>
          <w:divBdr>
            <w:top w:val="none" w:sz="0" w:space="0" w:color="auto"/>
            <w:left w:val="none" w:sz="0" w:space="0" w:color="auto"/>
            <w:bottom w:val="none" w:sz="0" w:space="0" w:color="auto"/>
            <w:right w:val="none" w:sz="0" w:space="0" w:color="auto"/>
          </w:divBdr>
        </w:div>
        <w:div w:id="1622374429">
          <w:marLeft w:val="480"/>
          <w:marRight w:val="0"/>
          <w:marTop w:val="0"/>
          <w:marBottom w:val="0"/>
          <w:divBdr>
            <w:top w:val="none" w:sz="0" w:space="0" w:color="auto"/>
            <w:left w:val="none" w:sz="0" w:space="0" w:color="auto"/>
            <w:bottom w:val="none" w:sz="0" w:space="0" w:color="auto"/>
            <w:right w:val="none" w:sz="0" w:space="0" w:color="auto"/>
          </w:divBdr>
        </w:div>
        <w:div w:id="1697348673">
          <w:marLeft w:val="480"/>
          <w:marRight w:val="0"/>
          <w:marTop w:val="0"/>
          <w:marBottom w:val="0"/>
          <w:divBdr>
            <w:top w:val="none" w:sz="0" w:space="0" w:color="auto"/>
            <w:left w:val="none" w:sz="0" w:space="0" w:color="auto"/>
            <w:bottom w:val="none" w:sz="0" w:space="0" w:color="auto"/>
            <w:right w:val="none" w:sz="0" w:space="0" w:color="auto"/>
          </w:divBdr>
        </w:div>
        <w:div w:id="691109661">
          <w:marLeft w:val="480"/>
          <w:marRight w:val="0"/>
          <w:marTop w:val="0"/>
          <w:marBottom w:val="0"/>
          <w:divBdr>
            <w:top w:val="none" w:sz="0" w:space="0" w:color="auto"/>
            <w:left w:val="none" w:sz="0" w:space="0" w:color="auto"/>
            <w:bottom w:val="none" w:sz="0" w:space="0" w:color="auto"/>
            <w:right w:val="none" w:sz="0" w:space="0" w:color="auto"/>
          </w:divBdr>
        </w:div>
        <w:div w:id="1960913139">
          <w:marLeft w:val="480"/>
          <w:marRight w:val="0"/>
          <w:marTop w:val="0"/>
          <w:marBottom w:val="0"/>
          <w:divBdr>
            <w:top w:val="none" w:sz="0" w:space="0" w:color="auto"/>
            <w:left w:val="none" w:sz="0" w:space="0" w:color="auto"/>
            <w:bottom w:val="none" w:sz="0" w:space="0" w:color="auto"/>
            <w:right w:val="none" w:sz="0" w:space="0" w:color="auto"/>
          </w:divBdr>
        </w:div>
        <w:div w:id="165175447">
          <w:marLeft w:val="480"/>
          <w:marRight w:val="0"/>
          <w:marTop w:val="0"/>
          <w:marBottom w:val="0"/>
          <w:divBdr>
            <w:top w:val="none" w:sz="0" w:space="0" w:color="auto"/>
            <w:left w:val="none" w:sz="0" w:space="0" w:color="auto"/>
            <w:bottom w:val="none" w:sz="0" w:space="0" w:color="auto"/>
            <w:right w:val="none" w:sz="0" w:space="0" w:color="auto"/>
          </w:divBdr>
        </w:div>
        <w:div w:id="1049500109">
          <w:marLeft w:val="480"/>
          <w:marRight w:val="0"/>
          <w:marTop w:val="0"/>
          <w:marBottom w:val="0"/>
          <w:divBdr>
            <w:top w:val="none" w:sz="0" w:space="0" w:color="auto"/>
            <w:left w:val="none" w:sz="0" w:space="0" w:color="auto"/>
            <w:bottom w:val="none" w:sz="0" w:space="0" w:color="auto"/>
            <w:right w:val="none" w:sz="0" w:space="0" w:color="auto"/>
          </w:divBdr>
        </w:div>
        <w:div w:id="547038526">
          <w:marLeft w:val="480"/>
          <w:marRight w:val="0"/>
          <w:marTop w:val="0"/>
          <w:marBottom w:val="0"/>
          <w:divBdr>
            <w:top w:val="none" w:sz="0" w:space="0" w:color="auto"/>
            <w:left w:val="none" w:sz="0" w:space="0" w:color="auto"/>
            <w:bottom w:val="none" w:sz="0" w:space="0" w:color="auto"/>
            <w:right w:val="none" w:sz="0" w:space="0" w:color="auto"/>
          </w:divBdr>
        </w:div>
        <w:div w:id="1315715685">
          <w:marLeft w:val="480"/>
          <w:marRight w:val="0"/>
          <w:marTop w:val="0"/>
          <w:marBottom w:val="0"/>
          <w:divBdr>
            <w:top w:val="none" w:sz="0" w:space="0" w:color="auto"/>
            <w:left w:val="none" w:sz="0" w:space="0" w:color="auto"/>
            <w:bottom w:val="none" w:sz="0" w:space="0" w:color="auto"/>
            <w:right w:val="none" w:sz="0" w:space="0" w:color="auto"/>
          </w:divBdr>
        </w:div>
        <w:div w:id="87118850">
          <w:marLeft w:val="480"/>
          <w:marRight w:val="0"/>
          <w:marTop w:val="0"/>
          <w:marBottom w:val="0"/>
          <w:divBdr>
            <w:top w:val="none" w:sz="0" w:space="0" w:color="auto"/>
            <w:left w:val="none" w:sz="0" w:space="0" w:color="auto"/>
            <w:bottom w:val="none" w:sz="0" w:space="0" w:color="auto"/>
            <w:right w:val="none" w:sz="0" w:space="0" w:color="auto"/>
          </w:divBdr>
        </w:div>
        <w:div w:id="2017071448">
          <w:marLeft w:val="480"/>
          <w:marRight w:val="0"/>
          <w:marTop w:val="0"/>
          <w:marBottom w:val="0"/>
          <w:divBdr>
            <w:top w:val="none" w:sz="0" w:space="0" w:color="auto"/>
            <w:left w:val="none" w:sz="0" w:space="0" w:color="auto"/>
            <w:bottom w:val="none" w:sz="0" w:space="0" w:color="auto"/>
            <w:right w:val="none" w:sz="0" w:space="0" w:color="auto"/>
          </w:divBdr>
        </w:div>
        <w:div w:id="1012380">
          <w:marLeft w:val="480"/>
          <w:marRight w:val="0"/>
          <w:marTop w:val="0"/>
          <w:marBottom w:val="0"/>
          <w:divBdr>
            <w:top w:val="none" w:sz="0" w:space="0" w:color="auto"/>
            <w:left w:val="none" w:sz="0" w:space="0" w:color="auto"/>
            <w:bottom w:val="none" w:sz="0" w:space="0" w:color="auto"/>
            <w:right w:val="none" w:sz="0" w:space="0" w:color="auto"/>
          </w:divBdr>
        </w:div>
        <w:div w:id="5325215">
          <w:marLeft w:val="480"/>
          <w:marRight w:val="0"/>
          <w:marTop w:val="0"/>
          <w:marBottom w:val="0"/>
          <w:divBdr>
            <w:top w:val="none" w:sz="0" w:space="0" w:color="auto"/>
            <w:left w:val="none" w:sz="0" w:space="0" w:color="auto"/>
            <w:bottom w:val="none" w:sz="0" w:space="0" w:color="auto"/>
            <w:right w:val="none" w:sz="0" w:space="0" w:color="auto"/>
          </w:divBdr>
        </w:div>
        <w:div w:id="2132674853">
          <w:marLeft w:val="480"/>
          <w:marRight w:val="0"/>
          <w:marTop w:val="0"/>
          <w:marBottom w:val="0"/>
          <w:divBdr>
            <w:top w:val="none" w:sz="0" w:space="0" w:color="auto"/>
            <w:left w:val="none" w:sz="0" w:space="0" w:color="auto"/>
            <w:bottom w:val="none" w:sz="0" w:space="0" w:color="auto"/>
            <w:right w:val="none" w:sz="0" w:space="0" w:color="auto"/>
          </w:divBdr>
        </w:div>
        <w:div w:id="1302081549">
          <w:marLeft w:val="480"/>
          <w:marRight w:val="0"/>
          <w:marTop w:val="0"/>
          <w:marBottom w:val="0"/>
          <w:divBdr>
            <w:top w:val="none" w:sz="0" w:space="0" w:color="auto"/>
            <w:left w:val="none" w:sz="0" w:space="0" w:color="auto"/>
            <w:bottom w:val="none" w:sz="0" w:space="0" w:color="auto"/>
            <w:right w:val="none" w:sz="0" w:space="0" w:color="auto"/>
          </w:divBdr>
        </w:div>
        <w:div w:id="1013726516">
          <w:marLeft w:val="480"/>
          <w:marRight w:val="0"/>
          <w:marTop w:val="0"/>
          <w:marBottom w:val="0"/>
          <w:divBdr>
            <w:top w:val="none" w:sz="0" w:space="0" w:color="auto"/>
            <w:left w:val="none" w:sz="0" w:space="0" w:color="auto"/>
            <w:bottom w:val="none" w:sz="0" w:space="0" w:color="auto"/>
            <w:right w:val="none" w:sz="0" w:space="0" w:color="auto"/>
          </w:divBdr>
        </w:div>
        <w:div w:id="1600407515">
          <w:marLeft w:val="480"/>
          <w:marRight w:val="0"/>
          <w:marTop w:val="0"/>
          <w:marBottom w:val="0"/>
          <w:divBdr>
            <w:top w:val="none" w:sz="0" w:space="0" w:color="auto"/>
            <w:left w:val="none" w:sz="0" w:space="0" w:color="auto"/>
            <w:bottom w:val="none" w:sz="0" w:space="0" w:color="auto"/>
            <w:right w:val="none" w:sz="0" w:space="0" w:color="auto"/>
          </w:divBdr>
        </w:div>
        <w:div w:id="1284964656">
          <w:marLeft w:val="480"/>
          <w:marRight w:val="0"/>
          <w:marTop w:val="0"/>
          <w:marBottom w:val="0"/>
          <w:divBdr>
            <w:top w:val="none" w:sz="0" w:space="0" w:color="auto"/>
            <w:left w:val="none" w:sz="0" w:space="0" w:color="auto"/>
            <w:bottom w:val="none" w:sz="0" w:space="0" w:color="auto"/>
            <w:right w:val="none" w:sz="0" w:space="0" w:color="auto"/>
          </w:divBdr>
        </w:div>
        <w:div w:id="2028601587">
          <w:marLeft w:val="480"/>
          <w:marRight w:val="0"/>
          <w:marTop w:val="0"/>
          <w:marBottom w:val="0"/>
          <w:divBdr>
            <w:top w:val="none" w:sz="0" w:space="0" w:color="auto"/>
            <w:left w:val="none" w:sz="0" w:space="0" w:color="auto"/>
            <w:bottom w:val="none" w:sz="0" w:space="0" w:color="auto"/>
            <w:right w:val="none" w:sz="0" w:space="0" w:color="auto"/>
          </w:divBdr>
        </w:div>
        <w:div w:id="2113624404">
          <w:marLeft w:val="480"/>
          <w:marRight w:val="0"/>
          <w:marTop w:val="0"/>
          <w:marBottom w:val="0"/>
          <w:divBdr>
            <w:top w:val="none" w:sz="0" w:space="0" w:color="auto"/>
            <w:left w:val="none" w:sz="0" w:space="0" w:color="auto"/>
            <w:bottom w:val="none" w:sz="0" w:space="0" w:color="auto"/>
            <w:right w:val="none" w:sz="0" w:space="0" w:color="auto"/>
          </w:divBdr>
        </w:div>
        <w:div w:id="1577857155">
          <w:marLeft w:val="480"/>
          <w:marRight w:val="0"/>
          <w:marTop w:val="0"/>
          <w:marBottom w:val="0"/>
          <w:divBdr>
            <w:top w:val="none" w:sz="0" w:space="0" w:color="auto"/>
            <w:left w:val="none" w:sz="0" w:space="0" w:color="auto"/>
            <w:bottom w:val="none" w:sz="0" w:space="0" w:color="auto"/>
            <w:right w:val="none" w:sz="0" w:space="0" w:color="auto"/>
          </w:divBdr>
        </w:div>
        <w:div w:id="585385634">
          <w:marLeft w:val="480"/>
          <w:marRight w:val="0"/>
          <w:marTop w:val="0"/>
          <w:marBottom w:val="0"/>
          <w:divBdr>
            <w:top w:val="none" w:sz="0" w:space="0" w:color="auto"/>
            <w:left w:val="none" w:sz="0" w:space="0" w:color="auto"/>
            <w:bottom w:val="none" w:sz="0" w:space="0" w:color="auto"/>
            <w:right w:val="none" w:sz="0" w:space="0" w:color="auto"/>
          </w:divBdr>
        </w:div>
        <w:div w:id="1775975900">
          <w:marLeft w:val="480"/>
          <w:marRight w:val="0"/>
          <w:marTop w:val="0"/>
          <w:marBottom w:val="0"/>
          <w:divBdr>
            <w:top w:val="none" w:sz="0" w:space="0" w:color="auto"/>
            <w:left w:val="none" w:sz="0" w:space="0" w:color="auto"/>
            <w:bottom w:val="none" w:sz="0" w:space="0" w:color="auto"/>
            <w:right w:val="none" w:sz="0" w:space="0" w:color="auto"/>
          </w:divBdr>
        </w:div>
        <w:div w:id="1700159903">
          <w:marLeft w:val="480"/>
          <w:marRight w:val="0"/>
          <w:marTop w:val="0"/>
          <w:marBottom w:val="0"/>
          <w:divBdr>
            <w:top w:val="none" w:sz="0" w:space="0" w:color="auto"/>
            <w:left w:val="none" w:sz="0" w:space="0" w:color="auto"/>
            <w:bottom w:val="none" w:sz="0" w:space="0" w:color="auto"/>
            <w:right w:val="none" w:sz="0" w:space="0" w:color="auto"/>
          </w:divBdr>
        </w:div>
        <w:div w:id="1984694000">
          <w:marLeft w:val="480"/>
          <w:marRight w:val="0"/>
          <w:marTop w:val="0"/>
          <w:marBottom w:val="0"/>
          <w:divBdr>
            <w:top w:val="none" w:sz="0" w:space="0" w:color="auto"/>
            <w:left w:val="none" w:sz="0" w:space="0" w:color="auto"/>
            <w:bottom w:val="none" w:sz="0" w:space="0" w:color="auto"/>
            <w:right w:val="none" w:sz="0" w:space="0" w:color="auto"/>
          </w:divBdr>
        </w:div>
        <w:div w:id="1067457857">
          <w:marLeft w:val="480"/>
          <w:marRight w:val="0"/>
          <w:marTop w:val="0"/>
          <w:marBottom w:val="0"/>
          <w:divBdr>
            <w:top w:val="none" w:sz="0" w:space="0" w:color="auto"/>
            <w:left w:val="none" w:sz="0" w:space="0" w:color="auto"/>
            <w:bottom w:val="none" w:sz="0" w:space="0" w:color="auto"/>
            <w:right w:val="none" w:sz="0" w:space="0" w:color="auto"/>
          </w:divBdr>
        </w:div>
        <w:div w:id="55127660">
          <w:marLeft w:val="480"/>
          <w:marRight w:val="0"/>
          <w:marTop w:val="0"/>
          <w:marBottom w:val="0"/>
          <w:divBdr>
            <w:top w:val="none" w:sz="0" w:space="0" w:color="auto"/>
            <w:left w:val="none" w:sz="0" w:space="0" w:color="auto"/>
            <w:bottom w:val="none" w:sz="0" w:space="0" w:color="auto"/>
            <w:right w:val="none" w:sz="0" w:space="0" w:color="auto"/>
          </w:divBdr>
        </w:div>
        <w:div w:id="265624457">
          <w:marLeft w:val="480"/>
          <w:marRight w:val="0"/>
          <w:marTop w:val="0"/>
          <w:marBottom w:val="0"/>
          <w:divBdr>
            <w:top w:val="none" w:sz="0" w:space="0" w:color="auto"/>
            <w:left w:val="none" w:sz="0" w:space="0" w:color="auto"/>
            <w:bottom w:val="none" w:sz="0" w:space="0" w:color="auto"/>
            <w:right w:val="none" w:sz="0" w:space="0" w:color="auto"/>
          </w:divBdr>
        </w:div>
        <w:div w:id="1200124155">
          <w:marLeft w:val="480"/>
          <w:marRight w:val="0"/>
          <w:marTop w:val="0"/>
          <w:marBottom w:val="0"/>
          <w:divBdr>
            <w:top w:val="none" w:sz="0" w:space="0" w:color="auto"/>
            <w:left w:val="none" w:sz="0" w:space="0" w:color="auto"/>
            <w:bottom w:val="none" w:sz="0" w:space="0" w:color="auto"/>
            <w:right w:val="none" w:sz="0" w:space="0" w:color="auto"/>
          </w:divBdr>
        </w:div>
        <w:div w:id="978145246">
          <w:marLeft w:val="480"/>
          <w:marRight w:val="0"/>
          <w:marTop w:val="0"/>
          <w:marBottom w:val="0"/>
          <w:divBdr>
            <w:top w:val="none" w:sz="0" w:space="0" w:color="auto"/>
            <w:left w:val="none" w:sz="0" w:space="0" w:color="auto"/>
            <w:bottom w:val="none" w:sz="0" w:space="0" w:color="auto"/>
            <w:right w:val="none" w:sz="0" w:space="0" w:color="auto"/>
          </w:divBdr>
        </w:div>
        <w:div w:id="387611009">
          <w:marLeft w:val="480"/>
          <w:marRight w:val="0"/>
          <w:marTop w:val="0"/>
          <w:marBottom w:val="0"/>
          <w:divBdr>
            <w:top w:val="none" w:sz="0" w:space="0" w:color="auto"/>
            <w:left w:val="none" w:sz="0" w:space="0" w:color="auto"/>
            <w:bottom w:val="none" w:sz="0" w:space="0" w:color="auto"/>
            <w:right w:val="none" w:sz="0" w:space="0" w:color="auto"/>
          </w:divBdr>
        </w:div>
        <w:div w:id="1585260318">
          <w:marLeft w:val="480"/>
          <w:marRight w:val="0"/>
          <w:marTop w:val="0"/>
          <w:marBottom w:val="0"/>
          <w:divBdr>
            <w:top w:val="none" w:sz="0" w:space="0" w:color="auto"/>
            <w:left w:val="none" w:sz="0" w:space="0" w:color="auto"/>
            <w:bottom w:val="none" w:sz="0" w:space="0" w:color="auto"/>
            <w:right w:val="none" w:sz="0" w:space="0" w:color="auto"/>
          </w:divBdr>
        </w:div>
        <w:div w:id="1751464095">
          <w:marLeft w:val="480"/>
          <w:marRight w:val="0"/>
          <w:marTop w:val="0"/>
          <w:marBottom w:val="0"/>
          <w:divBdr>
            <w:top w:val="none" w:sz="0" w:space="0" w:color="auto"/>
            <w:left w:val="none" w:sz="0" w:space="0" w:color="auto"/>
            <w:bottom w:val="none" w:sz="0" w:space="0" w:color="auto"/>
            <w:right w:val="none" w:sz="0" w:space="0" w:color="auto"/>
          </w:divBdr>
        </w:div>
        <w:div w:id="811558334">
          <w:marLeft w:val="480"/>
          <w:marRight w:val="0"/>
          <w:marTop w:val="0"/>
          <w:marBottom w:val="0"/>
          <w:divBdr>
            <w:top w:val="none" w:sz="0" w:space="0" w:color="auto"/>
            <w:left w:val="none" w:sz="0" w:space="0" w:color="auto"/>
            <w:bottom w:val="none" w:sz="0" w:space="0" w:color="auto"/>
            <w:right w:val="none" w:sz="0" w:space="0" w:color="auto"/>
          </w:divBdr>
        </w:div>
        <w:div w:id="1215577123">
          <w:marLeft w:val="480"/>
          <w:marRight w:val="0"/>
          <w:marTop w:val="0"/>
          <w:marBottom w:val="0"/>
          <w:divBdr>
            <w:top w:val="none" w:sz="0" w:space="0" w:color="auto"/>
            <w:left w:val="none" w:sz="0" w:space="0" w:color="auto"/>
            <w:bottom w:val="none" w:sz="0" w:space="0" w:color="auto"/>
            <w:right w:val="none" w:sz="0" w:space="0" w:color="auto"/>
          </w:divBdr>
        </w:div>
        <w:div w:id="147553862">
          <w:marLeft w:val="480"/>
          <w:marRight w:val="0"/>
          <w:marTop w:val="0"/>
          <w:marBottom w:val="0"/>
          <w:divBdr>
            <w:top w:val="none" w:sz="0" w:space="0" w:color="auto"/>
            <w:left w:val="none" w:sz="0" w:space="0" w:color="auto"/>
            <w:bottom w:val="none" w:sz="0" w:space="0" w:color="auto"/>
            <w:right w:val="none" w:sz="0" w:space="0" w:color="auto"/>
          </w:divBdr>
        </w:div>
        <w:div w:id="122165438">
          <w:marLeft w:val="480"/>
          <w:marRight w:val="0"/>
          <w:marTop w:val="0"/>
          <w:marBottom w:val="0"/>
          <w:divBdr>
            <w:top w:val="none" w:sz="0" w:space="0" w:color="auto"/>
            <w:left w:val="none" w:sz="0" w:space="0" w:color="auto"/>
            <w:bottom w:val="none" w:sz="0" w:space="0" w:color="auto"/>
            <w:right w:val="none" w:sz="0" w:space="0" w:color="auto"/>
          </w:divBdr>
        </w:div>
        <w:div w:id="670252427">
          <w:marLeft w:val="480"/>
          <w:marRight w:val="0"/>
          <w:marTop w:val="0"/>
          <w:marBottom w:val="0"/>
          <w:divBdr>
            <w:top w:val="none" w:sz="0" w:space="0" w:color="auto"/>
            <w:left w:val="none" w:sz="0" w:space="0" w:color="auto"/>
            <w:bottom w:val="none" w:sz="0" w:space="0" w:color="auto"/>
            <w:right w:val="none" w:sz="0" w:space="0" w:color="auto"/>
          </w:divBdr>
        </w:div>
        <w:div w:id="2129540722">
          <w:marLeft w:val="480"/>
          <w:marRight w:val="0"/>
          <w:marTop w:val="0"/>
          <w:marBottom w:val="0"/>
          <w:divBdr>
            <w:top w:val="none" w:sz="0" w:space="0" w:color="auto"/>
            <w:left w:val="none" w:sz="0" w:space="0" w:color="auto"/>
            <w:bottom w:val="none" w:sz="0" w:space="0" w:color="auto"/>
            <w:right w:val="none" w:sz="0" w:space="0" w:color="auto"/>
          </w:divBdr>
        </w:div>
        <w:div w:id="963463442">
          <w:marLeft w:val="480"/>
          <w:marRight w:val="0"/>
          <w:marTop w:val="0"/>
          <w:marBottom w:val="0"/>
          <w:divBdr>
            <w:top w:val="none" w:sz="0" w:space="0" w:color="auto"/>
            <w:left w:val="none" w:sz="0" w:space="0" w:color="auto"/>
            <w:bottom w:val="none" w:sz="0" w:space="0" w:color="auto"/>
            <w:right w:val="none" w:sz="0" w:space="0" w:color="auto"/>
          </w:divBdr>
        </w:div>
        <w:div w:id="306015501">
          <w:marLeft w:val="480"/>
          <w:marRight w:val="0"/>
          <w:marTop w:val="0"/>
          <w:marBottom w:val="0"/>
          <w:divBdr>
            <w:top w:val="none" w:sz="0" w:space="0" w:color="auto"/>
            <w:left w:val="none" w:sz="0" w:space="0" w:color="auto"/>
            <w:bottom w:val="none" w:sz="0" w:space="0" w:color="auto"/>
            <w:right w:val="none" w:sz="0" w:space="0" w:color="auto"/>
          </w:divBdr>
        </w:div>
        <w:div w:id="606277155">
          <w:marLeft w:val="480"/>
          <w:marRight w:val="0"/>
          <w:marTop w:val="0"/>
          <w:marBottom w:val="0"/>
          <w:divBdr>
            <w:top w:val="none" w:sz="0" w:space="0" w:color="auto"/>
            <w:left w:val="none" w:sz="0" w:space="0" w:color="auto"/>
            <w:bottom w:val="none" w:sz="0" w:space="0" w:color="auto"/>
            <w:right w:val="none" w:sz="0" w:space="0" w:color="auto"/>
          </w:divBdr>
        </w:div>
        <w:div w:id="991760380">
          <w:marLeft w:val="480"/>
          <w:marRight w:val="0"/>
          <w:marTop w:val="0"/>
          <w:marBottom w:val="0"/>
          <w:divBdr>
            <w:top w:val="none" w:sz="0" w:space="0" w:color="auto"/>
            <w:left w:val="none" w:sz="0" w:space="0" w:color="auto"/>
            <w:bottom w:val="none" w:sz="0" w:space="0" w:color="auto"/>
            <w:right w:val="none" w:sz="0" w:space="0" w:color="auto"/>
          </w:divBdr>
        </w:div>
        <w:div w:id="993071852">
          <w:marLeft w:val="480"/>
          <w:marRight w:val="0"/>
          <w:marTop w:val="0"/>
          <w:marBottom w:val="0"/>
          <w:divBdr>
            <w:top w:val="none" w:sz="0" w:space="0" w:color="auto"/>
            <w:left w:val="none" w:sz="0" w:space="0" w:color="auto"/>
            <w:bottom w:val="none" w:sz="0" w:space="0" w:color="auto"/>
            <w:right w:val="none" w:sz="0" w:space="0" w:color="auto"/>
          </w:divBdr>
        </w:div>
        <w:div w:id="797794196">
          <w:marLeft w:val="480"/>
          <w:marRight w:val="0"/>
          <w:marTop w:val="0"/>
          <w:marBottom w:val="0"/>
          <w:divBdr>
            <w:top w:val="none" w:sz="0" w:space="0" w:color="auto"/>
            <w:left w:val="none" w:sz="0" w:space="0" w:color="auto"/>
            <w:bottom w:val="none" w:sz="0" w:space="0" w:color="auto"/>
            <w:right w:val="none" w:sz="0" w:space="0" w:color="auto"/>
          </w:divBdr>
        </w:div>
        <w:div w:id="1218588010">
          <w:marLeft w:val="480"/>
          <w:marRight w:val="0"/>
          <w:marTop w:val="0"/>
          <w:marBottom w:val="0"/>
          <w:divBdr>
            <w:top w:val="none" w:sz="0" w:space="0" w:color="auto"/>
            <w:left w:val="none" w:sz="0" w:space="0" w:color="auto"/>
            <w:bottom w:val="none" w:sz="0" w:space="0" w:color="auto"/>
            <w:right w:val="none" w:sz="0" w:space="0" w:color="auto"/>
          </w:divBdr>
        </w:div>
        <w:div w:id="813719698">
          <w:marLeft w:val="480"/>
          <w:marRight w:val="0"/>
          <w:marTop w:val="0"/>
          <w:marBottom w:val="0"/>
          <w:divBdr>
            <w:top w:val="none" w:sz="0" w:space="0" w:color="auto"/>
            <w:left w:val="none" w:sz="0" w:space="0" w:color="auto"/>
            <w:bottom w:val="none" w:sz="0" w:space="0" w:color="auto"/>
            <w:right w:val="none" w:sz="0" w:space="0" w:color="auto"/>
          </w:divBdr>
        </w:div>
        <w:div w:id="789045">
          <w:marLeft w:val="480"/>
          <w:marRight w:val="0"/>
          <w:marTop w:val="0"/>
          <w:marBottom w:val="0"/>
          <w:divBdr>
            <w:top w:val="none" w:sz="0" w:space="0" w:color="auto"/>
            <w:left w:val="none" w:sz="0" w:space="0" w:color="auto"/>
            <w:bottom w:val="none" w:sz="0" w:space="0" w:color="auto"/>
            <w:right w:val="none" w:sz="0" w:space="0" w:color="auto"/>
          </w:divBdr>
        </w:div>
        <w:div w:id="1900239202">
          <w:marLeft w:val="480"/>
          <w:marRight w:val="0"/>
          <w:marTop w:val="0"/>
          <w:marBottom w:val="0"/>
          <w:divBdr>
            <w:top w:val="none" w:sz="0" w:space="0" w:color="auto"/>
            <w:left w:val="none" w:sz="0" w:space="0" w:color="auto"/>
            <w:bottom w:val="none" w:sz="0" w:space="0" w:color="auto"/>
            <w:right w:val="none" w:sz="0" w:space="0" w:color="auto"/>
          </w:divBdr>
        </w:div>
        <w:div w:id="1574008288">
          <w:marLeft w:val="480"/>
          <w:marRight w:val="0"/>
          <w:marTop w:val="0"/>
          <w:marBottom w:val="0"/>
          <w:divBdr>
            <w:top w:val="none" w:sz="0" w:space="0" w:color="auto"/>
            <w:left w:val="none" w:sz="0" w:space="0" w:color="auto"/>
            <w:bottom w:val="none" w:sz="0" w:space="0" w:color="auto"/>
            <w:right w:val="none" w:sz="0" w:space="0" w:color="auto"/>
          </w:divBdr>
        </w:div>
        <w:div w:id="1363746471">
          <w:marLeft w:val="480"/>
          <w:marRight w:val="0"/>
          <w:marTop w:val="0"/>
          <w:marBottom w:val="0"/>
          <w:divBdr>
            <w:top w:val="none" w:sz="0" w:space="0" w:color="auto"/>
            <w:left w:val="none" w:sz="0" w:space="0" w:color="auto"/>
            <w:bottom w:val="none" w:sz="0" w:space="0" w:color="auto"/>
            <w:right w:val="none" w:sz="0" w:space="0" w:color="auto"/>
          </w:divBdr>
        </w:div>
        <w:div w:id="1681740499">
          <w:marLeft w:val="480"/>
          <w:marRight w:val="0"/>
          <w:marTop w:val="0"/>
          <w:marBottom w:val="0"/>
          <w:divBdr>
            <w:top w:val="none" w:sz="0" w:space="0" w:color="auto"/>
            <w:left w:val="none" w:sz="0" w:space="0" w:color="auto"/>
            <w:bottom w:val="none" w:sz="0" w:space="0" w:color="auto"/>
            <w:right w:val="none" w:sz="0" w:space="0" w:color="auto"/>
          </w:divBdr>
        </w:div>
        <w:div w:id="1070351861">
          <w:marLeft w:val="480"/>
          <w:marRight w:val="0"/>
          <w:marTop w:val="0"/>
          <w:marBottom w:val="0"/>
          <w:divBdr>
            <w:top w:val="none" w:sz="0" w:space="0" w:color="auto"/>
            <w:left w:val="none" w:sz="0" w:space="0" w:color="auto"/>
            <w:bottom w:val="none" w:sz="0" w:space="0" w:color="auto"/>
            <w:right w:val="none" w:sz="0" w:space="0" w:color="auto"/>
          </w:divBdr>
        </w:div>
        <w:div w:id="2079136083">
          <w:marLeft w:val="480"/>
          <w:marRight w:val="0"/>
          <w:marTop w:val="0"/>
          <w:marBottom w:val="0"/>
          <w:divBdr>
            <w:top w:val="none" w:sz="0" w:space="0" w:color="auto"/>
            <w:left w:val="none" w:sz="0" w:space="0" w:color="auto"/>
            <w:bottom w:val="none" w:sz="0" w:space="0" w:color="auto"/>
            <w:right w:val="none" w:sz="0" w:space="0" w:color="auto"/>
          </w:divBdr>
        </w:div>
        <w:div w:id="1534416069">
          <w:marLeft w:val="480"/>
          <w:marRight w:val="0"/>
          <w:marTop w:val="0"/>
          <w:marBottom w:val="0"/>
          <w:divBdr>
            <w:top w:val="none" w:sz="0" w:space="0" w:color="auto"/>
            <w:left w:val="none" w:sz="0" w:space="0" w:color="auto"/>
            <w:bottom w:val="none" w:sz="0" w:space="0" w:color="auto"/>
            <w:right w:val="none" w:sz="0" w:space="0" w:color="auto"/>
          </w:divBdr>
        </w:div>
        <w:div w:id="863057505">
          <w:marLeft w:val="480"/>
          <w:marRight w:val="0"/>
          <w:marTop w:val="0"/>
          <w:marBottom w:val="0"/>
          <w:divBdr>
            <w:top w:val="none" w:sz="0" w:space="0" w:color="auto"/>
            <w:left w:val="none" w:sz="0" w:space="0" w:color="auto"/>
            <w:bottom w:val="none" w:sz="0" w:space="0" w:color="auto"/>
            <w:right w:val="none" w:sz="0" w:space="0" w:color="auto"/>
          </w:divBdr>
        </w:div>
        <w:div w:id="1600794611">
          <w:marLeft w:val="480"/>
          <w:marRight w:val="0"/>
          <w:marTop w:val="0"/>
          <w:marBottom w:val="0"/>
          <w:divBdr>
            <w:top w:val="none" w:sz="0" w:space="0" w:color="auto"/>
            <w:left w:val="none" w:sz="0" w:space="0" w:color="auto"/>
            <w:bottom w:val="none" w:sz="0" w:space="0" w:color="auto"/>
            <w:right w:val="none" w:sz="0" w:space="0" w:color="auto"/>
          </w:divBdr>
        </w:div>
        <w:div w:id="1897206234">
          <w:marLeft w:val="480"/>
          <w:marRight w:val="0"/>
          <w:marTop w:val="0"/>
          <w:marBottom w:val="0"/>
          <w:divBdr>
            <w:top w:val="none" w:sz="0" w:space="0" w:color="auto"/>
            <w:left w:val="none" w:sz="0" w:space="0" w:color="auto"/>
            <w:bottom w:val="none" w:sz="0" w:space="0" w:color="auto"/>
            <w:right w:val="none" w:sz="0" w:space="0" w:color="auto"/>
          </w:divBdr>
        </w:div>
        <w:div w:id="786004786">
          <w:marLeft w:val="480"/>
          <w:marRight w:val="0"/>
          <w:marTop w:val="0"/>
          <w:marBottom w:val="0"/>
          <w:divBdr>
            <w:top w:val="none" w:sz="0" w:space="0" w:color="auto"/>
            <w:left w:val="none" w:sz="0" w:space="0" w:color="auto"/>
            <w:bottom w:val="none" w:sz="0" w:space="0" w:color="auto"/>
            <w:right w:val="none" w:sz="0" w:space="0" w:color="auto"/>
          </w:divBdr>
        </w:div>
        <w:div w:id="361171114">
          <w:marLeft w:val="480"/>
          <w:marRight w:val="0"/>
          <w:marTop w:val="0"/>
          <w:marBottom w:val="0"/>
          <w:divBdr>
            <w:top w:val="none" w:sz="0" w:space="0" w:color="auto"/>
            <w:left w:val="none" w:sz="0" w:space="0" w:color="auto"/>
            <w:bottom w:val="none" w:sz="0" w:space="0" w:color="auto"/>
            <w:right w:val="none" w:sz="0" w:space="0" w:color="auto"/>
          </w:divBdr>
        </w:div>
        <w:div w:id="886141929">
          <w:marLeft w:val="480"/>
          <w:marRight w:val="0"/>
          <w:marTop w:val="0"/>
          <w:marBottom w:val="0"/>
          <w:divBdr>
            <w:top w:val="none" w:sz="0" w:space="0" w:color="auto"/>
            <w:left w:val="none" w:sz="0" w:space="0" w:color="auto"/>
            <w:bottom w:val="none" w:sz="0" w:space="0" w:color="auto"/>
            <w:right w:val="none" w:sz="0" w:space="0" w:color="auto"/>
          </w:divBdr>
        </w:div>
        <w:div w:id="1426415602">
          <w:marLeft w:val="480"/>
          <w:marRight w:val="0"/>
          <w:marTop w:val="0"/>
          <w:marBottom w:val="0"/>
          <w:divBdr>
            <w:top w:val="none" w:sz="0" w:space="0" w:color="auto"/>
            <w:left w:val="none" w:sz="0" w:space="0" w:color="auto"/>
            <w:bottom w:val="none" w:sz="0" w:space="0" w:color="auto"/>
            <w:right w:val="none" w:sz="0" w:space="0" w:color="auto"/>
          </w:divBdr>
        </w:div>
        <w:div w:id="1230113186">
          <w:marLeft w:val="480"/>
          <w:marRight w:val="0"/>
          <w:marTop w:val="0"/>
          <w:marBottom w:val="0"/>
          <w:divBdr>
            <w:top w:val="none" w:sz="0" w:space="0" w:color="auto"/>
            <w:left w:val="none" w:sz="0" w:space="0" w:color="auto"/>
            <w:bottom w:val="none" w:sz="0" w:space="0" w:color="auto"/>
            <w:right w:val="none" w:sz="0" w:space="0" w:color="auto"/>
          </w:divBdr>
        </w:div>
        <w:div w:id="714349027">
          <w:marLeft w:val="480"/>
          <w:marRight w:val="0"/>
          <w:marTop w:val="0"/>
          <w:marBottom w:val="0"/>
          <w:divBdr>
            <w:top w:val="none" w:sz="0" w:space="0" w:color="auto"/>
            <w:left w:val="none" w:sz="0" w:space="0" w:color="auto"/>
            <w:bottom w:val="none" w:sz="0" w:space="0" w:color="auto"/>
            <w:right w:val="none" w:sz="0" w:space="0" w:color="auto"/>
          </w:divBdr>
        </w:div>
        <w:div w:id="1869374165">
          <w:marLeft w:val="480"/>
          <w:marRight w:val="0"/>
          <w:marTop w:val="0"/>
          <w:marBottom w:val="0"/>
          <w:divBdr>
            <w:top w:val="none" w:sz="0" w:space="0" w:color="auto"/>
            <w:left w:val="none" w:sz="0" w:space="0" w:color="auto"/>
            <w:bottom w:val="none" w:sz="0" w:space="0" w:color="auto"/>
            <w:right w:val="none" w:sz="0" w:space="0" w:color="auto"/>
          </w:divBdr>
        </w:div>
        <w:div w:id="1389957180">
          <w:marLeft w:val="480"/>
          <w:marRight w:val="0"/>
          <w:marTop w:val="0"/>
          <w:marBottom w:val="0"/>
          <w:divBdr>
            <w:top w:val="none" w:sz="0" w:space="0" w:color="auto"/>
            <w:left w:val="none" w:sz="0" w:space="0" w:color="auto"/>
            <w:bottom w:val="none" w:sz="0" w:space="0" w:color="auto"/>
            <w:right w:val="none" w:sz="0" w:space="0" w:color="auto"/>
          </w:divBdr>
        </w:div>
        <w:div w:id="2010985035">
          <w:marLeft w:val="480"/>
          <w:marRight w:val="0"/>
          <w:marTop w:val="0"/>
          <w:marBottom w:val="0"/>
          <w:divBdr>
            <w:top w:val="none" w:sz="0" w:space="0" w:color="auto"/>
            <w:left w:val="none" w:sz="0" w:space="0" w:color="auto"/>
            <w:bottom w:val="none" w:sz="0" w:space="0" w:color="auto"/>
            <w:right w:val="none" w:sz="0" w:space="0" w:color="auto"/>
          </w:divBdr>
        </w:div>
        <w:div w:id="355427427">
          <w:marLeft w:val="480"/>
          <w:marRight w:val="0"/>
          <w:marTop w:val="0"/>
          <w:marBottom w:val="0"/>
          <w:divBdr>
            <w:top w:val="none" w:sz="0" w:space="0" w:color="auto"/>
            <w:left w:val="none" w:sz="0" w:space="0" w:color="auto"/>
            <w:bottom w:val="none" w:sz="0" w:space="0" w:color="auto"/>
            <w:right w:val="none" w:sz="0" w:space="0" w:color="auto"/>
          </w:divBdr>
        </w:div>
        <w:div w:id="1915361078">
          <w:marLeft w:val="480"/>
          <w:marRight w:val="0"/>
          <w:marTop w:val="0"/>
          <w:marBottom w:val="0"/>
          <w:divBdr>
            <w:top w:val="none" w:sz="0" w:space="0" w:color="auto"/>
            <w:left w:val="none" w:sz="0" w:space="0" w:color="auto"/>
            <w:bottom w:val="none" w:sz="0" w:space="0" w:color="auto"/>
            <w:right w:val="none" w:sz="0" w:space="0" w:color="auto"/>
          </w:divBdr>
        </w:div>
        <w:div w:id="684677173">
          <w:marLeft w:val="480"/>
          <w:marRight w:val="0"/>
          <w:marTop w:val="0"/>
          <w:marBottom w:val="0"/>
          <w:divBdr>
            <w:top w:val="none" w:sz="0" w:space="0" w:color="auto"/>
            <w:left w:val="none" w:sz="0" w:space="0" w:color="auto"/>
            <w:bottom w:val="none" w:sz="0" w:space="0" w:color="auto"/>
            <w:right w:val="none" w:sz="0" w:space="0" w:color="auto"/>
          </w:divBdr>
        </w:div>
        <w:div w:id="897595929">
          <w:marLeft w:val="480"/>
          <w:marRight w:val="0"/>
          <w:marTop w:val="0"/>
          <w:marBottom w:val="0"/>
          <w:divBdr>
            <w:top w:val="none" w:sz="0" w:space="0" w:color="auto"/>
            <w:left w:val="none" w:sz="0" w:space="0" w:color="auto"/>
            <w:bottom w:val="none" w:sz="0" w:space="0" w:color="auto"/>
            <w:right w:val="none" w:sz="0" w:space="0" w:color="auto"/>
          </w:divBdr>
        </w:div>
        <w:div w:id="1016536968">
          <w:marLeft w:val="480"/>
          <w:marRight w:val="0"/>
          <w:marTop w:val="0"/>
          <w:marBottom w:val="0"/>
          <w:divBdr>
            <w:top w:val="none" w:sz="0" w:space="0" w:color="auto"/>
            <w:left w:val="none" w:sz="0" w:space="0" w:color="auto"/>
            <w:bottom w:val="none" w:sz="0" w:space="0" w:color="auto"/>
            <w:right w:val="none" w:sz="0" w:space="0" w:color="auto"/>
          </w:divBdr>
        </w:div>
        <w:div w:id="1638683232">
          <w:marLeft w:val="480"/>
          <w:marRight w:val="0"/>
          <w:marTop w:val="0"/>
          <w:marBottom w:val="0"/>
          <w:divBdr>
            <w:top w:val="none" w:sz="0" w:space="0" w:color="auto"/>
            <w:left w:val="none" w:sz="0" w:space="0" w:color="auto"/>
            <w:bottom w:val="none" w:sz="0" w:space="0" w:color="auto"/>
            <w:right w:val="none" w:sz="0" w:space="0" w:color="auto"/>
          </w:divBdr>
        </w:div>
        <w:div w:id="802621654">
          <w:marLeft w:val="480"/>
          <w:marRight w:val="0"/>
          <w:marTop w:val="0"/>
          <w:marBottom w:val="0"/>
          <w:divBdr>
            <w:top w:val="none" w:sz="0" w:space="0" w:color="auto"/>
            <w:left w:val="none" w:sz="0" w:space="0" w:color="auto"/>
            <w:bottom w:val="none" w:sz="0" w:space="0" w:color="auto"/>
            <w:right w:val="none" w:sz="0" w:space="0" w:color="auto"/>
          </w:divBdr>
        </w:div>
        <w:div w:id="641664415">
          <w:marLeft w:val="480"/>
          <w:marRight w:val="0"/>
          <w:marTop w:val="0"/>
          <w:marBottom w:val="0"/>
          <w:divBdr>
            <w:top w:val="none" w:sz="0" w:space="0" w:color="auto"/>
            <w:left w:val="none" w:sz="0" w:space="0" w:color="auto"/>
            <w:bottom w:val="none" w:sz="0" w:space="0" w:color="auto"/>
            <w:right w:val="none" w:sz="0" w:space="0" w:color="auto"/>
          </w:divBdr>
        </w:div>
        <w:div w:id="478763840">
          <w:marLeft w:val="480"/>
          <w:marRight w:val="0"/>
          <w:marTop w:val="0"/>
          <w:marBottom w:val="0"/>
          <w:divBdr>
            <w:top w:val="none" w:sz="0" w:space="0" w:color="auto"/>
            <w:left w:val="none" w:sz="0" w:space="0" w:color="auto"/>
            <w:bottom w:val="none" w:sz="0" w:space="0" w:color="auto"/>
            <w:right w:val="none" w:sz="0" w:space="0" w:color="auto"/>
          </w:divBdr>
        </w:div>
        <w:div w:id="896017445">
          <w:marLeft w:val="480"/>
          <w:marRight w:val="0"/>
          <w:marTop w:val="0"/>
          <w:marBottom w:val="0"/>
          <w:divBdr>
            <w:top w:val="none" w:sz="0" w:space="0" w:color="auto"/>
            <w:left w:val="none" w:sz="0" w:space="0" w:color="auto"/>
            <w:bottom w:val="none" w:sz="0" w:space="0" w:color="auto"/>
            <w:right w:val="none" w:sz="0" w:space="0" w:color="auto"/>
          </w:divBdr>
        </w:div>
        <w:div w:id="1133063661">
          <w:marLeft w:val="480"/>
          <w:marRight w:val="0"/>
          <w:marTop w:val="0"/>
          <w:marBottom w:val="0"/>
          <w:divBdr>
            <w:top w:val="none" w:sz="0" w:space="0" w:color="auto"/>
            <w:left w:val="none" w:sz="0" w:space="0" w:color="auto"/>
            <w:bottom w:val="none" w:sz="0" w:space="0" w:color="auto"/>
            <w:right w:val="none" w:sz="0" w:space="0" w:color="auto"/>
          </w:divBdr>
        </w:div>
        <w:div w:id="1867021798">
          <w:marLeft w:val="480"/>
          <w:marRight w:val="0"/>
          <w:marTop w:val="0"/>
          <w:marBottom w:val="0"/>
          <w:divBdr>
            <w:top w:val="none" w:sz="0" w:space="0" w:color="auto"/>
            <w:left w:val="none" w:sz="0" w:space="0" w:color="auto"/>
            <w:bottom w:val="none" w:sz="0" w:space="0" w:color="auto"/>
            <w:right w:val="none" w:sz="0" w:space="0" w:color="auto"/>
          </w:divBdr>
        </w:div>
        <w:div w:id="954868034">
          <w:marLeft w:val="480"/>
          <w:marRight w:val="0"/>
          <w:marTop w:val="0"/>
          <w:marBottom w:val="0"/>
          <w:divBdr>
            <w:top w:val="none" w:sz="0" w:space="0" w:color="auto"/>
            <w:left w:val="none" w:sz="0" w:space="0" w:color="auto"/>
            <w:bottom w:val="none" w:sz="0" w:space="0" w:color="auto"/>
            <w:right w:val="none" w:sz="0" w:space="0" w:color="auto"/>
          </w:divBdr>
        </w:div>
        <w:div w:id="1399209356">
          <w:marLeft w:val="480"/>
          <w:marRight w:val="0"/>
          <w:marTop w:val="0"/>
          <w:marBottom w:val="0"/>
          <w:divBdr>
            <w:top w:val="none" w:sz="0" w:space="0" w:color="auto"/>
            <w:left w:val="none" w:sz="0" w:space="0" w:color="auto"/>
            <w:bottom w:val="none" w:sz="0" w:space="0" w:color="auto"/>
            <w:right w:val="none" w:sz="0" w:space="0" w:color="auto"/>
          </w:divBdr>
        </w:div>
        <w:div w:id="1454399246">
          <w:marLeft w:val="480"/>
          <w:marRight w:val="0"/>
          <w:marTop w:val="0"/>
          <w:marBottom w:val="0"/>
          <w:divBdr>
            <w:top w:val="none" w:sz="0" w:space="0" w:color="auto"/>
            <w:left w:val="none" w:sz="0" w:space="0" w:color="auto"/>
            <w:bottom w:val="none" w:sz="0" w:space="0" w:color="auto"/>
            <w:right w:val="none" w:sz="0" w:space="0" w:color="auto"/>
          </w:divBdr>
        </w:div>
        <w:div w:id="1458372941">
          <w:marLeft w:val="480"/>
          <w:marRight w:val="0"/>
          <w:marTop w:val="0"/>
          <w:marBottom w:val="0"/>
          <w:divBdr>
            <w:top w:val="none" w:sz="0" w:space="0" w:color="auto"/>
            <w:left w:val="none" w:sz="0" w:space="0" w:color="auto"/>
            <w:bottom w:val="none" w:sz="0" w:space="0" w:color="auto"/>
            <w:right w:val="none" w:sz="0" w:space="0" w:color="auto"/>
          </w:divBdr>
        </w:div>
        <w:div w:id="385448457">
          <w:marLeft w:val="480"/>
          <w:marRight w:val="0"/>
          <w:marTop w:val="0"/>
          <w:marBottom w:val="0"/>
          <w:divBdr>
            <w:top w:val="none" w:sz="0" w:space="0" w:color="auto"/>
            <w:left w:val="none" w:sz="0" w:space="0" w:color="auto"/>
            <w:bottom w:val="none" w:sz="0" w:space="0" w:color="auto"/>
            <w:right w:val="none" w:sz="0" w:space="0" w:color="auto"/>
          </w:divBdr>
        </w:div>
        <w:div w:id="606893068">
          <w:marLeft w:val="480"/>
          <w:marRight w:val="0"/>
          <w:marTop w:val="0"/>
          <w:marBottom w:val="0"/>
          <w:divBdr>
            <w:top w:val="none" w:sz="0" w:space="0" w:color="auto"/>
            <w:left w:val="none" w:sz="0" w:space="0" w:color="auto"/>
            <w:bottom w:val="none" w:sz="0" w:space="0" w:color="auto"/>
            <w:right w:val="none" w:sz="0" w:space="0" w:color="auto"/>
          </w:divBdr>
        </w:div>
      </w:divsChild>
    </w:div>
    <w:div w:id="265622213">
      <w:bodyDiv w:val="1"/>
      <w:marLeft w:val="0"/>
      <w:marRight w:val="0"/>
      <w:marTop w:val="0"/>
      <w:marBottom w:val="0"/>
      <w:divBdr>
        <w:top w:val="none" w:sz="0" w:space="0" w:color="auto"/>
        <w:left w:val="none" w:sz="0" w:space="0" w:color="auto"/>
        <w:bottom w:val="none" w:sz="0" w:space="0" w:color="auto"/>
        <w:right w:val="none" w:sz="0" w:space="0" w:color="auto"/>
      </w:divBdr>
    </w:div>
    <w:div w:id="266011717">
      <w:bodyDiv w:val="1"/>
      <w:marLeft w:val="0"/>
      <w:marRight w:val="0"/>
      <w:marTop w:val="0"/>
      <w:marBottom w:val="0"/>
      <w:divBdr>
        <w:top w:val="none" w:sz="0" w:space="0" w:color="auto"/>
        <w:left w:val="none" w:sz="0" w:space="0" w:color="auto"/>
        <w:bottom w:val="none" w:sz="0" w:space="0" w:color="auto"/>
        <w:right w:val="none" w:sz="0" w:space="0" w:color="auto"/>
      </w:divBdr>
    </w:div>
    <w:div w:id="266085545">
      <w:bodyDiv w:val="1"/>
      <w:marLeft w:val="0"/>
      <w:marRight w:val="0"/>
      <w:marTop w:val="0"/>
      <w:marBottom w:val="0"/>
      <w:divBdr>
        <w:top w:val="none" w:sz="0" w:space="0" w:color="auto"/>
        <w:left w:val="none" w:sz="0" w:space="0" w:color="auto"/>
        <w:bottom w:val="none" w:sz="0" w:space="0" w:color="auto"/>
        <w:right w:val="none" w:sz="0" w:space="0" w:color="auto"/>
      </w:divBdr>
    </w:div>
    <w:div w:id="267082185">
      <w:bodyDiv w:val="1"/>
      <w:marLeft w:val="0"/>
      <w:marRight w:val="0"/>
      <w:marTop w:val="0"/>
      <w:marBottom w:val="0"/>
      <w:divBdr>
        <w:top w:val="none" w:sz="0" w:space="0" w:color="auto"/>
        <w:left w:val="none" w:sz="0" w:space="0" w:color="auto"/>
        <w:bottom w:val="none" w:sz="0" w:space="0" w:color="auto"/>
        <w:right w:val="none" w:sz="0" w:space="0" w:color="auto"/>
      </w:divBdr>
    </w:div>
    <w:div w:id="267276873">
      <w:bodyDiv w:val="1"/>
      <w:marLeft w:val="0"/>
      <w:marRight w:val="0"/>
      <w:marTop w:val="0"/>
      <w:marBottom w:val="0"/>
      <w:divBdr>
        <w:top w:val="none" w:sz="0" w:space="0" w:color="auto"/>
        <w:left w:val="none" w:sz="0" w:space="0" w:color="auto"/>
        <w:bottom w:val="none" w:sz="0" w:space="0" w:color="auto"/>
        <w:right w:val="none" w:sz="0" w:space="0" w:color="auto"/>
      </w:divBdr>
    </w:div>
    <w:div w:id="267323467">
      <w:bodyDiv w:val="1"/>
      <w:marLeft w:val="0"/>
      <w:marRight w:val="0"/>
      <w:marTop w:val="0"/>
      <w:marBottom w:val="0"/>
      <w:divBdr>
        <w:top w:val="none" w:sz="0" w:space="0" w:color="auto"/>
        <w:left w:val="none" w:sz="0" w:space="0" w:color="auto"/>
        <w:bottom w:val="none" w:sz="0" w:space="0" w:color="auto"/>
        <w:right w:val="none" w:sz="0" w:space="0" w:color="auto"/>
      </w:divBdr>
    </w:div>
    <w:div w:id="267666719">
      <w:bodyDiv w:val="1"/>
      <w:marLeft w:val="0"/>
      <w:marRight w:val="0"/>
      <w:marTop w:val="0"/>
      <w:marBottom w:val="0"/>
      <w:divBdr>
        <w:top w:val="none" w:sz="0" w:space="0" w:color="auto"/>
        <w:left w:val="none" w:sz="0" w:space="0" w:color="auto"/>
        <w:bottom w:val="none" w:sz="0" w:space="0" w:color="auto"/>
        <w:right w:val="none" w:sz="0" w:space="0" w:color="auto"/>
      </w:divBdr>
    </w:div>
    <w:div w:id="268050763">
      <w:bodyDiv w:val="1"/>
      <w:marLeft w:val="0"/>
      <w:marRight w:val="0"/>
      <w:marTop w:val="0"/>
      <w:marBottom w:val="0"/>
      <w:divBdr>
        <w:top w:val="none" w:sz="0" w:space="0" w:color="auto"/>
        <w:left w:val="none" w:sz="0" w:space="0" w:color="auto"/>
        <w:bottom w:val="none" w:sz="0" w:space="0" w:color="auto"/>
        <w:right w:val="none" w:sz="0" w:space="0" w:color="auto"/>
      </w:divBdr>
    </w:div>
    <w:div w:id="268439372">
      <w:bodyDiv w:val="1"/>
      <w:marLeft w:val="0"/>
      <w:marRight w:val="0"/>
      <w:marTop w:val="0"/>
      <w:marBottom w:val="0"/>
      <w:divBdr>
        <w:top w:val="none" w:sz="0" w:space="0" w:color="auto"/>
        <w:left w:val="none" w:sz="0" w:space="0" w:color="auto"/>
        <w:bottom w:val="none" w:sz="0" w:space="0" w:color="auto"/>
        <w:right w:val="none" w:sz="0" w:space="0" w:color="auto"/>
      </w:divBdr>
    </w:div>
    <w:div w:id="269238464">
      <w:bodyDiv w:val="1"/>
      <w:marLeft w:val="0"/>
      <w:marRight w:val="0"/>
      <w:marTop w:val="0"/>
      <w:marBottom w:val="0"/>
      <w:divBdr>
        <w:top w:val="none" w:sz="0" w:space="0" w:color="auto"/>
        <w:left w:val="none" w:sz="0" w:space="0" w:color="auto"/>
        <w:bottom w:val="none" w:sz="0" w:space="0" w:color="auto"/>
        <w:right w:val="none" w:sz="0" w:space="0" w:color="auto"/>
      </w:divBdr>
    </w:div>
    <w:div w:id="269356381">
      <w:bodyDiv w:val="1"/>
      <w:marLeft w:val="0"/>
      <w:marRight w:val="0"/>
      <w:marTop w:val="0"/>
      <w:marBottom w:val="0"/>
      <w:divBdr>
        <w:top w:val="none" w:sz="0" w:space="0" w:color="auto"/>
        <w:left w:val="none" w:sz="0" w:space="0" w:color="auto"/>
        <w:bottom w:val="none" w:sz="0" w:space="0" w:color="auto"/>
        <w:right w:val="none" w:sz="0" w:space="0" w:color="auto"/>
      </w:divBdr>
    </w:div>
    <w:div w:id="269628893">
      <w:bodyDiv w:val="1"/>
      <w:marLeft w:val="0"/>
      <w:marRight w:val="0"/>
      <w:marTop w:val="0"/>
      <w:marBottom w:val="0"/>
      <w:divBdr>
        <w:top w:val="none" w:sz="0" w:space="0" w:color="auto"/>
        <w:left w:val="none" w:sz="0" w:space="0" w:color="auto"/>
        <w:bottom w:val="none" w:sz="0" w:space="0" w:color="auto"/>
        <w:right w:val="none" w:sz="0" w:space="0" w:color="auto"/>
      </w:divBdr>
    </w:div>
    <w:div w:id="270010895">
      <w:bodyDiv w:val="1"/>
      <w:marLeft w:val="0"/>
      <w:marRight w:val="0"/>
      <w:marTop w:val="0"/>
      <w:marBottom w:val="0"/>
      <w:divBdr>
        <w:top w:val="none" w:sz="0" w:space="0" w:color="auto"/>
        <w:left w:val="none" w:sz="0" w:space="0" w:color="auto"/>
        <w:bottom w:val="none" w:sz="0" w:space="0" w:color="auto"/>
        <w:right w:val="none" w:sz="0" w:space="0" w:color="auto"/>
      </w:divBdr>
    </w:div>
    <w:div w:id="270288886">
      <w:bodyDiv w:val="1"/>
      <w:marLeft w:val="0"/>
      <w:marRight w:val="0"/>
      <w:marTop w:val="0"/>
      <w:marBottom w:val="0"/>
      <w:divBdr>
        <w:top w:val="none" w:sz="0" w:space="0" w:color="auto"/>
        <w:left w:val="none" w:sz="0" w:space="0" w:color="auto"/>
        <w:bottom w:val="none" w:sz="0" w:space="0" w:color="auto"/>
        <w:right w:val="none" w:sz="0" w:space="0" w:color="auto"/>
      </w:divBdr>
    </w:div>
    <w:div w:id="270402289">
      <w:bodyDiv w:val="1"/>
      <w:marLeft w:val="0"/>
      <w:marRight w:val="0"/>
      <w:marTop w:val="0"/>
      <w:marBottom w:val="0"/>
      <w:divBdr>
        <w:top w:val="none" w:sz="0" w:space="0" w:color="auto"/>
        <w:left w:val="none" w:sz="0" w:space="0" w:color="auto"/>
        <w:bottom w:val="none" w:sz="0" w:space="0" w:color="auto"/>
        <w:right w:val="none" w:sz="0" w:space="0" w:color="auto"/>
      </w:divBdr>
    </w:div>
    <w:div w:id="271716179">
      <w:bodyDiv w:val="1"/>
      <w:marLeft w:val="0"/>
      <w:marRight w:val="0"/>
      <w:marTop w:val="0"/>
      <w:marBottom w:val="0"/>
      <w:divBdr>
        <w:top w:val="none" w:sz="0" w:space="0" w:color="auto"/>
        <w:left w:val="none" w:sz="0" w:space="0" w:color="auto"/>
        <w:bottom w:val="none" w:sz="0" w:space="0" w:color="auto"/>
        <w:right w:val="none" w:sz="0" w:space="0" w:color="auto"/>
      </w:divBdr>
    </w:div>
    <w:div w:id="271984403">
      <w:bodyDiv w:val="1"/>
      <w:marLeft w:val="0"/>
      <w:marRight w:val="0"/>
      <w:marTop w:val="0"/>
      <w:marBottom w:val="0"/>
      <w:divBdr>
        <w:top w:val="none" w:sz="0" w:space="0" w:color="auto"/>
        <w:left w:val="none" w:sz="0" w:space="0" w:color="auto"/>
        <w:bottom w:val="none" w:sz="0" w:space="0" w:color="auto"/>
        <w:right w:val="none" w:sz="0" w:space="0" w:color="auto"/>
      </w:divBdr>
    </w:div>
    <w:div w:id="272055769">
      <w:bodyDiv w:val="1"/>
      <w:marLeft w:val="0"/>
      <w:marRight w:val="0"/>
      <w:marTop w:val="0"/>
      <w:marBottom w:val="0"/>
      <w:divBdr>
        <w:top w:val="none" w:sz="0" w:space="0" w:color="auto"/>
        <w:left w:val="none" w:sz="0" w:space="0" w:color="auto"/>
        <w:bottom w:val="none" w:sz="0" w:space="0" w:color="auto"/>
        <w:right w:val="none" w:sz="0" w:space="0" w:color="auto"/>
      </w:divBdr>
    </w:div>
    <w:div w:id="272135105">
      <w:bodyDiv w:val="1"/>
      <w:marLeft w:val="0"/>
      <w:marRight w:val="0"/>
      <w:marTop w:val="0"/>
      <w:marBottom w:val="0"/>
      <w:divBdr>
        <w:top w:val="none" w:sz="0" w:space="0" w:color="auto"/>
        <w:left w:val="none" w:sz="0" w:space="0" w:color="auto"/>
        <w:bottom w:val="none" w:sz="0" w:space="0" w:color="auto"/>
        <w:right w:val="none" w:sz="0" w:space="0" w:color="auto"/>
      </w:divBdr>
    </w:div>
    <w:div w:id="273093775">
      <w:bodyDiv w:val="1"/>
      <w:marLeft w:val="0"/>
      <w:marRight w:val="0"/>
      <w:marTop w:val="0"/>
      <w:marBottom w:val="0"/>
      <w:divBdr>
        <w:top w:val="none" w:sz="0" w:space="0" w:color="auto"/>
        <w:left w:val="none" w:sz="0" w:space="0" w:color="auto"/>
        <w:bottom w:val="none" w:sz="0" w:space="0" w:color="auto"/>
        <w:right w:val="none" w:sz="0" w:space="0" w:color="auto"/>
      </w:divBdr>
    </w:div>
    <w:div w:id="273830610">
      <w:bodyDiv w:val="1"/>
      <w:marLeft w:val="0"/>
      <w:marRight w:val="0"/>
      <w:marTop w:val="0"/>
      <w:marBottom w:val="0"/>
      <w:divBdr>
        <w:top w:val="none" w:sz="0" w:space="0" w:color="auto"/>
        <w:left w:val="none" w:sz="0" w:space="0" w:color="auto"/>
        <w:bottom w:val="none" w:sz="0" w:space="0" w:color="auto"/>
        <w:right w:val="none" w:sz="0" w:space="0" w:color="auto"/>
      </w:divBdr>
    </w:div>
    <w:div w:id="274094209">
      <w:bodyDiv w:val="1"/>
      <w:marLeft w:val="0"/>
      <w:marRight w:val="0"/>
      <w:marTop w:val="0"/>
      <w:marBottom w:val="0"/>
      <w:divBdr>
        <w:top w:val="none" w:sz="0" w:space="0" w:color="auto"/>
        <w:left w:val="none" w:sz="0" w:space="0" w:color="auto"/>
        <w:bottom w:val="none" w:sz="0" w:space="0" w:color="auto"/>
        <w:right w:val="none" w:sz="0" w:space="0" w:color="auto"/>
      </w:divBdr>
    </w:div>
    <w:div w:id="275135787">
      <w:bodyDiv w:val="1"/>
      <w:marLeft w:val="0"/>
      <w:marRight w:val="0"/>
      <w:marTop w:val="0"/>
      <w:marBottom w:val="0"/>
      <w:divBdr>
        <w:top w:val="none" w:sz="0" w:space="0" w:color="auto"/>
        <w:left w:val="none" w:sz="0" w:space="0" w:color="auto"/>
        <w:bottom w:val="none" w:sz="0" w:space="0" w:color="auto"/>
        <w:right w:val="none" w:sz="0" w:space="0" w:color="auto"/>
      </w:divBdr>
    </w:div>
    <w:div w:id="275406342">
      <w:bodyDiv w:val="1"/>
      <w:marLeft w:val="0"/>
      <w:marRight w:val="0"/>
      <w:marTop w:val="0"/>
      <w:marBottom w:val="0"/>
      <w:divBdr>
        <w:top w:val="none" w:sz="0" w:space="0" w:color="auto"/>
        <w:left w:val="none" w:sz="0" w:space="0" w:color="auto"/>
        <w:bottom w:val="none" w:sz="0" w:space="0" w:color="auto"/>
        <w:right w:val="none" w:sz="0" w:space="0" w:color="auto"/>
      </w:divBdr>
    </w:div>
    <w:div w:id="276451996">
      <w:bodyDiv w:val="1"/>
      <w:marLeft w:val="0"/>
      <w:marRight w:val="0"/>
      <w:marTop w:val="0"/>
      <w:marBottom w:val="0"/>
      <w:divBdr>
        <w:top w:val="none" w:sz="0" w:space="0" w:color="auto"/>
        <w:left w:val="none" w:sz="0" w:space="0" w:color="auto"/>
        <w:bottom w:val="none" w:sz="0" w:space="0" w:color="auto"/>
        <w:right w:val="none" w:sz="0" w:space="0" w:color="auto"/>
      </w:divBdr>
    </w:div>
    <w:div w:id="276956890">
      <w:bodyDiv w:val="1"/>
      <w:marLeft w:val="0"/>
      <w:marRight w:val="0"/>
      <w:marTop w:val="0"/>
      <w:marBottom w:val="0"/>
      <w:divBdr>
        <w:top w:val="none" w:sz="0" w:space="0" w:color="auto"/>
        <w:left w:val="none" w:sz="0" w:space="0" w:color="auto"/>
        <w:bottom w:val="none" w:sz="0" w:space="0" w:color="auto"/>
        <w:right w:val="none" w:sz="0" w:space="0" w:color="auto"/>
      </w:divBdr>
    </w:div>
    <w:div w:id="277880967">
      <w:bodyDiv w:val="1"/>
      <w:marLeft w:val="0"/>
      <w:marRight w:val="0"/>
      <w:marTop w:val="0"/>
      <w:marBottom w:val="0"/>
      <w:divBdr>
        <w:top w:val="none" w:sz="0" w:space="0" w:color="auto"/>
        <w:left w:val="none" w:sz="0" w:space="0" w:color="auto"/>
        <w:bottom w:val="none" w:sz="0" w:space="0" w:color="auto"/>
        <w:right w:val="none" w:sz="0" w:space="0" w:color="auto"/>
      </w:divBdr>
    </w:div>
    <w:div w:id="277956195">
      <w:bodyDiv w:val="1"/>
      <w:marLeft w:val="0"/>
      <w:marRight w:val="0"/>
      <w:marTop w:val="0"/>
      <w:marBottom w:val="0"/>
      <w:divBdr>
        <w:top w:val="none" w:sz="0" w:space="0" w:color="auto"/>
        <w:left w:val="none" w:sz="0" w:space="0" w:color="auto"/>
        <w:bottom w:val="none" w:sz="0" w:space="0" w:color="auto"/>
        <w:right w:val="none" w:sz="0" w:space="0" w:color="auto"/>
      </w:divBdr>
    </w:div>
    <w:div w:id="278269750">
      <w:bodyDiv w:val="1"/>
      <w:marLeft w:val="0"/>
      <w:marRight w:val="0"/>
      <w:marTop w:val="0"/>
      <w:marBottom w:val="0"/>
      <w:divBdr>
        <w:top w:val="none" w:sz="0" w:space="0" w:color="auto"/>
        <w:left w:val="none" w:sz="0" w:space="0" w:color="auto"/>
        <w:bottom w:val="none" w:sz="0" w:space="0" w:color="auto"/>
        <w:right w:val="none" w:sz="0" w:space="0" w:color="auto"/>
      </w:divBdr>
    </w:div>
    <w:div w:id="278344303">
      <w:bodyDiv w:val="1"/>
      <w:marLeft w:val="0"/>
      <w:marRight w:val="0"/>
      <w:marTop w:val="0"/>
      <w:marBottom w:val="0"/>
      <w:divBdr>
        <w:top w:val="none" w:sz="0" w:space="0" w:color="auto"/>
        <w:left w:val="none" w:sz="0" w:space="0" w:color="auto"/>
        <w:bottom w:val="none" w:sz="0" w:space="0" w:color="auto"/>
        <w:right w:val="none" w:sz="0" w:space="0" w:color="auto"/>
      </w:divBdr>
    </w:div>
    <w:div w:id="278605243">
      <w:bodyDiv w:val="1"/>
      <w:marLeft w:val="0"/>
      <w:marRight w:val="0"/>
      <w:marTop w:val="0"/>
      <w:marBottom w:val="0"/>
      <w:divBdr>
        <w:top w:val="none" w:sz="0" w:space="0" w:color="auto"/>
        <w:left w:val="none" w:sz="0" w:space="0" w:color="auto"/>
        <w:bottom w:val="none" w:sz="0" w:space="0" w:color="auto"/>
        <w:right w:val="none" w:sz="0" w:space="0" w:color="auto"/>
      </w:divBdr>
    </w:div>
    <w:div w:id="279260296">
      <w:bodyDiv w:val="1"/>
      <w:marLeft w:val="0"/>
      <w:marRight w:val="0"/>
      <w:marTop w:val="0"/>
      <w:marBottom w:val="0"/>
      <w:divBdr>
        <w:top w:val="none" w:sz="0" w:space="0" w:color="auto"/>
        <w:left w:val="none" w:sz="0" w:space="0" w:color="auto"/>
        <w:bottom w:val="none" w:sz="0" w:space="0" w:color="auto"/>
        <w:right w:val="none" w:sz="0" w:space="0" w:color="auto"/>
      </w:divBdr>
    </w:div>
    <w:div w:id="279342540">
      <w:bodyDiv w:val="1"/>
      <w:marLeft w:val="0"/>
      <w:marRight w:val="0"/>
      <w:marTop w:val="0"/>
      <w:marBottom w:val="0"/>
      <w:divBdr>
        <w:top w:val="none" w:sz="0" w:space="0" w:color="auto"/>
        <w:left w:val="none" w:sz="0" w:space="0" w:color="auto"/>
        <w:bottom w:val="none" w:sz="0" w:space="0" w:color="auto"/>
        <w:right w:val="none" w:sz="0" w:space="0" w:color="auto"/>
      </w:divBdr>
    </w:div>
    <w:div w:id="279604618">
      <w:bodyDiv w:val="1"/>
      <w:marLeft w:val="0"/>
      <w:marRight w:val="0"/>
      <w:marTop w:val="0"/>
      <w:marBottom w:val="0"/>
      <w:divBdr>
        <w:top w:val="none" w:sz="0" w:space="0" w:color="auto"/>
        <w:left w:val="none" w:sz="0" w:space="0" w:color="auto"/>
        <w:bottom w:val="none" w:sz="0" w:space="0" w:color="auto"/>
        <w:right w:val="none" w:sz="0" w:space="0" w:color="auto"/>
      </w:divBdr>
    </w:div>
    <w:div w:id="280116880">
      <w:bodyDiv w:val="1"/>
      <w:marLeft w:val="0"/>
      <w:marRight w:val="0"/>
      <w:marTop w:val="0"/>
      <w:marBottom w:val="0"/>
      <w:divBdr>
        <w:top w:val="none" w:sz="0" w:space="0" w:color="auto"/>
        <w:left w:val="none" w:sz="0" w:space="0" w:color="auto"/>
        <w:bottom w:val="none" w:sz="0" w:space="0" w:color="auto"/>
        <w:right w:val="none" w:sz="0" w:space="0" w:color="auto"/>
      </w:divBdr>
    </w:div>
    <w:div w:id="280696352">
      <w:bodyDiv w:val="1"/>
      <w:marLeft w:val="0"/>
      <w:marRight w:val="0"/>
      <w:marTop w:val="0"/>
      <w:marBottom w:val="0"/>
      <w:divBdr>
        <w:top w:val="none" w:sz="0" w:space="0" w:color="auto"/>
        <w:left w:val="none" w:sz="0" w:space="0" w:color="auto"/>
        <w:bottom w:val="none" w:sz="0" w:space="0" w:color="auto"/>
        <w:right w:val="none" w:sz="0" w:space="0" w:color="auto"/>
      </w:divBdr>
    </w:div>
    <w:div w:id="281032501">
      <w:bodyDiv w:val="1"/>
      <w:marLeft w:val="0"/>
      <w:marRight w:val="0"/>
      <w:marTop w:val="0"/>
      <w:marBottom w:val="0"/>
      <w:divBdr>
        <w:top w:val="none" w:sz="0" w:space="0" w:color="auto"/>
        <w:left w:val="none" w:sz="0" w:space="0" w:color="auto"/>
        <w:bottom w:val="none" w:sz="0" w:space="0" w:color="auto"/>
        <w:right w:val="none" w:sz="0" w:space="0" w:color="auto"/>
      </w:divBdr>
    </w:div>
    <w:div w:id="281038882">
      <w:bodyDiv w:val="1"/>
      <w:marLeft w:val="0"/>
      <w:marRight w:val="0"/>
      <w:marTop w:val="0"/>
      <w:marBottom w:val="0"/>
      <w:divBdr>
        <w:top w:val="none" w:sz="0" w:space="0" w:color="auto"/>
        <w:left w:val="none" w:sz="0" w:space="0" w:color="auto"/>
        <w:bottom w:val="none" w:sz="0" w:space="0" w:color="auto"/>
        <w:right w:val="none" w:sz="0" w:space="0" w:color="auto"/>
      </w:divBdr>
    </w:div>
    <w:div w:id="281116062">
      <w:bodyDiv w:val="1"/>
      <w:marLeft w:val="0"/>
      <w:marRight w:val="0"/>
      <w:marTop w:val="0"/>
      <w:marBottom w:val="0"/>
      <w:divBdr>
        <w:top w:val="none" w:sz="0" w:space="0" w:color="auto"/>
        <w:left w:val="none" w:sz="0" w:space="0" w:color="auto"/>
        <w:bottom w:val="none" w:sz="0" w:space="0" w:color="auto"/>
        <w:right w:val="none" w:sz="0" w:space="0" w:color="auto"/>
      </w:divBdr>
    </w:div>
    <w:div w:id="281813324">
      <w:bodyDiv w:val="1"/>
      <w:marLeft w:val="0"/>
      <w:marRight w:val="0"/>
      <w:marTop w:val="0"/>
      <w:marBottom w:val="0"/>
      <w:divBdr>
        <w:top w:val="none" w:sz="0" w:space="0" w:color="auto"/>
        <w:left w:val="none" w:sz="0" w:space="0" w:color="auto"/>
        <w:bottom w:val="none" w:sz="0" w:space="0" w:color="auto"/>
        <w:right w:val="none" w:sz="0" w:space="0" w:color="auto"/>
      </w:divBdr>
    </w:div>
    <w:div w:id="283318723">
      <w:bodyDiv w:val="1"/>
      <w:marLeft w:val="0"/>
      <w:marRight w:val="0"/>
      <w:marTop w:val="0"/>
      <w:marBottom w:val="0"/>
      <w:divBdr>
        <w:top w:val="none" w:sz="0" w:space="0" w:color="auto"/>
        <w:left w:val="none" w:sz="0" w:space="0" w:color="auto"/>
        <w:bottom w:val="none" w:sz="0" w:space="0" w:color="auto"/>
        <w:right w:val="none" w:sz="0" w:space="0" w:color="auto"/>
      </w:divBdr>
    </w:div>
    <w:div w:id="283582660">
      <w:bodyDiv w:val="1"/>
      <w:marLeft w:val="0"/>
      <w:marRight w:val="0"/>
      <w:marTop w:val="0"/>
      <w:marBottom w:val="0"/>
      <w:divBdr>
        <w:top w:val="none" w:sz="0" w:space="0" w:color="auto"/>
        <w:left w:val="none" w:sz="0" w:space="0" w:color="auto"/>
        <w:bottom w:val="none" w:sz="0" w:space="0" w:color="auto"/>
        <w:right w:val="none" w:sz="0" w:space="0" w:color="auto"/>
      </w:divBdr>
    </w:div>
    <w:div w:id="284435951">
      <w:bodyDiv w:val="1"/>
      <w:marLeft w:val="0"/>
      <w:marRight w:val="0"/>
      <w:marTop w:val="0"/>
      <w:marBottom w:val="0"/>
      <w:divBdr>
        <w:top w:val="none" w:sz="0" w:space="0" w:color="auto"/>
        <w:left w:val="none" w:sz="0" w:space="0" w:color="auto"/>
        <w:bottom w:val="none" w:sz="0" w:space="0" w:color="auto"/>
        <w:right w:val="none" w:sz="0" w:space="0" w:color="auto"/>
      </w:divBdr>
    </w:div>
    <w:div w:id="284697859">
      <w:bodyDiv w:val="1"/>
      <w:marLeft w:val="0"/>
      <w:marRight w:val="0"/>
      <w:marTop w:val="0"/>
      <w:marBottom w:val="0"/>
      <w:divBdr>
        <w:top w:val="none" w:sz="0" w:space="0" w:color="auto"/>
        <w:left w:val="none" w:sz="0" w:space="0" w:color="auto"/>
        <w:bottom w:val="none" w:sz="0" w:space="0" w:color="auto"/>
        <w:right w:val="none" w:sz="0" w:space="0" w:color="auto"/>
      </w:divBdr>
    </w:div>
    <w:div w:id="284701202">
      <w:bodyDiv w:val="1"/>
      <w:marLeft w:val="0"/>
      <w:marRight w:val="0"/>
      <w:marTop w:val="0"/>
      <w:marBottom w:val="0"/>
      <w:divBdr>
        <w:top w:val="none" w:sz="0" w:space="0" w:color="auto"/>
        <w:left w:val="none" w:sz="0" w:space="0" w:color="auto"/>
        <w:bottom w:val="none" w:sz="0" w:space="0" w:color="auto"/>
        <w:right w:val="none" w:sz="0" w:space="0" w:color="auto"/>
      </w:divBdr>
    </w:div>
    <w:div w:id="284819743">
      <w:bodyDiv w:val="1"/>
      <w:marLeft w:val="0"/>
      <w:marRight w:val="0"/>
      <w:marTop w:val="0"/>
      <w:marBottom w:val="0"/>
      <w:divBdr>
        <w:top w:val="none" w:sz="0" w:space="0" w:color="auto"/>
        <w:left w:val="none" w:sz="0" w:space="0" w:color="auto"/>
        <w:bottom w:val="none" w:sz="0" w:space="0" w:color="auto"/>
        <w:right w:val="none" w:sz="0" w:space="0" w:color="auto"/>
      </w:divBdr>
    </w:div>
    <w:div w:id="285048373">
      <w:bodyDiv w:val="1"/>
      <w:marLeft w:val="0"/>
      <w:marRight w:val="0"/>
      <w:marTop w:val="0"/>
      <w:marBottom w:val="0"/>
      <w:divBdr>
        <w:top w:val="none" w:sz="0" w:space="0" w:color="auto"/>
        <w:left w:val="none" w:sz="0" w:space="0" w:color="auto"/>
        <w:bottom w:val="none" w:sz="0" w:space="0" w:color="auto"/>
        <w:right w:val="none" w:sz="0" w:space="0" w:color="auto"/>
      </w:divBdr>
    </w:div>
    <w:div w:id="285359607">
      <w:bodyDiv w:val="1"/>
      <w:marLeft w:val="0"/>
      <w:marRight w:val="0"/>
      <w:marTop w:val="0"/>
      <w:marBottom w:val="0"/>
      <w:divBdr>
        <w:top w:val="none" w:sz="0" w:space="0" w:color="auto"/>
        <w:left w:val="none" w:sz="0" w:space="0" w:color="auto"/>
        <w:bottom w:val="none" w:sz="0" w:space="0" w:color="auto"/>
        <w:right w:val="none" w:sz="0" w:space="0" w:color="auto"/>
      </w:divBdr>
    </w:div>
    <w:div w:id="285553331">
      <w:bodyDiv w:val="1"/>
      <w:marLeft w:val="0"/>
      <w:marRight w:val="0"/>
      <w:marTop w:val="0"/>
      <w:marBottom w:val="0"/>
      <w:divBdr>
        <w:top w:val="none" w:sz="0" w:space="0" w:color="auto"/>
        <w:left w:val="none" w:sz="0" w:space="0" w:color="auto"/>
        <w:bottom w:val="none" w:sz="0" w:space="0" w:color="auto"/>
        <w:right w:val="none" w:sz="0" w:space="0" w:color="auto"/>
      </w:divBdr>
    </w:div>
    <w:div w:id="286202020">
      <w:bodyDiv w:val="1"/>
      <w:marLeft w:val="0"/>
      <w:marRight w:val="0"/>
      <w:marTop w:val="0"/>
      <w:marBottom w:val="0"/>
      <w:divBdr>
        <w:top w:val="none" w:sz="0" w:space="0" w:color="auto"/>
        <w:left w:val="none" w:sz="0" w:space="0" w:color="auto"/>
        <w:bottom w:val="none" w:sz="0" w:space="0" w:color="auto"/>
        <w:right w:val="none" w:sz="0" w:space="0" w:color="auto"/>
      </w:divBdr>
    </w:div>
    <w:div w:id="286543065">
      <w:bodyDiv w:val="1"/>
      <w:marLeft w:val="0"/>
      <w:marRight w:val="0"/>
      <w:marTop w:val="0"/>
      <w:marBottom w:val="0"/>
      <w:divBdr>
        <w:top w:val="none" w:sz="0" w:space="0" w:color="auto"/>
        <w:left w:val="none" w:sz="0" w:space="0" w:color="auto"/>
        <w:bottom w:val="none" w:sz="0" w:space="0" w:color="auto"/>
        <w:right w:val="none" w:sz="0" w:space="0" w:color="auto"/>
      </w:divBdr>
    </w:div>
    <w:div w:id="287325376">
      <w:bodyDiv w:val="1"/>
      <w:marLeft w:val="0"/>
      <w:marRight w:val="0"/>
      <w:marTop w:val="0"/>
      <w:marBottom w:val="0"/>
      <w:divBdr>
        <w:top w:val="none" w:sz="0" w:space="0" w:color="auto"/>
        <w:left w:val="none" w:sz="0" w:space="0" w:color="auto"/>
        <w:bottom w:val="none" w:sz="0" w:space="0" w:color="auto"/>
        <w:right w:val="none" w:sz="0" w:space="0" w:color="auto"/>
      </w:divBdr>
    </w:div>
    <w:div w:id="287470583">
      <w:bodyDiv w:val="1"/>
      <w:marLeft w:val="0"/>
      <w:marRight w:val="0"/>
      <w:marTop w:val="0"/>
      <w:marBottom w:val="0"/>
      <w:divBdr>
        <w:top w:val="none" w:sz="0" w:space="0" w:color="auto"/>
        <w:left w:val="none" w:sz="0" w:space="0" w:color="auto"/>
        <w:bottom w:val="none" w:sz="0" w:space="0" w:color="auto"/>
        <w:right w:val="none" w:sz="0" w:space="0" w:color="auto"/>
      </w:divBdr>
    </w:div>
    <w:div w:id="287512744">
      <w:bodyDiv w:val="1"/>
      <w:marLeft w:val="0"/>
      <w:marRight w:val="0"/>
      <w:marTop w:val="0"/>
      <w:marBottom w:val="0"/>
      <w:divBdr>
        <w:top w:val="none" w:sz="0" w:space="0" w:color="auto"/>
        <w:left w:val="none" w:sz="0" w:space="0" w:color="auto"/>
        <w:bottom w:val="none" w:sz="0" w:space="0" w:color="auto"/>
        <w:right w:val="none" w:sz="0" w:space="0" w:color="auto"/>
      </w:divBdr>
    </w:div>
    <w:div w:id="287515634">
      <w:bodyDiv w:val="1"/>
      <w:marLeft w:val="0"/>
      <w:marRight w:val="0"/>
      <w:marTop w:val="0"/>
      <w:marBottom w:val="0"/>
      <w:divBdr>
        <w:top w:val="none" w:sz="0" w:space="0" w:color="auto"/>
        <w:left w:val="none" w:sz="0" w:space="0" w:color="auto"/>
        <w:bottom w:val="none" w:sz="0" w:space="0" w:color="auto"/>
        <w:right w:val="none" w:sz="0" w:space="0" w:color="auto"/>
      </w:divBdr>
    </w:div>
    <w:div w:id="287972735">
      <w:bodyDiv w:val="1"/>
      <w:marLeft w:val="0"/>
      <w:marRight w:val="0"/>
      <w:marTop w:val="0"/>
      <w:marBottom w:val="0"/>
      <w:divBdr>
        <w:top w:val="none" w:sz="0" w:space="0" w:color="auto"/>
        <w:left w:val="none" w:sz="0" w:space="0" w:color="auto"/>
        <w:bottom w:val="none" w:sz="0" w:space="0" w:color="auto"/>
        <w:right w:val="none" w:sz="0" w:space="0" w:color="auto"/>
      </w:divBdr>
    </w:div>
    <w:div w:id="288510138">
      <w:bodyDiv w:val="1"/>
      <w:marLeft w:val="0"/>
      <w:marRight w:val="0"/>
      <w:marTop w:val="0"/>
      <w:marBottom w:val="0"/>
      <w:divBdr>
        <w:top w:val="none" w:sz="0" w:space="0" w:color="auto"/>
        <w:left w:val="none" w:sz="0" w:space="0" w:color="auto"/>
        <w:bottom w:val="none" w:sz="0" w:space="0" w:color="auto"/>
        <w:right w:val="none" w:sz="0" w:space="0" w:color="auto"/>
      </w:divBdr>
    </w:div>
    <w:div w:id="288782214">
      <w:bodyDiv w:val="1"/>
      <w:marLeft w:val="0"/>
      <w:marRight w:val="0"/>
      <w:marTop w:val="0"/>
      <w:marBottom w:val="0"/>
      <w:divBdr>
        <w:top w:val="none" w:sz="0" w:space="0" w:color="auto"/>
        <w:left w:val="none" w:sz="0" w:space="0" w:color="auto"/>
        <w:bottom w:val="none" w:sz="0" w:space="0" w:color="auto"/>
        <w:right w:val="none" w:sz="0" w:space="0" w:color="auto"/>
      </w:divBdr>
    </w:div>
    <w:div w:id="288900685">
      <w:bodyDiv w:val="1"/>
      <w:marLeft w:val="0"/>
      <w:marRight w:val="0"/>
      <w:marTop w:val="0"/>
      <w:marBottom w:val="0"/>
      <w:divBdr>
        <w:top w:val="none" w:sz="0" w:space="0" w:color="auto"/>
        <w:left w:val="none" w:sz="0" w:space="0" w:color="auto"/>
        <w:bottom w:val="none" w:sz="0" w:space="0" w:color="auto"/>
        <w:right w:val="none" w:sz="0" w:space="0" w:color="auto"/>
      </w:divBdr>
    </w:div>
    <w:div w:id="289168814">
      <w:bodyDiv w:val="1"/>
      <w:marLeft w:val="0"/>
      <w:marRight w:val="0"/>
      <w:marTop w:val="0"/>
      <w:marBottom w:val="0"/>
      <w:divBdr>
        <w:top w:val="none" w:sz="0" w:space="0" w:color="auto"/>
        <w:left w:val="none" w:sz="0" w:space="0" w:color="auto"/>
        <w:bottom w:val="none" w:sz="0" w:space="0" w:color="auto"/>
        <w:right w:val="none" w:sz="0" w:space="0" w:color="auto"/>
      </w:divBdr>
    </w:div>
    <w:div w:id="289942600">
      <w:bodyDiv w:val="1"/>
      <w:marLeft w:val="0"/>
      <w:marRight w:val="0"/>
      <w:marTop w:val="0"/>
      <w:marBottom w:val="0"/>
      <w:divBdr>
        <w:top w:val="none" w:sz="0" w:space="0" w:color="auto"/>
        <w:left w:val="none" w:sz="0" w:space="0" w:color="auto"/>
        <w:bottom w:val="none" w:sz="0" w:space="0" w:color="auto"/>
        <w:right w:val="none" w:sz="0" w:space="0" w:color="auto"/>
      </w:divBdr>
    </w:div>
    <w:div w:id="292176080">
      <w:bodyDiv w:val="1"/>
      <w:marLeft w:val="0"/>
      <w:marRight w:val="0"/>
      <w:marTop w:val="0"/>
      <w:marBottom w:val="0"/>
      <w:divBdr>
        <w:top w:val="none" w:sz="0" w:space="0" w:color="auto"/>
        <w:left w:val="none" w:sz="0" w:space="0" w:color="auto"/>
        <w:bottom w:val="none" w:sz="0" w:space="0" w:color="auto"/>
        <w:right w:val="none" w:sz="0" w:space="0" w:color="auto"/>
      </w:divBdr>
    </w:div>
    <w:div w:id="292560965">
      <w:bodyDiv w:val="1"/>
      <w:marLeft w:val="0"/>
      <w:marRight w:val="0"/>
      <w:marTop w:val="0"/>
      <w:marBottom w:val="0"/>
      <w:divBdr>
        <w:top w:val="none" w:sz="0" w:space="0" w:color="auto"/>
        <w:left w:val="none" w:sz="0" w:space="0" w:color="auto"/>
        <w:bottom w:val="none" w:sz="0" w:space="0" w:color="auto"/>
        <w:right w:val="none" w:sz="0" w:space="0" w:color="auto"/>
      </w:divBdr>
      <w:divsChild>
        <w:div w:id="343752398">
          <w:marLeft w:val="480"/>
          <w:marRight w:val="0"/>
          <w:marTop w:val="0"/>
          <w:marBottom w:val="0"/>
          <w:divBdr>
            <w:top w:val="none" w:sz="0" w:space="0" w:color="auto"/>
            <w:left w:val="none" w:sz="0" w:space="0" w:color="auto"/>
            <w:bottom w:val="none" w:sz="0" w:space="0" w:color="auto"/>
            <w:right w:val="none" w:sz="0" w:space="0" w:color="auto"/>
          </w:divBdr>
        </w:div>
        <w:div w:id="1042824789">
          <w:marLeft w:val="480"/>
          <w:marRight w:val="0"/>
          <w:marTop w:val="0"/>
          <w:marBottom w:val="0"/>
          <w:divBdr>
            <w:top w:val="none" w:sz="0" w:space="0" w:color="auto"/>
            <w:left w:val="none" w:sz="0" w:space="0" w:color="auto"/>
            <w:bottom w:val="none" w:sz="0" w:space="0" w:color="auto"/>
            <w:right w:val="none" w:sz="0" w:space="0" w:color="auto"/>
          </w:divBdr>
        </w:div>
        <w:div w:id="1232346907">
          <w:marLeft w:val="480"/>
          <w:marRight w:val="0"/>
          <w:marTop w:val="0"/>
          <w:marBottom w:val="0"/>
          <w:divBdr>
            <w:top w:val="none" w:sz="0" w:space="0" w:color="auto"/>
            <w:left w:val="none" w:sz="0" w:space="0" w:color="auto"/>
            <w:bottom w:val="none" w:sz="0" w:space="0" w:color="auto"/>
            <w:right w:val="none" w:sz="0" w:space="0" w:color="auto"/>
          </w:divBdr>
        </w:div>
        <w:div w:id="2110736820">
          <w:marLeft w:val="480"/>
          <w:marRight w:val="0"/>
          <w:marTop w:val="0"/>
          <w:marBottom w:val="0"/>
          <w:divBdr>
            <w:top w:val="none" w:sz="0" w:space="0" w:color="auto"/>
            <w:left w:val="none" w:sz="0" w:space="0" w:color="auto"/>
            <w:bottom w:val="none" w:sz="0" w:space="0" w:color="auto"/>
            <w:right w:val="none" w:sz="0" w:space="0" w:color="auto"/>
          </w:divBdr>
        </w:div>
        <w:div w:id="1628200814">
          <w:marLeft w:val="480"/>
          <w:marRight w:val="0"/>
          <w:marTop w:val="0"/>
          <w:marBottom w:val="0"/>
          <w:divBdr>
            <w:top w:val="none" w:sz="0" w:space="0" w:color="auto"/>
            <w:left w:val="none" w:sz="0" w:space="0" w:color="auto"/>
            <w:bottom w:val="none" w:sz="0" w:space="0" w:color="auto"/>
            <w:right w:val="none" w:sz="0" w:space="0" w:color="auto"/>
          </w:divBdr>
        </w:div>
        <w:div w:id="183252618">
          <w:marLeft w:val="480"/>
          <w:marRight w:val="0"/>
          <w:marTop w:val="0"/>
          <w:marBottom w:val="0"/>
          <w:divBdr>
            <w:top w:val="none" w:sz="0" w:space="0" w:color="auto"/>
            <w:left w:val="none" w:sz="0" w:space="0" w:color="auto"/>
            <w:bottom w:val="none" w:sz="0" w:space="0" w:color="auto"/>
            <w:right w:val="none" w:sz="0" w:space="0" w:color="auto"/>
          </w:divBdr>
        </w:div>
        <w:div w:id="384766267">
          <w:marLeft w:val="480"/>
          <w:marRight w:val="0"/>
          <w:marTop w:val="0"/>
          <w:marBottom w:val="0"/>
          <w:divBdr>
            <w:top w:val="none" w:sz="0" w:space="0" w:color="auto"/>
            <w:left w:val="none" w:sz="0" w:space="0" w:color="auto"/>
            <w:bottom w:val="none" w:sz="0" w:space="0" w:color="auto"/>
            <w:right w:val="none" w:sz="0" w:space="0" w:color="auto"/>
          </w:divBdr>
        </w:div>
        <w:div w:id="983393981">
          <w:marLeft w:val="480"/>
          <w:marRight w:val="0"/>
          <w:marTop w:val="0"/>
          <w:marBottom w:val="0"/>
          <w:divBdr>
            <w:top w:val="none" w:sz="0" w:space="0" w:color="auto"/>
            <w:left w:val="none" w:sz="0" w:space="0" w:color="auto"/>
            <w:bottom w:val="none" w:sz="0" w:space="0" w:color="auto"/>
            <w:right w:val="none" w:sz="0" w:space="0" w:color="auto"/>
          </w:divBdr>
        </w:div>
        <w:div w:id="245771331">
          <w:marLeft w:val="480"/>
          <w:marRight w:val="0"/>
          <w:marTop w:val="0"/>
          <w:marBottom w:val="0"/>
          <w:divBdr>
            <w:top w:val="none" w:sz="0" w:space="0" w:color="auto"/>
            <w:left w:val="none" w:sz="0" w:space="0" w:color="auto"/>
            <w:bottom w:val="none" w:sz="0" w:space="0" w:color="auto"/>
            <w:right w:val="none" w:sz="0" w:space="0" w:color="auto"/>
          </w:divBdr>
        </w:div>
        <w:div w:id="1912689104">
          <w:marLeft w:val="480"/>
          <w:marRight w:val="0"/>
          <w:marTop w:val="0"/>
          <w:marBottom w:val="0"/>
          <w:divBdr>
            <w:top w:val="none" w:sz="0" w:space="0" w:color="auto"/>
            <w:left w:val="none" w:sz="0" w:space="0" w:color="auto"/>
            <w:bottom w:val="none" w:sz="0" w:space="0" w:color="auto"/>
            <w:right w:val="none" w:sz="0" w:space="0" w:color="auto"/>
          </w:divBdr>
        </w:div>
        <w:div w:id="1257861898">
          <w:marLeft w:val="480"/>
          <w:marRight w:val="0"/>
          <w:marTop w:val="0"/>
          <w:marBottom w:val="0"/>
          <w:divBdr>
            <w:top w:val="none" w:sz="0" w:space="0" w:color="auto"/>
            <w:left w:val="none" w:sz="0" w:space="0" w:color="auto"/>
            <w:bottom w:val="none" w:sz="0" w:space="0" w:color="auto"/>
            <w:right w:val="none" w:sz="0" w:space="0" w:color="auto"/>
          </w:divBdr>
        </w:div>
        <w:div w:id="1627269938">
          <w:marLeft w:val="480"/>
          <w:marRight w:val="0"/>
          <w:marTop w:val="0"/>
          <w:marBottom w:val="0"/>
          <w:divBdr>
            <w:top w:val="none" w:sz="0" w:space="0" w:color="auto"/>
            <w:left w:val="none" w:sz="0" w:space="0" w:color="auto"/>
            <w:bottom w:val="none" w:sz="0" w:space="0" w:color="auto"/>
            <w:right w:val="none" w:sz="0" w:space="0" w:color="auto"/>
          </w:divBdr>
        </w:div>
        <w:div w:id="707796621">
          <w:marLeft w:val="480"/>
          <w:marRight w:val="0"/>
          <w:marTop w:val="0"/>
          <w:marBottom w:val="0"/>
          <w:divBdr>
            <w:top w:val="none" w:sz="0" w:space="0" w:color="auto"/>
            <w:left w:val="none" w:sz="0" w:space="0" w:color="auto"/>
            <w:bottom w:val="none" w:sz="0" w:space="0" w:color="auto"/>
            <w:right w:val="none" w:sz="0" w:space="0" w:color="auto"/>
          </w:divBdr>
        </w:div>
        <w:div w:id="399207872">
          <w:marLeft w:val="480"/>
          <w:marRight w:val="0"/>
          <w:marTop w:val="0"/>
          <w:marBottom w:val="0"/>
          <w:divBdr>
            <w:top w:val="none" w:sz="0" w:space="0" w:color="auto"/>
            <w:left w:val="none" w:sz="0" w:space="0" w:color="auto"/>
            <w:bottom w:val="none" w:sz="0" w:space="0" w:color="auto"/>
            <w:right w:val="none" w:sz="0" w:space="0" w:color="auto"/>
          </w:divBdr>
        </w:div>
        <w:div w:id="1166361691">
          <w:marLeft w:val="480"/>
          <w:marRight w:val="0"/>
          <w:marTop w:val="0"/>
          <w:marBottom w:val="0"/>
          <w:divBdr>
            <w:top w:val="none" w:sz="0" w:space="0" w:color="auto"/>
            <w:left w:val="none" w:sz="0" w:space="0" w:color="auto"/>
            <w:bottom w:val="none" w:sz="0" w:space="0" w:color="auto"/>
            <w:right w:val="none" w:sz="0" w:space="0" w:color="auto"/>
          </w:divBdr>
        </w:div>
        <w:div w:id="1265186943">
          <w:marLeft w:val="480"/>
          <w:marRight w:val="0"/>
          <w:marTop w:val="0"/>
          <w:marBottom w:val="0"/>
          <w:divBdr>
            <w:top w:val="none" w:sz="0" w:space="0" w:color="auto"/>
            <w:left w:val="none" w:sz="0" w:space="0" w:color="auto"/>
            <w:bottom w:val="none" w:sz="0" w:space="0" w:color="auto"/>
            <w:right w:val="none" w:sz="0" w:space="0" w:color="auto"/>
          </w:divBdr>
        </w:div>
        <w:div w:id="1988362627">
          <w:marLeft w:val="480"/>
          <w:marRight w:val="0"/>
          <w:marTop w:val="0"/>
          <w:marBottom w:val="0"/>
          <w:divBdr>
            <w:top w:val="none" w:sz="0" w:space="0" w:color="auto"/>
            <w:left w:val="none" w:sz="0" w:space="0" w:color="auto"/>
            <w:bottom w:val="none" w:sz="0" w:space="0" w:color="auto"/>
            <w:right w:val="none" w:sz="0" w:space="0" w:color="auto"/>
          </w:divBdr>
        </w:div>
        <w:div w:id="2085373915">
          <w:marLeft w:val="480"/>
          <w:marRight w:val="0"/>
          <w:marTop w:val="0"/>
          <w:marBottom w:val="0"/>
          <w:divBdr>
            <w:top w:val="none" w:sz="0" w:space="0" w:color="auto"/>
            <w:left w:val="none" w:sz="0" w:space="0" w:color="auto"/>
            <w:bottom w:val="none" w:sz="0" w:space="0" w:color="auto"/>
            <w:right w:val="none" w:sz="0" w:space="0" w:color="auto"/>
          </w:divBdr>
        </w:div>
        <w:div w:id="1138567498">
          <w:marLeft w:val="480"/>
          <w:marRight w:val="0"/>
          <w:marTop w:val="0"/>
          <w:marBottom w:val="0"/>
          <w:divBdr>
            <w:top w:val="none" w:sz="0" w:space="0" w:color="auto"/>
            <w:left w:val="none" w:sz="0" w:space="0" w:color="auto"/>
            <w:bottom w:val="none" w:sz="0" w:space="0" w:color="auto"/>
            <w:right w:val="none" w:sz="0" w:space="0" w:color="auto"/>
          </w:divBdr>
        </w:div>
        <w:div w:id="1528445703">
          <w:marLeft w:val="480"/>
          <w:marRight w:val="0"/>
          <w:marTop w:val="0"/>
          <w:marBottom w:val="0"/>
          <w:divBdr>
            <w:top w:val="none" w:sz="0" w:space="0" w:color="auto"/>
            <w:left w:val="none" w:sz="0" w:space="0" w:color="auto"/>
            <w:bottom w:val="none" w:sz="0" w:space="0" w:color="auto"/>
            <w:right w:val="none" w:sz="0" w:space="0" w:color="auto"/>
          </w:divBdr>
        </w:div>
        <w:div w:id="566500328">
          <w:marLeft w:val="480"/>
          <w:marRight w:val="0"/>
          <w:marTop w:val="0"/>
          <w:marBottom w:val="0"/>
          <w:divBdr>
            <w:top w:val="none" w:sz="0" w:space="0" w:color="auto"/>
            <w:left w:val="none" w:sz="0" w:space="0" w:color="auto"/>
            <w:bottom w:val="none" w:sz="0" w:space="0" w:color="auto"/>
            <w:right w:val="none" w:sz="0" w:space="0" w:color="auto"/>
          </w:divBdr>
        </w:div>
        <w:div w:id="367998775">
          <w:marLeft w:val="480"/>
          <w:marRight w:val="0"/>
          <w:marTop w:val="0"/>
          <w:marBottom w:val="0"/>
          <w:divBdr>
            <w:top w:val="none" w:sz="0" w:space="0" w:color="auto"/>
            <w:left w:val="none" w:sz="0" w:space="0" w:color="auto"/>
            <w:bottom w:val="none" w:sz="0" w:space="0" w:color="auto"/>
            <w:right w:val="none" w:sz="0" w:space="0" w:color="auto"/>
          </w:divBdr>
        </w:div>
        <w:div w:id="2007509122">
          <w:marLeft w:val="480"/>
          <w:marRight w:val="0"/>
          <w:marTop w:val="0"/>
          <w:marBottom w:val="0"/>
          <w:divBdr>
            <w:top w:val="none" w:sz="0" w:space="0" w:color="auto"/>
            <w:left w:val="none" w:sz="0" w:space="0" w:color="auto"/>
            <w:bottom w:val="none" w:sz="0" w:space="0" w:color="auto"/>
            <w:right w:val="none" w:sz="0" w:space="0" w:color="auto"/>
          </w:divBdr>
        </w:div>
        <w:div w:id="720859976">
          <w:marLeft w:val="480"/>
          <w:marRight w:val="0"/>
          <w:marTop w:val="0"/>
          <w:marBottom w:val="0"/>
          <w:divBdr>
            <w:top w:val="none" w:sz="0" w:space="0" w:color="auto"/>
            <w:left w:val="none" w:sz="0" w:space="0" w:color="auto"/>
            <w:bottom w:val="none" w:sz="0" w:space="0" w:color="auto"/>
            <w:right w:val="none" w:sz="0" w:space="0" w:color="auto"/>
          </w:divBdr>
        </w:div>
        <w:div w:id="1531258431">
          <w:marLeft w:val="480"/>
          <w:marRight w:val="0"/>
          <w:marTop w:val="0"/>
          <w:marBottom w:val="0"/>
          <w:divBdr>
            <w:top w:val="none" w:sz="0" w:space="0" w:color="auto"/>
            <w:left w:val="none" w:sz="0" w:space="0" w:color="auto"/>
            <w:bottom w:val="none" w:sz="0" w:space="0" w:color="auto"/>
            <w:right w:val="none" w:sz="0" w:space="0" w:color="auto"/>
          </w:divBdr>
        </w:div>
        <w:div w:id="2135102389">
          <w:marLeft w:val="480"/>
          <w:marRight w:val="0"/>
          <w:marTop w:val="0"/>
          <w:marBottom w:val="0"/>
          <w:divBdr>
            <w:top w:val="none" w:sz="0" w:space="0" w:color="auto"/>
            <w:left w:val="none" w:sz="0" w:space="0" w:color="auto"/>
            <w:bottom w:val="none" w:sz="0" w:space="0" w:color="auto"/>
            <w:right w:val="none" w:sz="0" w:space="0" w:color="auto"/>
          </w:divBdr>
        </w:div>
        <w:div w:id="1548638360">
          <w:marLeft w:val="480"/>
          <w:marRight w:val="0"/>
          <w:marTop w:val="0"/>
          <w:marBottom w:val="0"/>
          <w:divBdr>
            <w:top w:val="none" w:sz="0" w:space="0" w:color="auto"/>
            <w:left w:val="none" w:sz="0" w:space="0" w:color="auto"/>
            <w:bottom w:val="none" w:sz="0" w:space="0" w:color="auto"/>
            <w:right w:val="none" w:sz="0" w:space="0" w:color="auto"/>
          </w:divBdr>
        </w:div>
        <w:div w:id="68770490">
          <w:marLeft w:val="480"/>
          <w:marRight w:val="0"/>
          <w:marTop w:val="0"/>
          <w:marBottom w:val="0"/>
          <w:divBdr>
            <w:top w:val="none" w:sz="0" w:space="0" w:color="auto"/>
            <w:left w:val="none" w:sz="0" w:space="0" w:color="auto"/>
            <w:bottom w:val="none" w:sz="0" w:space="0" w:color="auto"/>
            <w:right w:val="none" w:sz="0" w:space="0" w:color="auto"/>
          </w:divBdr>
        </w:div>
        <w:div w:id="699941969">
          <w:marLeft w:val="480"/>
          <w:marRight w:val="0"/>
          <w:marTop w:val="0"/>
          <w:marBottom w:val="0"/>
          <w:divBdr>
            <w:top w:val="none" w:sz="0" w:space="0" w:color="auto"/>
            <w:left w:val="none" w:sz="0" w:space="0" w:color="auto"/>
            <w:bottom w:val="none" w:sz="0" w:space="0" w:color="auto"/>
            <w:right w:val="none" w:sz="0" w:space="0" w:color="auto"/>
          </w:divBdr>
        </w:div>
        <w:div w:id="1221751189">
          <w:marLeft w:val="480"/>
          <w:marRight w:val="0"/>
          <w:marTop w:val="0"/>
          <w:marBottom w:val="0"/>
          <w:divBdr>
            <w:top w:val="none" w:sz="0" w:space="0" w:color="auto"/>
            <w:left w:val="none" w:sz="0" w:space="0" w:color="auto"/>
            <w:bottom w:val="none" w:sz="0" w:space="0" w:color="auto"/>
            <w:right w:val="none" w:sz="0" w:space="0" w:color="auto"/>
          </w:divBdr>
        </w:div>
        <w:div w:id="231819787">
          <w:marLeft w:val="480"/>
          <w:marRight w:val="0"/>
          <w:marTop w:val="0"/>
          <w:marBottom w:val="0"/>
          <w:divBdr>
            <w:top w:val="none" w:sz="0" w:space="0" w:color="auto"/>
            <w:left w:val="none" w:sz="0" w:space="0" w:color="auto"/>
            <w:bottom w:val="none" w:sz="0" w:space="0" w:color="auto"/>
            <w:right w:val="none" w:sz="0" w:space="0" w:color="auto"/>
          </w:divBdr>
        </w:div>
        <w:div w:id="1173184976">
          <w:marLeft w:val="480"/>
          <w:marRight w:val="0"/>
          <w:marTop w:val="0"/>
          <w:marBottom w:val="0"/>
          <w:divBdr>
            <w:top w:val="none" w:sz="0" w:space="0" w:color="auto"/>
            <w:left w:val="none" w:sz="0" w:space="0" w:color="auto"/>
            <w:bottom w:val="none" w:sz="0" w:space="0" w:color="auto"/>
            <w:right w:val="none" w:sz="0" w:space="0" w:color="auto"/>
          </w:divBdr>
        </w:div>
        <w:div w:id="1129741686">
          <w:marLeft w:val="480"/>
          <w:marRight w:val="0"/>
          <w:marTop w:val="0"/>
          <w:marBottom w:val="0"/>
          <w:divBdr>
            <w:top w:val="none" w:sz="0" w:space="0" w:color="auto"/>
            <w:left w:val="none" w:sz="0" w:space="0" w:color="auto"/>
            <w:bottom w:val="none" w:sz="0" w:space="0" w:color="auto"/>
            <w:right w:val="none" w:sz="0" w:space="0" w:color="auto"/>
          </w:divBdr>
        </w:div>
        <w:div w:id="569386738">
          <w:marLeft w:val="480"/>
          <w:marRight w:val="0"/>
          <w:marTop w:val="0"/>
          <w:marBottom w:val="0"/>
          <w:divBdr>
            <w:top w:val="none" w:sz="0" w:space="0" w:color="auto"/>
            <w:left w:val="none" w:sz="0" w:space="0" w:color="auto"/>
            <w:bottom w:val="none" w:sz="0" w:space="0" w:color="auto"/>
            <w:right w:val="none" w:sz="0" w:space="0" w:color="auto"/>
          </w:divBdr>
        </w:div>
        <w:div w:id="18048436">
          <w:marLeft w:val="480"/>
          <w:marRight w:val="0"/>
          <w:marTop w:val="0"/>
          <w:marBottom w:val="0"/>
          <w:divBdr>
            <w:top w:val="none" w:sz="0" w:space="0" w:color="auto"/>
            <w:left w:val="none" w:sz="0" w:space="0" w:color="auto"/>
            <w:bottom w:val="none" w:sz="0" w:space="0" w:color="auto"/>
            <w:right w:val="none" w:sz="0" w:space="0" w:color="auto"/>
          </w:divBdr>
        </w:div>
        <w:div w:id="68117771">
          <w:marLeft w:val="480"/>
          <w:marRight w:val="0"/>
          <w:marTop w:val="0"/>
          <w:marBottom w:val="0"/>
          <w:divBdr>
            <w:top w:val="none" w:sz="0" w:space="0" w:color="auto"/>
            <w:left w:val="none" w:sz="0" w:space="0" w:color="auto"/>
            <w:bottom w:val="none" w:sz="0" w:space="0" w:color="auto"/>
            <w:right w:val="none" w:sz="0" w:space="0" w:color="auto"/>
          </w:divBdr>
        </w:div>
        <w:div w:id="1141339365">
          <w:marLeft w:val="480"/>
          <w:marRight w:val="0"/>
          <w:marTop w:val="0"/>
          <w:marBottom w:val="0"/>
          <w:divBdr>
            <w:top w:val="none" w:sz="0" w:space="0" w:color="auto"/>
            <w:left w:val="none" w:sz="0" w:space="0" w:color="auto"/>
            <w:bottom w:val="none" w:sz="0" w:space="0" w:color="auto"/>
            <w:right w:val="none" w:sz="0" w:space="0" w:color="auto"/>
          </w:divBdr>
        </w:div>
        <w:div w:id="548346356">
          <w:marLeft w:val="480"/>
          <w:marRight w:val="0"/>
          <w:marTop w:val="0"/>
          <w:marBottom w:val="0"/>
          <w:divBdr>
            <w:top w:val="none" w:sz="0" w:space="0" w:color="auto"/>
            <w:left w:val="none" w:sz="0" w:space="0" w:color="auto"/>
            <w:bottom w:val="none" w:sz="0" w:space="0" w:color="auto"/>
            <w:right w:val="none" w:sz="0" w:space="0" w:color="auto"/>
          </w:divBdr>
        </w:div>
        <w:div w:id="869151013">
          <w:marLeft w:val="480"/>
          <w:marRight w:val="0"/>
          <w:marTop w:val="0"/>
          <w:marBottom w:val="0"/>
          <w:divBdr>
            <w:top w:val="none" w:sz="0" w:space="0" w:color="auto"/>
            <w:left w:val="none" w:sz="0" w:space="0" w:color="auto"/>
            <w:bottom w:val="none" w:sz="0" w:space="0" w:color="auto"/>
            <w:right w:val="none" w:sz="0" w:space="0" w:color="auto"/>
          </w:divBdr>
        </w:div>
        <w:div w:id="997810162">
          <w:marLeft w:val="480"/>
          <w:marRight w:val="0"/>
          <w:marTop w:val="0"/>
          <w:marBottom w:val="0"/>
          <w:divBdr>
            <w:top w:val="none" w:sz="0" w:space="0" w:color="auto"/>
            <w:left w:val="none" w:sz="0" w:space="0" w:color="auto"/>
            <w:bottom w:val="none" w:sz="0" w:space="0" w:color="auto"/>
            <w:right w:val="none" w:sz="0" w:space="0" w:color="auto"/>
          </w:divBdr>
        </w:div>
        <w:div w:id="1688672843">
          <w:marLeft w:val="480"/>
          <w:marRight w:val="0"/>
          <w:marTop w:val="0"/>
          <w:marBottom w:val="0"/>
          <w:divBdr>
            <w:top w:val="none" w:sz="0" w:space="0" w:color="auto"/>
            <w:left w:val="none" w:sz="0" w:space="0" w:color="auto"/>
            <w:bottom w:val="none" w:sz="0" w:space="0" w:color="auto"/>
            <w:right w:val="none" w:sz="0" w:space="0" w:color="auto"/>
          </w:divBdr>
        </w:div>
        <w:div w:id="711922706">
          <w:marLeft w:val="480"/>
          <w:marRight w:val="0"/>
          <w:marTop w:val="0"/>
          <w:marBottom w:val="0"/>
          <w:divBdr>
            <w:top w:val="none" w:sz="0" w:space="0" w:color="auto"/>
            <w:left w:val="none" w:sz="0" w:space="0" w:color="auto"/>
            <w:bottom w:val="none" w:sz="0" w:space="0" w:color="auto"/>
            <w:right w:val="none" w:sz="0" w:space="0" w:color="auto"/>
          </w:divBdr>
        </w:div>
        <w:div w:id="1418483641">
          <w:marLeft w:val="480"/>
          <w:marRight w:val="0"/>
          <w:marTop w:val="0"/>
          <w:marBottom w:val="0"/>
          <w:divBdr>
            <w:top w:val="none" w:sz="0" w:space="0" w:color="auto"/>
            <w:left w:val="none" w:sz="0" w:space="0" w:color="auto"/>
            <w:bottom w:val="none" w:sz="0" w:space="0" w:color="auto"/>
            <w:right w:val="none" w:sz="0" w:space="0" w:color="auto"/>
          </w:divBdr>
        </w:div>
        <w:div w:id="1321080042">
          <w:marLeft w:val="480"/>
          <w:marRight w:val="0"/>
          <w:marTop w:val="0"/>
          <w:marBottom w:val="0"/>
          <w:divBdr>
            <w:top w:val="none" w:sz="0" w:space="0" w:color="auto"/>
            <w:left w:val="none" w:sz="0" w:space="0" w:color="auto"/>
            <w:bottom w:val="none" w:sz="0" w:space="0" w:color="auto"/>
            <w:right w:val="none" w:sz="0" w:space="0" w:color="auto"/>
          </w:divBdr>
        </w:div>
        <w:div w:id="1684625658">
          <w:marLeft w:val="480"/>
          <w:marRight w:val="0"/>
          <w:marTop w:val="0"/>
          <w:marBottom w:val="0"/>
          <w:divBdr>
            <w:top w:val="none" w:sz="0" w:space="0" w:color="auto"/>
            <w:left w:val="none" w:sz="0" w:space="0" w:color="auto"/>
            <w:bottom w:val="none" w:sz="0" w:space="0" w:color="auto"/>
            <w:right w:val="none" w:sz="0" w:space="0" w:color="auto"/>
          </w:divBdr>
        </w:div>
        <w:div w:id="176694715">
          <w:marLeft w:val="480"/>
          <w:marRight w:val="0"/>
          <w:marTop w:val="0"/>
          <w:marBottom w:val="0"/>
          <w:divBdr>
            <w:top w:val="none" w:sz="0" w:space="0" w:color="auto"/>
            <w:left w:val="none" w:sz="0" w:space="0" w:color="auto"/>
            <w:bottom w:val="none" w:sz="0" w:space="0" w:color="auto"/>
            <w:right w:val="none" w:sz="0" w:space="0" w:color="auto"/>
          </w:divBdr>
        </w:div>
        <w:div w:id="1894803641">
          <w:marLeft w:val="480"/>
          <w:marRight w:val="0"/>
          <w:marTop w:val="0"/>
          <w:marBottom w:val="0"/>
          <w:divBdr>
            <w:top w:val="none" w:sz="0" w:space="0" w:color="auto"/>
            <w:left w:val="none" w:sz="0" w:space="0" w:color="auto"/>
            <w:bottom w:val="none" w:sz="0" w:space="0" w:color="auto"/>
            <w:right w:val="none" w:sz="0" w:space="0" w:color="auto"/>
          </w:divBdr>
        </w:div>
        <w:div w:id="1286044016">
          <w:marLeft w:val="480"/>
          <w:marRight w:val="0"/>
          <w:marTop w:val="0"/>
          <w:marBottom w:val="0"/>
          <w:divBdr>
            <w:top w:val="none" w:sz="0" w:space="0" w:color="auto"/>
            <w:left w:val="none" w:sz="0" w:space="0" w:color="auto"/>
            <w:bottom w:val="none" w:sz="0" w:space="0" w:color="auto"/>
            <w:right w:val="none" w:sz="0" w:space="0" w:color="auto"/>
          </w:divBdr>
        </w:div>
        <w:div w:id="1101147344">
          <w:marLeft w:val="480"/>
          <w:marRight w:val="0"/>
          <w:marTop w:val="0"/>
          <w:marBottom w:val="0"/>
          <w:divBdr>
            <w:top w:val="none" w:sz="0" w:space="0" w:color="auto"/>
            <w:left w:val="none" w:sz="0" w:space="0" w:color="auto"/>
            <w:bottom w:val="none" w:sz="0" w:space="0" w:color="auto"/>
            <w:right w:val="none" w:sz="0" w:space="0" w:color="auto"/>
          </w:divBdr>
        </w:div>
        <w:div w:id="501971191">
          <w:marLeft w:val="480"/>
          <w:marRight w:val="0"/>
          <w:marTop w:val="0"/>
          <w:marBottom w:val="0"/>
          <w:divBdr>
            <w:top w:val="none" w:sz="0" w:space="0" w:color="auto"/>
            <w:left w:val="none" w:sz="0" w:space="0" w:color="auto"/>
            <w:bottom w:val="none" w:sz="0" w:space="0" w:color="auto"/>
            <w:right w:val="none" w:sz="0" w:space="0" w:color="auto"/>
          </w:divBdr>
        </w:div>
        <w:div w:id="1523392972">
          <w:marLeft w:val="480"/>
          <w:marRight w:val="0"/>
          <w:marTop w:val="0"/>
          <w:marBottom w:val="0"/>
          <w:divBdr>
            <w:top w:val="none" w:sz="0" w:space="0" w:color="auto"/>
            <w:left w:val="none" w:sz="0" w:space="0" w:color="auto"/>
            <w:bottom w:val="none" w:sz="0" w:space="0" w:color="auto"/>
            <w:right w:val="none" w:sz="0" w:space="0" w:color="auto"/>
          </w:divBdr>
        </w:div>
        <w:div w:id="527910288">
          <w:marLeft w:val="480"/>
          <w:marRight w:val="0"/>
          <w:marTop w:val="0"/>
          <w:marBottom w:val="0"/>
          <w:divBdr>
            <w:top w:val="none" w:sz="0" w:space="0" w:color="auto"/>
            <w:left w:val="none" w:sz="0" w:space="0" w:color="auto"/>
            <w:bottom w:val="none" w:sz="0" w:space="0" w:color="auto"/>
            <w:right w:val="none" w:sz="0" w:space="0" w:color="auto"/>
          </w:divBdr>
        </w:div>
        <w:div w:id="923564697">
          <w:marLeft w:val="480"/>
          <w:marRight w:val="0"/>
          <w:marTop w:val="0"/>
          <w:marBottom w:val="0"/>
          <w:divBdr>
            <w:top w:val="none" w:sz="0" w:space="0" w:color="auto"/>
            <w:left w:val="none" w:sz="0" w:space="0" w:color="auto"/>
            <w:bottom w:val="none" w:sz="0" w:space="0" w:color="auto"/>
            <w:right w:val="none" w:sz="0" w:space="0" w:color="auto"/>
          </w:divBdr>
        </w:div>
        <w:div w:id="1462649918">
          <w:marLeft w:val="480"/>
          <w:marRight w:val="0"/>
          <w:marTop w:val="0"/>
          <w:marBottom w:val="0"/>
          <w:divBdr>
            <w:top w:val="none" w:sz="0" w:space="0" w:color="auto"/>
            <w:left w:val="none" w:sz="0" w:space="0" w:color="auto"/>
            <w:bottom w:val="none" w:sz="0" w:space="0" w:color="auto"/>
            <w:right w:val="none" w:sz="0" w:space="0" w:color="auto"/>
          </w:divBdr>
        </w:div>
        <w:div w:id="2051411894">
          <w:marLeft w:val="480"/>
          <w:marRight w:val="0"/>
          <w:marTop w:val="0"/>
          <w:marBottom w:val="0"/>
          <w:divBdr>
            <w:top w:val="none" w:sz="0" w:space="0" w:color="auto"/>
            <w:left w:val="none" w:sz="0" w:space="0" w:color="auto"/>
            <w:bottom w:val="none" w:sz="0" w:space="0" w:color="auto"/>
            <w:right w:val="none" w:sz="0" w:space="0" w:color="auto"/>
          </w:divBdr>
        </w:div>
        <w:div w:id="589312562">
          <w:marLeft w:val="480"/>
          <w:marRight w:val="0"/>
          <w:marTop w:val="0"/>
          <w:marBottom w:val="0"/>
          <w:divBdr>
            <w:top w:val="none" w:sz="0" w:space="0" w:color="auto"/>
            <w:left w:val="none" w:sz="0" w:space="0" w:color="auto"/>
            <w:bottom w:val="none" w:sz="0" w:space="0" w:color="auto"/>
            <w:right w:val="none" w:sz="0" w:space="0" w:color="auto"/>
          </w:divBdr>
        </w:div>
        <w:div w:id="1096902670">
          <w:marLeft w:val="480"/>
          <w:marRight w:val="0"/>
          <w:marTop w:val="0"/>
          <w:marBottom w:val="0"/>
          <w:divBdr>
            <w:top w:val="none" w:sz="0" w:space="0" w:color="auto"/>
            <w:left w:val="none" w:sz="0" w:space="0" w:color="auto"/>
            <w:bottom w:val="none" w:sz="0" w:space="0" w:color="auto"/>
            <w:right w:val="none" w:sz="0" w:space="0" w:color="auto"/>
          </w:divBdr>
        </w:div>
        <w:div w:id="716319693">
          <w:marLeft w:val="480"/>
          <w:marRight w:val="0"/>
          <w:marTop w:val="0"/>
          <w:marBottom w:val="0"/>
          <w:divBdr>
            <w:top w:val="none" w:sz="0" w:space="0" w:color="auto"/>
            <w:left w:val="none" w:sz="0" w:space="0" w:color="auto"/>
            <w:bottom w:val="none" w:sz="0" w:space="0" w:color="auto"/>
            <w:right w:val="none" w:sz="0" w:space="0" w:color="auto"/>
          </w:divBdr>
        </w:div>
        <w:div w:id="457145983">
          <w:marLeft w:val="480"/>
          <w:marRight w:val="0"/>
          <w:marTop w:val="0"/>
          <w:marBottom w:val="0"/>
          <w:divBdr>
            <w:top w:val="none" w:sz="0" w:space="0" w:color="auto"/>
            <w:left w:val="none" w:sz="0" w:space="0" w:color="auto"/>
            <w:bottom w:val="none" w:sz="0" w:space="0" w:color="auto"/>
            <w:right w:val="none" w:sz="0" w:space="0" w:color="auto"/>
          </w:divBdr>
        </w:div>
        <w:div w:id="1267032767">
          <w:marLeft w:val="480"/>
          <w:marRight w:val="0"/>
          <w:marTop w:val="0"/>
          <w:marBottom w:val="0"/>
          <w:divBdr>
            <w:top w:val="none" w:sz="0" w:space="0" w:color="auto"/>
            <w:left w:val="none" w:sz="0" w:space="0" w:color="auto"/>
            <w:bottom w:val="none" w:sz="0" w:space="0" w:color="auto"/>
            <w:right w:val="none" w:sz="0" w:space="0" w:color="auto"/>
          </w:divBdr>
        </w:div>
        <w:div w:id="1021542029">
          <w:marLeft w:val="480"/>
          <w:marRight w:val="0"/>
          <w:marTop w:val="0"/>
          <w:marBottom w:val="0"/>
          <w:divBdr>
            <w:top w:val="none" w:sz="0" w:space="0" w:color="auto"/>
            <w:left w:val="none" w:sz="0" w:space="0" w:color="auto"/>
            <w:bottom w:val="none" w:sz="0" w:space="0" w:color="auto"/>
            <w:right w:val="none" w:sz="0" w:space="0" w:color="auto"/>
          </w:divBdr>
        </w:div>
        <w:div w:id="559169838">
          <w:marLeft w:val="480"/>
          <w:marRight w:val="0"/>
          <w:marTop w:val="0"/>
          <w:marBottom w:val="0"/>
          <w:divBdr>
            <w:top w:val="none" w:sz="0" w:space="0" w:color="auto"/>
            <w:left w:val="none" w:sz="0" w:space="0" w:color="auto"/>
            <w:bottom w:val="none" w:sz="0" w:space="0" w:color="auto"/>
            <w:right w:val="none" w:sz="0" w:space="0" w:color="auto"/>
          </w:divBdr>
        </w:div>
        <w:div w:id="63534726">
          <w:marLeft w:val="480"/>
          <w:marRight w:val="0"/>
          <w:marTop w:val="0"/>
          <w:marBottom w:val="0"/>
          <w:divBdr>
            <w:top w:val="none" w:sz="0" w:space="0" w:color="auto"/>
            <w:left w:val="none" w:sz="0" w:space="0" w:color="auto"/>
            <w:bottom w:val="none" w:sz="0" w:space="0" w:color="auto"/>
            <w:right w:val="none" w:sz="0" w:space="0" w:color="auto"/>
          </w:divBdr>
        </w:div>
        <w:div w:id="45304901">
          <w:marLeft w:val="480"/>
          <w:marRight w:val="0"/>
          <w:marTop w:val="0"/>
          <w:marBottom w:val="0"/>
          <w:divBdr>
            <w:top w:val="none" w:sz="0" w:space="0" w:color="auto"/>
            <w:left w:val="none" w:sz="0" w:space="0" w:color="auto"/>
            <w:bottom w:val="none" w:sz="0" w:space="0" w:color="auto"/>
            <w:right w:val="none" w:sz="0" w:space="0" w:color="auto"/>
          </w:divBdr>
        </w:div>
        <w:div w:id="2009090301">
          <w:marLeft w:val="480"/>
          <w:marRight w:val="0"/>
          <w:marTop w:val="0"/>
          <w:marBottom w:val="0"/>
          <w:divBdr>
            <w:top w:val="none" w:sz="0" w:space="0" w:color="auto"/>
            <w:left w:val="none" w:sz="0" w:space="0" w:color="auto"/>
            <w:bottom w:val="none" w:sz="0" w:space="0" w:color="auto"/>
            <w:right w:val="none" w:sz="0" w:space="0" w:color="auto"/>
          </w:divBdr>
        </w:div>
        <w:div w:id="103154860">
          <w:marLeft w:val="480"/>
          <w:marRight w:val="0"/>
          <w:marTop w:val="0"/>
          <w:marBottom w:val="0"/>
          <w:divBdr>
            <w:top w:val="none" w:sz="0" w:space="0" w:color="auto"/>
            <w:left w:val="none" w:sz="0" w:space="0" w:color="auto"/>
            <w:bottom w:val="none" w:sz="0" w:space="0" w:color="auto"/>
            <w:right w:val="none" w:sz="0" w:space="0" w:color="auto"/>
          </w:divBdr>
        </w:div>
        <w:div w:id="180439352">
          <w:marLeft w:val="480"/>
          <w:marRight w:val="0"/>
          <w:marTop w:val="0"/>
          <w:marBottom w:val="0"/>
          <w:divBdr>
            <w:top w:val="none" w:sz="0" w:space="0" w:color="auto"/>
            <w:left w:val="none" w:sz="0" w:space="0" w:color="auto"/>
            <w:bottom w:val="none" w:sz="0" w:space="0" w:color="auto"/>
            <w:right w:val="none" w:sz="0" w:space="0" w:color="auto"/>
          </w:divBdr>
        </w:div>
        <w:div w:id="1305350518">
          <w:marLeft w:val="480"/>
          <w:marRight w:val="0"/>
          <w:marTop w:val="0"/>
          <w:marBottom w:val="0"/>
          <w:divBdr>
            <w:top w:val="none" w:sz="0" w:space="0" w:color="auto"/>
            <w:left w:val="none" w:sz="0" w:space="0" w:color="auto"/>
            <w:bottom w:val="none" w:sz="0" w:space="0" w:color="auto"/>
            <w:right w:val="none" w:sz="0" w:space="0" w:color="auto"/>
          </w:divBdr>
        </w:div>
        <w:div w:id="588928368">
          <w:marLeft w:val="480"/>
          <w:marRight w:val="0"/>
          <w:marTop w:val="0"/>
          <w:marBottom w:val="0"/>
          <w:divBdr>
            <w:top w:val="none" w:sz="0" w:space="0" w:color="auto"/>
            <w:left w:val="none" w:sz="0" w:space="0" w:color="auto"/>
            <w:bottom w:val="none" w:sz="0" w:space="0" w:color="auto"/>
            <w:right w:val="none" w:sz="0" w:space="0" w:color="auto"/>
          </w:divBdr>
        </w:div>
        <w:div w:id="1517690667">
          <w:marLeft w:val="480"/>
          <w:marRight w:val="0"/>
          <w:marTop w:val="0"/>
          <w:marBottom w:val="0"/>
          <w:divBdr>
            <w:top w:val="none" w:sz="0" w:space="0" w:color="auto"/>
            <w:left w:val="none" w:sz="0" w:space="0" w:color="auto"/>
            <w:bottom w:val="none" w:sz="0" w:space="0" w:color="auto"/>
            <w:right w:val="none" w:sz="0" w:space="0" w:color="auto"/>
          </w:divBdr>
        </w:div>
        <w:div w:id="213007285">
          <w:marLeft w:val="480"/>
          <w:marRight w:val="0"/>
          <w:marTop w:val="0"/>
          <w:marBottom w:val="0"/>
          <w:divBdr>
            <w:top w:val="none" w:sz="0" w:space="0" w:color="auto"/>
            <w:left w:val="none" w:sz="0" w:space="0" w:color="auto"/>
            <w:bottom w:val="none" w:sz="0" w:space="0" w:color="auto"/>
            <w:right w:val="none" w:sz="0" w:space="0" w:color="auto"/>
          </w:divBdr>
        </w:div>
        <w:div w:id="319506330">
          <w:marLeft w:val="480"/>
          <w:marRight w:val="0"/>
          <w:marTop w:val="0"/>
          <w:marBottom w:val="0"/>
          <w:divBdr>
            <w:top w:val="none" w:sz="0" w:space="0" w:color="auto"/>
            <w:left w:val="none" w:sz="0" w:space="0" w:color="auto"/>
            <w:bottom w:val="none" w:sz="0" w:space="0" w:color="auto"/>
            <w:right w:val="none" w:sz="0" w:space="0" w:color="auto"/>
          </w:divBdr>
        </w:div>
        <w:div w:id="823399663">
          <w:marLeft w:val="480"/>
          <w:marRight w:val="0"/>
          <w:marTop w:val="0"/>
          <w:marBottom w:val="0"/>
          <w:divBdr>
            <w:top w:val="none" w:sz="0" w:space="0" w:color="auto"/>
            <w:left w:val="none" w:sz="0" w:space="0" w:color="auto"/>
            <w:bottom w:val="none" w:sz="0" w:space="0" w:color="auto"/>
            <w:right w:val="none" w:sz="0" w:space="0" w:color="auto"/>
          </w:divBdr>
        </w:div>
        <w:div w:id="382144047">
          <w:marLeft w:val="480"/>
          <w:marRight w:val="0"/>
          <w:marTop w:val="0"/>
          <w:marBottom w:val="0"/>
          <w:divBdr>
            <w:top w:val="none" w:sz="0" w:space="0" w:color="auto"/>
            <w:left w:val="none" w:sz="0" w:space="0" w:color="auto"/>
            <w:bottom w:val="none" w:sz="0" w:space="0" w:color="auto"/>
            <w:right w:val="none" w:sz="0" w:space="0" w:color="auto"/>
          </w:divBdr>
        </w:div>
        <w:div w:id="1106314817">
          <w:marLeft w:val="480"/>
          <w:marRight w:val="0"/>
          <w:marTop w:val="0"/>
          <w:marBottom w:val="0"/>
          <w:divBdr>
            <w:top w:val="none" w:sz="0" w:space="0" w:color="auto"/>
            <w:left w:val="none" w:sz="0" w:space="0" w:color="auto"/>
            <w:bottom w:val="none" w:sz="0" w:space="0" w:color="auto"/>
            <w:right w:val="none" w:sz="0" w:space="0" w:color="auto"/>
          </w:divBdr>
        </w:div>
        <w:div w:id="2093309387">
          <w:marLeft w:val="480"/>
          <w:marRight w:val="0"/>
          <w:marTop w:val="0"/>
          <w:marBottom w:val="0"/>
          <w:divBdr>
            <w:top w:val="none" w:sz="0" w:space="0" w:color="auto"/>
            <w:left w:val="none" w:sz="0" w:space="0" w:color="auto"/>
            <w:bottom w:val="none" w:sz="0" w:space="0" w:color="auto"/>
            <w:right w:val="none" w:sz="0" w:space="0" w:color="auto"/>
          </w:divBdr>
        </w:div>
        <w:div w:id="1925259511">
          <w:marLeft w:val="480"/>
          <w:marRight w:val="0"/>
          <w:marTop w:val="0"/>
          <w:marBottom w:val="0"/>
          <w:divBdr>
            <w:top w:val="none" w:sz="0" w:space="0" w:color="auto"/>
            <w:left w:val="none" w:sz="0" w:space="0" w:color="auto"/>
            <w:bottom w:val="none" w:sz="0" w:space="0" w:color="auto"/>
            <w:right w:val="none" w:sz="0" w:space="0" w:color="auto"/>
          </w:divBdr>
        </w:div>
        <w:div w:id="1005472604">
          <w:marLeft w:val="480"/>
          <w:marRight w:val="0"/>
          <w:marTop w:val="0"/>
          <w:marBottom w:val="0"/>
          <w:divBdr>
            <w:top w:val="none" w:sz="0" w:space="0" w:color="auto"/>
            <w:left w:val="none" w:sz="0" w:space="0" w:color="auto"/>
            <w:bottom w:val="none" w:sz="0" w:space="0" w:color="auto"/>
            <w:right w:val="none" w:sz="0" w:space="0" w:color="auto"/>
          </w:divBdr>
        </w:div>
        <w:div w:id="389112635">
          <w:marLeft w:val="480"/>
          <w:marRight w:val="0"/>
          <w:marTop w:val="0"/>
          <w:marBottom w:val="0"/>
          <w:divBdr>
            <w:top w:val="none" w:sz="0" w:space="0" w:color="auto"/>
            <w:left w:val="none" w:sz="0" w:space="0" w:color="auto"/>
            <w:bottom w:val="none" w:sz="0" w:space="0" w:color="auto"/>
            <w:right w:val="none" w:sz="0" w:space="0" w:color="auto"/>
          </w:divBdr>
        </w:div>
        <w:div w:id="2009940822">
          <w:marLeft w:val="480"/>
          <w:marRight w:val="0"/>
          <w:marTop w:val="0"/>
          <w:marBottom w:val="0"/>
          <w:divBdr>
            <w:top w:val="none" w:sz="0" w:space="0" w:color="auto"/>
            <w:left w:val="none" w:sz="0" w:space="0" w:color="auto"/>
            <w:bottom w:val="none" w:sz="0" w:space="0" w:color="auto"/>
            <w:right w:val="none" w:sz="0" w:space="0" w:color="auto"/>
          </w:divBdr>
        </w:div>
        <w:div w:id="2061055960">
          <w:marLeft w:val="480"/>
          <w:marRight w:val="0"/>
          <w:marTop w:val="0"/>
          <w:marBottom w:val="0"/>
          <w:divBdr>
            <w:top w:val="none" w:sz="0" w:space="0" w:color="auto"/>
            <w:left w:val="none" w:sz="0" w:space="0" w:color="auto"/>
            <w:bottom w:val="none" w:sz="0" w:space="0" w:color="auto"/>
            <w:right w:val="none" w:sz="0" w:space="0" w:color="auto"/>
          </w:divBdr>
        </w:div>
        <w:div w:id="1326742920">
          <w:marLeft w:val="480"/>
          <w:marRight w:val="0"/>
          <w:marTop w:val="0"/>
          <w:marBottom w:val="0"/>
          <w:divBdr>
            <w:top w:val="none" w:sz="0" w:space="0" w:color="auto"/>
            <w:left w:val="none" w:sz="0" w:space="0" w:color="auto"/>
            <w:bottom w:val="none" w:sz="0" w:space="0" w:color="auto"/>
            <w:right w:val="none" w:sz="0" w:space="0" w:color="auto"/>
          </w:divBdr>
        </w:div>
        <w:div w:id="422727829">
          <w:marLeft w:val="480"/>
          <w:marRight w:val="0"/>
          <w:marTop w:val="0"/>
          <w:marBottom w:val="0"/>
          <w:divBdr>
            <w:top w:val="none" w:sz="0" w:space="0" w:color="auto"/>
            <w:left w:val="none" w:sz="0" w:space="0" w:color="auto"/>
            <w:bottom w:val="none" w:sz="0" w:space="0" w:color="auto"/>
            <w:right w:val="none" w:sz="0" w:space="0" w:color="auto"/>
          </w:divBdr>
        </w:div>
        <w:div w:id="2368111">
          <w:marLeft w:val="480"/>
          <w:marRight w:val="0"/>
          <w:marTop w:val="0"/>
          <w:marBottom w:val="0"/>
          <w:divBdr>
            <w:top w:val="none" w:sz="0" w:space="0" w:color="auto"/>
            <w:left w:val="none" w:sz="0" w:space="0" w:color="auto"/>
            <w:bottom w:val="none" w:sz="0" w:space="0" w:color="auto"/>
            <w:right w:val="none" w:sz="0" w:space="0" w:color="auto"/>
          </w:divBdr>
        </w:div>
        <w:div w:id="1625773310">
          <w:marLeft w:val="480"/>
          <w:marRight w:val="0"/>
          <w:marTop w:val="0"/>
          <w:marBottom w:val="0"/>
          <w:divBdr>
            <w:top w:val="none" w:sz="0" w:space="0" w:color="auto"/>
            <w:left w:val="none" w:sz="0" w:space="0" w:color="auto"/>
            <w:bottom w:val="none" w:sz="0" w:space="0" w:color="auto"/>
            <w:right w:val="none" w:sz="0" w:space="0" w:color="auto"/>
          </w:divBdr>
        </w:div>
        <w:div w:id="2065710685">
          <w:marLeft w:val="480"/>
          <w:marRight w:val="0"/>
          <w:marTop w:val="0"/>
          <w:marBottom w:val="0"/>
          <w:divBdr>
            <w:top w:val="none" w:sz="0" w:space="0" w:color="auto"/>
            <w:left w:val="none" w:sz="0" w:space="0" w:color="auto"/>
            <w:bottom w:val="none" w:sz="0" w:space="0" w:color="auto"/>
            <w:right w:val="none" w:sz="0" w:space="0" w:color="auto"/>
          </w:divBdr>
        </w:div>
        <w:div w:id="345838077">
          <w:marLeft w:val="480"/>
          <w:marRight w:val="0"/>
          <w:marTop w:val="0"/>
          <w:marBottom w:val="0"/>
          <w:divBdr>
            <w:top w:val="none" w:sz="0" w:space="0" w:color="auto"/>
            <w:left w:val="none" w:sz="0" w:space="0" w:color="auto"/>
            <w:bottom w:val="none" w:sz="0" w:space="0" w:color="auto"/>
            <w:right w:val="none" w:sz="0" w:space="0" w:color="auto"/>
          </w:divBdr>
        </w:div>
        <w:div w:id="1476868718">
          <w:marLeft w:val="480"/>
          <w:marRight w:val="0"/>
          <w:marTop w:val="0"/>
          <w:marBottom w:val="0"/>
          <w:divBdr>
            <w:top w:val="none" w:sz="0" w:space="0" w:color="auto"/>
            <w:left w:val="none" w:sz="0" w:space="0" w:color="auto"/>
            <w:bottom w:val="none" w:sz="0" w:space="0" w:color="auto"/>
            <w:right w:val="none" w:sz="0" w:space="0" w:color="auto"/>
          </w:divBdr>
        </w:div>
        <w:div w:id="2078549874">
          <w:marLeft w:val="480"/>
          <w:marRight w:val="0"/>
          <w:marTop w:val="0"/>
          <w:marBottom w:val="0"/>
          <w:divBdr>
            <w:top w:val="none" w:sz="0" w:space="0" w:color="auto"/>
            <w:left w:val="none" w:sz="0" w:space="0" w:color="auto"/>
            <w:bottom w:val="none" w:sz="0" w:space="0" w:color="auto"/>
            <w:right w:val="none" w:sz="0" w:space="0" w:color="auto"/>
          </w:divBdr>
        </w:div>
        <w:div w:id="2081780623">
          <w:marLeft w:val="480"/>
          <w:marRight w:val="0"/>
          <w:marTop w:val="0"/>
          <w:marBottom w:val="0"/>
          <w:divBdr>
            <w:top w:val="none" w:sz="0" w:space="0" w:color="auto"/>
            <w:left w:val="none" w:sz="0" w:space="0" w:color="auto"/>
            <w:bottom w:val="none" w:sz="0" w:space="0" w:color="auto"/>
            <w:right w:val="none" w:sz="0" w:space="0" w:color="auto"/>
          </w:divBdr>
        </w:div>
        <w:div w:id="1950817418">
          <w:marLeft w:val="480"/>
          <w:marRight w:val="0"/>
          <w:marTop w:val="0"/>
          <w:marBottom w:val="0"/>
          <w:divBdr>
            <w:top w:val="none" w:sz="0" w:space="0" w:color="auto"/>
            <w:left w:val="none" w:sz="0" w:space="0" w:color="auto"/>
            <w:bottom w:val="none" w:sz="0" w:space="0" w:color="auto"/>
            <w:right w:val="none" w:sz="0" w:space="0" w:color="auto"/>
          </w:divBdr>
        </w:div>
        <w:div w:id="759252707">
          <w:marLeft w:val="480"/>
          <w:marRight w:val="0"/>
          <w:marTop w:val="0"/>
          <w:marBottom w:val="0"/>
          <w:divBdr>
            <w:top w:val="none" w:sz="0" w:space="0" w:color="auto"/>
            <w:left w:val="none" w:sz="0" w:space="0" w:color="auto"/>
            <w:bottom w:val="none" w:sz="0" w:space="0" w:color="auto"/>
            <w:right w:val="none" w:sz="0" w:space="0" w:color="auto"/>
          </w:divBdr>
        </w:div>
        <w:div w:id="1822963612">
          <w:marLeft w:val="480"/>
          <w:marRight w:val="0"/>
          <w:marTop w:val="0"/>
          <w:marBottom w:val="0"/>
          <w:divBdr>
            <w:top w:val="none" w:sz="0" w:space="0" w:color="auto"/>
            <w:left w:val="none" w:sz="0" w:space="0" w:color="auto"/>
            <w:bottom w:val="none" w:sz="0" w:space="0" w:color="auto"/>
            <w:right w:val="none" w:sz="0" w:space="0" w:color="auto"/>
          </w:divBdr>
        </w:div>
        <w:div w:id="1145925019">
          <w:marLeft w:val="480"/>
          <w:marRight w:val="0"/>
          <w:marTop w:val="0"/>
          <w:marBottom w:val="0"/>
          <w:divBdr>
            <w:top w:val="none" w:sz="0" w:space="0" w:color="auto"/>
            <w:left w:val="none" w:sz="0" w:space="0" w:color="auto"/>
            <w:bottom w:val="none" w:sz="0" w:space="0" w:color="auto"/>
            <w:right w:val="none" w:sz="0" w:space="0" w:color="auto"/>
          </w:divBdr>
        </w:div>
        <w:div w:id="658537397">
          <w:marLeft w:val="480"/>
          <w:marRight w:val="0"/>
          <w:marTop w:val="0"/>
          <w:marBottom w:val="0"/>
          <w:divBdr>
            <w:top w:val="none" w:sz="0" w:space="0" w:color="auto"/>
            <w:left w:val="none" w:sz="0" w:space="0" w:color="auto"/>
            <w:bottom w:val="none" w:sz="0" w:space="0" w:color="auto"/>
            <w:right w:val="none" w:sz="0" w:space="0" w:color="auto"/>
          </w:divBdr>
        </w:div>
        <w:div w:id="2030177797">
          <w:marLeft w:val="480"/>
          <w:marRight w:val="0"/>
          <w:marTop w:val="0"/>
          <w:marBottom w:val="0"/>
          <w:divBdr>
            <w:top w:val="none" w:sz="0" w:space="0" w:color="auto"/>
            <w:left w:val="none" w:sz="0" w:space="0" w:color="auto"/>
            <w:bottom w:val="none" w:sz="0" w:space="0" w:color="auto"/>
            <w:right w:val="none" w:sz="0" w:space="0" w:color="auto"/>
          </w:divBdr>
        </w:div>
        <w:div w:id="1881816184">
          <w:marLeft w:val="480"/>
          <w:marRight w:val="0"/>
          <w:marTop w:val="0"/>
          <w:marBottom w:val="0"/>
          <w:divBdr>
            <w:top w:val="none" w:sz="0" w:space="0" w:color="auto"/>
            <w:left w:val="none" w:sz="0" w:space="0" w:color="auto"/>
            <w:bottom w:val="none" w:sz="0" w:space="0" w:color="auto"/>
            <w:right w:val="none" w:sz="0" w:space="0" w:color="auto"/>
          </w:divBdr>
        </w:div>
        <w:div w:id="1145242975">
          <w:marLeft w:val="480"/>
          <w:marRight w:val="0"/>
          <w:marTop w:val="0"/>
          <w:marBottom w:val="0"/>
          <w:divBdr>
            <w:top w:val="none" w:sz="0" w:space="0" w:color="auto"/>
            <w:left w:val="none" w:sz="0" w:space="0" w:color="auto"/>
            <w:bottom w:val="none" w:sz="0" w:space="0" w:color="auto"/>
            <w:right w:val="none" w:sz="0" w:space="0" w:color="auto"/>
          </w:divBdr>
        </w:div>
        <w:div w:id="1858498192">
          <w:marLeft w:val="480"/>
          <w:marRight w:val="0"/>
          <w:marTop w:val="0"/>
          <w:marBottom w:val="0"/>
          <w:divBdr>
            <w:top w:val="none" w:sz="0" w:space="0" w:color="auto"/>
            <w:left w:val="none" w:sz="0" w:space="0" w:color="auto"/>
            <w:bottom w:val="none" w:sz="0" w:space="0" w:color="auto"/>
            <w:right w:val="none" w:sz="0" w:space="0" w:color="auto"/>
          </w:divBdr>
        </w:div>
        <w:div w:id="1192232096">
          <w:marLeft w:val="480"/>
          <w:marRight w:val="0"/>
          <w:marTop w:val="0"/>
          <w:marBottom w:val="0"/>
          <w:divBdr>
            <w:top w:val="none" w:sz="0" w:space="0" w:color="auto"/>
            <w:left w:val="none" w:sz="0" w:space="0" w:color="auto"/>
            <w:bottom w:val="none" w:sz="0" w:space="0" w:color="auto"/>
            <w:right w:val="none" w:sz="0" w:space="0" w:color="auto"/>
          </w:divBdr>
        </w:div>
        <w:div w:id="1057821645">
          <w:marLeft w:val="480"/>
          <w:marRight w:val="0"/>
          <w:marTop w:val="0"/>
          <w:marBottom w:val="0"/>
          <w:divBdr>
            <w:top w:val="none" w:sz="0" w:space="0" w:color="auto"/>
            <w:left w:val="none" w:sz="0" w:space="0" w:color="auto"/>
            <w:bottom w:val="none" w:sz="0" w:space="0" w:color="auto"/>
            <w:right w:val="none" w:sz="0" w:space="0" w:color="auto"/>
          </w:divBdr>
        </w:div>
        <w:div w:id="1525245776">
          <w:marLeft w:val="480"/>
          <w:marRight w:val="0"/>
          <w:marTop w:val="0"/>
          <w:marBottom w:val="0"/>
          <w:divBdr>
            <w:top w:val="none" w:sz="0" w:space="0" w:color="auto"/>
            <w:left w:val="none" w:sz="0" w:space="0" w:color="auto"/>
            <w:bottom w:val="none" w:sz="0" w:space="0" w:color="auto"/>
            <w:right w:val="none" w:sz="0" w:space="0" w:color="auto"/>
          </w:divBdr>
        </w:div>
        <w:div w:id="2052415481">
          <w:marLeft w:val="480"/>
          <w:marRight w:val="0"/>
          <w:marTop w:val="0"/>
          <w:marBottom w:val="0"/>
          <w:divBdr>
            <w:top w:val="none" w:sz="0" w:space="0" w:color="auto"/>
            <w:left w:val="none" w:sz="0" w:space="0" w:color="auto"/>
            <w:bottom w:val="none" w:sz="0" w:space="0" w:color="auto"/>
            <w:right w:val="none" w:sz="0" w:space="0" w:color="auto"/>
          </w:divBdr>
        </w:div>
        <w:div w:id="2050642202">
          <w:marLeft w:val="480"/>
          <w:marRight w:val="0"/>
          <w:marTop w:val="0"/>
          <w:marBottom w:val="0"/>
          <w:divBdr>
            <w:top w:val="none" w:sz="0" w:space="0" w:color="auto"/>
            <w:left w:val="none" w:sz="0" w:space="0" w:color="auto"/>
            <w:bottom w:val="none" w:sz="0" w:space="0" w:color="auto"/>
            <w:right w:val="none" w:sz="0" w:space="0" w:color="auto"/>
          </w:divBdr>
        </w:div>
        <w:div w:id="1462573909">
          <w:marLeft w:val="480"/>
          <w:marRight w:val="0"/>
          <w:marTop w:val="0"/>
          <w:marBottom w:val="0"/>
          <w:divBdr>
            <w:top w:val="none" w:sz="0" w:space="0" w:color="auto"/>
            <w:left w:val="none" w:sz="0" w:space="0" w:color="auto"/>
            <w:bottom w:val="none" w:sz="0" w:space="0" w:color="auto"/>
            <w:right w:val="none" w:sz="0" w:space="0" w:color="auto"/>
          </w:divBdr>
        </w:div>
        <w:div w:id="534540883">
          <w:marLeft w:val="480"/>
          <w:marRight w:val="0"/>
          <w:marTop w:val="0"/>
          <w:marBottom w:val="0"/>
          <w:divBdr>
            <w:top w:val="none" w:sz="0" w:space="0" w:color="auto"/>
            <w:left w:val="none" w:sz="0" w:space="0" w:color="auto"/>
            <w:bottom w:val="none" w:sz="0" w:space="0" w:color="auto"/>
            <w:right w:val="none" w:sz="0" w:space="0" w:color="auto"/>
          </w:divBdr>
        </w:div>
        <w:div w:id="1086196968">
          <w:marLeft w:val="480"/>
          <w:marRight w:val="0"/>
          <w:marTop w:val="0"/>
          <w:marBottom w:val="0"/>
          <w:divBdr>
            <w:top w:val="none" w:sz="0" w:space="0" w:color="auto"/>
            <w:left w:val="none" w:sz="0" w:space="0" w:color="auto"/>
            <w:bottom w:val="none" w:sz="0" w:space="0" w:color="auto"/>
            <w:right w:val="none" w:sz="0" w:space="0" w:color="auto"/>
          </w:divBdr>
        </w:div>
        <w:div w:id="1650405400">
          <w:marLeft w:val="480"/>
          <w:marRight w:val="0"/>
          <w:marTop w:val="0"/>
          <w:marBottom w:val="0"/>
          <w:divBdr>
            <w:top w:val="none" w:sz="0" w:space="0" w:color="auto"/>
            <w:left w:val="none" w:sz="0" w:space="0" w:color="auto"/>
            <w:bottom w:val="none" w:sz="0" w:space="0" w:color="auto"/>
            <w:right w:val="none" w:sz="0" w:space="0" w:color="auto"/>
          </w:divBdr>
        </w:div>
        <w:div w:id="399209986">
          <w:marLeft w:val="480"/>
          <w:marRight w:val="0"/>
          <w:marTop w:val="0"/>
          <w:marBottom w:val="0"/>
          <w:divBdr>
            <w:top w:val="none" w:sz="0" w:space="0" w:color="auto"/>
            <w:left w:val="none" w:sz="0" w:space="0" w:color="auto"/>
            <w:bottom w:val="none" w:sz="0" w:space="0" w:color="auto"/>
            <w:right w:val="none" w:sz="0" w:space="0" w:color="auto"/>
          </w:divBdr>
        </w:div>
        <w:div w:id="1635135167">
          <w:marLeft w:val="480"/>
          <w:marRight w:val="0"/>
          <w:marTop w:val="0"/>
          <w:marBottom w:val="0"/>
          <w:divBdr>
            <w:top w:val="none" w:sz="0" w:space="0" w:color="auto"/>
            <w:left w:val="none" w:sz="0" w:space="0" w:color="auto"/>
            <w:bottom w:val="none" w:sz="0" w:space="0" w:color="auto"/>
            <w:right w:val="none" w:sz="0" w:space="0" w:color="auto"/>
          </w:divBdr>
        </w:div>
        <w:div w:id="483278346">
          <w:marLeft w:val="480"/>
          <w:marRight w:val="0"/>
          <w:marTop w:val="0"/>
          <w:marBottom w:val="0"/>
          <w:divBdr>
            <w:top w:val="none" w:sz="0" w:space="0" w:color="auto"/>
            <w:left w:val="none" w:sz="0" w:space="0" w:color="auto"/>
            <w:bottom w:val="none" w:sz="0" w:space="0" w:color="auto"/>
            <w:right w:val="none" w:sz="0" w:space="0" w:color="auto"/>
          </w:divBdr>
        </w:div>
        <w:div w:id="1476875880">
          <w:marLeft w:val="480"/>
          <w:marRight w:val="0"/>
          <w:marTop w:val="0"/>
          <w:marBottom w:val="0"/>
          <w:divBdr>
            <w:top w:val="none" w:sz="0" w:space="0" w:color="auto"/>
            <w:left w:val="none" w:sz="0" w:space="0" w:color="auto"/>
            <w:bottom w:val="none" w:sz="0" w:space="0" w:color="auto"/>
            <w:right w:val="none" w:sz="0" w:space="0" w:color="auto"/>
          </w:divBdr>
        </w:div>
        <w:div w:id="1716005609">
          <w:marLeft w:val="480"/>
          <w:marRight w:val="0"/>
          <w:marTop w:val="0"/>
          <w:marBottom w:val="0"/>
          <w:divBdr>
            <w:top w:val="none" w:sz="0" w:space="0" w:color="auto"/>
            <w:left w:val="none" w:sz="0" w:space="0" w:color="auto"/>
            <w:bottom w:val="none" w:sz="0" w:space="0" w:color="auto"/>
            <w:right w:val="none" w:sz="0" w:space="0" w:color="auto"/>
          </w:divBdr>
        </w:div>
        <w:div w:id="881791547">
          <w:marLeft w:val="480"/>
          <w:marRight w:val="0"/>
          <w:marTop w:val="0"/>
          <w:marBottom w:val="0"/>
          <w:divBdr>
            <w:top w:val="none" w:sz="0" w:space="0" w:color="auto"/>
            <w:left w:val="none" w:sz="0" w:space="0" w:color="auto"/>
            <w:bottom w:val="none" w:sz="0" w:space="0" w:color="auto"/>
            <w:right w:val="none" w:sz="0" w:space="0" w:color="auto"/>
          </w:divBdr>
        </w:div>
        <w:div w:id="802118049">
          <w:marLeft w:val="480"/>
          <w:marRight w:val="0"/>
          <w:marTop w:val="0"/>
          <w:marBottom w:val="0"/>
          <w:divBdr>
            <w:top w:val="none" w:sz="0" w:space="0" w:color="auto"/>
            <w:left w:val="none" w:sz="0" w:space="0" w:color="auto"/>
            <w:bottom w:val="none" w:sz="0" w:space="0" w:color="auto"/>
            <w:right w:val="none" w:sz="0" w:space="0" w:color="auto"/>
          </w:divBdr>
        </w:div>
        <w:div w:id="466892787">
          <w:marLeft w:val="480"/>
          <w:marRight w:val="0"/>
          <w:marTop w:val="0"/>
          <w:marBottom w:val="0"/>
          <w:divBdr>
            <w:top w:val="none" w:sz="0" w:space="0" w:color="auto"/>
            <w:left w:val="none" w:sz="0" w:space="0" w:color="auto"/>
            <w:bottom w:val="none" w:sz="0" w:space="0" w:color="auto"/>
            <w:right w:val="none" w:sz="0" w:space="0" w:color="auto"/>
          </w:divBdr>
        </w:div>
        <w:div w:id="4941589">
          <w:marLeft w:val="480"/>
          <w:marRight w:val="0"/>
          <w:marTop w:val="0"/>
          <w:marBottom w:val="0"/>
          <w:divBdr>
            <w:top w:val="none" w:sz="0" w:space="0" w:color="auto"/>
            <w:left w:val="none" w:sz="0" w:space="0" w:color="auto"/>
            <w:bottom w:val="none" w:sz="0" w:space="0" w:color="auto"/>
            <w:right w:val="none" w:sz="0" w:space="0" w:color="auto"/>
          </w:divBdr>
        </w:div>
        <w:div w:id="1109200489">
          <w:marLeft w:val="480"/>
          <w:marRight w:val="0"/>
          <w:marTop w:val="0"/>
          <w:marBottom w:val="0"/>
          <w:divBdr>
            <w:top w:val="none" w:sz="0" w:space="0" w:color="auto"/>
            <w:left w:val="none" w:sz="0" w:space="0" w:color="auto"/>
            <w:bottom w:val="none" w:sz="0" w:space="0" w:color="auto"/>
            <w:right w:val="none" w:sz="0" w:space="0" w:color="auto"/>
          </w:divBdr>
        </w:div>
        <w:div w:id="34696588">
          <w:marLeft w:val="480"/>
          <w:marRight w:val="0"/>
          <w:marTop w:val="0"/>
          <w:marBottom w:val="0"/>
          <w:divBdr>
            <w:top w:val="none" w:sz="0" w:space="0" w:color="auto"/>
            <w:left w:val="none" w:sz="0" w:space="0" w:color="auto"/>
            <w:bottom w:val="none" w:sz="0" w:space="0" w:color="auto"/>
            <w:right w:val="none" w:sz="0" w:space="0" w:color="auto"/>
          </w:divBdr>
        </w:div>
        <w:div w:id="1730641880">
          <w:marLeft w:val="480"/>
          <w:marRight w:val="0"/>
          <w:marTop w:val="0"/>
          <w:marBottom w:val="0"/>
          <w:divBdr>
            <w:top w:val="none" w:sz="0" w:space="0" w:color="auto"/>
            <w:left w:val="none" w:sz="0" w:space="0" w:color="auto"/>
            <w:bottom w:val="none" w:sz="0" w:space="0" w:color="auto"/>
            <w:right w:val="none" w:sz="0" w:space="0" w:color="auto"/>
          </w:divBdr>
        </w:div>
        <w:div w:id="1505051653">
          <w:marLeft w:val="480"/>
          <w:marRight w:val="0"/>
          <w:marTop w:val="0"/>
          <w:marBottom w:val="0"/>
          <w:divBdr>
            <w:top w:val="none" w:sz="0" w:space="0" w:color="auto"/>
            <w:left w:val="none" w:sz="0" w:space="0" w:color="auto"/>
            <w:bottom w:val="none" w:sz="0" w:space="0" w:color="auto"/>
            <w:right w:val="none" w:sz="0" w:space="0" w:color="auto"/>
          </w:divBdr>
        </w:div>
        <w:div w:id="1601332717">
          <w:marLeft w:val="480"/>
          <w:marRight w:val="0"/>
          <w:marTop w:val="0"/>
          <w:marBottom w:val="0"/>
          <w:divBdr>
            <w:top w:val="none" w:sz="0" w:space="0" w:color="auto"/>
            <w:left w:val="none" w:sz="0" w:space="0" w:color="auto"/>
            <w:bottom w:val="none" w:sz="0" w:space="0" w:color="auto"/>
            <w:right w:val="none" w:sz="0" w:space="0" w:color="auto"/>
          </w:divBdr>
        </w:div>
        <w:div w:id="1680768143">
          <w:marLeft w:val="480"/>
          <w:marRight w:val="0"/>
          <w:marTop w:val="0"/>
          <w:marBottom w:val="0"/>
          <w:divBdr>
            <w:top w:val="none" w:sz="0" w:space="0" w:color="auto"/>
            <w:left w:val="none" w:sz="0" w:space="0" w:color="auto"/>
            <w:bottom w:val="none" w:sz="0" w:space="0" w:color="auto"/>
            <w:right w:val="none" w:sz="0" w:space="0" w:color="auto"/>
          </w:divBdr>
        </w:div>
        <w:div w:id="1870684896">
          <w:marLeft w:val="480"/>
          <w:marRight w:val="0"/>
          <w:marTop w:val="0"/>
          <w:marBottom w:val="0"/>
          <w:divBdr>
            <w:top w:val="none" w:sz="0" w:space="0" w:color="auto"/>
            <w:left w:val="none" w:sz="0" w:space="0" w:color="auto"/>
            <w:bottom w:val="none" w:sz="0" w:space="0" w:color="auto"/>
            <w:right w:val="none" w:sz="0" w:space="0" w:color="auto"/>
          </w:divBdr>
        </w:div>
        <w:div w:id="1389183372">
          <w:marLeft w:val="480"/>
          <w:marRight w:val="0"/>
          <w:marTop w:val="0"/>
          <w:marBottom w:val="0"/>
          <w:divBdr>
            <w:top w:val="none" w:sz="0" w:space="0" w:color="auto"/>
            <w:left w:val="none" w:sz="0" w:space="0" w:color="auto"/>
            <w:bottom w:val="none" w:sz="0" w:space="0" w:color="auto"/>
            <w:right w:val="none" w:sz="0" w:space="0" w:color="auto"/>
          </w:divBdr>
        </w:div>
        <w:div w:id="1883977530">
          <w:marLeft w:val="480"/>
          <w:marRight w:val="0"/>
          <w:marTop w:val="0"/>
          <w:marBottom w:val="0"/>
          <w:divBdr>
            <w:top w:val="none" w:sz="0" w:space="0" w:color="auto"/>
            <w:left w:val="none" w:sz="0" w:space="0" w:color="auto"/>
            <w:bottom w:val="none" w:sz="0" w:space="0" w:color="auto"/>
            <w:right w:val="none" w:sz="0" w:space="0" w:color="auto"/>
          </w:divBdr>
        </w:div>
        <w:div w:id="1417629470">
          <w:marLeft w:val="480"/>
          <w:marRight w:val="0"/>
          <w:marTop w:val="0"/>
          <w:marBottom w:val="0"/>
          <w:divBdr>
            <w:top w:val="none" w:sz="0" w:space="0" w:color="auto"/>
            <w:left w:val="none" w:sz="0" w:space="0" w:color="auto"/>
            <w:bottom w:val="none" w:sz="0" w:space="0" w:color="auto"/>
            <w:right w:val="none" w:sz="0" w:space="0" w:color="auto"/>
          </w:divBdr>
        </w:div>
        <w:div w:id="320281350">
          <w:marLeft w:val="480"/>
          <w:marRight w:val="0"/>
          <w:marTop w:val="0"/>
          <w:marBottom w:val="0"/>
          <w:divBdr>
            <w:top w:val="none" w:sz="0" w:space="0" w:color="auto"/>
            <w:left w:val="none" w:sz="0" w:space="0" w:color="auto"/>
            <w:bottom w:val="none" w:sz="0" w:space="0" w:color="auto"/>
            <w:right w:val="none" w:sz="0" w:space="0" w:color="auto"/>
          </w:divBdr>
        </w:div>
        <w:div w:id="1392776852">
          <w:marLeft w:val="480"/>
          <w:marRight w:val="0"/>
          <w:marTop w:val="0"/>
          <w:marBottom w:val="0"/>
          <w:divBdr>
            <w:top w:val="none" w:sz="0" w:space="0" w:color="auto"/>
            <w:left w:val="none" w:sz="0" w:space="0" w:color="auto"/>
            <w:bottom w:val="none" w:sz="0" w:space="0" w:color="auto"/>
            <w:right w:val="none" w:sz="0" w:space="0" w:color="auto"/>
          </w:divBdr>
        </w:div>
        <w:div w:id="1769539041">
          <w:marLeft w:val="480"/>
          <w:marRight w:val="0"/>
          <w:marTop w:val="0"/>
          <w:marBottom w:val="0"/>
          <w:divBdr>
            <w:top w:val="none" w:sz="0" w:space="0" w:color="auto"/>
            <w:left w:val="none" w:sz="0" w:space="0" w:color="auto"/>
            <w:bottom w:val="none" w:sz="0" w:space="0" w:color="auto"/>
            <w:right w:val="none" w:sz="0" w:space="0" w:color="auto"/>
          </w:divBdr>
        </w:div>
        <w:div w:id="239876619">
          <w:marLeft w:val="480"/>
          <w:marRight w:val="0"/>
          <w:marTop w:val="0"/>
          <w:marBottom w:val="0"/>
          <w:divBdr>
            <w:top w:val="none" w:sz="0" w:space="0" w:color="auto"/>
            <w:left w:val="none" w:sz="0" w:space="0" w:color="auto"/>
            <w:bottom w:val="none" w:sz="0" w:space="0" w:color="auto"/>
            <w:right w:val="none" w:sz="0" w:space="0" w:color="auto"/>
          </w:divBdr>
        </w:div>
        <w:div w:id="990135687">
          <w:marLeft w:val="480"/>
          <w:marRight w:val="0"/>
          <w:marTop w:val="0"/>
          <w:marBottom w:val="0"/>
          <w:divBdr>
            <w:top w:val="none" w:sz="0" w:space="0" w:color="auto"/>
            <w:left w:val="none" w:sz="0" w:space="0" w:color="auto"/>
            <w:bottom w:val="none" w:sz="0" w:space="0" w:color="auto"/>
            <w:right w:val="none" w:sz="0" w:space="0" w:color="auto"/>
          </w:divBdr>
        </w:div>
        <w:div w:id="1027415722">
          <w:marLeft w:val="480"/>
          <w:marRight w:val="0"/>
          <w:marTop w:val="0"/>
          <w:marBottom w:val="0"/>
          <w:divBdr>
            <w:top w:val="none" w:sz="0" w:space="0" w:color="auto"/>
            <w:left w:val="none" w:sz="0" w:space="0" w:color="auto"/>
            <w:bottom w:val="none" w:sz="0" w:space="0" w:color="auto"/>
            <w:right w:val="none" w:sz="0" w:space="0" w:color="auto"/>
          </w:divBdr>
        </w:div>
        <w:div w:id="916286999">
          <w:marLeft w:val="480"/>
          <w:marRight w:val="0"/>
          <w:marTop w:val="0"/>
          <w:marBottom w:val="0"/>
          <w:divBdr>
            <w:top w:val="none" w:sz="0" w:space="0" w:color="auto"/>
            <w:left w:val="none" w:sz="0" w:space="0" w:color="auto"/>
            <w:bottom w:val="none" w:sz="0" w:space="0" w:color="auto"/>
            <w:right w:val="none" w:sz="0" w:space="0" w:color="auto"/>
          </w:divBdr>
        </w:div>
        <w:div w:id="595752288">
          <w:marLeft w:val="480"/>
          <w:marRight w:val="0"/>
          <w:marTop w:val="0"/>
          <w:marBottom w:val="0"/>
          <w:divBdr>
            <w:top w:val="none" w:sz="0" w:space="0" w:color="auto"/>
            <w:left w:val="none" w:sz="0" w:space="0" w:color="auto"/>
            <w:bottom w:val="none" w:sz="0" w:space="0" w:color="auto"/>
            <w:right w:val="none" w:sz="0" w:space="0" w:color="auto"/>
          </w:divBdr>
        </w:div>
        <w:div w:id="464852796">
          <w:marLeft w:val="480"/>
          <w:marRight w:val="0"/>
          <w:marTop w:val="0"/>
          <w:marBottom w:val="0"/>
          <w:divBdr>
            <w:top w:val="none" w:sz="0" w:space="0" w:color="auto"/>
            <w:left w:val="none" w:sz="0" w:space="0" w:color="auto"/>
            <w:bottom w:val="none" w:sz="0" w:space="0" w:color="auto"/>
            <w:right w:val="none" w:sz="0" w:space="0" w:color="auto"/>
          </w:divBdr>
        </w:div>
        <w:div w:id="1317224213">
          <w:marLeft w:val="480"/>
          <w:marRight w:val="0"/>
          <w:marTop w:val="0"/>
          <w:marBottom w:val="0"/>
          <w:divBdr>
            <w:top w:val="none" w:sz="0" w:space="0" w:color="auto"/>
            <w:left w:val="none" w:sz="0" w:space="0" w:color="auto"/>
            <w:bottom w:val="none" w:sz="0" w:space="0" w:color="auto"/>
            <w:right w:val="none" w:sz="0" w:space="0" w:color="auto"/>
          </w:divBdr>
        </w:div>
        <w:div w:id="1630164015">
          <w:marLeft w:val="480"/>
          <w:marRight w:val="0"/>
          <w:marTop w:val="0"/>
          <w:marBottom w:val="0"/>
          <w:divBdr>
            <w:top w:val="none" w:sz="0" w:space="0" w:color="auto"/>
            <w:left w:val="none" w:sz="0" w:space="0" w:color="auto"/>
            <w:bottom w:val="none" w:sz="0" w:space="0" w:color="auto"/>
            <w:right w:val="none" w:sz="0" w:space="0" w:color="auto"/>
          </w:divBdr>
        </w:div>
      </w:divsChild>
    </w:div>
    <w:div w:id="292831835">
      <w:bodyDiv w:val="1"/>
      <w:marLeft w:val="0"/>
      <w:marRight w:val="0"/>
      <w:marTop w:val="0"/>
      <w:marBottom w:val="0"/>
      <w:divBdr>
        <w:top w:val="none" w:sz="0" w:space="0" w:color="auto"/>
        <w:left w:val="none" w:sz="0" w:space="0" w:color="auto"/>
        <w:bottom w:val="none" w:sz="0" w:space="0" w:color="auto"/>
        <w:right w:val="none" w:sz="0" w:space="0" w:color="auto"/>
      </w:divBdr>
    </w:div>
    <w:div w:id="293026446">
      <w:bodyDiv w:val="1"/>
      <w:marLeft w:val="0"/>
      <w:marRight w:val="0"/>
      <w:marTop w:val="0"/>
      <w:marBottom w:val="0"/>
      <w:divBdr>
        <w:top w:val="none" w:sz="0" w:space="0" w:color="auto"/>
        <w:left w:val="none" w:sz="0" w:space="0" w:color="auto"/>
        <w:bottom w:val="none" w:sz="0" w:space="0" w:color="auto"/>
        <w:right w:val="none" w:sz="0" w:space="0" w:color="auto"/>
      </w:divBdr>
    </w:div>
    <w:div w:id="293147285">
      <w:bodyDiv w:val="1"/>
      <w:marLeft w:val="0"/>
      <w:marRight w:val="0"/>
      <w:marTop w:val="0"/>
      <w:marBottom w:val="0"/>
      <w:divBdr>
        <w:top w:val="none" w:sz="0" w:space="0" w:color="auto"/>
        <w:left w:val="none" w:sz="0" w:space="0" w:color="auto"/>
        <w:bottom w:val="none" w:sz="0" w:space="0" w:color="auto"/>
        <w:right w:val="none" w:sz="0" w:space="0" w:color="auto"/>
      </w:divBdr>
    </w:div>
    <w:div w:id="293482841">
      <w:bodyDiv w:val="1"/>
      <w:marLeft w:val="0"/>
      <w:marRight w:val="0"/>
      <w:marTop w:val="0"/>
      <w:marBottom w:val="0"/>
      <w:divBdr>
        <w:top w:val="none" w:sz="0" w:space="0" w:color="auto"/>
        <w:left w:val="none" w:sz="0" w:space="0" w:color="auto"/>
        <w:bottom w:val="none" w:sz="0" w:space="0" w:color="auto"/>
        <w:right w:val="none" w:sz="0" w:space="0" w:color="auto"/>
      </w:divBdr>
    </w:div>
    <w:div w:id="293799520">
      <w:bodyDiv w:val="1"/>
      <w:marLeft w:val="0"/>
      <w:marRight w:val="0"/>
      <w:marTop w:val="0"/>
      <w:marBottom w:val="0"/>
      <w:divBdr>
        <w:top w:val="none" w:sz="0" w:space="0" w:color="auto"/>
        <w:left w:val="none" w:sz="0" w:space="0" w:color="auto"/>
        <w:bottom w:val="none" w:sz="0" w:space="0" w:color="auto"/>
        <w:right w:val="none" w:sz="0" w:space="0" w:color="auto"/>
      </w:divBdr>
    </w:div>
    <w:div w:id="294527053">
      <w:bodyDiv w:val="1"/>
      <w:marLeft w:val="0"/>
      <w:marRight w:val="0"/>
      <w:marTop w:val="0"/>
      <w:marBottom w:val="0"/>
      <w:divBdr>
        <w:top w:val="none" w:sz="0" w:space="0" w:color="auto"/>
        <w:left w:val="none" w:sz="0" w:space="0" w:color="auto"/>
        <w:bottom w:val="none" w:sz="0" w:space="0" w:color="auto"/>
        <w:right w:val="none" w:sz="0" w:space="0" w:color="auto"/>
      </w:divBdr>
    </w:div>
    <w:div w:id="294723721">
      <w:bodyDiv w:val="1"/>
      <w:marLeft w:val="0"/>
      <w:marRight w:val="0"/>
      <w:marTop w:val="0"/>
      <w:marBottom w:val="0"/>
      <w:divBdr>
        <w:top w:val="none" w:sz="0" w:space="0" w:color="auto"/>
        <w:left w:val="none" w:sz="0" w:space="0" w:color="auto"/>
        <w:bottom w:val="none" w:sz="0" w:space="0" w:color="auto"/>
        <w:right w:val="none" w:sz="0" w:space="0" w:color="auto"/>
      </w:divBdr>
    </w:div>
    <w:div w:id="294800126">
      <w:bodyDiv w:val="1"/>
      <w:marLeft w:val="0"/>
      <w:marRight w:val="0"/>
      <w:marTop w:val="0"/>
      <w:marBottom w:val="0"/>
      <w:divBdr>
        <w:top w:val="none" w:sz="0" w:space="0" w:color="auto"/>
        <w:left w:val="none" w:sz="0" w:space="0" w:color="auto"/>
        <w:bottom w:val="none" w:sz="0" w:space="0" w:color="auto"/>
        <w:right w:val="none" w:sz="0" w:space="0" w:color="auto"/>
      </w:divBdr>
    </w:div>
    <w:div w:id="295841713">
      <w:bodyDiv w:val="1"/>
      <w:marLeft w:val="0"/>
      <w:marRight w:val="0"/>
      <w:marTop w:val="0"/>
      <w:marBottom w:val="0"/>
      <w:divBdr>
        <w:top w:val="none" w:sz="0" w:space="0" w:color="auto"/>
        <w:left w:val="none" w:sz="0" w:space="0" w:color="auto"/>
        <w:bottom w:val="none" w:sz="0" w:space="0" w:color="auto"/>
        <w:right w:val="none" w:sz="0" w:space="0" w:color="auto"/>
      </w:divBdr>
    </w:div>
    <w:div w:id="296765169">
      <w:bodyDiv w:val="1"/>
      <w:marLeft w:val="0"/>
      <w:marRight w:val="0"/>
      <w:marTop w:val="0"/>
      <w:marBottom w:val="0"/>
      <w:divBdr>
        <w:top w:val="none" w:sz="0" w:space="0" w:color="auto"/>
        <w:left w:val="none" w:sz="0" w:space="0" w:color="auto"/>
        <w:bottom w:val="none" w:sz="0" w:space="0" w:color="auto"/>
        <w:right w:val="none" w:sz="0" w:space="0" w:color="auto"/>
      </w:divBdr>
    </w:div>
    <w:div w:id="297078927">
      <w:bodyDiv w:val="1"/>
      <w:marLeft w:val="0"/>
      <w:marRight w:val="0"/>
      <w:marTop w:val="0"/>
      <w:marBottom w:val="0"/>
      <w:divBdr>
        <w:top w:val="none" w:sz="0" w:space="0" w:color="auto"/>
        <w:left w:val="none" w:sz="0" w:space="0" w:color="auto"/>
        <w:bottom w:val="none" w:sz="0" w:space="0" w:color="auto"/>
        <w:right w:val="none" w:sz="0" w:space="0" w:color="auto"/>
      </w:divBdr>
    </w:div>
    <w:div w:id="297272543">
      <w:bodyDiv w:val="1"/>
      <w:marLeft w:val="0"/>
      <w:marRight w:val="0"/>
      <w:marTop w:val="0"/>
      <w:marBottom w:val="0"/>
      <w:divBdr>
        <w:top w:val="none" w:sz="0" w:space="0" w:color="auto"/>
        <w:left w:val="none" w:sz="0" w:space="0" w:color="auto"/>
        <w:bottom w:val="none" w:sz="0" w:space="0" w:color="auto"/>
        <w:right w:val="none" w:sz="0" w:space="0" w:color="auto"/>
      </w:divBdr>
    </w:div>
    <w:div w:id="297495801">
      <w:bodyDiv w:val="1"/>
      <w:marLeft w:val="0"/>
      <w:marRight w:val="0"/>
      <w:marTop w:val="0"/>
      <w:marBottom w:val="0"/>
      <w:divBdr>
        <w:top w:val="none" w:sz="0" w:space="0" w:color="auto"/>
        <w:left w:val="none" w:sz="0" w:space="0" w:color="auto"/>
        <w:bottom w:val="none" w:sz="0" w:space="0" w:color="auto"/>
        <w:right w:val="none" w:sz="0" w:space="0" w:color="auto"/>
      </w:divBdr>
    </w:div>
    <w:div w:id="297614078">
      <w:bodyDiv w:val="1"/>
      <w:marLeft w:val="0"/>
      <w:marRight w:val="0"/>
      <w:marTop w:val="0"/>
      <w:marBottom w:val="0"/>
      <w:divBdr>
        <w:top w:val="none" w:sz="0" w:space="0" w:color="auto"/>
        <w:left w:val="none" w:sz="0" w:space="0" w:color="auto"/>
        <w:bottom w:val="none" w:sz="0" w:space="0" w:color="auto"/>
        <w:right w:val="none" w:sz="0" w:space="0" w:color="auto"/>
      </w:divBdr>
    </w:div>
    <w:div w:id="298072808">
      <w:bodyDiv w:val="1"/>
      <w:marLeft w:val="0"/>
      <w:marRight w:val="0"/>
      <w:marTop w:val="0"/>
      <w:marBottom w:val="0"/>
      <w:divBdr>
        <w:top w:val="none" w:sz="0" w:space="0" w:color="auto"/>
        <w:left w:val="none" w:sz="0" w:space="0" w:color="auto"/>
        <w:bottom w:val="none" w:sz="0" w:space="0" w:color="auto"/>
        <w:right w:val="none" w:sz="0" w:space="0" w:color="auto"/>
      </w:divBdr>
    </w:div>
    <w:div w:id="298464734">
      <w:bodyDiv w:val="1"/>
      <w:marLeft w:val="0"/>
      <w:marRight w:val="0"/>
      <w:marTop w:val="0"/>
      <w:marBottom w:val="0"/>
      <w:divBdr>
        <w:top w:val="none" w:sz="0" w:space="0" w:color="auto"/>
        <w:left w:val="none" w:sz="0" w:space="0" w:color="auto"/>
        <w:bottom w:val="none" w:sz="0" w:space="0" w:color="auto"/>
        <w:right w:val="none" w:sz="0" w:space="0" w:color="auto"/>
      </w:divBdr>
    </w:div>
    <w:div w:id="298532568">
      <w:bodyDiv w:val="1"/>
      <w:marLeft w:val="0"/>
      <w:marRight w:val="0"/>
      <w:marTop w:val="0"/>
      <w:marBottom w:val="0"/>
      <w:divBdr>
        <w:top w:val="none" w:sz="0" w:space="0" w:color="auto"/>
        <w:left w:val="none" w:sz="0" w:space="0" w:color="auto"/>
        <w:bottom w:val="none" w:sz="0" w:space="0" w:color="auto"/>
        <w:right w:val="none" w:sz="0" w:space="0" w:color="auto"/>
      </w:divBdr>
    </w:div>
    <w:div w:id="298657281">
      <w:bodyDiv w:val="1"/>
      <w:marLeft w:val="0"/>
      <w:marRight w:val="0"/>
      <w:marTop w:val="0"/>
      <w:marBottom w:val="0"/>
      <w:divBdr>
        <w:top w:val="none" w:sz="0" w:space="0" w:color="auto"/>
        <w:left w:val="none" w:sz="0" w:space="0" w:color="auto"/>
        <w:bottom w:val="none" w:sz="0" w:space="0" w:color="auto"/>
        <w:right w:val="none" w:sz="0" w:space="0" w:color="auto"/>
      </w:divBdr>
    </w:div>
    <w:div w:id="299771107">
      <w:bodyDiv w:val="1"/>
      <w:marLeft w:val="0"/>
      <w:marRight w:val="0"/>
      <w:marTop w:val="0"/>
      <w:marBottom w:val="0"/>
      <w:divBdr>
        <w:top w:val="none" w:sz="0" w:space="0" w:color="auto"/>
        <w:left w:val="none" w:sz="0" w:space="0" w:color="auto"/>
        <w:bottom w:val="none" w:sz="0" w:space="0" w:color="auto"/>
        <w:right w:val="none" w:sz="0" w:space="0" w:color="auto"/>
      </w:divBdr>
    </w:div>
    <w:div w:id="300234815">
      <w:bodyDiv w:val="1"/>
      <w:marLeft w:val="0"/>
      <w:marRight w:val="0"/>
      <w:marTop w:val="0"/>
      <w:marBottom w:val="0"/>
      <w:divBdr>
        <w:top w:val="none" w:sz="0" w:space="0" w:color="auto"/>
        <w:left w:val="none" w:sz="0" w:space="0" w:color="auto"/>
        <w:bottom w:val="none" w:sz="0" w:space="0" w:color="auto"/>
        <w:right w:val="none" w:sz="0" w:space="0" w:color="auto"/>
      </w:divBdr>
    </w:div>
    <w:div w:id="300425524">
      <w:bodyDiv w:val="1"/>
      <w:marLeft w:val="0"/>
      <w:marRight w:val="0"/>
      <w:marTop w:val="0"/>
      <w:marBottom w:val="0"/>
      <w:divBdr>
        <w:top w:val="none" w:sz="0" w:space="0" w:color="auto"/>
        <w:left w:val="none" w:sz="0" w:space="0" w:color="auto"/>
        <w:bottom w:val="none" w:sz="0" w:space="0" w:color="auto"/>
        <w:right w:val="none" w:sz="0" w:space="0" w:color="auto"/>
      </w:divBdr>
    </w:div>
    <w:div w:id="302081030">
      <w:bodyDiv w:val="1"/>
      <w:marLeft w:val="0"/>
      <w:marRight w:val="0"/>
      <w:marTop w:val="0"/>
      <w:marBottom w:val="0"/>
      <w:divBdr>
        <w:top w:val="none" w:sz="0" w:space="0" w:color="auto"/>
        <w:left w:val="none" w:sz="0" w:space="0" w:color="auto"/>
        <w:bottom w:val="none" w:sz="0" w:space="0" w:color="auto"/>
        <w:right w:val="none" w:sz="0" w:space="0" w:color="auto"/>
      </w:divBdr>
    </w:div>
    <w:div w:id="302320706">
      <w:bodyDiv w:val="1"/>
      <w:marLeft w:val="0"/>
      <w:marRight w:val="0"/>
      <w:marTop w:val="0"/>
      <w:marBottom w:val="0"/>
      <w:divBdr>
        <w:top w:val="none" w:sz="0" w:space="0" w:color="auto"/>
        <w:left w:val="none" w:sz="0" w:space="0" w:color="auto"/>
        <w:bottom w:val="none" w:sz="0" w:space="0" w:color="auto"/>
        <w:right w:val="none" w:sz="0" w:space="0" w:color="auto"/>
      </w:divBdr>
    </w:div>
    <w:div w:id="302538336">
      <w:bodyDiv w:val="1"/>
      <w:marLeft w:val="0"/>
      <w:marRight w:val="0"/>
      <w:marTop w:val="0"/>
      <w:marBottom w:val="0"/>
      <w:divBdr>
        <w:top w:val="none" w:sz="0" w:space="0" w:color="auto"/>
        <w:left w:val="none" w:sz="0" w:space="0" w:color="auto"/>
        <w:bottom w:val="none" w:sz="0" w:space="0" w:color="auto"/>
        <w:right w:val="none" w:sz="0" w:space="0" w:color="auto"/>
      </w:divBdr>
    </w:div>
    <w:div w:id="303127642">
      <w:bodyDiv w:val="1"/>
      <w:marLeft w:val="0"/>
      <w:marRight w:val="0"/>
      <w:marTop w:val="0"/>
      <w:marBottom w:val="0"/>
      <w:divBdr>
        <w:top w:val="none" w:sz="0" w:space="0" w:color="auto"/>
        <w:left w:val="none" w:sz="0" w:space="0" w:color="auto"/>
        <w:bottom w:val="none" w:sz="0" w:space="0" w:color="auto"/>
        <w:right w:val="none" w:sz="0" w:space="0" w:color="auto"/>
      </w:divBdr>
    </w:div>
    <w:div w:id="303311771">
      <w:bodyDiv w:val="1"/>
      <w:marLeft w:val="0"/>
      <w:marRight w:val="0"/>
      <w:marTop w:val="0"/>
      <w:marBottom w:val="0"/>
      <w:divBdr>
        <w:top w:val="none" w:sz="0" w:space="0" w:color="auto"/>
        <w:left w:val="none" w:sz="0" w:space="0" w:color="auto"/>
        <w:bottom w:val="none" w:sz="0" w:space="0" w:color="auto"/>
        <w:right w:val="none" w:sz="0" w:space="0" w:color="auto"/>
      </w:divBdr>
    </w:div>
    <w:div w:id="303780625">
      <w:bodyDiv w:val="1"/>
      <w:marLeft w:val="0"/>
      <w:marRight w:val="0"/>
      <w:marTop w:val="0"/>
      <w:marBottom w:val="0"/>
      <w:divBdr>
        <w:top w:val="none" w:sz="0" w:space="0" w:color="auto"/>
        <w:left w:val="none" w:sz="0" w:space="0" w:color="auto"/>
        <w:bottom w:val="none" w:sz="0" w:space="0" w:color="auto"/>
        <w:right w:val="none" w:sz="0" w:space="0" w:color="auto"/>
      </w:divBdr>
    </w:div>
    <w:div w:id="304242369">
      <w:bodyDiv w:val="1"/>
      <w:marLeft w:val="0"/>
      <w:marRight w:val="0"/>
      <w:marTop w:val="0"/>
      <w:marBottom w:val="0"/>
      <w:divBdr>
        <w:top w:val="none" w:sz="0" w:space="0" w:color="auto"/>
        <w:left w:val="none" w:sz="0" w:space="0" w:color="auto"/>
        <w:bottom w:val="none" w:sz="0" w:space="0" w:color="auto"/>
        <w:right w:val="none" w:sz="0" w:space="0" w:color="auto"/>
      </w:divBdr>
    </w:div>
    <w:div w:id="304623035">
      <w:bodyDiv w:val="1"/>
      <w:marLeft w:val="0"/>
      <w:marRight w:val="0"/>
      <w:marTop w:val="0"/>
      <w:marBottom w:val="0"/>
      <w:divBdr>
        <w:top w:val="none" w:sz="0" w:space="0" w:color="auto"/>
        <w:left w:val="none" w:sz="0" w:space="0" w:color="auto"/>
        <w:bottom w:val="none" w:sz="0" w:space="0" w:color="auto"/>
        <w:right w:val="none" w:sz="0" w:space="0" w:color="auto"/>
      </w:divBdr>
    </w:div>
    <w:div w:id="305816168">
      <w:bodyDiv w:val="1"/>
      <w:marLeft w:val="0"/>
      <w:marRight w:val="0"/>
      <w:marTop w:val="0"/>
      <w:marBottom w:val="0"/>
      <w:divBdr>
        <w:top w:val="none" w:sz="0" w:space="0" w:color="auto"/>
        <w:left w:val="none" w:sz="0" w:space="0" w:color="auto"/>
        <w:bottom w:val="none" w:sz="0" w:space="0" w:color="auto"/>
        <w:right w:val="none" w:sz="0" w:space="0" w:color="auto"/>
      </w:divBdr>
    </w:div>
    <w:div w:id="305820595">
      <w:bodyDiv w:val="1"/>
      <w:marLeft w:val="0"/>
      <w:marRight w:val="0"/>
      <w:marTop w:val="0"/>
      <w:marBottom w:val="0"/>
      <w:divBdr>
        <w:top w:val="none" w:sz="0" w:space="0" w:color="auto"/>
        <w:left w:val="none" w:sz="0" w:space="0" w:color="auto"/>
        <w:bottom w:val="none" w:sz="0" w:space="0" w:color="auto"/>
        <w:right w:val="none" w:sz="0" w:space="0" w:color="auto"/>
      </w:divBdr>
    </w:div>
    <w:div w:id="305861980">
      <w:bodyDiv w:val="1"/>
      <w:marLeft w:val="0"/>
      <w:marRight w:val="0"/>
      <w:marTop w:val="0"/>
      <w:marBottom w:val="0"/>
      <w:divBdr>
        <w:top w:val="none" w:sz="0" w:space="0" w:color="auto"/>
        <w:left w:val="none" w:sz="0" w:space="0" w:color="auto"/>
        <w:bottom w:val="none" w:sz="0" w:space="0" w:color="auto"/>
        <w:right w:val="none" w:sz="0" w:space="0" w:color="auto"/>
      </w:divBdr>
    </w:div>
    <w:div w:id="306133439">
      <w:bodyDiv w:val="1"/>
      <w:marLeft w:val="0"/>
      <w:marRight w:val="0"/>
      <w:marTop w:val="0"/>
      <w:marBottom w:val="0"/>
      <w:divBdr>
        <w:top w:val="none" w:sz="0" w:space="0" w:color="auto"/>
        <w:left w:val="none" w:sz="0" w:space="0" w:color="auto"/>
        <w:bottom w:val="none" w:sz="0" w:space="0" w:color="auto"/>
        <w:right w:val="none" w:sz="0" w:space="0" w:color="auto"/>
      </w:divBdr>
    </w:div>
    <w:div w:id="306321722">
      <w:bodyDiv w:val="1"/>
      <w:marLeft w:val="0"/>
      <w:marRight w:val="0"/>
      <w:marTop w:val="0"/>
      <w:marBottom w:val="0"/>
      <w:divBdr>
        <w:top w:val="none" w:sz="0" w:space="0" w:color="auto"/>
        <w:left w:val="none" w:sz="0" w:space="0" w:color="auto"/>
        <w:bottom w:val="none" w:sz="0" w:space="0" w:color="auto"/>
        <w:right w:val="none" w:sz="0" w:space="0" w:color="auto"/>
      </w:divBdr>
    </w:div>
    <w:div w:id="306395237">
      <w:bodyDiv w:val="1"/>
      <w:marLeft w:val="0"/>
      <w:marRight w:val="0"/>
      <w:marTop w:val="0"/>
      <w:marBottom w:val="0"/>
      <w:divBdr>
        <w:top w:val="none" w:sz="0" w:space="0" w:color="auto"/>
        <w:left w:val="none" w:sz="0" w:space="0" w:color="auto"/>
        <w:bottom w:val="none" w:sz="0" w:space="0" w:color="auto"/>
        <w:right w:val="none" w:sz="0" w:space="0" w:color="auto"/>
      </w:divBdr>
    </w:div>
    <w:div w:id="307247532">
      <w:bodyDiv w:val="1"/>
      <w:marLeft w:val="0"/>
      <w:marRight w:val="0"/>
      <w:marTop w:val="0"/>
      <w:marBottom w:val="0"/>
      <w:divBdr>
        <w:top w:val="none" w:sz="0" w:space="0" w:color="auto"/>
        <w:left w:val="none" w:sz="0" w:space="0" w:color="auto"/>
        <w:bottom w:val="none" w:sz="0" w:space="0" w:color="auto"/>
        <w:right w:val="none" w:sz="0" w:space="0" w:color="auto"/>
      </w:divBdr>
    </w:div>
    <w:div w:id="307445262">
      <w:bodyDiv w:val="1"/>
      <w:marLeft w:val="0"/>
      <w:marRight w:val="0"/>
      <w:marTop w:val="0"/>
      <w:marBottom w:val="0"/>
      <w:divBdr>
        <w:top w:val="none" w:sz="0" w:space="0" w:color="auto"/>
        <w:left w:val="none" w:sz="0" w:space="0" w:color="auto"/>
        <w:bottom w:val="none" w:sz="0" w:space="0" w:color="auto"/>
        <w:right w:val="none" w:sz="0" w:space="0" w:color="auto"/>
      </w:divBdr>
    </w:div>
    <w:div w:id="307563295">
      <w:bodyDiv w:val="1"/>
      <w:marLeft w:val="0"/>
      <w:marRight w:val="0"/>
      <w:marTop w:val="0"/>
      <w:marBottom w:val="0"/>
      <w:divBdr>
        <w:top w:val="none" w:sz="0" w:space="0" w:color="auto"/>
        <w:left w:val="none" w:sz="0" w:space="0" w:color="auto"/>
        <w:bottom w:val="none" w:sz="0" w:space="0" w:color="auto"/>
        <w:right w:val="none" w:sz="0" w:space="0" w:color="auto"/>
      </w:divBdr>
    </w:div>
    <w:div w:id="308480444">
      <w:bodyDiv w:val="1"/>
      <w:marLeft w:val="0"/>
      <w:marRight w:val="0"/>
      <w:marTop w:val="0"/>
      <w:marBottom w:val="0"/>
      <w:divBdr>
        <w:top w:val="none" w:sz="0" w:space="0" w:color="auto"/>
        <w:left w:val="none" w:sz="0" w:space="0" w:color="auto"/>
        <w:bottom w:val="none" w:sz="0" w:space="0" w:color="auto"/>
        <w:right w:val="none" w:sz="0" w:space="0" w:color="auto"/>
      </w:divBdr>
    </w:div>
    <w:div w:id="308898021">
      <w:bodyDiv w:val="1"/>
      <w:marLeft w:val="0"/>
      <w:marRight w:val="0"/>
      <w:marTop w:val="0"/>
      <w:marBottom w:val="0"/>
      <w:divBdr>
        <w:top w:val="none" w:sz="0" w:space="0" w:color="auto"/>
        <w:left w:val="none" w:sz="0" w:space="0" w:color="auto"/>
        <w:bottom w:val="none" w:sz="0" w:space="0" w:color="auto"/>
        <w:right w:val="none" w:sz="0" w:space="0" w:color="auto"/>
      </w:divBdr>
    </w:div>
    <w:div w:id="308945415">
      <w:bodyDiv w:val="1"/>
      <w:marLeft w:val="0"/>
      <w:marRight w:val="0"/>
      <w:marTop w:val="0"/>
      <w:marBottom w:val="0"/>
      <w:divBdr>
        <w:top w:val="none" w:sz="0" w:space="0" w:color="auto"/>
        <w:left w:val="none" w:sz="0" w:space="0" w:color="auto"/>
        <w:bottom w:val="none" w:sz="0" w:space="0" w:color="auto"/>
        <w:right w:val="none" w:sz="0" w:space="0" w:color="auto"/>
      </w:divBdr>
    </w:div>
    <w:div w:id="310328676">
      <w:bodyDiv w:val="1"/>
      <w:marLeft w:val="0"/>
      <w:marRight w:val="0"/>
      <w:marTop w:val="0"/>
      <w:marBottom w:val="0"/>
      <w:divBdr>
        <w:top w:val="none" w:sz="0" w:space="0" w:color="auto"/>
        <w:left w:val="none" w:sz="0" w:space="0" w:color="auto"/>
        <w:bottom w:val="none" w:sz="0" w:space="0" w:color="auto"/>
        <w:right w:val="none" w:sz="0" w:space="0" w:color="auto"/>
      </w:divBdr>
    </w:div>
    <w:div w:id="311058061">
      <w:bodyDiv w:val="1"/>
      <w:marLeft w:val="0"/>
      <w:marRight w:val="0"/>
      <w:marTop w:val="0"/>
      <w:marBottom w:val="0"/>
      <w:divBdr>
        <w:top w:val="none" w:sz="0" w:space="0" w:color="auto"/>
        <w:left w:val="none" w:sz="0" w:space="0" w:color="auto"/>
        <w:bottom w:val="none" w:sz="0" w:space="0" w:color="auto"/>
        <w:right w:val="none" w:sz="0" w:space="0" w:color="auto"/>
      </w:divBdr>
    </w:div>
    <w:div w:id="311446166">
      <w:bodyDiv w:val="1"/>
      <w:marLeft w:val="0"/>
      <w:marRight w:val="0"/>
      <w:marTop w:val="0"/>
      <w:marBottom w:val="0"/>
      <w:divBdr>
        <w:top w:val="none" w:sz="0" w:space="0" w:color="auto"/>
        <w:left w:val="none" w:sz="0" w:space="0" w:color="auto"/>
        <w:bottom w:val="none" w:sz="0" w:space="0" w:color="auto"/>
        <w:right w:val="none" w:sz="0" w:space="0" w:color="auto"/>
      </w:divBdr>
    </w:div>
    <w:div w:id="311524422">
      <w:bodyDiv w:val="1"/>
      <w:marLeft w:val="0"/>
      <w:marRight w:val="0"/>
      <w:marTop w:val="0"/>
      <w:marBottom w:val="0"/>
      <w:divBdr>
        <w:top w:val="none" w:sz="0" w:space="0" w:color="auto"/>
        <w:left w:val="none" w:sz="0" w:space="0" w:color="auto"/>
        <w:bottom w:val="none" w:sz="0" w:space="0" w:color="auto"/>
        <w:right w:val="none" w:sz="0" w:space="0" w:color="auto"/>
      </w:divBdr>
    </w:div>
    <w:div w:id="311637957">
      <w:bodyDiv w:val="1"/>
      <w:marLeft w:val="0"/>
      <w:marRight w:val="0"/>
      <w:marTop w:val="0"/>
      <w:marBottom w:val="0"/>
      <w:divBdr>
        <w:top w:val="none" w:sz="0" w:space="0" w:color="auto"/>
        <w:left w:val="none" w:sz="0" w:space="0" w:color="auto"/>
        <w:bottom w:val="none" w:sz="0" w:space="0" w:color="auto"/>
        <w:right w:val="none" w:sz="0" w:space="0" w:color="auto"/>
      </w:divBdr>
    </w:div>
    <w:div w:id="311640492">
      <w:bodyDiv w:val="1"/>
      <w:marLeft w:val="0"/>
      <w:marRight w:val="0"/>
      <w:marTop w:val="0"/>
      <w:marBottom w:val="0"/>
      <w:divBdr>
        <w:top w:val="none" w:sz="0" w:space="0" w:color="auto"/>
        <w:left w:val="none" w:sz="0" w:space="0" w:color="auto"/>
        <w:bottom w:val="none" w:sz="0" w:space="0" w:color="auto"/>
        <w:right w:val="none" w:sz="0" w:space="0" w:color="auto"/>
      </w:divBdr>
    </w:div>
    <w:div w:id="312372083">
      <w:bodyDiv w:val="1"/>
      <w:marLeft w:val="0"/>
      <w:marRight w:val="0"/>
      <w:marTop w:val="0"/>
      <w:marBottom w:val="0"/>
      <w:divBdr>
        <w:top w:val="none" w:sz="0" w:space="0" w:color="auto"/>
        <w:left w:val="none" w:sz="0" w:space="0" w:color="auto"/>
        <w:bottom w:val="none" w:sz="0" w:space="0" w:color="auto"/>
        <w:right w:val="none" w:sz="0" w:space="0" w:color="auto"/>
      </w:divBdr>
    </w:div>
    <w:div w:id="312416911">
      <w:bodyDiv w:val="1"/>
      <w:marLeft w:val="0"/>
      <w:marRight w:val="0"/>
      <w:marTop w:val="0"/>
      <w:marBottom w:val="0"/>
      <w:divBdr>
        <w:top w:val="none" w:sz="0" w:space="0" w:color="auto"/>
        <w:left w:val="none" w:sz="0" w:space="0" w:color="auto"/>
        <w:bottom w:val="none" w:sz="0" w:space="0" w:color="auto"/>
        <w:right w:val="none" w:sz="0" w:space="0" w:color="auto"/>
      </w:divBdr>
    </w:div>
    <w:div w:id="312567703">
      <w:bodyDiv w:val="1"/>
      <w:marLeft w:val="0"/>
      <w:marRight w:val="0"/>
      <w:marTop w:val="0"/>
      <w:marBottom w:val="0"/>
      <w:divBdr>
        <w:top w:val="none" w:sz="0" w:space="0" w:color="auto"/>
        <w:left w:val="none" w:sz="0" w:space="0" w:color="auto"/>
        <w:bottom w:val="none" w:sz="0" w:space="0" w:color="auto"/>
        <w:right w:val="none" w:sz="0" w:space="0" w:color="auto"/>
      </w:divBdr>
    </w:div>
    <w:div w:id="314453055">
      <w:bodyDiv w:val="1"/>
      <w:marLeft w:val="0"/>
      <w:marRight w:val="0"/>
      <w:marTop w:val="0"/>
      <w:marBottom w:val="0"/>
      <w:divBdr>
        <w:top w:val="none" w:sz="0" w:space="0" w:color="auto"/>
        <w:left w:val="none" w:sz="0" w:space="0" w:color="auto"/>
        <w:bottom w:val="none" w:sz="0" w:space="0" w:color="auto"/>
        <w:right w:val="none" w:sz="0" w:space="0" w:color="auto"/>
      </w:divBdr>
    </w:div>
    <w:div w:id="314797777">
      <w:bodyDiv w:val="1"/>
      <w:marLeft w:val="0"/>
      <w:marRight w:val="0"/>
      <w:marTop w:val="0"/>
      <w:marBottom w:val="0"/>
      <w:divBdr>
        <w:top w:val="none" w:sz="0" w:space="0" w:color="auto"/>
        <w:left w:val="none" w:sz="0" w:space="0" w:color="auto"/>
        <w:bottom w:val="none" w:sz="0" w:space="0" w:color="auto"/>
        <w:right w:val="none" w:sz="0" w:space="0" w:color="auto"/>
      </w:divBdr>
    </w:div>
    <w:div w:id="315502477">
      <w:bodyDiv w:val="1"/>
      <w:marLeft w:val="0"/>
      <w:marRight w:val="0"/>
      <w:marTop w:val="0"/>
      <w:marBottom w:val="0"/>
      <w:divBdr>
        <w:top w:val="none" w:sz="0" w:space="0" w:color="auto"/>
        <w:left w:val="none" w:sz="0" w:space="0" w:color="auto"/>
        <w:bottom w:val="none" w:sz="0" w:space="0" w:color="auto"/>
        <w:right w:val="none" w:sz="0" w:space="0" w:color="auto"/>
      </w:divBdr>
    </w:div>
    <w:div w:id="315691109">
      <w:bodyDiv w:val="1"/>
      <w:marLeft w:val="0"/>
      <w:marRight w:val="0"/>
      <w:marTop w:val="0"/>
      <w:marBottom w:val="0"/>
      <w:divBdr>
        <w:top w:val="none" w:sz="0" w:space="0" w:color="auto"/>
        <w:left w:val="none" w:sz="0" w:space="0" w:color="auto"/>
        <w:bottom w:val="none" w:sz="0" w:space="0" w:color="auto"/>
        <w:right w:val="none" w:sz="0" w:space="0" w:color="auto"/>
      </w:divBdr>
    </w:div>
    <w:div w:id="316417684">
      <w:bodyDiv w:val="1"/>
      <w:marLeft w:val="0"/>
      <w:marRight w:val="0"/>
      <w:marTop w:val="0"/>
      <w:marBottom w:val="0"/>
      <w:divBdr>
        <w:top w:val="none" w:sz="0" w:space="0" w:color="auto"/>
        <w:left w:val="none" w:sz="0" w:space="0" w:color="auto"/>
        <w:bottom w:val="none" w:sz="0" w:space="0" w:color="auto"/>
        <w:right w:val="none" w:sz="0" w:space="0" w:color="auto"/>
      </w:divBdr>
    </w:div>
    <w:div w:id="316960631">
      <w:bodyDiv w:val="1"/>
      <w:marLeft w:val="0"/>
      <w:marRight w:val="0"/>
      <w:marTop w:val="0"/>
      <w:marBottom w:val="0"/>
      <w:divBdr>
        <w:top w:val="none" w:sz="0" w:space="0" w:color="auto"/>
        <w:left w:val="none" w:sz="0" w:space="0" w:color="auto"/>
        <w:bottom w:val="none" w:sz="0" w:space="0" w:color="auto"/>
        <w:right w:val="none" w:sz="0" w:space="0" w:color="auto"/>
      </w:divBdr>
    </w:div>
    <w:div w:id="317030005">
      <w:bodyDiv w:val="1"/>
      <w:marLeft w:val="0"/>
      <w:marRight w:val="0"/>
      <w:marTop w:val="0"/>
      <w:marBottom w:val="0"/>
      <w:divBdr>
        <w:top w:val="none" w:sz="0" w:space="0" w:color="auto"/>
        <w:left w:val="none" w:sz="0" w:space="0" w:color="auto"/>
        <w:bottom w:val="none" w:sz="0" w:space="0" w:color="auto"/>
        <w:right w:val="none" w:sz="0" w:space="0" w:color="auto"/>
      </w:divBdr>
    </w:div>
    <w:div w:id="317729174">
      <w:bodyDiv w:val="1"/>
      <w:marLeft w:val="0"/>
      <w:marRight w:val="0"/>
      <w:marTop w:val="0"/>
      <w:marBottom w:val="0"/>
      <w:divBdr>
        <w:top w:val="none" w:sz="0" w:space="0" w:color="auto"/>
        <w:left w:val="none" w:sz="0" w:space="0" w:color="auto"/>
        <w:bottom w:val="none" w:sz="0" w:space="0" w:color="auto"/>
        <w:right w:val="none" w:sz="0" w:space="0" w:color="auto"/>
      </w:divBdr>
      <w:divsChild>
        <w:div w:id="685979289">
          <w:marLeft w:val="480"/>
          <w:marRight w:val="0"/>
          <w:marTop w:val="0"/>
          <w:marBottom w:val="0"/>
          <w:divBdr>
            <w:top w:val="none" w:sz="0" w:space="0" w:color="auto"/>
            <w:left w:val="none" w:sz="0" w:space="0" w:color="auto"/>
            <w:bottom w:val="none" w:sz="0" w:space="0" w:color="auto"/>
            <w:right w:val="none" w:sz="0" w:space="0" w:color="auto"/>
          </w:divBdr>
        </w:div>
        <w:div w:id="355346309">
          <w:marLeft w:val="480"/>
          <w:marRight w:val="0"/>
          <w:marTop w:val="0"/>
          <w:marBottom w:val="0"/>
          <w:divBdr>
            <w:top w:val="none" w:sz="0" w:space="0" w:color="auto"/>
            <w:left w:val="none" w:sz="0" w:space="0" w:color="auto"/>
            <w:bottom w:val="none" w:sz="0" w:space="0" w:color="auto"/>
            <w:right w:val="none" w:sz="0" w:space="0" w:color="auto"/>
          </w:divBdr>
        </w:div>
        <w:div w:id="372583355">
          <w:marLeft w:val="480"/>
          <w:marRight w:val="0"/>
          <w:marTop w:val="0"/>
          <w:marBottom w:val="0"/>
          <w:divBdr>
            <w:top w:val="none" w:sz="0" w:space="0" w:color="auto"/>
            <w:left w:val="none" w:sz="0" w:space="0" w:color="auto"/>
            <w:bottom w:val="none" w:sz="0" w:space="0" w:color="auto"/>
            <w:right w:val="none" w:sz="0" w:space="0" w:color="auto"/>
          </w:divBdr>
        </w:div>
        <w:div w:id="1040519045">
          <w:marLeft w:val="480"/>
          <w:marRight w:val="0"/>
          <w:marTop w:val="0"/>
          <w:marBottom w:val="0"/>
          <w:divBdr>
            <w:top w:val="none" w:sz="0" w:space="0" w:color="auto"/>
            <w:left w:val="none" w:sz="0" w:space="0" w:color="auto"/>
            <w:bottom w:val="none" w:sz="0" w:space="0" w:color="auto"/>
            <w:right w:val="none" w:sz="0" w:space="0" w:color="auto"/>
          </w:divBdr>
        </w:div>
        <w:div w:id="2147158426">
          <w:marLeft w:val="480"/>
          <w:marRight w:val="0"/>
          <w:marTop w:val="0"/>
          <w:marBottom w:val="0"/>
          <w:divBdr>
            <w:top w:val="none" w:sz="0" w:space="0" w:color="auto"/>
            <w:left w:val="none" w:sz="0" w:space="0" w:color="auto"/>
            <w:bottom w:val="none" w:sz="0" w:space="0" w:color="auto"/>
            <w:right w:val="none" w:sz="0" w:space="0" w:color="auto"/>
          </w:divBdr>
        </w:div>
        <w:div w:id="1183327438">
          <w:marLeft w:val="480"/>
          <w:marRight w:val="0"/>
          <w:marTop w:val="0"/>
          <w:marBottom w:val="0"/>
          <w:divBdr>
            <w:top w:val="none" w:sz="0" w:space="0" w:color="auto"/>
            <w:left w:val="none" w:sz="0" w:space="0" w:color="auto"/>
            <w:bottom w:val="none" w:sz="0" w:space="0" w:color="auto"/>
            <w:right w:val="none" w:sz="0" w:space="0" w:color="auto"/>
          </w:divBdr>
        </w:div>
        <w:div w:id="263274207">
          <w:marLeft w:val="480"/>
          <w:marRight w:val="0"/>
          <w:marTop w:val="0"/>
          <w:marBottom w:val="0"/>
          <w:divBdr>
            <w:top w:val="none" w:sz="0" w:space="0" w:color="auto"/>
            <w:left w:val="none" w:sz="0" w:space="0" w:color="auto"/>
            <w:bottom w:val="none" w:sz="0" w:space="0" w:color="auto"/>
            <w:right w:val="none" w:sz="0" w:space="0" w:color="auto"/>
          </w:divBdr>
        </w:div>
        <w:div w:id="59989232">
          <w:marLeft w:val="480"/>
          <w:marRight w:val="0"/>
          <w:marTop w:val="0"/>
          <w:marBottom w:val="0"/>
          <w:divBdr>
            <w:top w:val="none" w:sz="0" w:space="0" w:color="auto"/>
            <w:left w:val="none" w:sz="0" w:space="0" w:color="auto"/>
            <w:bottom w:val="none" w:sz="0" w:space="0" w:color="auto"/>
            <w:right w:val="none" w:sz="0" w:space="0" w:color="auto"/>
          </w:divBdr>
        </w:div>
        <w:div w:id="921989657">
          <w:marLeft w:val="480"/>
          <w:marRight w:val="0"/>
          <w:marTop w:val="0"/>
          <w:marBottom w:val="0"/>
          <w:divBdr>
            <w:top w:val="none" w:sz="0" w:space="0" w:color="auto"/>
            <w:left w:val="none" w:sz="0" w:space="0" w:color="auto"/>
            <w:bottom w:val="none" w:sz="0" w:space="0" w:color="auto"/>
            <w:right w:val="none" w:sz="0" w:space="0" w:color="auto"/>
          </w:divBdr>
        </w:div>
        <w:div w:id="1697121855">
          <w:marLeft w:val="480"/>
          <w:marRight w:val="0"/>
          <w:marTop w:val="0"/>
          <w:marBottom w:val="0"/>
          <w:divBdr>
            <w:top w:val="none" w:sz="0" w:space="0" w:color="auto"/>
            <w:left w:val="none" w:sz="0" w:space="0" w:color="auto"/>
            <w:bottom w:val="none" w:sz="0" w:space="0" w:color="auto"/>
            <w:right w:val="none" w:sz="0" w:space="0" w:color="auto"/>
          </w:divBdr>
        </w:div>
        <w:div w:id="1796949856">
          <w:marLeft w:val="480"/>
          <w:marRight w:val="0"/>
          <w:marTop w:val="0"/>
          <w:marBottom w:val="0"/>
          <w:divBdr>
            <w:top w:val="none" w:sz="0" w:space="0" w:color="auto"/>
            <w:left w:val="none" w:sz="0" w:space="0" w:color="auto"/>
            <w:bottom w:val="none" w:sz="0" w:space="0" w:color="auto"/>
            <w:right w:val="none" w:sz="0" w:space="0" w:color="auto"/>
          </w:divBdr>
        </w:div>
        <w:div w:id="1445424866">
          <w:marLeft w:val="480"/>
          <w:marRight w:val="0"/>
          <w:marTop w:val="0"/>
          <w:marBottom w:val="0"/>
          <w:divBdr>
            <w:top w:val="none" w:sz="0" w:space="0" w:color="auto"/>
            <w:left w:val="none" w:sz="0" w:space="0" w:color="auto"/>
            <w:bottom w:val="none" w:sz="0" w:space="0" w:color="auto"/>
            <w:right w:val="none" w:sz="0" w:space="0" w:color="auto"/>
          </w:divBdr>
        </w:div>
        <w:div w:id="923684818">
          <w:marLeft w:val="480"/>
          <w:marRight w:val="0"/>
          <w:marTop w:val="0"/>
          <w:marBottom w:val="0"/>
          <w:divBdr>
            <w:top w:val="none" w:sz="0" w:space="0" w:color="auto"/>
            <w:left w:val="none" w:sz="0" w:space="0" w:color="auto"/>
            <w:bottom w:val="none" w:sz="0" w:space="0" w:color="auto"/>
            <w:right w:val="none" w:sz="0" w:space="0" w:color="auto"/>
          </w:divBdr>
        </w:div>
        <w:div w:id="774784748">
          <w:marLeft w:val="480"/>
          <w:marRight w:val="0"/>
          <w:marTop w:val="0"/>
          <w:marBottom w:val="0"/>
          <w:divBdr>
            <w:top w:val="none" w:sz="0" w:space="0" w:color="auto"/>
            <w:left w:val="none" w:sz="0" w:space="0" w:color="auto"/>
            <w:bottom w:val="none" w:sz="0" w:space="0" w:color="auto"/>
            <w:right w:val="none" w:sz="0" w:space="0" w:color="auto"/>
          </w:divBdr>
        </w:div>
        <w:div w:id="1660420304">
          <w:marLeft w:val="480"/>
          <w:marRight w:val="0"/>
          <w:marTop w:val="0"/>
          <w:marBottom w:val="0"/>
          <w:divBdr>
            <w:top w:val="none" w:sz="0" w:space="0" w:color="auto"/>
            <w:left w:val="none" w:sz="0" w:space="0" w:color="auto"/>
            <w:bottom w:val="none" w:sz="0" w:space="0" w:color="auto"/>
            <w:right w:val="none" w:sz="0" w:space="0" w:color="auto"/>
          </w:divBdr>
        </w:div>
        <w:div w:id="1070007695">
          <w:marLeft w:val="480"/>
          <w:marRight w:val="0"/>
          <w:marTop w:val="0"/>
          <w:marBottom w:val="0"/>
          <w:divBdr>
            <w:top w:val="none" w:sz="0" w:space="0" w:color="auto"/>
            <w:left w:val="none" w:sz="0" w:space="0" w:color="auto"/>
            <w:bottom w:val="none" w:sz="0" w:space="0" w:color="auto"/>
            <w:right w:val="none" w:sz="0" w:space="0" w:color="auto"/>
          </w:divBdr>
        </w:div>
        <w:div w:id="391344058">
          <w:marLeft w:val="480"/>
          <w:marRight w:val="0"/>
          <w:marTop w:val="0"/>
          <w:marBottom w:val="0"/>
          <w:divBdr>
            <w:top w:val="none" w:sz="0" w:space="0" w:color="auto"/>
            <w:left w:val="none" w:sz="0" w:space="0" w:color="auto"/>
            <w:bottom w:val="none" w:sz="0" w:space="0" w:color="auto"/>
            <w:right w:val="none" w:sz="0" w:space="0" w:color="auto"/>
          </w:divBdr>
        </w:div>
        <w:div w:id="1684091174">
          <w:marLeft w:val="480"/>
          <w:marRight w:val="0"/>
          <w:marTop w:val="0"/>
          <w:marBottom w:val="0"/>
          <w:divBdr>
            <w:top w:val="none" w:sz="0" w:space="0" w:color="auto"/>
            <w:left w:val="none" w:sz="0" w:space="0" w:color="auto"/>
            <w:bottom w:val="none" w:sz="0" w:space="0" w:color="auto"/>
            <w:right w:val="none" w:sz="0" w:space="0" w:color="auto"/>
          </w:divBdr>
        </w:div>
        <w:div w:id="1499543737">
          <w:marLeft w:val="480"/>
          <w:marRight w:val="0"/>
          <w:marTop w:val="0"/>
          <w:marBottom w:val="0"/>
          <w:divBdr>
            <w:top w:val="none" w:sz="0" w:space="0" w:color="auto"/>
            <w:left w:val="none" w:sz="0" w:space="0" w:color="auto"/>
            <w:bottom w:val="none" w:sz="0" w:space="0" w:color="auto"/>
            <w:right w:val="none" w:sz="0" w:space="0" w:color="auto"/>
          </w:divBdr>
        </w:div>
        <w:div w:id="1914966628">
          <w:marLeft w:val="480"/>
          <w:marRight w:val="0"/>
          <w:marTop w:val="0"/>
          <w:marBottom w:val="0"/>
          <w:divBdr>
            <w:top w:val="none" w:sz="0" w:space="0" w:color="auto"/>
            <w:left w:val="none" w:sz="0" w:space="0" w:color="auto"/>
            <w:bottom w:val="none" w:sz="0" w:space="0" w:color="auto"/>
            <w:right w:val="none" w:sz="0" w:space="0" w:color="auto"/>
          </w:divBdr>
        </w:div>
        <w:div w:id="661783418">
          <w:marLeft w:val="480"/>
          <w:marRight w:val="0"/>
          <w:marTop w:val="0"/>
          <w:marBottom w:val="0"/>
          <w:divBdr>
            <w:top w:val="none" w:sz="0" w:space="0" w:color="auto"/>
            <w:left w:val="none" w:sz="0" w:space="0" w:color="auto"/>
            <w:bottom w:val="none" w:sz="0" w:space="0" w:color="auto"/>
            <w:right w:val="none" w:sz="0" w:space="0" w:color="auto"/>
          </w:divBdr>
        </w:div>
        <w:div w:id="629746461">
          <w:marLeft w:val="480"/>
          <w:marRight w:val="0"/>
          <w:marTop w:val="0"/>
          <w:marBottom w:val="0"/>
          <w:divBdr>
            <w:top w:val="none" w:sz="0" w:space="0" w:color="auto"/>
            <w:left w:val="none" w:sz="0" w:space="0" w:color="auto"/>
            <w:bottom w:val="none" w:sz="0" w:space="0" w:color="auto"/>
            <w:right w:val="none" w:sz="0" w:space="0" w:color="auto"/>
          </w:divBdr>
        </w:div>
        <w:div w:id="1943875842">
          <w:marLeft w:val="480"/>
          <w:marRight w:val="0"/>
          <w:marTop w:val="0"/>
          <w:marBottom w:val="0"/>
          <w:divBdr>
            <w:top w:val="none" w:sz="0" w:space="0" w:color="auto"/>
            <w:left w:val="none" w:sz="0" w:space="0" w:color="auto"/>
            <w:bottom w:val="none" w:sz="0" w:space="0" w:color="auto"/>
            <w:right w:val="none" w:sz="0" w:space="0" w:color="auto"/>
          </w:divBdr>
        </w:div>
        <w:div w:id="1030494886">
          <w:marLeft w:val="480"/>
          <w:marRight w:val="0"/>
          <w:marTop w:val="0"/>
          <w:marBottom w:val="0"/>
          <w:divBdr>
            <w:top w:val="none" w:sz="0" w:space="0" w:color="auto"/>
            <w:left w:val="none" w:sz="0" w:space="0" w:color="auto"/>
            <w:bottom w:val="none" w:sz="0" w:space="0" w:color="auto"/>
            <w:right w:val="none" w:sz="0" w:space="0" w:color="auto"/>
          </w:divBdr>
        </w:div>
        <w:div w:id="1307398948">
          <w:marLeft w:val="480"/>
          <w:marRight w:val="0"/>
          <w:marTop w:val="0"/>
          <w:marBottom w:val="0"/>
          <w:divBdr>
            <w:top w:val="none" w:sz="0" w:space="0" w:color="auto"/>
            <w:left w:val="none" w:sz="0" w:space="0" w:color="auto"/>
            <w:bottom w:val="none" w:sz="0" w:space="0" w:color="auto"/>
            <w:right w:val="none" w:sz="0" w:space="0" w:color="auto"/>
          </w:divBdr>
        </w:div>
        <w:div w:id="1254240076">
          <w:marLeft w:val="480"/>
          <w:marRight w:val="0"/>
          <w:marTop w:val="0"/>
          <w:marBottom w:val="0"/>
          <w:divBdr>
            <w:top w:val="none" w:sz="0" w:space="0" w:color="auto"/>
            <w:left w:val="none" w:sz="0" w:space="0" w:color="auto"/>
            <w:bottom w:val="none" w:sz="0" w:space="0" w:color="auto"/>
            <w:right w:val="none" w:sz="0" w:space="0" w:color="auto"/>
          </w:divBdr>
        </w:div>
        <w:div w:id="1138644629">
          <w:marLeft w:val="480"/>
          <w:marRight w:val="0"/>
          <w:marTop w:val="0"/>
          <w:marBottom w:val="0"/>
          <w:divBdr>
            <w:top w:val="none" w:sz="0" w:space="0" w:color="auto"/>
            <w:left w:val="none" w:sz="0" w:space="0" w:color="auto"/>
            <w:bottom w:val="none" w:sz="0" w:space="0" w:color="auto"/>
            <w:right w:val="none" w:sz="0" w:space="0" w:color="auto"/>
          </w:divBdr>
        </w:div>
        <w:div w:id="115879628">
          <w:marLeft w:val="480"/>
          <w:marRight w:val="0"/>
          <w:marTop w:val="0"/>
          <w:marBottom w:val="0"/>
          <w:divBdr>
            <w:top w:val="none" w:sz="0" w:space="0" w:color="auto"/>
            <w:left w:val="none" w:sz="0" w:space="0" w:color="auto"/>
            <w:bottom w:val="none" w:sz="0" w:space="0" w:color="auto"/>
            <w:right w:val="none" w:sz="0" w:space="0" w:color="auto"/>
          </w:divBdr>
        </w:div>
        <w:div w:id="47073829">
          <w:marLeft w:val="480"/>
          <w:marRight w:val="0"/>
          <w:marTop w:val="0"/>
          <w:marBottom w:val="0"/>
          <w:divBdr>
            <w:top w:val="none" w:sz="0" w:space="0" w:color="auto"/>
            <w:left w:val="none" w:sz="0" w:space="0" w:color="auto"/>
            <w:bottom w:val="none" w:sz="0" w:space="0" w:color="auto"/>
            <w:right w:val="none" w:sz="0" w:space="0" w:color="auto"/>
          </w:divBdr>
        </w:div>
        <w:div w:id="1913081556">
          <w:marLeft w:val="480"/>
          <w:marRight w:val="0"/>
          <w:marTop w:val="0"/>
          <w:marBottom w:val="0"/>
          <w:divBdr>
            <w:top w:val="none" w:sz="0" w:space="0" w:color="auto"/>
            <w:left w:val="none" w:sz="0" w:space="0" w:color="auto"/>
            <w:bottom w:val="none" w:sz="0" w:space="0" w:color="auto"/>
            <w:right w:val="none" w:sz="0" w:space="0" w:color="auto"/>
          </w:divBdr>
        </w:div>
        <w:div w:id="1518084087">
          <w:marLeft w:val="480"/>
          <w:marRight w:val="0"/>
          <w:marTop w:val="0"/>
          <w:marBottom w:val="0"/>
          <w:divBdr>
            <w:top w:val="none" w:sz="0" w:space="0" w:color="auto"/>
            <w:left w:val="none" w:sz="0" w:space="0" w:color="auto"/>
            <w:bottom w:val="none" w:sz="0" w:space="0" w:color="auto"/>
            <w:right w:val="none" w:sz="0" w:space="0" w:color="auto"/>
          </w:divBdr>
        </w:div>
        <w:div w:id="121466362">
          <w:marLeft w:val="480"/>
          <w:marRight w:val="0"/>
          <w:marTop w:val="0"/>
          <w:marBottom w:val="0"/>
          <w:divBdr>
            <w:top w:val="none" w:sz="0" w:space="0" w:color="auto"/>
            <w:left w:val="none" w:sz="0" w:space="0" w:color="auto"/>
            <w:bottom w:val="none" w:sz="0" w:space="0" w:color="auto"/>
            <w:right w:val="none" w:sz="0" w:space="0" w:color="auto"/>
          </w:divBdr>
        </w:div>
        <w:div w:id="178129517">
          <w:marLeft w:val="480"/>
          <w:marRight w:val="0"/>
          <w:marTop w:val="0"/>
          <w:marBottom w:val="0"/>
          <w:divBdr>
            <w:top w:val="none" w:sz="0" w:space="0" w:color="auto"/>
            <w:left w:val="none" w:sz="0" w:space="0" w:color="auto"/>
            <w:bottom w:val="none" w:sz="0" w:space="0" w:color="auto"/>
            <w:right w:val="none" w:sz="0" w:space="0" w:color="auto"/>
          </w:divBdr>
        </w:div>
        <w:div w:id="64650778">
          <w:marLeft w:val="480"/>
          <w:marRight w:val="0"/>
          <w:marTop w:val="0"/>
          <w:marBottom w:val="0"/>
          <w:divBdr>
            <w:top w:val="none" w:sz="0" w:space="0" w:color="auto"/>
            <w:left w:val="none" w:sz="0" w:space="0" w:color="auto"/>
            <w:bottom w:val="none" w:sz="0" w:space="0" w:color="auto"/>
            <w:right w:val="none" w:sz="0" w:space="0" w:color="auto"/>
          </w:divBdr>
        </w:div>
        <w:div w:id="1825312079">
          <w:marLeft w:val="480"/>
          <w:marRight w:val="0"/>
          <w:marTop w:val="0"/>
          <w:marBottom w:val="0"/>
          <w:divBdr>
            <w:top w:val="none" w:sz="0" w:space="0" w:color="auto"/>
            <w:left w:val="none" w:sz="0" w:space="0" w:color="auto"/>
            <w:bottom w:val="none" w:sz="0" w:space="0" w:color="auto"/>
            <w:right w:val="none" w:sz="0" w:space="0" w:color="auto"/>
          </w:divBdr>
        </w:div>
        <w:div w:id="1341156618">
          <w:marLeft w:val="480"/>
          <w:marRight w:val="0"/>
          <w:marTop w:val="0"/>
          <w:marBottom w:val="0"/>
          <w:divBdr>
            <w:top w:val="none" w:sz="0" w:space="0" w:color="auto"/>
            <w:left w:val="none" w:sz="0" w:space="0" w:color="auto"/>
            <w:bottom w:val="none" w:sz="0" w:space="0" w:color="auto"/>
            <w:right w:val="none" w:sz="0" w:space="0" w:color="auto"/>
          </w:divBdr>
        </w:div>
        <w:div w:id="1819227431">
          <w:marLeft w:val="480"/>
          <w:marRight w:val="0"/>
          <w:marTop w:val="0"/>
          <w:marBottom w:val="0"/>
          <w:divBdr>
            <w:top w:val="none" w:sz="0" w:space="0" w:color="auto"/>
            <w:left w:val="none" w:sz="0" w:space="0" w:color="auto"/>
            <w:bottom w:val="none" w:sz="0" w:space="0" w:color="auto"/>
            <w:right w:val="none" w:sz="0" w:space="0" w:color="auto"/>
          </w:divBdr>
        </w:div>
        <w:div w:id="2098818863">
          <w:marLeft w:val="480"/>
          <w:marRight w:val="0"/>
          <w:marTop w:val="0"/>
          <w:marBottom w:val="0"/>
          <w:divBdr>
            <w:top w:val="none" w:sz="0" w:space="0" w:color="auto"/>
            <w:left w:val="none" w:sz="0" w:space="0" w:color="auto"/>
            <w:bottom w:val="none" w:sz="0" w:space="0" w:color="auto"/>
            <w:right w:val="none" w:sz="0" w:space="0" w:color="auto"/>
          </w:divBdr>
        </w:div>
        <w:div w:id="1646230303">
          <w:marLeft w:val="480"/>
          <w:marRight w:val="0"/>
          <w:marTop w:val="0"/>
          <w:marBottom w:val="0"/>
          <w:divBdr>
            <w:top w:val="none" w:sz="0" w:space="0" w:color="auto"/>
            <w:left w:val="none" w:sz="0" w:space="0" w:color="auto"/>
            <w:bottom w:val="none" w:sz="0" w:space="0" w:color="auto"/>
            <w:right w:val="none" w:sz="0" w:space="0" w:color="auto"/>
          </w:divBdr>
        </w:div>
        <w:div w:id="789400757">
          <w:marLeft w:val="480"/>
          <w:marRight w:val="0"/>
          <w:marTop w:val="0"/>
          <w:marBottom w:val="0"/>
          <w:divBdr>
            <w:top w:val="none" w:sz="0" w:space="0" w:color="auto"/>
            <w:left w:val="none" w:sz="0" w:space="0" w:color="auto"/>
            <w:bottom w:val="none" w:sz="0" w:space="0" w:color="auto"/>
            <w:right w:val="none" w:sz="0" w:space="0" w:color="auto"/>
          </w:divBdr>
        </w:div>
        <w:div w:id="1485269517">
          <w:marLeft w:val="480"/>
          <w:marRight w:val="0"/>
          <w:marTop w:val="0"/>
          <w:marBottom w:val="0"/>
          <w:divBdr>
            <w:top w:val="none" w:sz="0" w:space="0" w:color="auto"/>
            <w:left w:val="none" w:sz="0" w:space="0" w:color="auto"/>
            <w:bottom w:val="none" w:sz="0" w:space="0" w:color="auto"/>
            <w:right w:val="none" w:sz="0" w:space="0" w:color="auto"/>
          </w:divBdr>
        </w:div>
        <w:div w:id="1896508428">
          <w:marLeft w:val="480"/>
          <w:marRight w:val="0"/>
          <w:marTop w:val="0"/>
          <w:marBottom w:val="0"/>
          <w:divBdr>
            <w:top w:val="none" w:sz="0" w:space="0" w:color="auto"/>
            <w:left w:val="none" w:sz="0" w:space="0" w:color="auto"/>
            <w:bottom w:val="none" w:sz="0" w:space="0" w:color="auto"/>
            <w:right w:val="none" w:sz="0" w:space="0" w:color="auto"/>
          </w:divBdr>
        </w:div>
        <w:div w:id="52631368">
          <w:marLeft w:val="480"/>
          <w:marRight w:val="0"/>
          <w:marTop w:val="0"/>
          <w:marBottom w:val="0"/>
          <w:divBdr>
            <w:top w:val="none" w:sz="0" w:space="0" w:color="auto"/>
            <w:left w:val="none" w:sz="0" w:space="0" w:color="auto"/>
            <w:bottom w:val="none" w:sz="0" w:space="0" w:color="auto"/>
            <w:right w:val="none" w:sz="0" w:space="0" w:color="auto"/>
          </w:divBdr>
        </w:div>
        <w:div w:id="802381672">
          <w:marLeft w:val="480"/>
          <w:marRight w:val="0"/>
          <w:marTop w:val="0"/>
          <w:marBottom w:val="0"/>
          <w:divBdr>
            <w:top w:val="none" w:sz="0" w:space="0" w:color="auto"/>
            <w:left w:val="none" w:sz="0" w:space="0" w:color="auto"/>
            <w:bottom w:val="none" w:sz="0" w:space="0" w:color="auto"/>
            <w:right w:val="none" w:sz="0" w:space="0" w:color="auto"/>
          </w:divBdr>
        </w:div>
        <w:div w:id="734862021">
          <w:marLeft w:val="480"/>
          <w:marRight w:val="0"/>
          <w:marTop w:val="0"/>
          <w:marBottom w:val="0"/>
          <w:divBdr>
            <w:top w:val="none" w:sz="0" w:space="0" w:color="auto"/>
            <w:left w:val="none" w:sz="0" w:space="0" w:color="auto"/>
            <w:bottom w:val="none" w:sz="0" w:space="0" w:color="auto"/>
            <w:right w:val="none" w:sz="0" w:space="0" w:color="auto"/>
          </w:divBdr>
        </w:div>
        <w:div w:id="264962198">
          <w:marLeft w:val="480"/>
          <w:marRight w:val="0"/>
          <w:marTop w:val="0"/>
          <w:marBottom w:val="0"/>
          <w:divBdr>
            <w:top w:val="none" w:sz="0" w:space="0" w:color="auto"/>
            <w:left w:val="none" w:sz="0" w:space="0" w:color="auto"/>
            <w:bottom w:val="none" w:sz="0" w:space="0" w:color="auto"/>
            <w:right w:val="none" w:sz="0" w:space="0" w:color="auto"/>
          </w:divBdr>
        </w:div>
        <w:div w:id="489323247">
          <w:marLeft w:val="480"/>
          <w:marRight w:val="0"/>
          <w:marTop w:val="0"/>
          <w:marBottom w:val="0"/>
          <w:divBdr>
            <w:top w:val="none" w:sz="0" w:space="0" w:color="auto"/>
            <w:left w:val="none" w:sz="0" w:space="0" w:color="auto"/>
            <w:bottom w:val="none" w:sz="0" w:space="0" w:color="auto"/>
            <w:right w:val="none" w:sz="0" w:space="0" w:color="auto"/>
          </w:divBdr>
        </w:div>
        <w:div w:id="94595227">
          <w:marLeft w:val="480"/>
          <w:marRight w:val="0"/>
          <w:marTop w:val="0"/>
          <w:marBottom w:val="0"/>
          <w:divBdr>
            <w:top w:val="none" w:sz="0" w:space="0" w:color="auto"/>
            <w:left w:val="none" w:sz="0" w:space="0" w:color="auto"/>
            <w:bottom w:val="none" w:sz="0" w:space="0" w:color="auto"/>
            <w:right w:val="none" w:sz="0" w:space="0" w:color="auto"/>
          </w:divBdr>
        </w:div>
        <w:div w:id="113063712">
          <w:marLeft w:val="480"/>
          <w:marRight w:val="0"/>
          <w:marTop w:val="0"/>
          <w:marBottom w:val="0"/>
          <w:divBdr>
            <w:top w:val="none" w:sz="0" w:space="0" w:color="auto"/>
            <w:left w:val="none" w:sz="0" w:space="0" w:color="auto"/>
            <w:bottom w:val="none" w:sz="0" w:space="0" w:color="auto"/>
            <w:right w:val="none" w:sz="0" w:space="0" w:color="auto"/>
          </w:divBdr>
        </w:div>
        <w:div w:id="743768126">
          <w:marLeft w:val="480"/>
          <w:marRight w:val="0"/>
          <w:marTop w:val="0"/>
          <w:marBottom w:val="0"/>
          <w:divBdr>
            <w:top w:val="none" w:sz="0" w:space="0" w:color="auto"/>
            <w:left w:val="none" w:sz="0" w:space="0" w:color="auto"/>
            <w:bottom w:val="none" w:sz="0" w:space="0" w:color="auto"/>
            <w:right w:val="none" w:sz="0" w:space="0" w:color="auto"/>
          </w:divBdr>
        </w:div>
        <w:div w:id="2031492672">
          <w:marLeft w:val="480"/>
          <w:marRight w:val="0"/>
          <w:marTop w:val="0"/>
          <w:marBottom w:val="0"/>
          <w:divBdr>
            <w:top w:val="none" w:sz="0" w:space="0" w:color="auto"/>
            <w:left w:val="none" w:sz="0" w:space="0" w:color="auto"/>
            <w:bottom w:val="none" w:sz="0" w:space="0" w:color="auto"/>
            <w:right w:val="none" w:sz="0" w:space="0" w:color="auto"/>
          </w:divBdr>
        </w:div>
        <w:div w:id="945650531">
          <w:marLeft w:val="480"/>
          <w:marRight w:val="0"/>
          <w:marTop w:val="0"/>
          <w:marBottom w:val="0"/>
          <w:divBdr>
            <w:top w:val="none" w:sz="0" w:space="0" w:color="auto"/>
            <w:left w:val="none" w:sz="0" w:space="0" w:color="auto"/>
            <w:bottom w:val="none" w:sz="0" w:space="0" w:color="auto"/>
            <w:right w:val="none" w:sz="0" w:space="0" w:color="auto"/>
          </w:divBdr>
        </w:div>
        <w:div w:id="783159263">
          <w:marLeft w:val="480"/>
          <w:marRight w:val="0"/>
          <w:marTop w:val="0"/>
          <w:marBottom w:val="0"/>
          <w:divBdr>
            <w:top w:val="none" w:sz="0" w:space="0" w:color="auto"/>
            <w:left w:val="none" w:sz="0" w:space="0" w:color="auto"/>
            <w:bottom w:val="none" w:sz="0" w:space="0" w:color="auto"/>
            <w:right w:val="none" w:sz="0" w:space="0" w:color="auto"/>
          </w:divBdr>
        </w:div>
        <w:div w:id="1133331846">
          <w:marLeft w:val="480"/>
          <w:marRight w:val="0"/>
          <w:marTop w:val="0"/>
          <w:marBottom w:val="0"/>
          <w:divBdr>
            <w:top w:val="none" w:sz="0" w:space="0" w:color="auto"/>
            <w:left w:val="none" w:sz="0" w:space="0" w:color="auto"/>
            <w:bottom w:val="none" w:sz="0" w:space="0" w:color="auto"/>
            <w:right w:val="none" w:sz="0" w:space="0" w:color="auto"/>
          </w:divBdr>
        </w:div>
        <w:div w:id="2090106375">
          <w:marLeft w:val="480"/>
          <w:marRight w:val="0"/>
          <w:marTop w:val="0"/>
          <w:marBottom w:val="0"/>
          <w:divBdr>
            <w:top w:val="none" w:sz="0" w:space="0" w:color="auto"/>
            <w:left w:val="none" w:sz="0" w:space="0" w:color="auto"/>
            <w:bottom w:val="none" w:sz="0" w:space="0" w:color="auto"/>
            <w:right w:val="none" w:sz="0" w:space="0" w:color="auto"/>
          </w:divBdr>
        </w:div>
        <w:div w:id="1243563784">
          <w:marLeft w:val="480"/>
          <w:marRight w:val="0"/>
          <w:marTop w:val="0"/>
          <w:marBottom w:val="0"/>
          <w:divBdr>
            <w:top w:val="none" w:sz="0" w:space="0" w:color="auto"/>
            <w:left w:val="none" w:sz="0" w:space="0" w:color="auto"/>
            <w:bottom w:val="none" w:sz="0" w:space="0" w:color="auto"/>
            <w:right w:val="none" w:sz="0" w:space="0" w:color="auto"/>
          </w:divBdr>
        </w:div>
        <w:div w:id="683940676">
          <w:marLeft w:val="480"/>
          <w:marRight w:val="0"/>
          <w:marTop w:val="0"/>
          <w:marBottom w:val="0"/>
          <w:divBdr>
            <w:top w:val="none" w:sz="0" w:space="0" w:color="auto"/>
            <w:left w:val="none" w:sz="0" w:space="0" w:color="auto"/>
            <w:bottom w:val="none" w:sz="0" w:space="0" w:color="auto"/>
            <w:right w:val="none" w:sz="0" w:space="0" w:color="auto"/>
          </w:divBdr>
        </w:div>
        <w:div w:id="1633825984">
          <w:marLeft w:val="480"/>
          <w:marRight w:val="0"/>
          <w:marTop w:val="0"/>
          <w:marBottom w:val="0"/>
          <w:divBdr>
            <w:top w:val="none" w:sz="0" w:space="0" w:color="auto"/>
            <w:left w:val="none" w:sz="0" w:space="0" w:color="auto"/>
            <w:bottom w:val="none" w:sz="0" w:space="0" w:color="auto"/>
            <w:right w:val="none" w:sz="0" w:space="0" w:color="auto"/>
          </w:divBdr>
        </w:div>
        <w:div w:id="431972158">
          <w:marLeft w:val="480"/>
          <w:marRight w:val="0"/>
          <w:marTop w:val="0"/>
          <w:marBottom w:val="0"/>
          <w:divBdr>
            <w:top w:val="none" w:sz="0" w:space="0" w:color="auto"/>
            <w:left w:val="none" w:sz="0" w:space="0" w:color="auto"/>
            <w:bottom w:val="none" w:sz="0" w:space="0" w:color="auto"/>
            <w:right w:val="none" w:sz="0" w:space="0" w:color="auto"/>
          </w:divBdr>
        </w:div>
        <w:div w:id="1962372391">
          <w:marLeft w:val="480"/>
          <w:marRight w:val="0"/>
          <w:marTop w:val="0"/>
          <w:marBottom w:val="0"/>
          <w:divBdr>
            <w:top w:val="none" w:sz="0" w:space="0" w:color="auto"/>
            <w:left w:val="none" w:sz="0" w:space="0" w:color="auto"/>
            <w:bottom w:val="none" w:sz="0" w:space="0" w:color="auto"/>
            <w:right w:val="none" w:sz="0" w:space="0" w:color="auto"/>
          </w:divBdr>
        </w:div>
        <w:div w:id="776488985">
          <w:marLeft w:val="480"/>
          <w:marRight w:val="0"/>
          <w:marTop w:val="0"/>
          <w:marBottom w:val="0"/>
          <w:divBdr>
            <w:top w:val="none" w:sz="0" w:space="0" w:color="auto"/>
            <w:left w:val="none" w:sz="0" w:space="0" w:color="auto"/>
            <w:bottom w:val="none" w:sz="0" w:space="0" w:color="auto"/>
            <w:right w:val="none" w:sz="0" w:space="0" w:color="auto"/>
          </w:divBdr>
        </w:div>
        <w:div w:id="1721975239">
          <w:marLeft w:val="480"/>
          <w:marRight w:val="0"/>
          <w:marTop w:val="0"/>
          <w:marBottom w:val="0"/>
          <w:divBdr>
            <w:top w:val="none" w:sz="0" w:space="0" w:color="auto"/>
            <w:left w:val="none" w:sz="0" w:space="0" w:color="auto"/>
            <w:bottom w:val="none" w:sz="0" w:space="0" w:color="auto"/>
            <w:right w:val="none" w:sz="0" w:space="0" w:color="auto"/>
          </w:divBdr>
        </w:div>
        <w:div w:id="1153183588">
          <w:marLeft w:val="480"/>
          <w:marRight w:val="0"/>
          <w:marTop w:val="0"/>
          <w:marBottom w:val="0"/>
          <w:divBdr>
            <w:top w:val="none" w:sz="0" w:space="0" w:color="auto"/>
            <w:left w:val="none" w:sz="0" w:space="0" w:color="auto"/>
            <w:bottom w:val="none" w:sz="0" w:space="0" w:color="auto"/>
            <w:right w:val="none" w:sz="0" w:space="0" w:color="auto"/>
          </w:divBdr>
        </w:div>
        <w:div w:id="640428683">
          <w:marLeft w:val="480"/>
          <w:marRight w:val="0"/>
          <w:marTop w:val="0"/>
          <w:marBottom w:val="0"/>
          <w:divBdr>
            <w:top w:val="none" w:sz="0" w:space="0" w:color="auto"/>
            <w:left w:val="none" w:sz="0" w:space="0" w:color="auto"/>
            <w:bottom w:val="none" w:sz="0" w:space="0" w:color="auto"/>
            <w:right w:val="none" w:sz="0" w:space="0" w:color="auto"/>
          </w:divBdr>
        </w:div>
        <w:div w:id="1672370745">
          <w:marLeft w:val="480"/>
          <w:marRight w:val="0"/>
          <w:marTop w:val="0"/>
          <w:marBottom w:val="0"/>
          <w:divBdr>
            <w:top w:val="none" w:sz="0" w:space="0" w:color="auto"/>
            <w:left w:val="none" w:sz="0" w:space="0" w:color="auto"/>
            <w:bottom w:val="none" w:sz="0" w:space="0" w:color="auto"/>
            <w:right w:val="none" w:sz="0" w:space="0" w:color="auto"/>
          </w:divBdr>
        </w:div>
        <w:div w:id="1876767325">
          <w:marLeft w:val="480"/>
          <w:marRight w:val="0"/>
          <w:marTop w:val="0"/>
          <w:marBottom w:val="0"/>
          <w:divBdr>
            <w:top w:val="none" w:sz="0" w:space="0" w:color="auto"/>
            <w:left w:val="none" w:sz="0" w:space="0" w:color="auto"/>
            <w:bottom w:val="none" w:sz="0" w:space="0" w:color="auto"/>
            <w:right w:val="none" w:sz="0" w:space="0" w:color="auto"/>
          </w:divBdr>
        </w:div>
        <w:div w:id="934898520">
          <w:marLeft w:val="480"/>
          <w:marRight w:val="0"/>
          <w:marTop w:val="0"/>
          <w:marBottom w:val="0"/>
          <w:divBdr>
            <w:top w:val="none" w:sz="0" w:space="0" w:color="auto"/>
            <w:left w:val="none" w:sz="0" w:space="0" w:color="auto"/>
            <w:bottom w:val="none" w:sz="0" w:space="0" w:color="auto"/>
            <w:right w:val="none" w:sz="0" w:space="0" w:color="auto"/>
          </w:divBdr>
        </w:div>
        <w:div w:id="1287391824">
          <w:marLeft w:val="480"/>
          <w:marRight w:val="0"/>
          <w:marTop w:val="0"/>
          <w:marBottom w:val="0"/>
          <w:divBdr>
            <w:top w:val="none" w:sz="0" w:space="0" w:color="auto"/>
            <w:left w:val="none" w:sz="0" w:space="0" w:color="auto"/>
            <w:bottom w:val="none" w:sz="0" w:space="0" w:color="auto"/>
            <w:right w:val="none" w:sz="0" w:space="0" w:color="auto"/>
          </w:divBdr>
        </w:div>
        <w:div w:id="1434662993">
          <w:marLeft w:val="480"/>
          <w:marRight w:val="0"/>
          <w:marTop w:val="0"/>
          <w:marBottom w:val="0"/>
          <w:divBdr>
            <w:top w:val="none" w:sz="0" w:space="0" w:color="auto"/>
            <w:left w:val="none" w:sz="0" w:space="0" w:color="auto"/>
            <w:bottom w:val="none" w:sz="0" w:space="0" w:color="auto"/>
            <w:right w:val="none" w:sz="0" w:space="0" w:color="auto"/>
          </w:divBdr>
        </w:div>
        <w:div w:id="1317877146">
          <w:marLeft w:val="480"/>
          <w:marRight w:val="0"/>
          <w:marTop w:val="0"/>
          <w:marBottom w:val="0"/>
          <w:divBdr>
            <w:top w:val="none" w:sz="0" w:space="0" w:color="auto"/>
            <w:left w:val="none" w:sz="0" w:space="0" w:color="auto"/>
            <w:bottom w:val="none" w:sz="0" w:space="0" w:color="auto"/>
            <w:right w:val="none" w:sz="0" w:space="0" w:color="auto"/>
          </w:divBdr>
        </w:div>
        <w:div w:id="72552987">
          <w:marLeft w:val="480"/>
          <w:marRight w:val="0"/>
          <w:marTop w:val="0"/>
          <w:marBottom w:val="0"/>
          <w:divBdr>
            <w:top w:val="none" w:sz="0" w:space="0" w:color="auto"/>
            <w:left w:val="none" w:sz="0" w:space="0" w:color="auto"/>
            <w:bottom w:val="none" w:sz="0" w:space="0" w:color="auto"/>
            <w:right w:val="none" w:sz="0" w:space="0" w:color="auto"/>
          </w:divBdr>
        </w:div>
        <w:div w:id="81025029">
          <w:marLeft w:val="480"/>
          <w:marRight w:val="0"/>
          <w:marTop w:val="0"/>
          <w:marBottom w:val="0"/>
          <w:divBdr>
            <w:top w:val="none" w:sz="0" w:space="0" w:color="auto"/>
            <w:left w:val="none" w:sz="0" w:space="0" w:color="auto"/>
            <w:bottom w:val="none" w:sz="0" w:space="0" w:color="auto"/>
            <w:right w:val="none" w:sz="0" w:space="0" w:color="auto"/>
          </w:divBdr>
        </w:div>
        <w:div w:id="1953129845">
          <w:marLeft w:val="480"/>
          <w:marRight w:val="0"/>
          <w:marTop w:val="0"/>
          <w:marBottom w:val="0"/>
          <w:divBdr>
            <w:top w:val="none" w:sz="0" w:space="0" w:color="auto"/>
            <w:left w:val="none" w:sz="0" w:space="0" w:color="auto"/>
            <w:bottom w:val="none" w:sz="0" w:space="0" w:color="auto"/>
            <w:right w:val="none" w:sz="0" w:space="0" w:color="auto"/>
          </w:divBdr>
        </w:div>
        <w:div w:id="1009061982">
          <w:marLeft w:val="480"/>
          <w:marRight w:val="0"/>
          <w:marTop w:val="0"/>
          <w:marBottom w:val="0"/>
          <w:divBdr>
            <w:top w:val="none" w:sz="0" w:space="0" w:color="auto"/>
            <w:left w:val="none" w:sz="0" w:space="0" w:color="auto"/>
            <w:bottom w:val="none" w:sz="0" w:space="0" w:color="auto"/>
            <w:right w:val="none" w:sz="0" w:space="0" w:color="auto"/>
          </w:divBdr>
        </w:div>
        <w:div w:id="2076195072">
          <w:marLeft w:val="480"/>
          <w:marRight w:val="0"/>
          <w:marTop w:val="0"/>
          <w:marBottom w:val="0"/>
          <w:divBdr>
            <w:top w:val="none" w:sz="0" w:space="0" w:color="auto"/>
            <w:left w:val="none" w:sz="0" w:space="0" w:color="auto"/>
            <w:bottom w:val="none" w:sz="0" w:space="0" w:color="auto"/>
            <w:right w:val="none" w:sz="0" w:space="0" w:color="auto"/>
          </w:divBdr>
        </w:div>
        <w:div w:id="2054886747">
          <w:marLeft w:val="480"/>
          <w:marRight w:val="0"/>
          <w:marTop w:val="0"/>
          <w:marBottom w:val="0"/>
          <w:divBdr>
            <w:top w:val="none" w:sz="0" w:space="0" w:color="auto"/>
            <w:left w:val="none" w:sz="0" w:space="0" w:color="auto"/>
            <w:bottom w:val="none" w:sz="0" w:space="0" w:color="auto"/>
            <w:right w:val="none" w:sz="0" w:space="0" w:color="auto"/>
          </w:divBdr>
        </w:div>
        <w:div w:id="1175419284">
          <w:marLeft w:val="480"/>
          <w:marRight w:val="0"/>
          <w:marTop w:val="0"/>
          <w:marBottom w:val="0"/>
          <w:divBdr>
            <w:top w:val="none" w:sz="0" w:space="0" w:color="auto"/>
            <w:left w:val="none" w:sz="0" w:space="0" w:color="auto"/>
            <w:bottom w:val="none" w:sz="0" w:space="0" w:color="auto"/>
            <w:right w:val="none" w:sz="0" w:space="0" w:color="auto"/>
          </w:divBdr>
        </w:div>
        <w:div w:id="818576845">
          <w:marLeft w:val="480"/>
          <w:marRight w:val="0"/>
          <w:marTop w:val="0"/>
          <w:marBottom w:val="0"/>
          <w:divBdr>
            <w:top w:val="none" w:sz="0" w:space="0" w:color="auto"/>
            <w:left w:val="none" w:sz="0" w:space="0" w:color="auto"/>
            <w:bottom w:val="none" w:sz="0" w:space="0" w:color="auto"/>
            <w:right w:val="none" w:sz="0" w:space="0" w:color="auto"/>
          </w:divBdr>
        </w:div>
        <w:div w:id="1945724806">
          <w:marLeft w:val="480"/>
          <w:marRight w:val="0"/>
          <w:marTop w:val="0"/>
          <w:marBottom w:val="0"/>
          <w:divBdr>
            <w:top w:val="none" w:sz="0" w:space="0" w:color="auto"/>
            <w:left w:val="none" w:sz="0" w:space="0" w:color="auto"/>
            <w:bottom w:val="none" w:sz="0" w:space="0" w:color="auto"/>
            <w:right w:val="none" w:sz="0" w:space="0" w:color="auto"/>
          </w:divBdr>
        </w:div>
        <w:div w:id="1663120878">
          <w:marLeft w:val="480"/>
          <w:marRight w:val="0"/>
          <w:marTop w:val="0"/>
          <w:marBottom w:val="0"/>
          <w:divBdr>
            <w:top w:val="none" w:sz="0" w:space="0" w:color="auto"/>
            <w:left w:val="none" w:sz="0" w:space="0" w:color="auto"/>
            <w:bottom w:val="none" w:sz="0" w:space="0" w:color="auto"/>
            <w:right w:val="none" w:sz="0" w:space="0" w:color="auto"/>
          </w:divBdr>
        </w:div>
        <w:div w:id="824517858">
          <w:marLeft w:val="480"/>
          <w:marRight w:val="0"/>
          <w:marTop w:val="0"/>
          <w:marBottom w:val="0"/>
          <w:divBdr>
            <w:top w:val="none" w:sz="0" w:space="0" w:color="auto"/>
            <w:left w:val="none" w:sz="0" w:space="0" w:color="auto"/>
            <w:bottom w:val="none" w:sz="0" w:space="0" w:color="auto"/>
            <w:right w:val="none" w:sz="0" w:space="0" w:color="auto"/>
          </w:divBdr>
        </w:div>
        <w:div w:id="441457794">
          <w:marLeft w:val="480"/>
          <w:marRight w:val="0"/>
          <w:marTop w:val="0"/>
          <w:marBottom w:val="0"/>
          <w:divBdr>
            <w:top w:val="none" w:sz="0" w:space="0" w:color="auto"/>
            <w:left w:val="none" w:sz="0" w:space="0" w:color="auto"/>
            <w:bottom w:val="none" w:sz="0" w:space="0" w:color="auto"/>
            <w:right w:val="none" w:sz="0" w:space="0" w:color="auto"/>
          </w:divBdr>
        </w:div>
        <w:div w:id="43793021">
          <w:marLeft w:val="480"/>
          <w:marRight w:val="0"/>
          <w:marTop w:val="0"/>
          <w:marBottom w:val="0"/>
          <w:divBdr>
            <w:top w:val="none" w:sz="0" w:space="0" w:color="auto"/>
            <w:left w:val="none" w:sz="0" w:space="0" w:color="auto"/>
            <w:bottom w:val="none" w:sz="0" w:space="0" w:color="auto"/>
            <w:right w:val="none" w:sz="0" w:space="0" w:color="auto"/>
          </w:divBdr>
        </w:div>
        <w:div w:id="1909605289">
          <w:marLeft w:val="480"/>
          <w:marRight w:val="0"/>
          <w:marTop w:val="0"/>
          <w:marBottom w:val="0"/>
          <w:divBdr>
            <w:top w:val="none" w:sz="0" w:space="0" w:color="auto"/>
            <w:left w:val="none" w:sz="0" w:space="0" w:color="auto"/>
            <w:bottom w:val="none" w:sz="0" w:space="0" w:color="auto"/>
            <w:right w:val="none" w:sz="0" w:space="0" w:color="auto"/>
          </w:divBdr>
        </w:div>
        <w:div w:id="2018993086">
          <w:marLeft w:val="480"/>
          <w:marRight w:val="0"/>
          <w:marTop w:val="0"/>
          <w:marBottom w:val="0"/>
          <w:divBdr>
            <w:top w:val="none" w:sz="0" w:space="0" w:color="auto"/>
            <w:left w:val="none" w:sz="0" w:space="0" w:color="auto"/>
            <w:bottom w:val="none" w:sz="0" w:space="0" w:color="auto"/>
            <w:right w:val="none" w:sz="0" w:space="0" w:color="auto"/>
          </w:divBdr>
        </w:div>
        <w:div w:id="469640490">
          <w:marLeft w:val="480"/>
          <w:marRight w:val="0"/>
          <w:marTop w:val="0"/>
          <w:marBottom w:val="0"/>
          <w:divBdr>
            <w:top w:val="none" w:sz="0" w:space="0" w:color="auto"/>
            <w:left w:val="none" w:sz="0" w:space="0" w:color="auto"/>
            <w:bottom w:val="none" w:sz="0" w:space="0" w:color="auto"/>
            <w:right w:val="none" w:sz="0" w:space="0" w:color="auto"/>
          </w:divBdr>
        </w:div>
        <w:div w:id="194857704">
          <w:marLeft w:val="480"/>
          <w:marRight w:val="0"/>
          <w:marTop w:val="0"/>
          <w:marBottom w:val="0"/>
          <w:divBdr>
            <w:top w:val="none" w:sz="0" w:space="0" w:color="auto"/>
            <w:left w:val="none" w:sz="0" w:space="0" w:color="auto"/>
            <w:bottom w:val="none" w:sz="0" w:space="0" w:color="auto"/>
            <w:right w:val="none" w:sz="0" w:space="0" w:color="auto"/>
          </w:divBdr>
        </w:div>
        <w:div w:id="677925654">
          <w:marLeft w:val="480"/>
          <w:marRight w:val="0"/>
          <w:marTop w:val="0"/>
          <w:marBottom w:val="0"/>
          <w:divBdr>
            <w:top w:val="none" w:sz="0" w:space="0" w:color="auto"/>
            <w:left w:val="none" w:sz="0" w:space="0" w:color="auto"/>
            <w:bottom w:val="none" w:sz="0" w:space="0" w:color="auto"/>
            <w:right w:val="none" w:sz="0" w:space="0" w:color="auto"/>
          </w:divBdr>
        </w:div>
        <w:div w:id="1835414811">
          <w:marLeft w:val="480"/>
          <w:marRight w:val="0"/>
          <w:marTop w:val="0"/>
          <w:marBottom w:val="0"/>
          <w:divBdr>
            <w:top w:val="none" w:sz="0" w:space="0" w:color="auto"/>
            <w:left w:val="none" w:sz="0" w:space="0" w:color="auto"/>
            <w:bottom w:val="none" w:sz="0" w:space="0" w:color="auto"/>
            <w:right w:val="none" w:sz="0" w:space="0" w:color="auto"/>
          </w:divBdr>
        </w:div>
        <w:div w:id="429012921">
          <w:marLeft w:val="480"/>
          <w:marRight w:val="0"/>
          <w:marTop w:val="0"/>
          <w:marBottom w:val="0"/>
          <w:divBdr>
            <w:top w:val="none" w:sz="0" w:space="0" w:color="auto"/>
            <w:left w:val="none" w:sz="0" w:space="0" w:color="auto"/>
            <w:bottom w:val="none" w:sz="0" w:space="0" w:color="auto"/>
            <w:right w:val="none" w:sz="0" w:space="0" w:color="auto"/>
          </w:divBdr>
        </w:div>
        <w:div w:id="1947958199">
          <w:marLeft w:val="480"/>
          <w:marRight w:val="0"/>
          <w:marTop w:val="0"/>
          <w:marBottom w:val="0"/>
          <w:divBdr>
            <w:top w:val="none" w:sz="0" w:space="0" w:color="auto"/>
            <w:left w:val="none" w:sz="0" w:space="0" w:color="auto"/>
            <w:bottom w:val="none" w:sz="0" w:space="0" w:color="auto"/>
            <w:right w:val="none" w:sz="0" w:space="0" w:color="auto"/>
          </w:divBdr>
        </w:div>
        <w:div w:id="2116247377">
          <w:marLeft w:val="480"/>
          <w:marRight w:val="0"/>
          <w:marTop w:val="0"/>
          <w:marBottom w:val="0"/>
          <w:divBdr>
            <w:top w:val="none" w:sz="0" w:space="0" w:color="auto"/>
            <w:left w:val="none" w:sz="0" w:space="0" w:color="auto"/>
            <w:bottom w:val="none" w:sz="0" w:space="0" w:color="auto"/>
            <w:right w:val="none" w:sz="0" w:space="0" w:color="auto"/>
          </w:divBdr>
        </w:div>
        <w:div w:id="338239676">
          <w:marLeft w:val="480"/>
          <w:marRight w:val="0"/>
          <w:marTop w:val="0"/>
          <w:marBottom w:val="0"/>
          <w:divBdr>
            <w:top w:val="none" w:sz="0" w:space="0" w:color="auto"/>
            <w:left w:val="none" w:sz="0" w:space="0" w:color="auto"/>
            <w:bottom w:val="none" w:sz="0" w:space="0" w:color="auto"/>
            <w:right w:val="none" w:sz="0" w:space="0" w:color="auto"/>
          </w:divBdr>
        </w:div>
        <w:div w:id="647789068">
          <w:marLeft w:val="480"/>
          <w:marRight w:val="0"/>
          <w:marTop w:val="0"/>
          <w:marBottom w:val="0"/>
          <w:divBdr>
            <w:top w:val="none" w:sz="0" w:space="0" w:color="auto"/>
            <w:left w:val="none" w:sz="0" w:space="0" w:color="auto"/>
            <w:bottom w:val="none" w:sz="0" w:space="0" w:color="auto"/>
            <w:right w:val="none" w:sz="0" w:space="0" w:color="auto"/>
          </w:divBdr>
        </w:div>
        <w:div w:id="1034696027">
          <w:marLeft w:val="480"/>
          <w:marRight w:val="0"/>
          <w:marTop w:val="0"/>
          <w:marBottom w:val="0"/>
          <w:divBdr>
            <w:top w:val="none" w:sz="0" w:space="0" w:color="auto"/>
            <w:left w:val="none" w:sz="0" w:space="0" w:color="auto"/>
            <w:bottom w:val="none" w:sz="0" w:space="0" w:color="auto"/>
            <w:right w:val="none" w:sz="0" w:space="0" w:color="auto"/>
          </w:divBdr>
        </w:div>
        <w:div w:id="1195271052">
          <w:marLeft w:val="480"/>
          <w:marRight w:val="0"/>
          <w:marTop w:val="0"/>
          <w:marBottom w:val="0"/>
          <w:divBdr>
            <w:top w:val="none" w:sz="0" w:space="0" w:color="auto"/>
            <w:left w:val="none" w:sz="0" w:space="0" w:color="auto"/>
            <w:bottom w:val="none" w:sz="0" w:space="0" w:color="auto"/>
            <w:right w:val="none" w:sz="0" w:space="0" w:color="auto"/>
          </w:divBdr>
        </w:div>
        <w:div w:id="1575508268">
          <w:marLeft w:val="480"/>
          <w:marRight w:val="0"/>
          <w:marTop w:val="0"/>
          <w:marBottom w:val="0"/>
          <w:divBdr>
            <w:top w:val="none" w:sz="0" w:space="0" w:color="auto"/>
            <w:left w:val="none" w:sz="0" w:space="0" w:color="auto"/>
            <w:bottom w:val="none" w:sz="0" w:space="0" w:color="auto"/>
            <w:right w:val="none" w:sz="0" w:space="0" w:color="auto"/>
          </w:divBdr>
        </w:div>
        <w:div w:id="437261269">
          <w:marLeft w:val="480"/>
          <w:marRight w:val="0"/>
          <w:marTop w:val="0"/>
          <w:marBottom w:val="0"/>
          <w:divBdr>
            <w:top w:val="none" w:sz="0" w:space="0" w:color="auto"/>
            <w:left w:val="none" w:sz="0" w:space="0" w:color="auto"/>
            <w:bottom w:val="none" w:sz="0" w:space="0" w:color="auto"/>
            <w:right w:val="none" w:sz="0" w:space="0" w:color="auto"/>
          </w:divBdr>
        </w:div>
        <w:div w:id="13313834">
          <w:marLeft w:val="480"/>
          <w:marRight w:val="0"/>
          <w:marTop w:val="0"/>
          <w:marBottom w:val="0"/>
          <w:divBdr>
            <w:top w:val="none" w:sz="0" w:space="0" w:color="auto"/>
            <w:left w:val="none" w:sz="0" w:space="0" w:color="auto"/>
            <w:bottom w:val="none" w:sz="0" w:space="0" w:color="auto"/>
            <w:right w:val="none" w:sz="0" w:space="0" w:color="auto"/>
          </w:divBdr>
        </w:div>
        <w:div w:id="1954359958">
          <w:marLeft w:val="480"/>
          <w:marRight w:val="0"/>
          <w:marTop w:val="0"/>
          <w:marBottom w:val="0"/>
          <w:divBdr>
            <w:top w:val="none" w:sz="0" w:space="0" w:color="auto"/>
            <w:left w:val="none" w:sz="0" w:space="0" w:color="auto"/>
            <w:bottom w:val="none" w:sz="0" w:space="0" w:color="auto"/>
            <w:right w:val="none" w:sz="0" w:space="0" w:color="auto"/>
          </w:divBdr>
        </w:div>
        <w:div w:id="351995702">
          <w:marLeft w:val="480"/>
          <w:marRight w:val="0"/>
          <w:marTop w:val="0"/>
          <w:marBottom w:val="0"/>
          <w:divBdr>
            <w:top w:val="none" w:sz="0" w:space="0" w:color="auto"/>
            <w:left w:val="none" w:sz="0" w:space="0" w:color="auto"/>
            <w:bottom w:val="none" w:sz="0" w:space="0" w:color="auto"/>
            <w:right w:val="none" w:sz="0" w:space="0" w:color="auto"/>
          </w:divBdr>
        </w:div>
        <w:div w:id="1095051594">
          <w:marLeft w:val="480"/>
          <w:marRight w:val="0"/>
          <w:marTop w:val="0"/>
          <w:marBottom w:val="0"/>
          <w:divBdr>
            <w:top w:val="none" w:sz="0" w:space="0" w:color="auto"/>
            <w:left w:val="none" w:sz="0" w:space="0" w:color="auto"/>
            <w:bottom w:val="none" w:sz="0" w:space="0" w:color="auto"/>
            <w:right w:val="none" w:sz="0" w:space="0" w:color="auto"/>
          </w:divBdr>
        </w:div>
        <w:div w:id="1265109054">
          <w:marLeft w:val="480"/>
          <w:marRight w:val="0"/>
          <w:marTop w:val="0"/>
          <w:marBottom w:val="0"/>
          <w:divBdr>
            <w:top w:val="none" w:sz="0" w:space="0" w:color="auto"/>
            <w:left w:val="none" w:sz="0" w:space="0" w:color="auto"/>
            <w:bottom w:val="none" w:sz="0" w:space="0" w:color="auto"/>
            <w:right w:val="none" w:sz="0" w:space="0" w:color="auto"/>
          </w:divBdr>
        </w:div>
        <w:div w:id="337126420">
          <w:marLeft w:val="480"/>
          <w:marRight w:val="0"/>
          <w:marTop w:val="0"/>
          <w:marBottom w:val="0"/>
          <w:divBdr>
            <w:top w:val="none" w:sz="0" w:space="0" w:color="auto"/>
            <w:left w:val="none" w:sz="0" w:space="0" w:color="auto"/>
            <w:bottom w:val="none" w:sz="0" w:space="0" w:color="auto"/>
            <w:right w:val="none" w:sz="0" w:space="0" w:color="auto"/>
          </w:divBdr>
        </w:div>
        <w:div w:id="792095717">
          <w:marLeft w:val="480"/>
          <w:marRight w:val="0"/>
          <w:marTop w:val="0"/>
          <w:marBottom w:val="0"/>
          <w:divBdr>
            <w:top w:val="none" w:sz="0" w:space="0" w:color="auto"/>
            <w:left w:val="none" w:sz="0" w:space="0" w:color="auto"/>
            <w:bottom w:val="none" w:sz="0" w:space="0" w:color="auto"/>
            <w:right w:val="none" w:sz="0" w:space="0" w:color="auto"/>
          </w:divBdr>
        </w:div>
        <w:div w:id="1605067799">
          <w:marLeft w:val="480"/>
          <w:marRight w:val="0"/>
          <w:marTop w:val="0"/>
          <w:marBottom w:val="0"/>
          <w:divBdr>
            <w:top w:val="none" w:sz="0" w:space="0" w:color="auto"/>
            <w:left w:val="none" w:sz="0" w:space="0" w:color="auto"/>
            <w:bottom w:val="none" w:sz="0" w:space="0" w:color="auto"/>
            <w:right w:val="none" w:sz="0" w:space="0" w:color="auto"/>
          </w:divBdr>
        </w:div>
        <w:div w:id="287319888">
          <w:marLeft w:val="480"/>
          <w:marRight w:val="0"/>
          <w:marTop w:val="0"/>
          <w:marBottom w:val="0"/>
          <w:divBdr>
            <w:top w:val="none" w:sz="0" w:space="0" w:color="auto"/>
            <w:left w:val="none" w:sz="0" w:space="0" w:color="auto"/>
            <w:bottom w:val="none" w:sz="0" w:space="0" w:color="auto"/>
            <w:right w:val="none" w:sz="0" w:space="0" w:color="auto"/>
          </w:divBdr>
        </w:div>
        <w:div w:id="147719604">
          <w:marLeft w:val="480"/>
          <w:marRight w:val="0"/>
          <w:marTop w:val="0"/>
          <w:marBottom w:val="0"/>
          <w:divBdr>
            <w:top w:val="none" w:sz="0" w:space="0" w:color="auto"/>
            <w:left w:val="none" w:sz="0" w:space="0" w:color="auto"/>
            <w:bottom w:val="none" w:sz="0" w:space="0" w:color="auto"/>
            <w:right w:val="none" w:sz="0" w:space="0" w:color="auto"/>
          </w:divBdr>
        </w:div>
        <w:div w:id="108010214">
          <w:marLeft w:val="480"/>
          <w:marRight w:val="0"/>
          <w:marTop w:val="0"/>
          <w:marBottom w:val="0"/>
          <w:divBdr>
            <w:top w:val="none" w:sz="0" w:space="0" w:color="auto"/>
            <w:left w:val="none" w:sz="0" w:space="0" w:color="auto"/>
            <w:bottom w:val="none" w:sz="0" w:space="0" w:color="auto"/>
            <w:right w:val="none" w:sz="0" w:space="0" w:color="auto"/>
          </w:divBdr>
        </w:div>
        <w:div w:id="664164801">
          <w:marLeft w:val="480"/>
          <w:marRight w:val="0"/>
          <w:marTop w:val="0"/>
          <w:marBottom w:val="0"/>
          <w:divBdr>
            <w:top w:val="none" w:sz="0" w:space="0" w:color="auto"/>
            <w:left w:val="none" w:sz="0" w:space="0" w:color="auto"/>
            <w:bottom w:val="none" w:sz="0" w:space="0" w:color="auto"/>
            <w:right w:val="none" w:sz="0" w:space="0" w:color="auto"/>
          </w:divBdr>
        </w:div>
        <w:div w:id="1756586780">
          <w:marLeft w:val="480"/>
          <w:marRight w:val="0"/>
          <w:marTop w:val="0"/>
          <w:marBottom w:val="0"/>
          <w:divBdr>
            <w:top w:val="none" w:sz="0" w:space="0" w:color="auto"/>
            <w:left w:val="none" w:sz="0" w:space="0" w:color="auto"/>
            <w:bottom w:val="none" w:sz="0" w:space="0" w:color="auto"/>
            <w:right w:val="none" w:sz="0" w:space="0" w:color="auto"/>
          </w:divBdr>
        </w:div>
        <w:div w:id="174156261">
          <w:marLeft w:val="480"/>
          <w:marRight w:val="0"/>
          <w:marTop w:val="0"/>
          <w:marBottom w:val="0"/>
          <w:divBdr>
            <w:top w:val="none" w:sz="0" w:space="0" w:color="auto"/>
            <w:left w:val="none" w:sz="0" w:space="0" w:color="auto"/>
            <w:bottom w:val="none" w:sz="0" w:space="0" w:color="auto"/>
            <w:right w:val="none" w:sz="0" w:space="0" w:color="auto"/>
          </w:divBdr>
        </w:div>
        <w:div w:id="1488129952">
          <w:marLeft w:val="480"/>
          <w:marRight w:val="0"/>
          <w:marTop w:val="0"/>
          <w:marBottom w:val="0"/>
          <w:divBdr>
            <w:top w:val="none" w:sz="0" w:space="0" w:color="auto"/>
            <w:left w:val="none" w:sz="0" w:space="0" w:color="auto"/>
            <w:bottom w:val="none" w:sz="0" w:space="0" w:color="auto"/>
            <w:right w:val="none" w:sz="0" w:space="0" w:color="auto"/>
          </w:divBdr>
        </w:div>
        <w:div w:id="1729373594">
          <w:marLeft w:val="480"/>
          <w:marRight w:val="0"/>
          <w:marTop w:val="0"/>
          <w:marBottom w:val="0"/>
          <w:divBdr>
            <w:top w:val="none" w:sz="0" w:space="0" w:color="auto"/>
            <w:left w:val="none" w:sz="0" w:space="0" w:color="auto"/>
            <w:bottom w:val="none" w:sz="0" w:space="0" w:color="auto"/>
            <w:right w:val="none" w:sz="0" w:space="0" w:color="auto"/>
          </w:divBdr>
        </w:div>
        <w:div w:id="925919368">
          <w:marLeft w:val="480"/>
          <w:marRight w:val="0"/>
          <w:marTop w:val="0"/>
          <w:marBottom w:val="0"/>
          <w:divBdr>
            <w:top w:val="none" w:sz="0" w:space="0" w:color="auto"/>
            <w:left w:val="none" w:sz="0" w:space="0" w:color="auto"/>
            <w:bottom w:val="none" w:sz="0" w:space="0" w:color="auto"/>
            <w:right w:val="none" w:sz="0" w:space="0" w:color="auto"/>
          </w:divBdr>
        </w:div>
        <w:div w:id="362828686">
          <w:marLeft w:val="480"/>
          <w:marRight w:val="0"/>
          <w:marTop w:val="0"/>
          <w:marBottom w:val="0"/>
          <w:divBdr>
            <w:top w:val="none" w:sz="0" w:space="0" w:color="auto"/>
            <w:left w:val="none" w:sz="0" w:space="0" w:color="auto"/>
            <w:bottom w:val="none" w:sz="0" w:space="0" w:color="auto"/>
            <w:right w:val="none" w:sz="0" w:space="0" w:color="auto"/>
          </w:divBdr>
        </w:div>
        <w:div w:id="1570533421">
          <w:marLeft w:val="480"/>
          <w:marRight w:val="0"/>
          <w:marTop w:val="0"/>
          <w:marBottom w:val="0"/>
          <w:divBdr>
            <w:top w:val="none" w:sz="0" w:space="0" w:color="auto"/>
            <w:left w:val="none" w:sz="0" w:space="0" w:color="auto"/>
            <w:bottom w:val="none" w:sz="0" w:space="0" w:color="auto"/>
            <w:right w:val="none" w:sz="0" w:space="0" w:color="auto"/>
          </w:divBdr>
        </w:div>
        <w:div w:id="506944902">
          <w:marLeft w:val="480"/>
          <w:marRight w:val="0"/>
          <w:marTop w:val="0"/>
          <w:marBottom w:val="0"/>
          <w:divBdr>
            <w:top w:val="none" w:sz="0" w:space="0" w:color="auto"/>
            <w:left w:val="none" w:sz="0" w:space="0" w:color="auto"/>
            <w:bottom w:val="none" w:sz="0" w:space="0" w:color="auto"/>
            <w:right w:val="none" w:sz="0" w:space="0" w:color="auto"/>
          </w:divBdr>
        </w:div>
        <w:div w:id="976834602">
          <w:marLeft w:val="480"/>
          <w:marRight w:val="0"/>
          <w:marTop w:val="0"/>
          <w:marBottom w:val="0"/>
          <w:divBdr>
            <w:top w:val="none" w:sz="0" w:space="0" w:color="auto"/>
            <w:left w:val="none" w:sz="0" w:space="0" w:color="auto"/>
            <w:bottom w:val="none" w:sz="0" w:space="0" w:color="auto"/>
            <w:right w:val="none" w:sz="0" w:space="0" w:color="auto"/>
          </w:divBdr>
        </w:div>
        <w:div w:id="1712728333">
          <w:marLeft w:val="480"/>
          <w:marRight w:val="0"/>
          <w:marTop w:val="0"/>
          <w:marBottom w:val="0"/>
          <w:divBdr>
            <w:top w:val="none" w:sz="0" w:space="0" w:color="auto"/>
            <w:left w:val="none" w:sz="0" w:space="0" w:color="auto"/>
            <w:bottom w:val="none" w:sz="0" w:space="0" w:color="auto"/>
            <w:right w:val="none" w:sz="0" w:space="0" w:color="auto"/>
          </w:divBdr>
        </w:div>
        <w:div w:id="1293827519">
          <w:marLeft w:val="480"/>
          <w:marRight w:val="0"/>
          <w:marTop w:val="0"/>
          <w:marBottom w:val="0"/>
          <w:divBdr>
            <w:top w:val="none" w:sz="0" w:space="0" w:color="auto"/>
            <w:left w:val="none" w:sz="0" w:space="0" w:color="auto"/>
            <w:bottom w:val="none" w:sz="0" w:space="0" w:color="auto"/>
            <w:right w:val="none" w:sz="0" w:space="0" w:color="auto"/>
          </w:divBdr>
        </w:div>
        <w:div w:id="1751537344">
          <w:marLeft w:val="480"/>
          <w:marRight w:val="0"/>
          <w:marTop w:val="0"/>
          <w:marBottom w:val="0"/>
          <w:divBdr>
            <w:top w:val="none" w:sz="0" w:space="0" w:color="auto"/>
            <w:left w:val="none" w:sz="0" w:space="0" w:color="auto"/>
            <w:bottom w:val="none" w:sz="0" w:space="0" w:color="auto"/>
            <w:right w:val="none" w:sz="0" w:space="0" w:color="auto"/>
          </w:divBdr>
        </w:div>
        <w:div w:id="294334248">
          <w:marLeft w:val="480"/>
          <w:marRight w:val="0"/>
          <w:marTop w:val="0"/>
          <w:marBottom w:val="0"/>
          <w:divBdr>
            <w:top w:val="none" w:sz="0" w:space="0" w:color="auto"/>
            <w:left w:val="none" w:sz="0" w:space="0" w:color="auto"/>
            <w:bottom w:val="none" w:sz="0" w:space="0" w:color="auto"/>
            <w:right w:val="none" w:sz="0" w:space="0" w:color="auto"/>
          </w:divBdr>
        </w:div>
        <w:div w:id="695422585">
          <w:marLeft w:val="480"/>
          <w:marRight w:val="0"/>
          <w:marTop w:val="0"/>
          <w:marBottom w:val="0"/>
          <w:divBdr>
            <w:top w:val="none" w:sz="0" w:space="0" w:color="auto"/>
            <w:left w:val="none" w:sz="0" w:space="0" w:color="auto"/>
            <w:bottom w:val="none" w:sz="0" w:space="0" w:color="auto"/>
            <w:right w:val="none" w:sz="0" w:space="0" w:color="auto"/>
          </w:divBdr>
        </w:div>
        <w:div w:id="645284366">
          <w:marLeft w:val="480"/>
          <w:marRight w:val="0"/>
          <w:marTop w:val="0"/>
          <w:marBottom w:val="0"/>
          <w:divBdr>
            <w:top w:val="none" w:sz="0" w:space="0" w:color="auto"/>
            <w:left w:val="none" w:sz="0" w:space="0" w:color="auto"/>
            <w:bottom w:val="none" w:sz="0" w:space="0" w:color="auto"/>
            <w:right w:val="none" w:sz="0" w:space="0" w:color="auto"/>
          </w:divBdr>
        </w:div>
        <w:div w:id="585117332">
          <w:marLeft w:val="480"/>
          <w:marRight w:val="0"/>
          <w:marTop w:val="0"/>
          <w:marBottom w:val="0"/>
          <w:divBdr>
            <w:top w:val="none" w:sz="0" w:space="0" w:color="auto"/>
            <w:left w:val="none" w:sz="0" w:space="0" w:color="auto"/>
            <w:bottom w:val="none" w:sz="0" w:space="0" w:color="auto"/>
            <w:right w:val="none" w:sz="0" w:space="0" w:color="auto"/>
          </w:divBdr>
        </w:div>
        <w:div w:id="151408083">
          <w:marLeft w:val="480"/>
          <w:marRight w:val="0"/>
          <w:marTop w:val="0"/>
          <w:marBottom w:val="0"/>
          <w:divBdr>
            <w:top w:val="none" w:sz="0" w:space="0" w:color="auto"/>
            <w:left w:val="none" w:sz="0" w:space="0" w:color="auto"/>
            <w:bottom w:val="none" w:sz="0" w:space="0" w:color="auto"/>
            <w:right w:val="none" w:sz="0" w:space="0" w:color="auto"/>
          </w:divBdr>
        </w:div>
        <w:div w:id="603077052">
          <w:marLeft w:val="480"/>
          <w:marRight w:val="0"/>
          <w:marTop w:val="0"/>
          <w:marBottom w:val="0"/>
          <w:divBdr>
            <w:top w:val="none" w:sz="0" w:space="0" w:color="auto"/>
            <w:left w:val="none" w:sz="0" w:space="0" w:color="auto"/>
            <w:bottom w:val="none" w:sz="0" w:space="0" w:color="auto"/>
            <w:right w:val="none" w:sz="0" w:space="0" w:color="auto"/>
          </w:divBdr>
        </w:div>
        <w:div w:id="1105493695">
          <w:marLeft w:val="480"/>
          <w:marRight w:val="0"/>
          <w:marTop w:val="0"/>
          <w:marBottom w:val="0"/>
          <w:divBdr>
            <w:top w:val="none" w:sz="0" w:space="0" w:color="auto"/>
            <w:left w:val="none" w:sz="0" w:space="0" w:color="auto"/>
            <w:bottom w:val="none" w:sz="0" w:space="0" w:color="auto"/>
            <w:right w:val="none" w:sz="0" w:space="0" w:color="auto"/>
          </w:divBdr>
        </w:div>
        <w:div w:id="1840001412">
          <w:marLeft w:val="480"/>
          <w:marRight w:val="0"/>
          <w:marTop w:val="0"/>
          <w:marBottom w:val="0"/>
          <w:divBdr>
            <w:top w:val="none" w:sz="0" w:space="0" w:color="auto"/>
            <w:left w:val="none" w:sz="0" w:space="0" w:color="auto"/>
            <w:bottom w:val="none" w:sz="0" w:space="0" w:color="auto"/>
            <w:right w:val="none" w:sz="0" w:space="0" w:color="auto"/>
          </w:divBdr>
        </w:div>
        <w:div w:id="526332174">
          <w:marLeft w:val="480"/>
          <w:marRight w:val="0"/>
          <w:marTop w:val="0"/>
          <w:marBottom w:val="0"/>
          <w:divBdr>
            <w:top w:val="none" w:sz="0" w:space="0" w:color="auto"/>
            <w:left w:val="none" w:sz="0" w:space="0" w:color="auto"/>
            <w:bottom w:val="none" w:sz="0" w:space="0" w:color="auto"/>
            <w:right w:val="none" w:sz="0" w:space="0" w:color="auto"/>
          </w:divBdr>
        </w:div>
        <w:div w:id="563831998">
          <w:marLeft w:val="480"/>
          <w:marRight w:val="0"/>
          <w:marTop w:val="0"/>
          <w:marBottom w:val="0"/>
          <w:divBdr>
            <w:top w:val="none" w:sz="0" w:space="0" w:color="auto"/>
            <w:left w:val="none" w:sz="0" w:space="0" w:color="auto"/>
            <w:bottom w:val="none" w:sz="0" w:space="0" w:color="auto"/>
            <w:right w:val="none" w:sz="0" w:space="0" w:color="auto"/>
          </w:divBdr>
        </w:div>
        <w:div w:id="531571316">
          <w:marLeft w:val="480"/>
          <w:marRight w:val="0"/>
          <w:marTop w:val="0"/>
          <w:marBottom w:val="0"/>
          <w:divBdr>
            <w:top w:val="none" w:sz="0" w:space="0" w:color="auto"/>
            <w:left w:val="none" w:sz="0" w:space="0" w:color="auto"/>
            <w:bottom w:val="none" w:sz="0" w:space="0" w:color="auto"/>
            <w:right w:val="none" w:sz="0" w:space="0" w:color="auto"/>
          </w:divBdr>
        </w:div>
        <w:div w:id="1242135667">
          <w:marLeft w:val="480"/>
          <w:marRight w:val="0"/>
          <w:marTop w:val="0"/>
          <w:marBottom w:val="0"/>
          <w:divBdr>
            <w:top w:val="none" w:sz="0" w:space="0" w:color="auto"/>
            <w:left w:val="none" w:sz="0" w:space="0" w:color="auto"/>
            <w:bottom w:val="none" w:sz="0" w:space="0" w:color="auto"/>
            <w:right w:val="none" w:sz="0" w:space="0" w:color="auto"/>
          </w:divBdr>
        </w:div>
        <w:div w:id="1633438658">
          <w:marLeft w:val="480"/>
          <w:marRight w:val="0"/>
          <w:marTop w:val="0"/>
          <w:marBottom w:val="0"/>
          <w:divBdr>
            <w:top w:val="none" w:sz="0" w:space="0" w:color="auto"/>
            <w:left w:val="none" w:sz="0" w:space="0" w:color="auto"/>
            <w:bottom w:val="none" w:sz="0" w:space="0" w:color="auto"/>
            <w:right w:val="none" w:sz="0" w:space="0" w:color="auto"/>
          </w:divBdr>
        </w:div>
      </w:divsChild>
    </w:div>
    <w:div w:id="317922854">
      <w:bodyDiv w:val="1"/>
      <w:marLeft w:val="0"/>
      <w:marRight w:val="0"/>
      <w:marTop w:val="0"/>
      <w:marBottom w:val="0"/>
      <w:divBdr>
        <w:top w:val="none" w:sz="0" w:space="0" w:color="auto"/>
        <w:left w:val="none" w:sz="0" w:space="0" w:color="auto"/>
        <w:bottom w:val="none" w:sz="0" w:space="0" w:color="auto"/>
        <w:right w:val="none" w:sz="0" w:space="0" w:color="auto"/>
      </w:divBdr>
    </w:div>
    <w:div w:id="318267739">
      <w:bodyDiv w:val="1"/>
      <w:marLeft w:val="0"/>
      <w:marRight w:val="0"/>
      <w:marTop w:val="0"/>
      <w:marBottom w:val="0"/>
      <w:divBdr>
        <w:top w:val="none" w:sz="0" w:space="0" w:color="auto"/>
        <w:left w:val="none" w:sz="0" w:space="0" w:color="auto"/>
        <w:bottom w:val="none" w:sz="0" w:space="0" w:color="auto"/>
        <w:right w:val="none" w:sz="0" w:space="0" w:color="auto"/>
      </w:divBdr>
    </w:div>
    <w:div w:id="318341007">
      <w:bodyDiv w:val="1"/>
      <w:marLeft w:val="0"/>
      <w:marRight w:val="0"/>
      <w:marTop w:val="0"/>
      <w:marBottom w:val="0"/>
      <w:divBdr>
        <w:top w:val="none" w:sz="0" w:space="0" w:color="auto"/>
        <w:left w:val="none" w:sz="0" w:space="0" w:color="auto"/>
        <w:bottom w:val="none" w:sz="0" w:space="0" w:color="auto"/>
        <w:right w:val="none" w:sz="0" w:space="0" w:color="auto"/>
      </w:divBdr>
    </w:div>
    <w:div w:id="318536207">
      <w:bodyDiv w:val="1"/>
      <w:marLeft w:val="0"/>
      <w:marRight w:val="0"/>
      <w:marTop w:val="0"/>
      <w:marBottom w:val="0"/>
      <w:divBdr>
        <w:top w:val="none" w:sz="0" w:space="0" w:color="auto"/>
        <w:left w:val="none" w:sz="0" w:space="0" w:color="auto"/>
        <w:bottom w:val="none" w:sz="0" w:space="0" w:color="auto"/>
        <w:right w:val="none" w:sz="0" w:space="0" w:color="auto"/>
      </w:divBdr>
    </w:div>
    <w:div w:id="319701722">
      <w:bodyDiv w:val="1"/>
      <w:marLeft w:val="0"/>
      <w:marRight w:val="0"/>
      <w:marTop w:val="0"/>
      <w:marBottom w:val="0"/>
      <w:divBdr>
        <w:top w:val="none" w:sz="0" w:space="0" w:color="auto"/>
        <w:left w:val="none" w:sz="0" w:space="0" w:color="auto"/>
        <w:bottom w:val="none" w:sz="0" w:space="0" w:color="auto"/>
        <w:right w:val="none" w:sz="0" w:space="0" w:color="auto"/>
      </w:divBdr>
    </w:div>
    <w:div w:id="320085379">
      <w:bodyDiv w:val="1"/>
      <w:marLeft w:val="0"/>
      <w:marRight w:val="0"/>
      <w:marTop w:val="0"/>
      <w:marBottom w:val="0"/>
      <w:divBdr>
        <w:top w:val="none" w:sz="0" w:space="0" w:color="auto"/>
        <w:left w:val="none" w:sz="0" w:space="0" w:color="auto"/>
        <w:bottom w:val="none" w:sz="0" w:space="0" w:color="auto"/>
        <w:right w:val="none" w:sz="0" w:space="0" w:color="auto"/>
      </w:divBdr>
    </w:div>
    <w:div w:id="320161589">
      <w:bodyDiv w:val="1"/>
      <w:marLeft w:val="0"/>
      <w:marRight w:val="0"/>
      <w:marTop w:val="0"/>
      <w:marBottom w:val="0"/>
      <w:divBdr>
        <w:top w:val="none" w:sz="0" w:space="0" w:color="auto"/>
        <w:left w:val="none" w:sz="0" w:space="0" w:color="auto"/>
        <w:bottom w:val="none" w:sz="0" w:space="0" w:color="auto"/>
        <w:right w:val="none" w:sz="0" w:space="0" w:color="auto"/>
      </w:divBdr>
    </w:div>
    <w:div w:id="320617539">
      <w:bodyDiv w:val="1"/>
      <w:marLeft w:val="0"/>
      <w:marRight w:val="0"/>
      <w:marTop w:val="0"/>
      <w:marBottom w:val="0"/>
      <w:divBdr>
        <w:top w:val="none" w:sz="0" w:space="0" w:color="auto"/>
        <w:left w:val="none" w:sz="0" w:space="0" w:color="auto"/>
        <w:bottom w:val="none" w:sz="0" w:space="0" w:color="auto"/>
        <w:right w:val="none" w:sz="0" w:space="0" w:color="auto"/>
      </w:divBdr>
    </w:div>
    <w:div w:id="320892567">
      <w:bodyDiv w:val="1"/>
      <w:marLeft w:val="0"/>
      <w:marRight w:val="0"/>
      <w:marTop w:val="0"/>
      <w:marBottom w:val="0"/>
      <w:divBdr>
        <w:top w:val="none" w:sz="0" w:space="0" w:color="auto"/>
        <w:left w:val="none" w:sz="0" w:space="0" w:color="auto"/>
        <w:bottom w:val="none" w:sz="0" w:space="0" w:color="auto"/>
        <w:right w:val="none" w:sz="0" w:space="0" w:color="auto"/>
      </w:divBdr>
    </w:div>
    <w:div w:id="321592833">
      <w:bodyDiv w:val="1"/>
      <w:marLeft w:val="0"/>
      <w:marRight w:val="0"/>
      <w:marTop w:val="0"/>
      <w:marBottom w:val="0"/>
      <w:divBdr>
        <w:top w:val="none" w:sz="0" w:space="0" w:color="auto"/>
        <w:left w:val="none" w:sz="0" w:space="0" w:color="auto"/>
        <w:bottom w:val="none" w:sz="0" w:space="0" w:color="auto"/>
        <w:right w:val="none" w:sz="0" w:space="0" w:color="auto"/>
      </w:divBdr>
    </w:div>
    <w:div w:id="321736727">
      <w:bodyDiv w:val="1"/>
      <w:marLeft w:val="0"/>
      <w:marRight w:val="0"/>
      <w:marTop w:val="0"/>
      <w:marBottom w:val="0"/>
      <w:divBdr>
        <w:top w:val="none" w:sz="0" w:space="0" w:color="auto"/>
        <w:left w:val="none" w:sz="0" w:space="0" w:color="auto"/>
        <w:bottom w:val="none" w:sz="0" w:space="0" w:color="auto"/>
        <w:right w:val="none" w:sz="0" w:space="0" w:color="auto"/>
      </w:divBdr>
    </w:div>
    <w:div w:id="321860659">
      <w:bodyDiv w:val="1"/>
      <w:marLeft w:val="0"/>
      <w:marRight w:val="0"/>
      <w:marTop w:val="0"/>
      <w:marBottom w:val="0"/>
      <w:divBdr>
        <w:top w:val="none" w:sz="0" w:space="0" w:color="auto"/>
        <w:left w:val="none" w:sz="0" w:space="0" w:color="auto"/>
        <w:bottom w:val="none" w:sz="0" w:space="0" w:color="auto"/>
        <w:right w:val="none" w:sz="0" w:space="0" w:color="auto"/>
      </w:divBdr>
    </w:div>
    <w:div w:id="322130518">
      <w:bodyDiv w:val="1"/>
      <w:marLeft w:val="0"/>
      <w:marRight w:val="0"/>
      <w:marTop w:val="0"/>
      <w:marBottom w:val="0"/>
      <w:divBdr>
        <w:top w:val="none" w:sz="0" w:space="0" w:color="auto"/>
        <w:left w:val="none" w:sz="0" w:space="0" w:color="auto"/>
        <w:bottom w:val="none" w:sz="0" w:space="0" w:color="auto"/>
        <w:right w:val="none" w:sz="0" w:space="0" w:color="auto"/>
      </w:divBdr>
    </w:div>
    <w:div w:id="322248551">
      <w:bodyDiv w:val="1"/>
      <w:marLeft w:val="0"/>
      <w:marRight w:val="0"/>
      <w:marTop w:val="0"/>
      <w:marBottom w:val="0"/>
      <w:divBdr>
        <w:top w:val="none" w:sz="0" w:space="0" w:color="auto"/>
        <w:left w:val="none" w:sz="0" w:space="0" w:color="auto"/>
        <w:bottom w:val="none" w:sz="0" w:space="0" w:color="auto"/>
        <w:right w:val="none" w:sz="0" w:space="0" w:color="auto"/>
      </w:divBdr>
    </w:div>
    <w:div w:id="323124234">
      <w:bodyDiv w:val="1"/>
      <w:marLeft w:val="0"/>
      <w:marRight w:val="0"/>
      <w:marTop w:val="0"/>
      <w:marBottom w:val="0"/>
      <w:divBdr>
        <w:top w:val="none" w:sz="0" w:space="0" w:color="auto"/>
        <w:left w:val="none" w:sz="0" w:space="0" w:color="auto"/>
        <w:bottom w:val="none" w:sz="0" w:space="0" w:color="auto"/>
        <w:right w:val="none" w:sz="0" w:space="0" w:color="auto"/>
      </w:divBdr>
    </w:div>
    <w:div w:id="323239567">
      <w:bodyDiv w:val="1"/>
      <w:marLeft w:val="0"/>
      <w:marRight w:val="0"/>
      <w:marTop w:val="0"/>
      <w:marBottom w:val="0"/>
      <w:divBdr>
        <w:top w:val="none" w:sz="0" w:space="0" w:color="auto"/>
        <w:left w:val="none" w:sz="0" w:space="0" w:color="auto"/>
        <w:bottom w:val="none" w:sz="0" w:space="0" w:color="auto"/>
        <w:right w:val="none" w:sz="0" w:space="0" w:color="auto"/>
      </w:divBdr>
    </w:div>
    <w:div w:id="323435170">
      <w:bodyDiv w:val="1"/>
      <w:marLeft w:val="0"/>
      <w:marRight w:val="0"/>
      <w:marTop w:val="0"/>
      <w:marBottom w:val="0"/>
      <w:divBdr>
        <w:top w:val="none" w:sz="0" w:space="0" w:color="auto"/>
        <w:left w:val="none" w:sz="0" w:space="0" w:color="auto"/>
        <w:bottom w:val="none" w:sz="0" w:space="0" w:color="auto"/>
        <w:right w:val="none" w:sz="0" w:space="0" w:color="auto"/>
      </w:divBdr>
    </w:div>
    <w:div w:id="323824732">
      <w:bodyDiv w:val="1"/>
      <w:marLeft w:val="0"/>
      <w:marRight w:val="0"/>
      <w:marTop w:val="0"/>
      <w:marBottom w:val="0"/>
      <w:divBdr>
        <w:top w:val="none" w:sz="0" w:space="0" w:color="auto"/>
        <w:left w:val="none" w:sz="0" w:space="0" w:color="auto"/>
        <w:bottom w:val="none" w:sz="0" w:space="0" w:color="auto"/>
        <w:right w:val="none" w:sz="0" w:space="0" w:color="auto"/>
      </w:divBdr>
    </w:div>
    <w:div w:id="323970884">
      <w:bodyDiv w:val="1"/>
      <w:marLeft w:val="0"/>
      <w:marRight w:val="0"/>
      <w:marTop w:val="0"/>
      <w:marBottom w:val="0"/>
      <w:divBdr>
        <w:top w:val="none" w:sz="0" w:space="0" w:color="auto"/>
        <w:left w:val="none" w:sz="0" w:space="0" w:color="auto"/>
        <w:bottom w:val="none" w:sz="0" w:space="0" w:color="auto"/>
        <w:right w:val="none" w:sz="0" w:space="0" w:color="auto"/>
      </w:divBdr>
    </w:div>
    <w:div w:id="324011882">
      <w:bodyDiv w:val="1"/>
      <w:marLeft w:val="0"/>
      <w:marRight w:val="0"/>
      <w:marTop w:val="0"/>
      <w:marBottom w:val="0"/>
      <w:divBdr>
        <w:top w:val="none" w:sz="0" w:space="0" w:color="auto"/>
        <w:left w:val="none" w:sz="0" w:space="0" w:color="auto"/>
        <w:bottom w:val="none" w:sz="0" w:space="0" w:color="auto"/>
        <w:right w:val="none" w:sz="0" w:space="0" w:color="auto"/>
      </w:divBdr>
    </w:div>
    <w:div w:id="324668167">
      <w:bodyDiv w:val="1"/>
      <w:marLeft w:val="0"/>
      <w:marRight w:val="0"/>
      <w:marTop w:val="0"/>
      <w:marBottom w:val="0"/>
      <w:divBdr>
        <w:top w:val="none" w:sz="0" w:space="0" w:color="auto"/>
        <w:left w:val="none" w:sz="0" w:space="0" w:color="auto"/>
        <w:bottom w:val="none" w:sz="0" w:space="0" w:color="auto"/>
        <w:right w:val="none" w:sz="0" w:space="0" w:color="auto"/>
      </w:divBdr>
    </w:div>
    <w:div w:id="324750560">
      <w:bodyDiv w:val="1"/>
      <w:marLeft w:val="0"/>
      <w:marRight w:val="0"/>
      <w:marTop w:val="0"/>
      <w:marBottom w:val="0"/>
      <w:divBdr>
        <w:top w:val="none" w:sz="0" w:space="0" w:color="auto"/>
        <w:left w:val="none" w:sz="0" w:space="0" w:color="auto"/>
        <w:bottom w:val="none" w:sz="0" w:space="0" w:color="auto"/>
        <w:right w:val="none" w:sz="0" w:space="0" w:color="auto"/>
      </w:divBdr>
    </w:div>
    <w:div w:id="325017484">
      <w:bodyDiv w:val="1"/>
      <w:marLeft w:val="0"/>
      <w:marRight w:val="0"/>
      <w:marTop w:val="0"/>
      <w:marBottom w:val="0"/>
      <w:divBdr>
        <w:top w:val="none" w:sz="0" w:space="0" w:color="auto"/>
        <w:left w:val="none" w:sz="0" w:space="0" w:color="auto"/>
        <w:bottom w:val="none" w:sz="0" w:space="0" w:color="auto"/>
        <w:right w:val="none" w:sz="0" w:space="0" w:color="auto"/>
      </w:divBdr>
    </w:div>
    <w:div w:id="325280200">
      <w:bodyDiv w:val="1"/>
      <w:marLeft w:val="0"/>
      <w:marRight w:val="0"/>
      <w:marTop w:val="0"/>
      <w:marBottom w:val="0"/>
      <w:divBdr>
        <w:top w:val="none" w:sz="0" w:space="0" w:color="auto"/>
        <w:left w:val="none" w:sz="0" w:space="0" w:color="auto"/>
        <w:bottom w:val="none" w:sz="0" w:space="0" w:color="auto"/>
        <w:right w:val="none" w:sz="0" w:space="0" w:color="auto"/>
      </w:divBdr>
    </w:div>
    <w:div w:id="325405392">
      <w:bodyDiv w:val="1"/>
      <w:marLeft w:val="0"/>
      <w:marRight w:val="0"/>
      <w:marTop w:val="0"/>
      <w:marBottom w:val="0"/>
      <w:divBdr>
        <w:top w:val="none" w:sz="0" w:space="0" w:color="auto"/>
        <w:left w:val="none" w:sz="0" w:space="0" w:color="auto"/>
        <w:bottom w:val="none" w:sz="0" w:space="0" w:color="auto"/>
        <w:right w:val="none" w:sz="0" w:space="0" w:color="auto"/>
      </w:divBdr>
    </w:div>
    <w:div w:id="325671095">
      <w:bodyDiv w:val="1"/>
      <w:marLeft w:val="0"/>
      <w:marRight w:val="0"/>
      <w:marTop w:val="0"/>
      <w:marBottom w:val="0"/>
      <w:divBdr>
        <w:top w:val="none" w:sz="0" w:space="0" w:color="auto"/>
        <w:left w:val="none" w:sz="0" w:space="0" w:color="auto"/>
        <w:bottom w:val="none" w:sz="0" w:space="0" w:color="auto"/>
        <w:right w:val="none" w:sz="0" w:space="0" w:color="auto"/>
      </w:divBdr>
    </w:div>
    <w:div w:id="326322198">
      <w:bodyDiv w:val="1"/>
      <w:marLeft w:val="0"/>
      <w:marRight w:val="0"/>
      <w:marTop w:val="0"/>
      <w:marBottom w:val="0"/>
      <w:divBdr>
        <w:top w:val="none" w:sz="0" w:space="0" w:color="auto"/>
        <w:left w:val="none" w:sz="0" w:space="0" w:color="auto"/>
        <w:bottom w:val="none" w:sz="0" w:space="0" w:color="auto"/>
        <w:right w:val="none" w:sz="0" w:space="0" w:color="auto"/>
      </w:divBdr>
    </w:div>
    <w:div w:id="327103908">
      <w:bodyDiv w:val="1"/>
      <w:marLeft w:val="0"/>
      <w:marRight w:val="0"/>
      <w:marTop w:val="0"/>
      <w:marBottom w:val="0"/>
      <w:divBdr>
        <w:top w:val="none" w:sz="0" w:space="0" w:color="auto"/>
        <w:left w:val="none" w:sz="0" w:space="0" w:color="auto"/>
        <w:bottom w:val="none" w:sz="0" w:space="0" w:color="auto"/>
        <w:right w:val="none" w:sz="0" w:space="0" w:color="auto"/>
      </w:divBdr>
    </w:div>
    <w:div w:id="327172373">
      <w:bodyDiv w:val="1"/>
      <w:marLeft w:val="0"/>
      <w:marRight w:val="0"/>
      <w:marTop w:val="0"/>
      <w:marBottom w:val="0"/>
      <w:divBdr>
        <w:top w:val="none" w:sz="0" w:space="0" w:color="auto"/>
        <w:left w:val="none" w:sz="0" w:space="0" w:color="auto"/>
        <w:bottom w:val="none" w:sz="0" w:space="0" w:color="auto"/>
        <w:right w:val="none" w:sz="0" w:space="0" w:color="auto"/>
      </w:divBdr>
    </w:div>
    <w:div w:id="327829800">
      <w:bodyDiv w:val="1"/>
      <w:marLeft w:val="0"/>
      <w:marRight w:val="0"/>
      <w:marTop w:val="0"/>
      <w:marBottom w:val="0"/>
      <w:divBdr>
        <w:top w:val="none" w:sz="0" w:space="0" w:color="auto"/>
        <w:left w:val="none" w:sz="0" w:space="0" w:color="auto"/>
        <w:bottom w:val="none" w:sz="0" w:space="0" w:color="auto"/>
        <w:right w:val="none" w:sz="0" w:space="0" w:color="auto"/>
      </w:divBdr>
    </w:div>
    <w:div w:id="328144292">
      <w:bodyDiv w:val="1"/>
      <w:marLeft w:val="0"/>
      <w:marRight w:val="0"/>
      <w:marTop w:val="0"/>
      <w:marBottom w:val="0"/>
      <w:divBdr>
        <w:top w:val="none" w:sz="0" w:space="0" w:color="auto"/>
        <w:left w:val="none" w:sz="0" w:space="0" w:color="auto"/>
        <w:bottom w:val="none" w:sz="0" w:space="0" w:color="auto"/>
        <w:right w:val="none" w:sz="0" w:space="0" w:color="auto"/>
      </w:divBdr>
    </w:div>
    <w:div w:id="328212782">
      <w:bodyDiv w:val="1"/>
      <w:marLeft w:val="0"/>
      <w:marRight w:val="0"/>
      <w:marTop w:val="0"/>
      <w:marBottom w:val="0"/>
      <w:divBdr>
        <w:top w:val="none" w:sz="0" w:space="0" w:color="auto"/>
        <w:left w:val="none" w:sz="0" w:space="0" w:color="auto"/>
        <w:bottom w:val="none" w:sz="0" w:space="0" w:color="auto"/>
        <w:right w:val="none" w:sz="0" w:space="0" w:color="auto"/>
      </w:divBdr>
    </w:div>
    <w:div w:id="328486963">
      <w:bodyDiv w:val="1"/>
      <w:marLeft w:val="0"/>
      <w:marRight w:val="0"/>
      <w:marTop w:val="0"/>
      <w:marBottom w:val="0"/>
      <w:divBdr>
        <w:top w:val="none" w:sz="0" w:space="0" w:color="auto"/>
        <w:left w:val="none" w:sz="0" w:space="0" w:color="auto"/>
        <w:bottom w:val="none" w:sz="0" w:space="0" w:color="auto"/>
        <w:right w:val="none" w:sz="0" w:space="0" w:color="auto"/>
      </w:divBdr>
    </w:div>
    <w:div w:id="329069829">
      <w:bodyDiv w:val="1"/>
      <w:marLeft w:val="0"/>
      <w:marRight w:val="0"/>
      <w:marTop w:val="0"/>
      <w:marBottom w:val="0"/>
      <w:divBdr>
        <w:top w:val="none" w:sz="0" w:space="0" w:color="auto"/>
        <w:left w:val="none" w:sz="0" w:space="0" w:color="auto"/>
        <w:bottom w:val="none" w:sz="0" w:space="0" w:color="auto"/>
        <w:right w:val="none" w:sz="0" w:space="0" w:color="auto"/>
      </w:divBdr>
    </w:div>
    <w:div w:id="329917129">
      <w:bodyDiv w:val="1"/>
      <w:marLeft w:val="0"/>
      <w:marRight w:val="0"/>
      <w:marTop w:val="0"/>
      <w:marBottom w:val="0"/>
      <w:divBdr>
        <w:top w:val="none" w:sz="0" w:space="0" w:color="auto"/>
        <w:left w:val="none" w:sz="0" w:space="0" w:color="auto"/>
        <w:bottom w:val="none" w:sz="0" w:space="0" w:color="auto"/>
        <w:right w:val="none" w:sz="0" w:space="0" w:color="auto"/>
      </w:divBdr>
    </w:div>
    <w:div w:id="330302627">
      <w:bodyDiv w:val="1"/>
      <w:marLeft w:val="0"/>
      <w:marRight w:val="0"/>
      <w:marTop w:val="0"/>
      <w:marBottom w:val="0"/>
      <w:divBdr>
        <w:top w:val="none" w:sz="0" w:space="0" w:color="auto"/>
        <w:left w:val="none" w:sz="0" w:space="0" w:color="auto"/>
        <w:bottom w:val="none" w:sz="0" w:space="0" w:color="auto"/>
        <w:right w:val="none" w:sz="0" w:space="0" w:color="auto"/>
      </w:divBdr>
    </w:div>
    <w:div w:id="330908391">
      <w:bodyDiv w:val="1"/>
      <w:marLeft w:val="0"/>
      <w:marRight w:val="0"/>
      <w:marTop w:val="0"/>
      <w:marBottom w:val="0"/>
      <w:divBdr>
        <w:top w:val="none" w:sz="0" w:space="0" w:color="auto"/>
        <w:left w:val="none" w:sz="0" w:space="0" w:color="auto"/>
        <w:bottom w:val="none" w:sz="0" w:space="0" w:color="auto"/>
        <w:right w:val="none" w:sz="0" w:space="0" w:color="auto"/>
      </w:divBdr>
    </w:div>
    <w:div w:id="332342575">
      <w:bodyDiv w:val="1"/>
      <w:marLeft w:val="0"/>
      <w:marRight w:val="0"/>
      <w:marTop w:val="0"/>
      <w:marBottom w:val="0"/>
      <w:divBdr>
        <w:top w:val="none" w:sz="0" w:space="0" w:color="auto"/>
        <w:left w:val="none" w:sz="0" w:space="0" w:color="auto"/>
        <w:bottom w:val="none" w:sz="0" w:space="0" w:color="auto"/>
        <w:right w:val="none" w:sz="0" w:space="0" w:color="auto"/>
      </w:divBdr>
    </w:div>
    <w:div w:id="332607142">
      <w:bodyDiv w:val="1"/>
      <w:marLeft w:val="0"/>
      <w:marRight w:val="0"/>
      <w:marTop w:val="0"/>
      <w:marBottom w:val="0"/>
      <w:divBdr>
        <w:top w:val="none" w:sz="0" w:space="0" w:color="auto"/>
        <w:left w:val="none" w:sz="0" w:space="0" w:color="auto"/>
        <w:bottom w:val="none" w:sz="0" w:space="0" w:color="auto"/>
        <w:right w:val="none" w:sz="0" w:space="0" w:color="auto"/>
      </w:divBdr>
    </w:div>
    <w:div w:id="332925433">
      <w:bodyDiv w:val="1"/>
      <w:marLeft w:val="0"/>
      <w:marRight w:val="0"/>
      <w:marTop w:val="0"/>
      <w:marBottom w:val="0"/>
      <w:divBdr>
        <w:top w:val="none" w:sz="0" w:space="0" w:color="auto"/>
        <w:left w:val="none" w:sz="0" w:space="0" w:color="auto"/>
        <w:bottom w:val="none" w:sz="0" w:space="0" w:color="auto"/>
        <w:right w:val="none" w:sz="0" w:space="0" w:color="auto"/>
      </w:divBdr>
    </w:div>
    <w:div w:id="333071366">
      <w:bodyDiv w:val="1"/>
      <w:marLeft w:val="0"/>
      <w:marRight w:val="0"/>
      <w:marTop w:val="0"/>
      <w:marBottom w:val="0"/>
      <w:divBdr>
        <w:top w:val="none" w:sz="0" w:space="0" w:color="auto"/>
        <w:left w:val="none" w:sz="0" w:space="0" w:color="auto"/>
        <w:bottom w:val="none" w:sz="0" w:space="0" w:color="auto"/>
        <w:right w:val="none" w:sz="0" w:space="0" w:color="auto"/>
      </w:divBdr>
    </w:div>
    <w:div w:id="333386565">
      <w:bodyDiv w:val="1"/>
      <w:marLeft w:val="0"/>
      <w:marRight w:val="0"/>
      <w:marTop w:val="0"/>
      <w:marBottom w:val="0"/>
      <w:divBdr>
        <w:top w:val="none" w:sz="0" w:space="0" w:color="auto"/>
        <w:left w:val="none" w:sz="0" w:space="0" w:color="auto"/>
        <w:bottom w:val="none" w:sz="0" w:space="0" w:color="auto"/>
        <w:right w:val="none" w:sz="0" w:space="0" w:color="auto"/>
      </w:divBdr>
    </w:div>
    <w:div w:id="333457087">
      <w:bodyDiv w:val="1"/>
      <w:marLeft w:val="0"/>
      <w:marRight w:val="0"/>
      <w:marTop w:val="0"/>
      <w:marBottom w:val="0"/>
      <w:divBdr>
        <w:top w:val="none" w:sz="0" w:space="0" w:color="auto"/>
        <w:left w:val="none" w:sz="0" w:space="0" w:color="auto"/>
        <w:bottom w:val="none" w:sz="0" w:space="0" w:color="auto"/>
        <w:right w:val="none" w:sz="0" w:space="0" w:color="auto"/>
      </w:divBdr>
    </w:div>
    <w:div w:id="333840608">
      <w:bodyDiv w:val="1"/>
      <w:marLeft w:val="0"/>
      <w:marRight w:val="0"/>
      <w:marTop w:val="0"/>
      <w:marBottom w:val="0"/>
      <w:divBdr>
        <w:top w:val="none" w:sz="0" w:space="0" w:color="auto"/>
        <w:left w:val="none" w:sz="0" w:space="0" w:color="auto"/>
        <w:bottom w:val="none" w:sz="0" w:space="0" w:color="auto"/>
        <w:right w:val="none" w:sz="0" w:space="0" w:color="auto"/>
      </w:divBdr>
    </w:div>
    <w:div w:id="334186869">
      <w:bodyDiv w:val="1"/>
      <w:marLeft w:val="0"/>
      <w:marRight w:val="0"/>
      <w:marTop w:val="0"/>
      <w:marBottom w:val="0"/>
      <w:divBdr>
        <w:top w:val="none" w:sz="0" w:space="0" w:color="auto"/>
        <w:left w:val="none" w:sz="0" w:space="0" w:color="auto"/>
        <w:bottom w:val="none" w:sz="0" w:space="0" w:color="auto"/>
        <w:right w:val="none" w:sz="0" w:space="0" w:color="auto"/>
      </w:divBdr>
    </w:div>
    <w:div w:id="334573878">
      <w:bodyDiv w:val="1"/>
      <w:marLeft w:val="0"/>
      <w:marRight w:val="0"/>
      <w:marTop w:val="0"/>
      <w:marBottom w:val="0"/>
      <w:divBdr>
        <w:top w:val="none" w:sz="0" w:space="0" w:color="auto"/>
        <w:left w:val="none" w:sz="0" w:space="0" w:color="auto"/>
        <w:bottom w:val="none" w:sz="0" w:space="0" w:color="auto"/>
        <w:right w:val="none" w:sz="0" w:space="0" w:color="auto"/>
      </w:divBdr>
    </w:div>
    <w:div w:id="334574240">
      <w:bodyDiv w:val="1"/>
      <w:marLeft w:val="0"/>
      <w:marRight w:val="0"/>
      <w:marTop w:val="0"/>
      <w:marBottom w:val="0"/>
      <w:divBdr>
        <w:top w:val="none" w:sz="0" w:space="0" w:color="auto"/>
        <w:left w:val="none" w:sz="0" w:space="0" w:color="auto"/>
        <w:bottom w:val="none" w:sz="0" w:space="0" w:color="auto"/>
        <w:right w:val="none" w:sz="0" w:space="0" w:color="auto"/>
      </w:divBdr>
    </w:div>
    <w:div w:id="335379403">
      <w:bodyDiv w:val="1"/>
      <w:marLeft w:val="0"/>
      <w:marRight w:val="0"/>
      <w:marTop w:val="0"/>
      <w:marBottom w:val="0"/>
      <w:divBdr>
        <w:top w:val="none" w:sz="0" w:space="0" w:color="auto"/>
        <w:left w:val="none" w:sz="0" w:space="0" w:color="auto"/>
        <w:bottom w:val="none" w:sz="0" w:space="0" w:color="auto"/>
        <w:right w:val="none" w:sz="0" w:space="0" w:color="auto"/>
      </w:divBdr>
    </w:div>
    <w:div w:id="335424143">
      <w:bodyDiv w:val="1"/>
      <w:marLeft w:val="0"/>
      <w:marRight w:val="0"/>
      <w:marTop w:val="0"/>
      <w:marBottom w:val="0"/>
      <w:divBdr>
        <w:top w:val="none" w:sz="0" w:space="0" w:color="auto"/>
        <w:left w:val="none" w:sz="0" w:space="0" w:color="auto"/>
        <w:bottom w:val="none" w:sz="0" w:space="0" w:color="auto"/>
        <w:right w:val="none" w:sz="0" w:space="0" w:color="auto"/>
      </w:divBdr>
    </w:div>
    <w:div w:id="336276940">
      <w:bodyDiv w:val="1"/>
      <w:marLeft w:val="0"/>
      <w:marRight w:val="0"/>
      <w:marTop w:val="0"/>
      <w:marBottom w:val="0"/>
      <w:divBdr>
        <w:top w:val="none" w:sz="0" w:space="0" w:color="auto"/>
        <w:left w:val="none" w:sz="0" w:space="0" w:color="auto"/>
        <w:bottom w:val="none" w:sz="0" w:space="0" w:color="auto"/>
        <w:right w:val="none" w:sz="0" w:space="0" w:color="auto"/>
      </w:divBdr>
    </w:div>
    <w:div w:id="336345761">
      <w:bodyDiv w:val="1"/>
      <w:marLeft w:val="0"/>
      <w:marRight w:val="0"/>
      <w:marTop w:val="0"/>
      <w:marBottom w:val="0"/>
      <w:divBdr>
        <w:top w:val="none" w:sz="0" w:space="0" w:color="auto"/>
        <w:left w:val="none" w:sz="0" w:space="0" w:color="auto"/>
        <w:bottom w:val="none" w:sz="0" w:space="0" w:color="auto"/>
        <w:right w:val="none" w:sz="0" w:space="0" w:color="auto"/>
      </w:divBdr>
    </w:div>
    <w:div w:id="336348135">
      <w:bodyDiv w:val="1"/>
      <w:marLeft w:val="0"/>
      <w:marRight w:val="0"/>
      <w:marTop w:val="0"/>
      <w:marBottom w:val="0"/>
      <w:divBdr>
        <w:top w:val="none" w:sz="0" w:space="0" w:color="auto"/>
        <w:left w:val="none" w:sz="0" w:space="0" w:color="auto"/>
        <w:bottom w:val="none" w:sz="0" w:space="0" w:color="auto"/>
        <w:right w:val="none" w:sz="0" w:space="0" w:color="auto"/>
      </w:divBdr>
    </w:div>
    <w:div w:id="337583171">
      <w:bodyDiv w:val="1"/>
      <w:marLeft w:val="0"/>
      <w:marRight w:val="0"/>
      <w:marTop w:val="0"/>
      <w:marBottom w:val="0"/>
      <w:divBdr>
        <w:top w:val="none" w:sz="0" w:space="0" w:color="auto"/>
        <w:left w:val="none" w:sz="0" w:space="0" w:color="auto"/>
        <w:bottom w:val="none" w:sz="0" w:space="0" w:color="auto"/>
        <w:right w:val="none" w:sz="0" w:space="0" w:color="auto"/>
      </w:divBdr>
    </w:div>
    <w:div w:id="338311730">
      <w:bodyDiv w:val="1"/>
      <w:marLeft w:val="0"/>
      <w:marRight w:val="0"/>
      <w:marTop w:val="0"/>
      <w:marBottom w:val="0"/>
      <w:divBdr>
        <w:top w:val="none" w:sz="0" w:space="0" w:color="auto"/>
        <w:left w:val="none" w:sz="0" w:space="0" w:color="auto"/>
        <w:bottom w:val="none" w:sz="0" w:space="0" w:color="auto"/>
        <w:right w:val="none" w:sz="0" w:space="0" w:color="auto"/>
      </w:divBdr>
    </w:div>
    <w:div w:id="338503232">
      <w:bodyDiv w:val="1"/>
      <w:marLeft w:val="0"/>
      <w:marRight w:val="0"/>
      <w:marTop w:val="0"/>
      <w:marBottom w:val="0"/>
      <w:divBdr>
        <w:top w:val="none" w:sz="0" w:space="0" w:color="auto"/>
        <w:left w:val="none" w:sz="0" w:space="0" w:color="auto"/>
        <w:bottom w:val="none" w:sz="0" w:space="0" w:color="auto"/>
        <w:right w:val="none" w:sz="0" w:space="0" w:color="auto"/>
      </w:divBdr>
    </w:div>
    <w:div w:id="339165905">
      <w:bodyDiv w:val="1"/>
      <w:marLeft w:val="0"/>
      <w:marRight w:val="0"/>
      <w:marTop w:val="0"/>
      <w:marBottom w:val="0"/>
      <w:divBdr>
        <w:top w:val="none" w:sz="0" w:space="0" w:color="auto"/>
        <w:left w:val="none" w:sz="0" w:space="0" w:color="auto"/>
        <w:bottom w:val="none" w:sz="0" w:space="0" w:color="auto"/>
        <w:right w:val="none" w:sz="0" w:space="0" w:color="auto"/>
      </w:divBdr>
    </w:div>
    <w:div w:id="339239602">
      <w:bodyDiv w:val="1"/>
      <w:marLeft w:val="0"/>
      <w:marRight w:val="0"/>
      <w:marTop w:val="0"/>
      <w:marBottom w:val="0"/>
      <w:divBdr>
        <w:top w:val="none" w:sz="0" w:space="0" w:color="auto"/>
        <w:left w:val="none" w:sz="0" w:space="0" w:color="auto"/>
        <w:bottom w:val="none" w:sz="0" w:space="0" w:color="auto"/>
        <w:right w:val="none" w:sz="0" w:space="0" w:color="auto"/>
      </w:divBdr>
    </w:div>
    <w:div w:id="339352728">
      <w:bodyDiv w:val="1"/>
      <w:marLeft w:val="0"/>
      <w:marRight w:val="0"/>
      <w:marTop w:val="0"/>
      <w:marBottom w:val="0"/>
      <w:divBdr>
        <w:top w:val="none" w:sz="0" w:space="0" w:color="auto"/>
        <w:left w:val="none" w:sz="0" w:space="0" w:color="auto"/>
        <w:bottom w:val="none" w:sz="0" w:space="0" w:color="auto"/>
        <w:right w:val="none" w:sz="0" w:space="0" w:color="auto"/>
      </w:divBdr>
    </w:div>
    <w:div w:id="339939317">
      <w:bodyDiv w:val="1"/>
      <w:marLeft w:val="0"/>
      <w:marRight w:val="0"/>
      <w:marTop w:val="0"/>
      <w:marBottom w:val="0"/>
      <w:divBdr>
        <w:top w:val="none" w:sz="0" w:space="0" w:color="auto"/>
        <w:left w:val="none" w:sz="0" w:space="0" w:color="auto"/>
        <w:bottom w:val="none" w:sz="0" w:space="0" w:color="auto"/>
        <w:right w:val="none" w:sz="0" w:space="0" w:color="auto"/>
      </w:divBdr>
    </w:div>
    <w:div w:id="340201476">
      <w:bodyDiv w:val="1"/>
      <w:marLeft w:val="0"/>
      <w:marRight w:val="0"/>
      <w:marTop w:val="0"/>
      <w:marBottom w:val="0"/>
      <w:divBdr>
        <w:top w:val="none" w:sz="0" w:space="0" w:color="auto"/>
        <w:left w:val="none" w:sz="0" w:space="0" w:color="auto"/>
        <w:bottom w:val="none" w:sz="0" w:space="0" w:color="auto"/>
        <w:right w:val="none" w:sz="0" w:space="0" w:color="auto"/>
      </w:divBdr>
    </w:div>
    <w:div w:id="340468517">
      <w:bodyDiv w:val="1"/>
      <w:marLeft w:val="0"/>
      <w:marRight w:val="0"/>
      <w:marTop w:val="0"/>
      <w:marBottom w:val="0"/>
      <w:divBdr>
        <w:top w:val="none" w:sz="0" w:space="0" w:color="auto"/>
        <w:left w:val="none" w:sz="0" w:space="0" w:color="auto"/>
        <w:bottom w:val="none" w:sz="0" w:space="0" w:color="auto"/>
        <w:right w:val="none" w:sz="0" w:space="0" w:color="auto"/>
      </w:divBdr>
    </w:div>
    <w:div w:id="340548202">
      <w:bodyDiv w:val="1"/>
      <w:marLeft w:val="0"/>
      <w:marRight w:val="0"/>
      <w:marTop w:val="0"/>
      <w:marBottom w:val="0"/>
      <w:divBdr>
        <w:top w:val="none" w:sz="0" w:space="0" w:color="auto"/>
        <w:left w:val="none" w:sz="0" w:space="0" w:color="auto"/>
        <w:bottom w:val="none" w:sz="0" w:space="0" w:color="auto"/>
        <w:right w:val="none" w:sz="0" w:space="0" w:color="auto"/>
      </w:divBdr>
    </w:div>
    <w:div w:id="341052934">
      <w:bodyDiv w:val="1"/>
      <w:marLeft w:val="0"/>
      <w:marRight w:val="0"/>
      <w:marTop w:val="0"/>
      <w:marBottom w:val="0"/>
      <w:divBdr>
        <w:top w:val="none" w:sz="0" w:space="0" w:color="auto"/>
        <w:left w:val="none" w:sz="0" w:space="0" w:color="auto"/>
        <w:bottom w:val="none" w:sz="0" w:space="0" w:color="auto"/>
        <w:right w:val="none" w:sz="0" w:space="0" w:color="auto"/>
      </w:divBdr>
    </w:div>
    <w:div w:id="341708771">
      <w:bodyDiv w:val="1"/>
      <w:marLeft w:val="0"/>
      <w:marRight w:val="0"/>
      <w:marTop w:val="0"/>
      <w:marBottom w:val="0"/>
      <w:divBdr>
        <w:top w:val="none" w:sz="0" w:space="0" w:color="auto"/>
        <w:left w:val="none" w:sz="0" w:space="0" w:color="auto"/>
        <w:bottom w:val="none" w:sz="0" w:space="0" w:color="auto"/>
        <w:right w:val="none" w:sz="0" w:space="0" w:color="auto"/>
      </w:divBdr>
    </w:div>
    <w:div w:id="341933697">
      <w:bodyDiv w:val="1"/>
      <w:marLeft w:val="0"/>
      <w:marRight w:val="0"/>
      <w:marTop w:val="0"/>
      <w:marBottom w:val="0"/>
      <w:divBdr>
        <w:top w:val="none" w:sz="0" w:space="0" w:color="auto"/>
        <w:left w:val="none" w:sz="0" w:space="0" w:color="auto"/>
        <w:bottom w:val="none" w:sz="0" w:space="0" w:color="auto"/>
        <w:right w:val="none" w:sz="0" w:space="0" w:color="auto"/>
      </w:divBdr>
    </w:div>
    <w:div w:id="342056659">
      <w:bodyDiv w:val="1"/>
      <w:marLeft w:val="0"/>
      <w:marRight w:val="0"/>
      <w:marTop w:val="0"/>
      <w:marBottom w:val="0"/>
      <w:divBdr>
        <w:top w:val="none" w:sz="0" w:space="0" w:color="auto"/>
        <w:left w:val="none" w:sz="0" w:space="0" w:color="auto"/>
        <w:bottom w:val="none" w:sz="0" w:space="0" w:color="auto"/>
        <w:right w:val="none" w:sz="0" w:space="0" w:color="auto"/>
      </w:divBdr>
    </w:div>
    <w:div w:id="342586110">
      <w:bodyDiv w:val="1"/>
      <w:marLeft w:val="0"/>
      <w:marRight w:val="0"/>
      <w:marTop w:val="0"/>
      <w:marBottom w:val="0"/>
      <w:divBdr>
        <w:top w:val="none" w:sz="0" w:space="0" w:color="auto"/>
        <w:left w:val="none" w:sz="0" w:space="0" w:color="auto"/>
        <w:bottom w:val="none" w:sz="0" w:space="0" w:color="auto"/>
        <w:right w:val="none" w:sz="0" w:space="0" w:color="auto"/>
      </w:divBdr>
    </w:div>
    <w:div w:id="343433455">
      <w:bodyDiv w:val="1"/>
      <w:marLeft w:val="0"/>
      <w:marRight w:val="0"/>
      <w:marTop w:val="0"/>
      <w:marBottom w:val="0"/>
      <w:divBdr>
        <w:top w:val="none" w:sz="0" w:space="0" w:color="auto"/>
        <w:left w:val="none" w:sz="0" w:space="0" w:color="auto"/>
        <w:bottom w:val="none" w:sz="0" w:space="0" w:color="auto"/>
        <w:right w:val="none" w:sz="0" w:space="0" w:color="auto"/>
      </w:divBdr>
    </w:div>
    <w:div w:id="343552228">
      <w:bodyDiv w:val="1"/>
      <w:marLeft w:val="0"/>
      <w:marRight w:val="0"/>
      <w:marTop w:val="0"/>
      <w:marBottom w:val="0"/>
      <w:divBdr>
        <w:top w:val="none" w:sz="0" w:space="0" w:color="auto"/>
        <w:left w:val="none" w:sz="0" w:space="0" w:color="auto"/>
        <w:bottom w:val="none" w:sz="0" w:space="0" w:color="auto"/>
        <w:right w:val="none" w:sz="0" w:space="0" w:color="auto"/>
      </w:divBdr>
    </w:div>
    <w:div w:id="344550975">
      <w:bodyDiv w:val="1"/>
      <w:marLeft w:val="0"/>
      <w:marRight w:val="0"/>
      <w:marTop w:val="0"/>
      <w:marBottom w:val="0"/>
      <w:divBdr>
        <w:top w:val="none" w:sz="0" w:space="0" w:color="auto"/>
        <w:left w:val="none" w:sz="0" w:space="0" w:color="auto"/>
        <w:bottom w:val="none" w:sz="0" w:space="0" w:color="auto"/>
        <w:right w:val="none" w:sz="0" w:space="0" w:color="auto"/>
      </w:divBdr>
    </w:div>
    <w:div w:id="344596664">
      <w:bodyDiv w:val="1"/>
      <w:marLeft w:val="0"/>
      <w:marRight w:val="0"/>
      <w:marTop w:val="0"/>
      <w:marBottom w:val="0"/>
      <w:divBdr>
        <w:top w:val="none" w:sz="0" w:space="0" w:color="auto"/>
        <w:left w:val="none" w:sz="0" w:space="0" w:color="auto"/>
        <w:bottom w:val="none" w:sz="0" w:space="0" w:color="auto"/>
        <w:right w:val="none" w:sz="0" w:space="0" w:color="auto"/>
      </w:divBdr>
    </w:div>
    <w:div w:id="344720726">
      <w:bodyDiv w:val="1"/>
      <w:marLeft w:val="0"/>
      <w:marRight w:val="0"/>
      <w:marTop w:val="0"/>
      <w:marBottom w:val="0"/>
      <w:divBdr>
        <w:top w:val="none" w:sz="0" w:space="0" w:color="auto"/>
        <w:left w:val="none" w:sz="0" w:space="0" w:color="auto"/>
        <w:bottom w:val="none" w:sz="0" w:space="0" w:color="auto"/>
        <w:right w:val="none" w:sz="0" w:space="0" w:color="auto"/>
      </w:divBdr>
    </w:div>
    <w:div w:id="346639892">
      <w:bodyDiv w:val="1"/>
      <w:marLeft w:val="0"/>
      <w:marRight w:val="0"/>
      <w:marTop w:val="0"/>
      <w:marBottom w:val="0"/>
      <w:divBdr>
        <w:top w:val="none" w:sz="0" w:space="0" w:color="auto"/>
        <w:left w:val="none" w:sz="0" w:space="0" w:color="auto"/>
        <w:bottom w:val="none" w:sz="0" w:space="0" w:color="auto"/>
        <w:right w:val="none" w:sz="0" w:space="0" w:color="auto"/>
      </w:divBdr>
    </w:div>
    <w:div w:id="347485386">
      <w:bodyDiv w:val="1"/>
      <w:marLeft w:val="0"/>
      <w:marRight w:val="0"/>
      <w:marTop w:val="0"/>
      <w:marBottom w:val="0"/>
      <w:divBdr>
        <w:top w:val="none" w:sz="0" w:space="0" w:color="auto"/>
        <w:left w:val="none" w:sz="0" w:space="0" w:color="auto"/>
        <w:bottom w:val="none" w:sz="0" w:space="0" w:color="auto"/>
        <w:right w:val="none" w:sz="0" w:space="0" w:color="auto"/>
      </w:divBdr>
    </w:div>
    <w:div w:id="349113158">
      <w:bodyDiv w:val="1"/>
      <w:marLeft w:val="0"/>
      <w:marRight w:val="0"/>
      <w:marTop w:val="0"/>
      <w:marBottom w:val="0"/>
      <w:divBdr>
        <w:top w:val="none" w:sz="0" w:space="0" w:color="auto"/>
        <w:left w:val="none" w:sz="0" w:space="0" w:color="auto"/>
        <w:bottom w:val="none" w:sz="0" w:space="0" w:color="auto"/>
        <w:right w:val="none" w:sz="0" w:space="0" w:color="auto"/>
      </w:divBdr>
    </w:div>
    <w:div w:id="349532083">
      <w:bodyDiv w:val="1"/>
      <w:marLeft w:val="0"/>
      <w:marRight w:val="0"/>
      <w:marTop w:val="0"/>
      <w:marBottom w:val="0"/>
      <w:divBdr>
        <w:top w:val="none" w:sz="0" w:space="0" w:color="auto"/>
        <w:left w:val="none" w:sz="0" w:space="0" w:color="auto"/>
        <w:bottom w:val="none" w:sz="0" w:space="0" w:color="auto"/>
        <w:right w:val="none" w:sz="0" w:space="0" w:color="auto"/>
      </w:divBdr>
    </w:div>
    <w:div w:id="350184878">
      <w:bodyDiv w:val="1"/>
      <w:marLeft w:val="0"/>
      <w:marRight w:val="0"/>
      <w:marTop w:val="0"/>
      <w:marBottom w:val="0"/>
      <w:divBdr>
        <w:top w:val="none" w:sz="0" w:space="0" w:color="auto"/>
        <w:left w:val="none" w:sz="0" w:space="0" w:color="auto"/>
        <w:bottom w:val="none" w:sz="0" w:space="0" w:color="auto"/>
        <w:right w:val="none" w:sz="0" w:space="0" w:color="auto"/>
      </w:divBdr>
    </w:div>
    <w:div w:id="350839663">
      <w:bodyDiv w:val="1"/>
      <w:marLeft w:val="0"/>
      <w:marRight w:val="0"/>
      <w:marTop w:val="0"/>
      <w:marBottom w:val="0"/>
      <w:divBdr>
        <w:top w:val="none" w:sz="0" w:space="0" w:color="auto"/>
        <w:left w:val="none" w:sz="0" w:space="0" w:color="auto"/>
        <w:bottom w:val="none" w:sz="0" w:space="0" w:color="auto"/>
        <w:right w:val="none" w:sz="0" w:space="0" w:color="auto"/>
      </w:divBdr>
    </w:div>
    <w:div w:id="351146797">
      <w:bodyDiv w:val="1"/>
      <w:marLeft w:val="0"/>
      <w:marRight w:val="0"/>
      <w:marTop w:val="0"/>
      <w:marBottom w:val="0"/>
      <w:divBdr>
        <w:top w:val="none" w:sz="0" w:space="0" w:color="auto"/>
        <w:left w:val="none" w:sz="0" w:space="0" w:color="auto"/>
        <w:bottom w:val="none" w:sz="0" w:space="0" w:color="auto"/>
        <w:right w:val="none" w:sz="0" w:space="0" w:color="auto"/>
      </w:divBdr>
    </w:div>
    <w:div w:id="351299034">
      <w:bodyDiv w:val="1"/>
      <w:marLeft w:val="0"/>
      <w:marRight w:val="0"/>
      <w:marTop w:val="0"/>
      <w:marBottom w:val="0"/>
      <w:divBdr>
        <w:top w:val="none" w:sz="0" w:space="0" w:color="auto"/>
        <w:left w:val="none" w:sz="0" w:space="0" w:color="auto"/>
        <w:bottom w:val="none" w:sz="0" w:space="0" w:color="auto"/>
        <w:right w:val="none" w:sz="0" w:space="0" w:color="auto"/>
      </w:divBdr>
    </w:div>
    <w:div w:id="351612516">
      <w:bodyDiv w:val="1"/>
      <w:marLeft w:val="0"/>
      <w:marRight w:val="0"/>
      <w:marTop w:val="0"/>
      <w:marBottom w:val="0"/>
      <w:divBdr>
        <w:top w:val="none" w:sz="0" w:space="0" w:color="auto"/>
        <w:left w:val="none" w:sz="0" w:space="0" w:color="auto"/>
        <w:bottom w:val="none" w:sz="0" w:space="0" w:color="auto"/>
        <w:right w:val="none" w:sz="0" w:space="0" w:color="auto"/>
      </w:divBdr>
    </w:div>
    <w:div w:id="351884862">
      <w:bodyDiv w:val="1"/>
      <w:marLeft w:val="0"/>
      <w:marRight w:val="0"/>
      <w:marTop w:val="0"/>
      <w:marBottom w:val="0"/>
      <w:divBdr>
        <w:top w:val="none" w:sz="0" w:space="0" w:color="auto"/>
        <w:left w:val="none" w:sz="0" w:space="0" w:color="auto"/>
        <w:bottom w:val="none" w:sz="0" w:space="0" w:color="auto"/>
        <w:right w:val="none" w:sz="0" w:space="0" w:color="auto"/>
      </w:divBdr>
    </w:div>
    <w:div w:id="352419724">
      <w:bodyDiv w:val="1"/>
      <w:marLeft w:val="0"/>
      <w:marRight w:val="0"/>
      <w:marTop w:val="0"/>
      <w:marBottom w:val="0"/>
      <w:divBdr>
        <w:top w:val="none" w:sz="0" w:space="0" w:color="auto"/>
        <w:left w:val="none" w:sz="0" w:space="0" w:color="auto"/>
        <w:bottom w:val="none" w:sz="0" w:space="0" w:color="auto"/>
        <w:right w:val="none" w:sz="0" w:space="0" w:color="auto"/>
      </w:divBdr>
    </w:div>
    <w:div w:id="352852313">
      <w:bodyDiv w:val="1"/>
      <w:marLeft w:val="0"/>
      <w:marRight w:val="0"/>
      <w:marTop w:val="0"/>
      <w:marBottom w:val="0"/>
      <w:divBdr>
        <w:top w:val="none" w:sz="0" w:space="0" w:color="auto"/>
        <w:left w:val="none" w:sz="0" w:space="0" w:color="auto"/>
        <w:bottom w:val="none" w:sz="0" w:space="0" w:color="auto"/>
        <w:right w:val="none" w:sz="0" w:space="0" w:color="auto"/>
      </w:divBdr>
    </w:div>
    <w:div w:id="353190722">
      <w:bodyDiv w:val="1"/>
      <w:marLeft w:val="0"/>
      <w:marRight w:val="0"/>
      <w:marTop w:val="0"/>
      <w:marBottom w:val="0"/>
      <w:divBdr>
        <w:top w:val="none" w:sz="0" w:space="0" w:color="auto"/>
        <w:left w:val="none" w:sz="0" w:space="0" w:color="auto"/>
        <w:bottom w:val="none" w:sz="0" w:space="0" w:color="auto"/>
        <w:right w:val="none" w:sz="0" w:space="0" w:color="auto"/>
      </w:divBdr>
    </w:div>
    <w:div w:id="354159830">
      <w:bodyDiv w:val="1"/>
      <w:marLeft w:val="0"/>
      <w:marRight w:val="0"/>
      <w:marTop w:val="0"/>
      <w:marBottom w:val="0"/>
      <w:divBdr>
        <w:top w:val="none" w:sz="0" w:space="0" w:color="auto"/>
        <w:left w:val="none" w:sz="0" w:space="0" w:color="auto"/>
        <w:bottom w:val="none" w:sz="0" w:space="0" w:color="auto"/>
        <w:right w:val="none" w:sz="0" w:space="0" w:color="auto"/>
      </w:divBdr>
    </w:div>
    <w:div w:id="354355098">
      <w:bodyDiv w:val="1"/>
      <w:marLeft w:val="0"/>
      <w:marRight w:val="0"/>
      <w:marTop w:val="0"/>
      <w:marBottom w:val="0"/>
      <w:divBdr>
        <w:top w:val="none" w:sz="0" w:space="0" w:color="auto"/>
        <w:left w:val="none" w:sz="0" w:space="0" w:color="auto"/>
        <w:bottom w:val="none" w:sz="0" w:space="0" w:color="auto"/>
        <w:right w:val="none" w:sz="0" w:space="0" w:color="auto"/>
      </w:divBdr>
    </w:div>
    <w:div w:id="355541719">
      <w:bodyDiv w:val="1"/>
      <w:marLeft w:val="0"/>
      <w:marRight w:val="0"/>
      <w:marTop w:val="0"/>
      <w:marBottom w:val="0"/>
      <w:divBdr>
        <w:top w:val="none" w:sz="0" w:space="0" w:color="auto"/>
        <w:left w:val="none" w:sz="0" w:space="0" w:color="auto"/>
        <w:bottom w:val="none" w:sz="0" w:space="0" w:color="auto"/>
        <w:right w:val="none" w:sz="0" w:space="0" w:color="auto"/>
      </w:divBdr>
    </w:div>
    <w:div w:id="355545344">
      <w:bodyDiv w:val="1"/>
      <w:marLeft w:val="0"/>
      <w:marRight w:val="0"/>
      <w:marTop w:val="0"/>
      <w:marBottom w:val="0"/>
      <w:divBdr>
        <w:top w:val="none" w:sz="0" w:space="0" w:color="auto"/>
        <w:left w:val="none" w:sz="0" w:space="0" w:color="auto"/>
        <w:bottom w:val="none" w:sz="0" w:space="0" w:color="auto"/>
        <w:right w:val="none" w:sz="0" w:space="0" w:color="auto"/>
      </w:divBdr>
    </w:div>
    <w:div w:id="356203238">
      <w:bodyDiv w:val="1"/>
      <w:marLeft w:val="0"/>
      <w:marRight w:val="0"/>
      <w:marTop w:val="0"/>
      <w:marBottom w:val="0"/>
      <w:divBdr>
        <w:top w:val="none" w:sz="0" w:space="0" w:color="auto"/>
        <w:left w:val="none" w:sz="0" w:space="0" w:color="auto"/>
        <w:bottom w:val="none" w:sz="0" w:space="0" w:color="auto"/>
        <w:right w:val="none" w:sz="0" w:space="0" w:color="auto"/>
      </w:divBdr>
    </w:div>
    <w:div w:id="356548292">
      <w:bodyDiv w:val="1"/>
      <w:marLeft w:val="0"/>
      <w:marRight w:val="0"/>
      <w:marTop w:val="0"/>
      <w:marBottom w:val="0"/>
      <w:divBdr>
        <w:top w:val="none" w:sz="0" w:space="0" w:color="auto"/>
        <w:left w:val="none" w:sz="0" w:space="0" w:color="auto"/>
        <w:bottom w:val="none" w:sz="0" w:space="0" w:color="auto"/>
        <w:right w:val="none" w:sz="0" w:space="0" w:color="auto"/>
      </w:divBdr>
    </w:div>
    <w:div w:id="357046158">
      <w:bodyDiv w:val="1"/>
      <w:marLeft w:val="0"/>
      <w:marRight w:val="0"/>
      <w:marTop w:val="0"/>
      <w:marBottom w:val="0"/>
      <w:divBdr>
        <w:top w:val="none" w:sz="0" w:space="0" w:color="auto"/>
        <w:left w:val="none" w:sz="0" w:space="0" w:color="auto"/>
        <w:bottom w:val="none" w:sz="0" w:space="0" w:color="auto"/>
        <w:right w:val="none" w:sz="0" w:space="0" w:color="auto"/>
      </w:divBdr>
    </w:div>
    <w:div w:id="357122476">
      <w:bodyDiv w:val="1"/>
      <w:marLeft w:val="0"/>
      <w:marRight w:val="0"/>
      <w:marTop w:val="0"/>
      <w:marBottom w:val="0"/>
      <w:divBdr>
        <w:top w:val="none" w:sz="0" w:space="0" w:color="auto"/>
        <w:left w:val="none" w:sz="0" w:space="0" w:color="auto"/>
        <w:bottom w:val="none" w:sz="0" w:space="0" w:color="auto"/>
        <w:right w:val="none" w:sz="0" w:space="0" w:color="auto"/>
      </w:divBdr>
    </w:div>
    <w:div w:id="357319986">
      <w:bodyDiv w:val="1"/>
      <w:marLeft w:val="0"/>
      <w:marRight w:val="0"/>
      <w:marTop w:val="0"/>
      <w:marBottom w:val="0"/>
      <w:divBdr>
        <w:top w:val="none" w:sz="0" w:space="0" w:color="auto"/>
        <w:left w:val="none" w:sz="0" w:space="0" w:color="auto"/>
        <w:bottom w:val="none" w:sz="0" w:space="0" w:color="auto"/>
        <w:right w:val="none" w:sz="0" w:space="0" w:color="auto"/>
      </w:divBdr>
      <w:divsChild>
        <w:div w:id="790782481">
          <w:marLeft w:val="480"/>
          <w:marRight w:val="0"/>
          <w:marTop w:val="0"/>
          <w:marBottom w:val="0"/>
          <w:divBdr>
            <w:top w:val="none" w:sz="0" w:space="0" w:color="auto"/>
            <w:left w:val="none" w:sz="0" w:space="0" w:color="auto"/>
            <w:bottom w:val="none" w:sz="0" w:space="0" w:color="auto"/>
            <w:right w:val="none" w:sz="0" w:space="0" w:color="auto"/>
          </w:divBdr>
        </w:div>
        <w:div w:id="1007561765">
          <w:marLeft w:val="480"/>
          <w:marRight w:val="0"/>
          <w:marTop w:val="0"/>
          <w:marBottom w:val="0"/>
          <w:divBdr>
            <w:top w:val="none" w:sz="0" w:space="0" w:color="auto"/>
            <w:left w:val="none" w:sz="0" w:space="0" w:color="auto"/>
            <w:bottom w:val="none" w:sz="0" w:space="0" w:color="auto"/>
            <w:right w:val="none" w:sz="0" w:space="0" w:color="auto"/>
          </w:divBdr>
        </w:div>
        <w:div w:id="1465078466">
          <w:marLeft w:val="480"/>
          <w:marRight w:val="0"/>
          <w:marTop w:val="0"/>
          <w:marBottom w:val="0"/>
          <w:divBdr>
            <w:top w:val="none" w:sz="0" w:space="0" w:color="auto"/>
            <w:left w:val="none" w:sz="0" w:space="0" w:color="auto"/>
            <w:bottom w:val="none" w:sz="0" w:space="0" w:color="auto"/>
            <w:right w:val="none" w:sz="0" w:space="0" w:color="auto"/>
          </w:divBdr>
        </w:div>
        <w:div w:id="78137810">
          <w:marLeft w:val="480"/>
          <w:marRight w:val="0"/>
          <w:marTop w:val="0"/>
          <w:marBottom w:val="0"/>
          <w:divBdr>
            <w:top w:val="none" w:sz="0" w:space="0" w:color="auto"/>
            <w:left w:val="none" w:sz="0" w:space="0" w:color="auto"/>
            <w:bottom w:val="none" w:sz="0" w:space="0" w:color="auto"/>
            <w:right w:val="none" w:sz="0" w:space="0" w:color="auto"/>
          </w:divBdr>
        </w:div>
        <w:div w:id="428937763">
          <w:marLeft w:val="480"/>
          <w:marRight w:val="0"/>
          <w:marTop w:val="0"/>
          <w:marBottom w:val="0"/>
          <w:divBdr>
            <w:top w:val="none" w:sz="0" w:space="0" w:color="auto"/>
            <w:left w:val="none" w:sz="0" w:space="0" w:color="auto"/>
            <w:bottom w:val="none" w:sz="0" w:space="0" w:color="auto"/>
            <w:right w:val="none" w:sz="0" w:space="0" w:color="auto"/>
          </w:divBdr>
        </w:div>
        <w:div w:id="1590653378">
          <w:marLeft w:val="480"/>
          <w:marRight w:val="0"/>
          <w:marTop w:val="0"/>
          <w:marBottom w:val="0"/>
          <w:divBdr>
            <w:top w:val="none" w:sz="0" w:space="0" w:color="auto"/>
            <w:left w:val="none" w:sz="0" w:space="0" w:color="auto"/>
            <w:bottom w:val="none" w:sz="0" w:space="0" w:color="auto"/>
            <w:right w:val="none" w:sz="0" w:space="0" w:color="auto"/>
          </w:divBdr>
        </w:div>
        <w:div w:id="71128647">
          <w:marLeft w:val="480"/>
          <w:marRight w:val="0"/>
          <w:marTop w:val="0"/>
          <w:marBottom w:val="0"/>
          <w:divBdr>
            <w:top w:val="none" w:sz="0" w:space="0" w:color="auto"/>
            <w:left w:val="none" w:sz="0" w:space="0" w:color="auto"/>
            <w:bottom w:val="none" w:sz="0" w:space="0" w:color="auto"/>
            <w:right w:val="none" w:sz="0" w:space="0" w:color="auto"/>
          </w:divBdr>
        </w:div>
        <w:div w:id="341009462">
          <w:marLeft w:val="480"/>
          <w:marRight w:val="0"/>
          <w:marTop w:val="0"/>
          <w:marBottom w:val="0"/>
          <w:divBdr>
            <w:top w:val="none" w:sz="0" w:space="0" w:color="auto"/>
            <w:left w:val="none" w:sz="0" w:space="0" w:color="auto"/>
            <w:bottom w:val="none" w:sz="0" w:space="0" w:color="auto"/>
            <w:right w:val="none" w:sz="0" w:space="0" w:color="auto"/>
          </w:divBdr>
        </w:div>
        <w:div w:id="1527399855">
          <w:marLeft w:val="480"/>
          <w:marRight w:val="0"/>
          <w:marTop w:val="0"/>
          <w:marBottom w:val="0"/>
          <w:divBdr>
            <w:top w:val="none" w:sz="0" w:space="0" w:color="auto"/>
            <w:left w:val="none" w:sz="0" w:space="0" w:color="auto"/>
            <w:bottom w:val="none" w:sz="0" w:space="0" w:color="auto"/>
            <w:right w:val="none" w:sz="0" w:space="0" w:color="auto"/>
          </w:divBdr>
        </w:div>
        <w:div w:id="1201238729">
          <w:marLeft w:val="480"/>
          <w:marRight w:val="0"/>
          <w:marTop w:val="0"/>
          <w:marBottom w:val="0"/>
          <w:divBdr>
            <w:top w:val="none" w:sz="0" w:space="0" w:color="auto"/>
            <w:left w:val="none" w:sz="0" w:space="0" w:color="auto"/>
            <w:bottom w:val="none" w:sz="0" w:space="0" w:color="auto"/>
            <w:right w:val="none" w:sz="0" w:space="0" w:color="auto"/>
          </w:divBdr>
        </w:div>
        <w:div w:id="962273884">
          <w:marLeft w:val="480"/>
          <w:marRight w:val="0"/>
          <w:marTop w:val="0"/>
          <w:marBottom w:val="0"/>
          <w:divBdr>
            <w:top w:val="none" w:sz="0" w:space="0" w:color="auto"/>
            <w:left w:val="none" w:sz="0" w:space="0" w:color="auto"/>
            <w:bottom w:val="none" w:sz="0" w:space="0" w:color="auto"/>
            <w:right w:val="none" w:sz="0" w:space="0" w:color="auto"/>
          </w:divBdr>
        </w:div>
        <w:div w:id="1905486623">
          <w:marLeft w:val="480"/>
          <w:marRight w:val="0"/>
          <w:marTop w:val="0"/>
          <w:marBottom w:val="0"/>
          <w:divBdr>
            <w:top w:val="none" w:sz="0" w:space="0" w:color="auto"/>
            <w:left w:val="none" w:sz="0" w:space="0" w:color="auto"/>
            <w:bottom w:val="none" w:sz="0" w:space="0" w:color="auto"/>
            <w:right w:val="none" w:sz="0" w:space="0" w:color="auto"/>
          </w:divBdr>
        </w:div>
        <w:div w:id="1813518077">
          <w:marLeft w:val="480"/>
          <w:marRight w:val="0"/>
          <w:marTop w:val="0"/>
          <w:marBottom w:val="0"/>
          <w:divBdr>
            <w:top w:val="none" w:sz="0" w:space="0" w:color="auto"/>
            <w:left w:val="none" w:sz="0" w:space="0" w:color="auto"/>
            <w:bottom w:val="none" w:sz="0" w:space="0" w:color="auto"/>
            <w:right w:val="none" w:sz="0" w:space="0" w:color="auto"/>
          </w:divBdr>
        </w:div>
        <w:div w:id="2081902989">
          <w:marLeft w:val="480"/>
          <w:marRight w:val="0"/>
          <w:marTop w:val="0"/>
          <w:marBottom w:val="0"/>
          <w:divBdr>
            <w:top w:val="none" w:sz="0" w:space="0" w:color="auto"/>
            <w:left w:val="none" w:sz="0" w:space="0" w:color="auto"/>
            <w:bottom w:val="none" w:sz="0" w:space="0" w:color="auto"/>
            <w:right w:val="none" w:sz="0" w:space="0" w:color="auto"/>
          </w:divBdr>
        </w:div>
        <w:div w:id="1182402043">
          <w:marLeft w:val="480"/>
          <w:marRight w:val="0"/>
          <w:marTop w:val="0"/>
          <w:marBottom w:val="0"/>
          <w:divBdr>
            <w:top w:val="none" w:sz="0" w:space="0" w:color="auto"/>
            <w:left w:val="none" w:sz="0" w:space="0" w:color="auto"/>
            <w:bottom w:val="none" w:sz="0" w:space="0" w:color="auto"/>
            <w:right w:val="none" w:sz="0" w:space="0" w:color="auto"/>
          </w:divBdr>
        </w:div>
        <w:div w:id="83305217">
          <w:marLeft w:val="480"/>
          <w:marRight w:val="0"/>
          <w:marTop w:val="0"/>
          <w:marBottom w:val="0"/>
          <w:divBdr>
            <w:top w:val="none" w:sz="0" w:space="0" w:color="auto"/>
            <w:left w:val="none" w:sz="0" w:space="0" w:color="auto"/>
            <w:bottom w:val="none" w:sz="0" w:space="0" w:color="auto"/>
            <w:right w:val="none" w:sz="0" w:space="0" w:color="auto"/>
          </w:divBdr>
        </w:div>
        <w:div w:id="1011831969">
          <w:marLeft w:val="480"/>
          <w:marRight w:val="0"/>
          <w:marTop w:val="0"/>
          <w:marBottom w:val="0"/>
          <w:divBdr>
            <w:top w:val="none" w:sz="0" w:space="0" w:color="auto"/>
            <w:left w:val="none" w:sz="0" w:space="0" w:color="auto"/>
            <w:bottom w:val="none" w:sz="0" w:space="0" w:color="auto"/>
            <w:right w:val="none" w:sz="0" w:space="0" w:color="auto"/>
          </w:divBdr>
        </w:div>
        <w:div w:id="1348604726">
          <w:marLeft w:val="480"/>
          <w:marRight w:val="0"/>
          <w:marTop w:val="0"/>
          <w:marBottom w:val="0"/>
          <w:divBdr>
            <w:top w:val="none" w:sz="0" w:space="0" w:color="auto"/>
            <w:left w:val="none" w:sz="0" w:space="0" w:color="auto"/>
            <w:bottom w:val="none" w:sz="0" w:space="0" w:color="auto"/>
            <w:right w:val="none" w:sz="0" w:space="0" w:color="auto"/>
          </w:divBdr>
        </w:div>
        <w:div w:id="98305737">
          <w:marLeft w:val="480"/>
          <w:marRight w:val="0"/>
          <w:marTop w:val="0"/>
          <w:marBottom w:val="0"/>
          <w:divBdr>
            <w:top w:val="none" w:sz="0" w:space="0" w:color="auto"/>
            <w:left w:val="none" w:sz="0" w:space="0" w:color="auto"/>
            <w:bottom w:val="none" w:sz="0" w:space="0" w:color="auto"/>
            <w:right w:val="none" w:sz="0" w:space="0" w:color="auto"/>
          </w:divBdr>
        </w:div>
        <w:div w:id="1234244033">
          <w:marLeft w:val="480"/>
          <w:marRight w:val="0"/>
          <w:marTop w:val="0"/>
          <w:marBottom w:val="0"/>
          <w:divBdr>
            <w:top w:val="none" w:sz="0" w:space="0" w:color="auto"/>
            <w:left w:val="none" w:sz="0" w:space="0" w:color="auto"/>
            <w:bottom w:val="none" w:sz="0" w:space="0" w:color="auto"/>
            <w:right w:val="none" w:sz="0" w:space="0" w:color="auto"/>
          </w:divBdr>
        </w:div>
        <w:div w:id="1330061318">
          <w:marLeft w:val="480"/>
          <w:marRight w:val="0"/>
          <w:marTop w:val="0"/>
          <w:marBottom w:val="0"/>
          <w:divBdr>
            <w:top w:val="none" w:sz="0" w:space="0" w:color="auto"/>
            <w:left w:val="none" w:sz="0" w:space="0" w:color="auto"/>
            <w:bottom w:val="none" w:sz="0" w:space="0" w:color="auto"/>
            <w:right w:val="none" w:sz="0" w:space="0" w:color="auto"/>
          </w:divBdr>
        </w:div>
        <w:div w:id="1299992653">
          <w:marLeft w:val="480"/>
          <w:marRight w:val="0"/>
          <w:marTop w:val="0"/>
          <w:marBottom w:val="0"/>
          <w:divBdr>
            <w:top w:val="none" w:sz="0" w:space="0" w:color="auto"/>
            <w:left w:val="none" w:sz="0" w:space="0" w:color="auto"/>
            <w:bottom w:val="none" w:sz="0" w:space="0" w:color="auto"/>
            <w:right w:val="none" w:sz="0" w:space="0" w:color="auto"/>
          </w:divBdr>
        </w:div>
        <w:div w:id="391587816">
          <w:marLeft w:val="480"/>
          <w:marRight w:val="0"/>
          <w:marTop w:val="0"/>
          <w:marBottom w:val="0"/>
          <w:divBdr>
            <w:top w:val="none" w:sz="0" w:space="0" w:color="auto"/>
            <w:left w:val="none" w:sz="0" w:space="0" w:color="auto"/>
            <w:bottom w:val="none" w:sz="0" w:space="0" w:color="auto"/>
            <w:right w:val="none" w:sz="0" w:space="0" w:color="auto"/>
          </w:divBdr>
        </w:div>
        <w:div w:id="1775632647">
          <w:marLeft w:val="480"/>
          <w:marRight w:val="0"/>
          <w:marTop w:val="0"/>
          <w:marBottom w:val="0"/>
          <w:divBdr>
            <w:top w:val="none" w:sz="0" w:space="0" w:color="auto"/>
            <w:left w:val="none" w:sz="0" w:space="0" w:color="auto"/>
            <w:bottom w:val="none" w:sz="0" w:space="0" w:color="auto"/>
            <w:right w:val="none" w:sz="0" w:space="0" w:color="auto"/>
          </w:divBdr>
        </w:div>
        <w:div w:id="1464957802">
          <w:marLeft w:val="480"/>
          <w:marRight w:val="0"/>
          <w:marTop w:val="0"/>
          <w:marBottom w:val="0"/>
          <w:divBdr>
            <w:top w:val="none" w:sz="0" w:space="0" w:color="auto"/>
            <w:left w:val="none" w:sz="0" w:space="0" w:color="auto"/>
            <w:bottom w:val="none" w:sz="0" w:space="0" w:color="auto"/>
            <w:right w:val="none" w:sz="0" w:space="0" w:color="auto"/>
          </w:divBdr>
        </w:div>
        <w:div w:id="122382839">
          <w:marLeft w:val="480"/>
          <w:marRight w:val="0"/>
          <w:marTop w:val="0"/>
          <w:marBottom w:val="0"/>
          <w:divBdr>
            <w:top w:val="none" w:sz="0" w:space="0" w:color="auto"/>
            <w:left w:val="none" w:sz="0" w:space="0" w:color="auto"/>
            <w:bottom w:val="none" w:sz="0" w:space="0" w:color="auto"/>
            <w:right w:val="none" w:sz="0" w:space="0" w:color="auto"/>
          </w:divBdr>
        </w:div>
        <w:div w:id="1062948613">
          <w:marLeft w:val="480"/>
          <w:marRight w:val="0"/>
          <w:marTop w:val="0"/>
          <w:marBottom w:val="0"/>
          <w:divBdr>
            <w:top w:val="none" w:sz="0" w:space="0" w:color="auto"/>
            <w:left w:val="none" w:sz="0" w:space="0" w:color="auto"/>
            <w:bottom w:val="none" w:sz="0" w:space="0" w:color="auto"/>
            <w:right w:val="none" w:sz="0" w:space="0" w:color="auto"/>
          </w:divBdr>
        </w:div>
        <w:div w:id="449785863">
          <w:marLeft w:val="480"/>
          <w:marRight w:val="0"/>
          <w:marTop w:val="0"/>
          <w:marBottom w:val="0"/>
          <w:divBdr>
            <w:top w:val="none" w:sz="0" w:space="0" w:color="auto"/>
            <w:left w:val="none" w:sz="0" w:space="0" w:color="auto"/>
            <w:bottom w:val="none" w:sz="0" w:space="0" w:color="auto"/>
            <w:right w:val="none" w:sz="0" w:space="0" w:color="auto"/>
          </w:divBdr>
        </w:div>
        <w:div w:id="2105228705">
          <w:marLeft w:val="480"/>
          <w:marRight w:val="0"/>
          <w:marTop w:val="0"/>
          <w:marBottom w:val="0"/>
          <w:divBdr>
            <w:top w:val="none" w:sz="0" w:space="0" w:color="auto"/>
            <w:left w:val="none" w:sz="0" w:space="0" w:color="auto"/>
            <w:bottom w:val="none" w:sz="0" w:space="0" w:color="auto"/>
            <w:right w:val="none" w:sz="0" w:space="0" w:color="auto"/>
          </w:divBdr>
        </w:div>
        <w:div w:id="1505975912">
          <w:marLeft w:val="480"/>
          <w:marRight w:val="0"/>
          <w:marTop w:val="0"/>
          <w:marBottom w:val="0"/>
          <w:divBdr>
            <w:top w:val="none" w:sz="0" w:space="0" w:color="auto"/>
            <w:left w:val="none" w:sz="0" w:space="0" w:color="auto"/>
            <w:bottom w:val="none" w:sz="0" w:space="0" w:color="auto"/>
            <w:right w:val="none" w:sz="0" w:space="0" w:color="auto"/>
          </w:divBdr>
        </w:div>
        <w:div w:id="43454011">
          <w:marLeft w:val="480"/>
          <w:marRight w:val="0"/>
          <w:marTop w:val="0"/>
          <w:marBottom w:val="0"/>
          <w:divBdr>
            <w:top w:val="none" w:sz="0" w:space="0" w:color="auto"/>
            <w:left w:val="none" w:sz="0" w:space="0" w:color="auto"/>
            <w:bottom w:val="none" w:sz="0" w:space="0" w:color="auto"/>
            <w:right w:val="none" w:sz="0" w:space="0" w:color="auto"/>
          </w:divBdr>
        </w:div>
        <w:div w:id="1010790253">
          <w:marLeft w:val="480"/>
          <w:marRight w:val="0"/>
          <w:marTop w:val="0"/>
          <w:marBottom w:val="0"/>
          <w:divBdr>
            <w:top w:val="none" w:sz="0" w:space="0" w:color="auto"/>
            <w:left w:val="none" w:sz="0" w:space="0" w:color="auto"/>
            <w:bottom w:val="none" w:sz="0" w:space="0" w:color="auto"/>
            <w:right w:val="none" w:sz="0" w:space="0" w:color="auto"/>
          </w:divBdr>
        </w:div>
        <w:div w:id="732777960">
          <w:marLeft w:val="480"/>
          <w:marRight w:val="0"/>
          <w:marTop w:val="0"/>
          <w:marBottom w:val="0"/>
          <w:divBdr>
            <w:top w:val="none" w:sz="0" w:space="0" w:color="auto"/>
            <w:left w:val="none" w:sz="0" w:space="0" w:color="auto"/>
            <w:bottom w:val="none" w:sz="0" w:space="0" w:color="auto"/>
            <w:right w:val="none" w:sz="0" w:space="0" w:color="auto"/>
          </w:divBdr>
        </w:div>
        <w:div w:id="1557276805">
          <w:marLeft w:val="480"/>
          <w:marRight w:val="0"/>
          <w:marTop w:val="0"/>
          <w:marBottom w:val="0"/>
          <w:divBdr>
            <w:top w:val="none" w:sz="0" w:space="0" w:color="auto"/>
            <w:left w:val="none" w:sz="0" w:space="0" w:color="auto"/>
            <w:bottom w:val="none" w:sz="0" w:space="0" w:color="auto"/>
            <w:right w:val="none" w:sz="0" w:space="0" w:color="auto"/>
          </w:divBdr>
        </w:div>
        <w:div w:id="1944914834">
          <w:marLeft w:val="480"/>
          <w:marRight w:val="0"/>
          <w:marTop w:val="0"/>
          <w:marBottom w:val="0"/>
          <w:divBdr>
            <w:top w:val="none" w:sz="0" w:space="0" w:color="auto"/>
            <w:left w:val="none" w:sz="0" w:space="0" w:color="auto"/>
            <w:bottom w:val="none" w:sz="0" w:space="0" w:color="auto"/>
            <w:right w:val="none" w:sz="0" w:space="0" w:color="auto"/>
          </w:divBdr>
        </w:div>
        <w:div w:id="486560451">
          <w:marLeft w:val="480"/>
          <w:marRight w:val="0"/>
          <w:marTop w:val="0"/>
          <w:marBottom w:val="0"/>
          <w:divBdr>
            <w:top w:val="none" w:sz="0" w:space="0" w:color="auto"/>
            <w:left w:val="none" w:sz="0" w:space="0" w:color="auto"/>
            <w:bottom w:val="none" w:sz="0" w:space="0" w:color="auto"/>
            <w:right w:val="none" w:sz="0" w:space="0" w:color="auto"/>
          </w:divBdr>
        </w:div>
        <w:div w:id="1748916836">
          <w:marLeft w:val="480"/>
          <w:marRight w:val="0"/>
          <w:marTop w:val="0"/>
          <w:marBottom w:val="0"/>
          <w:divBdr>
            <w:top w:val="none" w:sz="0" w:space="0" w:color="auto"/>
            <w:left w:val="none" w:sz="0" w:space="0" w:color="auto"/>
            <w:bottom w:val="none" w:sz="0" w:space="0" w:color="auto"/>
            <w:right w:val="none" w:sz="0" w:space="0" w:color="auto"/>
          </w:divBdr>
        </w:div>
        <w:div w:id="1602641397">
          <w:marLeft w:val="480"/>
          <w:marRight w:val="0"/>
          <w:marTop w:val="0"/>
          <w:marBottom w:val="0"/>
          <w:divBdr>
            <w:top w:val="none" w:sz="0" w:space="0" w:color="auto"/>
            <w:left w:val="none" w:sz="0" w:space="0" w:color="auto"/>
            <w:bottom w:val="none" w:sz="0" w:space="0" w:color="auto"/>
            <w:right w:val="none" w:sz="0" w:space="0" w:color="auto"/>
          </w:divBdr>
        </w:div>
        <w:div w:id="5835144">
          <w:marLeft w:val="480"/>
          <w:marRight w:val="0"/>
          <w:marTop w:val="0"/>
          <w:marBottom w:val="0"/>
          <w:divBdr>
            <w:top w:val="none" w:sz="0" w:space="0" w:color="auto"/>
            <w:left w:val="none" w:sz="0" w:space="0" w:color="auto"/>
            <w:bottom w:val="none" w:sz="0" w:space="0" w:color="auto"/>
            <w:right w:val="none" w:sz="0" w:space="0" w:color="auto"/>
          </w:divBdr>
        </w:div>
        <w:div w:id="1801335931">
          <w:marLeft w:val="480"/>
          <w:marRight w:val="0"/>
          <w:marTop w:val="0"/>
          <w:marBottom w:val="0"/>
          <w:divBdr>
            <w:top w:val="none" w:sz="0" w:space="0" w:color="auto"/>
            <w:left w:val="none" w:sz="0" w:space="0" w:color="auto"/>
            <w:bottom w:val="none" w:sz="0" w:space="0" w:color="auto"/>
            <w:right w:val="none" w:sz="0" w:space="0" w:color="auto"/>
          </w:divBdr>
        </w:div>
        <w:div w:id="490297508">
          <w:marLeft w:val="480"/>
          <w:marRight w:val="0"/>
          <w:marTop w:val="0"/>
          <w:marBottom w:val="0"/>
          <w:divBdr>
            <w:top w:val="none" w:sz="0" w:space="0" w:color="auto"/>
            <w:left w:val="none" w:sz="0" w:space="0" w:color="auto"/>
            <w:bottom w:val="none" w:sz="0" w:space="0" w:color="auto"/>
            <w:right w:val="none" w:sz="0" w:space="0" w:color="auto"/>
          </w:divBdr>
        </w:div>
        <w:div w:id="1634557838">
          <w:marLeft w:val="480"/>
          <w:marRight w:val="0"/>
          <w:marTop w:val="0"/>
          <w:marBottom w:val="0"/>
          <w:divBdr>
            <w:top w:val="none" w:sz="0" w:space="0" w:color="auto"/>
            <w:left w:val="none" w:sz="0" w:space="0" w:color="auto"/>
            <w:bottom w:val="none" w:sz="0" w:space="0" w:color="auto"/>
            <w:right w:val="none" w:sz="0" w:space="0" w:color="auto"/>
          </w:divBdr>
        </w:div>
        <w:div w:id="1952321441">
          <w:marLeft w:val="480"/>
          <w:marRight w:val="0"/>
          <w:marTop w:val="0"/>
          <w:marBottom w:val="0"/>
          <w:divBdr>
            <w:top w:val="none" w:sz="0" w:space="0" w:color="auto"/>
            <w:left w:val="none" w:sz="0" w:space="0" w:color="auto"/>
            <w:bottom w:val="none" w:sz="0" w:space="0" w:color="auto"/>
            <w:right w:val="none" w:sz="0" w:space="0" w:color="auto"/>
          </w:divBdr>
        </w:div>
        <w:div w:id="1994478799">
          <w:marLeft w:val="480"/>
          <w:marRight w:val="0"/>
          <w:marTop w:val="0"/>
          <w:marBottom w:val="0"/>
          <w:divBdr>
            <w:top w:val="none" w:sz="0" w:space="0" w:color="auto"/>
            <w:left w:val="none" w:sz="0" w:space="0" w:color="auto"/>
            <w:bottom w:val="none" w:sz="0" w:space="0" w:color="auto"/>
            <w:right w:val="none" w:sz="0" w:space="0" w:color="auto"/>
          </w:divBdr>
        </w:div>
        <w:div w:id="700086803">
          <w:marLeft w:val="480"/>
          <w:marRight w:val="0"/>
          <w:marTop w:val="0"/>
          <w:marBottom w:val="0"/>
          <w:divBdr>
            <w:top w:val="none" w:sz="0" w:space="0" w:color="auto"/>
            <w:left w:val="none" w:sz="0" w:space="0" w:color="auto"/>
            <w:bottom w:val="none" w:sz="0" w:space="0" w:color="auto"/>
            <w:right w:val="none" w:sz="0" w:space="0" w:color="auto"/>
          </w:divBdr>
        </w:div>
        <w:div w:id="773866332">
          <w:marLeft w:val="480"/>
          <w:marRight w:val="0"/>
          <w:marTop w:val="0"/>
          <w:marBottom w:val="0"/>
          <w:divBdr>
            <w:top w:val="none" w:sz="0" w:space="0" w:color="auto"/>
            <w:left w:val="none" w:sz="0" w:space="0" w:color="auto"/>
            <w:bottom w:val="none" w:sz="0" w:space="0" w:color="auto"/>
            <w:right w:val="none" w:sz="0" w:space="0" w:color="auto"/>
          </w:divBdr>
        </w:div>
        <w:div w:id="1976444050">
          <w:marLeft w:val="480"/>
          <w:marRight w:val="0"/>
          <w:marTop w:val="0"/>
          <w:marBottom w:val="0"/>
          <w:divBdr>
            <w:top w:val="none" w:sz="0" w:space="0" w:color="auto"/>
            <w:left w:val="none" w:sz="0" w:space="0" w:color="auto"/>
            <w:bottom w:val="none" w:sz="0" w:space="0" w:color="auto"/>
            <w:right w:val="none" w:sz="0" w:space="0" w:color="auto"/>
          </w:divBdr>
        </w:div>
        <w:div w:id="1648633263">
          <w:marLeft w:val="480"/>
          <w:marRight w:val="0"/>
          <w:marTop w:val="0"/>
          <w:marBottom w:val="0"/>
          <w:divBdr>
            <w:top w:val="none" w:sz="0" w:space="0" w:color="auto"/>
            <w:left w:val="none" w:sz="0" w:space="0" w:color="auto"/>
            <w:bottom w:val="none" w:sz="0" w:space="0" w:color="auto"/>
            <w:right w:val="none" w:sz="0" w:space="0" w:color="auto"/>
          </w:divBdr>
        </w:div>
        <w:div w:id="1265576906">
          <w:marLeft w:val="480"/>
          <w:marRight w:val="0"/>
          <w:marTop w:val="0"/>
          <w:marBottom w:val="0"/>
          <w:divBdr>
            <w:top w:val="none" w:sz="0" w:space="0" w:color="auto"/>
            <w:left w:val="none" w:sz="0" w:space="0" w:color="auto"/>
            <w:bottom w:val="none" w:sz="0" w:space="0" w:color="auto"/>
            <w:right w:val="none" w:sz="0" w:space="0" w:color="auto"/>
          </w:divBdr>
        </w:div>
        <w:div w:id="1633054270">
          <w:marLeft w:val="480"/>
          <w:marRight w:val="0"/>
          <w:marTop w:val="0"/>
          <w:marBottom w:val="0"/>
          <w:divBdr>
            <w:top w:val="none" w:sz="0" w:space="0" w:color="auto"/>
            <w:left w:val="none" w:sz="0" w:space="0" w:color="auto"/>
            <w:bottom w:val="none" w:sz="0" w:space="0" w:color="auto"/>
            <w:right w:val="none" w:sz="0" w:space="0" w:color="auto"/>
          </w:divBdr>
        </w:div>
        <w:div w:id="809906960">
          <w:marLeft w:val="480"/>
          <w:marRight w:val="0"/>
          <w:marTop w:val="0"/>
          <w:marBottom w:val="0"/>
          <w:divBdr>
            <w:top w:val="none" w:sz="0" w:space="0" w:color="auto"/>
            <w:left w:val="none" w:sz="0" w:space="0" w:color="auto"/>
            <w:bottom w:val="none" w:sz="0" w:space="0" w:color="auto"/>
            <w:right w:val="none" w:sz="0" w:space="0" w:color="auto"/>
          </w:divBdr>
        </w:div>
        <w:div w:id="1710757703">
          <w:marLeft w:val="480"/>
          <w:marRight w:val="0"/>
          <w:marTop w:val="0"/>
          <w:marBottom w:val="0"/>
          <w:divBdr>
            <w:top w:val="none" w:sz="0" w:space="0" w:color="auto"/>
            <w:left w:val="none" w:sz="0" w:space="0" w:color="auto"/>
            <w:bottom w:val="none" w:sz="0" w:space="0" w:color="auto"/>
            <w:right w:val="none" w:sz="0" w:space="0" w:color="auto"/>
          </w:divBdr>
        </w:div>
        <w:div w:id="1428884066">
          <w:marLeft w:val="480"/>
          <w:marRight w:val="0"/>
          <w:marTop w:val="0"/>
          <w:marBottom w:val="0"/>
          <w:divBdr>
            <w:top w:val="none" w:sz="0" w:space="0" w:color="auto"/>
            <w:left w:val="none" w:sz="0" w:space="0" w:color="auto"/>
            <w:bottom w:val="none" w:sz="0" w:space="0" w:color="auto"/>
            <w:right w:val="none" w:sz="0" w:space="0" w:color="auto"/>
          </w:divBdr>
        </w:div>
        <w:div w:id="551311397">
          <w:marLeft w:val="480"/>
          <w:marRight w:val="0"/>
          <w:marTop w:val="0"/>
          <w:marBottom w:val="0"/>
          <w:divBdr>
            <w:top w:val="none" w:sz="0" w:space="0" w:color="auto"/>
            <w:left w:val="none" w:sz="0" w:space="0" w:color="auto"/>
            <w:bottom w:val="none" w:sz="0" w:space="0" w:color="auto"/>
            <w:right w:val="none" w:sz="0" w:space="0" w:color="auto"/>
          </w:divBdr>
        </w:div>
        <w:div w:id="1615094857">
          <w:marLeft w:val="480"/>
          <w:marRight w:val="0"/>
          <w:marTop w:val="0"/>
          <w:marBottom w:val="0"/>
          <w:divBdr>
            <w:top w:val="none" w:sz="0" w:space="0" w:color="auto"/>
            <w:left w:val="none" w:sz="0" w:space="0" w:color="auto"/>
            <w:bottom w:val="none" w:sz="0" w:space="0" w:color="auto"/>
            <w:right w:val="none" w:sz="0" w:space="0" w:color="auto"/>
          </w:divBdr>
        </w:div>
        <w:div w:id="1676613393">
          <w:marLeft w:val="480"/>
          <w:marRight w:val="0"/>
          <w:marTop w:val="0"/>
          <w:marBottom w:val="0"/>
          <w:divBdr>
            <w:top w:val="none" w:sz="0" w:space="0" w:color="auto"/>
            <w:left w:val="none" w:sz="0" w:space="0" w:color="auto"/>
            <w:bottom w:val="none" w:sz="0" w:space="0" w:color="auto"/>
            <w:right w:val="none" w:sz="0" w:space="0" w:color="auto"/>
          </w:divBdr>
        </w:div>
        <w:div w:id="881281598">
          <w:marLeft w:val="480"/>
          <w:marRight w:val="0"/>
          <w:marTop w:val="0"/>
          <w:marBottom w:val="0"/>
          <w:divBdr>
            <w:top w:val="none" w:sz="0" w:space="0" w:color="auto"/>
            <w:left w:val="none" w:sz="0" w:space="0" w:color="auto"/>
            <w:bottom w:val="none" w:sz="0" w:space="0" w:color="auto"/>
            <w:right w:val="none" w:sz="0" w:space="0" w:color="auto"/>
          </w:divBdr>
        </w:div>
        <w:div w:id="1408453763">
          <w:marLeft w:val="480"/>
          <w:marRight w:val="0"/>
          <w:marTop w:val="0"/>
          <w:marBottom w:val="0"/>
          <w:divBdr>
            <w:top w:val="none" w:sz="0" w:space="0" w:color="auto"/>
            <w:left w:val="none" w:sz="0" w:space="0" w:color="auto"/>
            <w:bottom w:val="none" w:sz="0" w:space="0" w:color="auto"/>
            <w:right w:val="none" w:sz="0" w:space="0" w:color="auto"/>
          </w:divBdr>
        </w:div>
        <w:div w:id="2125686443">
          <w:marLeft w:val="480"/>
          <w:marRight w:val="0"/>
          <w:marTop w:val="0"/>
          <w:marBottom w:val="0"/>
          <w:divBdr>
            <w:top w:val="none" w:sz="0" w:space="0" w:color="auto"/>
            <w:left w:val="none" w:sz="0" w:space="0" w:color="auto"/>
            <w:bottom w:val="none" w:sz="0" w:space="0" w:color="auto"/>
            <w:right w:val="none" w:sz="0" w:space="0" w:color="auto"/>
          </w:divBdr>
        </w:div>
        <w:div w:id="997266671">
          <w:marLeft w:val="480"/>
          <w:marRight w:val="0"/>
          <w:marTop w:val="0"/>
          <w:marBottom w:val="0"/>
          <w:divBdr>
            <w:top w:val="none" w:sz="0" w:space="0" w:color="auto"/>
            <w:left w:val="none" w:sz="0" w:space="0" w:color="auto"/>
            <w:bottom w:val="none" w:sz="0" w:space="0" w:color="auto"/>
            <w:right w:val="none" w:sz="0" w:space="0" w:color="auto"/>
          </w:divBdr>
        </w:div>
        <w:div w:id="1035740925">
          <w:marLeft w:val="480"/>
          <w:marRight w:val="0"/>
          <w:marTop w:val="0"/>
          <w:marBottom w:val="0"/>
          <w:divBdr>
            <w:top w:val="none" w:sz="0" w:space="0" w:color="auto"/>
            <w:left w:val="none" w:sz="0" w:space="0" w:color="auto"/>
            <w:bottom w:val="none" w:sz="0" w:space="0" w:color="auto"/>
            <w:right w:val="none" w:sz="0" w:space="0" w:color="auto"/>
          </w:divBdr>
        </w:div>
        <w:div w:id="1080642625">
          <w:marLeft w:val="480"/>
          <w:marRight w:val="0"/>
          <w:marTop w:val="0"/>
          <w:marBottom w:val="0"/>
          <w:divBdr>
            <w:top w:val="none" w:sz="0" w:space="0" w:color="auto"/>
            <w:left w:val="none" w:sz="0" w:space="0" w:color="auto"/>
            <w:bottom w:val="none" w:sz="0" w:space="0" w:color="auto"/>
            <w:right w:val="none" w:sz="0" w:space="0" w:color="auto"/>
          </w:divBdr>
        </w:div>
        <w:div w:id="1135414343">
          <w:marLeft w:val="480"/>
          <w:marRight w:val="0"/>
          <w:marTop w:val="0"/>
          <w:marBottom w:val="0"/>
          <w:divBdr>
            <w:top w:val="none" w:sz="0" w:space="0" w:color="auto"/>
            <w:left w:val="none" w:sz="0" w:space="0" w:color="auto"/>
            <w:bottom w:val="none" w:sz="0" w:space="0" w:color="auto"/>
            <w:right w:val="none" w:sz="0" w:space="0" w:color="auto"/>
          </w:divBdr>
        </w:div>
        <w:div w:id="373776628">
          <w:marLeft w:val="480"/>
          <w:marRight w:val="0"/>
          <w:marTop w:val="0"/>
          <w:marBottom w:val="0"/>
          <w:divBdr>
            <w:top w:val="none" w:sz="0" w:space="0" w:color="auto"/>
            <w:left w:val="none" w:sz="0" w:space="0" w:color="auto"/>
            <w:bottom w:val="none" w:sz="0" w:space="0" w:color="auto"/>
            <w:right w:val="none" w:sz="0" w:space="0" w:color="auto"/>
          </w:divBdr>
        </w:div>
        <w:div w:id="217471843">
          <w:marLeft w:val="480"/>
          <w:marRight w:val="0"/>
          <w:marTop w:val="0"/>
          <w:marBottom w:val="0"/>
          <w:divBdr>
            <w:top w:val="none" w:sz="0" w:space="0" w:color="auto"/>
            <w:left w:val="none" w:sz="0" w:space="0" w:color="auto"/>
            <w:bottom w:val="none" w:sz="0" w:space="0" w:color="auto"/>
            <w:right w:val="none" w:sz="0" w:space="0" w:color="auto"/>
          </w:divBdr>
        </w:div>
        <w:div w:id="1642033289">
          <w:marLeft w:val="480"/>
          <w:marRight w:val="0"/>
          <w:marTop w:val="0"/>
          <w:marBottom w:val="0"/>
          <w:divBdr>
            <w:top w:val="none" w:sz="0" w:space="0" w:color="auto"/>
            <w:left w:val="none" w:sz="0" w:space="0" w:color="auto"/>
            <w:bottom w:val="none" w:sz="0" w:space="0" w:color="auto"/>
            <w:right w:val="none" w:sz="0" w:space="0" w:color="auto"/>
          </w:divBdr>
        </w:div>
        <w:div w:id="460610124">
          <w:marLeft w:val="480"/>
          <w:marRight w:val="0"/>
          <w:marTop w:val="0"/>
          <w:marBottom w:val="0"/>
          <w:divBdr>
            <w:top w:val="none" w:sz="0" w:space="0" w:color="auto"/>
            <w:left w:val="none" w:sz="0" w:space="0" w:color="auto"/>
            <w:bottom w:val="none" w:sz="0" w:space="0" w:color="auto"/>
            <w:right w:val="none" w:sz="0" w:space="0" w:color="auto"/>
          </w:divBdr>
        </w:div>
        <w:div w:id="1151556193">
          <w:marLeft w:val="480"/>
          <w:marRight w:val="0"/>
          <w:marTop w:val="0"/>
          <w:marBottom w:val="0"/>
          <w:divBdr>
            <w:top w:val="none" w:sz="0" w:space="0" w:color="auto"/>
            <w:left w:val="none" w:sz="0" w:space="0" w:color="auto"/>
            <w:bottom w:val="none" w:sz="0" w:space="0" w:color="auto"/>
            <w:right w:val="none" w:sz="0" w:space="0" w:color="auto"/>
          </w:divBdr>
        </w:div>
        <w:div w:id="2120759356">
          <w:marLeft w:val="480"/>
          <w:marRight w:val="0"/>
          <w:marTop w:val="0"/>
          <w:marBottom w:val="0"/>
          <w:divBdr>
            <w:top w:val="none" w:sz="0" w:space="0" w:color="auto"/>
            <w:left w:val="none" w:sz="0" w:space="0" w:color="auto"/>
            <w:bottom w:val="none" w:sz="0" w:space="0" w:color="auto"/>
            <w:right w:val="none" w:sz="0" w:space="0" w:color="auto"/>
          </w:divBdr>
        </w:div>
        <w:div w:id="2134399608">
          <w:marLeft w:val="480"/>
          <w:marRight w:val="0"/>
          <w:marTop w:val="0"/>
          <w:marBottom w:val="0"/>
          <w:divBdr>
            <w:top w:val="none" w:sz="0" w:space="0" w:color="auto"/>
            <w:left w:val="none" w:sz="0" w:space="0" w:color="auto"/>
            <w:bottom w:val="none" w:sz="0" w:space="0" w:color="auto"/>
            <w:right w:val="none" w:sz="0" w:space="0" w:color="auto"/>
          </w:divBdr>
        </w:div>
        <w:div w:id="2094617441">
          <w:marLeft w:val="480"/>
          <w:marRight w:val="0"/>
          <w:marTop w:val="0"/>
          <w:marBottom w:val="0"/>
          <w:divBdr>
            <w:top w:val="none" w:sz="0" w:space="0" w:color="auto"/>
            <w:left w:val="none" w:sz="0" w:space="0" w:color="auto"/>
            <w:bottom w:val="none" w:sz="0" w:space="0" w:color="auto"/>
            <w:right w:val="none" w:sz="0" w:space="0" w:color="auto"/>
          </w:divBdr>
        </w:div>
        <w:div w:id="255554171">
          <w:marLeft w:val="480"/>
          <w:marRight w:val="0"/>
          <w:marTop w:val="0"/>
          <w:marBottom w:val="0"/>
          <w:divBdr>
            <w:top w:val="none" w:sz="0" w:space="0" w:color="auto"/>
            <w:left w:val="none" w:sz="0" w:space="0" w:color="auto"/>
            <w:bottom w:val="none" w:sz="0" w:space="0" w:color="auto"/>
            <w:right w:val="none" w:sz="0" w:space="0" w:color="auto"/>
          </w:divBdr>
        </w:div>
        <w:div w:id="199821981">
          <w:marLeft w:val="480"/>
          <w:marRight w:val="0"/>
          <w:marTop w:val="0"/>
          <w:marBottom w:val="0"/>
          <w:divBdr>
            <w:top w:val="none" w:sz="0" w:space="0" w:color="auto"/>
            <w:left w:val="none" w:sz="0" w:space="0" w:color="auto"/>
            <w:bottom w:val="none" w:sz="0" w:space="0" w:color="auto"/>
            <w:right w:val="none" w:sz="0" w:space="0" w:color="auto"/>
          </w:divBdr>
        </w:div>
        <w:div w:id="1612470767">
          <w:marLeft w:val="480"/>
          <w:marRight w:val="0"/>
          <w:marTop w:val="0"/>
          <w:marBottom w:val="0"/>
          <w:divBdr>
            <w:top w:val="none" w:sz="0" w:space="0" w:color="auto"/>
            <w:left w:val="none" w:sz="0" w:space="0" w:color="auto"/>
            <w:bottom w:val="none" w:sz="0" w:space="0" w:color="auto"/>
            <w:right w:val="none" w:sz="0" w:space="0" w:color="auto"/>
          </w:divBdr>
        </w:div>
        <w:div w:id="146868410">
          <w:marLeft w:val="480"/>
          <w:marRight w:val="0"/>
          <w:marTop w:val="0"/>
          <w:marBottom w:val="0"/>
          <w:divBdr>
            <w:top w:val="none" w:sz="0" w:space="0" w:color="auto"/>
            <w:left w:val="none" w:sz="0" w:space="0" w:color="auto"/>
            <w:bottom w:val="none" w:sz="0" w:space="0" w:color="auto"/>
            <w:right w:val="none" w:sz="0" w:space="0" w:color="auto"/>
          </w:divBdr>
        </w:div>
        <w:div w:id="240020385">
          <w:marLeft w:val="480"/>
          <w:marRight w:val="0"/>
          <w:marTop w:val="0"/>
          <w:marBottom w:val="0"/>
          <w:divBdr>
            <w:top w:val="none" w:sz="0" w:space="0" w:color="auto"/>
            <w:left w:val="none" w:sz="0" w:space="0" w:color="auto"/>
            <w:bottom w:val="none" w:sz="0" w:space="0" w:color="auto"/>
            <w:right w:val="none" w:sz="0" w:space="0" w:color="auto"/>
          </w:divBdr>
        </w:div>
        <w:div w:id="488640094">
          <w:marLeft w:val="480"/>
          <w:marRight w:val="0"/>
          <w:marTop w:val="0"/>
          <w:marBottom w:val="0"/>
          <w:divBdr>
            <w:top w:val="none" w:sz="0" w:space="0" w:color="auto"/>
            <w:left w:val="none" w:sz="0" w:space="0" w:color="auto"/>
            <w:bottom w:val="none" w:sz="0" w:space="0" w:color="auto"/>
            <w:right w:val="none" w:sz="0" w:space="0" w:color="auto"/>
          </w:divBdr>
        </w:div>
        <w:div w:id="1250849146">
          <w:marLeft w:val="480"/>
          <w:marRight w:val="0"/>
          <w:marTop w:val="0"/>
          <w:marBottom w:val="0"/>
          <w:divBdr>
            <w:top w:val="none" w:sz="0" w:space="0" w:color="auto"/>
            <w:left w:val="none" w:sz="0" w:space="0" w:color="auto"/>
            <w:bottom w:val="none" w:sz="0" w:space="0" w:color="auto"/>
            <w:right w:val="none" w:sz="0" w:space="0" w:color="auto"/>
          </w:divBdr>
        </w:div>
        <w:div w:id="1601908842">
          <w:marLeft w:val="480"/>
          <w:marRight w:val="0"/>
          <w:marTop w:val="0"/>
          <w:marBottom w:val="0"/>
          <w:divBdr>
            <w:top w:val="none" w:sz="0" w:space="0" w:color="auto"/>
            <w:left w:val="none" w:sz="0" w:space="0" w:color="auto"/>
            <w:bottom w:val="none" w:sz="0" w:space="0" w:color="auto"/>
            <w:right w:val="none" w:sz="0" w:space="0" w:color="auto"/>
          </w:divBdr>
        </w:div>
        <w:div w:id="1797721963">
          <w:marLeft w:val="480"/>
          <w:marRight w:val="0"/>
          <w:marTop w:val="0"/>
          <w:marBottom w:val="0"/>
          <w:divBdr>
            <w:top w:val="none" w:sz="0" w:space="0" w:color="auto"/>
            <w:left w:val="none" w:sz="0" w:space="0" w:color="auto"/>
            <w:bottom w:val="none" w:sz="0" w:space="0" w:color="auto"/>
            <w:right w:val="none" w:sz="0" w:space="0" w:color="auto"/>
          </w:divBdr>
        </w:div>
        <w:div w:id="1642541563">
          <w:marLeft w:val="480"/>
          <w:marRight w:val="0"/>
          <w:marTop w:val="0"/>
          <w:marBottom w:val="0"/>
          <w:divBdr>
            <w:top w:val="none" w:sz="0" w:space="0" w:color="auto"/>
            <w:left w:val="none" w:sz="0" w:space="0" w:color="auto"/>
            <w:bottom w:val="none" w:sz="0" w:space="0" w:color="auto"/>
            <w:right w:val="none" w:sz="0" w:space="0" w:color="auto"/>
          </w:divBdr>
        </w:div>
        <w:div w:id="2038659606">
          <w:marLeft w:val="480"/>
          <w:marRight w:val="0"/>
          <w:marTop w:val="0"/>
          <w:marBottom w:val="0"/>
          <w:divBdr>
            <w:top w:val="none" w:sz="0" w:space="0" w:color="auto"/>
            <w:left w:val="none" w:sz="0" w:space="0" w:color="auto"/>
            <w:bottom w:val="none" w:sz="0" w:space="0" w:color="auto"/>
            <w:right w:val="none" w:sz="0" w:space="0" w:color="auto"/>
          </w:divBdr>
        </w:div>
        <w:div w:id="1254127988">
          <w:marLeft w:val="480"/>
          <w:marRight w:val="0"/>
          <w:marTop w:val="0"/>
          <w:marBottom w:val="0"/>
          <w:divBdr>
            <w:top w:val="none" w:sz="0" w:space="0" w:color="auto"/>
            <w:left w:val="none" w:sz="0" w:space="0" w:color="auto"/>
            <w:bottom w:val="none" w:sz="0" w:space="0" w:color="auto"/>
            <w:right w:val="none" w:sz="0" w:space="0" w:color="auto"/>
          </w:divBdr>
        </w:div>
        <w:div w:id="1747721244">
          <w:marLeft w:val="480"/>
          <w:marRight w:val="0"/>
          <w:marTop w:val="0"/>
          <w:marBottom w:val="0"/>
          <w:divBdr>
            <w:top w:val="none" w:sz="0" w:space="0" w:color="auto"/>
            <w:left w:val="none" w:sz="0" w:space="0" w:color="auto"/>
            <w:bottom w:val="none" w:sz="0" w:space="0" w:color="auto"/>
            <w:right w:val="none" w:sz="0" w:space="0" w:color="auto"/>
          </w:divBdr>
        </w:div>
        <w:div w:id="1812864191">
          <w:marLeft w:val="480"/>
          <w:marRight w:val="0"/>
          <w:marTop w:val="0"/>
          <w:marBottom w:val="0"/>
          <w:divBdr>
            <w:top w:val="none" w:sz="0" w:space="0" w:color="auto"/>
            <w:left w:val="none" w:sz="0" w:space="0" w:color="auto"/>
            <w:bottom w:val="none" w:sz="0" w:space="0" w:color="auto"/>
            <w:right w:val="none" w:sz="0" w:space="0" w:color="auto"/>
          </w:divBdr>
        </w:div>
        <w:div w:id="1035620645">
          <w:marLeft w:val="480"/>
          <w:marRight w:val="0"/>
          <w:marTop w:val="0"/>
          <w:marBottom w:val="0"/>
          <w:divBdr>
            <w:top w:val="none" w:sz="0" w:space="0" w:color="auto"/>
            <w:left w:val="none" w:sz="0" w:space="0" w:color="auto"/>
            <w:bottom w:val="none" w:sz="0" w:space="0" w:color="auto"/>
            <w:right w:val="none" w:sz="0" w:space="0" w:color="auto"/>
          </w:divBdr>
        </w:div>
        <w:div w:id="118183418">
          <w:marLeft w:val="480"/>
          <w:marRight w:val="0"/>
          <w:marTop w:val="0"/>
          <w:marBottom w:val="0"/>
          <w:divBdr>
            <w:top w:val="none" w:sz="0" w:space="0" w:color="auto"/>
            <w:left w:val="none" w:sz="0" w:space="0" w:color="auto"/>
            <w:bottom w:val="none" w:sz="0" w:space="0" w:color="auto"/>
            <w:right w:val="none" w:sz="0" w:space="0" w:color="auto"/>
          </w:divBdr>
        </w:div>
        <w:div w:id="1223256507">
          <w:marLeft w:val="480"/>
          <w:marRight w:val="0"/>
          <w:marTop w:val="0"/>
          <w:marBottom w:val="0"/>
          <w:divBdr>
            <w:top w:val="none" w:sz="0" w:space="0" w:color="auto"/>
            <w:left w:val="none" w:sz="0" w:space="0" w:color="auto"/>
            <w:bottom w:val="none" w:sz="0" w:space="0" w:color="auto"/>
            <w:right w:val="none" w:sz="0" w:space="0" w:color="auto"/>
          </w:divBdr>
        </w:div>
        <w:div w:id="1960332606">
          <w:marLeft w:val="480"/>
          <w:marRight w:val="0"/>
          <w:marTop w:val="0"/>
          <w:marBottom w:val="0"/>
          <w:divBdr>
            <w:top w:val="none" w:sz="0" w:space="0" w:color="auto"/>
            <w:left w:val="none" w:sz="0" w:space="0" w:color="auto"/>
            <w:bottom w:val="none" w:sz="0" w:space="0" w:color="auto"/>
            <w:right w:val="none" w:sz="0" w:space="0" w:color="auto"/>
          </w:divBdr>
        </w:div>
        <w:div w:id="1914703599">
          <w:marLeft w:val="480"/>
          <w:marRight w:val="0"/>
          <w:marTop w:val="0"/>
          <w:marBottom w:val="0"/>
          <w:divBdr>
            <w:top w:val="none" w:sz="0" w:space="0" w:color="auto"/>
            <w:left w:val="none" w:sz="0" w:space="0" w:color="auto"/>
            <w:bottom w:val="none" w:sz="0" w:space="0" w:color="auto"/>
            <w:right w:val="none" w:sz="0" w:space="0" w:color="auto"/>
          </w:divBdr>
        </w:div>
        <w:div w:id="1135417346">
          <w:marLeft w:val="480"/>
          <w:marRight w:val="0"/>
          <w:marTop w:val="0"/>
          <w:marBottom w:val="0"/>
          <w:divBdr>
            <w:top w:val="none" w:sz="0" w:space="0" w:color="auto"/>
            <w:left w:val="none" w:sz="0" w:space="0" w:color="auto"/>
            <w:bottom w:val="none" w:sz="0" w:space="0" w:color="auto"/>
            <w:right w:val="none" w:sz="0" w:space="0" w:color="auto"/>
          </w:divBdr>
        </w:div>
        <w:div w:id="1935624092">
          <w:marLeft w:val="480"/>
          <w:marRight w:val="0"/>
          <w:marTop w:val="0"/>
          <w:marBottom w:val="0"/>
          <w:divBdr>
            <w:top w:val="none" w:sz="0" w:space="0" w:color="auto"/>
            <w:left w:val="none" w:sz="0" w:space="0" w:color="auto"/>
            <w:bottom w:val="none" w:sz="0" w:space="0" w:color="auto"/>
            <w:right w:val="none" w:sz="0" w:space="0" w:color="auto"/>
          </w:divBdr>
        </w:div>
        <w:div w:id="1498617718">
          <w:marLeft w:val="480"/>
          <w:marRight w:val="0"/>
          <w:marTop w:val="0"/>
          <w:marBottom w:val="0"/>
          <w:divBdr>
            <w:top w:val="none" w:sz="0" w:space="0" w:color="auto"/>
            <w:left w:val="none" w:sz="0" w:space="0" w:color="auto"/>
            <w:bottom w:val="none" w:sz="0" w:space="0" w:color="auto"/>
            <w:right w:val="none" w:sz="0" w:space="0" w:color="auto"/>
          </w:divBdr>
        </w:div>
        <w:div w:id="1632979837">
          <w:marLeft w:val="480"/>
          <w:marRight w:val="0"/>
          <w:marTop w:val="0"/>
          <w:marBottom w:val="0"/>
          <w:divBdr>
            <w:top w:val="none" w:sz="0" w:space="0" w:color="auto"/>
            <w:left w:val="none" w:sz="0" w:space="0" w:color="auto"/>
            <w:bottom w:val="none" w:sz="0" w:space="0" w:color="auto"/>
            <w:right w:val="none" w:sz="0" w:space="0" w:color="auto"/>
          </w:divBdr>
        </w:div>
        <w:div w:id="880632329">
          <w:marLeft w:val="480"/>
          <w:marRight w:val="0"/>
          <w:marTop w:val="0"/>
          <w:marBottom w:val="0"/>
          <w:divBdr>
            <w:top w:val="none" w:sz="0" w:space="0" w:color="auto"/>
            <w:left w:val="none" w:sz="0" w:space="0" w:color="auto"/>
            <w:bottom w:val="none" w:sz="0" w:space="0" w:color="auto"/>
            <w:right w:val="none" w:sz="0" w:space="0" w:color="auto"/>
          </w:divBdr>
        </w:div>
        <w:div w:id="1307081195">
          <w:marLeft w:val="480"/>
          <w:marRight w:val="0"/>
          <w:marTop w:val="0"/>
          <w:marBottom w:val="0"/>
          <w:divBdr>
            <w:top w:val="none" w:sz="0" w:space="0" w:color="auto"/>
            <w:left w:val="none" w:sz="0" w:space="0" w:color="auto"/>
            <w:bottom w:val="none" w:sz="0" w:space="0" w:color="auto"/>
            <w:right w:val="none" w:sz="0" w:space="0" w:color="auto"/>
          </w:divBdr>
        </w:div>
        <w:div w:id="490605298">
          <w:marLeft w:val="480"/>
          <w:marRight w:val="0"/>
          <w:marTop w:val="0"/>
          <w:marBottom w:val="0"/>
          <w:divBdr>
            <w:top w:val="none" w:sz="0" w:space="0" w:color="auto"/>
            <w:left w:val="none" w:sz="0" w:space="0" w:color="auto"/>
            <w:bottom w:val="none" w:sz="0" w:space="0" w:color="auto"/>
            <w:right w:val="none" w:sz="0" w:space="0" w:color="auto"/>
          </w:divBdr>
        </w:div>
        <w:div w:id="1177844248">
          <w:marLeft w:val="480"/>
          <w:marRight w:val="0"/>
          <w:marTop w:val="0"/>
          <w:marBottom w:val="0"/>
          <w:divBdr>
            <w:top w:val="none" w:sz="0" w:space="0" w:color="auto"/>
            <w:left w:val="none" w:sz="0" w:space="0" w:color="auto"/>
            <w:bottom w:val="none" w:sz="0" w:space="0" w:color="auto"/>
            <w:right w:val="none" w:sz="0" w:space="0" w:color="auto"/>
          </w:divBdr>
        </w:div>
        <w:div w:id="1023438176">
          <w:marLeft w:val="480"/>
          <w:marRight w:val="0"/>
          <w:marTop w:val="0"/>
          <w:marBottom w:val="0"/>
          <w:divBdr>
            <w:top w:val="none" w:sz="0" w:space="0" w:color="auto"/>
            <w:left w:val="none" w:sz="0" w:space="0" w:color="auto"/>
            <w:bottom w:val="none" w:sz="0" w:space="0" w:color="auto"/>
            <w:right w:val="none" w:sz="0" w:space="0" w:color="auto"/>
          </w:divBdr>
        </w:div>
        <w:div w:id="401829447">
          <w:marLeft w:val="480"/>
          <w:marRight w:val="0"/>
          <w:marTop w:val="0"/>
          <w:marBottom w:val="0"/>
          <w:divBdr>
            <w:top w:val="none" w:sz="0" w:space="0" w:color="auto"/>
            <w:left w:val="none" w:sz="0" w:space="0" w:color="auto"/>
            <w:bottom w:val="none" w:sz="0" w:space="0" w:color="auto"/>
            <w:right w:val="none" w:sz="0" w:space="0" w:color="auto"/>
          </w:divBdr>
        </w:div>
        <w:div w:id="692807224">
          <w:marLeft w:val="480"/>
          <w:marRight w:val="0"/>
          <w:marTop w:val="0"/>
          <w:marBottom w:val="0"/>
          <w:divBdr>
            <w:top w:val="none" w:sz="0" w:space="0" w:color="auto"/>
            <w:left w:val="none" w:sz="0" w:space="0" w:color="auto"/>
            <w:bottom w:val="none" w:sz="0" w:space="0" w:color="auto"/>
            <w:right w:val="none" w:sz="0" w:space="0" w:color="auto"/>
          </w:divBdr>
        </w:div>
        <w:div w:id="1885559657">
          <w:marLeft w:val="480"/>
          <w:marRight w:val="0"/>
          <w:marTop w:val="0"/>
          <w:marBottom w:val="0"/>
          <w:divBdr>
            <w:top w:val="none" w:sz="0" w:space="0" w:color="auto"/>
            <w:left w:val="none" w:sz="0" w:space="0" w:color="auto"/>
            <w:bottom w:val="none" w:sz="0" w:space="0" w:color="auto"/>
            <w:right w:val="none" w:sz="0" w:space="0" w:color="auto"/>
          </w:divBdr>
        </w:div>
        <w:div w:id="1732582384">
          <w:marLeft w:val="480"/>
          <w:marRight w:val="0"/>
          <w:marTop w:val="0"/>
          <w:marBottom w:val="0"/>
          <w:divBdr>
            <w:top w:val="none" w:sz="0" w:space="0" w:color="auto"/>
            <w:left w:val="none" w:sz="0" w:space="0" w:color="auto"/>
            <w:bottom w:val="none" w:sz="0" w:space="0" w:color="auto"/>
            <w:right w:val="none" w:sz="0" w:space="0" w:color="auto"/>
          </w:divBdr>
        </w:div>
        <w:div w:id="1646548058">
          <w:marLeft w:val="480"/>
          <w:marRight w:val="0"/>
          <w:marTop w:val="0"/>
          <w:marBottom w:val="0"/>
          <w:divBdr>
            <w:top w:val="none" w:sz="0" w:space="0" w:color="auto"/>
            <w:left w:val="none" w:sz="0" w:space="0" w:color="auto"/>
            <w:bottom w:val="none" w:sz="0" w:space="0" w:color="auto"/>
            <w:right w:val="none" w:sz="0" w:space="0" w:color="auto"/>
          </w:divBdr>
        </w:div>
        <w:div w:id="1022822343">
          <w:marLeft w:val="480"/>
          <w:marRight w:val="0"/>
          <w:marTop w:val="0"/>
          <w:marBottom w:val="0"/>
          <w:divBdr>
            <w:top w:val="none" w:sz="0" w:space="0" w:color="auto"/>
            <w:left w:val="none" w:sz="0" w:space="0" w:color="auto"/>
            <w:bottom w:val="none" w:sz="0" w:space="0" w:color="auto"/>
            <w:right w:val="none" w:sz="0" w:space="0" w:color="auto"/>
          </w:divBdr>
        </w:div>
        <w:div w:id="1749423246">
          <w:marLeft w:val="480"/>
          <w:marRight w:val="0"/>
          <w:marTop w:val="0"/>
          <w:marBottom w:val="0"/>
          <w:divBdr>
            <w:top w:val="none" w:sz="0" w:space="0" w:color="auto"/>
            <w:left w:val="none" w:sz="0" w:space="0" w:color="auto"/>
            <w:bottom w:val="none" w:sz="0" w:space="0" w:color="auto"/>
            <w:right w:val="none" w:sz="0" w:space="0" w:color="auto"/>
          </w:divBdr>
        </w:div>
        <w:div w:id="674722815">
          <w:marLeft w:val="480"/>
          <w:marRight w:val="0"/>
          <w:marTop w:val="0"/>
          <w:marBottom w:val="0"/>
          <w:divBdr>
            <w:top w:val="none" w:sz="0" w:space="0" w:color="auto"/>
            <w:left w:val="none" w:sz="0" w:space="0" w:color="auto"/>
            <w:bottom w:val="none" w:sz="0" w:space="0" w:color="auto"/>
            <w:right w:val="none" w:sz="0" w:space="0" w:color="auto"/>
          </w:divBdr>
        </w:div>
        <w:div w:id="70742924">
          <w:marLeft w:val="480"/>
          <w:marRight w:val="0"/>
          <w:marTop w:val="0"/>
          <w:marBottom w:val="0"/>
          <w:divBdr>
            <w:top w:val="none" w:sz="0" w:space="0" w:color="auto"/>
            <w:left w:val="none" w:sz="0" w:space="0" w:color="auto"/>
            <w:bottom w:val="none" w:sz="0" w:space="0" w:color="auto"/>
            <w:right w:val="none" w:sz="0" w:space="0" w:color="auto"/>
          </w:divBdr>
        </w:div>
        <w:div w:id="1472018086">
          <w:marLeft w:val="480"/>
          <w:marRight w:val="0"/>
          <w:marTop w:val="0"/>
          <w:marBottom w:val="0"/>
          <w:divBdr>
            <w:top w:val="none" w:sz="0" w:space="0" w:color="auto"/>
            <w:left w:val="none" w:sz="0" w:space="0" w:color="auto"/>
            <w:bottom w:val="none" w:sz="0" w:space="0" w:color="auto"/>
            <w:right w:val="none" w:sz="0" w:space="0" w:color="auto"/>
          </w:divBdr>
        </w:div>
        <w:div w:id="1282572159">
          <w:marLeft w:val="480"/>
          <w:marRight w:val="0"/>
          <w:marTop w:val="0"/>
          <w:marBottom w:val="0"/>
          <w:divBdr>
            <w:top w:val="none" w:sz="0" w:space="0" w:color="auto"/>
            <w:left w:val="none" w:sz="0" w:space="0" w:color="auto"/>
            <w:bottom w:val="none" w:sz="0" w:space="0" w:color="auto"/>
            <w:right w:val="none" w:sz="0" w:space="0" w:color="auto"/>
          </w:divBdr>
        </w:div>
        <w:div w:id="999425088">
          <w:marLeft w:val="480"/>
          <w:marRight w:val="0"/>
          <w:marTop w:val="0"/>
          <w:marBottom w:val="0"/>
          <w:divBdr>
            <w:top w:val="none" w:sz="0" w:space="0" w:color="auto"/>
            <w:left w:val="none" w:sz="0" w:space="0" w:color="auto"/>
            <w:bottom w:val="none" w:sz="0" w:space="0" w:color="auto"/>
            <w:right w:val="none" w:sz="0" w:space="0" w:color="auto"/>
          </w:divBdr>
        </w:div>
        <w:div w:id="860633705">
          <w:marLeft w:val="480"/>
          <w:marRight w:val="0"/>
          <w:marTop w:val="0"/>
          <w:marBottom w:val="0"/>
          <w:divBdr>
            <w:top w:val="none" w:sz="0" w:space="0" w:color="auto"/>
            <w:left w:val="none" w:sz="0" w:space="0" w:color="auto"/>
            <w:bottom w:val="none" w:sz="0" w:space="0" w:color="auto"/>
            <w:right w:val="none" w:sz="0" w:space="0" w:color="auto"/>
          </w:divBdr>
        </w:div>
        <w:div w:id="2014256798">
          <w:marLeft w:val="480"/>
          <w:marRight w:val="0"/>
          <w:marTop w:val="0"/>
          <w:marBottom w:val="0"/>
          <w:divBdr>
            <w:top w:val="none" w:sz="0" w:space="0" w:color="auto"/>
            <w:left w:val="none" w:sz="0" w:space="0" w:color="auto"/>
            <w:bottom w:val="none" w:sz="0" w:space="0" w:color="auto"/>
            <w:right w:val="none" w:sz="0" w:space="0" w:color="auto"/>
          </w:divBdr>
        </w:div>
        <w:div w:id="708916966">
          <w:marLeft w:val="480"/>
          <w:marRight w:val="0"/>
          <w:marTop w:val="0"/>
          <w:marBottom w:val="0"/>
          <w:divBdr>
            <w:top w:val="none" w:sz="0" w:space="0" w:color="auto"/>
            <w:left w:val="none" w:sz="0" w:space="0" w:color="auto"/>
            <w:bottom w:val="none" w:sz="0" w:space="0" w:color="auto"/>
            <w:right w:val="none" w:sz="0" w:space="0" w:color="auto"/>
          </w:divBdr>
        </w:div>
        <w:div w:id="569734061">
          <w:marLeft w:val="480"/>
          <w:marRight w:val="0"/>
          <w:marTop w:val="0"/>
          <w:marBottom w:val="0"/>
          <w:divBdr>
            <w:top w:val="none" w:sz="0" w:space="0" w:color="auto"/>
            <w:left w:val="none" w:sz="0" w:space="0" w:color="auto"/>
            <w:bottom w:val="none" w:sz="0" w:space="0" w:color="auto"/>
            <w:right w:val="none" w:sz="0" w:space="0" w:color="auto"/>
          </w:divBdr>
        </w:div>
        <w:div w:id="916403927">
          <w:marLeft w:val="480"/>
          <w:marRight w:val="0"/>
          <w:marTop w:val="0"/>
          <w:marBottom w:val="0"/>
          <w:divBdr>
            <w:top w:val="none" w:sz="0" w:space="0" w:color="auto"/>
            <w:left w:val="none" w:sz="0" w:space="0" w:color="auto"/>
            <w:bottom w:val="none" w:sz="0" w:space="0" w:color="auto"/>
            <w:right w:val="none" w:sz="0" w:space="0" w:color="auto"/>
          </w:divBdr>
        </w:div>
        <w:div w:id="2078161327">
          <w:marLeft w:val="480"/>
          <w:marRight w:val="0"/>
          <w:marTop w:val="0"/>
          <w:marBottom w:val="0"/>
          <w:divBdr>
            <w:top w:val="none" w:sz="0" w:space="0" w:color="auto"/>
            <w:left w:val="none" w:sz="0" w:space="0" w:color="auto"/>
            <w:bottom w:val="none" w:sz="0" w:space="0" w:color="auto"/>
            <w:right w:val="none" w:sz="0" w:space="0" w:color="auto"/>
          </w:divBdr>
        </w:div>
        <w:div w:id="947590150">
          <w:marLeft w:val="480"/>
          <w:marRight w:val="0"/>
          <w:marTop w:val="0"/>
          <w:marBottom w:val="0"/>
          <w:divBdr>
            <w:top w:val="none" w:sz="0" w:space="0" w:color="auto"/>
            <w:left w:val="none" w:sz="0" w:space="0" w:color="auto"/>
            <w:bottom w:val="none" w:sz="0" w:space="0" w:color="auto"/>
            <w:right w:val="none" w:sz="0" w:space="0" w:color="auto"/>
          </w:divBdr>
        </w:div>
        <w:div w:id="2083946278">
          <w:marLeft w:val="480"/>
          <w:marRight w:val="0"/>
          <w:marTop w:val="0"/>
          <w:marBottom w:val="0"/>
          <w:divBdr>
            <w:top w:val="none" w:sz="0" w:space="0" w:color="auto"/>
            <w:left w:val="none" w:sz="0" w:space="0" w:color="auto"/>
            <w:bottom w:val="none" w:sz="0" w:space="0" w:color="auto"/>
            <w:right w:val="none" w:sz="0" w:space="0" w:color="auto"/>
          </w:divBdr>
        </w:div>
        <w:div w:id="1353217143">
          <w:marLeft w:val="480"/>
          <w:marRight w:val="0"/>
          <w:marTop w:val="0"/>
          <w:marBottom w:val="0"/>
          <w:divBdr>
            <w:top w:val="none" w:sz="0" w:space="0" w:color="auto"/>
            <w:left w:val="none" w:sz="0" w:space="0" w:color="auto"/>
            <w:bottom w:val="none" w:sz="0" w:space="0" w:color="auto"/>
            <w:right w:val="none" w:sz="0" w:space="0" w:color="auto"/>
          </w:divBdr>
        </w:div>
        <w:div w:id="812020657">
          <w:marLeft w:val="480"/>
          <w:marRight w:val="0"/>
          <w:marTop w:val="0"/>
          <w:marBottom w:val="0"/>
          <w:divBdr>
            <w:top w:val="none" w:sz="0" w:space="0" w:color="auto"/>
            <w:left w:val="none" w:sz="0" w:space="0" w:color="auto"/>
            <w:bottom w:val="none" w:sz="0" w:space="0" w:color="auto"/>
            <w:right w:val="none" w:sz="0" w:space="0" w:color="auto"/>
          </w:divBdr>
        </w:div>
        <w:div w:id="1992252012">
          <w:marLeft w:val="480"/>
          <w:marRight w:val="0"/>
          <w:marTop w:val="0"/>
          <w:marBottom w:val="0"/>
          <w:divBdr>
            <w:top w:val="none" w:sz="0" w:space="0" w:color="auto"/>
            <w:left w:val="none" w:sz="0" w:space="0" w:color="auto"/>
            <w:bottom w:val="none" w:sz="0" w:space="0" w:color="auto"/>
            <w:right w:val="none" w:sz="0" w:space="0" w:color="auto"/>
          </w:divBdr>
        </w:div>
        <w:div w:id="135606645">
          <w:marLeft w:val="480"/>
          <w:marRight w:val="0"/>
          <w:marTop w:val="0"/>
          <w:marBottom w:val="0"/>
          <w:divBdr>
            <w:top w:val="none" w:sz="0" w:space="0" w:color="auto"/>
            <w:left w:val="none" w:sz="0" w:space="0" w:color="auto"/>
            <w:bottom w:val="none" w:sz="0" w:space="0" w:color="auto"/>
            <w:right w:val="none" w:sz="0" w:space="0" w:color="auto"/>
          </w:divBdr>
        </w:div>
        <w:div w:id="927613332">
          <w:marLeft w:val="480"/>
          <w:marRight w:val="0"/>
          <w:marTop w:val="0"/>
          <w:marBottom w:val="0"/>
          <w:divBdr>
            <w:top w:val="none" w:sz="0" w:space="0" w:color="auto"/>
            <w:left w:val="none" w:sz="0" w:space="0" w:color="auto"/>
            <w:bottom w:val="none" w:sz="0" w:space="0" w:color="auto"/>
            <w:right w:val="none" w:sz="0" w:space="0" w:color="auto"/>
          </w:divBdr>
        </w:div>
        <w:div w:id="627128292">
          <w:marLeft w:val="480"/>
          <w:marRight w:val="0"/>
          <w:marTop w:val="0"/>
          <w:marBottom w:val="0"/>
          <w:divBdr>
            <w:top w:val="none" w:sz="0" w:space="0" w:color="auto"/>
            <w:left w:val="none" w:sz="0" w:space="0" w:color="auto"/>
            <w:bottom w:val="none" w:sz="0" w:space="0" w:color="auto"/>
            <w:right w:val="none" w:sz="0" w:space="0" w:color="auto"/>
          </w:divBdr>
        </w:div>
        <w:div w:id="896283739">
          <w:marLeft w:val="480"/>
          <w:marRight w:val="0"/>
          <w:marTop w:val="0"/>
          <w:marBottom w:val="0"/>
          <w:divBdr>
            <w:top w:val="none" w:sz="0" w:space="0" w:color="auto"/>
            <w:left w:val="none" w:sz="0" w:space="0" w:color="auto"/>
            <w:bottom w:val="none" w:sz="0" w:space="0" w:color="auto"/>
            <w:right w:val="none" w:sz="0" w:space="0" w:color="auto"/>
          </w:divBdr>
        </w:div>
        <w:div w:id="864561432">
          <w:marLeft w:val="480"/>
          <w:marRight w:val="0"/>
          <w:marTop w:val="0"/>
          <w:marBottom w:val="0"/>
          <w:divBdr>
            <w:top w:val="none" w:sz="0" w:space="0" w:color="auto"/>
            <w:left w:val="none" w:sz="0" w:space="0" w:color="auto"/>
            <w:bottom w:val="none" w:sz="0" w:space="0" w:color="auto"/>
            <w:right w:val="none" w:sz="0" w:space="0" w:color="auto"/>
          </w:divBdr>
        </w:div>
        <w:div w:id="867958847">
          <w:marLeft w:val="480"/>
          <w:marRight w:val="0"/>
          <w:marTop w:val="0"/>
          <w:marBottom w:val="0"/>
          <w:divBdr>
            <w:top w:val="none" w:sz="0" w:space="0" w:color="auto"/>
            <w:left w:val="none" w:sz="0" w:space="0" w:color="auto"/>
            <w:bottom w:val="none" w:sz="0" w:space="0" w:color="auto"/>
            <w:right w:val="none" w:sz="0" w:space="0" w:color="auto"/>
          </w:divBdr>
        </w:div>
        <w:div w:id="1359703050">
          <w:marLeft w:val="480"/>
          <w:marRight w:val="0"/>
          <w:marTop w:val="0"/>
          <w:marBottom w:val="0"/>
          <w:divBdr>
            <w:top w:val="none" w:sz="0" w:space="0" w:color="auto"/>
            <w:left w:val="none" w:sz="0" w:space="0" w:color="auto"/>
            <w:bottom w:val="none" w:sz="0" w:space="0" w:color="auto"/>
            <w:right w:val="none" w:sz="0" w:space="0" w:color="auto"/>
          </w:divBdr>
        </w:div>
        <w:div w:id="1372725664">
          <w:marLeft w:val="480"/>
          <w:marRight w:val="0"/>
          <w:marTop w:val="0"/>
          <w:marBottom w:val="0"/>
          <w:divBdr>
            <w:top w:val="none" w:sz="0" w:space="0" w:color="auto"/>
            <w:left w:val="none" w:sz="0" w:space="0" w:color="auto"/>
            <w:bottom w:val="none" w:sz="0" w:space="0" w:color="auto"/>
            <w:right w:val="none" w:sz="0" w:space="0" w:color="auto"/>
          </w:divBdr>
        </w:div>
        <w:div w:id="1458377813">
          <w:marLeft w:val="480"/>
          <w:marRight w:val="0"/>
          <w:marTop w:val="0"/>
          <w:marBottom w:val="0"/>
          <w:divBdr>
            <w:top w:val="none" w:sz="0" w:space="0" w:color="auto"/>
            <w:left w:val="none" w:sz="0" w:space="0" w:color="auto"/>
            <w:bottom w:val="none" w:sz="0" w:space="0" w:color="auto"/>
            <w:right w:val="none" w:sz="0" w:space="0" w:color="auto"/>
          </w:divBdr>
        </w:div>
        <w:div w:id="1105467893">
          <w:marLeft w:val="480"/>
          <w:marRight w:val="0"/>
          <w:marTop w:val="0"/>
          <w:marBottom w:val="0"/>
          <w:divBdr>
            <w:top w:val="none" w:sz="0" w:space="0" w:color="auto"/>
            <w:left w:val="none" w:sz="0" w:space="0" w:color="auto"/>
            <w:bottom w:val="none" w:sz="0" w:space="0" w:color="auto"/>
            <w:right w:val="none" w:sz="0" w:space="0" w:color="auto"/>
          </w:divBdr>
        </w:div>
        <w:div w:id="1379931745">
          <w:marLeft w:val="480"/>
          <w:marRight w:val="0"/>
          <w:marTop w:val="0"/>
          <w:marBottom w:val="0"/>
          <w:divBdr>
            <w:top w:val="none" w:sz="0" w:space="0" w:color="auto"/>
            <w:left w:val="none" w:sz="0" w:space="0" w:color="auto"/>
            <w:bottom w:val="none" w:sz="0" w:space="0" w:color="auto"/>
            <w:right w:val="none" w:sz="0" w:space="0" w:color="auto"/>
          </w:divBdr>
        </w:div>
        <w:div w:id="1217351537">
          <w:marLeft w:val="480"/>
          <w:marRight w:val="0"/>
          <w:marTop w:val="0"/>
          <w:marBottom w:val="0"/>
          <w:divBdr>
            <w:top w:val="none" w:sz="0" w:space="0" w:color="auto"/>
            <w:left w:val="none" w:sz="0" w:space="0" w:color="auto"/>
            <w:bottom w:val="none" w:sz="0" w:space="0" w:color="auto"/>
            <w:right w:val="none" w:sz="0" w:space="0" w:color="auto"/>
          </w:divBdr>
        </w:div>
        <w:div w:id="1278486054">
          <w:marLeft w:val="480"/>
          <w:marRight w:val="0"/>
          <w:marTop w:val="0"/>
          <w:marBottom w:val="0"/>
          <w:divBdr>
            <w:top w:val="none" w:sz="0" w:space="0" w:color="auto"/>
            <w:left w:val="none" w:sz="0" w:space="0" w:color="auto"/>
            <w:bottom w:val="none" w:sz="0" w:space="0" w:color="auto"/>
            <w:right w:val="none" w:sz="0" w:space="0" w:color="auto"/>
          </w:divBdr>
        </w:div>
        <w:div w:id="410472812">
          <w:marLeft w:val="480"/>
          <w:marRight w:val="0"/>
          <w:marTop w:val="0"/>
          <w:marBottom w:val="0"/>
          <w:divBdr>
            <w:top w:val="none" w:sz="0" w:space="0" w:color="auto"/>
            <w:left w:val="none" w:sz="0" w:space="0" w:color="auto"/>
            <w:bottom w:val="none" w:sz="0" w:space="0" w:color="auto"/>
            <w:right w:val="none" w:sz="0" w:space="0" w:color="auto"/>
          </w:divBdr>
        </w:div>
        <w:div w:id="716513912">
          <w:marLeft w:val="480"/>
          <w:marRight w:val="0"/>
          <w:marTop w:val="0"/>
          <w:marBottom w:val="0"/>
          <w:divBdr>
            <w:top w:val="none" w:sz="0" w:space="0" w:color="auto"/>
            <w:left w:val="none" w:sz="0" w:space="0" w:color="auto"/>
            <w:bottom w:val="none" w:sz="0" w:space="0" w:color="auto"/>
            <w:right w:val="none" w:sz="0" w:space="0" w:color="auto"/>
          </w:divBdr>
        </w:div>
        <w:div w:id="461727240">
          <w:marLeft w:val="480"/>
          <w:marRight w:val="0"/>
          <w:marTop w:val="0"/>
          <w:marBottom w:val="0"/>
          <w:divBdr>
            <w:top w:val="none" w:sz="0" w:space="0" w:color="auto"/>
            <w:left w:val="none" w:sz="0" w:space="0" w:color="auto"/>
            <w:bottom w:val="none" w:sz="0" w:space="0" w:color="auto"/>
            <w:right w:val="none" w:sz="0" w:space="0" w:color="auto"/>
          </w:divBdr>
        </w:div>
      </w:divsChild>
    </w:div>
    <w:div w:id="357893008">
      <w:bodyDiv w:val="1"/>
      <w:marLeft w:val="0"/>
      <w:marRight w:val="0"/>
      <w:marTop w:val="0"/>
      <w:marBottom w:val="0"/>
      <w:divBdr>
        <w:top w:val="none" w:sz="0" w:space="0" w:color="auto"/>
        <w:left w:val="none" w:sz="0" w:space="0" w:color="auto"/>
        <w:bottom w:val="none" w:sz="0" w:space="0" w:color="auto"/>
        <w:right w:val="none" w:sz="0" w:space="0" w:color="auto"/>
      </w:divBdr>
    </w:div>
    <w:div w:id="358088751">
      <w:bodyDiv w:val="1"/>
      <w:marLeft w:val="0"/>
      <w:marRight w:val="0"/>
      <w:marTop w:val="0"/>
      <w:marBottom w:val="0"/>
      <w:divBdr>
        <w:top w:val="none" w:sz="0" w:space="0" w:color="auto"/>
        <w:left w:val="none" w:sz="0" w:space="0" w:color="auto"/>
        <w:bottom w:val="none" w:sz="0" w:space="0" w:color="auto"/>
        <w:right w:val="none" w:sz="0" w:space="0" w:color="auto"/>
      </w:divBdr>
    </w:div>
    <w:div w:id="358317255">
      <w:bodyDiv w:val="1"/>
      <w:marLeft w:val="0"/>
      <w:marRight w:val="0"/>
      <w:marTop w:val="0"/>
      <w:marBottom w:val="0"/>
      <w:divBdr>
        <w:top w:val="none" w:sz="0" w:space="0" w:color="auto"/>
        <w:left w:val="none" w:sz="0" w:space="0" w:color="auto"/>
        <w:bottom w:val="none" w:sz="0" w:space="0" w:color="auto"/>
        <w:right w:val="none" w:sz="0" w:space="0" w:color="auto"/>
      </w:divBdr>
      <w:divsChild>
        <w:div w:id="86512003">
          <w:marLeft w:val="480"/>
          <w:marRight w:val="0"/>
          <w:marTop w:val="0"/>
          <w:marBottom w:val="0"/>
          <w:divBdr>
            <w:top w:val="none" w:sz="0" w:space="0" w:color="auto"/>
            <w:left w:val="none" w:sz="0" w:space="0" w:color="auto"/>
            <w:bottom w:val="none" w:sz="0" w:space="0" w:color="auto"/>
            <w:right w:val="none" w:sz="0" w:space="0" w:color="auto"/>
          </w:divBdr>
        </w:div>
        <w:div w:id="2062173913">
          <w:marLeft w:val="480"/>
          <w:marRight w:val="0"/>
          <w:marTop w:val="0"/>
          <w:marBottom w:val="0"/>
          <w:divBdr>
            <w:top w:val="none" w:sz="0" w:space="0" w:color="auto"/>
            <w:left w:val="none" w:sz="0" w:space="0" w:color="auto"/>
            <w:bottom w:val="none" w:sz="0" w:space="0" w:color="auto"/>
            <w:right w:val="none" w:sz="0" w:space="0" w:color="auto"/>
          </w:divBdr>
        </w:div>
        <w:div w:id="1811828035">
          <w:marLeft w:val="480"/>
          <w:marRight w:val="0"/>
          <w:marTop w:val="0"/>
          <w:marBottom w:val="0"/>
          <w:divBdr>
            <w:top w:val="none" w:sz="0" w:space="0" w:color="auto"/>
            <w:left w:val="none" w:sz="0" w:space="0" w:color="auto"/>
            <w:bottom w:val="none" w:sz="0" w:space="0" w:color="auto"/>
            <w:right w:val="none" w:sz="0" w:space="0" w:color="auto"/>
          </w:divBdr>
        </w:div>
        <w:div w:id="1440493774">
          <w:marLeft w:val="480"/>
          <w:marRight w:val="0"/>
          <w:marTop w:val="0"/>
          <w:marBottom w:val="0"/>
          <w:divBdr>
            <w:top w:val="none" w:sz="0" w:space="0" w:color="auto"/>
            <w:left w:val="none" w:sz="0" w:space="0" w:color="auto"/>
            <w:bottom w:val="none" w:sz="0" w:space="0" w:color="auto"/>
            <w:right w:val="none" w:sz="0" w:space="0" w:color="auto"/>
          </w:divBdr>
        </w:div>
        <w:div w:id="884105425">
          <w:marLeft w:val="480"/>
          <w:marRight w:val="0"/>
          <w:marTop w:val="0"/>
          <w:marBottom w:val="0"/>
          <w:divBdr>
            <w:top w:val="none" w:sz="0" w:space="0" w:color="auto"/>
            <w:left w:val="none" w:sz="0" w:space="0" w:color="auto"/>
            <w:bottom w:val="none" w:sz="0" w:space="0" w:color="auto"/>
            <w:right w:val="none" w:sz="0" w:space="0" w:color="auto"/>
          </w:divBdr>
        </w:div>
        <w:div w:id="40323547">
          <w:marLeft w:val="480"/>
          <w:marRight w:val="0"/>
          <w:marTop w:val="0"/>
          <w:marBottom w:val="0"/>
          <w:divBdr>
            <w:top w:val="none" w:sz="0" w:space="0" w:color="auto"/>
            <w:left w:val="none" w:sz="0" w:space="0" w:color="auto"/>
            <w:bottom w:val="none" w:sz="0" w:space="0" w:color="auto"/>
            <w:right w:val="none" w:sz="0" w:space="0" w:color="auto"/>
          </w:divBdr>
        </w:div>
        <w:div w:id="1980647860">
          <w:marLeft w:val="480"/>
          <w:marRight w:val="0"/>
          <w:marTop w:val="0"/>
          <w:marBottom w:val="0"/>
          <w:divBdr>
            <w:top w:val="none" w:sz="0" w:space="0" w:color="auto"/>
            <w:left w:val="none" w:sz="0" w:space="0" w:color="auto"/>
            <w:bottom w:val="none" w:sz="0" w:space="0" w:color="auto"/>
            <w:right w:val="none" w:sz="0" w:space="0" w:color="auto"/>
          </w:divBdr>
        </w:div>
        <w:div w:id="455415140">
          <w:marLeft w:val="480"/>
          <w:marRight w:val="0"/>
          <w:marTop w:val="0"/>
          <w:marBottom w:val="0"/>
          <w:divBdr>
            <w:top w:val="none" w:sz="0" w:space="0" w:color="auto"/>
            <w:left w:val="none" w:sz="0" w:space="0" w:color="auto"/>
            <w:bottom w:val="none" w:sz="0" w:space="0" w:color="auto"/>
            <w:right w:val="none" w:sz="0" w:space="0" w:color="auto"/>
          </w:divBdr>
        </w:div>
        <w:div w:id="47266920">
          <w:marLeft w:val="480"/>
          <w:marRight w:val="0"/>
          <w:marTop w:val="0"/>
          <w:marBottom w:val="0"/>
          <w:divBdr>
            <w:top w:val="none" w:sz="0" w:space="0" w:color="auto"/>
            <w:left w:val="none" w:sz="0" w:space="0" w:color="auto"/>
            <w:bottom w:val="none" w:sz="0" w:space="0" w:color="auto"/>
            <w:right w:val="none" w:sz="0" w:space="0" w:color="auto"/>
          </w:divBdr>
        </w:div>
        <w:div w:id="295529994">
          <w:marLeft w:val="480"/>
          <w:marRight w:val="0"/>
          <w:marTop w:val="0"/>
          <w:marBottom w:val="0"/>
          <w:divBdr>
            <w:top w:val="none" w:sz="0" w:space="0" w:color="auto"/>
            <w:left w:val="none" w:sz="0" w:space="0" w:color="auto"/>
            <w:bottom w:val="none" w:sz="0" w:space="0" w:color="auto"/>
            <w:right w:val="none" w:sz="0" w:space="0" w:color="auto"/>
          </w:divBdr>
        </w:div>
        <w:div w:id="466171388">
          <w:marLeft w:val="480"/>
          <w:marRight w:val="0"/>
          <w:marTop w:val="0"/>
          <w:marBottom w:val="0"/>
          <w:divBdr>
            <w:top w:val="none" w:sz="0" w:space="0" w:color="auto"/>
            <w:left w:val="none" w:sz="0" w:space="0" w:color="auto"/>
            <w:bottom w:val="none" w:sz="0" w:space="0" w:color="auto"/>
            <w:right w:val="none" w:sz="0" w:space="0" w:color="auto"/>
          </w:divBdr>
        </w:div>
        <w:div w:id="1843816747">
          <w:marLeft w:val="480"/>
          <w:marRight w:val="0"/>
          <w:marTop w:val="0"/>
          <w:marBottom w:val="0"/>
          <w:divBdr>
            <w:top w:val="none" w:sz="0" w:space="0" w:color="auto"/>
            <w:left w:val="none" w:sz="0" w:space="0" w:color="auto"/>
            <w:bottom w:val="none" w:sz="0" w:space="0" w:color="auto"/>
            <w:right w:val="none" w:sz="0" w:space="0" w:color="auto"/>
          </w:divBdr>
        </w:div>
        <w:div w:id="2119980595">
          <w:marLeft w:val="480"/>
          <w:marRight w:val="0"/>
          <w:marTop w:val="0"/>
          <w:marBottom w:val="0"/>
          <w:divBdr>
            <w:top w:val="none" w:sz="0" w:space="0" w:color="auto"/>
            <w:left w:val="none" w:sz="0" w:space="0" w:color="auto"/>
            <w:bottom w:val="none" w:sz="0" w:space="0" w:color="auto"/>
            <w:right w:val="none" w:sz="0" w:space="0" w:color="auto"/>
          </w:divBdr>
        </w:div>
        <w:div w:id="1660579104">
          <w:marLeft w:val="480"/>
          <w:marRight w:val="0"/>
          <w:marTop w:val="0"/>
          <w:marBottom w:val="0"/>
          <w:divBdr>
            <w:top w:val="none" w:sz="0" w:space="0" w:color="auto"/>
            <w:left w:val="none" w:sz="0" w:space="0" w:color="auto"/>
            <w:bottom w:val="none" w:sz="0" w:space="0" w:color="auto"/>
            <w:right w:val="none" w:sz="0" w:space="0" w:color="auto"/>
          </w:divBdr>
        </w:div>
        <w:div w:id="1846751243">
          <w:marLeft w:val="480"/>
          <w:marRight w:val="0"/>
          <w:marTop w:val="0"/>
          <w:marBottom w:val="0"/>
          <w:divBdr>
            <w:top w:val="none" w:sz="0" w:space="0" w:color="auto"/>
            <w:left w:val="none" w:sz="0" w:space="0" w:color="auto"/>
            <w:bottom w:val="none" w:sz="0" w:space="0" w:color="auto"/>
            <w:right w:val="none" w:sz="0" w:space="0" w:color="auto"/>
          </w:divBdr>
        </w:div>
        <w:div w:id="2009093434">
          <w:marLeft w:val="480"/>
          <w:marRight w:val="0"/>
          <w:marTop w:val="0"/>
          <w:marBottom w:val="0"/>
          <w:divBdr>
            <w:top w:val="none" w:sz="0" w:space="0" w:color="auto"/>
            <w:left w:val="none" w:sz="0" w:space="0" w:color="auto"/>
            <w:bottom w:val="none" w:sz="0" w:space="0" w:color="auto"/>
            <w:right w:val="none" w:sz="0" w:space="0" w:color="auto"/>
          </w:divBdr>
        </w:div>
        <w:div w:id="1404403682">
          <w:marLeft w:val="480"/>
          <w:marRight w:val="0"/>
          <w:marTop w:val="0"/>
          <w:marBottom w:val="0"/>
          <w:divBdr>
            <w:top w:val="none" w:sz="0" w:space="0" w:color="auto"/>
            <w:left w:val="none" w:sz="0" w:space="0" w:color="auto"/>
            <w:bottom w:val="none" w:sz="0" w:space="0" w:color="auto"/>
            <w:right w:val="none" w:sz="0" w:space="0" w:color="auto"/>
          </w:divBdr>
        </w:div>
        <w:div w:id="1834490911">
          <w:marLeft w:val="480"/>
          <w:marRight w:val="0"/>
          <w:marTop w:val="0"/>
          <w:marBottom w:val="0"/>
          <w:divBdr>
            <w:top w:val="none" w:sz="0" w:space="0" w:color="auto"/>
            <w:left w:val="none" w:sz="0" w:space="0" w:color="auto"/>
            <w:bottom w:val="none" w:sz="0" w:space="0" w:color="auto"/>
            <w:right w:val="none" w:sz="0" w:space="0" w:color="auto"/>
          </w:divBdr>
        </w:div>
        <w:div w:id="808787746">
          <w:marLeft w:val="480"/>
          <w:marRight w:val="0"/>
          <w:marTop w:val="0"/>
          <w:marBottom w:val="0"/>
          <w:divBdr>
            <w:top w:val="none" w:sz="0" w:space="0" w:color="auto"/>
            <w:left w:val="none" w:sz="0" w:space="0" w:color="auto"/>
            <w:bottom w:val="none" w:sz="0" w:space="0" w:color="auto"/>
            <w:right w:val="none" w:sz="0" w:space="0" w:color="auto"/>
          </w:divBdr>
        </w:div>
        <w:div w:id="1156259527">
          <w:marLeft w:val="480"/>
          <w:marRight w:val="0"/>
          <w:marTop w:val="0"/>
          <w:marBottom w:val="0"/>
          <w:divBdr>
            <w:top w:val="none" w:sz="0" w:space="0" w:color="auto"/>
            <w:left w:val="none" w:sz="0" w:space="0" w:color="auto"/>
            <w:bottom w:val="none" w:sz="0" w:space="0" w:color="auto"/>
            <w:right w:val="none" w:sz="0" w:space="0" w:color="auto"/>
          </w:divBdr>
        </w:div>
        <w:div w:id="494567173">
          <w:marLeft w:val="480"/>
          <w:marRight w:val="0"/>
          <w:marTop w:val="0"/>
          <w:marBottom w:val="0"/>
          <w:divBdr>
            <w:top w:val="none" w:sz="0" w:space="0" w:color="auto"/>
            <w:left w:val="none" w:sz="0" w:space="0" w:color="auto"/>
            <w:bottom w:val="none" w:sz="0" w:space="0" w:color="auto"/>
            <w:right w:val="none" w:sz="0" w:space="0" w:color="auto"/>
          </w:divBdr>
        </w:div>
        <w:div w:id="1544292084">
          <w:marLeft w:val="480"/>
          <w:marRight w:val="0"/>
          <w:marTop w:val="0"/>
          <w:marBottom w:val="0"/>
          <w:divBdr>
            <w:top w:val="none" w:sz="0" w:space="0" w:color="auto"/>
            <w:left w:val="none" w:sz="0" w:space="0" w:color="auto"/>
            <w:bottom w:val="none" w:sz="0" w:space="0" w:color="auto"/>
            <w:right w:val="none" w:sz="0" w:space="0" w:color="auto"/>
          </w:divBdr>
        </w:div>
        <w:div w:id="1415934741">
          <w:marLeft w:val="480"/>
          <w:marRight w:val="0"/>
          <w:marTop w:val="0"/>
          <w:marBottom w:val="0"/>
          <w:divBdr>
            <w:top w:val="none" w:sz="0" w:space="0" w:color="auto"/>
            <w:left w:val="none" w:sz="0" w:space="0" w:color="auto"/>
            <w:bottom w:val="none" w:sz="0" w:space="0" w:color="auto"/>
            <w:right w:val="none" w:sz="0" w:space="0" w:color="auto"/>
          </w:divBdr>
        </w:div>
        <w:div w:id="1942099816">
          <w:marLeft w:val="480"/>
          <w:marRight w:val="0"/>
          <w:marTop w:val="0"/>
          <w:marBottom w:val="0"/>
          <w:divBdr>
            <w:top w:val="none" w:sz="0" w:space="0" w:color="auto"/>
            <w:left w:val="none" w:sz="0" w:space="0" w:color="auto"/>
            <w:bottom w:val="none" w:sz="0" w:space="0" w:color="auto"/>
            <w:right w:val="none" w:sz="0" w:space="0" w:color="auto"/>
          </w:divBdr>
        </w:div>
        <w:div w:id="1568303126">
          <w:marLeft w:val="480"/>
          <w:marRight w:val="0"/>
          <w:marTop w:val="0"/>
          <w:marBottom w:val="0"/>
          <w:divBdr>
            <w:top w:val="none" w:sz="0" w:space="0" w:color="auto"/>
            <w:left w:val="none" w:sz="0" w:space="0" w:color="auto"/>
            <w:bottom w:val="none" w:sz="0" w:space="0" w:color="auto"/>
            <w:right w:val="none" w:sz="0" w:space="0" w:color="auto"/>
          </w:divBdr>
        </w:div>
        <w:div w:id="1873765538">
          <w:marLeft w:val="480"/>
          <w:marRight w:val="0"/>
          <w:marTop w:val="0"/>
          <w:marBottom w:val="0"/>
          <w:divBdr>
            <w:top w:val="none" w:sz="0" w:space="0" w:color="auto"/>
            <w:left w:val="none" w:sz="0" w:space="0" w:color="auto"/>
            <w:bottom w:val="none" w:sz="0" w:space="0" w:color="auto"/>
            <w:right w:val="none" w:sz="0" w:space="0" w:color="auto"/>
          </w:divBdr>
        </w:div>
        <w:div w:id="231892107">
          <w:marLeft w:val="480"/>
          <w:marRight w:val="0"/>
          <w:marTop w:val="0"/>
          <w:marBottom w:val="0"/>
          <w:divBdr>
            <w:top w:val="none" w:sz="0" w:space="0" w:color="auto"/>
            <w:left w:val="none" w:sz="0" w:space="0" w:color="auto"/>
            <w:bottom w:val="none" w:sz="0" w:space="0" w:color="auto"/>
            <w:right w:val="none" w:sz="0" w:space="0" w:color="auto"/>
          </w:divBdr>
        </w:div>
        <w:div w:id="931745112">
          <w:marLeft w:val="480"/>
          <w:marRight w:val="0"/>
          <w:marTop w:val="0"/>
          <w:marBottom w:val="0"/>
          <w:divBdr>
            <w:top w:val="none" w:sz="0" w:space="0" w:color="auto"/>
            <w:left w:val="none" w:sz="0" w:space="0" w:color="auto"/>
            <w:bottom w:val="none" w:sz="0" w:space="0" w:color="auto"/>
            <w:right w:val="none" w:sz="0" w:space="0" w:color="auto"/>
          </w:divBdr>
        </w:div>
        <w:div w:id="70738881">
          <w:marLeft w:val="480"/>
          <w:marRight w:val="0"/>
          <w:marTop w:val="0"/>
          <w:marBottom w:val="0"/>
          <w:divBdr>
            <w:top w:val="none" w:sz="0" w:space="0" w:color="auto"/>
            <w:left w:val="none" w:sz="0" w:space="0" w:color="auto"/>
            <w:bottom w:val="none" w:sz="0" w:space="0" w:color="auto"/>
            <w:right w:val="none" w:sz="0" w:space="0" w:color="auto"/>
          </w:divBdr>
        </w:div>
        <w:div w:id="737215704">
          <w:marLeft w:val="480"/>
          <w:marRight w:val="0"/>
          <w:marTop w:val="0"/>
          <w:marBottom w:val="0"/>
          <w:divBdr>
            <w:top w:val="none" w:sz="0" w:space="0" w:color="auto"/>
            <w:left w:val="none" w:sz="0" w:space="0" w:color="auto"/>
            <w:bottom w:val="none" w:sz="0" w:space="0" w:color="auto"/>
            <w:right w:val="none" w:sz="0" w:space="0" w:color="auto"/>
          </w:divBdr>
        </w:div>
        <w:div w:id="1214973656">
          <w:marLeft w:val="480"/>
          <w:marRight w:val="0"/>
          <w:marTop w:val="0"/>
          <w:marBottom w:val="0"/>
          <w:divBdr>
            <w:top w:val="none" w:sz="0" w:space="0" w:color="auto"/>
            <w:left w:val="none" w:sz="0" w:space="0" w:color="auto"/>
            <w:bottom w:val="none" w:sz="0" w:space="0" w:color="auto"/>
            <w:right w:val="none" w:sz="0" w:space="0" w:color="auto"/>
          </w:divBdr>
        </w:div>
        <w:div w:id="270362384">
          <w:marLeft w:val="480"/>
          <w:marRight w:val="0"/>
          <w:marTop w:val="0"/>
          <w:marBottom w:val="0"/>
          <w:divBdr>
            <w:top w:val="none" w:sz="0" w:space="0" w:color="auto"/>
            <w:left w:val="none" w:sz="0" w:space="0" w:color="auto"/>
            <w:bottom w:val="none" w:sz="0" w:space="0" w:color="auto"/>
            <w:right w:val="none" w:sz="0" w:space="0" w:color="auto"/>
          </w:divBdr>
        </w:div>
        <w:div w:id="687408556">
          <w:marLeft w:val="480"/>
          <w:marRight w:val="0"/>
          <w:marTop w:val="0"/>
          <w:marBottom w:val="0"/>
          <w:divBdr>
            <w:top w:val="none" w:sz="0" w:space="0" w:color="auto"/>
            <w:left w:val="none" w:sz="0" w:space="0" w:color="auto"/>
            <w:bottom w:val="none" w:sz="0" w:space="0" w:color="auto"/>
            <w:right w:val="none" w:sz="0" w:space="0" w:color="auto"/>
          </w:divBdr>
        </w:div>
        <w:div w:id="1961647533">
          <w:marLeft w:val="480"/>
          <w:marRight w:val="0"/>
          <w:marTop w:val="0"/>
          <w:marBottom w:val="0"/>
          <w:divBdr>
            <w:top w:val="none" w:sz="0" w:space="0" w:color="auto"/>
            <w:left w:val="none" w:sz="0" w:space="0" w:color="auto"/>
            <w:bottom w:val="none" w:sz="0" w:space="0" w:color="auto"/>
            <w:right w:val="none" w:sz="0" w:space="0" w:color="auto"/>
          </w:divBdr>
        </w:div>
        <w:div w:id="1263298793">
          <w:marLeft w:val="480"/>
          <w:marRight w:val="0"/>
          <w:marTop w:val="0"/>
          <w:marBottom w:val="0"/>
          <w:divBdr>
            <w:top w:val="none" w:sz="0" w:space="0" w:color="auto"/>
            <w:left w:val="none" w:sz="0" w:space="0" w:color="auto"/>
            <w:bottom w:val="none" w:sz="0" w:space="0" w:color="auto"/>
            <w:right w:val="none" w:sz="0" w:space="0" w:color="auto"/>
          </w:divBdr>
        </w:div>
        <w:div w:id="1254581861">
          <w:marLeft w:val="480"/>
          <w:marRight w:val="0"/>
          <w:marTop w:val="0"/>
          <w:marBottom w:val="0"/>
          <w:divBdr>
            <w:top w:val="none" w:sz="0" w:space="0" w:color="auto"/>
            <w:left w:val="none" w:sz="0" w:space="0" w:color="auto"/>
            <w:bottom w:val="none" w:sz="0" w:space="0" w:color="auto"/>
            <w:right w:val="none" w:sz="0" w:space="0" w:color="auto"/>
          </w:divBdr>
        </w:div>
        <w:div w:id="569779655">
          <w:marLeft w:val="480"/>
          <w:marRight w:val="0"/>
          <w:marTop w:val="0"/>
          <w:marBottom w:val="0"/>
          <w:divBdr>
            <w:top w:val="none" w:sz="0" w:space="0" w:color="auto"/>
            <w:left w:val="none" w:sz="0" w:space="0" w:color="auto"/>
            <w:bottom w:val="none" w:sz="0" w:space="0" w:color="auto"/>
            <w:right w:val="none" w:sz="0" w:space="0" w:color="auto"/>
          </w:divBdr>
        </w:div>
        <w:div w:id="1719671297">
          <w:marLeft w:val="480"/>
          <w:marRight w:val="0"/>
          <w:marTop w:val="0"/>
          <w:marBottom w:val="0"/>
          <w:divBdr>
            <w:top w:val="none" w:sz="0" w:space="0" w:color="auto"/>
            <w:left w:val="none" w:sz="0" w:space="0" w:color="auto"/>
            <w:bottom w:val="none" w:sz="0" w:space="0" w:color="auto"/>
            <w:right w:val="none" w:sz="0" w:space="0" w:color="auto"/>
          </w:divBdr>
        </w:div>
        <w:div w:id="42215500">
          <w:marLeft w:val="480"/>
          <w:marRight w:val="0"/>
          <w:marTop w:val="0"/>
          <w:marBottom w:val="0"/>
          <w:divBdr>
            <w:top w:val="none" w:sz="0" w:space="0" w:color="auto"/>
            <w:left w:val="none" w:sz="0" w:space="0" w:color="auto"/>
            <w:bottom w:val="none" w:sz="0" w:space="0" w:color="auto"/>
            <w:right w:val="none" w:sz="0" w:space="0" w:color="auto"/>
          </w:divBdr>
        </w:div>
        <w:div w:id="1236551897">
          <w:marLeft w:val="480"/>
          <w:marRight w:val="0"/>
          <w:marTop w:val="0"/>
          <w:marBottom w:val="0"/>
          <w:divBdr>
            <w:top w:val="none" w:sz="0" w:space="0" w:color="auto"/>
            <w:left w:val="none" w:sz="0" w:space="0" w:color="auto"/>
            <w:bottom w:val="none" w:sz="0" w:space="0" w:color="auto"/>
            <w:right w:val="none" w:sz="0" w:space="0" w:color="auto"/>
          </w:divBdr>
        </w:div>
        <w:div w:id="268514096">
          <w:marLeft w:val="480"/>
          <w:marRight w:val="0"/>
          <w:marTop w:val="0"/>
          <w:marBottom w:val="0"/>
          <w:divBdr>
            <w:top w:val="none" w:sz="0" w:space="0" w:color="auto"/>
            <w:left w:val="none" w:sz="0" w:space="0" w:color="auto"/>
            <w:bottom w:val="none" w:sz="0" w:space="0" w:color="auto"/>
            <w:right w:val="none" w:sz="0" w:space="0" w:color="auto"/>
          </w:divBdr>
        </w:div>
        <w:div w:id="30157787">
          <w:marLeft w:val="480"/>
          <w:marRight w:val="0"/>
          <w:marTop w:val="0"/>
          <w:marBottom w:val="0"/>
          <w:divBdr>
            <w:top w:val="none" w:sz="0" w:space="0" w:color="auto"/>
            <w:left w:val="none" w:sz="0" w:space="0" w:color="auto"/>
            <w:bottom w:val="none" w:sz="0" w:space="0" w:color="auto"/>
            <w:right w:val="none" w:sz="0" w:space="0" w:color="auto"/>
          </w:divBdr>
        </w:div>
        <w:div w:id="1348097579">
          <w:marLeft w:val="480"/>
          <w:marRight w:val="0"/>
          <w:marTop w:val="0"/>
          <w:marBottom w:val="0"/>
          <w:divBdr>
            <w:top w:val="none" w:sz="0" w:space="0" w:color="auto"/>
            <w:left w:val="none" w:sz="0" w:space="0" w:color="auto"/>
            <w:bottom w:val="none" w:sz="0" w:space="0" w:color="auto"/>
            <w:right w:val="none" w:sz="0" w:space="0" w:color="auto"/>
          </w:divBdr>
        </w:div>
        <w:div w:id="1747531568">
          <w:marLeft w:val="480"/>
          <w:marRight w:val="0"/>
          <w:marTop w:val="0"/>
          <w:marBottom w:val="0"/>
          <w:divBdr>
            <w:top w:val="none" w:sz="0" w:space="0" w:color="auto"/>
            <w:left w:val="none" w:sz="0" w:space="0" w:color="auto"/>
            <w:bottom w:val="none" w:sz="0" w:space="0" w:color="auto"/>
            <w:right w:val="none" w:sz="0" w:space="0" w:color="auto"/>
          </w:divBdr>
        </w:div>
        <w:div w:id="1311253059">
          <w:marLeft w:val="480"/>
          <w:marRight w:val="0"/>
          <w:marTop w:val="0"/>
          <w:marBottom w:val="0"/>
          <w:divBdr>
            <w:top w:val="none" w:sz="0" w:space="0" w:color="auto"/>
            <w:left w:val="none" w:sz="0" w:space="0" w:color="auto"/>
            <w:bottom w:val="none" w:sz="0" w:space="0" w:color="auto"/>
            <w:right w:val="none" w:sz="0" w:space="0" w:color="auto"/>
          </w:divBdr>
        </w:div>
        <w:div w:id="210583055">
          <w:marLeft w:val="480"/>
          <w:marRight w:val="0"/>
          <w:marTop w:val="0"/>
          <w:marBottom w:val="0"/>
          <w:divBdr>
            <w:top w:val="none" w:sz="0" w:space="0" w:color="auto"/>
            <w:left w:val="none" w:sz="0" w:space="0" w:color="auto"/>
            <w:bottom w:val="none" w:sz="0" w:space="0" w:color="auto"/>
            <w:right w:val="none" w:sz="0" w:space="0" w:color="auto"/>
          </w:divBdr>
        </w:div>
        <w:div w:id="1084305344">
          <w:marLeft w:val="480"/>
          <w:marRight w:val="0"/>
          <w:marTop w:val="0"/>
          <w:marBottom w:val="0"/>
          <w:divBdr>
            <w:top w:val="none" w:sz="0" w:space="0" w:color="auto"/>
            <w:left w:val="none" w:sz="0" w:space="0" w:color="auto"/>
            <w:bottom w:val="none" w:sz="0" w:space="0" w:color="auto"/>
            <w:right w:val="none" w:sz="0" w:space="0" w:color="auto"/>
          </w:divBdr>
        </w:div>
        <w:div w:id="248123703">
          <w:marLeft w:val="480"/>
          <w:marRight w:val="0"/>
          <w:marTop w:val="0"/>
          <w:marBottom w:val="0"/>
          <w:divBdr>
            <w:top w:val="none" w:sz="0" w:space="0" w:color="auto"/>
            <w:left w:val="none" w:sz="0" w:space="0" w:color="auto"/>
            <w:bottom w:val="none" w:sz="0" w:space="0" w:color="auto"/>
            <w:right w:val="none" w:sz="0" w:space="0" w:color="auto"/>
          </w:divBdr>
        </w:div>
        <w:div w:id="2109543923">
          <w:marLeft w:val="480"/>
          <w:marRight w:val="0"/>
          <w:marTop w:val="0"/>
          <w:marBottom w:val="0"/>
          <w:divBdr>
            <w:top w:val="none" w:sz="0" w:space="0" w:color="auto"/>
            <w:left w:val="none" w:sz="0" w:space="0" w:color="auto"/>
            <w:bottom w:val="none" w:sz="0" w:space="0" w:color="auto"/>
            <w:right w:val="none" w:sz="0" w:space="0" w:color="auto"/>
          </w:divBdr>
        </w:div>
        <w:div w:id="1858302905">
          <w:marLeft w:val="480"/>
          <w:marRight w:val="0"/>
          <w:marTop w:val="0"/>
          <w:marBottom w:val="0"/>
          <w:divBdr>
            <w:top w:val="none" w:sz="0" w:space="0" w:color="auto"/>
            <w:left w:val="none" w:sz="0" w:space="0" w:color="auto"/>
            <w:bottom w:val="none" w:sz="0" w:space="0" w:color="auto"/>
            <w:right w:val="none" w:sz="0" w:space="0" w:color="auto"/>
          </w:divBdr>
        </w:div>
        <w:div w:id="714501647">
          <w:marLeft w:val="480"/>
          <w:marRight w:val="0"/>
          <w:marTop w:val="0"/>
          <w:marBottom w:val="0"/>
          <w:divBdr>
            <w:top w:val="none" w:sz="0" w:space="0" w:color="auto"/>
            <w:left w:val="none" w:sz="0" w:space="0" w:color="auto"/>
            <w:bottom w:val="none" w:sz="0" w:space="0" w:color="auto"/>
            <w:right w:val="none" w:sz="0" w:space="0" w:color="auto"/>
          </w:divBdr>
        </w:div>
        <w:div w:id="740903911">
          <w:marLeft w:val="480"/>
          <w:marRight w:val="0"/>
          <w:marTop w:val="0"/>
          <w:marBottom w:val="0"/>
          <w:divBdr>
            <w:top w:val="none" w:sz="0" w:space="0" w:color="auto"/>
            <w:left w:val="none" w:sz="0" w:space="0" w:color="auto"/>
            <w:bottom w:val="none" w:sz="0" w:space="0" w:color="auto"/>
            <w:right w:val="none" w:sz="0" w:space="0" w:color="auto"/>
          </w:divBdr>
        </w:div>
        <w:div w:id="1657612849">
          <w:marLeft w:val="480"/>
          <w:marRight w:val="0"/>
          <w:marTop w:val="0"/>
          <w:marBottom w:val="0"/>
          <w:divBdr>
            <w:top w:val="none" w:sz="0" w:space="0" w:color="auto"/>
            <w:left w:val="none" w:sz="0" w:space="0" w:color="auto"/>
            <w:bottom w:val="none" w:sz="0" w:space="0" w:color="auto"/>
            <w:right w:val="none" w:sz="0" w:space="0" w:color="auto"/>
          </w:divBdr>
        </w:div>
        <w:div w:id="2011828563">
          <w:marLeft w:val="480"/>
          <w:marRight w:val="0"/>
          <w:marTop w:val="0"/>
          <w:marBottom w:val="0"/>
          <w:divBdr>
            <w:top w:val="none" w:sz="0" w:space="0" w:color="auto"/>
            <w:left w:val="none" w:sz="0" w:space="0" w:color="auto"/>
            <w:bottom w:val="none" w:sz="0" w:space="0" w:color="auto"/>
            <w:right w:val="none" w:sz="0" w:space="0" w:color="auto"/>
          </w:divBdr>
        </w:div>
        <w:div w:id="215318306">
          <w:marLeft w:val="480"/>
          <w:marRight w:val="0"/>
          <w:marTop w:val="0"/>
          <w:marBottom w:val="0"/>
          <w:divBdr>
            <w:top w:val="none" w:sz="0" w:space="0" w:color="auto"/>
            <w:left w:val="none" w:sz="0" w:space="0" w:color="auto"/>
            <w:bottom w:val="none" w:sz="0" w:space="0" w:color="auto"/>
            <w:right w:val="none" w:sz="0" w:space="0" w:color="auto"/>
          </w:divBdr>
        </w:div>
        <w:div w:id="63069003">
          <w:marLeft w:val="480"/>
          <w:marRight w:val="0"/>
          <w:marTop w:val="0"/>
          <w:marBottom w:val="0"/>
          <w:divBdr>
            <w:top w:val="none" w:sz="0" w:space="0" w:color="auto"/>
            <w:left w:val="none" w:sz="0" w:space="0" w:color="auto"/>
            <w:bottom w:val="none" w:sz="0" w:space="0" w:color="auto"/>
            <w:right w:val="none" w:sz="0" w:space="0" w:color="auto"/>
          </w:divBdr>
        </w:div>
        <w:div w:id="872112896">
          <w:marLeft w:val="480"/>
          <w:marRight w:val="0"/>
          <w:marTop w:val="0"/>
          <w:marBottom w:val="0"/>
          <w:divBdr>
            <w:top w:val="none" w:sz="0" w:space="0" w:color="auto"/>
            <w:left w:val="none" w:sz="0" w:space="0" w:color="auto"/>
            <w:bottom w:val="none" w:sz="0" w:space="0" w:color="auto"/>
            <w:right w:val="none" w:sz="0" w:space="0" w:color="auto"/>
          </w:divBdr>
        </w:div>
        <w:div w:id="561914505">
          <w:marLeft w:val="480"/>
          <w:marRight w:val="0"/>
          <w:marTop w:val="0"/>
          <w:marBottom w:val="0"/>
          <w:divBdr>
            <w:top w:val="none" w:sz="0" w:space="0" w:color="auto"/>
            <w:left w:val="none" w:sz="0" w:space="0" w:color="auto"/>
            <w:bottom w:val="none" w:sz="0" w:space="0" w:color="auto"/>
            <w:right w:val="none" w:sz="0" w:space="0" w:color="auto"/>
          </w:divBdr>
        </w:div>
        <w:div w:id="1674066466">
          <w:marLeft w:val="480"/>
          <w:marRight w:val="0"/>
          <w:marTop w:val="0"/>
          <w:marBottom w:val="0"/>
          <w:divBdr>
            <w:top w:val="none" w:sz="0" w:space="0" w:color="auto"/>
            <w:left w:val="none" w:sz="0" w:space="0" w:color="auto"/>
            <w:bottom w:val="none" w:sz="0" w:space="0" w:color="auto"/>
            <w:right w:val="none" w:sz="0" w:space="0" w:color="auto"/>
          </w:divBdr>
        </w:div>
        <w:div w:id="2125228198">
          <w:marLeft w:val="480"/>
          <w:marRight w:val="0"/>
          <w:marTop w:val="0"/>
          <w:marBottom w:val="0"/>
          <w:divBdr>
            <w:top w:val="none" w:sz="0" w:space="0" w:color="auto"/>
            <w:left w:val="none" w:sz="0" w:space="0" w:color="auto"/>
            <w:bottom w:val="none" w:sz="0" w:space="0" w:color="auto"/>
            <w:right w:val="none" w:sz="0" w:space="0" w:color="auto"/>
          </w:divBdr>
        </w:div>
        <w:div w:id="1339381390">
          <w:marLeft w:val="480"/>
          <w:marRight w:val="0"/>
          <w:marTop w:val="0"/>
          <w:marBottom w:val="0"/>
          <w:divBdr>
            <w:top w:val="none" w:sz="0" w:space="0" w:color="auto"/>
            <w:left w:val="none" w:sz="0" w:space="0" w:color="auto"/>
            <w:bottom w:val="none" w:sz="0" w:space="0" w:color="auto"/>
            <w:right w:val="none" w:sz="0" w:space="0" w:color="auto"/>
          </w:divBdr>
        </w:div>
        <w:div w:id="1130050885">
          <w:marLeft w:val="480"/>
          <w:marRight w:val="0"/>
          <w:marTop w:val="0"/>
          <w:marBottom w:val="0"/>
          <w:divBdr>
            <w:top w:val="none" w:sz="0" w:space="0" w:color="auto"/>
            <w:left w:val="none" w:sz="0" w:space="0" w:color="auto"/>
            <w:bottom w:val="none" w:sz="0" w:space="0" w:color="auto"/>
            <w:right w:val="none" w:sz="0" w:space="0" w:color="auto"/>
          </w:divBdr>
        </w:div>
        <w:div w:id="545946786">
          <w:marLeft w:val="480"/>
          <w:marRight w:val="0"/>
          <w:marTop w:val="0"/>
          <w:marBottom w:val="0"/>
          <w:divBdr>
            <w:top w:val="none" w:sz="0" w:space="0" w:color="auto"/>
            <w:left w:val="none" w:sz="0" w:space="0" w:color="auto"/>
            <w:bottom w:val="none" w:sz="0" w:space="0" w:color="auto"/>
            <w:right w:val="none" w:sz="0" w:space="0" w:color="auto"/>
          </w:divBdr>
        </w:div>
        <w:div w:id="510146088">
          <w:marLeft w:val="480"/>
          <w:marRight w:val="0"/>
          <w:marTop w:val="0"/>
          <w:marBottom w:val="0"/>
          <w:divBdr>
            <w:top w:val="none" w:sz="0" w:space="0" w:color="auto"/>
            <w:left w:val="none" w:sz="0" w:space="0" w:color="auto"/>
            <w:bottom w:val="none" w:sz="0" w:space="0" w:color="auto"/>
            <w:right w:val="none" w:sz="0" w:space="0" w:color="auto"/>
          </w:divBdr>
        </w:div>
        <w:div w:id="844436494">
          <w:marLeft w:val="480"/>
          <w:marRight w:val="0"/>
          <w:marTop w:val="0"/>
          <w:marBottom w:val="0"/>
          <w:divBdr>
            <w:top w:val="none" w:sz="0" w:space="0" w:color="auto"/>
            <w:left w:val="none" w:sz="0" w:space="0" w:color="auto"/>
            <w:bottom w:val="none" w:sz="0" w:space="0" w:color="auto"/>
            <w:right w:val="none" w:sz="0" w:space="0" w:color="auto"/>
          </w:divBdr>
        </w:div>
        <w:div w:id="1566532017">
          <w:marLeft w:val="480"/>
          <w:marRight w:val="0"/>
          <w:marTop w:val="0"/>
          <w:marBottom w:val="0"/>
          <w:divBdr>
            <w:top w:val="none" w:sz="0" w:space="0" w:color="auto"/>
            <w:left w:val="none" w:sz="0" w:space="0" w:color="auto"/>
            <w:bottom w:val="none" w:sz="0" w:space="0" w:color="auto"/>
            <w:right w:val="none" w:sz="0" w:space="0" w:color="auto"/>
          </w:divBdr>
        </w:div>
        <w:div w:id="1241060000">
          <w:marLeft w:val="480"/>
          <w:marRight w:val="0"/>
          <w:marTop w:val="0"/>
          <w:marBottom w:val="0"/>
          <w:divBdr>
            <w:top w:val="none" w:sz="0" w:space="0" w:color="auto"/>
            <w:left w:val="none" w:sz="0" w:space="0" w:color="auto"/>
            <w:bottom w:val="none" w:sz="0" w:space="0" w:color="auto"/>
            <w:right w:val="none" w:sz="0" w:space="0" w:color="auto"/>
          </w:divBdr>
        </w:div>
        <w:div w:id="1106729241">
          <w:marLeft w:val="480"/>
          <w:marRight w:val="0"/>
          <w:marTop w:val="0"/>
          <w:marBottom w:val="0"/>
          <w:divBdr>
            <w:top w:val="none" w:sz="0" w:space="0" w:color="auto"/>
            <w:left w:val="none" w:sz="0" w:space="0" w:color="auto"/>
            <w:bottom w:val="none" w:sz="0" w:space="0" w:color="auto"/>
            <w:right w:val="none" w:sz="0" w:space="0" w:color="auto"/>
          </w:divBdr>
        </w:div>
        <w:div w:id="2026710784">
          <w:marLeft w:val="480"/>
          <w:marRight w:val="0"/>
          <w:marTop w:val="0"/>
          <w:marBottom w:val="0"/>
          <w:divBdr>
            <w:top w:val="none" w:sz="0" w:space="0" w:color="auto"/>
            <w:left w:val="none" w:sz="0" w:space="0" w:color="auto"/>
            <w:bottom w:val="none" w:sz="0" w:space="0" w:color="auto"/>
            <w:right w:val="none" w:sz="0" w:space="0" w:color="auto"/>
          </w:divBdr>
        </w:div>
        <w:div w:id="435683427">
          <w:marLeft w:val="480"/>
          <w:marRight w:val="0"/>
          <w:marTop w:val="0"/>
          <w:marBottom w:val="0"/>
          <w:divBdr>
            <w:top w:val="none" w:sz="0" w:space="0" w:color="auto"/>
            <w:left w:val="none" w:sz="0" w:space="0" w:color="auto"/>
            <w:bottom w:val="none" w:sz="0" w:space="0" w:color="auto"/>
            <w:right w:val="none" w:sz="0" w:space="0" w:color="auto"/>
          </w:divBdr>
        </w:div>
        <w:div w:id="1502043566">
          <w:marLeft w:val="480"/>
          <w:marRight w:val="0"/>
          <w:marTop w:val="0"/>
          <w:marBottom w:val="0"/>
          <w:divBdr>
            <w:top w:val="none" w:sz="0" w:space="0" w:color="auto"/>
            <w:left w:val="none" w:sz="0" w:space="0" w:color="auto"/>
            <w:bottom w:val="none" w:sz="0" w:space="0" w:color="auto"/>
            <w:right w:val="none" w:sz="0" w:space="0" w:color="auto"/>
          </w:divBdr>
        </w:div>
        <w:div w:id="2103337389">
          <w:marLeft w:val="480"/>
          <w:marRight w:val="0"/>
          <w:marTop w:val="0"/>
          <w:marBottom w:val="0"/>
          <w:divBdr>
            <w:top w:val="none" w:sz="0" w:space="0" w:color="auto"/>
            <w:left w:val="none" w:sz="0" w:space="0" w:color="auto"/>
            <w:bottom w:val="none" w:sz="0" w:space="0" w:color="auto"/>
            <w:right w:val="none" w:sz="0" w:space="0" w:color="auto"/>
          </w:divBdr>
        </w:div>
        <w:div w:id="1426221767">
          <w:marLeft w:val="480"/>
          <w:marRight w:val="0"/>
          <w:marTop w:val="0"/>
          <w:marBottom w:val="0"/>
          <w:divBdr>
            <w:top w:val="none" w:sz="0" w:space="0" w:color="auto"/>
            <w:left w:val="none" w:sz="0" w:space="0" w:color="auto"/>
            <w:bottom w:val="none" w:sz="0" w:space="0" w:color="auto"/>
            <w:right w:val="none" w:sz="0" w:space="0" w:color="auto"/>
          </w:divBdr>
        </w:div>
        <w:div w:id="1090585117">
          <w:marLeft w:val="480"/>
          <w:marRight w:val="0"/>
          <w:marTop w:val="0"/>
          <w:marBottom w:val="0"/>
          <w:divBdr>
            <w:top w:val="none" w:sz="0" w:space="0" w:color="auto"/>
            <w:left w:val="none" w:sz="0" w:space="0" w:color="auto"/>
            <w:bottom w:val="none" w:sz="0" w:space="0" w:color="auto"/>
            <w:right w:val="none" w:sz="0" w:space="0" w:color="auto"/>
          </w:divBdr>
        </w:div>
        <w:div w:id="1239093385">
          <w:marLeft w:val="480"/>
          <w:marRight w:val="0"/>
          <w:marTop w:val="0"/>
          <w:marBottom w:val="0"/>
          <w:divBdr>
            <w:top w:val="none" w:sz="0" w:space="0" w:color="auto"/>
            <w:left w:val="none" w:sz="0" w:space="0" w:color="auto"/>
            <w:bottom w:val="none" w:sz="0" w:space="0" w:color="auto"/>
            <w:right w:val="none" w:sz="0" w:space="0" w:color="auto"/>
          </w:divBdr>
        </w:div>
        <w:div w:id="208032787">
          <w:marLeft w:val="480"/>
          <w:marRight w:val="0"/>
          <w:marTop w:val="0"/>
          <w:marBottom w:val="0"/>
          <w:divBdr>
            <w:top w:val="none" w:sz="0" w:space="0" w:color="auto"/>
            <w:left w:val="none" w:sz="0" w:space="0" w:color="auto"/>
            <w:bottom w:val="none" w:sz="0" w:space="0" w:color="auto"/>
            <w:right w:val="none" w:sz="0" w:space="0" w:color="auto"/>
          </w:divBdr>
        </w:div>
        <w:div w:id="152644750">
          <w:marLeft w:val="480"/>
          <w:marRight w:val="0"/>
          <w:marTop w:val="0"/>
          <w:marBottom w:val="0"/>
          <w:divBdr>
            <w:top w:val="none" w:sz="0" w:space="0" w:color="auto"/>
            <w:left w:val="none" w:sz="0" w:space="0" w:color="auto"/>
            <w:bottom w:val="none" w:sz="0" w:space="0" w:color="auto"/>
            <w:right w:val="none" w:sz="0" w:space="0" w:color="auto"/>
          </w:divBdr>
        </w:div>
        <w:div w:id="859590367">
          <w:marLeft w:val="480"/>
          <w:marRight w:val="0"/>
          <w:marTop w:val="0"/>
          <w:marBottom w:val="0"/>
          <w:divBdr>
            <w:top w:val="none" w:sz="0" w:space="0" w:color="auto"/>
            <w:left w:val="none" w:sz="0" w:space="0" w:color="auto"/>
            <w:bottom w:val="none" w:sz="0" w:space="0" w:color="auto"/>
            <w:right w:val="none" w:sz="0" w:space="0" w:color="auto"/>
          </w:divBdr>
        </w:div>
        <w:div w:id="119810663">
          <w:marLeft w:val="480"/>
          <w:marRight w:val="0"/>
          <w:marTop w:val="0"/>
          <w:marBottom w:val="0"/>
          <w:divBdr>
            <w:top w:val="none" w:sz="0" w:space="0" w:color="auto"/>
            <w:left w:val="none" w:sz="0" w:space="0" w:color="auto"/>
            <w:bottom w:val="none" w:sz="0" w:space="0" w:color="auto"/>
            <w:right w:val="none" w:sz="0" w:space="0" w:color="auto"/>
          </w:divBdr>
        </w:div>
        <w:div w:id="1870146040">
          <w:marLeft w:val="480"/>
          <w:marRight w:val="0"/>
          <w:marTop w:val="0"/>
          <w:marBottom w:val="0"/>
          <w:divBdr>
            <w:top w:val="none" w:sz="0" w:space="0" w:color="auto"/>
            <w:left w:val="none" w:sz="0" w:space="0" w:color="auto"/>
            <w:bottom w:val="none" w:sz="0" w:space="0" w:color="auto"/>
            <w:right w:val="none" w:sz="0" w:space="0" w:color="auto"/>
          </w:divBdr>
        </w:div>
        <w:div w:id="1664158484">
          <w:marLeft w:val="480"/>
          <w:marRight w:val="0"/>
          <w:marTop w:val="0"/>
          <w:marBottom w:val="0"/>
          <w:divBdr>
            <w:top w:val="none" w:sz="0" w:space="0" w:color="auto"/>
            <w:left w:val="none" w:sz="0" w:space="0" w:color="auto"/>
            <w:bottom w:val="none" w:sz="0" w:space="0" w:color="auto"/>
            <w:right w:val="none" w:sz="0" w:space="0" w:color="auto"/>
          </w:divBdr>
        </w:div>
        <w:div w:id="693267039">
          <w:marLeft w:val="480"/>
          <w:marRight w:val="0"/>
          <w:marTop w:val="0"/>
          <w:marBottom w:val="0"/>
          <w:divBdr>
            <w:top w:val="none" w:sz="0" w:space="0" w:color="auto"/>
            <w:left w:val="none" w:sz="0" w:space="0" w:color="auto"/>
            <w:bottom w:val="none" w:sz="0" w:space="0" w:color="auto"/>
            <w:right w:val="none" w:sz="0" w:space="0" w:color="auto"/>
          </w:divBdr>
        </w:div>
        <w:div w:id="567809357">
          <w:marLeft w:val="480"/>
          <w:marRight w:val="0"/>
          <w:marTop w:val="0"/>
          <w:marBottom w:val="0"/>
          <w:divBdr>
            <w:top w:val="none" w:sz="0" w:space="0" w:color="auto"/>
            <w:left w:val="none" w:sz="0" w:space="0" w:color="auto"/>
            <w:bottom w:val="none" w:sz="0" w:space="0" w:color="auto"/>
            <w:right w:val="none" w:sz="0" w:space="0" w:color="auto"/>
          </w:divBdr>
        </w:div>
        <w:div w:id="988705264">
          <w:marLeft w:val="480"/>
          <w:marRight w:val="0"/>
          <w:marTop w:val="0"/>
          <w:marBottom w:val="0"/>
          <w:divBdr>
            <w:top w:val="none" w:sz="0" w:space="0" w:color="auto"/>
            <w:left w:val="none" w:sz="0" w:space="0" w:color="auto"/>
            <w:bottom w:val="none" w:sz="0" w:space="0" w:color="auto"/>
            <w:right w:val="none" w:sz="0" w:space="0" w:color="auto"/>
          </w:divBdr>
        </w:div>
        <w:div w:id="994063619">
          <w:marLeft w:val="480"/>
          <w:marRight w:val="0"/>
          <w:marTop w:val="0"/>
          <w:marBottom w:val="0"/>
          <w:divBdr>
            <w:top w:val="none" w:sz="0" w:space="0" w:color="auto"/>
            <w:left w:val="none" w:sz="0" w:space="0" w:color="auto"/>
            <w:bottom w:val="none" w:sz="0" w:space="0" w:color="auto"/>
            <w:right w:val="none" w:sz="0" w:space="0" w:color="auto"/>
          </w:divBdr>
        </w:div>
        <w:div w:id="796872790">
          <w:marLeft w:val="480"/>
          <w:marRight w:val="0"/>
          <w:marTop w:val="0"/>
          <w:marBottom w:val="0"/>
          <w:divBdr>
            <w:top w:val="none" w:sz="0" w:space="0" w:color="auto"/>
            <w:left w:val="none" w:sz="0" w:space="0" w:color="auto"/>
            <w:bottom w:val="none" w:sz="0" w:space="0" w:color="auto"/>
            <w:right w:val="none" w:sz="0" w:space="0" w:color="auto"/>
          </w:divBdr>
        </w:div>
        <w:div w:id="895354924">
          <w:marLeft w:val="480"/>
          <w:marRight w:val="0"/>
          <w:marTop w:val="0"/>
          <w:marBottom w:val="0"/>
          <w:divBdr>
            <w:top w:val="none" w:sz="0" w:space="0" w:color="auto"/>
            <w:left w:val="none" w:sz="0" w:space="0" w:color="auto"/>
            <w:bottom w:val="none" w:sz="0" w:space="0" w:color="auto"/>
            <w:right w:val="none" w:sz="0" w:space="0" w:color="auto"/>
          </w:divBdr>
        </w:div>
        <w:div w:id="894632209">
          <w:marLeft w:val="480"/>
          <w:marRight w:val="0"/>
          <w:marTop w:val="0"/>
          <w:marBottom w:val="0"/>
          <w:divBdr>
            <w:top w:val="none" w:sz="0" w:space="0" w:color="auto"/>
            <w:left w:val="none" w:sz="0" w:space="0" w:color="auto"/>
            <w:bottom w:val="none" w:sz="0" w:space="0" w:color="auto"/>
            <w:right w:val="none" w:sz="0" w:space="0" w:color="auto"/>
          </w:divBdr>
        </w:div>
        <w:div w:id="1341392268">
          <w:marLeft w:val="480"/>
          <w:marRight w:val="0"/>
          <w:marTop w:val="0"/>
          <w:marBottom w:val="0"/>
          <w:divBdr>
            <w:top w:val="none" w:sz="0" w:space="0" w:color="auto"/>
            <w:left w:val="none" w:sz="0" w:space="0" w:color="auto"/>
            <w:bottom w:val="none" w:sz="0" w:space="0" w:color="auto"/>
            <w:right w:val="none" w:sz="0" w:space="0" w:color="auto"/>
          </w:divBdr>
        </w:div>
        <w:div w:id="423958464">
          <w:marLeft w:val="480"/>
          <w:marRight w:val="0"/>
          <w:marTop w:val="0"/>
          <w:marBottom w:val="0"/>
          <w:divBdr>
            <w:top w:val="none" w:sz="0" w:space="0" w:color="auto"/>
            <w:left w:val="none" w:sz="0" w:space="0" w:color="auto"/>
            <w:bottom w:val="none" w:sz="0" w:space="0" w:color="auto"/>
            <w:right w:val="none" w:sz="0" w:space="0" w:color="auto"/>
          </w:divBdr>
        </w:div>
        <w:div w:id="1745107295">
          <w:marLeft w:val="480"/>
          <w:marRight w:val="0"/>
          <w:marTop w:val="0"/>
          <w:marBottom w:val="0"/>
          <w:divBdr>
            <w:top w:val="none" w:sz="0" w:space="0" w:color="auto"/>
            <w:left w:val="none" w:sz="0" w:space="0" w:color="auto"/>
            <w:bottom w:val="none" w:sz="0" w:space="0" w:color="auto"/>
            <w:right w:val="none" w:sz="0" w:space="0" w:color="auto"/>
          </w:divBdr>
        </w:div>
        <w:div w:id="1559318029">
          <w:marLeft w:val="480"/>
          <w:marRight w:val="0"/>
          <w:marTop w:val="0"/>
          <w:marBottom w:val="0"/>
          <w:divBdr>
            <w:top w:val="none" w:sz="0" w:space="0" w:color="auto"/>
            <w:left w:val="none" w:sz="0" w:space="0" w:color="auto"/>
            <w:bottom w:val="none" w:sz="0" w:space="0" w:color="auto"/>
            <w:right w:val="none" w:sz="0" w:space="0" w:color="auto"/>
          </w:divBdr>
        </w:div>
        <w:div w:id="1843009056">
          <w:marLeft w:val="480"/>
          <w:marRight w:val="0"/>
          <w:marTop w:val="0"/>
          <w:marBottom w:val="0"/>
          <w:divBdr>
            <w:top w:val="none" w:sz="0" w:space="0" w:color="auto"/>
            <w:left w:val="none" w:sz="0" w:space="0" w:color="auto"/>
            <w:bottom w:val="none" w:sz="0" w:space="0" w:color="auto"/>
            <w:right w:val="none" w:sz="0" w:space="0" w:color="auto"/>
          </w:divBdr>
        </w:div>
        <w:div w:id="1105425768">
          <w:marLeft w:val="480"/>
          <w:marRight w:val="0"/>
          <w:marTop w:val="0"/>
          <w:marBottom w:val="0"/>
          <w:divBdr>
            <w:top w:val="none" w:sz="0" w:space="0" w:color="auto"/>
            <w:left w:val="none" w:sz="0" w:space="0" w:color="auto"/>
            <w:bottom w:val="none" w:sz="0" w:space="0" w:color="auto"/>
            <w:right w:val="none" w:sz="0" w:space="0" w:color="auto"/>
          </w:divBdr>
        </w:div>
        <w:div w:id="2123068362">
          <w:marLeft w:val="480"/>
          <w:marRight w:val="0"/>
          <w:marTop w:val="0"/>
          <w:marBottom w:val="0"/>
          <w:divBdr>
            <w:top w:val="none" w:sz="0" w:space="0" w:color="auto"/>
            <w:left w:val="none" w:sz="0" w:space="0" w:color="auto"/>
            <w:bottom w:val="none" w:sz="0" w:space="0" w:color="auto"/>
            <w:right w:val="none" w:sz="0" w:space="0" w:color="auto"/>
          </w:divBdr>
        </w:div>
        <w:div w:id="612789123">
          <w:marLeft w:val="480"/>
          <w:marRight w:val="0"/>
          <w:marTop w:val="0"/>
          <w:marBottom w:val="0"/>
          <w:divBdr>
            <w:top w:val="none" w:sz="0" w:space="0" w:color="auto"/>
            <w:left w:val="none" w:sz="0" w:space="0" w:color="auto"/>
            <w:bottom w:val="none" w:sz="0" w:space="0" w:color="auto"/>
            <w:right w:val="none" w:sz="0" w:space="0" w:color="auto"/>
          </w:divBdr>
        </w:div>
        <w:div w:id="1335760007">
          <w:marLeft w:val="480"/>
          <w:marRight w:val="0"/>
          <w:marTop w:val="0"/>
          <w:marBottom w:val="0"/>
          <w:divBdr>
            <w:top w:val="none" w:sz="0" w:space="0" w:color="auto"/>
            <w:left w:val="none" w:sz="0" w:space="0" w:color="auto"/>
            <w:bottom w:val="none" w:sz="0" w:space="0" w:color="auto"/>
            <w:right w:val="none" w:sz="0" w:space="0" w:color="auto"/>
          </w:divBdr>
        </w:div>
        <w:div w:id="1559587395">
          <w:marLeft w:val="480"/>
          <w:marRight w:val="0"/>
          <w:marTop w:val="0"/>
          <w:marBottom w:val="0"/>
          <w:divBdr>
            <w:top w:val="none" w:sz="0" w:space="0" w:color="auto"/>
            <w:left w:val="none" w:sz="0" w:space="0" w:color="auto"/>
            <w:bottom w:val="none" w:sz="0" w:space="0" w:color="auto"/>
            <w:right w:val="none" w:sz="0" w:space="0" w:color="auto"/>
          </w:divBdr>
        </w:div>
        <w:div w:id="1345593278">
          <w:marLeft w:val="480"/>
          <w:marRight w:val="0"/>
          <w:marTop w:val="0"/>
          <w:marBottom w:val="0"/>
          <w:divBdr>
            <w:top w:val="none" w:sz="0" w:space="0" w:color="auto"/>
            <w:left w:val="none" w:sz="0" w:space="0" w:color="auto"/>
            <w:bottom w:val="none" w:sz="0" w:space="0" w:color="auto"/>
            <w:right w:val="none" w:sz="0" w:space="0" w:color="auto"/>
          </w:divBdr>
        </w:div>
        <w:div w:id="1785533161">
          <w:marLeft w:val="480"/>
          <w:marRight w:val="0"/>
          <w:marTop w:val="0"/>
          <w:marBottom w:val="0"/>
          <w:divBdr>
            <w:top w:val="none" w:sz="0" w:space="0" w:color="auto"/>
            <w:left w:val="none" w:sz="0" w:space="0" w:color="auto"/>
            <w:bottom w:val="none" w:sz="0" w:space="0" w:color="auto"/>
            <w:right w:val="none" w:sz="0" w:space="0" w:color="auto"/>
          </w:divBdr>
        </w:div>
        <w:div w:id="182283477">
          <w:marLeft w:val="480"/>
          <w:marRight w:val="0"/>
          <w:marTop w:val="0"/>
          <w:marBottom w:val="0"/>
          <w:divBdr>
            <w:top w:val="none" w:sz="0" w:space="0" w:color="auto"/>
            <w:left w:val="none" w:sz="0" w:space="0" w:color="auto"/>
            <w:bottom w:val="none" w:sz="0" w:space="0" w:color="auto"/>
            <w:right w:val="none" w:sz="0" w:space="0" w:color="auto"/>
          </w:divBdr>
        </w:div>
        <w:div w:id="73674362">
          <w:marLeft w:val="480"/>
          <w:marRight w:val="0"/>
          <w:marTop w:val="0"/>
          <w:marBottom w:val="0"/>
          <w:divBdr>
            <w:top w:val="none" w:sz="0" w:space="0" w:color="auto"/>
            <w:left w:val="none" w:sz="0" w:space="0" w:color="auto"/>
            <w:bottom w:val="none" w:sz="0" w:space="0" w:color="auto"/>
            <w:right w:val="none" w:sz="0" w:space="0" w:color="auto"/>
          </w:divBdr>
        </w:div>
        <w:div w:id="1564097796">
          <w:marLeft w:val="480"/>
          <w:marRight w:val="0"/>
          <w:marTop w:val="0"/>
          <w:marBottom w:val="0"/>
          <w:divBdr>
            <w:top w:val="none" w:sz="0" w:space="0" w:color="auto"/>
            <w:left w:val="none" w:sz="0" w:space="0" w:color="auto"/>
            <w:bottom w:val="none" w:sz="0" w:space="0" w:color="auto"/>
            <w:right w:val="none" w:sz="0" w:space="0" w:color="auto"/>
          </w:divBdr>
        </w:div>
        <w:div w:id="846749681">
          <w:marLeft w:val="480"/>
          <w:marRight w:val="0"/>
          <w:marTop w:val="0"/>
          <w:marBottom w:val="0"/>
          <w:divBdr>
            <w:top w:val="none" w:sz="0" w:space="0" w:color="auto"/>
            <w:left w:val="none" w:sz="0" w:space="0" w:color="auto"/>
            <w:bottom w:val="none" w:sz="0" w:space="0" w:color="auto"/>
            <w:right w:val="none" w:sz="0" w:space="0" w:color="auto"/>
          </w:divBdr>
        </w:div>
        <w:div w:id="2055544531">
          <w:marLeft w:val="480"/>
          <w:marRight w:val="0"/>
          <w:marTop w:val="0"/>
          <w:marBottom w:val="0"/>
          <w:divBdr>
            <w:top w:val="none" w:sz="0" w:space="0" w:color="auto"/>
            <w:left w:val="none" w:sz="0" w:space="0" w:color="auto"/>
            <w:bottom w:val="none" w:sz="0" w:space="0" w:color="auto"/>
            <w:right w:val="none" w:sz="0" w:space="0" w:color="auto"/>
          </w:divBdr>
        </w:div>
        <w:div w:id="507604369">
          <w:marLeft w:val="480"/>
          <w:marRight w:val="0"/>
          <w:marTop w:val="0"/>
          <w:marBottom w:val="0"/>
          <w:divBdr>
            <w:top w:val="none" w:sz="0" w:space="0" w:color="auto"/>
            <w:left w:val="none" w:sz="0" w:space="0" w:color="auto"/>
            <w:bottom w:val="none" w:sz="0" w:space="0" w:color="auto"/>
            <w:right w:val="none" w:sz="0" w:space="0" w:color="auto"/>
          </w:divBdr>
        </w:div>
        <w:div w:id="2121608530">
          <w:marLeft w:val="480"/>
          <w:marRight w:val="0"/>
          <w:marTop w:val="0"/>
          <w:marBottom w:val="0"/>
          <w:divBdr>
            <w:top w:val="none" w:sz="0" w:space="0" w:color="auto"/>
            <w:left w:val="none" w:sz="0" w:space="0" w:color="auto"/>
            <w:bottom w:val="none" w:sz="0" w:space="0" w:color="auto"/>
            <w:right w:val="none" w:sz="0" w:space="0" w:color="auto"/>
          </w:divBdr>
        </w:div>
        <w:div w:id="1891458908">
          <w:marLeft w:val="480"/>
          <w:marRight w:val="0"/>
          <w:marTop w:val="0"/>
          <w:marBottom w:val="0"/>
          <w:divBdr>
            <w:top w:val="none" w:sz="0" w:space="0" w:color="auto"/>
            <w:left w:val="none" w:sz="0" w:space="0" w:color="auto"/>
            <w:bottom w:val="none" w:sz="0" w:space="0" w:color="auto"/>
            <w:right w:val="none" w:sz="0" w:space="0" w:color="auto"/>
          </w:divBdr>
        </w:div>
        <w:div w:id="657226125">
          <w:marLeft w:val="480"/>
          <w:marRight w:val="0"/>
          <w:marTop w:val="0"/>
          <w:marBottom w:val="0"/>
          <w:divBdr>
            <w:top w:val="none" w:sz="0" w:space="0" w:color="auto"/>
            <w:left w:val="none" w:sz="0" w:space="0" w:color="auto"/>
            <w:bottom w:val="none" w:sz="0" w:space="0" w:color="auto"/>
            <w:right w:val="none" w:sz="0" w:space="0" w:color="auto"/>
          </w:divBdr>
        </w:div>
        <w:div w:id="1244997947">
          <w:marLeft w:val="480"/>
          <w:marRight w:val="0"/>
          <w:marTop w:val="0"/>
          <w:marBottom w:val="0"/>
          <w:divBdr>
            <w:top w:val="none" w:sz="0" w:space="0" w:color="auto"/>
            <w:left w:val="none" w:sz="0" w:space="0" w:color="auto"/>
            <w:bottom w:val="none" w:sz="0" w:space="0" w:color="auto"/>
            <w:right w:val="none" w:sz="0" w:space="0" w:color="auto"/>
          </w:divBdr>
        </w:div>
        <w:div w:id="898714335">
          <w:marLeft w:val="480"/>
          <w:marRight w:val="0"/>
          <w:marTop w:val="0"/>
          <w:marBottom w:val="0"/>
          <w:divBdr>
            <w:top w:val="none" w:sz="0" w:space="0" w:color="auto"/>
            <w:left w:val="none" w:sz="0" w:space="0" w:color="auto"/>
            <w:bottom w:val="none" w:sz="0" w:space="0" w:color="auto"/>
            <w:right w:val="none" w:sz="0" w:space="0" w:color="auto"/>
          </w:divBdr>
        </w:div>
        <w:div w:id="630136134">
          <w:marLeft w:val="480"/>
          <w:marRight w:val="0"/>
          <w:marTop w:val="0"/>
          <w:marBottom w:val="0"/>
          <w:divBdr>
            <w:top w:val="none" w:sz="0" w:space="0" w:color="auto"/>
            <w:left w:val="none" w:sz="0" w:space="0" w:color="auto"/>
            <w:bottom w:val="none" w:sz="0" w:space="0" w:color="auto"/>
            <w:right w:val="none" w:sz="0" w:space="0" w:color="auto"/>
          </w:divBdr>
        </w:div>
        <w:div w:id="115686345">
          <w:marLeft w:val="480"/>
          <w:marRight w:val="0"/>
          <w:marTop w:val="0"/>
          <w:marBottom w:val="0"/>
          <w:divBdr>
            <w:top w:val="none" w:sz="0" w:space="0" w:color="auto"/>
            <w:left w:val="none" w:sz="0" w:space="0" w:color="auto"/>
            <w:bottom w:val="none" w:sz="0" w:space="0" w:color="auto"/>
            <w:right w:val="none" w:sz="0" w:space="0" w:color="auto"/>
          </w:divBdr>
        </w:div>
        <w:div w:id="795416626">
          <w:marLeft w:val="480"/>
          <w:marRight w:val="0"/>
          <w:marTop w:val="0"/>
          <w:marBottom w:val="0"/>
          <w:divBdr>
            <w:top w:val="none" w:sz="0" w:space="0" w:color="auto"/>
            <w:left w:val="none" w:sz="0" w:space="0" w:color="auto"/>
            <w:bottom w:val="none" w:sz="0" w:space="0" w:color="auto"/>
            <w:right w:val="none" w:sz="0" w:space="0" w:color="auto"/>
          </w:divBdr>
        </w:div>
        <w:div w:id="342362758">
          <w:marLeft w:val="480"/>
          <w:marRight w:val="0"/>
          <w:marTop w:val="0"/>
          <w:marBottom w:val="0"/>
          <w:divBdr>
            <w:top w:val="none" w:sz="0" w:space="0" w:color="auto"/>
            <w:left w:val="none" w:sz="0" w:space="0" w:color="auto"/>
            <w:bottom w:val="none" w:sz="0" w:space="0" w:color="auto"/>
            <w:right w:val="none" w:sz="0" w:space="0" w:color="auto"/>
          </w:divBdr>
        </w:div>
        <w:div w:id="2070154015">
          <w:marLeft w:val="480"/>
          <w:marRight w:val="0"/>
          <w:marTop w:val="0"/>
          <w:marBottom w:val="0"/>
          <w:divBdr>
            <w:top w:val="none" w:sz="0" w:space="0" w:color="auto"/>
            <w:left w:val="none" w:sz="0" w:space="0" w:color="auto"/>
            <w:bottom w:val="none" w:sz="0" w:space="0" w:color="auto"/>
            <w:right w:val="none" w:sz="0" w:space="0" w:color="auto"/>
          </w:divBdr>
        </w:div>
        <w:div w:id="466046428">
          <w:marLeft w:val="480"/>
          <w:marRight w:val="0"/>
          <w:marTop w:val="0"/>
          <w:marBottom w:val="0"/>
          <w:divBdr>
            <w:top w:val="none" w:sz="0" w:space="0" w:color="auto"/>
            <w:left w:val="none" w:sz="0" w:space="0" w:color="auto"/>
            <w:bottom w:val="none" w:sz="0" w:space="0" w:color="auto"/>
            <w:right w:val="none" w:sz="0" w:space="0" w:color="auto"/>
          </w:divBdr>
        </w:div>
        <w:div w:id="1751272740">
          <w:marLeft w:val="480"/>
          <w:marRight w:val="0"/>
          <w:marTop w:val="0"/>
          <w:marBottom w:val="0"/>
          <w:divBdr>
            <w:top w:val="none" w:sz="0" w:space="0" w:color="auto"/>
            <w:left w:val="none" w:sz="0" w:space="0" w:color="auto"/>
            <w:bottom w:val="none" w:sz="0" w:space="0" w:color="auto"/>
            <w:right w:val="none" w:sz="0" w:space="0" w:color="auto"/>
          </w:divBdr>
        </w:div>
        <w:div w:id="1596357349">
          <w:marLeft w:val="480"/>
          <w:marRight w:val="0"/>
          <w:marTop w:val="0"/>
          <w:marBottom w:val="0"/>
          <w:divBdr>
            <w:top w:val="none" w:sz="0" w:space="0" w:color="auto"/>
            <w:left w:val="none" w:sz="0" w:space="0" w:color="auto"/>
            <w:bottom w:val="none" w:sz="0" w:space="0" w:color="auto"/>
            <w:right w:val="none" w:sz="0" w:space="0" w:color="auto"/>
          </w:divBdr>
        </w:div>
        <w:div w:id="1329405289">
          <w:marLeft w:val="480"/>
          <w:marRight w:val="0"/>
          <w:marTop w:val="0"/>
          <w:marBottom w:val="0"/>
          <w:divBdr>
            <w:top w:val="none" w:sz="0" w:space="0" w:color="auto"/>
            <w:left w:val="none" w:sz="0" w:space="0" w:color="auto"/>
            <w:bottom w:val="none" w:sz="0" w:space="0" w:color="auto"/>
            <w:right w:val="none" w:sz="0" w:space="0" w:color="auto"/>
          </w:divBdr>
        </w:div>
        <w:div w:id="1306854435">
          <w:marLeft w:val="480"/>
          <w:marRight w:val="0"/>
          <w:marTop w:val="0"/>
          <w:marBottom w:val="0"/>
          <w:divBdr>
            <w:top w:val="none" w:sz="0" w:space="0" w:color="auto"/>
            <w:left w:val="none" w:sz="0" w:space="0" w:color="auto"/>
            <w:bottom w:val="none" w:sz="0" w:space="0" w:color="auto"/>
            <w:right w:val="none" w:sz="0" w:space="0" w:color="auto"/>
          </w:divBdr>
        </w:div>
        <w:div w:id="811558039">
          <w:marLeft w:val="480"/>
          <w:marRight w:val="0"/>
          <w:marTop w:val="0"/>
          <w:marBottom w:val="0"/>
          <w:divBdr>
            <w:top w:val="none" w:sz="0" w:space="0" w:color="auto"/>
            <w:left w:val="none" w:sz="0" w:space="0" w:color="auto"/>
            <w:bottom w:val="none" w:sz="0" w:space="0" w:color="auto"/>
            <w:right w:val="none" w:sz="0" w:space="0" w:color="auto"/>
          </w:divBdr>
        </w:div>
        <w:div w:id="884876276">
          <w:marLeft w:val="480"/>
          <w:marRight w:val="0"/>
          <w:marTop w:val="0"/>
          <w:marBottom w:val="0"/>
          <w:divBdr>
            <w:top w:val="none" w:sz="0" w:space="0" w:color="auto"/>
            <w:left w:val="none" w:sz="0" w:space="0" w:color="auto"/>
            <w:bottom w:val="none" w:sz="0" w:space="0" w:color="auto"/>
            <w:right w:val="none" w:sz="0" w:space="0" w:color="auto"/>
          </w:divBdr>
        </w:div>
        <w:div w:id="497577813">
          <w:marLeft w:val="480"/>
          <w:marRight w:val="0"/>
          <w:marTop w:val="0"/>
          <w:marBottom w:val="0"/>
          <w:divBdr>
            <w:top w:val="none" w:sz="0" w:space="0" w:color="auto"/>
            <w:left w:val="none" w:sz="0" w:space="0" w:color="auto"/>
            <w:bottom w:val="none" w:sz="0" w:space="0" w:color="auto"/>
            <w:right w:val="none" w:sz="0" w:space="0" w:color="auto"/>
          </w:divBdr>
        </w:div>
        <w:div w:id="225263407">
          <w:marLeft w:val="480"/>
          <w:marRight w:val="0"/>
          <w:marTop w:val="0"/>
          <w:marBottom w:val="0"/>
          <w:divBdr>
            <w:top w:val="none" w:sz="0" w:space="0" w:color="auto"/>
            <w:left w:val="none" w:sz="0" w:space="0" w:color="auto"/>
            <w:bottom w:val="none" w:sz="0" w:space="0" w:color="auto"/>
            <w:right w:val="none" w:sz="0" w:space="0" w:color="auto"/>
          </w:divBdr>
        </w:div>
        <w:div w:id="1140271897">
          <w:marLeft w:val="480"/>
          <w:marRight w:val="0"/>
          <w:marTop w:val="0"/>
          <w:marBottom w:val="0"/>
          <w:divBdr>
            <w:top w:val="none" w:sz="0" w:space="0" w:color="auto"/>
            <w:left w:val="none" w:sz="0" w:space="0" w:color="auto"/>
            <w:bottom w:val="none" w:sz="0" w:space="0" w:color="auto"/>
            <w:right w:val="none" w:sz="0" w:space="0" w:color="auto"/>
          </w:divBdr>
        </w:div>
        <w:div w:id="1580671503">
          <w:marLeft w:val="480"/>
          <w:marRight w:val="0"/>
          <w:marTop w:val="0"/>
          <w:marBottom w:val="0"/>
          <w:divBdr>
            <w:top w:val="none" w:sz="0" w:space="0" w:color="auto"/>
            <w:left w:val="none" w:sz="0" w:space="0" w:color="auto"/>
            <w:bottom w:val="none" w:sz="0" w:space="0" w:color="auto"/>
            <w:right w:val="none" w:sz="0" w:space="0" w:color="auto"/>
          </w:divBdr>
        </w:div>
        <w:div w:id="1421095758">
          <w:marLeft w:val="480"/>
          <w:marRight w:val="0"/>
          <w:marTop w:val="0"/>
          <w:marBottom w:val="0"/>
          <w:divBdr>
            <w:top w:val="none" w:sz="0" w:space="0" w:color="auto"/>
            <w:left w:val="none" w:sz="0" w:space="0" w:color="auto"/>
            <w:bottom w:val="none" w:sz="0" w:space="0" w:color="auto"/>
            <w:right w:val="none" w:sz="0" w:space="0" w:color="auto"/>
          </w:divBdr>
        </w:div>
        <w:div w:id="843790045">
          <w:marLeft w:val="480"/>
          <w:marRight w:val="0"/>
          <w:marTop w:val="0"/>
          <w:marBottom w:val="0"/>
          <w:divBdr>
            <w:top w:val="none" w:sz="0" w:space="0" w:color="auto"/>
            <w:left w:val="none" w:sz="0" w:space="0" w:color="auto"/>
            <w:bottom w:val="none" w:sz="0" w:space="0" w:color="auto"/>
            <w:right w:val="none" w:sz="0" w:space="0" w:color="auto"/>
          </w:divBdr>
        </w:div>
        <w:div w:id="1197692140">
          <w:marLeft w:val="480"/>
          <w:marRight w:val="0"/>
          <w:marTop w:val="0"/>
          <w:marBottom w:val="0"/>
          <w:divBdr>
            <w:top w:val="none" w:sz="0" w:space="0" w:color="auto"/>
            <w:left w:val="none" w:sz="0" w:space="0" w:color="auto"/>
            <w:bottom w:val="none" w:sz="0" w:space="0" w:color="auto"/>
            <w:right w:val="none" w:sz="0" w:space="0" w:color="auto"/>
          </w:divBdr>
        </w:div>
        <w:div w:id="789711032">
          <w:marLeft w:val="480"/>
          <w:marRight w:val="0"/>
          <w:marTop w:val="0"/>
          <w:marBottom w:val="0"/>
          <w:divBdr>
            <w:top w:val="none" w:sz="0" w:space="0" w:color="auto"/>
            <w:left w:val="none" w:sz="0" w:space="0" w:color="auto"/>
            <w:bottom w:val="none" w:sz="0" w:space="0" w:color="auto"/>
            <w:right w:val="none" w:sz="0" w:space="0" w:color="auto"/>
          </w:divBdr>
        </w:div>
        <w:div w:id="748309718">
          <w:marLeft w:val="480"/>
          <w:marRight w:val="0"/>
          <w:marTop w:val="0"/>
          <w:marBottom w:val="0"/>
          <w:divBdr>
            <w:top w:val="none" w:sz="0" w:space="0" w:color="auto"/>
            <w:left w:val="none" w:sz="0" w:space="0" w:color="auto"/>
            <w:bottom w:val="none" w:sz="0" w:space="0" w:color="auto"/>
            <w:right w:val="none" w:sz="0" w:space="0" w:color="auto"/>
          </w:divBdr>
        </w:div>
        <w:div w:id="1910456431">
          <w:marLeft w:val="480"/>
          <w:marRight w:val="0"/>
          <w:marTop w:val="0"/>
          <w:marBottom w:val="0"/>
          <w:divBdr>
            <w:top w:val="none" w:sz="0" w:space="0" w:color="auto"/>
            <w:left w:val="none" w:sz="0" w:space="0" w:color="auto"/>
            <w:bottom w:val="none" w:sz="0" w:space="0" w:color="auto"/>
            <w:right w:val="none" w:sz="0" w:space="0" w:color="auto"/>
          </w:divBdr>
        </w:div>
        <w:div w:id="82186109">
          <w:marLeft w:val="480"/>
          <w:marRight w:val="0"/>
          <w:marTop w:val="0"/>
          <w:marBottom w:val="0"/>
          <w:divBdr>
            <w:top w:val="none" w:sz="0" w:space="0" w:color="auto"/>
            <w:left w:val="none" w:sz="0" w:space="0" w:color="auto"/>
            <w:bottom w:val="none" w:sz="0" w:space="0" w:color="auto"/>
            <w:right w:val="none" w:sz="0" w:space="0" w:color="auto"/>
          </w:divBdr>
        </w:div>
        <w:div w:id="896014510">
          <w:marLeft w:val="480"/>
          <w:marRight w:val="0"/>
          <w:marTop w:val="0"/>
          <w:marBottom w:val="0"/>
          <w:divBdr>
            <w:top w:val="none" w:sz="0" w:space="0" w:color="auto"/>
            <w:left w:val="none" w:sz="0" w:space="0" w:color="auto"/>
            <w:bottom w:val="none" w:sz="0" w:space="0" w:color="auto"/>
            <w:right w:val="none" w:sz="0" w:space="0" w:color="auto"/>
          </w:divBdr>
        </w:div>
        <w:div w:id="558634809">
          <w:marLeft w:val="480"/>
          <w:marRight w:val="0"/>
          <w:marTop w:val="0"/>
          <w:marBottom w:val="0"/>
          <w:divBdr>
            <w:top w:val="none" w:sz="0" w:space="0" w:color="auto"/>
            <w:left w:val="none" w:sz="0" w:space="0" w:color="auto"/>
            <w:bottom w:val="none" w:sz="0" w:space="0" w:color="auto"/>
            <w:right w:val="none" w:sz="0" w:space="0" w:color="auto"/>
          </w:divBdr>
        </w:div>
        <w:div w:id="543640401">
          <w:marLeft w:val="480"/>
          <w:marRight w:val="0"/>
          <w:marTop w:val="0"/>
          <w:marBottom w:val="0"/>
          <w:divBdr>
            <w:top w:val="none" w:sz="0" w:space="0" w:color="auto"/>
            <w:left w:val="none" w:sz="0" w:space="0" w:color="auto"/>
            <w:bottom w:val="none" w:sz="0" w:space="0" w:color="auto"/>
            <w:right w:val="none" w:sz="0" w:space="0" w:color="auto"/>
          </w:divBdr>
        </w:div>
      </w:divsChild>
    </w:div>
    <w:div w:id="358360572">
      <w:bodyDiv w:val="1"/>
      <w:marLeft w:val="0"/>
      <w:marRight w:val="0"/>
      <w:marTop w:val="0"/>
      <w:marBottom w:val="0"/>
      <w:divBdr>
        <w:top w:val="none" w:sz="0" w:space="0" w:color="auto"/>
        <w:left w:val="none" w:sz="0" w:space="0" w:color="auto"/>
        <w:bottom w:val="none" w:sz="0" w:space="0" w:color="auto"/>
        <w:right w:val="none" w:sz="0" w:space="0" w:color="auto"/>
      </w:divBdr>
    </w:div>
    <w:div w:id="358626574">
      <w:bodyDiv w:val="1"/>
      <w:marLeft w:val="0"/>
      <w:marRight w:val="0"/>
      <w:marTop w:val="0"/>
      <w:marBottom w:val="0"/>
      <w:divBdr>
        <w:top w:val="none" w:sz="0" w:space="0" w:color="auto"/>
        <w:left w:val="none" w:sz="0" w:space="0" w:color="auto"/>
        <w:bottom w:val="none" w:sz="0" w:space="0" w:color="auto"/>
        <w:right w:val="none" w:sz="0" w:space="0" w:color="auto"/>
      </w:divBdr>
    </w:div>
    <w:div w:id="359166700">
      <w:bodyDiv w:val="1"/>
      <w:marLeft w:val="0"/>
      <w:marRight w:val="0"/>
      <w:marTop w:val="0"/>
      <w:marBottom w:val="0"/>
      <w:divBdr>
        <w:top w:val="none" w:sz="0" w:space="0" w:color="auto"/>
        <w:left w:val="none" w:sz="0" w:space="0" w:color="auto"/>
        <w:bottom w:val="none" w:sz="0" w:space="0" w:color="auto"/>
        <w:right w:val="none" w:sz="0" w:space="0" w:color="auto"/>
      </w:divBdr>
    </w:div>
    <w:div w:id="359865228">
      <w:bodyDiv w:val="1"/>
      <w:marLeft w:val="0"/>
      <w:marRight w:val="0"/>
      <w:marTop w:val="0"/>
      <w:marBottom w:val="0"/>
      <w:divBdr>
        <w:top w:val="none" w:sz="0" w:space="0" w:color="auto"/>
        <w:left w:val="none" w:sz="0" w:space="0" w:color="auto"/>
        <w:bottom w:val="none" w:sz="0" w:space="0" w:color="auto"/>
        <w:right w:val="none" w:sz="0" w:space="0" w:color="auto"/>
      </w:divBdr>
    </w:div>
    <w:div w:id="360785832">
      <w:bodyDiv w:val="1"/>
      <w:marLeft w:val="0"/>
      <w:marRight w:val="0"/>
      <w:marTop w:val="0"/>
      <w:marBottom w:val="0"/>
      <w:divBdr>
        <w:top w:val="none" w:sz="0" w:space="0" w:color="auto"/>
        <w:left w:val="none" w:sz="0" w:space="0" w:color="auto"/>
        <w:bottom w:val="none" w:sz="0" w:space="0" w:color="auto"/>
        <w:right w:val="none" w:sz="0" w:space="0" w:color="auto"/>
      </w:divBdr>
    </w:div>
    <w:div w:id="361131237">
      <w:bodyDiv w:val="1"/>
      <w:marLeft w:val="0"/>
      <w:marRight w:val="0"/>
      <w:marTop w:val="0"/>
      <w:marBottom w:val="0"/>
      <w:divBdr>
        <w:top w:val="none" w:sz="0" w:space="0" w:color="auto"/>
        <w:left w:val="none" w:sz="0" w:space="0" w:color="auto"/>
        <w:bottom w:val="none" w:sz="0" w:space="0" w:color="auto"/>
        <w:right w:val="none" w:sz="0" w:space="0" w:color="auto"/>
      </w:divBdr>
    </w:div>
    <w:div w:id="361367066">
      <w:bodyDiv w:val="1"/>
      <w:marLeft w:val="0"/>
      <w:marRight w:val="0"/>
      <w:marTop w:val="0"/>
      <w:marBottom w:val="0"/>
      <w:divBdr>
        <w:top w:val="none" w:sz="0" w:space="0" w:color="auto"/>
        <w:left w:val="none" w:sz="0" w:space="0" w:color="auto"/>
        <w:bottom w:val="none" w:sz="0" w:space="0" w:color="auto"/>
        <w:right w:val="none" w:sz="0" w:space="0" w:color="auto"/>
      </w:divBdr>
    </w:div>
    <w:div w:id="361636015">
      <w:bodyDiv w:val="1"/>
      <w:marLeft w:val="0"/>
      <w:marRight w:val="0"/>
      <w:marTop w:val="0"/>
      <w:marBottom w:val="0"/>
      <w:divBdr>
        <w:top w:val="none" w:sz="0" w:space="0" w:color="auto"/>
        <w:left w:val="none" w:sz="0" w:space="0" w:color="auto"/>
        <w:bottom w:val="none" w:sz="0" w:space="0" w:color="auto"/>
        <w:right w:val="none" w:sz="0" w:space="0" w:color="auto"/>
      </w:divBdr>
    </w:div>
    <w:div w:id="362294670">
      <w:bodyDiv w:val="1"/>
      <w:marLeft w:val="0"/>
      <w:marRight w:val="0"/>
      <w:marTop w:val="0"/>
      <w:marBottom w:val="0"/>
      <w:divBdr>
        <w:top w:val="none" w:sz="0" w:space="0" w:color="auto"/>
        <w:left w:val="none" w:sz="0" w:space="0" w:color="auto"/>
        <w:bottom w:val="none" w:sz="0" w:space="0" w:color="auto"/>
        <w:right w:val="none" w:sz="0" w:space="0" w:color="auto"/>
      </w:divBdr>
    </w:div>
    <w:div w:id="362753297">
      <w:bodyDiv w:val="1"/>
      <w:marLeft w:val="0"/>
      <w:marRight w:val="0"/>
      <w:marTop w:val="0"/>
      <w:marBottom w:val="0"/>
      <w:divBdr>
        <w:top w:val="none" w:sz="0" w:space="0" w:color="auto"/>
        <w:left w:val="none" w:sz="0" w:space="0" w:color="auto"/>
        <w:bottom w:val="none" w:sz="0" w:space="0" w:color="auto"/>
        <w:right w:val="none" w:sz="0" w:space="0" w:color="auto"/>
      </w:divBdr>
    </w:div>
    <w:div w:id="363101292">
      <w:bodyDiv w:val="1"/>
      <w:marLeft w:val="0"/>
      <w:marRight w:val="0"/>
      <w:marTop w:val="0"/>
      <w:marBottom w:val="0"/>
      <w:divBdr>
        <w:top w:val="none" w:sz="0" w:space="0" w:color="auto"/>
        <w:left w:val="none" w:sz="0" w:space="0" w:color="auto"/>
        <w:bottom w:val="none" w:sz="0" w:space="0" w:color="auto"/>
        <w:right w:val="none" w:sz="0" w:space="0" w:color="auto"/>
      </w:divBdr>
    </w:div>
    <w:div w:id="363218229">
      <w:bodyDiv w:val="1"/>
      <w:marLeft w:val="0"/>
      <w:marRight w:val="0"/>
      <w:marTop w:val="0"/>
      <w:marBottom w:val="0"/>
      <w:divBdr>
        <w:top w:val="none" w:sz="0" w:space="0" w:color="auto"/>
        <w:left w:val="none" w:sz="0" w:space="0" w:color="auto"/>
        <w:bottom w:val="none" w:sz="0" w:space="0" w:color="auto"/>
        <w:right w:val="none" w:sz="0" w:space="0" w:color="auto"/>
      </w:divBdr>
    </w:div>
    <w:div w:id="364599932">
      <w:bodyDiv w:val="1"/>
      <w:marLeft w:val="0"/>
      <w:marRight w:val="0"/>
      <w:marTop w:val="0"/>
      <w:marBottom w:val="0"/>
      <w:divBdr>
        <w:top w:val="none" w:sz="0" w:space="0" w:color="auto"/>
        <w:left w:val="none" w:sz="0" w:space="0" w:color="auto"/>
        <w:bottom w:val="none" w:sz="0" w:space="0" w:color="auto"/>
        <w:right w:val="none" w:sz="0" w:space="0" w:color="auto"/>
      </w:divBdr>
    </w:div>
    <w:div w:id="364987646">
      <w:bodyDiv w:val="1"/>
      <w:marLeft w:val="0"/>
      <w:marRight w:val="0"/>
      <w:marTop w:val="0"/>
      <w:marBottom w:val="0"/>
      <w:divBdr>
        <w:top w:val="none" w:sz="0" w:space="0" w:color="auto"/>
        <w:left w:val="none" w:sz="0" w:space="0" w:color="auto"/>
        <w:bottom w:val="none" w:sz="0" w:space="0" w:color="auto"/>
        <w:right w:val="none" w:sz="0" w:space="0" w:color="auto"/>
      </w:divBdr>
    </w:div>
    <w:div w:id="365525744">
      <w:bodyDiv w:val="1"/>
      <w:marLeft w:val="0"/>
      <w:marRight w:val="0"/>
      <w:marTop w:val="0"/>
      <w:marBottom w:val="0"/>
      <w:divBdr>
        <w:top w:val="none" w:sz="0" w:space="0" w:color="auto"/>
        <w:left w:val="none" w:sz="0" w:space="0" w:color="auto"/>
        <w:bottom w:val="none" w:sz="0" w:space="0" w:color="auto"/>
        <w:right w:val="none" w:sz="0" w:space="0" w:color="auto"/>
      </w:divBdr>
    </w:div>
    <w:div w:id="365764125">
      <w:bodyDiv w:val="1"/>
      <w:marLeft w:val="0"/>
      <w:marRight w:val="0"/>
      <w:marTop w:val="0"/>
      <w:marBottom w:val="0"/>
      <w:divBdr>
        <w:top w:val="none" w:sz="0" w:space="0" w:color="auto"/>
        <w:left w:val="none" w:sz="0" w:space="0" w:color="auto"/>
        <w:bottom w:val="none" w:sz="0" w:space="0" w:color="auto"/>
        <w:right w:val="none" w:sz="0" w:space="0" w:color="auto"/>
      </w:divBdr>
    </w:div>
    <w:div w:id="366299691">
      <w:bodyDiv w:val="1"/>
      <w:marLeft w:val="0"/>
      <w:marRight w:val="0"/>
      <w:marTop w:val="0"/>
      <w:marBottom w:val="0"/>
      <w:divBdr>
        <w:top w:val="none" w:sz="0" w:space="0" w:color="auto"/>
        <w:left w:val="none" w:sz="0" w:space="0" w:color="auto"/>
        <w:bottom w:val="none" w:sz="0" w:space="0" w:color="auto"/>
        <w:right w:val="none" w:sz="0" w:space="0" w:color="auto"/>
      </w:divBdr>
    </w:div>
    <w:div w:id="367141214">
      <w:bodyDiv w:val="1"/>
      <w:marLeft w:val="0"/>
      <w:marRight w:val="0"/>
      <w:marTop w:val="0"/>
      <w:marBottom w:val="0"/>
      <w:divBdr>
        <w:top w:val="none" w:sz="0" w:space="0" w:color="auto"/>
        <w:left w:val="none" w:sz="0" w:space="0" w:color="auto"/>
        <w:bottom w:val="none" w:sz="0" w:space="0" w:color="auto"/>
        <w:right w:val="none" w:sz="0" w:space="0" w:color="auto"/>
      </w:divBdr>
    </w:div>
    <w:div w:id="367221631">
      <w:bodyDiv w:val="1"/>
      <w:marLeft w:val="0"/>
      <w:marRight w:val="0"/>
      <w:marTop w:val="0"/>
      <w:marBottom w:val="0"/>
      <w:divBdr>
        <w:top w:val="none" w:sz="0" w:space="0" w:color="auto"/>
        <w:left w:val="none" w:sz="0" w:space="0" w:color="auto"/>
        <w:bottom w:val="none" w:sz="0" w:space="0" w:color="auto"/>
        <w:right w:val="none" w:sz="0" w:space="0" w:color="auto"/>
      </w:divBdr>
    </w:div>
    <w:div w:id="367339209">
      <w:bodyDiv w:val="1"/>
      <w:marLeft w:val="0"/>
      <w:marRight w:val="0"/>
      <w:marTop w:val="0"/>
      <w:marBottom w:val="0"/>
      <w:divBdr>
        <w:top w:val="none" w:sz="0" w:space="0" w:color="auto"/>
        <w:left w:val="none" w:sz="0" w:space="0" w:color="auto"/>
        <w:bottom w:val="none" w:sz="0" w:space="0" w:color="auto"/>
        <w:right w:val="none" w:sz="0" w:space="0" w:color="auto"/>
      </w:divBdr>
    </w:div>
    <w:div w:id="367729993">
      <w:bodyDiv w:val="1"/>
      <w:marLeft w:val="0"/>
      <w:marRight w:val="0"/>
      <w:marTop w:val="0"/>
      <w:marBottom w:val="0"/>
      <w:divBdr>
        <w:top w:val="none" w:sz="0" w:space="0" w:color="auto"/>
        <w:left w:val="none" w:sz="0" w:space="0" w:color="auto"/>
        <w:bottom w:val="none" w:sz="0" w:space="0" w:color="auto"/>
        <w:right w:val="none" w:sz="0" w:space="0" w:color="auto"/>
      </w:divBdr>
    </w:div>
    <w:div w:id="367951806">
      <w:bodyDiv w:val="1"/>
      <w:marLeft w:val="0"/>
      <w:marRight w:val="0"/>
      <w:marTop w:val="0"/>
      <w:marBottom w:val="0"/>
      <w:divBdr>
        <w:top w:val="none" w:sz="0" w:space="0" w:color="auto"/>
        <w:left w:val="none" w:sz="0" w:space="0" w:color="auto"/>
        <w:bottom w:val="none" w:sz="0" w:space="0" w:color="auto"/>
        <w:right w:val="none" w:sz="0" w:space="0" w:color="auto"/>
      </w:divBdr>
    </w:div>
    <w:div w:id="368653517">
      <w:bodyDiv w:val="1"/>
      <w:marLeft w:val="0"/>
      <w:marRight w:val="0"/>
      <w:marTop w:val="0"/>
      <w:marBottom w:val="0"/>
      <w:divBdr>
        <w:top w:val="none" w:sz="0" w:space="0" w:color="auto"/>
        <w:left w:val="none" w:sz="0" w:space="0" w:color="auto"/>
        <w:bottom w:val="none" w:sz="0" w:space="0" w:color="auto"/>
        <w:right w:val="none" w:sz="0" w:space="0" w:color="auto"/>
      </w:divBdr>
    </w:div>
    <w:div w:id="369574327">
      <w:bodyDiv w:val="1"/>
      <w:marLeft w:val="0"/>
      <w:marRight w:val="0"/>
      <w:marTop w:val="0"/>
      <w:marBottom w:val="0"/>
      <w:divBdr>
        <w:top w:val="none" w:sz="0" w:space="0" w:color="auto"/>
        <w:left w:val="none" w:sz="0" w:space="0" w:color="auto"/>
        <w:bottom w:val="none" w:sz="0" w:space="0" w:color="auto"/>
        <w:right w:val="none" w:sz="0" w:space="0" w:color="auto"/>
      </w:divBdr>
    </w:div>
    <w:div w:id="370032535">
      <w:bodyDiv w:val="1"/>
      <w:marLeft w:val="0"/>
      <w:marRight w:val="0"/>
      <w:marTop w:val="0"/>
      <w:marBottom w:val="0"/>
      <w:divBdr>
        <w:top w:val="none" w:sz="0" w:space="0" w:color="auto"/>
        <w:left w:val="none" w:sz="0" w:space="0" w:color="auto"/>
        <w:bottom w:val="none" w:sz="0" w:space="0" w:color="auto"/>
        <w:right w:val="none" w:sz="0" w:space="0" w:color="auto"/>
      </w:divBdr>
    </w:div>
    <w:div w:id="371002025">
      <w:bodyDiv w:val="1"/>
      <w:marLeft w:val="0"/>
      <w:marRight w:val="0"/>
      <w:marTop w:val="0"/>
      <w:marBottom w:val="0"/>
      <w:divBdr>
        <w:top w:val="none" w:sz="0" w:space="0" w:color="auto"/>
        <w:left w:val="none" w:sz="0" w:space="0" w:color="auto"/>
        <w:bottom w:val="none" w:sz="0" w:space="0" w:color="auto"/>
        <w:right w:val="none" w:sz="0" w:space="0" w:color="auto"/>
      </w:divBdr>
    </w:div>
    <w:div w:id="371467281">
      <w:bodyDiv w:val="1"/>
      <w:marLeft w:val="0"/>
      <w:marRight w:val="0"/>
      <w:marTop w:val="0"/>
      <w:marBottom w:val="0"/>
      <w:divBdr>
        <w:top w:val="none" w:sz="0" w:space="0" w:color="auto"/>
        <w:left w:val="none" w:sz="0" w:space="0" w:color="auto"/>
        <w:bottom w:val="none" w:sz="0" w:space="0" w:color="auto"/>
        <w:right w:val="none" w:sz="0" w:space="0" w:color="auto"/>
      </w:divBdr>
    </w:div>
    <w:div w:id="372000182">
      <w:bodyDiv w:val="1"/>
      <w:marLeft w:val="0"/>
      <w:marRight w:val="0"/>
      <w:marTop w:val="0"/>
      <w:marBottom w:val="0"/>
      <w:divBdr>
        <w:top w:val="none" w:sz="0" w:space="0" w:color="auto"/>
        <w:left w:val="none" w:sz="0" w:space="0" w:color="auto"/>
        <w:bottom w:val="none" w:sz="0" w:space="0" w:color="auto"/>
        <w:right w:val="none" w:sz="0" w:space="0" w:color="auto"/>
      </w:divBdr>
    </w:div>
    <w:div w:id="372115984">
      <w:bodyDiv w:val="1"/>
      <w:marLeft w:val="0"/>
      <w:marRight w:val="0"/>
      <w:marTop w:val="0"/>
      <w:marBottom w:val="0"/>
      <w:divBdr>
        <w:top w:val="none" w:sz="0" w:space="0" w:color="auto"/>
        <w:left w:val="none" w:sz="0" w:space="0" w:color="auto"/>
        <w:bottom w:val="none" w:sz="0" w:space="0" w:color="auto"/>
        <w:right w:val="none" w:sz="0" w:space="0" w:color="auto"/>
      </w:divBdr>
    </w:div>
    <w:div w:id="372775155">
      <w:bodyDiv w:val="1"/>
      <w:marLeft w:val="0"/>
      <w:marRight w:val="0"/>
      <w:marTop w:val="0"/>
      <w:marBottom w:val="0"/>
      <w:divBdr>
        <w:top w:val="none" w:sz="0" w:space="0" w:color="auto"/>
        <w:left w:val="none" w:sz="0" w:space="0" w:color="auto"/>
        <w:bottom w:val="none" w:sz="0" w:space="0" w:color="auto"/>
        <w:right w:val="none" w:sz="0" w:space="0" w:color="auto"/>
      </w:divBdr>
    </w:div>
    <w:div w:id="372778400">
      <w:bodyDiv w:val="1"/>
      <w:marLeft w:val="0"/>
      <w:marRight w:val="0"/>
      <w:marTop w:val="0"/>
      <w:marBottom w:val="0"/>
      <w:divBdr>
        <w:top w:val="none" w:sz="0" w:space="0" w:color="auto"/>
        <w:left w:val="none" w:sz="0" w:space="0" w:color="auto"/>
        <w:bottom w:val="none" w:sz="0" w:space="0" w:color="auto"/>
        <w:right w:val="none" w:sz="0" w:space="0" w:color="auto"/>
      </w:divBdr>
    </w:div>
    <w:div w:id="373625782">
      <w:bodyDiv w:val="1"/>
      <w:marLeft w:val="0"/>
      <w:marRight w:val="0"/>
      <w:marTop w:val="0"/>
      <w:marBottom w:val="0"/>
      <w:divBdr>
        <w:top w:val="none" w:sz="0" w:space="0" w:color="auto"/>
        <w:left w:val="none" w:sz="0" w:space="0" w:color="auto"/>
        <w:bottom w:val="none" w:sz="0" w:space="0" w:color="auto"/>
        <w:right w:val="none" w:sz="0" w:space="0" w:color="auto"/>
      </w:divBdr>
    </w:div>
    <w:div w:id="373889306">
      <w:bodyDiv w:val="1"/>
      <w:marLeft w:val="0"/>
      <w:marRight w:val="0"/>
      <w:marTop w:val="0"/>
      <w:marBottom w:val="0"/>
      <w:divBdr>
        <w:top w:val="none" w:sz="0" w:space="0" w:color="auto"/>
        <w:left w:val="none" w:sz="0" w:space="0" w:color="auto"/>
        <w:bottom w:val="none" w:sz="0" w:space="0" w:color="auto"/>
        <w:right w:val="none" w:sz="0" w:space="0" w:color="auto"/>
      </w:divBdr>
    </w:div>
    <w:div w:id="373968687">
      <w:bodyDiv w:val="1"/>
      <w:marLeft w:val="0"/>
      <w:marRight w:val="0"/>
      <w:marTop w:val="0"/>
      <w:marBottom w:val="0"/>
      <w:divBdr>
        <w:top w:val="none" w:sz="0" w:space="0" w:color="auto"/>
        <w:left w:val="none" w:sz="0" w:space="0" w:color="auto"/>
        <w:bottom w:val="none" w:sz="0" w:space="0" w:color="auto"/>
        <w:right w:val="none" w:sz="0" w:space="0" w:color="auto"/>
      </w:divBdr>
    </w:div>
    <w:div w:id="374432345">
      <w:bodyDiv w:val="1"/>
      <w:marLeft w:val="0"/>
      <w:marRight w:val="0"/>
      <w:marTop w:val="0"/>
      <w:marBottom w:val="0"/>
      <w:divBdr>
        <w:top w:val="none" w:sz="0" w:space="0" w:color="auto"/>
        <w:left w:val="none" w:sz="0" w:space="0" w:color="auto"/>
        <w:bottom w:val="none" w:sz="0" w:space="0" w:color="auto"/>
        <w:right w:val="none" w:sz="0" w:space="0" w:color="auto"/>
      </w:divBdr>
    </w:div>
    <w:div w:id="374740550">
      <w:bodyDiv w:val="1"/>
      <w:marLeft w:val="0"/>
      <w:marRight w:val="0"/>
      <w:marTop w:val="0"/>
      <w:marBottom w:val="0"/>
      <w:divBdr>
        <w:top w:val="none" w:sz="0" w:space="0" w:color="auto"/>
        <w:left w:val="none" w:sz="0" w:space="0" w:color="auto"/>
        <w:bottom w:val="none" w:sz="0" w:space="0" w:color="auto"/>
        <w:right w:val="none" w:sz="0" w:space="0" w:color="auto"/>
      </w:divBdr>
    </w:div>
    <w:div w:id="375352981">
      <w:bodyDiv w:val="1"/>
      <w:marLeft w:val="0"/>
      <w:marRight w:val="0"/>
      <w:marTop w:val="0"/>
      <w:marBottom w:val="0"/>
      <w:divBdr>
        <w:top w:val="none" w:sz="0" w:space="0" w:color="auto"/>
        <w:left w:val="none" w:sz="0" w:space="0" w:color="auto"/>
        <w:bottom w:val="none" w:sz="0" w:space="0" w:color="auto"/>
        <w:right w:val="none" w:sz="0" w:space="0" w:color="auto"/>
      </w:divBdr>
    </w:div>
    <w:div w:id="375857986">
      <w:bodyDiv w:val="1"/>
      <w:marLeft w:val="0"/>
      <w:marRight w:val="0"/>
      <w:marTop w:val="0"/>
      <w:marBottom w:val="0"/>
      <w:divBdr>
        <w:top w:val="none" w:sz="0" w:space="0" w:color="auto"/>
        <w:left w:val="none" w:sz="0" w:space="0" w:color="auto"/>
        <w:bottom w:val="none" w:sz="0" w:space="0" w:color="auto"/>
        <w:right w:val="none" w:sz="0" w:space="0" w:color="auto"/>
      </w:divBdr>
    </w:div>
    <w:div w:id="377362317">
      <w:bodyDiv w:val="1"/>
      <w:marLeft w:val="0"/>
      <w:marRight w:val="0"/>
      <w:marTop w:val="0"/>
      <w:marBottom w:val="0"/>
      <w:divBdr>
        <w:top w:val="none" w:sz="0" w:space="0" w:color="auto"/>
        <w:left w:val="none" w:sz="0" w:space="0" w:color="auto"/>
        <w:bottom w:val="none" w:sz="0" w:space="0" w:color="auto"/>
        <w:right w:val="none" w:sz="0" w:space="0" w:color="auto"/>
      </w:divBdr>
    </w:div>
    <w:div w:id="378358067">
      <w:bodyDiv w:val="1"/>
      <w:marLeft w:val="0"/>
      <w:marRight w:val="0"/>
      <w:marTop w:val="0"/>
      <w:marBottom w:val="0"/>
      <w:divBdr>
        <w:top w:val="none" w:sz="0" w:space="0" w:color="auto"/>
        <w:left w:val="none" w:sz="0" w:space="0" w:color="auto"/>
        <w:bottom w:val="none" w:sz="0" w:space="0" w:color="auto"/>
        <w:right w:val="none" w:sz="0" w:space="0" w:color="auto"/>
      </w:divBdr>
    </w:div>
    <w:div w:id="379401206">
      <w:bodyDiv w:val="1"/>
      <w:marLeft w:val="0"/>
      <w:marRight w:val="0"/>
      <w:marTop w:val="0"/>
      <w:marBottom w:val="0"/>
      <w:divBdr>
        <w:top w:val="none" w:sz="0" w:space="0" w:color="auto"/>
        <w:left w:val="none" w:sz="0" w:space="0" w:color="auto"/>
        <w:bottom w:val="none" w:sz="0" w:space="0" w:color="auto"/>
        <w:right w:val="none" w:sz="0" w:space="0" w:color="auto"/>
      </w:divBdr>
    </w:div>
    <w:div w:id="379404594">
      <w:bodyDiv w:val="1"/>
      <w:marLeft w:val="0"/>
      <w:marRight w:val="0"/>
      <w:marTop w:val="0"/>
      <w:marBottom w:val="0"/>
      <w:divBdr>
        <w:top w:val="none" w:sz="0" w:space="0" w:color="auto"/>
        <w:left w:val="none" w:sz="0" w:space="0" w:color="auto"/>
        <w:bottom w:val="none" w:sz="0" w:space="0" w:color="auto"/>
        <w:right w:val="none" w:sz="0" w:space="0" w:color="auto"/>
      </w:divBdr>
    </w:div>
    <w:div w:id="380058109">
      <w:bodyDiv w:val="1"/>
      <w:marLeft w:val="0"/>
      <w:marRight w:val="0"/>
      <w:marTop w:val="0"/>
      <w:marBottom w:val="0"/>
      <w:divBdr>
        <w:top w:val="none" w:sz="0" w:space="0" w:color="auto"/>
        <w:left w:val="none" w:sz="0" w:space="0" w:color="auto"/>
        <w:bottom w:val="none" w:sz="0" w:space="0" w:color="auto"/>
        <w:right w:val="none" w:sz="0" w:space="0" w:color="auto"/>
      </w:divBdr>
    </w:div>
    <w:div w:id="380062267">
      <w:bodyDiv w:val="1"/>
      <w:marLeft w:val="0"/>
      <w:marRight w:val="0"/>
      <w:marTop w:val="0"/>
      <w:marBottom w:val="0"/>
      <w:divBdr>
        <w:top w:val="none" w:sz="0" w:space="0" w:color="auto"/>
        <w:left w:val="none" w:sz="0" w:space="0" w:color="auto"/>
        <w:bottom w:val="none" w:sz="0" w:space="0" w:color="auto"/>
        <w:right w:val="none" w:sz="0" w:space="0" w:color="auto"/>
      </w:divBdr>
    </w:div>
    <w:div w:id="381290947">
      <w:bodyDiv w:val="1"/>
      <w:marLeft w:val="0"/>
      <w:marRight w:val="0"/>
      <w:marTop w:val="0"/>
      <w:marBottom w:val="0"/>
      <w:divBdr>
        <w:top w:val="none" w:sz="0" w:space="0" w:color="auto"/>
        <w:left w:val="none" w:sz="0" w:space="0" w:color="auto"/>
        <w:bottom w:val="none" w:sz="0" w:space="0" w:color="auto"/>
        <w:right w:val="none" w:sz="0" w:space="0" w:color="auto"/>
      </w:divBdr>
    </w:div>
    <w:div w:id="382098823">
      <w:bodyDiv w:val="1"/>
      <w:marLeft w:val="0"/>
      <w:marRight w:val="0"/>
      <w:marTop w:val="0"/>
      <w:marBottom w:val="0"/>
      <w:divBdr>
        <w:top w:val="none" w:sz="0" w:space="0" w:color="auto"/>
        <w:left w:val="none" w:sz="0" w:space="0" w:color="auto"/>
        <w:bottom w:val="none" w:sz="0" w:space="0" w:color="auto"/>
        <w:right w:val="none" w:sz="0" w:space="0" w:color="auto"/>
      </w:divBdr>
    </w:div>
    <w:div w:id="382560443">
      <w:bodyDiv w:val="1"/>
      <w:marLeft w:val="0"/>
      <w:marRight w:val="0"/>
      <w:marTop w:val="0"/>
      <w:marBottom w:val="0"/>
      <w:divBdr>
        <w:top w:val="none" w:sz="0" w:space="0" w:color="auto"/>
        <w:left w:val="none" w:sz="0" w:space="0" w:color="auto"/>
        <w:bottom w:val="none" w:sz="0" w:space="0" w:color="auto"/>
        <w:right w:val="none" w:sz="0" w:space="0" w:color="auto"/>
      </w:divBdr>
    </w:div>
    <w:div w:id="383064981">
      <w:bodyDiv w:val="1"/>
      <w:marLeft w:val="0"/>
      <w:marRight w:val="0"/>
      <w:marTop w:val="0"/>
      <w:marBottom w:val="0"/>
      <w:divBdr>
        <w:top w:val="none" w:sz="0" w:space="0" w:color="auto"/>
        <w:left w:val="none" w:sz="0" w:space="0" w:color="auto"/>
        <w:bottom w:val="none" w:sz="0" w:space="0" w:color="auto"/>
        <w:right w:val="none" w:sz="0" w:space="0" w:color="auto"/>
      </w:divBdr>
    </w:div>
    <w:div w:id="384766462">
      <w:bodyDiv w:val="1"/>
      <w:marLeft w:val="0"/>
      <w:marRight w:val="0"/>
      <w:marTop w:val="0"/>
      <w:marBottom w:val="0"/>
      <w:divBdr>
        <w:top w:val="none" w:sz="0" w:space="0" w:color="auto"/>
        <w:left w:val="none" w:sz="0" w:space="0" w:color="auto"/>
        <w:bottom w:val="none" w:sz="0" w:space="0" w:color="auto"/>
        <w:right w:val="none" w:sz="0" w:space="0" w:color="auto"/>
      </w:divBdr>
    </w:div>
    <w:div w:id="385030627">
      <w:bodyDiv w:val="1"/>
      <w:marLeft w:val="0"/>
      <w:marRight w:val="0"/>
      <w:marTop w:val="0"/>
      <w:marBottom w:val="0"/>
      <w:divBdr>
        <w:top w:val="none" w:sz="0" w:space="0" w:color="auto"/>
        <w:left w:val="none" w:sz="0" w:space="0" w:color="auto"/>
        <w:bottom w:val="none" w:sz="0" w:space="0" w:color="auto"/>
        <w:right w:val="none" w:sz="0" w:space="0" w:color="auto"/>
      </w:divBdr>
    </w:div>
    <w:div w:id="385225466">
      <w:bodyDiv w:val="1"/>
      <w:marLeft w:val="0"/>
      <w:marRight w:val="0"/>
      <w:marTop w:val="0"/>
      <w:marBottom w:val="0"/>
      <w:divBdr>
        <w:top w:val="none" w:sz="0" w:space="0" w:color="auto"/>
        <w:left w:val="none" w:sz="0" w:space="0" w:color="auto"/>
        <w:bottom w:val="none" w:sz="0" w:space="0" w:color="auto"/>
        <w:right w:val="none" w:sz="0" w:space="0" w:color="auto"/>
      </w:divBdr>
    </w:div>
    <w:div w:id="386491471">
      <w:bodyDiv w:val="1"/>
      <w:marLeft w:val="0"/>
      <w:marRight w:val="0"/>
      <w:marTop w:val="0"/>
      <w:marBottom w:val="0"/>
      <w:divBdr>
        <w:top w:val="none" w:sz="0" w:space="0" w:color="auto"/>
        <w:left w:val="none" w:sz="0" w:space="0" w:color="auto"/>
        <w:bottom w:val="none" w:sz="0" w:space="0" w:color="auto"/>
        <w:right w:val="none" w:sz="0" w:space="0" w:color="auto"/>
      </w:divBdr>
    </w:div>
    <w:div w:id="387343164">
      <w:bodyDiv w:val="1"/>
      <w:marLeft w:val="0"/>
      <w:marRight w:val="0"/>
      <w:marTop w:val="0"/>
      <w:marBottom w:val="0"/>
      <w:divBdr>
        <w:top w:val="none" w:sz="0" w:space="0" w:color="auto"/>
        <w:left w:val="none" w:sz="0" w:space="0" w:color="auto"/>
        <w:bottom w:val="none" w:sz="0" w:space="0" w:color="auto"/>
        <w:right w:val="none" w:sz="0" w:space="0" w:color="auto"/>
      </w:divBdr>
    </w:div>
    <w:div w:id="387608052">
      <w:bodyDiv w:val="1"/>
      <w:marLeft w:val="0"/>
      <w:marRight w:val="0"/>
      <w:marTop w:val="0"/>
      <w:marBottom w:val="0"/>
      <w:divBdr>
        <w:top w:val="none" w:sz="0" w:space="0" w:color="auto"/>
        <w:left w:val="none" w:sz="0" w:space="0" w:color="auto"/>
        <w:bottom w:val="none" w:sz="0" w:space="0" w:color="auto"/>
        <w:right w:val="none" w:sz="0" w:space="0" w:color="auto"/>
      </w:divBdr>
    </w:div>
    <w:div w:id="387926069">
      <w:bodyDiv w:val="1"/>
      <w:marLeft w:val="0"/>
      <w:marRight w:val="0"/>
      <w:marTop w:val="0"/>
      <w:marBottom w:val="0"/>
      <w:divBdr>
        <w:top w:val="none" w:sz="0" w:space="0" w:color="auto"/>
        <w:left w:val="none" w:sz="0" w:space="0" w:color="auto"/>
        <w:bottom w:val="none" w:sz="0" w:space="0" w:color="auto"/>
        <w:right w:val="none" w:sz="0" w:space="0" w:color="auto"/>
      </w:divBdr>
    </w:div>
    <w:div w:id="388110438">
      <w:bodyDiv w:val="1"/>
      <w:marLeft w:val="0"/>
      <w:marRight w:val="0"/>
      <w:marTop w:val="0"/>
      <w:marBottom w:val="0"/>
      <w:divBdr>
        <w:top w:val="none" w:sz="0" w:space="0" w:color="auto"/>
        <w:left w:val="none" w:sz="0" w:space="0" w:color="auto"/>
        <w:bottom w:val="none" w:sz="0" w:space="0" w:color="auto"/>
        <w:right w:val="none" w:sz="0" w:space="0" w:color="auto"/>
      </w:divBdr>
    </w:div>
    <w:div w:id="388303938">
      <w:bodyDiv w:val="1"/>
      <w:marLeft w:val="0"/>
      <w:marRight w:val="0"/>
      <w:marTop w:val="0"/>
      <w:marBottom w:val="0"/>
      <w:divBdr>
        <w:top w:val="none" w:sz="0" w:space="0" w:color="auto"/>
        <w:left w:val="none" w:sz="0" w:space="0" w:color="auto"/>
        <w:bottom w:val="none" w:sz="0" w:space="0" w:color="auto"/>
        <w:right w:val="none" w:sz="0" w:space="0" w:color="auto"/>
      </w:divBdr>
    </w:div>
    <w:div w:id="388497517">
      <w:bodyDiv w:val="1"/>
      <w:marLeft w:val="0"/>
      <w:marRight w:val="0"/>
      <w:marTop w:val="0"/>
      <w:marBottom w:val="0"/>
      <w:divBdr>
        <w:top w:val="none" w:sz="0" w:space="0" w:color="auto"/>
        <w:left w:val="none" w:sz="0" w:space="0" w:color="auto"/>
        <w:bottom w:val="none" w:sz="0" w:space="0" w:color="auto"/>
        <w:right w:val="none" w:sz="0" w:space="0" w:color="auto"/>
      </w:divBdr>
    </w:div>
    <w:div w:id="389117579">
      <w:bodyDiv w:val="1"/>
      <w:marLeft w:val="0"/>
      <w:marRight w:val="0"/>
      <w:marTop w:val="0"/>
      <w:marBottom w:val="0"/>
      <w:divBdr>
        <w:top w:val="none" w:sz="0" w:space="0" w:color="auto"/>
        <w:left w:val="none" w:sz="0" w:space="0" w:color="auto"/>
        <w:bottom w:val="none" w:sz="0" w:space="0" w:color="auto"/>
        <w:right w:val="none" w:sz="0" w:space="0" w:color="auto"/>
      </w:divBdr>
    </w:div>
    <w:div w:id="390619288">
      <w:bodyDiv w:val="1"/>
      <w:marLeft w:val="0"/>
      <w:marRight w:val="0"/>
      <w:marTop w:val="0"/>
      <w:marBottom w:val="0"/>
      <w:divBdr>
        <w:top w:val="none" w:sz="0" w:space="0" w:color="auto"/>
        <w:left w:val="none" w:sz="0" w:space="0" w:color="auto"/>
        <w:bottom w:val="none" w:sz="0" w:space="0" w:color="auto"/>
        <w:right w:val="none" w:sz="0" w:space="0" w:color="auto"/>
      </w:divBdr>
    </w:div>
    <w:div w:id="391931025">
      <w:bodyDiv w:val="1"/>
      <w:marLeft w:val="0"/>
      <w:marRight w:val="0"/>
      <w:marTop w:val="0"/>
      <w:marBottom w:val="0"/>
      <w:divBdr>
        <w:top w:val="none" w:sz="0" w:space="0" w:color="auto"/>
        <w:left w:val="none" w:sz="0" w:space="0" w:color="auto"/>
        <w:bottom w:val="none" w:sz="0" w:space="0" w:color="auto"/>
        <w:right w:val="none" w:sz="0" w:space="0" w:color="auto"/>
      </w:divBdr>
    </w:div>
    <w:div w:id="392311378">
      <w:bodyDiv w:val="1"/>
      <w:marLeft w:val="0"/>
      <w:marRight w:val="0"/>
      <w:marTop w:val="0"/>
      <w:marBottom w:val="0"/>
      <w:divBdr>
        <w:top w:val="none" w:sz="0" w:space="0" w:color="auto"/>
        <w:left w:val="none" w:sz="0" w:space="0" w:color="auto"/>
        <w:bottom w:val="none" w:sz="0" w:space="0" w:color="auto"/>
        <w:right w:val="none" w:sz="0" w:space="0" w:color="auto"/>
      </w:divBdr>
    </w:div>
    <w:div w:id="392628738">
      <w:bodyDiv w:val="1"/>
      <w:marLeft w:val="0"/>
      <w:marRight w:val="0"/>
      <w:marTop w:val="0"/>
      <w:marBottom w:val="0"/>
      <w:divBdr>
        <w:top w:val="none" w:sz="0" w:space="0" w:color="auto"/>
        <w:left w:val="none" w:sz="0" w:space="0" w:color="auto"/>
        <w:bottom w:val="none" w:sz="0" w:space="0" w:color="auto"/>
        <w:right w:val="none" w:sz="0" w:space="0" w:color="auto"/>
      </w:divBdr>
    </w:div>
    <w:div w:id="393432136">
      <w:bodyDiv w:val="1"/>
      <w:marLeft w:val="0"/>
      <w:marRight w:val="0"/>
      <w:marTop w:val="0"/>
      <w:marBottom w:val="0"/>
      <w:divBdr>
        <w:top w:val="none" w:sz="0" w:space="0" w:color="auto"/>
        <w:left w:val="none" w:sz="0" w:space="0" w:color="auto"/>
        <w:bottom w:val="none" w:sz="0" w:space="0" w:color="auto"/>
        <w:right w:val="none" w:sz="0" w:space="0" w:color="auto"/>
      </w:divBdr>
    </w:div>
    <w:div w:id="393700687">
      <w:bodyDiv w:val="1"/>
      <w:marLeft w:val="0"/>
      <w:marRight w:val="0"/>
      <w:marTop w:val="0"/>
      <w:marBottom w:val="0"/>
      <w:divBdr>
        <w:top w:val="none" w:sz="0" w:space="0" w:color="auto"/>
        <w:left w:val="none" w:sz="0" w:space="0" w:color="auto"/>
        <w:bottom w:val="none" w:sz="0" w:space="0" w:color="auto"/>
        <w:right w:val="none" w:sz="0" w:space="0" w:color="auto"/>
      </w:divBdr>
    </w:div>
    <w:div w:id="394010374">
      <w:bodyDiv w:val="1"/>
      <w:marLeft w:val="0"/>
      <w:marRight w:val="0"/>
      <w:marTop w:val="0"/>
      <w:marBottom w:val="0"/>
      <w:divBdr>
        <w:top w:val="none" w:sz="0" w:space="0" w:color="auto"/>
        <w:left w:val="none" w:sz="0" w:space="0" w:color="auto"/>
        <w:bottom w:val="none" w:sz="0" w:space="0" w:color="auto"/>
        <w:right w:val="none" w:sz="0" w:space="0" w:color="auto"/>
      </w:divBdr>
    </w:div>
    <w:div w:id="395051703">
      <w:bodyDiv w:val="1"/>
      <w:marLeft w:val="0"/>
      <w:marRight w:val="0"/>
      <w:marTop w:val="0"/>
      <w:marBottom w:val="0"/>
      <w:divBdr>
        <w:top w:val="none" w:sz="0" w:space="0" w:color="auto"/>
        <w:left w:val="none" w:sz="0" w:space="0" w:color="auto"/>
        <w:bottom w:val="none" w:sz="0" w:space="0" w:color="auto"/>
        <w:right w:val="none" w:sz="0" w:space="0" w:color="auto"/>
      </w:divBdr>
    </w:div>
    <w:div w:id="395593992">
      <w:bodyDiv w:val="1"/>
      <w:marLeft w:val="0"/>
      <w:marRight w:val="0"/>
      <w:marTop w:val="0"/>
      <w:marBottom w:val="0"/>
      <w:divBdr>
        <w:top w:val="none" w:sz="0" w:space="0" w:color="auto"/>
        <w:left w:val="none" w:sz="0" w:space="0" w:color="auto"/>
        <w:bottom w:val="none" w:sz="0" w:space="0" w:color="auto"/>
        <w:right w:val="none" w:sz="0" w:space="0" w:color="auto"/>
      </w:divBdr>
    </w:div>
    <w:div w:id="395665644">
      <w:bodyDiv w:val="1"/>
      <w:marLeft w:val="0"/>
      <w:marRight w:val="0"/>
      <w:marTop w:val="0"/>
      <w:marBottom w:val="0"/>
      <w:divBdr>
        <w:top w:val="none" w:sz="0" w:space="0" w:color="auto"/>
        <w:left w:val="none" w:sz="0" w:space="0" w:color="auto"/>
        <w:bottom w:val="none" w:sz="0" w:space="0" w:color="auto"/>
        <w:right w:val="none" w:sz="0" w:space="0" w:color="auto"/>
      </w:divBdr>
    </w:div>
    <w:div w:id="395713520">
      <w:bodyDiv w:val="1"/>
      <w:marLeft w:val="0"/>
      <w:marRight w:val="0"/>
      <w:marTop w:val="0"/>
      <w:marBottom w:val="0"/>
      <w:divBdr>
        <w:top w:val="none" w:sz="0" w:space="0" w:color="auto"/>
        <w:left w:val="none" w:sz="0" w:space="0" w:color="auto"/>
        <w:bottom w:val="none" w:sz="0" w:space="0" w:color="auto"/>
        <w:right w:val="none" w:sz="0" w:space="0" w:color="auto"/>
      </w:divBdr>
    </w:div>
    <w:div w:id="396826108">
      <w:bodyDiv w:val="1"/>
      <w:marLeft w:val="0"/>
      <w:marRight w:val="0"/>
      <w:marTop w:val="0"/>
      <w:marBottom w:val="0"/>
      <w:divBdr>
        <w:top w:val="none" w:sz="0" w:space="0" w:color="auto"/>
        <w:left w:val="none" w:sz="0" w:space="0" w:color="auto"/>
        <w:bottom w:val="none" w:sz="0" w:space="0" w:color="auto"/>
        <w:right w:val="none" w:sz="0" w:space="0" w:color="auto"/>
      </w:divBdr>
    </w:div>
    <w:div w:id="398403559">
      <w:bodyDiv w:val="1"/>
      <w:marLeft w:val="0"/>
      <w:marRight w:val="0"/>
      <w:marTop w:val="0"/>
      <w:marBottom w:val="0"/>
      <w:divBdr>
        <w:top w:val="none" w:sz="0" w:space="0" w:color="auto"/>
        <w:left w:val="none" w:sz="0" w:space="0" w:color="auto"/>
        <w:bottom w:val="none" w:sz="0" w:space="0" w:color="auto"/>
        <w:right w:val="none" w:sz="0" w:space="0" w:color="auto"/>
      </w:divBdr>
    </w:div>
    <w:div w:id="398865107">
      <w:bodyDiv w:val="1"/>
      <w:marLeft w:val="0"/>
      <w:marRight w:val="0"/>
      <w:marTop w:val="0"/>
      <w:marBottom w:val="0"/>
      <w:divBdr>
        <w:top w:val="none" w:sz="0" w:space="0" w:color="auto"/>
        <w:left w:val="none" w:sz="0" w:space="0" w:color="auto"/>
        <w:bottom w:val="none" w:sz="0" w:space="0" w:color="auto"/>
        <w:right w:val="none" w:sz="0" w:space="0" w:color="auto"/>
      </w:divBdr>
    </w:div>
    <w:div w:id="399137130">
      <w:bodyDiv w:val="1"/>
      <w:marLeft w:val="0"/>
      <w:marRight w:val="0"/>
      <w:marTop w:val="0"/>
      <w:marBottom w:val="0"/>
      <w:divBdr>
        <w:top w:val="none" w:sz="0" w:space="0" w:color="auto"/>
        <w:left w:val="none" w:sz="0" w:space="0" w:color="auto"/>
        <w:bottom w:val="none" w:sz="0" w:space="0" w:color="auto"/>
        <w:right w:val="none" w:sz="0" w:space="0" w:color="auto"/>
      </w:divBdr>
    </w:div>
    <w:div w:id="400518773">
      <w:bodyDiv w:val="1"/>
      <w:marLeft w:val="0"/>
      <w:marRight w:val="0"/>
      <w:marTop w:val="0"/>
      <w:marBottom w:val="0"/>
      <w:divBdr>
        <w:top w:val="none" w:sz="0" w:space="0" w:color="auto"/>
        <w:left w:val="none" w:sz="0" w:space="0" w:color="auto"/>
        <w:bottom w:val="none" w:sz="0" w:space="0" w:color="auto"/>
        <w:right w:val="none" w:sz="0" w:space="0" w:color="auto"/>
      </w:divBdr>
    </w:div>
    <w:div w:id="400757329">
      <w:bodyDiv w:val="1"/>
      <w:marLeft w:val="0"/>
      <w:marRight w:val="0"/>
      <w:marTop w:val="0"/>
      <w:marBottom w:val="0"/>
      <w:divBdr>
        <w:top w:val="none" w:sz="0" w:space="0" w:color="auto"/>
        <w:left w:val="none" w:sz="0" w:space="0" w:color="auto"/>
        <w:bottom w:val="none" w:sz="0" w:space="0" w:color="auto"/>
        <w:right w:val="none" w:sz="0" w:space="0" w:color="auto"/>
      </w:divBdr>
    </w:div>
    <w:div w:id="400912043">
      <w:bodyDiv w:val="1"/>
      <w:marLeft w:val="0"/>
      <w:marRight w:val="0"/>
      <w:marTop w:val="0"/>
      <w:marBottom w:val="0"/>
      <w:divBdr>
        <w:top w:val="none" w:sz="0" w:space="0" w:color="auto"/>
        <w:left w:val="none" w:sz="0" w:space="0" w:color="auto"/>
        <w:bottom w:val="none" w:sz="0" w:space="0" w:color="auto"/>
        <w:right w:val="none" w:sz="0" w:space="0" w:color="auto"/>
      </w:divBdr>
    </w:div>
    <w:div w:id="401414403">
      <w:bodyDiv w:val="1"/>
      <w:marLeft w:val="0"/>
      <w:marRight w:val="0"/>
      <w:marTop w:val="0"/>
      <w:marBottom w:val="0"/>
      <w:divBdr>
        <w:top w:val="none" w:sz="0" w:space="0" w:color="auto"/>
        <w:left w:val="none" w:sz="0" w:space="0" w:color="auto"/>
        <w:bottom w:val="none" w:sz="0" w:space="0" w:color="auto"/>
        <w:right w:val="none" w:sz="0" w:space="0" w:color="auto"/>
      </w:divBdr>
    </w:div>
    <w:div w:id="403259606">
      <w:bodyDiv w:val="1"/>
      <w:marLeft w:val="0"/>
      <w:marRight w:val="0"/>
      <w:marTop w:val="0"/>
      <w:marBottom w:val="0"/>
      <w:divBdr>
        <w:top w:val="none" w:sz="0" w:space="0" w:color="auto"/>
        <w:left w:val="none" w:sz="0" w:space="0" w:color="auto"/>
        <w:bottom w:val="none" w:sz="0" w:space="0" w:color="auto"/>
        <w:right w:val="none" w:sz="0" w:space="0" w:color="auto"/>
      </w:divBdr>
    </w:div>
    <w:div w:id="403264367">
      <w:bodyDiv w:val="1"/>
      <w:marLeft w:val="0"/>
      <w:marRight w:val="0"/>
      <w:marTop w:val="0"/>
      <w:marBottom w:val="0"/>
      <w:divBdr>
        <w:top w:val="none" w:sz="0" w:space="0" w:color="auto"/>
        <w:left w:val="none" w:sz="0" w:space="0" w:color="auto"/>
        <w:bottom w:val="none" w:sz="0" w:space="0" w:color="auto"/>
        <w:right w:val="none" w:sz="0" w:space="0" w:color="auto"/>
      </w:divBdr>
    </w:div>
    <w:div w:id="403378945">
      <w:bodyDiv w:val="1"/>
      <w:marLeft w:val="0"/>
      <w:marRight w:val="0"/>
      <w:marTop w:val="0"/>
      <w:marBottom w:val="0"/>
      <w:divBdr>
        <w:top w:val="none" w:sz="0" w:space="0" w:color="auto"/>
        <w:left w:val="none" w:sz="0" w:space="0" w:color="auto"/>
        <w:bottom w:val="none" w:sz="0" w:space="0" w:color="auto"/>
        <w:right w:val="none" w:sz="0" w:space="0" w:color="auto"/>
      </w:divBdr>
    </w:div>
    <w:div w:id="403645042">
      <w:bodyDiv w:val="1"/>
      <w:marLeft w:val="0"/>
      <w:marRight w:val="0"/>
      <w:marTop w:val="0"/>
      <w:marBottom w:val="0"/>
      <w:divBdr>
        <w:top w:val="none" w:sz="0" w:space="0" w:color="auto"/>
        <w:left w:val="none" w:sz="0" w:space="0" w:color="auto"/>
        <w:bottom w:val="none" w:sz="0" w:space="0" w:color="auto"/>
        <w:right w:val="none" w:sz="0" w:space="0" w:color="auto"/>
      </w:divBdr>
    </w:div>
    <w:div w:id="403768343">
      <w:bodyDiv w:val="1"/>
      <w:marLeft w:val="0"/>
      <w:marRight w:val="0"/>
      <w:marTop w:val="0"/>
      <w:marBottom w:val="0"/>
      <w:divBdr>
        <w:top w:val="none" w:sz="0" w:space="0" w:color="auto"/>
        <w:left w:val="none" w:sz="0" w:space="0" w:color="auto"/>
        <w:bottom w:val="none" w:sz="0" w:space="0" w:color="auto"/>
        <w:right w:val="none" w:sz="0" w:space="0" w:color="auto"/>
      </w:divBdr>
    </w:div>
    <w:div w:id="403996454">
      <w:bodyDiv w:val="1"/>
      <w:marLeft w:val="0"/>
      <w:marRight w:val="0"/>
      <w:marTop w:val="0"/>
      <w:marBottom w:val="0"/>
      <w:divBdr>
        <w:top w:val="none" w:sz="0" w:space="0" w:color="auto"/>
        <w:left w:val="none" w:sz="0" w:space="0" w:color="auto"/>
        <w:bottom w:val="none" w:sz="0" w:space="0" w:color="auto"/>
        <w:right w:val="none" w:sz="0" w:space="0" w:color="auto"/>
      </w:divBdr>
    </w:div>
    <w:div w:id="404032600">
      <w:bodyDiv w:val="1"/>
      <w:marLeft w:val="0"/>
      <w:marRight w:val="0"/>
      <w:marTop w:val="0"/>
      <w:marBottom w:val="0"/>
      <w:divBdr>
        <w:top w:val="none" w:sz="0" w:space="0" w:color="auto"/>
        <w:left w:val="none" w:sz="0" w:space="0" w:color="auto"/>
        <w:bottom w:val="none" w:sz="0" w:space="0" w:color="auto"/>
        <w:right w:val="none" w:sz="0" w:space="0" w:color="auto"/>
      </w:divBdr>
    </w:div>
    <w:div w:id="404188597">
      <w:bodyDiv w:val="1"/>
      <w:marLeft w:val="0"/>
      <w:marRight w:val="0"/>
      <w:marTop w:val="0"/>
      <w:marBottom w:val="0"/>
      <w:divBdr>
        <w:top w:val="none" w:sz="0" w:space="0" w:color="auto"/>
        <w:left w:val="none" w:sz="0" w:space="0" w:color="auto"/>
        <w:bottom w:val="none" w:sz="0" w:space="0" w:color="auto"/>
        <w:right w:val="none" w:sz="0" w:space="0" w:color="auto"/>
      </w:divBdr>
    </w:div>
    <w:div w:id="404424491">
      <w:bodyDiv w:val="1"/>
      <w:marLeft w:val="0"/>
      <w:marRight w:val="0"/>
      <w:marTop w:val="0"/>
      <w:marBottom w:val="0"/>
      <w:divBdr>
        <w:top w:val="none" w:sz="0" w:space="0" w:color="auto"/>
        <w:left w:val="none" w:sz="0" w:space="0" w:color="auto"/>
        <w:bottom w:val="none" w:sz="0" w:space="0" w:color="auto"/>
        <w:right w:val="none" w:sz="0" w:space="0" w:color="auto"/>
      </w:divBdr>
      <w:divsChild>
        <w:div w:id="263463311">
          <w:marLeft w:val="480"/>
          <w:marRight w:val="0"/>
          <w:marTop w:val="0"/>
          <w:marBottom w:val="0"/>
          <w:divBdr>
            <w:top w:val="none" w:sz="0" w:space="0" w:color="auto"/>
            <w:left w:val="none" w:sz="0" w:space="0" w:color="auto"/>
            <w:bottom w:val="none" w:sz="0" w:space="0" w:color="auto"/>
            <w:right w:val="none" w:sz="0" w:space="0" w:color="auto"/>
          </w:divBdr>
        </w:div>
        <w:div w:id="2072464332">
          <w:marLeft w:val="480"/>
          <w:marRight w:val="0"/>
          <w:marTop w:val="0"/>
          <w:marBottom w:val="0"/>
          <w:divBdr>
            <w:top w:val="none" w:sz="0" w:space="0" w:color="auto"/>
            <w:left w:val="none" w:sz="0" w:space="0" w:color="auto"/>
            <w:bottom w:val="none" w:sz="0" w:space="0" w:color="auto"/>
            <w:right w:val="none" w:sz="0" w:space="0" w:color="auto"/>
          </w:divBdr>
        </w:div>
        <w:div w:id="22632621">
          <w:marLeft w:val="480"/>
          <w:marRight w:val="0"/>
          <w:marTop w:val="0"/>
          <w:marBottom w:val="0"/>
          <w:divBdr>
            <w:top w:val="none" w:sz="0" w:space="0" w:color="auto"/>
            <w:left w:val="none" w:sz="0" w:space="0" w:color="auto"/>
            <w:bottom w:val="none" w:sz="0" w:space="0" w:color="auto"/>
            <w:right w:val="none" w:sz="0" w:space="0" w:color="auto"/>
          </w:divBdr>
        </w:div>
        <w:div w:id="1573463070">
          <w:marLeft w:val="480"/>
          <w:marRight w:val="0"/>
          <w:marTop w:val="0"/>
          <w:marBottom w:val="0"/>
          <w:divBdr>
            <w:top w:val="none" w:sz="0" w:space="0" w:color="auto"/>
            <w:left w:val="none" w:sz="0" w:space="0" w:color="auto"/>
            <w:bottom w:val="none" w:sz="0" w:space="0" w:color="auto"/>
            <w:right w:val="none" w:sz="0" w:space="0" w:color="auto"/>
          </w:divBdr>
        </w:div>
        <w:div w:id="1730962016">
          <w:marLeft w:val="480"/>
          <w:marRight w:val="0"/>
          <w:marTop w:val="0"/>
          <w:marBottom w:val="0"/>
          <w:divBdr>
            <w:top w:val="none" w:sz="0" w:space="0" w:color="auto"/>
            <w:left w:val="none" w:sz="0" w:space="0" w:color="auto"/>
            <w:bottom w:val="none" w:sz="0" w:space="0" w:color="auto"/>
            <w:right w:val="none" w:sz="0" w:space="0" w:color="auto"/>
          </w:divBdr>
        </w:div>
        <w:div w:id="626280099">
          <w:marLeft w:val="480"/>
          <w:marRight w:val="0"/>
          <w:marTop w:val="0"/>
          <w:marBottom w:val="0"/>
          <w:divBdr>
            <w:top w:val="none" w:sz="0" w:space="0" w:color="auto"/>
            <w:left w:val="none" w:sz="0" w:space="0" w:color="auto"/>
            <w:bottom w:val="none" w:sz="0" w:space="0" w:color="auto"/>
            <w:right w:val="none" w:sz="0" w:space="0" w:color="auto"/>
          </w:divBdr>
        </w:div>
        <w:div w:id="1013414860">
          <w:marLeft w:val="480"/>
          <w:marRight w:val="0"/>
          <w:marTop w:val="0"/>
          <w:marBottom w:val="0"/>
          <w:divBdr>
            <w:top w:val="none" w:sz="0" w:space="0" w:color="auto"/>
            <w:left w:val="none" w:sz="0" w:space="0" w:color="auto"/>
            <w:bottom w:val="none" w:sz="0" w:space="0" w:color="auto"/>
            <w:right w:val="none" w:sz="0" w:space="0" w:color="auto"/>
          </w:divBdr>
        </w:div>
        <w:div w:id="1191993296">
          <w:marLeft w:val="480"/>
          <w:marRight w:val="0"/>
          <w:marTop w:val="0"/>
          <w:marBottom w:val="0"/>
          <w:divBdr>
            <w:top w:val="none" w:sz="0" w:space="0" w:color="auto"/>
            <w:left w:val="none" w:sz="0" w:space="0" w:color="auto"/>
            <w:bottom w:val="none" w:sz="0" w:space="0" w:color="auto"/>
            <w:right w:val="none" w:sz="0" w:space="0" w:color="auto"/>
          </w:divBdr>
        </w:div>
        <w:div w:id="2088460091">
          <w:marLeft w:val="480"/>
          <w:marRight w:val="0"/>
          <w:marTop w:val="0"/>
          <w:marBottom w:val="0"/>
          <w:divBdr>
            <w:top w:val="none" w:sz="0" w:space="0" w:color="auto"/>
            <w:left w:val="none" w:sz="0" w:space="0" w:color="auto"/>
            <w:bottom w:val="none" w:sz="0" w:space="0" w:color="auto"/>
            <w:right w:val="none" w:sz="0" w:space="0" w:color="auto"/>
          </w:divBdr>
        </w:div>
        <w:div w:id="336929220">
          <w:marLeft w:val="480"/>
          <w:marRight w:val="0"/>
          <w:marTop w:val="0"/>
          <w:marBottom w:val="0"/>
          <w:divBdr>
            <w:top w:val="none" w:sz="0" w:space="0" w:color="auto"/>
            <w:left w:val="none" w:sz="0" w:space="0" w:color="auto"/>
            <w:bottom w:val="none" w:sz="0" w:space="0" w:color="auto"/>
            <w:right w:val="none" w:sz="0" w:space="0" w:color="auto"/>
          </w:divBdr>
        </w:div>
        <w:div w:id="284699353">
          <w:marLeft w:val="480"/>
          <w:marRight w:val="0"/>
          <w:marTop w:val="0"/>
          <w:marBottom w:val="0"/>
          <w:divBdr>
            <w:top w:val="none" w:sz="0" w:space="0" w:color="auto"/>
            <w:left w:val="none" w:sz="0" w:space="0" w:color="auto"/>
            <w:bottom w:val="none" w:sz="0" w:space="0" w:color="auto"/>
            <w:right w:val="none" w:sz="0" w:space="0" w:color="auto"/>
          </w:divBdr>
        </w:div>
        <w:div w:id="1994480675">
          <w:marLeft w:val="480"/>
          <w:marRight w:val="0"/>
          <w:marTop w:val="0"/>
          <w:marBottom w:val="0"/>
          <w:divBdr>
            <w:top w:val="none" w:sz="0" w:space="0" w:color="auto"/>
            <w:left w:val="none" w:sz="0" w:space="0" w:color="auto"/>
            <w:bottom w:val="none" w:sz="0" w:space="0" w:color="auto"/>
            <w:right w:val="none" w:sz="0" w:space="0" w:color="auto"/>
          </w:divBdr>
        </w:div>
        <w:div w:id="580918216">
          <w:marLeft w:val="480"/>
          <w:marRight w:val="0"/>
          <w:marTop w:val="0"/>
          <w:marBottom w:val="0"/>
          <w:divBdr>
            <w:top w:val="none" w:sz="0" w:space="0" w:color="auto"/>
            <w:left w:val="none" w:sz="0" w:space="0" w:color="auto"/>
            <w:bottom w:val="none" w:sz="0" w:space="0" w:color="auto"/>
            <w:right w:val="none" w:sz="0" w:space="0" w:color="auto"/>
          </w:divBdr>
        </w:div>
        <w:div w:id="1070881825">
          <w:marLeft w:val="480"/>
          <w:marRight w:val="0"/>
          <w:marTop w:val="0"/>
          <w:marBottom w:val="0"/>
          <w:divBdr>
            <w:top w:val="none" w:sz="0" w:space="0" w:color="auto"/>
            <w:left w:val="none" w:sz="0" w:space="0" w:color="auto"/>
            <w:bottom w:val="none" w:sz="0" w:space="0" w:color="auto"/>
            <w:right w:val="none" w:sz="0" w:space="0" w:color="auto"/>
          </w:divBdr>
        </w:div>
        <w:div w:id="662974078">
          <w:marLeft w:val="480"/>
          <w:marRight w:val="0"/>
          <w:marTop w:val="0"/>
          <w:marBottom w:val="0"/>
          <w:divBdr>
            <w:top w:val="none" w:sz="0" w:space="0" w:color="auto"/>
            <w:left w:val="none" w:sz="0" w:space="0" w:color="auto"/>
            <w:bottom w:val="none" w:sz="0" w:space="0" w:color="auto"/>
            <w:right w:val="none" w:sz="0" w:space="0" w:color="auto"/>
          </w:divBdr>
        </w:div>
        <w:div w:id="613557552">
          <w:marLeft w:val="480"/>
          <w:marRight w:val="0"/>
          <w:marTop w:val="0"/>
          <w:marBottom w:val="0"/>
          <w:divBdr>
            <w:top w:val="none" w:sz="0" w:space="0" w:color="auto"/>
            <w:left w:val="none" w:sz="0" w:space="0" w:color="auto"/>
            <w:bottom w:val="none" w:sz="0" w:space="0" w:color="auto"/>
            <w:right w:val="none" w:sz="0" w:space="0" w:color="auto"/>
          </w:divBdr>
        </w:div>
        <w:div w:id="648752440">
          <w:marLeft w:val="480"/>
          <w:marRight w:val="0"/>
          <w:marTop w:val="0"/>
          <w:marBottom w:val="0"/>
          <w:divBdr>
            <w:top w:val="none" w:sz="0" w:space="0" w:color="auto"/>
            <w:left w:val="none" w:sz="0" w:space="0" w:color="auto"/>
            <w:bottom w:val="none" w:sz="0" w:space="0" w:color="auto"/>
            <w:right w:val="none" w:sz="0" w:space="0" w:color="auto"/>
          </w:divBdr>
        </w:div>
        <w:div w:id="85425933">
          <w:marLeft w:val="480"/>
          <w:marRight w:val="0"/>
          <w:marTop w:val="0"/>
          <w:marBottom w:val="0"/>
          <w:divBdr>
            <w:top w:val="none" w:sz="0" w:space="0" w:color="auto"/>
            <w:left w:val="none" w:sz="0" w:space="0" w:color="auto"/>
            <w:bottom w:val="none" w:sz="0" w:space="0" w:color="auto"/>
            <w:right w:val="none" w:sz="0" w:space="0" w:color="auto"/>
          </w:divBdr>
        </w:div>
        <w:div w:id="1438402259">
          <w:marLeft w:val="480"/>
          <w:marRight w:val="0"/>
          <w:marTop w:val="0"/>
          <w:marBottom w:val="0"/>
          <w:divBdr>
            <w:top w:val="none" w:sz="0" w:space="0" w:color="auto"/>
            <w:left w:val="none" w:sz="0" w:space="0" w:color="auto"/>
            <w:bottom w:val="none" w:sz="0" w:space="0" w:color="auto"/>
            <w:right w:val="none" w:sz="0" w:space="0" w:color="auto"/>
          </w:divBdr>
        </w:div>
        <w:div w:id="711155861">
          <w:marLeft w:val="480"/>
          <w:marRight w:val="0"/>
          <w:marTop w:val="0"/>
          <w:marBottom w:val="0"/>
          <w:divBdr>
            <w:top w:val="none" w:sz="0" w:space="0" w:color="auto"/>
            <w:left w:val="none" w:sz="0" w:space="0" w:color="auto"/>
            <w:bottom w:val="none" w:sz="0" w:space="0" w:color="auto"/>
            <w:right w:val="none" w:sz="0" w:space="0" w:color="auto"/>
          </w:divBdr>
        </w:div>
        <w:div w:id="52896532">
          <w:marLeft w:val="480"/>
          <w:marRight w:val="0"/>
          <w:marTop w:val="0"/>
          <w:marBottom w:val="0"/>
          <w:divBdr>
            <w:top w:val="none" w:sz="0" w:space="0" w:color="auto"/>
            <w:left w:val="none" w:sz="0" w:space="0" w:color="auto"/>
            <w:bottom w:val="none" w:sz="0" w:space="0" w:color="auto"/>
            <w:right w:val="none" w:sz="0" w:space="0" w:color="auto"/>
          </w:divBdr>
        </w:div>
        <w:div w:id="1901869471">
          <w:marLeft w:val="480"/>
          <w:marRight w:val="0"/>
          <w:marTop w:val="0"/>
          <w:marBottom w:val="0"/>
          <w:divBdr>
            <w:top w:val="none" w:sz="0" w:space="0" w:color="auto"/>
            <w:left w:val="none" w:sz="0" w:space="0" w:color="auto"/>
            <w:bottom w:val="none" w:sz="0" w:space="0" w:color="auto"/>
            <w:right w:val="none" w:sz="0" w:space="0" w:color="auto"/>
          </w:divBdr>
        </w:div>
        <w:div w:id="1136870682">
          <w:marLeft w:val="480"/>
          <w:marRight w:val="0"/>
          <w:marTop w:val="0"/>
          <w:marBottom w:val="0"/>
          <w:divBdr>
            <w:top w:val="none" w:sz="0" w:space="0" w:color="auto"/>
            <w:left w:val="none" w:sz="0" w:space="0" w:color="auto"/>
            <w:bottom w:val="none" w:sz="0" w:space="0" w:color="auto"/>
            <w:right w:val="none" w:sz="0" w:space="0" w:color="auto"/>
          </w:divBdr>
        </w:div>
        <w:div w:id="740448713">
          <w:marLeft w:val="480"/>
          <w:marRight w:val="0"/>
          <w:marTop w:val="0"/>
          <w:marBottom w:val="0"/>
          <w:divBdr>
            <w:top w:val="none" w:sz="0" w:space="0" w:color="auto"/>
            <w:left w:val="none" w:sz="0" w:space="0" w:color="auto"/>
            <w:bottom w:val="none" w:sz="0" w:space="0" w:color="auto"/>
            <w:right w:val="none" w:sz="0" w:space="0" w:color="auto"/>
          </w:divBdr>
        </w:div>
        <w:div w:id="326398305">
          <w:marLeft w:val="480"/>
          <w:marRight w:val="0"/>
          <w:marTop w:val="0"/>
          <w:marBottom w:val="0"/>
          <w:divBdr>
            <w:top w:val="none" w:sz="0" w:space="0" w:color="auto"/>
            <w:left w:val="none" w:sz="0" w:space="0" w:color="auto"/>
            <w:bottom w:val="none" w:sz="0" w:space="0" w:color="auto"/>
            <w:right w:val="none" w:sz="0" w:space="0" w:color="auto"/>
          </w:divBdr>
        </w:div>
        <w:div w:id="447817273">
          <w:marLeft w:val="480"/>
          <w:marRight w:val="0"/>
          <w:marTop w:val="0"/>
          <w:marBottom w:val="0"/>
          <w:divBdr>
            <w:top w:val="none" w:sz="0" w:space="0" w:color="auto"/>
            <w:left w:val="none" w:sz="0" w:space="0" w:color="auto"/>
            <w:bottom w:val="none" w:sz="0" w:space="0" w:color="auto"/>
            <w:right w:val="none" w:sz="0" w:space="0" w:color="auto"/>
          </w:divBdr>
        </w:div>
        <w:div w:id="1544781461">
          <w:marLeft w:val="480"/>
          <w:marRight w:val="0"/>
          <w:marTop w:val="0"/>
          <w:marBottom w:val="0"/>
          <w:divBdr>
            <w:top w:val="none" w:sz="0" w:space="0" w:color="auto"/>
            <w:left w:val="none" w:sz="0" w:space="0" w:color="auto"/>
            <w:bottom w:val="none" w:sz="0" w:space="0" w:color="auto"/>
            <w:right w:val="none" w:sz="0" w:space="0" w:color="auto"/>
          </w:divBdr>
        </w:div>
        <w:div w:id="1656489417">
          <w:marLeft w:val="480"/>
          <w:marRight w:val="0"/>
          <w:marTop w:val="0"/>
          <w:marBottom w:val="0"/>
          <w:divBdr>
            <w:top w:val="none" w:sz="0" w:space="0" w:color="auto"/>
            <w:left w:val="none" w:sz="0" w:space="0" w:color="auto"/>
            <w:bottom w:val="none" w:sz="0" w:space="0" w:color="auto"/>
            <w:right w:val="none" w:sz="0" w:space="0" w:color="auto"/>
          </w:divBdr>
        </w:div>
        <w:div w:id="929853352">
          <w:marLeft w:val="480"/>
          <w:marRight w:val="0"/>
          <w:marTop w:val="0"/>
          <w:marBottom w:val="0"/>
          <w:divBdr>
            <w:top w:val="none" w:sz="0" w:space="0" w:color="auto"/>
            <w:left w:val="none" w:sz="0" w:space="0" w:color="auto"/>
            <w:bottom w:val="none" w:sz="0" w:space="0" w:color="auto"/>
            <w:right w:val="none" w:sz="0" w:space="0" w:color="auto"/>
          </w:divBdr>
        </w:div>
        <w:div w:id="1635132863">
          <w:marLeft w:val="480"/>
          <w:marRight w:val="0"/>
          <w:marTop w:val="0"/>
          <w:marBottom w:val="0"/>
          <w:divBdr>
            <w:top w:val="none" w:sz="0" w:space="0" w:color="auto"/>
            <w:left w:val="none" w:sz="0" w:space="0" w:color="auto"/>
            <w:bottom w:val="none" w:sz="0" w:space="0" w:color="auto"/>
            <w:right w:val="none" w:sz="0" w:space="0" w:color="auto"/>
          </w:divBdr>
        </w:div>
        <w:div w:id="2071994838">
          <w:marLeft w:val="480"/>
          <w:marRight w:val="0"/>
          <w:marTop w:val="0"/>
          <w:marBottom w:val="0"/>
          <w:divBdr>
            <w:top w:val="none" w:sz="0" w:space="0" w:color="auto"/>
            <w:left w:val="none" w:sz="0" w:space="0" w:color="auto"/>
            <w:bottom w:val="none" w:sz="0" w:space="0" w:color="auto"/>
            <w:right w:val="none" w:sz="0" w:space="0" w:color="auto"/>
          </w:divBdr>
        </w:div>
        <w:div w:id="1161656863">
          <w:marLeft w:val="480"/>
          <w:marRight w:val="0"/>
          <w:marTop w:val="0"/>
          <w:marBottom w:val="0"/>
          <w:divBdr>
            <w:top w:val="none" w:sz="0" w:space="0" w:color="auto"/>
            <w:left w:val="none" w:sz="0" w:space="0" w:color="auto"/>
            <w:bottom w:val="none" w:sz="0" w:space="0" w:color="auto"/>
            <w:right w:val="none" w:sz="0" w:space="0" w:color="auto"/>
          </w:divBdr>
        </w:div>
        <w:div w:id="373820716">
          <w:marLeft w:val="480"/>
          <w:marRight w:val="0"/>
          <w:marTop w:val="0"/>
          <w:marBottom w:val="0"/>
          <w:divBdr>
            <w:top w:val="none" w:sz="0" w:space="0" w:color="auto"/>
            <w:left w:val="none" w:sz="0" w:space="0" w:color="auto"/>
            <w:bottom w:val="none" w:sz="0" w:space="0" w:color="auto"/>
            <w:right w:val="none" w:sz="0" w:space="0" w:color="auto"/>
          </w:divBdr>
        </w:div>
        <w:div w:id="1087649555">
          <w:marLeft w:val="480"/>
          <w:marRight w:val="0"/>
          <w:marTop w:val="0"/>
          <w:marBottom w:val="0"/>
          <w:divBdr>
            <w:top w:val="none" w:sz="0" w:space="0" w:color="auto"/>
            <w:left w:val="none" w:sz="0" w:space="0" w:color="auto"/>
            <w:bottom w:val="none" w:sz="0" w:space="0" w:color="auto"/>
            <w:right w:val="none" w:sz="0" w:space="0" w:color="auto"/>
          </w:divBdr>
        </w:div>
        <w:div w:id="1247499601">
          <w:marLeft w:val="480"/>
          <w:marRight w:val="0"/>
          <w:marTop w:val="0"/>
          <w:marBottom w:val="0"/>
          <w:divBdr>
            <w:top w:val="none" w:sz="0" w:space="0" w:color="auto"/>
            <w:left w:val="none" w:sz="0" w:space="0" w:color="auto"/>
            <w:bottom w:val="none" w:sz="0" w:space="0" w:color="auto"/>
            <w:right w:val="none" w:sz="0" w:space="0" w:color="auto"/>
          </w:divBdr>
        </w:div>
        <w:div w:id="372845235">
          <w:marLeft w:val="480"/>
          <w:marRight w:val="0"/>
          <w:marTop w:val="0"/>
          <w:marBottom w:val="0"/>
          <w:divBdr>
            <w:top w:val="none" w:sz="0" w:space="0" w:color="auto"/>
            <w:left w:val="none" w:sz="0" w:space="0" w:color="auto"/>
            <w:bottom w:val="none" w:sz="0" w:space="0" w:color="auto"/>
            <w:right w:val="none" w:sz="0" w:space="0" w:color="auto"/>
          </w:divBdr>
        </w:div>
        <w:div w:id="1246380098">
          <w:marLeft w:val="480"/>
          <w:marRight w:val="0"/>
          <w:marTop w:val="0"/>
          <w:marBottom w:val="0"/>
          <w:divBdr>
            <w:top w:val="none" w:sz="0" w:space="0" w:color="auto"/>
            <w:left w:val="none" w:sz="0" w:space="0" w:color="auto"/>
            <w:bottom w:val="none" w:sz="0" w:space="0" w:color="auto"/>
            <w:right w:val="none" w:sz="0" w:space="0" w:color="auto"/>
          </w:divBdr>
        </w:div>
        <w:div w:id="646587448">
          <w:marLeft w:val="480"/>
          <w:marRight w:val="0"/>
          <w:marTop w:val="0"/>
          <w:marBottom w:val="0"/>
          <w:divBdr>
            <w:top w:val="none" w:sz="0" w:space="0" w:color="auto"/>
            <w:left w:val="none" w:sz="0" w:space="0" w:color="auto"/>
            <w:bottom w:val="none" w:sz="0" w:space="0" w:color="auto"/>
            <w:right w:val="none" w:sz="0" w:space="0" w:color="auto"/>
          </w:divBdr>
        </w:div>
        <w:div w:id="1011419125">
          <w:marLeft w:val="480"/>
          <w:marRight w:val="0"/>
          <w:marTop w:val="0"/>
          <w:marBottom w:val="0"/>
          <w:divBdr>
            <w:top w:val="none" w:sz="0" w:space="0" w:color="auto"/>
            <w:left w:val="none" w:sz="0" w:space="0" w:color="auto"/>
            <w:bottom w:val="none" w:sz="0" w:space="0" w:color="auto"/>
            <w:right w:val="none" w:sz="0" w:space="0" w:color="auto"/>
          </w:divBdr>
        </w:div>
        <w:div w:id="1142383233">
          <w:marLeft w:val="480"/>
          <w:marRight w:val="0"/>
          <w:marTop w:val="0"/>
          <w:marBottom w:val="0"/>
          <w:divBdr>
            <w:top w:val="none" w:sz="0" w:space="0" w:color="auto"/>
            <w:left w:val="none" w:sz="0" w:space="0" w:color="auto"/>
            <w:bottom w:val="none" w:sz="0" w:space="0" w:color="auto"/>
            <w:right w:val="none" w:sz="0" w:space="0" w:color="auto"/>
          </w:divBdr>
        </w:div>
        <w:div w:id="455366580">
          <w:marLeft w:val="480"/>
          <w:marRight w:val="0"/>
          <w:marTop w:val="0"/>
          <w:marBottom w:val="0"/>
          <w:divBdr>
            <w:top w:val="none" w:sz="0" w:space="0" w:color="auto"/>
            <w:left w:val="none" w:sz="0" w:space="0" w:color="auto"/>
            <w:bottom w:val="none" w:sz="0" w:space="0" w:color="auto"/>
            <w:right w:val="none" w:sz="0" w:space="0" w:color="auto"/>
          </w:divBdr>
        </w:div>
        <w:div w:id="1906253835">
          <w:marLeft w:val="480"/>
          <w:marRight w:val="0"/>
          <w:marTop w:val="0"/>
          <w:marBottom w:val="0"/>
          <w:divBdr>
            <w:top w:val="none" w:sz="0" w:space="0" w:color="auto"/>
            <w:left w:val="none" w:sz="0" w:space="0" w:color="auto"/>
            <w:bottom w:val="none" w:sz="0" w:space="0" w:color="auto"/>
            <w:right w:val="none" w:sz="0" w:space="0" w:color="auto"/>
          </w:divBdr>
        </w:div>
        <w:div w:id="991372037">
          <w:marLeft w:val="480"/>
          <w:marRight w:val="0"/>
          <w:marTop w:val="0"/>
          <w:marBottom w:val="0"/>
          <w:divBdr>
            <w:top w:val="none" w:sz="0" w:space="0" w:color="auto"/>
            <w:left w:val="none" w:sz="0" w:space="0" w:color="auto"/>
            <w:bottom w:val="none" w:sz="0" w:space="0" w:color="auto"/>
            <w:right w:val="none" w:sz="0" w:space="0" w:color="auto"/>
          </w:divBdr>
        </w:div>
        <w:div w:id="1556894781">
          <w:marLeft w:val="480"/>
          <w:marRight w:val="0"/>
          <w:marTop w:val="0"/>
          <w:marBottom w:val="0"/>
          <w:divBdr>
            <w:top w:val="none" w:sz="0" w:space="0" w:color="auto"/>
            <w:left w:val="none" w:sz="0" w:space="0" w:color="auto"/>
            <w:bottom w:val="none" w:sz="0" w:space="0" w:color="auto"/>
            <w:right w:val="none" w:sz="0" w:space="0" w:color="auto"/>
          </w:divBdr>
        </w:div>
        <w:div w:id="55472411">
          <w:marLeft w:val="480"/>
          <w:marRight w:val="0"/>
          <w:marTop w:val="0"/>
          <w:marBottom w:val="0"/>
          <w:divBdr>
            <w:top w:val="none" w:sz="0" w:space="0" w:color="auto"/>
            <w:left w:val="none" w:sz="0" w:space="0" w:color="auto"/>
            <w:bottom w:val="none" w:sz="0" w:space="0" w:color="auto"/>
            <w:right w:val="none" w:sz="0" w:space="0" w:color="auto"/>
          </w:divBdr>
        </w:div>
        <w:div w:id="549078408">
          <w:marLeft w:val="480"/>
          <w:marRight w:val="0"/>
          <w:marTop w:val="0"/>
          <w:marBottom w:val="0"/>
          <w:divBdr>
            <w:top w:val="none" w:sz="0" w:space="0" w:color="auto"/>
            <w:left w:val="none" w:sz="0" w:space="0" w:color="auto"/>
            <w:bottom w:val="none" w:sz="0" w:space="0" w:color="auto"/>
            <w:right w:val="none" w:sz="0" w:space="0" w:color="auto"/>
          </w:divBdr>
        </w:div>
        <w:div w:id="1057246837">
          <w:marLeft w:val="480"/>
          <w:marRight w:val="0"/>
          <w:marTop w:val="0"/>
          <w:marBottom w:val="0"/>
          <w:divBdr>
            <w:top w:val="none" w:sz="0" w:space="0" w:color="auto"/>
            <w:left w:val="none" w:sz="0" w:space="0" w:color="auto"/>
            <w:bottom w:val="none" w:sz="0" w:space="0" w:color="auto"/>
            <w:right w:val="none" w:sz="0" w:space="0" w:color="auto"/>
          </w:divBdr>
        </w:div>
        <w:div w:id="1527862300">
          <w:marLeft w:val="480"/>
          <w:marRight w:val="0"/>
          <w:marTop w:val="0"/>
          <w:marBottom w:val="0"/>
          <w:divBdr>
            <w:top w:val="none" w:sz="0" w:space="0" w:color="auto"/>
            <w:left w:val="none" w:sz="0" w:space="0" w:color="auto"/>
            <w:bottom w:val="none" w:sz="0" w:space="0" w:color="auto"/>
            <w:right w:val="none" w:sz="0" w:space="0" w:color="auto"/>
          </w:divBdr>
        </w:div>
        <w:div w:id="569272927">
          <w:marLeft w:val="480"/>
          <w:marRight w:val="0"/>
          <w:marTop w:val="0"/>
          <w:marBottom w:val="0"/>
          <w:divBdr>
            <w:top w:val="none" w:sz="0" w:space="0" w:color="auto"/>
            <w:left w:val="none" w:sz="0" w:space="0" w:color="auto"/>
            <w:bottom w:val="none" w:sz="0" w:space="0" w:color="auto"/>
            <w:right w:val="none" w:sz="0" w:space="0" w:color="auto"/>
          </w:divBdr>
        </w:div>
        <w:div w:id="1560551659">
          <w:marLeft w:val="480"/>
          <w:marRight w:val="0"/>
          <w:marTop w:val="0"/>
          <w:marBottom w:val="0"/>
          <w:divBdr>
            <w:top w:val="none" w:sz="0" w:space="0" w:color="auto"/>
            <w:left w:val="none" w:sz="0" w:space="0" w:color="auto"/>
            <w:bottom w:val="none" w:sz="0" w:space="0" w:color="auto"/>
            <w:right w:val="none" w:sz="0" w:space="0" w:color="auto"/>
          </w:divBdr>
        </w:div>
        <w:div w:id="1749227082">
          <w:marLeft w:val="480"/>
          <w:marRight w:val="0"/>
          <w:marTop w:val="0"/>
          <w:marBottom w:val="0"/>
          <w:divBdr>
            <w:top w:val="none" w:sz="0" w:space="0" w:color="auto"/>
            <w:left w:val="none" w:sz="0" w:space="0" w:color="auto"/>
            <w:bottom w:val="none" w:sz="0" w:space="0" w:color="auto"/>
            <w:right w:val="none" w:sz="0" w:space="0" w:color="auto"/>
          </w:divBdr>
        </w:div>
        <w:div w:id="1692562012">
          <w:marLeft w:val="480"/>
          <w:marRight w:val="0"/>
          <w:marTop w:val="0"/>
          <w:marBottom w:val="0"/>
          <w:divBdr>
            <w:top w:val="none" w:sz="0" w:space="0" w:color="auto"/>
            <w:left w:val="none" w:sz="0" w:space="0" w:color="auto"/>
            <w:bottom w:val="none" w:sz="0" w:space="0" w:color="auto"/>
            <w:right w:val="none" w:sz="0" w:space="0" w:color="auto"/>
          </w:divBdr>
        </w:div>
        <w:div w:id="1851947766">
          <w:marLeft w:val="480"/>
          <w:marRight w:val="0"/>
          <w:marTop w:val="0"/>
          <w:marBottom w:val="0"/>
          <w:divBdr>
            <w:top w:val="none" w:sz="0" w:space="0" w:color="auto"/>
            <w:left w:val="none" w:sz="0" w:space="0" w:color="auto"/>
            <w:bottom w:val="none" w:sz="0" w:space="0" w:color="auto"/>
            <w:right w:val="none" w:sz="0" w:space="0" w:color="auto"/>
          </w:divBdr>
        </w:div>
        <w:div w:id="1922980721">
          <w:marLeft w:val="480"/>
          <w:marRight w:val="0"/>
          <w:marTop w:val="0"/>
          <w:marBottom w:val="0"/>
          <w:divBdr>
            <w:top w:val="none" w:sz="0" w:space="0" w:color="auto"/>
            <w:left w:val="none" w:sz="0" w:space="0" w:color="auto"/>
            <w:bottom w:val="none" w:sz="0" w:space="0" w:color="auto"/>
            <w:right w:val="none" w:sz="0" w:space="0" w:color="auto"/>
          </w:divBdr>
        </w:div>
        <w:div w:id="1048649530">
          <w:marLeft w:val="480"/>
          <w:marRight w:val="0"/>
          <w:marTop w:val="0"/>
          <w:marBottom w:val="0"/>
          <w:divBdr>
            <w:top w:val="none" w:sz="0" w:space="0" w:color="auto"/>
            <w:left w:val="none" w:sz="0" w:space="0" w:color="auto"/>
            <w:bottom w:val="none" w:sz="0" w:space="0" w:color="auto"/>
            <w:right w:val="none" w:sz="0" w:space="0" w:color="auto"/>
          </w:divBdr>
        </w:div>
        <w:div w:id="301473053">
          <w:marLeft w:val="480"/>
          <w:marRight w:val="0"/>
          <w:marTop w:val="0"/>
          <w:marBottom w:val="0"/>
          <w:divBdr>
            <w:top w:val="none" w:sz="0" w:space="0" w:color="auto"/>
            <w:left w:val="none" w:sz="0" w:space="0" w:color="auto"/>
            <w:bottom w:val="none" w:sz="0" w:space="0" w:color="auto"/>
            <w:right w:val="none" w:sz="0" w:space="0" w:color="auto"/>
          </w:divBdr>
        </w:div>
        <w:div w:id="115492278">
          <w:marLeft w:val="480"/>
          <w:marRight w:val="0"/>
          <w:marTop w:val="0"/>
          <w:marBottom w:val="0"/>
          <w:divBdr>
            <w:top w:val="none" w:sz="0" w:space="0" w:color="auto"/>
            <w:left w:val="none" w:sz="0" w:space="0" w:color="auto"/>
            <w:bottom w:val="none" w:sz="0" w:space="0" w:color="auto"/>
            <w:right w:val="none" w:sz="0" w:space="0" w:color="auto"/>
          </w:divBdr>
        </w:div>
        <w:div w:id="1054081398">
          <w:marLeft w:val="480"/>
          <w:marRight w:val="0"/>
          <w:marTop w:val="0"/>
          <w:marBottom w:val="0"/>
          <w:divBdr>
            <w:top w:val="none" w:sz="0" w:space="0" w:color="auto"/>
            <w:left w:val="none" w:sz="0" w:space="0" w:color="auto"/>
            <w:bottom w:val="none" w:sz="0" w:space="0" w:color="auto"/>
            <w:right w:val="none" w:sz="0" w:space="0" w:color="auto"/>
          </w:divBdr>
        </w:div>
        <w:div w:id="545994855">
          <w:marLeft w:val="480"/>
          <w:marRight w:val="0"/>
          <w:marTop w:val="0"/>
          <w:marBottom w:val="0"/>
          <w:divBdr>
            <w:top w:val="none" w:sz="0" w:space="0" w:color="auto"/>
            <w:left w:val="none" w:sz="0" w:space="0" w:color="auto"/>
            <w:bottom w:val="none" w:sz="0" w:space="0" w:color="auto"/>
            <w:right w:val="none" w:sz="0" w:space="0" w:color="auto"/>
          </w:divBdr>
        </w:div>
        <w:div w:id="438261386">
          <w:marLeft w:val="480"/>
          <w:marRight w:val="0"/>
          <w:marTop w:val="0"/>
          <w:marBottom w:val="0"/>
          <w:divBdr>
            <w:top w:val="none" w:sz="0" w:space="0" w:color="auto"/>
            <w:left w:val="none" w:sz="0" w:space="0" w:color="auto"/>
            <w:bottom w:val="none" w:sz="0" w:space="0" w:color="auto"/>
            <w:right w:val="none" w:sz="0" w:space="0" w:color="auto"/>
          </w:divBdr>
        </w:div>
        <w:div w:id="1437670548">
          <w:marLeft w:val="480"/>
          <w:marRight w:val="0"/>
          <w:marTop w:val="0"/>
          <w:marBottom w:val="0"/>
          <w:divBdr>
            <w:top w:val="none" w:sz="0" w:space="0" w:color="auto"/>
            <w:left w:val="none" w:sz="0" w:space="0" w:color="auto"/>
            <w:bottom w:val="none" w:sz="0" w:space="0" w:color="auto"/>
            <w:right w:val="none" w:sz="0" w:space="0" w:color="auto"/>
          </w:divBdr>
        </w:div>
        <w:div w:id="1224410558">
          <w:marLeft w:val="480"/>
          <w:marRight w:val="0"/>
          <w:marTop w:val="0"/>
          <w:marBottom w:val="0"/>
          <w:divBdr>
            <w:top w:val="none" w:sz="0" w:space="0" w:color="auto"/>
            <w:left w:val="none" w:sz="0" w:space="0" w:color="auto"/>
            <w:bottom w:val="none" w:sz="0" w:space="0" w:color="auto"/>
            <w:right w:val="none" w:sz="0" w:space="0" w:color="auto"/>
          </w:divBdr>
        </w:div>
        <w:div w:id="1174687629">
          <w:marLeft w:val="480"/>
          <w:marRight w:val="0"/>
          <w:marTop w:val="0"/>
          <w:marBottom w:val="0"/>
          <w:divBdr>
            <w:top w:val="none" w:sz="0" w:space="0" w:color="auto"/>
            <w:left w:val="none" w:sz="0" w:space="0" w:color="auto"/>
            <w:bottom w:val="none" w:sz="0" w:space="0" w:color="auto"/>
            <w:right w:val="none" w:sz="0" w:space="0" w:color="auto"/>
          </w:divBdr>
        </w:div>
        <w:div w:id="1848668836">
          <w:marLeft w:val="480"/>
          <w:marRight w:val="0"/>
          <w:marTop w:val="0"/>
          <w:marBottom w:val="0"/>
          <w:divBdr>
            <w:top w:val="none" w:sz="0" w:space="0" w:color="auto"/>
            <w:left w:val="none" w:sz="0" w:space="0" w:color="auto"/>
            <w:bottom w:val="none" w:sz="0" w:space="0" w:color="auto"/>
            <w:right w:val="none" w:sz="0" w:space="0" w:color="auto"/>
          </w:divBdr>
        </w:div>
        <w:div w:id="129792685">
          <w:marLeft w:val="480"/>
          <w:marRight w:val="0"/>
          <w:marTop w:val="0"/>
          <w:marBottom w:val="0"/>
          <w:divBdr>
            <w:top w:val="none" w:sz="0" w:space="0" w:color="auto"/>
            <w:left w:val="none" w:sz="0" w:space="0" w:color="auto"/>
            <w:bottom w:val="none" w:sz="0" w:space="0" w:color="auto"/>
            <w:right w:val="none" w:sz="0" w:space="0" w:color="auto"/>
          </w:divBdr>
        </w:div>
        <w:div w:id="1786580109">
          <w:marLeft w:val="480"/>
          <w:marRight w:val="0"/>
          <w:marTop w:val="0"/>
          <w:marBottom w:val="0"/>
          <w:divBdr>
            <w:top w:val="none" w:sz="0" w:space="0" w:color="auto"/>
            <w:left w:val="none" w:sz="0" w:space="0" w:color="auto"/>
            <w:bottom w:val="none" w:sz="0" w:space="0" w:color="auto"/>
            <w:right w:val="none" w:sz="0" w:space="0" w:color="auto"/>
          </w:divBdr>
        </w:div>
        <w:div w:id="1753548389">
          <w:marLeft w:val="480"/>
          <w:marRight w:val="0"/>
          <w:marTop w:val="0"/>
          <w:marBottom w:val="0"/>
          <w:divBdr>
            <w:top w:val="none" w:sz="0" w:space="0" w:color="auto"/>
            <w:left w:val="none" w:sz="0" w:space="0" w:color="auto"/>
            <w:bottom w:val="none" w:sz="0" w:space="0" w:color="auto"/>
            <w:right w:val="none" w:sz="0" w:space="0" w:color="auto"/>
          </w:divBdr>
        </w:div>
        <w:div w:id="1462458680">
          <w:marLeft w:val="480"/>
          <w:marRight w:val="0"/>
          <w:marTop w:val="0"/>
          <w:marBottom w:val="0"/>
          <w:divBdr>
            <w:top w:val="none" w:sz="0" w:space="0" w:color="auto"/>
            <w:left w:val="none" w:sz="0" w:space="0" w:color="auto"/>
            <w:bottom w:val="none" w:sz="0" w:space="0" w:color="auto"/>
            <w:right w:val="none" w:sz="0" w:space="0" w:color="auto"/>
          </w:divBdr>
        </w:div>
        <w:div w:id="1759594551">
          <w:marLeft w:val="480"/>
          <w:marRight w:val="0"/>
          <w:marTop w:val="0"/>
          <w:marBottom w:val="0"/>
          <w:divBdr>
            <w:top w:val="none" w:sz="0" w:space="0" w:color="auto"/>
            <w:left w:val="none" w:sz="0" w:space="0" w:color="auto"/>
            <w:bottom w:val="none" w:sz="0" w:space="0" w:color="auto"/>
            <w:right w:val="none" w:sz="0" w:space="0" w:color="auto"/>
          </w:divBdr>
        </w:div>
        <w:div w:id="618269432">
          <w:marLeft w:val="480"/>
          <w:marRight w:val="0"/>
          <w:marTop w:val="0"/>
          <w:marBottom w:val="0"/>
          <w:divBdr>
            <w:top w:val="none" w:sz="0" w:space="0" w:color="auto"/>
            <w:left w:val="none" w:sz="0" w:space="0" w:color="auto"/>
            <w:bottom w:val="none" w:sz="0" w:space="0" w:color="auto"/>
            <w:right w:val="none" w:sz="0" w:space="0" w:color="auto"/>
          </w:divBdr>
        </w:div>
        <w:div w:id="1388600789">
          <w:marLeft w:val="480"/>
          <w:marRight w:val="0"/>
          <w:marTop w:val="0"/>
          <w:marBottom w:val="0"/>
          <w:divBdr>
            <w:top w:val="none" w:sz="0" w:space="0" w:color="auto"/>
            <w:left w:val="none" w:sz="0" w:space="0" w:color="auto"/>
            <w:bottom w:val="none" w:sz="0" w:space="0" w:color="auto"/>
            <w:right w:val="none" w:sz="0" w:space="0" w:color="auto"/>
          </w:divBdr>
        </w:div>
        <w:div w:id="81804390">
          <w:marLeft w:val="480"/>
          <w:marRight w:val="0"/>
          <w:marTop w:val="0"/>
          <w:marBottom w:val="0"/>
          <w:divBdr>
            <w:top w:val="none" w:sz="0" w:space="0" w:color="auto"/>
            <w:left w:val="none" w:sz="0" w:space="0" w:color="auto"/>
            <w:bottom w:val="none" w:sz="0" w:space="0" w:color="auto"/>
            <w:right w:val="none" w:sz="0" w:space="0" w:color="auto"/>
          </w:divBdr>
        </w:div>
        <w:div w:id="765272347">
          <w:marLeft w:val="480"/>
          <w:marRight w:val="0"/>
          <w:marTop w:val="0"/>
          <w:marBottom w:val="0"/>
          <w:divBdr>
            <w:top w:val="none" w:sz="0" w:space="0" w:color="auto"/>
            <w:left w:val="none" w:sz="0" w:space="0" w:color="auto"/>
            <w:bottom w:val="none" w:sz="0" w:space="0" w:color="auto"/>
            <w:right w:val="none" w:sz="0" w:space="0" w:color="auto"/>
          </w:divBdr>
        </w:div>
        <w:div w:id="451096796">
          <w:marLeft w:val="480"/>
          <w:marRight w:val="0"/>
          <w:marTop w:val="0"/>
          <w:marBottom w:val="0"/>
          <w:divBdr>
            <w:top w:val="none" w:sz="0" w:space="0" w:color="auto"/>
            <w:left w:val="none" w:sz="0" w:space="0" w:color="auto"/>
            <w:bottom w:val="none" w:sz="0" w:space="0" w:color="auto"/>
            <w:right w:val="none" w:sz="0" w:space="0" w:color="auto"/>
          </w:divBdr>
        </w:div>
        <w:div w:id="182672406">
          <w:marLeft w:val="480"/>
          <w:marRight w:val="0"/>
          <w:marTop w:val="0"/>
          <w:marBottom w:val="0"/>
          <w:divBdr>
            <w:top w:val="none" w:sz="0" w:space="0" w:color="auto"/>
            <w:left w:val="none" w:sz="0" w:space="0" w:color="auto"/>
            <w:bottom w:val="none" w:sz="0" w:space="0" w:color="auto"/>
            <w:right w:val="none" w:sz="0" w:space="0" w:color="auto"/>
          </w:divBdr>
        </w:div>
        <w:div w:id="1304311452">
          <w:marLeft w:val="480"/>
          <w:marRight w:val="0"/>
          <w:marTop w:val="0"/>
          <w:marBottom w:val="0"/>
          <w:divBdr>
            <w:top w:val="none" w:sz="0" w:space="0" w:color="auto"/>
            <w:left w:val="none" w:sz="0" w:space="0" w:color="auto"/>
            <w:bottom w:val="none" w:sz="0" w:space="0" w:color="auto"/>
            <w:right w:val="none" w:sz="0" w:space="0" w:color="auto"/>
          </w:divBdr>
        </w:div>
        <w:div w:id="238364391">
          <w:marLeft w:val="480"/>
          <w:marRight w:val="0"/>
          <w:marTop w:val="0"/>
          <w:marBottom w:val="0"/>
          <w:divBdr>
            <w:top w:val="none" w:sz="0" w:space="0" w:color="auto"/>
            <w:left w:val="none" w:sz="0" w:space="0" w:color="auto"/>
            <w:bottom w:val="none" w:sz="0" w:space="0" w:color="auto"/>
            <w:right w:val="none" w:sz="0" w:space="0" w:color="auto"/>
          </w:divBdr>
        </w:div>
        <w:div w:id="1688873275">
          <w:marLeft w:val="480"/>
          <w:marRight w:val="0"/>
          <w:marTop w:val="0"/>
          <w:marBottom w:val="0"/>
          <w:divBdr>
            <w:top w:val="none" w:sz="0" w:space="0" w:color="auto"/>
            <w:left w:val="none" w:sz="0" w:space="0" w:color="auto"/>
            <w:bottom w:val="none" w:sz="0" w:space="0" w:color="auto"/>
            <w:right w:val="none" w:sz="0" w:space="0" w:color="auto"/>
          </w:divBdr>
        </w:div>
        <w:div w:id="818501717">
          <w:marLeft w:val="480"/>
          <w:marRight w:val="0"/>
          <w:marTop w:val="0"/>
          <w:marBottom w:val="0"/>
          <w:divBdr>
            <w:top w:val="none" w:sz="0" w:space="0" w:color="auto"/>
            <w:left w:val="none" w:sz="0" w:space="0" w:color="auto"/>
            <w:bottom w:val="none" w:sz="0" w:space="0" w:color="auto"/>
            <w:right w:val="none" w:sz="0" w:space="0" w:color="auto"/>
          </w:divBdr>
        </w:div>
        <w:div w:id="1439520468">
          <w:marLeft w:val="480"/>
          <w:marRight w:val="0"/>
          <w:marTop w:val="0"/>
          <w:marBottom w:val="0"/>
          <w:divBdr>
            <w:top w:val="none" w:sz="0" w:space="0" w:color="auto"/>
            <w:left w:val="none" w:sz="0" w:space="0" w:color="auto"/>
            <w:bottom w:val="none" w:sz="0" w:space="0" w:color="auto"/>
            <w:right w:val="none" w:sz="0" w:space="0" w:color="auto"/>
          </w:divBdr>
        </w:div>
        <w:div w:id="2115780926">
          <w:marLeft w:val="480"/>
          <w:marRight w:val="0"/>
          <w:marTop w:val="0"/>
          <w:marBottom w:val="0"/>
          <w:divBdr>
            <w:top w:val="none" w:sz="0" w:space="0" w:color="auto"/>
            <w:left w:val="none" w:sz="0" w:space="0" w:color="auto"/>
            <w:bottom w:val="none" w:sz="0" w:space="0" w:color="auto"/>
            <w:right w:val="none" w:sz="0" w:space="0" w:color="auto"/>
          </w:divBdr>
        </w:div>
        <w:div w:id="1692992155">
          <w:marLeft w:val="480"/>
          <w:marRight w:val="0"/>
          <w:marTop w:val="0"/>
          <w:marBottom w:val="0"/>
          <w:divBdr>
            <w:top w:val="none" w:sz="0" w:space="0" w:color="auto"/>
            <w:left w:val="none" w:sz="0" w:space="0" w:color="auto"/>
            <w:bottom w:val="none" w:sz="0" w:space="0" w:color="auto"/>
            <w:right w:val="none" w:sz="0" w:space="0" w:color="auto"/>
          </w:divBdr>
        </w:div>
        <w:div w:id="1098015457">
          <w:marLeft w:val="480"/>
          <w:marRight w:val="0"/>
          <w:marTop w:val="0"/>
          <w:marBottom w:val="0"/>
          <w:divBdr>
            <w:top w:val="none" w:sz="0" w:space="0" w:color="auto"/>
            <w:left w:val="none" w:sz="0" w:space="0" w:color="auto"/>
            <w:bottom w:val="none" w:sz="0" w:space="0" w:color="auto"/>
            <w:right w:val="none" w:sz="0" w:space="0" w:color="auto"/>
          </w:divBdr>
        </w:div>
        <w:div w:id="1079138621">
          <w:marLeft w:val="480"/>
          <w:marRight w:val="0"/>
          <w:marTop w:val="0"/>
          <w:marBottom w:val="0"/>
          <w:divBdr>
            <w:top w:val="none" w:sz="0" w:space="0" w:color="auto"/>
            <w:left w:val="none" w:sz="0" w:space="0" w:color="auto"/>
            <w:bottom w:val="none" w:sz="0" w:space="0" w:color="auto"/>
            <w:right w:val="none" w:sz="0" w:space="0" w:color="auto"/>
          </w:divBdr>
        </w:div>
        <w:div w:id="371393265">
          <w:marLeft w:val="480"/>
          <w:marRight w:val="0"/>
          <w:marTop w:val="0"/>
          <w:marBottom w:val="0"/>
          <w:divBdr>
            <w:top w:val="none" w:sz="0" w:space="0" w:color="auto"/>
            <w:left w:val="none" w:sz="0" w:space="0" w:color="auto"/>
            <w:bottom w:val="none" w:sz="0" w:space="0" w:color="auto"/>
            <w:right w:val="none" w:sz="0" w:space="0" w:color="auto"/>
          </w:divBdr>
        </w:div>
        <w:div w:id="84376315">
          <w:marLeft w:val="480"/>
          <w:marRight w:val="0"/>
          <w:marTop w:val="0"/>
          <w:marBottom w:val="0"/>
          <w:divBdr>
            <w:top w:val="none" w:sz="0" w:space="0" w:color="auto"/>
            <w:left w:val="none" w:sz="0" w:space="0" w:color="auto"/>
            <w:bottom w:val="none" w:sz="0" w:space="0" w:color="auto"/>
            <w:right w:val="none" w:sz="0" w:space="0" w:color="auto"/>
          </w:divBdr>
        </w:div>
        <w:div w:id="1618486660">
          <w:marLeft w:val="480"/>
          <w:marRight w:val="0"/>
          <w:marTop w:val="0"/>
          <w:marBottom w:val="0"/>
          <w:divBdr>
            <w:top w:val="none" w:sz="0" w:space="0" w:color="auto"/>
            <w:left w:val="none" w:sz="0" w:space="0" w:color="auto"/>
            <w:bottom w:val="none" w:sz="0" w:space="0" w:color="auto"/>
            <w:right w:val="none" w:sz="0" w:space="0" w:color="auto"/>
          </w:divBdr>
        </w:div>
        <w:div w:id="1926918252">
          <w:marLeft w:val="480"/>
          <w:marRight w:val="0"/>
          <w:marTop w:val="0"/>
          <w:marBottom w:val="0"/>
          <w:divBdr>
            <w:top w:val="none" w:sz="0" w:space="0" w:color="auto"/>
            <w:left w:val="none" w:sz="0" w:space="0" w:color="auto"/>
            <w:bottom w:val="none" w:sz="0" w:space="0" w:color="auto"/>
            <w:right w:val="none" w:sz="0" w:space="0" w:color="auto"/>
          </w:divBdr>
        </w:div>
        <w:div w:id="668950054">
          <w:marLeft w:val="480"/>
          <w:marRight w:val="0"/>
          <w:marTop w:val="0"/>
          <w:marBottom w:val="0"/>
          <w:divBdr>
            <w:top w:val="none" w:sz="0" w:space="0" w:color="auto"/>
            <w:left w:val="none" w:sz="0" w:space="0" w:color="auto"/>
            <w:bottom w:val="none" w:sz="0" w:space="0" w:color="auto"/>
            <w:right w:val="none" w:sz="0" w:space="0" w:color="auto"/>
          </w:divBdr>
        </w:div>
        <w:div w:id="744835419">
          <w:marLeft w:val="480"/>
          <w:marRight w:val="0"/>
          <w:marTop w:val="0"/>
          <w:marBottom w:val="0"/>
          <w:divBdr>
            <w:top w:val="none" w:sz="0" w:space="0" w:color="auto"/>
            <w:left w:val="none" w:sz="0" w:space="0" w:color="auto"/>
            <w:bottom w:val="none" w:sz="0" w:space="0" w:color="auto"/>
            <w:right w:val="none" w:sz="0" w:space="0" w:color="auto"/>
          </w:divBdr>
        </w:div>
        <w:div w:id="1047989788">
          <w:marLeft w:val="480"/>
          <w:marRight w:val="0"/>
          <w:marTop w:val="0"/>
          <w:marBottom w:val="0"/>
          <w:divBdr>
            <w:top w:val="none" w:sz="0" w:space="0" w:color="auto"/>
            <w:left w:val="none" w:sz="0" w:space="0" w:color="auto"/>
            <w:bottom w:val="none" w:sz="0" w:space="0" w:color="auto"/>
            <w:right w:val="none" w:sz="0" w:space="0" w:color="auto"/>
          </w:divBdr>
        </w:div>
        <w:div w:id="1764759560">
          <w:marLeft w:val="480"/>
          <w:marRight w:val="0"/>
          <w:marTop w:val="0"/>
          <w:marBottom w:val="0"/>
          <w:divBdr>
            <w:top w:val="none" w:sz="0" w:space="0" w:color="auto"/>
            <w:left w:val="none" w:sz="0" w:space="0" w:color="auto"/>
            <w:bottom w:val="none" w:sz="0" w:space="0" w:color="auto"/>
            <w:right w:val="none" w:sz="0" w:space="0" w:color="auto"/>
          </w:divBdr>
        </w:div>
        <w:div w:id="1678920447">
          <w:marLeft w:val="480"/>
          <w:marRight w:val="0"/>
          <w:marTop w:val="0"/>
          <w:marBottom w:val="0"/>
          <w:divBdr>
            <w:top w:val="none" w:sz="0" w:space="0" w:color="auto"/>
            <w:left w:val="none" w:sz="0" w:space="0" w:color="auto"/>
            <w:bottom w:val="none" w:sz="0" w:space="0" w:color="auto"/>
            <w:right w:val="none" w:sz="0" w:space="0" w:color="auto"/>
          </w:divBdr>
        </w:div>
        <w:div w:id="1160078206">
          <w:marLeft w:val="480"/>
          <w:marRight w:val="0"/>
          <w:marTop w:val="0"/>
          <w:marBottom w:val="0"/>
          <w:divBdr>
            <w:top w:val="none" w:sz="0" w:space="0" w:color="auto"/>
            <w:left w:val="none" w:sz="0" w:space="0" w:color="auto"/>
            <w:bottom w:val="none" w:sz="0" w:space="0" w:color="auto"/>
            <w:right w:val="none" w:sz="0" w:space="0" w:color="auto"/>
          </w:divBdr>
        </w:div>
        <w:div w:id="1838812151">
          <w:marLeft w:val="480"/>
          <w:marRight w:val="0"/>
          <w:marTop w:val="0"/>
          <w:marBottom w:val="0"/>
          <w:divBdr>
            <w:top w:val="none" w:sz="0" w:space="0" w:color="auto"/>
            <w:left w:val="none" w:sz="0" w:space="0" w:color="auto"/>
            <w:bottom w:val="none" w:sz="0" w:space="0" w:color="auto"/>
            <w:right w:val="none" w:sz="0" w:space="0" w:color="auto"/>
          </w:divBdr>
        </w:div>
        <w:div w:id="451678264">
          <w:marLeft w:val="480"/>
          <w:marRight w:val="0"/>
          <w:marTop w:val="0"/>
          <w:marBottom w:val="0"/>
          <w:divBdr>
            <w:top w:val="none" w:sz="0" w:space="0" w:color="auto"/>
            <w:left w:val="none" w:sz="0" w:space="0" w:color="auto"/>
            <w:bottom w:val="none" w:sz="0" w:space="0" w:color="auto"/>
            <w:right w:val="none" w:sz="0" w:space="0" w:color="auto"/>
          </w:divBdr>
        </w:div>
        <w:div w:id="239995366">
          <w:marLeft w:val="480"/>
          <w:marRight w:val="0"/>
          <w:marTop w:val="0"/>
          <w:marBottom w:val="0"/>
          <w:divBdr>
            <w:top w:val="none" w:sz="0" w:space="0" w:color="auto"/>
            <w:left w:val="none" w:sz="0" w:space="0" w:color="auto"/>
            <w:bottom w:val="none" w:sz="0" w:space="0" w:color="auto"/>
            <w:right w:val="none" w:sz="0" w:space="0" w:color="auto"/>
          </w:divBdr>
        </w:div>
        <w:div w:id="1286154846">
          <w:marLeft w:val="480"/>
          <w:marRight w:val="0"/>
          <w:marTop w:val="0"/>
          <w:marBottom w:val="0"/>
          <w:divBdr>
            <w:top w:val="none" w:sz="0" w:space="0" w:color="auto"/>
            <w:left w:val="none" w:sz="0" w:space="0" w:color="auto"/>
            <w:bottom w:val="none" w:sz="0" w:space="0" w:color="auto"/>
            <w:right w:val="none" w:sz="0" w:space="0" w:color="auto"/>
          </w:divBdr>
        </w:div>
        <w:div w:id="1469857753">
          <w:marLeft w:val="480"/>
          <w:marRight w:val="0"/>
          <w:marTop w:val="0"/>
          <w:marBottom w:val="0"/>
          <w:divBdr>
            <w:top w:val="none" w:sz="0" w:space="0" w:color="auto"/>
            <w:left w:val="none" w:sz="0" w:space="0" w:color="auto"/>
            <w:bottom w:val="none" w:sz="0" w:space="0" w:color="auto"/>
            <w:right w:val="none" w:sz="0" w:space="0" w:color="auto"/>
          </w:divBdr>
        </w:div>
        <w:div w:id="907886215">
          <w:marLeft w:val="480"/>
          <w:marRight w:val="0"/>
          <w:marTop w:val="0"/>
          <w:marBottom w:val="0"/>
          <w:divBdr>
            <w:top w:val="none" w:sz="0" w:space="0" w:color="auto"/>
            <w:left w:val="none" w:sz="0" w:space="0" w:color="auto"/>
            <w:bottom w:val="none" w:sz="0" w:space="0" w:color="auto"/>
            <w:right w:val="none" w:sz="0" w:space="0" w:color="auto"/>
          </w:divBdr>
        </w:div>
        <w:div w:id="91171461">
          <w:marLeft w:val="480"/>
          <w:marRight w:val="0"/>
          <w:marTop w:val="0"/>
          <w:marBottom w:val="0"/>
          <w:divBdr>
            <w:top w:val="none" w:sz="0" w:space="0" w:color="auto"/>
            <w:left w:val="none" w:sz="0" w:space="0" w:color="auto"/>
            <w:bottom w:val="none" w:sz="0" w:space="0" w:color="auto"/>
            <w:right w:val="none" w:sz="0" w:space="0" w:color="auto"/>
          </w:divBdr>
        </w:div>
        <w:div w:id="2087414640">
          <w:marLeft w:val="480"/>
          <w:marRight w:val="0"/>
          <w:marTop w:val="0"/>
          <w:marBottom w:val="0"/>
          <w:divBdr>
            <w:top w:val="none" w:sz="0" w:space="0" w:color="auto"/>
            <w:left w:val="none" w:sz="0" w:space="0" w:color="auto"/>
            <w:bottom w:val="none" w:sz="0" w:space="0" w:color="auto"/>
            <w:right w:val="none" w:sz="0" w:space="0" w:color="auto"/>
          </w:divBdr>
        </w:div>
        <w:div w:id="871695184">
          <w:marLeft w:val="480"/>
          <w:marRight w:val="0"/>
          <w:marTop w:val="0"/>
          <w:marBottom w:val="0"/>
          <w:divBdr>
            <w:top w:val="none" w:sz="0" w:space="0" w:color="auto"/>
            <w:left w:val="none" w:sz="0" w:space="0" w:color="auto"/>
            <w:bottom w:val="none" w:sz="0" w:space="0" w:color="auto"/>
            <w:right w:val="none" w:sz="0" w:space="0" w:color="auto"/>
          </w:divBdr>
        </w:div>
        <w:div w:id="2059740206">
          <w:marLeft w:val="480"/>
          <w:marRight w:val="0"/>
          <w:marTop w:val="0"/>
          <w:marBottom w:val="0"/>
          <w:divBdr>
            <w:top w:val="none" w:sz="0" w:space="0" w:color="auto"/>
            <w:left w:val="none" w:sz="0" w:space="0" w:color="auto"/>
            <w:bottom w:val="none" w:sz="0" w:space="0" w:color="auto"/>
            <w:right w:val="none" w:sz="0" w:space="0" w:color="auto"/>
          </w:divBdr>
        </w:div>
        <w:div w:id="989406270">
          <w:marLeft w:val="480"/>
          <w:marRight w:val="0"/>
          <w:marTop w:val="0"/>
          <w:marBottom w:val="0"/>
          <w:divBdr>
            <w:top w:val="none" w:sz="0" w:space="0" w:color="auto"/>
            <w:left w:val="none" w:sz="0" w:space="0" w:color="auto"/>
            <w:bottom w:val="none" w:sz="0" w:space="0" w:color="auto"/>
            <w:right w:val="none" w:sz="0" w:space="0" w:color="auto"/>
          </w:divBdr>
        </w:div>
        <w:div w:id="813134634">
          <w:marLeft w:val="480"/>
          <w:marRight w:val="0"/>
          <w:marTop w:val="0"/>
          <w:marBottom w:val="0"/>
          <w:divBdr>
            <w:top w:val="none" w:sz="0" w:space="0" w:color="auto"/>
            <w:left w:val="none" w:sz="0" w:space="0" w:color="auto"/>
            <w:bottom w:val="none" w:sz="0" w:space="0" w:color="auto"/>
            <w:right w:val="none" w:sz="0" w:space="0" w:color="auto"/>
          </w:divBdr>
        </w:div>
        <w:div w:id="2146509383">
          <w:marLeft w:val="480"/>
          <w:marRight w:val="0"/>
          <w:marTop w:val="0"/>
          <w:marBottom w:val="0"/>
          <w:divBdr>
            <w:top w:val="none" w:sz="0" w:space="0" w:color="auto"/>
            <w:left w:val="none" w:sz="0" w:space="0" w:color="auto"/>
            <w:bottom w:val="none" w:sz="0" w:space="0" w:color="auto"/>
            <w:right w:val="none" w:sz="0" w:space="0" w:color="auto"/>
          </w:divBdr>
        </w:div>
        <w:div w:id="434398548">
          <w:marLeft w:val="480"/>
          <w:marRight w:val="0"/>
          <w:marTop w:val="0"/>
          <w:marBottom w:val="0"/>
          <w:divBdr>
            <w:top w:val="none" w:sz="0" w:space="0" w:color="auto"/>
            <w:left w:val="none" w:sz="0" w:space="0" w:color="auto"/>
            <w:bottom w:val="none" w:sz="0" w:space="0" w:color="auto"/>
            <w:right w:val="none" w:sz="0" w:space="0" w:color="auto"/>
          </w:divBdr>
        </w:div>
        <w:div w:id="1901790582">
          <w:marLeft w:val="480"/>
          <w:marRight w:val="0"/>
          <w:marTop w:val="0"/>
          <w:marBottom w:val="0"/>
          <w:divBdr>
            <w:top w:val="none" w:sz="0" w:space="0" w:color="auto"/>
            <w:left w:val="none" w:sz="0" w:space="0" w:color="auto"/>
            <w:bottom w:val="none" w:sz="0" w:space="0" w:color="auto"/>
            <w:right w:val="none" w:sz="0" w:space="0" w:color="auto"/>
          </w:divBdr>
        </w:div>
        <w:div w:id="806166748">
          <w:marLeft w:val="480"/>
          <w:marRight w:val="0"/>
          <w:marTop w:val="0"/>
          <w:marBottom w:val="0"/>
          <w:divBdr>
            <w:top w:val="none" w:sz="0" w:space="0" w:color="auto"/>
            <w:left w:val="none" w:sz="0" w:space="0" w:color="auto"/>
            <w:bottom w:val="none" w:sz="0" w:space="0" w:color="auto"/>
            <w:right w:val="none" w:sz="0" w:space="0" w:color="auto"/>
          </w:divBdr>
        </w:div>
        <w:div w:id="485781206">
          <w:marLeft w:val="480"/>
          <w:marRight w:val="0"/>
          <w:marTop w:val="0"/>
          <w:marBottom w:val="0"/>
          <w:divBdr>
            <w:top w:val="none" w:sz="0" w:space="0" w:color="auto"/>
            <w:left w:val="none" w:sz="0" w:space="0" w:color="auto"/>
            <w:bottom w:val="none" w:sz="0" w:space="0" w:color="auto"/>
            <w:right w:val="none" w:sz="0" w:space="0" w:color="auto"/>
          </w:divBdr>
        </w:div>
        <w:div w:id="602809599">
          <w:marLeft w:val="480"/>
          <w:marRight w:val="0"/>
          <w:marTop w:val="0"/>
          <w:marBottom w:val="0"/>
          <w:divBdr>
            <w:top w:val="none" w:sz="0" w:space="0" w:color="auto"/>
            <w:left w:val="none" w:sz="0" w:space="0" w:color="auto"/>
            <w:bottom w:val="none" w:sz="0" w:space="0" w:color="auto"/>
            <w:right w:val="none" w:sz="0" w:space="0" w:color="auto"/>
          </w:divBdr>
        </w:div>
        <w:div w:id="1225139076">
          <w:marLeft w:val="480"/>
          <w:marRight w:val="0"/>
          <w:marTop w:val="0"/>
          <w:marBottom w:val="0"/>
          <w:divBdr>
            <w:top w:val="none" w:sz="0" w:space="0" w:color="auto"/>
            <w:left w:val="none" w:sz="0" w:space="0" w:color="auto"/>
            <w:bottom w:val="none" w:sz="0" w:space="0" w:color="auto"/>
            <w:right w:val="none" w:sz="0" w:space="0" w:color="auto"/>
          </w:divBdr>
        </w:div>
        <w:div w:id="1282107300">
          <w:marLeft w:val="480"/>
          <w:marRight w:val="0"/>
          <w:marTop w:val="0"/>
          <w:marBottom w:val="0"/>
          <w:divBdr>
            <w:top w:val="none" w:sz="0" w:space="0" w:color="auto"/>
            <w:left w:val="none" w:sz="0" w:space="0" w:color="auto"/>
            <w:bottom w:val="none" w:sz="0" w:space="0" w:color="auto"/>
            <w:right w:val="none" w:sz="0" w:space="0" w:color="auto"/>
          </w:divBdr>
        </w:div>
        <w:div w:id="1323896525">
          <w:marLeft w:val="480"/>
          <w:marRight w:val="0"/>
          <w:marTop w:val="0"/>
          <w:marBottom w:val="0"/>
          <w:divBdr>
            <w:top w:val="none" w:sz="0" w:space="0" w:color="auto"/>
            <w:left w:val="none" w:sz="0" w:space="0" w:color="auto"/>
            <w:bottom w:val="none" w:sz="0" w:space="0" w:color="auto"/>
            <w:right w:val="none" w:sz="0" w:space="0" w:color="auto"/>
          </w:divBdr>
        </w:div>
        <w:div w:id="543177730">
          <w:marLeft w:val="480"/>
          <w:marRight w:val="0"/>
          <w:marTop w:val="0"/>
          <w:marBottom w:val="0"/>
          <w:divBdr>
            <w:top w:val="none" w:sz="0" w:space="0" w:color="auto"/>
            <w:left w:val="none" w:sz="0" w:space="0" w:color="auto"/>
            <w:bottom w:val="none" w:sz="0" w:space="0" w:color="auto"/>
            <w:right w:val="none" w:sz="0" w:space="0" w:color="auto"/>
          </w:divBdr>
        </w:div>
        <w:div w:id="1668826661">
          <w:marLeft w:val="480"/>
          <w:marRight w:val="0"/>
          <w:marTop w:val="0"/>
          <w:marBottom w:val="0"/>
          <w:divBdr>
            <w:top w:val="none" w:sz="0" w:space="0" w:color="auto"/>
            <w:left w:val="none" w:sz="0" w:space="0" w:color="auto"/>
            <w:bottom w:val="none" w:sz="0" w:space="0" w:color="auto"/>
            <w:right w:val="none" w:sz="0" w:space="0" w:color="auto"/>
          </w:divBdr>
        </w:div>
        <w:div w:id="1092362103">
          <w:marLeft w:val="480"/>
          <w:marRight w:val="0"/>
          <w:marTop w:val="0"/>
          <w:marBottom w:val="0"/>
          <w:divBdr>
            <w:top w:val="none" w:sz="0" w:space="0" w:color="auto"/>
            <w:left w:val="none" w:sz="0" w:space="0" w:color="auto"/>
            <w:bottom w:val="none" w:sz="0" w:space="0" w:color="auto"/>
            <w:right w:val="none" w:sz="0" w:space="0" w:color="auto"/>
          </w:divBdr>
        </w:div>
        <w:div w:id="472136398">
          <w:marLeft w:val="480"/>
          <w:marRight w:val="0"/>
          <w:marTop w:val="0"/>
          <w:marBottom w:val="0"/>
          <w:divBdr>
            <w:top w:val="none" w:sz="0" w:space="0" w:color="auto"/>
            <w:left w:val="none" w:sz="0" w:space="0" w:color="auto"/>
            <w:bottom w:val="none" w:sz="0" w:space="0" w:color="auto"/>
            <w:right w:val="none" w:sz="0" w:space="0" w:color="auto"/>
          </w:divBdr>
        </w:div>
        <w:div w:id="329453305">
          <w:marLeft w:val="480"/>
          <w:marRight w:val="0"/>
          <w:marTop w:val="0"/>
          <w:marBottom w:val="0"/>
          <w:divBdr>
            <w:top w:val="none" w:sz="0" w:space="0" w:color="auto"/>
            <w:left w:val="none" w:sz="0" w:space="0" w:color="auto"/>
            <w:bottom w:val="none" w:sz="0" w:space="0" w:color="auto"/>
            <w:right w:val="none" w:sz="0" w:space="0" w:color="auto"/>
          </w:divBdr>
        </w:div>
        <w:div w:id="1191064833">
          <w:marLeft w:val="480"/>
          <w:marRight w:val="0"/>
          <w:marTop w:val="0"/>
          <w:marBottom w:val="0"/>
          <w:divBdr>
            <w:top w:val="none" w:sz="0" w:space="0" w:color="auto"/>
            <w:left w:val="none" w:sz="0" w:space="0" w:color="auto"/>
            <w:bottom w:val="none" w:sz="0" w:space="0" w:color="auto"/>
            <w:right w:val="none" w:sz="0" w:space="0" w:color="auto"/>
          </w:divBdr>
        </w:div>
        <w:div w:id="553738847">
          <w:marLeft w:val="480"/>
          <w:marRight w:val="0"/>
          <w:marTop w:val="0"/>
          <w:marBottom w:val="0"/>
          <w:divBdr>
            <w:top w:val="none" w:sz="0" w:space="0" w:color="auto"/>
            <w:left w:val="none" w:sz="0" w:space="0" w:color="auto"/>
            <w:bottom w:val="none" w:sz="0" w:space="0" w:color="auto"/>
            <w:right w:val="none" w:sz="0" w:space="0" w:color="auto"/>
          </w:divBdr>
        </w:div>
        <w:div w:id="1841773438">
          <w:marLeft w:val="480"/>
          <w:marRight w:val="0"/>
          <w:marTop w:val="0"/>
          <w:marBottom w:val="0"/>
          <w:divBdr>
            <w:top w:val="none" w:sz="0" w:space="0" w:color="auto"/>
            <w:left w:val="none" w:sz="0" w:space="0" w:color="auto"/>
            <w:bottom w:val="none" w:sz="0" w:space="0" w:color="auto"/>
            <w:right w:val="none" w:sz="0" w:space="0" w:color="auto"/>
          </w:divBdr>
        </w:div>
        <w:div w:id="1137838385">
          <w:marLeft w:val="480"/>
          <w:marRight w:val="0"/>
          <w:marTop w:val="0"/>
          <w:marBottom w:val="0"/>
          <w:divBdr>
            <w:top w:val="none" w:sz="0" w:space="0" w:color="auto"/>
            <w:left w:val="none" w:sz="0" w:space="0" w:color="auto"/>
            <w:bottom w:val="none" w:sz="0" w:space="0" w:color="auto"/>
            <w:right w:val="none" w:sz="0" w:space="0" w:color="auto"/>
          </w:divBdr>
        </w:div>
        <w:div w:id="2030720071">
          <w:marLeft w:val="480"/>
          <w:marRight w:val="0"/>
          <w:marTop w:val="0"/>
          <w:marBottom w:val="0"/>
          <w:divBdr>
            <w:top w:val="none" w:sz="0" w:space="0" w:color="auto"/>
            <w:left w:val="none" w:sz="0" w:space="0" w:color="auto"/>
            <w:bottom w:val="none" w:sz="0" w:space="0" w:color="auto"/>
            <w:right w:val="none" w:sz="0" w:space="0" w:color="auto"/>
          </w:divBdr>
        </w:div>
        <w:div w:id="1265459479">
          <w:marLeft w:val="480"/>
          <w:marRight w:val="0"/>
          <w:marTop w:val="0"/>
          <w:marBottom w:val="0"/>
          <w:divBdr>
            <w:top w:val="none" w:sz="0" w:space="0" w:color="auto"/>
            <w:left w:val="none" w:sz="0" w:space="0" w:color="auto"/>
            <w:bottom w:val="none" w:sz="0" w:space="0" w:color="auto"/>
            <w:right w:val="none" w:sz="0" w:space="0" w:color="auto"/>
          </w:divBdr>
        </w:div>
        <w:div w:id="163009302">
          <w:marLeft w:val="480"/>
          <w:marRight w:val="0"/>
          <w:marTop w:val="0"/>
          <w:marBottom w:val="0"/>
          <w:divBdr>
            <w:top w:val="none" w:sz="0" w:space="0" w:color="auto"/>
            <w:left w:val="none" w:sz="0" w:space="0" w:color="auto"/>
            <w:bottom w:val="none" w:sz="0" w:space="0" w:color="auto"/>
            <w:right w:val="none" w:sz="0" w:space="0" w:color="auto"/>
          </w:divBdr>
        </w:div>
        <w:div w:id="88277248">
          <w:marLeft w:val="480"/>
          <w:marRight w:val="0"/>
          <w:marTop w:val="0"/>
          <w:marBottom w:val="0"/>
          <w:divBdr>
            <w:top w:val="none" w:sz="0" w:space="0" w:color="auto"/>
            <w:left w:val="none" w:sz="0" w:space="0" w:color="auto"/>
            <w:bottom w:val="none" w:sz="0" w:space="0" w:color="auto"/>
            <w:right w:val="none" w:sz="0" w:space="0" w:color="auto"/>
          </w:divBdr>
        </w:div>
        <w:div w:id="347634704">
          <w:marLeft w:val="480"/>
          <w:marRight w:val="0"/>
          <w:marTop w:val="0"/>
          <w:marBottom w:val="0"/>
          <w:divBdr>
            <w:top w:val="none" w:sz="0" w:space="0" w:color="auto"/>
            <w:left w:val="none" w:sz="0" w:space="0" w:color="auto"/>
            <w:bottom w:val="none" w:sz="0" w:space="0" w:color="auto"/>
            <w:right w:val="none" w:sz="0" w:space="0" w:color="auto"/>
          </w:divBdr>
        </w:div>
        <w:div w:id="1757557227">
          <w:marLeft w:val="480"/>
          <w:marRight w:val="0"/>
          <w:marTop w:val="0"/>
          <w:marBottom w:val="0"/>
          <w:divBdr>
            <w:top w:val="none" w:sz="0" w:space="0" w:color="auto"/>
            <w:left w:val="none" w:sz="0" w:space="0" w:color="auto"/>
            <w:bottom w:val="none" w:sz="0" w:space="0" w:color="auto"/>
            <w:right w:val="none" w:sz="0" w:space="0" w:color="auto"/>
          </w:divBdr>
        </w:div>
        <w:div w:id="787939584">
          <w:marLeft w:val="480"/>
          <w:marRight w:val="0"/>
          <w:marTop w:val="0"/>
          <w:marBottom w:val="0"/>
          <w:divBdr>
            <w:top w:val="none" w:sz="0" w:space="0" w:color="auto"/>
            <w:left w:val="none" w:sz="0" w:space="0" w:color="auto"/>
            <w:bottom w:val="none" w:sz="0" w:space="0" w:color="auto"/>
            <w:right w:val="none" w:sz="0" w:space="0" w:color="auto"/>
          </w:divBdr>
        </w:div>
        <w:div w:id="1697658275">
          <w:marLeft w:val="480"/>
          <w:marRight w:val="0"/>
          <w:marTop w:val="0"/>
          <w:marBottom w:val="0"/>
          <w:divBdr>
            <w:top w:val="none" w:sz="0" w:space="0" w:color="auto"/>
            <w:left w:val="none" w:sz="0" w:space="0" w:color="auto"/>
            <w:bottom w:val="none" w:sz="0" w:space="0" w:color="auto"/>
            <w:right w:val="none" w:sz="0" w:space="0" w:color="auto"/>
          </w:divBdr>
        </w:div>
        <w:div w:id="2145152028">
          <w:marLeft w:val="480"/>
          <w:marRight w:val="0"/>
          <w:marTop w:val="0"/>
          <w:marBottom w:val="0"/>
          <w:divBdr>
            <w:top w:val="none" w:sz="0" w:space="0" w:color="auto"/>
            <w:left w:val="none" w:sz="0" w:space="0" w:color="auto"/>
            <w:bottom w:val="none" w:sz="0" w:space="0" w:color="auto"/>
            <w:right w:val="none" w:sz="0" w:space="0" w:color="auto"/>
          </w:divBdr>
        </w:div>
        <w:div w:id="2075423023">
          <w:marLeft w:val="480"/>
          <w:marRight w:val="0"/>
          <w:marTop w:val="0"/>
          <w:marBottom w:val="0"/>
          <w:divBdr>
            <w:top w:val="none" w:sz="0" w:space="0" w:color="auto"/>
            <w:left w:val="none" w:sz="0" w:space="0" w:color="auto"/>
            <w:bottom w:val="none" w:sz="0" w:space="0" w:color="auto"/>
            <w:right w:val="none" w:sz="0" w:space="0" w:color="auto"/>
          </w:divBdr>
        </w:div>
        <w:div w:id="1096096803">
          <w:marLeft w:val="480"/>
          <w:marRight w:val="0"/>
          <w:marTop w:val="0"/>
          <w:marBottom w:val="0"/>
          <w:divBdr>
            <w:top w:val="none" w:sz="0" w:space="0" w:color="auto"/>
            <w:left w:val="none" w:sz="0" w:space="0" w:color="auto"/>
            <w:bottom w:val="none" w:sz="0" w:space="0" w:color="auto"/>
            <w:right w:val="none" w:sz="0" w:space="0" w:color="auto"/>
          </w:divBdr>
        </w:div>
      </w:divsChild>
    </w:div>
    <w:div w:id="405613091">
      <w:bodyDiv w:val="1"/>
      <w:marLeft w:val="0"/>
      <w:marRight w:val="0"/>
      <w:marTop w:val="0"/>
      <w:marBottom w:val="0"/>
      <w:divBdr>
        <w:top w:val="none" w:sz="0" w:space="0" w:color="auto"/>
        <w:left w:val="none" w:sz="0" w:space="0" w:color="auto"/>
        <w:bottom w:val="none" w:sz="0" w:space="0" w:color="auto"/>
        <w:right w:val="none" w:sz="0" w:space="0" w:color="auto"/>
      </w:divBdr>
    </w:div>
    <w:div w:id="405685617">
      <w:bodyDiv w:val="1"/>
      <w:marLeft w:val="0"/>
      <w:marRight w:val="0"/>
      <w:marTop w:val="0"/>
      <w:marBottom w:val="0"/>
      <w:divBdr>
        <w:top w:val="none" w:sz="0" w:space="0" w:color="auto"/>
        <w:left w:val="none" w:sz="0" w:space="0" w:color="auto"/>
        <w:bottom w:val="none" w:sz="0" w:space="0" w:color="auto"/>
        <w:right w:val="none" w:sz="0" w:space="0" w:color="auto"/>
      </w:divBdr>
    </w:div>
    <w:div w:id="405803126">
      <w:bodyDiv w:val="1"/>
      <w:marLeft w:val="0"/>
      <w:marRight w:val="0"/>
      <w:marTop w:val="0"/>
      <w:marBottom w:val="0"/>
      <w:divBdr>
        <w:top w:val="none" w:sz="0" w:space="0" w:color="auto"/>
        <w:left w:val="none" w:sz="0" w:space="0" w:color="auto"/>
        <w:bottom w:val="none" w:sz="0" w:space="0" w:color="auto"/>
        <w:right w:val="none" w:sz="0" w:space="0" w:color="auto"/>
      </w:divBdr>
    </w:div>
    <w:div w:id="407505614">
      <w:bodyDiv w:val="1"/>
      <w:marLeft w:val="0"/>
      <w:marRight w:val="0"/>
      <w:marTop w:val="0"/>
      <w:marBottom w:val="0"/>
      <w:divBdr>
        <w:top w:val="none" w:sz="0" w:space="0" w:color="auto"/>
        <w:left w:val="none" w:sz="0" w:space="0" w:color="auto"/>
        <w:bottom w:val="none" w:sz="0" w:space="0" w:color="auto"/>
        <w:right w:val="none" w:sz="0" w:space="0" w:color="auto"/>
      </w:divBdr>
    </w:div>
    <w:div w:id="407924615">
      <w:bodyDiv w:val="1"/>
      <w:marLeft w:val="0"/>
      <w:marRight w:val="0"/>
      <w:marTop w:val="0"/>
      <w:marBottom w:val="0"/>
      <w:divBdr>
        <w:top w:val="none" w:sz="0" w:space="0" w:color="auto"/>
        <w:left w:val="none" w:sz="0" w:space="0" w:color="auto"/>
        <w:bottom w:val="none" w:sz="0" w:space="0" w:color="auto"/>
        <w:right w:val="none" w:sz="0" w:space="0" w:color="auto"/>
      </w:divBdr>
    </w:div>
    <w:div w:id="408306619">
      <w:bodyDiv w:val="1"/>
      <w:marLeft w:val="0"/>
      <w:marRight w:val="0"/>
      <w:marTop w:val="0"/>
      <w:marBottom w:val="0"/>
      <w:divBdr>
        <w:top w:val="none" w:sz="0" w:space="0" w:color="auto"/>
        <w:left w:val="none" w:sz="0" w:space="0" w:color="auto"/>
        <w:bottom w:val="none" w:sz="0" w:space="0" w:color="auto"/>
        <w:right w:val="none" w:sz="0" w:space="0" w:color="auto"/>
      </w:divBdr>
    </w:div>
    <w:div w:id="408624088">
      <w:bodyDiv w:val="1"/>
      <w:marLeft w:val="0"/>
      <w:marRight w:val="0"/>
      <w:marTop w:val="0"/>
      <w:marBottom w:val="0"/>
      <w:divBdr>
        <w:top w:val="none" w:sz="0" w:space="0" w:color="auto"/>
        <w:left w:val="none" w:sz="0" w:space="0" w:color="auto"/>
        <w:bottom w:val="none" w:sz="0" w:space="0" w:color="auto"/>
        <w:right w:val="none" w:sz="0" w:space="0" w:color="auto"/>
      </w:divBdr>
    </w:div>
    <w:div w:id="408767148">
      <w:bodyDiv w:val="1"/>
      <w:marLeft w:val="0"/>
      <w:marRight w:val="0"/>
      <w:marTop w:val="0"/>
      <w:marBottom w:val="0"/>
      <w:divBdr>
        <w:top w:val="none" w:sz="0" w:space="0" w:color="auto"/>
        <w:left w:val="none" w:sz="0" w:space="0" w:color="auto"/>
        <w:bottom w:val="none" w:sz="0" w:space="0" w:color="auto"/>
        <w:right w:val="none" w:sz="0" w:space="0" w:color="auto"/>
      </w:divBdr>
    </w:div>
    <w:div w:id="409042332">
      <w:bodyDiv w:val="1"/>
      <w:marLeft w:val="0"/>
      <w:marRight w:val="0"/>
      <w:marTop w:val="0"/>
      <w:marBottom w:val="0"/>
      <w:divBdr>
        <w:top w:val="none" w:sz="0" w:space="0" w:color="auto"/>
        <w:left w:val="none" w:sz="0" w:space="0" w:color="auto"/>
        <w:bottom w:val="none" w:sz="0" w:space="0" w:color="auto"/>
        <w:right w:val="none" w:sz="0" w:space="0" w:color="auto"/>
      </w:divBdr>
    </w:div>
    <w:div w:id="409086520">
      <w:bodyDiv w:val="1"/>
      <w:marLeft w:val="0"/>
      <w:marRight w:val="0"/>
      <w:marTop w:val="0"/>
      <w:marBottom w:val="0"/>
      <w:divBdr>
        <w:top w:val="none" w:sz="0" w:space="0" w:color="auto"/>
        <w:left w:val="none" w:sz="0" w:space="0" w:color="auto"/>
        <w:bottom w:val="none" w:sz="0" w:space="0" w:color="auto"/>
        <w:right w:val="none" w:sz="0" w:space="0" w:color="auto"/>
      </w:divBdr>
    </w:div>
    <w:div w:id="409812068">
      <w:bodyDiv w:val="1"/>
      <w:marLeft w:val="0"/>
      <w:marRight w:val="0"/>
      <w:marTop w:val="0"/>
      <w:marBottom w:val="0"/>
      <w:divBdr>
        <w:top w:val="none" w:sz="0" w:space="0" w:color="auto"/>
        <w:left w:val="none" w:sz="0" w:space="0" w:color="auto"/>
        <w:bottom w:val="none" w:sz="0" w:space="0" w:color="auto"/>
        <w:right w:val="none" w:sz="0" w:space="0" w:color="auto"/>
      </w:divBdr>
    </w:div>
    <w:div w:id="411195170">
      <w:bodyDiv w:val="1"/>
      <w:marLeft w:val="0"/>
      <w:marRight w:val="0"/>
      <w:marTop w:val="0"/>
      <w:marBottom w:val="0"/>
      <w:divBdr>
        <w:top w:val="none" w:sz="0" w:space="0" w:color="auto"/>
        <w:left w:val="none" w:sz="0" w:space="0" w:color="auto"/>
        <w:bottom w:val="none" w:sz="0" w:space="0" w:color="auto"/>
        <w:right w:val="none" w:sz="0" w:space="0" w:color="auto"/>
      </w:divBdr>
    </w:div>
    <w:div w:id="411894514">
      <w:bodyDiv w:val="1"/>
      <w:marLeft w:val="0"/>
      <w:marRight w:val="0"/>
      <w:marTop w:val="0"/>
      <w:marBottom w:val="0"/>
      <w:divBdr>
        <w:top w:val="none" w:sz="0" w:space="0" w:color="auto"/>
        <w:left w:val="none" w:sz="0" w:space="0" w:color="auto"/>
        <w:bottom w:val="none" w:sz="0" w:space="0" w:color="auto"/>
        <w:right w:val="none" w:sz="0" w:space="0" w:color="auto"/>
      </w:divBdr>
    </w:div>
    <w:div w:id="412168412">
      <w:bodyDiv w:val="1"/>
      <w:marLeft w:val="0"/>
      <w:marRight w:val="0"/>
      <w:marTop w:val="0"/>
      <w:marBottom w:val="0"/>
      <w:divBdr>
        <w:top w:val="none" w:sz="0" w:space="0" w:color="auto"/>
        <w:left w:val="none" w:sz="0" w:space="0" w:color="auto"/>
        <w:bottom w:val="none" w:sz="0" w:space="0" w:color="auto"/>
        <w:right w:val="none" w:sz="0" w:space="0" w:color="auto"/>
      </w:divBdr>
    </w:div>
    <w:div w:id="414673465">
      <w:bodyDiv w:val="1"/>
      <w:marLeft w:val="0"/>
      <w:marRight w:val="0"/>
      <w:marTop w:val="0"/>
      <w:marBottom w:val="0"/>
      <w:divBdr>
        <w:top w:val="none" w:sz="0" w:space="0" w:color="auto"/>
        <w:left w:val="none" w:sz="0" w:space="0" w:color="auto"/>
        <w:bottom w:val="none" w:sz="0" w:space="0" w:color="auto"/>
        <w:right w:val="none" w:sz="0" w:space="0" w:color="auto"/>
      </w:divBdr>
    </w:div>
    <w:div w:id="415129462">
      <w:bodyDiv w:val="1"/>
      <w:marLeft w:val="0"/>
      <w:marRight w:val="0"/>
      <w:marTop w:val="0"/>
      <w:marBottom w:val="0"/>
      <w:divBdr>
        <w:top w:val="none" w:sz="0" w:space="0" w:color="auto"/>
        <w:left w:val="none" w:sz="0" w:space="0" w:color="auto"/>
        <w:bottom w:val="none" w:sz="0" w:space="0" w:color="auto"/>
        <w:right w:val="none" w:sz="0" w:space="0" w:color="auto"/>
      </w:divBdr>
    </w:div>
    <w:div w:id="415634039">
      <w:bodyDiv w:val="1"/>
      <w:marLeft w:val="0"/>
      <w:marRight w:val="0"/>
      <w:marTop w:val="0"/>
      <w:marBottom w:val="0"/>
      <w:divBdr>
        <w:top w:val="none" w:sz="0" w:space="0" w:color="auto"/>
        <w:left w:val="none" w:sz="0" w:space="0" w:color="auto"/>
        <w:bottom w:val="none" w:sz="0" w:space="0" w:color="auto"/>
        <w:right w:val="none" w:sz="0" w:space="0" w:color="auto"/>
      </w:divBdr>
    </w:div>
    <w:div w:id="415635657">
      <w:bodyDiv w:val="1"/>
      <w:marLeft w:val="0"/>
      <w:marRight w:val="0"/>
      <w:marTop w:val="0"/>
      <w:marBottom w:val="0"/>
      <w:divBdr>
        <w:top w:val="none" w:sz="0" w:space="0" w:color="auto"/>
        <w:left w:val="none" w:sz="0" w:space="0" w:color="auto"/>
        <w:bottom w:val="none" w:sz="0" w:space="0" w:color="auto"/>
        <w:right w:val="none" w:sz="0" w:space="0" w:color="auto"/>
      </w:divBdr>
    </w:div>
    <w:div w:id="416757259">
      <w:bodyDiv w:val="1"/>
      <w:marLeft w:val="0"/>
      <w:marRight w:val="0"/>
      <w:marTop w:val="0"/>
      <w:marBottom w:val="0"/>
      <w:divBdr>
        <w:top w:val="none" w:sz="0" w:space="0" w:color="auto"/>
        <w:left w:val="none" w:sz="0" w:space="0" w:color="auto"/>
        <w:bottom w:val="none" w:sz="0" w:space="0" w:color="auto"/>
        <w:right w:val="none" w:sz="0" w:space="0" w:color="auto"/>
      </w:divBdr>
    </w:div>
    <w:div w:id="416831846">
      <w:bodyDiv w:val="1"/>
      <w:marLeft w:val="0"/>
      <w:marRight w:val="0"/>
      <w:marTop w:val="0"/>
      <w:marBottom w:val="0"/>
      <w:divBdr>
        <w:top w:val="none" w:sz="0" w:space="0" w:color="auto"/>
        <w:left w:val="none" w:sz="0" w:space="0" w:color="auto"/>
        <w:bottom w:val="none" w:sz="0" w:space="0" w:color="auto"/>
        <w:right w:val="none" w:sz="0" w:space="0" w:color="auto"/>
      </w:divBdr>
    </w:div>
    <w:div w:id="417673568">
      <w:bodyDiv w:val="1"/>
      <w:marLeft w:val="0"/>
      <w:marRight w:val="0"/>
      <w:marTop w:val="0"/>
      <w:marBottom w:val="0"/>
      <w:divBdr>
        <w:top w:val="none" w:sz="0" w:space="0" w:color="auto"/>
        <w:left w:val="none" w:sz="0" w:space="0" w:color="auto"/>
        <w:bottom w:val="none" w:sz="0" w:space="0" w:color="auto"/>
        <w:right w:val="none" w:sz="0" w:space="0" w:color="auto"/>
      </w:divBdr>
    </w:div>
    <w:div w:id="417680263">
      <w:bodyDiv w:val="1"/>
      <w:marLeft w:val="0"/>
      <w:marRight w:val="0"/>
      <w:marTop w:val="0"/>
      <w:marBottom w:val="0"/>
      <w:divBdr>
        <w:top w:val="none" w:sz="0" w:space="0" w:color="auto"/>
        <w:left w:val="none" w:sz="0" w:space="0" w:color="auto"/>
        <w:bottom w:val="none" w:sz="0" w:space="0" w:color="auto"/>
        <w:right w:val="none" w:sz="0" w:space="0" w:color="auto"/>
      </w:divBdr>
    </w:div>
    <w:div w:id="418407754">
      <w:bodyDiv w:val="1"/>
      <w:marLeft w:val="0"/>
      <w:marRight w:val="0"/>
      <w:marTop w:val="0"/>
      <w:marBottom w:val="0"/>
      <w:divBdr>
        <w:top w:val="none" w:sz="0" w:space="0" w:color="auto"/>
        <w:left w:val="none" w:sz="0" w:space="0" w:color="auto"/>
        <w:bottom w:val="none" w:sz="0" w:space="0" w:color="auto"/>
        <w:right w:val="none" w:sz="0" w:space="0" w:color="auto"/>
      </w:divBdr>
    </w:div>
    <w:div w:id="418409314">
      <w:bodyDiv w:val="1"/>
      <w:marLeft w:val="0"/>
      <w:marRight w:val="0"/>
      <w:marTop w:val="0"/>
      <w:marBottom w:val="0"/>
      <w:divBdr>
        <w:top w:val="none" w:sz="0" w:space="0" w:color="auto"/>
        <w:left w:val="none" w:sz="0" w:space="0" w:color="auto"/>
        <w:bottom w:val="none" w:sz="0" w:space="0" w:color="auto"/>
        <w:right w:val="none" w:sz="0" w:space="0" w:color="auto"/>
      </w:divBdr>
    </w:div>
    <w:div w:id="419059392">
      <w:bodyDiv w:val="1"/>
      <w:marLeft w:val="0"/>
      <w:marRight w:val="0"/>
      <w:marTop w:val="0"/>
      <w:marBottom w:val="0"/>
      <w:divBdr>
        <w:top w:val="none" w:sz="0" w:space="0" w:color="auto"/>
        <w:left w:val="none" w:sz="0" w:space="0" w:color="auto"/>
        <w:bottom w:val="none" w:sz="0" w:space="0" w:color="auto"/>
        <w:right w:val="none" w:sz="0" w:space="0" w:color="auto"/>
      </w:divBdr>
    </w:div>
    <w:div w:id="419065439">
      <w:bodyDiv w:val="1"/>
      <w:marLeft w:val="0"/>
      <w:marRight w:val="0"/>
      <w:marTop w:val="0"/>
      <w:marBottom w:val="0"/>
      <w:divBdr>
        <w:top w:val="none" w:sz="0" w:space="0" w:color="auto"/>
        <w:left w:val="none" w:sz="0" w:space="0" w:color="auto"/>
        <w:bottom w:val="none" w:sz="0" w:space="0" w:color="auto"/>
        <w:right w:val="none" w:sz="0" w:space="0" w:color="auto"/>
      </w:divBdr>
    </w:div>
    <w:div w:id="419761444">
      <w:bodyDiv w:val="1"/>
      <w:marLeft w:val="0"/>
      <w:marRight w:val="0"/>
      <w:marTop w:val="0"/>
      <w:marBottom w:val="0"/>
      <w:divBdr>
        <w:top w:val="none" w:sz="0" w:space="0" w:color="auto"/>
        <w:left w:val="none" w:sz="0" w:space="0" w:color="auto"/>
        <w:bottom w:val="none" w:sz="0" w:space="0" w:color="auto"/>
        <w:right w:val="none" w:sz="0" w:space="0" w:color="auto"/>
      </w:divBdr>
    </w:div>
    <w:div w:id="420178890">
      <w:bodyDiv w:val="1"/>
      <w:marLeft w:val="0"/>
      <w:marRight w:val="0"/>
      <w:marTop w:val="0"/>
      <w:marBottom w:val="0"/>
      <w:divBdr>
        <w:top w:val="none" w:sz="0" w:space="0" w:color="auto"/>
        <w:left w:val="none" w:sz="0" w:space="0" w:color="auto"/>
        <w:bottom w:val="none" w:sz="0" w:space="0" w:color="auto"/>
        <w:right w:val="none" w:sz="0" w:space="0" w:color="auto"/>
      </w:divBdr>
    </w:div>
    <w:div w:id="421142103">
      <w:bodyDiv w:val="1"/>
      <w:marLeft w:val="0"/>
      <w:marRight w:val="0"/>
      <w:marTop w:val="0"/>
      <w:marBottom w:val="0"/>
      <w:divBdr>
        <w:top w:val="none" w:sz="0" w:space="0" w:color="auto"/>
        <w:left w:val="none" w:sz="0" w:space="0" w:color="auto"/>
        <w:bottom w:val="none" w:sz="0" w:space="0" w:color="auto"/>
        <w:right w:val="none" w:sz="0" w:space="0" w:color="auto"/>
      </w:divBdr>
    </w:div>
    <w:div w:id="422533315">
      <w:bodyDiv w:val="1"/>
      <w:marLeft w:val="0"/>
      <w:marRight w:val="0"/>
      <w:marTop w:val="0"/>
      <w:marBottom w:val="0"/>
      <w:divBdr>
        <w:top w:val="none" w:sz="0" w:space="0" w:color="auto"/>
        <w:left w:val="none" w:sz="0" w:space="0" w:color="auto"/>
        <w:bottom w:val="none" w:sz="0" w:space="0" w:color="auto"/>
        <w:right w:val="none" w:sz="0" w:space="0" w:color="auto"/>
      </w:divBdr>
    </w:div>
    <w:div w:id="422922939">
      <w:bodyDiv w:val="1"/>
      <w:marLeft w:val="0"/>
      <w:marRight w:val="0"/>
      <w:marTop w:val="0"/>
      <w:marBottom w:val="0"/>
      <w:divBdr>
        <w:top w:val="none" w:sz="0" w:space="0" w:color="auto"/>
        <w:left w:val="none" w:sz="0" w:space="0" w:color="auto"/>
        <w:bottom w:val="none" w:sz="0" w:space="0" w:color="auto"/>
        <w:right w:val="none" w:sz="0" w:space="0" w:color="auto"/>
      </w:divBdr>
    </w:div>
    <w:div w:id="422993287">
      <w:bodyDiv w:val="1"/>
      <w:marLeft w:val="0"/>
      <w:marRight w:val="0"/>
      <w:marTop w:val="0"/>
      <w:marBottom w:val="0"/>
      <w:divBdr>
        <w:top w:val="none" w:sz="0" w:space="0" w:color="auto"/>
        <w:left w:val="none" w:sz="0" w:space="0" w:color="auto"/>
        <w:bottom w:val="none" w:sz="0" w:space="0" w:color="auto"/>
        <w:right w:val="none" w:sz="0" w:space="0" w:color="auto"/>
      </w:divBdr>
    </w:div>
    <w:div w:id="422993400">
      <w:bodyDiv w:val="1"/>
      <w:marLeft w:val="0"/>
      <w:marRight w:val="0"/>
      <w:marTop w:val="0"/>
      <w:marBottom w:val="0"/>
      <w:divBdr>
        <w:top w:val="none" w:sz="0" w:space="0" w:color="auto"/>
        <w:left w:val="none" w:sz="0" w:space="0" w:color="auto"/>
        <w:bottom w:val="none" w:sz="0" w:space="0" w:color="auto"/>
        <w:right w:val="none" w:sz="0" w:space="0" w:color="auto"/>
      </w:divBdr>
    </w:div>
    <w:div w:id="423380091">
      <w:bodyDiv w:val="1"/>
      <w:marLeft w:val="0"/>
      <w:marRight w:val="0"/>
      <w:marTop w:val="0"/>
      <w:marBottom w:val="0"/>
      <w:divBdr>
        <w:top w:val="none" w:sz="0" w:space="0" w:color="auto"/>
        <w:left w:val="none" w:sz="0" w:space="0" w:color="auto"/>
        <w:bottom w:val="none" w:sz="0" w:space="0" w:color="auto"/>
        <w:right w:val="none" w:sz="0" w:space="0" w:color="auto"/>
      </w:divBdr>
    </w:div>
    <w:div w:id="423575167">
      <w:bodyDiv w:val="1"/>
      <w:marLeft w:val="0"/>
      <w:marRight w:val="0"/>
      <w:marTop w:val="0"/>
      <w:marBottom w:val="0"/>
      <w:divBdr>
        <w:top w:val="none" w:sz="0" w:space="0" w:color="auto"/>
        <w:left w:val="none" w:sz="0" w:space="0" w:color="auto"/>
        <w:bottom w:val="none" w:sz="0" w:space="0" w:color="auto"/>
        <w:right w:val="none" w:sz="0" w:space="0" w:color="auto"/>
      </w:divBdr>
    </w:div>
    <w:div w:id="423653156">
      <w:bodyDiv w:val="1"/>
      <w:marLeft w:val="0"/>
      <w:marRight w:val="0"/>
      <w:marTop w:val="0"/>
      <w:marBottom w:val="0"/>
      <w:divBdr>
        <w:top w:val="none" w:sz="0" w:space="0" w:color="auto"/>
        <w:left w:val="none" w:sz="0" w:space="0" w:color="auto"/>
        <w:bottom w:val="none" w:sz="0" w:space="0" w:color="auto"/>
        <w:right w:val="none" w:sz="0" w:space="0" w:color="auto"/>
      </w:divBdr>
    </w:div>
    <w:div w:id="424158144">
      <w:bodyDiv w:val="1"/>
      <w:marLeft w:val="0"/>
      <w:marRight w:val="0"/>
      <w:marTop w:val="0"/>
      <w:marBottom w:val="0"/>
      <w:divBdr>
        <w:top w:val="none" w:sz="0" w:space="0" w:color="auto"/>
        <w:left w:val="none" w:sz="0" w:space="0" w:color="auto"/>
        <w:bottom w:val="none" w:sz="0" w:space="0" w:color="auto"/>
        <w:right w:val="none" w:sz="0" w:space="0" w:color="auto"/>
      </w:divBdr>
    </w:div>
    <w:div w:id="424423300">
      <w:bodyDiv w:val="1"/>
      <w:marLeft w:val="0"/>
      <w:marRight w:val="0"/>
      <w:marTop w:val="0"/>
      <w:marBottom w:val="0"/>
      <w:divBdr>
        <w:top w:val="none" w:sz="0" w:space="0" w:color="auto"/>
        <w:left w:val="none" w:sz="0" w:space="0" w:color="auto"/>
        <w:bottom w:val="none" w:sz="0" w:space="0" w:color="auto"/>
        <w:right w:val="none" w:sz="0" w:space="0" w:color="auto"/>
      </w:divBdr>
    </w:div>
    <w:div w:id="424613445">
      <w:bodyDiv w:val="1"/>
      <w:marLeft w:val="0"/>
      <w:marRight w:val="0"/>
      <w:marTop w:val="0"/>
      <w:marBottom w:val="0"/>
      <w:divBdr>
        <w:top w:val="none" w:sz="0" w:space="0" w:color="auto"/>
        <w:left w:val="none" w:sz="0" w:space="0" w:color="auto"/>
        <w:bottom w:val="none" w:sz="0" w:space="0" w:color="auto"/>
        <w:right w:val="none" w:sz="0" w:space="0" w:color="auto"/>
      </w:divBdr>
    </w:div>
    <w:div w:id="425080521">
      <w:bodyDiv w:val="1"/>
      <w:marLeft w:val="0"/>
      <w:marRight w:val="0"/>
      <w:marTop w:val="0"/>
      <w:marBottom w:val="0"/>
      <w:divBdr>
        <w:top w:val="none" w:sz="0" w:space="0" w:color="auto"/>
        <w:left w:val="none" w:sz="0" w:space="0" w:color="auto"/>
        <w:bottom w:val="none" w:sz="0" w:space="0" w:color="auto"/>
        <w:right w:val="none" w:sz="0" w:space="0" w:color="auto"/>
      </w:divBdr>
    </w:div>
    <w:div w:id="425344330">
      <w:bodyDiv w:val="1"/>
      <w:marLeft w:val="0"/>
      <w:marRight w:val="0"/>
      <w:marTop w:val="0"/>
      <w:marBottom w:val="0"/>
      <w:divBdr>
        <w:top w:val="none" w:sz="0" w:space="0" w:color="auto"/>
        <w:left w:val="none" w:sz="0" w:space="0" w:color="auto"/>
        <w:bottom w:val="none" w:sz="0" w:space="0" w:color="auto"/>
        <w:right w:val="none" w:sz="0" w:space="0" w:color="auto"/>
      </w:divBdr>
    </w:div>
    <w:div w:id="425469651">
      <w:bodyDiv w:val="1"/>
      <w:marLeft w:val="0"/>
      <w:marRight w:val="0"/>
      <w:marTop w:val="0"/>
      <w:marBottom w:val="0"/>
      <w:divBdr>
        <w:top w:val="none" w:sz="0" w:space="0" w:color="auto"/>
        <w:left w:val="none" w:sz="0" w:space="0" w:color="auto"/>
        <w:bottom w:val="none" w:sz="0" w:space="0" w:color="auto"/>
        <w:right w:val="none" w:sz="0" w:space="0" w:color="auto"/>
      </w:divBdr>
    </w:div>
    <w:div w:id="425809027">
      <w:bodyDiv w:val="1"/>
      <w:marLeft w:val="0"/>
      <w:marRight w:val="0"/>
      <w:marTop w:val="0"/>
      <w:marBottom w:val="0"/>
      <w:divBdr>
        <w:top w:val="none" w:sz="0" w:space="0" w:color="auto"/>
        <w:left w:val="none" w:sz="0" w:space="0" w:color="auto"/>
        <w:bottom w:val="none" w:sz="0" w:space="0" w:color="auto"/>
        <w:right w:val="none" w:sz="0" w:space="0" w:color="auto"/>
      </w:divBdr>
    </w:div>
    <w:div w:id="425931142">
      <w:bodyDiv w:val="1"/>
      <w:marLeft w:val="0"/>
      <w:marRight w:val="0"/>
      <w:marTop w:val="0"/>
      <w:marBottom w:val="0"/>
      <w:divBdr>
        <w:top w:val="none" w:sz="0" w:space="0" w:color="auto"/>
        <w:left w:val="none" w:sz="0" w:space="0" w:color="auto"/>
        <w:bottom w:val="none" w:sz="0" w:space="0" w:color="auto"/>
        <w:right w:val="none" w:sz="0" w:space="0" w:color="auto"/>
      </w:divBdr>
    </w:div>
    <w:div w:id="426004664">
      <w:bodyDiv w:val="1"/>
      <w:marLeft w:val="0"/>
      <w:marRight w:val="0"/>
      <w:marTop w:val="0"/>
      <w:marBottom w:val="0"/>
      <w:divBdr>
        <w:top w:val="none" w:sz="0" w:space="0" w:color="auto"/>
        <w:left w:val="none" w:sz="0" w:space="0" w:color="auto"/>
        <w:bottom w:val="none" w:sz="0" w:space="0" w:color="auto"/>
        <w:right w:val="none" w:sz="0" w:space="0" w:color="auto"/>
      </w:divBdr>
    </w:div>
    <w:div w:id="426195667">
      <w:bodyDiv w:val="1"/>
      <w:marLeft w:val="0"/>
      <w:marRight w:val="0"/>
      <w:marTop w:val="0"/>
      <w:marBottom w:val="0"/>
      <w:divBdr>
        <w:top w:val="none" w:sz="0" w:space="0" w:color="auto"/>
        <w:left w:val="none" w:sz="0" w:space="0" w:color="auto"/>
        <w:bottom w:val="none" w:sz="0" w:space="0" w:color="auto"/>
        <w:right w:val="none" w:sz="0" w:space="0" w:color="auto"/>
      </w:divBdr>
    </w:div>
    <w:div w:id="426386384">
      <w:bodyDiv w:val="1"/>
      <w:marLeft w:val="0"/>
      <w:marRight w:val="0"/>
      <w:marTop w:val="0"/>
      <w:marBottom w:val="0"/>
      <w:divBdr>
        <w:top w:val="none" w:sz="0" w:space="0" w:color="auto"/>
        <w:left w:val="none" w:sz="0" w:space="0" w:color="auto"/>
        <w:bottom w:val="none" w:sz="0" w:space="0" w:color="auto"/>
        <w:right w:val="none" w:sz="0" w:space="0" w:color="auto"/>
      </w:divBdr>
    </w:div>
    <w:div w:id="426847455">
      <w:bodyDiv w:val="1"/>
      <w:marLeft w:val="0"/>
      <w:marRight w:val="0"/>
      <w:marTop w:val="0"/>
      <w:marBottom w:val="0"/>
      <w:divBdr>
        <w:top w:val="none" w:sz="0" w:space="0" w:color="auto"/>
        <w:left w:val="none" w:sz="0" w:space="0" w:color="auto"/>
        <w:bottom w:val="none" w:sz="0" w:space="0" w:color="auto"/>
        <w:right w:val="none" w:sz="0" w:space="0" w:color="auto"/>
      </w:divBdr>
    </w:div>
    <w:div w:id="427626993">
      <w:bodyDiv w:val="1"/>
      <w:marLeft w:val="0"/>
      <w:marRight w:val="0"/>
      <w:marTop w:val="0"/>
      <w:marBottom w:val="0"/>
      <w:divBdr>
        <w:top w:val="none" w:sz="0" w:space="0" w:color="auto"/>
        <w:left w:val="none" w:sz="0" w:space="0" w:color="auto"/>
        <w:bottom w:val="none" w:sz="0" w:space="0" w:color="auto"/>
        <w:right w:val="none" w:sz="0" w:space="0" w:color="auto"/>
      </w:divBdr>
    </w:div>
    <w:div w:id="428549545">
      <w:bodyDiv w:val="1"/>
      <w:marLeft w:val="0"/>
      <w:marRight w:val="0"/>
      <w:marTop w:val="0"/>
      <w:marBottom w:val="0"/>
      <w:divBdr>
        <w:top w:val="none" w:sz="0" w:space="0" w:color="auto"/>
        <w:left w:val="none" w:sz="0" w:space="0" w:color="auto"/>
        <w:bottom w:val="none" w:sz="0" w:space="0" w:color="auto"/>
        <w:right w:val="none" w:sz="0" w:space="0" w:color="auto"/>
      </w:divBdr>
    </w:div>
    <w:div w:id="428700047">
      <w:bodyDiv w:val="1"/>
      <w:marLeft w:val="0"/>
      <w:marRight w:val="0"/>
      <w:marTop w:val="0"/>
      <w:marBottom w:val="0"/>
      <w:divBdr>
        <w:top w:val="none" w:sz="0" w:space="0" w:color="auto"/>
        <w:left w:val="none" w:sz="0" w:space="0" w:color="auto"/>
        <w:bottom w:val="none" w:sz="0" w:space="0" w:color="auto"/>
        <w:right w:val="none" w:sz="0" w:space="0" w:color="auto"/>
      </w:divBdr>
    </w:div>
    <w:div w:id="429014091">
      <w:bodyDiv w:val="1"/>
      <w:marLeft w:val="0"/>
      <w:marRight w:val="0"/>
      <w:marTop w:val="0"/>
      <w:marBottom w:val="0"/>
      <w:divBdr>
        <w:top w:val="none" w:sz="0" w:space="0" w:color="auto"/>
        <w:left w:val="none" w:sz="0" w:space="0" w:color="auto"/>
        <w:bottom w:val="none" w:sz="0" w:space="0" w:color="auto"/>
        <w:right w:val="none" w:sz="0" w:space="0" w:color="auto"/>
      </w:divBdr>
    </w:div>
    <w:div w:id="432240541">
      <w:bodyDiv w:val="1"/>
      <w:marLeft w:val="0"/>
      <w:marRight w:val="0"/>
      <w:marTop w:val="0"/>
      <w:marBottom w:val="0"/>
      <w:divBdr>
        <w:top w:val="none" w:sz="0" w:space="0" w:color="auto"/>
        <w:left w:val="none" w:sz="0" w:space="0" w:color="auto"/>
        <w:bottom w:val="none" w:sz="0" w:space="0" w:color="auto"/>
        <w:right w:val="none" w:sz="0" w:space="0" w:color="auto"/>
      </w:divBdr>
    </w:div>
    <w:div w:id="433600679">
      <w:bodyDiv w:val="1"/>
      <w:marLeft w:val="0"/>
      <w:marRight w:val="0"/>
      <w:marTop w:val="0"/>
      <w:marBottom w:val="0"/>
      <w:divBdr>
        <w:top w:val="none" w:sz="0" w:space="0" w:color="auto"/>
        <w:left w:val="none" w:sz="0" w:space="0" w:color="auto"/>
        <w:bottom w:val="none" w:sz="0" w:space="0" w:color="auto"/>
        <w:right w:val="none" w:sz="0" w:space="0" w:color="auto"/>
      </w:divBdr>
    </w:div>
    <w:div w:id="433671180">
      <w:bodyDiv w:val="1"/>
      <w:marLeft w:val="0"/>
      <w:marRight w:val="0"/>
      <w:marTop w:val="0"/>
      <w:marBottom w:val="0"/>
      <w:divBdr>
        <w:top w:val="none" w:sz="0" w:space="0" w:color="auto"/>
        <w:left w:val="none" w:sz="0" w:space="0" w:color="auto"/>
        <w:bottom w:val="none" w:sz="0" w:space="0" w:color="auto"/>
        <w:right w:val="none" w:sz="0" w:space="0" w:color="auto"/>
      </w:divBdr>
    </w:div>
    <w:div w:id="433860994">
      <w:bodyDiv w:val="1"/>
      <w:marLeft w:val="0"/>
      <w:marRight w:val="0"/>
      <w:marTop w:val="0"/>
      <w:marBottom w:val="0"/>
      <w:divBdr>
        <w:top w:val="none" w:sz="0" w:space="0" w:color="auto"/>
        <w:left w:val="none" w:sz="0" w:space="0" w:color="auto"/>
        <w:bottom w:val="none" w:sz="0" w:space="0" w:color="auto"/>
        <w:right w:val="none" w:sz="0" w:space="0" w:color="auto"/>
      </w:divBdr>
    </w:div>
    <w:div w:id="434136164">
      <w:bodyDiv w:val="1"/>
      <w:marLeft w:val="0"/>
      <w:marRight w:val="0"/>
      <w:marTop w:val="0"/>
      <w:marBottom w:val="0"/>
      <w:divBdr>
        <w:top w:val="none" w:sz="0" w:space="0" w:color="auto"/>
        <w:left w:val="none" w:sz="0" w:space="0" w:color="auto"/>
        <w:bottom w:val="none" w:sz="0" w:space="0" w:color="auto"/>
        <w:right w:val="none" w:sz="0" w:space="0" w:color="auto"/>
      </w:divBdr>
    </w:div>
    <w:div w:id="434596567">
      <w:bodyDiv w:val="1"/>
      <w:marLeft w:val="0"/>
      <w:marRight w:val="0"/>
      <w:marTop w:val="0"/>
      <w:marBottom w:val="0"/>
      <w:divBdr>
        <w:top w:val="none" w:sz="0" w:space="0" w:color="auto"/>
        <w:left w:val="none" w:sz="0" w:space="0" w:color="auto"/>
        <w:bottom w:val="none" w:sz="0" w:space="0" w:color="auto"/>
        <w:right w:val="none" w:sz="0" w:space="0" w:color="auto"/>
      </w:divBdr>
    </w:div>
    <w:div w:id="434639954">
      <w:bodyDiv w:val="1"/>
      <w:marLeft w:val="0"/>
      <w:marRight w:val="0"/>
      <w:marTop w:val="0"/>
      <w:marBottom w:val="0"/>
      <w:divBdr>
        <w:top w:val="none" w:sz="0" w:space="0" w:color="auto"/>
        <w:left w:val="none" w:sz="0" w:space="0" w:color="auto"/>
        <w:bottom w:val="none" w:sz="0" w:space="0" w:color="auto"/>
        <w:right w:val="none" w:sz="0" w:space="0" w:color="auto"/>
      </w:divBdr>
    </w:div>
    <w:div w:id="434984408">
      <w:bodyDiv w:val="1"/>
      <w:marLeft w:val="0"/>
      <w:marRight w:val="0"/>
      <w:marTop w:val="0"/>
      <w:marBottom w:val="0"/>
      <w:divBdr>
        <w:top w:val="none" w:sz="0" w:space="0" w:color="auto"/>
        <w:left w:val="none" w:sz="0" w:space="0" w:color="auto"/>
        <w:bottom w:val="none" w:sz="0" w:space="0" w:color="auto"/>
        <w:right w:val="none" w:sz="0" w:space="0" w:color="auto"/>
      </w:divBdr>
    </w:div>
    <w:div w:id="435173245">
      <w:bodyDiv w:val="1"/>
      <w:marLeft w:val="0"/>
      <w:marRight w:val="0"/>
      <w:marTop w:val="0"/>
      <w:marBottom w:val="0"/>
      <w:divBdr>
        <w:top w:val="none" w:sz="0" w:space="0" w:color="auto"/>
        <w:left w:val="none" w:sz="0" w:space="0" w:color="auto"/>
        <w:bottom w:val="none" w:sz="0" w:space="0" w:color="auto"/>
        <w:right w:val="none" w:sz="0" w:space="0" w:color="auto"/>
      </w:divBdr>
    </w:div>
    <w:div w:id="436144170">
      <w:bodyDiv w:val="1"/>
      <w:marLeft w:val="0"/>
      <w:marRight w:val="0"/>
      <w:marTop w:val="0"/>
      <w:marBottom w:val="0"/>
      <w:divBdr>
        <w:top w:val="none" w:sz="0" w:space="0" w:color="auto"/>
        <w:left w:val="none" w:sz="0" w:space="0" w:color="auto"/>
        <w:bottom w:val="none" w:sz="0" w:space="0" w:color="auto"/>
        <w:right w:val="none" w:sz="0" w:space="0" w:color="auto"/>
      </w:divBdr>
    </w:div>
    <w:div w:id="437023693">
      <w:bodyDiv w:val="1"/>
      <w:marLeft w:val="0"/>
      <w:marRight w:val="0"/>
      <w:marTop w:val="0"/>
      <w:marBottom w:val="0"/>
      <w:divBdr>
        <w:top w:val="none" w:sz="0" w:space="0" w:color="auto"/>
        <w:left w:val="none" w:sz="0" w:space="0" w:color="auto"/>
        <w:bottom w:val="none" w:sz="0" w:space="0" w:color="auto"/>
        <w:right w:val="none" w:sz="0" w:space="0" w:color="auto"/>
      </w:divBdr>
    </w:div>
    <w:div w:id="437067659">
      <w:bodyDiv w:val="1"/>
      <w:marLeft w:val="0"/>
      <w:marRight w:val="0"/>
      <w:marTop w:val="0"/>
      <w:marBottom w:val="0"/>
      <w:divBdr>
        <w:top w:val="none" w:sz="0" w:space="0" w:color="auto"/>
        <w:left w:val="none" w:sz="0" w:space="0" w:color="auto"/>
        <w:bottom w:val="none" w:sz="0" w:space="0" w:color="auto"/>
        <w:right w:val="none" w:sz="0" w:space="0" w:color="auto"/>
      </w:divBdr>
    </w:div>
    <w:div w:id="438532089">
      <w:bodyDiv w:val="1"/>
      <w:marLeft w:val="0"/>
      <w:marRight w:val="0"/>
      <w:marTop w:val="0"/>
      <w:marBottom w:val="0"/>
      <w:divBdr>
        <w:top w:val="none" w:sz="0" w:space="0" w:color="auto"/>
        <w:left w:val="none" w:sz="0" w:space="0" w:color="auto"/>
        <w:bottom w:val="none" w:sz="0" w:space="0" w:color="auto"/>
        <w:right w:val="none" w:sz="0" w:space="0" w:color="auto"/>
      </w:divBdr>
    </w:div>
    <w:div w:id="438574091">
      <w:bodyDiv w:val="1"/>
      <w:marLeft w:val="0"/>
      <w:marRight w:val="0"/>
      <w:marTop w:val="0"/>
      <w:marBottom w:val="0"/>
      <w:divBdr>
        <w:top w:val="none" w:sz="0" w:space="0" w:color="auto"/>
        <w:left w:val="none" w:sz="0" w:space="0" w:color="auto"/>
        <w:bottom w:val="none" w:sz="0" w:space="0" w:color="auto"/>
        <w:right w:val="none" w:sz="0" w:space="0" w:color="auto"/>
      </w:divBdr>
    </w:div>
    <w:div w:id="439033310">
      <w:bodyDiv w:val="1"/>
      <w:marLeft w:val="0"/>
      <w:marRight w:val="0"/>
      <w:marTop w:val="0"/>
      <w:marBottom w:val="0"/>
      <w:divBdr>
        <w:top w:val="none" w:sz="0" w:space="0" w:color="auto"/>
        <w:left w:val="none" w:sz="0" w:space="0" w:color="auto"/>
        <w:bottom w:val="none" w:sz="0" w:space="0" w:color="auto"/>
        <w:right w:val="none" w:sz="0" w:space="0" w:color="auto"/>
      </w:divBdr>
    </w:div>
    <w:div w:id="440035318">
      <w:bodyDiv w:val="1"/>
      <w:marLeft w:val="0"/>
      <w:marRight w:val="0"/>
      <w:marTop w:val="0"/>
      <w:marBottom w:val="0"/>
      <w:divBdr>
        <w:top w:val="none" w:sz="0" w:space="0" w:color="auto"/>
        <w:left w:val="none" w:sz="0" w:space="0" w:color="auto"/>
        <w:bottom w:val="none" w:sz="0" w:space="0" w:color="auto"/>
        <w:right w:val="none" w:sz="0" w:space="0" w:color="auto"/>
      </w:divBdr>
    </w:div>
    <w:div w:id="440993259">
      <w:bodyDiv w:val="1"/>
      <w:marLeft w:val="0"/>
      <w:marRight w:val="0"/>
      <w:marTop w:val="0"/>
      <w:marBottom w:val="0"/>
      <w:divBdr>
        <w:top w:val="none" w:sz="0" w:space="0" w:color="auto"/>
        <w:left w:val="none" w:sz="0" w:space="0" w:color="auto"/>
        <w:bottom w:val="none" w:sz="0" w:space="0" w:color="auto"/>
        <w:right w:val="none" w:sz="0" w:space="0" w:color="auto"/>
      </w:divBdr>
    </w:div>
    <w:div w:id="441269287">
      <w:bodyDiv w:val="1"/>
      <w:marLeft w:val="0"/>
      <w:marRight w:val="0"/>
      <w:marTop w:val="0"/>
      <w:marBottom w:val="0"/>
      <w:divBdr>
        <w:top w:val="none" w:sz="0" w:space="0" w:color="auto"/>
        <w:left w:val="none" w:sz="0" w:space="0" w:color="auto"/>
        <w:bottom w:val="none" w:sz="0" w:space="0" w:color="auto"/>
        <w:right w:val="none" w:sz="0" w:space="0" w:color="auto"/>
      </w:divBdr>
    </w:div>
    <w:div w:id="441413096">
      <w:bodyDiv w:val="1"/>
      <w:marLeft w:val="0"/>
      <w:marRight w:val="0"/>
      <w:marTop w:val="0"/>
      <w:marBottom w:val="0"/>
      <w:divBdr>
        <w:top w:val="none" w:sz="0" w:space="0" w:color="auto"/>
        <w:left w:val="none" w:sz="0" w:space="0" w:color="auto"/>
        <w:bottom w:val="none" w:sz="0" w:space="0" w:color="auto"/>
        <w:right w:val="none" w:sz="0" w:space="0" w:color="auto"/>
      </w:divBdr>
    </w:div>
    <w:div w:id="442769392">
      <w:bodyDiv w:val="1"/>
      <w:marLeft w:val="0"/>
      <w:marRight w:val="0"/>
      <w:marTop w:val="0"/>
      <w:marBottom w:val="0"/>
      <w:divBdr>
        <w:top w:val="none" w:sz="0" w:space="0" w:color="auto"/>
        <w:left w:val="none" w:sz="0" w:space="0" w:color="auto"/>
        <w:bottom w:val="none" w:sz="0" w:space="0" w:color="auto"/>
        <w:right w:val="none" w:sz="0" w:space="0" w:color="auto"/>
      </w:divBdr>
    </w:div>
    <w:div w:id="443425627">
      <w:bodyDiv w:val="1"/>
      <w:marLeft w:val="0"/>
      <w:marRight w:val="0"/>
      <w:marTop w:val="0"/>
      <w:marBottom w:val="0"/>
      <w:divBdr>
        <w:top w:val="none" w:sz="0" w:space="0" w:color="auto"/>
        <w:left w:val="none" w:sz="0" w:space="0" w:color="auto"/>
        <w:bottom w:val="none" w:sz="0" w:space="0" w:color="auto"/>
        <w:right w:val="none" w:sz="0" w:space="0" w:color="auto"/>
      </w:divBdr>
    </w:div>
    <w:div w:id="444083859">
      <w:bodyDiv w:val="1"/>
      <w:marLeft w:val="0"/>
      <w:marRight w:val="0"/>
      <w:marTop w:val="0"/>
      <w:marBottom w:val="0"/>
      <w:divBdr>
        <w:top w:val="none" w:sz="0" w:space="0" w:color="auto"/>
        <w:left w:val="none" w:sz="0" w:space="0" w:color="auto"/>
        <w:bottom w:val="none" w:sz="0" w:space="0" w:color="auto"/>
        <w:right w:val="none" w:sz="0" w:space="0" w:color="auto"/>
      </w:divBdr>
    </w:div>
    <w:div w:id="445658197">
      <w:bodyDiv w:val="1"/>
      <w:marLeft w:val="0"/>
      <w:marRight w:val="0"/>
      <w:marTop w:val="0"/>
      <w:marBottom w:val="0"/>
      <w:divBdr>
        <w:top w:val="none" w:sz="0" w:space="0" w:color="auto"/>
        <w:left w:val="none" w:sz="0" w:space="0" w:color="auto"/>
        <w:bottom w:val="none" w:sz="0" w:space="0" w:color="auto"/>
        <w:right w:val="none" w:sz="0" w:space="0" w:color="auto"/>
      </w:divBdr>
    </w:div>
    <w:div w:id="446897710">
      <w:bodyDiv w:val="1"/>
      <w:marLeft w:val="0"/>
      <w:marRight w:val="0"/>
      <w:marTop w:val="0"/>
      <w:marBottom w:val="0"/>
      <w:divBdr>
        <w:top w:val="none" w:sz="0" w:space="0" w:color="auto"/>
        <w:left w:val="none" w:sz="0" w:space="0" w:color="auto"/>
        <w:bottom w:val="none" w:sz="0" w:space="0" w:color="auto"/>
        <w:right w:val="none" w:sz="0" w:space="0" w:color="auto"/>
      </w:divBdr>
    </w:div>
    <w:div w:id="446972854">
      <w:bodyDiv w:val="1"/>
      <w:marLeft w:val="0"/>
      <w:marRight w:val="0"/>
      <w:marTop w:val="0"/>
      <w:marBottom w:val="0"/>
      <w:divBdr>
        <w:top w:val="none" w:sz="0" w:space="0" w:color="auto"/>
        <w:left w:val="none" w:sz="0" w:space="0" w:color="auto"/>
        <w:bottom w:val="none" w:sz="0" w:space="0" w:color="auto"/>
        <w:right w:val="none" w:sz="0" w:space="0" w:color="auto"/>
      </w:divBdr>
    </w:div>
    <w:div w:id="447048847">
      <w:bodyDiv w:val="1"/>
      <w:marLeft w:val="0"/>
      <w:marRight w:val="0"/>
      <w:marTop w:val="0"/>
      <w:marBottom w:val="0"/>
      <w:divBdr>
        <w:top w:val="none" w:sz="0" w:space="0" w:color="auto"/>
        <w:left w:val="none" w:sz="0" w:space="0" w:color="auto"/>
        <w:bottom w:val="none" w:sz="0" w:space="0" w:color="auto"/>
        <w:right w:val="none" w:sz="0" w:space="0" w:color="auto"/>
      </w:divBdr>
    </w:div>
    <w:div w:id="448090526">
      <w:bodyDiv w:val="1"/>
      <w:marLeft w:val="0"/>
      <w:marRight w:val="0"/>
      <w:marTop w:val="0"/>
      <w:marBottom w:val="0"/>
      <w:divBdr>
        <w:top w:val="none" w:sz="0" w:space="0" w:color="auto"/>
        <w:left w:val="none" w:sz="0" w:space="0" w:color="auto"/>
        <w:bottom w:val="none" w:sz="0" w:space="0" w:color="auto"/>
        <w:right w:val="none" w:sz="0" w:space="0" w:color="auto"/>
      </w:divBdr>
    </w:div>
    <w:div w:id="448203918">
      <w:bodyDiv w:val="1"/>
      <w:marLeft w:val="0"/>
      <w:marRight w:val="0"/>
      <w:marTop w:val="0"/>
      <w:marBottom w:val="0"/>
      <w:divBdr>
        <w:top w:val="none" w:sz="0" w:space="0" w:color="auto"/>
        <w:left w:val="none" w:sz="0" w:space="0" w:color="auto"/>
        <w:bottom w:val="none" w:sz="0" w:space="0" w:color="auto"/>
        <w:right w:val="none" w:sz="0" w:space="0" w:color="auto"/>
      </w:divBdr>
    </w:div>
    <w:div w:id="449015491">
      <w:bodyDiv w:val="1"/>
      <w:marLeft w:val="0"/>
      <w:marRight w:val="0"/>
      <w:marTop w:val="0"/>
      <w:marBottom w:val="0"/>
      <w:divBdr>
        <w:top w:val="none" w:sz="0" w:space="0" w:color="auto"/>
        <w:left w:val="none" w:sz="0" w:space="0" w:color="auto"/>
        <w:bottom w:val="none" w:sz="0" w:space="0" w:color="auto"/>
        <w:right w:val="none" w:sz="0" w:space="0" w:color="auto"/>
      </w:divBdr>
    </w:div>
    <w:div w:id="449473930">
      <w:bodyDiv w:val="1"/>
      <w:marLeft w:val="0"/>
      <w:marRight w:val="0"/>
      <w:marTop w:val="0"/>
      <w:marBottom w:val="0"/>
      <w:divBdr>
        <w:top w:val="none" w:sz="0" w:space="0" w:color="auto"/>
        <w:left w:val="none" w:sz="0" w:space="0" w:color="auto"/>
        <w:bottom w:val="none" w:sz="0" w:space="0" w:color="auto"/>
        <w:right w:val="none" w:sz="0" w:space="0" w:color="auto"/>
      </w:divBdr>
    </w:div>
    <w:div w:id="449783763">
      <w:bodyDiv w:val="1"/>
      <w:marLeft w:val="0"/>
      <w:marRight w:val="0"/>
      <w:marTop w:val="0"/>
      <w:marBottom w:val="0"/>
      <w:divBdr>
        <w:top w:val="none" w:sz="0" w:space="0" w:color="auto"/>
        <w:left w:val="none" w:sz="0" w:space="0" w:color="auto"/>
        <w:bottom w:val="none" w:sz="0" w:space="0" w:color="auto"/>
        <w:right w:val="none" w:sz="0" w:space="0" w:color="auto"/>
      </w:divBdr>
    </w:div>
    <w:div w:id="450248670">
      <w:bodyDiv w:val="1"/>
      <w:marLeft w:val="0"/>
      <w:marRight w:val="0"/>
      <w:marTop w:val="0"/>
      <w:marBottom w:val="0"/>
      <w:divBdr>
        <w:top w:val="none" w:sz="0" w:space="0" w:color="auto"/>
        <w:left w:val="none" w:sz="0" w:space="0" w:color="auto"/>
        <w:bottom w:val="none" w:sz="0" w:space="0" w:color="auto"/>
        <w:right w:val="none" w:sz="0" w:space="0" w:color="auto"/>
      </w:divBdr>
    </w:div>
    <w:div w:id="450704354">
      <w:bodyDiv w:val="1"/>
      <w:marLeft w:val="0"/>
      <w:marRight w:val="0"/>
      <w:marTop w:val="0"/>
      <w:marBottom w:val="0"/>
      <w:divBdr>
        <w:top w:val="none" w:sz="0" w:space="0" w:color="auto"/>
        <w:left w:val="none" w:sz="0" w:space="0" w:color="auto"/>
        <w:bottom w:val="none" w:sz="0" w:space="0" w:color="auto"/>
        <w:right w:val="none" w:sz="0" w:space="0" w:color="auto"/>
      </w:divBdr>
    </w:div>
    <w:div w:id="451022469">
      <w:bodyDiv w:val="1"/>
      <w:marLeft w:val="0"/>
      <w:marRight w:val="0"/>
      <w:marTop w:val="0"/>
      <w:marBottom w:val="0"/>
      <w:divBdr>
        <w:top w:val="none" w:sz="0" w:space="0" w:color="auto"/>
        <w:left w:val="none" w:sz="0" w:space="0" w:color="auto"/>
        <w:bottom w:val="none" w:sz="0" w:space="0" w:color="auto"/>
        <w:right w:val="none" w:sz="0" w:space="0" w:color="auto"/>
      </w:divBdr>
    </w:div>
    <w:div w:id="451558390">
      <w:bodyDiv w:val="1"/>
      <w:marLeft w:val="0"/>
      <w:marRight w:val="0"/>
      <w:marTop w:val="0"/>
      <w:marBottom w:val="0"/>
      <w:divBdr>
        <w:top w:val="none" w:sz="0" w:space="0" w:color="auto"/>
        <w:left w:val="none" w:sz="0" w:space="0" w:color="auto"/>
        <w:bottom w:val="none" w:sz="0" w:space="0" w:color="auto"/>
        <w:right w:val="none" w:sz="0" w:space="0" w:color="auto"/>
      </w:divBdr>
    </w:div>
    <w:div w:id="452290888">
      <w:bodyDiv w:val="1"/>
      <w:marLeft w:val="0"/>
      <w:marRight w:val="0"/>
      <w:marTop w:val="0"/>
      <w:marBottom w:val="0"/>
      <w:divBdr>
        <w:top w:val="none" w:sz="0" w:space="0" w:color="auto"/>
        <w:left w:val="none" w:sz="0" w:space="0" w:color="auto"/>
        <w:bottom w:val="none" w:sz="0" w:space="0" w:color="auto"/>
        <w:right w:val="none" w:sz="0" w:space="0" w:color="auto"/>
      </w:divBdr>
    </w:div>
    <w:div w:id="453060766">
      <w:bodyDiv w:val="1"/>
      <w:marLeft w:val="0"/>
      <w:marRight w:val="0"/>
      <w:marTop w:val="0"/>
      <w:marBottom w:val="0"/>
      <w:divBdr>
        <w:top w:val="none" w:sz="0" w:space="0" w:color="auto"/>
        <w:left w:val="none" w:sz="0" w:space="0" w:color="auto"/>
        <w:bottom w:val="none" w:sz="0" w:space="0" w:color="auto"/>
        <w:right w:val="none" w:sz="0" w:space="0" w:color="auto"/>
      </w:divBdr>
    </w:div>
    <w:div w:id="453789958">
      <w:bodyDiv w:val="1"/>
      <w:marLeft w:val="0"/>
      <w:marRight w:val="0"/>
      <w:marTop w:val="0"/>
      <w:marBottom w:val="0"/>
      <w:divBdr>
        <w:top w:val="none" w:sz="0" w:space="0" w:color="auto"/>
        <w:left w:val="none" w:sz="0" w:space="0" w:color="auto"/>
        <w:bottom w:val="none" w:sz="0" w:space="0" w:color="auto"/>
        <w:right w:val="none" w:sz="0" w:space="0" w:color="auto"/>
      </w:divBdr>
    </w:div>
    <w:div w:id="454714270">
      <w:bodyDiv w:val="1"/>
      <w:marLeft w:val="0"/>
      <w:marRight w:val="0"/>
      <w:marTop w:val="0"/>
      <w:marBottom w:val="0"/>
      <w:divBdr>
        <w:top w:val="none" w:sz="0" w:space="0" w:color="auto"/>
        <w:left w:val="none" w:sz="0" w:space="0" w:color="auto"/>
        <w:bottom w:val="none" w:sz="0" w:space="0" w:color="auto"/>
        <w:right w:val="none" w:sz="0" w:space="0" w:color="auto"/>
      </w:divBdr>
    </w:div>
    <w:div w:id="455490841">
      <w:bodyDiv w:val="1"/>
      <w:marLeft w:val="0"/>
      <w:marRight w:val="0"/>
      <w:marTop w:val="0"/>
      <w:marBottom w:val="0"/>
      <w:divBdr>
        <w:top w:val="none" w:sz="0" w:space="0" w:color="auto"/>
        <w:left w:val="none" w:sz="0" w:space="0" w:color="auto"/>
        <w:bottom w:val="none" w:sz="0" w:space="0" w:color="auto"/>
        <w:right w:val="none" w:sz="0" w:space="0" w:color="auto"/>
      </w:divBdr>
    </w:div>
    <w:div w:id="456606804">
      <w:bodyDiv w:val="1"/>
      <w:marLeft w:val="0"/>
      <w:marRight w:val="0"/>
      <w:marTop w:val="0"/>
      <w:marBottom w:val="0"/>
      <w:divBdr>
        <w:top w:val="none" w:sz="0" w:space="0" w:color="auto"/>
        <w:left w:val="none" w:sz="0" w:space="0" w:color="auto"/>
        <w:bottom w:val="none" w:sz="0" w:space="0" w:color="auto"/>
        <w:right w:val="none" w:sz="0" w:space="0" w:color="auto"/>
      </w:divBdr>
    </w:div>
    <w:div w:id="457065507">
      <w:bodyDiv w:val="1"/>
      <w:marLeft w:val="0"/>
      <w:marRight w:val="0"/>
      <w:marTop w:val="0"/>
      <w:marBottom w:val="0"/>
      <w:divBdr>
        <w:top w:val="none" w:sz="0" w:space="0" w:color="auto"/>
        <w:left w:val="none" w:sz="0" w:space="0" w:color="auto"/>
        <w:bottom w:val="none" w:sz="0" w:space="0" w:color="auto"/>
        <w:right w:val="none" w:sz="0" w:space="0" w:color="auto"/>
      </w:divBdr>
    </w:div>
    <w:div w:id="457188087">
      <w:bodyDiv w:val="1"/>
      <w:marLeft w:val="0"/>
      <w:marRight w:val="0"/>
      <w:marTop w:val="0"/>
      <w:marBottom w:val="0"/>
      <w:divBdr>
        <w:top w:val="none" w:sz="0" w:space="0" w:color="auto"/>
        <w:left w:val="none" w:sz="0" w:space="0" w:color="auto"/>
        <w:bottom w:val="none" w:sz="0" w:space="0" w:color="auto"/>
        <w:right w:val="none" w:sz="0" w:space="0" w:color="auto"/>
      </w:divBdr>
    </w:div>
    <w:div w:id="457384202">
      <w:bodyDiv w:val="1"/>
      <w:marLeft w:val="0"/>
      <w:marRight w:val="0"/>
      <w:marTop w:val="0"/>
      <w:marBottom w:val="0"/>
      <w:divBdr>
        <w:top w:val="none" w:sz="0" w:space="0" w:color="auto"/>
        <w:left w:val="none" w:sz="0" w:space="0" w:color="auto"/>
        <w:bottom w:val="none" w:sz="0" w:space="0" w:color="auto"/>
        <w:right w:val="none" w:sz="0" w:space="0" w:color="auto"/>
      </w:divBdr>
    </w:div>
    <w:div w:id="457577887">
      <w:bodyDiv w:val="1"/>
      <w:marLeft w:val="0"/>
      <w:marRight w:val="0"/>
      <w:marTop w:val="0"/>
      <w:marBottom w:val="0"/>
      <w:divBdr>
        <w:top w:val="none" w:sz="0" w:space="0" w:color="auto"/>
        <w:left w:val="none" w:sz="0" w:space="0" w:color="auto"/>
        <w:bottom w:val="none" w:sz="0" w:space="0" w:color="auto"/>
        <w:right w:val="none" w:sz="0" w:space="0" w:color="auto"/>
      </w:divBdr>
    </w:div>
    <w:div w:id="457601096">
      <w:bodyDiv w:val="1"/>
      <w:marLeft w:val="0"/>
      <w:marRight w:val="0"/>
      <w:marTop w:val="0"/>
      <w:marBottom w:val="0"/>
      <w:divBdr>
        <w:top w:val="none" w:sz="0" w:space="0" w:color="auto"/>
        <w:left w:val="none" w:sz="0" w:space="0" w:color="auto"/>
        <w:bottom w:val="none" w:sz="0" w:space="0" w:color="auto"/>
        <w:right w:val="none" w:sz="0" w:space="0" w:color="auto"/>
      </w:divBdr>
    </w:div>
    <w:div w:id="458110644">
      <w:bodyDiv w:val="1"/>
      <w:marLeft w:val="0"/>
      <w:marRight w:val="0"/>
      <w:marTop w:val="0"/>
      <w:marBottom w:val="0"/>
      <w:divBdr>
        <w:top w:val="none" w:sz="0" w:space="0" w:color="auto"/>
        <w:left w:val="none" w:sz="0" w:space="0" w:color="auto"/>
        <w:bottom w:val="none" w:sz="0" w:space="0" w:color="auto"/>
        <w:right w:val="none" w:sz="0" w:space="0" w:color="auto"/>
      </w:divBdr>
    </w:div>
    <w:div w:id="459617623">
      <w:bodyDiv w:val="1"/>
      <w:marLeft w:val="0"/>
      <w:marRight w:val="0"/>
      <w:marTop w:val="0"/>
      <w:marBottom w:val="0"/>
      <w:divBdr>
        <w:top w:val="none" w:sz="0" w:space="0" w:color="auto"/>
        <w:left w:val="none" w:sz="0" w:space="0" w:color="auto"/>
        <w:bottom w:val="none" w:sz="0" w:space="0" w:color="auto"/>
        <w:right w:val="none" w:sz="0" w:space="0" w:color="auto"/>
      </w:divBdr>
    </w:div>
    <w:div w:id="460269253">
      <w:bodyDiv w:val="1"/>
      <w:marLeft w:val="0"/>
      <w:marRight w:val="0"/>
      <w:marTop w:val="0"/>
      <w:marBottom w:val="0"/>
      <w:divBdr>
        <w:top w:val="none" w:sz="0" w:space="0" w:color="auto"/>
        <w:left w:val="none" w:sz="0" w:space="0" w:color="auto"/>
        <w:bottom w:val="none" w:sz="0" w:space="0" w:color="auto"/>
        <w:right w:val="none" w:sz="0" w:space="0" w:color="auto"/>
      </w:divBdr>
    </w:div>
    <w:div w:id="462698430">
      <w:bodyDiv w:val="1"/>
      <w:marLeft w:val="0"/>
      <w:marRight w:val="0"/>
      <w:marTop w:val="0"/>
      <w:marBottom w:val="0"/>
      <w:divBdr>
        <w:top w:val="none" w:sz="0" w:space="0" w:color="auto"/>
        <w:left w:val="none" w:sz="0" w:space="0" w:color="auto"/>
        <w:bottom w:val="none" w:sz="0" w:space="0" w:color="auto"/>
        <w:right w:val="none" w:sz="0" w:space="0" w:color="auto"/>
      </w:divBdr>
    </w:div>
    <w:div w:id="462770665">
      <w:bodyDiv w:val="1"/>
      <w:marLeft w:val="0"/>
      <w:marRight w:val="0"/>
      <w:marTop w:val="0"/>
      <w:marBottom w:val="0"/>
      <w:divBdr>
        <w:top w:val="none" w:sz="0" w:space="0" w:color="auto"/>
        <w:left w:val="none" w:sz="0" w:space="0" w:color="auto"/>
        <w:bottom w:val="none" w:sz="0" w:space="0" w:color="auto"/>
        <w:right w:val="none" w:sz="0" w:space="0" w:color="auto"/>
      </w:divBdr>
    </w:div>
    <w:div w:id="463280578">
      <w:bodyDiv w:val="1"/>
      <w:marLeft w:val="0"/>
      <w:marRight w:val="0"/>
      <w:marTop w:val="0"/>
      <w:marBottom w:val="0"/>
      <w:divBdr>
        <w:top w:val="none" w:sz="0" w:space="0" w:color="auto"/>
        <w:left w:val="none" w:sz="0" w:space="0" w:color="auto"/>
        <w:bottom w:val="none" w:sz="0" w:space="0" w:color="auto"/>
        <w:right w:val="none" w:sz="0" w:space="0" w:color="auto"/>
      </w:divBdr>
    </w:div>
    <w:div w:id="463961098">
      <w:bodyDiv w:val="1"/>
      <w:marLeft w:val="0"/>
      <w:marRight w:val="0"/>
      <w:marTop w:val="0"/>
      <w:marBottom w:val="0"/>
      <w:divBdr>
        <w:top w:val="none" w:sz="0" w:space="0" w:color="auto"/>
        <w:left w:val="none" w:sz="0" w:space="0" w:color="auto"/>
        <w:bottom w:val="none" w:sz="0" w:space="0" w:color="auto"/>
        <w:right w:val="none" w:sz="0" w:space="0" w:color="auto"/>
      </w:divBdr>
    </w:div>
    <w:div w:id="464392137">
      <w:bodyDiv w:val="1"/>
      <w:marLeft w:val="0"/>
      <w:marRight w:val="0"/>
      <w:marTop w:val="0"/>
      <w:marBottom w:val="0"/>
      <w:divBdr>
        <w:top w:val="none" w:sz="0" w:space="0" w:color="auto"/>
        <w:left w:val="none" w:sz="0" w:space="0" w:color="auto"/>
        <w:bottom w:val="none" w:sz="0" w:space="0" w:color="auto"/>
        <w:right w:val="none" w:sz="0" w:space="0" w:color="auto"/>
      </w:divBdr>
    </w:div>
    <w:div w:id="464584970">
      <w:bodyDiv w:val="1"/>
      <w:marLeft w:val="0"/>
      <w:marRight w:val="0"/>
      <w:marTop w:val="0"/>
      <w:marBottom w:val="0"/>
      <w:divBdr>
        <w:top w:val="none" w:sz="0" w:space="0" w:color="auto"/>
        <w:left w:val="none" w:sz="0" w:space="0" w:color="auto"/>
        <w:bottom w:val="none" w:sz="0" w:space="0" w:color="auto"/>
        <w:right w:val="none" w:sz="0" w:space="0" w:color="auto"/>
      </w:divBdr>
    </w:div>
    <w:div w:id="464739384">
      <w:bodyDiv w:val="1"/>
      <w:marLeft w:val="0"/>
      <w:marRight w:val="0"/>
      <w:marTop w:val="0"/>
      <w:marBottom w:val="0"/>
      <w:divBdr>
        <w:top w:val="none" w:sz="0" w:space="0" w:color="auto"/>
        <w:left w:val="none" w:sz="0" w:space="0" w:color="auto"/>
        <w:bottom w:val="none" w:sz="0" w:space="0" w:color="auto"/>
        <w:right w:val="none" w:sz="0" w:space="0" w:color="auto"/>
      </w:divBdr>
    </w:div>
    <w:div w:id="465049188">
      <w:bodyDiv w:val="1"/>
      <w:marLeft w:val="0"/>
      <w:marRight w:val="0"/>
      <w:marTop w:val="0"/>
      <w:marBottom w:val="0"/>
      <w:divBdr>
        <w:top w:val="none" w:sz="0" w:space="0" w:color="auto"/>
        <w:left w:val="none" w:sz="0" w:space="0" w:color="auto"/>
        <w:bottom w:val="none" w:sz="0" w:space="0" w:color="auto"/>
        <w:right w:val="none" w:sz="0" w:space="0" w:color="auto"/>
      </w:divBdr>
    </w:div>
    <w:div w:id="465468607">
      <w:bodyDiv w:val="1"/>
      <w:marLeft w:val="0"/>
      <w:marRight w:val="0"/>
      <w:marTop w:val="0"/>
      <w:marBottom w:val="0"/>
      <w:divBdr>
        <w:top w:val="none" w:sz="0" w:space="0" w:color="auto"/>
        <w:left w:val="none" w:sz="0" w:space="0" w:color="auto"/>
        <w:bottom w:val="none" w:sz="0" w:space="0" w:color="auto"/>
        <w:right w:val="none" w:sz="0" w:space="0" w:color="auto"/>
      </w:divBdr>
    </w:div>
    <w:div w:id="465973049">
      <w:bodyDiv w:val="1"/>
      <w:marLeft w:val="0"/>
      <w:marRight w:val="0"/>
      <w:marTop w:val="0"/>
      <w:marBottom w:val="0"/>
      <w:divBdr>
        <w:top w:val="none" w:sz="0" w:space="0" w:color="auto"/>
        <w:left w:val="none" w:sz="0" w:space="0" w:color="auto"/>
        <w:bottom w:val="none" w:sz="0" w:space="0" w:color="auto"/>
        <w:right w:val="none" w:sz="0" w:space="0" w:color="auto"/>
      </w:divBdr>
    </w:div>
    <w:div w:id="466124256">
      <w:bodyDiv w:val="1"/>
      <w:marLeft w:val="0"/>
      <w:marRight w:val="0"/>
      <w:marTop w:val="0"/>
      <w:marBottom w:val="0"/>
      <w:divBdr>
        <w:top w:val="none" w:sz="0" w:space="0" w:color="auto"/>
        <w:left w:val="none" w:sz="0" w:space="0" w:color="auto"/>
        <w:bottom w:val="none" w:sz="0" w:space="0" w:color="auto"/>
        <w:right w:val="none" w:sz="0" w:space="0" w:color="auto"/>
      </w:divBdr>
    </w:div>
    <w:div w:id="466358899">
      <w:bodyDiv w:val="1"/>
      <w:marLeft w:val="0"/>
      <w:marRight w:val="0"/>
      <w:marTop w:val="0"/>
      <w:marBottom w:val="0"/>
      <w:divBdr>
        <w:top w:val="none" w:sz="0" w:space="0" w:color="auto"/>
        <w:left w:val="none" w:sz="0" w:space="0" w:color="auto"/>
        <w:bottom w:val="none" w:sz="0" w:space="0" w:color="auto"/>
        <w:right w:val="none" w:sz="0" w:space="0" w:color="auto"/>
      </w:divBdr>
    </w:div>
    <w:div w:id="466975724">
      <w:bodyDiv w:val="1"/>
      <w:marLeft w:val="0"/>
      <w:marRight w:val="0"/>
      <w:marTop w:val="0"/>
      <w:marBottom w:val="0"/>
      <w:divBdr>
        <w:top w:val="none" w:sz="0" w:space="0" w:color="auto"/>
        <w:left w:val="none" w:sz="0" w:space="0" w:color="auto"/>
        <w:bottom w:val="none" w:sz="0" w:space="0" w:color="auto"/>
        <w:right w:val="none" w:sz="0" w:space="0" w:color="auto"/>
      </w:divBdr>
    </w:div>
    <w:div w:id="467211669">
      <w:bodyDiv w:val="1"/>
      <w:marLeft w:val="0"/>
      <w:marRight w:val="0"/>
      <w:marTop w:val="0"/>
      <w:marBottom w:val="0"/>
      <w:divBdr>
        <w:top w:val="none" w:sz="0" w:space="0" w:color="auto"/>
        <w:left w:val="none" w:sz="0" w:space="0" w:color="auto"/>
        <w:bottom w:val="none" w:sz="0" w:space="0" w:color="auto"/>
        <w:right w:val="none" w:sz="0" w:space="0" w:color="auto"/>
      </w:divBdr>
    </w:div>
    <w:div w:id="467435389">
      <w:bodyDiv w:val="1"/>
      <w:marLeft w:val="0"/>
      <w:marRight w:val="0"/>
      <w:marTop w:val="0"/>
      <w:marBottom w:val="0"/>
      <w:divBdr>
        <w:top w:val="none" w:sz="0" w:space="0" w:color="auto"/>
        <w:left w:val="none" w:sz="0" w:space="0" w:color="auto"/>
        <w:bottom w:val="none" w:sz="0" w:space="0" w:color="auto"/>
        <w:right w:val="none" w:sz="0" w:space="0" w:color="auto"/>
      </w:divBdr>
    </w:div>
    <w:div w:id="468255392">
      <w:bodyDiv w:val="1"/>
      <w:marLeft w:val="0"/>
      <w:marRight w:val="0"/>
      <w:marTop w:val="0"/>
      <w:marBottom w:val="0"/>
      <w:divBdr>
        <w:top w:val="none" w:sz="0" w:space="0" w:color="auto"/>
        <w:left w:val="none" w:sz="0" w:space="0" w:color="auto"/>
        <w:bottom w:val="none" w:sz="0" w:space="0" w:color="auto"/>
        <w:right w:val="none" w:sz="0" w:space="0" w:color="auto"/>
      </w:divBdr>
    </w:div>
    <w:div w:id="468523414">
      <w:bodyDiv w:val="1"/>
      <w:marLeft w:val="0"/>
      <w:marRight w:val="0"/>
      <w:marTop w:val="0"/>
      <w:marBottom w:val="0"/>
      <w:divBdr>
        <w:top w:val="none" w:sz="0" w:space="0" w:color="auto"/>
        <w:left w:val="none" w:sz="0" w:space="0" w:color="auto"/>
        <w:bottom w:val="none" w:sz="0" w:space="0" w:color="auto"/>
        <w:right w:val="none" w:sz="0" w:space="0" w:color="auto"/>
      </w:divBdr>
    </w:div>
    <w:div w:id="469447959">
      <w:bodyDiv w:val="1"/>
      <w:marLeft w:val="0"/>
      <w:marRight w:val="0"/>
      <w:marTop w:val="0"/>
      <w:marBottom w:val="0"/>
      <w:divBdr>
        <w:top w:val="none" w:sz="0" w:space="0" w:color="auto"/>
        <w:left w:val="none" w:sz="0" w:space="0" w:color="auto"/>
        <w:bottom w:val="none" w:sz="0" w:space="0" w:color="auto"/>
        <w:right w:val="none" w:sz="0" w:space="0" w:color="auto"/>
      </w:divBdr>
    </w:div>
    <w:div w:id="469595007">
      <w:bodyDiv w:val="1"/>
      <w:marLeft w:val="0"/>
      <w:marRight w:val="0"/>
      <w:marTop w:val="0"/>
      <w:marBottom w:val="0"/>
      <w:divBdr>
        <w:top w:val="none" w:sz="0" w:space="0" w:color="auto"/>
        <w:left w:val="none" w:sz="0" w:space="0" w:color="auto"/>
        <w:bottom w:val="none" w:sz="0" w:space="0" w:color="auto"/>
        <w:right w:val="none" w:sz="0" w:space="0" w:color="auto"/>
      </w:divBdr>
    </w:div>
    <w:div w:id="470244861">
      <w:bodyDiv w:val="1"/>
      <w:marLeft w:val="0"/>
      <w:marRight w:val="0"/>
      <w:marTop w:val="0"/>
      <w:marBottom w:val="0"/>
      <w:divBdr>
        <w:top w:val="none" w:sz="0" w:space="0" w:color="auto"/>
        <w:left w:val="none" w:sz="0" w:space="0" w:color="auto"/>
        <w:bottom w:val="none" w:sz="0" w:space="0" w:color="auto"/>
        <w:right w:val="none" w:sz="0" w:space="0" w:color="auto"/>
      </w:divBdr>
    </w:div>
    <w:div w:id="470756514">
      <w:bodyDiv w:val="1"/>
      <w:marLeft w:val="0"/>
      <w:marRight w:val="0"/>
      <w:marTop w:val="0"/>
      <w:marBottom w:val="0"/>
      <w:divBdr>
        <w:top w:val="none" w:sz="0" w:space="0" w:color="auto"/>
        <w:left w:val="none" w:sz="0" w:space="0" w:color="auto"/>
        <w:bottom w:val="none" w:sz="0" w:space="0" w:color="auto"/>
        <w:right w:val="none" w:sz="0" w:space="0" w:color="auto"/>
      </w:divBdr>
    </w:div>
    <w:div w:id="471140688">
      <w:bodyDiv w:val="1"/>
      <w:marLeft w:val="0"/>
      <w:marRight w:val="0"/>
      <w:marTop w:val="0"/>
      <w:marBottom w:val="0"/>
      <w:divBdr>
        <w:top w:val="none" w:sz="0" w:space="0" w:color="auto"/>
        <w:left w:val="none" w:sz="0" w:space="0" w:color="auto"/>
        <w:bottom w:val="none" w:sz="0" w:space="0" w:color="auto"/>
        <w:right w:val="none" w:sz="0" w:space="0" w:color="auto"/>
      </w:divBdr>
    </w:div>
    <w:div w:id="471487898">
      <w:bodyDiv w:val="1"/>
      <w:marLeft w:val="0"/>
      <w:marRight w:val="0"/>
      <w:marTop w:val="0"/>
      <w:marBottom w:val="0"/>
      <w:divBdr>
        <w:top w:val="none" w:sz="0" w:space="0" w:color="auto"/>
        <w:left w:val="none" w:sz="0" w:space="0" w:color="auto"/>
        <w:bottom w:val="none" w:sz="0" w:space="0" w:color="auto"/>
        <w:right w:val="none" w:sz="0" w:space="0" w:color="auto"/>
      </w:divBdr>
    </w:div>
    <w:div w:id="472677847">
      <w:bodyDiv w:val="1"/>
      <w:marLeft w:val="0"/>
      <w:marRight w:val="0"/>
      <w:marTop w:val="0"/>
      <w:marBottom w:val="0"/>
      <w:divBdr>
        <w:top w:val="none" w:sz="0" w:space="0" w:color="auto"/>
        <w:left w:val="none" w:sz="0" w:space="0" w:color="auto"/>
        <w:bottom w:val="none" w:sz="0" w:space="0" w:color="auto"/>
        <w:right w:val="none" w:sz="0" w:space="0" w:color="auto"/>
      </w:divBdr>
    </w:div>
    <w:div w:id="472916482">
      <w:bodyDiv w:val="1"/>
      <w:marLeft w:val="0"/>
      <w:marRight w:val="0"/>
      <w:marTop w:val="0"/>
      <w:marBottom w:val="0"/>
      <w:divBdr>
        <w:top w:val="none" w:sz="0" w:space="0" w:color="auto"/>
        <w:left w:val="none" w:sz="0" w:space="0" w:color="auto"/>
        <w:bottom w:val="none" w:sz="0" w:space="0" w:color="auto"/>
        <w:right w:val="none" w:sz="0" w:space="0" w:color="auto"/>
      </w:divBdr>
    </w:div>
    <w:div w:id="472985464">
      <w:bodyDiv w:val="1"/>
      <w:marLeft w:val="0"/>
      <w:marRight w:val="0"/>
      <w:marTop w:val="0"/>
      <w:marBottom w:val="0"/>
      <w:divBdr>
        <w:top w:val="none" w:sz="0" w:space="0" w:color="auto"/>
        <w:left w:val="none" w:sz="0" w:space="0" w:color="auto"/>
        <w:bottom w:val="none" w:sz="0" w:space="0" w:color="auto"/>
        <w:right w:val="none" w:sz="0" w:space="0" w:color="auto"/>
      </w:divBdr>
    </w:div>
    <w:div w:id="473303181">
      <w:bodyDiv w:val="1"/>
      <w:marLeft w:val="0"/>
      <w:marRight w:val="0"/>
      <w:marTop w:val="0"/>
      <w:marBottom w:val="0"/>
      <w:divBdr>
        <w:top w:val="none" w:sz="0" w:space="0" w:color="auto"/>
        <w:left w:val="none" w:sz="0" w:space="0" w:color="auto"/>
        <w:bottom w:val="none" w:sz="0" w:space="0" w:color="auto"/>
        <w:right w:val="none" w:sz="0" w:space="0" w:color="auto"/>
      </w:divBdr>
    </w:div>
    <w:div w:id="473330882">
      <w:bodyDiv w:val="1"/>
      <w:marLeft w:val="0"/>
      <w:marRight w:val="0"/>
      <w:marTop w:val="0"/>
      <w:marBottom w:val="0"/>
      <w:divBdr>
        <w:top w:val="none" w:sz="0" w:space="0" w:color="auto"/>
        <w:left w:val="none" w:sz="0" w:space="0" w:color="auto"/>
        <w:bottom w:val="none" w:sz="0" w:space="0" w:color="auto"/>
        <w:right w:val="none" w:sz="0" w:space="0" w:color="auto"/>
      </w:divBdr>
    </w:div>
    <w:div w:id="474227150">
      <w:bodyDiv w:val="1"/>
      <w:marLeft w:val="0"/>
      <w:marRight w:val="0"/>
      <w:marTop w:val="0"/>
      <w:marBottom w:val="0"/>
      <w:divBdr>
        <w:top w:val="none" w:sz="0" w:space="0" w:color="auto"/>
        <w:left w:val="none" w:sz="0" w:space="0" w:color="auto"/>
        <w:bottom w:val="none" w:sz="0" w:space="0" w:color="auto"/>
        <w:right w:val="none" w:sz="0" w:space="0" w:color="auto"/>
      </w:divBdr>
    </w:div>
    <w:div w:id="475219582">
      <w:bodyDiv w:val="1"/>
      <w:marLeft w:val="0"/>
      <w:marRight w:val="0"/>
      <w:marTop w:val="0"/>
      <w:marBottom w:val="0"/>
      <w:divBdr>
        <w:top w:val="none" w:sz="0" w:space="0" w:color="auto"/>
        <w:left w:val="none" w:sz="0" w:space="0" w:color="auto"/>
        <w:bottom w:val="none" w:sz="0" w:space="0" w:color="auto"/>
        <w:right w:val="none" w:sz="0" w:space="0" w:color="auto"/>
      </w:divBdr>
    </w:div>
    <w:div w:id="475683257">
      <w:bodyDiv w:val="1"/>
      <w:marLeft w:val="0"/>
      <w:marRight w:val="0"/>
      <w:marTop w:val="0"/>
      <w:marBottom w:val="0"/>
      <w:divBdr>
        <w:top w:val="none" w:sz="0" w:space="0" w:color="auto"/>
        <w:left w:val="none" w:sz="0" w:space="0" w:color="auto"/>
        <w:bottom w:val="none" w:sz="0" w:space="0" w:color="auto"/>
        <w:right w:val="none" w:sz="0" w:space="0" w:color="auto"/>
      </w:divBdr>
    </w:div>
    <w:div w:id="475878571">
      <w:bodyDiv w:val="1"/>
      <w:marLeft w:val="0"/>
      <w:marRight w:val="0"/>
      <w:marTop w:val="0"/>
      <w:marBottom w:val="0"/>
      <w:divBdr>
        <w:top w:val="none" w:sz="0" w:space="0" w:color="auto"/>
        <w:left w:val="none" w:sz="0" w:space="0" w:color="auto"/>
        <w:bottom w:val="none" w:sz="0" w:space="0" w:color="auto"/>
        <w:right w:val="none" w:sz="0" w:space="0" w:color="auto"/>
      </w:divBdr>
    </w:div>
    <w:div w:id="476185696">
      <w:bodyDiv w:val="1"/>
      <w:marLeft w:val="0"/>
      <w:marRight w:val="0"/>
      <w:marTop w:val="0"/>
      <w:marBottom w:val="0"/>
      <w:divBdr>
        <w:top w:val="none" w:sz="0" w:space="0" w:color="auto"/>
        <w:left w:val="none" w:sz="0" w:space="0" w:color="auto"/>
        <w:bottom w:val="none" w:sz="0" w:space="0" w:color="auto"/>
        <w:right w:val="none" w:sz="0" w:space="0" w:color="auto"/>
      </w:divBdr>
    </w:div>
    <w:div w:id="476608060">
      <w:bodyDiv w:val="1"/>
      <w:marLeft w:val="0"/>
      <w:marRight w:val="0"/>
      <w:marTop w:val="0"/>
      <w:marBottom w:val="0"/>
      <w:divBdr>
        <w:top w:val="none" w:sz="0" w:space="0" w:color="auto"/>
        <w:left w:val="none" w:sz="0" w:space="0" w:color="auto"/>
        <w:bottom w:val="none" w:sz="0" w:space="0" w:color="auto"/>
        <w:right w:val="none" w:sz="0" w:space="0" w:color="auto"/>
      </w:divBdr>
    </w:div>
    <w:div w:id="476801319">
      <w:bodyDiv w:val="1"/>
      <w:marLeft w:val="0"/>
      <w:marRight w:val="0"/>
      <w:marTop w:val="0"/>
      <w:marBottom w:val="0"/>
      <w:divBdr>
        <w:top w:val="none" w:sz="0" w:space="0" w:color="auto"/>
        <w:left w:val="none" w:sz="0" w:space="0" w:color="auto"/>
        <w:bottom w:val="none" w:sz="0" w:space="0" w:color="auto"/>
        <w:right w:val="none" w:sz="0" w:space="0" w:color="auto"/>
      </w:divBdr>
    </w:div>
    <w:div w:id="477110308">
      <w:bodyDiv w:val="1"/>
      <w:marLeft w:val="0"/>
      <w:marRight w:val="0"/>
      <w:marTop w:val="0"/>
      <w:marBottom w:val="0"/>
      <w:divBdr>
        <w:top w:val="none" w:sz="0" w:space="0" w:color="auto"/>
        <w:left w:val="none" w:sz="0" w:space="0" w:color="auto"/>
        <w:bottom w:val="none" w:sz="0" w:space="0" w:color="auto"/>
        <w:right w:val="none" w:sz="0" w:space="0" w:color="auto"/>
      </w:divBdr>
    </w:div>
    <w:div w:id="477306910">
      <w:bodyDiv w:val="1"/>
      <w:marLeft w:val="0"/>
      <w:marRight w:val="0"/>
      <w:marTop w:val="0"/>
      <w:marBottom w:val="0"/>
      <w:divBdr>
        <w:top w:val="none" w:sz="0" w:space="0" w:color="auto"/>
        <w:left w:val="none" w:sz="0" w:space="0" w:color="auto"/>
        <w:bottom w:val="none" w:sz="0" w:space="0" w:color="auto"/>
        <w:right w:val="none" w:sz="0" w:space="0" w:color="auto"/>
      </w:divBdr>
    </w:div>
    <w:div w:id="479806312">
      <w:bodyDiv w:val="1"/>
      <w:marLeft w:val="0"/>
      <w:marRight w:val="0"/>
      <w:marTop w:val="0"/>
      <w:marBottom w:val="0"/>
      <w:divBdr>
        <w:top w:val="none" w:sz="0" w:space="0" w:color="auto"/>
        <w:left w:val="none" w:sz="0" w:space="0" w:color="auto"/>
        <w:bottom w:val="none" w:sz="0" w:space="0" w:color="auto"/>
        <w:right w:val="none" w:sz="0" w:space="0" w:color="auto"/>
      </w:divBdr>
    </w:div>
    <w:div w:id="481309079">
      <w:bodyDiv w:val="1"/>
      <w:marLeft w:val="0"/>
      <w:marRight w:val="0"/>
      <w:marTop w:val="0"/>
      <w:marBottom w:val="0"/>
      <w:divBdr>
        <w:top w:val="none" w:sz="0" w:space="0" w:color="auto"/>
        <w:left w:val="none" w:sz="0" w:space="0" w:color="auto"/>
        <w:bottom w:val="none" w:sz="0" w:space="0" w:color="auto"/>
        <w:right w:val="none" w:sz="0" w:space="0" w:color="auto"/>
      </w:divBdr>
    </w:div>
    <w:div w:id="481502523">
      <w:bodyDiv w:val="1"/>
      <w:marLeft w:val="0"/>
      <w:marRight w:val="0"/>
      <w:marTop w:val="0"/>
      <w:marBottom w:val="0"/>
      <w:divBdr>
        <w:top w:val="none" w:sz="0" w:space="0" w:color="auto"/>
        <w:left w:val="none" w:sz="0" w:space="0" w:color="auto"/>
        <w:bottom w:val="none" w:sz="0" w:space="0" w:color="auto"/>
        <w:right w:val="none" w:sz="0" w:space="0" w:color="auto"/>
      </w:divBdr>
    </w:div>
    <w:div w:id="482158780">
      <w:bodyDiv w:val="1"/>
      <w:marLeft w:val="0"/>
      <w:marRight w:val="0"/>
      <w:marTop w:val="0"/>
      <w:marBottom w:val="0"/>
      <w:divBdr>
        <w:top w:val="none" w:sz="0" w:space="0" w:color="auto"/>
        <w:left w:val="none" w:sz="0" w:space="0" w:color="auto"/>
        <w:bottom w:val="none" w:sz="0" w:space="0" w:color="auto"/>
        <w:right w:val="none" w:sz="0" w:space="0" w:color="auto"/>
      </w:divBdr>
    </w:div>
    <w:div w:id="484053648">
      <w:bodyDiv w:val="1"/>
      <w:marLeft w:val="0"/>
      <w:marRight w:val="0"/>
      <w:marTop w:val="0"/>
      <w:marBottom w:val="0"/>
      <w:divBdr>
        <w:top w:val="none" w:sz="0" w:space="0" w:color="auto"/>
        <w:left w:val="none" w:sz="0" w:space="0" w:color="auto"/>
        <w:bottom w:val="none" w:sz="0" w:space="0" w:color="auto"/>
        <w:right w:val="none" w:sz="0" w:space="0" w:color="auto"/>
      </w:divBdr>
    </w:div>
    <w:div w:id="485048660">
      <w:bodyDiv w:val="1"/>
      <w:marLeft w:val="0"/>
      <w:marRight w:val="0"/>
      <w:marTop w:val="0"/>
      <w:marBottom w:val="0"/>
      <w:divBdr>
        <w:top w:val="none" w:sz="0" w:space="0" w:color="auto"/>
        <w:left w:val="none" w:sz="0" w:space="0" w:color="auto"/>
        <w:bottom w:val="none" w:sz="0" w:space="0" w:color="auto"/>
        <w:right w:val="none" w:sz="0" w:space="0" w:color="auto"/>
      </w:divBdr>
    </w:div>
    <w:div w:id="485319467">
      <w:bodyDiv w:val="1"/>
      <w:marLeft w:val="0"/>
      <w:marRight w:val="0"/>
      <w:marTop w:val="0"/>
      <w:marBottom w:val="0"/>
      <w:divBdr>
        <w:top w:val="none" w:sz="0" w:space="0" w:color="auto"/>
        <w:left w:val="none" w:sz="0" w:space="0" w:color="auto"/>
        <w:bottom w:val="none" w:sz="0" w:space="0" w:color="auto"/>
        <w:right w:val="none" w:sz="0" w:space="0" w:color="auto"/>
      </w:divBdr>
    </w:div>
    <w:div w:id="486016888">
      <w:bodyDiv w:val="1"/>
      <w:marLeft w:val="0"/>
      <w:marRight w:val="0"/>
      <w:marTop w:val="0"/>
      <w:marBottom w:val="0"/>
      <w:divBdr>
        <w:top w:val="none" w:sz="0" w:space="0" w:color="auto"/>
        <w:left w:val="none" w:sz="0" w:space="0" w:color="auto"/>
        <w:bottom w:val="none" w:sz="0" w:space="0" w:color="auto"/>
        <w:right w:val="none" w:sz="0" w:space="0" w:color="auto"/>
      </w:divBdr>
    </w:div>
    <w:div w:id="486091424">
      <w:bodyDiv w:val="1"/>
      <w:marLeft w:val="0"/>
      <w:marRight w:val="0"/>
      <w:marTop w:val="0"/>
      <w:marBottom w:val="0"/>
      <w:divBdr>
        <w:top w:val="none" w:sz="0" w:space="0" w:color="auto"/>
        <w:left w:val="none" w:sz="0" w:space="0" w:color="auto"/>
        <w:bottom w:val="none" w:sz="0" w:space="0" w:color="auto"/>
        <w:right w:val="none" w:sz="0" w:space="0" w:color="auto"/>
      </w:divBdr>
    </w:div>
    <w:div w:id="486821695">
      <w:bodyDiv w:val="1"/>
      <w:marLeft w:val="0"/>
      <w:marRight w:val="0"/>
      <w:marTop w:val="0"/>
      <w:marBottom w:val="0"/>
      <w:divBdr>
        <w:top w:val="none" w:sz="0" w:space="0" w:color="auto"/>
        <w:left w:val="none" w:sz="0" w:space="0" w:color="auto"/>
        <w:bottom w:val="none" w:sz="0" w:space="0" w:color="auto"/>
        <w:right w:val="none" w:sz="0" w:space="0" w:color="auto"/>
      </w:divBdr>
    </w:div>
    <w:div w:id="487211166">
      <w:bodyDiv w:val="1"/>
      <w:marLeft w:val="0"/>
      <w:marRight w:val="0"/>
      <w:marTop w:val="0"/>
      <w:marBottom w:val="0"/>
      <w:divBdr>
        <w:top w:val="none" w:sz="0" w:space="0" w:color="auto"/>
        <w:left w:val="none" w:sz="0" w:space="0" w:color="auto"/>
        <w:bottom w:val="none" w:sz="0" w:space="0" w:color="auto"/>
        <w:right w:val="none" w:sz="0" w:space="0" w:color="auto"/>
      </w:divBdr>
    </w:div>
    <w:div w:id="488521758">
      <w:bodyDiv w:val="1"/>
      <w:marLeft w:val="0"/>
      <w:marRight w:val="0"/>
      <w:marTop w:val="0"/>
      <w:marBottom w:val="0"/>
      <w:divBdr>
        <w:top w:val="none" w:sz="0" w:space="0" w:color="auto"/>
        <w:left w:val="none" w:sz="0" w:space="0" w:color="auto"/>
        <w:bottom w:val="none" w:sz="0" w:space="0" w:color="auto"/>
        <w:right w:val="none" w:sz="0" w:space="0" w:color="auto"/>
      </w:divBdr>
    </w:div>
    <w:div w:id="488835635">
      <w:bodyDiv w:val="1"/>
      <w:marLeft w:val="0"/>
      <w:marRight w:val="0"/>
      <w:marTop w:val="0"/>
      <w:marBottom w:val="0"/>
      <w:divBdr>
        <w:top w:val="none" w:sz="0" w:space="0" w:color="auto"/>
        <w:left w:val="none" w:sz="0" w:space="0" w:color="auto"/>
        <w:bottom w:val="none" w:sz="0" w:space="0" w:color="auto"/>
        <w:right w:val="none" w:sz="0" w:space="0" w:color="auto"/>
      </w:divBdr>
    </w:div>
    <w:div w:id="489947394">
      <w:bodyDiv w:val="1"/>
      <w:marLeft w:val="0"/>
      <w:marRight w:val="0"/>
      <w:marTop w:val="0"/>
      <w:marBottom w:val="0"/>
      <w:divBdr>
        <w:top w:val="none" w:sz="0" w:space="0" w:color="auto"/>
        <w:left w:val="none" w:sz="0" w:space="0" w:color="auto"/>
        <w:bottom w:val="none" w:sz="0" w:space="0" w:color="auto"/>
        <w:right w:val="none" w:sz="0" w:space="0" w:color="auto"/>
      </w:divBdr>
    </w:div>
    <w:div w:id="491800688">
      <w:bodyDiv w:val="1"/>
      <w:marLeft w:val="0"/>
      <w:marRight w:val="0"/>
      <w:marTop w:val="0"/>
      <w:marBottom w:val="0"/>
      <w:divBdr>
        <w:top w:val="none" w:sz="0" w:space="0" w:color="auto"/>
        <w:left w:val="none" w:sz="0" w:space="0" w:color="auto"/>
        <w:bottom w:val="none" w:sz="0" w:space="0" w:color="auto"/>
        <w:right w:val="none" w:sz="0" w:space="0" w:color="auto"/>
      </w:divBdr>
    </w:div>
    <w:div w:id="491992405">
      <w:bodyDiv w:val="1"/>
      <w:marLeft w:val="0"/>
      <w:marRight w:val="0"/>
      <w:marTop w:val="0"/>
      <w:marBottom w:val="0"/>
      <w:divBdr>
        <w:top w:val="none" w:sz="0" w:space="0" w:color="auto"/>
        <w:left w:val="none" w:sz="0" w:space="0" w:color="auto"/>
        <w:bottom w:val="none" w:sz="0" w:space="0" w:color="auto"/>
        <w:right w:val="none" w:sz="0" w:space="0" w:color="auto"/>
      </w:divBdr>
      <w:divsChild>
        <w:div w:id="1209029654">
          <w:marLeft w:val="480"/>
          <w:marRight w:val="0"/>
          <w:marTop w:val="0"/>
          <w:marBottom w:val="0"/>
          <w:divBdr>
            <w:top w:val="none" w:sz="0" w:space="0" w:color="auto"/>
            <w:left w:val="none" w:sz="0" w:space="0" w:color="auto"/>
            <w:bottom w:val="none" w:sz="0" w:space="0" w:color="auto"/>
            <w:right w:val="none" w:sz="0" w:space="0" w:color="auto"/>
          </w:divBdr>
        </w:div>
        <w:div w:id="1040738085">
          <w:marLeft w:val="480"/>
          <w:marRight w:val="0"/>
          <w:marTop w:val="0"/>
          <w:marBottom w:val="0"/>
          <w:divBdr>
            <w:top w:val="none" w:sz="0" w:space="0" w:color="auto"/>
            <w:left w:val="none" w:sz="0" w:space="0" w:color="auto"/>
            <w:bottom w:val="none" w:sz="0" w:space="0" w:color="auto"/>
            <w:right w:val="none" w:sz="0" w:space="0" w:color="auto"/>
          </w:divBdr>
        </w:div>
        <w:div w:id="836505491">
          <w:marLeft w:val="480"/>
          <w:marRight w:val="0"/>
          <w:marTop w:val="0"/>
          <w:marBottom w:val="0"/>
          <w:divBdr>
            <w:top w:val="none" w:sz="0" w:space="0" w:color="auto"/>
            <w:left w:val="none" w:sz="0" w:space="0" w:color="auto"/>
            <w:bottom w:val="none" w:sz="0" w:space="0" w:color="auto"/>
            <w:right w:val="none" w:sz="0" w:space="0" w:color="auto"/>
          </w:divBdr>
        </w:div>
        <w:div w:id="2115048910">
          <w:marLeft w:val="480"/>
          <w:marRight w:val="0"/>
          <w:marTop w:val="0"/>
          <w:marBottom w:val="0"/>
          <w:divBdr>
            <w:top w:val="none" w:sz="0" w:space="0" w:color="auto"/>
            <w:left w:val="none" w:sz="0" w:space="0" w:color="auto"/>
            <w:bottom w:val="none" w:sz="0" w:space="0" w:color="auto"/>
            <w:right w:val="none" w:sz="0" w:space="0" w:color="auto"/>
          </w:divBdr>
        </w:div>
        <w:div w:id="1119567082">
          <w:marLeft w:val="480"/>
          <w:marRight w:val="0"/>
          <w:marTop w:val="0"/>
          <w:marBottom w:val="0"/>
          <w:divBdr>
            <w:top w:val="none" w:sz="0" w:space="0" w:color="auto"/>
            <w:left w:val="none" w:sz="0" w:space="0" w:color="auto"/>
            <w:bottom w:val="none" w:sz="0" w:space="0" w:color="auto"/>
            <w:right w:val="none" w:sz="0" w:space="0" w:color="auto"/>
          </w:divBdr>
        </w:div>
        <w:div w:id="1412923320">
          <w:marLeft w:val="480"/>
          <w:marRight w:val="0"/>
          <w:marTop w:val="0"/>
          <w:marBottom w:val="0"/>
          <w:divBdr>
            <w:top w:val="none" w:sz="0" w:space="0" w:color="auto"/>
            <w:left w:val="none" w:sz="0" w:space="0" w:color="auto"/>
            <w:bottom w:val="none" w:sz="0" w:space="0" w:color="auto"/>
            <w:right w:val="none" w:sz="0" w:space="0" w:color="auto"/>
          </w:divBdr>
        </w:div>
        <w:div w:id="1346176866">
          <w:marLeft w:val="480"/>
          <w:marRight w:val="0"/>
          <w:marTop w:val="0"/>
          <w:marBottom w:val="0"/>
          <w:divBdr>
            <w:top w:val="none" w:sz="0" w:space="0" w:color="auto"/>
            <w:left w:val="none" w:sz="0" w:space="0" w:color="auto"/>
            <w:bottom w:val="none" w:sz="0" w:space="0" w:color="auto"/>
            <w:right w:val="none" w:sz="0" w:space="0" w:color="auto"/>
          </w:divBdr>
        </w:div>
        <w:div w:id="54621428">
          <w:marLeft w:val="480"/>
          <w:marRight w:val="0"/>
          <w:marTop w:val="0"/>
          <w:marBottom w:val="0"/>
          <w:divBdr>
            <w:top w:val="none" w:sz="0" w:space="0" w:color="auto"/>
            <w:left w:val="none" w:sz="0" w:space="0" w:color="auto"/>
            <w:bottom w:val="none" w:sz="0" w:space="0" w:color="auto"/>
            <w:right w:val="none" w:sz="0" w:space="0" w:color="auto"/>
          </w:divBdr>
        </w:div>
        <w:div w:id="2125686055">
          <w:marLeft w:val="480"/>
          <w:marRight w:val="0"/>
          <w:marTop w:val="0"/>
          <w:marBottom w:val="0"/>
          <w:divBdr>
            <w:top w:val="none" w:sz="0" w:space="0" w:color="auto"/>
            <w:left w:val="none" w:sz="0" w:space="0" w:color="auto"/>
            <w:bottom w:val="none" w:sz="0" w:space="0" w:color="auto"/>
            <w:right w:val="none" w:sz="0" w:space="0" w:color="auto"/>
          </w:divBdr>
        </w:div>
        <w:div w:id="313143652">
          <w:marLeft w:val="480"/>
          <w:marRight w:val="0"/>
          <w:marTop w:val="0"/>
          <w:marBottom w:val="0"/>
          <w:divBdr>
            <w:top w:val="none" w:sz="0" w:space="0" w:color="auto"/>
            <w:left w:val="none" w:sz="0" w:space="0" w:color="auto"/>
            <w:bottom w:val="none" w:sz="0" w:space="0" w:color="auto"/>
            <w:right w:val="none" w:sz="0" w:space="0" w:color="auto"/>
          </w:divBdr>
        </w:div>
        <w:div w:id="551159158">
          <w:marLeft w:val="480"/>
          <w:marRight w:val="0"/>
          <w:marTop w:val="0"/>
          <w:marBottom w:val="0"/>
          <w:divBdr>
            <w:top w:val="none" w:sz="0" w:space="0" w:color="auto"/>
            <w:left w:val="none" w:sz="0" w:space="0" w:color="auto"/>
            <w:bottom w:val="none" w:sz="0" w:space="0" w:color="auto"/>
            <w:right w:val="none" w:sz="0" w:space="0" w:color="auto"/>
          </w:divBdr>
        </w:div>
        <w:div w:id="218437944">
          <w:marLeft w:val="480"/>
          <w:marRight w:val="0"/>
          <w:marTop w:val="0"/>
          <w:marBottom w:val="0"/>
          <w:divBdr>
            <w:top w:val="none" w:sz="0" w:space="0" w:color="auto"/>
            <w:left w:val="none" w:sz="0" w:space="0" w:color="auto"/>
            <w:bottom w:val="none" w:sz="0" w:space="0" w:color="auto"/>
            <w:right w:val="none" w:sz="0" w:space="0" w:color="auto"/>
          </w:divBdr>
        </w:div>
        <w:div w:id="1065644101">
          <w:marLeft w:val="480"/>
          <w:marRight w:val="0"/>
          <w:marTop w:val="0"/>
          <w:marBottom w:val="0"/>
          <w:divBdr>
            <w:top w:val="none" w:sz="0" w:space="0" w:color="auto"/>
            <w:left w:val="none" w:sz="0" w:space="0" w:color="auto"/>
            <w:bottom w:val="none" w:sz="0" w:space="0" w:color="auto"/>
            <w:right w:val="none" w:sz="0" w:space="0" w:color="auto"/>
          </w:divBdr>
        </w:div>
        <w:div w:id="1678725753">
          <w:marLeft w:val="480"/>
          <w:marRight w:val="0"/>
          <w:marTop w:val="0"/>
          <w:marBottom w:val="0"/>
          <w:divBdr>
            <w:top w:val="none" w:sz="0" w:space="0" w:color="auto"/>
            <w:left w:val="none" w:sz="0" w:space="0" w:color="auto"/>
            <w:bottom w:val="none" w:sz="0" w:space="0" w:color="auto"/>
            <w:right w:val="none" w:sz="0" w:space="0" w:color="auto"/>
          </w:divBdr>
        </w:div>
        <w:div w:id="97258385">
          <w:marLeft w:val="480"/>
          <w:marRight w:val="0"/>
          <w:marTop w:val="0"/>
          <w:marBottom w:val="0"/>
          <w:divBdr>
            <w:top w:val="none" w:sz="0" w:space="0" w:color="auto"/>
            <w:left w:val="none" w:sz="0" w:space="0" w:color="auto"/>
            <w:bottom w:val="none" w:sz="0" w:space="0" w:color="auto"/>
            <w:right w:val="none" w:sz="0" w:space="0" w:color="auto"/>
          </w:divBdr>
        </w:div>
        <w:div w:id="925847997">
          <w:marLeft w:val="480"/>
          <w:marRight w:val="0"/>
          <w:marTop w:val="0"/>
          <w:marBottom w:val="0"/>
          <w:divBdr>
            <w:top w:val="none" w:sz="0" w:space="0" w:color="auto"/>
            <w:left w:val="none" w:sz="0" w:space="0" w:color="auto"/>
            <w:bottom w:val="none" w:sz="0" w:space="0" w:color="auto"/>
            <w:right w:val="none" w:sz="0" w:space="0" w:color="auto"/>
          </w:divBdr>
        </w:div>
        <w:div w:id="568417612">
          <w:marLeft w:val="480"/>
          <w:marRight w:val="0"/>
          <w:marTop w:val="0"/>
          <w:marBottom w:val="0"/>
          <w:divBdr>
            <w:top w:val="none" w:sz="0" w:space="0" w:color="auto"/>
            <w:left w:val="none" w:sz="0" w:space="0" w:color="auto"/>
            <w:bottom w:val="none" w:sz="0" w:space="0" w:color="auto"/>
            <w:right w:val="none" w:sz="0" w:space="0" w:color="auto"/>
          </w:divBdr>
        </w:div>
        <w:div w:id="1249581347">
          <w:marLeft w:val="480"/>
          <w:marRight w:val="0"/>
          <w:marTop w:val="0"/>
          <w:marBottom w:val="0"/>
          <w:divBdr>
            <w:top w:val="none" w:sz="0" w:space="0" w:color="auto"/>
            <w:left w:val="none" w:sz="0" w:space="0" w:color="auto"/>
            <w:bottom w:val="none" w:sz="0" w:space="0" w:color="auto"/>
            <w:right w:val="none" w:sz="0" w:space="0" w:color="auto"/>
          </w:divBdr>
        </w:div>
        <w:div w:id="632096257">
          <w:marLeft w:val="480"/>
          <w:marRight w:val="0"/>
          <w:marTop w:val="0"/>
          <w:marBottom w:val="0"/>
          <w:divBdr>
            <w:top w:val="none" w:sz="0" w:space="0" w:color="auto"/>
            <w:left w:val="none" w:sz="0" w:space="0" w:color="auto"/>
            <w:bottom w:val="none" w:sz="0" w:space="0" w:color="auto"/>
            <w:right w:val="none" w:sz="0" w:space="0" w:color="auto"/>
          </w:divBdr>
        </w:div>
        <w:div w:id="1572541462">
          <w:marLeft w:val="480"/>
          <w:marRight w:val="0"/>
          <w:marTop w:val="0"/>
          <w:marBottom w:val="0"/>
          <w:divBdr>
            <w:top w:val="none" w:sz="0" w:space="0" w:color="auto"/>
            <w:left w:val="none" w:sz="0" w:space="0" w:color="auto"/>
            <w:bottom w:val="none" w:sz="0" w:space="0" w:color="auto"/>
            <w:right w:val="none" w:sz="0" w:space="0" w:color="auto"/>
          </w:divBdr>
        </w:div>
        <w:div w:id="1606381104">
          <w:marLeft w:val="480"/>
          <w:marRight w:val="0"/>
          <w:marTop w:val="0"/>
          <w:marBottom w:val="0"/>
          <w:divBdr>
            <w:top w:val="none" w:sz="0" w:space="0" w:color="auto"/>
            <w:left w:val="none" w:sz="0" w:space="0" w:color="auto"/>
            <w:bottom w:val="none" w:sz="0" w:space="0" w:color="auto"/>
            <w:right w:val="none" w:sz="0" w:space="0" w:color="auto"/>
          </w:divBdr>
        </w:div>
        <w:div w:id="2019499736">
          <w:marLeft w:val="480"/>
          <w:marRight w:val="0"/>
          <w:marTop w:val="0"/>
          <w:marBottom w:val="0"/>
          <w:divBdr>
            <w:top w:val="none" w:sz="0" w:space="0" w:color="auto"/>
            <w:left w:val="none" w:sz="0" w:space="0" w:color="auto"/>
            <w:bottom w:val="none" w:sz="0" w:space="0" w:color="auto"/>
            <w:right w:val="none" w:sz="0" w:space="0" w:color="auto"/>
          </w:divBdr>
        </w:div>
        <w:div w:id="357892119">
          <w:marLeft w:val="480"/>
          <w:marRight w:val="0"/>
          <w:marTop w:val="0"/>
          <w:marBottom w:val="0"/>
          <w:divBdr>
            <w:top w:val="none" w:sz="0" w:space="0" w:color="auto"/>
            <w:left w:val="none" w:sz="0" w:space="0" w:color="auto"/>
            <w:bottom w:val="none" w:sz="0" w:space="0" w:color="auto"/>
            <w:right w:val="none" w:sz="0" w:space="0" w:color="auto"/>
          </w:divBdr>
        </w:div>
        <w:div w:id="1783456988">
          <w:marLeft w:val="480"/>
          <w:marRight w:val="0"/>
          <w:marTop w:val="0"/>
          <w:marBottom w:val="0"/>
          <w:divBdr>
            <w:top w:val="none" w:sz="0" w:space="0" w:color="auto"/>
            <w:left w:val="none" w:sz="0" w:space="0" w:color="auto"/>
            <w:bottom w:val="none" w:sz="0" w:space="0" w:color="auto"/>
            <w:right w:val="none" w:sz="0" w:space="0" w:color="auto"/>
          </w:divBdr>
        </w:div>
        <w:div w:id="48647737">
          <w:marLeft w:val="480"/>
          <w:marRight w:val="0"/>
          <w:marTop w:val="0"/>
          <w:marBottom w:val="0"/>
          <w:divBdr>
            <w:top w:val="none" w:sz="0" w:space="0" w:color="auto"/>
            <w:left w:val="none" w:sz="0" w:space="0" w:color="auto"/>
            <w:bottom w:val="none" w:sz="0" w:space="0" w:color="auto"/>
            <w:right w:val="none" w:sz="0" w:space="0" w:color="auto"/>
          </w:divBdr>
        </w:div>
        <w:div w:id="629360885">
          <w:marLeft w:val="480"/>
          <w:marRight w:val="0"/>
          <w:marTop w:val="0"/>
          <w:marBottom w:val="0"/>
          <w:divBdr>
            <w:top w:val="none" w:sz="0" w:space="0" w:color="auto"/>
            <w:left w:val="none" w:sz="0" w:space="0" w:color="auto"/>
            <w:bottom w:val="none" w:sz="0" w:space="0" w:color="auto"/>
            <w:right w:val="none" w:sz="0" w:space="0" w:color="auto"/>
          </w:divBdr>
        </w:div>
        <w:div w:id="2142646541">
          <w:marLeft w:val="480"/>
          <w:marRight w:val="0"/>
          <w:marTop w:val="0"/>
          <w:marBottom w:val="0"/>
          <w:divBdr>
            <w:top w:val="none" w:sz="0" w:space="0" w:color="auto"/>
            <w:left w:val="none" w:sz="0" w:space="0" w:color="auto"/>
            <w:bottom w:val="none" w:sz="0" w:space="0" w:color="auto"/>
            <w:right w:val="none" w:sz="0" w:space="0" w:color="auto"/>
          </w:divBdr>
        </w:div>
        <w:div w:id="1246374574">
          <w:marLeft w:val="480"/>
          <w:marRight w:val="0"/>
          <w:marTop w:val="0"/>
          <w:marBottom w:val="0"/>
          <w:divBdr>
            <w:top w:val="none" w:sz="0" w:space="0" w:color="auto"/>
            <w:left w:val="none" w:sz="0" w:space="0" w:color="auto"/>
            <w:bottom w:val="none" w:sz="0" w:space="0" w:color="auto"/>
            <w:right w:val="none" w:sz="0" w:space="0" w:color="auto"/>
          </w:divBdr>
        </w:div>
        <w:div w:id="2118597928">
          <w:marLeft w:val="480"/>
          <w:marRight w:val="0"/>
          <w:marTop w:val="0"/>
          <w:marBottom w:val="0"/>
          <w:divBdr>
            <w:top w:val="none" w:sz="0" w:space="0" w:color="auto"/>
            <w:left w:val="none" w:sz="0" w:space="0" w:color="auto"/>
            <w:bottom w:val="none" w:sz="0" w:space="0" w:color="auto"/>
            <w:right w:val="none" w:sz="0" w:space="0" w:color="auto"/>
          </w:divBdr>
        </w:div>
        <w:div w:id="1951157764">
          <w:marLeft w:val="480"/>
          <w:marRight w:val="0"/>
          <w:marTop w:val="0"/>
          <w:marBottom w:val="0"/>
          <w:divBdr>
            <w:top w:val="none" w:sz="0" w:space="0" w:color="auto"/>
            <w:left w:val="none" w:sz="0" w:space="0" w:color="auto"/>
            <w:bottom w:val="none" w:sz="0" w:space="0" w:color="auto"/>
            <w:right w:val="none" w:sz="0" w:space="0" w:color="auto"/>
          </w:divBdr>
        </w:div>
        <w:div w:id="44841629">
          <w:marLeft w:val="480"/>
          <w:marRight w:val="0"/>
          <w:marTop w:val="0"/>
          <w:marBottom w:val="0"/>
          <w:divBdr>
            <w:top w:val="none" w:sz="0" w:space="0" w:color="auto"/>
            <w:left w:val="none" w:sz="0" w:space="0" w:color="auto"/>
            <w:bottom w:val="none" w:sz="0" w:space="0" w:color="auto"/>
            <w:right w:val="none" w:sz="0" w:space="0" w:color="auto"/>
          </w:divBdr>
        </w:div>
        <w:div w:id="274944308">
          <w:marLeft w:val="480"/>
          <w:marRight w:val="0"/>
          <w:marTop w:val="0"/>
          <w:marBottom w:val="0"/>
          <w:divBdr>
            <w:top w:val="none" w:sz="0" w:space="0" w:color="auto"/>
            <w:left w:val="none" w:sz="0" w:space="0" w:color="auto"/>
            <w:bottom w:val="none" w:sz="0" w:space="0" w:color="auto"/>
            <w:right w:val="none" w:sz="0" w:space="0" w:color="auto"/>
          </w:divBdr>
        </w:div>
        <w:div w:id="1097560815">
          <w:marLeft w:val="480"/>
          <w:marRight w:val="0"/>
          <w:marTop w:val="0"/>
          <w:marBottom w:val="0"/>
          <w:divBdr>
            <w:top w:val="none" w:sz="0" w:space="0" w:color="auto"/>
            <w:left w:val="none" w:sz="0" w:space="0" w:color="auto"/>
            <w:bottom w:val="none" w:sz="0" w:space="0" w:color="auto"/>
            <w:right w:val="none" w:sz="0" w:space="0" w:color="auto"/>
          </w:divBdr>
        </w:div>
        <w:div w:id="738794022">
          <w:marLeft w:val="480"/>
          <w:marRight w:val="0"/>
          <w:marTop w:val="0"/>
          <w:marBottom w:val="0"/>
          <w:divBdr>
            <w:top w:val="none" w:sz="0" w:space="0" w:color="auto"/>
            <w:left w:val="none" w:sz="0" w:space="0" w:color="auto"/>
            <w:bottom w:val="none" w:sz="0" w:space="0" w:color="auto"/>
            <w:right w:val="none" w:sz="0" w:space="0" w:color="auto"/>
          </w:divBdr>
        </w:div>
        <w:div w:id="267932638">
          <w:marLeft w:val="480"/>
          <w:marRight w:val="0"/>
          <w:marTop w:val="0"/>
          <w:marBottom w:val="0"/>
          <w:divBdr>
            <w:top w:val="none" w:sz="0" w:space="0" w:color="auto"/>
            <w:left w:val="none" w:sz="0" w:space="0" w:color="auto"/>
            <w:bottom w:val="none" w:sz="0" w:space="0" w:color="auto"/>
            <w:right w:val="none" w:sz="0" w:space="0" w:color="auto"/>
          </w:divBdr>
        </w:div>
        <w:div w:id="1511069724">
          <w:marLeft w:val="480"/>
          <w:marRight w:val="0"/>
          <w:marTop w:val="0"/>
          <w:marBottom w:val="0"/>
          <w:divBdr>
            <w:top w:val="none" w:sz="0" w:space="0" w:color="auto"/>
            <w:left w:val="none" w:sz="0" w:space="0" w:color="auto"/>
            <w:bottom w:val="none" w:sz="0" w:space="0" w:color="auto"/>
            <w:right w:val="none" w:sz="0" w:space="0" w:color="auto"/>
          </w:divBdr>
        </w:div>
        <w:div w:id="705644450">
          <w:marLeft w:val="480"/>
          <w:marRight w:val="0"/>
          <w:marTop w:val="0"/>
          <w:marBottom w:val="0"/>
          <w:divBdr>
            <w:top w:val="none" w:sz="0" w:space="0" w:color="auto"/>
            <w:left w:val="none" w:sz="0" w:space="0" w:color="auto"/>
            <w:bottom w:val="none" w:sz="0" w:space="0" w:color="auto"/>
            <w:right w:val="none" w:sz="0" w:space="0" w:color="auto"/>
          </w:divBdr>
        </w:div>
        <w:div w:id="1860191659">
          <w:marLeft w:val="480"/>
          <w:marRight w:val="0"/>
          <w:marTop w:val="0"/>
          <w:marBottom w:val="0"/>
          <w:divBdr>
            <w:top w:val="none" w:sz="0" w:space="0" w:color="auto"/>
            <w:left w:val="none" w:sz="0" w:space="0" w:color="auto"/>
            <w:bottom w:val="none" w:sz="0" w:space="0" w:color="auto"/>
            <w:right w:val="none" w:sz="0" w:space="0" w:color="auto"/>
          </w:divBdr>
        </w:div>
        <w:div w:id="778642896">
          <w:marLeft w:val="480"/>
          <w:marRight w:val="0"/>
          <w:marTop w:val="0"/>
          <w:marBottom w:val="0"/>
          <w:divBdr>
            <w:top w:val="none" w:sz="0" w:space="0" w:color="auto"/>
            <w:left w:val="none" w:sz="0" w:space="0" w:color="auto"/>
            <w:bottom w:val="none" w:sz="0" w:space="0" w:color="auto"/>
            <w:right w:val="none" w:sz="0" w:space="0" w:color="auto"/>
          </w:divBdr>
        </w:div>
        <w:div w:id="1193886380">
          <w:marLeft w:val="480"/>
          <w:marRight w:val="0"/>
          <w:marTop w:val="0"/>
          <w:marBottom w:val="0"/>
          <w:divBdr>
            <w:top w:val="none" w:sz="0" w:space="0" w:color="auto"/>
            <w:left w:val="none" w:sz="0" w:space="0" w:color="auto"/>
            <w:bottom w:val="none" w:sz="0" w:space="0" w:color="auto"/>
            <w:right w:val="none" w:sz="0" w:space="0" w:color="auto"/>
          </w:divBdr>
        </w:div>
        <w:div w:id="1186021874">
          <w:marLeft w:val="480"/>
          <w:marRight w:val="0"/>
          <w:marTop w:val="0"/>
          <w:marBottom w:val="0"/>
          <w:divBdr>
            <w:top w:val="none" w:sz="0" w:space="0" w:color="auto"/>
            <w:left w:val="none" w:sz="0" w:space="0" w:color="auto"/>
            <w:bottom w:val="none" w:sz="0" w:space="0" w:color="auto"/>
            <w:right w:val="none" w:sz="0" w:space="0" w:color="auto"/>
          </w:divBdr>
        </w:div>
        <w:div w:id="2039775048">
          <w:marLeft w:val="480"/>
          <w:marRight w:val="0"/>
          <w:marTop w:val="0"/>
          <w:marBottom w:val="0"/>
          <w:divBdr>
            <w:top w:val="none" w:sz="0" w:space="0" w:color="auto"/>
            <w:left w:val="none" w:sz="0" w:space="0" w:color="auto"/>
            <w:bottom w:val="none" w:sz="0" w:space="0" w:color="auto"/>
            <w:right w:val="none" w:sz="0" w:space="0" w:color="auto"/>
          </w:divBdr>
        </w:div>
        <w:div w:id="2110814457">
          <w:marLeft w:val="480"/>
          <w:marRight w:val="0"/>
          <w:marTop w:val="0"/>
          <w:marBottom w:val="0"/>
          <w:divBdr>
            <w:top w:val="none" w:sz="0" w:space="0" w:color="auto"/>
            <w:left w:val="none" w:sz="0" w:space="0" w:color="auto"/>
            <w:bottom w:val="none" w:sz="0" w:space="0" w:color="auto"/>
            <w:right w:val="none" w:sz="0" w:space="0" w:color="auto"/>
          </w:divBdr>
        </w:div>
        <w:div w:id="726760505">
          <w:marLeft w:val="480"/>
          <w:marRight w:val="0"/>
          <w:marTop w:val="0"/>
          <w:marBottom w:val="0"/>
          <w:divBdr>
            <w:top w:val="none" w:sz="0" w:space="0" w:color="auto"/>
            <w:left w:val="none" w:sz="0" w:space="0" w:color="auto"/>
            <w:bottom w:val="none" w:sz="0" w:space="0" w:color="auto"/>
            <w:right w:val="none" w:sz="0" w:space="0" w:color="auto"/>
          </w:divBdr>
        </w:div>
        <w:div w:id="310408140">
          <w:marLeft w:val="480"/>
          <w:marRight w:val="0"/>
          <w:marTop w:val="0"/>
          <w:marBottom w:val="0"/>
          <w:divBdr>
            <w:top w:val="none" w:sz="0" w:space="0" w:color="auto"/>
            <w:left w:val="none" w:sz="0" w:space="0" w:color="auto"/>
            <w:bottom w:val="none" w:sz="0" w:space="0" w:color="auto"/>
            <w:right w:val="none" w:sz="0" w:space="0" w:color="auto"/>
          </w:divBdr>
        </w:div>
        <w:div w:id="1006905958">
          <w:marLeft w:val="480"/>
          <w:marRight w:val="0"/>
          <w:marTop w:val="0"/>
          <w:marBottom w:val="0"/>
          <w:divBdr>
            <w:top w:val="none" w:sz="0" w:space="0" w:color="auto"/>
            <w:left w:val="none" w:sz="0" w:space="0" w:color="auto"/>
            <w:bottom w:val="none" w:sz="0" w:space="0" w:color="auto"/>
            <w:right w:val="none" w:sz="0" w:space="0" w:color="auto"/>
          </w:divBdr>
        </w:div>
        <w:div w:id="1964383699">
          <w:marLeft w:val="480"/>
          <w:marRight w:val="0"/>
          <w:marTop w:val="0"/>
          <w:marBottom w:val="0"/>
          <w:divBdr>
            <w:top w:val="none" w:sz="0" w:space="0" w:color="auto"/>
            <w:left w:val="none" w:sz="0" w:space="0" w:color="auto"/>
            <w:bottom w:val="none" w:sz="0" w:space="0" w:color="auto"/>
            <w:right w:val="none" w:sz="0" w:space="0" w:color="auto"/>
          </w:divBdr>
        </w:div>
        <w:div w:id="1088843961">
          <w:marLeft w:val="480"/>
          <w:marRight w:val="0"/>
          <w:marTop w:val="0"/>
          <w:marBottom w:val="0"/>
          <w:divBdr>
            <w:top w:val="none" w:sz="0" w:space="0" w:color="auto"/>
            <w:left w:val="none" w:sz="0" w:space="0" w:color="auto"/>
            <w:bottom w:val="none" w:sz="0" w:space="0" w:color="auto"/>
            <w:right w:val="none" w:sz="0" w:space="0" w:color="auto"/>
          </w:divBdr>
        </w:div>
        <w:div w:id="142430913">
          <w:marLeft w:val="480"/>
          <w:marRight w:val="0"/>
          <w:marTop w:val="0"/>
          <w:marBottom w:val="0"/>
          <w:divBdr>
            <w:top w:val="none" w:sz="0" w:space="0" w:color="auto"/>
            <w:left w:val="none" w:sz="0" w:space="0" w:color="auto"/>
            <w:bottom w:val="none" w:sz="0" w:space="0" w:color="auto"/>
            <w:right w:val="none" w:sz="0" w:space="0" w:color="auto"/>
          </w:divBdr>
        </w:div>
        <w:div w:id="1168861300">
          <w:marLeft w:val="480"/>
          <w:marRight w:val="0"/>
          <w:marTop w:val="0"/>
          <w:marBottom w:val="0"/>
          <w:divBdr>
            <w:top w:val="none" w:sz="0" w:space="0" w:color="auto"/>
            <w:left w:val="none" w:sz="0" w:space="0" w:color="auto"/>
            <w:bottom w:val="none" w:sz="0" w:space="0" w:color="auto"/>
            <w:right w:val="none" w:sz="0" w:space="0" w:color="auto"/>
          </w:divBdr>
        </w:div>
        <w:div w:id="384378848">
          <w:marLeft w:val="480"/>
          <w:marRight w:val="0"/>
          <w:marTop w:val="0"/>
          <w:marBottom w:val="0"/>
          <w:divBdr>
            <w:top w:val="none" w:sz="0" w:space="0" w:color="auto"/>
            <w:left w:val="none" w:sz="0" w:space="0" w:color="auto"/>
            <w:bottom w:val="none" w:sz="0" w:space="0" w:color="auto"/>
            <w:right w:val="none" w:sz="0" w:space="0" w:color="auto"/>
          </w:divBdr>
        </w:div>
        <w:div w:id="810177717">
          <w:marLeft w:val="480"/>
          <w:marRight w:val="0"/>
          <w:marTop w:val="0"/>
          <w:marBottom w:val="0"/>
          <w:divBdr>
            <w:top w:val="none" w:sz="0" w:space="0" w:color="auto"/>
            <w:left w:val="none" w:sz="0" w:space="0" w:color="auto"/>
            <w:bottom w:val="none" w:sz="0" w:space="0" w:color="auto"/>
            <w:right w:val="none" w:sz="0" w:space="0" w:color="auto"/>
          </w:divBdr>
        </w:div>
        <w:div w:id="646544716">
          <w:marLeft w:val="480"/>
          <w:marRight w:val="0"/>
          <w:marTop w:val="0"/>
          <w:marBottom w:val="0"/>
          <w:divBdr>
            <w:top w:val="none" w:sz="0" w:space="0" w:color="auto"/>
            <w:left w:val="none" w:sz="0" w:space="0" w:color="auto"/>
            <w:bottom w:val="none" w:sz="0" w:space="0" w:color="auto"/>
            <w:right w:val="none" w:sz="0" w:space="0" w:color="auto"/>
          </w:divBdr>
        </w:div>
        <w:div w:id="408384724">
          <w:marLeft w:val="480"/>
          <w:marRight w:val="0"/>
          <w:marTop w:val="0"/>
          <w:marBottom w:val="0"/>
          <w:divBdr>
            <w:top w:val="none" w:sz="0" w:space="0" w:color="auto"/>
            <w:left w:val="none" w:sz="0" w:space="0" w:color="auto"/>
            <w:bottom w:val="none" w:sz="0" w:space="0" w:color="auto"/>
            <w:right w:val="none" w:sz="0" w:space="0" w:color="auto"/>
          </w:divBdr>
        </w:div>
        <w:div w:id="898134320">
          <w:marLeft w:val="480"/>
          <w:marRight w:val="0"/>
          <w:marTop w:val="0"/>
          <w:marBottom w:val="0"/>
          <w:divBdr>
            <w:top w:val="none" w:sz="0" w:space="0" w:color="auto"/>
            <w:left w:val="none" w:sz="0" w:space="0" w:color="auto"/>
            <w:bottom w:val="none" w:sz="0" w:space="0" w:color="auto"/>
            <w:right w:val="none" w:sz="0" w:space="0" w:color="auto"/>
          </w:divBdr>
        </w:div>
        <w:div w:id="2144344871">
          <w:marLeft w:val="480"/>
          <w:marRight w:val="0"/>
          <w:marTop w:val="0"/>
          <w:marBottom w:val="0"/>
          <w:divBdr>
            <w:top w:val="none" w:sz="0" w:space="0" w:color="auto"/>
            <w:left w:val="none" w:sz="0" w:space="0" w:color="auto"/>
            <w:bottom w:val="none" w:sz="0" w:space="0" w:color="auto"/>
            <w:right w:val="none" w:sz="0" w:space="0" w:color="auto"/>
          </w:divBdr>
        </w:div>
        <w:div w:id="725372969">
          <w:marLeft w:val="480"/>
          <w:marRight w:val="0"/>
          <w:marTop w:val="0"/>
          <w:marBottom w:val="0"/>
          <w:divBdr>
            <w:top w:val="none" w:sz="0" w:space="0" w:color="auto"/>
            <w:left w:val="none" w:sz="0" w:space="0" w:color="auto"/>
            <w:bottom w:val="none" w:sz="0" w:space="0" w:color="auto"/>
            <w:right w:val="none" w:sz="0" w:space="0" w:color="auto"/>
          </w:divBdr>
        </w:div>
        <w:div w:id="484662379">
          <w:marLeft w:val="480"/>
          <w:marRight w:val="0"/>
          <w:marTop w:val="0"/>
          <w:marBottom w:val="0"/>
          <w:divBdr>
            <w:top w:val="none" w:sz="0" w:space="0" w:color="auto"/>
            <w:left w:val="none" w:sz="0" w:space="0" w:color="auto"/>
            <w:bottom w:val="none" w:sz="0" w:space="0" w:color="auto"/>
            <w:right w:val="none" w:sz="0" w:space="0" w:color="auto"/>
          </w:divBdr>
        </w:div>
        <w:div w:id="2076782479">
          <w:marLeft w:val="480"/>
          <w:marRight w:val="0"/>
          <w:marTop w:val="0"/>
          <w:marBottom w:val="0"/>
          <w:divBdr>
            <w:top w:val="none" w:sz="0" w:space="0" w:color="auto"/>
            <w:left w:val="none" w:sz="0" w:space="0" w:color="auto"/>
            <w:bottom w:val="none" w:sz="0" w:space="0" w:color="auto"/>
            <w:right w:val="none" w:sz="0" w:space="0" w:color="auto"/>
          </w:divBdr>
        </w:div>
        <w:div w:id="1766463157">
          <w:marLeft w:val="480"/>
          <w:marRight w:val="0"/>
          <w:marTop w:val="0"/>
          <w:marBottom w:val="0"/>
          <w:divBdr>
            <w:top w:val="none" w:sz="0" w:space="0" w:color="auto"/>
            <w:left w:val="none" w:sz="0" w:space="0" w:color="auto"/>
            <w:bottom w:val="none" w:sz="0" w:space="0" w:color="auto"/>
            <w:right w:val="none" w:sz="0" w:space="0" w:color="auto"/>
          </w:divBdr>
        </w:div>
        <w:div w:id="386497316">
          <w:marLeft w:val="480"/>
          <w:marRight w:val="0"/>
          <w:marTop w:val="0"/>
          <w:marBottom w:val="0"/>
          <w:divBdr>
            <w:top w:val="none" w:sz="0" w:space="0" w:color="auto"/>
            <w:left w:val="none" w:sz="0" w:space="0" w:color="auto"/>
            <w:bottom w:val="none" w:sz="0" w:space="0" w:color="auto"/>
            <w:right w:val="none" w:sz="0" w:space="0" w:color="auto"/>
          </w:divBdr>
        </w:div>
        <w:div w:id="1074669245">
          <w:marLeft w:val="480"/>
          <w:marRight w:val="0"/>
          <w:marTop w:val="0"/>
          <w:marBottom w:val="0"/>
          <w:divBdr>
            <w:top w:val="none" w:sz="0" w:space="0" w:color="auto"/>
            <w:left w:val="none" w:sz="0" w:space="0" w:color="auto"/>
            <w:bottom w:val="none" w:sz="0" w:space="0" w:color="auto"/>
            <w:right w:val="none" w:sz="0" w:space="0" w:color="auto"/>
          </w:divBdr>
        </w:div>
        <w:div w:id="420376384">
          <w:marLeft w:val="480"/>
          <w:marRight w:val="0"/>
          <w:marTop w:val="0"/>
          <w:marBottom w:val="0"/>
          <w:divBdr>
            <w:top w:val="none" w:sz="0" w:space="0" w:color="auto"/>
            <w:left w:val="none" w:sz="0" w:space="0" w:color="auto"/>
            <w:bottom w:val="none" w:sz="0" w:space="0" w:color="auto"/>
            <w:right w:val="none" w:sz="0" w:space="0" w:color="auto"/>
          </w:divBdr>
        </w:div>
        <w:div w:id="317612311">
          <w:marLeft w:val="480"/>
          <w:marRight w:val="0"/>
          <w:marTop w:val="0"/>
          <w:marBottom w:val="0"/>
          <w:divBdr>
            <w:top w:val="none" w:sz="0" w:space="0" w:color="auto"/>
            <w:left w:val="none" w:sz="0" w:space="0" w:color="auto"/>
            <w:bottom w:val="none" w:sz="0" w:space="0" w:color="auto"/>
            <w:right w:val="none" w:sz="0" w:space="0" w:color="auto"/>
          </w:divBdr>
        </w:div>
        <w:div w:id="594290229">
          <w:marLeft w:val="480"/>
          <w:marRight w:val="0"/>
          <w:marTop w:val="0"/>
          <w:marBottom w:val="0"/>
          <w:divBdr>
            <w:top w:val="none" w:sz="0" w:space="0" w:color="auto"/>
            <w:left w:val="none" w:sz="0" w:space="0" w:color="auto"/>
            <w:bottom w:val="none" w:sz="0" w:space="0" w:color="auto"/>
            <w:right w:val="none" w:sz="0" w:space="0" w:color="auto"/>
          </w:divBdr>
        </w:div>
        <w:div w:id="751049087">
          <w:marLeft w:val="480"/>
          <w:marRight w:val="0"/>
          <w:marTop w:val="0"/>
          <w:marBottom w:val="0"/>
          <w:divBdr>
            <w:top w:val="none" w:sz="0" w:space="0" w:color="auto"/>
            <w:left w:val="none" w:sz="0" w:space="0" w:color="auto"/>
            <w:bottom w:val="none" w:sz="0" w:space="0" w:color="auto"/>
            <w:right w:val="none" w:sz="0" w:space="0" w:color="auto"/>
          </w:divBdr>
        </w:div>
        <w:div w:id="1460539173">
          <w:marLeft w:val="480"/>
          <w:marRight w:val="0"/>
          <w:marTop w:val="0"/>
          <w:marBottom w:val="0"/>
          <w:divBdr>
            <w:top w:val="none" w:sz="0" w:space="0" w:color="auto"/>
            <w:left w:val="none" w:sz="0" w:space="0" w:color="auto"/>
            <w:bottom w:val="none" w:sz="0" w:space="0" w:color="auto"/>
            <w:right w:val="none" w:sz="0" w:space="0" w:color="auto"/>
          </w:divBdr>
        </w:div>
        <w:div w:id="1215384008">
          <w:marLeft w:val="480"/>
          <w:marRight w:val="0"/>
          <w:marTop w:val="0"/>
          <w:marBottom w:val="0"/>
          <w:divBdr>
            <w:top w:val="none" w:sz="0" w:space="0" w:color="auto"/>
            <w:left w:val="none" w:sz="0" w:space="0" w:color="auto"/>
            <w:bottom w:val="none" w:sz="0" w:space="0" w:color="auto"/>
            <w:right w:val="none" w:sz="0" w:space="0" w:color="auto"/>
          </w:divBdr>
        </w:div>
        <w:div w:id="1139569968">
          <w:marLeft w:val="480"/>
          <w:marRight w:val="0"/>
          <w:marTop w:val="0"/>
          <w:marBottom w:val="0"/>
          <w:divBdr>
            <w:top w:val="none" w:sz="0" w:space="0" w:color="auto"/>
            <w:left w:val="none" w:sz="0" w:space="0" w:color="auto"/>
            <w:bottom w:val="none" w:sz="0" w:space="0" w:color="auto"/>
            <w:right w:val="none" w:sz="0" w:space="0" w:color="auto"/>
          </w:divBdr>
        </w:div>
        <w:div w:id="1980181910">
          <w:marLeft w:val="480"/>
          <w:marRight w:val="0"/>
          <w:marTop w:val="0"/>
          <w:marBottom w:val="0"/>
          <w:divBdr>
            <w:top w:val="none" w:sz="0" w:space="0" w:color="auto"/>
            <w:left w:val="none" w:sz="0" w:space="0" w:color="auto"/>
            <w:bottom w:val="none" w:sz="0" w:space="0" w:color="auto"/>
            <w:right w:val="none" w:sz="0" w:space="0" w:color="auto"/>
          </w:divBdr>
        </w:div>
        <w:div w:id="1094669159">
          <w:marLeft w:val="480"/>
          <w:marRight w:val="0"/>
          <w:marTop w:val="0"/>
          <w:marBottom w:val="0"/>
          <w:divBdr>
            <w:top w:val="none" w:sz="0" w:space="0" w:color="auto"/>
            <w:left w:val="none" w:sz="0" w:space="0" w:color="auto"/>
            <w:bottom w:val="none" w:sz="0" w:space="0" w:color="auto"/>
            <w:right w:val="none" w:sz="0" w:space="0" w:color="auto"/>
          </w:divBdr>
        </w:div>
        <w:div w:id="818349641">
          <w:marLeft w:val="480"/>
          <w:marRight w:val="0"/>
          <w:marTop w:val="0"/>
          <w:marBottom w:val="0"/>
          <w:divBdr>
            <w:top w:val="none" w:sz="0" w:space="0" w:color="auto"/>
            <w:left w:val="none" w:sz="0" w:space="0" w:color="auto"/>
            <w:bottom w:val="none" w:sz="0" w:space="0" w:color="auto"/>
            <w:right w:val="none" w:sz="0" w:space="0" w:color="auto"/>
          </w:divBdr>
        </w:div>
        <w:div w:id="1264336468">
          <w:marLeft w:val="480"/>
          <w:marRight w:val="0"/>
          <w:marTop w:val="0"/>
          <w:marBottom w:val="0"/>
          <w:divBdr>
            <w:top w:val="none" w:sz="0" w:space="0" w:color="auto"/>
            <w:left w:val="none" w:sz="0" w:space="0" w:color="auto"/>
            <w:bottom w:val="none" w:sz="0" w:space="0" w:color="auto"/>
            <w:right w:val="none" w:sz="0" w:space="0" w:color="auto"/>
          </w:divBdr>
        </w:div>
        <w:div w:id="1883131592">
          <w:marLeft w:val="480"/>
          <w:marRight w:val="0"/>
          <w:marTop w:val="0"/>
          <w:marBottom w:val="0"/>
          <w:divBdr>
            <w:top w:val="none" w:sz="0" w:space="0" w:color="auto"/>
            <w:left w:val="none" w:sz="0" w:space="0" w:color="auto"/>
            <w:bottom w:val="none" w:sz="0" w:space="0" w:color="auto"/>
            <w:right w:val="none" w:sz="0" w:space="0" w:color="auto"/>
          </w:divBdr>
        </w:div>
        <w:div w:id="1663585318">
          <w:marLeft w:val="480"/>
          <w:marRight w:val="0"/>
          <w:marTop w:val="0"/>
          <w:marBottom w:val="0"/>
          <w:divBdr>
            <w:top w:val="none" w:sz="0" w:space="0" w:color="auto"/>
            <w:left w:val="none" w:sz="0" w:space="0" w:color="auto"/>
            <w:bottom w:val="none" w:sz="0" w:space="0" w:color="auto"/>
            <w:right w:val="none" w:sz="0" w:space="0" w:color="auto"/>
          </w:divBdr>
        </w:div>
        <w:div w:id="57672914">
          <w:marLeft w:val="480"/>
          <w:marRight w:val="0"/>
          <w:marTop w:val="0"/>
          <w:marBottom w:val="0"/>
          <w:divBdr>
            <w:top w:val="none" w:sz="0" w:space="0" w:color="auto"/>
            <w:left w:val="none" w:sz="0" w:space="0" w:color="auto"/>
            <w:bottom w:val="none" w:sz="0" w:space="0" w:color="auto"/>
            <w:right w:val="none" w:sz="0" w:space="0" w:color="auto"/>
          </w:divBdr>
        </w:div>
        <w:div w:id="2141459373">
          <w:marLeft w:val="480"/>
          <w:marRight w:val="0"/>
          <w:marTop w:val="0"/>
          <w:marBottom w:val="0"/>
          <w:divBdr>
            <w:top w:val="none" w:sz="0" w:space="0" w:color="auto"/>
            <w:left w:val="none" w:sz="0" w:space="0" w:color="auto"/>
            <w:bottom w:val="none" w:sz="0" w:space="0" w:color="auto"/>
            <w:right w:val="none" w:sz="0" w:space="0" w:color="auto"/>
          </w:divBdr>
        </w:div>
        <w:div w:id="599413959">
          <w:marLeft w:val="480"/>
          <w:marRight w:val="0"/>
          <w:marTop w:val="0"/>
          <w:marBottom w:val="0"/>
          <w:divBdr>
            <w:top w:val="none" w:sz="0" w:space="0" w:color="auto"/>
            <w:left w:val="none" w:sz="0" w:space="0" w:color="auto"/>
            <w:bottom w:val="none" w:sz="0" w:space="0" w:color="auto"/>
            <w:right w:val="none" w:sz="0" w:space="0" w:color="auto"/>
          </w:divBdr>
        </w:div>
        <w:div w:id="707921826">
          <w:marLeft w:val="480"/>
          <w:marRight w:val="0"/>
          <w:marTop w:val="0"/>
          <w:marBottom w:val="0"/>
          <w:divBdr>
            <w:top w:val="none" w:sz="0" w:space="0" w:color="auto"/>
            <w:left w:val="none" w:sz="0" w:space="0" w:color="auto"/>
            <w:bottom w:val="none" w:sz="0" w:space="0" w:color="auto"/>
            <w:right w:val="none" w:sz="0" w:space="0" w:color="auto"/>
          </w:divBdr>
        </w:div>
        <w:div w:id="84738176">
          <w:marLeft w:val="480"/>
          <w:marRight w:val="0"/>
          <w:marTop w:val="0"/>
          <w:marBottom w:val="0"/>
          <w:divBdr>
            <w:top w:val="none" w:sz="0" w:space="0" w:color="auto"/>
            <w:left w:val="none" w:sz="0" w:space="0" w:color="auto"/>
            <w:bottom w:val="none" w:sz="0" w:space="0" w:color="auto"/>
            <w:right w:val="none" w:sz="0" w:space="0" w:color="auto"/>
          </w:divBdr>
        </w:div>
        <w:div w:id="181361992">
          <w:marLeft w:val="480"/>
          <w:marRight w:val="0"/>
          <w:marTop w:val="0"/>
          <w:marBottom w:val="0"/>
          <w:divBdr>
            <w:top w:val="none" w:sz="0" w:space="0" w:color="auto"/>
            <w:left w:val="none" w:sz="0" w:space="0" w:color="auto"/>
            <w:bottom w:val="none" w:sz="0" w:space="0" w:color="auto"/>
            <w:right w:val="none" w:sz="0" w:space="0" w:color="auto"/>
          </w:divBdr>
        </w:div>
        <w:div w:id="1245263035">
          <w:marLeft w:val="480"/>
          <w:marRight w:val="0"/>
          <w:marTop w:val="0"/>
          <w:marBottom w:val="0"/>
          <w:divBdr>
            <w:top w:val="none" w:sz="0" w:space="0" w:color="auto"/>
            <w:left w:val="none" w:sz="0" w:space="0" w:color="auto"/>
            <w:bottom w:val="none" w:sz="0" w:space="0" w:color="auto"/>
            <w:right w:val="none" w:sz="0" w:space="0" w:color="auto"/>
          </w:divBdr>
        </w:div>
        <w:div w:id="754013172">
          <w:marLeft w:val="480"/>
          <w:marRight w:val="0"/>
          <w:marTop w:val="0"/>
          <w:marBottom w:val="0"/>
          <w:divBdr>
            <w:top w:val="none" w:sz="0" w:space="0" w:color="auto"/>
            <w:left w:val="none" w:sz="0" w:space="0" w:color="auto"/>
            <w:bottom w:val="none" w:sz="0" w:space="0" w:color="auto"/>
            <w:right w:val="none" w:sz="0" w:space="0" w:color="auto"/>
          </w:divBdr>
        </w:div>
        <w:div w:id="762647646">
          <w:marLeft w:val="480"/>
          <w:marRight w:val="0"/>
          <w:marTop w:val="0"/>
          <w:marBottom w:val="0"/>
          <w:divBdr>
            <w:top w:val="none" w:sz="0" w:space="0" w:color="auto"/>
            <w:left w:val="none" w:sz="0" w:space="0" w:color="auto"/>
            <w:bottom w:val="none" w:sz="0" w:space="0" w:color="auto"/>
            <w:right w:val="none" w:sz="0" w:space="0" w:color="auto"/>
          </w:divBdr>
        </w:div>
        <w:div w:id="1223059591">
          <w:marLeft w:val="480"/>
          <w:marRight w:val="0"/>
          <w:marTop w:val="0"/>
          <w:marBottom w:val="0"/>
          <w:divBdr>
            <w:top w:val="none" w:sz="0" w:space="0" w:color="auto"/>
            <w:left w:val="none" w:sz="0" w:space="0" w:color="auto"/>
            <w:bottom w:val="none" w:sz="0" w:space="0" w:color="auto"/>
            <w:right w:val="none" w:sz="0" w:space="0" w:color="auto"/>
          </w:divBdr>
        </w:div>
        <w:div w:id="1861773557">
          <w:marLeft w:val="480"/>
          <w:marRight w:val="0"/>
          <w:marTop w:val="0"/>
          <w:marBottom w:val="0"/>
          <w:divBdr>
            <w:top w:val="none" w:sz="0" w:space="0" w:color="auto"/>
            <w:left w:val="none" w:sz="0" w:space="0" w:color="auto"/>
            <w:bottom w:val="none" w:sz="0" w:space="0" w:color="auto"/>
            <w:right w:val="none" w:sz="0" w:space="0" w:color="auto"/>
          </w:divBdr>
        </w:div>
        <w:div w:id="1812282567">
          <w:marLeft w:val="480"/>
          <w:marRight w:val="0"/>
          <w:marTop w:val="0"/>
          <w:marBottom w:val="0"/>
          <w:divBdr>
            <w:top w:val="none" w:sz="0" w:space="0" w:color="auto"/>
            <w:left w:val="none" w:sz="0" w:space="0" w:color="auto"/>
            <w:bottom w:val="none" w:sz="0" w:space="0" w:color="auto"/>
            <w:right w:val="none" w:sz="0" w:space="0" w:color="auto"/>
          </w:divBdr>
        </w:div>
        <w:div w:id="1787968129">
          <w:marLeft w:val="480"/>
          <w:marRight w:val="0"/>
          <w:marTop w:val="0"/>
          <w:marBottom w:val="0"/>
          <w:divBdr>
            <w:top w:val="none" w:sz="0" w:space="0" w:color="auto"/>
            <w:left w:val="none" w:sz="0" w:space="0" w:color="auto"/>
            <w:bottom w:val="none" w:sz="0" w:space="0" w:color="auto"/>
            <w:right w:val="none" w:sz="0" w:space="0" w:color="auto"/>
          </w:divBdr>
        </w:div>
        <w:div w:id="880214430">
          <w:marLeft w:val="480"/>
          <w:marRight w:val="0"/>
          <w:marTop w:val="0"/>
          <w:marBottom w:val="0"/>
          <w:divBdr>
            <w:top w:val="none" w:sz="0" w:space="0" w:color="auto"/>
            <w:left w:val="none" w:sz="0" w:space="0" w:color="auto"/>
            <w:bottom w:val="none" w:sz="0" w:space="0" w:color="auto"/>
            <w:right w:val="none" w:sz="0" w:space="0" w:color="auto"/>
          </w:divBdr>
        </w:div>
        <w:div w:id="1279334274">
          <w:marLeft w:val="480"/>
          <w:marRight w:val="0"/>
          <w:marTop w:val="0"/>
          <w:marBottom w:val="0"/>
          <w:divBdr>
            <w:top w:val="none" w:sz="0" w:space="0" w:color="auto"/>
            <w:left w:val="none" w:sz="0" w:space="0" w:color="auto"/>
            <w:bottom w:val="none" w:sz="0" w:space="0" w:color="auto"/>
            <w:right w:val="none" w:sz="0" w:space="0" w:color="auto"/>
          </w:divBdr>
        </w:div>
        <w:div w:id="158039197">
          <w:marLeft w:val="480"/>
          <w:marRight w:val="0"/>
          <w:marTop w:val="0"/>
          <w:marBottom w:val="0"/>
          <w:divBdr>
            <w:top w:val="none" w:sz="0" w:space="0" w:color="auto"/>
            <w:left w:val="none" w:sz="0" w:space="0" w:color="auto"/>
            <w:bottom w:val="none" w:sz="0" w:space="0" w:color="auto"/>
            <w:right w:val="none" w:sz="0" w:space="0" w:color="auto"/>
          </w:divBdr>
        </w:div>
        <w:div w:id="301230896">
          <w:marLeft w:val="480"/>
          <w:marRight w:val="0"/>
          <w:marTop w:val="0"/>
          <w:marBottom w:val="0"/>
          <w:divBdr>
            <w:top w:val="none" w:sz="0" w:space="0" w:color="auto"/>
            <w:left w:val="none" w:sz="0" w:space="0" w:color="auto"/>
            <w:bottom w:val="none" w:sz="0" w:space="0" w:color="auto"/>
            <w:right w:val="none" w:sz="0" w:space="0" w:color="auto"/>
          </w:divBdr>
        </w:div>
        <w:div w:id="685713372">
          <w:marLeft w:val="480"/>
          <w:marRight w:val="0"/>
          <w:marTop w:val="0"/>
          <w:marBottom w:val="0"/>
          <w:divBdr>
            <w:top w:val="none" w:sz="0" w:space="0" w:color="auto"/>
            <w:left w:val="none" w:sz="0" w:space="0" w:color="auto"/>
            <w:bottom w:val="none" w:sz="0" w:space="0" w:color="auto"/>
            <w:right w:val="none" w:sz="0" w:space="0" w:color="auto"/>
          </w:divBdr>
        </w:div>
        <w:div w:id="993143536">
          <w:marLeft w:val="480"/>
          <w:marRight w:val="0"/>
          <w:marTop w:val="0"/>
          <w:marBottom w:val="0"/>
          <w:divBdr>
            <w:top w:val="none" w:sz="0" w:space="0" w:color="auto"/>
            <w:left w:val="none" w:sz="0" w:space="0" w:color="auto"/>
            <w:bottom w:val="none" w:sz="0" w:space="0" w:color="auto"/>
            <w:right w:val="none" w:sz="0" w:space="0" w:color="auto"/>
          </w:divBdr>
        </w:div>
        <w:div w:id="1455324634">
          <w:marLeft w:val="480"/>
          <w:marRight w:val="0"/>
          <w:marTop w:val="0"/>
          <w:marBottom w:val="0"/>
          <w:divBdr>
            <w:top w:val="none" w:sz="0" w:space="0" w:color="auto"/>
            <w:left w:val="none" w:sz="0" w:space="0" w:color="auto"/>
            <w:bottom w:val="none" w:sz="0" w:space="0" w:color="auto"/>
            <w:right w:val="none" w:sz="0" w:space="0" w:color="auto"/>
          </w:divBdr>
        </w:div>
        <w:div w:id="1920748435">
          <w:marLeft w:val="480"/>
          <w:marRight w:val="0"/>
          <w:marTop w:val="0"/>
          <w:marBottom w:val="0"/>
          <w:divBdr>
            <w:top w:val="none" w:sz="0" w:space="0" w:color="auto"/>
            <w:left w:val="none" w:sz="0" w:space="0" w:color="auto"/>
            <w:bottom w:val="none" w:sz="0" w:space="0" w:color="auto"/>
            <w:right w:val="none" w:sz="0" w:space="0" w:color="auto"/>
          </w:divBdr>
        </w:div>
        <w:div w:id="653217258">
          <w:marLeft w:val="480"/>
          <w:marRight w:val="0"/>
          <w:marTop w:val="0"/>
          <w:marBottom w:val="0"/>
          <w:divBdr>
            <w:top w:val="none" w:sz="0" w:space="0" w:color="auto"/>
            <w:left w:val="none" w:sz="0" w:space="0" w:color="auto"/>
            <w:bottom w:val="none" w:sz="0" w:space="0" w:color="auto"/>
            <w:right w:val="none" w:sz="0" w:space="0" w:color="auto"/>
          </w:divBdr>
        </w:div>
        <w:div w:id="1856576539">
          <w:marLeft w:val="480"/>
          <w:marRight w:val="0"/>
          <w:marTop w:val="0"/>
          <w:marBottom w:val="0"/>
          <w:divBdr>
            <w:top w:val="none" w:sz="0" w:space="0" w:color="auto"/>
            <w:left w:val="none" w:sz="0" w:space="0" w:color="auto"/>
            <w:bottom w:val="none" w:sz="0" w:space="0" w:color="auto"/>
            <w:right w:val="none" w:sz="0" w:space="0" w:color="auto"/>
          </w:divBdr>
        </w:div>
        <w:div w:id="143470328">
          <w:marLeft w:val="480"/>
          <w:marRight w:val="0"/>
          <w:marTop w:val="0"/>
          <w:marBottom w:val="0"/>
          <w:divBdr>
            <w:top w:val="none" w:sz="0" w:space="0" w:color="auto"/>
            <w:left w:val="none" w:sz="0" w:space="0" w:color="auto"/>
            <w:bottom w:val="none" w:sz="0" w:space="0" w:color="auto"/>
            <w:right w:val="none" w:sz="0" w:space="0" w:color="auto"/>
          </w:divBdr>
        </w:div>
        <w:div w:id="1522158098">
          <w:marLeft w:val="480"/>
          <w:marRight w:val="0"/>
          <w:marTop w:val="0"/>
          <w:marBottom w:val="0"/>
          <w:divBdr>
            <w:top w:val="none" w:sz="0" w:space="0" w:color="auto"/>
            <w:left w:val="none" w:sz="0" w:space="0" w:color="auto"/>
            <w:bottom w:val="none" w:sz="0" w:space="0" w:color="auto"/>
            <w:right w:val="none" w:sz="0" w:space="0" w:color="auto"/>
          </w:divBdr>
        </w:div>
        <w:div w:id="190073270">
          <w:marLeft w:val="480"/>
          <w:marRight w:val="0"/>
          <w:marTop w:val="0"/>
          <w:marBottom w:val="0"/>
          <w:divBdr>
            <w:top w:val="none" w:sz="0" w:space="0" w:color="auto"/>
            <w:left w:val="none" w:sz="0" w:space="0" w:color="auto"/>
            <w:bottom w:val="none" w:sz="0" w:space="0" w:color="auto"/>
            <w:right w:val="none" w:sz="0" w:space="0" w:color="auto"/>
          </w:divBdr>
        </w:div>
        <w:div w:id="873808420">
          <w:marLeft w:val="480"/>
          <w:marRight w:val="0"/>
          <w:marTop w:val="0"/>
          <w:marBottom w:val="0"/>
          <w:divBdr>
            <w:top w:val="none" w:sz="0" w:space="0" w:color="auto"/>
            <w:left w:val="none" w:sz="0" w:space="0" w:color="auto"/>
            <w:bottom w:val="none" w:sz="0" w:space="0" w:color="auto"/>
            <w:right w:val="none" w:sz="0" w:space="0" w:color="auto"/>
          </w:divBdr>
        </w:div>
        <w:div w:id="350304532">
          <w:marLeft w:val="480"/>
          <w:marRight w:val="0"/>
          <w:marTop w:val="0"/>
          <w:marBottom w:val="0"/>
          <w:divBdr>
            <w:top w:val="none" w:sz="0" w:space="0" w:color="auto"/>
            <w:left w:val="none" w:sz="0" w:space="0" w:color="auto"/>
            <w:bottom w:val="none" w:sz="0" w:space="0" w:color="auto"/>
            <w:right w:val="none" w:sz="0" w:space="0" w:color="auto"/>
          </w:divBdr>
        </w:div>
        <w:div w:id="835652863">
          <w:marLeft w:val="480"/>
          <w:marRight w:val="0"/>
          <w:marTop w:val="0"/>
          <w:marBottom w:val="0"/>
          <w:divBdr>
            <w:top w:val="none" w:sz="0" w:space="0" w:color="auto"/>
            <w:left w:val="none" w:sz="0" w:space="0" w:color="auto"/>
            <w:bottom w:val="none" w:sz="0" w:space="0" w:color="auto"/>
            <w:right w:val="none" w:sz="0" w:space="0" w:color="auto"/>
          </w:divBdr>
        </w:div>
        <w:div w:id="1271544293">
          <w:marLeft w:val="480"/>
          <w:marRight w:val="0"/>
          <w:marTop w:val="0"/>
          <w:marBottom w:val="0"/>
          <w:divBdr>
            <w:top w:val="none" w:sz="0" w:space="0" w:color="auto"/>
            <w:left w:val="none" w:sz="0" w:space="0" w:color="auto"/>
            <w:bottom w:val="none" w:sz="0" w:space="0" w:color="auto"/>
            <w:right w:val="none" w:sz="0" w:space="0" w:color="auto"/>
          </w:divBdr>
        </w:div>
        <w:div w:id="41373603">
          <w:marLeft w:val="480"/>
          <w:marRight w:val="0"/>
          <w:marTop w:val="0"/>
          <w:marBottom w:val="0"/>
          <w:divBdr>
            <w:top w:val="none" w:sz="0" w:space="0" w:color="auto"/>
            <w:left w:val="none" w:sz="0" w:space="0" w:color="auto"/>
            <w:bottom w:val="none" w:sz="0" w:space="0" w:color="auto"/>
            <w:right w:val="none" w:sz="0" w:space="0" w:color="auto"/>
          </w:divBdr>
        </w:div>
        <w:div w:id="2015298939">
          <w:marLeft w:val="480"/>
          <w:marRight w:val="0"/>
          <w:marTop w:val="0"/>
          <w:marBottom w:val="0"/>
          <w:divBdr>
            <w:top w:val="none" w:sz="0" w:space="0" w:color="auto"/>
            <w:left w:val="none" w:sz="0" w:space="0" w:color="auto"/>
            <w:bottom w:val="none" w:sz="0" w:space="0" w:color="auto"/>
            <w:right w:val="none" w:sz="0" w:space="0" w:color="auto"/>
          </w:divBdr>
        </w:div>
        <w:div w:id="1627469018">
          <w:marLeft w:val="480"/>
          <w:marRight w:val="0"/>
          <w:marTop w:val="0"/>
          <w:marBottom w:val="0"/>
          <w:divBdr>
            <w:top w:val="none" w:sz="0" w:space="0" w:color="auto"/>
            <w:left w:val="none" w:sz="0" w:space="0" w:color="auto"/>
            <w:bottom w:val="none" w:sz="0" w:space="0" w:color="auto"/>
            <w:right w:val="none" w:sz="0" w:space="0" w:color="auto"/>
          </w:divBdr>
        </w:div>
        <w:div w:id="440878918">
          <w:marLeft w:val="480"/>
          <w:marRight w:val="0"/>
          <w:marTop w:val="0"/>
          <w:marBottom w:val="0"/>
          <w:divBdr>
            <w:top w:val="none" w:sz="0" w:space="0" w:color="auto"/>
            <w:left w:val="none" w:sz="0" w:space="0" w:color="auto"/>
            <w:bottom w:val="none" w:sz="0" w:space="0" w:color="auto"/>
            <w:right w:val="none" w:sz="0" w:space="0" w:color="auto"/>
          </w:divBdr>
        </w:div>
        <w:div w:id="973292475">
          <w:marLeft w:val="480"/>
          <w:marRight w:val="0"/>
          <w:marTop w:val="0"/>
          <w:marBottom w:val="0"/>
          <w:divBdr>
            <w:top w:val="none" w:sz="0" w:space="0" w:color="auto"/>
            <w:left w:val="none" w:sz="0" w:space="0" w:color="auto"/>
            <w:bottom w:val="none" w:sz="0" w:space="0" w:color="auto"/>
            <w:right w:val="none" w:sz="0" w:space="0" w:color="auto"/>
          </w:divBdr>
        </w:div>
        <w:div w:id="1831090978">
          <w:marLeft w:val="480"/>
          <w:marRight w:val="0"/>
          <w:marTop w:val="0"/>
          <w:marBottom w:val="0"/>
          <w:divBdr>
            <w:top w:val="none" w:sz="0" w:space="0" w:color="auto"/>
            <w:left w:val="none" w:sz="0" w:space="0" w:color="auto"/>
            <w:bottom w:val="none" w:sz="0" w:space="0" w:color="auto"/>
            <w:right w:val="none" w:sz="0" w:space="0" w:color="auto"/>
          </w:divBdr>
        </w:div>
        <w:div w:id="304896710">
          <w:marLeft w:val="480"/>
          <w:marRight w:val="0"/>
          <w:marTop w:val="0"/>
          <w:marBottom w:val="0"/>
          <w:divBdr>
            <w:top w:val="none" w:sz="0" w:space="0" w:color="auto"/>
            <w:left w:val="none" w:sz="0" w:space="0" w:color="auto"/>
            <w:bottom w:val="none" w:sz="0" w:space="0" w:color="auto"/>
            <w:right w:val="none" w:sz="0" w:space="0" w:color="auto"/>
          </w:divBdr>
        </w:div>
        <w:div w:id="1976448022">
          <w:marLeft w:val="480"/>
          <w:marRight w:val="0"/>
          <w:marTop w:val="0"/>
          <w:marBottom w:val="0"/>
          <w:divBdr>
            <w:top w:val="none" w:sz="0" w:space="0" w:color="auto"/>
            <w:left w:val="none" w:sz="0" w:space="0" w:color="auto"/>
            <w:bottom w:val="none" w:sz="0" w:space="0" w:color="auto"/>
            <w:right w:val="none" w:sz="0" w:space="0" w:color="auto"/>
          </w:divBdr>
        </w:div>
        <w:div w:id="1558932042">
          <w:marLeft w:val="480"/>
          <w:marRight w:val="0"/>
          <w:marTop w:val="0"/>
          <w:marBottom w:val="0"/>
          <w:divBdr>
            <w:top w:val="none" w:sz="0" w:space="0" w:color="auto"/>
            <w:left w:val="none" w:sz="0" w:space="0" w:color="auto"/>
            <w:bottom w:val="none" w:sz="0" w:space="0" w:color="auto"/>
            <w:right w:val="none" w:sz="0" w:space="0" w:color="auto"/>
          </w:divBdr>
        </w:div>
        <w:div w:id="1063061945">
          <w:marLeft w:val="480"/>
          <w:marRight w:val="0"/>
          <w:marTop w:val="0"/>
          <w:marBottom w:val="0"/>
          <w:divBdr>
            <w:top w:val="none" w:sz="0" w:space="0" w:color="auto"/>
            <w:left w:val="none" w:sz="0" w:space="0" w:color="auto"/>
            <w:bottom w:val="none" w:sz="0" w:space="0" w:color="auto"/>
            <w:right w:val="none" w:sz="0" w:space="0" w:color="auto"/>
          </w:divBdr>
        </w:div>
        <w:div w:id="2022968252">
          <w:marLeft w:val="480"/>
          <w:marRight w:val="0"/>
          <w:marTop w:val="0"/>
          <w:marBottom w:val="0"/>
          <w:divBdr>
            <w:top w:val="none" w:sz="0" w:space="0" w:color="auto"/>
            <w:left w:val="none" w:sz="0" w:space="0" w:color="auto"/>
            <w:bottom w:val="none" w:sz="0" w:space="0" w:color="auto"/>
            <w:right w:val="none" w:sz="0" w:space="0" w:color="auto"/>
          </w:divBdr>
        </w:div>
        <w:div w:id="1062023454">
          <w:marLeft w:val="480"/>
          <w:marRight w:val="0"/>
          <w:marTop w:val="0"/>
          <w:marBottom w:val="0"/>
          <w:divBdr>
            <w:top w:val="none" w:sz="0" w:space="0" w:color="auto"/>
            <w:left w:val="none" w:sz="0" w:space="0" w:color="auto"/>
            <w:bottom w:val="none" w:sz="0" w:space="0" w:color="auto"/>
            <w:right w:val="none" w:sz="0" w:space="0" w:color="auto"/>
          </w:divBdr>
        </w:div>
        <w:div w:id="1641225938">
          <w:marLeft w:val="480"/>
          <w:marRight w:val="0"/>
          <w:marTop w:val="0"/>
          <w:marBottom w:val="0"/>
          <w:divBdr>
            <w:top w:val="none" w:sz="0" w:space="0" w:color="auto"/>
            <w:left w:val="none" w:sz="0" w:space="0" w:color="auto"/>
            <w:bottom w:val="none" w:sz="0" w:space="0" w:color="auto"/>
            <w:right w:val="none" w:sz="0" w:space="0" w:color="auto"/>
          </w:divBdr>
        </w:div>
        <w:div w:id="1386757499">
          <w:marLeft w:val="480"/>
          <w:marRight w:val="0"/>
          <w:marTop w:val="0"/>
          <w:marBottom w:val="0"/>
          <w:divBdr>
            <w:top w:val="none" w:sz="0" w:space="0" w:color="auto"/>
            <w:left w:val="none" w:sz="0" w:space="0" w:color="auto"/>
            <w:bottom w:val="none" w:sz="0" w:space="0" w:color="auto"/>
            <w:right w:val="none" w:sz="0" w:space="0" w:color="auto"/>
          </w:divBdr>
        </w:div>
        <w:div w:id="460850183">
          <w:marLeft w:val="480"/>
          <w:marRight w:val="0"/>
          <w:marTop w:val="0"/>
          <w:marBottom w:val="0"/>
          <w:divBdr>
            <w:top w:val="none" w:sz="0" w:space="0" w:color="auto"/>
            <w:left w:val="none" w:sz="0" w:space="0" w:color="auto"/>
            <w:bottom w:val="none" w:sz="0" w:space="0" w:color="auto"/>
            <w:right w:val="none" w:sz="0" w:space="0" w:color="auto"/>
          </w:divBdr>
        </w:div>
        <w:div w:id="493184998">
          <w:marLeft w:val="480"/>
          <w:marRight w:val="0"/>
          <w:marTop w:val="0"/>
          <w:marBottom w:val="0"/>
          <w:divBdr>
            <w:top w:val="none" w:sz="0" w:space="0" w:color="auto"/>
            <w:left w:val="none" w:sz="0" w:space="0" w:color="auto"/>
            <w:bottom w:val="none" w:sz="0" w:space="0" w:color="auto"/>
            <w:right w:val="none" w:sz="0" w:space="0" w:color="auto"/>
          </w:divBdr>
        </w:div>
        <w:div w:id="1504248971">
          <w:marLeft w:val="480"/>
          <w:marRight w:val="0"/>
          <w:marTop w:val="0"/>
          <w:marBottom w:val="0"/>
          <w:divBdr>
            <w:top w:val="none" w:sz="0" w:space="0" w:color="auto"/>
            <w:left w:val="none" w:sz="0" w:space="0" w:color="auto"/>
            <w:bottom w:val="none" w:sz="0" w:space="0" w:color="auto"/>
            <w:right w:val="none" w:sz="0" w:space="0" w:color="auto"/>
          </w:divBdr>
        </w:div>
        <w:div w:id="348140057">
          <w:marLeft w:val="480"/>
          <w:marRight w:val="0"/>
          <w:marTop w:val="0"/>
          <w:marBottom w:val="0"/>
          <w:divBdr>
            <w:top w:val="none" w:sz="0" w:space="0" w:color="auto"/>
            <w:left w:val="none" w:sz="0" w:space="0" w:color="auto"/>
            <w:bottom w:val="none" w:sz="0" w:space="0" w:color="auto"/>
            <w:right w:val="none" w:sz="0" w:space="0" w:color="auto"/>
          </w:divBdr>
        </w:div>
        <w:div w:id="1680036109">
          <w:marLeft w:val="480"/>
          <w:marRight w:val="0"/>
          <w:marTop w:val="0"/>
          <w:marBottom w:val="0"/>
          <w:divBdr>
            <w:top w:val="none" w:sz="0" w:space="0" w:color="auto"/>
            <w:left w:val="none" w:sz="0" w:space="0" w:color="auto"/>
            <w:bottom w:val="none" w:sz="0" w:space="0" w:color="auto"/>
            <w:right w:val="none" w:sz="0" w:space="0" w:color="auto"/>
          </w:divBdr>
        </w:div>
        <w:div w:id="2132622537">
          <w:marLeft w:val="480"/>
          <w:marRight w:val="0"/>
          <w:marTop w:val="0"/>
          <w:marBottom w:val="0"/>
          <w:divBdr>
            <w:top w:val="none" w:sz="0" w:space="0" w:color="auto"/>
            <w:left w:val="none" w:sz="0" w:space="0" w:color="auto"/>
            <w:bottom w:val="none" w:sz="0" w:space="0" w:color="auto"/>
            <w:right w:val="none" w:sz="0" w:space="0" w:color="auto"/>
          </w:divBdr>
        </w:div>
        <w:div w:id="540553063">
          <w:marLeft w:val="480"/>
          <w:marRight w:val="0"/>
          <w:marTop w:val="0"/>
          <w:marBottom w:val="0"/>
          <w:divBdr>
            <w:top w:val="none" w:sz="0" w:space="0" w:color="auto"/>
            <w:left w:val="none" w:sz="0" w:space="0" w:color="auto"/>
            <w:bottom w:val="none" w:sz="0" w:space="0" w:color="auto"/>
            <w:right w:val="none" w:sz="0" w:space="0" w:color="auto"/>
          </w:divBdr>
        </w:div>
        <w:div w:id="90471573">
          <w:marLeft w:val="480"/>
          <w:marRight w:val="0"/>
          <w:marTop w:val="0"/>
          <w:marBottom w:val="0"/>
          <w:divBdr>
            <w:top w:val="none" w:sz="0" w:space="0" w:color="auto"/>
            <w:left w:val="none" w:sz="0" w:space="0" w:color="auto"/>
            <w:bottom w:val="none" w:sz="0" w:space="0" w:color="auto"/>
            <w:right w:val="none" w:sz="0" w:space="0" w:color="auto"/>
          </w:divBdr>
        </w:div>
        <w:div w:id="369038125">
          <w:marLeft w:val="480"/>
          <w:marRight w:val="0"/>
          <w:marTop w:val="0"/>
          <w:marBottom w:val="0"/>
          <w:divBdr>
            <w:top w:val="none" w:sz="0" w:space="0" w:color="auto"/>
            <w:left w:val="none" w:sz="0" w:space="0" w:color="auto"/>
            <w:bottom w:val="none" w:sz="0" w:space="0" w:color="auto"/>
            <w:right w:val="none" w:sz="0" w:space="0" w:color="auto"/>
          </w:divBdr>
        </w:div>
        <w:div w:id="1332755800">
          <w:marLeft w:val="480"/>
          <w:marRight w:val="0"/>
          <w:marTop w:val="0"/>
          <w:marBottom w:val="0"/>
          <w:divBdr>
            <w:top w:val="none" w:sz="0" w:space="0" w:color="auto"/>
            <w:left w:val="none" w:sz="0" w:space="0" w:color="auto"/>
            <w:bottom w:val="none" w:sz="0" w:space="0" w:color="auto"/>
            <w:right w:val="none" w:sz="0" w:space="0" w:color="auto"/>
          </w:divBdr>
        </w:div>
        <w:div w:id="1783305416">
          <w:marLeft w:val="480"/>
          <w:marRight w:val="0"/>
          <w:marTop w:val="0"/>
          <w:marBottom w:val="0"/>
          <w:divBdr>
            <w:top w:val="none" w:sz="0" w:space="0" w:color="auto"/>
            <w:left w:val="none" w:sz="0" w:space="0" w:color="auto"/>
            <w:bottom w:val="none" w:sz="0" w:space="0" w:color="auto"/>
            <w:right w:val="none" w:sz="0" w:space="0" w:color="auto"/>
          </w:divBdr>
        </w:div>
        <w:div w:id="1633747350">
          <w:marLeft w:val="480"/>
          <w:marRight w:val="0"/>
          <w:marTop w:val="0"/>
          <w:marBottom w:val="0"/>
          <w:divBdr>
            <w:top w:val="none" w:sz="0" w:space="0" w:color="auto"/>
            <w:left w:val="none" w:sz="0" w:space="0" w:color="auto"/>
            <w:bottom w:val="none" w:sz="0" w:space="0" w:color="auto"/>
            <w:right w:val="none" w:sz="0" w:space="0" w:color="auto"/>
          </w:divBdr>
        </w:div>
        <w:div w:id="636881239">
          <w:marLeft w:val="480"/>
          <w:marRight w:val="0"/>
          <w:marTop w:val="0"/>
          <w:marBottom w:val="0"/>
          <w:divBdr>
            <w:top w:val="none" w:sz="0" w:space="0" w:color="auto"/>
            <w:left w:val="none" w:sz="0" w:space="0" w:color="auto"/>
            <w:bottom w:val="none" w:sz="0" w:space="0" w:color="auto"/>
            <w:right w:val="none" w:sz="0" w:space="0" w:color="auto"/>
          </w:divBdr>
        </w:div>
        <w:div w:id="1369717046">
          <w:marLeft w:val="480"/>
          <w:marRight w:val="0"/>
          <w:marTop w:val="0"/>
          <w:marBottom w:val="0"/>
          <w:divBdr>
            <w:top w:val="none" w:sz="0" w:space="0" w:color="auto"/>
            <w:left w:val="none" w:sz="0" w:space="0" w:color="auto"/>
            <w:bottom w:val="none" w:sz="0" w:space="0" w:color="auto"/>
            <w:right w:val="none" w:sz="0" w:space="0" w:color="auto"/>
          </w:divBdr>
        </w:div>
        <w:div w:id="2024743045">
          <w:marLeft w:val="480"/>
          <w:marRight w:val="0"/>
          <w:marTop w:val="0"/>
          <w:marBottom w:val="0"/>
          <w:divBdr>
            <w:top w:val="none" w:sz="0" w:space="0" w:color="auto"/>
            <w:left w:val="none" w:sz="0" w:space="0" w:color="auto"/>
            <w:bottom w:val="none" w:sz="0" w:space="0" w:color="auto"/>
            <w:right w:val="none" w:sz="0" w:space="0" w:color="auto"/>
          </w:divBdr>
        </w:div>
        <w:div w:id="310403084">
          <w:marLeft w:val="480"/>
          <w:marRight w:val="0"/>
          <w:marTop w:val="0"/>
          <w:marBottom w:val="0"/>
          <w:divBdr>
            <w:top w:val="none" w:sz="0" w:space="0" w:color="auto"/>
            <w:left w:val="none" w:sz="0" w:space="0" w:color="auto"/>
            <w:bottom w:val="none" w:sz="0" w:space="0" w:color="auto"/>
            <w:right w:val="none" w:sz="0" w:space="0" w:color="auto"/>
          </w:divBdr>
        </w:div>
        <w:div w:id="1351369146">
          <w:marLeft w:val="480"/>
          <w:marRight w:val="0"/>
          <w:marTop w:val="0"/>
          <w:marBottom w:val="0"/>
          <w:divBdr>
            <w:top w:val="none" w:sz="0" w:space="0" w:color="auto"/>
            <w:left w:val="none" w:sz="0" w:space="0" w:color="auto"/>
            <w:bottom w:val="none" w:sz="0" w:space="0" w:color="auto"/>
            <w:right w:val="none" w:sz="0" w:space="0" w:color="auto"/>
          </w:divBdr>
        </w:div>
      </w:divsChild>
    </w:div>
    <w:div w:id="492525466">
      <w:bodyDiv w:val="1"/>
      <w:marLeft w:val="0"/>
      <w:marRight w:val="0"/>
      <w:marTop w:val="0"/>
      <w:marBottom w:val="0"/>
      <w:divBdr>
        <w:top w:val="none" w:sz="0" w:space="0" w:color="auto"/>
        <w:left w:val="none" w:sz="0" w:space="0" w:color="auto"/>
        <w:bottom w:val="none" w:sz="0" w:space="0" w:color="auto"/>
        <w:right w:val="none" w:sz="0" w:space="0" w:color="auto"/>
      </w:divBdr>
    </w:div>
    <w:div w:id="492569917">
      <w:bodyDiv w:val="1"/>
      <w:marLeft w:val="0"/>
      <w:marRight w:val="0"/>
      <w:marTop w:val="0"/>
      <w:marBottom w:val="0"/>
      <w:divBdr>
        <w:top w:val="none" w:sz="0" w:space="0" w:color="auto"/>
        <w:left w:val="none" w:sz="0" w:space="0" w:color="auto"/>
        <w:bottom w:val="none" w:sz="0" w:space="0" w:color="auto"/>
        <w:right w:val="none" w:sz="0" w:space="0" w:color="auto"/>
      </w:divBdr>
    </w:div>
    <w:div w:id="492725504">
      <w:bodyDiv w:val="1"/>
      <w:marLeft w:val="0"/>
      <w:marRight w:val="0"/>
      <w:marTop w:val="0"/>
      <w:marBottom w:val="0"/>
      <w:divBdr>
        <w:top w:val="none" w:sz="0" w:space="0" w:color="auto"/>
        <w:left w:val="none" w:sz="0" w:space="0" w:color="auto"/>
        <w:bottom w:val="none" w:sz="0" w:space="0" w:color="auto"/>
        <w:right w:val="none" w:sz="0" w:space="0" w:color="auto"/>
      </w:divBdr>
    </w:div>
    <w:div w:id="493569519">
      <w:bodyDiv w:val="1"/>
      <w:marLeft w:val="0"/>
      <w:marRight w:val="0"/>
      <w:marTop w:val="0"/>
      <w:marBottom w:val="0"/>
      <w:divBdr>
        <w:top w:val="none" w:sz="0" w:space="0" w:color="auto"/>
        <w:left w:val="none" w:sz="0" w:space="0" w:color="auto"/>
        <w:bottom w:val="none" w:sz="0" w:space="0" w:color="auto"/>
        <w:right w:val="none" w:sz="0" w:space="0" w:color="auto"/>
      </w:divBdr>
    </w:div>
    <w:div w:id="493766996">
      <w:bodyDiv w:val="1"/>
      <w:marLeft w:val="0"/>
      <w:marRight w:val="0"/>
      <w:marTop w:val="0"/>
      <w:marBottom w:val="0"/>
      <w:divBdr>
        <w:top w:val="none" w:sz="0" w:space="0" w:color="auto"/>
        <w:left w:val="none" w:sz="0" w:space="0" w:color="auto"/>
        <w:bottom w:val="none" w:sz="0" w:space="0" w:color="auto"/>
        <w:right w:val="none" w:sz="0" w:space="0" w:color="auto"/>
      </w:divBdr>
    </w:div>
    <w:div w:id="493909652">
      <w:bodyDiv w:val="1"/>
      <w:marLeft w:val="0"/>
      <w:marRight w:val="0"/>
      <w:marTop w:val="0"/>
      <w:marBottom w:val="0"/>
      <w:divBdr>
        <w:top w:val="none" w:sz="0" w:space="0" w:color="auto"/>
        <w:left w:val="none" w:sz="0" w:space="0" w:color="auto"/>
        <w:bottom w:val="none" w:sz="0" w:space="0" w:color="auto"/>
        <w:right w:val="none" w:sz="0" w:space="0" w:color="auto"/>
      </w:divBdr>
    </w:div>
    <w:div w:id="494152342">
      <w:bodyDiv w:val="1"/>
      <w:marLeft w:val="0"/>
      <w:marRight w:val="0"/>
      <w:marTop w:val="0"/>
      <w:marBottom w:val="0"/>
      <w:divBdr>
        <w:top w:val="none" w:sz="0" w:space="0" w:color="auto"/>
        <w:left w:val="none" w:sz="0" w:space="0" w:color="auto"/>
        <w:bottom w:val="none" w:sz="0" w:space="0" w:color="auto"/>
        <w:right w:val="none" w:sz="0" w:space="0" w:color="auto"/>
      </w:divBdr>
    </w:div>
    <w:div w:id="494229705">
      <w:bodyDiv w:val="1"/>
      <w:marLeft w:val="0"/>
      <w:marRight w:val="0"/>
      <w:marTop w:val="0"/>
      <w:marBottom w:val="0"/>
      <w:divBdr>
        <w:top w:val="none" w:sz="0" w:space="0" w:color="auto"/>
        <w:left w:val="none" w:sz="0" w:space="0" w:color="auto"/>
        <w:bottom w:val="none" w:sz="0" w:space="0" w:color="auto"/>
        <w:right w:val="none" w:sz="0" w:space="0" w:color="auto"/>
      </w:divBdr>
    </w:div>
    <w:div w:id="494535421">
      <w:bodyDiv w:val="1"/>
      <w:marLeft w:val="0"/>
      <w:marRight w:val="0"/>
      <w:marTop w:val="0"/>
      <w:marBottom w:val="0"/>
      <w:divBdr>
        <w:top w:val="none" w:sz="0" w:space="0" w:color="auto"/>
        <w:left w:val="none" w:sz="0" w:space="0" w:color="auto"/>
        <w:bottom w:val="none" w:sz="0" w:space="0" w:color="auto"/>
        <w:right w:val="none" w:sz="0" w:space="0" w:color="auto"/>
      </w:divBdr>
    </w:div>
    <w:div w:id="495731761">
      <w:bodyDiv w:val="1"/>
      <w:marLeft w:val="0"/>
      <w:marRight w:val="0"/>
      <w:marTop w:val="0"/>
      <w:marBottom w:val="0"/>
      <w:divBdr>
        <w:top w:val="none" w:sz="0" w:space="0" w:color="auto"/>
        <w:left w:val="none" w:sz="0" w:space="0" w:color="auto"/>
        <w:bottom w:val="none" w:sz="0" w:space="0" w:color="auto"/>
        <w:right w:val="none" w:sz="0" w:space="0" w:color="auto"/>
      </w:divBdr>
    </w:div>
    <w:div w:id="495875634">
      <w:bodyDiv w:val="1"/>
      <w:marLeft w:val="0"/>
      <w:marRight w:val="0"/>
      <w:marTop w:val="0"/>
      <w:marBottom w:val="0"/>
      <w:divBdr>
        <w:top w:val="none" w:sz="0" w:space="0" w:color="auto"/>
        <w:left w:val="none" w:sz="0" w:space="0" w:color="auto"/>
        <w:bottom w:val="none" w:sz="0" w:space="0" w:color="auto"/>
        <w:right w:val="none" w:sz="0" w:space="0" w:color="auto"/>
      </w:divBdr>
    </w:div>
    <w:div w:id="496384929">
      <w:bodyDiv w:val="1"/>
      <w:marLeft w:val="0"/>
      <w:marRight w:val="0"/>
      <w:marTop w:val="0"/>
      <w:marBottom w:val="0"/>
      <w:divBdr>
        <w:top w:val="none" w:sz="0" w:space="0" w:color="auto"/>
        <w:left w:val="none" w:sz="0" w:space="0" w:color="auto"/>
        <w:bottom w:val="none" w:sz="0" w:space="0" w:color="auto"/>
        <w:right w:val="none" w:sz="0" w:space="0" w:color="auto"/>
      </w:divBdr>
    </w:div>
    <w:div w:id="497699509">
      <w:bodyDiv w:val="1"/>
      <w:marLeft w:val="0"/>
      <w:marRight w:val="0"/>
      <w:marTop w:val="0"/>
      <w:marBottom w:val="0"/>
      <w:divBdr>
        <w:top w:val="none" w:sz="0" w:space="0" w:color="auto"/>
        <w:left w:val="none" w:sz="0" w:space="0" w:color="auto"/>
        <w:bottom w:val="none" w:sz="0" w:space="0" w:color="auto"/>
        <w:right w:val="none" w:sz="0" w:space="0" w:color="auto"/>
      </w:divBdr>
    </w:div>
    <w:div w:id="497885390">
      <w:bodyDiv w:val="1"/>
      <w:marLeft w:val="0"/>
      <w:marRight w:val="0"/>
      <w:marTop w:val="0"/>
      <w:marBottom w:val="0"/>
      <w:divBdr>
        <w:top w:val="none" w:sz="0" w:space="0" w:color="auto"/>
        <w:left w:val="none" w:sz="0" w:space="0" w:color="auto"/>
        <w:bottom w:val="none" w:sz="0" w:space="0" w:color="auto"/>
        <w:right w:val="none" w:sz="0" w:space="0" w:color="auto"/>
      </w:divBdr>
    </w:div>
    <w:div w:id="499467566">
      <w:bodyDiv w:val="1"/>
      <w:marLeft w:val="0"/>
      <w:marRight w:val="0"/>
      <w:marTop w:val="0"/>
      <w:marBottom w:val="0"/>
      <w:divBdr>
        <w:top w:val="none" w:sz="0" w:space="0" w:color="auto"/>
        <w:left w:val="none" w:sz="0" w:space="0" w:color="auto"/>
        <w:bottom w:val="none" w:sz="0" w:space="0" w:color="auto"/>
        <w:right w:val="none" w:sz="0" w:space="0" w:color="auto"/>
      </w:divBdr>
    </w:div>
    <w:div w:id="499544134">
      <w:bodyDiv w:val="1"/>
      <w:marLeft w:val="0"/>
      <w:marRight w:val="0"/>
      <w:marTop w:val="0"/>
      <w:marBottom w:val="0"/>
      <w:divBdr>
        <w:top w:val="none" w:sz="0" w:space="0" w:color="auto"/>
        <w:left w:val="none" w:sz="0" w:space="0" w:color="auto"/>
        <w:bottom w:val="none" w:sz="0" w:space="0" w:color="auto"/>
        <w:right w:val="none" w:sz="0" w:space="0" w:color="auto"/>
      </w:divBdr>
    </w:div>
    <w:div w:id="500199834">
      <w:bodyDiv w:val="1"/>
      <w:marLeft w:val="0"/>
      <w:marRight w:val="0"/>
      <w:marTop w:val="0"/>
      <w:marBottom w:val="0"/>
      <w:divBdr>
        <w:top w:val="none" w:sz="0" w:space="0" w:color="auto"/>
        <w:left w:val="none" w:sz="0" w:space="0" w:color="auto"/>
        <w:bottom w:val="none" w:sz="0" w:space="0" w:color="auto"/>
        <w:right w:val="none" w:sz="0" w:space="0" w:color="auto"/>
      </w:divBdr>
    </w:div>
    <w:div w:id="500241257">
      <w:bodyDiv w:val="1"/>
      <w:marLeft w:val="0"/>
      <w:marRight w:val="0"/>
      <w:marTop w:val="0"/>
      <w:marBottom w:val="0"/>
      <w:divBdr>
        <w:top w:val="none" w:sz="0" w:space="0" w:color="auto"/>
        <w:left w:val="none" w:sz="0" w:space="0" w:color="auto"/>
        <w:bottom w:val="none" w:sz="0" w:space="0" w:color="auto"/>
        <w:right w:val="none" w:sz="0" w:space="0" w:color="auto"/>
      </w:divBdr>
    </w:div>
    <w:div w:id="501168198">
      <w:bodyDiv w:val="1"/>
      <w:marLeft w:val="0"/>
      <w:marRight w:val="0"/>
      <w:marTop w:val="0"/>
      <w:marBottom w:val="0"/>
      <w:divBdr>
        <w:top w:val="none" w:sz="0" w:space="0" w:color="auto"/>
        <w:left w:val="none" w:sz="0" w:space="0" w:color="auto"/>
        <w:bottom w:val="none" w:sz="0" w:space="0" w:color="auto"/>
        <w:right w:val="none" w:sz="0" w:space="0" w:color="auto"/>
      </w:divBdr>
    </w:div>
    <w:div w:id="502673040">
      <w:bodyDiv w:val="1"/>
      <w:marLeft w:val="0"/>
      <w:marRight w:val="0"/>
      <w:marTop w:val="0"/>
      <w:marBottom w:val="0"/>
      <w:divBdr>
        <w:top w:val="none" w:sz="0" w:space="0" w:color="auto"/>
        <w:left w:val="none" w:sz="0" w:space="0" w:color="auto"/>
        <w:bottom w:val="none" w:sz="0" w:space="0" w:color="auto"/>
        <w:right w:val="none" w:sz="0" w:space="0" w:color="auto"/>
      </w:divBdr>
    </w:div>
    <w:div w:id="503205939">
      <w:bodyDiv w:val="1"/>
      <w:marLeft w:val="0"/>
      <w:marRight w:val="0"/>
      <w:marTop w:val="0"/>
      <w:marBottom w:val="0"/>
      <w:divBdr>
        <w:top w:val="none" w:sz="0" w:space="0" w:color="auto"/>
        <w:left w:val="none" w:sz="0" w:space="0" w:color="auto"/>
        <w:bottom w:val="none" w:sz="0" w:space="0" w:color="auto"/>
        <w:right w:val="none" w:sz="0" w:space="0" w:color="auto"/>
      </w:divBdr>
    </w:div>
    <w:div w:id="504828229">
      <w:bodyDiv w:val="1"/>
      <w:marLeft w:val="0"/>
      <w:marRight w:val="0"/>
      <w:marTop w:val="0"/>
      <w:marBottom w:val="0"/>
      <w:divBdr>
        <w:top w:val="none" w:sz="0" w:space="0" w:color="auto"/>
        <w:left w:val="none" w:sz="0" w:space="0" w:color="auto"/>
        <w:bottom w:val="none" w:sz="0" w:space="0" w:color="auto"/>
        <w:right w:val="none" w:sz="0" w:space="0" w:color="auto"/>
      </w:divBdr>
    </w:div>
    <w:div w:id="504903455">
      <w:bodyDiv w:val="1"/>
      <w:marLeft w:val="0"/>
      <w:marRight w:val="0"/>
      <w:marTop w:val="0"/>
      <w:marBottom w:val="0"/>
      <w:divBdr>
        <w:top w:val="none" w:sz="0" w:space="0" w:color="auto"/>
        <w:left w:val="none" w:sz="0" w:space="0" w:color="auto"/>
        <w:bottom w:val="none" w:sz="0" w:space="0" w:color="auto"/>
        <w:right w:val="none" w:sz="0" w:space="0" w:color="auto"/>
      </w:divBdr>
    </w:div>
    <w:div w:id="505754723">
      <w:bodyDiv w:val="1"/>
      <w:marLeft w:val="0"/>
      <w:marRight w:val="0"/>
      <w:marTop w:val="0"/>
      <w:marBottom w:val="0"/>
      <w:divBdr>
        <w:top w:val="none" w:sz="0" w:space="0" w:color="auto"/>
        <w:left w:val="none" w:sz="0" w:space="0" w:color="auto"/>
        <w:bottom w:val="none" w:sz="0" w:space="0" w:color="auto"/>
        <w:right w:val="none" w:sz="0" w:space="0" w:color="auto"/>
      </w:divBdr>
    </w:div>
    <w:div w:id="506486776">
      <w:bodyDiv w:val="1"/>
      <w:marLeft w:val="0"/>
      <w:marRight w:val="0"/>
      <w:marTop w:val="0"/>
      <w:marBottom w:val="0"/>
      <w:divBdr>
        <w:top w:val="none" w:sz="0" w:space="0" w:color="auto"/>
        <w:left w:val="none" w:sz="0" w:space="0" w:color="auto"/>
        <w:bottom w:val="none" w:sz="0" w:space="0" w:color="auto"/>
        <w:right w:val="none" w:sz="0" w:space="0" w:color="auto"/>
      </w:divBdr>
    </w:div>
    <w:div w:id="506948976">
      <w:bodyDiv w:val="1"/>
      <w:marLeft w:val="0"/>
      <w:marRight w:val="0"/>
      <w:marTop w:val="0"/>
      <w:marBottom w:val="0"/>
      <w:divBdr>
        <w:top w:val="none" w:sz="0" w:space="0" w:color="auto"/>
        <w:left w:val="none" w:sz="0" w:space="0" w:color="auto"/>
        <w:bottom w:val="none" w:sz="0" w:space="0" w:color="auto"/>
        <w:right w:val="none" w:sz="0" w:space="0" w:color="auto"/>
      </w:divBdr>
    </w:div>
    <w:div w:id="508179640">
      <w:bodyDiv w:val="1"/>
      <w:marLeft w:val="0"/>
      <w:marRight w:val="0"/>
      <w:marTop w:val="0"/>
      <w:marBottom w:val="0"/>
      <w:divBdr>
        <w:top w:val="none" w:sz="0" w:space="0" w:color="auto"/>
        <w:left w:val="none" w:sz="0" w:space="0" w:color="auto"/>
        <w:bottom w:val="none" w:sz="0" w:space="0" w:color="auto"/>
        <w:right w:val="none" w:sz="0" w:space="0" w:color="auto"/>
      </w:divBdr>
    </w:div>
    <w:div w:id="508182727">
      <w:bodyDiv w:val="1"/>
      <w:marLeft w:val="0"/>
      <w:marRight w:val="0"/>
      <w:marTop w:val="0"/>
      <w:marBottom w:val="0"/>
      <w:divBdr>
        <w:top w:val="none" w:sz="0" w:space="0" w:color="auto"/>
        <w:left w:val="none" w:sz="0" w:space="0" w:color="auto"/>
        <w:bottom w:val="none" w:sz="0" w:space="0" w:color="auto"/>
        <w:right w:val="none" w:sz="0" w:space="0" w:color="auto"/>
      </w:divBdr>
    </w:div>
    <w:div w:id="508370108">
      <w:bodyDiv w:val="1"/>
      <w:marLeft w:val="0"/>
      <w:marRight w:val="0"/>
      <w:marTop w:val="0"/>
      <w:marBottom w:val="0"/>
      <w:divBdr>
        <w:top w:val="none" w:sz="0" w:space="0" w:color="auto"/>
        <w:left w:val="none" w:sz="0" w:space="0" w:color="auto"/>
        <w:bottom w:val="none" w:sz="0" w:space="0" w:color="auto"/>
        <w:right w:val="none" w:sz="0" w:space="0" w:color="auto"/>
      </w:divBdr>
    </w:div>
    <w:div w:id="508519219">
      <w:bodyDiv w:val="1"/>
      <w:marLeft w:val="0"/>
      <w:marRight w:val="0"/>
      <w:marTop w:val="0"/>
      <w:marBottom w:val="0"/>
      <w:divBdr>
        <w:top w:val="none" w:sz="0" w:space="0" w:color="auto"/>
        <w:left w:val="none" w:sz="0" w:space="0" w:color="auto"/>
        <w:bottom w:val="none" w:sz="0" w:space="0" w:color="auto"/>
        <w:right w:val="none" w:sz="0" w:space="0" w:color="auto"/>
      </w:divBdr>
    </w:div>
    <w:div w:id="508524683">
      <w:bodyDiv w:val="1"/>
      <w:marLeft w:val="0"/>
      <w:marRight w:val="0"/>
      <w:marTop w:val="0"/>
      <w:marBottom w:val="0"/>
      <w:divBdr>
        <w:top w:val="none" w:sz="0" w:space="0" w:color="auto"/>
        <w:left w:val="none" w:sz="0" w:space="0" w:color="auto"/>
        <w:bottom w:val="none" w:sz="0" w:space="0" w:color="auto"/>
        <w:right w:val="none" w:sz="0" w:space="0" w:color="auto"/>
      </w:divBdr>
    </w:div>
    <w:div w:id="508720579">
      <w:bodyDiv w:val="1"/>
      <w:marLeft w:val="0"/>
      <w:marRight w:val="0"/>
      <w:marTop w:val="0"/>
      <w:marBottom w:val="0"/>
      <w:divBdr>
        <w:top w:val="none" w:sz="0" w:space="0" w:color="auto"/>
        <w:left w:val="none" w:sz="0" w:space="0" w:color="auto"/>
        <w:bottom w:val="none" w:sz="0" w:space="0" w:color="auto"/>
        <w:right w:val="none" w:sz="0" w:space="0" w:color="auto"/>
      </w:divBdr>
    </w:div>
    <w:div w:id="508906936">
      <w:bodyDiv w:val="1"/>
      <w:marLeft w:val="0"/>
      <w:marRight w:val="0"/>
      <w:marTop w:val="0"/>
      <w:marBottom w:val="0"/>
      <w:divBdr>
        <w:top w:val="none" w:sz="0" w:space="0" w:color="auto"/>
        <w:left w:val="none" w:sz="0" w:space="0" w:color="auto"/>
        <w:bottom w:val="none" w:sz="0" w:space="0" w:color="auto"/>
        <w:right w:val="none" w:sz="0" w:space="0" w:color="auto"/>
      </w:divBdr>
    </w:div>
    <w:div w:id="509216518">
      <w:bodyDiv w:val="1"/>
      <w:marLeft w:val="0"/>
      <w:marRight w:val="0"/>
      <w:marTop w:val="0"/>
      <w:marBottom w:val="0"/>
      <w:divBdr>
        <w:top w:val="none" w:sz="0" w:space="0" w:color="auto"/>
        <w:left w:val="none" w:sz="0" w:space="0" w:color="auto"/>
        <w:bottom w:val="none" w:sz="0" w:space="0" w:color="auto"/>
        <w:right w:val="none" w:sz="0" w:space="0" w:color="auto"/>
      </w:divBdr>
    </w:div>
    <w:div w:id="509217843">
      <w:bodyDiv w:val="1"/>
      <w:marLeft w:val="0"/>
      <w:marRight w:val="0"/>
      <w:marTop w:val="0"/>
      <w:marBottom w:val="0"/>
      <w:divBdr>
        <w:top w:val="none" w:sz="0" w:space="0" w:color="auto"/>
        <w:left w:val="none" w:sz="0" w:space="0" w:color="auto"/>
        <w:bottom w:val="none" w:sz="0" w:space="0" w:color="auto"/>
        <w:right w:val="none" w:sz="0" w:space="0" w:color="auto"/>
      </w:divBdr>
    </w:div>
    <w:div w:id="509760960">
      <w:bodyDiv w:val="1"/>
      <w:marLeft w:val="0"/>
      <w:marRight w:val="0"/>
      <w:marTop w:val="0"/>
      <w:marBottom w:val="0"/>
      <w:divBdr>
        <w:top w:val="none" w:sz="0" w:space="0" w:color="auto"/>
        <w:left w:val="none" w:sz="0" w:space="0" w:color="auto"/>
        <w:bottom w:val="none" w:sz="0" w:space="0" w:color="auto"/>
        <w:right w:val="none" w:sz="0" w:space="0" w:color="auto"/>
      </w:divBdr>
    </w:div>
    <w:div w:id="510291930">
      <w:bodyDiv w:val="1"/>
      <w:marLeft w:val="0"/>
      <w:marRight w:val="0"/>
      <w:marTop w:val="0"/>
      <w:marBottom w:val="0"/>
      <w:divBdr>
        <w:top w:val="none" w:sz="0" w:space="0" w:color="auto"/>
        <w:left w:val="none" w:sz="0" w:space="0" w:color="auto"/>
        <w:bottom w:val="none" w:sz="0" w:space="0" w:color="auto"/>
        <w:right w:val="none" w:sz="0" w:space="0" w:color="auto"/>
      </w:divBdr>
    </w:div>
    <w:div w:id="511140630">
      <w:bodyDiv w:val="1"/>
      <w:marLeft w:val="0"/>
      <w:marRight w:val="0"/>
      <w:marTop w:val="0"/>
      <w:marBottom w:val="0"/>
      <w:divBdr>
        <w:top w:val="none" w:sz="0" w:space="0" w:color="auto"/>
        <w:left w:val="none" w:sz="0" w:space="0" w:color="auto"/>
        <w:bottom w:val="none" w:sz="0" w:space="0" w:color="auto"/>
        <w:right w:val="none" w:sz="0" w:space="0" w:color="auto"/>
      </w:divBdr>
    </w:div>
    <w:div w:id="511382610">
      <w:bodyDiv w:val="1"/>
      <w:marLeft w:val="0"/>
      <w:marRight w:val="0"/>
      <w:marTop w:val="0"/>
      <w:marBottom w:val="0"/>
      <w:divBdr>
        <w:top w:val="none" w:sz="0" w:space="0" w:color="auto"/>
        <w:left w:val="none" w:sz="0" w:space="0" w:color="auto"/>
        <w:bottom w:val="none" w:sz="0" w:space="0" w:color="auto"/>
        <w:right w:val="none" w:sz="0" w:space="0" w:color="auto"/>
      </w:divBdr>
    </w:div>
    <w:div w:id="511644743">
      <w:bodyDiv w:val="1"/>
      <w:marLeft w:val="0"/>
      <w:marRight w:val="0"/>
      <w:marTop w:val="0"/>
      <w:marBottom w:val="0"/>
      <w:divBdr>
        <w:top w:val="none" w:sz="0" w:space="0" w:color="auto"/>
        <w:left w:val="none" w:sz="0" w:space="0" w:color="auto"/>
        <w:bottom w:val="none" w:sz="0" w:space="0" w:color="auto"/>
        <w:right w:val="none" w:sz="0" w:space="0" w:color="auto"/>
      </w:divBdr>
    </w:div>
    <w:div w:id="512258481">
      <w:bodyDiv w:val="1"/>
      <w:marLeft w:val="0"/>
      <w:marRight w:val="0"/>
      <w:marTop w:val="0"/>
      <w:marBottom w:val="0"/>
      <w:divBdr>
        <w:top w:val="none" w:sz="0" w:space="0" w:color="auto"/>
        <w:left w:val="none" w:sz="0" w:space="0" w:color="auto"/>
        <w:bottom w:val="none" w:sz="0" w:space="0" w:color="auto"/>
        <w:right w:val="none" w:sz="0" w:space="0" w:color="auto"/>
      </w:divBdr>
    </w:div>
    <w:div w:id="512575527">
      <w:bodyDiv w:val="1"/>
      <w:marLeft w:val="0"/>
      <w:marRight w:val="0"/>
      <w:marTop w:val="0"/>
      <w:marBottom w:val="0"/>
      <w:divBdr>
        <w:top w:val="none" w:sz="0" w:space="0" w:color="auto"/>
        <w:left w:val="none" w:sz="0" w:space="0" w:color="auto"/>
        <w:bottom w:val="none" w:sz="0" w:space="0" w:color="auto"/>
        <w:right w:val="none" w:sz="0" w:space="0" w:color="auto"/>
      </w:divBdr>
    </w:div>
    <w:div w:id="512846270">
      <w:bodyDiv w:val="1"/>
      <w:marLeft w:val="0"/>
      <w:marRight w:val="0"/>
      <w:marTop w:val="0"/>
      <w:marBottom w:val="0"/>
      <w:divBdr>
        <w:top w:val="none" w:sz="0" w:space="0" w:color="auto"/>
        <w:left w:val="none" w:sz="0" w:space="0" w:color="auto"/>
        <w:bottom w:val="none" w:sz="0" w:space="0" w:color="auto"/>
        <w:right w:val="none" w:sz="0" w:space="0" w:color="auto"/>
      </w:divBdr>
    </w:div>
    <w:div w:id="512846570">
      <w:bodyDiv w:val="1"/>
      <w:marLeft w:val="0"/>
      <w:marRight w:val="0"/>
      <w:marTop w:val="0"/>
      <w:marBottom w:val="0"/>
      <w:divBdr>
        <w:top w:val="none" w:sz="0" w:space="0" w:color="auto"/>
        <w:left w:val="none" w:sz="0" w:space="0" w:color="auto"/>
        <w:bottom w:val="none" w:sz="0" w:space="0" w:color="auto"/>
        <w:right w:val="none" w:sz="0" w:space="0" w:color="auto"/>
      </w:divBdr>
    </w:div>
    <w:div w:id="513961168">
      <w:bodyDiv w:val="1"/>
      <w:marLeft w:val="0"/>
      <w:marRight w:val="0"/>
      <w:marTop w:val="0"/>
      <w:marBottom w:val="0"/>
      <w:divBdr>
        <w:top w:val="none" w:sz="0" w:space="0" w:color="auto"/>
        <w:left w:val="none" w:sz="0" w:space="0" w:color="auto"/>
        <w:bottom w:val="none" w:sz="0" w:space="0" w:color="auto"/>
        <w:right w:val="none" w:sz="0" w:space="0" w:color="auto"/>
      </w:divBdr>
    </w:div>
    <w:div w:id="514001324">
      <w:bodyDiv w:val="1"/>
      <w:marLeft w:val="0"/>
      <w:marRight w:val="0"/>
      <w:marTop w:val="0"/>
      <w:marBottom w:val="0"/>
      <w:divBdr>
        <w:top w:val="none" w:sz="0" w:space="0" w:color="auto"/>
        <w:left w:val="none" w:sz="0" w:space="0" w:color="auto"/>
        <w:bottom w:val="none" w:sz="0" w:space="0" w:color="auto"/>
        <w:right w:val="none" w:sz="0" w:space="0" w:color="auto"/>
      </w:divBdr>
    </w:div>
    <w:div w:id="514536912">
      <w:bodyDiv w:val="1"/>
      <w:marLeft w:val="0"/>
      <w:marRight w:val="0"/>
      <w:marTop w:val="0"/>
      <w:marBottom w:val="0"/>
      <w:divBdr>
        <w:top w:val="none" w:sz="0" w:space="0" w:color="auto"/>
        <w:left w:val="none" w:sz="0" w:space="0" w:color="auto"/>
        <w:bottom w:val="none" w:sz="0" w:space="0" w:color="auto"/>
        <w:right w:val="none" w:sz="0" w:space="0" w:color="auto"/>
      </w:divBdr>
    </w:div>
    <w:div w:id="514730234">
      <w:bodyDiv w:val="1"/>
      <w:marLeft w:val="0"/>
      <w:marRight w:val="0"/>
      <w:marTop w:val="0"/>
      <w:marBottom w:val="0"/>
      <w:divBdr>
        <w:top w:val="none" w:sz="0" w:space="0" w:color="auto"/>
        <w:left w:val="none" w:sz="0" w:space="0" w:color="auto"/>
        <w:bottom w:val="none" w:sz="0" w:space="0" w:color="auto"/>
        <w:right w:val="none" w:sz="0" w:space="0" w:color="auto"/>
      </w:divBdr>
    </w:div>
    <w:div w:id="514926462">
      <w:bodyDiv w:val="1"/>
      <w:marLeft w:val="0"/>
      <w:marRight w:val="0"/>
      <w:marTop w:val="0"/>
      <w:marBottom w:val="0"/>
      <w:divBdr>
        <w:top w:val="none" w:sz="0" w:space="0" w:color="auto"/>
        <w:left w:val="none" w:sz="0" w:space="0" w:color="auto"/>
        <w:bottom w:val="none" w:sz="0" w:space="0" w:color="auto"/>
        <w:right w:val="none" w:sz="0" w:space="0" w:color="auto"/>
      </w:divBdr>
    </w:div>
    <w:div w:id="515077725">
      <w:bodyDiv w:val="1"/>
      <w:marLeft w:val="0"/>
      <w:marRight w:val="0"/>
      <w:marTop w:val="0"/>
      <w:marBottom w:val="0"/>
      <w:divBdr>
        <w:top w:val="none" w:sz="0" w:space="0" w:color="auto"/>
        <w:left w:val="none" w:sz="0" w:space="0" w:color="auto"/>
        <w:bottom w:val="none" w:sz="0" w:space="0" w:color="auto"/>
        <w:right w:val="none" w:sz="0" w:space="0" w:color="auto"/>
      </w:divBdr>
    </w:div>
    <w:div w:id="515271285">
      <w:bodyDiv w:val="1"/>
      <w:marLeft w:val="0"/>
      <w:marRight w:val="0"/>
      <w:marTop w:val="0"/>
      <w:marBottom w:val="0"/>
      <w:divBdr>
        <w:top w:val="none" w:sz="0" w:space="0" w:color="auto"/>
        <w:left w:val="none" w:sz="0" w:space="0" w:color="auto"/>
        <w:bottom w:val="none" w:sz="0" w:space="0" w:color="auto"/>
        <w:right w:val="none" w:sz="0" w:space="0" w:color="auto"/>
      </w:divBdr>
    </w:div>
    <w:div w:id="515465438">
      <w:bodyDiv w:val="1"/>
      <w:marLeft w:val="0"/>
      <w:marRight w:val="0"/>
      <w:marTop w:val="0"/>
      <w:marBottom w:val="0"/>
      <w:divBdr>
        <w:top w:val="none" w:sz="0" w:space="0" w:color="auto"/>
        <w:left w:val="none" w:sz="0" w:space="0" w:color="auto"/>
        <w:bottom w:val="none" w:sz="0" w:space="0" w:color="auto"/>
        <w:right w:val="none" w:sz="0" w:space="0" w:color="auto"/>
      </w:divBdr>
    </w:div>
    <w:div w:id="515926150">
      <w:bodyDiv w:val="1"/>
      <w:marLeft w:val="0"/>
      <w:marRight w:val="0"/>
      <w:marTop w:val="0"/>
      <w:marBottom w:val="0"/>
      <w:divBdr>
        <w:top w:val="none" w:sz="0" w:space="0" w:color="auto"/>
        <w:left w:val="none" w:sz="0" w:space="0" w:color="auto"/>
        <w:bottom w:val="none" w:sz="0" w:space="0" w:color="auto"/>
        <w:right w:val="none" w:sz="0" w:space="0" w:color="auto"/>
      </w:divBdr>
    </w:div>
    <w:div w:id="516042188">
      <w:bodyDiv w:val="1"/>
      <w:marLeft w:val="0"/>
      <w:marRight w:val="0"/>
      <w:marTop w:val="0"/>
      <w:marBottom w:val="0"/>
      <w:divBdr>
        <w:top w:val="none" w:sz="0" w:space="0" w:color="auto"/>
        <w:left w:val="none" w:sz="0" w:space="0" w:color="auto"/>
        <w:bottom w:val="none" w:sz="0" w:space="0" w:color="auto"/>
        <w:right w:val="none" w:sz="0" w:space="0" w:color="auto"/>
      </w:divBdr>
    </w:div>
    <w:div w:id="516385691">
      <w:bodyDiv w:val="1"/>
      <w:marLeft w:val="0"/>
      <w:marRight w:val="0"/>
      <w:marTop w:val="0"/>
      <w:marBottom w:val="0"/>
      <w:divBdr>
        <w:top w:val="none" w:sz="0" w:space="0" w:color="auto"/>
        <w:left w:val="none" w:sz="0" w:space="0" w:color="auto"/>
        <w:bottom w:val="none" w:sz="0" w:space="0" w:color="auto"/>
        <w:right w:val="none" w:sz="0" w:space="0" w:color="auto"/>
      </w:divBdr>
    </w:div>
    <w:div w:id="516581935">
      <w:bodyDiv w:val="1"/>
      <w:marLeft w:val="0"/>
      <w:marRight w:val="0"/>
      <w:marTop w:val="0"/>
      <w:marBottom w:val="0"/>
      <w:divBdr>
        <w:top w:val="none" w:sz="0" w:space="0" w:color="auto"/>
        <w:left w:val="none" w:sz="0" w:space="0" w:color="auto"/>
        <w:bottom w:val="none" w:sz="0" w:space="0" w:color="auto"/>
        <w:right w:val="none" w:sz="0" w:space="0" w:color="auto"/>
      </w:divBdr>
    </w:div>
    <w:div w:id="517043705">
      <w:bodyDiv w:val="1"/>
      <w:marLeft w:val="0"/>
      <w:marRight w:val="0"/>
      <w:marTop w:val="0"/>
      <w:marBottom w:val="0"/>
      <w:divBdr>
        <w:top w:val="none" w:sz="0" w:space="0" w:color="auto"/>
        <w:left w:val="none" w:sz="0" w:space="0" w:color="auto"/>
        <w:bottom w:val="none" w:sz="0" w:space="0" w:color="auto"/>
        <w:right w:val="none" w:sz="0" w:space="0" w:color="auto"/>
      </w:divBdr>
    </w:div>
    <w:div w:id="517354678">
      <w:bodyDiv w:val="1"/>
      <w:marLeft w:val="0"/>
      <w:marRight w:val="0"/>
      <w:marTop w:val="0"/>
      <w:marBottom w:val="0"/>
      <w:divBdr>
        <w:top w:val="none" w:sz="0" w:space="0" w:color="auto"/>
        <w:left w:val="none" w:sz="0" w:space="0" w:color="auto"/>
        <w:bottom w:val="none" w:sz="0" w:space="0" w:color="auto"/>
        <w:right w:val="none" w:sz="0" w:space="0" w:color="auto"/>
      </w:divBdr>
    </w:div>
    <w:div w:id="517424152">
      <w:bodyDiv w:val="1"/>
      <w:marLeft w:val="0"/>
      <w:marRight w:val="0"/>
      <w:marTop w:val="0"/>
      <w:marBottom w:val="0"/>
      <w:divBdr>
        <w:top w:val="none" w:sz="0" w:space="0" w:color="auto"/>
        <w:left w:val="none" w:sz="0" w:space="0" w:color="auto"/>
        <w:bottom w:val="none" w:sz="0" w:space="0" w:color="auto"/>
        <w:right w:val="none" w:sz="0" w:space="0" w:color="auto"/>
      </w:divBdr>
    </w:div>
    <w:div w:id="517548011">
      <w:bodyDiv w:val="1"/>
      <w:marLeft w:val="0"/>
      <w:marRight w:val="0"/>
      <w:marTop w:val="0"/>
      <w:marBottom w:val="0"/>
      <w:divBdr>
        <w:top w:val="none" w:sz="0" w:space="0" w:color="auto"/>
        <w:left w:val="none" w:sz="0" w:space="0" w:color="auto"/>
        <w:bottom w:val="none" w:sz="0" w:space="0" w:color="auto"/>
        <w:right w:val="none" w:sz="0" w:space="0" w:color="auto"/>
      </w:divBdr>
    </w:div>
    <w:div w:id="518087636">
      <w:bodyDiv w:val="1"/>
      <w:marLeft w:val="0"/>
      <w:marRight w:val="0"/>
      <w:marTop w:val="0"/>
      <w:marBottom w:val="0"/>
      <w:divBdr>
        <w:top w:val="none" w:sz="0" w:space="0" w:color="auto"/>
        <w:left w:val="none" w:sz="0" w:space="0" w:color="auto"/>
        <w:bottom w:val="none" w:sz="0" w:space="0" w:color="auto"/>
        <w:right w:val="none" w:sz="0" w:space="0" w:color="auto"/>
      </w:divBdr>
    </w:div>
    <w:div w:id="518586849">
      <w:bodyDiv w:val="1"/>
      <w:marLeft w:val="0"/>
      <w:marRight w:val="0"/>
      <w:marTop w:val="0"/>
      <w:marBottom w:val="0"/>
      <w:divBdr>
        <w:top w:val="none" w:sz="0" w:space="0" w:color="auto"/>
        <w:left w:val="none" w:sz="0" w:space="0" w:color="auto"/>
        <w:bottom w:val="none" w:sz="0" w:space="0" w:color="auto"/>
        <w:right w:val="none" w:sz="0" w:space="0" w:color="auto"/>
      </w:divBdr>
    </w:div>
    <w:div w:id="519052786">
      <w:bodyDiv w:val="1"/>
      <w:marLeft w:val="0"/>
      <w:marRight w:val="0"/>
      <w:marTop w:val="0"/>
      <w:marBottom w:val="0"/>
      <w:divBdr>
        <w:top w:val="none" w:sz="0" w:space="0" w:color="auto"/>
        <w:left w:val="none" w:sz="0" w:space="0" w:color="auto"/>
        <w:bottom w:val="none" w:sz="0" w:space="0" w:color="auto"/>
        <w:right w:val="none" w:sz="0" w:space="0" w:color="auto"/>
      </w:divBdr>
    </w:div>
    <w:div w:id="519244959">
      <w:bodyDiv w:val="1"/>
      <w:marLeft w:val="0"/>
      <w:marRight w:val="0"/>
      <w:marTop w:val="0"/>
      <w:marBottom w:val="0"/>
      <w:divBdr>
        <w:top w:val="none" w:sz="0" w:space="0" w:color="auto"/>
        <w:left w:val="none" w:sz="0" w:space="0" w:color="auto"/>
        <w:bottom w:val="none" w:sz="0" w:space="0" w:color="auto"/>
        <w:right w:val="none" w:sz="0" w:space="0" w:color="auto"/>
      </w:divBdr>
    </w:div>
    <w:div w:id="520046095">
      <w:bodyDiv w:val="1"/>
      <w:marLeft w:val="0"/>
      <w:marRight w:val="0"/>
      <w:marTop w:val="0"/>
      <w:marBottom w:val="0"/>
      <w:divBdr>
        <w:top w:val="none" w:sz="0" w:space="0" w:color="auto"/>
        <w:left w:val="none" w:sz="0" w:space="0" w:color="auto"/>
        <w:bottom w:val="none" w:sz="0" w:space="0" w:color="auto"/>
        <w:right w:val="none" w:sz="0" w:space="0" w:color="auto"/>
      </w:divBdr>
      <w:divsChild>
        <w:div w:id="1049651798">
          <w:marLeft w:val="480"/>
          <w:marRight w:val="0"/>
          <w:marTop w:val="0"/>
          <w:marBottom w:val="0"/>
          <w:divBdr>
            <w:top w:val="none" w:sz="0" w:space="0" w:color="auto"/>
            <w:left w:val="none" w:sz="0" w:space="0" w:color="auto"/>
            <w:bottom w:val="none" w:sz="0" w:space="0" w:color="auto"/>
            <w:right w:val="none" w:sz="0" w:space="0" w:color="auto"/>
          </w:divBdr>
        </w:div>
        <w:div w:id="1375426772">
          <w:marLeft w:val="480"/>
          <w:marRight w:val="0"/>
          <w:marTop w:val="0"/>
          <w:marBottom w:val="0"/>
          <w:divBdr>
            <w:top w:val="none" w:sz="0" w:space="0" w:color="auto"/>
            <w:left w:val="none" w:sz="0" w:space="0" w:color="auto"/>
            <w:bottom w:val="none" w:sz="0" w:space="0" w:color="auto"/>
            <w:right w:val="none" w:sz="0" w:space="0" w:color="auto"/>
          </w:divBdr>
        </w:div>
        <w:div w:id="901409794">
          <w:marLeft w:val="480"/>
          <w:marRight w:val="0"/>
          <w:marTop w:val="0"/>
          <w:marBottom w:val="0"/>
          <w:divBdr>
            <w:top w:val="none" w:sz="0" w:space="0" w:color="auto"/>
            <w:left w:val="none" w:sz="0" w:space="0" w:color="auto"/>
            <w:bottom w:val="none" w:sz="0" w:space="0" w:color="auto"/>
            <w:right w:val="none" w:sz="0" w:space="0" w:color="auto"/>
          </w:divBdr>
        </w:div>
        <w:div w:id="906188543">
          <w:marLeft w:val="480"/>
          <w:marRight w:val="0"/>
          <w:marTop w:val="0"/>
          <w:marBottom w:val="0"/>
          <w:divBdr>
            <w:top w:val="none" w:sz="0" w:space="0" w:color="auto"/>
            <w:left w:val="none" w:sz="0" w:space="0" w:color="auto"/>
            <w:bottom w:val="none" w:sz="0" w:space="0" w:color="auto"/>
            <w:right w:val="none" w:sz="0" w:space="0" w:color="auto"/>
          </w:divBdr>
        </w:div>
        <w:div w:id="1273316203">
          <w:marLeft w:val="480"/>
          <w:marRight w:val="0"/>
          <w:marTop w:val="0"/>
          <w:marBottom w:val="0"/>
          <w:divBdr>
            <w:top w:val="none" w:sz="0" w:space="0" w:color="auto"/>
            <w:left w:val="none" w:sz="0" w:space="0" w:color="auto"/>
            <w:bottom w:val="none" w:sz="0" w:space="0" w:color="auto"/>
            <w:right w:val="none" w:sz="0" w:space="0" w:color="auto"/>
          </w:divBdr>
        </w:div>
        <w:div w:id="974024770">
          <w:marLeft w:val="480"/>
          <w:marRight w:val="0"/>
          <w:marTop w:val="0"/>
          <w:marBottom w:val="0"/>
          <w:divBdr>
            <w:top w:val="none" w:sz="0" w:space="0" w:color="auto"/>
            <w:left w:val="none" w:sz="0" w:space="0" w:color="auto"/>
            <w:bottom w:val="none" w:sz="0" w:space="0" w:color="auto"/>
            <w:right w:val="none" w:sz="0" w:space="0" w:color="auto"/>
          </w:divBdr>
        </w:div>
        <w:div w:id="1436749814">
          <w:marLeft w:val="480"/>
          <w:marRight w:val="0"/>
          <w:marTop w:val="0"/>
          <w:marBottom w:val="0"/>
          <w:divBdr>
            <w:top w:val="none" w:sz="0" w:space="0" w:color="auto"/>
            <w:left w:val="none" w:sz="0" w:space="0" w:color="auto"/>
            <w:bottom w:val="none" w:sz="0" w:space="0" w:color="auto"/>
            <w:right w:val="none" w:sz="0" w:space="0" w:color="auto"/>
          </w:divBdr>
        </w:div>
        <w:div w:id="872767902">
          <w:marLeft w:val="480"/>
          <w:marRight w:val="0"/>
          <w:marTop w:val="0"/>
          <w:marBottom w:val="0"/>
          <w:divBdr>
            <w:top w:val="none" w:sz="0" w:space="0" w:color="auto"/>
            <w:left w:val="none" w:sz="0" w:space="0" w:color="auto"/>
            <w:bottom w:val="none" w:sz="0" w:space="0" w:color="auto"/>
            <w:right w:val="none" w:sz="0" w:space="0" w:color="auto"/>
          </w:divBdr>
        </w:div>
        <w:div w:id="1578902580">
          <w:marLeft w:val="480"/>
          <w:marRight w:val="0"/>
          <w:marTop w:val="0"/>
          <w:marBottom w:val="0"/>
          <w:divBdr>
            <w:top w:val="none" w:sz="0" w:space="0" w:color="auto"/>
            <w:left w:val="none" w:sz="0" w:space="0" w:color="auto"/>
            <w:bottom w:val="none" w:sz="0" w:space="0" w:color="auto"/>
            <w:right w:val="none" w:sz="0" w:space="0" w:color="auto"/>
          </w:divBdr>
        </w:div>
        <w:div w:id="1497844432">
          <w:marLeft w:val="480"/>
          <w:marRight w:val="0"/>
          <w:marTop w:val="0"/>
          <w:marBottom w:val="0"/>
          <w:divBdr>
            <w:top w:val="none" w:sz="0" w:space="0" w:color="auto"/>
            <w:left w:val="none" w:sz="0" w:space="0" w:color="auto"/>
            <w:bottom w:val="none" w:sz="0" w:space="0" w:color="auto"/>
            <w:right w:val="none" w:sz="0" w:space="0" w:color="auto"/>
          </w:divBdr>
        </w:div>
        <w:div w:id="918827293">
          <w:marLeft w:val="480"/>
          <w:marRight w:val="0"/>
          <w:marTop w:val="0"/>
          <w:marBottom w:val="0"/>
          <w:divBdr>
            <w:top w:val="none" w:sz="0" w:space="0" w:color="auto"/>
            <w:left w:val="none" w:sz="0" w:space="0" w:color="auto"/>
            <w:bottom w:val="none" w:sz="0" w:space="0" w:color="auto"/>
            <w:right w:val="none" w:sz="0" w:space="0" w:color="auto"/>
          </w:divBdr>
        </w:div>
        <w:div w:id="2111587445">
          <w:marLeft w:val="480"/>
          <w:marRight w:val="0"/>
          <w:marTop w:val="0"/>
          <w:marBottom w:val="0"/>
          <w:divBdr>
            <w:top w:val="none" w:sz="0" w:space="0" w:color="auto"/>
            <w:left w:val="none" w:sz="0" w:space="0" w:color="auto"/>
            <w:bottom w:val="none" w:sz="0" w:space="0" w:color="auto"/>
            <w:right w:val="none" w:sz="0" w:space="0" w:color="auto"/>
          </w:divBdr>
        </w:div>
        <w:div w:id="21365812">
          <w:marLeft w:val="480"/>
          <w:marRight w:val="0"/>
          <w:marTop w:val="0"/>
          <w:marBottom w:val="0"/>
          <w:divBdr>
            <w:top w:val="none" w:sz="0" w:space="0" w:color="auto"/>
            <w:left w:val="none" w:sz="0" w:space="0" w:color="auto"/>
            <w:bottom w:val="none" w:sz="0" w:space="0" w:color="auto"/>
            <w:right w:val="none" w:sz="0" w:space="0" w:color="auto"/>
          </w:divBdr>
        </w:div>
        <w:div w:id="409623558">
          <w:marLeft w:val="480"/>
          <w:marRight w:val="0"/>
          <w:marTop w:val="0"/>
          <w:marBottom w:val="0"/>
          <w:divBdr>
            <w:top w:val="none" w:sz="0" w:space="0" w:color="auto"/>
            <w:left w:val="none" w:sz="0" w:space="0" w:color="auto"/>
            <w:bottom w:val="none" w:sz="0" w:space="0" w:color="auto"/>
            <w:right w:val="none" w:sz="0" w:space="0" w:color="auto"/>
          </w:divBdr>
        </w:div>
        <w:div w:id="1086729570">
          <w:marLeft w:val="480"/>
          <w:marRight w:val="0"/>
          <w:marTop w:val="0"/>
          <w:marBottom w:val="0"/>
          <w:divBdr>
            <w:top w:val="none" w:sz="0" w:space="0" w:color="auto"/>
            <w:left w:val="none" w:sz="0" w:space="0" w:color="auto"/>
            <w:bottom w:val="none" w:sz="0" w:space="0" w:color="auto"/>
            <w:right w:val="none" w:sz="0" w:space="0" w:color="auto"/>
          </w:divBdr>
        </w:div>
        <w:div w:id="1624531857">
          <w:marLeft w:val="480"/>
          <w:marRight w:val="0"/>
          <w:marTop w:val="0"/>
          <w:marBottom w:val="0"/>
          <w:divBdr>
            <w:top w:val="none" w:sz="0" w:space="0" w:color="auto"/>
            <w:left w:val="none" w:sz="0" w:space="0" w:color="auto"/>
            <w:bottom w:val="none" w:sz="0" w:space="0" w:color="auto"/>
            <w:right w:val="none" w:sz="0" w:space="0" w:color="auto"/>
          </w:divBdr>
        </w:div>
        <w:div w:id="1684896084">
          <w:marLeft w:val="480"/>
          <w:marRight w:val="0"/>
          <w:marTop w:val="0"/>
          <w:marBottom w:val="0"/>
          <w:divBdr>
            <w:top w:val="none" w:sz="0" w:space="0" w:color="auto"/>
            <w:left w:val="none" w:sz="0" w:space="0" w:color="auto"/>
            <w:bottom w:val="none" w:sz="0" w:space="0" w:color="auto"/>
            <w:right w:val="none" w:sz="0" w:space="0" w:color="auto"/>
          </w:divBdr>
        </w:div>
        <w:div w:id="1388601973">
          <w:marLeft w:val="480"/>
          <w:marRight w:val="0"/>
          <w:marTop w:val="0"/>
          <w:marBottom w:val="0"/>
          <w:divBdr>
            <w:top w:val="none" w:sz="0" w:space="0" w:color="auto"/>
            <w:left w:val="none" w:sz="0" w:space="0" w:color="auto"/>
            <w:bottom w:val="none" w:sz="0" w:space="0" w:color="auto"/>
            <w:right w:val="none" w:sz="0" w:space="0" w:color="auto"/>
          </w:divBdr>
        </w:div>
        <w:div w:id="1334409822">
          <w:marLeft w:val="480"/>
          <w:marRight w:val="0"/>
          <w:marTop w:val="0"/>
          <w:marBottom w:val="0"/>
          <w:divBdr>
            <w:top w:val="none" w:sz="0" w:space="0" w:color="auto"/>
            <w:left w:val="none" w:sz="0" w:space="0" w:color="auto"/>
            <w:bottom w:val="none" w:sz="0" w:space="0" w:color="auto"/>
            <w:right w:val="none" w:sz="0" w:space="0" w:color="auto"/>
          </w:divBdr>
        </w:div>
        <w:div w:id="1092554893">
          <w:marLeft w:val="480"/>
          <w:marRight w:val="0"/>
          <w:marTop w:val="0"/>
          <w:marBottom w:val="0"/>
          <w:divBdr>
            <w:top w:val="none" w:sz="0" w:space="0" w:color="auto"/>
            <w:left w:val="none" w:sz="0" w:space="0" w:color="auto"/>
            <w:bottom w:val="none" w:sz="0" w:space="0" w:color="auto"/>
            <w:right w:val="none" w:sz="0" w:space="0" w:color="auto"/>
          </w:divBdr>
        </w:div>
        <w:div w:id="1268931720">
          <w:marLeft w:val="480"/>
          <w:marRight w:val="0"/>
          <w:marTop w:val="0"/>
          <w:marBottom w:val="0"/>
          <w:divBdr>
            <w:top w:val="none" w:sz="0" w:space="0" w:color="auto"/>
            <w:left w:val="none" w:sz="0" w:space="0" w:color="auto"/>
            <w:bottom w:val="none" w:sz="0" w:space="0" w:color="auto"/>
            <w:right w:val="none" w:sz="0" w:space="0" w:color="auto"/>
          </w:divBdr>
        </w:div>
        <w:div w:id="2012486261">
          <w:marLeft w:val="480"/>
          <w:marRight w:val="0"/>
          <w:marTop w:val="0"/>
          <w:marBottom w:val="0"/>
          <w:divBdr>
            <w:top w:val="none" w:sz="0" w:space="0" w:color="auto"/>
            <w:left w:val="none" w:sz="0" w:space="0" w:color="auto"/>
            <w:bottom w:val="none" w:sz="0" w:space="0" w:color="auto"/>
            <w:right w:val="none" w:sz="0" w:space="0" w:color="auto"/>
          </w:divBdr>
        </w:div>
        <w:div w:id="1807628700">
          <w:marLeft w:val="480"/>
          <w:marRight w:val="0"/>
          <w:marTop w:val="0"/>
          <w:marBottom w:val="0"/>
          <w:divBdr>
            <w:top w:val="none" w:sz="0" w:space="0" w:color="auto"/>
            <w:left w:val="none" w:sz="0" w:space="0" w:color="auto"/>
            <w:bottom w:val="none" w:sz="0" w:space="0" w:color="auto"/>
            <w:right w:val="none" w:sz="0" w:space="0" w:color="auto"/>
          </w:divBdr>
        </w:div>
        <w:div w:id="1245457130">
          <w:marLeft w:val="480"/>
          <w:marRight w:val="0"/>
          <w:marTop w:val="0"/>
          <w:marBottom w:val="0"/>
          <w:divBdr>
            <w:top w:val="none" w:sz="0" w:space="0" w:color="auto"/>
            <w:left w:val="none" w:sz="0" w:space="0" w:color="auto"/>
            <w:bottom w:val="none" w:sz="0" w:space="0" w:color="auto"/>
            <w:right w:val="none" w:sz="0" w:space="0" w:color="auto"/>
          </w:divBdr>
        </w:div>
        <w:div w:id="1135374893">
          <w:marLeft w:val="480"/>
          <w:marRight w:val="0"/>
          <w:marTop w:val="0"/>
          <w:marBottom w:val="0"/>
          <w:divBdr>
            <w:top w:val="none" w:sz="0" w:space="0" w:color="auto"/>
            <w:left w:val="none" w:sz="0" w:space="0" w:color="auto"/>
            <w:bottom w:val="none" w:sz="0" w:space="0" w:color="auto"/>
            <w:right w:val="none" w:sz="0" w:space="0" w:color="auto"/>
          </w:divBdr>
        </w:div>
        <w:div w:id="1810898941">
          <w:marLeft w:val="480"/>
          <w:marRight w:val="0"/>
          <w:marTop w:val="0"/>
          <w:marBottom w:val="0"/>
          <w:divBdr>
            <w:top w:val="none" w:sz="0" w:space="0" w:color="auto"/>
            <w:left w:val="none" w:sz="0" w:space="0" w:color="auto"/>
            <w:bottom w:val="none" w:sz="0" w:space="0" w:color="auto"/>
            <w:right w:val="none" w:sz="0" w:space="0" w:color="auto"/>
          </w:divBdr>
        </w:div>
        <w:div w:id="1948810262">
          <w:marLeft w:val="480"/>
          <w:marRight w:val="0"/>
          <w:marTop w:val="0"/>
          <w:marBottom w:val="0"/>
          <w:divBdr>
            <w:top w:val="none" w:sz="0" w:space="0" w:color="auto"/>
            <w:left w:val="none" w:sz="0" w:space="0" w:color="auto"/>
            <w:bottom w:val="none" w:sz="0" w:space="0" w:color="auto"/>
            <w:right w:val="none" w:sz="0" w:space="0" w:color="auto"/>
          </w:divBdr>
        </w:div>
        <w:div w:id="171143818">
          <w:marLeft w:val="480"/>
          <w:marRight w:val="0"/>
          <w:marTop w:val="0"/>
          <w:marBottom w:val="0"/>
          <w:divBdr>
            <w:top w:val="none" w:sz="0" w:space="0" w:color="auto"/>
            <w:left w:val="none" w:sz="0" w:space="0" w:color="auto"/>
            <w:bottom w:val="none" w:sz="0" w:space="0" w:color="auto"/>
            <w:right w:val="none" w:sz="0" w:space="0" w:color="auto"/>
          </w:divBdr>
        </w:div>
        <w:div w:id="1907761503">
          <w:marLeft w:val="480"/>
          <w:marRight w:val="0"/>
          <w:marTop w:val="0"/>
          <w:marBottom w:val="0"/>
          <w:divBdr>
            <w:top w:val="none" w:sz="0" w:space="0" w:color="auto"/>
            <w:left w:val="none" w:sz="0" w:space="0" w:color="auto"/>
            <w:bottom w:val="none" w:sz="0" w:space="0" w:color="auto"/>
            <w:right w:val="none" w:sz="0" w:space="0" w:color="auto"/>
          </w:divBdr>
        </w:div>
        <w:div w:id="1028407152">
          <w:marLeft w:val="480"/>
          <w:marRight w:val="0"/>
          <w:marTop w:val="0"/>
          <w:marBottom w:val="0"/>
          <w:divBdr>
            <w:top w:val="none" w:sz="0" w:space="0" w:color="auto"/>
            <w:left w:val="none" w:sz="0" w:space="0" w:color="auto"/>
            <w:bottom w:val="none" w:sz="0" w:space="0" w:color="auto"/>
            <w:right w:val="none" w:sz="0" w:space="0" w:color="auto"/>
          </w:divBdr>
        </w:div>
        <w:div w:id="259996352">
          <w:marLeft w:val="480"/>
          <w:marRight w:val="0"/>
          <w:marTop w:val="0"/>
          <w:marBottom w:val="0"/>
          <w:divBdr>
            <w:top w:val="none" w:sz="0" w:space="0" w:color="auto"/>
            <w:left w:val="none" w:sz="0" w:space="0" w:color="auto"/>
            <w:bottom w:val="none" w:sz="0" w:space="0" w:color="auto"/>
            <w:right w:val="none" w:sz="0" w:space="0" w:color="auto"/>
          </w:divBdr>
        </w:div>
        <w:div w:id="1322658607">
          <w:marLeft w:val="480"/>
          <w:marRight w:val="0"/>
          <w:marTop w:val="0"/>
          <w:marBottom w:val="0"/>
          <w:divBdr>
            <w:top w:val="none" w:sz="0" w:space="0" w:color="auto"/>
            <w:left w:val="none" w:sz="0" w:space="0" w:color="auto"/>
            <w:bottom w:val="none" w:sz="0" w:space="0" w:color="auto"/>
            <w:right w:val="none" w:sz="0" w:space="0" w:color="auto"/>
          </w:divBdr>
        </w:div>
        <w:div w:id="1009674725">
          <w:marLeft w:val="480"/>
          <w:marRight w:val="0"/>
          <w:marTop w:val="0"/>
          <w:marBottom w:val="0"/>
          <w:divBdr>
            <w:top w:val="none" w:sz="0" w:space="0" w:color="auto"/>
            <w:left w:val="none" w:sz="0" w:space="0" w:color="auto"/>
            <w:bottom w:val="none" w:sz="0" w:space="0" w:color="auto"/>
            <w:right w:val="none" w:sz="0" w:space="0" w:color="auto"/>
          </w:divBdr>
        </w:div>
        <w:div w:id="762994491">
          <w:marLeft w:val="480"/>
          <w:marRight w:val="0"/>
          <w:marTop w:val="0"/>
          <w:marBottom w:val="0"/>
          <w:divBdr>
            <w:top w:val="none" w:sz="0" w:space="0" w:color="auto"/>
            <w:left w:val="none" w:sz="0" w:space="0" w:color="auto"/>
            <w:bottom w:val="none" w:sz="0" w:space="0" w:color="auto"/>
            <w:right w:val="none" w:sz="0" w:space="0" w:color="auto"/>
          </w:divBdr>
        </w:div>
        <w:div w:id="966660300">
          <w:marLeft w:val="480"/>
          <w:marRight w:val="0"/>
          <w:marTop w:val="0"/>
          <w:marBottom w:val="0"/>
          <w:divBdr>
            <w:top w:val="none" w:sz="0" w:space="0" w:color="auto"/>
            <w:left w:val="none" w:sz="0" w:space="0" w:color="auto"/>
            <w:bottom w:val="none" w:sz="0" w:space="0" w:color="auto"/>
            <w:right w:val="none" w:sz="0" w:space="0" w:color="auto"/>
          </w:divBdr>
        </w:div>
        <w:div w:id="522865619">
          <w:marLeft w:val="480"/>
          <w:marRight w:val="0"/>
          <w:marTop w:val="0"/>
          <w:marBottom w:val="0"/>
          <w:divBdr>
            <w:top w:val="none" w:sz="0" w:space="0" w:color="auto"/>
            <w:left w:val="none" w:sz="0" w:space="0" w:color="auto"/>
            <w:bottom w:val="none" w:sz="0" w:space="0" w:color="auto"/>
            <w:right w:val="none" w:sz="0" w:space="0" w:color="auto"/>
          </w:divBdr>
        </w:div>
        <w:div w:id="572400057">
          <w:marLeft w:val="480"/>
          <w:marRight w:val="0"/>
          <w:marTop w:val="0"/>
          <w:marBottom w:val="0"/>
          <w:divBdr>
            <w:top w:val="none" w:sz="0" w:space="0" w:color="auto"/>
            <w:left w:val="none" w:sz="0" w:space="0" w:color="auto"/>
            <w:bottom w:val="none" w:sz="0" w:space="0" w:color="auto"/>
            <w:right w:val="none" w:sz="0" w:space="0" w:color="auto"/>
          </w:divBdr>
        </w:div>
        <w:div w:id="70083298">
          <w:marLeft w:val="480"/>
          <w:marRight w:val="0"/>
          <w:marTop w:val="0"/>
          <w:marBottom w:val="0"/>
          <w:divBdr>
            <w:top w:val="none" w:sz="0" w:space="0" w:color="auto"/>
            <w:left w:val="none" w:sz="0" w:space="0" w:color="auto"/>
            <w:bottom w:val="none" w:sz="0" w:space="0" w:color="auto"/>
            <w:right w:val="none" w:sz="0" w:space="0" w:color="auto"/>
          </w:divBdr>
        </w:div>
        <w:div w:id="768695666">
          <w:marLeft w:val="480"/>
          <w:marRight w:val="0"/>
          <w:marTop w:val="0"/>
          <w:marBottom w:val="0"/>
          <w:divBdr>
            <w:top w:val="none" w:sz="0" w:space="0" w:color="auto"/>
            <w:left w:val="none" w:sz="0" w:space="0" w:color="auto"/>
            <w:bottom w:val="none" w:sz="0" w:space="0" w:color="auto"/>
            <w:right w:val="none" w:sz="0" w:space="0" w:color="auto"/>
          </w:divBdr>
        </w:div>
        <w:div w:id="915480934">
          <w:marLeft w:val="480"/>
          <w:marRight w:val="0"/>
          <w:marTop w:val="0"/>
          <w:marBottom w:val="0"/>
          <w:divBdr>
            <w:top w:val="none" w:sz="0" w:space="0" w:color="auto"/>
            <w:left w:val="none" w:sz="0" w:space="0" w:color="auto"/>
            <w:bottom w:val="none" w:sz="0" w:space="0" w:color="auto"/>
            <w:right w:val="none" w:sz="0" w:space="0" w:color="auto"/>
          </w:divBdr>
        </w:div>
        <w:div w:id="2053532300">
          <w:marLeft w:val="480"/>
          <w:marRight w:val="0"/>
          <w:marTop w:val="0"/>
          <w:marBottom w:val="0"/>
          <w:divBdr>
            <w:top w:val="none" w:sz="0" w:space="0" w:color="auto"/>
            <w:left w:val="none" w:sz="0" w:space="0" w:color="auto"/>
            <w:bottom w:val="none" w:sz="0" w:space="0" w:color="auto"/>
            <w:right w:val="none" w:sz="0" w:space="0" w:color="auto"/>
          </w:divBdr>
        </w:div>
        <w:div w:id="1997302146">
          <w:marLeft w:val="480"/>
          <w:marRight w:val="0"/>
          <w:marTop w:val="0"/>
          <w:marBottom w:val="0"/>
          <w:divBdr>
            <w:top w:val="none" w:sz="0" w:space="0" w:color="auto"/>
            <w:left w:val="none" w:sz="0" w:space="0" w:color="auto"/>
            <w:bottom w:val="none" w:sz="0" w:space="0" w:color="auto"/>
            <w:right w:val="none" w:sz="0" w:space="0" w:color="auto"/>
          </w:divBdr>
        </w:div>
        <w:div w:id="1040517523">
          <w:marLeft w:val="480"/>
          <w:marRight w:val="0"/>
          <w:marTop w:val="0"/>
          <w:marBottom w:val="0"/>
          <w:divBdr>
            <w:top w:val="none" w:sz="0" w:space="0" w:color="auto"/>
            <w:left w:val="none" w:sz="0" w:space="0" w:color="auto"/>
            <w:bottom w:val="none" w:sz="0" w:space="0" w:color="auto"/>
            <w:right w:val="none" w:sz="0" w:space="0" w:color="auto"/>
          </w:divBdr>
        </w:div>
        <w:div w:id="231162623">
          <w:marLeft w:val="480"/>
          <w:marRight w:val="0"/>
          <w:marTop w:val="0"/>
          <w:marBottom w:val="0"/>
          <w:divBdr>
            <w:top w:val="none" w:sz="0" w:space="0" w:color="auto"/>
            <w:left w:val="none" w:sz="0" w:space="0" w:color="auto"/>
            <w:bottom w:val="none" w:sz="0" w:space="0" w:color="auto"/>
            <w:right w:val="none" w:sz="0" w:space="0" w:color="auto"/>
          </w:divBdr>
        </w:div>
        <w:div w:id="183906316">
          <w:marLeft w:val="480"/>
          <w:marRight w:val="0"/>
          <w:marTop w:val="0"/>
          <w:marBottom w:val="0"/>
          <w:divBdr>
            <w:top w:val="none" w:sz="0" w:space="0" w:color="auto"/>
            <w:left w:val="none" w:sz="0" w:space="0" w:color="auto"/>
            <w:bottom w:val="none" w:sz="0" w:space="0" w:color="auto"/>
            <w:right w:val="none" w:sz="0" w:space="0" w:color="auto"/>
          </w:divBdr>
        </w:div>
        <w:div w:id="1854369951">
          <w:marLeft w:val="480"/>
          <w:marRight w:val="0"/>
          <w:marTop w:val="0"/>
          <w:marBottom w:val="0"/>
          <w:divBdr>
            <w:top w:val="none" w:sz="0" w:space="0" w:color="auto"/>
            <w:left w:val="none" w:sz="0" w:space="0" w:color="auto"/>
            <w:bottom w:val="none" w:sz="0" w:space="0" w:color="auto"/>
            <w:right w:val="none" w:sz="0" w:space="0" w:color="auto"/>
          </w:divBdr>
        </w:div>
        <w:div w:id="1992908918">
          <w:marLeft w:val="480"/>
          <w:marRight w:val="0"/>
          <w:marTop w:val="0"/>
          <w:marBottom w:val="0"/>
          <w:divBdr>
            <w:top w:val="none" w:sz="0" w:space="0" w:color="auto"/>
            <w:left w:val="none" w:sz="0" w:space="0" w:color="auto"/>
            <w:bottom w:val="none" w:sz="0" w:space="0" w:color="auto"/>
            <w:right w:val="none" w:sz="0" w:space="0" w:color="auto"/>
          </w:divBdr>
        </w:div>
        <w:div w:id="1388188625">
          <w:marLeft w:val="480"/>
          <w:marRight w:val="0"/>
          <w:marTop w:val="0"/>
          <w:marBottom w:val="0"/>
          <w:divBdr>
            <w:top w:val="none" w:sz="0" w:space="0" w:color="auto"/>
            <w:left w:val="none" w:sz="0" w:space="0" w:color="auto"/>
            <w:bottom w:val="none" w:sz="0" w:space="0" w:color="auto"/>
            <w:right w:val="none" w:sz="0" w:space="0" w:color="auto"/>
          </w:divBdr>
        </w:div>
        <w:div w:id="614021751">
          <w:marLeft w:val="480"/>
          <w:marRight w:val="0"/>
          <w:marTop w:val="0"/>
          <w:marBottom w:val="0"/>
          <w:divBdr>
            <w:top w:val="none" w:sz="0" w:space="0" w:color="auto"/>
            <w:left w:val="none" w:sz="0" w:space="0" w:color="auto"/>
            <w:bottom w:val="none" w:sz="0" w:space="0" w:color="auto"/>
            <w:right w:val="none" w:sz="0" w:space="0" w:color="auto"/>
          </w:divBdr>
        </w:div>
        <w:div w:id="1905329470">
          <w:marLeft w:val="480"/>
          <w:marRight w:val="0"/>
          <w:marTop w:val="0"/>
          <w:marBottom w:val="0"/>
          <w:divBdr>
            <w:top w:val="none" w:sz="0" w:space="0" w:color="auto"/>
            <w:left w:val="none" w:sz="0" w:space="0" w:color="auto"/>
            <w:bottom w:val="none" w:sz="0" w:space="0" w:color="auto"/>
            <w:right w:val="none" w:sz="0" w:space="0" w:color="auto"/>
          </w:divBdr>
        </w:div>
        <w:div w:id="2082630470">
          <w:marLeft w:val="480"/>
          <w:marRight w:val="0"/>
          <w:marTop w:val="0"/>
          <w:marBottom w:val="0"/>
          <w:divBdr>
            <w:top w:val="none" w:sz="0" w:space="0" w:color="auto"/>
            <w:left w:val="none" w:sz="0" w:space="0" w:color="auto"/>
            <w:bottom w:val="none" w:sz="0" w:space="0" w:color="auto"/>
            <w:right w:val="none" w:sz="0" w:space="0" w:color="auto"/>
          </w:divBdr>
        </w:div>
        <w:div w:id="2038584306">
          <w:marLeft w:val="480"/>
          <w:marRight w:val="0"/>
          <w:marTop w:val="0"/>
          <w:marBottom w:val="0"/>
          <w:divBdr>
            <w:top w:val="none" w:sz="0" w:space="0" w:color="auto"/>
            <w:left w:val="none" w:sz="0" w:space="0" w:color="auto"/>
            <w:bottom w:val="none" w:sz="0" w:space="0" w:color="auto"/>
            <w:right w:val="none" w:sz="0" w:space="0" w:color="auto"/>
          </w:divBdr>
        </w:div>
        <w:div w:id="1271815681">
          <w:marLeft w:val="480"/>
          <w:marRight w:val="0"/>
          <w:marTop w:val="0"/>
          <w:marBottom w:val="0"/>
          <w:divBdr>
            <w:top w:val="none" w:sz="0" w:space="0" w:color="auto"/>
            <w:left w:val="none" w:sz="0" w:space="0" w:color="auto"/>
            <w:bottom w:val="none" w:sz="0" w:space="0" w:color="auto"/>
            <w:right w:val="none" w:sz="0" w:space="0" w:color="auto"/>
          </w:divBdr>
        </w:div>
        <w:div w:id="1032875016">
          <w:marLeft w:val="480"/>
          <w:marRight w:val="0"/>
          <w:marTop w:val="0"/>
          <w:marBottom w:val="0"/>
          <w:divBdr>
            <w:top w:val="none" w:sz="0" w:space="0" w:color="auto"/>
            <w:left w:val="none" w:sz="0" w:space="0" w:color="auto"/>
            <w:bottom w:val="none" w:sz="0" w:space="0" w:color="auto"/>
            <w:right w:val="none" w:sz="0" w:space="0" w:color="auto"/>
          </w:divBdr>
        </w:div>
        <w:div w:id="2111584884">
          <w:marLeft w:val="480"/>
          <w:marRight w:val="0"/>
          <w:marTop w:val="0"/>
          <w:marBottom w:val="0"/>
          <w:divBdr>
            <w:top w:val="none" w:sz="0" w:space="0" w:color="auto"/>
            <w:left w:val="none" w:sz="0" w:space="0" w:color="auto"/>
            <w:bottom w:val="none" w:sz="0" w:space="0" w:color="auto"/>
            <w:right w:val="none" w:sz="0" w:space="0" w:color="auto"/>
          </w:divBdr>
        </w:div>
        <w:div w:id="2079202706">
          <w:marLeft w:val="480"/>
          <w:marRight w:val="0"/>
          <w:marTop w:val="0"/>
          <w:marBottom w:val="0"/>
          <w:divBdr>
            <w:top w:val="none" w:sz="0" w:space="0" w:color="auto"/>
            <w:left w:val="none" w:sz="0" w:space="0" w:color="auto"/>
            <w:bottom w:val="none" w:sz="0" w:space="0" w:color="auto"/>
            <w:right w:val="none" w:sz="0" w:space="0" w:color="auto"/>
          </w:divBdr>
        </w:div>
        <w:div w:id="1082412959">
          <w:marLeft w:val="480"/>
          <w:marRight w:val="0"/>
          <w:marTop w:val="0"/>
          <w:marBottom w:val="0"/>
          <w:divBdr>
            <w:top w:val="none" w:sz="0" w:space="0" w:color="auto"/>
            <w:left w:val="none" w:sz="0" w:space="0" w:color="auto"/>
            <w:bottom w:val="none" w:sz="0" w:space="0" w:color="auto"/>
            <w:right w:val="none" w:sz="0" w:space="0" w:color="auto"/>
          </w:divBdr>
        </w:div>
        <w:div w:id="465782064">
          <w:marLeft w:val="480"/>
          <w:marRight w:val="0"/>
          <w:marTop w:val="0"/>
          <w:marBottom w:val="0"/>
          <w:divBdr>
            <w:top w:val="none" w:sz="0" w:space="0" w:color="auto"/>
            <w:left w:val="none" w:sz="0" w:space="0" w:color="auto"/>
            <w:bottom w:val="none" w:sz="0" w:space="0" w:color="auto"/>
            <w:right w:val="none" w:sz="0" w:space="0" w:color="auto"/>
          </w:divBdr>
        </w:div>
        <w:div w:id="1432119951">
          <w:marLeft w:val="480"/>
          <w:marRight w:val="0"/>
          <w:marTop w:val="0"/>
          <w:marBottom w:val="0"/>
          <w:divBdr>
            <w:top w:val="none" w:sz="0" w:space="0" w:color="auto"/>
            <w:left w:val="none" w:sz="0" w:space="0" w:color="auto"/>
            <w:bottom w:val="none" w:sz="0" w:space="0" w:color="auto"/>
            <w:right w:val="none" w:sz="0" w:space="0" w:color="auto"/>
          </w:divBdr>
        </w:div>
        <w:div w:id="592014149">
          <w:marLeft w:val="480"/>
          <w:marRight w:val="0"/>
          <w:marTop w:val="0"/>
          <w:marBottom w:val="0"/>
          <w:divBdr>
            <w:top w:val="none" w:sz="0" w:space="0" w:color="auto"/>
            <w:left w:val="none" w:sz="0" w:space="0" w:color="auto"/>
            <w:bottom w:val="none" w:sz="0" w:space="0" w:color="auto"/>
            <w:right w:val="none" w:sz="0" w:space="0" w:color="auto"/>
          </w:divBdr>
        </w:div>
        <w:div w:id="1047798578">
          <w:marLeft w:val="480"/>
          <w:marRight w:val="0"/>
          <w:marTop w:val="0"/>
          <w:marBottom w:val="0"/>
          <w:divBdr>
            <w:top w:val="none" w:sz="0" w:space="0" w:color="auto"/>
            <w:left w:val="none" w:sz="0" w:space="0" w:color="auto"/>
            <w:bottom w:val="none" w:sz="0" w:space="0" w:color="auto"/>
            <w:right w:val="none" w:sz="0" w:space="0" w:color="auto"/>
          </w:divBdr>
        </w:div>
        <w:div w:id="320087045">
          <w:marLeft w:val="480"/>
          <w:marRight w:val="0"/>
          <w:marTop w:val="0"/>
          <w:marBottom w:val="0"/>
          <w:divBdr>
            <w:top w:val="none" w:sz="0" w:space="0" w:color="auto"/>
            <w:left w:val="none" w:sz="0" w:space="0" w:color="auto"/>
            <w:bottom w:val="none" w:sz="0" w:space="0" w:color="auto"/>
            <w:right w:val="none" w:sz="0" w:space="0" w:color="auto"/>
          </w:divBdr>
        </w:div>
        <w:div w:id="1465470066">
          <w:marLeft w:val="480"/>
          <w:marRight w:val="0"/>
          <w:marTop w:val="0"/>
          <w:marBottom w:val="0"/>
          <w:divBdr>
            <w:top w:val="none" w:sz="0" w:space="0" w:color="auto"/>
            <w:left w:val="none" w:sz="0" w:space="0" w:color="auto"/>
            <w:bottom w:val="none" w:sz="0" w:space="0" w:color="auto"/>
            <w:right w:val="none" w:sz="0" w:space="0" w:color="auto"/>
          </w:divBdr>
        </w:div>
        <w:div w:id="1080909269">
          <w:marLeft w:val="480"/>
          <w:marRight w:val="0"/>
          <w:marTop w:val="0"/>
          <w:marBottom w:val="0"/>
          <w:divBdr>
            <w:top w:val="none" w:sz="0" w:space="0" w:color="auto"/>
            <w:left w:val="none" w:sz="0" w:space="0" w:color="auto"/>
            <w:bottom w:val="none" w:sz="0" w:space="0" w:color="auto"/>
            <w:right w:val="none" w:sz="0" w:space="0" w:color="auto"/>
          </w:divBdr>
        </w:div>
        <w:div w:id="11616798">
          <w:marLeft w:val="480"/>
          <w:marRight w:val="0"/>
          <w:marTop w:val="0"/>
          <w:marBottom w:val="0"/>
          <w:divBdr>
            <w:top w:val="none" w:sz="0" w:space="0" w:color="auto"/>
            <w:left w:val="none" w:sz="0" w:space="0" w:color="auto"/>
            <w:bottom w:val="none" w:sz="0" w:space="0" w:color="auto"/>
            <w:right w:val="none" w:sz="0" w:space="0" w:color="auto"/>
          </w:divBdr>
        </w:div>
        <w:div w:id="665742987">
          <w:marLeft w:val="480"/>
          <w:marRight w:val="0"/>
          <w:marTop w:val="0"/>
          <w:marBottom w:val="0"/>
          <w:divBdr>
            <w:top w:val="none" w:sz="0" w:space="0" w:color="auto"/>
            <w:left w:val="none" w:sz="0" w:space="0" w:color="auto"/>
            <w:bottom w:val="none" w:sz="0" w:space="0" w:color="auto"/>
            <w:right w:val="none" w:sz="0" w:space="0" w:color="auto"/>
          </w:divBdr>
        </w:div>
        <w:div w:id="279380954">
          <w:marLeft w:val="480"/>
          <w:marRight w:val="0"/>
          <w:marTop w:val="0"/>
          <w:marBottom w:val="0"/>
          <w:divBdr>
            <w:top w:val="none" w:sz="0" w:space="0" w:color="auto"/>
            <w:left w:val="none" w:sz="0" w:space="0" w:color="auto"/>
            <w:bottom w:val="none" w:sz="0" w:space="0" w:color="auto"/>
            <w:right w:val="none" w:sz="0" w:space="0" w:color="auto"/>
          </w:divBdr>
        </w:div>
        <w:div w:id="876308219">
          <w:marLeft w:val="480"/>
          <w:marRight w:val="0"/>
          <w:marTop w:val="0"/>
          <w:marBottom w:val="0"/>
          <w:divBdr>
            <w:top w:val="none" w:sz="0" w:space="0" w:color="auto"/>
            <w:left w:val="none" w:sz="0" w:space="0" w:color="auto"/>
            <w:bottom w:val="none" w:sz="0" w:space="0" w:color="auto"/>
            <w:right w:val="none" w:sz="0" w:space="0" w:color="auto"/>
          </w:divBdr>
        </w:div>
        <w:div w:id="2081249748">
          <w:marLeft w:val="480"/>
          <w:marRight w:val="0"/>
          <w:marTop w:val="0"/>
          <w:marBottom w:val="0"/>
          <w:divBdr>
            <w:top w:val="none" w:sz="0" w:space="0" w:color="auto"/>
            <w:left w:val="none" w:sz="0" w:space="0" w:color="auto"/>
            <w:bottom w:val="none" w:sz="0" w:space="0" w:color="auto"/>
            <w:right w:val="none" w:sz="0" w:space="0" w:color="auto"/>
          </w:divBdr>
        </w:div>
        <w:div w:id="870193260">
          <w:marLeft w:val="480"/>
          <w:marRight w:val="0"/>
          <w:marTop w:val="0"/>
          <w:marBottom w:val="0"/>
          <w:divBdr>
            <w:top w:val="none" w:sz="0" w:space="0" w:color="auto"/>
            <w:left w:val="none" w:sz="0" w:space="0" w:color="auto"/>
            <w:bottom w:val="none" w:sz="0" w:space="0" w:color="auto"/>
            <w:right w:val="none" w:sz="0" w:space="0" w:color="auto"/>
          </w:divBdr>
        </w:div>
        <w:div w:id="775294532">
          <w:marLeft w:val="480"/>
          <w:marRight w:val="0"/>
          <w:marTop w:val="0"/>
          <w:marBottom w:val="0"/>
          <w:divBdr>
            <w:top w:val="none" w:sz="0" w:space="0" w:color="auto"/>
            <w:left w:val="none" w:sz="0" w:space="0" w:color="auto"/>
            <w:bottom w:val="none" w:sz="0" w:space="0" w:color="auto"/>
            <w:right w:val="none" w:sz="0" w:space="0" w:color="auto"/>
          </w:divBdr>
        </w:div>
        <w:div w:id="1377244000">
          <w:marLeft w:val="480"/>
          <w:marRight w:val="0"/>
          <w:marTop w:val="0"/>
          <w:marBottom w:val="0"/>
          <w:divBdr>
            <w:top w:val="none" w:sz="0" w:space="0" w:color="auto"/>
            <w:left w:val="none" w:sz="0" w:space="0" w:color="auto"/>
            <w:bottom w:val="none" w:sz="0" w:space="0" w:color="auto"/>
            <w:right w:val="none" w:sz="0" w:space="0" w:color="auto"/>
          </w:divBdr>
        </w:div>
        <w:div w:id="697658986">
          <w:marLeft w:val="480"/>
          <w:marRight w:val="0"/>
          <w:marTop w:val="0"/>
          <w:marBottom w:val="0"/>
          <w:divBdr>
            <w:top w:val="none" w:sz="0" w:space="0" w:color="auto"/>
            <w:left w:val="none" w:sz="0" w:space="0" w:color="auto"/>
            <w:bottom w:val="none" w:sz="0" w:space="0" w:color="auto"/>
            <w:right w:val="none" w:sz="0" w:space="0" w:color="auto"/>
          </w:divBdr>
        </w:div>
        <w:div w:id="1273902198">
          <w:marLeft w:val="480"/>
          <w:marRight w:val="0"/>
          <w:marTop w:val="0"/>
          <w:marBottom w:val="0"/>
          <w:divBdr>
            <w:top w:val="none" w:sz="0" w:space="0" w:color="auto"/>
            <w:left w:val="none" w:sz="0" w:space="0" w:color="auto"/>
            <w:bottom w:val="none" w:sz="0" w:space="0" w:color="auto"/>
            <w:right w:val="none" w:sz="0" w:space="0" w:color="auto"/>
          </w:divBdr>
        </w:div>
        <w:div w:id="673724321">
          <w:marLeft w:val="480"/>
          <w:marRight w:val="0"/>
          <w:marTop w:val="0"/>
          <w:marBottom w:val="0"/>
          <w:divBdr>
            <w:top w:val="none" w:sz="0" w:space="0" w:color="auto"/>
            <w:left w:val="none" w:sz="0" w:space="0" w:color="auto"/>
            <w:bottom w:val="none" w:sz="0" w:space="0" w:color="auto"/>
            <w:right w:val="none" w:sz="0" w:space="0" w:color="auto"/>
          </w:divBdr>
        </w:div>
        <w:div w:id="1076627919">
          <w:marLeft w:val="480"/>
          <w:marRight w:val="0"/>
          <w:marTop w:val="0"/>
          <w:marBottom w:val="0"/>
          <w:divBdr>
            <w:top w:val="none" w:sz="0" w:space="0" w:color="auto"/>
            <w:left w:val="none" w:sz="0" w:space="0" w:color="auto"/>
            <w:bottom w:val="none" w:sz="0" w:space="0" w:color="auto"/>
            <w:right w:val="none" w:sz="0" w:space="0" w:color="auto"/>
          </w:divBdr>
        </w:div>
        <w:div w:id="1983852427">
          <w:marLeft w:val="480"/>
          <w:marRight w:val="0"/>
          <w:marTop w:val="0"/>
          <w:marBottom w:val="0"/>
          <w:divBdr>
            <w:top w:val="none" w:sz="0" w:space="0" w:color="auto"/>
            <w:left w:val="none" w:sz="0" w:space="0" w:color="auto"/>
            <w:bottom w:val="none" w:sz="0" w:space="0" w:color="auto"/>
            <w:right w:val="none" w:sz="0" w:space="0" w:color="auto"/>
          </w:divBdr>
        </w:div>
        <w:div w:id="1975989977">
          <w:marLeft w:val="480"/>
          <w:marRight w:val="0"/>
          <w:marTop w:val="0"/>
          <w:marBottom w:val="0"/>
          <w:divBdr>
            <w:top w:val="none" w:sz="0" w:space="0" w:color="auto"/>
            <w:left w:val="none" w:sz="0" w:space="0" w:color="auto"/>
            <w:bottom w:val="none" w:sz="0" w:space="0" w:color="auto"/>
            <w:right w:val="none" w:sz="0" w:space="0" w:color="auto"/>
          </w:divBdr>
        </w:div>
        <w:div w:id="45109848">
          <w:marLeft w:val="480"/>
          <w:marRight w:val="0"/>
          <w:marTop w:val="0"/>
          <w:marBottom w:val="0"/>
          <w:divBdr>
            <w:top w:val="none" w:sz="0" w:space="0" w:color="auto"/>
            <w:left w:val="none" w:sz="0" w:space="0" w:color="auto"/>
            <w:bottom w:val="none" w:sz="0" w:space="0" w:color="auto"/>
            <w:right w:val="none" w:sz="0" w:space="0" w:color="auto"/>
          </w:divBdr>
        </w:div>
        <w:div w:id="1124272088">
          <w:marLeft w:val="480"/>
          <w:marRight w:val="0"/>
          <w:marTop w:val="0"/>
          <w:marBottom w:val="0"/>
          <w:divBdr>
            <w:top w:val="none" w:sz="0" w:space="0" w:color="auto"/>
            <w:left w:val="none" w:sz="0" w:space="0" w:color="auto"/>
            <w:bottom w:val="none" w:sz="0" w:space="0" w:color="auto"/>
            <w:right w:val="none" w:sz="0" w:space="0" w:color="auto"/>
          </w:divBdr>
        </w:div>
        <w:div w:id="1174151095">
          <w:marLeft w:val="480"/>
          <w:marRight w:val="0"/>
          <w:marTop w:val="0"/>
          <w:marBottom w:val="0"/>
          <w:divBdr>
            <w:top w:val="none" w:sz="0" w:space="0" w:color="auto"/>
            <w:left w:val="none" w:sz="0" w:space="0" w:color="auto"/>
            <w:bottom w:val="none" w:sz="0" w:space="0" w:color="auto"/>
            <w:right w:val="none" w:sz="0" w:space="0" w:color="auto"/>
          </w:divBdr>
        </w:div>
        <w:div w:id="2107772280">
          <w:marLeft w:val="480"/>
          <w:marRight w:val="0"/>
          <w:marTop w:val="0"/>
          <w:marBottom w:val="0"/>
          <w:divBdr>
            <w:top w:val="none" w:sz="0" w:space="0" w:color="auto"/>
            <w:left w:val="none" w:sz="0" w:space="0" w:color="auto"/>
            <w:bottom w:val="none" w:sz="0" w:space="0" w:color="auto"/>
            <w:right w:val="none" w:sz="0" w:space="0" w:color="auto"/>
          </w:divBdr>
        </w:div>
        <w:div w:id="1818034957">
          <w:marLeft w:val="480"/>
          <w:marRight w:val="0"/>
          <w:marTop w:val="0"/>
          <w:marBottom w:val="0"/>
          <w:divBdr>
            <w:top w:val="none" w:sz="0" w:space="0" w:color="auto"/>
            <w:left w:val="none" w:sz="0" w:space="0" w:color="auto"/>
            <w:bottom w:val="none" w:sz="0" w:space="0" w:color="auto"/>
            <w:right w:val="none" w:sz="0" w:space="0" w:color="auto"/>
          </w:divBdr>
        </w:div>
        <w:div w:id="695697286">
          <w:marLeft w:val="480"/>
          <w:marRight w:val="0"/>
          <w:marTop w:val="0"/>
          <w:marBottom w:val="0"/>
          <w:divBdr>
            <w:top w:val="none" w:sz="0" w:space="0" w:color="auto"/>
            <w:left w:val="none" w:sz="0" w:space="0" w:color="auto"/>
            <w:bottom w:val="none" w:sz="0" w:space="0" w:color="auto"/>
            <w:right w:val="none" w:sz="0" w:space="0" w:color="auto"/>
          </w:divBdr>
        </w:div>
        <w:div w:id="1454862523">
          <w:marLeft w:val="480"/>
          <w:marRight w:val="0"/>
          <w:marTop w:val="0"/>
          <w:marBottom w:val="0"/>
          <w:divBdr>
            <w:top w:val="none" w:sz="0" w:space="0" w:color="auto"/>
            <w:left w:val="none" w:sz="0" w:space="0" w:color="auto"/>
            <w:bottom w:val="none" w:sz="0" w:space="0" w:color="auto"/>
            <w:right w:val="none" w:sz="0" w:space="0" w:color="auto"/>
          </w:divBdr>
        </w:div>
        <w:div w:id="343095719">
          <w:marLeft w:val="480"/>
          <w:marRight w:val="0"/>
          <w:marTop w:val="0"/>
          <w:marBottom w:val="0"/>
          <w:divBdr>
            <w:top w:val="none" w:sz="0" w:space="0" w:color="auto"/>
            <w:left w:val="none" w:sz="0" w:space="0" w:color="auto"/>
            <w:bottom w:val="none" w:sz="0" w:space="0" w:color="auto"/>
            <w:right w:val="none" w:sz="0" w:space="0" w:color="auto"/>
          </w:divBdr>
        </w:div>
        <w:div w:id="821241852">
          <w:marLeft w:val="480"/>
          <w:marRight w:val="0"/>
          <w:marTop w:val="0"/>
          <w:marBottom w:val="0"/>
          <w:divBdr>
            <w:top w:val="none" w:sz="0" w:space="0" w:color="auto"/>
            <w:left w:val="none" w:sz="0" w:space="0" w:color="auto"/>
            <w:bottom w:val="none" w:sz="0" w:space="0" w:color="auto"/>
            <w:right w:val="none" w:sz="0" w:space="0" w:color="auto"/>
          </w:divBdr>
        </w:div>
        <w:div w:id="1368724120">
          <w:marLeft w:val="480"/>
          <w:marRight w:val="0"/>
          <w:marTop w:val="0"/>
          <w:marBottom w:val="0"/>
          <w:divBdr>
            <w:top w:val="none" w:sz="0" w:space="0" w:color="auto"/>
            <w:left w:val="none" w:sz="0" w:space="0" w:color="auto"/>
            <w:bottom w:val="none" w:sz="0" w:space="0" w:color="auto"/>
            <w:right w:val="none" w:sz="0" w:space="0" w:color="auto"/>
          </w:divBdr>
        </w:div>
        <w:div w:id="1587493639">
          <w:marLeft w:val="480"/>
          <w:marRight w:val="0"/>
          <w:marTop w:val="0"/>
          <w:marBottom w:val="0"/>
          <w:divBdr>
            <w:top w:val="none" w:sz="0" w:space="0" w:color="auto"/>
            <w:left w:val="none" w:sz="0" w:space="0" w:color="auto"/>
            <w:bottom w:val="none" w:sz="0" w:space="0" w:color="auto"/>
            <w:right w:val="none" w:sz="0" w:space="0" w:color="auto"/>
          </w:divBdr>
        </w:div>
        <w:div w:id="1636376337">
          <w:marLeft w:val="480"/>
          <w:marRight w:val="0"/>
          <w:marTop w:val="0"/>
          <w:marBottom w:val="0"/>
          <w:divBdr>
            <w:top w:val="none" w:sz="0" w:space="0" w:color="auto"/>
            <w:left w:val="none" w:sz="0" w:space="0" w:color="auto"/>
            <w:bottom w:val="none" w:sz="0" w:space="0" w:color="auto"/>
            <w:right w:val="none" w:sz="0" w:space="0" w:color="auto"/>
          </w:divBdr>
        </w:div>
        <w:div w:id="1548955357">
          <w:marLeft w:val="480"/>
          <w:marRight w:val="0"/>
          <w:marTop w:val="0"/>
          <w:marBottom w:val="0"/>
          <w:divBdr>
            <w:top w:val="none" w:sz="0" w:space="0" w:color="auto"/>
            <w:left w:val="none" w:sz="0" w:space="0" w:color="auto"/>
            <w:bottom w:val="none" w:sz="0" w:space="0" w:color="auto"/>
            <w:right w:val="none" w:sz="0" w:space="0" w:color="auto"/>
          </w:divBdr>
        </w:div>
        <w:div w:id="1716614783">
          <w:marLeft w:val="480"/>
          <w:marRight w:val="0"/>
          <w:marTop w:val="0"/>
          <w:marBottom w:val="0"/>
          <w:divBdr>
            <w:top w:val="none" w:sz="0" w:space="0" w:color="auto"/>
            <w:left w:val="none" w:sz="0" w:space="0" w:color="auto"/>
            <w:bottom w:val="none" w:sz="0" w:space="0" w:color="auto"/>
            <w:right w:val="none" w:sz="0" w:space="0" w:color="auto"/>
          </w:divBdr>
        </w:div>
        <w:div w:id="1464932620">
          <w:marLeft w:val="480"/>
          <w:marRight w:val="0"/>
          <w:marTop w:val="0"/>
          <w:marBottom w:val="0"/>
          <w:divBdr>
            <w:top w:val="none" w:sz="0" w:space="0" w:color="auto"/>
            <w:left w:val="none" w:sz="0" w:space="0" w:color="auto"/>
            <w:bottom w:val="none" w:sz="0" w:space="0" w:color="auto"/>
            <w:right w:val="none" w:sz="0" w:space="0" w:color="auto"/>
          </w:divBdr>
        </w:div>
        <w:div w:id="1496726323">
          <w:marLeft w:val="480"/>
          <w:marRight w:val="0"/>
          <w:marTop w:val="0"/>
          <w:marBottom w:val="0"/>
          <w:divBdr>
            <w:top w:val="none" w:sz="0" w:space="0" w:color="auto"/>
            <w:left w:val="none" w:sz="0" w:space="0" w:color="auto"/>
            <w:bottom w:val="none" w:sz="0" w:space="0" w:color="auto"/>
            <w:right w:val="none" w:sz="0" w:space="0" w:color="auto"/>
          </w:divBdr>
        </w:div>
        <w:div w:id="862354903">
          <w:marLeft w:val="480"/>
          <w:marRight w:val="0"/>
          <w:marTop w:val="0"/>
          <w:marBottom w:val="0"/>
          <w:divBdr>
            <w:top w:val="none" w:sz="0" w:space="0" w:color="auto"/>
            <w:left w:val="none" w:sz="0" w:space="0" w:color="auto"/>
            <w:bottom w:val="none" w:sz="0" w:space="0" w:color="auto"/>
            <w:right w:val="none" w:sz="0" w:space="0" w:color="auto"/>
          </w:divBdr>
        </w:div>
        <w:div w:id="523599520">
          <w:marLeft w:val="480"/>
          <w:marRight w:val="0"/>
          <w:marTop w:val="0"/>
          <w:marBottom w:val="0"/>
          <w:divBdr>
            <w:top w:val="none" w:sz="0" w:space="0" w:color="auto"/>
            <w:left w:val="none" w:sz="0" w:space="0" w:color="auto"/>
            <w:bottom w:val="none" w:sz="0" w:space="0" w:color="auto"/>
            <w:right w:val="none" w:sz="0" w:space="0" w:color="auto"/>
          </w:divBdr>
        </w:div>
        <w:div w:id="11954444">
          <w:marLeft w:val="480"/>
          <w:marRight w:val="0"/>
          <w:marTop w:val="0"/>
          <w:marBottom w:val="0"/>
          <w:divBdr>
            <w:top w:val="none" w:sz="0" w:space="0" w:color="auto"/>
            <w:left w:val="none" w:sz="0" w:space="0" w:color="auto"/>
            <w:bottom w:val="none" w:sz="0" w:space="0" w:color="auto"/>
            <w:right w:val="none" w:sz="0" w:space="0" w:color="auto"/>
          </w:divBdr>
        </w:div>
        <w:div w:id="647126314">
          <w:marLeft w:val="480"/>
          <w:marRight w:val="0"/>
          <w:marTop w:val="0"/>
          <w:marBottom w:val="0"/>
          <w:divBdr>
            <w:top w:val="none" w:sz="0" w:space="0" w:color="auto"/>
            <w:left w:val="none" w:sz="0" w:space="0" w:color="auto"/>
            <w:bottom w:val="none" w:sz="0" w:space="0" w:color="auto"/>
            <w:right w:val="none" w:sz="0" w:space="0" w:color="auto"/>
          </w:divBdr>
        </w:div>
        <w:div w:id="1916161617">
          <w:marLeft w:val="480"/>
          <w:marRight w:val="0"/>
          <w:marTop w:val="0"/>
          <w:marBottom w:val="0"/>
          <w:divBdr>
            <w:top w:val="none" w:sz="0" w:space="0" w:color="auto"/>
            <w:left w:val="none" w:sz="0" w:space="0" w:color="auto"/>
            <w:bottom w:val="none" w:sz="0" w:space="0" w:color="auto"/>
            <w:right w:val="none" w:sz="0" w:space="0" w:color="auto"/>
          </w:divBdr>
        </w:div>
        <w:div w:id="458453505">
          <w:marLeft w:val="480"/>
          <w:marRight w:val="0"/>
          <w:marTop w:val="0"/>
          <w:marBottom w:val="0"/>
          <w:divBdr>
            <w:top w:val="none" w:sz="0" w:space="0" w:color="auto"/>
            <w:left w:val="none" w:sz="0" w:space="0" w:color="auto"/>
            <w:bottom w:val="none" w:sz="0" w:space="0" w:color="auto"/>
            <w:right w:val="none" w:sz="0" w:space="0" w:color="auto"/>
          </w:divBdr>
        </w:div>
        <w:div w:id="1597320645">
          <w:marLeft w:val="480"/>
          <w:marRight w:val="0"/>
          <w:marTop w:val="0"/>
          <w:marBottom w:val="0"/>
          <w:divBdr>
            <w:top w:val="none" w:sz="0" w:space="0" w:color="auto"/>
            <w:left w:val="none" w:sz="0" w:space="0" w:color="auto"/>
            <w:bottom w:val="none" w:sz="0" w:space="0" w:color="auto"/>
            <w:right w:val="none" w:sz="0" w:space="0" w:color="auto"/>
          </w:divBdr>
        </w:div>
        <w:div w:id="925502101">
          <w:marLeft w:val="480"/>
          <w:marRight w:val="0"/>
          <w:marTop w:val="0"/>
          <w:marBottom w:val="0"/>
          <w:divBdr>
            <w:top w:val="none" w:sz="0" w:space="0" w:color="auto"/>
            <w:left w:val="none" w:sz="0" w:space="0" w:color="auto"/>
            <w:bottom w:val="none" w:sz="0" w:space="0" w:color="auto"/>
            <w:right w:val="none" w:sz="0" w:space="0" w:color="auto"/>
          </w:divBdr>
        </w:div>
        <w:div w:id="1502355365">
          <w:marLeft w:val="480"/>
          <w:marRight w:val="0"/>
          <w:marTop w:val="0"/>
          <w:marBottom w:val="0"/>
          <w:divBdr>
            <w:top w:val="none" w:sz="0" w:space="0" w:color="auto"/>
            <w:left w:val="none" w:sz="0" w:space="0" w:color="auto"/>
            <w:bottom w:val="none" w:sz="0" w:space="0" w:color="auto"/>
            <w:right w:val="none" w:sz="0" w:space="0" w:color="auto"/>
          </w:divBdr>
        </w:div>
        <w:div w:id="1801264389">
          <w:marLeft w:val="480"/>
          <w:marRight w:val="0"/>
          <w:marTop w:val="0"/>
          <w:marBottom w:val="0"/>
          <w:divBdr>
            <w:top w:val="none" w:sz="0" w:space="0" w:color="auto"/>
            <w:left w:val="none" w:sz="0" w:space="0" w:color="auto"/>
            <w:bottom w:val="none" w:sz="0" w:space="0" w:color="auto"/>
            <w:right w:val="none" w:sz="0" w:space="0" w:color="auto"/>
          </w:divBdr>
        </w:div>
        <w:div w:id="1360157473">
          <w:marLeft w:val="480"/>
          <w:marRight w:val="0"/>
          <w:marTop w:val="0"/>
          <w:marBottom w:val="0"/>
          <w:divBdr>
            <w:top w:val="none" w:sz="0" w:space="0" w:color="auto"/>
            <w:left w:val="none" w:sz="0" w:space="0" w:color="auto"/>
            <w:bottom w:val="none" w:sz="0" w:space="0" w:color="auto"/>
            <w:right w:val="none" w:sz="0" w:space="0" w:color="auto"/>
          </w:divBdr>
        </w:div>
        <w:div w:id="1848865570">
          <w:marLeft w:val="480"/>
          <w:marRight w:val="0"/>
          <w:marTop w:val="0"/>
          <w:marBottom w:val="0"/>
          <w:divBdr>
            <w:top w:val="none" w:sz="0" w:space="0" w:color="auto"/>
            <w:left w:val="none" w:sz="0" w:space="0" w:color="auto"/>
            <w:bottom w:val="none" w:sz="0" w:space="0" w:color="auto"/>
            <w:right w:val="none" w:sz="0" w:space="0" w:color="auto"/>
          </w:divBdr>
        </w:div>
        <w:div w:id="1996834453">
          <w:marLeft w:val="480"/>
          <w:marRight w:val="0"/>
          <w:marTop w:val="0"/>
          <w:marBottom w:val="0"/>
          <w:divBdr>
            <w:top w:val="none" w:sz="0" w:space="0" w:color="auto"/>
            <w:left w:val="none" w:sz="0" w:space="0" w:color="auto"/>
            <w:bottom w:val="none" w:sz="0" w:space="0" w:color="auto"/>
            <w:right w:val="none" w:sz="0" w:space="0" w:color="auto"/>
          </w:divBdr>
        </w:div>
        <w:div w:id="436019829">
          <w:marLeft w:val="480"/>
          <w:marRight w:val="0"/>
          <w:marTop w:val="0"/>
          <w:marBottom w:val="0"/>
          <w:divBdr>
            <w:top w:val="none" w:sz="0" w:space="0" w:color="auto"/>
            <w:left w:val="none" w:sz="0" w:space="0" w:color="auto"/>
            <w:bottom w:val="none" w:sz="0" w:space="0" w:color="auto"/>
            <w:right w:val="none" w:sz="0" w:space="0" w:color="auto"/>
          </w:divBdr>
        </w:div>
        <w:div w:id="1274021708">
          <w:marLeft w:val="480"/>
          <w:marRight w:val="0"/>
          <w:marTop w:val="0"/>
          <w:marBottom w:val="0"/>
          <w:divBdr>
            <w:top w:val="none" w:sz="0" w:space="0" w:color="auto"/>
            <w:left w:val="none" w:sz="0" w:space="0" w:color="auto"/>
            <w:bottom w:val="none" w:sz="0" w:space="0" w:color="auto"/>
            <w:right w:val="none" w:sz="0" w:space="0" w:color="auto"/>
          </w:divBdr>
        </w:div>
        <w:div w:id="837691576">
          <w:marLeft w:val="480"/>
          <w:marRight w:val="0"/>
          <w:marTop w:val="0"/>
          <w:marBottom w:val="0"/>
          <w:divBdr>
            <w:top w:val="none" w:sz="0" w:space="0" w:color="auto"/>
            <w:left w:val="none" w:sz="0" w:space="0" w:color="auto"/>
            <w:bottom w:val="none" w:sz="0" w:space="0" w:color="auto"/>
            <w:right w:val="none" w:sz="0" w:space="0" w:color="auto"/>
          </w:divBdr>
        </w:div>
        <w:div w:id="1595747936">
          <w:marLeft w:val="480"/>
          <w:marRight w:val="0"/>
          <w:marTop w:val="0"/>
          <w:marBottom w:val="0"/>
          <w:divBdr>
            <w:top w:val="none" w:sz="0" w:space="0" w:color="auto"/>
            <w:left w:val="none" w:sz="0" w:space="0" w:color="auto"/>
            <w:bottom w:val="none" w:sz="0" w:space="0" w:color="auto"/>
            <w:right w:val="none" w:sz="0" w:space="0" w:color="auto"/>
          </w:divBdr>
        </w:div>
        <w:div w:id="570114406">
          <w:marLeft w:val="480"/>
          <w:marRight w:val="0"/>
          <w:marTop w:val="0"/>
          <w:marBottom w:val="0"/>
          <w:divBdr>
            <w:top w:val="none" w:sz="0" w:space="0" w:color="auto"/>
            <w:left w:val="none" w:sz="0" w:space="0" w:color="auto"/>
            <w:bottom w:val="none" w:sz="0" w:space="0" w:color="auto"/>
            <w:right w:val="none" w:sz="0" w:space="0" w:color="auto"/>
          </w:divBdr>
        </w:div>
        <w:div w:id="956373922">
          <w:marLeft w:val="480"/>
          <w:marRight w:val="0"/>
          <w:marTop w:val="0"/>
          <w:marBottom w:val="0"/>
          <w:divBdr>
            <w:top w:val="none" w:sz="0" w:space="0" w:color="auto"/>
            <w:left w:val="none" w:sz="0" w:space="0" w:color="auto"/>
            <w:bottom w:val="none" w:sz="0" w:space="0" w:color="auto"/>
            <w:right w:val="none" w:sz="0" w:space="0" w:color="auto"/>
          </w:divBdr>
        </w:div>
        <w:div w:id="1027560422">
          <w:marLeft w:val="480"/>
          <w:marRight w:val="0"/>
          <w:marTop w:val="0"/>
          <w:marBottom w:val="0"/>
          <w:divBdr>
            <w:top w:val="none" w:sz="0" w:space="0" w:color="auto"/>
            <w:left w:val="none" w:sz="0" w:space="0" w:color="auto"/>
            <w:bottom w:val="none" w:sz="0" w:space="0" w:color="auto"/>
            <w:right w:val="none" w:sz="0" w:space="0" w:color="auto"/>
          </w:divBdr>
        </w:div>
        <w:div w:id="1866094974">
          <w:marLeft w:val="480"/>
          <w:marRight w:val="0"/>
          <w:marTop w:val="0"/>
          <w:marBottom w:val="0"/>
          <w:divBdr>
            <w:top w:val="none" w:sz="0" w:space="0" w:color="auto"/>
            <w:left w:val="none" w:sz="0" w:space="0" w:color="auto"/>
            <w:bottom w:val="none" w:sz="0" w:space="0" w:color="auto"/>
            <w:right w:val="none" w:sz="0" w:space="0" w:color="auto"/>
          </w:divBdr>
        </w:div>
        <w:div w:id="691030565">
          <w:marLeft w:val="480"/>
          <w:marRight w:val="0"/>
          <w:marTop w:val="0"/>
          <w:marBottom w:val="0"/>
          <w:divBdr>
            <w:top w:val="none" w:sz="0" w:space="0" w:color="auto"/>
            <w:left w:val="none" w:sz="0" w:space="0" w:color="auto"/>
            <w:bottom w:val="none" w:sz="0" w:space="0" w:color="auto"/>
            <w:right w:val="none" w:sz="0" w:space="0" w:color="auto"/>
          </w:divBdr>
        </w:div>
        <w:div w:id="2135058552">
          <w:marLeft w:val="480"/>
          <w:marRight w:val="0"/>
          <w:marTop w:val="0"/>
          <w:marBottom w:val="0"/>
          <w:divBdr>
            <w:top w:val="none" w:sz="0" w:space="0" w:color="auto"/>
            <w:left w:val="none" w:sz="0" w:space="0" w:color="auto"/>
            <w:bottom w:val="none" w:sz="0" w:space="0" w:color="auto"/>
            <w:right w:val="none" w:sz="0" w:space="0" w:color="auto"/>
          </w:divBdr>
        </w:div>
        <w:div w:id="1453010828">
          <w:marLeft w:val="480"/>
          <w:marRight w:val="0"/>
          <w:marTop w:val="0"/>
          <w:marBottom w:val="0"/>
          <w:divBdr>
            <w:top w:val="none" w:sz="0" w:space="0" w:color="auto"/>
            <w:left w:val="none" w:sz="0" w:space="0" w:color="auto"/>
            <w:bottom w:val="none" w:sz="0" w:space="0" w:color="auto"/>
            <w:right w:val="none" w:sz="0" w:space="0" w:color="auto"/>
          </w:divBdr>
        </w:div>
        <w:div w:id="270628335">
          <w:marLeft w:val="480"/>
          <w:marRight w:val="0"/>
          <w:marTop w:val="0"/>
          <w:marBottom w:val="0"/>
          <w:divBdr>
            <w:top w:val="none" w:sz="0" w:space="0" w:color="auto"/>
            <w:left w:val="none" w:sz="0" w:space="0" w:color="auto"/>
            <w:bottom w:val="none" w:sz="0" w:space="0" w:color="auto"/>
            <w:right w:val="none" w:sz="0" w:space="0" w:color="auto"/>
          </w:divBdr>
        </w:div>
        <w:div w:id="2004116383">
          <w:marLeft w:val="480"/>
          <w:marRight w:val="0"/>
          <w:marTop w:val="0"/>
          <w:marBottom w:val="0"/>
          <w:divBdr>
            <w:top w:val="none" w:sz="0" w:space="0" w:color="auto"/>
            <w:left w:val="none" w:sz="0" w:space="0" w:color="auto"/>
            <w:bottom w:val="none" w:sz="0" w:space="0" w:color="auto"/>
            <w:right w:val="none" w:sz="0" w:space="0" w:color="auto"/>
          </w:divBdr>
        </w:div>
        <w:div w:id="1284266351">
          <w:marLeft w:val="480"/>
          <w:marRight w:val="0"/>
          <w:marTop w:val="0"/>
          <w:marBottom w:val="0"/>
          <w:divBdr>
            <w:top w:val="none" w:sz="0" w:space="0" w:color="auto"/>
            <w:left w:val="none" w:sz="0" w:space="0" w:color="auto"/>
            <w:bottom w:val="none" w:sz="0" w:space="0" w:color="auto"/>
            <w:right w:val="none" w:sz="0" w:space="0" w:color="auto"/>
          </w:divBdr>
        </w:div>
        <w:div w:id="954874278">
          <w:marLeft w:val="480"/>
          <w:marRight w:val="0"/>
          <w:marTop w:val="0"/>
          <w:marBottom w:val="0"/>
          <w:divBdr>
            <w:top w:val="none" w:sz="0" w:space="0" w:color="auto"/>
            <w:left w:val="none" w:sz="0" w:space="0" w:color="auto"/>
            <w:bottom w:val="none" w:sz="0" w:space="0" w:color="auto"/>
            <w:right w:val="none" w:sz="0" w:space="0" w:color="auto"/>
          </w:divBdr>
        </w:div>
        <w:div w:id="1589925908">
          <w:marLeft w:val="480"/>
          <w:marRight w:val="0"/>
          <w:marTop w:val="0"/>
          <w:marBottom w:val="0"/>
          <w:divBdr>
            <w:top w:val="none" w:sz="0" w:space="0" w:color="auto"/>
            <w:left w:val="none" w:sz="0" w:space="0" w:color="auto"/>
            <w:bottom w:val="none" w:sz="0" w:space="0" w:color="auto"/>
            <w:right w:val="none" w:sz="0" w:space="0" w:color="auto"/>
          </w:divBdr>
        </w:div>
        <w:div w:id="437717676">
          <w:marLeft w:val="480"/>
          <w:marRight w:val="0"/>
          <w:marTop w:val="0"/>
          <w:marBottom w:val="0"/>
          <w:divBdr>
            <w:top w:val="none" w:sz="0" w:space="0" w:color="auto"/>
            <w:left w:val="none" w:sz="0" w:space="0" w:color="auto"/>
            <w:bottom w:val="none" w:sz="0" w:space="0" w:color="auto"/>
            <w:right w:val="none" w:sz="0" w:space="0" w:color="auto"/>
          </w:divBdr>
        </w:div>
        <w:div w:id="847136948">
          <w:marLeft w:val="480"/>
          <w:marRight w:val="0"/>
          <w:marTop w:val="0"/>
          <w:marBottom w:val="0"/>
          <w:divBdr>
            <w:top w:val="none" w:sz="0" w:space="0" w:color="auto"/>
            <w:left w:val="none" w:sz="0" w:space="0" w:color="auto"/>
            <w:bottom w:val="none" w:sz="0" w:space="0" w:color="auto"/>
            <w:right w:val="none" w:sz="0" w:space="0" w:color="auto"/>
          </w:divBdr>
        </w:div>
        <w:div w:id="244389169">
          <w:marLeft w:val="480"/>
          <w:marRight w:val="0"/>
          <w:marTop w:val="0"/>
          <w:marBottom w:val="0"/>
          <w:divBdr>
            <w:top w:val="none" w:sz="0" w:space="0" w:color="auto"/>
            <w:left w:val="none" w:sz="0" w:space="0" w:color="auto"/>
            <w:bottom w:val="none" w:sz="0" w:space="0" w:color="auto"/>
            <w:right w:val="none" w:sz="0" w:space="0" w:color="auto"/>
          </w:divBdr>
        </w:div>
        <w:div w:id="23482319">
          <w:marLeft w:val="480"/>
          <w:marRight w:val="0"/>
          <w:marTop w:val="0"/>
          <w:marBottom w:val="0"/>
          <w:divBdr>
            <w:top w:val="none" w:sz="0" w:space="0" w:color="auto"/>
            <w:left w:val="none" w:sz="0" w:space="0" w:color="auto"/>
            <w:bottom w:val="none" w:sz="0" w:space="0" w:color="auto"/>
            <w:right w:val="none" w:sz="0" w:space="0" w:color="auto"/>
          </w:divBdr>
        </w:div>
        <w:div w:id="1003750753">
          <w:marLeft w:val="480"/>
          <w:marRight w:val="0"/>
          <w:marTop w:val="0"/>
          <w:marBottom w:val="0"/>
          <w:divBdr>
            <w:top w:val="none" w:sz="0" w:space="0" w:color="auto"/>
            <w:left w:val="none" w:sz="0" w:space="0" w:color="auto"/>
            <w:bottom w:val="none" w:sz="0" w:space="0" w:color="auto"/>
            <w:right w:val="none" w:sz="0" w:space="0" w:color="auto"/>
          </w:divBdr>
        </w:div>
        <w:div w:id="323631240">
          <w:marLeft w:val="480"/>
          <w:marRight w:val="0"/>
          <w:marTop w:val="0"/>
          <w:marBottom w:val="0"/>
          <w:divBdr>
            <w:top w:val="none" w:sz="0" w:space="0" w:color="auto"/>
            <w:left w:val="none" w:sz="0" w:space="0" w:color="auto"/>
            <w:bottom w:val="none" w:sz="0" w:space="0" w:color="auto"/>
            <w:right w:val="none" w:sz="0" w:space="0" w:color="auto"/>
          </w:divBdr>
        </w:div>
        <w:div w:id="1061517099">
          <w:marLeft w:val="480"/>
          <w:marRight w:val="0"/>
          <w:marTop w:val="0"/>
          <w:marBottom w:val="0"/>
          <w:divBdr>
            <w:top w:val="none" w:sz="0" w:space="0" w:color="auto"/>
            <w:left w:val="none" w:sz="0" w:space="0" w:color="auto"/>
            <w:bottom w:val="none" w:sz="0" w:space="0" w:color="auto"/>
            <w:right w:val="none" w:sz="0" w:space="0" w:color="auto"/>
          </w:divBdr>
        </w:div>
        <w:div w:id="1278684995">
          <w:marLeft w:val="480"/>
          <w:marRight w:val="0"/>
          <w:marTop w:val="0"/>
          <w:marBottom w:val="0"/>
          <w:divBdr>
            <w:top w:val="none" w:sz="0" w:space="0" w:color="auto"/>
            <w:left w:val="none" w:sz="0" w:space="0" w:color="auto"/>
            <w:bottom w:val="none" w:sz="0" w:space="0" w:color="auto"/>
            <w:right w:val="none" w:sz="0" w:space="0" w:color="auto"/>
          </w:divBdr>
        </w:div>
        <w:div w:id="731393729">
          <w:marLeft w:val="480"/>
          <w:marRight w:val="0"/>
          <w:marTop w:val="0"/>
          <w:marBottom w:val="0"/>
          <w:divBdr>
            <w:top w:val="none" w:sz="0" w:space="0" w:color="auto"/>
            <w:left w:val="none" w:sz="0" w:space="0" w:color="auto"/>
            <w:bottom w:val="none" w:sz="0" w:space="0" w:color="auto"/>
            <w:right w:val="none" w:sz="0" w:space="0" w:color="auto"/>
          </w:divBdr>
        </w:div>
        <w:div w:id="1601836073">
          <w:marLeft w:val="480"/>
          <w:marRight w:val="0"/>
          <w:marTop w:val="0"/>
          <w:marBottom w:val="0"/>
          <w:divBdr>
            <w:top w:val="none" w:sz="0" w:space="0" w:color="auto"/>
            <w:left w:val="none" w:sz="0" w:space="0" w:color="auto"/>
            <w:bottom w:val="none" w:sz="0" w:space="0" w:color="auto"/>
            <w:right w:val="none" w:sz="0" w:space="0" w:color="auto"/>
          </w:divBdr>
        </w:div>
        <w:div w:id="890772203">
          <w:marLeft w:val="480"/>
          <w:marRight w:val="0"/>
          <w:marTop w:val="0"/>
          <w:marBottom w:val="0"/>
          <w:divBdr>
            <w:top w:val="none" w:sz="0" w:space="0" w:color="auto"/>
            <w:left w:val="none" w:sz="0" w:space="0" w:color="auto"/>
            <w:bottom w:val="none" w:sz="0" w:space="0" w:color="auto"/>
            <w:right w:val="none" w:sz="0" w:space="0" w:color="auto"/>
          </w:divBdr>
        </w:div>
        <w:div w:id="1978098393">
          <w:marLeft w:val="480"/>
          <w:marRight w:val="0"/>
          <w:marTop w:val="0"/>
          <w:marBottom w:val="0"/>
          <w:divBdr>
            <w:top w:val="none" w:sz="0" w:space="0" w:color="auto"/>
            <w:left w:val="none" w:sz="0" w:space="0" w:color="auto"/>
            <w:bottom w:val="none" w:sz="0" w:space="0" w:color="auto"/>
            <w:right w:val="none" w:sz="0" w:space="0" w:color="auto"/>
          </w:divBdr>
        </w:div>
        <w:div w:id="530462879">
          <w:marLeft w:val="480"/>
          <w:marRight w:val="0"/>
          <w:marTop w:val="0"/>
          <w:marBottom w:val="0"/>
          <w:divBdr>
            <w:top w:val="none" w:sz="0" w:space="0" w:color="auto"/>
            <w:left w:val="none" w:sz="0" w:space="0" w:color="auto"/>
            <w:bottom w:val="none" w:sz="0" w:space="0" w:color="auto"/>
            <w:right w:val="none" w:sz="0" w:space="0" w:color="auto"/>
          </w:divBdr>
        </w:div>
        <w:div w:id="409543153">
          <w:marLeft w:val="480"/>
          <w:marRight w:val="0"/>
          <w:marTop w:val="0"/>
          <w:marBottom w:val="0"/>
          <w:divBdr>
            <w:top w:val="none" w:sz="0" w:space="0" w:color="auto"/>
            <w:left w:val="none" w:sz="0" w:space="0" w:color="auto"/>
            <w:bottom w:val="none" w:sz="0" w:space="0" w:color="auto"/>
            <w:right w:val="none" w:sz="0" w:space="0" w:color="auto"/>
          </w:divBdr>
        </w:div>
        <w:div w:id="1144783611">
          <w:marLeft w:val="480"/>
          <w:marRight w:val="0"/>
          <w:marTop w:val="0"/>
          <w:marBottom w:val="0"/>
          <w:divBdr>
            <w:top w:val="none" w:sz="0" w:space="0" w:color="auto"/>
            <w:left w:val="none" w:sz="0" w:space="0" w:color="auto"/>
            <w:bottom w:val="none" w:sz="0" w:space="0" w:color="auto"/>
            <w:right w:val="none" w:sz="0" w:space="0" w:color="auto"/>
          </w:divBdr>
        </w:div>
        <w:div w:id="1648702424">
          <w:marLeft w:val="480"/>
          <w:marRight w:val="0"/>
          <w:marTop w:val="0"/>
          <w:marBottom w:val="0"/>
          <w:divBdr>
            <w:top w:val="none" w:sz="0" w:space="0" w:color="auto"/>
            <w:left w:val="none" w:sz="0" w:space="0" w:color="auto"/>
            <w:bottom w:val="none" w:sz="0" w:space="0" w:color="auto"/>
            <w:right w:val="none" w:sz="0" w:space="0" w:color="auto"/>
          </w:divBdr>
        </w:div>
      </w:divsChild>
    </w:div>
    <w:div w:id="520977174">
      <w:bodyDiv w:val="1"/>
      <w:marLeft w:val="0"/>
      <w:marRight w:val="0"/>
      <w:marTop w:val="0"/>
      <w:marBottom w:val="0"/>
      <w:divBdr>
        <w:top w:val="none" w:sz="0" w:space="0" w:color="auto"/>
        <w:left w:val="none" w:sz="0" w:space="0" w:color="auto"/>
        <w:bottom w:val="none" w:sz="0" w:space="0" w:color="auto"/>
        <w:right w:val="none" w:sz="0" w:space="0" w:color="auto"/>
      </w:divBdr>
    </w:div>
    <w:div w:id="521163095">
      <w:bodyDiv w:val="1"/>
      <w:marLeft w:val="0"/>
      <w:marRight w:val="0"/>
      <w:marTop w:val="0"/>
      <w:marBottom w:val="0"/>
      <w:divBdr>
        <w:top w:val="none" w:sz="0" w:space="0" w:color="auto"/>
        <w:left w:val="none" w:sz="0" w:space="0" w:color="auto"/>
        <w:bottom w:val="none" w:sz="0" w:space="0" w:color="auto"/>
        <w:right w:val="none" w:sz="0" w:space="0" w:color="auto"/>
      </w:divBdr>
    </w:div>
    <w:div w:id="521624902">
      <w:bodyDiv w:val="1"/>
      <w:marLeft w:val="0"/>
      <w:marRight w:val="0"/>
      <w:marTop w:val="0"/>
      <w:marBottom w:val="0"/>
      <w:divBdr>
        <w:top w:val="none" w:sz="0" w:space="0" w:color="auto"/>
        <w:left w:val="none" w:sz="0" w:space="0" w:color="auto"/>
        <w:bottom w:val="none" w:sz="0" w:space="0" w:color="auto"/>
        <w:right w:val="none" w:sz="0" w:space="0" w:color="auto"/>
      </w:divBdr>
    </w:div>
    <w:div w:id="521624966">
      <w:bodyDiv w:val="1"/>
      <w:marLeft w:val="0"/>
      <w:marRight w:val="0"/>
      <w:marTop w:val="0"/>
      <w:marBottom w:val="0"/>
      <w:divBdr>
        <w:top w:val="none" w:sz="0" w:space="0" w:color="auto"/>
        <w:left w:val="none" w:sz="0" w:space="0" w:color="auto"/>
        <w:bottom w:val="none" w:sz="0" w:space="0" w:color="auto"/>
        <w:right w:val="none" w:sz="0" w:space="0" w:color="auto"/>
      </w:divBdr>
    </w:div>
    <w:div w:id="522792367">
      <w:bodyDiv w:val="1"/>
      <w:marLeft w:val="0"/>
      <w:marRight w:val="0"/>
      <w:marTop w:val="0"/>
      <w:marBottom w:val="0"/>
      <w:divBdr>
        <w:top w:val="none" w:sz="0" w:space="0" w:color="auto"/>
        <w:left w:val="none" w:sz="0" w:space="0" w:color="auto"/>
        <w:bottom w:val="none" w:sz="0" w:space="0" w:color="auto"/>
        <w:right w:val="none" w:sz="0" w:space="0" w:color="auto"/>
      </w:divBdr>
    </w:div>
    <w:div w:id="522943135">
      <w:bodyDiv w:val="1"/>
      <w:marLeft w:val="0"/>
      <w:marRight w:val="0"/>
      <w:marTop w:val="0"/>
      <w:marBottom w:val="0"/>
      <w:divBdr>
        <w:top w:val="none" w:sz="0" w:space="0" w:color="auto"/>
        <w:left w:val="none" w:sz="0" w:space="0" w:color="auto"/>
        <w:bottom w:val="none" w:sz="0" w:space="0" w:color="auto"/>
        <w:right w:val="none" w:sz="0" w:space="0" w:color="auto"/>
      </w:divBdr>
    </w:div>
    <w:div w:id="522980927">
      <w:bodyDiv w:val="1"/>
      <w:marLeft w:val="0"/>
      <w:marRight w:val="0"/>
      <w:marTop w:val="0"/>
      <w:marBottom w:val="0"/>
      <w:divBdr>
        <w:top w:val="none" w:sz="0" w:space="0" w:color="auto"/>
        <w:left w:val="none" w:sz="0" w:space="0" w:color="auto"/>
        <w:bottom w:val="none" w:sz="0" w:space="0" w:color="auto"/>
        <w:right w:val="none" w:sz="0" w:space="0" w:color="auto"/>
      </w:divBdr>
    </w:div>
    <w:div w:id="523329027">
      <w:bodyDiv w:val="1"/>
      <w:marLeft w:val="0"/>
      <w:marRight w:val="0"/>
      <w:marTop w:val="0"/>
      <w:marBottom w:val="0"/>
      <w:divBdr>
        <w:top w:val="none" w:sz="0" w:space="0" w:color="auto"/>
        <w:left w:val="none" w:sz="0" w:space="0" w:color="auto"/>
        <w:bottom w:val="none" w:sz="0" w:space="0" w:color="auto"/>
        <w:right w:val="none" w:sz="0" w:space="0" w:color="auto"/>
      </w:divBdr>
    </w:div>
    <w:div w:id="524448019">
      <w:bodyDiv w:val="1"/>
      <w:marLeft w:val="0"/>
      <w:marRight w:val="0"/>
      <w:marTop w:val="0"/>
      <w:marBottom w:val="0"/>
      <w:divBdr>
        <w:top w:val="none" w:sz="0" w:space="0" w:color="auto"/>
        <w:left w:val="none" w:sz="0" w:space="0" w:color="auto"/>
        <w:bottom w:val="none" w:sz="0" w:space="0" w:color="auto"/>
        <w:right w:val="none" w:sz="0" w:space="0" w:color="auto"/>
      </w:divBdr>
    </w:div>
    <w:div w:id="524901151">
      <w:bodyDiv w:val="1"/>
      <w:marLeft w:val="0"/>
      <w:marRight w:val="0"/>
      <w:marTop w:val="0"/>
      <w:marBottom w:val="0"/>
      <w:divBdr>
        <w:top w:val="none" w:sz="0" w:space="0" w:color="auto"/>
        <w:left w:val="none" w:sz="0" w:space="0" w:color="auto"/>
        <w:bottom w:val="none" w:sz="0" w:space="0" w:color="auto"/>
        <w:right w:val="none" w:sz="0" w:space="0" w:color="auto"/>
      </w:divBdr>
    </w:div>
    <w:div w:id="525485412">
      <w:bodyDiv w:val="1"/>
      <w:marLeft w:val="0"/>
      <w:marRight w:val="0"/>
      <w:marTop w:val="0"/>
      <w:marBottom w:val="0"/>
      <w:divBdr>
        <w:top w:val="none" w:sz="0" w:space="0" w:color="auto"/>
        <w:left w:val="none" w:sz="0" w:space="0" w:color="auto"/>
        <w:bottom w:val="none" w:sz="0" w:space="0" w:color="auto"/>
        <w:right w:val="none" w:sz="0" w:space="0" w:color="auto"/>
      </w:divBdr>
    </w:div>
    <w:div w:id="526677810">
      <w:bodyDiv w:val="1"/>
      <w:marLeft w:val="0"/>
      <w:marRight w:val="0"/>
      <w:marTop w:val="0"/>
      <w:marBottom w:val="0"/>
      <w:divBdr>
        <w:top w:val="none" w:sz="0" w:space="0" w:color="auto"/>
        <w:left w:val="none" w:sz="0" w:space="0" w:color="auto"/>
        <w:bottom w:val="none" w:sz="0" w:space="0" w:color="auto"/>
        <w:right w:val="none" w:sz="0" w:space="0" w:color="auto"/>
      </w:divBdr>
    </w:div>
    <w:div w:id="526715754">
      <w:bodyDiv w:val="1"/>
      <w:marLeft w:val="0"/>
      <w:marRight w:val="0"/>
      <w:marTop w:val="0"/>
      <w:marBottom w:val="0"/>
      <w:divBdr>
        <w:top w:val="none" w:sz="0" w:space="0" w:color="auto"/>
        <w:left w:val="none" w:sz="0" w:space="0" w:color="auto"/>
        <w:bottom w:val="none" w:sz="0" w:space="0" w:color="auto"/>
        <w:right w:val="none" w:sz="0" w:space="0" w:color="auto"/>
      </w:divBdr>
    </w:div>
    <w:div w:id="527180802">
      <w:bodyDiv w:val="1"/>
      <w:marLeft w:val="0"/>
      <w:marRight w:val="0"/>
      <w:marTop w:val="0"/>
      <w:marBottom w:val="0"/>
      <w:divBdr>
        <w:top w:val="none" w:sz="0" w:space="0" w:color="auto"/>
        <w:left w:val="none" w:sz="0" w:space="0" w:color="auto"/>
        <w:bottom w:val="none" w:sz="0" w:space="0" w:color="auto"/>
        <w:right w:val="none" w:sz="0" w:space="0" w:color="auto"/>
      </w:divBdr>
    </w:div>
    <w:div w:id="527256483">
      <w:bodyDiv w:val="1"/>
      <w:marLeft w:val="0"/>
      <w:marRight w:val="0"/>
      <w:marTop w:val="0"/>
      <w:marBottom w:val="0"/>
      <w:divBdr>
        <w:top w:val="none" w:sz="0" w:space="0" w:color="auto"/>
        <w:left w:val="none" w:sz="0" w:space="0" w:color="auto"/>
        <w:bottom w:val="none" w:sz="0" w:space="0" w:color="auto"/>
        <w:right w:val="none" w:sz="0" w:space="0" w:color="auto"/>
      </w:divBdr>
    </w:div>
    <w:div w:id="527569823">
      <w:bodyDiv w:val="1"/>
      <w:marLeft w:val="0"/>
      <w:marRight w:val="0"/>
      <w:marTop w:val="0"/>
      <w:marBottom w:val="0"/>
      <w:divBdr>
        <w:top w:val="none" w:sz="0" w:space="0" w:color="auto"/>
        <w:left w:val="none" w:sz="0" w:space="0" w:color="auto"/>
        <w:bottom w:val="none" w:sz="0" w:space="0" w:color="auto"/>
        <w:right w:val="none" w:sz="0" w:space="0" w:color="auto"/>
      </w:divBdr>
    </w:div>
    <w:div w:id="527571173">
      <w:bodyDiv w:val="1"/>
      <w:marLeft w:val="0"/>
      <w:marRight w:val="0"/>
      <w:marTop w:val="0"/>
      <w:marBottom w:val="0"/>
      <w:divBdr>
        <w:top w:val="none" w:sz="0" w:space="0" w:color="auto"/>
        <w:left w:val="none" w:sz="0" w:space="0" w:color="auto"/>
        <w:bottom w:val="none" w:sz="0" w:space="0" w:color="auto"/>
        <w:right w:val="none" w:sz="0" w:space="0" w:color="auto"/>
      </w:divBdr>
    </w:div>
    <w:div w:id="527792570">
      <w:bodyDiv w:val="1"/>
      <w:marLeft w:val="0"/>
      <w:marRight w:val="0"/>
      <w:marTop w:val="0"/>
      <w:marBottom w:val="0"/>
      <w:divBdr>
        <w:top w:val="none" w:sz="0" w:space="0" w:color="auto"/>
        <w:left w:val="none" w:sz="0" w:space="0" w:color="auto"/>
        <w:bottom w:val="none" w:sz="0" w:space="0" w:color="auto"/>
        <w:right w:val="none" w:sz="0" w:space="0" w:color="auto"/>
      </w:divBdr>
    </w:div>
    <w:div w:id="528104274">
      <w:bodyDiv w:val="1"/>
      <w:marLeft w:val="0"/>
      <w:marRight w:val="0"/>
      <w:marTop w:val="0"/>
      <w:marBottom w:val="0"/>
      <w:divBdr>
        <w:top w:val="none" w:sz="0" w:space="0" w:color="auto"/>
        <w:left w:val="none" w:sz="0" w:space="0" w:color="auto"/>
        <w:bottom w:val="none" w:sz="0" w:space="0" w:color="auto"/>
        <w:right w:val="none" w:sz="0" w:space="0" w:color="auto"/>
      </w:divBdr>
    </w:div>
    <w:div w:id="528373902">
      <w:bodyDiv w:val="1"/>
      <w:marLeft w:val="0"/>
      <w:marRight w:val="0"/>
      <w:marTop w:val="0"/>
      <w:marBottom w:val="0"/>
      <w:divBdr>
        <w:top w:val="none" w:sz="0" w:space="0" w:color="auto"/>
        <w:left w:val="none" w:sz="0" w:space="0" w:color="auto"/>
        <w:bottom w:val="none" w:sz="0" w:space="0" w:color="auto"/>
        <w:right w:val="none" w:sz="0" w:space="0" w:color="auto"/>
      </w:divBdr>
    </w:div>
    <w:div w:id="530412022">
      <w:bodyDiv w:val="1"/>
      <w:marLeft w:val="0"/>
      <w:marRight w:val="0"/>
      <w:marTop w:val="0"/>
      <w:marBottom w:val="0"/>
      <w:divBdr>
        <w:top w:val="none" w:sz="0" w:space="0" w:color="auto"/>
        <w:left w:val="none" w:sz="0" w:space="0" w:color="auto"/>
        <w:bottom w:val="none" w:sz="0" w:space="0" w:color="auto"/>
        <w:right w:val="none" w:sz="0" w:space="0" w:color="auto"/>
      </w:divBdr>
    </w:div>
    <w:div w:id="531647945">
      <w:bodyDiv w:val="1"/>
      <w:marLeft w:val="0"/>
      <w:marRight w:val="0"/>
      <w:marTop w:val="0"/>
      <w:marBottom w:val="0"/>
      <w:divBdr>
        <w:top w:val="none" w:sz="0" w:space="0" w:color="auto"/>
        <w:left w:val="none" w:sz="0" w:space="0" w:color="auto"/>
        <w:bottom w:val="none" w:sz="0" w:space="0" w:color="auto"/>
        <w:right w:val="none" w:sz="0" w:space="0" w:color="auto"/>
      </w:divBdr>
    </w:div>
    <w:div w:id="532310513">
      <w:bodyDiv w:val="1"/>
      <w:marLeft w:val="0"/>
      <w:marRight w:val="0"/>
      <w:marTop w:val="0"/>
      <w:marBottom w:val="0"/>
      <w:divBdr>
        <w:top w:val="none" w:sz="0" w:space="0" w:color="auto"/>
        <w:left w:val="none" w:sz="0" w:space="0" w:color="auto"/>
        <w:bottom w:val="none" w:sz="0" w:space="0" w:color="auto"/>
        <w:right w:val="none" w:sz="0" w:space="0" w:color="auto"/>
      </w:divBdr>
    </w:div>
    <w:div w:id="532496811">
      <w:bodyDiv w:val="1"/>
      <w:marLeft w:val="0"/>
      <w:marRight w:val="0"/>
      <w:marTop w:val="0"/>
      <w:marBottom w:val="0"/>
      <w:divBdr>
        <w:top w:val="none" w:sz="0" w:space="0" w:color="auto"/>
        <w:left w:val="none" w:sz="0" w:space="0" w:color="auto"/>
        <w:bottom w:val="none" w:sz="0" w:space="0" w:color="auto"/>
        <w:right w:val="none" w:sz="0" w:space="0" w:color="auto"/>
      </w:divBdr>
    </w:div>
    <w:div w:id="532887364">
      <w:bodyDiv w:val="1"/>
      <w:marLeft w:val="0"/>
      <w:marRight w:val="0"/>
      <w:marTop w:val="0"/>
      <w:marBottom w:val="0"/>
      <w:divBdr>
        <w:top w:val="none" w:sz="0" w:space="0" w:color="auto"/>
        <w:left w:val="none" w:sz="0" w:space="0" w:color="auto"/>
        <w:bottom w:val="none" w:sz="0" w:space="0" w:color="auto"/>
        <w:right w:val="none" w:sz="0" w:space="0" w:color="auto"/>
      </w:divBdr>
    </w:div>
    <w:div w:id="532890180">
      <w:bodyDiv w:val="1"/>
      <w:marLeft w:val="0"/>
      <w:marRight w:val="0"/>
      <w:marTop w:val="0"/>
      <w:marBottom w:val="0"/>
      <w:divBdr>
        <w:top w:val="none" w:sz="0" w:space="0" w:color="auto"/>
        <w:left w:val="none" w:sz="0" w:space="0" w:color="auto"/>
        <w:bottom w:val="none" w:sz="0" w:space="0" w:color="auto"/>
        <w:right w:val="none" w:sz="0" w:space="0" w:color="auto"/>
      </w:divBdr>
    </w:div>
    <w:div w:id="534124539">
      <w:bodyDiv w:val="1"/>
      <w:marLeft w:val="0"/>
      <w:marRight w:val="0"/>
      <w:marTop w:val="0"/>
      <w:marBottom w:val="0"/>
      <w:divBdr>
        <w:top w:val="none" w:sz="0" w:space="0" w:color="auto"/>
        <w:left w:val="none" w:sz="0" w:space="0" w:color="auto"/>
        <w:bottom w:val="none" w:sz="0" w:space="0" w:color="auto"/>
        <w:right w:val="none" w:sz="0" w:space="0" w:color="auto"/>
      </w:divBdr>
    </w:div>
    <w:div w:id="534197025">
      <w:bodyDiv w:val="1"/>
      <w:marLeft w:val="0"/>
      <w:marRight w:val="0"/>
      <w:marTop w:val="0"/>
      <w:marBottom w:val="0"/>
      <w:divBdr>
        <w:top w:val="none" w:sz="0" w:space="0" w:color="auto"/>
        <w:left w:val="none" w:sz="0" w:space="0" w:color="auto"/>
        <w:bottom w:val="none" w:sz="0" w:space="0" w:color="auto"/>
        <w:right w:val="none" w:sz="0" w:space="0" w:color="auto"/>
      </w:divBdr>
    </w:div>
    <w:div w:id="534927750">
      <w:bodyDiv w:val="1"/>
      <w:marLeft w:val="0"/>
      <w:marRight w:val="0"/>
      <w:marTop w:val="0"/>
      <w:marBottom w:val="0"/>
      <w:divBdr>
        <w:top w:val="none" w:sz="0" w:space="0" w:color="auto"/>
        <w:left w:val="none" w:sz="0" w:space="0" w:color="auto"/>
        <w:bottom w:val="none" w:sz="0" w:space="0" w:color="auto"/>
        <w:right w:val="none" w:sz="0" w:space="0" w:color="auto"/>
      </w:divBdr>
    </w:div>
    <w:div w:id="535777915">
      <w:bodyDiv w:val="1"/>
      <w:marLeft w:val="0"/>
      <w:marRight w:val="0"/>
      <w:marTop w:val="0"/>
      <w:marBottom w:val="0"/>
      <w:divBdr>
        <w:top w:val="none" w:sz="0" w:space="0" w:color="auto"/>
        <w:left w:val="none" w:sz="0" w:space="0" w:color="auto"/>
        <w:bottom w:val="none" w:sz="0" w:space="0" w:color="auto"/>
        <w:right w:val="none" w:sz="0" w:space="0" w:color="auto"/>
      </w:divBdr>
    </w:div>
    <w:div w:id="536159552">
      <w:bodyDiv w:val="1"/>
      <w:marLeft w:val="0"/>
      <w:marRight w:val="0"/>
      <w:marTop w:val="0"/>
      <w:marBottom w:val="0"/>
      <w:divBdr>
        <w:top w:val="none" w:sz="0" w:space="0" w:color="auto"/>
        <w:left w:val="none" w:sz="0" w:space="0" w:color="auto"/>
        <w:bottom w:val="none" w:sz="0" w:space="0" w:color="auto"/>
        <w:right w:val="none" w:sz="0" w:space="0" w:color="auto"/>
      </w:divBdr>
    </w:div>
    <w:div w:id="536160868">
      <w:bodyDiv w:val="1"/>
      <w:marLeft w:val="0"/>
      <w:marRight w:val="0"/>
      <w:marTop w:val="0"/>
      <w:marBottom w:val="0"/>
      <w:divBdr>
        <w:top w:val="none" w:sz="0" w:space="0" w:color="auto"/>
        <w:left w:val="none" w:sz="0" w:space="0" w:color="auto"/>
        <w:bottom w:val="none" w:sz="0" w:space="0" w:color="auto"/>
        <w:right w:val="none" w:sz="0" w:space="0" w:color="auto"/>
      </w:divBdr>
    </w:div>
    <w:div w:id="536236477">
      <w:bodyDiv w:val="1"/>
      <w:marLeft w:val="0"/>
      <w:marRight w:val="0"/>
      <w:marTop w:val="0"/>
      <w:marBottom w:val="0"/>
      <w:divBdr>
        <w:top w:val="none" w:sz="0" w:space="0" w:color="auto"/>
        <w:left w:val="none" w:sz="0" w:space="0" w:color="auto"/>
        <w:bottom w:val="none" w:sz="0" w:space="0" w:color="auto"/>
        <w:right w:val="none" w:sz="0" w:space="0" w:color="auto"/>
      </w:divBdr>
    </w:div>
    <w:div w:id="536237176">
      <w:bodyDiv w:val="1"/>
      <w:marLeft w:val="0"/>
      <w:marRight w:val="0"/>
      <w:marTop w:val="0"/>
      <w:marBottom w:val="0"/>
      <w:divBdr>
        <w:top w:val="none" w:sz="0" w:space="0" w:color="auto"/>
        <w:left w:val="none" w:sz="0" w:space="0" w:color="auto"/>
        <w:bottom w:val="none" w:sz="0" w:space="0" w:color="auto"/>
        <w:right w:val="none" w:sz="0" w:space="0" w:color="auto"/>
      </w:divBdr>
    </w:div>
    <w:div w:id="536430549">
      <w:bodyDiv w:val="1"/>
      <w:marLeft w:val="0"/>
      <w:marRight w:val="0"/>
      <w:marTop w:val="0"/>
      <w:marBottom w:val="0"/>
      <w:divBdr>
        <w:top w:val="none" w:sz="0" w:space="0" w:color="auto"/>
        <w:left w:val="none" w:sz="0" w:space="0" w:color="auto"/>
        <w:bottom w:val="none" w:sz="0" w:space="0" w:color="auto"/>
        <w:right w:val="none" w:sz="0" w:space="0" w:color="auto"/>
      </w:divBdr>
    </w:div>
    <w:div w:id="536553812">
      <w:bodyDiv w:val="1"/>
      <w:marLeft w:val="0"/>
      <w:marRight w:val="0"/>
      <w:marTop w:val="0"/>
      <w:marBottom w:val="0"/>
      <w:divBdr>
        <w:top w:val="none" w:sz="0" w:space="0" w:color="auto"/>
        <w:left w:val="none" w:sz="0" w:space="0" w:color="auto"/>
        <w:bottom w:val="none" w:sz="0" w:space="0" w:color="auto"/>
        <w:right w:val="none" w:sz="0" w:space="0" w:color="auto"/>
      </w:divBdr>
    </w:div>
    <w:div w:id="537090140">
      <w:bodyDiv w:val="1"/>
      <w:marLeft w:val="0"/>
      <w:marRight w:val="0"/>
      <w:marTop w:val="0"/>
      <w:marBottom w:val="0"/>
      <w:divBdr>
        <w:top w:val="none" w:sz="0" w:space="0" w:color="auto"/>
        <w:left w:val="none" w:sz="0" w:space="0" w:color="auto"/>
        <w:bottom w:val="none" w:sz="0" w:space="0" w:color="auto"/>
        <w:right w:val="none" w:sz="0" w:space="0" w:color="auto"/>
      </w:divBdr>
    </w:div>
    <w:div w:id="538392597">
      <w:bodyDiv w:val="1"/>
      <w:marLeft w:val="0"/>
      <w:marRight w:val="0"/>
      <w:marTop w:val="0"/>
      <w:marBottom w:val="0"/>
      <w:divBdr>
        <w:top w:val="none" w:sz="0" w:space="0" w:color="auto"/>
        <w:left w:val="none" w:sz="0" w:space="0" w:color="auto"/>
        <w:bottom w:val="none" w:sz="0" w:space="0" w:color="auto"/>
        <w:right w:val="none" w:sz="0" w:space="0" w:color="auto"/>
      </w:divBdr>
    </w:div>
    <w:div w:id="539627528">
      <w:bodyDiv w:val="1"/>
      <w:marLeft w:val="0"/>
      <w:marRight w:val="0"/>
      <w:marTop w:val="0"/>
      <w:marBottom w:val="0"/>
      <w:divBdr>
        <w:top w:val="none" w:sz="0" w:space="0" w:color="auto"/>
        <w:left w:val="none" w:sz="0" w:space="0" w:color="auto"/>
        <w:bottom w:val="none" w:sz="0" w:space="0" w:color="auto"/>
        <w:right w:val="none" w:sz="0" w:space="0" w:color="auto"/>
      </w:divBdr>
    </w:div>
    <w:div w:id="539827105">
      <w:bodyDiv w:val="1"/>
      <w:marLeft w:val="0"/>
      <w:marRight w:val="0"/>
      <w:marTop w:val="0"/>
      <w:marBottom w:val="0"/>
      <w:divBdr>
        <w:top w:val="none" w:sz="0" w:space="0" w:color="auto"/>
        <w:left w:val="none" w:sz="0" w:space="0" w:color="auto"/>
        <w:bottom w:val="none" w:sz="0" w:space="0" w:color="auto"/>
        <w:right w:val="none" w:sz="0" w:space="0" w:color="auto"/>
      </w:divBdr>
    </w:div>
    <w:div w:id="540165700">
      <w:bodyDiv w:val="1"/>
      <w:marLeft w:val="0"/>
      <w:marRight w:val="0"/>
      <w:marTop w:val="0"/>
      <w:marBottom w:val="0"/>
      <w:divBdr>
        <w:top w:val="none" w:sz="0" w:space="0" w:color="auto"/>
        <w:left w:val="none" w:sz="0" w:space="0" w:color="auto"/>
        <w:bottom w:val="none" w:sz="0" w:space="0" w:color="auto"/>
        <w:right w:val="none" w:sz="0" w:space="0" w:color="auto"/>
      </w:divBdr>
    </w:div>
    <w:div w:id="540938267">
      <w:bodyDiv w:val="1"/>
      <w:marLeft w:val="0"/>
      <w:marRight w:val="0"/>
      <w:marTop w:val="0"/>
      <w:marBottom w:val="0"/>
      <w:divBdr>
        <w:top w:val="none" w:sz="0" w:space="0" w:color="auto"/>
        <w:left w:val="none" w:sz="0" w:space="0" w:color="auto"/>
        <w:bottom w:val="none" w:sz="0" w:space="0" w:color="auto"/>
        <w:right w:val="none" w:sz="0" w:space="0" w:color="auto"/>
      </w:divBdr>
    </w:div>
    <w:div w:id="541284195">
      <w:bodyDiv w:val="1"/>
      <w:marLeft w:val="0"/>
      <w:marRight w:val="0"/>
      <w:marTop w:val="0"/>
      <w:marBottom w:val="0"/>
      <w:divBdr>
        <w:top w:val="none" w:sz="0" w:space="0" w:color="auto"/>
        <w:left w:val="none" w:sz="0" w:space="0" w:color="auto"/>
        <w:bottom w:val="none" w:sz="0" w:space="0" w:color="auto"/>
        <w:right w:val="none" w:sz="0" w:space="0" w:color="auto"/>
      </w:divBdr>
    </w:div>
    <w:div w:id="541987934">
      <w:bodyDiv w:val="1"/>
      <w:marLeft w:val="0"/>
      <w:marRight w:val="0"/>
      <w:marTop w:val="0"/>
      <w:marBottom w:val="0"/>
      <w:divBdr>
        <w:top w:val="none" w:sz="0" w:space="0" w:color="auto"/>
        <w:left w:val="none" w:sz="0" w:space="0" w:color="auto"/>
        <w:bottom w:val="none" w:sz="0" w:space="0" w:color="auto"/>
        <w:right w:val="none" w:sz="0" w:space="0" w:color="auto"/>
      </w:divBdr>
    </w:div>
    <w:div w:id="542211911">
      <w:bodyDiv w:val="1"/>
      <w:marLeft w:val="0"/>
      <w:marRight w:val="0"/>
      <w:marTop w:val="0"/>
      <w:marBottom w:val="0"/>
      <w:divBdr>
        <w:top w:val="none" w:sz="0" w:space="0" w:color="auto"/>
        <w:left w:val="none" w:sz="0" w:space="0" w:color="auto"/>
        <w:bottom w:val="none" w:sz="0" w:space="0" w:color="auto"/>
        <w:right w:val="none" w:sz="0" w:space="0" w:color="auto"/>
      </w:divBdr>
    </w:div>
    <w:div w:id="542250409">
      <w:bodyDiv w:val="1"/>
      <w:marLeft w:val="0"/>
      <w:marRight w:val="0"/>
      <w:marTop w:val="0"/>
      <w:marBottom w:val="0"/>
      <w:divBdr>
        <w:top w:val="none" w:sz="0" w:space="0" w:color="auto"/>
        <w:left w:val="none" w:sz="0" w:space="0" w:color="auto"/>
        <w:bottom w:val="none" w:sz="0" w:space="0" w:color="auto"/>
        <w:right w:val="none" w:sz="0" w:space="0" w:color="auto"/>
      </w:divBdr>
    </w:div>
    <w:div w:id="542600189">
      <w:bodyDiv w:val="1"/>
      <w:marLeft w:val="0"/>
      <w:marRight w:val="0"/>
      <w:marTop w:val="0"/>
      <w:marBottom w:val="0"/>
      <w:divBdr>
        <w:top w:val="none" w:sz="0" w:space="0" w:color="auto"/>
        <w:left w:val="none" w:sz="0" w:space="0" w:color="auto"/>
        <w:bottom w:val="none" w:sz="0" w:space="0" w:color="auto"/>
        <w:right w:val="none" w:sz="0" w:space="0" w:color="auto"/>
      </w:divBdr>
    </w:div>
    <w:div w:id="543105063">
      <w:bodyDiv w:val="1"/>
      <w:marLeft w:val="0"/>
      <w:marRight w:val="0"/>
      <w:marTop w:val="0"/>
      <w:marBottom w:val="0"/>
      <w:divBdr>
        <w:top w:val="none" w:sz="0" w:space="0" w:color="auto"/>
        <w:left w:val="none" w:sz="0" w:space="0" w:color="auto"/>
        <w:bottom w:val="none" w:sz="0" w:space="0" w:color="auto"/>
        <w:right w:val="none" w:sz="0" w:space="0" w:color="auto"/>
      </w:divBdr>
    </w:div>
    <w:div w:id="543181425">
      <w:bodyDiv w:val="1"/>
      <w:marLeft w:val="0"/>
      <w:marRight w:val="0"/>
      <w:marTop w:val="0"/>
      <w:marBottom w:val="0"/>
      <w:divBdr>
        <w:top w:val="none" w:sz="0" w:space="0" w:color="auto"/>
        <w:left w:val="none" w:sz="0" w:space="0" w:color="auto"/>
        <w:bottom w:val="none" w:sz="0" w:space="0" w:color="auto"/>
        <w:right w:val="none" w:sz="0" w:space="0" w:color="auto"/>
      </w:divBdr>
    </w:div>
    <w:div w:id="543831157">
      <w:bodyDiv w:val="1"/>
      <w:marLeft w:val="0"/>
      <w:marRight w:val="0"/>
      <w:marTop w:val="0"/>
      <w:marBottom w:val="0"/>
      <w:divBdr>
        <w:top w:val="none" w:sz="0" w:space="0" w:color="auto"/>
        <w:left w:val="none" w:sz="0" w:space="0" w:color="auto"/>
        <w:bottom w:val="none" w:sz="0" w:space="0" w:color="auto"/>
        <w:right w:val="none" w:sz="0" w:space="0" w:color="auto"/>
      </w:divBdr>
    </w:div>
    <w:div w:id="543911767">
      <w:bodyDiv w:val="1"/>
      <w:marLeft w:val="0"/>
      <w:marRight w:val="0"/>
      <w:marTop w:val="0"/>
      <w:marBottom w:val="0"/>
      <w:divBdr>
        <w:top w:val="none" w:sz="0" w:space="0" w:color="auto"/>
        <w:left w:val="none" w:sz="0" w:space="0" w:color="auto"/>
        <w:bottom w:val="none" w:sz="0" w:space="0" w:color="auto"/>
        <w:right w:val="none" w:sz="0" w:space="0" w:color="auto"/>
      </w:divBdr>
    </w:div>
    <w:div w:id="544023915">
      <w:bodyDiv w:val="1"/>
      <w:marLeft w:val="0"/>
      <w:marRight w:val="0"/>
      <w:marTop w:val="0"/>
      <w:marBottom w:val="0"/>
      <w:divBdr>
        <w:top w:val="none" w:sz="0" w:space="0" w:color="auto"/>
        <w:left w:val="none" w:sz="0" w:space="0" w:color="auto"/>
        <w:bottom w:val="none" w:sz="0" w:space="0" w:color="auto"/>
        <w:right w:val="none" w:sz="0" w:space="0" w:color="auto"/>
      </w:divBdr>
    </w:div>
    <w:div w:id="544175652">
      <w:bodyDiv w:val="1"/>
      <w:marLeft w:val="0"/>
      <w:marRight w:val="0"/>
      <w:marTop w:val="0"/>
      <w:marBottom w:val="0"/>
      <w:divBdr>
        <w:top w:val="none" w:sz="0" w:space="0" w:color="auto"/>
        <w:left w:val="none" w:sz="0" w:space="0" w:color="auto"/>
        <w:bottom w:val="none" w:sz="0" w:space="0" w:color="auto"/>
        <w:right w:val="none" w:sz="0" w:space="0" w:color="auto"/>
      </w:divBdr>
    </w:div>
    <w:div w:id="545340414">
      <w:bodyDiv w:val="1"/>
      <w:marLeft w:val="0"/>
      <w:marRight w:val="0"/>
      <w:marTop w:val="0"/>
      <w:marBottom w:val="0"/>
      <w:divBdr>
        <w:top w:val="none" w:sz="0" w:space="0" w:color="auto"/>
        <w:left w:val="none" w:sz="0" w:space="0" w:color="auto"/>
        <w:bottom w:val="none" w:sz="0" w:space="0" w:color="auto"/>
        <w:right w:val="none" w:sz="0" w:space="0" w:color="auto"/>
      </w:divBdr>
    </w:div>
    <w:div w:id="545725458">
      <w:bodyDiv w:val="1"/>
      <w:marLeft w:val="0"/>
      <w:marRight w:val="0"/>
      <w:marTop w:val="0"/>
      <w:marBottom w:val="0"/>
      <w:divBdr>
        <w:top w:val="none" w:sz="0" w:space="0" w:color="auto"/>
        <w:left w:val="none" w:sz="0" w:space="0" w:color="auto"/>
        <w:bottom w:val="none" w:sz="0" w:space="0" w:color="auto"/>
        <w:right w:val="none" w:sz="0" w:space="0" w:color="auto"/>
      </w:divBdr>
    </w:div>
    <w:div w:id="545874322">
      <w:bodyDiv w:val="1"/>
      <w:marLeft w:val="0"/>
      <w:marRight w:val="0"/>
      <w:marTop w:val="0"/>
      <w:marBottom w:val="0"/>
      <w:divBdr>
        <w:top w:val="none" w:sz="0" w:space="0" w:color="auto"/>
        <w:left w:val="none" w:sz="0" w:space="0" w:color="auto"/>
        <w:bottom w:val="none" w:sz="0" w:space="0" w:color="auto"/>
        <w:right w:val="none" w:sz="0" w:space="0" w:color="auto"/>
      </w:divBdr>
    </w:div>
    <w:div w:id="545875422">
      <w:bodyDiv w:val="1"/>
      <w:marLeft w:val="0"/>
      <w:marRight w:val="0"/>
      <w:marTop w:val="0"/>
      <w:marBottom w:val="0"/>
      <w:divBdr>
        <w:top w:val="none" w:sz="0" w:space="0" w:color="auto"/>
        <w:left w:val="none" w:sz="0" w:space="0" w:color="auto"/>
        <w:bottom w:val="none" w:sz="0" w:space="0" w:color="auto"/>
        <w:right w:val="none" w:sz="0" w:space="0" w:color="auto"/>
      </w:divBdr>
    </w:div>
    <w:div w:id="546112292">
      <w:bodyDiv w:val="1"/>
      <w:marLeft w:val="0"/>
      <w:marRight w:val="0"/>
      <w:marTop w:val="0"/>
      <w:marBottom w:val="0"/>
      <w:divBdr>
        <w:top w:val="none" w:sz="0" w:space="0" w:color="auto"/>
        <w:left w:val="none" w:sz="0" w:space="0" w:color="auto"/>
        <w:bottom w:val="none" w:sz="0" w:space="0" w:color="auto"/>
        <w:right w:val="none" w:sz="0" w:space="0" w:color="auto"/>
      </w:divBdr>
    </w:div>
    <w:div w:id="546911565">
      <w:bodyDiv w:val="1"/>
      <w:marLeft w:val="0"/>
      <w:marRight w:val="0"/>
      <w:marTop w:val="0"/>
      <w:marBottom w:val="0"/>
      <w:divBdr>
        <w:top w:val="none" w:sz="0" w:space="0" w:color="auto"/>
        <w:left w:val="none" w:sz="0" w:space="0" w:color="auto"/>
        <w:bottom w:val="none" w:sz="0" w:space="0" w:color="auto"/>
        <w:right w:val="none" w:sz="0" w:space="0" w:color="auto"/>
      </w:divBdr>
    </w:div>
    <w:div w:id="547301330">
      <w:bodyDiv w:val="1"/>
      <w:marLeft w:val="0"/>
      <w:marRight w:val="0"/>
      <w:marTop w:val="0"/>
      <w:marBottom w:val="0"/>
      <w:divBdr>
        <w:top w:val="none" w:sz="0" w:space="0" w:color="auto"/>
        <w:left w:val="none" w:sz="0" w:space="0" w:color="auto"/>
        <w:bottom w:val="none" w:sz="0" w:space="0" w:color="auto"/>
        <w:right w:val="none" w:sz="0" w:space="0" w:color="auto"/>
      </w:divBdr>
    </w:div>
    <w:div w:id="547424627">
      <w:bodyDiv w:val="1"/>
      <w:marLeft w:val="0"/>
      <w:marRight w:val="0"/>
      <w:marTop w:val="0"/>
      <w:marBottom w:val="0"/>
      <w:divBdr>
        <w:top w:val="none" w:sz="0" w:space="0" w:color="auto"/>
        <w:left w:val="none" w:sz="0" w:space="0" w:color="auto"/>
        <w:bottom w:val="none" w:sz="0" w:space="0" w:color="auto"/>
        <w:right w:val="none" w:sz="0" w:space="0" w:color="auto"/>
      </w:divBdr>
    </w:div>
    <w:div w:id="548034574">
      <w:bodyDiv w:val="1"/>
      <w:marLeft w:val="0"/>
      <w:marRight w:val="0"/>
      <w:marTop w:val="0"/>
      <w:marBottom w:val="0"/>
      <w:divBdr>
        <w:top w:val="none" w:sz="0" w:space="0" w:color="auto"/>
        <w:left w:val="none" w:sz="0" w:space="0" w:color="auto"/>
        <w:bottom w:val="none" w:sz="0" w:space="0" w:color="auto"/>
        <w:right w:val="none" w:sz="0" w:space="0" w:color="auto"/>
      </w:divBdr>
    </w:div>
    <w:div w:id="548221606">
      <w:bodyDiv w:val="1"/>
      <w:marLeft w:val="0"/>
      <w:marRight w:val="0"/>
      <w:marTop w:val="0"/>
      <w:marBottom w:val="0"/>
      <w:divBdr>
        <w:top w:val="none" w:sz="0" w:space="0" w:color="auto"/>
        <w:left w:val="none" w:sz="0" w:space="0" w:color="auto"/>
        <w:bottom w:val="none" w:sz="0" w:space="0" w:color="auto"/>
        <w:right w:val="none" w:sz="0" w:space="0" w:color="auto"/>
      </w:divBdr>
    </w:div>
    <w:div w:id="548224373">
      <w:bodyDiv w:val="1"/>
      <w:marLeft w:val="0"/>
      <w:marRight w:val="0"/>
      <w:marTop w:val="0"/>
      <w:marBottom w:val="0"/>
      <w:divBdr>
        <w:top w:val="none" w:sz="0" w:space="0" w:color="auto"/>
        <w:left w:val="none" w:sz="0" w:space="0" w:color="auto"/>
        <w:bottom w:val="none" w:sz="0" w:space="0" w:color="auto"/>
        <w:right w:val="none" w:sz="0" w:space="0" w:color="auto"/>
      </w:divBdr>
    </w:div>
    <w:div w:id="548610757">
      <w:bodyDiv w:val="1"/>
      <w:marLeft w:val="0"/>
      <w:marRight w:val="0"/>
      <w:marTop w:val="0"/>
      <w:marBottom w:val="0"/>
      <w:divBdr>
        <w:top w:val="none" w:sz="0" w:space="0" w:color="auto"/>
        <w:left w:val="none" w:sz="0" w:space="0" w:color="auto"/>
        <w:bottom w:val="none" w:sz="0" w:space="0" w:color="auto"/>
        <w:right w:val="none" w:sz="0" w:space="0" w:color="auto"/>
      </w:divBdr>
    </w:div>
    <w:div w:id="548885349">
      <w:bodyDiv w:val="1"/>
      <w:marLeft w:val="0"/>
      <w:marRight w:val="0"/>
      <w:marTop w:val="0"/>
      <w:marBottom w:val="0"/>
      <w:divBdr>
        <w:top w:val="none" w:sz="0" w:space="0" w:color="auto"/>
        <w:left w:val="none" w:sz="0" w:space="0" w:color="auto"/>
        <w:bottom w:val="none" w:sz="0" w:space="0" w:color="auto"/>
        <w:right w:val="none" w:sz="0" w:space="0" w:color="auto"/>
      </w:divBdr>
    </w:div>
    <w:div w:id="549389311">
      <w:bodyDiv w:val="1"/>
      <w:marLeft w:val="0"/>
      <w:marRight w:val="0"/>
      <w:marTop w:val="0"/>
      <w:marBottom w:val="0"/>
      <w:divBdr>
        <w:top w:val="none" w:sz="0" w:space="0" w:color="auto"/>
        <w:left w:val="none" w:sz="0" w:space="0" w:color="auto"/>
        <w:bottom w:val="none" w:sz="0" w:space="0" w:color="auto"/>
        <w:right w:val="none" w:sz="0" w:space="0" w:color="auto"/>
      </w:divBdr>
    </w:div>
    <w:div w:id="550531523">
      <w:bodyDiv w:val="1"/>
      <w:marLeft w:val="0"/>
      <w:marRight w:val="0"/>
      <w:marTop w:val="0"/>
      <w:marBottom w:val="0"/>
      <w:divBdr>
        <w:top w:val="none" w:sz="0" w:space="0" w:color="auto"/>
        <w:left w:val="none" w:sz="0" w:space="0" w:color="auto"/>
        <w:bottom w:val="none" w:sz="0" w:space="0" w:color="auto"/>
        <w:right w:val="none" w:sz="0" w:space="0" w:color="auto"/>
      </w:divBdr>
    </w:div>
    <w:div w:id="550851850">
      <w:bodyDiv w:val="1"/>
      <w:marLeft w:val="0"/>
      <w:marRight w:val="0"/>
      <w:marTop w:val="0"/>
      <w:marBottom w:val="0"/>
      <w:divBdr>
        <w:top w:val="none" w:sz="0" w:space="0" w:color="auto"/>
        <w:left w:val="none" w:sz="0" w:space="0" w:color="auto"/>
        <w:bottom w:val="none" w:sz="0" w:space="0" w:color="auto"/>
        <w:right w:val="none" w:sz="0" w:space="0" w:color="auto"/>
      </w:divBdr>
    </w:div>
    <w:div w:id="551770186">
      <w:bodyDiv w:val="1"/>
      <w:marLeft w:val="0"/>
      <w:marRight w:val="0"/>
      <w:marTop w:val="0"/>
      <w:marBottom w:val="0"/>
      <w:divBdr>
        <w:top w:val="none" w:sz="0" w:space="0" w:color="auto"/>
        <w:left w:val="none" w:sz="0" w:space="0" w:color="auto"/>
        <w:bottom w:val="none" w:sz="0" w:space="0" w:color="auto"/>
        <w:right w:val="none" w:sz="0" w:space="0" w:color="auto"/>
      </w:divBdr>
    </w:div>
    <w:div w:id="552036999">
      <w:bodyDiv w:val="1"/>
      <w:marLeft w:val="0"/>
      <w:marRight w:val="0"/>
      <w:marTop w:val="0"/>
      <w:marBottom w:val="0"/>
      <w:divBdr>
        <w:top w:val="none" w:sz="0" w:space="0" w:color="auto"/>
        <w:left w:val="none" w:sz="0" w:space="0" w:color="auto"/>
        <w:bottom w:val="none" w:sz="0" w:space="0" w:color="auto"/>
        <w:right w:val="none" w:sz="0" w:space="0" w:color="auto"/>
      </w:divBdr>
    </w:div>
    <w:div w:id="552619813">
      <w:bodyDiv w:val="1"/>
      <w:marLeft w:val="0"/>
      <w:marRight w:val="0"/>
      <w:marTop w:val="0"/>
      <w:marBottom w:val="0"/>
      <w:divBdr>
        <w:top w:val="none" w:sz="0" w:space="0" w:color="auto"/>
        <w:left w:val="none" w:sz="0" w:space="0" w:color="auto"/>
        <w:bottom w:val="none" w:sz="0" w:space="0" w:color="auto"/>
        <w:right w:val="none" w:sz="0" w:space="0" w:color="auto"/>
      </w:divBdr>
    </w:div>
    <w:div w:id="552692878">
      <w:bodyDiv w:val="1"/>
      <w:marLeft w:val="0"/>
      <w:marRight w:val="0"/>
      <w:marTop w:val="0"/>
      <w:marBottom w:val="0"/>
      <w:divBdr>
        <w:top w:val="none" w:sz="0" w:space="0" w:color="auto"/>
        <w:left w:val="none" w:sz="0" w:space="0" w:color="auto"/>
        <w:bottom w:val="none" w:sz="0" w:space="0" w:color="auto"/>
        <w:right w:val="none" w:sz="0" w:space="0" w:color="auto"/>
      </w:divBdr>
    </w:div>
    <w:div w:id="552888129">
      <w:bodyDiv w:val="1"/>
      <w:marLeft w:val="0"/>
      <w:marRight w:val="0"/>
      <w:marTop w:val="0"/>
      <w:marBottom w:val="0"/>
      <w:divBdr>
        <w:top w:val="none" w:sz="0" w:space="0" w:color="auto"/>
        <w:left w:val="none" w:sz="0" w:space="0" w:color="auto"/>
        <w:bottom w:val="none" w:sz="0" w:space="0" w:color="auto"/>
        <w:right w:val="none" w:sz="0" w:space="0" w:color="auto"/>
      </w:divBdr>
    </w:div>
    <w:div w:id="553199883">
      <w:bodyDiv w:val="1"/>
      <w:marLeft w:val="0"/>
      <w:marRight w:val="0"/>
      <w:marTop w:val="0"/>
      <w:marBottom w:val="0"/>
      <w:divBdr>
        <w:top w:val="none" w:sz="0" w:space="0" w:color="auto"/>
        <w:left w:val="none" w:sz="0" w:space="0" w:color="auto"/>
        <w:bottom w:val="none" w:sz="0" w:space="0" w:color="auto"/>
        <w:right w:val="none" w:sz="0" w:space="0" w:color="auto"/>
      </w:divBdr>
    </w:div>
    <w:div w:id="553850413">
      <w:bodyDiv w:val="1"/>
      <w:marLeft w:val="0"/>
      <w:marRight w:val="0"/>
      <w:marTop w:val="0"/>
      <w:marBottom w:val="0"/>
      <w:divBdr>
        <w:top w:val="none" w:sz="0" w:space="0" w:color="auto"/>
        <w:left w:val="none" w:sz="0" w:space="0" w:color="auto"/>
        <w:bottom w:val="none" w:sz="0" w:space="0" w:color="auto"/>
        <w:right w:val="none" w:sz="0" w:space="0" w:color="auto"/>
      </w:divBdr>
    </w:div>
    <w:div w:id="554320289">
      <w:bodyDiv w:val="1"/>
      <w:marLeft w:val="0"/>
      <w:marRight w:val="0"/>
      <w:marTop w:val="0"/>
      <w:marBottom w:val="0"/>
      <w:divBdr>
        <w:top w:val="none" w:sz="0" w:space="0" w:color="auto"/>
        <w:left w:val="none" w:sz="0" w:space="0" w:color="auto"/>
        <w:bottom w:val="none" w:sz="0" w:space="0" w:color="auto"/>
        <w:right w:val="none" w:sz="0" w:space="0" w:color="auto"/>
      </w:divBdr>
    </w:div>
    <w:div w:id="554391076">
      <w:bodyDiv w:val="1"/>
      <w:marLeft w:val="0"/>
      <w:marRight w:val="0"/>
      <w:marTop w:val="0"/>
      <w:marBottom w:val="0"/>
      <w:divBdr>
        <w:top w:val="none" w:sz="0" w:space="0" w:color="auto"/>
        <w:left w:val="none" w:sz="0" w:space="0" w:color="auto"/>
        <w:bottom w:val="none" w:sz="0" w:space="0" w:color="auto"/>
        <w:right w:val="none" w:sz="0" w:space="0" w:color="auto"/>
      </w:divBdr>
    </w:div>
    <w:div w:id="554704944">
      <w:bodyDiv w:val="1"/>
      <w:marLeft w:val="0"/>
      <w:marRight w:val="0"/>
      <w:marTop w:val="0"/>
      <w:marBottom w:val="0"/>
      <w:divBdr>
        <w:top w:val="none" w:sz="0" w:space="0" w:color="auto"/>
        <w:left w:val="none" w:sz="0" w:space="0" w:color="auto"/>
        <w:bottom w:val="none" w:sz="0" w:space="0" w:color="auto"/>
        <w:right w:val="none" w:sz="0" w:space="0" w:color="auto"/>
      </w:divBdr>
    </w:div>
    <w:div w:id="554705308">
      <w:bodyDiv w:val="1"/>
      <w:marLeft w:val="0"/>
      <w:marRight w:val="0"/>
      <w:marTop w:val="0"/>
      <w:marBottom w:val="0"/>
      <w:divBdr>
        <w:top w:val="none" w:sz="0" w:space="0" w:color="auto"/>
        <w:left w:val="none" w:sz="0" w:space="0" w:color="auto"/>
        <w:bottom w:val="none" w:sz="0" w:space="0" w:color="auto"/>
        <w:right w:val="none" w:sz="0" w:space="0" w:color="auto"/>
      </w:divBdr>
    </w:div>
    <w:div w:id="555580774">
      <w:bodyDiv w:val="1"/>
      <w:marLeft w:val="0"/>
      <w:marRight w:val="0"/>
      <w:marTop w:val="0"/>
      <w:marBottom w:val="0"/>
      <w:divBdr>
        <w:top w:val="none" w:sz="0" w:space="0" w:color="auto"/>
        <w:left w:val="none" w:sz="0" w:space="0" w:color="auto"/>
        <w:bottom w:val="none" w:sz="0" w:space="0" w:color="auto"/>
        <w:right w:val="none" w:sz="0" w:space="0" w:color="auto"/>
      </w:divBdr>
    </w:div>
    <w:div w:id="556284019">
      <w:bodyDiv w:val="1"/>
      <w:marLeft w:val="0"/>
      <w:marRight w:val="0"/>
      <w:marTop w:val="0"/>
      <w:marBottom w:val="0"/>
      <w:divBdr>
        <w:top w:val="none" w:sz="0" w:space="0" w:color="auto"/>
        <w:left w:val="none" w:sz="0" w:space="0" w:color="auto"/>
        <w:bottom w:val="none" w:sz="0" w:space="0" w:color="auto"/>
        <w:right w:val="none" w:sz="0" w:space="0" w:color="auto"/>
      </w:divBdr>
    </w:div>
    <w:div w:id="556550798">
      <w:bodyDiv w:val="1"/>
      <w:marLeft w:val="0"/>
      <w:marRight w:val="0"/>
      <w:marTop w:val="0"/>
      <w:marBottom w:val="0"/>
      <w:divBdr>
        <w:top w:val="none" w:sz="0" w:space="0" w:color="auto"/>
        <w:left w:val="none" w:sz="0" w:space="0" w:color="auto"/>
        <w:bottom w:val="none" w:sz="0" w:space="0" w:color="auto"/>
        <w:right w:val="none" w:sz="0" w:space="0" w:color="auto"/>
      </w:divBdr>
    </w:div>
    <w:div w:id="558174539">
      <w:bodyDiv w:val="1"/>
      <w:marLeft w:val="0"/>
      <w:marRight w:val="0"/>
      <w:marTop w:val="0"/>
      <w:marBottom w:val="0"/>
      <w:divBdr>
        <w:top w:val="none" w:sz="0" w:space="0" w:color="auto"/>
        <w:left w:val="none" w:sz="0" w:space="0" w:color="auto"/>
        <w:bottom w:val="none" w:sz="0" w:space="0" w:color="auto"/>
        <w:right w:val="none" w:sz="0" w:space="0" w:color="auto"/>
      </w:divBdr>
    </w:div>
    <w:div w:id="559177148">
      <w:bodyDiv w:val="1"/>
      <w:marLeft w:val="0"/>
      <w:marRight w:val="0"/>
      <w:marTop w:val="0"/>
      <w:marBottom w:val="0"/>
      <w:divBdr>
        <w:top w:val="none" w:sz="0" w:space="0" w:color="auto"/>
        <w:left w:val="none" w:sz="0" w:space="0" w:color="auto"/>
        <w:bottom w:val="none" w:sz="0" w:space="0" w:color="auto"/>
        <w:right w:val="none" w:sz="0" w:space="0" w:color="auto"/>
      </w:divBdr>
    </w:div>
    <w:div w:id="560019238">
      <w:bodyDiv w:val="1"/>
      <w:marLeft w:val="0"/>
      <w:marRight w:val="0"/>
      <w:marTop w:val="0"/>
      <w:marBottom w:val="0"/>
      <w:divBdr>
        <w:top w:val="none" w:sz="0" w:space="0" w:color="auto"/>
        <w:left w:val="none" w:sz="0" w:space="0" w:color="auto"/>
        <w:bottom w:val="none" w:sz="0" w:space="0" w:color="auto"/>
        <w:right w:val="none" w:sz="0" w:space="0" w:color="auto"/>
      </w:divBdr>
    </w:div>
    <w:div w:id="560288060">
      <w:bodyDiv w:val="1"/>
      <w:marLeft w:val="0"/>
      <w:marRight w:val="0"/>
      <w:marTop w:val="0"/>
      <w:marBottom w:val="0"/>
      <w:divBdr>
        <w:top w:val="none" w:sz="0" w:space="0" w:color="auto"/>
        <w:left w:val="none" w:sz="0" w:space="0" w:color="auto"/>
        <w:bottom w:val="none" w:sz="0" w:space="0" w:color="auto"/>
        <w:right w:val="none" w:sz="0" w:space="0" w:color="auto"/>
      </w:divBdr>
    </w:div>
    <w:div w:id="560290305">
      <w:bodyDiv w:val="1"/>
      <w:marLeft w:val="0"/>
      <w:marRight w:val="0"/>
      <w:marTop w:val="0"/>
      <w:marBottom w:val="0"/>
      <w:divBdr>
        <w:top w:val="none" w:sz="0" w:space="0" w:color="auto"/>
        <w:left w:val="none" w:sz="0" w:space="0" w:color="auto"/>
        <w:bottom w:val="none" w:sz="0" w:space="0" w:color="auto"/>
        <w:right w:val="none" w:sz="0" w:space="0" w:color="auto"/>
      </w:divBdr>
    </w:div>
    <w:div w:id="560481611">
      <w:bodyDiv w:val="1"/>
      <w:marLeft w:val="0"/>
      <w:marRight w:val="0"/>
      <w:marTop w:val="0"/>
      <w:marBottom w:val="0"/>
      <w:divBdr>
        <w:top w:val="none" w:sz="0" w:space="0" w:color="auto"/>
        <w:left w:val="none" w:sz="0" w:space="0" w:color="auto"/>
        <w:bottom w:val="none" w:sz="0" w:space="0" w:color="auto"/>
        <w:right w:val="none" w:sz="0" w:space="0" w:color="auto"/>
      </w:divBdr>
    </w:div>
    <w:div w:id="560554416">
      <w:bodyDiv w:val="1"/>
      <w:marLeft w:val="0"/>
      <w:marRight w:val="0"/>
      <w:marTop w:val="0"/>
      <w:marBottom w:val="0"/>
      <w:divBdr>
        <w:top w:val="none" w:sz="0" w:space="0" w:color="auto"/>
        <w:left w:val="none" w:sz="0" w:space="0" w:color="auto"/>
        <w:bottom w:val="none" w:sz="0" w:space="0" w:color="auto"/>
        <w:right w:val="none" w:sz="0" w:space="0" w:color="auto"/>
      </w:divBdr>
    </w:div>
    <w:div w:id="560678028">
      <w:bodyDiv w:val="1"/>
      <w:marLeft w:val="0"/>
      <w:marRight w:val="0"/>
      <w:marTop w:val="0"/>
      <w:marBottom w:val="0"/>
      <w:divBdr>
        <w:top w:val="none" w:sz="0" w:space="0" w:color="auto"/>
        <w:left w:val="none" w:sz="0" w:space="0" w:color="auto"/>
        <w:bottom w:val="none" w:sz="0" w:space="0" w:color="auto"/>
        <w:right w:val="none" w:sz="0" w:space="0" w:color="auto"/>
      </w:divBdr>
    </w:div>
    <w:div w:id="560822538">
      <w:bodyDiv w:val="1"/>
      <w:marLeft w:val="0"/>
      <w:marRight w:val="0"/>
      <w:marTop w:val="0"/>
      <w:marBottom w:val="0"/>
      <w:divBdr>
        <w:top w:val="none" w:sz="0" w:space="0" w:color="auto"/>
        <w:left w:val="none" w:sz="0" w:space="0" w:color="auto"/>
        <w:bottom w:val="none" w:sz="0" w:space="0" w:color="auto"/>
        <w:right w:val="none" w:sz="0" w:space="0" w:color="auto"/>
      </w:divBdr>
      <w:divsChild>
        <w:div w:id="1343044730">
          <w:marLeft w:val="480"/>
          <w:marRight w:val="0"/>
          <w:marTop w:val="0"/>
          <w:marBottom w:val="0"/>
          <w:divBdr>
            <w:top w:val="none" w:sz="0" w:space="0" w:color="auto"/>
            <w:left w:val="none" w:sz="0" w:space="0" w:color="auto"/>
            <w:bottom w:val="none" w:sz="0" w:space="0" w:color="auto"/>
            <w:right w:val="none" w:sz="0" w:space="0" w:color="auto"/>
          </w:divBdr>
        </w:div>
        <w:div w:id="491021228">
          <w:marLeft w:val="480"/>
          <w:marRight w:val="0"/>
          <w:marTop w:val="0"/>
          <w:marBottom w:val="0"/>
          <w:divBdr>
            <w:top w:val="none" w:sz="0" w:space="0" w:color="auto"/>
            <w:left w:val="none" w:sz="0" w:space="0" w:color="auto"/>
            <w:bottom w:val="none" w:sz="0" w:space="0" w:color="auto"/>
            <w:right w:val="none" w:sz="0" w:space="0" w:color="auto"/>
          </w:divBdr>
        </w:div>
        <w:div w:id="1971469051">
          <w:marLeft w:val="480"/>
          <w:marRight w:val="0"/>
          <w:marTop w:val="0"/>
          <w:marBottom w:val="0"/>
          <w:divBdr>
            <w:top w:val="none" w:sz="0" w:space="0" w:color="auto"/>
            <w:left w:val="none" w:sz="0" w:space="0" w:color="auto"/>
            <w:bottom w:val="none" w:sz="0" w:space="0" w:color="auto"/>
            <w:right w:val="none" w:sz="0" w:space="0" w:color="auto"/>
          </w:divBdr>
        </w:div>
        <w:div w:id="818838685">
          <w:marLeft w:val="480"/>
          <w:marRight w:val="0"/>
          <w:marTop w:val="0"/>
          <w:marBottom w:val="0"/>
          <w:divBdr>
            <w:top w:val="none" w:sz="0" w:space="0" w:color="auto"/>
            <w:left w:val="none" w:sz="0" w:space="0" w:color="auto"/>
            <w:bottom w:val="none" w:sz="0" w:space="0" w:color="auto"/>
            <w:right w:val="none" w:sz="0" w:space="0" w:color="auto"/>
          </w:divBdr>
        </w:div>
        <w:div w:id="2090149050">
          <w:marLeft w:val="480"/>
          <w:marRight w:val="0"/>
          <w:marTop w:val="0"/>
          <w:marBottom w:val="0"/>
          <w:divBdr>
            <w:top w:val="none" w:sz="0" w:space="0" w:color="auto"/>
            <w:left w:val="none" w:sz="0" w:space="0" w:color="auto"/>
            <w:bottom w:val="none" w:sz="0" w:space="0" w:color="auto"/>
            <w:right w:val="none" w:sz="0" w:space="0" w:color="auto"/>
          </w:divBdr>
        </w:div>
        <w:div w:id="126362680">
          <w:marLeft w:val="480"/>
          <w:marRight w:val="0"/>
          <w:marTop w:val="0"/>
          <w:marBottom w:val="0"/>
          <w:divBdr>
            <w:top w:val="none" w:sz="0" w:space="0" w:color="auto"/>
            <w:left w:val="none" w:sz="0" w:space="0" w:color="auto"/>
            <w:bottom w:val="none" w:sz="0" w:space="0" w:color="auto"/>
            <w:right w:val="none" w:sz="0" w:space="0" w:color="auto"/>
          </w:divBdr>
        </w:div>
        <w:div w:id="2078476961">
          <w:marLeft w:val="480"/>
          <w:marRight w:val="0"/>
          <w:marTop w:val="0"/>
          <w:marBottom w:val="0"/>
          <w:divBdr>
            <w:top w:val="none" w:sz="0" w:space="0" w:color="auto"/>
            <w:left w:val="none" w:sz="0" w:space="0" w:color="auto"/>
            <w:bottom w:val="none" w:sz="0" w:space="0" w:color="auto"/>
            <w:right w:val="none" w:sz="0" w:space="0" w:color="auto"/>
          </w:divBdr>
        </w:div>
        <w:div w:id="1708603341">
          <w:marLeft w:val="480"/>
          <w:marRight w:val="0"/>
          <w:marTop w:val="0"/>
          <w:marBottom w:val="0"/>
          <w:divBdr>
            <w:top w:val="none" w:sz="0" w:space="0" w:color="auto"/>
            <w:left w:val="none" w:sz="0" w:space="0" w:color="auto"/>
            <w:bottom w:val="none" w:sz="0" w:space="0" w:color="auto"/>
            <w:right w:val="none" w:sz="0" w:space="0" w:color="auto"/>
          </w:divBdr>
        </w:div>
        <w:div w:id="65037788">
          <w:marLeft w:val="480"/>
          <w:marRight w:val="0"/>
          <w:marTop w:val="0"/>
          <w:marBottom w:val="0"/>
          <w:divBdr>
            <w:top w:val="none" w:sz="0" w:space="0" w:color="auto"/>
            <w:left w:val="none" w:sz="0" w:space="0" w:color="auto"/>
            <w:bottom w:val="none" w:sz="0" w:space="0" w:color="auto"/>
            <w:right w:val="none" w:sz="0" w:space="0" w:color="auto"/>
          </w:divBdr>
        </w:div>
        <w:div w:id="734742942">
          <w:marLeft w:val="480"/>
          <w:marRight w:val="0"/>
          <w:marTop w:val="0"/>
          <w:marBottom w:val="0"/>
          <w:divBdr>
            <w:top w:val="none" w:sz="0" w:space="0" w:color="auto"/>
            <w:left w:val="none" w:sz="0" w:space="0" w:color="auto"/>
            <w:bottom w:val="none" w:sz="0" w:space="0" w:color="auto"/>
            <w:right w:val="none" w:sz="0" w:space="0" w:color="auto"/>
          </w:divBdr>
        </w:div>
        <w:div w:id="514005574">
          <w:marLeft w:val="480"/>
          <w:marRight w:val="0"/>
          <w:marTop w:val="0"/>
          <w:marBottom w:val="0"/>
          <w:divBdr>
            <w:top w:val="none" w:sz="0" w:space="0" w:color="auto"/>
            <w:left w:val="none" w:sz="0" w:space="0" w:color="auto"/>
            <w:bottom w:val="none" w:sz="0" w:space="0" w:color="auto"/>
            <w:right w:val="none" w:sz="0" w:space="0" w:color="auto"/>
          </w:divBdr>
        </w:div>
        <w:div w:id="62994110">
          <w:marLeft w:val="480"/>
          <w:marRight w:val="0"/>
          <w:marTop w:val="0"/>
          <w:marBottom w:val="0"/>
          <w:divBdr>
            <w:top w:val="none" w:sz="0" w:space="0" w:color="auto"/>
            <w:left w:val="none" w:sz="0" w:space="0" w:color="auto"/>
            <w:bottom w:val="none" w:sz="0" w:space="0" w:color="auto"/>
            <w:right w:val="none" w:sz="0" w:space="0" w:color="auto"/>
          </w:divBdr>
        </w:div>
        <w:div w:id="2083410057">
          <w:marLeft w:val="480"/>
          <w:marRight w:val="0"/>
          <w:marTop w:val="0"/>
          <w:marBottom w:val="0"/>
          <w:divBdr>
            <w:top w:val="none" w:sz="0" w:space="0" w:color="auto"/>
            <w:left w:val="none" w:sz="0" w:space="0" w:color="auto"/>
            <w:bottom w:val="none" w:sz="0" w:space="0" w:color="auto"/>
            <w:right w:val="none" w:sz="0" w:space="0" w:color="auto"/>
          </w:divBdr>
        </w:div>
        <w:div w:id="1824465034">
          <w:marLeft w:val="480"/>
          <w:marRight w:val="0"/>
          <w:marTop w:val="0"/>
          <w:marBottom w:val="0"/>
          <w:divBdr>
            <w:top w:val="none" w:sz="0" w:space="0" w:color="auto"/>
            <w:left w:val="none" w:sz="0" w:space="0" w:color="auto"/>
            <w:bottom w:val="none" w:sz="0" w:space="0" w:color="auto"/>
            <w:right w:val="none" w:sz="0" w:space="0" w:color="auto"/>
          </w:divBdr>
        </w:div>
        <w:div w:id="699354085">
          <w:marLeft w:val="480"/>
          <w:marRight w:val="0"/>
          <w:marTop w:val="0"/>
          <w:marBottom w:val="0"/>
          <w:divBdr>
            <w:top w:val="none" w:sz="0" w:space="0" w:color="auto"/>
            <w:left w:val="none" w:sz="0" w:space="0" w:color="auto"/>
            <w:bottom w:val="none" w:sz="0" w:space="0" w:color="auto"/>
            <w:right w:val="none" w:sz="0" w:space="0" w:color="auto"/>
          </w:divBdr>
        </w:div>
        <w:div w:id="1837110917">
          <w:marLeft w:val="480"/>
          <w:marRight w:val="0"/>
          <w:marTop w:val="0"/>
          <w:marBottom w:val="0"/>
          <w:divBdr>
            <w:top w:val="none" w:sz="0" w:space="0" w:color="auto"/>
            <w:left w:val="none" w:sz="0" w:space="0" w:color="auto"/>
            <w:bottom w:val="none" w:sz="0" w:space="0" w:color="auto"/>
            <w:right w:val="none" w:sz="0" w:space="0" w:color="auto"/>
          </w:divBdr>
        </w:div>
        <w:div w:id="1581404653">
          <w:marLeft w:val="480"/>
          <w:marRight w:val="0"/>
          <w:marTop w:val="0"/>
          <w:marBottom w:val="0"/>
          <w:divBdr>
            <w:top w:val="none" w:sz="0" w:space="0" w:color="auto"/>
            <w:left w:val="none" w:sz="0" w:space="0" w:color="auto"/>
            <w:bottom w:val="none" w:sz="0" w:space="0" w:color="auto"/>
            <w:right w:val="none" w:sz="0" w:space="0" w:color="auto"/>
          </w:divBdr>
        </w:div>
        <w:div w:id="1009874696">
          <w:marLeft w:val="480"/>
          <w:marRight w:val="0"/>
          <w:marTop w:val="0"/>
          <w:marBottom w:val="0"/>
          <w:divBdr>
            <w:top w:val="none" w:sz="0" w:space="0" w:color="auto"/>
            <w:left w:val="none" w:sz="0" w:space="0" w:color="auto"/>
            <w:bottom w:val="none" w:sz="0" w:space="0" w:color="auto"/>
            <w:right w:val="none" w:sz="0" w:space="0" w:color="auto"/>
          </w:divBdr>
        </w:div>
        <w:div w:id="277958310">
          <w:marLeft w:val="480"/>
          <w:marRight w:val="0"/>
          <w:marTop w:val="0"/>
          <w:marBottom w:val="0"/>
          <w:divBdr>
            <w:top w:val="none" w:sz="0" w:space="0" w:color="auto"/>
            <w:left w:val="none" w:sz="0" w:space="0" w:color="auto"/>
            <w:bottom w:val="none" w:sz="0" w:space="0" w:color="auto"/>
            <w:right w:val="none" w:sz="0" w:space="0" w:color="auto"/>
          </w:divBdr>
        </w:div>
        <w:div w:id="454063943">
          <w:marLeft w:val="480"/>
          <w:marRight w:val="0"/>
          <w:marTop w:val="0"/>
          <w:marBottom w:val="0"/>
          <w:divBdr>
            <w:top w:val="none" w:sz="0" w:space="0" w:color="auto"/>
            <w:left w:val="none" w:sz="0" w:space="0" w:color="auto"/>
            <w:bottom w:val="none" w:sz="0" w:space="0" w:color="auto"/>
            <w:right w:val="none" w:sz="0" w:space="0" w:color="auto"/>
          </w:divBdr>
        </w:div>
        <w:div w:id="10958452">
          <w:marLeft w:val="480"/>
          <w:marRight w:val="0"/>
          <w:marTop w:val="0"/>
          <w:marBottom w:val="0"/>
          <w:divBdr>
            <w:top w:val="none" w:sz="0" w:space="0" w:color="auto"/>
            <w:left w:val="none" w:sz="0" w:space="0" w:color="auto"/>
            <w:bottom w:val="none" w:sz="0" w:space="0" w:color="auto"/>
            <w:right w:val="none" w:sz="0" w:space="0" w:color="auto"/>
          </w:divBdr>
        </w:div>
        <w:div w:id="1555660068">
          <w:marLeft w:val="480"/>
          <w:marRight w:val="0"/>
          <w:marTop w:val="0"/>
          <w:marBottom w:val="0"/>
          <w:divBdr>
            <w:top w:val="none" w:sz="0" w:space="0" w:color="auto"/>
            <w:left w:val="none" w:sz="0" w:space="0" w:color="auto"/>
            <w:bottom w:val="none" w:sz="0" w:space="0" w:color="auto"/>
            <w:right w:val="none" w:sz="0" w:space="0" w:color="auto"/>
          </w:divBdr>
        </w:div>
        <w:div w:id="1834487457">
          <w:marLeft w:val="480"/>
          <w:marRight w:val="0"/>
          <w:marTop w:val="0"/>
          <w:marBottom w:val="0"/>
          <w:divBdr>
            <w:top w:val="none" w:sz="0" w:space="0" w:color="auto"/>
            <w:left w:val="none" w:sz="0" w:space="0" w:color="auto"/>
            <w:bottom w:val="none" w:sz="0" w:space="0" w:color="auto"/>
            <w:right w:val="none" w:sz="0" w:space="0" w:color="auto"/>
          </w:divBdr>
        </w:div>
        <w:div w:id="1196844702">
          <w:marLeft w:val="480"/>
          <w:marRight w:val="0"/>
          <w:marTop w:val="0"/>
          <w:marBottom w:val="0"/>
          <w:divBdr>
            <w:top w:val="none" w:sz="0" w:space="0" w:color="auto"/>
            <w:left w:val="none" w:sz="0" w:space="0" w:color="auto"/>
            <w:bottom w:val="none" w:sz="0" w:space="0" w:color="auto"/>
            <w:right w:val="none" w:sz="0" w:space="0" w:color="auto"/>
          </w:divBdr>
        </w:div>
        <w:div w:id="1681812123">
          <w:marLeft w:val="480"/>
          <w:marRight w:val="0"/>
          <w:marTop w:val="0"/>
          <w:marBottom w:val="0"/>
          <w:divBdr>
            <w:top w:val="none" w:sz="0" w:space="0" w:color="auto"/>
            <w:left w:val="none" w:sz="0" w:space="0" w:color="auto"/>
            <w:bottom w:val="none" w:sz="0" w:space="0" w:color="auto"/>
            <w:right w:val="none" w:sz="0" w:space="0" w:color="auto"/>
          </w:divBdr>
        </w:div>
        <w:div w:id="508181284">
          <w:marLeft w:val="480"/>
          <w:marRight w:val="0"/>
          <w:marTop w:val="0"/>
          <w:marBottom w:val="0"/>
          <w:divBdr>
            <w:top w:val="none" w:sz="0" w:space="0" w:color="auto"/>
            <w:left w:val="none" w:sz="0" w:space="0" w:color="auto"/>
            <w:bottom w:val="none" w:sz="0" w:space="0" w:color="auto"/>
            <w:right w:val="none" w:sz="0" w:space="0" w:color="auto"/>
          </w:divBdr>
        </w:div>
        <w:div w:id="395325389">
          <w:marLeft w:val="480"/>
          <w:marRight w:val="0"/>
          <w:marTop w:val="0"/>
          <w:marBottom w:val="0"/>
          <w:divBdr>
            <w:top w:val="none" w:sz="0" w:space="0" w:color="auto"/>
            <w:left w:val="none" w:sz="0" w:space="0" w:color="auto"/>
            <w:bottom w:val="none" w:sz="0" w:space="0" w:color="auto"/>
            <w:right w:val="none" w:sz="0" w:space="0" w:color="auto"/>
          </w:divBdr>
        </w:div>
        <w:div w:id="900334956">
          <w:marLeft w:val="480"/>
          <w:marRight w:val="0"/>
          <w:marTop w:val="0"/>
          <w:marBottom w:val="0"/>
          <w:divBdr>
            <w:top w:val="none" w:sz="0" w:space="0" w:color="auto"/>
            <w:left w:val="none" w:sz="0" w:space="0" w:color="auto"/>
            <w:bottom w:val="none" w:sz="0" w:space="0" w:color="auto"/>
            <w:right w:val="none" w:sz="0" w:space="0" w:color="auto"/>
          </w:divBdr>
        </w:div>
        <w:div w:id="1861747313">
          <w:marLeft w:val="480"/>
          <w:marRight w:val="0"/>
          <w:marTop w:val="0"/>
          <w:marBottom w:val="0"/>
          <w:divBdr>
            <w:top w:val="none" w:sz="0" w:space="0" w:color="auto"/>
            <w:left w:val="none" w:sz="0" w:space="0" w:color="auto"/>
            <w:bottom w:val="none" w:sz="0" w:space="0" w:color="auto"/>
            <w:right w:val="none" w:sz="0" w:space="0" w:color="auto"/>
          </w:divBdr>
        </w:div>
        <w:div w:id="588660476">
          <w:marLeft w:val="480"/>
          <w:marRight w:val="0"/>
          <w:marTop w:val="0"/>
          <w:marBottom w:val="0"/>
          <w:divBdr>
            <w:top w:val="none" w:sz="0" w:space="0" w:color="auto"/>
            <w:left w:val="none" w:sz="0" w:space="0" w:color="auto"/>
            <w:bottom w:val="none" w:sz="0" w:space="0" w:color="auto"/>
            <w:right w:val="none" w:sz="0" w:space="0" w:color="auto"/>
          </w:divBdr>
        </w:div>
        <w:div w:id="478349373">
          <w:marLeft w:val="480"/>
          <w:marRight w:val="0"/>
          <w:marTop w:val="0"/>
          <w:marBottom w:val="0"/>
          <w:divBdr>
            <w:top w:val="none" w:sz="0" w:space="0" w:color="auto"/>
            <w:left w:val="none" w:sz="0" w:space="0" w:color="auto"/>
            <w:bottom w:val="none" w:sz="0" w:space="0" w:color="auto"/>
            <w:right w:val="none" w:sz="0" w:space="0" w:color="auto"/>
          </w:divBdr>
        </w:div>
        <w:div w:id="394401623">
          <w:marLeft w:val="480"/>
          <w:marRight w:val="0"/>
          <w:marTop w:val="0"/>
          <w:marBottom w:val="0"/>
          <w:divBdr>
            <w:top w:val="none" w:sz="0" w:space="0" w:color="auto"/>
            <w:left w:val="none" w:sz="0" w:space="0" w:color="auto"/>
            <w:bottom w:val="none" w:sz="0" w:space="0" w:color="auto"/>
            <w:right w:val="none" w:sz="0" w:space="0" w:color="auto"/>
          </w:divBdr>
        </w:div>
        <w:div w:id="1263225836">
          <w:marLeft w:val="480"/>
          <w:marRight w:val="0"/>
          <w:marTop w:val="0"/>
          <w:marBottom w:val="0"/>
          <w:divBdr>
            <w:top w:val="none" w:sz="0" w:space="0" w:color="auto"/>
            <w:left w:val="none" w:sz="0" w:space="0" w:color="auto"/>
            <w:bottom w:val="none" w:sz="0" w:space="0" w:color="auto"/>
            <w:right w:val="none" w:sz="0" w:space="0" w:color="auto"/>
          </w:divBdr>
        </w:div>
        <w:div w:id="989750434">
          <w:marLeft w:val="480"/>
          <w:marRight w:val="0"/>
          <w:marTop w:val="0"/>
          <w:marBottom w:val="0"/>
          <w:divBdr>
            <w:top w:val="none" w:sz="0" w:space="0" w:color="auto"/>
            <w:left w:val="none" w:sz="0" w:space="0" w:color="auto"/>
            <w:bottom w:val="none" w:sz="0" w:space="0" w:color="auto"/>
            <w:right w:val="none" w:sz="0" w:space="0" w:color="auto"/>
          </w:divBdr>
        </w:div>
        <w:div w:id="1425564940">
          <w:marLeft w:val="480"/>
          <w:marRight w:val="0"/>
          <w:marTop w:val="0"/>
          <w:marBottom w:val="0"/>
          <w:divBdr>
            <w:top w:val="none" w:sz="0" w:space="0" w:color="auto"/>
            <w:left w:val="none" w:sz="0" w:space="0" w:color="auto"/>
            <w:bottom w:val="none" w:sz="0" w:space="0" w:color="auto"/>
            <w:right w:val="none" w:sz="0" w:space="0" w:color="auto"/>
          </w:divBdr>
        </w:div>
        <w:div w:id="842091050">
          <w:marLeft w:val="480"/>
          <w:marRight w:val="0"/>
          <w:marTop w:val="0"/>
          <w:marBottom w:val="0"/>
          <w:divBdr>
            <w:top w:val="none" w:sz="0" w:space="0" w:color="auto"/>
            <w:left w:val="none" w:sz="0" w:space="0" w:color="auto"/>
            <w:bottom w:val="none" w:sz="0" w:space="0" w:color="auto"/>
            <w:right w:val="none" w:sz="0" w:space="0" w:color="auto"/>
          </w:divBdr>
        </w:div>
        <w:div w:id="2099015150">
          <w:marLeft w:val="480"/>
          <w:marRight w:val="0"/>
          <w:marTop w:val="0"/>
          <w:marBottom w:val="0"/>
          <w:divBdr>
            <w:top w:val="none" w:sz="0" w:space="0" w:color="auto"/>
            <w:left w:val="none" w:sz="0" w:space="0" w:color="auto"/>
            <w:bottom w:val="none" w:sz="0" w:space="0" w:color="auto"/>
            <w:right w:val="none" w:sz="0" w:space="0" w:color="auto"/>
          </w:divBdr>
        </w:div>
        <w:div w:id="894313534">
          <w:marLeft w:val="480"/>
          <w:marRight w:val="0"/>
          <w:marTop w:val="0"/>
          <w:marBottom w:val="0"/>
          <w:divBdr>
            <w:top w:val="none" w:sz="0" w:space="0" w:color="auto"/>
            <w:left w:val="none" w:sz="0" w:space="0" w:color="auto"/>
            <w:bottom w:val="none" w:sz="0" w:space="0" w:color="auto"/>
            <w:right w:val="none" w:sz="0" w:space="0" w:color="auto"/>
          </w:divBdr>
        </w:div>
        <w:div w:id="1282958981">
          <w:marLeft w:val="480"/>
          <w:marRight w:val="0"/>
          <w:marTop w:val="0"/>
          <w:marBottom w:val="0"/>
          <w:divBdr>
            <w:top w:val="none" w:sz="0" w:space="0" w:color="auto"/>
            <w:left w:val="none" w:sz="0" w:space="0" w:color="auto"/>
            <w:bottom w:val="none" w:sz="0" w:space="0" w:color="auto"/>
            <w:right w:val="none" w:sz="0" w:space="0" w:color="auto"/>
          </w:divBdr>
        </w:div>
        <w:div w:id="1382830508">
          <w:marLeft w:val="480"/>
          <w:marRight w:val="0"/>
          <w:marTop w:val="0"/>
          <w:marBottom w:val="0"/>
          <w:divBdr>
            <w:top w:val="none" w:sz="0" w:space="0" w:color="auto"/>
            <w:left w:val="none" w:sz="0" w:space="0" w:color="auto"/>
            <w:bottom w:val="none" w:sz="0" w:space="0" w:color="auto"/>
            <w:right w:val="none" w:sz="0" w:space="0" w:color="auto"/>
          </w:divBdr>
        </w:div>
        <w:div w:id="1949267475">
          <w:marLeft w:val="480"/>
          <w:marRight w:val="0"/>
          <w:marTop w:val="0"/>
          <w:marBottom w:val="0"/>
          <w:divBdr>
            <w:top w:val="none" w:sz="0" w:space="0" w:color="auto"/>
            <w:left w:val="none" w:sz="0" w:space="0" w:color="auto"/>
            <w:bottom w:val="none" w:sz="0" w:space="0" w:color="auto"/>
            <w:right w:val="none" w:sz="0" w:space="0" w:color="auto"/>
          </w:divBdr>
        </w:div>
        <w:div w:id="1911184864">
          <w:marLeft w:val="480"/>
          <w:marRight w:val="0"/>
          <w:marTop w:val="0"/>
          <w:marBottom w:val="0"/>
          <w:divBdr>
            <w:top w:val="none" w:sz="0" w:space="0" w:color="auto"/>
            <w:left w:val="none" w:sz="0" w:space="0" w:color="auto"/>
            <w:bottom w:val="none" w:sz="0" w:space="0" w:color="auto"/>
            <w:right w:val="none" w:sz="0" w:space="0" w:color="auto"/>
          </w:divBdr>
        </w:div>
        <w:div w:id="1745254824">
          <w:marLeft w:val="480"/>
          <w:marRight w:val="0"/>
          <w:marTop w:val="0"/>
          <w:marBottom w:val="0"/>
          <w:divBdr>
            <w:top w:val="none" w:sz="0" w:space="0" w:color="auto"/>
            <w:left w:val="none" w:sz="0" w:space="0" w:color="auto"/>
            <w:bottom w:val="none" w:sz="0" w:space="0" w:color="auto"/>
            <w:right w:val="none" w:sz="0" w:space="0" w:color="auto"/>
          </w:divBdr>
        </w:div>
        <w:div w:id="1475831305">
          <w:marLeft w:val="480"/>
          <w:marRight w:val="0"/>
          <w:marTop w:val="0"/>
          <w:marBottom w:val="0"/>
          <w:divBdr>
            <w:top w:val="none" w:sz="0" w:space="0" w:color="auto"/>
            <w:left w:val="none" w:sz="0" w:space="0" w:color="auto"/>
            <w:bottom w:val="none" w:sz="0" w:space="0" w:color="auto"/>
            <w:right w:val="none" w:sz="0" w:space="0" w:color="auto"/>
          </w:divBdr>
        </w:div>
        <w:div w:id="162428958">
          <w:marLeft w:val="480"/>
          <w:marRight w:val="0"/>
          <w:marTop w:val="0"/>
          <w:marBottom w:val="0"/>
          <w:divBdr>
            <w:top w:val="none" w:sz="0" w:space="0" w:color="auto"/>
            <w:left w:val="none" w:sz="0" w:space="0" w:color="auto"/>
            <w:bottom w:val="none" w:sz="0" w:space="0" w:color="auto"/>
            <w:right w:val="none" w:sz="0" w:space="0" w:color="auto"/>
          </w:divBdr>
        </w:div>
        <w:div w:id="739719941">
          <w:marLeft w:val="480"/>
          <w:marRight w:val="0"/>
          <w:marTop w:val="0"/>
          <w:marBottom w:val="0"/>
          <w:divBdr>
            <w:top w:val="none" w:sz="0" w:space="0" w:color="auto"/>
            <w:left w:val="none" w:sz="0" w:space="0" w:color="auto"/>
            <w:bottom w:val="none" w:sz="0" w:space="0" w:color="auto"/>
            <w:right w:val="none" w:sz="0" w:space="0" w:color="auto"/>
          </w:divBdr>
        </w:div>
        <w:div w:id="805002435">
          <w:marLeft w:val="480"/>
          <w:marRight w:val="0"/>
          <w:marTop w:val="0"/>
          <w:marBottom w:val="0"/>
          <w:divBdr>
            <w:top w:val="none" w:sz="0" w:space="0" w:color="auto"/>
            <w:left w:val="none" w:sz="0" w:space="0" w:color="auto"/>
            <w:bottom w:val="none" w:sz="0" w:space="0" w:color="auto"/>
            <w:right w:val="none" w:sz="0" w:space="0" w:color="auto"/>
          </w:divBdr>
        </w:div>
        <w:div w:id="712998144">
          <w:marLeft w:val="480"/>
          <w:marRight w:val="0"/>
          <w:marTop w:val="0"/>
          <w:marBottom w:val="0"/>
          <w:divBdr>
            <w:top w:val="none" w:sz="0" w:space="0" w:color="auto"/>
            <w:left w:val="none" w:sz="0" w:space="0" w:color="auto"/>
            <w:bottom w:val="none" w:sz="0" w:space="0" w:color="auto"/>
            <w:right w:val="none" w:sz="0" w:space="0" w:color="auto"/>
          </w:divBdr>
        </w:div>
        <w:div w:id="476142663">
          <w:marLeft w:val="480"/>
          <w:marRight w:val="0"/>
          <w:marTop w:val="0"/>
          <w:marBottom w:val="0"/>
          <w:divBdr>
            <w:top w:val="none" w:sz="0" w:space="0" w:color="auto"/>
            <w:left w:val="none" w:sz="0" w:space="0" w:color="auto"/>
            <w:bottom w:val="none" w:sz="0" w:space="0" w:color="auto"/>
            <w:right w:val="none" w:sz="0" w:space="0" w:color="auto"/>
          </w:divBdr>
        </w:div>
        <w:div w:id="1725987681">
          <w:marLeft w:val="480"/>
          <w:marRight w:val="0"/>
          <w:marTop w:val="0"/>
          <w:marBottom w:val="0"/>
          <w:divBdr>
            <w:top w:val="none" w:sz="0" w:space="0" w:color="auto"/>
            <w:left w:val="none" w:sz="0" w:space="0" w:color="auto"/>
            <w:bottom w:val="none" w:sz="0" w:space="0" w:color="auto"/>
            <w:right w:val="none" w:sz="0" w:space="0" w:color="auto"/>
          </w:divBdr>
        </w:div>
        <w:div w:id="1070494284">
          <w:marLeft w:val="480"/>
          <w:marRight w:val="0"/>
          <w:marTop w:val="0"/>
          <w:marBottom w:val="0"/>
          <w:divBdr>
            <w:top w:val="none" w:sz="0" w:space="0" w:color="auto"/>
            <w:left w:val="none" w:sz="0" w:space="0" w:color="auto"/>
            <w:bottom w:val="none" w:sz="0" w:space="0" w:color="auto"/>
            <w:right w:val="none" w:sz="0" w:space="0" w:color="auto"/>
          </w:divBdr>
        </w:div>
        <w:div w:id="1399011403">
          <w:marLeft w:val="480"/>
          <w:marRight w:val="0"/>
          <w:marTop w:val="0"/>
          <w:marBottom w:val="0"/>
          <w:divBdr>
            <w:top w:val="none" w:sz="0" w:space="0" w:color="auto"/>
            <w:left w:val="none" w:sz="0" w:space="0" w:color="auto"/>
            <w:bottom w:val="none" w:sz="0" w:space="0" w:color="auto"/>
            <w:right w:val="none" w:sz="0" w:space="0" w:color="auto"/>
          </w:divBdr>
        </w:div>
        <w:div w:id="2092308722">
          <w:marLeft w:val="480"/>
          <w:marRight w:val="0"/>
          <w:marTop w:val="0"/>
          <w:marBottom w:val="0"/>
          <w:divBdr>
            <w:top w:val="none" w:sz="0" w:space="0" w:color="auto"/>
            <w:left w:val="none" w:sz="0" w:space="0" w:color="auto"/>
            <w:bottom w:val="none" w:sz="0" w:space="0" w:color="auto"/>
            <w:right w:val="none" w:sz="0" w:space="0" w:color="auto"/>
          </w:divBdr>
        </w:div>
        <w:div w:id="1545026271">
          <w:marLeft w:val="480"/>
          <w:marRight w:val="0"/>
          <w:marTop w:val="0"/>
          <w:marBottom w:val="0"/>
          <w:divBdr>
            <w:top w:val="none" w:sz="0" w:space="0" w:color="auto"/>
            <w:left w:val="none" w:sz="0" w:space="0" w:color="auto"/>
            <w:bottom w:val="none" w:sz="0" w:space="0" w:color="auto"/>
            <w:right w:val="none" w:sz="0" w:space="0" w:color="auto"/>
          </w:divBdr>
        </w:div>
        <w:div w:id="1908803954">
          <w:marLeft w:val="480"/>
          <w:marRight w:val="0"/>
          <w:marTop w:val="0"/>
          <w:marBottom w:val="0"/>
          <w:divBdr>
            <w:top w:val="none" w:sz="0" w:space="0" w:color="auto"/>
            <w:left w:val="none" w:sz="0" w:space="0" w:color="auto"/>
            <w:bottom w:val="none" w:sz="0" w:space="0" w:color="auto"/>
            <w:right w:val="none" w:sz="0" w:space="0" w:color="auto"/>
          </w:divBdr>
        </w:div>
        <w:div w:id="609362545">
          <w:marLeft w:val="480"/>
          <w:marRight w:val="0"/>
          <w:marTop w:val="0"/>
          <w:marBottom w:val="0"/>
          <w:divBdr>
            <w:top w:val="none" w:sz="0" w:space="0" w:color="auto"/>
            <w:left w:val="none" w:sz="0" w:space="0" w:color="auto"/>
            <w:bottom w:val="none" w:sz="0" w:space="0" w:color="auto"/>
            <w:right w:val="none" w:sz="0" w:space="0" w:color="auto"/>
          </w:divBdr>
        </w:div>
        <w:div w:id="355228780">
          <w:marLeft w:val="480"/>
          <w:marRight w:val="0"/>
          <w:marTop w:val="0"/>
          <w:marBottom w:val="0"/>
          <w:divBdr>
            <w:top w:val="none" w:sz="0" w:space="0" w:color="auto"/>
            <w:left w:val="none" w:sz="0" w:space="0" w:color="auto"/>
            <w:bottom w:val="none" w:sz="0" w:space="0" w:color="auto"/>
            <w:right w:val="none" w:sz="0" w:space="0" w:color="auto"/>
          </w:divBdr>
        </w:div>
        <w:div w:id="1631747008">
          <w:marLeft w:val="480"/>
          <w:marRight w:val="0"/>
          <w:marTop w:val="0"/>
          <w:marBottom w:val="0"/>
          <w:divBdr>
            <w:top w:val="none" w:sz="0" w:space="0" w:color="auto"/>
            <w:left w:val="none" w:sz="0" w:space="0" w:color="auto"/>
            <w:bottom w:val="none" w:sz="0" w:space="0" w:color="auto"/>
            <w:right w:val="none" w:sz="0" w:space="0" w:color="auto"/>
          </w:divBdr>
        </w:div>
        <w:div w:id="1340234116">
          <w:marLeft w:val="480"/>
          <w:marRight w:val="0"/>
          <w:marTop w:val="0"/>
          <w:marBottom w:val="0"/>
          <w:divBdr>
            <w:top w:val="none" w:sz="0" w:space="0" w:color="auto"/>
            <w:left w:val="none" w:sz="0" w:space="0" w:color="auto"/>
            <w:bottom w:val="none" w:sz="0" w:space="0" w:color="auto"/>
            <w:right w:val="none" w:sz="0" w:space="0" w:color="auto"/>
          </w:divBdr>
        </w:div>
        <w:div w:id="625357446">
          <w:marLeft w:val="480"/>
          <w:marRight w:val="0"/>
          <w:marTop w:val="0"/>
          <w:marBottom w:val="0"/>
          <w:divBdr>
            <w:top w:val="none" w:sz="0" w:space="0" w:color="auto"/>
            <w:left w:val="none" w:sz="0" w:space="0" w:color="auto"/>
            <w:bottom w:val="none" w:sz="0" w:space="0" w:color="auto"/>
            <w:right w:val="none" w:sz="0" w:space="0" w:color="auto"/>
          </w:divBdr>
        </w:div>
        <w:div w:id="2119711360">
          <w:marLeft w:val="480"/>
          <w:marRight w:val="0"/>
          <w:marTop w:val="0"/>
          <w:marBottom w:val="0"/>
          <w:divBdr>
            <w:top w:val="none" w:sz="0" w:space="0" w:color="auto"/>
            <w:left w:val="none" w:sz="0" w:space="0" w:color="auto"/>
            <w:bottom w:val="none" w:sz="0" w:space="0" w:color="auto"/>
            <w:right w:val="none" w:sz="0" w:space="0" w:color="auto"/>
          </w:divBdr>
        </w:div>
        <w:div w:id="571814548">
          <w:marLeft w:val="480"/>
          <w:marRight w:val="0"/>
          <w:marTop w:val="0"/>
          <w:marBottom w:val="0"/>
          <w:divBdr>
            <w:top w:val="none" w:sz="0" w:space="0" w:color="auto"/>
            <w:left w:val="none" w:sz="0" w:space="0" w:color="auto"/>
            <w:bottom w:val="none" w:sz="0" w:space="0" w:color="auto"/>
            <w:right w:val="none" w:sz="0" w:space="0" w:color="auto"/>
          </w:divBdr>
        </w:div>
        <w:div w:id="854345747">
          <w:marLeft w:val="480"/>
          <w:marRight w:val="0"/>
          <w:marTop w:val="0"/>
          <w:marBottom w:val="0"/>
          <w:divBdr>
            <w:top w:val="none" w:sz="0" w:space="0" w:color="auto"/>
            <w:left w:val="none" w:sz="0" w:space="0" w:color="auto"/>
            <w:bottom w:val="none" w:sz="0" w:space="0" w:color="auto"/>
            <w:right w:val="none" w:sz="0" w:space="0" w:color="auto"/>
          </w:divBdr>
        </w:div>
        <w:div w:id="313460196">
          <w:marLeft w:val="480"/>
          <w:marRight w:val="0"/>
          <w:marTop w:val="0"/>
          <w:marBottom w:val="0"/>
          <w:divBdr>
            <w:top w:val="none" w:sz="0" w:space="0" w:color="auto"/>
            <w:left w:val="none" w:sz="0" w:space="0" w:color="auto"/>
            <w:bottom w:val="none" w:sz="0" w:space="0" w:color="auto"/>
            <w:right w:val="none" w:sz="0" w:space="0" w:color="auto"/>
          </w:divBdr>
        </w:div>
        <w:div w:id="16198007">
          <w:marLeft w:val="480"/>
          <w:marRight w:val="0"/>
          <w:marTop w:val="0"/>
          <w:marBottom w:val="0"/>
          <w:divBdr>
            <w:top w:val="none" w:sz="0" w:space="0" w:color="auto"/>
            <w:left w:val="none" w:sz="0" w:space="0" w:color="auto"/>
            <w:bottom w:val="none" w:sz="0" w:space="0" w:color="auto"/>
            <w:right w:val="none" w:sz="0" w:space="0" w:color="auto"/>
          </w:divBdr>
        </w:div>
        <w:div w:id="1345789295">
          <w:marLeft w:val="480"/>
          <w:marRight w:val="0"/>
          <w:marTop w:val="0"/>
          <w:marBottom w:val="0"/>
          <w:divBdr>
            <w:top w:val="none" w:sz="0" w:space="0" w:color="auto"/>
            <w:left w:val="none" w:sz="0" w:space="0" w:color="auto"/>
            <w:bottom w:val="none" w:sz="0" w:space="0" w:color="auto"/>
            <w:right w:val="none" w:sz="0" w:space="0" w:color="auto"/>
          </w:divBdr>
        </w:div>
        <w:div w:id="1163931820">
          <w:marLeft w:val="480"/>
          <w:marRight w:val="0"/>
          <w:marTop w:val="0"/>
          <w:marBottom w:val="0"/>
          <w:divBdr>
            <w:top w:val="none" w:sz="0" w:space="0" w:color="auto"/>
            <w:left w:val="none" w:sz="0" w:space="0" w:color="auto"/>
            <w:bottom w:val="none" w:sz="0" w:space="0" w:color="auto"/>
            <w:right w:val="none" w:sz="0" w:space="0" w:color="auto"/>
          </w:divBdr>
        </w:div>
        <w:div w:id="68162424">
          <w:marLeft w:val="480"/>
          <w:marRight w:val="0"/>
          <w:marTop w:val="0"/>
          <w:marBottom w:val="0"/>
          <w:divBdr>
            <w:top w:val="none" w:sz="0" w:space="0" w:color="auto"/>
            <w:left w:val="none" w:sz="0" w:space="0" w:color="auto"/>
            <w:bottom w:val="none" w:sz="0" w:space="0" w:color="auto"/>
            <w:right w:val="none" w:sz="0" w:space="0" w:color="auto"/>
          </w:divBdr>
        </w:div>
        <w:div w:id="629364569">
          <w:marLeft w:val="480"/>
          <w:marRight w:val="0"/>
          <w:marTop w:val="0"/>
          <w:marBottom w:val="0"/>
          <w:divBdr>
            <w:top w:val="none" w:sz="0" w:space="0" w:color="auto"/>
            <w:left w:val="none" w:sz="0" w:space="0" w:color="auto"/>
            <w:bottom w:val="none" w:sz="0" w:space="0" w:color="auto"/>
            <w:right w:val="none" w:sz="0" w:space="0" w:color="auto"/>
          </w:divBdr>
        </w:div>
        <w:div w:id="619382889">
          <w:marLeft w:val="480"/>
          <w:marRight w:val="0"/>
          <w:marTop w:val="0"/>
          <w:marBottom w:val="0"/>
          <w:divBdr>
            <w:top w:val="none" w:sz="0" w:space="0" w:color="auto"/>
            <w:left w:val="none" w:sz="0" w:space="0" w:color="auto"/>
            <w:bottom w:val="none" w:sz="0" w:space="0" w:color="auto"/>
            <w:right w:val="none" w:sz="0" w:space="0" w:color="auto"/>
          </w:divBdr>
        </w:div>
        <w:div w:id="1742170538">
          <w:marLeft w:val="480"/>
          <w:marRight w:val="0"/>
          <w:marTop w:val="0"/>
          <w:marBottom w:val="0"/>
          <w:divBdr>
            <w:top w:val="none" w:sz="0" w:space="0" w:color="auto"/>
            <w:left w:val="none" w:sz="0" w:space="0" w:color="auto"/>
            <w:bottom w:val="none" w:sz="0" w:space="0" w:color="auto"/>
            <w:right w:val="none" w:sz="0" w:space="0" w:color="auto"/>
          </w:divBdr>
        </w:div>
        <w:div w:id="678434588">
          <w:marLeft w:val="480"/>
          <w:marRight w:val="0"/>
          <w:marTop w:val="0"/>
          <w:marBottom w:val="0"/>
          <w:divBdr>
            <w:top w:val="none" w:sz="0" w:space="0" w:color="auto"/>
            <w:left w:val="none" w:sz="0" w:space="0" w:color="auto"/>
            <w:bottom w:val="none" w:sz="0" w:space="0" w:color="auto"/>
            <w:right w:val="none" w:sz="0" w:space="0" w:color="auto"/>
          </w:divBdr>
        </w:div>
        <w:div w:id="339506491">
          <w:marLeft w:val="480"/>
          <w:marRight w:val="0"/>
          <w:marTop w:val="0"/>
          <w:marBottom w:val="0"/>
          <w:divBdr>
            <w:top w:val="none" w:sz="0" w:space="0" w:color="auto"/>
            <w:left w:val="none" w:sz="0" w:space="0" w:color="auto"/>
            <w:bottom w:val="none" w:sz="0" w:space="0" w:color="auto"/>
            <w:right w:val="none" w:sz="0" w:space="0" w:color="auto"/>
          </w:divBdr>
        </w:div>
        <w:div w:id="862789275">
          <w:marLeft w:val="480"/>
          <w:marRight w:val="0"/>
          <w:marTop w:val="0"/>
          <w:marBottom w:val="0"/>
          <w:divBdr>
            <w:top w:val="none" w:sz="0" w:space="0" w:color="auto"/>
            <w:left w:val="none" w:sz="0" w:space="0" w:color="auto"/>
            <w:bottom w:val="none" w:sz="0" w:space="0" w:color="auto"/>
            <w:right w:val="none" w:sz="0" w:space="0" w:color="auto"/>
          </w:divBdr>
        </w:div>
        <w:div w:id="192232283">
          <w:marLeft w:val="480"/>
          <w:marRight w:val="0"/>
          <w:marTop w:val="0"/>
          <w:marBottom w:val="0"/>
          <w:divBdr>
            <w:top w:val="none" w:sz="0" w:space="0" w:color="auto"/>
            <w:left w:val="none" w:sz="0" w:space="0" w:color="auto"/>
            <w:bottom w:val="none" w:sz="0" w:space="0" w:color="auto"/>
            <w:right w:val="none" w:sz="0" w:space="0" w:color="auto"/>
          </w:divBdr>
        </w:div>
        <w:div w:id="1534265154">
          <w:marLeft w:val="480"/>
          <w:marRight w:val="0"/>
          <w:marTop w:val="0"/>
          <w:marBottom w:val="0"/>
          <w:divBdr>
            <w:top w:val="none" w:sz="0" w:space="0" w:color="auto"/>
            <w:left w:val="none" w:sz="0" w:space="0" w:color="auto"/>
            <w:bottom w:val="none" w:sz="0" w:space="0" w:color="auto"/>
            <w:right w:val="none" w:sz="0" w:space="0" w:color="auto"/>
          </w:divBdr>
        </w:div>
        <w:div w:id="1679502026">
          <w:marLeft w:val="480"/>
          <w:marRight w:val="0"/>
          <w:marTop w:val="0"/>
          <w:marBottom w:val="0"/>
          <w:divBdr>
            <w:top w:val="none" w:sz="0" w:space="0" w:color="auto"/>
            <w:left w:val="none" w:sz="0" w:space="0" w:color="auto"/>
            <w:bottom w:val="none" w:sz="0" w:space="0" w:color="auto"/>
            <w:right w:val="none" w:sz="0" w:space="0" w:color="auto"/>
          </w:divBdr>
        </w:div>
        <w:div w:id="118568533">
          <w:marLeft w:val="480"/>
          <w:marRight w:val="0"/>
          <w:marTop w:val="0"/>
          <w:marBottom w:val="0"/>
          <w:divBdr>
            <w:top w:val="none" w:sz="0" w:space="0" w:color="auto"/>
            <w:left w:val="none" w:sz="0" w:space="0" w:color="auto"/>
            <w:bottom w:val="none" w:sz="0" w:space="0" w:color="auto"/>
            <w:right w:val="none" w:sz="0" w:space="0" w:color="auto"/>
          </w:divBdr>
        </w:div>
        <w:div w:id="747504502">
          <w:marLeft w:val="480"/>
          <w:marRight w:val="0"/>
          <w:marTop w:val="0"/>
          <w:marBottom w:val="0"/>
          <w:divBdr>
            <w:top w:val="none" w:sz="0" w:space="0" w:color="auto"/>
            <w:left w:val="none" w:sz="0" w:space="0" w:color="auto"/>
            <w:bottom w:val="none" w:sz="0" w:space="0" w:color="auto"/>
            <w:right w:val="none" w:sz="0" w:space="0" w:color="auto"/>
          </w:divBdr>
        </w:div>
        <w:div w:id="1828739568">
          <w:marLeft w:val="480"/>
          <w:marRight w:val="0"/>
          <w:marTop w:val="0"/>
          <w:marBottom w:val="0"/>
          <w:divBdr>
            <w:top w:val="none" w:sz="0" w:space="0" w:color="auto"/>
            <w:left w:val="none" w:sz="0" w:space="0" w:color="auto"/>
            <w:bottom w:val="none" w:sz="0" w:space="0" w:color="auto"/>
            <w:right w:val="none" w:sz="0" w:space="0" w:color="auto"/>
          </w:divBdr>
        </w:div>
        <w:div w:id="223033988">
          <w:marLeft w:val="480"/>
          <w:marRight w:val="0"/>
          <w:marTop w:val="0"/>
          <w:marBottom w:val="0"/>
          <w:divBdr>
            <w:top w:val="none" w:sz="0" w:space="0" w:color="auto"/>
            <w:left w:val="none" w:sz="0" w:space="0" w:color="auto"/>
            <w:bottom w:val="none" w:sz="0" w:space="0" w:color="auto"/>
            <w:right w:val="none" w:sz="0" w:space="0" w:color="auto"/>
          </w:divBdr>
        </w:div>
        <w:div w:id="934286440">
          <w:marLeft w:val="480"/>
          <w:marRight w:val="0"/>
          <w:marTop w:val="0"/>
          <w:marBottom w:val="0"/>
          <w:divBdr>
            <w:top w:val="none" w:sz="0" w:space="0" w:color="auto"/>
            <w:left w:val="none" w:sz="0" w:space="0" w:color="auto"/>
            <w:bottom w:val="none" w:sz="0" w:space="0" w:color="auto"/>
            <w:right w:val="none" w:sz="0" w:space="0" w:color="auto"/>
          </w:divBdr>
        </w:div>
        <w:div w:id="1456101574">
          <w:marLeft w:val="480"/>
          <w:marRight w:val="0"/>
          <w:marTop w:val="0"/>
          <w:marBottom w:val="0"/>
          <w:divBdr>
            <w:top w:val="none" w:sz="0" w:space="0" w:color="auto"/>
            <w:left w:val="none" w:sz="0" w:space="0" w:color="auto"/>
            <w:bottom w:val="none" w:sz="0" w:space="0" w:color="auto"/>
            <w:right w:val="none" w:sz="0" w:space="0" w:color="auto"/>
          </w:divBdr>
        </w:div>
        <w:div w:id="603344787">
          <w:marLeft w:val="480"/>
          <w:marRight w:val="0"/>
          <w:marTop w:val="0"/>
          <w:marBottom w:val="0"/>
          <w:divBdr>
            <w:top w:val="none" w:sz="0" w:space="0" w:color="auto"/>
            <w:left w:val="none" w:sz="0" w:space="0" w:color="auto"/>
            <w:bottom w:val="none" w:sz="0" w:space="0" w:color="auto"/>
            <w:right w:val="none" w:sz="0" w:space="0" w:color="auto"/>
          </w:divBdr>
        </w:div>
        <w:div w:id="349531422">
          <w:marLeft w:val="480"/>
          <w:marRight w:val="0"/>
          <w:marTop w:val="0"/>
          <w:marBottom w:val="0"/>
          <w:divBdr>
            <w:top w:val="none" w:sz="0" w:space="0" w:color="auto"/>
            <w:left w:val="none" w:sz="0" w:space="0" w:color="auto"/>
            <w:bottom w:val="none" w:sz="0" w:space="0" w:color="auto"/>
            <w:right w:val="none" w:sz="0" w:space="0" w:color="auto"/>
          </w:divBdr>
        </w:div>
        <w:div w:id="236550109">
          <w:marLeft w:val="480"/>
          <w:marRight w:val="0"/>
          <w:marTop w:val="0"/>
          <w:marBottom w:val="0"/>
          <w:divBdr>
            <w:top w:val="none" w:sz="0" w:space="0" w:color="auto"/>
            <w:left w:val="none" w:sz="0" w:space="0" w:color="auto"/>
            <w:bottom w:val="none" w:sz="0" w:space="0" w:color="auto"/>
            <w:right w:val="none" w:sz="0" w:space="0" w:color="auto"/>
          </w:divBdr>
        </w:div>
        <w:div w:id="1390304809">
          <w:marLeft w:val="480"/>
          <w:marRight w:val="0"/>
          <w:marTop w:val="0"/>
          <w:marBottom w:val="0"/>
          <w:divBdr>
            <w:top w:val="none" w:sz="0" w:space="0" w:color="auto"/>
            <w:left w:val="none" w:sz="0" w:space="0" w:color="auto"/>
            <w:bottom w:val="none" w:sz="0" w:space="0" w:color="auto"/>
            <w:right w:val="none" w:sz="0" w:space="0" w:color="auto"/>
          </w:divBdr>
        </w:div>
        <w:div w:id="343829742">
          <w:marLeft w:val="480"/>
          <w:marRight w:val="0"/>
          <w:marTop w:val="0"/>
          <w:marBottom w:val="0"/>
          <w:divBdr>
            <w:top w:val="none" w:sz="0" w:space="0" w:color="auto"/>
            <w:left w:val="none" w:sz="0" w:space="0" w:color="auto"/>
            <w:bottom w:val="none" w:sz="0" w:space="0" w:color="auto"/>
            <w:right w:val="none" w:sz="0" w:space="0" w:color="auto"/>
          </w:divBdr>
        </w:div>
        <w:div w:id="1327320774">
          <w:marLeft w:val="480"/>
          <w:marRight w:val="0"/>
          <w:marTop w:val="0"/>
          <w:marBottom w:val="0"/>
          <w:divBdr>
            <w:top w:val="none" w:sz="0" w:space="0" w:color="auto"/>
            <w:left w:val="none" w:sz="0" w:space="0" w:color="auto"/>
            <w:bottom w:val="none" w:sz="0" w:space="0" w:color="auto"/>
            <w:right w:val="none" w:sz="0" w:space="0" w:color="auto"/>
          </w:divBdr>
        </w:div>
        <w:div w:id="2101944856">
          <w:marLeft w:val="480"/>
          <w:marRight w:val="0"/>
          <w:marTop w:val="0"/>
          <w:marBottom w:val="0"/>
          <w:divBdr>
            <w:top w:val="none" w:sz="0" w:space="0" w:color="auto"/>
            <w:left w:val="none" w:sz="0" w:space="0" w:color="auto"/>
            <w:bottom w:val="none" w:sz="0" w:space="0" w:color="auto"/>
            <w:right w:val="none" w:sz="0" w:space="0" w:color="auto"/>
          </w:divBdr>
        </w:div>
        <w:div w:id="494497738">
          <w:marLeft w:val="480"/>
          <w:marRight w:val="0"/>
          <w:marTop w:val="0"/>
          <w:marBottom w:val="0"/>
          <w:divBdr>
            <w:top w:val="none" w:sz="0" w:space="0" w:color="auto"/>
            <w:left w:val="none" w:sz="0" w:space="0" w:color="auto"/>
            <w:bottom w:val="none" w:sz="0" w:space="0" w:color="auto"/>
            <w:right w:val="none" w:sz="0" w:space="0" w:color="auto"/>
          </w:divBdr>
        </w:div>
        <w:div w:id="1218122623">
          <w:marLeft w:val="480"/>
          <w:marRight w:val="0"/>
          <w:marTop w:val="0"/>
          <w:marBottom w:val="0"/>
          <w:divBdr>
            <w:top w:val="none" w:sz="0" w:space="0" w:color="auto"/>
            <w:left w:val="none" w:sz="0" w:space="0" w:color="auto"/>
            <w:bottom w:val="none" w:sz="0" w:space="0" w:color="auto"/>
            <w:right w:val="none" w:sz="0" w:space="0" w:color="auto"/>
          </w:divBdr>
        </w:div>
        <w:div w:id="1991518235">
          <w:marLeft w:val="480"/>
          <w:marRight w:val="0"/>
          <w:marTop w:val="0"/>
          <w:marBottom w:val="0"/>
          <w:divBdr>
            <w:top w:val="none" w:sz="0" w:space="0" w:color="auto"/>
            <w:left w:val="none" w:sz="0" w:space="0" w:color="auto"/>
            <w:bottom w:val="none" w:sz="0" w:space="0" w:color="auto"/>
            <w:right w:val="none" w:sz="0" w:space="0" w:color="auto"/>
          </w:divBdr>
        </w:div>
        <w:div w:id="2128236641">
          <w:marLeft w:val="480"/>
          <w:marRight w:val="0"/>
          <w:marTop w:val="0"/>
          <w:marBottom w:val="0"/>
          <w:divBdr>
            <w:top w:val="none" w:sz="0" w:space="0" w:color="auto"/>
            <w:left w:val="none" w:sz="0" w:space="0" w:color="auto"/>
            <w:bottom w:val="none" w:sz="0" w:space="0" w:color="auto"/>
            <w:right w:val="none" w:sz="0" w:space="0" w:color="auto"/>
          </w:divBdr>
        </w:div>
        <w:div w:id="1509440606">
          <w:marLeft w:val="480"/>
          <w:marRight w:val="0"/>
          <w:marTop w:val="0"/>
          <w:marBottom w:val="0"/>
          <w:divBdr>
            <w:top w:val="none" w:sz="0" w:space="0" w:color="auto"/>
            <w:left w:val="none" w:sz="0" w:space="0" w:color="auto"/>
            <w:bottom w:val="none" w:sz="0" w:space="0" w:color="auto"/>
            <w:right w:val="none" w:sz="0" w:space="0" w:color="auto"/>
          </w:divBdr>
        </w:div>
        <w:div w:id="232736968">
          <w:marLeft w:val="480"/>
          <w:marRight w:val="0"/>
          <w:marTop w:val="0"/>
          <w:marBottom w:val="0"/>
          <w:divBdr>
            <w:top w:val="none" w:sz="0" w:space="0" w:color="auto"/>
            <w:left w:val="none" w:sz="0" w:space="0" w:color="auto"/>
            <w:bottom w:val="none" w:sz="0" w:space="0" w:color="auto"/>
            <w:right w:val="none" w:sz="0" w:space="0" w:color="auto"/>
          </w:divBdr>
        </w:div>
        <w:div w:id="338897204">
          <w:marLeft w:val="480"/>
          <w:marRight w:val="0"/>
          <w:marTop w:val="0"/>
          <w:marBottom w:val="0"/>
          <w:divBdr>
            <w:top w:val="none" w:sz="0" w:space="0" w:color="auto"/>
            <w:left w:val="none" w:sz="0" w:space="0" w:color="auto"/>
            <w:bottom w:val="none" w:sz="0" w:space="0" w:color="auto"/>
            <w:right w:val="none" w:sz="0" w:space="0" w:color="auto"/>
          </w:divBdr>
        </w:div>
        <w:div w:id="1545288768">
          <w:marLeft w:val="480"/>
          <w:marRight w:val="0"/>
          <w:marTop w:val="0"/>
          <w:marBottom w:val="0"/>
          <w:divBdr>
            <w:top w:val="none" w:sz="0" w:space="0" w:color="auto"/>
            <w:left w:val="none" w:sz="0" w:space="0" w:color="auto"/>
            <w:bottom w:val="none" w:sz="0" w:space="0" w:color="auto"/>
            <w:right w:val="none" w:sz="0" w:space="0" w:color="auto"/>
          </w:divBdr>
        </w:div>
        <w:div w:id="974607348">
          <w:marLeft w:val="480"/>
          <w:marRight w:val="0"/>
          <w:marTop w:val="0"/>
          <w:marBottom w:val="0"/>
          <w:divBdr>
            <w:top w:val="none" w:sz="0" w:space="0" w:color="auto"/>
            <w:left w:val="none" w:sz="0" w:space="0" w:color="auto"/>
            <w:bottom w:val="none" w:sz="0" w:space="0" w:color="auto"/>
            <w:right w:val="none" w:sz="0" w:space="0" w:color="auto"/>
          </w:divBdr>
        </w:div>
        <w:div w:id="1873881515">
          <w:marLeft w:val="480"/>
          <w:marRight w:val="0"/>
          <w:marTop w:val="0"/>
          <w:marBottom w:val="0"/>
          <w:divBdr>
            <w:top w:val="none" w:sz="0" w:space="0" w:color="auto"/>
            <w:left w:val="none" w:sz="0" w:space="0" w:color="auto"/>
            <w:bottom w:val="none" w:sz="0" w:space="0" w:color="auto"/>
            <w:right w:val="none" w:sz="0" w:space="0" w:color="auto"/>
          </w:divBdr>
        </w:div>
        <w:div w:id="2072923161">
          <w:marLeft w:val="480"/>
          <w:marRight w:val="0"/>
          <w:marTop w:val="0"/>
          <w:marBottom w:val="0"/>
          <w:divBdr>
            <w:top w:val="none" w:sz="0" w:space="0" w:color="auto"/>
            <w:left w:val="none" w:sz="0" w:space="0" w:color="auto"/>
            <w:bottom w:val="none" w:sz="0" w:space="0" w:color="auto"/>
            <w:right w:val="none" w:sz="0" w:space="0" w:color="auto"/>
          </w:divBdr>
        </w:div>
        <w:div w:id="2141027192">
          <w:marLeft w:val="480"/>
          <w:marRight w:val="0"/>
          <w:marTop w:val="0"/>
          <w:marBottom w:val="0"/>
          <w:divBdr>
            <w:top w:val="none" w:sz="0" w:space="0" w:color="auto"/>
            <w:left w:val="none" w:sz="0" w:space="0" w:color="auto"/>
            <w:bottom w:val="none" w:sz="0" w:space="0" w:color="auto"/>
            <w:right w:val="none" w:sz="0" w:space="0" w:color="auto"/>
          </w:divBdr>
        </w:div>
        <w:div w:id="1249196430">
          <w:marLeft w:val="480"/>
          <w:marRight w:val="0"/>
          <w:marTop w:val="0"/>
          <w:marBottom w:val="0"/>
          <w:divBdr>
            <w:top w:val="none" w:sz="0" w:space="0" w:color="auto"/>
            <w:left w:val="none" w:sz="0" w:space="0" w:color="auto"/>
            <w:bottom w:val="none" w:sz="0" w:space="0" w:color="auto"/>
            <w:right w:val="none" w:sz="0" w:space="0" w:color="auto"/>
          </w:divBdr>
        </w:div>
        <w:div w:id="623970515">
          <w:marLeft w:val="480"/>
          <w:marRight w:val="0"/>
          <w:marTop w:val="0"/>
          <w:marBottom w:val="0"/>
          <w:divBdr>
            <w:top w:val="none" w:sz="0" w:space="0" w:color="auto"/>
            <w:left w:val="none" w:sz="0" w:space="0" w:color="auto"/>
            <w:bottom w:val="none" w:sz="0" w:space="0" w:color="auto"/>
            <w:right w:val="none" w:sz="0" w:space="0" w:color="auto"/>
          </w:divBdr>
        </w:div>
        <w:div w:id="1761025332">
          <w:marLeft w:val="480"/>
          <w:marRight w:val="0"/>
          <w:marTop w:val="0"/>
          <w:marBottom w:val="0"/>
          <w:divBdr>
            <w:top w:val="none" w:sz="0" w:space="0" w:color="auto"/>
            <w:left w:val="none" w:sz="0" w:space="0" w:color="auto"/>
            <w:bottom w:val="none" w:sz="0" w:space="0" w:color="auto"/>
            <w:right w:val="none" w:sz="0" w:space="0" w:color="auto"/>
          </w:divBdr>
        </w:div>
        <w:div w:id="2129153053">
          <w:marLeft w:val="480"/>
          <w:marRight w:val="0"/>
          <w:marTop w:val="0"/>
          <w:marBottom w:val="0"/>
          <w:divBdr>
            <w:top w:val="none" w:sz="0" w:space="0" w:color="auto"/>
            <w:left w:val="none" w:sz="0" w:space="0" w:color="auto"/>
            <w:bottom w:val="none" w:sz="0" w:space="0" w:color="auto"/>
            <w:right w:val="none" w:sz="0" w:space="0" w:color="auto"/>
          </w:divBdr>
        </w:div>
        <w:div w:id="223487684">
          <w:marLeft w:val="480"/>
          <w:marRight w:val="0"/>
          <w:marTop w:val="0"/>
          <w:marBottom w:val="0"/>
          <w:divBdr>
            <w:top w:val="none" w:sz="0" w:space="0" w:color="auto"/>
            <w:left w:val="none" w:sz="0" w:space="0" w:color="auto"/>
            <w:bottom w:val="none" w:sz="0" w:space="0" w:color="auto"/>
            <w:right w:val="none" w:sz="0" w:space="0" w:color="auto"/>
          </w:divBdr>
        </w:div>
        <w:div w:id="731268290">
          <w:marLeft w:val="480"/>
          <w:marRight w:val="0"/>
          <w:marTop w:val="0"/>
          <w:marBottom w:val="0"/>
          <w:divBdr>
            <w:top w:val="none" w:sz="0" w:space="0" w:color="auto"/>
            <w:left w:val="none" w:sz="0" w:space="0" w:color="auto"/>
            <w:bottom w:val="none" w:sz="0" w:space="0" w:color="auto"/>
            <w:right w:val="none" w:sz="0" w:space="0" w:color="auto"/>
          </w:divBdr>
        </w:div>
        <w:div w:id="68239510">
          <w:marLeft w:val="480"/>
          <w:marRight w:val="0"/>
          <w:marTop w:val="0"/>
          <w:marBottom w:val="0"/>
          <w:divBdr>
            <w:top w:val="none" w:sz="0" w:space="0" w:color="auto"/>
            <w:left w:val="none" w:sz="0" w:space="0" w:color="auto"/>
            <w:bottom w:val="none" w:sz="0" w:space="0" w:color="auto"/>
            <w:right w:val="none" w:sz="0" w:space="0" w:color="auto"/>
          </w:divBdr>
        </w:div>
        <w:div w:id="1208681634">
          <w:marLeft w:val="480"/>
          <w:marRight w:val="0"/>
          <w:marTop w:val="0"/>
          <w:marBottom w:val="0"/>
          <w:divBdr>
            <w:top w:val="none" w:sz="0" w:space="0" w:color="auto"/>
            <w:left w:val="none" w:sz="0" w:space="0" w:color="auto"/>
            <w:bottom w:val="none" w:sz="0" w:space="0" w:color="auto"/>
            <w:right w:val="none" w:sz="0" w:space="0" w:color="auto"/>
          </w:divBdr>
        </w:div>
        <w:div w:id="103615488">
          <w:marLeft w:val="480"/>
          <w:marRight w:val="0"/>
          <w:marTop w:val="0"/>
          <w:marBottom w:val="0"/>
          <w:divBdr>
            <w:top w:val="none" w:sz="0" w:space="0" w:color="auto"/>
            <w:left w:val="none" w:sz="0" w:space="0" w:color="auto"/>
            <w:bottom w:val="none" w:sz="0" w:space="0" w:color="auto"/>
            <w:right w:val="none" w:sz="0" w:space="0" w:color="auto"/>
          </w:divBdr>
        </w:div>
        <w:div w:id="1105154443">
          <w:marLeft w:val="480"/>
          <w:marRight w:val="0"/>
          <w:marTop w:val="0"/>
          <w:marBottom w:val="0"/>
          <w:divBdr>
            <w:top w:val="none" w:sz="0" w:space="0" w:color="auto"/>
            <w:left w:val="none" w:sz="0" w:space="0" w:color="auto"/>
            <w:bottom w:val="none" w:sz="0" w:space="0" w:color="auto"/>
            <w:right w:val="none" w:sz="0" w:space="0" w:color="auto"/>
          </w:divBdr>
        </w:div>
        <w:div w:id="1362394445">
          <w:marLeft w:val="480"/>
          <w:marRight w:val="0"/>
          <w:marTop w:val="0"/>
          <w:marBottom w:val="0"/>
          <w:divBdr>
            <w:top w:val="none" w:sz="0" w:space="0" w:color="auto"/>
            <w:left w:val="none" w:sz="0" w:space="0" w:color="auto"/>
            <w:bottom w:val="none" w:sz="0" w:space="0" w:color="auto"/>
            <w:right w:val="none" w:sz="0" w:space="0" w:color="auto"/>
          </w:divBdr>
        </w:div>
        <w:div w:id="1593971338">
          <w:marLeft w:val="480"/>
          <w:marRight w:val="0"/>
          <w:marTop w:val="0"/>
          <w:marBottom w:val="0"/>
          <w:divBdr>
            <w:top w:val="none" w:sz="0" w:space="0" w:color="auto"/>
            <w:left w:val="none" w:sz="0" w:space="0" w:color="auto"/>
            <w:bottom w:val="none" w:sz="0" w:space="0" w:color="auto"/>
            <w:right w:val="none" w:sz="0" w:space="0" w:color="auto"/>
          </w:divBdr>
        </w:div>
        <w:div w:id="355279389">
          <w:marLeft w:val="480"/>
          <w:marRight w:val="0"/>
          <w:marTop w:val="0"/>
          <w:marBottom w:val="0"/>
          <w:divBdr>
            <w:top w:val="none" w:sz="0" w:space="0" w:color="auto"/>
            <w:left w:val="none" w:sz="0" w:space="0" w:color="auto"/>
            <w:bottom w:val="none" w:sz="0" w:space="0" w:color="auto"/>
            <w:right w:val="none" w:sz="0" w:space="0" w:color="auto"/>
          </w:divBdr>
        </w:div>
        <w:div w:id="940138147">
          <w:marLeft w:val="480"/>
          <w:marRight w:val="0"/>
          <w:marTop w:val="0"/>
          <w:marBottom w:val="0"/>
          <w:divBdr>
            <w:top w:val="none" w:sz="0" w:space="0" w:color="auto"/>
            <w:left w:val="none" w:sz="0" w:space="0" w:color="auto"/>
            <w:bottom w:val="none" w:sz="0" w:space="0" w:color="auto"/>
            <w:right w:val="none" w:sz="0" w:space="0" w:color="auto"/>
          </w:divBdr>
        </w:div>
        <w:div w:id="399399945">
          <w:marLeft w:val="480"/>
          <w:marRight w:val="0"/>
          <w:marTop w:val="0"/>
          <w:marBottom w:val="0"/>
          <w:divBdr>
            <w:top w:val="none" w:sz="0" w:space="0" w:color="auto"/>
            <w:left w:val="none" w:sz="0" w:space="0" w:color="auto"/>
            <w:bottom w:val="none" w:sz="0" w:space="0" w:color="auto"/>
            <w:right w:val="none" w:sz="0" w:space="0" w:color="auto"/>
          </w:divBdr>
        </w:div>
        <w:div w:id="1535925217">
          <w:marLeft w:val="480"/>
          <w:marRight w:val="0"/>
          <w:marTop w:val="0"/>
          <w:marBottom w:val="0"/>
          <w:divBdr>
            <w:top w:val="none" w:sz="0" w:space="0" w:color="auto"/>
            <w:left w:val="none" w:sz="0" w:space="0" w:color="auto"/>
            <w:bottom w:val="none" w:sz="0" w:space="0" w:color="auto"/>
            <w:right w:val="none" w:sz="0" w:space="0" w:color="auto"/>
          </w:divBdr>
        </w:div>
        <w:div w:id="450440644">
          <w:marLeft w:val="480"/>
          <w:marRight w:val="0"/>
          <w:marTop w:val="0"/>
          <w:marBottom w:val="0"/>
          <w:divBdr>
            <w:top w:val="none" w:sz="0" w:space="0" w:color="auto"/>
            <w:left w:val="none" w:sz="0" w:space="0" w:color="auto"/>
            <w:bottom w:val="none" w:sz="0" w:space="0" w:color="auto"/>
            <w:right w:val="none" w:sz="0" w:space="0" w:color="auto"/>
          </w:divBdr>
        </w:div>
        <w:div w:id="2134056758">
          <w:marLeft w:val="480"/>
          <w:marRight w:val="0"/>
          <w:marTop w:val="0"/>
          <w:marBottom w:val="0"/>
          <w:divBdr>
            <w:top w:val="none" w:sz="0" w:space="0" w:color="auto"/>
            <w:left w:val="none" w:sz="0" w:space="0" w:color="auto"/>
            <w:bottom w:val="none" w:sz="0" w:space="0" w:color="auto"/>
            <w:right w:val="none" w:sz="0" w:space="0" w:color="auto"/>
          </w:divBdr>
        </w:div>
        <w:div w:id="2061779909">
          <w:marLeft w:val="480"/>
          <w:marRight w:val="0"/>
          <w:marTop w:val="0"/>
          <w:marBottom w:val="0"/>
          <w:divBdr>
            <w:top w:val="none" w:sz="0" w:space="0" w:color="auto"/>
            <w:left w:val="none" w:sz="0" w:space="0" w:color="auto"/>
            <w:bottom w:val="none" w:sz="0" w:space="0" w:color="auto"/>
            <w:right w:val="none" w:sz="0" w:space="0" w:color="auto"/>
          </w:divBdr>
        </w:div>
        <w:div w:id="771975494">
          <w:marLeft w:val="480"/>
          <w:marRight w:val="0"/>
          <w:marTop w:val="0"/>
          <w:marBottom w:val="0"/>
          <w:divBdr>
            <w:top w:val="none" w:sz="0" w:space="0" w:color="auto"/>
            <w:left w:val="none" w:sz="0" w:space="0" w:color="auto"/>
            <w:bottom w:val="none" w:sz="0" w:space="0" w:color="auto"/>
            <w:right w:val="none" w:sz="0" w:space="0" w:color="auto"/>
          </w:divBdr>
        </w:div>
        <w:div w:id="363336948">
          <w:marLeft w:val="480"/>
          <w:marRight w:val="0"/>
          <w:marTop w:val="0"/>
          <w:marBottom w:val="0"/>
          <w:divBdr>
            <w:top w:val="none" w:sz="0" w:space="0" w:color="auto"/>
            <w:left w:val="none" w:sz="0" w:space="0" w:color="auto"/>
            <w:bottom w:val="none" w:sz="0" w:space="0" w:color="auto"/>
            <w:right w:val="none" w:sz="0" w:space="0" w:color="auto"/>
          </w:divBdr>
        </w:div>
        <w:div w:id="1596667658">
          <w:marLeft w:val="480"/>
          <w:marRight w:val="0"/>
          <w:marTop w:val="0"/>
          <w:marBottom w:val="0"/>
          <w:divBdr>
            <w:top w:val="none" w:sz="0" w:space="0" w:color="auto"/>
            <w:left w:val="none" w:sz="0" w:space="0" w:color="auto"/>
            <w:bottom w:val="none" w:sz="0" w:space="0" w:color="auto"/>
            <w:right w:val="none" w:sz="0" w:space="0" w:color="auto"/>
          </w:divBdr>
        </w:div>
        <w:div w:id="1964071138">
          <w:marLeft w:val="480"/>
          <w:marRight w:val="0"/>
          <w:marTop w:val="0"/>
          <w:marBottom w:val="0"/>
          <w:divBdr>
            <w:top w:val="none" w:sz="0" w:space="0" w:color="auto"/>
            <w:left w:val="none" w:sz="0" w:space="0" w:color="auto"/>
            <w:bottom w:val="none" w:sz="0" w:space="0" w:color="auto"/>
            <w:right w:val="none" w:sz="0" w:space="0" w:color="auto"/>
          </w:divBdr>
        </w:div>
        <w:div w:id="997616914">
          <w:marLeft w:val="480"/>
          <w:marRight w:val="0"/>
          <w:marTop w:val="0"/>
          <w:marBottom w:val="0"/>
          <w:divBdr>
            <w:top w:val="none" w:sz="0" w:space="0" w:color="auto"/>
            <w:left w:val="none" w:sz="0" w:space="0" w:color="auto"/>
            <w:bottom w:val="none" w:sz="0" w:space="0" w:color="auto"/>
            <w:right w:val="none" w:sz="0" w:space="0" w:color="auto"/>
          </w:divBdr>
        </w:div>
        <w:div w:id="995960822">
          <w:marLeft w:val="480"/>
          <w:marRight w:val="0"/>
          <w:marTop w:val="0"/>
          <w:marBottom w:val="0"/>
          <w:divBdr>
            <w:top w:val="none" w:sz="0" w:space="0" w:color="auto"/>
            <w:left w:val="none" w:sz="0" w:space="0" w:color="auto"/>
            <w:bottom w:val="none" w:sz="0" w:space="0" w:color="auto"/>
            <w:right w:val="none" w:sz="0" w:space="0" w:color="auto"/>
          </w:divBdr>
        </w:div>
        <w:div w:id="282542746">
          <w:marLeft w:val="480"/>
          <w:marRight w:val="0"/>
          <w:marTop w:val="0"/>
          <w:marBottom w:val="0"/>
          <w:divBdr>
            <w:top w:val="none" w:sz="0" w:space="0" w:color="auto"/>
            <w:left w:val="none" w:sz="0" w:space="0" w:color="auto"/>
            <w:bottom w:val="none" w:sz="0" w:space="0" w:color="auto"/>
            <w:right w:val="none" w:sz="0" w:space="0" w:color="auto"/>
          </w:divBdr>
        </w:div>
        <w:div w:id="501622252">
          <w:marLeft w:val="480"/>
          <w:marRight w:val="0"/>
          <w:marTop w:val="0"/>
          <w:marBottom w:val="0"/>
          <w:divBdr>
            <w:top w:val="none" w:sz="0" w:space="0" w:color="auto"/>
            <w:left w:val="none" w:sz="0" w:space="0" w:color="auto"/>
            <w:bottom w:val="none" w:sz="0" w:space="0" w:color="auto"/>
            <w:right w:val="none" w:sz="0" w:space="0" w:color="auto"/>
          </w:divBdr>
        </w:div>
        <w:div w:id="269893195">
          <w:marLeft w:val="480"/>
          <w:marRight w:val="0"/>
          <w:marTop w:val="0"/>
          <w:marBottom w:val="0"/>
          <w:divBdr>
            <w:top w:val="none" w:sz="0" w:space="0" w:color="auto"/>
            <w:left w:val="none" w:sz="0" w:space="0" w:color="auto"/>
            <w:bottom w:val="none" w:sz="0" w:space="0" w:color="auto"/>
            <w:right w:val="none" w:sz="0" w:space="0" w:color="auto"/>
          </w:divBdr>
        </w:div>
        <w:div w:id="1857034155">
          <w:marLeft w:val="480"/>
          <w:marRight w:val="0"/>
          <w:marTop w:val="0"/>
          <w:marBottom w:val="0"/>
          <w:divBdr>
            <w:top w:val="none" w:sz="0" w:space="0" w:color="auto"/>
            <w:left w:val="none" w:sz="0" w:space="0" w:color="auto"/>
            <w:bottom w:val="none" w:sz="0" w:space="0" w:color="auto"/>
            <w:right w:val="none" w:sz="0" w:space="0" w:color="auto"/>
          </w:divBdr>
        </w:div>
        <w:div w:id="1457603253">
          <w:marLeft w:val="480"/>
          <w:marRight w:val="0"/>
          <w:marTop w:val="0"/>
          <w:marBottom w:val="0"/>
          <w:divBdr>
            <w:top w:val="none" w:sz="0" w:space="0" w:color="auto"/>
            <w:left w:val="none" w:sz="0" w:space="0" w:color="auto"/>
            <w:bottom w:val="none" w:sz="0" w:space="0" w:color="auto"/>
            <w:right w:val="none" w:sz="0" w:space="0" w:color="auto"/>
          </w:divBdr>
        </w:div>
        <w:div w:id="746849198">
          <w:marLeft w:val="480"/>
          <w:marRight w:val="0"/>
          <w:marTop w:val="0"/>
          <w:marBottom w:val="0"/>
          <w:divBdr>
            <w:top w:val="none" w:sz="0" w:space="0" w:color="auto"/>
            <w:left w:val="none" w:sz="0" w:space="0" w:color="auto"/>
            <w:bottom w:val="none" w:sz="0" w:space="0" w:color="auto"/>
            <w:right w:val="none" w:sz="0" w:space="0" w:color="auto"/>
          </w:divBdr>
        </w:div>
        <w:div w:id="1244148486">
          <w:marLeft w:val="480"/>
          <w:marRight w:val="0"/>
          <w:marTop w:val="0"/>
          <w:marBottom w:val="0"/>
          <w:divBdr>
            <w:top w:val="none" w:sz="0" w:space="0" w:color="auto"/>
            <w:left w:val="none" w:sz="0" w:space="0" w:color="auto"/>
            <w:bottom w:val="none" w:sz="0" w:space="0" w:color="auto"/>
            <w:right w:val="none" w:sz="0" w:space="0" w:color="auto"/>
          </w:divBdr>
        </w:div>
        <w:div w:id="948048051">
          <w:marLeft w:val="480"/>
          <w:marRight w:val="0"/>
          <w:marTop w:val="0"/>
          <w:marBottom w:val="0"/>
          <w:divBdr>
            <w:top w:val="none" w:sz="0" w:space="0" w:color="auto"/>
            <w:left w:val="none" w:sz="0" w:space="0" w:color="auto"/>
            <w:bottom w:val="none" w:sz="0" w:space="0" w:color="auto"/>
            <w:right w:val="none" w:sz="0" w:space="0" w:color="auto"/>
          </w:divBdr>
        </w:div>
      </w:divsChild>
    </w:div>
    <w:div w:id="560949930">
      <w:bodyDiv w:val="1"/>
      <w:marLeft w:val="0"/>
      <w:marRight w:val="0"/>
      <w:marTop w:val="0"/>
      <w:marBottom w:val="0"/>
      <w:divBdr>
        <w:top w:val="none" w:sz="0" w:space="0" w:color="auto"/>
        <w:left w:val="none" w:sz="0" w:space="0" w:color="auto"/>
        <w:bottom w:val="none" w:sz="0" w:space="0" w:color="auto"/>
        <w:right w:val="none" w:sz="0" w:space="0" w:color="auto"/>
      </w:divBdr>
    </w:div>
    <w:div w:id="562716497">
      <w:bodyDiv w:val="1"/>
      <w:marLeft w:val="0"/>
      <w:marRight w:val="0"/>
      <w:marTop w:val="0"/>
      <w:marBottom w:val="0"/>
      <w:divBdr>
        <w:top w:val="none" w:sz="0" w:space="0" w:color="auto"/>
        <w:left w:val="none" w:sz="0" w:space="0" w:color="auto"/>
        <w:bottom w:val="none" w:sz="0" w:space="0" w:color="auto"/>
        <w:right w:val="none" w:sz="0" w:space="0" w:color="auto"/>
      </w:divBdr>
    </w:div>
    <w:div w:id="562717165">
      <w:bodyDiv w:val="1"/>
      <w:marLeft w:val="0"/>
      <w:marRight w:val="0"/>
      <w:marTop w:val="0"/>
      <w:marBottom w:val="0"/>
      <w:divBdr>
        <w:top w:val="none" w:sz="0" w:space="0" w:color="auto"/>
        <w:left w:val="none" w:sz="0" w:space="0" w:color="auto"/>
        <w:bottom w:val="none" w:sz="0" w:space="0" w:color="auto"/>
        <w:right w:val="none" w:sz="0" w:space="0" w:color="auto"/>
      </w:divBdr>
    </w:div>
    <w:div w:id="563564668">
      <w:bodyDiv w:val="1"/>
      <w:marLeft w:val="0"/>
      <w:marRight w:val="0"/>
      <w:marTop w:val="0"/>
      <w:marBottom w:val="0"/>
      <w:divBdr>
        <w:top w:val="none" w:sz="0" w:space="0" w:color="auto"/>
        <w:left w:val="none" w:sz="0" w:space="0" w:color="auto"/>
        <w:bottom w:val="none" w:sz="0" w:space="0" w:color="auto"/>
        <w:right w:val="none" w:sz="0" w:space="0" w:color="auto"/>
      </w:divBdr>
    </w:div>
    <w:div w:id="563638459">
      <w:bodyDiv w:val="1"/>
      <w:marLeft w:val="0"/>
      <w:marRight w:val="0"/>
      <w:marTop w:val="0"/>
      <w:marBottom w:val="0"/>
      <w:divBdr>
        <w:top w:val="none" w:sz="0" w:space="0" w:color="auto"/>
        <w:left w:val="none" w:sz="0" w:space="0" w:color="auto"/>
        <w:bottom w:val="none" w:sz="0" w:space="0" w:color="auto"/>
        <w:right w:val="none" w:sz="0" w:space="0" w:color="auto"/>
      </w:divBdr>
    </w:div>
    <w:div w:id="563873613">
      <w:bodyDiv w:val="1"/>
      <w:marLeft w:val="0"/>
      <w:marRight w:val="0"/>
      <w:marTop w:val="0"/>
      <w:marBottom w:val="0"/>
      <w:divBdr>
        <w:top w:val="none" w:sz="0" w:space="0" w:color="auto"/>
        <w:left w:val="none" w:sz="0" w:space="0" w:color="auto"/>
        <w:bottom w:val="none" w:sz="0" w:space="0" w:color="auto"/>
        <w:right w:val="none" w:sz="0" w:space="0" w:color="auto"/>
      </w:divBdr>
    </w:div>
    <w:div w:id="564727773">
      <w:bodyDiv w:val="1"/>
      <w:marLeft w:val="0"/>
      <w:marRight w:val="0"/>
      <w:marTop w:val="0"/>
      <w:marBottom w:val="0"/>
      <w:divBdr>
        <w:top w:val="none" w:sz="0" w:space="0" w:color="auto"/>
        <w:left w:val="none" w:sz="0" w:space="0" w:color="auto"/>
        <w:bottom w:val="none" w:sz="0" w:space="0" w:color="auto"/>
        <w:right w:val="none" w:sz="0" w:space="0" w:color="auto"/>
      </w:divBdr>
    </w:div>
    <w:div w:id="564991645">
      <w:bodyDiv w:val="1"/>
      <w:marLeft w:val="0"/>
      <w:marRight w:val="0"/>
      <w:marTop w:val="0"/>
      <w:marBottom w:val="0"/>
      <w:divBdr>
        <w:top w:val="none" w:sz="0" w:space="0" w:color="auto"/>
        <w:left w:val="none" w:sz="0" w:space="0" w:color="auto"/>
        <w:bottom w:val="none" w:sz="0" w:space="0" w:color="auto"/>
        <w:right w:val="none" w:sz="0" w:space="0" w:color="auto"/>
      </w:divBdr>
    </w:div>
    <w:div w:id="565065243">
      <w:bodyDiv w:val="1"/>
      <w:marLeft w:val="0"/>
      <w:marRight w:val="0"/>
      <w:marTop w:val="0"/>
      <w:marBottom w:val="0"/>
      <w:divBdr>
        <w:top w:val="none" w:sz="0" w:space="0" w:color="auto"/>
        <w:left w:val="none" w:sz="0" w:space="0" w:color="auto"/>
        <w:bottom w:val="none" w:sz="0" w:space="0" w:color="auto"/>
        <w:right w:val="none" w:sz="0" w:space="0" w:color="auto"/>
      </w:divBdr>
    </w:div>
    <w:div w:id="565142288">
      <w:bodyDiv w:val="1"/>
      <w:marLeft w:val="0"/>
      <w:marRight w:val="0"/>
      <w:marTop w:val="0"/>
      <w:marBottom w:val="0"/>
      <w:divBdr>
        <w:top w:val="none" w:sz="0" w:space="0" w:color="auto"/>
        <w:left w:val="none" w:sz="0" w:space="0" w:color="auto"/>
        <w:bottom w:val="none" w:sz="0" w:space="0" w:color="auto"/>
        <w:right w:val="none" w:sz="0" w:space="0" w:color="auto"/>
      </w:divBdr>
    </w:div>
    <w:div w:id="565341224">
      <w:bodyDiv w:val="1"/>
      <w:marLeft w:val="0"/>
      <w:marRight w:val="0"/>
      <w:marTop w:val="0"/>
      <w:marBottom w:val="0"/>
      <w:divBdr>
        <w:top w:val="none" w:sz="0" w:space="0" w:color="auto"/>
        <w:left w:val="none" w:sz="0" w:space="0" w:color="auto"/>
        <w:bottom w:val="none" w:sz="0" w:space="0" w:color="auto"/>
        <w:right w:val="none" w:sz="0" w:space="0" w:color="auto"/>
      </w:divBdr>
    </w:div>
    <w:div w:id="565651977">
      <w:bodyDiv w:val="1"/>
      <w:marLeft w:val="0"/>
      <w:marRight w:val="0"/>
      <w:marTop w:val="0"/>
      <w:marBottom w:val="0"/>
      <w:divBdr>
        <w:top w:val="none" w:sz="0" w:space="0" w:color="auto"/>
        <w:left w:val="none" w:sz="0" w:space="0" w:color="auto"/>
        <w:bottom w:val="none" w:sz="0" w:space="0" w:color="auto"/>
        <w:right w:val="none" w:sz="0" w:space="0" w:color="auto"/>
      </w:divBdr>
    </w:div>
    <w:div w:id="566453504">
      <w:bodyDiv w:val="1"/>
      <w:marLeft w:val="0"/>
      <w:marRight w:val="0"/>
      <w:marTop w:val="0"/>
      <w:marBottom w:val="0"/>
      <w:divBdr>
        <w:top w:val="none" w:sz="0" w:space="0" w:color="auto"/>
        <w:left w:val="none" w:sz="0" w:space="0" w:color="auto"/>
        <w:bottom w:val="none" w:sz="0" w:space="0" w:color="auto"/>
        <w:right w:val="none" w:sz="0" w:space="0" w:color="auto"/>
      </w:divBdr>
    </w:div>
    <w:div w:id="567884351">
      <w:bodyDiv w:val="1"/>
      <w:marLeft w:val="0"/>
      <w:marRight w:val="0"/>
      <w:marTop w:val="0"/>
      <w:marBottom w:val="0"/>
      <w:divBdr>
        <w:top w:val="none" w:sz="0" w:space="0" w:color="auto"/>
        <w:left w:val="none" w:sz="0" w:space="0" w:color="auto"/>
        <w:bottom w:val="none" w:sz="0" w:space="0" w:color="auto"/>
        <w:right w:val="none" w:sz="0" w:space="0" w:color="auto"/>
      </w:divBdr>
    </w:div>
    <w:div w:id="568461253">
      <w:bodyDiv w:val="1"/>
      <w:marLeft w:val="0"/>
      <w:marRight w:val="0"/>
      <w:marTop w:val="0"/>
      <w:marBottom w:val="0"/>
      <w:divBdr>
        <w:top w:val="none" w:sz="0" w:space="0" w:color="auto"/>
        <w:left w:val="none" w:sz="0" w:space="0" w:color="auto"/>
        <w:bottom w:val="none" w:sz="0" w:space="0" w:color="auto"/>
        <w:right w:val="none" w:sz="0" w:space="0" w:color="auto"/>
      </w:divBdr>
    </w:div>
    <w:div w:id="568610316">
      <w:bodyDiv w:val="1"/>
      <w:marLeft w:val="0"/>
      <w:marRight w:val="0"/>
      <w:marTop w:val="0"/>
      <w:marBottom w:val="0"/>
      <w:divBdr>
        <w:top w:val="none" w:sz="0" w:space="0" w:color="auto"/>
        <w:left w:val="none" w:sz="0" w:space="0" w:color="auto"/>
        <w:bottom w:val="none" w:sz="0" w:space="0" w:color="auto"/>
        <w:right w:val="none" w:sz="0" w:space="0" w:color="auto"/>
      </w:divBdr>
    </w:div>
    <w:div w:id="568656063">
      <w:bodyDiv w:val="1"/>
      <w:marLeft w:val="0"/>
      <w:marRight w:val="0"/>
      <w:marTop w:val="0"/>
      <w:marBottom w:val="0"/>
      <w:divBdr>
        <w:top w:val="none" w:sz="0" w:space="0" w:color="auto"/>
        <w:left w:val="none" w:sz="0" w:space="0" w:color="auto"/>
        <w:bottom w:val="none" w:sz="0" w:space="0" w:color="auto"/>
        <w:right w:val="none" w:sz="0" w:space="0" w:color="auto"/>
      </w:divBdr>
    </w:div>
    <w:div w:id="569002865">
      <w:bodyDiv w:val="1"/>
      <w:marLeft w:val="0"/>
      <w:marRight w:val="0"/>
      <w:marTop w:val="0"/>
      <w:marBottom w:val="0"/>
      <w:divBdr>
        <w:top w:val="none" w:sz="0" w:space="0" w:color="auto"/>
        <w:left w:val="none" w:sz="0" w:space="0" w:color="auto"/>
        <w:bottom w:val="none" w:sz="0" w:space="0" w:color="auto"/>
        <w:right w:val="none" w:sz="0" w:space="0" w:color="auto"/>
      </w:divBdr>
    </w:div>
    <w:div w:id="570194672">
      <w:bodyDiv w:val="1"/>
      <w:marLeft w:val="0"/>
      <w:marRight w:val="0"/>
      <w:marTop w:val="0"/>
      <w:marBottom w:val="0"/>
      <w:divBdr>
        <w:top w:val="none" w:sz="0" w:space="0" w:color="auto"/>
        <w:left w:val="none" w:sz="0" w:space="0" w:color="auto"/>
        <w:bottom w:val="none" w:sz="0" w:space="0" w:color="auto"/>
        <w:right w:val="none" w:sz="0" w:space="0" w:color="auto"/>
      </w:divBdr>
    </w:div>
    <w:div w:id="570508446">
      <w:bodyDiv w:val="1"/>
      <w:marLeft w:val="0"/>
      <w:marRight w:val="0"/>
      <w:marTop w:val="0"/>
      <w:marBottom w:val="0"/>
      <w:divBdr>
        <w:top w:val="none" w:sz="0" w:space="0" w:color="auto"/>
        <w:left w:val="none" w:sz="0" w:space="0" w:color="auto"/>
        <w:bottom w:val="none" w:sz="0" w:space="0" w:color="auto"/>
        <w:right w:val="none" w:sz="0" w:space="0" w:color="auto"/>
      </w:divBdr>
    </w:div>
    <w:div w:id="571234334">
      <w:bodyDiv w:val="1"/>
      <w:marLeft w:val="0"/>
      <w:marRight w:val="0"/>
      <w:marTop w:val="0"/>
      <w:marBottom w:val="0"/>
      <w:divBdr>
        <w:top w:val="none" w:sz="0" w:space="0" w:color="auto"/>
        <w:left w:val="none" w:sz="0" w:space="0" w:color="auto"/>
        <w:bottom w:val="none" w:sz="0" w:space="0" w:color="auto"/>
        <w:right w:val="none" w:sz="0" w:space="0" w:color="auto"/>
      </w:divBdr>
    </w:div>
    <w:div w:id="572593711">
      <w:bodyDiv w:val="1"/>
      <w:marLeft w:val="0"/>
      <w:marRight w:val="0"/>
      <w:marTop w:val="0"/>
      <w:marBottom w:val="0"/>
      <w:divBdr>
        <w:top w:val="none" w:sz="0" w:space="0" w:color="auto"/>
        <w:left w:val="none" w:sz="0" w:space="0" w:color="auto"/>
        <w:bottom w:val="none" w:sz="0" w:space="0" w:color="auto"/>
        <w:right w:val="none" w:sz="0" w:space="0" w:color="auto"/>
      </w:divBdr>
    </w:div>
    <w:div w:id="572736420">
      <w:bodyDiv w:val="1"/>
      <w:marLeft w:val="0"/>
      <w:marRight w:val="0"/>
      <w:marTop w:val="0"/>
      <w:marBottom w:val="0"/>
      <w:divBdr>
        <w:top w:val="none" w:sz="0" w:space="0" w:color="auto"/>
        <w:left w:val="none" w:sz="0" w:space="0" w:color="auto"/>
        <w:bottom w:val="none" w:sz="0" w:space="0" w:color="auto"/>
        <w:right w:val="none" w:sz="0" w:space="0" w:color="auto"/>
      </w:divBdr>
    </w:div>
    <w:div w:id="573199275">
      <w:bodyDiv w:val="1"/>
      <w:marLeft w:val="0"/>
      <w:marRight w:val="0"/>
      <w:marTop w:val="0"/>
      <w:marBottom w:val="0"/>
      <w:divBdr>
        <w:top w:val="none" w:sz="0" w:space="0" w:color="auto"/>
        <w:left w:val="none" w:sz="0" w:space="0" w:color="auto"/>
        <w:bottom w:val="none" w:sz="0" w:space="0" w:color="auto"/>
        <w:right w:val="none" w:sz="0" w:space="0" w:color="auto"/>
      </w:divBdr>
    </w:div>
    <w:div w:id="573204311">
      <w:bodyDiv w:val="1"/>
      <w:marLeft w:val="0"/>
      <w:marRight w:val="0"/>
      <w:marTop w:val="0"/>
      <w:marBottom w:val="0"/>
      <w:divBdr>
        <w:top w:val="none" w:sz="0" w:space="0" w:color="auto"/>
        <w:left w:val="none" w:sz="0" w:space="0" w:color="auto"/>
        <w:bottom w:val="none" w:sz="0" w:space="0" w:color="auto"/>
        <w:right w:val="none" w:sz="0" w:space="0" w:color="auto"/>
      </w:divBdr>
    </w:div>
    <w:div w:id="573317618">
      <w:bodyDiv w:val="1"/>
      <w:marLeft w:val="0"/>
      <w:marRight w:val="0"/>
      <w:marTop w:val="0"/>
      <w:marBottom w:val="0"/>
      <w:divBdr>
        <w:top w:val="none" w:sz="0" w:space="0" w:color="auto"/>
        <w:left w:val="none" w:sz="0" w:space="0" w:color="auto"/>
        <w:bottom w:val="none" w:sz="0" w:space="0" w:color="auto"/>
        <w:right w:val="none" w:sz="0" w:space="0" w:color="auto"/>
      </w:divBdr>
    </w:div>
    <w:div w:id="573734451">
      <w:bodyDiv w:val="1"/>
      <w:marLeft w:val="0"/>
      <w:marRight w:val="0"/>
      <w:marTop w:val="0"/>
      <w:marBottom w:val="0"/>
      <w:divBdr>
        <w:top w:val="none" w:sz="0" w:space="0" w:color="auto"/>
        <w:left w:val="none" w:sz="0" w:space="0" w:color="auto"/>
        <w:bottom w:val="none" w:sz="0" w:space="0" w:color="auto"/>
        <w:right w:val="none" w:sz="0" w:space="0" w:color="auto"/>
      </w:divBdr>
    </w:div>
    <w:div w:id="573855671">
      <w:bodyDiv w:val="1"/>
      <w:marLeft w:val="0"/>
      <w:marRight w:val="0"/>
      <w:marTop w:val="0"/>
      <w:marBottom w:val="0"/>
      <w:divBdr>
        <w:top w:val="none" w:sz="0" w:space="0" w:color="auto"/>
        <w:left w:val="none" w:sz="0" w:space="0" w:color="auto"/>
        <w:bottom w:val="none" w:sz="0" w:space="0" w:color="auto"/>
        <w:right w:val="none" w:sz="0" w:space="0" w:color="auto"/>
      </w:divBdr>
    </w:div>
    <w:div w:id="574051203">
      <w:bodyDiv w:val="1"/>
      <w:marLeft w:val="0"/>
      <w:marRight w:val="0"/>
      <w:marTop w:val="0"/>
      <w:marBottom w:val="0"/>
      <w:divBdr>
        <w:top w:val="none" w:sz="0" w:space="0" w:color="auto"/>
        <w:left w:val="none" w:sz="0" w:space="0" w:color="auto"/>
        <w:bottom w:val="none" w:sz="0" w:space="0" w:color="auto"/>
        <w:right w:val="none" w:sz="0" w:space="0" w:color="auto"/>
      </w:divBdr>
    </w:div>
    <w:div w:id="574096257">
      <w:bodyDiv w:val="1"/>
      <w:marLeft w:val="0"/>
      <w:marRight w:val="0"/>
      <w:marTop w:val="0"/>
      <w:marBottom w:val="0"/>
      <w:divBdr>
        <w:top w:val="none" w:sz="0" w:space="0" w:color="auto"/>
        <w:left w:val="none" w:sz="0" w:space="0" w:color="auto"/>
        <w:bottom w:val="none" w:sz="0" w:space="0" w:color="auto"/>
        <w:right w:val="none" w:sz="0" w:space="0" w:color="auto"/>
      </w:divBdr>
    </w:div>
    <w:div w:id="574821966">
      <w:bodyDiv w:val="1"/>
      <w:marLeft w:val="0"/>
      <w:marRight w:val="0"/>
      <w:marTop w:val="0"/>
      <w:marBottom w:val="0"/>
      <w:divBdr>
        <w:top w:val="none" w:sz="0" w:space="0" w:color="auto"/>
        <w:left w:val="none" w:sz="0" w:space="0" w:color="auto"/>
        <w:bottom w:val="none" w:sz="0" w:space="0" w:color="auto"/>
        <w:right w:val="none" w:sz="0" w:space="0" w:color="auto"/>
      </w:divBdr>
    </w:div>
    <w:div w:id="574897129">
      <w:bodyDiv w:val="1"/>
      <w:marLeft w:val="0"/>
      <w:marRight w:val="0"/>
      <w:marTop w:val="0"/>
      <w:marBottom w:val="0"/>
      <w:divBdr>
        <w:top w:val="none" w:sz="0" w:space="0" w:color="auto"/>
        <w:left w:val="none" w:sz="0" w:space="0" w:color="auto"/>
        <w:bottom w:val="none" w:sz="0" w:space="0" w:color="auto"/>
        <w:right w:val="none" w:sz="0" w:space="0" w:color="auto"/>
      </w:divBdr>
    </w:div>
    <w:div w:id="575020483">
      <w:bodyDiv w:val="1"/>
      <w:marLeft w:val="0"/>
      <w:marRight w:val="0"/>
      <w:marTop w:val="0"/>
      <w:marBottom w:val="0"/>
      <w:divBdr>
        <w:top w:val="none" w:sz="0" w:space="0" w:color="auto"/>
        <w:left w:val="none" w:sz="0" w:space="0" w:color="auto"/>
        <w:bottom w:val="none" w:sz="0" w:space="0" w:color="auto"/>
        <w:right w:val="none" w:sz="0" w:space="0" w:color="auto"/>
      </w:divBdr>
    </w:div>
    <w:div w:id="575363440">
      <w:bodyDiv w:val="1"/>
      <w:marLeft w:val="0"/>
      <w:marRight w:val="0"/>
      <w:marTop w:val="0"/>
      <w:marBottom w:val="0"/>
      <w:divBdr>
        <w:top w:val="none" w:sz="0" w:space="0" w:color="auto"/>
        <w:left w:val="none" w:sz="0" w:space="0" w:color="auto"/>
        <w:bottom w:val="none" w:sz="0" w:space="0" w:color="auto"/>
        <w:right w:val="none" w:sz="0" w:space="0" w:color="auto"/>
      </w:divBdr>
    </w:div>
    <w:div w:id="575481917">
      <w:bodyDiv w:val="1"/>
      <w:marLeft w:val="0"/>
      <w:marRight w:val="0"/>
      <w:marTop w:val="0"/>
      <w:marBottom w:val="0"/>
      <w:divBdr>
        <w:top w:val="none" w:sz="0" w:space="0" w:color="auto"/>
        <w:left w:val="none" w:sz="0" w:space="0" w:color="auto"/>
        <w:bottom w:val="none" w:sz="0" w:space="0" w:color="auto"/>
        <w:right w:val="none" w:sz="0" w:space="0" w:color="auto"/>
      </w:divBdr>
    </w:div>
    <w:div w:id="576283959">
      <w:bodyDiv w:val="1"/>
      <w:marLeft w:val="0"/>
      <w:marRight w:val="0"/>
      <w:marTop w:val="0"/>
      <w:marBottom w:val="0"/>
      <w:divBdr>
        <w:top w:val="none" w:sz="0" w:space="0" w:color="auto"/>
        <w:left w:val="none" w:sz="0" w:space="0" w:color="auto"/>
        <w:bottom w:val="none" w:sz="0" w:space="0" w:color="auto"/>
        <w:right w:val="none" w:sz="0" w:space="0" w:color="auto"/>
      </w:divBdr>
    </w:div>
    <w:div w:id="576401150">
      <w:bodyDiv w:val="1"/>
      <w:marLeft w:val="0"/>
      <w:marRight w:val="0"/>
      <w:marTop w:val="0"/>
      <w:marBottom w:val="0"/>
      <w:divBdr>
        <w:top w:val="none" w:sz="0" w:space="0" w:color="auto"/>
        <w:left w:val="none" w:sz="0" w:space="0" w:color="auto"/>
        <w:bottom w:val="none" w:sz="0" w:space="0" w:color="auto"/>
        <w:right w:val="none" w:sz="0" w:space="0" w:color="auto"/>
      </w:divBdr>
    </w:div>
    <w:div w:id="576476426">
      <w:bodyDiv w:val="1"/>
      <w:marLeft w:val="0"/>
      <w:marRight w:val="0"/>
      <w:marTop w:val="0"/>
      <w:marBottom w:val="0"/>
      <w:divBdr>
        <w:top w:val="none" w:sz="0" w:space="0" w:color="auto"/>
        <w:left w:val="none" w:sz="0" w:space="0" w:color="auto"/>
        <w:bottom w:val="none" w:sz="0" w:space="0" w:color="auto"/>
        <w:right w:val="none" w:sz="0" w:space="0" w:color="auto"/>
      </w:divBdr>
    </w:div>
    <w:div w:id="576523957">
      <w:bodyDiv w:val="1"/>
      <w:marLeft w:val="0"/>
      <w:marRight w:val="0"/>
      <w:marTop w:val="0"/>
      <w:marBottom w:val="0"/>
      <w:divBdr>
        <w:top w:val="none" w:sz="0" w:space="0" w:color="auto"/>
        <w:left w:val="none" w:sz="0" w:space="0" w:color="auto"/>
        <w:bottom w:val="none" w:sz="0" w:space="0" w:color="auto"/>
        <w:right w:val="none" w:sz="0" w:space="0" w:color="auto"/>
      </w:divBdr>
    </w:div>
    <w:div w:id="576674899">
      <w:bodyDiv w:val="1"/>
      <w:marLeft w:val="0"/>
      <w:marRight w:val="0"/>
      <w:marTop w:val="0"/>
      <w:marBottom w:val="0"/>
      <w:divBdr>
        <w:top w:val="none" w:sz="0" w:space="0" w:color="auto"/>
        <w:left w:val="none" w:sz="0" w:space="0" w:color="auto"/>
        <w:bottom w:val="none" w:sz="0" w:space="0" w:color="auto"/>
        <w:right w:val="none" w:sz="0" w:space="0" w:color="auto"/>
      </w:divBdr>
    </w:div>
    <w:div w:id="576746331">
      <w:bodyDiv w:val="1"/>
      <w:marLeft w:val="0"/>
      <w:marRight w:val="0"/>
      <w:marTop w:val="0"/>
      <w:marBottom w:val="0"/>
      <w:divBdr>
        <w:top w:val="none" w:sz="0" w:space="0" w:color="auto"/>
        <w:left w:val="none" w:sz="0" w:space="0" w:color="auto"/>
        <w:bottom w:val="none" w:sz="0" w:space="0" w:color="auto"/>
        <w:right w:val="none" w:sz="0" w:space="0" w:color="auto"/>
      </w:divBdr>
    </w:div>
    <w:div w:id="577593720">
      <w:bodyDiv w:val="1"/>
      <w:marLeft w:val="0"/>
      <w:marRight w:val="0"/>
      <w:marTop w:val="0"/>
      <w:marBottom w:val="0"/>
      <w:divBdr>
        <w:top w:val="none" w:sz="0" w:space="0" w:color="auto"/>
        <w:left w:val="none" w:sz="0" w:space="0" w:color="auto"/>
        <w:bottom w:val="none" w:sz="0" w:space="0" w:color="auto"/>
        <w:right w:val="none" w:sz="0" w:space="0" w:color="auto"/>
      </w:divBdr>
    </w:div>
    <w:div w:id="577785461">
      <w:bodyDiv w:val="1"/>
      <w:marLeft w:val="0"/>
      <w:marRight w:val="0"/>
      <w:marTop w:val="0"/>
      <w:marBottom w:val="0"/>
      <w:divBdr>
        <w:top w:val="none" w:sz="0" w:space="0" w:color="auto"/>
        <w:left w:val="none" w:sz="0" w:space="0" w:color="auto"/>
        <w:bottom w:val="none" w:sz="0" w:space="0" w:color="auto"/>
        <w:right w:val="none" w:sz="0" w:space="0" w:color="auto"/>
      </w:divBdr>
    </w:div>
    <w:div w:id="578709136">
      <w:bodyDiv w:val="1"/>
      <w:marLeft w:val="0"/>
      <w:marRight w:val="0"/>
      <w:marTop w:val="0"/>
      <w:marBottom w:val="0"/>
      <w:divBdr>
        <w:top w:val="none" w:sz="0" w:space="0" w:color="auto"/>
        <w:left w:val="none" w:sz="0" w:space="0" w:color="auto"/>
        <w:bottom w:val="none" w:sz="0" w:space="0" w:color="auto"/>
        <w:right w:val="none" w:sz="0" w:space="0" w:color="auto"/>
      </w:divBdr>
    </w:div>
    <w:div w:id="580024110">
      <w:bodyDiv w:val="1"/>
      <w:marLeft w:val="0"/>
      <w:marRight w:val="0"/>
      <w:marTop w:val="0"/>
      <w:marBottom w:val="0"/>
      <w:divBdr>
        <w:top w:val="none" w:sz="0" w:space="0" w:color="auto"/>
        <w:left w:val="none" w:sz="0" w:space="0" w:color="auto"/>
        <w:bottom w:val="none" w:sz="0" w:space="0" w:color="auto"/>
        <w:right w:val="none" w:sz="0" w:space="0" w:color="auto"/>
      </w:divBdr>
    </w:div>
    <w:div w:id="580524435">
      <w:bodyDiv w:val="1"/>
      <w:marLeft w:val="0"/>
      <w:marRight w:val="0"/>
      <w:marTop w:val="0"/>
      <w:marBottom w:val="0"/>
      <w:divBdr>
        <w:top w:val="none" w:sz="0" w:space="0" w:color="auto"/>
        <w:left w:val="none" w:sz="0" w:space="0" w:color="auto"/>
        <w:bottom w:val="none" w:sz="0" w:space="0" w:color="auto"/>
        <w:right w:val="none" w:sz="0" w:space="0" w:color="auto"/>
      </w:divBdr>
    </w:div>
    <w:div w:id="580722265">
      <w:bodyDiv w:val="1"/>
      <w:marLeft w:val="0"/>
      <w:marRight w:val="0"/>
      <w:marTop w:val="0"/>
      <w:marBottom w:val="0"/>
      <w:divBdr>
        <w:top w:val="none" w:sz="0" w:space="0" w:color="auto"/>
        <w:left w:val="none" w:sz="0" w:space="0" w:color="auto"/>
        <w:bottom w:val="none" w:sz="0" w:space="0" w:color="auto"/>
        <w:right w:val="none" w:sz="0" w:space="0" w:color="auto"/>
      </w:divBdr>
    </w:div>
    <w:div w:id="580799733">
      <w:bodyDiv w:val="1"/>
      <w:marLeft w:val="0"/>
      <w:marRight w:val="0"/>
      <w:marTop w:val="0"/>
      <w:marBottom w:val="0"/>
      <w:divBdr>
        <w:top w:val="none" w:sz="0" w:space="0" w:color="auto"/>
        <w:left w:val="none" w:sz="0" w:space="0" w:color="auto"/>
        <w:bottom w:val="none" w:sz="0" w:space="0" w:color="auto"/>
        <w:right w:val="none" w:sz="0" w:space="0" w:color="auto"/>
      </w:divBdr>
    </w:div>
    <w:div w:id="581186033">
      <w:bodyDiv w:val="1"/>
      <w:marLeft w:val="0"/>
      <w:marRight w:val="0"/>
      <w:marTop w:val="0"/>
      <w:marBottom w:val="0"/>
      <w:divBdr>
        <w:top w:val="none" w:sz="0" w:space="0" w:color="auto"/>
        <w:left w:val="none" w:sz="0" w:space="0" w:color="auto"/>
        <w:bottom w:val="none" w:sz="0" w:space="0" w:color="auto"/>
        <w:right w:val="none" w:sz="0" w:space="0" w:color="auto"/>
      </w:divBdr>
    </w:div>
    <w:div w:id="581910947">
      <w:bodyDiv w:val="1"/>
      <w:marLeft w:val="0"/>
      <w:marRight w:val="0"/>
      <w:marTop w:val="0"/>
      <w:marBottom w:val="0"/>
      <w:divBdr>
        <w:top w:val="none" w:sz="0" w:space="0" w:color="auto"/>
        <w:left w:val="none" w:sz="0" w:space="0" w:color="auto"/>
        <w:bottom w:val="none" w:sz="0" w:space="0" w:color="auto"/>
        <w:right w:val="none" w:sz="0" w:space="0" w:color="auto"/>
      </w:divBdr>
    </w:div>
    <w:div w:id="582493487">
      <w:bodyDiv w:val="1"/>
      <w:marLeft w:val="0"/>
      <w:marRight w:val="0"/>
      <w:marTop w:val="0"/>
      <w:marBottom w:val="0"/>
      <w:divBdr>
        <w:top w:val="none" w:sz="0" w:space="0" w:color="auto"/>
        <w:left w:val="none" w:sz="0" w:space="0" w:color="auto"/>
        <w:bottom w:val="none" w:sz="0" w:space="0" w:color="auto"/>
        <w:right w:val="none" w:sz="0" w:space="0" w:color="auto"/>
      </w:divBdr>
    </w:div>
    <w:div w:id="582839900">
      <w:bodyDiv w:val="1"/>
      <w:marLeft w:val="0"/>
      <w:marRight w:val="0"/>
      <w:marTop w:val="0"/>
      <w:marBottom w:val="0"/>
      <w:divBdr>
        <w:top w:val="none" w:sz="0" w:space="0" w:color="auto"/>
        <w:left w:val="none" w:sz="0" w:space="0" w:color="auto"/>
        <w:bottom w:val="none" w:sz="0" w:space="0" w:color="auto"/>
        <w:right w:val="none" w:sz="0" w:space="0" w:color="auto"/>
      </w:divBdr>
    </w:div>
    <w:div w:id="583228080">
      <w:bodyDiv w:val="1"/>
      <w:marLeft w:val="0"/>
      <w:marRight w:val="0"/>
      <w:marTop w:val="0"/>
      <w:marBottom w:val="0"/>
      <w:divBdr>
        <w:top w:val="none" w:sz="0" w:space="0" w:color="auto"/>
        <w:left w:val="none" w:sz="0" w:space="0" w:color="auto"/>
        <w:bottom w:val="none" w:sz="0" w:space="0" w:color="auto"/>
        <w:right w:val="none" w:sz="0" w:space="0" w:color="auto"/>
      </w:divBdr>
    </w:div>
    <w:div w:id="583344848">
      <w:bodyDiv w:val="1"/>
      <w:marLeft w:val="0"/>
      <w:marRight w:val="0"/>
      <w:marTop w:val="0"/>
      <w:marBottom w:val="0"/>
      <w:divBdr>
        <w:top w:val="none" w:sz="0" w:space="0" w:color="auto"/>
        <w:left w:val="none" w:sz="0" w:space="0" w:color="auto"/>
        <w:bottom w:val="none" w:sz="0" w:space="0" w:color="auto"/>
        <w:right w:val="none" w:sz="0" w:space="0" w:color="auto"/>
      </w:divBdr>
    </w:div>
    <w:div w:id="583801773">
      <w:bodyDiv w:val="1"/>
      <w:marLeft w:val="0"/>
      <w:marRight w:val="0"/>
      <w:marTop w:val="0"/>
      <w:marBottom w:val="0"/>
      <w:divBdr>
        <w:top w:val="none" w:sz="0" w:space="0" w:color="auto"/>
        <w:left w:val="none" w:sz="0" w:space="0" w:color="auto"/>
        <w:bottom w:val="none" w:sz="0" w:space="0" w:color="auto"/>
        <w:right w:val="none" w:sz="0" w:space="0" w:color="auto"/>
      </w:divBdr>
    </w:div>
    <w:div w:id="584147143">
      <w:bodyDiv w:val="1"/>
      <w:marLeft w:val="0"/>
      <w:marRight w:val="0"/>
      <w:marTop w:val="0"/>
      <w:marBottom w:val="0"/>
      <w:divBdr>
        <w:top w:val="none" w:sz="0" w:space="0" w:color="auto"/>
        <w:left w:val="none" w:sz="0" w:space="0" w:color="auto"/>
        <w:bottom w:val="none" w:sz="0" w:space="0" w:color="auto"/>
        <w:right w:val="none" w:sz="0" w:space="0" w:color="auto"/>
      </w:divBdr>
    </w:div>
    <w:div w:id="584802213">
      <w:bodyDiv w:val="1"/>
      <w:marLeft w:val="0"/>
      <w:marRight w:val="0"/>
      <w:marTop w:val="0"/>
      <w:marBottom w:val="0"/>
      <w:divBdr>
        <w:top w:val="none" w:sz="0" w:space="0" w:color="auto"/>
        <w:left w:val="none" w:sz="0" w:space="0" w:color="auto"/>
        <w:bottom w:val="none" w:sz="0" w:space="0" w:color="auto"/>
        <w:right w:val="none" w:sz="0" w:space="0" w:color="auto"/>
      </w:divBdr>
    </w:div>
    <w:div w:id="584919302">
      <w:bodyDiv w:val="1"/>
      <w:marLeft w:val="0"/>
      <w:marRight w:val="0"/>
      <w:marTop w:val="0"/>
      <w:marBottom w:val="0"/>
      <w:divBdr>
        <w:top w:val="none" w:sz="0" w:space="0" w:color="auto"/>
        <w:left w:val="none" w:sz="0" w:space="0" w:color="auto"/>
        <w:bottom w:val="none" w:sz="0" w:space="0" w:color="auto"/>
        <w:right w:val="none" w:sz="0" w:space="0" w:color="auto"/>
      </w:divBdr>
    </w:div>
    <w:div w:id="585001306">
      <w:bodyDiv w:val="1"/>
      <w:marLeft w:val="0"/>
      <w:marRight w:val="0"/>
      <w:marTop w:val="0"/>
      <w:marBottom w:val="0"/>
      <w:divBdr>
        <w:top w:val="none" w:sz="0" w:space="0" w:color="auto"/>
        <w:left w:val="none" w:sz="0" w:space="0" w:color="auto"/>
        <w:bottom w:val="none" w:sz="0" w:space="0" w:color="auto"/>
        <w:right w:val="none" w:sz="0" w:space="0" w:color="auto"/>
      </w:divBdr>
    </w:div>
    <w:div w:id="585072399">
      <w:bodyDiv w:val="1"/>
      <w:marLeft w:val="0"/>
      <w:marRight w:val="0"/>
      <w:marTop w:val="0"/>
      <w:marBottom w:val="0"/>
      <w:divBdr>
        <w:top w:val="none" w:sz="0" w:space="0" w:color="auto"/>
        <w:left w:val="none" w:sz="0" w:space="0" w:color="auto"/>
        <w:bottom w:val="none" w:sz="0" w:space="0" w:color="auto"/>
        <w:right w:val="none" w:sz="0" w:space="0" w:color="auto"/>
      </w:divBdr>
    </w:div>
    <w:div w:id="585115498">
      <w:bodyDiv w:val="1"/>
      <w:marLeft w:val="0"/>
      <w:marRight w:val="0"/>
      <w:marTop w:val="0"/>
      <w:marBottom w:val="0"/>
      <w:divBdr>
        <w:top w:val="none" w:sz="0" w:space="0" w:color="auto"/>
        <w:left w:val="none" w:sz="0" w:space="0" w:color="auto"/>
        <w:bottom w:val="none" w:sz="0" w:space="0" w:color="auto"/>
        <w:right w:val="none" w:sz="0" w:space="0" w:color="auto"/>
      </w:divBdr>
    </w:div>
    <w:div w:id="585381684">
      <w:bodyDiv w:val="1"/>
      <w:marLeft w:val="0"/>
      <w:marRight w:val="0"/>
      <w:marTop w:val="0"/>
      <w:marBottom w:val="0"/>
      <w:divBdr>
        <w:top w:val="none" w:sz="0" w:space="0" w:color="auto"/>
        <w:left w:val="none" w:sz="0" w:space="0" w:color="auto"/>
        <w:bottom w:val="none" w:sz="0" w:space="0" w:color="auto"/>
        <w:right w:val="none" w:sz="0" w:space="0" w:color="auto"/>
      </w:divBdr>
    </w:div>
    <w:div w:id="585654263">
      <w:bodyDiv w:val="1"/>
      <w:marLeft w:val="0"/>
      <w:marRight w:val="0"/>
      <w:marTop w:val="0"/>
      <w:marBottom w:val="0"/>
      <w:divBdr>
        <w:top w:val="none" w:sz="0" w:space="0" w:color="auto"/>
        <w:left w:val="none" w:sz="0" w:space="0" w:color="auto"/>
        <w:bottom w:val="none" w:sz="0" w:space="0" w:color="auto"/>
        <w:right w:val="none" w:sz="0" w:space="0" w:color="auto"/>
      </w:divBdr>
    </w:div>
    <w:div w:id="586499081">
      <w:bodyDiv w:val="1"/>
      <w:marLeft w:val="0"/>
      <w:marRight w:val="0"/>
      <w:marTop w:val="0"/>
      <w:marBottom w:val="0"/>
      <w:divBdr>
        <w:top w:val="none" w:sz="0" w:space="0" w:color="auto"/>
        <w:left w:val="none" w:sz="0" w:space="0" w:color="auto"/>
        <w:bottom w:val="none" w:sz="0" w:space="0" w:color="auto"/>
        <w:right w:val="none" w:sz="0" w:space="0" w:color="auto"/>
      </w:divBdr>
    </w:div>
    <w:div w:id="587270163">
      <w:bodyDiv w:val="1"/>
      <w:marLeft w:val="0"/>
      <w:marRight w:val="0"/>
      <w:marTop w:val="0"/>
      <w:marBottom w:val="0"/>
      <w:divBdr>
        <w:top w:val="none" w:sz="0" w:space="0" w:color="auto"/>
        <w:left w:val="none" w:sz="0" w:space="0" w:color="auto"/>
        <w:bottom w:val="none" w:sz="0" w:space="0" w:color="auto"/>
        <w:right w:val="none" w:sz="0" w:space="0" w:color="auto"/>
      </w:divBdr>
    </w:div>
    <w:div w:id="587424582">
      <w:bodyDiv w:val="1"/>
      <w:marLeft w:val="0"/>
      <w:marRight w:val="0"/>
      <w:marTop w:val="0"/>
      <w:marBottom w:val="0"/>
      <w:divBdr>
        <w:top w:val="none" w:sz="0" w:space="0" w:color="auto"/>
        <w:left w:val="none" w:sz="0" w:space="0" w:color="auto"/>
        <w:bottom w:val="none" w:sz="0" w:space="0" w:color="auto"/>
        <w:right w:val="none" w:sz="0" w:space="0" w:color="auto"/>
      </w:divBdr>
    </w:div>
    <w:div w:id="587886053">
      <w:bodyDiv w:val="1"/>
      <w:marLeft w:val="0"/>
      <w:marRight w:val="0"/>
      <w:marTop w:val="0"/>
      <w:marBottom w:val="0"/>
      <w:divBdr>
        <w:top w:val="none" w:sz="0" w:space="0" w:color="auto"/>
        <w:left w:val="none" w:sz="0" w:space="0" w:color="auto"/>
        <w:bottom w:val="none" w:sz="0" w:space="0" w:color="auto"/>
        <w:right w:val="none" w:sz="0" w:space="0" w:color="auto"/>
      </w:divBdr>
    </w:div>
    <w:div w:id="589239236">
      <w:bodyDiv w:val="1"/>
      <w:marLeft w:val="0"/>
      <w:marRight w:val="0"/>
      <w:marTop w:val="0"/>
      <w:marBottom w:val="0"/>
      <w:divBdr>
        <w:top w:val="none" w:sz="0" w:space="0" w:color="auto"/>
        <w:left w:val="none" w:sz="0" w:space="0" w:color="auto"/>
        <w:bottom w:val="none" w:sz="0" w:space="0" w:color="auto"/>
        <w:right w:val="none" w:sz="0" w:space="0" w:color="auto"/>
      </w:divBdr>
    </w:div>
    <w:div w:id="590240995">
      <w:bodyDiv w:val="1"/>
      <w:marLeft w:val="0"/>
      <w:marRight w:val="0"/>
      <w:marTop w:val="0"/>
      <w:marBottom w:val="0"/>
      <w:divBdr>
        <w:top w:val="none" w:sz="0" w:space="0" w:color="auto"/>
        <w:left w:val="none" w:sz="0" w:space="0" w:color="auto"/>
        <w:bottom w:val="none" w:sz="0" w:space="0" w:color="auto"/>
        <w:right w:val="none" w:sz="0" w:space="0" w:color="auto"/>
      </w:divBdr>
    </w:div>
    <w:div w:id="591008875">
      <w:bodyDiv w:val="1"/>
      <w:marLeft w:val="0"/>
      <w:marRight w:val="0"/>
      <w:marTop w:val="0"/>
      <w:marBottom w:val="0"/>
      <w:divBdr>
        <w:top w:val="none" w:sz="0" w:space="0" w:color="auto"/>
        <w:left w:val="none" w:sz="0" w:space="0" w:color="auto"/>
        <w:bottom w:val="none" w:sz="0" w:space="0" w:color="auto"/>
        <w:right w:val="none" w:sz="0" w:space="0" w:color="auto"/>
      </w:divBdr>
    </w:div>
    <w:div w:id="591166102">
      <w:bodyDiv w:val="1"/>
      <w:marLeft w:val="0"/>
      <w:marRight w:val="0"/>
      <w:marTop w:val="0"/>
      <w:marBottom w:val="0"/>
      <w:divBdr>
        <w:top w:val="none" w:sz="0" w:space="0" w:color="auto"/>
        <w:left w:val="none" w:sz="0" w:space="0" w:color="auto"/>
        <w:bottom w:val="none" w:sz="0" w:space="0" w:color="auto"/>
        <w:right w:val="none" w:sz="0" w:space="0" w:color="auto"/>
      </w:divBdr>
    </w:div>
    <w:div w:id="591860725">
      <w:bodyDiv w:val="1"/>
      <w:marLeft w:val="0"/>
      <w:marRight w:val="0"/>
      <w:marTop w:val="0"/>
      <w:marBottom w:val="0"/>
      <w:divBdr>
        <w:top w:val="none" w:sz="0" w:space="0" w:color="auto"/>
        <w:left w:val="none" w:sz="0" w:space="0" w:color="auto"/>
        <w:bottom w:val="none" w:sz="0" w:space="0" w:color="auto"/>
        <w:right w:val="none" w:sz="0" w:space="0" w:color="auto"/>
      </w:divBdr>
    </w:div>
    <w:div w:id="592011780">
      <w:bodyDiv w:val="1"/>
      <w:marLeft w:val="0"/>
      <w:marRight w:val="0"/>
      <w:marTop w:val="0"/>
      <w:marBottom w:val="0"/>
      <w:divBdr>
        <w:top w:val="none" w:sz="0" w:space="0" w:color="auto"/>
        <w:left w:val="none" w:sz="0" w:space="0" w:color="auto"/>
        <w:bottom w:val="none" w:sz="0" w:space="0" w:color="auto"/>
        <w:right w:val="none" w:sz="0" w:space="0" w:color="auto"/>
      </w:divBdr>
    </w:div>
    <w:div w:id="592250862">
      <w:bodyDiv w:val="1"/>
      <w:marLeft w:val="0"/>
      <w:marRight w:val="0"/>
      <w:marTop w:val="0"/>
      <w:marBottom w:val="0"/>
      <w:divBdr>
        <w:top w:val="none" w:sz="0" w:space="0" w:color="auto"/>
        <w:left w:val="none" w:sz="0" w:space="0" w:color="auto"/>
        <w:bottom w:val="none" w:sz="0" w:space="0" w:color="auto"/>
        <w:right w:val="none" w:sz="0" w:space="0" w:color="auto"/>
      </w:divBdr>
    </w:div>
    <w:div w:id="592325678">
      <w:bodyDiv w:val="1"/>
      <w:marLeft w:val="0"/>
      <w:marRight w:val="0"/>
      <w:marTop w:val="0"/>
      <w:marBottom w:val="0"/>
      <w:divBdr>
        <w:top w:val="none" w:sz="0" w:space="0" w:color="auto"/>
        <w:left w:val="none" w:sz="0" w:space="0" w:color="auto"/>
        <w:bottom w:val="none" w:sz="0" w:space="0" w:color="auto"/>
        <w:right w:val="none" w:sz="0" w:space="0" w:color="auto"/>
      </w:divBdr>
    </w:div>
    <w:div w:id="592863624">
      <w:bodyDiv w:val="1"/>
      <w:marLeft w:val="0"/>
      <w:marRight w:val="0"/>
      <w:marTop w:val="0"/>
      <w:marBottom w:val="0"/>
      <w:divBdr>
        <w:top w:val="none" w:sz="0" w:space="0" w:color="auto"/>
        <w:left w:val="none" w:sz="0" w:space="0" w:color="auto"/>
        <w:bottom w:val="none" w:sz="0" w:space="0" w:color="auto"/>
        <w:right w:val="none" w:sz="0" w:space="0" w:color="auto"/>
      </w:divBdr>
    </w:div>
    <w:div w:id="592979042">
      <w:bodyDiv w:val="1"/>
      <w:marLeft w:val="0"/>
      <w:marRight w:val="0"/>
      <w:marTop w:val="0"/>
      <w:marBottom w:val="0"/>
      <w:divBdr>
        <w:top w:val="none" w:sz="0" w:space="0" w:color="auto"/>
        <w:left w:val="none" w:sz="0" w:space="0" w:color="auto"/>
        <w:bottom w:val="none" w:sz="0" w:space="0" w:color="auto"/>
        <w:right w:val="none" w:sz="0" w:space="0" w:color="auto"/>
      </w:divBdr>
    </w:div>
    <w:div w:id="593322075">
      <w:bodyDiv w:val="1"/>
      <w:marLeft w:val="0"/>
      <w:marRight w:val="0"/>
      <w:marTop w:val="0"/>
      <w:marBottom w:val="0"/>
      <w:divBdr>
        <w:top w:val="none" w:sz="0" w:space="0" w:color="auto"/>
        <w:left w:val="none" w:sz="0" w:space="0" w:color="auto"/>
        <w:bottom w:val="none" w:sz="0" w:space="0" w:color="auto"/>
        <w:right w:val="none" w:sz="0" w:space="0" w:color="auto"/>
      </w:divBdr>
    </w:div>
    <w:div w:id="593395307">
      <w:bodyDiv w:val="1"/>
      <w:marLeft w:val="0"/>
      <w:marRight w:val="0"/>
      <w:marTop w:val="0"/>
      <w:marBottom w:val="0"/>
      <w:divBdr>
        <w:top w:val="none" w:sz="0" w:space="0" w:color="auto"/>
        <w:left w:val="none" w:sz="0" w:space="0" w:color="auto"/>
        <w:bottom w:val="none" w:sz="0" w:space="0" w:color="auto"/>
        <w:right w:val="none" w:sz="0" w:space="0" w:color="auto"/>
      </w:divBdr>
    </w:div>
    <w:div w:id="595095931">
      <w:bodyDiv w:val="1"/>
      <w:marLeft w:val="0"/>
      <w:marRight w:val="0"/>
      <w:marTop w:val="0"/>
      <w:marBottom w:val="0"/>
      <w:divBdr>
        <w:top w:val="none" w:sz="0" w:space="0" w:color="auto"/>
        <w:left w:val="none" w:sz="0" w:space="0" w:color="auto"/>
        <w:bottom w:val="none" w:sz="0" w:space="0" w:color="auto"/>
        <w:right w:val="none" w:sz="0" w:space="0" w:color="auto"/>
      </w:divBdr>
    </w:div>
    <w:div w:id="595790470">
      <w:bodyDiv w:val="1"/>
      <w:marLeft w:val="0"/>
      <w:marRight w:val="0"/>
      <w:marTop w:val="0"/>
      <w:marBottom w:val="0"/>
      <w:divBdr>
        <w:top w:val="none" w:sz="0" w:space="0" w:color="auto"/>
        <w:left w:val="none" w:sz="0" w:space="0" w:color="auto"/>
        <w:bottom w:val="none" w:sz="0" w:space="0" w:color="auto"/>
        <w:right w:val="none" w:sz="0" w:space="0" w:color="auto"/>
      </w:divBdr>
    </w:div>
    <w:div w:id="595792802">
      <w:bodyDiv w:val="1"/>
      <w:marLeft w:val="0"/>
      <w:marRight w:val="0"/>
      <w:marTop w:val="0"/>
      <w:marBottom w:val="0"/>
      <w:divBdr>
        <w:top w:val="none" w:sz="0" w:space="0" w:color="auto"/>
        <w:left w:val="none" w:sz="0" w:space="0" w:color="auto"/>
        <w:bottom w:val="none" w:sz="0" w:space="0" w:color="auto"/>
        <w:right w:val="none" w:sz="0" w:space="0" w:color="auto"/>
      </w:divBdr>
    </w:div>
    <w:div w:id="596132955">
      <w:bodyDiv w:val="1"/>
      <w:marLeft w:val="0"/>
      <w:marRight w:val="0"/>
      <w:marTop w:val="0"/>
      <w:marBottom w:val="0"/>
      <w:divBdr>
        <w:top w:val="none" w:sz="0" w:space="0" w:color="auto"/>
        <w:left w:val="none" w:sz="0" w:space="0" w:color="auto"/>
        <w:bottom w:val="none" w:sz="0" w:space="0" w:color="auto"/>
        <w:right w:val="none" w:sz="0" w:space="0" w:color="auto"/>
      </w:divBdr>
    </w:div>
    <w:div w:id="596252685">
      <w:bodyDiv w:val="1"/>
      <w:marLeft w:val="0"/>
      <w:marRight w:val="0"/>
      <w:marTop w:val="0"/>
      <w:marBottom w:val="0"/>
      <w:divBdr>
        <w:top w:val="none" w:sz="0" w:space="0" w:color="auto"/>
        <w:left w:val="none" w:sz="0" w:space="0" w:color="auto"/>
        <w:bottom w:val="none" w:sz="0" w:space="0" w:color="auto"/>
        <w:right w:val="none" w:sz="0" w:space="0" w:color="auto"/>
      </w:divBdr>
    </w:div>
    <w:div w:id="596401400">
      <w:bodyDiv w:val="1"/>
      <w:marLeft w:val="0"/>
      <w:marRight w:val="0"/>
      <w:marTop w:val="0"/>
      <w:marBottom w:val="0"/>
      <w:divBdr>
        <w:top w:val="none" w:sz="0" w:space="0" w:color="auto"/>
        <w:left w:val="none" w:sz="0" w:space="0" w:color="auto"/>
        <w:bottom w:val="none" w:sz="0" w:space="0" w:color="auto"/>
        <w:right w:val="none" w:sz="0" w:space="0" w:color="auto"/>
      </w:divBdr>
    </w:div>
    <w:div w:id="597371326">
      <w:bodyDiv w:val="1"/>
      <w:marLeft w:val="0"/>
      <w:marRight w:val="0"/>
      <w:marTop w:val="0"/>
      <w:marBottom w:val="0"/>
      <w:divBdr>
        <w:top w:val="none" w:sz="0" w:space="0" w:color="auto"/>
        <w:left w:val="none" w:sz="0" w:space="0" w:color="auto"/>
        <w:bottom w:val="none" w:sz="0" w:space="0" w:color="auto"/>
        <w:right w:val="none" w:sz="0" w:space="0" w:color="auto"/>
      </w:divBdr>
    </w:div>
    <w:div w:id="597563841">
      <w:bodyDiv w:val="1"/>
      <w:marLeft w:val="0"/>
      <w:marRight w:val="0"/>
      <w:marTop w:val="0"/>
      <w:marBottom w:val="0"/>
      <w:divBdr>
        <w:top w:val="none" w:sz="0" w:space="0" w:color="auto"/>
        <w:left w:val="none" w:sz="0" w:space="0" w:color="auto"/>
        <w:bottom w:val="none" w:sz="0" w:space="0" w:color="auto"/>
        <w:right w:val="none" w:sz="0" w:space="0" w:color="auto"/>
      </w:divBdr>
    </w:div>
    <w:div w:id="598103269">
      <w:bodyDiv w:val="1"/>
      <w:marLeft w:val="0"/>
      <w:marRight w:val="0"/>
      <w:marTop w:val="0"/>
      <w:marBottom w:val="0"/>
      <w:divBdr>
        <w:top w:val="none" w:sz="0" w:space="0" w:color="auto"/>
        <w:left w:val="none" w:sz="0" w:space="0" w:color="auto"/>
        <w:bottom w:val="none" w:sz="0" w:space="0" w:color="auto"/>
        <w:right w:val="none" w:sz="0" w:space="0" w:color="auto"/>
      </w:divBdr>
    </w:div>
    <w:div w:id="598492339">
      <w:bodyDiv w:val="1"/>
      <w:marLeft w:val="0"/>
      <w:marRight w:val="0"/>
      <w:marTop w:val="0"/>
      <w:marBottom w:val="0"/>
      <w:divBdr>
        <w:top w:val="none" w:sz="0" w:space="0" w:color="auto"/>
        <w:left w:val="none" w:sz="0" w:space="0" w:color="auto"/>
        <w:bottom w:val="none" w:sz="0" w:space="0" w:color="auto"/>
        <w:right w:val="none" w:sz="0" w:space="0" w:color="auto"/>
      </w:divBdr>
    </w:div>
    <w:div w:id="598635906">
      <w:bodyDiv w:val="1"/>
      <w:marLeft w:val="0"/>
      <w:marRight w:val="0"/>
      <w:marTop w:val="0"/>
      <w:marBottom w:val="0"/>
      <w:divBdr>
        <w:top w:val="none" w:sz="0" w:space="0" w:color="auto"/>
        <w:left w:val="none" w:sz="0" w:space="0" w:color="auto"/>
        <w:bottom w:val="none" w:sz="0" w:space="0" w:color="auto"/>
        <w:right w:val="none" w:sz="0" w:space="0" w:color="auto"/>
      </w:divBdr>
    </w:div>
    <w:div w:id="598952443">
      <w:bodyDiv w:val="1"/>
      <w:marLeft w:val="0"/>
      <w:marRight w:val="0"/>
      <w:marTop w:val="0"/>
      <w:marBottom w:val="0"/>
      <w:divBdr>
        <w:top w:val="none" w:sz="0" w:space="0" w:color="auto"/>
        <w:left w:val="none" w:sz="0" w:space="0" w:color="auto"/>
        <w:bottom w:val="none" w:sz="0" w:space="0" w:color="auto"/>
        <w:right w:val="none" w:sz="0" w:space="0" w:color="auto"/>
      </w:divBdr>
    </w:div>
    <w:div w:id="599489689">
      <w:bodyDiv w:val="1"/>
      <w:marLeft w:val="0"/>
      <w:marRight w:val="0"/>
      <w:marTop w:val="0"/>
      <w:marBottom w:val="0"/>
      <w:divBdr>
        <w:top w:val="none" w:sz="0" w:space="0" w:color="auto"/>
        <w:left w:val="none" w:sz="0" w:space="0" w:color="auto"/>
        <w:bottom w:val="none" w:sz="0" w:space="0" w:color="auto"/>
        <w:right w:val="none" w:sz="0" w:space="0" w:color="auto"/>
      </w:divBdr>
    </w:div>
    <w:div w:id="600652355">
      <w:bodyDiv w:val="1"/>
      <w:marLeft w:val="0"/>
      <w:marRight w:val="0"/>
      <w:marTop w:val="0"/>
      <w:marBottom w:val="0"/>
      <w:divBdr>
        <w:top w:val="none" w:sz="0" w:space="0" w:color="auto"/>
        <w:left w:val="none" w:sz="0" w:space="0" w:color="auto"/>
        <w:bottom w:val="none" w:sz="0" w:space="0" w:color="auto"/>
        <w:right w:val="none" w:sz="0" w:space="0" w:color="auto"/>
      </w:divBdr>
    </w:div>
    <w:div w:id="600839245">
      <w:bodyDiv w:val="1"/>
      <w:marLeft w:val="0"/>
      <w:marRight w:val="0"/>
      <w:marTop w:val="0"/>
      <w:marBottom w:val="0"/>
      <w:divBdr>
        <w:top w:val="none" w:sz="0" w:space="0" w:color="auto"/>
        <w:left w:val="none" w:sz="0" w:space="0" w:color="auto"/>
        <w:bottom w:val="none" w:sz="0" w:space="0" w:color="auto"/>
        <w:right w:val="none" w:sz="0" w:space="0" w:color="auto"/>
      </w:divBdr>
    </w:div>
    <w:div w:id="600844406">
      <w:bodyDiv w:val="1"/>
      <w:marLeft w:val="0"/>
      <w:marRight w:val="0"/>
      <w:marTop w:val="0"/>
      <w:marBottom w:val="0"/>
      <w:divBdr>
        <w:top w:val="none" w:sz="0" w:space="0" w:color="auto"/>
        <w:left w:val="none" w:sz="0" w:space="0" w:color="auto"/>
        <w:bottom w:val="none" w:sz="0" w:space="0" w:color="auto"/>
        <w:right w:val="none" w:sz="0" w:space="0" w:color="auto"/>
      </w:divBdr>
    </w:div>
    <w:div w:id="601499766">
      <w:bodyDiv w:val="1"/>
      <w:marLeft w:val="0"/>
      <w:marRight w:val="0"/>
      <w:marTop w:val="0"/>
      <w:marBottom w:val="0"/>
      <w:divBdr>
        <w:top w:val="none" w:sz="0" w:space="0" w:color="auto"/>
        <w:left w:val="none" w:sz="0" w:space="0" w:color="auto"/>
        <w:bottom w:val="none" w:sz="0" w:space="0" w:color="auto"/>
        <w:right w:val="none" w:sz="0" w:space="0" w:color="auto"/>
      </w:divBdr>
    </w:div>
    <w:div w:id="601839217">
      <w:bodyDiv w:val="1"/>
      <w:marLeft w:val="0"/>
      <w:marRight w:val="0"/>
      <w:marTop w:val="0"/>
      <w:marBottom w:val="0"/>
      <w:divBdr>
        <w:top w:val="none" w:sz="0" w:space="0" w:color="auto"/>
        <w:left w:val="none" w:sz="0" w:space="0" w:color="auto"/>
        <w:bottom w:val="none" w:sz="0" w:space="0" w:color="auto"/>
        <w:right w:val="none" w:sz="0" w:space="0" w:color="auto"/>
      </w:divBdr>
    </w:div>
    <w:div w:id="602415427">
      <w:bodyDiv w:val="1"/>
      <w:marLeft w:val="0"/>
      <w:marRight w:val="0"/>
      <w:marTop w:val="0"/>
      <w:marBottom w:val="0"/>
      <w:divBdr>
        <w:top w:val="none" w:sz="0" w:space="0" w:color="auto"/>
        <w:left w:val="none" w:sz="0" w:space="0" w:color="auto"/>
        <w:bottom w:val="none" w:sz="0" w:space="0" w:color="auto"/>
        <w:right w:val="none" w:sz="0" w:space="0" w:color="auto"/>
      </w:divBdr>
    </w:div>
    <w:div w:id="602953345">
      <w:bodyDiv w:val="1"/>
      <w:marLeft w:val="0"/>
      <w:marRight w:val="0"/>
      <w:marTop w:val="0"/>
      <w:marBottom w:val="0"/>
      <w:divBdr>
        <w:top w:val="none" w:sz="0" w:space="0" w:color="auto"/>
        <w:left w:val="none" w:sz="0" w:space="0" w:color="auto"/>
        <w:bottom w:val="none" w:sz="0" w:space="0" w:color="auto"/>
        <w:right w:val="none" w:sz="0" w:space="0" w:color="auto"/>
      </w:divBdr>
    </w:div>
    <w:div w:id="602954552">
      <w:bodyDiv w:val="1"/>
      <w:marLeft w:val="0"/>
      <w:marRight w:val="0"/>
      <w:marTop w:val="0"/>
      <w:marBottom w:val="0"/>
      <w:divBdr>
        <w:top w:val="none" w:sz="0" w:space="0" w:color="auto"/>
        <w:left w:val="none" w:sz="0" w:space="0" w:color="auto"/>
        <w:bottom w:val="none" w:sz="0" w:space="0" w:color="auto"/>
        <w:right w:val="none" w:sz="0" w:space="0" w:color="auto"/>
      </w:divBdr>
    </w:div>
    <w:div w:id="603225715">
      <w:bodyDiv w:val="1"/>
      <w:marLeft w:val="0"/>
      <w:marRight w:val="0"/>
      <w:marTop w:val="0"/>
      <w:marBottom w:val="0"/>
      <w:divBdr>
        <w:top w:val="none" w:sz="0" w:space="0" w:color="auto"/>
        <w:left w:val="none" w:sz="0" w:space="0" w:color="auto"/>
        <w:bottom w:val="none" w:sz="0" w:space="0" w:color="auto"/>
        <w:right w:val="none" w:sz="0" w:space="0" w:color="auto"/>
      </w:divBdr>
    </w:div>
    <w:div w:id="604002502">
      <w:bodyDiv w:val="1"/>
      <w:marLeft w:val="0"/>
      <w:marRight w:val="0"/>
      <w:marTop w:val="0"/>
      <w:marBottom w:val="0"/>
      <w:divBdr>
        <w:top w:val="none" w:sz="0" w:space="0" w:color="auto"/>
        <w:left w:val="none" w:sz="0" w:space="0" w:color="auto"/>
        <w:bottom w:val="none" w:sz="0" w:space="0" w:color="auto"/>
        <w:right w:val="none" w:sz="0" w:space="0" w:color="auto"/>
      </w:divBdr>
    </w:div>
    <w:div w:id="604114468">
      <w:bodyDiv w:val="1"/>
      <w:marLeft w:val="0"/>
      <w:marRight w:val="0"/>
      <w:marTop w:val="0"/>
      <w:marBottom w:val="0"/>
      <w:divBdr>
        <w:top w:val="none" w:sz="0" w:space="0" w:color="auto"/>
        <w:left w:val="none" w:sz="0" w:space="0" w:color="auto"/>
        <w:bottom w:val="none" w:sz="0" w:space="0" w:color="auto"/>
        <w:right w:val="none" w:sz="0" w:space="0" w:color="auto"/>
      </w:divBdr>
    </w:div>
    <w:div w:id="605622813">
      <w:bodyDiv w:val="1"/>
      <w:marLeft w:val="0"/>
      <w:marRight w:val="0"/>
      <w:marTop w:val="0"/>
      <w:marBottom w:val="0"/>
      <w:divBdr>
        <w:top w:val="none" w:sz="0" w:space="0" w:color="auto"/>
        <w:left w:val="none" w:sz="0" w:space="0" w:color="auto"/>
        <w:bottom w:val="none" w:sz="0" w:space="0" w:color="auto"/>
        <w:right w:val="none" w:sz="0" w:space="0" w:color="auto"/>
      </w:divBdr>
    </w:div>
    <w:div w:id="606084889">
      <w:bodyDiv w:val="1"/>
      <w:marLeft w:val="0"/>
      <w:marRight w:val="0"/>
      <w:marTop w:val="0"/>
      <w:marBottom w:val="0"/>
      <w:divBdr>
        <w:top w:val="none" w:sz="0" w:space="0" w:color="auto"/>
        <w:left w:val="none" w:sz="0" w:space="0" w:color="auto"/>
        <w:bottom w:val="none" w:sz="0" w:space="0" w:color="auto"/>
        <w:right w:val="none" w:sz="0" w:space="0" w:color="auto"/>
      </w:divBdr>
    </w:div>
    <w:div w:id="606429619">
      <w:bodyDiv w:val="1"/>
      <w:marLeft w:val="0"/>
      <w:marRight w:val="0"/>
      <w:marTop w:val="0"/>
      <w:marBottom w:val="0"/>
      <w:divBdr>
        <w:top w:val="none" w:sz="0" w:space="0" w:color="auto"/>
        <w:left w:val="none" w:sz="0" w:space="0" w:color="auto"/>
        <w:bottom w:val="none" w:sz="0" w:space="0" w:color="auto"/>
        <w:right w:val="none" w:sz="0" w:space="0" w:color="auto"/>
      </w:divBdr>
    </w:div>
    <w:div w:id="606548914">
      <w:bodyDiv w:val="1"/>
      <w:marLeft w:val="0"/>
      <w:marRight w:val="0"/>
      <w:marTop w:val="0"/>
      <w:marBottom w:val="0"/>
      <w:divBdr>
        <w:top w:val="none" w:sz="0" w:space="0" w:color="auto"/>
        <w:left w:val="none" w:sz="0" w:space="0" w:color="auto"/>
        <w:bottom w:val="none" w:sz="0" w:space="0" w:color="auto"/>
        <w:right w:val="none" w:sz="0" w:space="0" w:color="auto"/>
      </w:divBdr>
    </w:div>
    <w:div w:id="607087314">
      <w:bodyDiv w:val="1"/>
      <w:marLeft w:val="0"/>
      <w:marRight w:val="0"/>
      <w:marTop w:val="0"/>
      <w:marBottom w:val="0"/>
      <w:divBdr>
        <w:top w:val="none" w:sz="0" w:space="0" w:color="auto"/>
        <w:left w:val="none" w:sz="0" w:space="0" w:color="auto"/>
        <w:bottom w:val="none" w:sz="0" w:space="0" w:color="auto"/>
        <w:right w:val="none" w:sz="0" w:space="0" w:color="auto"/>
      </w:divBdr>
    </w:div>
    <w:div w:id="607934143">
      <w:bodyDiv w:val="1"/>
      <w:marLeft w:val="0"/>
      <w:marRight w:val="0"/>
      <w:marTop w:val="0"/>
      <w:marBottom w:val="0"/>
      <w:divBdr>
        <w:top w:val="none" w:sz="0" w:space="0" w:color="auto"/>
        <w:left w:val="none" w:sz="0" w:space="0" w:color="auto"/>
        <w:bottom w:val="none" w:sz="0" w:space="0" w:color="auto"/>
        <w:right w:val="none" w:sz="0" w:space="0" w:color="auto"/>
      </w:divBdr>
    </w:div>
    <w:div w:id="608008483">
      <w:bodyDiv w:val="1"/>
      <w:marLeft w:val="0"/>
      <w:marRight w:val="0"/>
      <w:marTop w:val="0"/>
      <w:marBottom w:val="0"/>
      <w:divBdr>
        <w:top w:val="none" w:sz="0" w:space="0" w:color="auto"/>
        <w:left w:val="none" w:sz="0" w:space="0" w:color="auto"/>
        <w:bottom w:val="none" w:sz="0" w:space="0" w:color="auto"/>
        <w:right w:val="none" w:sz="0" w:space="0" w:color="auto"/>
      </w:divBdr>
    </w:div>
    <w:div w:id="608120719">
      <w:bodyDiv w:val="1"/>
      <w:marLeft w:val="0"/>
      <w:marRight w:val="0"/>
      <w:marTop w:val="0"/>
      <w:marBottom w:val="0"/>
      <w:divBdr>
        <w:top w:val="none" w:sz="0" w:space="0" w:color="auto"/>
        <w:left w:val="none" w:sz="0" w:space="0" w:color="auto"/>
        <w:bottom w:val="none" w:sz="0" w:space="0" w:color="auto"/>
        <w:right w:val="none" w:sz="0" w:space="0" w:color="auto"/>
      </w:divBdr>
    </w:div>
    <w:div w:id="608971608">
      <w:bodyDiv w:val="1"/>
      <w:marLeft w:val="0"/>
      <w:marRight w:val="0"/>
      <w:marTop w:val="0"/>
      <w:marBottom w:val="0"/>
      <w:divBdr>
        <w:top w:val="none" w:sz="0" w:space="0" w:color="auto"/>
        <w:left w:val="none" w:sz="0" w:space="0" w:color="auto"/>
        <w:bottom w:val="none" w:sz="0" w:space="0" w:color="auto"/>
        <w:right w:val="none" w:sz="0" w:space="0" w:color="auto"/>
      </w:divBdr>
    </w:div>
    <w:div w:id="608976123">
      <w:bodyDiv w:val="1"/>
      <w:marLeft w:val="0"/>
      <w:marRight w:val="0"/>
      <w:marTop w:val="0"/>
      <w:marBottom w:val="0"/>
      <w:divBdr>
        <w:top w:val="none" w:sz="0" w:space="0" w:color="auto"/>
        <w:left w:val="none" w:sz="0" w:space="0" w:color="auto"/>
        <w:bottom w:val="none" w:sz="0" w:space="0" w:color="auto"/>
        <w:right w:val="none" w:sz="0" w:space="0" w:color="auto"/>
      </w:divBdr>
      <w:divsChild>
        <w:div w:id="1219898969">
          <w:marLeft w:val="0"/>
          <w:marRight w:val="0"/>
          <w:marTop w:val="0"/>
          <w:marBottom w:val="0"/>
          <w:divBdr>
            <w:top w:val="single" w:sz="2" w:space="0" w:color="E3E3E3"/>
            <w:left w:val="single" w:sz="2" w:space="0" w:color="E3E3E3"/>
            <w:bottom w:val="single" w:sz="2" w:space="0" w:color="E3E3E3"/>
            <w:right w:val="single" w:sz="2" w:space="0" w:color="E3E3E3"/>
          </w:divBdr>
          <w:divsChild>
            <w:div w:id="1721978303">
              <w:marLeft w:val="0"/>
              <w:marRight w:val="0"/>
              <w:marTop w:val="0"/>
              <w:marBottom w:val="0"/>
              <w:divBdr>
                <w:top w:val="single" w:sz="2" w:space="0" w:color="E3E3E3"/>
                <w:left w:val="single" w:sz="2" w:space="0" w:color="E3E3E3"/>
                <w:bottom w:val="single" w:sz="2" w:space="0" w:color="E3E3E3"/>
                <w:right w:val="single" w:sz="2" w:space="0" w:color="E3E3E3"/>
              </w:divBdr>
              <w:divsChild>
                <w:div w:id="1100371766">
                  <w:marLeft w:val="0"/>
                  <w:marRight w:val="0"/>
                  <w:marTop w:val="0"/>
                  <w:marBottom w:val="0"/>
                  <w:divBdr>
                    <w:top w:val="single" w:sz="2" w:space="2" w:color="E3E3E3"/>
                    <w:left w:val="single" w:sz="2" w:space="0" w:color="E3E3E3"/>
                    <w:bottom w:val="single" w:sz="2" w:space="0" w:color="E3E3E3"/>
                    <w:right w:val="single" w:sz="2" w:space="0" w:color="E3E3E3"/>
                  </w:divBdr>
                  <w:divsChild>
                    <w:div w:id="183548573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609438832">
      <w:bodyDiv w:val="1"/>
      <w:marLeft w:val="0"/>
      <w:marRight w:val="0"/>
      <w:marTop w:val="0"/>
      <w:marBottom w:val="0"/>
      <w:divBdr>
        <w:top w:val="none" w:sz="0" w:space="0" w:color="auto"/>
        <w:left w:val="none" w:sz="0" w:space="0" w:color="auto"/>
        <w:bottom w:val="none" w:sz="0" w:space="0" w:color="auto"/>
        <w:right w:val="none" w:sz="0" w:space="0" w:color="auto"/>
      </w:divBdr>
    </w:div>
    <w:div w:id="609552430">
      <w:bodyDiv w:val="1"/>
      <w:marLeft w:val="0"/>
      <w:marRight w:val="0"/>
      <w:marTop w:val="0"/>
      <w:marBottom w:val="0"/>
      <w:divBdr>
        <w:top w:val="none" w:sz="0" w:space="0" w:color="auto"/>
        <w:left w:val="none" w:sz="0" w:space="0" w:color="auto"/>
        <w:bottom w:val="none" w:sz="0" w:space="0" w:color="auto"/>
        <w:right w:val="none" w:sz="0" w:space="0" w:color="auto"/>
      </w:divBdr>
    </w:div>
    <w:div w:id="610360598">
      <w:bodyDiv w:val="1"/>
      <w:marLeft w:val="0"/>
      <w:marRight w:val="0"/>
      <w:marTop w:val="0"/>
      <w:marBottom w:val="0"/>
      <w:divBdr>
        <w:top w:val="none" w:sz="0" w:space="0" w:color="auto"/>
        <w:left w:val="none" w:sz="0" w:space="0" w:color="auto"/>
        <w:bottom w:val="none" w:sz="0" w:space="0" w:color="auto"/>
        <w:right w:val="none" w:sz="0" w:space="0" w:color="auto"/>
      </w:divBdr>
    </w:div>
    <w:div w:id="610552069">
      <w:bodyDiv w:val="1"/>
      <w:marLeft w:val="0"/>
      <w:marRight w:val="0"/>
      <w:marTop w:val="0"/>
      <w:marBottom w:val="0"/>
      <w:divBdr>
        <w:top w:val="none" w:sz="0" w:space="0" w:color="auto"/>
        <w:left w:val="none" w:sz="0" w:space="0" w:color="auto"/>
        <w:bottom w:val="none" w:sz="0" w:space="0" w:color="auto"/>
        <w:right w:val="none" w:sz="0" w:space="0" w:color="auto"/>
      </w:divBdr>
    </w:div>
    <w:div w:id="610821661">
      <w:bodyDiv w:val="1"/>
      <w:marLeft w:val="0"/>
      <w:marRight w:val="0"/>
      <w:marTop w:val="0"/>
      <w:marBottom w:val="0"/>
      <w:divBdr>
        <w:top w:val="none" w:sz="0" w:space="0" w:color="auto"/>
        <w:left w:val="none" w:sz="0" w:space="0" w:color="auto"/>
        <w:bottom w:val="none" w:sz="0" w:space="0" w:color="auto"/>
        <w:right w:val="none" w:sz="0" w:space="0" w:color="auto"/>
      </w:divBdr>
    </w:div>
    <w:div w:id="610943326">
      <w:bodyDiv w:val="1"/>
      <w:marLeft w:val="0"/>
      <w:marRight w:val="0"/>
      <w:marTop w:val="0"/>
      <w:marBottom w:val="0"/>
      <w:divBdr>
        <w:top w:val="none" w:sz="0" w:space="0" w:color="auto"/>
        <w:left w:val="none" w:sz="0" w:space="0" w:color="auto"/>
        <w:bottom w:val="none" w:sz="0" w:space="0" w:color="auto"/>
        <w:right w:val="none" w:sz="0" w:space="0" w:color="auto"/>
      </w:divBdr>
    </w:div>
    <w:div w:id="611210572">
      <w:bodyDiv w:val="1"/>
      <w:marLeft w:val="0"/>
      <w:marRight w:val="0"/>
      <w:marTop w:val="0"/>
      <w:marBottom w:val="0"/>
      <w:divBdr>
        <w:top w:val="none" w:sz="0" w:space="0" w:color="auto"/>
        <w:left w:val="none" w:sz="0" w:space="0" w:color="auto"/>
        <w:bottom w:val="none" w:sz="0" w:space="0" w:color="auto"/>
        <w:right w:val="none" w:sz="0" w:space="0" w:color="auto"/>
      </w:divBdr>
    </w:div>
    <w:div w:id="611396933">
      <w:bodyDiv w:val="1"/>
      <w:marLeft w:val="0"/>
      <w:marRight w:val="0"/>
      <w:marTop w:val="0"/>
      <w:marBottom w:val="0"/>
      <w:divBdr>
        <w:top w:val="none" w:sz="0" w:space="0" w:color="auto"/>
        <w:left w:val="none" w:sz="0" w:space="0" w:color="auto"/>
        <w:bottom w:val="none" w:sz="0" w:space="0" w:color="auto"/>
        <w:right w:val="none" w:sz="0" w:space="0" w:color="auto"/>
      </w:divBdr>
    </w:div>
    <w:div w:id="612326299">
      <w:bodyDiv w:val="1"/>
      <w:marLeft w:val="0"/>
      <w:marRight w:val="0"/>
      <w:marTop w:val="0"/>
      <w:marBottom w:val="0"/>
      <w:divBdr>
        <w:top w:val="none" w:sz="0" w:space="0" w:color="auto"/>
        <w:left w:val="none" w:sz="0" w:space="0" w:color="auto"/>
        <w:bottom w:val="none" w:sz="0" w:space="0" w:color="auto"/>
        <w:right w:val="none" w:sz="0" w:space="0" w:color="auto"/>
      </w:divBdr>
    </w:div>
    <w:div w:id="613445491">
      <w:bodyDiv w:val="1"/>
      <w:marLeft w:val="0"/>
      <w:marRight w:val="0"/>
      <w:marTop w:val="0"/>
      <w:marBottom w:val="0"/>
      <w:divBdr>
        <w:top w:val="none" w:sz="0" w:space="0" w:color="auto"/>
        <w:left w:val="none" w:sz="0" w:space="0" w:color="auto"/>
        <w:bottom w:val="none" w:sz="0" w:space="0" w:color="auto"/>
        <w:right w:val="none" w:sz="0" w:space="0" w:color="auto"/>
      </w:divBdr>
    </w:div>
    <w:div w:id="613902852">
      <w:bodyDiv w:val="1"/>
      <w:marLeft w:val="0"/>
      <w:marRight w:val="0"/>
      <w:marTop w:val="0"/>
      <w:marBottom w:val="0"/>
      <w:divBdr>
        <w:top w:val="none" w:sz="0" w:space="0" w:color="auto"/>
        <w:left w:val="none" w:sz="0" w:space="0" w:color="auto"/>
        <w:bottom w:val="none" w:sz="0" w:space="0" w:color="auto"/>
        <w:right w:val="none" w:sz="0" w:space="0" w:color="auto"/>
      </w:divBdr>
    </w:div>
    <w:div w:id="614095985">
      <w:bodyDiv w:val="1"/>
      <w:marLeft w:val="0"/>
      <w:marRight w:val="0"/>
      <w:marTop w:val="0"/>
      <w:marBottom w:val="0"/>
      <w:divBdr>
        <w:top w:val="none" w:sz="0" w:space="0" w:color="auto"/>
        <w:left w:val="none" w:sz="0" w:space="0" w:color="auto"/>
        <w:bottom w:val="none" w:sz="0" w:space="0" w:color="auto"/>
        <w:right w:val="none" w:sz="0" w:space="0" w:color="auto"/>
      </w:divBdr>
    </w:div>
    <w:div w:id="614554858">
      <w:bodyDiv w:val="1"/>
      <w:marLeft w:val="0"/>
      <w:marRight w:val="0"/>
      <w:marTop w:val="0"/>
      <w:marBottom w:val="0"/>
      <w:divBdr>
        <w:top w:val="none" w:sz="0" w:space="0" w:color="auto"/>
        <w:left w:val="none" w:sz="0" w:space="0" w:color="auto"/>
        <w:bottom w:val="none" w:sz="0" w:space="0" w:color="auto"/>
        <w:right w:val="none" w:sz="0" w:space="0" w:color="auto"/>
      </w:divBdr>
    </w:div>
    <w:div w:id="614597080">
      <w:bodyDiv w:val="1"/>
      <w:marLeft w:val="0"/>
      <w:marRight w:val="0"/>
      <w:marTop w:val="0"/>
      <w:marBottom w:val="0"/>
      <w:divBdr>
        <w:top w:val="none" w:sz="0" w:space="0" w:color="auto"/>
        <w:left w:val="none" w:sz="0" w:space="0" w:color="auto"/>
        <w:bottom w:val="none" w:sz="0" w:space="0" w:color="auto"/>
        <w:right w:val="none" w:sz="0" w:space="0" w:color="auto"/>
      </w:divBdr>
    </w:div>
    <w:div w:id="614599523">
      <w:bodyDiv w:val="1"/>
      <w:marLeft w:val="0"/>
      <w:marRight w:val="0"/>
      <w:marTop w:val="0"/>
      <w:marBottom w:val="0"/>
      <w:divBdr>
        <w:top w:val="none" w:sz="0" w:space="0" w:color="auto"/>
        <w:left w:val="none" w:sz="0" w:space="0" w:color="auto"/>
        <w:bottom w:val="none" w:sz="0" w:space="0" w:color="auto"/>
        <w:right w:val="none" w:sz="0" w:space="0" w:color="auto"/>
      </w:divBdr>
    </w:div>
    <w:div w:id="615134909">
      <w:bodyDiv w:val="1"/>
      <w:marLeft w:val="0"/>
      <w:marRight w:val="0"/>
      <w:marTop w:val="0"/>
      <w:marBottom w:val="0"/>
      <w:divBdr>
        <w:top w:val="none" w:sz="0" w:space="0" w:color="auto"/>
        <w:left w:val="none" w:sz="0" w:space="0" w:color="auto"/>
        <w:bottom w:val="none" w:sz="0" w:space="0" w:color="auto"/>
        <w:right w:val="none" w:sz="0" w:space="0" w:color="auto"/>
      </w:divBdr>
    </w:div>
    <w:div w:id="615210771">
      <w:bodyDiv w:val="1"/>
      <w:marLeft w:val="0"/>
      <w:marRight w:val="0"/>
      <w:marTop w:val="0"/>
      <w:marBottom w:val="0"/>
      <w:divBdr>
        <w:top w:val="none" w:sz="0" w:space="0" w:color="auto"/>
        <w:left w:val="none" w:sz="0" w:space="0" w:color="auto"/>
        <w:bottom w:val="none" w:sz="0" w:space="0" w:color="auto"/>
        <w:right w:val="none" w:sz="0" w:space="0" w:color="auto"/>
      </w:divBdr>
    </w:div>
    <w:div w:id="615867623">
      <w:bodyDiv w:val="1"/>
      <w:marLeft w:val="0"/>
      <w:marRight w:val="0"/>
      <w:marTop w:val="0"/>
      <w:marBottom w:val="0"/>
      <w:divBdr>
        <w:top w:val="none" w:sz="0" w:space="0" w:color="auto"/>
        <w:left w:val="none" w:sz="0" w:space="0" w:color="auto"/>
        <w:bottom w:val="none" w:sz="0" w:space="0" w:color="auto"/>
        <w:right w:val="none" w:sz="0" w:space="0" w:color="auto"/>
      </w:divBdr>
    </w:div>
    <w:div w:id="616136598">
      <w:bodyDiv w:val="1"/>
      <w:marLeft w:val="0"/>
      <w:marRight w:val="0"/>
      <w:marTop w:val="0"/>
      <w:marBottom w:val="0"/>
      <w:divBdr>
        <w:top w:val="none" w:sz="0" w:space="0" w:color="auto"/>
        <w:left w:val="none" w:sz="0" w:space="0" w:color="auto"/>
        <w:bottom w:val="none" w:sz="0" w:space="0" w:color="auto"/>
        <w:right w:val="none" w:sz="0" w:space="0" w:color="auto"/>
      </w:divBdr>
    </w:div>
    <w:div w:id="616180940">
      <w:bodyDiv w:val="1"/>
      <w:marLeft w:val="0"/>
      <w:marRight w:val="0"/>
      <w:marTop w:val="0"/>
      <w:marBottom w:val="0"/>
      <w:divBdr>
        <w:top w:val="none" w:sz="0" w:space="0" w:color="auto"/>
        <w:left w:val="none" w:sz="0" w:space="0" w:color="auto"/>
        <w:bottom w:val="none" w:sz="0" w:space="0" w:color="auto"/>
        <w:right w:val="none" w:sz="0" w:space="0" w:color="auto"/>
      </w:divBdr>
    </w:div>
    <w:div w:id="616370888">
      <w:bodyDiv w:val="1"/>
      <w:marLeft w:val="0"/>
      <w:marRight w:val="0"/>
      <w:marTop w:val="0"/>
      <w:marBottom w:val="0"/>
      <w:divBdr>
        <w:top w:val="none" w:sz="0" w:space="0" w:color="auto"/>
        <w:left w:val="none" w:sz="0" w:space="0" w:color="auto"/>
        <w:bottom w:val="none" w:sz="0" w:space="0" w:color="auto"/>
        <w:right w:val="none" w:sz="0" w:space="0" w:color="auto"/>
      </w:divBdr>
    </w:div>
    <w:div w:id="616521135">
      <w:bodyDiv w:val="1"/>
      <w:marLeft w:val="0"/>
      <w:marRight w:val="0"/>
      <w:marTop w:val="0"/>
      <w:marBottom w:val="0"/>
      <w:divBdr>
        <w:top w:val="none" w:sz="0" w:space="0" w:color="auto"/>
        <w:left w:val="none" w:sz="0" w:space="0" w:color="auto"/>
        <w:bottom w:val="none" w:sz="0" w:space="0" w:color="auto"/>
        <w:right w:val="none" w:sz="0" w:space="0" w:color="auto"/>
      </w:divBdr>
    </w:div>
    <w:div w:id="616523445">
      <w:bodyDiv w:val="1"/>
      <w:marLeft w:val="0"/>
      <w:marRight w:val="0"/>
      <w:marTop w:val="0"/>
      <w:marBottom w:val="0"/>
      <w:divBdr>
        <w:top w:val="none" w:sz="0" w:space="0" w:color="auto"/>
        <w:left w:val="none" w:sz="0" w:space="0" w:color="auto"/>
        <w:bottom w:val="none" w:sz="0" w:space="0" w:color="auto"/>
        <w:right w:val="none" w:sz="0" w:space="0" w:color="auto"/>
      </w:divBdr>
    </w:div>
    <w:div w:id="616983493">
      <w:bodyDiv w:val="1"/>
      <w:marLeft w:val="0"/>
      <w:marRight w:val="0"/>
      <w:marTop w:val="0"/>
      <w:marBottom w:val="0"/>
      <w:divBdr>
        <w:top w:val="none" w:sz="0" w:space="0" w:color="auto"/>
        <w:left w:val="none" w:sz="0" w:space="0" w:color="auto"/>
        <w:bottom w:val="none" w:sz="0" w:space="0" w:color="auto"/>
        <w:right w:val="none" w:sz="0" w:space="0" w:color="auto"/>
      </w:divBdr>
    </w:div>
    <w:div w:id="617419870">
      <w:bodyDiv w:val="1"/>
      <w:marLeft w:val="0"/>
      <w:marRight w:val="0"/>
      <w:marTop w:val="0"/>
      <w:marBottom w:val="0"/>
      <w:divBdr>
        <w:top w:val="none" w:sz="0" w:space="0" w:color="auto"/>
        <w:left w:val="none" w:sz="0" w:space="0" w:color="auto"/>
        <w:bottom w:val="none" w:sz="0" w:space="0" w:color="auto"/>
        <w:right w:val="none" w:sz="0" w:space="0" w:color="auto"/>
      </w:divBdr>
    </w:div>
    <w:div w:id="617683261">
      <w:bodyDiv w:val="1"/>
      <w:marLeft w:val="0"/>
      <w:marRight w:val="0"/>
      <w:marTop w:val="0"/>
      <w:marBottom w:val="0"/>
      <w:divBdr>
        <w:top w:val="none" w:sz="0" w:space="0" w:color="auto"/>
        <w:left w:val="none" w:sz="0" w:space="0" w:color="auto"/>
        <w:bottom w:val="none" w:sz="0" w:space="0" w:color="auto"/>
        <w:right w:val="none" w:sz="0" w:space="0" w:color="auto"/>
      </w:divBdr>
    </w:div>
    <w:div w:id="617952165">
      <w:bodyDiv w:val="1"/>
      <w:marLeft w:val="0"/>
      <w:marRight w:val="0"/>
      <w:marTop w:val="0"/>
      <w:marBottom w:val="0"/>
      <w:divBdr>
        <w:top w:val="none" w:sz="0" w:space="0" w:color="auto"/>
        <w:left w:val="none" w:sz="0" w:space="0" w:color="auto"/>
        <w:bottom w:val="none" w:sz="0" w:space="0" w:color="auto"/>
        <w:right w:val="none" w:sz="0" w:space="0" w:color="auto"/>
      </w:divBdr>
    </w:div>
    <w:div w:id="618099844">
      <w:bodyDiv w:val="1"/>
      <w:marLeft w:val="0"/>
      <w:marRight w:val="0"/>
      <w:marTop w:val="0"/>
      <w:marBottom w:val="0"/>
      <w:divBdr>
        <w:top w:val="none" w:sz="0" w:space="0" w:color="auto"/>
        <w:left w:val="none" w:sz="0" w:space="0" w:color="auto"/>
        <w:bottom w:val="none" w:sz="0" w:space="0" w:color="auto"/>
        <w:right w:val="none" w:sz="0" w:space="0" w:color="auto"/>
      </w:divBdr>
    </w:div>
    <w:div w:id="618688944">
      <w:bodyDiv w:val="1"/>
      <w:marLeft w:val="0"/>
      <w:marRight w:val="0"/>
      <w:marTop w:val="0"/>
      <w:marBottom w:val="0"/>
      <w:divBdr>
        <w:top w:val="none" w:sz="0" w:space="0" w:color="auto"/>
        <w:left w:val="none" w:sz="0" w:space="0" w:color="auto"/>
        <w:bottom w:val="none" w:sz="0" w:space="0" w:color="auto"/>
        <w:right w:val="none" w:sz="0" w:space="0" w:color="auto"/>
      </w:divBdr>
    </w:div>
    <w:div w:id="619384175">
      <w:bodyDiv w:val="1"/>
      <w:marLeft w:val="0"/>
      <w:marRight w:val="0"/>
      <w:marTop w:val="0"/>
      <w:marBottom w:val="0"/>
      <w:divBdr>
        <w:top w:val="none" w:sz="0" w:space="0" w:color="auto"/>
        <w:left w:val="none" w:sz="0" w:space="0" w:color="auto"/>
        <w:bottom w:val="none" w:sz="0" w:space="0" w:color="auto"/>
        <w:right w:val="none" w:sz="0" w:space="0" w:color="auto"/>
      </w:divBdr>
    </w:div>
    <w:div w:id="619648323">
      <w:bodyDiv w:val="1"/>
      <w:marLeft w:val="0"/>
      <w:marRight w:val="0"/>
      <w:marTop w:val="0"/>
      <w:marBottom w:val="0"/>
      <w:divBdr>
        <w:top w:val="none" w:sz="0" w:space="0" w:color="auto"/>
        <w:left w:val="none" w:sz="0" w:space="0" w:color="auto"/>
        <w:bottom w:val="none" w:sz="0" w:space="0" w:color="auto"/>
        <w:right w:val="none" w:sz="0" w:space="0" w:color="auto"/>
      </w:divBdr>
    </w:div>
    <w:div w:id="620188108">
      <w:bodyDiv w:val="1"/>
      <w:marLeft w:val="0"/>
      <w:marRight w:val="0"/>
      <w:marTop w:val="0"/>
      <w:marBottom w:val="0"/>
      <w:divBdr>
        <w:top w:val="none" w:sz="0" w:space="0" w:color="auto"/>
        <w:left w:val="none" w:sz="0" w:space="0" w:color="auto"/>
        <w:bottom w:val="none" w:sz="0" w:space="0" w:color="auto"/>
        <w:right w:val="none" w:sz="0" w:space="0" w:color="auto"/>
      </w:divBdr>
    </w:div>
    <w:div w:id="620575128">
      <w:bodyDiv w:val="1"/>
      <w:marLeft w:val="0"/>
      <w:marRight w:val="0"/>
      <w:marTop w:val="0"/>
      <w:marBottom w:val="0"/>
      <w:divBdr>
        <w:top w:val="none" w:sz="0" w:space="0" w:color="auto"/>
        <w:left w:val="none" w:sz="0" w:space="0" w:color="auto"/>
        <w:bottom w:val="none" w:sz="0" w:space="0" w:color="auto"/>
        <w:right w:val="none" w:sz="0" w:space="0" w:color="auto"/>
      </w:divBdr>
    </w:div>
    <w:div w:id="621111804">
      <w:bodyDiv w:val="1"/>
      <w:marLeft w:val="0"/>
      <w:marRight w:val="0"/>
      <w:marTop w:val="0"/>
      <w:marBottom w:val="0"/>
      <w:divBdr>
        <w:top w:val="none" w:sz="0" w:space="0" w:color="auto"/>
        <w:left w:val="none" w:sz="0" w:space="0" w:color="auto"/>
        <w:bottom w:val="none" w:sz="0" w:space="0" w:color="auto"/>
        <w:right w:val="none" w:sz="0" w:space="0" w:color="auto"/>
      </w:divBdr>
    </w:div>
    <w:div w:id="621304880">
      <w:bodyDiv w:val="1"/>
      <w:marLeft w:val="0"/>
      <w:marRight w:val="0"/>
      <w:marTop w:val="0"/>
      <w:marBottom w:val="0"/>
      <w:divBdr>
        <w:top w:val="none" w:sz="0" w:space="0" w:color="auto"/>
        <w:left w:val="none" w:sz="0" w:space="0" w:color="auto"/>
        <w:bottom w:val="none" w:sz="0" w:space="0" w:color="auto"/>
        <w:right w:val="none" w:sz="0" w:space="0" w:color="auto"/>
      </w:divBdr>
    </w:div>
    <w:div w:id="621497626">
      <w:bodyDiv w:val="1"/>
      <w:marLeft w:val="0"/>
      <w:marRight w:val="0"/>
      <w:marTop w:val="0"/>
      <w:marBottom w:val="0"/>
      <w:divBdr>
        <w:top w:val="none" w:sz="0" w:space="0" w:color="auto"/>
        <w:left w:val="none" w:sz="0" w:space="0" w:color="auto"/>
        <w:bottom w:val="none" w:sz="0" w:space="0" w:color="auto"/>
        <w:right w:val="none" w:sz="0" w:space="0" w:color="auto"/>
      </w:divBdr>
    </w:div>
    <w:div w:id="622003802">
      <w:bodyDiv w:val="1"/>
      <w:marLeft w:val="0"/>
      <w:marRight w:val="0"/>
      <w:marTop w:val="0"/>
      <w:marBottom w:val="0"/>
      <w:divBdr>
        <w:top w:val="none" w:sz="0" w:space="0" w:color="auto"/>
        <w:left w:val="none" w:sz="0" w:space="0" w:color="auto"/>
        <w:bottom w:val="none" w:sz="0" w:space="0" w:color="auto"/>
        <w:right w:val="none" w:sz="0" w:space="0" w:color="auto"/>
      </w:divBdr>
    </w:div>
    <w:div w:id="623078267">
      <w:bodyDiv w:val="1"/>
      <w:marLeft w:val="0"/>
      <w:marRight w:val="0"/>
      <w:marTop w:val="0"/>
      <w:marBottom w:val="0"/>
      <w:divBdr>
        <w:top w:val="none" w:sz="0" w:space="0" w:color="auto"/>
        <w:left w:val="none" w:sz="0" w:space="0" w:color="auto"/>
        <w:bottom w:val="none" w:sz="0" w:space="0" w:color="auto"/>
        <w:right w:val="none" w:sz="0" w:space="0" w:color="auto"/>
      </w:divBdr>
    </w:div>
    <w:div w:id="623462951">
      <w:bodyDiv w:val="1"/>
      <w:marLeft w:val="0"/>
      <w:marRight w:val="0"/>
      <w:marTop w:val="0"/>
      <w:marBottom w:val="0"/>
      <w:divBdr>
        <w:top w:val="none" w:sz="0" w:space="0" w:color="auto"/>
        <w:left w:val="none" w:sz="0" w:space="0" w:color="auto"/>
        <w:bottom w:val="none" w:sz="0" w:space="0" w:color="auto"/>
        <w:right w:val="none" w:sz="0" w:space="0" w:color="auto"/>
      </w:divBdr>
    </w:div>
    <w:div w:id="623465998">
      <w:bodyDiv w:val="1"/>
      <w:marLeft w:val="0"/>
      <w:marRight w:val="0"/>
      <w:marTop w:val="0"/>
      <w:marBottom w:val="0"/>
      <w:divBdr>
        <w:top w:val="none" w:sz="0" w:space="0" w:color="auto"/>
        <w:left w:val="none" w:sz="0" w:space="0" w:color="auto"/>
        <w:bottom w:val="none" w:sz="0" w:space="0" w:color="auto"/>
        <w:right w:val="none" w:sz="0" w:space="0" w:color="auto"/>
      </w:divBdr>
    </w:div>
    <w:div w:id="623779150">
      <w:bodyDiv w:val="1"/>
      <w:marLeft w:val="0"/>
      <w:marRight w:val="0"/>
      <w:marTop w:val="0"/>
      <w:marBottom w:val="0"/>
      <w:divBdr>
        <w:top w:val="none" w:sz="0" w:space="0" w:color="auto"/>
        <w:left w:val="none" w:sz="0" w:space="0" w:color="auto"/>
        <w:bottom w:val="none" w:sz="0" w:space="0" w:color="auto"/>
        <w:right w:val="none" w:sz="0" w:space="0" w:color="auto"/>
      </w:divBdr>
    </w:div>
    <w:div w:id="624235607">
      <w:bodyDiv w:val="1"/>
      <w:marLeft w:val="0"/>
      <w:marRight w:val="0"/>
      <w:marTop w:val="0"/>
      <w:marBottom w:val="0"/>
      <w:divBdr>
        <w:top w:val="none" w:sz="0" w:space="0" w:color="auto"/>
        <w:left w:val="none" w:sz="0" w:space="0" w:color="auto"/>
        <w:bottom w:val="none" w:sz="0" w:space="0" w:color="auto"/>
        <w:right w:val="none" w:sz="0" w:space="0" w:color="auto"/>
      </w:divBdr>
    </w:div>
    <w:div w:id="624847368">
      <w:bodyDiv w:val="1"/>
      <w:marLeft w:val="0"/>
      <w:marRight w:val="0"/>
      <w:marTop w:val="0"/>
      <w:marBottom w:val="0"/>
      <w:divBdr>
        <w:top w:val="none" w:sz="0" w:space="0" w:color="auto"/>
        <w:left w:val="none" w:sz="0" w:space="0" w:color="auto"/>
        <w:bottom w:val="none" w:sz="0" w:space="0" w:color="auto"/>
        <w:right w:val="none" w:sz="0" w:space="0" w:color="auto"/>
      </w:divBdr>
    </w:div>
    <w:div w:id="625160871">
      <w:bodyDiv w:val="1"/>
      <w:marLeft w:val="0"/>
      <w:marRight w:val="0"/>
      <w:marTop w:val="0"/>
      <w:marBottom w:val="0"/>
      <w:divBdr>
        <w:top w:val="none" w:sz="0" w:space="0" w:color="auto"/>
        <w:left w:val="none" w:sz="0" w:space="0" w:color="auto"/>
        <w:bottom w:val="none" w:sz="0" w:space="0" w:color="auto"/>
        <w:right w:val="none" w:sz="0" w:space="0" w:color="auto"/>
      </w:divBdr>
    </w:div>
    <w:div w:id="625283974">
      <w:bodyDiv w:val="1"/>
      <w:marLeft w:val="0"/>
      <w:marRight w:val="0"/>
      <w:marTop w:val="0"/>
      <w:marBottom w:val="0"/>
      <w:divBdr>
        <w:top w:val="none" w:sz="0" w:space="0" w:color="auto"/>
        <w:left w:val="none" w:sz="0" w:space="0" w:color="auto"/>
        <w:bottom w:val="none" w:sz="0" w:space="0" w:color="auto"/>
        <w:right w:val="none" w:sz="0" w:space="0" w:color="auto"/>
      </w:divBdr>
    </w:div>
    <w:div w:id="625356752">
      <w:bodyDiv w:val="1"/>
      <w:marLeft w:val="0"/>
      <w:marRight w:val="0"/>
      <w:marTop w:val="0"/>
      <w:marBottom w:val="0"/>
      <w:divBdr>
        <w:top w:val="none" w:sz="0" w:space="0" w:color="auto"/>
        <w:left w:val="none" w:sz="0" w:space="0" w:color="auto"/>
        <w:bottom w:val="none" w:sz="0" w:space="0" w:color="auto"/>
        <w:right w:val="none" w:sz="0" w:space="0" w:color="auto"/>
      </w:divBdr>
    </w:div>
    <w:div w:id="626007907">
      <w:bodyDiv w:val="1"/>
      <w:marLeft w:val="0"/>
      <w:marRight w:val="0"/>
      <w:marTop w:val="0"/>
      <w:marBottom w:val="0"/>
      <w:divBdr>
        <w:top w:val="none" w:sz="0" w:space="0" w:color="auto"/>
        <w:left w:val="none" w:sz="0" w:space="0" w:color="auto"/>
        <w:bottom w:val="none" w:sz="0" w:space="0" w:color="auto"/>
        <w:right w:val="none" w:sz="0" w:space="0" w:color="auto"/>
      </w:divBdr>
    </w:div>
    <w:div w:id="626080535">
      <w:bodyDiv w:val="1"/>
      <w:marLeft w:val="0"/>
      <w:marRight w:val="0"/>
      <w:marTop w:val="0"/>
      <w:marBottom w:val="0"/>
      <w:divBdr>
        <w:top w:val="none" w:sz="0" w:space="0" w:color="auto"/>
        <w:left w:val="none" w:sz="0" w:space="0" w:color="auto"/>
        <w:bottom w:val="none" w:sz="0" w:space="0" w:color="auto"/>
        <w:right w:val="none" w:sz="0" w:space="0" w:color="auto"/>
      </w:divBdr>
    </w:div>
    <w:div w:id="626280167">
      <w:bodyDiv w:val="1"/>
      <w:marLeft w:val="0"/>
      <w:marRight w:val="0"/>
      <w:marTop w:val="0"/>
      <w:marBottom w:val="0"/>
      <w:divBdr>
        <w:top w:val="none" w:sz="0" w:space="0" w:color="auto"/>
        <w:left w:val="none" w:sz="0" w:space="0" w:color="auto"/>
        <w:bottom w:val="none" w:sz="0" w:space="0" w:color="auto"/>
        <w:right w:val="none" w:sz="0" w:space="0" w:color="auto"/>
      </w:divBdr>
    </w:div>
    <w:div w:id="626665490">
      <w:bodyDiv w:val="1"/>
      <w:marLeft w:val="0"/>
      <w:marRight w:val="0"/>
      <w:marTop w:val="0"/>
      <w:marBottom w:val="0"/>
      <w:divBdr>
        <w:top w:val="none" w:sz="0" w:space="0" w:color="auto"/>
        <w:left w:val="none" w:sz="0" w:space="0" w:color="auto"/>
        <w:bottom w:val="none" w:sz="0" w:space="0" w:color="auto"/>
        <w:right w:val="none" w:sz="0" w:space="0" w:color="auto"/>
      </w:divBdr>
      <w:divsChild>
        <w:div w:id="2038501548">
          <w:marLeft w:val="480"/>
          <w:marRight w:val="0"/>
          <w:marTop w:val="0"/>
          <w:marBottom w:val="0"/>
          <w:divBdr>
            <w:top w:val="none" w:sz="0" w:space="0" w:color="auto"/>
            <w:left w:val="none" w:sz="0" w:space="0" w:color="auto"/>
            <w:bottom w:val="none" w:sz="0" w:space="0" w:color="auto"/>
            <w:right w:val="none" w:sz="0" w:space="0" w:color="auto"/>
          </w:divBdr>
        </w:div>
        <w:div w:id="2077193377">
          <w:marLeft w:val="480"/>
          <w:marRight w:val="0"/>
          <w:marTop w:val="0"/>
          <w:marBottom w:val="0"/>
          <w:divBdr>
            <w:top w:val="none" w:sz="0" w:space="0" w:color="auto"/>
            <w:left w:val="none" w:sz="0" w:space="0" w:color="auto"/>
            <w:bottom w:val="none" w:sz="0" w:space="0" w:color="auto"/>
            <w:right w:val="none" w:sz="0" w:space="0" w:color="auto"/>
          </w:divBdr>
        </w:div>
        <w:div w:id="929240199">
          <w:marLeft w:val="480"/>
          <w:marRight w:val="0"/>
          <w:marTop w:val="0"/>
          <w:marBottom w:val="0"/>
          <w:divBdr>
            <w:top w:val="none" w:sz="0" w:space="0" w:color="auto"/>
            <w:left w:val="none" w:sz="0" w:space="0" w:color="auto"/>
            <w:bottom w:val="none" w:sz="0" w:space="0" w:color="auto"/>
            <w:right w:val="none" w:sz="0" w:space="0" w:color="auto"/>
          </w:divBdr>
        </w:div>
        <w:div w:id="71201171">
          <w:marLeft w:val="480"/>
          <w:marRight w:val="0"/>
          <w:marTop w:val="0"/>
          <w:marBottom w:val="0"/>
          <w:divBdr>
            <w:top w:val="none" w:sz="0" w:space="0" w:color="auto"/>
            <w:left w:val="none" w:sz="0" w:space="0" w:color="auto"/>
            <w:bottom w:val="none" w:sz="0" w:space="0" w:color="auto"/>
            <w:right w:val="none" w:sz="0" w:space="0" w:color="auto"/>
          </w:divBdr>
        </w:div>
        <w:div w:id="1373923373">
          <w:marLeft w:val="480"/>
          <w:marRight w:val="0"/>
          <w:marTop w:val="0"/>
          <w:marBottom w:val="0"/>
          <w:divBdr>
            <w:top w:val="none" w:sz="0" w:space="0" w:color="auto"/>
            <w:left w:val="none" w:sz="0" w:space="0" w:color="auto"/>
            <w:bottom w:val="none" w:sz="0" w:space="0" w:color="auto"/>
            <w:right w:val="none" w:sz="0" w:space="0" w:color="auto"/>
          </w:divBdr>
        </w:div>
        <w:div w:id="294023779">
          <w:marLeft w:val="480"/>
          <w:marRight w:val="0"/>
          <w:marTop w:val="0"/>
          <w:marBottom w:val="0"/>
          <w:divBdr>
            <w:top w:val="none" w:sz="0" w:space="0" w:color="auto"/>
            <w:left w:val="none" w:sz="0" w:space="0" w:color="auto"/>
            <w:bottom w:val="none" w:sz="0" w:space="0" w:color="auto"/>
            <w:right w:val="none" w:sz="0" w:space="0" w:color="auto"/>
          </w:divBdr>
        </w:div>
        <w:div w:id="1458403642">
          <w:marLeft w:val="480"/>
          <w:marRight w:val="0"/>
          <w:marTop w:val="0"/>
          <w:marBottom w:val="0"/>
          <w:divBdr>
            <w:top w:val="none" w:sz="0" w:space="0" w:color="auto"/>
            <w:left w:val="none" w:sz="0" w:space="0" w:color="auto"/>
            <w:bottom w:val="none" w:sz="0" w:space="0" w:color="auto"/>
            <w:right w:val="none" w:sz="0" w:space="0" w:color="auto"/>
          </w:divBdr>
        </w:div>
        <w:div w:id="2003703143">
          <w:marLeft w:val="480"/>
          <w:marRight w:val="0"/>
          <w:marTop w:val="0"/>
          <w:marBottom w:val="0"/>
          <w:divBdr>
            <w:top w:val="none" w:sz="0" w:space="0" w:color="auto"/>
            <w:left w:val="none" w:sz="0" w:space="0" w:color="auto"/>
            <w:bottom w:val="none" w:sz="0" w:space="0" w:color="auto"/>
            <w:right w:val="none" w:sz="0" w:space="0" w:color="auto"/>
          </w:divBdr>
        </w:div>
        <w:div w:id="1788809484">
          <w:marLeft w:val="480"/>
          <w:marRight w:val="0"/>
          <w:marTop w:val="0"/>
          <w:marBottom w:val="0"/>
          <w:divBdr>
            <w:top w:val="none" w:sz="0" w:space="0" w:color="auto"/>
            <w:left w:val="none" w:sz="0" w:space="0" w:color="auto"/>
            <w:bottom w:val="none" w:sz="0" w:space="0" w:color="auto"/>
            <w:right w:val="none" w:sz="0" w:space="0" w:color="auto"/>
          </w:divBdr>
        </w:div>
        <w:div w:id="673530501">
          <w:marLeft w:val="480"/>
          <w:marRight w:val="0"/>
          <w:marTop w:val="0"/>
          <w:marBottom w:val="0"/>
          <w:divBdr>
            <w:top w:val="none" w:sz="0" w:space="0" w:color="auto"/>
            <w:left w:val="none" w:sz="0" w:space="0" w:color="auto"/>
            <w:bottom w:val="none" w:sz="0" w:space="0" w:color="auto"/>
            <w:right w:val="none" w:sz="0" w:space="0" w:color="auto"/>
          </w:divBdr>
        </w:div>
        <w:div w:id="737483576">
          <w:marLeft w:val="480"/>
          <w:marRight w:val="0"/>
          <w:marTop w:val="0"/>
          <w:marBottom w:val="0"/>
          <w:divBdr>
            <w:top w:val="none" w:sz="0" w:space="0" w:color="auto"/>
            <w:left w:val="none" w:sz="0" w:space="0" w:color="auto"/>
            <w:bottom w:val="none" w:sz="0" w:space="0" w:color="auto"/>
            <w:right w:val="none" w:sz="0" w:space="0" w:color="auto"/>
          </w:divBdr>
        </w:div>
        <w:div w:id="2051345881">
          <w:marLeft w:val="480"/>
          <w:marRight w:val="0"/>
          <w:marTop w:val="0"/>
          <w:marBottom w:val="0"/>
          <w:divBdr>
            <w:top w:val="none" w:sz="0" w:space="0" w:color="auto"/>
            <w:left w:val="none" w:sz="0" w:space="0" w:color="auto"/>
            <w:bottom w:val="none" w:sz="0" w:space="0" w:color="auto"/>
            <w:right w:val="none" w:sz="0" w:space="0" w:color="auto"/>
          </w:divBdr>
        </w:div>
        <w:div w:id="804667156">
          <w:marLeft w:val="480"/>
          <w:marRight w:val="0"/>
          <w:marTop w:val="0"/>
          <w:marBottom w:val="0"/>
          <w:divBdr>
            <w:top w:val="none" w:sz="0" w:space="0" w:color="auto"/>
            <w:left w:val="none" w:sz="0" w:space="0" w:color="auto"/>
            <w:bottom w:val="none" w:sz="0" w:space="0" w:color="auto"/>
            <w:right w:val="none" w:sz="0" w:space="0" w:color="auto"/>
          </w:divBdr>
        </w:div>
        <w:div w:id="1024405846">
          <w:marLeft w:val="480"/>
          <w:marRight w:val="0"/>
          <w:marTop w:val="0"/>
          <w:marBottom w:val="0"/>
          <w:divBdr>
            <w:top w:val="none" w:sz="0" w:space="0" w:color="auto"/>
            <w:left w:val="none" w:sz="0" w:space="0" w:color="auto"/>
            <w:bottom w:val="none" w:sz="0" w:space="0" w:color="auto"/>
            <w:right w:val="none" w:sz="0" w:space="0" w:color="auto"/>
          </w:divBdr>
        </w:div>
        <w:div w:id="1651249044">
          <w:marLeft w:val="480"/>
          <w:marRight w:val="0"/>
          <w:marTop w:val="0"/>
          <w:marBottom w:val="0"/>
          <w:divBdr>
            <w:top w:val="none" w:sz="0" w:space="0" w:color="auto"/>
            <w:left w:val="none" w:sz="0" w:space="0" w:color="auto"/>
            <w:bottom w:val="none" w:sz="0" w:space="0" w:color="auto"/>
            <w:right w:val="none" w:sz="0" w:space="0" w:color="auto"/>
          </w:divBdr>
        </w:div>
        <w:div w:id="1887838465">
          <w:marLeft w:val="480"/>
          <w:marRight w:val="0"/>
          <w:marTop w:val="0"/>
          <w:marBottom w:val="0"/>
          <w:divBdr>
            <w:top w:val="none" w:sz="0" w:space="0" w:color="auto"/>
            <w:left w:val="none" w:sz="0" w:space="0" w:color="auto"/>
            <w:bottom w:val="none" w:sz="0" w:space="0" w:color="auto"/>
            <w:right w:val="none" w:sz="0" w:space="0" w:color="auto"/>
          </w:divBdr>
        </w:div>
        <w:div w:id="1846286204">
          <w:marLeft w:val="480"/>
          <w:marRight w:val="0"/>
          <w:marTop w:val="0"/>
          <w:marBottom w:val="0"/>
          <w:divBdr>
            <w:top w:val="none" w:sz="0" w:space="0" w:color="auto"/>
            <w:left w:val="none" w:sz="0" w:space="0" w:color="auto"/>
            <w:bottom w:val="none" w:sz="0" w:space="0" w:color="auto"/>
            <w:right w:val="none" w:sz="0" w:space="0" w:color="auto"/>
          </w:divBdr>
        </w:div>
        <w:div w:id="292249407">
          <w:marLeft w:val="480"/>
          <w:marRight w:val="0"/>
          <w:marTop w:val="0"/>
          <w:marBottom w:val="0"/>
          <w:divBdr>
            <w:top w:val="none" w:sz="0" w:space="0" w:color="auto"/>
            <w:left w:val="none" w:sz="0" w:space="0" w:color="auto"/>
            <w:bottom w:val="none" w:sz="0" w:space="0" w:color="auto"/>
            <w:right w:val="none" w:sz="0" w:space="0" w:color="auto"/>
          </w:divBdr>
        </w:div>
        <w:div w:id="90319904">
          <w:marLeft w:val="480"/>
          <w:marRight w:val="0"/>
          <w:marTop w:val="0"/>
          <w:marBottom w:val="0"/>
          <w:divBdr>
            <w:top w:val="none" w:sz="0" w:space="0" w:color="auto"/>
            <w:left w:val="none" w:sz="0" w:space="0" w:color="auto"/>
            <w:bottom w:val="none" w:sz="0" w:space="0" w:color="auto"/>
            <w:right w:val="none" w:sz="0" w:space="0" w:color="auto"/>
          </w:divBdr>
        </w:div>
        <w:div w:id="882402397">
          <w:marLeft w:val="480"/>
          <w:marRight w:val="0"/>
          <w:marTop w:val="0"/>
          <w:marBottom w:val="0"/>
          <w:divBdr>
            <w:top w:val="none" w:sz="0" w:space="0" w:color="auto"/>
            <w:left w:val="none" w:sz="0" w:space="0" w:color="auto"/>
            <w:bottom w:val="none" w:sz="0" w:space="0" w:color="auto"/>
            <w:right w:val="none" w:sz="0" w:space="0" w:color="auto"/>
          </w:divBdr>
        </w:div>
        <w:div w:id="1571618895">
          <w:marLeft w:val="480"/>
          <w:marRight w:val="0"/>
          <w:marTop w:val="0"/>
          <w:marBottom w:val="0"/>
          <w:divBdr>
            <w:top w:val="none" w:sz="0" w:space="0" w:color="auto"/>
            <w:left w:val="none" w:sz="0" w:space="0" w:color="auto"/>
            <w:bottom w:val="none" w:sz="0" w:space="0" w:color="auto"/>
            <w:right w:val="none" w:sz="0" w:space="0" w:color="auto"/>
          </w:divBdr>
        </w:div>
        <w:div w:id="1276718916">
          <w:marLeft w:val="480"/>
          <w:marRight w:val="0"/>
          <w:marTop w:val="0"/>
          <w:marBottom w:val="0"/>
          <w:divBdr>
            <w:top w:val="none" w:sz="0" w:space="0" w:color="auto"/>
            <w:left w:val="none" w:sz="0" w:space="0" w:color="auto"/>
            <w:bottom w:val="none" w:sz="0" w:space="0" w:color="auto"/>
            <w:right w:val="none" w:sz="0" w:space="0" w:color="auto"/>
          </w:divBdr>
        </w:div>
        <w:div w:id="803621136">
          <w:marLeft w:val="480"/>
          <w:marRight w:val="0"/>
          <w:marTop w:val="0"/>
          <w:marBottom w:val="0"/>
          <w:divBdr>
            <w:top w:val="none" w:sz="0" w:space="0" w:color="auto"/>
            <w:left w:val="none" w:sz="0" w:space="0" w:color="auto"/>
            <w:bottom w:val="none" w:sz="0" w:space="0" w:color="auto"/>
            <w:right w:val="none" w:sz="0" w:space="0" w:color="auto"/>
          </w:divBdr>
        </w:div>
        <w:div w:id="78333122">
          <w:marLeft w:val="480"/>
          <w:marRight w:val="0"/>
          <w:marTop w:val="0"/>
          <w:marBottom w:val="0"/>
          <w:divBdr>
            <w:top w:val="none" w:sz="0" w:space="0" w:color="auto"/>
            <w:left w:val="none" w:sz="0" w:space="0" w:color="auto"/>
            <w:bottom w:val="none" w:sz="0" w:space="0" w:color="auto"/>
            <w:right w:val="none" w:sz="0" w:space="0" w:color="auto"/>
          </w:divBdr>
        </w:div>
        <w:div w:id="140080947">
          <w:marLeft w:val="480"/>
          <w:marRight w:val="0"/>
          <w:marTop w:val="0"/>
          <w:marBottom w:val="0"/>
          <w:divBdr>
            <w:top w:val="none" w:sz="0" w:space="0" w:color="auto"/>
            <w:left w:val="none" w:sz="0" w:space="0" w:color="auto"/>
            <w:bottom w:val="none" w:sz="0" w:space="0" w:color="auto"/>
            <w:right w:val="none" w:sz="0" w:space="0" w:color="auto"/>
          </w:divBdr>
        </w:div>
        <w:div w:id="353925055">
          <w:marLeft w:val="480"/>
          <w:marRight w:val="0"/>
          <w:marTop w:val="0"/>
          <w:marBottom w:val="0"/>
          <w:divBdr>
            <w:top w:val="none" w:sz="0" w:space="0" w:color="auto"/>
            <w:left w:val="none" w:sz="0" w:space="0" w:color="auto"/>
            <w:bottom w:val="none" w:sz="0" w:space="0" w:color="auto"/>
            <w:right w:val="none" w:sz="0" w:space="0" w:color="auto"/>
          </w:divBdr>
        </w:div>
        <w:div w:id="359207922">
          <w:marLeft w:val="480"/>
          <w:marRight w:val="0"/>
          <w:marTop w:val="0"/>
          <w:marBottom w:val="0"/>
          <w:divBdr>
            <w:top w:val="none" w:sz="0" w:space="0" w:color="auto"/>
            <w:left w:val="none" w:sz="0" w:space="0" w:color="auto"/>
            <w:bottom w:val="none" w:sz="0" w:space="0" w:color="auto"/>
            <w:right w:val="none" w:sz="0" w:space="0" w:color="auto"/>
          </w:divBdr>
        </w:div>
        <w:div w:id="238178778">
          <w:marLeft w:val="480"/>
          <w:marRight w:val="0"/>
          <w:marTop w:val="0"/>
          <w:marBottom w:val="0"/>
          <w:divBdr>
            <w:top w:val="none" w:sz="0" w:space="0" w:color="auto"/>
            <w:left w:val="none" w:sz="0" w:space="0" w:color="auto"/>
            <w:bottom w:val="none" w:sz="0" w:space="0" w:color="auto"/>
            <w:right w:val="none" w:sz="0" w:space="0" w:color="auto"/>
          </w:divBdr>
        </w:div>
        <w:div w:id="2085103170">
          <w:marLeft w:val="480"/>
          <w:marRight w:val="0"/>
          <w:marTop w:val="0"/>
          <w:marBottom w:val="0"/>
          <w:divBdr>
            <w:top w:val="none" w:sz="0" w:space="0" w:color="auto"/>
            <w:left w:val="none" w:sz="0" w:space="0" w:color="auto"/>
            <w:bottom w:val="none" w:sz="0" w:space="0" w:color="auto"/>
            <w:right w:val="none" w:sz="0" w:space="0" w:color="auto"/>
          </w:divBdr>
        </w:div>
        <w:div w:id="993676681">
          <w:marLeft w:val="480"/>
          <w:marRight w:val="0"/>
          <w:marTop w:val="0"/>
          <w:marBottom w:val="0"/>
          <w:divBdr>
            <w:top w:val="none" w:sz="0" w:space="0" w:color="auto"/>
            <w:left w:val="none" w:sz="0" w:space="0" w:color="auto"/>
            <w:bottom w:val="none" w:sz="0" w:space="0" w:color="auto"/>
            <w:right w:val="none" w:sz="0" w:space="0" w:color="auto"/>
          </w:divBdr>
        </w:div>
        <w:div w:id="766584639">
          <w:marLeft w:val="480"/>
          <w:marRight w:val="0"/>
          <w:marTop w:val="0"/>
          <w:marBottom w:val="0"/>
          <w:divBdr>
            <w:top w:val="none" w:sz="0" w:space="0" w:color="auto"/>
            <w:left w:val="none" w:sz="0" w:space="0" w:color="auto"/>
            <w:bottom w:val="none" w:sz="0" w:space="0" w:color="auto"/>
            <w:right w:val="none" w:sz="0" w:space="0" w:color="auto"/>
          </w:divBdr>
        </w:div>
        <w:div w:id="553470197">
          <w:marLeft w:val="480"/>
          <w:marRight w:val="0"/>
          <w:marTop w:val="0"/>
          <w:marBottom w:val="0"/>
          <w:divBdr>
            <w:top w:val="none" w:sz="0" w:space="0" w:color="auto"/>
            <w:left w:val="none" w:sz="0" w:space="0" w:color="auto"/>
            <w:bottom w:val="none" w:sz="0" w:space="0" w:color="auto"/>
            <w:right w:val="none" w:sz="0" w:space="0" w:color="auto"/>
          </w:divBdr>
        </w:div>
        <w:div w:id="1427576459">
          <w:marLeft w:val="480"/>
          <w:marRight w:val="0"/>
          <w:marTop w:val="0"/>
          <w:marBottom w:val="0"/>
          <w:divBdr>
            <w:top w:val="none" w:sz="0" w:space="0" w:color="auto"/>
            <w:left w:val="none" w:sz="0" w:space="0" w:color="auto"/>
            <w:bottom w:val="none" w:sz="0" w:space="0" w:color="auto"/>
            <w:right w:val="none" w:sz="0" w:space="0" w:color="auto"/>
          </w:divBdr>
        </w:div>
        <w:div w:id="1076630243">
          <w:marLeft w:val="480"/>
          <w:marRight w:val="0"/>
          <w:marTop w:val="0"/>
          <w:marBottom w:val="0"/>
          <w:divBdr>
            <w:top w:val="none" w:sz="0" w:space="0" w:color="auto"/>
            <w:left w:val="none" w:sz="0" w:space="0" w:color="auto"/>
            <w:bottom w:val="none" w:sz="0" w:space="0" w:color="auto"/>
            <w:right w:val="none" w:sz="0" w:space="0" w:color="auto"/>
          </w:divBdr>
        </w:div>
        <w:div w:id="1030955120">
          <w:marLeft w:val="480"/>
          <w:marRight w:val="0"/>
          <w:marTop w:val="0"/>
          <w:marBottom w:val="0"/>
          <w:divBdr>
            <w:top w:val="none" w:sz="0" w:space="0" w:color="auto"/>
            <w:left w:val="none" w:sz="0" w:space="0" w:color="auto"/>
            <w:bottom w:val="none" w:sz="0" w:space="0" w:color="auto"/>
            <w:right w:val="none" w:sz="0" w:space="0" w:color="auto"/>
          </w:divBdr>
        </w:div>
        <w:div w:id="1908690536">
          <w:marLeft w:val="480"/>
          <w:marRight w:val="0"/>
          <w:marTop w:val="0"/>
          <w:marBottom w:val="0"/>
          <w:divBdr>
            <w:top w:val="none" w:sz="0" w:space="0" w:color="auto"/>
            <w:left w:val="none" w:sz="0" w:space="0" w:color="auto"/>
            <w:bottom w:val="none" w:sz="0" w:space="0" w:color="auto"/>
            <w:right w:val="none" w:sz="0" w:space="0" w:color="auto"/>
          </w:divBdr>
        </w:div>
        <w:div w:id="1859387737">
          <w:marLeft w:val="480"/>
          <w:marRight w:val="0"/>
          <w:marTop w:val="0"/>
          <w:marBottom w:val="0"/>
          <w:divBdr>
            <w:top w:val="none" w:sz="0" w:space="0" w:color="auto"/>
            <w:left w:val="none" w:sz="0" w:space="0" w:color="auto"/>
            <w:bottom w:val="none" w:sz="0" w:space="0" w:color="auto"/>
            <w:right w:val="none" w:sz="0" w:space="0" w:color="auto"/>
          </w:divBdr>
        </w:div>
        <w:div w:id="485895617">
          <w:marLeft w:val="480"/>
          <w:marRight w:val="0"/>
          <w:marTop w:val="0"/>
          <w:marBottom w:val="0"/>
          <w:divBdr>
            <w:top w:val="none" w:sz="0" w:space="0" w:color="auto"/>
            <w:left w:val="none" w:sz="0" w:space="0" w:color="auto"/>
            <w:bottom w:val="none" w:sz="0" w:space="0" w:color="auto"/>
            <w:right w:val="none" w:sz="0" w:space="0" w:color="auto"/>
          </w:divBdr>
        </w:div>
        <w:div w:id="1352489562">
          <w:marLeft w:val="480"/>
          <w:marRight w:val="0"/>
          <w:marTop w:val="0"/>
          <w:marBottom w:val="0"/>
          <w:divBdr>
            <w:top w:val="none" w:sz="0" w:space="0" w:color="auto"/>
            <w:left w:val="none" w:sz="0" w:space="0" w:color="auto"/>
            <w:bottom w:val="none" w:sz="0" w:space="0" w:color="auto"/>
            <w:right w:val="none" w:sz="0" w:space="0" w:color="auto"/>
          </w:divBdr>
        </w:div>
        <w:div w:id="711609836">
          <w:marLeft w:val="480"/>
          <w:marRight w:val="0"/>
          <w:marTop w:val="0"/>
          <w:marBottom w:val="0"/>
          <w:divBdr>
            <w:top w:val="none" w:sz="0" w:space="0" w:color="auto"/>
            <w:left w:val="none" w:sz="0" w:space="0" w:color="auto"/>
            <w:bottom w:val="none" w:sz="0" w:space="0" w:color="auto"/>
            <w:right w:val="none" w:sz="0" w:space="0" w:color="auto"/>
          </w:divBdr>
        </w:div>
        <w:div w:id="1017318212">
          <w:marLeft w:val="480"/>
          <w:marRight w:val="0"/>
          <w:marTop w:val="0"/>
          <w:marBottom w:val="0"/>
          <w:divBdr>
            <w:top w:val="none" w:sz="0" w:space="0" w:color="auto"/>
            <w:left w:val="none" w:sz="0" w:space="0" w:color="auto"/>
            <w:bottom w:val="none" w:sz="0" w:space="0" w:color="auto"/>
            <w:right w:val="none" w:sz="0" w:space="0" w:color="auto"/>
          </w:divBdr>
        </w:div>
        <w:div w:id="1867328887">
          <w:marLeft w:val="480"/>
          <w:marRight w:val="0"/>
          <w:marTop w:val="0"/>
          <w:marBottom w:val="0"/>
          <w:divBdr>
            <w:top w:val="none" w:sz="0" w:space="0" w:color="auto"/>
            <w:left w:val="none" w:sz="0" w:space="0" w:color="auto"/>
            <w:bottom w:val="none" w:sz="0" w:space="0" w:color="auto"/>
            <w:right w:val="none" w:sz="0" w:space="0" w:color="auto"/>
          </w:divBdr>
        </w:div>
        <w:div w:id="384916564">
          <w:marLeft w:val="480"/>
          <w:marRight w:val="0"/>
          <w:marTop w:val="0"/>
          <w:marBottom w:val="0"/>
          <w:divBdr>
            <w:top w:val="none" w:sz="0" w:space="0" w:color="auto"/>
            <w:left w:val="none" w:sz="0" w:space="0" w:color="auto"/>
            <w:bottom w:val="none" w:sz="0" w:space="0" w:color="auto"/>
            <w:right w:val="none" w:sz="0" w:space="0" w:color="auto"/>
          </w:divBdr>
        </w:div>
        <w:div w:id="1067338374">
          <w:marLeft w:val="480"/>
          <w:marRight w:val="0"/>
          <w:marTop w:val="0"/>
          <w:marBottom w:val="0"/>
          <w:divBdr>
            <w:top w:val="none" w:sz="0" w:space="0" w:color="auto"/>
            <w:left w:val="none" w:sz="0" w:space="0" w:color="auto"/>
            <w:bottom w:val="none" w:sz="0" w:space="0" w:color="auto"/>
            <w:right w:val="none" w:sz="0" w:space="0" w:color="auto"/>
          </w:divBdr>
        </w:div>
        <w:div w:id="1787000027">
          <w:marLeft w:val="480"/>
          <w:marRight w:val="0"/>
          <w:marTop w:val="0"/>
          <w:marBottom w:val="0"/>
          <w:divBdr>
            <w:top w:val="none" w:sz="0" w:space="0" w:color="auto"/>
            <w:left w:val="none" w:sz="0" w:space="0" w:color="auto"/>
            <w:bottom w:val="none" w:sz="0" w:space="0" w:color="auto"/>
            <w:right w:val="none" w:sz="0" w:space="0" w:color="auto"/>
          </w:divBdr>
        </w:div>
        <w:div w:id="1340618885">
          <w:marLeft w:val="480"/>
          <w:marRight w:val="0"/>
          <w:marTop w:val="0"/>
          <w:marBottom w:val="0"/>
          <w:divBdr>
            <w:top w:val="none" w:sz="0" w:space="0" w:color="auto"/>
            <w:left w:val="none" w:sz="0" w:space="0" w:color="auto"/>
            <w:bottom w:val="none" w:sz="0" w:space="0" w:color="auto"/>
            <w:right w:val="none" w:sz="0" w:space="0" w:color="auto"/>
          </w:divBdr>
        </w:div>
        <w:div w:id="648679470">
          <w:marLeft w:val="480"/>
          <w:marRight w:val="0"/>
          <w:marTop w:val="0"/>
          <w:marBottom w:val="0"/>
          <w:divBdr>
            <w:top w:val="none" w:sz="0" w:space="0" w:color="auto"/>
            <w:left w:val="none" w:sz="0" w:space="0" w:color="auto"/>
            <w:bottom w:val="none" w:sz="0" w:space="0" w:color="auto"/>
            <w:right w:val="none" w:sz="0" w:space="0" w:color="auto"/>
          </w:divBdr>
        </w:div>
        <w:div w:id="1976569025">
          <w:marLeft w:val="480"/>
          <w:marRight w:val="0"/>
          <w:marTop w:val="0"/>
          <w:marBottom w:val="0"/>
          <w:divBdr>
            <w:top w:val="none" w:sz="0" w:space="0" w:color="auto"/>
            <w:left w:val="none" w:sz="0" w:space="0" w:color="auto"/>
            <w:bottom w:val="none" w:sz="0" w:space="0" w:color="auto"/>
            <w:right w:val="none" w:sz="0" w:space="0" w:color="auto"/>
          </w:divBdr>
        </w:div>
        <w:div w:id="520314544">
          <w:marLeft w:val="480"/>
          <w:marRight w:val="0"/>
          <w:marTop w:val="0"/>
          <w:marBottom w:val="0"/>
          <w:divBdr>
            <w:top w:val="none" w:sz="0" w:space="0" w:color="auto"/>
            <w:left w:val="none" w:sz="0" w:space="0" w:color="auto"/>
            <w:bottom w:val="none" w:sz="0" w:space="0" w:color="auto"/>
            <w:right w:val="none" w:sz="0" w:space="0" w:color="auto"/>
          </w:divBdr>
        </w:div>
        <w:div w:id="29571743">
          <w:marLeft w:val="480"/>
          <w:marRight w:val="0"/>
          <w:marTop w:val="0"/>
          <w:marBottom w:val="0"/>
          <w:divBdr>
            <w:top w:val="none" w:sz="0" w:space="0" w:color="auto"/>
            <w:left w:val="none" w:sz="0" w:space="0" w:color="auto"/>
            <w:bottom w:val="none" w:sz="0" w:space="0" w:color="auto"/>
            <w:right w:val="none" w:sz="0" w:space="0" w:color="auto"/>
          </w:divBdr>
        </w:div>
        <w:div w:id="329918399">
          <w:marLeft w:val="480"/>
          <w:marRight w:val="0"/>
          <w:marTop w:val="0"/>
          <w:marBottom w:val="0"/>
          <w:divBdr>
            <w:top w:val="none" w:sz="0" w:space="0" w:color="auto"/>
            <w:left w:val="none" w:sz="0" w:space="0" w:color="auto"/>
            <w:bottom w:val="none" w:sz="0" w:space="0" w:color="auto"/>
            <w:right w:val="none" w:sz="0" w:space="0" w:color="auto"/>
          </w:divBdr>
        </w:div>
        <w:div w:id="1092359042">
          <w:marLeft w:val="480"/>
          <w:marRight w:val="0"/>
          <w:marTop w:val="0"/>
          <w:marBottom w:val="0"/>
          <w:divBdr>
            <w:top w:val="none" w:sz="0" w:space="0" w:color="auto"/>
            <w:left w:val="none" w:sz="0" w:space="0" w:color="auto"/>
            <w:bottom w:val="none" w:sz="0" w:space="0" w:color="auto"/>
            <w:right w:val="none" w:sz="0" w:space="0" w:color="auto"/>
          </w:divBdr>
        </w:div>
        <w:div w:id="1176506366">
          <w:marLeft w:val="480"/>
          <w:marRight w:val="0"/>
          <w:marTop w:val="0"/>
          <w:marBottom w:val="0"/>
          <w:divBdr>
            <w:top w:val="none" w:sz="0" w:space="0" w:color="auto"/>
            <w:left w:val="none" w:sz="0" w:space="0" w:color="auto"/>
            <w:bottom w:val="none" w:sz="0" w:space="0" w:color="auto"/>
            <w:right w:val="none" w:sz="0" w:space="0" w:color="auto"/>
          </w:divBdr>
        </w:div>
        <w:div w:id="6831401">
          <w:marLeft w:val="480"/>
          <w:marRight w:val="0"/>
          <w:marTop w:val="0"/>
          <w:marBottom w:val="0"/>
          <w:divBdr>
            <w:top w:val="none" w:sz="0" w:space="0" w:color="auto"/>
            <w:left w:val="none" w:sz="0" w:space="0" w:color="auto"/>
            <w:bottom w:val="none" w:sz="0" w:space="0" w:color="auto"/>
            <w:right w:val="none" w:sz="0" w:space="0" w:color="auto"/>
          </w:divBdr>
        </w:div>
        <w:div w:id="561063932">
          <w:marLeft w:val="480"/>
          <w:marRight w:val="0"/>
          <w:marTop w:val="0"/>
          <w:marBottom w:val="0"/>
          <w:divBdr>
            <w:top w:val="none" w:sz="0" w:space="0" w:color="auto"/>
            <w:left w:val="none" w:sz="0" w:space="0" w:color="auto"/>
            <w:bottom w:val="none" w:sz="0" w:space="0" w:color="auto"/>
            <w:right w:val="none" w:sz="0" w:space="0" w:color="auto"/>
          </w:divBdr>
        </w:div>
        <w:div w:id="1081172079">
          <w:marLeft w:val="480"/>
          <w:marRight w:val="0"/>
          <w:marTop w:val="0"/>
          <w:marBottom w:val="0"/>
          <w:divBdr>
            <w:top w:val="none" w:sz="0" w:space="0" w:color="auto"/>
            <w:left w:val="none" w:sz="0" w:space="0" w:color="auto"/>
            <w:bottom w:val="none" w:sz="0" w:space="0" w:color="auto"/>
            <w:right w:val="none" w:sz="0" w:space="0" w:color="auto"/>
          </w:divBdr>
        </w:div>
        <w:div w:id="1455753451">
          <w:marLeft w:val="480"/>
          <w:marRight w:val="0"/>
          <w:marTop w:val="0"/>
          <w:marBottom w:val="0"/>
          <w:divBdr>
            <w:top w:val="none" w:sz="0" w:space="0" w:color="auto"/>
            <w:left w:val="none" w:sz="0" w:space="0" w:color="auto"/>
            <w:bottom w:val="none" w:sz="0" w:space="0" w:color="auto"/>
            <w:right w:val="none" w:sz="0" w:space="0" w:color="auto"/>
          </w:divBdr>
        </w:div>
        <w:div w:id="1096288919">
          <w:marLeft w:val="480"/>
          <w:marRight w:val="0"/>
          <w:marTop w:val="0"/>
          <w:marBottom w:val="0"/>
          <w:divBdr>
            <w:top w:val="none" w:sz="0" w:space="0" w:color="auto"/>
            <w:left w:val="none" w:sz="0" w:space="0" w:color="auto"/>
            <w:bottom w:val="none" w:sz="0" w:space="0" w:color="auto"/>
            <w:right w:val="none" w:sz="0" w:space="0" w:color="auto"/>
          </w:divBdr>
        </w:div>
        <w:div w:id="520163474">
          <w:marLeft w:val="480"/>
          <w:marRight w:val="0"/>
          <w:marTop w:val="0"/>
          <w:marBottom w:val="0"/>
          <w:divBdr>
            <w:top w:val="none" w:sz="0" w:space="0" w:color="auto"/>
            <w:left w:val="none" w:sz="0" w:space="0" w:color="auto"/>
            <w:bottom w:val="none" w:sz="0" w:space="0" w:color="auto"/>
            <w:right w:val="none" w:sz="0" w:space="0" w:color="auto"/>
          </w:divBdr>
        </w:div>
        <w:div w:id="1335455041">
          <w:marLeft w:val="480"/>
          <w:marRight w:val="0"/>
          <w:marTop w:val="0"/>
          <w:marBottom w:val="0"/>
          <w:divBdr>
            <w:top w:val="none" w:sz="0" w:space="0" w:color="auto"/>
            <w:left w:val="none" w:sz="0" w:space="0" w:color="auto"/>
            <w:bottom w:val="none" w:sz="0" w:space="0" w:color="auto"/>
            <w:right w:val="none" w:sz="0" w:space="0" w:color="auto"/>
          </w:divBdr>
        </w:div>
        <w:div w:id="1164972282">
          <w:marLeft w:val="480"/>
          <w:marRight w:val="0"/>
          <w:marTop w:val="0"/>
          <w:marBottom w:val="0"/>
          <w:divBdr>
            <w:top w:val="none" w:sz="0" w:space="0" w:color="auto"/>
            <w:left w:val="none" w:sz="0" w:space="0" w:color="auto"/>
            <w:bottom w:val="none" w:sz="0" w:space="0" w:color="auto"/>
            <w:right w:val="none" w:sz="0" w:space="0" w:color="auto"/>
          </w:divBdr>
        </w:div>
        <w:div w:id="217012866">
          <w:marLeft w:val="480"/>
          <w:marRight w:val="0"/>
          <w:marTop w:val="0"/>
          <w:marBottom w:val="0"/>
          <w:divBdr>
            <w:top w:val="none" w:sz="0" w:space="0" w:color="auto"/>
            <w:left w:val="none" w:sz="0" w:space="0" w:color="auto"/>
            <w:bottom w:val="none" w:sz="0" w:space="0" w:color="auto"/>
            <w:right w:val="none" w:sz="0" w:space="0" w:color="auto"/>
          </w:divBdr>
        </w:div>
        <w:div w:id="105661743">
          <w:marLeft w:val="480"/>
          <w:marRight w:val="0"/>
          <w:marTop w:val="0"/>
          <w:marBottom w:val="0"/>
          <w:divBdr>
            <w:top w:val="none" w:sz="0" w:space="0" w:color="auto"/>
            <w:left w:val="none" w:sz="0" w:space="0" w:color="auto"/>
            <w:bottom w:val="none" w:sz="0" w:space="0" w:color="auto"/>
            <w:right w:val="none" w:sz="0" w:space="0" w:color="auto"/>
          </w:divBdr>
        </w:div>
        <w:div w:id="792359139">
          <w:marLeft w:val="480"/>
          <w:marRight w:val="0"/>
          <w:marTop w:val="0"/>
          <w:marBottom w:val="0"/>
          <w:divBdr>
            <w:top w:val="none" w:sz="0" w:space="0" w:color="auto"/>
            <w:left w:val="none" w:sz="0" w:space="0" w:color="auto"/>
            <w:bottom w:val="none" w:sz="0" w:space="0" w:color="auto"/>
            <w:right w:val="none" w:sz="0" w:space="0" w:color="auto"/>
          </w:divBdr>
        </w:div>
        <w:div w:id="819272497">
          <w:marLeft w:val="480"/>
          <w:marRight w:val="0"/>
          <w:marTop w:val="0"/>
          <w:marBottom w:val="0"/>
          <w:divBdr>
            <w:top w:val="none" w:sz="0" w:space="0" w:color="auto"/>
            <w:left w:val="none" w:sz="0" w:space="0" w:color="auto"/>
            <w:bottom w:val="none" w:sz="0" w:space="0" w:color="auto"/>
            <w:right w:val="none" w:sz="0" w:space="0" w:color="auto"/>
          </w:divBdr>
        </w:div>
        <w:div w:id="500201993">
          <w:marLeft w:val="480"/>
          <w:marRight w:val="0"/>
          <w:marTop w:val="0"/>
          <w:marBottom w:val="0"/>
          <w:divBdr>
            <w:top w:val="none" w:sz="0" w:space="0" w:color="auto"/>
            <w:left w:val="none" w:sz="0" w:space="0" w:color="auto"/>
            <w:bottom w:val="none" w:sz="0" w:space="0" w:color="auto"/>
            <w:right w:val="none" w:sz="0" w:space="0" w:color="auto"/>
          </w:divBdr>
        </w:div>
        <w:div w:id="509225432">
          <w:marLeft w:val="480"/>
          <w:marRight w:val="0"/>
          <w:marTop w:val="0"/>
          <w:marBottom w:val="0"/>
          <w:divBdr>
            <w:top w:val="none" w:sz="0" w:space="0" w:color="auto"/>
            <w:left w:val="none" w:sz="0" w:space="0" w:color="auto"/>
            <w:bottom w:val="none" w:sz="0" w:space="0" w:color="auto"/>
            <w:right w:val="none" w:sz="0" w:space="0" w:color="auto"/>
          </w:divBdr>
        </w:div>
        <w:div w:id="1851750006">
          <w:marLeft w:val="480"/>
          <w:marRight w:val="0"/>
          <w:marTop w:val="0"/>
          <w:marBottom w:val="0"/>
          <w:divBdr>
            <w:top w:val="none" w:sz="0" w:space="0" w:color="auto"/>
            <w:left w:val="none" w:sz="0" w:space="0" w:color="auto"/>
            <w:bottom w:val="none" w:sz="0" w:space="0" w:color="auto"/>
            <w:right w:val="none" w:sz="0" w:space="0" w:color="auto"/>
          </w:divBdr>
        </w:div>
        <w:div w:id="503932228">
          <w:marLeft w:val="480"/>
          <w:marRight w:val="0"/>
          <w:marTop w:val="0"/>
          <w:marBottom w:val="0"/>
          <w:divBdr>
            <w:top w:val="none" w:sz="0" w:space="0" w:color="auto"/>
            <w:left w:val="none" w:sz="0" w:space="0" w:color="auto"/>
            <w:bottom w:val="none" w:sz="0" w:space="0" w:color="auto"/>
            <w:right w:val="none" w:sz="0" w:space="0" w:color="auto"/>
          </w:divBdr>
        </w:div>
        <w:div w:id="1216165289">
          <w:marLeft w:val="480"/>
          <w:marRight w:val="0"/>
          <w:marTop w:val="0"/>
          <w:marBottom w:val="0"/>
          <w:divBdr>
            <w:top w:val="none" w:sz="0" w:space="0" w:color="auto"/>
            <w:left w:val="none" w:sz="0" w:space="0" w:color="auto"/>
            <w:bottom w:val="none" w:sz="0" w:space="0" w:color="auto"/>
            <w:right w:val="none" w:sz="0" w:space="0" w:color="auto"/>
          </w:divBdr>
        </w:div>
        <w:div w:id="867335266">
          <w:marLeft w:val="480"/>
          <w:marRight w:val="0"/>
          <w:marTop w:val="0"/>
          <w:marBottom w:val="0"/>
          <w:divBdr>
            <w:top w:val="none" w:sz="0" w:space="0" w:color="auto"/>
            <w:left w:val="none" w:sz="0" w:space="0" w:color="auto"/>
            <w:bottom w:val="none" w:sz="0" w:space="0" w:color="auto"/>
            <w:right w:val="none" w:sz="0" w:space="0" w:color="auto"/>
          </w:divBdr>
        </w:div>
        <w:div w:id="1063141906">
          <w:marLeft w:val="480"/>
          <w:marRight w:val="0"/>
          <w:marTop w:val="0"/>
          <w:marBottom w:val="0"/>
          <w:divBdr>
            <w:top w:val="none" w:sz="0" w:space="0" w:color="auto"/>
            <w:left w:val="none" w:sz="0" w:space="0" w:color="auto"/>
            <w:bottom w:val="none" w:sz="0" w:space="0" w:color="auto"/>
            <w:right w:val="none" w:sz="0" w:space="0" w:color="auto"/>
          </w:divBdr>
        </w:div>
        <w:div w:id="1584870704">
          <w:marLeft w:val="480"/>
          <w:marRight w:val="0"/>
          <w:marTop w:val="0"/>
          <w:marBottom w:val="0"/>
          <w:divBdr>
            <w:top w:val="none" w:sz="0" w:space="0" w:color="auto"/>
            <w:left w:val="none" w:sz="0" w:space="0" w:color="auto"/>
            <w:bottom w:val="none" w:sz="0" w:space="0" w:color="auto"/>
            <w:right w:val="none" w:sz="0" w:space="0" w:color="auto"/>
          </w:divBdr>
        </w:div>
        <w:div w:id="142085797">
          <w:marLeft w:val="480"/>
          <w:marRight w:val="0"/>
          <w:marTop w:val="0"/>
          <w:marBottom w:val="0"/>
          <w:divBdr>
            <w:top w:val="none" w:sz="0" w:space="0" w:color="auto"/>
            <w:left w:val="none" w:sz="0" w:space="0" w:color="auto"/>
            <w:bottom w:val="none" w:sz="0" w:space="0" w:color="auto"/>
            <w:right w:val="none" w:sz="0" w:space="0" w:color="auto"/>
          </w:divBdr>
        </w:div>
        <w:div w:id="1194731609">
          <w:marLeft w:val="480"/>
          <w:marRight w:val="0"/>
          <w:marTop w:val="0"/>
          <w:marBottom w:val="0"/>
          <w:divBdr>
            <w:top w:val="none" w:sz="0" w:space="0" w:color="auto"/>
            <w:left w:val="none" w:sz="0" w:space="0" w:color="auto"/>
            <w:bottom w:val="none" w:sz="0" w:space="0" w:color="auto"/>
            <w:right w:val="none" w:sz="0" w:space="0" w:color="auto"/>
          </w:divBdr>
        </w:div>
        <w:div w:id="861669903">
          <w:marLeft w:val="480"/>
          <w:marRight w:val="0"/>
          <w:marTop w:val="0"/>
          <w:marBottom w:val="0"/>
          <w:divBdr>
            <w:top w:val="none" w:sz="0" w:space="0" w:color="auto"/>
            <w:left w:val="none" w:sz="0" w:space="0" w:color="auto"/>
            <w:bottom w:val="none" w:sz="0" w:space="0" w:color="auto"/>
            <w:right w:val="none" w:sz="0" w:space="0" w:color="auto"/>
          </w:divBdr>
        </w:div>
        <w:div w:id="1445810623">
          <w:marLeft w:val="480"/>
          <w:marRight w:val="0"/>
          <w:marTop w:val="0"/>
          <w:marBottom w:val="0"/>
          <w:divBdr>
            <w:top w:val="none" w:sz="0" w:space="0" w:color="auto"/>
            <w:left w:val="none" w:sz="0" w:space="0" w:color="auto"/>
            <w:bottom w:val="none" w:sz="0" w:space="0" w:color="auto"/>
            <w:right w:val="none" w:sz="0" w:space="0" w:color="auto"/>
          </w:divBdr>
        </w:div>
        <w:div w:id="768047440">
          <w:marLeft w:val="480"/>
          <w:marRight w:val="0"/>
          <w:marTop w:val="0"/>
          <w:marBottom w:val="0"/>
          <w:divBdr>
            <w:top w:val="none" w:sz="0" w:space="0" w:color="auto"/>
            <w:left w:val="none" w:sz="0" w:space="0" w:color="auto"/>
            <w:bottom w:val="none" w:sz="0" w:space="0" w:color="auto"/>
            <w:right w:val="none" w:sz="0" w:space="0" w:color="auto"/>
          </w:divBdr>
        </w:div>
        <w:div w:id="965086239">
          <w:marLeft w:val="480"/>
          <w:marRight w:val="0"/>
          <w:marTop w:val="0"/>
          <w:marBottom w:val="0"/>
          <w:divBdr>
            <w:top w:val="none" w:sz="0" w:space="0" w:color="auto"/>
            <w:left w:val="none" w:sz="0" w:space="0" w:color="auto"/>
            <w:bottom w:val="none" w:sz="0" w:space="0" w:color="auto"/>
            <w:right w:val="none" w:sz="0" w:space="0" w:color="auto"/>
          </w:divBdr>
        </w:div>
        <w:div w:id="1094084351">
          <w:marLeft w:val="480"/>
          <w:marRight w:val="0"/>
          <w:marTop w:val="0"/>
          <w:marBottom w:val="0"/>
          <w:divBdr>
            <w:top w:val="none" w:sz="0" w:space="0" w:color="auto"/>
            <w:left w:val="none" w:sz="0" w:space="0" w:color="auto"/>
            <w:bottom w:val="none" w:sz="0" w:space="0" w:color="auto"/>
            <w:right w:val="none" w:sz="0" w:space="0" w:color="auto"/>
          </w:divBdr>
        </w:div>
        <w:div w:id="52436353">
          <w:marLeft w:val="480"/>
          <w:marRight w:val="0"/>
          <w:marTop w:val="0"/>
          <w:marBottom w:val="0"/>
          <w:divBdr>
            <w:top w:val="none" w:sz="0" w:space="0" w:color="auto"/>
            <w:left w:val="none" w:sz="0" w:space="0" w:color="auto"/>
            <w:bottom w:val="none" w:sz="0" w:space="0" w:color="auto"/>
            <w:right w:val="none" w:sz="0" w:space="0" w:color="auto"/>
          </w:divBdr>
        </w:div>
        <w:div w:id="2105345372">
          <w:marLeft w:val="480"/>
          <w:marRight w:val="0"/>
          <w:marTop w:val="0"/>
          <w:marBottom w:val="0"/>
          <w:divBdr>
            <w:top w:val="none" w:sz="0" w:space="0" w:color="auto"/>
            <w:left w:val="none" w:sz="0" w:space="0" w:color="auto"/>
            <w:bottom w:val="none" w:sz="0" w:space="0" w:color="auto"/>
            <w:right w:val="none" w:sz="0" w:space="0" w:color="auto"/>
          </w:divBdr>
        </w:div>
        <w:div w:id="536427718">
          <w:marLeft w:val="480"/>
          <w:marRight w:val="0"/>
          <w:marTop w:val="0"/>
          <w:marBottom w:val="0"/>
          <w:divBdr>
            <w:top w:val="none" w:sz="0" w:space="0" w:color="auto"/>
            <w:left w:val="none" w:sz="0" w:space="0" w:color="auto"/>
            <w:bottom w:val="none" w:sz="0" w:space="0" w:color="auto"/>
            <w:right w:val="none" w:sz="0" w:space="0" w:color="auto"/>
          </w:divBdr>
        </w:div>
        <w:div w:id="804003661">
          <w:marLeft w:val="480"/>
          <w:marRight w:val="0"/>
          <w:marTop w:val="0"/>
          <w:marBottom w:val="0"/>
          <w:divBdr>
            <w:top w:val="none" w:sz="0" w:space="0" w:color="auto"/>
            <w:left w:val="none" w:sz="0" w:space="0" w:color="auto"/>
            <w:bottom w:val="none" w:sz="0" w:space="0" w:color="auto"/>
            <w:right w:val="none" w:sz="0" w:space="0" w:color="auto"/>
          </w:divBdr>
        </w:div>
        <w:div w:id="1728214617">
          <w:marLeft w:val="480"/>
          <w:marRight w:val="0"/>
          <w:marTop w:val="0"/>
          <w:marBottom w:val="0"/>
          <w:divBdr>
            <w:top w:val="none" w:sz="0" w:space="0" w:color="auto"/>
            <w:left w:val="none" w:sz="0" w:space="0" w:color="auto"/>
            <w:bottom w:val="none" w:sz="0" w:space="0" w:color="auto"/>
            <w:right w:val="none" w:sz="0" w:space="0" w:color="auto"/>
          </w:divBdr>
        </w:div>
        <w:div w:id="947081625">
          <w:marLeft w:val="480"/>
          <w:marRight w:val="0"/>
          <w:marTop w:val="0"/>
          <w:marBottom w:val="0"/>
          <w:divBdr>
            <w:top w:val="none" w:sz="0" w:space="0" w:color="auto"/>
            <w:left w:val="none" w:sz="0" w:space="0" w:color="auto"/>
            <w:bottom w:val="none" w:sz="0" w:space="0" w:color="auto"/>
            <w:right w:val="none" w:sz="0" w:space="0" w:color="auto"/>
          </w:divBdr>
        </w:div>
        <w:div w:id="1111629016">
          <w:marLeft w:val="480"/>
          <w:marRight w:val="0"/>
          <w:marTop w:val="0"/>
          <w:marBottom w:val="0"/>
          <w:divBdr>
            <w:top w:val="none" w:sz="0" w:space="0" w:color="auto"/>
            <w:left w:val="none" w:sz="0" w:space="0" w:color="auto"/>
            <w:bottom w:val="none" w:sz="0" w:space="0" w:color="auto"/>
            <w:right w:val="none" w:sz="0" w:space="0" w:color="auto"/>
          </w:divBdr>
        </w:div>
        <w:div w:id="1305739313">
          <w:marLeft w:val="480"/>
          <w:marRight w:val="0"/>
          <w:marTop w:val="0"/>
          <w:marBottom w:val="0"/>
          <w:divBdr>
            <w:top w:val="none" w:sz="0" w:space="0" w:color="auto"/>
            <w:left w:val="none" w:sz="0" w:space="0" w:color="auto"/>
            <w:bottom w:val="none" w:sz="0" w:space="0" w:color="auto"/>
            <w:right w:val="none" w:sz="0" w:space="0" w:color="auto"/>
          </w:divBdr>
        </w:div>
        <w:div w:id="792403848">
          <w:marLeft w:val="480"/>
          <w:marRight w:val="0"/>
          <w:marTop w:val="0"/>
          <w:marBottom w:val="0"/>
          <w:divBdr>
            <w:top w:val="none" w:sz="0" w:space="0" w:color="auto"/>
            <w:left w:val="none" w:sz="0" w:space="0" w:color="auto"/>
            <w:bottom w:val="none" w:sz="0" w:space="0" w:color="auto"/>
            <w:right w:val="none" w:sz="0" w:space="0" w:color="auto"/>
          </w:divBdr>
        </w:div>
        <w:div w:id="1271888835">
          <w:marLeft w:val="480"/>
          <w:marRight w:val="0"/>
          <w:marTop w:val="0"/>
          <w:marBottom w:val="0"/>
          <w:divBdr>
            <w:top w:val="none" w:sz="0" w:space="0" w:color="auto"/>
            <w:left w:val="none" w:sz="0" w:space="0" w:color="auto"/>
            <w:bottom w:val="none" w:sz="0" w:space="0" w:color="auto"/>
            <w:right w:val="none" w:sz="0" w:space="0" w:color="auto"/>
          </w:divBdr>
        </w:div>
        <w:div w:id="1337726946">
          <w:marLeft w:val="480"/>
          <w:marRight w:val="0"/>
          <w:marTop w:val="0"/>
          <w:marBottom w:val="0"/>
          <w:divBdr>
            <w:top w:val="none" w:sz="0" w:space="0" w:color="auto"/>
            <w:left w:val="none" w:sz="0" w:space="0" w:color="auto"/>
            <w:bottom w:val="none" w:sz="0" w:space="0" w:color="auto"/>
            <w:right w:val="none" w:sz="0" w:space="0" w:color="auto"/>
          </w:divBdr>
        </w:div>
        <w:div w:id="1649548867">
          <w:marLeft w:val="480"/>
          <w:marRight w:val="0"/>
          <w:marTop w:val="0"/>
          <w:marBottom w:val="0"/>
          <w:divBdr>
            <w:top w:val="none" w:sz="0" w:space="0" w:color="auto"/>
            <w:left w:val="none" w:sz="0" w:space="0" w:color="auto"/>
            <w:bottom w:val="none" w:sz="0" w:space="0" w:color="auto"/>
            <w:right w:val="none" w:sz="0" w:space="0" w:color="auto"/>
          </w:divBdr>
        </w:div>
        <w:div w:id="44765523">
          <w:marLeft w:val="480"/>
          <w:marRight w:val="0"/>
          <w:marTop w:val="0"/>
          <w:marBottom w:val="0"/>
          <w:divBdr>
            <w:top w:val="none" w:sz="0" w:space="0" w:color="auto"/>
            <w:left w:val="none" w:sz="0" w:space="0" w:color="auto"/>
            <w:bottom w:val="none" w:sz="0" w:space="0" w:color="auto"/>
            <w:right w:val="none" w:sz="0" w:space="0" w:color="auto"/>
          </w:divBdr>
        </w:div>
        <w:div w:id="815684588">
          <w:marLeft w:val="480"/>
          <w:marRight w:val="0"/>
          <w:marTop w:val="0"/>
          <w:marBottom w:val="0"/>
          <w:divBdr>
            <w:top w:val="none" w:sz="0" w:space="0" w:color="auto"/>
            <w:left w:val="none" w:sz="0" w:space="0" w:color="auto"/>
            <w:bottom w:val="none" w:sz="0" w:space="0" w:color="auto"/>
            <w:right w:val="none" w:sz="0" w:space="0" w:color="auto"/>
          </w:divBdr>
        </w:div>
        <w:div w:id="1921060000">
          <w:marLeft w:val="480"/>
          <w:marRight w:val="0"/>
          <w:marTop w:val="0"/>
          <w:marBottom w:val="0"/>
          <w:divBdr>
            <w:top w:val="none" w:sz="0" w:space="0" w:color="auto"/>
            <w:left w:val="none" w:sz="0" w:space="0" w:color="auto"/>
            <w:bottom w:val="none" w:sz="0" w:space="0" w:color="auto"/>
            <w:right w:val="none" w:sz="0" w:space="0" w:color="auto"/>
          </w:divBdr>
        </w:div>
        <w:div w:id="1339306037">
          <w:marLeft w:val="480"/>
          <w:marRight w:val="0"/>
          <w:marTop w:val="0"/>
          <w:marBottom w:val="0"/>
          <w:divBdr>
            <w:top w:val="none" w:sz="0" w:space="0" w:color="auto"/>
            <w:left w:val="none" w:sz="0" w:space="0" w:color="auto"/>
            <w:bottom w:val="none" w:sz="0" w:space="0" w:color="auto"/>
            <w:right w:val="none" w:sz="0" w:space="0" w:color="auto"/>
          </w:divBdr>
        </w:div>
        <w:div w:id="450710038">
          <w:marLeft w:val="480"/>
          <w:marRight w:val="0"/>
          <w:marTop w:val="0"/>
          <w:marBottom w:val="0"/>
          <w:divBdr>
            <w:top w:val="none" w:sz="0" w:space="0" w:color="auto"/>
            <w:left w:val="none" w:sz="0" w:space="0" w:color="auto"/>
            <w:bottom w:val="none" w:sz="0" w:space="0" w:color="auto"/>
            <w:right w:val="none" w:sz="0" w:space="0" w:color="auto"/>
          </w:divBdr>
        </w:div>
        <w:div w:id="439301962">
          <w:marLeft w:val="480"/>
          <w:marRight w:val="0"/>
          <w:marTop w:val="0"/>
          <w:marBottom w:val="0"/>
          <w:divBdr>
            <w:top w:val="none" w:sz="0" w:space="0" w:color="auto"/>
            <w:left w:val="none" w:sz="0" w:space="0" w:color="auto"/>
            <w:bottom w:val="none" w:sz="0" w:space="0" w:color="auto"/>
            <w:right w:val="none" w:sz="0" w:space="0" w:color="auto"/>
          </w:divBdr>
        </w:div>
        <w:div w:id="1260025109">
          <w:marLeft w:val="480"/>
          <w:marRight w:val="0"/>
          <w:marTop w:val="0"/>
          <w:marBottom w:val="0"/>
          <w:divBdr>
            <w:top w:val="none" w:sz="0" w:space="0" w:color="auto"/>
            <w:left w:val="none" w:sz="0" w:space="0" w:color="auto"/>
            <w:bottom w:val="none" w:sz="0" w:space="0" w:color="auto"/>
            <w:right w:val="none" w:sz="0" w:space="0" w:color="auto"/>
          </w:divBdr>
        </w:div>
        <w:div w:id="596718929">
          <w:marLeft w:val="480"/>
          <w:marRight w:val="0"/>
          <w:marTop w:val="0"/>
          <w:marBottom w:val="0"/>
          <w:divBdr>
            <w:top w:val="none" w:sz="0" w:space="0" w:color="auto"/>
            <w:left w:val="none" w:sz="0" w:space="0" w:color="auto"/>
            <w:bottom w:val="none" w:sz="0" w:space="0" w:color="auto"/>
            <w:right w:val="none" w:sz="0" w:space="0" w:color="auto"/>
          </w:divBdr>
        </w:div>
        <w:div w:id="579754507">
          <w:marLeft w:val="480"/>
          <w:marRight w:val="0"/>
          <w:marTop w:val="0"/>
          <w:marBottom w:val="0"/>
          <w:divBdr>
            <w:top w:val="none" w:sz="0" w:space="0" w:color="auto"/>
            <w:left w:val="none" w:sz="0" w:space="0" w:color="auto"/>
            <w:bottom w:val="none" w:sz="0" w:space="0" w:color="auto"/>
            <w:right w:val="none" w:sz="0" w:space="0" w:color="auto"/>
          </w:divBdr>
        </w:div>
        <w:div w:id="229341305">
          <w:marLeft w:val="480"/>
          <w:marRight w:val="0"/>
          <w:marTop w:val="0"/>
          <w:marBottom w:val="0"/>
          <w:divBdr>
            <w:top w:val="none" w:sz="0" w:space="0" w:color="auto"/>
            <w:left w:val="none" w:sz="0" w:space="0" w:color="auto"/>
            <w:bottom w:val="none" w:sz="0" w:space="0" w:color="auto"/>
            <w:right w:val="none" w:sz="0" w:space="0" w:color="auto"/>
          </w:divBdr>
        </w:div>
        <w:div w:id="609554912">
          <w:marLeft w:val="480"/>
          <w:marRight w:val="0"/>
          <w:marTop w:val="0"/>
          <w:marBottom w:val="0"/>
          <w:divBdr>
            <w:top w:val="none" w:sz="0" w:space="0" w:color="auto"/>
            <w:left w:val="none" w:sz="0" w:space="0" w:color="auto"/>
            <w:bottom w:val="none" w:sz="0" w:space="0" w:color="auto"/>
            <w:right w:val="none" w:sz="0" w:space="0" w:color="auto"/>
          </w:divBdr>
        </w:div>
        <w:div w:id="1497040433">
          <w:marLeft w:val="480"/>
          <w:marRight w:val="0"/>
          <w:marTop w:val="0"/>
          <w:marBottom w:val="0"/>
          <w:divBdr>
            <w:top w:val="none" w:sz="0" w:space="0" w:color="auto"/>
            <w:left w:val="none" w:sz="0" w:space="0" w:color="auto"/>
            <w:bottom w:val="none" w:sz="0" w:space="0" w:color="auto"/>
            <w:right w:val="none" w:sz="0" w:space="0" w:color="auto"/>
          </w:divBdr>
        </w:div>
        <w:div w:id="2026784918">
          <w:marLeft w:val="480"/>
          <w:marRight w:val="0"/>
          <w:marTop w:val="0"/>
          <w:marBottom w:val="0"/>
          <w:divBdr>
            <w:top w:val="none" w:sz="0" w:space="0" w:color="auto"/>
            <w:left w:val="none" w:sz="0" w:space="0" w:color="auto"/>
            <w:bottom w:val="none" w:sz="0" w:space="0" w:color="auto"/>
            <w:right w:val="none" w:sz="0" w:space="0" w:color="auto"/>
          </w:divBdr>
        </w:div>
        <w:div w:id="1321544389">
          <w:marLeft w:val="480"/>
          <w:marRight w:val="0"/>
          <w:marTop w:val="0"/>
          <w:marBottom w:val="0"/>
          <w:divBdr>
            <w:top w:val="none" w:sz="0" w:space="0" w:color="auto"/>
            <w:left w:val="none" w:sz="0" w:space="0" w:color="auto"/>
            <w:bottom w:val="none" w:sz="0" w:space="0" w:color="auto"/>
            <w:right w:val="none" w:sz="0" w:space="0" w:color="auto"/>
          </w:divBdr>
        </w:div>
        <w:div w:id="2061904669">
          <w:marLeft w:val="480"/>
          <w:marRight w:val="0"/>
          <w:marTop w:val="0"/>
          <w:marBottom w:val="0"/>
          <w:divBdr>
            <w:top w:val="none" w:sz="0" w:space="0" w:color="auto"/>
            <w:left w:val="none" w:sz="0" w:space="0" w:color="auto"/>
            <w:bottom w:val="none" w:sz="0" w:space="0" w:color="auto"/>
            <w:right w:val="none" w:sz="0" w:space="0" w:color="auto"/>
          </w:divBdr>
        </w:div>
        <w:div w:id="837237528">
          <w:marLeft w:val="480"/>
          <w:marRight w:val="0"/>
          <w:marTop w:val="0"/>
          <w:marBottom w:val="0"/>
          <w:divBdr>
            <w:top w:val="none" w:sz="0" w:space="0" w:color="auto"/>
            <w:left w:val="none" w:sz="0" w:space="0" w:color="auto"/>
            <w:bottom w:val="none" w:sz="0" w:space="0" w:color="auto"/>
            <w:right w:val="none" w:sz="0" w:space="0" w:color="auto"/>
          </w:divBdr>
        </w:div>
        <w:div w:id="165637563">
          <w:marLeft w:val="480"/>
          <w:marRight w:val="0"/>
          <w:marTop w:val="0"/>
          <w:marBottom w:val="0"/>
          <w:divBdr>
            <w:top w:val="none" w:sz="0" w:space="0" w:color="auto"/>
            <w:left w:val="none" w:sz="0" w:space="0" w:color="auto"/>
            <w:bottom w:val="none" w:sz="0" w:space="0" w:color="auto"/>
            <w:right w:val="none" w:sz="0" w:space="0" w:color="auto"/>
          </w:divBdr>
        </w:div>
        <w:div w:id="1700744130">
          <w:marLeft w:val="480"/>
          <w:marRight w:val="0"/>
          <w:marTop w:val="0"/>
          <w:marBottom w:val="0"/>
          <w:divBdr>
            <w:top w:val="none" w:sz="0" w:space="0" w:color="auto"/>
            <w:left w:val="none" w:sz="0" w:space="0" w:color="auto"/>
            <w:bottom w:val="none" w:sz="0" w:space="0" w:color="auto"/>
            <w:right w:val="none" w:sz="0" w:space="0" w:color="auto"/>
          </w:divBdr>
        </w:div>
        <w:div w:id="1309018175">
          <w:marLeft w:val="480"/>
          <w:marRight w:val="0"/>
          <w:marTop w:val="0"/>
          <w:marBottom w:val="0"/>
          <w:divBdr>
            <w:top w:val="none" w:sz="0" w:space="0" w:color="auto"/>
            <w:left w:val="none" w:sz="0" w:space="0" w:color="auto"/>
            <w:bottom w:val="none" w:sz="0" w:space="0" w:color="auto"/>
            <w:right w:val="none" w:sz="0" w:space="0" w:color="auto"/>
          </w:divBdr>
        </w:div>
        <w:div w:id="131218273">
          <w:marLeft w:val="480"/>
          <w:marRight w:val="0"/>
          <w:marTop w:val="0"/>
          <w:marBottom w:val="0"/>
          <w:divBdr>
            <w:top w:val="none" w:sz="0" w:space="0" w:color="auto"/>
            <w:left w:val="none" w:sz="0" w:space="0" w:color="auto"/>
            <w:bottom w:val="none" w:sz="0" w:space="0" w:color="auto"/>
            <w:right w:val="none" w:sz="0" w:space="0" w:color="auto"/>
          </w:divBdr>
        </w:div>
        <w:div w:id="1432362177">
          <w:marLeft w:val="480"/>
          <w:marRight w:val="0"/>
          <w:marTop w:val="0"/>
          <w:marBottom w:val="0"/>
          <w:divBdr>
            <w:top w:val="none" w:sz="0" w:space="0" w:color="auto"/>
            <w:left w:val="none" w:sz="0" w:space="0" w:color="auto"/>
            <w:bottom w:val="none" w:sz="0" w:space="0" w:color="auto"/>
            <w:right w:val="none" w:sz="0" w:space="0" w:color="auto"/>
          </w:divBdr>
        </w:div>
        <w:div w:id="1779331263">
          <w:marLeft w:val="480"/>
          <w:marRight w:val="0"/>
          <w:marTop w:val="0"/>
          <w:marBottom w:val="0"/>
          <w:divBdr>
            <w:top w:val="none" w:sz="0" w:space="0" w:color="auto"/>
            <w:left w:val="none" w:sz="0" w:space="0" w:color="auto"/>
            <w:bottom w:val="none" w:sz="0" w:space="0" w:color="auto"/>
            <w:right w:val="none" w:sz="0" w:space="0" w:color="auto"/>
          </w:divBdr>
        </w:div>
        <w:div w:id="1007902894">
          <w:marLeft w:val="480"/>
          <w:marRight w:val="0"/>
          <w:marTop w:val="0"/>
          <w:marBottom w:val="0"/>
          <w:divBdr>
            <w:top w:val="none" w:sz="0" w:space="0" w:color="auto"/>
            <w:left w:val="none" w:sz="0" w:space="0" w:color="auto"/>
            <w:bottom w:val="none" w:sz="0" w:space="0" w:color="auto"/>
            <w:right w:val="none" w:sz="0" w:space="0" w:color="auto"/>
          </w:divBdr>
        </w:div>
        <w:div w:id="1406797492">
          <w:marLeft w:val="480"/>
          <w:marRight w:val="0"/>
          <w:marTop w:val="0"/>
          <w:marBottom w:val="0"/>
          <w:divBdr>
            <w:top w:val="none" w:sz="0" w:space="0" w:color="auto"/>
            <w:left w:val="none" w:sz="0" w:space="0" w:color="auto"/>
            <w:bottom w:val="none" w:sz="0" w:space="0" w:color="auto"/>
            <w:right w:val="none" w:sz="0" w:space="0" w:color="auto"/>
          </w:divBdr>
        </w:div>
        <w:div w:id="428503233">
          <w:marLeft w:val="480"/>
          <w:marRight w:val="0"/>
          <w:marTop w:val="0"/>
          <w:marBottom w:val="0"/>
          <w:divBdr>
            <w:top w:val="none" w:sz="0" w:space="0" w:color="auto"/>
            <w:left w:val="none" w:sz="0" w:space="0" w:color="auto"/>
            <w:bottom w:val="none" w:sz="0" w:space="0" w:color="auto"/>
            <w:right w:val="none" w:sz="0" w:space="0" w:color="auto"/>
          </w:divBdr>
        </w:div>
        <w:div w:id="353844391">
          <w:marLeft w:val="480"/>
          <w:marRight w:val="0"/>
          <w:marTop w:val="0"/>
          <w:marBottom w:val="0"/>
          <w:divBdr>
            <w:top w:val="none" w:sz="0" w:space="0" w:color="auto"/>
            <w:left w:val="none" w:sz="0" w:space="0" w:color="auto"/>
            <w:bottom w:val="none" w:sz="0" w:space="0" w:color="auto"/>
            <w:right w:val="none" w:sz="0" w:space="0" w:color="auto"/>
          </w:divBdr>
        </w:div>
        <w:div w:id="1366059711">
          <w:marLeft w:val="480"/>
          <w:marRight w:val="0"/>
          <w:marTop w:val="0"/>
          <w:marBottom w:val="0"/>
          <w:divBdr>
            <w:top w:val="none" w:sz="0" w:space="0" w:color="auto"/>
            <w:left w:val="none" w:sz="0" w:space="0" w:color="auto"/>
            <w:bottom w:val="none" w:sz="0" w:space="0" w:color="auto"/>
            <w:right w:val="none" w:sz="0" w:space="0" w:color="auto"/>
          </w:divBdr>
        </w:div>
        <w:div w:id="1055004107">
          <w:marLeft w:val="480"/>
          <w:marRight w:val="0"/>
          <w:marTop w:val="0"/>
          <w:marBottom w:val="0"/>
          <w:divBdr>
            <w:top w:val="none" w:sz="0" w:space="0" w:color="auto"/>
            <w:left w:val="none" w:sz="0" w:space="0" w:color="auto"/>
            <w:bottom w:val="none" w:sz="0" w:space="0" w:color="auto"/>
            <w:right w:val="none" w:sz="0" w:space="0" w:color="auto"/>
          </w:divBdr>
        </w:div>
        <w:div w:id="2049790136">
          <w:marLeft w:val="480"/>
          <w:marRight w:val="0"/>
          <w:marTop w:val="0"/>
          <w:marBottom w:val="0"/>
          <w:divBdr>
            <w:top w:val="none" w:sz="0" w:space="0" w:color="auto"/>
            <w:left w:val="none" w:sz="0" w:space="0" w:color="auto"/>
            <w:bottom w:val="none" w:sz="0" w:space="0" w:color="auto"/>
            <w:right w:val="none" w:sz="0" w:space="0" w:color="auto"/>
          </w:divBdr>
        </w:div>
        <w:div w:id="313680153">
          <w:marLeft w:val="480"/>
          <w:marRight w:val="0"/>
          <w:marTop w:val="0"/>
          <w:marBottom w:val="0"/>
          <w:divBdr>
            <w:top w:val="none" w:sz="0" w:space="0" w:color="auto"/>
            <w:left w:val="none" w:sz="0" w:space="0" w:color="auto"/>
            <w:bottom w:val="none" w:sz="0" w:space="0" w:color="auto"/>
            <w:right w:val="none" w:sz="0" w:space="0" w:color="auto"/>
          </w:divBdr>
        </w:div>
        <w:div w:id="697706680">
          <w:marLeft w:val="480"/>
          <w:marRight w:val="0"/>
          <w:marTop w:val="0"/>
          <w:marBottom w:val="0"/>
          <w:divBdr>
            <w:top w:val="none" w:sz="0" w:space="0" w:color="auto"/>
            <w:left w:val="none" w:sz="0" w:space="0" w:color="auto"/>
            <w:bottom w:val="none" w:sz="0" w:space="0" w:color="auto"/>
            <w:right w:val="none" w:sz="0" w:space="0" w:color="auto"/>
          </w:divBdr>
        </w:div>
        <w:div w:id="1086196935">
          <w:marLeft w:val="480"/>
          <w:marRight w:val="0"/>
          <w:marTop w:val="0"/>
          <w:marBottom w:val="0"/>
          <w:divBdr>
            <w:top w:val="none" w:sz="0" w:space="0" w:color="auto"/>
            <w:left w:val="none" w:sz="0" w:space="0" w:color="auto"/>
            <w:bottom w:val="none" w:sz="0" w:space="0" w:color="auto"/>
            <w:right w:val="none" w:sz="0" w:space="0" w:color="auto"/>
          </w:divBdr>
        </w:div>
        <w:div w:id="308679307">
          <w:marLeft w:val="480"/>
          <w:marRight w:val="0"/>
          <w:marTop w:val="0"/>
          <w:marBottom w:val="0"/>
          <w:divBdr>
            <w:top w:val="none" w:sz="0" w:space="0" w:color="auto"/>
            <w:left w:val="none" w:sz="0" w:space="0" w:color="auto"/>
            <w:bottom w:val="none" w:sz="0" w:space="0" w:color="auto"/>
            <w:right w:val="none" w:sz="0" w:space="0" w:color="auto"/>
          </w:divBdr>
        </w:div>
        <w:div w:id="869532416">
          <w:marLeft w:val="480"/>
          <w:marRight w:val="0"/>
          <w:marTop w:val="0"/>
          <w:marBottom w:val="0"/>
          <w:divBdr>
            <w:top w:val="none" w:sz="0" w:space="0" w:color="auto"/>
            <w:left w:val="none" w:sz="0" w:space="0" w:color="auto"/>
            <w:bottom w:val="none" w:sz="0" w:space="0" w:color="auto"/>
            <w:right w:val="none" w:sz="0" w:space="0" w:color="auto"/>
          </w:divBdr>
        </w:div>
        <w:div w:id="396517434">
          <w:marLeft w:val="480"/>
          <w:marRight w:val="0"/>
          <w:marTop w:val="0"/>
          <w:marBottom w:val="0"/>
          <w:divBdr>
            <w:top w:val="none" w:sz="0" w:space="0" w:color="auto"/>
            <w:left w:val="none" w:sz="0" w:space="0" w:color="auto"/>
            <w:bottom w:val="none" w:sz="0" w:space="0" w:color="auto"/>
            <w:right w:val="none" w:sz="0" w:space="0" w:color="auto"/>
          </w:divBdr>
        </w:div>
        <w:div w:id="694500567">
          <w:marLeft w:val="480"/>
          <w:marRight w:val="0"/>
          <w:marTop w:val="0"/>
          <w:marBottom w:val="0"/>
          <w:divBdr>
            <w:top w:val="none" w:sz="0" w:space="0" w:color="auto"/>
            <w:left w:val="none" w:sz="0" w:space="0" w:color="auto"/>
            <w:bottom w:val="none" w:sz="0" w:space="0" w:color="auto"/>
            <w:right w:val="none" w:sz="0" w:space="0" w:color="auto"/>
          </w:divBdr>
        </w:div>
        <w:div w:id="686568268">
          <w:marLeft w:val="480"/>
          <w:marRight w:val="0"/>
          <w:marTop w:val="0"/>
          <w:marBottom w:val="0"/>
          <w:divBdr>
            <w:top w:val="none" w:sz="0" w:space="0" w:color="auto"/>
            <w:left w:val="none" w:sz="0" w:space="0" w:color="auto"/>
            <w:bottom w:val="none" w:sz="0" w:space="0" w:color="auto"/>
            <w:right w:val="none" w:sz="0" w:space="0" w:color="auto"/>
          </w:divBdr>
        </w:div>
        <w:div w:id="29037268">
          <w:marLeft w:val="480"/>
          <w:marRight w:val="0"/>
          <w:marTop w:val="0"/>
          <w:marBottom w:val="0"/>
          <w:divBdr>
            <w:top w:val="none" w:sz="0" w:space="0" w:color="auto"/>
            <w:left w:val="none" w:sz="0" w:space="0" w:color="auto"/>
            <w:bottom w:val="none" w:sz="0" w:space="0" w:color="auto"/>
            <w:right w:val="none" w:sz="0" w:space="0" w:color="auto"/>
          </w:divBdr>
        </w:div>
        <w:div w:id="1653289661">
          <w:marLeft w:val="480"/>
          <w:marRight w:val="0"/>
          <w:marTop w:val="0"/>
          <w:marBottom w:val="0"/>
          <w:divBdr>
            <w:top w:val="none" w:sz="0" w:space="0" w:color="auto"/>
            <w:left w:val="none" w:sz="0" w:space="0" w:color="auto"/>
            <w:bottom w:val="none" w:sz="0" w:space="0" w:color="auto"/>
            <w:right w:val="none" w:sz="0" w:space="0" w:color="auto"/>
          </w:divBdr>
        </w:div>
        <w:div w:id="1560097486">
          <w:marLeft w:val="480"/>
          <w:marRight w:val="0"/>
          <w:marTop w:val="0"/>
          <w:marBottom w:val="0"/>
          <w:divBdr>
            <w:top w:val="none" w:sz="0" w:space="0" w:color="auto"/>
            <w:left w:val="none" w:sz="0" w:space="0" w:color="auto"/>
            <w:bottom w:val="none" w:sz="0" w:space="0" w:color="auto"/>
            <w:right w:val="none" w:sz="0" w:space="0" w:color="auto"/>
          </w:divBdr>
        </w:div>
        <w:div w:id="874001526">
          <w:marLeft w:val="480"/>
          <w:marRight w:val="0"/>
          <w:marTop w:val="0"/>
          <w:marBottom w:val="0"/>
          <w:divBdr>
            <w:top w:val="none" w:sz="0" w:space="0" w:color="auto"/>
            <w:left w:val="none" w:sz="0" w:space="0" w:color="auto"/>
            <w:bottom w:val="none" w:sz="0" w:space="0" w:color="auto"/>
            <w:right w:val="none" w:sz="0" w:space="0" w:color="auto"/>
          </w:divBdr>
        </w:div>
        <w:div w:id="1520240991">
          <w:marLeft w:val="480"/>
          <w:marRight w:val="0"/>
          <w:marTop w:val="0"/>
          <w:marBottom w:val="0"/>
          <w:divBdr>
            <w:top w:val="none" w:sz="0" w:space="0" w:color="auto"/>
            <w:left w:val="none" w:sz="0" w:space="0" w:color="auto"/>
            <w:bottom w:val="none" w:sz="0" w:space="0" w:color="auto"/>
            <w:right w:val="none" w:sz="0" w:space="0" w:color="auto"/>
          </w:divBdr>
        </w:div>
        <w:div w:id="515968817">
          <w:marLeft w:val="480"/>
          <w:marRight w:val="0"/>
          <w:marTop w:val="0"/>
          <w:marBottom w:val="0"/>
          <w:divBdr>
            <w:top w:val="none" w:sz="0" w:space="0" w:color="auto"/>
            <w:left w:val="none" w:sz="0" w:space="0" w:color="auto"/>
            <w:bottom w:val="none" w:sz="0" w:space="0" w:color="auto"/>
            <w:right w:val="none" w:sz="0" w:space="0" w:color="auto"/>
          </w:divBdr>
        </w:div>
        <w:div w:id="2114471622">
          <w:marLeft w:val="480"/>
          <w:marRight w:val="0"/>
          <w:marTop w:val="0"/>
          <w:marBottom w:val="0"/>
          <w:divBdr>
            <w:top w:val="none" w:sz="0" w:space="0" w:color="auto"/>
            <w:left w:val="none" w:sz="0" w:space="0" w:color="auto"/>
            <w:bottom w:val="none" w:sz="0" w:space="0" w:color="auto"/>
            <w:right w:val="none" w:sz="0" w:space="0" w:color="auto"/>
          </w:divBdr>
        </w:div>
        <w:div w:id="564682864">
          <w:marLeft w:val="480"/>
          <w:marRight w:val="0"/>
          <w:marTop w:val="0"/>
          <w:marBottom w:val="0"/>
          <w:divBdr>
            <w:top w:val="none" w:sz="0" w:space="0" w:color="auto"/>
            <w:left w:val="none" w:sz="0" w:space="0" w:color="auto"/>
            <w:bottom w:val="none" w:sz="0" w:space="0" w:color="auto"/>
            <w:right w:val="none" w:sz="0" w:space="0" w:color="auto"/>
          </w:divBdr>
        </w:div>
        <w:div w:id="1516962835">
          <w:marLeft w:val="480"/>
          <w:marRight w:val="0"/>
          <w:marTop w:val="0"/>
          <w:marBottom w:val="0"/>
          <w:divBdr>
            <w:top w:val="none" w:sz="0" w:space="0" w:color="auto"/>
            <w:left w:val="none" w:sz="0" w:space="0" w:color="auto"/>
            <w:bottom w:val="none" w:sz="0" w:space="0" w:color="auto"/>
            <w:right w:val="none" w:sz="0" w:space="0" w:color="auto"/>
          </w:divBdr>
        </w:div>
        <w:div w:id="1072000860">
          <w:marLeft w:val="480"/>
          <w:marRight w:val="0"/>
          <w:marTop w:val="0"/>
          <w:marBottom w:val="0"/>
          <w:divBdr>
            <w:top w:val="none" w:sz="0" w:space="0" w:color="auto"/>
            <w:left w:val="none" w:sz="0" w:space="0" w:color="auto"/>
            <w:bottom w:val="none" w:sz="0" w:space="0" w:color="auto"/>
            <w:right w:val="none" w:sz="0" w:space="0" w:color="auto"/>
          </w:divBdr>
        </w:div>
        <w:div w:id="1624572908">
          <w:marLeft w:val="480"/>
          <w:marRight w:val="0"/>
          <w:marTop w:val="0"/>
          <w:marBottom w:val="0"/>
          <w:divBdr>
            <w:top w:val="none" w:sz="0" w:space="0" w:color="auto"/>
            <w:left w:val="none" w:sz="0" w:space="0" w:color="auto"/>
            <w:bottom w:val="none" w:sz="0" w:space="0" w:color="auto"/>
            <w:right w:val="none" w:sz="0" w:space="0" w:color="auto"/>
          </w:divBdr>
        </w:div>
        <w:div w:id="2124688331">
          <w:marLeft w:val="480"/>
          <w:marRight w:val="0"/>
          <w:marTop w:val="0"/>
          <w:marBottom w:val="0"/>
          <w:divBdr>
            <w:top w:val="none" w:sz="0" w:space="0" w:color="auto"/>
            <w:left w:val="none" w:sz="0" w:space="0" w:color="auto"/>
            <w:bottom w:val="none" w:sz="0" w:space="0" w:color="auto"/>
            <w:right w:val="none" w:sz="0" w:space="0" w:color="auto"/>
          </w:divBdr>
        </w:div>
        <w:div w:id="441415545">
          <w:marLeft w:val="480"/>
          <w:marRight w:val="0"/>
          <w:marTop w:val="0"/>
          <w:marBottom w:val="0"/>
          <w:divBdr>
            <w:top w:val="none" w:sz="0" w:space="0" w:color="auto"/>
            <w:left w:val="none" w:sz="0" w:space="0" w:color="auto"/>
            <w:bottom w:val="none" w:sz="0" w:space="0" w:color="auto"/>
            <w:right w:val="none" w:sz="0" w:space="0" w:color="auto"/>
          </w:divBdr>
        </w:div>
        <w:div w:id="542836020">
          <w:marLeft w:val="480"/>
          <w:marRight w:val="0"/>
          <w:marTop w:val="0"/>
          <w:marBottom w:val="0"/>
          <w:divBdr>
            <w:top w:val="none" w:sz="0" w:space="0" w:color="auto"/>
            <w:left w:val="none" w:sz="0" w:space="0" w:color="auto"/>
            <w:bottom w:val="none" w:sz="0" w:space="0" w:color="auto"/>
            <w:right w:val="none" w:sz="0" w:space="0" w:color="auto"/>
          </w:divBdr>
        </w:div>
        <w:div w:id="1215389899">
          <w:marLeft w:val="480"/>
          <w:marRight w:val="0"/>
          <w:marTop w:val="0"/>
          <w:marBottom w:val="0"/>
          <w:divBdr>
            <w:top w:val="none" w:sz="0" w:space="0" w:color="auto"/>
            <w:left w:val="none" w:sz="0" w:space="0" w:color="auto"/>
            <w:bottom w:val="none" w:sz="0" w:space="0" w:color="auto"/>
            <w:right w:val="none" w:sz="0" w:space="0" w:color="auto"/>
          </w:divBdr>
        </w:div>
        <w:div w:id="510074530">
          <w:marLeft w:val="480"/>
          <w:marRight w:val="0"/>
          <w:marTop w:val="0"/>
          <w:marBottom w:val="0"/>
          <w:divBdr>
            <w:top w:val="none" w:sz="0" w:space="0" w:color="auto"/>
            <w:left w:val="none" w:sz="0" w:space="0" w:color="auto"/>
            <w:bottom w:val="none" w:sz="0" w:space="0" w:color="auto"/>
            <w:right w:val="none" w:sz="0" w:space="0" w:color="auto"/>
          </w:divBdr>
        </w:div>
        <w:div w:id="1182665019">
          <w:marLeft w:val="480"/>
          <w:marRight w:val="0"/>
          <w:marTop w:val="0"/>
          <w:marBottom w:val="0"/>
          <w:divBdr>
            <w:top w:val="none" w:sz="0" w:space="0" w:color="auto"/>
            <w:left w:val="none" w:sz="0" w:space="0" w:color="auto"/>
            <w:bottom w:val="none" w:sz="0" w:space="0" w:color="auto"/>
            <w:right w:val="none" w:sz="0" w:space="0" w:color="auto"/>
          </w:divBdr>
        </w:div>
      </w:divsChild>
    </w:div>
    <w:div w:id="627008061">
      <w:bodyDiv w:val="1"/>
      <w:marLeft w:val="0"/>
      <w:marRight w:val="0"/>
      <w:marTop w:val="0"/>
      <w:marBottom w:val="0"/>
      <w:divBdr>
        <w:top w:val="none" w:sz="0" w:space="0" w:color="auto"/>
        <w:left w:val="none" w:sz="0" w:space="0" w:color="auto"/>
        <w:bottom w:val="none" w:sz="0" w:space="0" w:color="auto"/>
        <w:right w:val="none" w:sz="0" w:space="0" w:color="auto"/>
      </w:divBdr>
    </w:div>
    <w:div w:id="627664249">
      <w:bodyDiv w:val="1"/>
      <w:marLeft w:val="0"/>
      <w:marRight w:val="0"/>
      <w:marTop w:val="0"/>
      <w:marBottom w:val="0"/>
      <w:divBdr>
        <w:top w:val="none" w:sz="0" w:space="0" w:color="auto"/>
        <w:left w:val="none" w:sz="0" w:space="0" w:color="auto"/>
        <w:bottom w:val="none" w:sz="0" w:space="0" w:color="auto"/>
        <w:right w:val="none" w:sz="0" w:space="0" w:color="auto"/>
      </w:divBdr>
    </w:div>
    <w:div w:id="628975714">
      <w:bodyDiv w:val="1"/>
      <w:marLeft w:val="0"/>
      <w:marRight w:val="0"/>
      <w:marTop w:val="0"/>
      <w:marBottom w:val="0"/>
      <w:divBdr>
        <w:top w:val="none" w:sz="0" w:space="0" w:color="auto"/>
        <w:left w:val="none" w:sz="0" w:space="0" w:color="auto"/>
        <w:bottom w:val="none" w:sz="0" w:space="0" w:color="auto"/>
        <w:right w:val="none" w:sz="0" w:space="0" w:color="auto"/>
      </w:divBdr>
    </w:div>
    <w:div w:id="629942582">
      <w:bodyDiv w:val="1"/>
      <w:marLeft w:val="0"/>
      <w:marRight w:val="0"/>
      <w:marTop w:val="0"/>
      <w:marBottom w:val="0"/>
      <w:divBdr>
        <w:top w:val="none" w:sz="0" w:space="0" w:color="auto"/>
        <w:left w:val="none" w:sz="0" w:space="0" w:color="auto"/>
        <w:bottom w:val="none" w:sz="0" w:space="0" w:color="auto"/>
        <w:right w:val="none" w:sz="0" w:space="0" w:color="auto"/>
      </w:divBdr>
    </w:div>
    <w:div w:id="630019211">
      <w:bodyDiv w:val="1"/>
      <w:marLeft w:val="0"/>
      <w:marRight w:val="0"/>
      <w:marTop w:val="0"/>
      <w:marBottom w:val="0"/>
      <w:divBdr>
        <w:top w:val="none" w:sz="0" w:space="0" w:color="auto"/>
        <w:left w:val="none" w:sz="0" w:space="0" w:color="auto"/>
        <w:bottom w:val="none" w:sz="0" w:space="0" w:color="auto"/>
        <w:right w:val="none" w:sz="0" w:space="0" w:color="auto"/>
      </w:divBdr>
    </w:div>
    <w:div w:id="630479590">
      <w:bodyDiv w:val="1"/>
      <w:marLeft w:val="0"/>
      <w:marRight w:val="0"/>
      <w:marTop w:val="0"/>
      <w:marBottom w:val="0"/>
      <w:divBdr>
        <w:top w:val="none" w:sz="0" w:space="0" w:color="auto"/>
        <w:left w:val="none" w:sz="0" w:space="0" w:color="auto"/>
        <w:bottom w:val="none" w:sz="0" w:space="0" w:color="auto"/>
        <w:right w:val="none" w:sz="0" w:space="0" w:color="auto"/>
      </w:divBdr>
    </w:div>
    <w:div w:id="630549604">
      <w:bodyDiv w:val="1"/>
      <w:marLeft w:val="0"/>
      <w:marRight w:val="0"/>
      <w:marTop w:val="0"/>
      <w:marBottom w:val="0"/>
      <w:divBdr>
        <w:top w:val="none" w:sz="0" w:space="0" w:color="auto"/>
        <w:left w:val="none" w:sz="0" w:space="0" w:color="auto"/>
        <w:bottom w:val="none" w:sz="0" w:space="0" w:color="auto"/>
        <w:right w:val="none" w:sz="0" w:space="0" w:color="auto"/>
      </w:divBdr>
    </w:div>
    <w:div w:id="630674314">
      <w:bodyDiv w:val="1"/>
      <w:marLeft w:val="0"/>
      <w:marRight w:val="0"/>
      <w:marTop w:val="0"/>
      <w:marBottom w:val="0"/>
      <w:divBdr>
        <w:top w:val="none" w:sz="0" w:space="0" w:color="auto"/>
        <w:left w:val="none" w:sz="0" w:space="0" w:color="auto"/>
        <w:bottom w:val="none" w:sz="0" w:space="0" w:color="auto"/>
        <w:right w:val="none" w:sz="0" w:space="0" w:color="auto"/>
      </w:divBdr>
    </w:div>
    <w:div w:id="631398286">
      <w:bodyDiv w:val="1"/>
      <w:marLeft w:val="0"/>
      <w:marRight w:val="0"/>
      <w:marTop w:val="0"/>
      <w:marBottom w:val="0"/>
      <w:divBdr>
        <w:top w:val="none" w:sz="0" w:space="0" w:color="auto"/>
        <w:left w:val="none" w:sz="0" w:space="0" w:color="auto"/>
        <w:bottom w:val="none" w:sz="0" w:space="0" w:color="auto"/>
        <w:right w:val="none" w:sz="0" w:space="0" w:color="auto"/>
      </w:divBdr>
    </w:div>
    <w:div w:id="631399591">
      <w:bodyDiv w:val="1"/>
      <w:marLeft w:val="0"/>
      <w:marRight w:val="0"/>
      <w:marTop w:val="0"/>
      <w:marBottom w:val="0"/>
      <w:divBdr>
        <w:top w:val="none" w:sz="0" w:space="0" w:color="auto"/>
        <w:left w:val="none" w:sz="0" w:space="0" w:color="auto"/>
        <w:bottom w:val="none" w:sz="0" w:space="0" w:color="auto"/>
        <w:right w:val="none" w:sz="0" w:space="0" w:color="auto"/>
      </w:divBdr>
    </w:div>
    <w:div w:id="631404323">
      <w:bodyDiv w:val="1"/>
      <w:marLeft w:val="0"/>
      <w:marRight w:val="0"/>
      <w:marTop w:val="0"/>
      <w:marBottom w:val="0"/>
      <w:divBdr>
        <w:top w:val="none" w:sz="0" w:space="0" w:color="auto"/>
        <w:left w:val="none" w:sz="0" w:space="0" w:color="auto"/>
        <w:bottom w:val="none" w:sz="0" w:space="0" w:color="auto"/>
        <w:right w:val="none" w:sz="0" w:space="0" w:color="auto"/>
      </w:divBdr>
    </w:div>
    <w:div w:id="631790934">
      <w:bodyDiv w:val="1"/>
      <w:marLeft w:val="0"/>
      <w:marRight w:val="0"/>
      <w:marTop w:val="0"/>
      <w:marBottom w:val="0"/>
      <w:divBdr>
        <w:top w:val="none" w:sz="0" w:space="0" w:color="auto"/>
        <w:left w:val="none" w:sz="0" w:space="0" w:color="auto"/>
        <w:bottom w:val="none" w:sz="0" w:space="0" w:color="auto"/>
        <w:right w:val="none" w:sz="0" w:space="0" w:color="auto"/>
      </w:divBdr>
    </w:div>
    <w:div w:id="632904462">
      <w:bodyDiv w:val="1"/>
      <w:marLeft w:val="0"/>
      <w:marRight w:val="0"/>
      <w:marTop w:val="0"/>
      <w:marBottom w:val="0"/>
      <w:divBdr>
        <w:top w:val="none" w:sz="0" w:space="0" w:color="auto"/>
        <w:left w:val="none" w:sz="0" w:space="0" w:color="auto"/>
        <w:bottom w:val="none" w:sz="0" w:space="0" w:color="auto"/>
        <w:right w:val="none" w:sz="0" w:space="0" w:color="auto"/>
      </w:divBdr>
      <w:divsChild>
        <w:div w:id="321350184">
          <w:marLeft w:val="480"/>
          <w:marRight w:val="0"/>
          <w:marTop w:val="0"/>
          <w:marBottom w:val="0"/>
          <w:divBdr>
            <w:top w:val="none" w:sz="0" w:space="0" w:color="auto"/>
            <w:left w:val="none" w:sz="0" w:space="0" w:color="auto"/>
            <w:bottom w:val="none" w:sz="0" w:space="0" w:color="auto"/>
            <w:right w:val="none" w:sz="0" w:space="0" w:color="auto"/>
          </w:divBdr>
        </w:div>
        <w:div w:id="333919791">
          <w:marLeft w:val="480"/>
          <w:marRight w:val="0"/>
          <w:marTop w:val="0"/>
          <w:marBottom w:val="0"/>
          <w:divBdr>
            <w:top w:val="none" w:sz="0" w:space="0" w:color="auto"/>
            <w:left w:val="none" w:sz="0" w:space="0" w:color="auto"/>
            <w:bottom w:val="none" w:sz="0" w:space="0" w:color="auto"/>
            <w:right w:val="none" w:sz="0" w:space="0" w:color="auto"/>
          </w:divBdr>
        </w:div>
        <w:div w:id="58677827">
          <w:marLeft w:val="480"/>
          <w:marRight w:val="0"/>
          <w:marTop w:val="0"/>
          <w:marBottom w:val="0"/>
          <w:divBdr>
            <w:top w:val="none" w:sz="0" w:space="0" w:color="auto"/>
            <w:left w:val="none" w:sz="0" w:space="0" w:color="auto"/>
            <w:bottom w:val="none" w:sz="0" w:space="0" w:color="auto"/>
            <w:right w:val="none" w:sz="0" w:space="0" w:color="auto"/>
          </w:divBdr>
        </w:div>
        <w:div w:id="1692562257">
          <w:marLeft w:val="480"/>
          <w:marRight w:val="0"/>
          <w:marTop w:val="0"/>
          <w:marBottom w:val="0"/>
          <w:divBdr>
            <w:top w:val="none" w:sz="0" w:space="0" w:color="auto"/>
            <w:left w:val="none" w:sz="0" w:space="0" w:color="auto"/>
            <w:bottom w:val="none" w:sz="0" w:space="0" w:color="auto"/>
            <w:right w:val="none" w:sz="0" w:space="0" w:color="auto"/>
          </w:divBdr>
        </w:div>
        <w:div w:id="781144922">
          <w:marLeft w:val="480"/>
          <w:marRight w:val="0"/>
          <w:marTop w:val="0"/>
          <w:marBottom w:val="0"/>
          <w:divBdr>
            <w:top w:val="none" w:sz="0" w:space="0" w:color="auto"/>
            <w:left w:val="none" w:sz="0" w:space="0" w:color="auto"/>
            <w:bottom w:val="none" w:sz="0" w:space="0" w:color="auto"/>
            <w:right w:val="none" w:sz="0" w:space="0" w:color="auto"/>
          </w:divBdr>
        </w:div>
        <w:div w:id="1500001671">
          <w:marLeft w:val="480"/>
          <w:marRight w:val="0"/>
          <w:marTop w:val="0"/>
          <w:marBottom w:val="0"/>
          <w:divBdr>
            <w:top w:val="none" w:sz="0" w:space="0" w:color="auto"/>
            <w:left w:val="none" w:sz="0" w:space="0" w:color="auto"/>
            <w:bottom w:val="none" w:sz="0" w:space="0" w:color="auto"/>
            <w:right w:val="none" w:sz="0" w:space="0" w:color="auto"/>
          </w:divBdr>
        </w:div>
        <w:div w:id="1012803715">
          <w:marLeft w:val="480"/>
          <w:marRight w:val="0"/>
          <w:marTop w:val="0"/>
          <w:marBottom w:val="0"/>
          <w:divBdr>
            <w:top w:val="none" w:sz="0" w:space="0" w:color="auto"/>
            <w:left w:val="none" w:sz="0" w:space="0" w:color="auto"/>
            <w:bottom w:val="none" w:sz="0" w:space="0" w:color="auto"/>
            <w:right w:val="none" w:sz="0" w:space="0" w:color="auto"/>
          </w:divBdr>
        </w:div>
        <w:div w:id="715399563">
          <w:marLeft w:val="480"/>
          <w:marRight w:val="0"/>
          <w:marTop w:val="0"/>
          <w:marBottom w:val="0"/>
          <w:divBdr>
            <w:top w:val="none" w:sz="0" w:space="0" w:color="auto"/>
            <w:left w:val="none" w:sz="0" w:space="0" w:color="auto"/>
            <w:bottom w:val="none" w:sz="0" w:space="0" w:color="auto"/>
            <w:right w:val="none" w:sz="0" w:space="0" w:color="auto"/>
          </w:divBdr>
        </w:div>
        <w:div w:id="68578092">
          <w:marLeft w:val="480"/>
          <w:marRight w:val="0"/>
          <w:marTop w:val="0"/>
          <w:marBottom w:val="0"/>
          <w:divBdr>
            <w:top w:val="none" w:sz="0" w:space="0" w:color="auto"/>
            <w:left w:val="none" w:sz="0" w:space="0" w:color="auto"/>
            <w:bottom w:val="none" w:sz="0" w:space="0" w:color="auto"/>
            <w:right w:val="none" w:sz="0" w:space="0" w:color="auto"/>
          </w:divBdr>
        </w:div>
        <w:div w:id="1059599255">
          <w:marLeft w:val="480"/>
          <w:marRight w:val="0"/>
          <w:marTop w:val="0"/>
          <w:marBottom w:val="0"/>
          <w:divBdr>
            <w:top w:val="none" w:sz="0" w:space="0" w:color="auto"/>
            <w:left w:val="none" w:sz="0" w:space="0" w:color="auto"/>
            <w:bottom w:val="none" w:sz="0" w:space="0" w:color="auto"/>
            <w:right w:val="none" w:sz="0" w:space="0" w:color="auto"/>
          </w:divBdr>
        </w:div>
        <w:div w:id="2056269983">
          <w:marLeft w:val="480"/>
          <w:marRight w:val="0"/>
          <w:marTop w:val="0"/>
          <w:marBottom w:val="0"/>
          <w:divBdr>
            <w:top w:val="none" w:sz="0" w:space="0" w:color="auto"/>
            <w:left w:val="none" w:sz="0" w:space="0" w:color="auto"/>
            <w:bottom w:val="none" w:sz="0" w:space="0" w:color="auto"/>
            <w:right w:val="none" w:sz="0" w:space="0" w:color="auto"/>
          </w:divBdr>
        </w:div>
        <w:div w:id="1393239180">
          <w:marLeft w:val="480"/>
          <w:marRight w:val="0"/>
          <w:marTop w:val="0"/>
          <w:marBottom w:val="0"/>
          <w:divBdr>
            <w:top w:val="none" w:sz="0" w:space="0" w:color="auto"/>
            <w:left w:val="none" w:sz="0" w:space="0" w:color="auto"/>
            <w:bottom w:val="none" w:sz="0" w:space="0" w:color="auto"/>
            <w:right w:val="none" w:sz="0" w:space="0" w:color="auto"/>
          </w:divBdr>
        </w:div>
        <w:div w:id="448354690">
          <w:marLeft w:val="480"/>
          <w:marRight w:val="0"/>
          <w:marTop w:val="0"/>
          <w:marBottom w:val="0"/>
          <w:divBdr>
            <w:top w:val="none" w:sz="0" w:space="0" w:color="auto"/>
            <w:left w:val="none" w:sz="0" w:space="0" w:color="auto"/>
            <w:bottom w:val="none" w:sz="0" w:space="0" w:color="auto"/>
            <w:right w:val="none" w:sz="0" w:space="0" w:color="auto"/>
          </w:divBdr>
        </w:div>
        <w:div w:id="1172987698">
          <w:marLeft w:val="480"/>
          <w:marRight w:val="0"/>
          <w:marTop w:val="0"/>
          <w:marBottom w:val="0"/>
          <w:divBdr>
            <w:top w:val="none" w:sz="0" w:space="0" w:color="auto"/>
            <w:left w:val="none" w:sz="0" w:space="0" w:color="auto"/>
            <w:bottom w:val="none" w:sz="0" w:space="0" w:color="auto"/>
            <w:right w:val="none" w:sz="0" w:space="0" w:color="auto"/>
          </w:divBdr>
        </w:div>
        <w:div w:id="1119839121">
          <w:marLeft w:val="480"/>
          <w:marRight w:val="0"/>
          <w:marTop w:val="0"/>
          <w:marBottom w:val="0"/>
          <w:divBdr>
            <w:top w:val="none" w:sz="0" w:space="0" w:color="auto"/>
            <w:left w:val="none" w:sz="0" w:space="0" w:color="auto"/>
            <w:bottom w:val="none" w:sz="0" w:space="0" w:color="auto"/>
            <w:right w:val="none" w:sz="0" w:space="0" w:color="auto"/>
          </w:divBdr>
        </w:div>
        <w:div w:id="1623993107">
          <w:marLeft w:val="480"/>
          <w:marRight w:val="0"/>
          <w:marTop w:val="0"/>
          <w:marBottom w:val="0"/>
          <w:divBdr>
            <w:top w:val="none" w:sz="0" w:space="0" w:color="auto"/>
            <w:left w:val="none" w:sz="0" w:space="0" w:color="auto"/>
            <w:bottom w:val="none" w:sz="0" w:space="0" w:color="auto"/>
            <w:right w:val="none" w:sz="0" w:space="0" w:color="auto"/>
          </w:divBdr>
        </w:div>
        <w:div w:id="789007722">
          <w:marLeft w:val="480"/>
          <w:marRight w:val="0"/>
          <w:marTop w:val="0"/>
          <w:marBottom w:val="0"/>
          <w:divBdr>
            <w:top w:val="none" w:sz="0" w:space="0" w:color="auto"/>
            <w:left w:val="none" w:sz="0" w:space="0" w:color="auto"/>
            <w:bottom w:val="none" w:sz="0" w:space="0" w:color="auto"/>
            <w:right w:val="none" w:sz="0" w:space="0" w:color="auto"/>
          </w:divBdr>
        </w:div>
        <w:div w:id="280453790">
          <w:marLeft w:val="480"/>
          <w:marRight w:val="0"/>
          <w:marTop w:val="0"/>
          <w:marBottom w:val="0"/>
          <w:divBdr>
            <w:top w:val="none" w:sz="0" w:space="0" w:color="auto"/>
            <w:left w:val="none" w:sz="0" w:space="0" w:color="auto"/>
            <w:bottom w:val="none" w:sz="0" w:space="0" w:color="auto"/>
            <w:right w:val="none" w:sz="0" w:space="0" w:color="auto"/>
          </w:divBdr>
        </w:div>
        <w:div w:id="1537503595">
          <w:marLeft w:val="480"/>
          <w:marRight w:val="0"/>
          <w:marTop w:val="0"/>
          <w:marBottom w:val="0"/>
          <w:divBdr>
            <w:top w:val="none" w:sz="0" w:space="0" w:color="auto"/>
            <w:left w:val="none" w:sz="0" w:space="0" w:color="auto"/>
            <w:bottom w:val="none" w:sz="0" w:space="0" w:color="auto"/>
            <w:right w:val="none" w:sz="0" w:space="0" w:color="auto"/>
          </w:divBdr>
        </w:div>
        <w:div w:id="29770943">
          <w:marLeft w:val="480"/>
          <w:marRight w:val="0"/>
          <w:marTop w:val="0"/>
          <w:marBottom w:val="0"/>
          <w:divBdr>
            <w:top w:val="none" w:sz="0" w:space="0" w:color="auto"/>
            <w:left w:val="none" w:sz="0" w:space="0" w:color="auto"/>
            <w:bottom w:val="none" w:sz="0" w:space="0" w:color="auto"/>
            <w:right w:val="none" w:sz="0" w:space="0" w:color="auto"/>
          </w:divBdr>
        </w:div>
        <w:div w:id="1734506110">
          <w:marLeft w:val="480"/>
          <w:marRight w:val="0"/>
          <w:marTop w:val="0"/>
          <w:marBottom w:val="0"/>
          <w:divBdr>
            <w:top w:val="none" w:sz="0" w:space="0" w:color="auto"/>
            <w:left w:val="none" w:sz="0" w:space="0" w:color="auto"/>
            <w:bottom w:val="none" w:sz="0" w:space="0" w:color="auto"/>
            <w:right w:val="none" w:sz="0" w:space="0" w:color="auto"/>
          </w:divBdr>
        </w:div>
        <w:div w:id="1628504618">
          <w:marLeft w:val="480"/>
          <w:marRight w:val="0"/>
          <w:marTop w:val="0"/>
          <w:marBottom w:val="0"/>
          <w:divBdr>
            <w:top w:val="none" w:sz="0" w:space="0" w:color="auto"/>
            <w:left w:val="none" w:sz="0" w:space="0" w:color="auto"/>
            <w:bottom w:val="none" w:sz="0" w:space="0" w:color="auto"/>
            <w:right w:val="none" w:sz="0" w:space="0" w:color="auto"/>
          </w:divBdr>
        </w:div>
        <w:div w:id="756709236">
          <w:marLeft w:val="480"/>
          <w:marRight w:val="0"/>
          <w:marTop w:val="0"/>
          <w:marBottom w:val="0"/>
          <w:divBdr>
            <w:top w:val="none" w:sz="0" w:space="0" w:color="auto"/>
            <w:left w:val="none" w:sz="0" w:space="0" w:color="auto"/>
            <w:bottom w:val="none" w:sz="0" w:space="0" w:color="auto"/>
            <w:right w:val="none" w:sz="0" w:space="0" w:color="auto"/>
          </w:divBdr>
        </w:div>
        <w:div w:id="2040616818">
          <w:marLeft w:val="480"/>
          <w:marRight w:val="0"/>
          <w:marTop w:val="0"/>
          <w:marBottom w:val="0"/>
          <w:divBdr>
            <w:top w:val="none" w:sz="0" w:space="0" w:color="auto"/>
            <w:left w:val="none" w:sz="0" w:space="0" w:color="auto"/>
            <w:bottom w:val="none" w:sz="0" w:space="0" w:color="auto"/>
            <w:right w:val="none" w:sz="0" w:space="0" w:color="auto"/>
          </w:divBdr>
        </w:div>
        <w:div w:id="2101102293">
          <w:marLeft w:val="480"/>
          <w:marRight w:val="0"/>
          <w:marTop w:val="0"/>
          <w:marBottom w:val="0"/>
          <w:divBdr>
            <w:top w:val="none" w:sz="0" w:space="0" w:color="auto"/>
            <w:left w:val="none" w:sz="0" w:space="0" w:color="auto"/>
            <w:bottom w:val="none" w:sz="0" w:space="0" w:color="auto"/>
            <w:right w:val="none" w:sz="0" w:space="0" w:color="auto"/>
          </w:divBdr>
        </w:div>
        <w:div w:id="772046775">
          <w:marLeft w:val="480"/>
          <w:marRight w:val="0"/>
          <w:marTop w:val="0"/>
          <w:marBottom w:val="0"/>
          <w:divBdr>
            <w:top w:val="none" w:sz="0" w:space="0" w:color="auto"/>
            <w:left w:val="none" w:sz="0" w:space="0" w:color="auto"/>
            <w:bottom w:val="none" w:sz="0" w:space="0" w:color="auto"/>
            <w:right w:val="none" w:sz="0" w:space="0" w:color="auto"/>
          </w:divBdr>
        </w:div>
        <w:div w:id="1669214631">
          <w:marLeft w:val="480"/>
          <w:marRight w:val="0"/>
          <w:marTop w:val="0"/>
          <w:marBottom w:val="0"/>
          <w:divBdr>
            <w:top w:val="none" w:sz="0" w:space="0" w:color="auto"/>
            <w:left w:val="none" w:sz="0" w:space="0" w:color="auto"/>
            <w:bottom w:val="none" w:sz="0" w:space="0" w:color="auto"/>
            <w:right w:val="none" w:sz="0" w:space="0" w:color="auto"/>
          </w:divBdr>
        </w:div>
        <w:div w:id="1710567145">
          <w:marLeft w:val="480"/>
          <w:marRight w:val="0"/>
          <w:marTop w:val="0"/>
          <w:marBottom w:val="0"/>
          <w:divBdr>
            <w:top w:val="none" w:sz="0" w:space="0" w:color="auto"/>
            <w:left w:val="none" w:sz="0" w:space="0" w:color="auto"/>
            <w:bottom w:val="none" w:sz="0" w:space="0" w:color="auto"/>
            <w:right w:val="none" w:sz="0" w:space="0" w:color="auto"/>
          </w:divBdr>
        </w:div>
        <w:div w:id="509561739">
          <w:marLeft w:val="480"/>
          <w:marRight w:val="0"/>
          <w:marTop w:val="0"/>
          <w:marBottom w:val="0"/>
          <w:divBdr>
            <w:top w:val="none" w:sz="0" w:space="0" w:color="auto"/>
            <w:left w:val="none" w:sz="0" w:space="0" w:color="auto"/>
            <w:bottom w:val="none" w:sz="0" w:space="0" w:color="auto"/>
            <w:right w:val="none" w:sz="0" w:space="0" w:color="auto"/>
          </w:divBdr>
        </w:div>
        <w:div w:id="1072973059">
          <w:marLeft w:val="480"/>
          <w:marRight w:val="0"/>
          <w:marTop w:val="0"/>
          <w:marBottom w:val="0"/>
          <w:divBdr>
            <w:top w:val="none" w:sz="0" w:space="0" w:color="auto"/>
            <w:left w:val="none" w:sz="0" w:space="0" w:color="auto"/>
            <w:bottom w:val="none" w:sz="0" w:space="0" w:color="auto"/>
            <w:right w:val="none" w:sz="0" w:space="0" w:color="auto"/>
          </w:divBdr>
        </w:div>
        <w:div w:id="1683894757">
          <w:marLeft w:val="480"/>
          <w:marRight w:val="0"/>
          <w:marTop w:val="0"/>
          <w:marBottom w:val="0"/>
          <w:divBdr>
            <w:top w:val="none" w:sz="0" w:space="0" w:color="auto"/>
            <w:left w:val="none" w:sz="0" w:space="0" w:color="auto"/>
            <w:bottom w:val="none" w:sz="0" w:space="0" w:color="auto"/>
            <w:right w:val="none" w:sz="0" w:space="0" w:color="auto"/>
          </w:divBdr>
        </w:div>
        <w:div w:id="1445609206">
          <w:marLeft w:val="480"/>
          <w:marRight w:val="0"/>
          <w:marTop w:val="0"/>
          <w:marBottom w:val="0"/>
          <w:divBdr>
            <w:top w:val="none" w:sz="0" w:space="0" w:color="auto"/>
            <w:left w:val="none" w:sz="0" w:space="0" w:color="auto"/>
            <w:bottom w:val="none" w:sz="0" w:space="0" w:color="auto"/>
            <w:right w:val="none" w:sz="0" w:space="0" w:color="auto"/>
          </w:divBdr>
        </w:div>
        <w:div w:id="1380282412">
          <w:marLeft w:val="480"/>
          <w:marRight w:val="0"/>
          <w:marTop w:val="0"/>
          <w:marBottom w:val="0"/>
          <w:divBdr>
            <w:top w:val="none" w:sz="0" w:space="0" w:color="auto"/>
            <w:left w:val="none" w:sz="0" w:space="0" w:color="auto"/>
            <w:bottom w:val="none" w:sz="0" w:space="0" w:color="auto"/>
            <w:right w:val="none" w:sz="0" w:space="0" w:color="auto"/>
          </w:divBdr>
        </w:div>
        <w:div w:id="181092816">
          <w:marLeft w:val="480"/>
          <w:marRight w:val="0"/>
          <w:marTop w:val="0"/>
          <w:marBottom w:val="0"/>
          <w:divBdr>
            <w:top w:val="none" w:sz="0" w:space="0" w:color="auto"/>
            <w:left w:val="none" w:sz="0" w:space="0" w:color="auto"/>
            <w:bottom w:val="none" w:sz="0" w:space="0" w:color="auto"/>
            <w:right w:val="none" w:sz="0" w:space="0" w:color="auto"/>
          </w:divBdr>
        </w:div>
        <w:div w:id="595022289">
          <w:marLeft w:val="480"/>
          <w:marRight w:val="0"/>
          <w:marTop w:val="0"/>
          <w:marBottom w:val="0"/>
          <w:divBdr>
            <w:top w:val="none" w:sz="0" w:space="0" w:color="auto"/>
            <w:left w:val="none" w:sz="0" w:space="0" w:color="auto"/>
            <w:bottom w:val="none" w:sz="0" w:space="0" w:color="auto"/>
            <w:right w:val="none" w:sz="0" w:space="0" w:color="auto"/>
          </w:divBdr>
        </w:div>
        <w:div w:id="1283537933">
          <w:marLeft w:val="480"/>
          <w:marRight w:val="0"/>
          <w:marTop w:val="0"/>
          <w:marBottom w:val="0"/>
          <w:divBdr>
            <w:top w:val="none" w:sz="0" w:space="0" w:color="auto"/>
            <w:left w:val="none" w:sz="0" w:space="0" w:color="auto"/>
            <w:bottom w:val="none" w:sz="0" w:space="0" w:color="auto"/>
            <w:right w:val="none" w:sz="0" w:space="0" w:color="auto"/>
          </w:divBdr>
        </w:div>
        <w:div w:id="1399740684">
          <w:marLeft w:val="480"/>
          <w:marRight w:val="0"/>
          <w:marTop w:val="0"/>
          <w:marBottom w:val="0"/>
          <w:divBdr>
            <w:top w:val="none" w:sz="0" w:space="0" w:color="auto"/>
            <w:left w:val="none" w:sz="0" w:space="0" w:color="auto"/>
            <w:bottom w:val="none" w:sz="0" w:space="0" w:color="auto"/>
            <w:right w:val="none" w:sz="0" w:space="0" w:color="auto"/>
          </w:divBdr>
        </w:div>
        <w:div w:id="652612126">
          <w:marLeft w:val="480"/>
          <w:marRight w:val="0"/>
          <w:marTop w:val="0"/>
          <w:marBottom w:val="0"/>
          <w:divBdr>
            <w:top w:val="none" w:sz="0" w:space="0" w:color="auto"/>
            <w:left w:val="none" w:sz="0" w:space="0" w:color="auto"/>
            <w:bottom w:val="none" w:sz="0" w:space="0" w:color="auto"/>
            <w:right w:val="none" w:sz="0" w:space="0" w:color="auto"/>
          </w:divBdr>
        </w:div>
        <w:div w:id="341664840">
          <w:marLeft w:val="480"/>
          <w:marRight w:val="0"/>
          <w:marTop w:val="0"/>
          <w:marBottom w:val="0"/>
          <w:divBdr>
            <w:top w:val="none" w:sz="0" w:space="0" w:color="auto"/>
            <w:left w:val="none" w:sz="0" w:space="0" w:color="auto"/>
            <w:bottom w:val="none" w:sz="0" w:space="0" w:color="auto"/>
            <w:right w:val="none" w:sz="0" w:space="0" w:color="auto"/>
          </w:divBdr>
        </w:div>
        <w:div w:id="1168445233">
          <w:marLeft w:val="480"/>
          <w:marRight w:val="0"/>
          <w:marTop w:val="0"/>
          <w:marBottom w:val="0"/>
          <w:divBdr>
            <w:top w:val="none" w:sz="0" w:space="0" w:color="auto"/>
            <w:left w:val="none" w:sz="0" w:space="0" w:color="auto"/>
            <w:bottom w:val="none" w:sz="0" w:space="0" w:color="auto"/>
            <w:right w:val="none" w:sz="0" w:space="0" w:color="auto"/>
          </w:divBdr>
        </w:div>
        <w:div w:id="2119979414">
          <w:marLeft w:val="480"/>
          <w:marRight w:val="0"/>
          <w:marTop w:val="0"/>
          <w:marBottom w:val="0"/>
          <w:divBdr>
            <w:top w:val="none" w:sz="0" w:space="0" w:color="auto"/>
            <w:left w:val="none" w:sz="0" w:space="0" w:color="auto"/>
            <w:bottom w:val="none" w:sz="0" w:space="0" w:color="auto"/>
            <w:right w:val="none" w:sz="0" w:space="0" w:color="auto"/>
          </w:divBdr>
        </w:div>
        <w:div w:id="896478205">
          <w:marLeft w:val="480"/>
          <w:marRight w:val="0"/>
          <w:marTop w:val="0"/>
          <w:marBottom w:val="0"/>
          <w:divBdr>
            <w:top w:val="none" w:sz="0" w:space="0" w:color="auto"/>
            <w:left w:val="none" w:sz="0" w:space="0" w:color="auto"/>
            <w:bottom w:val="none" w:sz="0" w:space="0" w:color="auto"/>
            <w:right w:val="none" w:sz="0" w:space="0" w:color="auto"/>
          </w:divBdr>
        </w:div>
        <w:div w:id="24647699">
          <w:marLeft w:val="480"/>
          <w:marRight w:val="0"/>
          <w:marTop w:val="0"/>
          <w:marBottom w:val="0"/>
          <w:divBdr>
            <w:top w:val="none" w:sz="0" w:space="0" w:color="auto"/>
            <w:left w:val="none" w:sz="0" w:space="0" w:color="auto"/>
            <w:bottom w:val="none" w:sz="0" w:space="0" w:color="auto"/>
            <w:right w:val="none" w:sz="0" w:space="0" w:color="auto"/>
          </w:divBdr>
        </w:div>
        <w:div w:id="475882021">
          <w:marLeft w:val="480"/>
          <w:marRight w:val="0"/>
          <w:marTop w:val="0"/>
          <w:marBottom w:val="0"/>
          <w:divBdr>
            <w:top w:val="none" w:sz="0" w:space="0" w:color="auto"/>
            <w:left w:val="none" w:sz="0" w:space="0" w:color="auto"/>
            <w:bottom w:val="none" w:sz="0" w:space="0" w:color="auto"/>
            <w:right w:val="none" w:sz="0" w:space="0" w:color="auto"/>
          </w:divBdr>
        </w:div>
        <w:div w:id="918632642">
          <w:marLeft w:val="480"/>
          <w:marRight w:val="0"/>
          <w:marTop w:val="0"/>
          <w:marBottom w:val="0"/>
          <w:divBdr>
            <w:top w:val="none" w:sz="0" w:space="0" w:color="auto"/>
            <w:left w:val="none" w:sz="0" w:space="0" w:color="auto"/>
            <w:bottom w:val="none" w:sz="0" w:space="0" w:color="auto"/>
            <w:right w:val="none" w:sz="0" w:space="0" w:color="auto"/>
          </w:divBdr>
        </w:div>
        <w:div w:id="1622372490">
          <w:marLeft w:val="480"/>
          <w:marRight w:val="0"/>
          <w:marTop w:val="0"/>
          <w:marBottom w:val="0"/>
          <w:divBdr>
            <w:top w:val="none" w:sz="0" w:space="0" w:color="auto"/>
            <w:left w:val="none" w:sz="0" w:space="0" w:color="auto"/>
            <w:bottom w:val="none" w:sz="0" w:space="0" w:color="auto"/>
            <w:right w:val="none" w:sz="0" w:space="0" w:color="auto"/>
          </w:divBdr>
        </w:div>
        <w:div w:id="114912305">
          <w:marLeft w:val="480"/>
          <w:marRight w:val="0"/>
          <w:marTop w:val="0"/>
          <w:marBottom w:val="0"/>
          <w:divBdr>
            <w:top w:val="none" w:sz="0" w:space="0" w:color="auto"/>
            <w:left w:val="none" w:sz="0" w:space="0" w:color="auto"/>
            <w:bottom w:val="none" w:sz="0" w:space="0" w:color="auto"/>
            <w:right w:val="none" w:sz="0" w:space="0" w:color="auto"/>
          </w:divBdr>
        </w:div>
        <w:div w:id="826939614">
          <w:marLeft w:val="480"/>
          <w:marRight w:val="0"/>
          <w:marTop w:val="0"/>
          <w:marBottom w:val="0"/>
          <w:divBdr>
            <w:top w:val="none" w:sz="0" w:space="0" w:color="auto"/>
            <w:left w:val="none" w:sz="0" w:space="0" w:color="auto"/>
            <w:bottom w:val="none" w:sz="0" w:space="0" w:color="auto"/>
            <w:right w:val="none" w:sz="0" w:space="0" w:color="auto"/>
          </w:divBdr>
        </w:div>
        <w:div w:id="396712514">
          <w:marLeft w:val="480"/>
          <w:marRight w:val="0"/>
          <w:marTop w:val="0"/>
          <w:marBottom w:val="0"/>
          <w:divBdr>
            <w:top w:val="none" w:sz="0" w:space="0" w:color="auto"/>
            <w:left w:val="none" w:sz="0" w:space="0" w:color="auto"/>
            <w:bottom w:val="none" w:sz="0" w:space="0" w:color="auto"/>
            <w:right w:val="none" w:sz="0" w:space="0" w:color="auto"/>
          </w:divBdr>
        </w:div>
        <w:div w:id="407729891">
          <w:marLeft w:val="480"/>
          <w:marRight w:val="0"/>
          <w:marTop w:val="0"/>
          <w:marBottom w:val="0"/>
          <w:divBdr>
            <w:top w:val="none" w:sz="0" w:space="0" w:color="auto"/>
            <w:left w:val="none" w:sz="0" w:space="0" w:color="auto"/>
            <w:bottom w:val="none" w:sz="0" w:space="0" w:color="auto"/>
            <w:right w:val="none" w:sz="0" w:space="0" w:color="auto"/>
          </w:divBdr>
        </w:div>
        <w:div w:id="1505784089">
          <w:marLeft w:val="480"/>
          <w:marRight w:val="0"/>
          <w:marTop w:val="0"/>
          <w:marBottom w:val="0"/>
          <w:divBdr>
            <w:top w:val="none" w:sz="0" w:space="0" w:color="auto"/>
            <w:left w:val="none" w:sz="0" w:space="0" w:color="auto"/>
            <w:bottom w:val="none" w:sz="0" w:space="0" w:color="auto"/>
            <w:right w:val="none" w:sz="0" w:space="0" w:color="auto"/>
          </w:divBdr>
        </w:div>
        <w:div w:id="1827280280">
          <w:marLeft w:val="480"/>
          <w:marRight w:val="0"/>
          <w:marTop w:val="0"/>
          <w:marBottom w:val="0"/>
          <w:divBdr>
            <w:top w:val="none" w:sz="0" w:space="0" w:color="auto"/>
            <w:left w:val="none" w:sz="0" w:space="0" w:color="auto"/>
            <w:bottom w:val="none" w:sz="0" w:space="0" w:color="auto"/>
            <w:right w:val="none" w:sz="0" w:space="0" w:color="auto"/>
          </w:divBdr>
        </w:div>
        <w:div w:id="1443763402">
          <w:marLeft w:val="480"/>
          <w:marRight w:val="0"/>
          <w:marTop w:val="0"/>
          <w:marBottom w:val="0"/>
          <w:divBdr>
            <w:top w:val="none" w:sz="0" w:space="0" w:color="auto"/>
            <w:left w:val="none" w:sz="0" w:space="0" w:color="auto"/>
            <w:bottom w:val="none" w:sz="0" w:space="0" w:color="auto"/>
            <w:right w:val="none" w:sz="0" w:space="0" w:color="auto"/>
          </w:divBdr>
        </w:div>
        <w:div w:id="1780177825">
          <w:marLeft w:val="480"/>
          <w:marRight w:val="0"/>
          <w:marTop w:val="0"/>
          <w:marBottom w:val="0"/>
          <w:divBdr>
            <w:top w:val="none" w:sz="0" w:space="0" w:color="auto"/>
            <w:left w:val="none" w:sz="0" w:space="0" w:color="auto"/>
            <w:bottom w:val="none" w:sz="0" w:space="0" w:color="auto"/>
            <w:right w:val="none" w:sz="0" w:space="0" w:color="auto"/>
          </w:divBdr>
        </w:div>
        <w:div w:id="1304264422">
          <w:marLeft w:val="480"/>
          <w:marRight w:val="0"/>
          <w:marTop w:val="0"/>
          <w:marBottom w:val="0"/>
          <w:divBdr>
            <w:top w:val="none" w:sz="0" w:space="0" w:color="auto"/>
            <w:left w:val="none" w:sz="0" w:space="0" w:color="auto"/>
            <w:bottom w:val="none" w:sz="0" w:space="0" w:color="auto"/>
            <w:right w:val="none" w:sz="0" w:space="0" w:color="auto"/>
          </w:divBdr>
        </w:div>
        <w:div w:id="2094468789">
          <w:marLeft w:val="480"/>
          <w:marRight w:val="0"/>
          <w:marTop w:val="0"/>
          <w:marBottom w:val="0"/>
          <w:divBdr>
            <w:top w:val="none" w:sz="0" w:space="0" w:color="auto"/>
            <w:left w:val="none" w:sz="0" w:space="0" w:color="auto"/>
            <w:bottom w:val="none" w:sz="0" w:space="0" w:color="auto"/>
            <w:right w:val="none" w:sz="0" w:space="0" w:color="auto"/>
          </w:divBdr>
        </w:div>
        <w:div w:id="933561406">
          <w:marLeft w:val="480"/>
          <w:marRight w:val="0"/>
          <w:marTop w:val="0"/>
          <w:marBottom w:val="0"/>
          <w:divBdr>
            <w:top w:val="none" w:sz="0" w:space="0" w:color="auto"/>
            <w:left w:val="none" w:sz="0" w:space="0" w:color="auto"/>
            <w:bottom w:val="none" w:sz="0" w:space="0" w:color="auto"/>
            <w:right w:val="none" w:sz="0" w:space="0" w:color="auto"/>
          </w:divBdr>
        </w:div>
        <w:div w:id="154801583">
          <w:marLeft w:val="480"/>
          <w:marRight w:val="0"/>
          <w:marTop w:val="0"/>
          <w:marBottom w:val="0"/>
          <w:divBdr>
            <w:top w:val="none" w:sz="0" w:space="0" w:color="auto"/>
            <w:left w:val="none" w:sz="0" w:space="0" w:color="auto"/>
            <w:bottom w:val="none" w:sz="0" w:space="0" w:color="auto"/>
            <w:right w:val="none" w:sz="0" w:space="0" w:color="auto"/>
          </w:divBdr>
        </w:div>
        <w:div w:id="323434229">
          <w:marLeft w:val="480"/>
          <w:marRight w:val="0"/>
          <w:marTop w:val="0"/>
          <w:marBottom w:val="0"/>
          <w:divBdr>
            <w:top w:val="none" w:sz="0" w:space="0" w:color="auto"/>
            <w:left w:val="none" w:sz="0" w:space="0" w:color="auto"/>
            <w:bottom w:val="none" w:sz="0" w:space="0" w:color="auto"/>
            <w:right w:val="none" w:sz="0" w:space="0" w:color="auto"/>
          </w:divBdr>
        </w:div>
        <w:div w:id="951739506">
          <w:marLeft w:val="480"/>
          <w:marRight w:val="0"/>
          <w:marTop w:val="0"/>
          <w:marBottom w:val="0"/>
          <w:divBdr>
            <w:top w:val="none" w:sz="0" w:space="0" w:color="auto"/>
            <w:left w:val="none" w:sz="0" w:space="0" w:color="auto"/>
            <w:bottom w:val="none" w:sz="0" w:space="0" w:color="auto"/>
            <w:right w:val="none" w:sz="0" w:space="0" w:color="auto"/>
          </w:divBdr>
        </w:div>
        <w:div w:id="1993413476">
          <w:marLeft w:val="480"/>
          <w:marRight w:val="0"/>
          <w:marTop w:val="0"/>
          <w:marBottom w:val="0"/>
          <w:divBdr>
            <w:top w:val="none" w:sz="0" w:space="0" w:color="auto"/>
            <w:left w:val="none" w:sz="0" w:space="0" w:color="auto"/>
            <w:bottom w:val="none" w:sz="0" w:space="0" w:color="auto"/>
            <w:right w:val="none" w:sz="0" w:space="0" w:color="auto"/>
          </w:divBdr>
        </w:div>
        <w:div w:id="728380419">
          <w:marLeft w:val="480"/>
          <w:marRight w:val="0"/>
          <w:marTop w:val="0"/>
          <w:marBottom w:val="0"/>
          <w:divBdr>
            <w:top w:val="none" w:sz="0" w:space="0" w:color="auto"/>
            <w:left w:val="none" w:sz="0" w:space="0" w:color="auto"/>
            <w:bottom w:val="none" w:sz="0" w:space="0" w:color="auto"/>
            <w:right w:val="none" w:sz="0" w:space="0" w:color="auto"/>
          </w:divBdr>
        </w:div>
        <w:div w:id="1602641241">
          <w:marLeft w:val="480"/>
          <w:marRight w:val="0"/>
          <w:marTop w:val="0"/>
          <w:marBottom w:val="0"/>
          <w:divBdr>
            <w:top w:val="none" w:sz="0" w:space="0" w:color="auto"/>
            <w:left w:val="none" w:sz="0" w:space="0" w:color="auto"/>
            <w:bottom w:val="none" w:sz="0" w:space="0" w:color="auto"/>
            <w:right w:val="none" w:sz="0" w:space="0" w:color="auto"/>
          </w:divBdr>
        </w:div>
        <w:div w:id="132985197">
          <w:marLeft w:val="480"/>
          <w:marRight w:val="0"/>
          <w:marTop w:val="0"/>
          <w:marBottom w:val="0"/>
          <w:divBdr>
            <w:top w:val="none" w:sz="0" w:space="0" w:color="auto"/>
            <w:left w:val="none" w:sz="0" w:space="0" w:color="auto"/>
            <w:bottom w:val="none" w:sz="0" w:space="0" w:color="auto"/>
            <w:right w:val="none" w:sz="0" w:space="0" w:color="auto"/>
          </w:divBdr>
        </w:div>
        <w:div w:id="808672431">
          <w:marLeft w:val="480"/>
          <w:marRight w:val="0"/>
          <w:marTop w:val="0"/>
          <w:marBottom w:val="0"/>
          <w:divBdr>
            <w:top w:val="none" w:sz="0" w:space="0" w:color="auto"/>
            <w:left w:val="none" w:sz="0" w:space="0" w:color="auto"/>
            <w:bottom w:val="none" w:sz="0" w:space="0" w:color="auto"/>
            <w:right w:val="none" w:sz="0" w:space="0" w:color="auto"/>
          </w:divBdr>
        </w:div>
        <w:div w:id="715736603">
          <w:marLeft w:val="480"/>
          <w:marRight w:val="0"/>
          <w:marTop w:val="0"/>
          <w:marBottom w:val="0"/>
          <w:divBdr>
            <w:top w:val="none" w:sz="0" w:space="0" w:color="auto"/>
            <w:left w:val="none" w:sz="0" w:space="0" w:color="auto"/>
            <w:bottom w:val="none" w:sz="0" w:space="0" w:color="auto"/>
            <w:right w:val="none" w:sz="0" w:space="0" w:color="auto"/>
          </w:divBdr>
        </w:div>
        <w:div w:id="114759529">
          <w:marLeft w:val="480"/>
          <w:marRight w:val="0"/>
          <w:marTop w:val="0"/>
          <w:marBottom w:val="0"/>
          <w:divBdr>
            <w:top w:val="none" w:sz="0" w:space="0" w:color="auto"/>
            <w:left w:val="none" w:sz="0" w:space="0" w:color="auto"/>
            <w:bottom w:val="none" w:sz="0" w:space="0" w:color="auto"/>
            <w:right w:val="none" w:sz="0" w:space="0" w:color="auto"/>
          </w:divBdr>
        </w:div>
        <w:div w:id="174199636">
          <w:marLeft w:val="480"/>
          <w:marRight w:val="0"/>
          <w:marTop w:val="0"/>
          <w:marBottom w:val="0"/>
          <w:divBdr>
            <w:top w:val="none" w:sz="0" w:space="0" w:color="auto"/>
            <w:left w:val="none" w:sz="0" w:space="0" w:color="auto"/>
            <w:bottom w:val="none" w:sz="0" w:space="0" w:color="auto"/>
            <w:right w:val="none" w:sz="0" w:space="0" w:color="auto"/>
          </w:divBdr>
        </w:div>
        <w:div w:id="2015184190">
          <w:marLeft w:val="480"/>
          <w:marRight w:val="0"/>
          <w:marTop w:val="0"/>
          <w:marBottom w:val="0"/>
          <w:divBdr>
            <w:top w:val="none" w:sz="0" w:space="0" w:color="auto"/>
            <w:left w:val="none" w:sz="0" w:space="0" w:color="auto"/>
            <w:bottom w:val="none" w:sz="0" w:space="0" w:color="auto"/>
            <w:right w:val="none" w:sz="0" w:space="0" w:color="auto"/>
          </w:divBdr>
        </w:div>
        <w:div w:id="1009062324">
          <w:marLeft w:val="480"/>
          <w:marRight w:val="0"/>
          <w:marTop w:val="0"/>
          <w:marBottom w:val="0"/>
          <w:divBdr>
            <w:top w:val="none" w:sz="0" w:space="0" w:color="auto"/>
            <w:left w:val="none" w:sz="0" w:space="0" w:color="auto"/>
            <w:bottom w:val="none" w:sz="0" w:space="0" w:color="auto"/>
            <w:right w:val="none" w:sz="0" w:space="0" w:color="auto"/>
          </w:divBdr>
        </w:div>
        <w:div w:id="1045720206">
          <w:marLeft w:val="480"/>
          <w:marRight w:val="0"/>
          <w:marTop w:val="0"/>
          <w:marBottom w:val="0"/>
          <w:divBdr>
            <w:top w:val="none" w:sz="0" w:space="0" w:color="auto"/>
            <w:left w:val="none" w:sz="0" w:space="0" w:color="auto"/>
            <w:bottom w:val="none" w:sz="0" w:space="0" w:color="auto"/>
            <w:right w:val="none" w:sz="0" w:space="0" w:color="auto"/>
          </w:divBdr>
        </w:div>
        <w:div w:id="1468939149">
          <w:marLeft w:val="480"/>
          <w:marRight w:val="0"/>
          <w:marTop w:val="0"/>
          <w:marBottom w:val="0"/>
          <w:divBdr>
            <w:top w:val="none" w:sz="0" w:space="0" w:color="auto"/>
            <w:left w:val="none" w:sz="0" w:space="0" w:color="auto"/>
            <w:bottom w:val="none" w:sz="0" w:space="0" w:color="auto"/>
            <w:right w:val="none" w:sz="0" w:space="0" w:color="auto"/>
          </w:divBdr>
        </w:div>
        <w:div w:id="1331568429">
          <w:marLeft w:val="480"/>
          <w:marRight w:val="0"/>
          <w:marTop w:val="0"/>
          <w:marBottom w:val="0"/>
          <w:divBdr>
            <w:top w:val="none" w:sz="0" w:space="0" w:color="auto"/>
            <w:left w:val="none" w:sz="0" w:space="0" w:color="auto"/>
            <w:bottom w:val="none" w:sz="0" w:space="0" w:color="auto"/>
            <w:right w:val="none" w:sz="0" w:space="0" w:color="auto"/>
          </w:divBdr>
        </w:div>
        <w:div w:id="842622869">
          <w:marLeft w:val="480"/>
          <w:marRight w:val="0"/>
          <w:marTop w:val="0"/>
          <w:marBottom w:val="0"/>
          <w:divBdr>
            <w:top w:val="none" w:sz="0" w:space="0" w:color="auto"/>
            <w:left w:val="none" w:sz="0" w:space="0" w:color="auto"/>
            <w:bottom w:val="none" w:sz="0" w:space="0" w:color="auto"/>
            <w:right w:val="none" w:sz="0" w:space="0" w:color="auto"/>
          </w:divBdr>
        </w:div>
        <w:div w:id="1481724303">
          <w:marLeft w:val="480"/>
          <w:marRight w:val="0"/>
          <w:marTop w:val="0"/>
          <w:marBottom w:val="0"/>
          <w:divBdr>
            <w:top w:val="none" w:sz="0" w:space="0" w:color="auto"/>
            <w:left w:val="none" w:sz="0" w:space="0" w:color="auto"/>
            <w:bottom w:val="none" w:sz="0" w:space="0" w:color="auto"/>
            <w:right w:val="none" w:sz="0" w:space="0" w:color="auto"/>
          </w:divBdr>
        </w:div>
        <w:div w:id="2090303138">
          <w:marLeft w:val="480"/>
          <w:marRight w:val="0"/>
          <w:marTop w:val="0"/>
          <w:marBottom w:val="0"/>
          <w:divBdr>
            <w:top w:val="none" w:sz="0" w:space="0" w:color="auto"/>
            <w:left w:val="none" w:sz="0" w:space="0" w:color="auto"/>
            <w:bottom w:val="none" w:sz="0" w:space="0" w:color="auto"/>
            <w:right w:val="none" w:sz="0" w:space="0" w:color="auto"/>
          </w:divBdr>
        </w:div>
        <w:div w:id="576793128">
          <w:marLeft w:val="480"/>
          <w:marRight w:val="0"/>
          <w:marTop w:val="0"/>
          <w:marBottom w:val="0"/>
          <w:divBdr>
            <w:top w:val="none" w:sz="0" w:space="0" w:color="auto"/>
            <w:left w:val="none" w:sz="0" w:space="0" w:color="auto"/>
            <w:bottom w:val="none" w:sz="0" w:space="0" w:color="auto"/>
            <w:right w:val="none" w:sz="0" w:space="0" w:color="auto"/>
          </w:divBdr>
        </w:div>
        <w:div w:id="1774787029">
          <w:marLeft w:val="480"/>
          <w:marRight w:val="0"/>
          <w:marTop w:val="0"/>
          <w:marBottom w:val="0"/>
          <w:divBdr>
            <w:top w:val="none" w:sz="0" w:space="0" w:color="auto"/>
            <w:left w:val="none" w:sz="0" w:space="0" w:color="auto"/>
            <w:bottom w:val="none" w:sz="0" w:space="0" w:color="auto"/>
            <w:right w:val="none" w:sz="0" w:space="0" w:color="auto"/>
          </w:divBdr>
        </w:div>
        <w:div w:id="1208762397">
          <w:marLeft w:val="480"/>
          <w:marRight w:val="0"/>
          <w:marTop w:val="0"/>
          <w:marBottom w:val="0"/>
          <w:divBdr>
            <w:top w:val="none" w:sz="0" w:space="0" w:color="auto"/>
            <w:left w:val="none" w:sz="0" w:space="0" w:color="auto"/>
            <w:bottom w:val="none" w:sz="0" w:space="0" w:color="auto"/>
            <w:right w:val="none" w:sz="0" w:space="0" w:color="auto"/>
          </w:divBdr>
        </w:div>
        <w:div w:id="1043674636">
          <w:marLeft w:val="480"/>
          <w:marRight w:val="0"/>
          <w:marTop w:val="0"/>
          <w:marBottom w:val="0"/>
          <w:divBdr>
            <w:top w:val="none" w:sz="0" w:space="0" w:color="auto"/>
            <w:left w:val="none" w:sz="0" w:space="0" w:color="auto"/>
            <w:bottom w:val="none" w:sz="0" w:space="0" w:color="auto"/>
            <w:right w:val="none" w:sz="0" w:space="0" w:color="auto"/>
          </w:divBdr>
        </w:div>
        <w:div w:id="99573720">
          <w:marLeft w:val="480"/>
          <w:marRight w:val="0"/>
          <w:marTop w:val="0"/>
          <w:marBottom w:val="0"/>
          <w:divBdr>
            <w:top w:val="none" w:sz="0" w:space="0" w:color="auto"/>
            <w:left w:val="none" w:sz="0" w:space="0" w:color="auto"/>
            <w:bottom w:val="none" w:sz="0" w:space="0" w:color="auto"/>
            <w:right w:val="none" w:sz="0" w:space="0" w:color="auto"/>
          </w:divBdr>
        </w:div>
        <w:div w:id="1141272460">
          <w:marLeft w:val="480"/>
          <w:marRight w:val="0"/>
          <w:marTop w:val="0"/>
          <w:marBottom w:val="0"/>
          <w:divBdr>
            <w:top w:val="none" w:sz="0" w:space="0" w:color="auto"/>
            <w:left w:val="none" w:sz="0" w:space="0" w:color="auto"/>
            <w:bottom w:val="none" w:sz="0" w:space="0" w:color="auto"/>
            <w:right w:val="none" w:sz="0" w:space="0" w:color="auto"/>
          </w:divBdr>
        </w:div>
        <w:div w:id="1554539903">
          <w:marLeft w:val="480"/>
          <w:marRight w:val="0"/>
          <w:marTop w:val="0"/>
          <w:marBottom w:val="0"/>
          <w:divBdr>
            <w:top w:val="none" w:sz="0" w:space="0" w:color="auto"/>
            <w:left w:val="none" w:sz="0" w:space="0" w:color="auto"/>
            <w:bottom w:val="none" w:sz="0" w:space="0" w:color="auto"/>
            <w:right w:val="none" w:sz="0" w:space="0" w:color="auto"/>
          </w:divBdr>
        </w:div>
        <w:div w:id="542062035">
          <w:marLeft w:val="480"/>
          <w:marRight w:val="0"/>
          <w:marTop w:val="0"/>
          <w:marBottom w:val="0"/>
          <w:divBdr>
            <w:top w:val="none" w:sz="0" w:space="0" w:color="auto"/>
            <w:left w:val="none" w:sz="0" w:space="0" w:color="auto"/>
            <w:bottom w:val="none" w:sz="0" w:space="0" w:color="auto"/>
            <w:right w:val="none" w:sz="0" w:space="0" w:color="auto"/>
          </w:divBdr>
        </w:div>
        <w:div w:id="10692641">
          <w:marLeft w:val="480"/>
          <w:marRight w:val="0"/>
          <w:marTop w:val="0"/>
          <w:marBottom w:val="0"/>
          <w:divBdr>
            <w:top w:val="none" w:sz="0" w:space="0" w:color="auto"/>
            <w:left w:val="none" w:sz="0" w:space="0" w:color="auto"/>
            <w:bottom w:val="none" w:sz="0" w:space="0" w:color="auto"/>
            <w:right w:val="none" w:sz="0" w:space="0" w:color="auto"/>
          </w:divBdr>
        </w:div>
        <w:div w:id="6686869">
          <w:marLeft w:val="480"/>
          <w:marRight w:val="0"/>
          <w:marTop w:val="0"/>
          <w:marBottom w:val="0"/>
          <w:divBdr>
            <w:top w:val="none" w:sz="0" w:space="0" w:color="auto"/>
            <w:left w:val="none" w:sz="0" w:space="0" w:color="auto"/>
            <w:bottom w:val="none" w:sz="0" w:space="0" w:color="auto"/>
            <w:right w:val="none" w:sz="0" w:space="0" w:color="auto"/>
          </w:divBdr>
        </w:div>
        <w:div w:id="199703755">
          <w:marLeft w:val="480"/>
          <w:marRight w:val="0"/>
          <w:marTop w:val="0"/>
          <w:marBottom w:val="0"/>
          <w:divBdr>
            <w:top w:val="none" w:sz="0" w:space="0" w:color="auto"/>
            <w:left w:val="none" w:sz="0" w:space="0" w:color="auto"/>
            <w:bottom w:val="none" w:sz="0" w:space="0" w:color="auto"/>
            <w:right w:val="none" w:sz="0" w:space="0" w:color="auto"/>
          </w:divBdr>
        </w:div>
        <w:div w:id="856430038">
          <w:marLeft w:val="480"/>
          <w:marRight w:val="0"/>
          <w:marTop w:val="0"/>
          <w:marBottom w:val="0"/>
          <w:divBdr>
            <w:top w:val="none" w:sz="0" w:space="0" w:color="auto"/>
            <w:left w:val="none" w:sz="0" w:space="0" w:color="auto"/>
            <w:bottom w:val="none" w:sz="0" w:space="0" w:color="auto"/>
            <w:right w:val="none" w:sz="0" w:space="0" w:color="auto"/>
          </w:divBdr>
        </w:div>
        <w:div w:id="1453280503">
          <w:marLeft w:val="480"/>
          <w:marRight w:val="0"/>
          <w:marTop w:val="0"/>
          <w:marBottom w:val="0"/>
          <w:divBdr>
            <w:top w:val="none" w:sz="0" w:space="0" w:color="auto"/>
            <w:left w:val="none" w:sz="0" w:space="0" w:color="auto"/>
            <w:bottom w:val="none" w:sz="0" w:space="0" w:color="auto"/>
            <w:right w:val="none" w:sz="0" w:space="0" w:color="auto"/>
          </w:divBdr>
        </w:div>
        <w:div w:id="1079594850">
          <w:marLeft w:val="480"/>
          <w:marRight w:val="0"/>
          <w:marTop w:val="0"/>
          <w:marBottom w:val="0"/>
          <w:divBdr>
            <w:top w:val="none" w:sz="0" w:space="0" w:color="auto"/>
            <w:left w:val="none" w:sz="0" w:space="0" w:color="auto"/>
            <w:bottom w:val="none" w:sz="0" w:space="0" w:color="auto"/>
            <w:right w:val="none" w:sz="0" w:space="0" w:color="auto"/>
          </w:divBdr>
        </w:div>
        <w:div w:id="573703735">
          <w:marLeft w:val="480"/>
          <w:marRight w:val="0"/>
          <w:marTop w:val="0"/>
          <w:marBottom w:val="0"/>
          <w:divBdr>
            <w:top w:val="none" w:sz="0" w:space="0" w:color="auto"/>
            <w:left w:val="none" w:sz="0" w:space="0" w:color="auto"/>
            <w:bottom w:val="none" w:sz="0" w:space="0" w:color="auto"/>
            <w:right w:val="none" w:sz="0" w:space="0" w:color="auto"/>
          </w:divBdr>
        </w:div>
        <w:div w:id="821655644">
          <w:marLeft w:val="480"/>
          <w:marRight w:val="0"/>
          <w:marTop w:val="0"/>
          <w:marBottom w:val="0"/>
          <w:divBdr>
            <w:top w:val="none" w:sz="0" w:space="0" w:color="auto"/>
            <w:left w:val="none" w:sz="0" w:space="0" w:color="auto"/>
            <w:bottom w:val="none" w:sz="0" w:space="0" w:color="auto"/>
            <w:right w:val="none" w:sz="0" w:space="0" w:color="auto"/>
          </w:divBdr>
        </w:div>
        <w:div w:id="1414543850">
          <w:marLeft w:val="480"/>
          <w:marRight w:val="0"/>
          <w:marTop w:val="0"/>
          <w:marBottom w:val="0"/>
          <w:divBdr>
            <w:top w:val="none" w:sz="0" w:space="0" w:color="auto"/>
            <w:left w:val="none" w:sz="0" w:space="0" w:color="auto"/>
            <w:bottom w:val="none" w:sz="0" w:space="0" w:color="auto"/>
            <w:right w:val="none" w:sz="0" w:space="0" w:color="auto"/>
          </w:divBdr>
        </w:div>
        <w:div w:id="734008197">
          <w:marLeft w:val="480"/>
          <w:marRight w:val="0"/>
          <w:marTop w:val="0"/>
          <w:marBottom w:val="0"/>
          <w:divBdr>
            <w:top w:val="none" w:sz="0" w:space="0" w:color="auto"/>
            <w:left w:val="none" w:sz="0" w:space="0" w:color="auto"/>
            <w:bottom w:val="none" w:sz="0" w:space="0" w:color="auto"/>
            <w:right w:val="none" w:sz="0" w:space="0" w:color="auto"/>
          </w:divBdr>
        </w:div>
        <w:div w:id="506941615">
          <w:marLeft w:val="480"/>
          <w:marRight w:val="0"/>
          <w:marTop w:val="0"/>
          <w:marBottom w:val="0"/>
          <w:divBdr>
            <w:top w:val="none" w:sz="0" w:space="0" w:color="auto"/>
            <w:left w:val="none" w:sz="0" w:space="0" w:color="auto"/>
            <w:bottom w:val="none" w:sz="0" w:space="0" w:color="auto"/>
            <w:right w:val="none" w:sz="0" w:space="0" w:color="auto"/>
          </w:divBdr>
        </w:div>
        <w:div w:id="1097946037">
          <w:marLeft w:val="480"/>
          <w:marRight w:val="0"/>
          <w:marTop w:val="0"/>
          <w:marBottom w:val="0"/>
          <w:divBdr>
            <w:top w:val="none" w:sz="0" w:space="0" w:color="auto"/>
            <w:left w:val="none" w:sz="0" w:space="0" w:color="auto"/>
            <w:bottom w:val="none" w:sz="0" w:space="0" w:color="auto"/>
            <w:right w:val="none" w:sz="0" w:space="0" w:color="auto"/>
          </w:divBdr>
        </w:div>
        <w:div w:id="1318997876">
          <w:marLeft w:val="480"/>
          <w:marRight w:val="0"/>
          <w:marTop w:val="0"/>
          <w:marBottom w:val="0"/>
          <w:divBdr>
            <w:top w:val="none" w:sz="0" w:space="0" w:color="auto"/>
            <w:left w:val="none" w:sz="0" w:space="0" w:color="auto"/>
            <w:bottom w:val="none" w:sz="0" w:space="0" w:color="auto"/>
            <w:right w:val="none" w:sz="0" w:space="0" w:color="auto"/>
          </w:divBdr>
        </w:div>
        <w:div w:id="1121147919">
          <w:marLeft w:val="480"/>
          <w:marRight w:val="0"/>
          <w:marTop w:val="0"/>
          <w:marBottom w:val="0"/>
          <w:divBdr>
            <w:top w:val="none" w:sz="0" w:space="0" w:color="auto"/>
            <w:left w:val="none" w:sz="0" w:space="0" w:color="auto"/>
            <w:bottom w:val="none" w:sz="0" w:space="0" w:color="auto"/>
            <w:right w:val="none" w:sz="0" w:space="0" w:color="auto"/>
          </w:divBdr>
        </w:div>
        <w:div w:id="542863919">
          <w:marLeft w:val="480"/>
          <w:marRight w:val="0"/>
          <w:marTop w:val="0"/>
          <w:marBottom w:val="0"/>
          <w:divBdr>
            <w:top w:val="none" w:sz="0" w:space="0" w:color="auto"/>
            <w:left w:val="none" w:sz="0" w:space="0" w:color="auto"/>
            <w:bottom w:val="none" w:sz="0" w:space="0" w:color="auto"/>
            <w:right w:val="none" w:sz="0" w:space="0" w:color="auto"/>
          </w:divBdr>
        </w:div>
        <w:div w:id="437719790">
          <w:marLeft w:val="480"/>
          <w:marRight w:val="0"/>
          <w:marTop w:val="0"/>
          <w:marBottom w:val="0"/>
          <w:divBdr>
            <w:top w:val="none" w:sz="0" w:space="0" w:color="auto"/>
            <w:left w:val="none" w:sz="0" w:space="0" w:color="auto"/>
            <w:bottom w:val="none" w:sz="0" w:space="0" w:color="auto"/>
            <w:right w:val="none" w:sz="0" w:space="0" w:color="auto"/>
          </w:divBdr>
        </w:div>
        <w:div w:id="1311859775">
          <w:marLeft w:val="480"/>
          <w:marRight w:val="0"/>
          <w:marTop w:val="0"/>
          <w:marBottom w:val="0"/>
          <w:divBdr>
            <w:top w:val="none" w:sz="0" w:space="0" w:color="auto"/>
            <w:left w:val="none" w:sz="0" w:space="0" w:color="auto"/>
            <w:bottom w:val="none" w:sz="0" w:space="0" w:color="auto"/>
            <w:right w:val="none" w:sz="0" w:space="0" w:color="auto"/>
          </w:divBdr>
        </w:div>
        <w:div w:id="1689795103">
          <w:marLeft w:val="480"/>
          <w:marRight w:val="0"/>
          <w:marTop w:val="0"/>
          <w:marBottom w:val="0"/>
          <w:divBdr>
            <w:top w:val="none" w:sz="0" w:space="0" w:color="auto"/>
            <w:left w:val="none" w:sz="0" w:space="0" w:color="auto"/>
            <w:bottom w:val="none" w:sz="0" w:space="0" w:color="auto"/>
            <w:right w:val="none" w:sz="0" w:space="0" w:color="auto"/>
          </w:divBdr>
        </w:div>
        <w:div w:id="1312253939">
          <w:marLeft w:val="480"/>
          <w:marRight w:val="0"/>
          <w:marTop w:val="0"/>
          <w:marBottom w:val="0"/>
          <w:divBdr>
            <w:top w:val="none" w:sz="0" w:space="0" w:color="auto"/>
            <w:left w:val="none" w:sz="0" w:space="0" w:color="auto"/>
            <w:bottom w:val="none" w:sz="0" w:space="0" w:color="auto"/>
            <w:right w:val="none" w:sz="0" w:space="0" w:color="auto"/>
          </w:divBdr>
        </w:div>
        <w:div w:id="1282883886">
          <w:marLeft w:val="480"/>
          <w:marRight w:val="0"/>
          <w:marTop w:val="0"/>
          <w:marBottom w:val="0"/>
          <w:divBdr>
            <w:top w:val="none" w:sz="0" w:space="0" w:color="auto"/>
            <w:left w:val="none" w:sz="0" w:space="0" w:color="auto"/>
            <w:bottom w:val="none" w:sz="0" w:space="0" w:color="auto"/>
            <w:right w:val="none" w:sz="0" w:space="0" w:color="auto"/>
          </w:divBdr>
        </w:div>
        <w:div w:id="2086218977">
          <w:marLeft w:val="480"/>
          <w:marRight w:val="0"/>
          <w:marTop w:val="0"/>
          <w:marBottom w:val="0"/>
          <w:divBdr>
            <w:top w:val="none" w:sz="0" w:space="0" w:color="auto"/>
            <w:left w:val="none" w:sz="0" w:space="0" w:color="auto"/>
            <w:bottom w:val="none" w:sz="0" w:space="0" w:color="auto"/>
            <w:right w:val="none" w:sz="0" w:space="0" w:color="auto"/>
          </w:divBdr>
        </w:div>
        <w:div w:id="532809785">
          <w:marLeft w:val="480"/>
          <w:marRight w:val="0"/>
          <w:marTop w:val="0"/>
          <w:marBottom w:val="0"/>
          <w:divBdr>
            <w:top w:val="none" w:sz="0" w:space="0" w:color="auto"/>
            <w:left w:val="none" w:sz="0" w:space="0" w:color="auto"/>
            <w:bottom w:val="none" w:sz="0" w:space="0" w:color="auto"/>
            <w:right w:val="none" w:sz="0" w:space="0" w:color="auto"/>
          </w:divBdr>
        </w:div>
        <w:div w:id="1724795346">
          <w:marLeft w:val="480"/>
          <w:marRight w:val="0"/>
          <w:marTop w:val="0"/>
          <w:marBottom w:val="0"/>
          <w:divBdr>
            <w:top w:val="none" w:sz="0" w:space="0" w:color="auto"/>
            <w:left w:val="none" w:sz="0" w:space="0" w:color="auto"/>
            <w:bottom w:val="none" w:sz="0" w:space="0" w:color="auto"/>
            <w:right w:val="none" w:sz="0" w:space="0" w:color="auto"/>
          </w:divBdr>
        </w:div>
        <w:div w:id="1552379414">
          <w:marLeft w:val="480"/>
          <w:marRight w:val="0"/>
          <w:marTop w:val="0"/>
          <w:marBottom w:val="0"/>
          <w:divBdr>
            <w:top w:val="none" w:sz="0" w:space="0" w:color="auto"/>
            <w:left w:val="none" w:sz="0" w:space="0" w:color="auto"/>
            <w:bottom w:val="none" w:sz="0" w:space="0" w:color="auto"/>
            <w:right w:val="none" w:sz="0" w:space="0" w:color="auto"/>
          </w:divBdr>
        </w:div>
        <w:div w:id="1007558605">
          <w:marLeft w:val="480"/>
          <w:marRight w:val="0"/>
          <w:marTop w:val="0"/>
          <w:marBottom w:val="0"/>
          <w:divBdr>
            <w:top w:val="none" w:sz="0" w:space="0" w:color="auto"/>
            <w:left w:val="none" w:sz="0" w:space="0" w:color="auto"/>
            <w:bottom w:val="none" w:sz="0" w:space="0" w:color="auto"/>
            <w:right w:val="none" w:sz="0" w:space="0" w:color="auto"/>
          </w:divBdr>
        </w:div>
        <w:div w:id="823274449">
          <w:marLeft w:val="480"/>
          <w:marRight w:val="0"/>
          <w:marTop w:val="0"/>
          <w:marBottom w:val="0"/>
          <w:divBdr>
            <w:top w:val="none" w:sz="0" w:space="0" w:color="auto"/>
            <w:left w:val="none" w:sz="0" w:space="0" w:color="auto"/>
            <w:bottom w:val="none" w:sz="0" w:space="0" w:color="auto"/>
            <w:right w:val="none" w:sz="0" w:space="0" w:color="auto"/>
          </w:divBdr>
        </w:div>
        <w:div w:id="430127107">
          <w:marLeft w:val="480"/>
          <w:marRight w:val="0"/>
          <w:marTop w:val="0"/>
          <w:marBottom w:val="0"/>
          <w:divBdr>
            <w:top w:val="none" w:sz="0" w:space="0" w:color="auto"/>
            <w:left w:val="none" w:sz="0" w:space="0" w:color="auto"/>
            <w:bottom w:val="none" w:sz="0" w:space="0" w:color="auto"/>
            <w:right w:val="none" w:sz="0" w:space="0" w:color="auto"/>
          </w:divBdr>
        </w:div>
        <w:div w:id="1480225854">
          <w:marLeft w:val="480"/>
          <w:marRight w:val="0"/>
          <w:marTop w:val="0"/>
          <w:marBottom w:val="0"/>
          <w:divBdr>
            <w:top w:val="none" w:sz="0" w:space="0" w:color="auto"/>
            <w:left w:val="none" w:sz="0" w:space="0" w:color="auto"/>
            <w:bottom w:val="none" w:sz="0" w:space="0" w:color="auto"/>
            <w:right w:val="none" w:sz="0" w:space="0" w:color="auto"/>
          </w:divBdr>
        </w:div>
        <w:div w:id="469828090">
          <w:marLeft w:val="480"/>
          <w:marRight w:val="0"/>
          <w:marTop w:val="0"/>
          <w:marBottom w:val="0"/>
          <w:divBdr>
            <w:top w:val="none" w:sz="0" w:space="0" w:color="auto"/>
            <w:left w:val="none" w:sz="0" w:space="0" w:color="auto"/>
            <w:bottom w:val="none" w:sz="0" w:space="0" w:color="auto"/>
            <w:right w:val="none" w:sz="0" w:space="0" w:color="auto"/>
          </w:divBdr>
        </w:div>
        <w:div w:id="203445801">
          <w:marLeft w:val="480"/>
          <w:marRight w:val="0"/>
          <w:marTop w:val="0"/>
          <w:marBottom w:val="0"/>
          <w:divBdr>
            <w:top w:val="none" w:sz="0" w:space="0" w:color="auto"/>
            <w:left w:val="none" w:sz="0" w:space="0" w:color="auto"/>
            <w:bottom w:val="none" w:sz="0" w:space="0" w:color="auto"/>
            <w:right w:val="none" w:sz="0" w:space="0" w:color="auto"/>
          </w:divBdr>
        </w:div>
        <w:div w:id="1398093317">
          <w:marLeft w:val="480"/>
          <w:marRight w:val="0"/>
          <w:marTop w:val="0"/>
          <w:marBottom w:val="0"/>
          <w:divBdr>
            <w:top w:val="none" w:sz="0" w:space="0" w:color="auto"/>
            <w:left w:val="none" w:sz="0" w:space="0" w:color="auto"/>
            <w:bottom w:val="none" w:sz="0" w:space="0" w:color="auto"/>
            <w:right w:val="none" w:sz="0" w:space="0" w:color="auto"/>
          </w:divBdr>
        </w:div>
        <w:div w:id="1661737531">
          <w:marLeft w:val="480"/>
          <w:marRight w:val="0"/>
          <w:marTop w:val="0"/>
          <w:marBottom w:val="0"/>
          <w:divBdr>
            <w:top w:val="none" w:sz="0" w:space="0" w:color="auto"/>
            <w:left w:val="none" w:sz="0" w:space="0" w:color="auto"/>
            <w:bottom w:val="none" w:sz="0" w:space="0" w:color="auto"/>
            <w:right w:val="none" w:sz="0" w:space="0" w:color="auto"/>
          </w:divBdr>
        </w:div>
        <w:div w:id="952712452">
          <w:marLeft w:val="480"/>
          <w:marRight w:val="0"/>
          <w:marTop w:val="0"/>
          <w:marBottom w:val="0"/>
          <w:divBdr>
            <w:top w:val="none" w:sz="0" w:space="0" w:color="auto"/>
            <w:left w:val="none" w:sz="0" w:space="0" w:color="auto"/>
            <w:bottom w:val="none" w:sz="0" w:space="0" w:color="auto"/>
            <w:right w:val="none" w:sz="0" w:space="0" w:color="auto"/>
          </w:divBdr>
        </w:div>
        <w:div w:id="1607930425">
          <w:marLeft w:val="480"/>
          <w:marRight w:val="0"/>
          <w:marTop w:val="0"/>
          <w:marBottom w:val="0"/>
          <w:divBdr>
            <w:top w:val="none" w:sz="0" w:space="0" w:color="auto"/>
            <w:left w:val="none" w:sz="0" w:space="0" w:color="auto"/>
            <w:bottom w:val="none" w:sz="0" w:space="0" w:color="auto"/>
            <w:right w:val="none" w:sz="0" w:space="0" w:color="auto"/>
          </w:divBdr>
        </w:div>
        <w:div w:id="1915895998">
          <w:marLeft w:val="480"/>
          <w:marRight w:val="0"/>
          <w:marTop w:val="0"/>
          <w:marBottom w:val="0"/>
          <w:divBdr>
            <w:top w:val="none" w:sz="0" w:space="0" w:color="auto"/>
            <w:left w:val="none" w:sz="0" w:space="0" w:color="auto"/>
            <w:bottom w:val="none" w:sz="0" w:space="0" w:color="auto"/>
            <w:right w:val="none" w:sz="0" w:space="0" w:color="auto"/>
          </w:divBdr>
        </w:div>
        <w:div w:id="822552089">
          <w:marLeft w:val="480"/>
          <w:marRight w:val="0"/>
          <w:marTop w:val="0"/>
          <w:marBottom w:val="0"/>
          <w:divBdr>
            <w:top w:val="none" w:sz="0" w:space="0" w:color="auto"/>
            <w:left w:val="none" w:sz="0" w:space="0" w:color="auto"/>
            <w:bottom w:val="none" w:sz="0" w:space="0" w:color="auto"/>
            <w:right w:val="none" w:sz="0" w:space="0" w:color="auto"/>
          </w:divBdr>
        </w:div>
        <w:div w:id="1009676680">
          <w:marLeft w:val="480"/>
          <w:marRight w:val="0"/>
          <w:marTop w:val="0"/>
          <w:marBottom w:val="0"/>
          <w:divBdr>
            <w:top w:val="none" w:sz="0" w:space="0" w:color="auto"/>
            <w:left w:val="none" w:sz="0" w:space="0" w:color="auto"/>
            <w:bottom w:val="none" w:sz="0" w:space="0" w:color="auto"/>
            <w:right w:val="none" w:sz="0" w:space="0" w:color="auto"/>
          </w:divBdr>
        </w:div>
        <w:div w:id="1279799651">
          <w:marLeft w:val="480"/>
          <w:marRight w:val="0"/>
          <w:marTop w:val="0"/>
          <w:marBottom w:val="0"/>
          <w:divBdr>
            <w:top w:val="none" w:sz="0" w:space="0" w:color="auto"/>
            <w:left w:val="none" w:sz="0" w:space="0" w:color="auto"/>
            <w:bottom w:val="none" w:sz="0" w:space="0" w:color="auto"/>
            <w:right w:val="none" w:sz="0" w:space="0" w:color="auto"/>
          </w:divBdr>
        </w:div>
        <w:div w:id="14382262">
          <w:marLeft w:val="480"/>
          <w:marRight w:val="0"/>
          <w:marTop w:val="0"/>
          <w:marBottom w:val="0"/>
          <w:divBdr>
            <w:top w:val="none" w:sz="0" w:space="0" w:color="auto"/>
            <w:left w:val="none" w:sz="0" w:space="0" w:color="auto"/>
            <w:bottom w:val="none" w:sz="0" w:space="0" w:color="auto"/>
            <w:right w:val="none" w:sz="0" w:space="0" w:color="auto"/>
          </w:divBdr>
        </w:div>
        <w:div w:id="367922919">
          <w:marLeft w:val="480"/>
          <w:marRight w:val="0"/>
          <w:marTop w:val="0"/>
          <w:marBottom w:val="0"/>
          <w:divBdr>
            <w:top w:val="none" w:sz="0" w:space="0" w:color="auto"/>
            <w:left w:val="none" w:sz="0" w:space="0" w:color="auto"/>
            <w:bottom w:val="none" w:sz="0" w:space="0" w:color="auto"/>
            <w:right w:val="none" w:sz="0" w:space="0" w:color="auto"/>
          </w:divBdr>
        </w:div>
        <w:div w:id="1057584205">
          <w:marLeft w:val="480"/>
          <w:marRight w:val="0"/>
          <w:marTop w:val="0"/>
          <w:marBottom w:val="0"/>
          <w:divBdr>
            <w:top w:val="none" w:sz="0" w:space="0" w:color="auto"/>
            <w:left w:val="none" w:sz="0" w:space="0" w:color="auto"/>
            <w:bottom w:val="none" w:sz="0" w:space="0" w:color="auto"/>
            <w:right w:val="none" w:sz="0" w:space="0" w:color="auto"/>
          </w:divBdr>
        </w:div>
        <w:div w:id="1202862793">
          <w:marLeft w:val="480"/>
          <w:marRight w:val="0"/>
          <w:marTop w:val="0"/>
          <w:marBottom w:val="0"/>
          <w:divBdr>
            <w:top w:val="none" w:sz="0" w:space="0" w:color="auto"/>
            <w:left w:val="none" w:sz="0" w:space="0" w:color="auto"/>
            <w:bottom w:val="none" w:sz="0" w:space="0" w:color="auto"/>
            <w:right w:val="none" w:sz="0" w:space="0" w:color="auto"/>
          </w:divBdr>
        </w:div>
        <w:div w:id="2069379203">
          <w:marLeft w:val="480"/>
          <w:marRight w:val="0"/>
          <w:marTop w:val="0"/>
          <w:marBottom w:val="0"/>
          <w:divBdr>
            <w:top w:val="none" w:sz="0" w:space="0" w:color="auto"/>
            <w:left w:val="none" w:sz="0" w:space="0" w:color="auto"/>
            <w:bottom w:val="none" w:sz="0" w:space="0" w:color="auto"/>
            <w:right w:val="none" w:sz="0" w:space="0" w:color="auto"/>
          </w:divBdr>
        </w:div>
        <w:div w:id="1956713013">
          <w:marLeft w:val="480"/>
          <w:marRight w:val="0"/>
          <w:marTop w:val="0"/>
          <w:marBottom w:val="0"/>
          <w:divBdr>
            <w:top w:val="none" w:sz="0" w:space="0" w:color="auto"/>
            <w:left w:val="none" w:sz="0" w:space="0" w:color="auto"/>
            <w:bottom w:val="none" w:sz="0" w:space="0" w:color="auto"/>
            <w:right w:val="none" w:sz="0" w:space="0" w:color="auto"/>
          </w:divBdr>
        </w:div>
        <w:div w:id="2142578964">
          <w:marLeft w:val="480"/>
          <w:marRight w:val="0"/>
          <w:marTop w:val="0"/>
          <w:marBottom w:val="0"/>
          <w:divBdr>
            <w:top w:val="none" w:sz="0" w:space="0" w:color="auto"/>
            <w:left w:val="none" w:sz="0" w:space="0" w:color="auto"/>
            <w:bottom w:val="none" w:sz="0" w:space="0" w:color="auto"/>
            <w:right w:val="none" w:sz="0" w:space="0" w:color="auto"/>
          </w:divBdr>
        </w:div>
        <w:div w:id="1591624946">
          <w:marLeft w:val="480"/>
          <w:marRight w:val="0"/>
          <w:marTop w:val="0"/>
          <w:marBottom w:val="0"/>
          <w:divBdr>
            <w:top w:val="none" w:sz="0" w:space="0" w:color="auto"/>
            <w:left w:val="none" w:sz="0" w:space="0" w:color="auto"/>
            <w:bottom w:val="none" w:sz="0" w:space="0" w:color="auto"/>
            <w:right w:val="none" w:sz="0" w:space="0" w:color="auto"/>
          </w:divBdr>
        </w:div>
        <w:div w:id="1490443701">
          <w:marLeft w:val="480"/>
          <w:marRight w:val="0"/>
          <w:marTop w:val="0"/>
          <w:marBottom w:val="0"/>
          <w:divBdr>
            <w:top w:val="none" w:sz="0" w:space="0" w:color="auto"/>
            <w:left w:val="none" w:sz="0" w:space="0" w:color="auto"/>
            <w:bottom w:val="none" w:sz="0" w:space="0" w:color="auto"/>
            <w:right w:val="none" w:sz="0" w:space="0" w:color="auto"/>
          </w:divBdr>
        </w:div>
        <w:div w:id="823936471">
          <w:marLeft w:val="480"/>
          <w:marRight w:val="0"/>
          <w:marTop w:val="0"/>
          <w:marBottom w:val="0"/>
          <w:divBdr>
            <w:top w:val="none" w:sz="0" w:space="0" w:color="auto"/>
            <w:left w:val="none" w:sz="0" w:space="0" w:color="auto"/>
            <w:bottom w:val="none" w:sz="0" w:space="0" w:color="auto"/>
            <w:right w:val="none" w:sz="0" w:space="0" w:color="auto"/>
          </w:divBdr>
        </w:div>
        <w:div w:id="1281455517">
          <w:marLeft w:val="480"/>
          <w:marRight w:val="0"/>
          <w:marTop w:val="0"/>
          <w:marBottom w:val="0"/>
          <w:divBdr>
            <w:top w:val="none" w:sz="0" w:space="0" w:color="auto"/>
            <w:left w:val="none" w:sz="0" w:space="0" w:color="auto"/>
            <w:bottom w:val="none" w:sz="0" w:space="0" w:color="auto"/>
            <w:right w:val="none" w:sz="0" w:space="0" w:color="auto"/>
          </w:divBdr>
        </w:div>
        <w:div w:id="286932886">
          <w:marLeft w:val="480"/>
          <w:marRight w:val="0"/>
          <w:marTop w:val="0"/>
          <w:marBottom w:val="0"/>
          <w:divBdr>
            <w:top w:val="none" w:sz="0" w:space="0" w:color="auto"/>
            <w:left w:val="none" w:sz="0" w:space="0" w:color="auto"/>
            <w:bottom w:val="none" w:sz="0" w:space="0" w:color="auto"/>
            <w:right w:val="none" w:sz="0" w:space="0" w:color="auto"/>
          </w:divBdr>
        </w:div>
        <w:div w:id="995647652">
          <w:marLeft w:val="480"/>
          <w:marRight w:val="0"/>
          <w:marTop w:val="0"/>
          <w:marBottom w:val="0"/>
          <w:divBdr>
            <w:top w:val="none" w:sz="0" w:space="0" w:color="auto"/>
            <w:left w:val="none" w:sz="0" w:space="0" w:color="auto"/>
            <w:bottom w:val="none" w:sz="0" w:space="0" w:color="auto"/>
            <w:right w:val="none" w:sz="0" w:space="0" w:color="auto"/>
          </w:divBdr>
        </w:div>
        <w:div w:id="964852499">
          <w:marLeft w:val="480"/>
          <w:marRight w:val="0"/>
          <w:marTop w:val="0"/>
          <w:marBottom w:val="0"/>
          <w:divBdr>
            <w:top w:val="none" w:sz="0" w:space="0" w:color="auto"/>
            <w:left w:val="none" w:sz="0" w:space="0" w:color="auto"/>
            <w:bottom w:val="none" w:sz="0" w:space="0" w:color="auto"/>
            <w:right w:val="none" w:sz="0" w:space="0" w:color="auto"/>
          </w:divBdr>
        </w:div>
        <w:div w:id="703402672">
          <w:marLeft w:val="480"/>
          <w:marRight w:val="0"/>
          <w:marTop w:val="0"/>
          <w:marBottom w:val="0"/>
          <w:divBdr>
            <w:top w:val="none" w:sz="0" w:space="0" w:color="auto"/>
            <w:left w:val="none" w:sz="0" w:space="0" w:color="auto"/>
            <w:bottom w:val="none" w:sz="0" w:space="0" w:color="auto"/>
            <w:right w:val="none" w:sz="0" w:space="0" w:color="auto"/>
          </w:divBdr>
        </w:div>
        <w:div w:id="1404985151">
          <w:marLeft w:val="480"/>
          <w:marRight w:val="0"/>
          <w:marTop w:val="0"/>
          <w:marBottom w:val="0"/>
          <w:divBdr>
            <w:top w:val="none" w:sz="0" w:space="0" w:color="auto"/>
            <w:left w:val="none" w:sz="0" w:space="0" w:color="auto"/>
            <w:bottom w:val="none" w:sz="0" w:space="0" w:color="auto"/>
            <w:right w:val="none" w:sz="0" w:space="0" w:color="auto"/>
          </w:divBdr>
        </w:div>
        <w:div w:id="1094663822">
          <w:marLeft w:val="480"/>
          <w:marRight w:val="0"/>
          <w:marTop w:val="0"/>
          <w:marBottom w:val="0"/>
          <w:divBdr>
            <w:top w:val="none" w:sz="0" w:space="0" w:color="auto"/>
            <w:left w:val="none" w:sz="0" w:space="0" w:color="auto"/>
            <w:bottom w:val="none" w:sz="0" w:space="0" w:color="auto"/>
            <w:right w:val="none" w:sz="0" w:space="0" w:color="auto"/>
          </w:divBdr>
        </w:div>
      </w:divsChild>
    </w:div>
    <w:div w:id="633560048">
      <w:bodyDiv w:val="1"/>
      <w:marLeft w:val="0"/>
      <w:marRight w:val="0"/>
      <w:marTop w:val="0"/>
      <w:marBottom w:val="0"/>
      <w:divBdr>
        <w:top w:val="none" w:sz="0" w:space="0" w:color="auto"/>
        <w:left w:val="none" w:sz="0" w:space="0" w:color="auto"/>
        <w:bottom w:val="none" w:sz="0" w:space="0" w:color="auto"/>
        <w:right w:val="none" w:sz="0" w:space="0" w:color="auto"/>
      </w:divBdr>
    </w:div>
    <w:div w:id="634407749">
      <w:bodyDiv w:val="1"/>
      <w:marLeft w:val="0"/>
      <w:marRight w:val="0"/>
      <w:marTop w:val="0"/>
      <w:marBottom w:val="0"/>
      <w:divBdr>
        <w:top w:val="none" w:sz="0" w:space="0" w:color="auto"/>
        <w:left w:val="none" w:sz="0" w:space="0" w:color="auto"/>
        <w:bottom w:val="none" w:sz="0" w:space="0" w:color="auto"/>
        <w:right w:val="none" w:sz="0" w:space="0" w:color="auto"/>
      </w:divBdr>
    </w:div>
    <w:div w:id="635377457">
      <w:bodyDiv w:val="1"/>
      <w:marLeft w:val="0"/>
      <w:marRight w:val="0"/>
      <w:marTop w:val="0"/>
      <w:marBottom w:val="0"/>
      <w:divBdr>
        <w:top w:val="none" w:sz="0" w:space="0" w:color="auto"/>
        <w:left w:val="none" w:sz="0" w:space="0" w:color="auto"/>
        <w:bottom w:val="none" w:sz="0" w:space="0" w:color="auto"/>
        <w:right w:val="none" w:sz="0" w:space="0" w:color="auto"/>
      </w:divBdr>
    </w:div>
    <w:div w:id="636033369">
      <w:bodyDiv w:val="1"/>
      <w:marLeft w:val="0"/>
      <w:marRight w:val="0"/>
      <w:marTop w:val="0"/>
      <w:marBottom w:val="0"/>
      <w:divBdr>
        <w:top w:val="none" w:sz="0" w:space="0" w:color="auto"/>
        <w:left w:val="none" w:sz="0" w:space="0" w:color="auto"/>
        <w:bottom w:val="none" w:sz="0" w:space="0" w:color="auto"/>
        <w:right w:val="none" w:sz="0" w:space="0" w:color="auto"/>
      </w:divBdr>
    </w:div>
    <w:div w:id="636570531">
      <w:bodyDiv w:val="1"/>
      <w:marLeft w:val="0"/>
      <w:marRight w:val="0"/>
      <w:marTop w:val="0"/>
      <w:marBottom w:val="0"/>
      <w:divBdr>
        <w:top w:val="none" w:sz="0" w:space="0" w:color="auto"/>
        <w:left w:val="none" w:sz="0" w:space="0" w:color="auto"/>
        <w:bottom w:val="none" w:sz="0" w:space="0" w:color="auto"/>
        <w:right w:val="none" w:sz="0" w:space="0" w:color="auto"/>
      </w:divBdr>
    </w:div>
    <w:div w:id="637302866">
      <w:bodyDiv w:val="1"/>
      <w:marLeft w:val="0"/>
      <w:marRight w:val="0"/>
      <w:marTop w:val="0"/>
      <w:marBottom w:val="0"/>
      <w:divBdr>
        <w:top w:val="none" w:sz="0" w:space="0" w:color="auto"/>
        <w:left w:val="none" w:sz="0" w:space="0" w:color="auto"/>
        <w:bottom w:val="none" w:sz="0" w:space="0" w:color="auto"/>
        <w:right w:val="none" w:sz="0" w:space="0" w:color="auto"/>
      </w:divBdr>
    </w:div>
    <w:div w:id="638148642">
      <w:bodyDiv w:val="1"/>
      <w:marLeft w:val="0"/>
      <w:marRight w:val="0"/>
      <w:marTop w:val="0"/>
      <w:marBottom w:val="0"/>
      <w:divBdr>
        <w:top w:val="none" w:sz="0" w:space="0" w:color="auto"/>
        <w:left w:val="none" w:sz="0" w:space="0" w:color="auto"/>
        <w:bottom w:val="none" w:sz="0" w:space="0" w:color="auto"/>
        <w:right w:val="none" w:sz="0" w:space="0" w:color="auto"/>
      </w:divBdr>
    </w:div>
    <w:div w:id="638221802">
      <w:bodyDiv w:val="1"/>
      <w:marLeft w:val="0"/>
      <w:marRight w:val="0"/>
      <w:marTop w:val="0"/>
      <w:marBottom w:val="0"/>
      <w:divBdr>
        <w:top w:val="none" w:sz="0" w:space="0" w:color="auto"/>
        <w:left w:val="none" w:sz="0" w:space="0" w:color="auto"/>
        <w:bottom w:val="none" w:sz="0" w:space="0" w:color="auto"/>
        <w:right w:val="none" w:sz="0" w:space="0" w:color="auto"/>
      </w:divBdr>
    </w:div>
    <w:div w:id="638582800">
      <w:bodyDiv w:val="1"/>
      <w:marLeft w:val="0"/>
      <w:marRight w:val="0"/>
      <w:marTop w:val="0"/>
      <w:marBottom w:val="0"/>
      <w:divBdr>
        <w:top w:val="none" w:sz="0" w:space="0" w:color="auto"/>
        <w:left w:val="none" w:sz="0" w:space="0" w:color="auto"/>
        <w:bottom w:val="none" w:sz="0" w:space="0" w:color="auto"/>
        <w:right w:val="none" w:sz="0" w:space="0" w:color="auto"/>
      </w:divBdr>
    </w:div>
    <w:div w:id="640425316">
      <w:bodyDiv w:val="1"/>
      <w:marLeft w:val="0"/>
      <w:marRight w:val="0"/>
      <w:marTop w:val="0"/>
      <w:marBottom w:val="0"/>
      <w:divBdr>
        <w:top w:val="none" w:sz="0" w:space="0" w:color="auto"/>
        <w:left w:val="none" w:sz="0" w:space="0" w:color="auto"/>
        <w:bottom w:val="none" w:sz="0" w:space="0" w:color="auto"/>
        <w:right w:val="none" w:sz="0" w:space="0" w:color="auto"/>
      </w:divBdr>
    </w:div>
    <w:div w:id="640620799">
      <w:bodyDiv w:val="1"/>
      <w:marLeft w:val="0"/>
      <w:marRight w:val="0"/>
      <w:marTop w:val="0"/>
      <w:marBottom w:val="0"/>
      <w:divBdr>
        <w:top w:val="none" w:sz="0" w:space="0" w:color="auto"/>
        <w:left w:val="none" w:sz="0" w:space="0" w:color="auto"/>
        <w:bottom w:val="none" w:sz="0" w:space="0" w:color="auto"/>
        <w:right w:val="none" w:sz="0" w:space="0" w:color="auto"/>
      </w:divBdr>
    </w:div>
    <w:div w:id="640886291">
      <w:bodyDiv w:val="1"/>
      <w:marLeft w:val="0"/>
      <w:marRight w:val="0"/>
      <w:marTop w:val="0"/>
      <w:marBottom w:val="0"/>
      <w:divBdr>
        <w:top w:val="none" w:sz="0" w:space="0" w:color="auto"/>
        <w:left w:val="none" w:sz="0" w:space="0" w:color="auto"/>
        <w:bottom w:val="none" w:sz="0" w:space="0" w:color="auto"/>
        <w:right w:val="none" w:sz="0" w:space="0" w:color="auto"/>
      </w:divBdr>
    </w:div>
    <w:div w:id="641540762">
      <w:bodyDiv w:val="1"/>
      <w:marLeft w:val="0"/>
      <w:marRight w:val="0"/>
      <w:marTop w:val="0"/>
      <w:marBottom w:val="0"/>
      <w:divBdr>
        <w:top w:val="none" w:sz="0" w:space="0" w:color="auto"/>
        <w:left w:val="none" w:sz="0" w:space="0" w:color="auto"/>
        <w:bottom w:val="none" w:sz="0" w:space="0" w:color="auto"/>
        <w:right w:val="none" w:sz="0" w:space="0" w:color="auto"/>
      </w:divBdr>
    </w:div>
    <w:div w:id="641547081">
      <w:bodyDiv w:val="1"/>
      <w:marLeft w:val="0"/>
      <w:marRight w:val="0"/>
      <w:marTop w:val="0"/>
      <w:marBottom w:val="0"/>
      <w:divBdr>
        <w:top w:val="none" w:sz="0" w:space="0" w:color="auto"/>
        <w:left w:val="none" w:sz="0" w:space="0" w:color="auto"/>
        <w:bottom w:val="none" w:sz="0" w:space="0" w:color="auto"/>
        <w:right w:val="none" w:sz="0" w:space="0" w:color="auto"/>
      </w:divBdr>
    </w:div>
    <w:div w:id="641664836">
      <w:bodyDiv w:val="1"/>
      <w:marLeft w:val="0"/>
      <w:marRight w:val="0"/>
      <w:marTop w:val="0"/>
      <w:marBottom w:val="0"/>
      <w:divBdr>
        <w:top w:val="none" w:sz="0" w:space="0" w:color="auto"/>
        <w:left w:val="none" w:sz="0" w:space="0" w:color="auto"/>
        <w:bottom w:val="none" w:sz="0" w:space="0" w:color="auto"/>
        <w:right w:val="none" w:sz="0" w:space="0" w:color="auto"/>
      </w:divBdr>
    </w:div>
    <w:div w:id="642463294">
      <w:bodyDiv w:val="1"/>
      <w:marLeft w:val="0"/>
      <w:marRight w:val="0"/>
      <w:marTop w:val="0"/>
      <w:marBottom w:val="0"/>
      <w:divBdr>
        <w:top w:val="none" w:sz="0" w:space="0" w:color="auto"/>
        <w:left w:val="none" w:sz="0" w:space="0" w:color="auto"/>
        <w:bottom w:val="none" w:sz="0" w:space="0" w:color="auto"/>
        <w:right w:val="none" w:sz="0" w:space="0" w:color="auto"/>
      </w:divBdr>
    </w:div>
    <w:div w:id="642663133">
      <w:bodyDiv w:val="1"/>
      <w:marLeft w:val="0"/>
      <w:marRight w:val="0"/>
      <w:marTop w:val="0"/>
      <w:marBottom w:val="0"/>
      <w:divBdr>
        <w:top w:val="none" w:sz="0" w:space="0" w:color="auto"/>
        <w:left w:val="none" w:sz="0" w:space="0" w:color="auto"/>
        <w:bottom w:val="none" w:sz="0" w:space="0" w:color="auto"/>
        <w:right w:val="none" w:sz="0" w:space="0" w:color="auto"/>
      </w:divBdr>
    </w:div>
    <w:div w:id="643967380">
      <w:bodyDiv w:val="1"/>
      <w:marLeft w:val="0"/>
      <w:marRight w:val="0"/>
      <w:marTop w:val="0"/>
      <w:marBottom w:val="0"/>
      <w:divBdr>
        <w:top w:val="none" w:sz="0" w:space="0" w:color="auto"/>
        <w:left w:val="none" w:sz="0" w:space="0" w:color="auto"/>
        <w:bottom w:val="none" w:sz="0" w:space="0" w:color="auto"/>
        <w:right w:val="none" w:sz="0" w:space="0" w:color="auto"/>
      </w:divBdr>
    </w:div>
    <w:div w:id="644546740">
      <w:bodyDiv w:val="1"/>
      <w:marLeft w:val="0"/>
      <w:marRight w:val="0"/>
      <w:marTop w:val="0"/>
      <w:marBottom w:val="0"/>
      <w:divBdr>
        <w:top w:val="none" w:sz="0" w:space="0" w:color="auto"/>
        <w:left w:val="none" w:sz="0" w:space="0" w:color="auto"/>
        <w:bottom w:val="none" w:sz="0" w:space="0" w:color="auto"/>
        <w:right w:val="none" w:sz="0" w:space="0" w:color="auto"/>
      </w:divBdr>
    </w:div>
    <w:div w:id="644897124">
      <w:bodyDiv w:val="1"/>
      <w:marLeft w:val="0"/>
      <w:marRight w:val="0"/>
      <w:marTop w:val="0"/>
      <w:marBottom w:val="0"/>
      <w:divBdr>
        <w:top w:val="none" w:sz="0" w:space="0" w:color="auto"/>
        <w:left w:val="none" w:sz="0" w:space="0" w:color="auto"/>
        <w:bottom w:val="none" w:sz="0" w:space="0" w:color="auto"/>
        <w:right w:val="none" w:sz="0" w:space="0" w:color="auto"/>
      </w:divBdr>
    </w:div>
    <w:div w:id="645278038">
      <w:bodyDiv w:val="1"/>
      <w:marLeft w:val="0"/>
      <w:marRight w:val="0"/>
      <w:marTop w:val="0"/>
      <w:marBottom w:val="0"/>
      <w:divBdr>
        <w:top w:val="none" w:sz="0" w:space="0" w:color="auto"/>
        <w:left w:val="none" w:sz="0" w:space="0" w:color="auto"/>
        <w:bottom w:val="none" w:sz="0" w:space="0" w:color="auto"/>
        <w:right w:val="none" w:sz="0" w:space="0" w:color="auto"/>
      </w:divBdr>
    </w:div>
    <w:div w:id="645398912">
      <w:bodyDiv w:val="1"/>
      <w:marLeft w:val="0"/>
      <w:marRight w:val="0"/>
      <w:marTop w:val="0"/>
      <w:marBottom w:val="0"/>
      <w:divBdr>
        <w:top w:val="none" w:sz="0" w:space="0" w:color="auto"/>
        <w:left w:val="none" w:sz="0" w:space="0" w:color="auto"/>
        <w:bottom w:val="none" w:sz="0" w:space="0" w:color="auto"/>
        <w:right w:val="none" w:sz="0" w:space="0" w:color="auto"/>
      </w:divBdr>
    </w:div>
    <w:div w:id="645554703">
      <w:bodyDiv w:val="1"/>
      <w:marLeft w:val="0"/>
      <w:marRight w:val="0"/>
      <w:marTop w:val="0"/>
      <w:marBottom w:val="0"/>
      <w:divBdr>
        <w:top w:val="none" w:sz="0" w:space="0" w:color="auto"/>
        <w:left w:val="none" w:sz="0" w:space="0" w:color="auto"/>
        <w:bottom w:val="none" w:sz="0" w:space="0" w:color="auto"/>
        <w:right w:val="none" w:sz="0" w:space="0" w:color="auto"/>
      </w:divBdr>
    </w:div>
    <w:div w:id="645738682">
      <w:bodyDiv w:val="1"/>
      <w:marLeft w:val="0"/>
      <w:marRight w:val="0"/>
      <w:marTop w:val="0"/>
      <w:marBottom w:val="0"/>
      <w:divBdr>
        <w:top w:val="none" w:sz="0" w:space="0" w:color="auto"/>
        <w:left w:val="none" w:sz="0" w:space="0" w:color="auto"/>
        <w:bottom w:val="none" w:sz="0" w:space="0" w:color="auto"/>
        <w:right w:val="none" w:sz="0" w:space="0" w:color="auto"/>
      </w:divBdr>
    </w:div>
    <w:div w:id="645743973">
      <w:bodyDiv w:val="1"/>
      <w:marLeft w:val="0"/>
      <w:marRight w:val="0"/>
      <w:marTop w:val="0"/>
      <w:marBottom w:val="0"/>
      <w:divBdr>
        <w:top w:val="none" w:sz="0" w:space="0" w:color="auto"/>
        <w:left w:val="none" w:sz="0" w:space="0" w:color="auto"/>
        <w:bottom w:val="none" w:sz="0" w:space="0" w:color="auto"/>
        <w:right w:val="none" w:sz="0" w:space="0" w:color="auto"/>
      </w:divBdr>
    </w:div>
    <w:div w:id="645818325">
      <w:bodyDiv w:val="1"/>
      <w:marLeft w:val="0"/>
      <w:marRight w:val="0"/>
      <w:marTop w:val="0"/>
      <w:marBottom w:val="0"/>
      <w:divBdr>
        <w:top w:val="none" w:sz="0" w:space="0" w:color="auto"/>
        <w:left w:val="none" w:sz="0" w:space="0" w:color="auto"/>
        <w:bottom w:val="none" w:sz="0" w:space="0" w:color="auto"/>
        <w:right w:val="none" w:sz="0" w:space="0" w:color="auto"/>
      </w:divBdr>
    </w:div>
    <w:div w:id="646282743">
      <w:bodyDiv w:val="1"/>
      <w:marLeft w:val="0"/>
      <w:marRight w:val="0"/>
      <w:marTop w:val="0"/>
      <w:marBottom w:val="0"/>
      <w:divBdr>
        <w:top w:val="none" w:sz="0" w:space="0" w:color="auto"/>
        <w:left w:val="none" w:sz="0" w:space="0" w:color="auto"/>
        <w:bottom w:val="none" w:sz="0" w:space="0" w:color="auto"/>
        <w:right w:val="none" w:sz="0" w:space="0" w:color="auto"/>
      </w:divBdr>
    </w:div>
    <w:div w:id="646588449">
      <w:bodyDiv w:val="1"/>
      <w:marLeft w:val="0"/>
      <w:marRight w:val="0"/>
      <w:marTop w:val="0"/>
      <w:marBottom w:val="0"/>
      <w:divBdr>
        <w:top w:val="none" w:sz="0" w:space="0" w:color="auto"/>
        <w:left w:val="none" w:sz="0" w:space="0" w:color="auto"/>
        <w:bottom w:val="none" w:sz="0" w:space="0" w:color="auto"/>
        <w:right w:val="none" w:sz="0" w:space="0" w:color="auto"/>
      </w:divBdr>
    </w:div>
    <w:div w:id="647252077">
      <w:bodyDiv w:val="1"/>
      <w:marLeft w:val="0"/>
      <w:marRight w:val="0"/>
      <w:marTop w:val="0"/>
      <w:marBottom w:val="0"/>
      <w:divBdr>
        <w:top w:val="none" w:sz="0" w:space="0" w:color="auto"/>
        <w:left w:val="none" w:sz="0" w:space="0" w:color="auto"/>
        <w:bottom w:val="none" w:sz="0" w:space="0" w:color="auto"/>
        <w:right w:val="none" w:sz="0" w:space="0" w:color="auto"/>
      </w:divBdr>
    </w:div>
    <w:div w:id="647512988">
      <w:bodyDiv w:val="1"/>
      <w:marLeft w:val="0"/>
      <w:marRight w:val="0"/>
      <w:marTop w:val="0"/>
      <w:marBottom w:val="0"/>
      <w:divBdr>
        <w:top w:val="none" w:sz="0" w:space="0" w:color="auto"/>
        <w:left w:val="none" w:sz="0" w:space="0" w:color="auto"/>
        <w:bottom w:val="none" w:sz="0" w:space="0" w:color="auto"/>
        <w:right w:val="none" w:sz="0" w:space="0" w:color="auto"/>
      </w:divBdr>
    </w:div>
    <w:div w:id="647588099">
      <w:bodyDiv w:val="1"/>
      <w:marLeft w:val="0"/>
      <w:marRight w:val="0"/>
      <w:marTop w:val="0"/>
      <w:marBottom w:val="0"/>
      <w:divBdr>
        <w:top w:val="none" w:sz="0" w:space="0" w:color="auto"/>
        <w:left w:val="none" w:sz="0" w:space="0" w:color="auto"/>
        <w:bottom w:val="none" w:sz="0" w:space="0" w:color="auto"/>
        <w:right w:val="none" w:sz="0" w:space="0" w:color="auto"/>
      </w:divBdr>
    </w:div>
    <w:div w:id="647635622">
      <w:bodyDiv w:val="1"/>
      <w:marLeft w:val="0"/>
      <w:marRight w:val="0"/>
      <w:marTop w:val="0"/>
      <w:marBottom w:val="0"/>
      <w:divBdr>
        <w:top w:val="none" w:sz="0" w:space="0" w:color="auto"/>
        <w:left w:val="none" w:sz="0" w:space="0" w:color="auto"/>
        <w:bottom w:val="none" w:sz="0" w:space="0" w:color="auto"/>
        <w:right w:val="none" w:sz="0" w:space="0" w:color="auto"/>
      </w:divBdr>
    </w:div>
    <w:div w:id="648444122">
      <w:bodyDiv w:val="1"/>
      <w:marLeft w:val="0"/>
      <w:marRight w:val="0"/>
      <w:marTop w:val="0"/>
      <w:marBottom w:val="0"/>
      <w:divBdr>
        <w:top w:val="none" w:sz="0" w:space="0" w:color="auto"/>
        <w:left w:val="none" w:sz="0" w:space="0" w:color="auto"/>
        <w:bottom w:val="none" w:sz="0" w:space="0" w:color="auto"/>
        <w:right w:val="none" w:sz="0" w:space="0" w:color="auto"/>
      </w:divBdr>
    </w:div>
    <w:div w:id="649408535">
      <w:bodyDiv w:val="1"/>
      <w:marLeft w:val="0"/>
      <w:marRight w:val="0"/>
      <w:marTop w:val="0"/>
      <w:marBottom w:val="0"/>
      <w:divBdr>
        <w:top w:val="none" w:sz="0" w:space="0" w:color="auto"/>
        <w:left w:val="none" w:sz="0" w:space="0" w:color="auto"/>
        <w:bottom w:val="none" w:sz="0" w:space="0" w:color="auto"/>
        <w:right w:val="none" w:sz="0" w:space="0" w:color="auto"/>
      </w:divBdr>
    </w:div>
    <w:div w:id="649595004">
      <w:bodyDiv w:val="1"/>
      <w:marLeft w:val="0"/>
      <w:marRight w:val="0"/>
      <w:marTop w:val="0"/>
      <w:marBottom w:val="0"/>
      <w:divBdr>
        <w:top w:val="none" w:sz="0" w:space="0" w:color="auto"/>
        <w:left w:val="none" w:sz="0" w:space="0" w:color="auto"/>
        <w:bottom w:val="none" w:sz="0" w:space="0" w:color="auto"/>
        <w:right w:val="none" w:sz="0" w:space="0" w:color="auto"/>
      </w:divBdr>
    </w:div>
    <w:div w:id="650064767">
      <w:bodyDiv w:val="1"/>
      <w:marLeft w:val="0"/>
      <w:marRight w:val="0"/>
      <w:marTop w:val="0"/>
      <w:marBottom w:val="0"/>
      <w:divBdr>
        <w:top w:val="none" w:sz="0" w:space="0" w:color="auto"/>
        <w:left w:val="none" w:sz="0" w:space="0" w:color="auto"/>
        <w:bottom w:val="none" w:sz="0" w:space="0" w:color="auto"/>
        <w:right w:val="none" w:sz="0" w:space="0" w:color="auto"/>
      </w:divBdr>
    </w:div>
    <w:div w:id="650065280">
      <w:bodyDiv w:val="1"/>
      <w:marLeft w:val="0"/>
      <w:marRight w:val="0"/>
      <w:marTop w:val="0"/>
      <w:marBottom w:val="0"/>
      <w:divBdr>
        <w:top w:val="none" w:sz="0" w:space="0" w:color="auto"/>
        <w:left w:val="none" w:sz="0" w:space="0" w:color="auto"/>
        <w:bottom w:val="none" w:sz="0" w:space="0" w:color="auto"/>
        <w:right w:val="none" w:sz="0" w:space="0" w:color="auto"/>
      </w:divBdr>
    </w:div>
    <w:div w:id="650250960">
      <w:bodyDiv w:val="1"/>
      <w:marLeft w:val="0"/>
      <w:marRight w:val="0"/>
      <w:marTop w:val="0"/>
      <w:marBottom w:val="0"/>
      <w:divBdr>
        <w:top w:val="none" w:sz="0" w:space="0" w:color="auto"/>
        <w:left w:val="none" w:sz="0" w:space="0" w:color="auto"/>
        <w:bottom w:val="none" w:sz="0" w:space="0" w:color="auto"/>
        <w:right w:val="none" w:sz="0" w:space="0" w:color="auto"/>
      </w:divBdr>
    </w:div>
    <w:div w:id="650326802">
      <w:bodyDiv w:val="1"/>
      <w:marLeft w:val="0"/>
      <w:marRight w:val="0"/>
      <w:marTop w:val="0"/>
      <w:marBottom w:val="0"/>
      <w:divBdr>
        <w:top w:val="none" w:sz="0" w:space="0" w:color="auto"/>
        <w:left w:val="none" w:sz="0" w:space="0" w:color="auto"/>
        <w:bottom w:val="none" w:sz="0" w:space="0" w:color="auto"/>
        <w:right w:val="none" w:sz="0" w:space="0" w:color="auto"/>
      </w:divBdr>
    </w:div>
    <w:div w:id="651299059">
      <w:bodyDiv w:val="1"/>
      <w:marLeft w:val="0"/>
      <w:marRight w:val="0"/>
      <w:marTop w:val="0"/>
      <w:marBottom w:val="0"/>
      <w:divBdr>
        <w:top w:val="none" w:sz="0" w:space="0" w:color="auto"/>
        <w:left w:val="none" w:sz="0" w:space="0" w:color="auto"/>
        <w:bottom w:val="none" w:sz="0" w:space="0" w:color="auto"/>
        <w:right w:val="none" w:sz="0" w:space="0" w:color="auto"/>
      </w:divBdr>
    </w:div>
    <w:div w:id="651368274">
      <w:bodyDiv w:val="1"/>
      <w:marLeft w:val="0"/>
      <w:marRight w:val="0"/>
      <w:marTop w:val="0"/>
      <w:marBottom w:val="0"/>
      <w:divBdr>
        <w:top w:val="none" w:sz="0" w:space="0" w:color="auto"/>
        <w:left w:val="none" w:sz="0" w:space="0" w:color="auto"/>
        <w:bottom w:val="none" w:sz="0" w:space="0" w:color="auto"/>
        <w:right w:val="none" w:sz="0" w:space="0" w:color="auto"/>
      </w:divBdr>
    </w:div>
    <w:div w:id="651376021">
      <w:bodyDiv w:val="1"/>
      <w:marLeft w:val="0"/>
      <w:marRight w:val="0"/>
      <w:marTop w:val="0"/>
      <w:marBottom w:val="0"/>
      <w:divBdr>
        <w:top w:val="none" w:sz="0" w:space="0" w:color="auto"/>
        <w:left w:val="none" w:sz="0" w:space="0" w:color="auto"/>
        <w:bottom w:val="none" w:sz="0" w:space="0" w:color="auto"/>
        <w:right w:val="none" w:sz="0" w:space="0" w:color="auto"/>
      </w:divBdr>
    </w:div>
    <w:div w:id="651952969">
      <w:bodyDiv w:val="1"/>
      <w:marLeft w:val="0"/>
      <w:marRight w:val="0"/>
      <w:marTop w:val="0"/>
      <w:marBottom w:val="0"/>
      <w:divBdr>
        <w:top w:val="none" w:sz="0" w:space="0" w:color="auto"/>
        <w:left w:val="none" w:sz="0" w:space="0" w:color="auto"/>
        <w:bottom w:val="none" w:sz="0" w:space="0" w:color="auto"/>
        <w:right w:val="none" w:sz="0" w:space="0" w:color="auto"/>
      </w:divBdr>
    </w:div>
    <w:div w:id="652755714">
      <w:bodyDiv w:val="1"/>
      <w:marLeft w:val="0"/>
      <w:marRight w:val="0"/>
      <w:marTop w:val="0"/>
      <w:marBottom w:val="0"/>
      <w:divBdr>
        <w:top w:val="none" w:sz="0" w:space="0" w:color="auto"/>
        <w:left w:val="none" w:sz="0" w:space="0" w:color="auto"/>
        <w:bottom w:val="none" w:sz="0" w:space="0" w:color="auto"/>
        <w:right w:val="none" w:sz="0" w:space="0" w:color="auto"/>
      </w:divBdr>
    </w:div>
    <w:div w:id="654069087">
      <w:bodyDiv w:val="1"/>
      <w:marLeft w:val="0"/>
      <w:marRight w:val="0"/>
      <w:marTop w:val="0"/>
      <w:marBottom w:val="0"/>
      <w:divBdr>
        <w:top w:val="none" w:sz="0" w:space="0" w:color="auto"/>
        <w:left w:val="none" w:sz="0" w:space="0" w:color="auto"/>
        <w:bottom w:val="none" w:sz="0" w:space="0" w:color="auto"/>
        <w:right w:val="none" w:sz="0" w:space="0" w:color="auto"/>
      </w:divBdr>
    </w:div>
    <w:div w:id="654455155">
      <w:bodyDiv w:val="1"/>
      <w:marLeft w:val="0"/>
      <w:marRight w:val="0"/>
      <w:marTop w:val="0"/>
      <w:marBottom w:val="0"/>
      <w:divBdr>
        <w:top w:val="none" w:sz="0" w:space="0" w:color="auto"/>
        <w:left w:val="none" w:sz="0" w:space="0" w:color="auto"/>
        <w:bottom w:val="none" w:sz="0" w:space="0" w:color="auto"/>
        <w:right w:val="none" w:sz="0" w:space="0" w:color="auto"/>
      </w:divBdr>
    </w:div>
    <w:div w:id="655112193">
      <w:bodyDiv w:val="1"/>
      <w:marLeft w:val="0"/>
      <w:marRight w:val="0"/>
      <w:marTop w:val="0"/>
      <w:marBottom w:val="0"/>
      <w:divBdr>
        <w:top w:val="none" w:sz="0" w:space="0" w:color="auto"/>
        <w:left w:val="none" w:sz="0" w:space="0" w:color="auto"/>
        <w:bottom w:val="none" w:sz="0" w:space="0" w:color="auto"/>
        <w:right w:val="none" w:sz="0" w:space="0" w:color="auto"/>
      </w:divBdr>
    </w:div>
    <w:div w:id="655456569">
      <w:bodyDiv w:val="1"/>
      <w:marLeft w:val="0"/>
      <w:marRight w:val="0"/>
      <w:marTop w:val="0"/>
      <w:marBottom w:val="0"/>
      <w:divBdr>
        <w:top w:val="none" w:sz="0" w:space="0" w:color="auto"/>
        <w:left w:val="none" w:sz="0" w:space="0" w:color="auto"/>
        <w:bottom w:val="none" w:sz="0" w:space="0" w:color="auto"/>
        <w:right w:val="none" w:sz="0" w:space="0" w:color="auto"/>
      </w:divBdr>
    </w:div>
    <w:div w:id="655457703">
      <w:bodyDiv w:val="1"/>
      <w:marLeft w:val="0"/>
      <w:marRight w:val="0"/>
      <w:marTop w:val="0"/>
      <w:marBottom w:val="0"/>
      <w:divBdr>
        <w:top w:val="none" w:sz="0" w:space="0" w:color="auto"/>
        <w:left w:val="none" w:sz="0" w:space="0" w:color="auto"/>
        <w:bottom w:val="none" w:sz="0" w:space="0" w:color="auto"/>
        <w:right w:val="none" w:sz="0" w:space="0" w:color="auto"/>
      </w:divBdr>
    </w:div>
    <w:div w:id="655761956">
      <w:bodyDiv w:val="1"/>
      <w:marLeft w:val="0"/>
      <w:marRight w:val="0"/>
      <w:marTop w:val="0"/>
      <w:marBottom w:val="0"/>
      <w:divBdr>
        <w:top w:val="none" w:sz="0" w:space="0" w:color="auto"/>
        <w:left w:val="none" w:sz="0" w:space="0" w:color="auto"/>
        <w:bottom w:val="none" w:sz="0" w:space="0" w:color="auto"/>
        <w:right w:val="none" w:sz="0" w:space="0" w:color="auto"/>
      </w:divBdr>
    </w:div>
    <w:div w:id="655764123">
      <w:bodyDiv w:val="1"/>
      <w:marLeft w:val="0"/>
      <w:marRight w:val="0"/>
      <w:marTop w:val="0"/>
      <w:marBottom w:val="0"/>
      <w:divBdr>
        <w:top w:val="none" w:sz="0" w:space="0" w:color="auto"/>
        <w:left w:val="none" w:sz="0" w:space="0" w:color="auto"/>
        <w:bottom w:val="none" w:sz="0" w:space="0" w:color="auto"/>
        <w:right w:val="none" w:sz="0" w:space="0" w:color="auto"/>
      </w:divBdr>
    </w:div>
    <w:div w:id="655886225">
      <w:bodyDiv w:val="1"/>
      <w:marLeft w:val="0"/>
      <w:marRight w:val="0"/>
      <w:marTop w:val="0"/>
      <w:marBottom w:val="0"/>
      <w:divBdr>
        <w:top w:val="none" w:sz="0" w:space="0" w:color="auto"/>
        <w:left w:val="none" w:sz="0" w:space="0" w:color="auto"/>
        <w:bottom w:val="none" w:sz="0" w:space="0" w:color="auto"/>
        <w:right w:val="none" w:sz="0" w:space="0" w:color="auto"/>
      </w:divBdr>
    </w:div>
    <w:div w:id="656155848">
      <w:bodyDiv w:val="1"/>
      <w:marLeft w:val="0"/>
      <w:marRight w:val="0"/>
      <w:marTop w:val="0"/>
      <w:marBottom w:val="0"/>
      <w:divBdr>
        <w:top w:val="none" w:sz="0" w:space="0" w:color="auto"/>
        <w:left w:val="none" w:sz="0" w:space="0" w:color="auto"/>
        <w:bottom w:val="none" w:sz="0" w:space="0" w:color="auto"/>
        <w:right w:val="none" w:sz="0" w:space="0" w:color="auto"/>
      </w:divBdr>
    </w:div>
    <w:div w:id="657197345">
      <w:bodyDiv w:val="1"/>
      <w:marLeft w:val="0"/>
      <w:marRight w:val="0"/>
      <w:marTop w:val="0"/>
      <w:marBottom w:val="0"/>
      <w:divBdr>
        <w:top w:val="none" w:sz="0" w:space="0" w:color="auto"/>
        <w:left w:val="none" w:sz="0" w:space="0" w:color="auto"/>
        <w:bottom w:val="none" w:sz="0" w:space="0" w:color="auto"/>
        <w:right w:val="none" w:sz="0" w:space="0" w:color="auto"/>
      </w:divBdr>
    </w:div>
    <w:div w:id="657268636">
      <w:bodyDiv w:val="1"/>
      <w:marLeft w:val="0"/>
      <w:marRight w:val="0"/>
      <w:marTop w:val="0"/>
      <w:marBottom w:val="0"/>
      <w:divBdr>
        <w:top w:val="none" w:sz="0" w:space="0" w:color="auto"/>
        <w:left w:val="none" w:sz="0" w:space="0" w:color="auto"/>
        <w:bottom w:val="none" w:sz="0" w:space="0" w:color="auto"/>
        <w:right w:val="none" w:sz="0" w:space="0" w:color="auto"/>
      </w:divBdr>
    </w:div>
    <w:div w:id="658925689">
      <w:bodyDiv w:val="1"/>
      <w:marLeft w:val="0"/>
      <w:marRight w:val="0"/>
      <w:marTop w:val="0"/>
      <w:marBottom w:val="0"/>
      <w:divBdr>
        <w:top w:val="none" w:sz="0" w:space="0" w:color="auto"/>
        <w:left w:val="none" w:sz="0" w:space="0" w:color="auto"/>
        <w:bottom w:val="none" w:sz="0" w:space="0" w:color="auto"/>
        <w:right w:val="none" w:sz="0" w:space="0" w:color="auto"/>
      </w:divBdr>
    </w:div>
    <w:div w:id="658928198">
      <w:bodyDiv w:val="1"/>
      <w:marLeft w:val="0"/>
      <w:marRight w:val="0"/>
      <w:marTop w:val="0"/>
      <w:marBottom w:val="0"/>
      <w:divBdr>
        <w:top w:val="none" w:sz="0" w:space="0" w:color="auto"/>
        <w:left w:val="none" w:sz="0" w:space="0" w:color="auto"/>
        <w:bottom w:val="none" w:sz="0" w:space="0" w:color="auto"/>
        <w:right w:val="none" w:sz="0" w:space="0" w:color="auto"/>
      </w:divBdr>
    </w:div>
    <w:div w:id="659621065">
      <w:bodyDiv w:val="1"/>
      <w:marLeft w:val="0"/>
      <w:marRight w:val="0"/>
      <w:marTop w:val="0"/>
      <w:marBottom w:val="0"/>
      <w:divBdr>
        <w:top w:val="none" w:sz="0" w:space="0" w:color="auto"/>
        <w:left w:val="none" w:sz="0" w:space="0" w:color="auto"/>
        <w:bottom w:val="none" w:sz="0" w:space="0" w:color="auto"/>
        <w:right w:val="none" w:sz="0" w:space="0" w:color="auto"/>
      </w:divBdr>
    </w:div>
    <w:div w:id="659772387">
      <w:bodyDiv w:val="1"/>
      <w:marLeft w:val="0"/>
      <w:marRight w:val="0"/>
      <w:marTop w:val="0"/>
      <w:marBottom w:val="0"/>
      <w:divBdr>
        <w:top w:val="none" w:sz="0" w:space="0" w:color="auto"/>
        <w:left w:val="none" w:sz="0" w:space="0" w:color="auto"/>
        <w:bottom w:val="none" w:sz="0" w:space="0" w:color="auto"/>
        <w:right w:val="none" w:sz="0" w:space="0" w:color="auto"/>
      </w:divBdr>
    </w:div>
    <w:div w:id="660813874">
      <w:bodyDiv w:val="1"/>
      <w:marLeft w:val="0"/>
      <w:marRight w:val="0"/>
      <w:marTop w:val="0"/>
      <w:marBottom w:val="0"/>
      <w:divBdr>
        <w:top w:val="none" w:sz="0" w:space="0" w:color="auto"/>
        <w:left w:val="none" w:sz="0" w:space="0" w:color="auto"/>
        <w:bottom w:val="none" w:sz="0" w:space="0" w:color="auto"/>
        <w:right w:val="none" w:sz="0" w:space="0" w:color="auto"/>
      </w:divBdr>
    </w:div>
    <w:div w:id="660933402">
      <w:bodyDiv w:val="1"/>
      <w:marLeft w:val="0"/>
      <w:marRight w:val="0"/>
      <w:marTop w:val="0"/>
      <w:marBottom w:val="0"/>
      <w:divBdr>
        <w:top w:val="none" w:sz="0" w:space="0" w:color="auto"/>
        <w:left w:val="none" w:sz="0" w:space="0" w:color="auto"/>
        <w:bottom w:val="none" w:sz="0" w:space="0" w:color="auto"/>
        <w:right w:val="none" w:sz="0" w:space="0" w:color="auto"/>
      </w:divBdr>
      <w:divsChild>
        <w:div w:id="848520594">
          <w:marLeft w:val="480"/>
          <w:marRight w:val="0"/>
          <w:marTop w:val="0"/>
          <w:marBottom w:val="0"/>
          <w:divBdr>
            <w:top w:val="none" w:sz="0" w:space="0" w:color="auto"/>
            <w:left w:val="none" w:sz="0" w:space="0" w:color="auto"/>
            <w:bottom w:val="none" w:sz="0" w:space="0" w:color="auto"/>
            <w:right w:val="none" w:sz="0" w:space="0" w:color="auto"/>
          </w:divBdr>
        </w:div>
        <w:div w:id="1807047721">
          <w:marLeft w:val="480"/>
          <w:marRight w:val="0"/>
          <w:marTop w:val="0"/>
          <w:marBottom w:val="0"/>
          <w:divBdr>
            <w:top w:val="none" w:sz="0" w:space="0" w:color="auto"/>
            <w:left w:val="none" w:sz="0" w:space="0" w:color="auto"/>
            <w:bottom w:val="none" w:sz="0" w:space="0" w:color="auto"/>
            <w:right w:val="none" w:sz="0" w:space="0" w:color="auto"/>
          </w:divBdr>
        </w:div>
        <w:div w:id="25835246">
          <w:marLeft w:val="480"/>
          <w:marRight w:val="0"/>
          <w:marTop w:val="0"/>
          <w:marBottom w:val="0"/>
          <w:divBdr>
            <w:top w:val="none" w:sz="0" w:space="0" w:color="auto"/>
            <w:left w:val="none" w:sz="0" w:space="0" w:color="auto"/>
            <w:bottom w:val="none" w:sz="0" w:space="0" w:color="auto"/>
            <w:right w:val="none" w:sz="0" w:space="0" w:color="auto"/>
          </w:divBdr>
        </w:div>
        <w:div w:id="805658249">
          <w:marLeft w:val="480"/>
          <w:marRight w:val="0"/>
          <w:marTop w:val="0"/>
          <w:marBottom w:val="0"/>
          <w:divBdr>
            <w:top w:val="none" w:sz="0" w:space="0" w:color="auto"/>
            <w:left w:val="none" w:sz="0" w:space="0" w:color="auto"/>
            <w:bottom w:val="none" w:sz="0" w:space="0" w:color="auto"/>
            <w:right w:val="none" w:sz="0" w:space="0" w:color="auto"/>
          </w:divBdr>
        </w:div>
        <w:div w:id="408310875">
          <w:marLeft w:val="480"/>
          <w:marRight w:val="0"/>
          <w:marTop w:val="0"/>
          <w:marBottom w:val="0"/>
          <w:divBdr>
            <w:top w:val="none" w:sz="0" w:space="0" w:color="auto"/>
            <w:left w:val="none" w:sz="0" w:space="0" w:color="auto"/>
            <w:bottom w:val="none" w:sz="0" w:space="0" w:color="auto"/>
            <w:right w:val="none" w:sz="0" w:space="0" w:color="auto"/>
          </w:divBdr>
        </w:div>
        <w:div w:id="909121250">
          <w:marLeft w:val="480"/>
          <w:marRight w:val="0"/>
          <w:marTop w:val="0"/>
          <w:marBottom w:val="0"/>
          <w:divBdr>
            <w:top w:val="none" w:sz="0" w:space="0" w:color="auto"/>
            <w:left w:val="none" w:sz="0" w:space="0" w:color="auto"/>
            <w:bottom w:val="none" w:sz="0" w:space="0" w:color="auto"/>
            <w:right w:val="none" w:sz="0" w:space="0" w:color="auto"/>
          </w:divBdr>
        </w:div>
        <w:div w:id="2093695460">
          <w:marLeft w:val="480"/>
          <w:marRight w:val="0"/>
          <w:marTop w:val="0"/>
          <w:marBottom w:val="0"/>
          <w:divBdr>
            <w:top w:val="none" w:sz="0" w:space="0" w:color="auto"/>
            <w:left w:val="none" w:sz="0" w:space="0" w:color="auto"/>
            <w:bottom w:val="none" w:sz="0" w:space="0" w:color="auto"/>
            <w:right w:val="none" w:sz="0" w:space="0" w:color="auto"/>
          </w:divBdr>
        </w:div>
        <w:div w:id="1495340116">
          <w:marLeft w:val="480"/>
          <w:marRight w:val="0"/>
          <w:marTop w:val="0"/>
          <w:marBottom w:val="0"/>
          <w:divBdr>
            <w:top w:val="none" w:sz="0" w:space="0" w:color="auto"/>
            <w:left w:val="none" w:sz="0" w:space="0" w:color="auto"/>
            <w:bottom w:val="none" w:sz="0" w:space="0" w:color="auto"/>
            <w:right w:val="none" w:sz="0" w:space="0" w:color="auto"/>
          </w:divBdr>
        </w:div>
        <w:div w:id="1253855531">
          <w:marLeft w:val="480"/>
          <w:marRight w:val="0"/>
          <w:marTop w:val="0"/>
          <w:marBottom w:val="0"/>
          <w:divBdr>
            <w:top w:val="none" w:sz="0" w:space="0" w:color="auto"/>
            <w:left w:val="none" w:sz="0" w:space="0" w:color="auto"/>
            <w:bottom w:val="none" w:sz="0" w:space="0" w:color="auto"/>
            <w:right w:val="none" w:sz="0" w:space="0" w:color="auto"/>
          </w:divBdr>
        </w:div>
        <w:div w:id="956989189">
          <w:marLeft w:val="480"/>
          <w:marRight w:val="0"/>
          <w:marTop w:val="0"/>
          <w:marBottom w:val="0"/>
          <w:divBdr>
            <w:top w:val="none" w:sz="0" w:space="0" w:color="auto"/>
            <w:left w:val="none" w:sz="0" w:space="0" w:color="auto"/>
            <w:bottom w:val="none" w:sz="0" w:space="0" w:color="auto"/>
            <w:right w:val="none" w:sz="0" w:space="0" w:color="auto"/>
          </w:divBdr>
        </w:div>
        <w:div w:id="51389537">
          <w:marLeft w:val="480"/>
          <w:marRight w:val="0"/>
          <w:marTop w:val="0"/>
          <w:marBottom w:val="0"/>
          <w:divBdr>
            <w:top w:val="none" w:sz="0" w:space="0" w:color="auto"/>
            <w:left w:val="none" w:sz="0" w:space="0" w:color="auto"/>
            <w:bottom w:val="none" w:sz="0" w:space="0" w:color="auto"/>
            <w:right w:val="none" w:sz="0" w:space="0" w:color="auto"/>
          </w:divBdr>
        </w:div>
        <w:div w:id="614681489">
          <w:marLeft w:val="480"/>
          <w:marRight w:val="0"/>
          <w:marTop w:val="0"/>
          <w:marBottom w:val="0"/>
          <w:divBdr>
            <w:top w:val="none" w:sz="0" w:space="0" w:color="auto"/>
            <w:left w:val="none" w:sz="0" w:space="0" w:color="auto"/>
            <w:bottom w:val="none" w:sz="0" w:space="0" w:color="auto"/>
            <w:right w:val="none" w:sz="0" w:space="0" w:color="auto"/>
          </w:divBdr>
        </w:div>
        <w:div w:id="504633881">
          <w:marLeft w:val="480"/>
          <w:marRight w:val="0"/>
          <w:marTop w:val="0"/>
          <w:marBottom w:val="0"/>
          <w:divBdr>
            <w:top w:val="none" w:sz="0" w:space="0" w:color="auto"/>
            <w:left w:val="none" w:sz="0" w:space="0" w:color="auto"/>
            <w:bottom w:val="none" w:sz="0" w:space="0" w:color="auto"/>
            <w:right w:val="none" w:sz="0" w:space="0" w:color="auto"/>
          </w:divBdr>
        </w:div>
        <w:div w:id="1898280966">
          <w:marLeft w:val="480"/>
          <w:marRight w:val="0"/>
          <w:marTop w:val="0"/>
          <w:marBottom w:val="0"/>
          <w:divBdr>
            <w:top w:val="none" w:sz="0" w:space="0" w:color="auto"/>
            <w:left w:val="none" w:sz="0" w:space="0" w:color="auto"/>
            <w:bottom w:val="none" w:sz="0" w:space="0" w:color="auto"/>
            <w:right w:val="none" w:sz="0" w:space="0" w:color="auto"/>
          </w:divBdr>
        </w:div>
        <w:div w:id="1178427079">
          <w:marLeft w:val="480"/>
          <w:marRight w:val="0"/>
          <w:marTop w:val="0"/>
          <w:marBottom w:val="0"/>
          <w:divBdr>
            <w:top w:val="none" w:sz="0" w:space="0" w:color="auto"/>
            <w:left w:val="none" w:sz="0" w:space="0" w:color="auto"/>
            <w:bottom w:val="none" w:sz="0" w:space="0" w:color="auto"/>
            <w:right w:val="none" w:sz="0" w:space="0" w:color="auto"/>
          </w:divBdr>
        </w:div>
        <w:div w:id="1170103356">
          <w:marLeft w:val="480"/>
          <w:marRight w:val="0"/>
          <w:marTop w:val="0"/>
          <w:marBottom w:val="0"/>
          <w:divBdr>
            <w:top w:val="none" w:sz="0" w:space="0" w:color="auto"/>
            <w:left w:val="none" w:sz="0" w:space="0" w:color="auto"/>
            <w:bottom w:val="none" w:sz="0" w:space="0" w:color="auto"/>
            <w:right w:val="none" w:sz="0" w:space="0" w:color="auto"/>
          </w:divBdr>
        </w:div>
        <w:div w:id="910695318">
          <w:marLeft w:val="480"/>
          <w:marRight w:val="0"/>
          <w:marTop w:val="0"/>
          <w:marBottom w:val="0"/>
          <w:divBdr>
            <w:top w:val="none" w:sz="0" w:space="0" w:color="auto"/>
            <w:left w:val="none" w:sz="0" w:space="0" w:color="auto"/>
            <w:bottom w:val="none" w:sz="0" w:space="0" w:color="auto"/>
            <w:right w:val="none" w:sz="0" w:space="0" w:color="auto"/>
          </w:divBdr>
        </w:div>
        <w:div w:id="321348444">
          <w:marLeft w:val="480"/>
          <w:marRight w:val="0"/>
          <w:marTop w:val="0"/>
          <w:marBottom w:val="0"/>
          <w:divBdr>
            <w:top w:val="none" w:sz="0" w:space="0" w:color="auto"/>
            <w:left w:val="none" w:sz="0" w:space="0" w:color="auto"/>
            <w:bottom w:val="none" w:sz="0" w:space="0" w:color="auto"/>
            <w:right w:val="none" w:sz="0" w:space="0" w:color="auto"/>
          </w:divBdr>
        </w:div>
        <w:div w:id="1509441867">
          <w:marLeft w:val="480"/>
          <w:marRight w:val="0"/>
          <w:marTop w:val="0"/>
          <w:marBottom w:val="0"/>
          <w:divBdr>
            <w:top w:val="none" w:sz="0" w:space="0" w:color="auto"/>
            <w:left w:val="none" w:sz="0" w:space="0" w:color="auto"/>
            <w:bottom w:val="none" w:sz="0" w:space="0" w:color="auto"/>
            <w:right w:val="none" w:sz="0" w:space="0" w:color="auto"/>
          </w:divBdr>
        </w:div>
        <w:div w:id="1877885708">
          <w:marLeft w:val="480"/>
          <w:marRight w:val="0"/>
          <w:marTop w:val="0"/>
          <w:marBottom w:val="0"/>
          <w:divBdr>
            <w:top w:val="none" w:sz="0" w:space="0" w:color="auto"/>
            <w:left w:val="none" w:sz="0" w:space="0" w:color="auto"/>
            <w:bottom w:val="none" w:sz="0" w:space="0" w:color="auto"/>
            <w:right w:val="none" w:sz="0" w:space="0" w:color="auto"/>
          </w:divBdr>
        </w:div>
        <w:div w:id="1676573585">
          <w:marLeft w:val="480"/>
          <w:marRight w:val="0"/>
          <w:marTop w:val="0"/>
          <w:marBottom w:val="0"/>
          <w:divBdr>
            <w:top w:val="none" w:sz="0" w:space="0" w:color="auto"/>
            <w:left w:val="none" w:sz="0" w:space="0" w:color="auto"/>
            <w:bottom w:val="none" w:sz="0" w:space="0" w:color="auto"/>
            <w:right w:val="none" w:sz="0" w:space="0" w:color="auto"/>
          </w:divBdr>
        </w:div>
        <w:div w:id="729499860">
          <w:marLeft w:val="480"/>
          <w:marRight w:val="0"/>
          <w:marTop w:val="0"/>
          <w:marBottom w:val="0"/>
          <w:divBdr>
            <w:top w:val="none" w:sz="0" w:space="0" w:color="auto"/>
            <w:left w:val="none" w:sz="0" w:space="0" w:color="auto"/>
            <w:bottom w:val="none" w:sz="0" w:space="0" w:color="auto"/>
            <w:right w:val="none" w:sz="0" w:space="0" w:color="auto"/>
          </w:divBdr>
        </w:div>
        <w:div w:id="1403216019">
          <w:marLeft w:val="480"/>
          <w:marRight w:val="0"/>
          <w:marTop w:val="0"/>
          <w:marBottom w:val="0"/>
          <w:divBdr>
            <w:top w:val="none" w:sz="0" w:space="0" w:color="auto"/>
            <w:left w:val="none" w:sz="0" w:space="0" w:color="auto"/>
            <w:bottom w:val="none" w:sz="0" w:space="0" w:color="auto"/>
            <w:right w:val="none" w:sz="0" w:space="0" w:color="auto"/>
          </w:divBdr>
        </w:div>
        <w:div w:id="902369091">
          <w:marLeft w:val="480"/>
          <w:marRight w:val="0"/>
          <w:marTop w:val="0"/>
          <w:marBottom w:val="0"/>
          <w:divBdr>
            <w:top w:val="none" w:sz="0" w:space="0" w:color="auto"/>
            <w:left w:val="none" w:sz="0" w:space="0" w:color="auto"/>
            <w:bottom w:val="none" w:sz="0" w:space="0" w:color="auto"/>
            <w:right w:val="none" w:sz="0" w:space="0" w:color="auto"/>
          </w:divBdr>
        </w:div>
        <w:div w:id="1097218707">
          <w:marLeft w:val="480"/>
          <w:marRight w:val="0"/>
          <w:marTop w:val="0"/>
          <w:marBottom w:val="0"/>
          <w:divBdr>
            <w:top w:val="none" w:sz="0" w:space="0" w:color="auto"/>
            <w:left w:val="none" w:sz="0" w:space="0" w:color="auto"/>
            <w:bottom w:val="none" w:sz="0" w:space="0" w:color="auto"/>
            <w:right w:val="none" w:sz="0" w:space="0" w:color="auto"/>
          </w:divBdr>
        </w:div>
        <w:div w:id="241334612">
          <w:marLeft w:val="480"/>
          <w:marRight w:val="0"/>
          <w:marTop w:val="0"/>
          <w:marBottom w:val="0"/>
          <w:divBdr>
            <w:top w:val="none" w:sz="0" w:space="0" w:color="auto"/>
            <w:left w:val="none" w:sz="0" w:space="0" w:color="auto"/>
            <w:bottom w:val="none" w:sz="0" w:space="0" w:color="auto"/>
            <w:right w:val="none" w:sz="0" w:space="0" w:color="auto"/>
          </w:divBdr>
        </w:div>
        <w:div w:id="293218232">
          <w:marLeft w:val="480"/>
          <w:marRight w:val="0"/>
          <w:marTop w:val="0"/>
          <w:marBottom w:val="0"/>
          <w:divBdr>
            <w:top w:val="none" w:sz="0" w:space="0" w:color="auto"/>
            <w:left w:val="none" w:sz="0" w:space="0" w:color="auto"/>
            <w:bottom w:val="none" w:sz="0" w:space="0" w:color="auto"/>
            <w:right w:val="none" w:sz="0" w:space="0" w:color="auto"/>
          </w:divBdr>
        </w:div>
        <w:div w:id="1336180169">
          <w:marLeft w:val="480"/>
          <w:marRight w:val="0"/>
          <w:marTop w:val="0"/>
          <w:marBottom w:val="0"/>
          <w:divBdr>
            <w:top w:val="none" w:sz="0" w:space="0" w:color="auto"/>
            <w:left w:val="none" w:sz="0" w:space="0" w:color="auto"/>
            <w:bottom w:val="none" w:sz="0" w:space="0" w:color="auto"/>
            <w:right w:val="none" w:sz="0" w:space="0" w:color="auto"/>
          </w:divBdr>
        </w:div>
        <w:div w:id="1318263261">
          <w:marLeft w:val="480"/>
          <w:marRight w:val="0"/>
          <w:marTop w:val="0"/>
          <w:marBottom w:val="0"/>
          <w:divBdr>
            <w:top w:val="none" w:sz="0" w:space="0" w:color="auto"/>
            <w:left w:val="none" w:sz="0" w:space="0" w:color="auto"/>
            <w:bottom w:val="none" w:sz="0" w:space="0" w:color="auto"/>
            <w:right w:val="none" w:sz="0" w:space="0" w:color="auto"/>
          </w:divBdr>
        </w:div>
        <w:div w:id="241573166">
          <w:marLeft w:val="480"/>
          <w:marRight w:val="0"/>
          <w:marTop w:val="0"/>
          <w:marBottom w:val="0"/>
          <w:divBdr>
            <w:top w:val="none" w:sz="0" w:space="0" w:color="auto"/>
            <w:left w:val="none" w:sz="0" w:space="0" w:color="auto"/>
            <w:bottom w:val="none" w:sz="0" w:space="0" w:color="auto"/>
            <w:right w:val="none" w:sz="0" w:space="0" w:color="auto"/>
          </w:divBdr>
        </w:div>
        <w:div w:id="821652934">
          <w:marLeft w:val="480"/>
          <w:marRight w:val="0"/>
          <w:marTop w:val="0"/>
          <w:marBottom w:val="0"/>
          <w:divBdr>
            <w:top w:val="none" w:sz="0" w:space="0" w:color="auto"/>
            <w:left w:val="none" w:sz="0" w:space="0" w:color="auto"/>
            <w:bottom w:val="none" w:sz="0" w:space="0" w:color="auto"/>
            <w:right w:val="none" w:sz="0" w:space="0" w:color="auto"/>
          </w:divBdr>
        </w:div>
        <w:div w:id="2082018559">
          <w:marLeft w:val="480"/>
          <w:marRight w:val="0"/>
          <w:marTop w:val="0"/>
          <w:marBottom w:val="0"/>
          <w:divBdr>
            <w:top w:val="none" w:sz="0" w:space="0" w:color="auto"/>
            <w:left w:val="none" w:sz="0" w:space="0" w:color="auto"/>
            <w:bottom w:val="none" w:sz="0" w:space="0" w:color="auto"/>
            <w:right w:val="none" w:sz="0" w:space="0" w:color="auto"/>
          </w:divBdr>
        </w:div>
        <w:div w:id="1191214671">
          <w:marLeft w:val="480"/>
          <w:marRight w:val="0"/>
          <w:marTop w:val="0"/>
          <w:marBottom w:val="0"/>
          <w:divBdr>
            <w:top w:val="none" w:sz="0" w:space="0" w:color="auto"/>
            <w:left w:val="none" w:sz="0" w:space="0" w:color="auto"/>
            <w:bottom w:val="none" w:sz="0" w:space="0" w:color="auto"/>
            <w:right w:val="none" w:sz="0" w:space="0" w:color="auto"/>
          </w:divBdr>
        </w:div>
        <w:div w:id="1574044395">
          <w:marLeft w:val="480"/>
          <w:marRight w:val="0"/>
          <w:marTop w:val="0"/>
          <w:marBottom w:val="0"/>
          <w:divBdr>
            <w:top w:val="none" w:sz="0" w:space="0" w:color="auto"/>
            <w:left w:val="none" w:sz="0" w:space="0" w:color="auto"/>
            <w:bottom w:val="none" w:sz="0" w:space="0" w:color="auto"/>
            <w:right w:val="none" w:sz="0" w:space="0" w:color="auto"/>
          </w:divBdr>
        </w:div>
        <w:div w:id="1574243966">
          <w:marLeft w:val="480"/>
          <w:marRight w:val="0"/>
          <w:marTop w:val="0"/>
          <w:marBottom w:val="0"/>
          <w:divBdr>
            <w:top w:val="none" w:sz="0" w:space="0" w:color="auto"/>
            <w:left w:val="none" w:sz="0" w:space="0" w:color="auto"/>
            <w:bottom w:val="none" w:sz="0" w:space="0" w:color="auto"/>
            <w:right w:val="none" w:sz="0" w:space="0" w:color="auto"/>
          </w:divBdr>
        </w:div>
        <w:div w:id="808061474">
          <w:marLeft w:val="480"/>
          <w:marRight w:val="0"/>
          <w:marTop w:val="0"/>
          <w:marBottom w:val="0"/>
          <w:divBdr>
            <w:top w:val="none" w:sz="0" w:space="0" w:color="auto"/>
            <w:left w:val="none" w:sz="0" w:space="0" w:color="auto"/>
            <w:bottom w:val="none" w:sz="0" w:space="0" w:color="auto"/>
            <w:right w:val="none" w:sz="0" w:space="0" w:color="auto"/>
          </w:divBdr>
        </w:div>
        <w:div w:id="1049112605">
          <w:marLeft w:val="480"/>
          <w:marRight w:val="0"/>
          <w:marTop w:val="0"/>
          <w:marBottom w:val="0"/>
          <w:divBdr>
            <w:top w:val="none" w:sz="0" w:space="0" w:color="auto"/>
            <w:left w:val="none" w:sz="0" w:space="0" w:color="auto"/>
            <w:bottom w:val="none" w:sz="0" w:space="0" w:color="auto"/>
            <w:right w:val="none" w:sz="0" w:space="0" w:color="auto"/>
          </w:divBdr>
        </w:div>
        <w:div w:id="97337049">
          <w:marLeft w:val="480"/>
          <w:marRight w:val="0"/>
          <w:marTop w:val="0"/>
          <w:marBottom w:val="0"/>
          <w:divBdr>
            <w:top w:val="none" w:sz="0" w:space="0" w:color="auto"/>
            <w:left w:val="none" w:sz="0" w:space="0" w:color="auto"/>
            <w:bottom w:val="none" w:sz="0" w:space="0" w:color="auto"/>
            <w:right w:val="none" w:sz="0" w:space="0" w:color="auto"/>
          </w:divBdr>
        </w:div>
        <w:div w:id="1637952081">
          <w:marLeft w:val="480"/>
          <w:marRight w:val="0"/>
          <w:marTop w:val="0"/>
          <w:marBottom w:val="0"/>
          <w:divBdr>
            <w:top w:val="none" w:sz="0" w:space="0" w:color="auto"/>
            <w:left w:val="none" w:sz="0" w:space="0" w:color="auto"/>
            <w:bottom w:val="none" w:sz="0" w:space="0" w:color="auto"/>
            <w:right w:val="none" w:sz="0" w:space="0" w:color="auto"/>
          </w:divBdr>
        </w:div>
        <w:div w:id="1740833009">
          <w:marLeft w:val="480"/>
          <w:marRight w:val="0"/>
          <w:marTop w:val="0"/>
          <w:marBottom w:val="0"/>
          <w:divBdr>
            <w:top w:val="none" w:sz="0" w:space="0" w:color="auto"/>
            <w:left w:val="none" w:sz="0" w:space="0" w:color="auto"/>
            <w:bottom w:val="none" w:sz="0" w:space="0" w:color="auto"/>
            <w:right w:val="none" w:sz="0" w:space="0" w:color="auto"/>
          </w:divBdr>
        </w:div>
        <w:div w:id="439223912">
          <w:marLeft w:val="480"/>
          <w:marRight w:val="0"/>
          <w:marTop w:val="0"/>
          <w:marBottom w:val="0"/>
          <w:divBdr>
            <w:top w:val="none" w:sz="0" w:space="0" w:color="auto"/>
            <w:left w:val="none" w:sz="0" w:space="0" w:color="auto"/>
            <w:bottom w:val="none" w:sz="0" w:space="0" w:color="auto"/>
            <w:right w:val="none" w:sz="0" w:space="0" w:color="auto"/>
          </w:divBdr>
        </w:div>
        <w:div w:id="1109545777">
          <w:marLeft w:val="480"/>
          <w:marRight w:val="0"/>
          <w:marTop w:val="0"/>
          <w:marBottom w:val="0"/>
          <w:divBdr>
            <w:top w:val="none" w:sz="0" w:space="0" w:color="auto"/>
            <w:left w:val="none" w:sz="0" w:space="0" w:color="auto"/>
            <w:bottom w:val="none" w:sz="0" w:space="0" w:color="auto"/>
            <w:right w:val="none" w:sz="0" w:space="0" w:color="auto"/>
          </w:divBdr>
        </w:div>
        <w:div w:id="1614896946">
          <w:marLeft w:val="480"/>
          <w:marRight w:val="0"/>
          <w:marTop w:val="0"/>
          <w:marBottom w:val="0"/>
          <w:divBdr>
            <w:top w:val="none" w:sz="0" w:space="0" w:color="auto"/>
            <w:left w:val="none" w:sz="0" w:space="0" w:color="auto"/>
            <w:bottom w:val="none" w:sz="0" w:space="0" w:color="auto"/>
            <w:right w:val="none" w:sz="0" w:space="0" w:color="auto"/>
          </w:divBdr>
        </w:div>
        <w:div w:id="356079788">
          <w:marLeft w:val="480"/>
          <w:marRight w:val="0"/>
          <w:marTop w:val="0"/>
          <w:marBottom w:val="0"/>
          <w:divBdr>
            <w:top w:val="none" w:sz="0" w:space="0" w:color="auto"/>
            <w:left w:val="none" w:sz="0" w:space="0" w:color="auto"/>
            <w:bottom w:val="none" w:sz="0" w:space="0" w:color="auto"/>
            <w:right w:val="none" w:sz="0" w:space="0" w:color="auto"/>
          </w:divBdr>
        </w:div>
        <w:div w:id="1848203535">
          <w:marLeft w:val="480"/>
          <w:marRight w:val="0"/>
          <w:marTop w:val="0"/>
          <w:marBottom w:val="0"/>
          <w:divBdr>
            <w:top w:val="none" w:sz="0" w:space="0" w:color="auto"/>
            <w:left w:val="none" w:sz="0" w:space="0" w:color="auto"/>
            <w:bottom w:val="none" w:sz="0" w:space="0" w:color="auto"/>
            <w:right w:val="none" w:sz="0" w:space="0" w:color="auto"/>
          </w:divBdr>
        </w:div>
        <w:div w:id="1829320176">
          <w:marLeft w:val="480"/>
          <w:marRight w:val="0"/>
          <w:marTop w:val="0"/>
          <w:marBottom w:val="0"/>
          <w:divBdr>
            <w:top w:val="none" w:sz="0" w:space="0" w:color="auto"/>
            <w:left w:val="none" w:sz="0" w:space="0" w:color="auto"/>
            <w:bottom w:val="none" w:sz="0" w:space="0" w:color="auto"/>
            <w:right w:val="none" w:sz="0" w:space="0" w:color="auto"/>
          </w:divBdr>
        </w:div>
        <w:div w:id="936642511">
          <w:marLeft w:val="480"/>
          <w:marRight w:val="0"/>
          <w:marTop w:val="0"/>
          <w:marBottom w:val="0"/>
          <w:divBdr>
            <w:top w:val="none" w:sz="0" w:space="0" w:color="auto"/>
            <w:left w:val="none" w:sz="0" w:space="0" w:color="auto"/>
            <w:bottom w:val="none" w:sz="0" w:space="0" w:color="auto"/>
            <w:right w:val="none" w:sz="0" w:space="0" w:color="auto"/>
          </w:divBdr>
        </w:div>
        <w:div w:id="506022617">
          <w:marLeft w:val="480"/>
          <w:marRight w:val="0"/>
          <w:marTop w:val="0"/>
          <w:marBottom w:val="0"/>
          <w:divBdr>
            <w:top w:val="none" w:sz="0" w:space="0" w:color="auto"/>
            <w:left w:val="none" w:sz="0" w:space="0" w:color="auto"/>
            <w:bottom w:val="none" w:sz="0" w:space="0" w:color="auto"/>
            <w:right w:val="none" w:sz="0" w:space="0" w:color="auto"/>
          </w:divBdr>
        </w:div>
        <w:div w:id="1615211154">
          <w:marLeft w:val="480"/>
          <w:marRight w:val="0"/>
          <w:marTop w:val="0"/>
          <w:marBottom w:val="0"/>
          <w:divBdr>
            <w:top w:val="none" w:sz="0" w:space="0" w:color="auto"/>
            <w:left w:val="none" w:sz="0" w:space="0" w:color="auto"/>
            <w:bottom w:val="none" w:sz="0" w:space="0" w:color="auto"/>
            <w:right w:val="none" w:sz="0" w:space="0" w:color="auto"/>
          </w:divBdr>
        </w:div>
        <w:div w:id="118766154">
          <w:marLeft w:val="480"/>
          <w:marRight w:val="0"/>
          <w:marTop w:val="0"/>
          <w:marBottom w:val="0"/>
          <w:divBdr>
            <w:top w:val="none" w:sz="0" w:space="0" w:color="auto"/>
            <w:left w:val="none" w:sz="0" w:space="0" w:color="auto"/>
            <w:bottom w:val="none" w:sz="0" w:space="0" w:color="auto"/>
            <w:right w:val="none" w:sz="0" w:space="0" w:color="auto"/>
          </w:divBdr>
        </w:div>
        <w:div w:id="2052416709">
          <w:marLeft w:val="480"/>
          <w:marRight w:val="0"/>
          <w:marTop w:val="0"/>
          <w:marBottom w:val="0"/>
          <w:divBdr>
            <w:top w:val="none" w:sz="0" w:space="0" w:color="auto"/>
            <w:left w:val="none" w:sz="0" w:space="0" w:color="auto"/>
            <w:bottom w:val="none" w:sz="0" w:space="0" w:color="auto"/>
            <w:right w:val="none" w:sz="0" w:space="0" w:color="auto"/>
          </w:divBdr>
        </w:div>
        <w:div w:id="749816782">
          <w:marLeft w:val="480"/>
          <w:marRight w:val="0"/>
          <w:marTop w:val="0"/>
          <w:marBottom w:val="0"/>
          <w:divBdr>
            <w:top w:val="none" w:sz="0" w:space="0" w:color="auto"/>
            <w:left w:val="none" w:sz="0" w:space="0" w:color="auto"/>
            <w:bottom w:val="none" w:sz="0" w:space="0" w:color="auto"/>
            <w:right w:val="none" w:sz="0" w:space="0" w:color="auto"/>
          </w:divBdr>
        </w:div>
        <w:div w:id="651982469">
          <w:marLeft w:val="480"/>
          <w:marRight w:val="0"/>
          <w:marTop w:val="0"/>
          <w:marBottom w:val="0"/>
          <w:divBdr>
            <w:top w:val="none" w:sz="0" w:space="0" w:color="auto"/>
            <w:left w:val="none" w:sz="0" w:space="0" w:color="auto"/>
            <w:bottom w:val="none" w:sz="0" w:space="0" w:color="auto"/>
            <w:right w:val="none" w:sz="0" w:space="0" w:color="auto"/>
          </w:divBdr>
        </w:div>
        <w:div w:id="231160853">
          <w:marLeft w:val="480"/>
          <w:marRight w:val="0"/>
          <w:marTop w:val="0"/>
          <w:marBottom w:val="0"/>
          <w:divBdr>
            <w:top w:val="none" w:sz="0" w:space="0" w:color="auto"/>
            <w:left w:val="none" w:sz="0" w:space="0" w:color="auto"/>
            <w:bottom w:val="none" w:sz="0" w:space="0" w:color="auto"/>
            <w:right w:val="none" w:sz="0" w:space="0" w:color="auto"/>
          </w:divBdr>
        </w:div>
        <w:div w:id="2111318624">
          <w:marLeft w:val="480"/>
          <w:marRight w:val="0"/>
          <w:marTop w:val="0"/>
          <w:marBottom w:val="0"/>
          <w:divBdr>
            <w:top w:val="none" w:sz="0" w:space="0" w:color="auto"/>
            <w:left w:val="none" w:sz="0" w:space="0" w:color="auto"/>
            <w:bottom w:val="none" w:sz="0" w:space="0" w:color="auto"/>
            <w:right w:val="none" w:sz="0" w:space="0" w:color="auto"/>
          </w:divBdr>
        </w:div>
        <w:div w:id="1145010084">
          <w:marLeft w:val="480"/>
          <w:marRight w:val="0"/>
          <w:marTop w:val="0"/>
          <w:marBottom w:val="0"/>
          <w:divBdr>
            <w:top w:val="none" w:sz="0" w:space="0" w:color="auto"/>
            <w:left w:val="none" w:sz="0" w:space="0" w:color="auto"/>
            <w:bottom w:val="none" w:sz="0" w:space="0" w:color="auto"/>
            <w:right w:val="none" w:sz="0" w:space="0" w:color="auto"/>
          </w:divBdr>
        </w:div>
        <w:div w:id="113252081">
          <w:marLeft w:val="480"/>
          <w:marRight w:val="0"/>
          <w:marTop w:val="0"/>
          <w:marBottom w:val="0"/>
          <w:divBdr>
            <w:top w:val="none" w:sz="0" w:space="0" w:color="auto"/>
            <w:left w:val="none" w:sz="0" w:space="0" w:color="auto"/>
            <w:bottom w:val="none" w:sz="0" w:space="0" w:color="auto"/>
            <w:right w:val="none" w:sz="0" w:space="0" w:color="auto"/>
          </w:divBdr>
        </w:div>
        <w:div w:id="1771319149">
          <w:marLeft w:val="480"/>
          <w:marRight w:val="0"/>
          <w:marTop w:val="0"/>
          <w:marBottom w:val="0"/>
          <w:divBdr>
            <w:top w:val="none" w:sz="0" w:space="0" w:color="auto"/>
            <w:left w:val="none" w:sz="0" w:space="0" w:color="auto"/>
            <w:bottom w:val="none" w:sz="0" w:space="0" w:color="auto"/>
            <w:right w:val="none" w:sz="0" w:space="0" w:color="auto"/>
          </w:divBdr>
        </w:div>
        <w:div w:id="246546501">
          <w:marLeft w:val="480"/>
          <w:marRight w:val="0"/>
          <w:marTop w:val="0"/>
          <w:marBottom w:val="0"/>
          <w:divBdr>
            <w:top w:val="none" w:sz="0" w:space="0" w:color="auto"/>
            <w:left w:val="none" w:sz="0" w:space="0" w:color="auto"/>
            <w:bottom w:val="none" w:sz="0" w:space="0" w:color="auto"/>
            <w:right w:val="none" w:sz="0" w:space="0" w:color="auto"/>
          </w:divBdr>
        </w:div>
        <w:div w:id="1022899305">
          <w:marLeft w:val="480"/>
          <w:marRight w:val="0"/>
          <w:marTop w:val="0"/>
          <w:marBottom w:val="0"/>
          <w:divBdr>
            <w:top w:val="none" w:sz="0" w:space="0" w:color="auto"/>
            <w:left w:val="none" w:sz="0" w:space="0" w:color="auto"/>
            <w:bottom w:val="none" w:sz="0" w:space="0" w:color="auto"/>
            <w:right w:val="none" w:sz="0" w:space="0" w:color="auto"/>
          </w:divBdr>
        </w:div>
        <w:div w:id="546458618">
          <w:marLeft w:val="480"/>
          <w:marRight w:val="0"/>
          <w:marTop w:val="0"/>
          <w:marBottom w:val="0"/>
          <w:divBdr>
            <w:top w:val="none" w:sz="0" w:space="0" w:color="auto"/>
            <w:left w:val="none" w:sz="0" w:space="0" w:color="auto"/>
            <w:bottom w:val="none" w:sz="0" w:space="0" w:color="auto"/>
            <w:right w:val="none" w:sz="0" w:space="0" w:color="auto"/>
          </w:divBdr>
        </w:div>
        <w:div w:id="1771462487">
          <w:marLeft w:val="480"/>
          <w:marRight w:val="0"/>
          <w:marTop w:val="0"/>
          <w:marBottom w:val="0"/>
          <w:divBdr>
            <w:top w:val="none" w:sz="0" w:space="0" w:color="auto"/>
            <w:left w:val="none" w:sz="0" w:space="0" w:color="auto"/>
            <w:bottom w:val="none" w:sz="0" w:space="0" w:color="auto"/>
            <w:right w:val="none" w:sz="0" w:space="0" w:color="auto"/>
          </w:divBdr>
        </w:div>
        <w:div w:id="901717371">
          <w:marLeft w:val="480"/>
          <w:marRight w:val="0"/>
          <w:marTop w:val="0"/>
          <w:marBottom w:val="0"/>
          <w:divBdr>
            <w:top w:val="none" w:sz="0" w:space="0" w:color="auto"/>
            <w:left w:val="none" w:sz="0" w:space="0" w:color="auto"/>
            <w:bottom w:val="none" w:sz="0" w:space="0" w:color="auto"/>
            <w:right w:val="none" w:sz="0" w:space="0" w:color="auto"/>
          </w:divBdr>
        </w:div>
        <w:div w:id="958923435">
          <w:marLeft w:val="480"/>
          <w:marRight w:val="0"/>
          <w:marTop w:val="0"/>
          <w:marBottom w:val="0"/>
          <w:divBdr>
            <w:top w:val="none" w:sz="0" w:space="0" w:color="auto"/>
            <w:left w:val="none" w:sz="0" w:space="0" w:color="auto"/>
            <w:bottom w:val="none" w:sz="0" w:space="0" w:color="auto"/>
            <w:right w:val="none" w:sz="0" w:space="0" w:color="auto"/>
          </w:divBdr>
        </w:div>
        <w:div w:id="611741263">
          <w:marLeft w:val="480"/>
          <w:marRight w:val="0"/>
          <w:marTop w:val="0"/>
          <w:marBottom w:val="0"/>
          <w:divBdr>
            <w:top w:val="none" w:sz="0" w:space="0" w:color="auto"/>
            <w:left w:val="none" w:sz="0" w:space="0" w:color="auto"/>
            <w:bottom w:val="none" w:sz="0" w:space="0" w:color="auto"/>
            <w:right w:val="none" w:sz="0" w:space="0" w:color="auto"/>
          </w:divBdr>
        </w:div>
        <w:div w:id="182086825">
          <w:marLeft w:val="480"/>
          <w:marRight w:val="0"/>
          <w:marTop w:val="0"/>
          <w:marBottom w:val="0"/>
          <w:divBdr>
            <w:top w:val="none" w:sz="0" w:space="0" w:color="auto"/>
            <w:left w:val="none" w:sz="0" w:space="0" w:color="auto"/>
            <w:bottom w:val="none" w:sz="0" w:space="0" w:color="auto"/>
            <w:right w:val="none" w:sz="0" w:space="0" w:color="auto"/>
          </w:divBdr>
        </w:div>
        <w:div w:id="783303052">
          <w:marLeft w:val="480"/>
          <w:marRight w:val="0"/>
          <w:marTop w:val="0"/>
          <w:marBottom w:val="0"/>
          <w:divBdr>
            <w:top w:val="none" w:sz="0" w:space="0" w:color="auto"/>
            <w:left w:val="none" w:sz="0" w:space="0" w:color="auto"/>
            <w:bottom w:val="none" w:sz="0" w:space="0" w:color="auto"/>
            <w:right w:val="none" w:sz="0" w:space="0" w:color="auto"/>
          </w:divBdr>
        </w:div>
        <w:div w:id="245237210">
          <w:marLeft w:val="480"/>
          <w:marRight w:val="0"/>
          <w:marTop w:val="0"/>
          <w:marBottom w:val="0"/>
          <w:divBdr>
            <w:top w:val="none" w:sz="0" w:space="0" w:color="auto"/>
            <w:left w:val="none" w:sz="0" w:space="0" w:color="auto"/>
            <w:bottom w:val="none" w:sz="0" w:space="0" w:color="auto"/>
            <w:right w:val="none" w:sz="0" w:space="0" w:color="auto"/>
          </w:divBdr>
        </w:div>
        <w:div w:id="277838963">
          <w:marLeft w:val="480"/>
          <w:marRight w:val="0"/>
          <w:marTop w:val="0"/>
          <w:marBottom w:val="0"/>
          <w:divBdr>
            <w:top w:val="none" w:sz="0" w:space="0" w:color="auto"/>
            <w:left w:val="none" w:sz="0" w:space="0" w:color="auto"/>
            <w:bottom w:val="none" w:sz="0" w:space="0" w:color="auto"/>
            <w:right w:val="none" w:sz="0" w:space="0" w:color="auto"/>
          </w:divBdr>
        </w:div>
        <w:div w:id="399138259">
          <w:marLeft w:val="480"/>
          <w:marRight w:val="0"/>
          <w:marTop w:val="0"/>
          <w:marBottom w:val="0"/>
          <w:divBdr>
            <w:top w:val="none" w:sz="0" w:space="0" w:color="auto"/>
            <w:left w:val="none" w:sz="0" w:space="0" w:color="auto"/>
            <w:bottom w:val="none" w:sz="0" w:space="0" w:color="auto"/>
            <w:right w:val="none" w:sz="0" w:space="0" w:color="auto"/>
          </w:divBdr>
        </w:div>
        <w:div w:id="1289050413">
          <w:marLeft w:val="480"/>
          <w:marRight w:val="0"/>
          <w:marTop w:val="0"/>
          <w:marBottom w:val="0"/>
          <w:divBdr>
            <w:top w:val="none" w:sz="0" w:space="0" w:color="auto"/>
            <w:left w:val="none" w:sz="0" w:space="0" w:color="auto"/>
            <w:bottom w:val="none" w:sz="0" w:space="0" w:color="auto"/>
            <w:right w:val="none" w:sz="0" w:space="0" w:color="auto"/>
          </w:divBdr>
        </w:div>
        <w:div w:id="880940649">
          <w:marLeft w:val="480"/>
          <w:marRight w:val="0"/>
          <w:marTop w:val="0"/>
          <w:marBottom w:val="0"/>
          <w:divBdr>
            <w:top w:val="none" w:sz="0" w:space="0" w:color="auto"/>
            <w:left w:val="none" w:sz="0" w:space="0" w:color="auto"/>
            <w:bottom w:val="none" w:sz="0" w:space="0" w:color="auto"/>
            <w:right w:val="none" w:sz="0" w:space="0" w:color="auto"/>
          </w:divBdr>
        </w:div>
        <w:div w:id="1777141281">
          <w:marLeft w:val="480"/>
          <w:marRight w:val="0"/>
          <w:marTop w:val="0"/>
          <w:marBottom w:val="0"/>
          <w:divBdr>
            <w:top w:val="none" w:sz="0" w:space="0" w:color="auto"/>
            <w:left w:val="none" w:sz="0" w:space="0" w:color="auto"/>
            <w:bottom w:val="none" w:sz="0" w:space="0" w:color="auto"/>
            <w:right w:val="none" w:sz="0" w:space="0" w:color="auto"/>
          </w:divBdr>
        </w:div>
        <w:div w:id="962731901">
          <w:marLeft w:val="480"/>
          <w:marRight w:val="0"/>
          <w:marTop w:val="0"/>
          <w:marBottom w:val="0"/>
          <w:divBdr>
            <w:top w:val="none" w:sz="0" w:space="0" w:color="auto"/>
            <w:left w:val="none" w:sz="0" w:space="0" w:color="auto"/>
            <w:bottom w:val="none" w:sz="0" w:space="0" w:color="auto"/>
            <w:right w:val="none" w:sz="0" w:space="0" w:color="auto"/>
          </w:divBdr>
        </w:div>
        <w:div w:id="580801044">
          <w:marLeft w:val="480"/>
          <w:marRight w:val="0"/>
          <w:marTop w:val="0"/>
          <w:marBottom w:val="0"/>
          <w:divBdr>
            <w:top w:val="none" w:sz="0" w:space="0" w:color="auto"/>
            <w:left w:val="none" w:sz="0" w:space="0" w:color="auto"/>
            <w:bottom w:val="none" w:sz="0" w:space="0" w:color="auto"/>
            <w:right w:val="none" w:sz="0" w:space="0" w:color="auto"/>
          </w:divBdr>
        </w:div>
        <w:div w:id="1980694806">
          <w:marLeft w:val="480"/>
          <w:marRight w:val="0"/>
          <w:marTop w:val="0"/>
          <w:marBottom w:val="0"/>
          <w:divBdr>
            <w:top w:val="none" w:sz="0" w:space="0" w:color="auto"/>
            <w:left w:val="none" w:sz="0" w:space="0" w:color="auto"/>
            <w:bottom w:val="none" w:sz="0" w:space="0" w:color="auto"/>
            <w:right w:val="none" w:sz="0" w:space="0" w:color="auto"/>
          </w:divBdr>
        </w:div>
        <w:div w:id="1822890546">
          <w:marLeft w:val="480"/>
          <w:marRight w:val="0"/>
          <w:marTop w:val="0"/>
          <w:marBottom w:val="0"/>
          <w:divBdr>
            <w:top w:val="none" w:sz="0" w:space="0" w:color="auto"/>
            <w:left w:val="none" w:sz="0" w:space="0" w:color="auto"/>
            <w:bottom w:val="none" w:sz="0" w:space="0" w:color="auto"/>
            <w:right w:val="none" w:sz="0" w:space="0" w:color="auto"/>
          </w:divBdr>
        </w:div>
        <w:div w:id="541946618">
          <w:marLeft w:val="480"/>
          <w:marRight w:val="0"/>
          <w:marTop w:val="0"/>
          <w:marBottom w:val="0"/>
          <w:divBdr>
            <w:top w:val="none" w:sz="0" w:space="0" w:color="auto"/>
            <w:left w:val="none" w:sz="0" w:space="0" w:color="auto"/>
            <w:bottom w:val="none" w:sz="0" w:space="0" w:color="auto"/>
            <w:right w:val="none" w:sz="0" w:space="0" w:color="auto"/>
          </w:divBdr>
        </w:div>
        <w:div w:id="133639624">
          <w:marLeft w:val="480"/>
          <w:marRight w:val="0"/>
          <w:marTop w:val="0"/>
          <w:marBottom w:val="0"/>
          <w:divBdr>
            <w:top w:val="none" w:sz="0" w:space="0" w:color="auto"/>
            <w:left w:val="none" w:sz="0" w:space="0" w:color="auto"/>
            <w:bottom w:val="none" w:sz="0" w:space="0" w:color="auto"/>
            <w:right w:val="none" w:sz="0" w:space="0" w:color="auto"/>
          </w:divBdr>
        </w:div>
        <w:div w:id="766387626">
          <w:marLeft w:val="480"/>
          <w:marRight w:val="0"/>
          <w:marTop w:val="0"/>
          <w:marBottom w:val="0"/>
          <w:divBdr>
            <w:top w:val="none" w:sz="0" w:space="0" w:color="auto"/>
            <w:left w:val="none" w:sz="0" w:space="0" w:color="auto"/>
            <w:bottom w:val="none" w:sz="0" w:space="0" w:color="auto"/>
            <w:right w:val="none" w:sz="0" w:space="0" w:color="auto"/>
          </w:divBdr>
        </w:div>
        <w:div w:id="2094542738">
          <w:marLeft w:val="480"/>
          <w:marRight w:val="0"/>
          <w:marTop w:val="0"/>
          <w:marBottom w:val="0"/>
          <w:divBdr>
            <w:top w:val="none" w:sz="0" w:space="0" w:color="auto"/>
            <w:left w:val="none" w:sz="0" w:space="0" w:color="auto"/>
            <w:bottom w:val="none" w:sz="0" w:space="0" w:color="auto"/>
            <w:right w:val="none" w:sz="0" w:space="0" w:color="auto"/>
          </w:divBdr>
        </w:div>
        <w:div w:id="1213419162">
          <w:marLeft w:val="480"/>
          <w:marRight w:val="0"/>
          <w:marTop w:val="0"/>
          <w:marBottom w:val="0"/>
          <w:divBdr>
            <w:top w:val="none" w:sz="0" w:space="0" w:color="auto"/>
            <w:left w:val="none" w:sz="0" w:space="0" w:color="auto"/>
            <w:bottom w:val="none" w:sz="0" w:space="0" w:color="auto"/>
            <w:right w:val="none" w:sz="0" w:space="0" w:color="auto"/>
          </w:divBdr>
        </w:div>
        <w:div w:id="2080053188">
          <w:marLeft w:val="480"/>
          <w:marRight w:val="0"/>
          <w:marTop w:val="0"/>
          <w:marBottom w:val="0"/>
          <w:divBdr>
            <w:top w:val="none" w:sz="0" w:space="0" w:color="auto"/>
            <w:left w:val="none" w:sz="0" w:space="0" w:color="auto"/>
            <w:bottom w:val="none" w:sz="0" w:space="0" w:color="auto"/>
            <w:right w:val="none" w:sz="0" w:space="0" w:color="auto"/>
          </w:divBdr>
        </w:div>
        <w:div w:id="764806915">
          <w:marLeft w:val="480"/>
          <w:marRight w:val="0"/>
          <w:marTop w:val="0"/>
          <w:marBottom w:val="0"/>
          <w:divBdr>
            <w:top w:val="none" w:sz="0" w:space="0" w:color="auto"/>
            <w:left w:val="none" w:sz="0" w:space="0" w:color="auto"/>
            <w:bottom w:val="none" w:sz="0" w:space="0" w:color="auto"/>
            <w:right w:val="none" w:sz="0" w:space="0" w:color="auto"/>
          </w:divBdr>
        </w:div>
        <w:div w:id="2094736048">
          <w:marLeft w:val="480"/>
          <w:marRight w:val="0"/>
          <w:marTop w:val="0"/>
          <w:marBottom w:val="0"/>
          <w:divBdr>
            <w:top w:val="none" w:sz="0" w:space="0" w:color="auto"/>
            <w:left w:val="none" w:sz="0" w:space="0" w:color="auto"/>
            <w:bottom w:val="none" w:sz="0" w:space="0" w:color="auto"/>
            <w:right w:val="none" w:sz="0" w:space="0" w:color="auto"/>
          </w:divBdr>
        </w:div>
        <w:div w:id="144054957">
          <w:marLeft w:val="480"/>
          <w:marRight w:val="0"/>
          <w:marTop w:val="0"/>
          <w:marBottom w:val="0"/>
          <w:divBdr>
            <w:top w:val="none" w:sz="0" w:space="0" w:color="auto"/>
            <w:left w:val="none" w:sz="0" w:space="0" w:color="auto"/>
            <w:bottom w:val="none" w:sz="0" w:space="0" w:color="auto"/>
            <w:right w:val="none" w:sz="0" w:space="0" w:color="auto"/>
          </w:divBdr>
        </w:div>
        <w:div w:id="600727287">
          <w:marLeft w:val="480"/>
          <w:marRight w:val="0"/>
          <w:marTop w:val="0"/>
          <w:marBottom w:val="0"/>
          <w:divBdr>
            <w:top w:val="none" w:sz="0" w:space="0" w:color="auto"/>
            <w:left w:val="none" w:sz="0" w:space="0" w:color="auto"/>
            <w:bottom w:val="none" w:sz="0" w:space="0" w:color="auto"/>
            <w:right w:val="none" w:sz="0" w:space="0" w:color="auto"/>
          </w:divBdr>
        </w:div>
        <w:div w:id="25106825">
          <w:marLeft w:val="480"/>
          <w:marRight w:val="0"/>
          <w:marTop w:val="0"/>
          <w:marBottom w:val="0"/>
          <w:divBdr>
            <w:top w:val="none" w:sz="0" w:space="0" w:color="auto"/>
            <w:left w:val="none" w:sz="0" w:space="0" w:color="auto"/>
            <w:bottom w:val="none" w:sz="0" w:space="0" w:color="auto"/>
            <w:right w:val="none" w:sz="0" w:space="0" w:color="auto"/>
          </w:divBdr>
        </w:div>
        <w:div w:id="279802248">
          <w:marLeft w:val="480"/>
          <w:marRight w:val="0"/>
          <w:marTop w:val="0"/>
          <w:marBottom w:val="0"/>
          <w:divBdr>
            <w:top w:val="none" w:sz="0" w:space="0" w:color="auto"/>
            <w:left w:val="none" w:sz="0" w:space="0" w:color="auto"/>
            <w:bottom w:val="none" w:sz="0" w:space="0" w:color="auto"/>
            <w:right w:val="none" w:sz="0" w:space="0" w:color="auto"/>
          </w:divBdr>
        </w:div>
        <w:div w:id="205415401">
          <w:marLeft w:val="480"/>
          <w:marRight w:val="0"/>
          <w:marTop w:val="0"/>
          <w:marBottom w:val="0"/>
          <w:divBdr>
            <w:top w:val="none" w:sz="0" w:space="0" w:color="auto"/>
            <w:left w:val="none" w:sz="0" w:space="0" w:color="auto"/>
            <w:bottom w:val="none" w:sz="0" w:space="0" w:color="auto"/>
            <w:right w:val="none" w:sz="0" w:space="0" w:color="auto"/>
          </w:divBdr>
        </w:div>
        <w:div w:id="1997415864">
          <w:marLeft w:val="480"/>
          <w:marRight w:val="0"/>
          <w:marTop w:val="0"/>
          <w:marBottom w:val="0"/>
          <w:divBdr>
            <w:top w:val="none" w:sz="0" w:space="0" w:color="auto"/>
            <w:left w:val="none" w:sz="0" w:space="0" w:color="auto"/>
            <w:bottom w:val="none" w:sz="0" w:space="0" w:color="auto"/>
            <w:right w:val="none" w:sz="0" w:space="0" w:color="auto"/>
          </w:divBdr>
        </w:div>
        <w:div w:id="1480263671">
          <w:marLeft w:val="480"/>
          <w:marRight w:val="0"/>
          <w:marTop w:val="0"/>
          <w:marBottom w:val="0"/>
          <w:divBdr>
            <w:top w:val="none" w:sz="0" w:space="0" w:color="auto"/>
            <w:left w:val="none" w:sz="0" w:space="0" w:color="auto"/>
            <w:bottom w:val="none" w:sz="0" w:space="0" w:color="auto"/>
            <w:right w:val="none" w:sz="0" w:space="0" w:color="auto"/>
          </w:divBdr>
        </w:div>
        <w:div w:id="1033579976">
          <w:marLeft w:val="480"/>
          <w:marRight w:val="0"/>
          <w:marTop w:val="0"/>
          <w:marBottom w:val="0"/>
          <w:divBdr>
            <w:top w:val="none" w:sz="0" w:space="0" w:color="auto"/>
            <w:left w:val="none" w:sz="0" w:space="0" w:color="auto"/>
            <w:bottom w:val="none" w:sz="0" w:space="0" w:color="auto"/>
            <w:right w:val="none" w:sz="0" w:space="0" w:color="auto"/>
          </w:divBdr>
        </w:div>
        <w:div w:id="1003624378">
          <w:marLeft w:val="480"/>
          <w:marRight w:val="0"/>
          <w:marTop w:val="0"/>
          <w:marBottom w:val="0"/>
          <w:divBdr>
            <w:top w:val="none" w:sz="0" w:space="0" w:color="auto"/>
            <w:left w:val="none" w:sz="0" w:space="0" w:color="auto"/>
            <w:bottom w:val="none" w:sz="0" w:space="0" w:color="auto"/>
            <w:right w:val="none" w:sz="0" w:space="0" w:color="auto"/>
          </w:divBdr>
        </w:div>
        <w:div w:id="333413321">
          <w:marLeft w:val="480"/>
          <w:marRight w:val="0"/>
          <w:marTop w:val="0"/>
          <w:marBottom w:val="0"/>
          <w:divBdr>
            <w:top w:val="none" w:sz="0" w:space="0" w:color="auto"/>
            <w:left w:val="none" w:sz="0" w:space="0" w:color="auto"/>
            <w:bottom w:val="none" w:sz="0" w:space="0" w:color="auto"/>
            <w:right w:val="none" w:sz="0" w:space="0" w:color="auto"/>
          </w:divBdr>
        </w:div>
        <w:div w:id="1812751558">
          <w:marLeft w:val="480"/>
          <w:marRight w:val="0"/>
          <w:marTop w:val="0"/>
          <w:marBottom w:val="0"/>
          <w:divBdr>
            <w:top w:val="none" w:sz="0" w:space="0" w:color="auto"/>
            <w:left w:val="none" w:sz="0" w:space="0" w:color="auto"/>
            <w:bottom w:val="none" w:sz="0" w:space="0" w:color="auto"/>
            <w:right w:val="none" w:sz="0" w:space="0" w:color="auto"/>
          </w:divBdr>
        </w:div>
        <w:div w:id="1794639187">
          <w:marLeft w:val="480"/>
          <w:marRight w:val="0"/>
          <w:marTop w:val="0"/>
          <w:marBottom w:val="0"/>
          <w:divBdr>
            <w:top w:val="none" w:sz="0" w:space="0" w:color="auto"/>
            <w:left w:val="none" w:sz="0" w:space="0" w:color="auto"/>
            <w:bottom w:val="none" w:sz="0" w:space="0" w:color="auto"/>
            <w:right w:val="none" w:sz="0" w:space="0" w:color="auto"/>
          </w:divBdr>
        </w:div>
        <w:div w:id="1871382689">
          <w:marLeft w:val="480"/>
          <w:marRight w:val="0"/>
          <w:marTop w:val="0"/>
          <w:marBottom w:val="0"/>
          <w:divBdr>
            <w:top w:val="none" w:sz="0" w:space="0" w:color="auto"/>
            <w:left w:val="none" w:sz="0" w:space="0" w:color="auto"/>
            <w:bottom w:val="none" w:sz="0" w:space="0" w:color="auto"/>
            <w:right w:val="none" w:sz="0" w:space="0" w:color="auto"/>
          </w:divBdr>
        </w:div>
        <w:div w:id="1505170039">
          <w:marLeft w:val="480"/>
          <w:marRight w:val="0"/>
          <w:marTop w:val="0"/>
          <w:marBottom w:val="0"/>
          <w:divBdr>
            <w:top w:val="none" w:sz="0" w:space="0" w:color="auto"/>
            <w:left w:val="none" w:sz="0" w:space="0" w:color="auto"/>
            <w:bottom w:val="none" w:sz="0" w:space="0" w:color="auto"/>
            <w:right w:val="none" w:sz="0" w:space="0" w:color="auto"/>
          </w:divBdr>
        </w:div>
        <w:div w:id="1900743623">
          <w:marLeft w:val="480"/>
          <w:marRight w:val="0"/>
          <w:marTop w:val="0"/>
          <w:marBottom w:val="0"/>
          <w:divBdr>
            <w:top w:val="none" w:sz="0" w:space="0" w:color="auto"/>
            <w:left w:val="none" w:sz="0" w:space="0" w:color="auto"/>
            <w:bottom w:val="none" w:sz="0" w:space="0" w:color="auto"/>
            <w:right w:val="none" w:sz="0" w:space="0" w:color="auto"/>
          </w:divBdr>
        </w:div>
        <w:div w:id="1840004359">
          <w:marLeft w:val="480"/>
          <w:marRight w:val="0"/>
          <w:marTop w:val="0"/>
          <w:marBottom w:val="0"/>
          <w:divBdr>
            <w:top w:val="none" w:sz="0" w:space="0" w:color="auto"/>
            <w:left w:val="none" w:sz="0" w:space="0" w:color="auto"/>
            <w:bottom w:val="none" w:sz="0" w:space="0" w:color="auto"/>
            <w:right w:val="none" w:sz="0" w:space="0" w:color="auto"/>
          </w:divBdr>
        </w:div>
        <w:div w:id="1453523850">
          <w:marLeft w:val="480"/>
          <w:marRight w:val="0"/>
          <w:marTop w:val="0"/>
          <w:marBottom w:val="0"/>
          <w:divBdr>
            <w:top w:val="none" w:sz="0" w:space="0" w:color="auto"/>
            <w:left w:val="none" w:sz="0" w:space="0" w:color="auto"/>
            <w:bottom w:val="none" w:sz="0" w:space="0" w:color="auto"/>
            <w:right w:val="none" w:sz="0" w:space="0" w:color="auto"/>
          </w:divBdr>
        </w:div>
        <w:div w:id="1437363186">
          <w:marLeft w:val="480"/>
          <w:marRight w:val="0"/>
          <w:marTop w:val="0"/>
          <w:marBottom w:val="0"/>
          <w:divBdr>
            <w:top w:val="none" w:sz="0" w:space="0" w:color="auto"/>
            <w:left w:val="none" w:sz="0" w:space="0" w:color="auto"/>
            <w:bottom w:val="none" w:sz="0" w:space="0" w:color="auto"/>
            <w:right w:val="none" w:sz="0" w:space="0" w:color="auto"/>
          </w:divBdr>
        </w:div>
        <w:div w:id="1075519213">
          <w:marLeft w:val="480"/>
          <w:marRight w:val="0"/>
          <w:marTop w:val="0"/>
          <w:marBottom w:val="0"/>
          <w:divBdr>
            <w:top w:val="none" w:sz="0" w:space="0" w:color="auto"/>
            <w:left w:val="none" w:sz="0" w:space="0" w:color="auto"/>
            <w:bottom w:val="none" w:sz="0" w:space="0" w:color="auto"/>
            <w:right w:val="none" w:sz="0" w:space="0" w:color="auto"/>
          </w:divBdr>
        </w:div>
        <w:div w:id="2145540537">
          <w:marLeft w:val="480"/>
          <w:marRight w:val="0"/>
          <w:marTop w:val="0"/>
          <w:marBottom w:val="0"/>
          <w:divBdr>
            <w:top w:val="none" w:sz="0" w:space="0" w:color="auto"/>
            <w:left w:val="none" w:sz="0" w:space="0" w:color="auto"/>
            <w:bottom w:val="none" w:sz="0" w:space="0" w:color="auto"/>
            <w:right w:val="none" w:sz="0" w:space="0" w:color="auto"/>
          </w:divBdr>
        </w:div>
        <w:div w:id="1221549606">
          <w:marLeft w:val="480"/>
          <w:marRight w:val="0"/>
          <w:marTop w:val="0"/>
          <w:marBottom w:val="0"/>
          <w:divBdr>
            <w:top w:val="none" w:sz="0" w:space="0" w:color="auto"/>
            <w:left w:val="none" w:sz="0" w:space="0" w:color="auto"/>
            <w:bottom w:val="none" w:sz="0" w:space="0" w:color="auto"/>
            <w:right w:val="none" w:sz="0" w:space="0" w:color="auto"/>
          </w:divBdr>
        </w:div>
        <w:div w:id="917058121">
          <w:marLeft w:val="480"/>
          <w:marRight w:val="0"/>
          <w:marTop w:val="0"/>
          <w:marBottom w:val="0"/>
          <w:divBdr>
            <w:top w:val="none" w:sz="0" w:space="0" w:color="auto"/>
            <w:left w:val="none" w:sz="0" w:space="0" w:color="auto"/>
            <w:bottom w:val="none" w:sz="0" w:space="0" w:color="auto"/>
            <w:right w:val="none" w:sz="0" w:space="0" w:color="auto"/>
          </w:divBdr>
        </w:div>
        <w:div w:id="366951034">
          <w:marLeft w:val="480"/>
          <w:marRight w:val="0"/>
          <w:marTop w:val="0"/>
          <w:marBottom w:val="0"/>
          <w:divBdr>
            <w:top w:val="none" w:sz="0" w:space="0" w:color="auto"/>
            <w:left w:val="none" w:sz="0" w:space="0" w:color="auto"/>
            <w:bottom w:val="none" w:sz="0" w:space="0" w:color="auto"/>
            <w:right w:val="none" w:sz="0" w:space="0" w:color="auto"/>
          </w:divBdr>
        </w:div>
        <w:div w:id="895820405">
          <w:marLeft w:val="480"/>
          <w:marRight w:val="0"/>
          <w:marTop w:val="0"/>
          <w:marBottom w:val="0"/>
          <w:divBdr>
            <w:top w:val="none" w:sz="0" w:space="0" w:color="auto"/>
            <w:left w:val="none" w:sz="0" w:space="0" w:color="auto"/>
            <w:bottom w:val="none" w:sz="0" w:space="0" w:color="auto"/>
            <w:right w:val="none" w:sz="0" w:space="0" w:color="auto"/>
          </w:divBdr>
        </w:div>
        <w:div w:id="641010373">
          <w:marLeft w:val="480"/>
          <w:marRight w:val="0"/>
          <w:marTop w:val="0"/>
          <w:marBottom w:val="0"/>
          <w:divBdr>
            <w:top w:val="none" w:sz="0" w:space="0" w:color="auto"/>
            <w:left w:val="none" w:sz="0" w:space="0" w:color="auto"/>
            <w:bottom w:val="none" w:sz="0" w:space="0" w:color="auto"/>
            <w:right w:val="none" w:sz="0" w:space="0" w:color="auto"/>
          </w:divBdr>
        </w:div>
        <w:div w:id="41831033">
          <w:marLeft w:val="480"/>
          <w:marRight w:val="0"/>
          <w:marTop w:val="0"/>
          <w:marBottom w:val="0"/>
          <w:divBdr>
            <w:top w:val="none" w:sz="0" w:space="0" w:color="auto"/>
            <w:left w:val="none" w:sz="0" w:space="0" w:color="auto"/>
            <w:bottom w:val="none" w:sz="0" w:space="0" w:color="auto"/>
            <w:right w:val="none" w:sz="0" w:space="0" w:color="auto"/>
          </w:divBdr>
        </w:div>
        <w:div w:id="723480577">
          <w:marLeft w:val="480"/>
          <w:marRight w:val="0"/>
          <w:marTop w:val="0"/>
          <w:marBottom w:val="0"/>
          <w:divBdr>
            <w:top w:val="none" w:sz="0" w:space="0" w:color="auto"/>
            <w:left w:val="none" w:sz="0" w:space="0" w:color="auto"/>
            <w:bottom w:val="none" w:sz="0" w:space="0" w:color="auto"/>
            <w:right w:val="none" w:sz="0" w:space="0" w:color="auto"/>
          </w:divBdr>
        </w:div>
        <w:div w:id="1260795046">
          <w:marLeft w:val="480"/>
          <w:marRight w:val="0"/>
          <w:marTop w:val="0"/>
          <w:marBottom w:val="0"/>
          <w:divBdr>
            <w:top w:val="none" w:sz="0" w:space="0" w:color="auto"/>
            <w:left w:val="none" w:sz="0" w:space="0" w:color="auto"/>
            <w:bottom w:val="none" w:sz="0" w:space="0" w:color="auto"/>
            <w:right w:val="none" w:sz="0" w:space="0" w:color="auto"/>
          </w:divBdr>
        </w:div>
        <w:div w:id="1053235957">
          <w:marLeft w:val="480"/>
          <w:marRight w:val="0"/>
          <w:marTop w:val="0"/>
          <w:marBottom w:val="0"/>
          <w:divBdr>
            <w:top w:val="none" w:sz="0" w:space="0" w:color="auto"/>
            <w:left w:val="none" w:sz="0" w:space="0" w:color="auto"/>
            <w:bottom w:val="none" w:sz="0" w:space="0" w:color="auto"/>
            <w:right w:val="none" w:sz="0" w:space="0" w:color="auto"/>
          </w:divBdr>
        </w:div>
        <w:div w:id="582107176">
          <w:marLeft w:val="480"/>
          <w:marRight w:val="0"/>
          <w:marTop w:val="0"/>
          <w:marBottom w:val="0"/>
          <w:divBdr>
            <w:top w:val="none" w:sz="0" w:space="0" w:color="auto"/>
            <w:left w:val="none" w:sz="0" w:space="0" w:color="auto"/>
            <w:bottom w:val="none" w:sz="0" w:space="0" w:color="auto"/>
            <w:right w:val="none" w:sz="0" w:space="0" w:color="auto"/>
          </w:divBdr>
        </w:div>
        <w:div w:id="255552255">
          <w:marLeft w:val="480"/>
          <w:marRight w:val="0"/>
          <w:marTop w:val="0"/>
          <w:marBottom w:val="0"/>
          <w:divBdr>
            <w:top w:val="none" w:sz="0" w:space="0" w:color="auto"/>
            <w:left w:val="none" w:sz="0" w:space="0" w:color="auto"/>
            <w:bottom w:val="none" w:sz="0" w:space="0" w:color="auto"/>
            <w:right w:val="none" w:sz="0" w:space="0" w:color="auto"/>
          </w:divBdr>
        </w:div>
        <w:div w:id="1351032726">
          <w:marLeft w:val="480"/>
          <w:marRight w:val="0"/>
          <w:marTop w:val="0"/>
          <w:marBottom w:val="0"/>
          <w:divBdr>
            <w:top w:val="none" w:sz="0" w:space="0" w:color="auto"/>
            <w:left w:val="none" w:sz="0" w:space="0" w:color="auto"/>
            <w:bottom w:val="none" w:sz="0" w:space="0" w:color="auto"/>
            <w:right w:val="none" w:sz="0" w:space="0" w:color="auto"/>
          </w:divBdr>
        </w:div>
        <w:div w:id="1330326759">
          <w:marLeft w:val="480"/>
          <w:marRight w:val="0"/>
          <w:marTop w:val="0"/>
          <w:marBottom w:val="0"/>
          <w:divBdr>
            <w:top w:val="none" w:sz="0" w:space="0" w:color="auto"/>
            <w:left w:val="none" w:sz="0" w:space="0" w:color="auto"/>
            <w:bottom w:val="none" w:sz="0" w:space="0" w:color="auto"/>
            <w:right w:val="none" w:sz="0" w:space="0" w:color="auto"/>
          </w:divBdr>
        </w:div>
        <w:div w:id="903182639">
          <w:marLeft w:val="480"/>
          <w:marRight w:val="0"/>
          <w:marTop w:val="0"/>
          <w:marBottom w:val="0"/>
          <w:divBdr>
            <w:top w:val="none" w:sz="0" w:space="0" w:color="auto"/>
            <w:left w:val="none" w:sz="0" w:space="0" w:color="auto"/>
            <w:bottom w:val="none" w:sz="0" w:space="0" w:color="auto"/>
            <w:right w:val="none" w:sz="0" w:space="0" w:color="auto"/>
          </w:divBdr>
        </w:div>
        <w:div w:id="1097673074">
          <w:marLeft w:val="480"/>
          <w:marRight w:val="0"/>
          <w:marTop w:val="0"/>
          <w:marBottom w:val="0"/>
          <w:divBdr>
            <w:top w:val="none" w:sz="0" w:space="0" w:color="auto"/>
            <w:left w:val="none" w:sz="0" w:space="0" w:color="auto"/>
            <w:bottom w:val="none" w:sz="0" w:space="0" w:color="auto"/>
            <w:right w:val="none" w:sz="0" w:space="0" w:color="auto"/>
          </w:divBdr>
        </w:div>
        <w:div w:id="152765232">
          <w:marLeft w:val="480"/>
          <w:marRight w:val="0"/>
          <w:marTop w:val="0"/>
          <w:marBottom w:val="0"/>
          <w:divBdr>
            <w:top w:val="none" w:sz="0" w:space="0" w:color="auto"/>
            <w:left w:val="none" w:sz="0" w:space="0" w:color="auto"/>
            <w:bottom w:val="none" w:sz="0" w:space="0" w:color="auto"/>
            <w:right w:val="none" w:sz="0" w:space="0" w:color="auto"/>
          </w:divBdr>
        </w:div>
        <w:div w:id="1846624389">
          <w:marLeft w:val="480"/>
          <w:marRight w:val="0"/>
          <w:marTop w:val="0"/>
          <w:marBottom w:val="0"/>
          <w:divBdr>
            <w:top w:val="none" w:sz="0" w:space="0" w:color="auto"/>
            <w:left w:val="none" w:sz="0" w:space="0" w:color="auto"/>
            <w:bottom w:val="none" w:sz="0" w:space="0" w:color="auto"/>
            <w:right w:val="none" w:sz="0" w:space="0" w:color="auto"/>
          </w:divBdr>
        </w:div>
        <w:div w:id="1387139689">
          <w:marLeft w:val="480"/>
          <w:marRight w:val="0"/>
          <w:marTop w:val="0"/>
          <w:marBottom w:val="0"/>
          <w:divBdr>
            <w:top w:val="none" w:sz="0" w:space="0" w:color="auto"/>
            <w:left w:val="none" w:sz="0" w:space="0" w:color="auto"/>
            <w:bottom w:val="none" w:sz="0" w:space="0" w:color="auto"/>
            <w:right w:val="none" w:sz="0" w:space="0" w:color="auto"/>
          </w:divBdr>
        </w:div>
        <w:div w:id="652294996">
          <w:marLeft w:val="480"/>
          <w:marRight w:val="0"/>
          <w:marTop w:val="0"/>
          <w:marBottom w:val="0"/>
          <w:divBdr>
            <w:top w:val="none" w:sz="0" w:space="0" w:color="auto"/>
            <w:left w:val="none" w:sz="0" w:space="0" w:color="auto"/>
            <w:bottom w:val="none" w:sz="0" w:space="0" w:color="auto"/>
            <w:right w:val="none" w:sz="0" w:space="0" w:color="auto"/>
          </w:divBdr>
        </w:div>
        <w:div w:id="1592664434">
          <w:marLeft w:val="480"/>
          <w:marRight w:val="0"/>
          <w:marTop w:val="0"/>
          <w:marBottom w:val="0"/>
          <w:divBdr>
            <w:top w:val="none" w:sz="0" w:space="0" w:color="auto"/>
            <w:left w:val="none" w:sz="0" w:space="0" w:color="auto"/>
            <w:bottom w:val="none" w:sz="0" w:space="0" w:color="auto"/>
            <w:right w:val="none" w:sz="0" w:space="0" w:color="auto"/>
          </w:divBdr>
        </w:div>
        <w:div w:id="638463351">
          <w:marLeft w:val="480"/>
          <w:marRight w:val="0"/>
          <w:marTop w:val="0"/>
          <w:marBottom w:val="0"/>
          <w:divBdr>
            <w:top w:val="none" w:sz="0" w:space="0" w:color="auto"/>
            <w:left w:val="none" w:sz="0" w:space="0" w:color="auto"/>
            <w:bottom w:val="none" w:sz="0" w:space="0" w:color="auto"/>
            <w:right w:val="none" w:sz="0" w:space="0" w:color="auto"/>
          </w:divBdr>
        </w:div>
        <w:div w:id="291176460">
          <w:marLeft w:val="480"/>
          <w:marRight w:val="0"/>
          <w:marTop w:val="0"/>
          <w:marBottom w:val="0"/>
          <w:divBdr>
            <w:top w:val="none" w:sz="0" w:space="0" w:color="auto"/>
            <w:left w:val="none" w:sz="0" w:space="0" w:color="auto"/>
            <w:bottom w:val="none" w:sz="0" w:space="0" w:color="auto"/>
            <w:right w:val="none" w:sz="0" w:space="0" w:color="auto"/>
          </w:divBdr>
        </w:div>
        <w:div w:id="243346328">
          <w:marLeft w:val="480"/>
          <w:marRight w:val="0"/>
          <w:marTop w:val="0"/>
          <w:marBottom w:val="0"/>
          <w:divBdr>
            <w:top w:val="none" w:sz="0" w:space="0" w:color="auto"/>
            <w:left w:val="none" w:sz="0" w:space="0" w:color="auto"/>
            <w:bottom w:val="none" w:sz="0" w:space="0" w:color="auto"/>
            <w:right w:val="none" w:sz="0" w:space="0" w:color="auto"/>
          </w:divBdr>
        </w:div>
        <w:div w:id="1432898857">
          <w:marLeft w:val="480"/>
          <w:marRight w:val="0"/>
          <w:marTop w:val="0"/>
          <w:marBottom w:val="0"/>
          <w:divBdr>
            <w:top w:val="none" w:sz="0" w:space="0" w:color="auto"/>
            <w:left w:val="none" w:sz="0" w:space="0" w:color="auto"/>
            <w:bottom w:val="none" w:sz="0" w:space="0" w:color="auto"/>
            <w:right w:val="none" w:sz="0" w:space="0" w:color="auto"/>
          </w:divBdr>
        </w:div>
        <w:div w:id="636766893">
          <w:marLeft w:val="480"/>
          <w:marRight w:val="0"/>
          <w:marTop w:val="0"/>
          <w:marBottom w:val="0"/>
          <w:divBdr>
            <w:top w:val="none" w:sz="0" w:space="0" w:color="auto"/>
            <w:left w:val="none" w:sz="0" w:space="0" w:color="auto"/>
            <w:bottom w:val="none" w:sz="0" w:space="0" w:color="auto"/>
            <w:right w:val="none" w:sz="0" w:space="0" w:color="auto"/>
          </w:divBdr>
        </w:div>
        <w:div w:id="1964119342">
          <w:marLeft w:val="480"/>
          <w:marRight w:val="0"/>
          <w:marTop w:val="0"/>
          <w:marBottom w:val="0"/>
          <w:divBdr>
            <w:top w:val="none" w:sz="0" w:space="0" w:color="auto"/>
            <w:left w:val="none" w:sz="0" w:space="0" w:color="auto"/>
            <w:bottom w:val="none" w:sz="0" w:space="0" w:color="auto"/>
            <w:right w:val="none" w:sz="0" w:space="0" w:color="auto"/>
          </w:divBdr>
        </w:div>
        <w:div w:id="214051523">
          <w:marLeft w:val="480"/>
          <w:marRight w:val="0"/>
          <w:marTop w:val="0"/>
          <w:marBottom w:val="0"/>
          <w:divBdr>
            <w:top w:val="none" w:sz="0" w:space="0" w:color="auto"/>
            <w:left w:val="none" w:sz="0" w:space="0" w:color="auto"/>
            <w:bottom w:val="none" w:sz="0" w:space="0" w:color="auto"/>
            <w:right w:val="none" w:sz="0" w:space="0" w:color="auto"/>
          </w:divBdr>
        </w:div>
        <w:div w:id="1715420887">
          <w:marLeft w:val="480"/>
          <w:marRight w:val="0"/>
          <w:marTop w:val="0"/>
          <w:marBottom w:val="0"/>
          <w:divBdr>
            <w:top w:val="none" w:sz="0" w:space="0" w:color="auto"/>
            <w:left w:val="none" w:sz="0" w:space="0" w:color="auto"/>
            <w:bottom w:val="none" w:sz="0" w:space="0" w:color="auto"/>
            <w:right w:val="none" w:sz="0" w:space="0" w:color="auto"/>
          </w:divBdr>
        </w:div>
        <w:div w:id="976256010">
          <w:marLeft w:val="480"/>
          <w:marRight w:val="0"/>
          <w:marTop w:val="0"/>
          <w:marBottom w:val="0"/>
          <w:divBdr>
            <w:top w:val="none" w:sz="0" w:space="0" w:color="auto"/>
            <w:left w:val="none" w:sz="0" w:space="0" w:color="auto"/>
            <w:bottom w:val="none" w:sz="0" w:space="0" w:color="auto"/>
            <w:right w:val="none" w:sz="0" w:space="0" w:color="auto"/>
          </w:divBdr>
        </w:div>
        <w:div w:id="2024823132">
          <w:marLeft w:val="480"/>
          <w:marRight w:val="0"/>
          <w:marTop w:val="0"/>
          <w:marBottom w:val="0"/>
          <w:divBdr>
            <w:top w:val="none" w:sz="0" w:space="0" w:color="auto"/>
            <w:left w:val="none" w:sz="0" w:space="0" w:color="auto"/>
            <w:bottom w:val="none" w:sz="0" w:space="0" w:color="auto"/>
            <w:right w:val="none" w:sz="0" w:space="0" w:color="auto"/>
          </w:divBdr>
        </w:div>
        <w:div w:id="16859656">
          <w:marLeft w:val="480"/>
          <w:marRight w:val="0"/>
          <w:marTop w:val="0"/>
          <w:marBottom w:val="0"/>
          <w:divBdr>
            <w:top w:val="none" w:sz="0" w:space="0" w:color="auto"/>
            <w:left w:val="none" w:sz="0" w:space="0" w:color="auto"/>
            <w:bottom w:val="none" w:sz="0" w:space="0" w:color="auto"/>
            <w:right w:val="none" w:sz="0" w:space="0" w:color="auto"/>
          </w:divBdr>
        </w:div>
        <w:div w:id="1787307734">
          <w:marLeft w:val="480"/>
          <w:marRight w:val="0"/>
          <w:marTop w:val="0"/>
          <w:marBottom w:val="0"/>
          <w:divBdr>
            <w:top w:val="none" w:sz="0" w:space="0" w:color="auto"/>
            <w:left w:val="none" w:sz="0" w:space="0" w:color="auto"/>
            <w:bottom w:val="none" w:sz="0" w:space="0" w:color="auto"/>
            <w:right w:val="none" w:sz="0" w:space="0" w:color="auto"/>
          </w:divBdr>
        </w:div>
        <w:div w:id="1666980313">
          <w:marLeft w:val="480"/>
          <w:marRight w:val="0"/>
          <w:marTop w:val="0"/>
          <w:marBottom w:val="0"/>
          <w:divBdr>
            <w:top w:val="none" w:sz="0" w:space="0" w:color="auto"/>
            <w:left w:val="none" w:sz="0" w:space="0" w:color="auto"/>
            <w:bottom w:val="none" w:sz="0" w:space="0" w:color="auto"/>
            <w:right w:val="none" w:sz="0" w:space="0" w:color="auto"/>
          </w:divBdr>
        </w:div>
        <w:div w:id="248657244">
          <w:marLeft w:val="480"/>
          <w:marRight w:val="0"/>
          <w:marTop w:val="0"/>
          <w:marBottom w:val="0"/>
          <w:divBdr>
            <w:top w:val="none" w:sz="0" w:space="0" w:color="auto"/>
            <w:left w:val="none" w:sz="0" w:space="0" w:color="auto"/>
            <w:bottom w:val="none" w:sz="0" w:space="0" w:color="auto"/>
            <w:right w:val="none" w:sz="0" w:space="0" w:color="auto"/>
          </w:divBdr>
        </w:div>
      </w:divsChild>
    </w:div>
    <w:div w:id="661011204">
      <w:bodyDiv w:val="1"/>
      <w:marLeft w:val="0"/>
      <w:marRight w:val="0"/>
      <w:marTop w:val="0"/>
      <w:marBottom w:val="0"/>
      <w:divBdr>
        <w:top w:val="none" w:sz="0" w:space="0" w:color="auto"/>
        <w:left w:val="none" w:sz="0" w:space="0" w:color="auto"/>
        <w:bottom w:val="none" w:sz="0" w:space="0" w:color="auto"/>
        <w:right w:val="none" w:sz="0" w:space="0" w:color="auto"/>
      </w:divBdr>
    </w:div>
    <w:div w:id="661391657">
      <w:bodyDiv w:val="1"/>
      <w:marLeft w:val="0"/>
      <w:marRight w:val="0"/>
      <w:marTop w:val="0"/>
      <w:marBottom w:val="0"/>
      <w:divBdr>
        <w:top w:val="none" w:sz="0" w:space="0" w:color="auto"/>
        <w:left w:val="none" w:sz="0" w:space="0" w:color="auto"/>
        <w:bottom w:val="none" w:sz="0" w:space="0" w:color="auto"/>
        <w:right w:val="none" w:sz="0" w:space="0" w:color="auto"/>
      </w:divBdr>
    </w:div>
    <w:div w:id="662051407">
      <w:bodyDiv w:val="1"/>
      <w:marLeft w:val="0"/>
      <w:marRight w:val="0"/>
      <w:marTop w:val="0"/>
      <w:marBottom w:val="0"/>
      <w:divBdr>
        <w:top w:val="none" w:sz="0" w:space="0" w:color="auto"/>
        <w:left w:val="none" w:sz="0" w:space="0" w:color="auto"/>
        <w:bottom w:val="none" w:sz="0" w:space="0" w:color="auto"/>
        <w:right w:val="none" w:sz="0" w:space="0" w:color="auto"/>
      </w:divBdr>
    </w:div>
    <w:div w:id="662123815">
      <w:bodyDiv w:val="1"/>
      <w:marLeft w:val="0"/>
      <w:marRight w:val="0"/>
      <w:marTop w:val="0"/>
      <w:marBottom w:val="0"/>
      <w:divBdr>
        <w:top w:val="none" w:sz="0" w:space="0" w:color="auto"/>
        <w:left w:val="none" w:sz="0" w:space="0" w:color="auto"/>
        <w:bottom w:val="none" w:sz="0" w:space="0" w:color="auto"/>
        <w:right w:val="none" w:sz="0" w:space="0" w:color="auto"/>
      </w:divBdr>
    </w:div>
    <w:div w:id="662514020">
      <w:bodyDiv w:val="1"/>
      <w:marLeft w:val="0"/>
      <w:marRight w:val="0"/>
      <w:marTop w:val="0"/>
      <w:marBottom w:val="0"/>
      <w:divBdr>
        <w:top w:val="none" w:sz="0" w:space="0" w:color="auto"/>
        <w:left w:val="none" w:sz="0" w:space="0" w:color="auto"/>
        <w:bottom w:val="none" w:sz="0" w:space="0" w:color="auto"/>
        <w:right w:val="none" w:sz="0" w:space="0" w:color="auto"/>
      </w:divBdr>
    </w:div>
    <w:div w:id="662665420">
      <w:bodyDiv w:val="1"/>
      <w:marLeft w:val="0"/>
      <w:marRight w:val="0"/>
      <w:marTop w:val="0"/>
      <w:marBottom w:val="0"/>
      <w:divBdr>
        <w:top w:val="none" w:sz="0" w:space="0" w:color="auto"/>
        <w:left w:val="none" w:sz="0" w:space="0" w:color="auto"/>
        <w:bottom w:val="none" w:sz="0" w:space="0" w:color="auto"/>
        <w:right w:val="none" w:sz="0" w:space="0" w:color="auto"/>
      </w:divBdr>
    </w:div>
    <w:div w:id="663776499">
      <w:bodyDiv w:val="1"/>
      <w:marLeft w:val="0"/>
      <w:marRight w:val="0"/>
      <w:marTop w:val="0"/>
      <w:marBottom w:val="0"/>
      <w:divBdr>
        <w:top w:val="none" w:sz="0" w:space="0" w:color="auto"/>
        <w:left w:val="none" w:sz="0" w:space="0" w:color="auto"/>
        <w:bottom w:val="none" w:sz="0" w:space="0" w:color="auto"/>
        <w:right w:val="none" w:sz="0" w:space="0" w:color="auto"/>
      </w:divBdr>
    </w:div>
    <w:div w:id="664628294">
      <w:bodyDiv w:val="1"/>
      <w:marLeft w:val="0"/>
      <w:marRight w:val="0"/>
      <w:marTop w:val="0"/>
      <w:marBottom w:val="0"/>
      <w:divBdr>
        <w:top w:val="none" w:sz="0" w:space="0" w:color="auto"/>
        <w:left w:val="none" w:sz="0" w:space="0" w:color="auto"/>
        <w:bottom w:val="none" w:sz="0" w:space="0" w:color="auto"/>
        <w:right w:val="none" w:sz="0" w:space="0" w:color="auto"/>
      </w:divBdr>
    </w:div>
    <w:div w:id="664862721">
      <w:bodyDiv w:val="1"/>
      <w:marLeft w:val="0"/>
      <w:marRight w:val="0"/>
      <w:marTop w:val="0"/>
      <w:marBottom w:val="0"/>
      <w:divBdr>
        <w:top w:val="none" w:sz="0" w:space="0" w:color="auto"/>
        <w:left w:val="none" w:sz="0" w:space="0" w:color="auto"/>
        <w:bottom w:val="none" w:sz="0" w:space="0" w:color="auto"/>
        <w:right w:val="none" w:sz="0" w:space="0" w:color="auto"/>
      </w:divBdr>
    </w:div>
    <w:div w:id="665548552">
      <w:bodyDiv w:val="1"/>
      <w:marLeft w:val="0"/>
      <w:marRight w:val="0"/>
      <w:marTop w:val="0"/>
      <w:marBottom w:val="0"/>
      <w:divBdr>
        <w:top w:val="none" w:sz="0" w:space="0" w:color="auto"/>
        <w:left w:val="none" w:sz="0" w:space="0" w:color="auto"/>
        <w:bottom w:val="none" w:sz="0" w:space="0" w:color="auto"/>
        <w:right w:val="none" w:sz="0" w:space="0" w:color="auto"/>
      </w:divBdr>
    </w:div>
    <w:div w:id="665595293">
      <w:bodyDiv w:val="1"/>
      <w:marLeft w:val="0"/>
      <w:marRight w:val="0"/>
      <w:marTop w:val="0"/>
      <w:marBottom w:val="0"/>
      <w:divBdr>
        <w:top w:val="none" w:sz="0" w:space="0" w:color="auto"/>
        <w:left w:val="none" w:sz="0" w:space="0" w:color="auto"/>
        <w:bottom w:val="none" w:sz="0" w:space="0" w:color="auto"/>
        <w:right w:val="none" w:sz="0" w:space="0" w:color="auto"/>
      </w:divBdr>
    </w:div>
    <w:div w:id="665984216">
      <w:bodyDiv w:val="1"/>
      <w:marLeft w:val="0"/>
      <w:marRight w:val="0"/>
      <w:marTop w:val="0"/>
      <w:marBottom w:val="0"/>
      <w:divBdr>
        <w:top w:val="none" w:sz="0" w:space="0" w:color="auto"/>
        <w:left w:val="none" w:sz="0" w:space="0" w:color="auto"/>
        <w:bottom w:val="none" w:sz="0" w:space="0" w:color="auto"/>
        <w:right w:val="none" w:sz="0" w:space="0" w:color="auto"/>
      </w:divBdr>
    </w:div>
    <w:div w:id="666127409">
      <w:bodyDiv w:val="1"/>
      <w:marLeft w:val="0"/>
      <w:marRight w:val="0"/>
      <w:marTop w:val="0"/>
      <w:marBottom w:val="0"/>
      <w:divBdr>
        <w:top w:val="none" w:sz="0" w:space="0" w:color="auto"/>
        <w:left w:val="none" w:sz="0" w:space="0" w:color="auto"/>
        <w:bottom w:val="none" w:sz="0" w:space="0" w:color="auto"/>
        <w:right w:val="none" w:sz="0" w:space="0" w:color="auto"/>
      </w:divBdr>
    </w:div>
    <w:div w:id="666251769">
      <w:bodyDiv w:val="1"/>
      <w:marLeft w:val="0"/>
      <w:marRight w:val="0"/>
      <w:marTop w:val="0"/>
      <w:marBottom w:val="0"/>
      <w:divBdr>
        <w:top w:val="none" w:sz="0" w:space="0" w:color="auto"/>
        <w:left w:val="none" w:sz="0" w:space="0" w:color="auto"/>
        <w:bottom w:val="none" w:sz="0" w:space="0" w:color="auto"/>
        <w:right w:val="none" w:sz="0" w:space="0" w:color="auto"/>
      </w:divBdr>
    </w:div>
    <w:div w:id="667708156">
      <w:bodyDiv w:val="1"/>
      <w:marLeft w:val="0"/>
      <w:marRight w:val="0"/>
      <w:marTop w:val="0"/>
      <w:marBottom w:val="0"/>
      <w:divBdr>
        <w:top w:val="none" w:sz="0" w:space="0" w:color="auto"/>
        <w:left w:val="none" w:sz="0" w:space="0" w:color="auto"/>
        <w:bottom w:val="none" w:sz="0" w:space="0" w:color="auto"/>
        <w:right w:val="none" w:sz="0" w:space="0" w:color="auto"/>
      </w:divBdr>
    </w:div>
    <w:div w:id="668096233">
      <w:bodyDiv w:val="1"/>
      <w:marLeft w:val="0"/>
      <w:marRight w:val="0"/>
      <w:marTop w:val="0"/>
      <w:marBottom w:val="0"/>
      <w:divBdr>
        <w:top w:val="none" w:sz="0" w:space="0" w:color="auto"/>
        <w:left w:val="none" w:sz="0" w:space="0" w:color="auto"/>
        <w:bottom w:val="none" w:sz="0" w:space="0" w:color="auto"/>
        <w:right w:val="none" w:sz="0" w:space="0" w:color="auto"/>
      </w:divBdr>
    </w:div>
    <w:div w:id="668868484">
      <w:bodyDiv w:val="1"/>
      <w:marLeft w:val="0"/>
      <w:marRight w:val="0"/>
      <w:marTop w:val="0"/>
      <w:marBottom w:val="0"/>
      <w:divBdr>
        <w:top w:val="none" w:sz="0" w:space="0" w:color="auto"/>
        <w:left w:val="none" w:sz="0" w:space="0" w:color="auto"/>
        <w:bottom w:val="none" w:sz="0" w:space="0" w:color="auto"/>
        <w:right w:val="none" w:sz="0" w:space="0" w:color="auto"/>
      </w:divBdr>
    </w:div>
    <w:div w:id="669452228">
      <w:bodyDiv w:val="1"/>
      <w:marLeft w:val="0"/>
      <w:marRight w:val="0"/>
      <w:marTop w:val="0"/>
      <w:marBottom w:val="0"/>
      <w:divBdr>
        <w:top w:val="none" w:sz="0" w:space="0" w:color="auto"/>
        <w:left w:val="none" w:sz="0" w:space="0" w:color="auto"/>
        <w:bottom w:val="none" w:sz="0" w:space="0" w:color="auto"/>
        <w:right w:val="none" w:sz="0" w:space="0" w:color="auto"/>
      </w:divBdr>
    </w:div>
    <w:div w:id="669524136">
      <w:bodyDiv w:val="1"/>
      <w:marLeft w:val="0"/>
      <w:marRight w:val="0"/>
      <w:marTop w:val="0"/>
      <w:marBottom w:val="0"/>
      <w:divBdr>
        <w:top w:val="none" w:sz="0" w:space="0" w:color="auto"/>
        <w:left w:val="none" w:sz="0" w:space="0" w:color="auto"/>
        <w:bottom w:val="none" w:sz="0" w:space="0" w:color="auto"/>
        <w:right w:val="none" w:sz="0" w:space="0" w:color="auto"/>
      </w:divBdr>
    </w:div>
    <w:div w:id="669673329">
      <w:bodyDiv w:val="1"/>
      <w:marLeft w:val="0"/>
      <w:marRight w:val="0"/>
      <w:marTop w:val="0"/>
      <w:marBottom w:val="0"/>
      <w:divBdr>
        <w:top w:val="none" w:sz="0" w:space="0" w:color="auto"/>
        <w:left w:val="none" w:sz="0" w:space="0" w:color="auto"/>
        <w:bottom w:val="none" w:sz="0" w:space="0" w:color="auto"/>
        <w:right w:val="none" w:sz="0" w:space="0" w:color="auto"/>
      </w:divBdr>
    </w:div>
    <w:div w:id="670261167">
      <w:bodyDiv w:val="1"/>
      <w:marLeft w:val="0"/>
      <w:marRight w:val="0"/>
      <w:marTop w:val="0"/>
      <w:marBottom w:val="0"/>
      <w:divBdr>
        <w:top w:val="none" w:sz="0" w:space="0" w:color="auto"/>
        <w:left w:val="none" w:sz="0" w:space="0" w:color="auto"/>
        <w:bottom w:val="none" w:sz="0" w:space="0" w:color="auto"/>
        <w:right w:val="none" w:sz="0" w:space="0" w:color="auto"/>
      </w:divBdr>
    </w:div>
    <w:div w:id="670715707">
      <w:bodyDiv w:val="1"/>
      <w:marLeft w:val="0"/>
      <w:marRight w:val="0"/>
      <w:marTop w:val="0"/>
      <w:marBottom w:val="0"/>
      <w:divBdr>
        <w:top w:val="none" w:sz="0" w:space="0" w:color="auto"/>
        <w:left w:val="none" w:sz="0" w:space="0" w:color="auto"/>
        <w:bottom w:val="none" w:sz="0" w:space="0" w:color="auto"/>
        <w:right w:val="none" w:sz="0" w:space="0" w:color="auto"/>
      </w:divBdr>
    </w:div>
    <w:div w:id="670762773">
      <w:bodyDiv w:val="1"/>
      <w:marLeft w:val="0"/>
      <w:marRight w:val="0"/>
      <w:marTop w:val="0"/>
      <w:marBottom w:val="0"/>
      <w:divBdr>
        <w:top w:val="none" w:sz="0" w:space="0" w:color="auto"/>
        <w:left w:val="none" w:sz="0" w:space="0" w:color="auto"/>
        <w:bottom w:val="none" w:sz="0" w:space="0" w:color="auto"/>
        <w:right w:val="none" w:sz="0" w:space="0" w:color="auto"/>
      </w:divBdr>
    </w:div>
    <w:div w:id="671177226">
      <w:bodyDiv w:val="1"/>
      <w:marLeft w:val="0"/>
      <w:marRight w:val="0"/>
      <w:marTop w:val="0"/>
      <w:marBottom w:val="0"/>
      <w:divBdr>
        <w:top w:val="none" w:sz="0" w:space="0" w:color="auto"/>
        <w:left w:val="none" w:sz="0" w:space="0" w:color="auto"/>
        <w:bottom w:val="none" w:sz="0" w:space="0" w:color="auto"/>
        <w:right w:val="none" w:sz="0" w:space="0" w:color="auto"/>
      </w:divBdr>
    </w:div>
    <w:div w:id="671831758">
      <w:bodyDiv w:val="1"/>
      <w:marLeft w:val="0"/>
      <w:marRight w:val="0"/>
      <w:marTop w:val="0"/>
      <w:marBottom w:val="0"/>
      <w:divBdr>
        <w:top w:val="none" w:sz="0" w:space="0" w:color="auto"/>
        <w:left w:val="none" w:sz="0" w:space="0" w:color="auto"/>
        <w:bottom w:val="none" w:sz="0" w:space="0" w:color="auto"/>
        <w:right w:val="none" w:sz="0" w:space="0" w:color="auto"/>
      </w:divBdr>
    </w:div>
    <w:div w:id="672336477">
      <w:bodyDiv w:val="1"/>
      <w:marLeft w:val="0"/>
      <w:marRight w:val="0"/>
      <w:marTop w:val="0"/>
      <w:marBottom w:val="0"/>
      <w:divBdr>
        <w:top w:val="none" w:sz="0" w:space="0" w:color="auto"/>
        <w:left w:val="none" w:sz="0" w:space="0" w:color="auto"/>
        <w:bottom w:val="none" w:sz="0" w:space="0" w:color="auto"/>
        <w:right w:val="none" w:sz="0" w:space="0" w:color="auto"/>
      </w:divBdr>
    </w:div>
    <w:div w:id="672530533">
      <w:bodyDiv w:val="1"/>
      <w:marLeft w:val="0"/>
      <w:marRight w:val="0"/>
      <w:marTop w:val="0"/>
      <w:marBottom w:val="0"/>
      <w:divBdr>
        <w:top w:val="none" w:sz="0" w:space="0" w:color="auto"/>
        <w:left w:val="none" w:sz="0" w:space="0" w:color="auto"/>
        <w:bottom w:val="none" w:sz="0" w:space="0" w:color="auto"/>
        <w:right w:val="none" w:sz="0" w:space="0" w:color="auto"/>
      </w:divBdr>
    </w:div>
    <w:div w:id="672994740">
      <w:bodyDiv w:val="1"/>
      <w:marLeft w:val="0"/>
      <w:marRight w:val="0"/>
      <w:marTop w:val="0"/>
      <w:marBottom w:val="0"/>
      <w:divBdr>
        <w:top w:val="none" w:sz="0" w:space="0" w:color="auto"/>
        <w:left w:val="none" w:sz="0" w:space="0" w:color="auto"/>
        <w:bottom w:val="none" w:sz="0" w:space="0" w:color="auto"/>
        <w:right w:val="none" w:sz="0" w:space="0" w:color="auto"/>
      </w:divBdr>
    </w:div>
    <w:div w:id="673269143">
      <w:bodyDiv w:val="1"/>
      <w:marLeft w:val="0"/>
      <w:marRight w:val="0"/>
      <w:marTop w:val="0"/>
      <w:marBottom w:val="0"/>
      <w:divBdr>
        <w:top w:val="none" w:sz="0" w:space="0" w:color="auto"/>
        <w:left w:val="none" w:sz="0" w:space="0" w:color="auto"/>
        <w:bottom w:val="none" w:sz="0" w:space="0" w:color="auto"/>
        <w:right w:val="none" w:sz="0" w:space="0" w:color="auto"/>
      </w:divBdr>
    </w:div>
    <w:div w:id="673993642">
      <w:bodyDiv w:val="1"/>
      <w:marLeft w:val="0"/>
      <w:marRight w:val="0"/>
      <w:marTop w:val="0"/>
      <w:marBottom w:val="0"/>
      <w:divBdr>
        <w:top w:val="none" w:sz="0" w:space="0" w:color="auto"/>
        <w:left w:val="none" w:sz="0" w:space="0" w:color="auto"/>
        <w:bottom w:val="none" w:sz="0" w:space="0" w:color="auto"/>
        <w:right w:val="none" w:sz="0" w:space="0" w:color="auto"/>
      </w:divBdr>
    </w:div>
    <w:div w:id="674038864">
      <w:bodyDiv w:val="1"/>
      <w:marLeft w:val="0"/>
      <w:marRight w:val="0"/>
      <w:marTop w:val="0"/>
      <w:marBottom w:val="0"/>
      <w:divBdr>
        <w:top w:val="none" w:sz="0" w:space="0" w:color="auto"/>
        <w:left w:val="none" w:sz="0" w:space="0" w:color="auto"/>
        <w:bottom w:val="none" w:sz="0" w:space="0" w:color="auto"/>
        <w:right w:val="none" w:sz="0" w:space="0" w:color="auto"/>
      </w:divBdr>
    </w:div>
    <w:div w:id="674964571">
      <w:bodyDiv w:val="1"/>
      <w:marLeft w:val="0"/>
      <w:marRight w:val="0"/>
      <w:marTop w:val="0"/>
      <w:marBottom w:val="0"/>
      <w:divBdr>
        <w:top w:val="none" w:sz="0" w:space="0" w:color="auto"/>
        <w:left w:val="none" w:sz="0" w:space="0" w:color="auto"/>
        <w:bottom w:val="none" w:sz="0" w:space="0" w:color="auto"/>
        <w:right w:val="none" w:sz="0" w:space="0" w:color="auto"/>
      </w:divBdr>
    </w:div>
    <w:div w:id="675420546">
      <w:bodyDiv w:val="1"/>
      <w:marLeft w:val="0"/>
      <w:marRight w:val="0"/>
      <w:marTop w:val="0"/>
      <w:marBottom w:val="0"/>
      <w:divBdr>
        <w:top w:val="none" w:sz="0" w:space="0" w:color="auto"/>
        <w:left w:val="none" w:sz="0" w:space="0" w:color="auto"/>
        <w:bottom w:val="none" w:sz="0" w:space="0" w:color="auto"/>
        <w:right w:val="none" w:sz="0" w:space="0" w:color="auto"/>
      </w:divBdr>
    </w:div>
    <w:div w:id="675421397">
      <w:bodyDiv w:val="1"/>
      <w:marLeft w:val="0"/>
      <w:marRight w:val="0"/>
      <w:marTop w:val="0"/>
      <w:marBottom w:val="0"/>
      <w:divBdr>
        <w:top w:val="none" w:sz="0" w:space="0" w:color="auto"/>
        <w:left w:val="none" w:sz="0" w:space="0" w:color="auto"/>
        <w:bottom w:val="none" w:sz="0" w:space="0" w:color="auto"/>
        <w:right w:val="none" w:sz="0" w:space="0" w:color="auto"/>
      </w:divBdr>
    </w:div>
    <w:div w:id="675689886">
      <w:bodyDiv w:val="1"/>
      <w:marLeft w:val="0"/>
      <w:marRight w:val="0"/>
      <w:marTop w:val="0"/>
      <w:marBottom w:val="0"/>
      <w:divBdr>
        <w:top w:val="none" w:sz="0" w:space="0" w:color="auto"/>
        <w:left w:val="none" w:sz="0" w:space="0" w:color="auto"/>
        <w:bottom w:val="none" w:sz="0" w:space="0" w:color="auto"/>
        <w:right w:val="none" w:sz="0" w:space="0" w:color="auto"/>
      </w:divBdr>
    </w:div>
    <w:div w:id="675771758">
      <w:bodyDiv w:val="1"/>
      <w:marLeft w:val="0"/>
      <w:marRight w:val="0"/>
      <w:marTop w:val="0"/>
      <w:marBottom w:val="0"/>
      <w:divBdr>
        <w:top w:val="none" w:sz="0" w:space="0" w:color="auto"/>
        <w:left w:val="none" w:sz="0" w:space="0" w:color="auto"/>
        <w:bottom w:val="none" w:sz="0" w:space="0" w:color="auto"/>
        <w:right w:val="none" w:sz="0" w:space="0" w:color="auto"/>
      </w:divBdr>
    </w:div>
    <w:div w:id="676006439">
      <w:bodyDiv w:val="1"/>
      <w:marLeft w:val="0"/>
      <w:marRight w:val="0"/>
      <w:marTop w:val="0"/>
      <w:marBottom w:val="0"/>
      <w:divBdr>
        <w:top w:val="none" w:sz="0" w:space="0" w:color="auto"/>
        <w:left w:val="none" w:sz="0" w:space="0" w:color="auto"/>
        <w:bottom w:val="none" w:sz="0" w:space="0" w:color="auto"/>
        <w:right w:val="none" w:sz="0" w:space="0" w:color="auto"/>
      </w:divBdr>
    </w:div>
    <w:div w:id="676688338">
      <w:bodyDiv w:val="1"/>
      <w:marLeft w:val="0"/>
      <w:marRight w:val="0"/>
      <w:marTop w:val="0"/>
      <w:marBottom w:val="0"/>
      <w:divBdr>
        <w:top w:val="none" w:sz="0" w:space="0" w:color="auto"/>
        <w:left w:val="none" w:sz="0" w:space="0" w:color="auto"/>
        <w:bottom w:val="none" w:sz="0" w:space="0" w:color="auto"/>
        <w:right w:val="none" w:sz="0" w:space="0" w:color="auto"/>
      </w:divBdr>
    </w:div>
    <w:div w:id="676734051">
      <w:bodyDiv w:val="1"/>
      <w:marLeft w:val="0"/>
      <w:marRight w:val="0"/>
      <w:marTop w:val="0"/>
      <w:marBottom w:val="0"/>
      <w:divBdr>
        <w:top w:val="none" w:sz="0" w:space="0" w:color="auto"/>
        <w:left w:val="none" w:sz="0" w:space="0" w:color="auto"/>
        <w:bottom w:val="none" w:sz="0" w:space="0" w:color="auto"/>
        <w:right w:val="none" w:sz="0" w:space="0" w:color="auto"/>
      </w:divBdr>
    </w:div>
    <w:div w:id="676813797">
      <w:bodyDiv w:val="1"/>
      <w:marLeft w:val="0"/>
      <w:marRight w:val="0"/>
      <w:marTop w:val="0"/>
      <w:marBottom w:val="0"/>
      <w:divBdr>
        <w:top w:val="none" w:sz="0" w:space="0" w:color="auto"/>
        <w:left w:val="none" w:sz="0" w:space="0" w:color="auto"/>
        <w:bottom w:val="none" w:sz="0" w:space="0" w:color="auto"/>
        <w:right w:val="none" w:sz="0" w:space="0" w:color="auto"/>
      </w:divBdr>
    </w:div>
    <w:div w:id="677774121">
      <w:bodyDiv w:val="1"/>
      <w:marLeft w:val="0"/>
      <w:marRight w:val="0"/>
      <w:marTop w:val="0"/>
      <w:marBottom w:val="0"/>
      <w:divBdr>
        <w:top w:val="none" w:sz="0" w:space="0" w:color="auto"/>
        <w:left w:val="none" w:sz="0" w:space="0" w:color="auto"/>
        <w:bottom w:val="none" w:sz="0" w:space="0" w:color="auto"/>
        <w:right w:val="none" w:sz="0" w:space="0" w:color="auto"/>
      </w:divBdr>
    </w:div>
    <w:div w:id="677854082">
      <w:bodyDiv w:val="1"/>
      <w:marLeft w:val="0"/>
      <w:marRight w:val="0"/>
      <w:marTop w:val="0"/>
      <w:marBottom w:val="0"/>
      <w:divBdr>
        <w:top w:val="none" w:sz="0" w:space="0" w:color="auto"/>
        <w:left w:val="none" w:sz="0" w:space="0" w:color="auto"/>
        <w:bottom w:val="none" w:sz="0" w:space="0" w:color="auto"/>
        <w:right w:val="none" w:sz="0" w:space="0" w:color="auto"/>
      </w:divBdr>
    </w:div>
    <w:div w:id="678046135">
      <w:bodyDiv w:val="1"/>
      <w:marLeft w:val="0"/>
      <w:marRight w:val="0"/>
      <w:marTop w:val="0"/>
      <w:marBottom w:val="0"/>
      <w:divBdr>
        <w:top w:val="none" w:sz="0" w:space="0" w:color="auto"/>
        <w:left w:val="none" w:sz="0" w:space="0" w:color="auto"/>
        <w:bottom w:val="none" w:sz="0" w:space="0" w:color="auto"/>
        <w:right w:val="none" w:sz="0" w:space="0" w:color="auto"/>
      </w:divBdr>
    </w:div>
    <w:div w:id="678317590">
      <w:bodyDiv w:val="1"/>
      <w:marLeft w:val="0"/>
      <w:marRight w:val="0"/>
      <w:marTop w:val="0"/>
      <w:marBottom w:val="0"/>
      <w:divBdr>
        <w:top w:val="none" w:sz="0" w:space="0" w:color="auto"/>
        <w:left w:val="none" w:sz="0" w:space="0" w:color="auto"/>
        <w:bottom w:val="none" w:sz="0" w:space="0" w:color="auto"/>
        <w:right w:val="none" w:sz="0" w:space="0" w:color="auto"/>
      </w:divBdr>
    </w:div>
    <w:div w:id="678503185">
      <w:bodyDiv w:val="1"/>
      <w:marLeft w:val="0"/>
      <w:marRight w:val="0"/>
      <w:marTop w:val="0"/>
      <w:marBottom w:val="0"/>
      <w:divBdr>
        <w:top w:val="none" w:sz="0" w:space="0" w:color="auto"/>
        <w:left w:val="none" w:sz="0" w:space="0" w:color="auto"/>
        <w:bottom w:val="none" w:sz="0" w:space="0" w:color="auto"/>
        <w:right w:val="none" w:sz="0" w:space="0" w:color="auto"/>
      </w:divBdr>
    </w:div>
    <w:div w:id="678774484">
      <w:bodyDiv w:val="1"/>
      <w:marLeft w:val="0"/>
      <w:marRight w:val="0"/>
      <w:marTop w:val="0"/>
      <w:marBottom w:val="0"/>
      <w:divBdr>
        <w:top w:val="none" w:sz="0" w:space="0" w:color="auto"/>
        <w:left w:val="none" w:sz="0" w:space="0" w:color="auto"/>
        <w:bottom w:val="none" w:sz="0" w:space="0" w:color="auto"/>
        <w:right w:val="none" w:sz="0" w:space="0" w:color="auto"/>
      </w:divBdr>
    </w:div>
    <w:div w:id="679042981">
      <w:bodyDiv w:val="1"/>
      <w:marLeft w:val="0"/>
      <w:marRight w:val="0"/>
      <w:marTop w:val="0"/>
      <w:marBottom w:val="0"/>
      <w:divBdr>
        <w:top w:val="none" w:sz="0" w:space="0" w:color="auto"/>
        <w:left w:val="none" w:sz="0" w:space="0" w:color="auto"/>
        <w:bottom w:val="none" w:sz="0" w:space="0" w:color="auto"/>
        <w:right w:val="none" w:sz="0" w:space="0" w:color="auto"/>
      </w:divBdr>
    </w:div>
    <w:div w:id="679309346">
      <w:bodyDiv w:val="1"/>
      <w:marLeft w:val="0"/>
      <w:marRight w:val="0"/>
      <w:marTop w:val="0"/>
      <w:marBottom w:val="0"/>
      <w:divBdr>
        <w:top w:val="none" w:sz="0" w:space="0" w:color="auto"/>
        <w:left w:val="none" w:sz="0" w:space="0" w:color="auto"/>
        <w:bottom w:val="none" w:sz="0" w:space="0" w:color="auto"/>
        <w:right w:val="none" w:sz="0" w:space="0" w:color="auto"/>
      </w:divBdr>
    </w:div>
    <w:div w:id="679357916">
      <w:bodyDiv w:val="1"/>
      <w:marLeft w:val="0"/>
      <w:marRight w:val="0"/>
      <w:marTop w:val="0"/>
      <w:marBottom w:val="0"/>
      <w:divBdr>
        <w:top w:val="none" w:sz="0" w:space="0" w:color="auto"/>
        <w:left w:val="none" w:sz="0" w:space="0" w:color="auto"/>
        <w:bottom w:val="none" w:sz="0" w:space="0" w:color="auto"/>
        <w:right w:val="none" w:sz="0" w:space="0" w:color="auto"/>
      </w:divBdr>
    </w:div>
    <w:div w:id="679936432">
      <w:bodyDiv w:val="1"/>
      <w:marLeft w:val="0"/>
      <w:marRight w:val="0"/>
      <w:marTop w:val="0"/>
      <w:marBottom w:val="0"/>
      <w:divBdr>
        <w:top w:val="none" w:sz="0" w:space="0" w:color="auto"/>
        <w:left w:val="none" w:sz="0" w:space="0" w:color="auto"/>
        <w:bottom w:val="none" w:sz="0" w:space="0" w:color="auto"/>
        <w:right w:val="none" w:sz="0" w:space="0" w:color="auto"/>
      </w:divBdr>
    </w:div>
    <w:div w:id="680157654">
      <w:bodyDiv w:val="1"/>
      <w:marLeft w:val="0"/>
      <w:marRight w:val="0"/>
      <w:marTop w:val="0"/>
      <w:marBottom w:val="0"/>
      <w:divBdr>
        <w:top w:val="none" w:sz="0" w:space="0" w:color="auto"/>
        <w:left w:val="none" w:sz="0" w:space="0" w:color="auto"/>
        <w:bottom w:val="none" w:sz="0" w:space="0" w:color="auto"/>
        <w:right w:val="none" w:sz="0" w:space="0" w:color="auto"/>
      </w:divBdr>
    </w:div>
    <w:div w:id="680357197">
      <w:bodyDiv w:val="1"/>
      <w:marLeft w:val="0"/>
      <w:marRight w:val="0"/>
      <w:marTop w:val="0"/>
      <w:marBottom w:val="0"/>
      <w:divBdr>
        <w:top w:val="none" w:sz="0" w:space="0" w:color="auto"/>
        <w:left w:val="none" w:sz="0" w:space="0" w:color="auto"/>
        <w:bottom w:val="none" w:sz="0" w:space="0" w:color="auto"/>
        <w:right w:val="none" w:sz="0" w:space="0" w:color="auto"/>
      </w:divBdr>
    </w:div>
    <w:div w:id="680473420">
      <w:bodyDiv w:val="1"/>
      <w:marLeft w:val="0"/>
      <w:marRight w:val="0"/>
      <w:marTop w:val="0"/>
      <w:marBottom w:val="0"/>
      <w:divBdr>
        <w:top w:val="none" w:sz="0" w:space="0" w:color="auto"/>
        <w:left w:val="none" w:sz="0" w:space="0" w:color="auto"/>
        <w:bottom w:val="none" w:sz="0" w:space="0" w:color="auto"/>
        <w:right w:val="none" w:sz="0" w:space="0" w:color="auto"/>
      </w:divBdr>
    </w:div>
    <w:div w:id="680661736">
      <w:bodyDiv w:val="1"/>
      <w:marLeft w:val="0"/>
      <w:marRight w:val="0"/>
      <w:marTop w:val="0"/>
      <w:marBottom w:val="0"/>
      <w:divBdr>
        <w:top w:val="none" w:sz="0" w:space="0" w:color="auto"/>
        <w:left w:val="none" w:sz="0" w:space="0" w:color="auto"/>
        <w:bottom w:val="none" w:sz="0" w:space="0" w:color="auto"/>
        <w:right w:val="none" w:sz="0" w:space="0" w:color="auto"/>
      </w:divBdr>
    </w:div>
    <w:div w:id="681131870">
      <w:bodyDiv w:val="1"/>
      <w:marLeft w:val="0"/>
      <w:marRight w:val="0"/>
      <w:marTop w:val="0"/>
      <w:marBottom w:val="0"/>
      <w:divBdr>
        <w:top w:val="none" w:sz="0" w:space="0" w:color="auto"/>
        <w:left w:val="none" w:sz="0" w:space="0" w:color="auto"/>
        <w:bottom w:val="none" w:sz="0" w:space="0" w:color="auto"/>
        <w:right w:val="none" w:sz="0" w:space="0" w:color="auto"/>
      </w:divBdr>
    </w:div>
    <w:div w:id="681207348">
      <w:bodyDiv w:val="1"/>
      <w:marLeft w:val="0"/>
      <w:marRight w:val="0"/>
      <w:marTop w:val="0"/>
      <w:marBottom w:val="0"/>
      <w:divBdr>
        <w:top w:val="none" w:sz="0" w:space="0" w:color="auto"/>
        <w:left w:val="none" w:sz="0" w:space="0" w:color="auto"/>
        <w:bottom w:val="none" w:sz="0" w:space="0" w:color="auto"/>
        <w:right w:val="none" w:sz="0" w:space="0" w:color="auto"/>
      </w:divBdr>
    </w:div>
    <w:div w:id="681392289">
      <w:bodyDiv w:val="1"/>
      <w:marLeft w:val="0"/>
      <w:marRight w:val="0"/>
      <w:marTop w:val="0"/>
      <w:marBottom w:val="0"/>
      <w:divBdr>
        <w:top w:val="none" w:sz="0" w:space="0" w:color="auto"/>
        <w:left w:val="none" w:sz="0" w:space="0" w:color="auto"/>
        <w:bottom w:val="none" w:sz="0" w:space="0" w:color="auto"/>
        <w:right w:val="none" w:sz="0" w:space="0" w:color="auto"/>
      </w:divBdr>
    </w:div>
    <w:div w:id="682829447">
      <w:bodyDiv w:val="1"/>
      <w:marLeft w:val="0"/>
      <w:marRight w:val="0"/>
      <w:marTop w:val="0"/>
      <w:marBottom w:val="0"/>
      <w:divBdr>
        <w:top w:val="none" w:sz="0" w:space="0" w:color="auto"/>
        <w:left w:val="none" w:sz="0" w:space="0" w:color="auto"/>
        <w:bottom w:val="none" w:sz="0" w:space="0" w:color="auto"/>
        <w:right w:val="none" w:sz="0" w:space="0" w:color="auto"/>
      </w:divBdr>
    </w:div>
    <w:div w:id="682897653">
      <w:bodyDiv w:val="1"/>
      <w:marLeft w:val="0"/>
      <w:marRight w:val="0"/>
      <w:marTop w:val="0"/>
      <w:marBottom w:val="0"/>
      <w:divBdr>
        <w:top w:val="none" w:sz="0" w:space="0" w:color="auto"/>
        <w:left w:val="none" w:sz="0" w:space="0" w:color="auto"/>
        <w:bottom w:val="none" w:sz="0" w:space="0" w:color="auto"/>
        <w:right w:val="none" w:sz="0" w:space="0" w:color="auto"/>
      </w:divBdr>
    </w:div>
    <w:div w:id="683362798">
      <w:bodyDiv w:val="1"/>
      <w:marLeft w:val="0"/>
      <w:marRight w:val="0"/>
      <w:marTop w:val="0"/>
      <w:marBottom w:val="0"/>
      <w:divBdr>
        <w:top w:val="none" w:sz="0" w:space="0" w:color="auto"/>
        <w:left w:val="none" w:sz="0" w:space="0" w:color="auto"/>
        <w:bottom w:val="none" w:sz="0" w:space="0" w:color="auto"/>
        <w:right w:val="none" w:sz="0" w:space="0" w:color="auto"/>
      </w:divBdr>
    </w:div>
    <w:div w:id="684670941">
      <w:bodyDiv w:val="1"/>
      <w:marLeft w:val="0"/>
      <w:marRight w:val="0"/>
      <w:marTop w:val="0"/>
      <w:marBottom w:val="0"/>
      <w:divBdr>
        <w:top w:val="none" w:sz="0" w:space="0" w:color="auto"/>
        <w:left w:val="none" w:sz="0" w:space="0" w:color="auto"/>
        <w:bottom w:val="none" w:sz="0" w:space="0" w:color="auto"/>
        <w:right w:val="none" w:sz="0" w:space="0" w:color="auto"/>
      </w:divBdr>
    </w:div>
    <w:div w:id="685329122">
      <w:bodyDiv w:val="1"/>
      <w:marLeft w:val="0"/>
      <w:marRight w:val="0"/>
      <w:marTop w:val="0"/>
      <w:marBottom w:val="0"/>
      <w:divBdr>
        <w:top w:val="none" w:sz="0" w:space="0" w:color="auto"/>
        <w:left w:val="none" w:sz="0" w:space="0" w:color="auto"/>
        <w:bottom w:val="none" w:sz="0" w:space="0" w:color="auto"/>
        <w:right w:val="none" w:sz="0" w:space="0" w:color="auto"/>
      </w:divBdr>
    </w:div>
    <w:div w:id="685523193">
      <w:bodyDiv w:val="1"/>
      <w:marLeft w:val="0"/>
      <w:marRight w:val="0"/>
      <w:marTop w:val="0"/>
      <w:marBottom w:val="0"/>
      <w:divBdr>
        <w:top w:val="none" w:sz="0" w:space="0" w:color="auto"/>
        <w:left w:val="none" w:sz="0" w:space="0" w:color="auto"/>
        <w:bottom w:val="none" w:sz="0" w:space="0" w:color="auto"/>
        <w:right w:val="none" w:sz="0" w:space="0" w:color="auto"/>
      </w:divBdr>
    </w:div>
    <w:div w:id="685667915">
      <w:bodyDiv w:val="1"/>
      <w:marLeft w:val="0"/>
      <w:marRight w:val="0"/>
      <w:marTop w:val="0"/>
      <w:marBottom w:val="0"/>
      <w:divBdr>
        <w:top w:val="none" w:sz="0" w:space="0" w:color="auto"/>
        <w:left w:val="none" w:sz="0" w:space="0" w:color="auto"/>
        <w:bottom w:val="none" w:sz="0" w:space="0" w:color="auto"/>
        <w:right w:val="none" w:sz="0" w:space="0" w:color="auto"/>
      </w:divBdr>
    </w:div>
    <w:div w:id="685910709">
      <w:bodyDiv w:val="1"/>
      <w:marLeft w:val="0"/>
      <w:marRight w:val="0"/>
      <w:marTop w:val="0"/>
      <w:marBottom w:val="0"/>
      <w:divBdr>
        <w:top w:val="none" w:sz="0" w:space="0" w:color="auto"/>
        <w:left w:val="none" w:sz="0" w:space="0" w:color="auto"/>
        <w:bottom w:val="none" w:sz="0" w:space="0" w:color="auto"/>
        <w:right w:val="none" w:sz="0" w:space="0" w:color="auto"/>
      </w:divBdr>
    </w:div>
    <w:div w:id="686053983">
      <w:bodyDiv w:val="1"/>
      <w:marLeft w:val="0"/>
      <w:marRight w:val="0"/>
      <w:marTop w:val="0"/>
      <w:marBottom w:val="0"/>
      <w:divBdr>
        <w:top w:val="none" w:sz="0" w:space="0" w:color="auto"/>
        <w:left w:val="none" w:sz="0" w:space="0" w:color="auto"/>
        <w:bottom w:val="none" w:sz="0" w:space="0" w:color="auto"/>
        <w:right w:val="none" w:sz="0" w:space="0" w:color="auto"/>
      </w:divBdr>
    </w:div>
    <w:div w:id="686912079">
      <w:bodyDiv w:val="1"/>
      <w:marLeft w:val="0"/>
      <w:marRight w:val="0"/>
      <w:marTop w:val="0"/>
      <w:marBottom w:val="0"/>
      <w:divBdr>
        <w:top w:val="none" w:sz="0" w:space="0" w:color="auto"/>
        <w:left w:val="none" w:sz="0" w:space="0" w:color="auto"/>
        <w:bottom w:val="none" w:sz="0" w:space="0" w:color="auto"/>
        <w:right w:val="none" w:sz="0" w:space="0" w:color="auto"/>
      </w:divBdr>
    </w:div>
    <w:div w:id="688067909">
      <w:bodyDiv w:val="1"/>
      <w:marLeft w:val="0"/>
      <w:marRight w:val="0"/>
      <w:marTop w:val="0"/>
      <w:marBottom w:val="0"/>
      <w:divBdr>
        <w:top w:val="none" w:sz="0" w:space="0" w:color="auto"/>
        <w:left w:val="none" w:sz="0" w:space="0" w:color="auto"/>
        <w:bottom w:val="none" w:sz="0" w:space="0" w:color="auto"/>
        <w:right w:val="none" w:sz="0" w:space="0" w:color="auto"/>
      </w:divBdr>
    </w:div>
    <w:div w:id="688265390">
      <w:bodyDiv w:val="1"/>
      <w:marLeft w:val="0"/>
      <w:marRight w:val="0"/>
      <w:marTop w:val="0"/>
      <w:marBottom w:val="0"/>
      <w:divBdr>
        <w:top w:val="none" w:sz="0" w:space="0" w:color="auto"/>
        <w:left w:val="none" w:sz="0" w:space="0" w:color="auto"/>
        <w:bottom w:val="none" w:sz="0" w:space="0" w:color="auto"/>
        <w:right w:val="none" w:sz="0" w:space="0" w:color="auto"/>
      </w:divBdr>
    </w:div>
    <w:div w:id="688339246">
      <w:bodyDiv w:val="1"/>
      <w:marLeft w:val="0"/>
      <w:marRight w:val="0"/>
      <w:marTop w:val="0"/>
      <w:marBottom w:val="0"/>
      <w:divBdr>
        <w:top w:val="none" w:sz="0" w:space="0" w:color="auto"/>
        <w:left w:val="none" w:sz="0" w:space="0" w:color="auto"/>
        <w:bottom w:val="none" w:sz="0" w:space="0" w:color="auto"/>
        <w:right w:val="none" w:sz="0" w:space="0" w:color="auto"/>
      </w:divBdr>
    </w:div>
    <w:div w:id="688457475">
      <w:bodyDiv w:val="1"/>
      <w:marLeft w:val="0"/>
      <w:marRight w:val="0"/>
      <w:marTop w:val="0"/>
      <w:marBottom w:val="0"/>
      <w:divBdr>
        <w:top w:val="none" w:sz="0" w:space="0" w:color="auto"/>
        <w:left w:val="none" w:sz="0" w:space="0" w:color="auto"/>
        <w:bottom w:val="none" w:sz="0" w:space="0" w:color="auto"/>
        <w:right w:val="none" w:sz="0" w:space="0" w:color="auto"/>
      </w:divBdr>
    </w:div>
    <w:div w:id="688986441">
      <w:bodyDiv w:val="1"/>
      <w:marLeft w:val="0"/>
      <w:marRight w:val="0"/>
      <w:marTop w:val="0"/>
      <w:marBottom w:val="0"/>
      <w:divBdr>
        <w:top w:val="none" w:sz="0" w:space="0" w:color="auto"/>
        <w:left w:val="none" w:sz="0" w:space="0" w:color="auto"/>
        <w:bottom w:val="none" w:sz="0" w:space="0" w:color="auto"/>
        <w:right w:val="none" w:sz="0" w:space="0" w:color="auto"/>
      </w:divBdr>
    </w:div>
    <w:div w:id="688992856">
      <w:bodyDiv w:val="1"/>
      <w:marLeft w:val="0"/>
      <w:marRight w:val="0"/>
      <w:marTop w:val="0"/>
      <w:marBottom w:val="0"/>
      <w:divBdr>
        <w:top w:val="none" w:sz="0" w:space="0" w:color="auto"/>
        <w:left w:val="none" w:sz="0" w:space="0" w:color="auto"/>
        <w:bottom w:val="none" w:sz="0" w:space="0" w:color="auto"/>
        <w:right w:val="none" w:sz="0" w:space="0" w:color="auto"/>
      </w:divBdr>
    </w:div>
    <w:div w:id="689180540">
      <w:bodyDiv w:val="1"/>
      <w:marLeft w:val="0"/>
      <w:marRight w:val="0"/>
      <w:marTop w:val="0"/>
      <w:marBottom w:val="0"/>
      <w:divBdr>
        <w:top w:val="none" w:sz="0" w:space="0" w:color="auto"/>
        <w:left w:val="none" w:sz="0" w:space="0" w:color="auto"/>
        <w:bottom w:val="none" w:sz="0" w:space="0" w:color="auto"/>
        <w:right w:val="none" w:sz="0" w:space="0" w:color="auto"/>
      </w:divBdr>
    </w:div>
    <w:div w:id="689569883">
      <w:bodyDiv w:val="1"/>
      <w:marLeft w:val="0"/>
      <w:marRight w:val="0"/>
      <w:marTop w:val="0"/>
      <w:marBottom w:val="0"/>
      <w:divBdr>
        <w:top w:val="none" w:sz="0" w:space="0" w:color="auto"/>
        <w:left w:val="none" w:sz="0" w:space="0" w:color="auto"/>
        <w:bottom w:val="none" w:sz="0" w:space="0" w:color="auto"/>
        <w:right w:val="none" w:sz="0" w:space="0" w:color="auto"/>
      </w:divBdr>
    </w:div>
    <w:div w:id="690685813">
      <w:bodyDiv w:val="1"/>
      <w:marLeft w:val="0"/>
      <w:marRight w:val="0"/>
      <w:marTop w:val="0"/>
      <w:marBottom w:val="0"/>
      <w:divBdr>
        <w:top w:val="none" w:sz="0" w:space="0" w:color="auto"/>
        <w:left w:val="none" w:sz="0" w:space="0" w:color="auto"/>
        <w:bottom w:val="none" w:sz="0" w:space="0" w:color="auto"/>
        <w:right w:val="none" w:sz="0" w:space="0" w:color="auto"/>
      </w:divBdr>
    </w:div>
    <w:div w:id="691346315">
      <w:bodyDiv w:val="1"/>
      <w:marLeft w:val="0"/>
      <w:marRight w:val="0"/>
      <w:marTop w:val="0"/>
      <w:marBottom w:val="0"/>
      <w:divBdr>
        <w:top w:val="none" w:sz="0" w:space="0" w:color="auto"/>
        <w:left w:val="none" w:sz="0" w:space="0" w:color="auto"/>
        <w:bottom w:val="none" w:sz="0" w:space="0" w:color="auto"/>
        <w:right w:val="none" w:sz="0" w:space="0" w:color="auto"/>
      </w:divBdr>
    </w:div>
    <w:div w:id="692195822">
      <w:bodyDiv w:val="1"/>
      <w:marLeft w:val="0"/>
      <w:marRight w:val="0"/>
      <w:marTop w:val="0"/>
      <w:marBottom w:val="0"/>
      <w:divBdr>
        <w:top w:val="none" w:sz="0" w:space="0" w:color="auto"/>
        <w:left w:val="none" w:sz="0" w:space="0" w:color="auto"/>
        <w:bottom w:val="none" w:sz="0" w:space="0" w:color="auto"/>
        <w:right w:val="none" w:sz="0" w:space="0" w:color="auto"/>
      </w:divBdr>
    </w:div>
    <w:div w:id="692456077">
      <w:bodyDiv w:val="1"/>
      <w:marLeft w:val="0"/>
      <w:marRight w:val="0"/>
      <w:marTop w:val="0"/>
      <w:marBottom w:val="0"/>
      <w:divBdr>
        <w:top w:val="none" w:sz="0" w:space="0" w:color="auto"/>
        <w:left w:val="none" w:sz="0" w:space="0" w:color="auto"/>
        <w:bottom w:val="none" w:sz="0" w:space="0" w:color="auto"/>
        <w:right w:val="none" w:sz="0" w:space="0" w:color="auto"/>
      </w:divBdr>
    </w:div>
    <w:div w:id="692613447">
      <w:bodyDiv w:val="1"/>
      <w:marLeft w:val="0"/>
      <w:marRight w:val="0"/>
      <w:marTop w:val="0"/>
      <w:marBottom w:val="0"/>
      <w:divBdr>
        <w:top w:val="none" w:sz="0" w:space="0" w:color="auto"/>
        <w:left w:val="none" w:sz="0" w:space="0" w:color="auto"/>
        <w:bottom w:val="none" w:sz="0" w:space="0" w:color="auto"/>
        <w:right w:val="none" w:sz="0" w:space="0" w:color="auto"/>
      </w:divBdr>
    </w:div>
    <w:div w:id="693386731">
      <w:bodyDiv w:val="1"/>
      <w:marLeft w:val="0"/>
      <w:marRight w:val="0"/>
      <w:marTop w:val="0"/>
      <w:marBottom w:val="0"/>
      <w:divBdr>
        <w:top w:val="none" w:sz="0" w:space="0" w:color="auto"/>
        <w:left w:val="none" w:sz="0" w:space="0" w:color="auto"/>
        <w:bottom w:val="none" w:sz="0" w:space="0" w:color="auto"/>
        <w:right w:val="none" w:sz="0" w:space="0" w:color="auto"/>
      </w:divBdr>
    </w:div>
    <w:div w:id="694891326">
      <w:bodyDiv w:val="1"/>
      <w:marLeft w:val="0"/>
      <w:marRight w:val="0"/>
      <w:marTop w:val="0"/>
      <w:marBottom w:val="0"/>
      <w:divBdr>
        <w:top w:val="none" w:sz="0" w:space="0" w:color="auto"/>
        <w:left w:val="none" w:sz="0" w:space="0" w:color="auto"/>
        <w:bottom w:val="none" w:sz="0" w:space="0" w:color="auto"/>
        <w:right w:val="none" w:sz="0" w:space="0" w:color="auto"/>
      </w:divBdr>
    </w:div>
    <w:div w:id="695153935">
      <w:bodyDiv w:val="1"/>
      <w:marLeft w:val="0"/>
      <w:marRight w:val="0"/>
      <w:marTop w:val="0"/>
      <w:marBottom w:val="0"/>
      <w:divBdr>
        <w:top w:val="none" w:sz="0" w:space="0" w:color="auto"/>
        <w:left w:val="none" w:sz="0" w:space="0" w:color="auto"/>
        <w:bottom w:val="none" w:sz="0" w:space="0" w:color="auto"/>
        <w:right w:val="none" w:sz="0" w:space="0" w:color="auto"/>
      </w:divBdr>
      <w:divsChild>
        <w:div w:id="405684029">
          <w:marLeft w:val="480"/>
          <w:marRight w:val="0"/>
          <w:marTop w:val="0"/>
          <w:marBottom w:val="0"/>
          <w:divBdr>
            <w:top w:val="none" w:sz="0" w:space="0" w:color="auto"/>
            <w:left w:val="none" w:sz="0" w:space="0" w:color="auto"/>
            <w:bottom w:val="none" w:sz="0" w:space="0" w:color="auto"/>
            <w:right w:val="none" w:sz="0" w:space="0" w:color="auto"/>
          </w:divBdr>
        </w:div>
        <w:div w:id="1570770898">
          <w:marLeft w:val="480"/>
          <w:marRight w:val="0"/>
          <w:marTop w:val="0"/>
          <w:marBottom w:val="0"/>
          <w:divBdr>
            <w:top w:val="none" w:sz="0" w:space="0" w:color="auto"/>
            <w:left w:val="none" w:sz="0" w:space="0" w:color="auto"/>
            <w:bottom w:val="none" w:sz="0" w:space="0" w:color="auto"/>
            <w:right w:val="none" w:sz="0" w:space="0" w:color="auto"/>
          </w:divBdr>
        </w:div>
        <w:div w:id="83233263">
          <w:marLeft w:val="480"/>
          <w:marRight w:val="0"/>
          <w:marTop w:val="0"/>
          <w:marBottom w:val="0"/>
          <w:divBdr>
            <w:top w:val="none" w:sz="0" w:space="0" w:color="auto"/>
            <w:left w:val="none" w:sz="0" w:space="0" w:color="auto"/>
            <w:bottom w:val="none" w:sz="0" w:space="0" w:color="auto"/>
            <w:right w:val="none" w:sz="0" w:space="0" w:color="auto"/>
          </w:divBdr>
        </w:div>
        <w:div w:id="1689528620">
          <w:marLeft w:val="480"/>
          <w:marRight w:val="0"/>
          <w:marTop w:val="0"/>
          <w:marBottom w:val="0"/>
          <w:divBdr>
            <w:top w:val="none" w:sz="0" w:space="0" w:color="auto"/>
            <w:left w:val="none" w:sz="0" w:space="0" w:color="auto"/>
            <w:bottom w:val="none" w:sz="0" w:space="0" w:color="auto"/>
            <w:right w:val="none" w:sz="0" w:space="0" w:color="auto"/>
          </w:divBdr>
        </w:div>
        <w:div w:id="1657491722">
          <w:marLeft w:val="480"/>
          <w:marRight w:val="0"/>
          <w:marTop w:val="0"/>
          <w:marBottom w:val="0"/>
          <w:divBdr>
            <w:top w:val="none" w:sz="0" w:space="0" w:color="auto"/>
            <w:left w:val="none" w:sz="0" w:space="0" w:color="auto"/>
            <w:bottom w:val="none" w:sz="0" w:space="0" w:color="auto"/>
            <w:right w:val="none" w:sz="0" w:space="0" w:color="auto"/>
          </w:divBdr>
        </w:div>
        <w:div w:id="1940479814">
          <w:marLeft w:val="480"/>
          <w:marRight w:val="0"/>
          <w:marTop w:val="0"/>
          <w:marBottom w:val="0"/>
          <w:divBdr>
            <w:top w:val="none" w:sz="0" w:space="0" w:color="auto"/>
            <w:left w:val="none" w:sz="0" w:space="0" w:color="auto"/>
            <w:bottom w:val="none" w:sz="0" w:space="0" w:color="auto"/>
            <w:right w:val="none" w:sz="0" w:space="0" w:color="auto"/>
          </w:divBdr>
        </w:div>
        <w:div w:id="994724018">
          <w:marLeft w:val="480"/>
          <w:marRight w:val="0"/>
          <w:marTop w:val="0"/>
          <w:marBottom w:val="0"/>
          <w:divBdr>
            <w:top w:val="none" w:sz="0" w:space="0" w:color="auto"/>
            <w:left w:val="none" w:sz="0" w:space="0" w:color="auto"/>
            <w:bottom w:val="none" w:sz="0" w:space="0" w:color="auto"/>
            <w:right w:val="none" w:sz="0" w:space="0" w:color="auto"/>
          </w:divBdr>
        </w:div>
        <w:div w:id="924071444">
          <w:marLeft w:val="480"/>
          <w:marRight w:val="0"/>
          <w:marTop w:val="0"/>
          <w:marBottom w:val="0"/>
          <w:divBdr>
            <w:top w:val="none" w:sz="0" w:space="0" w:color="auto"/>
            <w:left w:val="none" w:sz="0" w:space="0" w:color="auto"/>
            <w:bottom w:val="none" w:sz="0" w:space="0" w:color="auto"/>
            <w:right w:val="none" w:sz="0" w:space="0" w:color="auto"/>
          </w:divBdr>
        </w:div>
        <w:div w:id="667443010">
          <w:marLeft w:val="480"/>
          <w:marRight w:val="0"/>
          <w:marTop w:val="0"/>
          <w:marBottom w:val="0"/>
          <w:divBdr>
            <w:top w:val="none" w:sz="0" w:space="0" w:color="auto"/>
            <w:left w:val="none" w:sz="0" w:space="0" w:color="auto"/>
            <w:bottom w:val="none" w:sz="0" w:space="0" w:color="auto"/>
            <w:right w:val="none" w:sz="0" w:space="0" w:color="auto"/>
          </w:divBdr>
        </w:div>
        <w:div w:id="1598363646">
          <w:marLeft w:val="480"/>
          <w:marRight w:val="0"/>
          <w:marTop w:val="0"/>
          <w:marBottom w:val="0"/>
          <w:divBdr>
            <w:top w:val="none" w:sz="0" w:space="0" w:color="auto"/>
            <w:left w:val="none" w:sz="0" w:space="0" w:color="auto"/>
            <w:bottom w:val="none" w:sz="0" w:space="0" w:color="auto"/>
            <w:right w:val="none" w:sz="0" w:space="0" w:color="auto"/>
          </w:divBdr>
        </w:div>
        <w:div w:id="902915030">
          <w:marLeft w:val="480"/>
          <w:marRight w:val="0"/>
          <w:marTop w:val="0"/>
          <w:marBottom w:val="0"/>
          <w:divBdr>
            <w:top w:val="none" w:sz="0" w:space="0" w:color="auto"/>
            <w:left w:val="none" w:sz="0" w:space="0" w:color="auto"/>
            <w:bottom w:val="none" w:sz="0" w:space="0" w:color="auto"/>
            <w:right w:val="none" w:sz="0" w:space="0" w:color="auto"/>
          </w:divBdr>
        </w:div>
        <w:div w:id="1007098539">
          <w:marLeft w:val="480"/>
          <w:marRight w:val="0"/>
          <w:marTop w:val="0"/>
          <w:marBottom w:val="0"/>
          <w:divBdr>
            <w:top w:val="none" w:sz="0" w:space="0" w:color="auto"/>
            <w:left w:val="none" w:sz="0" w:space="0" w:color="auto"/>
            <w:bottom w:val="none" w:sz="0" w:space="0" w:color="auto"/>
            <w:right w:val="none" w:sz="0" w:space="0" w:color="auto"/>
          </w:divBdr>
        </w:div>
        <w:div w:id="2102754824">
          <w:marLeft w:val="480"/>
          <w:marRight w:val="0"/>
          <w:marTop w:val="0"/>
          <w:marBottom w:val="0"/>
          <w:divBdr>
            <w:top w:val="none" w:sz="0" w:space="0" w:color="auto"/>
            <w:left w:val="none" w:sz="0" w:space="0" w:color="auto"/>
            <w:bottom w:val="none" w:sz="0" w:space="0" w:color="auto"/>
            <w:right w:val="none" w:sz="0" w:space="0" w:color="auto"/>
          </w:divBdr>
        </w:div>
        <w:div w:id="1289504735">
          <w:marLeft w:val="480"/>
          <w:marRight w:val="0"/>
          <w:marTop w:val="0"/>
          <w:marBottom w:val="0"/>
          <w:divBdr>
            <w:top w:val="none" w:sz="0" w:space="0" w:color="auto"/>
            <w:left w:val="none" w:sz="0" w:space="0" w:color="auto"/>
            <w:bottom w:val="none" w:sz="0" w:space="0" w:color="auto"/>
            <w:right w:val="none" w:sz="0" w:space="0" w:color="auto"/>
          </w:divBdr>
        </w:div>
        <w:div w:id="422412002">
          <w:marLeft w:val="480"/>
          <w:marRight w:val="0"/>
          <w:marTop w:val="0"/>
          <w:marBottom w:val="0"/>
          <w:divBdr>
            <w:top w:val="none" w:sz="0" w:space="0" w:color="auto"/>
            <w:left w:val="none" w:sz="0" w:space="0" w:color="auto"/>
            <w:bottom w:val="none" w:sz="0" w:space="0" w:color="auto"/>
            <w:right w:val="none" w:sz="0" w:space="0" w:color="auto"/>
          </w:divBdr>
        </w:div>
        <w:div w:id="1267884605">
          <w:marLeft w:val="480"/>
          <w:marRight w:val="0"/>
          <w:marTop w:val="0"/>
          <w:marBottom w:val="0"/>
          <w:divBdr>
            <w:top w:val="none" w:sz="0" w:space="0" w:color="auto"/>
            <w:left w:val="none" w:sz="0" w:space="0" w:color="auto"/>
            <w:bottom w:val="none" w:sz="0" w:space="0" w:color="auto"/>
            <w:right w:val="none" w:sz="0" w:space="0" w:color="auto"/>
          </w:divBdr>
        </w:div>
        <w:div w:id="400567344">
          <w:marLeft w:val="480"/>
          <w:marRight w:val="0"/>
          <w:marTop w:val="0"/>
          <w:marBottom w:val="0"/>
          <w:divBdr>
            <w:top w:val="none" w:sz="0" w:space="0" w:color="auto"/>
            <w:left w:val="none" w:sz="0" w:space="0" w:color="auto"/>
            <w:bottom w:val="none" w:sz="0" w:space="0" w:color="auto"/>
            <w:right w:val="none" w:sz="0" w:space="0" w:color="auto"/>
          </w:divBdr>
        </w:div>
        <w:div w:id="162474364">
          <w:marLeft w:val="480"/>
          <w:marRight w:val="0"/>
          <w:marTop w:val="0"/>
          <w:marBottom w:val="0"/>
          <w:divBdr>
            <w:top w:val="none" w:sz="0" w:space="0" w:color="auto"/>
            <w:left w:val="none" w:sz="0" w:space="0" w:color="auto"/>
            <w:bottom w:val="none" w:sz="0" w:space="0" w:color="auto"/>
            <w:right w:val="none" w:sz="0" w:space="0" w:color="auto"/>
          </w:divBdr>
        </w:div>
        <w:div w:id="1812556610">
          <w:marLeft w:val="480"/>
          <w:marRight w:val="0"/>
          <w:marTop w:val="0"/>
          <w:marBottom w:val="0"/>
          <w:divBdr>
            <w:top w:val="none" w:sz="0" w:space="0" w:color="auto"/>
            <w:left w:val="none" w:sz="0" w:space="0" w:color="auto"/>
            <w:bottom w:val="none" w:sz="0" w:space="0" w:color="auto"/>
            <w:right w:val="none" w:sz="0" w:space="0" w:color="auto"/>
          </w:divBdr>
        </w:div>
        <w:div w:id="958688124">
          <w:marLeft w:val="480"/>
          <w:marRight w:val="0"/>
          <w:marTop w:val="0"/>
          <w:marBottom w:val="0"/>
          <w:divBdr>
            <w:top w:val="none" w:sz="0" w:space="0" w:color="auto"/>
            <w:left w:val="none" w:sz="0" w:space="0" w:color="auto"/>
            <w:bottom w:val="none" w:sz="0" w:space="0" w:color="auto"/>
            <w:right w:val="none" w:sz="0" w:space="0" w:color="auto"/>
          </w:divBdr>
        </w:div>
        <w:div w:id="2085182940">
          <w:marLeft w:val="480"/>
          <w:marRight w:val="0"/>
          <w:marTop w:val="0"/>
          <w:marBottom w:val="0"/>
          <w:divBdr>
            <w:top w:val="none" w:sz="0" w:space="0" w:color="auto"/>
            <w:left w:val="none" w:sz="0" w:space="0" w:color="auto"/>
            <w:bottom w:val="none" w:sz="0" w:space="0" w:color="auto"/>
            <w:right w:val="none" w:sz="0" w:space="0" w:color="auto"/>
          </w:divBdr>
        </w:div>
        <w:div w:id="925385812">
          <w:marLeft w:val="480"/>
          <w:marRight w:val="0"/>
          <w:marTop w:val="0"/>
          <w:marBottom w:val="0"/>
          <w:divBdr>
            <w:top w:val="none" w:sz="0" w:space="0" w:color="auto"/>
            <w:left w:val="none" w:sz="0" w:space="0" w:color="auto"/>
            <w:bottom w:val="none" w:sz="0" w:space="0" w:color="auto"/>
            <w:right w:val="none" w:sz="0" w:space="0" w:color="auto"/>
          </w:divBdr>
        </w:div>
        <w:div w:id="1077434421">
          <w:marLeft w:val="480"/>
          <w:marRight w:val="0"/>
          <w:marTop w:val="0"/>
          <w:marBottom w:val="0"/>
          <w:divBdr>
            <w:top w:val="none" w:sz="0" w:space="0" w:color="auto"/>
            <w:left w:val="none" w:sz="0" w:space="0" w:color="auto"/>
            <w:bottom w:val="none" w:sz="0" w:space="0" w:color="auto"/>
            <w:right w:val="none" w:sz="0" w:space="0" w:color="auto"/>
          </w:divBdr>
        </w:div>
        <w:div w:id="1054236102">
          <w:marLeft w:val="480"/>
          <w:marRight w:val="0"/>
          <w:marTop w:val="0"/>
          <w:marBottom w:val="0"/>
          <w:divBdr>
            <w:top w:val="none" w:sz="0" w:space="0" w:color="auto"/>
            <w:left w:val="none" w:sz="0" w:space="0" w:color="auto"/>
            <w:bottom w:val="none" w:sz="0" w:space="0" w:color="auto"/>
            <w:right w:val="none" w:sz="0" w:space="0" w:color="auto"/>
          </w:divBdr>
        </w:div>
        <w:div w:id="2008554528">
          <w:marLeft w:val="480"/>
          <w:marRight w:val="0"/>
          <w:marTop w:val="0"/>
          <w:marBottom w:val="0"/>
          <w:divBdr>
            <w:top w:val="none" w:sz="0" w:space="0" w:color="auto"/>
            <w:left w:val="none" w:sz="0" w:space="0" w:color="auto"/>
            <w:bottom w:val="none" w:sz="0" w:space="0" w:color="auto"/>
            <w:right w:val="none" w:sz="0" w:space="0" w:color="auto"/>
          </w:divBdr>
        </w:div>
        <w:div w:id="1414201448">
          <w:marLeft w:val="480"/>
          <w:marRight w:val="0"/>
          <w:marTop w:val="0"/>
          <w:marBottom w:val="0"/>
          <w:divBdr>
            <w:top w:val="none" w:sz="0" w:space="0" w:color="auto"/>
            <w:left w:val="none" w:sz="0" w:space="0" w:color="auto"/>
            <w:bottom w:val="none" w:sz="0" w:space="0" w:color="auto"/>
            <w:right w:val="none" w:sz="0" w:space="0" w:color="auto"/>
          </w:divBdr>
        </w:div>
        <w:div w:id="812212038">
          <w:marLeft w:val="480"/>
          <w:marRight w:val="0"/>
          <w:marTop w:val="0"/>
          <w:marBottom w:val="0"/>
          <w:divBdr>
            <w:top w:val="none" w:sz="0" w:space="0" w:color="auto"/>
            <w:left w:val="none" w:sz="0" w:space="0" w:color="auto"/>
            <w:bottom w:val="none" w:sz="0" w:space="0" w:color="auto"/>
            <w:right w:val="none" w:sz="0" w:space="0" w:color="auto"/>
          </w:divBdr>
        </w:div>
        <w:div w:id="291905017">
          <w:marLeft w:val="480"/>
          <w:marRight w:val="0"/>
          <w:marTop w:val="0"/>
          <w:marBottom w:val="0"/>
          <w:divBdr>
            <w:top w:val="none" w:sz="0" w:space="0" w:color="auto"/>
            <w:left w:val="none" w:sz="0" w:space="0" w:color="auto"/>
            <w:bottom w:val="none" w:sz="0" w:space="0" w:color="auto"/>
            <w:right w:val="none" w:sz="0" w:space="0" w:color="auto"/>
          </w:divBdr>
        </w:div>
        <w:div w:id="1690251311">
          <w:marLeft w:val="480"/>
          <w:marRight w:val="0"/>
          <w:marTop w:val="0"/>
          <w:marBottom w:val="0"/>
          <w:divBdr>
            <w:top w:val="none" w:sz="0" w:space="0" w:color="auto"/>
            <w:left w:val="none" w:sz="0" w:space="0" w:color="auto"/>
            <w:bottom w:val="none" w:sz="0" w:space="0" w:color="auto"/>
            <w:right w:val="none" w:sz="0" w:space="0" w:color="auto"/>
          </w:divBdr>
        </w:div>
        <w:div w:id="724373425">
          <w:marLeft w:val="480"/>
          <w:marRight w:val="0"/>
          <w:marTop w:val="0"/>
          <w:marBottom w:val="0"/>
          <w:divBdr>
            <w:top w:val="none" w:sz="0" w:space="0" w:color="auto"/>
            <w:left w:val="none" w:sz="0" w:space="0" w:color="auto"/>
            <w:bottom w:val="none" w:sz="0" w:space="0" w:color="auto"/>
            <w:right w:val="none" w:sz="0" w:space="0" w:color="auto"/>
          </w:divBdr>
        </w:div>
        <w:div w:id="1868106315">
          <w:marLeft w:val="480"/>
          <w:marRight w:val="0"/>
          <w:marTop w:val="0"/>
          <w:marBottom w:val="0"/>
          <w:divBdr>
            <w:top w:val="none" w:sz="0" w:space="0" w:color="auto"/>
            <w:left w:val="none" w:sz="0" w:space="0" w:color="auto"/>
            <w:bottom w:val="none" w:sz="0" w:space="0" w:color="auto"/>
            <w:right w:val="none" w:sz="0" w:space="0" w:color="auto"/>
          </w:divBdr>
        </w:div>
        <w:div w:id="181751150">
          <w:marLeft w:val="480"/>
          <w:marRight w:val="0"/>
          <w:marTop w:val="0"/>
          <w:marBottom w:val="0"/>
          <w:divBdr>
            <w:top w:val="none" w:sz="0" w:space="0" w:color="auto"/>
            <w:left w:val="none" w:sz="0" w:space="0" w:color="auto"/>
            <w:bottom w:val="none" w:sz="0" w:space="0" w:color="auto"/>
            <w:right w:val="none" w:sz="0" w:space="0" w:color="auto"/>
          </w:divBdr>
        </w:div>
        <w:div w:id="540017316">
          <w:marLeft w:val="480"/>
          <w:marRight w:val="0"/>
          <w:marTop w:val="0"/>
          <w:marBottom w:val="0"/>
          <w:divBdr>
            <w:top w:val="none" w:sz="0" w:space="0" w:color="auto"/>
            <w:left w:val="none" w:sz="0" w:space="0" w:color="auto"/>
            <w:bottom w:val="none" w:sz="0" w:space="0" w:color="auto"/>
            <w:right w:val="none" w:sz="0" w:space="0" w:color="auto"/>
          </w:divBdr>
        </w:div>
        <w:div w:id="539168709">
          <w:marLeft w:val="480"/>
          <w:marRight w:val="0"/>
          <w:marTop w:val="0"/>
          <w:marBottom w:val="0"/>
          <w:divBdr>
            <w:top w:val="none" w:sz="0" w:space="0" w:color="auto"/>
            <w:left w:val="none" w:sz="0" w:space="0" w:color="auto"/>
            <w:bottom w:val="none" w:sz="0" w:space="0" w:color="auto"/>
            <w:right w:val="none" w:sz="0" w:space="0" w:color="auto"/>
          </w:divBdr>
        </w:div>
        <w:div w:id="531695043">
          <w:marLeft w:val="480"/>
          <w:marRight w:val="0"/>
          <w:marTop w:val="0"/>
          <w:marBottom w:val="0"/>
          <w:divBdr>
            <w:top w:val="none" w:sz="0" w:space="0" w:color="auto"/>
            <w:left w:val="none" w:sz="0" w:space="0" w:color="auto"/>
            <w:bottom w:val="none" w:sz="0" w:space="0" w:color="auto"/>
            <w:right w:val="none" w:sz="0" w:space="0" w:color="auto"/>
          </w:divBdr>
        </w:div>
        <w:div w:id="1037782407">
          <w:marLeft w:val="480"/>
          <w:marRight w:val="0"/>
          <w:marTop w:val="0"/>
          <w:marBottom w:val="0"/>
          <w:divBdr>
            <w:top w:val="none" w:sz="0" w:space="0" w:color="auto"/>
            <w:left w:val="none" w:sz="0" w:space="0" w:color="auto"/>
            <w:bottom w:val="none" w:sz="0" w:space="0" w:color="auto"/>
            <w:right w:val="none" w:sz="0" w:space="0" w:color="auto"/>
          </w:divBdr>
        </w:div>
        <w:div w:id="1161000755">
          <w:marLeft w:val="480"/>
          <w:marRight w:val="0"/>
          <w:marTop w:val="0"/>
          <w:marBottom w:val="0"/>
          <w:divBdr>
            <w:top w:val="none" w:sz="0" w:space="0" w:color="auto"/>
            <w:left w:val="none" w:sz="0" w:space="0" w:color="auto"/>
            <w:bottom w:val="none" w:sz="0" w:space="0" w:color="auto"/>
            <w:right w:val="none" w:sz="0" w:space="0" w:color="auto"/>
          </w:divBdr>
        </w:div>
        <w:div w:id="1889949180">
          <w:marLeft w:val="480"/>
          <w:marRight w:val="0"/>
          <w:marTop w:val="0"/>
          <w:marBottom w:val="0"/>
          <w:divBdr>
            <w:top w:val="none" w:sz="0" w:space="0" w:color="auto"/>
            <w:left w:val="none" w:sz="0" w:space="0" w:color="auto"/>
            <w:bottom w:val="none" w:sz="0" w:space="0" w:color="auto"/>
            <w:right w:val="none" w:sz="0" w:space="0" w:color="auto"/>
          </w:divBdr>
        </w:div>
        <w:div w:id="652832434">
          <w:marLeft w:val="480"/>
          <w:marRight w:val="0"/>
          <w:marTop w:val="0"/>
          <w:marBottom w:val="0"/>
          <w:divBdr>
            <w:top w:val="none" w:sz="0" w:space="0" w:color="auto"/>
            <w:left w:val="none" w:sz="0" w:space="0" w:color="auto"/>
            <w:bottom w:val="none" w:sz="0" w:space="0" w:color="auto"/>
            <w:right w:val="none" w:sz="0" w:space="0" w:color="auto"/>
          </w:divBdr>
        </w:div>
        <w:div w:id="10106255">
          <w:marLeft w:val="480"/>
          <w:marRight w:val="0"/>
          <w:marTop w:val="0"/>
          <w:marBottom w:val="0"/>
          <w:divBdr>
            <w:top w:val="none" w:sz="0" w:space="0" w:color="auto"/>
            <w:left w:val="none" w:sz="0" w:space="0" w:color="auto"/>
            <w:bottom w:val="none" w:sz="0" w:space="0" w:color="auto"/>
            <w:right w:val="none" w:sz="0" w:space="0" w:color="auto"/>
          </w:divBdr>
        </w:div>
        <w:div w:id="218397700">
          <w:marLeft w:val="480"/>
          <w:marRight w:val="0"/>
          <w:marTop w:val="0"/>
          <w:marBottom w:val="0"/>
          <w:divBdr>
            <w:top w:val="none" w:sz="0" w:space="0" w:color="auto"/>
            <w:left w:val="none" w:sz="0" w:space="0" w:color="auto"/>
            <w:bottom w:val="none" w:sz="0" w:space="0" w:color="auto"/>
            <w:right w:val="none" w:sz="0" w:space="0" w:color="auto"/>
          </w:divBdr>
        </w:div>
        <w:div w:id="287246822">
          <w:marLeft w:val="480"/>
          <w:marRight w:val="0"/>
          <w:marTop w:val="0"/>
          <w:marBottom w:val="0"/>
          <w:divBdr>
            <w:top w:val="none" w:sz="0" w:space="0" w:color="auto"/>
            <w:left w:val="none" w:sz="0" w:space="0" w:color="auto"/>
            <w:bottom w:val="none" w:sz="0" w:space="0" w:color="auto"/>
            <w:right w:val="none" w:sz="0" w:space="0" w:color="auto"/>
          </w:divBdr>
        </w:div>
        <w:div w:id="2052877362">
          <w:marLeft w:val="480"/>
          <w:marRight w:val="0"/>
          <w:marTop w:val="0"/>
          <w:marBottom w:val="0"/>
          <w:divBdr>
            <w:top w:val="none" w:sz="0" w:space="0" w:color="auto"/>
            <w:left w:val="none" w:sz="0" w:space="0" w:color="auto"/>
            <w:bottom w:val="none" w:sz="0" w:space="0" w:color="auto"/>
            <w:right w:val="none" w:sz="0" w:space="0" w:color="auto"/>
          </w:divBdr>
        </w:div>
        <w:div w:id="543950296">
          <w:marLeft w:val="480"/>
          <w:marRight w:val="0"/>
          <w:marTop w:val="0"/>
          <w:marBottom w:val="0"/>
          <w:divBdr>
            <w:top w:val="none" w:sz="0" w:space="0" w:color="auto"/>
            <w:left w:val="none" w:sz="0" w:space="0" w:color="auto"/>
            <w:bottom w:val="none" w:sz="0" w:space="0" w:color="auto"/>
            <w:right w:val="none" w:sz="0" w:space="0" w:color="auto"/>
          </w:divBdr>
        </w:div>
        <w:div w:id="1980498722">
          <w:marLeft w:val="480"/>
          <w:marRight w:val="0"/>
          <w:marTop w:val="0"/>
          <w:marBottom w:val="0"/>
          <w:divBdr>
            <w:top w:val="none" w:sz="0" w:space="0" w:color="auto"/>
            <w:left w:val="none" w:sz="0" w:space="0" w:color="auto"/>
            <w:bottom w:val="none" w:sz="0" w:space="0" w:color="auto"/>
            <w:right w:val="none" w:sz="0" w:space="0" w:color="auto"/>
          </w:divBdr>
        </w:div>
        <w:div w:id="1827503837">
          <w:marLeft w:val="480"/>
          <w:marRight w:val="0"/>
          <w:marTop w:val="0"/>
          <w:marBottom w:val="0"/>
          <w:divBdr>
            <w:top w:val="none" w:sz="0" w:space="0" w:color="auto"/>
            <w:left w:val="none" w:sz="0" w:space="0" w:color="auto"/>
            <w:bottom w:val="none" w:sz="0" w:space="0" w:color="auto"/>
            <w:right w:val="none" w:sz="0" w:space="0" w:color="auto"/>
          </w:divBdr>
        </w:div>
        <w:div w:id="483863619">
          <w:marLeft w:val="480"/>
          <w:marRight w:val="0"/>
          <w:marTop w:val="0"/>
          <w:marBottom w:val="0"/>
          <w:divBdr>
            <w:top w:val="none" w:sz="0" w:space="0" w:color="auto"/>
            <w:left w:val="none" w:sz="0" w:space="0" w:color="auto"/>
            <w:bottom w:val="none" w:sz="0" w:space="0" w:color="auto"/>
            <w:right w:val="none" w:sz="0" w:space="0" w:color="auto"/>
          </w:divBdr>
        </w:div>
        <w:div w:id="987787963">
          <w:marLeft w:val="480"/>
          <w:marRight w:val="0"/>
          <w:marTop w:val="0"/>
          <w:marBottom w:val="0"/>
          <w:divBdr>
            <w:top w:val="none" w:sz="0" w:space="0" w:color="auto"/>
            <w:left w:val="none" w:sz="0" w:space="0" w:color="auto"/>
            <w:bottom w:val="none" w:sz="0" w:space="0" w:color="auto"/>
            <w:right w:val="none" w:sz="0" w:space="0" w:color="auto"/>
          </w:divBdr>
        </w:div>
        <w:div w:id="1560632720">
          <w:marLeft w:val="480"/>
          <w:marRight w:val="0"/>
          <w:marTop w:val="0"/>
          <w:marBottom w:val="0"/>
          <w:divBdr>
            <w:top w:val="none" w:sz="0" w:space="0" w:color="auto"/>
            <w:left w:val="none" w:sz="0" w:space="0" w:color="auto"/>
            <w:bottom w:val="none" w:sz="0" w:space="0" w:color="auto"/>
            <w:right w:val="none" w:sz="0" w:space="0" w:color="auto"/>
          </w:divBdr>
        </w:div>
        <w:div w:id="844175854">
          <w:marLeft w:val="480"/>
          <w:marRight w:val="0"/>
          <w:marTop w:val="0"/>
          <w:marBottom w:val="0"/>
          <w:divBdr>
            <w:top w:val="none" w:sz="0" w:space="0" w:color="auto"/>
            <w:left w:val="none" w:sz="0" w:space="0" w:color="auto"/>
            <w:bottom w:val="none" w:sz="0" w:space="0" w:color="auto"/>
            <w:right w:val="none" w:sz="0" w:space="0" w:color="auto"/>
          </w:divBdr>
        </w:div>
        <w:div w:id="1041855348">
          <w:marLeft w:val="480"/>
          <w:marRight w:val="0"/>
          <w:marTop w:val="0"/>
          <w:marBottom w:val="0"/>
          <w:divBdr>
            <w:top w:val="none" w:sz="0" w:space="0" w:color="auto"/>
            <w:left w:val="none" w:sz="0" w:space="0" w:color="auto"/>
            <w:bottom w:val="none" w:sz="0" w:space="0" w:color="auto"/>
            <w:right w:val="none" w:sz="0" w:space="0" w:color="auto"/>
          </w:divBdr>
        </w:div>
        <w:div w:id="896470936">
          <w:marLeft w:val="480"/>
          <w:marRight w:val="0"/>
          <w:marTop w:val="0"/>
          <w:marBottom w:val="0"/>
          <w:divBdr>
            <w:top w:val="none" w:sz="0" w:space="0" w:color="auto"/>
            <w:left w:val="none" w:sz="0" w:space="0" w:color="auto"/>
            <w:bottom w:val="none" w:sz="0" w:space="0" w:color="auto"/>
            <w:right w:val="none" w:sz="0" w:space="0" w:color="auto"/>
          </w:divBdr>
        </w:div>
        <w:div w:id="1713848030">
          <w:marLeft w:val="480"/>
          <w:marRight w:val="0"/>
          <w:marTop w:val="0"/>
          <w:marBottom w:val="0"/>
          <w:divBdr>
            <w:top w:val="none" w:sz="0" w:space="0" w:color="auto"/>
            <w:left w:val="none" w:sz="0" w:space="0" w:color="auto"/>
            <w:bottom w:val="none" w:sz="0" w:space="0" w:color="auto"/>
            <w:right w:val="none" w:sz="0" w:space="0" w:color="auto"/>
          </w:divBdr>
        </w:div>
        <w:div w:id="1514297920">
          <w:marLeft w:val="480"/>
          <w:marRight w:val="0"/>
          <w:marTop w:val="0"/>
          <w:marBottom w:val="0"/>
          <w:divBdr>
            <w:top w:val="none" w:sz="0" w:space="0" w:color="auto"/>
            <w:left w:val="none" w:sz="0" w:space="0" w:color="auto"/>
            <w:bottom w:val="none" w:sz="0" w:space="0" w:color="auto"/>
            <w:right w:val="none" w:sz="0" w:space="0" w:color="auto"/>
          </w:divBdr>
        </w:div>
        <w:div w:id="1165508334">
          <w:marLeft w:val="480"/>
          <w:marRight w:val="0"/>
          <w:marTop w:val="0"/>
          <w:marBottom w:val="0"/>
          <w:divBdr>
            <w:top w:val="none" w:sz="0" w:space="0" w:color="auto"/>
            <w:left w:val="none" w:sz="0" w:space="0" w:color="auto"/>
            <w:bottom w:val="none" w:sz="0" w:space="0" w:color="auto"/>
            <w:right w:val="none" w:sz="0" w:space="0" w:color="auto"/>
          </w:divBdr>
        </w:div>
        <w:div w:id="1170801675">
          <w:marLeft w:val="480"/>
          <w:marRight w:val="0"/>
          <w:marTop w:val="0"/>
          <w:marBottom w:val="0"/>
          <w:divBdr>
            <w:top w:val="none" w:sz="0" w:space="0" w:color="auto"/>
            <w:left w:val="none" w:sz="0" w:space="0" w:color="auto"/>
            <w:bottom w:val="none" w:sz="0" w:space="0" w:color="auto"/>
            <w:right w:val="none" w:sz="0" w:space="0" w:color="auto"/>
          </w:divBdr>
        </w:div>
        <w:div w:id="1938440808">
          <w:marLeft w:val="480"/>
          <w:marRight w:val="0"/>
          <w:marTop w:val="0"/>
          <w:marBottom w:val="0"/>
          <w:divBdr>
            <w:top w:val="none" w:sz="0" w:space="0" w:color="auto"/>
            <w:left w:val="none" w:sz="0" w:space="0" w:color="auto"/>
            <w:bottom w:val="none" w:sz="0" w:space="0" w:color="auto"/>
            <w:right w:val="none" w:sz="0" w:space="0" w:color="auto"/>
          </w:divBdr>
        </w:div>
        <w:div w:id="400717561">
          <w:marLeft w:val="480"/>
          <w:marRight w:val="0"/>
          <w:marTop w:val="0"/>
          <w:marBottom w:val="0"/>
          <w:divBdr>
            <w:top w:val="none" w:sz="0" w:space="0" w:color="auto"/>
            <w:left w:val="none" w:sz="0" w:space="0" w:color="auto"/>
            <w:bottom w:val="none" w:sz="0" w:space="0" w:color="auto"/>
            <w:right w:val="none" w:sz="0" w:space="0" w:color="auto"/>
          </w:divBdr>
        </w:div>
        <w:div w:id="1633897336">
          <w:marLeft w:val="480"/>
          <w:marRight w:val="0"/>
          <w:marTop w:val="0"/>
          <w:marBottom w:val="0"/>
          <w:divBdr>
            <w:top w:val="none" w:sz="0" w:space="0" w:color="auto"/>
            <w:left w:val="none" w:sz="0" w:space="0" w:color="auto"/>
            <w:bottom w:val="none" w:sz="0" w:space="0" w:color="auto"/>
            <w:right w:val="none" w:sz="0" w:space="0" w:color="auto"/>
          </w:divBdr>
        </w:div>
        <w:div w:id="1842769439">
          <w:marLeft w:val="480"/>
          <w:marRight w:val="0"/>
          <w:marTop w:val="0"/>
          <w:marBottom w:val="0"/>
          <w:divBdr>
            <w:top w:val="none" w:sz="0" w:space="0" w:color="auto"/>
            <w:left w:val="none" w:sz="0" w:space="0" w:color="auto"/>
            <w:bottom w:val="none" w:sz="0" w:space="0" w:color="auto"/>
            <w:right w:val="none" w:sz="0" w:space="0" w:color="auto"/>
          </w:divBdr>
        </w:div>
        <w:div w:id="1300070086">
          <w:marLeft w:val="480"/>
          <w:marRight w:val="0"/>
          <w:marTop w:val="0"/>
          <w:marBottom w:val="0"/>
          <w:divBdr>
            <w:top w:val="none" w:sz="0" w:space="0" w:color="auto"/>
            <w:left w:val="none" w:sz="0" w:space="0" w:color="auto"/>
            <w:bottom w:val="none" w:sz="0" w:space="0" w:color="auto"/>
            <w:right w:val="none" w:sz="0" w:space="0" w:color="auto"/>
          </w:divBdr>
        </w:div>
        <w:div w:id="698121074">
          <w:marLeft w:val="480"/>
          <w:marRight w:val="0"/>
          <w:marTop w:val="0"/>
          <w:marBottom w:val="0"/>
          <w:divBdr>
            <w:top w:val="none" w:sz="0" w:space="0" w:color="auto"/>
            <w:left w:val="none" w:sz="0" w:space="0" w:color="auto"/>
            <w:bottom w:val="none" w:sz="0" w:space="0" w:color="auto"/>
            <w:right w:val="none" w:sz="0" w:space="0" w:color="auto"/>
          </w:divBdr>
        </w:div>
        <w:div w:id="2032140864">
          <w:marLeft w:val="480"/>
          <w:marRight w:val="0"/>
          <w:marTop w:val="0"/>
          <w:marBottom w:val="0"/>
          <w:divBdr>
            <w:top w:val="none" w:sz="0" w:space="0" w:color="auto"/>
            <w:left w:val="none" w:sz="0" w:space="0" w:color="auto"/>
            <w:bottom w:val="none" w:sz="0" w:space="0" w:color="auto"/>
            <w:right w:val="none" w:sz="0" w:space="0" w:color="auto"/>
          </w:divBdr>
        </w:div>
        <w:div w:id="1246845743">
          <w:marLeft w:val="480"/>
          <w:marRight w:val="0"/>
          <w:marTop w:val="0"/>
          <w:marBottom w:val="0"/>
          <w:divBdr>
            <w:top w:val="none" w:sz="0" w:space="0" w:color="auto"/>
            <w:left w:val="none" w:sz="0" w:space="0" w:color="auto"/>
            <w:bottom w:val="none" w:sz="0" w:space="0" w:color="auto"/>
            <w:right w:val="none" w:sz="0" w:space="0" w:color="auto"/>
          </w:divBdr>
        </w:div>
        <w:div w:id="56559366">
          <w:marLeft w:val="480"/>
          <w:marRight w:val="0"/>
          <w:marTop w:val="0"/>
          <w:marBottom w:val="0"/>
          <w:divBdr>
            <w:top w:val="none" w:sz="0" w:space="0" w:color="auto"/>
            <w:left w:val="none" w:sz="0" w:space="0" w:color="auto"/>
            <w:bottom w:val="none" w:sz="0" w:space="0" w:color="auto"/>
            <w:right w:val="none" w:sz="0" w:space="0" w:color="auto"/>
          </w:divBdr>
        </w:div>
        <w:div w:id="1025906470">
          <w:marLeft w:val="480"/>
          <w:marRight w:val="0"/>
          <w:marTop w:val="0"/>
          <w:marBottom w:val="0"/>
          <w:divBdr>
            <w:top w:val="none" w:sz="0" w:space="0" w:color="auto"/>
            <w:left w:val="none" w:sz="0" w:space="0" w:color="auto"/>
            <w:bottom w:val="none" w:sz="0" w:space="0" w:color="auto"/>
            <w:right w:val="none" w:sz="0" w:space="0" w:color="auto"/>
          </w:divBdr>
        </w:div>
        <w:div w:id="470942348">
          <w:marLeft w:val="480"/>
          <w:marRight w:val="0"/>
          <w:marTop w:val="0"/>
          <w:marBottom w:val="0"/>
          <w:divBdr>
            <w:top w:val="none" w:sz="0" w:space="0" w:color="auto"/>
            <w:left w:val="none" w:sz="0" w:space="0" w:color="auto"/>
            <w:bottom w:val="none" w:sz="0" w:space="0" w:color="auto"/>
            <w:right w:val="none" w:sz="0" w:space="0" w:color="auto"/>
          </w:divBdr>
        </w:div>
        <w:div w:id="626550876">
          <w:marLeft w:val="480"/>
          <w:marRight w:val="0"/>
          <w:marTop w:val="0"/>
          <w:marBottom w:val="0"/>
          <w:divBdr>
            <w:top w:val="none" w:sz="0" w:space="0" w:color="auto"/>
            <w:left w:val="none" w:sz="0" w:space="0" w:color="auto"/>
            <w:bottom w:val="none" w:sz="0" w:space="0" w:color="auto"/>
            <w:right w:val="none" w:sz="0" w:space="0" w:color="auto"/>
          </w:divBdr>
        </w:div>
        <w:div w:id="1476677890">
          <w:marLeft w:val="480"/>
          <w:marRight w:val="0"/>
          <w:marTop w:val="0"/>
          <w:marBottom w:val="0"/>
          <w:divBdr>
            <w:top w:val="none" w:sz="0" w:space="0" w:color="auto"/>
            <w:left w:val="none" w:sz="0" w:space="0" w:color="auto"/>
            <w:bottom w:val="none" w:sz="0" w:space="0" w:color="auto"/>
            <w:right w:val="none" w:sz="0" w:space="0" w:color="auto"/>
          </w:divBdr>
        </w:div>
        <w:div w:id="391120149">
          <w:marLeft w:val="480"/>
          <w:marRight w:val="0"/>
          <w:marTop w:val="0"/>
          <w:marBottom w:val="0"/>
          <w:divBdr>
            <w:top w:val="none" w:sz="0" w:space="0" w:color="auto"/>
            <w:left w:val="none" w:sz="0" w:space="0" w:color="auto"/>
            <w:bottom w:val="none" w:sz="0" w:space="0" w:color="auto"/>
            <w:right w:val="none" w:sz="0" w:space="0" w:color="auto"/>
          </w:divBdr>
        </w:div>
        <w:div w:id="262688323">
          <w:marLeft w:val="480"/>
          <w:marRight w:val="0"/>
          <w:marTop w:val="0"/>
          <w:marBottom w:val="0"/>
          <w:divBdr>
            <w:top w:val="none" w:sz="0" w:space="0" w:color="auto"/>
            <w:left w:val="none" w:sz="0" w:space="0" w:color="auto"/>
            <w:bottom w:val="none" w:sz="0" w:space="0" w:color="auto"/>
            <w:right w:val="none" w:sz="0" w:space="0" w:color="auto"/>
          </w:divBdr>
        </w:div>
        <w:div w:id="958334700">
          <w:marLeft w:val="480"/>
          <w:marRight w:val="0"/>
          <w:marTop w:val="0"/>
          <w:marBottom w:val="0"/>
          <w:divBdr>
            <w:top w:val="none" w:sz="0" w:space="0" w:color="auto"/>
            <w:left w:val="none" w:sz="0" w:space="0" w:color="auto"/>
            <w:bottom w:val="none" w:sz="0" w:space="0" w:color="auto"/>
            <w:right w:val="none" w:sz="0" w:space="0" w:color="auto"/>
          </w:divBdr>
        </w:div>
        <w:div w:id="449251949">
          <w:marLeft w:val="480"/>
          <w:marRight w:val="0"/>
          <w:marTop w:val="0"/>
          <w:marBottom w:val="0"/>
          <w:divBdr>
            <w:top w:val="none" w:sz="0" w:space="0" w:color="auto"/>
            <w:left w:val="none" w:sz="0" w:space="0" w:color="auto"/>
            <w:bottom w:val="none" w:sz="0" w:space="0" w:color="auto"/>
            <w:right w:val="none" w:sz="0" w:space="0" w:color="auto"/>
          </w:divBdr>
        </w:div>
        <w:div w:id="977035281">
          <w:marLeft w:val="480"/>
          <w:marRight w:val="0"/>
          <w:marTop w:val="0"/>
          <w:marBottom w:val="0"/>
          <w:divBdr>
            <w:top w:val="none" w:sz="0" w:space="0" w:color="auto"/>
            <w:left w:val="none" w:sz="0" w:space="0" w:color="auto"/>
            <w:bottom w:val="none" w:sz="0" w:space="0" w:color="auto"/>
            <w:right w:val="none" w:sz="0" w:space="0" w:color="auto"/>
          </w:divBdr>
        </w:div>
        <w:div w:id="693580985">
          <w:marLeft w:val="480"/>
          <w:marRight w:val="0"/>
          <w:marTop w:val="0"/>
          <w:marBottom w:val="0"/>
          <w:divBdr>
            <w:top w:val="none" w:sz="0" w:space="0" w:color="auto"/>
            <w:left w:val="none" w:sz="0" w:space="0" w:color="auto"/>
            <w:bottom w:val="none" w:sz="0" w:space="0" w:color="auto"/>
            <w:right w:val="none" w:sz="0" w:space="0" w:color="auto"/>
          </w:divBdr>
        </w:div>
        <w:div w:id="83696493">
          <w:marLeft w:val="480"/>
          <w:marRight w:val="0"/>
          <w:marTop w:val="0"/>
          <w:marBottom w:val="0"/>
          <w:divBdr>
            <w:top w:val="none" w:sz="0" w:space="0" w:color="auto"/>
            <w:left w:val="none" w:sz="0" w:space="0" w:color="auto"/>
            <w:bottom w:val="none" w:sz="0" w:space="0" w:color="auto"/>
            <w:right w:val="none" w:sz="0" w:space="0" w:color="auto"/>
          </w:divBdr>
        </w:div>
        <w:div w:id="479543404">
          <w:marLeft w:val="480"/>
          <w:marRight w:val="0"/>
          <w:marTop w:val="0"/>
          <w:marBottom w:val="0"/>
          <w:divBdr>
            <w:top w:val="none" w:sz="0" w:space="0" w:color="auto"/>
            <w:left w:val="none" w:sz="0" w:space="0" w:color="auto"/>
            <w:bottom w:val="none" w:sz="0" w:space="0" w:color="auto"/>
            <w:right w:val="none" w:sz="0" w:space="0" w:color="auto"/>
          </w:divBdr>
        </w:div>
        <w:div w:id="654646075">
          <w:marLeft w:val="480"/>
          <w:marRight w:val="0"/>
          <w:marTop w:val="0"/>
          <w:marBottom w:val="0"/>
          <w:divBdr>
            <w:top w:val="none" w:sz="0" w:space="0" w:color="auto"/>
            <w:left w:val="none" w:sz="0" w:space="0" w:color="auto"/>
            <w:bottom w:val="none" w:sz="0" w:space="0" w:color="auto"/>
            <w:right w:val="none" w:sz="0" w:space="0" w:color="auto"/>
          </w:divBdr>
        </w:div>
        <w:div w:id="792866536">
          <w:marLeft w:val="480"/>
          <w:marRight w:val="0"/>
          <w:marTop w:val="0"/>
          <w:marBottom w:val="0"/>
          <w:divBdr>
            <w:top w:val="none" w:sz="0" w:space="0" w:color="auto"/>
            <w:left w:val="none" w:sz="0" w:space="0" w:color="auto"/>
            <w:bottom w:val="none" w:sz="0" w:space="0" w:color="auto"/>
            <w:right w:val="none" w:sz="0" w:space="0" w:color="auto"/>
          </w:divBdr>
        </w:div>
        <w:div w:id="1165589161">
          <w:marLeft w:val="480"/>
          <w:marRight w:val="0"/>
          <w:marTop w:val="0"/>
          <w:marBottom w:val="0"/>
          <w:divBdr>
            <w:top w:val="none" w:sz="0" w:space="0" w:color="auto"/>
            <w:left w:val="none" w:sz="0" w:space="0" w:color="auto"/>
            <w:bottom w:val="none" w:sz="0" w:space="0" w:color="auto"/>
            <w:right w:val="none" w:sz="0" w:space="0" w:color="auto"/>
          </w:divBdr>
        </w:div>
        <w:div w:id="1249656014">
          <w:marLeft w:val="480"/>
          <w:marRight w:val="0"/>
          <w:marTop w:val="0"/>
          <w:marBottom w:val="0"/>
          <w:divBdr>
            <w:top w:val="none" w:sz="0" w:space="0" w:color="auto"/>
            <w:left w:val="none" w:sz="0" w:space="0" w:color="auto"/>
            <w:bottom w:val="none" w:sz="0" w:space="0" w:color="auto"/>
            <w:right w:val="none" w:sz="0" w:space="0" w:color="auto"/>
          </w:divBdr>
        </w:div>
        <w:div w:id="2124809769">
          <w:marLeft w:val="480"/>
          <w:marRight w:val="0"/>
          <w:marTop w:val="0"/>
          <w:marBottom w:val="0"/>
          <w:divBdr>
            <w:top w:val="none" w:sz="0" w:space="0" w:color="auto"/>
            <w:left w:val="none" w:sz="0" w:space="0" w:color="auto"/>
            <w:bottom w:val="none" w:sz="0" w:space="0" w:color="auto"/>
            <w:right w:val="none" w:sz="0" w:space="0" w:color="auto"/>
          </w:divBdr>
        </w:div>
        <w:div w:id="1460681630">
          <w:marLeft w:val="480"/>
          <w:marRight w:val="0"/>
          <w:marTop w:val="0"/>
          <w:marBottom w:val="0"/>
          <w:divBdr>
            <w:top w:val="none" w:sz="0" w:space="0" w:color="auto"/>
            <w:left w:val="none" w:sz="0" w:space="0" w:color="auto"/>
            <w:bottom w:val="none" w:sz="0" w:space="0" w:color="auto"/>
            <w:right w:val="none" w:sz="0" w:space="0" w:color="auto"/>
          </w:divBdr>
        </w:div>
        <w:div w:id="1859342918">
          <w:marLeft w:val="480"/>
          <w:marRight w:val="0"/>
          <w:marTop w:val="0"/>
          <w:marBottom w:val="0"/>
          <w:divBdr>
            <w:top w:val="none" w:sz="0" w:space="0" w:color="auto"/>
            <w:left w:val="none" w:sz="0" w:space="0" w:color="auto"/>
            <w:bottom w:val="none" w:sz="0" w:space="0" w:color="auto"/>
            <w:right w:val="none" w:sz="0" w:space="0" w:color="auto"/>
          </w:divBdr>
        </w:div>
        <w:div w:id="1393843479">
          <w:marLeft w:val="480"/>
          <w:marRight w:val="0"/>
          <w:marTop w:val="0"/>
          <w:marBottom w:val="0"/>
          <w:divBdr>
            <w:top w:val="none" w:sz="0" w:space="0" w:color="auto"/>
            <w:left w:val="none" w:sz="0" w:space="0" w:color="auto"/>
            <w:bottom w:val="none" w:sz="0" w:space="0" w:color="auto"/>
            <w:right w:val="none" w:sz="0" w:space="0" w:color="auto"/>
          </w:divBdr>
        </w:div>
        <w:div w:id="1113787760">
          <w:marLeft w:val="480"/>
          <w:marRight w:val="0"/>
          <w:marTop w:val="0"/>
          <w:marBottom w:val="0"/>
          <w:divBdr>
            <w:top w:val="none" w:sz="0" w:space="0" w:color="auto"/>
            <w:left w:val="none" w:sz="0" w:space="0" w:color="auto"/>
            <w:bottom w:val="none" w:sz="0" w:space="0" w:color="auto"/>
            <w:right w:val="none" w:sz="0" w:space="0" w:color="auto"/>
          </w:divBdr>
        </w:div>
        <w:div w:id="411778454">
          <w:marLeft w:val="480"/>
          <w:marRight w:val="0"/>
          <w:marTop w:val="0"/>
          <w:marBottom w:val="0"/>
          <w:divBdr>
            <w:top w:val="none" w:sz="0" w:space="0" w:color="auto"/>
            <w:left w:val="none" w:sz="0" w:space="0" w:color="auto"/>
            <w:bottom w:val="none" w:sz="0" w:space="0" w:color="auto"/>
            <w:right w:val="none" w:sz="0" w:space="0" w:color="auto"/>
          </w:divBdr>
        </w:div>
        <w:div w:id="1322124889">
          <w:marLeft w:val="480"/>
          <w:marRight w:val="0"/>
          <w:marTop w:val="0"/>
          <w:marBottom w:val="0"/>
          <w:divBdr>
            <w:top w:val="none" w:sz="0" w:space="0" w:color="auto"/>
            <w:left w:val="none" w:sz="0" w:space="0" w:color="auto"/>
            <w:bottom w:val="none" w:sz="0" w:space="0" w:color="auto"/>
            <w:right w:val="none" w:sz="0" w:space="0" w:color="auto"/>
          </w:divBdr>
        </w:div>
        <w:div w:id="2078892386">
          <w:marLeft w:val="480"/>
          <w:marRight w:val="0"/>
          <w:marTop w:val="0"/>
          <w:marBottom w:val="0"/>
          <w:divBdr>
            <w:top w:val="none" w:sz="0" w:space="0" w:color="auto"/>
            <w:left w:val="none" w:sz="0" w:space="0" w:color="auto"/>
            <w:bottom w:val="none" w:sz="0" w:space="0" w:color="auto"/>
            <w:right w:val="none" w:sz="0" w:space="0" w:color="auto"/>
          </w:divBdr>
        </w:div>
        <w:div w:id="1208184290">
          <w:marLeft w:val="480"/>
          <w:marRight w:val="0"/>
          <w:marTop w:val="0"/>
          <w:marBottom w:val="0"/>
          <w:divBdr>
            <w:top w:val="none" w:sz="0" w:space="0" w:color="auto"/>
            <w:left w:val="none" w:sz="0" w:space="0" w:color="auto"/>
            <w:bottom w:val="none" w:sz="0" w:space="0" w:color="auto"/>
            <w:right w:val="none" w:sz="0" w:space="0" w:color="auto"/>
          </w:divBdr>
        </w:div>
        <w:div w:id="886455015">
          <w:marLeft w:val="480"/>
          <w:marRight w:val="0"/>
          <w:marTop w:val="0"/>
          <w:marBottom w:val="0"/>
          <w:divBdr>
            <w:top w:val="none" w:sz="0" w:space="0" w:color="auto"/>
            <w:left w:val="none" w:sz="0" w:space="0" w:color="auto"/>
            <w:bottom w:val="none" w:sz="0" w:space="0" w:color="auto"/>
            <w:right w:val="none" w:sz="0" w:space="0" w:color="auto"/>
          </w:divBdr>
        </w:div>
        <w:div w:id="1733388821">
          <w:marLeft w:val="480"/>
          <w:marRight w:val="0"/>
          <w:marTop w:val="0"/>
          <w:marBottom w:val="0"/>
          <w:divBdr>
            <w:top w:val="none" w:sz="0" w:space="0" w:color="auto"/>
            <w:left w:val="none" w:sz="0" w:space="0" w:color="auto"/>
            <w:bottom w:val="none" w:sz="0" w:space="0" w:color="auto"/>
            <w:right w:val="none" w:sz="0" w:space="0" w:color="auto"/>
          </w:divBdr>
        </w:div>
        <w:div w:id="883755247">
          <w:marLeft w:val="480"/>
          <w:marRight w:val="0"/>
          <w:marTop w:val="0"/>
          <w:marBottom w:val="0"/>
          <w:divBdr>
            <w:top w:val="none" w:sz="0" w:space="0" w:color="auto"/>
            <w:left w:val="none" w:sz="0" w:space="0" w:color="auto"/>
            <w:bottom w:val="none" w:sz="0" w:space="0" w:color="auto"/>
            <w:right w:val="none" w:sz="0" w:space="0" w:color="auto"/>
          </w:divBdr>
        </w:div>
        <w:div w:id="106168914">
          <w:marLeft w:val="480"/>
          <w:marRight w:val="0"/>
          <w:marTop w:val="0"/>
          <w:marBottom w:val="0"/>
          <w:divBdr>
            <w:top w:val="none" w:sz="0" w:space="0" w:color="auto"/>
            <w:left w:val="none" w:sz="0" w:space="0" w:color="auto"/>
            <w:bottom w:val="none" w:sz="0" w:space="0" w:color="auto"/>
            <w:right w:val="none" w:sz="0" w:space="0" w:color="auto"/>
          </w:divBdr>
        </w:div>
        <w:div w:id="2094234444">
          <w:marLeft w:val="480"/>
          <w:marRight w:val="0"/>
          <w:marTop w:val="0"/>
          <w:marBottom w:val="0"/>
          <w:divBdr>
            <w:top w:val="none" w:sz="0" w:space="0" w:color="auto"/>
            <w:left w:val="none" w:sz="0" w:space="0" w:color="auto"/>
            <w:bottom w:val="none" w:sz="0" w:space="0" w:color="auto"/>
            <w:right w:val="none" w:sz="0" w:space="0" w:color="auto"/>
          </w:divBdr>
        </w:div>
        <w:div w:id="1478911308">
          <w:marLeft w:val="480"/>
          <w:marRight w:val="0"/>
          <w:marTop w:val="0"/>
          <w:marBottom w:val="0"/>
          <w:divBdr>
            <w:top w:val="none" w:sz="0" w:space="0" w:color="auto"/>
            <w:left w:val="none" w:sz="0" w:space="0" w:color="auto"/>
            <w:bottom w:val="none" w:sz="0" w:space="0" w:color="auto"/>
            <w:right w:val="none" w:sz="0" w:space="0" w:color="auto"/>
          </w:divBdr>
        </w:div>
        <w:div w:id="552933233">
          <w:marLeft w:val="480"/>
          <w:marRight w:val="0"/>
          <w:marTop w:val="0"/>
          <w:marBottom w:val="0"/>
          <w:divBdr>
            <w:top w:val="none" w:sz="0" w:space="0" w:color="auto"/>
            <w:left w:val="none" w:sz="0" w:space="0" w:color="auto"/>
            <w:bottom w:val="none" w:sz="0" w:space="0" w:color="auto"/>
            <w:right w:val="none" w:sz="0" w:space="0" w:color="auto"/>
          </w:divBdr>
        </w:div>
        <w:div w:id="1631783428">
          <w:marLeft w:val="480"/>
          <w:marRight w:val="0"/>
          <w:marTop w:val="0"/>
          <w:marBottom w:val="0"/>
          <w:divBdr>
            <w:top w:val="none" w:sz="0" w:space="0" w:color="auto"/>
            <w:left w:val="none" w:sz="0" w:space="0" w:color="auto"/>
            <w:bottom w:val="none" w:sz="0" w:space="0" w:color="auto"/>
            <w:right w:val="none" w:sz="0" w:space="0" w:color="auto"/>
          </w:divBdr>
        </w:div>
        <w:div w:id="733360226">
          <w:marLeft w:val="480"/>
          <w:marRight w:val="0"/>
          <w:marTop w:val="0"/>
          <w:marBottom w:val="0"/>
          <w:divBdr>
            <w:top w:val="none" w:sz="0" w:space="0" w:color="auto"/>
            <w:left w:val="none" w:sz="0" w:space="0" w:color="auto"/>
            <w:bottom w:val="none" w:sz="0" w:space="0" w:color="auto"/>
            <w:right w:val="none" w:sz="0" w:space="0" w:color="auto"/>
          </w:divBdr>
        </w:div>
        <w:div w:id="49772078">
          <w:marLeft w:val="480"/>
          <w:marRight w:val="0"/>
          <w:marTop w:val="0"/>
          <w:marBottom w:val="0"/>
          <w:divBdr>
            <w:top w:val="none" w:sz="0" w:space="0" w:color="auto"/>
            <w:left w:val="none" w:sz="0" w:space="0" w:color="auto"/>
            <w:bottom w:val="none" w:sz="0" w:space="0" w:color="auto"/>
            <w:right w:val="none" w:sz="0" w:space="0" w:color="auto"/>
          </w:divBdr>
        </w:div>
        <w:div w:id="1505431955">
          <w:marLeft w:val="480"/>
          <w:marRight w:val="0"/>
          <w:marTop w:val="0"/>
          <w:marBottom w:val="0"/>
          <w:divBdr>
            <w:top w:val="none" w:sz="0" w:space="0" w:color="auto"/>
            <w:left w:val="none" w:sz="0" w:space="0" w:color="auto"/>
            <w:bottom w:val="none" w:sz="0" w:space="0" w:color="auto"/>
            <w:right w:val="none" w:sz="0" w:space="0" w:color="auto"/>
          </w:divBdr>
        </w:div>
        <w:div w:id="332953600">
          <w:marLeft w:val="480"/>
          <w:marRight w:val="0"/>
          <w:marTop w:val="0"/>
          <w:marBottom w:val="0"/>
          <w:divBdr>
            <w:top w:val="none" w:sz="0" w:space="0" w:color="auto"/>
            <w:left w:val="none" w:sz="0" w:space="0" w:color="auto"/>
            <w:bottom w:val="none" w:sz="0" w:space="0" w:color="auto"/>
            <w:right w:val="none" w:sz="0" w:space="0" w:color="auto"/>
          </w:divBdr>
        </w:div>
        <w:div w:id="480998880">
          <w:marLeft w:val="480"/>
          <w:marRight w:val="0"/>
          <w:marTop w:val="0"/>
          <w:marBottom w:val="0"/>
          <w:divBdr>
            <w:top w:val="none" w:sz="0" w:space="0" w:color="auto"/>
            <w:left w:val="none" w:sz="0" w:space="0" w:color="auto"/>
            <w:bottom w:val="none" w:sz="0" w:space="0" w:color="auto"/>
            <w:right w:val="none" w:sz="0" w:space="0" w:color="auto"/>
          </w:divBdr>
        </w:div>
        <w:div w:id="2092268262">
          <w:marLeft w:val="480"/>
          <w:marRight w:val="0"/>
          <w:marTop w:val="0"/>
          <w:marBottom w:val="0"/>
          <w:divBdr>
            <w:top w:val="none" w:sz="0" w:space="0" w:color="auto"/>
            <w:left w:val="none" w:sz="0" w:space="0" w:color="auto"/>
            <w:bottom w:val="none" w:sz="0" w:space="0" w:color="auto"/>
            <w:right w:val="none" w:sz="0" w:space="0" w:color="auto"/>
          </w:divBdr>
        </w:div>
        <w:div w:id="1112282974">
          <w:marLeft w:val="480"/>
          <w:marRight w:val="0"/>
          <w:marTop w:val="0"/>
          <w:marBottom w:val="0"/>
          <w:divBdr>
            <w:top w:val="none" w:sz="0" w:space="0" w:color="auto"/>
            <w:left w:val="none" w:sz="0" w:space="0" w:color="auto"/>
            <w:bottom w:val="none" w:sz="0" w:space="0" w:color="auto"/>
            <w:right w:val="none" w:sz="0" w:space="0" w:color="auto"/>
          </w:divBdr>
        </w:div>
        <w:div w:id="1147042799">
          <w:marLeft w:val="480"/>
          <w:marRight w:val="0"/>
          <w:marTop w:val="0"/>
          <w:marBottom w:val="0"/>
          <w:divBdr>
            <w:top w:val="none" w:sz="0" w:space="0" w:color="auto"/>
            <w:left w:val="none" w:sz="0" w:space="0" w:color="auto"/>
            <w:bottom w:val="none" w:sz="0" w:space="0" w:color="auto"/>
            <w:right w:val="none" w:sz="0" w:space="0" w:color="auto"/>
          </w:divBdr>
        </w:div>
        <w:div w:id="556009261">
          <w:marLeft w:val="480"/>
          <w:marRight w:val="0"/>
          <w:marTop w:val="0"/>
          <w:marBottom w:val="0"/>
          <w:divBdr>
            <w:top w:val="none" w:sz="0" w:space="0" w:color="auto"/>
            <w:left w:val="none" w:sz="0" w:space="0" w:color="auto"/>
            <w:bottom w:val="none" w:sz="0" w:space="0" w:color="auto"/>
            <w:right w:val="none" w:sz="0" w:space="0" w:color="auto"/>
          </w:divBdr>
        </w:div>
        <w:div w:id="962728328">
          <w:marLeft w:val="480"/>
          <w:marRight w:val="0"/>
          <w:marTop w:val="0"/>
          <w:marBottom w:val="0"/>
          <w:divBdr>
            <w:top w:val="none" w:sz="0" w:space="0" w:color="auto"/>
            <w:left w:val="none" w:sz="0" w:space="0" w:color="auto"/>
            <w:bottom w:val="none" w:sz="0" w:space="0" w:color="auto"/>
            <w:right w:val="none" w:sz="0" w:space="0" w:color="auto"/>
          </w:divBdr>
        </w:div>
        <w:div w:id="1318460309">
          <w:marLeft w:val="480"/>
          <w:marRight w:val="0"/>
          <w:marTop w:val="0"/>
          <w:marBottom w:val="0"/>
          <w:divBdr>
            <w:top w:val="none" w:sz="0" w:space="0" w:color="auto"/>
            <w:left w:val="none" w:sz="0" w:space="0" w:color="auto"/>
            <w:bottom w:val="none" w:sz="0" w:space="0" w:color="auto"/>
            <w:right w:val="none" w:sz="0" w:space="0" w:color="auto"/>
          </w:divBdr>
        </w:div>
        <w:div w:id="608053376">
          <w:marLeft w:val="480"/>
          <w:marRight w:val="0"/>
          <w:marTop w:val="0"/>
          <w:marBottom w:val="0"/>
          <w:divBdr>
            <w:top w:val="none" w:sz="0" w:space="0" w:color="auto"/>
            <w:left w:val="none" w:sz="0" w:space="0" w:color="auto"/>
            <w:bottom w:val="none" w:sz="0" w:space="0" w:color="auto"/>
            <w:right w:val="none" w:sz="0" w:space="0" w:color="auto"/>
          </w:divBdr>
        </w:div>
        <w:div w:id="2013027465">
          <w:marLeft w:val="480"/>
          <w:marRight w:val="0"/>
          <w:marTop w:val="0"/>
          <w:marBottom w:val="0"/>
          <w:divBdr>
            <w:top w:val="none" w:sz="0" w:space="0" w:color="auto"/>
            <w:left w:val="none" w:sz="0" w:space="0" w:color="auto"/>
            <w:bottom w:val="none" w:sz="0" w:space="0" w:color="auto"/>
            <w:right w:val="none" w:sz="0" w:space="0" w:color="auto"/>
          </w:divBdr>
        </w:div>
        <w:div w:id="351805176">
          <w:marLeft w:val="480"/>
          <w:marRight w:val="0"/>
          <w:marTop w:val="0"/>
          <w:marBottom w:val="0"/>
          <w:divBdr>
            <w:top w:val="none" w:sz="0" w:space="0" w:color="auto"/>
            <w:left w:val="none" w:sz="0" w:space="0" w:color="auto"/>
            <w:bottom w:val="none" w:sz="0" w:space="0" w:color="auto"/>
            <w:right w:val="none" w:sz="0" w:space="0" w:color="auto"/>
          </w:divBdr>
        </w:div>
        <w:div w:id="1266037764">
          <w:marLeft w:val="480"/>
          <w:marRight w:val="0"/>
          <w:marTop w:val="0"/>
          <w:marBottom w:val="0"/>
          <w:divBdr>
            <w:top w:val="none" w:sz="0" w:space="0" w:color="auto"/>
            <w:left w:val="none" w:sz="0" w:space="0" w:color="auto"/>
            <w:bottom w:val="none" w:sz="0" w:space="0" w:color="auto"/>
            <w:right w:val="none" w:sz="0" w:space="0" w:color="auto"/>
          </w:divBdr>
        </w:div>
        <w:div w:id="1618872384">
          <w:marLeft w:val="480"/>
          <w:marRight w:val="0"/>
          <w:marTop w:val="0"/>
          <w:marBottom w:val="0"/>
          <w:divBdr>
            <w:top w:val="none" w:sz="0" w:space="0" w:color="auto"/>
            <w:left w:val="none" w:sz="0" w:space="0" w:color="auto"/>
            <w:bottom w:val="none" w:sz="0" w:space="0" w:color="auto"/>
            <w:right w:val="none" w:sz="0" w:space="0" w:color="auto"/>
          </w:divBdr>
        </w:div>
        <w:div w:id="71046311">
          <w:marLeft w:val="480"/>
          <w:marRight w:val="0"/>
          <w:marTop w:val="0"/>
          <w:marBottom w:val="0"/>
          <w:divBdr>
            <w:top w:val="none" w:sz="0" w:space="0" w:color="auto"/>
            <w:left w:val="none" w:sz="0" w:space="0" w:color="auto"/>
            <w:bottom w:val="none" w:sz="0" w:space="0" w:color="auto"/>
            <w:right w:val="none" w:sz="0" w:space="0" w:color="auto"/>
          </w:divBdr>
        </w:div>
        <w:div w:id="1550802962">
          <w:marLeft w:val="480"/>
          <w:marRight w:val="0"/>
          <w:marTop w:val="0"/>
          <w:marBottom w:val="0"/>
          <w:divBdr>
            <w:top w:val="none" w:sz="0" w:space="0" w:color="auto"/>
            <w:left w:val="none" w:sz="0" w:space="0" w:color="auto"/>
            <w:bottom w:val="none" w:sz="0" w:space="0" w:color="auto"/>
            <w:right w:val="none" w:sz="0" w:space="0" w:color="auto"/>
          </w:divBdr>
        </w:div>
        <w:div w:id="294023194">
          <w:marLeft w:val="480"/>
          <w:marRight w:val="0"/>
          <w:marTop w:val="0"/>
          <w:marBottom w:val="0"/>
          <w:divBdr>
            <w:top w:val="none" w:sz="0" w:space="0" w:color="auto"/>
            <w:left w:val="none" w:sz="0" w:space="0" w:color="auto"/>
            <w:bottom w:val="none" w:sz="0" w:space="0" w:color="auto"/>
            <w:right w:val="none" w:sz="0" w:space="0" w:color="auto"/>
          </w:divBdr>
        </w:div>
        <w:div w:id="215236802">
          <w:marLeft w:val="480"/>
          <w:marRight w:val="0"/>
          <w:marTop w:val="0"/>
          <w:marBottom w:val="0"/>
          <w:divBdr>
            <w:top w:val="none" w:sz="0" w:space="0" w:color="auto"/>
            <w:left w:val="none" w:sz="0" w:space="0" w:color="auto"/>
            <w:bottom w:val="none" w:sz="0" w:space="0" w:color="auto"/>
            <w:right w:val="none" w:sz="0" w:space="0" w:color="auto"/>
          </w:divBdr>
        </w:div>
        <w:div w:id="442112647">
          <w:marLeft w:val="480"/>
          <w:marRight w:val="0"/>
          <w:marTop w:val="0"/>
          <w:marBottom w:val="0"/>
          <w:divBdr>
            <w:top w:val="none" w:sz="0" w:space="0" w:color="auto"/>
            <w:left w:val="none" w:sz="0" w:space="0" w:color="auto"/>
            <w:bottom w:val="none" w:sz="0" w:space="0" w:color="auto"/>
            <w:right w:val="none" w:sz="0" w:space="0" w:color="auto"/>
          </w:divBdr>
        </w:div>
        <w:div w:id="24404722">
          <w:marLeft w:val="480"/>
          <w:marRight w:val="0"/>
          <w:marTop w:val="0"/>
          <w:marBottom w:val="0"/>
          <w:divBdr>
            <w:top w:val="none" w:sz="0" w:space="0" w:color="auto"/>
            <w:left w:val="none" w:sz="0" w:space="0" w:color="auto"/>
            <w:bottom w:val="none" w:sz="0" w:space="0" w:color="auto"/>
            <w:right w:val="none" w:sz="0" w:space="0" w:color="auto"/>
          </w:divBdr>
        </w:div>
        <w:div w:id="1078941440">
          <w:marLeft w:val="480"/>
          <w:marRight w:val="0"/>
          <w:marTop w:val="0"/>
          <w:marBottom w:val="0"/>
          <w:divBdr>
            <w:top w:val="none" w:sz="0" w:space="0" w:color="auto"/>
            <w:left w:val="none" w:sz="0" w:space="0" w:color="auto"/>
            <w:bottom w:val="none" w:sz="0" w:space="0" w:color="auto"/>
            <w:right w:val="none" w:sz="0" w:space="0" w:color="auto"/>
          </w:divBdr>
        </w:div>
        <w:div w:id="294919047">
          <w:marLeft w:val="480"/>
          <w:marRight w:val="0"/>
          <w:marTop w:val="0"/>
          <w:marBottom w:val="0"/>
          <w:divBdr>
            <w:top w:val="none" w:sz="0" w:space="0" w:color="auto"/>
            <w:left w:val="none" w:sz="0" w:space="0" w:color="auto"/>
            <w:bottom w:val="none" w:sz="0" w:space="0" w:color="auto"/>
            <w:right w:val="none" w:sz="0" w:space="0" w:color="auto"/>
          </w:divBdr>
        </w:div>
        <w:div w:id="287400671">
          <w:marLeft w:val="480"/>
          <w:marRight w:val="0"/>
          <w:marTop w:val="0"/>
          <w:marBottom w:val="0"/>
          <w:divBdr>
            <w:top w:val="none" w:sz="0" w:space="0" w:color="auto"/>
            <w:left w:val="none" w:sz="0" w:space="0" w:color="auto"/>
            <w:bottom w:val="none" w:sz="0" w:space="0" w:color="auto"/>
            <w:right w:val="none" w:sz="0" w:space="0" w:color="auto"/>
          </w:divBdr>
        </w:div>
        <w:div w:id="1785925544">
          <w:marLeft w:val="480"/>
          <w:marRight w:val="0"/>
          <w:marTop w:val="0"/>
          <w:marBottom w:val="0"/>
          <w:divBdr>
            <w:top w:val="none" w:sz="0" w:space="0" w:color="auto"/>
            <w:left w:val="none" w:sz="0" w:space="0" w:color="auto"/>
            <w:bottom w:val="none" w:sz="0" w:space="0" w:color="auto"/>
            <w:right w:val="none" w:sz="0" w:space="0" w:color="auto"/>
          </w:divBdr>
        </w:div>
        <w:div w:id="1681856234">
          <w:marLeft w:val="480"/>
          <w:marRight w:val="0"/>
          <w:marTop w:val="0"/>
          <w:marBottom w:val="0"/>
          <w:divBdr>
            <w:top w:val="none" w:sz="0" w:space="0" w:color="auto"/>
            <w:left w:val="none" w:sz="0" w:space="0" w:color="auto"/>
            <w:bottom w:val="none" w:sz="0" w:space="0" w:color="auto"/>
            <w:right w:val="none" w:sz="0" w:space="0" w:color="auto"/>
          </w:divBdr>
        </w:div>
        <w:div w:id="430009104">
          <w:marLeft w:val="480"/>
          <w:marRight w:val="0"/>
          <w:marTop w:val="0"/>
          <w:marBottom w:val="0"/>
          <w:divBdr>
            <w:top w:val="none" w:sz="0" w:space="0" w:color="auto"/>
            <w:left w:val="none" w:sz="0" w:space="0" w:color="auto"/>
            <w:bottom w:val="none" w:sz="0" w:space="0" w:color="auto"/>
            <w:right w:val="none" w:sz="0" w:space="0" w:color="auto"/>
          </w:divBdr>
        </w:div>
        <w:div w:id="1295450871">
          <w:marLeft w:val="480"/>
          <w:marRight w:val="0"/>
          <w:marTop w:val="0"/>
          <w:marBottom w:val="0"/>
          <w:divBdr>
            <w:top w:val="none" w:sz="0" w:space="0" w:color="auto"/>
            <w:left w:val="none" w:sz="0" w:space="0" w:color="auto"/>
            <w:bottom w:val="none" w:sz="0" w:space="0" w:color="auto"/>
            <w:right w:val="none" w:sz="0" w:space="0" w:color="auto"/>
          </w:divBdr>
        </w:div>
        <w:div w:id="2112433250">
          <w:marLeft w:val="480"/>
          <w:marRight w:val="0"/>
          <w:marTop w:val="0"/>
          <w:marBottom w:val="0"/>
          <w:divBdr>
            <w:top w:val="none" w:sz="0" w:space="0" w:color="auto"/>
            <w:left w:val="none" w:sz="0" w:space="0" w:color="auto"/>
            <w:bottom w:val="none" w:sz="0" w:space="0" w:color="auto"/>
            <w:right w:val="none" w:sz="0" w:space="0" w:color="auto"/>
          </w:divBdr>
        </w:div>
        <w:div w:id="1351025429">
          <w:marLeft w:val="480"/>
          <w:marRight w:val="0"/>
          <w:marTop w:val="0"/>
          <w:marBottom w:val="0"/>
          <w:divBdr>
            <w:top w:val="none" w:sz="0" w:space="0" w:color="auto"/>
            <w:left w:val="none" w:sz="0" w:space="0" w:color="auto"/>
            <w:bottom w:val="none" w:sz="0" w:space="0" w:color="auto"/>
            <w:right w:val="none" w:sz="0" w:space="0" w:color="auto"/>
          </w:divBdr>
        </w:div>
        <w:div w:id="2048482701">
          <w:marLeft w:val="480"/>
          <w:marRight w:val="0"/>
          <w:marTop w:val="0"/>
          <w:marBottom w:val="0"/>
          <w:divBdr>
            <w:top w:val="none" w:sz="0" w:space="0" w:color="auto"/>
            <w:left w:val="none" w:sz="0" w:space="0" w:color="auto"/>
            <w:bottom w:val="none" w:sz="0" w:space="0" w:color="auto"/>
            <w:right w:val="none" w:sz="0" w:space="0" w:color="auto"/>
          </w:divBdr>
        </w:div>
        <w:div w:id="1163354601">
          <w:marLeft w:val="480"/>
          <w:marRight w:val="0"/>
          <w:marTop w:val="0"/>
          <w:marBottom w:val="0"/>
          <w:divBdr>
            <w:top w:val="none" w:sz="0" w:space="0" w:color="auto"/>
            <w:left w:val="none" w:sz="0" w:space="0" w:color="auto"/>
            <w:bottom w:val="none" w:sz="0" w:space="0" w:color="auto"/>
            <w:right w:val="none" w:sz="0" w:space="0" w:color="auto"/>
          </w:divBdr>
        </w:div>
        <w:div w:id="90903178">
          <w:marLeft w:val="480"/>
          <w:marRight w:val="0"/>
          <w:marTop w:val="0"/>
          <w:marBottom w:val="0"/>
          <w:divBdr>
            <w:top w:val="none" w:sz="0" w:space="0" w:color="auto"/>
            <w:left w:val="none" w:sz="0" w:space="0" w:color="auto"/>
            <w:bottom w:val="none" w:sz="0" w:space="0" w:color="auto"/>
            <w:right w:val="none" w:sz="0" w:space="0" w:color="auto"/>
          </w:divBdr>
        </w:div>
        <w:div w:id="664625278">
          <w:marLeft w:val="480"/>
          <w:marRight w:val="0"/>
          <w:marTop w:val="0"/>
          <w:marBottom w:val="0"/>
          <w:divBdr>
            <w:top w:val="none" w:sz="0" w:space="0" w:color="auto"/>
            <w:left w:val="none" w:sz="0" w:space="0" w:color="auto"/>
            <w:bottom w:val="none" w:sz="0" w:space="0" w:color="auto"/>
            <w:right w:val="none" w:sz="0" w:space="0" w:color="auto"/>
          </w:divBdr>
        </w:div>
        <w:div w:id="1444037807">
          <w:marLeft w:val="480"/>
          <w:marRight w:val="0"/>
          <w:marTop w:val="0"/>
          <w:marBottom w:val="0"/>
          <w:divBdr>
            <w:top w:val="none" w:sz="0" w:space="0" w:color="auto"/>
            <w:left w:val="none" w:sz="0" w:space="0" w:color="auto"/>
            <w:bottom w:val="none" w:sz="0" w:space="0" w:color="auto"/>
            <w:right w:val="none" w:sz="0" w:space="0" w:color="auto"/>
          </w:divBdr>
        </w:div>
        <w:div w:id="641622538">
          <w:marLeft w:val="480"/>
          <w:marRight w:val="0"/>
          <w:marTop w:val="0"/>
          <w:marBottom w:val="0"/>
          <w:divBdr>
            <w:top w:val="none" w:sz="0" w:space="0" w:color="auto"/>
            <w:left w:val="none" w:sz="0" w:space="0" w:color="auto"/>
            <w:bottom w:val="none" w:sz="0" w:space="0" w:color="auto"/>
            <w:right w:val="none" w:sz="0" w:space="0" w:color="auto"/>
          </w:divBdr>
        </w:div>
        <w:div w:id="1333146678">
          <w:marLeft w:val="480"/>
          <w:marRight w:val="0"/>
          <w:marTop w:val="0"/>
          <w:marBottom w:val="0"/>
          <w:divBdr>
            <w:top w:val="none" w:sz="0" w:space="0" w:color="auto"/>
            <w:left w:val="none" w:sz="0" w:space="0" w:color="auto"/>
            <w:bottom w:val="none" w:sz="0" w:space="0" w:color="auto"/>
            <w:right w:val="none" w:sz="0" w:space="0" w:color="auto"/>
          </w:divBdr>
        </w:div>
      </w:divsChild>
    </w:div>
    <w:div w:id="695689807">
      <w:bodyDiv w:val="1"/>
      <w:marLeft w:val="0"/>
      <w:marRight w:val="0"/>
      <w:marTop w:val="0"/>
      <w:marBottom w:val="0"/>
      <w:divBdr>
        <w:top w:val="none" w:sz="0" w:space="0" w:color="auto"/>
        <w:left w:val="none" w:sz="0" w:space="0" w:color="auto"/>
        <w:bottom w:val="none" w:sz="0" w:space="0" w:color="auto"/>
        <w:right w:val="none" w:sz="0" w:space="0" w:color="auto"/>
      </w:divBdr>
    </w:div>
    <w:div w:id="696124764">
      <w:bodyDiv w:val="1"/>
      <w:marLeft w:val="0"/>
      <w:marRight w:val="0"/>
      <w:marTop w:val="0"/>
      <w:marBottom w:val="0"/>
      <w:divBdr>
        <w:top w:val="none" w:sz="0" w:space="0" w:color="auto"/>
        <w:left w:val="none" w:sz="0" w:space="0" w:color="auto"/>
        <w:bottom w:val="none" w:sz="0" w:space="0" w:color="auto"/>
        <w:right w:val="none" w:sz="0" w:space="0" w:color="auto"/>
      </w:divBdr>
    </w:div>
    <w:div w:id="696277507">
      <w:bodyDiv w:val="1"/>
      <w:marLeft w:val="0"/>
      <w:marRight w:val="0"/>
      <w:marTop w:val="0"/>
      <w:marBottom w:val="0"/>
      <w:divBdr>
        <w:top w:val="none" w:sz="0" w:space="0" w:color="auto"/>
        <w:left w:val="none" w:sz="0" w:space="0" w:color="auto"/>
        <w:bottom w:val="none" w:sz="0" w:space="0" w:color="auto"/>
        <w:right w:val="none" w:sz="0" w:space="0" w:color="auto"/>
      </w:divBdr>
    </w:div>
    <w:div w:id="696660687">
      <w:bodyDiv w:val="1"/>
      <w:marLeft w:val="0"/>
      <w:marRight w:val="0"/>
      <w:marTop w:val="0"/>
      <w:marBottom w:val="0"/>
      <w:divBdr>
        <w:top w:val="none" w:sz="0" w:space="0" w:color="auto"/>
        <w:left w:val="none" w:sz="0" w:space="0" w:color="auto"/>
        <w:bottom w:val="none" w:sz="0" w:space="0" w:color="auto"/>
        <w:right w:val="none" w:sz="0" w:space="0" w:color="auto"/>
      </w:divBdr>
    </w:div>
    <w:div w:id="696857068">
      <w:bodyDiv w:val="1"/>
      <w:marLeft w:val="0"/>
      <w:marRight w:val="0"/>
      <w:marTop w:val="0"/>
      <w:marBottom w:val="0"/>
      <w:divBdr>
        <w:top w:val="none" w:sz="0" w:space="0" w:color="auto"/>
        <w:left w:val="none" w:sz="0" w:space="0" w:color="auto"/>
        <w:bottom w:val="none" w:sz="0" w:space="0" w:color="auto"/>
        <w:right w:val="none" w:sz="0" w:space="0" w:color="auto"/>
      </w:divBdr>
    </w:div>
    <w:div w:id="696928030">
      <w:bodyDiv w:val="1"/>
      <w:marLeft w:val="0"/>
      <w:marRight w:val="0"/>
      <w:marTop w:val="0"/>
      <w:marBottom w:val="0"/>
      <w:divBdr>
        <w:top w:val="none" w:sz="0" w:space="0" w:color="auto"/>
        <w:left w:val="none" w:sz="0" w:space="0" w:color="auto"/>
        <w:bottom w:val="none" w:sz="0" w:space="0" w:color="auto"/>
        <w:right w:val="none" w:sz="0" w:space="0" w:color="auto"/>
      </w:divBdr>
    </w:div>
    <w:div w:id="697001399">
      <w:bodyDiv w:val="1"/>
      <w:marLeft w:val="0"/>
      <w:marRight w:val="0"/>
      <w:marTop w:val="0"/>
      <w:marBottom w:val="0"/>
      <w:divBdr>
        <w:top w:val="none" w:sz="0" w:space="0" w:color="auto"/>
        <w:left w:val="none" w:sz="0" w:space="0" w:color="auto"/>
        <w:bottom w:val="none" w:sz="0" w:space="0" w:color="auto"/>
        <w:right w:val="none" w:sz="0" w:space="0" w:color="auto"/>
      </w:divBdr>
    </w:div>
    <w:div w:id="698163288">
      <w:bodyDiv w:val="1"/>
      <w:marLeft w:val="0"/>
      <w:marRight w:val="0"/>
      <w:marTop w:val="0"/>
      <w:marBottom w:val="0"/>
      <w:divBdr>
        <w:top w:val="none" w:sz="0" w:space="0" w:color="auto"/>
        <w:left w:val="none" w:sz="0" w:space="0" w:color="auto"/>
        <w:bottom w:val="none" w:sz="0" w:space="0" w:color="auto"/>
        <w:right w:val="none" w:sz="0" w:space="0" w:color="auto"/>
      </w:divBdr>
    </w:div>
    <w:div w:id="698359921">
      <w:bodyDiv w:val="1"/>
      <w:marLeft w:val="0"/>
      <w:marRight w:val="0"/>
      <w:marTop w:val="0"/>
      <w:marBottom w:val="0"/>
      <w:divBdr>
        <w:top w:val="none" w:sz="0" w:space="0" w:color="auto"/>
        <w:left w:val="none" w:sz="0" w:space="0" w:color="auto"/>
        <w:bottom w:val="none" w:sz="0" w:space="0" w:color="auto"/>
        <w:right w:val="none" w:sz="0" w:space="0" w:color="auto"/>
      </w:divBdr>
    </w:div>
    <w:div w:id="698431457">
      <w:bodyDiv w:val="1"/>
      <w:marLeft w:val="0"/>
      <w:marRight w:val="0"/>
      <w:marTop w:val="0"/>
      <w:marBottom w:val="0"/>
      <w:divBdr>
        <w:top w:val="none" w:sz="0" w:space="0" w:color="auto"/>
        <w:left w:val="none" w:sz="0" w:space="0" w:color="auto"/>
        <w:bottom w:val="none" w:sz="0" w:space="0" w:color="auto"/>
        <w:right w:val="none" w:sz="0" w:space="0" w:color="auto"/>
      </w:divBdr>
    </w:div>
    <w:div w:id="698436787">
      <w:bodyDiv w:val="1"/>
      <w:marLeft w:val="0"/>
      <w:marRight w:val="0"/>
      <w:marTop w:val="0"/>
      <w:marBottom w:val="0"/>
      <w:divBdr>
        <w:top w:val="none" w:sz="0" w:space="0" w:color="auto"/>
        <w:left w:val="none" w:sz="0" w:space="0" w:color="auto"/>
        <w:bottom w:val="none" w:sz="0" w:space="0" w:color="auto"/>
        <w:right w:val="none" w:sz="0" w:space="0" w:color="auto"/>
      </w:divBdr>
    </w:div>
    <w:div w:id="699166069">
      <w:bodyDiv w:val="1"/>
      <w:marLeft w:val="0"/>
      <w:marRight w:val="0"/>
      <w:marTop w:val="0"/>
      <w:marBottom w:val="0"/>
      <w:divBdr>
        <w:top w:val="none" w:sz="0" w:space="0" w:color="auto"/>
        <w:left w:val="none" w:sz="0" w:space="0" w:color="auto"/>
        <w:bottom w:val="none" w:sz="0" w:space="0" w:color="auto"/>
        <w:right w:val="none" w:sz="0" w:space="0" w:color="auto"/>
      </w:divBdr>
    </w:div>
    <w:div w:id="699428011">
      <w:bodyDiv w:val="1"/>
      <w:marLeft w:val="0"/>
      <w:marRight w:val="0"/>
      <w:marTop w:val="0"/>
      <w:marBottom w:val="0"/>
      <w:divBdr>
        <w:top w:val="none" w:sz="0" w:space="0" w:color="auto"/>
        <w:left w:val="none" w:sz="0" w:space="0" w:color="auto"/>
        <w:bottom w:val="none" w:sz="0" w:space="0" w:color="auto"/>
        <w:right w:val="none" w:sz="0" w:space="0" w:color="auto"/>
      </w:divBdr>
    </w:div>
    <w:div w:id="699471239">
      <w:bodyDiv w:val="1"/>
      <w:marLeft w:val="0"/>
      <w:marRight w:val="0"/>
      <w:marTop w:val="0"/>
      <w:marBottom w:val="0"/>
      <w:divBdr>
        <w:top w:val="none" w:sz="0" w:space="0" w:color="auto"/>
        <w:left w:val="none" w:sz="0" w:space="0" w:color="auto"/>
        <w:bottom w:val="none" w:sz="0" w:space="0" w:color="auto"/>
        <w:right w:val="none" w:sz="0" w:space="0" w:color="auto"/>
      </w:divBdr>
    </w:div>
    <w:div w:id="700128563">
      <w:bodyDiv w:val="1"/>
      <w:marLeft w:val="0"/>
      <w:marRight w:val="0"/>
      <w:marTop w:val="0"/>
      <w:marBottom w:val="0"/>
      <w:divBdr>
        <w:top w:val="none" w:sz="0" w:space="0" w:color="auto"/>
        <w:left w:val="none" w:sz="0" w:space="0" w:color="auto"/>
        <w:bottom w:val="none" w:sz="0" w:space="0" w:color="auto"/>
        <w:right w:val="none" w:sz="0" w:space="0" w:color="auto"/>
      </w:divBdr>
    </w:div>
    <w:div w:id="700932870">
      <w:bodyDiv w:val="1"/>
      <w:marLeft w:val="0"/>
      <w:marRight w:val="0"/>
      <w:marTop w:val="0"/>
      <w:marBottom w:val="0"/>
      <w:divBdr>
        <w:top w:val="none" w:sz="0" w:space="0" w:color="auto"/>
        <w:left w:val="none" w:sz="0" w:space="0" w:color="auto"/>
        <w:bottom w:val="none" w:sz="0" w:space="0" w:color="auto"/>
        <w:right w:val="none" w:sz="0" w:space="0" w:color="auto"/>
      </w:divBdr>
    </w:div>
    <w:div w:id="702368462">
      <w:bodyDiv w:val="1"/>
      <w:marLeft w:val="0"/>
      <w:marRight w:val="0"/>
      <w:marTop w:val="0"/>
      <w:marBottom w:val="0"/>
      <w:divBdr>
        <w:top w:val="none" w:sz="0" w:space="0" w:color="auto"/>
        <w:left w:val="none" w:sz="0" w:space="0" w:color="auto"/>
        <w:bottom w:val="none" w:sz="0" w:space="0" w:color="auto"/>
        <w:right w:val="none" w:sz="0" w:space="0" w:color="auto"/>
      </w:divBdr>
    </w:div>
    <w:div w:id="703555578">
      <w:bodyDiv w:val="1"/>
      <w:marLeft w:val="0"/>
      <w:marRight w:val="0"/>
      <w:marTop w:val="0"/>
      <w:marBottom w:val="0"/>
      <w:divBdr>
        <w:top w:val="none" w:sz="0" w:space="0" w:color="auto"/>
        <w:left w:val="none" w:sz="0" w:space="0" w:color="auto"/>
        <w:bottom w:val="none" w:sz="0" w:space="0" w:color="auto"/>
        <w:right w:val="none" w:sz="0" w:space="0" w:color="auto"/>
      </w:divBdr>
    </w:div>
    <w:div w:id="704791594">
      <w:bodyDiv w:val="1"/>
      <w:marLeft w:val="0"/>
      <w:marRight w:val="0"/>
      <w:marTop w:val="0"/>
      <w:marBottom w:val="0"/>
      <w:divBdr>
        <w:top w:val="none" w:sz="0" w:space="0" w:color="auto"/>
        <w:left w:val="none" w:sz="0" w:space="0" w:color="auto"/>
        <w:bottom w:val="none" w:sz="0" w:space="0" w:color="auto"/>
        <w:right w:val="none" w:sz="0" w:space="0" w:color="auto"/>
      </w:divBdr>
    </w:div>
    <w:div w:id="705763367">
      <w:bodyDiv w:val="1"/>
      <w:marLeft w:val="0"/>
      <w:marRight w:val="0"/>
      <w:marTop w:val="0"/>
      <w:marBottom w:val="0"/>
      <w:divBdr>
        <w:top w:val="none" w:sz="0" w:space="0" w:color="auto"/>
        <w:left w:val="none" w:sz="0" w:space="0" w:color="auto"/>
        <w:bottom w:val="none" w:sz="0" w:space="0" w:color="auto"/>
        <w:right w:val="none" w:sz="0" w:space="0" w:color="auto"/>
      </w:divBdr>
    </w:div>
    <w:div w:id="706560912">
      <w:bodyDiv w:val="1"/>
      <w:marLeft w:val="0"/>
      <w:marRight w:val="0"/>
      <w:marTop w:val="0"/>
      <w:marBottom w:val="0"/>
      <w:divBdr>
        <w:top w:val="none" w:sz="0" w:space="0" w:color="auto"/>
        <w:left w:val="none" w:sz="0" w:space="0" w:color="auto"/>
        <w:bottom w:val="none" w:sz="0" w:space="0" w:color="auto"/>
        <w:right w:val="none" w:sz="0" w:space="0" w:color="auto"/>
      </w:divBdr>
    </w:div>
    <w:div w:id="706833535">
      <w:bodyDiv w:val="1"/>
      <w:marLeft w:val="0"/>
      <w:marRight w:val="0"/>
      <w:marTop w:val="0"/>
      <w:marBottom w:val="0"/>
      <w:divBdr>
        <w:top w:val="none" w:sz="0" w:space="0" w:color="auto"/>
        <w:left w:val="none" w:sz="0" w:space="0" w:color="auto"/>
        <w:bottom w:val="none" w:sz="0" w:space="0" w:color="auto"/>
        <w:right w:val="none" w:sz="0" w:space="0" w:color="auto"/>
      </w:divBdr>
    </w:div>
    <w:div w:id="707922243">
      <w:bodyDiv w:val="1"/>
      <w:marLeft w:val="0"/>
      <w:marRight w:val="0"/>
      <w:marTop w:val="0"/>
      <w:marBottom w:val="0"/>
      <w:divBdr>
        <w:top w:val="none" w:sz="0" w:space="0" w:color="auto"/>
        <w:left w:val="none" w:sz="0" w:space="0" w:color="auto"/>
        <w:bottom w:val="none" w:sz="0" w:space="0" w:color="auto"/>
        <w:right w:val="none" w:sz="0" w:space="0" w:color="auto"/>
      </w:divBdr>
    </w:div>
    <w:div w:id="708265979">
      <w:bodyDiv w:val="1"/>
      <w:marLeft w:val="0"/>
      <w:marRight w:val="0"/>
      <w:marTop w:val="0"/>
      <w:marBottom w:val="0"/>
      <w:divBdr>
        <w:top w:val="none" w:sz="0" w:space="0" w:color="auto"/>
        <w:left w:val="none" w:sz="0" w:space="0" w:color="auto"/>
        <w:bottom w:val="none" w:sz="0" w:space="0" w:color="auto"/>
        <w:right w:val="none" w:sz="0" w:space="0" w:color="auto"/>
      </w:divBdr>
    </w:div>
    <w:div w:id="708457516">
      <w:bodyDiv w:val="1"/>
      <w:marLeft w:val="0"/>
      <w:marRight w:val="0"/>
      <w:marTop w:val="0"/>
      <w:marBottom w:val="0"/>
      <w:divBdr>
        <w:top w:val="none" w:sz="0" w:space="0" w:color="auto"/>
        <w:left w:val="none" w:sz="0" w:space="0" w:color="auto"/>
        <w:bottom w:val="none" w:sz="0" w:space="0" w:color="auto"/>
        <w:right w:val="none" w:sz="0" w:space="0" w:color="auto"/>
      </w:divBdr>
    </w:div>
    <w:div w:id="708844075">
      <w:bodyDiv w:val="1"/>
      <w:marLeft w:val="0"/>
      <w:marRight w:val="0"/>
      <w:marTop w:val="0"/>
      <w:marBottom w:val="0"/>
      <w:divBdr>
        <w:top w:val="none" w:sz="0" w:space="0" w:color="auto"/>
        <w:left w:val="none" w:sz="0" w:space="0" w:color="auto"/>
        <w:bottom w:val="none" w:sz="0" w:space="0" w:color="auto"/>
        <w:right w:val="none" w:sz="0" w:space="0" w:color="auto"/>
      </w:divBdr>
    </w:div>
    <w:div w:id="709721346">
      <w:bodyDiv w:val="1"/>
      <w:marLeft w:val="0"/>
      <w:marRight w:val="0"/>
      <w:marTop w:val="0"/>
      <w:marBottom w:val="0"/>
      <w:divBdr>
        <w:top w:val="none" w:sz="0" w:space="0" w:color="auto"/>
        <w:left w:val="none" w:sz="0" w:space="0" w:color="auto"/>
        <w:bottom w:val="none" w:sz="0" w:space="0" w:color="auto"/>
        <w:right w:val="none" w:sz="0" w:space="0" w:color="auto"/>
      </w:divBdr>
    </w:div>
    <w:div w:id="710227721">
      <w:bodyDiv w:val="1"/>
      <w:marLeft w:val="0"/>
      <w:marRight w:val="0"/>
      <w:marTop w:val="0"/>
      <w:marBottom w:val="0"/>
      <w:divBdr>
        <w:top w:val="none" w:sz="0" w:space="0" w:color="auto"/>
        <w:left w:val="none" w:sz="0" w:space="0" w:color="auto"/>
        <w:bottom w:val="none" w:sz="0" w:space="0" w:color="auto"/>
        <w:right w:val="none" w:sz="0" w:space="0" w:color="auto"/>
      </w:divBdr>
    </w:div>
    <w:div w:id="710807291">
      <w:bodyDiv w:val="1"/>
      <w:marLeft w:val="0"/>
      <w:marRight w:val="0"/>
      <w:marTop w:val="0"/>
      <w:marBottom w:val="0"/>
      <w:divBdr>
        <w:top w:val="none" w:sz="0" w:space="0" w:color="auto"/>
        <w:left w:val="none" w:sz="0" w:space="0" w:color="auto"/>
        <w:bottom w:val="none" w:sz="0" w:space="0" w:color="auto"/>
        <w:right w:val="none" w:sz="0" w:space="0" w:color="auto"/>
      </w:divBdr>
    </w:div>
    <w:div w:id="712385688">
      <w:bodyDiv w:val="1"/>
      <w:marLeft w:val="0"/>
      <w:marRight w:val="0"/>
      <w:marTop w:val="0"/>
      <w:marBottom w:val="0"/>
      <w:divBdr>
        <w:top w:val="none" w:sz="0" w:space="0" w:color="auto"/>
        <w:left w:val="none" w:sz="0" w:space="0" w:color="auto"/>
        <w:bottom w:val="none" w:sz="0" w:space="0" w:color="auto"/>
        <w:right w:val="none" w:sz="0" w:space="0" w:color="auto"/>
      </w:divBdr>
    </w:div>
    <w:div w:id="713966874">
      <w:bodyDiv w:val="1"/>
      <w:marLeft w:val="0"/>
      <w:marRight w:val="0"/>
      <w:marTop w:val="0"/>
      <w:marBottom w:val="0"/>
      <w:divBdr>
        <w:top w:val="none" w:sz="0" w:space="0" w:color="auto"/>
        <w:left w:val="none" w:sz="0" w:space="0" w:color="auto"/>
        <w:bottom w:val="none" w:sz="0" w:space="0" w:color="auto"/>
        <w:right w:val="none" w:sz="0" w:space="0" w:color="auto"/>
      </w:divBdr>
    </w:div>
    <w:div w:id="714617746">
      <w:bodyDiv w:val="1"/>
      <w:marLeft w:val="0"/>
      <w:marRight w:val="0"/>
      <w:marTop w:val="0"/>
      <w:marBottom w:val="0"/>
      <w:divBdr>
        <w:top w:val="none" w:sz="0" w:space="0" w:color="auto"/>
        <w:left w:val="none" w:sz="0" w:space="0" w:color="auto"/>
        <w:bottom w:val="none" w:sz="0" w:space="0" w:color="auto"/>
        <w:right w:val="none" w:sz="0" w:space="0" w:color="auto"/>
      </w:divBdr>
    </w:div>
    <w:div w:id="715813290">
      <w:bodyDiv w:val="1"/>
      <w:marLeft w:val="0"/>
      <w:marRight w:val="0"/>
      <w:marTop w:val="0"/>
      <w:marBottom w:val="0"/>
      <w:divBdr>
        <w:top w:val="none" w:sz="0" w:space="0" w:color="auto"/>
        <w:left w:val="none" w:sz="0" w:space="0" w:color="auto"/>
        <w:bottom w:val="none" w:sz="0" w:space="0" w:color="auto"/>
        <w:right w:val="none" w:sz="0" w:space="0" w:color="auto"/>
      </w:divBdr>
    </w:div>
    <w:div w:id="716196625">
      <w:bodyDiv w:val="1"/>
      <w:marLeft w:val="0"/>
      <w:marRight w:val="0"/>
      <w:marTop w:val="0"/>
      <w:marBottom w:val="0"/>
      <w:divBdr>
        <w:top w:val="none" w:sz="0" w:space="0" w:color="auto"/>
        <w:left w:val="none" w:sz="0" w:space="0" w:color="auto"/>
        <w:bottom w:val="none" w:sz="0" w:space="0" w:color="auto"/>
        <w:right w:val="none" w:sz="0" w:space="0" w:color="auto"/>
      </w:divBdr>
    </w:div>
    <w:div w:id="716247919">
      <w:bodyDiv w:val="1"/>
      <w:marLeft w:val="0"/>
      <w:marRight w:val="0"/>
      <w:marTop w:val="0"/>
      <w:marBottom w:val="0"/>
      <w:divBdr>
        <w:top w:val="none" w:sz="0" w:space="0" w:color="auto"/>
        <w:left w:val="none" w:sz="0" w:space="0" w:color="auto"/>
        <w:bottom w:val="none" w:sz="0" w:space="0" w:color="auto"/>
        <w:right w:val="none" w:sz="0" w:space="0" w:color="auto"/>
      </w:divBdr>
    </w:div>
    <w:div w:id="716467016">
      <w:bodyDiv w:val="1"/>
      <w:marLeft w:val="0"/>
      <w:marRight w:val="0"/>
      <w:marTop w:val="0"/>
      <w:marBottom w:val="0"/>
      <w:divBdr>
        <w:top w:val="none" w:sz="0" w:space="0" w:color="auto"/>
        <w:left w:val="none" w:sz="0" w:space="0" w:color="auto"/>
        <w:bottom w:val="none" w:sz="0" w:space="0" w:color="auto"/>
        <w:right w:val="none" w:sz="0" w:space="0" w:color="auto"/>
      </w:divBdr>
    </w:div>
    <w:div w:id="716706883">
      <w:bodyDiv w:val="1"/>
      <w:marLeft w:val="0"/>
      <w:marRight w:val="0"/>
      <w:marTop w:val="0"/>
      <w:marBottom w:val="0"/>
      <w:divBdr>
        <w:top w:val="none" w:sz="0" w:space="0" w:color="auto"/>
        <w:left w:val="none" w:sz="0" w:space="0" w:color="auto"/>
        <w:bottom w:val="none" w:sz="0" w:space="0" w:color="auto"/>
        <w:right w:val="none" w:sz="0" w:space="0" w:color="auto"/>
      </w:divBdr>
    </w:div>
    <w:div w:id="716977802">
      <w:bodyDiv w:val="1"/>
      <w:marLeft w:val="0"/>
      <w:marRight w:val="0"/>
      <w:marTop w:val="0"/>
      <w:marBottom w:val="0"/>
      <w:divBdr>
        <w:top w:val="none" w:sz="0" w:space="0" w:color="auto"/>
        <w:left w:val="none" w:sz="0" w:space="0" w:color="auto"/>
        <w:bottom w:val="none" w:sz="0" w:space="0" w:color="auto"/>
        <w:right w:val="none" w:sz="0" w:space="0" w:color="auto"/>
      </w:divBdr>
    </w:div>
    <w:div w:id="717243099">
      <w:bodyDiv w:val="1"/>
      <w:marLeft w:val="0"/>
      <w:marRight w:val="0"/>
      <w:marTop w:val="0"/>
      <w:marBottom w:val="0"/>
      <w:divBdr>
        <w:top w:val="none" w:sz="0" w:space="0" w:color="auto"/>
        <w:left w:val="none" w:sz="0" w:space="0" w:color="auto"/>
        <w:bottom w:val="none" w:sz="0" w:space="0" w:color="auto"/>
        <w:right w:val="none" w:sz="0" w:space="0" w:color="auto"/>
      </w:divBdr>
    </w:div>
    <w:div w:id="717779575">
      <w:bodyDiv w:val="1"/>
      <w:marLeft w:val="0"/>
      <w:marRight w:val="0"/>
      <w:marTop w:val="0"/>
      <w:marBottom w:val="0"/>
      <w:divBdr>
        <w:top w:val="none" w:sz="0" w:space="0" w:color="auto"/>
        <w:left w:val="none" w:sz="0" w:space="0" w:color="auto"/>
        <w:bottom w:val="none" w:sz="0" w:space="0" w:color="auto"/>
        <w:right w:val="none" w:sz="0" w:space="0" w:color="auto"/>
      </w:divBdr>
    </w:div>
    <w:div w:id="718479053">
      <w:bodyDiv w:val="1"/>
      <w:marLeft w:val="0"/>
      <w:marRight w:val="0"/>
      <w:marTop w:val="0"/>
      <w:marBottom w:val="0"/>
      <w:divBdr>
        <w:top w:val="none" w:sz="0" w:space="0" w:color="auto"/>
        <w:left w:val="none" w:sz="0" w:space="0" w:color="auto"/>
        <w:bottom w:val="none" w:sz="0" w:space="0" w:color="auto"/>
        <w:right w:val="none" w:sz="0" w:space="0" w:color="auto"/>
      </w:divBdr>
    </w:div>
    <w:div w:id="718670650">
      <w:bodyDiv w:val="1"/>
      <w:marLeft w:val="0"/>
      <w:marRight w:val="0"/>
      <w:marTop w:val="0"/>
      <w:marBottom w:val="0"/>
      <w:divBdr>
        <w:top w:val="none" w:sz="0" w:space="0" w:color="auto"/>
        <w:left w:val="none" w:sz="0" w:space="0" w:color="auto"/>
        <w:bottom w:val="none" w:sz="0" w:space="0" w:color="auto"/>
        <w:right w:val="none" w:sz="0" w:space="0" w:color="auto"/>
      </w:divBdr>
    </w:div>
    <w:div w:id="718866779">
      <w:bodyDiv w:val="1"/>
      <w:marLeft w:val="0"/>
      <w:marRight w:val="0"/>
      <w:marTop w:val="0"/>
      <w:marBottom w:val="0"/>
      <w:divBdr>
        <w:top w:val="none" w:sz="0" w:space="0" w:color="auto"/>
        <w:left w:val="none" w:sz="0" w:space="0" w:color="auto"/>
        <w:bottom w:val="none" w:sz="0" w:space="0" w:color="auto"/>
        <w:right w:val="none" w:sz="0" w:space="0" w:color="auto"/>
      </w:divBdr>
    </w:div>
    <w:div w:id="719011764">
      <w:bodyDiv w:val="1"/>
      <w:marLeft w:val="0"/>
      <w:marRight w:val="0"/>
      <w:marTop w:val="0"/>
      <w:marBottom w:val="0"/>
      <w:divBdr>
        <w:top w:val="none" w:sz="0" w:space="0" w:color="auto"/>
        <w:left w:val="none" w:sz="0" w:space="0" w:color="auto"/>
        <w:bottom w:val="none" w:sz="0" w:space="0" w:color="auto"/>
        <w:right w:val="none" w:sz="0" w:space="0" w:color="auto"/>
      </w:divBdr>
    </w:div>
    <w:div w:id="720598770">
      <w:bodyDiv w:val="1"/>
      <w:marLeft w:val="0"/>
      <w:marRight w:val="0"/>
      <w:marTop w:val="0"/>
      <w:marBottom w:val="0"/>
      <w:divBdr>
        <w:top w:val="none" w:sz="0" w:space="0" w:color="auto"/>
        <w:left w:val="none" w:sz="0" w:space="0" w:color="auto"/>
        <w:bottom w:val="none" w:sz="0" w:space="0" w:color="auto"/>
        <w:right w:val="none" w:sz="0" w:space="0" w:color="auto"/>
      </w:divBdr>
    </w:div>
    <w:div w:id="720830855">
      <w:bodyDiv w:val="1"/>
      <w:marLeft w:val="0"/>
      <w:marRight w:val="0"/>
      <w:marTop w:val="0"/>
      <w:marBottom w:val="0"/>
      <w:divBdr>
        <w:top w:val="none" w:sz="0" w:space="0" w:color="auto"/>
        <w:left w:val="none" w:sz="0" w:space="0" w:color="auto"/>
        <w:bottom w:val="none" w:sz="0" w:space="0" w:color="auto"/>
        <w:right w:val="none" w:sz="0" w:space="0" w:color="auto"/>
      </w:divBdr>
    </w:div>
    <w:div w:id="722632223">
      <w:bodyDiv w:val="1"/>
      <w:marLeft w:val="0"/>
      <w:marRight w:val="0"/>
      <w:marTop w:val="0"/>
      <w:marBottom w:val="0"/>
      <w:divBdr>
        <w:top w:val="none" w:sz="0" w:space="0" w:color="auto"/>
        <w:left w:val="none" w:sz="0" w:space="0" w:color="auto"/>
        <w:bottom w:val="none" w:sz="0" w:space="0" w:color="auto"/>
        <w:right w:val="none" w:sz="0" w:space="0" w:color="auto"/>
      </w:divBdr>
    </w:div>
    <w:div w:id="724333470">
      <w:bodyDiv w:val="1"/>
      <w:marLeft w:val="0"/>
      <w:marRight w:val="0"/>
      <w:marTop w:val="0"/>
      <w:marBottom w:val="0"/>
      <w:divBdr>
        <w:top w:val="none" w:sz="0" w:space="0" w:color="auto"/>
        <w:left w:val="none" w:sz="0" w:space="0" w:color="auto"/>
        <w:bottom w:val="none" w:sz="0" w:space="0" w:color="auto"/>
        <w:right w:val="none" w:sz="0" w:space="0" w:color="auto"/>
      </w:divBdr>
    </w:div>
    <w:div w:id="724792623">
      <w:bodyDiv w:val="1"/>
      <w:marLeft w:val="0"/>
      <w:marRight w:val="0"/>
      <w:marTop w:val="0"/>
      <w:marBottom w:val="0"/>
      <w:divBdr>
        <w:top w:val="none" w:sz="0" w:space="0" w:color="auto"/>
        <w:left w:val="none" w:sz="0" w:space="0" w:color="auto"/>
        <w:bottom w:val="none" w:sz="0" w:space="0" w:color="auto"/>
        <w:right w:val="none" w:sz="0" w:space="0" w:color="auto"/>
      </w:divBdr>
    </w:div>
    <w:div w:id="725490711">
      <w:bodyDiv w:val="1"/>
      <w:marLeft w:val="0"/>
      <w:marRight w:val="0"/>
      <w:marTop w:val="0"/>
      <w:marBottom w:val="0"/>
      <w:divBdr>
        <w:top w:val="none" w:sz="0" w:space="0" w:color="auto"/>
        <w:left w:val="none" w:sz="0" w:space="0" w:color="auto"/>
        <w:bottom w:val="none" w:sz="0" w:space="0" w:color="auto"/>
        <w:right w:val="none" w:sz="0" w:space="0" w:color="auto"/>
      </w:divBdr>
    </w:div>
    <w:div w:id="725614735">
      <w:bodyDiv w:val="1"/>
      <w:marLeft w:val="0"/>
      <w:marRight w:val="0"/>
      <w:marTop w:val="0"/>
      <w:marBottom w:val="0"/>
      <w:divBdr>
        <w:top w:val="none" w:sz="0" w:space="0" w:color="auto"/>
        <w:left w:val="none" w:sz="0" w:space="0" w:color="auto"/>
        <w:bottom w:val="none" w:sz="0" w:space="0" w:color="auto"/>
        <w:right w:val="none" w:sz="0" w:space="0" w:color="auto"/>
      </w:divBdr>
    </w:div>
    <w:div w:id="725687417">
      <w:bodyDiv w:val="1"/>
      <w:marLeft w:val="0"/>
      <w:marRight w:val="0"/>
      <w:marTop w:val="0"/>
      <w:marBottom w:val="0"/>
      <w:divBdr>
        <w:top w:val="none" w:sz="0" w:space="0" w:color="auto"/>
        <w:left w:val="none" w:sz="0" w:space="0" w:color="auto"/>
        <w:bottom w:val="none" w:sz="0" w:space="0" w:color="auto"/>
        <w:right w:val="none" w:sz="0" w:space="0" w:color="auto"/>
      </w:divBdr>
      <w:divsChild>
        <w:div w:id="711810505">
          <w:marLeft w:val="480"/>
          <w:marRight w:val="0"/>
          <w:marTop w:val="0"/>
          <w:marBottom w:val="0"/>
          <w:divBdr>
            <w:top w:val="none" w:sz="0" w:space="0" w:color="auto"/>
            <w:left w:val="none" w:sz="0" w:space="0" w:color="auto"/>
            <w:bottom w:val="none" w:sz="0" w:space="0" w:color="auto"/>
            <w:right w:val="none" w:sz="0" w:space="0" w:color="auto"/>
          </w:divBdr>
        </w:div>
        <w:div w:id="544222161">
          <w:marLeft w:val="480"/>
          <w:marRight w:val="0"/>
          <w:marTop w:val="0"/>
          <w:marBottom w:val="0"/>
          <w:divBdr>
            <w:top w:val="none" w:sz="0" w:space="0" w:color="auto"/>
            <w:left w:val="none" w:sz="0" w:space="0" w:color="auto"/>
            <w:bottom w:val="none" w:sz="0" w:space="0" w:color="auto"/>
            <w:right w:val="none" w:sz="0" w:space="0" w:color="auto"/>
          </w:divBdr>
        </w:div>
        <w:div w:id="1410737212">
          <w:marLeft w:val="480"/>
          <w:marRight w:val="0"/>
          <w:marTop w:val="0"/>
          <w:marBottom w:val="0"/>
          <w:divBdr>
            <w:top w:val="none" w:sz="0" w:space="0" w:color="auto"/>
            <w:left w:val="none" w:sz="0" w:space="0" w:color="auto"/>
            <w:bottom w:val="none" w:sz="0" w:space="0" w:color="auto"/>
            <w:right w:val="none" w:sz="0" w:space="0" w:color="auto"/>
          </w:divBdr>
        </w:div>
        <w:div w:id="1362436941">
          <w:marLeft w:val="480"/>
          <w:marRight w:val="0"/>
          <w:marTop w:val="0"/>
          <w:marBottom w:val="0"/>
          <w:divBdr>
            <w:top w:val="none" w:sz="0" w:space="0" w:color="auto"/>
            <w:left w:val="none" w:sz="0" w:space="0" w:color="auto"/>
            <w:bottom w:val="none" w:sz="0" w:space="0" w:color="auto"/>
            <w:right w:val="none" w:sz="0" w:space="0" w:color="auto"/>
          </w:divBdr>
        </w:div>
        <w:div w:id="867454543">
          <w:marLeft w:val="480"/>
          <w:marRight w:val="0"/>
          <w:marTop w:val="0"/>
          <w:marBottom w:val="0"/>
          <w:divBdr>
            <w:top w:val="none" w:sz="0" w:space="0" w:color="auto"/>
            <w:left w:val="none" w:sz="0" w:space="0" w:color="auto"/>
            <w:bottom w:val="none" w:sz="0" w:space="0" w:color="auto"/>
            <w:right w:val="none" w:sz="0" w:space="0" w:color="auto"/>
          </w:divBdr>
        </w:div>
        <w:div w:id="505172632">
          <w:marLeft w:val="480"/>
          <w:marRight w:val="0"/>
          <w:marTop w:val="0"/>
          <w:marBottom w:val="0"/>
          <w:divBdr>
            <w:top w:val="none" w:sz="0" w:space="0" w:color="auto"/>
            <w:left w:val="none" w:sz="0" w:space="0" w:color="auto"/>
            <w:bottom w:val="none" w:sz="0" w:space="0" w:color="auto"/>
            <w:right w:val="none" w:sz="0" w:space="0" w:color="auto"/>
          </w:divBdr>
        </w:div>
        <w:div w:id="1131436252">
          <w:marLeft w:val="480"/>
          <w:marRight w:val="0"/>
          <w:marTop w:val="0"/>
          <w:marBottom w:val="0"/>
          <w:divBdr>
            <w:top w:val="none" w:sz="0" w:space="0" w:color="auto"/>
            <w:left w:val="none" w:sz="0" w:space="0" w:color="auto"/>
            <w:bottom w:val="none" w:sz="0" w:space="0" w:color="auto"/>
            <w:right w:val="none" w:sz="0" w:space="0" w:color="auto"/>
          </w:divBdr>
        </w:div>
        <w:div w:id="1651590743">
          <w:marLeft w:val="480"/>
          <w:marRight w:val="0"/>
          <w:marTop w:val="0"/>
          <w:marBottom w:val="0"/>
          <w:divBdr>
            <w:top w:val="none" w:sz="0" w:space="0" w:color="auto"/>
            <w:left w:val="none" w:sz="0" w:space="0" w:color="auto"/>
            <w:bottom w:val="none" w:sz="0" w:space="0" w:color="auto"/>
            <w:right w:val="none" w:sz="0" w:space="0" w:color="auto"/>
          </w:divBdr>
        </w:div>
        <w:div w:id="1275668843">
          <w:marLeft w:val="480"/>
          <w:marRight w:val="0"/>
          <w:marTop w:val="0"/>
          <w:marBottom w:val="0"/>
          <w:divBdr>
            <w:top w:val="none" w:sz="0" w:space="0" w:color="auto"/>
            <w:left w:val="none" w:sz="0" w:space="0" w:color="auto"/>
            <w:bottom w:val="none" w:sz="0" w:space="0" w:color="auto"/>
            <w:right w:val="none" w:sz="0" w:space="0" w:color="auto"/>
          </w:divBdr>
        </w:div>
        <w:div w:id="614218607">
          <w:marLeft w:val="480"/>
          <w:marRight w:val="0"/>
          <w:marTop w:val="0"/>
          <w:marBottom w:val="0"/>
          <w:divBdr>
            <w:top w:val="none" w:sz="0" w:space="0" w:color="auto"/>
            <w:left w:val="none" w:sz="0" w:space="0" w:color="auto"/>
            <w:bottom w:val="none" w:sz="0" w:space="0" w:color="auto"/>
            <w:right w:val="none" w:sz="0" w:space="0" w:color="auto"/>
          </w:divBdr>
        </w:div>
        <w:div w:id="754016015">
          <w:marLeft w:val="480"/>
          <w:marRight w:val="0"/>
          <w:marTop w:val="0"/>
          <w:marBottom w:val="0"/>
          <w:divBdr>
            <w:top w:val="none" w:sz="0" w:space="0" w:color="auto"/>
            <w:left w:val="none" w:sz="0" w:space="0" w:color="auto"/>
            <w:bottom w:val="none" w:sz="0" w:space="0" w:color="auto"/>
            <w:right w:val="none" w:sz="0" w:space="0" w:color="auto"/>
          </w:divBdr>
        </w:div>
        <w:div w:id="1731419795">
          <w:marLeft w:val="480"/>
          <w:marRight w:val="0"/>
          <w:marTop w:val="0"/>
          <w:marBottom w:val="0"/>
          <w:divBdr>
            <w:top w:val="none" w:sz="0" w:space="0" w:color="auto"/>
            <w:left w:val="none" w:sz="0" w:space="0" w:color="auto"/>
            <w:bottom w:val="none" w:sz="0" w:space="0" w:color="auto"/>
            <w:right w:val="none" w:sz="0" w:space="0" w:color="auto"/>
          </w:divBdr>
        </w:div>
        <w:div w:id="1122580315">
          <w:marLeft w:val="480"/>
          <w:marRight w:val="0"/>
          <w:marTop w:val="0"/>
          <w:marBottom w:val="0"/>
          <w:divBdr>
            <w:top w:val="none" w:sz="0" w:space="0" w:color="auto"/>
            <w:left w:val="none" w:sz="0" w:space="0" w:color="auto"/>
            <w:bottom w:val="none" w:sz="0" w:space="0" w:color="auto"/>
            <w:right w:val="none" w:sz="0" w:space="0" w:color="auto"/>
          </w:divBdr>
        </w:div>
        <w:div w:id="1537351615">
          <w:marLeft w:val="480"/>
          <w:marRight w:val="0"/>
          <w:marTop w:val="0"/>
          <w:marBottom w:val="0"/>
          <w:divBdr>
            <w:top w:val="none" w:sz="0" w:space="0" w:color="auto"/>
            <w:left w:val="none" w:sz="0" w:space="0" w:color="auto"/>
            <w:bottom w:val="none" w:sz="0" w:space="0" w:color="auto"/>
            <w:right w:val="none" w:sz="0" w:space="0" w:color="auto"/>
          </w:divBdr>
        </w:div>
        <w:div w:id="1109853163">
          <w:marLeft w:val="480"/>
          <w:marRight w:val="0"/>
          <w:marTop w:val="0"/>
          <w:marBottom w:val="0"/>
          <w:divBdr>
            <w:top w:val="none" w:sz="0" w:space="0" w:color="auto"/>
            <w:left w:val="none" w:sz="0" w:space="0" w:color="auto"/>
            <w:bottom w:val="none" w:sz="0" w:space="0" w:color="auto"/>
            <w:right w:val="none" w:sz="0" w:space="0" w:color="auto"/>
          </w:divBdr>
        </w:div>
        <w:div w:id="1899785357">
          <w:marLeft w:val="480"/>
          <w:marRight w:val="0"/>
          <w:marTop w:val="0"/>
          <w:marBottom w:val="0"/>
          <w:divBdr>
            <w:top w:val="none" w:sz="0" w:space="0" w:color="auto"/>
            <w:left w:val="none" w:sz="0" w:space="0" w:color="auto"/>
            <w:bottom w:val="none" w:sz="0" w:space="0" w:color="auto"/>
            <w:right w:val="none" w:sz="0" w:space="0" w:color="auto"/>
          </w:divBdr>
        </w:div>
        <w:div w:id="332029373">
          <w:marLeft w:val="480"/>
          <w:marRight w:val="0"/>
          <w:marTop w:val="0"/>
          <w:marBottom w:val="0"/>
          <w:divBdr>
            <w:top w:val="none" w:sz="0" w:space="0" w:color="auto"/>
            <w:left w:val="none" w:sz="0" w:space="0" w:color="auto"/>
            <w:bottom w:val="none" w:sz="0" w:space="0" w:color="auto"/>
            <w:right w:val="none" w:sz="0" w:space="0" w:color="auto"/>
          </w:divBdr>
        </w:div>
        <w:div w:id="248202525">
          <w:marLeft w:val="480"/>
          <w:marRight w:val="0"/>
          <w:marTop w:val="0"/>
          <w:marBottom w:val="0"/>
          <w:divBdr>
            <w:top w:val="none" w:sz="0" w:space="0" w:color="auto"/>
            <w:left w:val="none" w:sz="0" w:space="0" w:color="auto"/>
            <w:bottom w:val="none" w:sz="0" w:space="0" w:color="auto"/>
            <w:right w:val="none" w:sz="0" w:space="0" w:color="auto"/>
          </w:divBdr>
        </w:div>
        <w:div w:id="2029672451">
          <w:marLeft w:val="480"/>
          <w:marRight w:val="0"/>
          <w:marTop w:val="0"/>
          <w:marBottom w:val="0"/>
          <w:divBdr>
            <w:top w:val="none" w:sz="0" w:space="0" w:color="auto"/>
            <w:left w:val="none" w:sz="0" w:space="0" w:color="auto"/>
            <w:bottom w:val="none" w:sz="0" w:space="0" w:color="auto"/>
            <w:right w:val="none" w:sz="0" w:space="0" w:color="auto"/>
          </w:divBdr>
        </w:div>
        <w:div w:id="244075957">
          <w:marLeft w:val="480"/>
          <w:marRight w:val="0"/>
          <w:marTop w:val="0"/>
          <w:marBottom w:val="0"/>
          <w:divBdr>
            <w:top w:val="none" w:sz="0" w:space="0" w:color="auto"/>
            <w:left w:val="none" w:sz="0" w:space="0" w:color="auto"/>
            <w:bottom w:val="none" w:sz="0" w:space="0" w:color="auto"/>
            <w:right w:val="none" w:sz="0" w:space="0" w:color="auto"/>
          </w:divBdr>
        </w:div>
        <w:div w:id="1474175918">
          <w:marLeft w:val="480"/>
          <w:marRight w:val="0"/>
          <w:marTop w:val="0"/>
          <w:marBottom w:val="0"/>
          <w:divBdr>
            <w:top w:val="none" w:sz="0" w:space="0" w:color="auto"/>
            <w:left w:val="none" w:sz="0" w:space="0" w:color="auto"/>
            <w:bottom w:val="none" w:sz="0" w:space="0" w:color="auto"/>
            <w:right w:val="none" w:sz="0" w:space="0" w:color="auto"/>
          </w:divBdr>
        </w:div>
        <w:div w:id="1893493457">
          <w:marLeft w:val="480"/>
          <w:marRight w:val="0"/>
          <w:marTop w:val="0"/>
          <w:marBottom w:val="0"/>
          <w:divBdr>
            <w:top w:val="none" w:sz="0" w:space="0" w:color="auto"/>
            <w:left w:val="none" w:sz="0" w:space="0" w:color="auto"/>
            <w:bottom w:val="none" w:sz="0" w:space="0" w:color="auto"/>
            <w:right w:val="none" w:sz="0" w:space="0" w:color="auto"/>
          </w:divBdr>
        </w:div>
        <w:div w:id="882208082">
          <w:marLeft w:val="480"/>
          <w:marRight w:val="0"/>
          <w:marTop w:val="0"/>
          <w:marBottom w:val="0"/>
          <w:divBdr>
            <w:top w:val="none" w:sz="0" w:space="0" w:color="auto"/>
            <w:left w:val="none" w:sz="0" w:space="0" w:color="auto"/>
            <w:bottom w:val="none" w:sz="0" w:space="0" w:color="auto"/>
            <w:right w:val="none" w:sz="0" w:space="0" w:color="auto"/>
          </w:divBdr>
        </w:div>
        <w:div w:id="854883040">
          <w:marLeft w:val="480"/>
          <w:marRight w:val="0"/>
          <w:marTop w:val="0"/>
          <w:marBottom w:val="0"/>
          <w:divBdr>
            <w:top w:val="none" w:sz="0" w:space="0" w:color="auto"/>
            <w:left w:val="none" w:sz="0" w:space="0" w:color="auto"/>
            <w:bottom w:val="none" w:sz="0" w:space="0" w:color="auto"/>
            <w:right w:val="none" w:sz="0" w:space="0" w:color="auto"/>
          </w:divBdr>
        </w:div>
        <w:div w:id="1011029013">
          <w:marLeft w:val="480"/>
          <w:marRight w:val="0"/>
          <w:marTop w:val="0"/>
          <w:marBottom w:val="0"/>
          <w:divBdr>
            <w:top w:val="none" w:sz="0" w:space="0" w:color="auto"/>
            <w:left w:val="none" w:sz="0" w:space="0" w:color="auto"/>
            <w:bottom w:val="none" w:sz="0" w:space="0" w:color="auto"/>
            <w:right w:val="none" w:sz="0" w:space="0" w:color="auto"/>
          </w:divBdr>
        </w:div>
        <w:div w:id="10957238">
          <w:marLeft w:val="480"/>
          <w:marRight w:val="0"/>
          <w:marTop w:val="0"/>
          <w:marBottom w:val="0"/>
          <w:divBdr>
            <w:top w:val="none" w:sz="0" w:space="0" w:color="auto"/>
            <w:left w:val="none" w:sz="0" w:space="0" w:color="auto"/>
            <w:bottom w:val="none" w:sz="0" w:space="0" w:color="auto"/>
            <w:right w:val="none" w:sz="0" w:space="0" w:color="auto"/>
          </w:divBdr>
        </w:div>
        <w:div w:id="153372977">
          <w:marLeft w:val="480"/>
          <w:marRight w:val="0"/>
          <w:marTop w:val="0"/>
          <w:marBottom w:val="0"/>
          <w:divBdr>
            <w:top w:val="none" w:sz="0" w:space="0" w:color="auto"/>
            <w:left w:val="none" w:sz="0" w:space="0" w:color="auto"/>
            <w:bottom w:val="none" w:sz="0" w:space="0" w:color="auto"/>
            <w:right w:val="none" w:sz="0" w:space="0" w:color="auto"/>
          </w:divBdr>
        </w:div>
        <w:div w:id="738215189">
          <w:marLeft w:val="480"/>
          <w:marRight w:val="0"/>
          <w:marTop w:val="0"/>
          <w:marBottom w:val="0"/>
          <w:divBdr>
            <w:top w:val="none" w:sz="0" w:space="0" w:color="auto"/>
            <w:left w:val="none" w:sz="0" w:space="0" w:color="auto"/>
            <w:bottom w:val="none" w:sz="0" w:space="0" w:color="auto"/>
            <w:right w:val="none" w:sz="0" w:space="0" w:color="auto"/>
          </w:divBdr>
        </w:div>
        <w:div w:id="844438735">
          <w:marLeft w:val="480"/>
          <w:marRight w:val="0"/>
          <w:marTop w:val="0"/>
          <w:marBottom w:val="0"/>
          <w:divBdr>
            <w:top w:val="none" w:sz="0" w:space="0" w:color="auto"/>
            <w:left w:val="none" w:sz="0" w:space="0" w:color="auto"/>
            <w:bottom w:val="none" w:sz="0" w:space="0" w:color="auto"/>
            <w:right w:val="none" w:sz="0" w:space="0" w:color="auto"/>
          </w:divBdr>
        </w:div>
        <w:div w:id="1359819076">
          <w:marLeft w:val="480"/>
          <w:marRight w:val="0"/>
          <w:marTop w:val="0"/>
          <w:marBottom w:val="0"/>
          <w:divBdr>
            <w:top w:val="none" w:sz="0" w:space="0" w:color="auto"/>
            <w:left w:val="none" w:sz="0" w:space="0" w:color="auto"/>
            <w:bottom w:val="none" w:sz="0" w:space="0" w:color="auto"/>
            <w:right w:val="none" w:sz="0" w:space="0" w:color="auto"/>
          </w:divBdr>
        </w:div>
        <w:div w:id="969021464">
          <w:marLeft w:val="480"/>
          <w:marRight w:val="0"/>
          <w:marTop w:val="0"/>
          <w:marBottom w:val="0"/>
          <w:divBdr>
            <w:top w:val="none" w:sz="0" w:space="0" w:color="auto"/>
            <w:left w:val="none" w:sz="0" w:space="0" w:color="auto"/>
            <w:bottom w:val="none" w:sz="0" w:space="0" w:color="auto"/>
            <w:right w:val="none" w:sz="0" w:space="0" w:color="auto"/>
          </w:divBdr>
        </w:div>
        <w:div w:id="181864976">
          <w:marLeft w:val="480"/>
          <w:marRight w:val="0"/>
          <w:marTop w:val="0"/>
          <w:marBottom w:val="0"/>
          <w:divBdr>
            <w:top w:val="none" w:sz="0" w:space="0" w:color="auto"/>
            <w:left w:val="none" w:sz="0" w:space="0" w:color="auto"/>
            <w:bottom w:val="none" w:sz="0" w:space="0" w:color="auto"/>
            <w:right w:val="none" w:sz="0" w:space="0" w:color="auto"/>
          </w:divBdr>
        </w:div>
        <w:div w:id="283273663">
          <w:marLeft w:val="480"/>
          <w:marRight w:val="0"/>
          <w:marTop w:val="0"/>
          <w:marBottom w:val="0"/>
          <w:divBdr>
            <w:top w:val="none" w:sz="0" w:space="0" w:color="auto"/>
            <w:left w:val="none" w:sz="0" w:space="0" w:color="auto"/>
            <w:bottom w:val="none" w:sz="0" w:space="0" w:color="auto"/>
            <w:right w:val="none" w:sz="0" w:space="0" w:color="auto"/>
          </w:divBdr>
        </w:div>
        <w:div w:id="1102917614">
          <w:marLeft w:val="480"/>
          <w:marRight w:val="0"/>
          <w:marTop w:val="0"/>
          <w:marBottom w:val="0"/>
          <w:divBdr>
            <w:top w:val="none" w:sz="0" w:space="0" w:color="auto"/>
            <w:left w:val="none" w:sz="0" w:space="0" w:color="auto"/>
            <w:bottom w:val="none" w:sz="0" w:space="0" w:color="auto"/>
            <w:right w:val="none" w:sz="0" w:space="0" w:color="auto"/>
          </w:divBdr>
        </w:div>
        <w:div w:id="608394095">
          <w:marLeft w:val="480"/>
          <w:marRight w:val="0"/>
          <w:marTop w:val="0"/>
          <w:marBottom w:val="0"/>
          <w:divBdr>
            <w:top w:val="none" w:sz="0" w:space="0" w:color="auto"/>
            <w:left w:val="none" w:sz="0" w:space="0" w:color="auto"/>
            <w:bottom w:val="none" w:sz="0" w:space="0" w:color="auto"/>
            <w:right w:val="none" w:sz="0" w:space="0" w:color="auto"/>
          </w:divBdr>
        </w:div>
        <w:div w:id="1491407097">
          <w:marLeft w:val="480"/>
          <w:marRight w:val="0"/>
          <w:marTop w:val="0"/>
          <w:marBottom w:val="0"/>
          <w:divBdr>
            <w:top w:val="none" w:sz="0" w:space="0" w:color="auto"/>
            <w:left w:val="none" w:sz="0" w:space="0" w:color="auto"/>
            <w:bottom w:val="none" w:sz="0" w:space="0" w:color="auto"/>
            <w:right w:val="none" w:sz="0" w:space="0" w:color="auto"/>
          </w:divBdr>
        </w:div>
        <w:div w:id="655229060">
          <w:marLeft w:val="480"/>
          <w:marRight w:val="0"/>
          <w:marTop w:val="0"/>
          <w:marBottom w:val="0"/>
          <w:divBdr>
            <w:top w:val="none" w:sz="0" w:space="0" w:color="auto"/>
            <w:left w:val="none" w:sz="0" w:space="0" w:color="auto"/>
            <w:bottom w:val="none" w:sz="0" w:space="0" w:color="auto"/>
            <w:right w:val="none" w:sz="0" w:space="0" w:color="auto"/>
          </w:divBdr>
        </w:div>
        <w:div w:id="444661835">
          <w:marLeft w:val="480"/>
          <w:marRight w:val="0"/>
          <w:marTop w:val="0"/>
          <w:marBottom w:val="0"/>
          <w:divBdr>
            <w:top w:val="none" w:sz="0" w:space="0" w:color="auto"/>
            <w:left w:val="none" w:sz="0" w:space="0" w:color="auto"/>
            <w:bottom w:val="none" w:sz="0" w:space="0" w:color="auto"/>
            <w:right w:val="none" w:sz="0" w:space="0" w:color="auto"/>
          </w:divBdr>
        </w:div>
        <w:div w:id="1793087589">
          <w:marLeft w:val="480"/>
          <w:marRight w:val="0"/>
          <w:marTop w:val="0"/>
          <w:marBottom w:val="0"/>
          <w:divBdr>
            <w:top w:val="none" w:sz="0" w:space="0" w:color="auto"/>
            <w:left w:val="none" w:sz="0" w:space="0" w:color="auto"/>
            <w:bottom w:val="none" w:sz="0" w:space="0" w:color="auto"/>
            <w:right w:val="none" w:sz="0" w:space="0" w:color="auto"/>
          </w:divBdr>
        </w:div>
        <w:div w:id="1027096201">
          <w:marLeft w:val="480"/>
          <w:marRight w:val="0"/>
          <w:marTop w:val="0"/>
          <w:marBottom w:val="0"/>
          <w:divBdr>
            <w:top w:val="none" w:sz="0" w:space="0" w:color="auto"/>
            <w:left w:val="none" w:sz="0" w:space="0" w:color="auto"/>
            <w:bottom w:val="none" w:sz="0" w:space="0" w:color="auto"/>
            <w:right w:val="none" w:sz="0" w:space="0" w:color="auto"/>
          </w:divBdr>
        </w:div>
        <w:div w:id="730814809">
          <w:marLeft w:val="480"/>
          <w:marRight w:val="0"/>
          <w:marTop w:val="0"/>
          <w:marBottom w:val="0"/>
          <w:divBdr>
            <w:top w:val="none" w:sz="0" w:space="0" w:color="auto"/>
            <w:left w:val="none" w:sz="0" w:space="0" w:color="auto"/>
            <w:bottom w:val="none" w:sz="0" w:space="0" w:color="auto"/>
            <w:right w:val="none" w:sz="0" w:space="0" w:color="auto"/>
          </w:divBdr>
        </w:div>
        <w:div w:id="902447417">
          <w:marLeft w:val="480"/>
          <w:marRight w:val="0"/>
          <w:marTop w:val="0"/>
          <w:marBottom w:val="0"/>
          <w:divBdr>
            <w:top w:val="none" w:sz="0" w:space="0" w:color="auto"/>
            <w:left w:val="none" w:sz="0" w:space="0" w:color="auto"/>
            <w:bottom w:val="none" w:sz="0" w:space="0" w:color="auto"/>
            <w:right w:val="none" w:sz="0" w:space="0" w:color="auto"/>
          </w:divBdr>
        </w:div>
        <w:div w:id="1129669655">
          <w:marLeft w:val="480"/>
          <w:marRight w:val="0"/>
          <w:marTop w:val="0"/>
          <w:marBottom w:val="0"/>
          <w:divBdr>
            <w:top w:val="none" w:sz="0" w:space="0" w:color="auto"/>
            <w:left w:val="none" w:sz="0" w:space="0" w:color="auto"/>
            <w:bottom w:val="none" w:sz="0" w:space="0" w:color="auto"/>
            <w:right w:val="none" w:sz="0" w:space="0" w:color="auto"/>
          </w:divBdr>
        </w:div>
        <w:div w:id="973632872">
          <w:marLeft w:val="480"/>
          <w:marRight w:val="0"/>
          <w:marTop w:val="0"/>
          <w:marBottom w:val="0"/>
          <w:divBdr>
            <w:top w:val="none" w:sz="0" w:space="0" w:color="auto"/>
            <w:left w:val="none" w:sz="0" w:space="0" w:color="auto"/>
            <w:bottom w:val="none" w:sz="0" w:space="0" w:color="auto"/>
            <w:right w:val="none" w:sz="0" w:space="0" w:color="auto"/>
          </w:divBdr>
        </w:div>
        <w:div w:id="1815684461">
          <w:marLeft w:val="480"/>
          <w:marRight w:val="0"/>
          <w:marTop w:val="0"/>
          <w:marBottom w:val="0"/>
          <w:divBdr>
            <w:top w:val="none" w:sz="0" w:space="0" w:color="auto"/>
            <w:left w:val="none" w:sz="0" w:space="0" w:color="auto"/>
            <w:bottom w:val="none" w:sz="0" w:space="0" w:color="auto"/>
            <w:right w:val="none" w:sz="0" w:space="0" w:color="auto"/>
          </w:divBdr>
        </w:div>
        <w:div w:id="1686705701">
          <w:marLeft w:val="480"/>
          <w:marRight w:val="0"/>
          <w:marTop w:val="0"/>
          <w:marBottom w:val="0"/>
          <w:divBdr>
            <w:top w:val="none" w:sz="0" w:space="0" w:color="auto"/>
            <w:left w:val="none" w:sz="0" w:space="0" w:color="auto"/>
            <w:bottom w:val="none" w:sz="0" w:space="0" w:color="auto"/>
            <w:right w:val="none" w:sz="0" w:space="0" w:color="auto"/>
          </w:divBdr>
        </w:div>
        <w:div w:id="785657001">
          <w:marLeft w:val="480"/>
          <w:marRight w:val="0"/>
          <w:marTop w:val="0"/>
          <w:marBottom w:val="0"/>
          <w:divBdr>
            <w:top w:val="none" w:sz="0" w:space="0" w:color="auto"/>
            <w:left w:val="none" w:sz="0" w:space="0" w:color="auto"/>
            <w:bottom w:val="none" w:sz="0" w:space="0" w:color="auto"/>
            <w:right w:val="none" w:sz="0" w:space="0" w:color="auto"/>
          </w:divBdr>
        </w:div>
        <w:div w:id="1368142032">
          <w:marLeft w:val="480"/>
          <w:marRight w:val="0"/>
          <w:marTop w:val="0"/>
          <w:marBottom w:val="0"/>
          <w:divBdr>
            <w:top w:val="none" w:sz="0" w:space="0" w:color="auto"/>
            <w:left w:val="none" w:sz="0" w:space="0" w:color="auto"/>
            <w:bottom w:val="none" w:sz="0" w:space="0" w:color="auto"/>
            <w:right w:val="none" w:sz="0" w:space="0" w:color="auto"/>
          </w:divBdr>
        </w:div>
        <w:div w:id="465390106">
          <w:marLeft w:val="480"/>
          <w:marRight w:val="0"/>
          <w:marTop w:val="0"/>
          <w:marBottom w:val="0"/>
          <w:divBdr>
            <w:top w:val="none" w:sz="0" w:space="0" w:color="auto"/>
            <w:left w:val="none" w:sz="0" w:space="0" w:color="auto"/>
            <w:bottom w:val="none" w:sz="0" w:space="0" w:color="auto"/>
            <w:right w:val="none" w:sz="0" w:space="0" w:color="auto"/>
          </w:divBdr>
        </w:div>
        <w:div w:id="1057125569">
          <w:marLeft w:val="480"/>
          <w:marRight w:val="0"/>
          <w:marTop w:val="0"/>
          <w:marBottom w:val="0"/>
          <w:divBdr>
            <w:top w:val="none" w:sz="0" w:space="0" w:color="auto"/>
            <w:left w:val="none" w:sz="0" w:space="0" w:color="auto"/>
            <w:bottom w:val="none" w:sz="0" w:space="0" w:color="auto"/>
            <w:right w:val="none" w:sz="0" w:space="0" w:color="auto"/>
          </w:divBdr>
        </w:div>
        <w:div w:id="1459715107">
          <w:marLeft w:val="480"/>
          <w:marRight w:val="0"/>
          <w:marTop w:val="0"/>
          <w:marBottom w:val="0"/>
          <w:divBdr>
            <w:top w:val="none" w:sz="0" w:space="0" w:color="auto"/>
            <w:left w:val="none" w:sz="0" w:space="0" w:color="auto"/>
            <w:bottom w:val="none" w:sz="0" w:space="0" w:color="auto"/>
            <w:right w:val="none" w:sz="0" w:space="0" w:color="auto"/>
          </w:divBdr>
        </w:div>
        <w:div w:id="6374223">
          <w:marLeft w:val="480"/>
          <w:marRight w:val="0"/>
          <w:marTop w:val="0"/>
          <w:marBottom w:val="0"/>
          <w:divBdr>
            <w:top w:val="none" w:sz="0" w:space="0" w:color="auto"/>
            <w:left w:val="none" w:sz="0" w:space="0" w:color="auto"/>
            <w:bottom w:val="none" w:sz="0" w:space="0" w:color="auto"/>
            <w:right w:val="none" w:sz="0" w:space="0" w:color="auto"/>
          </w:divBdr>
        </w:div>
        <w:div w:id="1757247604">
          <w:marLeft w:val="480"/>
          <w:marRight w:val="0"/>
          <w:marTop w:val="0"/>
          <w:marBottom w:val="0"/>
          <w:divBdr>
            <w:top w:val="none" w:sz="0" w:space="0" w:color="auto"/>
            <w:left w:val="none" w:sz="0" w:space="0" w:color="auto"/>
            <w:bottom w:val="none" w:sz="0" w:space="0" w:color="auto"/>
            <w:right w:val="none" w:sz="0" w:space="0" w:color="auto"/>
          </w:divBdr>
        </w:div>
        <w:div w:id="1698118137">
          <w:marLeft w:val="480"/>
          <w:marRight w:val="0"/>
          <w:marTop w:val="0"/>
          <w:marBottom w:val="0"/>
          <w:divBdr>
            <w:top w:val="none" w:sz="0" w:space="0" w:color="auto"/>
            <w:left w:val="none" w:sz="0" w:space="0" w:color="auto"/>
            <w:bottom w:val="none" w:sz="0" w:space="0" w:color="auto"/>
            <w:right w:val="none" w:sz="0" w:space="0" w:color="auto"/>
          </w:divBdr>
        </w:div>
        <w:div w:id="1790081979">
          <w:marLeft w:val="480"/>
          <w:marRight w:val="0"/>
          <w:marTop w:val="0"/>
          <w:marBottom w:val="0"/>
          <w:divBdr>
            <w:top w:val="none" w:sz="0" w:space="0" w:color="auto"/>
            <w:left w:val="none" w:sz="0" w:space="0" w:color="auto"/>
            <w:bottom w:val="none" w:sz="0" w:space="0" w:color="auto"/>
            <w:right w:val="none" w:sz="0" w:space="0" w:color="auto"/>
          </w:divBdr>
        </w:div>
        <w:div w:id="332805666">
          <w:marLeft w:val="480"/>
          <w:marRight w:val="0"/>
          <w:marTop w:val="0"/>
          <w:marBottom w:val="0"/>
          <w:divBdr>
            <w:top w:val="none" w:sz="0" w:space="0" w:color="auto"/>
            <w:left w:val="none" w:sz="0" w:space="0" w:color="auto"/>
            <w:bottom w:val="none" w:sz="0" w:space="0" w:color="auto"/>
            <w:right w:val="none" w:sz="0" w:space="0" w:color="auto"/>
          </w:divBdr>
        </w:div>
        <w:div w:id="1769542440">
          <w:marLeft w:val="480"/>
          <w:marRight w:val="0"/>
          <w:marTop w:val="0"/>
          <w:marBottom w:val="0"/>
          <w:divBdr>
            <w:top w:val="none" w:sz="0" w:space="0" w:color="auto"/>
            <w:left w:val="none" w:sz="0" w:space="0" w:color="auto"/>
            <w:bottom w:val="none" w:sz="0" w:space="0" w:color="auto"/>
            <w:right w:val="none" w:sz="0" w:space="0" w:color="auto"/>
          </w:divBdr>
        </w:div>
        <w:div w:id="704062801">
          <w:marLeft w:val="480"/>
          <w:marRight w:val="0"/>
          <w:marTop w:val="0"/>
          <w:marBottom w:val="0"/>
          <w:divBdr>
            <w:top w:val="none" w:sz="0" w:space="0" w:color="auto"/>
            <w:left w:val="none" w:sz="0" w:space="0" w:color="auto"/>
            <w:bottom w:val="none" w:sz="0" w:space="0" w:color="auto"/>
            <w:right w:val="none" w:sz="0" w:space="0" w:color="auto"/>
          </w:divBdr>
        </w:div>
        <w:div w:id="894395796">
          <w:marLeft w:val="480"/>
          <w:marRight w:val="0"/>
          <w:marTop w:val="0"/>
          <w:marBottom w:val="0"/>
          <w:divBdr>
            <w:top w:val="none" w:sz="0" w:space="0" w:color="auto"/>
            <w:left w:val="none" w:sz="0" w:space="0" w:color="auto"/>
            <w:bottom w:val="none" w:sz="0" w:space="0" w:color="auto"/>
            <w:right w:val="none" w:sz="0" w:space="0" w:color="auto"/>
          </w:divBdr>
        </w:div>
        <w:div w:id="27731309">
          <w:marLeft w:val="480"/>
          <w:marRight w:val="0"/>
          <w:marTop w:val="0"/>
          <w:marBottom w:val="0"/>
          <w:divBdr>
            <w:top w:val="none" w:sz="0" w:space="0" w:color="auto"/>
            <w:left w:val="none" w:sz="0" w:space="0" w:color="auto"/>
            <w:bottom w:val="none" w:sz="0" w:space="0" w:color="auto"/>
            <w:right w:val="none" w:sz="0" w:space="0" w:color="auto"/>
          </w:divBdr>
        </w:div>
        <w:div w:id="1140347075">
          <w:marLeft w:val="480"/>
          <w:marRight w:val="0"/>
          <w:marTop w:val="0"/>
          <w:marBottom w:val="0"/>
          <w:divBdr>
            <w:top w:val="none" w:sz="0" w:space="0" w:color="auto"/>
            <w:left w:val="none" w:sz="0" w:space="0" w:color="auto"/>
            <w:bottom w:val="none" w:sz="0" w:space="0" w:color="auto"/>
            <w:right w:val="none" w:sz="0" w:space="0" w:color="auto"/>
          </w:divBdr>
        </w:div>
        <w:div w:id="747190616">
          <w:marLeft w:val="480"/>
          <w:marRight w:val="0"/>
          <w:marTop w:val="0"/>
          <w:marBottom w:val="0"/>
          <w:divBdr>
            <w:top w:val="none" w:sz="0" w:space="0" w:color="auto"/>
            <w:left w:val="none" w:sz="0" w:space="0" w:color="auto"/>
            <w:bottom w:val="none" w:sz="0" w:space="0" w:color="auto"/>
            <w:right w:val="none" w:sz="0" w:space="0" w:color="auto"/>
          </w:divBdr>
        </w:div>
        <w:div w:id="76679971">
          <w:marLeft w:val="480"/>
          <w:marRight w:val="0"/>
          <w:marTop w:val="0"/>
          <w:marBottom w:val="0"/>
          <w:divBdr>
            <w:top w:val="none" w:sz="0" w:space="0" w:color="auto"/>
            <w:left w:val="none" w:sz="0" w:space="0" w:color="auto"/>
            <w:bottom w:val="none" w:sz="0" w:space="0" w:color="auto"/>
            <w:right w:val="none" w:sz="0" w:space="0" w:color="auto"/>
          </w:divBdr>
        </w:div>
        <w:div w:id="1881892921">
          <w:marLeft w:val="480"/>
          <w:marRight w:val="0"/>
          <w:marTop w:val="0"/>
          <w:marBottom w:val="0"/>
          <w:divBdr>
            <w:top w:val="none" w:sz="0" w:space="0" w:color="auto"/>
            <w:left w:val="none" w:sz="0" w:space="0" w:color="auto"/>
            <w:bottom w:val="none" w:sz="0" w:space="0" w:color="auto"/>
            <w:right w:val="none" w:sz="0" w:space="0" w:color="auto"/>
          </w:divBdr>
        </w:div>
        <w:div w:id="361169304">
          <w:marLeft w:val="480"/>
          <w:marRight w:val="0"/>
          <w:marTop w:val="0"/>
          <w:marBottom w:val="0"/>
          <w:divBdr>
            <w:top w:val="none" w:sz="0" w:space="0" w:color="auto"/>
            <w:left w:val="none" w:sz="0" w:space="0" w:color="auto"/>
            <w:bottom w:val="none" w:sz="0" w:space="0" w:color="auto"/>
            <w:right w:val="none" w:sz="0" w:space="0" w:color="auto"/>
          </w:divBdr>
        </w:div>
        <w:div w:id="638069748">
          <w:marLeft w:val="480"/>
          <w:marRight w:val="0"/>
          <w:marTop w:val="0"/>
          <w:marBottom w:val="0"/>
          <w:divBdr>
            <w:top w:val="none" w:sz="0" w:space="0" w:color="auto"/>
            <w:left w:val="none" w:sz="0" w:space="0" w:color="auto"/>
            <w:bottom w:val="none" w:sz="0" w:space="0" w:color="auto"/>
            <w:right w:val="none" w:sz="0" w:space="0" w:color="auto"/>
          </w:divBdr>
        </w:div>
        <w:div w:id="1739403473">
          <w:marLeft w:val="480"/>
          <w:marRight w:val="0"/>
          <w:marTop w:val="0"/>
          <w:marBottom w:val="0"/>
          <w:divBdr>
            <w:top w:val="none" w:sz="0" w:space="0" w:color="auto"/>
            <w:left w:val="none" w:sz="0" w:space="0" w:color="auto"/>
            <w:bottom w:val="none" w:sz="0" w:space="0" w:color="auto"/>
            <w:right w:val="none" w:sz="0" w:space="0" w:color="auto"/>
          </w:divBdr>
        </w:div>
        <w:div w:id="1468014722">
          <w:marLeft w:val="480"/>
          <w:marRight w:val="0"/>
          <w:marTop w:val="0"/>
          <w:marBottom w:val="0"/>
          <w:divBdr>
            <w:top w:val="none" w:sz="0" w:space="0" w:color="auto"/>
            <w:left w:val="none" w:sz="0" w:space="0" w:color="auto"/>
            <w:bottom w:val="none" w:sz="0" w:space="0" w:color="auto"/>
            <w:right w:val="none" w:sz="0" w:space="0" w:color="auto"/>
          </w:divBdr>
        </w:div>
        <w:div w:id="33847906">
          <w:marLeft w:val="480"/>
          <w:marRight w:val="0"/>
          <w:marTop w:val="0"/>
          <w:marBottom w:val="0"/>
          <w:divBdr>
            <w:top w:val="none" w:sz="0" w:space="0" w:color="auto"/>
            <w:left w:val="none" w:sz="0" w:space="0" w:color="auto"/>
            <w:bottom w:val="none" w:sz="0" w:space="0" w:color="auto"/>
            <w:right w:val="none" w:sz="0" w:space="0" w:color="auto"/>
          </w:divBdr>
        </w:div>
        <w:div w:id="2091540525">
          <w:marLeft w:val="480"/>
          <w:marRight w:val="0"/>
          <w:marTop w:val="0"/>
          <w:marBottom w:val="0"/>
          <w:divBdr>
            <w:top w:val="none" w:sz="0" w:space="0" w:color="auto"/>
            <w:left w:val="none" w:sz="0" w:space="0" w:color="auto"/>
            <w:bottom w:val="none" w:sz="0" w:space="0" w:color="auto"/>
            <w:right w:val="none" w:sz="0" w:space="0" w:color="auto"/>
          </w:divBdr>
        </w:div>
        <w:div w:id="673724550">
          <w:marLeft w:val="480"/>
          <w:marRight w:val="0"/>
          <w:marTop w:val="0"/>
          <w:marBottom w:val="0"/>
          <w:divBdr>
            <w:top w:val="none" w:sz="0" w:space="0" w:color="auto"/>
            <w:left w:val="none" w:sz="0" w:space="0" w:color="auto"/>
            <w:bottom w:val="none" w:sz="0" w:space="0" w:color="auto"/>
            <w:right w:val="none" w:sz="0" w:space="0" w:color="auto"/>
          </w:divBdr>
        </w:div>
        <w:div w:id="1546018700">
          <w:marLeft w:val="480"/>
          <w:marRight w:val="0"/>
          <w:marTop w:val="0"/>
          <w:marBottom w:val="0"/>
          <w:divBdr>
            <w:top w:val="none" w:sz="0" w:space="0" w:color="auto"/>
            <w:left w:val="none" w:sz="0" w:space="0" w:color="auto"/>
            <w:bottom w:val="none" w:sz="0" w:space="0" w:color="auto"/>
            <w:right w:val="none" w:sz="0" w:space="0" w:color="auto"/>
          </w:divBdr>
        </w:div>
        <w:div w:id="1013918020">
          <w:marLeft w:val="480"/>
          <w:marRight w:val="0"/>
          <w:marTop w:val="0"/>
          <w:marBottom w:val="0"/>
          <w:divBdr>
            <w:top w:val="none" w:sz="0" w:space="0" w:color="auto"/>
            <w:left w:val="none" w:sz="0" w:space="0" w:color="auto"/>
            <w:bottom w:val="none" w:sz="0" w:space="0" w:color="auto"/>
            <w:right w:val="none" w:sz="0" w:space="0" w:color="auto"/>
          </w:divBdr>
        </w:div>
        <w:div w:id="1434323400">
          <w:marLeft w:val="480"/>
          <w:marRight w:val="0"/>
          <w:marTop w:val="0"/>
          <w:marBottom w:val="0"/>
          <w:divBdr>
            <w:top w:val="none" w:sz="0" w:space="0" w:color="auto"/>
            <w:left w:val="none" w:sz="0" w:space="0" w:color="auto"/>
            <w:bottom w:val="none" w:sz="0" w:space="0" w:color="auto"/>
            <w:right w:val="none" w:sz="0" w:space="0" w:color="auto"/>
          </w:divBdr>
        </w:div>
        <w:div w:id="1846044460">
          <w:marLeft w:val="480"/>
          <w:marRight w:val="0"/>
          <w:marTop w:val="0"/>
          <w:marBottom w:val="0"/>
          <w:divBdr>
            <w:top w:val="none" w:sz="0" w:space="0" w:color="auto"/>
            <w:left w:val="none" w:sz="0" w:space="0" w:color="auto"/>
            <w:bottom w:val="none" w:sz="0" w:space="0" w:color="auto"/>
            <w:right w:val="none" w:sz="0" w:space="0" w:color="auto"/>
          </w:divBdr>
        </w:div>
        <w:div w:id="714038930">
          <w:marLeft w:val="480"/>
          <w:marRight w:val="0"/>
          <w:marTop w:val="0"/>
          <w:marBottom w:val="0"/>
          <w:divBdr>
            <w:top w:val="none" w:sz="0" w:space="0" w:color="auto"/>
            <w:left w:val="none" w:sz="0" w:space="0" w:color="auto"/>
            <w:bottom w:val="none" w:sz="0" w:space="0" w:color="auto"/>
            <w:right w:val="none" w:sz="0" w:space="0" w:color="auto"/>
          </w:divBdr>
        </w:div>
        <w:div w:id="1379162993">
          <w:marLeft w:val="480"/>
          <w:marRight w:val="0"/>
          <w:marTop w:val="0"/>
          <w:marBottom w:val="0"/>
          <w:divBdr>
            <w:top w:val="none" w:sz="0" w:space="0" w:color="auto"/>
            <w:left w:val="none" w:sz="0" w:space="0" w:color="auto"/>
            <w:bottom w:val="none" w:sz="0" w:space="0" w:color="auto"/>
            <w:right w:val="none" w:sz="0" w:space="0" w:color="auto"/>
          </w:divBdr>
        </w:div>
        <w:div w:id="903687187">
          <w:marLeft w:val="480"/>
          <w:marRight w:val="0"/>
          <w:marTop w:val="0"/>
          <w:marBottom w:val="0"/>
          <w:divBdr>
            <w:top w:val="none" w:sz="0" w:space="0" w:color="auto"/>
            <w:left w:val="none" w:sz="0" w:space="0" w:color="auto"/>
            <w:bottom w:val="none" w:sz="0" w:space="0" w:color="auto"/>
            <w:right w:val="none" w:sz="0" w:space="0" w:color="auto"/>
          </w:divBdr>
        </w:div>
        <w:div w:id="1936471088">
          <w:marLeft w:val="480"/>
          <w:marRight w:val="0"/>
          <w:marTop w:val="0"/>
          <w:marBottom w:val="0"/>
          <w:divBdr>
            <w:top w:val="none" w:sz="0" w:space="0" w:color="auto"/>
            <w:left w:val="none" w:sz="0" w:space="0" w:color="auto"/>
            <w:bottom w:val="none" w:sz="0" w:space="0" w:color="auto"/>
            <w:right w:val="none" w:sz="0" w:space="0" w:color="auto"/>
          </w:divBdr>
        </w:div>
        <w:div w:id="602764486">
          <w:marLeft w:val="480"/>
          <w:marRight w:val="0"/>
          <w:marTop w:val="0"/>
          <w:marBottom w:val="0"/>
          <w:divBdr>
            <w:top w:val="none" w:sz="0" w:space="0" w:color="auto"/>
            <w:left w:val="none" w:sz="0" w:space="0" w:color="auto"/>
            <w:bottom w:val="none" w:sz="0" w:space="0" w:color="auto"/>
            <w:right w:val="none" w:sz="0" w:space="0" w:color="auto"/>
          </w:divBdr>
        </w:div>
        <w:div w:id="1997223863">
          <w:marLeft w:val="480"/>
          <w:marRight w:val="0"/>
          <w:marTop w:val="0"/>
          <w:marBottom w:val="0"/>
          <w:divBdr>
            <w:top w:val="none" w:sz="0" w:space="0" w:color="auto"/>
            <w:left w:val="none" w:sz="0" w:space="0" w:color="auto"/>
            <w:bottom w:val="none" w:sz="0" w:space="0" w:color="auto"/>
            <w:right w:val="none" w:sz="0" w:space="0" w:color="auto"/>
          </w:divBdr>
        </w:div>
        <w:div w:id="82144854">
          <w:marLeft w:val="480"/>
          <w:marRight w:val="0"/>
          <w:marTop w:val="0"/>
          <w:marBottom w:val="0"/>
          <w:divBdr>
            <w:top w:val="none" w:sz="0" w:space="0" w:color="auto"/>
            <w:left w:val="none" w:sz="0" w:space="0" w:color="auto"/>
            <w:bottom w:val="none" w:sz="0" w:space="0" w:color="auto"/>
            <w:right w:val="none" w:sz="0" w:space="0" w:color="auto"/>
          </w:divBdr>
        </w:div>
        <w:div w:id="566914060">
          <w:marLeft w:val="480"/>
          <w:marRight w:val="0"/>
          <w:marTop w:val="0"/>
          <w:marBottom w:val="0"/>
          <w:divBdr>
            <w:top w:val="none" w:sz="0" w:space="0" w:color="auto"/>
            <w:left w:val="none" w:sz="0" w:space="0" w:color="auto"/>
            <w:bottom w:val="none" w:sz="0" w:space="0" w:color="auto"/>
            <w:right w:val="none" w:sz="0" w:space="0" w:color="auto"/>
          </w:divBdr>
        </w:div>
        <w:div w:id="972247823">
          <w:marLeft w:val="480"/>
          <w:marRight w:val="0"/>
          <w:marTop w:val="0"/>
          <w:marBottom w:val="0"/>
          <w:divBdr>
            <w:top w:val="none" w:sz="0" w:space="0" w:color="auto"/>
            <w:left w:val="none" w:sz="0" w:space="0" w:color="auto"/>
            <w:bottom w:val="none" w:sz="0" w:space="0" w:color="auto"/>
            <w:right w:val="none" w:sz="0" w:space="0" w:color="auto"/>
          </w:divBdr>
        </w:div>
        <w:div w:id="1540123761">
          <w:marLeft w:val="480"/>
          <w:marRight w:val="0"/>
          <w:marTop w:val="0"/>
          <w:marBottom w:val="0"/>
          <w:divBdr>
            <w:top w:val="none" w:sz="0" w:space="0" w:color="auto"/>
            <w:left w:val="none" w:sz="0" w:space="0" w:color="auto"/>
            <w:bottom w:val="none" w:sz="0" w:space="0" w:color="auto"/>
            <w:right w:val="none" w:sz="0" w:space="0" w:color="auto"/>
          </w:divBdr>
        </w:div>
        <w:div w:id="188763701">
          <w:marLeft w:val="480"/>
          <w:marRight w:val="0"/>
          <w:marTop w:val="0"/>
          <w:marBottom w:val="0"/>
          <w:divBdr>
            <w:top w:val="none" w:sz="0" w:space="0" w:color="auto"/>
            <w:left w:val="none" w:sz="0" w:space="0" w:color="auto"/>
            <w:bottom w:val="none" w:sz="0" w:space="0" w:color="auto"/>
            <w:right w:val="none" w:sz="0" w:space="0" w:color="auto"/>
          </w:divBdr>
        </w:div>
        <w:div w:id="677003192">
          <w:marLeft w:val="480"/>
          <w:marRight w:val="0"/>
          <w:marTop w:val="0"/>
          <w:marBottom w:val="0"/>
          <w:divBdr>
            <w:top w:val="none" w:sz="0" w:space="0" w:color="auto"/>
            <w:left w:val="none" w:sz="0" w:space="0" w:color="auto"/>
            <w:bottom w:val="none" w:sz="0" w:space="0" w:color="auto"/>
            <w:right w:val="none" w:sz="0" w:space="0" w:color="auto"/>
          </w:divBdr>
        </w:div>
        <w:div w:id="1454667765">
          <w:marLeft w:val="480"/>
          <w:marRight w:val="0"/>
          <w:marTop w:val="0"/>
          <w:marBottom w:val="0"/>
          <w:divBdr>
            <w:top w:val="none" w:sz="0" w:space="0" w:color="auto"/>
            <w:left w:val="none" w:sz="0" w:space="0" w:color="auto"/>
            <w:bottom w:val="none" w:sz="0" w:space="0" w:color="auto"/>
            <w:right w:val="none" w:sz="0" w:space="0" w:color="auto"/>
          </w:divBdr>
        </w:div>
        <w:div w:id="845748771">
          <w:marLeft w:val="480"/>
          <w:marRight w:val="0"/>
          <w:marTop w:val="0"/>
          <w:marBottom w:val="0"/>
          <w:divBdr>
            <w:top w:val="none" w:sz="0" w:space="0" w:color="auto"/>
            <w:left w:val="none" w:sz="0" w:space="0" w:color="auto"/>
            <w:bottom w:val="none" w:sz="0" w:space="0" w:color="auto"/>
            <w:right w:val="none" w:sz="0" w:space="0" w:color="auto"/>
          </w:divBdr>
        </w:div>
        <w:div w:id="129129124">
          <w:marLeft w:val="480"/>
          <w:marRight w:val="0"/>
          <w:marTop w:val="0"/>
          <w:marBottom w:val="0"/>
          <w:divBdr>
            <w:top w:val="none" w:sz="0" w:space="0" w:color="auto"/>
            <w:left w:val="none" w:sz="0" w:space="0" w:color="auto"/>
            <w:bottom w:val="none" w:sz="0" w:space="0" w:color="auto"/>
            <w:right w:val="none" w:sz="0" w:space="0" w:color="auto"/>
          </w:divBdr>
        </w:div>
        <w:div w:id="488794167">
          <w:marLeft w:val="480"/>
          <w:marRight w:val="0"/>
          <w:marTop w:val="0"/>
          <w:marBottom w:val="0"/>
          <w:divBdr>
            <w:top w:val="none" w:sz="0" w:space="0" w:color="auto"/>
            <w:left w:val="none" w:sz="0" w:space="0" w:color="auto"/>
            <w:bottom w:val="none" w:sz="0" w:space="0" w:color="auto"/>
            <w:right w:val="none" w:sz="0" w:space="0" w:color="auto"/>
          </w:divBdr>
        </w:div>
        <w:div w:id="853349215">
          <w:marLeft w:val="480"/>
          <w:marRight w:val="0"/>
          <w:marTop w:val="0"/>
          <w:marBottom w:val="0"/>
          <w:divBdr>
            <w:top w:val="none" w:sz="0" w:space="0" w:color="auto"/>
            <w:left w:val="none" w:sz="0" w:space="0" w:color="auto"/>
            <w:bottom w:val="none" w:sz="0" w:space="0" w:color="auto"/>
            <w:right w:val="none" w:sz="0" w:space="0" w:color="auto"/>
          </w:divBdr>
        </w:div>
        <w:div w:id="1211116489">
          <w:marLeft w:val="480"/>
          <w:marRight w:val="0"/>
          <w:marTop w:val="0"/>
          <w:marBottom w:val="0"/>
          <w:divBdr>
            <w:top w:val="none" w:sz="0" w:space="0" w:color="auto"/>
            <w:left w:val="none" w:sz="0" w:space="0" w:color="auto"/>
            <w:bottom w:val="none" w:sz="0" w:space="0" w:color="auto"/>
            <w:right w:val="none" w:sz="0" w:space="0" w:color="auto"/>
          </w:divBdr>
        </w:div>
        <w:div w:id="1204907304">
          <w:marLeft w:val="480"/>
          <w:marRight w:val="0"/>
          <w:marTop w:val="0"/>
          <w:marBottom w:val="0"/>
          <w:divBdr>
            <w:top w:val="none" w:sz="0" w:space="0" w:color="auto"/>
            <w:left w:val="none" w:sz="0" w:space="0" w:color="auto"/>
            <w:bottom w:val="none" w:sz="0" w:space="0" w:color="auto"/>
            <w:right w:val="none" w:sz="0" w:space="0" w:color="auto"/>
          </w:divBdr>
        </w:div>
        <w:div w:id="1273128809">
          <w:marLeft w:val="480"/>
          <w:marRight w:val="0"/>
          <w:marTop w:val="0"/>
          <w:marBottom w:val="0"/>
          <w:divBdr>
            <w:top w:val="none" w:sz="0" w:space="0" w:color="auto"/>
            <w:left w:val="none" w:sz="0" w:space="0" w:color="auto"/>
            <w:bottom w:val="none" w:sz="0" w:space="0" w:color="auto"/>
            <w:right w:val="none" w:sz="0" w:space="0" w:color="auto"/>
          </w:divBdr>
        </w:div>
        <w:div w:id="1754549816">
          <w:marLeft w:val="480"/>
          <w:marRight w:val="0"/>
          <w:marTop w:val="0"/>
          <w:marBottom w:val="0"/>
          <w:divBdr>
            <w:top w:val="none" w:sz="0" w:space="0" w:color="auto"/>
            <w:left w:val="none" w:sz="0" w:space="0" w:color="auto"/>
            <w:bottom w:val="none" w:sz="0" w:space="0" w:color="auto"/>
            <w:right w:val="none" w:sz="0" w:space="0" w:color="auto"/>
          </w:divBdr>
        </w:div>
        <w:div w:id="332992679">
          <w:marLeft w:val="480"/>
          <w:marRight w:val="0"/>
          <w:marTop w:val="0"/>
          <w:marBottom w:val="0"/>
          <w:divBdr>
            <w:top w:val="none" w:sz="0" w:space="0" w:color="auto"/>
            <w:left w:val="none" w:sz="0" w:space="0" w:color="auto"/>
            <w:bottom w:val="none" w:sz="0" w:space="0" w:color="auto"/>
            <w:right w:val="none" w:sz="0" w:space="0" w:color="auto"/>
          </w:divBdr>
        </w:div>
        <w:div w:id="581108719">
          <w:marLeft w:val="480"/>
          <w:marRight w:val="0"/>
          <w:marTop w:val="0"/>
          <w:marBottom w:val="0"/>
          <w:divBdr>
            <w:top w:val="none" w:sz="0" w:space="0" w:color="auto"/>
            <w:left w:val="none" w:sz="0" w:space="0" w:color="auto"/>
            <w:bottom w:val="none" w:sz="0" w:space="0" w:color="auto"/>
            <w:right w:val="none" w:sz="0" w:space="0" w:color="auto"/>
          </w:divBdr>
        </w:div>
        <w:div w:id="1145006840">
          <w:marLeft w:val="480"/>
          <w:marRight w:val="0"/>
          <w:marTop w:val="0"/>
          <w:marBottom w:val="0"/>
          <w:divBdr>
            <w:top w:val="none" w:sz="0" w:space="0" w:color="auto"/>
            <w:left w:val="none" w:sz="0" w:space="0" w:color="auto"/>
            <w:bottom w:val="none" w:sz="0" w:space="0" w:color="auto"/>
            <w:right w:val="none" w:sz="0" w:space="0" w:color="auto"/>
          </w:divBdr>
        </w:div>
        <w:div w:id="476646886">
          <w:marLeft w:val="480"/>
          <w:marRight w:val="0"/>
          <w:marTop w:val="0"/>
          <w:marBottom w:val="0"/>
          <w:divBdr>
            <w:top w:val="none" w:sz="0" w:space="0" w:color="auto"/>
            <w:left w:val="none" w:sz="0" w:space="0" w:color="auto"/>
            <w:bottom w:val="none" w:sz="0" w:space="0" w:color="auto"/>
            <w:right w:val="none" w:sz="0" w:space="0" w:color="auto"/>
          </w:divBdr>
        </w:div>
        <w:div w:id="1866404336">
          <w:marLeft w:val="480"/>
          <w:marRight w:val="0"/>
          <w:marTop w:val="0"/>
          <w:marBottom w:val="0"/>
          <w:divBdr>
            <w:top w:val="none" w:sz="0" w:space="0" w:color="auto"/>
            <w:left w:val="none" w:sz="0" w:space="0" w:color="auto"/>
            <w:bottom w:val="none" w:sz="0" w:space="0" w:color="auto"/>
            <w:right w:val="none" w:sz="0" w:space="0" w:color="auto"/>
          </w:divBdr>
        </w:div>
        <w:div w:id="1576088228">
          <w:marLeft w:val="480"/>
          <w:marRight w:val="0"/>
          <w:marTop w:val="0"/>
          <w:marBottom w:val="0"/>
          <w:divBdr>
            <w:top w:val="none" w:sz="0" w:space="0" w:color="auto"/>
            <w:left w:val="none" w:sz="0" w:space="0" w:color="auto"/>
            <w:bottom w:val="none" w:sz="0" w:space="0" w:color="auto"/>
            <w:right w:val="none" w:sz="0" w:space="0" w:color="auto"/>
          </w:divBdr>
        </w:div>
        <w:div w:id="1536458309">
          <w:marLeft w:val="480"/>
          <w:marRight w:val="0"/>
          <w:marTop w:val="0"/>
          <w:marBottom w:val="0"/>
          <w:divBdr>
            <w:top w:val="none" w:sz="0" w:space="0" w:color="auto"/>
            <w:left w:val="none" w:sz="0" w:space="0" w:color="auto"/>
            <w:bottom w:val="none" w:sz="0" w:space="0" w:color="auto"/>
            <w:right w:val="none" w:sz="0" w:space="0" w:color="auto"/>
          </w:divBdr>
        </w:div>
        <w:div w:id="59333311">
          <w:marLeft w:val="480"/>
          <w:marRight w:val="0"/>
          <w:marTop w:val="0"/>
          <w:marBottom w:val="0"/>
          <w:divBdr>
            <w:top w:val="none" w:sz="0" w:space="0" w:color="auto"/>
            <w:left w:val="none" w:sz="0" w:space="0" w:color="auto"/>
            <w:bottom w:val="none" w:sz="0" w:space="0" w:color="auto"/>
            <w:right w:val="none" w:sz="0" w:space="0" w:color="auto"/>
          </w:divBdr>
        </w:div>
        <w:div w:id="1440569030">
          <w:marLeft w:val="480"/>
          <w:marRight w:val="0"/>
          <w:marTop w:val="0"/>
          <w:marBottom w:val="0"/>
          <w:divBdr>
            <w:top w:val="none" w:sz="0" w:space="0" w:color="auto"/>
            <w:left w:val="none" w:sz="0" w:space="0" w:color="auto"/>
            <w:bottom w:val="none" w:sz="0" w:space="0" w:color="auto"/>
            <w:right w:val="none" w:sz="0" w:space="0" w:color="auto"/>
          </w:divBdr>
        </w:div>
        <w:div w:id="289095001">
          <w:marLeft w:val="480"/>
          <w:marRight w:val="0"/>
          <w:marTop w:val="0"/>
          <w:marBottom w:val="0"/>
          <w:divBdr>
            <w:top w:val="none" w:sz="0" w:space="0" w:color="auto"/>
            <w:left w:val="none" w:sz="0" w:space="0" w:color="auto"/>
            <w:bottom w:val="none" w:sz="0" w:space="0" w:color="auto"/>
            <w:right w:val="none" w:sz="0" w:space="0" w:color="auto"/>
          </w:divBdr>
        </w:div>
        <w:div w:id="721250291">
          <w:marLeft w:val="480"/>
          <w:marRight w:val="0"/>
          <w:marTop w:val="0"/>
          <w:marBottom w:val="0"/>
          <w:divBdr>
            <w:top w:val="none" w:sz="0" w:space="0" w:color="auto"/>
            <w:left w:val="none" w:sz="0" w:space="0" w:color="auto"/>
            <w:bottom w:val="none" w:sz="0" w:space="0" w:color="auto"/>
            <w:right w:val="none" w:sz="0" w:space="0" w:color="auto"/>
          </w:divBdr>
        </w:div>
        <w:div w:id="13388920">
          <w:marLeft w:val="480"/>
          <w:marRight w:val="0"/>
          <w:marTop w:val="0"/>
          <w:marBottom w:val="0"/>
          <w:divBdr>
            <w:top w:val="none" w:sz="0" w:space="0" w:color="auto"/>
            <w:left w:val="none" w:sz="0" w:space="0" w:color="auto"/>
            <w:bottom w:val="none" w:sz="0" w:space="0" w:color="auto"/>
            <w:right w:val="none" w:sz="0" w:space="0" w:color="auto"/>
          </w:divBdr>
        </w:div>
        <w:div w:id="1674917121">
          <w:marLeft w:val="480"/>
          <w:marRight w:val="0"/>
          <w:marTop w:val="0"/>
          <w:marBottom w:val="0"/>
          <w:divBdr>
            <w:top w:val="none" w:sz="0" w:space="0" w:color="auto"/>
            <w:left w:val="none" w:sz="0" w:space="0" w:color="auto"/>
            <w:bottom w:val="none" w:sz="0" w:space="0" w:color="auto"/>
            <w:right w:val="none" w:sz="0" w:space="0" w:color="auto"/>
          </w:divBdr>
        </w:div>
        <w:div w:id="2056273169">
          <w:marLeft w:val="480"/>
          <w:marRight w:val="0"/>
          <w:marTop w:val="0"/>
          <w:marBottom w:val="0"/>
          <w:divBdr>
            <w:top w:val="none" w:sz="0" w:space="0" w:color="auto"/>
            <w:left w:val="none" w:sz="0" w:space="0" w:color="auto"/>
            <w:bottom w:val="none" w:sz="0" w:space="0" w:color="auto"/>
            <w:right w:val="none" w:sz="0" w:space="0" w:color="auto"/>
          </w:divBdr>
        </w:div>
        <w:div w:id="756903966">
          <w:marLeft w:val="480"/>
          <w:marRight w:val="0"/>
          <w:marTop w:val="0"/>
          <w:marBottom w:val="0"/>
          <w:divBdr>
            <w:top w:val="none" w:sz="0" w:space="0" w:color="auto"/>
            <w:left w:val="none" w:sz="0" w:space="0" w:color="auto"/>
            <w:bottom w:val="none" w:sz="0" w:space="0" w:color="auto"/>
            <w:right w:val="none" w:sz="0" w:space="0" w:color="auto"/>
          </w:divBdr>
        </w:div>
        <w:div w:id="1414621715">
          <w:marLeft w:val="480"/>
          <w:marRight w:val="0"/>
          <w:marTop w:val="0"/>
          <w:marBottom w:val="0"/>
          <w:divBdr>
            <w:top w:val="none" w:sz="0" w:space="0" w:color="auto"/>
            <w:left w:val="none" w:sz="0" w:space="0" w:color="auto"/>
            <w:bottom w:val="none" w:sz="0" w:space="0" w:color="auto"/>
            <w:right w:val="none" w:sz="0" w:space="0" w:color="auto"/>
          </w:divBdr>
        </w:div>
        <w:div w:id="1305354187">
          <w:marLeft w:val="480"/>
          <w:marRight w:val="0"/>
          <w:marTop w:val="0"/>
          <w:marBottom w:val="0"/>
          <w:divBdr>
            <w:top w:val="none" w:sz="0" w:space="0" w:color="auto"/>
            <w:left w:val="none" w:sz="0" w:space="0" w:color="auto"/>
            <w:bottom w:val="none" w:sz="0" w:space="0" w:color="auto"/>
            <w:right w:val="none" w:sz="0" w:space="0" w:color="auto"/>
          </w:divBdr>
        </w:div>
        <w:div w:id="710424098">
          <w:marLeft w:val="480"/>
          <w:marRight w:val="0"/>
          <w:marTop w:val="0"/>
          <w:marBottom w:val="0"/>
          <w:divBdr>
            <w:top w:val="none" w:sz="0" w:space="0" w:color="auto"/>
            <w:left w:val="none" w:sz="0" w:space="0" w:color="auto"/>
            <w:bottom w:val="none" w:sz="0" w:space="0" w:color="auto"/>
            <w:right w:val="none" w:sz="0" w:space="0" w:color="auto"/>
          </w:divBdr>
        </w:div>
        <w:div w:id="228881414">
          <w:marLeft w:val="480"/>
          <w:marRight w:val="0"/>
          <w:marTop w:val="0"/>
          <w:marBottom w:val="0"/>
          <w:divBdr>
            <w:top w:val="none" w:sz="0" w:space="0" w:color="auto"/>
            <w:left w:val="none" w:sz="0" w:space="0" w:color="auto"/>
            <w:bottom w:val="none" w:sz="0" w:space="0" w:color="auto"/>
            <w:right w:val="none" w:sz="0" w:space="0" w:color="auto"/>
          </w:divBdr>
        </w:div>
        <w:div w:id="740905598">
          <w:marLeft w:val="480"/>
          <w:marRight w:val="0"/>
          <w:marTop w:val="0"/>
          <w:marBottom w:val="0"/>
          <w:divBdr>
            <w:top w:val="none" w:sz="0" w:space="0" w:color="auto"/>
            <w:left w:val="none" w:sz="0" w:space="0" w:color="auto"/>
            <w:bottom w:val="none" w:sz="0" w:space="0" w:color="auto"/>
            <w:right w:val="none" w:sz="0" w:space="0" w:color="auto"/>
          </w:divBdr>
        </w:div>
        <w:div w:id="2076585203">
          <w:marLeft w:val="480"/>
          <w:marRight w:val="0"/>
          <w:marTop w:val="0"/>
          <w:marBottom w:val="0"/>
          <w:divBdr>
            <w:top w:val="none" w:sz="0" w:space="0" w:color="auto"/>
            <w:left w:val="none" w:sz="0" w:space="0" w:color="auto"/>
            <w:bottom w:val="none" w:sz="0" w:space="0" w:color="auto"/>
            <w:right w:val="none" w:sz="0" w:space="0" w:color="auto"/>
          </w:divBdr>
        </w:div>
        <w:div w:id="1156915685">
          <w:marLeft w:val="480"/>
          <w:marRight w:val="0"/>
          <w:marTop w:val="0"/>
          <w:marBottom w:val="0"/>
          <w:divBdr>
            <w:top w:val="none" w:sz="0" w:space="0" w:color="auto"/>
            <w:left w:val="none" w:sz="0" w:space="0" w:color="auto"/>
            <w:bottom w:val="none" w:sz="0" w:space="0" w:color="auto"/>
            <w:right w:val="none" w:sz="0" w:space="0" w:color="auto"/>
          </w:divBdr>
        </w:div>
        <w:div w:id="1982616835">
          <w:marLeft w:val="480"/>
          <w:marRight w:val="0"/>
          <w:marTop w:val="0"/>
          <w:marBottom w:val="0"/>
          <w:divBdr>
            <w:top w:val="none" w:sz="0" w:space="0" w:color="auto"/>
            <w:left w:val="none" w:sz="0" w:space="0" w:color="auto"/>
            <w:bottom w:val="none" w:sz="0" w:space="0" w:color="auto"/>
            <w:right w:val="none" w:sz="0" w:space="0" w:color="auto"/>
          </w:divBdr>
        </w:div>
        <w:div w:id="1515802269">
          <w:marLeft w:val="480"/>
          <w:marRight w:val="0"/>
          <w:marTop w:val="0"/>
          <w:marBottom w:val="0"/>
          <w:divBdr>
            <w:top w:val="none" w:sz="0" w:space="0" w:color="auto"/>
            <w:left w:val="none" w:sz="0" w:space="0" w:color="auto"/>
            <w:bottom w:val="none" w:sz="0" w:space="0" w:color="auto"/>
            <w:right w:val="none" w:sz="0" w:space="0" w:color="auto"/>
          </w:divBdr>
        </w:div>
        <w:div w:id="757292046">
          <w:marLeft w:val="480"/>
          <w:marRight w:val="0"/>
          <w:marTop w:val="0"/>
          <w:marBottom w:val="0"/>
          <w:divBdr>
            <w:top w:val="none" w:sz="0" w:space="0" w:color="auto"/>
            <w:left w:val="none" w:sz="0" w:space="0" w:color="auto"/>
            <w:bottom w:val="none" w:sz="0" w:space="0" w:color="auto"/>
            <w:right w:val="none" w:sz="0" w:space="0" w:color="auto"/>
          </w:divBdr>
        </w:div>
        <w:div w:id="876283203">
          <w:marLeft w:val="480"/>
          <w:marRight w:val="0"/>
          <w:marTop w:val="0"/>
          <w:marBottom w:val="0"/>
          <w:divBdr>
            <w:top w:val="none" w:sz="0" w:space="0" w:color="auto"/>
            <w:left w:val="none" w:sz="0" w:space="0" w:color="auto"/>
            <w:bottom w:val="none" w:sz="0" w:space="0" w:color="auto"/>
            <w:right w:val="none" w:sz="0" w:space="0" w:color="auto"/>
          </w:divBdr>
        </w:div>
        <w:div w:id="1004941893">
          <w:marLeft w:val="480"/>
          <w:marRight w:val="0"/>
          <w:marTop w:val="0"/>
          <w:marBottom w:val="0"/>
          <w:divBdr>
            <w:top w:val="none" w:sz="0" w:space="0" w:color="auto"/>
            <w:left w:val="none" w:sz="0" w:space="0" w:color="auto"/>
            <w:bottom w:val="none" w:sz="0" w:space="0" w:color="auto"/>
            <w:right w:val="none" w:sz="0" w:space="0" w:color="auto"/>
          </w:divBdr>
        </w:div>
        <w:div w:id="2059627724">
          <w:marLeft w:val="480"/>
          <w:marRight w:val="0"/>
          <w:marTop w:val="0"/>
          <w:marBottom w:val="0"/>
          <w:divBdr>
            <w:top w:val="none" w:sz="0" w:space="0" w:color="auto"/>
            <w:left w:val="none" w:sz="0" w:space="0" w:color="auto"/>
            <w:bottom w:val="none" w:sz="0" w:space="0" w:color="auto"/>
            <w:right w:val="none" w:sz="0" w:space="0" w:color="auto"/>
          </w:divBdr>
        </w:div>
        <w:div w:id="1810124568">
          <w:marLeft w:val="480"/>
          <w:marRight w:val="0"/>
          <w:marTop w:val="0"/>
          <w:marBottom w:val="0"/>
          <w:divBdr>
            <w:top w:val="none" w:sz="0" w:space="0" w:color="auto"/>
            <w:left w:val="none" w:sz="0" w:space="0" w:color="auto"/>
            <w:bottom w:val="none" w:sz="0" w:space="0" w:color="auto"/>
            <w:right w:val="none" w:sz="0" w:space="0" w:color="auto"/>
          </w:divBdr>
        </w:div>
        <w:div w:id="280766365">
          <w:marLeft w:val="480"/>
          <w:marRight w:val="0"/>
          <w:marTop w:val="0"/>
          <w:marBottom w:val="0"/>
          <w:divBdr>
            <w:top w:val="none" w:sz="0" w:space="0" w:color="auto"/>
            <w:left w:val="none" w:sz="0" w:space="0" w:color="auto"/>
            <w:bottom w:val="none" w:sz="0" w:space="0" w:color="auto"/>
            <w:right w:val="none" w:sz="0" w:space="0" w:color="auto"/>
          </w:divBdr>
        </w:div>
        <w:div w:id="815531335">
          <w:marLeft w:val="480"/>
          <w:marRight w:val="0"/>
          <w:marTop w:val="0"/>
          <w:marBottom w:val="0"/>
          <w:divBdr>
            <w:top w:val="none" w:sz="0" w:space="0" w:color="auto"/>
            <w:left w:val="none" w:sz="0" w:space="0" w:color="auto"/>
            <w:bottom w:val="none" w:sz="0" w:space="0" w:color="auto"/>
            <w:right w:val="none" w:sz="0" w:space="0" w:color="auto"/>
          </w:divBdr>
        </w:div>
        <w:div w:id="2037340047">
          <w:marLeft w:val="480"/>
          <w:marRight w:val="0"/>
          <w:marTop w:val="0"/>
          <w:marBottom w:val="0"/>
          <w:divBdr>
            <w:top w:val="none" w:sz="0" w:space="0" w:color="auto"/>
            <w:left w:val="none" w:sz="0" w:space="0" w:color="auto"/>
            <w:bottom w:val="none" w:sz="0" w:space="0" w:color="auto"/>
            <w:right w:val="none" w:sz="0" w:space="0" w:color="auto"/>
          </w:divBdr>
        </w:div>
        <w:div w:id="1165196835">
          <w:marLeft w:val="480"/>
          <w:marRight w:val="0"/>
          <w:marTop w:val="0"/>
          <w:marBottom w:val="0"/>
          <w:divBdr>
            <w:top w:val="none" w:sz="0" w:space="0" w:color="auto"/>
            <w:left w:val="none" w:sz="0" w:space="0" w:color="auto"/>
            <w:bottom w:val="none" w:sz="0" w:space="0" w:color="auto"/>
            <w:right w:val="none" w:sz="0" w:space="0" w:color="auto"/>
          </w:divBdr>
        </w:div>
        <w:div w:id="1187789320">
          <w:marLeft w:val="480"/>
          <w:marRight w:val="0"/>
          <w:marTop w:val="0"/>
          <w:marBottom w:val="0"/>
          <w:divBdr>
            <w:top w:val="none" w:sz="0" w:space="0" w:color="auto"/>
            <w:left w:val="none" w:sz="0" w:space="0" w:color="auto"/>
            <w:bottom w:val="none" w:sz="0" w:space="0" w:color="auto"/>
            <w:right w:val="none" w:sz="0" w:space="0" w:color="auto"/>
          </w:divBdr>
        </w:div>
        <w:div w:id="1889149372">
          <w:marLeft w:val="480"/>
          <w:marRight w:val="0"/>
          <w:marTop w:val="0"/>
          <w:marBottom w:val="0"/>
          <w:divBdr>
            <w:top w:val="none" w:sz="0" w:space="0" w:color="auto"/>
            <w:left w:val="none" w:sz="0" w:space="0" w:color="auto"/>
            <w:bottom w:val="none" w:sz="0" w:space="0" w:color="auto"/>
            <w:right w:val="none" w:sz="0" w:space="0" w:color="auto"/>
          </w:divBdr>
        </w:div>
        <w:div w:id="1105420101">
          <w:marLeft w:val="480"/>
          <w:marRight w:val="0"/>
          <w:marTop w:val="0"/>
          <w:marBottom w:val="0"/>
          <w:divBdr>
            <w:top w:val="none" w:sz="0" w:space="0" w:color="auto"/>
            <w:left w:val="none" w:sz="0" w:space="0" w:color="auto"/>
            <w:bottom w:val="none" w:sz="0" w:space="0" w:color="auto"/>
            <w:right w:val="none" w:sz="0" w:space="0" w:color="auto"/>
          </w:divBdr>
        </w:div>
        <w:div w:id="253898635">
          <w:marLeft w:val="480"/>
          <w:marRight w:val="0"/>
          <w:marTop w:val="0"/>
          <w:marBottom w:val="0"/>
          <w:divBdr>
            <w:top w:val="none" w:sz="0" w:space="0" w:color="auto"/>
            <w:left w:val="none" w:sz="0" w:space="0" w:color="auto"/>
            <w:bottom w:val="none" w:sz="0" w:space="0" w:color="auto"/>
            <w:right w:val="none" w:sz="0" w:space="0" w:color="auto"/>
          </w:divBdr>
        </w:div>
        <w:div w:id="1450199032">
          <w:marLeft w:val="480"/>
          <w:marRight w:val="0"/>
          <w:marTop w:val="0"/>
          <w:marBottom w:val="0"/>
          <w:divBdr>
            <w:top w:val="none" w:sz="0" w:space="0" w:color="auto"/>
            <w:left w:val="none" w:sz="0" w:space="0" w:color="auto"/>
            <w:bottom w:val="none" w:sz="0" w:space="0" w:color="auto"/>
            <w:right w:val="none" w:sz="0" w:space="0" w:color="auto"/>
          </w:divBdr>
        </w:div>
        <w:div w:id="1639535829">
          <w:marLeft w:val="480"/>
          <w:marRight w:val="0"/>
          <w:marTop w:val="0"/>
          <w:marBottom w:val="0"/>
          <w:divBdr>
            <w:top w:val="none" w:sz="0" w:space="0" w:color="auto"/>
            <w:left w:val="none" w:sz="0" w:space="0" w:color="auto"/>
            <w:bottom w:val="none" w:sz="0" w:space="0" w:color="auto"/>
            <w:right w:val="none" w:sz="0" w:space="0" w:color="auto"/>
          </w:divBdr>
        </w:div>
        <w:div w:id="1601600928">
          <w:marLeft w:val="480"/>
          <w:marRight w:val="0"/>
          <w:marTop w:val="0"/>
          <w:marBottom w:val="0"/>
          <w:divBdr>
            <w:top w:val="none" w:sz="0" w:space="0" w:color="auto"/>
            <w:left w:val="none" w:sz="0" w:space="0" w:color="auto"/>
            <w:bottom w:val="none" w:sz="0" w:space="0" w:color="auto"/>
            <w:right w:val="none" w:sz="0" w:space="0" w:color="auto"/>
          </w:divBdr>
        </w:div>
        <w:div w:id="929896489">
          <w:marLeft w:val="480"/>
          <w:marRight w:val="0"/>
          <w:marTop w:val="0"/>
          <w:marBottom w:val="0"/>
          <w:divBdr>
            <w:top w:val="none" w:sz="0" w:space="0" w:color="auto"/>
            <w:left w:val="none" w:sz="0" w:space="0" w:color="auto"/>
            <w:bottom w:val="none" w:sz="0" w:space="0" w:color="auto"/>
            <w:right w:val="none" w:sz="0" w:space="0" w:color="auto"/>
          </w:divBdr>
        </w:div>
        <w:div w:id="549803448">
          <w:marLeft w:val="480"/>
          <w:marRight w:val="0"/>
          <w:marTop w:val="0"/>
          <w:marBottom w:val="0"/>
          <w:divBdr>
            <w:top w:val="none" w:sz="0" w:space="0" w:color="auto"/>
            <w:left w:val="none" w:sz="0" w:space="0" w:color="auto"/>
            <w:bottom w:val="none" w:sz="0" w:space="0" w:color="auto"/>
            <w:right w:val="none" w:sz="0" w:space="0" w:color="auto"/>
          </w:divBdr>
        </w:div>
        <w:div w:id="603153620">
          <w:marLeft w:val="480"/>
          <w:marRight w:val="0"/>
          <w:marTop w:val="0"/>
          <w:marBottom w:val="0"/>
          <w:divBdr>
            <w:top w:val="none" w:sz="0" w:space="0" w:color="auto"/>
            <w:left w:val="none" w:sz="0" w:space="0" w:color="auto"/>
            <w:bottom w:val="none" w:sz="0" w:space="0" w:color="auto"/>
            <w:right w:val="none" w:sz="0" w:space="0" w:color="auto"/>
          </w:divBdr>
        </w:div>
        <w:div w:id="1362852158">
          <w:marLeft w:val="480"/>
          <w:marRight w:val="0"/>
          <w:marTop w:val="0"/>
          <w:marBottom w:val="0"/>
          <w:divBdr>
            <w:top w:val="none" w:sz="0" w:space="0" w:color="auto"/>
            <w:left w:val="none" w:sz="0" w:space="0" w:color="auto"/>
            <w:bottom w:val="none" w:sz="0" w:space="0" w:color="auto"/>
            <w:right w:val="none" w:sz="0" w:space="0" w:color="auto"/>
          </w:divBdr>
        </w:div>
        <w:div w:id="731120408">
          <w:marLeft w:val="480"/>
          <w:marRight w:val="0"/>
          <w:marTop w:val="0"/>
          <w:marBottom w:val="0"/>
          <w:divBdr>
            <w:top w:val="none" w:sz="0" w:space="0" w:color="auto"/>
            <w:left w:val="none" w:sz="0" w:space="0" w:color="auto"/>
            <w:bottom w:val="none" w:sz="0" w:space="0" w:color="auto"/>
            <w:right w:val="none" w:sz="0" w:space="0" w:color="auto"/>
          </w:divBdr>
        </w:div>
        <w:div w:id="988555875">
          <w:marLeft w:val="480"/>
          <w:marRight w:val="0"/>
          <w:marTop w:val="0"/>
          <w:marBottom w:val="0"/>
          <w:divBdr>
            <w:top w:val="none" w:sz="0" w:space="0" w:color="auto"/>
            <w:left w:val="none" w:sz="0" w:space="0" w:color="auto"/>
            <w:bottom w:val="none" w:sz="0" w:space="0" w:color="auto"/>
            <w:right w:val="none" w:sz="0" w:space="0" w:color="auto"/>
          </w:divBdr>
        </w:div>
        <w:div w:id="1195969019">
          <w:marLeft w:val="480"/>
          <w:marRight w:val="0"/>
          <w:marTop w:val="0"/>
          <w:marBottom w:val="0"/>
          <w:divBdr>
            <w:top w:val="none" w:sz="0" w:space="0" w:color="auto"/>
            <w:left w:val="none" w:sz="0" w:space="0" w:color="auto"/>
            <w:bottom w:val="none" w:sz="0" w:space="0" w:color="auto"/>
            <w:right w:val="none" w:sz="0" w:space="0" w:color="auto"/>
          </w:divBdr>
        </w:div>
        <w:div w:id="1628900623">
          <w:marLeft w:val="480"/>
          <w:marRight w:val="0"/>
          <w:marTop w:val="0"/>
          <w:marBottom w:val="0"/>
          <w:divBdr>
            <w:top w:val="none" w:sz="0" w:space="0" w:color="auto"/>
            <w:left w:val="none" w:sz="0" w:space="0" w:color="auto"/>
            <w:bottom w:val="none" w:sz="0" w:space="0" w:color="auto"/>
            <w:right w:val="none" w:sz="0" w:space="0" w:color="auto"/>
          </w:divBdr>
        </w:div>
        <w:div w:id="585192144">
          <w:marLeft w:val="480"/>
          <w:marRight w:val="0"/>
          <w:marTop w:val="0"/>
          <w:marBottom w:val="0"/>
          <w:divBdr>
            <w:top w:val="none" w:sz="0" w:space="0" w:color="auto"/>
            <w:left w:val="none" w:sz="0" w:space="0" w:color="auto"/>
            <w:bottom w:val="none" w:sz="0" w:space="0" w:color="auto"/>
            <w:right w:val="none" w:sz="0" w:space="0" w:color="auto"/>
          </w:divBdr>
        </w:div>
        <w:div w:id="656616167">
          <w:marLeft w:val="480"/>
          <w:marRight w:val="0"/>
          <w:marTop w:val="0"/>
          <w:marBottom w:val="0"/>
          <w:divBdr>
            <w:top w:val="none" w:sz="0" w:space="0" w:color="auto"/>
            <w:left w:val="none" w:sz="0" w:space="0" w:color="auto"/>
            <w:bottom w:val="none" w:sz="0" w:space="0" w:color="auto"/>
            <w:right w:val="none" w:sz="0" w:space="0" w:color="auto"/>
          </w:divBdr>
        </w:div>
      </w:divsChild>
    </w:div>
    <w:div w:id="725884069">
      <w:bodyDiv w:val="1"/>
      <w:marLeft w:val="0"/>
      <w:marRight w:val="0"/>
      <w:marTop w:val="0"/>
      <w:marBottom w:val="0"/>
      <w:divBdr>
        <w:top w:val="none" w:sz="0" w:space="0" w:color="auto"/>
        <w:left w:val="none" w:sz="0" w:space="0" w:color="auto"/>
        <w:bottom w:val="none" w:sz="0" w:space="0" w:color="auto"/>
        <w:right w:val="none" w:sz="0" w:space="0" w:color="auto"/>
      </w:divBdr>
    </w:div>
    <w:div w:id="726874699">
      <w:bodyDiv w:val="1"/>
      <w:marLeft w:val="0"/>
      <w:marRight w:val="0"/>
      <w:marTop w:val="0"/>
      <w:marBottom w:val="0"/>
      <w:divBdr>
        <w:top w:val="none" w:sz="0" w:space="0" w:color="auto"/>
        <w:left w:val="none" w:sz="0" w:space="0" w:color="auto"/>
        <w:bottom w:val="none" w:sz="0" w:space="0" w:color="auto"/>
        <w:right w:val="none" w:sz="0" w:space="0" w:color="auto"/>
      </w:divBdr>
    </w:div>
    <w:div w:id="726996149">
      <w:bodyDiv w:val="1"/>
      <w:marLeft w:val="0"/>
      <w:marRight w:val="0"/>
      <w:marTop w:val="0"/>
      <w:marBottom w:val="0"/>
      <w:divBdr>
        <w:top w:val="none" w:sz="0" w:space="0" w:color="auto"/>
        <w:left w:val="none" w:sz="0" w:space="0" w:color="auto"/>
        <w:bottom w:val="none" w:sz="0" w:space="0" w:color="auto"/>
        <w:right w:val="none" w:sz="0" w:space="0" w:color="auto"/>
      </w:divBdr>
    </w:div>
    <w:div w:id="727218661">
      <w:bodyDiv w:val="1"/>
      <w:marLeft w:val="0"/>
      <w:marRight w:val="0"/>
      <w:marTop w:val="0"/>
      <w:marBottom w:val="0"/>
      <w:divBdr>
        <w:top w:val="none" w:sz="0" w:space="0" w:color="auto"/>
        <w:left w:val="none" w:sz="0" w:space="0" w:color="auto"/>
        <w:bottom w:val="none" w:sz="0" w:space="0" w:color="auto"/>
        <w:right w:val="none" w:sz="0" w:space="0" w:color="auto"/>
      </w:divBdr>
    </w:div>
    <w:div w:id="727844689">
      <w:bodyDiv w:val="1"/>
      <w:marLeft w:val="0"/>
      <w:marRight w:val="0"/>
      <w:marTop w:val="0"/>
      <w:marBottom w:val="0"/>
      <w:divBdr>
        <w:top w:val="none" w:sz="0" w:space="0" w:color="auto"/>
        <w:left w:val="none" w:sz="0" w:space="0" w:color="auto"/>
        <w:bottom w:val="none" w:sz="0" w:space="0" w:color="auto"/>
        <w:right w:val="none" w:sz="0" w:space="0" w:color="auto"/>
      </w:divBdr>
    </w:div>
    <w:div w:id="728847199">
      <w:bodyDiv w:val="1"/>
      <w:marLeft w:val="0"/>
      <w:marRight w:val="0"/>
      <w:marTop w:val="0"/>
      <w:marBottom w:val="0"/>
      <w:divBdr>
        <w:top w:val="none" w:sz="0" w:space="0" w:color="auto"/>
        <w:left w:val="none" w:sz="0" w:space="0" w:color="auto"/>
        <w:bottom w:val="none" w:sz="0" w:space="0" w:color="auto"/>
        <w:right w:val="none" w:sz="0" w:space="0" w:color="auto"/>
      </w:divBdr>
    </w:div>
    <w:div w:id="729309477">
      <w:bodyDiv w:val="1"/>
      <w:marLeft w:val="0"/>
      <w:marRight w:val="0"/>
      <w:marTop w:val="0"/>
      <w:marBottom w:val="0"/>
      <w:divBdr>
        <w:top w:val="none" w:sz="0" w:space="0" w:color="auto"/>
        <w:left w:val="none" w:sz="0" w:space="0" w:color="auto"/>
        <w:bottom w:val="none" w:sz="0" w:space="0" w:color="auto"/>
        <w:right w:val="none" w:sz="0" w:space="0" w:color="auto"/>
      </w:divBdr>
    </w:div>
    <w:div w:id="729960865">
      <w:bodyDiv w:val="1"/>
      <w:marLeft w:val="0"/>
      <w:marRight w:val="0"/>
      <w:marTop w:val="0"/>
      <w:marBottom w:val="0"/>
      <w:divBdr>
        <w:top w:val="none" w:sz="0" w:space="0" w:color="auto"/>
        <w:left w:val="none" w:sz="0" w:space="0" w:color="auto"/>
        <w:bottom w:val="none" w:sz="0" w:space="0" w:color="auto"/>
        <w:right w:val="none" w:sz="0" w:space="0" w:color="auto"/>
      </w:divBdr>
    </w:div>
    <w:div w:id="730348356">
      <w:bodyDiv w:val="1"/>
      <w:marLeft w:val="0"/>
      <w:marRight w:val="0"/>
      <w:marTop w:val="0"/>
      <w:marBottom w:val="0"/>
      <w:divBdr>
        <w:top w:val="none" w:sz="0" w:space="0" w:color="auto"/>
        <w:left w:val="none" w:sz="0" w:space="0" w:color="auto"/>
        <w:bottom w:val="none" w:sz="0" w:space="0" w:color="auto"/>
        <w:right w:val="none" w:sz="0" w:space="0" w:color="auto"/>
      </w:divBdr>
    </w:div>
    <w:div w:id="731276637">
      <w:bodyDiv w:val="1"/>
      <w:marLeft w:val="0"/>
      <w:marRight w:val="0"/>
      <w:marTop w:val="0"/>
      <w:marBottom w:val="0"/>
      <w:divBdr>
        <w:top w:val="none" w:sz="0" w:space="0" w:color="auto"/>
        <w:left w:val="none" w:sz="0" w:space="0" w:color="auto"/>
        <w:bottom w:val="none" w:sz="0" w:space="0" w:color="auto"/>
        <w:right w:val="none" w:sz="0" w:space="0" w:color="auto"/>
      </w:divBdr>
    </w:div>
    <w:div w:id="731584189">
      <w:bodyDiv w:val="1"/>
      <w:marLeft w:val="0"/>
      <w:marRight w:val="0"/>
      <w:marTop w:val="0"/>
      <w:marBottom w:val="0"/>
      <w:divBdr>
        <w:top w:val="none" w:sz="0" w:space="0" w:color="auto"/>
        <w:left w:val="none" w:sz="0" w:space="0" w:color="auto"/>
        <w:bottom w:val="none" w:sz="0" w:space="0" w:color="auto"/>
        <w:right w:val="none" w:sz="0" w:space="0" w:color="auto"/>
      </w:divBdr>
    </w:div>
    <w:div w:id="731775721">
      <w:bodyDiv w:val="1"/>
      <w:marLeft w:val="0"/>
      <w:marRight w:val="0"/>
      <w:marTop w:val="0"/>
      <w:marBottom w:val="0"/>
      <w:divBdr>
        <w:top w:val="none" w:sz="0" w:space="0" w:color="auto"/>
        <w:left w:val="none" w:sz="0" w:space="0" w:color="auto"/>
        <w:bottom w:val="none" w:sz="0" w:space="0" w:color="auto"/>
        <w:right w:val="none" w:sz="0" w:space="0" w:color="auto"/>
      </w:divBdr>
    </w:div>
    <w:div w:id="731780406">
      <w:bodyDiv w:val="1"/>
      <w:marLeft w:val="0"/>
      <w:marRight w:val="0"/>
      <w:marTop w:val="0"/>
      <w:marBottom w:val="0"/>
      <w:divBdr>
        <w:top w:val="none" w:sz="0" w:space="0" w:color="auto"/>
        <w:left w:val="none" w:sz="0" w:space="0" w:color="auto"/>
        <w:bottom w:val="none" w:sz="0" w:space="0" w:color="auto"/>
        <w:right w:val="none" w:sz="0" w:space="0" w:color="auto"/>
      </w:divBdr>
    </w:div>
    <w:div w:id="732508467">
      <w:bodyDiv w:val="1"/>
      <w:marLeft w:val="0"/>
      <w:marRight w:val="0"/>
      <w:marTop w:val="0"/>
      <w:marBottom w:val="0"/>
      <w:divBdr>
        <w:top w:val="none" w:sz="0" w:space="0" w:color="auto"/>
        <w:left w:val="none" w:sz="0" w:space="0" w:color="auto"/>
        <w:bottom w:val="none" w:sz="0" w:space="0" w:color="auto"/>
        <w:right w:val="none" w:sz="0" w:space="0" w:color="auto"/>
      </w:divBdr>
    </w:div>
    <w:div w:id="733819492">
      <w:bodyDiv w:val="1"/>
      <w:marLeft w:val="0"/>
      <w:marRight w:val="0"/>
      <w:marTop w:val="0"/>
      <w:marBottom w:val="0"/>
      <w:divBdr>
        <w:top w:val="none" w:sz="0" w:space="0" w:color="auto"/>
        <w:left w:val="none" w:sz="0" w:space="0" w:color="auto"/>
        <w:bottom w:val="none" w:sz="0" w:space="0" w:color="auto"/>
        <w:right w:val="none" w:sz="0" w:space="0" w:color="auto"/>
      </w:divBdr>
    </w:div>
    <w:div w:id="734008223">
      <w:bodyDiv w:val="1"/>
      <w:marLeft w:val="0"/>
      <w:marRight w:val="0"/>
      <w:marTop w:val="0"/>
      <w:marBottom w:val="0"/>
      <w:divBdr>
        <w:top w:val="none" w:sz="0" w:space="0" w:color="auto"/>
        <w:left w:val="none" w:sz="0" w:space="0" w:color="auto"/>
        <w:bottom w:val="none" w:sz="0" w:space="0" w:color="auto"/>
        <w:right w:val="none" w:sz="0" w:space="0" w:color="auto"/>
      </w:divBdr>
    </w:div>
    <w:div w:id="734595151">
      <w:bodyDiv w:val="1"/>
      <w:marLeft w:val="0"/>
      <w:marRight w:val="0"/>
      <w:marTop w:val="0"/>
      <w:marBottom w:val="0"/>
      <w:divBdr>
        <w:top w:val="none" w:sz="0" w:space="0" w:color="auto"/>
        <w:left w:val="none" w:sz="0" w:space="0" w:color="auto"/>
        <w:bottom w:val="none" w:sz="0" w:space="0" w:color="auto"/>
        <w:right w:val="none" w:sz="0" w:space="0" w:color="auto"/>
      </w:divBdr>
    </w:div>
    <w:div w:id="735471316">
      <w:bodyDiv w:val="1"/>
      <w:marLeft w:val="0"/>
      <w:marRight w:val="0"/>
      <w:marTop w:val="0"/>
      <w:marBottom w:val="0"/>
      <w:divBdr>
        <w:top w:val="none" w:sz="0" w:space="0" w:color="auto"/>
        <w:left w:val="none" w:sz="0" w:space="0" w:color="auto"/>
        <w:bottom w:val="none" w:sz="0" w:space="0" w:color="auto"/>
        <w:right w:val="none" w:sz="0" w:space="0" w:color="auto"/>
      </w:divBdr>
    </w:div>
    <w:div w:id="735666547">
      <w:bodyDiv w:val="1"/>
      <w:marLeft w:val="0"/>
      <w:marRight w:val="0"/>
      <w:marTop w:val="0"/>
      <w:marBottom w:val="0"/>
      <w:divBdr>
        <w:top w:val="none" w:sz="0" w:space="0" w:color="auto"/>
        <w:left w:val="none" w:sz="0" w:space="0" w:color="auto"/>
        <w:bottom w:val="none" w:sz="0" w:space="0" w:color="auto"/>
        <w:right w:val="none" w:sz="0" w:space="0" w:color="auto"/>
      </w:divBdr>
    </w:div>
    <w:div w:id="736125764">
      <w:bodyDiv w:val="1"/>
      <w:marLeft w:val="0"/>
      <w:marRight w:val="0"/>
      <w:marTop w:val="0"/>
      <w:marBottom w:val="0"/>
      <w:divBdr>
        <w:top w:val="none" w:sz="0" w:space="0" w:color="auto"/>
        <w:left w:val="none" w:sz="0" w:space="0" w:color="auto"/>
        <w:bottom w:val="none" w:sz="0" w:space="0" w:color="auto"/>
        <w:right w:val="none" w:sz="0" w:space="0" w:color="auto"/>
      </w:divBdr>
    </w:div>
    <w:div w:id="736974468">
      <w:bodyDiv w:val="1"/>
      <w:marLeft w:val="0"/>
      <w:marRight w:val="0"/>
      <w:marTop w:val="0"/>
      <w:marBottom w:val="0"/>
      <w:divBdr>
        <w:top w:val="none" w:sz="0" w:space="0" w:color="auto"/>
        <w:left w:val="none" w:sz="0" w:space="0" w:color="auto"/>
        <w:bottom w:val="none" w:sz="0" w:space="0" w:color="auto"/>
        <w:right w:val="none" w:sz="0" w:space="0" w:color="auto"/>
      </w:divBdr>
    </w:div>
    <w:div w:id="737677018">
      <w:bodyDiv w:val="1"/>
      <w:marLeft w:val="0"/>
      <w:marRight w:val="0"/>
      <w:marTop w:val="0"/>
      <w:marBottom w:val="0"/>
      <w:divBdr>
        <w:top w:val="none" w:sz="0" w:space="0" w:color="auto"/>
        <w:left w:val="none" w:sz="0" w:space="0" w:color="auto"/>
        <w:bottom w:val="none" w:sz="0" w:space="0" w:color="auto"/>
        <w:right w:val="none" w:sz="0" w:space="0" w:color="auto"/>
      </w:divBdr>
    </w:div>
    <w:div w:id="738598506">
      <w:bodyDiv w:val="1"/>
      <w:marLeft w:val="0"/>
      <w:marRight w:val="0"/>
      <w:marTop w:val="0"/>
      <w:marBottom w:val="0"/>
      <w:divBdr>
        <w:top w:val="none" w:sz="0" w:space="0" w:color="auto"/>
        <w:left w:val="none" w:sz="0" w:space="0" w:color="auto"/>
        <w:bottom w:val="none" w:sz="0" w:space="0" w:color="auto"/>
        <w:right w:val="none" w:sz="0" w:space="0" w:color="auto"/>
      </w:divBdr>
    </w:div>
    <w:div w:id="738789391">
      <w:bodyDiv w:val="1"/>
      <w:marLeft w:val="0"/>
      <w:marRight w:val="0"/>
      <w:marTop w:val="0"/>
      <w:marBottom w:val="0"/>
      <w:divBdr>
        <w:top w:val="none" w:sz="0" w:space="0" w:color="auto"/>
        <w:left w:val="none" w:sz="0" w:space="0" w:color="auto"/>
        <w:bottom w:val="none" w:sz="0" w:space="0" w:color="auto"/>
        <w:right w:val="none" w:sz="0" w:space="0" w:color="auto"/>
      </w:divBdr>
    </w:div>
    <w:div w:id="739211337">
      <w:bodyDiv w:val="1"/>
      <w:marLeft w:val="0"/>
      <w:marRight w:val="0"/>
      <w:marTop w:val="0"/>
      <w:marBottom w:val="0"/>
      <w:divBdr>
        <w:top w:val="none" w:sz="0" w:space="0" w:color="auto"/>
        <w:left w:val="none" w:sz="0" w:space="0" w:color="auto"/>
        <w:bottom w:val="none" w:sz="0" w:space="0" w:color="auto"/>
        <w:right w:val="none" w:sz="0" w:space="0" w:color="auto"/>
      </w:divBdr>
    </w:div>
    <w:div w:id="740060709">
      <w:bodyDiv w:val="1"/>
      <w:marLeft w:val="0"/>
      <w:marRight w:val="0"/>
      <w:marTop w:val="0"/>
      <w:marBottom w:val="0"/>
      <w:divBdr>
        <w:top w:val="none" w:sz="0" w:space="0" w:color="auto"/>
        <w:left w:val="none" w:sz="0" w:space="0" w:color="auto"/>
        <w:bottom w:val="none" w:sz="0" w:space="0" w:color="auto"/>
        <w:right w:val="none" w:sz="0" w:space="0" w:color="auto"/>
      </w:divBdr>
    </w:div>
    <w:div w:id="741173557">
      <w:bodyDiv w:val="1"/>
      <w:marLeft w:val="0"/>
      <w:marRight w:val="0"/>
      <w:marTop w:val="0"/>
      <w:marBottom w:val="0"/>
      <w:divBdr>
        <w:top w:val="none" w:sz="0" w:space="0" w:color="auto"/>
        <w:left w:val="none" w:sz="0" w:space="0" w:color="auto"/>
        <w:bottom w:val="none" w:sz="0" w:space="0" w:color="auto"/>
        <w:right w:val="none" w:sz="0" w:space="0" w:color="auto"/>
      </w:divBdr>
    </w:div>
    <w:div w:id="741292849">
      <w:bodyDiv w:val="1"/>
      <w:marLeft w:val="0"/>
      <w:marRight w:val="0"/>
      <w:marTop w:val="0"/>
      <w:marBottom w:val="0"/>
      <w:divBdr>
        <w:top w:val="none" w:sz="0" w:space="0" w:color="auto"/>
        <w:left w:val="none" w:sz="0" w:space="0" w:color="auto"/>
        <w:bottom w:val="none" w:sz="0" w:space="0" w:color="auto"/>
        <w:right w:val="none" w:sz="0" w:space="0" w:color="auto"/>
      </w:divBdr>
    </w:div>
    <w:div w:id="741485795">
      <w:bodyDiv w:val="1"/>
      <w:marLeft w:val="0"/>
      <w:marRight w:val="0"/>
      <w:marTop w:val="0"/>
      <w:marBottom w:val="0"/>
      <w:divBdr>
        <w:top w:val="none" w:sz="0" w:space="0" w:color="auto"/>
        <w:left w:val="none" w:sz="0" w:space="0" w:color="auto"/>
        <w:bottom w:val="none" w:sz="0" w:space="0" w:color="auto"/>
        <w:right w:val="none" w:sz="0" w:space="0" w:color="auto"/>
      </w:divBdr>
    </w:div>
    <w:div w:id="741758493">
      <w:bodyDiv w:val="1"/>
      <w:marLeft w:val="0"/>
      <w:marRight w:val="0"/>
      <w:marTop w:val="0"/>
      <w:marBottom w:val="0"/>
      <w:divBdr>
        <w:top w:val="none" w:sz="0" w:space="0" w:color="auto"/>
        <w:left w:val="none" w:sz="0" w:space="0" w:color="auto"/>
        <w:bottom w:val="none" w:sz="0" w:space="0" w:color="auto"/>
        <w:right w:val="none" w:sz="0" w:space="0" w:color="auto"/>
      </w:divBdr>
    </w:div>
    <w:div w:id="742264425">
      <w:bodyDiv w:val="1"/>
      <w:marLeft w:val="0"/>
      <w:marRight w:val="0"/>
      <w:marTop w:val="0"/>
      <w:marBottom w:val="0"/>
      <w:divBdr>
        <w:top w:val="none" w:sz="0" w:space="0" w:color="auto"/>
        <w:left w:val="none" w:sz="0" w:space="0" w:color="auto"/>
        <w:bottom w:val="none" w:sz="0" w:space="0" w:color="auto"/>
        <w:right w:val="none" w:sz="0" w:space="0" w:color="auto"/>
      </w:divBdr>
    </w:div>
    <w:div w:id="742457866">
      <w:bodyDiv w:val="1"/>
      <w:marLeft w:val="0"/>
      <w:marRight w:val="0"/>
      <w:marTop w:val="0"/>
      <w:marBottom w:val="0"/>
      <w:divBdr>
        <w:top w:val="none" w:sz="0" w:space="0" w:color="auto"/>
        <w:left w:val="none" w:sz="0" w:space="0" w:color="auto"/>
        <w:bottom w:val="none" w:sz="0" w:space="0" w:color="auto"/>
        <w:right w:val="none" w:sz="0" w:space="0" w:color="auto"/>
      </w:divBdr>
    </w:div>
    <w:div w:id="742990918">
      <w:bodyDiv w:val="1"/>
      <w:marLeft w:val="0"/>
      <w:marRight w:val="0"/>
      <w:marTop w:val="0"/>
      <w:marBottom w:val="0"/>
      <w:divBdr>
        <w:top w:val="none" w:sz="0" w:space="0" w:color="auto"/>
        <w:left w:val="none" w:sz="0" w:space="0" w:color="auto"/>
        <w:bottom w:val="none" w:sz="0" w:space="0" w:color="auto"/>
        <w:right w:val="none" w:sz="0" w:space="0" w:color="auto"/>
      </w:divBdr>
    </w:div>
    <w:div w:id="743457509">
      <w:bodyDiv w:val="1"/>
      <w:marLeft w:val="0"/>
      <w:marRight w:val="0"/>
      <w:marTop w:val="0"/>
      <w:marBottom w:val="0"/>
      <w:divBdr>
        <w:top w:val="none" w:sz="0" w:space="0" w:color="auto"/>
        <w:left w:val="none" w:sz="0" w:space="0" w:color="auto"/>
        <w:bottom w:val="none" w:sz="0" w:space="0" w:color="auto"/>
        <w:right w:val="none" w:sz="0" w:space="0" w:color="auto"/>
      </w:divBdr>
    </w:div>
    <w:div w:id="744573723">
      <w:bodyDiv w:val="1"/>
      <w:marLeft w:val="0"/>
      <w:marRight w:val="0"/>
      <w:marTop w:val="0"/>
      <w:marBottom w:val="0"/>
      <w:divBdr>
        <w:top w:val="none" w:sz="0" w:space="0" w:color="auto"/>
        <w:left w:val="none" w:sz="0" w:space="0" w:color="auto"/>
        <w:bottom w:val="none" w:sz="0" w:space="0" w:color="auto"/>
        <w:right w:val="none" w:sz="0" w:space="0" w:color="auto"/>
      </w:divBdr>
    </w:div>
    <w:div w:id="745347513">
      <w:bodyDiv w:val="1"/>
      <w:marLeft w:val="0"/>
      <w:marRight w:val="0"/>
      <w:marTop w:val="0"/>
      <w:marBottom w:val="0"/>
      <w:divBdr>
        <w:top w:val="none" w:sz="0" w:space="0" w:color="auto"/>
        <w:left w:val="none" w:sz="0" w:space="0" w:color="auto"/>
        <w:bottom w:val="none" w:sz="0" w:space="0" w:color="auto"/>
        <w:right w:val="none" w:sz="0" w:space="0" w:color="auto"/>
      </w:divBdr>
    </w:div>
    <w:div w:id="745496456">
      <w:bodyDiv w:val="1"/>
      <w:marLeft w:val="0"/>
      <w:marRight w:val="0"/>
      <w:marTop w:val="0"/>
      <w:marBottom w:val="0"/>
      <w:divBdr>
        <w:top w:val="none" w:sz="0" w:space="0" w:color="auto"/>
        <w:left w:val="none" w:sz="0" w:space="0" w:color="auto"/>
        <w:bottom w:val="none" w:sz="0" w:space="0" w:color="auto"/>
        <w:right w:val="none" w:sz="0" w:space="0" w:color="auto"/>
      </w:divBdr>
    </w:div>
    <w:div w:id="746533973">
      <w:bodyDiv w:val="1"/>
      <w:marLeft w:val="0"/>
      <w:marRight w:val="0"/>
      <w:marTop w:val="0"/>
      <w:marBottom w:val="0"/>
      <w:divBdr>
        <w:top w:val="none" w:sz="0" w:space="0" w:color="auto"/>
        <w:left w:val="none" w:sz="0" w:space="0" w:color="auto"/>
        <w:bottom w:val="none" w:sz="0" w:space="0" w:color="auto"/>
        <w:right w:val="none" w:sz="0" w:space="0" w:color="auto"/>
      </w:divBdr>
    </w:div>
    <w:div w:id="747654301">
      <w:bodyDiv w:val="1"/>
      <w:marLeft w:val="0"/>
      <w:marRight w:val="0"/>
      <w:marTop w:val="0"/>
      <w:marBottom w:val="0"/>
      <w:divBdr>
        <w:top w:val="none" w:sz="0" w:space="0" w:color="auto"/>
        <w:left w:val="none" w:sz="0" w:space="0" w:color="auto"/>
        <w:bottom w:val="none" w:sz="0" w:space="0" w:color="auto"/>
        <w:right w:val="none" w:sz="0" w:space="0" w:color="auto"/>
      </w:divBdr>
    </w:div>
    <w:div w:id="749891847">
      <w:bodyDiv w:val="1"/>
      <w:marLeft w:val="0"/>
      <w:marRight w:val="0"/>
      <w:marTop w:val="0"/>
      <w:marBottom w:val="0"/>
      <w:divBdr>
        <w:top w:val="none" w:sz="0" w:space="0" w:color="auto"/>
        <w:left w:val="none" w:sz="0" w:space="0" w:color="auto"/>
        <w:bottom w:val="none" w:sz="0" w:space="0" w:color="auto"/>
        <w:right w:val="none" w:sz="0" w:space="0" w:color="auto"/>
      </w:divBdr>
    </w:div>
    <w:div w:id="750004344">
      <w:bodyDiv w:val="1"/>
      <w:marLeft w:val="0"/>
      <w:marRight w:val="0"/>
      <w:marTop w:val="0"/>
      <w:marBottom w:val="0"/>
      <w:divBdr>
        <w:top w:val="none" w:sz="0" w:space="0" w:color="auto"/>
        <w:left w:val="none" w:sz="0" w:space="0" w:color="auto"/>
        <w:bottom w:val="none" w:sz="0" w:space="0" w:color="auto"/>
        <w:right w:val="none" w:sz="0" w:space="0" w:color="auto"/>
      </w:divBdr>
    </w:div>
    <w:div w:id="750588440">
      <w:bodyDiv w:val="1"/>
      <w:marLeft w:val="0"/>
      <w:marRight w:val="0"/>
      <w:marTop w:val="0"/>
      <w:marBottom w:val="0"/>
      <w:divBdr>
        <w:top w:val="none" w:sz="0" w:space="0" w:color="auto"/>
        <w:left w:val="none" w:sz="0" w:space="0" w:color="auto"/>
        <w:bottom w:val="none" w:sz="0" w:space="0" w:color="auto"/>
        <w:right w:val="none" w:sz="0" w:space="0" w:color="auto"/>
      </w:divBdr>
    </w:div>
    <w:div w:id="751004454">
      <w:bodyDiv w:val="1"/>
      <w:marLeft w:val="0"/>
      <w:marRight w:val="0"/>
      <w:marTop w:val="0"/>
      <w:marBottom w:val="0"/>
      <w:divBdr>
        <w:top w:val="none" w:sz="0" w:space="0" w:color="auto"/>
        <w:left w:val="none" w:sz="0" w:space="0" w:color="auto"/>
        <w:bottom w:val="none" w:sz="0" w:space="0" w:color="auto"/>
        <w:right w:val="none" w:sz="0" w:space="0" w:color="auto"/>
      </w:divBdr>
    </w:div>
    <w:div w:id="751781743">
      <w:bodyDiv w:val="1"/>
      <w:marLeft w:val="0"/>
      <w:marRight w:val="0"/>
      <w:marTop w:val="0"/>
      <w:marBottom w:val="0"/>
      <w:divBdr>
        <w:top w:val="none" w:sz="0" w:space="0" w:color="auto"/>
        <w:left w:val="none" w:sz="0" w:space="0" w:color="auto"/>
        <w:bottom w:val="none" w:sz="0" w:space="0" w:color="auto"/>
        <w:right w:val="none" w:sz="0" w:space="0" w:color="auto"/>
      </w:divBdr>
    </w:div>
    <w:div w:id="752820905">
      <w:bodyDiv w:val="1"/>
      <w:marLeft w:val="0"/>
      <w:marRight w:val="0"/>
      <w:marTop w:val="0"/>
      <w:marBottom w:val="0"/>
      <w:divBdr>
        <w:top w:val="none" w:sz="0" w:space="0" w:color="auto"/>
        <w:left w:val="none" w:sz="0" w:space="0" w:color="auto"/>
        <w:bottom w:val="none" w:sz="0" w:space="0" w:color="auto"/>
        <w:right w:val="none" w:sz="0" w:space="0" w:color="auto"/>
      </w:divBdr>
    </w:div>
    <w:div w:id="753090057">
      <w:bodyDiv w:val="1"/>
      <w:marLeft w:val="0"/>
      <w:marRight w:val="0"/>
      <w:marTop w:val="0"/>
      <w:marBottom w:val="0"/>
      <w:divBdr>
        <w:top w:val="none" w:sz="0" w:space="0" w:color="auto"/>
        <w:left w:val="none" w:sz="0" w:space="0" w:color="auto"/>
        <w:bottom w:val="none" w:sz="0" w:space="0" w:color="auto"/>
        <w:right w:val="none" w:sz="0" w:space="0" w:color="auto"/>
      </w:divBdr>
      <w:divsChild>
        <w:div w:id="590546774">
          <w:marLeft w:val="480"/>
          <w:marRight w:val="0"/>
          <w:marTop w:val="0"/>
          <w:marBottom w:val="0"/>
          <w:divBdr>
            <w:top w:val="none" w:sz="0" w:space="0" w:color="auto"/>
            <w:left w:val="none" w:sz="0" w:space="0" w:color="auto"/>
            <w:bottom w:val="none" w:sz="0" w:space="0" w:color="auto"/>
            <w:right w:val="none" w:sz="0" w:space="0" w:color="auto"/>
          </w:divBdr>
        </w:div>
        <w:div w:id="965280644">
          <w:marLeft w:val="480"/>
          <w:marRight w:val="0"/>
          <w:marTop w:val="0"/>
          <w:marBottom w:val="0"/>
          <w:divBdr>
            <w:top w:val="none" w:sz="0" w:space="0" w:color="auto"/>
            <w:left w:val="none" w:sz="0" w:space="0" w:color="auto"/>
            <w:bottom w:val="none" w:sz="0" w:space="0" w:color="auto"/>
            <w:right w:val="none" w:sz="0" w:space="0" w:color="auto"/>
          </w:divBdr>
        </w:div>
        <w:div w:id="1996061348">
          <w:marLeft w:val="480"/>
          <w:marRight w:val="0"/>
          <w:marTop w:val="0"/>
          <w:marBottom w:val="0"/>
          <w:divBdr>
            <w:top w:val="none" w:sz="0" w:space="0" w:color="auto"/>
            <w:left w:val="none" w:sz="0" w:space="0" w:color="auto"/>
            <w:bottom w:val="none" w:sz="0" w:space="0" w:color="auto"/>
            <w:right w:val="none" w:sz="0" w:space="0" w:color="auto"/>
          </w:divBdr>
        </w:div>
        <w:div w:id="1037971680">
          <w:marLeft w:val="480"/>
          <w:marRight w:val="0"/>
          <w:marTop w:val="0"/>
          <w:marBottom w:val="0"/>
          <w:divBdr>
            <w:top w:val="none" w:sz="0" w:space="0" w:color="auto"/>
            <w:left w:val="none" w:sz="0" w:space="0" w:color="auto"/>
            <w:bottom w:val="none" w:sz="0" w:space="0" w:color="auto"/>
            <w:right w:val="none" w:sz="0" w:space="0" w:color="auto"/>
          </w:divBdr>
        </w:div>
        <w:div w:id="526067849">
          <w:marLeft w:val="480"/>
          <w:marRight w:val="0"/>
          <w:marTop w:val="0"/>
          <w:marBottom w:val="0"/>
          <w:divBdr>
            <w:top w:val="none" w:sz="0" w:space="0" w:color="auto"/>
            <w:left w:val="none" w:sz="0" w:space="0" w:color="auto"/>
            <w:bottom w:val="none" w:sz="0" w:space="0" w:color="auto"/>
            <w:right w:val="none" w:sz="0" w:space="0" w:color="auto"/>
          </w:divBdr>
        </w:div>
        <w:div w:id="641542613">
          <w:marLeft w:val="480"/>
          <w:marRight w:val="0"/>
          <w:marTop w:val="0"/>
          <w:marBottom w:val="0"/>
          <w:divBdr>
            <w:top w:val="none" w:sz="0" w:space="0" w:color="auto"/>
            <w:left w:val="none" w:sz="0" w:space="0" w:color="auto"/>
            <w:bottom w:val="none" w:sz="0" w:space="0" w:color="auto"/>
            <w:right w:val="none" w:sz="0" w:space="0" w:color="auto"/>
          </w:divBdr>
        </w:div>
        <w:div w:id="990061331">
          <w:marLeft w:val="480"/>
          <w:marRight w:val="0"/>
          <w:marTop w:val="0"/>
          <w:marBottom w:val="0"/>
          <w:divBdr>
            <w:top w:val="none" w:sz="0" w:space="0" w:color="auto"/>
            <w:left w:val="none" w:sz="0" w:space="0" w:color="auto"/>
            <w:bottom w:val="none" w:sz="0" w:space="0" w:color="auto"/>
            <w:right w:val="none" w:sz="0" w:space="0" w:color="auto"/>
          </w:divBdr>
        </w:div>
        <w:div w:id="895624073">
          <w:marLeft w:val="480"/>
          <w:marRight w:val="0"/>
          <w:marTop w:val="0"/>
          <w:marBottom w:val="0"/>
          <w:divBdr>
            <w:top w:val="none" w:sz="0" w:space="0" w:color="auto"/>
            <w:left w:val="none" w:sz="0" w:space="0" w:color="auto"/>
            <w:bottom w:val="none" w:sz="0" w:space="0" w:color="auto"/>
            <w:right w:val="none" w:sz="0" w:space="0" w:color="auto"/>
          </w:divBdr>
        </w:div>
        <w:div w:id="1574389359">
          <w:marLeft w:val="480"/>
          <w:marRight w:val="0"/>
          <w:marTop w:val="0"/>
          <w:marBottom w:val="0"/>
          <w:divBdr>
            <w:top w:val="none" w:sz="0" w:space="0" w:color="auto"/>
            <w:left w:val="none" w:sz="0" w:space="0" w:color="auto"/>
            <w:bottom w:val="none" w:sz="0" w:space="0" w:color="auto"/>
            <w:right w:val="none" w:sz="0" w:space="0" w:color="auto"/>
          </w:divBdr>
        </w:div>
        <w:div w:id="1316111127">
          <w:marLeft w:val="480"/>
          <w:marRight w:val="0"/>
          <w:marTop w:val="0"/>
          <w:marBottom w:val="0"/>
          <w:divBdr>
            <w:top w:val="none" w:sz="0" w:space="0" w:color="auto"/>
            <w:left w:val="none" w:sz="0" w:space="0" w:color="auto"/>
            <w:bottom w:val="none" w:sz="0" w:space="0" w:color="auto"/>
            <w:right w:val="none" w:sz="0" w:space="0" w:color="auto"/>
          </w:divBdr>
        </w:div>
        <w:div w:id="1132210219">
          <w:marLeft w:val="480"/>
          <w:marRight w:val="0"/>
          <w:marTop w:val="0"/>
          <w:marBottom w:val="0"/>
          <w:divBdr>
            <w:top w:val="none" w:sz="0" w:space="0" w:color="auto"/>
            <w:left w:val="none" w:sz="0" w:space="0" w:color="auto"/>
            <w:bottom w:val="none" w:sz="0" w:space="0" w:color="auto"/>
            <w:right w:val="none" w:sz="0" w:space="0" w:color="auto"/>
          </w:divBdr>
        </w:div>
        <w:div w:id="1351175759">
          <w:marLeft w:val="480"/>
          <w:marRight w:val="0"/>
          <w:marTop w:val="0"/>
          <w:marBottom w:val="0"/>
          <w:divBdr>
            <w:top w:val="none" w:sz="0" w:space="0" w:color="auto"/>
            <w:left w:val="none" w:sz="0" w:space="0" w:color="auto"/>
            <w:bottom w:val="none" w:sz="0" w:space="0" w:color="auto"/>
            <w:right w:val="none" w:sz="0" w:space="0" w:color="auto"/>
          </w:divBdr>
        </w:div>
        <w:div w:id="1297446849">
          <w:marLeft w:val="480"/>
          <w:marRight w:val="0"/>
          <w:marTop w:val="0"/>
          <w:marBottom w:val="0"/>
          <w:divBdr>
            <w:top w:val="none" w:sz="0" w:space="0" w:color="auto"/>
            <w:left w:val="none" w:sz="0" w:space="0" w:color="auto"/>
            <w:bottom w:val="none" w:sz="0" w:space="0" w:color="auto"/>
            <w:right w:val="none" w:sz="0" w:space="0" w:color="auto"/>
          </w:divBdr>
        </w:div>
        <w:div w:id="1936936445">
          <w:marLeft w:val="480"/>
          <w:marRight w:val="0"/>
          <w:marTop w:val="0"/>
          <w:marBottom w:val="0"/>
          <w:divBdr>
            <w:top w:val="none" w:sz="0" w:space="0" w:color="auto"/>
            <w:left w:val="none" w:sz="0" w:space="0" w:color="auto"/>
            <w:bottom w:val="none" w:sz="0" w:space="0" w:color="auto"/>
            <w:right w:val="none" w:sz="0" w:space="0" w:color="auto"/>
          </w:divBdr>
        </w:div>
        <w:div w:id="1617178333">
          <w:marLeft w:val="480"/>
          <w:marRight w:val="0"/>
          <w:marTop w:val="0"/>
          <w:marBottom w:val="0"/>
          <w:divBdr>
            <w:top w:val="none" w:sz="0" w:space="0" w:color="auto"/>
            <w:left w:val="none" w:sz="0" w:space="0" w:color="auto"/>
            <w:bottom w:val="none" w:sz="0" w:space="0" w:color="auto"/>
            <w:right w:val="none" w:sz="0" w:space="0" w:color="auto"/>
          </w:divBdr>
        </w:div>
        <w:div w:id="1276867204">
          <w:marLeft w:val="480"/>
          <w:marRight w:val="0"/>
          <w:marTop w:val="0"/>
          <w:marBottom w:val="0"/>
          <w:divBdr>
            <w:top w:val="none" w:sz="0" w:space="0" w:color="auto"/>
            <w:left w:val="none" w:sz="0" w:space="0" w:color="auto"/>
            <w:bottom w:val="none" w:sz="0" w:space="0" w:color="auto"/>
            <w:right w:val="none" w:sz="0" w:space="0" w:color="auto"/>
          </w:divBdr>
        </w:div>
        <w:div w:id="1283803381">
          <w:marLeft w:val="480"/>
          <w:marRight w:val="0"/>
          <w:marTop w:val="0"/>
          <w:marBottom w:val="0"/>
          <w:divBdr>
            <w:top w:val="none" w:sz="0" w:space="0" w:color="auto"/>
            <w:left w:val="none" w:sz="0" w:space="0" w:color="auto"/>
            <w:bottom w:val="none" w:sz="0" w:space="0" w:color="auto"/>
            <w:right w:val="none" w:sz="0" w:space="0" w:color="auto"/>
          </w:divBdr>
        </w:div>
        <w:div w:id="164823861">
          <w:marLeft w:val="480"/>
          <w:marRight w:val="0"/>
          <w:marTop w:val="0"/>
          <w:marBottom w:val="0"/>
          <w:divBdr>
            <w:top w:val="none" w:sz="0" w:space="0" w:color="auto"/>
            <w:left w:val="none" w:sz="0" w:space="0" w:color="auto"/>
            <w:bottom w:val="none" w:sz="0" w:space="0" w:color="auto"/>
            <w:right w:val="none" w:sz="0" w:space="0" w:color="auto"/>
          </w:divBdr>
        </w:div>
        <w:div w:id="803700009">
          <w:marLeft w:val="480"/>
          <w:marRight w:val="0"/>
          <w:marTop w:val="0"/>
          <w:marBottom w:val="0"/>
          <w:divBdr>
            <w:top w:val="none" w:sz="0" w:space="0" w:color="auto"/>
            <w:left w:val="none" w:sz="0" w:space="0" w:color="auto"/>
            <w:bottom w:val="none" w:sz="0" w:space="0" w:color="auto"/>
            <w:right w:val="none" w:sz="0" w:space="0" w:color="auto"/>
          </w:divBdr>
        </w:div>
        <w:div w:id="736704047">
          <w:marLeft w:val="480"/>
          <w:marRight w:val="0"/>
          <w:marTop w:val="0"/>
          <w:marBottom w:val="0"/>
          <w:divBdr>
            <w:top w:val="none" w:sz="0" w:space="0" w:color="auto"/>
            <w:left w:val="none" w:sz="0" w:space="0" w:color="auto"/>
            <w:bottom w:val="none" w:sz="0" w:space="0" w:color="auto"/>
            <w:right w:val="none" w:sz="0" w:space="0" w:color="auto"/>
          </w:divBdr>
        </w:div>
        <w:div w:id="949121856">
          <w:marLeft w:val="480"/>
          <w:marRight w:val="0"/>
          <w:marTop w:val="0"/>
          <w:marBottom w:val="0"/>
          <w:divBdr>
            <w:top w:val="none" w:sz="0" w:space="0" w:color="auto"/>
            <w:left w:val="none" w:sz="0" w:space="0" w:color="auto"/>
            <w:bottom w:val="none" w:sz="0" w:space="0" w:color="auto"/>
            <w:right w:val="none" w:sz="0" w:space="0" w:color="auto"/>
          </w:divBdr>
        </w:div>
        <w:div w:id="1994065131">
          <w:marLeft w:val="480"/>
          <w:marRight w:val="0"/>
          <w:marTop w:val="0"/>
          <w:marBottom w:val="0"/>
          <w:divBdr>
            <w:top w:val="none" w:sz="0" w:space="0" w:color="auto"/>
            <w:left w:val="none" w:sz="0" w:space="0" w:color="auto"/>
            <w:bottom w:val="none" w:sz="0" w:space="0" w:color="auto"/>
            <w:right w:val="none" w:sz="0" w:space="0" w:color="auto"/>
          </w:divBdr>
        </w:div>
        <w:div w:id="1219706805">
          <w:marLeft w:val="480"/>
          <w:marRight w:val="0"/>
          <w:marTop w:val="0"/>
          <w:marBottom w:val="0"/>
          <w:divBdr>
            <w:top w:val="none" w:sz="0" w:space="0" w:color="auto"/>
            <w:left w:val="none" w:sz="0" w:space="0" w:color="auto"/>
            <w:bottom w:val="none" w:sz="0" w:space="0" w:color="auto"/>
            <w:right w:val="none" w:sz="0" w:space="0" w:color="auto"/>
          </w:divBdr>
        </w:div>
        <w:div w:id="705132326">
          <w:marLeft w:val="480"/>
          <w:marRight w:val="0"/>
          <w:marTop w:val="0"/>
          <w:marBottom w:val="0"/>
          <w:divBdr>
            <w:top w:val="none" w:sz="0" w:space="0" w:color="auto"/>
            <w:left w:val="none" w:sz="0" w:space="0" w:color="auto"/>
            <w:bottom w:val="none" w:sz="0" w:space="0" w:color="auto"/>
            <w:right w:val="none" w:sz="0" w:space="0" w:color="auto"/>
          </w:divBdr>
        </w:div>
        <w:div w:id="1355418487">
          <w:marLeft w:val="480"/>
          <w:marRight w:val="0"/>
          <w:marTop w:val="0"/>
          <w:marBottom w:val="0"/>
          <w:divBdr>
            <w:top w:val="none" w:sz="0" w:space="0" w:color="auto"/>
            <w:left w:val="none" w:sz="0" w:space="0" w:color="auto"/>
            <w:bottom w:val="none" w:sz="0" w:space="0" w:color="auto"/>
            <w:right w:val="none" w:sz="0" w:space="0" w:color="auto"/>
          </w:divBdr>
        </w:div>
        <w:div w:id="1406105703">
          <w:marLeft w:val="480"/>
          <w:marRight w:val="0"/>
          <w:marTop w:val="0"/>
          <w:marBottom w:val="0"/>
          <w:divBdr>
            <w:top w:val="none" w:sz="0" w:space="0" w:color="auto"/>
            <w:left w:val="none" w:sz="0" w:space="0" w:color="auto"/>
            <w:bottom w:val="none" w:sz="0" w:space="0" w:color="auto"/>
            <w:right w:val="none" w:sz="0" w:space="0" w:color="auto"/>
          </w:divBdr>
        </w:div>
        <w:div w:id="1825510944">
          <w:marLeft w:val="480"/>
          <w:marRight w:val="0"/>
          <w:marTop w:val="0"/>
          <w:marBottom w:val="0"/>
          <w:divBdr>
            <w:top w:val="none" w:sz="0" w:space="0" w:color="auto"/>
            <w:left w:val="none" w:sz="0" w:space="0" w:color="auto"/>
            <w:bottom w:val="none" w:sz="0" w:space="0" w:color="auto"/>
            <w:right w:val="none" w:sz="0" w:space="0" w:color="auto"/>
          </w:divBdr>
        </w:div>
        <w:div w:id="525560594">
          <w:marLeft w:val="480"/>
          <w:marRight w:val="0"/>
          <w:marTop w:val="0"/>
          <w:marBottom w:val="0"/>
          <w:divBdr>
            <w:top w:val="none" w:sz="0" w:space="0" w:color="auto"/>
            <w:left w:val="none" w:sz="0" w:space="0" w:color="auto"/>
            <w:bottom w:val="none" w:sz="0" w:space="0" w:color="auto"/>
            <w:right w:val="none" w:sz="0" w:space="0" w:color="auto"/>
          </w:divBdr>
        </w:div>
        <w:div w:id="100539239">
          <w:marLeft w:val="480"/>
          <w:marRight w:val="0"/>
          <w:marTop w:val="0"/>
          <w:marBottom w:val="0"/>
          <w:divBdr>
            <w:top w:val="none" w:sz="0" w:space="0" w:color="auto"/>
            <w:left w:val="none" w:sz="0" w:space="0" w:color="auto"/>
            <w:bottom w:val="none" w:sz="0" w:space="0" w:color="auto"/>
            <w:right w:val="none" w:sz="0" w:space="0" w:color="auto"/>
          </w:divBdr>
        </w:div>
        <w:div w:id="277178776">
          <w:marLeft w:val="480"/>
          <w:marRight w:val="0"/>
          <w:marTop w:val="0"/>
          <w:marBottom w:val="0"/>
          <w:divBdr>
            <w:top w:val="none" w:sz="0" w:space="0" w:color="auto"/>
            <w:left w:val="none" w:sz="0" w:space="0" w:color="auto"/>
            <w:bottom w:val="none" w:sz="0" w:space="0" w:color="auto"/>
            <w:right w:val="none" w:sz="0" w:space="0" w:color="auto"/>
          </w:divBdr>
        </w:div>
        <w:div w:id="1277642619">
          <w:marLeft w:val="480"/>
          <w:marRight w:val="0"/>
          <w:marTop w:val="0"/>
          <w:marBottom w:val="0"/>
          <w:divBdr>
            <w:top w:val="none" w:sz="0" w:space="0" w:color="auto"/>
            <w:left w:val="none" w:sz="0" w:space="0" w:color="auto"/>
            <w:bottom w:val="none" w:sz="0" w:space="0" w:color="auto"/>
            <w:right w:val="none" w:sz="0" w:space="0" w:color="auto"/>
          </w:divBdr>
        </w:div>
        <w:div w:id="703601497">
          <w:marLeft w:val="480"/>
          <w:marRight w:val="0"/>
          <w:marTop w:val="0"/>
          <w:marBottom w:val="0"/>
          <w:divBdr>
            <w:top w:val="none" w:sz="0" w:space="0" w:color="auto"/>
            <w:left w:val="none" w:sz="0" w:space="0" w:color="auto"/>
            <w:bottom w:val="none" w:sz="0" w:space="0" w:color="auto"/>
            <w:right w:val="none" w:sz="0" w:space="0" w:color="auto"/>
          </w:divBdr>
        </w:div>
        <w:div w:id="1832410279">
          <w:marLeft w:val="480"/>
          <w:marRight w:val="0"/>
          <w:marTop w:val="0"/>
          <w:marBottom w:val="0"/>
          <w:divBdr>
            <w:top w:val="none" w:sz="0" w:space="0" w:color="auto"/>
            <w:left w:val="none" w:sz="0" w:space="0" w:color="auto"/>
            <w:bottom w:val="none" w:sz="0" w:space="0" w:color="auto"/>
            <w:right w:val="none" w:sz="0" w:space="0" w:color="auto"/>
          </w:divBdr>
        </w:div>
        <w:div w:id="392893482">
          <w:marLeft w:val="480"/>
          <w:marRight w:val="0"/>
          <w:marTop w:val="0"/>
          <w:marBottom w:val="0"/>
          <w:divBdr>
            <w:top w:val="none" w:sz="0" w:space="0" w:color="auto"/>
            <w:left w:val="none" w:sz="0" w:space="0" w:color="auto"/>
            <w:bottom w:val="none" w:sz="0" w:space="0" w:color="auto"/>
            <w:right w:val="none" w:sz="0" w:space="0" w:color="auto"/>
          </w:divBdr>
        </w:div>
        <w:div w:id="1272201179">
          <w:marLeft w:val="480"/>
          <w:marRight w:val="0"/>
          <w:marTop w:val="0"/>
          <w:marBottom w:val="0"/>
          <w:divBdr>
            <w:top w:val="none" w:sz="0" w:space="0" w:color="auto"/>
            <w:left w:val="none" w:sz="0" w:space="0" w:color="auto"/>
            <w:bottom w:val="none" w:sz="0" w:space="0" w:color="auto"/>
            <w:right w:val="none" w:sz="0" w:space="0" w:color="auto"/>
          </w:divBdr>
        </w:div>
        <w:div w:id="1214582058">
          <w:marLeft w:val="480"/>
          <w:marRight w:val="0"/>
          <w:marTop w:val="0"/>
          <w:marBottom w:val="0"/>
          <w:divBdr>
            <w:top w:val="none" w:sz="0" w:space="0" w:color="auto"/>
            <w:left w:val="none" w:sz="0" w:space="0" w:color="auto"/>
            <w:bottom w:val="none" w:sz="0" w:space="0" w:color="auto"/>
            <w:right w:val="none" w:sz="0" w:space="0" w:color="auto"/>
          </w:divBdr>
        </w:div>
        <w:div w:id="742752183">
          <w:marLeft w:val="480"/>
          <w:marRight w:val="0"/>
          <w:marTop w:val="0"/>
          <w:marBottom w:val="0"/>
          <w:divBdr>
            <w:top w:val="none" w:sz="0" w:space="0" w:color="auto"/>
            <w:left w:val="none" w:sz="0" w:space="0" w:color="auto"/>
            <w:bottom w:val="none" w:sz="0" w:space="0" w:color="auto"/>
            <w:right w:val="none" w:sz="0" w:space="0" w:color="auto"/>
          </w:divBdr>
        </w:div>
        <w:div w:id="1728188503">
          <w:marLeft w:val="480"/>
          <w:marRight w:val="0"/>
          <w:marTop w:val="0"/>
          <w:marBottom w:val="0"/>
          <w:divBdr>
            <w:top w:val="none" w:sz="0" w:space="0" w:color="auto"/>
            <w:left w:val="none" w:sz="0" w:space="0" w:color="auto"/>
            <w:bottom w:val="none" w:sz="0" w:space="0" w:color="auto"/>
            <w:right w:val="none" w:sz="0" w:space="0" w:color="auto"/>
          </w:divBdr>
        </w:div>
        <w:div w:id="2137482862">
          <w:marLeft w:val="480"/>
          <w:marRight w:val="0"/>
          <w:marTop w:val="0"/>
          <w:marBottom w:val="0"/>
          <w:divBdr>
            <w:top w:val="none" w:sz="0" w:space="0" w:color="auto"/>
            <w:left w:val="none" w:sz="0" w:space="0" w:color="auto"/>
            <w:bottom w:val="none" w:sz="0" w:space="0" w:color="auto"/>
            <w:right w:val="none" w:sz="0" w:space="0" w:color="auto"/>
          </w:divBdr>
        </w:div>
        <w:div w:id="1679043879">
          <w:marLeft w:val="480"/>
          <w:marRight w:val="0"/>
          <w:marTop w:val="0"/>
          <w:marBottom w:val="0"/>
          <w:divBdr>
            <w:top w:val="none" w:sz="0" w:space="0" w:color="auto"/>
            <w:left w:val="none" w:sz="0" w:space="0" w:color="auto"/>
            <w:bottom w:val="none" w:sz="0" w:space="0" w:color="auto"/>
            <w:right w:val="none" w:sz="0" w:space="0" w:color="auto"/>
          </w:divBdr>
        </w:div>
        <w:div w:id="1166283549">
          <w:marLeft w:val="480"/>
          <w:marRight w:val="0"/>
          <w:marTop w:val="0"/>
          <w:marBottom w:val="0"/>
          <w:divBdr>
            <w:top w:val="none" w:sz="0" w:space="0" w:color="auto"/>
            <w:left w:val="none" w:sz="0" w:space="0" w:color="auto"/>
            <w:bottom w:val="none" w:sz="0" w:space="0" w:color="auto"/>
            <w:right w:val="none" w:sz="0" w:space="0" w:color="auto"/>
          </w:divBdr>
        </w:div>
        <w:div w:id="1052074981">
          <w:marLeft w:val="480"/>
          <w:marRight w:val="0"/>
          <w:marTop w:val="0"/>
          <w:marBottom w:val="0"/>
          <w:divBdr>
            <w:top w:val="none" w:sz="0" w:space="0" w:color="auto"/>
            <w:left w:val="none" w:sz="0" w:space="0" w:color="auto"/>
            <w:bottom w:val="none" w:sz="0" w:space="0" w:color="auto"/>
            <w:right w:val="none" w:sz="0" w:space="0" w:color="auto"/>
          </w:divBdr>
        </w:div>
        <w:div w:id="985816249">
          <w:marLeft w:val="480"/>
          <w:marRight w:val="0"/>
          <w:marTop w:val="0"/>
          <w:marBottom w:val="0"/>
          <w:divBdr>
            <w:top w:val="none" w:sz="0" w:space="0" w:color="auto"/>
            <w:left w:val="none" w:sz="0" w:space="0" w:color="auto"/>
            <w:bottom w:val="none" w:sz="0" w:space="0" w:color="auto"/>
            <w:right w:val="none" w:sz="0" w:space="0" w:color="auto"/>
          </w:divBdr>
        </w:div>
        <w:div w:id="2121877161">
          <w:marLeft w:val="480"/>
          <w:marRight w:val="0"/>
          <w:marTop w:val="0"/>
          <w:marBottom w:val="0"/>
          <w:divBdr>
            <w:top w:val="none" w:sz="0" w:space="0" w:color="auto"/>
            <w:left w:val="none" w:sz="0" w:space="0" w:color="auto"/>
            <w:bottom w:val="none" w:sz="0" w:space="0" w:color="auto"/>
            <w:right w:val="none" w:sz="0" w:space="0" w:color="auto"/>
          </w:divBdr>
        </w:div>
        <w:div w:id="150875507">
          <w:marLeft w:val="480"/>
          <w:marRight w:val="0"/>
          <w:marTop w:val="0"/>
          <w:marBottom w:val="0"/>
          <w:divBdr>
            <w:top w:val="none" w:sz="0" w:space="0" w:color="auto"/>
            <w:left w:val="none" w:sz="0" w:space="0" w:color="auto"/>
            <w:bottom w:val="none" w:sz="0" w:space="0" w:color="auto"/>
            <w:right w:val="none" w:sz="0" w:space="0" w:color="auto"/>
          </w:divBdr>
        </w:div>
        <w:div w:id="1605454326">
          <w:marLeft w:val="480"/>
          <w:marRight w:val="0"/>
          <w:marTop w:val="0"/>
          <w:marBottom w:val="0"/>
          <w:divBdr>
            <w:top w:val="none" w:sz="0" w:space="0" w:color="auto"/>
            <w:left w:val="none" w:sz="0" w:space="0" w:color="auto"/>
            <w:bottom w:val="none" w:sz="0" w:space="0" w:color="auto"/>
            <w:right w:val="none" w:sz="0" w:space="0" w:color="auto"/>
          </w:divBdr>
        </w:div>
        <w:div w:id="1718553595">
          <w:marLeft w:val="480"/>
          <w:marRight w:val="0"/>
          <w:marTop w:val="0"/>
          <w:marBottom w:val="0"/>
          <w:divBdr>
            <w:top w:val="none" w:sz="0" w:space="0" w:color="auto"/>
            <w:left w:val="none" w:sz="0" w:space="0" w:color="auto"/>
            <w:bottom w:val="none" w:sz="0" w:space="0" w:color="auto"/>
            <w:right w:val="none" w:sz="0" w:space="0" w:color="auto"/>
          </w:divBdr>
        </w:div>
        <w:div w:id="719213433">
          <w:marLeft w:val="480"/>
          <w:marRight w:val="0"/>
          <w:marTop w:val="0"/>
          <w:marBottom w:val="0"/>
          <w:divBdr>
            <w:top w:val="none" w:sz="0" w:space="0" w:color="auto"/>
            <w:left w:val="none" w:sz="0" w:space="0" w:color="auto"/>
            <w:bottom w:val="none" w:sz="0" w:space="0" w:color="auto"/>
            <w:right w:val="none" w:sz="0" w:space="0" w:color="auto"/>
          </w:divBdr>
        </w:div>
        <w:div w:id="839388860">
          <w:marLeft w:val="480"/>
          <w:marRight w:val="0"/>
          <w:marTop w:val="0"/>
          <w:marBottom w:val="0"/>
          <w:divBdr>
            <w:top w:val="none" w:sz="0" w:space="0" w:color="auto"/>
            <w:left w:val="none" w:sz="0" w:space="0" w:color="auto"/>
            <w:bottom w:val="none" w:sz="0" w:space="0" w:color="auto"/>
            <w:right w:val="none" w:sz="0" w:space="0" w:color="auto"/>
          </w:divBdr>
        </w:div>
        <w:div w:id="1452899383">
          <w:marLeft w:val="480"/>
          <w:marRight w:val="0"/>
          <w:marTop w:val="0"/>
          <w:marBottom w:val="0"/>
          <w:divBdr>
            <w:top w:val="none" w:sz="0" w:space="0" w:color="auto"/>
            <w:left w:val="none" w:sz="0" w:space="0" w:color="auto"/>
            <w:bottom w:val="none" w:sz="0" w:space="0" w:color="auto"/>
            <w:right w:val="none" w:sz="0" w:space="0" w:color="auto"/>
          </w:divBdr>
        </w:div>
        <w:div w:id="1882128801">
          <w:marLeft w:val="480"/>
          <w:marRight w:val="0"/>
          <w:marTop w:val="0"/>
          <w:marBottom w:val="0"/>
          <w:divBdr>
            <w:top w:val="none" w:sz="0" w:space="0" w:color="auto"/>
            <w:left w:val="none" w:sz="0" w:space="0" w:color="auto"/>
            <w:bottom w:val="none" w:sz="0" w:space="0" w:color="auto"/>
            <w:right w:val="none" w:sz="0" w:space="0" w:color="auto"/>
          </w:divBdr>
        </w:div>
        <w:div w:id="211885918">
          <w:marLeft w:val="480"/>
          <w:marRight w:val="0"/>
          <w:marTop w:val="0"/>
          <w:marBottom w:val="0"/>
          <w:divBdr>
            <w:top w:val="none" w:sz="0" w:space="0" w:color="auto"/>
            <w:left w:val="none" w:sz="0" w:space="0" w:color="auto"/>
            <w:bottom w:val="none" w:sz="0" w:space="0" w:color="auto"/>
            <w:right w:val="none" w:sz="0" w:space="0" w:color="auto"/>
          </w:divBdr>
        </w:div>
        <w:div w:id="2075933868">
          <w:marLeft w:val="480"/>
          <w:marRight w:val="0"/>
          <w:marTop w:val="0"/>
          <w:marBottom w:val="0"/>
          <w:divBdr>
            <w:top w:val="none" w:sz="0" w:space="0" w:color="auto"/>
            <w:left w:val="none" w:sz="0" w:space="0" w:color="auto"/>
            <w:bottom w:val="none" w:sz="0" w:space="0" w:color="auto"/>
            <w:right w:val="none" w:sz="0" w:space="0" w:color="auto"/>
          </w:divBdr>
        </w:div>
        <w:div w:id="611010413">
          <w:marLeft w:val="480"/>
          <w:marRight w:val="0"/>
          <w:marTop w:val="0"/>
          <w:marBottom w:val="0"/>
          <w:divBdr>
            <w:top w:val="none" w:sz="0" w:space="0" w:color="auto"/>
            <w:left w:val="none" w:sz="0" w:space="0" w:color="auto"/>
            <w:bottom w:val="none" w:sz="0" w:space="0" w:color="auto"/>
            <w:right w:val="none" w:sz="0" w:space="0" w:color="auto"/>
          </w:divBdr>
        </w:div>
        <w:div w:id="1438672863">
          <w:marLeft w:val="480"/>
          <w:marRight w:val="0"/>
          <w:marTop w:val="0"/>
          <w:marBottom w:val="0"/>
          <w:divBdr>
            <w:top w:val="none" w:sz="0" w:space="0" w:color="auto"/>
            <w:left w:val="none" w:sz="0" w:space="0" w:color="auto"/>
            <w:bottom w:val="none" w:sz="0" w:space="0" w:color="auto"/>
            <w:right w:val="none" w:sz="0" w:space="0" w:color="auto"/>
          </w:divBdr>
        </w:div>
        <w:div w:id="643004391">
          <w:marLeft w:val="480"/>
          <w:marRight w:val="0"/>
          <w:marTop w:val="0"/>
          <w:marBottom w:val="0"/>
          <w:divBdr>
            <w:top w:val="none" w:sz="0" w:space="0" w:color="auto"/>
            <w:left w:val="none" w:sz="0" w:space="0" w:color="auto"/>
            <w:bottom w:val="none" w:sz="0" w:space="0" w:color="auto"/>
            <w:right w:val="none" w:sz="0" w:space="0" w:color="auto"/>
          </w:divBdr>
        </w:div>
        <w:div w:id="280457896">
          <w:marLeft w:val="480"/>
          <w:marRight w:val="0"/>
          <w:marTop w:val="0"/>
          <w:marBottom w:val="0"/>
          <w:divBdr>
            <w:top w:val="none" w:sz="0" w:space="0" w:color="auto"/>
            <w:left w:val="none" w:sz="0" w:space="0" w:color="auto"/>
            <w:bottom w:val="none" w:sz="0" w:space="0" w:color="auto"/>
            <w:right w:val="none" w:sz="0" w:space="0" w:color="auto"/>
          </w:divBdr>
        </w:div>
        <w:div w:id="1395424623">
          <w:marLeft w:val="480"/>
          <w:marRight w:val="0"/>
          <w:marTop w:val="0"/>
          <w:marBottom w:val="0"/>
          <w:divBdr>
            <w:top w:val="none" w:sz="0" w:space="0" w:color="auto"/>
            <w:left w:val="none" w:sz="0" w:space="0" w:color="auto"/>
            <w:bottom w:val="none" w:sz="0" w:space="0" w:color="auto"/>
            <w:right w:val="none" w:sz="0" w:space="0" w:color="auto"/>
          </w:divBdr>
        </w:div>
        <w:div w:id="927075113">
          <w:marLeft w:val="480"/>
          <w:marRight w:val="0"/>
          <w:marTop w:val="0"/>
          <w:marBottom w:val="0"/>
          <w:divBdr>
            <w:top w:val="none" w:sz="0" w:space="0" w:color="auto"/>
            <w:left w:val="none" w:sz="0" w:space="0" w:color="auto"/>
            <w:bottom w:val="none" w:sz="0" w:space="0" w:color="auto"/>
            <w:right w:val="none" w:sz="0" w:space="0" w:color="auto"/>
          </w:divBdr>
        </w:div>
        <w:div w:id="603194744">
          <w:marLeft w:val="480"/>
          <w:marRight w:val="0"/>
          <w:marTop w:val="0"/>
          <w:marBottom w:val="0"/>
          <w:divBdr>
            <w:top w:val="none" w:sz="0" w:space="0" w:color="auto"/>
            <w:left w:val="none" w:sz="0" w:space="0" w:color="auto"/>
            <w:bottom w:val="none" w:sz="0" w:space="0" w:color="auto"/>
            <w:right w:val="none" w:sz="0" w:space="0" w:color="auto"/>
          </w:divBdr>
        </w:div>
        <w:div w:id="1986200759">
          <w:marLeft w:val="480"/>
          <w:marRight w:val="0"/>
          <w:marTop w:val="0"/>
          <w:marBottom w:val="0"/>
          <w:divBdr>
            <w:top w:val="none" w:sz="0" w:space="0" w:color="auto"/>
            <w:left w:val="none" w:sz="0" w:space="0" w:color="auto"/>
            <w:bottom w:val="none" w:sz="0" w:space="0" w:color="auto"/>
            <w:right w:val="none" w:sz="0" w:space="0" w:color="auto"/>
          </w:divBdr>
        </w:div>
        <w:div w:id="1019963608">
          <w:marLeft w:val="480"/>
          <w:marRight w:val="0"/>
          <w:marTop w:val="0"/>
          <w:marBottom w:val="0"/>
          <w:divBdr>
            <w:top w:val="none" w:sz="0" w:space="0" w:color="auto"/>
            <w:left w:val="none" w:sz="0" w:space="0" w:color="auto"/>
            <w:bottom w:val="none" w:sz="0" w:space="0" w:color="auto"/>
            <w:right w:val="none" w:sz="0" w:space="0" w:color="auto"/>
          </w:divBdr>
        </w:div>
        <w:div w:id="1886602005">
          <w:marLeft w:val="480"/>
          <w:marRight w:val="0"/>
          <w:marTop w:val="0"/>
          <w:marBottom w:val="0"/>
          <w:divBdr>
            <w:top w:val="none" w:sz="0" w:space="0" w:color="auto"/>
            <w:left w:val="none" w:sz="0" w:space="0" w:color="auto"/>
            <w:bottom w:val="none" w:sz="0" w:space="0" w:color="auto"/>
            <w:right w:val="none" w:sz="0" w:space="0" w:color="auto"/>
          </w:divBdr>
        </w:div>
        <w:div w:id="1042287151">
          <w:marLeft w:val="480"/>
          <w:marRight w:val="0"/>
          <w:marTop w:val="0"/>
          <w:marBottom w:val="0"/>
          <w:divBdr>
            <w:top w:val="none" w:sz="0" w:space="0" w:color="auto"/>
            <w:left w:val="none" w:sz="0" w:space="0" w:color="auto"/>
            <w:bottom w:val="none" w:sz="0" w:space="0" w:color="auto"/>
            <w:right w:val="none" w:sz="0" w:space="0" w:color="auto"/>
          </w:divBdr>
        </w:div>
        <w:div w:id="432283263">
          <w:marLeft w:val="480"/>
          <w:marRight w:val="0"/>
          <w:marTop w:val="0"/>
          <w:marBottom w:val="0"/>
          <w:divBdr>
            <w:top w:val="none" w:sz="0" w:space="0" w:color="auto"/>
            <w:left w:val="none" w:sz="0" w:space="0" w:color="auto"/>
            <w:bottom w:val="none" w:sz="0" w:space="0" w:color="auto"/>
            <w:right w:val="none" w:sz="0" w:space="0" w:color="auto"/>
          </w:divBdr>
        </w:div>
        <w:div w:id="934628642">
          <w:marLeft w:val="480"/>
          <w:marRight w:val="0"/>
          <w:marTop w:val="0"/>
          <w:marBottom w:val="0"/>
          <w:divBdr>
            <w:top w:val="none" w:sz="0" w:space="0" w:color="auto"/>
            <w:left w:val="none" w:sz="0" w:space="0" w:color="auto"/>
            <w:bottom w:val="none" w:sz="0" w:space="0" w:color="auto"/>
            <w:right w:val="none" w:sz="0" w:space="0" w:color="auto"/>
          </w:divBdr>
        </w:div>
        <w:div w:id="1213228497">
          <w:marLeft w:val="480"/>
          <w:marRight w:val="0"/>
          <w:marTop w:val="0"/>
          <w:marBottom w:val="0"/>
          <w:divBdr>
            <w:top w:val="none" w:sz="0" w:space="0" w:color="auto"/>
            <w:left w:val="none" w:sz="0" w:space="0" w:color="auto"/>
            <w:bottom w:val="none" w:sz="0" w:space="0" w:color="auto"/>
            <w:right w:val="none" w:sz="0" w:space="0" w:color="auto"/>
          </w:divBdr>
        </w:div>
        <w:div w:id="159734760">
          <w:marLeft w:val="480"/>
          <w:marRight w:val="0"/>
          <w:marTop w:val="0"/>
          <w:marBottom w:val="0"/>
          <w:divBdr>
            <w:top w:val="none" w:sz="0" w:space="0" w:color="auto"/>
            <w:left w:val="none" w:sz="0" w:space="0" w:color="auto"/>
            <w:bottom w:val="none" w:sz="0" w:space="0" w:color="auto"/>
            <w:right w:val="none" w:sz="0" w:space="0" w:color="auto"/>
          </w:divBdr>
        </w:div>
        <w:div w:id="1114439771">
          <w:marLeft w:val="480"/>
          <w:marRight w:val="0"/>
          <w:marTop w:val="0"/>
          <w:marBottom w:val="0"/>
          <w:divBdr>
            <w:top w:val="none" w:sz="0" w:space="0" w:color="auto"/>
            <w:left w:val="none" w:sz="0" w:space="0" w:color="auto"/>
            <w:bottom w:val="none" w:sz="0" w:space="0" w:color="auto"/>
            <w:right w:val="none" w:sz="0" w:space="0" w:color="auto"/>
          </w:divBdr>
        </w:div>
        <w:div w:id="574704448">
          <w:marLeft w:val="480"/>
          <w:marRight w:val="0"/>
          <w:marTop w:val="0"/>
          <w:marBottom w:val="0"/>
          <w:divBdr>
            <w:top w:val="none" w:sz="0" w:space="0" w:color="auto"/>
            <w:left w:val="none" w:sz="0" w:space="0" w:color="auto"/>
            <w:bottom w:val="none" w:sz="0" w:space="0" w:color="auto"/>
            <w:right w:val="none" w:sz="0" w:space="0" w:color="auto"/>
          </w:divBdr>
        </w:div>
        <w:div w:id="274361597">
          <w:marLeft w:val="480"/>
          <w:marRight w:val="0"/>
          <w:marTop w:val="0"/>
          <w:marBottom w:val="0"/>
          <w:divBdr>
            <w:top w:val="none" w:sz="0" w:space="0" w:color="auto"/>
            <w:left w:val="none" w:sz="0" w:space="0" w:color="auto"/>
            <w:bottom w:val="none" w:sz="0" w:space="0" w:color="auto"/>
            <w:right w:val="none" w:sz="0" w:space="0" w:color="auto"/>
          </w:divBdr>
        </w:div>
        <w:div w:id="2023896811">
          <w:marLeft w:val="480"/>
          <w:marRight w:val="0"/>
          <w:marTop w:val="0"/>
          <w:marBottom w:val="0"/>
          <w:divBdr>
            <w:top w:val="none" w:sz="0" w:space="0" w:color="auto"/>
            <w:left w:val="none" w:sz="0" w:space="0" w:color="auto"/>
            <w:bottom w:val="none" w:sz="0" w:space="0" w:color="auto"/>
            <w:right w:val="none" w:sz="0" w:space="0" w:color="auto"/>
          </w:divBdr>
        </w:div>
        <w:div w:id="919102720">
          <w:marLeft w:val="480"/>
          <w:marRight w:val="0"/>
          <w:marTop w:val="0"/>
          <w:marBottom w:val="0"/>
          <w:divBdr>
            <w:top w:val="none" w:sz="0" w:space="0" w:color="auto"/>
            <w:left w:val="none" w:sz="0" w:space="0" w:color="auto"/>
            <w:bottom w:val="none" w:sz="0" w:space="0" w:color="auto"/>
            <w:right w:val="none" w:sz="0" w:space="0" w:color="auto"/>
          </w:divBdr>
        </w:div>
        <w:div w:id="16583431">
          <w:marLeft w:val="480"/>
          <w:marRight w:val="0"/>
          <w:marTop w:val="0"/>
          <w:marBottom w:val="0"/>
          <w:divBdr>
            <w:top w:val="none" w:sz="0" w:space="0" w:color="auto"/>
            <w:left w:val="none" w:sz="0" w:space="0" w:color="auto"/>
            <w:bottom w:val="none" w:sz="0" w:space="0" w:color="auto"/>
            <w:right w:val="none" w:sz="0" w:space="0" w:color="auto"/>
          </w:divBdr>
        </w:div>
        <w:div w:id="1387531055">
          <w:marLeft w:val="480"/>
          <w:marRight w:val="0"/>
          <w:marTop w:val="0"/>
          <w:marBottom w:val="0"/>
          <w:divBdr>
            <w:top w:val="none" w:sz="0" w:space="0" w:color="auto"/>
            <w:left w:val="none" w:sz="0" w:space="0" w:color="auto"/>
            <w:bottom w:val="none" w:sz="0" w:space="0" w:color="auto"/>
            <w:right w:val="none" w:sz="0" w:space="0" w:color="auto"/>
          </w:divBdr>
        </w:div>
        <w:div w:id="1142580959">
          <w:marLeft w:val="480"/>
          <w:marRight w:val="0"/>
          <w:marTop w:val="0"/>
          <w:marBottom w:val="0"/>
          <w:divBdr>
            <w:top w:val="none" w:sz="0" w:space="0" w:color="auto"/>
            <w:left w:val="none" w:sz="0" w:space="0" w:color="auto"/>
            <w:bottom w:val="none" w:sz="0" w:space="0" w:color="auto"/>
            <w:right w:val="none" w:sz="0" w:space="0" w:color="auto"/>
          </w:divBdr>
        </w:div>
        <w:div w:id="700471727">
          <w:marLeft w:val="480"/>
          <w:marRight w:val="0"/>
          <w:marTop w:val="0"/>
          <w:marBottom w:val="0"/>
          <w:divBdr>
            <w:top w:val="none" w:sz="0" w:space="0" w:color="auto"/>
            <w:left w:val="none" w:sz="0" w:space="0" w:color="auto"/>
            <w:bottom w:val="none" w:sz="0" w:space="0" w:color="auto"/>
            <w:right w:val="none" w:sz="0" w:space="0" w:color="auto"/>
          </w:divBdr>
        </w:div>
        <w:div w:id="991446876">
          <w:marLeft w:val="480"/>
          <w:marRight w:val="0"/>
          <w:marTop w:val="0"/>
          <w:marBottom w:val="0"/>
          <w:divBdr>
            <w:top w:val="none" w:sz="0" w:space="0" w:color="auto"/>
            <w:left w:val="none" w:sz="0" w:space="0" w:color="auto"/>
            <w:bottom w:val="none" w:sz="0" w:space="0" w:color="auto"/>
            <w:right w:val="none" w:sz="0" w:space="0" w:color="auto"/>
          </w:divBdr>
        </w:div>
        <w:div w:id="2060587930">
          <w:marLeft w:val="480"/>
          <w:marRight w:val="0"/>
          <w:marTop w:val="0"/>
          <w:marBottom w:val="0"/>
          <w:divBdr>
            <w:top w:val="none" w:sz="0" w:space="0" w:color="auto"/>
            <w:left w:val="none" w:sz="0" w:space="0" w:color="auto"/>
            <w:bottom w:val="none" w:sz="0" w:space="0" w:color="auto"/>
            <w:right w:val="none" w:sz="0" w:space="0" w:color="auto"/>
          </w:divBdr>
        </w:div>
        <w:div w:id="1712725363">
          <w:marLeft w:val="480"/>
          <w:marRight w:val="0"/>
          <w:marTop w:val="0"/>
          <w:marBottom w:val="0"/>
          <w:divBdr>
            <w:top w:val="none" w:sz="0" w:space="0" w:color="auto"/>
            <w:left w:val="none" w:sz="0" w:space="0" w:color="auto"/>
            <w:bottom w:val="none" w:sz="0" w:space="0" w:color="auto"/>
            <w:right w:val="none" w:sz="0" w:space="0" w:color="auto"/>
          </w:divBdr>
        </w:div>
        <w:div w:id="1534032578">
          <w:marLeft w:val="480"/>
          <w:marRight w:val="0"/>
          <w:marTop w:val="0"/>
          <w:marBottom w:val="0"/>
          <w:divBdr>
            <w:top w:val="none" w:sz="0" w:space="0" w:color="auto"/>
            <w:left w:val="none" w:sz="0" w:space="0" w:color="auto"/>
            <w:bottom w:val="none" w:sz="0" w:space="0" w:color="auto"/>
            <w:right w:val="none" w:sz="0" w:space="0" w:color="auto"/>
          </w:divBdr>
        </w:div>
        <w:div w:id="2131244532">
          <w:marLeft w:val="480"/>
          <w:marRight w:val="0"/>
          <w:marTop w:val="0"/>
          <w:marBottom w:val="0"/>
          <w:divBdr>
            <w:top w:val="none" w:sz="0" w:space="0" w:color="auto"/>
            <w:left w:val="none" w:sz="0" w:space="0" w:color="auto"/>
            <w:bottom w:val="none" w:sz="0" w:space="0" w:color="auto"/>
            <w:right w:val="none" w:sz="0" w:space="0" w:color="auto"/>
          </w:divBdr>
        </w:div>
        <w:div w:id="228418030">
          <w:marLeft w:val="480"/>
          <w:marRight w:val="0"/>
          <w:marTop w:val="0"/>
          <w:marBottom w:val="0"/>
          <w:divBdr>
            <w:top w:val="none" w:sz="0" w:space="0" w:color="auto"/>
            <w:left w:val="none" w:sz="0" w:space="0" w:color="auto"/>
            <w:bottom w:val="none" w:sz="0" w:space="0" w:color="auto"/>
            <w:right w:val="none" w:sz="0" w:space="0" w:color="auto"/>
          </w:divBdr>
        </w:div>
        <w:div w:id="1850556032">
          <w:marLeft w:val="480"/>
          <w:marRight w:val="0"/>
          <w:marTop w:val="0"/>
          <w:marBottom w:val="0"/>
          <w:divBdr>
            <w:top w:val="none" w:sz="0" w:space="0" w:color="auto"/>
            <w:left w:val="none" w:sz="0" w:space="0" w:color="auto"/>
            <w:bottom w:val="none" w:sz="0" w:space="0" w:color="auto"/>
            <w:right w:val="none" w:sz="0" w:space="0" w:color="auto"/>
          </w:divBdr>
        </w:div>
        <w:div w:id="790561497">
          <w:marLeft w:val="480"/>
          <w:marRight w:val="0"/>
          <w:marTop w:val="0"/>
          <w:marBottom w:val="0"/>
          <w:divBdr>
            <w:top w:val="none" w:sz="0" w:space="0" w:color="auto"/>
            <w:left w:val="none" w:sz="0" w:space="0" w:color="auto"/>
            <w:bottom w:val="none" w:sz="0" w:space="0" w:color="auto"/>
            <w:right w:val="none" w:sz="0" w:space="0" w:color="auto"/>
          </w:divBdr>
        </w:div>
        <w:div w:id="1875341015">
          <w:marLeft w:val="480"/>
          <w:marRight w:val="0"/>
          <w:marTop w:val="0"/>
          <w:marBottom w:val="0"/>
          <w:divBdr>
            <w:top w:val="none" w:sz="0" w:space="0" w:color="auto"/>
            <w:left w:val="none" w:sz="0" w:space="0" w:color="auto"/>
            <w:bottom w:val="none" w:sz="0" w:space="0" w:color="auto"/>
            <w:right w:val="none" w:sz="0" w:space="0" w:color="auto"/>
          </w:divBdr>
        </w:div>
        <w:div w:id="430785311">
          <w:marLeft w:val="480"/>
          <w:marRight w:val="0"/>
          <w:marTop w:val="0"/>
          <w:marBottom w:val="0"/>
          <w:divBdr>
            <w:top w:val="none" w:sz="0" w:space="0" w:color="auto"/>
            <w:left w:val="none" w:sz="0" w:space="0" w:color="auto"/>
            <w:bottom w:val="none" w:sz="0" w:space="0" w:color="auto"/>
            <w:right w:val="none" w:sz="0" w:space="0" w:color="auto"/>
          </w:divBdr>
        </w:div>
        <w:div w:id="1492065264">
          <w:marLeft w:val="480"/>
          <w:marRight w:val="0"/>
          <w:marTop w:val="0"/>
          <w:marBottom w:val="0"/>
          <w:divBdr>
            <w:top w:val="none" w:sz="0" w:space="0" w:color="auto"/>
            <w:left w:val="none" w:sz="0" w:space="0" w:color="auto"/>
            <w:bottom w:val="none" w:sz="0" w:space="0" w:color="auto"/>
            <w:right w:val="none" w:sz="0" w:space="0" w:color="auto"/>
          </w:divBdr>
        </w:div>
        <w:div w:id="725299519">
          <w:marLeft w:val="480"/>
          <w:marRight w:val="0"/>
          <w:marTop w:val="0"/>
          <w:marBottom w:val="0"/>
          <w:divBdr>
            <w:top w:val="none" w:sz="0" w:space="0" w:color="auto"/>
            <w:left w:val="none" w:sz="0" w:space="0" w:color="auto"/>
            <w:bottom w:val="none" w:sz="0" w:space="0" w:color="auto"/>
            <w:right w:val="none" w:sz="0" w:space="0" w:color="auto"/>
          </w:divBdr>
        </w:div>
        <w:div w:id="55471880">
          <w:marLeft w:val="480"/>
          <w:marRight w:val="0"/>
          <w:marTop w:val="0"/>
          <w:marBottom w:val="0"/>
          <w:divBdr>
            <w:top w:val="none" w:sz="0" w:space="0" w:color="auto"/>
            <w:left w:val="none" w:sz="0" w:space="0" w:color="auto"/>
            <w:bottom w:val="none" w:sz="0" w:space="0" w:color="auto"/>
            <w:right w:val="none" w:sz="0" w:space="0" w:color="auto"/>
          </w:divBdr>
        </w:div>
        <w:div w:id="1706295953">
          <w:marLeft w:val="480"/>
          <w:marRight w:val="0"/>
          <w:marTop w:val="0"/>
          <w:marBottom w:val="0"/>
          <w:divBdr>
            <w:top w:val="none" w:sz="0" w:space="0" w:color="auto"/>
            <w:left w:val="none" w:sz="0" w:space="0" w:color="auto"/>
            <w:bottom w:val="none" w:sz="0" w:space="0" w:color="auto"/>
            <w:right w:val="none" w:sz="0" w:space="0" w:color="auto"/>
          </w:divBdr>
        </w:div>
        <w:div w:id="819463707">
          <w:marLeft w:val="480"/>
          <w:marRight w:val="0"/>
          <w:marTop w:val="0"/>
          <w:marBottom w:val="0"/>
          <w:divBdr>
            <w:top w:val="none" w:sz="0" w:space="0" w:color="auto"/>
            <w:left w:val="none" w:sz="0" w:space="0" w:color="auto"/>
            <w:bottom w:val="none" w:sz="0" w:space="0" w:color="auto"/>
            <w:right w:val="none" w:sz="0" w:space="0" w:color="auto"/>
          </w:divBdr>
        </w:div>
        <w:div w:id="1655839962">
          <w:marLeft w:val="480"/>
          <w:marRight w:val="0"/>
          <w:marTop w:val="0"/>
          <w:marBottom w:val="0"/>
          <w:divBdr>
            <w:top w:val="none" w:sz="0" w:space="0" w:color="auto"/>
            <w:left w:val="none" w:sz="0" w:space="0" w:color="auto"/>
            <w:bottom w:val="none" w:sz="0" w:space="0" w:color="auto"/>
            <w:right w:val="none" w:sz="0" w:space="0" w:color="auto"/>
          </w:divBdr>
        </w:div>
        <w:div w:id="532113688">
          <w:marLeft w:val="480"/>
          <w:marRight w:val="0"/>
          <w:marTop w:val="0"/>
          <w:marBottom w:val="0"/>
          <w:divBdr>
            <w:top w:val="none" w:sz="0" w:space="0" w:color="auto"/>
            <w:left w:val="none" w:sz="0" w:space="0" w:color="auto"/>
            <w:bottom w:val="none" w:sz="0" w:space="0" w:color="auto"/>
            <w:right w:val="none" w:sz="0" w:space="0" w:color="auto"/>
          </w:divBdr>
        </w:div>
        <w:div w:id="538904354">
          <w:marLeft w:val="480"/>
          <w:marRight w:val="0"/>
          <w:marTop w:val="0"/>
          <w:marBottom w:val="0"/>
          <w:divBdr>
            <w:top w:val="none" w:sz="0" w:space="0" w:color="auto"/>
            <w:left w:val="none" w:sz="0" w:space="0" w:color="auto"/>
            <w:bottom w:val="none" w:sz="0" w:space="0" w:color="auto"/>
            <w:right w:val="none" w:sz="0" w:space="0" w:color="auto"/>
          </w:divBdr>
        </w:div>
        <w:div w:id="625891957">
          <w:marLeft w:val="480"/>
          <w:marRight w:val="0"/>
          <w:marTop w:val="0"/>
          <w:marBottom w:val="0"/>
          <w:divBdr>
            <w:top w:val="none" w:sz="0" w:space="0" w:color="auto"/>
            <w:left w:val="none" w:sz="0" w:space="0" w:color="auto"/>
            <w:bottom w:val="none" w:sz="0" w:space="0" w:color="auto"/>
            <w:right w:val="none" w:sz="0" w:space="0" w:color="auto"/>
          </w:divBdr>
        </w:div>
        <w:div w:id="894050512">
          <w:marLeft w:val="480"/>
          <w:marRight w:val="0"/>
          <w:marTop w:val="0"/>
          <w:marBottom w:val="0"/>
          <w:divBdr>
            <w:top w:val="none" w:sz="0" w:space="0" w:color="auto"/>
            <w:left w:val="none" w:sz="0" w:space="0" w:color="auto"/>
            <w:bottom w:val="none" w:sz="0" w:space="0" w:color="auto"/>
            <w:right w:val="none" w:sz="0" w:space="0" w:color="auto"/>
          </w:divBdr>
        </w:div>
        <w:div w:id="1348482009">
          <w:marLeft w:val="480"/>
          <w:marRight w:val="0"/>
          <w:marTop w:val="0"/>
          <w:marBottom w:val="0"/>
          <w:divBdr>
            <w:top w:val="none" w:sz="0" w:space="0" w:color="auto"/>
            <w:left w:val="none" w:sz="0" w:space="0" w:color="auto"/>
            <w:bottom w:val="none" w:sz="0" w:space="0" w:color="auto"/>
            <w:right w:val="none" w:sz="0" w:space="0" w:color="auto"/>
          </w:divBdr>
        </w:div>
        <w:div w:id="676998637">
          <w:marLeft w:val="480"/>
          <w:marRight w:val="0"/>
          <w:marTop w:val="0"/>
          <w:marBottom w:val="0"/>
          <w:divBdr>
            <w:top w:val="none" w:sz="0" w:space="0" w:color="auto"/>
            <w:left w:val="none" w:sz="0" w:space="0" w:color="auto"/>
            <w:bottom w:val="none" w:sz="0" w:space="0" w:color="auto"/>
            <w:right w:val="none" w:sz="0" w:space="0" w:color="auto"/>
          </w:divBdr>
        </w:div>
        <w:div w:id="1717507528">
          <w:marLeft w:val="480"/>
          <w:marRight w:val="0"/>
          <w:marTop w:val="0"/>
          <w:marBottom w:val="0"/>
          <w:divBdr>
            <w:top w:val="none" w:sz="0" w:space="0" w:color="auto"/>
            <w:left w:val="none" w:sz="0" w:space="0" w:color="auto"/>
            <w:bottom w:val="none" w:sz="0" w:space="0" w:color="auto"/>
            <w:right w:val="none" w:sz="0" w:space="0" w:color="auto"/>
          </w:divBdr>
        </w:div>
        <w:div w:id="1092819747">
          <w:marLeft w:val="480"/>
          <w:marRight w:val="0"/>
          <w:marTop w:val="0"/>
          <w:marBottom w:val="0"/>
          <w:divBdr>
            <w:top w:val="none" w:sz="0" w:space="0" w:color="auto"/>
            <w:left w:val="none" w:sz="0" w:space="0" w:color="auto"/>
            <w:bottom w:val="none" w:sz="0" w:space="0" w:color="auto"/>
            <w:right w:val="none" w:sz="0" w:space="0" w:color="auto"/>
          </w:divBdr>
        </w:div>
        <w:div w:id="535386152">
          <w:marLeft w:val="480"/>
          <w:marRight w:val="0"/>
          <w:marTop w:val="0"/>
          <w:marBottom w:val="0"/>
          <w:divBdr>
            <w:top w:val="none" w:sz="0" w:space="0" w:color="auto"/>
            <w:left w:val="none" w:sz="0" w:space="0" w:color="auto"/>
            <w:bottom w:val="none" w:sz="0" w:space="0" w:color="auto"/>
            <w:right w:val="none" w:sz="0" w:space="0" w:color="auto"/>
          </w:divBdr>
        </w:div>
        <w:div w:id="1664355967">
          <w:marLeft w:val="480"/>
          <w:marRight w:val="0"/>
          <w:marTop w:val="0"/>
          <w:marBottom w:val="0"/>
          <w:divBdr>
            <w:top w:val="none" w:sz="0" w:space="0" w:color="auto"/>
            <w:left w:val="none" w:sz="0" w:space="0" w:color="auto"/>
            <w:bottom w:val="none" w:sz="0" w:space="0" w:color="auto"/>
            <w:right w:val="none" w:sz="0" w:space="0" w:color="auto"/>
          </w:divBdr>
        </w:div>
        <w:div w:id="898902455">
          <w:marLeft w:val="480"/>
          <w:marRight w:val="0"/>
          <w:marTop w:val="0"/>
          <w:marBottom w:val="0"/>
          <w:divBdr>
            <w:top w:val="none" w:sz="0" w:space="0" w:color="auto"/>
            <w:left w:val="none" w:sz="0" w:space="0" w:color="auto"/>
            <w:bottom w:val="none" w:sz="0" w:space="0" w:color="auto"/>
            <w:right w:val="none" w:sz="0" w:space="0" w:color="auto"/>
          </w:divBdr>
        </w:div>
        <w:div w:id="1838229152">
          <w:marLeft w:val="480"/>
          <w:marRight w:val="0"/>
          <w:marTop w:val="0"/>
          <w:marBottom w:val="0"/>
          <w:divBdr>
            <w:top w:val="none" w:sz="0" w:space="0" w:color="auto"/>
            <w:left w:val="none" w:sz="0" w:space="0" w:color="auto"/>
            <w:bottom w:val="none" w:sz="0" w:space="0" w:color="auto"/>
            <w:right w:val="none" w:sz="0" w:space="0" w:color="auto"/>
          </w:divBdr>
        </w:div>
        <w:div w:id="936526395">
          <w:marLeft w:val="480"/>
          <w:marRight w:val="0"/>
          <w:marTop w:val="0"/>
          <w:marBottom w:val="0"/>
          <w:divBdr>
            <w:top w:val="none" w:sz="0" w:space="0" w:color="auto"/>
            <w:left w:val="none" w:sz="0" w:space="0" w:color="auto"/>
            <w:bottom w:val="none" w:sz="0" w:space="0" w:color="auto"/>
            <w:right w:val="none" w:sz="0" w:space="0" w:color="auto"/>
          </w:divBdr>
        </w:div>
        <w:div w:id="92482193">
          <w:marLeft w:val="480"/>
          <w:marRight w:val="0"/>
          <w:marTop w:val="0"/>
          <w:marBottom w:val="0"/>
          <w:divBdr>
            <w:top w:val="none" w:sz="0" w:space="0" w:color="auto"/>
            <w:left w:val="none" w:sz="0" w:space="0" w:color="auto"/>
            <w:bottom w:val="none" w:sz="0" w:space="0" w:color="auto"/>
            <w:right w:val="none" w:sz="0" w:space="0" w:color="auto"/>
          </w:divBdr>
        </w:div>
        <w:div w:id="2141916901">
          <w:marLeft w:val="480"/>
          <w:marRight w:val="0"/>
          <w:marTop w:val="0"/>
          <w:marBottom w:val="0"/>
          <w:divBdr>
            <w:top w:val="none" w:sz="0" w:space="0" w:color="auto"/>
            <w:left w:val="none" w:sz="0" w:space="0" w:color="auto"/>
            <w:bottom w:val="none" w:sz="0" w:space="0" w:color="auto"/>
            <w:right w:val="none" w:sz="0" w:space="0" w:color="auto"/>
          </w:divBdr>
        </w:div>
        <w:div w:id="784618237">
          <w:marLeft w:val="480"/>
          <w:marRight w:val="0"/>
          <w:marTop w:val="0"/>
          <w:marBottom w:val="0"/>
          <w:divBdr>
            <w:top w:val="none" w:sz="0" w:space="0" w:color="auto"/>
            <w:left w:val="none" w:sz="0" w:space="0" w:color="auto"/>
            <w:bottom w:val="none" w:sz="0" w:space="0" w:color="auto"/>
            <w:right w:val="none" w:sz="0" w:space="0" w:color="auto"/>
          </w:divBdr>
        </w:div>
        <w:div w:id="877401090">
          <w:marLeft w:val="480"/>
          <w:marRight w:val="0"/>
          <w:marTop w:val="0"/>
          <w:marBottom w:val="0"/>
          <w:divBdr>
            <w:top w:val="none" w:sz="0" w:space="0" w:color="auto"/>
            <w:left w:val="none" w:sz="0" w:space="0" w:color="auto"/>
            <w:bottom w:val="none" w:sz="0" w:space="0" w:color="auto"/>
            <w:right w:val="none" w:sz="0" w:space="0" w:color="auto"/>
          </w:divBdr>
        </w:div>
        <w:div w:id="630134233">
          <w:marLeft w:val="480"/>
          <w:marRight w:val="0"/>
          <w:marTop w:val="0"/>
          <w:marBottom w:val="0"/>
          <w:divBdr>
            <w:top w:val="none" w:sz="0" w:space="0" w:color="auto"/>
            <w:left w:val="none" w:sz="0" w:space="0" w:color="auto"/>
            <w:bottom w:val="none" w:sz="0" w:space="0" w:color="auto"/>
            <w:right w:val="none" w:sz="0" w:space="0" w:color="auto"/>
          </w:divBdr>
        </w:div>
        <w:div w:id="1392801585">
          <w:marLeft w:val="480"/>
          <w:marRight w:val="0"/>
          <w:marTop w:val="0"/>
          <w:marBottom w:val="0"/>
          <w:divBdr>
            <w:top w:val="none" w:sz="0" w:space="0" w:color="auto"/>
            <w:left w:val="none" w:sz="0" w:space="0" w:color="auto"/>
            <w:bottom w:val="none" w:sz="0" w:space="0" w:color="auto"/>
            <w:right w:val="none" w:sz="0" w:space="0" w:color="auto"/>
          </w:divBdr>
        </w:div>
        <w:div w:id="1971520615">
          <w:marLeft w:val="480"/>
          <w:marRight w:val="0"/>
          <w:marTop w:val="0"/>
          <w:marBottom w:val="0"/>
          <w:divBdr>
            <w:top w:val="none" w:sz="0" w:space="0" w:color="auto"/>
            <w:left w:val="none" w:sz="0" w:space="0" w:color="auto"/>
            <w:bottom w:val="none" w:sz="0" w:space="0" w:color="auto"/>
            <w:right w:val="none" w:sz="0" w:space="0" w:color="auto"/>
          </w:divBdr>
        </w:div>
        <w:div w:id="1375734988">
          <w:marLeft w:val="480"/>
          <w:marRight w:val="0"/>
          <w:marTop w:val="0"/>
          <w:marBottom w:val="0"/>
          <w:divBdr>
            <w:top w:val="none" w:sz="0" w:space="0" w:color="auto"/>
            <w:left w:val="none" w:sz="0" w:space="0" w:color="auto"/>
            <w:bottom w:val="none" w:sz="0" w:space="0" w:color="auto"/>
            <w:right w:val="none" w:sz="0" w:space="0" w:color="auto"/>
          </w:divBdr>
        </w:div>
        <w:div w:id="505484760">
          <w:marLeft w:val="480"/>
          <w:marRight w:val="0"/>
          <w:marTop w:val="0"/>
          <w:marBottom w:val="0"/>
          <w:divBdr>
            <w:top w:val="none" w:sz="0" w:space="0" w:color="auto"/>
            <w:left w:val="none" w:sz="0" w:space="0" w:color="auto"/>
            <w:bottom w:val="none" w:sz="0" w:space="0" w:color="auto"/>
            <w:right w:val="none" w:sz="0" w:space="0" w:color="auto"/>
          </w:divBdr>
        </w:div>
        <w:div w:id="716853569">
          <w:marLeft w:val="480"/>
          <w:marRight w:val="0"/>
          <w:marTop w:val="0"/>
          <w:marBottom w:val="0"/>
          <w:divBdr>
            <w:top w:val="none" w:sz="0" w:space="0" w:color="auto"/>
            <w:left w:val="none" w:sz="0" w:space="0" w:color="auto"/>
            <w:bottom w:val="none" w:sz="0" w:space="0" w:color="auto"/>
            <w:right w:val="none" w:sz="0" w:space="0" w:color="auto"/>
          </w:divBdr>
        </w:div>
        <w:div w:id="1482425881">
          <w:marLeft w:val="480"/>
          <w:marRight w:val="0"/>
          <w:marTop w:val="0"/>
          <w:marBottom w:val="0"/>
          <w:divBdr>
            <w:top w:val="none" w:sz="0" w:space="0" w:color="auto"/>
            <w:left w:val="none" w:sz="0" w:space="0" w:color="auto"/>
            <w:bottom w:val="none" w:sz="0" w:space="0" w:color="auto"/>
            <w:right w:val="none" w:sz="0" w:space="0" w:color="auto"/>
          </w:divBdr>
        </w:div>
        <w:div w:id="1325016326">
          <w:marLeft w:val="480"/>
          <w:marRight w:val="0"/>
          <w:marTop w:val="0"/>
          <w:marBottom w:val="0"/>
          <w:divBdr>
            <w:top w:val="none" w:sz="0" w:space="0" w:color="auto"/>
            <w:left w:val="none" w:sz="0" w:space="0" w:color="auto"/>
            <w:bottom w:val="none" w:sz="0" w:space="0" w:color="auto"/>
            <w:right w:val="none" w:sz="0" w:space="0" w:color="auto"/>
          </w:divBdr>
        </w:div>
        <w:div w:id="1352148637">
          <w:marLeft w:val="480"/>
          <w:marRight w:val="0"/>
          <w:marTop w:val="0"/>
          <w:marBottom w:val="0"/>
          <w:divBdr>
            <w:top w:val="none" w:sz="0" w:space="0" w:color="auto"/>
            <w:left w:val="none" w:sz="0" w:space="0" w:color="auto"/>
            <w:bottom w:val="none" w:sz="0" w:space="0" w:color="auto"/>
            <w:right w:val="none" w:sz="0" w:space="0" w:color="auto"/>
          </w:divBdr>
        </w:div>
        <w:div w:id="1609972216">
          <w:marLeft w:val="480"/>
          <w:marRight w:val="0"/>
          <w:marTop w:val="0"/>
          <w:marBottom w:val="0"/>
          <w:divBdr>
            <w:top w:val="none" w:sz="0" w:space="0" w:color="auto"/>
            <w:left w:val="none" w:sz="0" w:space="0" w:color="auto"/>
            <w:bottom w:val="none" w:sz="0" w:space="0" w:color="auto"/>
            <w:right w:val="none" w:sz="0" w:space="0" w:color="auto"/>
          </w:divBdr>
        </w:div>
        <w:div w:id="2096974475">
          <w:marLeft w:val="480"/>
          <w:marRight w:val="0"/>
          <w:marTop w:val="0"/>
          <w:marBottom w:val="0"/>
          <w:divBdr>
            <w:top w:val="none" w:sz="0" w:space="0" w:color="auto"/>
            <w:left w:val="none" w:sz="0" w:space="0" w:color="auto"/>
            <w:bottom w:val="none" w:sz="0" w:space="0" w:color="auto"/>
            <w:right w:val="none" w:sz="0" w:space="0" w:color="auto"/>
          </w:divBdr>
        </w:div>
        <w:div w:id="27026141">
          <w:marLeft w:val="480"/>
          <w:marRight w:val="0"/>
          <w:marTop w:val="0"/>
          <w:marBottom w:val="0"/>
          <w:divBdr>
            <w:top w:val="none" w:sz="0" w:space="0" w:color="auto"/>
            <w:left w:val="none" w:sz="0" w:space="0" w:color="auto"/>
            <w:bottom w:val="none" w:sz="0" w:space="0" w:color="auto"/>
            <w:right w:val="none" w:sz="0" w:space="0" w:color="auto"/>
          </w:divBdr>
        </w:div>
        <w:div w:id="146092577">
          <w:marLeft w:val="480"/>
          <w:marRight w:val="0"/>
          <w:marTop w:val="0"/>
          <w:marBottom w:val="0"/>
          <w:divBdr>
            <w:top w:val="none" w:sz="0" w:space="0" w:color="auto"/>
            <w:left w:val="none" w:sz="0" w:space="0" w:color="auto"/>
            <w:bottom w:val="none" w:sz="0" w:space="0" w:color="auto"/>
            <w:right w:val="none" w:sz="0" w:space="0" w:color="auto"/>
          </w:divBdr>
        </w:div>
        <w:div w:id="432674545">
          <w:marLeft w:val="480"/>
          <w:marRight w:val="0"/>
          <w:marTop w:val="0"/>
          <w:marBottom w:val="0"/>
          <w:divBdr>
            <w:top w:val="none" w:sz="0" w:space="0" w:color="auto"/>
            <w:left w:val="none" w:sz="0" w:space="0" w:color="auto"/>
            <w:bottom w:val="none" w:sz="0" w:space="0" w:color="auto"/>
            <w:right w:val="none" w:sz="0" w:space="0" w:color="auto"/>
          </w:divBdr>
        </w:div>
        <w:div w:id="555552363">
          <w:marLeft w:val="480"/>
          <w:marRight w:val="0"/>
          <w:marTop w:val="0"/>
          <w:marBottom w:val="0"/>
          <w:divBdr>
            <w:top w:val="none" w:sz="0" w:space="0" w:color="auto"/>
            <w:left w:val="none" w:sz="0" w:space="0" w:color="auto"/>
            <w:bottom w:val="none" w:sz="0" w:space="0" w:color="auto"/>
            <w:right w:val="none" w:sz="0" w:space="0" w:color="auto"/>
          </w:divBdr>
        </w:div>
        <w:div w:id="810825122">
          <w:marLeft w:val="480"/>
          <w:marRight w:val="0"/>
          <w:marTop w:val="0"/>
          <w:marBottom w:val="0"/>
          <w:divBdr>
            <w:top w:val="none" w:sz="0" w:space="0" w:color="auto"/>
            <w:left w:val="none" w:sz="0" w:space="0" w:color="auto"/>
            <w:bottom w:val="none" w:sz="0" w:space="0" w:color="auto"/>
            <w:right w:val="none" w:sz="0" w:space="0" w:color="auto"/>
          </w:divBdr>
        </w:div>
        <w:div w:id="1400834111">
          <w:marLeft w:val="480"/>
          <w:marRight w:val="0"/>
          <w:marTop w:val="0"/>
          <w:marBottom w:val="0"/>
          <w:divBdr>
            <w:top w:val="none" w:sz="0" w:space="0" w:color="auto"/>
            <w:left w:val="none" w:sz="0" w:space="0" w:color="auto"/>
            <w:bottom w:val="none" w:sz="0" w:space="0" w:color="auto"/>
            <w:right w:val="none" w:sz="0" w:space="0" w:color="auto"/>
          </w:divBdr>
        </w:div>
        <w:div w:id="1966891079">
          <w:marLeft w:val="480"/>
          <w:marRight w:val="0"/>
          <w:marTop w:val="0"/>
          <w:marBottom w:val="0"/>
          <w:divBdr>
            <w:top w:val="none" w:sz="0" w:space="0" w:color="auto"/>
            <w:left w:val="none" w:sz="0" w:space="0" w:color="auto"/>
            <w:bottom w:val="none" w:sz="0" w:space="0" w:color="auto"/>
            <w:right w:val="none" w:sz="0" w:space="0" w:color="auto"/>
          </w:divBdr>
        </w:div>
        <w:div w:id="1822579667">
          <w:marLeft w:val="480"/>
          <w:marRight w:val="0"/>
          <w:marTop w:val="0"/>
          <w:marBottom w:val="0"/>
          <w:divBdr>
            <w:top w:val="none" w:sz="0" w:space="0" w:color="auto"/>
            <w:left w:val="none" w:sz="0" w:space="0" w:color="auto"/>
            <w:bottom w:val="none" w:sz="0" w:space="0" w:color="auto"/>
            <w:right w:val="none" w:sz="0" w:space="0" w:color="auto"/>
          </w:divBdr>
        </w:div>
        <w:div w:id="1765613402">
          <w:marLeft w:val="480"/>
          <w:marRight w:val="0"/>
          <w:marTop w:val="0"/>
          <w:marBottom w:val="0"/>
          <w:divBdr>
            <w:top w:val="none" w:sz="0" w:space="0" w:color="auto"/>
            <w:left w:val="none" w:sz="0" w:space="0" w:color="auto"/>
            <w:bottom w:val="none" w:sz="0" w:space="0" w:color="auto"/>
            <w:right w:val="none" w:sz="0" w:space="0" w:color="auto"/>
          </w:divBdr>
        </w:div>
        <w:div w:id="510414192">
          <w:marLeft w:val="480"/>
          <w:marRight w:val="0"/>
          <w:marTop w:val="0"/>
          <w:marBottom w:val="0"/>
          <w:divBdr>
            <w:top w:val="none" w:sz="0" w:space="0" w:color="auto"/>
            <w:left w:val="none" w:sz="0" w:space="0" w:color="auto"/>
            <w:bottom w:val="none" w:sz="0" w:space="0" w:color="auto"/>
            <w:right w:val="none" w:sz="0" w:space="0" w:color="auto"/>
          </w:divBdr>
        </w:div>
        <w:div w:id="1172989174">
          <w:marLeft w:val="480"/>
          <w:marRight w:val="0"/>
          <w:marTop w:val="0"/>
          <w:marBottom w:val="0"/>
          <w:divBdr>
            <w:top w:val="none" w:sz="0" w:space="0" w:color="auto"/>
            <w:left w:val="none" w:sz="0" w:space="0" w:color="auto"/>
            <w:bottom w:val="none" w:sz="0" w:space="0" w:color="auto"/>
            <w:right w:val="none" w:sz="0" w:space="0" w:color="auto"/>
          </w:divBdr>
        </w:div>
        <w:div w:id="112870244">
          <w:marLeft w:val="480"/>
          <w:marRight w:val="0"/>
          <w:marTop w:val="0"/>
          <w:marBottom w:val="0"/>
          <w:divBdr>
            <w:top w:val="none" w:sz="0" w:space="0" w:color="auto"/>
            <w:left w:val="none" w:sz="0" w:space="0" w:color="auto"/>
            <w:bottom w:val="none" w:sz="0" w:space="0" w:color="auto"/>
            <w:right w:val="none" w:sz="0" w:space="0" w:color="auto"/>
          </w:divBdr>
        </w:div>
        <w:div w:id="810369992">
          <w:marLeft w:val="480"/>
          <w:marRight w:val="0"/>
          <w:marTop w:val="0"/>
          <w:marBottom w:val="0"/>
          <w:divBdr>
            <w:top w:val="none" w:sz="0" w:space="0" w:color="auto"/>
            <w:left w:val="none" w:sz="0" w:space="0" w:color="auto"/>
            <w:bottom w:val="none" w:sz="0" w:space="0" w:color="auto"/>
            <w:right w:val="none" w:sz="0" w:space="0" w:color="auto"/>
          </w:divBdr>
        </w:div>
        <w:div w:id="290329677">
          <w:marLeft w:val="480"/>
          <w:marRight w:val="0"/>
          <w:marTop w:val="0"/>
          <w:marBottom w:val="0"/>
          <w:divBdr>
            <w:top w:val="none" w:sz="0" w:space="0" w:color="auto"/>
            <w:left w:val="none" w:sz="0" w:space="0" w:color="auto"/>
            <w:bottom w:val="none" w:sz="0" w:space="0" w:color="auto"/>
            <w:right w:val="none" w:sz="0" w:space="0" w:color="auto"/>
          </w:divBdr>
        </w:div>
        <w:div w:id="923881201">
          <w:marLeft w:val="480"/>
          <w:marRight w:val="0"/>
          <w:marTop w:val="0"/>
          <w:marBottom w:val="0"/>
          <w:divBdr>
            <w:top w:val="none" w:sz="0" w:space="0" w:color="auto"/>
            <w:left w:val="none" w:sz="0" w:space="0" w:color="auto"/>
            <w:bottom w:val="none" w:sz="0" w:space="0" w:color="auto"/>
            <w:right w:val="none" w:sz="0" w:space="0" w:color="auto"/>
          </w:divBdr>
        </w:div>
        <w:div w:id="1139304204">
          <w:marLeft w:val="480"/>
          <w:marRight w:val="0"/>
          <w:marTop w:val="0"/>
          <w:marBottom w:val="0"/>
          <w:divBdr>
            <w:top w:val="none" w:sz="0" w:space="0" w:color="auto"/>
            <w:left w:val="none" w:sz="0" w:space="0" w:color="auto"/>
            <w:bottom w:val="none" w:sz="0" w:space="0" w:color="auto"/>
            <w:right w:val="none" w:sz="0" w:space="0" w:color="auto"/>
          </w:divBdr>
        </w:div>
        <w:div w:id="1024556791">
          <w:marLeft w:val="480"/>
          <w:marRight w:val="0"/>
          <w:marTop w:val="0"/>
          <w:marBottom w:val="0"/>
          <w:divBdr>
            <w:top w:val="none" w:sz="0" w:space="0" w:color="auto"/>
            <w:left w:val="none" w:sz="0" w:space="0" w:color="auto"/>
            <w:bottom w:val="none" w:sz="0" w:space="0" w:color="auto"/>
            <w:right w:val="none" w:sz="0" w:space="0" w:color="auto"/>
          </w:divBdr>
        </w:div>
        <w:div w:id="479349598">
          <w:marLeft w:val="480"/>
          <w:marRight w:val="0"/>
          <w:marTop w:val="0"/>
          <w:marBottom w:val="0"/>
          <w:divBdr>
            <w:top w:val="none" w:sz="0" w:space="0" w:color="auto"/>
            <w:left w:val="none" w:sz="0" w:space="0" w:color="auto"/>
            <w:bottom w:val="none" w:sz="0" w:space="0" w:color="auto"/>
            <w:right w:val="none" w:sz="0" w:space="0" w:color="auto"/>
          </w:divBdr>
        </w:div>
        <w:div w:id="1872299282">
          <w:marLeft w:val="480"/>
          <w:marRight w:val="0"/>
          <w:marTop w:val="0"/>
          <w:marBottom w:val="0"/>
          <w:divBdr>
            <w:top w:val="none" w:sz="0" w:space="0" w:color="auto"/>
            <w:left w:val="none" w:sz="0" w:space="0" w:color="auto"/>
            <w:bottom w:val="none" w:sz="0" w:space="0" w:color="auto"/>
            <w:right w:val="none" w:sz="0" w:space="0" w:color="auto"/>
          </w:divBdr>
        </w:div>
      </w:divsChild>
    </w:div>
    <w:div w:id="753861270">
      <w:bodyDiv w:val="1"/>
      <w:marLeft w:val="0"/>
      <w:marRight w:val="0"/>
      <w:marTop w:val="0"/>
      <w:marBottom w:val="0"/>
      <w:divBdr>
        <w:top w:val="none" w:sz="0" w:space="0" w:color="auto"/>
        <w:left w:val="none" w:sz="0" w:space="0" w:color="auto"/>
        <w:bottom w:val="none" w:sz="0" w:space="0" w:color="auto"/>
        <w:right w:val="none" w:sz="0" w:space="0" w:color="auto"/>
      </w:divBdr>
    </w:div>
    <w:div w:id="754979797">
      <w:bodyDiv w:val="1"/>
      <w:marLeft w:val="0"/>
      <w:marRight w:val="0"/>
      <w:marTop w:val="0"/>
      <w:marBottom w:val="0"/>
      <w:divBdr>
        <w:top w:val="none" w:sz="0" w:space="0" w:color="auto"/>
        <w:left w:val="none" w:sz="0" w:space="0" w:color="auto"/>
        <w:bottom w:val="none" w:sz="0" w:space="0" w:color="auto"/>
        <w:right w:val="none" w:sz="0" w:space="0" w:color="auto"/>
      </w:divBdr>
    </w:div>
    <w:div w:id="755442285">
      <w:bodyDiv w:val="1"/>
      <w:marLeft w:val="0"/>
      <w:marRight w:val="0"/>
      <w:marTop w:val="0"/>
      <w:marBottom w:val="0"/>
      <w:divBdr>
        <w:top w:val="none" w:sz="0" w:space="0" w:color="auto"/>
        <w:left w:val="none" w:sz="0" w:space="0" w:color="auto"/>
        <w:bottom w:val="none" w:sz="0" w:space="0" w:color="auto"/>
        <w:right w:val="none" w:sz="0" w:space="0" w:color="auto"/>
      </w:divBdr>
    </w:div>
    <w:div w:id="755708237">
      <w:bodyDiv w:val="1"/>
      <w:marLeft w:val="0"/>
      <w:marRight w:val="0"/>
      <w:marTop w:val="0"/>
      <w:marBottom w:val="0"/>
      <w:divBdr>
        <w:top w:val="none" w:sz="0" w:space="0" w:color="auto"/>
        <w:left w:val="none" w:sz="0" w:space="0" w:color="auto"/>
        <w:bottom w:val="none" w:sz="0" w:space="0" w:color="auto"/>
        <w:right w:val="none" w:sz="0" w:space="0" w:color="auto"/>
      </w:divBdr>
    </w:div>
    <w:div w:id="755974413">
      <w:bodyDiv w:val="1"/>
      <w:marLeft w:val="0"/>
      <w:marRight w:val="0"/>
      <w:marTop w:val="0"/>
      <w:marBottom w:val="0"/>
      <w:divBdr>
        <w:top w:val="none" w:sz="0" w:space="0" w:color="auto"/>
        <w:left w:val="none" w:sz="0" w:space="0" w:color="auto"/>
        <w:bottom w:val="none" w:sz="0" w:space="0" w:color="auto"/>
        <w:right w:val="none" w:sz="0" w:space="0" w:color="auto"/>
      </w:divBdr>
    </w:div>
    <w:div w:id="756024214">
      <w:bodyDiv w:val="1"/>
      <w:marLeft w:val="0"/>
      <w:marRight w:val="0"/>
      <w:marTop w:val="0"/>
      <w:marBottom w:val="0"/>
      <w:divBdr>
        <w:top w:val="none" w:sz="0" w:space="0" w:color="auto"/>
        <w:left w:val="none" w:sz="0" w:space="0" w:color="auto"/>
        <w:bottom w:val="none" w:sz="0" w:space="0" w:color="auto"/>
        <w:right w:val="none" w:sz="0" w:space="0" w:color="auto"/>
      </w:divBdr>
    </w:div>
    <w:div w:id="756096727">
      <w:bodyDiv w:val="1"/>
      <w:marLeft w:val="0"/>
      <w:marRight w:val="0"/>
      <w:marTop w:val="0"/>
      <w:marBottom w:val="0"/>
      <w:divBdr>
        <w:top w:val="none" w:sz="0" w:space="0" w:color="auto"/>
        <w:left w:val="none" w:sz="0" w:space="0" w:color="auto"/>
        <w:bottom w:val="none" w:sz="0" w:space="0" w:color="auto"/>
        <w:right w:val="none" w:sz="0" w:space="0" w:color="auto"/>
      </w:divBdr>
    </w:div>
    <w:div w:id="757019555">
      <w:bodyDiv w:val="1"/>
      <w:marLeft w:val="0"/>
      <w:marRight w:val="0"/>
      <w:marTop w:val="0"/>
      <w:marBottom w:val="0"/>
      <w:divBdr>
        <w:top w:val="none" w:sz="0" w:space="0" w:color="auto"/>
        <w:left w:val="none" w:sz="0" w:space="0" w:color="auto"/>
        <w:bottom w:val="none" w:sz="0" w:space="0" w:color="auto"/>
        <w:right w:val="none" w:sz="0" w:space="0" w:color="auto"/>
      </w:divBdr>
    </w:div>
    <w:div w:id="757562459">
      <w:bodyDiv w:val="1"/>
      <w:marLeft w:val="0"/>
      <w:marRight w:val="0"/>
      <w:marTop w:val="0"/>
      <w:marBottom w:val="0"/>
      <w:divBdr>
        <w:top w:val="none" w:sz="0" w:space="0" w:color="auto"/>
        <w:left w:val="none" w:sz="0" w:space="0" w:color="auto"/>
        <w:bottom w:val="none" w:sz="0" w:space="0" w:color="auto"/>
        <w:right w:val="none" w:sz="0" w:space="0" w:color="auto"/>
      </w:divBdr>
    </w:div>
    <w:div w:id="758062984">
      <w:bodyDiv w:val="1"/>
      <w:marLeft w:val="0"/>
      <w:marRight w:val="0"/>
      <w:marTop w:val="0"/>
      <w:marBottom w:val="0"/>
      <w:divBdr>
        <w:top w:val="none" w:sz="0" w:space="0" w:color="auto"/>
        <w:left w:val="none" w:sz="0" w:space="0" w:color="auto"/>
        <w:bottom w:val="none" w:sz="0" w:space="0" w:color="auto"/>
        <w:right w:val="none" w:sz="0" w:space="0" w:color="auto"/>
      </w:divBdr>
    </w:div>
    <w:div w:id="759183797">
      <w:bodyDiv w:val="1"/>
      <w:marLeft w:val="0"/>
      <w:marRight w:val="0"/>
      <w:marTop w:val="0"/>
      <w:marBottom w:val="0"/>
      <w:divBdr>
        <w:top w:val="none" w:sz="0" w:space="0" w:color="auto"/>
        <w:left w:val="none" w:sz="0" w:space="0" w:color="auto"/>
        <w:bottom w:val="none" w:sz="0" w:space="0" w:color="auto"/>
        <w:right w:val="none" w:sz="0" w:space="0" w:color="auto"/>
      </w:divBdr>
    </w:div>
    <w:div w:id="760174860">
      <w:bodyDiv w:val="1"/>
      <w:marLeft w:val="0"/>
      <w:marRight w:val="0"/>
      <w:marTop w:val="0"/>
      <w:marBottom w:val="0"/>
      <w:divBdr>
        <w:top w:val="none" w:sz="0" w:space="0" w:color="auto"/>
        <w:left w:val="none" w:sz="0" w:space="0" w:color="auto"/>
        <w:bottom w:val="none" w:sz="0" w:space="0" w:color="auto"/>
        <w:right w:val="none" w:sz="0" w:space="0" w:color="auto"/>
      </w:divBdr>
    </w:div>
    <w:div w:id="760369074">
      <w:bodyDiv w:val="1"/>
      <w:marLeft w:val="0"/>
      <w:marRight w:val="0"/>
      <w:marTop w:val="0"/>
      <w:marBottom w:val="0"/>
      <w:divBdr>
        <w:top w:val="none" w:sz="0" w:space="0" w:color="auto"/>
        <w:left w:val="none" w:sz="0" w:space="0" w:color="auto"/>
        <w:bottom w:val="none" w:sz="0" w:space="0" w:color="auto"/>
        <w:right w:val="none" w:sz="0" w:space="0" w:color="auto"/>
      </w:divBdr>
    </w:div>
    <w:div w:id="761101006">
      <w:bodyDiv w:val="1"/>
      <w:marLeft w:val="0"/>
      <w:marRight w:val="0"/>
      <w:marTop w:val="0"/>
      <w:marBottom w:val="0"/>
      <w:divBdr>
        <w:top w:val="none" w:sz="0" w:space="0" w:color="auto"/>
        <w:left w:val="none" w:sz="0" w:space="0" w:color="auto"/>
        <w:bottom w:val="none" w:sz="0" w:space="0" w:color="auto"/>
        <w:right w:val="none" w:sz="0" w:space="0" w:color="auto"/>
      </w:divBdr>
    </w:div>
    <w:div w:id="761725791">
      <w:bodyDiv w:val="1"/>
      <w:marLeft w:val="0"/>
      <w:marRight w:val="0"/>
      <w:marTop w:val="0"/>
      <w:marBottom w:val="0"/>
      <w:divBdr>
        <w:top w:val="none" w:sz="0" w:space="0" w:color="auto"/>
        <w:left w:val="none" w:sz="0" w:space="0" w:color="auto"/>
        <w:bottom w:val="none" w:sz="0" w:space="0" w:color="auto"/>
        <w:right w:val="none" w:sz="0" w:space="0" w:color="auto"/>
      </w:divBdr>
    </w:div>
    <w:div w:id="761877422">
      <w:bodyDiv w:val="1"/>
      <w:marLeft w:val="0"/>
      <w:marRight w:val="0"/>
      <w:marTop w:val="0"/>
      <w:marBottom w:val="0"/>
      <w:divBdr>
        <w:top w:val="none" w:sz="0" w:space="0" w:color="auto"/>
        <w:left w:val="none" w:sz="0" w:space="0" w:color="auto"/>
        <w:bottom w:val="none" w:sz="0" w:space="0" w:color="auto"/>
        <w:right w:val="none" w:sz="0" w:space="0" w:color="auto"/>
      </w:divBdr>
    </w:div>
    <w:div w:id="763460023">
      <w:bodyDiv w:val="1"/>
      <w:marLeft w:val="0"/>
      <w:marRight w:val="0"/>
      <w:marTop w:val="0"/>
      <w:marBottom w:val="0"/>
      <w:divBdr>
        <w:top w:val="none" w:sz="0" w:space="0" w:color="auto"/>
        <w:left w:val="none" w:sz="0" w:space="0" w:color="auto"/>
        <w:bottom w:val="none" w:sz="0" w:space="0" w:color="auto"/>
        <w:right w:val="none" w:sz="0" w:space="0" w:color="auto"/>
      </w:divBdr>
    </w:div>
    <w:div w:id="763496197">
      <w:bodyDiv w:val="1"/>
      <w:marLeft w:val="0"/>
      <w:marRight w:val="0"/>
      <w:marTop w:val="0"/>
      <w:marBottom w:val="0"/>
      <w:divBdr>
        <w:top w:val="none" w:sz="0" w:space="0" w:color="auto"/>
        <w:left w:val="none" w:sz="0" w:space="0" w:color="auto"/>
        <w:bottom w:val="none" w:sz="0" w:space="0" w:color="auto"/>
        <w:right w:val="none" w:sz="0" w:space="0" w:color="auto"/>
      </w:divBdr>
    </w:div>
    <w:div w:id="764152953">
      <w:bodyDiv w:val="1"/>
      <w:marLeft w:val="0"/>
      <w:marRight w:val="0"/>
      <w:marTop w:val="0"/>
      <w:marBottom w:val="0"/>
      <w:divBdr>
        <w:top w:val="none" w:sz="0" w:space="0" w:color="auto"/>
        <w:left w:val="none" w:sz="0" w:space="0" w:color="auto"/>
        <w:bottom w:val="none" w:sz="0" w:space="0" w:color="auto"/>
        <w:right w:val="none" w:sz="0" w:space="0" w:color="auto"/>
      </w:divBdr>
    </w:div>
    <w:div w:id="764418833">
      <w:bodyDiv w:val="1"/>
      <w:marLeft w:val="0"/>
      <w:marRight w:val="0"/>
      <w:marTop w:val="0"/>
      <w:marBottom w:val="0"/>
      <w:divBdr>
        <w:top w:val="none" w:sz="0" w:space="0" w:color="auto"/>
        <w:left w:val="none" w:sz="0" w:space="0" w:color="auto"/>
        <w:bottom w:val="none" w:sz="0" w:space="0" w:color="auto"/>
        <w:right w:val="none" w:sz="0" w:space="0" w:color="auto"/>
      </w:divBdr>
    </w:div>
    <w:div w:id="764616543">
      <w:bodyDiv w:val="1"/>
      <w:marLeft w:val="0"/>
      <w:marRight w:val="0"/>
      <w:marTop w:val="0"/>
      <w:marBottom w:val="0"/>
      <w:divBdr>
        <w:top w:val="none" w:sz="0" w:space="0" w:color="auto"/>
        <w:left w:val="none" w:sz="0" w:space="0" w:color="auto"/>
        <w:bottom w:val="none" w:sz="0" w:space="0" w:color="auto"/>
        <w:right w:val="none" w:sz="0" w:space="0" w:color="auto"/>
      </w:divBdr>
    </w:div>
    <w:div w:id="765228931">
      <w:bodyDiv w:val="1"/>
      <w:marLeft w:val="0"/>
      <w:marRight w:val="0"/>
      <w:marTop w:val="0"/>
      <w:marBottom w:val="0"/>
      <w:divBdr>
        <w:top w:val="none" w:sz="0" w:space="0" w:color="auto"/>
        <w:left w:val="none" w:sz="0" w:space="0" w:color="auto"/>
        <w:bottom w:val="none" w:sz="0" w:space="0" w:color="auto"/>
        <w:right w:val="none" w:sz="0" w:space="0" w:color="auto"/>
      </w:divBdr>
    </w:div>
    <w:div w:id="766584499">
      <w:bodyDiv w:val="1"/>
      <w:marLeft w:val="0"/>
      <w:marRight w:val="0"/>
      <w:marTop w:val="0"/>
      <w:marBottom w:val="0"/>
      <w:divBdr>
        <w:top w:val="none" w:sz="0" w:space="0" w:color="auto"/>
        <w:left w:val="none" w:sz="0" w:space="0" w:color="auto"/>
        <w:bottom w:val="none" w:sz="0" w:space="0" w:color="auto"/>
        <w:right w:val="none" w:sz="0" w:space="0" w:color="auto"/>
      </w:divBdr>
    </w:div>
    <w:div w:id="767389936">
      <w:bodyDiv w:val="1"/>
      <w:marLeft w:val="0"/>
      <w:marRight w:val="0"/>
      <w:marTop w:val="0"/>
      <w:marBottom w:val="0"/>
      <w:divBdr>
        <w:top w:val="none" w:sz="0" w:space="0" w:color="auto"/>
        <w:left w:val="none" w:sz="0" w:space="0" w:color="auto"/>
        <w:bottom w:val="none" w:sz="0" w:space="0" w:color="auto"/>
        <w:right w:val="none" w:sz="0" w:space="0" w:color="auto"/>
      </w:divBdr>
    </w:div>
    <w:div w:id="767624264">
      <w:bodyDiv w:val="1"/>
      <w:marLeft w:val="0"/>
      <w:marRight w:val="0"/>
      <w:marTop w:val="0"/>
      <w:marBottom w:val="0"/>
      <w:divBdr>
        <w:top w:val="none" w:sz="0" w:space="0" w:color="auto"/>
        <w:left w:val="none" w:sz="0" w:space="0" w:color="auto"/>
        <w:bottom w:val="none" w:sz="0" w:space="0" w:color="auto"/>
        <w:right w:val="none" w:sz="0" w:space="0" w:color="auto"/>
      </w:divBdr>
    </w:div>
    <w:div w:id="767653572">
      <w:bodyDiv w:val="1"/>
      <w:marLeft w:val="0"/>
      <w:marRight w:val="0"/>
      <w:marTop w:val="0"/>
      <w:marBottom w:val="0"/>
      <w:divBdr>
        <w:top w:val="none" w:sz="0" w:space="0" w:color="auto"/>
        <w:left w:val="none" w:sz="0" w:space="0" w:color="auto"/>
        <w:bottom w:val="none" w:sz="0" w:space="0" w:color="auto"/>
        <w:right w:val="none" w:sz="0" w:space="0" w:color="auto"/>
      </w:divBdr>
    </w:div>
    <w:div w:id="767702418">
      <w:bodyDiv w:val="1"/>
      <w:marLeft w:val="0"/>
      <w:marRight w:val="0"/>
      <w:marTop w:val="0"/>
      <w:marBottom w:val="0"/>
      <w:divBdr>
        <w:top w:val="none" w:sz="0" w:space="0" w:color="auto"/>
        <w:left w:val="none" w:sz="0" w:space="0" w:color="auto"/>
        <w:bottom w:val="none" w:sz="0" w:space="0" w:color="auto"/>
        <w:right w:val="none" w:sz="0" w:space="0" w:color="auto"/>
      </w:divBdr>
    </w:div>
    <w:div w:id="768085355">
      <w:bodyDiv w:val="1"/>
      <w:marLeft w:val="0"/>
      <w:marRight w:val="0"/>
      <w:marTop w:val="0"/>
      <w:marBottom w:val="0"/>
      <w:divBdr>
        <w:top w:val="none" w:sz="0" w:space="0" w:color="auto"/>
        <w:left w:val="none" w:sz="0" w:space="0" w:color="auto"/>
        <w:bottom w:val="none" w:sz="0" w:space="0" w:color="auto"/>
        <w:right w:val="none" w:sz="0" w:space="0" w:color="auto"/>
      </w:divBdr>
    </w:div>
    <w:div w:id="768308995">
      <w:bodyDiv w:val="1"/>
      <w:marLeft w:val="0"/>
      <w:marRight w:val="0"/>
      <w:marTop w:val="0"/>
      <w:marBottom w:val="0"/>
      <w:divBdr>
        <w:top w:val="none" w:sz="0" w:space="0" w:color="auto"/>
        <w:left w:val="none" w:sz="0" w:space="0" w:color="auto"/>
        <w:bottom w:val="none" w:sz="0" w:space="0" w:color="auto"/>
        <w:right w:val="none" w:sz="0" w:space="0" w:color="auto"/>
      </w:divBdr>
    </w:div>
    <w:div w:id="769467579">
      <w:bodyDiv w:val="1"/>
      <w:marLeft w:val="0"/>
      <w:marRight w:val="0"/>
      <w:marTop w:val="0"/>
      <w:marBottom w:val="0"/>
      <w:divBdr>
        <w:top w:val="none" w:sz="0" w:space="0" w:color="auto"/>
        <w:left w:val="none" w:sz="0" w:space="0" w:color="auto"/>
        <w:bottom w:val="none" w:sz="0" w:space="0" w:color="auto"/>
        <w:right w:val="none" w:sz="0" w:space="0" w:color="auto"/>
      </w:divBdr>
    </w:div>
    <w:div w:id="769858473">
      <w:bodyDiv w:val="1"/>
      <w:marLeft w:val="0"/>
      <w:marRight w:val="0"/>
      <w:marTop w:val="0"/>
      <w:marBottom w:val="0"/>
      <w:divBdr>
        <w:top w:val="none" w:sz="0" w:space="0" w:color="auto"/>
        <w:left w:val="none" w:sz="0" w:space="0" w:color="auto"/>
        <w:bottom w:val="none" w:sz="0" w:space="0" w:color="auto"/>
        <w:right w:val="none" w:sz="0" w:space="0" w:color="auto"/>
      </w:divBdr>
    </w:div>
    <w:div w:id="770009066">
      <w:bodyDiv w:val="1"/>
      <w:marLeft w:val="0"/>
      <w:marRight w:val="0"/>
      <w:marTop w:val="0"/>
      <w:marBottom w:val="0"/>
      <w:divBdr>
        <w:top w:val="none" w:sz="0" w:space="0" w:color="auto"/>
        <w:left w:val="none" w:sz="0" w:space="0" w:color="auto"/>
        <w:bottom w:val="none" w:sz="0" w:space="0" w:color="auto"/>
        <w:right w:val="none" w:sz="0" w:space="0" w:color="auto"/>
      </w:divBdr>
    </w:div>
    <w:div w:id="770049094">
      <w:bodyDiv w:val="1"/>
      <w:marLeft w:val="0"/>
      <w:marRight w:val="0"/>
      <w:marTop w:val="0"/>
      <w:marBottom w:val="0"/>
      <w:divBdr>
        <w:top w:val="none" w:sz="0" w:space="0" w:color="auto"/>
        <w:left w:val="none" w:sz="0" w:space="0" w:color="auto"/>
        <w:bottom w:val="none" w:sz="0" w:space="0" w:color="auto"/>
        <w:right w:val="none" w:sz="0" w:space="0" w:color="auto"/>
      </w:divBdr>
    </w:div>
    <w:div w:id="770734392">
      <w:bodyDiv w:val="1"/>
      <w:marLeft w:val="0"/>
      <w:marRight w:val="0"/>
      <w:marTop w:val="0"/>
      <w:marBottom w:val="0"/>
      <w:divBdr>
        <w:top w:val="none" w:sz="0" w:space="0" w:color="auto"/>
        <w:left w:val="none" w:sz="0" w:space="0" w:color="auto"/>
        <w:bottom w:val="none" w:sz="0" w:space="0" w:color="auto"/>
        <w:right w:val="none" w:sz="0" w:space="0" w:color="auto"/>
      </w:divBdr>
    </w:div>
    <w:div w:id="771248653">
      <w:bodyDiv w:val="1"/>
      <w:marLeft w:val="0"/>
      <w:marRight w:val="0"/>
      <w:marTop w:val="0"/>
      <w:marBottom w:val="0"/>
      <w:divBdr>
        <w:top w:val="none" w:sz="0" w:space="0" w:color="auto"/>
        <w:left w:val="none" w:sz="0" w:space="0" w:color="auto"/>
        <w:bottom w:val="none" w:sz="0" w:space="0" w:color="auto"/>
        <w:right w:val="none" w:sz="0" w:space="0" w:color="auto"/>
      </w:divBdr>
    </w:div>
    <w:div w:id="772553050">
      <w:bodyDiv w:val="1"/>
      <w:marLeft w:val="0"/>
      <w:marRight w:val="0"/>
      <w:marTop w:val="0"/>
      <w:marBottom w:val="0"/>
      <w:divBdr>
        <w:top w:val="none" w:sz="0" w:space="0" w:color="auto"/>
        <w:left w:val="none" w:sz="0" w:space="0" w:color="auto"/>
        <w:bottom w:val="none" w:sz="0" w:space="0" w:color="auto"/>
        <w:right w:val="none" w:sz="0" w:space="0" w:color="auto"/>
      </w:divBdr>
    </w:div>
    <w:div w:id="772557315">
      <w:bodyDiv w:val="1"/>
      <w:marLeft w:val="0"/>
      <w:marRight w:val="0"/>
      <w:marTop w:val="0"/>
      <w:marBottom w:val="0"/>
      <w:divBdr>
        <w:top w:val="none" w:sz="0" w:space="0" w:color="auto"/>
        <w:left w:val="none" w:sz="0" w:space="0" w:color="auto"/>
        <w:bottom w:val="none" w:sz="0" w:space="0" w:color="auto"/>
        <w:right w:val="none" w:sz="0" w:space="0" w:color="auto"/>
      </w:divBdr>
    </w:div>
    <w:div w:id="772632870">
      <w:bodyDiv w:val="1"/>
      <w:marLeft w:val="0"/>
      <w:marRight w:val="0"/>
      <w:marTop w:val="0"/>
      <w:marBottom w:val="0"/>
      <w:divBdr>
        <w:top w:val="none" w:sz="0" w:space="0" w:color="auto"/>
        <w:left w:val="none" w:sz="0" w:space="0" w:color="auto"/>
        <w:bottom w:val="none" w:sz="0" w:space="0" w:color="auto"/>
        <w:right w:val="none" w:sz="0" w:space="0" w:color="auto"/>
      </w:divBdr>
    </w:div>
    <w:div w:id="773551651">
      <w:bodyDiv w:val="1"/>
      <w:marLeft w:val="0"/>
      <w:marRight w:val="0"/>
      <w:marTop w:val="0"/>
      <w:marBottom w:val="0"/>
      <w:divBdr>
        <w:top w:val="none" w:sz="0" w:space="0" w:color="auto"/>
        <w:left w:val="none" w:sz="0" w:space="0" w:color="auto"/>
        <w:bottom w:val="none" w:sz="0" w:space="0" w:color="auto"/>
        <w:right w:val="none" w:sz="0" w:space="0" w:color="auto"/>
      </w:divBdr>
    </w:div>
    <w:div w:id="774205721">
      <w:bodyDiv w:val="1"/>
      <w:marLeft w:val="0"/>
      <w:marRight w:val="0"/>
      <w:marTop w:val="0"/>
      <w:marBottom w:val="0"/>
      <w:divBdr>
        <w:top w:val="none" w:sz="0" w:space="0" w:color="auto"/>
        <w:left w:val="none" w:sz="0" w:space="0" w:color="auto"/>
        <w:bottom w:val="none" w:sz="0" w:space="0" w:color="auto"/>
        <w:right w:val="none" w:sz="0" w:space="0" w:color="auto"/>
      </w:divBdr>
    </w:div>
    <w:div w:id="774323139">
      <w:bodyDiv w:val="1"/>
      <w:marLeft w:val="0"/>
      <w:marRight w:val="0"/>
      <w:marTop w:val="0"/>
      <w:marBottom w:val="0"/>
      <w:divBdr>
        <w:top w:val="none" w:sz="0" w:space="0" w:color="auto"/>
        <w:left w:val="none" w:sz="0" w:space="0" w:color="auto"/>
        <w:bottom w:val="none" w:sz="0" w:space="0" w:color="auto"/>
        <w:right w:val="none" w:sz="0" w:space="0" w:color="auto"/>
      </w:divBdr>
    </w:div>
    <w:div w:id="774597332">
      <w:bodyDiv w:val="1"/>
      <w:marLeft w:val="0"/>
      <w:marRight w:val="0"/>
      <w:marTop w:val="0"/>
      <w:marBottom w:val="0"/>
      <w:divBdr>
        <w:top w:val="none" w:sz="0" w:space="0" w:color="auto"/>
        <w:left w:val="none" w:sz="0" w:space="0" w:color="auto"/>
        <w:bottom w:val="none" w:sz="0" w:space="0" w:color="auto"/>
        <w:right w:val="none" w:sz="0" w:space="0" w:color="auto"/>
      </w:divBdr>
    </w:div>
    <w:div w:id="775559873">
      <w:bodyDiv w:val="1"/>
      <w:marLeft w:val="0"/>
      <w:marRight w:val="0"/>
      <w:marTop w:val="0"/>
      <w:marBottom w:val="0"/>
      <w:divBdr>
        <w:top w:val="none" w:sz="0" w:space="0" w:color="auto"/>
        <w:left w:val="none" w:sz="0" w:space="0" w:color="auto"/>
        <w:bottom w:val="none" w:sz="0" w:space="0" w:color="auto"/>
        <w:right w:val="none" w:sz="0" w:space="0" w:color="auto"/>
      </w:divBdr>
    </w:div>
    <w:div w:id="775641022">
      <w:bodyDiv w:val="1"/>
      <w:marLeft w:val="0"/>
      <w:marRight w:val="0"/>
      <w:marTop w:val="0"/>
      <w:marBottom w:val="0"/>
      <w:divBdr>
        <w:top w:val="none" w:sz="0" w:space="0" w:color="auto"/>
        <w:left w:val="none" w:sz="0" w:space="0" w:color="auto"/>
        <w:bottom w:val="none" w:sz="0" w:space="0" w:color="auto"/>
        <w:right w:val="none" w:sz="0" w:space="0" w:color="auto"/>
      </w:divBdr>
    </w:div>
    <w:div w:id="775713130">
      <w:bodyDiv w:val="1"/>
      <w:marLeft w:val="0"/>
      <w:marRight w:val="0"/>
      <w:marTop w:val="0"/>
      <w:marBottom w:val="0"/>
      <w:divBdr>
        <w:top w:val="none" w:sz="0" w:space="0" w:color="auto"/>
        <w:left w:val="none" w:sz="0" w:space="0" w:color="auto"/>
        <w:bottom w:val="none" w:sz="0" w:space="0" w:color="auto"/>
        <w:right w:val="none" w:sz="0" w:space="0" w:color="auto"/>
      </w:divBdr>
      <w:divsChild>
        <w:div w:id="175387494">
          <w:marLeft w:val="480"/>
          <w:marRight w:val="0"/>
          <w:marTop w:val="0"/>
          <w:marBottom w:val="0"/>
          <w:divBdr>
            <w:top w:val="none" w:sz="0" w:space="0" w:color="auto"/>
            <w:left w:val="none" w:sz="0" w:space="0" w:color="auto"/>
            <w:bottom w:val="none" w:sz="0" w:space="0" w:color="auto"/>
            <w:right w:val="none" w:sz="0" w:space="0" w:color="auto"/>
          </w:divBdr>
        </w:div>
        <w:div w:id="1565988525">
          <w:marLeft w:val="480"/>
          <w:marRight w:val="0"/>
          <w:marTop w:val="0"/>
          <w:marBottom w:val="0"/>
          <w:divBdr>
            <w:top w:val="none" w:sz="0" w:space="0" w:color="auto"/>
            <w:left w:val="none" w:sz="0" w:space="0" w:color="auto"/>
            <w:bottom w:val="none" w:sz="0" w:space="0" w:color="auto"/>
            <w:right w:val="none" w:sz="0" w:space="0" w:color="auto"/>
          </w:divBdr>
        </w:div>
        <w:div w:id="1697391663">
          <w:marLeft w:val="480"/>
          <w:marRight w:val="0"/>
          <w:marTop w:val="0"/>
          <w:marBottom w:val="0"/>
          <w:divBdr>
            <w:top w:val="none" w:sz="0" w:space="0" w:color="auto"/>
            <w:left w:val="none" w:sz="0" w:space="0" w:color="auto"/>
            <w:bottom w:val="none" w:sz="0" w:space="0" w:color="auto"/>
            <w:right w:val="none" w:sz="0" w:space="0" w:color="auto"/>
          </w:divBdr>
        </w:div>
        <w:div w:id="2133286607">
          <w:marLeft w:val="480"/>
          <w:marRight w:val="0"/>
          <w:marTop w:val="0"/>
          <w:marBottom w:val="0"/>
          <w:divBdr>
            <w:top w:val="none" w:sz="0" w:space="0" w:color="auto"/>
            <w:left w:val="none" w:sz="0" w:space="0" w:color="auto"/>
            <w:bottom w:val="none" w:sz="0" w:space="0" w:color="auto"/>
            <w:right w:val="none" w:sz="0" w:space="0" w:color="auto"/>
          </w:divBdr>
        </w:div>
        <w:div w:id="601378732">
          <w:marLeft w:val="480"/>
          <w:marRight w:val="0"/>
          <w:marTop w:val="0"/>
          <w:marBottom w:val="0"/>
          <w:divBdr>
            <w:top w:val="none" w:sz="0" w:space="0" w:color="auto"/>
            <w:left w:val="none" w:sz="0" w:space="0" w:color="auto"/>
            <w:bottom w:val="none" w:sz="0" w:space="0" w:color="auto"/>
            <w:right w:val="none" w:sz="0" w:space="0" w:color="auto"/>
          </w:divBdr>
        </w:div>
        <w:div w:id="676620117">
          <w:marLeft w:val="480"/>
          <w:marRight w:val="0"/>
          <w:marTop w:val="0"/>
          <w:marBottom w:val="0"/>
          <w:divBdr>
            <w:top w:val="none" w:sz="0" w:space="0" w:color="auto"/>
            <w:left w:val="none" w:sz="0" w:space="0" w:color="auto"/>
            <w:bottom w:val="none" w:sz="0" w:space="0" w:color="auto"/>
            <w:right w:val="none" w:sz="0" w:space="0" w:color="auto"/>
          </w:divBdr>
        </w:div>
        <w:div w:id="28261579">
          <w:marLeft w:val="480"/>
          <w:marRight w:val="0"/>
          <w:marTop w:val="0"/>
          <w:marBottom w:val="0"/>
          <w:divBdr>
            <w:top w:val="none" w:sz="0" w:space="0" w:color="auto"/>
            <w:left w:val="none" w:sz="0" w:space="0" w:color="auto"/>
            <w:bottom w:val="none" w:sz="0" w:space="0" w:color="auto"/>
            <w:right w:val="none" w:sz="0" w:space="0" w:color="auto"/>
          </w:divBdr>
        </w:div>
        <w:div w:id="1803034471">
          <w:marLeft w:val="480"/>
          <w:marRight w:val="0"/>
          <w:marTop w:val="0"/>
          <w:marBottom w:val="0"/>
          <w:divBdr>
            <w:top w:val="none" w:sz="0" w:space="0" w:color="auto"/>
            <w:left w:val="none" w:sz="0" w:space="0" w:color="auto"/>
            <w:bottom w:val="none" w:sz="0" w:space="0" w:color="auto"/>
            <w:right w:val="none" w:sz="0" w:space="0" w:color="auto"/>
          </w:divBdr>
        </w:div>
        <w:div w:id="1576475165">
          <w:marLeft w:val="480"/>
          <w:marRight w:val="0"/>
          <w:marTop w:val="0"/>
          <w:marBottom w:val="0"/>
          <w:divBdr>
            <w:top w:val="none" w:sz="0" w:space="0" w:color="auto"/>
            <w:left w:val="none" w:sz="0" w:space="0" w:color="auto"/>
            <w:bottom w:val="none" w:sz="0" w:space="0" w:color="auto"/>
            <w:right w:val="none" w:sz="0" w:space="0" w:color="auto"/>
          </w:divBdr>
        </w:div>
        <w:div w:id="686907241">
          <w:marLeft w:val="480"/>
          <w:marRight w:val="0"/>
          <w:marTop w:val="0"/>
          <w:marBottom w:val="0"/>
          <w:divBdr>
            <w:top w:val="none" w:sz="0" w:space="0" w:color="auto"/>
            <w:left w:val="none" w:sz="0" w:space="0" w:color="auto"/>
            <w:bottom w:val="none" w:sz="0" w:space="0" w:color="auto"/>
            <w:right w:val="none" w:sz="0" w:space="0" w:color="auto"/>
          </w:divBdr>
        </w:div>
        <w:div w:id="348794637">
          <w:marLeft w:val="480"/>
          <w:marRight w:val="0"/>
          <w:marTop w:val="0"/>
          <w:marBottom w:val="0"/>
          <w:divBdr>
            <w:top w:val="none" w:sz="0" w:space="0" w:color="auto"/>
            <w:left w:val="none" w:sz="0" w:space="0" w:color="auto"/>
            <w:bottom w:val="none" w:sz="0" w:space="0" w:color="auto"/>
            <w:right w:val="none" w:sz="0" w:space="0" w:color="auto"/>
          </w:divBdr>
        </w:div>
        <w:div w:id="696203460">
          <w:marLeft w:val="480"/>
          <w:marRight w:val="0"/>
          <w:marTop w:val="0"/>
          <w:marBottom w:val="0"/>
          <w:divBdr>
            <w:top w:val="none" w:sz="0" w:space="0" w:color="auto"/>
            <w:left w:val="none" w:sz="0" w:space="0" w:color="auto"/>
            <w:bottom w:val="none" w:sz="0" w:space="0" w:color="auto"/>
            <w:right w:val="none" w:sz="0" w:space="0" w:color="auto"/>
          </w:divBdr>
        </w:div>
        <w:div w:id="948583780">
          <w:marLeft w:val="480"/>
          <w:marRight w:val="0"/>
          <w:marTop w:val="0"/>
          <w:marBottom w:val="0"/>
          <w:divBdr>
            <w:top w:val="none" w:sz="0" w:space="0" w:color="auto"/>
            <w:left w:val="none" w:sz="0" w:space="0" w:color="auto"/>
            <w:bottom w:val="none" w:sz="0" w:space="0" w:color="auto"/>
            <w:right w:val="none" w:sz="0" w:space="0" w:color="auto"/>
          </w:divBdr>
        </w:div>
        <w:div w:id="241258594">
          <w:marLeft w:val="480"/>
          <w:marRight w:val="0"/>
          <w:marTop w:val="0"/>
          <w:marBottom w:val="0"/>
          <w:divBdr>
            <w:top w:val="none" w:sz="0" w:space="0" w:color="auto"/>
            <w:left w:val="none" w:sz="0" w:space="0" w:color="auto"/>
            <w:bottom w:val="none" w:sz="0" w:space="0" w:color="auto"/>
            <w:right w:val="none" w:sz="0" w:space="0" w:color="auto"/>
          </w:divBdr>
        </w:div>
        <w:div w:id="1178959160">
          <w:marLeft w:val="480"/>
          <w:marRight w:val="0"/>
          <w:marTop w:val="0"/>
          <w:marBottom w:val="0"/>
          <w:divBdr>
            <w:top w:val="none" w:sz="0" w:space="0" w:color="auto"/>
            <w:left w:val="none" w:sz="0" w:space="0" w:color="auto"/>
            <w:bottom w:val="none" w:sz="0" w:space="0" w:color="auto"/>
            <w:right w:val="none" w:sz="0" w:space="0" w:color="auto"/>
          </w:divBdr>
        </w:div>
        <w:div w:id="1392733952">
          <w:marLeft w:val="480"/>
          <w:marRight w:val="0"/>
          <w:marTop w:val="0"/>
          <w:marBottom w:val="0"/>
          <w:divBdr>
            <w:top w:val="none" w:sz="0" w:space="0" w:color="auto"/>
            <w:left w:val="none" w:sz="0" w:space="0" w:color="auto"/>
            <w:bottom w:val="none" w:sz="0" w:space="0" w:color="auto"/>
            <w:right w:val="none" w:sz="0" w:space="0" w:color="auto"/>
          </w:divBdr>
        </w:div>
        <w:div w:id="1313755256">
          <w:marLeft w:val="480"/>
          <w:marRight w:val="0"/>
          <w:marTop w:val="0"/>
          <w:marBottom w:val="0"/>
          <w:divBdr>
            <w:top w:val="none" w:sz="0" w:space="0" w:color="auto"/>
            <w:left w:val="none" w:sz="0" w:space="0" w:color="auto"/>
            <w:bottom w:val="none" w:sz="0" w:space="0" w:color="auto"/>
            <w:right w:val="none" w:sz="0" w:space="0" w:color="auto"/>
          </w:divBdr>
        </w:div>
        <w:div w:id="84153942">
          <w:marLeft w:val="480"/>
          <w:marRight w:val="0"/>
          <w:marTop w:val="0"/>
          <w:marBottom w:val="0"/>
          <w:divBdr>
            <w:top w:val="none" w:sz="0" w:space="0" w:color="auto"/>
            <w:left w:val="none" w:sz="0" w:space="0" w:color="auto"/>
            <w:bottom w:val="none" w:sz="0" w:space="0" w:color="auto"/>
            <w:right w:val="none" w:sz="0" w:space="0" w:color="auto"/>
          </w:divBdr>
        </w:div>
        <w:div w:id="1536767517">
          <w:marLeft w:val="480"/>
          <w:marRight w:val="0"/>
          <w:marTop w:val="0"/>
          <w:marBottom w:val="0"/>
          <w:divBdr>
            <w:top w:val="none" w:sz="0" w:space="0" w:color="auto"/>
            <w:left w:val="none" w:sz="0" w:space="0" w:color="auto"/>
            <w:bottom w:val="none" w:sz="0" w:space="0" w:color="auto"/>
            <w:right w:val="none" w:sz="0" w:space="0" w:color="auto"/>
          </w:divBdr>
        </w:div>
        <w:div w:id="1124420044">
          <w:marLeft w:val="480"/>
          <w:marRight w:val="0"/>
          <w:marTop w:val="0"/>
          <w:marBottom w:val="0"/>
          <w:divBdr>
            <w:top w:val="none" w:sz="0" w:space="0" w:color="auto"/>
            <w:left w:val="none" w:sz="0" w:space="0" w:color="auto"/>
            <w:bottom w:val="none" w:sz="0" w:space="0" w:color="auto"/>
            <w:right w:val="none" w:sz="0" w:space="0" w:color="auto"/>
          </w:divBdr>
        </w:div>
        <w:div w:id="1267930420">
          <w:marLeft w:val="480"/>
          <w:marRight w:val="0"/>
          <w:marTop w:val="0"/>
          <w:marBottom w:val="0"/>
          <w:divBdr>
            <w:top w:val="none" w:sz="0" w:space="0" w:color="auto"/>
            <w:left w:val="none" w:sz="0" w:space="0" w:color="auto"/>
            <w:bottom w:val="none" w:sz="0" w:space="0" w:color="auto"/>
            <w:right w:val="none" w:sz="0" w:space="0" w:color="auto"/>
          </w:divBdr>
        </w:div>
        <w:div w:id="1270507676">
          <w:marLeft w:val="480"/>
          <w:marRight w:val="0"/>
          <w:marTop w:val="0"/>
          <w:marBottom w:val="0"/>
          <w:divBdr>
            <w:top w:val="none" w:sz="0" w:space="0" w:color="auto"/>
            <w:left w:val="none" w:sz="0" w:space="0" w:color="auto"/>
            <w:bottom w:val="none" w:sz="0" w:space="0" w:color="auto"/>
            <w:right w:val="none" w:sz="0" w:space="0" w:color="auto"/>
          </w:divBdr>
        </w:div>
        <w:div w:id="747262816">
          <w:marLeft w:val="480"/>
          <w:marRight w:val="0"/>
          <w:marTop w:val="0"/>
          <w:marBottom w:val="0"/>
          <w:divBdr>
            <w:top w:val="none" w:sz="0" w:space="0" w:color="auto"/>
            <w:left w:val="none" w:sz="0" w:space="0" w:color="auto"/>
            <w:bottom w:val="none" w:sz="0" w:space="0" w:color="auto"/>
            <w:right w:val="none" w:sz="0" w:space="0" w:color="auto"/>
          </w:divBdr>
        </w:div>
        <w:div w:id="799808474">
          <w:marLeft w:val="480"/>
          <w:marRight w:val="0"/>
          <w:marTop w:val="0"/>
          <w:marBottom w:val="0"/>
          <w:divBdr>
            <w:top w:val="none" w:sz="0" w:space="0" w:color="auto"/>
            <w:left w:val="none" w:sz="0" w:space="0" w:color="auto"/>
            <w:bottom w:val="none" w:sz="0" w:space="0" w:color="auto"/>
            <w:right w:val="none" w:sz="0" w:space="0" w:color="auto"/>
          </w:divBdr>
        </w:div>
        <w:div w:id="1400980253">
          <w:marLeft w:val="480"/>
          <w:marRight w:val="0"/>
          <w:marTop w:val="0"/>
          <w:marBottom w:val="0"/>
          <w:divBdr>
            <w:top w:val="none" w:sz="0" w:space="0" w:color="auto"/>
            <w:left w:val="none" w:sz="0" w:space="0" w:color="auto"/>
            <w:bottom w:val="none" w:sz="0" w:space="0" w:color="auto"/>
            <w:right w:val="none" w:sz="0" w:space="0" w:color="auto"/>
          </w:divBdr>
        </w:div>
        <w:div w:id="809633531">
          <w:marLeft w:val="480"/>
          <w:marRight w:val="0"/>
          <w:marTop w:val="0"/>
          <w:marBottom w:val="0"/>
          <w:divBdr>
            <w:top w:val="none" w:sz="0" w:space="0" w:color="auto"/>
            <w:left w:val="none" w:sz="0" w:space="0" w:color="auto"/>
            <w:bottom w:val="none" w:sz="0" w:space="0" w:color="auto"/>
            <w:right w:val="none" w:sz="0" w:space="0" w:color="auto"/>
          </w:divBdr>
        </w:div>
        <w:div w:id="975719765">
          <w:marLeft w:val="480"/>
          <w:marRight w:val="0"/>
          <w:marTop w:val="0"/>
          <w:marBottom w:val="0"/>
          <w:divBdr>
            <w:top w:val="none" w:sz="0" w:space="0" w:color="auto"/>
            <w:left w:val="none" w:sz="0" w:space="0" w:color="auto"/>
            <w:bottom w:val="none" w:sz="0" w:space="0" w:color="auto"/>
            <w:right w:val="none" w:sz="0" w:space="0" w:color="auto"/>
          </w:divBdr>
        </w:div>
        <w:div w:id="1191529867">
          <w:marLeft w:val="480"/>
          <w:marRight w:val="0"/>
          <w:marTop w:val="0"/>
          <w:marBottom w:val="0"/>
          <w:divBdr>
            <w:top w:val="none" w:sz="0" w:space="0" w:color="auto"/>
            <w:left w:val="none" w:sz="0" w:space="0" w:color="auto"/>
            <w:bottom w:val="none" w:sz="0" w:space="0" w:color="auto"/>
            <w:right w:val="none" w:sz="0" w:space="0" w:color="auto"/>
          </w:divBdr>
        </w:div>
        <w:div w:id="887374523">
          <w:marLeft w:val="480"/>
          <w:marRight w:val="0"/>
          <w:marTop w:val="0"/>
          <w:marBottom w:val="0"/>
          <w:divBdr>
            <w:top w:val="none" w:sz="0" w:space="0" w:color="auto"/>
            <w:left w:val="none" w:sz="0" w:space="0" w:color="auto"/>
            <w:bottom w:val="none" w:sz="0" w:space="0" w:color="auto"/>
            <w:right w:val="none" w:sz="0" w:space="0" w:color="auto"/>
          </w:divBdr>
        </w:div>
        <w:div w:id="2018532288">
          <w:marLeft w:val="480"/>
          <w:marRight w:val="0"/>
          <w:marTop w:val="0"/>
          <w:marBottom w:val="0"/>
          <w:divBdr>
            <w:top w:val="none" w:sz="0" w:space="0" w:color="auto"/>
            <w:left w:val="none" w:sz="0" w:space="0" w:color="auto"/>
            <w:bottom w:val="none" w:sz="0" w:space="0" w:color="auto"/>
            <w:right w:val="none" w:sz="0" w:space="0" w:color="auto"/>
          </w:divBdr>
        </w:div>
        <w:div w:id="911083248">
          <w:marLeft w:val="480"/>
          <w:marRight w:val="0"/>
          <w:marTop w:val="0"/>
          <w:marBottom w:val="0"/>
          <w:divBdr>
            <w:top w:val="none" w:sz="0" w:space="0" w:color="auto"/>
            <w:left w:val="none" w:sz="0" w:space="0" w:color="auto"/>
            <w:bottom w:val="none" w:sz="0" w:space="0" w:color="auto"/>
            <w:right w:val="none" w:sz="0" w:space="0" w:color="auto"/>
          </w:divBdr>
        </w:div>
        <w:div w:id="994988863">
          <w:marLeft w:val="480"/>
          <w:marRight w:val="0"/>
          <w:marTop w:val="0"/>
          <w:marBottom w:val="0"/>
          <w:divBdr>
            <w:top w:val="none" w:sz="0" w:space="0" w:color="auto"/>
            <w:left w:val="none" w:sz="0" w:space="0" w:color="auto"/>
            <w:bottom w:val="none" w:sz="0" w:space="0" w:color="auto"/>
            <w:right w:val="none" w:sz="0" w:space="0" w:color="auto"/>
          </w:divBdr>
        </w:div>
        <w:div w:id="913853874">
          <w:marLeft w:val="480"/>
          <w:marRight w:val="0"/>
          <w:marTop w:val="0"/>
          <w:marBottom w:val="0"/>
          <w:divBdr>
            <w:top w:val="none" w:sz="0" w:space="0" w:color="auto"/>
            <w:left w:val="none" w:sz="0" w:space="0" w:color="auto"/>
            <w:bottom w:val="none" w:sz="0" w:space="0" w:color="auto"/>
            <w:right w:val="none" w:sz="0" w:space="0" w:color="auto"/>
          </w:divBdr>
        </w:div>
        <w:div w:id="137765360">
          <w:marLeft w:val="480"/>
          <w:marRight w:val="0"/>
          <w:marTop w:val="0"/>
          <w:marBottom w:val="0"/>
          <w:divBdr>
            <w:top w:val="none" w:sz="0" w:space="0" w:color="auto"/>
            <w:left w:val="none" w:sz="0" w:space="0" w:color="auto"/>
            <w:bottom w:val="none" w:sz="0" w:space="0" w:color="auto"/>
            <w:right w:val="none" w:sz="0" w:space="0" w:color="auto"/>
          </w:divBdr>
        </w:div>
        <w:div w:id="407845395">
          <w:marLeft w:val="480"/>
          <w:marRight w:val="0"/>
          <w:marTop w:val="0"/>
          <w:marBottom w:val="0"/>
          <w:divBdr>
            <w:top w:val="none" w:sz="0" w:space="0" w:color="auto"/>
            <w:left w:val="none" w:sz="0" w:space="0" w:color="auto"/>
            <w:bottom w:val="none" w:sz="0" w:space="0" w:color="auto"/>
            <w:right w:val="none" w:sz="0" w:space="0" w:color="auto"/>
          </w:divBdr>
        </w:div>
        <w:div w:id="1750082815">
          <w:marLeft w:val="480"/>
          <w:marRight w:val="0"/>
          <w:marTop w:val="0"/>
          <w:marBottom w:val="0"/>
          <w:divBdr>
            <w:top w:val="none" w:sz="0" w:space="0" w:color="auto"/>
            <w:left w:val="none" w:sz="0" w:space="0" w:color="auto"/>
            <w:bottom w:val="none" w:sz="0" w:space="0" w:color="auto"/>
            <w:right w:val="none" w:sz="0" w:space="0" w:color="auto"/>
          </w:divBdr>
        </w:div>
        <w:div w:id="480850241">
          <w:marLeft w:val="480"/>
          <w:marRight w:val="0"/>
          <w:marTop w:val="0"/>
          <w:marBottom w:val="0"/>
          <w:divBdr>
            <w:top w:val="none" w:sz="0" w:space="0" w:color="auto"/>
            <w:left w:val="none" w:sz="0" w:space="0" w:color="auto"/>
            <w:bottom w:val="none" w:sz="0" w:space="0" w:color="auto"/>
            <w:right w:val="none" w:sz="0" w:space="0" w:color="auto"/>
          </w:divBdr>
        </w:div>
        <w:div w:id="1792359958">
          <w:marLeft w:val="480"/>
          <w:marRight w:val="0"/>
          <w:marTop w:val="0"/>
          <w:marBottom w:val="0"/>
          <w:divBdr>
            <w:top w:val="none" w:sz="0" w:space="0" w:color="auto"/>
            <w:left w:val="none" w:sz="0" w:space="0" w:color="auto"/>
            <w:bottom w:val="none" w:sz="0" w:space="0" w:color="auto"/>
            <w:right w:val="none" w:sz="0" w:space="0" w:color="auto"/>
          </w:divBdr>
        </w:div>
        <w:div w:id="203716851">
          <w:marLeft w:val="480"/>
          <w:marRight w:val="0"/>
          <w:marTop w:val="0"/>
          <w:marBottom w:val="0"/>
          <w:divBdr>
            <w:top w:val="none" w:sz="0" w:space="0" w:color="auto"/>
            <w:left w:val="none" w:sz="0" w:space="0" w:color="auto"/>
            <w:bottom w:val="none" w:sz="0" w:space="0" w:color="auto"/>
            <w:right w:val="none" w:sz="0" w:space="0" w:color="auto"/>
          </w:divBdr>
        </w:div>
        <w:div w:id="1391464221">
          <w:marLeft w:val="480"/>
          <w:marRight w:val="0"/>
          <w:marTop w:val="0"/>
          <w:marBottom w:val="0"/>
          <w:divBdr>
            <w:top w:val="none" w:sz="0" w:space="0" w:color="auto"/>
            <w:left w:val="none" w:sz="0" w:space="0" w:color="auto"/>
            <w:bottom w:val="none" w:sz="0" w:space="0" w:color="auto"/>
            <w:right w:val="none" w:sz="0" w:space="0" w:color="auto"/>
          </w:divBdr>
        </w:div>
        <w:div w:id="697124752">
          <w:marLeft w:val="480"/>
          <w:marRight w:val="0"/>
          <w:marTop w:val="0"/>
          <w:marBottom w:val="0"/>
          <w:divBdr>
            <w:top w:val="none" w:sz="0" w:space="0" w:color="auto"/>
            <w:left w:val="none" w:sz="0" w:space="0" w:color="auto"/>
            <w:bottom w:val="none" w:sz="0" w:space="0" w:color="auto"/>
            <w:right w:val="none" w:sz="0" w:space="0" w:color="auto"/>
          </w:divBdr>
        </w:div>
        <w:div w:id="1416130340">
          <w:marLeft w:val="480"/>
          <w:marRight w:val="0"/>
          <w:marTop w:val="0"/>
          <w:marBottom w:val="0"/>
          <w:divBdr>
            <w:top w:val="none" w:sz="0" w:space="0" w:color="auto"/>
            <w:left w:val="none" w:sz="0" w:space="0" w:color="auto"/>
            <w:bottom w:val="none" w:sz="0" w:space="0" w:color="auto"/>
            <w:right w:val="none" w:sz="0" w:space="0" w:color="auto"/>
          </w:divBdr>
        </w:div>
        <w:div w:id="991954171">
          <w:marLeft w:val="480"/>
          <w:marRight w:val="0"/>
          <w:marTop w:val="0"/>
          <w:marBottom w:val="0"/>
          <w:divBdr>
            <w:top w:val="none" w:sz="0" w:space="0" w:color="auto"/>
            <w:left w:val="none" w:sz="0" w:space="0" w:color="auto"/>
            <w:bottom w:val="none" w:sz="0" w:space="0" w:color="auto"/>
            <w:right w:val="none" w:sz="0" w:space="0" w:color="auto"/>
          </w:divBdr>
        </w:div>
        <w:div w:id="1008630622">
          <w:marLeft w:val="480"/>
          <w:marRight w:val="0"/>
          <w:marTop w:val="0"/>
          <w:marBottom w:val="0"/>
          <w:divBdr>
            <w:top w:val="none" w:sz="0" w:space="0" w:color="auto"/>
            <w:left w:val="none" w:sz="0" w:space="0" w:color="auto"/>
            <w:bottom w:val="none" w:sz="0" w:space="0" w:color="auto"/>
            <w:right w:val="none" w:sz="0" w:space="0" w:color="auto"/>
          </w:divBdr>
        </w:div>
        <w:div w:id="1194928716">
          <w:marLeft w:val="480"/>
          <w:marRight w:val="0"/>
          <w:marTop w:val="0"/>
          <w:marBottom w:val="0"/>
          <w:divBdr>
            <w:top w:val="none" w:sz="0" w:space="0" w:color="auto"/>
            <w:left w:val="none" w:sz="0" w:space="0" w:color="auto"/>
            <w:bottom w:val="none" w:sz="0" w:space="0" w:color="auto"/>
            <w:right w:val="none" w:sz="0" w:space="0" w:color="auto"/>
          </w:divBdr>
        </w:div>
        <w:div w:id="834421629">
          <w:marLeft w:val="480"/>
          <w:marRight w:val="0"/>
          <w:marTop w:val="0"/>
          <w:marBottom w:val="0"/>
          <w:divBdr>
            <w:top w:val="none" w:sz="0" w:space="0" w:color="auto"/>
            <w:left w:val="none" w:sz="0" w:space="0" w:color="auto"/>
            <w:bottom w:val="none" w:sz="0" w:space="0" w:color="auto"/>
            <w:right w:val="none" w:sz="0" w:space="0" w:color="auto"/>
          </w:divBdr>
        </w:div>
        <w:div w:id="1609385683">
          <w:marLeft w:val="480"/>
          <w:marRight w:val="0"/>
          <w:marTop w:val="0"/>
          <w:marBottom w:val="0"/>
          <w:divBdr>
            <w:top w:val="none" w:sz="0" w:space="0" w:color="auto"/>
            <w:left w:val="none" w:sz="0" w:space="0" w:color="auto"/>
            <w:bottom w:val="none" w:sz="0" w:space="0" w:color="auto"/>
            <w:right w:val="none" w:sz="0" w:space="0" w:color="auto"/>
          </w:divBdr>
        </w:div>
        <w:div w:id="612371186">
          <w:marLeft w:val="480"/>
          <w:marRight w:val="0"/>
          <w:marTop w:val="0"/>
          <w:marBottom w:val="0"/>
          <w:divBdr>
            <w:top w:val="none" w:sz="0" w:space="0" w:color="auto"/>
            <w:left w:val="none" w:sz="0" w:space="0" w:color="auto"/>
            <w:bottom w:val="none" w:sz="0" w:space="0" w:color="auto"/>
            <w:right w:val="none" w:sz="0" w:space="0" w:color="auto"/>
          </w:divBdr>
        </w:div>
        <w:div w:id="225145387">
          <w:marLeft w:val="480"/>
          <w:marRight w:val="0"/>
          <w:marTop w:val="0"/>
          <w:marBottom w:val="0"/>
          <w:divBdr>
            <w:top w:val="none" w:sz="0" w:space="0" w:color="auto"/>
            <w:left w:val="none" w:sz="0" w:space="0" w:color="auto"/>
            <w:bottom w:val="none" w:sz="0" w:space="0" w:color="auto"/>
            <w:right w:val="none" w:sz="0" w:space="0" w:color="auto"/>
          </w:divBdr>
        </w:div>
        <w:div w:id="469179006">
          <w:marLeft w:val="480"/>
          <w:marRight w:val="0"/>
          <w:marTop w:val="0"/>
          <w:marBottom w:val="0"/>
          <w:divBdr>
            <w:top w:val="none" w:sz="0" w:space="0" w:color="auto"/>
            <w:left w:val="none" w:sz="0" w:space="0" w:color="auto"/>
            <w:bottom w:val="none" w:sz="0" w:space="0" w:color="auto"/>
            <w:right w:val="none" w:sz="0" w:space="0" w:color="auto"/>
          </w:divBdr>
        </w:div>
        <w:div w:id="766657637">
          <w:marLeft w:val="480"/>
          <w:marRight w:val="0"/>
          <w:marTop w:val="0"/>
          <w:marBottom w:val="0"/>
          <w:divBdr>
            <w:top w:val="none" w:sz="0" w:space="0" w:color="auto"/>
            <w:left w:val="none" w:sz="0" w:space="0" w:color="auto"/>
            <w:bottom w:val="none" w:sz="0" w:space="0" w:color="auto"/>
            <w:right w:val="none" w:sz="0" w:space="0" w:color="auto"/>
          </w:divBdr>
        </w:div>
        <w:div w:id="1099258663">
          <w:marLeft w:val="480"/>
          <w:marRight w:val="0"/>
          <w:marTop w:val="0"/>
          <w:marBottom w:val="0"/>
          <w:divBdr>
            <w:top w:val="none" w:sz="0" w:space="0" w:color="auto"/>
            <w:left w:val="none" w:sz="0" w:space="0" w:color="auto"/>
            <w:bottom w:val="none" w:sz="0" w:space="0" w:color="auto"/>
            <w:right w:val="none" w:sz="0" w:space="0" w:color="auto"/>
          </w:divBdr>
        </w:div>
        <w:div w:id="1629623567">
          <w:marLeft w:val="480"/>
          <w:marRight w:val="0"/>
          <w:marTop w:val="0"/>
          <w:marBottom w:val="0"/>
          <w:divBdr>
            <w:top w:val="none" w:sz="0" w:space="0" w:color="auto"/>
            <w:left w:val="none" w:sz="0" w:space="0" w:color="auto"/>
            <w:bottom w:val="none" w:sz="0" w:space="0" w:color="auto"/>
            <w:right w:val="none" w:sz="0" w:space="0" w:color="auto"/>
          </w:divBdr>
        </w:div>
        <w:div w:id="1649553639">
          <w:marLeft w:val="480"/>
          <w:marRight w:val="0"/>
          <w:marTop w:val="0"/>
          <w:marBottom w:val="0"/>
          <w:divBdr>
            <w:top w:val="none" w:sz="0" w:space="0" w:color="auto"/>
            <w:left w:val="none" w:sz="0" w:space="0" w:color="auto"/>
            <w:bottom w:val="none" w:sz="0" w:space="0" w:color="auto"/>
            <w:right w:val="none" w:sz="0" w:space="0" w:color="auto"/>
          </w:divBdr>
        </w:div>
        <w:div w:id="1242374960">
          <w:marLeft w:val="480"/>
          <w:marRight w:val="0"/>
          <w:marTop w:val="0"/>
          <w:marBottom w:val="0"/>
          <w:divBdr>
            <w:top w:val="none" w:sz="0" w:space="0" w:color="auto"/>
            <w:left w:val="none" w:sz="0" w:space="0" w:color="auto"/>
            <w:bottom w:val="none" w:sz="0" w:space="0" w:color="auto"/>
            <w:right w:val="none" w:sz="0" w:space="0" w:color="auto"/>
          </w:divBdr>
        </w:div>
        <w:div w:id="1432242438">
          <w:marLeft w:val="480"/>
          <w:marRight w:val="0"/>
          <w:marTop w:val="0"/>
          <w:marBottom w:val="0"/>
          <w:divBdr>
            <w:top w:val="none" w:sz="0" w:space="0" w:color="auto"/>
            <w:left w:val="none" w:sz="0" w:space="0" w:color="auto"/>
            <w:bottom w:val="none" w:sz="0" w:space="0" w:color="auto"/>
            <w:right w:val="none" w:sz="0" w:space="0" w:color="auto"/>
          </w:divBdr>
        </w:div>
        <w:div w:id="245962323">
          <w:marLeft w:val="480"/>
          <w:marRight w:val="0"/>
          <w:marTop w:val="0"/>
          <w:marBottom w:val="0"/>
          <w:divBdr>
            <w:top w:val="none" w:sz="0" w:space="0" w:color="auto"/>
            <w:left w:val="none" w:sz="0" w:space="0" w:color="auto"/>
            <w:bottom w:val="none" w:sz="0" w:space="0" w:color="auto"/>
            <w:right w:val="none" w:sz="0" w:space="0" w:color="auto"/>
          </w:divBdr>
        </w:div>
        <w:div w:id="1361390624">
          <w:marLeft w:val="480"/>
          <w:marRight w:val="0"/>
          <w:marTop w:val="0"/>
          <w:marBottom w:val="0"/>
          <w:divBdr>
            <w:top w:val="none" w:sz="0" w:space="0" w:color="auto"/>
            <w:left w:val="none" w:sz="0" w:space="0" w:color="auto"/>
            <w:bottom w:val="none" w:sz="0" w:space="0" w:color="auto"/>
            <w:right w:val="none" w:sz="0" w:space="0" w:color="auto"/>
          </w:divBdr>
        </w:div>
        <w:div w:id="219445156">
          <w:marLeft w:val="480"/>
          <w:marRight w:val="0"/>
          <w:marTop w:val="0"/>
          <w:marBottom w:val="0"/>
          <w:divBdr>
            <w:top w:val="none" w:sz="0" w:space="0" w:color="auto"/>
            <w:left w:val="none" w:sz="0" w:space="0" w:color="auto"/>
            <w:bottom w:val="none" w:sz="0" w:space="0" w:color="auto"/>
            <w:right w:val="none" w:sz="0" w:space="0" w:color="auto"/>
          </w:divBdr>
        </w:div>
        <w:div w:id="157382964">
          <w:marLeft w:val="480"/>
          <w:marRight w:val="0"/>
          <w:marTop w:val="0"/>
          <w:marBottom w:val="0"/>
          <w:divBdr>
            <w:top w:val="none" w:sz="0" w:space="0" w:color="auto"/>
            <w:left w:val="none" w:sz="0" w:space="0" w:color="auto"/>
            <w:bottom w:val="none" w:sz="0" w:space="0" w:color="auto"/>
            <w:right w:val="none" w:sz="0" w:space="0" w:color="auto"/>
          </w:divBdr>
        </w:div>
        <w:div w:id="175922088">
          <w:marLeft w:val="480"/>
          <w:marRight w:val="0"/>
          <w:marTop w:val="0"/>
          <w:marBottom w:val="0"/>
          <w:divBdr>
            <w:top w:val="none" w:sz="0" w:space="0" w:color="auto"/>
            <w:left w:val="none" w:sz="0" w:space="0" w:color="auto"/>
            <w:bottom w:val="none" w:sz="0" w:space="0" w:color="auto"/>
            <w:right w:val="none" w:sz="0" w:space="0" w:color="auto"/>
          </w:divBdr>
        </w:div>
        <w:div w:id="626467572">
          <w:marLeft w:val="480"/>
          <w:marRight w:val="0"/>
          <w:marTop w:val="0"/>
          <w:marBottom w:val="0"/>
          <w:divBdr>
            <w:top w:val="none" w:sz="0" w:space="0" w:color="auto"/>
            <w:left w:val="none" w:sz="0" w:space="0" w:color="auto"/>
            <w:bottom w:val="none" w:sz="0" w:space="0" w:color="auto"/>
            <w:right w:val="none" w:sz="0" w:space="0" w:color="auto"/>
          </w:divBdr>
        </w:div>
        <w:div w:id="1924531937">
          <w:marLeft w:val="480"/>
          <w:marRight w:val="0"/>
          <w:marTop w:val="0"/>
          <w:marBottom w:val="0"/>
          <w:divBdr>
            <w:top w:val="none" w:sz="0" w:space="0" w:color="auto"/>
            <w:left w:val="none" w:sz="0" w:space="0" w:color="auto"/>
            <w:bottom w:val="none" w:sz="0" w:space="0" w:color="auto"/>
            <w:right w:val="none" w:sz="0" w:space="0" w:color="auto"/>
          </w:divBdr>
        </w:div>
        <w:div w:id="371618392">
          <w:marLeft w:val="480"/>
          <w:marRight w:val="0"/>
          <w:marTop w:val="0"/>
          <w:marBottom w:val="0"/>
          <w:divBdr>
            <w:top w:val="none" w:sz="0" w:space="0" w:color="auto"/>
            <w:left w:val="none" w:sz="0" w:space="0" w:color="auto"/>
            <w:bottom w:val="none" w:sz="0" w:space="0" w:color="auto"/>
            <w:right w:val="none" w:sz="0" w:space="0" w:color="auto"/>
          </w:divBdr>
        </w:div>
        <w:div w:id="547492689">
          <w:marLeft w:val="480"/>
          <w:marRight w:val="0"/>
          <w:marTop w:val="0"/>
          <w:marBottom w:val="0"/>
          <w:divBdr>
            <w:top w:val="none" w:sz="0" w:space="0" w:color="auto"/>
            <w:left w:val="none" w:sz="0" w:space="0" w:color="auto"/>
            <w:bottom w:val="none" w:sz="0" w:space="0" w:color="auto"/>
            <w:right w:val="none" w:sz="0" w:space="0" w:color="auto"/>
          </w:divBdr>
        </w:div>
        <w:div w:id="1794472826">
          <w:marLeft w:val="480"/>
          <w:marRight w:val="0"/>
          <w:marTop w:val="0"/>
          <w:marBottom w:val="0"/>
          <w:divBdr>
            <w:top w:val="none" w:sz="0" w:space="0" w:color="auto"/>
            <w:left w:val="none" w:sz="0" w:space="0" w:color="auto"/>
            <w:bottom w:val="none" w:sz="0" w:space="0" w:color="auto"/>
            <w:right w:val="none" w:sz="0" w:space="0" w:color="auto"/>
          </w:divBdr>
        </w:div>
        <w:div w:id="220137388">
          <w:marLeft w:val="480"/>
          <w:marRight w:val="0"/>
          <w:marTop w:val="0"/>
          <w:marBottom w:val="0"/>
          <w:divBdr>
            <w:top w:val="none" w:sz="0" w:space="0" w:color="auto"/>
            <w:left w:val="none" w:sz="0" w:space="0" w:color="auto"/>
            <w:bottom w:val="none" w:sz="0" w:space="0" w:color="auto"/>
            <w:right w:val="none" w:sz="0" w:space="0" w:color="auto"/>
          </w:divBdr>
        </w:div>
        <w:div w:id="713653630">
          <w:marLeft w:val="480"/>
          <w:marRight w:val="0"/>
          <w:marTop w:val="0"/>
          <w:marBottom w:val="0"/>
          <w:divBdr>
            <w:top w:val="none" w:sz="0" w:space="0" w:color="auto"/>
            <w:left w:val="none" w:sz="0" w:space="0" w:color="auto"/>
            <w:bottom w:val="none" w:sz="0" w:space="0" w:color="auto"/>
            <w:right w:val="none" w:sz="0" w:space="0" w:color="auto"/>
          </w:divBdr>
        </w:div>
        <w:div w:id="1726643501">
          <w:marLeft w:val="480"/>
          <w:marRight w:val="0"/>
          <w:marTop w:val="0"/>
          <w:marBottom w:val="0"/>
          <w:divBdr>
            <w:top w:val="none" w:sz="0" w:space="0" w:color="auto"/>
            <w:left w:val="none" w:sz="0" w:space="0" w:color="auto"/>
            <w:bottom w:val="none" w:sz="0" w:space="0" w:color="auto"/>
            <w:right w:val="none" w:sz="0" w:space="0" w:color="auto"/>
          </w:divBdr>
        </w:div>
        <w:div w:id="2098939052">
          <w:marLeft w:val="480"/>
          <w:marRight w:val="0"/>
          <w:marTop w:val="0"/>
          <w:marBottom w:val="0"/>
          <w:divBdr>
            <w:top w:val="none" w:sz="0" w:space="0" w:color="auto"/>
            <w:left w:val="none" w:sz="0" w:space="0" w:color="auto"/>
            <w:bottom w:val="none" w:sz="0" w:space="0" w:color="auto"/>
            <w:right w:val="none" w:sz="0" w:space="0" w:color="auto"/>
          </w:divBdr>
        </w:div>
        <w:div w:id="865169055">
          <w:marLeft w:val="480"/>
          <w:marRight w:val="0"/>
          <w:marTop w:val="0"/>
          <w:marBottom w:val="0"/>
          <w:divBdr>
            <w:top w:val="none" w:sz="0" w:space="0" w:color="auto"/>
            <w:left w:val="none" w:sz="0" w:space="0" w:color="auto"/>
            <w:bottom w:val="none" w:sz="0" w:space="0" w:color="auto"/>
            <w:right w:val="none" w:sz="0" w:space="0" w:color="auto"/>
          </w:divBdr>
        </w:div>
        <w:div w:id="1110584689">
          <w:marLeft w:val="480"/>
          <w:marRight w:val="0"/>
          <w:marTop w:val="0"/>
          <w:marBottom w:val="0"/>
          <w:divBdr>
            <w:top w:val="none" w:sz="0" w:space="0" w:color="auto"/>
            <w:left w:val="none" w:sz="0" w:space="0" w:color="auto"/>
            <w:bottom w:val="none" w:sz="0" w:space="0" w:color="auto"/>
            <w:right w:val="none" w:sz="0" w:space="0" w:color="auto"/>
          </w:divBdr>
        </w:div>
        <w:div w:id="1761020229">
          <w:marLeft w:val="480"/>
          <w:marRight w:val="0"/>
          <w:marTop w:val="0"/>
          <w:marBottom w:val="0"/>
          <w:divBdr>
            <w:top w:val="none" w:sz="0" w:space="0" w:color="auto"/>
            <w:left w:val="none" w:sz="0" w:space="0" w:color="auto"/>
            <w:bottom w:val="none" w:sz="0" w:space="0" w:color="auto"/>
            <w:right w:val="none" w:sz="0" w:space="0" w:color="auto"/>
          </w:divBdr>
        </w:div>
        <w:div w:id="2100364254">
          <w:marLeft w:val="480"/>
          <w:marRight w:val="0"/>
          <w:marTop w:val="0"/>
          <w:marBottom w:val="0"/>
          <w:divBdr>
            <w:top w:val="none" w:sz="0" w:space="0" w:color="auto"/>
            <w:left w:val="none" w:sz="0" w:space="0" w:color="auto"/>
            <w:bottom w:val="none" w:sz="0" w:space="0" w:color="auto"/>
            <w:right w:val="none" w:sz="0" w:space="0" w:color="auto"/>
          </w:divBdr>
        </w:div>
        <w:div w:id="805665358">
          <w:marLeft w:val="480"/>
          <w:marRight w:val="0"/>
          <w:marTop w:val="0"/>
          <w:marBottom w:val="0"/>
          <w:divBdr>
            <w:top w:val="none" w:sz="0" w:space="0" w:color="auto"/>
            <w:left w:val="none" w:sz="0" w:space="0" w:color="auto"/>
            <w:bottom w:val="none" w:sz="0" w:space="0" w:color="auto"/>
            <w:right w:val="none" w:sz="0" w:space="0" w:color="auto"/>
          </w:divBdr>
        </w:div>
        <w:div w:id="512495322">
          <w:marLeft w:val="480"/>
          <w:marRight w:val="0"/>
          <w:marTop w:val="0"/>
          <w:marBottom w:val="0"/>
          <w:divBdr>
            <w:top w:val="none" w:sz="0" w:space="0" w:color="auto"/>
            <w:left w:val="none" w:sz="0" w:space="0" w:color="auto"/>
            <w:bottom w:val="none" w:sz="0" w:space="0" w:color="auto"/>
            <w:right w:val="none" w:sz="0" w:space="0" w:color="auto"/>
          </w:divBdr>
        </w:div>
        <w:div w:id="309671519">
          <w:marLeft w:val="480"/>
          <w:marRight w:val="0"/>
          <w:marTop w:val="0"/>
          <w:marBottom w:val="0"/>
          <w:divBdr>
            <w:top w:val="none" w:sz="0" w:space="0" w:color="auto"/>
            <w:left w:val="none" w:sz="0" w:space="0" w:color="auto"/>
            <w:bottom w:val="none" w:sz="0" w:space="0" w:color="auto"/>
            <w:right w:val="none" w:sz="0" w:space="0" w:color="auto"/>
          </w:divBdr>
        </w:div>
        <w:div w:id="1508404216">
          <w:marLeft w:val="480"/>
          <w:marRight w:val="0"/>
          <w:marTop w:val="0"/>
          <w:marBottom w:val="0"/>
          <w:divBdr>
            <w:top w:val="none" w:sz="0" w:space="0" w:color="auto"/>
            <w:left w:val="none" w:sz="0" w:space="0" w:color="auto"/>
            <w:bottom w:val="none" w:sz="0" w:space="0" w:color="auto"/>
            <w:right w:val="none" w:sz="0" w:space="0" w:color="auto"/>
          </w:divBdr>
        </w:div>
        <w:div w:id="1816412715">
          <w:marLeft w:val="480"/>
          <w:marRight w:val="0"/>
          <w:marTop w:val="0"/>
          <w:marBottom w:val="0"/>
          <w:divBdr>
            <w:top w:val="none" w:sz="0" w:space="0" w:color="auto"/>
            <w:left w:val="none" w:sz="0" w:space="0" w:color="auto"/>
            <w:bottom w:val="none" w:sz="0" w:space="0" w:color="auto"/>
            <w:right w:val="none" w:sz="0" w:space="0" w:color="auto"/>
          </w:divBdr>
        </w:div>
        <w:div w:id="851606023">
          <w:marLeft w:val="480"/>
          <w:marRight w:val="0"/>
          <w:marTop w:val="0"/>
          <w:marBottom w:val="0"/>
          <w:divBdr>
            <w:top w:val="none" w:sz="0" w:space="0" w:color="auto"/>
            <w:left w:val="none" w:sz="0" w:space="0" w:color="auto"/>
            <w:bottom w:val="none" w:sz="0" w:space="0" w:color="auto"/>
            <w:right w:val="none" w:sz="0" w:space="0" w:color="auto"/>
          </w:divBdr>
        </w:div>
        <w:div w:id="786971156">
          <w:marLeft w:val="480"/>
          <w:marRight w:val="0"/>
          <w:marTop w:val="0"/>
          <w:marBottom w:val="0"/>
          <w:divBdr>
            <w:top w:val="none" w:sz="0" w:space="0" w:color="auto"/>
            <w:left w:val="none" w:sz="0" w:space="0" w:color="auto"/>
            <w:bottom w:val="none" w:sz="0" w:space="0" w:color="auto"/>
            <w:right w:val="none" w:sz="0" w:space="0" w:color="auto"/>
          </w:divBdr>
        </w:div>
        <w:div w:id="422530405">
          <w:marLeft w:val="480"/>
          <w:marRight w:val="0"/>
          <w:marTop w:val="0"/>
          <w:marBottom w:val="0"/>
          <w:divBdr>
            <w:top w:val="none" w:sz="0" w:space="0" w:color="auto"/>
            <w:left w:val="none" w:sz="0" w:space="0" w:color="auto"/>
            <w:bottom w:val="none" w:sz="0" w:space="0" w:color="auto"/>
            <w:right w:val="none" w:sz="0" w:space="0" w:color="auto"/>
          </w:divBdr>
        </w:div>
        <w:div w:id="1220242409">
          <w:marLeft w:val="480"/>
          <w:marRight w:val="0"/>
          <w:marTop w:val="0"/>
          <w:marBottom w:val="0"/>
          <w:divBdr>
            <w:top w:val="none" w:sz="0" w:space="0" w:color="auto"/>
            <w:left w:val="none" w:sz="0" w:space="0" w:color="auto"/>
            <w:bottom w:val="none" w:sz="0" w:space="0" w:color="auto"/>
            <w:right w:val="none" w:sz="0" w:space="0" w:color="auto"/>
          </w:divBdr>
        </w:div>
        <w:div w:id="1264344213">
          <w:marLeft w:val="480"/>
          <w:marRight w:val="0"/>
          <w:marTop w:val="0"/>
          <w:marBottom w:val="0"/>
          <w:divBdr>
            <w:top w:val="none" w:sz="0" w:space="0" w:color="auto"/>
            <w:left w:val="none" w:sz="0" w:space="0" w:color="auto"/>
            <w:bottom w:val="none" w:sz="0" w:space="0" w:color="auto"/>
            <w:right w:val="none" w:sz="0" w:space="0" w:color="auto"/>
          </w:divBdr>
        </w:div>
        <w:div w:id="1502967366">
          <w:marLeft w:val="480"/>
          <w:marRight w:val="0"/>
          <w:marTop w:val="0"/>
          <w:marBottom w:val="0"/>
          <w:divBdr>
            <w:top w:val="none" w:sz="0" w:space="0" w:color="auto"/>
            <w:left w:val="none" w:sz="0" w:space="0" w:color="auto"/>
            <w:bottom w:val="none" w:sz="0" w:space="0" w:color="auto"/>
            <w:right w:val="none" w:sz="0" w:space="0" w:color="auto"/>
          </w:divBdr>
        </w:div>
        <w:div w:id="973872886">
          <w:marLeft w:val="480"/>
          <w:marRight w:val="0"/>
          <w:marTop w:val="0"/>
          <w:marBottom w:val="0"/>
          <w:divBdr>
            <w:top w:val="none" w:sz="0" w:space="0" w:color="auto"/>
            <w:left w:val="none" w:sz="0" w:space="0" w:color="auto"/>
            <w:bottom w:val="none" w:sz="0" w:space="0" w:color="auto"/>
            <w:right w:val="none" w:sz="0" w:space="0" w:color="auto"/>
          </w:divBdr>
        </w:div>
        <w:div w:id="929385573">
          <w:marLeft w:val="480"/>
          <w:marRight w:val="0"/>
          <w:marTop w:val="0"/>
          <w:marBottom w:val="0"/>
          <w:divBdr>
            <w:top w:val="none" w:sz="0" w:space="0" w:color="auto"/>
            <w:left w:val="none" w:sz="0" w:space="0" w:color="auto"/>
            <w:bottom w:val="none" w:sz="0" w:space="0" w:color="auto"/>
            <w:right w:val="none" w:sz="0" w:space="0" w:color="auto"/>
          </w:divBdr>
        </w:div>
        <w:div w:id="986475961">
          <w:marLeft w:val="480"/>
          <w:marRight w:val="0"/>
          <w:marTop w:val="0"/>
          <w:marBottom w:val="0"/>
          <w:divBdr>
            <w:top w:val="none" w:sz="0" w:space="0" w:color="auto"/>
            <w:left w:val="none" w:sz="0" w:space="0" w:color="auto"/>
            <w:bottom w:val="none" w:sz="0" w:space="0" w:color="auto"/>
            <w:right w:val="none" w:sz="0" w:space="0" w:color="auto"/>
          </w:divBdr>
        </w:div>
        <w:div w:id="949969621">
          <w:marLeft w:val="480"/>
          <w:marRight w:val="0"/>
          <w:marTop w:val="0"/>
          <w:marBottom w:val="0"/>
          <w:divBdr>
            <w:top w:val="none" w:sz="0" w:space="0" w:color="auto"/>
            <w:left w:val="none" w:sz="0" w:space="0" w:color="auto"/>
            <w:bottom w:val="none" w:sz="0" w:space="0" w:color="auto"/>
            <w:right w:val="none" w:sz="0" w:space="0" w:color="auto"/>
          </w:divBdr>
        </w:div>
        <w:div w:id="1292321172">
          <w:marLeft w:val="480"/>
          <w:marRight w:val="0"/>
          <w:marTop w:val="0"/>
          <w:marBottom w:val="0"/>
          <w:divBdr>
            <w:top w:val="none" w:sz="0" w:space="0" w:color="auto"/>
            <w:left w:val="none" w:sz="0" w:space="0" w:color="auto"/>
            <w:bottom w:val="none" w:sz="0" w:space="0" w:color="auto"/>
            <w:right w:val="none" w:sz="0" w:space="0" w:color="auto"/>
          </w:divBdr>
        </w:div>
        <w:div w:id="1654531630">
          <w:marLeft w:val="480"/>
          <w:marRight w:val="0"/>
          <w:marTop w:val="0"/>
          <w:marBottom w:val="0"/>
          <w:divBdr>
            <w:top w:val="none" w:sz="0" w:space="0" w:color="auto"/>
            <w:left w:val="none" w:sz="0" w:space="0" w:color="auto"/>
            <w:bottom w:val="none" w:sz="0" w:space="0" w:color="auto"/>
            <w:right w:val="none" w:sz="0" w:space="0" w:color="auto"/>
          </w:divBdr>
        </w:div>
        <w:div w:id="51587802">
          <w:marLeft w:val="480"/>
          <w:marRight w:val="0"/>
          <w:marTop w:val="0"/>
          <w:marBottom w:val="0"/>
          <w:divBdr>
            <w:top w:val="none" w:sz="0" w:space="0" w:color="auto"/>
            <w:left w:val="none" w:sz="0" w:space="0" w:color="auto"/>
            <w:bottom w:val="none" w:sz="0" w:space="0" w:color="auto"/>
            <w:right w:val="none" w:sz="0" w:space="0" w:color="auto"/>
          </w:divBdr>
        </w:div>
        <w:div w:id="695154026">
          <w:marLeft w:val="480"/>
          <w:marRight w:val="0"/>
          <w:marTop w:val="0"/>
          <w:marBottom w:val="0"/>
          <w:divBdr>
            <w:top w:val="none" w:sz="0" w:space="0" w:color="auto"/>
            <w:left w:val="none" w:sz="0" w:space="0" w:color="auto"/>
            <w:bottom w:val="none" w:sz="0" w:space="0" w:color="auto"/>
            <w:right w:val="none" w:sz="0" w:space="0" w:color="auto"/>
          </w:divBdr>
        </w:div>
        <w:div w:id="328750039">
          <w:marLeft w:val="480"/>
          <w:marRight w:val="0"/>
          <w:marTop w:val="0"/>
          <w:marBottom w:val="0"/>
          <w:divBdr>
            <w:top w:val="none" w:sz="0" w:space="0" w:color="auto"/>
            <w:left w:val="none" w:sz="0" w:space="0" w:color="auto"/>
            <w:bottom w:val="none" w:sz="0" w:space="0" w:color="auto"/>
            <w:right w:val="none" w:sz="0" w:space="0" w:color="auto"/>
          </w:divBdr>
        </w:div>
        <w:div w:id="327753954">
          <w:marLeft w:val="480"/>
          <w:marRight w:val="0"/>
          <w:marTop w:val="0"/>
          <w:marBottom w:val="0"/>
          <w:divBdr>
            <w:top w:val="none" w:sz="0" w:space="0" w:color="auto"/>
            <w:left w:val="none" w:sz="0" w:space="0" w:color="auto"/>
            <w:bottom w:val="none" w:sz="0" w:space="0" w:color="auto"/>
            <w:right w:val="none" w:sz="0" w:space="0" w:color="auto"/>
          </w:divBdr>
        </w:div>
        <w:div w:id="1044015735">
          <w:marLeft w:val="480"/>
          <w:marRight w:val="0"/>
          <w:marTop w:val="0"/>
          <w:marBottom w:val="0"/>
          <w:divBdr>
            <w:top w:val="none" w:sz="0" w:space="0" w:color="auto"/>
            <w:left w:val="none" w:sz="0" w:space="0" w:color="auto"/>
            <w:bottom w:val="none" w:sz="0" w:space="0" w:color="auto"/>
            <w:right w:val="none" w:sz="0" w:space="0" w:color="auto"/>
          </w:divBdr>
        </w:div>
        <w:div w:id="33694777">
          <w:marLeft w:val="480"/>
          <w:marRight w:val="0"/>
          <w:marTop w:val="0"/>
          <w:marBottom w:val="0"/>
          <w:divBdr>
            <w:top w:val="none" w:sz="0" w:space="0" w:color="auto"/>
            <w:left w:val="none" w:sz="0" w:space="0" w:color="auto"/>
            <w:bottom w:val="none" w:sz="0" w:space="0" w:color="auto"/>
            <w:right w:val="none" w:sz="0" w:space="0" w:color="auto"/>
          </w:divBdr>
        </w:div>
        <w:div w:id="1913392025">
          <w:marLeft w:val="480"/>
          <w:marRight w:val="0"/>
          <w:marTop w:val="0"/>
          <w:marBottom w:val="0"/>
          <w:divBdr>
            <w:top w:val="none" w:sz="0" w:space="0" w:color="auto"/>
            <w:left w:val="none" w:sz="0" w:space="0" w:color="auto"/>
            <w:bottom w:val="none" w:sz="0" w:space="0" w:color="auto"/>
            <w:right w:val="none" w:sz="0" w:space="0" w:color="auto"/>
          </w:divBdr>
        </w:div>
        <w:div w:id="1257207500">
          <w:marLeft w:val="480"/>
          <w:marRight w:val="0"/>
          <w:marTop w:val="0"/>
          <w:marBottom w:val="0"/>
          <w:divBdr>
            <w:top w:val="none" w:sz="0" w:space="0" w:color="auto"/>
            <w:left w:val="none" w:sz="0" w:space="0" w:color="auto"/>
            <w:bottom w:val="none" w:sz="0" w:space="0" w:color="auto"/>
            <w:right w:val="none" w:sz="0" w:space="0" w:color="auto"/>
          </w:divBdr>
        </w:div>
        <w:div w:id="1513958708">
          <w:marLeft w:val="480"/>
          <w:marRight w:val="0"/>
          <w:marTop w:val="0"/>
          <w:marBottom w:val="0"/>
          <w:divBdr>
            <w:top w:val="none" w:sz="0" w:space="0" w:color="auto"/>
            <w:left w:val="none" w:sz="0" w:space="0" w:color="auto"/>
            <w:bottom w:val="none" w:sz="0" w:space="0" w:color="auto"/>
            <w:right w:val="none" w:sz="0" w:space="0" w:color="auto"/>
          </w:divBdr>
        </w:div>
        <w:div w:id="311952827">
          <w:marLeft w:val="480"/>
          <w:marRight w:val="0"/>
          <w:marTop w:val="0"/>
          <w:marBottom w:val="0"/>
          <w:divBdr>
            <w:top w:val="none" w:sz="0" w:space="0" w:color="auto"/>
            <w:left w:val="none" w:sz="0" w:space="0" w:color="auto"/>
            <w:bottom w:val="none" w:sz="0" w:space="0" w:color="auto"/>
            <w:right w:val="none" w:sz="0" w:space="0" w:color="auto"/>
          </w:divBdr>
        </w:div>
        <w:div w:id="1708985605">
          <w:marLeft w:val="480"/>
          <w:marRight w:val="0"/>
          <w:marTop w:val="0"/>
          <w:marBottom w:val="0"/>
          <w:divBdr>
            <w:top w:val="none" w:sz="0" w:space="0" w:color="auto"/>
            <w:left w:val="none" w:sz="0" w:space="0" w:color="auto"/>
            <w:bottom w:val="none" w:sz="0" w:space="0" w:color="auto"/>
            <w:right w:val="none" w:sz="0" w:space="0" w:color="auto"/>
          </w:divBdr>
        </w:div>
        <w:div w:id="1137138231">
          <w:marLeft w:val="480"/>
          <w:marRight w:val="0"/>
          <w:marTop w:val="0"/>
          <w:marBottom w:val="0"/>
          <w:divBdr>
            <w:top w:val="none" w:sz="0" w:space="0" w:color="auto"/>
            <w:left w:val="none" w:sz="0" w:space="0" w:color="auto"/>
            <w:bottom w:val="none" w:sz="0" w:space="0" w:color="auto"/>
            <w:right w:val="none" w:sz="0" w:space="0" w:color="auto"/>
          </w:divBdr>
        </w:div>
        <w:div w:id="565379185">
          <w:marLeft w:val="480"/>
          <w:marRight w:val="0"/>
          <w:marTop w:val="0"/>
          <w:marBottom w:val="0"/>
          <w:divBdr>
            <w:top w:val="none" w:sz="0" w:space="0" w:color="auto"/>
            <w:left w:val="none" w:sz="0" w:space="0" w:color="auto"/>
            <w:bottom w:val="none" w:sz="0" w:space="0" w:color="auto"/>
            <w:right w:val="none" w:sz="0" w:space="0" w:color="auto"/>
          </w:divBdr>
        </w:div>
        <w:div w:id="1744445911">
          <w:marLeft w:val="480"/>
          <w:marRight w:val="0"/>
          <w:marTop w:val="0"/>
          <w:marBottom w:val="0"/>
          <w:divBdr>
            <w:top w:val="none" w:sz="0" w:space="0" w:color="auto"/>
            <w:left w:val="none" w:sz="0" w:space="0" w:color="auto"/>
            <w:bottom w:val="none" w:sz="0" w:space="0" w:color="auto"/>
            <w:right w:val="none" w:sz="0" w:space="0" w:color="auto"/>
          </w:divBdr>
        </w:div>
        <w:div w:id="618606622">
          <w:marLeft w:val="480"/>
          <w:marRight w:val="0"/>
          <w:marTop w:val="0"/>
          <w:marBottom w:val="0"/>
          <w:divBdr>
            <w:top w:val="none" w:sz="0" w:space="0" w:color="auto"/>
            <w:left w:val="none" w:sz="0" w:space="0" w:color="auto"/>
            <w:bottom w:val="none" w:sz="0" w:space="0" w:color="auto"/>
            <w:right w:val="none" w:sz="0" w:space="0" w:color="auto"/>
          </w:divBdr>
        </w:div>
        <w:div w:id="1536700684">
          <w:marLeft w:val="480"/>
          <w:marRight w:val="0"/>
          <w:marTop w:val="0"/>
          <w:marBottom w:val="0"/>
          <w:divBdr>
            <w:top w:val="none" w:sz="0" w:space="0" w:color="auto"/>
            <w:left w:val="none" w:sz="0" w:space="0" w:color="auto"/>
            <w:bottom w:val="none" w:sz="0" w:space="0" w:color="auto"/>
            <w:right w:val="none" w:sz="0" w:space="0" w:color="auto"/>
          </w:divBdr>
        </w:div>
        <w:div w:id="852844071">
          <w:marLeft w:val="480"/>
          <w:marRight w:val="0"/>
          <w:marTop w:val="0"/>
          <w:marBottom w:val="0"/>
          <w:divBdr>
            <w:top w:val="none" w:sz="0" w:space="0" w:color="auto"/>
            <w:left w:val="none" w:sz="0" w:space="0" w:color="auto"/>
            <w:bottom w:val="none" w:sz="0" w:space="0" w:color="auto"/>
            <w:right w:val="none" w:sz="0" w:space="0" w:color="auto"/>
          </w:divBdr>
        </w:div>
        <w:div w:id="1132941561">
          <w:marLeft w:val="480"/>
          <w:marRight w:val="0"/>
          <w:marTop w:val="0"/>
          <w:marBottom w:val="0"/>
          <w:divBdr>
            <w:top w:val="none" w:sz="0" w:space="0" w:color="auto"/>
            <w:left w:val="none" w:sz="0" w:space="0" w:color="auto"/>
            <w:bottom w:val="none" w:sz="0" w:space="0" w:color="auto"/>
            <w:right w:val="none" w:sz="0" w:space="0" w:color="auto"/>
          </w:divBdr>
        </w:div>
        <w:div w:id="2063215720">
          <w:marLeft w:val="480"/>
          <w:marRight w:val="0"/>
          <w:marTop w:val="0"/>
          <w:marBottom w:val="0"/>
          <w:divBdr>
            <w:top w:val="none" w:sz="0" w:space="0" w:color="auto"/>
            <w:left w:val="none" w:sz="0" w:space="0" w:color="auto"/>
            <w:bottom w:val="none" w:sz="0" w:space="0" w:color="auto"/>
            <w:right w:val="none" w:sz="0" w:space="0" w:color="auto"/>
          </w:divBdr>
        </w:div>
        <w:div w:id="50420392">
          <w:marLeft w:val="480"/>
          <w:marRight w:val="0"/>
          <w:marTop w:val="0"/>
          <w:marBottom w:val="0"/>
          <w:divBdr>
            <w:top w:val="none" w:sz="0" w:space="0" w:color="auto"/>
            <w:left w:val="none" w:sz="0" w:space="0" w:color="auto"/>
            <w:bottom w:val="none" w:sz="0" w:space="0" w:color="auto"/>
            <w:right w:val="none" w:sz="0" w:space="0" w:color="auto"/>
          </w:divBdr>
        </w:div>
        <w:div w:id="182521398">
          <w:marLeft w:val="480"/>
          <w:marRight w:val="0"/>
          <w:marTop w:val="0"/>
          <w:marBottom w:val="0"/>
          <w:divBdr>
            <w:top w:val="none" w:sz="0" w:space="0" w:color="auto"/>
            <w:left w:val="none" w:sz="0" w:space="0" w:color="auto"/>
            <w:bottom w:val="none" w:sz="0" w:space="0" w:color="auto"/>
            <w:right w:val="none" w:sz="0" w:space="0" w:color="auto"/>
          </w:divBdr>
        </w:div>
        <w:div w:id="763578113">
          <w:marLeft w:val="480"/>
          <w:marRight w:val="0"/>
          <w:marTop w:val="0"/>
          <w:marBottom w:val="0"/>
          <w:divBdr>
            <w:top w:val="none" w:sz="0" w:space="0" w:color="auto"/>
            <w:left w:val="none" w:sz="0" w:space="0" w:color="auto"/>
            <w:bottom w:val="none" w:sz="0" w:space="0" w:color="auto"/>
            <w:right w:val="none" w:sz="0" w:space="0" w:color="auto"/>
          </w:divBdr>
        </w:div>
        <w:div w:id="1154758424">
          <w:marLeft w:val="480"/>
          <w:marRight w:val="0"/>
          <w:marTop w:val="0"/>
          <w:marBottom w:val="0"/>
          <w:divBdr>
            <w:top w:val="none" w:sz="0" w:space="0" w:color="auto"/>
            <w:left w:val="none" w:sz="0" w:space="0" w:color="auto"/>
            <w:bottom w:val="none" w:sz="0" w:space="0" w:color="auto"/>
            <w:right w:val="none" w:sz="0" w:space="0" w:color="auto"/>
          </w:divBdr>
        </w:div>
        <w:div w:id="1922399864">
          <w:marLeft w:val="480"/>
          <w:marRight w:val="0"/>
          <w:marTop w:val="0"/>
          <w:marBottom w:val="0"/>
          <w:divBdr>
            <w:top w:val="none" w:sz="0" w:space="0" w:color="auto"/>
            <w:left w:val="none" w:sz="0" w:space="0" w:color="auto"/>
            <w:bottom w:val="none" w:sz="0" w:space="0" w:color="auto"/>
            <w:right w:val="none" w:sz="0" w:space="0" w:color="auto"/>
          </w:divBdr>
        </w:div>
        <w:div w:id="1619488172">
          <w:marLeft w:val="480"/>
          <w:marRight w:val="0"/>
          <w:marTop w:val="0"/>
          <w:marBottom w:val="0"/>
          <w:divBdr>
            <w:top w:val="none" w:sz="0" w:space="0" w:color="auto"/>
            <w:left w:val="none" w:sz="0" w:space="0" w:color="auto"/>
            <w:bottom w:val="none" w:sz="0" w:space="0" w:color="auto"/>
            <w:right w:val="none" w:sz="0" w:space="0" w:color="auto"/>
          </w:divBdr>
        </w:div>
        <w:div w:id="1725449473">
          <w:marLeft w:val="480"/>
          <w:marRight w:val="0"/>
          <w:marTop w:val="0"/>
          <w:marBottom w:val="0"/>
          <w:divBdr>
            <w:top w:val="none" w:sz="0" w:space="0" w:color="auto"/>
            <w:left w:val="none" w:sz="0" w:space="0" w:color="auto"/>
            <w:bottom w:val="none" w:sz="0" w:space="0" w:color="auto"/>
            <w:right w:val="none" w:sz="0" w:space="0" w:color="auto"/>
          </w:divBdr>
        </w:div>
        <w:div w:id="1860774965">
          <w:marLeft w:val="480"/>
          <w:marRight w:val="0"/>
          <w:marTop w:val="0"/>
          <w:marBottom w:val="0"/>
          <w:divBdr>
            <w:top w:val="none" w:sz="0" w:space="0" w:color="auto"/>
            <w:left w:val="none" w:sz="0" w:space="0" w:color="auto"/>
            <w:bottom w:val="none" w:sz="0" w:space="0" w:color="auto"/>
            <w:right w:val="none" w:sz="0" w:space="0" w:color="auto"/>
          </w:divBdr>
        </w:div>
        <w:div w:id="480275859">
          <w:marLeft w:val="480"/>
          <w:marRight w:val="0"/>
          <w:marTop w:val="0"/>
          <w:marBottom w:val="0"/>
          <w:divBdr>
            <w:top w:val="none" w:sz="0" w:space="0" w:color="auto"/>
            <w:left w:val="none" w:sz="0" w:space="0" w:color="auto"/>
            <w:bottom w:val="none" w:sz="0" w:space="0" w:color="auto"/>
            <w:right w:val="none" w:sz="0" w:space="0" w:color="auto"/>
          </w:divBdr>
        </w:div>
        <w:div w:id="928973686">
          <w:marLeft w:val="480"/>
          <w:marRight w:val="0"/>
          <w:marTop w:val="0"/>
          <w:marBottom w:val="0"/>
          <w:divBdr>
            <w:top w:val="none" w:sz="0" w:space="0" w:color="auto"/>
            <w:left w:val="none" w:sz="0" w:space="0" w:color="auto"/>
            <w:bottom w:val="none" w:sz="0" w:space="0" w:color="auto"/>
            <w:right w:val="none" w:sz="0" w:space="0" w:color="auto"/>
          </w:divBdr>
        </w:div>
        <w:div w:id="1436946971">
          <w:marLeft w:val="480"/>
          <w:marRight w:val="0"/>
          <w:marTop w:val="0"/>
          <w:marBottom w:val="0"/>
          <w:divBdr>
            <w:top w:val="none" w:sz="0" w:space="0" w:color="auto"/>
            <w:left w:val="none" w:sz="0" w:space="0" w:color="auto"/>
            <w:bottom w:val="none" w:sz="0" w:space="0" w:color="auto"/>
            <w:right w:val="none" w:sz="0" w:space="0" w:color="auto"/>
          </w:divBdr>
        </w:div>
        <w:div w:id="222715366">
          <w:marLeft w:val="480"/>
          <w:marRight w:val="0"/>
          <w:marTop w:val="0"/>
          <w:marBottom w:val="0"/>
          <w:divBdr>
            <w:top w:val="none" w:sz="0" w:space="0" w:color="auto"/>
            <w:left w:val="none" w:sz="0" w:space="0" w:color="auto"/>
            <w:bottom w:val="none" w:sz="0" w:space="0" w:color="auto"/>
            <w:right w:val="none" w:sz="0" w:space="0" w:color="auto"/>
          </w:divBdr>
        </w:div>
        <w:div w:id="731537018">
          <w:marLeft w:val="480"/>
          <w:marRight w:val="0"/>
          <w:marTop w:val="0"/>
          <w:marBottom w:val="0"/>
          <w:divBdr>
            <w:top w:val="none" w:sz="0" w:space="0" w:color="auto"/>
            <w:left w:val="none" w:sz="0" w:space="0" w:color="auto"/>
            <w:bottom w:val="none" w:sz="0" w:space="0" w:color="auto"/>
            <w:right w:val="none" w:sz="0" w:space="0" w:color="auto"/>
          </w:divBdr>
        </w:div>
        <w:div w:id="894900328">
          <w:marLeft w:val="480"/>
          <w:marRight w:val="0"/>
          <w:marTop w:val="0"/>
          <w:marBottom w:val="0"/>
          <w:divBdr>
            <w:top w:val="none" w:sz="0" w:space="0" w:color="auto"/>
            <w:left w:val="none" w:sz="0" w:space="0" w:color="auto"/>
            <w:bottom w:val="none" w:sz="0" w:space="0" w:color="auto"/>
            <w:right w:val="none" w:sz="0" w:space="0" w:color="auto"/>
          </w:divBdr>
        </w:div>
        <w:div w:id="796533539">
          <w:marLeft w:val="480"/>
          <w:marRight w:val="0"/>
          <w:marTop w:val="0"/>
          <w:marBottom w:val="0"/>
          <w:divBdr>
            <w:top w:val="none" w:sz="0" w:space="0" w:color="auto"/>
            <w:left w:val="none" w:sz="0" w:space="0" w:color="auto"/>
            <w:bottom w:val="none" w:sz="0" w:space="0" w:color="auto"/>
            <w:right w:val="none" w:sz="0" w:space="0" w:color="auto"/>
          </w:divBdr>
        </w:div>
        <w:div w:id="2047949196">
          <w:marLeft w:val="480"/>
          <w:marRight w:val="0"/>
          <w:marTop w:val="0"/>
          <w:marBottom w:val="0"/>
          <w:divBdr>
            <w:top w:val="none" w:sz="0" w:space="0" w:color="auto"/>
            <w:left w:val="none" w:sz="0" w:space="0" w:color="auto"/>
            <w:bottom w:val="none" w:sz="0" w:space="0" w:color="auto"/>
            <w:right w:val="none" w:sz="0" w:space="0" w:color="auto"/>
          </w:divBdr>
        </w:div>
        <w:div w:id="1231383114">
          <w:marLeft w:val="480"/>
          <w:marRight w:val="0"/>
          <w:marTop w:val="0"/>
          <w:marBottom w:val="0"/>
          <w:divBdr>
            <w:top w:val="none" w:sz="0" w:space="0" w:color="auto"/>
            <w:left w:val="none" w:sz="0" w:space="0" w:color="auto"/>
            <w:bottom w:val="none" w:sz="0" w:space="0" w:color="auto"/>
            <w:right w:val="none" w:sz="0" w:space="0" w:color="auto"/>
          </w:divBdr>
        </w:div>
        <w:div w:id="249046243">
          <w:marLeft w:val="480"/>
          <w:marRight w:val="0"/>
          <w:marTop w:val="0"/>
          <w:marBottom w:val="0"/>
          <w:divBdr>
            <w:top w:val="none" w:sz="0" w:space="0" w:color="auto"/>
            <w:left w:val="none" w:sz="0" w:space="0" w:color="auto"/>
            <w:bottom w:val="none" w:sz="0" w:space="0" w:color="auto"/>
            <w:right w:val="none" w:sz="0" w:space="0" w:color="auto"/>
          </w:divBdr>
        </w:div>
        <w:div w:id="1427530547">
          <w:marLeft w:val="480"/>
          <w:marRight w:val="0"/>
          <w:marTop w:val="0"/>
          <w:marBottom w:val="0"/>
          <w:divBdr>
            <w:top w:val="none" w:sz="0" w:space="0" w:color="auto"/>
            <w:left w:val="none" w:sz="0" w:space="0" w:color="auto"/>
            <w:bottom w:val="none" w:sz="0" w:space="0" w:color="auto"/>
            <w:right w:val="none" w:sz="0" w:space="0" w:color="auto"/>
          </w:divBdr>
        </w:div>
        <w:div w:id="1526289742">
          <w:marLeft w:val="480"/>
          <w:marRight w:val="0"/>
          <w:marTop w:val="0"/>
          <w:marBottom w:val="0"/>
          <w:divBdr>
            <w:top w:val="none" w:sz="0" w:space="0" w:color="auto"/>
            <w:left w:val="none" w:sz="0" w:space="0" w:color="auto"/>
            <w:bottom w:val="none" w:sz="0" w:space="0" w:color="auto"/>
            <w:right w:val="none" w:sz="0" w:space="0" w:color="auto"/>
          </w:divBdr>
        </w:div>
        <w:div w:id="1870757002">
          <w:marLeft w:val="480"/>
          <w:marRight w:val="0"/>
          <w:marTop w:val="0"/>
          <w:marBottom w:val="0"/>
          <w:divBdr>
            <w:top w:val="none" w:sz="0" w:space="0" w:color="auto"/>
            <w:left w:val="none" w:sz="0" w:space="0" w:color="auto"/>
            <w:bottom w:val="none" w:sz="0" w:space="0" w:color="auto"/>
            <w:right w:val="none" w:sz="0" w:space="0" w:color="auto"/>
          </w:divBdr>
        </w:div>
        <w:div w:id="2072076028">
          <w:marLeft w:val="480"/>
          <w:marRight w:val="0"/>
          <w:marTop w:val="0"/>
          <w:marBottom w:val="0"/>
          <w:divBdr>
            <w:top w:val="none" w:sz="0" w:space="0" w:color="auto"/>
            <w:left w:val="none" w:sz="0" w:space="0" w:color="auto"/>
            <w:bottom w:val="none" w:sz="0" w:space="0" w:color="auto"/>
            <w:right w:val="none" w:sz="0" w:space="0" w:color="auto"/>
          </w:divBdr>
        </w:div>
        <w:div w:id="203687019">
          <w:marLeft w:val="480"/>
          <w:marRight w:val="0"/>
          <w:marTop w:val="0"/>
          <w:marBottom w:val="0"/>
          <w:divBdr>
            <w:top w:val="none" w:sz="0" w:space="0" w:color="auto"/>
            <w:left w:val="none" w:sz="0" w:space="0" w:color="auto"/>
            <w:bottom w:val="none" w:sz="0" w:space="0" w:color="auto"/>
            <w:right w:val="none" w:sz="0" w:space="0" w:color="auto"/>
          </w:divBdr>
        </w:div>
        <w:div w:id="2054645544">
          <w:marLeft w:val="480"/>
          <w:marRight w:val="0"/>
          <w:marTop w:val="0"/>
          <w:marBottom w:val="0"/>
          <w:divBdr>
            <w:top w:val="none" w:sz="0" w:space="0" w:color="auto"/>
            <w:left w:val="none" w:sz="0" w:space="0" w:color="auto"/>
            <w:bottom w:val="none" w:sz="0" w:space="0" w:color="auto"/>
            <w:right w:val="none" w:sz="0" w:space="0" w:color="auto"/>
          </w:divBdr>
        </w:div>
        <w:div w:id="1621915090">
          <w:marLeft w:val="480"/>
          <w:marRight w:val="0"/>
          <w:marTop w:val="0"/>
          <w:marBottom w:val="0"/>
          <w:divBdr>
            <w:top w:val="none" w:sz="0" w:space="0" w:color="auto"/>
            <w:left w:val="none" w:sz="0" w:space="0" w:color="auto"/>
            <w:bottom w:val="none" w:sz="0" w:space="0" w:color="auto"/>
            <w:right w:val="none" w:sz="0" w:space="0" w:color="auto"/>
          </w:divBdr>
        </w:div>
        <w:div w:id="147522923">
          <w:marLeft w:val="480"/>
          <w:marRight w:val="0"/>
          <w:marTop w:val="0"/>
          <w:marBottom w:val="0"/>
          <w:divBdr>
            <w:top w:val="none" w:sz="0" w:space="0" w:color="auto"/>
            <w:left w:val="none" w:sz="0" w:space="0" w:color="auto"/>
            <w:bottom w:val="none" w:sz="0" w:space="0" w:color="auto"/>
            <w:right w:val="none" w:sz="0" w:space="0" w:color="auto"/>
          </w:divBdr>
        </w:div>
      </w:divsChild>
    </w:div>
    <w:div w:id="777481243">
      <w:bodyDiv w:val="1"/>
      <w:marLeft w:val="0"/>
      <w:marRight w:val="0"/>
      <w:marTop w:val="0"/>
      <w:marBottom w:val="0"/>
      <w:divBdr>
        <w:top w:val="none" w:sz="0" w:space="0" w:color="auto"/>
        <w:left w:val="none" w:sz="0" w:space="0" w:color="auto"/>
        <w:bottom w:val="none" w:sz="0" w:space="0" w:color="auto"/>
        <w:right w:val="none" w:sz="0" w:space="0" w:color="auto"/>
      </w:divBdr>
    </w:div>
    <w:div w:id="777530337">
      <w:bodyDiv w:val="1"/>
      <w:marLeft w:val="0"/>
      <w:marRight w:val="0"/>
      <w:marTop w:val="0"/>
      <w:marBottom w:val="0"/>
      <w:divBdr>
        <w:top w:val="none" w:sz="0" w:space="0" w:color="auto"/>
        <w:left w:val="none" w:sz="0" w:space="0" w:color="auto"/>
        <w:bottom w:val="none" w:sz="0" w:space="0" w:color="auto"/>
        <w:right w:val="none" w:sz="0" w:space="0" w:color="auto"/>
      </w:divBdr>
    </w:div>
    <w:div w:id="777720277">
      <w:bodyDiv w:val="1"/>
      <w:marLeft w:val="0"/>
      <w:marRight w:val="0"/>
      <w:marTop w:val="0"/>
      <w:marBottom w:val="0"/>
      <w:divBdr>
        <w:top w:val="none" w:sz="0" w:space="0" w:color="auto"/>
        <w:left w:val="none" w:sz="0" w:space="0" w:color="auto"/>
        <w:bottom w:val="none" w:sz="0" w:space="0" w:color="auto"/>
        <w:right w:val="none" w:sz="0" w:space="0" w:color="auto"/>
      </w:divBdr>
    </w:div>
    <w:div w:id="780153175">
      <w:bodyDiv w:val="1"/>
      <w:marLeft w:val="0"/>
      <w:marRight w:val="0"/>
      <w:marTop w:val="0"/>
      <w:marBottom w:val="0"/>
      <w:divBdr>
        <w:top w:val="none" w:sz="0" w:space="0" w:color="auto"/>
        <w:left w:val="none" w:sz="0" w:space="0" w:color="auto"/>
        <w:bottom w:val="none" w:sz="0" w:space="0" w:color="auto"/>
        <w:right w:val="none" w:sz="0" w:space="0" w:color="auto"/>
      </w:divBdr>
    </w:div>
    <w:div w:id="780689440">
      <w:bodyDiv w:val="1"/>
      <w:marLeft w:val="0"/>
      <w:marRight w:val="0"/>
      <w:marTop w:val="0"/>
      <w:marBottom w:val="0"/>
      <w:divBdr>
        <w:top w:val="none" w:sz="0" w:space="0" w:color="auto"/>
        <w:left w:val="none" w:sz="0" w:space="0" w:color="auto"/>
        <w:bottom w:val="none" w:sz="0" w:space="0" w:color="auto"/>
        <w:right w:val="none" w:sz="0" w:space="0" w:color="auto"/>
      </w:divBdr>
    </w:div>
    <w:div w:id="780730425">
      <w:bodyDiv w:val="1"/>
      <w:marLeft w:val="0"/>
      <w:marRight w:val="0"/>
      <w:marTop w:val="0"/>
      <w:marBottom w:val="0"/>
      <w:divBdr>
        <w:top w:val="none" w:sz="0" w:space="0" w:color="auto"/>
        <w:left w:val="none" w:sz="0" w:space="0" w:color="auto"/>
        <w:bottom w:val="none" w:sz="0" w:space="0" w:color="auto"/>
        <w:right w:val="none" w:sz="0" w:space="0" w:color="auto"/>
      </w:divBdr>
    </w:div>
    <w:div w:id="780805421">
      <w:bodyDiv w:val="1"/>
      <w:marLeft w:val="0"/>
      <w:marRight w:val="0"/>
      <w:marTop w:val="0"/>
      <w:marBottom w:val="0"/>
      <w:divBdr>
        <w:top w:val="none" w:sz="0" w:space="0" w:color="auto"/>
        <w:left w:val="none" w:sz="0" w:space="0" w:color="auto"/>
        <w:bottom w:val="none" w:sz="0" w:space="0" w:color="auto"/>
        <w:right w:val="none" w:sz="0" w:space="0" w:color="auto"/>
      </w:divBdr>
    </w:div>
    <w:div w:id="781337973">
      <w:bodyDiv w:val="1"/>
      <w:marLeft w:val="0"/>
      <w:marRight w:val="0"/>
      <w:marTop w:val="0"/>
      <w:marBottom w:val="0"/>
      <w:divBdr>
        <w:top w:val="none" w:sz="0" w:space="0" w:color="auto"/>
        <w:left w:val="none" w:sz="0" w:space="0" w:color="auto"/>
        <w:bottom w:val="none" w:sz="0" w:space="0" w:color="auto"/>
        <w:right w:val="none" w:sz="0" w:space="0" w:color="auto"/>
      </w:divBdr>
    </w:div>
    <w:div w:id="781800741">
      <w:bodyDiv w:val="1"/>
      <w:marLeft w:val="0"/>
      <w:marRight w:val="0"/>
      <w:marTop w:val="0"/>
      <w:marBottom w:val="0"/>
      <w:divBdr>
        <w:top w:val="none" w:sz="0" w:space="0" w:color="auto"/>
        <w:left w:val="none" w:sz="0" w:space="0" w:color="auto"/>
        <w:bottom w:val="none" w:sz="0" w:space="0" w:color="auto"/>
        <w:right w:val="none" w:sz="0" w:space="0" w:color="auto"/>
      </w:divBdr>
    </w:div>
    <w:div w:id="782924309">
      <w:bodyDiv w:val="1"/>
      <w:marLeft w:val="0"/>
      <w:marRight w:val="0"/>
      <w:marTop w:val="0"/>
      <w:marBottom w:val="0"/>
      <w:divBdr>
        <w:top w:val="none" w:sz="0" w:space="0" w:color="auto"/>
        <w:left w:val="none" w:sz="0" w:space="0" w:color="auto"/>
        <w:bottom w:val="none" w:sz="0" w:space="0" w:color="auto"/>
        <w:right w:val="none" w:sz="0" w:space="0" w:color="auto"/>
      </w:divBdr>
    </w:div>
    <w:div w:id="782959943">
      <w:bodyDiv w:val="1"/>
      <w:marLeft w:val="0"/>
      <w:marRight w:val="0"/>
      <w:marTop w:val="0"/>
      <w:marBottom w:val="0"/>
      <w:divBdr>
        <w:top w:val="none" w:sz="0" w:space="0" w:color="auto"/>
        <w:left w:val="none" w:sz="0" w:space="0" w:color="auto"/>
        <w:bottom w:val="none" w:sz="0" w:space="0" w:color="auto"/>
        <w:right w:val="none" w:sz="0" w:space="0" w:color="auto"/>
      </w:divBdr>
    </w:div>
    <w:div w:id="783233776">
      <w:bodyDiv w:val="1"/>
      <w:marLeft w:val="0"/>
      <w:marRight w:val="0"/>
      <w:marTop w:val="0"/>
      <w:marBottom w:val="0"/>
      <w:divBdr>
        <w:top w:val="none" w:sz="0" w:space="0" w:color="auto"/>
        <w:left w:val="none" w:sz="0" w:space="0" w:color="auto"/>
        <w:bottom w:val="none" w:sz="0" w:space="0" w:color="auto"/>
        <w:right w:val="none" w:sz="0" w:space="0" w:color="auto"/>
      </w:divBdr>
    </w:div>
    <w:div w:id="783571500">
      <w:bodyDiv w:val="1"/>
      <w:marLeft w:val="0"/>
      <w:marRight w:val="0"/>
      <w:marTop w:val="0"/>
      <w:marBottom w:val="0"/>
      <w:divBdr>
        <w:top w:val="none" w:sz="0" w:space="0" w:color="auto"/>
        <w:left w:val="none" w:sz="0" w:space="0" w:color="auto"/>
        <w:bottom w:val="none" w:sz="0" w:space="0" w:color="auto"/>
        <w:right w:val="none" w:sz="0" w:space="0" w:color="auto"/>
      </w:divBdr>
    </w:div>
    <w:div w:id="784495451">
      <w:bodyDiv w:val="1"/>
      <w:marLeft w:val="0"/>
      <w:marRight w:val="0"/>
      <w:marTop w:val="0"/>
      <w:marBottom w:val="0"/>
      <w:divBdr>
        <w:top w:val="none" w:sz="0" w:space="0" w:color="auto"/>
        <w:left w:val="none" w:sz="0" w:space="0" w:color="auto"/>
        <w:bottom w:val="none" w:sz="0" w:space="0" w:color="auto"/>
        <w:right w:val="none" w:sz="0" w:space="0" w:color="auto"/>
      </w:divBdr>
    </w:div>
    <w:div w:id="784542008">
      <w:bodyDiv w:val="1"/>
      <w:marLeft w:val="0"/>
      <w:marRight w:val="0"/>
      <w:marTop w:val="0"/>
      <w:marBottom w:val="0"/>
      <w:divBdr>
        <w:top w:val="none" w:sz="0" w:space="0" w:color="auto"/>
        <w:left w:val="none" w:sz="0" w:space="0" w:color="auto"/>
        <w:bottom w:val="none" w:sz="0" w:space="0" w:color="auto"/>
        <w:right w:val="none" w:sz="0" w:space="0" w:color="auto"/>
      </w:divBdr>
    </w:div>
    <w:div w:id="784544408">
      <w:bodyDiv w:val="1"/>
      <w:marLeft w:val="0"/>
      <w:marRight w:val="0"/>
      <w:marTop w:val="0"/>
      <w:marBottom w:val="0"/>
      <w:divBdr>
        <w:top w:val="none" w:sz="0" w:space="0" w:color="auto"/>
        <w:left w:val="none" w:sz="0" w:space="0" w:color="auto"/>
        <w:bottom w:val="none" w:sz="0" w:space="0" w:color="auto"/>
        <w:right w:val="none" w:sz="0" w:space="0" w:color="auto"/>
      </w:divBdr>
    </w:div>
    <w:div w:id="785007741">
      <w:bodyDiv w:val="1"/>
      <w:marLeft w:val="0"/>
      <w:marRight w:val="0"/>
      <w:marTop w:val="0"/>
      <w:marBottom w:val="0"/>
      <w:divBdr>
        <w:top w:val="none" w:sz="0" w:space="0" w:color="auto"/>
        <w:left w:val="none" w:sz="0" w:space="0" w:color="auto"/>
        <w:bottom w:val="none" w:sz="0" w:space="0" w:color="auto"/>
        <w:right w:val="none" w:sz="0" w:space="0" w:color="auto"/>
      </w:divBdr>
    </w:div>
    <w:div w:id="785200970">
      <w:bodyDiv w:val="1"/>
      <w:marLeft w:val="0"/>
      <w:marRight w:val="0"/>
      <w:marTop w:val="0"/>
      <w:marBottom w:val="0"/>
      <w:divBdr>
        <w:top w:val="none" w:sz="0" w:space="0" w:color="auto"/>
        <w:left w:val="none" w:sz="0" w:space="0" w:color="auto"/>
        <w:bottom w:val="none" w:sz="0" w:space="0" w:color="auto"/>
        <w:right w:val="none" w:sz="0" w:space="0" w:color="auto"/>
      </w:divBdr>
    </w:div>
    <w:div w:id="785585894">
      <w:bodyDiv w:val="1"/>
      <w:marLeft w:val="0"/>
      <w:marRight w:val="0"/>
      <w:marTop w:val="0"/>
      <w:marBottom w:val="0"/>
      <w:divBdr>
        <w:top w:val="none" w:sz="0" w:space="0" w:color="auto"/>
        <w:left w:val="none" w:sz="0" w:space="0" w:color="auto"/>
        <w:bottom w:val="none" w:sz="0" w:space="0" w:color="auto"/>
        <w:right w:val="none" w:sz="0" w:space="0" w:color="auto"/>
      </w:divBdr>
    </w:div>
    <w:div w:id="785739742">
      <w:bodyDiv w:val="1"/>
      <w:marLeft w:val="0"/>
      <w:marRight w:val="0"/>
      <w:marTop w:val="0"/>
      <w:marBottom w:val="0"/>
      <w:divBdr>
        <w:top w:val="none" w:sz="0" w:space="0" w:color="auto"/>
        <w:left w:val="none" w:sz="0" w:space="0" w:color="auto"/>
        <w:bottom w:val="none" w:sz="0" w:space="0" w:color="auto"/>
        <w:right w:val="none" w:sz="0" w:space="0" w:color="auto"/>
      </w:divBdr>
    </w:div>
    <w:div w:id="786198726">
      <w:bodyDiv w:val="1"/>
      <w:marLeft w:val="0"/>
      <w:marRight w:val="0"/>
      <w:marTop w:val="0"/>
      <w:marBottom w:val="0"/>
      <w:divBdr>
        <w:top w:val="none" w:sz="0" w:space="0" w:color="auto"/>
        <w:left w:val="none" w:sz="0" w:space="0" w:color="auto"/>
        <w:bottom w:val="none" w:sz="0" w:space="0" w:color="auto"/>
        <w:right w:val="none" w:sz="0" w:space="0" w:color="auto"/>
      </w:divBdr>
    </w:div>
    <w:div w:id="786586366">
      <w:bodyDiv w:val="1"/>
      <w:marLeft w:val="0"/>
      <w:marRight w:val="0"/>
      <w:marTop w:val="0"/>
      <w:marBottom w:val="0"/>
      <w:divBdr>
        <w:top w:val="none" w:sz="0" w:space="0" w:color="auto"/>
        <w:left w:val="none" w:sz="0" w:space="0" w:color="auto"/>
        <w:bottom w:val="none" w:sz="0" w:space="0" w:color="auto"/>
        <w:right w:val="none" w:sz="0" w:space="0" w:color="auto"/>
      </w:divBdr>
    </w:div>
    <w:div w:id="786699710">
      <w:bodyDiv w:val="1"/>
      <w:marLeft w:val="0"/>
      <w:marRight w:val="0"/>
      <w:marTop w:val="0"/>
      <w:marBottom w:val="0"/>
      <w:divBdr>
        <w:top w:val="none" w:sz="0" w:space="0" w:color="auto"/>
        <w:left w:val="none" w:sz="0" w:space="0" w:color="auto"/>
        <w:bottom w:val="none" w:sz="0" w:space="0" w:color="auto"/>
        <w:right w:val="none" w:sz="0" w:space="0" w:color="auto"/>
      </w:divBdr>
    </w:div>
    <w:div w:id="786704996">
      <w:bodyDiv w:val="1"/>
      <w:marLeft w:val="0"/>
      <w:marRight w:val="0"/>
      <w:marTop w:val="0"/>
      <w:marBottom w:val="0"/>
      <w:divBdr>
        <w:top w:val="none" w:sz="0" w:space="0" w:color="auto"/>
        <w:left w:val="none" w:sz="0" w:space="0" w:color="auto"/>
        <w:bottom w:val="none" w:sz="0" w:space="0" w:color="auto"/>
        <w:right w:val="none" w:sz="0" w:space="0" w:color="auto"/>
      </w:divBdr>
    </w:div>
    <w:div w:id="786974274">
      <w:bodyDiv w:val="1"/>
      <w:marLeft w:val="0"/>
      <w:marRight w:val="0"/>
      <w:marTop w:val="0"/>
      <w:marBottom w:val="0"/>
      <w:divBdr>
        <w:top w:val="none" w:sz="0" w:space="0" w:color="auto"/>
        <w:left w:val="none" w:sz="0" w:space="0" w:color="auto"/>
        <w:bottom w:val="none" w:sz="0" w:space="0" w:color="auto"/>
        <w:right w:val="none" w:sz="0" w:space="0" w:color="auto"/>
      </w:divBdr>
    </w:div>
    <w:div w:id="787356570">
      <w:bodyDiv w:val="1"/>
      <w:marLeft w:val="0"/>
      <w:marRight w:val="0"/>
      <w:marTop w:val="0"/>
      <w:marBottom w:val="0"/>
      <w:divBdr>
        <w:top w:val="none" w:sz="0" w:space="0" w:color="auto"/>
        <w:left w:val="none" w:sz="0" w:space="0" w:color="auto"/>
        <w:bottom w:val="none" w:sz="0" w:space="0" w:color="auto"/>
        <w:right w:val="none" w:sz="0" w:space="0" w:color="auto"/>
      </w:divBdr>
    </w:div>
    <w:div w:id="787361366">
      <w:bodyDiv w:val="1"/>
      <w:marLeft w:val="0"/>
      <w:marRight w:val="0"/>
      <w:marTop w:val="0"/>
      <w:marBottom w:val="0"/>
      <w:divBdr>
        <w:top w:val="none" w:sz="0" w:space="0" w:color="auto"/>
        <w:left w:val="none" w:sz="0" w:space="0" w:color="auto"/>
        <w:bottom w:val="none" w:sz="0" w:space="0" w:color="auto"/>
        <w:right w:val="none" w:sz="0" w:space="0" w:color="auto"/>
      </w:divBdr>
    </w:div>
    <w:div w:id="787624487">
      <w:bodyDiv w:val="1"/>
      <w:marLeft w:val="0"/>
      <w:marRight w:val="0"/>
      <w:marTop w:val="0"/>
      <w:marBottom w:val="0"/>
      <w:divBdr>
        <w:top w:val="none" w:sz="0" w:space="0" w:color="auto"/>
        <w:left w:val="none" w:sz="0" w:space="0" w:color="auto"/>
        <w:bottom w:val="none" w:sz="0" w:space="0" w:color="auto"/>
        <w:right w:val="none" w:sz="0" w:space="0" w:color="auto"/>
      </w:divBdr>
    </w:div>
    <w:div w:id="788359074">
      <w:bodyDiv w:val="1"/>
      <w:marLeft w:val="0"/>
      <w:marRight w:val="0"/>
      <w:marTop w:val="0"/>
      <w:marBottom w:val="0"/>
      <w:divBdr>
        <w:top w:val="none" w:sz="0" w:space="0" w:color="auto"/>
        <w:left w:val="none" w:sz="0" w:space="0" w:color="auto"/>
        <w:bottom w:val="none" w:sz="0" w:space="0" w:color="auto"/>
        <w:right w:val="none" w:sz="0" w:space="0" w:color="auto"/>
      </w:divBdr>
    </w:div>
    <w:div w:id="790250015">
      <w:bodyDiv w:val="1"/>
      <w:marLeft w:val="0"/>
      <w:marRight w:val="0"/>
      <w:marTop w:val="0"/>
      <w:marBottom w:val="0"/>
      <w:divBdr>
        <w:top w:val="none" w:sz="0" w:space="0" w:color="auto"/>
        <w:left w:val="none" w:sz="0" w:space="0" w:color="auto"/>
        <w:bottom w:val="none" w:sz="0" w:space="0" w:color="auto"/>
        <w:right w:val="none" w:sz="0" w:space="0" w:color="auto"/>
      </w:divBdr>
    </w:div>
    <w:div w:id="791707094">
      <w:bodyDiv w:val="1"/>
      <w:marLeft w:val="0"/>
      <w:marRight w:val="0"/>
      <w:marTop w:val="0"/>
      <w:marBottom w:val="0"/>
      <w:divBdr>
        <w:top w:val="none" w:sz="0" w:space="0" w:color="auto"/>
        <w:left w:val="none" w:sz="0" w:space="0" w:color="auto"/>
        <w:bottom w:val="none" w:sz="0" w:space="0" w:color="auto"/>
        <w:right w:val="none" w:sz="0" w:space="0" w:color="auto"/>
      </w:divBdr>
    </w:div>
    <w:div w:id="792140408">
      <w:bodyDiv w:val="1"/>
      <w:marLeft w:val="0"/>
      <w:marRight w:val="0"/>
      <w:marTop w:val="0"/>
      <w:marBottom w:val="0"/>
      <w:divBdr>
        <w:top w:val="none" w:sz="0" w:space="0" w:color="auto"/>
        <w:left w:val="none" w:sz="0" w:space="0" w:color="auto"/>
        <w:bottom w:val="none" w:sz="0" w:space="0" w:color="auto"/>
        <w:right w:val="none" w:sz="0" w:space="0" w:color="auto"/>
      </w:divBdr>
    </w:div>
    <w:div w:id="792986358">
      <w:bodyDiv w:val="1"/>
      <w:marLeft w:val="0"/>
      <w:marRight w:val="0"/>
      <w:marTop w:val="0"/>
      <w:marBottom w:val="0"/>
      <w:divBdr>
        <w:top w:val="none" w:sz="0" w:space="0" w:color="auto"/>
        <w:left w:val="none" w:sz="0" w:space="0" w:color="auto"/>
        <w:bottom w:val="none" w:sz="0" w:space="0" w:color="auto"/>
        <w:right w:val="none" w:sz="0" w:space="0" w:color="auto"/>
      </w:divBdr>
    </w:div>
    <w:div w:id="794060281">
      <w:bodyDiv w:val="1"/>
      <w:marLeft w:val="0"/>
      <w:marRight w:val="0"/>
      <w:marTop w:val="0"/>
      <w:marBottom w:val="0"/>
      <w:divBdr>
        <w:top w:val="none" w:sz="0" w:space="0" w:color="auto"/>
        <w:left w:val="none" w:sz="0" w:space="0" w:color="auto"/>
        <w:bottom w:val="none" w:sz="0" w:space="0" w:color="auto"/>
        <w:right w:val="none" w:sz="0" w:space="0" w:color="auto"/>
      </w:divBdr>
    </w:div>
    <w:div w:id="794326260">
      <w:bodyDiv w:val="1"/>
      <w:marLeft w:val="0"/>
      <w:marRight w:val="0"/>
      <w:marTop w:val="0"/>
      <w:marBottom w:val="0"/>
      <w:divBdr>
        <w:top w:val="none" w:sz="0" w:space="0" w:color="auto"/>
        <w:left w:val="none" w:sz="0" w:space="0" w:color="auto"/>
        <w:bottom w:val="none" w:sz="0" w:space="0" w:color="auto"/>
        <w:right w:val="none" w:sz="0" w:space="0" w:color="auto"/>
      </w:divBdr>
    </w:div>
    <w:div w:id="794446001">
      <w:bodyDiv w:val="1"/>
      <w:marLeft w:val="0"/>
      <w:marRight w:val="0"/>
      <w:marTop w:val="0"/>
      <w:marBottom w:val="0"/>
      <w:divBdr>
        <w:top w:val="none" w:sz="0" w:space="0" w:color="auto"/>
        <w:left w:val="none" w:sz="0" w:space="0" w:color="auto"/>
        <w:bottom w:val="none" w:sz="0" w:space="0" w:color="auto"/>
        <w:right w:val="none" w:sz="0" w:space="0" w:color="auto"/>
      </w:divBdr>
    </w:div>
    <w:div w:id="794713858">
      <w:bodyDiv w:val="1"/>
      <w:marLeft w:val="0"/>
      <w:marRight w:val="0"/>
      <w:marTop w:val="0"/>
      <w:marBottom w:val="0"/>
      <w:divBdr>
        <w:top w:val="none" w:sz="0" w:space="0" w:color="auto"/>
        <w:left w:val="none" w:sz="0" w:space="0" w:color="auto"/>
        <w:bottom w:val="none" w:sz="0" w:space="0" w:color="auto"/>
        <w:right w:val="none" w:sz="0" w:space="0" w:color="auto"/>
      </w:divBdr>
    </w:div>
    <w:div w:id="795220072">
      <w:bodyDiv w:val="1"/>
      <w:marLeft w:val="0"/>
      <w:marRight w:val="0"/>
      <w:marTop w:val="0"/>
      <w:marBottom w:val="0"/>
      <w:divBdr>
        <w:top w:val="none" w:sz="0" w:space="0" w:color="auto"/>
        <w:left w:val="none" w:sz="0" w:space="0" w:color="auto"/>
        <w:bottom w:val="none" w:sz="0" w:space="0" w:color="auto"/>
        <w:right w:val="none" w:sz="0" w:space="0" w:color="auto"/>
      </w:divBdr>
    </w:div>
    <w:div w:id="795441375">
      <w:bodyDiv w:val="1"/>
      <w:marLeft w:val="0"/>
      <w:marRight w:val="0"/>
      <w:marTop w:val="0"/>
      <w:marBottom w:val="0"/>
      <w:divBdr>
        <w:top w:val="none" w:sz="0" w:space="0" w:color="auto"/>
        <w:left w:val="none" w:sz="0" w:space="0" w:color="auto"/>
        <w:bottom w:val="none" w:sz="0" w:space="0" w:color="auto"/>
        <w:right w:val="none" w:sz="0" w:space="0" w:color="auto"/>
      </w:divBdr>
    </w:div>
    <w:div w:id="795754857">
      <w:bodyDiv w:val="1"/>
      <w:marLeft w:val="0"/>
      <w:marRight w:val="0"/>
      <w:marTop w:val="0"/>
      <w:marBottom w:val="0"/>
      <w:divBdr>
        <w:top w:val="none" w:sz="0" w:space="0" w:color="auto"/>
        <w:left w:val="none" w:sz="0" w:space="0" w:color="auto"/>
        <w:bottom w:val="none" w:sz="0" w:space="0" w:color="auto"/>
        <w:right w:val="none" w:sz="0" w:space="0" w:color="auto"/>
      </w:divBdr>
    </w:div>
    <w:div w:id="796146718">
      <w:bodyDiv w:val="1"/>
      <w:marLeft w:val="0"/>
      <w:marRight w:val="0"/>
      <w:marTop w:val="0"/>
      <w:marBottom w:val="0"/>
      <w:divBdr>
        <w:top w:val="none" w:sz="0" w:space="0" w:color="auto"/>
        <w:left w:val="none" w:sz="0" w:space="0" w:color="auto"/>
        <w:bottom w:val="none" w:sz="0" w:space="0" w:color="auto"/>
        <w:right w:val="none" w:sz="0" w:space="0" w:color="auto"/>
      </w:divBdr>
    </w:div>
    <w:div w:id="796489216">
      <w:bodyDiv w:val="1"/>
      <w:marLeft w:val="0"/>
      <w:marRight w:val="0"/>
      <w:marTop w:val="0"/>
      <w:marBottom w:val="0"/>
      <w:divBdr>
        <w:top w:val="none" w:sz="0" w:space="0" w:color="auto"/>
        <w:left w:val="none" w:sz="0" w:space="0" w:color="auto"/>
        <w:bottom w:val="none" w:sz="0" w:space="0" w:color="auto"/>
        <w:right w:val="none" w:sz="0" w:space="0" w:color="auto"/>
      </w:divBdr>
    </w:div>
    <w:div w:id="797262790">
      <w:bodyDiv w:val="1"/>
      <w:marLeft w:val="0"/>
      <w:marRight w:val="0"/>
      <w:marTop w:val="0"/>
      <w:marBottom w:val="0"/>
      <w:divBdr>
        <w:top w:val="none" w:sz="0" w:space="0" w:color="auto"/>
        <w:left w:val="none" w:sz="0" w:space="0" w:color="auto"/>
        <w:bottom w:val="none" w:sz="0" w:space="0" w:color="auto"/>
        <w:right w:val="none" w:sz="0" w:space="0" w:color="auto"/>
      </w:divBdr>
    </w:div>
    <w:div w:id="797651498">
      <w:bodyDiv w:val="1"/>
      <w:marLeft w:val="0"/>
      <w:marRight w:val="0"/>
      <w:marTop w:val="0"/>
      <w:marBottom w:val="0"/>
      <w:divBdr>
        <w:top w:val="none" w:sz="0" w:space="0" w:color="auto"/>
        <w:left w:val="none" w:sz="0" w:space="0" w:color="auto"/>
        <w:bottom w:val="none" w:sz="0" w:space="0" w:color="auto"/>
        <w:right w:val="none" w:sz="0" w:space="0" w:color="auto"/>
      </w:divBdr>
    </w:div>
    <w:div w:id="797912695">
      <w:bodyDiv w:val="1"/>
      <w:marLeft w:val="0"/>
      <w:marRight w:val="0"/>
      <w:marTop w:val="0"/>
      <w:marBottom w:val="0"/>
      <w:divBdr>
        <w:top w:val="none" w:sz="0" w:space="0" w:color="auto"/>
        <w:left w:val="none" w:sz="0" w:space="0" w:color="auto"/>
        <w:bottom w:val="none" w:sz="0" w:space="0" w:color="auto"/>
        <w:right w:val="none" w:sz="0" w:space="0" w:color="auto"/>
      </w:divBdr>
    </w:div>
    <w:div w:id="798106790">
      <w:bodyDiv w:val="1"/>
      <w:marLeft w:val="0"/>
      <w:marRight w:val="0"/>
      <w:marTop w:val="0"/>
      <w:marBottom w:val="0"/>
      <w:divBdr>
        <w:top w:val="none" w:sz="0" w:space="0" w:color="auto"/>
        <w:left w:val="none" w:sz="0" w:space="0" w:color="auto"/>
        <w:bottom w:val="none" w:sz="0" w:space="0" w:color="auto"/>
        <w:right w:val="none" w:sz="0" w:space="0" w:color="auto"/>
      </w:divBdr>
    </w:div>
    <w:div w:id="798374564">
      <w:bodyDiv w:val="1"/>
      <w:marLeft w:val="0"/>
      <w:marRight w:val="0"/>
      <w:marTop w:val="0"/>
      <w:marBottom w:val="0"/>
      <w:divBdr>
        <w:top w:val="none" w:sz="0" w:space="0" w:color="auto"/>
        <w:left w:val="none" w:sz="0" w:space="0" w:color="auto"/>
        <w:bottom w:val="none" w:sz="0" w:space="0" w:color="auto"/>
        <w:right w:val="none" w:sz="0" w:space="0" w:color="auto"/>
      </w:divBdr>
    </w:div>
    <w:div w:id="798719109">
      <w:bodyDiv w:val="1"/>
      <w:marLeft w:val="0"/>
      <w:marRight w:val="0"/>
      <w:marTop w:val="0"/>
      <w:marBottom w:val="0"/>
      <w:divBdr>
        <w:top w:val="none" w:sz="0" w:space="0" w:color="auto"/>
        <w:left w:val="none" w:sz="0" w:space="0" w:color="auto"/>
        <w:bottom w:val="none" w:sz="0" w:space="0" w:color="auto"/>
        <w:right w:val="none" w:sz="0" w:space="0" w:color="auto"/>
      </w:divBdr>
    </w:div>
    <w:div w:id="798762509">
      <w:bodyDiv w:val="1"/>
      <w:marLeft w:val="0"/>
      <w:marRight w:val="0"/>
      <w:marTop w:val="0"/>
      <w:marBottom w:val="0"/>
      <w:divBdr>
        <w:top w:val="none" w:sz="0" w:space="0" w:color="auto"/>
        <w:left w:val="none" w:sz="0" w:space="0" w:color="auto"/>
        <w:bottom w:val="none" w:sz="0" w:space="0" w:color="auto"/>
        <w:right w:val="none" w:sz="0" w:space="0" w:color="auto"/>
      </w:divBdr>
      <w:divsChild>
        <w:div w:id="79063556">
          <w:marLeft w:val="480"/>
          <w:marRight w:val="0"/>
          <w:marTop w:val="0"/>
          <w:marBottom w:val="0"/>
          <w:divBdr>
            <w:top w:val="none" w:sz="0" w:space="0" w:color="auto"/>
            <w:left w:val="none" w:sz="0" w:space="0" w:color="auto"/>
            <w:bottom w:val="none" w:sz="0" w:space="0" w:color="auto"/>
            <w:right w:val="none" w:sz="0" w:space="0" w:color="auto"/>
          </w:divBdr>
        </w:div>
        <w:div w:id="993799986">
          <w:marLeft w:val="480"/>
          <w:marRight w:val="0"/>
          <w:marTop w:val="0"/>
          <w:marBottom w:val="0"/>
          <w:divBdr>
            <w:top w:val="none" w:sz="0" w:space="0" w:color="auto"/>
            <w:left w:val="none" w:sz="0" w:space="0" w:color="auto"/>
            <w:bottom w:val="none" w:sz="0" w:space="0" w:color="auto"/>
            <w:right w:val="none" w:sz="0" w:space="0" w:color="auto"/>
          </w:divBdr>
        </w:div>
        <w:div w:id="1431119053">
          <w:marLeft w:val="480"/>
          <w:marRight w:val="0"/>
          <w:marTop w:val="0"/>
          <w:marBottom w:val="0"/>
          <w:divBdr>
            <w:top w:val="none" w:sz="0" w:space="0" w:color="auto"/>
            <w:left w:val="none" w:sz="0" w:space="0" w:color="auto"/>
            <w:bottom w:val="none" w:sz="0" w:space="0" w:color="auto"/>
            <w:right w:val="none" w:sz="0" w:space="0" w:color="auto"/>
          </w:divBdr>
        </w:div>
        <w:div w:id="1806464339">
          <w:marLeft w:val="480"/>
          <w:marRight w:val="0"/>
          <w:marTop w:val="0"/>
          <w:marBottom w:val="0"/>
          <w:divBdr>
            <w:top w:val="none" w:sz="0" w:space="0" w:color="auto"/>
            <w:left w:val="none" w:sz="0" w:space="0" w:color="auto"/>
            <w:bottom w:val="none" w:sz="0" w:space="0" w:color="auto"/>
            <w:right w:val="none" w:sz="0" w:space="0" w:color="auto"/>
          </w:divBdr>
        </w:div>
        <w:div w:id="1284575660">
          <w:marLeft w:val="480"/>
          <w:marRight w:val="0"/>
          <w:marTop w:val="0"/>
          <w:marBottom w:val="0"/>
          <w:divBdr>
            <w:top w:val="none" w:sz="0" w:space="0" w:color="auto"/>
            <w:left w:val="none" w:sz="0" w:space="0" w:color="auto"/>
            <w:bottom w:val="none" w:sz="0" w:space="0" w:color="auto"/>
            <w:right w:val="none" w:sz="0" w:space="0" w:color="auto"/>
          </w:divBdr>
        </w:div>
        <w:div w:id="574511324">
          <w:marLeft w:val="480"/>
          <w:marRight w:val="0"/>
          <w:marTop w:val="0"/>
          <w:marBottom w:val="0"/>
          <w:divBdr>
            <w:top w:val="none" w:sz="0" w:space="0" w:color="auto"/>
            <w:left w:val="none" w:sz="0" w:space="0" w:color="auto"/>
            <w:bottom w:val="none" w:sz="0" w:space="0" w:color="auto"/>
            <w:right w:val="none" w:sz="0" w:space="0" w:color="auto"/>
          </w:divBdr>
        </w:div>
        <w:div w:id="597064378">
          <w:marLeft w:val="480"/>
          <w:marRight w:val="0"/>
          <w:marTop w:val="0"/>
          <w:marBottom w:val="0"/>
          <w:divBdr>
            <w:top w:val="none" w:sz="0" w:space="0" w:color="auto"/>
            <w:left w:val="none" w:sz="0" w:space="0" w:color="auto"/>
            <w:bottom w:val="none" w:sz="0" w:space="0" w:color="auto"/>
            <w:right w:val="none" w:sz="0" w:space="0" w:color="auto"/>
          </w:divBdr>
        </w:div>
        <w:div w:id="2022389309">
          <w:marLeft w:val="480"/>
          <w:marRight w:val="0"/>
          <w:marTop w:val="0"/>
          <w:marBottom w:val="0"/>
          <w:divBdr>
            <w:top w:val="none" w:sz="0" w:space="0" w:color="auto"/>
            <w:left w:val="none" w:sz="0" w:space="0" w:color="auto"/>
            <w:bottom w:val="none" w:sz="0" w:space="0" w:color="auto"/>
            <w:right w:val="none" w:sz="0" w:space="0" w:color="auto"/>
          </w:divBdr>
        </w:div>
        <w:div w:id="370299626">
          <w:marLeft w:val="480"/>
          <w:marRight w:val="0"/>
          <w:marTop w:val="0"/>
          <w:marBottom w:val="0"/>
          <w:divBdr>
            <w:top w:val="none" w:sz="0" w:space="0" w:color="auto"/>
            <w:left w:val="none" w:sz="0" w:space="0" w:color="auto"/>
            <w:bottom w:val="none" w:sz="0" w:space="0" w:color="auto"/>
            <w:right w:val="none" w:sz="0" w:space="0" w:color="auto"/>
          </w:divBdr>
        </w:div>
        <w:div w:id="2072345591">
          <w:marLeft w:val="480"/>
          <w:marRight w:val="0"/>
          <w:marTop w:val="0"/>
          <w:marBottom w:val="0"/>
          <w:divBdr>
            <w:top w:val="none" w:sz="0" w:space="0" w:color="auto"/>
            <w:left w:val="none" w:sz="0" w:space="0" w:color="auto"/>
            <w:bottom w:val="none" w:sz="0" w:space="0" w:color="auto"/>
            <w:right w:val="none" w:sz="0" w:space="0" w:color="auto"/>
          </w:divBdr>
        </w:div>
        <w:div w:id="1431119858">
          <w:marLeft w:val="480"/>
          <w:marRight w:val="0"/>
          <w:marTop w:val="0"/>
          <w:marBottom w:val="0"/>
          <w:divBdr>
            <w:top w:val="none" w:sz="0" w:space="0" w:color="auto"/>
            <w:left w:val="none" w:sz="0" w:space="0" w:color="auto"/>
            <w:bottom w:val="none" w:sz="0" w:space="0" w:color="auto"/>
            <w:right w:val="none" w:sz="0" w:space="0" w:color="auto"/>
          </w:divBdr>
        </w:div>
        <w:div w:id="583105143">
          <w:marLeft w:val="480"/>
          <w:marRight w:val="0"/>
          <w:marTop w:val="0"/>
          <w:marBottom w:val="0"/>
          <w:divBdr>
            <w:top w:val="none" w:sz="0" w:space="0" w:color="auto"/>
            <w:left w:val="none" w:sz="0" w:space="0" w:color="auto"/>
            <w:bottom w:val="none" w:sz="0" w:space="0" w:color="auto"/>
            <w:right w:val="none" w:sz="0" w:space="0" w:color="auto"/>
          </w:divBdr>
        </w:div>
        <w:div w:id="283736289">
          <w:marLeft w:val="480"/>
          <w:marRight w:val="0"/>
          <w:marTop w:val="0"/>
          <w:marBottom w:val="0"/>
          <w:divBdr>
            <w:top w:val="none" w:sz="0" w:space="0" w:color="auto"/>
            <w:left w:val="none" w:sz="0" w:space="0" w:color="auto"/>
            <w:bottom w:val="none" w:sz="0" w:space="0" w:color="auto"/>
            <w:right w:val="none" w:sz="0" w:space="0" w:color="auto"/>
          </w:divBdr>
        </w:div>
        <w:div w:id="1867601077">
          <w:marLeft w:val="480"/>
          <w:marRight w:val="0"/>
          <w:marTop w:val="0"/>
          <w:marBottom w:val="0"/>
          <w:divBdr>
            <w:top w:val="none" w:sz="0" w:space="0" w:color="auto"/>
            <w:left w:val="none" w:sz="0" w:space="0" w:color="auto"/>
            <w:bottom w:val="none" w:sz="0" w:space="0" w:color="auto"/>
            <w:right w:val="none" w:sz="0" w:space="0" w:color="auto"/>
          </w:divBdr>
        </w:div>
        <w:div w:id="1045371731">
          <w:marLeft w:val="480"/>
          <w:marRight w:val="0"/>
          <w:marTop w:val="0"/>
          <w:marBottom w:val="0"/>
          <w:divBdr>
            <w:top w:val="none" w:sz="0" w:space="0" w:color="auto"/>
            <w:left w:val="none" w:sz="0" w:space="0" w:color="auto"/>
            <w:bottom w:val="none" w:sz="0" w:space="0" w:color="auto"/>
            <w:right w:val="none" w:sz="0" w:space="0" w:color="auto"/>
          </w:divBdr>
        </w:div>
        <w:div w:id="238486677">
          <w:marLeft w:val="480"/>
          <w:marRight w:val="0"/>
          <w:marTop w:val="0"/>
          <w:marBottom w:val="0"/>
          <w:divBdr>
            <w:top w:val="none" w:sz="0" w:space="0" w:color="auto"/>
            <w:left w:val="none" w:sz="0" w:space="0" w:color="auto"/>
            <w:bottom w:val="none" w:sz="0" w:space="0" w:color="auto"/>
            <w:right w:val="none" w:sz="0" w:space="0" w:color="auto"/>
          </w:divBdr>
        </w:div>
        <w:div w:id="1784306692">
          <w:marLeft w:val="480"/>
          <w:marRight w:val="0"/>
          <w:marTop w:val="0"/>
          <w:marBottom w:val="0"/>
          <w:divBdr>
            <w:top w:val="none" w:sz="0" w:space="0" w:color="auto"/>
            <w:left w:val="none" w:sz="0" w:space="0" w:color="auto"/>
            <w:bottom w:val="none" w:sz="0" w:space="0" w:color="auto"/>
            <w:right w:val="none" w:sz="0" w:space="0" w:color="auto"/>
          </w:divBdr>
        </w:div>
        <w:div w:id="936523929">
          <w:marLeft w:val="480"/>
          <w:marRight w:val="0"/>
          <w:marTop w:val="0"/>
          <w:marBottom w:val="0"/>
          <w:divBdr>
            <w:top w:val="none" w:sz="0" w:space="0" w:color="auto"/>
            <w:left w:val="none" w:sz="0" w:space="0" w:color="auto"/>
            <w:bottom w:val="none" w:sz="0" w:space="0" w:color="auto"/>
            <w:right w:val="none" w:sz="0" w:space="0" w:color="auto"/>
          </w:divBdr>
        </w:div>
        <w:div w:id="510685869">
          <w:marLeft w:val="480"/>
          <w:marRight w:val="0"/>
          <w:marTop w:val="0"/>
          <w:marBottom w:val="0"/>
          <w:divBdr>
            <w:top w:val="none" w:sz="0" w:space="0" w:color="auto"/>
            <w:left w:val="none" w:sz="0" w:space="0" w:color="auto"/>
            <w:bottom w:val="none" w:sz="0" w:space="0" w:color="auto"/>
            <w:right w:val="none" w:sz="0" w:space="0" w:color="auto"/>
          </w:divBdr>
        </w:div>
        <w:div w:id="156460702">
          <w:marLeft w:val="480"/>
          <w:marRight w:val="0"/>
          <w:marTop w:val="0"/>
          <w:marBottom w:val="0"/>
          <w:divBdr>
            <w:top w:val="none" w:sz="0" w:space="0" w:color="auto"/>
            <w:left w:val="none" w:sz="0" w:space="0" w:color="auto"/>
            <w:bottom w:val="none" w:sz="0" w:space="0" w:color="auto"/>
            <w:right w:val="none" w:sz="0" w:space="0" w:color="auto"/>
          </w:divBdr>
        </w:div>
        <w:div w:id="525562137">
          <w:marLeft w:val="480"/>
          <w:marRight w:val="0"/>
          <w:marTop w:val="0"/>
          <w:marBottom w:val="0"/>
          <w:divBdr>
            <w:top w:val="none" w:sz="0" w:space="0" w:color="auto"/>
            <w:left w:val="none" w:sz="0" w:space="0" w:color="auto"/>
            <w:bottom w:val="none" w:sz="0" w:space="0" w:color="auto"/>
            <w:right w:val="none" w:sz="0" w:space="0" w:color="auto"/>
          </w:divBdr>
        </w:div>
        <w:div w:id="66147485">
          <w:marLeft w:val="480"/>
          <w:marRight w:val="0"/>
          <w:marTop w:val="0"/>
          <w:marBottom w:val="0"/>
          <w:divBdr>
            <w:top w:val="none" w:sz="0" w:space="0" w:color="auto"/>
            <w:left w:val="none" w:sz="0" w:space="0" w:color="auto"/>
            <w:bottom w:val="none" w:sz="0" w:space="0" w:color="auto"/>
            <w:right w:val="none" w:sz="0" w:space="0" w:color="auto"/>
          </w:divBdr>
        </w:div>
        <w:div w:id="1670644194">
          <w:marLeft w:val="480"/>
          <w:marRight w:val="0"/>
          <w:marTop w:val="0"/>
          <w:marBottom w:val="0"/>
          <w:divBdr>
            <w:top w:val="none" w:sz="0" w:space="0" w:color="auto"/>
            <w:left w:val="none" w:sz="0" w:space="0" w:color="auto"/>
            <w:bottom w:val="none" w:sz="0" w:space="0" w:color="auto"/>
            <w:right w:val="none" w:sz="0" w:space="0" w:color="auto"/>
          </w:divBdr>
        </w:div>
        <w:div w:id="1390960247">
          <w:marLeft w:val="480"/>
          <w:marRight w:val="0"/>
          <w:marTop w:val="0"/>
          <w:marBottom w:val="0"/>
          <w:divBdr>
            <w:top w:val="none" w:sz="0" w:space="0" w:color="auto"/>
            <w:left w:val="none" w:sz="0" w:space="0" w:color="auto"/>
            <w:bottom w:val="none" w:sz="0" w:space="0" w:color="auto"/>
            <w:right w:val="none" w:sz="0" w:space="0" w:color="auto"/>
          </w:divBdr>
        </w:div>
        <w:div w:id="1213887079">
          <w:marLeft w:val="480"/>
          <w:marRight w:val="0"/>
          <w:marTop w:val="0"/>
          <w:marBottom w:val="0"/>
          <w:divBdr>
            <w:top w:val="none" w:sz="0" w:space="0" w:color="auto"/>
            <w:left w:val="none" w:sz="0" w:space="0" w:color="auto"/>
            <w:bottom w:val="none" w:sz="0" w:space="0" w:color="auto"/>
            <w:right w:val="none" w:sz="0" w:space="0" w:color="auto"/>
          </w:divBdr>
        </w:div>
        <w:div w:id="187331449">
          <w:marLeft w:val="480"/>
          <w:marRight w:val="0"/>
          <w:marTop w:val="0"/>
          <w:marBottom w:val="0"/>
          <w:divBdr>
            <w:top w:val="none" w:sz="0" w:space="0" w:color="auto"/>
            <w:left w:val="none" w:sz="0" w:space="0" w:color="auto"/>
            <w:bottom w:val="none" w:sz="0" w:space="0" w:color="auto"/>
            <w:right w:val="none" w:sz="0" w:space="0" w:color="auto"/>
          </w:divBdr>
        </w:div>
        <w:div w:id="1475104772">
          <w:marLeft w:val="480"/>
          <w:marRight w:val="0"/>
          <w:marTop w:val="0"/>
          <w:marBottom w:val="0"/>
          <w:divBdr>
            <w:top w:val="none" w:sz="0" w:space="0" w:color="auto"/>
            <w:left w:val="none" w:sz="0" w:space="0" w:color="auto"/>
            <w:bottom w:val="none" w:sz="0" w:space="0" w:color="auto"/>
            <w:right w:val="none" w:sz="0" w:space="0" w:color="auto"/>
          </w:divBdr>
        </w:div>
        <w:div w:id="1377195133">
          <w:marLeft w:val="480"/>
          <w:marRight w:val="0"/>
          <w:marTop w:val="0"/>
          <w:marBottom w:val="0"/>
          <w:divBdr>
            <w:top w:val="none" w:sz="0" w:space="0" w:color="auto"/>
            <w:left w:val="none" w:sz="0" w:space="0" w:color="auto"/>
            <w:bottom w:val="none" w:sz="0" w:space="0" w:color="auto"/>
            <w:right w:val="none" w:sz="0" w:space="0" w:color="auto"/>
          </w:divBdr>
        </w:div>
        <w:div w:id="1565137088">
          <w:marLeft w:val="480"/>
          <w:marRight w:val="0"/>
          <w:marTop w:val="0"/>
          <w:marBottom w:val="0"/>
          <w:divBdr>
            <w:top w:val="none" w:sz="0" w:space="0" w:color="auto"/>
            <w:left w:val="none" w:sz="0" w:space="0" w:color="auto"/>
            <w:bottom w:val="none" w:sz="0" w:space="0" w:color="auto"/>
            <w:right w:val="none" w:sz="0" w:space="0" w:color="auto"/>
          </w:divBdr>
        </w:div>
        <w:div w:id="1769306937">
          <w:marLeft w:val="480"/>
          <w:marRight w:val="0"/>
          <w:marTop w:val="0"/>
          <w:marBottom w:val="0"/>
          <w:divBdr>
            <w:top w:val="none" w:sz="0" w:space="0" w:color="auto"/>
            <w:left w:val="none" w:sz="0" w:space="0" w:color="auto"/>
            <w:bottom w:val="none" w:sz="0" w:space="0" w:color="auto"/>
            <w:right w:val="none" w:sz="0" w:space="0" w:color="auto"/>
          </w:divBdr>
        </w:div>
        <w:div w:id="707994214">
          <w:marLeft w:val="480"/>
          <w:marRight w:val="0"/>
          <w:marTop w:val="0"/>
          <w:marBottom w:val="0"/>
          <w:divBdr>
            <w:top w:val="none" w:sz="0" w:space="0" w:color="auto"/>
            <w:left w:val="none" w:sz="0" w:space="0" w:color="auto"/>
            <w:bottom w:val="none" w:sz="0" w:space="0" w:color="auto"/>
            <w:right w:val="none" w:sz="0" w:space="0" w:color="auto"/>
          </w:divBdr>
        </w:div>
        <w:div w:id="377051428">
          <w:marLeft w:val="480"/>
          <w:marRight w:val="0"/>
          <w:marTop w:val="0"/>
          <w:marBottom w:val="0"/>
          <w:divBdr>
            <w:top w:val="none" w:sz="0" w:space="0" w:color="auto"/>
            <w:left w:val="none" w:sz="0" w:space="0" w:color="auto"/>
            <w:bottom w:val="none" w:sz="0" w:space="0" w:color="auto"/>
            <w:right w:val="none" w:sz="0" w:space="0" w:color="auto"/>
          </w:divBdr>
        </w:div>
        <w:div w:id="1213542795">
          <w:marLeft w:val="480"/>
          <w:marRight w:val="0"/>
          <w:marTop w:val="0"/>
          <w:marBottom w:val="0"/>
          <w:divBdr>
            <w:top w:val="none" w:sz="0" w:space="0" w:color="auto"/>
            <w:left w:val="none" w:sz="0" w:space="0" w:color="auto"/>
            <w:bottom w:val="none" w:sz="0" w:space="0" w:color="auto"/>
            <w:right w:val="none" w:sz="0" w:space="0" w:color="auto"/>
          </w:divBdr>
        </w:div>
        <w:div w:id="308443221">
          <w:marLeft w:val="480"/>
          <w:marRight w:val="0"/>
          <w:marTop w:val="0"/>
          <w:marBottom w:val="0"/>
          <w:divBdr>
            <w:top w:val="none" w:sz="0" w:space="0" w:color="auto"/>
            <w:left w:val="none" w:sz="0" w:space="0" w:color="auto"/>
            <w:bottom w:val="none" w:sz="0" w:space="0" w:color="auto"/>
            <w:right w:val="none" w:sz="0" w:space="0" w:color="auto"/>
          </w:divBdr>
        </w:div>
        <w:div w:id="1668629834">
          <w:marLeft w:val="480"/>
          <w:marRight w:val="0"/>
          <w:marTop w:val="0"/>
          <w:marBottom w:val="0"/>
          <w:divBdr>
            <w:top w:val="none" w:sz="0" w:space="0" w:color="auto"/>
            <w:left w:val="none" w:sz="0" w:space="0" w:color="auto"/>
            <w:bottom w:val="none" w:sz="0" w:space="0" w:color="auto"/>
            <w:right w:val="none" w:sz="0" w:space="0" w:color="auto"/>
          </w:divBdr>
        </w:div>
        <w:div w:id="38819270">
          <w:marLeft w:val="480"/>
          <w:marRight w:val="0"/>
          <w:marTop w:val="0"/>
          <w:marBottom w:val="0"/>
          <w:divBdr>
            <w:top w:val="none" w:sz="0" w:space="0" w:color="auto"/>
            <w:left w:val="none" w:sz="0" w:space="0" w:color="auto"/>
            <w:bottom w:val="none" w:sz="0" w:space="0" w:color="auto"/>
            <w:right w:val="none" w:sz="0" w:space="0" w:color="auto"/>
          </w:divBdr>
        </w:div>
        <w:div w:id="333847467">
          <w:marLeft w:val="480"/>
          <w:marRight w:val="0"/>
          <w:marTop w:val="0"/>
          <w:marBottom w:val="0"/>
          <w:divBdr>
            <w:top w:val="none" w:sz="0" w:space="0" w:color="auto"/>
            <w:left w:val="none" w:sz="0" w:space="0" w:color="auto"/>
            <w:bottom w:val="none" w:sz="0" w:space="0" w:color="auto"/>
            <w:right w:val="none" w:sz="0" w:space="0" w:color="auto"/>
          </w:divBdr>
        </w:div>
        <w:div w:id="1768848212">
          <w:marLeft w:val="480"/>
          <w:marRight w:val="0"/>
          <w:marTop w:val="0"/>
          <w:marBottom w:val="0"/>
          <w:divBdr>
            <w:top w:val="none" w:sz="0" w:space="0" w:color="auto"/>
            <w:left w:val="none" w:sz="0" w:space="0" w:color="auto"/>
            <w:bottom w:val="none" w:sz="0" w:space="0" w:color="auto"/>
            <w:right w:val="none" w:sz="0" w:space="0" w:color="auto"/>
          </w:divBdr>
        </w:div>
        <w:div w:id="532814101">
          <w:marLeft w:val="480"/>
          <w:marRight w:val="0"/>
          <w:marTop w:val="0"/>
          <w:marBottom w:val="0"/>
          <w:divBdr>
            <w:top w:val="none" w:sz="0" w:space="0" w:color="auto"/>
            <w:left w:val="none" w:sz="0" w:space="0" w:color="auto"/>
            <w:bottom w:val="none" w:sz="0" w:space="0" w:color="auto"/>
            <w:right w:val="none" w:sz="0" w:space="0" w:color="auto"/>
          </w:divBdr>
        </w:div>
        <w:div w:id="171378711">
          <w:marLeft w:val="480"/>
          <w:marRight w:val="0"/>
          <w:marTop w:val="0"/>
          <w:marBottom w:val="0"/>
          <w:divBdr>
            <w:top w:val="none" w:sz="0" w:space="0" w:color="auto"/>
            <w:left w:val="none" w:sz="0" w:space="0" w:color="auto"/>
            <w:bottom w:val="none" w:sz="0" w:space="0" w:color="auto"/>
            <w:right w:val="none" w:sz="0" w:space="0" w:color="auto"/>
          </w:divBdr>
        </w:div>
        <w:div w:id="934509086">
          <w:marLeft w:val="480"/>
          <w:marRight w:val="0"/>
          <w:marTop w:val="0"/>
          <w:marBottom w:val="0"/>
          <w:divBdr>
            <w:top w:val="none" w:sz="0" w:space="0" w:color="auto"/>
            <w:left w:val="none" w:sz="0" w:space="0" w:color="auto"/>
            <w:bottom w:val="none" w:sz="0" w:space="0" w:color="auto"/>
            <w:right w:val="none" w:sz="0" w:space="0" w:color="auto"/>
          </w:divBdr>
        </w:div>
        <w:div w:id="792409338">
          <w:marLeft w:val="480"/>
          <w:marRight w:val="0"/>
          <w:marTop w:val="0"/>
          <w:marBottom w:val="0"/>
          <w:divBdr>
            <w:top w:val="none" w:sz="0" w:space="0" w:color="auto"/>
            <w:left w:val="none" w:sz="0" w:space="0" w:color="auto"/>
            <w:bottom w:val="none" w:sz="0" w:space="0" w:color="auto"/>
            <w:right w:val="none" w:sz="0" w:space="0" w:color="auto"/>
          </w:divBdr>
        </w:div>
        <w:div w:id="1877693240">
          <w:marLeft w:val="480"/>
          <w:marRight w:val="0"/>
          <w:marTop w:val="0"/>
          <w:marBottom w:val="0"/>
          <w:divBdr>
            <w:top w:val="none" w:sz="0" w:space="0" w:color="auto"/>
            <w:left w:val="none" w:sz="0" w:space="0" w:color="auto"/>
            <w:bottom w:val="none" w:sz="0" w:space="0" w:color="auto"/>
            <w:right w:val="none" w:sz="0" w:space="0" w:color="auto"/>
          </w:divBdr>
        </w:div>
        <w:div w:id="264116851">
          <w:marLeft w:val="480"/>
          <w:marRight w:val="0"/>
          <w:marTop w:val="0"/>
          <w:marBottom w:val="0"/>
          <w:divBdr>
            <w:top w:val="none" w:sz="0" w:space="0" w:color="auto"/>
            <w:left w:val="none" w:sz="0" w:space="0" w:color="auto"/>
            <w:bottom w:val="none" w:sz="0" w:space="0" w:color="auto"/>
            <w:right w:val="none" w:sz="0" w:space="0" w:color="auto"/>
          </w:divBdr>
        </w:div>
        <w:div w:id="1418791806">
          <w:marLeft w:val="480"/>
          <w:marRight w:val="0"/>
          <w:marTop w:val="0"/>
          <w:marBottom w:val="0"/>
          <w:divBdr>
            <w:top w:val="none" w:sz="0" w:space="0" w:color="auto"/>
            <w:left w:val="none" w:sz="0" w:space="0" w:color="auto"/>
            <w:bottom w:val="none" w:sz="0" w:space="0" w:color="auto"/>
            <w:right w:val="none" w:sz="0" w:space="0" w:color="auto"/>
          </w:divBdr>
        </w:div>
        <w:div w:id="255136788">
          <w:marLeft w:val="480"/>
          <w:marRight w:val="0"/>
          <w:marTop w:val="0"/>
          <w:marBottom w:val="0"/>
          <w:divBdr>
            <w:top w:val="none" w:sz="0" w:space="0" w:color="auto"/>
            <w:left w:val="none" w:sz="0" w:space="0" w:color="auto"/>
            <w:bottom w:val="none" w:sz="0" w:space="0" w:color="auto"/>
            <w:right w:val="none" w:sz="0" w:space="0" w:color="auto"/>
          </w:divBdr>
        </w:div>
        <w:div w:id="1613004450">
          <w:marLeft w:val="480"/>
          <w:marRight w:val="0"/>
          <w:marTop w:val="0"/>
          <w:marBottom w:val="0"/>
          <w:divBdr>
            <w:top w:val="none" w:sz="0" w:space="0" w:color="auto"/>
            <w:left w:val="none" w:sz="0" w:space="0" w:color="auto"/>
            <w:bottom w:val="none" w:sz="0" w:space="0" w:color="auto"/>
            <w:right w:val="none" w:sz="0" w:space="0" w:color="auto"/>
          </w:divBdr>
        </w:div>
        <w:div w:id="1723674438">
          <w:marLeft w:val="480"/>
          <w:marRight w:val="0"/>
          <w:marTop w:val="0"/>
          <w:marBottom w:val="0"/>
          <w:divBdr>
            <w:top w:val="none" w:sz="0" w:space="0" w:color="auto"/>
            <w:left w:val="none" w:sz="0" w:space="0" w:color="auto"/>
            <w:bottom w:val="none" w:sz="0" w:space="0" w:color="auto"/>
            <w:right w:val="none" w:sz="0" w:space="0" w:color="auto"/>
          </w:divBdr>
        </w:div>
        <w:div w:id="1869098642">
          <w:marLeft w:val="480"/>
          <w:marRight w:val="0"/>
          <w:marTop w:val="0"/>
          <w:marBottom w:val="0"/>
          <w:divBdr>
            <w:top w:val="none" w:sz="0" w:space="0" w:color="auto"/>
            <w:left w:val="none" w:sz="0" w:space="0" w:color="auto"/>
            <w:bottom w:val="none" w:sz="0" w:space="0" w:color="auto"/>
            <w:right w:val="none" w:sz="0" w:space="0" w:color="auto"/>
          </w:divBdr>
        </w:div>
        <w:div w:id="1013726998">
          <w:marLeft w:val="480"/>
          <w:marRight w:val="0"/>
          <w:marTop w:val="0"/>
          <w:marBottom w:val="0"/>
          <w:divBdr>
            <w:top w:val="none" w:sz="0" w:space="0" w:color="auto"/>
            <w:left w:val="none" w:sz="0" w:space="0" w:color="auto"/>
            <w:bottom w:val="none" w:sz="0" w:space="0" w:color="auto"/>
            <w:right w:val="none" w:sz="0" w:space="0" w:color="auto"/>
          </w:divBdr>
        </w:div>
        <w:div w:id="396779623">
          <w:marLeft w:val="480"/>
          <w:marRight w:val="0"/>
          <w:marTop w:val="0"/>
          <w:marBottom w:val="0"/>
          <w:divBdr>
            <w:top w:val="none" w:sz="0" w:space="0" w:color="auto"/>
            <w:left w:val="none" w:sz="0" w:space="0" w:color="auto"/>
            <w:bottom w:val="none" w:sz="0" w:space="0" w:color="auto"/>
            <w:right w:val="none" w:sz="0" w:space="0" w:color="auto"/>
          </w:divBdr>
        </w:div>
        <w:div w:id="788090195">
          <w:marLeft w:val="480"/>
          <w:marRight w:val="0"/>
          <w:marTop w:val="0"/>
          <w:marBottom w:val="0"/>
          <w:divBdr>
            <w:top w:val="none" w:sz="0" w:space="0" w:color="auto"/>
            <w:left w:val="none" w:sz="0" w:space="0" w:color="auto"/>
            <w:bottom w:val="none" w:sz="0" w:space="0" w:color="auto"/>
            <w:right w:val="none" w:sz="0" w:space="0" w:color="auto"/>
          </w:divBdr>
        </w:div>
        <w:div w:id="276571314">
          <w:marLeft w:val="480"/>
          <w:marRight w:val="0"/>
          <w:marTop w:val="0"/>
          <w:marBottom w:val="0"/>
          <w:divBdr>
            <w:top w:val="none" w:sz="0" w:space="0" w:color="auto"/>
            <w:left w:val="none" w:sz="0" w:space="0" w:color="auto"/>
            <w:bottom w:val="none" w:sz="0" w:space="0" w:color="auto"/>
            <w:right w:val="none" w:sz="0" w:space="0" w:color="auto"/>
          </w:divBdr>
        </w:div>
        <w:div w:id="296884249">
          <w:marLeft w:val="480"/>
          <w:marRight w:val="0"/>
          <w:marTop w:val="0"/>
          <w:marBottom w:val="0"/>
          <w:divBdr>
            <w:top w:val="none" w:sz="0" w:space="0" w:color="auto"/>
            <w:left w:val="none" w:sz="0" w:space="0" w:color="auto"/>
            <w:bottom w:val="none" w:sz="0" w:space="0" w:color="auto"/>
            <w:right w:val="none" w:sz="0" w:space="0" w:color="auto"/>
          </w:divBdr>
        </w:div>
        <w:div w:id="1765682387">
          <w:marLeft w:val="480"/>
          <w:marRight w:val="0"/>
          <w:marTop w:val="0"/>
          <w:marBottom w:val="0"/>
          <w:divBdr>
            <w:top w:val="none" w:sz="0" w:space="0" w:color="auto"/>
            <w:left w:val="none" w:sz="0" w:space="0" w:color="auto"/>
            <w:bottom w:val="none" w:sz="0" w:space="0" w:color="auto"/>
            <w:right w:val="none" w:sz="0" w:space="0" w:color="auto"/>
          </w:divBdr>
        </w:div>
        <w:div w:id="1410150971">
          <w:marLeft w:val="480"/>
          <w:marRight w:val="0"/>
          <w:marTop w:val="0"/>
          <w:marBottom w:val="0"/>
          <w:divBdr>
            <w:top w:val="none" w:sz="0" w:space="0" w:color="auto"/>
            <w:left w:val="none" w:sz="0" w:space="0" w:color="auto"/>
            <w:bottom w:val="none" w:sz="0" w:space="0" w:color="auto"/>
            <w:right w:val="none" w:sz="0" w:space="0" w:color="auto"/>
          </w:divBdr>
        </w:div>
        <w:div w:id="1429156478">
          <w:marLeft w:val="480"/>
          <w:marRight w:val="0"/>
          <w:marTop w:val="0"/>
          <w:marBottom w:val="0"/>
          <w:divBdr>
            <w:top w:val="none" w:sz="0" w:space="0" w:color="auto"/>
            <w:left w:val="none" w:sz="0" w:space="0" w:color="auto"/>
            <w:bottom w:val="none" w:sz="0" w:space="0" w:color="auto"/>
            <w:right w:val="none" w:sz="0" w:space="0" w:color="auto"/>
          </w:divBdr>
        </w:div>
        <w:div w:id="1542401518">
          <w:marLeft w:val="480"/>
          <w:marRight w:val="0"/>
          <w:marTop w:val="0"/>
          <w:marBottom w:val="0"/>
          <w:divBdr>
            <w:top w:val="none" w:sz="0" w:space="0" w:color="auto"/>
            <w:left w:val="none" w:sz="0" w:space="0" w:color="auto"/>
            <w:bottom w:val="none" w:sz="0" w:space="0" w:color="auto"/>
            <w:right w:val="none" w:sz="0" w:space="0" w:color="auto"/>
          </w:divBdr>
        </w:div>
        <w:div w:id="299263281">
          <w:marLeft w:val="480"/>
          <w:marRight w:val="0"/>
          <w:marTop w:val="0"/>
          <w:marBottom w:val="0"/>
          <w:divBdr>
            <w:top w:val="none" w:sz="0" w:space="0" w:color="auto"/>
            <w:left w:val="none" w:sz="0" w:space="0" w:color="auto"/>
            <w:bottom w:val="none" w:sz="0" w:space="0" w:color="auto"/>
            <w:right w:val="none" w:sz="0" w:space="0" w:color="auto"/>
          </w:divBdr>
        </w:div>
        <w:div w:id="369107580">
          <w:marLeft w:val="480"/>
          <w:marRight w:val="0"/>
          <w:marTop w:val="0"/>
          <w:marBottom w:val="0"/>
          <w:divBdr>
            <w:top w:val="none" w:sz="0" w:space="0" w:color="auto"/>
            <w:left w:val="none" w:sz="0" w:space="0" w:color="auto"/>
            <w:bottom w:val="none" w:sz="0" w:space="0" w:color="auto"/>
            <w:right w:val="none" w:sz="0" w:space="0" w:color="auto"/>
          </w:divBdr>
        </w:div>
        <w:div w:id="454105306">
          <w:marLeft w:val="480"/>
          <w:marRight w:val="0"/>
          <w:marTop w:val="0"/>
          <w:marBottom w:val="0"/>
          <w:divBdr>
            <w:top w:val="none" w:sz="0" w:space="0" w:color="auto"/>
            <w:left w:val="none" w:sz="0" w:space="0" w:color="auto"/>
            <w:bottom w:val="none" w:sz="0" w:space="0" w:color="auto"/>
            <w:right w:val="none" w:sz="0" w:space="0" w:color="auto"/>
          </w:divBdr>
        </w:div>
        <w:div w:id="428548809">
          <w:marLeft w:val="480"/>
          <w:marRight w:val="0"/>
          <w:marTop w:val="0"/>
          <w:marBottom w:val="0"/>
          <w:divBdr>
            <w:top w:val="none" w:sz="0" w:space="0" w:color="auto"/>
            <w:left w:val="none" w:sz="0" w:space="0" w:color="auto"/>
            <w:bottom w:val="none" w:sz="0" w:space="0" w:color="auto"/>
            <w:right w:val="none" w:sz="0" w:space="0" w:color="auto"/>
          </w:divBdr>
        </w:div>
        <w:div w:id="33846145">
          <w:marLeft w:val="480"/>
          <w:marRight w:val="0"/>
          <w:marTop w:val="0"/>
          <w:marBottom w:val="0"/>
          <w:divBdr>
            <w:top w:val="none" w:sz="0" w:space="0" w:color="auto"/>
            <w:left w:val="none" w:sz="0" w:space="0" w:color="auto"/>
            <w:bottom w:val="none" w:sz="0" w:space="0" w:color="auto"/>
            <w:right w:val="none" w:sz="0" w:space="0" w:color="auto"/>
          </w:divBdr>
        </w:div>
        <w:div w:id="957031997">
          <w:marLeft w:val="480"/>
          <w:marRight w:val="0"/>
          <w:marTop w:val="0"/>
          <w:marBottom w:val="0"/>
          <w:divBdr>
            <w:top w:val="none" w:sz="0" w:space="0" w:color="auto"/>
            <w:left w:val="none" w:sz="0" w:space="0" w:color="auto"/>
            <w:bottom w:val="none" w:sz="0" w:space="0" w:color="auto"/>
            <w:right w:val="none" w:sz="0" w:space="0" w:color="auto"/>
          </w:divBdr>
        </w:div>
        <w:div w:id="953248047">
          <w:marLeft w:val="480"/>
          <w:marRight w:val="0"/>
          <w:marTop w:val="0"/>
          <w:marBottom w:val="0"/>
          <w:divBdr>
            <w:top w:val="none" w:sz="0" w:space="0" w:color="auto"/>
            <w:left w:val="none" w:sz="0" w:space="0" w:color="auto"/>
            <w:bottom w:val="none" w:sz="0" w:space="0" w:color="auto"/>
            <w:right w:val="none" w:sz="0" w:space="0" w:color="auto"/>
          </w:divBdr>
        </w:div>
        <w:div w:id="1125153928">
          <w:marLeft w:val="480"/>
          <w:marRight w:val="0"/>
          <w:marTop w:val="0"/>
          <w:marBottom w:val="0"/>
          <w:divBdr>
            <w:top w:val="none" w:sz="0" w:space="0" w:color="auto"/>
            <w:left w:val="none" w:sz="0" w:space="0" w:color="auto"/>
            <w:bottom w:val="none" w:sz="0" w:space="0" w:color="auto"/>
            <w:right w:val="none" w:sz="0" w:space="0" w:color="auto"/>
          </w:divBdr>
        </w:div>
        <w:div w:id="1406343464">
          <w:marLeft w:val="480"/>
          <w:marRight w:val="0"/>
          <w:marTop w:val="0"/>
          <w:marBottom w:val="0"/>
          <w:divBdr>
            <w:top w:val="none" w:sz="0" w:space="0" w:color="auto"/>
            <w:left w:val="none" w:sz="0" w:space="0" w:color="auto"/>
            <w:bottom w:val="none" w:sz="0" w:space="0" w:color="auto"/>
            <w:right w:val="none" w:sz="0" w:space="0" w:color="auto"/>
          </w:divBdr>
        </w:div>
        <w:div w:id="1012416123">
          <w:marLeft w:val="480"/>
          <w:marRight w:val="0"/>
          <w:marTop w:val="0"/>
          <w:marBottom w:val="0"/>
          <w:divBdr>
            <w:top w:val="none" w:sz="0" w:space="0" w:color="auto"/>
            <w:left w:val="none" w:sz="0" w:space="0" w:color="auto"/>
            <w:bottom w:val="none" w:sz="0" w:space="0" w:color="auto"/>
            <w:right w:val="none" w:sz="0" w:space="0" w:color="auto"/>
          </w:divBdr>
        </w:div>
        <w:div w:id="1719669276">
          <w:marLeft w:val="480"/>
          <w:marRight w:val="0"/>
          <w:marTop w:val="0"/>
          <w:marBottom w:val="0"/>
          <w:divBdr>
            <w:top w:val="none" w:sz="0" w:space="0" w:color="auto"/>
            <w:left w:val="none" w:sz="0" w:space="0" w:color="auto"/>
            <w:bottom w:val="none" w:sz="0" w:space="0" w:color="auto"/>
            <w:right w:val="none" w:sz="0" w:space="0" w:color="auto"/>
          </w:divBdr>
        </w:div>
        <w:div w:id="662664431">
          <w:marLeft w:val="480"/>
          <w:marRight w:val="0"/>
          <w:marTop w:val="0"/>
          <w:marBottom w:val="0"/>
          <w:divBdr>
            <w:top w:val="none" w:sz="0" w:space="0" w:color="auto"/>
            <w:left w:val="none" w:sz="0" w:space="0" w:color="auto"/>
            <w:bottom w:val="none" w:sz="0" w:space="0" w:color="auto"/>
            <w:right w:val="none" w:sz="0" w:space="0" w:color="auto"/>
          </w:divBdr>
        </w:div>
        <w:div w:id="522061112">
          <w:marLeft w:val="480"/>
          <w:marRight w:val="0"/>
          <w:marTop w:val="0"/>
          <w:marBottom w:val="0"/>
          <w:divBdr>
            <w:top w:val="none" w:sz="0" w:space="0" w:color="auto"/>
            <w:left w:val="none" w:sz="0" w:space="0" w:color="auto"/>
            <w:bottom w:val="none" w:sz="0" w:space="0" w:color="auto"/>
            <w:right w:val="none" w:sz="0" w:space="0" w:color="auto"/>
          </w:divBdr>
        </w:div>
        <w:div w:id="1220557138">
          <w:marLeft w:val="480"/>
          <w:marRight w:val="0"/>
          <w:marTop w:val="0"/>
          <w:marBottom w:val="0"/>
          <w:divBdr>
            <w:top w:val="none" w:sz="0" w:space="0" w:color="auto"/>
            <w:left w:val="none" w:sz="0" w:space="0" w:color="auto"/>
            <w:bottom w:val="none" w:sz="0" w:space="0" w:color="auto"/>
            <w:right w:val="none" w:sz="0" w:space="0" w:color="auto"/>
          </w:divBdr>
        </w:div>
        <w:div w:id="1023751360">
          <w:marLeft w:val="480"/>
          <w:marRight w:val="0"/>
          <w:marTop w:val="0"/>
          <w:marBottom w:val="0"/>
          <w:divBdr>
            <w:top w:val="none" w:sz="0" w:space="0" w:color="auto"/>
            <w:left w:val="none" w:sz="0" w:space="0" w:color="auto"/>
            <w:bottom w:val="none" w:sz="0" w:space="0" w:color="auto"/>
            <w:right w:val="none" w:sz="0" w:space="0" w:color="auto"/>
          </w:divBdr>
        </w:div>
        <w:div w:id="1657371174">
          <w:marLeft w:val="480"/>
          <w:marRight w:val="0"/>
          <w:marTop w:val="0"/>
          <w:marBottom w:val="0"/>
          <w:divBdr>
            <w:top w:val="none" w:sz="0" w:space="0" w:color="auto"/>
            <w:left w:val="none" w:sz="0" w:space="0" w:color="auto"/>
            <w:bottom w:val="none" w:sz="0" w:space="0" w:color="auto"/>
            <w:right w:val="none" w:sz="0" w:space="0" w:color="auto"/>
          </w:divBdr>
        </w:div>
        <w:div w:id="1714882522">
          <w:marLeft w:val="480"/>
          <w:marRight w:val="0"/>
          <w:marTop w:val="0"/>
          <w:marBottom w:val="0"/>
          <w:divBdr>
            <w:top w:val="none" w:sz="0" w:space="0" w:color="auto"/>
            <w:left w:val="none" w:sz="0" w:space="0" w:color="auto"/>
            <w:bottom w:val="none" w:sz="0" w:space="0" w:color="auto"/>
            <w:right w:val="none" w:sz="0" w:space="0" w:color="auto"/>
          </w:divBdr>
        </w:div>
        <w:div w:id="55711663">
          <w:marLeft w:val="480"/>
          <w:marRight w:val="0"/>
          <w:marTop w:val="0"/>
          <w:marBottom w:val="0"/>
          <w:divBdr>
            <w:top w:val="none" w:sz="0" w:space="0" w:color="auto"/>
            <w:left w:val="none" w:sz="0" w:space="0" w:color="auto"/>
            <w:bottom w:val="none" w:sz="0" w:space="0" w:color="auto"/>
            <w:right w:val="none" w:sz="0" w:space="0" w:color="auto"/>
          </w:divBdr>
        </w:div>
        <w:div w:id="856502593">
          <w:marLeft w:val="480"/>
          <w:marRight w:val="0"/>
          <w:marTop w:val="0"/>
          <w:marBottom w:val="0"/>
          <w:divBdr>
            <w:top w:val="none" w:sz="0" w:space="0" w:color="auto"/>
            <w:left w:val="none" w:sz="0" w:space="0" w:color="auto"/>
            <w:bottom w:val="none" w:sz="0" w:space="0" w:color="auto"/>
            <w:right w:val="none" w:sz="0" w:space="0" w:color="auto"/>
          </w:divBdr>
        </w:div>
        <w:div w:id="2124300953">
          <w:marLeft w:val="480"/>
          <w:marRight w:val="0"/>
          <w:marTop w:val="0"/>
          <w:marBottom w:val="0"/>
          <w:divBdr>
            <w:top w:val="none" w:sz="0" w:space="0" w:color="auto"/>
            <w:left w:val="none" w:sz="0" w:space="0" w:color="auto"/>
            <w:bottom w:val="none" w:sz="0" w:space="0" w:color="auto"/>
            <w:right w:val="none" w:sz="0" w:space="0" w:color="auto"/>
          </w:divBdr>
        </w:div>
        <w:div w:id="79834139">
          <w:marLeft w:val="480"/>
          <w:marRight w:val="0"/>
          <w:marTop w:val="0"/>
          <w:marBottom w:val="0"/>
          <w:divBdr>
            <w:top w:val="none" w:sz="0" w:space="0" w:color="auto"/>
            <w:left w:val="none" w:sz="0" w:space="0" w:color="auto"/>
            <w:bottom w:val="none" w:sz="0" w:space="0" w:color="auto"/>
            <w:right w:val="none" w:sz="0" w:space="0" w:color="auto"/>
          </w:divBdr>
        </w:div>
        <w:div w:id="2085031243">
          <w:marLeft w:val="480"/>
          <w:marRight w:val="0"/>
          <w:marTop w:val="0"/>
          <w:marBottom w:val="0"/>
          <w:divBdr>
            <w:top w:val="none" w:sz="0" w:space="0" w:color="auto"/>
            <w:left w:val="none" w:sz="0" w:space="0" w:color="auto"/>
            <w:bottom w:val="none" w:sz="0" w:space="0" w:color="auto"/>
            <w:right w:val="none" w:sz="0" w:space="0" w:color="auto"/>
          </w:divBdr>
        </w:div>
        <w:div w:id="1267079194">
          <w:marLeft w:val="480"/>
          <w:marRight w:val="0"/>
          <w:marTop w:val="0"/>
          <w:marBottom w:val="0"/>
          <w:divBdr>
            <w:top w:val="none" w:sz="0" w:space="0" w:color="auto"/>
            <w:left w:val="none" w:sz="0" w:space="0" w:color="auto"/>
            <w:bottom w:val="none" w:sz="0" w:space="0" w:color="auto"/>
            <w:right w:val="none" w:sz="0" w:space="0" w:color="auto"/>
          </w:divBdr>
        </w:div>
        <w:div w:id="1387878621">
          <w:marLeft w:val="480"/>
          <w:marRight w:val="0"/>
          <w:marTop w:val="0"/>
          <w:marBottom w:val="0"/>
          <w:divBdr>
            <w:top w:val="none" w:sz="0" w:space="0" w:color="auto"/>
            <w:left w:val="none" w:sz="0" w:space="0" w:color="auto"/>
            <w:bottom w:val="none" w:sz="0" w:space="0" w:color="auto"/>
            <w:right w:val="none" w:sz="0" w:space="0" w:color="auto"/>
          </w:divBdr>
        </w:div>
        <w:div w:id="480124564">
          <w:marLeft w:val="480"/>
          <w:marRight w:val="0"/>
          <w:marTop w:val="0"/>
          <w:marBottom w:val="0"/>
          <w:divBdr>
            <w:top w:val="none" w:sz="0" w:space="0" w:color="auto"/>
            <w:left w:val="none" w:sz="0" w:space="0" w:color="auto"/>
            <w:bottom w:val="none" w:sz="0" w:space="0" w:color="auto"/>
            <w:right w:val="none" w:sz="0" w:space="0" w:color="auto"/>
          </w:divBdr>
        </w:div>
        <w:div w:id="1828790506">
          <w:marLeft w:val="480"/>
          <w:marRight w:val="0"/>
          <w:marTop w:val="0"/>
          <w:marBottom w:val="0"/>
          <w:divBdr>
            <w:top w:val="none" w:sz="0" w:space="0" w:color="auto"/>
            <w:left w:val="none" w:sz="0" w:space="0" w:color="auto"/>
            <w:bottom w:val="none" w:sz="0" w:space="0" w:color="auto"/>
            <w:right w:val="none" w:sz="0" w:space="0" w:color="auto"/>
          </w:divBdr>
        </w:div>
        <w:div w:id="71508454">
          <w:marLeft w:val="480"/>
          <w:marRight w:val="0"/>
          <w:marTop w:val="0"/>
          <w:marBottom w:val="0"/>
          <w:divBdr>
            <w:top w:val="none" w:sz="0" w:space="0" w:color="auto"/>
            <w:left w:val="none" w:sz="0" w:space="0" w:color="auto"/>
            <w:bottom w:val="none" w:sz="0" w:space="0" w:color="auto"/>
            <w:right w:val="none" w:sz="0" w:space="0" w:color="auto"/>
          </w:divBdr>
        </w:div>
        <w:div w:id="2028408678">
          <w:marLeft w:val="480"/>
          <w:marRight w:val="0"/>
          <w:marTop w:val="0"/>
          <w:marBottom w:val="0"/>
          <w:divBdr>
            <w:top w:val="none" w:sz="0" w:space="0" w:color="auto"/>
            <w:left w:val="none" w:sz="0" w:space="0" w:color="auto"/>
            <w:bottom w:val="none" w:sz="0" w:space="0" w:color="auto"/>
            <w:right w:val="none" w:sz="0" w:space="0" w:color="auto"/>
          </w:divBdr>
        </w:div>
        <w:div w:id="713390543">
          <w:marLeft w:val="480"/>
          <w:marRight w:val="0"/>
          <w:marTop w:val="0"/>
          <w:marBottom w:val="0"/>
          <w:divBdr>
            <w:top w:val="none" w:sz="0" w:space="0" w:color="auto"/>
            <w:left w:val="none" w:sz="0" w:space="0" w:color="auto"/>
            <w:bottom w:val="none" w:sz="0" w:space="0" w:color="auto"/>
            <w:right w:val="none" w:sz="0" w:space="0" w:color="auto"/>
          </w:divBdr>
        </w:div>
        <w:div w:id="704646135">
          <w:marLeft w:val="480"/>
          <w:marRight w:val="0"/>
          <w:marTop w:val="0"/>
          <w:marBottom w:val="0"/>
          <w:divBdr>
            <w:top w:val="none" w:sz="0" w:space="0" w:color="auto"/>
            <w:left w:val="none" w:sz="0" w:space="0" w:color="auto"/>
            <w:bottom w:val="none" w:sz="0" w:space="0" w:color="auto"/>
            <w:right w:val="none" w:sz="0" w:space="0" w:color="auto"/>
          </w:divBdr>
        </w:div>
        <w:div w:id="66198060">
          <w:marLeft w:val="480"/>
          <w:marRight w:val="0"/>
          <w:marTop w:val="0"/>
          <w:marBottom w:val="0"/>
          <w:divBdr>
            <w:top w:val="none" w:sz="0" w:space="0" w:color="auto"/>
            <w:left w:val="none" w:sz="0" w:space="0" w:color="auto"/>
            <w:bottom w:val="none" w:sz="0" w:space="0" w:color="auto"/>
            <w:right w:val="none" w:sz="0" w:space="0" w:color="auto"/>
          </w:divBdr>
        </w:div>
        <w:div w:id="2038311735">
          <w:marLeft w:val="480"/>
          <w:marRight w:val="0"/>
          <w:marTop w:val="0"/>
          <w:marBottom w:val="0"/>
          <w:divBdr>
            <w:top w:val="none" w:sz="0" w:space="0" w:color="auto"/>
            <w:left w:val="none" w:sz="0" w:space="0" w:color="auto"/>
            <w:bottom w:val="none" w:sz="0" w:space="0" w:color="auto"/>
            <w:right w:val="none" w:sz="0" w:space="0" w:color="auto"/>
          </w:divBdr>
        </w:div>
        <w:div w:id="6296227">
          <w:marLeft w:val="480"/>
          <w:marRight w:val="0"/>
          <w:marTop w:val="0"/>
          <w:marBottom w:val="0"/>
          <w:divBdr>
            <w:top w:val="none" w:sz="0" w:space="0" w:color="auto"/>
            <w:left w:val="none" w:sz="0" w:space="0" w:color="auto"/>
            <w:bottom w:val="none" w:sz="0" w:space="0" w:color="auto"/>
            <w:right w:val="none" w:sz="0" w:space="0" w:color="auto"/>
          </w:divBdr>
        </w:div>
        <w:div w:id="510410286">
          <w:marLeft w:val="480"/>
          <w:marRight w:val="0"/>
          <w:marTop w:val="0"/>
          <w:marBottom w:val="0"/>
          <w:divBdr>
            <w:top w:val="none" w:sz="0" w:space="0" w:color="auto"/>
            <w:left w:val="none" w:sz="0" w:space="0" w:color="auto"/>
            <w:bottom w:val="none" w:sz="0" w:space="0" w:color="auto"/>
            <w:right w:val="none" w:sz="0" w:space="0" w:color="auto"/>
          </w:divBdr>
        </w:div>
        <w:div w:id="1263492467">
          <w:marLeft w:val="480"/>
          <w:marRight w:val="0"/>
          <w:marTop w:val="0"/>
          <w:marBottom w:val="0"/>
          <w:divBdr>
            <w:top w:val="none" w:sz="0" w:space="0" w:color="auto"/>
            <w:left w:val="none" w:sz="0" w:space="0" w:color="auto"/>
            <w:bottom w:val="none" w:sz="0" w:space="0" w:color="auto"/>
            <w:right w:val="none" w:sz="0" w:space="0" w:color="auto"/>
          </w:divBdr>
        </w:div>
        <w:div w:id="758060597">
          <w:marLeft w:val="480"/>
          <w:marRight w:val="0"/>
          <w:marTop w:val="0"/>
          <w:marBottom w:val="0"/>
          <w:divBdr>
            <w:top w:val="none" w:sz="0" w:space="0" w:color="auto"/>
            <w:left w:val="none" w:sz="0" w:space="0" w:color="auto"/>
            <w:bottom w:val="none" w:sz="0" w:space="0" w:color="auto"/>
            <w:right w:val="none" w:sz="0" w:space="0" w:color="auto"/>
          </w:divBdr>
        </w:div>
        <w:div w:id="1196769275">
          <w:marLeft w:val="480"/>
          <w:marRight w:val="0"/>
          <w:marTop w:val="0"/>
          <w:marBottom w:val="0"/>
          <w:divBdr>
            <w:top w:val="none" w:sz="0" w:space="0" w:color="auto"/>
            <w:left w:val="none" w:sz="0" w:space="0" w:color="auto"/>
            <w:bottom w:val="none" w:sz="0" w:space="0" w:color="auto"/>
            <w:right w:val="none" w:sz="0" w:space="0" w:color="auto"/>
          </w:divBdr>
        </w:div>
        <w:div w:id="875582547">
          <w:marLeft w:val="480"/>
          <w:marRight w:val="0"/>
          <w:marTop w:val="0"/>
          <w:marBottom w:val="0"/>
          <w:divBdr>
            <w:top w:val="none" w:sz="0" w:space="0" w:color="auto"/>
            <w:left w:val="none" w:sz="0" w:space="0" w:color="auto"/>
            <w:bottom w:val="none" w:sz="0" w:space="0" w:color="auto"/>
            <w:right w:val="none" w:sz="0" w:space="0" w:color="auto"/>
          </w:divBdr>
        </w:div>
        <w:div w:id="750585503">
          <w:marLeft w:val="480"/>
          <w:marRight w:val="0"/>
          <w:marTop w:val="0"/>
          <w:marBottom w:val="0"/>
          <w:divBdr>
            <w:top w:val="none" w:sz="0" w:space="0" w:color="auto"/>
            <w:left w:val="none" w:sz="0" w:space="0" w:color="auto"/>
            <w:bottom w:val="none" w:sz="0" w:space="0" w:color="auto"/>
            <w:right w:val="none" w:sz="0" w:space="0" w:color="auto"/>
          </w:divBdr>
        </w:div>
        <w:div w:id="2133547220">
          <w:marLeft w:val="480"/>
          <w:marRight w:val="0"/>
          <w:marTop w:val="0"/>
          <w:marBottom w:val="0"/>
          <w:divBdr>
            <w:top w:val="none" w:sz="0" w:space="0" w:color="auto"/>
            <w:left w:val="none" w:sz="0" w:space="0" w:color="auto"/>
            <w:bottom w:val="none" w:sz="0" w:space="0" w:color="auto"/>
            <w:right w:val="none" w:sz="0" w:space="0" w:color="auto"/>
          </w:divBdr>
        </w:div>
        <w:div w:id="666595593">
          <w:marLeft w:val="480"/>
          <w:marRight w:val="0"/>
          <w:marTop w:val="0"/>
          <w:marBottom w:val="0"/>
          <w:divBdr>
            <w:top w:val="none" w:sz="0" w:space="0" w:color="auto"/>
            <w:left w:val="none" w:sz="0" w:space="0" w:color="auto"/>
            <w:bottom w:val="none" w:sz="0" w:space="0" w:color="auto"/>
            <w:right w:val="none" w:sz="0" w:space="0" w:color="auto"/>
          </w:divBdr>
        </w:div>
        <w:div w:id="1532452436">
          <w:marLeft w:val="480"/>
          <w:marRight w:val="0"/>
          <w:marTop w:val="0"/>
          <w:marBottom w:val="0"/>
          <w:divBdr>
            <w:top w:val="none" w:sz="0" w:space="0" w:color="auto"/>
            <w:left w:val="none" w:sz="0" w:space="0" w:color="auto"/>
            <w:bottom w:val="none" w:sz="0" w:space="0" w:color="auto"/>
            <w:right w:val="none" w:sz="0" w:space="0" w:color="auto"/>
          </w:divBdr>
        </w:div>
        <w:div w:id="2031686331">
          <w:marLeft w:val="480"/>
          <w:marRight w:val="0"/>
          <w:marTop w:val="0"/>
          <w:marBottom w:val="0"/>
          <w:divBdr>
            <w:top w:val="none" w:sz="0" w:space="0" w:color="auto"/>
            <w:left w:val="none" w:sz="0" w:space="0" w:color="auto"/>
            <w:bottom w:val="none" w:sz="0" w:space="0" w:color="auto"/>
            <w:right w:val="none" w:sz="0" w:space="0" w:color="auto"/>
          </w:divBdr>
        </w:div>
        <w:div w:id="71858572">
          <w:marLeft w:val="480"/>
          <w:marRight w:val="0"/>
          <w:marTop w:val="0"/>
          <w:marBottom w:val="0"/>
          <w:divBdr>
            <w:top w:val="none" w:sz="0" w:space="0" w:color="auto"/>
            <w:left w:val="none" w:sz="0" w:space="0" w:color="auto"/>
            <w:bottom w:val="none" w:sz="0" w:space="0" w:color="auto"/>
            <w:right w:val="none" w:sz="0" w:space="0" w:color="auto"/>
          </w:divBdr>
        </w:div>
        <w:div w:id="189681393">
          <w:marLeft w:val="480"/>
          <w:marRight w:val="0"/>
          <w:marTop w:val="0"/>
          <w:marBottom w:val="0"/>
          <w:divBdr>
            <w:top w:val="none" w:sz="0" w:space="0" w:color="auto"/>
            <w:left w:val="none" w:sz="0" w:space="0" w:color="auto"/>
            <w:bottom w:val="none" w:sz="0" w:space="0" w:color="auto"/>
            <w:right w:val="none" w:sz="0" w:space="0" w:color="auto"/>
          </w:divBdr>
        </w:div>
        <w:div w:id="1973361747">
          <w:marLeft w:val="480"/>
          <w:marRight w:val="0"/>
          <w:marTop w:val="0"/>
          <w:marBottom w:val="0"/>
          <w:divBdr>
            <w:top w:val="none" w:sz="0" w:space="0" w:color="auto"/>
            <w:left w:val="none" w:sz="0" w:space="0" w:color="auto"/>
            <w:bottom w:val="none" w:sz="0" w:space="0" w:color="auto"/>
            <w:right w:val="none" w:sz="0" w:space="0" w:color="auto"/>
          </w:divBdr>
        </w:div>
        <w:div w:id="1461605565">
          <w:marLeft w:val="480"/>
          <w:marRight w:val="0"/>
          <w:marTop w:val="0"/>
          <w:marBottom w:val="0"/>
          <w:divBdr>
            <w:top w:val="none" w:sz="0" w:space="0" w:color="auto"/>
            <w:left w:val="none" w:sz="0" w:space="0" w:color="auto"/>
            <w:bottom w:val="none" w:sz="0" w:space="0" w:color="auto"/>
            <w:right w:val="none" w:sz="0" w:space="0" w:color="auto"/>
          </w:divBdr>
        </w:div>
        <w:div w:id="1309364992">
          <w:marLeft w:val="480"/>
          <w:marRight w:val="0"/>
          <w:marTop w:val="0"/>
          <w:marBottom w:val="0"/>
          <w:divBdr>
            <w:top w:val="none" w:sz="0" w:space="0" w:color="auto"/>
            <w:left w:val="none" w:sz="0" w:space="0" w:color="auto"/>
            <w:bottom w:val="none" w:sz="0" w:space="0" w:color="auto"/>
            <w:right w:val="none" w:sz="0" w:space="0" w:color="auto"/>
          </w:divBdr>
        </w:div>
        <w:div w:id="2125418461">
          <w:marLeft w:val="480"/>
          <w:marRight w:val="0"/>
          <w:marTop w:val="0"/>
          <w:marBottom w:val="0"/>
          <w:divBdr>
            <w:top w:val="none" w:sz="0" w:space="0" w:color="auto"/>
            <w:left w:val="none" w:sz="0" w:space="0" w:color="auto"/>
            <w:bottom w:val="none" w:sz="0" w:space="0" w:color="auto"/>
            <w:right w:val="none" w:sz="0" w:space="0" w:color="auto"/>
          </w:divBdr>
        </w:div>
        <w:div w:id="1674529739">
          <w:marLeft w:val="480"/>
          <w:marRight w:val="0"/>
          <w:marTop w:val="0"/>
          <w:marBottom w:val="0"/>
          <w:divBdr>
            <w:top w:val="none" w:sz="0" w:space="0" w:color="auto"/>
            <w:left w:val="none" w:sz="0" w:space="0" w:color="auto"/>
            <w:bottom w:val="none" w:sz="0" w:space="0" w:color="auto"/>
            <w:right w:val="none" w:sz="0" w:space="0" w:color="auto"/>
          </w:divBdr>
        </w:div>
        <w:div w:id="643045475">
          <w:marLeft w:val="480"/>
          <w:marRight w:val="0"/>
          <w:marTop w:val="0"/>
          <w:marBottom w:val="0"/>
          <w:divBdr>
            <w:top w:val="none" w:sz="0" w:space="0" w:color="auto"/>
            <w:left w:val="none" w:sz="0" w:space="0" w:color="auto"/>
            <w:bottom w:val="none" w:sz="0" w:space="0" w:color="auto"/>
            <w:right w:val="none" w:sz="0" w:space="0" w:color="auto"/>
          </w:divBdr>
        </w:div>
        <w:div w:id="694697877">
          <w:marLeft w:val="480"/>
          <w:marRight w:val="0"/>
          <w:marTop w:val="0"/>
          <w:marBottom w:val="0"/>
          <w:divBdr>
            <w:top w:val="none" w:sz="0" w:space="0" w:color="auto"/>
            <w:left w:val="none" w:sz="0" w:space="0" w:color="auto"/>
            <w:bottom w:val="none" w:sz="0" w:space="0" w:color="auto"/>
            <w:right w:val="none" w:sz="0" w:space="0" w:color="auto"/>
          </w:divBdr>
        </w:div>
        <w:div w:id="1600018974">
          <w:marLeft w:val="480"/>
          <w:marRight w:val="0"/>
          <w:marTop w:val="0"/>
          <w:marBottom w:val="0"/>
          <w:divBdr>
            <w:top w:val="none" w:sz="0" w:space="0" w:color="auto"/>
            <w:left w:val="none" w:sz="0" w:space="0" w:color="auto"/>
            <w:bottom w:val="none" w:sz="0" w:space="0" w:color="auto"/>
            <w:right w:val="none" w:sz="0" w:space="0" w:color="auto"/>
          </w:divBdr>
        </w:div>
        <w:div w:id="2134133491">
          <w:marLeft w:val="480"/>
          <w:marRight w:val="0"/>
          <w:marTop w:val="0"/>
          <w:marBottom w:val="0"/>
          <w:divBdr>
            <w:top w:val="none" w:sz="0" w:space="0" w:color="auto"/>
            <w:left w:val="none" w:sz="0" w:space="0" w:color="auto"/>
            <w:bottom w:val="none" w:sz="0" w:space="0" w:color="auto"/>
            <w:right w:val="none" w:sz="0" w:space="0" w:color="auto"/>
          </w:divBdr>
        </w:div>
        <w:div w:id="1515999053">
          <w:marLeft w:val="480"/>
          <w:marRight w:val="0"/>
          <w:marTop w:val="0"/>
          <w:marBottom w:val="0"/>
          <w:divBdr>
            <w:top w:val="none" w:sz="0" w:space="0" w:color="auto"/>
            <w:left w:val="none" w:sz="0" w:space="0" w:color="auto"/>
            <w:bottom w:val="none" w:sz="0" w:space="0" w:color="auto"/>
            <w:right w:val="none" w:sz="0" w:space="0" w:color="auto"/>
          </w:divBdr>
        </w:div>
        <w:div w:id="455103602">
          <w:marLeft w:val="480"/>
          <w:marRight w:val="0"/>
          <w:marTop w:val="0"/>
          <w:marBottom w:val="0"/>
          <w:divBdr>
            <w:top w:val="none" w:sz="0" w:space="0" w:color="auto"/>
            <w:left w:val="none" w:sz="0" w:space="0" w:color="auto"/>
            <w:bottom w:val="none" w:sz="0" w:space="0" w:color="auto"/>
            <w:right w:val="none" w:sz="0" w:space="0" w:color="auto"/>
          </w:divBdr>
        </w:div>
        <w:div w:id="1884948012">
          <w:marLeft w:val="480"/>
          <w:marRight w:val="0"/>
          <w:marTop w:val="0"/>
          <w:marBottom w:val="0"/>
          <w:divBdr>
            <w:top w:val="none" w:sz="0" w:space="0" w:color="auto"/>
            <w:left w:val="none" w:sz="0" w:space="0" w:color="auto"/>
            <w:bottom w:val="none" w:sz="0" w:space="0" w:color="auto"/>
            <w:right w:val="none" w:sz="0" w:space="0" w:color="auto"/>
          </w:divBdr>
        </w:div>
        <w:div w:id="251789902">
          <w:marLeft w:val="480"/>
          <w:marRight w:val="0"/>
          <w:marTop w:val="0"/>
          <w:marBottom w:val="0"/>
          <w:divBdr>
            <w:top w:val="none" w:sz="0" w:space="0" w:color="auto"/>
            <w:left w:val="none" w:sz="0" w:space="0" w:color="auto"/>
            <w:bottom w:val="none" w:sz="0" w:space="0" w:color="auto"/>
            <w:right w:val="none" w:sz="0" w:space="0" w:color="auto"/>
          </w:divBdr>
        </w:div>
        <w:div w:id="229584074">
          <w:marLeft w:val="480"/>
          <w:marRight w:val="0"/>
          <w:marTop w:val="0"/>
          <w:marBottom w:val="0"/>
          <w:divBdr>
            <w:top w:val="none" w:sz="0" w:space="0" w:color="auto"/>
            <w:left w:val="none" w:sz="0" w:space="0" w:color="auto"/>
            <w:bottom w:val="none" w:sz="0" w:space="0" w:color="auto"/>
            <w:right w:val="none" w:sz="0" w:space="0" w:color="auto"/>
          </w:divBdr>
        </w:div>
        <w:div w:id="1752509605">
          <w:marLeft w:val="480"/>
          <w:marRight w:val="0"/>
          <w:marTop w:val="0"/>
          <w:marBottom w:val="0"/>
          <w:divBdr>
            <w:top w:val="none" w:sz="0" w:space="0" w:color="auto"/>
            <w:left w:val="none" w:sz="0" w:space="0" w:color="auto"/>
            <w:bottom w:val="none" w:sz="0" w:space="0" w:color="auto"/>
            <w:right w:val="none" w:sz="0" w:space="0" w:color="auto"/>
          </w:divBdr>
        </w:div>
        <w:div w:id="1326202486">
          <w:marLeft w:val="480"/>
          <w:marRight w:val="0"/>
          <w:marTop w:val="0"/>
          <w:marBottom w:val="0"/>
          <w:divBdr>
            <w:top w:val="none" w:sz="0" w:space="0" w:color="auto"/>
            <w:left w:val="none" w:sz="0" w:space="0" w:color="auto"/>
            <w:bottom w:val="none" w:sz="0" w:space="0" w:color="auto"/>
            <w:right w:val="none" w:sz="0" w:space="0" w:color="auto"/>
          </w:divBdr>
        </w:div>
        <w:div w:id="1212423643">
          <w:marLeft w:val="480"/>
          <w:marRight w:val="0"/>
          <w:marTop w:val="0"/>
          <w:marBottom w:val="0"/>
          <w:divBdr>
            <w:top w:val="none" w:sz="0" w:space="0" w:color="auto"/>
            <w:left w:val="none" w:sz="0" w:space="0" w:color="auto"/>
            <w:bottom w:val="none" w:sz="0" w:space="0" w:color="auto"/>
            <w:right w:val="none" w:sz="0" w:space="0" w:color="auto"/>
          </w:divBdr>
        </w:div>
        <w:div w:id="34044874">
          <w:marLeft w:val="480"/>
          <w:marRight w:val="0"/>
          <w:marTop w:val="0"/>
          <w:marBottom w:val="0"/>
          <w:divBdr>
            <w:top w:val="none" w:sz="0" w:space="0" w:color="auto"/>
            <w:left w:val="none" w:sz="0" w:space="0" w:color="auto"/>
            <w:bottom w:val="none" w:sz="0" w:space="0" w:color="auto"/>
            <w:right w:val="none" w:sz="0" w:space="0" w:color="auto"/>
          </w:divBdr>
        </w:div>
        <w:div w:id="1300184850">
          <w:marLeft w:val="480"/>
          <w:marRight w:val="0"/>
          <w:marTop w:val="0"/>
          <w:marBottom w:val="0"/>
          <w:divBdr>
            <w:top w:val="none" w:sz="0" w:space="0" w:color="auto"/>
            <w:left w:val="none" w:sz="0" w:space="0" w:color="auto"/>
            <w:bottom w:val="none" w:sz="0" w:space="0" w:color="auto"/>
            <w:right w:val="none" w:sz="0" w:space="0" w:color="auto"/>
          </w:divBdr>
        </w:div>
        <w:div w:id="1331785505">
          <w:marLeft w:val="480"/>
          <w:marRight w:val="0"/>
          <w:marTop w:val="0"/>
          <w:marBottom w:val="0"/>
          <w:divBdr>
            <w:top w:val="none" w:sz="0" w:space="0" w:color="auto"/>
            <w:left w:val="none" w:sz="0" w:space="0" w:color="auto"/>
            <w:bottom w:val="none" w:sz="0" w:space="0" w:color="auto"/>
            <w:right w:val="none" w:sz="0" w:space="0" w:color="auto"/>
          </w:divBdr>
        </w:div>
        <w:div w:id="1968731981">
          <w:marLeft w:val="480"/>
          <w:marRight w:val="0"/>
          <w:marTop w:val="0"/>
          <w:marBottom w:val="0"/>
          <w:divBdr>
            <w:top w:val="none" w:sz="0" w:space="0" w:color="auto"/>
            <w:left w:val="none" w:sz="0" w:space="0" w:color="auto"/>
            <w:bottom w:val="none" w:sz="0" w:space="0" w:color="auto"/>
            <w:right w:val="none" w:sz="0" w:space="0" w:color="auto"/>
          </w:divBdr>
        </w:div>
        <w:div w:id="1074934981">
          <w:marLeft w:val="480"/>
          <w:marRight w:val="0"/>
          <w:marTop w:val="0"/>
          <w:marBottom w:val="0"/>
          <w:divBdr>
            <w:top w:val="none" w:sz="0" w:space="0" w:color="auto"/>
            <w:left w:val="none" w:sz="0" w:space="0" w:color="auto"/>
            <w:bottom w:val="none" w:sz="0" w:space="0" w:color="auto"/>
            <w:right w:val="none" w:sz="0" w:space="0" w:color="auto"/>
          </w:divBdr>
        </w:div>
        <w:div w:id="1636641701">
          <w:marLeft w:val="480"/>
          <w:marRight w:val="0"/>
          <w:marTop w:val="0"/>
          <w:marBottom w:val="0"/>
          <w:divBdr>
            <w:top w:val="none" w:sz="0" w:space="0" w:color="auto"/>
            <w:left w:val="none" w:sz="0" w:space="0" w:color="auto"/>
            <w:bottom w:val="none" w:sz="0" w:space="0" w:color="auto"/>
            <w:right w:val="none" w:sz="0" w:space="0" w:color="auto"/>
          </w:divBdr>
        </w:div>
        <w:div w:id="1257327007">
          <w:marLeft w:val="480"/>
          <w:marRight w:val="0"/>
          <w:marTop w:val="0"/>
          <w:marBottom w:val="0"/>
          <w:divBdr>
            <w:top w:val="none" w:sz="0" w:space="0" w:color="auto"/>
            <w:left w:val="none" w:sz="0" w:space="0" w:color="auto"/>
            <w:bottom w:val="none" w:sz="0" w:space="0" w:color="auto"/>
            <w:right w:val="none" w:sz="0" w:space="0" w:color="auto"/>
          </w:divBdr>
        </w:div>
        <w:div w:id="1930238402">
          <w:marLeft w:val="480"/>
          <w:marRight w:val="0"/>
          <w:marTop w:val="0"/>
          <w:marBottom w:val="0"/>
          <w:divBdr>
            <w:top w:val="none" w:sz="0" w:space="0" w:color="auto"/>
            <w:left w:val="none" w:sz="0" w:space="0" w:color="auto"/>
            <w:bottom w:val="none" w:sz="0" w:space="0" w:color="auto"/>
            <w:right w:val="none" w:sz="0" w:space="0" w:color="auto"/>
          </w:divBdr>
        </w:div>
        <w:div w:id="1414736656">
          <w:marLeft w:val="480"/>
          <w:marRight w:val="0"/>
          <w:marTop w:val="0"/>
          <w:marBottom w:val="0"/>
          <w:divBdr>
            <w:top w:val="none" w:sz="0" w:space="0" w:color="auto"/>
            <w:left w:val="none" w:sz="0" w:space="0" w:color="auto"/>
            <w:bottom w:val="none" w:sz="0" w:space="0" w:color="auto"/>
            <w:right w:val="none" w:sz="0" w:space="0" w:color="auto"/>
          </w:divBdr>
        </w:div>
        <w:div w:id="560022122">
          <w:marLeft w:val="480"/>
          <w:marRight w:val="0"/>
          <w:marTop w:val="0"/>
          <w:marBottom w:val="0"/>
          <w:divBdr>
            <w:top w:val="none" w:sz="0" w:space="0" w:color="auto"/>
            <w:left w:val="none" w:sz="0" w:space="0" w:color="auto"/>
            <w:bottom w:val="none" w:sz="0" w:space="0" w:color="auto"/>
            <w:right w:val="none" w:sz="0" w:space="0" w:color="auto"/>
          </w:divBdr>
        </w:div>
        <w:div w:id="1527720716">
          <w:marLeft w:val="480"/>
          <w:marRight w:val="0"/>
          <w:marTop w:val="0"/>
          <w:marBottom w:val="0"/>
          <w:divBdr>
            <w:top w:val="none" w:sz="0" w:space="0" w:color="auto"/>
            <w:left w:val="none" w:sz="0" w:space="0" w:color="auto"/>
            <w:bottom w:val="none" w:sz="0" w:space="0" w:color="auto"/>
            <w:right w:val="none" w:sz="0" w:space="0" w:color="auto"/>
          </w:divBdr>
        </w:div>
        <w:div w:id="278144110">
          <w:marLeft w:val="480"/>
          <w:marRight w:val="0"/>
          <w:marTop w:val="0"/>
          <w:marBottom w:val="0"/>
          <w:divBdr>
            <w:top w:val="none" w:sz="0" w:space="0" w:color="auto"/>
            <w:left w:val="none" w:sz="0" w:space="0" w:color="auto"/>
            <w:bottom w:val="none" w:sz="0" w:space="0" w:color="auto"/>
            <w:right w:val="none" w:sz="0" w:space="0" w:color="auto"/>
          </w:divBdr>
        </w:div>
        <w:div w:id="542211968">
          <w:marLeft w:val="480"/>
          <w:marRight w:val="0"/>
          <w:marTop w:val="0"/>
          <w:marBottom w:val="0"/>
          <w:divBdr>
            <w:top w:val="none" w:sz="0" w:space="0" w:color="auto"/>
            <w:left w:val="none" w:sz="0" w:space="0" w:color="auto"/>
            <w:bottom w:val="none" w:sz="0" w:space="0" w:color="auto"/>
            <w:right w:val="none" w:sz="0" w:space="0" w:color="auto"/>
          </w:divBdr>
        </w:div>
        <w:div w:id="177618542">
          <w:marLeft w:val="480"/>
          <w:marRight w:val="0"/>
          <w:marTop w:val="0"/>
          <w:marBottom w:val="0"/>
          <w:divBdr>
            <w:top w:val="none" w:sz="0" w:space="0" w:color="auto"/>
            <w:left w:val="none" w:sz="0" w:space="0" w:color="auto"/>
            <w:bottom w:val="none" w:sz="0" w:space="0" w:color="auto"/>
            <w:right w:val="none" w:sz="0" w:space="0" w:color="auto"/>
          </w:divBdr>
        </w:div>
        <w:div w:id="131291915">
          <w:marLeft w:val="480"/>
          <w:marRight w:val="0"/>
          <w:marTop w:val="0"/>
          <w:marBottom w:val="0"/>
          <w:divBdr>
            <w:top w:val="none" w:sz="0" w:space="0" w:color="auto"/>
            <w:left w:val="none" w:sz="0" w:space="0" w:color="auto"/>
            <w:bottom w:val="none" w:sz="0" w:space="0" w:color="auto"/>
            <w:right w:val="none" w:sz="0" w:space="0" w:color="auto"/>
          </w:divBdr>
        </w:div>
        <w:div w:id="1622691270">
          <w:marLeft w:val="480"/>
          <w:marRight w:val="0"/>
          <w:marTop w:val="0"/>
          <w:marBottom w:val="0"/>
          <w:divBdr>
            <w:top w:val="none" w:sz="0" w:space="0" w:color="auto"/>
            <w:left w:val="none" w:sz="0" w:space="0" w:color="auto"/>
            <w:bottom w:val="none" w:sz="0" w:space="0" w:color="auto"/>
            <w:right w:val="none" w:sz="0" w:space="0" w:color="auto"/>
          </w:divBdr>
        </w:div>
        <w:div w:id="1048532530">
          <w:marLeft w:val="480"/>
          <w:marRight w:val="0"/>
          <w:marTop w:val="0"/>
          <w:marBottom w:val="0"/>
          <w:divBdr>
            <w:top w:val="none" w:sz="0" w:space="0" w:color="auto"/>
            <w:left w:val="none" w:sz="0" w:space="0" w:color="auto"/>
            <w:bottom w:val="none" w:sz="0" w:space="0" w:color="auto"/>
            <w:right w:val="none" w:sz="0" w:space="0" w:color="auto"/>
          </w:divBdr>
        </w:div>
        <w:div w:id="1740596027">
          <w:marLeft w:val="480"/>
          <w:marRight w:val="0"/>
          <w:marTop w:val="0"/>
          <w:marBottom w:val="0"/>
          <w:divBdr>
            <w:top w:val="none" w:sz="0" w:space="0" w:color="auto"/>
            <w:left w:val="none" w:sz="0" w:space="0" w:color="auto"/>
            <w:bottom w:val="none" w:sz="0" w:space="0" w:color="auto"/>
            <w:right w:val="none" w:sz="0" w:space="0" w:color="auto"/>
          </w:divBdr>
        </w:div>
        <w:div w:id="272834377">
          <w:marLeft w:val="480"/>
          <w:marRight w:val="0"/>
          <w:marTop w:val="0"/>
          <w:marBottom w:val="0"/>
          <w:divBdr>
            <w:top w:val="none" w:sz="0" w:space="0" w:color="auto"/>
            <w:left w:val="none" w:sz="0" w:space="0" w:color="auto"/>
            <w:bottom w:val="none" w:sz="0" w:space="0" w:color="auto"/>
            <w:right w:val="none" w:sz="0" w:space="0" w:color="auto"/>
          </w:divBdr>
        </w:div>
        <w:div w:id="305934299">
          <w:marLeft w:val="480"/>
          <w:marRight w:val="0"/>
          <w:marTop w:val="0"/>
          <w:marBottom w:val="0"/>
          <w:divBdr>
            <w:top w:val="none" w:sz="0" w:space="0" w:color="auto"/>
            <w:left w:val="none" w:sz="0" w:space="0" w:color="auto"/>
            <w:bottom w:val="none" w:sz="0" w:space="0" w:color="auto"/>
            <w:right w:val="none" w:sz="0" w:space="0" w:color="auto"/>
          </w:divBdr>
        </w:div>
        <w:div w:id="1036345329">
          <w:marLeft w:val="480"/>
          <w:marRight w:val="0"/>
          <w:marTop w:val="0"/>
          <w:marBottom w:val="0"/>
          <w:divBdr>
            <w:top w:val="none" w:sz="0" w:space="0" w:color="auto"/>
            <w:left w:val="none" w:sz="0" w:space="0" w:color="auto"/>
            <w:bottom w:val="none" w:sz="0" w:space="0" w:color="auto"/>
            <w:right w:val="none" w:sz="0" w:space="0" w:color="auto"/>
          </w:divBdr>
        </w:div>
      </w:divsChild>
    </w:div>
    <w:div w:id="798841973">
      <w:bodyDiv w:val="1"/>
      <w:marLeft w:val="0"/>
      <w:marRight w:val="0"/>
      <w:marTop w:val="0"/>
      <w:marBottom w:val="0"/>
      <w:divBdr>
        <w:top w:val="none" w:sz="0" w:space="0" w:color="auto"/>
        <w:left w:val="none" w:sz="0" w:space="0" w:color="auto"/>
        <w:bottom w:val="none" w:sz="0" w:space="0" w:color="auto"/>
        <w:right w:val="none" w:sz="0" w:space="0" w:color="auto"/>
      </w:divBdr>
    </w:div>
    <w:div w:id="799687826">
      <w:bodyDiv w:val="1"/>
      <w:marLeft w:val="0"/>
      <w:marRight w:val="0"/>
      <w:marTop w:val="0"/>
      <w:marBottom w:val="0"/>
      <w:divBdr>
        <w:top w:val="none" w:sz="0" w:space="0" w:color="auto"/>
        <w:left w:val="none" w:sz="0" w:space="0" w:color="auto"/>
        <w:bottom w:val="none" w:sz="0" w:space="0" w:color="auto"/>
        <w:right w:val="none" w:sz="0" w:space="0" w:color="auto"/>
      </w:divBdr>
    </w:div>
    <w:div w:id="801073858">
      <w:bodyDiv w:val="1"/>
      <w:marLeft w:val="0"/>
      <w:marRight w:val="0"/>
      <w:marTop w:val="0"/>
      <w:marBottom w:val="0"/>
      <w:divBdr>
        <w:top w:val="none" w:sz="0" w:space="0" w:color="auto"/>
        <w:left w:val="none" w:sz="0" w:space="0" w:color="auto"/>
        <w:bottom w:val="none" w:sz="0" w:space="0" w:color="auto"/>
        <w:right w:val="none" w:sz="0" w:space="0" w:color="auto"/>
      </w:divBdr>
    </w:div>
    <w:div w:id="803040778">
      <w:bodyDiv w:val="1"/>
      <w:marLeft w:val="0"/>
      <w:marRight w:val="0"/>
      <w:marTop w:val="0"/>
      <w:marBottom w:val="0"/>
      <w:divBdr>
        <w:top w:val="none" w:sz="0" w:space="0" w:color="auto"/>
        <w:left w:val="none" w:sz="0" w:space="0" w:color="auto"/>
        <w:bottom w:val="none" w:sz="0" w:space="0" w:color="auto"/>
        <w:right w:val="none" w:sz="0" w:space="0" w:color="auto"/>
      </w:divBdr>
    </w:div>
    <w:div w:id="803696200">
      <w:bodyDiv w:val="1"/>
      <w:marLeft w:val="0"/>
      <w:marRight w:val="0"/>
      <w:marTop w:val="0"/>
      <w:marBottom w:val="0"/>
      <w:divBdr>
        <w:top w:val="none" w:sz="0" w:space="0" w:color="auto"/>
        <w:left w:val="none" w:sz="0" w:space="0" w:color="auto"/>
        <w:bottom w:val="none" w:sz="0" w:space="0" w:color="auto"/>
        <w:right w:val="none" w:sz="0" w:space="0" w:color="auto"/>
      </w:divBdr>
    </w:div>
    <w:div w:id="803738338">
      <w:bodyDiv w:val="1"/>
      <w:marLeft w:val="0"/>
      <w:marRight w:val="0"/>
      <w:marTop w:val="0"/>
      <w:marBottom w:val="0"/>
      <w:divBdr>
        <w:top w:val="none" w:sz="0" w:space="0" w:color="auto"/>
        <w:left w:val="none" w:sz="0" w:space="0" w:color="auto"/>
        <w:bottom w:val="none" w:sz="0" w:space="0" w:color="auto"/>
        <w:right w:val="none" w:sz="0" w:space="0" w:color="auto"/>
      </w:divBdr>
    </w:div>
    <w:div w:id="804198700">
      <w:bodyDiv w:val="1"/>
      <w:marLeft w:val="0"/>
      <w:marRight w:val="0"/>
      <w:marTop w:val="0"/>
      <w:marBottom w:val="0"/>
      <w:divBdr>
        <w:top w:val="none" w:sz="0" w:space="0" w:color="auto"/>
        <w:left w:val="none" w:sz="0" w:space="0" w:color="auto"/>
        <w:bottom w:val="none" w:sz="0" w:space="0" w:color="auto"/>
        <w:right w:val="none" w:sz="0" w:space="0" w:color="auto"/>
      </w:divBdr>
    </w:div>
    <w:div w:id="804351229">
      <w:bodyDiv w:val="1"/>
      <w:marLeft w:val="0"/>
      <w:marRight w:val="0"/>
      <w:marTop w:val="0"/>
      <w:marBottom w:val="0"/>
      <w:divBdr>
        <w:top w:val="none" w:sz="0" w:space="0" w:color="auto"/>
        <w:left w:val="none" w:sz="0" w:space="0" w:color="auto"/>
        <w:bottom w:val="none" w:sz="0" w:space="0" w:color="auto"/>
        <w:right w:val="none" w:sz="0" w:space="0" w:color="auto"/>
      </w:divBdr>
    </w:div>
    <w:div w:id="804934611">
      <w:bodyDiv w:val="1"/>
      <w:marLeft w:val="0"/>
      <w:marRight w:val="0"/>
      <w:marTop w:val="0"/>
      <w:marBottom w:val="0"/>
      <w:divBdr>
        <w:top w:val="none" w:sz="0" w:space="0" w:color="auto"/>
        <w:left w:val="none" w:sz="0" w:space="0" w:color="auto"/>
        <w:bottom w:val="none" w:sz="0" w:space="0" w:color="auto"/>
        <w:right w:val="none" w:sz="0" w:space="0" w:color="auto"/>
      </w:divBdr>
    </w:div>
    <w:div w:id="806633135">
      <w:bodyDiv w:val="1"/>
      <w:marLeft w:val="0"/>
      <w:marRight w:val="0"/>
      <w:marTop w:val="0"/>
      <w:marBottom w:val="0"/>
      <w:divBdr>
        <w:top w:val="none" w:sz="0" w:space="0" w:color="auto"/>
        <w:left w:val="none" w:sz="0" w:space="0" w:color="auto"/>
        <w:bottom w:val="none" w:sz="0" w:space="0" w:color="auto"/>
        <w:right w:val="none" w:sz="0" w:space="0" w:color="auto"/>
      </w:divBdr>
    </w:div>
    <w:div w:id="807283777">
      <w:bodyDiv w:val="1"/>
      <w:marLeft w:val="0"/>
      <w:marRight w:val="0"/>
      <w:marTop w:val="0"/>
      <w:marBottom w:val="0"/>
      <w:divBdr>
        <w:top w:val="none" w:sz="0" w:space="0" w:color="auto"/>
        <w:left w:val="none" w:sz="0" w:space="0" w:color="auto"/>
        <w:bottom w:val="none" w:sz="0" w:space="0" w:color="auto"/>
        <w:right w:val="none" w:sz="0" w:space="0" w:color="auto"/>
      </w:divBdr>
    </w:div>
    <w:div w:id="807404731">
      <w:bodyDiv w:val="1"/>
      <w:marLeft w:val="0"/>
      <w:marRight w:val="0"/>
      <w:marTop w:val="0"/>
      <w:marBottom w:val="0"/>
      <w:divBdr>
        <w:top w:val="none" w:sz="0" w:space="0" w:color="auto"/>
        <w:left w:val="none" w:sz="0" w:space="0" w:color="auto"/>
        <w:bottom w:val="none" w:sz="0" w:space="0" w:color="auto"/>
        <w:right w:val="none" w:sz="0" w:space="0" w:color="auto"/>
      </w:divBdr>
    </w:div>
    <w:div w:id="807866154">
      <w:bodyDiv w:val="1"/>
      <w:marLeft w:val="0"/>
      <w:marRight w:val="0"/>
      <w:marTop w:val="0"/>
      <w:marBottom w:val="0"/>
      <w:divBdr>
        <w:top w:val="none" w:sz="0" w:space="0" w:color="auto"/>
        <w:left w:val="none" w:sz="0" w:space="0" w:color="auto"/>
        <w:bottom w:val="none" w:sz="0" w:space="0" w:color="auto"/>
        <w:right w:val="none" w:sz="0" w:space="0" w:color="auto"/>
      </w:divBdr>
    </w:div>
    <w:div w:id="808397420">
      <w:bodyDiv w:val="1"/>
      <w:marLeft w:val="0"/>
      <w:marRight w:val="0"/>
      <w:marTop w:val="0"/>
      <w:marBottom w:val="0"/>
      <w:divBdr>
        <w:top w:val="none" w:sz="0" w:space="0" w:color="auto"/>
        <w:left w:val="none" w:sz="0" w:space="0" w:color="auto"/>
        <w:bottom w:val="none" w:sz="0" w:space="0" w:color="auto"/>
        <w:right w:val="none" w:sz="0" w:space="0" w:color="auto"/>
      </w:divBdr>
    </w:div>
    <w:div w:id="808937806">
      <w:bodyDiv w:val="1"/>
      <w:marLeft w:val="0"/>
      <w:marRight w:val="0"/>
      <w:marTop w:val="0"/>
      <w:marBottom w:val="0"/>
      <w:divBdr>
        <w:top w:val="none" w:sz="0" w:space="0" w:color="auto"/>
        <w:left w:val="none" w:sz="0" w:space="0" w:color="auto"/>
        <w:bottom w:val="none" w:sz="0" w:space="0" w:color="auto"/>
        <w:right w:val="none" w:sz="0" w:space="0" w:color="auto"/>
      </w:divBdr>
    </w:div>
    <w:div w:id="809445998">
      <w:bodyDiv w:val="1"/>
      <w:marLeft w:val="0"/>
      <w:marRight w:val="0"/>
      <w:marTop w:val="0"/>
      <w:marBottom w:val="0"/>
      <w:divBdr>
        <w:top w:val="none" w:sz="0" w:space="0" w:color="auto"/>
        <w:left w:val="none" w:sz="0" w:space="0" w:color="auto"/>
        <w:bottom w:val="none" w:sz="0" w:space="0" w:color="auto"/>
        <w:right w:val="none" w:sz="0" w:space="0" w:color="auto"/>
      </w:divBdr>
    </w:div>
    <w:div w:id="809906455">
      <w:bodyDiv w:val="1"/>
      <w:marLeft w:val="0"/>
      <w:marRight w:val="0"/>
      <w:marTop w:val="0"/>
      <w:marBottom w:val="0"/>
      <w:divBdr>
        <w:top w:val="none" w:sz="0" w:space="0" w:color="auto"/>
        <w:left w:val="none" w:sz="0" w:space="0" w:color="auto"/>
        <w:bottom w:val="none" w:sz="0" w:space="0" w:color="auto"/>
        <w:right w:val="none" w:sz="0" w:space="0" w:color="auto"/>
      </w:divBdr>
    </w:div>
    <w:div w:id="810826240">
      <w:bodyDiv w:val="1"/>
      <w:marLeft w:val="0"/>
      <w:marRight w:val="0"/>
      <w:marTop w:val="0"/>
      <w:marBottom w:val="0"/>
      <w:divBdr>
        <w:top w:val="none" w:sz="0" w:space="0" w:color="auto"/>
        <w:left w:val="none" w:sz="0" w:space="0" w:color="auto"/>
        <w:bottom w:val="none" w:sz="0" w:space="0" w:color="auto"/>
        <w:right w:val="none" w:sz="0" w:space="0" w:color="auto"/>
      </w:divBdr>
    </w:div>
    <w:div w:id="812260996">
      <w:bodyDiv w:val="1"/>
      <w:marLeft w:val="0"/>
      <w:marRight w:val="0"/>
      <w:marTop w:val="0"/>
      <w:marBottom w:val="0"/>
      <w:divBdr>
        <w:top w:val="none" w:sz="0" w:space="0" w:color="auto"/>
        <w:left w:val="none" w:sz="0" w:space="0" w:color="auto"/>
        <w:bottom w:val="none" w:sz="0" w:space="0" w:color="auto"/>
        <w:right w:val="none" w:sz="0" w:space="0" w:color="auto"/>
      </w:divBdr>
    </w:div>
    <w:div w:id="812524027">
      <w:bodyDiv w:val="1"/>
      <w:marLeft w:val="0"/>
      <w:marRight w:val="0"/>
      <w:marTop w:val="0"/>
      <w:marBottom w:val="0"/>
      <w:divBdr>
        <w:top w:val="none" w:sz="0" w:space="0" w:color="auto"/>
        <w:left w:val="none" w:sz="0" w:space="0" w:color="auto"/>
        <w:bottom w:val="none" w:sz="0" w:space="0" w:color="auto"/>
        <w:right w:val="none" w:sz="0" w:space="0" w:color="auto"/>
      </w:divBdr>
      <w:divsChild>
        <w:div w:id="569929290">
          <w:marLeft w:val="480"/>
          <w:marRight w:val="0"/>
          <w:marTop w:val="0"/>
          <w:marBottom w:val="0"/>
          <w:divBdr>
            <w:top w:val="none" w:sz="0" w:space="0" w:color="auto"/>
            <w:left w:val="none" w:sz="0" w:space="0" w:color="auto"/>
            <w:bottom w:val="none" w:sz="0" w:space="0" w:color="auto"/>
            <w:right w:val="none" w:sz="0" w:space="0" w:color="auto"/>
          </w:divBdr>
        </w:div>
        <w:div w:id="1993364609">
          <w:marLeft w:val="480"/>
          <w:marRight w:val="0"/>
          <w:marTop w:val="0"/>
          <w:marBottom w:val="0"/>
          <w:divBdr>
            <w:top w:val="none" w:sz="0" w:space="0" w:color="auto"/>
            <w:left w:val="none" w:sz="0" w:space="0" w:color="auto"/>
            <w:bottom w:val="none" w:sz="0" w:space="0" w:color="auto"/>
            <w:right w:val="none" w:sz="0" w:space="0" w:color="auto"/>
          </w:divBdr>
        </w:div>
        <w:div w:id="685446109">
          <w:marLeft w:val="480"/>
          <w:marRight w:val="0"/>
          <w:marTop w:val="0"/>
          <w:marBottom w:val="0"/>
          <w:divBdr>
            <w:top w:val="none" w:sz="0" w:space="0" w:color="auto"/>
            <w:left w:val="none" w:sz="0" w:space="0" w:color="auto"/>
            <w:bottom w:val="none" w:sz="0" w:space="0" w:color="auto"/>
            <w:right w:val="none" w:sz="0" w:space="0" w:color="auto"/>
          </w:divBdr>
        </w:div>
        <w:div w:id="1326933887">
          <w:marLeft w:val="480"/>
          <w:marRight w:val="0"/>
          <w:marTop w:val="0"/>
          <w:marBottom w:val="0"/>
          <w:divBdr>
            <w:top w:val="none" w:sz="0" w:space="0" w:color="auto"/>
            <w:left w:val="none" w:sz="0" w:space="0" w:color="auto"/>
            <w:bottom w:val="none" w:sz="0" w:space="0" w:color="auto"/>
            <w:right w:val="none" w:sz="0" w:space="0" w:color="auto"/>
          </w:divBdr>
        </w:div>
        <w:div w:id="27994350">
          <w:marLeft w:val="480"/>
          <w:marRight w:val="0"/>
          <w:marTop w:val="0"/>
          <w:marBottom w:val="0"/>
          <w:divBdr>
            <w:top w:val="none" w:sz="0" w:space="0" w:color="auto"/>
            <w:left w:val="none" w:sz="0" w:space="0" w:color="auto"/>
            <w:bottom w:val="none" w:sz="0" w:space="0" w:color="auto"/>
            <w:right w:val="none" w:sz="0" w:space="0" w:color="auto"/>
          </w:divBdr>
        </w:div>
        <w:div w:id="1366950849">
          <w:marLeft w:val="480"/>
          <w:marRight w:val="0"/>
          <w:marTop w:val="0"/>
          <w:marBottom w:val="0"/>
          <w:divBdr>
            <w:top w:val="none" w:sz="0" w:space="0" w:color="auto"/>
            <w:left w:val="none" w:sz="0" w:space="0" w:color="auto"/>
            <w:bottom w:val="none" w:sz="0" w:space="0" w:color="auto"/>
            <w:right w:val="none" w:sz="0" w:space="0" w:color="auto"/>
          </w:divBdr>
        </w:div>
        <w:div w:id="28267613">
          <w:marLeft w:val="480"/>
          <w:marRight w:val="0"/>
          <w:marTop w:val="0"/>
          <w:marBottom w:val="0"/>
          <w:divBdr>
            <w:top w:val="none" w:sz="0" w:space="0" w:color="auto"/>
            <w:left w:val="none" w:sz="0" w:space="0" w:color="auto"/>
            <w:bottom w:val="none" w:sz="0" w:space="0" w:color="auto"/>
            <w:right w:val="none" w:sz="0" w:space="0" w:color="auto"/>
          </w:divBdr>
        </w:div>
        <w:div w:id="802233279">
          <w:marLeft w:val="480"/>
          <w:marRight w:val="0"/>
          <w:marTop w:val="0"/>
          <w:marBottom w:val="0"/>
          <w:divBdr>
            <w:top w:val="none" w:sz="0" w:space="0" w:color="auto"/>
            <w:left w:val="none" w:sz="0" w:space="0" w:color="auto"/>
            <w:bottom w:val="none" w:sz="0" w:space="0" w:color="auto"/>
            <w:right w:val="none" w:sz="0" w:space="0" w:color="auto"/>
          </w:divBdr>
        </w:div>
        <w:div w:id="34813266">
          <w:marLeft w:val="480"/>
          <w:marRight w:val="0"/>
          <w:marTop w:val="0"/>
          <w:marBottom w:val="0"/>
          <w:divBdr>
            <w:top w:val="none" w:sz="0" w:space="0" w:color="auto"/>
            <w:left w:val="none" w:sz="0" w:space="0" w:color="auto"/>
            <w:bottom w:val="none" w:sz="0" w:space="0" w:color="auto"/>
            <w:right w:val="none" w:sz="0" w:space="0" w:color="auto"/>
          </w:divBdr>
        </w:div>
        <w:div w:id="736822770">
          <w:marLeft w:val="480"/>
          <w:marRight w:val="0"/>
          <w:marTop w:val="0"/>
          <w:marBottom w:val="0"/>
          <w:divBdr>
            <w:top w:val="none" w:sz="0" w:space="0" w:color="auto"/>
            <w:left w:val="none" w:sz="0" w:space="0" w:color="auto"/>
            <w:bottom w:val="none" w:sz="0" w:space="0" w:color="auto"/>
            <w:right w:val="none" w:sz="0" w:space="0" w:color="auto"/>
          </w:divBdr>
        </w:div>
        <w:div w:id="1662848121">
          <w:marLeft w:val="480"/>
          <w:marRight w:val="0"/>
          <w:marTop w:val="0"/>
          <w:marBottom w:val="0"/>
          <w:divBdr>
            <w:top w:val="none" w:sz="0" w:space="0" w:color="auto"/>
            <w:left w:val="none" w:sz="0" w:space="0" w:color="auto"/>
            <w:bottom w:val="none" w:sz="0" w:space="0" w:color="auto"/>
            <w:right w:val="none" w:sz="0" w:space="0" w:color="auto"/>
          </w:divBdr>
        </w:div>
        <w:div w:id="345135356">
          <w:marLeft w:val="480"/>
          <w:marRight w:val="0"/>
          <w:marTop w:val="0"/>
          <w:marBottom w:val="0"/>
          <w:divBdr>
            <w:top w:val="none" w:sz="0" w:space="0" w:color="auto"/>
            <w:left w:val="none" w:sz="0" w:space="0" w:color="auto"/>
            <w:bottom w:val="none" w:sz="0" w:space="0" w:color="auto"/>
            <w:right w:val="none" w:sz="0" w:space="0" w:color="auto"/>
          </w:divBdr>
        </w:div>
        <w:div w:id="1244609117">
          <w:marLeft w:val="480"/>
          <w:marRight w:val="0"/>
          <w:marTop w:val="0"/>
          <w:marBottom w:val="0"/>
          <w:divBdr>
            <w:top w:val="none" w:sz="0" w:space="0" w:color="auto"/>
            <w:left w:val="none" w:sz="0" w:space="0" w:color="auto"/>
            <w:bottom w:val="none" w:sz="0" w:space="0" w:color="auto"/>
            <w:right w:val="none" w:sz="0" w:space="0" w:color="auto"/>
          </w:divBdr>
        </w:div>
        <w:div w:id="1011370984">
          <w:marLeft w:val="480"/>
          <w:marRight w:val="0"/>
          <w:marTop w:val="0"/>
          <w:marBottom w:val="0"/>
          <w:divBdr>
            <w:top w:val="none" w:sz="0" w:space="0" w:color="auto"/>
            <w:left w:val="none" w:sz="0" w:space="0" w:color="auto"/>
            <w:bottom w:val="none" w:sz="0" w:space="0" w:color="auto"/>
            <w:right w:val="none" w:sz="0" w:space="0" w:color="auto"/>
          </w:divBdr>
        </w:div>
        <w:div w:id="1288395854">
          <w:marLeft w:val="480"/>
          <w:marRight w:val="0"/>
          <w:marTop w:val="0"/>
          <w:marBottom w:val="0"/>
          <w:divBdr>
            <w:top w:val="none" w:sz="0" w:space="0" w:color="auto"/>
            <w:left w:val="none" w:sz="0" w:space="0" w:color="auto"/>
            <w:bottom w:val="none" w:sz="0" w:space="0" w:color="auto"/>
            <w:right w:val="none" w:sz="0" w:space="0" w:color="auto"/>
          </w:divBdr>
        </w:div>
        <w:div w:id="1466851724">
          <w:marLeft w:val="480"/>
          <w:marRight w:val="0"/>
          <w:marTop w:val="0"/>
          <w:marBottom w:val="0"/>
          <w:divBdr>
            <w:top w:val="none" w:sz="0" w:space="0" w:color="auto"/>
            <w:left w:val="none" w:sz="0" w:space="0" w:color="auto"/>
            <w:bottom w:val="none" w:sz="0" w:space="0" w:color="auto"/>
            <w:right w:val="none" w:sz="0" w:space="0" w:color="auto"/>
          </w:divBdr>
        </w:div>
        <w:div w:id="1246765565">
          <w:marLeft w:val="480"/>
          <w:marRight w:val="0"/>
          <w:marTop w:val="0"/>
          <w:marBottom w:val="0"/>
          <w:divBdr>
            <w:top w:val="none" w:sz="0" w:space="0" w:color="auto"/>
            <w:left w:val="none" w:sz="0" w:space="0" w:color="auto"/>
            <w:bottom w:val="none" w:sz="0" w:space="0" w:color="auto"/>
            <w:right w:val="none" w:sz="0" w:space="0" w:color="auto"/>
          </w:divBdr>
        </w:div>
        <w:div w:id="783110574">
          <w:marLeft w:val="480"/>
          <w:marRight w:val="0"/>
          <w:marTop w:val="0"/>
          <w:marBottom w:val="0"/>
          <w:divBdr>
            <w:top w:val="none" w:sz="0" w:space="0" w:color="auto"/>
            <w:left w:val="none" w:sz="0" w:space="0" w:color="auto"/>
            <w:bottom w:val="none" w:sz="0" w:space="0" w:color="auto"/>
            <w:right w:val="none" w:sz="0" w:space="0" w:color="auto"/>
          </w:divBdr>
        </w:div>
        <w:div w:id="1691565580">
          <w:marLeft w:val="480"/>
          <w:marRight w:val="0"/>
          <w:marTop w:val="0"/>
          <w:marBottom w:val="0"/>
          <w:divBdr>
            <w:top w:val="none" w:sz="0" w:space="0" w:color="auto"/>
            <w:left w:val="none" w:sz="0" w:space="0" w:color="auto"/>
            <w:bottom w:val="none" w:sz="0" w:space="0" w:color="auto"/>
            <w:right w:val="none" w:sz="0" w:space="0" w:color="auto"/>
          </w:divBdr>
        </w:div>
        <w:div w:id="39595373">
          <w:marLeft w:val="480"/>
          <w:marRight w:val="0"/>
          <w:marTop w:val="0"/>
          <w:marBottom w:val="0"/>
          <w:divBdr>
            <w:top w:val="none" w:sz="0" w:space="0" w:color="auto"/>
            <w:left w:val="none" w:sz="0" w:space="0" w:color="auto"/>
            <w:bottom w:val="none" w:sz="0" w:space="0" w:color="auto"/>
            <w:right w:val="none" w:sz="0" w:space="0" w:color="auto"/>
          </w:divBdr>
        </w:div>
        <w:div w:id="2054189505">
          <w:marLeft w:val="480"/>
          <w:marRight w:val="0"/>
          <w:marTop w:val="0"/>
          <w:marBottom w:val="0"/>
          <w:divBdr>
            <w:top w:val="none" w:sz="0" w:space="0" w:color="auto"/>
            <w:left w:val="none" w:sz="0" w:space="0" w:color="auto"/>
            <w:bottom w:val="none" w:sz="0" w:space="0" w:color="auto"/>
            <w:right w:val="none" w:sz="0" w:space="0" w:color="auto"/>
          </w:divBdr>
        </w:div>
        <w:div w:id="1398435009">
          <w:marLeft w:val="480"/>
          <w:marRight w:val="0"/>
          <w:marTop w:val="0"/>
          <w:marBottom w:val="0"/>
          <w:divBdr>
            <w:top w:val="none" w:sz="0" w:space="0" w:color="auto"/>
            <w:left w:val="none" w:sz="0" w:space="0" w:color="auto"/>
            <w:bottom w:val="none" w:sz="0" w:space="0" w:color="auto"/>
            <w:right w:val="none" w:sz="0" w:space="0" w:color="auto"/>
          </w:divBdr>
        </w:div>
        <w:div w:id="310791817">
          <w:marLeft w:val="480"/>
          <w:marRight w:val="0"/>
          <w:marTop w:val="0"/>
          <w:marBottom w:val="0"/>
          <w:divBdr>
            <w:top w:val="none" w:sz="0" w:space="0" w:color="auto"/>
            <w:left w:val="none" w:sz="0" w:space="0" w:color="auto"/>
            <w:bottom w:val="none" w:sz="0" w:space="0" w:color="auto"/>
            <w:right w:val="none" w:sz="0" w:space="0" w:color="auto"/>
          </w:divBdr>
        </w:div>
        <w:div w:id="1040276581">
          <w:marLeft w:val="480"/>
          <w:marRight w:val="0"/>
          <w:marTop w:val="0"/>
          <w:marBottom w:val="0"/>
          <w:divBdr>
            <w:top w:val="none" w:sz="0" w:space="0" w:color="auto"/>
            <w:left w:val="none" w:sz="0" w:space="0" w:color="auto"/>
            <w:bottom w:val="none" w:sz="0" w:space="0" w:color="auto"/>
            <w:right w:val="none" w:sz="0" w:space="0" w:color="auto"/>
          </w:divBdr>
        </w:div>
        <w:div w:id="709306102">
          <w:marLeft w:val="480"/>
          <w:marRight w:val="0"/>
          <w:marTop w:val="0"/>
          <w:marBottom w:val="0"/>
          <w:divBdr>
            <w:top w:val="none" w:sz="0" w:space="0" w:color="auto"/>
            <w:left w:val="none" w:sz="0" w:space="0" w:color="auto"/>
            <w:bottom w:val="none" w:sz="0" w:space="0" w:color="auto"/>
            <w:right w:val="none" w:sz="0" w:space="0" w:color="auto"/>
          </w:divBdr>
        </w:div>
        <w:div w:id="1412698158">
          <w:marLeft w:val="480"/>
          <w:marRight w:val="0"/>
          <w:marTop w:val="0"/>
          <w:marBottom w:val="0"/>
          <w:divBdr>
            <w:top w:val="none" w:sz="0" w:space="0" w:color="auto"/>
            <w:left w:val="none" w:sz="0" w:space="0" w:color="auto"/>
            <w:bottom w:val="none" w:sz="0" w:space="0" w:color="auto"/>
            <w:right w:val="none" w:sz="0" w:space="0" w:color="auto"/>
          </w:divBdr>
        </w:div>
        <w:div w:id="1179007621">
          <w:marLeft w:val="480"/>
          <w:marRight w:val="0"/>
          <w:marTop w:val="0"/>
          <w:marBottom w:val="0"/>
          <w:divBdr>
            <w:top w:val="none" w:sz="0" w:space="0" w:color="auto"/>
            <w:left w:val="none" w:sz="0" w:space="0" w:color="auto"/>
            <w:bottom w:val="none" w:sz="0" w:space="0" w:color="auto"/>
            <w:right w:val="none" w:sz="0" w:space="0" w:color="auto"/>
          </w:divBdr>
        </w:div>
        <w:div w:id="2125033042">
          <w:marLeft w:val="480"/>
          <w:marRight w:val="0"/>
          <w:marTop w:val="0"/>
          <w:marBottom w:val="0"/>
          <w:divBdr>
            <w:top w:val="none" w:sz="0" w:space="0" w:color="auto"/>
            <w:left w:val="none" w:sz="0" w:space="0" w:color="auto"/>
            <w:bottom w:val="none" w:sz="0" w:space="0" w:color="auto"/>
            <w:right w:val="none" w:sz="0" w:space="0" w:color="auto"/>
          </w:divBdr>
        </w:div>
        <w:div w:id="564798351">
          <w:marLeft w:val="480"/>
          <w:marRight w:val="0"/>
          <w:marTop w:val="0"/>
          <w:marBottom w:val="0"/>
          <w:divBdr>
            <w:top w:val="none" w:sz="0" w:space="0" w:color="auto"/>
            <w:left w:val="none" w:sz="0" w:space="0" w:color="auto"/>
            <w:bottom w:val="none" w:sz="0" w:space="0" w:color="auto"/>
            <w:right w:val="none" w:sz="0" w:space="0" w:color="auto"/>
          </w:divBdr>
        </w:div>
        <w:div w:id="1105033958">
          <w:marLeft w:val="480"/>
          <w:marRight w:val="0"/>
          <w:marTop w:val="0"/>
          <w:marBottom w:val="0"/>
          <w:divBdr>
            <w:top w:val="none" w:sz="0" w:space="0" w:color="auto"/>
            <w:left w:val="none" w:sz="0" w:space="0" w:color="auto"/>
            <w:bottom w:val="none" w:sz="0" w:space="0" w:color="auto"/>
            <w:right w:val="none" w:sz="0" w:space="0" w:color="auto"/>
          </w:divBdr>
        </w:div>
        <w:div w:id="153647675">
          <w:marLeft w:val="480"/>
          <w:marRight w:val="0"/>
          <w:marTop w:val="0"/>
          <w:marBottom w:val="0"/>
          <w:divBdr>
            <w:top w:val="none" w:sz="0" w:space="0" w:color="auto"/>
            <w:left w:val="none" w:sz="0" w:space="0" w:color="auto"/>
            <w:bottom w:val="none" w:sz="0" w:space="0" w:color="auto"/>
            <w:right w:val="none" w:sz="0" w:space="0" w:color="auto"/>
          </w:divBdr>
        </w:div>
        <w:div w:id="2016497496">
          <w:marLeft w:val="480"/>
          <w:marRight w:val="0"/>
          <w:marTop w:val="0"/>
          <w:marBottom w:val="0"/>
          <w:divBdr>
            <w:top w:val="none" w:sz="0" w:space="0" w:color="auto"/>
            <w:left w:val="none" w:sz="0" w:space="0" w:color="auto"/>
            <w:bottom w:val="none" w:sz="0" w:space="0" w:color="auto"/>
            <w:right w:val="none" w:sz="0" w:space="0" w:color="auto"/>
          </w:divBdr>
        </w:div>
        <w:div w:id="2012445875">
          <w:marLeft w:val="480"/>
          <w:marRight w:val="0"/>
          <w:marTop w:val="0"/>
          <w:marBottom w:val="0"/>
          <w:divBdr>
            <w:top w:val="none" w:sz="0" w:space="0" w:color="auto"/>
            <w:left w:val="none" w:sz="0" w:space="0" w:color="auto"/>
            <w:bottom w:val="none" w:sz="0" w:space="0" w:color="auto"/>
            <w:right w:val="none" w:sz="0" w:space="0" w:color="auto"/>
          </w:divBdr>
        </w:div>
        <w:div w:id="47610418">
          <w:marLeft w:val="480"/>
          <w:marRight w:val="0"/>
          <w:marTop w:val="0"/>
          <w:marBottom w:val="0"/>
          <w:divBdr>
            <w:top w:val="none" w:sz="0" w:space="0" w:color="auto"/>
            <w:left w:val="none" w:sz="0" w:space="0" w:color="auto"/>
            <w:bottom w:val="none" w:sz="0" w:space="0" w:color="auto"/>
            <w:right w:val="none" w:sz="0" w:space="0" w:color="auto"/>
          </w:divBdr>
        </w:div>
        <w:div w:id="2094550565">
          <w:marLeft w:val="480"/>
          <w:marRight w:val="0"/>
          <w:marTop w:val="0"/>
          <w:marBottom w:val="0"/>
          <w:divBdr>
            <w:top w:val="none" w:sz="0" w:space="0" w:color="auto"/>
            <w:left w:val="none" w:sz="0" w:space="0" w:color="auto"/>
            <w:bottom w:val="none" w:sz="0" w:space="0" w:color="auto"/>
            <w:right w:val="none" w:sz="0" w:space="0" w:color="auto"/>
          </w:divBdr>
        </w:div>
        <w:div w:id="1746679825">
          <w:marLeft w:val="480"/>
          <w:marRight w:val="0"/>
          <w:marTop w:val="0"/>
          <w:marBottom w:val="0"/>
          <w:divBdr>
            <w:top w:val="none" w:sz="0" w:space="0" w:color="auto"/>
            <w:left w:val="none" w:sz="0" w:space="0" w:color="auto"/>
            <w:bottom w:val="none" w:sz="0" w:space="0" w:color="auto"/>
            <w:right w:val="none" w:sz="0" w:space="0" w:color="auto"/>
          </w:divBdr>
        </w:div>
        <w:div w:id="1993637507">
          <w:marLeft w:val="480"/>
          <w:marRight w:val="0"/>
          <w:marTop w:val="0"/>
          <w:marBottom w:val="0"/>
          <w:divBdr>
            <w:top w:val="none" w:sz="0" w:space="0" w:color="auto"/>
            <w:left w:val="none" w:sz="0" w:space="0" w:color="auto"/>
            <w:bottom w:val="none" w:sz="0" w:space="0" w:color="auto"/>
            <w:right w:val="none" w:sz="0" w:space="0" w:color="auto"/>
          </w:divBdr>
        </w:div>
        <w:div w:id="1467895299">
          <w:marLeft w:val="480"/>
          <w:marRight w:val="0"/>
          <w:marTop w:val="0"/>
          <w:marBottom w:val="0"/>
          <w:divBdr>
            <w:top w:val="none" w:sz="0" w:space="0" w:color="auto"/>
            <w:left w:val="none" w:sz="0" w:space="0" w:color="auto"/>
            <w:bottom w:val="none" w:sz="0" w:space="0" w:color="auto"/>
            <w:right w:val="none" w:sz="0" w:space="0" w:color="auto"/>
          </w:divBdr>
        </w:div>
        <w:div w:id="1365596051">
          <w:marLeft w:val="480"/>
          <w:marRight w:val="0"/>
          <w:marTop w:val="0"/>
          <w:marBottom w:val="0"/>
          <w:divBdr>
            <w:top w:val="none" w:sz="0" w:space="0" w:color="auto"/>
            <w:left w:val="none" w:sz="0" w:space="0" w:color="auto"/>
            <w:bottom w:val="none" w:sz="0" w:space="0" w:color="auto"/>
            <w:right w:val="none" w:sz="0" w:space="0" w:color="auto"/>
          </w:divBdr>
        </w:div>
        <w:div w:id="875775024">
          <w:marLeft w:val="480"/>
          <w:marRight w:val="0"/>
          <w:marTop w:val="0"/>
          <w:marBottom w:val="0"/>
          <w:divBdr>
            <w:top w:val="none" w:sz="0" w:space="0" w:color="auto"/>
            <w:left w:val="none" w:sz="0" w:space="0" w:color="auto"/>
            <w:bottom w:val="none" w:sz="0" w:space="0" w:color="auto"/>
            <w:right w:val="none" w:sz="0" w:space="0" w:color="auto"/>
          </w:divBdr>
        </w:div>
        <w:div w:id="1668511769">
          <w:marLeft w:val="480"/>
          <w:marRight w:val="0"/>
          <w:marTop w:val="0"/>
          <w:marBottom w:val="0"/>
          <w:divBdr>
            <w:top w:val="none" w:sz="0" w:space="0" w:color="auto"/>
            <w:left w:val="none" w:sz="0" w:space="0" w:color="auto"/>
            <w:bottom w:val="none" w:sz="0" w:space="0" w:color="auto"/>
            <w:right w:val="none" w:sz="0" w:space="0" w:color="auto"/>
          </w:divBdr>
        </w:div>
        <w:div w:id="327487088">
          <w:marLeft w:val="480"/>
          <w:marRight w:val="0"/>
          <w:marTop w:val="0"/>
          <w:marBottom w:val="0"/>
          <w:divBdr>
            <w:top w:val="none" w:sz="0" w:space="0" w:color="auto"/>
            <w:left w:val="none" w:sz="0" w:space="0" w:color="auto"/>
            <w:bottom w:val="none" w:sz="0" w:space="0" w:color="auto"/>
            <w:right w:val="none" w:sz="0" w:space="0" w:color="auto"/>
          </w:divBdr>
        </w:div>
        <w:div w:id="377554124">
          <w:marLeft w:val="480"/>
          <w:marRight w:val="0"/>
          <w:marTop w:val="0"/>
          <w:marBottom w:val="0"/>
          <w:divBdr>
            <w:top w:val="none" w:sz="0" w:space="0" w:color="auto"/>
            <w:left w:val="none" w:sz="0" w:space="0" w:color="auto"/>
            <w:bottom w:val="none" w:sz="0" w:space="0" w:color="auto"/>
            <w:right w:val="none" w:sz="0" w:space="0" w:color="auto"/>
          </w:divBdr>
        </w:div>
        <w:div w:id="1289702294">
          <w:marLeft w:val="480"/>
          <w:marRight w:val="0"/>
          <w:marTop w:val="0"/>
          <w:marBottom w:val="0"/>
          <w:divBdr>
            <w:top w:val="none" w:sz="0" w:space="0" w:color="auto"/>
            <w:left w:val="none" w:sz="0" w:space="0" w:color="auto"/>
            <w:bottom w:val="none" w:sz="0" w:space="0" w:color="auto"/>
            <w:right w:val="none" w:sz="0" w:space="0" w:color="auto"/>
          </w:divBdr>
        </w:div>
        <w:div w:id="420759390">
          <w:marLeft w:val="480"/>
          <w:marRight w:val="0"/>
          <w:marTop w:val="0"/>
          <w:marBottom w:val="0"/>
          <w:divBdr>
            <w:top w:val="none" w:sz="0" w:space="0" w:color="auto"/>
            <w:left w:val="none" w:sz="0" w:space="0" w:color="auto"/>
            <w:bottom w:val="none" w:sz="0" w:space="0" w:color="auto"/>
            <w:right w:val="none" w:sz="0" w:space="0" w:color="auto"/>
          </w:divBdr>
        </w:div>
        <w:div w:id="1467695415">
          <w:marLeft w:val="480"/>
          <w:marRight w:val="0"/>
          <w:marTop w:val="0"/>
          <w:marBottom w:val="0"/>
          <w:divBdr>
            <w:top w:val="none" w:sz="0" w:space="0" w:color="auto"/>
            <w:left w:val="none" w:sz="0" w:space="0" w:color="auto"/>
            <w:bottom w:val="none" w:sz="0" w:space="0" w:color="auto"/>
            <w:right w:val="none" w:sz="0" w:space="0" w:color="auto"/>
          </w:divBdr>
        </w:div>
        <w:div w:id="1380325050">
          <w:marLeft w:val="480"/>
          <w:marRight w:val="0"/>
          <w:marTop w:val="0"/>
          <w:marBottom w:val="0"/>
          <w:divBdr>
            <w:top w:val="none" w:sz="0" w:space="0" w:color="auto"/>
            <w:left w:val="none" w:sz="0" w:space="0" w:color="auto"/>
            <w:bottom w:val="none" w:sz="0" w:space="0" w:color="auto"/>
            <w:right w:val="none" w:sz="0" w:space="0" w:color="auto"/>
          </w:divBdr>
        </w:div>
        <w:div w:id="887452748">
          <w:marLeft w:val="480"/>
          <w:marRight w:val="0"/>
          <w:marTop w:val="0"/>
          <w:marBottom w:val="0"/>
          <w:divBdr>
            <w:top w:val="none" w:sz="0" w:space="0" w:color="auto"/>
            <w:left w:val="none" w:sz="0" w:space="0" w:color="auto"/>
            <w:bottom w:val="none" w:sz="0" w:space="0" w:color="auto"/>
            <w:right w:val="none" w:sz="0" w:space="0" w:color="auto"/>
          </w:divBdr>
        </w:div>
        <w:div w:id="8682523">
          <w:marLeft w:val="480"/>
          <w:marRight w:val="0"/>
          <w:marTop w:val="0"/>
          <w:marBottom w:val="0"/>
          <w:divBdr>
            <w:top w:val="none" w:sz="0" w:space="0" w:color="auto"/>
            <w:left w:val="none" w:sz="0" w:space="0" w:color="auto"/>
            <w:bottom w:val="none" w:sz="0" w:space="0" w:color="auto"/>
            <w:right w:val="none" w:sz="0" w:space="0" w:color="auto"/>
          </w:divBdr>
        </w:div>
        <w:div w:id="1596665651">
          <w:marLeft w:val="480"/>
          <w:marRight w:val="0"/>
          <w:marTop w:val="0"/>
          <w:marBottom w:val="0"/>
          <w:divBdr>
            <w:top w:val="none" w:sz="0" w:space="0" w:color="auto"/>
            <w:left w:val="none" w:sz="0" w:space="0" w:color="auto"/>
            <w:bottom w:val="none" w:sz="0" w:space="0" w:color="auto"/>
            <w:right w:val="none" w:sz="0" w:space="0" w:color="auto"/>
          </w:divBdr>
        </w:div>
        <w:div w:id="1322386068">
          <w:marLeft w:val="480"/>
          <w:marRight w:val="0"/>
          <w:marTop w:val="0"/>
          <w:marBottom w:val="0"/>
          <w:divBdr>
            <w:top w:val="none" w:sz="0" w:space="0" w:color="auto"/>
            <w:left w:val="none" w:sz="0" w:space="0" w:color="auto"/>
            <w:bottom w:val="none" w:sz="0" w:space="0" w:color="auto"/>
            <w:right w:val="none" w:sz="0" w:space="0" w:color="auto"/>
          </w:divBdr>
        </w:div>
        <w:div w:id="1860123295">
          <w:marLeft w:val="480"/>
          <w:marRight w:val="0"/>
          <w:marTop w:val="0"/>
          <w:marBottom w:val="0"/>
          <w:divBdr>
            <w:top w:val="none" w:sz="0" w:space="0" w:color="auto"/>
            <w:left w:val="none" w:sz="0" w:space="0" w:color="auto"/>
            <w:bottom w:val="none" w:sz="0" w:space="0" w:color="auto"/>
            <w:right w:val="none" w:sz="0" w:space="0" w:color="auto"/>
          </w:divBdr>
        </w:div>
        <w:div w:id="622807418">
          <w:marLeft w:val="480"/>
          <w:marRight w:val="0"/>
          <w:marTop w:val="0"/>
          <w:marBottom w:val="0"/>
          <w:divBdr>
            <w:top w:val="none" w:sz="0" w:space="0" w:color="auto"/>
            <w:left w:val="none" w:sz="0" w:space="0" w:color="auto"/>
            <w:bottom w:val="none" w:sz="0" w:space="0" w:color="auto"/>
            <w:right w:val="none" w:sz="0" w:space="0" w:color="auto"/>
          </w:divBdr>
        </w:div>
        <w:div w:id="1727875469">
          <w:marLeft w:val="480"/>
          <w:marRight w:val="0"/>
          <w:marTop w:val="0"/>
          <w:marBottom w:val="0"/>
          <w:divBdr>
            <w:top w:val="none" w:sz="0" w:space="0" w:color="auto"/>
            <w:left w:val="none" w:sz="0" w:space="0" w:color="auto"/>
            <w:bottom w:val="none" w:sz="0" w:space="0" w:color="auto"/>
            <w:right w:val="none" w:sz="0" w:space="0" w:color="auto"/>
          </w:divBdr>
        </w:div>
        <w:div w:id="1404185355">
          <w:marLeft w:val="480"/>
          <w:marRight w:val="0"/>
          <w:marTop w:val="0"/>
          <w:marBottom w:val="0"/>
          <w:divBdr>
            <w:top w:val="none" w:sz="0" w:space="0" w:color="auto"/>
            <w:left w:val="none" w:sz="0" w:space="0" w:color="auto"/>
            <w:bottom w:val="none" w:sz="0" w:space="0" w:color="auto"/>
            <w:right w:val="none" w:sz="0" w:space="0" w:color="auto"/>
          </w:divBdr>
        </w:div>
        <w:div w:id="798189412">
          <w:marLeft w:val="480"/>
          <w:marRight w:val="0"/>
          <w:marTop w:val="0"/>
          <w:marBottom w:val="0"/>
          <w:divBdr>
            <w:top w:val="none" w:sz="0" w:space="0" w:color="auto"/>
            <w:left w:val="none" w:sz="0" w:space="0" w:color="auto"/>
            <w:bottom w:val="none" w:sz="0" w:space="0" w:color="auto"/>
            <w:right w:val="none" w:sz="0" w:space="0" w:color="auto"/>
          </w:divBdr>
        </w:div>
        <w:div w:id="254939964">
          <w:marLeft w:val="480"/>
          <w:marRight w:val="0"/>
          <w:marTop w:val="0"/>
          <w:marBottom w:val="0"/>
          <w:divBdr>
            <w:top w:val="none" w:sz="0" w:space="0" w:color="auto"/>
            <w:left w:val="none" w:sz="0" w:space="0" w:color="auto"/>
            <w:bottom w:val="none" w:sz="0" w:space="0" w:color="auto"/>
            <w:right w:val="none" w:sz="0" w:space="0" w:color="auto"/>
          </w:divBdr>
        </w:div>
        <w:div w:id="1764761283">
          <w:marLeft w:val="480"/>
          <w:marRight w:val="0"/>
          <w:marTop w:val="0"/>
          <w:marBottom w:val="0"/>
          <w:divBdr>
            <w:top w:val="none" w:sz="0" w:space="0" w:color="auto"/>
            <w:left w:val="none" w:sz="0" w:space="0" w:color="auto"/>
            <w:bottom w:val="none" w:sz="0" w:space="0" w:color="auto"/>
            <w:right w:val="none" w:sz="0" w:space="0" w:color="auto"/>
          </w:divBdr>
        </w:div>
        <w:div w:id="1036657901">
          <w:marLeft w:val="480"/>
          <w:marRight w:val="0"/>
          <w:marTop w:val="0"/>
          <w:marBottom w:val="0"/>
          <w:divBdr>
            <w:top w:val="none" w:sz="0" w:space="0" w:color="auto"/>
            <w:left w:val="none" w:sz="0" w:space="0" w:color="auto"/>
            <w:bottom w:val="none" w:sz="0" w:space="0" w:color="auto"/>
            <w:right w:val="none" w:sz="0" w:space="0" w:color="auto"/>
          </w:divBdr>
        </w:div>
        <w:div w:id="1009989165">
          <w:marLeft w:val="480"/>
          <w:marRight w:val="0"/>
          <w:marTop w:val="0"/>
          <w:marBottom w:val="0"/>
          <w:divBdr>
            <w:top w:val="none" w:sz="0" w:space="0" w:color="auto"/>
            <w:left w:val="none" w:sz="0" w:space="0" w:color="auto"/>
            <w:bottom w:val="none" w:sz="0" w:space="0" w:color="auto"/>
            <w:right w:val="none" w:sz="0" w:space="0" w:color="auto"/>
          </w:divBdr>
        </w:div>
        <w:div w:id="341861034">
          <w:marLeft w:val="480"/>
          <w:marRight w:val="0"/>
          <w:marTop w:val="0"/>
          <w:marBottom w:val="0"/>
          <w:divBdr>
            <w:top w:val="none" w:sz="0" w:space="0" w:color="auto"/>
            <w:left w:val="none" w:sz="0" w:space="0" w:color="auto"/>
            <w:bottom w:val="none" w:sz="0" w:space="0" w:color="auto"/>
            <w:right w:val="none" w:sz="0" w:space="0" w:color="auto"/>
          </w:divBdr>
        </w:div>
        <w:div w:id="2111313147">
          <w:marLeft w:val="480"/>
          <w:marRight w:val="0"/>
          <w:marTop w:val="0"/>
          <w:marBottom w:val="0"/>
          <w:divBdr>
            <w:top w:val="none" w:sz="0" w:space="0" w:color="auto"/>
            <w:left w:val="none" w:sz="0" w:space="0" w:color="auto"/>
            <w:bottom w:val="none" w:sz="0" w:space="0" w:color="auto"/>
            <w:right w:val="none" w:sz="0" w:space="0" w:color="auto"/>
          </w:divBdr>
        </w:div>
        <w:div w:id="238176667">
          <w:marLeft w:val="480"/>
          <w:marRight w:val="0"/>
          <w:marTop w:val="0"/>
          <w:marBottom w:val="0"/>
          <w:divBdr>
            <w:top w:val="none" w:sz="0" w:space="0" w:color="auto"/>
            <w:left w:val="none" w:sz="0" w:space="0" w:color="auto"/>
            <w:bottom w:val="none" w:sz="0" w:space="0" w:color="auto"/>
            <w:right w:val="none" w:sz="0" w:space="0" w:color="auto"/>
          </w:divBdr>
        </w:div>
        <w:div w:id="1903826757">
          <w:marLeft w:val="480"/>
          <w:marRight w:val="0"/>
          <w:marTop w:val="0"/>
          <w:marBottom w:val="0"/>
          <w:divBdr>
            <w:top w:val="none" w:sz="0" w:space="0" w:color="auto"/>
            <w:left w:val="none" w:sz="0" w:space="0" w:color="auto"/>
            <w:bottom w:val="none" w:sz="0" w:space="0" w:color="auto"/>
            <w:right w:val="none" w:sz="0" w:space="0" w:color="auto"/>
          </w:divBdr>
        </w:div>
        <w:div w:id="991175414">
          <w:marLeft w:val="480"/>
          <w:marRight w:val="0"/>
          <w:marTop w:val="0"/>
          <w:marBottom w:val="0"/>
          <w:divBdr>
            <w:top w:val="none" w:sz="0" w:space="0" w:color="auto"/>
            <w:left w:val="none" w:sz="0" w:space="0" w:color="auto"/>
            <w:bottom w:val="none" w:sz="0" w:space="0" w:color="auto"/>
            <w:right w:val="none" w:sz="0" w:space="0" w:color="auto"/>
          </w:divBdr>
        </w:div>
        <w:div w:id="1128088516">
          <w:marLeft w:val="480"/>
          <w:marRight w:val="0"/>
          <w:marTop w:val="0"/>
          <w:marBottom w:val="0"/>
          <w:divBdr>
            <w:top w:val="none" w:sz="0" w:space="0" w:color="auto"/>
            <w:left w:val="none" w:sz="0" w:space="0" w:color="auto"/>
            <w:bottom w:val="none" w:sz="0" w:space="0" w:color="auto"/>
            <w:right w:val="none" w:sz="0" w:space="0" w:color="auto"/>
          </w:divBdr>
        </w:div>
        <w:div w:id="1008100062">
          <w:marLeft w:val="480"/>
          <w:marRight w:val="0"/>
          <w:marTop w:val="0"/>
          <w:marBottom w:val="0"/>
          <w:divBdr>
            <w:top w:val="none" w:sz="0" w:space="0" w:color="auto"/>
            <w:left w:val="none" w:sz="0" w:space="0" w:color="auto"/>
            <w:bottom w:val="none" w:sz="0" w:space="0" w:color="auto"/>
            <w:right w:val="none" w:sz="0" w:space="0" w:color="auto"/>
          </w:divBdr>
        </w:div>
        <w:div w:id="694616427">
          <w:marLeft w:val="480"/>
          <w:marRight w:val="0"/>
          <w:marTop w:val="0"/>
          <w:marBottom w:val="0"/>
          <w:divBdr>
            <w:top w:val="none" w:sz="0" w:space="0" w:color="auto"/>
            <w:left w:val="none" w:sz="0" w:space="0" w:color="auto"/>
            <w:bottom w:val="none" w:sz="0" w:space="0" w:color="auto"/>
            <w:right w:val="none" w:sz="0" w:space="0" w:color="auto"/>
          </w:divBdr>
        </w:div>
        <w:div w:id="1916430198">
          <w:marLeft w:val="480"/>
          <w:marRight w:val="0"/>
          <w:marTop w:val="0"/>
          <w:marBottom w:val="0"/>
          <w:divBdr>
            <w:top w:val="none" w:sz="0" w:space="0" w:color="auto"/>
            <w:left w:val="none" w:sz="0" w:space="0" w:color="auto"/>
            <w:bottom w:val="none" w:sz="0" w:space="0" w:color="auto"/>
            <w:right w:val="none" w:sz="0" w:space="0" w:color="auto"/>
          </w:divBdr>
        </w:div>
        <w:div w:id="2138719254">
          <w:marLeft w:val="480"/>
          <w:marRight w:val="0"/>
          <w:marTop w:val="0"/>
          <w:marBottom w:val="0"/>
          <w:divBdr>
            <w:top w:val="none" w:sz="0" w:space="0" w:color="auto"/>
            <w:left w:val="none" w:sz="0" w:space="0" w:color="auto"/>
            <w:bottom w:val="none" w:sz="0" w:space="0" w:color="auto"/>
            <w:right w:val="none" w:sz="0" w:space="0" w:color="auto"/>
          </w:divBdr>
        </w:div>
        <w:div w:id="1022781349">
          <w:marLeft w:val="480"/>
          <w:marRight w:val="0"/>
          <w:marTop w:val="0"/>
          <w:marBottom w:val="0"/>
          <w:divBdr>
            <w:top w:val="none" w:sz="0" w:space="0" w:color="auto"/>
            <w:left w:val="none" w:sz="0" w:space="0" w:color="auto"/>
            <w:bottom w:val="none" w:sz="0" w:space="0" w:color="auto"/>
            <w:right w:val="none" w:sz="0" w:space="0" w:color="auto"/>
          </w:divBdr>
        </w:div>
        <w:div w:id="1338734446">
          <w:marLeft w:val="480"/>
          <w:marRight w:val="0"/>
          <w:marTop w:val="0"/>
          <w:marBottom w:val="0"/>
          <w:divBdr>
            <w:top w:val="none" w:sz="0" w:space="0" w:color="auto"/>
            <w:left w:val="none" w:sz="0" w:space="0" w:color="auto"/>
            <w:bottom w:val="none" w:sz="0" w:space="0" w:color="auto"/>
            <w:right w:val="none" w:sz="0" w:space="0" w:color="auto"/>
          </w:divBdr>
        </w:div>
        <w:div w:id="671950679">
          <w:marLeft w:val="480"/>
          <w:marRight w:val="0"/>
          <w:marTop w:val="0"/>
          <w:marBottom w:val="0"/>
          <w:divBdr>
            <w:top w:val="none" w:sz="0" w:space="0" w:color="auto"/>
            <w:left w:val="none" w:sz="0" w:space="0" w:color="auto"/>
            <w:bottom w:val="none" w:sz="0" w:space="0" w:color="auto"/>
            <w:right w:val="none" w:sz="0" w:space="0" w:color="auto"/>
          </w:divBdr>
        </w:div>
        <w:div w:id="439640310">
          <w:marLeft w:val="480"/>
          <w:marRight w:val="0"/>
          <w:marTop w:val="0"/>
          <w:marBottom w:val="0"/>
          <w:divBdr>
            <w:top w:val="none" w:sz="0" w:space="0" w:color="auto"/>
            <w:left w:val="none" w:sz="0" w:space="0" w:color="auto"/>
            <w:bottom w:val="none" w:sz="0" w:space="0" w:color="auto"/>
            <w:right w:val="none" w:sz="0" w:space="0" w:color="auto"/>
          </w:divBdr>
        </w:div>
        <w:div w:id="422802539">
          <w:marLeft w:val="480"/>
          <w:marRight w:val="0"/>
          <w:marTop w:val="0"/>
          <w:marBottom w:val="0"/>
          <w:divBdr>
            <w:top w:val="none" w:sz="0" w:space="0" w:color="auto"/>
            <w:left w:val="none" w:sz="0" w:space="0" w:color="auto"/>
            <w:bottom w:val="none" w:sz="0" w:space="0" w:color="auto"/>
            <w:right w:val="none" w:sz="0" w:space="0" w:color="auto"/>
          </w:divBdr>
        </w:div>
        <w:div w:id="177083757">
          <w:marLeft w:val="480"/>
          <w:marRight w:val="0"/>
          <w:marTop w:val="0"/>
          <w:marBottom w:val="0"/>
          <w:divBdr>
            <w:top w:val="none" w:sz="0" w:space="0" w:color="auto"/>
            <w:left w:val="none" w:sz="0" w:space="0" w:color="auto"/>
            <w:bottom w:val="none" w:sz="0" w:space="0" w:color="auto"/>
            <w:right w:val="none" w:sz="0" w:space="0" w:color="auto"/>
          </w:divBdr>
        </w:div>
        <w:div w:id="1696424291">
          <w:marLeft w:val="480"/>
          <w:marRight w:val="0"/>
          <w:marTop w:val="0"/>
          <w:marBottom w:val="0"/>
          <w:divBdr>
            <w:top w:val="none" w:sz="0" w:space="0" w:color="auto"/>
            <w:left w:val="none" w:sz="0" w:space="0" w:color="auto"/>
            <w:bottom w:val="none" w:sz="0" w:space="0" w:color="auto"/>
            <w:right w:val="none" w:sz="0" w:space="0" w:color="auto"/>
          </w:divBdr>
        </w:div>
        <w:div w:id="197665218">
          <w:marLeft w:val="480"/>
          <w:marRight w:val="0"/>
          <w:marTop w:val="0"/>
          <w:marBottom w:val="0"/>
          <w:divBdr>
            <w:top w:val="none" w:sz="0" w:space="0" w:color="auto"/>
            <w:left w:val="none" w:sz="0" w:space="0" w:color="auto"/>
            <w:bottom w:val="none" w:sz="0" w:space="0" w:color="auto"/>
            <w:right w:val="none" w:sz="0" w:space="0" w:color="auto"/>
          </w:divBdr>
        </w:div>
        <w:div w:id="70393178">
          <w:marLeft w:val="480"/>
          <w:marRight w:val="0"/>
          <w:marTop w:val="0"/>
          <w:marBottom w:val="0"/>
          <w:divBdr>
            <w:top w:val="none" w:sz="0" w:space="0" w:color="auto"/>
            <w:left w:val="none" w:sz="0" w:space="0" w:color="auto"/>
            <w:bottom w:val="none" w:sz="0" w:space="0" w:color="auto"/>
            <w:right w:val="none" w:sz="0" w:space="0" w:color="auto"/>
          </w:divBdr>
        </w:div>
        <w:div w:id="1236404360">
          <w:marLeft w:val="480"/>
          <w:marRight w:val="0"/>
          <w:marTop w:val="0"/>
          <w:marBottom w:val="0"/>
          <w:divBdr>
            <w:top w:val="none" w:sz="0" w:space="0" w:color="auto"/>
            <w:left w:val="none" w:sz="0" w:space="0" w:color="auto"/>
            <w:bottom w:val="none" w:sz="0" w:space="0" w:color="auto"/>
            <w:right w:val="none" w:sz="0" w:space="0" w:color="auto"/>
          </w:divBdr>
        </w:div>
        <w:div w:id="746727563">
          <w:marLeft w:val="480"/>
          <w:marRight w:val="0"/>
          <w:marTop w:val="0"/>
          <w:marBottom w:val="0"/>
          <w:divBdr>
            <w:top w:val="none" w:sz="0" w:space="0" w:color="auto"/>
            <w:left w:val="none" w:sz="0" w:space="0" w:color="auto"/>
            <w:bottom w:val="none" w:sz="0" w:space="0" w:color="auto"/>
            <w:right w:val="none" w:sz="0" w:space="0" w:color="auto"/>
          </w:divBdr>
        </w:div>
        <w:div w:id="1306399739">
          <w:marLeft w:val="480"/>
          <w:marRight w:val="0"/>
          <w:marTop w:val="0"/>
          <w:marBottom w:val="0"/>
          <w:divBdr>
            <w:top w:val="none" w:sz="0" w:space="0" w:color="auto"/>
            <w:left w:val="none" w:sz="0" w:space="0" w:color="auto"/>
            <w:bottom w:val="none" w:sz="0" w:space="0" w:color="auto"/>
            <w:right w:val="none" w:sz="0" w:space="0" w:color="auto"/>
          </w:divBdr>
        </w:div>
        <w:div w:id="431978285">
          <w:marLeft w:val="480"/>
          <w:marRight w:val="0"/>
          <w:marTop w:val="0"/>
          <w:marBottom w:val="0"/>
          <w:divBdr>
            <w:top w:val="none" w:sz="0" w:space="0" w:color="auto"/>
            <w:left w:val="none" w:sz="0" w:space="0" w:color="auto"/>
            <w:bottom w:val="none" w:sz="0" w:space="0" w:color="auto"/>
            <w:right w:val="none" w:sz="0" w:space="0" w:color="auto"/>
          </w:divBdr>
        </w:div>
        <w:div w:id="778719500">
          <w:marLeft w:val="480"/>
          <w:marRight w:val="0"/>
          <w:marTop w:val="0"/>
          <w:marBottom w:val="0"/>
          <w:divBdr>
            <w:top w:val="none" w:sz="0" w:space="0" w:color="auto"/>
            <w:left w:val="none" w:sz="0" w:space="0" w:color="auto"/>
            <w:bottom w:val="none" w:sz="0" w:space="0" w:color="auto"/>
            <w:right w:val="none" w:sz="0" w:space="0" w:color="auto"/>
          </w:divBdr>
        </w:div>
        <w:div w:id="477915065">
          <w:marLeft w:val="480"/>
          <w:marRight w:val="0"/>
          <w:marTop w:val="0"/>
          <w:marBottom w:val="0"/>
          <w:divBdr>
            <w:top w:val="none" w:sz="0" w:space="0" w:color="auto"/>
            <w:left w:val="none" w:sz="0" w:space="0" w:color="auto"/>
            <w:bottom w:val="none" w:sz="0" w:space="0" w:color="auto"/>
            <w:right w:val="none" w:sz="0" w:space="0" w:color="auto"/>
          </w:divBdr>
        </w:div>
        <w:div w:id="564803974">
          <w:marLeft w:val="480"/>
          <w:marRight w:val="0"/>
          <w:marTop w:val="0"/>
          <w:marBottom w:val="0"/>
          <w:divBdr>
            <w:top w:val="none" w:sz="0" w:space="0" w:color="auto"/>
            <w:left w:val="none" w:sz="0" w:space="0" w:color="auto"/>
            <w:bottom w:val="none" w:sz="0" w:space="0" w:color="auto"/>
            <w:right w:val="none" w:sz="0" w:space="0" w:color="auto"/>
          </w:divBdr>
        </w:div>
        <w:div w:id="72554849">
          <w:marLeft w:val="480"/>
          <w:marRight w:val="0"/>
          <w:marTop w:val="0"/>
          <w:marBottom w:val="0"/>
          <w:divBdr>
            <w:top w:val="none" w:sz="0" w:space="0" w:color="auto"/>
            <w:left w:val="none" w:sz="0" w:space="0" w:color="auto"/>
            <w:bottom w:val="none" w:sz="0" w:space="0" w:color="auto"/>
            <w:right w:val="none" w:sz="0" w:space="0" w:color="auto"/>
          </w:divBdr>
        </w:div>
        <w:div w:id="1636641358">
          <w:marLeft w:val="480"/>
          <w:marRight w:val="0"/>
          <w:marTop w:val="0"/>
          <w:marBottom w:val="0"/>
          <w:divBdr>
            <w:top w:val="none" w:sz="0" w:space="0" w:color="auto"/>
            <w:left w:val="none" w:sz="0" w:space="0" w:color="auto"/>
            <w:bottom w:val="none" w:sz="0" w:space="0" w:color="auto"/>
            <w:right w:val="none" w:sz="0" w:space="0" w:color="auto"/>
          </w:divBdr>
        </w:div>
        <w:div w:id="255017528">
          <w:marLeft w:val="480"/>
          <w:marRight w:val="0"/>
          <w:marTop w:val="0"/>
          <w:marBottom w:val="0"/>
          <w:divBdr>
            <w:top w:val="none" w:sz="0" w:space="0" w:color="auto"/>
            <w:left w:val="none" w:sz="0" w:space="0" w:color="auto"/>
            <w:bottom w:val="none" w:sz="0" w:space="0" w:color="auto"/>
            <w:right w:val="none" w:sz="0" w:space="0" w:color="auto"/>
          </w:divBdr>
        </w:div>
        <w:div w:id="256838249">
          <w:marLeft w:val="480"/>
          <w:marRight w:val="0"/>
          <w:marTop w:val="0"/>
          <w:marBottom w:val="0"/>
          <w:divBdr>
            <w:top w:val="none" w:sz="0" w:space="0" w:color="auto"/>
            <w:left w:val="none" w:sz="0" w:space="0" w:color="auto"/>
            <w:bottom w:val="none" w:sz="0" w:space="0" w:color="auto"/>
            <w:right w:val="none" w:sz="0" w:space="0" w:color="auto"/>
          </w:divBdr>
        </w:div>
        <w:div w:id="285937163">
          <w:marLeft w:val="480"/>
          <w:marRight w:val="0"/>
          <w:marTop w:val="0"/>
          <w:marBottom w:val="0"/>
          <w:divBdr>
            <w:top w:val="none" w:sz="0" w:space="0" w:color="auto"/>
            <w:left w:val="none" w:sz="0" w:space="0" w:color="auto"/>
            <w:bottom w:val="none" w:sz="0" w:space="0" w:color="auto"/>
            <w:right w:val="none" w:sz="0" w:space="0" w:color="auto"/>
          </w:divBdr>
        </w:div>
        <w:div w:id="141971808">
          <w:marLeft w:val="480"/>
          <w:marRight w:val="0"/>
          <w:marTop w:val="0"/>
          <w:marBottom w:val="0"/>
          <w:divBdr>
            <w:top w:val="none" w:sz="0" w:space="0" w:color="auto"/>
            <w:left w:val="none" w:sz="0" w:space="0" w:color="auto"/>
            <w:bottom w:val="none" w:sz="0" w:space="0" w:color="auto"/>
            <w:right w:val="none" w:sz="0" w:space="0" w:color="auto"/>
          </w:divBdr>
        </w:div>
        <w:div w:id="1847402777">
          <w:marLeft w:val="480"/>
          <w:marRight w:val="0"/>
          <w:marTop w:val="0"/>
          <w:marBottom w:val="0"/>
          <w:divBdr>
            <w:top w:val="none" w:sz="0" w:space="0" w:color="auto"/>
            <w:left w:val="none" w:sz="0" w:space="0" w:color="auto"/>
            <w:bottom w:val="none" w:sz="0" w:space="0" w:color="auto"/>
            <w:right w:val="none" w:sz="0" w:space="0" w:color="auto"/>
          </w:divBdr>
        </w:div>
        <w:div w:id="1126849897">
          <w:marLeft w:val="480"/>
          <w:marRight w:val="0"/>
          <w:marTop w:val="0"/>
          <w:marBottom w:val="0"/>
          <w:divBdr>
            <w:top w:val="none" w:sz="0" w:space="0" w:color="auto"/>
            <w:left w:val="none" w:sz="0" w:space="0" w:color="auto"/>
            <w:bottom w:val="none" w:sz="0" w:space="0" w:color="auto"/>
            <w:right w:val="none" w:sz="0" w:space="0" w:color="auto"/>
          </w:divBdr>
        </w:div>
        <w:div w:id="1789278782">
          <w:marLeft w:val="480"/>
          <w:marRight w:val="0"/>
          <w:marTop w:val="0"/>
          <w:marBottom w:val="0"/>
          <w:divBdr>
            <w:top w:val="none" w:sz="0" w:space="0" w:color="auto"/>
            <w:left w:val="none" w:sz="0" w:space="0" w:color="auto"/>
            <w:bottom w:val="none" w:sz="0" w:space="0" w:color="auto"/>
            <w:right w:val="none" w:sz="0" w:space="0" w:color="auto"/>
          </w:divBdr>
        </w:div>
        <w:div w:id="629096664">
          <w:marLeft w:val="480"/>
          <w:marRight w:val="0"/>
          <w:marTop w:val="0"/>
          <w:marBottom w:val="0"/>
          <w:divBdr>
            <w:top w:val="none" w:sz="0" w:space="0" w:color="auto"/>
            <w:left w:val="none" w:sz="0" w:space="0" w:color="auto"/>
            <w:bottom w:val="none" w:sz="0" w:space="0" w:color="auto"/>
            <w:right w:val="none" w:sz="0" w:space="0" w:color="auto"/>
          </w:divBdr>
        </w:div>
        <w:div w:id="1964726120">
          <w:marLeft w:val="480"/>
          <w:marRight w:val="0"/>
          <w:marTop w:val="0"/>
          <w:marBottom w:val="0"/>
          <w:divBdr>
            <w:top w:val="none" w:sz="0" w:space="0" w:color="auto"/>
            <w:left w:val="none" w:sz="0" w:space="0" w:color="auto"/>
            <w:bottom w:val="none" w:sz="0" w:space="0" w:color="auto"/>
            <w:right w:val="none" w:sz="0" w:space="0" w:color="auto"/>
          </w:divBdr>
        </w:div>
        <w:div w:id="1982033261">
          <w:marLeft w:val="480"/>
          <w:marRight w:val="0"/>
          <w:marTop w:val="0"/>
          <w:marBottom w:val="0"/>
          <w:divBdr>
            <w:top w:val="none" w:sz="0" w:space="0" w:color="auto"/>
            <w:left w:val="none" w:sz="0" w:space="0" w:color="auto"/>
            <w:bottom w:val="none" w:sz="0" w:space="0" w:color="auto"/>
            <w:right w:val="none" w:sz="0" w:space="0" w:color="auto"/>
          </w:divBdr>
        </w:div>
        <w:div w:id="1669208629">
          <w:marLeft w:val="480"/>
          <w:marRight w:val="0"/>
          <w:marTop w:val="0"/>
          <w:marBottom w:val="0"/>
          <w:divBdr>
            <w:top w:val="none" w:sz="0" w:space="0" w:color="auto"/>
            <w:left w:val="none" w:sz="0" w:space="0" w:color="auto"/>
            <w:bottom w:val="none" w:sz="0" w:space="0" w:color="auto"/>
            <w:right w:val="none" w:sz="0" w:space="0" w:color="auto"/>
          </w:divBdr>
        </w:div>
        <w:div w:id="442530131">
          <w:marLeft w:val="480"/>
          <w:marRight w:val="0"/>
          <w:marTop w:val="0"/>
          <w:marBottom w:val="0"/>
          <w:divBdr>
            <w:top w:val="none" w:sz="0" w:space="0" w:color="auto"/>
            <w:left w:val="none" w:sz="0" w:space="0" w:color="auto"/>
            <w:bottom w:val="none" w:sz="0" w:space="0" w:color="auto"/>
            <w:right w:val="none" w:sz="0" w:space="0" w:color="auto"/>
          </w:divBdr>
        </w:div>
        <w:div w:id="767040040">
          <w:marLeft w:val="480"/>
          <w:marRight w:val="0"/>
          <w:marTop w:val="0"/>
          <w:marBottom w:val="0"/>
          <w:divBdr>
            <w:top w:val="none" w:sz="0" w:space="0" w:color="auto"/>
            <w:left w:val="none" w:sz="0" w:space="0" w:color="auto"/>
            <w:bottom w:val="none" w:sz="0" w:space="0" w:color="auto"/>
            <w:right w:val="none" w:sz="0" w:space="0" w:color="auto"/>
          </w:divBdr>
        </w:div>
        <w:div w:id="175731918">
          <w:marLeft w:val="480"/>
          <w:marRight w:val="0"/>
          <w:marTop w:val="0"/>
          <w:marBottom w:val="0"/>
          <w:divBdr>
            <w:top w:val="none" w:sz="0" w:space="0" w:color="auto"/>
            <w:left w:val="none" w:sz="0" w:space="0" w:color="auto"/>
            <w:bottom w:val="none" w:sz="0" w:space="0" w:color="auto"/>
            <w:right w:val="none" w:sz="0" w:space="0" w:color="auto"/>
          </w:divBdr>
        </w:div>
        <w:div w:id="2089303367">
          <w:marLeft w:val="480"/>
          <w:marRight w:val="0"/>
          <w:marTop w:val="0"/>
          <w:marBottom w:val="0"/>
          <w:divBdr>
            <w:top w:val="none" w:sz="0" w:space="0" w:color="auto"/>
            <w:left w:val="none" w:sz="0" w:space="0" w:color="auto"/>
            <w:bottom w:val="none" w:sz="0" w:space="0" w:color="auto"/>
            <w:right w:val="none" w:sz="0" w:space="0" w:color="auto"/>
          </w:divBdr>
        </w:div>
        <w:div w:id="1922710629">
          <w:marLeft w:val="480"/>
          <w:marRight w:val="0"/>
          <w:marTop w:val="0"/>
          <w:marBottom w:val="0"/>
          <w:divBdr>
            <w:top w:val="none" w:sz="0" w:space="0" w:color="auto"/>
            <w:left w:val="none" w:sz="0" w:space="0" w:color="auto"/>
            <w:bottom w:val="none" w:sz="0" w:space="0" w:color="auto"/>
            <w:right w:val="none" w:sz="0" w:space="0" w:color="auto"/>
          </w:divBdr>
        </w:div>
        <w:div w:id="205340272">
          <w:marLeft w:val="480"/>
          <w:marRight w:val="0"/>
          <w:marTop w:val="0"/>
          <w:marBottom w:val="0"/>
          <w:divBdr>
            <w:top w:val="none" w:sz="0" w:space="0" w:color="auto"/>
            <w:left w:val="none" w:sz="0" w:space="0" w:color="auto"/>
            <w:bottom w:val="none" w:sz="0" w:space="0" w:color="auto"/>
            <w:right w:val="none" w:sz="0" w:space="0" w:color="auto"/>
          </w:divBdr>
        </w:div>
        <w:div w:id="1080060782">
          <w:marLeft w:val="480"/>
          <w:marRight w:val="0"/>
          <w:marTop w:val="0"/>
          <w:marBottom w:val="0"/>
          <w:divBdr>
            <w:top w:val="none" w:sz="0" w:space="0" w:color="auto"/>
            <w:left w:val="none" w:sz="0" w:space="0" w:color="auto"/>
            <w:bottom w:val="none" w:sz="0" w:space="0" w:color="auto"/>
            <w:right w:val="none" w:sz="0" w:space="0" w:color="auto"/>
          </w:divBdr>
        </w:div>
        <w:div w:id="400174110">
          <w:marLeft w:val="480"/>
          <w:marRight w:val="0"/>
          <w:marTop w:val="0"/>
          <w:marBottom w:val="0"/>
          <w:divBdr>
            <w:top w:val="none" w:sz="0" w:space="0" w:color="auto"/>
            <w:left w:val="none" w:sz="0" w:space="0" w:color="auto"/>
            <w:bottom w:val="none" w:sz="0" w:space="0" w:color="auto"/>
            <w:right w:val="none" w:sz="0" w:space="0" w:color="auto"/>
          </w:divBdr>
        </w:div>
        <w:div w:id="1588465793">
          <w:marLeft w:val="480"/>
          <w:marRight w:val="0"/>
          <w:marTop w:val="0"/>
          <w:marBottom w:val="0"/>
          <w:divBdr>
            <w:top w:val="none" w:sz="0" w:space="0" w:color="auto"/>
            <w:left w:val="none" w:sz="0" w:space="0" w:color="auto"/>
            <w:bottom w:val="none" w:sz="0" w:space="0" w:color="auto"/>
            <w:right w:val="none" w:sz="0" w:space="0" w:color="auto"/>
          </w:divBdr>
        </w:div>
        <w:div w:id="1947543136">
          <w:marLeft w:val="480"/>
          <w:marRight w:val="0"/>
          <w:marTop w:val="0"/>
          <w:marBottom w:val="0"/>
          <w:divBdr>
            <w:top w:val="none" w:sz="0" w:space="0" w:color="auto"/>
            <w:left w:val="none" w:sz="0" w:space="0" w:color="auto"/>
            <w:bottom w:val="none" w:sz="0" w:space="0" w:color="auto"/>
            <w:right w:val="none" w:sz="0" w:space="0" w:color="auto"/>
          </w:divBdr>
        </w:div>
        <w:div w:id="293951561">
          <w:marLeft w:val="480"/>
          <w:marRight w:val="0"/>
          <w:marTop w:val="0"/>
          <w:marBottom w:val="0"/>
          <w:divBdr>
            <w:top w:val="none" w:sz="0" w:space="0" w:color="auto"/>
            <w:left w:val="none" w:sz="0" w:space="0" w:color="auto"/>
            <w:bottom w:val="none" w:sz="0" w:space="0" w:color="auto"/>
            <w:right w:val="none" w:sz="0" w:space="0" w:color="auto"/>
          </w:divBdr>
        </w:div>
        <w:div w:id="1623228085">
          <w:marLeft w:val="480"/>
          <w:marRight w:val="0"/>
          <w:marTop w:val="0"/>
          <w:marBottom w:val="0"/>
          <w:divBdr>
            <w:top w:val="none" w:sz="0" w:space="0" w:color="auto"/>
            <w:left w:val="none" w:sz="0" w:space="0" w:color="auto"/>
            <w:bottom w:val="none" w:sz="0" w:space="0" w:color="auto"/>
            <w:right w:val="none" w:sz="0" w:space="0" w:color="auto"/>
          </w:divBdr>
        </w:div>
        <w:div w:id="1436948713">
          <w:marLeft w:val="480"/>
          <w:marRight w:val="0"/>
          <w:marTop w:val="0"/>
          <w:marBottom w:val="0"/>
          <w:divBdr>
            <w:top w:val="none" w:sz="0" w:space="0" w:color="auto"/>
            <w:left w:val="none" w:sz="0" w:space="0" w:color="auto"/>
            <w:bottom w:val="none" w:sz="0" w:space="0" w:color="auto"/>
            <w:right w:val="none" w:sz="0" w:space="0" w:color="auto"/>
          </w:divBdr>
        </w:div>
        <w:div w:id="408891927">
          <w:marLeft w:val="480"/>
          <w:marRight w:val="0"/>
          <w:marTop w:val="0"/>
          <w:marBottom w:val="0"/>
          <w:divBdr>
            <w:top w:val="none" w:sz="0" w:space="0" w:color="auto"/>
            <w:left w:val="none" w:sz="0" w:space="0" w:color="auto"/>
            <w:bottom w:val="none" w:sz="0" w:space="0" w:color="auto"/>
            <w:right w:val="none" w:sz="0" w:space="0" w:color="auto"/>
          </w:divBdr>
        </w:div>
        <w:div w:id="547184852">
          <w:marLeft w:val="480"/>
          <w:marRight w:val="0"/>
          <w:marTop w:val="0"/>
          <w:marBottom w:val="0"/>
          <w:divBdr>
            <w:top w:val="none" w:sz="0" w:space="0" w:color="auto"/>
            <w:left w:val="none" w:sz="0" w:space="0" w:color="auto"/>
            <w:bottom w:val="none" w:sz="0" w:space="0" w:color="auto"/>
            <w:right w:val="none" w:sz="0" w:space="0" w:color="auto"/>
          </w:divBdr>
        </w:div>
        <w:div w:id="1238133059">
          <w:marLeft w:val="480"/>
          <w:marRight w:val="0"/>
          <w:marTop w:val="0"/>
          <w:marBottom w:val="0"/>
          <w:divBdr>
            <w:top w:val="none" w:sz="0" w:space="0" w:color="auto"/>
            <w:left w:val="none" w:sz="0" w:space="0" w:color="auto"/>
            <w:bottom w:val="none" w:sz="0" w:space="0" w:color="auto"/>
            <w:right w:val="none" w:sz="0" w:space="0" w:color="auto"/>
          </w:divBdr>
        </w:div>
        <w:div w:id="538513500">
          <w:marLeft w:val="480"/>
          <w:marRight w:val="0"/>
          <w:marTop w:val="0"/>
          <w:marBottom w:val="0"/>
          <w:divBdr>
            <w:top w:val="none" w:sz="0" w:space="0" w:color="auto"/>
            <w:left w:val="none" w:sz="0" w:space="0" w:color="auto"/>
            <w:bottom w:val="none" w:sz="0" w:space="0" w:color="auto"/>
            <w:right w:val="none" w:sz="0" w:space="0" w:color="auto"/>
          </w:divBdr>
        </w:div>
        <w:div w:id="1240946367">
          <w:marLeft w:val="480"/>
          <w:marRight w:val="0"/>
          <w:marTop w:val="0"/>
          <w:marBottom w:val="0"/>
          <w:divBdr>
            <w:top w:val="none" w:sz="0" w:space="0" w:color="auto"/>
            <w:left w:val="none" w:sz="0" w:space="0" w:color="auto"/>
            <w:bottom w:val="none" w:sz="0" w:space="0" w:color="auto"/>
            <w:right w:val="none" w:sz="0" w:space="0" w:color="auto"/>
          </w:divBdr>
        </w:div>
        <w:div w:id="1726027438">
          <w:marLeft w:val="480"/>
          <w:marRight w:val="0"/>
          <w:marTop w:val="0"/>
          <w:marBottom w:val="0"/>
          <w:divBdr>
            <w:top w:val="none" w:sz="0" w:space="0" w:color="auto"/>
            <w:left w:val="none" w:sz="0" w:space="0" w:color="auto"/>
            <w:bottom w:val="none" w:sz="0" w:space="0" w:color="auto"/>
            <w:right w:val="none" w:sz="0" w:space="0" w:color="auto"/>
          </w:divBdr>
        </w:div>
        <w:div w:id="1428621950">
          <w:marLeft w:val="480"/>
          <w:marRight w:val="0"/>
          <w:marTop w:val="0"/>
          <w:marBottom w:val="0"/>
          <w:divBdr>
            <w:top w:val="none" w:sz="0" w:space="0" w:color="auto"/>
            <w:left w:val="none" w:sz="0" w:space="0" w:color="auto"/>
            <w:bottom w:val="none" w:sz="0" w:space="0" w:color="auto"/>
            <w:right w:val="none" w:sz="0" w:space="0" w:color="auto"/>
          </w:divBdr>
        </w:div>
        <w:div w:id="103814899">
          <w:marLeft w:val="480"/>
          <w:marRight w:val="0"/>
          <w:marTop w:val="0"/>
          <w:marBottom w:val="0"/>
          <w:divBdr>
            <w:top w:val="none" w:sz="0" w:space="0" w:color="auto"/>
            <w:left w:val="none" w:sz="0" w:space="0" w:color="auto"/>
            <w:bottom w:val="none" w:sz="0" w:space="0" w:color="auto"/>
            <w:right w:val="none" w:sz="0" w:space="0" w:color="auto"/>
          </w:divBdr>
        </w:div>
        <w:div w:id="626083422">
          <w:marLeft w:val="480"/>
          <w:marRight w:val="0"/>
          <w:marTop w:val="0"/>
          <w:marBottom w:val="0"/>
          <w:divBdr>
            <w:top w:val="none" w:sz="0" w:space="0" w:color="auto"/>
            <w:left w:val="none" w:sz="0" w:space="0" w:color="auto"/>
            <w:bottom w:val="none" w:sz="0" w:space="0" w:color="auto"/>
            <w:right w:val="none" w:sz="0" w:space="0" w:color="auto"/>
          </w:divBdr>
        </w:div>
        <w:div w:id="1458186701">
          <w:marLeft w:val="480"/>
          <w:marRight w:val="0"/>
          <w:marTop w:val="0"/>
          <w:marBottom w:val="0"/>
          <w:divBdr>
            <w:top w:val="none" w:sz="0" w:space="0" w:color="auto"/>
            <w:left w:val="none" w:sz="0" w:space="0" w:color="auto"/>
            <w:bottom w:val="none" w:sz="0" w:space="0" w:color="auto"/>
            <w:right w:val="none" w:sz="0" w:space="0" w:color="auto"/>
          </w:divBdr>
        </w:div>
        <w:div w:id="1613440388">
          <w:marLeft w:val="480"/>
          <w:marRight w:val="0"/>
          <w:marTop w:val="0"/>
          <w:marBottom w:val="0"/>
          <w:divBdr>
            <w:top w:val="none" w:sz="0" w:space="0" w:color="auto"/>
            <w:left w:val="none" w:sz="0" w:space="0" w:color="auto"/>
            <w:bottom w:val="none" w:sz="0" w:space="0" w:color="auto"/>
            <w:right w:val="none" w:sz="0" w:space="0" w:color="auto"/>
          </w:divBdr>
        </w:div>
        <w:div w:id="1955210531">
          <w:marLeft w:val="480"/>
          <w:marRight w:val="0"/>
          <w:marTop w:val="0"/>
          <w:marBottom w:val="0"/>
          <w:divBdr>
            <w:top w:val="none" w:sz="0" w:space="0" w:color="auto"/>
            <w:left w:val="none" w:sz="0" w:space="0" w:color="auto"/>
            <w:bottom w:val="none" w:sz="0" w:space="0" w:color="auto"/>
            <w:right w:val="none" w:sz="0" w:space="0" w:color="auto"/>
          </w:divBdr>
        </w:div>
        <w:div w:id="207693403">
          <w:marLeft w:val="480"/>
          <w:marRight w:val="0"/>
          <w:marTop w:val="0"/>
          <w:marBottom w:val="0"/>
          <w:divBdr>
            <w:top w:val="none" w:sz="0" w:space="0" w:color="auto"/>
            <w:left w:val="none" w:sz="0" w:space="0" w:color="auto"/>
            <w:bottom w:val="none" w:sz="0" w:space="0" w:color="auto"/>
            <w:right w:val="none" w:sz="0" w:space="0" w:color="auto"/>
          </w:divBdr>
        </w:div>
        <w:div w:id="1509056859">
          <w:marLeft w:val="480"/>
          <w:marRight w:val="0"/>
          <w:marTop w:val="0"/>
          <w:marBottom w:val="0"/>
          <w:divBdr>
            <w:top w:val="none" w:sz="0" w:space="0" w:color="auto"/>
            <w:left w:val="none" w:sz="0" w:space="0" w:color="auto"/>
            <w:bottom w:val="none" w:sz="0" w:space="0" w:color="auto"/>
            <w:right w:val="none" w:sz="0" w:space="0" w:color="auto"/>
          </w:divBdr>
        </w:div>
        <w:div w:id="837959304">
          <w:marLeft w:val="480"/>
          <w:marRight w:val="0"/>
          <w:marTop w:val="0"/>
          <w:marBottom w:val="0"/>
          <w:divBdr>
            <w:top w:val="none" w:sz="0" w:space="0" w:color="auto"/>
            <w:left w:val="none" w:sz="0" w:space="0" w:color="auto"/>
            <w:bottom w:val="none" w:sz="0" w:space="0" w:color="auto"/>
            <w:right w:val="none" w:sz="0" w:space="0" w:color="auto"/>
          </w:divBdr>
        </w:div>
        <w:div w:id="1078480911">
          <w:marLeft w:val="480"/>
          <w:marRight w:val="0"/>
          <w:marTop w:val="0"/>
          <w:marBottom w:val="0"/>
          <w:divBdr>
            <w:top w:val="none" w:sz="0" w:space="0" w:color="auto"/>
            <w:left w:val="none" w:sz="0" w:space="0" w:color="auto"/>
            <w:bottom w:val="none" w:sz="0" w:space="0" w:color="auto"/>
            <w:right w:val="none" w:sz="0" w:space="0" w:color="auto"/>
          </w:divBdr>
        </w:div>
        <w:div w:id="1951550580">
          <w:marLeft w:val="480"/>
          <w:marRight w:val="0"/>
          <w:marTop w:val="0"/>
          <w:marBottom w:val="0"/>
          <w:divBdr>
            <w:top w:val="none" w:sz="0" w:space="0" w:color="auto"/>
            <w:left w:val="none" w:sz="0" w:space="0" w:color="auto"/>
            <w:bottom w:val="none" w:sz="0" w:space="0" w:color="auto"/>
            <w:right w:val="none" w:sz="0" w:space="0" w:color="auto"/>
          </w:divBdr>
        </w:div>
        <w:div w:id="1667702996">
          <w:marLeft w:val="480"/>
          <w:marRight w:val="0"/>
          <w:marTop w:val="0"/>
          <w:marBottom w:val="0"/>
          <w:divBdr>
            <w:top w:val="none" w:sz="0" w:space="0" w:color="auto"/>
            <w:left w:val="none" w:sz="0" w:space="0" w:color="auto"/>
            <w:bottom w:val="none" w:sz="0" w:space="0" w:color="auto"/>
            <w:right w:val="none" w:sz="0" w:space="0" w:color="auto"/>
          </w:divBdr>
        </w:div>
        <w:div w:id="214314570">
          <w:marLeft w:val="480"/>
          <w:marRight w:val="0"/>
          <w:marTop w:val="0"/>
          <w:marBottom w:val="0"/>
          <w:divBdr>
            <w:top w:val="none" w:sz="0" w:space="0" w:color="auto"/>
            <w:left w:val="none" w:sz="0" w:space="0" w:color="auto"/>
            <w:bottom w:val="none" w:sz="0" w:space="0" w:color="auto"/>
            <w:right w:val="none" w:sz="0" w:space="0" w:color="auto"/>
          </w:divBdr>
        </w:div>
        <w:div w:id="1545215771">
          <w:marLeft w:val="480"/>
          <w:marRight w:val="0"/>
          <w:marTop w:val="0"/>
          <w:marBottom w:val="0"/>
          <w:divBdr>
            <w:top w:val="none" w:sz="0" w:space="0" w:color="auto"/>
            <w:left w:val="none" w:sz="0" w:space="0" w:color="auto"/>
            <w:bottom w:val="none" w:sz="0" w:space="0" w:color="auto"/>
            <w:right w:val="none" w:sz="0" w:space="0" w:color="auto"/>
          </w:divBdr>
        </w:div>
        <w:div w:id="4793039">
          <w:marLeft w:val="480"/>
          <w:marRight w:val="0"/>
          <w:marTop w:val="0"/>
          <w:marBottom w:val="0"/>
          <w:divBdr>
            <w:top w:val="none" w:sz="0" w:space="0" w:color="auto"/>
            <w:left w:val="none" w:sz="0" w:space="0" w:color="auto"/>
            <w:bottom w:val="none" w:sz="0" w:space="0" w:color="auto"/>
            <w:right w:val="none" w:sz="0" w:space="0" w:color="auto"/>
          </w:divBdr>
        </w:div>
        <w:div w:id="2124692631">
          <w:marLeft w:val="480"/>
          <w:marRight w:val="0"/>
          <w:marTop w:val="0"/>
          <w:marBottom w:val="0"/>
          <w:divBdr>
            <w:top w:val="none" w:sz="0" w:space="0" w:color="auto"/>
            <w:left w:val="none" w:sz="0" w:space="0" w:color="auto"/>
            <w:bottom w:val="none" w:sz="0" w:space="0" w:color="auto"/>
            <w:right w:val="none" w:sz="0" w:space="0" w:color="auto"/>
          </w:divBdr>
        </w:div>
        <w:div w:id="1639148179">
          <w:marLeft w:val="480"/>
          <w:marRight w:val="0"/>
          <w:marTop w:val="0"/>
          <w:marBottom w:val="0"/>
          <w:divBdr>
            <w:top w:val="none" w:sz="0" w:space="0" w:color="auto"/>
            <w:left w:val="none" w:sz="0" w:space="0" w:color="auto"/>
            <w:bottom w:val="none" w:sz="0" w:space="0" w:color="auto"/>
            <w:right w:val="none" w:sz="0" w:space="0" w:color="auto"/>
          </w:divBdr>
        </w:div>
        <w:div w:id="1061099477">
          <w:marLeft w:val="480"/>
          <w:marRight w:val="0"/>
          <w:marTop w:val="0"/>
          <w:marBottom w:val="0"/>
          <w:divBdr>
            <w:top w:val="none" w:sz="0" w:space="0" w:color="auto"/>
            <w:left w:val="none" w:sz="0" w:space="0" w:color="auto"/>
            <w:bottom w:val="none" w:sz="0" w:space="0" w:color="auto"/>
            <w:right w:val="none" w:sz="0" w:space="0" w:color="auto"/>
          </w:divBdr>
        </w:div>
        <w:div w:id="1230191747">
          <w:marLeft w:val="480"/>
          <w:marRight w:val="0"/>
          <w:marTop w:val="0"/>
          <w:marBottom w:val="0"/>
          <w:divBdr>
            <w:top w:val="none" w:sz="0" w:space="0" w:color="auto"/>
            <w:left w:val="none" w:sz="0" w:space="0" w:color="auto"/>
            <w:bottom w:val="none" w:sz="0" w:space="0" w:color="auto"/>
            <w:right w:val="none" w:sz="0" w:space="0" w:color="auto"/>
          </w:divBdr>
        </w:div>
        <w:div w:id="623578000">
          <w:marLeft w:val="480"/>
          <w:marRight w:val="0"/>
          <w:marTop w:val="0"/>
          <w:marBottom w:val="0"/>
          <w:divBdr>
            <w:top w:val="none" w:sz="0" w:space="0" w:color="auto"/>
            <w:left w:val="none" w:sz="0" w:space="0" w:color="auto"/>
            <w:bottom w:val="none" w:sz="0" w:space="0" w:color="auto"/>
            <w:right w:val="none" w:sz="0" w:space="0" w:color="auto"/>
          </w:divBdr>
        </w:div>
      </w:divsChild>
    </w:div>
    <w:div w:id="812597897">
      <w:bodyDiv w:val="1"/>
      <w:marLeft w:val="0"/>
      <w:marRight w:val="0"/>
      <w:marTop w:val="0"/>
      <w:marBottom w:val="0"/>
      <w:divBdr>
        <w:top w:val="none" w:sz="0" w:space="0" w:color="auto"/>
        <w:left w:val="none" w:sz="0" w:space="0" w:color="auto"/>
        <w:bottom w:val="none" w:sz="0" w:space="0" w:color="auto"/>
        <w:right w:val="none" w:sz="0" w:space="0" w:color="auto"/>
      </w:divBdr>
    </w:div>
    <w:div w:id="812602716">
      <w:bodyDiv w:val="1"/>
      <w:marLeft w:val="0"/>
      <w:marRight w:val="0"/>
      <w:marTop w:val="0"/>
      <w:marBottom w:val="0"/>
      <w:divBdr>
        <w:top w:val="none" w:sz="0" w:space="0" w:color="auto"/>
        <w:left w:val="none" w:sz="0" w:space="0" w:color="auto"/>
        <w:bottom w:val="none" w:sz="0" w:space="0" w:color="auto"/>
        <w:right w:val="none" w:sz="0" w:space="0" w:color="auto"/>
      </w:divBdr>
    </w:div>
    <w:div w:id="814026878">
      <w:bodyDiv w:val="1"/>
      <w:marLeft w:val="0"/>
      <w:marRight w:val="0"/>
      <w:marTop w:val="0"/>
      <w:marBottom w:val="0"/>
      <w:divBdr>
        <w:top w:val="none" w:sz="0" w:space="0" w:color="auto"/>
        <w:left w:val="none" w:sz="0" w:space="0" w:color="auto"/>
        <w:bottom w:val="none" w:sz="0" w:space="0" w:color="auto"/>
        <w:right w:val="none" w:sz="0" w:space="0" w:color="auto"/>
      </w:divBdr>
    </w:div>
    <w:div w:id="814448626">
      <w:bodyDiv w:val="1"/>
      <w:marLeft w:val="0"/>
      <w:marRight w:val="0"/>
      <w:marTop w:val="0"/>
      <w:marBottom w:val="0"/>
      <w:divBdr>
        <w:top w:val="none" w:sz="0" w:space="0" w:color="auto"/>
        <w:left w:val="none" w:sz="0" w:space="0" w:color="auto"/>
        <w:bottom w:val="none" w:sz="0" w:space="0" w:color="auto"/>
        <w:right w:val="none" w:sz="0" w:space="0" w:color="auto"/>
      </w:divBdr>
    </w:div>
    <w:div w:id="815218915">
      <w:bodyDiv w:val="1"/>
      <w:marLeft w:val="0"/>
      <w:marRight w:val="0"/>
      <w:marTop w:val="0"/>
      <w:marBottom w:val="0"/>
      <w:divBdr>
        <w:top w:val="none" w:sz="0" w:space="0" w:color="auto"/>
        <w:left w:val="none" w:sz="0" w:space="0" w:color="auto"/>
        <w:bottom w:val="none" w:sz="0" w:space="0" w:color="auto"/>
        <w:right w:val="none" w:sz="0" w:space="0" w:color="auto"/>
      </w:divBdr>
    </w:div>
    <w:div w:id="815413406">
      <w:bodyDiv w:val="1"/>
      <w:marLeft w:val="0"/>
      <w:marRight w:val="0"/>
      <w:marTop w:val="0"/>
      <w:marBottom w:val="0"/>
      <w:divBdr>
        <w:top w:val="none" w:sz="0" w:space="0" w:color="auto"/>
        <w:left w:val="none" w:sz="0" w:space="0" w:color="auto"/>
        <w:bottom w:val="none" w:sz="0" w:space="0" w:color="auto"/>
        <w:right w:val="none" w:sz="0" w:space="0" w:color="auto"/>
      </w:divBdr>
    </w:div>
    <w:div w:id="815879182">
      <w:bodyDiv w:val="1"/>
      <w:marLeft w:val="0"/>
      <w:marRight w:val="0"/>
      <w:marTop w:val="0"/>
      <w:marBottom w:val="0"/>
      <w:divBdr>
        <w:top w:val="none" w:sz="0" w:space="0" w:color="auto"/>
        <w:left w:val="none" w:sz="0" w:space="0" w:color="auto"/>
        <w:bottom w:val="none" w:sz="0" w:space="0" w:color="auto"/>
        <w:right w:val="none" w:sz="0" w:space="0" w:color="auto"/>
      </w:divBdr>
    </w:div>
    <w:div w:id="816074229">
      <w:bodyDiv w:val="1"/>
      <w:marLeft w:val="0"/>
      <w:marRight w:val="0"/>
      <w:marTop w:val="0"/>
      <w:marBottom w:val="0"/>
      <w:divBdr>
        <w:top w:val="none" w:sz="0" w:space="0" w:color="auto"/>
        <w:left w:val="none" w:sz="0" w:space="0" w:color="auto"/>
        <w:bottom w:val="none" w:sz="0" w:space="0" w:color="auto"/>
        <w:right w:val="none" w:sz="0" w:space="0" w:color="auto"/>
      </w:divBdr>
    </w:div>
    <w:div w:id="816610421">
      <w:bodyDiv w:val="1"/>
      <w:marLeft w:val="0"/>
      <w:marRight w:val="0"/>
      <w:marTop w:val="0"/>
      <w:marBottom w:val="0"/>
      <w:divBdr>
        <w:top w:val="none" w:sz="0" w:space="0" w:color="auto"/>
        <w:left w:val="none" w:sz="0" w:space="0" w:color="auto"/>
        <w:bottom w:val="none" w:sz="0" w:space="0" w:color="auto"/>
        <w:right w:val="none" w:sz="0" w:space="0" w:color="auto"/>
      </w:divBdr>
    </w:div>
    <w:div w:id="817378791">
      <w:bodyDiv w:val="1"/>
      <w:marLeft w:val="0"/>
      <w:marRight w:val="0"/>
      <w:marTop w:val="0"/>
      <w:marBottom w:val="0"/>
      <w:divBdr>
        <w:top w:val="none" w:sz="0" w:space="0" w:color="auto"/>
        <w:left w:val="none" w:sz="0" w:space="0" w:color="auto"/>
        <w:bottom w:val="none" w:sz="0" w:space="0" w:color="auto"/>
        <w:right w:val="none" w:sz="0" w:space="0" w:color="auto"/>
      </w:divBdr>
    </w:div>
    <w:div w:id="817649492">
      <w:bodyDiv w:val="1"/>
      <w:marLeft w:val="0"/>
      <w:marRight w:val="0"/>
      <w:marTop w:val="0"/>
      <w:marBottom w:val="0"/>
      <w:divBdr>
        <w:top w:val="none" w:sz="0" w:space="0" w:color="auto"/>
        <w:left w:val="none" w:sz="0" w:space="0" w:color="auto"/>
        <w:bottom w:val="none" w:sz="0" w:space="0" w:color="auto"/>
        <w:right w:val="none" w:sz="0" w:space="0" w:color="auto"/>
      </w:divBdr>
    </w:div>
    <w:div w:id="819273301">
      <w:bodyDiv w:val="1"/>
      <w:marLeft w:val="0"/>
      <w:marRight w:val="0"/>
      <w:marTop w:val="0"/>
      <w:marBottom w:val="0"/>
      <w:divBdr>
        <w:top w:val="none" w:sz="0" w:space="0" w:color="auto"/>
        <w:left w:val="none" w:sz="0" w:space="0" w:color="auto"/>
        <w:bottom w:val="none" w:sz="0" w:space="0" w:color="auto"/>
        <w:right w:val="none" w:sz="0" w:space="0" w:color="auto"/>
      </w:divBdr>
    </w:div>
    <w:div w:id="819423364">
      <w:bodyDiv w:val="1"/>
      <w:marLeft w:val="0"/>
      <w:marRight w:val="0"/>
      <w:marTop w:val="0"/>
      <w:marBottom w:val="0"/>
      <w:divBdr>
        <w:top w:val="none" w:sz="0" w:space="0" w:color="auto"/>
        <w:left w:val="none" w:sz="0" w:space="0" w:color="auto"/>
        <w:bottom w:val="none" w:sz="0" w:space="0" w:color="auto"/>
        <w:right w:val="none" w:sz="0" w:space="0" w:color="auto"/>
      </w:divBdr>
    </w:div>
    <w:div w:id="819620303">
      <w:bodyDiv w:val="1"/>
      <w:marLeft w:val="0"/>
      <w:marRight w:val="0"/>
      <w:marTop w:val="0"/>
      <w:marBottom w:val="0"/>
      <w:divBdr>
        <w:top w:val="none" w:sz="0" w:space="0" w:color="auto"/>
        <w:left w:val="none" w:sz="0" w:space="0" w:color="auto"/>
        <w:bottom w:val="none" w:sz="0" w:space="0" w:color="auto"/>
        <w:right w:val="none" w:sz="0" w:space="0" w:color="auto"/>
      </w:divBdr>
    </w:div>
    <w:div w:id="819888104">
      <w:bodyDiv w:val="1"/>
      <w:marLeft w:val="0"/>
      <w:marRight w:val="0"/>
      <w:marTop w:val="0"/>
      <w:marBottom w:val="0"/>
      <w:divBdr>
        <w:top w:val="none" w:sz="0" w:space="0" w:color="auto"/>
        <w:left w:val="none" w:sz="0" w:space="0" w:color="auto"/>
        <w:bottom w:val="none" w:sz="0" w:space="0" w:color="auto"/>
        <w:right w:val="none" w:sz="0" w:space="0" w:color="auto"/>
      </w:divBdr>
    </w:div>
    <w:div w:id="820460295">
      <w:bodyDiv w:val="1"/>
      <w:marLeft w:val="0"/>
      <w:marRight w:val="0"/>
      <w:marTop w:val="0"/>
      <w:marBottom w:val="0"/>
      <w:divBdr>
        <w:top w:val="none" w:sz="0" w:space="0" w:color="auto"/>
        <w:left w:val="none" w:sz="0" w:space="0" w:color="auto"/>
        <w:bottom w:val="none" w:sz="0" w:space="0" w:color="auto"/>
        <w:right w:val="none" w:sz="0" w:space="0" w:color="auto"/>
      </w:divBdr>
    </w:div>
    <w:div w:id="821237961">
      <w:bodyDiv w:val="1"/>
      <w:marLeft w:val="0"/>
      <w:marRight w:val="0"/>
      <w:marTop w:val="0"/>
      <w:marBottom w:val="0"/>
      <w:divBdr>
        <w:top w:val="none" w:sz="0" w:space="0" w:color="auto"/>
        <w:left w:val="none" w:sz="0" w:space="0" w:color="auto"/>
        <w:bottom w:val="none" w:sz="0" w:space="0" w:color="auto"/>
        <w:right w:val="none" w:sz="0" w:space="0" w:color="auto"/>
      </w:divBdr>
    </w:div>
    <w:div w:id="822549773">
      <w:bodyDiv w:val="1"/>
      <w:marLeft w:val="0"/>
      <w:marRight w:val="0"/>
      <w:marTop w:val="0"/>
      <w:marBottom w:val="0"/>
      <w:divBdr>
        <w:top w:val="none" w:sz="0" w:space="0" w:color="auto"/>
        <w:left w:val="none" w:sz="0" w:space="0" w:color="auto"/>
        <w:bottom w:val="none" w:sz="0" w:space="0" w:color="auto"/>
        <w:right w:val="none" w:sz="0" w:space="0" w:color="auto"/>
      </w:divBdr>
    </w:div>
    <w:div w:id="823198531">
      <w:bodyDiv w:val="1"/>
      <w:marLeft w:val="0"/>
      <w:marRight w:val="0"/>
      <w:marTop w:val="0"/>
      <w:marBottom w:val="0"/>
      <w:divBdr>
        <w:top w:val="none" w:sz="0" w:space="0" w:color="auto"/>
        <w:left w:val="none" w:sz="0" w:space="0" w:color="auto"/>
        <w:bottom w:val="none" w:sz="0" w:space="0" w:color="auto"/>
        <w:right w:val="none" w:sz="0" w:space="0" w:color="auto"/>
      </w:divBdr>
    </w:div>
    <w:div w:id="823283040">
      <w:bodyDiv w:val="1"/>
      <w:marLeft w:val="0"/>
      <w:marRight w:val="0"/>
      <w:marTop w:val="0"/>
      <w:marBottom w:val="0"/>
      <w:divBdr>
        <w:top w:val="none" w:sz="0" w:space="0" w:color="auto"/>
        <w:left w:val="none" w:sz="0" w:space="0" w:color="auto"/>
        <w:bottom w:val="none" w:sz="0" w:space="0" w:color="auto"/>
        <w:right w:val="none" w:sz="0" w:space="0" w:color="auto"/>
      </w:divBdr>
    </w:div>
    <w:div w:id="823812002">
      <w:bodyDiv w:val="1"/>
      <w:marLeft w:val="0"/>
      <w:marRight w:val="0"/>
      <w:marTop w:val="0"/>
      <w:marBottom w:val="0"/>
      <w:divBdr>
        <w:top w:val="none" w:sz="0" w:space="0" w:color="auto"/>
        <w:left w:val="none" w:sz="0" w:space="0" w:color="auto"/>
        <w:bottom w:val="none" w:sz="0" w:space="0" w:color="auto"/>
        <w:right w:val="none" w:sz="0" w:space="0" w:color="auto"/>
      </w:divBdr>
    </w:div>
    <w:div w:id="824056231">
      <w:bodyDiv w:val="1"/>
      <w:marLeft w:val="0"/>
      <w:marRight w:val="0"/>
      <w:marTop w:val="0"/>
      <w:marBottom w:val="0"/>
      <w:divBdr>
        <w:top w:val="none" w:sz="0" w:space="0" w:color="auto"/>
        <w:left w:val="none" w:sz="0" w:space="0" w:color="auto"/>
        <w:bottom w:val="none" w:sz="0" w:space="0" w:color="auto"/>
        <w:right w:val="none" w:sz="0" w:space="0" w:color="auto"/>
      </w:divBdr>
    </w:div>
    <w:div w:id="824858447">
      <w:bodyDiv w:val="1"/>
      <w:marLeft w:val="0"/>
      <w:marRight w:val="0"/>
      <w:marTop w:val="0"/>
      <w:marBottom w:val="0"/>
      <w:divBdr>
        <w:top w:val="none" w:sz="0" w:space="0" w:color="auto"/>
        <w:left w:val="none" w:sz="0" w:space="0" w:color="auto"/>
        <w:bottom w:val="none" w:sz="0" w:space="0" w:color="auto"/>
        <w:right w:val="none" w:sz="0" w:space="0" w:color="auto"/>
      </w:divBdr>
    </w:div>
    <w:div w:id="825322111">
      <w:bodyDiv w:val="1"/>
      <w:marLeft w:val="0"/>
      <w:marRight w:val="0"/>
      <w:marTop w:val="0"/>
      <w:marBottom w:val="0"/>
      <w:divBdr>
        <w:top w:val="none" w:sz="0" w:space="0" w:color="auto"/>
        <w:left w:val="none" w:sz="0" w:space="0" w:color="auto"/>
        <w:bottom w:val="none" w:sz="0" w:space="0" w:color="auto"/>
        <w:right w:val="none" w:sz="0" w:space="0" w:color="auto"/>
      </w:divBdr>
    </w:div>
    <w:div w:id="826164125">
      <w:bodyDiv w:val="1"/>
      <w:marLeft w:val="0"/>
      <w:marRight w:val="0"/>
      <w:marTop w:val="0"/>
      <w:marBottom w:val="0"/>
      <w:divBdr>
        <w:top w:val="none" w:sz="0" w:space="0" w:color="auto"/>
        <w:left w:val="none" w:sz="0" w:space="0" w:color="auto"/>
        <w:bottom w:val="none" w:sz="0" w:space="0" w:color="auto"/>
        <w:right w:val="none" w:sz="0" w:space="0" w:color="auto"/>
      </w:divBdr>
    </w:div>
    <w:div w:id="826244090">
      <w:bodyDiv w:val="1"/>
      <w:marLeft w:val="0"/>
      <w:marRight w:val="0"/>
      <w:marTop w:val="0"/>
      <w:marBottom w:val="0"/>
      <w:divBdr>
        <w:top w:val="none" w:sz="0" w:space="0" w:color="auto"/>
        <w:left w:val="none" w:sz="0" w:space="0" w:color="auto"/>
        <w:bottom w:val="none" w:sz="0" w:space="0" w:color="auto"/>
        <w:right w:val="none" w:sz="0" w:space="0" w:color="auto"/>
      </w:divBdr>
    </w:div>
    <w:div w:id="826289660">
      <w:bodyDiv w:val="1"/>
      <w:marLeft w:val="0"/>
      <w:marRight w:val="0"/>
      <w:marTop w:val="0"/>
      <w:marBottom w:val="0"/>
      <w:divBdr>
        <w:top w:val="none" w:sz="0" w:space="0" w:color="auto"/>
        <w:left w:val="none" w:sz="0" w:space="0" w:color="auto"/>
        <w:bottom w:val="none" w:sz="0" w:space="0" w:color="auto"/>
        <w:right w:val="none" w:sz="0" w:space="0" w:color="auto"/>
      </w:divBdr>
    </w:div>
    <w:div w:id="826478447">
      <w:bodyDiv w:val="1"/>
      <w:marLeft w:val="0"/>
      <w:marRight w:val="0"/>
      <w:marTop w:val="0"/>
      <w:marBottom w:val="0"/>
      <w:divBdr>
        <w:top w:val="none" w:sz="0" w:space="0" w:color="auto"/>
        <w:left w:val="none" w:sz="0" w:space="0" w:color="auto"/>
        <w:bottom w:val="none" w:sz="0" w:space="0" w:color="auto"/>
        <w:right w:val="none" w:sz="0" w:space="0" w:color="auto"/>
      </w:divBdr>
    </w:div>
    <w:div w:id="826481133">
      <w:bodyDiv w:val="1"/>
      <w:marLeft w:val="0"/>
      <w:marRight w:val="0"/>
      <w:marTop w:val="0"/>
      <w:marBottom w:val="0"/>
      <w:divBdr>
        <w:top w:val="none" w:sz="0" w:space="0" w:color="auto"/>
        <w:left w:val="none" w:sz="0" w:space="0" w:color="auto"/>
        <w:bottom w:val="none" w:sz="0" w:space="0" w:color="auto"/>
        <w:right w:val="none" w:sz="0" w:space="0" w:color="auto"/>
      </w:divBdr>
    </w:div>
    <w:div w:id="827282710">
      <w:bodyDiv w:val="1"/>
      <w:marLeft w:val="0"/>
      <w:marRight w:val="0"/>
      <w:marTop w:val="0"/>
      <w:marBottom w:val="0"/>
      <w:divBdr>
        <w:top w:val="none" w:sz="0" w:space="0" w:color="auto"/>
        <w:left w:val="none" w:sz="0" w:space="0" w:color="auto"/>
        <w:bottom w:val="none" w:sz="0" w:space="0" w:color="auto"/>
        <w:right w:val="none" w:sz="0" w:space="0" w:color="auto"/>
      </w:divBdr>
    </w:div>
    <w:div w:id="827525511">
      <w:bodyDiv w:val="1"/>
      <w:marLeft w:val="0"/>
      <w:marRight w:val="0"/>
      <w:marTop w:val="0"/>
      <w:marBottom w:val="0"/>
      <w:divBdr>
        <w:top w:val="none" w:sz="0" w:space="0" w:color="auto"/>
        <w:left w:val="none" w:sz="0" w:space="0" w:color="auto"/>
        <w:bottom w:val="none" w:sz="0" w:space="0" w:color="auto"/>
        <w:right w:val="none" w:sz="0" w:space="0" w:color="auto"/>
      </w:divBdr>
    </w:div>
    <w:div w:id="827553070">
      <w:bodyDiv w:val="1"/>
      <w:marLeft w:val="0"/>
      <w:marRight w:val="0"/>
      <w:marTop w:val="0"/>
      <w:marBottom w:val="0"/>
      <w:divBdr>
        <w:top w:val="none" w:sz="0" w:space="0" w:color="auto"/>
        <w:left w:val="none" w:sz="0" w:space="0" w:color="auto"/>
        <w:bottom w:val="none" w:sz="0" w:space="0" w:color="auto"/>
        <w:right w:val="none" w:sz="0" w:space="0" w:color="auto"/>
      </w:divBdr>
    </w:div>
    <w:div w:id="827869575">
      <w:bodyDiv w:val="1"/>
      <w:marLeft w:val="0"/>
      <w:marRight w:val="0"/>
      <w:marTop w:val="0"/>
      <w:marBottom w:val="0"/>
      <w:divBdr>
        <w:top w:val="none" w:sz="0" w:space="0" w:color="auto"/>
        <w:left w:val="none" w:sz="0" w:space="0" w:color="auto"/>
        <w:bottom w:val="none" w:sz="0" w:space="0" w:color="auto"/>
        <w:right w:val="none" w:sz="0" w:space="0" w:color="auto"/>
      </w:divBdr>
    </w:div>
    <w:div w:id="827943188">
      <w:bodyDiv w:val="1"/>
      <w:marLeft w:val="0"/>
      <w:marRight w:val="0"/>
      <w:marTop w:val="0"/>
      <w:marBottom w:val="0"/>
      <w:divBdr>
        <w:top w:val="none" w:sz="0" w:space="0" w:color="auto"/>
        <w:left w:val="none" w:sz="0" w:space="0" w:color="auto"/>
        <w:bottom w:val="none" w:sz="0" w:space="0" w:color="auto"/>
        <w:right w:val="none" w:sz="0" w:space="0" w:color="auto"/>
      </w:divBdr>
    </w:div>
    <w:div w:id="828443447">
      <w:bodyDiv w:val="1"/>
      <w:marLeft w:val="0"/>
      <w:marRight w:val="0"/>
      <w:marTop w:val="0"/>
      <w:marBottom w:val="0"/>
      <w:divBdr>
        <w:top w:val="none" w:sz="0" w:space="0" w:color="auto"/>
        <w:left w:val="none" w:sz="0" w:space="0" w:color="auto"/>
        <w:bottom w:val="none" w:sz="0" w:space="0" w:color="auto"/>
        <w:right w:val="none" w:sz="0" w:space="0" w:color="auto"/>
      </w:divBdr>
    </w:div>
    <w:div w:id="829103612">
      <w:bodyDiv w:val="1"/>
      <w:marLeft w:val="0"/>
      <w:marRight w:val="0"/>
      <w:marTop w:val="0"/>
      <w:marBottom w:val="0"/>
      <w:divBdr>
        <w:top w:val="none" w:sz="0" w:space="0" w:color="auto"/>
        <w:left w:val="none" w:sz="0" w:space="0" w:color="auto"/>
        <w:bottom w:val="none" w:sz="0" w:space="0" w:color="auto"/>
        <w:right w:val="none" w:sz="0" w:space="0" w:color="auto"/>
      </w:divBdr>
    </w:div>
    <w:div w:id="829293397">
      <w:bodyDiv w:val="1"/>
      <w:marLeft w:val="0"/>
      <w:marRight w:val="0"/>
      <w:marTop w:val="0"/>
      <w:marBottom w:val="0"/>
      <w:divBdr>
        <w:top w:val="none" w:sz="0" w:space="0" w:color="auto"/>
        <w:left w:val="none" w:sz="0" w:space="0" w:color="auto"/>
        <w:bottom w:val="none" w:sz="0" w:space="0" w:color="auto"/>
        <w:right w:val="none" w:sz="0" w:space="0" w:color="auto"/>
      </w:divBdr>
    </w:div>
    <w:div w:id="829366268">
      <w:bodyDiv w:val="1"/>
      <w:marLeft w:val="0"/>
      <w:marRight w:val="0"/>
      <w:marTop w:val="0"/>
      <w:marBottom w:val="0"/>
      <w:divBdr>
        <w:top w:val="none" w:sz="0" w:space="0" w:color="auto"/>
        <w:left w:val="none" w:sz="0" w:space="0" w:color="auto"/>
        <w:bottom w:val="none" w:sz="0" w:space="0" w:color="auto"/>
        <w:right w:val="none" w:sz="0" w:space="0" w:color="auto"/>
      </w:divBdr>
    </w:div>
    <w:div w:id="829827822">
      <w:bodyDiv w:val="1"/>
      <w:marLeft w:val="0"/>
      <w:marRight w:val="0"/>
      <w:marTop w:val="0"/>
      <w:marBottom w:val="0"/>
      <w:divBdr>
        <w:top w:val="none" w:sz="0" w:space="0" w:color="auto"/>
        <w:left w:val="none" w:sz="0" w:space="0" w:color="auto"/>
        <w:bottom w:val="none" w:sz="0" w:space="0" w:color="auto"/>
        <w:right w:val="none" w:sz="0" w:space="0" w:color="auto"/>
      </w:divBdr>
    </w:div>
    <w:div w:id="830678266">
      <w:bodyDiv w:val="1"/>
      <w:marLeft w:val="0"/>
      <w:marRight w:val="0"/>
      <w:marTop w:val="0"/>
      <w:marBottom w:val="0"/>
      <w:divBdr>
        <w:top w:val="none" w:sz="0" w:space="0" w:color="auto"/>
        <w:left w:val="none" w:sz="0" w:space="0" w:color="auto"/>
        <w:bottom w:val="none" w:sz="0" w:space="0" w:color="auto"/>
        <w:right w:val="none" w:sz="0" w:space="0" w:color="auto"/>
      </w:divBdr>
    </w:div>
    <w:div w:id="831218945">
      <w:bodyDiv w:val="1"/>
      <w:marLeft w:val="0"/>
      <w:marRight w:val="0"/>
      <w:marTop w:val="0"/>
      <w:marBottom w:val="0"/>
      <w:divBdr>
        <w:top w:val="none" w:sz="0" w:space="0" w:color="auto"/>
        <w:left w:val="none" w:sz="0" w:space="0" w:color="auto"/>
        <w:bottom w:val="none" w:sz="0" w:space="0" w:color="auto"/>
        <w:right w:val="none" w:sz="0" w:space="0" w:color="auto"/>
      </w:divBdr>
    </w:div>
    <w:div w:id="831481369">
      <w:bodyDiv w:val="1"/>
      <w:marLeft w:val="0"/>
      <w:marRight w:val="0"/>
      <w:marTop w:val="0"/>
      <w:marBottom w:val="0"/>
      <w:divBdr>
        <w:top w:val="none" w:sz="0" w:space="0" w:color="auto"/>
        <w:left w:val="none" w:sz="0" w:space="0" w:color="auto"/>
        <w:bottom w:val="none" w:sz="0" w:space="0" w:color="auto"/>
        <w:right w:val="none" w:sz="0" w:space="0" w:color="auto"/>
      </w:divBdr>
    </w:div>
    <w:div w:id="831599957">
      <w:bodyDiv w:val="1"/>
      <w:marLeft w:val="0"/>
      <w:marRight w:val="0"/>
      <w:marTop w:val="0"/>
      <w:marBottom w:val="0"/>
      <w:divBdr>
        <w:top w:val="none" w:sz="0" w:space="0" w:color="auto"/>
        <w:left w:val="none" w:sz="0" w:space="0" w:color="auto"/>
        <w:bottom w:val="none" w:sz="0" w:space="0" w:color="auto"/>
        <w:right w:val="none" w:sz="0" w:space="0" w:color="auto"/>
      </w:divBdr>
    </w:div>
    <w:div w:id="831679525">
      <w:bodyDiv w:val="1"/>
      <w:marLeft w:val="0"/>
      <w:marRight w:val="0"/>
      <w:marTop w:val="0"/>
      <w:marBottom w:val="0"/>
      <w:divBdr>
        <w:top w:val="none" w:sz="0" w:space="0" w:color="auto"/>
        <w:left w:val="none" w:sz="0" w:space="0" w:color="auto"/>
        <w:bottom w:val="none" w:sz="0" w:space="0" w:color="auto"/>
        <w:right w:val="none" w:sz="0" w:space="0" w:color="auto"/>
      </w:divBdr>
    </w:div>
    <w:div w:id="831874778">
      <w:bodyDiv w:val="1"/>
      <w:marLeft w:val="0"/>
      <w:marRight w:val="0"/>
      <w:marTop w:val="0"/>
      <w:marBottom w:val="0"/>
      <w:divBdr>
        <w:top w:val="none" w:sz="0" w:space="0" w:color="auto"/>
        <w:left w:val="none" w:sz="0" w:space="0" w:color="auto"/>
        <w:bottom w:val="none" w:sz="0" w:space="0" w:color="auto"/>
        <w:right w:val="none" w:sz="0" w:space="0" w:color="auto"/>
      </w:divBdr>
    </w:div>
    <w:div w:id="831988285">
      <w:bodyDiv w:val="1"/>
      <w:marLeft w:val="0"/>
      <w:marRight w:val="0"/>
      <w:marTop w:val="0"/>
      <w:marBottom w:val="0"/>
      <w:divBdr>
        <w:top w:val="none" w:sz="0" w:space="0" w:color="auto"/>
        <w:left w:val="none" w:sz="0" w:space="0" w:color="auto"/>
        <w:bottom w:val="none" w:sz="0" w:space="0" w:color="auto"/>
        <w:right w:val="none" w:sz="0" w:space="0" w:color="auto"/>
      </w:divBdr>
    </w:div>
    <w:div w:id="832599071">
      <w:bodyDiv w:val="1"/>
      <w:marLeft w:val="0"/>
      <w:marRight w:val="0"/>
      <w:marTop w:val="0"/>
      <w:marBottom w:val="0"/>
      <w:divBdr>
        <w:top w:val="none" w:sz="0" w:space="0" w:color="auto"/>
        <w:left w:val="none" w:sz="0" w:space="0" w:color="auto"/>
        <w:bottom w:val="none" w:sz="0" w:space="0" w:color="auto"/>
        <w:right w:val="none" w:sz="0" w:space="0" w:color="auto"/>
      </w:divBdr>
    </w:div>
    <w:div w:id="833954922">
      <w:bodyDiv w:val="1"/>
      <w:marLeft w:val="0"/>
      <w:marRight w:val="0"/>
      <w:marTop w:val="0"/>
      <w:marBottom w:val="0"/>
      <w:divBdr>
        <w:top w:val="none" w:sz="0" w:space="0" w:color="auto"/>
        <w:left w:val="none" w:sz="0" w:space="0" w:color="auto"/>
        <w:bottom w:val="none" w:sz="0" w:space="0" w:color="auto"/>
        <w:right w:val="none" w:sz="0" w:space="0" w:color="auto"/>
      </w:divBdr>
    </w:div>
    <w:div w:id="834036131">
      <w:bodyDiv w:val="1"/>
      <w:marLeft w:val="0"/>
      <w:marRight w:val="0"/>
      <w:marTop w:val="0"/>
      <w:marBottom w:val="0"/>
      <w:divBdr>
        <w:top w:val="none" w:sz="0" w:space="0" w:color="auto"/>
        <w:left w:val="none" w:sz="0" w:space="0" w:color="auto"/>
        <w:bottom w:val="none" w:sz="0" w:space="0" w:color="auto"/>
        <w:right w:val="none" w:sz="0" w:space="0" w:color="auto"/>
      </w:divBdr>
    </w:div>
    <w:div w:id="836187049">
      <w:bodyDiv w:val="1"/>
      <w:marLeft w:val="0"/>
      <w:marRight w:val="0"/>
      <w:marTop w:val="0"/>
      <w:marBottom w:val="0"/>
      <w:divBdr>
        <w:top w:val="none" w:sz="0" w:space="0" w:color="auto"/>
        <w:left w:val="none" w:sz="0" w:space="0" w:color="auto"/>
        <w:bottom w:val="none" w:sz="0" w:space="0" w:color="auto"/>
        <w:right w:val="none" w:sz="0" w:space="0" w:color="auto"/>
      </w:divBdr>
    </w:div>
    <w:div w:id="837310558">
      <w:bodyDiv w:val="1"/>
      <w:marLeft w:val="0"/>
      <w:marRight w:val="0"/>
      <w:marTop w:val="0"/>
      <w:marBottom w:val="0"/>
      <w:divBdr>
        <w:top w:val="none" w:sz="0" w:space="0" w:color="auto"/>
        <w:left w:val="none" w:sz="0" w:space="0" w:color="auto"/>
        <w:bottom w:val="none" w:sz="0" w:space="0" w:color="auto"/>
        <w:right w:val="none" w:sz="0" w:space="0" w:color="auto"/>
      </w:divBdr>
    </w:div>
    <w:div w:id="837385418">
      <w:bodyDiv w:val="1"/>
      <w:marLeft w:val="0"/>
      <w:marRight w:val="0"/>
      <w:marTop w:val="0"/>
      <w:marBottom w:val="0"/>
      <w:divBdr>
        <w:top w:val="none" w:sz="0" w:space="0" w:color="auto"/>
        <w:left w:val="none" w:sz="0" w:space="0" w:color="auto"/>
        <w:bottom w:val="none" w:sz="0" w:space="0" w:color="auto"/>
        <w:right w:val="none" w:sz="0" w:space="0" w:color="auto"/>
      </w:divBdr>
    </w:div>
    <w:div w:id="838810872">
      <w:bodyDiv w:val="1"/>
      <w:marLeft w:val="0"/>
      <w:marRight w:val="0"/>
      <w:marTop w:val="0"/>
      <w:marBottom w:val="0"/>
      <w:divBdr>
        <w:top w:val="none" w:sz="0" w:space="0" w:color="auto"/>
        <w:left w:val="none" w:sz="0" w:space="0" w:color="auto"/>
        <w:bottom w:val="none" w:sz="0" w:space="0" w:color="auto"/>
        <w:right w:val="none" w:sz="0" w:space="0" w:color="auto"/>
      </w:divBdr>
    </w:div>
    <w:div w:id="839393193">
      <w:bodyDiv w:val="1"/>
      <w:marLeft w:val="0"/>
      <w:marRight w:val="0"/>
      <w:marTop w:val="0"/>
      <w:marBottom w:val="0"/>
      <w:divBdr>
        <w:top w:val="none" w:sz="0" w:space="0" w:color="auto"/>
        <w:left w:val="none" w:sz="0" w:space="0" w:color="auto"/>
        <w:bottom w:val="none" w:sz="0" w:space="0" w:color="auto"/>
        <w:right w:val="none" w:sz="0" w:space="0" w:color="auto"/>
      </w:divBdr>
    </w:div>
    <w:div w:id="839734781">
      <w:bodyDiv w:val="1"/>
      <w:marLeft w:val="0"/>
      <w:marRight w:val="0"/>
      <w:marTop w:val="0"/>
      <w:marBottom w:val="0"/>
      <w:divBdr>
        <w:top w:val="none" w:sz="0" w:space="0" w:color="auto"/>
        <w:left w:val="none" w:sz="0" w:space="0" w:color="auto"/>
        <w:bottom w:val="none" w:sz="0" w:space="0" w:color="auto"/>
        <w:right w:val="none" w:sz="0" w:space="0" w:color="auto"/>
      </w:divBdr>
    </w:div>
    <w:div w:id="840124163">
      <w:bodyDiv w:val="1"/>
      <w:marLeft w:val="0"/>
      <w:marRight w:val="0"/>
      <w:marTop w:val="0"/>
      <w:marBottom w:val="0"/>
      <w:divBdr>
        <w:top w:val="none" w:sz="0" w:space="0" w:color="auto"/>
        <w:left w:val="none" w:sz="0" w:space="0" w:color="auto"/>
        <w:bottom w:val="none" w:sz="0" w:space="0" w:color="auto"/>
        <w:right w:val="none" w:sz="0" w:space="0" w:color="auto"/>
      </w:divBdr>
    </w:div>
    <w:div w:id="840124242">
      <w:bodyDiv w:val="1"/>
      <w:marLeft w:val="0"/>
      <w:marRight w:val="0"/>
      <w:marTop w:val="0"/>
      <w:marBottom w:val="0"/>
      <w:divBdr>
        <w:top w:val="none" w:sz="0" w:space="0" w:color="auto"/>
        <w:left w:val="none" w:sz="0" w:space="0" w:color="auto"/>
        <w:bottom w:val="none" w:sz="0" w:space="0" w:color="auto"/>
        <w:right w:val="none" w:sz="0" w:space="0" w:color="auto"/>
      </w:divBdr>
    </w:div>
    <w:div w:id="840126576">
      <w:bodyDiv w:val="1"/>
      <w:marLeft w:val="0"/>
      <w:marRight w:val="0"/>
      <w:marTop w:val="0"/>
      <w:marBottom w:val="0"/>
      <w:divBdr>
        <w:top w:val="none" w:sz="0" w:space="0" w:color="auto"/>
        <w:left w:val="none" w:sz="0" w:space="0" w:color="auto"/>
        <w:bottom w:val="none" w:sz="0" w:space="0" w:color="auto"/>
        <w:right w:val="none" w:sz="0" w:space="0" w:color="auto"/>
      </w:divBdr>
    </w:div>
    <w:div w:id="840314182">
      <w:bodyDiv w:val="1"/>
      <w:marLeft w:val="0"/>
      <w:marRight w:val="0"/>
      <w:marTop w:val="0"/>
      <w:marBottom w:val="0"/>
      <w:divBdr>
        <w:top w:val="none" w:sz="0" w:space="0" w:color="auto"/>
        <w:left w:val="none" w:sz="0" w:space="0" w:color="auto"/>
        <w:bottom w:val="none" w:sz="0" w:space="0" w:color="auto"/>
        <w:right w:val="none" w:sz="0" w:space="0" w:color="auto"/>
      </w:divBdr>
    </w:div>
    <w:div w:id="840656469">
      <w:bodyDiv w:val="1"/>
      <w:marLeft w:val="0"/>
      <w:marRight w:val="0"/>
      <w:marTop w:val="0"/>
      <w:marBottom w:val="0"/>
      <w:divBdr>
        <w:top w:val="none" w:sz="0" w:space="0" w:color="auto"/>
        <w:left w:val="none" w:sz="0" w:space="0" w:color="auto"/>
        <w:bottom w:val="none" w:sz="0" w:space="0" w:color="auto"/>
        <w:right w:val="none" w:sz="0" w:space="0" w:color="auto"/>
      </w:divBdr>
    </w:div>
    <w:div w:id="840970349">
      <w:bodyDiv w:val="1"/>
      <w:marLeft w:val="0"/>
      <w:marRight w:val="0"/>
      <w:marTop w:val="0"/>
      <w:marBottom w:val="0"/>
      <w:divBdr>
        <w:top w:val="none" w:sz="0" w:space="0" w:color="auto"/>
        <w:left w:val="none" w:sz="0" w:space="0" w:color="auto"/>
        <w:bottom w:val="none" w:sz="0" w:space="0" w:color="auto"/>
        <w:right w:val="none" w:sz="0" w:space="0" w:color="auto"/>
      </w:divBdr>
    </w:div>
    <w:div w:id="841505286">
      <w:bodyDiv w:val="1"/>
      <w:marLeft w:val="0"/>
      <w:marRight w:val="0"/>
      <w:marTop w:val="0"/>
      <w:marBottom w:val="0"/>
      <w:divBdr>
        <w:top w:val="none" w:sz="0" w:space="0" w:color="auto"/>
        <w:left w:val="none" w:sz="0" w:space="0" w:color="auto"/>
        <w:bottom w:val="none" w:sz="0" w:space="0" w:color="auto"/>
        <w:right w:val="none" w:sz="0" w:space="0" w:color="auto"/>
      </w:divBdr>
    </w:div>
    <w:div w:id="842165172">
      <w:bodyDiv w:val="1"/>
      <w:marLeft w:val="0"/>
      <w:marRight w:val="0"/>
      <w:marTop w:val="0"/>
      <w:marBottom w:val="0"/>
      <w:divBdr>
        <w:top w:val="none" w:sz="0" w:space="0" w:color="auto"/>
        <w:left w:val="none" w:sz="0" w:space="0" w:color="auto"/>
        <w:bottom w:val="none" w:sz="0" w:space="0" w:color="auto"/>
        <w:right w:val="none" w:sz="0" w:space="0" w:color="auto"/>
      </w:divBdr>
    </w:div>
    <w:div w:id="843399927">
      <w:bodyDiv w:val="1"/>
      <w:marLeft w:val="0"/>
      <w:marRight w:val="0"/>
      <w:marTop w:val="0"/>
      <w:marBottom w:val="0"/>
      <w:divBdr>
        <w:top w:val="none" w:sz="0" w:space="0" w:color="auto"/>
        <w:left w:val="none" w:sz="0" w:space="0" w:color="auto"/>
        <w:bottom w:val="none" w:sz="0" w:space="0" w:color="auto"/>
        <w:right w:val="none" w:sz="0" w:space="0" w:color="auto"/>
      </w:divBdr>
    </w:div>
    <w:div w:id="843401105">
      <w:bodyDiv w:val="1"/>
      <w:marLeft w:val="0"/>
      <w:marRight w:val="0"/>
      <w:marTop w:val="0"/>
      <w:marBottom w:val="0"/>
      <w:divBdr>
        <w:top w:val="none" w:sz="0" w:space="0" w:color="auto"/>
        <w:left w:val="none" w:sz="0" w:space="0" w:color="auto"/>
        <w:bottom w:val="none" w:sz="0" w:space="0" w:color="auto"/>
        <w:right w:val="none" w:sz="0" w:space="0" w:color="auto"/>
      </w:divBdr>
      <w:divsChild>
        <w:div w:id="1112212938">
          <w:marLeft w:val="480"/>
          <w:marRight w:val="0"/>
          <w:marTop w:val="0"/>
          <w:marBottom w:val="0"/>
          <w:divBdr>
            <w:top w:val="none" w:sz="0" w:space="0" w:color="auto"/>
            <w:left w:val="none" w:sz="0" w:space="0" w:color="auto"/>
            <w:bottom w:val="none" w:sz="0" w:space="0" w:color="auto"/>
            <w:right w:val="none" w:sz="0" w:space="0" w:color="auto"/>
          </w:divBdr>
        </w:div>
        <w:div w:id="628583604">
          <w:marLeft w:val="480"/>
          <w:marRight w:val="0"/>
          <w:marTop w:val="0"/>
          <w:marBottom w:val="0"/>
          <w:divBdr>
            <w:top w:val="none" w:sz="0" w:space="0" w:color="auto"/>
            <w:left w:val="none" w:sz="0" w:space="0" w:color="auto"/>
            <w:bottom w:val="none" w:sz="0" w:space="0" w:color="auto"/>
            <w:right w:val="none" w:sz="0" w:space="0" w:color="auto"/>
          </w:divBdr>
        </w:div>
        <w:div w:id="757211738">
          <w:marLeft w:val="480"/>
          <w:marRight w:val="0"/>
          <w:marTop w:val="0"/>
          <w:marBottom w:val="0"/>
          <w:divBdr>
            <w:top w:val="none" w:sz="0" w:space="0" w:color="auto"/>
            <w:left w:val="none" w:sz="0" w:space="0" w:color="auto"/>
            <w:bottom w:val="none" w:sz="0" w:space="0" w:color="auto"/>
            <w:right w:val="none" w:sz="0" w:space="0" w:color="auto"/>
          </w:divBdr>
        </w:div>
        <w:div w:id="1688404115">
          <w:marLeft w:val="480"/>
          <w:marRight w:val="0"/>
          <w:marTop w:val="0"/>
          <w:marBottom w:val="0"/>
          <w:divBdr>
            <w:top w:val="none" w:sz="0" w:space="0" w:color="auto"/>
            <w:left w:val="none" w:sz="0" w:space="0" w:color="auto"/>
            <w:bottom w:val="none" w:sz="0" w:space="0" w:color="auto"/>
            <w:right w:val="none" w:sz="0" w:space="0" w:color="auto"/>
          </w:divBdr>
        </w:div>
        <w:div w:id="1627467550">
          <w:marLeft w:val="480"/>
          <w:marRight w:val="0"/>
          <w:marTop w:val="0"/>
          <w:marBottom w:val="0"/>
          <w:divBdr>
            <w:top w:val="none" w:sz="0" w:space="0" w:color="auto"/>
            <w:left w:val="none" w:sz="0" w:space="0" w:color="auto"/>
            <w:bottom w:val="none" w:sz="0" w:space="0" w:color="auto"/>
            <w:right w:val="none" w:sz="0" w:space="0" w:color="auto"/>
          </w:divBdr>
        </w:div>
        <w:div w:id="1960792938">
          <w:marLeft w:val="480"/>
          <w:marRight w:val="0"/>
          <w:marTop w:val="0"/>
          <w:marBottom w:val="0"/>
          <w:divBdr>
            <w:top w:val="none" w:sz="0" w:space="0" w:color="auto"/>
            <w:left w:val="none" w:sz="0" w:space="0" w:color="auto"/>
            <w:bottom w:val="none" w:sz="0" w:space="0" w:color="auto"/>
            <w:right w:val="none" w:sz="0" w:space="0" w:color="auto"/>
          </w:divBdr>
        </w:div>
        <w:div w:id="1775049313">
          <w:marLeft w:val="480"/>
          <w:marRight w:val="0"/>
          <w:marTop w:val="0"/>
          <w:marBottom w:val="0"/>
          <w:divBdr>
            <w:top w:val="none" w:sz="0" w:space="0" w:color="auto"/>
            <w:left w:val="none" w:sz="0" w:space="0" w:color="auto"/>
            <w:bottom w:val="none" w:sz="0" w:space="0" w:color="auto"/>
            <w:right w:val="none" w:sz="0" w:space="0" w:color="auto"/>
          </w:divBdr>
        </w:div>
        <w:div w:id="3166124">
          <w:marLeft w:val="480"/>
          <w:marRight w:val="0"/>
          <w:marTop w:val="0"/>
          <w:marBottom w:val="0"/>
          <w:divBdr>
            <w:top w:val="none" w:sz="0" w:space="0" w:color="auto"/>
            <w:left w:val="none" w:sz="0" w:space="0" w:color="auto"/>
            <w:bottom w:val="none" w:sz="0" w:space="0" w:color="auto"/>
            <w:right w:val="none" w:sz="0" w:space="0" w:color="auto"/>
          </w:divBdr>
        </w:div>
        <w:div w:id="2048219332">
          <w:marLeft w:val="480"/>
          <w:marRight w:val="0"/>
          <w:marTop w:val="0"/>
          <w:marBottom w:val="0"/>
          <w:divBdr>
            <w:top w:val="none" w:sz="0" w:space="0" w:color="auto"/>
            <w:left w:val="none" w:sz="0" w:space="0" w:color="auto"/>
            <w:bottom w:val="none" w:sz="0" w:space="0" w:color="auto"/>
            <w:right w:val="none" w:sz="0" w:space="0" w:color="auto"/>
          </w:divBdr>
        </w:div>
        <w:div w:id="1854684407">
          <w:marLeft w:val="480"/>
          <w:marRight w:val="0"/>
          <w:marTop w:val="0"/>
          <w:marBottom w:val="0"/>
          <w:divBdr>
            <w:top w:val="none" w:sz="0" w:space="0" w:color="auto"/>
            <w:left w:val="none" w:sz="0" w:space="0" w:color="auto"/>
            <w:bottom w:val="none" w:sz="0" w:space="0" w:color="auto"/>
            <w:right w:val="none" w:sz="0" w:space="0" w:color="auto"/>
          </w:divBdr>
        </w:div>
        <w:div w:id="280841399">
          <w:marLeft w:val="480"/>
          <w:marRight w:val="0"/>
          <w:marTop w:val="0"/>
          <w:marBottom w:val="0"/>
          <w:divBdr>
            <w:top w:val="none" w:sz="0" w:space="0" w:color="auto"/>
            <w:left w:val="none" w:sz="0" w:space="0" w:color="auto"/>
            <w:bottom w:val="none" w:sz="0" w:space="0" w:color="auto"/>
            <w:right w:val="none" w:sz="0" w:space="0" w:color="auto"/>
          </w:divBdr>
        </w:div>
        <w:div w:id="1370448290">
          <w:marLeft w:val="480"/>
          <w:marRight w:val="0"/>
          <w:marTop w:val="0"/>
          <w:marBottom w:val="0"/>
          <w:divBdr>
            <w:top w:val="none" w:sz="0" w:space="0" w:color="auto"/>
            <w:left w:val="none" w:sz="0" w:space="0" w:color="auto"/>
            <w:bottom w:val="none" w:sz="0" w:space="0" w:color="auto"/>
            <w:right w:val="none" w:sz="0" w:space="0" w:color="auto"/>
          </w:divBdr>
        </w:div>
        <w:div w:id="2027705188">
          <w:marLeft w:val="480"/>
          <w:marRight w:val="0"/>
          <w:marTop w:val="0"/>
          <w:marBottom w:val="0"/>
          <w:divBdr>
            <w:top w:val="none" w:sz="0" w:space="0" w:color="auto"/>
            <w:left w:val="none" w:sz="0" w:space="0" w:color="auto"/>
            <w:bottom w:val="none" w:sz="0" w:space="0" w:color="auto"/>
            <w:right w:val="none" w:sz="0" w:space="0" w:color="auto"/>
          </w:divBdr>
        </w:div>
        <w:div w:id="1028874092">
          <w:marLeft w:val="480"/>
          <w:marRight w:val="0"/>
          <w:marTop w:val="0"/>
          <w:marBottom w:val="0"/>
          <w:divBdr>
            <w:top w:val="none" w:sz="0" w:space="0" w:color="auto"/>
            <w:left w:val="none" w:sz="0" w:space="0" w:color="auto"/>
            <w:bottom w:val="none" w:sz="0" w:space="0" w:color="auto"/>
            <w:right w:val="none" w:sz="0" w:space="0" w:color="auto"/>
          </w:divBdr>
        </w:div>
        <w:div w:id="522017039">
          <w:marLeft w:val="480"/>
          <w:marRight w:val="0"/>
          <w:marTop w:val="0"/>
          <w:marBottom w:val="0"/>
          <w:divBdr>
            <w:top w:val="none" w:sz="0" w:space="0" w:color="auto"/>
            <w:left w:val="none" w:sz="0" w:space="0" w:color="auto"/>
            <w:bottom w:val="none" w:sz="0" w:space="0" w:color="auto"/>
            <w:right w:val="none" w:sz="0" w:space="0" w:color="auto"/>
          </w:divBdr>
        </w:div>
        <w:div w:id="2108843559">
          <w:marLeft w:val="480"/>
          <w:marRight w:val="0"/>
          <w:marTop w:val="0"/>
          <w:marBottom w:val="0"/>
          <w:divBdr>
            <w:top w:val="none" w:sz="0" w:space="0" w:color="auto"/>
            <w:left w:val="none" w:sz="0" w:space="0" w:color="auto"/>
            <w:bottom w:val="none" w:sz="0" w:space="0" w:color="auto"/>
            <w:right w:val="none" w:sz="0" w:space="0" w:color="auto"/>
          </w:divBdr>
        </w:div>
        <w:div w:id="11763658">
          <w:marLeft w:val="480"/>
          <w:marRight w:val="0"/>
          <w:marTop w:val="0"/>
          <w:marBottom w:val="0"/>
          <w:divBdr>
            <w:top w:val="none" w:sz="0" w:space="0" w:color="auto"/>
            <w:left w:val="none" w:sz="0" w:space="0" w:color="auto"/>
            <w:bottom w:val="none" w:sz="0" w:space="0" w:color="auto"/>
            <w:right w:val="none" w:sz="0" w:space="0" w:color="auto"/>
          </w:divBdr>
        </w:div>
        <w:div w:id="1200363446">
          <w:marLeft w:val="480"/>
          <w:marRight w:val="0"/>
          <w:marTop w:val="0"/>
          <w:marBottom w:val="0"/>
          <w:divBdr>
            <w:top w:val="none" w:sz="0" w:space="0" w:color="auto"/>
            <w:left w:val="none" w:sz="0" w:space="0" w:color="auto"/>
            <w:bottom w:val="none" w:sz="0" w:space="0" w:color="auto"/>
            <w:right w:val="none" w:sz="0" w:space="0" w:color="auto"/>
          </w:divBdr>
        </w:div>
        <w:div w:id="1338314777">
          <w:marLeft w:val="480"/>
          <w:marRight w:val="0"/>
          <w:marTop w:val="0"/>
          <w:marBottom w:val="0"/>
          <w:divBdr>
            <w:top w:val="none" w:sz="0" w:space="0" w:color="auto"/>
            <w:left w:val="none" w:sz="0" w:space="0" w:color="auto"/>
            <w:bottom w:val="none" w:sz="0" w:space="0" w:color="auto"/>
            <w:right w:val="none" w:sz="0" w:space="0" w:color="auto"/>
          </w:divBdr>
        </w:div>
        <w:div w:id="911545446">
          <w:marLeft w:val="480"/>
          <w:marRight w:val="0"/>
          <w:marTop w:val="0"/>
          <w:marBottom w:val="0"/>
          <w:divBdr>
            <w:top w:val="none" w:sz="0" w:space="0" w:color="auto"/>
            <w:left w:val="none" w:sz="0" w:space="0" w:color="auto"/>
            <w:bottom w:val="none" w:sz="0" w:space="0" w:color="auto"/>
            <w:right w:val="none" w:sz="0" w:space="0" w:color="auto"/>
          </w:divBdr>
        </w:div>
        <w:div w:id="1953004165">
          <w:marLeft w:val="480"/>
          <w:marRight w:val="0"/>
          <w:marTop w:val="0"/>
          <w:marBottom w:val="0"/>
          <w:divBdr>
            <w:top w:val="none" w:sz="0" w:space="0" w:color="auto"/>
            <w:left w:val="none" w:sz="0" w:space="0" w:color="auto"/>
            <w:bottom w:val="none" w:sz="0" w:space="0" w:color="auto"/>
            <w:right w:val="none" w:sz="0" w:space="0" w:color="auto"/>
          </w:divBdr>
        </w:div>
        <w:div w:id="316107379">
          <w:marLeft w:val="480"/>
          <w:marRight w:val="0"/>
          <w:marTop w:val="0"/>
          <w:marBottom w:val="0"/>
          <w:divBdr>
            <w:top w:val="none" w:sz="0" w:space="0" w:color="auto"/>
            <w:left w:val="none" w:sz="0" w:space="0" w:color="auto"/>
            <w:bottom w:val="none" w:sz="0" w:space="0" w:color="auto"/>
            <w:right w:val="none" w:sz="0" w:space="0" w:color="auto"/>
          </w:divBdr>
        </w:div>
        <w:div w:id="599677108">
          <w:marLeft w:val="480"/>
          <w:marRight w:val="0"/>
          <w:marTop w:val="0"/>
          <w:marBottom w:val="0"/>
          <w:divBdr>
            <w:top w:val="none" w:sz="0" w:space="0" w:color="auto"/>
            <w:left w:val="none" w:sz="0" w:space="0" w:color="auto"/>
            <w:bottom w:val="none" w:sz="0" w:space="0" w:color="auto"/>
            <w:right w:val="none" w:sz="0" w:space="0" w:color="auto"/>
          </w:divBdr>
        </w:div>
        <w:div w:id="2133359575">
          <w:marLeft w:val="480"/>
          <w:marRight w:val="0"/>
          <w:marTop w:val="0"/>
          <w:marBottom w:val="0"/>
          <w:divBdr>
            <w:top w:val="none" w:sz="0" w:space="0" w:color="auto"/>
            <w:left w:val="none" w:sz="0" w:space="0" w:color="auto"/>
            <w:bottom w:val="none" w:sz="0" w:space="0" w:color="auto"/>
            <w:right w:val="none" w:sz="0" w:space="0" w:color="auto"/>
          </w:divBdr>
        </w:div>
        <w:div w:id="314141693">
          <w:marLeft w:val="480"/>
          <w:marRight w:val="0"/>
          <w:marTop w:val="0"/>
          <w:marBottom w:val="0"/>
          <w:divBdr>
            <w:top w:val="none" w:sz="0" w:space="0" w:color="auto"/>
            <w:left w:val="none" w:sz="0" w:space="0" w:color="auto"/>
            <w:bottom w:val="none" w:sz="0" w:space="0" w:color="auto"/>
            <w:right w:val="none" w:sz="0" w:space="0" w:color="auto"/>
          </w:divBdr>
        </w:div>
        <w:div w:id="1118640097">
          <w:marLeft w:val="480"/>
          <w:marRight w:val="0"/>
          <w:marTop w:val="0"/>
          <w:marBottom w:val="0"/>
          <w:divBdr>
            <w:top w:val="none" w:sz="0" w:space="0" w:color="auto"/>
            <w:left w:val="none" w:sz="0" w:space="0" w:color="auto"/>
            <w:bottom w:val="none" w:sz="0" w:space="0" w:color="auto"/>
            <w:right w:val="none" w:sz="0" w:space="0" w:color="auto"/>
          </w:divBdr>
        </w:div>
        <w:div w:id="892739692">
          <w:marLeft w:val="480"/>
          <w:marRight w:val="0"/>
          <w:marTop w:val="0"/>
          <w:marBottom w:val="0"/>
          <w:divBdr>
            <w:top w:val="none" w:sz="0" w:space="0" w:color="auto"/>
            <w:left w:val="none" w:sz="0" w:space="0" w:color="auto"/>
            <w:bottom w:val="none" w:sz="0" w:space="0" w:color="auto"/>
            <w:right w:val="none" w:sz="0" w:space="0" w:color="auto"/>
          </w:divBdr>
        </w:div>
        <w:div w:id="1924797236">
          <w:marLeft w:val="480"/>
          <w:marRight w:val="0"/>
          <w:marTop w:val="0"/>
          <w:marBottom w:val="0"/>
          <w:divBdr>
            <w:top w:val="none" w:sz="0" w:space="0" w:color="auto"/>
            <w:left w:val="none" w:sz="0" w:space="0" w:color="auto"/>
            <w:bottom w:val="none" w:sz="0" w:space="0" w:color="auto"/>
            <w:right w:val="none" w:sz="0" w:space="0" w:color="auto"/>
          </w:divBdr>
        </w:div>
        <w:div w:id="1925140400">
          <w:marLeft w:val="480"/>
          <w:marRight w:val="0"/>
          <w:marTop w:val="0"/>
          <w:marBottom w:val="0"/>
          <w:divBdr>
            <w:top w:val="none" w:sz="0" w:space="0" w:color="auto"/>
            <w:left w:val="none" w:sz="0" w:space="0" w:color="auto"/>
            <w:bottom w:val="none" w:sz="0" w:space="0" w:color="auto"/>
            <w:right w:val="none" w:sz="0" w:space="0" w:color="auto"/>
          </w:divBdr>
        </w:div>
        <w:div w:id="2023124586">
          <w:marLeft w:val="480"/>
          <w:marRight w:val="0"/>
          <w:marTop w:val="0"/>
          <w:marBottom w:val="0"/>
          <w:divBdr>
            <w:top w:val="none" w:sz="0" w:space="0" w:color="auto"/>
            <w:left w:val="none" w:sz="0" w:space="0" w:color="auto"/>
            <w:bottom w:val="none" w:sz="0" w:space="0" w:color="auto"/>
            <w:right w:val="none" w:sz="0" w:space="0" w:color="auto"/>
          </w:divBdr>
        </w:div>
        <w:div w:id="333729852">
          <w:marLeft w:val="480"/>
          <w:marRight w:val="0"/>
          <w:marTop w:val="0"/>
          <w:marBottom w:val="0"/>
          <w:divBdr>
            <w:top w:val="none" w:sz="0" w:space="0" w:color="auto"/>
            <w:left w:val="none" w:sz="0" w:space="0" w:color="auto"/>
            <w:bottom w:val="none" w:sz="0" w:space="0" w:color="auto"/>
            <w:right w:val="none" w:sz="0" w:space="0" w:color="auto"/>
          </w:divBdr>
        </w:div>
        <w:div w:id="694890564">
          <w:marLeft w:val="480"/>
          <w:marRight w:val="0"/>
          <w:marTop w:val="0"/>
          <w:marBottom w:val="0"/>
          <w:divBdr>
            <w:top w:val="none" w:sz="0" w:space="0" w:color="auto"/>
            <w:left w:val="none" w:sz="0" w:space="0" w:color="auto"/>
            <w:bottom w:val="none" w:sz="0" w:space="0" w:color="auto"/>
            <w:right w:val="none" w:sz="0" w:space="0" w:color="auto"/>
          </w:divBdr>
        </w:div>
        <w:div w:id="78672737">
          <w:marLeft w:val="480"/>
          <w:marRight w:val="0"/>
          <w:marTop w:val="0"/>
          <w:marBottom w:val="0"/>
          <w:divBdr>
            <w:top w:val="none" w:sz="0" w:space="0" w:color="auto"/>
            <w:left w:val="none" w:sz="0" w:space="0" w:color="auto"/>
            <w:bottom w:val="none" w:sz="0" w:space="0" w:color="auto"/>
            <w:right w:val="none" w:sz="0" w:space="0" w:color="auto"/>
          </w:divBdr>
        </w:div>
        <w:div w:id="1933930893">
          <w:marLeft w:val="480"/>
          <w:marRight w:val="0"/>
          <w:marTop w:val="0"/>
          <w:marBottom w:val="0"/>
          <w:divBdr>
            <w:top w:val="none" w:sz="0" w:space="0" w:color="auto"/>
            <w:left w:val="none" w:sz="0" w:space="0" w:color="auto"/>
            <w:bottom w:val="none" w:sz="0" w:space="0" w:color="auto"/>
            <w:right w:val="none" w:sz="0" w:space="0" w:color="auto"/>
          </w:divBdr>
        </w:div>
        <w:div w:id="1925338438">
          <w:marLeft w:val="480"/>
          <w:marRight w:val="0"/>
          <w:marTop w:val="0"/>
          <w:marBottom w:val="0"/>
          <w:divBdr>
            <w:top w:val="none" w:sz="0" w:space="0" w:color="auto"/>
            <w:left w:val="none" w:sz="0" w:space="0" w:color="auto"/>
            <w:bottom w:val="none" w:sz="0" w:space="0" w:color="auto"/>
            <w:right w:val="none" w:sz="0" w:space="0" w:color="auto"/>
          </w:divBdr>
        </w:div>
        <w:div w:id="2140880314">
          <w:marLeft w:val="480"/>
          <w:marRight w:val="0"/>
          <w:marTop w:val="0"/>
          <w:marBottom w:val="0"/>
          <w:divBdr>
            <w:top w:val="none" w:sz="0" w:space="0" w:color="auto"/>
            <w:left w:val="none" w:sz="0" w:space="0" w:color="auto"/>
            <w:bottom w:val="none" w:sz="0" w:space="0" w:color="auto"/>
            <w:right w:val="none" w:sz="0" w:space="0" w:color="auto"/>
          </w:divBdr>
        </w:div>
        <w:div w:id="1511673797">
          <w:marLeft w:val="480"/>
          <w:marRight w:val="0"/>
          <w:marTop w:val="0"/>
          <w:marBottom w:val="0"/>
          <w:divBdr>
            <w:top w:val="none" w:sz="0" w:space="0" w:color="auto"/>
            <w:left w:val="none" w:sz="0" w:space="0" w:color="auto"/>
            <w:bottom w:val="none" w:sz="0" w:space="0" w:color="auto"/>
            <w:right w:val="none" w:sz="0" w:space="0" w:color="auto"/>
          </w:divBdr>
        </w:div>
        <w:div w:id="20479624">
          <w:marLeft w:val="480"/>
          <w:marRight w:val="0"/>
          <w:marTop w:val="0"/>
          <w:marBottom w:val="0"/>
          <w:divBdr>
            <w:top w:val="none" w:sz="0" w:space="0" w:color="auto"/>
            <w:left w:val="none" w:sz="0" w:space="0" w:color="auto"/>
            <w:bottom w:val="none" w:sz="0" w:space="0" w:color="auto"/>
            <w:right w:val="none" w:sz="0" w:space="0" w:color="auto"/>
          </w:divBdr>
        </w:div>
        <w:div w:id="371879095">
          <w:marLeft w:val="480"/>
          <w:marRight w:val="0"/>
          <w:marTop w:val="0"/>
          <w:marBottom w:val="0"/>
          <w:divBdr>
            <w:top w:val="none" w:sz="0" w:space="0" w:color="auto"/>
            <w:left w:val="none" w:sz="0" w:space="0" w:color="auto"/>
            <w:bottom w:val="none" w:sz="0" w:space="0" w:color="auto"/>
            <w:right w:val="none" w:sz="0" w:space="0" w:color="auto"/>
          </w:divBdr>
        </w:div>
        <w:div w:id="1117800234">
          <w:marLeft w:val="480"/>
          <w:marRight w:val="0"/>
          <w:marTop w:val="0"/>
          <w:marBottom w:val="0"/>
          <w:divBdr>
            <w:top w:val="none" w:sz="0" w:space="0" w:color="auto"/>
            <w:left w:val="none" w:sz="0" w:space="0" w:color="auto"/>
            <w:bottom w:val="none" w:sz="0" w:space="0" w:color="auto"/>
            <w:right w:val="none" w:sz="0" w:space="0" w:color="auto"/>
          </w:divBdr>
        </w:div>
        <w:div w:id="1295521466">
          <w:marLeft w:val="480"/>
          <w:marRight w:val="0"/>
          <w:marTop w:val="0"/>
          <w:marBottom w:val="0"/>
          <w:divBdr>
            <w:top w:val="none" w:sz="0" w:space="0" w:color="auto"/>
            <w:left w:val="none" w:sz="0" w:space="0" w:color="auto"/>
            <w:bottom w:val="none" w:sz="0" w:space="0" w:color="auto"/>
            <w:right w:val="none" w:sz="0" w:space="0" w:color="auto"/>
          </w:divBdr>
        </w:div>
        <w:div w:id="884757575">
          <w:marLeft w:val="480"/>
          <w:marRight w:val="0"/>
          <w:marTop w:val="0"/>
          <w:marBottom w:val="0"/>
          <w:divBdr>
            <w:top w:val="none" w:sz="0" w:space="0" w:color="auto"/>
            <w:left w:val="none" w:sz="0" w:space="0" w:color="auto"/>
            <w:bottom w:val="none" w:sz="0" w:space="0" w:color="auto"/>
            <w:right w:val="none" w:sz="0" w:space="0" w:color="auto"/>
          </w:divBdr>
        </w:div>
        <w:div w:id="401680983">
          <w:marLeft w:val="480"/>
          <w:marRight w:val="0"/>
          <w:marTop w:val="0"/>
          <w:marBottom w:val="0"/>
          <w:divBdr>
            <w:top w:val="none" w:sz="0" w:space="0" w:color="auto"/>
            <w:left w:val="none" w:sz="0" w:space="0" w:color="auto"/>
            <w:bottom w:val="none" w:sz="0" w:space="0" w:color="auto"/>
            <w:right w:val="none" w:sz="0" w:space="0" w:color="auto"/>
          </w:divBdr>
        </w:div>
        <w:div w:id="1409498460">
          <w:marLeft w:val="480"/>
          <w:marRight w:val="0"/>
          <w:marTop w:val="0"/>
          <w:marBottom w:val="0"/>
          <w:divBdr>
            <w:top w:val="none" w:sz="0" w:space="0" w:color="auto"/>
            <w:left w:val="none" w:sz="0" w:space="0" w:color="auto"/>
            <w:bottom w:val="none" w:sz="0" w:space="0" w:color="auto"/>
            <w:right w:val="none" w:sz="0" w:space="0" w:color="auto"/>
          </w:divBdr>
        </w:div>
        <w:div w:id="560287226">
          <w:marLeft w:val="480"/>
          <w:marRight w:val="0"/>
          <w:marTop w:val="0"/>
          <w:marBottom w:val="0"/>
          <w:divBdr>
            <w:top w:val="none" w:sz="0" w:space="0" w:color="auto"/>
            <w:left w:val="none" w:sz="0" w:space="0" w:color="auto"/>
            <w:bottom w:val="none" w:sz="0" w:space="0" w:color="auto"/>
            <w:right w:val="none" w:sz="0" w:space="0" w:color="auto"/>
          </w:divBdr>
        </w:div>
        <w:div w:id="1798798154">
          <w:marLeft w:val="480"/>
          <w:marRight w:val="0"/>
          <w:marTop w:val="0"/>
          <w:marBottom w:val="0"/>
          <w:divBdr>
            <w:top w:val="none" w:sz="0" w:space="0" w:color="auto"/>
            <w:left w:val="none" w:sz="0" w:space="0" w:color="auto"/>
            <w:bottom w:val="none" w:sz="0" w:space="0" w:color="auto"/>
            <w:right w:val="none" w:sz="0" w:space="0" w:color="auto"/>
          </w:divBdr>
        </w:div>
        <w:div w:id="377166550">
          <w:marLeft w:val="480"/>
          <w:marRight w:val="0"/>
          <w:marTop w:val="0"/>
          <w:marBottom w:val="0"/>
          <w:divBdr>
            <w:top w:val="none" w:sz="0" w:space="0" w:color="auto"/>
            <w:left w:val="none" w:sz="0" w:space="0" w:color="auto"/>
            <w:bottom w:val="none" w:sz="0" w:space="0" w:color="auto"/>
            <w:right w:val="none" w:sz="0" w:space="0" w:color="auto"/>
          </w:divBdr>
        </w:div>
        <w:div w:id="1725640708">
          <w:marLeft w:val="480"/>
          <w:marRight w:val="0"/>
          <w:marTop w:val="0"/>
          <w:marBottom w:val="0"/>
          <w:divBdr>
            <w:top w:val="none" w:sz="0" w:space="0" w:color="auto"/>
            <w:left w:val="none" w:sz="0" w:space="0" w:color="auto"/>
            <w:bottom w:val="none" w:sz="0" w:space="0" w:color="auto"/>
            <w:right w:val="none" w:sz="0" w:space="0" w:color="auto"/>
          </w:divBdr>
        </w:div>
        <w:div w:id="1299413064">
          <w:marLeft w:val="480"/>
          <w:marRight w:val="0"/>
          <w:marTop w:val="0"/>
          <w:marBottom w:val="0"/>
          <w:divBdr>
            <w:top w:val="none" w:sz="0" w:space="0" w:color="auto"/>
            <w:left w:val="none" w:sz="0" w:space="0" w:color="auto"/>
            <w:bottom w:val="none" w:sz="0" w:space="0" w:color="auto"/>
            <w:right w:val="none" w:sz="0" w:space="0" w:color="auto"/>
          </w:divBdr>
        </w:div>
        <w:div w:id="417021819">
          <w:marLeft w:val="480"/>
          <w:marRight w:val="0"/>
          <w:marTop w:val="0"/>
          <w:marBottom w:val="0"/>
          <w:divBdr>
            <w:top w:val="none" w:sz="0" w:space="0" w:color="auto"/>
            <w:left w:val="none" w:sz="0" w:space="0" w:color="auto"/>
            <w:bottom w:val="none" w:sz="0" w:space="0" w:color="auto"/>
            <w:right w:val="none" w:sz="0" w:space="0" w:color="auto"/>
          </w:divBdr>
        </w:div>
        <w:div w:id="135270511">
          <w:marLeft w:val="480"/>
          <w:marRight w:val="0"/>
          <w:marTop w:val="0"/>
          <w:marBottom w:val="0"/>
          <w:divBdr>
            <w:top w:val="none" w:sz="0" w:space="0" w:color="auto"/>
            <w:left w:val="none" w:sz="0" w:space="0" w:color="auto"/>
            <w:bottom w:val="none" w:sz="0" w:space="0" w:color="auto"/>
            <w:right w:val="none" w:sz="0" w:space="0" w:color="auto"/>
          </w:divBdr>
        </w:div>
        <w:div w:id="659701833">
          <w:marLeft w:val="480"/>
          <w:marRight w:val="0"/>
          <w:marTop w:val="0"/>
          <w:marBottom w:val="0"/>
          <w:divBdr>
            <w:top w:val="none" w:sz="0" w:space="0" w:color="auto"/>
            <w:left w:val="none" w:sz="0" w:space="0" w:color="auto"/>
            <w:bottom w:val="none" w:sz="0" w:space="0" w:color="auto"/>
            <w:right w:val="none" w:sz="0" w:space="0" w:color="auto"/>
          </w:divBdr>
        </w:div>
        <w:div w:id="421025418">
          <w:marLeft w:val="480"/>
          <w:marRight w:val="0"/>
          <w:marTop w:val="0"/>
          <w:marBottom w:val="0"/>
          <w:divBdr>
            <w:top w:val="none" w:sz="0" w:space="0" w:color="auto"/>
            <w:left w:val="none" w:sz="0" w:space="0" w:color="auto"/>
            <w:bottom w:val="none" w:sz="0" w:space="0" w:color="auto"/>
            <w:right w:val="none" w:sz="0" w:space="0" w:color="auto"/>
          </w:divBdr>
        </w:div>
        <w:div w:id="1081953365">
          <w:marLeft w:val="480"/>
          <w:marRight w:val="0"/>
          <w:marTop w:val="0"/>
          <w:marBottom w:val="0"/>
          <w:divBdr>
            <w:top w:val="none" w:sz="0" w:space="0" w:color="auto"/>
            <w:left w:val="none" w:sz="0" w:space="0" w:color="auto"/>
            <w:bottom w:val="none" w:sz="0" w:space="0" w:color="auto"/>
            <w:right w:val="none" w:sz="0" w:space="0" w:color="auto"/>
          </w:divBdr>
        </w:div>
        <w:div w:id="1087766967">
          <w:marLeft w:val="480"/>
          <w:marRight w:val="0"/>
          <w:marTop w:val="0"/>
          <w:marBottom w:val="0"/>
          <w:divBdr>
            <w:top w:val="none" w:sz="0" w:space="0" w:color="auto"/>
            <w:left w:val="none" w:sz="0" w:space="0" w:color="auto"/>
            <w:bottom w:val="none" w:sz="0" w:space="0" w:color="auto"/>
            <w:right w:val="none" w:sz="0" w:space="0" w:color="auto"/>
          </w:divBdr>
        </w:div>
        <w:div w:id="2010448306">
          <w:marLeft w:val="480"/>
          <w:marRight w:val="0"/>
          <w:marTop w:val="0"/>
          <w:marBottom w:val="0"/>
          <w:divBdr>
            <w:top w:val="none" w:sz="0" w:space="0" w:color="auto"/>
            <w:left w:val="none" w:sz="0" w:space="0" w:color="auto"/>
            <w:bottom w:val="none" w:sz="0" w:space="0" w:color="auto"/>
            <w:right w:val="none" w:sz="0" w:space="0" w:color="auto"/>
          </w:divBdr>
        </w:div>
        <w:div w:id="2631719">
          <w:marLeft w:val="480"/>
          <w:marRight w:val="0"/>
          <w:marTop w:val="0"/>
          <w:marBottom w:val="0"/>
          <w:divBdr>
            <w:top w:val="none" w:sz="0" w:space="0" w:color="auto"/>
            <w:left w:val="none" w:sz="0" w:space="0" w:color="auto"/>
            <w:bottom w:val="none" w:sz="0" w:space="0" w:color="auto"/>
            <w:right w:val="none" w:sz="0" w:space="0" w:color="auto"/>
          </w:divBdr>
        </w:div>
        <w:div w:id="15544885">
          <w:marLeft w:val="480"/>
          <w:marRight w:val="0"/>
          <w:marTop w:val="0"/>
          <w:marBottom w:val="0"/>
          <w:divBdr>
            <w:top w:val="none" w:sz="0" w:space="0" w:color="auto"/>
            <w:left w:val="none" w:sz="0" w:space="0" w:color="auto"/>
            <w:bottom w:val="none" w:sz="0" w:space="0" w:color="auto"/>
            <w:right w:val="none" w:sz="0" w:space="0" w:color="auto"/>
          </w:divBdr>
        </w:div>
        <w:div w:id="834226184">
          <w:marLeft w:val="480"/>
          <w:marRight w:val="0"/>
          <w:marTop w:val="0"/>
          <w:marBottom w:val="0"/>
          <w:divBdr>
            <w:top w:val="none" w:sz="0" w:space="0" w:color="auto"/>
            <w:left w:val="none" w:sz="0" w:space="0" w:color="auto"/>
            <w:bottom w:val="none" w:sz="0" w:space="0" w:color="auto"/>
            <w:right w:val="none" w:sz="0" w:space="0" w:color="auto"/>
          </w:divBdr>
        </w:div>
        <w:div w:id="1253928287">
          <w:marLeft w:val="480"/>
          <w:marRight w:val="0"/>
          <w:marTop w:val="0"/>
          <w:marBottom w:val="0"/>
          <w:divBdr>
            <w:top w:val="none" w:sz="0" w:space="0" w:color="auto"/>
            <w:left w:val="none" w:sz="0" w:space="0" w:color="auto"/>
            <w:bottom w:val="none" w:sz="0" w:space="0" w:color="auto"/>
            <w:right w:val="none" w:sz="0" w:space="0" w:color="auto"/>
          </w:divBdr>
        </w:div>
        <w:div w:id="229075206">
          <w:marLeft w:val="480"/>
          <w:marRight w:val="0"/>
          <w:marTop w:val="0"/>
          <w:marBottom w:val="0"/>
          <w:divBdr>
            <w:top w:val="none" w:sz="0" w:space="0" w:color="auto"/>
            <w:left w:val="none" w:sz="0" w:space="0" w:color="auto"/>
            <w:bottom w:val="none" w:sz="0" w:space="0" w:color="auto"/>
            <w:right w:val="none" w:sz="0" w:space="0" w:color="auto"/>
          </w:divBdr>
        </w:div>
        <w:div w:id="744569352">
          <w:marLeft w:val="480"/>
          <w:marRight w:val="0"/>
          <w:marTop w:val="0"/>
          <w:marBottom w:val="0"/>
          <w:divBdr>
            <w:top w:val="none" w:sz="0" w:space="0" w:color="auto"/>
            <w:left w:val="none" w:sz="0" w:space="0" w:color="auto"/>
            <w:bottom w:val="none" w:sz="0" w:space="0" w:color="auto"/>
            <w:right w:val="none" w:sz="0" w:space="0" w:color="auto"/>
          </w:divBdr>
        </w:div>
        <w:div w:id="1274282661">
          <w:marLeft w:val="480"/>
          <w:marRight w:val="0"/>
          <w:marTop w:val="0"/>
          <w:marBottom w:val="0"/>
          <w:divBdr>
            <w:top w:val="none" w:sz="0" w:space="0" w:color="auto"/>
            <w:left w:val="none" w:sz="0" w:space="0" w:color="auto"/>
            <w:bottom w:val="none" w:sz="0" w:space="0" w:color="auto"/>
            <w:right w:val="none" w:sz="0" w:space="0" w:color="auto"/>
          </w:divBdr>
        </w:div>
        <w:div w:id="451170640">
          <w:marLeft w:val="480"/>
          <w:marRight w:val="0"/>
          <w:marTop w:val="0"/>
          <w:marBottom w:val="0"/>
          <w:divBdr>
            <w:top w:val="none" w:sz="0" w:space="0" w:color="auto"/>
            <w:left w:val="none" w:sz="0" w:space="0" w:color="auto"/>
            <w:bottom w:val="none" w:sz="0" w:space="0" w:color="auto"/>
            <w:right w:val="none" w:sz="0" w:space="0" w:color="auto"/>
          </w:divBdr>
        </w:div>
        <w:div w:id="1378509305">
          <w:marLeft w:val="480"/>
          <w:marRight w:val="0"/>
          <w:marTop w:val="0"/>
          <w:marBottom w:val="0"/>
          <w:divBdr>
            <w:top w:val="none" w:sz="0" w:space="0" w:color="auto"/>
            <w:left w:val="none" w:sz="0" w:space="0" w:color="auto"/>
            <w:bottom w:val="none" w:sz="0" w:space="0" w:color="auto"/>
            <w:right w:val="none" w:sz="0" w:space="0" w:color="auto"/>
          </w:divBdr>
        </w:div>
        <w:div w:id="950087992">
          <w:marLeft w:val="480"/>
          <w:marRight w:val="0"/>
          <w:marTop w:val="0"/>
          <w:marBottom w:val="0"/>
          <w:divBdr>
            <w:top w:val="none" w:sz="0" w:space="0" w:color="auto"/>
            <w:left w:val="none" w:sz="0" w:space="0" w:color="auto"/>
            <w:bottom w:val="none" w:sz="0" w:space="0" w:color="auto"/>
            <w:right w:val="none" w:sz="0" w:space="0" w:color="auto"/>
          </w:divBdr>
        </w:div>
        <w:div w:id="1366365934">
          <w:marLeft w:val="480"/>
          <w:marRight w:val="0"/>
          <w:marTop w:val="0"/>
          <w:marBottom w:val="0"/>
          <w:divBdr>
            <w:top w:val="none" w:sz="0" w:space="0" w:color="auto"/>
            <w:left w:val="none" w:sz="0" w:space="0" w:color="auto"/>
            <w:bottom w:val="none" w:sz="0" w:space="0" w:color="auto"/>
            <w:right w:val="none" w:sz="0" w:space="0" w:color="auto"/>
          </w:divBdr>
        </w:div>
        <w:div w:id="1627616392">
          <w:marLeft w:val="480"/>
          <w:marRight w:val="0"/>
          <w:marTop w:val="0"/>
          <w:marBottom w:val="0"/>
          <w:divBdr>
            <w:top w:val="none" w:sz="0" w:space="0" w:color="auto"/>
            <w:left w:val="none" w:sz="0" w:space="0" w:color="auto"/>
            <w:bottom w:val="none" w:sz="0" w:space="0" w:color="auto"/>
            <w:right w:val="none" w:sz="0" w:space="0" w:color="auto"/>
          </w:divBdr>
        </w:div>
        <w:div w:id="2139832550">
          <w:marLeft w:val="480"/>
          <w:marRight w:val="0"/>
          <w:marTop w:val="0"/>
          <w:marBottom w:val="0"/>
          <w:divBdr>
            <w:top w:val="none" w:sz="0" w:space="0" w:color="auto"/>
            <w:left w:val="none" w:sz="0" w:space="0" w:color="auto"/>
            <w:bottom w:val="none" w:sz="0" w:space="0" w:color="auto"/>
            <w:right w:val="none" w:sz="0" w:space="0" w:color="auto"/>
          </w:divBdr>
        </w:div>
        <w:div w:id="950893176">
          <w:marLeft w:val="480"/>
          <w:marRight w:val="0"/>
          <w:marTop w:val="0"/>
          <w:marBottom w:val="0"/>
          <w:divBdr>
            <w:top w:val="none" w:sz="0" w:space="0" w:color="auto"/>
            <w:left w:val="none" w:sz="0" w:space="0" w:color="auto"/>
            <w:bottom w:val="none" w:sz="0" w:space="0" w:color="auto"/>
            <w:right w:val="none" w:sz="0" w:space="0" w:color="auto"/>
          </w:divBdr>
        </w:div>
        <w:div w:id="1751999669">
          <w:marLeft w:val="480"/>
          <w:marRight w:val="0"/>
          <w:marTop w:val="0"/>
          <w:marBottom w:val="0"/>
          <w:divBdr>
            <w:top w:val="none" w:sz="0" w:space="0" w:color="auto"/>
            <w:left w:val="none" w:sz="0" w:space="0" w:color="auto"/>
            <w:bottom w:val="none" w:sz="0" w:space="0" w:color="auto"/>
            <w:right w:val="none" w:sz="0" w:space="0" w:color="auto"/>
          </w:divBdr>
        </w:div>
        <w:div w:id="34930901">
          <w:marLeft w:val="480"/>
          <w:marRight w:val="0"/>
          <w:marTop w:val="0"/>
          <w:marBottom w:val="0"/>
          <w:divBdr>
            <w:top w:val="none" w:sz="0" w:space="0" w:color="auto"/>
            <w:left w:val="none" w:sz="0" w:space="0" w:color="auto"/>
            <w:bottom w:val="none" w:sz="0" w:space="0" w:color="auto"/>
            <w:right w:val="none" w:sz="0" w:space="0" w:color="auto"/>
          </w:divBdr>
        </w:div>
        <w:div w:id="1734158021">
          <w:marLeft w:val="480"/>
          <w:marRight w:val="0"/>
          <w:marTop w:val="0"/>
          <w:marBottom w:val="0"/>
          <w:divBdr>
            <w:top w:val="none" w:sz="0" w:space="0" w:color="auto"/>
            <w:left w:val="none" w:sz="0" w:space="0" w:color="auto"/>
            <w:bottom w:val="none" w:sz="0" w:space="0" w:color="auto"/>
            <w:right w:val="none" w:sz="0" w:space="0" w:color="auto"/>
          </w:divBdr>
        </w:div>
        <w:div w:id="332995290">
          <w:marLeft w:val="480"/>
          <w:marRight w:val="0"/>
          <w:marTop w:val="0"/>
          <w:marBottom w:val="0"/>
          <w:divBdr>
            <w:top w:val="none" w:sz="0" w:space="0" w:color="auto"/>
            <w:left w:val="none" w:sz="0" w:space="0" w:color="auto"/>
            <w:bottom w:val="none" w:sz="0" w:space="0" w:color="auto"/>
            <w:right w:val="none" w:sz="0" w:space="0" w:color="auto"/>
          </w:divBdr>
        </w:div>
        <w:div w:id="168375500">
          <w:marLeft w:val="480"/>
          <w:marRight w:val="0"/>
          <w:marTop w:val="0"/>
          <w:marBottom w:val="0"/>
          <w:divBdr>
            <w:top w:val="none" w:sz="0" w:space="0" w:color="auto"/>
            <w:left w:val="none" w:sz="0" w:space="0" w:color="auto"/>
            <w:bottom w:val="none" w:sz="0" w:space="0" w:color="auto"/>
            <w:right w:val="none" w:sz="0" w:space="0" w:color="auto"/>
          </w:divBdr>
        </w:div>
        <w:div w:id="848327129">
          <w:marLeft w:val="480"/>
          <w:marRight w:val="0"/>
          <w:marTop w:val="0"/>
          <w:marBottom w:val="0"/>
          <w:divBdr>
            <w:top w:val="none" w:sz="0" w:space="0" w:color="auto"/>
            <w:left w:val="none" w:sz="0" w:space="0" w:color="auto"/>
            <w:bottom w:val="none" w:sz="0" w:space="0" w:color="auto"/>
            <w:right w:val="none" w:sz="0" w:space="0" w:color="auto"/>
          </w:divBdr>
        </w:div>
        <w:div w:id="2094273720">
          <w:marLeft w:val="480"/>
          <w:marRight w:val="0"/>
          <w:marTop w:val="0"/>
          <w:marBottom w:val="0"/>
          <w:divBdr>
            <w:top w:val="none" w:sz="0" w:space="0" w:color="auto"/>
            <w:left w:val="none" w:sz="0" w:space="0" w:color="auto"/>
            <w:bottom w:val="none" w:sz="0" w:space="0" w:color="auto"/>
            <w:right w:val="none" w:sz="0" w:space="0" w:color="auto"/>
          </w:divBdr>
        </w:div>
        <w:div w:id="1028335598">
          <w:marLeft w:val="480"/>
          <w:marRight w:val="0"/>
          <w:marTop w:val="0"/>
          <w:marBottom w:val="0"/>
          <w:divBdr>
            <w:top w:val="none" w:sz="0" w:space="0" w:color="auto"/>
            <w:left w:val="none" w:sz="0" w:space="0" w:color="auto"/>
            <w:bottom w:val="none" w:sz="0" w:space="0" w:color="auto"/>
            <w:right w:val="none" w:sz="0" w:space="0" w:color="auto"/>
          </w:divBdr>
        </w:div>
        <w:div w:id="953292909">
          <w:marLeft w:val="480"/>
          <w:marRight w:val="0"/>
          <w:marTop w:val="0"/>
          <w:marBottom w:val="0"/>
          <w:divBdr>
            <w:top w:val="none" w:sz="0" w:space="0" w:color="auto"/>
            <w:left w:val="none" w:sz="0" w:space="0" w:color="auto"/>
            <w:bottom w:val="none" w:sz="0" w:space="0" w:color="auto"/>
            <w:right w:val="none" w:sz="0" w:space="0" w:color="auto"/>
          </w:divBdr>
        </w:div>
        <w:div w:id="411122702">
          <w:marLeft w:val="480"/>
          <w:marRight w:val="0"/>
          <w:marTop w:val="0"/>
          <w:marBottom w:val="0"/>
          <w:divBdr>
            <w:top w:val="none" w:sz="0" w:space="0" w:color="auto"/>
            <w:left w:val="none" w:sz="0" w:space="0" w:color="auto"/>
            <w:bottom w:val="none" w:sz="0" w:space="0" w:color="auto"/>
            <w:right w:val="none" w:sz="0" w:space="0" w:color="auto"/>
          </w:divBdr>
        </w:div>
        <w:div w:id="1539970708">
          <w:marLeft w:val="480"/>
          <w:marRight w:val="0"/>
          <w:marTop w:val="0"/>
          <w:marBottom w:val="0"/>
          <w:divBdr>
            <w:top w:val="none" w:sz="0" w:space="0" w:color="auto"/>
            <w:left w:val="none" w:sz="0" w:space="0" w:color="auto"/>
            <w:bottom w:val="none" w:sz="0" w:space="0" w:color="auto"/>
            <w:right w:val="none" w:sz="0" w:space="0" w:color="auto"/>
          </w:divBdr>
        </w:div>
        <w:div w:id="177698221">
          <w:marLeft w:val="480"/>
          <w:marRight w:val="0"/>
          <w:marTop w:val="0"/>
          <w:marBottom w:val="0"/>
          <w:divBdr>
            <w:top w:val="none" w:sz="0" w:space="0" w:color="auto"/>
            <w:left w:val="none" w:sz="0" w:space="0" w:color="auto"/>
            <w:bottom w:val="none" w:sz="0" w:space="0" w:color="auto"/>
            <w:right w:val="none" w:sz="0" w:space="0" w:color="auto"/>
          </w:divBdr>
        </w:div>
        <w:div w:id="410733526">
          <w:marLeft w:val="480"/>
          <w:marRight w:val="0"/>
          <w:marTop w:val="0"/>
          <w:marBottom w:val="0"/>
          <w:divBdr>
            <w:top w:val="none" w:sz="0" w:space="0" w:color="auto"/>
            <w:left w:val="none" w:sz="0" w:space="0" w:color="auto"/>
            <w:bottom w:val="none" w:sz="0" w:space="0" w:color="auto"/>
            <w:right w:val="none" w:sz="0" w:space="0" w:color="auto"/>
          </w:divBdr>
        </w:div>
        <w:div w:id="429130072">
          <w:marLeft w:val="480"/>
          <w:marRight w:val="0"/>
          <w:marTop w:val="0"/>
          <w:marBottom w:val="0"/>
          <w:divBdr>
            <w:top w:val="none" w:sz="0" w:space="0" w:color="auto"/>
            <w:left w:val="none" w:sz="0" w:space="0" w:color="auto"/>
            <w:bottom w:val="none" w:sz="0" w:space="0" w:color="auto"/>
            <w:right w:val="none" w:sz="0" w:space="0" w:color="auto"/>
          </w:divBdr>
        </w:div>
        <w:div w:id="2105370478">
          <w:marLeft w:val="480"/>
          <w:marRight w:val="0"/>
          <w:marTop w:val="0"/>
          <w:marBottom w:val="0"/>
          <w:divBdr>
            <w:top w:val="none" w:sz="0" w:space="0" w:color="auto"/>
            <w:left w:val="none" w:sz="0" w:space="0" w:color="auto"/>
            <w:bottom w:val="none" w:sz="0" w:space="0" w:color="auto"/>
            <w:right w:val="none" w:sz="0" w:space="0" w:color="auto"/>
          </w:divBdr>
        </w:div>
        <w:div w:id="686249400">
          <w:marLeft w:val="480"/>
          <w:marRight w:val="0"/>
          <w:marTop w:val="0"/>
          <w:marBottom w:val="0"/>
          <w:divBdr>
            <w:top w:val="none" w:sz="0" w:space="0" w:color="auto"/>
            <w:left w:val="none" w:sz="0" w:space="0" w:color="auto"/>
            <w:bottom w:val="none" w:sz="0" w:space="0" w:color="auto"/>
            <w:right w:val="none" w:sz="0" w:space="0" w:color="auto"/>
          </w:divBdr>
        </w:div>
        <w:div w:id="556278338">
          <w:marLeft w:val="480"/>
          <w:marRight w:val="0"/>
          <w:marTop w:val="0"/>
          <w:marBottom w:val="0"/>
          <w:divBdr>
            <w:top w:val="none" w:sz="0" w:space="0" w:color="auto"/>
            <w:left w:val="none" w:sz="0" w:space="0" w:color="auto"/>
            <w:bottom w:val="none" w:sz="0" w:space="0" w:color="auto"/>
            <w:right w:val="none" w:sz="0" w:space="0" w:color="auto"/>
          </w:divBdr>
        </w:div>
        <w:div w:id="1665819413">
          <w:marLeft w:val="480"/>
          <w:marRight w:val="0"/>
          <w:marTop w:val="0"/>
          <w:marBottom w:val="0"/>
          <w:divBdr>
            <w:top w:val="none" w:sz="0" w:space="0" w:color="auto"/>
            <w:left w:val="none" w:sz="0" w:space="0" w:color="auto"/>
            <w:bottom w:val="none" w:sz="0" w:space="0" w:color="auto"/>
            <w:right w:val="none" w:sz="0" w:space="0" w:color="auto"/>
          </w:divBdr>
        </w:div>
        <w:div w:id="1636181473">
          <w:marLeft w:val="480"/>
          <w:marRight w:val="0"/>
          <w:marTop w:val="0"/>
          <w:marBottom w:val="0"/>
          <w:divBdr>
            <w:top w:val="none" w:sz="0" w:space="0" w:color="auto"/>
            <w:left w:val="none" w:sz="0" w:space="0" w:color="auto"/>
            <w:bottom w:val="none" w:sz="0" w:space="0" w:color="auto"/>
            <w:right w:val="none" w:sz="0" w:space="0" w:color="auto"/>
          </w:divBdr>
        </w:div>
        <w:div w:id="1297102632">
          <w:marLeft w:val="480"/>
          <w:marRight w:val="0"/>
          <w:marTop w:val="0"/>
          <w:marBottom w:val="0"/>
          <w:divBdr>
            <w:top w:val="none" w:sz="0" w:space="0" w:color="auto"/>
            <w:left w:val="none" w:sz="0" w:space="0" w:color="auto"/>
            <w:bottom w:val="none" w:sz="0" w:space="0" w:color="auto"/>
            <w:right w:val="none" w:sz="0" w:space="0" w:color="auto"/>
          </w:divBdr>
        </w:div>
        <w:div w:id="750858526">
          <w:marLeft w:val="480"/>
          <w:marRight w:val="0"/>
          <w:marTop w:val="0"/>
          <w:marBottom w:val="0"/>
          <w:divBdr>
            <w:top w:val="none" w:sz="0" w:space="0" w:color="auto"/>
            <w:left w:val="none" w:sz="0" w:space="0" w:color="auto"/>
            <w:bottom w:val="none" w:sz="0" w:space="0" w:color="auto"/>
            <w:right w:val="none" w:sz="0" w:space="0" w:color="auto"/>
          </w:divBdr>
        </w:div>
        <w:div w:id="936906795">
          <w:marLeft w:val="480"/>
          <w:marRight w:val="0"/>
          <w:marTop w:val="0"/>
          <w:marBottom w:val="0"/>
          <w:divBdr>
            <w:top w:val="none" w:sz="0" w:space="0" w:color="auto"/>
            <w:left w:val="none" w:sz="0" w:space="0" w:color="auto"/>
            <w:bottom w:val="none" w:sz="0" w:space="0" w:color="auto"/>
            <w:right w:val="none" w:sz="0" w:space="0" w:color="auto"/>
          </w:divBdr>
        </w:div>
        <w:div w:id="854345712">
          <w:marLeft w:val="480"/>
          <w:marRight w:val="0"/>
          <w:marTop w:val="0"/>
          <w:marBottom w:val="0"/>
          <w:divBdr>
            <w:top w:val="none" w:sz="0" w:space="0" w:color="auto"/>
            <w:left w:val="none" w:sz="0" w:space="0" w:color="auto"/>
            <w:bottom w:val="none" w:sz="0" w:space="0" w:color="auto"/>
            <w:right w:val="none" w:sz="0" w:space="0" w:color="auto"/>
          </w:divBdr>
        </w:div>
        <w:div w:id="1242064226">
          <w:marLeft w:val="480"/>
          <w:marRight w:val="0"/>
          <w:marTop w:val="0"/>
          <w:marBottom w:val="0"/>
          <w:divBdr>
            <w:top w:val="none" w:sz="0" w:space="0" w:color="auto"/>
            <w:left w:val="none" w:sz="0" w:space="0" w:color="auto"/>
            <w:bottom w:val="none" w:sz="0" w:space="0" w:color="auto"/>
            <w:right w:val="none" w:sz="0" w:space="0" w:color="auto"/>
          </w:divBdr>
        </w:div>
        <w:div w:id="655647489">
          <w:marLeft w:val="480"/>
          <w:marRight w:val="0"/>
          <w:marTop w:val="0"/>
          <w:marBottom w:val="0"/>
          <w:divBdr>
            <w:top w:val="none" w:sz="0" w:space="0" w:color="auto"/>
            <w:left w:val="none" w:sz="0" w:space="0" w:color="auto"/>
            <w:bottom w:val="none" w:sz="0" w:space="0" w:color="auto"/>
            <w:right w:val="none" w:sz="0" w:space="0" w:color="auto"/>
          </w:divBdr>
        </w:div>
        <w:div w:id="586692710">
          <w:marLeft w:val="480"/>
          <w:marRight w:val="0"/>
          <w:marTop w:val="0"/>
          <w:marBottom w:val="0"/>
          <w:divBdr>
            <w:top w:val="none" w:sz="0" w:space="0" w:color="auto"/>
            <w:left w:val="none" w:sz="0" w:space="0" w:color="auto"/>
            <w:bottom w:val="none" w:sz="0" w:space="0" w:color="auto"/>
            <w:right w:val="none" w:sz="0" w:space="0" w:color="auto"/>
          </w:divBdr>
        </w:div>
        <w:div w:id="587999914">
          <w:marLeft w:val="480"/>
          <w:marRight w:val="0"/>
          <w:marTop w:val="0"/>
          <w:marBottom w:val="0"/>
          <w:divBdr>
            <w:top w:val="none" w:sz="0" w:space="0" w:color="auto"/>
            <w:left w:val="none" w:sz="0" w:space="0" w:color="auto"/>
            <w:bottom w:val="none" w:sz="0" w:space="0" w:color="auto"/>
            <w:right w:val="none" w:sz="0" w:space="0" w:color="auto"/>
          </w:divBdr>
        </w:div>
        <w:div w:id="1952668935">
          <w:marLeft w:val="480"/>
          <w:marRight w:val="0"/>
          <w:marTop w:val="0"/>
          <w:marBottom w:val="0"/>
          <w:divBdr>
            <w:top w:val="none" w:sz="0" w:space="0" w:color="auto"/>
            <w:left w:val="none" w:sz="0" w:space="0" w:color="auto"/>
            <w:bottom w:val="none" w:sz="0" w:space="0" w:color="auto"/>
            <w:right w:val="none" w:sz="0" w:space="0" w:color="auto"/>
          </w:divBdr>
        </w:div>
        <w:div w:id="759326608">
          <w:marLeft w:val="480"/>
          <w:marRight w:val="0"/>
          <w:marTop w:val="0"/>
          <w:marBottom w:val="0"/>
          <w:divBdr>
            <w:top w:val="none" w:sz="0" w:space="0" w:color="auto"/>
            <w:left w:val="none" w:sz="0" w:space="0" w:color="auto"/>
            <w:bottom w:val="none" w:sz="0" w:space="0" w:color="auto"/>
            <w:right w:val="none" w:sz="0" w:space="0" w:color="auto"/>
          </w:divBdr>
        </w:div>
        <w:div w:id="1360475065">
          <w:marLeft w:val="480"/>
          <w:marRight w:val="0"/>
          <w:marTop w:val="0"/>
          <w:marBottom w:val="0"/>
          <w:divBdr>
            <w:top w:val="none" w:sz="0" w:space="0" w:color="auto"/>
            <w:left w:val="none" w:sz="0" w:space="0" w:color="auto"/>
            <w:bottom w:val="none" w:sz="0" w:space="0" w:color="auto"/>
            <w:right w:val="none" w:sz="0" w:space="0" w:color="auto"/>
          </w:divBdr>
        </w:div>
        <w:div w:id="1846088950">
          <w:marLeft w:val="480"/>
          <w:marRight w:val="0"/>
          <w:marTop w:val="0"/>
          <w:marBottom w:val="0"/>
          <w:divBdr>
            <w:top w:val="none" w:sz="0" w:space="0" w:color="auto"/>
            <w:left w:val="none" w:sz="0" w:space="0" w:color="auto"/>
            <w:bottom w:val="none" w:sz="0" w:space="0" w:color="auto"/>
            <w:right w:val="none" w:sz="0" w:space="0" w:color="auto"/>
          </w:divBdr>
        </w:div>
        <w:div w:id="1238633974">
          <w:marLeft w:val="480"/>
          <w:marRight w:val="0"/>
          <w:marTop w:val="0"/>
          <w:marBottom w:val="0"/>
          <w:divBdr>
            <w:top w:val="none" w:sz="0" w:space="0" w:color="auto"/>
            <w:left w:val="none" w:sz="0" w:space="0" w:color="auto"/>
            <w:bottom w:val="none" w:sz="0" w:space="0" w:color="auto"/>
            <w:right w:val="none" w:sz="0" w:space="0" w:color="auto"/>
          </w:divBdr>
        </w:div>
        <w:div w:id="1631981947">
          <w:marLeft w:val="480"/>
          <w:marRight w:val="0"/>
          <w:marTop w:val="0"/>
          <w:marBottom w:val="0"/>
          <w:divBdr>
            <w:top w:val="none" w:sz="0" w:space="0" w:color="auto"/>
            <w:left w:val="none" w:sz="0" w:space="0" w:color="auto"/>
            <w:bottom w:val="none" w:sz="0" w:space="0" w:color="auto"/>
            <w:right w:val="none" w:sz="0" w:space="0" w:color="auto"/>
          </w:divBdr>
        </w:div>
        <w:div w:id="559823184">
          <w:marLeft w:val="480"/>
          <w:marRight w:val="0"/>
          <w:marTop w:val="0"/>
          <w:marBottom w:val="0"/>
          <w:divBdr>
            <w:top w:val="none" w:sz="0" w:space="0" w:color="auto"/>
            <w:left w:val="none" w:sz="0" w:space="0" w:color="auto"/>
            <w:bottom w:val="none" w:sz="0" w:space="0" w:color="auto"/>
            <w:right w:val="none" w:sz="0" w:space="0" w:color="auto"/>
          </w:divBdr>
        </w:div>
        <w:div w:id="1125733103">
          <w:marLeft w:val="480"/>
          <w:marRight w:val="0"/>
          <w:marTop w:val="0"/>
          <w:marBottom w:val="0"/>
          <w:divBdr>
            <w:top w:val="none" w:sz="0" w:space="0" w:color="auto"/>
            <w:left w:val="none" w:sz="0" w:space="0" w:color="auto"/>
            <w:bottom w:val="none" w:sz="0" w:space="0" w:color="auto"/>
            <w:right w:val="none" w:sz="0" w:space="0" w:color="auto"/>
          </w:divBdr>
        </w:div>
        <w:div w:id="1646159589">
          <w:marLeft w:val="480"/>
          <w:marRight w:val="0"/>
          <w:marTop w:val="0"/>
          <w:marBottom w:val="0"/>
          <w:divBdr>
            <w:top w:val="none" w:sz="0" w:space="0" w:color="auto"/>
            <w:left w:val="none" w:sz="0" w:space="0" w:color="auto"/>
            <w:bottom w:val="none" w:sz="0" w:space="0" w:color="auto"/>
            <w:right w:val="none" w:sz="0" w:space="0" w:color="auto"/>
          </w:divBdr>
        </w:div>
        <w:div w:id="970020827">
          <w:marLeft w:val="480"/>
          <w:marRight w:val="0"/>
          <w:marTop w:val="0"/>
          <w:marBottom w:val="0"/>
          <w:divBdr>
            <w:top w:val="none" w:sz="0" w:space="0" w:color="auto"/>
            <w:left w:val="none" w:sz="0" w:space="0" w:color="auto"/>
            <w:bottom w:val="none" w:sz="0" w:space="0" w:color="auto"/>
            <w:right w:val="none" w:sz="0" w:space="0" w:color="auto"/>
          </w:divBdr>
        </w:div>
        <w:div w:id="774252289">
          <w:marLeft w:val="480"/>
          <w:marRight w:val="0"/>
          <w:marTop w:val="0"/>
          <w:marBottom w:val="0"/>
          <w:divBdr>
            <w:top w:val="none" w:sz="0" w:space="0" w:color="auto"/>
            <w:left w:val="none" w:sz="0" w:space="0" w:color="auto"/>
            <w:bottom w:val="none" w:sz="0" w:space="0" w:color="auto"/>
            <w:right w:val="none" w:sz="0" w:space="0" w:color="auto"/>
          </w:divBdr>
        </w:div>
        <w:div w:id="979773781">
          <w:marLeft w:val="480"/>
          <w:marRight w:val="0"/>
          <w:marTop w:val="0"/>
          <w:marBottom w:val="0"/>
          <w:divBdr>
            <w:top w:val="none" w:sz="0" w:space="0" w:color="auto"/>
            <w:left w:val="none" w:sz="0" w:space="0" w:color="auto"/>
            <w:bottom w:val="none" w:sz="0" w:space="0" w:color="auto"/>
            <w:right w:val="none" w:sz="0" w:space="0" w:color="auto"/>
          </w:divBdr>
        </w:div>
        <w:div w:id="1530874531">
          <w:marLeft w:val="480"/>
          <w:marRight w:val="0"/>
          <w:marTop w:val="0"/>
          <w:marBottom w:val="0"/>
          <w:divBdr>
            <w:top w:val="none" w:sz="0" w:space="0" w:color="auto"/>
            <w:left w:val="none" w:sz="0" w:space="0" w:color="auto"/>
            <w:bottom w:val="none" w:sz="0" w:space="0" w:color="auto"/>
            <w:right w:val="none" w:sz="0" w:space="0" w:color="auto"/>
          </w:divBdr>
        </w:div>
        <w:div w:id="1051684273">
          <w:marLeft w:val="480"/>
          <w:marRight w:val="0"/>
          <w:marTop w:val="0"/>
          <w:marBottom w:val="0"/>
          <w:divBdr>
            <w:top w:val="none" w:sz="0" w:space="0" w:color="auto"/>
            <w:left w:val="none" w:sz="0" w:space="0" w:color="auto"/>
            <w:bottom w:val="none" w:sz="0" w:space="0" w:color="auto"/>
            <w:right w:val="none" w:sz="0" w:space="0" w:color="auto"/>
          </w:divBdr>
        </w:div>
        <w:div w:id="871192677">
          <w:marLeft w:val="480"/>
          <w:marRight w:val="0"/>
          <w:marTop w:val="0"/>
          <w:marBottom w:val="0"/>
          <w:divBdr>
            <w:top w:val="none" w:sz="0" w:space="0" w:color="auto"/>
            <w:left w:val="none" w:sz="0" w:space="0" w:color="auto"/>
            <w:bottom w:val="none" w:sz="0" w:space="0" w:color="auto"/>
            <w:right w:val="none" w:sz="0" w:space="0" w:color="auto"/>
          </w:divBdr>
        </w:div>
        <w:div w:id="713770301">
          <w:marLeft w:val="480"/>
          <w:marRight w:val="0"/>
          <w:marTop w:val="0"/>
          <w:marBottom w:val="0"/>
          <w:divBdr>
            <w:top w:val="none" w:sz="0" w:space="0" w:color="auto"/>
            <w:left w:val="none" w:sz="0" w:space="0" w:color="auto"/>
            <w:bottom w:val="none" w:sz="0" w:space="0" w:color="auto"/>
            <w:right w:val="none" w:sz="0" w:space="0" w:color="auto"/>
          </w:divBdr>
        </w:div>
        <w:div w:id="261883018">
          <w:marLeft w:val="480"/>
          <w:marRight w:val="0"/>
          <w:marTop w:val="0"/>
          <w:marBottom w:val="0"/>
          <w:divBdr>
            <w:top w:val="none" w:sz="0" w:space="0" w:color="auto"/>
            <w:left w:val="none" w:sz="0" w:space="0" w:color="auto"/>
            <w:bottom w:val="none" w:sz="0" w:space="0" w:color="auto"/>
            <w:right w:val="none" w:sz="0" w:space="0" w:color="auto"/>
          </w:divBdr>
        </w:div>
        <w:div w:id="809634605">
          <w:marLeft w:val="480"/>
          <w:marRight w:val="0"/>
          <w:marTop w:val="0"/>
          <w:marBottom w:val="0"/>
          <w:divBdr>
            <w:top w:val="none" w:sz="0" w:space="0" w:color="auto"/>
            <w:left w:val="none" w:sz="0" w:space="0" w:color="auto"/>
            <w:bottom w:val="none" w:sz="0" w:space="0" w:color="auto"/>
            <w:right w:val="none" w:sz="0" w:space="0" w:color="auto"/>
          </w:divBdr>
        </w:div>
        <w:div w:id="292181270">
          <w:marLeft w:val="480"/>
          <w:marRight w:val="0"/>
          <w:marTop w:val="0"/>
          <w:marBottom w:val="0"/>
          <w:divBdr>
            <w:top w:val="none" w:sz="0" w:space="0" w:color="auto"/>
            <w:left w:val="none" w:sz="0" w:space="0" w:color="auto"/>
            <w:bottom w:val="none" w:sz="0" w:space="0" w:color="auto"/>
            <w:right w:val="none" w:sz="0" w:space="0" w:color="auto"/>
          </w:divBdr>
        </w:div>
        <w:div w:id="234560307">
          <w:marLeft w:val="480"/>
          <w:marRight w:val="0"/>
          <w:marTop w:val="0"/>
          <w:marBottom w:val="0"/>
          <w:divBdr>
            <w:top w:val="none" w:sz="0" w:space="0" w:color="auto"/>
            <w:left w:val="none" w:sz="0" w:space="0" w:color="auto"/>
            <w:bottom w:val="none" w:sz="0" w:space="0" w:color="auto"/>
            <w:right w:val="none" w:sz="0" w:space="0" w:color="auto"/>
          </w:divBdr>
        </w:div>
        <w:div w:id="135925982">
          <w:marLeft w:val="480"/>
          <w:marRight w:val="0"/>
          <w:marTop w:val="0"/>
          <w:marBottom w:val="0"/>
          <w:divBdr>
            <w:top w:val="none" w:sz="0" w:space="0" w:color="auto"/>
            <w:left w:val="none" w:sz="0" w:space="0" w:color="auto"/>
            <w:bottom w:val="none" w:sz="0" w:space="0" w:color="auto"/>
            <w:right w:val="none" w:sz="0" w:space="0" w:color="auto"/>
          </w:divBdr>
        </w:div>
        <w:div w:id="662660303">
          <w:marLeft w:val="480"/>
          <w:marRight w:val="0"/>
          <w:marTop w:val="0"/>
          <w:marBottom w:val="0"/>
          <w:divBdr>
            <w:top w:val="none" w:sz="0" w:space="0" w:color="auto"/>
            <w:left w:val="none" w:sz="0" w:space="0" w:color="auto"/>
            <w:bottom w:val="none" w:sz="0" w:space="0" w:color="auto"/>
            <w:right w:val="none" w:sz="0" w:space="0" w:color="auto"/>
          </w:divBdr>
        </w:div>
        <w:div w:id="1403065216">
          <w:marLeft w:val="480"/>
          <w:marRight w:val="0"/>
          <w:marTop w:val="0"/>
          <w:marBottom w:val="0"/>
          <w:divBdr>
            <w:top w:val="none" w:sz="0" w:space="0" w:color="auto"/>
            <w:left w:val="none" w:sz="0" w:space="0" w:color="auto"/>
            <w:bottom w:val="none" w:sz="0" w:space="0" w:color="auto"/>
            <w:right w:val="none" w:sz="0" w:space="0" w:color="auto"/>
          </w:divBdr>
        </w:div>
        <w:div w:id="1456487494">
          <w:marLeft w:val="480"/>
          <w:marRight w:val="0"/>
          <w:marTop w:val="0"/>
          <w:marBottom w:val="0"/>
          <w:divBdr>
            <w:top w:val="none" w:sz="0" w:space="0" w:color="auto"/>
            <w:left w:val="none" w:sz="0" w:space="0" w:color="auto"/>
            <w:bottom w:val="none" w:sz="0" w:space="0" w:color="auto"/>
            <w:right w:val="none" w:sz="0" w:space="0" w:color="auto"/>
          </w:divBdr>
        </w:div>
        <w:div w:id="721638025">
          <w:marLeft w:val="480"/>
          <w:marRight w:val="0"/>
          <w:marTop w:val="0"/>
          <w:marBottom w:val="0"/>
          <w:divBdr>
            <w:top w:val="none" w:sz="0" w:space="0" w:color="auto"/>
            <w:left w:val="none" w:sz="0" w:space="0" w:color="auto"/>
            <w:bottom w:val="none" w:sz="0" w:space="0" w:color="auto"/>
            <w:right w:val="none" w:sz="0" w:space="0" w:color="auto"/>
          </w:divBdr>
        </w:div>
        <w:div w:id="1071779675">
          <w:marLeft w:val="480"/>
          <w:marRight w:val="0"/>
          <w:marTop w:val="0"/>
          <w:marBottom w:val="0"/>
          <w:divBdr>
            <w:top w:val="none" w:sz="0" w:space="0" w:color="auto"/>
            <w:left w:val="none" w:sz="0" w:space="0" w:color="auto"/>
            <w:bottom w:val="none" w:sz="0" w:space="0" w:color="auto"/>
            <w:right w:val="none" w:sz="0" w:space="0" w:color="auto"/>
          </w:divBdr>
        </w:div>
        <w:div w:id="1498035594">
          <w:marLeft w:val="480"/>
          <w:marRight w:val="0"/>
          <w:marTop w:val="0"/>
          <w:marBottom w:val="0"/>
          <w:divBdr>
            <w:top w:val="none" w:sz="0" w:space="0" w:color="auto"/>
            <w:left w:val="none" w:sz="0" w:space="0" w:color="auto"/>
            <w:bottom w:val="none" w:sz="0" w:space="0" w:color="auto"/>
            <w:right w:val="none" w:sz="0" w:space="0" w:color="auto"/>
          </w:divBdr>
        </w:div>
        <w:div w:id="1033654885">
          <w:marLeft w:val="480"/>
          <w:marRight w:val="0"/>
          <w:marTop w:val="0"/>
          <w:marBottom w:val="0"/>
          <w:divBdr>
            <w:top w:val="none" w:sz="0" w:space="0" w:color="auto"/>
            <w:left w:val="none" w:sz="0" w:space="0" w:color="auto"/>
            <w:bottom w:val="none" w:sz="0" w:space="0" w:color="auto"/>
            <w:right w:val="none" w:sz="0" w:space="0" w:color="auto"/>
          </w:divBdr>
        </w:div>
        <w:div w:id="657463262">
          <w:marLeft w:val="480"/>
          <w:marRight w:val="0"/>
          <w:marTop w:val="0"/>
          <w:marBottom w:val="0"/>
          <w:divBdr>
            <w:top w:val="none" w:sz="0" w:space="0" w:color="auto"/>
            <w:left w:val="none" w:sz="0" w:space="0" w:color="auto"/>
            <w:bottom w:val="none" w:sz="0" w:space="0" w:color="auto"/>
            <w:right w:val="none" w:sz="0" w:space="0" w:color="auto"/>
          </w:divBdr>
        </w:div>
        <w:div w:id="776676071">
          <w:marLeft w:val="480"/>
          <w:marRight w:val="0"/>
          <w:marTop w:val="0"/>
          <w:marBottom w:val="0"/>
          <w:divBdr>
            <w:top w:val="none" w:sz="0" w:space="0" w:color="auto"/>
            <w:left w:val="none" w:sz="0" w:space="0" w:color="auto"/>
            <w:bottom w:val="none" w:sz="0" w:space="0" w:color="auto"/>
            <w:right w:val="none" w:sz="0" w:space="0" w:color="auto"/>
          </w:divBdr>
        </w:div>
        <w:div w:id="520583740">
          <w:marLeft w:val="480"/>
          <w:marRight w:val="0"/>
          <w:marTop w:val="0"/>
          <w:marBottom w:val="0"/>
          <w:divBdr>
            <w:top w:val="none" w:sz="0" w:space="0" w:color="auto"/>
            <w:left w:val="none" w:sz="0" w:space="0" w:color="auto"/>
            <w:bottom w:val="none" w:sz="0" w:space="0" w:color="auto"/>
            <w:right w:val="none" w:sz="0" w:space="0" w:color="auto"/>
          </w:divBdr>
        </w:div>
        <w:div w:id="360739103">
          <w:marLeft w:val="480"/>
          <w:marRight w:val="0"/>
          <w:marTop w:val="0"/>
          <w:marBottom w:val="0"/>
          <w:divBdr>
            <w:top w:val="none" w:sz="0" w:space="0" w:color="auto"/>
            <w:left w:val="none" w:sz="0" w:space="0" w:color="auto"/>
            <w:bottom w:val="none" w:sz="0" w:space="0" w:color="auto"/>
            <w:right w:val="none" w:sz="0" w:space="0" w:color="auto"/>
          </w:divBdr>
        </w:div>
        <w:div w:id="676733684">
          <w:marLeft w:val="480"/>
          <w:marRight w:val="0"/>
          <w:marTop w:val="0"/>
          <w:marBottom w:val="0"/>
          <w:divBdr>
            <w:top w:val="none" w:sz="0" w:space="0" w:color="auto"/>
            <w:left w:val="none" w:sz="0" w:space="0" w:color="auto"/>
            <w:bottom w:val="none" w:sz="0" w:space="0" w:color="auto"/>
            <w:right w:val="none" w:sz="0" w:space="0" w:color="auto"/>
          </w:divBdr>
        </w:div>
        <w:div w:id="1320692693">
          <w:marLeft w:val="480"/>
          <w:marRight w:val="0"/>
          <w:marTop w:val="0"/>
          <w:marBottom w:val="0"/>
          <w:divBdr>
            <w:top w:val="none" w:sz="0" w:space="0" w:color="auto"/>
            <w:left w:val="none" w:sz="0" w:space="0" w:color="auto"/>
            <w:bottom w:val="none" w:sz="0" w:space="0" w:color="auto"/>
            <w:right w:val="none" w:sz="0" w:space="0" w:color="auto"/>
          </w:divBdr>
        </w:div>
        <w:div w:id="961233832">
          <w:marLeft w:val="480"/>
          <w:marRight w:val="0"/>
          <w:marTop w:val="0"/>
          <w:marBottom w:val="0"/>
          <w:divBdr>
            <w:top w:val="none" w:sz="0" w:space="0" w:color="auto"/>
            <w:left w:val="none" w:sz="0" w:space="0" w:color="auto"/>
            <w:bottom w:val="none" w:sz="0" w:space="0" w:color="auto"/>
            <w:right w:val="none" w:sz="0" w:space="0" w:color="auto"/>
          </w:divBdr>
        </w:div>
        <w:div w:id="1791436143">
          <w:marLeft w:val="480"/>
          <w:marRight w:val="0"/>
          <w:marTop w:val="0"/>
          <w:marBottom w:val="0"/>
          <w:divBdr>
            <w:top w:val="none" w:sz="0" w:space="0" w:color="auto"/>
            <w:left w:val="none" w:sz="0" w:space="0" w:color="auto"/>
            <w:bottom w:val="none" w:sz="0" w:space="0" w:color="auto"/>
            <w:right w:val="none" w:sz="0" w:space="0" w:color="auto"/>
          </w:divBdr>
        </w:div>
        <w:div w:id="238751910">
          <w:marLeft w:val="480"/>
          <w:marRight w:val="0"/>
          <w:marTop w:val="0"/>
          <w:marBottom w:val="0"/>
          <w:divBdr>
            <w:top w:val="none" w:sz="0" w:space="0" w:color="auto"/>
            <w:left w:val="none" w:sz="0" w:space="0" w:color="auto"/>
            <w:bottom w:val="none" w:sz="0" w:space="0" w:color="auto"/>
            <w:right w:val="none" w:sz="0" w:space="0" w:color="auto"/>
          </w:divBdr>
        </w:div>
        <w:div w:id="1101686898">
          <w:marLeft w:val="480"/>
          <w:marRight w:val="0"/>
          <w:marTop w:val="0"/>
          <w:marBottom w:val="0"/>
          <w:divBdr>
            <w:top w:val="none" w:sz="0" w:space="0" w:color="auto"/>
            <w:left w:val="none" w:sz="0" w:space="0" w:color="auto"/>
            <w:bottom w:val="none" w:sz="0" w:space="0" w:color="auto"/>
            <w:right w:val="none" w:sz="0" w:space="0" w:color="auto"/>
          </w:divBdr>
        </w:div>
        <w:div w:id="183638800">
          <w:marLeft w:val="480"/>
          <w:marRight w:val="0"/>
          <w:marTop w:val="0"/>
          <w:marBottom w:val="0"/>
          <w:divBdr>
            <w:top w:val="none" w:sz="0" w:space="0" w:color="auto"/>
            <w:left w:val="none" w:sz="0" w:space="0" w:color="auto"/>
            <w:bottom w:val="none" w:sz="0" w:space="0" w:color="auto"/>
            <w:right w:val="none" w:sz="0" w:space="0" w:color="auto"/>
          </w:divBdr>
        </w:div>
        <w:div w:id="1050151139">
          <w:marLeft w:val="480"/>
          <w:marRight w:val="0"/>
          <w:marTop w:val="0"/>
          <w:marBottom w:val="0"/>
          <w:divBdr>
            <w:top w:val="none" w:sz="0" w:space="0" w:color="auto"/>
            <w:left w:val="none" w:sz="0" w:space="0" w:color="auto"/>
            <w:bottom w:val="none" w:sz="0" w:space="0" w:color="auto"/>
            <w:right w:val="none" w:sz="0" w:space="0" w:color="auto"/>
          </w:divBdr>
        </w:div>
        <w:div w:id="1820072862">
          <w:marLeft w:val="480"/>
          <w:marRight w:val="0"/>
          <w:marTop w:val="0"/>
          <w:marBottom w:val="0"/>
          <w:divBdr>
            <w:top w:val="none" w:sz="0" w:space="0" w:color="auto"/>
            <w:left w:val="none" w:sz="0" w:space="0" w:color="auto"/>
            <w:bottom w:val="none" w:sz="0" w:space="0" w:color="auto"/>
            <w:right w:val="none" w:sz="0" w:space="0" w:color="auto"/>
          </w:divBdr>
        </w:div>
        <w:div w:id="1933783469">
          <w:marLeft w:val="480"/>
          <w:marRight w:val="0"/>
          <w:marTop w:val="0"/>
          <w:marBottom w:val="0"/>
          <w:divBdr>
            <w:top w:val="none" w:sz="0" w:space="0" w:color="auto"/>
            <w:left w:val="none" w:sz="0" w:space="0" w:color="auto"/>
            <w:bottom w:val="none" w:sz="0" w:space="0" w:color="auto"/>
            <w:right w:val="none" w:sz="0" w:space="0" w:color="auto"/>
          </w:divBdr>
        </w:div>
        <w:div w:id="1014571003">
          <w:marLeft w:val="480"/>
          <w:marRight w:val="0"/>
          <w:marTop w:val="0"/>
          <w:marBottom w:val="0"/>
          <w:divBdr>
            <w:top w:val="none" w:sz="0" w:space="0" w:color="auto"/>
            <w:left w:val="none" w:sz="0" w:space="0" w:color="auto"/>
            <w:bottom w:val="none" w:sz="0" w:space="0" w:color="auto"/>
            <w:right w:val="none" w:sz="0" w:space="0" w:color="auto"/>
          </w:divBdr>
        </w:div>
        <w:div w:id="73282998">
          <w:marLeft w:val="480"/>
          <w:marRight w:val="0"/>
          <w:marTop w:val="0"/>
          <w:marBottom w:val="0"/>
          <w:divBdr>
            <w:top w:val="none" w:sz="0" w:space="0" w:color="auto"/>
            <w:left w:val="none" w:sz="0" w:space="0" w:color="auto"/>
            <w:bottom w:val="none" w:sz="0" w:space="0" w:color="auto"/>
            <w:right w:val="none" w:sz="0" w:space="0" w:color="auto"/>
          </w:divBdr>
        </w:div>
      </w:divsChild>
    </w:div>
    <w:div w:id="843474152">
      <w:bodyDiv w:val="1"/>
      <w:marLeft w:val="0"/>
      <w:marRight w:val="0"/>
      <w:marTop w:val="0"/>
      <w:marBottom w:val="0"/>
      <w:divBdr>
        <w:top w:val="none" w:sz="0" w:space="0" w:color="auto"/>
        <w:left w:val="none" w:sz="0" w:space="0" w:color="auto"/>
        <w:bottom w:val="none" w:sz="0" w:space="0" w:color="auto"/>
        <w:right w:val="none" w:sz="0" w:space="0" w:color="auto"/>
      </w:divBdr>
      <w:divsChild>
        <w:div w:id="1037584949">
          <w:marLeft w:val="480"/>
          <w:marRight w:val="0"/>
          <w:marTop w:val="0"/>
          <w:marBottom w:val="0"/>
          <w:divBdr>
            <w:top w:val="none" w:sz="0" w:space="0" w:color="auto"/>
            <w:left w:val="none" w:sz="0" w:space="0" w:color="auto"/>
            <w:bottom w:val="none" w:sz="0" w:space="0" w:color="auto"/>
            <w:right w:val="none" w:sz="0" w:space="0" w:color="auto"/>
          </w:divBdr>
        </w:div>
        <w:div w:id="1318194643">
          <w:marLeft w:val="480"/>
          <w:marRight w:val="0"/>
          <w:marTop w:val="0"/>
          <w:marBottom w:val="0"/>
          <w:divBdr>
            <w:top w:val="none" w:sz="0" w:space="0" w:color="auto"/>
            <w:left w:val="none" w:sz="0" w:space="0" w:color="auto"/>
            <w:bottom w:val="none" w:sz="0" w:space="0" w:color="auto"/>
            <w:right w:val="none" w:sz="0" w:space="0" w:color="auto"/>
          </w:divBdr>
        </w:div>
        <w:div w:id="1682582807">
          <w:marLeft w:val="480"/>
          <w:marRight w:val="0"/>
          <w:marTop w:val="0"/>
          <w:marBottom w:val="0"/>
          <w:divBdr>
            <w:top w:val="none" w:sz="0" w:space="0" w:color="auto"/>
            <w:left w:val="none" w:sz="0" w:space="0" w:color="auto"/>
            <w:bottom w:val="none" w:sz="0" w:space="0" w:color="auto"/>
            <w:right w:val="none" w:sz="0" w:space="0" w:color="auto"/>
          </w:divBdr>
        </w:div>
        <w:div w:id="233858553">
          <w:marLeft w:val="480"/>
          <w:marRight w:val="0"/>
          <w:marTop w:val="0"/>
          <w:marBottom w:val="0"/>
          <w:divBdr>
            <w:top w:val="none" w:sz="0" w:space="0" w:color="auto"/>
            <w:left w:val="none" w:sz="0" w:space="0" w:color="auto"/>
            <w:bottom w:val="none" w:sz="0" w:space="0" w:color="auto"/>
            <w:right w:val="none" w:sz="0" w:space="0" w:color="auto"/>
          </w:divBdr>
        </w:div>
        <w:div w:id="276496710">
          <w:marLeft w:val="480"/>
          <w:marRight w:val="0"/>
          <w:marTop w:val="0"/>
          <w:marBottom w:val="0"/>
          <w:divBdr>
            <w:top w:val="none" w:sz="0" w:space="0" w:color="auto"/>
            <w:left w:val="none" w:sz="0" w:space="0" w:color="auto"/>
            <w:bottom w:val="none" w:sz="0" w:space="0" w:color="auto"/>
            <w:right w:val="none" w:sz="0" w:space="0" w:color="auto"/>
          </w:divBdr>
        </w:div>
        <w:div w:id="1305890824">
          <w:marLeft w:val="480"/>
          <w:marRight w:val="0"/>
          <w:marTop w:val="0"/>
          <w:marBottom w:val="0"/>
          <w:divBdr>
            <w:top w:val="none" w:sz="0" w:space="0" w:color="auto"/>
            <w:left w:val="none" w:sz="0" w:space="0" w:color="auto"/>
            <w:bottom w:val="none" w:sz="0" w:space="0" w:color="auto"/>
            <w:right w:val="none" w:sz="0" w:space="0" w:color="auto"/>
          </w:divBdr>
        </w:div>
        <w:div w:id="986664010">
          <w:marLeft w:val="480"/>
          <w:marRight w:val="0"/>
          <w:marTop w:val="0"/>
          <w:marBottom w:val="0"/>
          <w:divBdr>
            <w:top w:val="none" w:sz="0" w:space="0" w:color="auto"/>
            <w:left w:val="none" w:sz="0" w:space="0" w:color="auto"/>
            <w:bottom w:val="none" w:sz="0" w:space="0" w:color="auto"/>
            <w:right w:val="none" w:sz="0" w:space="0" w:color="auto"/>
          </w:divBdr>
        </w:div>
        <w:div w:id="1151946023">
          <w:marLeft w:val="480"/>
          <w:marRight w:val="0"/>
          <w:marTop w:val="0"/>
          <w:marBottom w:val="0"/>
          <w:divBdr>
            <w:top w:val="none" w:sz="0" w:space="0" w:color="auto"/>
            <w:left w:val="none" w:sz="0" w:space="0" w:color="auto"/>
            <w:bottom w:val="none" w:sz="0" w:space="0" w:color="auto"/>
            <w:right w:val="none" w:sz="0" w:space="0" w:color="auto"/>
          </w:divBdr>
        </w:div>
        <w:div w:id="319387413">
          <w:marLeft w:val="480"/>
          <w:marRight w:val="0"/>
          <w:marTop w:val="0"/>
          <w:marBottom w:val="0"/>
          <w:divBdr>
            <w:top w:val="none" w:sz="0" w:space="0" w:color="auto"/>
            <w:left w:val="none" w:sz="0" w:space="0" w:color="auto"/>
            <w:bottom w:val="none" w:sz="0" w:space="0" w:color="auto"/>
            <w:right w:val="none" w:sz="0" w:space="0" w:color="auto"/>
          </w:divBdr>
        </w:div>
        <w:div w:id="289477613">
          <w:marLeft w:val="480"/>
          <w:marRight w:val="0"/>
          <w:marTop w:val="0"/>
          <w:marBottom w:val="0"/>
          <w:divBdr>
            <w:top w:val="none" w:sz="0" w:space="0" w:color="auto"/>
            <w:left w:val="none" w:sz="0" w:space="0" w:color="auto"/>
            <w:bottom w:val="none" w:sz="0" w:space="0" w:color="auto"/>
            <w:right w:val="none" w:sz="0" w:space="0" w:color="auto"/>
          </w:divBdr>
        </w:div>
        <w:div w:id="1632125024">
          <w:marLeft w:val="480"/>
          <w:marRight w:val="0"/>
          <w:marTop w:val="0"/>
          <w:marBottom w:val="0"/>
          <w:divBdr>
            <w:top w:val="none" w:sz="0" w:space="0" w:color="auto"/>
            <w:left w:val="none" w:sz="0" w:space="0" w:color="auto"/>
            <w:bottom w:val="none" w:sz="0" w:space="0" w:color="auto"/>
            <w:right w:val="none" w:sz="0" w:space="0" w:color="auto"/>
          </w:divBdr>
        </w:div>
        <w:div w:id="748968421">
          <w:marLeft w:val="480"/>
          <w:marRight w:val="0"/>
          <w:marTop w:val="0"/>
          <w:marBottom w:val="0"/>
          <w:divBdr>
            <w:top w:val="none" w:sz="0" w:space="0" w:color="auto"/>
            <w:left w:val="none" w:sz="0" w:space="0" w:color="auto"/>
            <w:bottom w:val="none" w:sz="0" w:space="0" w:color="auto"/>
            <w:right w:val="none" w:sz="0" w:space="0" w:color="auto"/>
          </w:divBdr>
        </w:div>
        <w:div w:id="608927458">
          <w:marLeft w:val="480"/>
          <w:marRight w:val="0"/>
          <w:marTop w:val="0"/>
          <w:marBottom w:val="0"/>
          <w:divBdr>
            <w:top w:val="none" w:sz="0" w:space="0" w:color="auto"/>
            <w:left w:val="none" w:sz="0" w:space="0" w:color="auto"/>
            <w:bottom w:val="none" w:sz="0" w:space="0" w:color="auto"/>
            <w:right w:val="none" w:sz="0" w:space="0" w:color="auto"/>
          </w:divBdr>
        </w:div>
        <w:div w:id="1732463206">
          <w:marLeft w:val="480"/>
          <w:marRight w:val="0"/>
          <w:marTop w:val="0"/>
          <w:marBottom w:val="0"/>
          <w:divBdr>
            <w:top w:val="none" w:sz="0" w:space="0" w:color="auto"/>
            <w:left w:val="none" w:sz="0" w:space="0" w:color="auto"/>
            <w:bottom w:val="none" w:sz="0" w:space="0" w:color="auto"/>
            <w:right w:val="none" w:sz="0" w:space="0" w:color="auto"/>
          </w:divBdr>
        </w:div>
        <w:div w:id="402681012">
          <w:marLeft w:val="480"/>
          <w:marRight w:val="0"/>
          <w:marTop w:val="0"/>
          <w:marBottom w:val="0"/>
          <w:divBdr>
            <w:top w:val="none" w:sz="0" w:space="0" w:color="auto"/>
            <w:left w:val="none" w:sz="0" w:space="0" w:color="auto"/>
            <w:bottom w:val="none" w:sz="0" w:space="0" w:color="auto"/>
            <w:right w:val="none" w:sz="0" w:space="0" w:color="auto"/>
          </w:divBdr>
        </w:div>
        <w:div w:id="1729527185">
          <w:marLeft w:val="480"/>
          <w:marRight w:val="0"/>
          <w:marTop w:val="0"/>
          <w:marBottom w:val="0"/>
          <w:divBdr>
            <w:top w:val="none" w:sz="0" w:space="0" w:color="auto"/>
            <w:left w:val="none" w:sz="0" w:space="0" w:color="auto"/>
            <w:bottom w:val="none" w:sz="0" w:space="0" w:color="auto"/>
            <w:right w:val="none" w:sz="0" w:space="0" w:color="auto"/>
          </w:divBdr>
        </w:div>
        <w:div w:id="1440292130">
          <w:marLeft w:val="480"/>
          <w:marRight w:val="0"/>
          <w:marTop w:val="0"/>
          <w:marBottom w:val="0"/>
          <w:divBdr>
            <w:top w:val="none" w:sz="0" w:space="0" w:color="auto"/>
            <w:left w:val="none" w:sz="0" w:space="0" w:color="auto"/>
            <w:bottom w:val="none" w:sz="0" w:space="0" w:color="auto"/>
            <w:right w:val="none" w:sz="0" w:space="0" w:color="auto"/>
          </w:divBdr>
        </w:div>
        <w:div w:id="1848402767">
          <w:marLeft w:val="480"/>
          <w:marRight w:val="0"/>
          <w:marTop w:val="0"/>
          <w:marBottom w:val="0"/>
          <w:divBdr>
            <w:top w:val="none" w:sz="0" w:space="0" w:color="auto"/>
            <w:left w:val="none" w:sz="0" w:space="0" w:color="auto"/>
            <w:bottom w:val="none" w:sz="0" w:space="0" w:color="auto"/>
            <w:right w:val="none" w:sz="0" w:space="0" w:color="auto"/>
          </w:divBdr>
        </w:div>
        <w:div w:id="661128839">
          <w:marLeft w:val="480"/>
          <w:marRight w:val="0"/>
          <w:marTop w:val="0"/>
          <w:marBottom w:val="0"/>
          <w:divBdr>
            <w:top w:val="none" w:sz="0" w:space="0" w:color="auto"/>
            <w:left w:val="none" w:sz="0" w:space="0" w:color="auto"/>
            <w:bottom w:val="none" w:sz="0" w:space="0" w:color="auto"/>
            <w:right w:val="none" w:sz="0" w:space="0" w:color="auto"/>
          </w:divBdr>
        </w:div>
        <w:div w:id="1072119723">
          <w:marLeft w:val="480"/>
          <w:marRight w:val="0"/>
          <w:marTop w:val="0"/>
          <w:marBottom w:val="0"/>
          <w:divBdr>
            <w:top w:val="none" w:sz="0" w:space="0" w:color="auto"/>
            <w:left w:val="none" w:sz="0" w:space="0" w:color="auto"/>
            <w:bottom w:val="none" w:sz="0" w:space="0" w:color="auto"/>
            <w:right w:val="none" w:sz="0" w:space="0" w:color="auto"/>
          </w:divBdr>
        </w:div>
        <w:div w:id="1947033551">
          <w:marLeft w:val="480"/>
          <w:marRight w:val="0"/>
          <w:marTop w:val="0"/>
          <w:marBottom w:val="0"/>
          <w:divBdr>
            <w:top w:val="none" w:sz="0" w:space="0" w:color="auto"/>
            <w:left w:val="none" w:sz="0" w:space="0" w:color="auto"/>
            <w:bottom w:val="none" w:sz="0" w:space="0" w:color="auto"/>
            <w:right w:val="none" w:sz="0" w:space="0" w:color="auto"/>
          </w:divBdr>
        </w:div>
        <w:div w:id="33818056">
          <w:marLeft w:val="480"/>
          <w:marRight w:val="0"/>
          <w:marTop w:val="0"/>
          <w:marBottom w:val="0"/>
          <w:divBdr>
            <w:top w:val="none" w:sz="0" w:space="0" w:color="auto"/>
            <w:left w:val="none" w:sz="0" w:space="0" w:color="auto"/>
            <w:bottom w:val="none" w:sz="0" w:space="0" w:color="auto"/>
            <w:right w:val="none" w:sz="0" w:space="0" w:color="auto"/>
          </w:divBdr>
        </w:div>
        <w:div w:id="1758744200">
          <w:marLeft w:val="480"/>
          <w:marRight w:val="0"/>
          <w:marTop w:val="0"/>
          <w:marBottom w:val="0"/>
          <w:divBdr>
            <w:top w:val="none" w:sz="0" w:space="0" w:color="auto"/>
            <w:left w:val="none" w:sz="0" w:space="0" w:color="auto"/>
            <w:bottom w:val="none" w:sz="0" w:space="0" w:color="auto"/>
            <w:right w:val="none" w:sz="0" w:space="0" w:color="auto"/>
          </w:divBdr>
        </w:div>
        <w:div w:id="730888130">
          <w:marLeft w:val="480"/>
          <w:marRight w:val="0"/>
          <w:marTop w:val="0"/>
          <w:marBottom w:val="0"/>
          <w:divBdr>
            <w:top w:val="none" w:sz="0" w:space="0" w:color="auto"/>
            <w:left w:val="none" w:sz="0" w:space="0" w:color="auto"/>
            <w:bottom w:val="none" w:sz="0" w:space="0" w:color="auto"/>
            <w:right w:val="none" w:sz="0" w:space="0" w:color="auto"/>
          </w:divBdr>
        </w:div>
        <w:div w:id="1432971953">
          <w:marLeft w:val="480"/>
          <w:marRight w:val="0"/>
          <w:marTop w:val="0"/>
          <w:marBottom w:val="0"/>
          <w:divBdr>
            <w:top w:val="none" w:sz="0" w:space="0" w:color="auto"/>
            <w:left w:val="none" w:sz="0" w:space="0" w:color="auto"/>
            <w:bottom w:val="none" w:sz="0" w:space="0" w:color="auto"/>
            <w:right w:val="none" w:sz="0" w:space="0" w:color="auto"/>
          </w:divBdr>
        </w:div>
        <w:div w:id="363289012">
          <w:marLeft w:val="480"/>
          <w:marRight w:val="0"/>
          <w:marTop w:val="0"/>
          <w:marBottom w:val="0"/>
          <w:divBdr>
            <w:top w:val="none" w:sz="0" w:space="0" w:color="auto"/>
            <w:left w:val="none" w:sz="0" w:space="0" w:color="auto"/>
            <w:bottom w:val="none" w:sz="0" w:space="0" w:color="auto"/>
            <w:right w:val="none" w:sz="0" w:space="0" w:color="auto"/>
          </w:divBdr>
        </w:div>
        <w:div w:id="101845649">
          <w:marLeft w:val="480"/>
          <w:marRight w:val="0"/>
          <w:marTop w:val="0"/>
          <w:marBottom w:val="0"/>
          <w:divBdr>
            <w:top w:val="none" w:sz="0" w:space="0" w:color="auto"/>
            <w:left w:val="none" w:sz="0" w:space="0" w:color="auto"/>
            <w:bottom w:val="none" w:sz="0" w:space="0" w:color="auto"/>
            <w:right w:val="none" w:sz="0" w:space="0" w:color="auto"/>
          </w:divBdr>
        </w:div>
        <w:div w:id="113255303">
          <w:marLeft w:val="480"/>
          <w:marRight w:val="0"/>
          <w:marTop w:val="0"/>
          <w:marBottom w:val="0"/>
          <w:divBdr>
            <w:top w:val="none" w:sz="0" w:space="0" w:color="auto"/>
            <w:left w:val="none" w:sz="0" w:space="0" w:color="auto"/>
            <w:bottom w:val="none" w:sz="0" w:space="0" w:color="auto"/>
            <w:right w:val="none" w:sz="0" w:space="0" w:color="auto"/>
          </w:divBdr>
        </w:div>
        <w:div w:id="311913430">
          <w:marLeft w:val="480"/>
          <w:marRight w:val="0"/>
          <w:marTop w:val="0"/>
          <w:marBottom w:val="0"/>
          <w:divBdr>
            <w:top w:val="none" w:sz="0" w:space="0" w:color="auto"/>
            <w:left w:val="none" w:sz="0" w:space="0" w:color="auto"/>
            <w:bottom w:val="none" w:sz="0" w:space="0" w:color="auto"/>
            <w:right w:val="none" w:sz="0" w:space="0" w:color="auto"/>
          </w:divBdr>
        </w:div>
        <w:div w:id="243733300">
          <w:marLeft w:val="480"/>
          <w:marRight w:val="0"/>
          <w:marTop w:val="0"/>
          <w:marBottom w:val="0"/>
          <w:divBdr>
            <w:top w:val="none" w:sz="0" w:space="0" w:color="auto"/>
            <w:left w:val="none" w:sz="0" w:space="0" w:color="auto"/>
            <w:bottom w:val="none" w:sz="0" w:space="0" w:color="auto"/>
            <w:right w:val="none" w:sz="0" w:space="0" w:color="auto"/>
          </w:divBdr>
        </w:div>
        <w:div w:id="1528905465">
          <w:marLeft w:val="480"/>
          <w:marRight w:val="0"/>
          <w:marTop w:val="0"/>
          <w:marBottom w:val="0"/>
          <w:divBdr>
            <w:top w:val="none" w:sz="0" w:space="0" w:color="auto"/>
            <w:left w:val="none" w:sz="0" w:space="0" w:color="auto"/>
            <w:bottom w:val="none" w:sz="0" w:space="0" w:color="auto"/>
            <w:right w:val="none" w:sz="0" w:space="0" w:color="auto"/>
          </w:divBdr>
        </w:div>
        <w:div w:id="45034405">
          <w:marLeft w:val="480"/>
          <w:marRight w:val="0"/>
          <w:marTop w:val="0"/>
          <w:marBottom w:val="0"/>
          <w:divBdr>
            <w:top w:val="none" w:sz="0" w:space="0" w:color="auto"/>
            <w:left w:val="none" w:sz="0" w:space="0" w:color="auto"/>
            <w:bottom w:val="none" w:sz="0" w:space="0" w:color="auto"/>
            <w:right w:val="none" w:sz="0" w:space="0" w:color="auto"/>
          </w:divBdr>
        </w:div>
        <w:div w:id="550969215">
          <w:marLeft w:val="480"/>
          <w:marRight w:val="0"/>
          <w:marTop w:val="0"/>
          <w:marBottom w:val="0"/>
          <w:divBdr>
            <w:top w:val="none" w:sz="0" w:space="0" w:color="auto"/>
            <w:left w:val="none" w:sz="0" w:space="0" w:color="auto"/>
            <w:bottom w:val="none" w:sz="0" w:space="0" w:color="auto"/>
            <w:right w:val="none" w:sz="0" w:space="0" w:color="auto"/>
          </w:divBdr>
        </w:div>
        <w:div w:id="761995089">
          <w:marLeft w:val="480"/>
          <w:marRight w:val="0"/>
          <w:marTop w:val="0"/>
          <w:marBottom w:val="0"/>
          <w:divBdr>
            <w:top w:val="none" w:sz="0" w:space="0" w:color="auto"/>
            <w:left w:val="none" w:sz="0" w:space="0" w:color="auto"/>
            <w:bottom w:val="none" w:sz="0" w:space="0" w:color="auto"/>
            <w:right w:val="none" w:sz="0" w:space="0" w:color="auto"/>
          </w:divBdr>
        </w:div>
        <w:div w:id="888764167">
          <w:marLeft w:val="480"/>
          <w:marRight w:val="0"/>
          <w:marTop w:val="0"/>
          <w:marBottom w:val="0"/>
          <w:divBdr>
            <w:top w:val="none" w:sz="0" w:space="0" w:color="auto"/>
            <w:left w:val="none" w:sz="0" w:space="0" w:color="auto"/>
            <w:bottom w:val="none" w:sz="0" w:space="0" w:color="auto"/>
            <w:right w:val="none" w:sz="0" w:space="0" w:color="auto"/>
          </w:divBdr>
        </w:div>
        <w:div w:id="635837257">
          <w:marLeft w:val="480"/>
          <w:marRight w:val="0"/>
          <w:marTop w:val="0"/>
          <w:marBottom w:val="0"/>
          <w:divBdr>
            <w:top w:val="none" w:sz="0" w:space="0" w:color="auto"/>
            <w:left w:val="none" w:sz="0" w:space="0" w:color="auto"/>
            <w:bottom w:val="none" w:sz="0" w:space="0" w:color="auto"/>
            <w:right w:val="none" w:sz="0" w:space="0" w:color="auto"/>
          </w:divBdr>
        </w:div>
        <w:div w:id="279145777">
          <w:marLeft w:val="480"/>
          <w:marRight w:val="0"/>
          <w:marTop w:val="0"/>
          <w:marBottom w:val="0"/>
          <w:divBdr>
            <w:top w:val="none" w:sz="0" w:space="0" w:color="auto"/>
            <w:left w:val="none" w:sz="0" w:space="0" w:color="auto"/>
            <w:bottom w:val="none" w:sz="0" w:space="0" w:color="auto"/>
            <w:right w:val="none" w:sz="0" w:space="0" w:color="auto"/>
          </w:divBdr>
        </w:div>
        <w:div w:id="89399329">
          <w:marLeft w:val="480"/>
          <w:marRight w:val="0"/>
          <w:marTop w:val="0"/>
          <w:marBottom w:val="0"/>
          <w:divBdr>
            <w:top w:val="none" w:sz="0" w:space="0" w:color="auto"/>
            <w:left w:val="none" w:sz="0" w:space="0" w:color="auto"/>
            <w:bottom w:val="none" w:sz="0" w:space="0" w:color="auto"/>
            <w:right w:val="none" w:sz="0" w:space="0" w:color="auto"/>
          </w:divBdr>
        </w:div>
        <w:div w:id="1627396915">
          <w:marLeft w:val="480"/>
          <w:marRight w:val="0"/>
          <w:marTop w:val="0"/>
          <w:marBottom w:val="0"/>
          <w:divBdr>
            <w:top w:val="none" w:sz="0" w:space="0" w:color="auto"/>
            <w:left w:val="none" w:sz="0" w:space="0" w:color="auto"/>
            <w:bottom w:val="none" w:sz="0" w:space="0" w:color="auto"/>
            <w:right w:val="none" w:sz="0" w:space="0" w:color="auto"/>
          </w:divBdr>
        </w:div>
        <w:div w:id="1979256986">
          <w:marLeft w:val="480"/>
          <w:marRight w:val="0"/>
          <w:marTop w:val="0"/>
          <w:marBottom w:val="0"/>
          <w:divBdr>
            <w:top w:val="none" w:sz="0" w:space="0" w:color="auto"/>
            <w:left w:val="none" w:sz="0" w:space="0" w:color="auto"/>
            <w:bottom w:val="none" w:sz="0" w:space="0" w:color="auto"/>
            <w:right w:val="none" w:sz="0" w:space="0" w:color="auto"/>
          </w:divBdr>
        </w:div>
        <w:div w:id="298655152">
          <w:marLeft w:val="480"/>
          <w:marRight w:val="0"/>
          <w:marTop w:val="0"/>
          <w:marBottom w:val="0"/>
          <w:divBdr>
            <w:top w:val="none" w:sz="0" w:space="0" w:color="auto"/>
            <w:left w:val="none" w:sz="0" w:space="0" w:color="auto"/>
            <w:bottom w:val="none" w:sz="0" w:space="0" w:color="auto"/>
            <w:right w:val="none" w:sz="0" w:space="0" w:color="auto"/>
          </w:divBdr>
        </w:div>
        <w:div w:id="1853495663">
          <w:marLeft w:val="480"/>
          <w:marRight w:val="0"/>
          <w:marTop w:val="0"/>
          <w:marBottom w:val="0"/>
          <w:divBdr>
            <w:top w:val="none" w:sz="0" w:space="0" w:color="auto"/>
            <w:left w:val="none" w:sz="0" w:space="0" w:color="auto"/>
            <w:bottom w:val="none" w:sz="0" w:space="0" w:color="auto"/>
            <w:right w:val="none" w:sz="0" w:space="0" w:color="auto"/>
          </w:divBdr>
        </w:div>
        <w:div w:id="249698744">
          <w:marLeft w:val="480"/>
          <w:marRight w:val="0"/>
          <w:marTop w:val="0"/>
          <w:marBottom w:val="0"/>
          <w:divBdr>
            <w:top w:val="none" w:sz="0" w:space="0" w:color="auto"/>
            <w:left w:val="none" w:sz="0" w:space="0" w:color="auto"/>
            <w:bottom w:val="none" w:sz="0" w:space="0" w:color="auto"/>
            <w:right w:val="none" w:sz="0" w:space="0" w:color="auto"/>
          </w:divBdr>
        </w:div>
        <w:div w:id="409427615">
          <w:marLeft w:val="480"/>
          <w:marRight w:val="0"/>
          <w:marTop w:val="0"/>
          <w:marBottom w:val="0"/>
          <w:divBdr>
            <w:top w:val="none" w:sz="0" w:space="0" w:color="auto"/>
            <w:left w:val="none" w:sz="0" w:space="0" w:color="auto"/>
            <w:bottom w:val="none" w:sz="0" w:space="0" w:color="auto"/>
            <w:right w:val="none" w:sz="0" w:space="0" w:color="auto"/>
          </w:divBdr>
        </w:div>
        <w:div w:id="1957365043">
          <w:marLeft w:val="480"/>
          <w:marRight w:val="0"/>
          <w:marTop w:val="0"/>
          <w:marBottom w:val="0"/>
          <w:divBdr>
            <w:top w:val="none" w:sz="0" w:space="0" w:color="auto"/>
            <w:left w:val="none" w:sz="0" w:space="0" w:color="auto"/>
            <w:bottom w:val="none" w:sz="0" w:space="0" w:color="auto"/>
            <w:right w:val="none" w:sz="0" w:space="0" w:color="auto"/>
          </w:divBdr>
        </w:div>
        <w:div w:id="320741941">
          <w:marLeft w:val="480"/>
          <w:marRight w:val="0"/>
          <w:marTop w:val="0"/>
          <w:marBottom w:val="0"/>
          <w:divBdr>
            <w:top w:val="none" w:sz="0" w:space="0" w:color="auto"/>
            <w:left w:val="none" w:sz="0" w:space="0" w:color="auto"/>
            <w:bottom w:val="none" w:sz="0" w:space="0" w:color="auto"/>
            <w:right w:val="none" w:sz="0" w:space="0" w:color="auto"/>
          </w:divBdr>
        </w:div>
        <w:div w:id="29914503">
          <w:marLeft w:val="480"/>
          <w:marRight w:val="0"/>
          <w:marTop w:val="0"/>
          <w:marBottom w:val="0"/>
          <w:divBdr>
            <w:top w:val="none" w:sz="0" w:space="0" w:color="auto"/>
            <w:left w:val="none" w:sz="0" w:space="0" w:color="auto"/>
            <w:bottom w:val="none" w:sz="0" w:space="0" w:color="auto"/>
            <w:right w:val="none" w:sz="0" w:space="0" w:color="auto"/>
          </w:divBdr>
        </w:div>
        <w:div w:id="1120880896">
          <w:marLeft w:val="480"/>
          <w:marRight w:val="0"/>
          <w:marTop w:val="0"/>
          <w:marBottom w:val="0"/>
          <w:divBdr>
            <w:top w:val="none" w:sz="0" w:space="0" w:color="auto"/>
            <w:left w:val="none" w:sz="0" w:space="0" w:color="auto"/>
            <w:bottom w:val="none" w:sz="0" w:space="0" w:color="auto"/>
            <w:right w:val="none" w:sz="0" w:space="0" w:color="auto"/>
          </w:divBdr>
        </w:div>
        <w:div w:id="347803590">
          <w:marLeft w:val="480"/>
          <w:marRight w:val="0"/>
          <w:marTop w:val="0"/>
          <w:marBottom w:val="0"/>
          <w:divBdr>
            <w:top w:val="none" w:sz="0" w:space="0" w:color="auto"/>
            <w:left w:val="none" w:sz="0" w:space="0" w:color="auto"/>
            <w:bottom w:val="none" w:sz="0" w:space="0" w:color="auto"/>
            <w:right w:val="none" w:sz="0" w:space="0" w:color="auto"/>
          </w:divBdr>
        </w:div>
        <w:div w:id="1524974429">
          <w:marLeft w:val="480"/>
          <w:marRight w:val="0"/>
          <w:marTop w:val="0"/>
          <w:marBottom w:val="0"/>
          <w:divBdr>
            <w:top w:val="none" w:sz="0" w:space="0" w:color="auto"/>
            <w:left w:val="none" w:sz="0" w:space="0" w:color="auto"/>
            <w:bottom w:val="none" w:sz="0" w:space="0" w:color="auto"/>
            <w:right w:val="none" w:sz="0" w:space="0" w:color="auto"/>
          </w:divBdr>
        </w:div>
        <w:div w:id="560482832">
          <w:marLeft w:val="480"/>
          <w:marRight w:val="0"/>
          <w:marTop w:val="0"/>
          <w:marBottom w:val="0"/>
          <w:divBdr>
            <w:top w:val="none" w:sz="0" w:space="0" w:color="auto"/>
            <w:left w:val="none" w:sz="0" w:space="0" w:color="auto"/>
            <w:bottom w:val="none" w:sz="0" w:space="0" w:color="auto"/>
            <w:right w:val="none" w:sz="0" w:space="0" w:color="auto"/>
          </w:divBdr>
        </w:div>
        <w:div w:id="1237983398">
          <w:marLeft w:val="480"/>
          <w:marRight w:val="0"/>
          <w:marTop w:val="0"/>
          <w:marBottom w:val="0"/>
          <w:divBdr>
            <w:top w:val="none" w:sz="0" w:space="0" w:color="auto"/>
            <w:left w:val="none" w:sz="0" w:space="0" w:color="auto"/>
            <w:bottom w:val="none" w:sz="0" w:space="0" w:color="auto"/>
            <w:right w:val="none" w:sz="0" w:space="0" w:color="auto"/>
          </w:divBdr>
        </w:div>
        <w:div w:id="1037269147">
          <w:marLeft w:val="480"/>
          <w:marRight w:val="0"/>
          <w:marTop w:val="0"/>
          <w:marBottom w:val="0"/>
          <w:divBdr>
            <w:top w:val="none" w:sz="0" w:space="0" w:color="auto"/>
            <w:left w:val="none" w:sz="0" w:space="0" w:color="auto"/>
            <w:bottom w:val="none" w:sz="0" w:space="0" w:color="auto"/>
            <w:right w:val="none" w:sz="0" w:space="0" w:color="auto"/>
          </w:divBdr>
        </w:div>
        <w:div w:id="858079177">
          <w:marLeft w:val="480"/>
          <w:marRight w:val="0"/>
          <w:marTop w:val="0"/>
          <w:marBottom w:val="0"/>
          <w:divBdr>
            <w:top w:val="none" w:sz="0" w:space="0" w:color="auto"/>
            <w:left w:val="none" w:sz="0" w:space="0" w:color="auto"/>
            <w:bottom w:val="none" w:sz="0" w:space="0" w:color="auto"/>
            <w:right w:val="none" w:sz="0" w:space="0" w:color="auto"/>
          </w:divBdr>
        </w:div>
        <w:div w:id="1058894749">
          <w:marLeft w:val="480"/>
          <w:marRight w:val="0"/>
          <w:marTop w:val="0"/>
          <w:marBottom w:val="0"/>
          <w:divBdr>
            <w:top w:val="none" w:sz="0" w:space="0" w:color="auto"/>
            <w:left w:val="none" w:sz="0" w:space="0" w:color="auto"/>
            <w:bottom w:val="none" w:sz="0" w:space="0" w:color="auto"/>
            <w:right w:val="none" w:sz="0" w:space="0" w:color="auto"/>
          </w:divBdr>
        </w:div>
        <w:div w:id="644968470">
          <w:marLeft w:val="480"/>
          <w:marRight w:val="0"/>
          <w:marTop w:val="0"/>
          <w:marBottom w:val="0"/>
          <w:divBdr>
            <w:top w:val="none" w:sz="0" w:space="0" w:color="auto"/>
            <w:left w:val="none" w:sz="0" w:space="0" w:color="auto"/>
            <w:bottom w:val="none" w:sz="0" w:space="0" w:color="auto"/>
            <w:right w:val="none" w:sz="0" w:space="0" w:color="auto"/>
          </w:divBdr>
        </w:div>
        <w:div w:id="130906657">
          <w:marLeft w:val="480"/>
          <w:marRight w:val="0"/>
          <w:marTop w:val="0"/>
          <w:marBottom w:val="0"/>
          <w:divBdr>
            <w:top w:val="none" w:sz="0" w:space="0" w:color="auto"/>
            <w:left w:val="none" w:sz="0" w:space="0" w:color="auto"/>
            <w:bottom w:val="none" w:sz="0" w:space="0" w:color="auto"/>
            <w:right w:val="none" w:sz="0" w:space="0" w:color="auto"/>
          </w:divBdr>
        </w:div>
        <w:div w:id="1193418162">
          <w:marLeft w:val="480"/>
          <w:marRight w:val="0"/>
          <w:marTop w:val="0"/>
          <w:marBottom w:val="0"/>
          <w:divBdr>
            <w:top w:val="none" w:sz="0" w:space="0" w:color="auto"/>
            <w:left w:val="none" w:sz="0" w:space="0" w:color="auto"/>
            <w:bottom w:val="none" w:sz="0" w:space="0" w:color="auto"/>
            <w:right w:val="none" w:sz="0" w:space="0" w:color="auto"/>
          </w:divBdr>
        </w:div>
        <w:div w:id="1253975389">
          <w:marLeft w:val="480"/>
          <w:marRight w:val="0"/>
          <w:marTop w:val="0"/>
          <w:marBottom w:val="0"/>
          <w:divBdr>
            <w:top w:val="none" w:sz="0" w:space="0" w:color="auto"/>
            <w:left w:val="none" w:sz="0" w:space="0" w:color="auto"/>
            <w:bottom w:val="none" w:sz="0" w:space="0" w:color="auto"/>
            <w:right w:val="none" w:sz="0" w:space="0" w:color="auto"/>
          </w:divBdr>
        </w:div>
        <w:div w:id="765686315">
          <w:marLeft w:val="480"/>
          <w:marRight w:val="0"/>
          <w:marTop w:val="0"/>
          <w:marBottom w:val="0"/>
          <w:divBdr>
            <w:top w:val="none" w:sz="0" w:space="0" w:color="auto"/>
            <w:left w:val="none" w:sz="0" w:space="0" w:color="auto"/>
            <w:bottom w:val="none" w:sz="0" w:space="0" w:color="auto"/>
            <w:right w:val="none" w:sz="0" w:space="0" w:color="auto"/>
          </w:divBdr>
        </w:div>
        <w:div w:id="1799913242">
          <w:marLeft w:val="480"/>
          <w:marRight w:val="0"/>
          <w:marTop w:val="0"/>
          <w:marBottom w:val="0"/>
          <w:divBdr>
            <w:top w:val="none" w:sz="0" w:space="0" w:color="auto"/>
            <w:left w:val="none" w:sz="0" w:space="0" w:color="auto"/>
            <w:bottom w:val="none" w:sz="0" w:space="0" w:color="auto"/>
            <w:right w:val="none" w:sz="0" w:space="0" w:color="auto"/>
          </w:divBdr>
        </w:div>
        <w:div w:id="1983926978">
          <w:marLeft w:val="480"/>
          <w:marRight w:val="0"/>
          <w:marTop w:val="0"/>
          <w:marBottom w:val="0"/>
          <w:divBdr>
            <w:top w:val="none" w:sz="0" w:space="0" w:color="auto"/>
            <w:left w:val="none" w:sz="0" w:space="0" w:color="auto"/>
            <w:bottom w:val="none" w:sz="0" w:space="0" w:color="auto"/>
            <w:right w:val="none" w:sz="0" w:space="0" w:color="auto"/>
          </w:divBdr>
        </w:div>
        <w:div w:id="1663898348">
          <w:marLeft w:val="480"/>
          <w:marRight w:val="0"/>
          <w:marTop w:val="0"/>
          <w:marBottom w:val="0"/>
          <w:divBdr>
            <w:top w:val="none" w:sz="0" w:space="0" w:color="auto"/>
            <w:left w:val="none" w:sz="0" w:space="0" w:color="auto"/>
            <w:bottom w:val="none" w:sz="0" w:space="0" w:color="auto"/>
            <w:right w:val="none" w:sz="0" w:space="0" w:color="auto"/>
          </w:divBdr>
        </w:div>
        <w:div w:id="1333606666">
          <w:marLeft w:val="480"/>
          <w:marRight w:val="0"/>
          <w:marTop w:val="0"/>
          <w:marBottom w:val="0"/>
          <w:divBdr>
            <w:top w:val="none" w:sz="0" w:space="0" w:color="auto"/>
            <w:left w:val="none" w:sz="0" w:space="0" w:color="auto"/>
            <w:bottom w:val="none" w:sz="0" w:space="0" w:color="auto"/>
            <w:right w:val="none" w:sz="0" w:space="0" w:color="auto"/>
          </w:divBdr>
        </w:div>
        <w:div w:id="1990355554">
          <w:marLeft w:val="480"/>
          <w:marRight w:val="0"/>
          <w:marTop w:val="0"/>
          <w:marBottom w:val="0"/>
          <w:divBdr>
            <w:top w:val="none" w:sz="0" w:space="0" w:color="auto"/>
            <w:left w:val="none" w:sz="0" w:space="0" w:color="auto"/>
            <w:bottom w:val="none" w:sz="0" w:space="0" w:color="auto"/>
            <w:right w:val="none" w:sz="0" w:space="0" w:color="auto"/>
          </w:divBdr>
        </w:div>
        <w:div w:id="2140343638">
          <w:marLeft w:val="480"/>
          <w:marRight w:val="0"/>
          <w:marTop w:val="0"/>
          <w:marBottom w:val="0"/>
          <w:divBdr>
            <w:top w:val="none" w:sz="0" w:space="0" w:color="auto"/>
            <w:left w:val="none" w:sz="0" w:space="0" w:color="auto"/>
            <w:bottom w:val="none" w:sz="0" w:space="0" w:color="auto"/>
            <w:right w:val="none" w:sz="0" w:space="0" w:color="auto"/>
          </w:divBdr>
        </w:div>
        <w:div w:id="1804496920">
          <w:marLeft w:val="480"/>
          <w:marRight w:val="0"/>
          <w:marTop w:val="0"/>
          <w:marBottom w:val="0"/>
          <w:divBdr>
            <w:top w:val="none" w:sz="0" w:space="0" w:color="auto"/>
            <w:left w:val="none" w:sz="0" w:space="0" w:color="auto"/>
            <w:bottom w:val="none" w:sz="0" w:space="0" w:color="auto"/>
            <w:right w:val="none" w:sz="0" w:space="0" w:color="auto"/>
          </w:divBdr>
        </w:div>
        <w:div w:id="1016733444">
          <w:marLeft w:val="480"/>
          <w:marRight w:val="0"/>
          <w:marTop w:val="0"/>
          <w:marBottom w:val="0"/>
          <w:divBdr>
            <w:top w:val="none" w:sz="0" w:space="0" w:color="auto"/>
            <w:left w:val="none" w:sz="0" w:space="0" w:color="auto"/>
            <w:bottom w:val="none" w:sz="0" w:space="0" w:color="auto"/>
            <w:right w:val="none" w:sz="0" w:space="0" w:color="auto"/>
          </w:divBdr>
        </w:div>
        <w:div w:id="257183294">
          <w:marLeft w:val="480"/>
          <w:marRight w:val="0"/>
          <w:marTop w:val="0"/>
          <w:marBottom w:val="0"/>
          <w:divBdr>
            <w:top w:val="none" w:sz="0" w:space="0" w:color="auto"/>
            <w:left w:val="none" w:sz="0" w:space="0" w:color="auto"/>
            <w:bottom w:val="none" w:sz="0" w:space="0" w:color="auto"/>
            <w:right w:val="none" w:sz="0" w:space="0" w:color="auto"/>
          </w:divBdr>
        </w:div>
        <w:div w:id="1897203720">
          <w:marLeft w:val="480"/>
          <w:marRight w:val="0"/>
          <w:marTop w:val="0"/>
          <w:marBottom w:val="0"/>
          <w:divBdr>
            <w:top w:val="none" w:sz="0" w:space="0" w:color="auto"/>
            <w:left w:val="none" w:sz="0" w:space="0" w:color="auto"/>
            <w:bottom w:val="none" w:sz="0" w:space="0" w:color="auto"/>
            <w:right w:val="none" w:sz="0" w:space="0" w:color="auto"/>
          </w:divBdr>
        </w:div>
        <w:div w:id="88887852">
          <w:marLeft w:val="480"/>
          <w:marRight w:val="0"/>
          <w:marTop w:val="0"/>
          <w:marBottom w:val="0"/>
          <w:divBdr>
            <w:top w:val="none" w:sz="0" w:space="0" w:color="auto"/>
            <w:left w:val="none" w:sz="0" w:space="0" w:color="auto"/>
            <w:bottom w:val="none" w:sz="0" w:space="0" w:color="auto"/>
            <w:right w:val="none" w:sz="0" w:space="0" w:color="auto"/>
          </w:divBdr>
        </w:div>
        <w:div w:id="2129002842">
          <w:marLeft w:val="480"/>
          <w:marRight w:val="0"/>
          <w:marTop w:val="0"/>
          <w:marBottom w:val="0"/>
          <w:divBdr>
            <w:top w:val="none" w:sz="0" w:space="0" w:color="auto"/>
            <w:left w:val="none" w:sz="0" w:space="0" w:color="auto"/>
            <w:bottom w:val="none" w:sz="0" w:space="0" w:color="auto"/>
            <w:right w:val="none" w:sz="0" w:space="0" w:color="auto"/>
          </w:divBdr>
        </w:div>
        <w:div w:id="1852526199">
          <w:marLeft w:val="480"/>
          <w:marRight w:val="0"/>
          <w:marTop w:val="0"/>
          <w:marBottom w:val="0"/>
          <w:divBdr>
            <w:top w:val="none" w:sz="0" w:space="0" w:color="auto"/>
            <w:left w:val="none" w:sz="0" w:space="0" w:color="auto"/>
            <w:bottom w:val="none" w:sz="0" w:space="0" w:color="auto"/>
            <w:right w:val="none" w:sz="0" w:space="0" w:color="auto"/>
          </w:divBdr>
        </w:div>
        <w:div w:id="1366785208">
          <w:marLeft w:val="480"/>
          <w:marRight w:val="0"/>
          <w:marTop w:val="0"/>
          <w:marBottom w:val="0"/>
          <w:divBdr>
            <w:top w:val="none" w:sz="0" w:space="0" w:color="auto"/>
            <w:left w:val="none" w:sz="0" w:space="0" w:color="auto"/>
            <w:bottom w:val="none" w:sz="0" w:space="0" w:color="auto"/>
            <w:right w:val="none" w:sz="0" w:space="0" w:color="auto"/>
          </w:divBdr>
        </w:div>
        <w:div w:id="391319105">
          <w:marLeft w:val="480"/>
          <w:marRight w:val="0"/>
          <w:marTop w:val="0"/>
          <w:marBottom w:val="0"/>
          <w:divBdr>
            <w:top w:val="none" w:sz="0" w:space="0" w:color="auto"/>
            <w:left w:val="none" w:sz="0" w:space="0" w:color="auto"/>
            <w:bottom w:val="none" w:sz="0" w:space="0" w:color="auto"/>
            <w:right w:val="none" w:sz="0" w:space="0" w:color="auto"/>
          </w:divBdr>
        </w:div>
        <w:div w:id="2035184052">
          <w:marLeft w:val="480"/>
          <w:marRight w:val="0"/>
          <w:marTop w:val="0"/>
          <w:marBottom w:val="0"/>
          <w:divBdr>
            <w:top w:val="none" w:sz="0" w:space="0" w:color="auto"/>
            <w:left w:val="none" w:sz="0" w:space="0" w:color="auto"/>
            <w:bottom w:val="none" w:sz="0" w:space="0" w:color="auto"/>
            <w:right w:val="none" w:sz="0" w:space="0" w:color="auto"/>
          </w:divBdr>
        </w:div>
        <w:div w:id="900752116">
          <w:marLeft w:val="480"/>
          <w:marRight w:val="0"/>
          <w:marTop w:val="0"/>
          <w:marBottom w:val="0"/>
          <w:divBdr>
            <w:top w:val="none" w:sz="0" w:space="0" w:color="auto"/>
            <w:left w:val="none" w:sz="0" w:space="0" w:color="auto"/>
            <w:bottom w:val="none" w:sz="0" w:space="0" w:color="auto"/>
            <w:right w:val="none" w:sz="0" w:space="0" w:color="auto"/>
          </w:divBdr>
        </w:div>
        <w:div w:id="535585747">
          <w:marLeft w:val="480"/>
          <w:marRight w:val="0"/>
          <w:marTop w:val="0"/>
          <w:marBottom w:val="0"/>
          <w:divBdr>
            <w:top w:val="none" w:sz="0" w:space="0" w:color="auto"/>
            <w:left w:val="none" w:sz="0" w:space="0" w:color="auto"/>
            <w:bottom w:val="none" w:sz="0" w:space="0" w:color="auto"/>
            <w:right w:val="none" w:sz="0" w:space="0" w:color="auto"/>
          </w:divBdr>
        </w:div>
        <w:div w:id="617103898">
          <w:marLeft w:val="480"/>
          <w:marRight w:val="0"/>
          <w:marTop w:val="0"/>
          <w:marBottom w:val="0"/>
          <w:divBdr>
            <w:top w:val="none" w:sz="0" w:space="0" w:color="auto"/>
            <w:left w:val="none" w:sz="0" w:space="0" w:color="auto"/>
            <w:bottom w:val="none" w:sz="0" w:space="0" w:color="auto"/>
            <w:right w:val="none" w:sz="0" w:space="0" w:color="auto"/>
          </w:divBdr>
        </w:div>
        <w:div w:id="1271550469">
          <w:marLeft w:val="480"/>
          <w:marRight w:val="0"/>
          <w:marTop w:val="0"/>
          <w:marBottom w:val="0"/>
          <w:divBdr>
            <w:top w:val="none" w:sz="0" w:space="0" w:color="auto"/>
            <w:left w:val="none" w:sz="0" w:space="0" w:color="auto"/>
            <w:bottom w:val="none" w:sz="0" w:space="0" w:color="auto"/>
            <w:right w:val="none" w:sz="0" w:space="0" w:color="auto"/>
          </w:divBdr>
        </w:div>
        <w:div w:id="370962477">
          <w:marLeft w:val="480"/>
          <w:marRight w:val="0"/>
          <w:marTop w:val="0"/>
          <w:marBottom w:val="0"/>
          <w:divBdr>
            <w:top w:val="none" w:sz="0" w:space="0" w:color="auto"/>
            <w:left w:val="none" w:sz="0" w:space="0" w:color="auto"/>
            <w:bottom w:val="none" w:sz="0" w:space="0" w:color="auto"/>
            <w:right w:val="none" w:sz="0" w:space="0" w:color="auto"/>
          </w:divBdr>
        </w:div>
        <w:div w:id="773525168">
          <w:marLeft w:val="480"/>
          <w:marRight w:val="0"/>
          <w:marTop w:val="0"/>
          <w:marBottom w:val="0"/>
          <w:divBdr>
            <w:top w:val="none" w:sz="0" w:space="0" w:color="auto"/>
            <w:left w:val="none" w:sz="0" w:space="0" w:color="auto"/>
            <w:bottom w:val="none" w:sz="0" w:space="0" w:color="auto"/>
            <w:right w:val="none" w:sz="0" w:space="0" w:color="auto"/>
          </w:divBdr>
        </w:div>
        <w:div w:id="1675188464">
          <w:marLeft w:val="480"/>
          <w:marRight w:val="0"/>
          <w:marTop w:val="0"/>
          <w:marBottom w:val="0"/>
          <w:divBdr>
            <w:top w:val="none" w:sz="0" w:space="0" w:color="auto"/>
            <w:left w:val="none" w:sz="0" w:space="0" w:color="auto"/>
            <w:bottom w:val="none" w:sz="0" w:space="0" w:color="auto"/>
            <w:right w:val="none" w:sz="0" w:space="0" w:color="auto"/>
          </w:divBdr>
        </w:div>
        <w:div w:id="1996451905">
          <w:marLeft w:val="480"/>
          <w:marRight w:val="0"/>
          <w:marTop w:val="0"/>
          <w:marBottom w:val="0"/>
          <w:divBdr>
            <w:top w:val="none" w:sz="0" w:space="0" w:color="auto"/>
            <w:left w:val="none" w:sz="0" w:space="0" w:color="auto"/>
            <w:bottom w:val="none" w:sz="0" w:space="0" w:color="auto"/>
            <w:right w:val="none" w:sz="0" w:space="0" w:color="auto"/>
          </w:divBdr>
        </w:div>
        <w:div w:id="2045594242">
          <w:marLeft w:val="480"/>
          <w:marRight w:val="0"/>
          <w:marTop w:val="0"/>
          <w:marBottom w:val="0"/>
          <w:divBdr>
            <w:top w:val="none" w:sz="0" w:space="0" w:color="auto"/>
            <w:left w:val="none" w:sz="0" w:space="0" w:color="auto"/>
            <w:bottom w:val="none" w:sz="0" w:space="0" w:color="auto"/>
            <w:right w:val="none" w:sz="0" w:space="0" w:color="auto"/>
          </w:divBdr>
        </w:div>
        <w:div w:id="737553290">
          <w:marLeft w:val="480"/>
          <w:marRight w:val="0"/>
          <w:marTop w:val="0"/>
          <w:marBottom w:val="0"/>
          <w:divBdr>
            <w:top w:val="none" w:sz="0" w:space="0" w:color="auto"/>
            <w:left w:val="none" w:sz="0" w:space="0" w:color="auto"/>
            <w:bottom w:val="none" w:sz="0" w:space="0" w:color="auto"/>
            <w:right w:val="none" w:sz="0" w:space="0" w:color="auto"/>
          </w:divBdr>
        </w:div>
        <w:div w:id="1888451041">
          <w:marLeft w:val="480"/>
          <w:marRight w:val="0"/>
          <w:marTop w:val="0"/>
          <w:marBottom w:val="0"/>
          <w:divBdr>
            <w:top w:val="none" w:sz="0" w:space="0" w:color="auto"/>
            <w:left w:val="none" w:sz="0" w:space="0" w:color="auto"/>
            <w:bottom w:val="none" w:sz="0" w:space="0" w:color="auto"/>
            <w:right w:val="none" w:sz="0" w:space="0" w:color="auto"/>
          </w:divBdr>
        </w:div>
        <w:div w:id="409082117">
          <w:marLeft w:val="480"/>
          <w:marRight w:val="0"/>
          <w:marTop w:val="0"/>
          <w:marBottom w:val="0"/>
          <w:divBdr>
            <w:top w:val="none" w:sz="0" w:space="0" w:color="auto"/>
            <w:left w:val="none" w:sz="0" w:space="0" w:color="auto"/>
            <w:bottom w:val="none" w:sz="0" w:space="0" w:color="auto"/>
            <w:right w:val="none" w:sz="0" w:space="0" w:color="auto"/>
          </w:divBdr>
        </w:div>
        <w:div w:id="674501829">
          <w:marLeft w:val="480"/>
          <w:marRight w:val="0"/>
          <w:marTop w:val="0"/>
          <w:marBottom w:val="0"/>
          <w:divBdr>
            <w:top w:val="none" w:sz="0" w:space="0" w:color="auto"/>
            <w:left w:val="none" w:sz="0" w:space="0" w:color="auto"/>
            <w:bottom w:val="none" w:sz="0" w:space="0" w:color="auto"/>
            <w:right w:val="none" w:sz="0" w:space="0" w:color="auto"/>
          </w:divBdr>
        </w:div>
        <w:div w:id="1205481850">
          <w:marLeft w:val="480"/>
          <w:marRight w:val="0"/>
          <w:marTop w:val="0"/>
          <w:marBottom w:val="0"/>
          <w:divBdr>
            <w:top w:val="none" w:sz="0" w:space="0" w:color="auto"/>
            <w:left w:val="none" w:sz="0" w:space="0" w:color="auto"/>
            <w:bottom w:val="none" w:sz="0" w:space="0" w:color="auto"/>
            <w:right w:val="none" w:sz="0" w:space="0" w:color="auto"/>
          </w:divBdr>
        </w:div>
        <w:div w:id="1779058282">
          <w:marLeft w:val="480"/>
          <w:marRight w:val="0"/>
          <w:marTop w:val="0"/>
          <w:marBottom w:val="0"/>
          <w:divBdr>
            <w:top w:val="none" w:sz="0" w:space="0" w:color="auto"/>
            <w:left w:val="none" w:sz="0" w:space="0" w:color="auto"/>
            <w:bottom w:val="none" w:sz="0" w:space="0" w:color="auto"/>
            <w:right w:val="none" w:sz="0" w:space="0" w:color="auto"/>
          </w:divBdr>
        </w:div>
        <w:div w:id="133723253">
          <w:marLeft w:val="480"/>
          <w:marRight w:val="0"/>
          <w:marTop w:val="0"/>
          <w:marBottom w:val="0"/>
          <w:divBdr>
            <w:top w:val="none" w:sz="0" w:space="0" w:color="auto"/>
            <w:left w:val="none" w:sz="0" w:space="0" w:color="auto"/>
            <w:bottom w:val="none" w:sz="0" w:space="0" w:color="auto"/>
            <w:right w:val="none" w:sz="0" w:space="0" w:color="auto"/>
          </w:divBdr>
        </w:div>
        <w:div w:id="675763242">
          <w:marLeft w:val="480"/>
          <w:marRight w:val="0"/>
          <w:marTop w:val="0"/>
          <w:marBottom w:val="0"/>
          <w:divBdr>
            <w:top w:val="none" w:sz="0" w:space="0" w:color="auto"/>
            <w:left w:val="none" w:sz="0" w:space="0" w:color="auto"/>
            <w:bottom w:val="none" w:sz="0" w:space="0" w:color="auto"/>
            <w:right w:val="none" w:sz="0" w:space="0" w:color="auto"/>
          </w:divBdr>
        </w:div>
        <w:div w:id="1087649100">
          <w:marLeft w:val="480"/>
          <w:marRight w:val="0"/>
          <w:marTop w:val="0"/>
          <w:marBottom w:val="0"/>
          <w:divBdr>
            <w:top w:val="none" w:sz="0" w:space="0" w:color="auto"/>
            <w:left w:val="none" w:sz="0" w:space="0" w:color="auto"/>
            <w:bottom w:val="none" w:sz="0" w:space="0" w:color="auto"/>
            <w:right w:val="none" w:sz="0" w:space="0" w:color="auto"/>
          </w:divBdr>
        </w:div>
        <w:div w:id="1895502161">
          <w:marLeft w:val="480"/>
          <w:marRight w:val="0"/>
          <w:marTop w:val="0"/>
          <w:marBottom w:val="0"/>
          <w:divBdr>
            <w:top w:val="none" w:sz="0" w:space="0" w:color="auto"/>
            <w:left w:val="none" w:sz="0" w:space="0" w:color="auto"/>
            <w:bottom w:val="none" w:sz="0" w:space="0" w:color="auto"/>
            <w:right w:val="none" w:sz="0" w:space="0" w:color="auto"/>
          </w:divBdr>
        </w:div>
        <w:div w:id="1682508652">
          <w:marLeft w:val="480"/>
          <w:marRight w:val="0"/>
          <w:marTop w:val="0"/>
          <w:marBottom w:val="0"/>
          <w:divBdr>
            <w:top w:val="none" w:sz="0" w:space="0" w:color="auto"/>
            <w:left w:val="none" w:sz="0" w:space="0" w:color="auto"/>
            <w:bottom w:val="none" w:sz="0" w:space="0" w:color="auto"/>
            <w:right w:val="none" w:sz="0" w:space="0" w:color="auto"/>
          </w:divBdr>
        </w:div>
        <w:div w:id="1054426347">
          <w:marLeft w:val="480"/>
          <w:marRight w:val="0"/>
          <w:marTop w:val="0"/>
          <w:marBottom w:val="0"/>
          <w:divBdr>
            <w:top w:val="none" w:sz="0" w:space="0" w:color="auto"/>
            <w:left w:val="none" w:sz="0" w:space="0" w:color="auto"/>
            <w:bottom w:val="none" w:sz="0" w:space="0" w:color="auto"/>
            <w:right w:val="none" w:sz="0" w:space="0" w:color="auto"/>
          </w:divBdr>
        </w:div>
        <w:div w:id="996110315">
          <w:marLeft w:val="480"/>
          <w:marRight w:val="0"/>
          <w:marTop w:val="0"/>
          <w:marBottom w:val="0"/>
          <w:divBdr>
            <w:top w:val="none" w:sz="0" w:space="0" w:color="auto"/>
            <w:left w:val="none" w:sz="0" w:space="0" w:color="auto"/>
            <w:bottom w:val="none" w:sz="0" w:space="0" w:color="auto"/>
            <w:right w:val="none" w:sz="0" w:space="0" w:color="auto"/>
          </w:divBdr>
        </w:div>
        <w:div w:id="614554962">
          <w:marLeft w:val="480"/>
          <w:marRight w:val="0"/>
          <w:marTop w:val="0"/>
          <w:marBottom w:val="0"/>
          <w:divBdr>
            <w:top w:val="none" w:sz="0" w:space="0" w:color="auto"/>
            <w:left w:val="none" w:sz="0" w:space="0" w:color="auto"/>
            <w:bottom w:val="none" w:sz="0" w:space="0" w:color="auto"/>
            <w:right w:val="none" w:sz="0" w:space="0" w:color="auto"/>
          </w:divBdr>
        </w:div>
        <w:div w:id="1632782559">
          <w:marLeft w:val="480"/>
          <w:marRight w:val="0"/>
          <w:marTop w:val="0"/>
          <w:marBottom w:val="0"/>
          <w:divBdr>
            <w:top w:val="none" w:sz="0" w:space="0" w:color="auto"/>
            <w:left w:val="none" w:sz="0" w:space="0" w:color="auto"/>
            <w:bottom w:val="none" w:sz="0" w:space="0" w:color="auto"/>
            <w:right w:val="none" w:sz="0" w:space="0" w:color="auto"/>
          </w:divBdr>
        </w:div>
        <w:div w:id="1107627633">
          <w:marLeft w:val="480"/>
          <w:marRight w:val="0"/>
          <w:marTop w:val="0"/>
          <w:marBottom w:val="0"/>
          <w:divBdr>
            <w:top w:val="none" w:sz="0" w:space="0" w:color="auto"/>
            <w:left w:val="none" w:sz="0" w:space="0" w:color="auto"/>
            <w:bottom w:val="none" w:sz="0" w:space="0" w:color="auto"/>
            <w:right w:val="none" w:sz="0" w:space="0" w:color="auto"/>
          </w:divBdr>
        </w:div>
        <w:div w:id="1345984669">
          <w:marLeft w:val="480"/>
          <w:marRight w:val="0"/>
          <w:marTop w:val="0"/>
          <w:marBottom w:val="0"/>
          <w:divBdr>
            <w:top w:val="none" w:sz="0" w:space="0" w:color="auto"/>
            <w:left w:val="none" w:sz="0" w:space="0" w:color="auto"/>
            <w:bottom w:val="none" w:sz="0" w:space="0" w:color="auto"/>
            <w:right w:val="none" w:sz="0" w:space="0" w:color="auto"/>
          </w:divBdr>
        </w:div>
        <w:div w:id="1223101772">
          <w:marLeft w:val="480"/>
          <w:marRight w:val="0"/>
          <w:marTop w:val="0"/>
          <w:marBottom w:val="0"/>
          <w:divBdr>
            <w:top w:val="none" w:sz="0" w:space="0" w:color="auto"/>
            <w:left w:val="none" w:sz="0" w:space="0" w:color="auto"/>
            <w:bottom w:val="none" w:sz="0" w:space="0" w:color="auto"/>
            <w:right w:val="none" w:sz="0" w:space="0" w:color="auto"/>
          </w:divBdr>
        </w:div>
        <w:div w:id="417605299">
          <w:marLeft w:val="480"/>
          <w:marRight w:val="0"/>
          <w:marTop w:val="0"/>
          <w:marBottom w:val="0"/>
          <w:divBdr>
            <w:top w:val="none" w:sz="0" w:space="0" w:color="auto"/>
            <w:left w:val="none" w:sz="0" w:space="0" w:color="auto"/>
            <w:bottom w:val="none" w:sz="0" w:space="0" w:color="auto"/>
            <w:right w:val="none" w:sz="0" w:space="0" w:color="auto"/>
          </w:divBdr>
        </w:div>
        <w:div w:id="58983955">
          <w:marLeft w:val="480"/>
          <w:marRight w:val="0"/>
          <w:marTop w:val="0"/>
          <w:marBottom w:val="0"/>
          <w:divBdr>
            <w:top w:val="none" w:sz="0" w:space="0" w:color="auto"/>
            <w:left w:val="none" w:sz="0" w:space="0" w:color="auto"/>
            <w:bottom w:val="none" w:sz="0" w:space="0" w:color="auto"/>
            <w:right w:val="none" w:sz="0" w:space="0" w:color="auto"/>
          </w:divBdr>
        </w:div>
        <w:div w:id="1611812936">
          <w:marLeft w:val="480"/>
          <w:marRight w:val="0"/>
          <w:marTop w:val="0"/>
          <w:marBottom w:val="0"/>
          <w:divBdr>
            <w:top w:val="none" w:sz="0" w:space="0" w:color="auto"/>
            <w:left w:val="none" w:sz="0" w:space="0" w:color="auto"/>
            <w:bottom w:val="none" w:sz="0" w:space="0" w:color="auto"/>
            <w:right w:val="none" w:sz="0" w:space="0" w:color="auto"/>
          </w:divBdr>
        </w:div>
        <w:div w:id="1049451681">
          <w:marLeft w:val="480"/>
          <w:marRight w:val="0"/>
          <w:marTop w:val="0"/>
          <w:marBottom w:val="0"/>
          <w:divBdr>
            <w:top w:val="none" w:sz="0" w:space="0" w:color="auto"/>
            <w:left w:val="none" w:sz="0" w:space="0" w:color="auto"/>
            <w:bottom w:val="none" w:sz="0" w:space="0" w:color="auto"/>
            <w:right w:val="none" w:sz="0" w:space="0" w:color="auto"/>
          </w:divBdr>
        </w:div>
        <w:div w:id="1379277749">
          <w:marLeft w:val="480"/>
          <w:marRight w:val="0"/>
          <w:marTop w:val="0"/>
          <w:marBottom w:val="0"/>
          <w:divBdr>
            <w:top w:val="none" w:sz="0" w:space="0" w:color="auto"/>
            <w:left w:val="none" w:sz="0" w:space="0" w:color="auto"/>
            <w:bottom w:val="none" w:sz="0" w:space="0" w:color="auto"/>
            <w:right w:val="none" w:sz="0" w:space="0" w:color="auto"/>
          </w:divBdr>
        </w:div>
        <w:div w:id="1782072207">
          <w:marLeft w:val="480"/>
          <w:marRight w:val="0"/>
          <w:marTop w:val="0"/>
          <w:marBottom w:val="0"/>
          <w:divBdr>
            <w:top w:val="none" w:sz="0" w:space="0" w:color="auto"/>
            <w:left w:val="none" w:sz="0" w:space="0" w:color="auto"/>
            <w:bottom w:val="none" w:sz="0" w:space="0" w:color="auto"/>
            <w:right w:val="none" w:sz="0" w:space="0" w:color="auto"/>
          </w:divBdr>
        </w:div>
        <w:div w:id="2001738781">
          <w:marLeft w:val="480"/>
          <w:marRight w:val="0"/>
          <w:marTop w:val="0"/>
          <w:marBottom w:val="0"/>
          <w:divBdr>
            <w:top w:val="none" w:sz="0" w:space="0" w:color="auto"/>
            <w:left w:val="none" w:sz="0" w:space="0" w:color="auto"/>
            <w:bottom w:val="none" w:sz="0" w:space="0" w:color="auto"/>
            <w:right w:val="none" w:sz="0" w:space="0" w:color="auto"/>
          </w:divBdr>
        </w:div>
        <w:div w:id="300111021">
          <w:marLeft w:val="480"/>
          <w:marRight w:val="0"/>
          <w:marTop w:val="0"/>
          <w:marBottom w:val="0"/>
          <w:divBdr>
            <w:top w:val="none" w:sz="0" w:space="0" w:color="auto"/>
            <w:left w:val="none" w:sz="0" w:space="0" w:color="auto"/>
            <w:bottom w:val="none" w:sz="0" w:space="0" w:color="auto"/>
            <w:right w:val="none" w:sz="0" w:space="0" w:color="auto"/>
          </w:divBdr>
        </w:div>
        <w:div w:id="1123111091">
          <w:marLeft w:val="480"/>
          <w:marRight w:val="0"/>
          <w:marTop w:val="0"/>
          <w:marBottom w:val="0"/>
          <w:divBdr>
            <w:top w:val="none" w:sz="0" w:space="0" w:color="auto"/>
            <w:left w:val="none" w:sz="0" w:space="0" w:color="auto"/>
            <w:bottom w:val="none" w:sz="0" w:space="0" w:color="auto"/>
            <w:right w:val="none" w:sz="0" w:space="0" w:color="auto"/>
          </w:divBdr>
        </w:div>
        <w:div w:id="167334211">
          <w:marLeft w:val="480"/>
          <w:marRight w:val="0"/>
          <w:marTop w:val="0"/>
          <w:marBottom w:val="0"/>
          <w:divBdr>
            <w:top w:val="none" w:sz="0" w:space="0" w:color="auto"/>
            <w:left w:val="none" w:sz="0" w:space="0" w:color="auto"/>
            <w:bottom w:val="none" w:sz="0" w:space="0" w:color="auto"/>
            <w:right w:val="none" w:sz="0" w:space="0" w:color="auto"/>
          </w:divBdr>
        </w:div>
        <w:div w:id="2112628176">
          <w:marLeft w:val="480"/>
          <w:marRight w:val="0"/>
          <w:marTop w:val="0"/>
          <w:marBottom w:val="0"/>
          <w:divBdr>
            <w:top w:val="none" w:sz="0" w:space="0" w:color="auto"/>
            <w:left w:val="none" w:sz="0" w:space="0" w:color="auto"/>
            <w:bottom w:val="none" w:sz="0" w:space="0" w:color="auto"/>
            <w:right w:val="none" w:sz="0" w:space="0" w:color="auto"/>
          </w:divBdr>
        </w:div>
        <w:div w:id="875889749">
          <w:marLeft w:val="480"/>
          <w:marRight w:val="0"/>
          <w:marTop w:val="0"/>
          <w:marBottom w:val="0"/>
          <w:divBdr>
            <w:top w:val="none" w:sz="0" w:space="0" w:color="auto"/>
            <w:left w:val="none" w:sz="0" w:space="0" w:color="auto"/>
            <w:bottom w:val="none" w:sz="0" w:space="0" w:color="auto"/>
            <w:right w:val="none" w:sz="0" w:space="0" w:color="auto"/>
          </w:divBdr>
        </w:div>
        <w:div w:id="104349871">
          <w:marLeft w:val="480"/>
          <w:marRight w:val="0"/>
          <w:marTop w:val="0"/>
          <w:marBottom w:val="0"/>
          <w:divBdr>
            <w:top w:val="none" w:sz="0" w:space="0" w:color="auto"/>
            <w:left w:val="none" w:sz="0" w:space="0" w:color="auto"/>
            <w:bottom w:val="none" w:sz="0" w:space="0" w:color="auto"/>
            <w:right w:val="none" w:sz="0" w:space="0" w:color="auto"/>
          </w:divBdr>
        </w:div>
        <w:div w:id="887305938">
          <w:marLeft w:val="480"/>
          <w:marRight w:val="0"/>
          <w:marTop w:val="0"/>
          <w:marBottom w:val="0"/>
          <w:divBdr>
            <w:top w:val="none" w:sz="0" w:space="0" w:color="auto"/>
            <w:left w:val="none" w:sz="0" w:space="0" w:color="auto"/>
            <w:bottom w:val="none" w:sz="0" w:space="0" w:color="auto"/>
            <w:right w:val="none" w:sz="0" w:space="0" w:color="auto"/>
          </w:divBdr>
        </w:div>
        <w:div w:id="204559477">
          <w:marLeft w:val="480"/>
          <w:marRight w:val="0"/>
          <w:marTop w:val="0"/>
          <w:marBottom w:val="0"/>
          <w:divBdr>
            <w:top w:val="none" w:sz="0" w:space="0" w:color="auto"/>
            <w:left w:val="none" w:sz="0" w:space="0" w:color="auto"/>
            <w:bottom w:val="none" w:sz="0" w:space="0" w:color="auto"/>
            <w:right w:val="none" w:sz="0" w:space="0" w:color="auto"/>
          </w:divBdr>
        </w:div>
        <w:div w:id="471946640">
          <w:marLeft w:val="480"/>
          <w:marRight w:val="0"/>
          <w:marTop w:val="0"/>
          <w:marBottom w:val="0"/>
          <w:divBdr>
            <w:top w:val="none" w:sz="0" w:space="0" w:color="auto"/>
            <w:left w:val="none" w:sz="0" w:space="0" w:color="auto"/>
            <w:bottom w:val="none" w:sz="0" w:space="0" w:color="auto"/>
            <w:right w:val="none" w:sz="0" w:space="0" w:color="auto"/>
          </w:divBdr>
        </w:div>
        <w:div w:id="1114405547">
          <w:marLeft w:val="480"/>
          <w:marRight w:val="0"/>
          <w:marTop w:val="0"/>
          <w:marBottom w:val="0"/>
          <w:divBdr>
            <w:top w:val="none" w:sz="0" w:space="0" w:color="auto"/>
            <w:left w:val="none" w:sz="0" w:space="0" w:color="auto"/>
            <w:bottom w:val="none" w:sz="0" w:space="0" w:color="auto"/>
            <w:right w:val="none" w:sz="0" w:space="0" w:color="auto"/>
          </w:divBdr>
        </w:div>
        <w:div w:id="1160652285">
          <w:marLeft w:val="480"/>
          <w:marRight w:val="0"/>
          <w:marTop w:val="0"/>
          <w:marBottom w:val="0"/>
          <w:divBdr>
            <w:top w:val="none" w:sz="0" w:space="0" w:color="auto"/>
            <w:left w:val="none" w:sz="0" w:space="0" w:color="auto"/>
            <w:bottom w:val="none" w:sz="0" w:space="0" w:color="auto"/>
            <w:right w:val="none" w:sz="0" w:space="0" w:color="auto"/>
          </w:divBdr>
        </w:div>
        <w:div w:id="81951466">
          <w:marLeft w:val="480"/>
          <w:marRight w:val="0"/>
          <w:marTop w:val="0"/>
          <w:marBottom w:val="0"/>
          <w:divBdr>
            <w:top w:val="none" w:sz="0" w:space="0" w:color="auto"/>
            <w:left w:val="none" w:sz="0" w:space="0" w:color="auto"/>
            <w:bottom w:val="none" w:sz="0" w:space="0" w:color="auto"/>
            <w:right w:val="none" w:sz="0" w:space="0" w:color="auto"/>
          </w:divBdr>
        </w:div>
        <w:div w:id="194080073">
          <w:marLeft w:val="480"/>
          <w:marRight w:val="0"/>
          <w:marTop w:val="0"/>
          <w:marBottom w:val="0"/>
          <w:divBdr>
            <w:top w:val="none" w:sz="0" w:space="0" w:color="auto"/>
            <w:left w:val="none" w:sz="0" w:space="0" w:color="auto"/>
            <w:bottom w:val="none" w:sz="0" w:space="0" w:color="auto"/>
            <w:right w:val="none" w:sz="0" w:space="0" w:color="auto"/>
          </w:divBdr>
        </w:div>
        <w:div w:id="999044556">
          <w:marLeft w:val="480"/>
          <w:marRight w:val="0"/>
          <w:marTop w:val="0"/>
          <w:marBottom w:val="0"/>
          <w:divBdr>
            <w:top w:val="none" w:sz="0" w:space="0" w:color="auto"/>
            <w:left w:val="none" w:sz="0" w:space="0" w:color="auto"/>
            <w:bottom w:val="none" w:sz="0" w:space="0" w:color="auto"/>
            <w:right w:val="none" w:sz="0" w:space="0" w:color="auto"/>
          </w:divBdr>
        </w:div>
        <w:div w:id="645627486">
          <w:marLeft w:val="480"/>
          <w:marRight w:val="0"/>
          <w:marTop w:val="0"/>
          <w:marBottom w:val="0"/>
          <w:divBdr>
            <w:top w:val="none" w:sz="0" w:space="0" w:color="auto"/>
            <w:left w:val="none" w:sz="0" w:space="0" w:color="auto"/>
            <w:bottom w:val="none" w:sz="0" w:space="0" w:color="auto"/>
            <w:right w:val="none" w:sz="0" w:space="0" w:color="auto"/>
          </w:divBdr>
        </w:div>
        <w:div w:id="1208833319">
          <w:marLeft w:val="480"/>
          <w:marRight w:val="0"/>
          <w:marTop w:val="0"/>
          <w:marBottom w:val="0"/>
          <w:divBdr>
            <w:top w:val="none" w:sz="0" w:space="0" w:color="auto"/>
            <w:left w:val="none" w:sz="0" w:space="0" w:color="auto"/>
            <w:bottom w:val="none" w:sz="0" w:space="0" w:color="auto"/>
            <w:right w:val="none" w:sz="0" w:space="0" w:color="auto"/>
          </w:divBdr>
        </w:div>
        <w:div w:id="255987586">
          <w:marLeft w:val="480"/>
          <w:marRight w:val="0"/>
          <w:marTop w:val="0"/>
          <w:marBottom w:val="0"/>
          <w:divBdr>
            <w:top w:val="none" w:sz="0" w:space="0" w:color="auto"/>
            <w:left w:val="none" w:sz="0" w:space="0" w:color="auto"/>
            <w:bottom w:val="none" w:sz="0" w:space="0" w:color="auto"/>
            <w:right w:val="none" w:sz="0" w:space="0" w:color="auto"/>
          </w:divBdr>
        </w:div>
        <w:div w:id="1370454739">
          <w:marLeft w:val="480"/>
          <w:marRight w:val="0"/>
          <w:marTop w:val="0"/>
          <w:marBottom w:val="0"/>
          <w:divBdr>
            <w:top w:val="none" w:sz="0" w:space="0" w:color="auto"/>
            <w:left w:val="none" w:sz="0" w:space="0" w:color="auto"/>
            <w:bottom w:val="none" w:sz="0" w:space="0" w:color="auto"/>
            <w:right w:val="none" w:sz="0" w:space="0" w:color="auto"/>
          </w:divBdr>
        </w:div>
        <w:div w:id="1235899763">
          <w:marLeft w:val="480"/>
          <w:marRight w:val="0"/>
          <w:marTop w:val="0"/>
          <w:marBottom w:val="0"/>
          <w:divBdr>
            <w:top w:val="none" w:sz="0" w:space="0" w:color="auto"/>
            <w:left w:val="none" w:sz="0" w:space="0" w:color="auto"/>
            <w:bottom w:val="none" w:sz="0" w:space="0" w:color="auto"/>
            <w:right w:val="none" w:sz="0" w:space="0" w:color="auto"/>
          </w:divBdr>
        </w:div>
        <w:div w:id="243148032">
          <w:marLeft w:val="480"/>
          <w:marRight w:val="0"/>
          <w:marTop w:val="0"/>
          <w:marBottom w:val="0"/>
          <w:divBdr>
            <w:top w:val="none" w:sz="0" w:space="0" w:color="auto"/>
            <w:left w:val="none" w:sz="0" w:space="0" w:color="auto"/>
            <w:bottom w:val="none" w:sz="0" w:space="0" w:color="auto"/>
            <w:right w:val="none" w:sz="0" w:space="0" w:color="auto"/>
          </w:divBdr>
        </w:div>
        <w:div w:id="871305792">
          <w:marLeft w:val="480"/>
          <w:marRight w:val="0"/>
          <w:marTop w:val="0"/>
          <w:marBottom w:val="0"/>
          <w:divBdr>
            <w:top w:val="none" w:sz="0" w:space="0" w:color="auto"/>
            <w:left w:val="none" w:sz="0" w:space="0" w:color="auto"/>
            <w:bottom w:val="none" w:sz="0" w:space="0" w:color="auto"/>
            <w:right w:val="none" w:sz="0" w:space="0" w:color="auto"/>
          </w:divBdr>
        </w:div>
        <w:div w:id="1496188113">
          <w:marLeft w:val="480"/>
          <w:marRight w:val="0"/>
          <w:marTop w:val="0"/>
          <w:marBottom w:val="0"/>
          <w:divBdr>
            <w:top w:val="none" w:sz="0" w:space="0" w:color="auto"/>
            <w:left w:val="none" w:sz="0" w:space="0" w:color="auto"/>
            <w:bottom w:val="none" w:sz="0" w:space="0" w:color="auto"/>
            <w:right w:val="none" w:sz="0" w:space="0" w:color="auto"/>
          </w:divBdr>
        </w:div>
        <w:div w:id="2098210655">
          <w:marLeft w:val="480"/>
          <w:marRight w:val="0"/>
          <w:marTop w:val="0"/>
          <w:marBottom w:val="0"/>
          <w:divBdr>
            <w:top w:val="none" w:sz="0" w:space="0" w:color="auto"/>
            <w:left w:val="none" w:sz="0" w:space="0" w:color="auto"/>
            <w:bottom w:val="none" w:sz="0" w:space="0" w:color="auto"/>
            <w:right w:val="none" w:sz="0" w:space="0" w:color="auto"/>
          </w:divBdr>
        </w:div>
        <w:div w:id="1747334630">
          <w:marLeft w:val="480"/>
          <w:marRight w:val="0"/>
          <w:marTop w:val="0"/>
          <w:marBottom w:val="0"/>
          <w:divBdr>
            <w:top w:val="none" w:sz="0" w:space="0" w:color="auto"/>
            <w:left w:val="none" w:sz="0" w:space="0" w:color="auto"/>
            <w:bottom w:val="none" w:sz="0" w:space="0" w:color="auto"/>
            <w:right w:val="none" w:sz="0" w:space="0" w:color="auto"/>
          </w:divBdr>
        </w:div>
        <w:div w:id="2120417378">
          <w:marLeft w:val="480"/>
          <w:marRight w:val="0"/>
          <w:marTop w:val="0"/>
          <w:marBottom w:val="0"/>
          <w:divBdr>
            <w:top w:val="none" w:sz="0" w:space="0" w:color="auto"/>
            <w:left w:val="none" w:sz="0" w:space="0" w:color="auto"/>
            <w:bottom w:val="none" w:sz="0" w:space="0" w:color="auto"/>
            <w:right w:val="none" w:sz="0" w:space="0" w:color="auto"/>
          </w:divBdr>
        </w:div>
        <w:div w:id="1553882642">
          <w:marLeft w:val="480"/>
          <w:marRight w:val="0"/>
          <w:marTop w:val="0"/>
          <w:marBottom w:val="0"/>
          <w:divBdr>
            <w:top w:val="none" w:sz="0" w:space="0" w:color="auto"/>
            <w:left w:val="none" w:sz="0" w:space="0" w:color="auto"/>
            <w:bottom w:val="none" w:sz="0" w:space="0" w:color="auto"/>
            <w:right w:val="none" w:sz="0" w:space="0" w:color="auto"/>
          </w:divBdr>
        </w:div>
        <w:div w:id="667631653">
          <w:marLeft w:val="480"/>
          <w:marRight w:val="0"/>
          <w:marTop w:val="0"/>
          <w:marBottom w:val="0"/>
          <w:divBdr>
            <w:top w:val="none" w:sz="0" w:space="0" w:color="auto"/>
            <w:left w:val="none" w:sz="0" w:space="0" w:color="auto"/>
            <w:bottom w:val="none" w:sz="0" w:space="0" w:color="auto"/>
            <w:right w:val="none" w:sz="0" w:space="0" w:color="auto"/>
          </w:divBdr>
        </w:div>
        <w:div w:id="1888184060">
          <w:marLeft w:val="480"/>
          <w:marRight w:val="0"/>
          <w:marTop w:val="0"/>
          <w:marBottom w:val="0"/>
          <w:divBdr>
            <w:top w:val="none" w:sz="0" w:space="0" w:color="auto"/>
            <w:left w:val="none" w:sz="0" w:space="0" w:color="auto"/>
            <w:bottom w:val="none" w:sz="0" w:space="0" w:color="auto"/>
            <w:right w:val="none" w:sz="0" w:space="0" w:color="auto"/>
          </w:divBdr>
        </w:div>
        <w:div w:id="738795475">
          <w:marLeft w:val="480"/>
          <w:marRight w:val="0"/>
          <w:marTop w:val="0"/>
          <w:marBottom w:val="0"/>
          <w:divBdr>
            <w:top w:val="none" w:sz="0" w:space="0" w:color="auto"/>
            <w:left w:val="none" w:sz="0" w:space="0" w:color="auto"/>
            <w:bottom w:val="none" w:sz="0" w:space="0" w:color="auto"/>
            <w:right w:val="none" w:sz="0" w:space="0" w:color="auto"/>
          </w:divBdr>
        </w:div>
        <w:div w:id="1657997522">
          <w:marLeft w:val="480"/>
          <w:marRight w:val="0"/>
          <w:marTop w:val="0"/>
          <w:marBottom w:val="0"/>
          <w:divBdr>
            <w:top w:val="none" w:sz="0" w:space="0" w:color="auto"/>
            <w:left w:val="none" w:sz="0" w:space="0" w:color="auto"/>
            <w:bottom w:val="none" w:sz="0" w:space="0" w:color="auto"/>
            <w:right w:val="none" w:sz="0" w:space="0" w:color="auto"/>
          </w:divBdr>
        </w:div>
        <w:div w:id="2140146054">
          <w:marLeft w:val="480"/>
          <w:marRight w:val="0"/>
          <w:marTop w:val="0"/>
          <w:marBottom w:val="0"/>
          <w:divBdr>
            <w:top w:val="none" w:sz="0" w:space="0" w:color="auto"/>
            <w:left w:val="none" w:sz="0" w:space="0" w:color="auto"/>
            <w:bottom w:val="none" w:sz="0" w:space="0" w:color="auto"/>
            <w:right w:val="none" w:sz="0" w:space="0" w:color="auto"/>
          </w:divBdr>
        </w:div>
        <w:div w:id="412438742">
          <w:marLeft w:val="480"/>
          <w:marRight w:val="0"/>
          <w:marTop w:val="0"/>
          <w:marBottom w:val="0"/>
          <w:divBdr>
            <w:top w:val="none" w:sz="0" w:space="0" w:color="auto"/>
            <w:left w:val="none" w:sz="0" w:space="0" w:color="auto"/>
            <w:bottom w:val="none" w:sz="0" w:space="0" w:color="auto"/>
            <w:right w:val="none" w:sz="0" w:space="0" w:color="auto"/>
          </w:divBdr>
        </w:div>
        <w:div w:id="276639377">
          <w:marLeft w:val="480"/>
          <w:marRight w:val="0"/>
          <w:marTop w:val="0"/>
          <w:marBottom w:val="0"/>
          <w:divBdr>
            <w:top w:val="none" w:sz="0" w:space="0" w:color="auto"/>
            <w:left w:val="none" w:sz="0" w:space="0" w:color="auto"/>
            <w:bottom w:val="none" w:sz="0" w:space="0" w:color="auto"/>
            <w:right w:val="none" w:sz="0" w:space="0" w:color="auto"/>
          </w:divBdr>
        </w:div>
        <w:div w:id="802622985">
          <w:marLeft w:val="480"/>
          <w:marRight w:val="0"/>
          <w:marTop w:val="0"/>
          <w:marBottom w:val="0"/>
          <w:divBdr>
            <w:top w:val="none" w:sz="0" w:space="0" w:color="auto"/>
            <w:left w:val="none" w:sz="0" w:space="0" w:color="auto"/>
            <w:bottom w:val="none" w:sz="0" w:space="0" w:color="auto"/>
            <w:right w:val="none" w:sz="0" w:space="0" w:color="auto"/>
          </w:divBdr>
        </w:div>
        <w:div w:id="968703298">
          <w:marLeft w:val="480"/>
          <w:marRight w:val="0"/>
          <w:marTop w:val="0"/>
          <w:marBottom w:val="0"/>
          <w:divBdr>
            <w:top w:val="none" w:sz="0" w:space="0" w:color="auto"/>
            <w:left w:val="none" w:sz="0" w:space="0" w:color="auto"/>
            <w:bottom w:val="none" w:sz="0" w:space="0" w:color="auto"/>
            <w:right w:val="none" w:sz="0" w:space="0" w:color="auto"/>
          </w:divBdr>
        </w:div>
        <w:div w:id="354843098">
          <w:marLeft w:val="480"/>
          <w:marRight w:val="0"/>
          <w:marTop w:val="0"/>
          <w:marBottom w:val="0"/>
          <w:divBdr>
            <w:top w:val="none" w:sz="0" w:space="0" w:color="auto"/>
            <w:left w:val="none" w:sz="0" w:space="0" w:color="auto"/>
            <w:bottom w:val="none" w:sz="0" w:space="0" w:color="auto"/>
            <w:right w:val="none" w:sz="0" w:space="0" w:color="auto"/>
          </w:divBdr>
        </w:div>
      </w:divsChild>
    </w:div>
    <w:div w:id="843595078">
      <w:bodyDiv w:val="1"/>
      <w:marLeft w:val="0"/>
      <w:marRight w:val="0"/>
      <w:marTop w:val="0"/>
      <w:marBottom w:val="0"/>
      <w:divBdr>
        <w:top w:val="none" w:sz="0" w:space="0" w:color="auto"/>
        <w:left w:val="none" w:sz="0" w:space="0" w:color="auto"/>
        <w:bottom w:val="none" w:sz="0" w:space="0" w:color="auto"/>
        <w:right w:val="none" w:sz="0" w:space="0" w:color="auto"/>
      </w:divBdr>
    </w:div>
    <w:div w:id="843935184">
      <w:bodyDiv w:val="1"/>
      <w:marLeft w:val="0"/>
      <w:marRight w:val="0"/>
      <w:marTop w:val="0"/>
      <w:marBottom w:val="0"/>
      <w:divBdr>
        <w:top w:val="none" w:sz="0" w:space="0" w:color="auto"/>
        <w:left w:val="none" w:sz="0" w:space="0" w:color="auto"/>
        <w:bottom w:val="none" w:sz="0" w:space="0" w:color="auto"/>
        <w:right w:val="none" w:sz="0" w:space="0" w:color="auto"/>
      </w:divBdr>
    </w:div>
    <w:div w:id="844633539">
      <w:bodyDiv w:val="1"/>
      <w:marLeft w:val="0"/>
      <w:marRight w:val="0"/>
      <w:marTop w:val="0"/>
      <w:marBottom w:val="0"/>
      <w:divBdr>
        <w:top w:val="none" w:sz="0" w:space="0" w:color="auto"/>
        <w:left w:val="none" w:sz="0" w:space="0" w:color="auto"/>
        <w:bottom w:val="none" w:sz="0" w:space="0" w:color="auto"/>
        <w:right w:val="none" w:sz="0" w:space="0" w:color="auto"/>
      </w:divBdr>
    </w:div>
    <w:div w:id="844706850">
      <w:bodyDiv w:val="1"/>
      <w:marLeft w:val="0"/>
      <w:marRight w:val="0"/>
      <w:marTop w:val="0"/>
      <w:marBottom w:val="0"/>
      <w:divBdr>
        <w:top w:val="none" w:sz="0" w:space="0" w:color="auto"/>
        <w:left w:val="none" w:sz="0" w:space="0" w:color="auto"/>
        <w:bottom w:val="none" w:sz="0" w:space="0" w:color="auto"/>
        <w:right w:val="none" w:sz="0" w:space="0" w:color="auto"/>
      </w:divBdr>
    </w:div>
    <w:div w:id="844855773">
      <w:bodyDiv w:val="1"/>
      <w:marLeft w:val="0"/>
      <w:marRight w:val="0"/>
      <w:marTop w:val="0"/>
      <w:marBottom w:val="0"/>
      <w:divBdr>
        <w:top w:val="none" w:sz="0" w:space="0" w:color="auto"/>
        <w:left w:val="none" w:sz="0" w:space="0" w:color="auto"/>
        <w:bottom w:val="none" w:sz="0" w:space="0" w:color="auto"/>
        <w:right w:val="none" w:sz="0" w:space="0" w:color="auto"/>
      </w:divBdr>
    </w:div>
    <w:div w:id="846094532">
      <w:bodyDiv w:val="1"/>
      <w:marLeft w:val="0"/>
      <w:marRight w:val="0"/>
      <w:marTop w:val="0"/>
      <w:marBottom w:val="0"/>
      <w:divBdr>
        <w:top w:val="none" w:sz="0" w:space="0" w:color="auto"/>
        <w:left w:val="none" w:sz="0" w:space="0" w:color="auto"/>
        <w:bottom w:val="none" w:sz="0" w:space="0" w:color="auto"/>
        <w:right w:val="none" w:sz="0" w:space="0" w:color="auto"/>
      </w:divBdr>
    </w:div>
    <w:div w:id="846209538">
      <w:bodyDiv w:val="1"/>
      <w:marLeft w:val="0"/>
      <w:marRight w:val="0"/>
      <w:marTop w:val="0"/>
      <w:marBottom w:val="0"/>
      <w:divBdr>
        <w:top w:val="none" w:sz="0" w:space="0" w:color="auto"/>
        <w:left w:val="none" w:sz="0" w:space="0" w:color="auto"/>
        <w:bottom w:val="none" w:sz="0" w:space="0" w:color="auto"/>
        <w:right w:val="none" w:sz="0" w:space="0" w:color="auto"/>
      </w:divBdr>
    </w:div>
    <w:div w:id="847328970">
      <w:bodyDiv w:val="1"/>
      <w:marLeft w:val="0"/>
      <w:marRight w:val="0"/>
      <w:marTop w:val="0"/>
      <w:marBottom w:val="0"/>
      <w:divBdr>
        <w:top w:val="none" w:sz="0" w:space="0" w:color="auto"/>
        <w:left w:val="none" w:sz="0" w:space="0" w:color="auto"/>
        <w:bottom w:val="none" w:sz="0" w:space="0" w:color="auto"/>
        <w:right w:val="none" w:sz="0" w:space="0" w:color="auto"/>
      </w:divBdr>
    </w:div>
    <w:div w:id="847404331">
      <w:bodyDiv w:val="1"/>
      <w:marLeft w:val="0"/>
      <w:marRight w:val="0"/>
      <w:marTop w:val="0"/>
      <w:marBottom w:val="0"/>
      <w:divBdr>
        <w:top w:val="none" w:sz="0" w:space="0" w:color="auto"/>
        <w:left w:val="none" w:sz="0" w:space="0" w:color="auto"/>
        <w:bottom w:val="none" w:sz="0" w:space="0" w:color="auto"/>
        <w:right w:val="none" w:sz="0" w:space="0" w:color="auto"/>
      </w:divBdr>
    </w:div>
    <w:div w:id="848520507">
      <w:bodyDiv w:val="1"/>
      <w:marLeft w:val="0"/>
      <w:marRight w:val="0"/>
      <w:marTop w:val="0"/>
      <w:marBottom w:val="0"/>
      <w:divBdr>
        <w:top w:val="none" w:sz="0" w:space="0" w:color="auto"/>
        <w:left w:val="none" w:sz="0" w:space="0" w:color="auto"/>
        <w:bottom w:val="none" w:sz="0" w:space="0" w:color="auto"/>
        <w:right w:val="none" w:sz="0" w:space="0" w:color="auto"/>
      </w:divBdr>
    </w:div>
    <w:div w:id="848567556">
      <w:bodyDiv w:val="1"/>
      <w:marLeft w:val="0"/>
      <w:marRight w:val="0"/>
      <w:marTop w:val="0"/>
      <w:marBottom w:val="0"/>
      <w:divBdr>
        <w:top w:val="none" w:sz="0" w:space="0" w:color="auto"/>
        <w:left w:val="none" w:sz="0" w:space="0" w:color="auto"/>
        <w:bottom w:val="none" w:sz="0" w:space="0" w:color="auto"/>
        <w:right w:val="none" w:sz="0" w:space="0" w:color="auto"/>
      </w:divBdr>
    </w:div>
    <w:div w:id="848641301">
      <w:bodyDiv w:val="1"/>
      <w:marLeft w:val="0"/>
      <w:marRight w:val="0"/>
      <w:marTop w:val="0"/>
      <w:marBottom w:val="0"/>
      <w:divBdr>
        <w:top w:val="none" w:sz="0" w:space="0" w:color="auto"/>
        <w:left w:val="none" w:sz="0" w:space="0" w:color="auto"/>
        <w:bottom w:val="none" w:sz="0" w:space="0" w:color="auto"/>
        <w:right w:val="none" w:sz="0" w:space="0" w:color="auto"/>
      </w:divBdr>
    </w:div>
    <w:div w:id="848758473">
      <w:bodyDiv w:val="1"/>
      <w:marLeft w:val="0"/>
      <w:marRight w:val="0"/>
      <w:marTop w:val="0"/>
      <w:marBottom w:val="0"/>
      <w:divBdr>
        <w:top w:val="none" w:sz="0" w:space="0" w:color="auto"/>
        <w:left w:val="none" w:sz="0" w:space="0" w:color="auto"/>
        <w:bottom w:val="none" w:sz="0" w:space="0" w:color="auto"/>
        <w:right w:val="none" w:sz="0" w:space="0" w:color="auto"/>
      </w:divBdr>
    </w:div>
    <w:div w:id="849174497">
      <w:bodyDiv w:val="1"/>
      <w:marLeft w:val="0"/>
      <w:marRight w:val="0"/>
      <w:marTop w:val="0"/>
      <w:marBottom w:val="0"/>
      <w:divBdr>
        <w:top w:val="none" w:sz="0" w:space="0" w:color="auto"/>
        <w:left w:val="none" w:sz="0" w:space="0" w:color="auto"/>
        <w:bottom w:val="none" w:sz="0" w:space="0" w:color="auto"/>
        <w:right w:val="none" w:sz="0" w:space="0" w:color="auto"/>
      </w:divBdr>
    </w:div>
    <w:div w:id="849375730">
      <w:bodyDiv w:val="1"/>
      <w:marLeft w:val="0"/>
      <w:marRight w:val="0"/>
      <w:marTop w:val="0"/>
      <w:marBottom w:val="0"/>
      <w:divBdr>
        <w:top w:val="none" w:sz="0" w:space="0" w:color="auto"/>
        <w:left w:val="none" w:sz="0" w:space="0" w:color="auto"/>
        <w:bottom w:val="none" w:sz="0" w:space="0" w:color="auto"/>
        <w:right w:val="none" w:sz="0" w:space="0" w:color="auto"/>
      </w:divBdr>
    </w:div>
    <w:div w:id="849376127">
      <w:bodyDiv w:val="1"/>
      <w:marLeft w:val="0"/>
      <w:marRight w:val="0"/>
      <w:marTop w:val="0"/>
      <w:marBottom w:val="0"/>
      <w:divBdr>
        <w:top w:val="none" w:sz="0" w:space="0" w:color="auto"/>
        <w:left w:val="none" w:sz="0" w:space="0" w:color="auto"/>
        <w:bottom w:val="none" w:sz="0" w:space="0" w:color="auto"/>
        <w:right w:val="none" w:sz="0" w:space="0" w:color="auto"/>
      </w:divBdr>
    </w:div>
    <w:div w:id="849679125">
      <w:bodyDiv w:val="1"/>
      <w:marLeft w:val="0"/>
      <w:marRight w:val="0"/>
      <w:marTop w:val="0"/>
      <w:marBottom w:val="0"/>
      <w:divBdr>
        <w:top w:val="none" w:sz="0" w:space="0" w:color="auto"/>
        <w:left w:val="none" w:sz="0" w:space="0" w:color="auto"/>
        <w:bottom w:val="none" w:sz="0" w:space="0" w:color="auto"/>
        <w:right w:val="none" w:sz="0" w:space="0" w:color="auto"/>
      </w:divBdr>
    </w:div>
    <w:div w:id="849760226">
      <w:bodyDiv w:val="1"/>
      <w:marLeft w:val="0"/>
      <w:marRight w:val="0"/>
      <w:marTop w:val="0"/>
      <w:marBottom w:val="0"/>
      <w:divBdr>
        <w:top w:val="none" w:sz="0" w:space="0" w:color="auto"/>
        <w:left w:val="none" w:sz="0" w:space="0" w:color="auto"/>
        <w:bottom w:val="none" w:sz="0" w:space="0" w:color="auto"/>
        <w:right w:val="none" w:sz="0" w:space="0" w:color="auto"/>
      </w:divBdr>
    </w:div>
    <w:div w:id="850146587">
      <w:bodyDiv w:val="1"/>
      <w:marLeft w:val="0"/>
      <w:marRight w:val="0"/>
      <w:marTop w:val="0"/>
      <w:marBottom w:val="0"/>
      <w:divBdr>
        <w:top w:val="none" w:sz="0" w:space="0" w:color="auto"/>
        <w:left w:val="none" w:sz="0" w:space="0" w:color="auto"/>
        <w:bottom w:val="none" w:sz="0" w:space="0" w:color="auto"/>
        <w:right w:val="none" w:sz="0" w:space="0" w:color="auto"/>
      </w:divBdr>
      <w:divsChild>
        <w:div w:id="1670016032">
          <w:marLeft w:val="480"/>
          <w:marRight w:val="0"/>
          <w:marTop w:val="0"/>
          <w:marBottom w:val="0"/>
          <w:divBdr>
            <w:top w:val="none" w:sz="0" w:space="0" w:color="auto"/>
            <w:left w:val="none" w:sz="0" w:space="0" w:color="auto"/>
            <w:bottom w:val="none" w:sz="0" w:space="0" w:color="auto"/>
            <w:right w:val="none" w:sz="0" w:space="0" w:color="auto"/>
          </w:divBdr>
        </w:div>
        <w:div w:id="2096855873">
          <w:marLeft w:val="480"/>
          <w:marRight w:val="0"/>
          <w:marTop w:val="0"/>
          <w:marBottom w:val="0"/>
          <w:divBdr>
            <w:top w:val="none" w:sz="0" w:space="0" w:color="auto"/>
            <w:left w:val="none" w:sz="0" w:space="0" w:color="auto"/>
            <w:bottom w:val="none" w:sz="0" w:space="0" w:color="auto"/>
            <w:right w:val="none" w:sz="0" w:space="0" w:color="auto"/>
          </w:divBdr>
        </w:div>
        <w:div w:id="2122453177">
          <w:marLeft w:val="480"/>
          <w:marRight w:val="0"/>
          <w:marTop w:val="0"/>
          <w:marBottom w:val="0"/>
          <w:divBdr>
            <w:top w:val="none" w:sz="0" w:space="0" w:color="auto"/>
            <w:left w:val="none" w:sz="0" w:space="0" w:color="auto"/>
            <w:bottom w:val="none" w:sz="0" w:space="0" w:color="auto"/>
            <w:right w:val="none" w:sz="0" w:space="0" w:color="auto"/>
          </w:divBdr>
        </w:div>
        <w:div w:id="1297419797">
          <w:marLeft w:val="480"/>
          <w:marRight w:val="0"/>
          <w:marTop w:val="0"/>
          <w:marBottom w:val="0"/>
          <w:divBdr>
            <w:top w:val="none" w:sz="0" w:space="0" w:color="auto"/>
            <w:left w:val="none" w:sz="0" w:space="0" w:color="auto"/>
            <w:bottom w:val="none" w:sz="0" w:space="0" w:color="auto"/>
            <w:right w:val="none" w:sz="0" w:space="0" w:color="auto"/>
          </w:divBdr>
        </w:div>
        <w:div w:id="1679455416">
          <w:marLeft w:val="480"/>
          <w:marRight w:val="0"/>
          <w:marTop w:val="0"/>
          <w:marBottom w:val="0"/>
          <w:divBdr>
            <w:top w:val="none" w:sz="0" w:space="0" w:color="auto"/>
            <w:left w:val="none" w:sz="0" w:space="0" w:color="auto"/>
            <w:bottom w:val="none" w:sz="0" w:space="0" w:color="auto"/>
            <w:right w:val="none" w:sz="0" w:space="0" w:color="auto"/>
          </w:divBdr>
        </w:div>
        <w:div w:id="1107776070">
          <w:marLeft w:val="480"/>
          <w:marRight w:val="0"/>
          <w:marTop w:val="0"/>
          <w:marBottom w:val="0"/>
          <w:divBdr>
            <w:top w:val="none" w:sz="0" w:space="0" w:color="auto"/>
            <w:left w:val="none" w:sz="0" w:space="0" w:color="auto"/>
            <w:bottom w:val="none" w:sz="0" w:space="0" w:color="auto"/>
            <w:right w:val="none" w:sz="0" w:space="0" w:color="auto"/>
          </w:divBdr>
        </w:div>
        <w:div w:id="1488786964">
          <w:marLeft w:val="480"/>
          <w:marRight w:val="0"/>
          <w:marTop w:val="0"/>
          <w:marBottom w:val="0"/>
          <w:divBdr>
            <w:top w:val="none" w:sz="0" w:space="0" w:color="auto"/>
            <w:left w:val="none" w:sz="0" w:space="0" w:color="auto"/>
            <w:bottom w:val="none" w:sz="0" w:space="0" w:color="auto"/>
            <w:right w:val="none" w:sz="0" w:space="0" w:color="auto"/>
          </w:divBdr>
        </w:div>
        <w:div w:id="2089107224">
          <w:marLeft w:val="480"/>
          <w:marRight w:val="0"/>
          <w:marTop w:val="0"/>
          <w:marBottom w:val="0"/>
          <w:divBdr>
            <w:top w:val="none" w:sz="0" w:space="0" w:color="auto"/>
            <w:left w:val="none" w:sz="0" w:space="0" w:color="auto"/>
            <w:bottom w:val="none" w:sz="0" w:space="0" w:color="auto"/>
            <w:right w:val="none" w:sz="0" w:space="0" w:color="auto"/>
          </w:divBdr>
        </w:div>
        <w:div w:id="1131173782">
          <w:marLeft w:val="480"/>
          <w:marRight w:val="0"/>
          <w:marTop w:val="0"/>
          <w:marBottom w:val="0"/>
          <w:divBdr>
            <w:top w:val="none" w:sz="0" w:space="0" w:color="auto"/>
            <w:left w:val="none" w:sz="0" w:space="0" w:color="auto"/>
            <w:bottom w:val="none" w:sz="0" w:space="0" w:color="auto"/>
            <w:right w:val="none" w:sz="0" w:space="0" w:color="auto"/>
          </w:divBdr>
        </w:div>
        <w:div w:id="1723627071">
          <w:marLeft w:val="480"/>
          <w:marRight w:val="0"/>
          <w:marTop w:val="0"/>
          <w:marBottom w:val="0"/>
          <w:divBdr>
            <w:top w:val="none" w:sz="0" w:space="0" w:color="auto"/>
            <w:left w:val="none" w:sz="0" w:space="0" w:color="auto"/>
            <w:bottom w:val="none" w:sz="0" w:space="0" w:color="auto"/>
            <w:right w:val="none" w:sz="0" w:space="0" w:color="auto"/>
          </w:divBdr>
        </w:div>
        <w:div w:id="1919169898">
          <w:marLeft w:val="480"/>
          <w:marRight w:val="0"/>
          <w:marTop w:val="0"/>
          <w:marBottom w:val="0"/>
          <w:divBdr>
            <w:top w:val="none" w:sz="0" w:space="0" w:color="auto"/>
            <w:left w:val="none" w:sz="0" w:space="0" w:color="auto"/>
            <w:bottom w:val="none" w:sz="0" w:space="0" w:color="auto"/>
            <w:right w:val="none" w:sz="0" w:space="0" w:color="auto"/>
          </w:divBdr>
        </w:div>
        <w:div w:id="591821073">
          <w:marLeft w:val="480"/>
          <w:marRight w:val="0"/>
          <w:marTop w:val="0"/>
          <w:marBottom w:val="0"/>
          <w:divBdr>
            <w:top w:val="none" w:sz="0" w:space="0" w:color="auto"/>
            <w:left w:val="none" w:sz="0" w:space="0" w:color="auto"/>
            <w:bottom w:val="none" w:sz="0" w:space="0" w:color="auto"/>
            <w:right w:val="none" w:sz="0" w:space="0" w:color="auto"/>
          </w:divBdr>
        </w:div>
        <w:div w:id="1647390280">
          <w:marLeft w:val="480"/>
          <w:marRight w:val="0"/>
          <w:marTop w:val="0"/>
          <w:marBottom w:val="0"/>
          <w:divBdr>
            <w:top w:val="none" w:sz="0" w:space="0" w:color="auto"/>
            <w:left w:val="none" w:sz="0" w:space="0" w:color="auto"/>
            <w:bottom w:val="none" w:sz="0" w:space="0" w:color="auto"/>
            <w:right w:val="none" w:sz="0" w:space="0" w:color="auto"/>
          </w:divBdr>
        </w:div>
        <w:div w:id="47733273">
          <w:marLeft w:val="480"/>
          <w:marRight w:val="0"/>
          <w:marTop w:val="0"/>
          <w:marBottom w:val="0"/>
          <w:divBdr>
            <w:top w:val="none" w:sz="0" w:space="0" w:color="auto"/>
            <w:left w:val="none" w:sz="0" w:space="0" w:color="auto"/>
            <w:bottom w:val="none" w:sz="0" w:space="0" w:color="auto"/>
            <w:right w:val="none" w:sz="0" w:space="0" w:color="auto"/>
          </w:divBdr>
        </w:div>
        <w:div w:id="1929608263">
          <w:marLeft w:val="480"/>
          <w:marRight w:val="0"/>
          <w:marTop w:val="0"/>
          <w:marBottom w:val="0"/>
          <w:divBdr>
            <w:top w:val="none" w:sz="0" w:space="0" w:color="auto"/>
            <w:left w:val="none" w:sz="0" w:space="0" w:color="auto"/>
            <w:bottom w:val="none" w:sz="0" w:space="0" w:color="auto"/>
            <w:right w:val="none" w:sz="0" w:space="0" w:color="auto"/>
          </w:divBdr>
        </w:div>
        <w:div w:id="726412516">
          <w:marLeft w:val="480"/>
          <w:marRight w:val="0"/>
          <w:marTop w:val="0"/>
          <w:marBottom w:val="0"/>
          <w:divBdr>
            <w:top w:val="none" w:sz="0" w:space="0" w:color="auto"/>
            <w:left w:val="none" w:sz="0" w:space="0" w:color="auto"/>
            <w:bottom w:val="none" w:sz="0" w:space="0" w:color="auto"/>
            <w:right w:val="none" w:sz="0" w:space="0" w:color="auto"/>
          </w:divBdr>
        </w:div>
        <w:div w:id="1776174243">
          <w:marLeft w:val="480"/>
          <w:marRight w:val="0"/>
          <w:marTop w:val="0"/>
          <w:marBottom w:val="0"/>
          <w:divBdr>
            <w:top w:val="none" w:sz="0" w:space="0" w:color="auto"/>
            <w:left w:val="none" w:sz="0" w:space="0" w:color="auto"/>
            <w:bottom w:val="none" w:sz="0" w:space="0" w:color="auto"/>
            <w:right w:val="none" w:sz="0" w:space="0" w:color="auto"/>
          </w:divBdr>
        </w:div>
        <w:div w:id="1771198308">
          <w:marLeft w:val="480"/>
          <w:marRight w:val="0"/>
          <w:marTop w:val="0"/>
          <w:marBottom w:val="0"/>
          <w:divBdr>
            <w:top w:val="none" w:sz="0" w:space="0" w:color="auto"/>
            <w:left w:val="none" w:sz="0" w:space="0" w:color="auto"/>
            <w:bottom w:val="none" w:sz="0" w:space="0" w:color="auto"/>
            <w:right w:val="none" w:sz="0" w:space="0" w:color="auto"/>
          </w:divBdr>
        </w:div>
        <w:div w:id="700741791">
          <w:marLeft w:val="480"/>
          <w:marRight w:val="0"/>
          <w:marTop w:val="0"/>
          <w:marBottom w:val="0"/>
          <w:divBdr>
            <w:top w:val="none" w:sz="0" w:space="0" w:color="auto"/>
            <w:left w:val="none" w:sz="0" w:space="0" w:color="auto"/>
            <w:bottom w:val="none" w:sz="0" w:space="0" w:color="auto"/>
            <w:right w:val="none" w:sz="0" w:space="0" w:color="auto"/>
          </w:divBdr>
        </w:div>
        <w:div w:id="1533611192">
          <w:marLeft w:val="480"/>
          <w:marRight w:val="0"/>
          <w:marTop w:val="0"/>
          <w:marBottom w:val="0"/>
          <w:divBdr>
            <w:top w:val="none" w:sz="0" w:space="0" w:color="auto"/>
            <w:left w:val="none" w:sz="0" w:space="0" w:color="auto"/>
            <w:bottom w:val="none" w:sz="0" w:space="0" w:color="auto"/>
            <w:right w:val="none" w:sz="0" w:space="0" w:color="auto"/>
          </w:divBdr>
        </w:div>
        <w:div w:id="709765165">
          <w:marLeft w:val="480"/>
          <w:marRight w:val="0"/>
          <w:marTop w:val="0"/>
          <w:marBottom w:val="0"/>
          <w:divBdr>
            <w:top w:val="none" w:sz="0" w:space="0" w:color="auto"/>
            <w:left w:val="none" w:sz="0" w:space="0" w:color="auto"/>
            <w:bottom w:val="none" w:sz="0" w:space="0" w:color="auto"/>
            <w:right w:val="none" w:sz="0" w:space="0" w:color="auto"/>
          </w:divBdr>
        </w:div>
        <w:div w:id="1496652977">
          <w:marLeft w:val="480"/>
          <w:marRight w:val="0"/>
          <w:marTop w:val="0"/>
          <w:marBottom w:val="0"/>
          <w:divBdr>
            <w:top w:val="none" w:sz="0" w:space="0" w:color="auto"/>
            <w:left w:val="none" w:sz="0" w:space="0" w:color="auto"/>
            <w:bottom w:val="none" w:sz="0" w:space="0" w:color="auto"/>
            <w:right w:val="none" w:sz="0" w:space="0" w:color="auto"/>
          </w:divBdr>
        </w:div>
        <w:div w:id="810438498">
          <w:marLeft w:val="480"/>
          <w:marRight w:val="0"/>
          <w:marTop w:val="0"/>
          <w:marBottom w:val="0"/>
          <w:divBdr>
            <w:top w:val="none" w:sz="0" w:space="0" w:color="auto"/>
            <w:left w:val="none" w:sz="0" w:space="0" w:color="auto"/>
            <w:bottom w:val="none" w:sz="0" w:space="0" w:color="auto"/>
            <w:right w:val="none" w:sz="0" w:space="0" w:color="auto"/>
          </w:divBdr>
        </w:div>
        <w:div w:id="1721515138">
          <w:marLeft w:val="480"/>
          <w:marRight w:val="0"/>
          <w:marTop w:val="0"/>
          <w:marBottom w:val="0"/>
          <w:divBdr>
            <w:top w:val="none" w:sz="0" w:space="0" w:color="auto"/>
            <w:left w:val="none" w:sz="0" w:space="0" w:color="auto"/>
            <w:bottom w:val="none" w:sz="0" w:space="0" w:color="auto"/>
            <w:right w:val="none" w:sz="0" w:space="0" w:color="auto"/>
          </w:divBdr>
        </w:div>
        <w:div w:id="1455370303">
          <w:marLeft w:val="480"/>
          <w:marRight w:val="0"/>
          <w:marTop w:val="0"/>
          <w:marBottom w:val="0"/>
          <w:divBdr>
            <w:top w:val="none" w:sz="0" w:space="0" w:color="auto"/>
            <w:left w:val="none" w:sz="0" w:space="0" w:color="auto"/>
            <w:bottom w:val="none" w:sz="0" w:space="0" w:color="auto"/>
            <w:right w:val="none" w:sz="0" w:space="0" w:color="auto"/>
          </w:divBdr>
        </w:div>
        <w:div w:id="1397511251">
          <w:marLeft w:val="480"/>
          <w:marRight w:val="0"/>
          <w:marTop w:val="0"/>
          <w:marBottom w:val="0"/>
          <w:divBdr>
            <w:top w:val="none" w:sz="0" w:space="0" w:color="auto"/>
            <w:left w:val="none" w:sz="0" w:space="0" w:color="auto"/>
            <w:bottom w:val="none" w:sz="0" w:space="0" w:color="auto"/>
            <w:right w:val="none" w:sz="0" w:space="0" w:color="auto"/>
          </w:divBdr>
        </w:div>
        <w:div w:id="238827727">
          <w:marLeft w:val="480"/>
          <w:marRight w:val="0"/>
          <w:marTop w:val="0"/>
          <w:marBottom w:val="0"/>
          <w:divBdr>
            <w:top w:val="none" w:sz="0" w:space="0" w:color="auto"/>
            <w:left w:val="none" w:sz="0" w:space="0" w:color="auto"/>
            <w:bottom w:val="none" w:sz="0" w:space="0" w:color="auto"/>
            <w:right w:val="none" w:sz="0" w:space="0" w:color="auto"/>
          </w:divBdr>
        </w:div>
        <w:div w:id="950433451">
          <w:marLeft w:val="480"/>
          <w:marRight w:val="0"/>
          <w:marTop w:val="0"/>
          <w:marBottom w:val="0"/>
          <w:divBdr>
            <w:top w:val="none" w:sz="0" w:space="0" w:color="auto"/>
            <w:left w:val="none" w:sz="0" w:space="0" w:color="auto"/>
            <w:bottom w:val="none" w:sz="0" w:space="0" w:color="auto"/>
            <w:right w:val="none" w:sz="0" w:space="0" w:color="auto"/>
          </w:divBdr>
        </w:div>
        <w:div w:id="1268197541">
          <w:marLeft w:val="480"/>
          <w:marRight w:val="0"/>
          <w:marTop w:val="0"/>
          <w:marBottom w:val="0"/>
          <w:divBdr>
            <w:top w:val="none" w:sz="0" w:space="0" w:color="auto"/>
            <w:left w:val="none" w:sz="0" w:space="0" w:color="auto"/>
            <w:bottom w:val="none" w:sz="0" w:space="0" w:color="auto"/>
            <w:right w:val="none" w:sz="0" w:space="0" w:color="auto"/>
          </w:divBdr>
        </w:div>
        <w:div w:id="1231035635">
          <w:marLeft w:val="480"/>
          <w:marRight w:val="0"/>
          <w:marTop w:val="0"/>
          <w:marBottom w:val="0"/>
          <w:divBdr>
            <w:top w:val="none" w:sz="0" w:space="0" w:color="auto"/>
            <w:left w:val="none" w:sz="0" w:space="0" w:color="auto"/>
            <w:bottom w:val="none" w:sz="0" w:space="0" w:color="auto"/>
            <w:right w:val="none" w:sz="0" w:space="0" w:color="auto"/>
          </w:divBdr>
        </w:div>
        <w:div w:id="959337966">
          <w:marLeft w:val="480"/>
          <w:marRight w:val="0"/>
          <w:marTop w:val="0"/>
          <w:marBottom w:val="0"/>
          <w:divBdr>
            <w:top w:val="none" w:sz="0" w:space="0" w:color="auto"/>
            <w:left w:val="none" w:sz="0" w:space="0" w:color="auto"/>
            <w:bottom w:val="none" w:sz="0" w:space="0" w:color="auto"/>
            <w:right w:val="none" w:sz="0" w:space="0" w:color="auto"/>
          </w:divBdr>
        </w:div>
        <w:div w:id="1579051772">
          <w:marLeft w:val="480"/>
          <w:marRight w:val="0"/>
          <w:marTop w:val="0"/>
          <w:marBottom w:val="0"/>
          <w:divBdr>
            <w:top w:val="none" w:sz="0" w:space="0" w:color="auto"/>
            <w:left w:val="none" w:sz="0" w:space="0" w:color="auto"/>
            <w:bottom w:val="none" w:sz="0" w:space="0" w:color="auto"/>
            <w:right w:val="none" w:sz="0" w:space="0" w:color="auto"/>
          </w:divBdr>
        </w:div>
        <w:div w:id="226302763">
          <w:marLeft w:val="480"/>
          <w:marRight w:val="0"/>
          <w:marTop w:val="0"/>
          <w:marBottom w:val="0"/>
          <w:divBdr>
            <w:top w:val="none" w:sz="0" w:space="0" w:color="auto"/>
            <w:left w:val="none" w:sz="0" w:space="0" w:color="auto"/>
            <w:bottom w:val="none" w:sz="0" w:space="0" w:color="auto"/>
            <w:right w:val="none" w:sz="0" w:space="0" w:color="auto"/>
          </w:divBdr>
        </w:div>
        <w:div w:id="1071270311">
          <w:marLeft w:val="480"/>
          <w:marRight w:val="0"/>
          <w:marTop w:val="0"/>
          <w:marBottom w:val="0"/>
          <w:divBdr>
            <w:top w:val="none" w:sz="0" w:space="0" w:color="auto"/>
            <w:left w:val="none" w:sz="0" w:space="0" w:color="auto"/>
            <w:bottom w:val="none" w:sz="0" w:space="0" w:color="auto"/>
            <w:right w:val="none" w:sz="0" w:space="0" w:color="auto"/>
          </w:divBdr>
        </w:div>
        <w:div w:id="1749765628">
          <w:marLeft w:val="480"/>
          <w:marRight w:val="0"/>
          <w:marTop w:val="0"/>
          <w:marBottom w:val="0"/>
          <w:divBdr>
            <w:top w:val="none" w:sz="0" w:space="0" w:color="auto"/>
            <w:left w:val="none" w:sz="0" w:space="0" w:color="auto"/>
            <w:bottom w:val="none" w:sz="0" w:space="0" w:color="auto"/>
            <w:right w:val="none" w:sz="0" w:space="0" w:color="auto"/>
          </w:divBdr>
        </w:div>
        <w:div w:id="341515259">
          <w:marLeft w:val="480"/>
          <w:marRight w:val="0"/>
          <w:marTop w:val="0"/>
          <w:marBottom w:val="0"/>
          <w:divBdr>
            <w:top w:val="none" w:sz="0" w:space="0" w:color="auto"/>
            <w:left w:val="none" w:sz="0" w:space="0" w:color="auto"/>
            <w:bottom w:val="none" w:sz="0" w:space="0" w:color="auto"/>
            <w:right w:val="none" w:sz="0" w:space="0" w:color="auto"/>
          </w:divBdr>
        </w:div>
        <w:div w:id="573049946">
          <w:marLeft w:val="480"/>
          <w:marRight w:val="0"/>
          <w:marTop w:val="0"/>
          <w:marBottom w:val="0"/>
          <w:divBdr>
            <w:top w:val="none" w:sz="0" w:space="0" w:color="auto"/>
            <w:left w:val="none" w:sz="0" w:space="0" w:color="auto"/>
            <w:bottom w:val="none" w:sz="0" w:space="0" w:color="auto"/>
            <w:right w:val="none" w:sz="0" w:space="0" w:color="auto"/>
          </w:divBdr>
        </w:div>
        <w:div w:id="471099004">
          <w:marLeft w:val="480"/>
          <w:marRight w:val="0"/>
          <w:marTop w:val="0"/>
          <w:marBottom w:val="0"/>
          <w:divBdr>
            <w:top w:val="none" w:sz="0" w:space="0" w:color="auto"/>
            <w:left w:val="none" w:sz="0" w:space="0" w:color="auto"/>
            <w:bottom w:val="none" w:sz="0" w:space="0" w:color="auto"/>
            <w:right w:val="none" w:sz="0" w:space="0" w:color="auto"/>
          </w:divBdr>
        </w:div>
        <w:div w:id="1560289325">
          <w:marLeft w:val="480"/>
          <w:marRight w:val="0"/>
          <w:marTop w:val="0"/>
          <w:marBottom w:val="0"/>
          <w:divBdr>
            <w:top w:val="none" w:sz="0" w:space="0" w:color="auto"/>
            <w:left w:val="none" w:sz="0" w:space="0" w:color="auto"/>
            <w:bottom w:val="none" w:sz="0" w:space="0" w:color="auto"/>
            <w:right w:val="none" w:sz="0" w:space="0" w:color="auto"/>
          </w:divBdr>
        </w:div>
        <w:div w:id="1976443916">
          <w:marLeft w:val="480"/>
          <w:marRight w:val="0"/>
          <w:marTop w:val="0"/>
          <w:marBottom w:val="0"/>
          <w:divBdr>
            <w:top w:val="none" w:sz="0" w:space="0" w:color="auto"/>
            <w:left w:val="none" w:sz="0" w:space="0" w:color="auto"/>
            <w:bottom w:val="none" w:sz="0" w:space="0" w:color="auto"/>
            <w:right w:val="none" w:sz="0" w:space="0" w:color="auto"/>
          </w:divBdr>
        </w:div>
        <w:div w:id="99227501">
          <w:marLeft w:val="480"/>
          <w:marRight w:val="0"/>
          <w:marTop w:val="0"/>
          <w:marBottom w:val="0"/>
          <w:divBdr>
            <w:top w:val="none" w:sz="0" w:space="0" w:color="auto"/>
            <w:left w:val="none" w:sz="0" w:space="0" w:color="auto"/>
            <w:bottom w:val="none" w:sz="0" w:space="0" w:color="auto"/>
            <w:right w:val="none" w:sz="0" w:space="0" w:color="auto"/>
          </w:divBdr>
        </w:div>
        <w:div w:id="1328173865">
          <w:marLeft w:val="480"/>
          <w:marRight w:val="0"/>
          <w:marTop w:val="0"/>
          <w:marBottom w:val="0"/>
          <w:divBdr>
            <w:top w:val="none" w:sz="0" w:space="0" w:color="auto"/>
            <w:left w:val="none" w:sz="0" w:space="0" w:color="auto"/>
            <w:bottom w:val="none" w:sz="0" w:space="0" w:color="auto"/>
            <w:right w:val="none" w:sz="0" w:space="0" w:color="auto"/>
          </w:divBdr>
        </w:div>
        <w:div w:id="878054575">
          <w:marLeft w:val="480"/>
          <w:marRight w:val="0"/>
          <w:marTop w:val="0"/>
          <w:marBottom w:val="0"/>
          <w:divBdr>
            <w:top w:val="none" w:sz="0" w:space="0" w:color="auto"/>
            <w:left w:val="none" w:sz="0" w:space="0" w:color="auto"/>
            <w:bottom w:val="none" w:sz="0" w:space="0" w:color="auto"/>
            <w:right w:val="none" w:sz="0" w:space="0" w:color="auto"/>
          </w:divBdr>
        </w:div>
        <w:div w:id="813840485">
          <w:marLeft w:val="480"/>
          <w:marRight w:val="0"/>
          <w:marTop w:val="0"/>
          <w:marBottom w:val="0"/>
          <w:divBdr>
            <w:top w:val="none" w:sz="0" w:space="0" w:color="auto"/>
            <w:left w:val="none" w:sz="0" w:space="0" w:color="auto"/>
            <w:bottom w:val="none" w:sz="0" w:space="0" w:color="auto"/>
            <w:right w:val="none" w:sz="0" w:space="0" w:color="auto"/>
          </w:divBdr>
        </w:div>
        <w:div w:id="2042120855">
          <w:marLeft w:val="480"/>
          <w:marRight w:val="0"/>
          <w:marTop w:val="0"/>
          <w:marBottom w:val="0"/>
          <w:divBdr>
            <w:top w:val="none" w:sz="0" w:space="0" w:color="auto"/>
            <w:left w:val="none" w:sz="0" w:space="0" w:color="auto"/>
            <w:bottom w:val="none" w:sz="0" w:space="0" w:color="auto"/>
            <w:right w:val="none" w:sz="0" w:space="0" w:color="auto"/>
          </w:divBdr>
        </w:div>
        <w:div w:id="71658309">
          <w:marLeft w:val="480"/>
          <w:marRight w:val="0"/>
          <w:marTop w:val="0"/>
          <w:marBottom w:val="0"/>
          <w:divBdr>
            <w:top w:val="none" w:sz="0" w:space="0" w:color="auto"/>
            <w:left w:val="none" w:sz="0" w:space="0" w:color="auto"/>
            <w:bottom w:val="none" w:sz="0" w:space="0" w:color="auto"/>
            <w:right w:val="none" w:sz="0" w:space="0" w:color="auto"/>
          </w:divBdr>
        </w:div>
        <w:div w:id="1692487431">
          <w:marLeft w:val="480"/>
          <w:marRight w:val="0"/>
          <w:marTop w:val="0"/>
          <w:marBottom w:val="0"/>
          <w:divBdr>
            <w:top w:val="none" w:sz="0" w:space="0" w:color="auto"/>
            <w:left w:val="none" w:sz="0" w:space="0" w:color="auto"/>
            <w:bottom w:val="none" w:sz="0" w:space="0" w:color="auto"/>
            <w:right w:val="none" w:sz="0" w:space="0" w:color="auto"/>
          </w:divBdr>
        </w:div>
        <w:div w:id="2010062931">
          <w:marLeft w:val="480"/>
          <w:marRight w:val="0"/>
          <w:marTop w:val="0"/>
          <w:marBottom w:val="0"/>
          <w:divBdr>
            <w:top w:val="none" w:sz="0" w:space="0" w:color="auto"/>
            <w:left w:val="none" w:sz="0" w:space="0" w:color="auto"/>
            <w:bottom w:val="none" w:sz="0" w:space="0" w:color="auto"/>
            <w:right w:val="none" w:sz="0" w:space="0" w:color="auto"/>
          </w:divBdr>
        </w:div>
        <w:div w:id="492111362">
          <w:marLeft w:val="480"/>
          <w:marRight w:val="0"/>
          <w:marTop w:val="0"/>
          <w:marBottom w:val="0"/>
          <w:divBdr>
            <w:top w:val="none" w:sz="0" w:space="0" w:color="auto"/>
            <w:left w:val="none" w:sz="0" w:space="0" w:color="auto"/>
            <w:bottom w:val="none" w:sz="0" w:space="0" w:color="auto"/>
            <w:right w:val="none" w:sz="0" w:space="0" w:color="auto"/>
          </w:divBdr>
        </w:div>
        <w:div w:id="232937748">
          <w:marLeft w:val="480"/>
          <w:marRight w:val="0"/>
          <w:marTop w:val="0"/>
          <w:marBottom w:val="0"/>
          <w:divBdr>
            <w:top w:val="none" w:sz="0" w:space="0" w:color="auto"/>
            <w:left w:val="none" w:sz="0" w:space="0" w:color="auto"/>
            <w:bottom w:val="none" w:sz="0" w:space="0" w:color="auto"/>
            <w:right w:val="none" w:sz="0" w:space="0" w:color="auto"/>
          </w:divBdr>
        </w:div>
        <w:div w:id="2100517357">
          <w:marLeft w:val="480"/>
          <w:marRight w:val="0"/>
          <w:marTop w:val="0"/>
          <w:marBottom w:val="0"/>
          <w:divBdr>
            <w:top w:val="none" w:sz="0" w:space="0" w:color="auto"/>
            <w:left w:val="none" w:sz="0" w:space="0" w:color="auto"/>
            <w:bottom w:val="none" w:sz="0" w:space="0" w:color="auto"/>
            <w:right w:val="none" w:sz="0" w:space="0" w:color="auto"/>
          </w:divBdr>
        </w:div>
        <w:div w:id="1493712562">
          <w:marLeft w:val="480"/>
          <w:marRight w:val="0"/>
          <w:marTop w:val="0"/>
          <w:marBottom w:val="0"/>
          <w:divBdr>
            <w:top w:val="none" w:sz="0" w:space="0" w:color="auto"/>
            <w:left w:val="none" w:sz="0" w:space="0" w:color="auto"/>
            <w:bottom w:val="none" w:sz="0" w:space="0" w:color="auto"/>
            <w:right w:val="none" w:sz="0" w:space="0" w:color="auto"/>
          </w:divBdr>
        </w:div>
        <w:div w:id="997198357">
          <w:marLeft w:val="480"/>
          <w:marRight w:val="0"/>
          <w:marTop w:val="0"/>
          <w:marBottom w:val="0"/>
          <w:divBdr>
            <w:top w:val="none" w:sz="0" w:space="0" w:color="auto"/>
            <w:left w:val="none" w:sz="0" w:space="0" w:color="auto"/>
            <w:bottom w:val="none" w:sz="0" w:space="0" w:color="auto"/>
            <w:right w:val="none" w:sz="0" w:space="0" w:color="auto"/>
          </w:divBdr>
        </w:div>
        <w:div w:id="1270434782">
          <w:marLeft w:val="480"/>
          <w:marRight w:val="0"/>
          <w:marTop w:val="0"/>
          <w:marBottom w:val="0"/>
          <w:divBdr>
            <w:top w:val="none" w:sz="0" w:space="0" w:color="auto"/>
            <w:left w:val="none" w:sz="0" w:space="0" w:color="auto"/>
            <w:bottom w:val="none" w:sz="0" w:space="0" w:color="auto"/>
            <w:right w:val="none" w:sz="0" w:space="0" w:color="auto"/>
          </w:divBdr>
        </w:div>
        <w:div w:id="1514147411">
          <w:marLeft w:val="480"/>
          <w:marRight w:val="0"/>
          <w:marTop w:val="0"/>
          <w:marBottom w:val="0"/>
          <w:divBdr>
            <w:top w:val="none" w:sz="0" w:space="0" w:color="auto"/>
            <w:left w:val="none" w:sz="0" w:space="0" w:color="auto"/>
            <w:bottom w:val="none" w:sz="0" w:space="0" w:color="auto"/>
            <w:right w:val="none" w:sz="0" w:space="0" w:color="auto"/>
          </w:divBdr>
        </w:div>
        <w:div w:id="1503162355">
          <w:marLeft w:val="480"/>
          <w:marRight w:val="0"/>
          <w:marTop w:val="0"/>
          <w:marBottom w:val="0"/>
          <w:divBdr>
            <w:top w:val="none" w:sz="0" w:space="0" w:color="auto"/>
            <w:left w:val="none" w:sz="0" w:space="0" w:color="auto"/>
            <w:bottom w:val="none" w:sz="0" w:space="0" w:color="auto"/>
            <w:right w:val="none" w:sz="0" w:space="0" w:color="auto"/>
          </w:divBdr>
        </w:div>
        <w:div w:id="1858735293">
          <w:marLeft w:val="480"/>
          <w:marRight w:val="0"/>
          <w:marTop w:val="0"/>
          <w:marBottom w:val="0"/>
          <w:divBdr>
            <w:top w:val="none" w:sz="0" w:space="0" w:color="auto"/>
            <w:left w:val="none" w:sz="0" w:space="0" w:color="auto"/>
            <w:bottom w:val="none" w:sz="0" w:space="0" w:color="auto"/>
            <w:right w:val="none" w:sz="0" w:space="0" w:color="auto"/>
          </w:divBdr>
        </w:div>
        <w:div w:id="1179732892">
          <w:marLeft w:val="480"/>
          <w:marRight w:val="0"/>
          <w:marTop w:val="0"/>
          <w:marBottom w:val="0"/>
          <w:divBdr>
            <w:top w:val="none" w:sz="0" w:space="0" w:color="auto"/>
            <w:left w:val="none" w:sz="0" w:space="0" w:color="auto"/>
            <w:bottom w:val="none" w:sz="0" w:space="0" w:color="auto"/>
            <w:right w:val="none" w:sz="0" w:space="0" w:color="auto"/>
          </w:divBdr>
        </w:div>
        <w:div w:id="1130780101">
          <w:marLeft w:val="480"/>
          <w:marRight w:val="0"/>
          <w:marTop w:val="0"/>
          <w:marBottom w:val="0"/>
          <w:divBdr>
            <w:top w:val="none" w:sz="0" w:space="0" w:color="auto"/>
            <w:left w:val="none" w:sz="0" w:space="0" w:color="auto"/>
            <w:bottom w:val="none" w:sz="0" w:space="0" w:color="auto"/>
            <w:right w:val="none" w:sz="0" w:space="0" w:color="auto"/>
          </w:divBdr>
        </w:div>
        <w:div w:id="460802415">
          <w:marLeft w:val="480"/>
          <w:marRight w:val="0"/>
          <w:marTop w:val="0"/>
          <w:marBottom w:val="0"/>
          <w:divBdr>
            <w:top w:val="none" w:sz="0" w:space="0" w:color="auto"/>
            <w:left w:val="none" w:sz="0" w:space="0" w:color="auto"/>
            <w:bottom w:val="none" w:sz="0" w:space="0" w:color="auto"/>
            <w:right w:val="none" w:sz="0" w:space="0" w:color="auto"/>
          </w:divBdr>
        </w:div>
        <w:div w:id="1531340104">
          <w:marLeft w:val="480"/>
          <w:marRight w:val="0"/>
          <w:marTop w:val="0"/>
          <w:marBottom w:val="0"/>
          <w:divBdr>
            <w:top w:val="none" w:sz="0" w:space="0" w:color="auto"/>
            <w:left w:val="none" w:sz="0" w:space="0" w:color="auto"/>
            <w:bottom w:val="none" w:sz="0" w:space="0" w:color="auto"/>
            <w:right w:val="none" w:sz="0" w:space="0" w:color="auto"/>
          </w:divBdr>
        </w:div>
        <w:div w:id="1934126471">
          <w:marLeft w:val="480"/>
          <w:marRight w:val="0"/>
          <w:marTop w:val="0"/>
          <w:marBottom w:val="0"/>
          <w:divBdr>
            <w:top w:val="none" w:sz="0" w:space="0" w:color="auto"/>
            <w:left w:val="none" w:sz="0" w:space="0" w:color="auto"/>
            <w:bottom w:val="none" w:sz="0" w:space="0" w:color="auto"/>
            <w:right w:val="none" w:sz="0" w:space="0" w:color="auto"/>
          </w:divBdr>
        </w:div>
        <w:div w:id="285698991">
          <w:marLeft w:val="480"/>
          <w:marRight w:val="0"/>
          <w:marTop w:val="0"/>
          <w:marBottom w:val="0"/>
          <w:divBdr>
            <w:top w:val="none" w:sz="0" w:space="0" w:color="auto"/>
            <w:left w:val="none" w:sz="0" w:space="0" w:color="auto"/>
            <w:bottom w:val="none" w:sz="0" w:space="0" w:color="auto"/>
            <w:right w:val="none" w:sz="0" w:space="0" w:color="auto"/>
          </w:divBdr>
        </w:div>
        <w:div w:id="1897164547">
          <w:marLeft w:val="480"/>
          <w:marRight w:val="0"/>
          <w:marTop w:val="0"/>
          <w:marBottom w:val="0"/>
          <w:divBdr>
            <w:top w:val="none" w:sz="0" w:space="0" w:color="auto"/>
            <w:left w:val="none" w:sz="0" w:space="0" w:color="auto"/>
            <w:bottom w:val="none" w:sz="0" w:space="0" w:color="auto"/>
            <w:right w:val="none" w:sz="0" w:space="0" w:color="auto"/>
          </w:divBdr>
        </w:div>
        <w:div w:id="1211772820">
          <w:marLeft w:val="480"/>
          <w:marRight w:val="0"/>
          <w:marTop w:val="0"/>
          <w:marBottom w:val="0"/>
          <w:divBdr>
            <w:top w:val="none" w:sz="0" w:space="0" w:color="auto"/>
            <w:left w:val="none" w:sz="0" w:space="0" w:color="auto"/>
            <w:bottom w:val="none" w:sz="0" w:space="0" w:color="auto"/>
            <w:right w:val="none" w:sz="0" w:space="0" w:color="auto"/>
          </w:divBdr>
        </w:div>
        <w:div w:id="1353454244">
          <w:marLeft w:val="480"/>
          <w:marRight w:val="0"/>
          <w:marTop w:val="0"/>
          <w:marBottom w:val="0"/>
          <w:divBdr>
            <w:top w:val="none" w:sz="0" w:space="0" w:color="auto"/>
            <w:left w:val="none" w:sz="0" w:space="0" w:color="auto"/>
            <w:bottom w:val="none" w:sz="0" w:space="0" w:color="auto"/>
            <w:right w:val="none" w:sz="0" w:space="0" w:color="auto"/>
          </w:divBdr>
        </w:div>
        <w:div w:id="1811558883">
          <w:marLeft w:val="480"/>
          <w:marRight w:val="0"/>
          <w:marTop w:val="0"/>
          <w:marBottom w:val="0"/>
          <w:divBdr>
            <w:top w:val="none" w:sz="0" w:space="0" w:color="auto"/>
            <w:left w:val="none" w:sz="0" w:space="0" w:color="auto"/>
            <w:bottom w:val="none" w:sz="0" w:space="0" w:color="auto"/>
            <w:right w:val="none" w:sz="0" w:space="0" w:color="auto"/>
          </w:divBdr>
        </w:div>
        <w:div w:id="647128335">
          <w:marLeft w:val="480"/>
          <w:marRight w:val="0"/>
          <w:marTop w:val="0"/>
          <w:marBottom w:val="0"/>
          <w:divBdr>
            <w:top w:val="none" w:sz="0" w:space="0" w:color="auto"/>
            <w:left w:val="none" w:sz="0" w:space="0" w:color="auto"/>
            <w:bottom w:val="none" w:sz="0" w:space="0" w:color="auto"/>
            <w:right w:val="none" w:sz="0" w:space="0" w:color="auto"/>
          </w:divBdr>
        </w:div>
        <w:div w:id="849374554">
          <w:marLeft w:val="480"/>
          <w:marRight w:val="0"/>
          <w:marTop w:val="0"/>
          <w:marBottom w:val="0"/>
          <w:divBdr>
            <w:top w:val="none" w:sz="0" w:space="0" w:color="auto"/>
            <w:left w:val="none" w:sz="0" w:space="0" w:color="auto"/>
            <w:bottom w:val="none" w:sz="0" w:space="0" w:color="auto"/>
            <w:right w:val="none" w:sz="0" w:space="0" w:color="auto"/>
          </w:divBdr>
        </w:div>
        <w:div w:id="423041463">
          <w:marLeft w:val="480"/>
          <w:marRight w:val="0"/>
          <w:marTop w:val="0"/>
          <w:marBottom w:val="0"/>
          <w:divBdr>
            <w:top w:val="none" w:sz="0" w:space="0" w:color="auto"/>
            <w:left w:val="none" w:sz="0" w:space="0" w:color="auto"/>
            <w:bottom w:val="none" w:sz="0" w:space="0" w:color="auto"/>
            <w:right w:val="none" w:sz="0" w:space="0" w:color="auto"/>
          </w:divBdr>
        </w:div>
        <w:div w:id="2116898492">
          <w:marLeft w:val="480"/>
          <w:marRight w:val="0"/>
          <w:marTop w:val="0"/>
          <w:marBottom w:val="0"/>
          <w:divBdr>
            <w:top w:val="none" w:sz="0" w:space="0" w:color="auto"/>
            <w:left w:val="none" w:sz="0" w:space="0" w:color="auto"/>
            <w:bottom w:val="none" w:sz="0" w:space="0" w:color="auto"/>
            <w:right w:val="none" w:sz="0" w:space="0" w:color="auto"/>
          </w:divBdr>
        </w:div>
        <w:div w:id="1595287249">
          <w:marLeft w:val="480"/>
          <w:marRight w:val="0"/>
          <w:marTop w:val="0"/>
          <w:marBottom w:val="0"/>
          <w:divBdr>
            <w:top w:val="none" w:sz="0" w:space="0" w:color="auto"/>
            <w:left w:val="none" w:sz="0" w:space="0" w:color="auto"/>
            <w:bottom w:val="none" w:sz="0" w:space="0" w:color="auto"/>
            <w:right w:val="none" w:sz="0" w:space="0" w:color="auto"/>
          </w:divBdr>
        </w:div>
        <w:div w:id="1842547309">
          <w:marLeft w:val="480"/>
          <w:marRight w:val="0"/>
          <w:marTop w:val="0"/>
          <w:marBottom w:val="0"/>
          <w:divBdr>
            <w:top w:val="none" w:sz="0" w:space="0" w:color="auto"/>
            <w:left w:val="none" w:sz="0" w:space="0" w:color="auto"/>
            <w:bottom w:val="none" w:sz="0" w:space="0" w:color="auto"/>
            <w:right w:val="none" w:sz="0" w:space="0" w:color="auto"/>
          </w:divBdr>
        </w:div>
        <w:div w:id="993678264">
          <w:marLeft w:val="480"/>
          <w:marRight w:val="0"/>
          <w:marTop w:val="0"/>
          <w:marBottom w:val="0"/>
          <w:divBdr>
            <w:top w:val="none" w:sz="0" w:space="0" w:color="auto"/>
            <w:left w:val="none" w:sz="0" w:space="0" w:color="auto"/>
            <w:bottom w:val="none" w:sz="0" w:space="0" w:color="auto"/>
            <w:right w:val="none" w:sz="0" w:space="0" w:color="auto"/>
          </w:divBdr>
        </w:div>
        <w:div w:id="185944124">
          <w:marLeft w:val="480"/>
          <w:marRight w:val="0"/>
          <w:marTop w:val="0"/>
          <w:marBottom w:val="0"/>
          <w:divBdr>
            <w:top w:val="none" w:sz="0" w:space="0" w:color="auto"/>
            <w:left w:val="none" w:sz="0" w:space="0" w:color="auto"/>
            <w:bottom w:val="none" w:sz="0" w:space="0" w:color="auto"/>
            <w:right w:val="none" w:sz="0" w:space="0" w:color="auto"/>
          </w:divBdr>
        </w:div>
        <w:div w:id="1206794068">
          <w:marLeft w:val="480"/>
          <w:marRight w:val="0"/>
          <w:marTop w:val="0"/>
          <w:marBottom w:val="0"/>
          <w:divBdr>
            <w:top w:val="none" w:sz="0" w:space="0" w:color="auto"/>
            <w:left w:val="none" w:sz="0" w:space="0" w:color="auto"/>
            <w:bottom w:val="none" w:sz="0" w:space="0" w:color="auto"/>
            <w:right w:val="none" w:sz="0" w:space="0" w:color="auto"/>
          </w:divBdr>
        </w:div>
        <w:div w:id="1633484859">
          <w:marLeft w:val="480"/>
          <w:marRight w:val="0"/>
          <w:marTop w:val="0"/>
          <w:marBottom w:val="0"/>
          <w:divBdr>
            <w:top w:val="none" w:sz="0" w:space="0" w:color="auto"/>
            <w:left w:val="none" w:sz="0" w:space="0" w:color="auto"/>
            <w:bottom w:val="none" w:sz="0" w:space="0" w:color="auto"/>
            <w:right w:val="none" w:sz="0" w:space="0" w:color="auto"/>
          </w:divBdr>
        </w:div>
        <w:div w:id="1999260881">
          <w:marLeft w:val="480"/>
          <w:marRight w:val="0"/>
          <w:marTop w:val="0"/>
          <w:marBottom w:val="0"/>
          <w:divBdr>
            <w:top w:val="none" w:sz="0" w:space="0" w:color="auto"/>
            <w:left w:val="none" w:sz="0" w:space="0" w:color="auto"/>
            <w:bottom w:val="none" w:sz="0" w:space="0" w:color="auto"/>
            <w:right w:val="none" w:sz="0" w:space="0" w:color="auto"/>
          </w:divBdr>
        </w:div>
        <w:div w:id="438722751">
          <w:marLeft w:val="480"/>
          <w:marRight w:val="0"/>
          <w:marTop w:val="0"/>
          <w:marBottom w:val="0"/>
          <w:divBdr>
            <w:top w:val="none" w:sz="0" w:space="0" w:color="auto"/>
            <w:left w:val="none" w:sz="0" w:space="0" w:color="auto"/>
            <w:bottom w:val="none" w:sz="0" w:space="0" w:color="auto"/>
            <w:right w:val="none" w:sz="0" w:space="0" w:color="auto"/>
          </w:divBdr>
        </w:div>
        <w:div w:id="513769287">
          <w:marLeft w:val="480"/>
          <w:marRight w:val="0"/>
          <w:marTop w:val="0"/>
          <w:marBottom w:val="0"/>
          <w:divBdr>
            <w:top w:val="none" w:sz="0" w:space="0" w:color="auto"/>
            <w:left w:val="none" w:sz="0" w:space="0" w:color="auto"/>
            <w:bottom w:val="none" w:sz="0" w:space="0" w:color="auto"/>
            <w:right w:val="none" w:sz="0" w:space="0" w:color="auto"/>
          </w:divBdr>
        </w:div>
        <w:div w:id="1393574744">
          <w:marLeft w:val="480"/>
          <w:marRight w:val="0"/>
          <w:marTop w:val="0"/>
          <w:marBottom w:val="0"/>
          <w:divBdr>
            <w:top w:val="none" w:sz="0" w:space="0" w:color="auto"/>
            <w:left w:val="none" w:sz="0" w:space="0" w:color="auto"/>
            <w:bottom w:val="none" w:sz="0" w:space="0" w:color="auto"/>
            <w:right w:val="none" w:sz="0" w:space="0" w:color="auto"/>
          </w:divBdr>
        </w:div>
        <w:div w:id="1010185470">
          <w:marLeft w:val="480"/>
          <w:marRight w:val="0"/>
          <w:marTop w:val="0"/>
          <w:marBottom w:val="0"/>
          <w:divBdr>
            <w:top w:val="none" w:sz="0" w:space="0" w:color="auto"/>
            <w:left w:val="none" w:sz="0" w:space="0" w:color="auto"/>
            <w:bottom w:val="none" w:sz="0" w:space="0" w:color="auto"/>
            <w:right w:val="none" w:sz="0" w:space="0" w:color="auto"/>
          </w:divBdr>
        </w:div>
        <w:div w:id="1929000065">
          <w:marLeft w:val="480"/>
          <w:marRight w:val="0"/>
          <w:marTop w:val="0"/>
          <w:marBottom w:val="0"/>
          <w:divBdr>
            <w:top w:val="none" w:sz="0" w:space="0" w:color="auto"/>
            <w:left w:val="none" w:sz="0" w:space="0" w:color="auto"/>
            <w:bottom w:val="none" w:sz="0" w:space="0" w:color="auto"/>
            <w:right w:val="none" w:sz="0" w:space="0" w:color="auto"/>
          </w:divBdr>
        </w:div>
        <w:div w:id="952856846">
          <w:marLeft w:val="480"/>
          <w:marRight w:val="0"/>
          <w:marTop w:val="0"/>
          <w:marBottom w:val="0"/>
          <w:divBdr>
            <w:top w:val="none" w:sz="0" w:space="0" w:color="auto"/>
            <w:left w:val="none" w:sz="0" w:space="0" w:color="auto"/>
            <w:bottom w:val="none" w:sz="0" w:space="0" w:color="auto"/>
            <w:right w:val="none" w:sz="0" w:space="0" w:color="auto"/>
          </w:divBdr>
        </w:div>
        <w:div w:id="1622565545">
          <w:marLeft w:val="480"/>
          <w:marRight w:val="0"/>
          <w:marTop w:val="0"/>
          <w:marBottom w:val="0"/>
          <w:divBdr>
            <w:top w:val="none" w:sz="0" w:space="0" w:color="auto"/>
            <w:left w:val="none" w:sz="0" w:space="0" w:color="auto"/>
            <w:bottom w:val="none" w:sz="0" w:space="0" w:color="auto"/>
            <w:right w:val="none" w:sz="0" w:space="0" w:color="auto"/>
          </w:divBdr>
        </w:div>
        <w:div w:id="1364096707">
          <w:marLeft w:val="480"/>
          <w:marRight w:val="0"/>
          <w:marTop w:val="0"/>
          <w:marBottom w:val="0"/>
          <w:divBdr>
            <w:top w:val="none" w:sz="0" w:space="0" w:color="auto"/>
            <w:left w:val="none" w:sz="0" w:space="0" w:color="auto"/>
            <w:bottom w:val="none" w:sz="0" w:space="0" w:color="auto"/>
            <w:right w:val="none" w:sz="0" w:space="0" w:color="auto"/>
          </w:divBdr>
        </w:div>
        <w:div w:id="223108618">
          <w:marLeft w:val="480"/>
          <w:marRight w:val="0"/>
          <w:marTop w:val="0"/>
          <w:marBottom w:val="0"/>
          <w:divBdr>
            <w:top w:val="none" w:sz="0" w:space="0" w:color="auto"/>
            <w:left w:val="none" w:sz="0" w:space="0" w:color="auto"/>
            <w:bottom w:val="none" w:sz="0" w:space="0" w:color="auto"/>
            <w:right w:val="none" w:sz="0" w:space="0" w:color="auto"/>
          </w:divBdr>
        </w:div>
        <w:div w:id="1938904878">
          <w:marLeft w:val="480"/>
          <w:marRight w:val="0"/>
          <w:marTop w:val="0"/>
          <w:marBottom w:val="0"/>
          <w:divBdr>
            <w:top w:val="none" w:sz="0" w:space="0" w:color="auto"/>
            <w:left w:val="none" w:sz="0" w:space="0" w:color="auto"/>
            <w:bottom w:val="none" w:sz="0" w:space="0" w:color="auto"/>
            <w:right w:val="none" w:sz="0" w:space="0" w:color="auto"/>
          </w:divBdr>
        </w:div>
        <w:div w:id="170073228">
          <w:marLeft w:val="480"/>
          <w:marRight w:val="0"/>
          <w:marTop w:val="0"/>
          <w:marBottom w:val="0"/>
          <w:divBdr>
            <w:top w:val="none" w:sz="0" w:space="0" w:color="auto"/>
            <w:left w:val="none" w:sz="0" w:space="0" w:color="auto"/>
            <w:bottom w:val="none" w:sz="0" w:space="0" w:color="auto"/>
            <w:right w:val="none" w:sz="0" w:space="0" w:color="auto"/>
          </w:divBdr>
        </w:div>
        <w:div w:id="1818572459">
          <w:marLeft w:val="480"/>
          <w:marRight w:val="0"/>
          <w:marTop w:val="0"/>
          <w:marBottom w:val="0"/>
          <w:divBdr>
            <w:top w:val="none" w:sz="0" w:space="0" w:color="auto"/>
            <w:left w:val="none" w:sz="0" w:space="0" w:color="auto"/>
            <w:bottom w:val="none" w:sz="0" w:space="0" w:color="auto"/>
            <w:right w:val="none" w:sz="0" w:space="0" w:color="auto"/>
          </w:divBdr>
        </w:div>
        <w:div w:id="870000000">
          <w:marLeft w:val="480"/>
          <w:marRight w:val="0"/>
          <w:marTop w:val="0"/>
          <w:marBottom w:val="0"/>
          <w:divBdr>
            <w:top w:val="none" w:sz="0" w:space="0" w:color="auto"/>
            <w:left w:val="none" w:sz="0" w:space="0" w:color="auto"/>
            <w:bottom w:val="none" w:sz="0" w:space="0" w:color="auto"/>
            <w:right w:val="none" w:sz="0" w:space="0" w:color="auto"/>
          </w:divBdr>
        </w:div>
        <w:div w:id="1562791379">
          <w:marLeft w:val="480"/>
          <w:marRight w:val="0"/>
          <w:marTop w:val="0"/>
          <w:marBottom w:val="0"/>
          <w:divBdr>
            <w:top w:val="none" w:sz="0" w:space="0" w:color="auto"/>
            <w:left w:val="none" w:sz="0" w:space="0" w:color="auto"/>
            <w:bottom w:val="none" w:sz="0" w:space="0" w:color="auto"/>
            <w:right w:val="none" w:sz="0" w:space="0" w:color="auto"/>
          </w:divBdr>
        </w:div>
        <w:div w:id="1929845079">
          <w:marLeft w:val="480"/>
          <w:marRight w:val="0"/>
          <w:marTop w:val="0"/>
          <w:marBottom w:val="0"/>
          <w:divBdr>
            <w:top w:val="none" w:sz="0" w:space="0" w:color="auto"/>
            <w:left w:val="none" w:sz="0" w:space="0" w:color="auto"/>
            <w:bottom w:val="none" w:sz="0" w:space="0" w:color="auto"/>
            <w:right w:val="none" w:sz="0" w:space="0" w:color="auto"/>
          </w:divBdr>
        </w:div>
        <w:div w:id="450781704">
          <w:marLeft w:val="480"/>
          <w:marRight w:val="0"/>
          <w:marTop w:val="0"/>
          <w:marBottom w:val="0"/>
          <w:divBdr>
            <w:top w:val="none" w:sz="0" w:space="0" w:color="auto"/>
            <w:left w:val="none" w:sz="0" w:space="0" w:color="auto"/>
            <w:bottom w:val="none" w:sz="0" w:space="0" w:color="auto"/>
            <w:right w:val="none" w:sz="0" w:space="0" w:color="auto"/>
          </w:divBdr>
        </w:div>
        <w:div w:id="2081246596">
          <w:marLeft w:val="480"/>
          <w:marRight w:val="0"/>
          <w:marTop w:val="0"/>
          <w:marBottom w:val="0"/>
          <w:divBdr>
            <w:top w:val="none" w:sz="0" w:space="0" w:color="auto"/>
            <w:left w:val="none" w:sz="0" w:space="0" w:color="auto"/>
            <w:bottom w:val="none" w:sz="0" w:space="0" w:color="auto"/>
            <w:right w:val="none" w:sz="0" w:space="0" w:color="auto"/>
          </w:divBdr>
        </w:div>
        <w:div w:id="1620987921">
          <w:marLeft w:val="480"/>
          <w:marRight w:val="0"/>
          <w:marTop w:val="0"/>
          <w:marBottom w:val="0"/>
          <w:divBdr>
            <w:top w:val="none" w:sz="0" w:space="0" w:color="auto"/>
            <w:left w:val="none" w:sz="0" w:space="0" w:color="auto"/>
            <w:bottom w:val="none" w:sz="0" w:space="0" w:color="auto"/>
            <w:right w:val="none" w:sz="0" w:space="0" w:color="auto"/>
          </w:divBdr>
        </w:div>
        <w:div w:id="143862114">
          <w:marLeft w:val="480"/>
          <w:marRight w:val="0"/>
          <w:marTop w:val="0"/>
          <w:marBottom w:val="0"/>
          <w:divBdr>
            <w:top w:val="none" w:sz="0" w:space="0" w:color="auto"/>
            <w:left w:val="none" w:sz="0" w:space="0" w:color="auto"/>
            <w:bottom w:val="none" w:sz="0" w:space="0" w:color="auto"/>
            <w:right w:val="none" w:sz="0" w:space="0" w:color="auto"/>
          </w:divBdr>
        </w:div>
        <w:div w:id="591354576">
          <w:marLeft w:val="480"/>
          <w:marRight w:val="0"/>
          <w:marTop w:val="0"/>
          <w:marBottom w:val="0"/>
          <w:divBdr>
            <w:top w:val="none" w:sz="0" w:space="0" w:color="auto"/>
            <w:left w:val="none" w:sz="0" w:space="0" w:color="auto"/>
            <w:bottom w:val="none" w:sz="0" w:space="0" w:color="auto"/>
            <w:right w:val="none" w:sz="0" w:space="0" w:color="auto"/>
          </w:divBdr>
        </w:div>
        <w:div w:id="2040470597">
          <w:marLeft w:val="480"/>
          <w:marRight w:val="0"/>
          <w:marTop w:val="0"/>
          <w:marBottom w:val="0"/>
          <w:divBdr>
            <w:top w:val="none" w:sz="0" w:space="0" w:color="auto"/>
            <w:left w:val="none" w:sz="0" w:space="0" w:color="auto"/>
            <w:bottom w:val="none" w:sz="0" w:space="0" w:color="auto"/>
            <w:right w:val="none" w:sz="0" w:space="0" w:color="auto"/>
          </w:divBdr>
        </w:div>
        <w:div w:id="1547716762">
          <w:marLeft w:val="480"/>
          <w:marRight w:val="0"/>
          <w:marTop w:val="0"/>
          <w:marBottom w:val="0"/>
          <w:divBdr>
            <w:top w:val="none" w:sz="0" w:space="0" w:color="auto"/>
            <w:left w:val="none" w:sz="0" w:space="0" w:color="auto"/>
            <w:bottom w:val="none" w:sz="0" w:space="0" w:color="auto"/>
            <w:right w:val="none" w:sz="0" w:space="0" w:color="auto"/>
          </w:divBdr>
        </w:div>
        <w:div w:id="2113474445">
          <w:marLeft w:val="480"/>
          <w:marRight w:val="0"/>
          <w:marTop w:val="0"/>
          <w:marBottom w:val="0"/>
          <w:divBdr>
            <w:top w:val="none" w:sz="0" w:space="0" w:color="auto"/>
            <w:left w:val="none" w:sz="0" w:space="0" w:color="auto"/>
            <w:bottom w:val="none" w:sz="0" w:space="0" w:color="auto"/>
            <w:right w:val="none" w:sz="0" w:space="0" w:color="auto"/>
          </w:divBdr>
        </w:div>
        <w:div w:id="2065131946">
          <w:marLeft w:val="480"/>
          <w:marRight w:val="0"/>
          <w:marTop w:val="0"/>
          <w:marBottom w:val="0"/>
          <w:divBdr>
            <w:top w:val="none" w:sz="0" w:space="0" w:color="auto"/>
            <w:left w:val="none" w:sz="0" w:space="0" w:color="auto"/>
            <w:bottom w:val="none" w:sz="0" w:space="0" w:color="auto"/>
            <w:right w:val="none" w:sz="0" w:space="0" w:color="auto"/>
          </w:divBdr>
        </w:div>
        <w:div w:id="1772509753">
          <w:marLeft w:val="480"/>
          <w:marRight w:val="0"/>
          <w:marTop w:val="0"/>
          <w:marBottom w:val="0"/>
          <w:divBdr>
            <w:top w:val="none" w:sz="0" w:space="0" w:color="auto"/>
            <w:left w:val="none" w:sz="0" w:space="0" w:color="auto"/>
            <w:bottom w:val="none" w:sz="0" w:space="0" w:color="auto"/>
            <w:right w:val="none" w:sz="0" w:space="0" w:color="auto"/>
          </w:divBdr>
        </w:div>
        <w:div w:id="470706657">
          <w:marLeft w:val="480"/>
          <w:marRight w:val="0"/>
          <w:marTop w:val="0"/>
          <w:marBottom w:val="0"/>
          <w:divBdr>
            <w:top w:val="none" w:sz="0" w:space="0" w:color="auto"/>
            <w:left w:val="none" w:sz="0" w:space="0" w:color="auto"/>
            <w:bottom w:val="none" w:sz="0" w:space="0" w:color="auto"/>
            <w:right w:val="none" w:sz="0" w:space="0" w:color="auto"/>
          </w:divBdr>
        </w:div>
        <w:div w:id="1344622576">
          <w:marLeft w:val="480"/>
          <w:marRight w:val="0"/>
          <w:marTop w:val="0"/>
          <w:marBottom w:val="0"/>
          <w:divBdr>
            <w:top w:val="none" w:sz="0" w:space="0" w:color="auto"/>
            <w:left w:val="none" w:sz="0" w:space="0" w:color="auto"/>
            <w:bottom w:val="none" w:sz="0" w:space="0" w:color="auto"/>
            <w:right w:val="none" w:sz="0" w:space="0" w:color="auto"/>
          </w:divBdr>
        </w:div>
        <w:div w:id="1314482046">
          <w:marLeft w:val="480"/>
          <w:marRight w:val="0"/>
          <w:marTop w:val="0"/>
          <w:marBottom w:val="0"/>
          <w:divBdr>
            <w:top w:val="none" w:sz="0" w:space="0" w:color="auto"/>
            <w:left w:val="none" w:sz="0" w:space="0" w:color="auto"/>
            <w:bottom w:val="none" w:sz="0" w:space="0" w:color="auto"/>
            <w:right w:val="none" w:sz="0" w:space="0" w:color="auto"/>
          </w:divBdr>
        </w:div>
        <w:div w:id="1946956552">
          <w:marLeft w:val="480"/>
          <w:marRight w:val="0"/>
          <w:marTop w:val="0"/>
          <w:marBottom w:val="0"/>
          <w:divBdr>
            <w:top w:val="none" w:sz="0" w:space="0" w:color="auto"/>
            <w:left w:val="none" w:sz="0" w:space="0" w:color="auto"/>
            <w:bottom w:val="none" w:sz="0" w:space="0" w:color="auto"/>
            <w:right w:val="none" w:sz="0" w:space="0" w:color="auto"/>
          </w:divBdr>
        </w:div>
        <w:div w:id="1148210627">
          <w:marLeft w:val="480"/>
          <w:marRight w:val="0"/>
          <w:marTop w:val="0"/>
          <w:marBottom w:val="0"/>
          <w:divBdr>
            <w:top w:val="none" w:sz="0" w:space="0" w:color="auto"/>
            <w:left w:val="none" w:sz="0" w:space="0" w:color="auto"/>
            <w:bottom w:val="none" w:sz="0" w:space="0" w:color="auto"/>
            <w:right w:val="none" w:sz="0" w:space="0" w:color="auto"/>
          </w:divBdr>
        </w:div>
        <w:div w:id="214706211">
          <w:marLeft w:val="480"/>
          <w:marRight w:val="0"/>
          <w:marTop w:val="0"/>
          <w:marBottom w:val="0"/>
          <w:divBdr>
            <w:top w:val="none" w:sz="0" w:space="0" w:color="auto"/>
            <w:left w:val="none" w:sz="0" w:space="0" w:color="auto"/>
            <w:bottom w:val="none" w:sz="0" w:space="0" w:color="auto"/>
            <w:right w:val="none" w:sz="0" w:space="0" w:color="auto"/>
          </w:divBdr>
        </w:div>
        <w:div w:id="1505170089">
          <w:marLeft w:val="480"/>
          <w:marRight w:val="0"/>
          <w:marTop w:val="0"/>
          <w:marBottom w:val="0"/>
          <w:divBdr>
            <w:top w:val="none" w:sz="0" w:space="0" w:color="auto"/>
            <w:left w:val="none" w:sz="0" w:space="0" w:color="auto"/>
            <w:bottom w:val="none" w:sz="0" w:space="0" w:color="auto"/>
            <w:right w:val="none" w:sz="0" w:space="0" w:color="auto"/>
          </w:divBdr>
        </w:div>
        <w:div w:id="1374186902">
          <w:marLeft w:val="480"/>
          <w:marRight w:val="0"/>
          <w:marTop w:val="0"/>
          <w:marBottom w:val="0"/>
          <w:divBdr>
            <w:top w:val="none" w:sz="0" w:space="0" w:color="auto"/>
            <w:left w:val="none" w:sz="0" w:space="0" w:color="auto"/>
            <w:bottom w:val="none" w:sz="0" w:space="0" w:color="auto"/>
            <w:right w:val="none" w:sz="0" w:space="0" w:color="auto"/>
          </w:divBdr>
        </w:div>
        <w:div w:id="1120219510">
          <w:marLeft w:val="480"/>
          <w:marRight w:val="0"/>
          <w:marTop w:val="0"/>
          <w:marBottom w:val="0"/>
          <w:divBdr>
            <w:top w:val="none" w:sz="0" w:space="0" w:color="auto"/>
            <w:left w:val="none" w:sz="0" w:space="0" w:color="auto"/>
            <w:bottom w:val="none" w:sz="0" w:space="0" w:color="auto"/>
            <w:right w:val="none" w:sz="0" w:space="0" w:color="auto"/>
          </w:divBdr>
        </w:div>
        <w:div w:id="481580784">
          <w:marLeft w:val="480"/>
          <w:marRight w:val="0"/>
          <w:marTop w:val="0"/>
          <w:marBottom w:val="0"/>
          <w:divBdr>
            <w:top w:val="none" w:sz="0" w:space="0" w:color="auto"/>
            <w:left w:val="none" w:sz="0" w:space="0" w:color="auto"/>
            <w:bottom w:val="none" w:sz="0" w:space="0" w:color="auto"/>
            <w:right w:val="none" w:sz="0" w:space="0" w:color="auto"/>
          </w:divBdr>
        </w:div>
        <w:div w:id="614140353">
          <w:marLeft w:val="480"/>
          <w:marRight w:val="0"/>
          <w:marTop w:val="0"/>
          <w:marBottom w:val="0"/>
          <w:divBdr>
            <w:top w:val="none" w:sz="0" w:space="0" w:color="auto"/>
            <w:left w:val="none" w:sz="0" w:space="0" w:color="auto"/>
            <w:bottom w:val="none" w:sz="0" w:space="0" w:color="auto"/>
            <w:right w:val="none" w:sz="0" w:space="0" w:color="auto"/>
          </w:divBdr>
        </w:div>
        <w:div w:id="2070154441">
          <w:marLeft w:val="480"/>
          <w:marRight w:val="0"/>
          <w:marTop w:val="0"/>
          <w:marBottom w:val="0"/>
          <w:divBdr>
            <w:top w:val="none" w:sz="0" w:space="0" w:color="auto"/>
            <w:left w:val="none" w:sz="0" w:space="0" w:color="auto"/>
            <w:bottom w:val="none" w:sz="0" w:space="0" w:color="auto"/>
            <w:right w:val="none" w:sz="0" w:space="0" w:color="auto"/>
          </w:divBdr>
        </w:div>
        <w:div w:id="1247879371">
          <w:marLeft w:val="480"/>
          <w:marRight w:val="0"/>
          <w:marTop w:val="0"/>
          <w:marBottom w:val="0"/>
          <w:divBdr>
            <w:top w:val="none" w:sz="0" w:space="0" w:color="auto"/>
            <w:left w:val="none" w:sz="0" w:space="0" w:color="auto"/>
            <w:bottom w:val="none" w:sz="0" w:space="0" w:color="auto"/>
            <w:right w:val="none" w:sz="0" w:space="0" w:color="auto"/>
          </w:divBdr>
        </w:div>
        <w:div w:id="1438913422">
          <w:marLeft w:val="480"/>
          <w:marRight w:val="0"/>
          <w:marTop w:val="0"/>
          <w:marBottom w:val="0"/>
          <w:divBdr>
            <w:top w:val="none" w:sz="0" w:space="0" w:color="auto"/>
            <w:left w:val="none" w:sz="0" w:space="0" w:color="auto"/>
            <w:bottom w:val="none" w:sz="0" w:space="0" w:color="auto"/>
            <w:right w:val="none" w:sz="0" w:space="0" w:color="auto"/>
          </w:divBdr>
        </w:div>
        <w:div w:id="1633095921">
          <w:marLeft w:val="480"/>
          <w:marRight w:val="0"/>
          <w:marTop w:val="0"/>
          <w:marBottom w:val="0"/>
          <w:divBdr>
            <w:top w:val="none" w:sz="0" w:space="0" w:color="auto"/>
            <w:left w:val="none" w:sz="0" w:space="0" w:color="auto"/>
            <w:bottom w:val="none" w:sz="0" w:space="0" w:color="auto"/>
            <w:right w:val="none" w:sz="0" w:space="0" w:color="auto"/>
          </w:divBdr>
        </w:div>
        <w:div w:id="1723556658">
          <w:marLeft w:val="480"/>
          <w:marRight w:val="0"/>
          <w:marTop w:val="0"/>
          <w:marBottom w:val="0"/>
          <w:divBdr>
            <w:top w:val="none" w:sz="0" w:space="0" w:color="auto"/>
            <w:left w:val="none" w:sz="0" w:space="0" w:color="auto"/>
            <w:bottom w:val="none" w:sz="0" w:space="0" w:color="auto"/>
            <w:right w:val="none" w:sz="0" w:space="0" w:color="auto"/>
          </w:divBdr>
        </w:div>
        <w:div w:id="1882815914">
          <w:marLeft w:val="480"/>
          <w:marRight w:val="0"/>
          <w:marTop w:val="0"/>
          <w:marBottom w:val="0"/>
          <w:divBdr>
            <w:top w:val="none" w:sz="0" w:space="0" w:color="auto"/>
            <w:left w:val="none" w:sz="0" w:space="0" w:color="auto"/>
            <w:bottom w:val="none" w:sz="0" w:space="0" w:color="auto"/>
            <w:right w:val="none" w:sz="0" w:space="0" w:color="auto"/>
          </w:divBdr>
        </w:div>
        <w:div w:id="1580402963">
          <w:marLeft w:val="480"/>
          <w:marRight w:val="0"/>
          <w:marTop w:val="0"/>
          <w:marBottom w:val="0"/>
          <w:divBdr>
            <w:top w:val="none" w:sz="0" w:space="0" w:color="auto"/>
            <w:left w:val="none" w:sz="0" w:space="0" w:color="auto"/>
            <w:bottom w:val="none" w:sz="0" w:space="0" w:color="auto"/>
            <w:right w:val="none" w:sz="0" w:space="0" w:color="auto"/>
          </w:divBdr>
        </w:div>
        <w:div w:id="602613519">
          <w:marLeft w:val="480"/>
          <w:marRight w:val="0"/>
          <w:marTop w:val="0"/>
          <w:marBottom w:val="0"/>
          <w:divBdr>
            <w:top w:val="none" w:sz="0" w:space="0" w:color="auto"/>
            <w:left w:val="none" w:sz="0" w:space="0" w:color="auto"/>
            <w:bottom w:val="none" w:sz="0" w:space="0" w:color="auto"/>
            <w:right w:val="none" w:sz="0" w:space="0" w:color="auto"/>
          </w:divBdr>
        </w:div>
        <w:div w:id="148988864">
          <w:marLeft w:val="480"/>
          <w:marRight w:val="0"/>
          <w:marTop w:val="0"/>
          <w:marBottom w:val="0"/>
          <w:divBdr>
            <w:top w:val="none" w:sz="0" w:space="0" w:color="auto"/>
            <w:left w:val="none" w:sz="0" w:space="0" w:color="auto"/>
            <w:bottom w:val="none" w:sz="0" w:space="0" w:color="auto"/>
            <w:right w:val="none" w:sz="0" w:space="0" w:color="auto"/>
          </w:divBdr>
        </w:div>
        <w:div w:id="372509550">
          <w:marLeft w:val="480"/>
          <w:marRight w:val="0"/>
          <w:marTop w:val="0"/>
          <w:marBottom w:val="0"/>
          <w:divBdr>
            <w:top w:val="none" w:sz="0" w:space="0" w:color="auto"/>
            <w:left w:val="none" w:sz="0" w:space="0" w:color="auto"/>
            <w:bottom w:val="none" w:sz="0" w:space="0" w:color="auto"/>
            <w:right w:val="none" w:sz="0" w:space="0" w:color="auto"/>
          </w:divBdr>
        </w:div>
        <w:div w:id="1160150873">
          <w:marLeft w:val="480"/>
          <w:marRight w:val="0"/>
          <w:marTop w:val="0"/>
          <w:marBottom w:val="0"/>
          <w:divBdr>
            <w:top w:val="none" w:sz="0" w:space="0" w:color="auto"/>
            <w:left w:val="none" w:sz="0" w:space="0" w:color="auto"/>
            <w:bottom w:val="none" w:sz="0" w:space="0" w:color="auto"/>
            <w:right w:val="none" w:sz="0" w:space="0" w:color="auto"/>
          </w:divBdr>
        </w:div>
        <w:div w:id="654064279">
          <w:marLeft w:val="480"/>
          <w:marRight w:val="0"/>
          <w:marTop w:val="0"/>
          <w:marBottom w:val="0"/>
          <w:divBdr>
            <w:top w:val="none" w:sz="0" w:space="0" w:color="auto"/>
            <w:left w:val="none" w:sz="0" w:space="0" w:color="auto"/>
            <w:bottom w:val="none" w:sz="0" w:space="0" w:color="auto"/>
            <w:right w:val="none" w:sz="0" w:space="0" w:color="auto"/>
          </w:divBdr>
        </w:div>
        <w:div w:id="780340593">
          <w:marLeft w:val="480"/>
          <w:marRight w:val="0"/>
          <w:marTop w:val="0"/>
          <w:marBottom w:val="0"/>
          <w:divBdr>
            <w:top w:val="none" w:sz="0" w:space="0" w:color="auto"/>
            <w:left w:val="none" w:sz="0" w:space="0" w:color="auto"/>
            <w:bottom w:val="none" w:sz="0" w:space="0" w:color="auto"/>
            <w:right w:val="none" w:sz="0" w:space="0" w:color="auto"/>
          </w:divBdr>
        </w:div>
        <w:div w:id="1472285164">
          <w:marLeft w:val="480"/>
          <w:marRight w:val="0"/>
          <w:marTop w:val="0"/>
          <w:marBottom w:val="0"/>
          <w:divBdr>
            <w:top w:val="none" w:sz="0" w:space="0" w:color="auto"/>
            <w:left w:val="none" w:sz="0" w:space="0" w:color="auto"/>
            <w:bottom w:val="none" w:sz="0" w:space="0" w:color="auto"/>
            <w:right w:val="none" w:sz="0" w:space="0" w:color="auto"/>
          </w:divBdr>
        </w:div>
        <w:div w:id="392387293">
          <w:marLeft w:val="480"/>
          <w:marRight w:val="0"/>
          <w:marTop w:val="0"/>
          <w:marBottom w:val="0"/>
          <w:divBdr>
            <w:top w:val="none" w:sz="0" w:space="0" w:color="auto"/>
            <w:left w:val="none" w:sz="0" w:space="0" w:color="auto"/>
            <w:bottom w:val="none" w:sz="0" w:space="0" w:color="auto"/>
            <w:right w:val="none" w:sz="0" w:space="0" w:color="auto"/>
          </w:divBdr>
        </w:div>
        <w:div w:id="1587307512">
          <w:marLeft w:val="480"/>
          <w:marRight w:val="0"/>
          <w:marTop w:val="0"/>
          <w:marBottom w:val="0"/>
          <w:divBdr>
            <w:top w:val="none" w:sz="0" w:space="0" w:color="auto"/>
            <w:left w:val="none" w:sz="0" w:space="0" w:color="auto"/>
            <w:bottom w:val="none" w:sz="0" w:space="0" w:color="auto"/>
            <w:right w:val="none" w:sz="0" w:space="0" w:color="auto"/>
          </w:divBdr>
        </w:div>
        <w:div w:id="1893734070">
          <w:marLeft w:val="480"/>
          <w:marRight w:val="0"/>
          <w:marTop w:val="0"/>
          <w:marBottom w:val="0"/>
          <w:divBdr>
            <w:top w:val="none" w:sz="0" w:space="0" w:color="auto"/>
            <w:left w:val="none" w:sz="0" w:space="0" w:color="auto"/>
            <w:bottom w:val="none" w:sz="0" w:space="0" w:color="auto"/>
            <w:right w:val="none" w:sz="0" w:space="0" w:color="auto"/>
          </w:divBdr>
        </w:div>
        <w:div w:id="556085740">
          <w:marLeft w:val="480"/>
          <w:marRight w:val="0"/>
          <w:marTop w:val="0"/>
          <w:marBottom w:val="0"/>
          <w:divBdr>
            <w:top w:val="none" w:sz="0" w:space="0" w:color="auto"/>
            <w:left w:val="none" w:sz="0" w:space="0" w:color="auto"/>
            <w:bottom w:val="none" w:sz="0" w:space="0" w:color="auto"/>
            <w:right w:val="none" w:sz="0" w:space="0" w:color="auto"/>
          </w:divBdr>
        </w:div>
        <w:div w:id="1015887914">
          <w:marLeft w:val="480"/>
          <w:marRight w:val="0"/>
          <w:marTop w:val="0"/>
          <w:marBottom w:val="0"/>
          <w:divBdr>
            <w:top w:val="none" w:sz="0" w:space="0" w:color="auto"/>
            <w:left w:val="none" w:sz="0" w:space="0" w:color="auto"/>
            <w:bottom w:val="none" w:sz="0" w:space="0" w:color="auto"/>
            <w:right w:val="none" w:sz="0" w:space="0" w:color="auto"/>
          </w:divBdr>
        </w:div>
        <w:div w:id="513224071">
          <w:marLeft w:val="480"/>
          <w:marRight w:val="0"/>
          <w:marTop w:val="0"/>
          <w:marBottom w:val="0"/>
          <w:divBdr>
            <w:top w:val="none" w:sz="0" w:space="0" w:color="auto"/>
            <w:left w:val="none" w:sz="0" w:space="0" w:color="auto"/>
            <w:bottom w:val="none" w:sz="0" w:space="0" w:color="auto"/>
            <w:right w:val="none" w:sz="0" w:space="0" w:color="auto"/>
          </w:divBdr>
        </w:div>
        <w:div w:id="1863131481">
          <w:marLeft w:val="480"/>
          <w:marRight w:val="0"/>
          <w:marTop w:val="0"/>
          <w:marBottom w:val="0"/>
          <w:divBdr>
            <w:top w:val="none" w:sz="0" w:space="0" w:color="auto"/>
            <w:left w:val="none" w:sz="0" w:space="0" w:color="auto"/>
            <w:bottom w:val="none" w:sz="0" w:space="0" w:color="auto"/>
            <w:right w:val="none" w:sz="0" w:space="0" w:color="auto"/>
          </w:divBdr>
        </w:div>
      </w:divsChild>
    </w:div>
    <w:div w:id="850485527">
      <w:bodyDiv w:val="1"/>
      <w:marLeft w:val="0"/>
      <w:marRight w:val="0"/>
      <w:marTop w:val="0"/>
      <w:marBottom w:val="0"/>
      <w:divBdr>
        <w:top w:val="none" w:sz="0" w:space="0" w:color="auto"/>
        <w:left w:val="none" w:sz="0" w:space="0" w:color="auto"/>
        <w:bottom w:val="none" w:sz="0" w:space="0" w:color="auto"/>
        <w:right w:val="none" w:sz="0" w:space="0" w:color="auto"/>
      </w:divBdr>
    </w:div>
    <w:div w:id="850677252">
      <w:bodyDiv w:val="1"/>
      <w:marLeft w:val="0"/>
      <w:marRight w:val="0"/>
      <w:marTop w:val="0"/>
      <w:marBottom w:val="0"/>
      <w:divBdr>
        <w:top w:val="none" w:sz="0" w:space="0" w:color="auto"/>
        <w:left w:val="none" w:sz="0" w:space="0" w:color="auto"/>
        <w:bottom w:val="none" w:sz="0" w:space="0" w:color="auto"/>
        <w:right w:val="none" w:sz="0" w:space="0" w:color="auto"/>
      </w:divBdr>
    </w:div>
    <w:div w:id="850950677">
      <w:bodyDiv w:val="1"/>
      <w:marLeft w:val="0"/>
      <w:marRight w:val="0"/>
      <w:marTop w:val="0"/>
      <w:marBottom w:val="0"/>
      <w:divBdr>
        <w:top w:val="none" w:sz="0" w:space="0" w:color="auto"/>
        <w:left w:val="none" w:sz="0" w:space="0" w:color="auto"/>
        <w:bottom w:val="none" w:sz="0" w:space="0" w:color="auto"/>
        <w:right w:val="none" w:sz="0" w:space="0" w:color="auto"/>
      </w:divBdr>
    </w:div>
    <w:div w:id="850989145">
      <w:bodyDiv w:val="1"/>
      <w:marLeft w:val="0"/>
      <w:marRight w:val="0"/>
      <w:marTop w:val="0"/>
      <w:marBottom w:val="0"/>
      <w:divBdr>
        <w:top w:val="none" w:sz="0" w:space="0" w:color="auto"/>
        <w:left w:val="none" w:sz="0" w:space="0" w:color="auto"/>
        <w:bottom w:val="none" w:sz="0" w:space="0" w:color="auto"/>
        <w:right w:val="none" w:sz="0" w:space="0" w:color="auto"/>
      </w:divBdr>
    </w:div>
    <w:div w:id="851258699">
      <w:bodyDiv w:val="1"/>
      <w:marLeft w:val="0"/>
      <w:marRight w:val="0"/>
      <w:marTop w:val="0"/>
      <w:marBottom w:val="0"/>
      <w:divBdr>
        <w:top w:val="none" w:sz="0" w:space="0" w:color="auto"/>
        <w:left w:val="none" w:sz="0" w:space="0" w:color="auto"/>
        <w:bottom w:val="none" w:sz="0" w:space="0" w:color="auto"/>
        <w:right w:val="none" w:sz="0" w:space="0" w:color="auto"/>
      </w:divBdr>
    </w:div>
    <w:div w:id="851382126">
      <w:bodyDiv w:val="1"/>
      <w:marLeft w:val="0"/>
      <w:marRight w:val="0"/>
      <w:marTop w:val="0"/>
      <w:marBottom w:val="0"/>
      <w:divBdr>
        <w:top w:val="none" w:sz="0" w:space="0" w:color="auto"/>
        <w:left w:val="none" w:sz="0" w:space="0" w:color="auto"/>
        <w:bottom w:val="none" w:sz="0" w:space="0" w:color="auto"/>
        <w:right w:val="none" w:sz="0" w:space="0" w:color="auto"/>
      </w:divBdr>
    </w:div>
    <w:div w:id="851645366">
      <w:bodyDiv w:val="1"/>
      <w:marLeft w:val="0"/>
      <w:marRight w:val="0"/>
      <w:marTop w:val="0"/>
      <w:marBottom w:val="0"/>
      <w:divBdr>
        <w:top w:val="none" w:sz="0" w:space="0" w:color="auto"/>
        <w:left w:val="none" w:sz="0" w:space="0" w:color="auto"/>
        <w:bottom w:val="none" w:sz="0" w:space="0" w:color="auto"/>
        <w:right w:val="none" w:sz="0" w:space="0" w:color="auto"/>
      </w:divBdr>
    </w:div>
    <w:div w:id="851724066">
      <w:bodyDiv w:val="1"/>
      <w:marLeft w:val="0"/>
      <w:marRight w:val="0"/>
      <w:marTop w:val="0"/>
      <w:marBottom w:val="0"/>
      <w:divBdr>
        <w:top w:val="none" w:sz="0" w:space="0" w:color="auto"/>
        <w:left w:val="none" w:sz="0" w:space="0" w:color="auto"/>
        <w:bottom w:val="none" w:sz="0" w:space="0" w:color="auto"/>
        <w:right w:val="none" w:sz="0" w:space="0" w:color="auto"/>
      </w:divBdr>
    </w:div>
    <w:div w:id="851842023">
      <w:bodyDiv w:val="1"/>
      <w:marLeft w:val="0"/>
      <w:marRight w:val="0"/>
      <w:marTop w:val="0"/>
      <w:marBottom w:val="0"/>
      <w:divBdr>
        <w:top w:val="none" w:sz="0" w:space="0" w:color="auto"/>
        <w:left w:val="none" w:sz="0" w:space="0" w:color="auto"/>
        <w:bottom w:val="none" w:sz="0" w:space="0" w:color="auto"/>
        <w:right w:val="none" w:sz="0" w:space="0" w:color="auto"/>
      </w:divBdr>
    </w:div>
    <w:div w:id="852109773">
      <w:bodyDiv w:val="1"/>
      <w:marLeft w:val="0"/>
      <w:marRight w:val="0"/>
      <w:marTop w:val="0"/>
      <w:marBottom w:val="0"/>
      <w:divBdr>
        <w:top w:val="none" w:sz="0" w:space="0" w:color="auto"/>
        <w:left w:val="none" w:sz="0" w:space="0" w:color="auto"/>
        <w:bottom w:val="none" w:sz="0" w:space="0" w:color="auto"/>
        <w:right w:val="none" w:sz="0" w:space="0" w:color="auto"/>
      </w:divBdr>
    </w:div>
    <w:div w:id="852305523">
      <w:bodyDiv w:val="1"/>
      <w:marLeft w:val="0"/>
      <w:marRight w:val="0"/>
      <w:marTop w:val="0"/>
      <w:marBottom w:val="0"/>
      <w:divBdr>
        <w:top w:val="none" w:sz="0" w:space="0" w:color="auto"/>
        <w:left w:val="none" w:sz="0" w:space="0" w:color="auto"/>
        <w:bottom w:val="none" w:sz="0" w:space="0" w:color="auto"/>
        <w:right w:val="none" w:sz="0" w:space="0" w:color="auto"/>
      </w:divBdr>
    </w:div>
    <w:div w:id="852496206">
      <w:bodyDiv w:val="1"/>
      <w:marLeft w:val="0"/>
      <w:marRight w:val="0"/>
      <w:marTop w:val="0"/>
      <w:marBottom w:val="0"/>
      <w:divBdr>
        <w:top w:val="none" w:sz="0" w:space="0" w:color="auto"/>
        <w:left w:val="none" w:sz="0" w:space="0" w:color="auto"/>
        <w:bottom w:val="none" w:sz="0" w:space="0" w:color="auto"/>
        <w:right w:val="none" w:sz="0" w:space="0" w:color="auto"/>
      </w:divBdr>
    </w:div>
    <w:div w:id="852693681">
      <w:bodyDiv w:val="1"/>
      <w:marLeft w:val="0"/>
      <w:marRight w:val="0"/>
      <w:marTop w:val="0"/>
      <w:marBottom w:val="0"/>
      <w:divBdr>
        <w:top w:val="none" w:sz="0" w:space="0" w:color="auto"/>
        <w:left w:val="none" w:sz="0" w:space="0" w:color="auto"/>
        <w:bottom w:val="none" w:sz="0" w:space="0" w:color="auto"/>
        <w:right w:val="none" w:sz="0" w:space="0" w:color="auto"/>
      </w:divBdr>
    </w:div>
    <w:div w:id="854148208">
      <w:bodyDiv w:val="1"/>
      <w:marLeft w:val="0"/>
      <w:marRight w:val="0"/>
      <w:marTop w:val="0"/>
      <w:marBottom w:val="0"/>
      <w:divBdr>
        <w:top w:val="none" w:sz="0" w:space="0" w:color="auto"/>
        <w:left w:val="none" w:sz="0" w:space="0" w:color="auto"/>
        <w:bottom w:val="none" w:sz="0" w:space="0" w:color="auto"/>
        <w:right w:val="none" w:sz="0" w:space="0" w:color="auto"/>
      </w:divBdr>
    </w:div>
    <w:div w:id="855196043">
      <w:bodyDiv w:val="1"/>
      <w:marLeft w:val="0"/>
      <w:marRight w:val="0"/>
      <w:marTop w:val="0"/>
      <w:marBottom w:val="0"/>
      <w:divBdr>
        <w:top w:val="none" w:sz="0" w:space="0" w:color="auto"/>
        <w:left w:val="none" w:sz="0" w:space="0" w:color="auto"/>
        <w:bottom w:val="none" w:sz="0" w:space="0" w:color="auto"/>
        <w:right w:val="none" w:sz="0" w:space="0" w:color="auto"/>
      </w:divBdr>
    </w:div>
    <w:div w:id="856191975">
      <w:bodyDiv w:val="1"/>
      <w:marLeft w:val="0"/>
      <w:marRight w:val="0"/>
      <w:marTop w:val="0"/>
      <w:marBottom w:val="0"/>
      <w:divBdr>
        <w:top w:val="none" w:sz="0" w:space="0" w:color="auto"/>
        <w:left w:val="none" w:sz="0" w:space="0" w:color="auto"/>
        <w:bottom w:val="none" w:sz="0" w:space="0" w:color="auto"/>
        <w:right w:val="none" w:sz="0" w:space="0" w:color="auto"/>
      </w:divBdr>
    </w:div>
    <w:div w:id="856578073">
      <w:bodyDiv w:val="1"/>
      <w:marLeft w:val="0"/>
      <w:marRight w:val="0"/>
      <w:marTop w:val="0"/>
      <w:marBottom w:val="0"/>
      <w:divBdr>
        <w:top w:val="none" w:sz="0" w:space="0" w:color="auto"/>
        <w:left w:val="none" w:sz="0" w:space="0" w:color="auto"/>
        <w:bottom w:val="none" w:sz="0" w:space="0" w:color="auto"/>
        <w:right w:val="none" w:sz="0" w:space="0" w:color="auto"/>
      </w:divBdr>
    </w:div>
    <w:div w:id="857086167">
      <w:bodyDiv w:val="1"/>
      <w:marLeft w:val="0"/>
      <w:marRight w:val="0"/>
      <w:marTop w:val="0"/>
      <w:marBottom w:val="0"/>
      <w:divBdr>
        <w:top w:val="none" w:sz="0" w:space="0" w:color="auto"/>
        <w:left w:val="none" w:sz="0" w:space="0" w:color="auto"/>
        <w:bottom w:val="none" w:sz="0" w:space="0" w:color="auto"/>
        <w:right w:val="none" w:sz="0" w:space="0" w:color="auto"/>
      </w:divBdr>
    </w:div>
    <w:div w:id="857231318">
      <w:bodyDiv w:val="1"/>
      <w:marLeft w:val="0"/>
      <w:marRight w:val="0"/>
      <w:marTop w:val="0"/>
      <w:marBottom w:val="0"/>
      <w:divBdr>
        <w:top w:val="none" w:sz="0" w:space="0" w:color="auto"/>
        <w:left w:val="none" w:sz="0" w:space="0" w:color="auto"/>
        <w:bottom w:val="none" w:sz="0" w:space="0" w:color="auto"/>
        <w:right w:val="none" w:sz="0" w:space="0" w:color="auto"/>
      </w:divBdr>
    </w:div>
    <w:div w:id="857545204">
      <w:bodyDiv w:val="1"/>
      <w:marLeft w:val="0"/>
      <w:marRight w:val="0"/>
      <w:marTop w:val="0"/>
      <w:marBottom w:val="0"/>
      <w:divBdr>
        <w:top w:val="none" w:sz="0" w:space="0" w:color="auto"/>
        <w:left w:val="none" w:sz="0" w:space="0" w:color="auto"/>
        <w:bottom w:val="none" w:sz="0" w:space="0" w:color="auto"/>
        <w:right w:val="none" w:sz="0" w:space="0" w:color="auto"/>
      </w:divBdr>
    </w:div>
    <w:div w:id="858549315">
      <w:bodyDiv w:val="1"/>
      <w:marLeft w:val="0"/>
      <w:marRight w:val="0"/>
      <w:marTop w:val="0"/>
      <w:marBottom w:val="0"/>
      <w:divBdr>
        <w:top w:val="none" w:sz="0" w:space="0" w:color="auto"/>
        <w:left w:val="none" w:sz="0" w:space="0" w:color="auto"/>
        <w:bottom w:val="none" w:sz="0" w:space="0" w:color="auto"/>
        <w:right w:val="none" w:sz="0" w:space="0" w:color="auto"/>
      </w:divBdr>
    </w:div>
    <w:div w:id="858661257">
      <w:bodyDiv w:val="1"/>
      <w:marLeft w:val="0"/>
      <w:marRight w:val="0"/>
      <w:marTop w:val="0"/>
      <w:marBottom w:val="0"/>
      <w:divBdr>
        <w:top w:val="none" w:sz="0" w:space="0" w:color="auto"/>
        <w:left w:val="none" w:sz="0" w:space="0" w:color="auto"/>
        <w:bottom w:val="none" w:sz="0" w:space="0" w:color="auto"/>
        <w:right w:val="none" w:sz="0" w:space="0" w:color="auto"/>
      </w:divBdr>
      <w:divsChild>
        <w:div w:id="1264806804">
          <w:marLeft w:val="480"/>
          <w:marRight w:val="0"/>
          <w:marTop w:val="0"/>
          <w:marBottom w:val="0"/>
          <w:divBdr>
            <w:top w:val="none" w:sz="0" w:space="0" w:color="auto"/>
            <w:left w:val="none" w:sz="0" w:space="0" w:color="auto"/>
            <w:bottom w:val="none" w:sz="0" w:space="0" w:color="auto"/>
            <w:right w:val="none" w:sz="0" w:space="0" w:color="auto"/>
          </w:divBdr>
        </w:div>
        <w:div w:id="843395997">
          <w:marLeft w:val="480"/>
          <w:marRight w:val="0"/>
          <w:marTop w:val="0"/>
          <w:marBottom w:val="0"/>
          <w:divBdr>
            <w:top w:val="none" w:sz="0" w:space="0" w:color="auto"/>
            <w:left w:val="none" w:sz="0" w:space="0" w:color="auto"/>
            <w:bottom w:val="none" w:sz="0" w:space="0" w:color="auto"/>
            <w:right w:val="none" w:sz="0" w:space="0" w:color="auto"/>
          </w:divBdr>
        </w:div>
        <w:div w:id="1557661765">
          <w:marLeft w:val="480"/>
          <w:marRight w:val="0"/>
          <w:marTop w:val="0"/>
          <w:marBottom w:val="0"/>
          <w:divBdr>
            <w:top w:val="none" w:sz="0" w:space="0" w:color="auto"/>
            <w:left w:val="none" w:sz="0" w:space="0" w:color="auto"/>
            <w:bottom w:val="none" w:sz="0" w:space="0" w:color="auto"/>
            <w:right w:val="none" w:sz="0" w:space="0" w:color="auto"/>
          </w:divBdr>
        </w:div>
        <w:div w:id="720057526">
          <w:marLeft w:val="480"/>
          <w:marRight w:val="0"/>
          <w:marTop w:val="0"/>
          <w:marBottom w:val="0"/>
          <w:divBdr>
            <w:top w:val="none" w:sz="0" w:space="0" w:color="auto"/>
            <w:left w:val="none" w:sz="0" w:space="0" w:color="auto"/>
            <w:bottom w:val="none" w:sz="0" w:space="0" w:color="auto"/>
            <w:right w:val="none" w:sz="0" w:space="0" w:color="auto"/>
          </w:divBdr>
        </w:div>
        <w:div w:id="1886216844">
          <w:marLeft w:val="480"/>
          <w:marRight w:val="0"/>
          <w:marTop w:val="0"/>
          <w:marBottom w:val="0"/>
          <w:divBdr>
            <w:top w:val="none" w:sz="0" w:space="0" w:color="auto"/>
            <w:left w:val="none" w:sz="0" w:space="0" w:color="auto"/>
            <w:bottom w:val="none" w:sz="0" w:space="0" w:color="auto"/>
            <w:right w:val="none" w:sz="0" w:space="0" w:color="auto"/>
          </w:divBdr>
        </w:div>
        <w:div w:id="223688414">
          <w:marLeft w:val="480"/>
          <w:marRight w:val="0"/>
          <w:marTop w:val="0"/>
          <w:marBottom w:val="0"/>
          <w:divBdr>
            <w:top w:val="none" w:sz="0" w:space="0" w:color="auto"/>
            <w:left w:val="none" w:sz="0" w:space="0" w:color="auto"/>
            <w:bottom w:val="none" w:sz="0" w:space="0" w:color="auto"/>
            <w:right w:val="none" w:sz="0" w:space="0" w:color="auto"/>
          </w:divBdr>
        </w:div>
        <w:div w:id="1954903531">
          <w:marLeft w:val="480"/>
          <w:marRight w:val="0"/>
          <w:marTop w:val="0"/>
          <w:marBottom w:val="0"/>
          <w:divBdr>
            <w:top w:val="none" w:sz="0" w:space="0" w:color="auto"/>
            <w:left w:val="none" w:sz="0" w:space="0" w:color="auto"/>
            <w:bottom w:val="none" w:sz="0" w:space="0" w:color="auto"/>
            <w:right w:val="none" w:sz="0" w:space="0" w:color="auto"/>
          </w:divBdr>
        </w:div>
        <w:div w:id="1426414133">
          <w:marLeft w:val="480"/>
          <w:marRight w:val="0"/>
          <w:marTop w:val="0"/>
          <w:marBottom w:val="0"/>
          <w:divBdr>
            <w:top w:val="none" w:sz="0" w:space="0" w:color="auto"/>
            <w:left w:val="none" w:sz="0" w:space="0" w:color="auto"/>
            <w:bottom w:val="none" w:sz="0" w:space="0" w:color="auto"/>
            <w:right w:val="none" w:sz="0" w:space="0" w:color="auto"/>
          </w:divBdr>
        </w:div>
        <w:div w:id="1532764822">
          <w:marLeft w:val="480"/>
          <w:marRight w:val="0"/>
          <w:marTop w:val="0"/>
          <w:marBottom w:val="0"/>
          <w:divBdr>
            <w:top w:val="none" w:sz="0" w:space="0" w:color="auto"/>
            <w:left w:val="none" w:sz="0" w:space="0" w:color="auto"/>
            <w:bottom w:val="none" w:sz="0" w:space="0" w:color="auto"/>
            <w:right w:val="none" w:sz="0" w:space="0" w:color="auto"/>
          </w:divBdr>
        </w:div>
        <w:div w:id="344206796">
          <w:marLeft w:val="480"/>
          <w:marRight w:val="0"/>
          <w:marTop w:val="0"/>
          <w:marBottom w:val="0"/>
          <w:divBdr>
            <w:top w:val="none" w:sz="0" w:space="0" w:color="auto"/>
            <w:left w:val="none" w:sz="0" w:space="0" w:color="auto"/>
            <w:bottom w:val="none" w:sz="0" w:space="0" w:color="auto"/>
            <w:right w:val="none" w:sz="0" w:space="0" w:color="auto"/>
          </w:divBdr>
        </w:div>
        <w:div w:id="1690720617">
          <w:marLeft w:val="480"/>
          <w:marRight w:val="0"/>
          <w:marTop w:val="0"/>
          <w:marBottom w:val="0"/>
          <w:divBdr>
            <w:top w:val="none" w:sz="0" w:space="0" w:color="auto"/>
            <w:left w:val="none" w:sz="0" w:space="0" w:color="auto"/>
            <w:bottom w:val="none" w:sz="0" w:space="0" w:color="auto"/>
            <w:right w:val="none" w:sz="0" w:space="0" w:color="auto"/>
          </w:divBdr>
        </w:div>
        <w:div w:id="1688747660">
          <w:marLeft w:val="480"/>
          <w:marRight w:val="0"/>
          <w:marTop w:val="0"/>
          <w:marBottom w:val="0"/>
          <w:divBdr>
            <w:top w:val="none" w:sz="0" w:space="0" w:color="auto"/>
            <w:left w:val="none" w:sz="0" w:space="0" w:color="auto"/>
            <w:bottom w:val="none" w:sz="0" w:space="0" w:color="auto"/>
            <w:right w:val="none" w:sz="0" w:space="0" w:color="auto"/>
          </w:divBdr>
        </w:div>
        <w:div w:id="1086465328">
          <w:marLeft w:val="480"/>
          <w:marRight w:val="0"/>
          <w:marTop w:val="0"/>
          <w:marBottom w:val="0"/>
          <w:divBdr>
            <w:top w:val="none" w:sz="0" w:space="0" w:color="auto"/>
            <w:left w:val="none" w:sz="0" w:space="0" w:color="auto"/>
            <w:bottom w:val="none" w:sz="0" w:space="0" w:color="auto"/>
            <w:right w:val="none" w:sz="0" w:space="0" w:color="auto"/>
          </w:divBdr>
        </w:div>
        <w:div w:id="1929852627">
          <w:marLeft w:val="480"/>
          <w:marRight w:val="0"/>
          <w:marTop w:val="0"/>
          <w:marBottom w:val="0"/>
          <w:divBdr>
            <w:top w:val="none" w:sz="0" w:space="0" w:color="auto"/>
            <w:left w:val="none" w:sz="0" w:space="0" w:color="auto"/>
            <w:bottom w:val="none" w:sz="0" w:space="0" w:color="auto"/>
            <w:right w:val="none" w:sz="0" w:space="0" w:color="auto"/>
          </w:divBdr>
        </w:div>
        <w:div w:id="619529984">
          <w:marLeft w:val="480"/>
          <w:marRight w:val="0"/>
          <w:marTop w:val="0"/>
          <w:marBottom w:val="0"/>
          <w:divBdr>
            <w:top w:val="none" w:sz="0" w:space="0" w:color="auto"/>
            <w:left w:val="none" w:sz="0" w:space="0" w:color="auto"/>
            <w:bottom w:val="none" w:sz="0" w:space="0" w:color="auto"/>
            <w:right w:val="none" w:sz="0" w:space="0" w:color="auto"/>
          </w:divBdr>
        </w:div>
        <w:div w:id="1265458038">
          <w:marLeft w:val="480"/>
          <w:marRight w:val="0"/>
          <w:marTop w:val="0"/>
          <w:marBottom w:val="0"/>
          <w:divBdr>
            <w:top w:val="none" w:sz="0" w:space="0" w:color="auto"/>
            <w:left w:val="none" w:sz="0" w:space="0" w:color="auto"/>
            <w:bottom w:val="none" w:sz="0" w:space="0" w:color="auto"/>
            <w:right w:val="none" w:sz="0" w:space="0" w:color="auto"/>
          </w:divBdr>
        </w:div>
        <w:div w:id="1750468991">
          <w:marLeft w:val="480"/>
          <w:marRight w:val="0"/>
          <w:marTop w:val="0"/>
          <w:marBottom w:val="0"/>
          <w:divBdr>
            <w:top w:val="none" w:sz="0" w:space="0" w:color="auto"/>
            <w:left w:val="none" w:sz="0" w:space="0" w:color="auto"/>
            <w:bottom w:val="none" w:sz="0" w:space="0" w:color="auto"/>
            <w:right w:val="none" w:sz="0" w:space="0" w:color="auto"/>
          </w:divBdr>
        </w:div>
        <w:div w:id="2095975659">
          <w:marLeft w:val="480"/>
          <w:marRight w:val="0"/>
          <w:marTop w:val="0"/>
          <w:marBottom w:val="0"/>
          <w:divBdr>
            <w:top w:val="none" w:sz="0" w:space="0" w:color="auto"/>
            <w:left w:val="none" w:sz="0" w:space="0" w:color="auto"/>
            <w:bottom w:val="none" w:sz="0" w:space="0" w:color="auto"/>
            <w:right w:val="none" w:sz="0" w:space="0" w:color="auto"/>
          </w:divBdr>
        </w:div>
        <w:div w:id="1450705414">
          <w:marLeft w:val="480"/>
          <w:marRight w:val="0"/>
          <w:marTop w:val="0"/>
          <w:marBottom w:val="0"/>
          <w:divBdr>
            <w:top w:val="none" w:sz="0" w:space="0" w:color="auto"/>
            <w:left w:val="none" w:sz="0" w:space="0" w:color="auto"/>
            <w:bottom w:val="none" w:sz="0" w:space="0" w:color="auto"/>
            <w:right w:val="none" w:sz="0" w:space="0" w:color="auto"/>
          </w:divBdr>
        </w:div>
        <w:div w:id="210653589">
          <w:marLeft w:val="480"/>
          <w:marRight w:val="0"/>
          <w:marTop w:val="0"/>
          <w:marBottom w:val="0"/>
          <w:divBdr>
            <w:top w:val="none" w:sz="0" w:space="0" w:color="auto"/>
            <w:left w:val="none" w:sz="0" w:space="0" w:color="auto"/>
            <w:bottom w:val="none" w:sz="0" w:space="0" w:color="auto"/>
            <w:right w:val="none" w:sz="0" w:space="0" w:color="auto"/>
          </w:divBdr>
        </w:div>
        <w:div w:id="1532954088">
          <w:marLeft w:val="480"/>
          <w:marRight w:val="0"/>
          <w:marTop w:val="0"/>
          <w:marBottom w:val="0"/>
          <w:divBdr>
            <w:top w:val="none" w:sz="0" w:space="0" w:color="auto"/>
            <w:left w:val="none" w:sz="0" w:space="0" w:color="auto"/>
            <w:bottom w:val="none" w:sz="0" w:space="0" w:color="auto"/>
            <w:right w:val="none" w:sz="0" w:space="0" w:color="auto"/>
          </w:divBdr>
        </w:div>
        <w:div w:id="756555712">
          <w:marLeft w:val="480"/>
          <w:marRight w:val="0"/>
          <w:marTop w:val="0"/>
          <w:marBottom w:val="0"/>
          <w:divBdr>
            <w:top w:val="none" w:sz="0" w:space="0" w:color="auto"/>
            <w:left w:val="none" w:sz="0" w:space="0" w:color="auto"/>
            <w:bottom w:val="none" w:sz="0" w:space="0" w:color="auto"/>
            <w:right w:val="none" w:sz="0" w:space="0" w:color="auto"/>
          </w:divBdr>
        </w:div>
        <w:div w:id="426846061">
          <w:marLeft w:val="480"/>
          <w:marRight w:val="0"/>
          <w:marTop w:val="0"/>
          <w:marBottom w:val="0"/>
          <w:divBdr>
            <w:top w:val="none" w:sz="0" w:space="0" w:color="auto"/>
            <w:left w:val="none" w:sz="0" w:space="0" w:color="auto"/>
            <w:bottom w:val="none" w:sz="0" w:space="0" w:color="auto"/>
            <w:right w:val="none" w:sz="0" w:space="0" w:color="auto"/>
          </w:divBdr>
        </w:div>
        <w:div w:id="817190886">
          <w:marLeft w:val="480"/>
          <w:marRight w:val="0"/>
          <w:marTop w:val="0"/>
          <w:marBottom w:val="0"/>
          <w:divBdr>
            <w:top w:val="none" w:sz="0" w:space="0" w:color="auto"/>
            <w:left w:val="none" w:sz="0" w:space="0" w:color="auto"/>
            <w:bottom w:val="none" w:sz="0" w:space="0" w:color="auto"/>
            <w:right w:val="none" w:sz="0" w:space="0" w:color="auto"/>
          </w:divBdr>
        </w:div>
        <w:div w:id="1607735950">
          <w:marLeft w:val="480"/>
          <w:marRight w:val="0"/>
          <w:marTop w:val="0"/>
          <w:marBottom w:val="0"/>
          <w:divBdr>
            <w:top w:val="none" w:sz="0" w:space="0" w:color="auto"/>
            <w:left w:val="none" w:sz="0" w:space="0" w:color="auto"/>
            <w:bottom w:val="none" w:sz="0" w:space="0" w:color="auto"/>
            <w:right w:val="none" w:sz="0" w:space="0" w:color="auto"/>
          </w:divBdr>
        </w:div>
        <w:div w:id="1396201350">
          <w:marLeft w:val="480"/>
          <w:marRight w:val="0"/>
          <w:marTop w:val="0"/>
          <w:marBottom w:val="0"/>
          <w:divBdr>
            <w:top w:val="none" w:sz="0" w:space="0" w:color="auto"/>
            <w:left w:val="none" w:sz="0" w:space="0" w:color="auto"/>
            <w:bottom w:val="none" w:sz="0" w:space="0" w:color="auto"/>
            <w:right w:val="none" w:sz="0" w:space="0" w:color="auto"/>
          </w:divBdr>
        </w:div>
        <w:div w:id="362554579">
          <w:marLeft w:val="480"/>
          <w:marRight w:val="0"/>
          <w:marTop w:val="0"/>
          <w:marBottom w:val="0"/>
          <w:divBdr>
            <w:top w:val="none" w:sz="0" w:space="0" w:color="auto"/>
            <w:left w:val="none" w:sz="0" w:space="0" w:color="auto"/>
            <w:bottom w:val="none" w:sz="0" w:space="0" w:color="auto"/>
            <w:right w:val="none" w:sz="0" w:space="0" w:color="auto"/>
          </w:divBdr>
        </w:div>
        <w:div w:id="561523185">
          <w:marLeft w:val="480"/>
          <w:marRight w:val="0"/>
          <w:marTop w:val="0"/>
          <w:marBottom w:val="0"/>
          <w:divBdr>
            <w:top w:val="none" w:sz="0" w:space="0" w:color="auto"/>
            <w:left w:val="none" w:sz="0" w:space="0" w:color="auto"/>
            <w:bottom w:val="none" w:sz="0" w:space="0" w:color="auto"/>
            <w:right w:val="none" w:sz="0" w:space="0" w:color="auto"/>
          </w:divBdr>
        </w:div>
        <w:div w:id="1414666403">
          <w:marLeft w:val="480"/>
          <w:marRight w:val="0"/>
          <w:marTop w:val="0"/>
          <w:marBottom w:val="0"/>
          <w:divBdr>
            <w:top w:val="none" w:sz="0" w:space="0" w:color="auto"/>
            <w:left w:val="none" w:sz="0" w:space="0" w:color="auto"/>
            <w:bottom w:val="none" w:sz="0" w:space="0" w:color="auto"/>
            <w:right w:val="none" w:sz="0" w:space="0" w:color="auto"/>
          </w:divBdr>
        </w:div>
        <w:div w:id="115295321">
          <w:marLeft w:val="480"/>
          <w:marRight w:val="0"/>
          <w:marTop w:val="0"/>
          <w:marBottom w:val="0"/>
          <w:divBdr>
            <w:top w:val="none" w:sz="0" w:space="0" w:color="auto"/>
            <w:left w:val="none" w:sz="0" w:space="0" w:color="auto"/>
            <w:bottom w:val="none" w:sz="0" w:space="0" w:color="auto"/>
            <w:right w:val="none" w:sz="0" w:space="0" w:color="auto"/>
          </w:divBdr>
        </w:div>
        <w:div w:id="1527131651">
          <w:marLeft w:val="480"/>
          <w:marRight w:val="0"/>
          <w:marTop w:val="0"/>
          <w:marBottom w:val="0"/>
          <w:divBdr>
            <w:top w:val="none" w:sz="0" w:space="0" w:color="auto"/>
            <w:left w:val="none" w:sz="0" w:space="0" w:color="auto"/>
            <w:bottom w:val="none" w:sz="0" w:space="0" w:color="auto"/>
            <w:right w:val="none" w:sz="0" w:space="0" w:color="auto"/>
          </w:divBdr>
        </w:div>
        <w:div w:id="1594823280">
          <w:marLeft w:val="480"/>
          <w:marRight w:val="0"/>
          <w:marTop w:val="0"/>
          <w:marBottom w:val="0"/>
          <w:divBdr>
            <w:top w:val="none" w:sz="0" w:space="0" w:color="auto"/>
            <w:left w:val="none" w:sz="0" w:space="0" w:color="auto"/>
            <w:bottom w:val="none" w:sz="0" w:space="0" w:color="auto"/>
            <w:right w:val="none" w:sz="0" w:space="0" w:color="auto"/>
          </w:divBdr>
        </w:div>
        <w:div w:id="73865759">
          <w:marLeft w:val="480"/>
          <w:marRight w:val="0"/>
          <w:marTop w:val="0"/>
          <w:marBottom w:val="0"/>
          <w:divBdr>
            <w:top w:val="none" w:sz="0" w:space="0" w:color="auto"/>
            <w:left w:val="none" w:sz="0" w:space="0" w:color="auto"/>
            <w:bottom w:val="none" w:sz="0" w:space="0" w:color="auto"/>
            <w:right w:val="none" w:sz="0" w:space="0" w:color="auto"/>
          </w:divBdr>
        </w:div>
        <w:div w:id="570040655">
          <w:marLeft w:val="480"/>
          <w:marRight w:val="0"/>
          <w:marTop w:val="0"/>
          <w:marBottom w:val="0"/>
          <w:divBdr>
            <w:top w:val="none" w:sz="0" w:space="0" w:color="auto"/>
            <w:left w:val="none" w:sz="0" w:space="0" w:color="auto"/>
            <w:bottom w:val="none" w:sz="0" w:space="0" w:color="auto"/>
            <w:right w:val="none" w:sz="0" w:space="0" w:color="auto"/>
          </w:divBdr>
        </w:div>
        <w:div w:id="1904246738">
          <w:marLeft w:val="480"/>
          <w:marRight w:val="0"/>
          <w:marTop w:val="0"/>
          <w:marBottom w:val="0"/>
          <w:divBdr>
            <w:top w:val="none" w:sz="0" w:space="0" w:color="auto"/>
            <w:left w:val="none" w:sz="0" w:space="0" w:color="auto"/>
            <w:bottom w:val="none" w:sz="0" w:space="0" w:color="auto"/>
            <w:right w:val="none" w:sz="0" w:space="0" w:color="auto"/>
          </w:divBdr>
        </w:div>
        <w:div w:id="1515455823">
          <w:marLeft w:val="480"/>
          <w:marRight w:val="0"/>
          <w:marTop w:val="0"/>
          <w:marBottom w:val="0"/>
          <w:divBdr>
            <w:top w:val="none" w:sz="0" w:space="0" w:color="auto"/>
            <w:left w:val="none" w:sz="0" w:space="0" w:color="auto"/>
            <w:bottom w:val="none" w:sz="0" w:space="0" w:color="auto"/>
            <w:right w:val="none" w:sz="0" w:space="0" w:color="auto"/>
          </w:divBdr>
        </w:div>
        <w:div w:id="607397014">
          <w:marLeft w:val="480"/>
          <w:marRight w:val="0"/>
          <w:marTop w:val="0"/>
          <w:marBottom w:val="0"/>
          <w:divBdr>
            <w:top w:val="none" w:sz="0" w:space="0" w:color="auto"/>
            <w:left w:val="none" w:sz="0" w:space="0" w:color="auto"/>
            <w:bottom w:val="none" w:sz="0" w:space="0" w:color="auto"/>
            <w:right w:val="none" w:sz="0" w:space="0" w:color="auto"/>
          </w:divBdr>
        </w:div>
        <w:div w:id="1392120392">
          <w:marLeft w:val="480"/>
          <w:marRight w:val="0"/>
          <w:marTop w:val="0"/>
          <w:marBottom w:val="0"/>
          <w:divBdr>
            <w:top w:val="none" w:sz="0" w:space="0" w:color="auto"/>
            <w:left w:val="none" w:sz="0" w:space="0" w:color="auto"/>
            <w:bottom w:val="none" w:sz="0" w:space="0" w:color="auto"/>
            <w:right w:val="none" w:sz="0" w:space="0" w:color="auto"/>
          </w:divBdr>
        </w:div>
        <w:div w:id="615530065">
          <w:marLeft w:val="480"/>
          <w:marRight w:val="0"/>
          <w:marTop w:val="0"/>
          <w:marBottom w:val="0"/>
          <w:divBdr>
            <w:top w:val="none" w:sz="0" w:space="0" w:color="auto"/>
            <w:left w:val="none" w:sz="0" w:space="0" w:color="auto"/>
            <w:bottom w:val="none" w:sz="0" w:space="0" w:color="auto"/>
            <w:right w:val="none" w:sz="0" w:space="0" w:color="auto"/>
          </w:divBdr>
        </w:div>
        <w:div w:id="186021967">
          <w:marLeft w:val="480"/>
          <w:marRight w:val="0"/>
          <w:marTop w:val="0"/>
          <w:marBottom w:val="0"/>
          <w:divBdr>
            <w:top w:val="none" w:sz="0" w:space="0" w:color="auto"/>
            <w:left w:val="none" w:sz="0" w:space="0" w:color="auto"/>
            <w:bottom w:val="none" w:sz="0" w:space="0" w:color="auto"/>
            <w:right w:val="none" w:sz="0" w:space="0" w:color="auto"/>
          </w:divBdr>
        </w:div>
        <w:div w:id="1111627891">
          <w:marLeft w:val="480"/>
          <w:marRight w:val="0"/>
          <w:marTop w:val="0"/>
          <w:marBottom w:val="0"/>
          <w:divBdr>
            <w:top w:val="none" w:sz="0" w:space="0" w:color="auto"/>
            <w:left w:val="none" w:sz="0" w:space="0" w:color="auto"/>
            <w:bottom w:val="none" w:sz="0" w:space="0" w:color="auto"/>
            <w:right w:val="none" w:sz="0" w:space="0" w:color="auto"/>
          </w:divBdr>
        </w:div>
        <w:div w:id="478769338">
          <w:marLeft w:val="480"/>
          <w:marRight w:val="0"/>
          <w:marTop w:val="0"/>
          <w:marBottom w:val="0"/>
          <w:divBdr>
            <w:top w:val="none" w:sz="0" w:space="0" w:color="auto"/>
            <w:left w:val="none" w:sz="0" w:space="0" w:color="auto"/>
            <w:bottom w:val="none" w:sz="0" w:space="0" w:color="auto"/>
            <w:right w:val="none" w:sz="0" w:space="0" w:color="auto"/>
          </w:divBdr>
        </w:div>
        <w:div w:id="531957632">
          <w:marLeft w:val="480"/>
          <w:marRight w:val="0"/>
          <w:marTop w:val="0"/>
          <w:marBottom w:val="0"/>
          <w:divBdr>
            <w:top w:val="none" w:sz="0" w:space="0" w:color="auto"/>
            <w:left w:val="none" w:sz="0" w:space="0" w:color="auto"/>
            <w:bottom w:val="none" w:sz="0" w:space="0" w:color="auto"/>
            <w:right w:val="none" w:sz="0" w:space="0" w:color="auto"/>
          </w:divBdr>
        </w:div>
        <w:div w:id="1918048427">
          <w:marLeft w:val="480"/>
          <w:marRight w:val="0"/>
          <w:marTop w:val="0"/>
          <w:marBottom w:val="0"/>
          <w:divBdr>
            <w:top w:val="none" w:sz="0" w:space="0" w:color="auto"/>
            <w:left w:val="none" w:sz="0" w:space="0" w:color="auto"/>
            <w:bottom w:val="none" w:sz="0" w:space="0" w:color="auto"/>
            <w:right w:val="none" w:sz="0" w:space="0" w:color="auto"/>
          </w:divBdr>
        </w:div>
        <w:div w:id="1028725231">
          <w:marLeft w:val="480"/>
          <w:marRight w:val="0"/>
          <w:marTop w:val="0"/>
          <w:marBottom w:val="0"/>
          <w:divBdr>
            <w:top w:val="none" w:sz="0" w:space="0" w:color="auto"/>
            <w:left w:val="none" w:sz="0" w:space="0" w:color="auto"/>
            <w:bottom w:val="none" w:sz="0" w:space="0" w:color="auto"/>
            <w:right w:val="none" w:sz="0" w:space="0" w:color="auto"/>
          </w:divBdr>
        </w:div>
        <w:div w:id="405491276">
          <w:marLeft w:val="480"/>
          <w:marRight w:val="0"/>
          <w:marTop w:val="0"/>
          <w:marBottom w:val="0"/>
          <w:divBdr>
            <w:top w:val="none" w:sz="0" w:space="0" w:color="auto"/>
            <w:left w:val="none" w:sz="0" w:space="0" w:color="auto"/>
            <w:bottom w:val="none" w:sz="0" w:space="0" w:color="auto"/>
            <w:right w:val="none" w:sz="0" w:space="0" w:color="auto"/>
          </w:divBdr>
        </w:div>
        <w:div w:id="1974869830">
          <w:marLeft w:val="480"/>
          <w:marRight w:val="0"/>
          <w:marTop w:val="0"/>
          <w:marBottom w:val="0"/>
          <w:divBdr>
            <w:top w:val="none" w:sz="0" w:space="0" w:color="auto"/>
            <w:left w:val="none" w:sz="0" w:space="0" w:color="auto"/>
            <w:bottom w:val="none" w:sz="0" w:space="0" w:color="auto"/>
            <w:right w:val="none" w:sz="0" w:space="0" w:color="auto"/>
          </w:divBdr>
        </w:div>
        <w:div w:id="465854152">
          <w:marLeft w:val="480"/>
          <w:marRight w:val="0"/>
          <w:marTop w:val="0"/>
          <w:marBottom w:val="0"/>
          <w:divBdr>
            <w:top w:val="none" w:sz="0" w:space="0" w:color="auto"/>
            <w:left w:val="none" w:sz="0" w:space="0" w:color="auto"/>
            <w:bottom w:val="none" w:sz="0" w:space="0" w:color="auto"/>
            <w:right w:val="none" w:sz="0" w:space="0" w:color="auto"/>
          </w:divBdr>
        </w:div>
        <w:div w:id="508448941">
          <w:marLeft w:val="480"/>
          <w:marRight w:val="0"/>
          <w:marTop w:val="0"/>
          <w:marBottom w:val="0"/>
          <w:divBdr>
            <w:top w:val="none" w:sz="0" w:space="0" w:color="auto"/>
            <w:left w:val="none" w:sz="0" w:space="0" w:color="auto"/>
            <w:bottom w:val="none" w:sz="0" w:space="0" w:color="auto"/>
            <w:right w:val="none" w:sz="0" w:space="0" w:color="auto"/>
          </w:divBdr>
        </w:div>
        <w:div w:id="2032801892">
          <w:marLeft w:val="480"/>
          <w:marRight w:val="0"/>
          <w:marTop w:val="0"/>
          <w:marBottom w:val="0"/>
          <w:divBdr>
            <w:top w:val="none" w:sz="0" w:space="0" w:color="auto"/>
            <w:left w:val="none" w:sz="0" w:space="0" w:color="auto"/>
            <w:bottom w:val="none" w:sz="0" w:space="0" w:color="auto"/>
            <w:right w:val="none" w:sz="0" w:space="0" w:color="auto"/>
          </w:divBdr>
        </w:div>
        <w:div w:id="171338165">
          <w:marLeft w:val="480"/>
          <w:marRight w:val="0"/>
          <w:marTop w:val="0"/>
          <w:marBottom w:val="0"/>
          <w:divBdr>
            <w:top w:val="none" w:sz="0" w:space="0" w:color="auto"/>
            <w:left w:val="none" w:sz="0" w:space="0" w:color="auto"/>
            <w:bottom w:val="none" w:sz="0" w:space="0" w:color="auto"/>
            <w:right w:val="none" w:sz="0" w:space="0" w:color="auto"/>
          </w:divBdr>
        </w:div>
        <w:div w:id="933703737">
          <w:marLeft w:val="480"/>
          <w:marRight w:val="0"/>
          <w:marTop w:val="0"/>
          <w:marBottom w:val="0"/>
          <w:divBdr>
            <w:top w:val="none" w:sz="0" w:space="0" w:color="auto"/>
            <w:left w:val="none" w:sz="0" w:space="0" w:color="auto"/>
            <w:bottom w:val="none" w:sz="0" w:space="0" w:color="auto"/>
            <w:right w:val="none" w:sz="0" w:space="0" w:color="auto"/>
          </w:divBdr>
        </w:div>
        <w:div w:id="384763299">
          <w:marLeft w:val="480"/>
          <w:marRight w:val="0"/>
          <w:marTop w:val="0"/>
          <w:marBottom w:val="0"/>
          <w:divBdr>
            <w:top w:val="none" w:sz="0" w:space="0" w:color="auto"/>
            <w:left w:val="none" w:sz="0" w:space="0" w:color="auto"/>
            <w:bottom w:val="none" w:sz="0" w:space="0" w:color="auto"/>
            <w:right w:val="none" w:sz="0" w:space="0" w:color="auto"/>
          </w:divBdr>
        </w:div>
        <w:div w:id="1525707945">
          <w:marLeft w:val="480"/>
          <w:marRight w:val="0"/>
          <w:marTop w:val="0"/>
          <w:marBottom w:val="0"/>
          <w:divBdr>
            <w:top w:val="none" w:sz="0" w:space="0" w:color="auto"/>
            <w:left w:val="none" w:sz="0" w:space="0" w:color="auto"/>
            <w:bottom w:val="none" w:sz="0" w:space="0" w:color="auto"/>
            <w:right w:val="none" w:sz="0" w:space="0" w:color="auto"/>
          </w:divBdr>
        </w:div>
        <w:div w:id="1410537294">
          <w:marLeft w:val="480"/>
          <w:marRight w:val="0"/>
          <w:marTop w:val="0"/>
          <w:marBottom w:val="0"/>
          <w:divBdr>
            <w:top w:val="none" w:sz="0" w:space="0" w:color="auto"/>
            <w:left w:val="none" w:sz="0" w:space="0" w:color="auto"/>
            <w:bottom w:val="none" w:sz="0" w:space="0" w:color="auto"/>
            <w:right w:val="none" w:sz="0" w:space="0" w:color="auto"/>
          </w:divBdr>
        </w:div>
        <w:div w:id="963999296">
          <w:marLeft w:val="480"/>
          <w:marRight w:val="0"/>
          <w:marTop w:val="0"/>
          <w:marBottom w:val="0"/>
          <w:divBdr>
            <w:top w:val="none" w:sz="0" w:space="0" w:color="auto"/>
            <w:left w:val="none" w:sz="0" w:space="0" w:color="auto"/>
            <w:bottom w:val="none" w:sz="0" w:space="0" w:color="auto"/>
            <w:right w:val="none" w:sz="0" w:space="0" w:color="auto"/>
          </w:divBdr>
        </w:div>
        <w:div w:id="1564826800">
          <w:marLeft w:val="480"/>
          <w:marRight w:val="0"/>
          <w:marTop w:val="0"/>
          <w:marBottom w:val="0"/>
          <w:divBdr>
            <w:top w:val="none" w:sz="0" w:space="0" w:color="auto"/>
            <w:left w:val="none" w:sz="0" w:space="0" w:color="auto"/>
            <w:bottom w:val="none" w:sz="0" w:space="0" w:color="auto"/>
            <w:right w:val="none" w:sz="0" w:space="0" w:color="auto"/>
          </w:divBdr>
        </w:div>
        <w:div w:id="1707018757">
          <w:marLeft w:val="480"/>
          <w:marRight w:val="0"/>
          <w:marTop w:val="0"/>
          <w:marBottom w:val="0"/>
          <w:divBdr>
            <w:top w:val="none" w:sz="0" w:space="0" w:color="auto"/>
            <w:left w:val="none" w:sz="0" w:space="0" w:color="auto"/>
            <w:bottom w:val="none" w:sz="0" w:space="0" w:color="auto"/>
            <w:right w:val="none" w:sz="0" w:space="0" w:color="auto"/>
          </w:divBdr>
        </w:div>
        <w:div w:id="2097165337">
          <w:marLeft w:val="480"/>
          <w:marRight w:val="0"/>
          <w:marTop w:val="0"/>
          <w:marBottom w:val="0"/>
          <w:divBdr>
            <w:top w:val="none" w:sz="0" w:space="0" w:color="auto"/>
            <w:left w:val="none" w:sz="0" w:space="0" w:color="auto"/>
            <w:bottom w:val="none" w:sz="0" w:space="0" w:color="auto"/>
            <w:right w:val="none" w:sz="0" w:space="0" w:color="auto"/>
          </w:divBdr>
        </w:div>
        <w:div w:id="1905949212">
          <w:marLeft w:val="480"/>
          <w:marRight w:val="0"/>
          <w:marTop w:val="0"/>
          <w:marBottom w:val="0"/>
          <w:divBdr>
            <w:top w:val="none" w:sz="0" w:space="0" w:color="auto"/>
            <w:left w:val="none" w:sz="0" w:space="0" w:color="auto"/>
            <w:bottom w:val="none" w:sz="0" w:space="0" w:color="auto"/>
            <w:right w:val="none" w:sz="0" w:space="0" w:color="auto"/>
          </w:divBdr>
        </w:div>
        <w:div w:id="772285221">
          <w:marLeft w:val="480"/>
          <w:marRight w:val="0"/>
          <w:marTop w:val="0"/>
          <w:marBottom w:val="0"/>
          <w:divBdr>
            <w:top w:val="none" w:sz="0" w:space="0" w:color="auto"/>
            <w:left w:val="none" w:sz="0" w:space="0" w:color="auto"/>
            <w:bottom w:val="none" w:sz="0" w:space="0" w:color="auto"/>
            <w:right w:val="none" w:sz="0" w:space="0" w:color="auto"/>
          </w:divBdr>
        </w:div>
        <w:div w:id="1687293975">
          <w:marLeft w:val="480"/>
          <w:marRight w:val="0"/>
          <w:marTop w:val="0"/>
          <w:marBottom w:val="0"/>
          <w:divBdr>
            <w:top w:val="none" w:sz="0" w:space="0" w:color="auto"/>
            <w:left w:val="none" w:sz="0" w:space="0" w:color="auto"/>
            <w:bottom w:val="none" w:sz="0" w:space="0" w:color="auto"/>
            <w:right w:val="none" w:sz="0" w:space="0" w:color="auto"/>
          </w:divBdr>
        </w:div>
        <w:div w:id="777867054">
          <w:marLeft w:val="480"/>
          <w:marRight w:val="0"/>
          <w:marTop w:val="0"/>
          <w:marBottom w:val="0"/>
          <w:divBdr>
            <w:top w:val="none" w:sz="0" w:space="0" w:color="auto"/>
            <w:left w:val="none" w:sz="0" w:space="0" w:color="auto"/>
            <w:bottom w:val="none" w:sz="0" w:space="0" w:color="auto"/>
            <w:right w:val="none" w:sz="0" w:space="0" w:color="auto"/>
          </w:divBdr>
        </w:div>
        <w:div w:id="961955435">
          <w:marLeft w:val="480"/>
          <w:marRight w:val="0"/>
          <w:marTop w:val="0"/>
          <w:marBottom w:val="0"/>
          <w:divBdr>
            <w:top w:val="none" w:sz="0" w:space="0" w:color="auto"/>
            <w:left w:val="none" w:sz="0" w:space="0" w:color="auto"/>
            <w:bottom w:val="none" w:sz="0" w:space="0" w:color="auto"/>
            <w:right w:val="none" w:sz="0" w:space="0" w:color="auto"/>
          </w:divBdr>
        </w:div>
        <w:div w:id="993411462">
          <w:marLeft w:val="480"/>
          <w:marRight w:val="0"/>
          <w:marTop w:val="0"/>
          <w:marBottom w:val="0"/>
          <w:divBdr>
            <w:top w:val="none" w:sz="0" w:space="0" w:color="auto"/>
            <w:left w:val="none" w:sz="0" w:space="0" w:color="auto"/>
            <w:bottom w:val="none" w:sz="0" w:space="0" w:color="auto"/>
            <w:right w:val="none" w:sz="0" w:space="0" w:color="auto"/>
          </w:divBdr>
        </w:div>
        <w:div w:id="1107580574">
          <w:marLeft w:val="480"/>
          <w:marRight w:val="0"/>
          <w:marTop w:val="0"/>
          <w:marBottom w:val="0"/>
          <w:divBdr>
            <w:top w:val="none" w:sz="0" w:space="0" w:color="auto"/>
            <w:left w:val="none" w:sz="0" w:space="0" w:color="auto"/>
            <w:bottom w:val="none" w:sz="0" w:space="0" w:color="auto"/>
            <w:right w:val="none" w:sz="0" w:space="0" w:color="auto"/>
          </w:divBdr>
        </w:div>
        <w:div w:id="1635719215">
          <w:marLeft w:val="480"/>
          <w:marRight w:val="0"/>
          <w:marTop w:val="0"/>
          <w:marBottom w:val="0"/>
          <w:divBdr>
            <w:top w:val="none" w:sz="0" w:space="0" w:color="auto"/>
            <w:left w:val="none" w:sz="0" w:space="0" w:color="auto"/>
            <w:bottom w:val="none" w:sz="0" w:space="0" w:color="auto"/>
            <w:right w:val="none" w:sz="0" w:space="0" w:color="auto"/>
          </w:divBdr>
        </w:div>
        <w:div w:id="1287543546">
          <w:marLeft w:val="480"/>
          <w:marRight w:val="0"/>
          <w:marTop w:val="0"/>
          <w:marBottom w:val="0"/>
          <w:divBdr>
            <w:top w:val="none" w:sz="0" w:space="0" w:color="auto"/>
            <w:left w:val="none" w:sz="0" w:space="0" w:color="auto"/>
            <w:bottom w:val="none" w:sz="0" w:space="0" w:color="auto"/>
            <w:right w:val="none" w:sz="0" w:space="0" w:color="auto"/>
          </w:divBdr>
        </w:div>
        <w:div w:id="926693037">
          <w:marLeft w:val="480"/>
          <w:marRight w:val="0"/>
          <w:marTop w:val="0"/>
          <w:marBottom w:val="0"/>
          <w:divBdr>
            <w:top w:val="none" w:sz="0" w:space="0" w:color="auto"/>
            <w:left w:val="none" w:sz="0" w:space="0" w:color="auto"/>
            <w:bottom w:val="none" w:sz="0" w:space="0" w:color="auto"/>
            <w:right w:val="none" w:sz="0" w:space="0" w:color="auto"/>
          </w:divBdr>
        </w:div>
        <w:div w:id="977807503">
          <w:marLeft w:val="480"/>
          <w:marRight w:val="0"/>
          <w:marTop w:val="0"/>
          <w:marBottom w:val="0"/>
          <w:divBdr>
            <w:top w:val="none" w:sz="0" w:space="0" w:color="auto"/>
            <w:left w:val="none" w:sz="0" w:space="0" w:color="auto"/>
            <w:bottom w:val="none" w:sz="0" w:space="0" w:color="auto"/>
            <w:right w:val="none" w:sz="0" w:space="0" w:color="auto"/>
          </w:divBdr>
        </w:div>
        <w:div w:id="1747606845">
          <w:marLeft w:val="480"/>
          <w:marRight w:val="0"/>
          <w:marTop w:val="0"/>
          <w:marBottom w:val="0"/>
          <w:divBdr>
            <w:top w:val="none" w:sz="0" w:space="0" w:color="auto"/>
            <w:left w:val="none" w:sz="0" w:space="0" w:color="auto"/>
            <w:bottom w:val="none" w:sz="0" w:space="0" w:color="auto"/>
            <w:right w:val="none" w:sz="0" w:space="0" w:color="auto"/>
          </w:divBdr>
        </w:div>
        <w:div w:id="1559707780">
          <w:marLeft w:val="480"/>
          <w:marRight w:val="0"/>
          <w:marTop w:val="0"/>
          <w:marBottom w:val="0"/>
          <w:divBdr>
            <w:top w:val="none" w:sz="0" w:space="0" w:color="auto"/>
            <w:left w:val="none" w:sz="0" w:space="0" w:color="auto"/>
            <w:bottom w:val="none" w:sz="0" w:space="0" w:color="auto"/>
            <w:right w:val="none" w:sz="0" w:space="0" w:color="auto"/>
          </w:divBdr>
        </w:div>
        <w:div w:id="1078476359">
          <w:marLeft w:val="480"/>
          <w:marRight w:val="0"/>
          <w:marTop w:val="0"/>
          <w:marBottom w:val="0"/>
          <w:divBdr>
            <w:top w:val="none" w:sz="0" w:space="0" w:color="auto"/>
            <w:left w:val="none" w:sz="0" w:space="0" w:color="auto"/>
            <w:bottom w:val="none" w:sz="0" w:space="0" w:color="auto"/>
            <w:right w:val="none" w:sz="0" w:space="0" w:color="auto"/>
          </w:divBdr>
        </w:div>
        <w:div w:id="1059474965">
          <w:marLeft w:val="480"/>
          <w:marRight w:val="0"/>
          <w:marTop w:val="0"/>
          <w:marBottom w:val="0"/>
          <w:divBdr>
            <w:top w:val="none" w:sz="0" w:space="0" w:color="auto"/>
            <w:left w:val="none" w:sz="0" w:space="0" w:color="auto"/>
            <w:bottom w:val="none" w:sz="0" w:space="0" w:color="auto"/>
            <w:right w:val="none" w:sz="0" w:space="0" w:color="auto"/>
          </w:divBdr>
        </w:div>
        <w:div w:id="277638017">
          <w:marLeft w:val="480"/>
          <w:marRight w:val="0"/>
          <w:marTop w:val="0"/>
          <w:marBottom w:val="0"/>
          <w:divBdr>
            <w:top w:val="none" w:sz="0" w:space="0" w:color="auto"/>
            <w:left w:val="none" w:sz="0" w:space="0" w:color="auto"/>
            <w:bottom w:val="none" w:sz="0" w:space="0" w:color="auto"/>
            <w:right w:val="none" w:sz="0" w:space="0" w:color="auto"/>
          </w:divBdr>
        </w:div>
        <w:div w:id="1616790759">
          <w:marLeft w:val="480"/>
          <w:marRight w:val="0"/>
          <w:marTop w:val="0"/>
          <w:marBottom w:val="0"/>
          <w:divBdr>
            <w:top w:val="none" w:sz="0" w:space="0" w:color="auto"/>
            <w:left w:val="none" w:sz="0" w:space="0" w:color="auto"/>
            <w:bottom w:val="none" w:sz="0" w:space="0" w:color="auto"/>
            <w:right w:val="none" w:sz="0" w:space="0" w:color="auto"/>
          </w:divBdr>
        </w:div>
        <w:div w:id="1747457725">
          <w:marLeft w:val="480"/>
          <w:marRight w:val="0"/>
          <w:marTop w:val="0"/>
          <w:marBottom w:val="0"/>
          <w:divBdr>
            <w:top w:val="none" w:sz="0" w:space="0" w:color="auto"/>
            <w:left w:val="none" w:sz="0" w:space="0" w:color="auto"/>
            <w:bottom w:val="none" w:sz="0" w:space="0" w:color="auto"/>
            <w:right w:val="none" w:sz="0" w:space="0" w:color="auto"/>
          </w:divBdr>
        </w:div>
        <w:div w:id="1261838813">
          <w:marLeft w:val="480"/>
          <w:marRight w:val="0"/>
          <w:marTop w:val="0"/>
          <w:marBottom w:val="0"/>
          <w:divBdr>
            <w:top w:val="none" w:sz="0" w:space="0" w:color="auto"/>
            <w:left w:val="none" w:sz="0" w:space="0" w:color="auto"/>
            <w:bottom w:val="none" w:sz="0" w:space="0" w:color="auto"/>
            <w:right w:val="none" w:sz="0" w:space="0" w:color="auto"/>
          </w:divBdr>
        </w:div>
        <w:div w:id="285040476">
          <w:marLeft w:val="480"/>
          <w:marRight w:val="0"/>
          <w:marTop w:val="0"/>
          <w:marBottom w:val="0"/>
          <w:divBdr>
            <w:top w:val="none" w:sz="0" w:space="0" w:color="auto"/>
            <w:left w:val="none" w:sz="0" w:space="0" w:color="auto"/>
            <w:bottom w:val="none" w:sz="0" w:space="0" w:color="auto"/>
            <w:right w:val="none" w:sz="0" w:space="0" w:color="auto"/>
          </w:divBdr>
        </w:div>
        <w:div w:id="1904221586">
          <w:marLeft w:val="480"/>
          <w:marRight w:val="0"/>
          <w:marTop w:val="0"/>
          <w:marBottom w:val="0"/>
          <w:divBdr>
            <w:top w:val="none" w:sz="0" w:space="0" w:color="auto"/>
            <w:left w:val="none" w:sz="0" w:space="0" w:color="auto"/>
            <w:bottom w:val="none" w:sz="0" w:space="0" w:color="auto"/>
            <w:right w:val="none" w:sz="0" w:space="0" w:color="auto"/>
          </w:divBdr>
        </w:div>
        <w:div w:id="1739668567">
          <w:marLeft w:val="480"/>
          <w:marRight w:val="0"/>
          <w:marTop w:val="0"/>
          <w:marBottom w:val="0"/>
          <w:divBdr>
            <w:top w:val="none" w:sz="0" w:space="0" w:color="auto"/>
            <w:left w:val="none" w:sz="0" w:space="0" w:color="auto"/>
            <w:bottom w:val="none" w:sz="0" w:space="0" w:color="auto"/>
            <w:right w:val="none" w:sz="0" w:space="0" w:color="auto"/>
          </w:divBdr>
        </w:div>
        <w:div w:id="1825778764">
          <w:marLeft w:val="480"/>
          <w:marRight w:val="0"/>
          <w:marTop w:val="0"/>
          <w:marBottom w:val="0"/>
          <w:divBdr>
            <w:top w:val="none" w:sz="0" w:space="0" w:color="auto"/>
            <w:left w:val="none" w:sz="0" w:space="0" w:color="auto"/>
            <w:bottom w:val="none" w:sz="0" w:space="0" w:color="auto"/>
            <w:right w:val="none" w:sz="0" w:space="0" w:color="auto"/>
          </w:divBdr>
        </w:div>
        <w:div w:id="632443689">
          <w:marLeft w:val="480"/>
          <w:marRight w:val="0"/>
          <w:marTop w:val="0"/>
          <w:marBottom w:val="0"/>
          <w:divBdr>
            <w:top w:val="none" w:sz="0" w:space="0" w:color="auto"/>
            <w:left w:val="none" w:sz="0" w:space="0" w:color="auto"/>
            <w:bottom w:val="none" w:sz="0" w:space="0" w:color="auto"/>
            <w:right w:val="none" w:sz="0" w:space="0" w:color="auto"/>
          </w:divBdr>
        </w:div>
        <w:div w:id="1191138588">
          <w:marLeft w:val="480"/>
          <w:marRight w:val="0"/>
          <w:marTop w:val="0"/>
          <w:marBottom w:val="0"/>
          <w:divBdr>
            <w:top w:val="none" w:sz="0" w:space="0" w:color="auto"/>
            <w:left w:val="none" w:sz="0" w:space="0" w:color="auto"/>
            <w:bottom w:val="none" w:sz="0" w:space="0" w:color="auto"/>
            <w:right w:val="none" w:sz="0" w:space="0" w:color="auto"/>
          </w:divBdr>
        </w:div>
        <w:div w:id="655303929">
          <w:marLeft w:val="480"/>
          <w:marRight w:val="0"/>
          <w:marTop w:val="0"/>
          <w:marBottom w:val="0"/>
          <w:divBdr>
            <w:top w:val="none" w:sz="0" w:space="0" w:color="auto"/>
            <w:left w:val="none" w:sz="0" w:space="0" w:color="auto"/>
            <w:bottom w:val="none" w:sz="0" w:space="0" w:color="auto"/>
            <w:right w:val="none" w:sz="0" w:space="0" w:color="auto"/>
          </w:divBdr>
        </w:div>
        <w:div w:id="206528097">
          <w:marLeft w:val="480"/>
          <w:marRight w:val="0"/>
          <w:marTop w:val="0"/>
          <w:marBottom w:val="0"/>
          <w:divBdr>
            <w:top w:val="none" w:sz="0" w:space="0" w:color="auto"/>
            <w:left w:val="none" w:sz="0" w:space="0" w:color="auto"/>
            <w:bottom w:val="none" w:sz="0" w:space="0" w:color="auto"/>
            <w:right w:val="none" w:sz="0" w:space="0" w:color="auto"/>
          </w:divBdr>
        </w:div>
        <w:div w:id="496502888">
          <w:marLeft w:val="480"/>
          <w:marRight w:val="0"/>
          <w:marTop w:val="0"/>
          <w:marBottom w:val="0"/>
          <w:divBdr>
            <w:top w:val="none" w:sz="0" w:space="0" w:color="auto"/>
            <w:left w:val="none" w:sz="0" w:space="0" w:color="auto"/>
            <w:bottom w:val="none" w:sz="0" w:space="0" w:color="auto"/>
            <w:right w:val="none" w:sz="0" w:space="0" w:color="auto"/>
          </w:divBdr>
        </w:div>
        <w:div w:id="927427521">
          <w:marLeft w:val="480"/>
          <w:marRight w:val="0"/>
          <w:marTop w:val="0"/>
          <w:marBottom w:val="0"/>
          <w:divBdr>
            <w:top w:val="none" w:sz="0" w:space="0" w:color="auto"/>
            <w:left w:val="none" w:sz="0" w:space="0" w:color="auto"/>
            <w:bottom w:val="none" w:sz="0" w:space="0" w:color="auto"/>
            <w:right w:val="none" w:sz="0" w:space="0" w:color="auto"/>
          </w:divBdr>
        </w:div>
        <w:div w:id="1142699809">
          <w:marLeft w:val="480"/>
          <w:marRight w:val="0"/>
          <w:marTop w:val="0"/>
          <w:marBottom w:val="0"/>
          <w:divBdr>
            <w:top w:val="none" w:sz="0" w:space="0" w:color="auto"/>
            <w:left w:val="none" w:sz="0" w:space="0" w:color="auto"/>
            <w:bottom w:val="none" w:sz="0" w:space="0" w:color="auto"/>
            <w:right w:val="none" w:sz="0" w:space="0" w:color="auto"/>
          </w:divBdr>
        </w:div>
        <w:div w:id="222956213">
          <w:marLeft w:val="480"/>
          <w:marRight w:val="0"/>
          <w:marTop w:val="0"/>
          <w:marBottom w:val="0"/>
          <w:divBdr>
            <w:top w:val="none" w:sz="0" w:space="0" w:color="auto"/>
            <w:left w:val="none" w:sz="0" w:space="0" w:color="auto"/>
            <w:bottom w:val="none" w:sz="0" w:space="0" w:color="auto"/>
            <w:right w:val="none" w:sz="0" w:space="0" w:color="auto"/>
          </w:divBdr>
        </w:div>
        <w:div w:id="210730811">
          <w:marLeft w:val="480"/>
          <w:marRight w:val="0"/>
          <w:marTop w:val="0"/>
          <w:marBottom w:val="0"/>
          <w:divBdr>
            <w:top w:val="none" w:sz="0" w:space="0" w:color="auto"/>
            <w:left w:val="none" w:sz="0" w:space="0" w:color="auto"/>
            <w:bottom w:val="none" w:sz="0" w:space="0" w:color="auto"/>
            <w:right w:val="none" w:sz="0" w:space="0" w:color="auto"/>
          </w:divBdr>
        </w:div>
        <w:div w:id="693727449">
          <w:marLeft w:val="480"/>
          <w:marRight w:val="0"/>
          <w:marTop w:val="0"/>
          <w:marBottom w:val="0"/>
          <w:divBdr>
            <w:top w:val="none" w:sz="0" w:space="0" w:color="auto"/>
            <w:left w:val="none" w:sz="0" w:space="0" w:color="auto"/>
            <w:bottom w:val="none" w:sz="0" w:space="0" w:color="auto"/>
            <w:right w:val="none" w:sz="0" w:space="0" w:color="auto"/>
          </w:divBdr>
        </w:div>
        <w:div w:id="12613191">
          <w:marLeft w:val="480"/>
          <w:marRight w:val="0"/>
          <w:marTop w:val="0"/>
          <w:marBottom w:val="0"/>
          <w:divBdr>
            <w:top w:val="none" w:sz="0" w:space="0" w:color="auto"/>
            <w:left w:val="none" w:sz="0" w:space="0" w:color="auto"/>
            <w:bottom w:val="none" w:sz="0" w:space="0" w:color="auto"/>
            <w:right w:val="none" w:sz="0" w:space="0" w:color="auto"/>
          </w:divBdr>
        </w:div>
        <w:div w:id="726761433">
          <w:marLeft w:val="480"/>
          <w:marRight w:val="0"/>
          <w:marTop w:val="0"/>
          <w:marBottom w:val="0"/>
          <w:divBdr>
            <w:top w:val="none" w:sz="0" w:space="0" w:color="auto"/>
            <w:left w:val="none" w:sz="0" w:space="0" w:color="auto"/>
            <w:bottom w:val="none" w:sz="0" w:space="0" w:color="auto"/>
            <w:right w:val="none" w:sz="0" w:space="0" w:color="auto"/>
          </w:divBdr>
        </w:div>
        <w:div w:id="219824669">
          <w:marLeft w:val="480"/>
          <w:marRight w:val="0"/>
          <w:marTop w:val="0"/>
          <w:marBottom w:val="0"/>
          <w:divBdr>
            <w:top w:val="none" w:sz="0" w:space="0" w:color="auto"/>
            <w:left w:val="none" w:sz="0" w:space="0" w:color="auto"/>
            <w:bottom w:val="none" w:sz="0" w:space="0" w:color="auto"/>
            <w:right w:val="none" w:sz="0" w:space="0" w:color="auto"/>
          </w:divBdr>
        </w:div>
        <w:div w:id="207301422">
          <w:marLeft w:val="480"/>
          <w:marRight w:val="0"/>
          <w:marTop w:val="0"/>
          <w:marBottom w:val="0"/>
          <w:divBdr>
            <w:top w:val="none" w:sz="0" w:space="0" w:color="auto"/>
            <w:left w:val="none" w:sz="0" w:space="0" w:color="auto"/>
            <w:bottom w:val="none" w:sz="0" w:space="0" w:color="auto"/>
            <w:right w:val="none" w:sz="0" w:space="0" w:color="auto"/>
          </w:divBdr>
        </w:div>
        <w:div w:id="1949770643">
          <w:marLeft w:val="480"/>
          <w:marRight w:val="0"/>
          <w:marTop w:val="0"/>
          <w:marBottom w:val="0"/>
          <w:divBdr>
            <w:top w:val="none" w:sz="0" w:space="0" w:color="auto"/>
            <w:left w:val="none" w:sz="0" w:space="0" w:color="auto"/>
            <w:bottom w:val="none" w:sz="0" w:space="0" w:color="auto"/>
            <w:right w:val="none" w:sz="0" w:space="0" w:color="auto"/>
          </w:divBdr>
        </w:div>
        <w:div w:id="2135247292">
          <w:marLeft w:val="480"/>
          <w:marRight w:val="0"/>
          <w:marTop w:val="0"/>
          <w:marBottom w:val="0"/>
          <w:divBdr>
            <w:top w:val="none" w:sz="0" w:space="0" w:color="auto"/>
            <w:left w:val="none" w:sz="0" w:space="0" w:color="auto"/>
            <w:bottom w:val="none" w:sz="0" w:space="0" w:color="auto"/>
            <w:right w:val="none" w:sz="0" w:space="0" w:color="auto"/>
          </w:divBdr>
        </w:div>
        <w:div w:id="1957565720">
          <w:marLeft w:val="480"/>
          <w:marRight w:val="0"/>
          <w:marTop w:val="0"/>
          <w:marBottom w:val="0"/>
          <w:divBdr>
            <w:top w:val="none" w:sz="0" w:space="0" w:color="auto"/>
            <w:left w:val="none" w:sz="0" w:space="0" w:color="auto"/>
            <w:bottom w:val="none" w:sz="0" w:space="0" w:color="auto"/>
            <w:right w:val="none" w:sz="0" w:space="0" w:color="auto"/>
          </w:divBdr>
        </w:div>
        <w:div w:id="1849977041">
          <w:marLeft w:val="480"/>
          <w:marRight w:val="0"/>
          <w:marTop w:val="0"/>
          <w:marBottom w:val="0"/>
          <w:divBdr>
            <w:top w:val="none" w:sz="0" w:space="0" w:color="auto"/>
            <w:left w:val="none" w:sz="0" w:space="0" w:color="auto"/>
            <w:bottom w:val="none" w:sz="0" w:space="0" w:color="auto"/>
            <w:right w:val="none" w:sz="0" w:space="0" w:color="auto"/>
          </w:divBdr>
        </w:div>
        <w:div w:id="1974600409">
          <w:marLeft w:val="480"/>
          <w:marRight w:val="0"/>
          <w:marTop w:val="0"/>
          <w:marBottom w:val="0"/>
          <w:divBdr>
            <w:top w:val="none" w:sz="0" w:space="0" w:color="auto"/>
            <w:left w:val="none" w:sz="0" w:space="0" w:color="auto"/>
            <w:bottom w:val="none" w:sz="0" w:space="0" w:color="auto"/>
            <w:right w:val="none" w:sz="0" w:space="0" w:color="auto"/>
          </w:divBdr>
        </w:div>
        <w:div w:id="615990395">
          <w:marLeft w:val="480"/>
          <w:marRight w:val="0"/>
          <w:marTop w:val="0"/>
          <w:marBottom w:val="0"/>
          <w:divBdr>
            <w:top w:val="none" w:sz="0" w:space="0" w:color="auto"/>
            <w:left w:val="none" w:sz="0" w:space="0" w:color="auto"/>
            <w:bottom w:val="none" w:sz="0" w:space="0" w:color="auto"/>
            <w:right w:val="none" w:sz="0" w:space="0" w:color="auto"/>
          </w:divBdr>
        </w:div>
        <w:div w:id="51121599">
          <w:marLeft w:val="480"/>
          <w:marRight w:val="0"/>
          <w:marTop w:val="0"/>
          <w:marBottom w:val="0"/>
          <w:divBdr>
            <w:top w:val="none" w:sz="0" w:space="0" w:color="auto"/>
            <w:left w:val="none" w:sz="0" w:space="0" w:color="auto"/>
            <w:bottom w:val="none" w:sz="0" w:space="0" w:color="auto"/>
            <w:right w:val="none" w:sz="0" w:space="0" w:color="auto"/>
          </w:divBdr>
        </w:div>
        <w:div w:id="1140150918">
          <w:marLeft w:val="480"/>
          <w:marRight w:val="0"/>
          <w:marTop w:val="0"/>
          <w:marBottom w:val="0"/>
          <w:divBdr>
            <w:top w:val="none" w:sz="0" w:space="0" w:color="auto"/>
            <w:left w:val="none" w:sz="0" w:space="0" w:color="auto"/>
            <w:bottom w:val="none" w:sz="0" w:space="0" w:color="auto"/>
            <w:right w:val="none" w:sz="0" w:space="0" w:color="auto"/>
          </w:divBdr>
        </w:div>
        <w:div w:id="731201073">
          <w:marLeft w:val="480"/>
          <w:marRight w:val="0"/>
          <w:marTop w:val="0"/>
          <w:marBottom w:val="0"/>
          <w:divBdr>
            <w:top w:val="none" w:sz="0" w:space="0" w:color="auto"/>
            <w:left w:val="none" w:sz="0" w:space="0" w:color="auto"/>
            <w:bottom w:val="none" w:sz="0" w:space="0" w:color="auto"/>
            <w:right w:val="none" w:sz="0" w:space="0" w:color="auto"/>
          </w:divBdr>
        </w:div>
        <w:div w:id="1716808738">
          <w:marLeft w:val="480"/>
          <w:marRight w:val="0"/>
          <w:marTop w:val="0"/>
          <w:marBottom w:val="0"/>
          <w:divBdr>
            <w:top w:val="none" w:sz="0" w:space="0" w:color="auto"/>
            <w:left w:val="none" w:sz="0" w:space="0" w:color="auto"/>
            <w:bottom w:val="none" w:sz="0" w:space="0" w:color="auto"/>
            <w:right w:val="none" w:sz="0" w:space="0" w:color="auto"/>
          </w:divBdr>
        </w:div>
        <w:div w:id="1765802922">
          <w:marLeft w:val="480"/>
          <w:marRight w:val="0"/>
          <w:marTop w:val="0"/>
          <w:marBottom w:val="0"/>
          <w:divBdr>
            <w:top w:val="none" w:sz="0" w:space="0" w:color="auto"/>
            <w:left w:val="none" w:sz="0" w:space="0" w:color="auto"/>
            <w:bottom w:val="none" w:sz="0" w:space="0" w:color="auto"/>
            <w:right w:val="none" w:sz="0" w:space="0" w:color="auto"/>
          </w:divBdr>
        </w:div>
        <w:div w:id="274096096">
          <w:marLeft w:val="480"/>
          <w:marRight w:val="0"/>
          <w:marTop w:val="0"/>
          <w:marBottom w:val="0"/>
          <w:divBdr>
            <w:top w:val="none" w:sz="0" w:space="0" w:color="auto"/>
            <w:left w:val="none" w:sz="0" w:space="0" w:color="auto"/>
            <w:bottom w:val="none" w:sz="0" w:space="0" w:color="auto"/>
            <w:right w:val="none" w:sz="0" w:space="0" w:color="auto"/>
          </w:divBdr>
        </w:div>
        <w:div w:id="379474744">
          <w:marLeft w:val="480"/>
          <w:marRight w:val="0"/>
          <w:marTop w:val="0"/>
          <w:marBottom w:val="0"/>
          <w:divBdr>
            <w:top w:val="none" w:sz="0" w:space="0" w:color="auto"/>
            <w:left w:val="none" w:sz="0" w:space="0" w:color="auto"/>
            <w:bottom w:val="none" w:sz="0" w:space="0" w:color="auto"/>
            <w:right w:val="none" w:sz="0" w:space="0" w:color="auto"/>
          </w:divBdr>
        </w:div>
        <w:div w:id="2104495517">
          <w:marLeft w:val="480"/>
          <w:marRight w:val="0"/>
          <w:marTop w:val="0"/>
          <w:marBottom w:val="0"/>
          <w:divBdr>
            <w:top w:val="none" w:sz="0" w:space="0" w:color="auto"/>
            <w:left w:val="none" w:sz="0" w:space="0" w:color="auto"/>
            <w:bottom w:val="none" w:sz="0" w:space="0" w:color="auto"/>
            <w:right w:val="none" w:sz="0" w:space="0" w:color="auto"/>
          </w:divBdr>
        </w:div>
        <w:div w:id="466515257">
          <w:marLeft w:val="480"/>
          <w:marRight w:val="0"/>
          <w:marTop w:val="0"/>
          <w:marBottom w:val="0"/>
          <w:divBdr>
            <w:top w:val="none" w:sz="0" w:space="0" w:color="auto"/>
            <w:left w:val="none" w:sz="0" w:space="0" w:color="auto"/>
            <w:bottom w:val="none" w:sz="0" w:space="0" w:color="auto"/>
            <w:right w:val="none" w:sz="0" w:space="0" w:color="auto"/>
          </w:divBdr>
        </w:div>
        <w:div w:id="271014769">
          <w:marLeft w:val="480"/>
          <w:marRight w:val="0"/>
          <w:marTop w:val="0"/>
          <w:marBottom w:val="0"/>
          <w:divBdr>
            <w:top w:val="none" w:sz="0" w:space="0" w:color="auto"/>
            <w:left w:val="none" w:sz="0" w:space="0" w:color="auto"/>
            <w:bottom w:val="none" w:sz="0" w:space="0" w:color="auto"/>
            <w:right w:val="none" w:sz="0" w:space="0" w:color="auto"/>
          </w:divBdr>
        </w:div>
        <w:div w:id="1975673906">
          <w:marLeft w:val="480"/>
          <w:marRight w:val="0"/>
          <w:marTop w:val="0"/>
          <w:marBottom w:val="0"/>
          <w:divBdr>
            <w:top w:val="none" w:sz="0" w:space="0" w:color="auto"/>
            <w:left w:val="none" w:sz="0" w:space="0" w:color="auto"/>
            <w:bottom w:val="none" w:sz="0" w:space="0" w:color="auto"/>
            <w:right w:val="none" w:sz="0" w:space="0" w:color="auto"/>
          </w:divBdr>
        </w:div>
        <w:div w:id="115291683">
          <w:marLeft w:val="480"/>
          <w:marRight w:val="0"/>
          <w:marTop w:val="0"/>
          <w:marBottom w:val="0"/>
          <w:divBdr>
            <w:top w:val="none" w:sz="0" w:space="0" w:color="auto"/>
            <w:left w:val="none" w:sz="0" w:space="0" w:color="auto"/>
            <w:bottom w:val="none" w:sz="0" w:space="0" w:color="auto"/>
            <w:right w:val="none" w:sz="0" w:space="0" w:color="auto"/>
          </w:divBdr>
        </w:div>
        <w:div w:id="1984846517">
          <w:marLeft w:val="480"/>
          <w:marRight w:val="0"/>
          <w:marTop w:val="0"/>
          <w:marBottom w:val="0"/>
          <w:divBdr>
            <w:top w:val="none" w:sz="0" w:space="0" w:color="auto"/>
            <w:left w:val="none" w:sz="0" w:space="0" w:color="auto"/>
            <w:bottom w:val="none" w:sz="0" w:space="0" w:color="auto"/>
            <w:right w:val="none" w:sz="0" w:space="0" w:color="auto"/>
          </w:divBdr>
        </w:div>
        <w:div w:id="1184056070">
          <w:marLeft w:val="480"/>
          <w:marRight w:val="0"/>
          <w:marTop w:val="0"/>
          <w:marBottom w:val="0"/>
          <w:divBdr>
            <w:top w:val="none" w:sz="0" w:space="0" w:color="auto"/>
            <w:left w:val="none" w:sz="0" w:space="0" w:color="auto"/>
            <w:bottom w:val="none" w:sz="0" w:space="0" w:color="auto"/>
            <w:right w:val="none" w:sz="0" w:space="0" w:color="auto"/>
          </w:divBdr>
        </w:div>
        <w:div w:id="287516183">
          <w:marLeft w:val="480"/>
          <w:marRight w:val="0"/>
          <w:marTop w:val="0"/>
          <w:marBottom w:val="0"/>
          <w:divBdr>
            <w:top w:val="none" w:sz="0" w:space="0" w:color="auto"/>
            <w:left w:val="none" w:sz="0" w:space="0" w:color="auto"/>
            <w:bottom w:val="none" w:sz="0" w:space="0" w:color="auto"/>
            <w:right w:val="none" w:sz="0" w:space="0" w:color="auto"/>
          </w:divBdr>
        </w:div>
        <w:div w:id="711656486">
          <w:marLeft w:val="480"/>
          <w:marRight w:val="0"/>
          <w:marTop w:val="0"/>
          <w:marBottom w:val="0"/>
          <w:divBdr>
            <w:top w:val="none" w:sz="0" w:space="0" w:color="auto"/>
            <w:left w:val="none" w:sz="0" w:space="0" w:color="auto"/>
            <w:bottom w:val="none" w:sz="0" w:space="0" w:color="auto"/>
            <w:right w:val="none" w:sz="0" w:space="0" w:color="auto"/>
          </w:divBdr>
        </w:div>
        <w:div w:id="1264918224">
          <w:marLeft w:val="480"/>
          <w:marRight w:val="0"/>
          <w:marTop w:val="0"/>
          <w:marBottom w:val="0"/>
          <w:divBdr>
            <w:top w:val="none" w:sz="0" w:space="0" w:color="auto"/>
            <w:left w:val="none" w:sz="0" w:space="0" w:color="auto"/>
            <w:bottom w:val="none" w:sz="0" w:space="0" w:color="auto"/>
            <w:right w:val="none" w:sz="0" w:space="0" w:color="auto"/>
          </w:divBdr>
        </w:div>
        <w:div w:id="1883588452">
          <w:marLeft w:val="480"/>
          <w:marRight w:val="0"/>
          <w:marTop w:val="0"/>
          <w:marBottom w:val="0"/>
          <w:divBdr>
            <w:top w:val="none" w:sz="0" w:space="0" w:color="auto"/>
            <w:left w:val="none" w:sz="0" w:space="0" w:color="auto"/>
            <w:bottom w:val="none" w:sz="0" w:space="0" w:color="auto"/>
            <w:right w:val="none" w:sz="0" w:space="0" w:color="auto"/>
          </w:divBdr>
        </w:div>
        <w:div w:id="614404133">
          <w:marLeft w:val="480"/>
          <w:marRight w:val="0"/>
          <w:marTop w:val="0"/>
          <w:marBottom w:val="0"/>
          <w:divBdr>
            <w:top w:val="none" w:sz="0" w:space="0" w:color="auto"/>
            <w:left w:val="none" w:sz="0" w:space="0" w:color="auto"/>
            <w:bottom w:val="none" w:sz="0" w:space="0" w:color="auto"/>
            <w:right w:val="none" w:sz="0" w:space="0" w:color="auto"/>
          </w:divBdr>
        </w:div>
        <w:div w:id="455105878">
          <w:marLeft w:val="480"/>
          <w:marRight w:val="0"/>
          <w:marTop w:val="0"/>
          <w:marBottom w:val="0"/>
          <w:divBdr>
            <w:top w:val="none" w:sz="0" w:space="0" w:color="auto"/>
            <w:left w:val="none" w:sz="0" w:space="0" w:color="auto"/>
            <w:bottom w:val="none" w:sz="0" w:space="0" w:color="auto"/>
            <w:right w:val="none" w:sz="0" w:space="0" w:color="auto"/>
          </w:divBdr>
        </w:div>
        <w:div w:id="469202985">
          <w:marLeft w:val="480"/>
          <w:marRight w:val="0"/>
          <w:marTop w:val="0"/>
          <w:marBottom w:val="0"/>
          <w:divBdr>
            <w:top w:val="none" w:sz="0" w:space="0" w:color="auto"/>
            <w:left w:val="none" w:sz="0" w:space="0" w:color="auto"/>
            <w:bottom w:val="none" w:sz="0" w:space="0" w:color="auto"/>
            <w:right w:val="none" w:sz="0" w:space="0" w:color="auto"/>
          </w:divBdr>
        </w:div>
        <w:div w:id="940449836">
          <w:marLeft w:val="480"/>
          <w:marRight w:val="0"/>
          <w:marTop w:val="0"/>
          <w:marBottom w:val="0"/>
          <w:divBdr>
            <w:top w:val="none" w:sz="0" w:space="0" w:color="auto"/>
            <w:left w:val="none" w:sz="0" w:space="0" w:color="auto"/>
            <w:bottom w:val="none" w:sz="0" w:space="0" w:color="auto"/>
            <w:right w:val="none" w:sz="0" w:space="0" w:color="auto"/>
          </w:divBdr>
        </w:div>
        <w:div w:id="552890032">
          <w:marLeft w:val="480"/>
          <w:marRight w:val="0"/>
          <w:marTop w:val="0"/>
          <w:marBottom w:val="0"/>
          <w:divBdr>
            <w:top w:val="none" w:sz="0" w:space="0" w:color="auto"/>
            <w:left w:val="none" w:sz="0" w:space="0" w:color="auto"/>
            <w:bottom w:val="none" w:sz="0" w:space="0" w:color="auto"/>
            <w:right w:val="none" w:sz="0" w:space="0" w:color="auto"/>
          </w:divBdr>
        </w:div>
        <w:div w:id="1885019109">
          <w:marLeft w:val="480"/>
          <w:marRight w:val="0"/>
          <w:marTop w:val="0"/>
          <w:marBottom w:val="0"/>
          <w:divBdr>
            <w:top w:val="none" w:sz="0" w:space="0" w:color="auto"/>
            <w:left w:val="none" w:sz="0" w:space="0" w:color="auto"/>
            <w:bottom w:val="none" w:sz="0" w:space="0" w:color="auto"/>
            <w:right w:val="none" w:sz="0" w:space="0" w:color="auto"/>
          </w:divBdr>
        </w:div>
        <w:div w:id="1232425480">
          <w:marLeft w:val="480"/>
          <w:marRight w:val="0"/>
          <w:marTop w:val="0"/>
          <w:marBottom w:val="0"/>
          <w:divBdr>
            <w:top w:val="none" w:sz="0" w:space="0" w:color="auto"/>
            <w:left w:val="none" w:sz="0" w:space="0" w:color="auto"/>
            <w:bottom w:val="none" w:sz="0" w:space="0" w:color="auto"/>
            <w:right w:val="none" w:sz="0" w:space="0" w:color="auto"/>
          </w:divBdr>
        </w:div>
        <w:div w:id="1349067173">
          <w:marLeft w:val="480"/>
          <w:marRight w:val="0"/>
          <w:marTop w:val="0"/>
          <w:marBottom w:val="0"/>
          <w:divBdr>
            <w:top w:val="none" w:sz="0" w:space="0" w:color="auto"/>
            <w:left w:val="none" w:sz="0" w:space="0" w:color="auto"/>
            <w:bottom w:val="none" w:sz="0" w:space="0" w:color="auto"/>
            <w:right w:val="none" w:sz="0" w:space="0" w:color="auto"/>
          </w:divBdr>
        </w:div>
        <w:div w:id="1341809008">
          <w:marLeft w:val="480"/>
          <w:marRight w:val="0"/>
          <w:marTop w:val="0"/>
          <w:marBottom w:val="0"/>
          <w:divBdr>
            <w:top w:val="none" w:sz="0" w:space="0" w:color="auto"/>
            <w:left w:val="none" w:sz="0" w:space="0" w:color="auto"/>
            <w:bottom w:val="none" w:sz="0" w:space="0" w:color="auto"/>
            <w:right w:val="none" w:sz="0" w:space="0" w:color="auto"/>
          </w:divBdr>
        </w:div>
        <w:div w:id="1432703107">
          <w:marLeft w:val="480"/>
          <w:marRight w:val="0"/>
          <w:marTop w:val="0"/>
          <w:marBottom w:val="0"/>
          <w:divBdr>
            <w:top w:val="none" w:sz="0" w:space="0" w:color="auto"/>
            <w:left w:val="none" w:sz="0" w:space="0" w:color="auto"/>
            <w:bottom w:val="none" w:sz="0" w:space="0" w:color="auto"/>
            <w:right w:val="none" w:sz="0" w:space="0" w:color="auto"/>
          </w:divBdr>
        </w:div>
        <w:div w:id="1645547008">
          <w:marLeft w:val="480"/>
          <w:marRight w:val="0"/>
          <w:marTop w:val="0"/>
          <w:marBottom w:val="0"/>
          <w:divBdr>
            <w:top w:val="none" w:sz="0" w:space="0" w:color="auto"/>
            <w:left w:val="none" w:sz="0" w:space="0" w:color="auto"/>
            <w:bottom w:val="none" w:sz="0" w:space="0" w:color="auto"/>
            <w:right w:val="none" w:sz="0" w:space="0" w:color="auto"/>
          </w:divBdr>
        </w:div>
        <w:div w:id="1273706566">
          <w:marLeft w:val="480"/>
          <w:marRight w:val="0"/>
          <w:marTop w:val="0"/>
          <w:marBottom w:val="0"/>
          <w:divBdr>
            <w:top w:val="none" w:sz="0" w:space="0" w:color="auto"/>
            <w:left w:val="none" w:sz="0" w:space="0" w:color="auto"/>
            <w:bottom w:val="none" w:sz="0" w:space="0" w:color="auto"/>
            <w:right w:val="none" w:sz="0" w:space="0" w:color="auto"/>
          </w:divBdr>
        </w:div>
        <w:div w:id="1992249584">
          <w:marLeft w:val="480"/>
          <w:marRight w:val="0"/>
          <w:marTop w:val="0"/>
          <w:marBottom w:val="0"/>
          <w:divBdr>
            <w:top w:val="none" w:sz="0" w:space="0" w:color="auto"/>
            <w:left w:val="none" w:sz="0" w:space="0" w:color="auto"/>
            <w:bottom w:val="none" w:sz="0" w:space="0" w:color="auto"/>
            <w:right w:val="none" w:sz="0" w:space="0" w:color="auto"/>
          </w:divBdr>
        </w:div>
        <w:div w:id="85271112">
          <w:marLeft w:val="480"/>
          <w:marRight w:val="0"/>
          <w:marTop w:val="0"/>
          <w:marBottom w:val="0"/>
          <w:divBdr>
            <w:top w:val="none" w:sz="0" w:space="0" w:color="auto"/>
            <w:left w:val="none" w:sz="0" w:space="0" w:color="auto"/>
            <w:bottom w:val="none" w:sz="0" w:space="0" w:color="auto"/>
            <w:right w:val="none" w:sz="0" w:space="0" w:color="auto"/>
          </w:divBdr>
        </w:div>
        <w:div w:id="199517026">
          <w:marLeft w:val="480"/>
          <w:marRight w:val="0"/>
          <w:marTop w:val="0"/>
          <w:marBottom w:val="0"/>
          <w:divBdr>
            <w:top w:val="none" w:sz="0" w:space="0" w:color="auto"/>
            <w:left w:val="none" w:sz="0" w:space="0" w:color="auto"/>
            <w:bottom w:val="none" w:sz="0" w:space="0" w:color="auto"/>
            <w:right w:val="none" w:sz="0" w:space="0" w:color="auto"/>
          </w:divBdr>
        </w:div>
        <w:div w:id="1552691587">
          <w:marLeft w:val="480"/>
          <w:marRight w:val="0"/>
          <w:marTop w:val="0"/>
          <w:marBottom w:val="0"/>
          <w:divBdr>
            <w:top w:val="none" w:sz="0" w:space="0" w:color="auto"/>
            <w:left w:val="none" w:sz="0" w:space="0" w:color="auto"/>
            <w:bottom w:val="none" w:sz="0" w:space="0" w:color="auto"/>
            <w:right w:val="none" w:sz="0" w:space="0" w:color="auto"/>
          </w:divBdr>
        </w:div>
        <w:div w:id="1646659481">
          <w:marLeft w:val="480"/>
          <w:marRight w:val="0"/>
          <w:marTop w:val="0"/>
          <w:marBottom w:val="0"/>
          <w:divBdr>
            <w:top w:val="none" w:sz="0" w:space="0" w:color="auto"/>
            <w:left w:val="none" w:sz="0" w:space="0" w:color="auto"/>
            <w:bottom w:val="none" w:sz="0" w:space="0" w:color="auto"/>
            <w:right w:val="none" w:sz="0" w:space="0" w:color="auto"/>
          </w:divBdr>
        </w:div>
        <w:div w:id="385446433">
          <w:marLeft w:val="480"/>
          <w:marRight w:val="0"/>
          <w:marTop w:val="0"/>
          <w:marBottom w:val="0"/>
          <w:divBdr>
            <w:top w:val="none" w:sz="0" w:space="0" w:color="auto"/>
            <w:left w:val="none" w:sz="0" w:space="0" w:color="auto"/>
            <w:bottom w:val="none" w:sz="0" w:space="0" w:color="auto"/>
            <w:right w:val="none" w:sz="0" w:space="0" w:color="auto"/>
          </w:divBdr>
        </w:div>
        <w:div w:id="1707561502">
          <w:marLeft w:val="480"/>
          <w:marRight w:val="0"/>
          <w:marTop w:val="0"/>
          <w:marBottom w:val="0"/>
          <w:divBdr>
            <w:top w:val="none" w:sz="0" w:space="0" w:color="auto"/>
            <w:left w:val="none" w:sz="0" w:space="0" w:color="auto"/>
            <w:bottom w:val="none" w:sz="0" w:space="0" w:color="auto"/>
            <w:right w:val="none" w:sz="0" w:space="0" w:color="auto"/>
          </w:divBdr>
        </w:div>
        <w:div w:id="1485465868">
          <w:marLeft w:val="480"/>
          <w:marRight w:val="0"/>
          <w:marTop w:val="0"/>
          <w:marBottom w:val="0"/>
          <w:divBdr>
            <w:top w:val="none" w:sz="0" w:space="0" w:color="auto"/>
            <w:left w:val="none" w:sz="0" w:space="0" w:color="auto"/>
            <w:bottom w:val="none" w:sz="0" w:space="0" w:color="auto"/>
            <w:right w:val="none" w:sz="0" w:space="0" w:color="auto"/>
          </w:divBdr>
        </w:div>
        <w:div w:id="928391109">
          <w:marLeft w:val="480"/>
          <w:marRight w:val="0"/>
          <w:marTop w:val="0"/>
          <w:marBottom w:val="0"/>
          <w:divBdr>
            <w:top w:val="none" w:sz="0" w:space="0" w:color="auto"/>
            <w:left w:val="none" w:sz="0" w:space="0" w:color="auto"/>
            <w:bottom w:val="none" w:sz="0" w:space="0" w:color="auto"/>
            <w:right w:val="none" w:sz="0" w:space="0" w:color="auto"/>
          </w:divBdr>
        </w:div>
        <w:div w:id="705175049">
          <w:marLeft w:val="480"/>
          <w:marRight w:val="0"/>
          <w:marTop w:val="0"/>
          <w:marBottom w:val="0"/>
          <w:divBdr>
            <w:top w:val="none" w:sz="0" w:space="0" w:color="auto"/>
            <w:left w:val="none" w:sz="0" w:space="0" w:color="auto"/>
            <w:bottom w:val="none" w:sz="0" w:space="0" w:color="auto"/>
            <w:right w:val="none" w:sz="0" w:space="0" w:color="auto"/>
          </w:divBdr>
        </w:div>
        <w:div w:id="1470593320">
          <w:marLeft w:val="480"/>
          <w:marRight w:val="0"/>
          <w:marTop w:val="0"/>
          <w:marBottom w:val="0"/>
          <w:divBdr>
            <w:top w:val="none" w:sz="0" w:space="0" w:color="auto"/>
            <w:left w:val="none" w:sz="0" w:space="0" w:color="auto"/>
            <w:bottom w:val="none" w:sz="0" w:space="0" w:color="auto"/>
            <w:right w:val="none" w:sz="0" w:space="0" w:color="auto"/>
          </w:divBdr>
        </w:div>
        <w:div w:id="1781491931">
          <w:marLeft w:val="480"/>
          <w:marRight w:val="0"/>
          <w:marTop w:val="0"/>
          <w:marBottom w:val="0"/>
          <w:divBdr>
            <w:top w:val="none" w:sz="0" w:space="0" w:color="auto"/>
            <w:left w:val="none" w:sz="0" w:space="0" w:color="auto"/>
            <w:bottom w:val="none" w:sz="0" w:space="0" w:color="auto"/>
            <w:right w:val="none" w:sz="0" w:space="0" w:color="auto"/>
          </w:divBdr>
        </w:div>
        <w:div w:id="274412369">
          <w:marLeft w:val="480"/>
          <w:marRight w:val="0"/>
          <w:marTop w:val="0"/>
          <w:marBottom w:val="0"/>
          <w:divBdr>
            <w:top w:val="none" w:sz="0" w:space="0" w:color="auto"/>
            <w:left w:val="none" w:sz="0" w:space="0" w:color="auto"/>
            <w:bottom w:val="none" w:sz="0" w:space="0" w:color="auto"/>
            <w:right w:val="none" w:sz="0" w:space="0" w:color="auto"/>
          </w:divBdr>
        </w:div>
        <w:div w:id="207108946">
          <w:marLeft w:val="480"/>
          <w:marRight w:val="0"/>
          <w:marTop w:val="0"/>
          <w:marBottom w:val="0"/>
          <w:divBdr>
            <w:top w:val="none" w:sz="0" w:space="0" w:color="auto"/>
            <w:left w:val="none" w:sz="0" w:space="0" w:color="auto"/>
            <w:bottom w:val="none" w:sz="0" w:space="0" w:color="auto"/>
            <w:right w:val="none" w:sz="0" w:space="0" w:color="auto"/>
          </w:divBdr>
        </w:div>
      </w:divsChild>
    </w:div>
    <w:div w:id="859002421">
      <w:bodyDiv w:val="1"/>
      <w:marLeft w:val="0"/>
      <w:marRight w:val="0"/>
      <w:marTop w:val="0"/>
      <w:marBottom w:val="0"/>
      <w:divBdr>
        <w:top w:val="none" w:sz="0" w:space="0" w:color="auto"/>
        <w:left w:val="none" w:sz="0" w:space="0" w:color="auto"/>
        <w:bottom w:val="none" w:sz="0" w:space="0" w:color="auto"/>
        <w:right w:val="none" w:sz="0" w:space="0" w:color="auto"/>
      </w:divBdr>
    </w:div>
    <w:div w:id="860583111">
      <w:bodyDiv w:val="1"/>
      <w:marLeft w:val="0"/>
      <w:marRight w:val="0"/>
      <w:marTop w:val="0"/>
      <w:marBottom w:val="0"/>
      <w:divBdr>
        <w:top w:val="none" w:sz="0" w:space="0" w:color="auto"/>
        <w:left w:val="none" w:sz="0" w:space="0" w:color="auto"/>
        <w:bottom w:val="none" w:sz="0" w:space="0" w:color="auto"/>
        <w:right w:val="none" w:sz="0" w:space="0" w:color="auto"/>
      </w:divBdr>
    </w:div>
    <w:div w:id="860781084">
      <w:bodyDiv w:val="1"/>
      <w:marLeft w:val="0"/>
      <w:marRight w:val="0"/>
      <w:marTop w:val="0"/>
      <w:marBottom w:val="0"/>
      <w:divBdr>
        <w:top w:val="none" w:sz="0" w:space="0" w:color="auto"/>
        <w:left w:val="none" w:sz="0" w:space="0" w:color="auto"/>
        <w:bottom w:val="none" w:sz="0" w:space="0" w:color="auto"/>
        <w:right w:val="none" w:sz="0" w:space="0" w:color="auto"/>
      </w:divBdr>
    </w:div>
    <w:div w:id="860972151">
      <w:bodyDiv w:val="1"/>
      <w:marLeft w:val="0"/>
      <w:marRight w:val="0"/>
      <w:marTop w:val="0"/>
      <w:marBottom w:val="0"/>
      <w:divBdr>
        <w:top w:val="none" w:sz="0" w:space="0" w:color="auto"/>
        <w:left w:val="none" w:sz="0" w:space="0" w:color="auto"/>
        <w:bottom w:val="none" w:sz="0" w:space="0" w:color="auto"/>
        <w:right w:val="none" w:sz="0" w:space="0" w:color="auto"/>
      </w:divBdr>
    </w:div>
    <w:div w:id="861821517">
      <w:bodyDiv w:val="1"/>
      <w:marLeft w:val="0"/>
      <w:marRight w:val="0"/>
      <w:marTop w:val="0"/>
      <w:marBottom w:val="0"/>
      <w:divBdr>
        <w:top w:val="none" w:sz="0" w:space="0" w:color="auto"/>
        <w:left w:val="none" w:sz="0" w:space="0" w:color="auto"/>
        <w:bottom w:val="none" w:sz="0" w:space="0" w:color="auto"/>
        <w:right w:val="none" w:sz="0" w:space="0" w:color="auto"/>
      </w:divBdr>
    </w:div>
    <w:div w:id="862401581">
      <w:bodyDiv w:val="1"/>
      <w:marLeft w:val="0"/>
      <w:marRight w:val="0"/>
      <w:marTop w:val="0"/>
      <w:marBottom w:val="0"/>
      <w:divBdr>
        <w:top w:val="none" w:sz="0" w:space="0" w:color="auto"/>
        <w:left w:val="none" w:sz="0" w:space="0" w:color="auto"/>
        <w:bottom w:val="none" w:sz="0" w:space="0" w:color="auto"/>
        <w:right w:val="none" w:sz="0" w:space="0" w:color="auto"/>
      </w:divBdr>
    </w:div>
    <w:div w:id="862598276">
      <w:bodyDiv w:val="1"/>
      <w:marLeft w:val="0"/>
      <w:marRight w:val="0"/>
      <w:marTop w:val="0"/>
      <w:marBottom w:val="0"/>
      <w:divBdr>
        <w:top w:val="none" w:sz="0" w:space="0" w:color="auto"/>
        <w:left w:val="none" w:sz="0" w:space="0" w:color="auto"/>
        <w:bottom w:val="none" w:sz="0" w:space="0" w:color="auto"/>
        <w:right w:val="none" w:sz="0" w:space="0" w:color="auto"/>
      </w:divBdr>
    </w:div>
    <w:div w:id="862935101">
      <w:bodyDiv w:val="1"/>
      <w:marLeft w:val="0"/>
      <w:marRight w:val="0"/>
      <w:marTop w:val="0"/>
      <w:marBottom w:val="0"/>
      <w:divBdr>
        <w:top w:val="none" w:sz="0" w:space="0" w:color="auto"/>
        <w:left w:val="none" w:sz="0" w:space="0" w:color="auto"/>
        <w:bottom w:val="none" w:sz="0" w:space="0" w:color="auto"/>
        <w:right w:val="none" w:sz="0" w:space="0" w:color="auto"/>
      </w:divBdr>
    </w:div>
    <w:div w:id="863589763">
      <w:bodyDiv w:val="1"/>
      <w:marLeft w:val="0"/>
      <w:marRight w:val="0"/>
      <w:marTop w:val="0"/>
      <w:marBottom w:val="0"/>
      <w:divBdr>
        <w:top w:val="none" w:sz="0" w:space="0" w:color="auto"/>
        <w:left w:val="none" w:sz="0" w:space="0" w:color="auto"/>
        <w:bottom w:val="none" w:sz="0" w:space="0" w:color="auto"/>
        <w:right w:val="none" w:sz="0" w:space="0" w:color="auto"/>
      </w:divBdr>
    </w:div>
    <w:div w:id="863636016">
      <w:bodyDiv w:val="1"/>
      <w:marLeft w:val="0"/>
      <w:marRight w:val="0"/>
      <w:marTop w:val="0"/>
      <w:marBottom w:val="0"/>
      <w:divBdr>
        <w:top w:val="none" w:sz="0" w:space="0" w:color="auto"/>
        <w:left w:val="none" w:sz="0" w:space="0" w:color="auto"/>
        <w:bottom w:val="none" w:sz="0" w:space="0" w:color="auto"/>
        <w:right w:val="none" w:sz="0" w:space="0" w:color="auto"/>
      </w:divBdr>
    </w:div>
    <w:div w:id="864560709">
      <w:bodyDiv w:val="1"/>
      <w:marLeft w:val="0"/>
      <w:marRight w:val="0"/>
      <w:marTop w:val="0"/>
      <w:marBottom w:val="0"/>
      <w:divBdr>
        <w:top w:val="none" w:sz="0" w:space="0" w:color="auto"/>
        <w:left w:val="none" w:sz="0" w:space="0" w:color="auto"/>
        <w:bottom w:val="none" w:sz="0" w:space="0" w:color="auto"/>
        <w:right w:val="none" w:sz="0" w:space="0" w:color="auto"/>
      </w:divBdr>
    </w:div>
    <w:div w:id="864708790">
      <w:bodyDiv w:val="1"/>
      <w:marLeft w:val="0"/>
      <w:marRight w:val="0"/>
      <w:marTop w:val="0"/>
      <w:marBottom w:val="0"/>
      <w:divBdr>
        <w:top w:val="none" w:sz="0" w:space="0" w:color="auto"/>
        <w:left w:val="none" w:sz="0" w:space="0" w:color="auto"/>
        <w:bottom w:val="none" w:sz="0" w:space="0" w:color="auto"/>
        <w:right w:val="none" w:sz="0" w:space="0" w:color="auto"/>
      </w:divBdr>
    </w:div>
    <w:div w:id="864751168">
      <w:bodyDiv w:val="1"/>
      <w:marLeft w:val="0"/>
      <w:marRight w:val="0"/>
      <w:marTop w:val="0"/>
      <w:marBottom w:val="0"/>
      <w:divBdr>
        <w:top w:val="none" w:sz="0" w:space="0" w:color="auto"/>
        <w:left w:val="none" w:sz="0" w:space="0" w:color="auto"/>
        <w:bottom w:val="none" w:sz="0" w:space="0" w:color="auto"/>
        <w:right w:val="none" w:sz="0" w:space="0" w:color="auto"/>
      </w:divBdr>
    </w:div>
    <w:div w:id="865023427">
      <w:bodyDiv w:val="1"/>
      <w:marLeft w:val="0"/>
      <w:marRight w:val="0"/>
      <w:marTop w:val="0"/>
      <w:marBottom w:val="0"/>
      <w:divBdr>
        <w:top w:val="none" w:sz="0" w:space="0" w:color="auto"/>
        <w:left w:val="none" w:sz="0" w:space="0" w:color="auto"/>
        <w:bottom w:val="none" w:sz="0" w:space="0" w:color="auto"/>
        <w:right w:val="none" w:sz="0" w:space="0" w:color="auto"/>
      </w:divBdr>
    </w:div>
    <w:div w:id="865095457">
      <w:bodyDiv w:val="1"/>
      <w:marLeft w:val="0"/>
      <w:marRight w:val="0"/>
      <w:marTop w:val="0"/>
      <w:marBottom w:val="0"/>
      <w:divBdr>
        <w:top w:val="none" w:sz="0" w:space="0" w:color="auto"/>
        <w:left w:val="none" w:sz="0" w:space="0" w:color="auto"/>
        <w:bottom w:val="none" w:sz="0" w:space="0" w:color="auto"/>
        <w:right w:val="none" w:sz="0" w:space="0" w:color="auto"/>
      </w:divBdr>
    </w:div>
    <w:div w:id="865219224">
      <w:bodyDiv w:val="1"/>
      <w:marLeft w:val="0"/>
      <w:marRight w:val="0"/>
      <w:marTop w:val="0"/>
      <w:marBottom w:val="0"/>
      <w:divBdr>
        <w:top w:val="none" w:sz="0" w:space="0" w:color="auto"/>
        <w:left w:val="none" w:sz="0" w:space="0" w:color="auto"/>
        <w:bottom w:val="none" w:sz="0" w:space="0" w:color="auto"/>
        <w:right w:val="none" w:sz="0" w:space="0" w:color="auto"/>
      </w:divBdr>
    </w:div>
    <w:div w:id="866332001">
      <w:bodyDiv w:val="1"/>
      <w:marLeft w:val="0"/>
      <w:marRight w:val="0"/>
      <w:marTop w:val="0"/>
      <w:marBottom w:val="0"/>
      <w:divBdr>
        <w:top w:val="none" w:sz="0" w:space="0" w:color="auto"/>
        <w:left w:val="none" w:sz="0" w:space="0" w:color="auto"/>
        <w:bottom w:val="none" w:sz="0" w:space="0" w:color="auto"/>
        <w:right w:val="none" w:sz="0" w:space="0" w:color="auto"/>
      </w:divBdr>
    </w:div>
    <w:div w:id="868685102">
      <w:bodyDiv w:val="1"/>
      <w:marLeft w:val="0"/>
      <w:marRight w:val="0"/>
      <w:marTop w:val="0"/>
      <w:marBottom w:val="0"/>
      <w:divBdr>
        <w:top w:val="none" w:sz="0" w:space="0" w:color="auto"/>
        <w:left w:val="none" w:sz="0" w:space="0" w:color="auto"/>
        <w:bottom w:val="none" w:sz="0" w:space="0" w:color="auto"/>
        <w:right w:val="none" w:sz="0" w:space="0" w:color="auto"/>
      </w:divBdr>
    </w:div>
    <w:div w:id="869143624">
      <w:bodyDiv w:val="1"/>
      <w:marLeft w:val="0"/>
      <w:marRight w:val="0"/>
      <w:marTop w:val="0"/>
      <w:marBottom w:val="0"/>
      <w:divBdr>
        <w:top w:val="none" w:sz="0" w:space="0" w:color="auto"/>
        <w:left w:val="none" w:sz="0" w:space="0" w:color="auto"/>
        <w:bottom w:val="none" w:sz="0" w:space="0" w:color="auto"/>
        <w:right w:val="none" w:sz="0" w:space="0" w:color="auto"/>
      </w:divBdr>
    </w:div>
    <w:div w:id="869343196">
      <w:bodyDiv w:val="1"/>
      <w:marLeft w:val="0"/>
      <w:marRight w:val="0"/>
      <w:marTop w:val="0"/>
      <w:marBottom w:val="0"/>
      <w:divBdr>
        <w:top w:val="none" w:sz="0" w:space="0" w:color="auto"/>
        <w:left w:val="none" w:sz="0" w:space="0" w:color="auto"/>
        <w:bottom w:val="none" w:sz="0" w:space="0" w:color="auto"/>
        <w:right w:val="none" w:sz="0" w:space="0" w:color="auto"/>
      </w:divBdr>
    </w:div>
    <w:div w:id="869758801">
      <w:bodyDiv w:val="1"/>
      <w:marLeft w:val="0"/>
      <w:marRight w:val="0"/>
      <w:marTop w:val="0"/>
      <w:marBottom w:val="0"/>
      <w:divBdr>
        <w:top w:val="none" w:sz="0" w:space="0" w:color="auto"/>
        <w:left w:val="none" w:sz="0" w:space="0" w:color="auto"/>
        <w:bottom w:val="none" w:sz="0" w:space="0" w:color="auto"/>
        <w:right w:val="none" w:sz="0" w:space="0" w:color="auto"/>
      </w:divBdr>
    </w:div>
    <w:div w:id="870412442">
      <w:bodyDiv w:val="1"/>
      <w:marLeft w:val="0"/>
      <w:marRight w:val="0"/>
      <w:marTop w:val="0"/>
      <w:marBottom w:val="0"/>
      <w:divBdr>
        <w:top w:val="none" w:sz="0" w:space="0" w:color="auto"/>
        <w:left w:val="none" w:sz="0" w:space="0" w:color="auto"/>
        <w:bottom w:val="none" w:sz="0" w:space="0" w:color="auto"/>
        <w:right w:val="none" w:sz="0" w:space="0" w:color="auto"/>
      </w:divBdr>
    </w:div>
    <w:div w:id="870648370">
      <w:bodyDiv w:val="1"/>
      <w:marLeft w:val="0"/>
      <w:marRight w:val="0"/>
      <w:marTop w:val="0"/>
      <w:marBottom w:val="0"/>
      <w:divBdr>
        <w:top w:val="none" w:sz="0" w:space="0" w:color="auto"/>
        <w:left w:val="none" w:sz="0" w:space="0" w:color="auto"/>
        <w:bottom w:val="none" w:sz="0" w:space="0" w:color="auto"/>
        <w:right w:val="none" w:sz="0" w:space="0" w:color="auto"/>
      </w:divBdr>
    </w:div>
    <w:div w:id="870847958">
      <w:bodyDiv w:val="1"/>
      <w:marLeft w:val="0"/>
      <w:marRight w:val="0"/>
      <w:marTop w:val="0"/>
      <w:marBottom w:val="0"/>
      <w:divBdr>
        <w:top w:val="none" w:sz="0" w:space="0" w:color="auto"/>
        <w:left w:val="none" w:sz="0" w:space="0" w:color="auto"/>
        <w:bottom w:val="none" w:sz="0" w:space="0" w:color="auto"/>
        <w:right w:val="none" w:sz="0" w:space="0" w:color="auto"/>
      </w:divBdr>
    </w:div>
    <w:div w:id="870921290">
      <w:bodyDiv w:val="1"/>
      <w:marLeft w:val="0"/>
      <w:marRight w:val="0"/>
      <w:marTop w:val="0"/>
      <w:marBottom w:val="0"/>
      <w:divBdr>
        <w:top w:val="none" w:sz="0" w:space="0" w:color="auto"/>
        <w:left w:val="none" w:sz="0" w:space="0" w:color="auto"/>
        <w:bottom w:val="none" w:sz="0" w:space="0" w:color="auto"/>
        <w:right w:val="none" w:sz="0" w:space="0" w:color="auto"/>
      </w:divBdr>
    </w:div>
    <w:div w:id="870992677">
      <w:bodyDiv w:val="1"/>
      <w:marLeft w:val="0"/>
      <w:marRight w:val="0"/>
      <w:marTop w:val="0"/>
      <w:marBottom w:val="0"/>
      <w:divBdr>
        <w:top w:val="none" w:sz="0" w:space="0" w:color="auto"/>
        <w:left w:val="none" w:sz="0" w:space="0" w:color="auto"/>
        <w:bottom w:val="none" w:sz="0" w:space="0" w:color="auto"/>
        <w:right w:val="none" w:sz="0" w:space="0" w:color="auto"/>
      </w:divBdr>
    </w:div>
    <w:div w:id="870999306">
      <w:bodyDiv w:val="1"/>
      <w:marLeft w:val="0"/>
      <w:marRight w:val="0"/>
      <w:marTop w:val="0"/>
      <w:marBottom w:val="0"/>
      <w:divBdr>
        <w:top w:val="none" w:sz="0" w:space="0" w:color="auto"/>
        <w:left w:val="none" w:sz="0" w:space="0" w:color="auto"/>
        <w:bottom w:val="none" w:sz="0" w:space="0" w:color="auto"/>
        <w:right w:val="none" w:sz="0" w:space="0" w:color="auto"/>
      </w:divBdr>
    </w:div>
    <w:div w:id="871113093">
      <w:bodyDiv w:val="1"/>
      <w:marLeft w:val="0"/>
      <w:marRight w:val="0"/>
      <w:marTop w:val="0"/>
      <w:marBottom w:val="0"/>
      <w:divBdr>
        <w:top w:val="none" w:sz="0" w:space="0" w:color="auto"/>
        <w:left w:val="none" w:sz="0" w:space="0" w:color="auto"/>
        <w:bottom w:val="none" w:sz="0" w:space="0" w:color="auto"/>
        <w:right w:val="none" w:sz="0" w:space="0" w:color="auto"/>
      </w:divBdr>
    </w:div>
    <w:div w:id="871766483">
      <w:bodyDiv w:val="1"/>
      <w:marLeft w:val="0"/>
      <w:marRight w:val="0"/>
      <w:marTop w:val="0"/>
      <w:marBottom w:val="0"/>
      <w:divBdr>
        <w:top w:val="none" w:sz="0" w:space="0" w:color="auto"/>
        <w:left w:val="none" w:sz="0" w:space="0" w:color="auto"/>
        <w:bottom w:val="none" w:sz="0" w:space="0" w:color="auto"/>
        <w:right w:val="none" w:sz="0" w:space="0" w:color="auto"/>
      </w:divBdr>
    </w:div>
    <w:div w:id="871959915">
      <w:bodyDiv w:val="1"/>
      <w:marLeft w:val="0"/>
      <w:marRight w:val="0"/>
      <w:marTop w:val="0"/>
      <w:marBottom w:val="0"/>
      <w:divBdr>
        <w:top w:val="none" w:sz="0" w:space="0" w:color="auto"/>
        <w:left w:val="none" w:sz="0" w:space="0" w:color="auto"/>
        <w:bottom w:val="none" w:sz="0" w:space="0" w:color="auto"/>
        <w:right w:val="none" w:sz="0" w:space="0" w:color="auto"/>
      </w:divBdr>
    </w:div>
    <w:div w:id="872117339">
      <w:bodyDiv w:val="1"/>
      <w:marLeft w:val="0"/>
      <w:marRight w:val="0"/>
      <w:marTop w:val="0"/>
      <w:marBottom w:val="0"/>
      <w:divBdr>
        <w:top w:val="none" w:sz="0" w:space="0" w:color="auto"/>
        <w:left w:val="none" w:sz="0" w:space="0" w:color="auto"/>
        <w:bottom w:val="none" w:sz="0" w:space="0" w:color="auto"/>
        <w:right w:val="none" w:sz="0" w:space="0" w:color="auto"/>
      </w:divBdr>
    </w:div>
    <w:div w:id="872422886">
      <w:bodyDiv w:val="1"/>
      <w:marLeft w:val="0"/>
      <w:marRight w:val="0"/>
      <w:marTop w:val="0"/>
      <w:marBottom w:val="0"/>
      <w:divBdr>
        <w:top w:val="none" w:sz="0" w:space="0" w:color="auto"/>
        <w:left w:val="none" w:sz="0" w:space="0" w:color="auto"/>
        <w:bottom w:val="none" w:sz="0" w:space="0" w:color="auto"/>
        <w:right w:val="none" w:sz="0" w:space="0" w:color="auto"/>
      </w:divBdr>
    </w:div>
    <w:div w:id="872886537">
      <w:bodyDiv w:val="1"/>
      <w:marLeft w:val="0"/>
      <w:marRight w:val="0"/>
      <w:marTop w:val="0"/>
      <w:marBottom w:val="0"/>
      <w:divBdr>
        <w:top w:val="none" w:sz="0" w:space="0" w:color="auto"/>
        <w:left w:val="none" w:sz="0" w:space="0" w:color="auto"/>
        <w:bottom w:val="none" w:sz="0" w:space="0" w:color="auto"/>
        <w:right w:val="none" w:sz="0" w:space="0" w:color="auto"/>
      </w:divBdr>
    </w:div>
    <w:div w:id="873033374">
      <w:bodyDiv w:val="1"/>
      <w:marLeft w:val="0"/>
      <w:marRight w:val="0"/>
      <w:marTop w:val="0"/>
      <w:marBottom w:val="0"/>
      <w:divBdr>
        <w:top w:val="none" w:sz="0" w:space="0" w:color="auto"/>
        <w:left w:val="none" w:sz="0" w:space="0" w:color="auto"/>
        <w:bottom w:val="none" w:sz="0" w:space="0" w:color="auto"/>
        <w:right w:val="none" w:sz="0" w:space="0" w:color="auto"/>
      </w:divBdr>
    </w:div>
    <w:div w:id="873469000">
      <w:bodyDiv w:val="1"/>
      <w:marLeft w:val="0"/>
      <w:marRight w:val="0"/>
      <w:marTop w:val="0"/>
      <w:marBottom w:val="0"/>
      <w:divBdr>
        <w:top w:val="none" w:sz="0" w:space="0" w:color="auto"/>
        <w:left w:val="none" w:sz="0" w:space="0" w:color="auto"/>
        <w:bottom w:val="none" w:sz="0" w:space="0" w:color="auto"/>
        <w:right w:val="none" w:sz="0" w:space="0" w:color="auto"/>
      </w:divBdr>
      <w:divsChild>
        <w:div w:id="1952780773">
          <w:marLeft w:val="480"/>
          <w:marRight w:val="0"/>
          <w:marTop w:val="0"/>
          <w:marBottom w:val="0"/>
          <w:divBdr>
            <w:top w:val="none" w:sz="0" w:space="0" w:color="auto"/>
            <w:left w:val="none" w:sz="0" w:space="0" w:color="auto"/>
            <w:bottom w:val="none" w:sz="0" w:space="0" w:color="auto"/>
            <w:right w:val="none" w:sz="0" w:space="0" w:color="auto"/>
          </w:divBdr>
        </w:div>
        <w:div w:id="1078357694">
          <w:marLeft w:val="480"/>
          <w:marRight w:val="0"/>
          <w:marTop w:val="0"/>
          <w:marBottom w:val="0"/>
          <w:divBdr>
            <w:top w:val="none" w:sz="0" w:space="0" w:color="auto"/>
            <w:left w:val="none" w:sz="0" w:space="0" w:color="auto"/>
            <w:bottom w:val="none" w:sz="0" w:space="0" w:color="auto"/>
            <w:right w:val="none" w:sz="0" w:space="0" w:color="auto"/>
          </w:divBdr>
        </w:div>
        <w:div w:id="470445175">
          <w:marLeft w:val="480"/>
          <w:marRight w:val="0"/>
          <w:marTop w:val="0"/>
          <w:marBottom w:val="0"/>
          <w:divBdr>
            <w:top w:val="none" w:sz="0" w:space="0" w:color="auto"/>
            <w:left w:val="none" w:sz="0" w:space="0" w:color="auto"/>
            <w:bottom w:val="none" w:sz="0" w:space="0" w:color="auto"/>
            <w:right w:val="none" w:sz="0" w:space="0" w:color="auto"/>
          </w:divBdr>
        </w:div>
        <w:div w:id="13464432">
          <w:marLeft w:val="480"/>
          <w:marRight w:val="0"/>
          <w:marTop w:val="0"/>
          <w:marBottom w:val="0"/>
          <w:divBdr>
            <w:top w:val="none" w:sz="0" w:space="0" w:color="auto"/>
            <w:left w:val="none" w:sz="0" w:space="0" w:color="auto"/>
            <w:bottom w:val="none" w:sz="0" w:space="0" w:color="auto"/>
            <w:right w:val="none" w:sz="0" w:space="0" w:color="auto"/>
          </w:divBdr>
        </w:div>
        <w:div w:id="361706753">
          <w:marLeft w:val="480"/>
          <w:marRight w:val="0"/>
          <w:marTop w:val="0"/>
          <w:marBottom w:val="0"/>
          <w:divBdr>
            <w:top w:val="none" w:sz="0" w:space="0" w:color="auto"/>
            <w:left w:val="none" w:sz="0" w:space="0" w:color="auto"/>
            <w:bottom w:val="none" w:sz="0" w:space="0" w:color="auto"/>
            <w:right w:val="none" w:sz="0" w:space="0" w:color="auto"/>
          </w:divBdr>
        </w:div>
        <w:div w:id="1046249355">
          <w:marLeft w:val="480"/>
          <w:marRight w:val="0"/>
          <w:marTop w:val="0"/>
          <w:marBottom w:val="0"/>
          <w:divBdr>
            <w:top w:val="none" w:sz="0" w:space="0" w:color="auto"/>
            <w:left w:val="none" w:sz="0" w:space="0" w:color="auto"/>
            <w:bottom w:val="none" w:sz="0" w:space="0" w:color="auto"/>
            <w:right w:val="none" w:sz="0" w:space="0" w:color="auto"/>
          </w:divBdr>
        </w:div>
        <w:div w:id="401953591">
          <w:marLeft w:val="480"/>
          <w:marRight w:val="0"/>
          <w:marTop w:val="0"/>
          <w:marBottom w:val="0"/>
          <w:divBdr>
            <w:top w:val="none" w:sz="0" w:space="0" w:color="auto"/>
            <w:left w:val="none" w:sz="0" w:space="0" w:color="auto"/>
            <w:bottom w:val="none" w:sz="0" w:space="0" w:color="auto"/>
            <w:right w:val="none" w:sz="0" w:space="0" w:color="auto"/>
          </w:divBdr>
        </w:div>
        <w:div w:id="1603419339">
          <w:marLeft w:val="480"/>
          <w:marRight w:val="0"/>
          <w:marTop w:val="0"/>
          <w:marBottom w:val="0"/>
          <w:divBdr>
            <w:top w:val="none" w:sz="0" w:space="0" w:color="auto"/>
            <w:left w:val="none" w:sz="0" w:space="0" w:color="auto"/>
            <w:bottom w:val="none" w:sz="0" w:space="0" w:color="auto"/>
            <w:right w:val="none" w:sz="0" w:space="0" w:color="auto"/>
          </w:divBdr>
        </w:div>
        <w:div w:id="1805468222">
          <w:marLeft w:val="480"/>
          <w:marRight w:val="0"/>
          <w:marTop w:val="0"/>
          <w:marBottom w:val="0"/>
          <w:divBdr>
            <w:top w:val="none" w:sz="0" w:space="0" w:color="auto"/>
            <w:left w:val="none" w:sz="0" w:space="0" w:color="auto"/>
            <w:bottom w:val="none" w:sz="0" w:space="0" w:color="auto"/>
            <w:right w:val="none" w:sz="0" w:space="0" w:color="auto"/>
          </w:divBdr>
        </w:div>
        <w:div w:id="1409615182">
          <w:marLeft w:val="480"/>
          <w:marRight w:val="0"/>
          <w:marTop w:val="0"/>
          <w:marBottom w:val="0"/>
          <w:divBdr>
            <w:top w:val="none" w:sz="0" w:space="0" w:color="auto"/>
            <w:left w:val="none" w:sz="0" w:space="0" w:color="auto"/>
            <w:bottom w:val="none" w:sz="0" w:space="0" w:color="auto"/>
            <w:right w:val="none" w:sz="0" w:space="0" w:color="auto"/>
          </w:divBdr>
        </w:div>
        <w:div w:id="439225727">
          <w:marLeft w:val="480"/>
          <w:marRight w:val="0"/>
          <w:marTop w:val="0"/>
          <w:marBottom w:val="0"/>
          <w:divBdr>
            <w:top w:val="none" w:sz="0" w:space="0" w:color="auto"/>
            <w:left w:val="none" w:sz="0" w:space="0" w:color="auto"/>
            <w:bottom w:val="none" w:sz="0" w:space="0" w:color="auto"/>
            <w:right w:val="none" w:sz="0" w:space="0" w:color="auto"/>
          </w:divBdr>
        </w:div>
        <w:div w:id="2046522208">
          <w:marLeft w:val="480"/>
          <w:marRight w:val="0"/>
          <w:marTop w:val="0"/>
          <w:marBottom w:val="0"/>
          <w:divBdr>
            <w:top w:val="none" w:sz="0" w:space="0" w:color="auto"/>
            <w:left w:val="none" w:sz="0" w:space="0" w:color="auto"/>
            <w:bottom w:val="none" w:sz="0" w:space="0" w:color="auto"/>
            <w:right w:val="none" w:sz="0" w:space="0" w:color="auto"/>
          </w:divBdr>
        </w:div>
        <w:div w:id="533738571">
          <w:marLeft w:val="480"/>
          <w:marRight w:val="0"/>
          <w:marTop w:val="0"/>
          <w:marBottom w:val="0"/>
          <w:divBdr>
            <w:top w:val="none" w:sz="0" w:space="0" w:color="auto"/>
            <w:left w:val="none" w:sz="0" w:space="0" w:color="auto"/>
            <w:bottom w:val="none" w:sz="0" w:space="0" w:color="auto"/>
            <w:right w:val="none" w:sz="0" w:space="0" w:color="auto"/>
          </w:divBdr>
        </w:div>
        <w:div w:id="644429455">
          <w:marLeft w:val="480"/>
          <w:marRight w:val="0"/>
          <w:marTop w:val="0"/>
          <w:marBottom w:val="0"/>
          <w:divBdr>
            <w:top w:val="none" w:sz="0" w:space="0" w:color="auto"/>
            <w:left w:val="none" w:sz="0" w:space="0" w:color="auto"/>
            <w:bottom w:val="none" w:sz="0" w:space="0" w:color="auto"/>
            <w:right w:val="none" w:sz="0" w:space="0" w:color="auto"/>
          </w:divBdr>
        </w:div>
        <w:div w:id="164441145">
          <w:marLeft w:val="480"/>
          <w:marRight w:val="0"/>
          <w:marTop w:val="0"/>
          <w:marBottom w:val="0"/>
          <w:divBdr>
            <w:top w:val="none" w:sz="0" w:space="0" w:color="auto"/>
            <w:left w:val="none" w:sz="0" w:space="0" w:color="auto"/>
            <w:bottom w:val="none" w:sz="0" w:space="0" w:color="auto"/>
            <w:right w:val="none" w:sz="0" w:space="0" w:color="auto"/>
          </w:divBdr>
        </w:div>
        <w:div w:id="1143423286">
          <w:marLeft w:val="480"/>
          <w:marRight w:val="0"/>
          <w:marTop w:val="0"/>
          <w:marBottom w:val="0"/>
          <w:divBdr>
            <w:top w:val="none" w:sz="0" w:space="0" w:color="auto"/>
            <w:left w:val="none" w:sz="0" w:space="0" w:color="auto"/>
            <w:bottom w:val="none" w:sz="0" w:space="0" w:color="auto"/>
            <w:right w:val="none" w:sz="0" w:space="0" w:color="auto"/>
          </w:divBdr>
        </w:div>
        <w:div w:id="1379742901">
          <w:marLeft w:val="480"/>
          <w:marRight w:val="0"/>
          <w:marTop w:val="0"/>
          <w:marBottom w:val="0"/>
          <w:divBdr>
            <w:top w:val="none" w:sz="0" w:space="0" w:color="auto"/>
            <w:left w:val="none" w:sz="0" w:space="0" w:color="auto"/>
            <w:bottom w:val="none" w:sz="0" w:space="0" w:color="auto"/>
            <w:right w:val="none" w:sz="0" w:space="0" w:color="auto"/>
          </w:divBdr>
        </w:div>
        <w:div w:id="702480726">
          <w:marLeft w:val="480"/>
          <w:marRight w:val="0"/>
          <w:marTop w:val="0"/>
          <w:marBottom w:val="0"/>
          <w:divBdr>
            <w:top w:val="none" w:sz="0" w:space="0" w:color="auto"/>
            <w:left w:val="none" w:sz="0" w:space="0" w:color="auto"/>
            <w:bottom w:val="none" w:sz="0" w:space="0" w:color="auto"/>
            <w:right w:val="none" w:sz="0" w:space="0" w:color="auto"/>
          </w:divBdr>
        </w:div>
        <w:div w:id="641227975">
          <w:marLeft w:val="480"/>
          <w:marRight w:val="0"/>
          <w:marTop w:val="0"/>
          <w:marBottom w:val="0"/>
          <w:divBdr>
            <w:top w:val="none" w:sz="0" w:space="0" w:color="auto"/>
            <w:left w:val="none" w:sz="0" w:space="0" w:color="auto"/>
            <w:bottom w:val="none" w:sz="0" w:space="0" w:color="auto"/>
            <w:right w:val="none" w:sz="0" w:space="0" w:color="auto"/>
          </w:divBdr>
        </w:div>
        <w:div w:id="1525903348">
          <w:marLeft w:val="480"/>
          <w:marRight w:val="0"/>
          <w:marTop w:val="0"/>
          <w:marBottom w:val="0"/>
          <w:divBdr>
            <w:top w:val="none" w:sz="0" w:space="0" w:color="auto"/>
            <w:left w:val="none" w:sz="0" w:space="0" w:color="auto"/>
            <w:bottom w:val="none" w:sz="0" w:space="0" w:color="auto"/>
            <w:right w:val="none" w:sz="0" w:space="0" w:color="auto"/>
          </w:divBdr>
        </w:div>
        <w:div w:id="1732651447">
          <w:marLeft w:val="480"/>
          <w:marRight w:val="0"/>
          <w:marTop w:val="0"/>
          <w:marBottom w:val="0"/>
          <w:divBdr>
            <w:top w:val="none" w:sz="0" w:space="0" w:color="auto"/>
            <w:left w:val="none" w:sz="0" w:space="0" w:color="auto"/>
            <w:bottom w:val="none" w:sz="0" w:space="0" w:color="auto"/>
            <w:right w:val="none" w:sz="0" w:space="0" w:color="auto"/>
          </w:divBdr>
        </w:div>
        <w:div w:id="1328948014">
          <w:marLeft w:val="480"/>
          <w:marRight w:val="0"/>
          <w:marTop w:val="0"/>
          <w:marBottom w:val="0"/>
          <w:divBdr>
            <w:top w:val="none" w:sz="0" w:space="0" w:color="auto"/>
            <w:left w:val="none" w:sz="0" w:space="0" w:color="auto"/>
            <w:bottom w:val="none" w:sz="0" w:space="0" w:color="auto"/>
            <w:right w:val="none" w:sz="0" w:space="0" w:color="auto"/>
          </w:divBdr>
        </w:div>
        <w:div w:id="1351107686">
          <w:marLeft w:val="480"/>
          <w:marRight w:val="0"/>
          <w:marTop w:val="0"/>
          <w:marBottom w:val="0"/>
          <w:divBdr>
            <w:top w:val="none" w:sz="0" w:space="0" w:color="auto"/>
            <w:left w:val="none" w:sz="0" w:space="0" w:color="auto"/>
            <w:bottom w:val="none" w:sz="0" w:space="0" w:color="auto"/>
            <w:right w:val="none" w:sz="0" w:space="0" w:color="auto"/>
          </w:divBdr>
        </w:div>
        <w:div w:id="1829903778">
          <w:marLeft w:val="480"/>
          <w:marRight w:val="0"/>
          <w:marTop w:val="0"/>
          <w:marBottom w:val="0"/>
          <w:divBdr>
            <w:top w:val="none" w:sz="0" w:space="0" w:color="auto"/>
            <w:left w:val="none" w:sz="0" w:space="0" w:color="auto"/>
            <w:bottom w:val="none" w:sz="0" w:space="0" w:color="auto"/>
            <w:right w:val="none" w:sz="0" w:space="0" w:color="auto"/>
          </w:divBdr>
        </w:div>
        <w:div w:id="883756075">
          <w:marLeft w:val="480"/>
          <w:marRight w:val="0"/>
          <w:marTop w:val="0"/>
          <w:marBottom w:val="0"/>
          <w:divBdr>
            <w:top w:val="none" w:sz="0" w:space="0" w:color="auto"/>
            <w:left w:val="none" w:sz="0" w:space="0" w:color="auto"/>
            <w:bottom w:val="none" w:sz="0" w:space="0" w:color="auto"/>
            <w:right w:val="none" w:sz="0" w:space="0" w:color="auto"/>
          </w:divBdr>
        </w:div>
        <w:div w:id="1369329511">
          <w:marLeft w:val="480"/>
          <w:marRight w:val="0"/>
          <w:marTop w:val="0"/>
          <w:marBottom w:val="0"/>
          <w:divBdr>
            <w:top w:val="none" w:sz="0" w:space="0" w:color="auto"/>
            <w:left w:val="none" w:sz="0" w:space="0" w:color="auto"/>
            <w:bottom w:val="none" w:sz="0" w:space="0" w:color="auto"/>
            <w:right w:val="none" w:sz="0" w:space="0" w:color="auto"/>
          </w:divBdr>
        </w:div>
        <w:div w:id="2093357461">
          <w:marLeft w:val="480"/>
          <w:marRight w:val="0"/>
          <w:marTop w:val="0"/>
          <w:marBottom w:val="0"/>
          <w:divBdr>
            <w:top w:val="none" w:sz="0" w:space="0" w:color="auto"/>
            <w:left w:val="none" w:sz="0" w:space="0" w:color="auto"/>
            <w:bottom w:val="none" w:sz="0" w:space="0" w:color="auto"/>
            <w:right w:val="none" w:sz="0" w:space="0" w:color="auto"/>
          </w:divBdr>
        </w:div>
        <w:div w:id="1627543416">
          <w:marLeft w:val="480"/>
          <w:marRight w:val="0"/>
          <w:marTop w:val="0"/>
          <w:marBottom w:val="0"/>
          <w:divBdr>
            <w:top w:val="none" w:sz="0" w:space="0" w:color="auto"/>
            <w:left w:val="none" w:sz="0" w:space="0" w:color="auto"/>
            <w:bottom w:val="none" w:sz="0" w:space="0" w:color="auto"/>
            <w:right w:val="none" w:sz="0" w:space="0" w:color="auto"/>
          </w:divBdr>
        </w:div>
        <w:div w:id="739446270">
          <w:marLeft w:val="480"/>
          <w:marRight w:val="0"/>
          <w:marTop w:val="0"/>
          <w:marBottom w:val="0"/>
          <w:divBdr>
            <w:top w:val="none" w:sz="0" w:space="0" w:color="auto"/>
            <w:left w:val="none" w:sz="0" w:space="0" w:color="auto"/>
            <w:bottom w:val="none" w:sz="0" w:space="0" w:color="auto"/>
            <w:right w:val="none" w:sz="0" w:space="0" w:color="auto"/>
          </w:divBdr>
        </w:div>
        <w:div w:id="1032994808">
          <w:marLeft w:val="480"/>
          <w:marRight w:val="0"/>
          <w:marTop w:val="0"/>
          <w:marBottom w:val="0"/>
          <w:divBdr>
            <w:top w:val="none" w:sz="0" w:space="0" w:color="auto"/>
            <w:left w:val="none" w:sz="0" w:space="0" w:color="auto"/>
            <w:bottom w:val="none" w:sz="0" w:space="0" w:color="auto"/>
            <w:right w:val="none" w:sz="0" w:space="0" w:color="auto"/>
          </w:divBdr>
        </w:div>
        <w:div w:id="2126189868">
          <w:marLeft w:val="480"/>
          <w:marRight w:val="0"/>
          <w:marTop w:val="0"/>
          <w:marBottom w:val="0"/>
          <w:divBdr>
            <w:top w:val="none" w:sz="0" w:space="0" w:color="auto"/>
            <w:left w:val="none" w:sz="0" w:space="0" w:color="auto"/>
            <w:bottom w:val="none" w:sz="0" w:space="0" w:color="auto"/>
            <w:right w:val="none" w:sz="0" w:space="0" w:color="auto"/>
          </w:divBdr>
        </w:div>
        <w:div w:id="1990085501">
          <w:marLeft w:val="480"/>
          <w:marRight w:val="0"/>
          <w:marTop w:val="0"/>
          <w:marBottom w:val="0"/>
          <w:divBdr>
            <w:top w:val="none" w:sz="0" w:space="0" w:color="auto"/>
            <w:left w:val="none" w:sz="0" w:space="0" w:color="auto"/>
            <w:bottom w:val="none" w:sz="0" w:space="0" w:color="auto"/>
            <w:right w:val="none" w:sz="0" w:space="0" w:color="auto"/>
          </w:divBdr>
        </w:div>
        <w:div w:id="706494529">
          <w:marLeft w:val="480"/>
          <w:marRight w:val="0"/>
          <w:marTop w:val="0"/>
          <w:marBottom w:val="0"/>
          <w:divBdr>
            <w:top w:val="none" w:sz="0" w:space="0" w:color="auto"/>
            <w:left w:val="none" w:sz="0" w:space="0" w:color="auto"/>
            <w:bottom w:val="none" w:sz="0" w:space="0" w:color="auto"/>
            <w:right w:val="none" w:sz="0" w:space="0" w:color="auto"/>
          </w:divBdr>
        </w:div>
        <w:div w:id="2069306534">
          <w:marLeft w:val="480"/>
          <w:marRight w:val="0"/>
          <w:marTop w:val="0"/>
          <w:marBottom w:val="0"/>
          <w:divBdr>
            <w:top w:val="none" w:sz="0" w:space="0" w:color="auto"/>
            <w:left w:val="none" w:sz="0" w:space="0" w:color="auto"/>
            <w:bottom w:val="none" w:sz="0" w:space="0" w:color="auto"/>
            <w:right w:val="none" w:sz="0" w:space="0" w:color="auto"/>
          </w:divBdr>
        </w:div>
        <w:div w:id="342905758">
          <w:marLeft w:val="480"/>
          <w:marRight w:val="0"/>
          <w:marTop w:val="0"/>
          <w:marBottom w:val="0"/>
          <w:divBdr>
            <w:top w:val="none" w:sz="0" w:space="0" w:color="auto"/>
            <w:left w:val="none" w:sz="0" w:space="0" w:color="auto"/>
            <w:bottom w:val="none" w:sz="0" w:space="0" w:color="auto"/>
            <w:right w:val="none" w:sz="0" w:space="0" w:color="auto"/>
          </w:divBdr>
        </w:div>
        <w:div w:id="1349286263">
          <w:marLeft w:val="480"/>
          <w:marRight w:val="0"/>
          <w:marTop w:val="0"/>
          <w:marBottom w:val="0"/>
          <w:divBdr>
            <w:top w:val="none" w:sz="0" w:space="0" w:color="auto"/>
            <w:left w:val="none" w:sz="0" w:space="0" w:color="auto"/>
            <w:bottom w:val="none" w:sz="0" w:space="0" w:color="auto"/>
            <w:right w:val="none" w:sz="0" w:space="0" w:color="auto"/>
          </w:divBdr>
        </w:div>
        <w:div w:id="1501652992">
          <w:marLeft w:val="480"/>
          <w:marRight w:val="0"/>
          <w:marTop w:val="0"/>
          <w:marBottom w:val="0"/>
          <w:divBdr>
            <w:top w:val="none" w:sz="0" w:space="0" w:color="auto"/>
            <w:left w:val="none" w:sz="0" w:space="0" w:color="auto"/>
            <w:bottom w:val="none" w:sz="0" w:space="0" w:color="auto"/>
            <w:right w:val="none" w:sz="0" w:space="0" w:color="auto"/>
          </w:divBdr>
        </w:div>
        <w:div w:id="1022056197">
          <w:marLeft w:val="480"/>
          <w:marRight w:val="0"/>
          <w:marTop w:val="0"/>
          <w:marBottom w:val="0"/>
          <w:divBdr>
            <w:top w:val="none" w:sz="0" w:space="0" w:color="auto"/>
            <w:left w:val="none" w:sz="0" w:space="0" w:color="auto"/>
            <w:bottom w:val="none" w:sz="0" w:space="0" w:color="auto"/>
            <w:right w:val="none" w:sz="0" w:space="0" w:color="auto"/>
          </w:divBdr>
        </w:div>
        <w:div w:id="1940140447">
          <w:marLeft w:val="480"/>
          <w:marRight w:val="0"/>
          <w:marTop w:val="0"/>
          <w:marBottom w:val="0"/>
          <w:divBdr>
            <w:top w:val="none" w:sz="0" w:space="0" w:color="auto"/>
            <w:left w:val="none" w:sz="0" w:space="0" w:color="auto"/>
            <w:bottom w:val="none" w:sz="0" w:space="0" w:color="auto"/>
            <w:right w:val="none" w:sz="0" w:space="0" w:color="auto"/>
          </w:divBdr>
        </w:div>
        <w:div w:id="1051534336">
          <w:marLeft w:val="480"/>
          <w:marRight w:val="0"/>
          <w:marTop w:val="0"/>
          <w:marBottom w:val="0"/>
          <w:divBdr>
            <w:top w:val="none" w:sz="0" w:space="0" w:color="auto"/>
            <w:left w:val="none" w:sz="0" w:space="0" w:color="auto"/>
            <w:bottom w:val="none" w:sz="0" w:space="0" w:color="auto"/>
            <w:right w:val="none" w:sz="0" w:space="0" w:color="auto"/>
          </w:divBdr>
        </w:div>
        <w:div w:id="1004699509">
          <w:marLeft w:val="480"/>
          <w:marRight w:val="0"/>
          <w:marTop w:val="0"/>
          <w:marBottom w:val="0"/>
          <w:divBdr>
            <w:top w:val="none" w:sz="0" w:space="0" w:color="auto"/>
            <w:left w:val="none" w:sz="0" w:space="0" w:color="auto"/>
            <w:bottom w:val="none" w:sz="0" w:space="0" w:color="auto"/>
            <w:right w:val="none" w:sz="0" w:space="0" w:color="auto"/>
          </w:divBdr>
        </w:div>
        <w:div w:id="634872453">
          <w:marLeft w:val="480"/>
          <w:marRight w:val="0"/>
          <w:marTop w:val="0"/>
          <w:marBottom w:val="0"/>
          <w:divBdr>
            <w:top w:val="none" w:sz="0" w:space="0" w:color="auto"/>
            <w:left w:val="none" w:sz="0" w:space="0" w:color="auto"/>
            <w:bottom w:val="none" w:sz="0" w:space="0" w:color="auto"/>
            <w:right w:val="none" w:sz="0" w:space="0" w:color="auto"/>
          </w:divBdr>
        </w:div>
        <w:div w:id="1115832130">
          <w:marLeft w:val="480"/>
          <w:marRight w:val="0"/>
          <w:marTop w:val="0"/>
          <w:marBottom w:val="0"/>
          <w:divBdr>
            <w:top w:val="none" w:sz="0" w:space="0" w:color="auto"/>
            <w:left w:val="none" w:sz="0" w:space="0" w:color="auto"/>
            <w:bottom w:val="none" w:sz="0" w:space="0" w:color="auto"/>
            <w:right w:val="none" w:sz="0" w:space="0" w:color="auto"/>
          </w:divBdr>
        </w:div>
        <w:div w:id="1273130624">
          <w:marLeft w:val="480"/>
          <w:marRight w:val="0"/>
          <w:marTop w:val="0"/>
          <w:marBottom w:val="0"/>
          <w:divBdr>
            <w:top w:val="none" w:sz="0" w:space="0" w:color="auto"/>
            <w:left w:val="none" w:sz="0" w:space="0" w:color="auto"/>
            <w:bottom w:val="none" w:sz="0" w:space="0" w:color="auto"/>
            <w:right w:val="none" w:sz="0" w:space="0" w:color="auto"/>
          </w:divBdr>
        </w:div>
        <w:div w:id="2013607141">
          <w:marLeft w:val="480"/>
          <w:marRight w:val="0"/>
          <w:marTop w:val="0"/>
          <w:marBottom w:val="0"/>
          <w:divBdr>
            <w:top w:val="none" w:sz="0" w:space="0" w:color="auto"/>
            <w:left w:val="none" w:sz="0" w:space="0" w:color="auto"/>
            <w:bottom w:val="none" w:sz="0" w:space="0" w:color="auto"/>
            <w:right w:val="none" w:sz="0" w:space="0" w:color="auto"/>
          </w:divBdr>
        </w:div>
        <w:div w:id="1908346449">
          <w:marLeft w:val="480"/>
          <w:marRight w:val="0"/>
          <w:marTop w:val="0"/>
          <w:marBottom w:val="0"/>
          <w:divBdr>
            <w:top w:val="none" w:sz="0" w:space="0" w:color="auto"/>
            <w:left w:val="none" w:sz="0" w:space="0" w:color="auto"/>
            <w:bottom w:val="none" w:sz="0" w:space="0" w:color="auto"/>
            <w:right w:val="none" w:sz="0" w:space="0" w:color="auto"/>
          </w:divBdr>
        </w:div>
        <w:div w:id="1042747899">
          <w:marLeft w:val="480"/>
          <w:marRight w:val="0"/>
          <w:marTop w:val="0"/>
          <w:marBottom w:val="0"/>
          <w:divBdr>
            <w:top w:val="none" w:sz="0" w:space="0" w:color="auto"/>
            <w:left w:val="none" w:sz="0" w:space="0" w:color="auto"/>
            <w:bottom w:val="none" w:sz="0" w:space="0" w:color="auto"/>
            <w:right w:val="none" w:sz="0" w:space="0" w:color="auto"/>
          </w:divBdr>
        </w:div>
        <w:div w:id="421998149">
          <w:marLeft w:val="480"/>
          <w:marRight w:val="0"/>
          <w:marTop w:val="0"/>
          <w:marBottom w:val="0"/>
          <w:divBdr>
            <w:top w:val="none" w:sz="0" w:space="0" w:color="auto"/>
            <w:left w:val="none" w:sz="0" w:space="0" w:color="auto"/>
            <w:bottom w:val="none" w:sz="0" w:space="0" w:color="auto"/>
            <w:right w:val="none" w:sz="0" w:space="0" w:color="auto"/>
          </w:divBdr>
        </w:div>
        <w:div w:id="2048290486">
          <w:marLeft w:val="480"/>
          <w:marRight w:val="0"/>
          <w:marTop w:val="0"/>
          <w:marBottom w:val="0"/>
          <w:divBdr>
            <w:top w:val="none" w:sz="0" w:space="0" w:color="auto"/>
            <w:left w:val="none" w:sz="0" w:space="0" w:color="auto"/>
            <w:bottom w:val="none" w:sz="0" w:space="0" w:color="auto"/>
            <w:right w:val="none" w:sz="0" w:space="0" w:color="auto"/>
          </w:divBdr>
        </w:div>
        <w:div w:id="1232815451">
          <w:marLeft w:val="480"/>
          <w:marRight w:val="0"/>
          <w:marTop w:val="0"/>
          <w:marBottom w:val="0"/>
          <w:divBdr>
            <w:top w:val="none" w:sz="0" w:space="0" w:color="auto"/>
            <w:left w:val="none" w:sz="0" w:space="0" w:color="auto"/>
            <w:bottom w:val="none" w:sz="0" w:space="0" w:color="auto"/>
            <w:right w:val="none" w:sz="0" w:space="0" w:color="auto"/>
          </w:divBdr>
        </w:div>
        <w:div w:id="917905434">
          <w:marLeft w:val="480"/>
          <w:marRight w:val="0"/>
          <w:marTop w:val="0"/>
          <w:marBottom w:val="0"/>
          <w:divBdr>
            <w:top w:val="none" w:sz="0" w:space="0" w:color="auto"/>
            <w:left w:val="none" w:sz="0" w:space="0" w:color="auto"/>
            <w:bottom w:val="none" w:sz="0" w:space="0" w:color="auto"/>
            <w:right w:val="none" w:sz="0" w:space="0" w:color="auto"/>
          </w:divBdr>
        </w:div>
        <w:div w:id="1164198870">
          <w:marLeft w:val="480"/>
          <w:marRight w:val="0"/>
          <w:marTop w:val="0"/>
          <w:marBottom w:val="0"/>
          <w:divBdr>
            <w:top w:val="none" w:sz="0" w:space="0" w:color="auto"/>
            <w:left w:val="none" w:sz="0" w:space="0" w:color="auto"/>
            <w:bottom w:val="none" w:sz="0" w:space="0" w:color="auto"/>
            <w:right w:val="none" w:sz="0" w:space="0" w:color="auto"/>
          </w:divBdr>
        </w:div>
        <w:div w:id="1732264241">
          <w:marLeft w:val="480"/>
          <w:marRight w:val="0"/>
          <w:marTop w:val="0"/>
          <w:marBottom w:val="0"/>
          <w:divBdr>
            <w:top w:val="none" w:sz="0" w:space="0" w:color="auto"/>
            <w:left w:val="none" w:sz="0" w:space="0" w:color="auto"/>
            <w:bottom w:val="none" w:sz="0" w:space="0" w:color="auto"/>
            <w:right w:val="none" w:sz="0" w:space="0" w:color="auto"/>
          </w:divBdr>
        </w:div>
        <w:div w:id="648824734">
          <w:marLeft w:val="480"/>
          <w:marRight w:val="0"/>
          <w:marTop w:val="0"/>
          <w:marBottom w:val="0"/>
          <w:divBdr>
            <w:top w:val="none" w:sz="0" w:space="0" w:color="auto"/>
            <w:left w:val="none" w:sz="0" w:space="0" w:color="auto"/>
            <w:bottom w:val="none" w:sz="0" w:space="0" w:color="auto"/>
            <w:right w:val="none" w:sz="0" w:space="0" w:color="auto"/>
          </w:divBdr>
        </w:div>
        <w:div w:id="1317345178">
          <w:marLeft w:val="480"/>
          <w:marRight w:val="0"/>
          <w:marTop w:val="0"/>
          <w:marBottom w:val="0"/>
          <w:divBdr>
            <w:top w:val="none" w:sz="0" w:space="0" w:color="auto"/>
            <w:left w:val="none" w:sz="0" w:space="0" w:color="auto"/>
            <w:bottom w:val="none" w:sz="0" w:space="0" w:color="auto"/>
            <w:right w:val="none" w:sz="0" w:space="0" w:color="auto"/>
          </w:divBdr>
        </w:div>
        <w:div w:id="1421439782">
          <w:marLeft w:val="480"/>
          <w:marRight w:val="0"/>
          <w:marTop w:val="0"/>
          <w:marBottom w:val="0"/>
          <w:divBdr>
            <w:top w:val="none" w:sz="0" w:space="0" w:color="auto"/>
            <w:left w:val="none" w:sz="0" w:space="0" w:color="auto"/>
            <w:bottom w:val="none" w:sz="0" w:space="0" w:color="auto"/>
            <w:right w:val="none" w:sz="0" w:space="0" w:color="auto"/>
          </w:divBdr>
        </w:div>
        <w:div w:id="624889587">
          <w:marLeft w:val="480"/>
          <w:marRight w:val="0"/>
          <w:marTop w:val="0"/>
          <w:marBottom w:val="0"/>
          <w:divBdr>
            <w:top w:val="none" w:sz="0" w:space="0" w:color="auto"/>
            <w:left w:val="none" w:sz="0" w:space="0" w:color="auto"/>
            <w:bottom w:val="none" w:sz="0" w:space="0" w:color="auto"/>
            <w:right w:val="none" w:sz="0" w:space="0" w:color="auto"/>
          </w:divBdr>
        </w:div>
        <w:div w:id="1206943589">
          <w:marLeft w:val="480"/>
          <w:marRight w:val="0"/>
          <w:marTop w:val="0"/>
          <w:marBottom w:val="0"/>
          <w:divBdr>
            <w:top w:val="none" w:sz="0" w:space="0" w:color="auto"/>
            <w:left w:val="none" w:sz="0" w:space="0" w:color="auto"/>
            <w:bottom w:val="none" w:sz="0" w:space="0" w:color="auto"/>
            <w:right w:val="none" w:sz="0" w:space="0" w:color="auto"/>
          </w:divBdr>
        </w:div>
        <w:div w:id="27226564">
          <w:marLeft w:val="480"/>
          <w:marRight w:val="0"/>
          <w:marTop w:val="0"/>
          <w:marBottom w:val="0"/>
          <w:divBdr>
            <w:top w:val="none" w:sz="0" w:space="0" w:color="auto"/>
            <w:left w:val="none" w:sz="0" w:space="0" w:color="auto"/>
            <w:bottom w:val="none" w:sz="0" w:space="0" w:color="auto"/>
            <w:right w:val="none" w:sz="0" w:space="0" w:color="auto"/>
          </w:divBdr>
        </w:div>
        <w:div w:id="843478460">
          <w:marLeft w:val="480"/>
          <w:marRight w:val="0"/>
          <w:marTop w:val="0"/>
          <w:marBottom w:val="0"/>
          <w:divBdr>
            <w:top w:val="none" w:sz="0" w:space="0" w:color="auto"/>
            <w:left w:val="none" w:sz="0" w:space="0" w:color="auto"/>
            <w:bottom w:val="none" w:sz="0" w:space="0" w:color="auto"/>
            <w:right w:val="none" w:sz="0" w:space="0" w:color="auto"/>
          </w:divBdr>
        </w:div>
        <w:div w:id="1977712595">
          <w:marLeft w:val="480"/>
          <w:marRight w:val="0"/>
          <w:marTop w:val="0"/>
          <w:marBottom w:val="0"/>
          <w:divBdr>
            <w:top w:val="none" w:sz="0" w:space="0" w:color="auto"/>
            <w:left w:val="none" w:sz="0" w:space="0" w:color="auto"/>
            <w:bottom w:val="none" w:sz="0" w:space="0" w:color="auto"/>
            <w:right w:val="none" w:sz="0" w:space="0" w:color="auto"/>
          </w:divBdr>
        </w:div>
        <w:div w:id="735468159">
          <w:marLeft w:val="480"/>
          <w:marRight w:val="0"/>
          <w:marTop w:val="0"/>
          <w:marBottom w:val="0"/>
          <w:divBdr>
            <w:top w:val="none" w:sz="0" w:space="0" w:color="auto"/>
            <w:left w:val="none" w:sz="0" w:space="0" w:color="auto"/>
            <w:bottom w:val="none" w:sz="0" w:space="0" w:color="auto"/>
            <w:right w:val="none" w:sz="0" w:space="0" w:color="auto"/>
          </w:divBdr>
        </w:div>
        <w:div w:id="1414742939">
          <w:marLeft w:val="480"/>
          <w:marRight w:val="0"/>
          <w:marTop w:val="0"/>
          <w:marBottom w:val="0"/>
          <w:divBdr>
            <w:top w:val="none" w:sz="0" w:space="0" w:color="auto"/>
            <w:left w:val="none" w:sz="0" w:space="0" w:color="auto"/>
            <w:bottom w:val="none" w:sz="0" w:space="0" w:color="auto"/>
            <w:right w:val="none" w:sz="0" w:space="0" w:color="auto"/>
          </w:divBdr>
        </w:div>
        <w:div w:id="150946148">
          <w:marLeft w:val="480"/>
          <w:marRight w:val="0"/>
          <w:marTop w:val="0"/>
          <w:marBottom w:val="0"/>
          <w:divBdr>
            <w:top w:val="none" w:sz="0" w:space="0" w:color="auto"/>
            <w:left w:val="none" w:sz="0" w:space="0" w:color="auto"/>
            <w:bottom w:val="none" w:sz="0" w:space="0" w:color="auto"/>
            <w:right w:val="none" w:sz="0" w:space="0" w:color="auto"/>
          </w:divBdr>
        </w:div>
        <w:div w:id="567500787">
          <w:marLeft w:val="480"/>
          <w:marRight w:val="0"/>
          <w:marTop w:val="0"/>
          <w:marBottom w:val="0"/>
          <w:divBdr>
            <w:top w:val="none" w:sz="0" w:space="0" w:color="auto"/>
            <w:left w:val="none" w:sz="0" w:space="0" w:color="auto"/>
            <w:bottom w:val="none" w:sz="0" w:space="0" w:color="auto"/>
            <w:right w:val="none" w:sz="0" w:space="0" w:color="auto"/>
          </w:divBdr>
        </w:div>
        <w:div w:id="161511512">
          <w:marLeft w:val="480"/>
          <w:marRight w:val="0"/>
          <w:marTop w:val="0"/>
          <w:marBottom w:val="0"/>
          <w:divBdr>
            <w:top w:val="none" w:sz="0" w:space="0" w:color="auto"/>
            <w:left w:val="none" w:sz="0" w:space="0" w:color="auto"/>
            <w:bottom w:val="none" w:sz="0" w:space="0" w:color="auto"/>
            <w:right w:val="none" w:sz="0" w:space="0" w:color="auto"/>
          </w:divBdr>
        </w:div>
        <w:div w:id="1386417229">
          <w:marLeft w:val="480"/>
          <w:marRight w:val="0"/>
          <w:marTop w:val="0"/>
          <w:marBottom w:val="0"/>
          <w:divBdr>
            <w:top w:val="none" w:sz="0" w:space="0" w:color="auto"/>
            <w:left w:val="none" w:sz="0" w:space="0" w:color="auto"/>
            <w:bottom w:val="none" w:sz="0" w:space="0" w:color="auto"/>
            <w:right w:val="none" w:sz="0" w:space="0" w:color="auto"/>
          </w:divBdr>
        </w:div>
        <w:div w:id="956109759">
          <w:marLeft w:val="480"/>
          <w:marRight w:val="0"/>
          <w:marTop w:val="0"/>
          <w:marBottom w:val="0"/>
          <w:divBdr>
            <w:top w:val="none" w:sz="0" w:space="0" w:color="auto"/>
            <w:left w:val="none" w:sz="0" w:space="0" w:color="auto"/>
            <w:bottom w:val="none" w:sz="0" w:space="0" w:color="auto"/>
            <w:right w:val="none" w:sz="0" w:space="0" w:color="auto"/>
          </w:divBdr>
        </w:div>
        <w:div w:id="407701919">
          <w:marLeft w:val="480"/>
          <w:marRight w:val="0"/>
          <w:marTop w:val="0"/>
          <w:marBottom w:val="0"/>
          <w:divBdr>
            <w:top w:val="none" w:sz="0" w:space="0" w:color="auto"/>
            <w:left w:val="none" w:sz="0" w:space="0" w:color="auto"/>
            <w:bottom w:val="none" w:sz="0" w:space="0" w:color="auto"/>
            <w:right w:val="none" w:sz="0" w:space="0" w:color="auto"/>
          </w:divBdr>
        </w:div>
        <w:div w:id="610825154">
          <w:marLeft w:val="480"/>
          <w:marRight w:val="0"/>
          <w:marTop w:val="0"/>
          <w:marBottom w:val="0"/>
          <w:divBdr>
            <w:top w:val="none" w:sz="0" w:space="0" w:color="auto"/>
            <w:left w:val="none" w:sz="0" w:space="0" w:color="auto"/>
            <w:bottom w:val="none" w:sz="0" w:space="0" w:color="auto"/>
            <w:right w:val="none" w:sz="0" w:space="0" w:color="auto"/>
          </w:divBdr>
        </w:div>
        <w:div w:id="317852788">
          <w:marLeft w:val="480"/>
          <w:marRight w:val="0"/>
          <w:marTop w:val="0"/>
          <w:marBottom w:val="0"/>
          <w:divBdr>
            <w:top w:val="none" w:sz="0" w:space="0" w:color="auto"/>
            <w:left w:val="none" w:sz="0" w:space="0" w:color="auto"/>
            <w:bottom w:val="none" w:sz="0" w:space="0" w:color="auto"/>
            <w:right w:val="none" w:sz="0" w:space="0" w:color="auto"/>
          </w:divBdr>
        </w:div>
        <w:div w:id="1604336118">
          <w:marLeft w:val="480"/>
          <w:marRight w:val="0"/>
          <w:marTop w:val="0"/>
          <w:marBottom w:val="0"/>
          <w:divBdr>
            <w:top w:val="none" w:sz="0" w:space="0" w:color="auto"/>
            <w:left w:val="none" w:sz="0" w:space="0" w:color="auto"/>
            <w:bottom w:val="none" w:sz="0" w:space="0" w:color="auto"/>
            <w:right w:val="none" w:sz="0" w:space="0" w:color="auto"/>
          </w:divBdr>
        </w:div>
        <w:div w:id="19357433">
          <w:marLeft w:val="480"/>
          <w:marRight w:val="0"/>
          <w:marTop w:val="0"/>
          <w:marBottom w:val="0"/>
          <w:divBdr>
            <w:top w:val="none" w:sz="0" w:space="0" w:color="auto"/>
            <w:left w:val="none" w:sz="0" w:space="0" w:color="auto"/>
            <w:bottom w:val="none" w:sz="0" w:space="0" w:color="auto"/>
            <w:right w:val="none" w:sz="0" w:space="0" w:color="auto"/>
          </w:divBdr>
        </w:div>
        <w:div w:id="446629260">
          <w:marLeft w:val="480"/>
          <w:marRight w:val="0"/>
          <w:marTop w:val="0"/>
          <w:marBottom w:val="0"/>
          <w:divBdr>
            <w:top w:val="none" w:sz="0" w:space="0" w:color="auto"/>
            <w:left w:val="none" w:sz="0" w:space="0" w:color="auto"/>
            <w:bottom w:val="none" w:sz="0" w:space="0" w:color="auto"/>
            <w:right w:val="none" w:sz="0" w:space="0" w:color="auto"/>
          </w:divBdr>
        </w:div>
        <w:div w:id="1686403494">
          <w:marLeft w:val="480"/>
          <w:marRight w:val="0"/>
          <w:marTop w:val="0"/>
          <w:marBottom w:val="0"/>
          <w:divBdr>
            <w:top w:val="none" w:sz="0" w:space="0" w:color="auto"/>
            <w:left w:val="none" w:sz="0" w:space="0" w:color="auto"/>
            <w:bottom w:val="none" w:sz="0" w:space="0" w:color="auto"/>
            <w:right w:val="none" w:sz="0" w:space="0" w:color="auto"/>
          </w:divBdr>
        </w:div>
        <w:div w:id="1723360805">
          <w:marLeft w:val="480"/>
          <w:marRight w:val="0"/>
          <w:marTop w:val="0"/>
          <w:marBottom w:val="0"/>
          <w:divBdr>
            <w:top w:val="none" w:sz="0" w:space="0" w:color="auto"/>
            <w:left w:val="none" w:sz="0" w:space="0" w:color="auto"/>
            <w:bottom w:val="none" w:sz="0" w:space="0" w:color="auto"/>
            <w:right w:val="none" w:sz="0" w:space="0" w:color="auto"/>
          </w:divBdr>
        </w:div>
        <w:div w:id="965739423">
          <w:marLeft w:val="480"/>
          <w:marRight w:val="0"/>
          <w:marTop w:val="0"/>
          <w:marBottom w:val="0"/>
          <w:divBdr>
            <w:top w:val="none" w:sz="0" w:space="0" w:color="auto"/>
            <w:left w:val="none" w:sz="0" w:space="0" w:color="auto"/>
            <w:bottom w:val="none" w:sz="0" w:space="0" w:color="auto"/>
            <w:right w:val="none" w:sz="0" w:space="0" w:color="auto"/>
          </w:divBdr>
        </w:div>
        <w:div w:id="333147973">
          <w:marLeft w:val="480"/>
          <w:marRight w:val="0"/>
          <w:marTop w:val="0"/>
          <w:marBottom w:val="0"/>
          <w:divBdr>
            <w:top w:val="none" w:sz="0" w:space="0" w:color="auto"/>
            <w:left w:val="none" w:sz="0" w:space="0" w:color="auto"/>
            <w:bottom w:val="none" w:sz="0" w:space="0" w:color="auto"/>
            <w:right w:val="none" w:sz="0" w:space="0" w:color="auto"/>
          </w:divBdr>
        </w:div>
        <w:div w:id="670527838">
          <w:marLeft w:val="480"/>
          <w:marRight w:val="0"/>
          <w:marTop w:val="0"/>
          <w:marBottom w:val="0"/>
          <w:divBdr>
            <w:top w:val="none" w:sz="0" w:space="0" w:color="auto"/>
            <w:left w:val="none" w:sz="0" w:space="0" w:color="auto"/>
            <w:bottom w:val="none" w:sz="0" w:space="0" w:color="auto"/>
            <w:right w:val="none" w:sz="0" w:space="0" w:color="auto"/>
          </w:divBdr>
        </w:div>
        <w:div w:id="1192575455">
          <w:marLeft w:val="480"/>
          <w:marRight w:val="0"/>
          <w:marTop w:val="0"/>
          <w:marBottom w:val="0"/>
          <w:divBdr>
            <w:top w:val="none" w:sz="0" w:space="0" w:color="auto"/>
            <w:left w:val="none" w:sz="0" w:space="0" w:color="auto"/>
            <w:bottom w:val="none" w:sz="0" w:space="0" w:color="auto"/>
            <w:right w:val="none" w:sz="0" w:space="0" w:color="auto"/>
          </w:divBdr>
        </w:div>
        <w:div w:id="1128596333">
          <w:marLeft w:val="480"/>
          <w:marRight w:val="0"/>
          <w:marTop w:val="0"/>
          <w:marBottom w:val="0"/>
          <w:divBdr>
            <w:top w:val="none" w:sz="0" w:space="0" w:color="auto"/>
            <w:left w:val="none" w:sz="0" w:space="0" w:color="auto"/>
            <w:bottom w:val="none" w:sz="0" w:space="0" w:color="auto"/>
            <w:right w:val="none" w:sz="0" w:space="0" w:color="auto"/>
          </w:divBdr>
        </w:div>
        <w:div w:id="1990622779">
          <w:marLeft w:val="480"/>
          <w:marRight w:val="0"/>
          <w:marTop w:val="0"/>
          <w:marBottom w:val="0"/>
          <w:divBdr>
            <w:top w:val="none" w:sz="0" w:space="0" w:color="auto"/>
            <w:left w:val="none" w:sz="0" w:space="0" w:color="auto"/>
            <w:bottom w:val="none" w:sz="0" w:space="0" w:color="auto"/>
            <w:right w:val="none" w:sz="0" w:space="0" w:color="auto"/>
          </w:divBdr>
        </w:div>
        <w:div w:id="455409944">
          <w:marLeft w:val="480"/>
          <w:marRight w:val="0"/>
          <w:marTop w:val="0"/>
          <w:marBottom w:val="0"/>
          <w:divBdr>
            <w:top w:val="none" w:sz="0" w:space="0" w:color="auto"/>
            <w:left w:val="none" w:sz="0" w:space="0" w:color="auto"/>
            <w:bottom w:val="none" w:sz="0" w:space="0" w:color="auto"/>
            <w:right w:val="none" w:sz="0" w:space="0" w:color="auto"/>
          </w:divBdr>
        </w:div>
        <w:div w:id="1067998459">
          <w:marLeft w:val="480"/>
          <w:marRight w:val="0"/>
          <w:marTop w:val="0"/>
          <w:marBottom w:val="0"/>
          <w:divBdr>
            <w:top w:val="none" w:sz="0" w:space="0" w:color="auto"/>
            <w:left w:val="none" w:sz="0" w:space="0" w:color="auto"/>
            <w:bottom w:val="none" w:sz="0" w:space="0" w:color="auto"/>
            <w:right w:val="none" w:sz="0" w:space="0" w:color="auto"/>
          </w:divBdr>
        </w:div>
        <w:div w:id="1676347922">
          <w:marLeft w:val="480"/>
          <w:marRight w:val="0"/>
          <w:marTop w:val="0"/>
          <w:marBottom w:val="0"/>
          <w:divBdr>
            <w:top w:val="none" w:sz="0" w:space="0" w:color="auto"/>
            <w:left w:val="none" w:sz="0" w:space="0" w:color="auto"/>
            <w:bottom w:val="none" w:sz="0" w:space="0" w:color="auto"/>
            <w:right w:val="none" w:sz="0" w:space="0" w:color="auto"/>
          </w:divBdr>
        </w:div>
        <w:div w:id="1405956093">
          <w:marLeft w:val="480"/>
          <w:marRight w:val="0"/>
          <w:marTop w:val="0"/>
          <w:marBottom w:val="0"/>
          <w:divBdr>
            <w:top w:val="none" w:sz="0" w:space="0" w:color="auto"/>
            <w:left w:val="none" w:sz="0" w:space="0" w:color="auto"/>
            <w:bottom w:val="none" w:sz="0" w:space="0" w:color="auto"/>
            <w:right w:val="none" w:sz="0" w:space="0" w:color="auto"/>
          </w:divBdr>
        </w:div>
        <w:div w:id="1817142799">
          <w:marLeft w:val="480"/>
          <w:marRight w:val="0"/>
          <w:marTop w:val="0"/>
          <w:marBottom w:val="0"/>
          <w:divBdr>
            <w:top w:val="none" w:sz="0" w:space="0" w:color="auto"/>
            <w:left w:val="none" w:sz="0" w:space="0" w:color="auto"/>
            <w:bottom w:val="none" w:sz="0" w:space="0" w:color="auto"/>
            <w:right w:val="none" w:sz="0" w:space="0" w:color="auto"/>
          </w:divBdr>
        </w:div>
        <w:div w:id="1018461242">
          <w:marLeft w:val="480"/>
          <w:marRight w:val="0"/>
          <w:marTop w:val="0"/>
          <w:marBottom w:val="0"/>
          <w:divBdr>
            <w:top w:val="none" w:sz="0" w:space="0" w:color="auto"/>
            <w:left w:val="none" w:sz="0" w:space="0" w:color="auto"/>
            <w:bottom w:val="none" w:sz="0" w:space="0" w:color="auto"/>
            <w:right w:val="none" w:sz="0" w:space="0" w:color="auto"/>
          </w:divBdr>
        </w:div>
        <w:div w:id="1340817872">
          <w:marLeft w:val="480"/>
          <w:marRight w:val="0"/>
          <w:marTop w:val="0"/>
          <w:marBottom w:val="0"/>
          <w:divBdr>
            <w:top w:val="none" w:sz="0" w:space="0" w:color="auto"/>
            <w:left w:val="none" w:sz="0" w:space="0" w:color="auto"/>
            <w:bottom w:val="none" w:sz="0" w:space="0" w:color="auto"/>
            <w:right w:val="none" w:sz="0" w:space="0" w:color="auto"/>
          </w:divBdr>
        </w:div>
        <w:div w:id="207911579">
          <w:marLeft w:val="480"/>
          <w:marRight w:val="0"/>
          <w:marTop w:val="0"/>
          <w:marBottom w:val="0"/>
          <w:divBdr>
            <w:top w:val="none" w:sz="0" w:space="0" w:color="auto"/>
            <w:left w:val="none" w:sz="0" w:space="0" w:color="auto"/>
            <w:bottom w:val="none" w:sz="0" w:space="0" w:color="auto"/>
            <w:right w:val="none" w:sz="0" w:space="0" w:color="auto"/>
          </w:divBdr>
        </w:div>
        <w:div w:id="169104809">
          <w:marLeft w:val="480"/>
          <w:marRight w:val="0"/>
          <w:marTop w:val="0"/>
          <w:marBottom w:val="0"/>
          <w:divBdr>
            <w:top w:val="none" w:sz="0" w:space="0" w:color="auto"/>
            <w:left w:val="none" w:sz="0" w:space="0" w:color="auto"/>
            <w:bottom w:val="none" w:sz="0" w:space="0" w:color="auto"/>
            <w:right w:val="none" w:sz="0" w:space="0" w:color="auto"/>
          </w:divBdr>
        </w:div>
        <w:div w:id="1233737939">
          <w:marLeft w:val="480"/>
          <w:marRight w:val="0"/>
          <w:marTop w:val="0"/>
          <w:marBottom w:val="0"/>
          <w:divBdr>
            <w:top w:val="none" w:sz="0" w:space="0" w:color="auto"/>
            <w:left w:val="none" w:sz="0" w:space="0" w:color="auto"/>
            <w:bottom w:val="none" w:sz="0" w:space="0" w:color="auto"/>
            <w:right w:val="none" w:sz="0" w:space="0" w:color="auto"/>
          </w:divBdr>
        </w:div>
        <w:div w:id="96753597">
          <w:marLeft w:val="480"/>
          <w:marRight w:val="0"/>
          <w:marTop w:val="0"/>
          <w:marBottom w:val="0"/>
          <w:divBdr>
            <w:top w:val="none" w:sz="0" w:space="0" w:color="auto"/>
            <w:left w:val="none" w:sz="0" w:space="0" w:color="auto"/>
            <w:bottom w:val="none" w:sz="0" w:space="0" w:color="auto"/>
            <w:right w:val="none" w:sz="0" w:space="0" w:color="auto"/>
          </w:divBdr>
        </w:div>
        <w:div w:id="1826118894">
          <w:marLeft w:val="480"/>
          <w:marRight w:val="0"/>
          <w:marTop w:val="0"/>
          <w:marBottom w:val="0"/>
          <w:divBdr>
            <w:top w:val="none" w:sz="0" w:space="0" w:color="auto"/>
            <w:left w:val="none" w:sz="0" w:space="0" w:color="auto"/>
            <w:bottom w:val="none" w:sz="0" w:space="0" w:color="auto"/>
            <w:right w:val="none" w:sz="0" w:space="0" w:color="auto"/>
          </w:divBdr>
        </w:div>
        <w:div w:id="215360297">
          <w:marLeft w:val="480"/>
          <w:marRight w:val="0"/>
          <w:marTop w:val="0"/>
          <w:marBottom w:val="0"/>
          <w:divBdr>
            <w:top w:val="none" w:sz="0" w:space="0" w:color="auto"/>
            <w:left w:val="none" w:sz="0" w:space="0" w:color="auto"/>
            <w:bottom w:val="none" w:sz="0" w:space="0" w:color="auto"/>
            <w:right w:val="none" w:sz="0" w:space="0" w:color="auto"/>
          </w:divBdr>
        </w:div>
        <w:div w:id="88475332">
          <w:marLeft w:val="480"/>
          <w:marRight w:val="0"/>
          <w:marTop w:val="0"/>
          <w:marBottom w:val="0"/>
          <w:divBdr>
            <w:top w:val="none" w:sz="0" w:space="0" w:color="auto"/>
            <w:left w:val="none" w:sz="0" w:space="0" w:color="auto"/>
            <w:bottom w:val="none" w:sz="0" w:space="0" w:color="auto"/>
            <w:right w:val="none" w:sz="0" w:space="0" w:color="auto"/>
          </w:divBdr>
        </w:div>
        <w:div w:id="716397307">
          <w:marLeft w:val="480"/>
          <w:marRight w:val="0"/>
          <w:marTop w:val="0"/>
          <w:marBottom w:val="0"/>
          <w:divBdr>
            <w:top w:val="none" w:sz="0" w:space="0" w:color="auto"/>
            <w:left w:val="none" w:sz="0" w:space="0" w:color="auto"/>
            <w:bottom w:val="none" w:sz="0" w:space="0" w:color="auto"/>
            <w:right w:val="none" w:sz="0" w:space="0" w:color="auto"/>
          </w:divBdr>
        </w:div>
        <w:div w:id="493033771">
          <w:marLeft w:val="480"/>
          <w:marRight w:val="0"/>
          <w:marTop w:val="0"/>
          <w:marBottom w:val="0"/>
          <w:divBdr>
            <w:top w:val="none" w:sz="0" w:space="0" w:color="auto"/>
            <w:left w:val="none" w:sz="0" w:space="0" w:color="auto"/>
            <w:bottom w:val="none" w:sz="0" w:space="0" w:color="auto"/>
            <w:right w:val="none" w:sz="0" w:space="0" w:color="auto"/>
          </w:divBdr>
        </w:div>
        <w:div w:id="1765227036">
          <w:marLeft w:val="480"/>
          <w:marRight w:val="0"/>
          <w:marTop w:val="0"/>
          <w:marBottom w:val="0"/>
          <w:divBdr>
            <w:top w:val="none" w:sz="0" w:space="0" w:color="auto"/>
            <w:left w:val="none" w:sz="0" w:space="0" w:color="auto"/>
            <w:bottom w:val="none" w:sz="0" w:space="0" w:color="auto"/>
            <w:right w:val="none" w:sz="0" w:space="0" w:color="auto"/>
          </w:divBdr>
        </w:div>
        <w:div w:id="525602855">
          <w:marLeft w:val="480"/>
          <w:marRight w:val="0"/>
          <w:marTop w:val="0"/>
          <w:marBottom w:val="0"/>
          <w:divBdr>
            <w:top w:val="none" w:sz="0" w:space="0" w:color="auto"/>
            <w:left w:val="none" w:sz="0" w:space="0" w:color="auto"/>
            <w:bottom w:val="none" w:sz="0" w:space="0" w:color="auto"/>
            <w:right w:val="none" w:sz="0" w:space="0" w:color="auto"/>
          </w:divBdr>
        </w:div>
        <w:div w:id="898714248">
          <w:marLeft w:val="480"/>
          <w:marRight w:val="0"/>
          <w:marTop w:val="0"/>
          <w:marBottom w:val="0"/>
          <w:divBdr>
            <w:top w:val="none" w:sz="0" w:space="0" w:color="auto"/>
            <w:left w:val="none" w:sz="0" w:space="0" w:color="auto"/>
            <w:bottom w:val="none" w:sz="0" w:space="0" w:color="auto"/>
            <w:right w:val="none" w:sz="0" w:space="0" w:color="auto"/>
          </w:divBdr>
        </w:div>
        <w:div w:id="938292715">
          <w:marLeft w:val="480"/>
          <w:marRight w:val="0"/>
          <w:marTop w:val="0"/>
          <w:marBottom w:val="0"/>
          <w:divBdr>
            <w:top w:val="none" w:sz="0" w:space="0" w:color="auto"/>
            <w:left w:val="none" w:sz="0" w:space="0" w:color="auto"/>
            <w:bottom w:val="none" w:sz="0" w:space="0" w:color="auto"/>
            <w:right w:val="none" w:sz="0" w:space="0" w:color="auto"/>
          </w:divBdr>
        </w:div>
        <w:div w:id="138688740">
          <w:marLeft w:val="480"/>
          <w:marRight w:val="0"/>
          <w:marTop w:val="0"/>
          <w:marBottom w:val="0"/>
          <w:divBdr>
            <w:top w:val="none" w:sz="0" w:space="0" w:color="auto"/>
            <w:left w:val="none" w:sz="0" w:space="0" w:color="auto"/>
            <w:bottom w:val="none" w:sz="0" w:space="0" w:color="auto"/>
            <w:right w:val="none" w:sz="0" w:space="0" w:color="auto"/>
          </w:divBdr>
        </w:div>
        <w:div w:id="2144232841">
          <w:marLeft w:val="480"/>
          <w:marRight w:val="0"/>
          <w:marTop w:val="0"/>
          <w:marBottom w:val="0"/>
          <w:divBdr>
            <w:top w:val="none" w:sz="0" w:space="0" w:color="auto"/>
            <w:left w:val="none" w:sz="0" w:space="0" w:color="auto"/>
            <w:bottom w:val="none" w:sz="0" w:space="0" w:color="auto"/>
            <w:right w:val="none" w:sz="0" w:space="0" w:color="auto"/>
          </w:divBdr>
        </w:div>
        <w:div w:id="1177158738">
          <w:marLeft w:val="480"/>
          <w:marRight w:val="0"/>
          <w:marTop w:val="0"/>
          <w:marBottom w:val="0"/>
          <w:divBdr>
            <w:top w:val="none" w:sz="0" w:space="0" w:color="auto"/>
            <w:left w:val="none" w:sz="0" w:space="0" w:color="auto"/>
            <w:bottom w:val="none" w:sz="0" w:space="0" w:color="auto"/>
            <w:right w:val="none" w:sz="0" w:space="0" w:color="auto"/>
          </w:divBdr>
        </w:div>
        <w:div w:id="1195927884">
          <w:marLeft w:val="480"/>
          <w:marRight w:val="0"/>
          <w:marTop w:val="0"/>
          <w:marBottom w:val="0"/>
          <w:divBdr>
            <w:top w:val="none" w:sz="0" w:space="0" w:color="auto"/>
            <w:left w:val="none" w:sz="0" w:space="0" w:color="auto"/>
            <w:bottom w:val="none" w:sz="0" w:space="0" w:color="auto"/>
            <w:right w:val="none" w:sz="0" w:space="0" w:color="auto"/>
          </w:divBdr>
        </w:div>
        <w:div w:id="1985889212">
          <w:marLeft w:val="480"/>
          <w:marRight w:val="0"/>
          <w:marTop w:val="0"/>
          <w:marBottom w:val="0"/>
          <w:divBdr>
            <w:top w:val="none" w:sz="0" w:space="0" w:color="auto"/>
            <w:left w:val="none" w:sz="0" w:space="0" w:color="auto"/>
            <w:bottom w:val="none" w:sz="0" w:space="0" w:color="auto"/>
            <w:right w:val="none" w:sz="0" w:space="0" w:color="auto"/>
          </w:divBdr>
        </w:div>
        <w:div w:id="1593508173">
          <w:marLeft w:val="480"/>
          <w:marRight w:val="0"/>
          <w:marTop w:val="0"/>
          <w:marBottom w:val="0"/>
          <w:divBdr>
            <w:top w:val="none" w:sz="0" w:space="0" w:color="auto"/>
            <w:left w:val="none" w:sz="0" w:space="0" w:color="auto"/>
            <w:bottom w:val="none" w:sz="0" w:space="0" w:color="auto"/>
            <w:right w:val="none" w:sz="0" w:space="0" w:color="auto"/>
          </w:divBdr>
        </w:div>
        <w:div w:id="1945576195">
          <w:marLeft w:val="480"/>
          <w:marRight w:val="0"/>
          <w:marTop w:val="0"/>
          <w:marBottom w:val="0"/>
          <w:divBdr>
            <w:top w:val="none" w:sz="0" w:space="0" w:color="auto"/>
            <w:left w:val="none" w:sz="0" w:space="0" w:color="auto"/>
            <w:bottom w:val="none" w:sz="0" w:space="0" w:color="auto"/>
            <w:right w:val="none" w:sz="0" w:space="0" w:color="auto"/>
          </w:divBdr>
        </w:div>
        <w:div w:id="1945768918">
          <w:marLeft w:val="480"/>
          <w:marRight w:val="0"/>
          <w:marTop w:val="0"/>
          <w:marBottom w:val="0"/>
          <w:divBdr>
            <w:top w:val="none" w:sz="0" w:space="0" w:color="auto"/>
            <w:left w:val="none" w:sz="0" w:space="0" w:color="auto"/>
            <w:bottom w:val="none" w:sz="0" w:space="0" w:color="auto"/>
            <w:right w:val="none" w:sz="0" w:space="0" w:color="auto"/>
          </w:divBdr>
        </w:div>
        <w:div w:id="391193419">
          <w:marLeft w:val="480"/>
          <w:marRight w:val="0"/>
          <w:marTop w:val="0"/>
          <w:marBottom w:val="0"/>
          <w:divBdr>
            <w:top w:val="none" w:sz="0" w:space="0" w:color="auto"/>
            <w:left w:val="none" w:sz="0" w:space="0" w:color="auto"/>
            <w:bottom w:val="none" w:sz="0" w:space="0" w:color="auto"/>
            <w:right w:val="none" w:sz="0" w:space="0" w:color="auto"/>
          </w:divBdr>
        </w:div>
        <w:div w:id="1287588543">
          <w:marLeft w:val="480"/>
          <w:marRight w:val="0"/>
          <w:marTop w:val="0"/>
          <w:marBottom w:val="0"/>
          <w:divBdr>
            <w:top w:val="none" w:sz="0" w:space="0" w:color="auto"/>
            <w:left w:val="none" w:sz="0" w:space="0" w:color="auto"/>
            <w:bottom w:val="none" w:sz="0" w:space="0" w:color="auto"/>
            <w:right w:val="none" w:sz="0" w:space="0" w:color="auto"/>
          </w:divBdr>
        </w:div>
        <w:div w:id="515845717">
          <w:marLeft w:val="480"/>
          <w:marRight w:val="0"/>
          <w:marTop w:val="0"/>
          <w:marBottom w:val="0"/>
          <w:divBdr>
            <w:top w:val="none" w:sz="0" w:space="0" w:color="auto"/>
            <w:left w:val="none" w:sz="0" w:space="0" w:color="auto"/>
            <w:bottom w:val="none" w:sz="0" w:space="0" w:color="auto"/>
            <w:right w:val="none" w:sz="0" w:space="0" w:color="auto"/>
          </w:divBdr>
        </w:div>
        <w:div w:id="1492671935">
          <w:marLeft w:val="480"/>
          <w:marRight w:val="0"/>
          <w:marTop w:val="0"/>
          <w:marBottom w:val="0"/>
          <w:divBdr>
            <w:top w:val="none" w:sz="0" w:space="0" w:color="auto"/>
            <w:left w:val="none" w:sz="0" w:space="0" w:color="auto"/>
            <w:bottom w:val="none" w:sz="0" w:space="0" w:color="auto"/>
            <w:right w:val="none" w:sz="0" w:space="0" w:color="auto"/>
          </w:divBdr>
        </w:div>
        <w:div w:id="1125537545">
          <w:marLeft w:val="480"/>
          <w:marRight w:val="0"/>
          <w:marTop w:val="0"/>
          <w:marBottom w:val="0"/>
          <w:divBdr>
            <w:top w:val="none" w:sz="0" w:space="0" w:color="auto"/>
            <w:left w:val="none" w:sz="0" w:space="0" w:color="auto"/>
            <w:bottom w:val="none" w:sz="0" w:space="0" w:color="auto"/>
            <w:right w:val="none" w:sz="0" w:space="0" w:color="auto"/>
          </w:divBdr>
        </w:div>
        <w:div w:id="180627170">
          <w:marLeft w:val="480"/>
          <w:marRight w:val="0"/>
          <w:marTop w:val="0"/>
          <w:marBottom w:val="0"/>
          <w:divBdr>
            <w:top w:val="none" w:sz="0" w:space="0" w:color="auto"/>
            <w:left w:val="none" w:sz="0" w:space="0" w:color="auto"/>
            <w:bottom w:val="none" w:sz="0" w:space="0" w:color="auto"/>
            <w:right w:val="none" w:sz="0" w:space="0" w:color="auto"/>
          </w:divBdr>
        </w:div>
        <w:div w:id="1941403170">
          <w:marLeft w:val="480"/>
          <w:marRight w:val="0"/>
          <w:marTop w:val="0"/>
          <w:marBottom w:val="0"/>
          <w:divBdr>
            <w:top w:val="none" w:sz="0" w:space="0" w:color="auto"/>
            <w:left w:val="none" w:sz="0" w:space="0" w:color="auto"/>
            <w:bottom w:val="none" w:sz="0" w:space="0" w:color="auto"/>
            <w:right w:val="none" w:sz="0" w:space="0" w:color="auto"/>
          </w:divBdr>
        </w:div>
        <w:div w:id="263730745">
          <w:marLeft w:val="480"/>
          <w:marRight w:val="0"/>
          <w:marTop w:val="0"/>
          <w:marBottom w:val="0"/>
          <w:divBdr>
            <w:top w:val="none" w:sz="0" w:space="0" w:color="auto"/>
            <w:left w:val="none" w:sz="0" w:space="0" w:color="auto"/>
            <w:bottom w:val="none" w:sz="0" w:space="0" w:color="auto"/>
            <w:right w:val="none" w:sz="0" w:space="0" w:color="auto"/>
          </w:divBdr>
        </w:div>
        <w:div w:id="1470710978">
          <w:marLeft w:val="480"/>
          <w:marRight w:val="0"/>
          <w:marTop w:val="0"/>
          <w:marBottom w:val="0"/>
          <w:divBdr>
            <w:top w:val="none" w:sz="0" w:space="0" w:color="auto"/>
            <w:left w:val="none" w:sz="0" w:space="0" w:color="auto"/>
            <w:bottom w:val="none" w:sz="0" w:space="0" w:color="auto"/>
            <w:right w:val="none" w:sz="0" w:space="0" w:color="auto"/>
          </w:divBdr>
        </w:div>
        <w:div w:id="1158620464">
          <w:marLeft w:val="480"/>
          <w:marRight w:val="0"/>
          <w:marTop w:val="0"/>
          <w:marBottom w:val="0"/>
          <w:divBdr>
            <w:top w:val="none" w:sz="0" w:space="0" w:color="auto"/>
            <w:left w:val="none" w:sz="0" w:space="0" w:color="auto"/>
            <w:bottom w:val="none" w:sz="0" w:space="0" w:color="auto"/>
            <w:right w:val="none" w:sz="0" w:space="0" w:color="auto"/>
          </w:divBdr>
        </w:div>
        <w:div w:id="482816062">
          <w:marLeft w:val="480"/>
          <w:marRight w:val="0"/>
          <w:marTop w:val="0"/>
          <w:marBottom w:val="0"/>
          <w:divBdr>
            <w:top w:val="none" w:sz="0" w:space="0" w:color="auto"/>
            <w:left w:val="none" w:sz="0" w:space="0" w:color="auto"/>
            <w:bottom w:val="none" w:sz="0" w:space="0" w:color="auto"/>
            <w:right w:val="none" w:sz="0" w:space="0" w:color="auto"/>
          </w:divBdr>
        </w:div>
        <w:div w:id="1249539262">
          <w:marLeft w:val="480"/>
          <w:marRight w:val="0"/>
          <w:marTop w:val="0"/>
          <w:marBottom w:val="0"/>
          <w:divBdr>
            <w:top w:val="none" w:sz="0" w:space="0" w:color="auto"/>
            <w:left w:val="none" w:sz="0" w:space="0" w:color="auto"/>
            <w:bottom w:val="none" w:sz="0" w:space="0" w:color="auto"/>
            <w:right w:val="none" w:sz="0" w:space="0" w:color="auto"/>
          </w:divBdr>
        </w:div>
        <w:div w:id="1475101998">
          <w:marLeft w:val="480"/>
          <w:marRight w:val="0"/>
          <w:marTop w:val="0"/>
          <w:marBottom w:val="0"/>
          <w:divBdr>
            <w:top w:val="none" w:sz="0" w:space="0" w:color="auto"/>
            <w:left w:val="none" w:sz="0" w:space="0" w:color="auto"/>
            <w:bottom w:val="none" w:sz="0" w:space="0" w:color="auto"/>
            <w:right w:val="none" w:sz="0" w:space="0" w:color="auto"/>
          </w:divBdr>
        </w:div>
        <w:div w:id="1272471064">
          <w:marLeft w:val="480"/>
          <w:marRight w:val="0"/>
          <w:marTop w:val="0"/>
          <w:marBottom w:val="0"/>
          <w:divBdr>
            <w:top w:val="none" w:sz="0" w:space="0" w:color="auto"/>
            <w:left w:val="none" w:sz="0" w:space="0" w:color="auto"/>
            <w:bottom w:val="none" w:sz="0" w:space="0" w:color="auto"/>
            <w:right w:val="none" w:sz="0" w:space="0" w:color="auto"/>
          </w:divBdr>
        </w:div>
        <w:div w:id="698969624">
          <w:marLeft w:val="480"/>
          <w:marRight w:val="0"/>
          <w:marTop w:val="0"/>
          <w:marBottom w:val="0"/>
          <w:divBdr>
            <w:top w:val="none" w:sz="0" w:space="0" w:color="auto"/>
            <w:left w:val="none" w:sz="0" w:space="0" w:color="auto"/>
            <w:bottom w:val="none" w:sz="0" w:space="0" w:color="auto"/>
            <w:right w:val="none" w:sz="0" w:space="0" w:color="auto"/>
          </w:divBdr>
        </w:div>
        <w:div w:id="56435733">
          <w:marLeft w:val="480"/>
          <w:marRight w:val="0"/>
          <w:marTop w:val="0"/>
          <w:marBottom w:val="0"/>
          <w:divBdr>
            <w:top w:val="none" w:sz="0" w:space="0" w:color="auto"/>
            <w:left w:val="none" w:sz="0" w:space="0" w:color="auto"/>
            <w:bottom w:val="none" w:sz="0" w:space="0" w:color="auto"/>
            <w:right w:val="none" w:sz="0" w:space="0" w:color="auto"/>
          </w:divBdr>
        </w:div>
        <w:div w:id="1602447847">
          <w:marLeft w:val="480"/>
          <w:marRight w:val="0"/>
          <w:marTop w:val="0"/>
          <w:marBottom w:val="0"/>
          <w:divBdr>
            <w:top w:val="none" w:sz="0" w:space="0" w:color="auto"/>
            <w:left w:val="none" w:sz="0" w:space="0" w:color="auto"/>
            <w:bottom w:val="none" w:sz="0" w:space="0" w:color="auto"/>
            <w:right w:val="none" w:sz="0" w:space="0" w:color="auto"/>
          </w:divBdr>
        </w:div>
        <w:div w:id="1940790514">
          <w:marLeft w:val="480"/>
          <w:marRight w:val="0"/>
          <w:marTop w:val="0"/>
          <w:marBottom w:val="0"/>
          <w:divBdr>
            <w:top w:val="none" w:sz="0" w:space="0" w:color="auto"/>
            <w:left w:val="none" w:sz="0" w:space="0" w:color="auto"/>
            <w:bottom w:val="none" w:sz="0" w:space="0" w:color="auto"/>
            <w:right w:val="none" w:sz="0" w:space="0" w:color="auto"/>
          </w:divBdr>
        </w:div>
        <w:div w:id="1311473323">
          <w:marLeft w:val="480"/>
          <w:marRight w:val="0"/>
          <w:marTop w:val="0"/>
          <w:marBottom w:val="0"/>
          <w:divBdr>
            <w:top w:val="none" w:sz="0" w:space="0" w:color="auto"/>
            <w:left w:val="none" w:sz="0" w:space="0" w:color="auto"/>
            <w:bottom w:val="none" w:sz="0" w:space="0" w:color="auto"/>
            <w:right w:val="none" w:sz="0" w:space="0" w:color="auto"/>
          </w:divBdr>
        </w:div>
        <w:div w:id="1823889407">
          <w:marLeft w:val="480"/>
          <w:marRight w:val="0"/>
          <w:marTop w:val="0"/>
          <w:marBottom w:val="0"/>
          <w:divBdr>
            <w:top w:val="none" w:sz="0" w:space="0" w:color="auto"/>
            <w:left w:val="none" w:sz="0" w:space="0" w:color="auto"/>
            <w:bottom w:val="none" w:sz="0" w:space="0" w:color="auto"/>
            <w:right w:val="none" w:sz="0" w:space="0" w:color="auto"/>
          </w:divBdr>
        </w:div>
        <w:div w:id="966743013">
          <w:marLeft w:val="480"/>
          <w:marRight w:val="0"/>
          <w:marTop w:val="0"/>
          <w:marBottom w:val="0"/>
          <w:divBdr>
            <w:top w:val="none" w:sz="0" w:space="0" w:color="auto"/>
            <w:left w:val="none" w:sz="0" w:space="0" w:color="auto"/>
            <w:bottom w:val="none" w:sz="0" w:space="0" w:color="auto"/>
            <w:right w:val="none" w:sz="0" w:space="0" w:color="auto"/>
          </w:divBdr>
        </w:div>
        <w:div w:id="1668249610">
          <w:marLeft w:val="480"/>
          <w:marRight w:val="0"/>
          <w:marTop w:val="0"/>
          <w:marBottom w:val="0"/>
          <w:divBdr>
            <w:top w:val="none" w:sz="0" w:space="0" w:color="auto"/>
            <w:left w:val="none" w:sz="0" w:space="0" w:color="auto"/>
            <w:bottom w:val="none" w:sz="0" w:space="0" w:color="auto"/>
            <w:right w:val="none" w:sz="0" w:space="0" w:color="auto"/>
          </w:divBdr>
        </w:div>
        <w:div w:id="1738286376">
          <w:marLeft w:val="480"/>
          <w:marRight w:val="0"/>
          <w:marTop w:val="0"/>
          <w:marBottom w:val="0"/>
          <w:divBdr>
            <w:top w:val="none" w:sz="0" w:space="0" w:color="auto"/>
            <w:left w:val="none" w:sz="0" w:space="0" w:color="auto"/>
            <w:bottom w:val="none" w:sz="0" w:space="0" w:color="auto"/>
            <w:right w:val="none" w:sz="0" w:space="0" w:color="auto"/>
          </w:divBdr>
        </w:div>
        <w:div w:id="637539180">
          <w:marLeft w:val="480"/>
          <w:marRight w:val="0"/>
          <w:marTop w:val="0"/>
          <w:marBottom w:val="0"/>
          <w:divBdr>
            <w:top w:val="none" w:sz="0" w:space="0" w:color="auto"/>
            <w:left w:val="none" w:sz="0" w:space="0" w:color="auto"/>
            <w:bottom w:val="none" w:sz="0" w:space="0" w:color="auto"/>
            <w:right w:val="none" w:sz="0" w:space="0" w:color="auto"/>
          </w:divBdr>
        </w:div>
        <w:div w:id="1638104119">
          <w:marLeft w:val="480"/>
          <w:marRight w:val="0"/>
          <w:marTop w:val="0"/>
          <w:marBottom w:val="0"/>
          <w:divBdr>
            <w:top w:val="none" w:sz="0" w:space="0" w:color="auto"/>
            <w:left w:val="none" w:sz="0" w:space="0" w:color="auto"/>
            <w:bottom w:val="none" w:sz="0" w:space="0" w:color="auto"/>
            <w:right w:val="none" w:sz="0" w:space="0" w:color="auto"/>
          </w:divBdr>
        </w:div>
        <w:div w:id="480118933">
          <w:marLeft w:val="480"/>
          <w:marRight w:val="0"/>
          <w:marTop w:val="0"/>
          <w:marBottom w:val="0"/>
          <w:divBdr>
            <w:top w:val="none" w:sz="0" w:space="0" w:color="auto"/>
            <w:left w:val="none" w:sz="0" w:space="0" w:color="auto"/>
            <w:bottom w:val="none" w:sz="0" w:space="0" w:color="auto"/>
            <w:right w:val="none" w:sz="0" w:space="0" w:color="auto"/>
          </w:divBdr>
        </w:div>
        <w:div w:id="1352295339">
          <w:marLeft w:val="480"/>
          <w:marRight w:val="0"/>
          <w:marTop w:val="0"/>
          <w:marBottom w:val="0"/>
          <w:divBdr>
            <w:top w:val="none" w:sz="0" w:space="0" w:color="auto"/>
            <w:left w:val="none" w:sz="0" w:space="0" w:color="auto"/>
            <w:bottom w:val="none" w:sz="0" w:space="0" w:color="auto"/>
            <w:right w:val="none" w:sz="0" w:space="0" w:color="auto"/>
          </w:divBdr>
        </w:div>
        <w:div w:id="1460682078">
          <w:marLeft w:val="480"/>
          <w:marRight w:val="0"/>
          <w:marTop w:val="0"/>
          <w:marBottom w:val="0"/>
          <w:divBdr>
            <w:top w:val="none" w:sz="0" w:space="0" w:color="auto"/>
            <w:left w:val="none" w:sz="0" w:space="0" w:color="auto"/>
            <w:bottom w:val="none" w:sz="0" w:space="0" w:color="auto"/>
            <w:right w:val="none" w:sz="0" w:space="0" w:color="auto"/>
          </w:divBdr>
        </w:div>
      </w:divsChild>
    </w:div>
    <w:div w:id="873545850">
      <w:bodyDiv w:val="1"/>
      <w:marLeft w:val="0"/>
      <w:marRight w:val="0"/>
      <w:marTop w:val="0"/>
      <w:marBottom w:val="0"/>
      <w:divBdr>
        <w:top w:val="none" w:sz="0" w:space="0" w:color="auto"/>
        <w:left w:val="none" w:sz="0" w:space="0" w:color="auto"/>
        <w:bottom w:val="none" w:sz="0" w:space="0" w:color="auto"/>
        <w:right w:val="none" w:sz="0" w:space="0" w:color="auto"/>
      </w:divBdr>
    </w:div>
    <w:div w:id="873691844">
      <w:bodyDiv w:val="1"/>
      <w:marLeft w:val="0"/>
      <w:marRight w:val="0"/>
      <w:marTop w:val="0"/>
      <w:marBottom w:val="0"/>
      <w:divBdr>
        <w:top w:val="none" w:sz="0" w:space="0" w:color="auto"/>
        <w:left w:val="none" w:sz="0" w:space="0" w:color="auto"/>
        <w:bottom w:val="none" w:sz="0" w:space="0" w:color="auto"/>
        <w:right w:val="none" w:sz="0" w:space="0" w:color="auto"/>
      </w:divBdr>
    </w:div>
    <w:div w:id="873733704">
      <w:bodyDiv w:val="1"/>
      <w:marLeft w:val="0"/>
      <w:marRight w:val="0"/>
      <w:marTop w:val="0"/>
      <w:marBottom w:val="0"/>
      <w:divBdr>
        <w:top w:val="none" w:sz="0" w:space="0" w:color="auto"/>
        <w:left w:val="none" w:sz="0" w:space="0" w:color="auto"/>
        <w:bottom w:val="none" w:sz="0" w:space="0" w:color="auto"/>
        <w:right w:val="none" w:sz="0" w:space="0" w:color="auto"/>
      </w:divBdr>
    </w:div>
    <w:div w:id="874926474">
      <w:bodyDiv w:val="1"/>
      <w:marLeft w:val="0"/>
      <w:marRight w:val="0"/>
      <w:marTop w:val="0"/>
      <w:marBottom w:val="0"/>
      <w:divBdr>
        <w:top w:val="none" w:sz="0" w:space="0" w:color="auto"/>
        <w:left w:val="none" w:sz="0" w:space="0" w:color="auto"/>
        <w:bottom w:val="none" w:sz="0" w:space="0" w:color="auto"/>
        <w:right w:val="none" w:sz="0" w:space="0" w:color="auto"/>
      </w:divBdr>
    </w:div>
    <w:div w:id="875387403">
      <w:bodyDiv w:val="1"/>
      <w:marLeft w:val="0"/>
      <w:marRight w:val="0"/>
      <w:marTop w:val="0"/>
      <w:marBottom w:val="0"/>
      <w:divBdr>
        <w:top w:val="none" w:sz="0" w:space="0" w:color="auto"/>
        <w:left w:val="none" w:sz="0" w:space="0" w:color="auto"/>
        <w:bottom w:val="none" w:sz="0" w:space="0" w:color="auto"/>
        <w:right w:val="none" w:sz="0" w:space="0" w:color="auto"/>
      </w:divBdr>
    </w:div>
    <w:div w:id="876551535">
      <w:bodyDiv w:val="1"/>
      <w:marLeft w:val="0"/>
      <w:marRight w:val="0"/>
      <w:marTop w:val="0"/>
      <w:marBottom w:val="0"/>
      <w:divBdr>
        <w:top w:val="none" w:sz="0" w:space="0" w:color="auto"/>
        <w:left w:val="none" w:sz="0" w:space="0" w:color="auto"/>
        <w:bottom w:val="none" w:sz="0" w:space="0" w:color="auto"/>
        <w:right w:val="none" w:sz="0" w:space="0" w:color="auto"/>
      </w:divBdr>
    </w:div>
    <w:div w:id="877471191">
      <w:bodyDiv w:val="1"/>
      <w:marLeft w:val="0"/>
      <w:marRight w:val="0"/>
      <w:marTop w:val="0"/>
      <w:marBottom w:val="0"/>
      <w:divBdr>
        <w:top w:val="none" w:sz="0" w:space="0" w:color="auto"/>
        <w:left w:val="none" w:sz="0" w:space="0" w:color="auto"/>
        <w:bottom w:val="none" w:sz="0" w:space="0" w:color="auto"/>
        <w:right w:val="none" w:sz="0" w:space="0" w:color="auto"/>
      </w:divBdr>
    </w:div>
    <w:div w:id="877473703">
      <w:bodyDiv w:val="1"/>
      <w:marLeft w:val="0"/>
      <w:marRight w:val="0"/>
      <w:marTop w:val="0"/>
      <w:marBottom w:val="0"/>
      <w:divBdr>
        <w:top w:val="none" w:sz="0" w:space="0" w:color="auto"/>
        <w:left w:val="none" w:sz="0" w:space="0" w:color="auto"/>
        <w:bottom w:val="none" w:sz="0" w:space="0" w:color="auto"/>
        <w:right w:val="none" w:sz="0" w:space="0" w:color="auto"/>
      </w:divBdr>
    </w:div>
    <w:div w:id="878083625">
      <w:bodyDiv w:val="1"/>
      <w:marLeft w:val="0"/>
      <w:marRight w:val="0"/>
      <w:marTop w:val="0"/>
      <w:marBottom w:val="0"/>
      <w:divBdr>
        <w:top w:val="none" w:sz="0" w:space="0" w:color="auto"/>
        <w:left w:val="none" w:sz="0" w:space="0" w:color="auto"/>
        <w:bottom w:val="none" w:sz="0" w:space="0" w:color="auto"/>
        <w:right w:val="none" w:sz="0" w:space="0" w:color="auto"/>
      </w:divBdr>
    </w:div>
    <w:div w:id="878324804">
      <w:bodyDiv w:val="1"/>
      <w:marLeft w:val="0"/>
      <w:marRight w:val="0"/>
      <w:marTop w:val="0"/>
      <w:marBottom w:val="0"/>
      <w:divBdr>
        <w:top w:val="none" w:sz="0" w:space="0" w:color="auto"/>
        <w:left w:val="none" w:sz="0" w:space="0" w:color="auto"/>
        <w:bottom w:val="none" w:sz="0" w:space="0" w:color="auto"/>
        <w:right w:val="none" w:sz="0" w:space="0" w:color="auto"/>
      </w:divBdr>
    </w:div>
    <w:div w:id="879363641">
      <w:bodyDiv w:val="1"/>
      <w:marLeft w:val="0"/>
      <w:marRight w:val="0"/>
      <w:marTop w:val="0"/>
      <w:marBottom w:val="0"/>
      <w:divBdr>
        <w:top w:val="none" w:sz="0" w:space="0" w:color="auto"/>
        <w:left w:val="none" w:sz="0" w:space="0" w:color="auto"/>
        <w:bottom w:val="none" w:sz="0" w:space="0" w:color="auto"/>
        <w:right w:val="none" w:sz="0" w:space="0" w:color="auto"/>
      </w:divBdr>
    </w:div>
    <w:div w:id="879628874">
      <w:bodyDiv w:val="1"/>
      <w:marLeft w:val="0"/>
      <w:marRight w:val="0"/>
      <w:marTop w:val="0"/>
      <w:marBottom w:val="0"/>
      <w:divBdr>
        <w:top w:val="none" w:sz="0" w:space="0" w:color="auto"/>
        <w:left w:val="none" w:sz="0" w:space="0" w:color="auto"/>
        <w:bottom w:val="none" w:sz="0" w:space="0" w:color="auto"/>
        <w:right w:val="none" w:sz="0" w:space="0" w:color="auto"/>
      </w:divBdr>
    </w:div>
    <w:div w:id="879705708">
      <w:bodyDiv w:val="1"/>
      <w:marLeft w:val="0"/>
      <w:marRight w:val="0"/>
      <w:marTop w:val="0"/>
      <w:marBottom w:val="0"/>
      <w:divBdr>
        <w:top w:val="none" w:sz="0" w:space="0" w:color="auto"/>
        <w:left w:val="none" w:sz="0" w:space="0" w:color="auto"/>
        <w:bottom w:val="none" w:sz="0" w:space="0" w:color="auto"/>
        <w:right w:val="none" w:sz="0" w:space="0" w:color="auto"/>
      </w:divBdr>
    </w:div>
    <w:div w:id="879822770">
      <w:bodyDiv w:val="1"/>
      <w:marLeft w:val="0"/>
      <w:marRight w:val="0"/>
      <w:marTop w:val="0"/>
      <w:marBottom w:val="0"/>
      <w:divBdr>
        <w:top w:val="none" w:sz="0" w:space="0" w:color="auto"/>
        <w:left w:val="none" w:sz="0" w:space="0" w:color="auto"/>
        <w:bottom w:val="none" w:sz="0" w:space="0" w:color="auto"/>
        <w:right w:val="none" w:sz="0" w:space="0" w:color="auto"/>
      </w:divBdr>
    </w:div>
    <w:div w:id="880478465">
      <w:bodyDiv w:val="1"/>
      <w:marLeft w:val="0"/>
      <w:marRight w:val="0"/>
      <w:marTop w:val="0"/>
      <w:marBottom w:val="0"/>
      <w:divBdr>
        <w:top w:val="none" w:sz="0" w:space="0" w:color="auto"/>
        <w:left w:val="none" w:sz="0" w:space="0" w:color="auto"/>
        <w:bottom w:val="none" w:sz="0" w:space="0" w:color="auto"/>
        <w:right w:val="none" w:sz="0" w:space="0" w:color="auto"/>
      </w:divBdr>
    </w:div>
    <w:div w:id="881671488">
      <w:bodyDiv w:val="1"/>
      <w:marLeft w:val="0"/>
      <w:marRight w:val="0"/>
      <w:marTop w:val="0"/>
      <w:marBottom w:val="0"/>
      <w:divBdr>
        <w:top w:val="none" w:sz="0" w:space="0" w:color="auto"/>
        <w:left w:val="none" w:sz="0" w:space="0" w:color="auto"/>
        <w:bottom w:val="none" w:sz="0" w:space="0" w:color="auto"/>
        <w:right w:val="none" w:sz="0" w:space="0" w:color="auto"/>
      </w:divBdr>
    </w:div>
    <w:div w:id="881819028">
      <w:bodyDiv w:val="1"/>
      <w:marLeft w:val="0"/>
      <w:marRight w:val="0"/>
      <w:marTop w:val="0"/>
      <w:marBottom w:val="0"/>
      <w:divBdr>
        <w:top w:val="none" w:sz="0" w:space="0" w:color="auto"/>
        <w:left w:val="none" w:sz="0" w:space="0" w:color="auto"/>
        <w:bottom w:val="none" w:sz="0" w:space="0" w:color="auto"/>
        <w:right w:val="none" w:sz="0" w:space="0" w:color="auto"/>
      </w:divBdr>
    </w:div>
    <w:div w:id="881865210">
      <w:bodyDiv w:val="1"/>
      <w:marLeft w:val="0"/>
      <w:marRight w:val="0"/>
      <w:marTop w:val="0"/>
      <w:marBottom w:val="0"/>
      <w:divBdr>
        <w:top w:val="none" w:sz="0" w:space="0" w:color="auto"/>
        <w:left w:val="none" w:sz="0" w:space="0" w:color="auto"/>
        <w:bottom w:val="none" w:sz="0" w:space="0" w:color="auto"/>
        <w:right w:val="none" w:sz="0" w:space="0" w:color="auto"/>
      </w:divBdr>
    </w:div>
    <w:div w:id="882133177">
      <w:bodyDiv w:val="1"/>
      <w:marLeft w:val="0"/>
      <w:marRight w:val="0"/>
      <w:marTop w:val="0"/>
      <w:marBottom w:val="0"/>
      <w:divBdr>
        <w:top w:val="none" w:sz="0" w:space="0" w:color="auto"/>
        <w:left w:val="none" w:sz="0" w:space="0" w:color="auto"/>
        <w:bottom w:val="none" w:sz="0" w:space="0" w:color="auto"/>
        <w:right w:val="none" w:sz="0" w:space="0" w:color="auto"/>
      </w:divBdr>
    </w:div>
    <w:div w:id="883057229">
      <w:bodyDiv w:val="1"/>
      <w:marLeft w:val="0"/>
      <w:marRight w:val="0"/>
      <w:marTop w:val="0"/>
      <w:marBottom w:val="0"/>
      <w:divBdr>
        <w:top w:val="none" w:sz="0" w:space="0" w:color="auto"/>
        <w:left w:val="none" w:sz="0" w:space="0" w:color="auto"/>
        <w:bottom w:val="none" w:sz="0" w:space="0" w:color="auto"/>
        <w:right w:val="none" w:sz="0" w:space="0" w:color="auto"/>
      </w:divBdr>
    </w:div>
    <w:div w:id="883785378">
      <w:bodyDiv w:val="1"/>
      <w:marLeft w:val="0"/>
      <w:marRight w:val="0"/>
      <w:marTop w:val="0"/>
      <w:marBottom w:val="0"/>
      <w:divBdr>
        <w:top w:val="none" w:sz="0" w:space="0" w:color="auto"/>
        <w:left w:val="none" w:sz="0" w:space="0" w:color="auto"/>
        <w:bottom w:val="none" w:sz="0" w:space="0" w:color="auto"/>
        <w:right w:val="none" w:sz="0" w:space="0" w:color="auto"/>
      </w:divBdr>
    </w:div>
    <w:div w:id="884102648">
      <w:bodyDiv w:val="1"/>
      <w:marLeft w:val="0"/>
      <w:marRight w:val="0"/>
      <w:marTop w:val="0"/>
      <w:marBottom w:val="0"/>
      <w:divBdr>
        <w:top w:val="none" w:sz="0" w:space="0" w:color="auto"/>
        <w:left w:val="none" w:sz="0" w:space="0" w:color="auto"/>
        <w:bottom w:val="none" w:sz="0" w:space="0" w:color="auto"/>
        <w:right w:val="none" w:sz="0" w:space="0" w:color="auto"/>
      </w:divBdr>
    </w:div>
    <w:div w:id="885486508">
      <w:bodyDiv w:val="1"/>
      <w:marLeft w:val="0"/>
      <w:marRight w:val="0"/>
      <w:marTop w:val="0"/>
      <w:marBottom w:val="0"/>
      <w:divBdr>
        <w:top w:val="none" w:sz="0" w:space="0" w:color="auto"/>
        <w:left w:val="none" w:sz="0" w:space="0" w:color="auto"/>
        <w:bottom w:val="none" w:sz="0" w:space="0" w:color="auto"/>
        <w:right w:val="none" w:sz="0" w:space="0" w:color="auto"/>
      </w:divBdr>
    </w:div>
    <w:div w:id="885605817">
      <w:bodyDiv w:val="1"/>
      <w:marLeft w:val="0"/>
      <w:marRight w:val="0"/>
      <w:marTop w:val="0"/>
      <w:marBottom w:val="0"/>
      <w:divBdr>
        <w:top w:val="none" w:sz="0" w:space="0" w:color="auto"/>
        <w:left w:val="none" w:sz="0" w:space="0" w:color="auto"/>
        <w:bottom w:val="none" w:sz="0" w:space="0" w:color="auto"/>
        <w:right w:val="none" w:sz="0" w:space="0" w:color="auto"/>
      </w:divBdr>
    </w:div>
    <w:div w:id="885994665">
      <w:bodyDiv w:val="1"/>
      <w:marLeft w:val="0"/>
      <w:marRight w:val="0"/>
      <w:marTop w:val="0"/>
      <w:marBottom w:val="0"/>
      <w:divBdr>
        <w:top w:val="none" w:sz="0" w:space="0" w:color="auto"/>
        <w:left w:val="none" w:sz="0" w:space="0" w:color="auto"/>
        <w:bottom w:val="none" w:sz="0" w:space="0" w:color="auto"/>
        <w:right w:val="none" w:sz="0" w:space="0" w:color="auto"/>
      </w:divBdr>
    </w:div>
    <w:div w:id="886142907">
      <w:bodyDiv w:val="1"/>
      <w:marLeft w:val="0"/>
      <w:marRight w:val="0"/>
      <w:marTop w:val="0"/>
      <w:marBottom w:val="0"/>
      <w:divBdr>
        <w:top w:val="none" w:sz="0" w:space="0" w:color="auto"/>
        <w:left w:val="none" w:sz="0" w:space="0" w:color="auto"/>
        <w:bottom w:val="none" w:sz="0" w:space="0" w:color="auto"/>
        <w:right w:val="none" w:sz="0" w:space="0" w:color="auto"/>
      </w:divBdr>
    </w:div>
    <w:div w:id="886799428">
      <w:bodyDiv w:val="1"/>
      <w:marLeft w:val="0"/>
      <w:marRight w:val="0"/>
      <w:marTop w:val="0"/>
      <w:marBottom w:val="0"/>
      <w:divBdr>
        <w:top w:val="none" w:sz="0" w:space="0" w:color="auto"/>
        <w:left w:val="none" w:sz="0" w:space="0" w:color="auto"/>
        <w:bottom w:val="none" w:sz="0" w:space="0" w:color="auto"/>
        <w:right w:val="none" w:sz="0" w:space="0" w:color="auto"/>
      </w:divBdr>
    </w:div>
    <w:div w:id="888343297">
      <w:bodyDiv w:val="1"/>
      <w:marLeft w:val="0"/>
      <w:marRight w:val="0"/>
      <w:marTop w:val="0"/>
      <w:marBottom w:val="0"/>
      <w:divBdr>
        <w:top w:val="none" w:sz="0" w:space="0" w:color="auto"/>
        <w:left w:val="none" w:sz="0" w:space="0" w:color="auto"/>
        <w:bottom w:val="none" w:sz="0" w:space="0" w:color="auto"/>
        <w:right w:val="none" w:sz="0" w:space="0" w:color="auto"/>
      </w:divBdr>
    </w:div>
    <w:div w:id="888416339">
      <w:bodyDiv w:val="1"/>
      <w:marLeft w:val="0"/>
      <w:marRight w:val="0"/>
      <w:marTop w:val="0"/>
      <w:marBottom w:val="0"/>
      <w:divBdr>
        <w:top w:val="none" w:sz="0" w:space="0" w:color="auto"/>
        <w:left w:val="none" w:sz="0" w:space="0" w:color="auto"/>
        <w:bottom w:val="none" w:sz="0" w:space="0" w:color="auto"/>
        <w:right w:val="none" w:sz="0" w:space="0" w:color="auto"/>
      </w:divBdr>
    </w:div>
    <w:div w:id="889144921">
      <w:bodyDiv w:val="1"/>
      <w:marLeft w:val="0"/>
      <w:marRight w:val="0"/>
      <w:marTop w:val="0"/>
      <w:marBottom w:val="0"/>
      <w:divBdr>
        <w:top w:val="none" w:sz="0" w:space="0" w:color="auto"/>
        <w:left w:val="none" w:sz="0" w:space="0" w:color="auto"/>
        <w:bottom w:val="none" w:sz="0" w:space="0" w:color="auto"/>
        <w:right w:val="none" w:sz="0" w:space="0" w:color="auto"/>
      </w:divBdr>
    </w:div>
    <w:div w:id="889878773">
      <w:bodyDiv w:val="1"/>
      <w:marLeft w:val="0"/>
      <w:marRight w:val="0"/>
      <w:marTop w:val="0"/>
      <w:marBottom w:val="0"/>
      <w:divBdr>
        <w:top w:val="none" w:sz="0" w:space="0" w:color="auto"/>
        <w:left w:val="none" w:sz="0" w:space="0" w:color="auto"/>
        <w:bottom w:val="none" w:sz="0" w:space="0" w:color="auto"/>
        <w:right w:val="none" w:sz="0" w:space="0" w:color="auto"/>
      </w:divBdr>
    </w:div>
    <w:div w:id="890383623">
      <w:bodyDiv w:val="1"/>
      <w:marLeft w:val="0"/>
      <w:marRight w:val="0"/>
      <w:marTop w:val="0"/>
      <w:marBottom w:val="0"/>
      <w:divBdr>
        <w:top w:val="none" w:sz="0" w:space="0" w:color="auto"/>
        <w:left w:val="none" w:sz="0" w:space="0" w:color="auto"/>
        <w:bottom w:val="none" w:sz="0" w:space="0" w:color="auto"/>
        <w:right w:val="none" w:sz="0" w:space="0" w:color="auto"/>
      </w:divBdr>
    </w:div>
    <w:div w:id="890770847">
      <w:bodyDiv w:val="1"/>
      <w:marLeft w:val="0"/>
      <w:marRight w:val="0"/>
      <w:marTop w:val="0"/>
      <w:marBottom w:val="0"/>
      <w:divBdr>
        <w:top w:val="none" w:sz="0" w:space="0" w:color="auto"/>
        <w:left w:val="none" w:sz="0" w:space="0" w:color="auto"/>
        <w:bottom w:val="none" w:sz="0" w:space="0" w:color="auto"/>
        <w:right w:val="none" w:sz="0" w:space="0" w:color="auto"/>
      </w:divBdr>
    </w:div>
    <w:div w:id="890968013">
      <w:bodyDiv w:val="1"/>
      <w:marLeft w:val="0"/>
      <w:marRight w:val="0"/>
      <w:marTop w:val="0"/>
      <w:marBottom w:val="0"/>
      <w:divBdr>
        <w:top w:val="none" w:sz="0" w:space="0" w:color="auto"/>
        <w:left w:val="none" w:sz="0" w:space="0" w:color="auto"/>
        <w:bottom w:val="none" w:sz="0" w:space="0" w:color="auto"/>
        <w:right w:val="none" w:sz="0" w:space="0" w:color="auto"/>
      </w:divBdr>
    </w:div>
    <w:div w:id="891118573">
      <w:bodyDiv w:val="1"/>
      <w:marLeft w:val="0"/>
      <w:marRight w:val="0"/>
      <w:marTop w:val="0"/>
      <w:marBottom w:val="0"/>
      <w:divBdr>
        <w:top w:val="none" w:sz="0" w:space="0" w:color="auto"/>
        <w:left w:val="none" w:sz="0" w:space="0" w:color="auto"/>
        <w:bottom w:val="none" w:sz="0" w:space="0" w:color="auto"/>
        <w:right w:val="none" w:sz="0" w:space="0" w:color="auto"/>
      </w:divBdr>
    </w:div>
    <w:div w:id="891845278">
      <w:bodyDiv w:val="1"/>
      <w:marLeft w:val="0"/>
      <w:marRight w:val="0"/>
      <w:marTop w:val="0"/>
      <w:marBottom w:val="0"/>
      <w:divBdr>
        <w:top w:val="none" w:sz="0" w:space="0" w:color="auto"/>
        <w:left w:val="none" w:sz="0" w:space="0" w:color="auto"/>
        <w:bottom w:val="none" w:sz="0" w:space="0" w:color="auto"/>
        <w:right w:val="none" w:sz="0" w:space="0" w:color="auto"/>
      </w:divBdr>
    </w:div>
    <w:div w:id="892739560">
      <w:bodyDiv w:val="1"/>
      <w:marLeft w:val="0"/>
      <w:marRight w:val="0"/>
      <w:marTop w:val="0"/>
      <w:marBottom w:val="0"/>
      <w:divBdr>
        <w:top w:val="none" w:sz="0" w:space="0" w:color="auto"/>
        <w:left w:val="none" w:sz="0" w:space="0" w:color="auto"/>
        <w:bottom w:val="none" w:sz="0" w:space="0" w:color="auto"/>
        <w:right w:val="none" w:sz="0" w:space="0" w:color="auto"/>
      </w:divBdr>
    </w:div>
    <w:div w:id="892960197">
      <w:bodyDiv w:val="1"/>
      <w:marLeft w:val="0"/>
      <w:marRight w:val="0"/>
      <w:marTop w:val="0"/>
      <w:marBottom w:val="0"/>
      <w:divBdr>
        <w:top w:val="none" w:sz="0" w:space="0" w:color="auto"/>
        <w:left w:val="none" w:sz="0" w:space="0" w:color="auto"/>
        <w:bottom w:val="none" w:sz="0" w:space="0" w:color="auto"/>
        <w:right w:val="none" w:sz="0" w:space="0" w:color="auto"/>
      </w:divBdr>
    </w:div>
    <w:div w:id="893080262">
      <w:bodyDiv w:val="1"/>
      <w:marLeft w:val="0"/>
      <w:marRight w:val="0"/>
      <w:marTop w:val="0"/>
      <w:marBottom w:val="0"/>
      <w:divBdr>
        <w:top w:val="none" w:sz="0" w:space="0" w:color="auto"/>
        <w:left w:val="none" w:sz="0" w:space="0" w:color="auto"/>
        <w:bottom w:val="none" w:sz="0" w:space="0" w:color="auto"/>
        <w:right w:val="none" w:sz="0" w:space="0" w:color="auto"/>
      </w:divBdr>
    </w:div>
    <w:div w:id="893584594">
      <w:bodyDiv w:val="1"/>
      <w:marLeft w:val="0"/>
      <w:marRight w:val="0"/>
      <w:marTop w:val="0"/>
      <w:marBottom w:val="0"/>
      <w:divBdr>
        <w:top w:val="none" w:sz="0" w:space="0" w:color="auto"/>
        <w:left w:val="none" w:sz="0" w:space="0" w:color="auto"/>
        <w:bottom w:val="none" w:sz="0" w:space="0" w:color="auto"/>
        <w:right w:val="none" w:sz="0" w:space="0" w:color="auto"/>
      </w:divBdr>
    </w:div>
    <w:div w:id="893809810">
      <w:bodyDiv w:val="1"/>
      <w:marLeft w:val="0"/>
      <w:marRight w:val="0"/>
      <w:marTop w:val="0"/>
      <w:marBottom w:val="0"/>
      <w:divBdr>
        <w:top w:val="none" w:sz="0" w:space="0" w:color="auto"/>
        <w:left w:val="none" w:sz="0" w:space="0" w:color="auto"/>
        <w:bottom w:val="none" w:sz="0" w:space="0" w:color="auto"/>
        <w:right w:val="none" w:sz="0" w:space="0" w:color="auto"/>
      </w:divBdr>
    </w:div>
    <w:div w:id="895357263">
      <w:bodyDiv w:val="1"/>
      <w:marLeft w:val="0"/>
      <w:marRight w:val="0"/>
      <w:marTop w:val="0"/>
      <w:marBottom w:val="0"/>
      <w:divBdr>
        <w:top w:val="none" w:sz="0" w:space="0" w:color="auto"/>
        <w:left w:val="none" w:sz="0" w:space="0" w:color="auto"/>
        <w:bottom w:val="none" w:sz="0" w:space="0" w:color="auto"/>
        <w:right w:val="none" w:sz="0" w:space="0" w:color="auto"/>
      </w:divBdr>
    </w:div>
    <w:div w:id="896555509">
      <w:bodyDiv w:val="1"/>
      <w:marLeft w:val="0"/>
      <w:marRight w:val="0"/>
      <w:marTop w:val="0"/>
      <w:marBottom w:val="0"/>
      <w:divBdr>
        <w:top w:val="none" w:sz="0" w:space="0" w:color="auto"/>
        <w:left w:val="none" w:sz="0" w:space="0" w:color="auto"/>
        <w:bottom w:val="none" w:sz="0" w:space="0" w:color="auto"/>
        <w:right w:val="none" w:sz="0" w:space="0" w:color="auto"/>
      </w:divBdr>
    </w:div>
    <w:div w:id="896940301">
      <w:bodyDiv w:val="1"/>
      <w:marLeft w:val="0"/>
      <w:marRight w:val="0"/>
      <w:marTop w:val="0"/>
      <w:marBottom w:val="0"/>
      <w:divBdr>
        <w:top w:val="none" w:sz="0" w:space="0" w:color="auto"/>
        <w:left w:val="none" w:sz="0" w:space="0" w:color="auto"/>
        <w:bottom w:val="none" w:sz="0" w:space="0" w:color="auto"/>
        <w:right w:val="none" w:sz="0" w:space="0" w:color="auto"/>
      </w:divBdr>
    </w:div>
    <w:div w:id="897472380">
      <w:bodyDiv w:val="1"/>
      <w:marLeft w:val="0"/>
      <w:marRight w:val="0"/>
      <w:marTop w:val="0"/>
      <w:marBottom w:val="0"/>
      <w:divBdr>
        <w:top w:val="none" w:sz="0" w:space="0" w:color="auto"/>
        <w:left w:val="none" w:sz="0" w:space="0" w:color="auto"/>
        <w:bottom w:val="none" w:sz="0" w:space="0" w:color="auto"/>
        <w:right w:val="none" w:sz="0" w:space="0" w:color="auto"/>
      </w:divBdr>
    </w:div>
    <w:div w:id="898058282">
      <w:bodyDiv w:val="1"/>
      <w:marLeft w:val="0"/>
      <w:marRight w:val="0"/>
      <w:marTop w:val="0"/>
      <w:marBottom w:val="0"/>
      <w:divBdr>
        <w:top w:val="none" w:sz="0" w:space="0" w:color="auto"/>
        <w:left w:val="none" w:sz="0" w:space="0" w:color="auto"/>
        <w:bottom w:val="none" w:sz="0" w:space="0" w:color="auto"/>
        <w:right w:val="none" w:sz="0" w:space="0" w:color="auto"/>
      </w:divBdr>
    </w:div>
    <w:div w:id="898977722">
      <w:bodyDiv w:val="1"/>
      <w:marLeft w:val="0"/>
      <w:marRight w:val="0"/>
      <w:marTop w:val="0"/>
      <w:marBottom w:val="0"/>
      <w:divBdr>
        <w:top w:val="none" w:sz="0" w:space="0" w:color="auto"/>
        <w:left w:val="none" w:sz="0" w:space="0" w:color="auto"/>
        <w:bottom w:val="none" w:sz="0" w:space="0" w:color="auto"/>
        <w:right w:val="none" w:sz="0" w:space="0" w:color="auto"/>
      </w:divBdr>
    </w:div>
    <w:div w:id="900209955">
      <w:bodyDiv w:val="1"/>
      <w:marLeft w:val="0"/>
      <w:marRight w:val="0"/>
      <w:marTop w:val="0"/>
      <w:marBottom w:val="0"/>
      <w:divBdr>
        <w:top w:val="none" w:sz="0" w:space="0" w:color="auto"/>
        <w:left w:val="none" w:sz="0" w:space="0" w:color="auto"/>
        <w:bottom w:val="none" w:sz="0" w:space="0" w:color="auto"/>
        <w:right w:val="none" w:sz="0" w:space="0" w:color="auto"/>
      </w:divBdr>
    </w:div>
    <w:div w:id="901016625">
      <w:bodyDiv w:val="1"/>
      <w:marLeft w:val="0"/>
      <w:marRight w:val="0"/>
      <w:marTop w:val="0"/>
      <w:marBottom w:val="0"/>
      <w:divBdr>
        <w:top w:val="none" w:sz="0" w:space="0" w:color="auto"/>
        <w:left w:val="none" w:sz="0" w:space="0" w:color="auto"/>
        <w:bottom w:val="none" w:sz="0" w:space="0" w:color="auto"/>
        <w:right w:val="none" w:sz="0" w:space="0" w:color="auto"/>
      </w:divBdr>
    </w:div>
    <w:div w:id="901410669">
      <w:bodyDiv w:val="1"/>
      <w:marLeft w:val="0"/>
      <w:marRight w:val="0"/>
      <w:marTop w:val="0"/>
      <w:marBottom w:val="0"/>
      <w:divBdr>
        <w:top w:val="none" w:sz="0" w:space="0" w:color="auto"/>
        <w:left w:val="none" w:sz="0" w:space="0" w:color="auto"/>
        <w:bottom w:val="none" w:sz="0" w:space="0" w:color="auto"/>
        <w:right w:val="none" w:sz="0" w:space="0" w:color="auto"/>
      </w:divBdr>
    </w:div>
    <w:div w:id="901527696">
      <w:bodyDiv w:val="1"/>
      <w:marLeft w:val="0"/>
      <w:marRight w:val="0"/>
      <w:marTop w:val="0"/>
      <w:marBottom w:val="0"/>
      <w:divBdr>
        <w:top w:val="none" w:sz="0" w:space="0" w:color="auto"/>
        <w:left w:val="none" w:sz="0" w:space="0" w:color="auto"/>
        <w:bottom w:val="none" w:sz="0" w:space="0" w:color="auto"/>
        <w:right w:val="none" w:sz="0" w:space="0" w:color="auto"/>
      </w:divBdr>
    </w:div>
    <w:div w:id="901597403">
      <w:bodyDiv w:val="1"/>
      <w:marLeft w:val="0"/>
      <w:marRight w:val="0"/>
      <w:marTop w:val="0"/>
      <w:marBottom w:val="0"/>
      <w:divBdr>
        <w:top w:val="none" w:sz="0" w:space="0" w:color="auto"/>
        <w:left w:val="none" w:sz="0" w:space="0" w:color="auto"/>
        <w:bottom w:val="none" w:sz="0" w:space="0" w:color="auto"/>
        <w:right w:val="none" w:sz="0" w:space="0" w:color="auto"/>
      </w:divBdr>
    </w:div>
    <w:div w:id="901981567">
      <w:bodyDiv w:val="1"/>
      <w:marLeft w:val="0"/>
      <w:marRight w:val="0"/>
      <w:marTop w:val="0"/>
      <w:marBottom w:val="0"/>
      <w:divBdr>
        <w:top w:val="none" w:sz="0" w:space="0" w:color="auto"/>
        <w:left w:val="none" w:sz="0" w:space="0" w:color="auto"/>
        <w:bottom w:val="none" w:sz="0" w:space="0" w:color="auto"/>
        <w:right w:val="none" w:sz="0" w:space="0" w:color="auto"/>
      </w:divBdr>
    </w:div>
    <w:div w:id="902134429">
      <w:bodyDiv w:val="1"/>
      <w:marLeft w:val="0"/>
      <w:marRight w:val="0"/>
      <w:marTop w:val="0"/>
      <w:marBottom w:val="0"/>
      <w:divBdr>
        <w:top w:val="none" w:sz="0" w:space="0" w:color="auto"/>
        <w:left w:val="none" w:sz="0" w:space="0" w:color="auto"/>
        <w:bottom w:val="none" w:sz="0" w:space="0" w:color="auto"/>
        <w:right w:val="none" w:sz="0" w:space="0" w:color="auto"/>
      </w:divBdr>
    </w:div>
    <w:div w:id="902331068">
      <w:bodyDiv w:val="1"/>
      <w:marLeft w:val="0"/>
      <w:marRight w:val="0"/>
      <w:marTop w:val="0"/>
      <w:marBottom w:val="0"/>
      <w:divBdr>
        <w:top w:val="none" w:sz="0" w:space="0" w:color="auto"/>
        <w:left w:val="none" w:sz="0" w:space="0" w:color="auto"/>
        <w:bottom w:val="none" w:sz="0" w:space="0" w:color="auto"/>
        <w:right w:val="none" w:sz="0" w:space="0" w:color="auto"/>
      </w:divBdr>
    </w:div>
    <w:div w:id="902833340">
      <w:bodyDiv w:val="1"/>
      <w:marLeft w:val="0"/>
      <w:marRight w:val="0"/>
      <w:marTop w:val="0"/>
      <w:marBottom w:val="0"/>
      <w:divBdr>
        <w:top w:val="none" w:sz="0" w:space="0" w:color="auto"/>
        <w:left w:val="none" w:sz="0" w:space="0" w:color="auto"/>
        <w:bottom w:val="none" w:sz="0" w:space="0" w:color="auto"/>
        <w:right w:val="none" w:sz="0" w:space="0" w:color="auto"/>
      </w:divBdr>
    </w:div>
    <w:div w:id="903680893">
      <w:bodyDiv w:val="1"/>
      <w:marLeft w:val="0"/>
      <w:marRight w:val="0"/>
      <w:marTop w:val="0"/>
      <w:marBottom w:val="0"/>
      <w:divBdr>
        <w:top w:val="none" w:sz="0" w:space="0" w:color="auto"/>
        <w:left w:val="none" w:sz="0" w:space="0" w:color="auto"/>
        <w:bottom w:val="none" w:sz="0" w:space="0" w:color="auto"/>
        <w:right w:val="none" w:sz="0" w:space="0" w:color="auto"/>
      </w:divBdr>
    </w:div>
    <w:div w:id="903684131">
      <w:bodyDiv w:val="1"/>
      <w:marLeft w:val="0"/>
      <w:marRight w:val="0"/>
      <w:marTop w:val="0"/>
      <w:marBottom w:val="0"/>
      <w:divBdr>
        <w:top w:val="none" w:sz="0" w:space="0" w:color="auto"/>
        <w:left w:val="none" w:sz="0" w:space="0" w:color="auto"/>
        <w:bottom w:val="none" w:sz="0" w:space="0" w:color="auto"/>
        <w:right w:val="none" w:sz="0" w:space="0" w:color="auto"/>
      </w:divBdr>
    </w:div>
    <w:div w:id="903951831">
      <w:bodyDiv w:val="1"/>
      <w:marLeft w:val="0"/>
      <w:marRight w:val="0"/>
      <w:marTop w:val="0"/>
      <w:marBottom w:val="0"/>
      <w:divBdr>
        <w:top w:val="none" w:sz="0" w:space="0" w:color="auto"/>
        <w:left w:val="none" w:sz="0" w:space="0" w:color="auto"/>
        <w:bottom w:val="none" w:sz="0" w:space="0" w:color="auto"/>
        <w:right w:val="none" w:sz="0" w:space="0" w:color="auto"/>
      </w:divBdr>
    </w:div>
    <w:div w:id="904294804">
      <w:bodyDiv w:val="1"/>
      <w:marLeft w:val="0"/>
      <w:marRight w:val="0"/>
      <w:marTop w:val="0"/>
      <w:marBottom w:val="0"/>
      <w:divBdr>
        <w:top w:val="none" w:sz="0" w:space="0" w:color="auto"/>
        <w:left w:val="none" w:sz="0" w:space="0" w:color="auto"/>
        <w:bottom w:val="none" w:sz="0" w:space="0" w:color="auto"/>
        <w:right w:val="none" w:sz="0" w:space="0" w:color="auto"/>
      </w:divBdr>
    </w:div>
    <w:div w:id="905148768">
      <w:bodyDiv w:val="1"/>
      <w:marLeft w:val="0"/>
      <w:marRight w:val="0"/>
      <w:marTop w:val="0"/>
      <w:marBottom w:val="0"/>
      <w:divBdr>
        <w:top w:val="none" w:sz="0" w:space="0" w:color="auto"/>
        <w:left w:val="none" w:sz="0" w:space="0" w:color="auto"/>
        <w:bottom w:val="none" w:sz="0" w:space="0" w:color="auto"/>
        <w:right w:val="none" w:sz="0" w:space="0" w:color="auto"/>
      </w:divBdr>
    </w:div>
    <w:div w:id="905334009">
      <w:bodyDiv w:val="1"/>
      <w:marLeft w:val="0"/>
      <w:marRight w:val="0"/>
      <w:marTop w:val="0"/>
      <w:marBottom w:val="0"/>
      <w:divBdr>
        <w:top w:val="none" w:sz="0" w:space="0" w:color="auto"/>
        <w:left w:val="none" w:sz="0" w:space="0" w:color="auto"/>
        <w:bottom w:val="none" w:sz="0" w:space="0" w:color="auto"/>
        <w:right w:val="none" w:sz="0" w:space="0" w:color="auto"/>
      </w:divBdr>
    </w:div>
    <w:div w:id="905653118">
      <w:bodyDiv w:val="1"/>
      <w:marLeft w:val="0"/>
      <w:marRight w:val="0"/>
      <w:marTop w:val="0"/>
      <w:marBottom w:val="0"/>
      <w:divBdr>
        <w:top w:val="none" w:sz="0" w:space="0" w:color="auto"/>
        <w:left w:val="none" w:sz="0" w:space="0" w:color="auto"/>
        <w:bottom w:val="none" w:sz="0" w:space="0" w:color="auto"/>
        <w:right w:val="none" w:sz="0" w:space="0" w:color="auto"/>
      </w:divBdr>
    </w:div>
    <w:div w:id="905723773">
      <w:bodyDiv w:val="1"/>
      <w:marLeft w:val="0"/>
      <w:marRight w:val="0"/>
      <w:marTop w:val="0"/>
      <w:marBottom w:val="0"/>
      <w:divBdr>
        <w:top w:val="none" w:sz="0" w:space="0" w:color="auto"/>
        <w:left w:val="none" w:sz="0" w:space="0" w:color="auto"/>
        <w:bottom w:val="none" w:sz="0" w:space="0" w:color="auto"/>
        <w:right w:val="none" w:sz="0" w:space="0" w:color="auto"/>
      </w:divBdr>
    </w:div>
    <w:div w:id="905992010">
      <w:bodyDiv w:val="1"/>
      <w:marLeft w:val="0"/>
      <w:marRight w:val="0"/>
      <w:marTop w:val="0"/>
      <w:marBottom w:val="0"/>
      <w:divBdr>
        <w:top w:val="none" w:sz="0" w:space="0" w:color="auto"/>
        <w:left w:val="none" w:sz="0" w:space="0" w:color="auto"/>
        <w:bottom w:val="none" w:sz="0" w:space="0" w:color="auto"/>
        <w:right w:val="none" w:sz="0" w:space="0" w:color="auto"/>
      </w:divBdr>
    </w:div>
    <w:div w:id="906257219">
      <w:bodyDiv w:val="1"/>
      <w:marLeft w:val="0"/>
      <w:marRight w:val="0"/>
      <w:marTop w:val="0"/>
      <w:marBottom w:val="0"/>
      <w:divBdr>
        <w:top w:val="none" w:sz="0" w:space="0" w:color="auto"/>
        <w:left w:val="none" w:sz="0" w:space="0" w:color="auto"/>
        <w:bottom w:val="none" w:sz="0" w:space="0" w:color="auto"/>
        <w:right w:val="none" w:sz="0" w:space="0" w:color="auto"/>
      </w:divBdr>
    </w:div>
    <w:div w:id="906720036">
      <w:bodyDiv w:val="1"/>
      <w:marLeft w:val="0"/>
      <w:marRight w:val="0"/>
      <w:marTop w:val="0"/>
      <w:marBottom w:val="0"/>
      <w:divBdr>
        <w:top w:val="none" w:sz="0" w:space="0" w:color="auto"/>
        <w:left w:val="none" w:sz="0" w:space="0" w:color="auto"/>
        <w:bottom w:val="none" w:sz="0" w:space="0" w:color="auto"/>
        <w:right w:val="none" w:sz="0" w:space="0" w:color="auto"/>
      </w:divBdr>
    </w:div>
    <w:div w:id="906770579">
      <w:bodyDiv w:val="1"/>
      <w:marLeft w:val="0"/>
      <w:marRight w:val="0"/>
      <w:marTop w:val="0"/>
      <w:marBottom w:val="0"/>
      <w:divBdr>
        <w:top w:val="none" w:sz="0" w:space="0" w:color="auto"/>
        <w:left w:val="none" w:sz="0" w:space="0" w:color="auto"/>
        <w:bottom w:val="none" w:sz="0" w:space="0" w:color="auto"/>
        <w:right w:val="none" w:sz="0" w:space="0" w:color="auto"/>
      </w:divBdr>
    </w:div>
    <w:div w:id="906837258">
      <w:bodyDiv w:val="1"/>
      <w:marLeft w:val="0"/>
      <w:marRight w:val="0"/>
      <w:marTop w:val="0"/>
      <w:marBottom w:val="0"/>
      <w:divBdr>
        <w:top w:val="none" w:sz="0" w:space="0" w:color="auto"/>
        <w:left w:val="none" w:sz="0" w:space="0" w:color="auto"/>
        <w:bottom w:val="none" w:sz="0" w:space="0" w:color="auto"/>
        <w:right w:val="none" w:sz="0" w:space="0" w:color="auto"/>
      </w:divBdr>
    </w:div>
    <w:div w:id="907035518">
      <w:bodyDiv w:val="1"/>
      <w:marLeft w:val="0"/>
      <w:marRight w:val="0"/>
      <w:marTop w:val="0"/>
      <w:marBottom w:val="0"/>
      <w:divBdr>
        <w:top w:val="none" w:sz="0" w:space="0" w:color="auto"/>
        <w:left w:val="none" w:sz="0" w:space="0" w:color="auto"/>
        <w:bottom w:val="none" w:sz="0" w:space="0" w:color="auto"/>
        <w:right w:val="none" w:sz="0" w:space="0" w:color="auto"/>
      </w:divBdr>
    </w:div>
    <w:div w:id="907423085">
      <w:bodyDiv w:val="1"/>
      <w:marLeft w:val="0"/>
      <w:marRight w:val="0"/>
      <w:marTop w:val="0"/>
      <w:marBottom w:val="0"/>
      <w:divBdr>
        <w:top w:val="none" w:sz="0" w:space="0" w:color="auto"/>
        <w:left w:val="none" w:sz="0" w:space="0" w:color="auto"/>
        <w:bottom w:val="none" w:sz="0" w:space="0" w:color="auto"/>
        <w:right w:val="none" w:sz="0" w:space="0" w:color="auto"/>
      </w:divBdr>
    </w:div>
    <w:div w:id="908346971">
      <w:bodyDiv w:val="1"/>
      <w:marLeft w:val="0"/>
      <w:marRight w:val="0"/>
      <w:marTop w:val="0"/>
      <w:marBottom w:val="0"/>
      <w:divBdr>
        <w:top w:val="none" w:sz="0" w:space="0" w:color="auto"/>
        <w:left w:val="none" w:sz="0" w:space="0" w:color="auto"/>
        <w:bottom w:val="none" w:sz="0" w:space="0" w:color="auto"/>
        <w:right w:val="none" w:sz="0" w:space="0" w:color="auto"/>
      </w:divBdr>
    </w:div>
    <w:div w:id="908468036">
      <w:bodyDiv w:val="1"/>
      <w:marLeft w:val="0"/>
      <w:marRight w:val="0"/>
      <w:marTop w:val="0"/>
      <w:marBottom w:val="0"/>
      <w:divBdr>
        <w:top w:val="none" w:sz="0" w:space="0" w:color="auto"/>
        <w:left w:val="none" w:sz="0" w:space="0" w:color="auto"/>
        <w:bottom w:val="none" w:sz="0" w:space="0" w:color="auto"/>
        <w:right w:val="none" w:sz="0" w:space="0" w:color="auto"/>
      </w:divBdr>
    </w:div>
    <w:div w:id="908732180">
      <w:bodyDiv w:val="1"/>
      <w:marLeft w:val="0"/>
      <w:marRight w:val="0"/>
      <w:marTop w:val="0"/>
      <w:marBottom w:val="0"/>
      <w:divBdr>
        <w:top w:val="none" w:sz="0" w:space="0" w:color="auto"/>
        <w:left w:val="none" w:sz="0" w:space="0" w:color="auto"/>
        <w:bottom w:val="none" w:sz="0" w:space="0" w:color="auto"/>
        <w:right w:val="none" w:sz="0" w:space="0" w:color="auto"/>
      </w:divBdr>
    </w:div>
    <w:div w:id="909193049">
      <w:bodyDiv w:val="1"/>
      <w:marLeft w:val="0"/>
      <w:marRight w:val="0"/>
      <w:marTop w:val="0"/>
      <w:marBottom w:val="0"/>
      <w:divBdr>
        <w:top w:val="none" w:sz="0" w:space="0" w:color="auto"/>
        <w:left w:val="none" w:sz="0" w:space="0" w:color="auto"/>
        <w:bottom w:val="none" w:sz="0" w:space="0" w:color="auto"/>
        <w:right w:val="none" w:sz="0" w:space="0" w:color="auto"/>
      </w:divBdr>
    </w:div>
    <w:div w:id="909344685">
      <w:bodyDiv w:val="1"/>
      <w:marLeft w:val="0"/>
      <w:marRight w:val="0"/>
      <w:marTop w:val="0"/>
      <w:marBottom w:val="0"/>
      <w:divBdr>
        <w:top w:val="none" w:sz="0" w:space="0" w:color="auto"/>
        <w:left w:val="none" w:sz="0" w:space="0" w:color="auto"/>
        <w:bottom w:val="none" w:sz="0" w:space="0" w:color="auto"/>
        <w:right w:val="none" w:sz="0" w:space="0" w:color="auto"/>
      </w:divBdr>
    </w:div>
    <w:div w:id="909732100">
      <w:bodyDiv w:val="1"/>
      <w:marLeft w:val="0"/>
      <w:marRight w:val="0"/>
      <w:marTop w:val="0"/>
      <w:marBottom w:val="0"/>
      <w:divBdr>
        <w:top w:val="none" w:sz="0" w:space="0" w:color="auto"/>
        <w:left w:val="none" w:sz="0" w:space="0" w:color="auto"/>
        <w:bottom w:val="none" w:sz="0" w:space="0" w:color="auto"/>
        <w:right w:val="none" w:sz="0" w:space="0" w:color="auto"/>
      </w:divBdr>
    </w:div>
    <w:div w:id="910580239">
      <w:bodyDiv w:val="1"/>
      <w:marLeft w:val="0"/>
      <w:marRight w:val="0"/>
      <w:marTop w:val="0"/>
      <w:marBottom w:val="0"/>
      <w:divBdr>
        <w:top w:val="none" w:sz="0" w:space="0" w:color="auto"/>
        <w:left w:val="none" w:sz="0" w:space="0" w:color="auto"/>
        <w:bottom w:val="none" w:sz="0" w:space="0" w:color="auto"/>
        <w:right w:val="none" w:sz="0" w:space="0" w:color="auto"/>
      </w:divBdr>
    </w:div>
    <w:div w:id="910625103">
      <w:bodyDiv w:val="1"/>
      <w:marLeft w:val="0"/>
      <w:marRight w:val="0"/>
      <w:marTop w:val="0"/>
      <w:marBottom w:val="0"/>
      <w:divBdr>
        <w:top w:val="none" w:sz="0" w:space="0" w:color="auto"/>
        <w:left w:val="none" w:sz="0" w:space="0" w:color="auto"/>
        <w:bottom w:val="none" w:sz="0" w:space="0" w:color="auto"/>
        <w:right w:val="none" w:sz="0" w:space="0" w:color="auto"/>
      </w:divBdr>
    </w:div>
    <w:div w:id="911740336">
      <w:bodyDiv w:val="1"/>
      <w:marLeft w:val="0"/>
      <w:marRight w:val="0"/>
      <w:marTop w:val="0"/>
      <w:marBottom w:val="0"/>
      <w:divBdr>
        <w:top w:val="none" w:sz="0" w:space="0" w:color="auto"/>
        <w:left w:val="none" w:sz="0" w:space="0" w:color="auto"/>
        <w:bottom w:val="none" w:sz="0" w:space="0" w:color="auto"/>
        <w:right w:val="none" w:sz="0" w:space="0" w:color="auto"/>
      </w:divBdr>
    </w:div>
    <w:div w:id="911742013">
      <w:bodyDiv w:val="1"/>
      <w:marLeft w:val="0"/>
      <w:marRight w:val="0"/>
      <w:marTop w:val="0"/>
      <w:marBottom w:val="0"/>
      <w:divBdr>
        <w:top w:val="none" w:sz="0" w:space="0" w:color="auto"/>
        <w:left w:val="none" w:sz="0" w:space="0" w:color="auto"/>
        <w:bottom w:val="none" w:sz="0" w:space="0" w:color="auto"/>
        <w:right w:val="none" w:sz="0" w:space="0" w:color="auto"/>
      </w:divBdr>
    </w:div>
    <w:div w:id="911962040">
      <w:bodyDiv w:val="1"/>
      <w:marLeft w:val="0"/>
      <w:marRight w:val="0"/>
      <w:marTop w:val="0"/>
      <w:marBottom w:val="0"/>
      <w:divBdr>
        <w:top w:val="none" w:sz="0" w:space="0" w:color="auto"/>
        <w:left w:val="none" w:sz="0" w:space="0" w:color="auto"/>
        <w:bottom w:val="none" w:sz="0" w:space="0" w:color="auto"/>
        <w:right w:val="none" w:sz="0" w:space="0" w:color="auto"/>
      </w:divBdr>
    </w:div>
    <w:div w:id="912278717">
      <w:bodyDiv w:val="1"/>
      <w:marLeft w:val="0"/>
      <w:marRight w:val="0"/>
      <w:marTop w:val="0"/>
      <w:marBottom w:val="0"/>
      <w:divBdr>
        <w:top w:val="none" w:sz="0" w:space="0" w:color="auto"/>
        <w:left w:val="none" w:sz="0" w:space="0" w:color="auto"/>
        <w:bottom w:val="none" w:sz="0" w:space="0" w:color="auto"/>
        <w:right w:val="none" w:sz="0" w:space="0" w:color="auto"/>
      </w:divBdr>
    </w:div>
    <w:div w:id="913663068">
      <w:bodyDiv w:val="1"/>
      <w:marLeft w:val="0"/>
      <w:marRight w:val="0"/>
      <w:marTop w:val="0"/>
      <w:marBottom w:val="0"/>
      <w:divBdr>
        <w:top w:val="none" w:sz="0" w:space="0" w:color="auto"/>
        <w:left w:val="none" w:sz="0" w:space="0" w:color="auto"/>
        <w:bottom w:val="none" w:sz="0" w:space="0" w:color="auto"/>
        <w:right w:val="none" w:sz="0" w:space="0" w:color="auto"/>
      </w:divBdr>
    </w:div>
    <w:div w:id="913785520">
      <w:bodyDiv w:val="1"/>
      <w:marLeft w:val="0"/>
      <w:marRight w:val="0"/>
      <w:marTop w:val="0"/>
      <w:marBottom w:val="0"/>
      <w:divBdr>
        <w:top w:val="none" w:sz="0" w:space="0" w:color="auto"/>
        <w:left w:val="none" w:sz="0" w:space="0" w:color="auto"/>
        <w:bottom w:val="none" w:sz="0" w:space="0" w:color="auto"/>
        <w:right w:val="none" w:sz="0" w:space="0" w:color="auto"/>
      </w:divBdr>
    </w:div>
    <w:div w:id="913786071">
      <w:bodyDiv w:val="1"/>
      <w:marLeft w:val="0"/>
      <w:marRight w:val="0"/>
      <w:marTop w:val="0"/>
      <w:marBottom w:val="0"/>
      <w:divBdr>
        <w:top w:val="none" w:sz="0" w:space="0" w:color="auto"/>
        <w:left w:val="none" w:sz="0" w:space="0" w:color="auto"/>
        <w:bottom w:val="none" w:sz="0" w:space="0" w:color="auto"/>
        <w:right w:val="none" w:sz="0" w:space="0" w:color="auto"/>
      </w:divBdr>
    </w:div>
    <w:div w:id="914511159">
      <w:bodyDiv w:val="1"/>
      <w:marLeft w:val="0"/>
      <w:marRight w:val="0"/>
      <w:marTop w:val="0"/>
      <w:marBottom w:val="0"/>
      <w:divBdr>
        <w:top w:val="none" w:sz="0" w:space="0" w:color="auto"/>
        <w:left w:val="none" w:sz="0" w:space="0" w:color="auto"/>
        <w:bottom w:val="none" w:sz="0" w:space="0" w:color="auto"/>
        <w:right w:val="none" w:sz="0" w:space="0" w:color="auto"/>
      </w:divBdr>
    </w:div>
    <w:div w:id="914512123">
      <w:bodyDiv w:val="1"/>
      <w:marLeft w:val="0"/>
      <w:marRight w:val="0"/>
      <w:marTop w:val="0"/>
      <w:marBottom w:val="0"/>
      <w:divBdr>
        <w:top w:val="none" w:sz="0" w:space="0" w:color="auto"/>
        <w:left w:val="none" w:sz="0" w:space="0" w:color="auto"/>
        <w:bottom w:val="none" w:sz="0" w:space="0" w:color="auto"/>
        <w:right w:val="none" w:sz="0" w:space="0" w:color="auto"/>
      </w:divBdr>
    </w:div>
    <w:div w:id="914973007">
      <w:bodyDiv w:val="1"/>
      <w:marLeft w:val="0"/>
      <w:marRight w:val="0"/>
      <w:marTop w:val="0"/>
      <w:marBottom w:val="0"/>
      <w:divBdr>
        <w:top w:val="none" w:sz="0" w:space="0" w:color="auto"/>
        <w:left w:val="none" w:sz="0" w:space="0" w:color="auto"/>
        <w:bottom w:val="none" w:sz="0" w:space="0" w:color="auto"/>
        <w:right w:val="none" w:sz="0" w:space="0" w:color="auto"/>
      </w:divBdr>
    </w:div>
    <w:div w:id="915743041">
      <w:bodyDiv w:val="1"/>
      <w:marLeft w:val="0"/>
      <w:marRight w:val="0"/>
      <w:marTop w:val="0"/>
      <w:marBottom w:val="0"/>
      <w:divBdr>
        <w:top w:val="none" w:sz="0" w:space="0" w:color="auto"/>
        <w:left w:val="none" w:sz="0" w:space="0" w:color="auto"/>
        <w:bottom w:val="none" w:sz="0" w:space="0" w:color="auto"/>
        <w:right w:val="none" w:sz="0" w:space="0" w:color="auto"/>
      </w:divBdr>
    </w:div>
    <w:div w:id="916667778">
      <w:bodyDiv w:val="1"/>
      <w:marLeft w:val="0"/>
      <w:marRight w:val="0"/>
      <w:marTop w:val="0"/>
      <w:marBottom w:val="0"/>
      <w:divBdr>
        <w:top w:val="none" w:sz="0" w:space="0" w:color="auto"/>
        <w:left w:val="none" w:sz="0" w:space="0" w:color="auto"/>
        <w:bottom w:val="none" w:sz="0" w:space="0" w:color="auto"/>
        <w:right w:val="none" w:sz="0" w:space="0" w:color="auto"/>
      </w:divBdr>
    </w:div>
    <w:div w:id="916670113">
      <w:bodyDiv w:val="1"/>
      <w:marLeft w:val="0"/>
      <w:marRight w:val="0"/>
      <w:marTop w:val="0"/>
      <w:marBottom w:val="0"/>
      <w:divBdr>
        <w:top w:val="none" w:sz="0" w:space="0" w:color="auto"/>
        <w:left w:val="none" w:sz="0" w:space="0" w:color="auto"/>
        <w:bottom w:val="none" w:sz="0" w:space="0" w:color="auto"/>
        <w:right w:val="none" w:sz="0" w:space="0" w:color="auto"/>
      </w:divBdr>
    </w:div>
    <w:div w:id="917323019">
      <w:bodyDiv w:val="1"/>
      <w:marLeft w:val="0"/>
      <w:marRight w:val="0"/>
      <w:marTop w:val="0"/>
      <w:marBottom w:val="0"/>
      <w:divBdr>
        <w:top w:val="none" w:sz="0" w:space="0" w:color="auto"/>
        <w:left w:val="none" w:sz="0" w:space="0" w:color="auto"/>
        <w:bottom w:val="none" w:sz="0" w:space="0" w:color="auto"/>
        <w:right w:val="none" w:sz="0" w:space="0" w:color="auto"/>
      </w:divBdr>
    </w:div>
    <w:div w:id="917444860">
      <w:bodyDiv w:val="1"/>
      <w:marLeft w:val="0"/>
      <w:marRight w:val="0"/>
      <w:marTop w:val="0"/>
      <w:marBottom w:val="0"/>
      <w:divBdr>
        <w:top w:val="none" w:sz="0" w:space="0" w:color="auto"/>
        <w:left w:val="none" w:sz="0" w:space="0" w:color="auto"/>
        <w:bottom w:val="none" w:sz="0" w:space="0" w:color="auto"/>
        <w:right w:val="none" w:sz="0" w:space="0" w:color="auto"/>
      </w:divBdr>
    </w:div>
    <w:div w:id="918056333">
      <w:bodyDiv w:val="1"/>
      <w:marLeft w:val="0"/>
      <w:marRight w:val="0"/>
      <w:marTop w:val="0"/>
      <w:marBottom w:val="0"/>
      <w:divBdr>
        <w:top w:val="none" w:sz="0" w:space="0" w:color="auto"/>
        <w:left w:val="none" w:sz="0" w:space="0" w:color="auto"/>
        <w:bottom w:val="none" w:sz="0" w:space="0" w:color="auto"/>
        <w:right w:val="none" w:sz="0" w:space="0" w:color="auto"/>
      </w:divBdr>
    </w:div>
    <w:div w:id="918440923">
      <w:bodyDiv w:val="1"/>
      <w:marLeft w:val="0"/>
      <w:marRight w:val="0"/>
      <w:marTop w:val="0"/>
      <w:marBottom w:val="0"/>
      <w:divBdr>
        <w:top w:val="none" w:sz="0" w:space="0" w:color="auto"/>
        <w:left w:val="none" w:sz="0" w:space="0" w:color="auto"/>
        <w:bottom w:val="none" w:sz="0" w:space="0" w:color="auto"/>
        <w:right w:val="none" w:sz="0" w:space="0" w:color="auto"/>
      </w:divBdr>
    </w:div>
    <w:div w:id="918831684">
      <w:bodyDiv w:val="1"/>
      <w:marLeft w:val="0"/>
      <w:marRight w:val="0"/>
      <w:marTop w:val="0"/>
      <w:marBottom w:val="0"/>
      <w:divBdr>
        <w:top w:val="none" w:sz="0" w:space="0" w:color="auto"/>
        <w:left w:val="none" w:sz="0" w:space="0" w:color="auto"/>
        <w:bottom w:val="none" w:sz="0" w:space="0" w:color="auto"/>
        <w:right w:val="none" w:sz="0" w:space="0" w:color="auto"/>
      </w:divBdr>
    </w:div>
    <w:div w:id="919023202">
      <w:bodyDiv w:val="1"/>
      <w:marLeft w:val="0"/>
      <w:marRight w:val="0"/>
      <w:marTop w:val="0"/>
      <w:marBottom w:val="0"/>
      <w:divBdr>
        <w:top w:val="none" w:sz="0" w:space="0" w:color="auto"/>
        <w:left w:val="none" w:sz="0" w:space="0" w:color="auto"/>
        <w:bottom w:val="none" w:sz="0" w:space="0" w:color="auto"/>
        <w:right w:val="none" w:sz="0" w:space="0" w:color="auto"/>
      </w:divBdr>
    </w:div>
    <w:div w:id="919290195">
      <w:bodyDiv w:val="1"/>
      <w:marLeft w:val="0"/>
      <w:marRight w:val="0"/>
      <w:marTop w:val="0"/>
      <w:marBottom w:val="0"/>
      <w:divBdr>
        <w:top w:val="none" w:sz="0" w:space="0" w:color="auto"/>
        <w:left w:val="none" w:sz="0" w:space="0" w:color="auto"/>
        <w:bottom w:val="none" w:sz="0" w:space="0" w:color="auto"/>
        <w:right w:val="none" w:sz="0" w:space="0" w:color="auto"/>
      </w:divBdr>
    </w:div>
    <w:div w:id="919486294">
      <w:bodyDiv w:val="1"/>
      <w:marLeft w:val="0"/>
      <w:marRight w:val="0"/>
      <w:marTop w:val="0"/>
      <w:marBottom w:val="0"/>
      <w:divBdr>
        <w:top w:val="none" w:sz="0" w:space="0" w:color="auto"/>
        <w:left w:val="none" w:sz="0" w:space="0" w:color="auto"/>
        <w:bottom w:val="none" w:sz="0" w:space="0" w:color="auto"/>
        <w:right w:val="none" w:sz="0" w:space="0" w:color="auto"/>
      </w:divBdr>
    </w:div>
    <w:div w:id="919631379">
      <w:bodyDiv w:val="1"/>
      <w:marLeft w:val="0"/>
      <w:marRight w:val="0"/>
      <w:marTop w:val="0"/>
      <w:marBottom w:val="0"/>
      <w:divBdr>
        <w:top w:val="none" w:sz="0" w:space="0" w:color="auto"/>
        <w:left w:val="none" w:sz="0" w:space="0" w:color="auto"/>
        <w:bottom w:val="none" w:sz="0" w:space="0" w:color="auto"/>
        <w:right w:val="none" w:sz="0" w:space="0" w:color="auto"/>
      </w:divBdr>
    </w:div>
    <w:div w:id="920524060">
      <w:bodyDiv w:val="1"/>
      <w:marLeft w:val="0"/>
      <w:marRight w:val="0"/>
      <w:marTop w:val="0"/>
      <w:marBottom w:val="0"/>
      <w:divBdr>
        <w:top w:val="none" w:sz="0" w:space="0" w:color="auto"/>
        <w:left w:val="none" w:sz="0" w:space="0" w:color="auto"/>
        <w:bottom w:val="none" w:sz="0" w:space="0" w:color="auto"/>
        <w:right w:val="none" w:sz="0" w:space="0" w:color="auto"/>
      </w:divBdr>
    </w:div>
    <w:div w:id="920680667">
      <w:bodyDiv w:val="1"/>
      <w:marLeft w:val="0"/>
      <w:marRight w:val="0"/>
      <w:marTop w:val="0"/>
      <w:marBottom w:val="0"/>
      <w:divBdr>
        <w:top w:val="none" w:sz="0" w:space="0" w:color="auto"/>
        <w:left w:val="none" w:sz="0" w:space="0" w:color="auto"/>
        <w:bottom w:val="none" w:sz="0" w:space="0" w:color="auto"/>
        <w:right w:val="none" w:sz="0" w:space="0" w:color="auto"/>
      </w:divBdr>
    </w:div>
    <w:div w:id="920988293">
      <w:bodyDiv w:val="1"/>
      <w:marLeft w:val="0"/>
      <w:marRight w:val="0"/>
      <w:marTop w:val="0"/>
      <w:marBottom w:val="0"/>
      <w:divBdr>
        <w:top w:val="none" w:sz="0" w:space="0" w:color="auto"/>
        <w:left w:val="none" w:sz="0" w:space="0" w:color="auto"/>
        <w:bottom w:val="none" w:sz="0" w:space="0" w:color="auto"/>
        <w:right w:val="none" w:sz="0" w:space="0" w:color="auto"/>
      </w:divBdr>
    </w:div>
    <w:div w:id="921254579">
      <w:bodyDiv w:val="1"/>
      <w:marLeft w:val="0"/>
      <w:marRight w:val="0"/>
      <w:marTop w:val="0"/>
      <w:marBottom w:val="0"/>
      <w:divBdr>
        <w:top w:val="none" w:sz="0" w:space="0" w:color="auto"/>
        <w:left w:val="none" w:sz="0" w:space="0" w:color="auto"/>
        <w:bottom w:val="none" w:sz="0" w:space="0" w:color="auto"/>
        <w:right w:val="none" w:sz="0" w:space="0" w:color="auto"/>
      </w:divBdr>
    </w:div>
    <w:div w:id="922031024">
      <w:bodyDiv w:val="1"/>
      <w:marLeft w:val="0"/>
      <w:marRight w:val="0"/>
      <w:marTop w:val="0"/>
      <w:marBottom w:val="0"/>
      <w:divBdr>
        <w:top w:val="none" w:sz="0" w:space="0" w:color="auto"/>
        <w:left w:val="none" w:sz="0" w:space="0" w:color="auto"/>
        <w:bottom w:val="none" w:sz="0" w:space="0" w:color="auto"/>
        <w:right w:val="none" w:sz="0" w:space="0" w:color="auto"/>
      </w:divBdr>
    </w:div>
    <w:div w:id="922375980">
      <w:bodyDiv w:val="1"/>
      <w:marLeft w:val="0"/>
      <w:marRight w:val="0"/>
      <w:marTop w:val="0"/>
      <w:marBottom w:val="0"/>
      <w:divBdr>
        <w:top w:val="none" w:sz="0" w:space="0" w:color="auto"/>
        <w:left w:val="none" w:sz="0" w:space="0" w:color="auto"/>
        <w:bottom w:val="none" w:sz="0" w:space="0" w:color="auto"/>
        <w:right w:val="none" w:sz="0" w:space="0" w:color="auto"/>
      </w:divBdr>
    </w:div>
    <w:div w:id="922448993">
      <w:bodyDiv w:val="1"/>
      <w:marLeft w:val="0"/>
      <w:marRight w:val="0"/>
      <w:marTop w:val="0"/>
      <w:marBottom w:val="0"/>
      <w:divBdr>
        <w:top w:val="none" w:sz="0" w:space="0" w:color="auto"/>
        <w:left w:val="none" w:sz="0" w:space="0" w:color="auto"/>
        <w:bottom w:val="none" w:sz="0" w:space="0" w:color="auto"/>
        <w:right w:val="none" w:sz="0" w:space="0" w:color="auto"/>
      </w:divBdr>
    </w:div>
    <w:div w:id="922565214">
      <w:bodyDiv w:val="1"/>
      <w:marLeft w:val="0"/>
      <w:marRight w:val="0"/>
      <w:marTop w:val="0"/>
      <w:marBottom w:val="0"/>
      <w:divBdr>
        <w:top w:val="none" w:sz="0" w:space="0" w:color="auto"/>
        <w:left w:val="none" w:sz="0" w:space="0" w:color="auto"/>
        <w:bottom w:val="none" w:sz="0" w:space="0" w:color="auto"/>
        <w:right w:val="none" w:sz="0" w:space="0" w:color="auto"/>
      </w:divBdr>
    </w:div>
    <w:div w:id="922640640">
      <w:bodyDiv w:val="1"/>
      <w:marLeft w:val="0"/>
      <w:marRight w:val="0"/>
      <w:marTop w:val="0"/>
      <w:marBottom w:val="0"/>
      <w:divBdr>
        <w:top w:val="none" w:sz="0" w:space="0" w:color="auto"/>
        <w:left w:val="none" w:sz="0" w:space="0" w:color="auto"/>
        <w:bottom w:val="none" w:sz="0" w:space="0" w:color="auto"/>
        <w:right w:val="none" w:sz="0" w:space="0" w:color="auto"/>
      </w:divBdr>
    </w:div>
    <w:div w:id="922682534">
      <w:bodyDiv w:val="1"/>
      <w:marLeft w:val="0"/>
      <w:marRight w:val="0"/>
      <w:marTop w:val="0"/>
      <w:marBottom w:val="0"/>
      <w:divBdr>
        <w:top w:val="none" w:sz="0" w:space="0" w:color="auto"/>
        <w:left w:val="none" w:sz="0" w:space="0" w:color="auto"/>
        <w:bottom w:val="none" w:sz="0" w:space="0" w:color="auto"/>
        <w:right w:val="none" w:sz="0" w:space="0" w:color="auto"/>
      </w:divBdr>
    </w:div>
    <w:div w:id="923027901">
      <w:bodyDiv w:val="1"/>
      <w:marLeft w:val="0"/>
      <w:marRight w:val="0"/>
      <w:marTop w:val="0"/>
      <w:marBottom w:val="0"/>
      <w:divBdr>
        <w:top w:val="none" w:sz="0" w:space="0" w:color="auto"/>
        <w:left w:val="none" w:sz="0" w:space="0" w:color="auto"/>
        <w:bottom w:val="none" w:sz="0" w:space="0" w:color="auto"/>
        <w:right w:val="none" w:sz="0" w:space="0" w:color="auto"/>
      </w:divBdr>
    </w:div>
    <w:div w:id="923803750">
      <w:bodyDiv w:val="1"/>
      <w:marLeft w:val="0"/>
      <w:marRight w:val="0"/>
      <w:marTop w:val="0"/>
      <w:marBottom w:val="0"/>
      <w:divBdr>
        <w:top w:val="none" w:sz="0" w:space="0" w:color="auto"/>
        <w:left w:val="none" w:sz="0" w:space="0" w:color="auto"/>
        <w:bottom w:val="none" w:sz="0" w:space="0" w:color="auto"/>
        <w:right w:val="none" w:sz="0" w:space="0" w:color="auto"/>
      </w:divBdr>
    </w:div>
    <w:div w:id="923954065">
      <w:bodyDiv w:val="1"/>
      <w:marLeft w:val="0"/>
      <w:marRight w:val="0"/>
      <w:marTop w:val="0"/>
      <w:marBottom w:val="0"/>
      <w:divBdr>
        <w:top w:val="none" w:sz="0" w:space="0" w:color="auto"/>
        <w:left w:val="none" w:sz="0" w:space="0" w:color="auto"/>
        <w:bottom w:val="none" w:sz="0" w:space="0" w:color="auto"/>
        <w:right w:val="none" w:sz="0" w:space="0" w:color="auto"/>
      </w:divBdr>
    </w:div>
    <w:div w:id="924069395">
      <w:bodyDiv w:val="1"/>
      <w:marLeft w:val="0"/>
      <w:marRight w:val="0"/>
      <w:marTop w:val="0"/>
      <w:marBottom w:val="0"/>
      <w:divBdr>
        <w:top w:val="none" w:sz="0" w:space="0" w:color="auto"/>
        <w:left w:val="none" w:sz="0" w:space="0" w:color="auto"/>
        <w:bottom w:val="none" w:sz="0" w:space="0" w:color="auto"/>
        <w:right w:val="none" w:sz="0" w:space="0" w:color="auto"/>
      </w:divBdr>
    </w:div>
    <w:div w:id="924145339">
      <w:bodyDiv w:val="1"/>
      <w:marLeft w:val="0"/>
      <w:marRight w:val="0"/>
      <w:marTop w:val="0"/>
      <w:marBottom w:val="0"/>
      <w:divBdr>
        <w:top w:val="none" w:sz="0" w:space="0" w:color="auto"/>
        <w:left w:val="none" w:sz="0" w:space="0" w:color="auto"/>
        <w:bottom w:val="none" w:sz="0" w:space="0" w:color="auto"/>
        <w:right w:val="none" w:sz="0" w:space="0" w:color="auto"/>
      </w:divBdr>
    </w:div>
    <w:div w:id="925654467">
      <w:bodyDiv w:val="1"/>
      <w:marLeft w:val="0"/>
      <w:marRight w:val="0"/>
      <w:marTop w:val="0"/>
      <w:marBottom w:val="0"/>
      <w:divBdr>
        <w:top w:val="none" w:sz="0" w:space="0" w:color="auto"/>
        <w:left w:val="none" w:sz="0" w:space="0" w:color="auto"/>
        <w:bottom w:val="none" w:sz="0" w:space="0" w:color="auto"/>
        <w:right w:val="none" w:sz="0" w:space="0" w:color="auto"/>
      </w:divBdr>
    </w:div>
    <w:div w:id="925725852">
      <w:bodyDiv w:val="1"/>
      <w:marLeft w:val="0"/>
      <w:marRight w:val="0"/>
      <w:marTop w:val="0"/>
      <w:marBottom w:val="0"/>
      <w:divBdr>
        <w:top w:val="none" w:sz="0" w:space="0" w:color="auto"/>
        <w:left w:val="none" w:sz="0" w:space="0" w:color="auto"/>
        <w:bottom w:val="none" w:sz="0" w:space="0" w:color="auto"/>
        <w:right w:val="none" w:sz="0" w:space="0" w:color="auto"/>
      </w:divBdr>
    </w:div>
    <w:div w:id="925967407">
      <w:bodyDiv w:val="1"/>
      <w:marLeft w:val="0"/>
      <w:marRight w:val="0"/>
      <w:marTop w:val="0"/>
      <w:marBottom w:val="0"/>
      <w:divBdr>
        <w:top w:val="none" w:sz="0" w:space="0" w:color="auto"/>
        <w:left w:val="none" w:sz="0" w:space="0" w:color="auto"/>
        <w:bottom w:val="none" w:sz="0" w:space="0" w:color="auto"/>
        <w:right w:val="none" w:sz="0" w:space="0" w:color="auto"/>
      </w:divBdr>
    </w:div>
    <w:div w:id="926115696">
      <w:bodyDiv w:val="1"/>
      <w:marLeft w:val="0"/>
      <w:marRight w:val="0"/>
      <w:marTop w:val="0"/>
      <w:marBottom w:val="0"/>
      <w:divBdr>
        <w:top w:val="none" w:sz="0" w:space="0" w:color="auto"/>
        <w:left w:val="none" w:sz="0" w:space="0" w:color="auto"/>
        <w:bottom w:val="none" w:sz="0" w:space="0" w:color="auto"/>
        <w:right w:val="none" w:sz="0" w:space="0" w:color="auto"/>
      </w:divBdr>
    </w:div>
    <w:div w:id="926887906">
      <w:bodyDiv w:val="1"/>
      <w:marLeft w:val="0"/>
      <w:marRight w:val="0"/>
      <w:marTop w:val="0"/>
      <w:marBottom w:val="0"/>
      <w:divBdr>
        <w:top w:val="none" w:sz="0" w:space="0" w:color="auto"/>
        <w:left w:val="none" w:sz="0" w:space="0" w:color="auto"/>
        <w:bottom w:val="none" w:sz="0" w:space="0" w:color="auto"/>
        <w:right w:val="none" w:sz="0" w:space="0" w:color="auto"/>
      </w:divBdr>
    </w:div>
    <w:div w:id="927159526">
      <w:bodyDiv w:val="1"/>
      <w:marLeft w:val="0"/>
      <w:marRight w:val="0"/>
      <w:marTop w:val="0"/>
      <w:marBottom w:val="0"/>
      <w:divBdr>
        <w:top w:val="none" w:sz="0" w:space="0" w:color="auto"/>
        <w:left w:val="none" w:sz="0" w:space="0" w:color="auto"/>
        <w:bottom w:val="none" w:sz="0" w:space="0" w:color="auto"/>
        <w:right w:val="none" w:sz="0" w:space="0" w:color="auto"/>
      </w:divBdr>
    </w:div>
    <w:div w:id="927344248">
      <w:bodyDiv w:val="1"/>
      <w:marLeft w:val="0"/>
      <w:marRight w:val="0"/>
      <w:marTop w:val="0"/>
      <w:marBottom w:val="0"/>
      <w:divBdr>
        <w:top w:val="none" w:sz="0" w:space="0" w:color="auto"/>
        <w:left w:val="none" w:sz="0" w:space="0" w:color="auto"/>
        <w:bottom w:val="none" w:sz="0" w:space="0" w:color="auto"/>
        <w:right w:val="none" w:sz="0" w:space="0" w:color="auto"/>
      </w:divBdr>
    </w:div>
    <w:div w:id="927347890">
      <w:bodyDiv w:val="1"/>
      <w:marLeft w:val="0"/>
      <w:marRight w:val="0"/>
      <w:marTop w:val="0"/>
      <w:marBottom w:val="0"/>
      <w:divBdr>
        <w:top w:val="none" w:sz="0" w:space="0" w:color="auto"/>
        <w:left w:val="none" w:sz="0" w:space="0" w:color="auto"/>
        <w:bottom w:val="none" w:sz="0" w:space="0" w:color="auto"/>
        <w:right w:val="none" w:sz="0" w:space="0" w:color="auto"/>
      </w:divBdr>
    </w:div>
    <w:div w:id="927541058">
      <w:bodyDiv w:val="1"/>
      <w:marLeft w:val="0"/>
      <w:marRight w:val="0"/>
      <w:marTop w:val="0"/>
      <w:marBottom w:val="0"/>
      <w:divBdr>
        <w:top w:val="none" w:sz="0" w:space="0" w:color="auto"/>
        <w:left w:val="none" w:sz="0" w:space="0" w:color="auto"/>
        <w:bottom w:val="none" w:sz="0" w:space="0" w:color="auto"/>
        <w:right w:val="none" w:sz="0" w:space="0" w:color="auto"/>
      </w:divBdr>
    </w:div>
    <w:div w:id="928545780">
      <w:bodyDiv w:val="1"/>
      <w:marLeft w:val="0"/>
      <w:marRight w:val="0"/>
      <w:marTop w:val="0"/>
      <w:marBottom w:val="0"/>
      <w:divBdr>
        <w:top w:val="none" w:sz="0" w:space="0" w:color="auto"/>
        <w:left w:val="none" w:sz="0" w:space="0" w:color="auto"/>
        <w:bottom w:val="none" w:sz="0" w:space="0" w:color="auto"/>
        <w:right w:val="none" w:sz="0" w:space="0" w:color="auto"/>
      </w:divBdr>
    </w:div>
    <w:div w:id="928584560">
      <w:bodyDiv w:val="1"/>
      <w:marLeft w:val="0"/>
      <w:marRight w:val="0"/>
      <w:marTop w:val="0"/>
      <w:marBottom w:val="0"/>
      <w:divBdr>
        <w:top w:val="none" w:sz="0" w:space="0" w:color="auto"/>
        <w:left w:val="none" w:sz="0" w:space="0" w:color="auto"/>
        <w:bottom w:val="none" w:sz="0" w:space="0" w:color="auto"/>
        <w:right w:val="none" w:sz="0" w:space="0" w:color="auto"/>
      </w:divBdr>
    </w:div>
    <w:div w:id="929045334">
      <w:bodyDiv w:val="1"/>
      <w:marLeft w:val="0"/>
      <w:marRight w:val="0"/>
      <w:marTop w:val="0"/>
      <w:marBottom w:val="0"/>
      <w:divBdr>
        <w:top w:val="none" w:sz="0" w:space="0" w:color="auto"/>
        <w:left w:val="none" w:sz="0" w:space="0" w:color="auto"/>
        <w:bottom w:val="none" w:sz="0" w:space="0" w:color="auto"/>
        <w:right w:val="none" w:sz="0" w:space="0" w:color="auto"/>
      </w:divBdr>
    </w:div>
    <w:div w:id="929389902">
      <w:bodyDiv w:val="1"/>
      <w:marLeft w:val="0"/>
      <w:marRight w:val="0"/>
      <w:marTop w:val="0"/>
      <w:marBottom w:val="0"/>
      <w:divBdr>
        <w:top w:val="none" w:sz="0" w:space="0" w:color="auto"/>
        <w:left w:val="none" w:sz="0" w:space="0" w:color="auto"/>
        <w:bottom w:val="none" w:sz="0" w:space="0" w:color="auto"/>
        <w:right w:val="none" w:sz="0" w:space="0" w:color="auto"/>
      </w:divBdr>
    </w:div>
    <w:div w:id="929434680">
      <w:bodyDiv w:val="1"/>
      <w:marLeft w:val="0"/>
      <w:marRight w:val="0"/>
      <w:marTop w:val="0"/>
      <w:marBottom w:val="0"/>
      <w:divBdr>
        <w:top w:val="none" w:sz="0" w:space="0" w:color="auto"/>
        <w:left w:val="none" w:sz="0" w:space="0" w:color="auto"/>
        <w:bottom w:val="none" w:sz="0" w:space="0" w:color="auto"/>
        <w:right w:val="none" w:sz="0" w:space="0" w:color="auto"/>
      </w:divBdr>
    </w:div>
    <w:div w:id="929581715">
      <w:bodyDiv w:val="1"/>
      <w:marLeft w:val="0"/>
      <w:marRight w:val="0"/>
      <w:marTop w:val="0"/>
      <w:marBottom w:val="0"/>
      <w:divBdr>
        <w:top w:val="none" w:sz="0" w:space="0" w:color="auto"/>
        <w:left w:val="none" w:sz="0" w:space="0" w:color="auto"/>
        <w:bottom w:val="none" w:sz="0" w:space="0" w:color="auto"/>
        <w:right w:val="none" w:sz="0" w:space="0" w:color="auto"/>
      </w:divBdr>
    </w:div>
    <w:div w:id="930162439">
      <w:bodyDiv w:val="1"/>
      <w:marLeft w:val="0"/>
      <w:marRight w:val="0"/>
      <w:marTop w:val="0"/>
      <w:marBottom w:val="0"/>
      <w:divBdr>
        <w:top w:val="none" w:sz="0" w:space="0" w:color="auto"/>
        <w:left w:val="none" w:sz="0" w:space="0" w:color="auto"/>
        <w:bottom w:val="none" w:sz="0" w:space="0" w:color="auto"/>
        <w:right w:val="none" w:sz="0" w:space="0" w:color="auto"/>
      </w:divBdr>
    </w:div>
    <w:div w:id="930940159">
      <w:bodyDiv w:val="1"/>
      <w:marLeft w:val="0"/>
      <w:marRight w:val="0"/>
      <w:marTop w:val="0"/>
      <w:marBottom w:val="0"/>
      <w:divBdr>
        <w:top w:val="none" w:sz="0" w:space="0" w:color="auto"/>
        <w:left w:val="none" w:sz="0" w:space="0" w:color="auto"/>
        <w:bottom w:val="none" w:sz="0" w:space="0" w:color="auto"/>
        <w:right w:val="none" w:sz="0" w:space="0" w:color="auto"/>
      </w:divBdr>
    </w:div>
    <w:div w:id="931009125">
      <w:bodyDiv w:val="1"/>
      <w:marLeft w:val="0"/>
      <w:marRight w:val="0"/>
      <w:marTop w:val="0"/>
      <w:marBottom w:val="0"/>
      <w:divBdr>
        <w:top w:val="none" w:sz="0" w:space="0" w:color="auto"/>
        <w:left w:val="none" w:sz="0" w:space="0" w:color="auto"/>
        <w:bottom w:val="none" w:sz="0" w:space="0" w:color="auto"/>
        <w:right w:val="none" w:sz="0" w:space="0" w:color="auto"/>
      </w:divBdr>
    </w:div>
    <w:div w:id="931276415">
      <w:bodyDiv w:val="1"/>
      <w:marLeft w:val="0"/>
      <w:marRight w:val="0"/>
      <w:marTop w:val="0"/>
      <w:marBottom w:val="0"/>
      <w:divBdr>
        <w:top w:val="none" w:sz="0" w:space="0" w:color="auto"/>
        <w:left w:val="none" w:sz="0" w:space="0" w:color="auto"/>
        <w:bottom w:val="none" w:sz="0" w:space="0" w:color="auto"/>
        <w:right w:val="none" w:sz="0" w:space="0" w:color="auto"/>
      </w:divBdr>
    </w:div>
    <w:div w:id="931282766">
      <w:bodyDiv w:val="1"/>
      <w:marLeft w:val="0"/>
      <w:marRight w:val="0"/>
      <w:marTop w:val="0"/>
      <w:marBottom w:val="0"/>
      <w:divBdr>
        <w:top w:val="none" w:sz="0" w:space="0" w:color="auto"/>
        <w:left w:val="none" w:sz="0" w:space="0" w:color="auto"/>
        <w:bottom w:val="none" w:sz="0" w:space="0" w:color="auto"/>
        <w:right w:val="none" w:sz="0" w:space="0" w:color="auto"/>
      </w:divBdr>
    </w:div>
    <w:div w:id="932250529">
      <w:bodyDiv w:val="1"/>
      <w:marLeft w:val="0"/>
      <w:marRight w:val="0"/>
      <w:marTop w:val="0"/>
      <w:marBottom w:val="0"/>
      <w:divBdr>
        <w:top w:val="none" w:sz="0" w:space="0" w:color="auto"/>
        <w:left w:val="none" w:sz="0" w:space="0" w:color="auto"/>
        <w:bottom w:val="none" w:sz="0" w:space="0" w:color="auto"/>
        <w:right w:val="none" w:sz="0" w:space="0" w:color="auto"/>
      </w:divBdr>
    </w:div>
    <w:div w:id="932667620">
      <w:bodyDiv w:val="1"/>
      <w:marLeft w:val="0"/>
      <w:marRight w:val="0"/>
      <w:marTop w:val="0"/>
      <w:marBottom w:val="0"/>
      <w:divBdr>
        <w:top w:val="none" w:sz="0" w:space="0" w:color="auto"/>
        <w:left w:val="none" w:sz="0" w:space="0" w:color="auto"/>
        <w:bottom w:val="none" w:sz="0" w:space="0" w:color="auto"/>
        <w:right w:val="none" w:sz="0" w:space="0" w:color="auto"/>
      </w:divBdr>
    </w:div>
    <w:div w:id="932712768">
      <w:bodyDiv w:val="1"/>
      <w:marLeft w:val="0"/>
      <w:marRight w:val="0"/>
      <w:marTop w:val="0"/>
      <w:marBottom w:val="0"/>
      <w:divBdr>
        <w:top w:val="none" w:sz="0" w:space="0" w:color="auto"/>
        <w:left w:val="none" w:sz="0" w:space="0" w:color="auto"/>
        <w:bottom w:val="none" w:sz="0" w:space="0" w:color="auto"/>
        <w:right w:val="none" w:sz="0" w:space="0" w:color="auto"/>
      </w:divBdr>
    </w:div>
    <w:div w:id="933050605">
      <w:bodyDiv w:val="1"/>
      <w:marLeft w:val="0"/>
      <w:marRight w:val="0"/>
      <w:marTop w:val="0"/>
      <w:marBottom w:val="0"/>
      <w:divBdr>
        <w:top w:val="none" w:sz="0" w:space="0" w:color="auto"/>
        <w:left w:val="none" w:sz="0" w:space="0" w:color="auto"/>
        <w:bottom w:val="none" w:sz="0" w:space="0" w:color="auto"/>
        <w:right w:val="none" w:sz="0" w:space="0" w:color="auto"/>
      </w:divBdr>
    </w:div>
    <w:div w:id="933510153">
      <w:bodyDiv w:val="1"/>
      <w:marLeft w:val="0"/>
      <w:marRight w:val="0"/>
      <w:marTop w:val="0"/>
      <w:marBottom w:val="0"/>
      <w:divBdr>
        <w:top w:val="none" w:sz="0" w:space="0" w:color="auto"/>
        <w:left w:val="none" w:sz="0" w:space="0" w:color="auto"/>
        <w:bottom w:val="none" w:sz="0" w:space="0" w:color="auto"/>
        <w:right w:val="none" w:sz="0" w:space="0" w:color="auto"/>
      </w:divBdr>
    </w:div>
    <w:div w:id="934166315">
      <w:bodyDiv w:val="1"/>
      <w:marLeft w:val="0"/>
      <w:marRight w:val="0"/>
      <w:marTop w:val="0"/>
      <w:marBottom w:val="0"/>
      <w:divBdr>
        <w:top w:val="none" w:sz="0" w:space="0" w:color="auto"/>
        <w:left w:val="none" w:sz="0" w:space="0" w:color="auto"/>
        <w:bottom w:val="none" w:sz="0" w:space="0" w:color="auto"/>
        <w:right w:val="none" w:sz="0" w:space="0" w:color="auto"/>
      </w:divBdr>
    </w:div>
    <w:div w:id="935210107">
      <w:bodyDiv w:val="1"/>
      <w:marLeft w:val="0"/>
      <w:marRight w:val="0"/>
      <w:marTop w:val="0"/>
      <w:marBottom w:val="0"/>
      <w:divBdr>
        <w:top w:val="none" w:sz="0" w:space="0" w:color="auto"/>
        <w:left w:val="none" w:sz="0" w:space="0" w:color="auto"/>
        <w:bottom w:val="none" w:sz="0" w:space="0" w:color="auto"/>
        <w:right w:val="none" w:sz="0" w:space="0" w:color="auto"/>
      </w:divBdr>
    </w:div>
    <w:div w:id="936525966">
      <w:bodyDiv w:val="1"/>
      <w:marLeft w:val="0"/>
      <w:marRight w:val="0"/>
      <w:marTop w:val="0"/>
      <w:marBottom w:val="0"/>
      <w:divBdr>
        <w:top w:val="none" w:sz="0" w:space="0" w:color="auto"/>
        <w:left w:val="none" w:sz="0" w:space="0" w:color="auto"/>
        <w:bottom w:val="none" w:sz="0" w:space="0" w:color="auto"/>
        <w:right w:val="none" w:sz="0" w:space="0" w:color="auto"/>
      </w:divBdr>
    </w:div>
    <w:div w:id="937257648">
      <w:bodyDiv w:val="1"/>
      <w:marLeft w:val="0"/>
      <w:marRight w:val="0"/>
      <w:marTop w:val="0"/>
      <w:marBottom w:val="0"/>
      <w:divBdr>
        <w:top w:val="none" w:sz="0" w:space="0" w:color="auto"/>
        <w:left w:val="none" w:sz="0" w:space="0" w:color="auto"/>
        <w:bottom w:val="none" w:sz="0" w:space="0" w:color="auto"/>
        <w:right w:val="none" w:sz="0" w:space="0" w:color="auto"/>
      </w:divBdr>
    </w:div>
    <w:div w:id="937518798">
      <w:bodyDiv w:val="1"/>
      <w:marLeft w:val="0"/>
      <w:marRight w:val="0"/>
      <w:marTop w:val="0"/>
      <w:marBottom w:val="0"/>
      <w:divBdr>
        <w:top w:val="none" w:sz="0" w:space="0" w:color="auto"/>
        <w:left w:val="none" w:sz="0" w:space="0" w:color="auto"/>
        <w:bottom w:val="none" w:sz="0" w:space="0" w:color="auto"/>
        <w:right w:val="none" w:sz="0" w:space="0" w:color="auto"/>
      </w:divBdr>
    </w:div>
    <w:div w:id="938223794">
      <w:bodyDiv w:val="1"/>
      <w:marLeft w:val="0"/>
      <w:marRight w:val="0"/>
      <w:marTop w:val="0"/>
      <w:marBottom w:val="0"/>
      <w:divBdr>
        <w:top w:val="none" w:sz="0" w:space="0" w:color="auto"/>
        <w:left w:val="none" w:sz="0" w:space="0" w:color="auto"/>
        <w:bottom w:val="none" w:sz="0" w:space="0" w:color="auto"/>
        <w:right w:val="none" w:sz="0" w:space="0" w:color="auto"/>
      </w:divBdr>
    </w:div>
    <w:div w:id="938757668">
      <w:bodyDiv w:val="1"/>
      <w:marLeft w:val="0"/>
      <w:marRight w:val="0"/>
      <w:marTop w:val="0"/>
      <w:marBottom w:val="0"/>
      <w:divBdr>
        <w:top w:val="none" w:sz="0" w:space="0" w:color="auto"/>
        <w:left w:val="none" w:sz="0" w:space="0" w:color="auto"/>
        <w:bottom w:val="none" w:sz="0" w:space="0" w:color="auto"/>
        <w:right w:val="none" w:sz="0" w:space="0" w:color="auto"/>
      </w:divBdr>
    </w:div>
    <w:div w:id="939027615">
      <w:bodyDiv w:val="1"/>
      <w:marLeft w:val="0"/>
      <w:marRight w:val="0"/>
      <w:marTop w:val="0"/>
      <w:marBottom w:val="0"/>
      <w:divBdr>
        <w:top w:val="none" w:sz="0" w:space="0" w:color="auto"/>
        <w:left w:val="none" w:sz="0" w:space="0" w:color="auto"/>
        <w:bottom w:val="none" w:sz="0" w:space="0" w:color="auto"/>
        <w:right w:val="none" w:sz="0" w:space="0" w:color="auto"/>
      </w:divBdr>
      <w:divsChild>
        <w:div w:id="1819689297">
          <w:marLeft w:val="480"/>
          <w:marRight w:val="0"/>
          <w:marTop w:val="0"/>
          <w:marBottom w:val="0"/>
          <w:divBdr>
            <w:top w:val="none" w:sz="0" w:space="0" w:color="auto"/>
            <w:left w:val="none" w:sz="0" w:space="0" w:color="auto"/>
            <w:bottom w:val="none" w:sz="0" w:space="0" w:color="auto"/>
            <w:right w:val="none" w:sz="0" w:space="0" w:color="auto"/>
          </w:divBdr>
        </w:div>
        <w:div w:id="834031777">
          <w:marLeft w:val="480"/>
          <w:marRight w:val="0"/>
          <w:marTop w:val="0"/>
          <w:marBottom w:val="0"/>
          <w:divBdr>
            <w:top w:val="none" w:sz="0" w:space="0" w:color="auto"/>
            <w:left w:val="none" w:sz="0" w:space="0" w:color="auto"/>
            <w:bottom w:val="none" w:sz="0" w:space="0" w:color="auto"/>
            <w:right w:val="none" w:sz="0" w:space="0" w:color="auto"/>
          </w:divBdr>
        </w:div>
        <w:div w:id="310446937">
          <w:marLeft w:val="480"/>
          <w:marRight w:val="0"/>
          <w:marTop w:val="0"/>
          <w:marBottom w:val="0"/>
          <w:divBdr>
            <w:top w:val="none" w:sz="0" w:space="0" w:color="auto"/>
            <w:left w:val="none" w:sz="0" w:space="0" w:color="auto"/>
            <w:bottom w:val="none" w:sz="0" w:space="0" w:color="auto"/>
            <w:right w:val="none" w:sz="0" w:space="0" w:color="auto"/>
          </w:divBdr>
        </w:div>
        <w:div w:id="2091809099">
          <w:marLeft w:val="480"/>
          <w:marRight w:val="0"/>
          <w:marTop w:val="0"/>
          <w:marBottom w:val="0"/>
          <w:divBdr>
            <w:top w:val="none" w:sz="0" w:space="0" w:color="auto"/>
            <w:left w:val="none" w:sz="0" w:space="0" w:color="auto"/>
            <w:bottom w:val="none" w:sz="0" w:space="0" w:color="auto"/>
            <w:right w:val="none" w:sz="0" w:space="0" w:color="auto"/>
          </w:divBdr>
        </w:div>
        <w:div w:id="1603149043">
          <w:marLeft w:val="480"/>
          <w:marRight w:val="0"/>
          <w:marTop w:val="0"/>
          <w:marBottom w:val="0"/>
          <w:divBdr>
            <w:top w:val="none" w:sz="0" w:space="0" w:color="auto"/>
            <w:left w:val="none" w:sz="0" w:space="0" w:color="auto"/>
            <w:bottom w:val="none" w:sz="0" w:space="0" w:color="auto"/>
            <w:right w:val="none" w:sz="0" w:space="0" w:color="auto"/>
          </w:divBdr>
        </w:div>
        <w:div w:id="1714231588">
          <w:marLeft w:val="480"/>
          <w:marRight w:val="0"/>
          <w:marTop w:val="0"/>
          <w:marBottom w:val="0"/>
          <w:divBdr>
            <w:top w:val="none" w:sz="0" w:space="0" w:color="auto"/>
            <w:left w:val="none" w:sz="0" w:space="0" w:color="auto"/>
            <w:bottom w:val="none" w:sz="0" w:space="0" w:color="auto"/>
            <w:right w:val="none" w:sz="0" w:space="0" w:color="auto"/>
          </w:divBdr>
        </w:div>
        <w:div w:id="1141384158">
          <w:marLeft w:val="480"/>
          <w:marRight w:val="0"/>
          <w:marTop w:val="0"/>
          <w:marBottom w:val="0"/>
          <w:divBdr>
            <w:top w:val="none" w:sz="0" w:space="0" w:color="auto"/>
            <w:left w:val="none" w:sz="0" w:space="0" w:color="auto"/>
            <w:bottom w:val="none" w:sz="0" w:space="0" w:color="auto"/>
            <w:right w:val="none" w:sz="0" w:space="0" w:color="auto"/>
          </w:divBdr>
        </w:div>
        <w:div w:id="1132671865">
          <w:marLeft w:val="480"/>
          <w:marRight w:val="0"/>
          <w:marTop w:val="0"/>
          <w:marBottom w:val="0"/>
          <w:divBdr>
            <w:top w:val="none" w:sz="0" w:space="0" w:color="auto"/>
            <w:left w:val="none" w:sz="0" w:space="0" w:color="auto"/>
            <w:bottom w:val="none" w:sz="0" w:space="0" w:color="auto"/>
            <w:right w:val="none" w:sz="0" w:space="0" w:color="auto"/>
          </w:divBdr>
        </w:div>
        <w:div w:id="1429813484">
          <w:marLeft w:val="480"/>
          <w:marRight w:val="0"/>
          <w:marTop w:val="0"/>
          <w:marBottom w:val="0"/>
          <w:divBdr>
            <w:top w:val="none" w:sz="0" w:space="0" w:color="auto"/>
            <w:left w:val="none" w:sz="0" w:space="0" w:color="auto"/>
            <w:bottom w:val="none" w:sz="0" w:space="0" w:color="auto"/>
            <w:right w:val="none" w:sz="0" w:space="0" w:color="auto"/>
          </w:divBdr>
        </w:div>
        <w:div w:id="2137673012">
          <w:marLeft w:val="480"/>
          <w:marRight w:val="0"/>
          <w:marTop w:val="0"/>
          <w:marBottom w:val="0"/>
          <w:divBdr>
            <w:top w:val="none" w:sz="0" w:space="0" w:color="auto"/>
            <w:left w:val="none" w:sz="0" w:space="0" w:color="auto"/>
            <w:bottom w:val="none" w:sz="0" w:space="0" w:color="auto"/>
            <w:right w:val="none" w:sz="0" w:space="0" w:color="auto"/>
          </w:divBdr>
        </w:div>
        <w:div w:id="462426497">
          <w:marLeft w:val="480"/>
          <w:marRight w:val="0"/>
          <w:marTop w:val="0"/>
          <w:marBottom w:val="0"/>
          <w:divBdr>
            <w:top w:val="none" w:sz="0" w:space="0" w:color="auto"/>
            <w:left w:val="none" w:sz="0" w:space="0" w:color="auto"/>
            <w:bottom w:val="none" w:sz="0" w:space="0" w:color="auto"/>
            <w:right w:val="none" w:sz="0" w:space="0" w:color="auto"/>
          </w:divBdr>
        </w:div>
        <w:div w:id="1151172458">
          <w:marLeft w:val="480"/>
          <w:marRight w:val="0"/>
          <w:marTop w:val="0"/>
          <w:marBottom w:val="0"/>
          <w:divBdr>
            <w:top w:val="none" w:sz="0" w:space="0" w:color="auto"/>
            <w:left w:val="none" w:sz="0" w:space="0" w:color="auto"/>
            <w:bottom w:val="none" w:sz="0" w:space="0" w:color="auto"/>
            <w:right w:val="none" w:sz="0" w:space="0" w:color="auto"/>
          </w:divBdr>
        </w:div>
        <w:div w:id="1714495503">
          <w:marLeft w:val="480"/>
          <w:marRight w:val="0"/>
          <w:marTop w:val="0"/>
          <w:marBottom w:val="0"/>
          <w:divBdr>
            <w:top w:val="none" w:sz="0" w:space="0" w:color="auto"/>
            <w:left w:val="none" w:sz="0" w:space="0" w:color="auto"/>
            <w:bottom w:val="none" w:sz="0" w:space="0" w:color="auto"/>
            <w:right w:val="none" w:sz="0" w:space="0" w:color="auto"/>
          </w:divBdr>
        </w:div>
        <w:div w:id="343675826">
          <w:marLeft w:val="480"/>
          <w:marRight w:val="0"/>
          <w:marTop w:val="0"/>
          <w:marBottom w:val="0"/>
          <w:divBdr>
            <w:top w:val="none" w:sz="0" w:space="0" w:color="auto"/>
            <w:left w:val="none" w:sz="0" w:space="0" w:color="auto"/>
            <w:bottom w:val="none" w:sz="0" w:space="0" w:color="auto"/>
            <w:right w:val="none" w:sz="0" w:space="0" w:color="auto"/>
          </w:divBdr>
        </w:div>
        <w:div w:id="1919904106">
          <w:marLeft w:val="480"/>
          <w:marRight w:val="0"/>
          <w:marTop w:val="0"/>
          <w:marBottom w:val="0"/>
          <w:divBdr>
            <w:top w:val="none" w:sz="0" w:space="0" w:color="auto"/>
            <w:left w:val="none" w:sz="0" w:space="0" w:color="auto"/>
            <w:bottom w:val="none" w:sz="0" w:space="0" w:color="auto"/>
            <w:right w:val="none" w:sz="0" w:space="0" w:color="auto"/>
          </w:divBdr>
        </w:div>
        <w:div w:id="907612629">
          <w:marLeft w:val="480"/>
          <w:marRight w:val="0"/>
          <w:marTop w:val="0"/>
          <w:marBottom w:val="0"/>
          <w:divBdr>
            <w:top w:val="none" w:sz="0" w:space="0" w:color="auto"/>
            <w:left w:val="none" w:sz="0" w:space="0" w:color="auto"/>
            <w:bottom w:val="none" w:sz="0" w:space="0" w:color="auto"/>
            <w:right w:val="none" w:sz="0" w:space="0" w:color="auto"/>
          </w:divBdr>
        </w:div>
        <w:div w:id="748892720">
          <w:marLeft w:val="480"/>
          <w:marRight w:val="0"/>
          <w:marTop w:val="0"/>
          <w:marBottom w:val="0"/>
          <w:divBdr>
            <w:top w:val="none" w:sz="0" w:space="0" w:color="auto"/>
            <w:left w:val="none" w:sz="0" w:space="0" w:color="auto"/>
            <w:bottom w:val="none" w:sz="0" w:space="0" w:color="auto"/>
            <w:right w:val="none" w:sz="0" w:space="0" w:color="auto"/>
          </w:divBdr>
        </w:div>
        <w:div w:id="1514415071">
          <w:marLeft w:val="480"/>
          <w:marRight w:val="0"/>
          <w:marTop w:val="0"/>
          <w:marBottom w:val="0"/>
          <w:divBdr>
            <w:top w:val="none" w:sz="0" w:space="0" w:color="auto"/>
            <w:left w:val="none" w:sz="0" w:space="0" w:color="auto"/>
            <w:bottom w:val="none" w:sz="0" w:space="0" w:color="auto"/>
            <w:right w:val="none" w:sz="0" w:space="0" w:color="auto"/>
          </w:divBdr>
        </w:div>
        <w:div w:id="2008246410">
          <w:marLeft w:val="480"/>
          <w:marRight w:val="0"/>
          <w:marTop w:val="0"/>
          <w:marBottom w:val="0"/>
          <w:divBdr>
            <w:top w:val="none" w:sz="0" w:space="0" w:color="auto"/>
            <w:left w:val="none" w:sz="0" w:space="0" w:color="auto"/>
            <w:bottom w:val="none" w:sz="0" w:space="0" w:color="auto"/>
            <w:right w:val="none" w:sz="0" w:space="0" w:color="auto"/>
          </w:divBdr>
        </w:div>
        <w:div w:id="833766187">
          <w:marLeft w:val="480"/>
          <w:marRight w:val="0"/>
          <w:marTop w:val="0"/>
          <w:marBottom w:val="0"/>
          <w:divBdr>
            <w:top w:val="none" w:sz="0" w:space="0" w:color="auto"/>
            <w:left w:val="none" w:sz="0" w:space="0" w:color="auto"/>
            <w:bottom w:val="none" w:sz="0" w:space="0" w:color="auto"/>
            <w:right w:val="none" w:sz="0" w:space="0" w:color="auto"/>
          </w:divBdr>
        </w:div>
        <w:div w:id="1328828981">
          <w:marLeft w:val="480"/>
          <w:marRight w:val="0"/>
          <w:marTop w:val="0"/>
          <w:marBottom w:val="0"/>
          <w:divBdr>
            <w:top w:val="none" w:sz="0" w:space="0" w:color="auto"/>
            <w:left w:val="none" w:sz="0" w:space="0" w:color="auto"/>
            <w:bottom w:val="none" w:sz="0" w:space="0" w:color="auto"/>
            <w:right w:val="none" w:sz="0" w:space="0" w:color="auto"/>
          </w:divBdr>
        </w:div>
        <w:div w:id="638725889">
          <w:marLeft w:val="480"/>
          <w:marRight w:val="0"/>
          <w:marTop w:val="0"/>
          <w:marBottom w:val="0"/>
          <w:divBdr>
            <w:top w:val="none" w:sz="0" w:space="0" w:color="auto"/>
            <w:left w:val="none" w:sz="0" w:space="0" w:color="auto"/>
            <w:bottom w:val="none" w:sz="0" w:space="0" w:color="auto"/>
            <w:right w:val="none" w:sz="0" w:space="0" w:color="auto"/>
          </w:divBdr>
        </w:div>
        <w:div w:id="1840539536">
          <w:marLeft w:val="480"/>
          <w:marRight w:val="0"/>
          <w:marTop w:val="0"/>
          <w:marBottom w:val="0"/>
          <w:divBdr>
            <w:top w:val="none" w:sz="0" w:space="0" w:color="auto"/>
            <w:left w:val="none" w:sz="0" w:space="0" w:color="auto"/>
            <w:bottom w:val="none" w:sz="0" w:space="0" w:color="auto"/>
            <w:right w:val="none" w:sz="0" w:space="0" w:color="auto"/>
          </w:divBdr>
        </w:div>
        <w:div w:id="1007829301">
          <w:marLeft w:val="480"/>
          <w:marRight w:val="0"/>
          <w:marTop w:val="0"/>
          <w:marBottom w:val="0"/>
          <w:divBdr>
            <w:top w:val="none" w:sz="0" w:space="0" w:color="auto"/>
            <w:left w:val="none" w:sz="0" w:space="0" w:color="auto"/>
            <w:bottom w:val="none" w:sz="0" w:space="0" w:color="auto"/>
            <w:right w:val="none" w:sz="0" w:space="0" w:color="auto"/>
          </w:divBdr>
        </w:div>
        <w:div w:id="1227764943">
          <w:marLeft w:val="480"/>
          <w:marRight w:val="0"/>
          <w:marTop w:val="0"/>
          <w:marBottom w:val="0"/>
          <w:divBdr>
            <w:top w:val="none" w:sz="0" w:space="0" w:color="auto"/>
            <w:left w:val="none" w:sz="0" w:space="0" w:color="auto"/>
            <w:bottom w:val="none" w:sz="0" w:space="0" w:color="auto"/>
            <w:right w:val="none" w:sz="0" w:space="0" w:color="auto"/>
          </w:divBdr>
        </w:div>
        <w:div w:id="1815833499">
          <w:marLeft w:val="480"/>
          <w:marRight w:val="0"/>
          <w:marTop w:val="0"/>
          <w:marBottom w:val="0"/>
          <w:divBdr>
            <w:top w:val="none" w:sz="0" w:space="0" w:color="auto"/>
            <w:left w:val="none" w:sz="0" w:space="0" w:color="auto"/>
            <w:bottom w:val="none" w:sz="0" w:space="0" w:color="auto"/>
            <w:right w:val="none" w:sz="0" w:space="0" w:color="auto"/>
          </w:divBdr>
        </w:div>
        <w:div w:id="2072654884">
          <w:marLeft w:val="480"/>
          <w:marRight w:val="0"/>
          <w:marTop w:val="0"/>
          <w:marBottom w:val="0"/>
          <w:divBdr>
            <w:top w:val="none" w:sz="0" w:space="0" w:color="auto"/>
            <w:left w:val="none" w:sz="0" w:space="0" w:color="auto"/>
            <w:bottom w:val="none" w:sz="0" w:space="0" w:color="auto"/>
            <w:right w:val="none" w:sz="0" w:space="0" w:color="auto"/>
          </w:divBdr>
        </w:div>
        <w:div w:id="1104813013">
          <w:marLeft w:val="480"/>
          <w:marRight w:val="0"/>
          <w:marTop w:val="0"/>
          <w:marBottom w:val="0"/>
          <w:divBdr>
            <w:top w:val="none" w:sz="0" w:space="0" w:color="auto"/>
            <w:left w:val="none" w:sz="0" w:space="0" w:color="auto"/>
            <w:bottom w:val="none" w:sz="0" w:space="0" w:color="auto"/>
            <w:right w:val="none" w:sz="0" w:space="0" w:color="auto"/>
          </w:divBdr>
        </w:div>
        <w:div w:id="1056854438">
          <w:marLeft w:val="480"/>
          <w:marRight w:val="0"/>
          <w:marTop w:val="0"/>
          <w:marBottom w:val="0"/>
          <w:divBdr>
            <w:top w:val="none" w:sz="0" w:space="0" w:color="auto"/>
            <w:left w:val="none" w:sz="0" w:space="0" w:color="auto"/>
            <w:bottom w:val="none" w:sz="0" w:space="0" w:color="auto"/>
            <w:right w:val="none" w:sz="0" w:space="0" w:color="auto"/>
          </w:divBdr>
        </w:div>
        <w:div w:id="2050959480">
          <w:marLeft w:val="480"/>
          <w:marRight w:val="0"/>
          <w:marTop w:val="0"/>
          <w:marBottom w:val="0"/>
          <w:divBdr>
            <w:top w:val="none" w:sz="0" w:space="0" w:color="auto"/>
            <w:left w:val="none" w:sz="0" w:space="0" w:color="auto"/>
            <w:bottom w:val="none" w:sz="0" w:space="0" w:color="auto"/>
            <w:right w:val="none" w:sz="0" w:space="0" w:color="auto"/>
          </w:divBdr>
        </w:div>
        <w:div w:id="179050910">
          <w:marLeft w:val="480"/>
          <w:marRight w:val="0"/>
          <w:marTop w:val="0"/>
          <w:marBottom w:val="0"/>
          <w:divBdr>
            <w:top w:val="none" w:sz="0" w:space="0" w:color="auto"/>
            <w:left w:val="none" w:sz="0" w:space="0" w:color="auto"/>
            <w:bottom w:val="none" w:sz="0" w:space="0" w:color="auto"/>
            <w:right w:val="none" w:sz="0" w:space="0" w:color="auto"/>
          </w:divBdr>
        </w:div>
        <w:div w:id="421536289">
          <w:marLeft w:val="480"/>
          <w:marRight w:val="0"/>
          <w:marTop w:val="0"/>
          <w:marBottom w:val="0"/>
          <w:divBdr>
            <w:top w:val="none" w:sz="0" w:space="0" w:color="auto"/>
            <w:left w:val="none" w:sz="0" w:space="0" w:color="auto"/>
            <w:bottom w:val="none" w:sz="0" w:space="0" w:color="auto"/>
            <w:right w:val="none" w:sz="0" w:space="0" w:color="auto"/>
          </w:divBdr>
        </w:div>
        <w:div w:id="46417441">
          <w:marLeft w:val="480"/>
          <w:marRight w:val="0"/>
          <w:marTop w:val="0"/>
          <w:marBottom w:val="0"/>
          <w:divBdr>
            <w:top w:val="none" w:sz="0" w:space="0" w:color="auto"/>
            <w:left w:val="none" w:sz="0" w:space="0" w:color="auto"/>
            <w:bottom w:val="none" w:sz="0" w:space="0" w:color="auto"/>
            <w:right w:val="none" w:sz="0" w:space="0" w:color="auto"/>
          </w:divBdr>
        </w:div>
        <w:div w:id="366024165">
          <w:marLeft w:val="480"/>
          <w:marRight w:val="0"/>
          <w:marTop w:val="0"/>
          <w:marBottom w:val="0"/>
          <w:divBdr>
            <w:top w:val="none" w:sz="0" w:space="0" w:color="auto"/>
            <w:left w:val="none" w:sz="0" w:space="0" w:color="auto"/>
            <w:bottom w:val="none" w:sz="0" w:space="0" w:color="auto"/>
            <w:right w:val="none" w:sz="0" w:space="0" w:color="auto"/>
          </w:divBdr>
        </w:div>
        <w:div w:id="1959214251">
          <w:marLeft w:val="480"/>
          <w:marRight w:val="0"/>
          <w:marTop w:val="0"/>
          <w:marBottom w:val="0"/>
          <w:divBdr>
            <w:top w:val="none" w:sz="0" w:space="0" w:color="auto"/>
            <w:left w:val="none" w:sz="0" w:space="0" w:color="auto"/>
            <w:bottom w:val="none" w:sz="0" w:space="0" w:color="auto"/>
            <w:right w:val="none" w:sz="0" w:space="0" w:color="auto"/>
          </w:divBdr>
        </w:div>
        <w:div w:id="1144932894">
          <w:marLeft w:val="480"/>
          <w:marRight w:val="0"/>
          <w:marTop w:val="0"/>
          <w:marBottom w:val="0"/>
          <w:divBdr>
            <w:top w:val="none" w:sz="0" w:space="0" w:color="auto"/>
            <w:left w:val="none" w:sz="0" w:space="0" w:color="auto"/>
            <w:bottom w:val="none" w:sz="0" w:space="0" w:color="auto"/>
            <w:right w:val="none" w:sz="0" w:space="0" w:color="auto"/>
          </w:divBdr>
        </w:div>
        <w:div w:id="658850338">
          <w:marLeft w:val="480"/>
          <w:marRight w:val="0"/>
          <w:marTop w:val="0"/>
          <w:marBottom w:val="0"/>
          <w:divBdr>
            <w:top w:val="none" w:sz="0" w:space="0" w:color="auto"/>
            <w:left w:val="none" w:sz="0" w:space="0" w:color="auto"/>
            <w:bottom w:val="none" w:sz="0" w:space="0" w:color="auto"/>
            <w:right w:val="none" w:sz="0" w:space="0" w:color="auto"/>
          </w:divBdr>
        </w:div>
        <w:div w:id="1390953025">
          <w:marLeft w:val="480"/>
          <w:marRight w:val="0"/>
          <w:marTop w:val="0"/>
          <w:marBottom w:val="0"/>
          <w:divBdr>
            <w:top w:val="none" w:sz="0" w:space="0" w:color="auto"/>
            <w:left w:val="none" w:sz="0" w:space="0" w:color="auto"/>
            <w:bottom w:val="none" w:sz="0" w:space="0" w:color="auto"/>
            <w:right w:val="none" w:sz="0" w:space="0" w:color="auto"/>
          </w:divBdr>
        </w:div>
        <w:div w:id="237635611">
          <w:marLeft w:val="480"/>
          <w:marRight w:val="0"/>
          <w:marTop w:val="0"/>
          <w:marBottom w:val="0"/>
          <w:divBdr>
            <w:top w:val="none" w:sz="0" w:space="0" w:color="auto"/>
            <w:left w:val="none" w:sz="0" w:space="0" w:color="auto"/>
            <w:bottom w:val="none" w:sz="0" w:space="0" w:color="auto"/>
            <w:right w:val="none" w:sz="0" w:space="0" w:color="auto"/>
          </w:divBdr>
        </w:div>
        <w:div w:id="323431614">
          <w:marLeft w:val="480"/>
          <w:marRight w:val="0"/>
          <w:marTop w:val="0"/>
          <w:marBottom w:val="0"/>
          <w:divBdr>
            <w:top w:val="none" w:sz="0" w:space="0" w:color="auto"/>
            <w:left w:val="none" w:sz="0" w:space="0" w:color="auto"/>
            <w:bottom w:val="none" w:sz="0" w:space="0" w:color="auto"/>
            <w:right w:val="none" w:sz="0" w:space="0" w:color="auto"/>
          </w:divBdr>
        </w:div>
        <w:div w:id="750389391">
          <w:marLeft w:val="480"/>
          <w:marRight w:val="0"/>
          <w:marTop w:val="0"/>
          <w:marBottom w:val="0"/>
          <w:divBdr>
            <w:top w:val="none" w:sz="0" w:space="0" w:color="auto"/>
            <w:left w:val="none" w:sz="0" w:space="0" w:color="auto"/>
            <w:bottom w:val="none" w:sz="0" w:space="0" w:color="auto"/>
            <w:right w:val="none" w:sz="0" w:space="0" w:color="auto"/>
          </w:divBdr>
        </w:div>
        <w:div w:id="430249806">
          <w:marLeft w:val="480"/>
          <w:marRight w:val="0"/>
          <w:marTop w:val="0"/>
          <w:marBottom w:val="0"/>
          <w:divBdr>
            <w:top w:val="none" w:sz="0" w:space="0" w:color="auto"/>
            <w:left w:val="none" w:sz="0" w:space="0" w:color="auto"/>
            <w:bottom w:val="none" w:sz="0" w:space="0" w:color="auto"/>
            <w:right w:val="none" w:sz="0" w:space="0" w:color="auto"/>
          </w:divBdr>
        </w:div>
        <w:div w:id="1251962528">
          <w:marLeft w:val="480"/>
          <w:marRight w:val="0"/>
          <w:marTop w:val="0"/>
          <w:marBottom w:val="0"/>
          <w:divBdr>
            <w:top w:val="none" w:sz="0" w:space="0" w:color="auto"/>
            <w:left w:val="none" w:sz="0" w:space="0" w:color="auto"/>
            <w:bottom w:val="none" w:sz="0" w:space="0" w:color="auto"/>
            <w:right w:val="none" w:sz="0" w:space="0" w:color="auto"/>
          </w:divBdr>
        </w:div>
        <w:div w:id="331295714">
          <w:marLeft w:val="480"/>
          <w:marRight w:val="0"/>
          <w:marTop w:val="0"/>
          <w:marBottom w:val="0"/>
          <w:divBdr>
            <w:top w:val="none" w:sz="0" w:space="0" w:color="auto"/>
            <w:left w:val="none" w:sz="0" w:space="0" w:color="auto"/>
            <w:bottom w:val="none" w:sz="0" w:space="0" w:color="auto"/>
            <w:right w:val="none" w:sz="0" w:space="0" w:color="auto"/>
          </w:divBdr>
        </w:div>
        <w:div w:id="173811289">
          <w:marLeft w:val="480"/>
          <w:marRight w:val="0"/>
          <w:marTop w:val="0"/>
          <w:marBottom w:val="0"/>
          <w:divBdr>
            <w:top w:val="none" w:sz="0" w:space="0" w:color="auto"/>
            <w:left w:val="none" w:sz="0" w:space="0" w:color="auto"/>
            <w:bottom w:val="none" w:sz="0" w:space="0" w:color="auto"/>
            <w:right w:val="none" w:sz="0" w:space="0" w:color="auto"/>
          </w:divBdr>
        </w:div>
        <w:div w:id="895048854">
          <w:marLeft w:val="480"/>
          <w:marRight w:val="0"/>
          <w:marTop w:val="0"/>
          <w:marBottom w:val="0"/>
          <w:divBdr>
            <w:top w:val="none" w:sz="0" w:space="0" w:color="auto"/>
            <w:left w:val="none" w:sz="0" w:space="0" w:color="auto"/>
            <w:bottom w:val="none" w:sz="0" w:space="0" w:color="auto"/>
            <w:right w:val="none" w:sz="0" w:space="0" w:color="auto"/>
          </w:divBdr>
        </w:div>
        <w:div w:id="1876497731">
          <w:marLeft w:val="480"/>
          <w:marRight w:val="0"/>
          <w:marTop w:val="0"/>
          <w:marBottom w:val="0"/>
          <w:divBdr>
            <w:top w:val="none" w:sz="0" w:space="0" w:color="auto"/>
            <w:left w:val="none" w:sz="0" w:space="0" w:color="auto"/>
            <w:bottom w:val="none" w:sz="0" w:space="0" w:color="auto"/>
            <w:right w:val="none" w:sz="0" w:space="0" w:color="auto"/>
          </w:divBdr>
        </w:div>
        <w:div w:id="1936554411">
          <w:marLeft w:val="480"/>
          <w:marRight w:val="0"/>
          <w:marTop w:val="0"/>
          <w:marBottom w:val="0"/>
          <w:divBdr>
            <w:top w:val="none" w:sz="0" w:space="0" w:color="auto"/>
            <w:left w:val="none" w:sz="0" w:space="0" w:color="auto"/>
            <w:bottom w:val="none" w:sz="0" w:space="0" w:color="auto"/>
            <w:right w:val="none" w:sz="0" w:space="0" w:color="auto"/>
          </w:divBdr>
        </w:div>
        <w:div w:id="972171542">
          <w:marLeft w:val="480"/>
          <w:marRight w:val="0"/>
          <w:marTop w:val="0"/>
          <w:marBottom w:val="0"/>
          <w:divBdr>
            <w:top w:val="none" w:sz="0" w:space="0" w:color="auto"/>
            <w:left w:val="none" w:sz="0" w:space="0" w:color="auto"/>
            <w:bottom w:val="none" w:sz="0" w:space="0" w:color="auto"/>
            <w:right w:val="none" w:sz="0" w:space="0" w:color="auto"/>
          </w:divBdr>
        </w:div>
        <w:div w:id="1109474369">
          <w:marLeft w:val="480"/>
          <w:marRight w:val="0"/>
          <w:marTop w:val="0"/>
          <w:marBottom w:val="0"/>
          <w:divBdr>
            <w:top w:val="none" w:sz="0" w:space="0" w:color="auto"/>
            <w:left w:val="none" w:sz="0" w:space="0" w:color="auto"/>
            <w:bottom w:val="none" w:sz="0" w:space="0" w:color="auto"/>
            <w:right w:val="none" w:sz="0" w:space="0" w:color="auto"/>
          </w:divBdr>
        </w:div>
        <w:div w:id="1345087043">
          <w:marLeft w:val="480"/>
          <w:marRight w:val="0"/>
          <w:marTop w:val="0"/>
          <w:marBottom w:val="0"/>
          <w:divBdr>
            <w:top w:val="none" w:sz="0" w:space="0" w:color="auto"/>
            <w:left w:val="none" w:sz="0" w:space="0" w:color="auto"/>
            <w:bottom w:val="none" w:sz="0" w:space="0" w:color="auto"/>
            <w:right w:val="none" w:sz="0" w:space="0" w:color="auto"/>
          </w:divBdr>
        </w:div>
        <w:div w:id="558831176">
          <w:marLeft w:val="480"/>
          <w:marRight w:val="0"/>
          <w:marTop w:val="0"/>
          <w:marBottom w:val="0"/>
          <w:divBdr>
            <w:top w:val="none" w:sz="0" w:space="0" w:color="auto"/>
            <w:left w:val="none" w:sz="0" w:space="0" w:color="auto"/>
            <w:bottom w:val="none" w:sz="0" w:space="0" w:color="auto"/>
            <w:right w:val="none" w:sz="0" w:space="0" w:color="auto"/>
          </w:divBdr>
        </w:div>
        <w:div w:id="379405650">
          <w:marLeft w:val="480"/>
          <w:marRight w:val="0"/>
          <w:marTop w:val="0"/>
          <w:marBottom w:val="0"/>
          <w:divBdr>
            <w:top w:val="none" w:sz="0" w:space="0" w:color="auto"/>
            <w:left w:val="none" w:sz="0" w:space="0" w:color="auto"/>
            <w:bottom w:val="none" w:sz="0" w:space="0" w:color="auto"/>
            <w:right w:val="none" w:sz="0" w:space="0" w:color="auto"/>
          </w:divBdr>
        </w:div>
        <w:div w:id="210115314">
          <w:marLeft w:val="480"/>
          <w:marRight w:val="0"/>
          <w:marTop w:val="0"/>
          <w:marBottom w:val="0"/>
          <w:divBdr>
            <w:top w:val="none" w:sz="0" w:space="0" w:color="auto"/>
            <w:left w:val="none" w:sz="0" w:space="0" w:color="auto"/>
            <w:bottom w:val="none" w:sz="0" w:space="0" w:color="auto"/>
            <w:right w:val="none" w:sz="0" w:space="0" w:color="auto"/>
          </w:divBdr>
        </w:div>
        <w:div w:id="7024073">
          <w:marLeft w:val="480"/>
          <w:marRight w:val="0"/>
          <w:marTop w:val="0"/>
          <w:marBottom w:val="0"/>
          <w:divBdr>
            <w:top w:val="none" w:sz="0" w:space="0" w:color="auto"/>
            <w:left w:val="none" w:sz="0" w:space="0" w:color="auto"/>
            <w:bottom w:val="none" w:sz="0" w:space="0" w:color="auto"/>
            <w:right w:val="none" w:sz="0" w:space="0" w:color="auto"/>
          </w:divBdr>
        </w:div>
        <w:div w:id="450710405">
          <w:marLeft w:val="480"/>
          <w:marRight w:val="0"/>
          <w:marTop w:val="0"/>
          <w:marBottom w:val="0"/>
          <w:divBdr>
            <w:top w:val="none" w:sz="0" w:space="0" w:color="auto"/>
            <w:left w:val="none" w:sz="0" w:space="0" w:color="auto"/>
            <w:bottom w:val="none" w:sz="0" w:space="0" w:color="auto"/>
            <w:right w:val="none" w:sz="0" w:space="0" w:color="auto"/>
          </w:divBdr>
        </w:div>
        <w:div w:id="640693521">
          <w:marLeft w:val="480"/>
          <w:marRight w:val="0"/>
          <w:marTop w:val="0"/>
          <w:marBottom w:val="0"/>
          <w:divBdr>
            <w:top w:val="none" w:sz="0" w:space="0" w:color="auto"/>
            <w:left w:val="none" w:sz="0" w:space="0" w:color="auto"/>
            <w:bottom w:val="none" w:sz="0" w:space="0" w:color="auto"/>
            <w:right w:val="none" w:sz="0" w:space="0" w:color="auto"/>
          </w:divBdr>
        </w:div>
        <w:div w:id="1839033049">
          <w:marLeft w:val="480"/>
          <w:marRight w:val="0"/>
          <w:marTop w:val="0"/>
          <w:marBottom w:val="0"/>
          <w:divBdr>
            <w:top w:val="none" w:sz="0" w:space="0" w:color="auto"/>
            <w:left w:val="none" w:sz="0" w:space="0" w:color="auto"/>
            <w:bottom w:val="none" w:sz="0" w:space="0" w:color="auto"/>
            <w:right w:val="none" w:sz="0" w:space="0" w:color="auto"/>
          </w:divBdr>
        </w:div>
        <w:div w:id="2072340340">
          <w:marLeft w:val="480"/>
          <w:marRight w:val="0"/>
          <w:marTop w:val="0"/>
          <w:marBottom w:val="0"/>
          <w:divBdr>
            <w:top w:val="none" w:sz="0" w:space="0" w:color="auto"/>
            <w:left w:val="none" w:sz="0" w:space="0" w:color="auto"/>
            <w:bottom w:val="none" w:sz="0" w:space="0" w:color="auto"/>
            <w:right w:val="none" w:sz="0" w:space="0" w:color="auto"/>
          </w:divBdr>
        </w:div>
        <w:div w:id="1070424264">
          <w:marLeft w:val="480"/>
          <w:marRight w:val="0"/>
          <w:marTop w:val="0"/>
          <w:marBottom w:val="0"/>
          <w:divBdr>
            <w:top w:val="none" w:sz="0" w:space="0" w:color="auto"/>
            <w:left w:val="none" w:sz="0" w:space="0" w:color="auto"/>
            <w:bottom w:val="none" w:sz="0" w:space="0" w:color="auto"/>
            <w:right w:val="none" w:sz="0" w:space="0" w:color="auto"/>
          </w:divBdr>
        </w:div>
        <w:div w:id="1646472427">
          <w:marLeft w:val="480"/>
          <w:marRight w:val="0"/>
          <w:marTop w:val="0"/>
          <w:marBottom w:val="0"/>
          <w:divBdr>
            <w:top w:val="none" w:sz="0" w:space="0" w:color="auto"/>
            <w:left w:val="none" w:sz="0" w:space="0" w:color="auto"/>
            <w:bottom w:val="none" w:sz="0" w:space="0" w:color="auto"/>
            <w:right w:val="none" w:sz="0" w:space="0" w:color="auto"/>
          </w:divBdr>
        </w:div>
        <w:div w:id="2137335595">
          <w:marLeft w:val="480"/>
          <w:marRight w:val="0"/>
          <w:marTop w:val="0"/>
          <w:marBottom w:val="0"/>
          <w:divBdr>
            <w:top w:val="none" w:sz="0" w:space="0" w:color="auto"/>
            <w:left w:val="none" w:sz="0" w:space="0" w:color="auto"/>
            <w:bottom w:val="none" w:sz="0" w:space="0" w:color="auto"/>
            <w:right w:val="none" w:sz="0" w:space="0" w:color="auto"/>
          </w:divBdr>
        </w:div>
        <w:div w:id="16778013">
          <w:marLeft w:val="480"/>
          <w:marRight w:val="0"/>
          <w:marTop w:val="0"/>
          <w:marBottom w:val="0"/>
          <w:divBdr>
            <w:top w:val="none" w:sz="0" w:space="0" w:color="auto"/>
            <w:left w:val="none" w:sz="0" w:space="0" w:color="auto"/>
            <w:bottom w:val="none" w:sz="0" w:space="0" w:color="auto"/>
            <w:right w:val="none" w:sz="0" w:space="0" w:color="auto"/>
          </w:divBdr>
        </w:div>
        <w:div w:id="1329141465">
          <w:marLeft w:val="480"/>
          <w:marRight w:val="0"/>
          <w:marTop w:val="0"/>
          <w:marBottom w:val="0"/>
          <w:divBdr>
            <w:top w:val="none" w:sz="0" w:space="0" w:color="auto"/>
            <w:left w:val="none" w:sz="0" w:space="0" w:color="auto"/>
            <w:bottom w:val="none" w:sz="0" w:space="0" w:color="auto"/>
            <w:right w:val="none" w:sz="0" w:space="0" w:color="auto"/>
          </w:divBdr>
        </w:div>
        <w:div w:id="1813016812">
          <w:marLeft w:val="480"/>
          <w:marRight w:val="0"/>
          <w:marTop w:val="0"/>
          <w:marBottom w:val="0"/>
          <w:divBdr>
            <w:top w:val="none" w:sz="0" w:space="0" w:color="auto"/>
            <w:left w:val="none" w:sz="0" w:space="0" w:color="auto"/>
            <w:bottom w:val="none" w:sz="0" w:space="0" w:color="auto"/>
            <w:right w:val="none" w:sz="0" w:space="0" w:color="auto"/>
          </w:divBdr>
        </w:div>
        <w:div w:id="785998833">
          <w:marLeft w:val="480"/>
          <w:marRight w:val="0"/>
          <w:marTop w:val="0"/>
          <w:marBottom w:val="0"/>
          <w:divBdr>
            <w:top w:val="none" w:sz="0" w:space="0" w:color="auto"/>
            <w:left w:val="none" w:sz="0" w:space="0" w:color="auto"/>
            <w:bottom w:val="none" w:sz="0" w:space="0" w:color="auto"/>
            <w:right w:val="none" w:sz="0" w:space="0" w:color="auto"/>
          </w:divBdr>
        </w:div>
        <w:div w:id="1576235631">
          <w:marLeft w:val="480"/>
          <w:marRight w:val="0"/>
          <w:marTop w:val="0"/>
          <w:marBottom w:val="0"/>
          <w:divBdr>
            <w:top w:val="none" w:sz="0" w:space="0" w:color="auto"/>
            <w:left w:val="none" w:sz="0" w:space="0" w:color="auto"/>
            <w:bottom w:val="none" w:sz="0" w:space="0" w:color="auto"/>
            <w:right w:val="none" w:sz="0" w:space="0" w:color="auto"/>
          </w:divBdr>
        </w:div>
        <w:div w:id="1905139067">
          <w:marLeft w:val="480"/>
          <w:marRight w:val="0"/>
          <w:marTop w:val="0"/>
          <w:marBottom w:val="0"/>
          <w:divBdr>
            <w:top w:val="none" w:sz="0" w:space="0" w:color="auto"/>
            <w:left w:val="none" w:sz="0" w:space="0" w:color="auto"/>
            <w:bottom w:val="none" w:sz="0" w:space="0" w:color="auto"/>
            <w:right w:val="none" w:sz="0" w:space="0" w:color="auto"/>
          </w:divBdr>
        </w:div>
        <w:div w:id="1533179555">
          <w:marLeft w:val="480"/>
          <w:marRight w:val="0"/>
          <w:marTop w:val="0"/>
          <w:marBottom w:val="0"/>
          <w:divBdr>
            <w:top w:val="none" w:sz="0" w:space="0" w:color="auto"/>
            <w:left w:val="none" w:sz="0" w:space="0" w:color="auto"/>
            <w:bottom w:val="none" w:sz="0" w:space="0" w:color="auto"/>
            <w:right w:val="none" w:sz="0" w:space="0" w:color="auto"/>
          </w:divBdr>
        </w:div>
        <w:div w:id="2004582353">
          <w:marLeft w:val="480"/>
          <w:marRight w:val="0"/>
          <w:marTop w:val="0"/>
          <w:marBottom w:val="0"/>
          <w:divBdr>
            <w:top w:val="none" w:sz="0" w:space="0" w:color="auto"/>
            <w:left w:val="none" w:sz="0" w:space="0" w:color="auto"/>
            <w:bottom w:val="none" w:sz="0" w:space="0" w:color="auto"/>
            <w:right w:val="none" w:sz="0" w:space="0" w:color="auto"/>
          </w:divBdr>
        </w:div>
        <w:div w:id="1092773227">
          <w:marLeft w:val="480"/>
          <w:marRight w:val="0"/>
          <w:marTop w:val="0"/>
          <w:marBottom w:val="0"/>
          <w:divBdr>
            <w:top w:val="none" w:sz="0" w:space="0" w:color="auto"/>
            <w:left w:val="none" w:sz="0" w:space="0" w:color="auto"/>
            <w:bottom w:val="none" w:sz="0" w:space="0" w:color="auto"/>
            <w:right w:val="none" w:sz="0" w:space="0" w:color="auto"/>
          </w:divBdr>
        </w:div>
        <w:div w:id="1412238725">
          <w:marLeft w:val="480"/>
          <w:marRight w:val="0"/>
          <w:marTop w:val="0"/>
          <w:marBottom w:val="0"/>
          <w:divBdr>
            <w:top w:val="none" w:sz="0" w:space="0" w:color="auto"/>
            <w:left w:val="none" w:sz="0" w:space="0" w:color="auto"/>
            <w:bottom w:val="none" w:sz="0" w:space="0" w:color="auto"/>
            <w:right w:val="none" w:sz="0" w:space="0" w:color="auto"/>
          </w:divBdr>
        </w:div>
        <w:div w:id="732973272">
          <w:marLeft w:val="480"/>
          <w:marRight w:val="0"/>
          <w:marTop w:val="0"/>
          <w:marBottom w:val="0"/>
          <w:divBdr>
            <w:top w:val="none" w:sz="0" w:space="0" w:color="auto"/>
            <w:left w:val="none" w:sz="0" w:space="0" w:color="auto"/>
            <w:bottom w:val="none" w:sz="0" w:space="0" w:color="auto"/>
            <w:right w:val="none" w:sz="0" w:space="0" w:color="auto"/>
          </w:divBdr>
        </w:div>
        <w:div w:id="848837022">
          <w:marLeft w:val="480"/>
          <w:marRight w:val="0"/>
          <w:marTop w:val="0"/>
          <w:marBottom w:val="0"/>
          <w:divBdr>
            <w:top w:val="none" w:sz="0" w:space="0" w:color="auto"/>
            <w:left w:val="none" w:sz="0" w:space="0" w:color="auto"/>
            <w:bottom w:val="none" w:sz="0" w:space="0" w:color="auto"/>
            <w:right w:val="none" w:sz="0" w:space="0" w:color="auto"/>
          </w:divBdr>
        </w:div>
        <w:div w:id="1132744299">
          <w:marLeft w:val="480"/>
          <w:marRight w:val="0"/>
          <w:marTop w:val="0"/>
          <w:marBottom w:val="0"/>
          <w:divBdr>
            <w:top w:val="none" w:sz="0" w:space="0" w:color="auto"/>
            <w:left w:val="none" w:sz="0" w:space="0" w:color="auto"/>
            <w:bottom w:val="none" w:sz="0" w:space="0" w:color="auto"/>
            <w:right w:val="none" w:sz="0" w:space="0" w:color="auto"/>
          </w:divBdr>
        </w:div>
        <w:div w:id="381560906">
          <w:marLeft w:val="480"/>
          <w:marRight w:val="0"/>
          <w:marTop w:val="0"/>
          <w:marBottom w:val="0"/>
          <w:divBdr>
            <w:top w:val="none" w:sz="0" w:space="0" w:color="auto"/>
            <w:left w:val="none" w:sz="0" w:space="0" w:color="auto"/>
            <w:bottom w:val="none" w:sz="0" w:space="0" w:color="auto"/>
            <w:right w:val="none" w:sz="0" w:space="0" w:color="auto"/>
          </w:divBdr>
        </w:div>
        <w:div w:id="581179342">
          <w:marLeft w:val="480"/>
          <w:marRight w:val="0"/>
          <w:marTop w:val="0"/>
          <w:marBottom w:val="0"/>
          <w:divBdr>
            <w:top w:val="none" w:sz="0" w:space="0" w:color="auto"/>
            <w:left w:val="none" w:sz="0" w:space="0" w:color="auto"/>
            <w:bottom w:val="none" w:sz="0" w:space="0" w:color="auto"/>
            <w:right w:val="none" w:sz="0" w:space="0" w:color="auto"/>
          </w:divBdr>
        </w:div>
        <w:div w:id="1880581966">
          <w:marLeft w:val="480"/>
          <w:marRight w:val="0"/>
          <w:marTop w:val="0"/>
          <w:marBottom w:val="0"/>
          <w:divBdr>
            <w:top w:val="none" w:sz="0" w:space="0" w:color="auto"/>
            <w:left w:val="none" w:sz="0" w:space="0" w:color="auto"/>
            <w:bottom w:val="none" w:sz="0" w:space="0" w:color="auto"/>
            <w:right w:val="none" w:sz="0" w:space="0" w:color="auto"/>
          </w:divBdr>
        </w:div>
        <w:div w:id="553738602">
          <w:marLeft w:val="480"/>
          <w:marRight w:val="0"/>
          <w:marTop w:val="0"/>
          <w:marBottom w:val="0"/>
          <w:divBdr>
            <w:top w:val="none" w:sz="0" w:space="0" w:color="auto"/>
            <w:left w:val="none" w:sz="0" w:space="0" w:color="auto"/>
            <w:bottom w:val="none" w:sz="0" w:space="0" w:color="auto"/>
            <w:right w:val="none" w:sz="0" w:space="0" w:color="auto"/>
          </w:divBdr>
        </w:div>
        <w:div w:id="45570371">
          <w:marLeft w:val="480"/>
          <w:marRight w:val="0"/>
          <w:marTop w:val="0"/>
          <w:marBottom w:val="0"/>
          <w:divBdr>
            <w:top w:val="none" w:sz="0" w:space="0" w:color="auto"/>
            <w:left w:val="none" w:sz="0" w:space="0" w:color="auto"/>
            <w:bottom w:val="none" w:sz="0" w:space="0" w:color="auto"/>
            <w:right w:val="none" w:sz="0" w:space="0" w:color="auto"/>
          </w:divBdr>
        </w:div>
        <w:div w:id="1481191102">
          <w:marLeft w:val="480"/>
          <w:marRight w:val="0"/>
          <w:marTop w:val="0"/>
          <w:marBottom w:val="0"/>
          <w:divBdr>
            <w:top w:val="none" w:sz="0" w:space="0" w:color="auto"/>
            <w:left w:val="none" w:sz="0" w:space="0" w:color="auto"/>
            <w:bottom w:val="none" w:sz="0" w:space="0" w:color="auto"/>
            <w:right w:val="none" w:sz="0" w:space="0" w:color="auto"/>
          </w:divBdr>
        </w:div>
        <w:div w:id="1859194470">
          <w:marLeft w:val="480"/>
          <w:marRight w:val="0"/>
          <w:marTop w:val="0"/>
          <w:marBottom w:val="0"/>
          <w:divBdr>
            <w:top w:val="none" w:sz="0" w:space="0" w:color="auto"/>
            <w:left w:val="none" w:sz="0" w:space="0" w:color="auto"/>
            <w:bottom w:val="none" w:sz="0" w:space="0" w:color="auto"/>
            <w:right w:val="none" w:sz="0" w:space="0" w:color="auto"/>
          </w:divBdr>
        </w:div>
        <w:div w:id="1004895187">
          <w:marLeft w:val="480"/>
          <w:marRight w:val="0"/>
          <w:marTop w:val="0"/>
          <w:marBottom w:val="0"/>
          <w:divBdr>
            <w:top w:val="none" w:sz="0" w:space="0" w:color="auto"/>
            <w:left w:val="none" w:sz="0" w:space="0" w:color="auto"/>
            <w:bottom w:val="none" w:sz="0" w:space="0" w:color="auto"/>
            <w:right w:val="none" w:sz="0" w:space="0" w:color="auto"/>
          </w:divBdr>
        </w:div>
        <w:div w:id="827482215">
          <w:marLeft w:val="480"/>
          <w:marRight w:val="0"/>
          <w:marTop w:val="0"/>
          <w:marBottom w:val="0"/>
          <w:divBdr>
            <w:top w:val="none" w:sz="0" w:space="0" w:color="auto"/>
            <w:left w:val="none" w:sz="0" w:space="0" w:color="auto"/>
            <w:bottom w:val="none" w:sz="0" w:space="0" w:color="auto"/>
            <w:right w:val="none" w:sz="0" w:space="0" w:color="auto"/>
          </w:divBdr>
        </w:div>
        <w:div w:id="415783398">
          <w:marLeft w:val="480"/>
          <w:marRight w:val="0"/>
          <w:marTop w:val="0"/>
          <w:marBottom w:val="0"/>
          <w:divBdr>
            <w:top w:val="none" w:sz="0" w:space="0" w:color="auto"/>
            <w:left w:val="none" w:sz="0" w:space="0" w:color="auto"/>
            <w:bottom w:val="none" w:sz="0" w:space="0" w:color="auto"/>
            <w:right w:val="none" w:sz="0" w:space="0" w:color="auto"/>
          </w:divBdr>
        </w:div>
        <w:div w:id="89935149">
          <w:marLeft w:val="480"/>
          <w:marRight w:val="0"/>
          <w:marTop w:val="0"/>
          <w:marBottom w:val="0"/>
          <w:divBdr>
            <w:top w:val="none" w:sz="0" w:space="0" w:color="auto"/>
            <w:left w:val="none" w:sz="0" w:space="0" w:color="auto"/>
            <w:bottom w:val="none" w:sz="0" w:space="0" w:color="auto"/>
            <w:right w:val="none" w:sz="0" w:space="0" w:color="auto"/>
          </w:divBdr>
        </w:div>
        <w:div w:id="1279875981">
          <w:marLeft w:val="480"/>
          <w:marRight w:val="0"/>
          <w:marTop w:val="0"/>
          <w:marBottom w:val="0"/>
          <w:divBdr>
            <w:top w:val="none" w:sz="0" w:space="0" w:color="auto"/>
            <w:left w:val="none" w:sz="0" w:space="0" w:color="auto"/>
            <w:bottom w:val="none" w:sz="0" w:space="0" w:color="auto"/>
            <w:right w:val="none" w:sz="0" w:space="0" w:color="auto"/>
          </w:divBdr>
        </w:div>
        <w:div w:id="1530558763">
          <w:marLeft w:val="480"/>
          <w:marRight w:val="0"/>
          <w:marTop w:val="0"/>
          <w:marBottom w:val="0"/>
          <w:divBdr>
            <w:top w:val="none" w:sz="0" w:space="0" w:color="auto"/>
            <w:left w:val="none" w:sz="0" w:space="0" w:color="auto"/>
            <w:bottom w:val="none" w:sz="0" w:space="0" w:color="auto"/>
            <w:right w:val="none" w:sz="0" w:space="0" w:color="auto"/>
          </w:divBdr>
        </w:div>
        <w:div w:id="1869173289">
          <w:marLeft w:val="480"/>
          <w:marRight w:val="0"/>
          <w:marTop w:val="0"/>
          <w:marBottom w:val="0"/>
          <w:divBdr>
            <w:top w:val="none" w:sz="0" w:space="0" w:color="auto"/>
            <w:left w:val="none" w:sz="0" w:space="0" w:color="auto"/>
            <w:bottom w:val="none" w:sz="0" w:space="0" w:color="auto"/>
            <w:right w:val="none" w:sz="0" w:space="0" w:color="auto"/>
          </w:divBdr>
        </w:div>
        <w:div w:id="1417945566">
          <w:marLeft w:val="480"/>
          <w:marRight w:val="0"/>
          <w:marTop w:val="0"/>
          <w:marBottom w:val="0"/>
          <w:divBdr>
            <w:top w:val="none" w:sz="0" w:space="0" w:color="auto"/>
            <w:left w:val="none" w:sz="0" w:space="0" w:color="auto"/>
            <w:bottom w:val="none" w:sz="0" w:space="0" w:color="auto"/>
            <w:right w:val="none" w:sz="0" w:space="0" w:color="auto"/>
          </w:divBdr>
        </w:div>
        <w:div w:id="270283336">
          <w:marLeft w:val="480"/>
          <w:marRight w:val="0"/>
          <w:marTop w:val="0"/>
          <w:marBottom w:val="0"/>
          <w:divBdr>
            <w:top w:val="none" w:sz="0" w:space="0" w:color="auto"/>
            <w:left w:val="none" w:sz="0" w:space="0" w:color="auto"/>
            <w:bottom w:val="none" w:sz="0" w:space="0" w:color="auto"/>
            <w:right w:val="none" w:sz="0" w:space="0" w:color="auto"/>
          </w:divBdr>
        </w:div>
        <w:div w:id="104816423">
          <w:marLeft w:val="480"/>
          <w:marRight w:val="0"/>
          <w:marTop w:val="0"/>
          <w:marBottom w:val="0"/>
          <w:divBdr>
            <w:top w:val="none" w:sz="0" w:space="0" w:color="auto"/>
            <w:left w:val="none" w:sz="0" w:space="0" w:color="auto"/>
            <w:bottom w:val="none" w:sz="0" w:space="0" w:color="auto"/>
            <w:right w:val="none" w:sz="0" w:space="0" w:color="auto"/>
          </w:divBdr>
        </w:div>
        <w:div w:id="2118796030">
          <w:marLeft w:val="480"/>
          <w:marRight w:val="0"/>
          <w:marTop w:val="0"/>
          <w:marBottom w:val="0"/>
          <w:divBdr>
            <w:top w:val="none" w:sz="0" w:space="0" w:color="auto"/>
            <w:left w:val="none" w:sz="0" w:space="0" w:color="auto"/>
            <w:bottom w:val="none" w:sz="0" w:space="0" w:color="auto"/>
            <w:right w:val="none" w:sz="0" w:space="0" w:color="auto"/>
          </w:divBdr>
        </w:div>
        <w:div w:id="1306817235">
          <w:marLeft w:val="480"/>
          <w:marRight w:val="0"/>
          <w:marTop w:val="0"/>
          <w:marBottom w:val="0"/>
          <w:divBdr>
            <w:top w:val="none" w:sz="0" w:space="0" w:color="auto"/>
            <w:left w:val="none" w:sz="0" w:space="0" w:color="auto"/>
            <w:bottom w:val="none" w:sz="0" w:space="0" w:color="auto"/>
            <w:right w:val="none" w:sz="0" w:space="0" w:color="auto"/>
          </w:divBdr>
        </w:div>
        <w:div w:id="1289433578">
          <w:marLeft w:val="480"/>
          <w:marRight w:val="0"/>
          <w:marTop w:val="0"/>
          <w:marBottom w:val="0"/>
          <w:divBdr>
            <w:top w:val="none" w:sz="0" w:space="0" w:color="auto"/>
            <w:left w:val="none" w:sz="0" w:space="0" w:color="auto"/>
            <w:bottom w:val="none" w:sz="0" w:space="0" w:color="auto"/>
            <w:right w:val="none" w:sz="0" w:space="0" w:color="auto"/>
          </w:divBdr>
        </w:div>
        <w:div w:id="1942182920">
          <w:marLeft w:val="480"/>
          <w:marRight w:val="0"/>
          <w:marTop w:val="0"/>
          <w:marBottom w:val="0"/>
          <w:divBdr>
            <w:top w:val="none" w:sz="0" w:space="0" w:color="auto"/>
            <w:left w:val="none" w:sz="0" w:space="0" w:color="auto"/>
            <w:bottom w:val="none" w:sz="0" w:space="0" w:color="auto"/>
            <w:right w:val="none" w:sz="0" w:space="0" w:color="auto"/>
          </w:divBdr>
        </w:div>
        <w:div w:id="356470815">
          <w:marLeft w:val="480"/>
          <w:marRight w:val="0"/>
          <w:marTop w:val="0"/>
          <w:marBottom w:val="0"/>
          <w:divBdr>
            <w:top w:val="none" w:sz="0" w:space="0" w:color="auto"/>
            <w:left w:val="none" w:sz="0" w:space="0" w:color="auto"/>
            <w:bottom w:val="none" w:sz="0" w:space="0" w:color="auto"/>
            <w:right w:val="none" w:sz="0" w:space="0" w:color="auto"/>
          </w:divBdr>
        </w:div>
        <w:div w:id="1528324846">
          <w:marLeft w:val="480"/>
          <w:marRight w:val="0"/>
          <w:marTop w:val="0"/>
          <w:marBottom w:val="0"/>
          <w:divBdr>
            <w:top w:val="none" w:sz="0" w:space="0" w:color="auto"/>
            <w:left w:val="none" w:sz="0" w:space="0" w:color="auto"/>
            <w:bottom w:val="none" w:sz="0" w:space="0" w:color="auto"/>
            <w:right w:val="none" w:sz="0" w:space="0" w:color="auto"/>
          </w:divBdr>
        </w:div>
        <w:div w:id="2084721651">
          <w:marLeft w:val="480"/>
          <w:marRight w:val="0"/>
          <w:marTop w:val="0"/>
          <w:marBottom w:val="0"/>
          <w:divBdr>
            <w:top w:val="none" w:sz="0" w:space="0" w:color="auto"/>
            <w:left w:val="none" w:sz="0" w:space="0" w:color="auto"/>
            <w:bottom w:val="none" w:sz="0" w:space="0" w:color="auto"/>
            <w:right w:val="none" w:sz="0" w:space="0" w:color="auto"/>
          </w:divBdr>
        </w:div>
        <w:div w:id="1576086120">
          <w:marLeft w:val="480"/>
          <w:marRight w:val="0"/>
          <w:marTop w:val="0"/>
          <w:marBottom w:val="0"/>
          <w:divBdr>
            <w:top w:val="none" w:sz="0" w:space="0" w:color="auto"/>
            <w:left w:val="none" w:sz="0" w:space="0" w:color="auto"/>
            <w:bottom w:val="none" w:sz="0" w:space="0" w:color="auto"/>
            <w:right w:val="none" w:sz="0" w:space="0" w:color="auto"/>
          </w:divBdr>
        </w:div>
        <w:div w:id="1208563148">
          <w:marLeft w:val="480"/>
          <w:marRight w:val="0"/>
          <w:marTop w:val="0"/>
          <w:marBottom w:val="0"/>
          <w:divBdr>
            <w:top w:val="none" w:sz="0" w:space="0" w:color="auto"/>
            <w:left w:val="none" w:sz="0" w:space="0" w:color="auto"/>
            <w:bottom w:val="none" w:sz="0" w:space="0" w:color="auto"/>
            <w:right w:val="none" w:sz="0" w:space="0" w:color="auto"/>
          </w:divBdr>
        </w:div>
        <w:div w:id="958726983">
          <w:marLeft w:val="480"/>
          <w:marRight w:val="0"/>
          <w:marTop w:val="0"/>
          <w:marBottom w:val="0"/>
          <w:divBdr>
            <w:top w:val="none" w:sz="0" w:space="0" w:color="auto"/>
            <w:left w:val="none" w:sz="0" w:space="0" w:color="auto"/>
            <w:bottom w:val="none" w:sz="0" w:space="0" w:color="auto"/>
            <w:right w:val="none" w:sz="0" w:space="0" w:color="auto"/>
          </w:divBdr>
        </w:div>
        <w:div w:id="974795729">
          <w:marLeft w:val="480"/>
          <w:marRight w:val="0"/>
          <w:marTop w:val="0"/>
          <w:marBottom w:val="0"/>
          <w:divBdr>
            <w:top w:val="none" w:sz="0" w:space="0" w:color="auto"/>
            <w:left w:val="none" w:sz="0" w:space="0" w:color="auto"/>
            <w:bottom w:val="none" w:sz="0" w:space="0" w:color="auto"/>
            <w:right w:val="none" w:sz="0" w:space="0" w:color="auto"/>
          </w:divBdr>
        </w:div>
        <w:div w:id="347801761">
          <w:marLeft w:val="480"/>
          <w:marRight w:val="0"/>
          <w:marTop w:val="0"/>
          <w:marBottom w:val="0"/>
          <w:divBdr>
            <w:top w:val="none" w:sz="0" w:space="0" w:color="auto"/>
            <w:left w:val="none" w:sz="0" w:space="0" w:color="auto"/>
            <w:bottom w:val="none" w:sz="0" w:space="0" w:color="auto"/>
            <w:right w:val="none" w:sz="0" w:space="0" w:color="auto"/>
          </w:divBdr>
        </w:div>
        <w:div w:id="788207645">
          <w:marLeft w:val="480"/>
          <w:marRight w:val="0"/>
          <w:marTop w:val="0"/>
          <w:marBottom w:val="0"/>
          <w:divBdr>
            <w:top w:val="none" w:sz="0" w:space="0" w:color="auto"/>
            <w:left w:val="none" w:sz="0" w:space="0" w:color="auto"/>
            <w:bottom w:val="none" w:sz="0" w:space="0" w:color="auto"/>
            <w:right w:val="none" w:sz="0" w:space="0" w:color="auto"/>
          </w:divBdr>
        </w:div>
        <w:div w:id="394938999">
          <w:marLeft w:val="480"/>
          <w:marRight w:val="0"/>
          <w:marTop w:val="0"/>
          <w:marBottom w:val="0"/>
          <w:divBdr>
            <w:top w:val="none" w:sz="0" w:space="0" w:color="auto"/>
            <w:left w:val="none" w:sz="0" w:space="0" w:color="auto"/>
            <w:bottom w:val="none" w:sz="0" w:space="0" w:color="auto"/>
            <w:right w:val="none" w:sz="0" w:space="0" w:color="auto"/>
          </w:divBdr>
        </w:div>
        <w:div w:id="1377661002">
          <w:marLeft w:val="480"/>
          <w:marRight w:val="0"/>
          <w:marTop w:val="0"/>
          <w:marBottom w:val="0"/>
          <w:divBdr>
            <w:top w:val="none" w:sz="0" w:space="0" w:color="auto"/>
            <w:left w:val="none" w:sz="0" w:space="0" w:color="auto"/>
            <w:bottom w:val="none" w:sz="0" w:space="0" w:color="auto"/>
            <w:right w:val="none" w:sz="0" w:space="0" w:color="auto"/>
          </w:divBdr>
        </w:div>
        <w:div w:id="249780837">
          <w:marLeft w:val="480"/>
          <w:marRight w:val="0"/>
          <w:marTop w:val="0"/>
          <w:marBottom w:val="0"/>
          <w:divBdr>
            <w:top w:val="none" w:sz="0" w:space="0" w:color="auto"/>
            <w:left w:val="none" w:sz="0" w:space="0" w:color="auto"/>
            <w:bottom w:val="none" w:sz="0" w:space="0" w:color="auto"/>
            <w:right w:val="none" w:sz="0" w:space="0" w:color="auto"/>
          </w:divBdr>
        </w:div>
        <w:div w:id="1196382258">
          <w:marLeft w:val="480"/>
          <w:marRight w:val="0"/>
          <w:marTop w:val="0"/>
          <w:marBottom w:val="0"/>
          <w:divBdr>
            <w:top w:val="none" w:sz="0" w:space="0" w:color="auto"/>
            <w:left w:val="none" w:sz="0" w:space="0" w:color="auto"/>
            <w:bottom w:val="none" w:sz="0" w:space="0" w:color="auto"/>
            <w:right w:val="none" w:sz="0" w:space="0" w:color="auto"/>
          </w:divBdr>
        </w:div>
        <w:div w:id="1305311669">
          <w:marLeft w:val="480"/>
          <w:marRight w:val="0"/>
          <w:marTop w:val="0"/>
          <w:marBottom w:val="0"/>
          <w:divBdr>
            <w:top w:val="none" w:sz="0" w:space="0" w:color="auto"/>
            <w:left w:val="none" w:sz="0" w:space="0" w:color="auto"/>
            <w:bottom w:val="none" w:sz="0" w:space="0" w:color="auto"/>
            <w:right w:val="none" w:sz="0" w:space="0" w:color="auto"/>
          </w:divBdr>
        </w:div>
        <w:div w:id="185485562">
          <w:marLeft w:val="480"/>
          <w:marRight w:val="0"/>
          <w:marTop w:val="0"/>
          <w:marBottom w:val="0"/>
          <w:divBdr>
            <w:top w:val="none" w:sz="0" w:space="0" w:color="auto"/>
            <w:left w:val="none" w:sz="0" w:space="0" w:color="auto"/>
            <w:bottom w:val="none" w:sz="0" w:space="0" w:color="auto"/>
            <w:right w:val="none" w:sz="0" w:space="0" w:color="auto"/>
          </w:divBdr>
        </w:div>
        <w:div w:id="1670281834">
          <w:marLeft w:val="480"/>
          <w:marRight w:val="0"/>
          <w:marTop w:val="0"/>
          <w:marBottom w:val="0"/>
          <w:divBdr>
            <w:top w:val="none" w:sz="0" w:space="0" w:color="auto"/>
            <w:left w:val="none" w:sz="0" w:space="0" w:color="auto"/>
            <w:bottom w:val="none" w:sz="0" w:space="0" w:color="auto"/>
            <w:right w:val="none" w:sz="0" w:space="0" w:color="auto"/>
          </w:divBdr>
        </w:div>
        <w:div w:id="1065299328">
          <w:marLeft w:val="480"/>
          <w:marRight w:val="0"/>
          <w:marTop w:val="0"/>
          <w:marBottom w:val="0"/>
          <w:divBdr>
            <w:top w:val="none" w:sz="0" w:space="0" w:color="auto"/>
            <w:left w:val="none" w:sz="0" w:space="0" w:color="auto"/>
            <w:bottom w:val="none" w:sz="0" w:space="0" w:color="auto"/>
            <w:right w:val="none" w:sz="0" w:space="0" w:color="auto"/>
          </w:divBdr>
        </w:div>
        <w:div w:id="602425136">
          <w:marLeft w:val="480"/>
          <w:marRight w:val="0"/>
          <w:marTop w:val="0"/>
          <w:marBottom w:val="0"/>
          <w:divBdr>
            <w:top w:val="none" w:sz="0" w:space="0" w:color="auto"/>
            <w:left w:val="none" w:sz="0" w:space="0" w:color="auto"/>
            <w:bottom w:val="none" w:sz="0" w:space="0" w:color="auto"/>
            <w:right w:val="none" w:sz="0" w:space="0" w:color="auto"/>
          </w:divBdr>
        </w:div>
        <w:div w:id="671221906">
          <w:marLeft w:val="480"/>
          <w:marRight w:val="0"/>
          <w:marTop w:val="0"/>
          <w:marBottom w:val="0"/>
          <w:divBdr>
            <w:top w:val="none" w:sz="0" w:space="0" w:color="auto"/>
            <w:left w:val="none" w:sz="0" w:space="0" w:color="auto"/>
            <w:bottom w:val="none" w:sz="0" w:space="0" w:color="auto"/>
            <w:right w:val="none" w:sz="0" w:space="0" w:color="auto"/>
          </w:divBdr>
        </w:div>
        <w:div w:id="1166363481">
          <w:marLeft w:val="480"/>
          <w:marRight w:val="0"/>
          <w:marTop w:val="0"/>
          <w:marBottom w:val="0"/>
          <w:divBdr>
            <w:top w:val="none" w:sz="0" w:space="0" w:color="auto"/>
            <w:left w:val="none" w:sz="0" w:space="0" w:color="auto"/>
            <w:bottom w:val="none" w:sz="0" w:space="0" w:color="auto"/>
            <w:right w:val="none" w:sz="0" w:space="0" w:color="auto"/>
          </w:divBdr>
        </w:div>
        <w:div w:id="294723698">
          <w:marLeft w:val="480"/>
          <w:marRight w:val="0"/>
          <w:marTop w:val="0"/>
          <w:marBottom w:val="0"/>
          <w:divBdr>
            <w:top w:val="none" w:sz="0" w:space="0" w:color="auto"/>
            <w:left w:val="none" w:sz="0" w:space="0" w:color="auto"/>
            <w:bottom w:val="none" w:sz="0" w:space="0" w:color="auto"/>
            <w:right w:val="none" w:sz="0" w:space="0" w:color="auto"/>
          </w:divBdr>
        </w:div>
        <w:div w:id="1735471722">
          <w:marLeft w:val="480"/>
          <w:marRight w:val="0"/>
          <w:marTop w:val="0"/>
          <w:marBottom w:val="0"/>
          <w:divBdr>
            <w:top w:val="none" w:sz="0" w:space="0" w:color="auto"/>
            <w:left w:val="none" w:sz="0" w:space="0" w:color="auto"/>
            <w:bottom w:val="none" w:sz="0" w:space="0" w:color="auto"/>
            <w:right w:val="none" w:sz="0" w:space="0" w:color="auto"/>
          </w:divBdr>
        </w:div>
        <w:div w:id="337274769">
          <w:marLeft w:val="480"/>
          <w:marRight w:val="0"/>
          <w:marTop w:val="0"/>
          <w:marBottom w:val="0"/>
          <w:divBdr>
            <w:top w:val="none" w:sz="0" w:space="0" w:color="auto"/>
            <w:left w:val="none" w:sz="0" w:space="0" w:color="auto"/>
            <w:bottom w:val="none" w:sz="0" w:space="0" w:color="auto"/>
            <w:right w:val="none" w:sz="0" w:space="0" w:color="auto"/>
          </w:divBdr>
        </w:div>
        <w:div w:id="1117330947">
          <w:marLeft w:val="480"/>
          <w:marRight w:val="0"/>
          <w:marTop w:val="0"/>
          <w:marBottom w:val="0"/>
          <w:divBdr>
            <w:top w:val="none" w:sz="0" w:space="0" w:color="auto"/>
            <w:left w:val="none" w:sz="0" w:space="0" w:color="auto"/>
            <w:bottom w:val="none" w:sz="0" w:space="0" w:color="auto"/>
            <w:right w:val="none" w:sz="0" w:space="0" w:color="auto"/>
          </w:divBdr>
        </w:div>
        <w:div w:id="1663243016">
          <w:marLeft w:val="480"/>
          <w:marRight w:val="0"/>
          <w:marTop w:val="0"/>
          <w:marBottom w:val="0"/>
          <w:divBdr>
            <w:top w:val="none" w:sz="0" w:space="0" w:color="auto"/>
            <w:left w:val="none" w:sz="0" w:space="0" w:color="auto"/>
            <w:bottom w:val="none" w:sz="0" w:space="0" w:color="auto"/>
            <w:right w:val="none" w:sz="0" w:space="0" w:color="auto"/>
          </w:divBdr>
        </w:div>
        <w:div w:id="644357829">
          <w:marLeft w:val="480"/>
          <w:marRight w:val="0"/>
          <w:marTop w:val="0"/>
          <w:marBottom w:val="0"/>
          <w:divBdr>
            <w:top w:val="none" w:sz="0" w:space="0" w:color="auto"/>
            <w:left w:val="none" w:sz="0" w:space="0" w:color="auto"/>
            <w:bottom w:val="none" w:sz="0" w:space="0" w:color="auto"/>
            <w:right w:val="none" w:sz="0" w:space="0" w:color="auto"/>
          </w:divBdr>
        </w:div>
        <w:div w:id="1505703967">
          <w:marLeft w:val="480"/>
          <w:marRight w:val="0"/>
          <w:marTop w:val="0"/>
          <w:marBottom w:val="0"/>
          <w:divBdr>
            <w:top w:val="none" w:sz="0" w:space="0" w:color="auto"/>
            <w:left w:val="none" w:sz="0" w:space="0" w:color="auto"/>
            <w:bottom w:val="none" w:sz="0" w:space="0" w:color="auto"/>
            <w:right w:val="none" w:sz="0" w:space="0" w:color="auto"/>
          </w:divBdr>
        </w:div>
        <w:div w:id="1756435817">
          <w:marLeft w:val="480"/>
          <w:marRight w:val="0"/>
          <w:marTop w:val="0"/>
          <w:marBottom w:val="0"/>
          <w:divBdr>
            <w:top w:val="none" w:sz="0" w:space="0" w:color="auto"/>
            <w:left w:val="none" w:sz="0" w:space="0" w:color="auto"/>
            <w:bottom w:val="none" w:sz="0" w:space="0" w:color="auto"/>
            <w:right w:val="none" w:sz="0" w:space="0" w:color="auto"/>
          </w:divBdr>
        </w:div>
        <w:div w:id="405226517">
          <w:marLeft w:val="480"/>
          <w:marRight w:val="0"/>
          <w:marTop w:val="0"/>
          <w:marBottom w:val="0"/>
          <w:divBdr>
            <w:top w:val="none" w:sz="0" w:space="0" w:color="auto"/>
            <w:left w:val="none" w:sz="0" w:space="0" w:color="auto"/>
            <w:bottom w:val="none" w:sz="0" w:space="0" w:color="auto"/>
            <w:right w:val="none" w:sz="0" w:space="0" w:color="auto"/>
          </w:divBdr>
        </w:div>
        <w:div w:id="683947096">
          <w:marLeft w:val="480"/>
          <w:marRight w:val="0"/>
          <w:marTop w:val="0"/>
          <w:marBottom w:val="0"/>
          <w:divBdr>
            <w:top w:val="none" w:sz="0" w:space="0" w:color="auto"/>
            <w:left w:val="none" w:sz="0" w:space="0" w:color="auto"/>
            <w:bottom w:val="none" w:sz="0" w:space="0" w:color="auto"/>
            <w:right w:val="none" w:sz="0" w:space="0" w:color="auto"/>
          </w:divBdr>
        </w:div>
        <w:div w:id="2092657429">
          <w:marLeft w:val="480"/>
          <w:marRight w:val="0"/>
          <w:marTop w:val="0"/>
          <w:marBottom w:val="0"/>
          <w:divBdr>
            <w:top w:val="none" w:sz="0" w:space="0" w:color="auto"/>
            <w:left w:val="none" w:sz="0" w:space="0" w:color="auto"/>
            <w:bottom w:val="none" w:sz="0" w:space="0" w:color="auto"/>
            <w:right w:val="none" w:sz="0" w:space="0" w:color="auto"/>
          </w:divBdr>
        </w:div>
        <w:div w:id="352301">
          <w:marLeft w:val="480"/>
          <w:marRight w:val="0"/>
          <w:marTop w:val="0"/>
          <w:marBottom w:val="0"/>
          <w:divBdr>
            <w:top w:val="none" w:sz="0" w:space="0" w:color="auto"/>
            <w:left w:val="none" w:sz="0" w:space="0" w:color="auto"/>
            <w:bottom w:val="none" w:sz="0" w:space="0" w:color="auto"/>
            <w:right w:val="none" w:sz="0" w:space="0" w:color="auto"/>
          </w:divBdr>
        </w:div>
        <w:div w:id="671707">
          <w:marLeft w:val="480"/>
          <w:marRight w:val="0"/>
          <w:marTop w:val="0"/>
          <w:marBottom w:val="0"/>
          <w:divBdr>
            <w:top w:val="none" w:sz="0" w:space="0" w:color="auto"/>
            <w:left w:val="none" w:sz="0" w:space="0" w:color="auto"/>
            <w:bottom w:val="none" w:sz="0" w:space="0" w:color="auto"/>
            <w:right w:val="none" w:sz="0" w:space="0" w:color="auto"/>
          </w:divBdr>
        </w:div>
        <w:div w:id="1145700648">
          <w:marLeft w:val="480"/>
          <w:marRight w:val="0"/>
          <w:marTop w:val="0"/>
          <w:marBottom w:val="0"/>
          <w:divBdr>
            <w:top w:val="none" w:sz="0" w:space="0" w:color="auto"/>
            <w:left w:val="none" w:sz="0" w:space="0" w:color="auto"/>
            <w:bottom w:val="none" w:sz="0" w:space="0" w:color="auto"/>
            <w:right w:val="none" w:sz="0" w:space="0" w:color="auto"/>
          </w:divBdr>
        </w:div>
        <w:div w:id="354424077">
          <w:marLeft w:val="480"/>
          <w:marRight w:val="0"/>
          <w:marTop w:val="0"/>
          <w:marBottom w:val="0"/>
          <w:divBdr>
            <w:top w:val="none" w:sz="0" w:space="0" w:color="auto"/>
            <w:left w:val="none" w:sz="0" w:space="0" w:color="auto"/>
            <w:bottom w:val="none" w:sz="0" w:space="0" w:color="auto"/>
            <w:right w:val="none" w:sz="0" w:space="0" w:color="auto"/>
          </w:divBdr>
        </w:div>
        <w:div w:id="901676282">
          <w:marLeft w:val="480"/>
          <w:marRight w:val="0"/>
          <w:marTop w:val="0"/>
          <w:marBottom w:val="0"/>
          <w:divBdr>
            <w:top w:val="none" w:sz="0" w:space="0" w:color="auto"/>
            <w:left w:val="none" w:sz="0" w:space="0" w:color="auto"/>
            <w:bottom w:val="none" w:sz="0" w:space="0" w:color="auto"/>
            <w:right w:val="none" w:sz="0" w:space="0" w:color="auto"/>
          </w:divBdr>
        </w:div>
        <w:div w:id="144979558">
          <w:marLeft w:val="480"/>
          <w:marRight w:val="0"/>
          <w:marTop w:val="0"/>
          <w:marBottom w:val="0"/>
          <w:divBdr>
            <w:top w:val="none" w:sz="0" w:space="0" w:color="auto"/>
            <w:left w:val="none" w:sz="0" w:space="0" w:color="auto"/>
            <w:bottom w:val="none" w:sz="0" w:space="0" w:color="auto"/>
            <w:right w:val="none" w:sz="0" w:space="0" w:color="auto"/>
          </w:divBdr>
        </w:div>
        <w:div w:id="1422065712">
          <w:marLeft w:val="480"/>
          <w:marRight w:val="0"/>
          <w:marTop w:val="0"/>
          <w:marBottom w:val="0"/>
          <w:divBdr>
            <w:top w:val="none" w:sz="0" w:space="0" w:color="auto"/>
            <w:left w:val="none" w:sz="0" w:space="0" w:color="auto"/>
            <w:bottom w:val="none" w:sz="0" w:space="0" w:color="auto"/>
            <w:right w:val="none" w:sz="0" w:space="0" w:color="auto"/>
          </w:divBdr>
        </w:div>
        <w:div w:id="1575821335">
          <w:marLeft w:val="480"/>
          <w:marRight w:val="0"/>
          <w:marTop w:val="0"/>
          <w:marBottom w:val="0"/>
          <w:divBdr>
            <w:top w:val="none" w:sz="0" w:space="0" w:color="auto"/>
            <w:left w:val="none" w:sz="0" w:space="0" w:color="auto"/>
            <w:bottom w:val="none" w:sz="0" w:space="0" w:color="auto"/>
            <w:right w:val="none" w:sz="0" w:space="0" w:color="auto"/>
          </w:divBdr>
        </w:div>
      </w:divsChild>
    </w:div>
    <w:div w:id="939487129">
      <w:bodyDiv w:val="1"/>
      <w:marLeft w:val="0"/>
      <w:marRight w:val="0"/>
      <w:marTop w:val="0"/>
      <w:marBottom w:val="0"/>
      <w:divBdr>
        <w:top w:val="none" w:sz="0" w:space="0" w:color="auto"/>
        <w:left w:val="none" w:sz="0" w:space="0" w:color="auto"/>
        <w:bottom w:val="none" w:sz="0" w:space="0" w:color="auto"/>
        <w:right w:val="none" w:sz="0" w:space="0" w:color="auto"/>
      </w:divBdr>
    </w:div>
    <w:div w:id="939528998">
      <w:bodyDiv w:val="1"/>
      <w:marLeft w:val="0"/>
      <w:marRight w:val="0"/>
      <w:marTop w:val="0"/>
      <w:marBottom w:val="0"/>
      <w:divBdr>
        <w:top w:val="none" w:sz="0" w:space="0" w:color="auto"/>
        <w:left w:val="none" w:sz="0" w:space="0" w:color="auto"/>
        <w:bottom w:val="none" w:sz="0" w:space="0" w:color="auto"/>
        <w:right w:val="none" w:sz="0" w:space="0" w:color="auto"/>
      </w:divBdr>
    </w:div>
    <w:div w:id="940143486">
      <w:bodyDiv w:val="1"/>
      <w:marLeft w:val="0"/>
      <w:marRight w:val="0"/>
      <w:marTop w:val="0"/>
      <w:marBottom w:val="0"/>
      <w:divBdr>
        <w:top w:val="none" w:sz="0" w:space="0" w:color="auto"/>
        <w:left w:val="none" w:sz="0" w:space="0" w:color="auto"/>
        <w:bottom w:val="none" w:sz="0" w:space="0" w:color="auto"/>
        <w:right w:val="none" w:sz="0" w:space="0" w:color="auto"/>
      </w:divBdr>
    </w:div>
    <w:div w:id="940647312">
      <w:bodyDiv w:val="1"/>
      <w:marLeft w:val="0"/>
      <w:marRight w:val="0"/>
      <w:marTop w:val="0"/>
      <w:marBottom w:val="0"/>
      <w:divBdr>
        <w:top w:val="none" w:sz="0" w:space="0" w:color="auto"/>
        <w:left w:val="none" w:sz="0" w:space="0" w:color="auto"/>
        <w:bottom w:val="none" w:sz="0" w:space="0" w:color="auto"/>
        <w:right w:val="none" w:sz="0" w:space="0" w:color="auto"/>
      </w:divBdr>
    </w:div>
    <w:div w:id="941303185">
      <w:bodyDiv w:val="1"/>
      <w:marLeft w:val="0"/>
      <w:marRight w:val="0"/>
      <w:marTop w:val="0"/>
      <w:marBottom w:val="0"/>
      <w:divBdr>
        <w:top w:val="none" w:sz="0" w:space="0" w:color="auto"/>
        <w:left w:val="none" w:sz="0" w:space="0" w:color="auto"/>
        <w:bottom w:val="none" w:sz="0" w:space="0" w:color="auto"/>
        <w:right w:val="none" w:sz="0" w:space="0" w:color="auto"/>
      </w:divBdr>
    </w:div>
    <w:div w:id="941887256">
      <w:bodyDiv w:val="1"/>
      <w:marLeft w:val="0"/>
      <w:marRight w:val="0"/>
      <w:marTop w:val="0"/>
      <w:marBottom w:val="0"/>
      <w:divBdr>
        <w:top w:val="none" w:sz="0" w:space="0" w:color="auto"/>
        <w:left w:val="none" w:sz="0" w:space="0" w:color="auto"/>
        <w:bottom w:val="none" w:sz="0" w:space="0" w:color="auto"/>
        <w:right w:val="none" w:sz="0" w:space="0" w:color="auto"/>
      </w:divBdr>
    </w:div>
    <w:div w:id="942346506">
      <w:bodyDiv w:val="1"/>
      <w:marLeft w:val="0"/>
      <w:marRight w:val="0"/>
      <w:marTop w:val="0"/>
      <w:marBottom w:val="0"/>
      <w:divBdr>
        <w:top w:val="none" w:sz="0" w:space="0" w:color="auto"/>
        <w:left w:val="none" w:sz="0" w:space="0" w:color="auto"/>
        <w:bottom w:val="none" w:sz="0" w:space="0" w:color="auto"/>
        <w:right w:val="none" w:sz="0" w:space="0" w:color="auto"/>
      </w:divBdr>
    </w:div>
    <w:div w:id="942346697">
      <w:bodyDiv w:val="1"/>
      <w:marLeft w:val="0"/>
      <w:marRight w:val="0"/>
      <w:marTop w:val="0"/>
      <w:marBottom w:val="0"/>
      <w:divBdr>
        <w:top w:val="none" w:sz="0" w:space="0" w:color="auto"/>
        <w:left w:val="none" w:sz="0" w:space="0" w:color="auto"/>
        <w:bottom w:val="none" w:sz="0" w:space="0" w:color="auto"/>
        <w:right w:val="none" w:sz="0" w:space="0" w:color="auto"/>
      </w:divBdr>
    </w:div>
    <w:div w:id="943195091">
      <w:bodyDiv w:val="1"/>
      <w:marLeft w:val="0"/>
      <w:marRight w:val="0"/>
      <w:marTop w:val="0"/>
      <w:marBottom w:val="0"/>
      <w:divBdr>
        <w:top w:val="none" w:sz="0" w:space="0" w:color="auto"/>
        <w:left w:val="none" w:sz="0" w:space="0" w:color="auto"/>
        <w:bottom w:val="none" w:sz="0" w:space="0" w:color="auto"/>
        <w:right w:val="none" w:sz="0" w:space="0" w:color="auto"/>
      </w:divBdr>
    </w:div>
    <w:div w:id="945037962">
      <w:bodyDiv w:val="1"/>
      <w:marLeft w:val="0"/>
      <w:marRight w:val="0"/>
      <w:marTop w:val="0"/>
      <w:marBottom w:val="0"/>
      <w:divBdr>
        <w:top w:val="none" w:sz="0" w:space="0" w:color="auto"/>
        <w:left w:val="none" w:sz="0" w:space="0" w:color="auto"/>
        <w:bottom w:val="none" w:sz="0" w:space="0" w:color="auto"/>
        <w:right w:val="none" w:sz="0" w:space="0" w:color="auto"/>
      </w:divBdr>
    </w:div>
    <w:div w:id="946039983">
      <w:bodyDiv w:val="1"/>
      <w:marLeft w:val="0"/>
      <w:marRight w:val="0"/>
      <w:marTop w:val="0"/>
      <w:marBottom w:val="0"/>
      <w:divBdr>
        <w:top w:val="none" w:sz="0" w:space="0" w:color="auto"/>
        <w:left w:val="none" w:sz="0" w:space="0" w:color="auto"/>
        <w:bottom w:val="none" w:sz="0" w:space="0" w:color="auto"/>
        <w:right w:val="none" w:sz="0" w:space="0" w:color="auto"/>
      </w:divBdr>
      <w:divsChild>
        <w:div w:id="591864859">
          <w:marLeft w:val="480"/>
          <w:marRight w:val="0"/>
          <w:marTop w:val="0"/>
          <w:marBottom w:val="0"/>
          <w:divBdr>
            <w:top w:val="none" w:sz="0" w:space="0" w:color="auto"/>
            <w:left w:val="none" w:sz="0" w:space="0" w:color="auto"/>
            <w:bottom w:val="none" w:sz="0" w:space="0" w:color="auto"/>
            <w:right w:val="none" w:sz="0" w:space="0" w:color="auto"/>
          </w:divBdr>
        </w:div>
        <w:div w:id="1407847029">
          <w:marLeft w:val="480"/>
          <w:marRight w:val="0"/>
          <w:marTop w:val="0"/>
          <w:marBottom w:val="0"/>
          <w:divBdr>
            <w:top w:val="none" w:sz="0" w:space="0" w:color="auto"/>
            <w:left w:val="none" w:sz="0" w:space="0" w:color="auto"/>
            <w:bottom w:val="none" w:sz="0" w:space="0" w:color="auto"/>
            <w:right w:val="none" w:sz="0" w:space="0" w:color="auto"/>
          </w:divBdr>
        </w:div>
        <w:div w:id="247928269">
          <w:marLeft w:val="480"/>
          <w:marRight w:val="0"/>
          <w:marTop w:val="0"/>
          <w:marBottom w:val="0"/>
          <w:divBdr>
            <w:top w:val="none" w:sz="0" w:space="0" w:color="auto"/>
            <w:left w:val="none" w:sz="0" w:space="0" w:color="auto"/>
            <w:bottom w:val="none" w:sz="0" w:space="0" w:color="auto"/>
            <w:right w:val="none" w:sz="0" w:space="0" w:color="auto"/>
          </w:divBdr>
        </w:div>
        <w:div w:id="1786265891">
          <w:marLeft w:val="480"/>
          <w:marRight w:val="0"/>
          <w:marTop w:val="0"/>
          <w:marBottom w:val="0"/>
          <w:divBdr>
            <w:top w:val="none" w:sz="0" w:space="0" w:color="auto"/>
            <w:left w:val="none" w:sz="0" w:space="0" w:color="auto"/>
            <w:bottom w:val="none" w:sz="0" w:space="0" w:color="auto"/>
            <w:right w:val="none" w:sz="0" w:space="0" w:color="auto"/>
          </w:divBdr>
        </w:div>
        <w:div w:id="650060702">
          <w:marLeft w:val="480"/>
          <w:marRight w:val="0"/>
          <w:marTop w:val="0"/>
          <w:marBottom w:val="0"/>
          <w:divBdr>
            <w:top w:val="none" w:sz="0" w:space="0" w:color="auto"/>
            <w:left w:val="none" w:sz="0" w:space="0" w:color="auto"/>
            <w:bottom w:val="none" w:sz="0" w:space="0" w:color="auto"/>
            <w:right w:val="none" w:sz="0" w:space="0" w:color="auto"/>
          </w:divBdr>
        </w:div>
        <w:div w:id="2089954864">
          <w:marLeft w:val="480"/>
          <w:marRight w:val="0"/>
          <w:marTop w:val="0"/>
          <w:marBottom w:val="0"/>
          <w:divBdr>
            <w:top w:val="none" w:sz="0" w:space="0" w:color="auto"/>
            <w:left w:val="none" w:sz="0" w:space="0" w:color="auto"/>
            <w:bottom w:val="none" w:sz="0" w:space="0" w:color="auto"/>
            <w:right w:val="none" w:sz="0" w:space="0" w:color="auto"/>
          </w:divBdr>
        </w:div>
        <w:div w:id="775369830">
          <w:marLeft w:val="480"/>
          <w:marRight w:val="0"/>
          <w:marTop w:val="0"/>
          <w:marBottom w:val="0"/>
          <w:divBdr>
            <w:top w:val="none" w:sz="0" w:space="0" w:color="auto"/>
            <w:left w:val="none" w:sz="0" w:space="0" w:color="auto"/>
            <w:bottom w:val="none" w:sz="0" w:space="0" w:color="auto"/>
            <w:right w:val="none" w:sz="0" w:space="0" w:color="auto"/>
          </w:divBdr>
        </w:div>
        <w:div w:id="933172959">
          <w:marLeft w:val="480"/>
          <w:marRight w:val="0"/>
          <w:marTop w:val="0"/>
          <w:marBottom w:val="0"/>
          <w:divBdr>
            <w:top w:val="none" w:sz="0" w:space="0" w:color="auto"/>
            <w:left w:val="none" w:sz="0" w:space="0" w:color="auto"/>
            <w:bottom w:val="none" w:sz="0" w:space="0" w:color="auto"/>
            <w:right w:val="none" w:sz="0" w:space="0" w:color="auto"/>
          </w:divBdr>
        </w:div>
        <w:div w:id="2058964243">
          <w:marLeft w:val="480"/>
          <w:marRight w:val="0"/>
          <w:marTop w:val="0"/>
          <w:marBottom w:val="0"/>
          <w:divBdr>
            <w:top w:val="none" w:sz="0" w:space="0" w:color="auto"/>
            <w:left w:val="none" w:sz="0" w:space="0" w:color="auto"/>
            <w:bottom w:val="none" w:sz="0" w:space="0" w:color="auto"/>
            <w:right w:val="none" w:sz="0" w:space="0" w:color="auto"/>
          </w:divBdr>
        </w:div>
        <w:div w:id="1098717240">
          <w:marLeft w:val="480"/>
          <w:marRight w:val="0"/>
          <w:marTop w:val="0"/>
          <w:marBottom w:val="0"/>
          <w:divBdr>
            <w:top w:val="none" w:sz="0" w:space="0" w:color="auto"/>
            <w:left w:val="none" w:sz="0" w:space="0" w:color="auto"/>
            <w:bottom w:val="none" w:sz="0" w:space="0" w:color="auto"/>
            <w:right w:val="none" w:sz="0" w:space="0" w:color="auto"/>
          </w:divBdr>
        </w:div>
        <w:div w:id="192037251">
          <w:marLeft w:val="480"/>
          <w:marRight w:val="0"/>
          <w:marTop w:val="0"/>
          <w:marBottom w:val="0"/>
          <w:divBdr>
            <w:top w:val="none" w:sz="0" w:space="0" w:color="auto"/>
            <w:left w:val="none" w:sz="0" w:space="0" w:color="auto"/>
            <w:bottom w:val="none" w:sz="0" w:space="0" w:color="auto"/>
            <w:right w:val="none" w:sz="0" w:space="0" w:color="auto"/>
          </w:divBdr>
        </w:div>
        <w:div w:id="1797872070">
          <w:marLeft w:val="480"/>
          <w:marRight w:val="0"/>
          <w:marTop w:val="0"/>
          <w:marBottom w:val="0"/>
          <w:divBdr>
            <w:top w:val="none" w:sz="0" w:space="0" w:color="auto"/>
            <w:left w:val="none" w:sz="0" w:space="0" w:color="auto"/>
            <w:bottom w:val="none" w:sz="0" w:space="0" w:color="auto"/>
            <w:right w:val="none" w:sz="0" w:space="0" w:color="auto"/>
          </w:divBdr>
        </w:div>
        <w:div w:id="1140341041">
          <w:marLeft w:val="480"/>
          <w:marRight w:val="0"/>
          <w:marTop w:val="0"/>
          <w:marBottom w:val="0"/>
          <w:divBdr>
            <w:top w:val="none" w:sz="0" w:space="0" w:color="auto"/>
            <w:left w:val="none" w:sz="0" w:space="0" w:color="auto"/>
            <w:bottom w:val="none" w:sz="0" w:space="0" w:color="auto"/>
            <w:right w:val="none" w:sz="0" w:space="0" w:color="auto"/>
          </w:divBdr>
        </w:div>
        <w:div w:id="1817649000">
          <w:marLeft w:val="480"/>
          <w:marRight w:val="0"/>
          <w:marTop w:val="0"/>
          <w:marBottom w:val="0"/>
          <w:divBdr>
            <w:top w:val="none" w:sz="0" w:space="0" w:color="auto"/>
            <w:left w:val="none" w:sz="0" w:space="0" w:color="auto"/>
            <w:bottom w:val="none" w:sz="0" w:space="0" w:color="auto"/>
            <w:right w:val="none" w:sz="0" w:space="0" w:color="auto"/>
          </w:divBdr>
        </w:div>
        <w:div w:id="738526950">
          <w:marLeft w:val="480"/>
          <w:marRight w:val="0"/>
          <w:marTop w:val="0"/>
          <w:marBottom w:val="0"/>
          <w:divBdr>
            <w:top w:val="none" w:sz="0" w:space="0" w:color="auto"/>
            <w:left w:val="none" w:sz="0" w:space="0" w:color="auto"/>
            <w:bottom w:val="none" w:sz="0" w:space="0" w:color="auto"/>
            <w:right w:val="none" w:sz="0" w:space="0" w:color="auto"/>
          </w:divBdr>
        </w:div>
        <w:div w:id="1354498330">
          <w:marLeft w:val="480"/>
          <w:marRight w:val="0"/>
          <w:marTop w:val="0"/>
          <w:marBottom w:val="0"/>
          <w:divBdr>
            <w:top w:val="none" w:sz="0" w:space="0" w:color="auto"/>
            <w:left w:val="none" w:sz="0" w:space="0" w:color="auto"/>
            <w:bottom w:val="none" w:sz="0" w:space="0" w:color="auto"/>
            <w:right w:val="none" w:sz="0" w:space="0" w:color="auto"/>
          </w:divBdr>
        </w:div>
        <w:div w:id="2029987011">
          <w:marLeft w:val="480"/>
          <w:marRight w:val="0"/>
          <w:marTop w:val="0"/>
          <w:marBottom w:val="0"/>
          <w:divBdr>
            <w:top w:val="none" w:sz="0" w:space="0" w:color="auto"/>
            <w:left w:val="none" w:sz="0" w:space="0" w:color="auto"/>
            <w:bottom w:val="none" w:sz="0" w:space="0" w:color="auto"/>
            <w:right w:val="none" w:sz="0" w:space="0" w:color="auto"/>
          </w:divBdr>
        </w:div>
        <w:div w:id="340664957">
          <w:marLeft w:val="480"/>
          <w:marRight w:val="0"/>
          <w:marTop w:val="0"/>
          <w:marBottom w:val="0"/>
          <w:divBdr>
            <w:top w:val="none" w:sz="0" w:space="0" w:color="auto"/>
            <w:left w:val="none" w:sz="0" w:space="0" w:color="auto"/>
            <w:bottom w:val="none" w:sz="0" w:space="0" w:color="auto"/>
            <w:right w:val="none" w:sz="0" w:space="0" w:color="auto"/>
          </w:divBdr>
        </w:div>
        <w:div w:id="543250560">
          <w:marLeft w:val="480"/>
          <w:marRight w:val="0"/>
          <w:marTop w:val="0"/>
          <w:marBottom w:val="0"/>
          <w:divBdr>
            <w:top w:val="none" w:sz="0" w:space="0" w:color="auto"/>
            <w:left w:val="none" w:sz="0" w:space="0" w:color="auto"/>
            <w:bottom w:val="none" w:sz="0" w:space="0" w:color="auto"/>
            <w:right w:val="none" w:sz="0" w:space="0" w:color="auto"/>
          </w:divBdr>
        </w:div>
        <w:div w:id="629673493">
          <w:marLeft w:val="480"/>
          <w:marRight w:val="0"/>
          <w:marTop w:val="0"/>
          <w:marBottom w:val="0"/>
          <w:divBdr>
            <w:top w:val="none" w:sz="0" w:space="0" w:color="auto"/>
            <w:left w:val="none" w:sz="0" w:space="0" w:color="auto"/>
            <w:bottom w:val="none" w:sz="0" w:space="0" w:color="auto"/>
            <w:right w:val="none" w:sz="0" w:space="0" w:color="auto"/>
          </w:divBdr>
        </w:div>
        <w:div w:id="984430595">
          <w:marLeft w:val="480"/>
          <w:marRight w:val="0"/>
          <w:marTop w:val="0"/>
          <w:marBottom w:val="0"/>
          <w:divBdr>
            <w:top w:val="none" w:sz="0" w:space="0" w:color="auto"/>
            <w:left w:val="none" w:sz="0" w:space="0" w:color="auto"/>
            <w:bottom w:val="none" w:sz="0" w:space="0" w:color="auto"/>
            <w:right w:val="none" w:sz="0" w:space="0" w:color="auto"/>
          </w:divBdr>
        </w:div>
        <w:div w:id="1869639802">
          <w:marLeft w:val="480"/>
          <w:marRight w:val="0"/>
          <w:marTop w:val="0"/>
          <w:marBottom w:val="0"/>
          <w:divBdr>
            <w:top w:val="none" w:sz="0" w:space="0" w:color="auto"/>
            <w:left w:val="none" w:sz="0" w:space="0" w:color="auto"/>
            <w:bottom w:val="none" w:sz="0" w:space="0" w:color="auto"/>
            <w:right w:val="none" w:sz="0" w:space="0" w:color="auto"/>
          </w:divBdr>
        </w:div>
        <w:div w:id="255402160">
          <w:marLeft w:val="480"/>
          <w:marRight w:val="0"/>
          <w:marTop w:val="0"/>
          <w:marBottom w:val="0"/>
          <w:divBdr>
            <w:top w:val="none" w:sz="0" w:space="0" w:color="auto"/>
            <w:left w:val="none" w:sz="0" w:space="0" w:color="auto"/>
            <w:bottom w:val="none" w:sz="0" w:space="0" w:color="auto"/>
            <w:right w:val="none" w:sz="0" w:space="0" w:color="auto"/>
          </w:divBdr>
        </w:div>
        <w:div w:id="855772209">
          <w:marLeft w:val="480"/>
          <w:marRight w:val="0"/>
          <w:marTop w:val="0"/>
          <w:marBottom w:val="0"/>
          <w:divBdr>
            <w:top w:val="none" w:sz="0" w:space="0" w:color="auto"/>
            <w:left w:val="none" w:sz="0" w:space="0" w:color="auto"/>
            <w:bottom w:val="none" w:sz="0" w:space="0" w:color="auto"/>
            <w:right w:val="none" w:sz="0" w:space="0" w:color="auto"/>
          </w:divBdr>
        </w:div>
        <w:div w:id="1213881070">
          <w:marLeft w:val="480"/>
          <w:marRight w:val="0"/>
          <w:marTop w:val="0"/>
          <w:marBottom w:val="0"/>
          <w:divBdr>
            <w:top w:val="none" w:sz="0" w:space="0" w:color="auto"/>
            <w:left w:val="none" w:sz="0" w:space="0" w:color="auto"/>
            <w:bottom w:val="none" w:sz="0" w:space="0" w:color="auto"/>
            <w:right w:val="none" w:sz="0" w:space="0" w:color="auto"/>
          </w:divBdr>
        </w:div>
        <w:div w:id="571548239">
          <w:marLeft w:val="480"/>
          <w:marRight w:val="0"/>
          <w:marTop w:val="0"/>
          <w:marBottom w:val="0"/>
          <w:divBdr>
            <w:top w:val="none" w:sz="0" w:space="0" w:color="auto"/>
            <w:left w:val="none" w:sz="0" w:space="0" w:color="auto"/>
            <w:bottom w:val="none" w:sz="0" w:space="0" w:color="auto"/>
            <w:right w:val="none" w:sz="0" w:space="0" w:color="auto"/>
          </w:divBdr>
        </w:div>
        <w:div w:id="1573782346">
          <w:marLeft w:val="480"/>
          <w:marRight w:val="0"/>
          <w:marTop w:val="0"/>
          <w:marBottom w:val="0"/>
          <w:divBdr>
            <w:top w:val="none" w:sz="0" w:space="0" w:color="auto"/>
            <w:left w:val="none" w:sz="0" w:space="0" w:color="auto"/>
            <w:bottom w:val="none" w:sz="0" w:space="0" w:color="auto"/>
            <w:right w:val="none" w:sz="0" w:space="0" w:color="auto"/>
          </w:divBdr>
        </w:div>
        <w:div w:id="7951171">
          <w:marLeft w:val="480"/>
          <w:marRight w:val="0"/>
          <w:marTop w:val="0"/>
          <w:marBottom w:val="0"/>
          <w:divBdr>
            <w:top w:val="none" w:sz="0" w:space="0" w:color="auto"/>
            <w:left w:val="none" w:sz="0" w:space="0" w:color="auto"/>
            <w:bottom w:val="none" w:sz="0" w:space="0" w:color="auto"/>
            <w:right w:val="none" w:sz="0" w:space="0" w:color="auto"/>
          </w:divBdr>
        </w:div>
        <w:div w:id="2061662863">
          <w:marLeft w:val="480"/>
          <w:marRight w:val="0"/>
          <w:marTop w:val="0"/>
          <w:marBottom w:val="0"/>
          <w:divBdr>
            <w:top w:val="none" w:sz="0" w:space="0" w:color="auto"/>
            <w:left w:val="none" w:sz="0" w:space="0" w:color="auto"/>
            <w:bottom w:val="none" w:sz="0" w:space="0" w:color="auto"/>
            <w:right w:val="none" w:sz="0" w:space="0" w:color="auto"/>
          </w:divBdr>
        </w:div>
        <w:div w:id="636305553">
          <w:marLeft w:val="480"/>
          <w:marRight w:val="0"/>
          <w:marTop w:val="0"/>
          <w:marBottom w:val="0"/>
          <w:divBdr>
            <w:top w:val="none" w:sz="0" w:space="0" w:color="auto"/>
            <w:left w:val="none" w:sz="0" w:space="0" w:color="auto"/>
            <w:bottom w:val="none" w:sz="0" w:space="0" w:color="auto"/>
            <w:right w:val="none" w:sz="0" w:space="0" w:color="auto"/>
          </w:divBdr>
        </w:div>
        <w:div w:id="1062676396">
          <w:marLeft w:val="480"/>
          <w:marRight w:val="0"/>
          <w:marTop w:val="0"/>
          <w:marBottom w:val="0"/>
          <w:divBdr>
            <w:top w:val="none" w:sz="0" w:space="0" w:color="auto"/>
            <w:left w:val="none" w:sz="0" w:space="0" w:color="auto"/>
            <w:bottom w:val="none" w:sz="0" w:space="0" w:color="auto"/>
            <w:right w:val="none" w:sz="0" w:space="0" w:color="auto"/>
          </w:divBdr>
        </w:div>
        <w:div w:id="1692492942">
          <w:marLeft w:val="480"/>
          <w:marRight w:val="0"/>
          <w:marTop w:val="0"/>
          <w:marBottom w:val="0"/>
          <w:divBdr>
            <w:top w:val="none" w:sz="0" w:space="0" w:color="auto"/>
            <w:left w:val="none" w:sz="0" w:space="0" w:color="auto"/>
            <w:bottom w:val="none" w:sz="0" w:space="0" w:color="auto"/>
            <w:right w:val="none" w:sz="0" w:space="0" w:color="auto"/>
          </w:divBdr>
        </w:div>
        <w:div w:id="836655910">
          <w:marLeft w:val="480"/>
          <w:marRight w:val="0"/>
          <w:marTop w:val="0"/>
          <w:marBottom w:val="0"/>
          <w:divBdr>
            <w:top w:val="none" w:sz="0" w:space="0" w:color="auto"/>
            <w:left w:val="none" w:sz="0" w:space="0" w:color="auto"/>
            <w:bottom w:val="none" w:sz="0" w:space="0" w:color="auto"/>
            <w:right w:val="none" w:sz="0" w:space="0" w:color="auto"/>
          </w:divBdr>
        </w:div>
        <w:div w:id="1437825551">
          <w:marLeft w:val="480"/>
          <w:marRight w:val="0"/>
          <w:marTop w:val="0"/>
          <w:marBottom w:val="0"/>
          <w:divBdr>
            <w:top w:val="none" w:sz="0" w:space="0" w:color="auto"/>
            <w:left w:val="none" w:sz="0" w:space="0" w:color="auto"/>
            <w:bottom w:val="none" w:sz="0" w:space="0" w:color="auto"/>
            <w:right w:val="none" w:sz="0" w:space="0" w:color="auto"/>
          </w:divBdr>
        </w:div>
        <w:div w:id="828208154">
          <w:marLeft w:val="480"/>
          <w:marRight w:val="0"/>
          <w:marTop w:val="0"/>
          <w:marBottom w:val="0"/>
          <w:divBdr>
            <w:top w:val="none" w:sz="0" w:space="0" w:color="auto"/>
            <w:left w:val="none" w:sz="0" w:space="0" w:color="auto"/>
            <w:bottom w:val="none" w:sz="0" w:space="0" w:color="auto"/>
            <w:right w:val="none" w:sz="0" w:space="0" w:color="auto"/>
          </w:divBdr>
        </w:div>
        <w:div w:id="2029790628">
          <w:marLeft w:val="480"/>
          <w:marRight w:val="0"/>
          <w:marTop w:val="0"/>
          <w:marBottom w:val="0"/>
          <w:divBdr>
            <w:top w:val="none" w:sz="0" w:space="0" w:color="auto"/>
            <w:left w:val="none" w:sz="0" w:space="0" w:color="auto"/>
            <w:bottom w:val="none" w:sz="0" w:space="0" w:color="auto"/>
            <w:right w:val="none" w:sz="0" w:space="0" w:color="auto"/>
          </w:divBdr>
        </w:div>
        <w:div w:id="363211410">
          <w:marLeft w:val="480"/>
          <w:marRight w:val="0"/>
          <w:marTop w:val="0"/>
          <w:marBottom w:val="0"/>
          <w:divBdr>
            <w:top w:val="none" w:sz="0" w:space="0" w:color="auto"/>
            <w:left w:val="none" w:sz="0" w:space="0" w:color="auto"/>
            <w:bottom w:val="none" w:sz="0" w:space="0" w:color="auto"/>
            <w:right w:val="none" w:sz="0" w:space="0" w:color="auto"/>
          </w:divBdr>
        </w:div>
        <w:div w:id="1640380955">
          <w:marLeft w:val="480"/>
          <w:marRight w:val="0"/>
          <w:marTop w:val="0"/>
          <w:marBottom w:val="0"/>
          <w:divBdr>
            <w:top w:val="none" w:sz="0" w:space="0" w:color="auto"/>
            <w:left w:val="none" w:sz="0" w:space="0" w:color="auto"/>
            <w:bottom w:val="none" w:sz="0" w:space="0" w:color="auto"/>
            <w:right w:val="none" w:sz="0" w:space="0" w:color="auto"/>
          </w:divBdr>
        </w:div>
        <w:div w:id="1568027960">
          <w:marLeft w:val="480"/>
          <w:marRight w:val="0"/>
          <w:marTop w:val="0"/>
          <w:marBottom w:val="0"/>
          <w:divBdr>
            <w:top w:val="none" w:sz="0" w:space="0" w:color="auto"/>
            <w:left w:val="none" w:sz="0" w:space="0" w:color="auto"/>
            <w:bottom w:val="none" w:sz="0" w:space="0" w:color="auto"/>
            <w:right w:val="none" w:sz="0" w:space="0" w:color="auto"/>
          </w:divBdr>
        </w:div>
        <w:div w:id="1034036914">
          <w:marLeft w:val="480"/>
          <w:marRight w:val="0"/>
          <w:marTop w:val="0"/>
          <w:marBottom w:val="0"/>
          <w:divBdr>
            <w:top w:val="none" w:sz="0" w:space="0" w:color="auto"/>
            <w:left w:val="none" w:sz="0" w:space="0" w:color="auto"/>
            <w:bottom w:val="none" w:sz="0" w:space="0" w:color="auto"/>
            <w:right w:val="none" w:sz="0" w:space="0" w:color="auto"/>
          </w:divBdr>
        </w:div>
        <w:div w:id="1978292495">
          <w:marLeft w:val="480"/>
          <w:marRight w:val="0"/>
          <w:marTop w:val="0"/>
          <w:marBottom w:val="0"/>
          <w:divBdr>
            <w:top w:val="none" w:sz="0" w:space="0" w:color="auto"/>
            <w:left w:val="none" w:sz="0" w:space="0" w:color="auto"/>
            <w:bottom w:val="none" w:sz="0" w:space="0" w:color="auto"/>
            <w:right w:val="none" w:sz="0" w:space="0" w:color="auto"/>
          </w:divBdr>
        </w:div>
        <w:div w:id="414787179">
          <w:marLeft w:val="480"/>
          <w:marRight w:val="0"/>
          <w:marTop w:val="0"/>
          <w:marBottom w:val="0"/>
          <w:divBdr>
            <w:top w:val="none" w:sz="0" w:space="0" w:color="auto"/>
            <w:left w:val="none" w:sz="0" w:space="0" w:color="auto"/>
            <w:bottom w:val="none" w:sz="0" w:space="0" w:color="auto"/>
            <w:right w:val="none" w:sz="0" w:space="0" w:color="auto"/>
          </w:divBdr>
        </w:div>
        <w:div w:id="550533906">
          <w:marLeft w:val="480"/>
          <w:marRight w:val="0"/>
          <w:marTop w:val="0"/>
          <w:marBottom w:val="0"/>
          <w:divBdr>
            <w:top w:val="none" w:sz="0" w:space="0" w:color="auto"/>
            <w:left w:val="none" w:sz="0" w:space="0" w:color="auto"/>
            <w:bottom w:val="none" w:sz="0" w:space="0" w:color="auto"/>
            <w:right w:val="none" w:sz="0" w:space="0" w:color="auto"/>
          </w:divBdr>
        </w:div>
        <w:div w:id="1327634414">
          <w:marLeft w:val="480"/>
          <w:marRight w:val="0"/>
          <w:marTop w:val="0"/>
          <w:marBottom w:val="0"/>
          <w:divBdr>
            <w:top w:val="none" w:sz="0" w:space="0" w:color="auto"/>
            <w:left w:val="none" w:sz="0" w:space="0" w:color="auto"/>
            <w:bottom w:val="none" w:sz="0" w:space="0" w:color="auto"/>
            <w:right w:val="none" w:sz="0" w:space="0" w:color="auto"/>
          </w:divBdr>
        </w:div>
        <w:div w:id="691222229">
          <w:marLeft w:val="480"/>
          <w:marRight w:val="0"/>
          <w:marTop w:val="0"/>
          <w:marBottom w:val="0"/>
          <w:divBdr>
            <w:top w:val="none" w:sz="0" w:space="0" w:color="auto"/>
            <w:left w:val="none" w:sz="0" w:space="0" w:color="auto"/>
            <w:bottom w:val="none" w:sz="0" w:space="0" w:color="auto"/>
            <w:right w:val="none" w:sz="0" w:space="0" w:color="auto"/>
          </w:divBdr>
        </w:div>
        <w:div w:id="935750285">
          <w:marLeft w:val="480"/>
          <w:marRight w:val="0"/>
          <w:marTop w:val="0"/>
          <w:marBottom w:val="0"/>
          <w:divBdr>
            <w:top w:val="none" w:sz="0" w:space="0" w:color="auto"/>
            <w:left w:val="none" w:sz="0" w:space="0" w:color="auto"/>
            <w:bottom w:val="none" w:sz="0" w:space="0" w:color="auto"/>
            <w:right w:val="none" w:sz="0" w:space="0" w:color="auto"/>
          </w:divBdr>
        </w:div>
        <w:div w:id="208345911">
          <w:marLeft w:val="480"/>
          <w:marRight w:val="0"/>
          <w:marTop w:val="0"/>
          <w:marBottom w:val="0"/>
          <w:divBdr>
            <w:top w:val="none" w:sz="0" w:space="0" w:color="auto"/>
            <w:left w:val="none" w:sz="0" w:space="0" w:color="auto"/>
            <w:bottom w:val="none" w:sz="0" w:space="0" w:color="auto"/>
            <w:right w:val="none" w:sz="0" w:space="0" w:color="auto"/>
          </w:divBdr>
        </w:div>
        <w:div w:id="350188960">
          <w:marLeft w:val="480"/>
          <w:marRight w:val="0"/>
          <w:marTop w:val="0"/>
          <w:marBottom w:val="0"/>
          <w:divBdr>
            <w:top w:val="none" w:sz="0" w:space="0" w:color="auto"/>
            <w:left w:val="none" w:sz="0" w:space="0" w:color="auto"/>
            <w:bottom w:val="none" w:sz="0" w:space="0" w:color="auto"/>
            <w:right w:val="none" w:sz="0" w:space="0" w:color="auto"/>
          </w:divBdr>
        </w:div>
        <w:div w:id="915817624">
          <w:marLeft w:val="480"/>
          <w:marRight w:val="0"/>
          <w:marTop w:val="0"/>
          <w:marBottom w:val="0"/>
          <w:divBdr>
            <w:top w:val="none" w:sz="0" w:space="0" w:color="auto"/>
            <w:left w:val="none" w:sz="0" w:space="0" w:color="auto"/>
            <w:bottom w:val="none" w:sz="0" w:space="0" w:color="auto"/>
            <w:right w:val="none" w:sz="0" w:space="0" w:color="auto"/>
          </w:divBdr>
        </w:div>
        <w:div w:id="942344970">
          <w:marLeft w:val="480"/>
          <w:marRight w:val="0"/>
          <w:marTop w:val="0"/>
          <w:marBottom w:val="0"/>
          <w:divBdr>
            <w:top w:val="none" w:sz="0" w:space="0" w:color="auto"/>
            <w:left w:val="none" w:sz="0" w:space="0" w:color="auto"/>
            <w:bottom w:val="none" w:sz="0" w:space="0" w:color="auto"/>
            <w:right w:val="none" w:sz="0" w:space="0" w:color="auto"/>
          </w:divBdr>
        </w:div>
        <w:div w:id="793062342">
          <w:marLeft w:val="480"/>
          <w:marRight w:val="0"/>
          <w:marTop w:val="0"/>
          <w:marBottom w:val="0"/>
          <w:divBdr>
            <w:top w:val="none" w:sz="0" w:space="0" w:color="auto"/>
            <w:left w:val="none" w:sz="0" w:space="0" w:color="auto"/>
            <w:bottom w:val="none" w:sz="0" w:space="0" w:color="auto"/>
            <w:right w:val="none" w:sz="0" w:space="0" w:color="auto"/>
          </w:divBdr>
        </w:div>
        <w:div w:id="252738867">
          <w:marLeft w:val="480"/>
          <w:marRight w:val="0"/>
          <w:marTop w:val="0"/>
          <w:marBottom w:val="0"/>
          <w:divBdr>
            <w:top w:val="none" w:sz="0" w:space="0" w:color="auto"/>
            <w:left w:val="none" w:sz="0" w:space="0" w:color="auto"/>
            <w:bottom w:val="none" w:sz="0" w:space="0" w:color="auto"/>
            <w:right w:val="none" w:sz="0" w:space="0" w:color="auto"/>
          </w:divBdr>
        </w:div>
        <w:div w:id="1469128994">
          <w:marLeft w:val="480"/>
          <w:marRight w:val="0"/>
          <w:marTop w:val="0"/>
          <w:marBottom w:val="0"/>
          <w:divBdr>
            <w:top w:val="none" w:sz="0" w:space="0" w:color="auto"/>
            <w:left w:val="none" w:sz="0" w:space="0" w:color="auto"/>
            <w:bottom w:val="none" w:sz="0" w:space="0" w:color="auto"/>
            <w:right w:val="none" w:sz="0" w:space="0" w:color="auto"/>
          </w:divBdr>
        </w:div>
        <w:div w:id="84688127">
          <w:marLeft w:val="480"/>
          <w:marRight w:val="0"/>
          <w:marTop w:val="0"/>
          <w:marBottom w:val="0"/>
          <w:divBdr>
            <w:top w:val="none" w:sz="0" w:space="0" w:color="auto"/>
            <w:left w:val="none" w:sz="0" w:space="0" w:color="auto"/>
            <w:bottom w:val="none" w:sz="0" w:space="0" w:color="auto"/>
            <w:right w:val="none" w:sz="0" w:space="0" w:color="auto"/>
          </w:divBdr>
        </w:div>
        <w:div w:id="1500383479">
          <w:marLeft w:val="480"/>
          <w:marRight w:val="0"/>
          <w:marTop w:val="0"/>
          <w:marBottom w:val="0"/>
          <w:divBdr>
            <w:top w:val="none" w:sz="0" w:space="0" w:color="auto"/>
            <w:left w:val="none" w:sz="0" w:space="0" w:color="auto"/>
            <w:bottom w:val="none" w:sz="0" w:space="0" w:color="auto"/>
            <w:right w:val="none" w:sz="0" w:space="0" w:color="auto"/>
          </w:divBdr>
        </w:div>
        <w:div w:id="622926438">
          <w:marLeft w:val="480"/>
          <w:marRight w:val="0"/>
          <w:marTop w:val="0"/>
          <w:marBottom w:val="0"/>
          <w:divBdr>
            <w:top w:val="none" w:sz="0" w:space="0" w:color="auto"/>
            <w:left w:val="none" w:sz="0" w:space="0" w:color="auto"/>
            <w:bottom w:val="none" w:sz="0" w:space="0" w:color="auto"/>
            <w:right w:val="none" w:sz="0" w:space="0" w:color="auto"/>
          </w:divBdr>
        </w:div>
        <w:div w:id="1298871614">
          <w:marLeft w:val="480"/>
          <w:marRight w:val="0"/>
          <w:marTop w:val="0"/>
          <w:marBottom w:val="0"/>
          <w:divBdr>
            <w:top w:val="none" w:sz="0" w:space="0" w:color="auto"/>
            <w:left w:val="none" w:sz="0" w:space="0" w:color="auto"/>
            <w:bottom w:val="none" w:sz="0" w:space="0" w:color="auto"/>
            <w:right w:val="none" w:sz="0" w:space="0" w:color="auto"/>
          </w:divBdr>
        </w:div>
        <w:div w:id="1697928888">
          <w:marLeft w:val="480"/>
          <w:marRight w:val="0"/>
          <w:marTop w:val="0"/>
          <w:marBottom w:val="0"/>
          <w:divBdr>
            <w:top w:val="none" w:sz="0" w:space="0" w:color="auto"/>
            <w:left w:val="none" w:sz="0" w:space="0" w:color="auto"/>
            <w:bottom w:val="none" w:sz="0" w:space="0" w:color="auto"/>
            <w:right w:val="none" w:sz="0" w:space="0" w:color="auto"/>
          </w:divBdr>
        </w:div>
        <w:div w:id="206646868">
          <w:marLeft w:val="480"/>
          <w:marRight w:val="0"/>
          <w:marTop w:val="0"/>
          <w:marBottom w:val="0"/>
          <w:divBdr>
            <w:top w:val="none" w:sz="0" w:space="0" w:color="auto"/>
            <w:left w:val="none" w:sz="0" w:space="0" w:color="auto"/>
            <w:bottom w:val="none" w:sz="0" w:space="0" w:color="auto"/>
            <w:right w:val="none" w:sz="0" w:space="0" w:color="auto"/>
          </w:divBdr>
        </w:div>
        <w:div w:id="940648985">
          <w:marLeft w:val="480"/>
          <w:marRight w:val="0"/>
          <w:marTop w:val="0"/>
          <w:marBottom w:val="0"/>
          <w:divBdr>
            <w:top w:val="none" w:sz="0" w:space="0" w:color="auto"/>
            <w:left w:val="none" w:sz="0" w:space="0" w:color="auto"/>
            <w:bottom w:val="none" w:sz="0" w:space="0" w:color="auto"/>
            <w:right w:val="none" w:sz="0" w:space="0" w:color="auto"/>
          </w:divBdr>
        </w:div>
        <w:div w:id="332338352">
          <w:marLeft w:val="480"/>
          <w:marRight w:val="0"/>
          <w:marTop w:val="0"/>
          <w:marBottom w:val="0"/>
          <w:divBdr>
            <w:top w:val="none" w:sz="0" w:space="0" w:color="auto"/>
            <w:left w:val="none" w:sz="0" w:space="0" w:color="auto"/>
            <w:bottom w:val="none" w:sz="0" w:space="0" w:color="auto"/>
            <w:right w:val="none" w:sz="0" w:space="0" w:color="auto"/>
          </w:divBdr>
        </w:div>
        <w:div w:id="520825964">
          <w:marLeft w:val="480"/>
          <w:marRight w:val="0"/>
          <w:marTop w:val="0"/>
          <w:marBottom w:val="0"/>
          <w:divBdr>
            <w:top w:val="none" w:sz="0" w:space="0" w:color="auto"/>
            <w:left w:val="none" w:sz="0" w:space="0" w:color="auto"/>
            <w:bottom w:val="none" w:sz="0" w:space="0" w:color="auto"/>
            <w:right w:val="none" w:sz="0" w:space="0" w:color="auto"/>
          </w:divBdr>
        </w:div>
        <w:div w:id="1681157552">
          <w:marLeft w:val="480"/>
          <w:marRight w:val="0"/>
          <w:marTop w:val="0"/>
          <w:marBottom w:val="0"/>
          <w:divBdr>
            <w:top w:val="none" w:sz="0" w:space="0" w:color="auto"/>
            <w:left w:val="none" w:sz="0" w:space="0" w:color="auto"/>
            <w:bottom w:val="none" w:sz="0" w:space="0" w:color="auto"/>
            <w:right w:val="none" w:sz="0" w:space="0" w:color="auto"/>
          </w:divBdr>
        </w:div>
        <w:div w:id="2089423012">
          <w:marLeft w:val="480"/>
          <w:marRight w:val="0"/>
          <w:marTop w:val="0"/>
          <w:marBottom w:val="0"/>
          <w:divBdr>
            <w:top w:val="none" w:sz="0" w:space="0" w:color="auto"/>
            <w:left w:val="none" w:sz="0" w:space="0" w:color="auto"/>
            <w:bottom w:val="none" w:sz="0" w:space="0" w:color="auto"/>
            <w:right w:val="none" w:sz="0" w:space="0" w:color="auto"/>
          </w:divBdr>
        </w:div>
        <w:div w:id="713388569">
          <w:marLeft w:val="480"/>
          <w:marRight w:val="0"/>
          <w:marTop w:val="0"/>
          <w:marBottom w:val="0"/>
          <w:divBdr>
            <w:top w:val="none" w:sz="0" w:space="0" w:color="auto"/>
            <w:left w:val="none" w:sz="0" w:space="0" w:color="auto"/>
            <w:bottom w:val="none" w:sz="0" w:space="0" w:color="auto"/>
            <w:right w:val="none" w:sz="0" w:space="0" w:color="auto"/>
          </w:divBdr>
        </w:div>
        <w:div w:id="1021472562">
          <w:marLeft w:val="480"/>
          <w:marRight w:val="0"/>
          <w:marTop w:val="0"/>
          <w:marBottom w:val="0"/>
          <w:divBdr>
            <w:top w:val="none" w:sz="0" w:space="0" w:color="auto"/>
            <w:left w:val="none" w:sz="0" w:space="0" w:color="auto"/>
            <w:bottom w:val="none" w:sz="0" w:space="0" w:color="auto"/>
            <w:right w:val="none" w:sz="0" w:space="0" w:color="auto"/>
          </w:divBdr>
        </w:div>
        <w:div w:id="470288805">
          <w:marLeft w:val="480"/>
          <w:marRight w:val="0"/>
          <w:marTop w:val="0"/>
          <w:marBottom w:val="0"/>
          <w:divBdr>
            <w:top w:val="none" w:sz="0" w:space="0" w:color="auto"/>
            <w:left w:val="none" w:sz="0" w:space="0" w:color="auto"/>
            <w:bottom w:val="none" w:sz="0" w:space="0" w:color="auto"/>
            <w:right w:val="none" w:sz="0" w:space="0" w:color="auto"/>
          </w:divBdr>
        </w:div>
        <w:div w:id="1518272768">
          <w:marLeft w:val="480"/>
          <w:marRight w:val="0"/>
          <w:marTop w:val="0"/>
          <w:marBottom w:val="0"/>
          <w:divBdr>
            <w:top w:val="none" w:sz="0" w:space="0" w:color="auto"/>
            <w:left w:val="none" w:sz="0" w:space="0" w:color="auto"/>
            <w:bottom w:val="none" w:sz="0" w:space="0" w:color="auto"/>
            <w:right w:val="none" w:sz="0" w:space="0" w:color="auto"/>
          </w:divBdr>
        </w:div>
        <w:div w:id="1505628005">
          <w:marLeft w:val="480"/>
          <w:marRight w:val="0"/>
          <w:marTop w:val="0"/>
          <w:marBottom w:val="0"/>
          <w:divBdr>
            <w:top w:val="none" w:sz="0" w:space="0" w:color="auto"/>
            <w:left w:val="none" w:sz="0" w:space="0" w:color="auto"/>
            <w:bottom w:val="none" w:sz="0" w:space="0" w:color="auto"/>
            <w:right w:val="none" w:sz="0" w:space="0" w:color="auto"/>
          </w:divBdr>
        </w:div>
        <w:div w:id="518398574">
          <w:marLeft w:val="480"/>
          <w:marRight w:val="0"/>
          <w:marTop w:val="0"/>
          <w:marBottom w:val="0"/>
          <w:divBdr>
            <w:top w:val="none" w:sz="0" w:space="0" w:color="auto"/>
            <w:left w:val="none" w:sz="0" w:space="0" w:color="auto"/>
            <w:bottom w:val="none" w:sz="0" w:space="0" w:color="auto"/>
            <w:right w:val="none" w:sz="0" w:space="0" w:color="auto"/>
          </w:divBdr>
        </w:div>
        <w:div w:id="1274098437">
          <w:marLeft w:val="480"/>
          <w:marRight w:val="0"/>
          <w:marTop w:val="0"/>
          <w:marBottom w:val="0"/>
          <w:divBdr>
            <w:top w:val="none" w:sz="0" w:space="0" w:color="auto"/>
            <w:left w:val="none" w:sz="0" w:space="0" w:color="auto"/>
            <w:bottom w:val="none" w:sz="0" w:space="0" w:color="auto"/>
            <w:right w:val="none" w:sz="0" w:space="0" w:color="auto"/>
          </w:divBdr>
        </w:div>
        <w:div w:id="1810896258">
          <w:marLeft w:val="480"/>
          <w:marRight w:val="0"/>
          <w:marTop w:val="0"/>
          <w:marBottom w:val="0"/>
          <w:divBdr>
            <w:top w:val="none" w:sz="0" w:space="0" w:color="auto"/>
            <w:left w:val="none" w:sz="0" w:space="0" w:color="auto"/>
            <w:bottom w:val="none" w:sz="0" w:space="0" w:color="auto"/>
            <w:right w:val="none" w:sz="0" w:space="0" w:color="auto"/>
          </w:divBdr>
        </w:div>
        <w:div w:id="771054107">
          <w:marLeft w:val="480"/>
          <w:marRight w:val="0"/>
          <w:marTop w:val="0"/>
          <w:marBottom w:val="0"/>
          <w:divBdr>
            <w:top w:val="none" w:sz="0" w:space="0" w:color="auto"/>
            <w:left w:val="none" w:sz="0" w:space="0" w:color="auto"/>
            <w:bottom w:val="none" w:sz="0" w:space="0" w:color="auto"/>
            <w:right w:val="none" w:sz="0" w:space="0" w:color="auto"/>
          </w:divBdr>
        </w:div>
        <w:div w:id="163857686">
          <w:marLeft w:val="480"/>
          <w:marRight w:val="0"/>
          <w:marTop w:val="0"/>
          <w:marBottom w:val="0"/>
          <w:divBdr>
            <w:top w:val="none" w:sz="0" w:space="0" w:color="auto"/>
            <w:left w:val="none" w:sz="0" w:space="0" w:color="auto"/>
            <w:bottom w:val="none" w:sz="0" w:space="0" w:color="auto"/>
            <w:right w:val="none" w:sz="0" w:space="0" w:color="auto"/>
          </w:divBdr>
        </w:div>
        <w:div w:id="1294095292">
          <w:marLeft w:val="480"/>
          <w:marRight w:val="0"/>
          <w:marTop w:val="0"/>
          <w:marBottom w:val="0"/>
          <w:divBdr>
            <w:top w:val="none" w:sz="0" w:space="0" w:color="auto"/>
            <w:left w:val="none" w:sz="0" w:space="0" w:color="auto"/>
            <w:bottom w:val="none" w:sz="0" w:space="0" w:color="auto"/>
            <w:right w:val="none" w:sz="0" w:space="0" w:color="auto"/>
          </w:divBdr>
        </w:div>
        <w:div w:id="2002535985">
          <w:marLeft w:val="480"/>
          <w:marRight w:val="0"/>
          <w:marTop w:val="0"/>
          <w:marBottom w:val="0"/>
          <w:divBdr>
            <w:top w:val="none" w:sz="0" w:space="0" w:color="auto"/>
            <w:left w:val="none" w:sz="0" w:space="0" w:color="auto"/>
            <w:bottom w:val="none" w:sz="0" w:space="0" w:color="auto"/>
            <w:right w:val="none" w:sz="0" w:space="0" w:color="auto"/>
          </w:divBdr>
        </w:div>
        <w:div w:id="728456352">
          <w:marLeft w:val="480"/>
          <w:marRight w:val="0"/>
          <w:marTop w:val="0"/>
          <w:marBottom w:val="0"/>
          <w:divBdr>
            <w:top w:val="none" w:sz="0" w:space="0" w:color="auto"/>
            <w:left w:val="none" w:sz="0" w:space="0" w:color="auto"/>
            <w:bottom w:val="none" w:sz="0" w:space="0" w:color="auto"/>
            <w:right w:val="none" w:sz="0" w:space="0" w:color="auto"/>
          </w:divBdr>
        </w:div>
        <w:div w:id="1899123316">
          <w:marLeft w:val="480"/>
          <w:marRight w:val="0"/>
          <w:marTop w:val="0"/>
          <w:marBottom w:val="0"/>
          <w:divBdr>
            <w:top w:val="none" w:sz="0" w:space="0" w:color="auto"/>
            <w:left w:val="none" w:sz="0" w:space="0" w:color="auto"/>
            <w:bottom w:val="none" w:sz="0" w:space="0" w:color="auto"/>
            <w:right w:val="none" w:sz="0" w:space="0" w:color="auto"/>
          </w:divBdr>
        </w:div>
        <w:div w:id="1899853109">
          <w:marLeft w:val="480"/>
          <w:marRight w:val="0"/>
          <w:marTop w:val="0"/>
          <w:marBottom w:val="0"/>
          <w:divBdr>
            <w:top w:val="none" w:sz="0" w:space="0" w:color="auto"/>
            <w:left w:val="none" w:sz="0" w:space="0" w:color="auto"/>
            <w:bottom w:val="none" w:sz="0" w:space="0" w:color="auto"/>
            <w:right w:val="none" w:sz="0" w:space="0" w:color="auto"/>
          </w:divBdr>
        </w:div>
        <w:div w:id="541022846">
          <w:marLeft w:val="480"/>
          <w:marRight w:val="0"/>
          <w:marTop w:val="0"/>
          <w:marBottom w:val="0"/>
          <w:divBdr>
            <w:top w:val="none" w:sz="0" w:space="0" w:color="auto"/>
            <w:left w:val="none" w:sz="0" w:space="0" w:color="auto"/>
            <w:bottom w:val="none" w:sz="0" w:space="0" w:color="auto"/>
            <w:right w:val="none" w:sz="0" w:space="0" w:color="auto"/>
          </w:divBdr>
        </w:div>
        <w:div w:id="648946859">
          <w:marLeft w:val="480"/>
          <w:marRight w:val="0"/>
          <w:marTop w:val="0"/>
          <w:marBottom w:val="0"/>
          <w:divBdr>
            <w:top w:val="none" w:sz="0" w:space="0" w:color="auto"/>
            <w:left w:val="none" w:sz="0" w:space="0" w:color="auto"/>
            <w:bottom w:val="none" w:sz="0" w:space="0" w:color="auto"/>
            <w:right w:val="none" w:sz="0" w:space="0" w:color="auto"/>
          </w:divBdr>
        </w:div>
        <w:div w:id="117451780">
          <w:marLeft w:val="480"/>
          <w:marRight w:val="0"/>
          <w:marTop w:val="0"/>
          <w:marBottom w:val="0"/>
          <w:divBdr>
            <w:top w:val="none" w:sz="0" w:space="0" w:color="auto"/>
            <w:left w:val="none" w:sz="0" w:space="0" w:color="auto"/>
            <w:bottom w:val="none" w:sz="0" w:space="0" w:color="auto"/>
            <w:right w:val="none" w:sz="0" w:space="0" w:color="auto"/>
          </w:divBdr>
        </w:div>
        <w:div w:id="100958005">
          <w:marLeft w:val="480"/>
          <w:marRight w:val="0"/>
          <w:marTop w:val="0"/>
          <w:marBottom w:val="0"/>
          <w:divBdr>
            <w:top w:val="none" w:sz="0" w:space="0" w:color="auto"/>
            <w:left w:val="none" w:sz="0" w:space="0" w:color="auto"/>
            <w:bottom w:val="none" w:sz="0" w:space="0" w:color="auto"/>
            <w:right w:val="none" w:sz="0" w:space="0" w:color="auto"/>
          </w:divBdr>
        </w:div>
        <w:div w:id="1074162861">
          <w:marLeft w:val="480"/>
          <w:marRight w:val="0"/>
          <w:marTop w:val="0"/>
          <w:marBottom w:val="0"/>
          <w:divBdr>
            <w:top w:val="none" w:sz="0" w:space="0" w:color="auto"/>
            <w:left w:val="none" w:sz="0" w:space="0" w:color="auto"/>
            <w:bottom w:val="none" w:sz="0" w:space="0" w:color="auto"/>
            <w:right w:val="none" w:sz="0" w:space="0" w:color="auto"/>
          </w:divBdr>
        </w:div>
        <w:div w:id="2054185996">
          <w:marLeft w:val="480"/>
          <w:marRight w:val="0"/>
          <w:marTop w:val="0"/>
          <w:marBottom w:val="0"/>
          <w:divBdr>
            <w:top w:val="none" w:sz="0" w:space="0" w:color="auto"/>
            <w:left w:val="none" w:sz="0" w:space="0" w:color="auto"/>
            <w:bottom w:val="none" w:sz="0" w:space="0" w:color="auto"/>
            <w:right w:val="none" w:sz="0" w:space="0" w:color="auto"/>
          </w:divBdr>
        </w:div>
        <w:div w:id="1335911717">
          <w:marLeft w:val="480"/>
          <w:marRight w:val="0"/>
          <w:marTop w:val="0"/>
          <w:marBottom w:val="0"/>
          <w:divBdr>
            <w:top w:val="none" w:sz="0" w:space="0" w:color="auto"/>
            <w:left w:val="none" w:sz="0" w:space="0" w:color="auto"/>
            <w:bottom w:val="none" w:sz="0" w:space="0" w:color="auto"/>
            <w:right w:val="none" w:sz="0" w:space="0" w:color="auto"/>
          </w:divBdr>
        </w:div>
        <w:div w:id="199708007">
          <w:marLeft w:val="480"/>
          <w:marRight w:val="0"/>
          <w:marTop w:val="0"/>
          <w:marBottom w:val="0"/>
          <w:divBdr>
            <w:top w:val="none" w:sz="0" w:space="0" w:color="auto"/>
            <w:left w:val="none" w:sz="0" w:space="0" w:color="auto"/>
            <w:bottom w:val="none" w:sz="0" w:space="0" w:color="auto"/>
            <w:right w:val="none" w:sz="0" w:space="0" w:color="auto"/>
          </w:divBdr>
        </w:div>
        <w:div w:id="32849827">
          <w:marLeft w:val="480"/>
          <w:marRight w:val="0"/>
          <w:marTop w:val="0"/>
          <w:marBottom w:val="0"/>
          <w:divBdr>
            <w:top w:val="none" w:sz="0" w:space="0" w:color="auto"/>
            <w:left w:val="none" w:sz="0" w:space="0" w:color="auto"/>
            <w:bottom w:val="none" w:sz="0" w:space="0" w:color="auto"/>
            <w:right w:val="none" w:sz="0" w:space="0" w:color="auto"/>
          </w:divBdr>
        </w:div>
        <w:div w:id="112481759">
          <w:marLeft w:val="480"/>
          <w:marRight w:val="0"/>
          <w:marTop w:val="0"/>
          <w:marBottom w:val="0"/>
          <w:divBdr>
            <w:top w:val="none" w:sz="0" w:space="0" w:color="auto"/>
            <w:left w:val="none" w:sz="0" w:space="0" w:color="auto"/>
            <w:bottom w:val="none" w:sz="0" w:space="0" w:color="auto"/>
            <w:right w:val="none" w:sz="0" w:space="0" w:color="auto"/>
          </w:divBdr>
        </w:div>
        <w:div w:id="1381398321">
          <w:marLeft w:val="480"/>
          <w:marRight w:val="0"/>
          <w:marTop w:val="0"/>
          <w:marBottom w:val="0"/>
          <w:divBdr>
            <w:top w:val="none" w:sz="0" w:space="0" w:color="auto"/>
            <w:left w:val="none" w:sz="0" w:space="0" w:color="auto"/>
            <w:bottom w:val="none" w:sz="0" w:space="0" w:color="auto"/>
            <w:right w:val="none" w:sz="0" w:space="0" w:color="auto"/>
          </w:divBdr>
        </w:div>
        <w:div w:id="1183399351">
          <w:marLeft w:val="480"/>
          <w:marRight w:val="0"/>
          <w:marTop w:val="0"/>
          <w:marBottom w:val="0"/>
          <w:divBdr>
            <w:top w:val="none" w:sz="0" w:space="0" w:color="auto"/>
            <w:left w:val="none" w:sz="0" w:space="0" w:color="auto"/>
            <w:bottom w:val="none" w:sz="0" w:space="0" w:color="auto"/>
            <w:right w:val="none" w:sz="0" w:space="0" w:color="auto"/>
          </w:divBdr>
        </w:div>
        <w:div w:id="1983537747">
          <w:marLeft w:val="480"/>
          <w:marRight w:val="0"/>
          <w:marTop w:val="0"/>
          <w:marBottom w:val="0"/>
          <w:divBdr>
            <w:top w:val="none" w:sz="0" w:space="0" w:color="auto"/>
            <w:left w:val="none" w:sz="0" w:space="0" w:color="auto"/>
            <w:bottom w:val="none" w:sz="0" w:space="0" w:color="auto"/>
            <w:right w:val="none" w:sz="0" w:space="0" w:color="auto"/>
          </w:divBdr>
        </w:div>
        <w:div w:id="1493059359">
          <w:marLeft w:val="480"/>
          <w:marRight w:val="0"/>
          <w:marTop w:val="0"/>
          <w:marBottom w:val="0"/>
          <w:divBdr>
            <w:top w:val="none" w:sz="0" w:space="0" w:color="auto"/>
            <w:left w:val="none" w:sz="0" w:space="0" w:color="auto"/>
            <w:bottom w:val="none" w:sz="0" w:space="0" w:color="auto"/>
            <w:right w:val="none" w:sz="0" w:space="0" w:color="auto"/>
          </w:divBdr>
        </w:div>
        <w:div w:id="928736002">
          <w:marLeft w:val="480"/>
          <w:marRight w:val="0"/>
          <w:marTop w:val="0"/>
          <w:marBottom w:val="0"/>
          <w:divBdr>
            <w:top w:val="none" w:sz="0" w:space="0" w:color="auto"/>
            <w:left w:val="none" w:sz="0" w:space="0" w:color="auto"/>
            <w:bottom w:val="none" w:sz="0" w:space="0" w:color="auto"/>
            <w:right w:val="none" w:sz="0" w:space="0" w:color="auto"/>
          </w:divBdr>
        </w:div>
        <w:div w:id="766772328">
          <w:marLeft w:val="480"/>
          <w:marRight w:val="0"/>
          <w:marTop w:val="0"/>
          <w:marBottom w:val="0"/>
          <w:divBdr>
            <w:top w:val="none" w:sz="0" w:space="0" w:color="auto"/>
            <w:left w:val="none" w:sz="0" w:space="0" w:color="auto"/>
            <w:bottom w:val="none" w:sz="0" w:space="0" w:color="auto"/>
            <w:right w:val="none" w:sz="0" w:space="0" w:color="auto"/>
          </w:divBdr>
        </w:div>
        <w:div w:id="1197816931">
          <w:marLeft w:val="480"/>
          <w:marRight w:val="0"/>
          <w:marTop w:val="0"/>
          <w:marBottom w:val="0"/>
          <w:divBdr>
            <w:top w:val="none" w:sz="0" w:space="0" w:color="auto"/>
            <w:left w:val="none" w:sz="0" w:space="0" w:color="auto"/>
            <w:bottom w:val="none" w:sz="0" w:space="0" w:color="auto"/>
            <w:right w:val="none" w:sz="0" w:space="0" w:color="auto"/>
          </w:divBdr>
        </w:div>
        <w:div w:id="1061051843">
          <w:marLeft w:val="480"/>
          <w:marRight w:val="0"/>
          <w:marTop w:val="0"/>
          <w:marBottom w:val="0"/>
          <w:divBdr>
            <w:top w:val="none" w:sz="0" w:space="0" w:color="auto"/>
            <w:left w:val="none" w:sz="0" w:space="0" w:color="auto"/>
            <w:bottom w:val="none" w:sz="0" w:space="0" w:color="auto"/>
            <w:right w:val="none" w:sz="0" w:space="0" w:color="auto"/>
          </w:divBdr>
        </w:div>
        <w:div w:id="147090422">
          <w:marLeft w:val="480"/>
          <w:marRight w:val="0"/>
          <w:marTop w:val="0"/>
          <w:marBottom w:val="0"/>
          <w:divBdr>
            <w:top w:val="none" w:sz="0" w:space="0" w:color="auto"/>
            <w:left w:val="none" w:sz="0" w:space="0" w:color="auto"/>
            <w:bottom w:val="none" w:sz="0" w:space="0" w:color="auto"/>
            <w:right w:val="none" w:sz="0" w:space="0" w:color="auto"/>
          </w:divBdr>
        </w:div>
        <w:div w:id="1970818894">
          <w:marLeft w:val="480"/>
          <w:marRight w:val="0"/>
          <w:marTop w:val="0"/>
          <w:marBottom w:val="0"/>
          <w:divBdr>
            <w:top w:val="none" w:sz="0" w:space="0" w:color="auto"/>
            <w:left w:val="none" w:sz="0" w:space="0" w:color="auto"/>
            <w:bottom w:val="none" w:sz="0" w:space="0" w:color="auto"/>
            <w:right w:val="none" w:sz="0" w:space="0" w:color="auto"/>
          </w:divBdr>
        </w:div>
        <w:div w:id="1281763530">
          <w:marLeft w:val="480"/>
          <w:marRight w:val="0"/>
          <w:marTop w:val="0"/>
          <w:marBottom w:val="0"/>
          <w:divBdr>
            <w:top w:val="none" w:sz="0" w:space="0" w:color="auto"/>
            <w:left w:val="none" w:sz="0" w:space="0" w:color="auto"/>
            <w:bottom w:val="none" w:sz="0" w:space="0" w:color="auto"/>
            <w:right w:val="none" w:sz="0" w:space="0" w:color="auto"/>
          </w:divBdr>
        </w:div>
        <w:div w:id="802962502">
          <w:marLeft w:val="480"/>
          <w:marRight w:val="0"/>
          <w:marTop w:val="0"/>
          <w:marBottom w:val="0"/>
          <w:divBdr>
            <w:top w:val="none" w:sz="0" w:space="0" w:color="auto"/>
            <w:left w:val="none" w:sz="0" w:space="0" w:color="auto"/>
            <w:bottom w:val="none" w:sz="0" w:space="0" w:color="auto"/>
            <w:right w:val="none" w:sz="0" w:space="0" w:color="auto"/>
          </w:divBdr>
        </w:div>
        <w:div w:id="1536237607">
          <w:marLeft w:val="480"/>
          <w:marRight w:val="0"/>
          <w:marTop w:val="0"/>
          <w:marBottom w:val="0"/>
          <w:divBdr>
            <w:top w:val="none" w:sz="0" w:space="0" w:color="auto"/>
            <w:left w:val="none" w:sz="0" w:space="0" w:color="auto"/>
            <w:bottom w:val="none" w:sz="0" w:space="0" w:color="auto"/>
            <w:right w:val="none" w:sz="0" w:space="0" w:color="auto"/>
          </w:divBdr>
        </w:div>
        <w:div w:id="1725836882">
          <w:marLeft w:val="480"/>
          <w:marRight w:val="0"/>
          <w:marTop w:val="0"/>
          <w:marBottom w:val="0"/>
          <w:divBdr>
            <w:top w:val="none" w:sz="0" w:space="0" w:color="auto"/>
            <w:left w:val="none" w:sz="0" w:space="0" w:color="auto"/>
            <w:bottom w:val="none" w:sz="0" w:space="0" w:color="auto"/>
            <w:right w:val="none" w:sz="0" w:space="0" w:color="auto"/>
          </w:divBdr>
        </w:div>
        <w:div w:id="1798797404">
          <w:marLeft w:val="480"/>
          <w:marRight w:val="0"/>
          <w:marTop w:val="0"/>
          <w:marBottom w:val="0"/>
          <w:divBdr>
            <w:top w:val="none" w:sz="0" w:space="0" w:color="auto"/>
            <w:left w:val="none" w:sz="0" w:space="0" w:color="auto"/>
            <w:bottom w:val="none" w:sz="0" w:space="0" w:color="auto"/>
            <w:right w:val="none" w:sz="0" w:space="0" w:color="auto"/>
          </w:divBdr>
        </w:div>
        <w:div w:id="145438287">
          <w:marLeft w:val="480"/>
          <w:marRight w:val="0"/>
          <w:marTop w:val="0"/>
          <w:marBottom w:val="0"/>
          <w:divBdr>
            <w:top w:val="none" w:sz="0" w:space="0" w:color="auto"/>
            <w:left w:val="none" w:sz="0" w:space="0" w:color="auto"/>
            <w:bottom w:val="none" w:sz="0" w:space="0" w:color="auto"/>
            <w:right w:val="none" w:sz="0" w:space="0" w:color="auto"/>
          </w:divBdr>
        </w:div>
        <w:div w:id="1052535817">
          <w:marLeft w:val="480"/>
          <w:marRight w:val="0"/>
          <w:marTop w:val="0"/>
          <w:marBottom w:val="0"/>
          <w:divBdr>
            <w:top w:val="none" w:sz="0" w:space="0" w:color="auto"/>
            <w:left w:val="none" w:sz="0" w:space="0" w:color="auto"/>
            <w:bottom w:val="none" w:sz="0" w:space="0" w:color="auto"/>
            <w:right w:val="none" w:sz="0" w:space="0" w:color="auto"/>
          </w:divBdr>
        </w:div>
        <w:div w:id="1625847976">
          <w:marLeft w:val="480"/>
          <w:marRight w:val="0"/>
          <w:marTop w:val="0"/>
          <w:marBottom w:val="0"/>
          <w:divBdr>
            <w:top w:val="none" w:sz="0" w:space="0" w:color="auto"/>
            <w:left w:val="none" w:sz="0" w:space="0" w:color="auto"/>
            <w:bottom w:val="none" w:sz="0" w:space="0" w:color="auto"/>
            <w:right w:val="none" w:sz="0" w:space="0" w:color="auto"/>
          </w:divBdr>
        </w:div>
        <w:div w:id="368378113">
          <w:marLeft w:val="480"/>
          <w:marRight w:val="0"/>
          <w:marTop w:val="0"/>
          <w:marBottom w:val="0"/>
          <w:divBdr>
            <w:top w:val="none" w:sz="0" w:space="0" w:color="auto"/>
            <w:left w:val="none" w:sz="0" w:space="0" w:color="auto"/>
            <w:bottom w:val="none" w:sz="0" w:space="0" w:color="auto"/>
            <w:right w:val="none" w:sz="0" w:space="0" w:color="auto"/>
          </w:divBdr>
        </w:div>
        <w:div w:id="2095008763">
          <w:marLeft w:val="480"/>
          <w:marRight w:val="0"/>
          <w:marTop w:val="0"/>
          <w:marBottom w:val="0"/>
          <w:divBdr>
            <w:top w:val="none" w:sz="0" w:space="0" w:color="auto"/>
            <w:left w:val="none" w:sz="0" w:space="0" w:color="auto"/>
            <w:bottom w:val="none" w:sz="0" w:space="0" w:color="auto"/>
            <w:right w:val="none" w:sz="0" w:space="0" w:color="auto"/>
          </w:divBdr>
        </w:div>
        <w:div w:id="754518652">
          <w:marLeft w:val="480"/>
          <w:marRight w:val="0"/>
          <w:marTop w:val="0"/>
          <w:marBottom w:val="0"/>
          <w:divBdr>
            <w:top w:val="none" w:sz="0" w:space="0" w:color="auto"/>
            <w:left w:val="none" w:sz="0" w:space="0" w:color="auto"/>
            <w:bottom w:val="none" w:sz="0" w:space="0" w:color="auto"/>
            <w:right w:val="none" w:sz="0" w:space="0" w:color="auto"/>
          </w:divBdr>
        </w:div>
        <w:div w:id="444811126">
          <w:marLeft w:val="480"/>
          <w:marRight w:val="0"/>
          <w:marTop w:val="0"/>
          <w:marBottom w:val="0"/>
          <w:divBdr>
            <w:top w:val="none" w:sz="0" w:space="0" w:color="auto"/>
            <w:left w:val="none" w:sz="0" w:space="0" w:color="auto"/>
            <w:bottom w:val="none" w:sz="0" w:space="0" w:color="auto"/>
            <w:right w:val="none" w:sz="0" w:space="0" w:color="auto"/>
          </w:divBdr>
        </w:div>
        <w:div w:id="1528058184">
          <w:marLeft w:val="480"/>
          <w:marRight w:val="0"/>
          <w:marTop w:val="0"/>
          <w:marBottom w:val="0"/>
          <w:divBdr>
            <w:top w:val="none" w:sz="0" w:space="0" w:color="auto"/>
            <w:left w:val="none" w:sz="0" w:space="0" w:color="auto"/>
            <w:bottom w:val="none" w:sz="0" w:space="0" w:color="auto"/>
            <w:right w:val="none" w:sz="0" w:space="0" w:color="auto"/>
          </w:divBdr>
        </w:div>
        <w:div w:id="1748458282">
          <w:marLeft w:val="480"/>
          <w:marRight w:val="0"/>
          <w:marTop w:val="0"/>
          <w:marBottom w:val="0"/>
          <w:divBdr>
            <w:top w:val="none" w:sz="0" w:space="0" w:color="auto"/>
            <w:left w:val="none" w:sz="0" w:space="0" w:color="auto"/>
            <w:bottom w:val="none" w:sz="0" w:space="0" w:color="auto"/>
            <w:right w:val="none" w:sz="0" w:space="0" w:color="auto"/>
          </w:divBdr>
        </w:div>
        <w:div w:id="1608930120">
          <w:marLeft w:val="480"/>
          <w:marRight w:val="0"/>
          <w:marTop w:val="0"/>
          <w:marBottom w:val="0"/>
          <w:divBdr>
            <w:top w:val="none" w:sz="0" w:space="0" w:color="auto"/>
            <w:left w:val="none" w:sz="0" w:space="0" w:color="auto"/>
            <w:bottom w:val="none" w:sz="0" w:space="0" w:color="auto"/>
            <w:right w:val="none" w:sz="0" w:space="0" w:color="auto"/>
          </w:divBdr>
        </w:div>
        <w:div w:id="1634482411">
          <w:marLeft w:val="480"/>
          <w:marRight w:val="0"/>
          <w:marTop w:val="0"/>
          <w:marBottom w:val="0"/>
          <w:divBdr>
            <w:top w:val="none" w:sz="0" w:space="0" w:color="auto"/>
            <w:left w:val="none" w:sz="0" w:space="0" w:color="auto"/>
            <w:bottom w:val="none" w:sz="0" w:space="0" w:color="auto"/>
            <w:right w:val="none" w:sz="0" w:space="0" w:color="auto"/>
          </w:divBdr>
        </w:div>
        <w:div w:id="1813012985">
          <w:marLeft w:val="480"/>
          <w:marRight w:val="0"/>
          <w:marTop w:val="0"/>
          <w:marBottom w:val="0"/>
          <w:divBdr>
            <w:top w:val="none" w:sz="0" w:space="0" w:color="auto"/>
            <w:left w:val="none" w:sz="0" w:space="0" w:color="auto"/>
            <w:bottom w:val="none" w:sz="0" w:space="0" w:color="auto"/>
            <w:right w:val="none" w:sz="0" w:space="0" w:color="auto"/>
          </w:divBdr>
        </w:div>
        <w:div w:id="2032411455">
          <w:marLeft w:val="480"/>
          <w:marRight w:val="0"/>
          <w:marTop w:val="0"/>
          <w:marBottom w:val="0"/>
          <w:divBdr>
            <w:top w:val="none" w:sz="0" w:space="0" w:color="auto"/>
            <w:left w:val="none" w:sz="0" w:space="0" w:color="auto"/>
            <w:bottom w:val="none" w:sz="0" w:space="0" w:color="auto"/>
            <w:right w:val="none" w:sz="0" w:space="0" w:color="auto"/>
          </w:divBdr>
        </w:div>
        <w:div w:id="16547811">
          <w:marLeft w:val="480"/>
          <w:marRight w:val="0"/>
          <w:marTop w:val="0"/>
          <w:marBottom w:val="0"/>
          <w:divBdr>
            <w:top w:val="none" w:sz="0" w:space="0" w:color="auto"/>
            <w:left w:val="none" w:sz="0" w:space="0" w:color="auto"/>
            <w:bottom w:val="none" w:sz="0" w:space="0" w:color="auto"/>
            <w:right w:val="none" w:sz="0" w:space="0" w:color="auto"/>
          </w:divBdr>
        </w:div>
        <w:div w:id="706639137">
          <w:marLeft w:val="480"/>
          <w:marRight w:val="0"/>
          <w:marTop w:val="0"/>
          <w:marBottom w:val="0"/>
          <w:divBdr>
            <w:top w:val="none" w:sz="0" w:space="0" w:color="auto"/>
            <w:left w:val="none" w:sz="0" w:space="0" w:color="auto"/>
            <w:bottom w:val="none" w:sz="0" w:space="0" w:color="auto"/>
            <w:right w:val="none" w:sz="0" w:space="0" w:color="auto"/>
          </w:divBdr>
        </w:div>
        <w:div w:id="297228508">
          <w:marLeft w:val="480"/>
          <w:marRight w:val="0"/>
          <w:marTop w:val="0"/>
          <w:marBottom w:val="0"/>
          <w:divBdr>
            <w:top w:val="none" w:sz="0" w:space="0" w:color="auto"/>
            <w:left w:val="none" w:sz="0" w:space="0" w:color="auto"/>
            <w:bottom w:val="none" w:sz="0" w:space="0" w:color="auto"/>
            <w:right w:val="none" w:sz="0" w:space="0" w:color="auto"/>
          </w:divBdr>
        </w:div>
        <w:div w:id="64376768">
          <w:marLeft w:val="480"/>
          <w:marRight w:val="0"/>
          <w:marTop w:val="0"/>
          <w:marBottom w:val="0"/>
          <w:divBdr>
            <w:top w:val="none" w:sz="0" w:space="0" w:color="auto"/>
            <w:left w:val="none" w:sz="0" w:space="0" w:color="auto"/>
            <w:bottom w:val="none" w:sz="0" w:space="0" w:color="auto"/>
            <w:right w:val="none" w:sz="0" w:space="0" w:color="auto"/>
          </w:divBdr>
        </w:div>
        <w:div w:id="1187713886">
          <w:marLeft w:val="480"/>
          <w:marRight w:val="0"/>
          <w:marTop w:val="0"/>
          <w:marBottom w:val="0"/>
          <w:divBdr>
            <w:top w:val="none" w:sz="0" w:space="0" w:color="auto"/>
            <w:left w:val="none" w:sz="0" w:space="0" w:color="auto"/>
            <w:bottom w:val="none" w:sz="0" w:space="0" w:color="auto"/>
            <w:right w:val="none" w:sz="0" w:space="0" w:color="auto"/>
          </w:divBdr>
        </w:div>
        <w:div w:id="1220285449">
          <w:marLeft w:val="480"/>
          <w:marRight w:val="0"/>
          <w:marTop w:val="0"/>
          <w:marBottom w:val="0"/>
          <w:divBdr>
            <w:top w:val="none" w:sz="0" w:space="0" w:color="auto"/>
            <w:left w:val="none" w:sz="0" w:space="0" w:color="auto"/>
            <w:bottom w:val="none" w:sz="0" w:space="0" w:color="auto"/>
            <w:right w:val="none" w:sz="0" w:space="0" w:color="auto"/>
          </w:divBdr>
        </w:div>
        <w:div w:id="1276869297">
          <w:marLeft w:val="480"/>
          <w:marRight w:val="0"/>
          <w:marTop w:val="0"/>
          <w:marBottom w:val="0"/>
          <w:divBdr>
            <w:top w:val="none" w:sz="0" w:space="0" w:color="auto"/>
            <w:left w:val="none" w:sz="0" w:space="0" w:color="auto"/>
            <w:bottom w:val="none" w:sz="0" w:space="0" w:color="auto"/>
            <w:right w:val="none" w:sz="0" w:space="0" w:color="auto"/>
          </w:divBdr>
        </w:div>
        <w:div w:id="331371803">
          <w:marLeft w:val="480"/>
          <w:marRight w:val="0"/>
          <w:marTop w:val="0"/>
          <w:marBottom w:val="0"/>
          <w:divBdr>
            <w:top w:val="none" w:sz="0" w:space="0" w:color="auto"/>
            <w:left w:val="none" w:sz="0" w:space="0" w:color="auto"/>
            <w:bottom w:val="none" w:sz="0" w:space="0" w:color="auto"/>
            <w:right w:val="none" w:sz="0" w:space="0" w:color="auto"/>
          </w:divBdr>
        </w:div>
        <w:div w:id="1508447988">
          <w:marLeft w:val="480"/>
          <w:marRight w:val="0"/>
          <w:marTop w:val="0"/>
          <w:marBottom w:val="0"/>
          <w:divBdr>
            <w:top w:val="none" w:sz="0" w:space="0" w:color="auto"/>
            <w:left w:val="none" w:sz="0" w:space="0" w:color="auto"/>
            <w:bottom w:val="none" w:sz="0" w:space="0" w:color="auto"/>
            <w:right w:val="none" w:sz="0" w:space="0" w:color="auto"/>
          </w:divBdr>
        </w:div>
        <w:div w:id="165052222">
          <w:marLeft w:val="480"/>
          <w:marRight w:val="0"/>
          <w:marTop w:val="0"/>
          <w:marBottom w:val="0"/>
          <w:divBdr>
            <w:top w:val="none" w:sz="0" w:space="0" w:color="auto"/>
            <w:left w:val="none" w:sz="0" w:space="0" w:color="auto"/>
            <w:bottom w:val="none" w:sz="0" w:space="0" w:color="auto"/>
            <w:right w:val="none" w:sz="0" w:space="0" w:color="auto"/>
          </w:divBdr>
        </w:div>
        <w:div w:id="904141355">
          <w:marLeft w:val="480"/>
          <w:marRight w:val="0"/>
          <w:marTop w:val="0"/>
          <w:marBottom w:val="0"/>
          <w:divBdr>
            <w:top w:val="none" w:sz="0" w:space="0" w:color="auto"/>
            <w:left w:val="none" w:sz="0" w:space="0" w:color="auto"/>
            <w:bottom w:val="none" w:sz="0" w:space="0" w:color="auto"/>
            <w:right w:val="none" w:sz="0" w:space="0" w:color="auto"/>
          </w:divBdr>
        </w:div>
        <w:div w:id="791175377">
          <w:marLeft w:val="480"/>
          <w:marRight w:val="0"/>
          <w:marTop w:val="0"/>
          <w:marBottom w:val="0"/>
          <w:divBdr>
            <w:top w:val="none" w:sz="0" w:space="0" w:color="auto"/>
            <w:left w:val="none" w:sz="0" w:space="0" w:color="auto"/>
            <w:bottom w:val="none" w:sz="0" w:space="0" w:color="auto"/>
            <w:right w:val="none" w:sz="0" w:space="0" w:color="auto"/>
          </w:divBdr>
        </w:div>
        <w:div w:id="1103458903">
          <w:marLeft w:val="480"/>
          <w:marRight w:val="0"/>
          <w:marTop w:val="0"/>
          <w:marBottom w:val="0"/>
          <w:divBdr>
            <w:top w:val="none" w:sz="0" w:space="0" w:color="auto"/>
            <w:left w:val="none" w:sz="0" w:space="0" w:color="auto"/>
            <w:bottom w:val="none" w:sz="0" w:space="0" w:color="auto"/>
            <w:right w:val="none" w:sz="0" w:space="0" w:color="auto"/>
          </w:divBdr>
        </w:div>
        <w:div w:id="2085761652">
          <w:marLeft w:val="480"/>
          <w:marRight w:val="0"/>
          <w:marTop w:val="0"/>
          <w:marBottom w:val="0"/>
          <w:divBdr>
            <w:top w:val="none" w:sz="0" w:space="0" w:color="auto"/>
            <w:left w:val="none" w:sz="0" w:space="0" w:color="auto"/>
            <w:bottom w:val="none" w:sz="0" w:space="0" w:color="auto"/>
            <w:right w:val="none" w:sz="0" w:space="0" w:color="auto"/>
          </w:divBdr>
        </w:div>
        <w:div w:id="1744134599">
          <w:marLeft w:val="480"/>
          <w:marRight w:val="0"/>
          <w:marTop w:val="0"/>
          <w:marBottom w:val="0"/>
          <w:divBdr>
            <w:top w:val="none" w:sz="0" w:space="0" w:color="auto"/>
            <w:left w:val="none" w:sz="0" w:space="0" w:color="auto"/>
            <w:bottom w:val="none" w:sz="0" w:space="0" w:color="auto"/>
            <w:right w:val="none" w:sz="0" w:space="0" w:color="auto"/>
          </w:divBdr>
        </w:div>
        <w:div w:id="1287003671">
          <w:marLeft w:val="480"/>
          <w:marRight w:val="0"/>
          <w:marTop w:val="0"/>
          <w:marBottom w:val="0"/>
          <w:divBdr>
            <w:top w:val="none" w:sz="0" w:space="0" w:color="auto"/>
            <w:left w:val="none" w:sz="0" w:space="0" w:color="auto"/>
            <w:bottom w:val="none" w:sz="0" w:space="0" w:color="auto"/>
            <w:right w:val="none" w:sz="0" w:space="0" w:color="auto"/>
          </w:divBdr>
        </w:div>
        <w:div w:id="486173083">
          <w:marLeft w:val="480"/>
          <w:marRight w:val="0"/>
          <w:marTop w:val="0"/>
          <w:marBottom w:val="0"/>
          <w:divBdr>
            <w:top w:val="none" w:sz="0" w:space="0" w:color="auto"/>
            <w:left w:val="none" w:sz="0" w:space="0" w:color="auto"/>
            <w:bottom w:val="none" w:sz="0" w:space="0" w:color="auto"/>
            <w:right w:val="none" w:sz="0" w:space="0" w:color="auto"/>
          </w:divBdr>
        </w:div>
        <w:div w:id="34623951">
          <w:marLeft w:val="480"/>
          <w:marRight w:val="0"/>
          <w:marTop w:val="0"/>
          <w:marBottom w:val="0"/>
          <w:divBdr>
            <w:top w:val="none" w:sz="0" w:space="0" w:color="auto"/>
            <w:left w:val="none" w:sz="0" w:space="0" w:color="auto"/>
            <w:bottom w:val="none" w:sz="0" w:space="0" w:color="auto"/>
            <w:right w:val="none" w:sz="0" w:space="0" w:color="auto"/>
          </w:divBdr>
        </w:div>
        <w:div w:id="1352218848">
          <w:marLeft w:val="480"/>
          <w:marRight w:val="0"/>
          <w:marTop w:val="0"/>
          <w:marBottom w:val="0"/>
          <w:divBdr>
            <w:top w:val="none" w:sz="0" w:space="0" w:color="auto"/>
            <w:left w:val="none" w:sz="0" w:space="0" w:color="auto"/>
            <w:bottom w:val="none" w:sz="0" w:space="0" w:color="auto"/>
            <w:right w:val="none" w:sz="0" w:space="0" w:color="auto"/>
          </w:divBdr>
        </w:div>
        <w:div w:id="88550146">
          <w:marLeft w:val="480"/>
          <w:marRight w:val="0"/>
          <w:marTop w:val="0"/>
          <w:marBottom w:val="0"/>
          <w:divBdr>
            <w:top w:val="none" w:sz="0" w:space="0" w:color="auto"/>
            <w:left w:val="none" w:sz="0" w:space="0" w:color="auto"/>
            <w:bottom w:val="none" w:sz="0" w:space="0" w:color="auto"/>
            <w:right w:val="none" w:sz="0" w:space="0" w:color="auto"/>
          </w:divBdr>
        </w:div>
        <w:div w:id="418215034">
          <w:marLeft w:val="480"/>
          <w:marRight w:val="0"/>
          <w:marTop w:val="0"/>
          <w:marBottom w:val="0"/>
          <w:divBdr>
            <w:top w:val="none" w:sz="0" w:space="0" w:color="auto"/>
            <w:left w:val="none" w:sz="0" w:space="0" w:color="auto"/>
            <w:bottom w:val="none" w:sz="0" w:space="0" w:color="auto"/>
            <w:right w:val="none" w:sz="0" w:space="0" w:color="auto"/>
          </w:divBdr>
        </w:div>
        <w:div w:id="211813622">
          <w:marLeft w:val="480"/>
          <w:marRight w:val="0"/>
          <w:marTop w:val="0"/>
          <w:marBottom w:val="0"/>
          <w:divBdr>
            <w:top w:val="none" w:sz="0" w:space="0" w:color="auto"/>
            <w:left w:val="none" w:sz="0" w:space="0" w:color="auto"/>
            <w:bottom w:val="none" w:sz="0" w:space="0" w:color="auto"/>
            <w:right w:val="none" w:sz="0" w:space="0" w:color="auto"/>
          </w:divBdr>
        </w:div>
        <w:div w:id="1472136261">
          <w:marLeft w:val="480"/>
          <w:marRight w:val="0"/>
          <w:marTop w:val="0"/>
          <w:marBottom w:val="0"/>
          <w:divBdr>
            <w:top w:val="none" w:sz="0" w:space="0" w:color="auto"/>
            <w:left w:val="none" w:sz="0" w:space="0" w:color="auto"/>
            <w:bottom w:val="none" w:sz="0" w:space="0" w:color="auto"/>
            <w:right w:val="none" w:sz="0" w:space="0" w:color="auto"/>
          </w:divBdr>
        </w:div>
        <w:div w:id="153374923">
          <w:marLeft w:val="480"/>
          <w:marRight w:val="0"/>
          <w:marTop w:val="0"/>
          <w:marBottom w:val="0"/>
          <w:divBdr>
            <w:top w:val="none" w:sz="0" w:space="0" w:color="auto"/>
            <w:left w:val="none" w:sz="0" w:space="0" w:color="auto"/>
            <w:bottom w:val="none" w:sz="0" w:space="0" w:color="auto"/>
            <w:right w:val="none" w:sz="0" w:space="0" w:color="auto"/>
          </w:divBdr>
        </w:div>
        <w:div w:id="2033994286">
          <w:marLeft w:val="480"/>
          <w:marRight w:val="0"/>
          <w:marTop w:val="0"/>
          <w:marBottom w:val="0"/>
          <w:divBdr>
            <w:top w:val="none" w:sz="0" w:space="0" w:color="auto"/>
            <w:left w:val="none" w:sz="0" w:space="0" w:color="auto"/>
            <w:bottom w:val="none" w:sz="0" w:space="0" w:color="auto"/>
            <w:right w:val="none" w:sz="0" w:space="0" w:color="auto"/>
          </w:divBdr>
        </w:div>
        <w:div w:id="1028334361">
          <w:marLeft w:val="480"/>
          <w:marRight w:val="0"/>
          <w:marTop w:val="0"/>
          <w:marBottom w:val="0"/>
          <w:divBdr>
            <w:top w:val="none" w:sz="0" w:space="0" w:color="auto"/>
            <w:left w:val="none" w:sz="0" w:space="0" w:color="auto"/>
            <w:bottom w:val="none" w:sz="0" w:space="0" w:color="auto"/>
            <w:right w:val="none" w:sz="0" w:space="0" w:color="auto"/>
          </w:divBdr>
        </w:div>
        <w:div w:id="1545560065">
          <w:marLeft w:val="480"/>
          <w:marRight w:val="0"/>
          <w:marTop w:val="0"/>
          <w:marBottom w:val="0"/>
          <w:divBdr>
            <w:top w:val="none" w:sz="0" w:space="0" w:color="auto"/>
            <w:left w:val="none" w:sz="0" w:space="0" w:color="auto"/>
            <w:bottom w:val="none" w:sz="0" w:space="0" w:color="auto"/>
            <w:right w:val="none" w:sz="0" w:space="0" w:color="auto"/>
          </w:divBdr>
        </w:div>
        <w:div w:id="1822845988">
          <w:marLeft w:val="480"/>
          <w:marRight w:val="0"/>
          <w:marTop w:val="0"/>
          <w:marBottom w:val="0"/>
          <w:divBdr>
            <w:top w:val="none" w:sz="0" w:space="0" w:color="auto"/>
            <w:left w:val="none" w:sz="0" w:space="0" w:color="auto"/>
            <w:bottom w:val="none" w:sz="0" w:space="0" w:color="auto"/>
            <w:right w:val="none" w:sz="0" w:space="0" w:color="auto"/>
          </w:divBdr>
        </w:div>
        <w:div w:id="43481708">
          <w:marLeft w:val="480"/>
          <w:marRight w:val="0"/>
          <w:marTop w:val="0"/>
          <w:marBottom w:val="0"/>
          <w:divBdr>
            <w:top w:val="none" w:sz="0" w:space="0" w:color="auto"/>
            <w:left w:val="none" w:sz="0" w:space="0" w:color="auto"/>
            <w:bottom w:val="none" w:sz="0" w:space="0" w:color="auto"/>
            <w:right w:val="none" w:sz="0" w:space="0" w:color="auto"/>
          </w:divBdr>
        </w:div>
      </w:divsChild>
    </w:div>
    <w:div w:id="946160363">
      <w:bodyDiv w:val="1"/>
      <w:marLeft w:val="0"/>
      <w:marRight w:val="0"/>
      <w:marTop w:val="0"/>
      <w:marBottom w:val="0"/>
      <w:divBdr>
        <w:top w:val="none" w:sz="0" w:space="0" w:color="auto"/>
        <w:left w:val="none" w:sz="0" w:space="0" w:color="auto"/>
        <w:bottom w:val="none" w:sz="0" w:space="0" w:color="auto"/>
        <w:right w:val="none" w:sz="0" w:space="0" w:color="auto"/>
      </w:divBdr>
    </w:div>
    <w:div w:id="946280820">
      <w:bodyDiv w:val="1"/>
      <w:marLeft w:val="0"/>
      <w:marRight w:val="0"/>
      <w:marTop w:val="0"/>
      <w:marBottom w:val="0"/>
      <w:divBdr>
        <w:top w:val="none" w:sz="0" w:space="0" w:color="auto"/>
        <w:left w:val="none" w:sz="0" w:space="0" w:color="auto"/>
        <w:bottom w:val="none" w:sz="0" w:space="0" w:color="auto"/>
        <w:right w:val="none" w:sz="0" w:space="0" w:color="auto"/>
      </w:divBdr>
    </w:div>
    <w:div w:id="947278802">
      <w:bodyDiv w:val="1"/>
      <w:marLeft w:val="0"/>
      <w:marRight w:val="0"/>
      <w:marTop w:val="0"/>
      <w:marBottom w:val="0"/>
      <w:divBdr>
        <w:top w:val="none" w:sz="0" w:space="0" w:color="auto"/>
        <w:left w:val="none" w:sz="0" w:space="0" w:color="auto"/>
        <w:bottom w:val="none" w:sz="0" w:space="0" w:color="auto"/>
        <w:right w:val="none" w:sz="0" w:space="0" w:color="auto"/>
      </w:divBdr>
    </w:div>
    <w:div w:id="947859425">
      <w:bodyDiv w:val="1"/>
      <w:marLeft w:val="0"/>
      <w:marRight w:val="0"/>
      <w:marTop w:val="0"/>
      <w:marBottom w:val="0"/>
      <w:divBdr>
        <w:top w:val="none" w:sz="0" w:space="0" w:color="auto"/>
        <w:left w:val="none" w:sz="0" w:space="0" w:color="auto"/>
        <w:bottom w:val="none" w:sz="0" w:space="0" w:color="auto"/>
        <w:right w:val="none" w:sz="0" w:space="0" w:color="auto"/>
      </w:divBdr>
    </w:div>
    <w:div w:id="949359090">
      <w:bodyDiv w:val="1"/>
      <w:marLeft w:val="0"/>
      <w:marRight w:val="0"/>
      <w:marTop w:val="0"/>
      <w:marBottom w:val="0"/>
      <w:divBdr>
        <w:top w:val="none" w:sz="0" w:space="0" w:color="auto"/>
        <w:left w:val="none" w:sz="0" w:space="0" w:color="auto"/>
        <w:bottom w:val="none" w:sz="0" w:space="0" w:color="auto"/>
        <w:right w:val="none" w:sz="0" w:space="0" w:color="auto"/>
      </w:divBdr>
    </w:div>
    <w:div w:id="949438482">
      <w:bodyDiv w:val="1"/>
      <w:marLeft w:val="0"/>
      <w:marRight w:val="0"/>
      <w:marTop w:val="0"/>
      <w:marBottom w:val="0"/>
      <w:divBdr>
        <w:top w:val="none" w:sz="0" w:space="0" w:color="auto"/>
        <w:left w:val="none" w:sz="0" w:space="0" w:color="auto"/>
        <w:bottom w:val="none" w:sz="0" w:space="0" w:color="auto"/>
        <w:right w:val="none" w:sz="0" w:space="0" w:color="auto"/>
      </w:divBdr>
    </w:div>
    <w:div w:id="949970573">
      <w:bodyDiv w:val="1"/>
      <w:marLeft w:val="0"/>
      <w:marRight w:val="0"/>
      <w:marTop w:val="0"/>
      <w:marBottom w:val="0"/>
      <w:divBdr>
        <w:top w:val="none" w:sz="0" w:space="0" w:color="auto"/>
        <w:left w:val="none" w:sz="0" w:space="0" w:color="auto"/>
        <w:bottom w:val="none" w:sz="0" w:space="0" w:color="auto"/>
        <w:right w:val="none" w:sz="0" w:space="0" w:color="auto"/>
      </w:divBdr>
    </w:div>
    <w:div w:id="950666045">
      <w:bodyDiv w:val="1"/>
      <w:marLeft w:val="0"/>
      <w:marRight w:val="0"/>
      <w:marTop w:val="0"/>
      <w:marBottom w:val="0"/>
      <w:divBdr>
        <w:top w:val="none" w:sz="0" w:space="0" w:color="auto"/>
        <w:left w:val="none" w:sz="0" w:space="0" w:color="auto"/>
        <w:bottom w:val="none" w:sz="0" w:space="0" w:color="auto"/>
        <w:right w:val="none" w:sz="0" w:space="0" w:color="auto"/>
      </w:divBdr>
    </w:div>
    <w:div w:id="950743381">
      <w:bodyDiv w:val="1"/>
      <w:marLeft w:val="0"/>
      <w:marRight w:val="0"/>
      <w:marTop w:val="0"/>
      <w:marBottom w:val="0"/>
      <w:divBdr>
        <w:top w:val="none" w:sz="0" w:space="0" w:color="auto"/>
        <w:left w:val="none" w:sz="0" w:space="0" w:color="auto"/>
        <w:bottom w:val="none" w:sz="0" w:space="0" w:color="auto"/>
        <w:right w:val="none" w:sz="0" w:space="0" w:color="auto"/>
      </w:divBdr>
    </w:div>
    <w:div w:id="950821539">
      <w:bodyDiv w:val="1"/>
      <w:marLeft w:val="0"/>
      <w:marRight w:val="0"/>
      <w:marTop w:val="0"/>
      <w:marBottom w:val="0"/>
      <w:divBdr>
        <w:top w:val="none" w:sz="0" w:space="0" w:color="auto"/>
        <w:left w:val="none" w:sz="0" w:space="0" w:color="auto"/>
        <w:bottom w:val="none" w:sz="0" w:space="0" w:color="auto"/>
        <w:right w:val="none" w:sz="0" w:space="0" w:color="auto"/>
      </w:divBdr>
    </w:div>
    <w:div w:id="951211022">
      <w:bodyDiv w:val="1"/>
      <w:marLeft w:val="0"/>
      <w:marRight w:val="0"/>
      <w:marTop w:val="0"/>
      <w:marBottom w:val="0"/>
      <w:divBdr>
        <w:top w:val="none" w:sz="0" w:space="0" w:color="auto"/>
        <w:left w:val="none" w:sz="0" w:space="0" w:color="auto"/>
        <w:bottom w:val="none" w:sz="0" w:space="0" w:color="auto"/>
        <w:right w:val="none" w:sz="0" w:space="0" w:color="auto"/>
      </w:divBdr>
    </w:div>
    <w:div w:id="952515388">
      <w:bodyDiv w:val="1"/>
      <w:marLeft w:val="0"/>
      <w:marRight w:val="0"/>
      <w:marTop w:val="0"/>
      <w:marBottom w:val="0"/>
      <w:divBdr>
        <w:top w:val="none" w:sz="0" w:space="0" w:color="auto"/>
        <w:left w:val="none" w:sz="0" w:space="0" w:color="auto"/>
        <w:bottom w:val="none" w:sz="0" w:space="0" w:color="auto"/>
        <w:right w:val="none" w:sz="0" w:space="0" w:color="auto"/>
      </w:divBdr>
    </w:div>
    <w:div w:id="952981875">
      <w:bodyDiv w:val="1"/>
      <w:marLeft w:val="0"/>
      <w:marRight w:val="0"/>
      <w:marTop w:val="0"/>
      <w:marBottom w:val="0"/>
      <w:divBdr>
        <w:top w:val="none" w:sz="0" w:space="0" w:color="auto"/>
        <w:left w:val="none" w:sz="0" w:space="0" w:color="auto"/>
        <w:bottom w:val="none" w:sz="0" w:space="0" w:color="auto"/>
        <w:right w:val="none" w:sz="0" w:space="0" w:color="auto"/>
      </w:divBdr>
    </w:div>
    <w:div w:id="953363046">
      <w:bodyDiv w:val="1"/>
      <w:marLeft w:val="0"/>
      <w:marRight w:val="0"/>
      <w:marTop w:val="0"/>
      <w:marBottom w:val="0"/>
      <w:divBdr>
        <w:top w:val="none" w:sz="0" w:space="0" w:color="auto"/>
        <w:left w:val="none" w:sz="0" w:space="0" w:color="auto"/>
        <w:bottom w:val="none" w:sz="0" w:space="0" w:color="auto"/>
        <w:right w:val="none" w:sz="0" w:space="0" w:color="auto"/>
      </w:divBdr>
    </w:div>
    <w:div w:id="954099292">
      <w:bodyDiv w:val="1"/>
      <w:marLeft w:val="0"/>
      <w:marRight w:val="0"/>
      <w:marTop w:val="0"/>
      <w:marBottom w:val="0"/>
      <w:divBdr>
        <w:top w:val="none" w:sz="0" w:space="0" w:color="auto"/>
        <w:left w:val="none" w:sz="0" w:space="0" w:color="auto"/>
        <w:bottom w:val="none" w:sz="0" w:space="0" w:color="auto"/>
        <w:right w:val="none" w:sz="0" w:space="0" w:color="auto"/>
      </w:divBdr>
    </w:div>
    <w:div w:id="955016173">
      <w:bodyDiv w:val="1"/>
      <w:marLeft w:val="0"/>
      <w:marRight w:val="0"/>
      <w:marTop w:val="0"/>
      <w:marBottom w:val="0"/>
      <w:divBdr>
        <w:top w:val="none" w:sz="0" w:space="0" w:color="auto"/>
        <w:left w:val="none" w:sz="0" w:space="0" w:color="auto"/>
        <w:bottom w:val="none" w:sz="0" w:space="0" w:color="auto"/>
        <w:right w:val="none" w:sz="0" w:space="0" w:color="auto"/>
      </w:divBdr>
    </w:div>
    <w:div w:id="955058651">
      <w:bodyDiv w:val="1"/>
      <w:marLeft w:val="0"/>
      <w:marRight w:val="0"/>
      <w:marTop w:val="0"/>
      <w:marBottom w:val="0"/>
      <w:divBdr>
        <w:top w:val="none" w:sz="0" w:space="0" w:color="auto"/>
        <w:left w:val="none" w:sz="0" w:space="0" w:color="auto"/>
        <w:bottom w:val="none" w:sz="0" w:space="0" w:color="auto"/>
        <w:right w:val="none" w:sz="0" w:space="0" w:color="auto"/>
      </w:divBdr>
    </w:div>
    <w:div w:id="956177641">
      <w:bodyDiv w:val="1"/>
      <w:marLeft w:val="0"/>
      <w:marRight w:val="0"/>
      <w:marTop w:val="0"/>
      <w:marBottom w:val="0"/>
      <w:divBdr>
        <w:top w:val="none" w:sz="0" w:space="0" w:color="auto"/>
        <w:left w:val="none" w:sz="0" w:space="0" w:color="auto"/>
        <w:bottom w:val="none" w:sz="0" w:space="0" w:color="auto"/>
        <w:right w:val="none" w:sz="0" w:space="0" w:color="auto"/>
      </w:divBdr>
    </w:div>
    <w:div w:id="956371698">
      <w:bodyDiv w:val="1"/>
      <w:marLeft w:val="0"/>
      <w:marRight w:val="0"/>
      <w:marTop w:val="0"/>
      <w:marBottom w:val="0"/>
      <w:divBdr>
        <w:top w:val="none" w:sz="0" w:space="0" w:color="auto"/>
        <w:left w:val="none" w:sz="0" w:space="0" w:color="auto"/>
        <w:bottom w:val="none" w:sz="0" w:space="0" w:color="auto"/>
        <w:right w:val="none" w:sz="0" w:space="0" w:color="auto"/>
      </w:divBdr>
    </w:div>
    <w:div w:id="956637989">
      <w:bodyDiv w:val="1"/>
      <w:marLeft w:val="0"/>
      <w:marRight w:val="0"/>
      <w:marTop w:val="0"/>
      <w:marBottom w:val="0"/>
      <w:divBdr>
        <w:top w:val="none" w:sz="0" w:space="0" w:color="auto"/>
        <w:left w:val="none" w:sz="0" w:space="0" w:color="auto"/>
        <w:bottom w:val="none" w:sz="0" w:space="0" w:color="auto"/>
        <w:right w:val="none" w:sz="0" w:space="0" w:color="auto"/>
      </w:divBdr>
    </w:div>
    <w:div w:id="957444679">
      <w:bodyDiv w:val="1"/>
      <w:marLeft w:val="0"/>
      <w:marRight w:val="0"/>
      <w:marTop w:val="0"/>
      <w:marBottom w:val="0"/>
      <w:divBdr>
        <w:top w:val="none" w:sz="0" w:space="0" w:color="auto"/>
        <w:left w:val="none" w:sz="0" w:space="0" w:color="auto"/>
        <w:bottom w:val="none" w:sz="0" w:space="0" w:color="auto"/>
        <w:right w:val="none" w:sz="0" w:space="0" w:color="auto"/>
      </w:divBdr>
    </w:div>
    <w:div w:id="957680124">
      <w:bodyDiv w:val="1"/>
      <w:marLeft w:val="0"/>
      <w:marRight w:val="0"/>
      <w:marTop w:val="0"/>
      <w:marBottom w:val="0"/>
      <w:divBdr>
        <w:top w:val="none" w:sz="0" w:space="0" w:color="auto"/>
        <w:left w:val="none" w:sz="0" w:space="0" w:color="auto"/>
        <w:bottom w:val="none" w:sz="0" w:space="0" w:color="auto"/>
        <w:right w:val="none" w:sz="0" w:space="0" w:color="auto"/>
      </w:divBdr>
    </w:div>
    <w:div w:id="957686241">
      <w:bodyDiv w:val="1"/>
      <w:marLeft w:val="0"/>
      <w:marRight w:val="0"/>
      <w:marTop w:val="0"/>
      <w:marBottom w:val="0"/>
      <w:divBdr>
        <w:top w:val="none" w:sz="0" w:space="0" w:color="auto"/>
        <w:left w:val="none" w:sz="0" w:space="0" w:color="auto"/>
        <w:bottom w:val="none" w:sz="0" w:space="0" w:color="auto"/>
        <w:right w:val="none" w:sz="0" w:space="0" w:color="auto"/>
      </w:divBdr>
    </w:div>
    <w:div w:id="957955991">
      <w:bodyDiv w:val="1"/>
      <w:marLeft w:val="0"/>
      <w:marRight w:val="0"/>
      <w:marTop w:val="0"/>
      <w:marBottom w:val="0"/>
      <w:divBdr>
        <w:top w:val="none" w:sz="0" w:space="0" w:color="auto"/>
        <w:left w:val="none" w:sz="0" w:space="0" w:color="auto"/>
        <w:bottom w:val="none" w:sz="0" w:space="0" w:color="auto"/>
        <w:right w:val="none" w:sz="0" w:space="0" w:color="auto"/>
      </w:divBdr>
    </w:div>
    <w:div w:id="958729901">
      <w:bodyDiv w:val="1"/>
      <w:marLeft w:val="0"/>
      <w:marRight w:val="0"/>
      <w:marTop w:val="0"/>
      <w:marBottom w:val="0"/>
      <w:divBdr>
        <w:top w:val="none" w:sz="0" w:space="0" w:color="auto"/>
        <w:left w:val="none" w:sz="0" w:space="0" w:color="auto"/>
        <w:bottom w:val="none" w:sz="0" w:space="0" w:color="auto"/>
        <w:right w:val="none" w:sz="0" w:space="0" w:color="auto"/>
      </w:divBdr>
    </w:div>
    <w:div w:id="959654621">
      <w:bodyDiv w:val="1"/>
      <w:marLeft w:val="0"/>
      <w:marRight w:val="0"/>
      <w:marTop w:val="0"/>
      <w:marBottom w:val="0"/>
      <w:divBdr>
        <w:top w:val="none" w:sz="0" w:space="0" w:color="auto"/>
        <w:left w:val="none" w:sz="0" w:space="0" w:color="auto"/>
        <w:bottom w:val="none" w:sz="0" w:space="0" w:color="auto"/>
        <w:right w:val="none" w:sz="0" w:space="0" w:color="auto"/>
      </w:divBdr>
    </w:div>
    <w:div w:id="960839409">
      <w:bodyDiv w:val="1"/>
      <w:marLeft w:val="0"/>
      <w:marRight w:val="0"/>
      <w:marTop w:val="0"/>
      <w:marBottom w:val="0"/>
      <w:divBdr>
        <w:top w:val="none" w:sz="0" w:space="0" w:color="auto"/>
        <w:left w:val="none" w:sz="0" w:space="0" w:color="auto"/>
        <w:bottom w:val="none" w:sz="0" w:space="0" w:color="auto"/>
        <w:right w:val="none" w:sz="0" w:space="0" w:color="auto"/>
      </w:divBdr>
    </w:div>
    <w:div w:id="960844563">
      <w:bodyDiv w:val="1"/>
      <w:marLeft w:val="0"/>
      <w:marRight w:val="0"/>
      <w:marTop w:val="0"/>
      <w:marBottom w:val="0"/>
      <w:divBdr>
        <w:top w:val="none" w:sz="0" w:space="0" w:color="auto"/>
        <w:left w:val="none" w:sz="0" w:space="0" w:color="auto"/>
        <w:bottom w:val="none" w:sz="0" w:space="0" w:color="auto"/>
        <w:right w:val="none" w:sz="0" w:space="0" w:color="auto"/>
      </w:divBdr>
    </w:div>
    <w:div w:id="961813433">
      <w:bodyDiv w:val="1"/>
      <w:marLeft w:val="0"/>
      <w:marRight w:val="0"/>
      <w:marTop w:val="0"/>
      <w:marBottom w:val="0"/>
      <w:divBdr>
        <w:top w:val="none" w:sz="0" w:space="0" w:color="auto"/>
        <w:left w:val="none" w:sz="0" w:space="0" w:color="auto"/>
        <w:bottom w:val="none" w:sz="0" w:space="0" w:color="auto"/>
        <w:right w:val="none" w:sz="0" w:space="0" w:color="auto"/>
      </w:divBdr>
    </w:div>
    <w:div w:id="962148410">
      <w:bodyDiv w:val="1"/>
      <w:marLeft w:val="0"/>
      <w:marRight w:val="0"/>
      <w:marTop w:val="0"/>
      <w:marBottom w:val="0"/>
      <w:divBdr>
        <w:top w:val="none" w:sz="0" w:space="0" w:color="auto"/>
        <w:left w:val="none" w:sz="0" w:space="0" w:color="auto"/>
        <w:bottom w:val="none" w:sz="0" w:space="0" w:color="auto"/>
        <w:right w:val="none" w:sz="0" w:space="0" w:color="auto"/>
      </w:divBdr>
    </w:div>
    <w:div w:id="963584036">
      <w:bodyDiv w:val="1"/>
      <w:marLeft w:val="0"/>
      <w:marRight w:val="0"/>
      <w:marTop w:val="0"/>
      <w:marBottom w:val="0"/>
      <w:divBdr>
        <w:top w:val="none" w:sz="0" w:space="0" w:color="auto"/>
        <w:left w:val="none" w:sz="0" w:space="0" w:color="auto"/>
        <w:bottom w:val="none" w:sz="0" w:space="0" w:color="auto"/>
        <w:right w:val="none" w:sz="0" w:space="0" w:color="auto"/>
      </w:divBdr>
    </w:div>
    <w:div w:id="963923480">
      <w:bodyDiv w:val="1"/>
      <w:marLeft w:val="0"/>
      <w:marRight w:val="0"/>
      <w:marTop w:val="0"/>
      <w:marBottom w:val="0"/>
      <w:divBdr>
        <w:top w:val="none" w:sz="0" w:space="0" w:color="auto"/>
        <w:left w:val="none" w:sz="0" w:space="0" w:color="auto"/>
        <w:bottom w:val="none" w:sz="0" w:space="0" w:color="auto"/>
        <w:right w:val="none" w:sz="0" w:space="0" w:color="auto"/>
      </w:divBdr>
    </w:div>
    <w:div w:id="964391495">
      <w:bodyDiv w:val="1"/>
      <w:marLeft w:val="0"/>
      <w:marRight w:val="0"/>
      <w:marTop w:val="0"/>
      <w:marBottom w:val="0"/>
      <w:divBdr>
        <w:top w:val="none" w:sz="0" w:space="0" w:color="auto"/>
        <w:left w:val="none" w:sz="0" w:space="0" w:color="auto"/>
        <w:bottom w:val="none" w:sz="0" w:space="0" w:color="auto"/>
        <w:right w:val="none" w:sz="0" w:space="0" w:color="auto"/>
      </w:divBdr>
    </w:div>
    <w:div w:id="966086900">
      <w:bodyDiv w:val="1"/>
      <w:marLeft w:val="0"/>
      <w:marRight w:val="0"/>
      <w:marTop w:val="0"/>
      <w:marBottom w:val="0"/>
      <w:divBdr>
        <w:top w:val="none" w:sz="0" w:space="0" w:color="auto"/>
        <w:left w:val="none" w:sz="0" w:space="0" w:color="auto"/>
        <w:bottom w:val="none" w:sz="0" w:space="0" w:color="auto"/>
        <w:right w:val="none" w:sz="0" w:space="0" w:color="auto"/>
      </w:divBdr>
    </w:div>
    <w:div w:id="968710058">
      <w:bodyDiv w:val="1"/>
      <w:marLeft w:val="0"/>
      <w:marRight w:val="0"/>
      <w:marTop w:val="0"/>
      <w:marBottom w:val="0"/>
      <w:divBdr>
        <w:top w:val="none" w:sz="0" w:space="0" w:color="auto"/>
        <w:left w:val="none" w:sz="0" w:space="0" w:color="auto"/>
        <w:bottom w:val="none" w:sz="0" w:space="0" w:color="auto"/>
        <w:right w:val="none" w:sz="0" w:space="0" w:color="auto"/>
      </w:divBdr>
    </w:div>
    <w:div w:id="968976660">
      <w:bodyDiv w:val="1"/>
      <w:marLeft w:val="0"/>
      <w:marRight w:val="0"/>
      <w:marTop w:val="0"/>
      <w:marBottom w:val="0"/>
      <w:divBdr>
        <w:top w:val="none" w:sz="0" w:space="0" w:color="auto"/>
        <w:left w:val="none" w:sz="0" w:space="0" w:color="auto"/>
        <w:bottom w:val="none" w:sz="0" w:space="0" w:color="auto"/>
        <w:right w:val="none" w:sz="0" w:space="0" w:color="auto"/>
      </w:divBdr>
    </w:div>
    <w:div w:id="969475749">
      <w:bodyDiv w:val="1"/>
      <w:marLeft w:val="0"/>
      <w:marRight w:val="0"/>
      <w:marTop w:val="0"/>
      <w:marBottom w:val="0"/>
      <w:divBdr>
        <w:top w:val="none" w:sz="0" w:space="0" w:color="auto"/>
        <w:left w:val="none" w:sz="0" w:space="0" w:color="auto"/>
        <w:bottom w:val="none" w:sz="0" w:space="0" w:color="auto"/>
        <w:right w:val="none" w:sz="0" w:space="0" w:color="auto"/>
      </w:divBdr>
    </w:div>
    <w:div w:id="969896339">
      <w:bodyDiv w:val="1"/>
      <w:marLeft w:val="0"/>
      <w:marRight w:val="0"/>
      <w:marTop w:val="0"/>
      <w:marBottom w:val="0"/>
      <w:divBdr>
        <w:top w:val="none" w:sz="0" w:space="0" w:color="auto"/>
        <w:left w:val="none" w:sz="0" w:space="0" w:color="auto"/>
        <w:bottom w:val="none" w:sz="0" w:space="0" w:color="auto"/>
        <w:right w:val="none" w:sz="0" w:space="0" w:color="auto"/>
      </w:divBdr>
    </w:div>
    <w:div w:id="970011712">
      <w:bodyDiv w:val="1"/>
      <w:marLeft w:val="0"/>
      <w:marRight w:val="0"/>
      <w:marTop w:val="0"/>
      <w:marBottom w:val="0"/>
      <w:divBdr>
        <w:top w:val="none" w:sz="0" w:space="0" w:color="auto"/>
        <w:left w:val="none" w:sz="0" w:space="0" w:color="auto"/>
        <w:bottom w:val="none" w:sz="0" w:space="0" w:color="auto"/>
        <w:right w:val="none" w:sz="0" w:space="0" w:color="auto"/>
      </w:divBdr>
    </w:div>
    <w:div w:id="970331866">
      <w:bodyDiv w:val="1"/>
      <w:marLeft w:val="0"/>
      <w:marRight w:val="0"/>
      <w:marTop w:val="0"/>
      <w:marBottom w:val="0"/>
      <w:divBdr>
        <w:top w:val="none" w:sz="0" w:space="0" w:color="auto"/>
        <w:left w:val="none" w:sz="0" w:space="0" w:color="auto"/>
        <w:bottom w:val="none" w:sz="0" w:space="0" w:color="auto"/>
        <w:right w:val="none" w:sz="0" w:space="0" w:color="auto"/>
      </w:divBdr>
    </w:div>
    <w:div w:id="970592411">
      <w:bodyDiv w:val="1"/>
      <w:marLeft w:val="0"/>
      <w:marRight w:val="0"/>
      <w:marTop w:val="0"/>
      <w:marBottom w:val="0"/>
      <w:divBdr>
        <w:top w:val="none" w:sz="0" w:space="0" w:color="auto"/>
        <w:left w:val="none" w:sz="0" w:space="0" w:color="auto"/>
        <w:bottom w:val="none" w:sz="0" w:space="0" w:color="auto"/>
        <w:right w:val="none" w:sz="0" w:space="0" w:color="auto"/>
      </w:divBdr>
    </w:div>
    <w:div w:id="970861774">
      <w:bodyDiv w:val="1"/>
      <w:marLeft w:val="0"/>
      <w:marRight w:val="0"/>
      <w:marTop w:val="0"/>
      <w:marBottom w:val="0"/>
      <w:divBdr>
        <w:top w:val="none" w:sz="0" w:space="0" w:color="auto"/>
        <w:left w:val="none" w:sz="0" w:space="0" w:color="auto"/>
        <w:bottom w:val="none" w:sz="0" w:space="0" w:color="auto"/>
        <w:right w:val="none" w:sz="0" w:space="0" w:color="auto"/>
      </w:divBdr>
    </w:div>
    <w:div w:id="971406824">
      <w:bodyDiv w:val="1"/>
      <w:marLeft w:val="0"/>
      <w:marRight w:val="0"/>
      <w:marTop w:val="0"/>
      <w:marBottom w:val="0"/>
      <w:divBdr>
        <w:top w:val="none" w:sz="0" w:space="0" w:color="auto"/>
        <w:left w:val="none" w:sz="0" w:space="0" w:color="auto"/>
        <w:bottom w:val="none" w:sz="0" w:space="0" w:color="auto"/>
        <w:right w:val="none" w:sz="0" w:space="0" w:color="auto"/>
      </w:divBdr>
    </w:div>
    <w:div w:id="971669143">
      <w:bodyDiv w:val="1"/>
      <w:marLeft w:val="0"/>
      <w:marRight w:val="0"/>
      <w:marTop w:val="0"/>
      <w:marBottom w:val="0"/>
      <w:divBdr>
        <w:top w:val="none" w:sz="0" w:space="0" w:color="auto"/>
        <w:left w:val="none" w:sz="0" w:space="0" w:color="auto"/>
        <w:bottom w:val="none" w:sz="0" w:space="0" w:color="auto"/>
        <w:right w:val="none" w:sz="0" w:space="0" w:color="auto"/>
      </w:divBdr>
    </w:div>
    <w:div w:id="972172265">
      <w:bodyDiv w:val="1"/>
      <w:marLeft w:val="0"/>
      <w:marRight w:val="0"/>
      <w:marTop w:val="0"/>
      <w:marBottom w:val="0"/>
      <w:divBdr>
        <w:top w:val="none" w:sz="0" w:space="0" w:color="auto"/>
        <w:left w:val="none" w:sz="0" w:space="0" w:color="auto"/>
        <w:bottom w:val="none" w:sz="0" w:space="0" w:color="auto"/>
        <w:right w:val="none" w:sz="0" w:space="0" w:color="auto"/>
      </w:divBdr>
    </w:div>
    <w:div w:id="972716371">
      <w:bodyDiv w:val="1"/>
      <w:marLeft w:val="0"/>
      <w:marRight w:val="0"/>
      <w:marTop w:val="0"/>
      <w:marBottom w:val="0"/>
      <w:divBdr>
        <w:top w:val="none" w:sz="0" w:space="0" w:color="auto"/>
        <w:left w:val="none" w:sz="0" w:space="0" w:color="auto"/>
        <w:bottom w:val="none" w:sz="0" w:space="0" w:color="auto"/>
        <w:right w:val="none" w:sz="0" w:space="0" w:color="auto"/>
      </w:divBdr>
    </w:div>
    <w:div w:id="974021275">
      <w:bodyDiv w:val="1"/>
      <w:marLeft w:val="0"/>
      <w:marRight w:val="0"/>
      <w:marTop w:val="0"/>
      <w:marBottom w:val="0"/>
      <w:divBdr>
        <w:top w:val="none" w:sz="0" w:space="0" w:color="auto"/>
        <w:left w:val="none" w:sz="0" w:space="0" w:color="auto"/>
        <w:bottom w:val="none" w:sz="0" w:space="0" w:color="auto"/>
        <w:right w:val="none" w:sz="0" w:space="0" w:color="auto"/>
      </w:divBdr>
    </w:div>
    <w:div w:id="974028047">
      <w:bodyDiv w:val="1"/>
      <w:marLeft w:val="0"/>
      <w:marRight w:val="0"/>
      <w:marTop w:val="0"/>
      <w:marBottom w:val="0"/>
      <w:divBdr>
        <w:top w:val="none" w:sz="0" w:space="0" w:color="auto"/>
        <w:left w:val="none" w:sz="0" w:space="0" w:color="auto"/>
        <w:bottom w:val="none" w:sz="0" w:space="0" w:color="auto"/>
        <w:right w:val="none" w:sz="0" w:space="0" w:color="auto"/>
      </w:divBdr>
    </w:div>
    <w:div w:id="974335395">
      <w:bodyDiv w:val="1"/>
      <w:marLeft w:val="0"/>
      <w:marRight w:val="0"/>
      <w:marTop w:val="0"/>
      <w:marBottom w:val="0"/>
      <w:divBdr>
        <w:top w:val="none" w:sz="0" w:space="0" w:color="auto"/>
        <w:left w:val="none" w:sz="0" w:space="0" w:color="auto"/>
        <w:bottom w:val="none" w:sz="0" w:space="0" w:color="auto"/>
        <w:right w:val="none" w:sz="0" w:space="0" w:color="auto"/>
      </w:divBdr>
    </w:div>
    <w:div w:id="974526240">
      <w:bodyDiv w:val="1"/>
      <w:marLeft w:val="0"/>
      <w:marRight w:val="0"/>
      <w:marTop w:val="0"/>
      <w:marBottom w:val="0"/>
      <w:divBdr>
        <w:top w:val="none" w:sz="0" w:space="0" w:color="auto"/>
        <w:left w:val="none" w:sz="0" w:space="0" w:color="auto"/>
        <w:bottom w:val="none" w:sz="0" w:space="0" w:color="auto"/>
        <w:right w:val="none" w:sz="0" w:space="0" w:color="auto"/>
      </w:divBdr>
    </w:div>
    <w:div w:id="974678491">
      <w:bodyDiv w:val="1"/>
      <w:marLeft w:val="0"/>
      <w:marRight w:val="0"/>
      <w:marTop w:val="0"/>
      <w:marBottom w:val="0"/>
      <w:divBdr>
        <w:top w:val="none" w:sz="0" w:space="0" w:color="auto"/>
        <w:left w:val="none" w:sz="0" w:space="0" w:color="auto"/>
        <w:bottom w:val="none" w:sz="0" w:space="0" w:color="auto"/>
        <w:right w:val="none" w:sz="0" w:space="0" w:color="auto"/>
      </w:divBdr>
    </w:div>
    <w:div w:id="974915753">
      <w:bodyDiv w:val="1"/>
      <w:marLeft w:val="0"/>
      <w:marRight w:val="0"/>
      <w:marTop w:val="0"/>
      <w:marBottom w:val="0"/>
      <w:divBdr>
        <w:top w:val="none" w:sz="0" w:space="0" w:color="auto"/>
        <w:left w:val="none" w:sz="0" w:space="0" w:color="auto"/>
        <w:bottom w:val="none" w:sz="0" w:space="0" w:color="auto"/>
        <w:right w:val="none" w:sz="0" w:space="0" w:color="auto"/>
      </w:divBdr>
    </w:div>
    <w:div w:id="975064129">
      <w:bodyDiv w:val="1"/>
      <w:marLeft w:val="0"/>
      <w:marRight w:val="0"/>
      <w:marTop w:val="0"/>
      <w:marBottom w:val="0"/>
      <w:divBdr>
        <w:top w:val="none" w:sz="0" w:space="0" w:color="auto"/>
        <w:left w:val="none" w:sz="0" w:space="0" w:color="auto"/>
        <w:bottom w:val="none" w:sz="0" w:space="0" w:color="auto"/>
        <w:right w:val="none" w:sz="0" w:space="0" w:color="auto"/>
      </w:divBdr>
    </w:div>
    <w:div w:id="975332666">
      <w:bodyDiv w:val="1"/>
      <w:marLeft w:val="0"/>
      <w:marRight w:val="0"/>
      <w:marTop w:val="0"/>
      <w:marBottom w:val="0"/>
      <w:divBdr>
        <w:top w:val="none" w:sz="0" w:space="0" w:color="auto"/>
        <w:left w:val="none" w:sz="0" w:space="0" w:color="auto"/>
        <w:bottom w:val="none" w:sz="0" w:space="0" w:color="auto"/>
        <w:right w:val="none" w:sz="0" w:space="0" w:color="auto"/>
      </w:divBdr>
    </w:div>
    <w:div w:id="975915308">
      <w:bodyDiv w:val="1"/>
      <w:marLeft w:val="0"/>
      <w:marRight w:val="0"/>
      <w:marTop w:val="0"/>
      <w:marBottom w:val="0"/>
      <w:divBdr>
        <w:top w:val="none" w:sz="0" w:space="0" w:color="auto"/>
        <w:left w:val="none" w:sz="0" w:space="0" w:color="auto"/>
        <w:bottom w:val="none" w:sz="0" w:space="0" w:color="auto"/>
        <w:right w:val="none" w:sz="0" w:space="0" w:color="auto"/>
      </w:divBdr>
    </w:div>
    <w:div w:id="975987319">
      <w:bodyDiv w:val="1"/>
      <w:marLeft w:val="0"/>
      <w:marRight w:val="0"/>
      <w:marTop w:val="0"/>
      <w:marBottom w:val="0"/>
      <w:divBdr>
        <w:top w:val="none" w:sz="0" w:space="0" w:color="auto"/>
        <w:left w:val="none" w:sz="0" w:space="0" w:color="auto"/>
        <w:bottom w:val="none" w:sz="0" w:space="0" w:color="auto"/>
        <w:right w:val="none" w:sz="0" w:space="0" w:color="auto"/>
      </w:divBdr>
    </w:div>
    <w:div w:id="976029587">
      <w:bodyDiv w:val="1"/>
      <w:marLeft w:val="0"/>
      <w:marRight w:val="0"/>
      <w:marTop w:val="0"/>
      <w:marBottom w:val="0"/>
      <w:divBdr>
        <w:top w:val="none" w:sz="0" w:space="0" w:color="auto"/>
        <w:left w:val="none" w:sz="0" w:space="0" w:color="auto"/>
        <w:bottom w:val="none" w:sz="0" w:space="0" w:color="auto"/>
        <w:right w:val="none" w:sz="0" w:space="0" w:color="auto"/>
      </w:divBdr>
    </w:div>
    <w:div w:id="976639827">
      <w:bodyDiv w:val="1"/>
      <w:marLeft w:val="0"/>
      <w:marRight w:val="0"/>
      <w:marTop w:val="0"/>
      <w:marBottom w:val="0"/>
      <w:divBdr>
        <w:top w:val="none" w:sz="0" w:space="0" w:color="auto"/>
        <w:left w:val="none" w:sz="0" w:space="0" w:color="auto"/>
        <w:bottom w:val="none" w:sz="0" w:space="0" w:color="auto"/>
        <w:right w:val="none" w:sz="0" w:space="0" w:color="auto"/>
      </w:divBdr>
    </w:div>
    <w:div w:id="977298606">
      <w:bodyDiv w:val="1"/>
      <w:marLeft w:val="0"/>
      <w:marRight w:val="0"/>
      <w:marTop w:val="0"/>
      <w:marBottom w:val="0"/>
      <w:divBdr>
        <w:top w:val="none" w:sz="0" w:space="0" w:color="auto"/>
        <w:left w:val="none" w:sz="0" w:space="0" w:color="auto"/>
        <w:bottom w:val="none" w:sz="0" w:space="0" w:color="auto"/>
        <w:right w:val="none" w:sz="0" w:space="0" w:color="auto"/>
      </w:divBdr>
    </w:div>
    <w:div w:id="977488478">
      <w:bodyDiv w:val="1"/>
      <w:marLeft w:val="0"/>
      <w:marRight w:val="0"/>
      <w:marTop w:val="0"/>
      <w:marBottom w:val="0"/>
      <w:divBdr>
        <w:top w:val="none" w:sz="0" w:space="0" w:color="auto"/>
        <w:left w:val="none" w:sz="0" w:space="0" w:color="auto"/>
        <w:bottom w:val="none" w:sz="0" w:space="0" w:color="auto"/>
        <w:right w:val="none" w:sz="0" w:space="0" w:color="auto"/>
      </w:divBdr>
    </w:div>
    <w:div w:id="977756815">
      <w:bodyDiv w:val="1"/>
      <w:marLeft w:val="0"/>
      <w:marRight w:val="0"/>
      <w:marTop w:val="0"/>
      <w:marBottom w:val="0"/>
      <w:divBdr>
        <w:top w:val="none" w:sz="0" w:space="0" w:color="auto"/>
        <w:left w:val="none" w:sz="0" w:space="0" w:color="auto"/>
        <w:bottom w:val="none" w:sz="0" w:space="0" w:color="auto"/>
        <w:right w:val="none" w:sz="0" w:space="0" w:color="auto"/>
      </w:divBdr>
    </w:div>
    <w:div w:id="978074768">
      <w:bodyDiv w:val="1"/>
      <w:marLeft w:val="0"/>
      <w:marRight w:val="0"/>
      <w:marTop w:val="0"/>
      <w:marBottom w:val="0"/>
      <w:divBdr>
        <w:top w:val="none" w:sz="0" w:space="0" w:color="auto"/>
        <w:left w:val="none" w:sz="0" w:space="0" w:color="auto"/>
        <w:bottom w:val="none" w:sz="0" w:space="0" w:color="auto"/>
        <w:right w:val="none" w:sz="0" w:space="0" w:color="auto"/>
      </w:divBdr>
    </w:div>
    <w:div w:id="978191529">
      <w:bodyDiv w:val="1"/>
      <w:marLeft w:val="0"/>
      <w:marRight w:val="0"/>
      <w:marTop w:val="0"/>
      <w:marBottom w:val="0"/>
      <w:divBdr>
        <w:top w:val="none" w:sz="0" w:space="0" w:color="auto"/>
        <w:left w:val="none" w:sz="0" w:space="0" w:color="auto"/>
        <w:bottom w:val="none" w:sz="0" w:space="0" w:color="auto"/>
        <w:right w:val="none" w:sz="0" w:space="0" w:color="auto"/>
      </w:divBdr>
    </w:div>
    <w:div w:id="978656939">
      <w:bodyDiv w:val="1"/>
      <w:marLeft w:val="0"/>
      <w:marRight w:val="0"/>
      <w:marTop w:val="0"/>
      <w:marBottom w:val="0"/>
      <w:divBdr>
        <w:top w:val="none" w:sz="0" w:space="0" w:color="auto"/>
        <w:left w:val="none" w:sz="0" w:space="0" w:color="auto"/>
        <w:bottom w:val="none" w:sz="0" w:space="0" w:color="auto"/>
        <w:right w:val="none" w:sz="0" w:space="0" w:color="auto"/>
      </w:divBdr>
    </w:div>
    <w:div w:id="979112675">
      <w:bodyDiv w:val="1"/>
      <w:marLeft w:val="0"/>
      <w:marRight w:val="0"/>
      <w:marTop w:val="0"/>
      <w:marBottom w:val="0"/>
      <w:divBdr>
        <w:top w:val="none" w:sz="0" w:space="0" w:color="auto"/>
        <w:left w:val="none" w:sz="0" w:space="0" w:color="auto"/>
        <w:bottom w:val="none" w:sz="0" w:space="0" w:color="auto"/>
        <w:right w:val="none" w:sz="0" w:space="0" w:color="auto"/>
      </w:divBdr>
    </w:div>
    <w:div w:id="979118424">
      <w:bodyDiv w:val="1"/>
      <w:marLeft w:val="0"/>
      <w:marRight w:val="0"/>
      <w:marTop w:val="0"/>
      <w:marBottom w:val="0"/>
      <w:divBdr>
        <w:top w:val="none" w:sz="0" w:space="0" w:color="auto"/>
        <w:left w:val="none" w:sz="0" w:space="0" w:color="auto"/>
        <w:bottom w:val="none" w:sz="0" w:space="0" w:color="auto"/>
        <w:right w:val="none" w:sz="0" w:space="0" w:color="auto"/>
      </w:divBdr>
    </w:div>
    <w:div w:id="980379328">
      <w:bodyDiv w:val="1"/>
      <w:marLeft w:val="0"/>
      <w:marRight w:val="0"/>
      <w:marTop w:val="0"/>
      <w:marBottom w:val="0"/>
      <w:divBdr>
        <w:top w:val="none" w:sz="0" w:space="0" w:color="auto"/>
        <w:left w:val="none" w:sz="0" w:space="0" w:color="auto"/>
        <w:bottom w:val="none" w:sz="0" w:space="0" w:color="auto"/>
        <w:right w:val="none" w:sz="0" w:space="0" w:color="auto"/>
      </w:divBdr>
    </w:div>
    <w:div w:id="980424367">
      <w:bodyDiv w:val="1"/>
      <w:marLeft w:val="0"/>
      <w:marRight w:val="0"/>
      <w:marTop w:val="0"/>
      <w:marBottom w:val="0"/>
      <w:divBdr>
        <w:top w:val="none" w:sz="0" w:space="0" w:color="auto"/>
        <w:left w:val="none" w:sz="0" w:space="0" w:color="auto"/>
        <w:bottom w:val="none" w:sz="0" w:space="0" w:color="auto"/>
        <w:right w:val="none" w:sz="0" w:space="0" w:color="auto"/>
      </w:divBdr>
    </w:div>
    <w:div w:id="980960947">
      <w:bodyDiv w:val="1"/>
      <w:marLeft w:val="0"/>
      <w:marRight w:val="0"/>
      <w:marTop w:val="0"/>
      <w:marBottom w:val="0"/>
      <w:divBdr>
        <w:top w:val="none" w:sz="0" w:space="0" w:color="auto"/>
        <w:left w:val="none" w:sz="0" w:space="0" w:color="auto"/>
        <w:bottom w:val="none" w:sz="0" w:space="0" w:color="auto"/>
        <w:right w:val="none" w:sz="0" w:space="0" w:color="auto"/>
      </w:divBdr>
    </w:div>
    <w:div w:id="981468544">
      <w:bodyDiv w:val="1"/>
      <w:marLeft w:val="0"/>
      <w:marRight w:val="0"/>
      <w:marTop w:val="0"/>
      <w:marBottom w:val="0"/>
      <w:divBdr>
        <w:top w:val="none" w:sz="0" w:space="0" w:color="auto"/>
        <w:left w:val="none" w:sz="0" w:space="0" w:color="auto"/>
        <w:bottom w:val="none" w:sz="0" w:space="0" w:color="auto"/>
        <w:right w:val="none" w:sz="0" w:space="0" w:color="auto"/>
      </w:divBdr>
    </w:div>
    <w:div w:id="981663955">
      <w:bodyDiv w:val="1"/>
      <w:marLeft w:val="0"/>
      <w:marRight w:val="0"/>
      <w:marTop w:val="0"/>
      <w:marBottom w:val="0"/>
      <w:divBdr>
        <w:top w:val="none" w:sz="0" w:space="0" w:color="auto"/>
        <w:left w:val="none" w:sz="0" w:space="0" w:color="auto"/>
        <w:bottom w:val="none" w:sz="0" w:space="0" w:color="auto"/>
        <w:right w:val="none" w:sz="0" w:space="0" w:color="auto"/>
      </w:divBdr>
    </w:div>
    <w:div w:id="981814999">
      <w:bodyDiv w:val="1"/>
      <w:marLeft w:val="0"/>
      <w:marRight w:val="0"/>
      <w:marTop w:val="0"/>
      <w:marBottom w:val="0"/>
      <w:divBdr>
        <w:top w:val="none" w:sz="0" w:space="0" w:color="auto"/>
        <w:left w:val="none" w:sz="0" w:space="0" w:color="auto"/>
        <w:bottom w:val="none" w:sz="0" w:space="0" w:color="auto"/>
        <w:right w:val="none" w:sz="0" w:space="0" w:color="auto"/>
      </w:divBdr>
    </w:div>
    <w:div w:id="982467057">
      <w:bodyDiv w:val="1"/>
      <w:marLeft w:val="0"/>
      <w:marRight w:val="0"/>
      <w:marTop w:val="0"/>
      <w:marBottom w:val="0"/>
      <w:divBdr>
        <w:top w:val="none" w:sz="0" w:space="0" w:color="auto"/>
        <w:left w:val="none" w:sz="0" w:space="0" w:color="auto"/>
        <w:bottom w:val="none" w:sz="0" w:space="0" w:color="auto"/>
        <w:right w:val="none" w:sz="0" w:space="0" w:color="auto"/>
      </w:divBdr>
    </w:div>
    <w:div w:id="982467223">
      <w:bodyDiv w:val="1"/>
      <w:marLeft w:val="0"/>
      <w:marRight w:val="0"/>
      <w:marTop w:val="0"/>
      <w:marBottom w:val="0"/>
      <w:divBdr>
        <w:top w:val="none" w:sz="0" w:space="0" w:color="auto"/>
        <w:left w:val="none" w:sz="0" w:space="0" w:color="auto"/>
        <w:bottom w:val="none" w:sz="0" w:space="0" w:color="auto"/>
        <w:right w:val="none" w:sz="0" w:space="0" w:color="auto"/>
      </w:divBdr>
    </w:div>
    <w:div w:id="982929456">
      <w:bodyDiv w:val="1"/>
      <w:marLeft w:val="0"/>
      <w:marRight w:val="0"/>
      <w:marTop w:val="0"/>
      <w:marBottom w:val="0"/>
      <w:divBdr>
        <w:top w:val="none" w:sz="0" w:space="0" w:color="auto"/>
        <w:left w:val="none" w:sz="0" w:space="0" w:color="auto"/>
        <w:bottom w:val="none" w:sz="0" w:space="0" w:color="auto"/>
        <w:right w:val="none" w:sz="0" w:space="0" w:color="auto"/>
      </w:divBdr>
    </w:div>
    <w:div w:id="982932306">
      <w:bodyDiv w:val="1"/>
      <w:marLeft w:val="0"/>
      <w:marRight w:val="0"/>
      <w:marTop w:val="0"/>
      <w:marBottom w:val="0"/>
      <w:divBdr>
        <w:top w:val="none" w:sz="0" w:space="0" w:color="auto"/>
        <w:left w:val="none" w:sz="0" w:space="0" w:color="auto"/>
        <w:bottom w:val="none" w:sz="0" w:space="0" w:color="auto"/>
        <w:right w:val="none" w:sz="0" w:space="0" w:color="auto"/>
      </w:divBdr>
    </w:div>
    <w:div w:id="983000645">
      <w:bodyDiv w:val="1"/>
      <w:marLeft w:val="0"/>
      <w:marRight w:val="0"/>
      <w:marTop w:val="0"/>
      <w:marBottom w:val="0"/>
      <w:divBdr>
        <w:top w:val="none" w:sz="0" w:space="0" w:color="auto"/>
        <w:left w:val="none" w:sz="0" w:space="0" w:color="auto"/>
        <w:bottom w:val="none" w:sz="0" w:space="0" w:color="auto"/>
        <w:right w:val="none" w:sz="0" w:space="0" w:color="auto"/>
      </w:divBdr>
    </w:div>
    <w:div w:id="983390384">
      <w:bodyDiv w:val="1"/>
      <w:marLeft w:val="0"/>
      <w:marRight w:val="0"/>
      <w:marTop w:val="0"/>
      <w:marBottom w:val="0"/>
      <w:divBdr>
        <w:top w:val="none" w:sz="0" w:space="0" w:color="auto"/>
        <w:left w:val="none" w:sz="0" w:space="0" w:color="auto"/>
        <w:bottom w:val="none" w:sz="0" w:space="0" w:color="auto"/>
        <w:right w:val="none" w:sz="0" w:space="0" w:color="auto"/>
      </w:divBdr>
    </w:div>
    <w:div w:id="984969407">
      <w:bodyDiv w:val="1"/>
      <w:marLeft w:val="0"/>
      <w:marRight w:val="0"/>
      <w:marTop w:val="0"/>
      <w:marBottom w:val="0"/>
      <w:divBdr>
        <w:top w:val="none" w:sz="0" w:space="0" w:color="auto"/>
        <w:left w:val="none" w:sz="0" w:space="0" w:color="auto"/>
        <w:bottom w:val="none" w:sz="0" w:space="0" w:color="auto"/>
        <w:right w:val="none" w:sz="0" w:space="0" w:color="auto"/>
      </w:divBdr>
    </w:div>
    <w:div w:id="985086462">
      <w:bodyDiv w:val="1"/>
      <w:marLeft w:val="0"/>
      <w:marRight w:val="0"/>
      <w:marTop w:val="0"/>
      <w:marBottom w:val="0"/>
      <w:divBdr>
        <w:top w:val="none" w:sz="0" w:space="0" w:color="auto"/>
        <w:left w:val="none" w:sz="0" w:space="0" w:color="auto"/>
        <w:bottom w:val="none" w:sz="0" w:space="0" w:color="auto"/>
        <w:right w:val="none" w:sz="0" w:space="0" w:color="auto"/>
      </w:divBdr>
    </w:div>
    <w:div w:id="985818307">
      <w:bodyDiv w:val="1"/>
      <w:marLeft w:val="0"/>
      <w:marRight w:val="0"/>
      <w:marTop w:val="0"/>
      <w:marBottom w:val="0"/>
      <w:divBdr>
        <w:top w:val="none" w:sz="0" w:space="0" w:color="auto"/>
        <w:left w:val="none" w:sz="0" w:space="0" w:color="auto"/>
        <w:bottom w:val="none" w:sz="0" w:space="0" w:color="auto"/>
        <w:right w:val="none" w:sz="0" w:space="0" w:color="auto"/>
      </w:divBdr>
    </w:div>
    <w:div w:id="986515829">
      <w:bodyDiv w:val="1"/>
      <w:marLeft w:val="0"/>
      <w:marRight w:val="0"/>
      <w:marTop w:val="0"/>
      <w:marBottom w:val="0"/>
      <w:divBdr>
        <w:top w:val="none" w:sz="0" w:space="0" w:color="auto"/>
        <w:left w:val="none" w:sz="0" w:space="0" w:color="auto"/>
        <w:bottom w:val="none" w:sz="0" w:space="0" w:color="auto"/>
        <w:right w:val="none" w:sz="0" w:space="0" w:color="auto"/>
      </w:divBdr>
    </w:div>
    <w:div w:id="986591199">
      <w:bodyDiv w:val="1"/>
      <w:marLeft w:val="0"/>
      <w:marRight w:val="0"/>
      <w:marTop w:val="0"/>
      <w:marBottom w:val="0"/>
      <w:divBdr>
        <w:top w:val="none" w:sz="0" w:space="0" w:color="auto"/>
        <w:left w:val="none" w:sz="0" w:space="0" w:color="auto"/>
        <w:bottom w:val="none" w:sz="0" w:space="0" w:color="auto"/>
        <w:right w:val="none" w:sz="0" w:space="0" w:color="auto"/>
      </w:divBdr>
    </w:div>
    <w:div w:id="986663811">
      <w:bodyDiv w:val="1"/>
      <w:marLeft w:val="0"/>
      <w:marRight w:val="0"/>
      <w:marTop w:val="0"/>
      <w:marBottom w:val="0"/>
      <w:divBdr>
        <w:top w:val="none" w:sz="0" w:space="0" w:color="auto"/>
        <w:left w:val="none" w:sz="0" w:space="0" w:color="auto"/>
        <w:bottom w:val="none" w:sz="0" w:space="0" w:color="auto"/>
        <w:right w:val="none" w:sz="0" w:space="0" w:color="auto"/>
      </w:divBdr>
    </w:div>
    <w:div w:id="987706307">
      <w:bodyDiv w:val="1"/>
      <w:marLeft w:val="0"/>
      <w:marRight w:val="0"/>
      <w:marTop w:val="0"/>
      <w:marBottom w:val="0"/>
      <w:divBdr>
        <w:top w:val="none" w:sz="0" w:space="0" w:color="auto"/>
        <w:left w:val="none" w:sz="0" w:space="0" w:color="auto"/>
        <w:bottom w:val="none" w:sz="0" w:space="0" w:color="auto"/>
        <w:right w:val="none" w:sz="0" w:space="0" w:color="auto"/>
      </w:divBdr>
    </w:div>
    <w:div w:id="988049254">
      <w:bodyDiv w:val="1"/>
      <w:marLeft w:val="0"/>
      <w:marRight w:val="0"/>
      <w:marTop w:val="0"/>
      <w:marBottom w:val="0"/>
      <w:divBdr>
        <w:top w:val="none" w:sz="0" w:space="0" w:color="auto"/>
        <w:left w:val="none" w:sz="0" w:space="0" w:color="auto"/>
        <w:bottom w:val="none" w:sz="0" w:space="0" w:color="auto"/>
        <w:right w:val="none" w:sz="0" w:space="0" w:color="auto"/>
      </w:divBdr>
    </w:div>
    <w:div w:id="988752876">
      <w:bodyDiv w:val="1"/>
      <w:marLeft w:val="0"/>
      <w:marRight w:val="0"/>
      <w:marTop w:val="0"/>
      <w:marBottom w:val="0"/>
      <w:divBdr>
        <w:top w:val="none" w:sz="0" w:space="0" w:color="auto"/>
        <w:left w:val="none" w:sz="0" w:space="0" w:color="auto"/>
        <w:bottom w:val="none" w:sz="0" w:space="0" w:color="auto"/>
        <w:right w:val="none" w:sz="0" w:space="0" w:color="auto"/>
      </w:divBdr>
    </w:div>
    <w:div w:id="988898356">
      <w:bodyDiv w:val="1"/>
      <w:marLeft w:val="0"/>
      <w:marRight w:val="0"/>
      <w:marTop w:val="0"/>
      <w:marBottom w:val="0"/>
      <w:divBdr>
        <w:top w:val="none" w:sz="0" w:space="0" w:color="auto"/>
        <w:left w:val="none" w:sz="0" w:space="0" w:color="auto"/>
        <w:bottom w:val="none" w:sz="0" w:space="0" w:color="auto"/>
        <w:right w:val="none" w:sz="0" w:space="0" w:color="auto"/>
      </w:divBdr>
    </w:div>
    <w:div w:id="988902432">
      <w:bodyDiv w:val="1"/>
      <w:marLeft w:val="0"/>
      <w:marRight w:val="0"/>
      <w:marTop w:val="0"/>
      <w:marBottom w:val="0"/>
      <w:divBdr>
        <w:top w:val="none" w:sz="0" w:space="0" w:color="auto"/>
        <w:left w:val="none" w:sz="0" w:space="0" w:color="auto"/>
        <w:bottom w:val="none" w:sz="0" w:space="0" w:color="auto"/>
        <w:right w:val="none" w:sz="0" w:space="0" w:color="auto"/>
      </w:divBdr>
    </w:div>
    <w:div w:id="989600781">
      <w:bodyDiv w:val="1"/>
      <w:marLeft w:val="0"/>
      <w:marRight w:val="0"/>
      <w:marTop w:val="0"/>
      <w:marBottom w:val="0"/>
      <w:divBdr>
        <w:top w:val="none" w:sz="0" w:space="0" w:color="auto"/>
        <w:left w:val="none" w:sz="0" w:space="0" w:color="auto"/>
        <w:bottom w:val="none" w:sz="0" w:space="0" w:color="auto"/>
        <w:right w:val="none" w:sz="0" w:space="0" w:color="auto"/>
      </w:divBdr>
    </w:div>
    <w:div w:id="990325208">
      <w:bodyDiv w:val="1"/>
      <w:marLeft w:val="0"/>
      <w:marRight w:val="0"/>
      <w:marTop w:val="0"/>
      <w:marBottom w:val="0"/>
      <w:divBdr>
        <w:top w:val="none" w:sz="0" w:space="0" w:color="auto"/>
        <w:left w:val="none" w:sz="0" w:space="0" w:color="auto"/>
        <w:bottom w:val="none" w:sz="0" w:space="0" w:color="auto"/>
        <w:right w:val="none" w:sz="0" w:space="0" w:color="auto"/>
      </w:divBdr>
    </w:div>
    <w:div w:id="990869931">
      <w:bodyDiv w:val="1"/>
      <w:marLeft w:val="0"/>
      <w:marRight w:val="0"/>
      <w:marTop w:val="0"/>
      <w:marBottom w:val="0"/>
      <w:divBdr>
        <w:top w:val="none" w:sz="0" w:space="0" w:color="auto"/>
        <w:left w:val="none" w:sz="0" w:space="0" w:color="auto"/>
        <w:bottom w:val="none" w:sz="0" w:space="0" w:color="auto"/>
        <w:right w:val="none" w:sz="0" w:space="0" w:color="auto"/>
      </w:divBdr>
    </w:div>
    <w:div w:id="991250445">
      <w:bodyDiv w:val="1"/>
      <w:marLeft w:val="0"/>
      <w:marRight w:val="0"/>
      <w:marTop w:val="0"/>
      <w:marBottom w:val="0"/>
      <w:divBdr>
        <w:top w:val="none" w:sz="0" w:space="0" w:color="auto"/>
        <w:left w:val="none" w:sz="0" w:space="0" w:color="auto"/>
        <w:bottom w:val="none" w:sz="0" w:space="0" w:color="auto"/>
        <w:right w:val="none" w:sz="0" w:space="0" w:color="auto"/>
      </w:divBdr>
    </w:div>
    <w:div w:id="992680553">
      <w:bodyDiv w:val="1"/>
      <w:marLeft w:val="0"/>
      <w:marRight w:val="0"/>
      <w:marTop w:val="0"/>
      <w:marBottom w:val="0"/>
      <w:divBdr>
        <w:top w:val="none" w:sz="0" w:space="0" w:color="auto"/>
        <w:left w:val="none" w:sz="0" w:space="0" w:color="auto"/>
        <w:bottom w:val="none" w:sz="0" w:space="0" w:color="auto"/>
        <w:right w:val="none" w:sz="0" w:space="0" w:color="auto"/>
      </w:divBdr>
    </w:div>
    <w:div w:id="993603268">
      <w:bodyDiv w:val="1"/>
      <w:marLeft w:val="0"/>
      <w:marRight w:val="0"/>
      <w:marTop w:val="0"/>
      <w:marBottom w:val="0"/>
      <w:divBdr>
        <w:top w:val="none" w:sz="0" w:space="0" w:color="auto"/>
        <w:left w:val="none" w:sz="0" w:space="0" w:color="auto"/>
        <w:bottom w:val="none" w:sz="0" w:space="0" w:color="auto"/>
        <w:right w:val="none" w:sz="0" w:space="0" w:color="auto"/>
      </w:divBdr>
    </w:div>
    <w:div w:id="993679004">
      <w:bodyDiv w:val="1"/>
      <w:marLeft w:val="0"/>
      <w:marRight w:val="0"/>
      <w:marTop w:val="0"/>
      <w:marBottom w:val="0"/>
      <w:divBdr>
        <w:top w:val="none" w:sz="0" w:space="0" w:color="auto"/>
        <w:left w:val="none" w:sz="0" w:space="0" w:color="auto"/>
        <w:bottom w:val="none" w:sz="0" w:space="0" w:color="auto"/>
        <w:right w:val="none" w:sz="0" w:space="0" w:color="auto"/>
      </w:divBdr>
    </w:div>
    <w:div w:id="994070241">
      <w:bodyDiv w:val="1"/>
      <w:marLeft w:val="0"/>
      <w:marRight w:val="0"/>
      <w:marTop w:val="0"/>
      <w:marBottom w:val="0"/>
      <w:divBdr>
        <w:top w:val="none" w:sz="0" w:space="0" w:color="auto"/>
        <w:left w:val="none" w:sz="0" w:space="0" w:color="auto"/>
        <w:bottom w:val="none" w:sz="0" w:space="0" w:color="auto"/>
        <w:right w:val="none" w:sz="0" w:space="0" w:color="auto"/>
      </w:divBdr>
    </w:div>
    <w:div w:id="996884217">
      <w:bodyDiv w:val="1"/>
      <w:marLeft w:val="0"/>
      <w:marRight w:val="0"/>
      <w:marTop w:val="0"/>
      <w:marBottom w:val="0"/>
      <w:divBdr>
        <w:top w:val="none" w:sz="0" w:space="0" w:color="auto"/>
        <w:left w:val="none" w:sz="0" w:space="0" w:color="auto"/>
        <w:bottom w:val="none" w:sz="0" w:space="0" w:color="auto"/>
        <w:right w:val="none" w:sz="0" w:space="0" w:color="auto"/>
      </w:divBdr>
    </w:div>
    <w:div w:id="997029348">
      <w:bodyDiv w:val="1"/>
      <w:marLeft w:val="0"/>
      <w:marRight w:val="0"/>
      <w:marTop w:val="0"/>
      <w:marBottom w:val="0"/>
      <w:divBdr>
        <w:top w:val="none" w:sz="0" w:space="0" w:color="auto"/>
        <w:left w:val="none" w:sz="0" w:space="0" w:color="auto"/>
        <w:bottom w:val="none" w:sz="0" w:space="0" w:color="auto"/>
        <w:right w:val="none" w:sz="0" w:space="0" w:color="auto"/>
      </w:divBdr>
    </w:div>
    <w:div w:id="998657743">
      <w:bodyDiv w:val="1"/>
      <w:marLeft w:val="0"/>
      <w:marRight w:val="0"/>
      <w:marTop w:val="0"/>
      <w:marBottom w:val="0"/>
      <w:divBdr>
        <w:top w:val="none" w:sz="0" w:space="0" w:color="auto"/>
        <w:left w:val="none" w:sz="0" w:space="0" w:color="auto"/>
        <w:bottom w:val="none" w:sz="0" w:space="0" w:color="auto"/>
        <w:right w:val="none" w:sz="0" w:space="0" w:color="auto"/>
      </w:divBdr>
    </w:div>
    <w:div w:id="999233124">
      <w:bodyDiv w:val="1"/>
      <w:marLeft w:val="0"/>
      <w:marRight w:val="0"/>
      <w:marTop w:val="0"/>
      <w:marBottom w:val="0"/>
      <w:divBdr>
        <w:top w:val="none" w:sz="0" w:space="0" w:color="auto"/>
        <w:left w:val="none" w:sz="0" w:space="0" w:color="auto"/>
        <w:bottom w:val="none" w:sz="0" w:space="0" w:color="auto"/>
        <w:right w:val="none" w:sz="0" w:space="0" w:color="auto"/>
      </w:divBdr>
    </w:div>
    <w:div w:id="999388388">
      <w:bodyDiv w:val="1"/>
      <w:marLeft w:val="0"/>
      <w:marRight w:val="0"/>
      <w:marTop w:val="0"/>
      <w:marBottom w:val="0"/>
      <w:divBdr>
        <w:top w:val="none" w:sz="0" w:space="0" w:color="auto"/>
        <w:left w:val="none" w:sz="0" w:space="0" w:color="auto"/>
        <w:bottom w:val="none" w:sz="0" w:space="0" w:color="auto"/>
        <w:right w:val="none" w:sz="0" w:space="0" w:color="auto"/>
      </w:divBdr>
    </w:div>
    <w:div w:id="999622242">
      <w:bodyDiv w:val="1"/>
      <w:marLeft w:val="0"/>
      <w:marRight w:val="0"/>
      <w:marTop w:val="0"/>
      <w:marBottom w:val="0"/>
      <w:divBdr>
        <w:top w:val="none" w:sz="0" w:space="0" w:color="auto"/>
        <w:left w:val="none" w:sz="0" w:space="0" w:color="auto"/>
        <w:bottom w:val="none" w:sz="0" w:space="0" w:color="auto"/>
        <w:right w:val="none" w:sz="0" w:space="0" w:color="auto"/>
      </w:divBdr>
    </w:div>
    <w:div w:id="999889445">
      <w:bodyDiv w:val="1"/>
      <w:marLeft w:val="0"/>
      <w:marRight w:val="0"/>
      <w:marTop w:val="0"/>
      <w:marBottom w:val="0"/>
      <w:divBdr>
        <w:top w:val="none" w:sz="0" w:space="0" w:color="auto"/>
        <w:left w:val="none" w:sz="0" w:space="0" w:color="auto"/>
        <w:bottom w:val="none" w:sz="0" w:space="0" w:color="auto"/>
        <w:right w:val="none" w:sz="0" w:space="0" w:color="auto"/>
      </w:divBdr>
    </w:div>
    <w:div w:id="1000620884">
      <w:bodyDiv w:val="1"/>
      <w:marLeft w:val="0"/>
      <w:marRight w:val="0"/>
      <w:marTop w:val="0"/>
      <w:marBottom w:val="0"/>
      <w:divBdr>
        <w:top w:val="none" w:sz="0" w:space="0" w:color="auto"/>
        <w:left w:val="none" w:sz="0" w:space="0" w:color="auto"/>
        <w:bottom w:val="none" w:sz="0" w:space="0" w:color="auto"/>
        <w:right w:val="none" w:sz="0" w:space="0" w:color="auto"/>
      </w:divBdr>
    </w:div>
    <w:div w:id="1001086308">
      <w:bodyDiv w:val="1"/>
      <w:marLeft w:val="0"/>
      <w:marRight w:val="0"/>
      <w:marTop w:val="0"/>
      <w:marBottom w:val="0"/>
      <w:divBdr>
        <w:top w:val="none" w:sz="0" w:space="0" w:color="auto"/>
        <w:left w:val="none" w:sz="0" w:space="0" w:color="auto"/>
        <w:bottom w:val="none" w:sz="0" w:space="0" w:color="auto"/>
        <w:right w:val="none" w:sz="0" w:space="0" w:color="auto"/>
      </w:divBdr>
    </w:div>
    <w:div w:id="1001855433">
      <w:bodyDiv w:val="1"/>
      <w:marLeft w:val="0"/>
      <w:marRight w:val="0"/>
      <w:marTop w:val="0"/>
      <w:marBottom w:val="0"/>
      <w:divBdr>
        <w:top w:val="none" w:sz="0" w:space="0" w:color="auto"/>
        <w:left w:val="none" w:sz="0" w:space="0" w:color="auto"/>
        <w:bottom w:val="none" w:sz="0" w:space="0" w:color="auto"/>
        <w:right w:val="none" w:sz="0" w:space="0" w:color="auto"/>
      </w:divBdr>
    </w:div>
    <w:div w:id="1005519324">
      <w:bodyDiv w:val="1"/>
      <w:marLeft w:val="0"/>
      <w:marRight w:val="0"/>
      <w:marTop w:val="0"/>
      <w:marBottom w:val="0"/>
      <w:divBdr>
        <w:top w:val="none" w:sz="0" w:space="0" w:color="auto"/>
        <w:left w:val="none" w:sz="0" w:space="0" w:color="auto"/>
        <w:bottom w:val="none" w:sz="0" w:space="0" w:color="auto"/>
        <w:right w:val="none" w:sz="0" w:space="0" w:color="auto"/>
      </w:divBdr>
    </w:div>
    <w:div w:id="1005864079">
      <w:bodyDiv w:val="1"/>
      <w:marLeft w:val="0"/>
      <w:marRight w:val="0"/>
      <w:marTop w:val="0"/>
      <w:marBottom w:val="0"/>
      <w:divBdr>
        <w:top w:val="none" w:sz="0" w:space="0" w:color="auto"/>
        <w:left w:val="none" w:sz="0" w:space="0" w:color="auto"/>
        <w:bottom w:val="none" w:sz="0" w:space="0" w:color="auto"/>
        <w:right w:val="none" w:sz="0" w:space="0" w:color="auto"/>
      </w:divBdr>
    </w:div>
    <w:div w:id="1005980228">
      <w:bodyDiv w:val="1"/>
      <w:marLeft w:val="0"/>
      <w:marRight w:val="0"/>
      <w:marTop w:val="0"/>
      <w:marBottom w:val="0"/>
      <w:divBdr>
        <w:top w:val="none" w:sz="0" w:space="0" w:color="auto"/>
        <w:left w:val="none" w:sz="0" w:space="0" w:color="auto"/>
        <w:bottom w:val="none" w:sz="0" w:space="0" w:color="auto"/>
        <w:right w:val="none" w:sz="0" w:space="0" w:color="auto"/>
      </w:divBdr>
    </w:div>
    <w:div w:id="1007175892">
      <w:bodyDiv w:val="1"/>
      <w:marLeft w:val="0"/>
      <w:marRight w:val="0"/>
      <w:marTop w:val="0"/>
      <w:marBottom w:val="0"/>
      <w:divBdr>
        <w:top w:val="none" w:sz="0" w:space="0" w:color="auto"/>
        <w:left w:val="none" w:sz="0" w:space="0" w:color="auto"/>
        <w:bottom w:val="none" w:sz="0" w:space="0" w:color="auto"/>
        <w:right w:val="none" w:sz="0" w:space="0" w:color="auto"/>
      </w:divBdr>
    </w:div>
    <w:div w:id="1007441286">
      <w:bodyDiv w:val="1"/>
      <w:marLeft w:val="0"/>
      <w:marRight w:val="0"/>
      <w:marTop w:val="0"/>
      <w:marBottom w:val="0"/>
      <w:divBdr>
        <w:top w:val="none" w:sz="0" w:space="0" w:color="auto"/>
        <w:left w:val="none" w:sz="0" w:space="0" w:color="auto"/>
        <w:bottom w:val="none" w:sz="0" w:space="0" w:color="auto"/>
        <w:right w:val="none" w:sz="0" w:space="0" w:color="auto"/>
      </w:divBdr>
    </w:div>
    <w:div w:id="1007713887">
      <w:bodyDiv w:val="1"/>
      <w:marLeft w:val="0"/>
      <w:marRight w:val="0"/>
      <w:marTop w:val="0"/>
      <w:marBottom w:val="0"/>
      <w:divBdr>
        <w:top w:val="none" w:sz="0" w:space="0" w:color="auto"/>
        <w:left w:val="none" w:sz="0" w:space="0" w:color="auto"/>
        <w:bottom w:val="none" w:sz="0" w:space="0" w:color="auto"/>
        <w:right w:val="none" w:sz="0" w:space="0" w:color="auto"/>
      </w:divBdr>
    </w:div>
    <w:div w:id="1008948144">
      <w:bodyDiv w:val="1"/>
      <w:marLeft w:val="0"/>
      <w:marRight w:val="0"/>
      <w:marTop w:val="0"/>
      <w:marBottom w:val="0"/>
      <w:divBdr>
        <w:top w:val="none" w:sz="0" w:space="0" w:color="auto"/>
        <w:left w:val="none" w:sz="0" w:space="0" w:color="auto"/>
        <w:bottom w:val="none" w:sz="0" w:space="0" w:color="auto"/>
        <w:right w:val="none" w:sz="0" w:space="0" w:color="auto"/>
      </w:divBdr>
    </w:div>
    <w:div w:id="1009022159">
      <w:bodyDiv w:val="1"/>
      <w:marLeft w:val="0"/>
      <w:marRight w:val="0"/>
      <w:marTop w:val="0"/>
      <w:marBottom w:val="0"/>
      <w:divBdr>
        <w:top w:val="none" w:sz="0" w:space="0" w:color="auto"/>
        <w:left w:val="none" w:sz="0" w:space="0" w:color="auto"/>
        <w:bottom w:val="none" w:sz="0" w:space="0" w:color="auto"/>
        <w:right w:val="none" w:sz="0" w:space="0" w:color="auto"/>
      </w:divBdr>
    </w:div>
    <w:div w:id="1009256394">
      <w:bodyDiv w:val="1"/>
      <w:marLeft w:val="0"/>
      <w:marRight w:val="0"/>
      <w:marTop w:val="0"/>
      <w:marBottom w:val="0"/>
      <w:divBdr>
        <w:top w:val="none" w:sz="0" w:space="0" w:color="auto"/>
        <w:left w:val="none" w:sz="0" w:space="0" w:color="auto"/>
        <w:bottom w:val="none" w:sz="0" w:space="0" w:color="auto"/>
        <w:right w:val="none" w:sz="0" w:space="0" w:color="auto"/>
      </w:divBdr>
    </w:div>
    <w:div w:id="1009481178">
      <w:bodyDiv w:val="1"/>
      <w:marLeft w:val="0"/>
      <w:marRight w:val="0"/>
      <w:marTop w:val="0"/>
      <w:marBottom w:val="0"/>
      <w:divBdr>
        <w:top w:val="none" w:sz="0" w:space="0" w:color="auto"/>
        <w:left w:val="none" w:sz="0" w:space="0" w:color="auto"/>
        <w:bottom w:val="none" w:sz="0" w:space="0" w:color="auto"/>
        <w:right w:val="none" w:sz="0" w:space="0" w:color="auto"/>
      </w:divBdr>
    </w:div>
    <w:div w:id="1009799259">
      <w:bodyDiv w:val="1"/>
      <w:marLeft w:val="0"/>
      <w:marRight w:val="0"/>
      <w:marTop w:val="0"/>
      <w:marBottom w:val="0"/>
      <w:divBdr>
        <w:top w:val="none" w:sz="0" w:space="0" w:color="auto"/>
        <w:left w:val="none" w:sz="0" w:space="0" w:color="auto"/>
        <w:bottom w:val="none" w:sz="0" w:space="0" w:color="auto"/>
        <w:right w:val="none" w:sz="0" w:space="0" w:color="auto"/>
      </w:divBdr>
    </w:div>
    <w:div w:id="1009989196">
      <w:bodyDiv w:val="1"/>
      <w:marLeft w:val="0"/>
      <w:marRight w:val="0"/>
      <w:marTop w:val="0"/>
      <w:marBottom w:val="0"/>
      <w:divBdr>
        <w:top w:val="none" w:sz="0" w:space="0" w:color="auto"/>
        <w:left w:val="none" w:sz="0" w:space="0" w:color="auto"/>
        <w:bottom w:val="none" w:sz="0" w:space="0" w:color="auto"/>
        <w:right w:val="none" w:sz="0" w:space="0" w:color="auto"/>
      </w:divBdr>
    </w:div>
    <w:div w:id="1010176902">
      <w:bodyDiv w:val="1"/>
      <w:marLeft w:val="0"/>
      <w:marRight w:val="0"/>
      <w:marTop w:val="0"/>
      <w:marBottom w:val="0"/>
      <w:divBdr>
        <w:top w:val="none" w:sz="0" w:space="0" w:color="auto"/>
        <w:left w:val="none" w:sz="0" w:space="0" w:color="auto"/>
        <w:bottom w:val="none" w:sz="0" w:space="0" w:color="auto"/>
        <w:right w:val="none" w:sz="0" w:space="0" w:color="auto"/>
      </w:divBdr>
    </w:div>
    <w:div w:id="1010254021">
      <w:bodyDiv w:val="1"/>
      <w:marLeft w:val="0"/>
      <w:marRight w:val="0"/>
      <w:marTop w:val="0"/>
      <w:marBottom w:val="0"/>
      <w:divBdr>
        <w:top w:val="none" w:sz="0" w:space="0" w:color="auto"/>
        <w:left w:val="none" w:sz="0" w:space="0" w:color="auto"/>
        <w:bottom w:val="none" w:sz="0" w:space="0" w:color="auto"/>
        <w:right w:val="none" w:sz="0" w:space="0" w:color="auto"/>
      </w:divBdr>
    </w:div>
    <w:div w:id="1010833773">
      <w:bodyDiv w:val="1"/>
      <w:marLeft w:val="0"/>
      <w:marRight w:val="0"/>
      <w:marTop w:val="0"/>
      <w:marBottom w:val="0"/>
      <w:divBdr>
        <w:top w:val="none" w:sz="0" w:space="0" w:color="auto"/>
        <w:left w:val="none" w:sz="0" w:space="0" w:color="auto"/>
        <w:bottom w:val="none" w:sz="0" w:space="0" w:color="auto"/>
        <w:right w:val="none" w:sz="0" w:space="0" w:color="auto"/>
      </w:divBdr>
    </w:div>
    <w:div w:id="1011378462">
      <w:bodyDiv w:val="1"/>
      <w:marLeft w:val="0"/>
      <w:marRight w:val="0"/>
      <w:marTop w:val="0"/>
      <w:marBottom w:val="0"/>
      <w:divBdr>
        <w:top w:val="none" w:sz="0" w:space="0" w:color="auto"/>
        <w:left w:val="none" w:sz="0" w:space="0" w:color="auto"/>
        <w:bottom w:val="none" w:sz="0" w:space="0" w:color="auto"/>
        <w:right w:val="none" w:sz="0" w:space="0" w:color="auto"/>
      </w:divBdr>
    </w:div>
    <w:div w:id="1011446881">
      <w:bodyDiv w:val="1"/>
      <w:marLeft w:val="0"/>
      <w:marRight w:val="0"/>
      <w:marTop w:val="0"/>
      <w:marBottom w:val="0"/>
      <w:divBdr>
        <w:top w:val="none" w:sz="0" w:space="0" w:color="auto"/>
        <w:left w:val="none" w:sz="0" w:space="0" w:color="auto"/>
        <w:bottom w:val="none" w:sz="0" w:space="0" w:color="auto"/>
        <w:right w:val="none" w:sz="0" w:space="0" w:color="auto"/>
      </w:divBdr>
    </w:div>
    <w:div w:id="1012102241">
      <w:bodyDiv w:val="1"/>
      <w:marLeft w:val="0"/>
      <w:marRight w:val="0"/>
      <w:marTop w:val="0"/>
      <w:marBottom w:val="0"/>
      <w:divBdr>
        <w:top w:val="none" w:sz="0" w:space="0" w:color="auto"/>
        <w:left w:val="none" w:sz="0" w:space="0" w:color="auto"/>
        <w:bottom w:val="none" w:sz="0" w:space="0" w:color="auto"/>
        <w:right w:val="none" w:sz="0" w:space="0" w:color="auto"/>
      </w:divBdr>
    </w:div>
    <w:div w:id="1012226260">
      <w:bodyDiv w:val="1"/>
      <w:marLeft w:val="0"/>
      <w:marRight w:val="0"/>
      <w:marTop w:val="0"/>
      <w:marBottom w:val="0"/>
      <w:divBdr>
        <w:top w:val="none" w:sz="0" w:space="0" w:color="auto"/>
        <w:left w:val="none" w:sz="0" w:space="0" w:color="auto"/>
        <w:bottom w:val="none" w:sz="0" w:space="0" w:color="auto"/>
        <w:right w:val="none" w:sz="0" w:space="0" w:color="auto"/>
      </w:divBdr>
    </w:div>
    <w:div w:id="1012607771">
      <w:bodyDiv w:val="1"/>
      <w:marLeft w:val="0"/>
      <w:marRight w:val="0"/>
      <w:marTop w:val="0"/>
      <w:marBottom w:val="0"/>
      <w:divBdr>
        <w:top w:val="none" w:sz="0" w:space="0" w:color="auto"/>
        <w:left w:val="none" w:sz="0" w:space="0" w:color="auto"/>
        <w:bottom w:val="none" w:sz="0" w:space="0" w:color="auto"/>
        <w:right w:val="none" w:sz="0" w:space="0" w:color="auto"/>
      </w:divBdr>
    </w:div>
    <w:div w:id="1013067059">
      <w:bodyDiv w:val="1"/>
      <w:marLeft w:val="0"/>
      <w:marRight w:val="0"/>
      <w:marTop w:val="0"/>
      <w:marBottom w:val="0"/>
      <w:divBdr>
        <w:top w:val="none" w:sz="0" w:space="0" w:color="auto"/>
        <w:left w:val="none" w:sz="0" w:space="0" w:color="auto"/>
        <w:bottom w:val="none" w:sz="0" w:space="0" w:color="auto"/>
        <w:right w:val="none" w:sz="0" w:space="0" w:color="auto"/>
      </w:divBdr>
    </w:div>
    <w:div w:id="1013338104">
      <w:bodyDiv w:val="1"/>
      <w:marLeft w:val="0"/>
      <w:marRight w:val="0"/>
      <w:marTop w:val="0"/>
      <w:marBottom w:val="0"/>
      <w:divBdr>
        <w:top w:val="none" w:sz="0" w:space="0" w:color="auto"/>
        <w:left w:val="none" w:sz="0" w:space="0" w:color="auto"/>
        <w:bottom w:val="none" w:sz="0" w:space="0" w:color="auto"/>
        <w:right w:val="none" w:sz="0" w:space="0" w:color="auto"/>
      </w:divBdr>
    </w:div>
    <w:div w:id="1014066221">
      <w:bodyDiv w:val="1"/>
      <w:marLeft w:val="0"/>
      <w:marRight w:val="0"/>
      <w:marTop w:val="0"/>
      <w:marBottom w:val="0"/>
      <w:divBdr>
        <w:top w:val="none" w:sz="0" w:space="0" w:color="auto"/>
        <w:left w:val="none" w:sz="0" w:space="0" w:color="auto"/>
        <w:bottom w:val="none" w:sz="0" w:space="0" w:color="auto"/>
        <w:right w:val="none" w:sz="0" w:space="0" w:color="auto"/>
      </w:divBdr>
    </w:div>
    <w:div w:id="1014379462">
      <w:bodyDiv w:val="1"/>
      <w:marLeft w:val="0"/>
      <w:marRight w:val="0"/>
      <w:marTop w:val="0"/>
      <w:marBottom w:val="0"/>
      <w:divBdr>
        <w:top w:val="none" w:sz="0" w:space="0" w:color="auto"/>
        <w:left w:val="none" w:sz="0" w:space="0" w:color="auto"/>
        <w:bottom w:val="none" w:sz="0" w:space="0" w:color="auto"/>
        <w:right w:val="none" w:sz="0" w:space="0" w:color="auto"/>
      </w:divBdr>
    </w:div>
    <w:div w:id="1015420196">
      <w:bodyDiv w:val="1"/>
      <w:marLeft w:val="0"/>
      <w:marRight w:val="0"/>
      <w:marTop w:val="0"/>
      <w:marBottom w:val="0"/>
      <w:divBdr>
        <w:top w:val="none" w:sz="0" w:space="0" w:color="auto"/>
        <w:left w:val="none" w:sz="0" w:space="0" w:color="auto"/>
        <w:bottom w:val="none" w:sz="0" w:space="0" w:color="auto"/>
        <w:right w:val="none" w:sz="0" w:space="0" w:color="auto"/>
      </w:divBdr>
    </w:div>
    <w:div w:id="1015503252">
      <w:bodyDiv w:val="1"/>
      <w:marLeft w:val="0"/>
      <w:marRight w:val="0"/>
      <w:marTop w:val="0"/>
      <w:marBottom w:val="0"/>
      <w:divBdr>
        <w:top w:val="none" w:sz="0" w:space="0" w:color="auto"/>
        <w:left w:val="none" w:sz="0" w:space="0" w:color="auto"/>
        <w:bottom w:val="none" w:sz="0" w:space="0" w:color="auto"/>
        <w:right w:val="none" w:sz="0" w:space="0" w:color="auto"/>
      </w:divBdr>
    </w:div>
    <w:div w:id="1017928480">
      <w:bodyDiv w:val="1"/>
      <w:marLeft w:val="0"/>
      <w:marRight w:val="0"/>
      <w:marTop w:val="0"/>
      <w:marBottom w:val="0"/>
      <w:divBdr>
        <w:top w:val="none" w:sz="0" w:space="0" w:color="auto"/>
        <w:left w:val="none" w:sz="0" w:space="0" w:color="auto"/>
        <w:bottom w:val="none" w:sz="0" w:space="0" w:color="auto"/>
        <w:right w:val="none" w:sz="0" w:space="0" w:color="auto"/>
      </w:divBdr>
    </w:div>
    <w:div w:id="1019089365">
      <w:bodyDiv w:val="1"/>
      <w:marLeft w:val="0"/>
      <w:marRight w:val="0"/>
      <w:marTop w:val="0"/>
      <w:marBottom w:val="0"/>
      <w:divBdr>
        <w:top w:val="none" w:sz="0" w:space="0" w:color="auto"/>
        <w:left w:val="none" w:sz="0" w:space="0" w:color="auto"/>
        <w:bottom w:val="none" w:sz="0" w:space="0" w:color="auto"/>
        <w:right w:val="none" w:sz="0" w:space="0" w:color="auto"/>
      </w:divBdr>
    </w:div>
    <w:div w:id="1019626238">
      <w:bodyDiv w:val="1"/>
      <w:marLeft w:val="0"/>
      <w:marRight w:val="0"/>
      <w:marTop w:val="0"/>
      <w:marBottom w:val="0"/>
      <w:divBdr>
        <w:top w:val="none" w:sz="0" w:space="0" w:color="auto"/>
        <w:left w:val="none" w:sz="0" w:space="0" w:color="auto"/>
        <w:bottom w:val="none" w:sz="0" w:space="0" w:color="auto"/>
        <w:right w:val="none" w:sz="0" w:space="0" w:color="auto"/>
      </w:divBdr>
    </w:div>
    <w:div w:id="1019696410">
      <w:bodyDiv w:val="1"/>
      <w:marLeft w:val="0"/>
      <w:marRight w:val="0"/>
      <w:marTop w:val="0"/>
      <w:marBottom w:val="0"/>
      <w:divBdr>
        <w:top w:val="none" w:sz="0" w:space="0" w:color="auto"/>
        <w:left w:val="none" w:sz="0" w:space="0" w:color="auto"/>
        <w:bottom w:val="none" w:sz="0" w:space="0" w:color="auto"/>
        <w:right w:val="none" w:sz="0" w:space="0" w:color="auto"/>
      </w:divBdr>
    </w:div>
    <w:div w:id="1019894143">
      <w:bodyDiv w:val="1"/>
      <w:marLeft w:val="0"/>
      <w:marRight w:val="0"/>
      <w:marTop w:val="0"/>
      <w:marBottom w:val="0"/>
      <w:divBdr>
        <w:top w:val="none" w:sz="0" w:space="0" w:color="auto"/>
        <w:left w:val="none" w:sz="0" w:space="0" w:color="auto"/>
        <w:bottom w:val="none" w:sz="0" w:space="0" w:color="auto"/>
        <w:right w:val="none" w:sz="0" w:space="0" w:color="auto"/>
      </w:divBdr>
    </w:div>
    <w:div w:id="1020005389">
      <w:bodyDiv w:val="1"/>
      <w:marLeft w:val="0"/>
      <w:marRight w:val="0"/>
      <w:marTop w:val="0"/>
      <w:marBottom w:val="0"/>
      <w:divBdr>
        <w:top w:val="none" w:sz="0" w:space="0" w:color="auto"/>
        <w:left w:val="none" w:sz="0" w:space="0" w:color="auto"/>
        <w:bottom w:val="none" w:sz="0" w:space="0" w:color="auto"/>
        <w:right w:val="none" w:sz="0" w:space="0" w:color="auto"/>
      </w:divBdr>
    </w:div>
    <w:div w:id="1020010448">
      <w:bodyDiv w:val="1"/>
      <w:marLeft w:val="0"/>
      <w:marRight w:val="0"/>
      <w:marTop w:val="0"/>
      <w:marBottom w:val="0"/>
      <w:divBdr>
        <w:top w:val="none" w:sz="0" w:space="0" w:color="auto"/>
        <w:left w:val="none" w:sz="0" w:space="0" w:color="auto"/>
        <w:bottom w:val="none" w:sz="0" w:space="0" w:color="auto"/>
        <w:right w:val="none" w:sz="0" w:space="0" w:color="auto"/>
      </w:divBdr>
    </w:div>
    <w:div w:id="1020200581">
      <w:bodyDiv w:val="1"/>
      <w:marLeft w:val="0"/>
      <w:marRight w:val="0"/>
      <w:marTop w:val="0"/>
      <w:marBottom w:val="0"/>
      <w:divBdr>
        <w:top w:val="none" w:sz="0" w:space="0" w:color="auto"/>
        <w:left w:val="none" w:sz="0" w:space="0" w:color="auto"/>
        <w:bottom w:val="none" w:sz="0" w:space="0" w:color="auto"/>
        <w:right w:val="none" w:sz="0" w:space="0" w:color="auto"/>
      </w:divBdr>
    </w:div>
    <w:div w:id="1020619714">
      <w:bodyDiv w:val="1"/>
      <w:marLeft w:val="0"/>
      <w:marRight w:val="0"/>
      <w:marTop w:val="0"/>
      <w:marBottom w:val="0"/>
      <w:divBdr>
        <w:top w:val="none" w:sz="0" w:space="0" w:color="auto"/>
        <w:left w:val="none" w:sz="0" w:space="0" w:color="auto"/>
        <w:bottom w:val="none" w:sz="0" w:space="0" w:color="auto"/>
        <w:right w:val="none" w:sz="0" w:space="0" w:color="auto"/>
      </w:divBdr>
    </w:div>
    <w:div w:id="1020861042">
      <w:bodyDiv w:val="1"/>
      <w:marLeft w:val="0"/>
      <w:marRight w:val="0"/>
      <w:marTop w:val="0"/>
      <w:marBottom w:val="0"/>
      <w:divBdr>
        <w:top w:val="none" w:sz="0" w:space="0" w:color="auto"/>
        <w:left w:val="none" w:sz="0" w:space="0" w:color="auto"/>
        <w:bottom w:val="none" w:sz="0" w:space="0" w:color="auto"/>
        <w:right w:val="none" w:sz="0" w:space="0" w:color="auto"/>
      </w:divBdr>
    </w:div>
    <w:div w:id="1022319016">
      <w:bodyDiv w:val="1"/>
      <w:marLeft w:val="0"/>
      <w:marRight w:val="0"/>
      <w:marTop w:val="0"/>
      <w:marBottom w:val="0"/>
      <w:divBdr>
        <w:top w:val="none" w:sz="0" w:space="0" w:color="auto"/>
        <w:left w:val="none" w:sz="0" w:space="0" w:color="auto"/>
        <w:bottom w:val="none" w:sz="0" w:space="0" w:color="auto"/>
        <w:right w:val="none" w:sz="0" w:space="0" w:color="auto"/>
      </w:divBdr>
    </w:div>
    <w:div w:id="1022820715">
      <w:bodyDiv w:val="1"/>
      <w:marLeft w:val="0"/>
      <w:marRight w:val="0"/>
      <w:marTop w:val="0"/>
      <w:marBottom w:val="0"/>
      <w:divBdr>
        <w:top w:val="none" w:sz="0" w:space="0" w:color="auto"/>
        <w:left w:val="none" w:sz="0" w:space="0" w:color="auto"/>
        <w:bottom w:val="none" w:sz="0" w:space="0" w:color="auto"/>
        <w:right w:val="none" w:sz="0" w:space="0" w:color="auto"/>
      </w:divBdr>
    </w:div>
    <w:div w:id="1022825884">
      <w:bodyDiv w:val="1"/>
      <w:marLeft w:val="0"/>
      <w:marRight w:val="0"/>
      <w:marTop w:val="0"/>
      <w:marBottom w:val="0"/>
      <w:divBdr>
        <w:top w:val="none" w:sz="0" w:space="0" w:color="auto"/>
        <w:left w:val="none" w:sz="0" w:space="0" w:color="auto"/>
        <w:bottom w:val="none" w:sz="0" w:space="0" w:color="auto"/>
        <w:right w:val="none" w:sz="0" w:space="0" w:color="auto"/>
      </w:divBdr>
    </w:div>
    <w:div w:id="1024135720">
      <w:bodyDiv w:val="1"/>
      <w:marLeft w:val="0"/>
      <w:marRight w:val="0"/>
      <w:marTop w:val="0"/>
      <w:marBottom w:val="0"/>
      <w:divBdr>
        <w:top w:val="none" w:sz="0" w:space="0" w:color="auto"/>
        <w:left w:val="none" w:sz="0" w:space="0" w:color="auto"/>
        <w:bottom w:val="none" w:sz="0" w:space="0" w:color="auto"/>
        <w:right w:val="none" w:sz="0" w:space="0" w:color="auto"/>
      </w:divBdr>
    </w:div>
    <w:div w:id="1025518862">
      <w:bodyDiv w:val="1"/>
      <w:marLeft w:val="0"/>
      <w:marRight w:val="0"/>
      <w:marTop w:val="0"/>
      <w:marBottom w:val="0"/>
      <w:divBdr>
        <w:top w:val="none" w:sz="0" w:space="0" w:color="auto"/>
        <w:left w:val="none" w:sz="0" w:space="0" w:color="auto"/>
        <w:bottom w:val="none" w:sz="0" w:space="0" w:color="auto"/>
        <w:right w:val="none" w:sz="0" w:space="0" w:color="auto"/>
      </w:divBdr>
    </w:div>
    <w:div w:id="1025713481">
      <w:bodyDiv w:val="1"/>
      <w:marLeft w:val="0"/>
      <w:marRight w:val="0"/>
      <w:marTop w:val="0"/>
      <w:marBottom w:val="0"/>
      <w:divBdr>
        <w:top w:val="none" w:sz="0" w:space="0" w:color="auto"/>
        <w:left w:val="none" w:sz="0" w:space="0" w:color="auto"/>
        <w:bottom w:val="none" w:sz="0" w:space="0" w:color="auto"/>
        <w:right w:val="none" w:sz="0" w:space="0" w:color="auto"/>
      </w:divBdr>
    </w:div>
    <w:div w:id="1025985787">
      <w:bodyDiv w:val="1"/>
      <w:marLeft w:val="0"/>
      <w:marRight w:val="0"/>
      <w:marTop w:val="0"/>
      <w:marBottom w:val="0"/>
      <w:divBdr>
        <w:top w:val="none" w:sz="0" w:space="0" w:color="auto"/>
        <w:left w:val="none" w:sz="0" w:space="0" w:color="auto"/>
        <w:bottom w:val="none" w:sz="0" w:space="0" w:color="auto"/>
        <w:right w:val="none" w:sz="0" w:space="0" w:color="auto"/>
      </w:divBdr>
    </w:div>
    <w:div w:id="1026761027">
      <w:bodyDiv w:val="1"/>
      <w:marLeft w:val="0"/>
      <w:marRight w:val="0"/>
      <w:marTop w:val="0"/>
      <w:marBottom w:val="0"/>
      <w:divBdr>
        <w:top w:val="none" w:sz="0" w:space="0" w:color="auto"/>
        <w:left w:val="none" w:sz="0" w:space="0" w:color="auto"/>
        <w:bottom w:val="none" w:sz="0" w:space="0" w:color="auto"/>
        <w:right w:val="none" w:sz="0" w:space="0" w:color="auto"/>
      </w:divBdr>
    </w:div>
    <w:div w:id="1029259021">
      <w:bodyDiv w:val="1"/>
      <w:marLeft w:val="0"/>
      <w:marRight w:val="0"/>
      <w:marTop w:val="0"/>
      <w:marBottom w:val="0"/>
      <w:divBdr>
        <w:top w:val="none" w:sz="0" w:space="0" w:color="auto"/>
        <w:left w:val="none" w:sz="0" w:space="0" w:color="auto"/>
        <w:bottom w:val="none" w:sz="0" w:space="0" w:color="auto"/>
        <w:right w:val="none" w:sz="0" w:space="0" w:color="auto"/>
      </w:divBdr>
    </w:div>
    <w:div w:id="1029260921">
      <w:bodyDiv w:val="1"/>
      <w:marLeft w:val="0"/>
      <w:marRight w:val="0"/>
      <w:marTop w:val="0"/>
      <w:marBottom w:val="0"/>
      <w:divBdr>
        <w:top w:val="none" w:sz="0" w:space="0" w:color="auto"/>
        <w:left w:val="none" w:sz="0" w:space="0" w:color="auto"/>
        <w:bottom w:val="none" w:sz="0" w:space="0" w:color="auto"/>
        <w:right w:val="none" w:sz="0" w:space="0" w:color="auto"/>
      </w:divBdr>
    </w:div>
    <w:div w:id="1029642361">
      <w:bodyDiv w:val="1"/>
      <w:marLeft w:val="0"/>
      <w:marRight w:val="0"/>
      <w:marTop w:val="0"/>
      <w:marBottom w:val="0"/>
      <w:divBdr>
        <w:top w:val="none" w:sz="0" w:space="0" w:color="auto"/>
        <w:left w:val="none" w:sz="0" w:space="0" w:color="auto"/>
        <w:bottom w:val="none" w:sz="0" w:space="0" w:color="auto"/>
        <w:right w:val="none" w:sz="0" w:space="0" w:color="auto"/>
      </w:divBdr>
    </w:div>
    <w:div w:id="1030300003">
      <w:bodyDiv w:val="1"/>
      <w:marLeft w:val="0"/>
      <w:marRight w:val="0"/>
      <w:marTop w:val="0"/>
      <w:marBottom w:val="0"/>
      <w:divBdr>
        <w:top w:val="none" w:sz="0" w:space="0" w:color="auto"/>
        <w:left w:val="none" w:sz="0" w:space="0" w:color="auto"/>
        <w:bottom w:val="none" w:sz="0" w:space="0" w:color="auto"/>
        <w:right w:val="none" w:sz="0" w:space="0" w:color="auto"/>
      </w:divBdr>
    </w:div>
    <w:div w:id="1030303944">
      <w:bodyDiv w:val="1"/>
      <w:marLeft w:val="0"/>
      <w:marRight w:val="0"/>
      <w:marTop w:val="0"/>
      <w:marBottom w:val="0"/>
      <w:divBdr>
        <w:top w:val="none" w:sz="0" w:space="0" w:color="auto"/>
        <w:left w:val="none" w:sz="0" w:space="0" w:color="auto"/>
        <w:bottom w:val="none" w:sz="0" w:space="0" w:color="auto"/>
        <w:right w:val="none" w:sz="0" w:space="0" w:color="auto"/>
      </w:divBdr>
    </w:div>
    <w:div w:id="1030492834">
      <w:bodyDiv w:val="1"/>
      <w:marLeft w:val="0"/>
      <w:marRight w:val="0"/>
      <w:marTop w:val="0"/>
      <w:marBottom w:val="0"/>
      <w:divBdr>
        <w:top w:val="none" w:sz="0" w:space="0" w:color="auto"/>
        <w:left w:val="none" w:sz="0" w:space="0" w:color="auto"/>
        <w:bottom w:val="none" w:sz="0" w:space="0" w:color="auto"/>
        <w:right w:val="none" w:sz="0" w:space="0" w:color="auto"/>
      </w:divBdr>
    </w:div>
    <w:div w:id="1030839838">
      <w:bodyDiv w:val="1"/>
      <w:marLeft w:val="0"/>
      <w:marRight w:val="0"/>
      <w:marTop w:val="0"/>
      <w:marBottom w:val="0"/>
      <w:divBdr>
        <w:top w:val="none" w:sz="0" w:space="0" w:color="auto"/>
        <w:left w:val="none" w:sz="0" w:space="0" w:color="auto"/>
        <w:bottom w:val="none" w:sz="0" w:space="0" w:color="auto"/>
        <w:right w:val="none" w:sz="0" w:space="0" w:color="auto"/>
      </w:divBdr>
    </w:div>
    <w:div w:id="1030911784">
      <w:bodyDiv w:val="1"/>
      <w:marLeft w:val="0"/>
      <w:marRight w:val="0"/>
      <w:marTop w:val="0"/>
      <w:marBottom w:val="0"/>
      <w:divBdr>
        <w:top w:val="none" w:sz="0" w:space="0" w:color="auto"/>
        <w:left w:val="none" w:sz="0" w:space="0" w:color="auto"/>
        <w:bottom w:val="none" w:sz="0" w:space="0" w:color="auto"/>
        <w:right w:val="none" w:sz="0" w:space="0" w:color="auto"/>
      </w:divBdr>
    </w:div>
    <w:div w:id="1031496149">
      <w:bodyDiv w:val="1"/>
      <w:marLeft w:val="0"/>
      <w:marRight w:val="0"/>
      <w:marTop w:val="0"/>
      <w:marBottom w:val="0"/>
      <w:divBdr>
        <w:top w:val="none" w:sz="0" w:space="0" w:color="auto"/>
        <w:left w:val="none" w:sz="0" w:space="0" w:color="auto"/>
        <w:bottom w:val="none" w:sz="0" w:space="0" w:color="auto"/>
        <w:right w:val="none" w:sz="0" w:space="0" w:color="auto"/>
      </w:divBdr>
    </w:div>
    <w:div w:id="1031611651">
      <w:bodyDiv w:val="1"/>
      <w:marLeft w:val="0"/>
      <w:marRight w:val="0"/>
      <w:marTop w:val="0"/>
      <w:marBottom w:val="0"/>
      <w:divBdr>
        <w:top w:val="none" w:sz="0" w:space="0" w:color="auto"/>
        <w:left w:val="none" w:sz="0" w:space="0" w:color="auto"/>
        <w:bottom w:val="none" w:sz="0" w:space="0" w:color="auto"/>
        <w:right w:val="none" w:sz="0" w:space="0" w:color="auto"/>
      </w:divBdr>
    </w:div>
    <w:div w:id="1032420467">
      <w:bodyDiv w:val="1"/>
      <w:marLeft w:val="0"/>
      <w:marRight w:val="0"/>
      <w:marTop w:val="0"/>
      <w:marBottom w:val="0"/>
      <w:divBdr>
        <w:top w:val="none" w:sz="0" w:space="0" w:color="auto"/>
        <w:left w:val="none" w:sz="0" w:space="0" w:color="auto"/>
        <w:bottom w:val="none" w:sz="0" w:space="0" w:color="auto"/>
        <w:right w:val="none" w:sz="0" w:space="0" w:color="auto"/>
      </w:divBdr>
    </w:div>
    <w:div w:id="1032805732">
      <w:bodyDiv w:val="1"/>
      <w:marLeft w:val="0"/>
      <w:marRight w:val="0"/>
      <w:marTop w:val="0"/>
      <w:marBottom w:val="0"/>
      <w:divBdr>
        <w:top w:val="none" w:sz="0" w:space="0" w:color="auto"/>
        <w:left w:val="none" w:sz="0" w:space="0" w:color="auto"/>
        <w:bottom w:val="none" w:sz="0" w:space="0" w:color="auto"/>
        <w:right w:val="none" w:sz="0" w:space="0" w:color="auto"/>
      </w:divBdr>
    </w:div>
    <w:div w:id="1034580387">
      <w:bodyDiv w:val="1"/>
      <w:marLeft w:val="0"/>
      <w:marRight w:val="0"/>
      <w:marTop w:val="0"/>
      <w:marBottom w:val="0"/>
      <w:divBdr>
        <w:top w:val="none" w:sz="0" w:space="0" w:color="auto"/>
        <w:left w:val="none" w:sz="0" w:space="0" w:color="auto"/>
        <w:bottom w:val="none" w:sz="0" w:space="0" w:color="auto"/>
        <w:right w:val="none" w:sz="0" w:space="0" w:color="auto"/>
      </w:divBdr>
    </w:div>
    <w:div w:id="1035274500">
      <w:bodyDiv w:val="1"/>
      <w:marLeft w:val="0"/>
      <w:marRight w:val="0"/>
      <w:marTop w:val="0"/>
      <w:marBottom w:val="0"/>
      <w:divBdr>
        <w:top w:val="none" w:sz="0" w:space="0" w:color="auto"/>
        <w:left w:val="none" w:sz="0" w:space="0" w:color="auto"/>
        <w:bottom w:val="none" w:sz="0" w:space="0" w:color="auto"/>
        <w:right w:val="none" w:sz="0" w:space="0" w:color="auto"/>
      </w:divBdr>
    </w:div>
    <w:div w:id="1035420539">
      <w:bodyDiv w:val="1"/>
      <w:marLeft w:val="0"/>
      <w:marRight w:val="0"/>
      <w:marTop w:val="0"/>
      <w:marBottom w:val="0"/>
      <w:divBdr>
        <w:top w:val="none" w:sz="0" w:space="0" w:color="auto"/>
        <w:left w:val="none" w:sz="0" w:space="0" w:color="auto"/>
        <w:bottom w:val="none" w:sz="0" w:space="0" w:color="auto"/>
        <w:right w:val="none" w:sz="0" w:space="0" w:color="auto"/>
      </w:divBdr>
    </w:div>
    <w:div w:id="1035421497">
      <w:bodyDiv w:val="1"/>
      <w:marLeft w:val="0"/>
      <w:marRight w:val="0"/>
      <w:marTop w:val="0"/>
      <w:marBottom w:val="0"/>
      <w:divBdr>
        <w:top w:val="none" w:sz="0" w:space="0" w:color="auto"/>
        <w:left w:val="none" w:sz="0" w:space="0" w:color="auto"/>
        <w:bottom w:val="none" w:sz="0" w:space="0" w:color="auto"/>
        <w:right w:val="none" w:sz="0" w:space="0" w:color="auto"/>
      </w:divBdr>
    </w:div>
    <w:div w:id="1035538997">
      <w:bodyDiv w:val="1"/>
      <w:marLeft w:val="0"/>
      <w:marRight w:val="0"/>
      <w:marTop w:val="0"/>
      <w:marBottom w:val="0"/>
      <w:divBdr>
        <w:top w:val="none" w:sz="0" w:space="0" w:color="auto"/>
        <w:left w:val="none" w:sz="0" w:space="0" w:color="auto"/>
        <w:bottom w:val="none" w:sz="0" w:space="0" w:color="auto"/>
        <w:right w:val="none" w:sz="0" w:space="0" w:color="auto"/>
      </w:divBdr>
    </w:div>
    <w:div w:id="1035618933">
      <w:bodyDiv w:val="1"/>
      <w:marLeft w:val="0"/>
      <w:marRight w:val="0"/>
      <w:marTop w:val="0"/>
      <w:marBottom w:val="0"/>
      <w:divBdr>
        <w:top w:val="none" w:sz="0" w:space="0" w:color="auto"/>
        <w:left w:val="none" w:sz="0" w:space="0" w:color="auto"/>
        <w:bottom w:val="none" w:sz="0" w:space="0" w:color="auto"/>
        <w:right w:val="none" w:sz="0" w:space="0" w:color="auto"/>
      </w:divBdr>
      <w:divsChild>
        <w:div w:id="1463844361">
          <w:marLeft w:val="480"/>
          <w:marRight w:val="0"/>
          <w:marTop w:val="0"/>
          <w:marBottom w:val="0"/>
          <w:divBdr>
            <w:top w:val="none" w:sz="0" w:space="0" w:color="auto"/>
            <w:left w:val="none" w:sz="0" w:space="0" w:color="auto"/>
            <w:bottom w:val="none" w:sz="0" w:space="0" w:color="auto"/>
            <w:right w:val="none" w:sz="0" w:space="0" w:color="auto"/>
          </w:divBdr>
        </w:div>
        <w:div w:id="104926098">
          <w:marLeft w:val="480"/>
          <w:marRight w:val="0"/>
          <w:marTop w:val="0"/>
          <w:marBottom w:val="0"/>
          <w:divBdr>
            <w:top w:val="none" w:sz="0" w:space="0" w:color="auto"/>
            <w:left w:val="none" w:sz="0" w:space="0" w:color="auto"/>
            <w:bottom w:val="none" w:sz="0" w:space="0" w:color="auto"/>
            <w:right w:val="none" w:sz="0" w:space="0" w:color="auto"/>
          </w:divBdr>
        </w:div>
        <w:div w:id="931861316">
          <w:marLeft w:val="480"/>
          <w:marRight w:val="0"/>
          <w:marTop w:val="0"/>
          <w:marBottom w:val="0"/>
          <w:divBdr>
            <w:top w:val="none" w:sz="0" w:space="0" w:color="auto"/>
            <w:left w:val="none" w:sz="0" w:space="0" w:color="auto"/>
            <w:bottom w:val="none" w:sz="0" w:space="0" w:color="auto"/>
            <w:right w:val="none" w:sz="0" w:space="0" w:color="auto"/>
          </w:divBdr>
        </w:div>
        <w:div w:id="424619275">
          <w:marLeft w:val="480"/>
          <w:marRight w:val="0"/>
          <w:marTop w:val="0"/>
          <w:marBottom w:val="0"/>
          <w:divBdr>
            <w:top w:val="none" w:sz="0" w:space="0" w:color="auto"/>
            <w:left w:val="none" w:sz="0" w:space="0" w:color="auto"/>
            <w:bottom w:val="none" w:sz="0" w:space="0" w:color="auto"/>
            <w:right w:val="none" w:sz="0" w:space="0" w:color="auto"/>
          </w:divBdr>
        </w:div>
        <w:div w:id="1245339024">
          <w:marLeft w:val="480"/>
          <w:marRight w:val="0"/>
          <w:marTop w:val="0"/>
          <w:marBottom w:val="0"/>
          <w:divBdr>
            <w:top w:val="none" w:sz="0" w:space="0" w:color="auto"/>
            <w:left w:val="none" w:sz="0" w:space="0" w:color="auto"/>
            <w:bottom w:val="none" w:sz="0" w:space="0" w:color="auto"/>
            <w:right w:val="none" w:sz="0" w:space="0" w:color="auto"/>
          </w:divBdr>
        </w:div>
        <w:div w:id="168564376">
          <w:marLeft w:val="480"/>
          <w:marRight w:val="0"/>
          <w:marTop w:val="0"/>
          <w:marBottom w:val="0"/>
          <w:divBdr>
            <w:top w:val="none" w:sz="0" w:space="0" w:color="auto"/>
            <w:left w:val="none" w:sz="0" w:space="0" w:color="auto"/>
            <w:bottom w:val="none" w:sz="0" w:space="0" w:color="auto"/>
            <w:right w:val="none" w:sz="0" w:space="0" w:color="auto"/>
          </w:divBdr>
        </w:div>
        <w:div w:id="51197293">
          <w:marLeft w:val="480"/>
          <w:marRight w:val="0"/>
          <w:marTop w:val="0"/>
          <w:marBottom w:val="0"/>
          <w:divBdr>
            <w:top w:val="none" w:sz="0" w:space="0" w:color="auto"/>
            <w:left w:val="none" w:sz="0" w:space="0" w:color="auto"/>
            <w:bottom w:val="none" w:sz="0" w:space="0" w:color="auto"/>
            <w:right w:val="none" w:sz="0" w:space="0" w:color="auto"/>
          </w:divBdr>
        </w:div>
        <w:div w:id="901522775">
          <w:marLeft w:val="480"/>
          <w:marRight w:val="0"/>
          <w:marTop w:val="0"/>
          <w:marBottom w:val="0"/>
          <w:divBdr>
            <w:top w:val="none" w:sz="0" w:space="0" w:color="auto"/>
            <w:left w:val="none" w:sz="0" w:space="0" w:color="auto"/>
            <w:bottom w:val="none" w:sz="0" w:space="0" w:color="auto"/>
            <w:right w:val="none" w:sz="0" w:space="0" w:color="auto"/>
          </w:divBdr>
        </w:div>
        <w:div w:id="574053696">
          <w:marLeft w:val="480"/>
          <w:marRight w:val="0"/>
          <w:marTop w:val="0"/>
          <w:marBottom w:val="0"/>
          <w:divBdr>
            <w:top w:val="none" w:sz="0" w:space="0" w:color="auto"/>
            <w:left w:val="none" w:sz="0" w:space="0" w:color="auto"/>
            <w:bottom w:val="none" w:sz="0" w:space="0" w:color="auto"/>
            <w:right w:val="none" w:sz="0" w:space="0" w:color="auto"/>
          </w:divBdr>
        </w:div>
        <w:div w:id="279070005">
          <w:marLeft w:val="480"/>
          <w:marRight w:val="0"/>
          <w:marTop w:val="0"/>
          <w:marBottom w:val="0"/>
          <w:divBdr>
            <w:top w:val="none" w:sz="0" w:space="0" w:color="auto"/>
            <w:left w:val="none" w:sz="0" w:space="0" w:color="auto"/>
            <w:bottom w:val="none" w:sz="0" w:space="0" w:color="auto"/>
            <w:right w:val="none" w:sz="0" w:space="0" w:color="auto"/>
          </w:divBdr>
        </w:div>
        <w:div w:id="688140763">
          <w:marLeft w:val="480"/>
          <w:marRight w:val="0"/>
          <w:marTop w:val="0"/>
          <w:marBottom w:val="0"/>
          <w:divBdr>
            <w:top w:val="none" w:sz="0" w:space="0" w:color="auto"/>
            <w:left w:val="none" w:sz="0" w:space="0" w:color="auto"/>
            <w:bottom w:val="none" w:sz="0" w:space="0" w:color="auto"/>
            <w:right w:val="none" w:sz="0" w:space="0" w:color="auto"/>
          </w:divBdr>
        </w:div>
        <w:div w:id="639190009">
          <w:marLeft w:val="480"/>
          <w:marRight w:val="0"/>
          <w:marTop w:val="0"/>
          <w:marBottom w:val="0"/>
          <w:divBdr>
            <w:top w:val="none" w:sz="0" w:space="0" w:color="auto"/>
            <w:left w:val="none" w:sz="0" w:space="0" w:color="auto"/>
            <w:bottom w:val="none" w:sz="0" w:space="0" w:color="auto"/>
            <w:right w:val="none" w:sz="0" w:space="0" w:color="auto"/>
          </w:divBdr>
        </w:div>
        <w:div w:id="1108770378">
          <w:marLeft w:val="480"/>
          <w:marRight w:val="0"/>
          <w:marTop w:val="0"/>
          <w:marBottom w:val="0"/>
          <w:divBdr>
            <w:top w:val="none" w:sz="0" w:space="0" w:color="auto"/>
            <w:left w:val="none" w:sz="0" w:space="0" w:color="auto"/>
            <w:bottom w:val="none" w:sz="0" w:space="0" w:color="auto"/>
            <w:right w:val="none" w:sz="0" w:space="0" w:color="auto"/>
          </w:divBdr>
        </w:div>
        <w:div w:id="300156847">
          <w:marLeft w:val="480"/>
          <w:marRight w:val="0"/>
          <w:marTop w:val="0"/>
          <w:marBottom w:val="0"/>
          <w:divBdr>
            <w:top w:val="none" w:sz="0" w:space="0" w:color="auto"/>
            <w:left w:val="none" w:sz="0" w:space="0" w:color="auto"/>
            <w:bottom w:val="none" w:sz="0" w:space="0" w:color="auto"/>
            <w:right w:val="none" w:sz="0" w:space="0" w:color="auto"/>
          </w:divBdr>
        </w:div>
        <w:div w:id="1283851770">
          <w:marLeft w:val="480"/>
          <w:marRight w:val="0"/>
          <w:marTop w:val="0"/>
          <w:marBottom w:val="0"/>
          <w:divBdr>
            <w:top w:val="none" w:sz="0" w:space="0" w:color="auto"/>
            <w:left w:val="none" w:sz="0" w:space="0" w:color="auto"/>
            <w:bottom w:val="none" w:sz="0" w:space="0" w:color="auto"/>
            <w:right w:val="none" w:sz="0" w:space="0" w:color="auto"/>
          </w:divBdr>
        </w:div>
        <w:div w:id="418673529">
          <w:marLeft w:val="480"/>
          <w:marRight w:val="0"/>
          <w:marTop w:val="0"/>
          <w:marBottom w:val="0"/>
          <w:divBdr>
            <w:top w:val="none" w:sz="0" w:space="0" w:color="auto"/>
            <w:left w:val="none" w:sz="0" w:space="0" w:color="auto"/>
            <w:bottom w:val="none" w:sz="0" w:space="0" w:color="auto"/>
            <w:right w:val="none" w:sz="0" w:space="0" w:color="auto"/>
          </w:divBdr>
        </w:div>
        <w:div w:id="1475484403">
          <w:marLeft w:val="480"/>
          <w:marRight w:val="0"/>
          <w:marTop w:val="0"/>
          <w:marBottom w:val="0"/>
          <w:divBdr>
            <w:top w:val="none" w:sz="0" w:space="0" w:color="auto"/>
            <w:left w:val="none" w:sz="0" w:space="0" w:color="auto"/>
            <w:bottom w:val="none" w:sz="0" w:space="0" w:color="auto"/>
            <w:right w:val="none" w:sz="0" w:space="0" w:color="auto"/>
          </w:divBdr>
        </w:div>
        <w:div w:id="374014296">
          <w:marLeft w:val="480"/>
          <w:marRight w:val="0"/>
          <w:marTop w:val="0"/>
          <w:marBottom w:val="0"/>
          <w:divBdr>
            <w:top w:val="none" w:sz="0" w:space="0" w:color="auto"/>
            <w:left w:val="none" w:sz="0" w:space="0" w:color="auto"/>
            <w:bottom w:val="none" w:sz="0" w:space="0" w:color="auto"/>
            <w:right w:val="none" w:sz="0" w:space="0" w:color="auto"/>
          </w:divBdr>
        </w:div>
        <w:div w:id="125398664">
          <w:marLeft w:val="480"/>
          <w:marRight w:val="0"/>
          <w:marTop w:val="0"/>
          <w:marBottom w:val="0"/>
          <w:divBdr>
            <w:top w:val="none" w:sz="0" w:space="0" w:color="auto"/>
            <w:left w:val="none" w:sz="0" w:space="0" w:color="auto"/>
            <w:bottom w:val="none" w:sz="0" w:space="0" w:color="auto"/>
            <w:right w:val="none" w:sz="0" w:space="0" w:color="auto"/>
          </w:divBdr>
        </w:div>
        <w:div w:id="1592541436">
          <w:marLeft w:val="480"/>
          <w:marRight w:val="0"/>
          <w:marTop w:val="0"/>
          <w:marBottom w:val="0"/>
          <w:divBdr>
            <w:top w:val="none" w:sz="0" w:space="0" w:color="auto"/>
            <w:left w:val="none" w:sz="0" w:space="0" w:color="auto"/>
            <w:bottom w:val="none" w:sz="0" w:space="0" w:color="auto"/>
            <w:right w:val="none" w:sz="0" w:space="0" w:color="auto"/>
          </w:divBdr>
        </w:div>
        <w:div w:id="278267031">
          <w:marLeft w:val="480"/>
          <w:marRight w:val="0"/>
          <w:marTop w:val="0"/>
          <w:marBottom w:val="0"/>
          <w:divBdr>
            <w:top w:val="none" w:sz="0" w:space="0" w:color="auto"/>
            <w:left w:val="none" w:sz="0" w:space="0" w:color="auto"/>
            <w:bottom w:val="none" w:sz="0" w:space="0" w:color="auto"/>
            <w:right w:val="none" w:sz="0" w:space="0" w:color="auto"/>
          </w:divBdr>
        </w:div>
        <w:div w:id="1500533751">
          <w:marLeft w:val="480"/>
          <w:marRight w:val="0"/>
          <w:marTop w:val="0"/>
          <w:marBottom w:val="0"/>
          <w:divBdr>
            <w:top w:val="none" w:sz="0" w:space="0" w:color="auto"/>
            <w:left w:val="none" w:sz="0" w:space="0" w:color="auto"/>
            <w:bottom w:val="none" w:sz="0" w:space="0" w:color="auto"/>
            <w:right w:val="none" w:sz="0" w:space="0" w:color="auto"/>
          </w:divBdr>
        </w:div>
        <w:div w:id="1143236469">
          <w:marLeft w:val="480"/>
          <w:marRight w:val="0"/>
          <w:marTop w:val="0"/>
          <w:marBottom w:val="0"/>
          <w:divBdr>
            <w:top w:val="none" w:sz="0" w:space="0" w:color="auto"/>
            <w:left w:val="none" w:sz="0" w:space="0" w:color="auto"/>
            <w:bottom w:val="none" w:sz="0" w:space="0" w:color="auto"/>
            <w:right w:val="none" w:sz="0" w:space="0" w:color="auto"/>
          </w:divBdr>
        </w:div>
        <w:div w:id="651565621">
          <w:marLeft w:val="480"/>
          <w:marRight w:val="0"/>
          <w:marTop w:val="0"/>
          <w:marBottom w:val="0"/>
          <w:divBdr>
            <w:top w:val="none" w:sz="0" w:space="0" w:color="auto"/>
            <w:left w:val="none" w:sz="0" w:space="0" w:color="auto"/>
            <w:bottom w:val="none" w:sz="0" w:space="0" w:color="auto"/>
            <w:right w:val="none" w:sz="0" w:space="0" w:color="auto"/>
          </w:divBdr>
        </w:div>
        <w:div w:id="801271171">
          <w:marLeft w:val="480"/>
          <w:marRight w:val="0"/>
          <w:marTop w:val="0"/>
          <w:marBottom w:val="0"/>
          <w:divBdr>
            <w:top w:val="none" w:sz="0" w:space="0" w:color="auto"/>
            <w:left w:val="none" w:sz="0" w:space="0" w:color="auto"/>
            <w:bottom w:val="none" w:sz="0" w:space="0" w:color="auto"/>
            <w:right w:val="none" w:sz="0" w:space="0" w:color="auto"/>
          </w:divBdr>
        </w:div>
        <w:div w:id="1292054215">
          <w:marLeft w:val="480"/>
          <w:marRight w:val="0"/>
          <w:marTop w:val="0"/>
          <w:marBottom w:val="0"/>
          <w:divBdr>
            <w:top w:val="none" w:sz="0" w:space="0" w:color="auto"/>
            <w:left w:val="none" w:sz="0" w:space="0" w:color="auto"/>
            <w:bottom w:val="none" w:sz="0" w:space="0" w:color="auto"/>
            <w:right w:val="none" w:sz="0" w:space="0" w:color="auto"/>
          </w:divBdr>
        </w:div>
        <w:div w:id="1000962290">
          <w:marLeft w:val="480"/>
          <w:marRight w:val="0"/>
          <w:marTop w:val="0"/>
          <w:marBottom w:val="0"/>
          <w:divBdr>
            <w:top w:val="none" w:sz="0" w:space="0" w:color="auto"/>
            <w:left w:val="none" w:sz="0" w:space="0" w:color="auto"/>
            <w:bottom w:val="none" w:sz="0" w:space="0" w:color="auto"/>
            <w:right w:val="none" w:sz="0" w:space="0" w:color="auto"/>
          </w:divBdr>
        </w:div>
        <w:div w:id="439109222">
          <w:marLeft w:val="480"/>
          <w:marRight w:val="0"/>
          <w:marTop w:val="0"/>
          <w:marBottom w:val="0"/>
          <w:divBdr>
            <w:top w:val="none" w:sz="0" w:space="0" w:color="auto"/>
            <w:left w:val="none" w:sz="0" w:space="0" w:color="auto"/>
            <w:bottom w:val="none" w:sz="0" w:space="0" w:color="auto"/>
            <w:right w:val="none" w:sz="0" w:space="0" w:color="auto"/>
          </w:divBdr>
        </w:div>
        <w:div w:id="1058668624">
          <w:marLeft w:val="480"/>
          <w:marRight w:val="0"/>
          <w:marTop w:val="0"/>
          <w:marBottom w:val="0"/>
          <w:divBdr>
            <w:top w:val="none" w:sz="0" w:space="0" w:color="auto"/>
            <w:left w:val="none" w:sz="0" w:space="0" w:color="auto"/>
            <w:bottom w:val="none" w:sz="0" w:space="0" w:color="auto"/>
            <w:right w:val="none" w:sz="0" w:space="0" w:color="auto"/>
          </w:divBdr>
        </w:div>
        <w:div w:id="309987546">
          <w:marLeft w:val="480"/>
          <w:marRight w:val="0"/>
          <w:marTop w:val="0"/>
          <w:marBottom w:val="0"/>
          <w:divBdr>
            <w:top w:val="none" w:sz="0" w:space="0" w:color="auto"/>
            <w:left w:val="none" w:sz="0" w:space="0" w:color="auto"/>
            <w:bottom w:val="none" w:sz="0" w:space="0" w:color="auto"/>
            <w:right w:val="none" w:sz="0" w:space="0" w:color="auto"/>
          </w:divBdr>
        </w:div>
        <w:div w:id="424573123">
          <w:marLeft w:val="480"/>
          <w:marRight w:val="0"/>
          <w:marTop w:val="0"/>
          <w:marBottom w:val="0"/>
          <w:divBdr>
            <w:top w:val="none" w:sz="0" w:space="0" w:color="auto"/>
            <w:left w:val="none" w:sz="0" w:space="0" w:color="auto"/>
            <w:bottom w:val="none" w:sz="0" w:space="0" w:color="auto"/>
            <w:right w:val="none" w:sz="0" w:space="0" w:color="auto"/>
          </w:divBdr>
        </w:div>
        <w:div w:id="566499478">
          <w:marLeft w:val="480"/>
          <w:marRight w:val="0"/>
          <w:marTop w:val="0"/>
          <w:marBottom w:val="0"/>
          <w:divBdr>
            <w:top w:val="none" w:sz="0" w:space="0" w:color="auto"/>
            <w:left w:val="none" w:sz="0" w:space="0" w:color="auto"/>
            <w:bottom w:val="none" w:sz="0" w:space="0" w:color="auto"/>
            <w:right w:val="none" w:sz="0" w:space="0" w:color="auto"/>
          </w:divBdr>
        </w:div>
        <w:div w:id="575165718">
          <w:marLeft w:val="480"/>
          <w:marRight w:val="0"/>
          <w:marTop w:val="0"/>
          <w:marBottom w:val="0"/>
          <w:divBdr>
            <w:top w:val="none" w:sz="0" w:space="0" w:color="auto"/>
            <w:left w:val="none" w:sz="0" w:space="0" w:color="auto"/>
            <w:bottom w:val="none" w:sz="0" w:space="0" w:color="auto"/>
            <w:right w:val="none" w:sz="0" w:space="0" w:color="auto"/>
          </w:divBdr>
        </w:div>
        <w:div w:id="50152498">
          <w:marLeft w:val="480"/>
          <w:marRight w:val="0"/>
          <w:marTop w:val="0"/>
          <w:marBottom w:val="0"/>
          <w:divBdr>
            <w:top w:val="none" w:sz="0" w:space="0" w:color="auto"/>
            <w:left w:val="none" w:sz="0" w:space="0" w:color="auto"/>
            <w:bottom w:val="none" w:sz="0" w:space="0" w:color="auto"/>
            <w:right w:val="none" w:sz="0" w:space="0" w:color="auto"/>
          </w:divBdr>
        </w:div>
        <w:div w:id="1424641226">
          <w:marLeft w:val="480"/>
          <w:marRight w:val="0"/>
          <w:marTop w:val="0"/>
          <w:marBottom w:val="0"/>
          <w:divBdr>
            <w:top w:val="none" w:sz="0" w:space="0" w:color="auto"/>
            <w:left w:val="none" w:sz="0" w:space="0" w:color="auto"/>
            <w:bottom w:val="none" w:sz="0" w:space="0" w:color="auto"/>
            <w:right w:val="none" w:sz="0" w:space="0" w:color="auto"/>
          </w:divBdr>
        </w:div>
        <w:div w:id="2139957523">
          <w:marLeft w:val="480"/>
          <w:marRight w:val="0"/>
          <w:marTop w:val="0"/>
          <w:marBottom w:val="0"/>
          <w:divBdr>
            <w:top w:val="none" w:sz="0" w:space="0" w:color="auto"/>
            <w:left w:val="none" w:sz="0" w:space="0" w:color="auto"/>
            <w:bottom w:val="none" w:sz="0" w:space="0" w:color="auto"/>
            <w:right w:val="none" w:sz="0" w:space="0" w:color="auto"/>
          </w:divBdr>
        </w:div>
        <w:div w:id="232198239">
          <w:marLeft w:val="480"/>
          <w:marRight w:val="0"/>
          <w:marTop w:val="0"/>
          <w:marBottom w:val="0"/>
          <w:divBdr>
            <w:top w:val="none" w:sz="0" w:space="0" w:color="auto"/>
            <w:left w:val="none" w:sz="0" w:space="0" w:color="auto"/>
            <w:bottom w:val="none" w:sz="0" w:space="0" w:color="auto"/>
            <w:right w:val="none" w:sz="0" w:space="0" w:color="auto"/>
          </w:divBdr>
        </w:div>
        <w:div w:id="1977712351">
          <w:marLeft w:val="480"/>
          <w:marRight w:val="0"/>
          <w:marTop w:val="0"/>
          <w:marBottom w:val="0"/>
          <w:divBdr>
            <w:top w:val="none" w:sz="0" w:space="0" w:color="auto"/>
            <w:left w:val="none" w:sz="0" w:space="0" w:color="auto"/>
            <w:bottom w:val="none" w:sz="0" w:space="0" w:color="auto"/>
            <w:right w:val="none" w:sz="0" w:space="0" w:color="auto"/>
          </w:divBdr>
        </w:div>
        <w:div w:id="752052115">
          <w:marLeft w:val="480"/>
          <w:marRight w:val="0"/>
          <w:marTop w:val="0"/>
          <w:marBottom w:val="0"/>
          <w:divBdr>
            <w:top w:val="none" w:sz="0" w:space="0" w:color="auto"/>
            <w:left w:val="none" w:sz="0" w:space="0" w:color="auto"/>
            <w:bottom w:val="none" w:sz="0" w:space="0" w:color="auto"/>
            <w:right w:val="none" w:sz="0" w:space="0" w:color="auto"/>
          </w:divBdr>
        </w:div>
        <w:div w:id="1660115536">
          <w:marLeft w:val="480"/>
          <w:marRight w:val="0"/>
          <w:marTop w:val="0"/>
          <w:marBottom w:val="0"/>
          <w:divBdr>
            <w:top w:val="none" w:sz="0" w:space="0" w:color="auto"/>
            <w:left w:val="none" w:sz="0" w:space="0" w:color="auto"/>
            <w:bottom w:val="none" w:sz="0" w:space="0" w:color="auto"/>
            <w:right w:val="none" w:sz="0" w:space="0" w:color="auto"/>
          </w:divBdr>
        </w:div>
        <w:div w:id="1674457113">
          <w:marLeft w:val="480"/>
          <w:marRight w:val="0"/>
          <w:marTop w:val="0"/>
          <w:marBottom w:val="0"/>
          <w:divBdr>
            <w:top w:val="none" w:sz="0" w:space="0" w:color="auto"/>
            <w:left w:val="none" w:sz="0" w:space="0" w:color="auto"/>
            <w:bottom w:val="none" w:sz="0" w:space="0" w:color="auto"/>
            <w:right w:val="none" w:sz="0" w:space="0" w:color="auto"/>
          </w:divBdr>
        </w:div>
        <w:div w:id="1903372742">
          <w:marLeft w:val="480"/>
          <w:marRight w:val="0"/>
          <w:marTop w:val="0"/>
          <w:marBottom w:val="0"/>
          <w:divBdr>
            <w:top w:val="none" w:sz="0" w:space="0" w:color="auto"/>
            <w:left w:val="none" w:sz="0" w:space="0" w:color="auto"/>
            <w:bottom w:val="none" w:sz="0" w:space="0" w:color="auto"/>
            <w:right w:val="none" w:sz="0" w:space="0" w:color="auto"/>
          </w:divBdr>
        </w:div>
        <w:div w:id="715473286">
          <w:marLeft w:val="480"/>
          <w:marRight w:val="0"/>
          <w:marTop w:val="0"/>
          <w:marBottom w:val="0"/>
          <w:divBdr>
            <w:top w:val="none" w:sz="0" w:space="0" w:color="auto"/>
            <w:left w:val="none" w:sz="0" w:space="0" w:color="auto"/>
            <w:bottom w:val="none" w:sz="0" w:space="0" w:color="auto"/>
            <w:right w:val="none" w:sz="0" w:space="0" w:color="auto"/>
          </w:divBdr>
        </w:div>
        <w:div w:id="1817187708">
          <w:marLeft w:val="480"/>
          <w:marRight w:val="0"/>
          <w:marTop w:val="0"/>
          <w:marBottom w:val="0"/>
          <w:divBdr>
            <w:top w:val="none" w:sz="0" w:space="0" w:color="auto"/>
            <w:left w:val="none" w:sz="0" w:space="0" w:color="auto"/>
            <w:bottom w:val="none" w:sz="0" w:space="0" w:color="auto"/>
            <w:right w:val="none" w:sz="0" w:space="0" w:color="auto"/>
          </w:divBdr>
        </w:div>
        <w:div w:id="1849059662">
          <w:marLeft w:val="480"/>
          <w:marRight w:val="0"/>
          <w:marTop w:val="0"/>
          <w:marBottom w:val="0"/>
          <w:divBdr>
            <w:top w:val="none" w:sz="0" w:space="0" w:color="auto"/>
            <w:left w:val="none" w:sz="0" w:space="0" w:color="auto"/>
            <w:bottom w:val="none" w:sz="0" w:space="0" w:color="auto"/>
            <w:right w:val="none" w:sz="0" w:space="0" w:color="auto"/>
          </w:divBdr>
        </w:div>
        <w:div w:id="1401097977">
          <w:marLeft w:val="480"/>
          <w:marRight w:val="0"/>
          <w:marTop w:val="0"/>
          <w:marBottom w:val="0"/>
          <w:divBdr>
            <w:top w:val="none" w:sz="0" w:space="0" w:color="auto"/>
            <w:left w:val="none" w:sz="0" w:space="0" w:color="auto"/>
            <w:bottom w:val="none" w:sz="0" w:space="0" w:color="auto"/>
            <w:right w:val="none" w:sz="0" w:space="0" w:color="auto"/>
          </w:divBdr>
        </w:div>
        <w:div w:id="1382822294">
          <w:marLeft w:val="480"/>
          <w:marRight w:val="0"/>
          <w:marTop w:val="0"/>
          <w:marBottom w:val="0"/>
          <w:divBdr>
            <w:top w:val="none" w:sz="0" w:space="0" w:color="auto"/>
            <w:left w:val="none" w:sz="0" w:space="0" w:color="auto"/>
            <w:bottom w:val="none" w:sz="0" w:space="0" w:color="auto"/>
            <w:right w:val="none" w:sz="0" w:space="0" w:color="auto"/>
          </w:divBdr>
        </w:div>
        <w:div w:id="1393311124">
          <w:marLeft w:val="480"/>
          <w:marRight w:val="0"/>
          <w:marTop w:val="0"/>
          <w:marBottom w:val="0"/>
          <w:divBdr>
            <w:top w:val="none" w:sz="0" w:space="0" w:color="auto"/>
            <w:left w:val="none" w:sz="0" w:space="0" w:color="auto"/>
            <w:bottom w:val="none" w:sz="0" w:space="0" w:color="auto"/>
            <w:right w:val="none" w:sz="0" w:space="0" w:color="auto"/>
          </w:divBdr>
        </w:div>
        <w:div w:id="2147354764">
          <w:marLeft w:val="480"/>
          <w:marRight w:val="0"/>
          <w:marTop w:val="0"/>
          <w:marBottom w:val="0"/>
          <w:divBdr>
            <w:top w:val="none" w:sz="0" w:space="0" w:color="auto"/>
            <w:left w:val="none" w:sz="0" w:space="0" w:color="auto"/>
            <w:bottom w:val="none" w:sz="0" w:space="0" w:color="auto"/>
            <w:right w:val="none" w:sz="0" w:space="0" w:color="auto"/>
          </w:divBdr>
        </w:div>
        <w:div w:id="1376000880">
          <w:marLeft w:val="480"/>
          <w:marRight w:val="0"/>
          <w:marTop w:val="0"/>
          <w:marBottom w:val="0"/>
          <w:divBdr>
            <w:top w:val="none" w:sz="0" w:space="0" w:color="auto"/>
            <w:left w:val="none" w:sz="0" w:space="0" w:color="auto"/>
            <w:bottom w:val="none" w:sz="0" w:space="0" w:color="auto"/>
            <w:right w:val="none" w:sz="0" w:space="0" w:color="auto"/>
          </w:divBdr>
        </w:div>
        <w:div w:id="2086099980">
          <w:marLeft w:val="480"/>
          <w:marRight w:val="0"/>
          <w:marTop w:val="0"/>
          <w:marBottom w:val="0"/>
          <w:divBdr>
            <w:top w:val="none" w:sz="0" w:space="0" w:color="auto"/>
            <w:left w:val="none" w:sz="0" w:space="0" w:color="auto"/>
            <w:bottom w:val="none" w:sz="0" w:space="0" w:color="auto"/>
            <w:right w:val="none" w:sz="0" w:space="0" w:color="auto"/>
          </w:divBdr>
        </w:div>
        <w:div w:id="879778439">
          <w:marLeft w:val="480"/>
          <w:marRight w:val="0"/>
          <w:marTop w:val="0"/>
          <w:marBottom w:val="0"/>
          <w:divBdr>
            <w:top w:val="none" w:sz="0" w:space="0" w:color="auto"/>
            <w:left w:val="none" w:sz="0" w:space="0" w:color="auto"/>
            <w:bottom w:val="none" w:sz="0" w:space="0" w:color="auto"/>
            <w:right w:val="none" w:sz="0" w:space="0" w:color="auto"/>
          </w:divBdr>
        </w:div>
        <w:div w:id="1924602382">
          <w:marLeft w:val="480"/>
          <w:marRight w:val="0"/>
          <w:marTop w:val="0"/>
          <w:marBottom w:val="0"/>
          <w:divBdr>
            <w:top w:val="none" w:sz="0" w:space="0" w:color="auto"/>
            <w:left w:val="none" w:sz="0" w:space="0" w:color="auto"/>
            <w:bottom w:val="none" w:sz="0" w:space="0" w:color="auto"/>
            <w:right w:val="none" w:sz="0" w:space="0" w:color="auto"/>
          </w:divBdr>
        </w:div>
        <w:div w:id="925380356">
          <w:marLeft w:val="480"/>
          <w:marRight w:val="0"/>
          <w:marTop w:val="0"/>
          <w:marBottom w:val="0"/>
          <w:divBdr>
            <w:top w:val="none" w:sz="0" w:space="0" w:color="auto"/>
            <w:left w:val="none" w:sz="0" w:space="0" w:color="auto"/>
            <w:bottom w:val="none" w:sz="0" w:space="0" w:color="auto"/>
            <w:right w:val="none" w:sz="0" w:space="0" w:color="auto"/>
          </w:divBdr>
        </w:div>
        <w:div w:id="1153327771">
          <w:marLeft w:val="480"/>
          <w:marRight w:val="0"/>
          <w:marTop w:val="0"/>
          <w:marBottom w:val="0"/>
          <w:divBdr>
            <w:top w:val="none" w:sz="0" w:space="0" w:color="auto"/>
            <w:left w:val="none" w:sz="0" w:space="0" w:color="auto"/>
            <w:bottom w:val="none" w:sz="0" w:space="0" w:color="auto"/>
            <w:right w:val="none" w:sz="0" w:space="0" w:color="auto"/>
          </w:divBdr>
        </w:div>
        <w:div w:id="625310822">
          <w:marLeft w:val="480"/>
          <w:marRight w:val="0"/>
          <w:marTop w:val="0"/>
          <w:marBottom w:val="0"/>
          <w:divBdr>
            <w:top w:val="none" w:sz="0" w:space="0" w:color="auto"/>
            <w:left w:val="none" w:sz="0" w:space="0" w:color="auto"/>
            <w:bottom w:val="none" w:sz="0" w:space="0" w:color="auto"/>
            <w:right w:val="none" w:sz="0" w:space="0" w:color="auto"/>
          </w:divBdr>
        </w:div>
        <w:div w:id="1827472643">
          <w:marLeft w:val="480"/>
          <w:marRight w:val="0"/>
          <w:marTop w:val="0"/>
          <w:marBottom w:val="0"/>
          <w:divBdr>
            <w:top w:val="none" w:sz="0" w:space="0" w:color="auto"/>
            <w:left w:val="none" w:sz="0" w:space="0" w:color="auto"/>
            <w:bottom w:val="none" w:sz="0" w:space="0" w:color="auto"/>
            <w:right w:val="none" w:sz="0" w:space="0" w:color="auto"/>
          </w:divBdr>
        </w:div>
        <w:div w:id="1096486381">
          <w:marLeft w:val="480"/>
          <w:marRight w:val="0"/>
          <w:marTop w:val="0"/>
          <w:marBottom w:val="0"/>
          <w:divBdr>
            <w:top w:val="none" w:sz="0" w:space="0" w:color="auto"/>
            <w:left w:val="none" w:sz="0" w:space="0" w:color="auto"/>
            <w:bottom w:val="none" w:sz="0" w:space="0" w:color="auto"/>
            <w:right w:val="none" w:sz="0" w:space="0" w:color="auto"/>
          </w:divBdr>
        </w:div>
        <w:div w:id="368842624">
          <w:marLeft w:val="480"/>
          <w:marRight w:val="0"/>
          <w:marTop w:val="0"/>
          <w:marBottom w:val="0"/>
          <w:divBdr>
            <w:top w:val="none" w:sz="0" w:space="0" w:color="auto"/>
            <w:left w:val="none" w:sz="0" w:space="0" w:color="auto"/>
            <w:bottom w:val="none" w:sz="0" w:space="0" w:color="auto"/>
            <w:right w:val="none" w:sz="0" w:space="0" w:color="auto"/>
          </w:divBdr>
        </w:div>
        <w:div w:id="2030714535">
          <w:marLeft w:val="480"/>
          <w:marRight w:val="0"/>
          <w:marTop w:val="0"/>
          <w:marBottom w:val="0"/>
          <w:divBdr>
            <w:top w:val="none" w:sz="0" w:space="0" w:color="auto"/>
            <w:left w:val="none" w:sz="0" w:space="0" w:color="auto"/>
            <w:bottom w:val="none" w:sz="0" w:space="0" w:color="auto"/>
            <w:right w:val="none" w:sz="0" w:space="0" w:color="auto"/>
          </w:divBdr>
        </w:div>
        <w:div w:id="1935935190">
          <w:marLeft w:val="480"/>
          <w:marRight w:val="0"/>
          <w:marTop w:val="0"/>
          <w:marBottom w:val="0"/>
          <w:divBdr>
            <w:top w:val="none" w:sz="0" w:space="0" w:color="auto"/>
            <w:left w:val="none" w:sz="0" w:space="0" w:color="auto"/>
            <w:bottom w:val="none" w:sz="0" w:space="0" w:color="auto"/>
            <w:right w:val="none" w:sz="0" w:space="0" w:color="auto"/>
          </w:divBdr>
        </w:div>
        <w:div w:id="224220205">
          <w:marLeft w:val="480"/>
          <w:marRight w:val="0"/>
          <w:marTop w:val="0"/>
          <w:marBottom w:val="0"/>
          <w:divBdr>
            <w:top w:val="none" w:sz="0" w:space="0" w:color="auto"/>
            <w:left w:val="none" w:sz="0" w:space="0" w:color="auto"/>
            <w:bottom w:val="none" w:sz="0" w:space="0" w:color="auto"/>
            <w:right w:val="none" w:sz="0" w:space="0" w:color="auto"/>
          </w:divBdr>
        </w:div>
        <w:div w:id="1919945571">
          <w:marLeft w:val="480"/>
          <w:marRight w:val="0"/>
          <w:marTop w:val="0"/>
          <w:marBottom w:val="0"/>
          <w:divBdr>
            <w:top w:val="none" w:sz="0" w:space="0" w:color="auto"/>
            <w:left w:val="none" w:sz="0" w:space="0" w:color="auto"/>
            <w:bottom w:val="none" w:sz="0" w:space="0" w:color="auto"/>
            <w:right w:val="none" w:sz="0" w:space="0" w:color="auto"/>
          </w:divBdr>
        </w:div>
        <w:div w:id="209726760">
          <w:marLeft w:val="480"/>
          <w:marRight w:val="0"/>
          <w:marTop w:val="0"/>
          <w:marBottom w:val="0"/>
          <w:divBdr>
            <w:top w:val="none" w:sz="0" w:space="0" w:color="auto"/>
            <w:left w:val="none" w:sz="0" w:space="0" w:color="auto"/>
            <w:bottom w:val="none" w:sz="0" w:space="0" w:color="auto"/>
            <w:right w:val="none" w:sz="0" w:space="0" w:color="auto"/>
          </w:divBdr>
        </w:div>
        <w:div w:id="239101918">
          <w:marLeft w:val="480"/>
          <w:marRight w:val="0"/>
          <w:marTop w:val="0"/>
          <w:marBottom w:val="0"/>
          <w:divBdr>
            <w:top w:val="none" w:sz="0" w:space="0" w:color="auto"/>
            <w:left w:val="none" w:sz="0" w:space="0" w:color="auto"/>
            <w:bottom w:val="none" w:sz="0" w:space="0" w:color="auto"/>
            <w:right w:val="none" w:sz="0" w:space="0" w:color="auto"/>
          </w:divBdr>
        </w:div>
        <w:div w:id="805783033">
          <w:marLeft w:val="480"/>
          <w:marRight w:val="0"/>
          <w:marTop w:val="0"/>
          <w:marBottom w:val="0"/>
          <w:divBdr>
            <w:top w:val="none" w:sz="0" w:space="0" w:color="auto"/>
            <w:left w:val="none" w:sz="0" w:space="0" w:color="auto"/>
            <w:bottom w:val="none" w:sz="0" w:space="0" w:color="auto"/>
            <w:right w:val="none" w:sz="0" w:space="0" w:color="auto"/>
          </w:divBdr>
        </w:div>
        <w:div w:id="694843891">
          <w:marLeft w:val="480"/>
          <w:marRight w:val="0"/>
          <w:marTop w:val="0"/>
          <w:marBottom w:val="0"/>
          <w:divBdr>
            <w:top w:val="none" w:sz="0" w:space="0" w:color="auto"/>
            <w:left w:val="none" w:sz="0" w:space="0" w:color="auto"/>
            <w:bottom w:val="none" w:sz="0" w:space="0" w:color="auto"/>
            <w:right w:val="none" w:sz="0" w:space="0" w:color="auto"/>
          </w:divBdr>
        </w:div>
        <w:div w:id="219096808">
          <w:marLeft w:val="480"/>
          <w:marRight w:val="0"/>
          <w:marTop w:val="0"/>
          <w:marBottom w:val="0"/>
          <w:divBdr>
            <w:top w:val="none" w:sz="0" w:space="0" w:color="auto"/>
            <w:left w:val="none" w:sz="0" w:space="0" w:color="auto"/>
            <w:bottom w:val="none" w:sz="0" w:space="0" w:color="auto"/>
            <w:right w:val="none" w:sz="0" w:space="0" w:color="auto"/>
          </w:divBdr>
        </w:div>
        <w:div w:id="845637947">
          <w:marLeft w:val="480"/>
          <w:marRight w:val="0"/>
          <w:marTop w:val="0"/>
          <w:marBottom w:val="0"/>
          <w:divBdr>
            <w:top w:val="none" w:sz="0" w:space="0" w:color="auto"/>
            <w:left w:val="none" w:sz="0" w:space="0" w:color="auto"/>
            <w:bottom w:val="none" w:sz="0" w:space="0" w:color="auto"/>
            <w:right w:val="none" w:sz="0" w:space="0" w:color="auto"/>
          </w:divBdr>
        </w:div>
        <w:div w:id="1680623342">
          <w:marLeft w:val="480"/>
          <w:marRight w:val="0"/>
          <w:marTop w:val="0"/>
          <w:marBottom w:val="0"/>
          <w:divBdr>
            <w:top w:val="none" w:sz="0" w:space="0" w:color="auto"/>
            <w:left w:val="none" w:sz="0" w:space="0" w:color="auto"/>
            <w:bottom w:val="none" w:sz="0" w:space="0" w:color="auto"/>
            <w:right w:val="none" w:sz="0" w:space="0" w:color="auto"/>
          </w:divBdr>
        </w:div>
        <w:div w:id="143008915">
          <w:marLeft w:val="480"/>
          <w:marRight w:val="0"/>
          <w:marTop w:val="0"/>
          <w:marBottom w:val="0"/>
          <w:divBdr>
            <w:top w:val="none" w:sz="0" w:space="0" w:color="auto"/>
            <w:left w:val="none" w:sz="0" w:space="0" w:color="auto"/>
            <w:bottom w:val="none" w:sz="0" w:space="0" w:color="auto"/>
            <w:right w:val="none" w:sz="0" w:space="0" w:color="auto"/>
          </w:divBdr>
        </w:div>
        <w:div w:id="1691644503">
          <w:marLeft w:val="480"/>
          <w:marRight w:val="0"/>
          <w:marTop w:val="0"/>
          <w:marBottom w:val="0"/>
          <w:divBdr>
            <w:top w:val="none" w:sz="0" w:space="0" w:color="auto"/>
            <w:left w:val="none" w:sz="0" w:space="0" w:color="auto"/>
            <w:bottom w:val="none" w:sz="0" w:space="0" w:color="auto"/>
            <w:right w:val="none" w:sz="0" w:space="0" w:color="auto"/>
          </w:divBdr>
        </w:div>
        <w:div w:id="259067514">
          <w:marLeft w:val="480"/>
          <w:marRight w:val="0"/>
          <w:marTop w:val="0"/>
          <w:marBottom w:val="0"/>
          <w:divBdr>
            <w:top w:val="none" w:sz="0" w:space="0" w:color="auto"/>
            <w:left w:val="none" w:sz="0" w:space="0" w:color="auto"/>
            <w:bottom w:val="none" w:sz="0" w:space="0" w:color="auto"/>
            <w:right w:val="none" w:sz="0" w:space="0" w:color="auto"/>
          </w:divBdr>
        </w:div>
        <w:div w:id="1712877414">
          <w:marLeft w:val="480"/>
          <w:marRight w:val="0"/>
          <w:marTop w:val="0"/>
          <w:marBottom w:val="0"/>
          <w:divBdr>
            <w:top w:val="none" w:sz="0" w:space="0" w:color="auto"/>
            <w:left w:val="none" w:sz="0" w:space="0" w:color="auto"/>
            <w:bottom w:val="none" w:sz="0" w:space="0" w:color="auto"/>
            <w:right w:val="none" w:sz="0" w:space="0" w:color="auto"/>
          </w:divBdr>
        </w:div>
        <w:div w:id="1800686575">
          <w:marLeft w:val="480"/>
          <w:marRight w:val="0"/>
          <w:marTop w:val="0"/>
          <w:marBottom w:val="0"/>
          <w:divBdr>
            <w:top w:val="none" w:sz="0" w:space="0" w:color="auto"/>
            <w:left w:val="none" w:sz="0" w:space="0" w:color="auto"/>
            <w:bottom w:val="none" w:sz="0" w:space="0" w:color="auto"/>
            <w:right w:val="none" w:sz="0" w:space="0" w:color="auto"/>
          </w:divBdr>
        </w:div>
        <w:div w:id="1760171759">
          <w:marLeft w:val="480"/>
          <w:marRight w:val="0"/>
          <w:marTop w:val="0"/>
          <w:marBottom w:val="0"/>
          <w:divBdr>
            <w:top w:val="none" w:sz="0" w:space="0" w:color="auto"/>
            <w:left w:val="none" w:sz="0" w:space="0" w:color="auto"/>
            <w:bottom w:val="none" w:sz="0" w:space="0" w:color="auto"/>
            <w:right w:val="none" w:sz="0" w:space="0" w:color="auto"/>
          </w:divBdr>
        </w:div>
        <w:div w:id="1358390567">
          <w:marLeft w:val="480"/>
          <w:marRight w:val="0"/>
          <w:marTop w:val="0"/>
          <w:marBottom w:val="0"/>
          <w:divBdr>
            <w:top w:val="none" w:sz="0" w:space="0" w:color="auto"/>
            <w:left w:val="none" w:sz="0" w:space="0" w:color="auto"/>
            <w:bottom w:val="none" w:sz="0" w:space="0" w:color="auto"/>
            <w:right w:val="none" w:sz="0" w:space="0" w:color="auto"/>
          </w:divBdr>
        </w:div>
        <w:div w:id="245505777">
          <w:marLeft w:val="480"/>
          <w:marRight w:val="0"/>
          <w:marTop w:val="0"/>
          <w:marBottom w:val="0"/>
          <w:divBdr>
            <w:top w:val="none" w:sz="0" w:space="0" w:color="auto"/>
            <w:left w:val="none" w:sz="0" w:space="0" w:color="auto"/>
            <w:bottom w:val="none" w:sz="0" w:space="0" w:color="auto"/>
            <w:right w:val="none" w:sz="0" w:space="0" w:color="auto"/>
          </w:divBdr>
        </w:div>
        <w:div w:id="498545004">
          <w:marLeft w:val="480"/>
          <w:marRight w:val="0"/>
          <w:marTop w:val="0"/>
          <w:marBottom w:val="0"/>
          <w:divBdr>
            <w:top w:val="none" w:sz="0" w:space="0" w:color="auto"/>
            <w:left w:val="none" w:sz="0" w:space="0" w:color="auto"/>
            <w:bottom w:val="none" w:sz="0" w:space="0" w:color="auto"/>
            <w:right w:val="none" w:sz="0" w:space="0" w:color="auto"/>
          </w:divBdr>
        </w:div>
        <w:div w:id="466511036">
          <w:marLeft w:val="480"/>
          <w:marRight w:val="0"/>
          <w:marTop w:val="0"/>
          <w:marBottom w:val="0"/>
          <w:divBdr>
            <w:top w:val="none" w:sz="0" w:space="0" w:color="auto"/>
            <w:left w:val="none" w:sz="0" w:space="0" w:color="auto"/>
            <w:bottom w:val="none" w:sz="0" w:space="0" w:color="auto"/>
            <w:right w:val="none" w:sz="0" w:space="0" w:color="auto"/>
          </w:divBdr>
        </w:div>
        <w:div w:id="2011986031">
          <w:marLeft w:val="480"/>
          <w:marRight w:val="0"/>
          <w:marTop w:val="0"/>
          <w:marBottom w:val="0"/>
          <w:divBdr>
            <w:top w:val="none" w:sz="0" w:space="0" w:color="auto"/>
            <w:left w:val="none" w:sz="0" w:space="0" w:color="auto"/>
            <w:bottom w:val="none" w:sz="0" w:space="0" w:color="auto"/>
            <w:right w:val="none" w:sz="0" w:space="0" w:color="auto"/>
          </w:divBdr>
        </w:div>
        <w:div w:id="651446609">
          <w:marLeft w:val="480"/>
          <w:marRight w:val="0"/>
          <w:marTop w:val="0"/>
          <w:marBottom w:val="0"/>
          <w:divBdr>
            <w:top w:val="none" w:sz="0" w:space="0" w:color="auto"/>
            <w:left w:val="none" w:sz="0" w:space="0" w:color="auto"/>
            <w:bottom w:val="none" w:sz="0" w:space="0" w:color="auto"/>
            <w:right w:val="none" w:sz="0" w:space="0" w:color="auto"/>
          </w:divBdr>
        </w:div>
        <w:div w:id="145780380">
          <w:marLeft w:val="480"/>
          <w:marRight w:val="0"/>
          <w:marTop w:val="0"/>
          <w:marBottom w:val="0"/>
          <w:divBdr>
            <w:top w:val="none" w:sz="0" w:space="0" w:color="auto"/>
            <w:left w:val="none" w:sz="0" w:space="0" w:color="auto"/>
            <w:bottom w:val="none" w:sz="0" w:space="0" w:color="auto"/>
            <w:right w:val="none" w:sz="0" w:space="0" w:color="auto"/>
          </w:divBdr>
        </w:div>
        <w:div w:id="459108320">
          <w:marLeft w:val="480"/>
          <w:marRight w:val="0"/>
          <w:marTop w:val="0"/>
          <w:marBottom w:val="0"/>
          <w:divBdr>
            <w:top w:val="none" w:sz="0" w:space="0" w:color="auto"/>
            <w:left w:val="none" w:sz="0" w:space="0" w:color="auto"/>
            <w:bottom w:val="none" w:sz="0" w:space="0" w:color="auto"/>
            <w:right w:val="none" w:sz="0" w:space="0" w:color="auto"/>
          </w:divBdr>
        </w:div>
        <w:div w:id="770053927">
          <w:marLeft w:val="480"/>
          <w:marRight w:val="0"/>
          <w:marTop w:val="0"/>
          <w:marBottom w:val="0"/>
          <w:divBdr>
            <w:top w:val="none" w:sz="0" w:space="0" w:color="auto"/>
            <w:left w:val="none" w:sz="0" w:space="0" w:color="auto"/>
            <w:bottom w:val="none" w:sz="0" w:space="0" w:color="auto"/>
            <w:right w:val="none" w:sz="0" w:space="0" w:color="auto"/>
          </w:divBdr>
        </w:div>
        <w:div w:id="2077777491">
          <w:marLeft w:val="480"/>
          <w:marRight w:val="0"/>
          <w:marTop w:val="0"/>
          <w:marBottom w:val="0"/>
          <w:divBdr>
            <w:top w:val="none" w:sz="0" w:space="0" w:color="auto"/>
            <w:left w:val="none" w:sz="0" w:space="0" w:color="auto"/>
            <w:bottom w:val="none" w:sz="0" w:space="0" w:color="auto"/>
            <w:right w:val="none" w:sz="0" w:space="0" w:color="auto"/>
          </w:divBdr>
        </w:div>
        <w:div w:id="1575359857">
          <w:marLeft w:val="480"/>
          <w:marRight w:val="0"/>
          <w:marTop w:val="0"/>
          <w:marBottom w:val="0"/>
          <w:divBdr>
            <w:top w:val="none" w:sz="0" w:space="0" w:color="auto"/>
            <w:left w:val="none" w:sz="0" w:space="0" w:color="auto"/>
            <w:bottom w:val="none" w:sz="0" w:space="0" w:color="auto"/>
            <w:right w:val="none" w:sz="0" w:space="0" w:color="auto"/>
          </w:divBdr>
        </w:div>
        <w:div w:id="1099331727">
          <w:marLeft w:val="480"/>
          <w:marRight w:val="0"/>
          <w:marTop w:val="0"/>
          <w:marBottom w:val="0"/>
          <w:divBdr>
            <w:top w:val="none" w:sz="0" w:space="0" w:color="auto"/>
            <w:left w:val="none" w:sz="0" w:space="0" w:color="auto"/>
            <w:bottom w:val="none" w:sz="0" w:space="0" w:color="auto"/>
            <w:right w:val="none" w:sz="0" w:space="0" w:color="auto"/>
          </w:divBdr>
        </w:div>
        <w:div w:id="1672029071">
          <w:marLeft w:val="480"/>
          <w:marRight w:val="0"/>
          <w:marTop w:val="0"/>
          <w:marBottom w:val="0"/>
          <w:divBdr>
            <w:top w:val="none" w:sz="0" w:space="0" w:color="auto"/>
            <w:left w:val="none" w:sz="0" w:space="0" w:color="auto"/>
            <w:bottom w:val="none" w:sz="0" w:space="0" w:color="auto"/>
            <w:right w:val="none" w:sz="0" w:space="0" w:color="auto"/>
          </w:divBdr>
        </w:div>
        <w:div w:id="1161195469">
          <w:marLeft w:val="480"/>
          <w:marRight w:val="0"/>
          <w:marTop w:val="0"/>
          <w:marBottom w:val="0"/>
          <w:divBdr>
            <w:top w:val="none" w:sz="0" w:space="0" w:color="auto"/>
            <w:left w:val="none" w:sz="0" w:space="0" w:color="auto"/>
            <w:bottom w:val="none" w:sz="0" w:space="0" w:color="auto"/>
            <w:right w:val="none" w:sz="0" w:space="0" w:color="auto"/>
          </w:divBdr>
        </w:div>
        <w:div w:id="271665378">
          <w:marLeft w:val="480"/>
          <w:marRight w:val="0"/>
          <w:marTop w:val="0"/>
          <w:marBottom w:val="0"/>
          <w:divBdr>
            <w:top w:val="none" w:sz="0" w:space="0" w:color="auto"/>
            <w:left w:val="none" w:sz="0" w:space="0" w:color="auto"/>
            <w:bottom w:val="none" w:sz="0" w:space="0" w:color="auto"/>
            <w:right w:val="none" w:sz="0" w:space="0" w:color="auto"/>
          </w:divBdr>
        </w:div>
        <w:div w:id="221600103">
          <w:marLeft w:val="480"/>
          <w:marRight w:val="0"/>
          <w:marTop w:val="0"/>
          <w:marBottom w:val="0"/>
          <w:divBdr>
            <w:top w:val="none" w:sz="0" w:space="0" w:color="auto"/>
            <w:left w:val="none" w:sz="0" w:space="0" w:color="auto"/>
            <w:bottom w:val="none" w:sz="0" w:space="0" w:color="auto"/>
            <w:right w:val="none" w:sz="0" w:space="0" w:color="auto"/>
          </w:divBdr>
        </w:div>
        <w:div w:id="1157843423">
          <w:marLeft w:val="480"/>
          <w:marRight w:val="0"/>
          <w:marTop w:val="0"/>
          <w:marBottom w:val="0"/>
          <w:divBdr>
            <w:top w:val="none" w:sz="0" w:space="0" w:color="auto"/>
            <w:left w:val="none" w:sz="0" w:space="0" w:color="auto"/>
            <w:bottom w:val="none" w:sz="0" w:space="0" w:color="auto"/>
            <w:right w:val="none" w:sz="0" w:space="0" w:color="auto"/>
          </w:divBdr>
        </w:div>
        <w:div w:id="1137455606">
          <w:marLeft w:val="480"/>
          <w:marRight w:val="0"/>
          <w:marTop w:val="0"/>
          <w:marBottom w:val="0"/>
          <w:divBdr>
            <w:top w:val="none" w:sz="0" w:space="0" w:color="auto"/>
            <w:left w:val="none" w:sz="0" w:space="0" w:color="auto"/>
            <w:bottom w:val="none" w:sz="0" w:space="0" w:color="auto"/>
            <w:right w:val="none" w:sz="0" w:space="0" w:color="auto"/>
          </w:divBdr>
        </w:div>
        <w:div w:id="1174032633">
          <w:marLeft w:val="480"/>
          <w:marRight w:val="0"/>
          <w:marTop w:val="0"/>
          <w:marBottom w:val="0"/>
          <w:divBdr>
            <w:top w:val="none" w:sz="0" w:space="0" w:color="auto"/>
            <w:left w:val="none" w:sz="0" w:space="0" w:color="auto"/>
            <w:bottom w:val="none" w:sz="0" w:space="0" w:color="auto"/>
            <w:right w:val="none" w:sz="0" w:space="0" w:color="auto"/>
          </w:divBdr>
        </w:div>
        <w:div w:id="381682895">
          <w:marLeft w:val="480"/>
          <w:marRight w:val="0"/>
          <w:marTop w:val="0"/>
          <w:marBottom w:val="0"/>
          <w:divBdr>
            <w:top w:val="none" w:sz="0" w:space="0" w:color="auto"/>
            <w:left w:val="none" w:sz="0" w:space="0" w:color="auto"/>
            <w:bottom w:val="none" w:sz="0" w:space="0" w:color="auto"/>
            <w:right w:val="none" w:sz="0" w:space="0" w:color="auto"/>
          </w:divBdr>
        </w:div>
        <w:div w:id="569848956">
          <w:marLeft w:val="480"/>
          <w:marRight w:val="0"/>
          <w:marTop w:val="0"/>
          <w:marBottom w:val="0"/>
          <w:divBdr>
            <w:top w:val="none" w:sz="0" w:space="0" w:color="auto"/>
            <w:left w:val="none" w:sz="0" w:space="0" w:color="auto"/>
            <w:bottom w:val="none" w:sz="0" w:space="0" w:color="auto"/>
            <w:right w:val="none" w:sz="0" w:space="0" w:color="auto"/>
          </w:divBdr>
        </w:div>
        <w:div w:id="771507836">
          <w:marLeft w:val="480"/>
          <w:marRight w:val="0"/>
          <w:marTop w:val="0"/>
          <w:marBottom w:val="0"/>
          <w:divBdr>
            <w:top w:val="none" w:sz="0" w:space="0" w:color="auto"/>
            <w:left w:val="none" w:sz="0" w:space="0" w:color="auto"/>
            <w:bottom w:val="none" w:sz="0" w:space="0" w:color="auto"/>
            <w:right w:val="none" w:sz="0" w:space="0" w:color="auto"/>
          </w:divBdr>
        </w:div>
        <w:div w:id="1975988875">
          <w:marLeft w:val="480"/>
          <w:marRight w:val="0"/>
          <w:marTop w:val="0"/>
          <w:marBottom w:val="0"/>
          <w:divBdr>
            <w:top w:val="none" w:sz="0" w:space="0" w:color="auto"/>
            <w:left w:val="none" w:sz="0" w:space="0" w:color="auto"/>
            <w:bottom w:val="none" w:sz="0" w:space="0" w:color="auto"/>
            <w:right w:val="none" w:sz="0" w:space="0" w:color="auto"/>
          </w:divBdr>
        </w:div>
        <w:div w:id="2006283121">
          <w:marLeft w:val="480"/>
          <w:marRight w:val="0"/>
          <w:marTop w:val="0"/>
          <w:marBottom w:val="0"/>
          <w:divBdr>
            <w:top w:val="none" w:sz="0" w:space="0" w:color="auto"/>
            <w:left w:val="none" w:sz="0" w:space="0" w:color="auto"/>
            <w:bottom w:val="none" w:sz="0" w:space="0" w:color="auto"/>
            <w:right w:val="none" w:sz="0" w:space="0" w:color="auto"/>
          </w:divBdr>
        </w:div>
        <w:div w:id="1997610230">
          <w:marLeft w:val="480"/>
          <w:marRight w:val="0"/>
          <w:marTop w:val="0"/>
          <w:marBottom w:val="0"/>
          <w:divBdr>
            <w:top w:val="none" w:sz="0" w:space="0" w:color="auto"/>
            <w:left w:val="none" w:sz="0" w:space="0" w:color="auto"/>
            <w:bottom w:val="none" w:sz="0" w:space="0" w:color="auto"/>
            <w:right w:val="none" w:sz="0" w:space="0" w:color="auto"/>
          </w:divBdr>
        </w:div>
        <w:div w:id="1664817025">
          <w:marLeft w:val="480"/>
          <w:marRight w:val="0"/>
          <w:marTop w:val="0"/>
          <w:marBottom w:val="0"/>
          <w:divBdr>
            <w:top w:val="none" w:sz="0" w:space="0" w:color="auto"/>
            <w:left w:val="none" w:sz="0" w:space="0" w:color="auto"/>
            <w:bottom w:val="none" w:sz="0" w:space="0" w:color="auto"/>
            <w:right w:val="none" w:sz="0" w:space="0" w:color="auto"/>
          </w:divBdr>
        </w:div>
        <w:div w:id="1427189659">
          <w:marLeft w:val="480"/>
          <w:marRight w:val="0"/>
          <w:marTop w:val="0"/>
          <w:marBottom w:val="0"/>
          <w:divBdr>
            <w:top w:val="none" w:sz="0" w:space="0" w:color="auto"/>
            <w:left w:val="none" w:sz="0" w:space="0" w:color="auto"/>
            <w:bottom w:val="none" w:sz="0" w:space="0" w:color="auto"/>
            <w:right w:val="none" w:sz="0" w:space="0" w:color="auto"/>
          </w:divBdr>
        </w:div>
        <w:div w:id="633562115">
          <w:marLeft w:val="480"/>
          <w:marRight w:val="0"/>
          <w:marTop w:val="0"/>
          <w:marBottom w:val="0"/>
          <w:divBdr>
            <w:top w:val="none" w:sz="0" w:space="0" w:color="auto"/>
            <w:left w:val="none" w:sz="0" w:space="0" w:color="auto"/>
            <w:bottom w:val="none" w:sz="0" w:space="0" w:color="auto"/>
            <w:right w:val="none" w:sz="0" w:space="0" w:color="auto"/>
          </w:divBdr>
        </w:div>
        <w:div w:id="2053117729">
          <w:marLeft w:val="480"/>
          <w:marRight w:val="0"/>
          <w:marTop w:val="0"/>
          <w:marBottom w:val="0"/>
          <w:divBdr>
            <w:top w:val="none" w:sz="0" w:space="0" w:color="auto"/>
            <w:left w:val="none" w:sz="0" w:space="0" w:color="auto"/>
            <w:bottom w:val="none" w:sz="0" w:space="0" w:color="auto"/>
            <w:right w:val="none" w:sz="0" w:space="0" w:color="auto"/>
          </w:divBdr>
        </w:div>
        <w:div w:id="987636015">
          <w:marLeft w:val="480"/>
          <w:marRight w:val="0"/>
          <w:marTop w:val="0"/>
          <w:marBottom w:val="0"/>
          <w:divBdr>
            <w:top w:val="none" w:sz="0" w:space="0" w:color="auto"/>
            <w:left w:val="none" w:sz="0" w:space="0" w:color="auto"/>
            <w:bottom w:val="none" w:sz="0" w:space="0" w:color="auto"/>
            <w:right w:val="none" w:sz="0" w:space="0" w:color="auto"/>
          </w:divBdr>
        </w:div>
        <w:div w:id="575482024">
          <w:marLeft w:val="480"/>
          <w:marRight w:val="0"/>
          <w:marTop w:val="0"/>
          <w:marBottom w:val="0"/>
          <w:divBdr>
            <w:top w:val="none" w:sz="0" w:space="0" w:color="auto"/>
            <w:left w:val="none" w:sz="0" w:space="0" w:color="auto"/>
            <w:bottom w:val="none" w:sz="0" w:space="0" w:color="auto"/>
            <w:right w:val="none" w:sz="0" w:space="0" w:color="auto"/>
          </w:divBdr>
        </w:div>
        <w:div w:id="80416548">
          <w:marLeft w:val="480"/>
          <w:marRight w:val="0"/>
          <w:marTop w:val="0"/>
          <w:marBottom w:val="0"/>
          <w:divBdr>
            <w:top w:val="none" w:sz="0" w:space="0" w:color="auto"/>
            <w:left w:val="none" w:sz="0" w:space="0" w:color="auto"/>
            <w:bottom w:val="none" w:sz="0" w:space="0" w:color="auto"/>
            <w:right w:val="none" w:sz="0" w:space="0" w:color="auto"/>
          </w:divBdr>
        </w:div>
        <w:div w:id="1220243466">
          <w:marLeft w:val="480"/>
          <w:marRight w:val="0"/>
          <w:marTop w:val="0"/>
          <w:marBottom w:val="0"/>
          <w:divBdr>
            <w:top w:val="none" w:sz="0" w:space="0" w:color="auto"/>
            <w:left w:val="none" w:sz="0" w:space="0" w:color="auto"/>
            <w:bottom w:val="none" w:sz="0" w:space="0" w:color="auto"/>
            <w:right w:val="none" w:sz="0" w:space="0" w:color="auto"/>
          </w:divBdr>
        </w:div>
        <w:div w:id="1477530149">
          <w:marLeft w:val="480"/>
          <w:marRight w:val="0"/>
          <w:marTop w:val="0"/>
          <w:marBottom w:val="0"/>
          <w:divBdr>
            <w:top w:val="none" w:sz="0" w:space="0" w:color="auto"/>
            <w:left w:val="none" w:sz="0" w:space="0" w:color="auto"/>
            <w:bottom w:val="none" w:sz="0" w:space="0" w:color="auto"/>
            <w:right w:val="none" w:sz="0" w:space="0" w:color="auto"/>
          </w:divBdr>
        </w:div>
        <w:div w:id="539361384">
          <w:marLeft w:val="480"/>
          <w:marRight w:val="0"/>
          <w:marTop w:val="0"/>
          <w:marBottom w:val="0"/>
          <w:divBdr>
            <w:top w:val="none" w:sz="0" w:space="0" w:color="auto"/>
            <w:left w:val="none" w:sz="0" w:space="0" w:color="auto"/>
            <w:bottom w:val="none" w:sz="0" w:space="0" w:color="auto"/>
            <w:right w:val="none" w:sz="0" w:space="0" w:color="auto"/>
          </w:divBdr>
        </w:div>
        <w:div w:id="1952663360">
          <w:marLeft w:val="480"/>
          <w:marRight w:val="0"/>
          <w:marTop w:val="0"/>
          <w:marBottom w:val="0"/>
          <w:divBdr>
            <w:top w:val="none" w:sz="0" w:space="0" w:color="auto"/>
            <w:left w:val="none" w:sz="0" w:space="0" w:color="auto"/>
            <w:bottom w:val="none" w:sz="0" w:space="0" w:color="auto"/>
            <w:right w:val="none" w:sz="0" w:space="0" w:color="auto"/>
          </w:divBdr>
        </w:div>
        <w:div w:id="481579105">
          <w:marLeft w:val="480"/>
          <w:marRight w:val="0"/>
          <w:marTop w:val="0"/>
          <w:marBottom w:val="0"/>
          <w:divBdr>
            <w:top w:val="none" w:sz="0" w:space="0" w:color="auto"/>
            <w:left w:val="none" w:sz="0" w:space="0" w:color="auto"/>
            <w:bottom w:val="none" w:sz="0" w:space="0" w:color="auto"/>
            <w:right w:val="none" w:sz="0" w:space="0" w:color="auto"/>
          </w:divBdr>
        </w:div>
        <w:div w:id="1570264271">
          <w:marLeft w:val="480"/>
          <w:marRight w:val="0"/>
          <w:marTop w:val="0"/>
          <w:marBottom w:val="0"/>
          <w:divBdr>
            <w:top w:val="none" w:sz="0" w:space="0" w:color="auto"/>
            <w:left w:val="none" w:sz="0" w:space="0" w:color="auto"/>
            <w:bottom w:val="none" w:sz="0" w:space="0" w:color="auto"/>
            <w:right w:val="none" w:sz="0" w:space="0" w:color="auto"/>
          </w:divBdr>
        </w:div>
        <w:div w:id="2027442735">
          <w:marLeft w:val="480"/>
          <w:marRight w:val="0"/>
          <w:marTop w:val="0"/>
          <w:marBottom w:val="0"/>
          <w:divBdr>
            <w:top w:val="none" w:sz="0" w:space="0" w:color="auto"/>
            <w:left w:val="none" w:sz="0" w:space="0" w:color="auto"/>
            <w:bottom w:val="none" w:sz="0" w:space="0" w:color="auto"/>
            <w:right w:val="none" w:sz="0" w:space="0" w:color="auto"/>
          </w:divBdr>
        </w:div>
        <w:div w:id="2037778594">
          <w:marLeft w:val="480"/>
          <w:marRight w:val="0"/>
          <w:marTop w:val="0"/>
          <w:marBottom w:val="0"/>
          <w:divBdr>
            <w:top w:val="none" w:sz="0" w:space="0" w:color="auto"/>
            <w:left w:val="none" w:sz="0" w:space="0" w:color="auto"/>
            <w:bottom w:val="none" w:sz="0" w:space="0" w:color="auto"/>
            <w:right w:val="none" w:sz="0" w:space="0" w:color="auto"/>
          </w:divBdr>
        </w:div>
        <w:div w:id="1597403510">
          <w:marLeft w:val="480"/>
          <w:marRight w:val="0"/>
          <w:marTop w:val="0"/>
          <w:marBottom w:val="0"/>
          <w:divBdr>
            <w:top w:val="none" w:sz="0" w:space="0" w:color="auto"/>
            <w:left w:val="none" w:sz="0" w:space="0" w:color="auto"/>
            <w:bottom w:val="none" w:sz="0" w:space="0" w:color="auto"/>
            <w:right w:val="none" w:sz="0" w:space="0" w:color="auto"/>
          </w:divBdr>
        </w:div>
        <w:div w:id="1149860759">
          <w:marLeft w:val="480"/>
          <w:marRight w:val="0"/>
          <w:marTop w:val="0"/>
          <w:marBottom w:val="0"/>
          <w:divBdr>
            <w:top w:val="none" w:sz="0" w:space="0" w:color="auto"/>
            <w:left w:val="none" w:sz="0" w:space="0" w:color="auto"/>
            <w:bottom w:val="none" w:sz="0" w:space="0" w:color="auto"/>
            <w:right w:val="none" w:sz="0" w:space="0" w:color="auto"/>
          </w:divBdr>
        </w:div>
        <w:div w:id="167910305">
          <w:marLeft w:val="480"/>
          <w:marRight w:val="0"/>
          <w:marTop w:val="0"/>
          <w:marBottom w:val="0"/>
          <w:divBdr>
            <w:top w:val="none" w:sz="0" w:space="0" w:color="auto"/>
            <w:left w:val="none" w:sz="0" w:space="0" w:color="auto"/>
            <w:bottom w:val="none" w:sz="0" w:space="0" w:color="auto"/>
            <w:right w:val="none" w:sz="0" w:space="0" w:color="auto"/>
          </w:divBdr>
        </w:div>
        <w:div w:id="1200898300">
          <w:marLeft w:val="480"/>
          <w:marRight w:val="0"/>
          <w:marTop w:val="0"/>
          <w:marBottom w:val="0"/>
          <w:divBdr>
            <w:top w:val="none" w:sz="0" w:space="0" w:color="auto"/>
            <w:left w:val="none" w:sz="0" w:space="0" w:color="auto"/>
            <w:bottom w:val="none" w:sz="0" w:space="0" w:color="auto"/>
            <w:right w:val="none" w:sz="0" w:space="0" w:color="auto"/>
          </w:divBdr>
        </w:div>
        <w:div w:id="1899391321">
          <w:marLeft w:val="480"/>
          <w:marRight w:val="0"/>
          <w:marTop w:val="0"/>
          <w:marBottom w:val="0"/>
          <w:divBdr>
            <w:top w:val="none" w:sz="0" w:space="0" w:color="auto"/>
            <w:left w:val="none" w:sz="0" w:space="0" w:color="auto"/>
            <w:bottom w:val="none" w:sz="0" w:space="0" w:color="auto"/>
            <w:right w:val="none" w:sz="0" w:space="0" w:color="auto"/>
          </w:divBdr>
        </w:div>
        <w:div w:id="1977299877">
          <w:marLeft w:val="480"/>
          <w:marRight w:val="0"/>
          <w:marTop w:val="0"/>
          <w:marBottom w:val="0"/>
          <w:divBdr>
            <w:top w:val="none" w:sz="0" w:space="0" w:color="auto"/>
            <w:left w:val="none" w:sz="0" w:space="0" w:color="auto"/>
            <w:bottom w:val="none" w:sz="0" w:space="0" w:color="auto"/>
            <w:right w:val="none" w:sz="0" w:space="0" w:color="auto"/>
          </w:divBdr>
        </w:div>
        <w:div w:id="295988611">
          <w:marLeft w:val="480"/>
          <w:marRight w:val="0"/>
          <w:marTop w:val="0"/>
          <w:marBottom w:val="0"/>
          <w:divBdr>
            <w:top w:val="none" w:sz="0" w:space="0" w:color="auto"/>
            <w:left w:val="none" w:sz="0" w:space="0" w:color="auto"/>
            <w:bottom w:val="none" w:sz="0" w:space="0" w:color="auto"/>
            <w:right w:val="none" w:sz="0" w:space="0" w:color="auto"/>
          </w:divBdr>
        </w:div>
        <w:div w:id="1352680831">
          <w:marLeft w:val="480"/>
          <w:marRight w:val="0"/>
          <w:marTop w:val="0"/>
          <w:marBottom w:val="0"/>
          <w:divBdr>
            <w:top w:val="none" w:sz="0" w:space="0" w:color="auto"/>
            <w:left w:val="none" w:sz="0" w:space="0" w:color="auto"/>
            <w:bottom w:val="none" w:sz="0" w:space="0" w:color="auto"/>
            <w:right w:val="none" w:sz="0" w:space="0" w:color="auto"/>
          </w:divBdr>
        </w:div>
        <w:div w:id="75977519">
          <w:marLeft w:val="480"/>
          <w:marRight w:val="0"/>
          <w:marTop w:val="0"/>
          <w:marBottom w:val="0"/>
          <w:divBdr>
            <w:top w:val="none" w:sz="0" w:space="0" w:color="auto"/>
            <w:left w:val="none" w:sz="0" w:space="0" w:color="auto"/>
            <w:bottom w:val="none" w:sz="0" w:space="0" w:color="auto"/>
            <w:right w:val="none" w:sz="0" w:space="0" w:color="auto"/>
          </w:divBdr>
        </w:div>
        <w:div w:id="1966422602">
          <w:marLeft w:val="480"/>
          <w:marRight w:val="0"/>
          <w:marTop w:val="0"/>
          <w:marBottom w:val="0"/>
          <w:divBdr>
            <w:top w:val="none" w:sz="0" w:space="0" w:color="auto"/>
            <w:left w:val="none" w:sz="0" w:space="0" w:color="auto"/>
            <w:bottom w:val="none" w:sz="0" w:space="0" w:color="auto"/>
            <w:right w:val="none" w:sz="0" w:space="0" w:color="auto"/>
          </w:divBdr>
        </w:div>
        <w:div w:id="1898128313">
          <w:marLeft w:val="480"/>
          <w:marRight w:val="0"/>
          <w:marTop w:val="0"/>
          <w:marBottom w:val="0"/>
          <w:divBdr>
            <w:top w:val="none" w:sz="0" w:space="0" w:color="auto"/>
            <w:left w:val="none" w:sz="0" w:space="0" w:color="auto"/>
            <w:bottom w:val="none" w:sz="0" w:space="0" w:color="auto"/>
            <w:right w:val="none" w:sz="0" w:space="0" w:color="auto"/>
          </w:divBdr>
        </w:div>
        <w:div w:id="1641687766">
          <w:marLeft w:val="480"/>
          <w:marRight w:val="0"/>
          <w:marTop w:val="0"/>
          <w:marBottom w:val="0"/>
          <w:divBdr>
            <w:top w:val="none" w:sz="0" w:space="0" w:color="auto"/>
            <w:left w:val="none" w:sz="0" w:space="0" w:color="auto"/>
            <w:bottom w:val="none" w:sz="0" w:space="0" w:color="auto"/>
            <w:right w:val="none" w:sz="0" w:space="0" w:color="auto"/>
          </w:divBdr>
        </w:div>
        <w:div w:id="130176952">
          <w:marLeft w:val="480"/>
          <w:marRight w:val="0"/>
          <w:marTop w:val="0"/>
          <w:marBottom w:val="0"/>
          <w:divBdr>
            <w:top w:val="none" w:sz="0" w:space="0" w:color="auto"/>
            <w:left w:val="none" w:sz="0" w:space="0" w:color="auto"/>
            <w:bottom w:val="none" w:sz="0" w:space="0" w:color="auto"/>
            <w:right w:val="none" w:sz="0" w:space="0" w:color="auto"/>
          </w:divBdr>
        </w:div>
        <w:div w:id="1202479104">
          <w:marLeft w:val="480"/>
          <w:marRight w:val="0"/>
          <w:marTop w:val="0"/>
          <w:marBottom w:val="0"/>
          <w:divBdr>
            <w:top w:val="none" w:sz="0" w:space="0" w:color="auto"/>
            <w:left w:val="none" w:sz="0" w:space="0" w:color="auto"/>
            <w:bottom w:val="none" w:sz="0" w:space="0" w:color="auto"/>
            <w:right w:val="none" w:sz="0" w:space="0" w:color="auto"/>
          </w:divBdr>
        </w:div>
        <w:div w:id="833229927">
          <w:marLeft w:val="480"/>
          <w:marRight w:val="0"/>
          <w:marTop w:val="0"/>
          <w:marBottom w:val="0"/>
          <w:divBdr>
            <w:top w:val="none" w:sz="0" w:space="0" w:color="auto"/>
            <w:left w:val="none" w:sz="0" w:space="0" w:color="auto"/>
            <w:bottom w:val="none" w:sz="0" w:space="0" w:color="auto"/>
            <w:right w:val="none" w:sz="0" w:space="0" w:color="auto"/>
          </w:divBdr>
        </w:div>
        <w:div w:id="1254557932">
          <w:marLeft w:val="480"/>
          <w:marRight w:val="0"/>
          <w:marTop w:val="0"/>
          <w:marBottom w:val="0"/>
          <w:divBdr>
            <w:top w:val="none" w:sz="0" w:space="0" w:color="auto"/>
            <w:left w:val="none" w:sz="0" w:space="0" w:color="auto"/>
            <w:bottom w:val="none" w:sz="0" w:space="0" w:color="auto"/>
            <w:right w:val="none" w:sz="0" w:space="0" w:color="auto"/>
          </w:divBdr>
        </w:div>
        <w:div w:id="276958865">
          <w:marLeft w:val="480"/>
          <w:marRight w:val="0"/>
          <w:marTop w:val="0"/>
          <w:marBottom w:val="0"/>
          <w:divBdr>
            <w:top w:val="none" w:sz="0" w:space="0" w:color="auto"/>
            <w:left w:val="none" w:sz="0" w:space="0" w:color="auto"/>
            <w:bottom w:val="none" w:sz="0" w:space="0" w:color="auto"/>
            <w:right w:val="none" w:sz="0" w:space="0" w:color="auto"/>
          </w:divBdr>
        </w:div>
        <w:div w:id="577399182">
          <w:marLeft w:val="480"/>
          <w:marRight w:val="0"/>
          <w:marTop w:val="0"/>
          <w:marBottom w:val="0"/>
          <w:divBdr>
            <w:top w:val="none" w:sz="0" w:space="0" w:color="auto"/>
            <w:left w:val="none" w:sz="0" w:space="0" w:color="auto"/>
            <w:bottom w:val="none" w:sz="0" w:space="0" w:color="auto"/>
            <w:right w:val="none" w:sz="0" w:space="0" w:color="auto"/>
          </w:divBdr>
        </w:div>
        <w:div w:id="100271532">
          <w:marLeft w:val="480"/>
          <w:marRight w:val="0"/>
          <w:marTop w:val="0"/>
          <w:marBottom w:val="0"/>
          <w:divBdr>
            <w:top w:val="none" w:sz="0" w:space="0" w:color="auto"/>
            <w:left w:val="none" w:sz="0" w:space="0" w:color="auto"/>
            <w:bottom w:val="none" w:sz="0" w:space="0" w:color="auto"/>
            <w:right w:val="none" w:sz="0" w:space="0" w:color="auto"/>
          </w:divBdr>
        </w:div>
        <w:div w:id="1252859726">
          <w:marLeft w:val="480"/>
          <w:marRight w:val="0"/>
          <w:marTop w:val="0"/>
          <w:marBottom w:val="0"/>
          <w:divBdr>
            <w:top w:val="none" w:sz="0" w:space="0" w:color="auto"/>
            <w:left w:val="none" w:sz="0" w:space="0" w:color="auto"/>
            <w:bottom w:val="none" w:sz="0" w:space="0" w:color="auto"/>
            <w:right w:val="none" w:sz="0" w:space="0" w:color="auto"/>
          </w:divBdr>
        </w:div>
        <w:div w:id="707878946">
          <w:marLeft w:val="480"/>
          <w:marRight w:val="0"/>
          <w:marTop w:val="0"/>
          <w:marBottom w:val="0"/>
          <w:divBdr>
            <w:top w:val="none" w:sz="0" w:space="0" w:color="auto"/>
            <w:left w:val="none" w:sz="0" w:space="0" w:color="auto"/>
            <w:bottom w:val="none" w:sz="0" w:space="0" w:color="auto"/>
            <w:right w:val="none" w:sz="0" w:space="0" w:color="auto"/>
          </w:divBdr>
        </w:div>
        <w:div w:id="737749434">
          <w:marLeft w:val="480"/>
          <w:marRight w:val="0"/>
          <w:marTop w:val="0"/>
          <w:marBottom w:val="0"/>
          <w:divBdr>
            <w:top w:val="none" w:sz="0" w:space="0" w:color="auto"/>
            <w:left w:val="none" w:sz="0" w:space="0" w:color="auto"/>
            <w:bottom w:val="none" w:sz="0" w:space="0" w:color="auto"/>
            <w:right w:val="none" w:sz="0" w:space="0" w:color="auto"/>
          </w:divBdr>
        </w:div>
        <w:div w:id="1489780697">
          <w:marLeft w:val="480"/>
          <w:marRight w:val="0"/>
          <w:marTop w:val="0"/>
          <w:marBottom w:val="0"/>
          <w:divBdr>
            <w:top w:val="none" w:sz="0" w:space="0" w:color="auto"/>
            <w:left w:val="none" w:sz="0" w:space="0" w:color="auto"/>
            <w:bottom w:val="none" w:sz="0" w:space="0" w:color="auto"/>
            <w:right w:val="none" w:sz="0" w:space="0" w:color="auto"/>
          </w:divBdr>
        </w:div>
        <w:div w:id="414396816">
          <w:marLeft w:val="480"/>
          <w:marRight w:val="0"/>
          <w:marTop w:val="0"/>
          <w:marBottom w:val="0"/>
          <w:divBdr>
            <w:top w:val="none" w:sz="0" w:space="0" w:color="auto"/>
            <w:left w:val="none" w:sz="0" w:space="0" w:color="auto"/>
            <w:bottom w:val="none" w:sz="0" w:space="0" w:color="auto"/>
            <w:right w:val="none" w:sz="0" w:space="0" w:color="auto"/>
          </w:divBdr>
        </w:div>
        <w:div w:id="1363898748">
          <w:marLeft w:val="480"/>
          <w:marRight w:val="0"/>
          <w:marTop w:val="0"/>
          <w:marBottom w:val="0"/>
          <w:divBdr>
            <w:top w:val="none" w:sz="0" w:space="0" w:color="auto"/>
            <w:left w:val="none" w:sz="0" w:space="0" w:color="auto"/>
            <w:bottom w:val="none" w:sz="0" w:space="0" w:color="auto"/>
            <w:right w:val="none" w:sz="0" w:space="0" w:color="auto"/>
          </w:divBdr>
        </w:div>
      </w:divsChild>
    </w:div>
    <w:div w:id="1036390677">
      <w:bodyDiv w:val="1"/>
      <w:marLeft w:val="0"/>
      <w:marRight w:val="0"/>
      <w:marTop w:val="0"/>
      <w:marBottom w:val="0"/>
      <w:divBdr>
        <w:top w:val="none" w:sz="0" w:space="0" w:color="auto"/>
        <w:left w:val="none" w:sz="0" w:space="0" w:color="auto"/>
        <w:bottom w:val="none" w:sz="0" w:space="0" w:color="auto"/>
        <w:right w:val="none" w:sz="0" w:space="0" w:color="auto"/>
      </w:divBdr>
    </w:div>
    <w:div w:id="1036931343">
      <w:bodyDiv w:val="1"/>
      <w:marLeft w:val="0"/>
      <w:marRight w:val="0"/>
      <w:marTop w:val="0"/>
      <w:marBottom w:val="0"/>
      <w:divBdr>
        <w:top w:val="none" w:sz="0" w:space="0" w:color="auto"/>
        <w:left w:val="none" w:sz="0" w:space="0" w:color="auto"/>
        <w:bottom w:val="none" w:sz="0" w:space="0" w:color="auto"/>
        <w:right w:val="none" w:sz="0" w:space="0" w:color="auto"/>
      </w:divBdr>
    </w:div>
    <w:div w:id="1037314433">
      <w:bodyDiv w:val="1"/>
      <w:marLeft w:val="0"/>
      <w:marRight w:val="0"/>
      <w:marTop w:val="0"/>
      <w:marBottom w:val="0"/>
      <w:divBdr>
        <w:top w:val="none" w:sz="0" w:space="0" w:color="auto"/>
        <w:left w:val="none" w:sz="0" w:space="0" w:color="auto"/>
        <w:bottom w:val="none" w:sz="0" w:space="0" w:color="auto"/>
        <w:right w:val="none" w:sz="0" w:space="0" w:color="auto"/>
      </w:divBdr>
    </w:div>
    <w:div w:id="1040056615">
      <w:bodyDiv w:val="1"/>
      <w:marLeft w:val="0"/>
      <w:marRight w:val="0"/>
      <w:marTop w:val="0"/>
      <w:marBottom w:val="0"/>
      <w:divBdr>
        <w:top w:val="none" w:sz="0" w:space="0" w:color="auto"/>
        <w:left w:val="none" w:sz="0" w:space="0" w:color="auto"/>
        <w:bottom w:val="none" w:sz="0" w:space="0" w:color="auto"/>
        <w:right w:val="none" w:sz="0" w:space="0" w:color="auto"/>
      </w:divBdr>
      <w:divsChild>
        <w:div w:id="600914202">
          <w:marLeft w:val="480"/>
          <w:marRight w:val="0"/>
          <w:marTop w:val="0"/>
          <w:marBottom w:val="0"/>
          <w:divBdr>
            <w:top w:val="none" w:sz="0" w:space="0" w:color="auto"/>
            <w:left w:val="none" w:sz="0" w:space="0" w:color="auto"/>
            <w:bottom w:val="none" w:sz="0" w:space="0" w:color="auto"/>
            <w:right w:val="none" w:sz="0" w:space="0" w:color="auto"/>
          </w:divBdr>
        </w:div>
        <w:div w:id="1265764134">
          <w:marLeft w:val="480"/>
          <w:marRight w:val="0"/>
          <w:marTop w:val="0"/>
          <w:marBottom w:val="0"/>
          <w:divBdr>
            <w:top w:val="none" w:sz="0" w:space="0" w:color="auto"/>
            <w:left w:val="none" w:sz="0" w:space="0" w:color="auto"/>
            <w:bottom w:val="none" w:sz="0" w:space="0" w:color="auto"/>
            <w:right w:val="none" w:sz="0" w:space="0" w:color="auto"/>
          </w:divBdr>
        </w:div>
        <w:div w:id="1886716746">
          <w:marLeft w:val="480"/>
          <w:marRight w:val="0"/>
          <w:marTop w:val="0"/>
          <w:marBottom w:val="0"/>
          <w:divBdr>
            <w:top w:val="none" w:sz="0" w:space="0" w:color="auto"/>
            <w:left w:val="none" w:sz="0" w:space="0" w:color="auto"/>
            <w:bottom w:val="none" w:sz="0" w:space="0" w:color="auto"/>
            <w:right w:val="none" w:sz="0" w:space="0" w:color="auto"/>
          </w:divBdr>
        </w:div>
        <w:div w:id="116224181">
          <w:marLeft w:val="480"/>
          <w:marRight w:val="0"/>
          <w:marTop w:val="0"/>
          <w:marBottom w:val="0"/>
          <w:divBdr>
            <w:top w:val="none" w:sz="0" w:space="0" w:color="auto"/>
            <w:left w:val="none" w:sz="0" w:space="0" w:color="auto"/>
            <w:bottom w:val="none" w:sz="0" w:space="0" w:color="auto"/>
            <w:right w:val="none" w:sz="0" w:space="0" w:color="auto"/>
          </w:divBdr>
        </w:div>
        <w:div w:id="933585136">
          <w:marLeft w:val="480"/>
          <w:marRight w:val="0"/>
          <w:marTop w:val="0"/>
          <w:marBottom w:val="0"/>
          <w:divBdr>
            <w:top w:val="none" w:sz="0" w:space="0" w:color="auto"/>
            <w:left w:val="none" w:sz="0" w:space="0" w:color="auto"/>
            <w:bottom w:val="none" w:sz="0" w:space="0" w:color="auto"/>
            <w:right w:val="none" w:sz="0" w:space="0" w:color="auto"/>
          </w:divBdr>
        </w:div>
        <w:div w:id="1998265440">
          <w:marLeft w:val="480"/>
          <w:marRight w:val="0"/>
          <w:marTop w:val="0"/>
          <w:marBottom w:val="0"/>
          <w:divBdr>
            <w:top w:val="none" w:sz="0" w:space="0" w:color="auto"/>
            <w:left w:val="none" w:sz="0" w:space="0" w:color="auto"/>
            <w:bottom w:val="none" w:sz="0" w:space="0" w:color="auto"/>
            <w:right w:val="none" w:sz="0" w:space="0" w:color="auto"/>
          </w:divBdr>
        </w:div>
        <w:div w:id="201746593">
          <w:marLeft w:val="480"/>
          <w:marRight w:val="0"/>
          <w:marTop w:val="0"/>
          <w:marBottom w:val="0"/>
          <w:divBdr>
            <w:top w:val="none" w:sz="0" w:space="0" w:color="auto"/>
            <w:left w:val="none" w:sz="0" w:space="0" w:color="auto"/>
            <w:bottom w:val="none" w:sz="0" w:space="0" w:color="auto"/>
            <w:right w:val="none" w:sz="0" w:space="0" w:color="auto"/>
          </w:divBdr>
        </w:div>
        <w:div w:id="1015380051">
          <w:marLeft w:val="480"/>
          <w:marRight w:val="0"/>
          <w:marTop w:val="0"/>
          <w:marBottom w:val="0"/>
          <w:divBdr>
            <w:top w:val="none" w:sz="0" w:space="0" w:color="auto"/>
            <w:left w:val="none" w:sz="0" w:space="0" w:color="auto"/>
            <w:bottom w:val="none" w:sz="0" w:space="0" w:color="auto"/>
            <w:right w:val="none" w:sz="0" w:space="0" w:color="auto"/>
          </w:divBdr>
        </w:div>
        <w:div w:id="552235331">
          <w:marLeft w:val="480"/>
          <w:marRight w:val="0"/>
          <w:marTop w:val="0"/>
          <w:marBottom w:val="0"/>
          <w:divBdr>
            <w:top w:val="none" w:sz="0" w:space="0" w:color="auto"/>
            <w:left w:val="none" w:sz="0" w:space="0" w:color="auto"/>
            <w:bottom w:val="none" w:sz="0" w:space="0" w:color="auto"/>
            <w:right w:val="none" w:sz="0" w:space="0" w:color="auto"/>
          </w:divBdr>
        </w:div>
        <w:div w:id="1806192419">
          <w:marLeft w:val="480"/>
          <w:marRight w:val="0"/>
          <w:marTop w:val="0"/>
          <w:marBottom w:val="0"/>
          <w:divBdr>
            <w:top w:val="none" w:sz="0" w:space="0" w:color="auto"/>
            <w:left w:val="none" w:sz="0" w:space="0" w:color="auto"/>
            <w:bottom w:val="none" w:sz="0" w:space="0" w:color="auto"/>
            <w:right w:val="none" w:sz="0" w:space="0" w:color="auto"/>
          </w:divBdr>
        </w:div>
        <w:div w:id="1662658946">
          <w:marLeft w:val="480"/>
          <w:marRight w:val="0"/>
          <w:marTop w:val="0"/>
          <w:marBottom w:val="0"/>
          <w:divBdr>
            <w:top w:val="none" w:sz="0" w:space="0" w:color="auto"/>
            <w:left w:val="none" w:sz="0" w:space="0" w:color="auto"/>
            <w:bottom w:val="none" w:sz="0" w:space="0" w:color="auto"/>
            <w:right w:val="none" w:sz="0" w:space="0" w:color="auto"/>
          </w:divBdr>
        </w:div>
        <w:div w:id="2041935949">
          <w:marLeft w:val="480"/>
          <w:marRight w:val="0"/>
          <w:marTop w:val="0"/>
          <w:marBottom w:val="0"/>
          <w:divBdr>
            <w:top w:val="none" w:sz="0" w:space="0" w:color="auto"/>
            <w:left w:val="none" w:sz="0" w:space="0" w:color="auto"/>
            <w:bottom w:val="none" w:sz="0" w:space="0" w:color="auto"/>
            <w:right w:val="none" w:sz="0" w:space="0" w:color="auto"/>
          </w:divBdr>
        </w:div>
        <w:div w:id="374739573">
          <w:marLeft w:val="480"/>
          <w:marRight w:val="0"/>
          <w:marTop w:val="0"/>
          <w:marBottom w:val="0"/>
          <w:divBdr>
            <w:top w:val="none" w:sz="0" w:space="0" w:color="auto"/>
            <w:left w:val="none" w:sz="0" w:space="0" w:color="auto"/>
            <w:bottom w:val="none" w:sz="0" w:space="0" w:color="auto"/>
            <w:right w:val="none" w:sz="0" w:space="0" w:color="auto"/>
          </w:divBdr>
        </w:div>
        <w:div w:id="1631201117">
          <w:marLeft w:val="480"/>
          <w:marRight w:val="0"/>
          <w:marTop w:val="0"/>
          <w:marBottom w:val="0"/>
          <w:divBdr>
            <w:top w:val="none" w:sz="0" w:space="0" w:color="auto"/>
            <w:left w:val="none" w:sz="0" w:space="0" w:color="auto"/>
            <w:bottom w:val="none" w:sz="0" w:space="0" w:color="auto"/>
            <w:right w:val="none" w:sz="0" w:space="0" w:color="auto"/>
          </w:divBdr>
        </w:div>
        <w:div w:id="1200898095">
          <w:marLeft w:val="480"/>
          <w:marRight w:val="0"/>
          <w:marTop w:val="0"/>
          <w:marBottom w:val="0"/>
          <w:divBdr>
            <w:top w:val="none" w:sz="0" w:space="0" w:color="auto"/>
            <w:left w:val="none" w:sz="0" w:space="0" w:color="auto"/>
            <w:bottom w:val="none" w:sz="0" w:space="0" w:color="auto"/>
            <w:right w:val="none" w:sz="0" w:space="0" w:color="auto"/>
          </w:divBdr>
        </w:div>
        <w:div w:id="1420909344">
          <w:marLeft w:val="480"/>
          <w:marRight w:val="0"/>
          <w:marTop w:val="0"/>
          <w:marBottom w:val="0"/>
          <w:divBdr>
            <w:top w:val="none" w:sz="0" w:space="0" w:color="auto"/>
            <w:left w:val="none" w:sz="0" w:space="0" w:color="auto"/>
            <w:bottom w:val="none" w:sz="0" w:space="0" w:color="auto"/>
            <w:right w:val="none" w:sz="0" w:space="0" w:color="auto"/>
          </w:divBdr>
        </w:div>
        <w:div w:id="2132630770">
          <w:marLeft w:val="480"/>
          <w:marRight w:val="0"/>
          <w:marTop w:val="0"/>
          <w:marBottom w:val="0"/>
          <w:divBdr>
            <w:top w:val="none" w:sz="0" w:space="0" w:color="auto"/>
            <w:left w:val="none" w:sz="0" w:space="0" w:color="auto"/>
            <w:bottom w:val="none" w:sz="0" w:space="0" w:color="auto"/>
            <w:right w:val="none" w:sz="0" w:space="0" w:color="auto"/>
          </w:divBdr>
        </w:div>
        <w:div w:id="1034311469">
          <w:marLeft w:val="480"/>
          <w:marRight w:val="0"/>
          <w:marTop w:val="0"/>
          <w:marBottom w:val="0"/>
          <w:divBdr>
            <w:top w:val="none" w:sz="0" w:space="0" w:color="auto"/>
            <w:left w:val="none" w:sz="0" w:space="0" w:color="auto"/>
            <w:bottom w:val="none" w:sz="0" w:space="0" w:color="auto"/>
            <w:right w:val="none" w:sz="0" w:space="0" w:color="auto"/>
          </w:divBdr>
        </w:div>
        <w:div w:id="2075740514">
          <w:marLeft w:val="480"/>
          <w:marRight w:val="0"/>
          <w:marTop w:val="0"/>
          <w:marBottom w:val="0"/>
          <w:divBdr>
            <w:top w:val="none" w:sz="0" w:space="0" w:color="auto"/>
            <w:left w:val="none" w:sz="0" w:space="0" w:color="auto"/>
            <w:bottom w:val="none" w:sz="0" w:space="0" w:color="auto"/>
            <w:right w:val="none" w:sz="0" w:space="0" w:color="auto"/>
          </w:divBdr>
        </w:div>
        <w:div w:id="1879707858">
          <w:marLeft w:val="480"/>
          <w:marRight w:val="0"/>
          <w:marTop w:val="0"/>
          <w:marBottom w:val="0"/>
          <w:divBdr>
            <w:top w:val="none" w:sz="0" w:space="0" w:color="auto"/>
            <w:left w:val="none" w:sz="0" w:space="0" w:color="auto"/>
            <w:bottom w:val="none" w:sz="0" w:space="0" w:color="auto"/>
            <w:right w:val="none" w:sz="0" w:space="0" w:color="auto"/>
          </w:divBdr>
        </w:div>
        <w:div w:id="758479600">
          <w:marLeft w:val="480"/>
          <w:marRight w:val="0"/>
          <w:marTop w:val="0"/>
          <w:marBottom w:val="0"/>
          <w:divBdr>
            <w:top w:val="none" w:sz="0" w:space="0" w:color="auto"/>
            <w:left w:val="none" w:sz="0" w:space="0" w:color="auto"/>
            <w:bottom w:val="none" w:sz="0" w:space="0" w:color="auto"/>
            <w:right w:val="none" w:sz="0" w:space="0" w:color="auto"/>
          </w:divBdr>
        </w:div>
        <w:div w:id="1597716166">
          <w:marLeft w:val="480"/>
          <w:marRight w:val="0"/>
          <w:marTop w:val="0"/>
          <w:marBottom w:val="0"/>
          <w:divBdr>
            <w:top w:val="none" w:sz="0" w:space="0" w:color="auto"/>
            <w:left w:val="none" w:sz="0" w:space="0" w:color="auto"/>
            <w:bottom w:val="none" w:sz="0" w:space="0" w:color="auto"/>
            <w:right w:val="none" w:sz="0" w:space="0" w:color="auto"/>
          </w:divBdr>
        </w:div>
        <w:div w:id="1254970746">
          <w:marLeft w:val="480"/>
          <w:marRight w:val="0"/>
          <w:marTop w:val="0"/>
          <w:marBottom w:val="0"/>
          <w:divBdr>
            <w:top w:val="none" w:sz="0" w:space="0" w:color="auto"/>
            <w:left w:val="none" w:sz="0" w:space="0" w:color="auto"/>
            <w:bottom w:val="none" w:sz="0" w:space="0" w:color="auto"/>
            <w:right w:val="none" w:sz="0" w:space="0" w:color="auto"/>
          </w:divBdr>
        </w:div>
        <w:div w:id="2037077009">
          <w:marLeft w:val="480"/>
          <w:marRight w:val="0"/>
          <w:marTop w:val="0"/>
          <w:marBottom w:val="0"/>
          <w:divBdr>
            <w:top w:val="none" w:sz="0" w:space="0" w:color="auto"/>
            <w:left w:val="none" w:sz="0" w:space="0" w:color="auto"/>
            <w:bottom w:val="none" w:sz="0" w:space="0" w:color="auto"/>
            <w:right w:val="none" w:sz="0" w:space="0" w:color="auto"/>
          </w:divBdr>
        </w:div>
        <w:div w:id="821042718">
          <w:marLeft w:val="480"/>
          <w:marRight w:val="0"/>
          <w:marTop w:val="0"/>
          <w:marBottom w:val="0"/>
          <w:divBdr>
            <w:top w:val="none" w:sz="0" w:space="0" w:color="auto"/>
            <w:left w:val="none" w:sz="0" w:space="0" w:color="auto"/>
            <w:bottom w:val="none" w:sz="0" w:space="0" w:color="auto"/>
            <w:right w:val="none" w:sz="0" w:space="0" w:color="auto"/>
          </w:divBdr>
        </w:div>
        <w:div w:id="302390219">
          <w:marLeft w:val="480"/>
          <w:marRight w:val="0"/>
          <w:marTop w:val="0"/>
          <w:marBottom w:val="0"/>
          <w:divBdr>
            <w:top w:val="none" w:sz="0" w:space="0" w:color="auto"/>
            <w:left w:val="none" w:sz="0" w:space="0" w:color="auto"/>
            <w:bottom w:val="none" w:sz="0" w:space="0" w:color="auto"/>
            <w:right w:val="none" w:sz="0" w:space="0" w:color="auto"/>
          </w:divBdr>
        </w:div>
        <w:div w:id="118885752">
          <w:marLeft w:val="480"/>
          <w:marRight w:val="0"/>
          <w:marTop w:val="0"/>
          <w:marBottom w:val="0"/>
          <w:divBdr>
            <w:top w:val="none" w:sz="0" w:space="0" w:color="auto"/>
            <w:left w:val="none" w:sz="0" w:space="0" w:color="auto"/>
            <w:bottom w:val="none" w:sz="0" w:space="0" w:color="auto"/>
            <w:right w:val="none" w:sz="0" w:space="0" w:color="auto"/>
          </w:divBdr>
        </w:div>
        <w:div w:id="1013342201">
          <w:marLeft w:val="480"/>
          <w:marRight w:val="0"/>
          <w:marTop w:val="0"/>
          <w:marBottom w:val="0"/>
          <w:divBdr>
            <w:top w:val="none" w:sz="0" w:space="0" w:color="auto"/>
            <w:left w:val="none" w:sz="0" w:space="0" w:color="auto"/>
            <w:bottom w:val="none" w:sz="0" w:space="0" w:color="auto"/>
            <w:right w:val="none" w:sz="0" w:space="0" w:color="auto"/>
          </w:divBdr>
        </w:div>
        <w:div w:id="1818761689">
          <w:marLeft w:val="480"/>
          <w:marRight w:val="0"/>
          <w:marTop w:val="0"/>
          <w:marBottom w:val="0"/>
          <w:divBdr>
            <w:top w:val="none" w:sz="0" w:space="0" w:color="auto"/>
            <w:left w:val="none" w:sz="0" w:space="0" w:color="auto"/>
            <w:bottom w:val="none" w:sz="0" w:space="0" w:color="auto"/>
            <w:right w:val="none" w:sz="0" w:space="0" w:color="auto"/>
          </w:divBdr>
        </w:div>
        <w:div w:id="141891177">
          <w:marLeft w:val="480"/>
          <w:marRight w:val="0"/>
          <w:marTop w:val="0"/>
          <w:marBottom w:val="0"/>
          <w:divBdr>
            <w:top w:val="none" w:sz="0" w:space="0" w:color="auto"/>
            <w:left w:val="none" w:sz="0" w:space="0" w:color="auto"/>
            <w:bottom w:val="none" w:sz="0" w:space="0" w:color="auto"/>
            <w:right w:val="none" w:sz="0" w:space="0" w:color="auto"/>
          </w:divBdr>
        </w:div>
        <w:div w:id="20593624">
          <w:marLeft w:val="480"/>
          <w:marRight w:val="0"/>
          <w:marTop w:val="0"/>
          <w:marBottom w:val="0"/>
          <w:divBdr>
            <w:top w:val="none" w:sz="0" w:space="0" w:color="auto"/>
            <w:left w:val="none" w:sz="0" w:space="0" w:color="auto"/>
            <w:bottom w:val="none" w:sz="0" w:space="0" w:color="auto"/>
            <w:right w:val="none" w:sz="0" w:space="0" w:color="auto"/>
          </w:divBdr>
        </w:div>
        <w:div w:id="1391080202">
          <w:marLeft w:val="480"/>
          <w:marRight w:val="0"/>
          <w:marTop w:val="0"/>
          <w:marBottom w:val="0"/>
          <w:divBdr>
            <w:top w:val="none" w:sz="0" w:space="0" w:color="auto"/>
            <w:left w:val="none" w:sz="0" w:space="0" w:color="auto"/>
            <w:bottom w:val="none" w:sz="0" w:space="0" w:color="auto"/>
            <w:right w:val="none" w:sz="0" w:space="0" w:color="auto"/>
          </w:divBdr>
        </w:div>
        <w:div w:id="1641958216">
          <w:marLeft w:val="480"/>
          <w:marRight w:val="0"/>
          <w:marTop w:val="0"/>
          <w:marBottom w:val="0"/>
          <w:divBdr>
            <w:top w:val="none" w:sz="0" w:space="0" w:color="auto"/>
            <w:left w:val="none" w:sz="0" w:space="0" w:color="auto"/>
            <w:bottom w:val="none" w:sz="0" w:space="0" w:color="auto"/>
            <w:right w:val="none" w:sz="0" w:space="0" w:color="auto"/>
          </w:divBdr>
        </w:div>
        <w:div w:id="953752251">
          <w:marLeft w:val="480"/>
          <w:marRight w:val="0"/>
          <w:marTop w:val="0"/>
          <w:marBottom w:val="0"/>
          <w:divBdr>
            <w:top w:val="none" w:sz="0" w:space="0" w:color="auto"/>
            <w:left w:val="none" w:sz="0" w:space="0" w:color="auto"/>
            <w:bottom w:val="none" w:sz="0" w:space="0" w:color="auto"/>
            <w:right w:val="none" w:sz="0" w:space="0" w:color="auto"/>
          </w:divBdr>
        </w:div>
        <w:div w:id="773093936">
          <w:marLeft w:val="480"/>
          <w:marRight w:val="0"/>
          <w:marTop w:val="0"/>
          <w:marBottom w:val="0"/>
          <w:divBdr>
            <w:top w:val="none" w:sz="0" w:space="0" w:color="auto"/>
            <w:left w:val="none" w:sz="0" w:space="0" w:color="auto"/>
            <w:bottom w:val="none" w:sz="0" w:space="0" w:color="auto"/>
            <w:right w:val="none" w:sz="0" w:space="0" w:color="auto"/>
          </w:divBdr>
        </w:div>
        <w:div w:id="183982606">
          <w:marLeft w:val="480"/>
          <w:marRight w:val="0"/>
          <w:marTop w:val="0"/>
          <w:marBottom w:val="0"/>
          <w:divBdr>
            <w:top w:val="none" w:sz="0" w:space="0" w:color="auto"/>
            <w:left w:val="none" w:sz="0" w:space="0" w:color="auto"/>
            <w:bottom w:val="none" w:sz="0" w:space="0" w:color="auto"/>
            <w:right w:val="none" w:sz="0" w:space="0" w:color="auto"/>
          </w:divBdr>
        </w:div>
        <w:div w:id="2114551747">
          <w:marLeft w:val="480"/>
          <w:marRight w:val="0"/>
          <w:marTop w:val="0"/>
          <w:marBottom w:val="0"/>
          <w:divBdr>
            <w:top w:val="none" w:sz="0" w:space="0" w:color="auto"/>
            <w:left w:val="none" w:sz="0" w:space="0" w:color="auto"/>
            <w:bottom w:val="none" w:sz="0" w:space="0" w:color="auto"/>
            <w:right w:val="none" w:sz="0" w:space="0" w:color="auto"/>
          </w:divBdr>
        </w:div>
        <w:div w:id="516580224">
          <w:marLeft w:val="480"/>
          <w:marRight w:val="0"/>
          <w:marTop w:val="0"/>
          <w:marBottom w:val="0"/>
          <w:divBdr>
            <w:top w:val="none" w:sz="0" w:space="0" w:color="auto"/>
            <w:left w:val="none" w:sz="0" w:space="0" w:color="auto"/>
            <w:bottom w:val="none" w:sz="0" w:space="0" w:color="auto"/>
            <w:right w:val="none" w:sz="0" w:space="0" w:color="auto"/>
          </w:divBdr>
        </w:div>
        <w:div w:id="171383820">
          <w:marLeft w:val="480"/>
          <w:marRight w:val="0"/>
          <w:marTop w:val="0"/>
          <w:marBottom w:val="0"/>
          <w:divBdr>
            <w:top w:val="none" w:sz="0" w:space="0" w:color="auto"/>
            <w:left w:val="none" w:sz="0" w:space="0" w:color="auto"/>
            <w:bottom w:val="none" w:sz="0" w:space="0" w:color="auto"/>
            <w:right w:val="none" w:sz="0" w:space="0" w:color="auto"/>
          </w:divBdr>
        </w:div>
        <w:div w:id="1059477392">
          <w:marLeft w:val="480"/>
          <w:marRight w:val="0"/>
          <w:marTop w:val="0"/>
          <w:marBottom w:val="0"/>
          <w:divBdr>
            <w:top w:val="none" w:sz="0" w:space="0" w:color="auto"/>
            <w:left w:val="none" w:sz="0" w:space="0" w:color="auto"/>
            <w:bottom w:val="none" w:sz="0" w:space="0" w:color="auto"/>
            <w:right w:val="none" w:sz="0" w:space="0" w:color="auto"/>
          </w:divBdr>
        </w:div>
        <w:div w:id="855265574">
          <w:marLeft w:val="480"/>
          <w:marRight w:val="0"/>
          <w:marTop w:val="0"/>
          <w:marBottom w:val="0"/>
          <w:divBdr>
            <w:top w:val="none" w:sz="0" w:space="0" w:color="auto"/>
            <w:left w:val="none" w:sz="0" w:space="0" w:color="auto"/>
            <w:bottom w:val="none" w:sz="0" w:space="0" w:color="auto"/>
            <w:right w:val="none" w:sz="0" w:space="0" w:color="auto"/>
          </w:divBdr>
        </w:div>
        <w:div w:id="1953515157">
          <w:marLeft w:val="480"/>
          <w:marRight w:val="0"/>
          <w:marTop w:val="0"/>
          <w:marBottom w:val="0"/>
          <w:divBdr>
            <w:top w:val="none" w:sz="0" w:space="0" w:color="auto"/>
            <w:left w:val="none" w:sz="0" w:space="0" w:color="auto"/>
            <w:bottom w:val="none" w:sz="0" w:space="0" w:color="auto"/>
            <w:right w:val="none" w:sz="0" w:space="0" w:color="auto"/>
          </w:divBdr>
        </w:div>
        <w:div w:id="1510485657">
          <w:marLeft w:val="480"/>
          <w:marRight w:val="0"/>
          <w:marTop w:val="0"/>
          <w:marBottom w:val="0"/>
          <w:divBdr>
            <w:top w:val="none" w:sz="0" w:space="0" w:color="auto"/>
            <w:left w:val="none" w:sz="0" w:space="0" w:color="auto"/>
            <w:bottom w:val="none" w:sz="0" w:space="0" w:color="auto"/>
            <w:right w:val="none" w:sz="0" w:space="0" w:color="auto"/>
          </w:divBdr>
        </w:div>
        <w:div w:id="1437755319">
          <w:marLeft w:val="480"/>
          <w:marRight w:val="0"/>
          <w:marTop w:val="0"/>
          <w:marBottom w:val="0"/>
          <w:divBdr>
            <w:top w:val="none" w:sz="0" w:space="0" w:color="auto"/>
            <w:left w:val="none" w:sz="0" w:space="0" w:color="auto"/>
            <w:bottom w:val="none" w:sz="0" w:space="0" w:color="auto"/>
            <w:right w:val="none" w:sz="0" w:space="0" w:color="auto"/>
          </w:divBdr>
        </w:div>
        <w:div w:id="337000794">
          <w:marLeft w:val="480"/>
          <w:marRight w:val="0"/>
          <w:marTop w:val="0"/>
          <w:marBottom w:val="0"/>
          <w:divBdr>
            <w:top w:val="none" w:sz="0" w:space="0" w:color="auto"/>
            <w:left w:val="none" w:sz="0" w:space="0" w:color="auto"/>
            <w:bottom w:val="none" w:sz="0" w:space="0" w:color="auto"/>
            <w:right w:val="none" w:sz="0" w:space="0" w:color="auto"/>
          </w:divBdr>
        </w:div>
        <w:div w:id="2116753255">
          <w:marLeft w:val="480"/>
          <w:marRight w:val="0"/>
          <w:marTop w:val="0"/>
          <w:marBottom w:val="0"/>
          <w:divBdr>
            <w:top w:val="none" w:sz="0" w:space="0" w:color="auto"/>
            <w:left w:val="none" w:sz="0" w:space="0" w:color="auto"/>
            <w:bottom w:val="none" w:sz="0" w:space="0" w:color="auto"/>
            <w:right w:val="none" w:sz="0" w:space="0" w:color="auto"/>
          </w:divBdr>
        </w:div>
        <w:div w:id="2093576406">
          <w:marLeft w:val="480"/>
          <w:marRight w:val="0"/>
          <w:marTop w:val="0"/>
          <w:marBottom w:val="0"/>
          <w:divBdr>
            <w:top w:val="none" w:sz="0" w:space="0" w:color="auto"/>
            <w:left w:val="none" w:sz="0" w:space="0" w:color="auto"/>
            <w:bottom w:val="none" w:sz="0" w:space="0" w:color="auto"/>
            <w:right w:val="none" w:sz="0" w:space="0" w:color="auto"/>
          </w:divBdr>
        </w:div>
        <w:div w:id="1484353505">
          <w:marLeft w:val="480"/>
          <w:marRight w:val="0"/>
          <w:marTop w:val="0"/>
          <w:marBottom w:val="0"/>
          <w:divBdr>
            <w:top w:val="none" w:sz="0" w:space="0" w:color="auto"/>
            <w:left w:val="none" w:sz="0" w:space="0" w:color="auto"/>
            <w:bottom w:val="none" w:sz="0" w:space="0" w:color="auto"/>
            <w:right w:val="none" w:sz="0" w:space="0" w:color="auto"/>
          </w:divBdr>
        </w:div>
        <w:div w:id="1205947620">
          <w:marLeft w:val="480"/>
          <w:marRight w:val="0"/>
          <w:marTop w:val="0"/>
          <w:marBottom w:val="0"/>
          <w:divBdr>
            <w:top w:val="none" w:sz="0" w:space="0" w:color="auto"/>
            <w:left w:val="none" w:sz="0" w:space="0" w:color="auto"/>
            <w:bottom w:val="none" w:sz="0" w:space="0" w:color="auto"/>
            <w:right w:val="none" w:sz="0" w:space="0" w:color="auto"/>
          </w:divBdr>
        </w:div>
        <w:div w:id="389424507">
          <w:marLeft w:val="480"/>
          <w:marRight w:val="0"/>
          <w:marTop w:val="0"/>
          <w:marBottom w:val="0"/>
          <w:divBdr>
            <w:top w:val="none" w:sz="0" w:space="0" w:color="auto"/>
            <w:left w:val="none" w:sz="0" w:space="0" w:color="auto"/>
            <w:bottom w:val="none" w:sz="0" w:space="0" w:color="auto"/>
            <w:right w:val="none" w:sz="0" w:space="0" w:color="auto"/>
          </w:divBdr>
        </w:div>
        <w:div w:id="150490359">
          <w:marLeft w:val="480"/>
          <w:marRight w:val="0"/>
          <w:marTop w:val="0"/>
          <w:marBottom w:val="0"/>
          <w:divBdr>
            <w:top w:val="none" w:sz="0" w:space="0" w:color="auto"/>
            <w:left w:val="none" w:sz="0" w:space="0" w:color="auto"/>
            <w:bottom w:val="none" w:sz="0" w:space="0" w:color="auto"/>
            <w:right w:val="none" w:sz="0" w:space="0" w:color="auto"/>
          </w:divBdr>
        </w:div>
        <w:div w:id="483089372">
          <w:marLeft w:val="480"/>
          <w:marRight w:val="0"/>
          <w:marTop w:val="0"/>
          <w:marBottom w:val="0"/>
          <w:divBdr>
            <w:top w:val="none" w:sz="0" w:space="0" w:color="auto"/>
            <w:left w:val="none" w:sz="0" w:space="0" w:color="auto"/>
            <w:bottom w:val="none" w:sz="0" w:space="0" w:color="auto"/>
            <w:right w:val="none" w:sz="0" w:space="0" w:color="auto"/>
          </w:divBdr>
        </w:div>
        <w:div w:id="253512601">
          <w:marLeft w:val="480"/>
          <w:marRight w:val="0"/>
          <w:marTop w:val="0"/>
          <w:marBottom w:val="0"/>
          <w:divBdr>
            <w:top w:val="none" w:sz="0" w:space="0" w:color="auto"/>
            <w:left w:val="none" w:sz="0" w:space="0" w:color="auto"/>
            <w:bottom w:val="none" w:sz="0" w:space="0" w:color="auto"/>
            <w:right w:val="none" w:sz="0" w:space="0" w:color="auto"/>
          </w:divBdr>
        </w:div>
        <w:div w:id="1235974654">
          <w:marLeft w:val="480"/>
          <w:marRight w:val="0"/>
          <w:marTop w:val="0"/>
          <w:marBottom w:val="0"/>
          <w:divBdr>
            <w:top w:val="none" w:sz="0" w:space="0" w:color="auto"/>
            <w:left w:val="none" w:sz="0" w:space="0" w:color="auto"/>
            <w:bottom w:val="none" w:sz="0" w:space="0" w:color="auto"/>
            <w:right w:val="none" w:sz="0" w:space="0" w:color="auto"/>
          </w:divBdr>
        </w:div>
        <w:div w:id="2141334551">
          <w:marLeft w:val="480"/>
          <w:marRight w:val="0"/>
          <w:marTop w:val="0"/>
          <w:marBottom w:val="0"/>
          <w:divBdr>
            <w:top w:val="none" w:sz="0" w:space="0" w:color="auto"/>
            <w:left w:val="none" w:sz="0" w:space="0" w:color="auto"/>
            <w:bottom w:val="none" w:sz="0" w:space="0" w:color="auto"/>
            <w:right w:val="none" w:sz="0" w:space="0" w:color="auto"/>
          </w:divBdr>
        </w:div>
        <w:div w:id="1042443889">
          <w:marLeft w:val="480"/>
          <w:marRight w:val="0"/>
          <w:marTop w:val="0"/>
          <w:marBottom w:val="0"/>
          <w:divBdr>
            <w:top w:val="none" w:sz="0" w:space="0" w:color="auto"/>
            <w:left w:val="none" w:sz="0" w:space="0" w:color="auto"/>
            <w:bottom w:val="none" w:sz="0" w:space="0" w:color="auto"/>
            <w:right w:val="none" w:sz="0" w:space="0" w:color="auto"/>
          </w:divBdr>
        </w:div>
        <w:div w:id="1770347011">
          <w:marLeft w:val="480"/>
          <w:marRight w:val="0"/>
          <w:marTop w:val="0"/>
          <w:marBottom w:val="0"/>
          <w:divBdr>
            <w:top w:val="none" w:sz="0" w:space="0" w:color="auto"/>
            <w:left w:val="none" w:sz="0" w:space="0" w:color="auto"/>
            <w:bottom w:val="none" w:sz="0" w:space="0" w:color="auto"/>
            <w:right w:val="none" w:sz="0" w:space="0" w:color="auto"/>
          </w:divBdr>
        </w:div>
        <w:div w:id="765347189">
          <w:marLeft w:val="480"/>
          <w:marRight w:val="0"/>
          <w:marTop w:val="0"/>
          <w:marBottom w:val="0"/>
          <w:divBdr>
            <w:top w:val="none" w:sz="0" w:space="0" w:color="auto"/>
            <w:left w:val="none" w:sz="0" w:space="0" w:color="auto"/>
            <w:bottom w:val="none" w:sz="0" w:space="0" w:color="auto"/>
            <w:right w:val="none" w:sz="0" w:space="0" w:color="auto"/>
          </w:divBdr>
        </w:div>
        <w:div w:id="1244992108">
          <w:marLeft w:val="480"/>
          <w:marRight w:val="0"/>
          <w:marTop w:val="0"/>
          <w:marBottom w:val="0"/>
          <w:divBdr>
            <w:top w:val="none" w:sz="0" w:space="0" w:color="auto"/>
            <w:left w:val="none" w:sz="0" w:space="0" w:color="auto"/>
            <w:bottom w:val="none" w:sz="0" w:space="0" w:color="auto"/>
            <w:right w:val="none" w:sz="0" w:space="0" w:color="auto"/>
          </w:divBdr>
        </w:div>
        <w:div w:id="2069913071">
          <w:marLeft w:val="480"/>
          <w:marRight w:val="0"/>
          <w:marTop w:val="0"/>
          <w:marBottom w:val="0"/>
          <w:divBdr>
            <w:top w:val="none" w:sz="0" w:space="0" w:color="auto"/>
            <w:left w:val="none" w:sz="0" w:space="0" w:color="auto"/>
            <w:bottom w:val="none" w:sz="0" w:space="0" w:color="auto"/>
            <w:right w:val="none" w:sz="0" w:space="0" w:color="auto"/>
          </w:divBdr>
        </w:div>
        <w:div w:id="443765228">
          <w:marLeft w:val="480"/>
          <w:marRight w:val="0"/>
          <w:marTop w:val="0"/>
          <w:marBottom w:val="0"/>
          <w:divBdr>
            <w:top w:val="none" w:sz="0" w:space="0" w:color="auto"/>
            <w:left w:val="none" w:sz="0" w:space="0" w:color="auto"/>
            <w:bottom w:val="none" w:sz="0" w:space="0" w:color="auto"/>
            <w:right w:val="none" w:sz="0" w:space="0" w:color="auto"/>
          </w:divBdr>
        </w:div>
        <w:div w:id="462968098">
          <w:marLeft w:val="480"/>
          <w:marRight w:val="0"/>
          <w:marTop w:val="0"/>
          <w:marBottom w:val="0"/>
          <w:divBdr>
            <w:top w:val="none" w:sz="0" w:space="0" w:color="auto"/>
            <w:left w:val="none" w:sz="0" w:space="0" w:color="auto"/>
            <w:bottom w:val="none" w:sz="0" w:space="0" w:color="auto"/>
            <w:right w:val="none" w:sz="0" w:space="0" w:color="auto"/>
          </w:divBdr>
        </w:div>
        <w:div w:id="2040858070">
          <w:marLeft w:val="480"/>
          <w:marRight w:val="0"/>
          <w:marTop w:val="0"/>
          <w:marBottom w:val="0"/>
          <w:divBdr>
            <w:top w:val="none" w:sz="0" w:space="0" w:color="auto"/>
            <w:left w:val="none" w:sz="0" w:space="0" w:color="auto"/>
            <w:bottom w:val="none" w:sz="0" w:space="0" w:color="auto"/>
            <w:right w:val="none" w:sz="0" w:space="0" w:color="auto"/>
          </w:divBdr>
        </w:div>
        <w:div w:id="266428863">
          <w:marLeft w:val="480"/>
          <w:marRight w:val="0"/>
          <w:marTop w:val="0"/>
          <w:marBottom w:val="0"/>
          <w:divBdr>
            <w:top w:val="none" w:sz="0" w:space="0" w:color="auto"/>
            <w:left w:val="none" w:sz="0" w:space="0" w:color="auto"/>
            <w:bottom w:val="none" w:sz="0" w:space="0" w:color="auto"/>
            <w:right w:val="none" w:sz="0" w:space="0" w:color="auto"/>
          </w:divBdr>
        </w:div>
        <w:div w:id="1155494875">
          <w:marLeft w:val="480"/>
          <w:marRight w:val="0"/>
          <w:marTop w:val="0"/>
          <w:marBottom w:val="0"/>
          <w:divBdr>
            <w:top w:val="none" w:sz="0" w:space="0" w:color="auto"/>
            <w:left w:val="none" w:sz="0" w:space="0" w:color="auto"/>
            <w:bottom w:val="none" w:sz="0" w:space="0" w:color="auto"/>
            <w:right w:val="none" w:sz="0" w:space="0" w:color="auto"/>
          </w:divBdr>
        </w:div>
        <w:div w:id="463280245">
          <w:marLeft w:val="480"/>
          <w:marRight w:val="0"/>
          <w:marTop w:val="0"/>
          <w:marBottom w:val="0"/>
          <w:divBdr>
            <w:top w:val="none" w:sz="0" w:space="0" w:color="auto"/>
            <w:left w:val="none" w:sz="0" w:space="0" w:color="auto"/>
            <w:bottom w:val="none" w:sz="0" w:space="0" w:color="auto"/>
            <w:right w:val="none" w:sz="0" w:space="0" w:color="auto"/>
          </w:divBdr>
        </w:div>
        <w:div w:id="803155869">
          <w:marLeft w:val="480"/>
          <w:marRight w:val="0"/>
          <w:marTop w:val="0"/>
          <w:marBottom w:val="0"/>
          <w:divBdr>
            <w:top w:val="none" w:sz="0" w:space="0" w:color="auto"/>
            <w:left w:val="none" w:sz="0" w:space="0" w:color="auto"/>
            <w:bottom w:val="none" w:sz="0" w:space="0" w:color="auto"/>
            <w:right w:val="none" w:sz="0" w:space="0" w:color="auto"/>
          </w:divBdr>
        </w:div>
        <w:div w:id="1466855495">
          <w:marLeft w:val="480"/>
          <w:marRight w:val="0"/>
          <w:marTop w:val="0"/>
          <w:marBottom w:val="0"/>
          <w:divBdr>
            <w:top w:val="none" w:sz="0" w:space="0" w:color="auto"/>
            <w:left w:val="none" w:sz="0" w:space="0" w:color="auto"/>
            <w:bottom w:val="none" w:sz="0" w:space="0" w:color="auto"/>
            <w:right w:val="none" w:sz="0" w:space="0" w:color="auto"/>
          </w:divBdr>
        </w:div>
        <w:div w:id="98645585">
          <w:marLeft w:val="480"/>
          <w:marRight w:val="0"/>
          <w:marTop w:val="0"/>
          <w:marBottom w:val="0"/>
          <w:divBdr>
            <w:top w:val="none" w:sz="0" w:space="0" w:color="auto"/>
            <w:left w:val="none" w:sz="0" w:space="0" w:color="auto"/>
            <w:bottom w:val="none" w:sz="0" w:space="0" w:color="auto"/>
            <w:right w:val="none" w:sz="0" w:space="0" w:color="auto"/>
          </w:divBdr>
        </w:div>
        <w:div w:id="328095981">
          <w:marLeft w:val="480"/>
          <w:marRight w:val="0"/>
          <w:marTop w:val="0"/>
          <w:marBottom w:val="0"/>
          <w:divBdr>
            <w:top w:val="none" w:sz="0" w:space="0" w:color="auto"/>
            <w:left w:val="none" w:sz="0" w:space="0" w:color="auto"/>
            <w:bottom w:val="none" w:sz="0" w:space="0" w:color="auto"/>
            <w:right w:val="none" w:sz="0" w:space="0" w:color="auto"/>
          </w:divBdr>
        </w:div>
        <w:div w:id="503011474">
          <w:marLeft w:val="480"/>
          <w:marRight w:val="0"/>
          <w:marTop w:val="0"/>
          <w:marBottom w:val="0"/>
          <w:divBdr>
            <w:top w:val="none" w:sz="0" w:space="0" w:color="auto"/>
            <w:left w:val="none" w:sz="0" w:space="0" w:color="auto"/>
            <w:bottom w:val="none" w:sz="0" w:space="0" w:color="auto"/>
            <w:right w:val="none" w:sz="0" w:space="0" w:color="auto"/>
          </w:divBdr>
        </w:div>
        <w:div w:id="220143895">
          <w:marLeft w:val="480"/>
          <w:marRight w:val="0"/>
          <w:marTop w:val="0"/>
          <w:marBottom w:val="0"/>
          <w:divBdr>
            <w:top w:val="none" w:sz="0" w:space="0" w:color="auto"/>
            <w:left w:val="none" w:sz="0" w:space="0" w:color="auto"/>
            <w:bottom w:val="none" w:sz="0" w:space="0" w:color="auto"/>
            <w:right w:val="none" w:sz="0" w:space="0" w:color="auto"/>
          </w:divBdr>
        </w:div>
        <w:div w:id="852303655">
          <w:marLeft w:val="480"/>
          <w:marRight w:val="0"/>
          <w:marTop w:val="0"/>
          <w:marBottom w:val="0"/>
          <w:divBdr>
            <w:top w:val="none" w:sz="0" w:space="0" w:color="auto"/>
            <w:left w:val="none" w:sz="0" w:space="0" w:color="auto"/>
            <w:bottom w:val="none" w:sz="0" w:space="0" w:color="auto"/>
            <w:right w:val="none" w:sz="0" w:space="0" w:color="auto"/>
          </w:divBdr>
        </w:div>
        <w:div w:id="1760297965">
          <w:marLeft w:val="480"/>
          <w:marRight w:val="0"/>
          <w:marTop w:val="0"/>
          <w:marBottom w:val="0"/>
          <w:divBdr>
            <w:top w:val="none" w:sz="0" w:space="0" w:color="auto"/>
            <w:left w:val="none" w:sz="0" w:space="0" w:color="auto"/>
            <w:bottom w:val="none" w:sz="0" w:space="0" w:color="auto"/>
            <w:right w:val="none" w:sz="0" w:space="0" w:color="auto"/>
          </w:divBdr>
        </w:div>
        <w:div w:id="1452094918">
          <w:marLeft w:val="480"/>
          <w:marRight w:val="0"/>
          <w:marTop w:val="0"/>
          <w:marBottom w:val="0"/>
          <w:divBdr>
            <w:top w:val="none" w:sz="0" w:space="0" w:color="auto"/>
            <w:left w:val="none" w:sz="0" w:space="0" w:color="auto"/>
            <w:bottom w:val="none" w:sz="0" w:space="0" w:color="auto"/>
            <w:right w:val="none" w:sz="0" w:space="0" w:color="auto"/>
          </w:divBdr>
        </w:div>
        <w:div w:id="182059939">
          <w:marLeft w:val="480"/>
          <w:marRight w:val="0"/>
          <w:marTop w:val="0"/>
          <w:marBottom w:val="0"/>
          <w:divBdr>
            <w:top w:val="none" w:sz="0" w:space="0" w:color="auto"/>
            <w:left w:val="none" w:sz="0" w:space="0" w:color="auto"/>
            <w:bottom w:val="none" w:sz="0" w:space="0" w:color="auto"/>
            <w:right w:val="none" w:sz="0" w:space="0" w:color="auto"/>
          </w:divBdr>
        </w:div>
        <w:div w:id="1733116823">
          <w:marLeft w:val="480"/>
          <w:marRight w:val="0"/>
          <w:marTop w:val="0"/>
          <w:marBottom w:val="0"/>
          <w:divBdr>
            <w:top w:val="none" w:sz="0" w:space="0" w:color="auto"/>
            <w:left w:val="none" w:sz="0" w:space="0" w:color="auto"/>
            <w:bottom w:val="none" w:sz="0" w:space="0" w:color="auto"/>
            <w:right w:val="none" w:sz="0" w:space="0" w:color="auto"/>
          </w:divBdr>
        </w:div>
        <w:div w:id="1143422759">
          <w:marLeft w:val="480"/>
          <w:marRight w:val="0"/>
          <w:marTop w:val="0"/>
          <w:marBottom w:val="0"/>
          <w:divBdr>
            <w:top w:val="none" w:sz="0" w:space="0" w:color="auto"/>
            <w:left w:val="none" w:sz="0" w:space="0" w:color="auto"/>
            <w:bottom w:val="none" w:sz="0" w:space="0" w:color="auto"/>
            <w:right w:val="none" w:sz="0" w:space="0" w:color="auto"/>
          </w:divBdr>
        </w:div>
        <w:div w:id="271478801">
          <w:marLeft w:val="480"/>
          <w:marRight w:val="0"/>
          <w:marTop w:val="0"/>
          <w:marBottom w:val="0"/>
          <w:divBdr>
            <w:top w:val="none" w:sz="0" w:space="0" w:color="auto"/>
            <w:left w:val="none" w:sz="0" w:space="0" w:color="auto"/>
            <w:bottom w:val="none" w:sz="0" w:space="0" w:color="auto"/>
            <w:right w:val="none" w:sz="0" w:space="0" w:color="auto"/>
          </w:divBdr>
        </w:div>
        <w:div w:id="798843005">
          <w:marLeft w:val="480"/>
          <w:marRight w:val="0"/>
          <w:marTop w:val="0"/>
          <w:marBottom w:val="0"/>
          <w:divBdr>
            <w:top w:val="none" w:sz="0" w:space="0" w:color="auto"/>
            <w:left w:val="none" w:sz="0" w:space="0" w:color="auto"/>
            <w:bottom w:val="none" w:sz="0" w:space="0" w:color="auto"/>
            <w:right w:val="none" w:sz="0" w:space="0" w:color="auto"/>
          </w:divBdr>
        </w:div>
        <w:div w:id="2091194863">
          <w:marLeft w:val="480"/>
          <w:marRight w:val="0"/>
          <w:marTop w:val="0"/>
          <w:marBottom w:val="0"/>
          <w:divBdr>
            <w:top w:val="none" w:sz="0" w:space="0" w:color="auto"/>
            <w:left w:val="none" w:sz="0" w:space="0" w:color="auto"/>
            <w:bottom w:val="none" w:sz="0" w:space="0" w:color="auto"/>
            <w:right w:val="none" w:sz="0" w:space="0" w:color="auto"/>
          </w:divBdr>
        </w:div>
        <w:div w:id="2112191759">
          <w:marLeft w:val="480"/>
          <w:marRight w:val="0"/>
          <w:marTop w:val="0"/>
          <w:marBottom w:val="0"/>
          <w:divBdr>
            <w:top w:val="none" w:sz="0" w:space="0" w:color="auto"/>
            <w:left w:val="none" w:sz="0" w:space="0" w:color="auto"/>
            <w:bottom w:val="none" w:sz="0" w:space="0" w:color="auto"/>
            <w:right w:val="none" w:sz="0" w:space="0" w:color="auto"/>
          </w:divBdr>
        </w:div>
        <w:div w:id="1224606814">
          <w:marLeft w:val="480"/>
          <w:marRight w:val="0"/>
          <w:marTop w:val="0"/>
          <w:marBottom w:val="0"/>
          <w:divBdr>
            <w:top w:val="none" w:sz="0" w:space="0" w:color="auto"/>
            <w:left w:val="none" w:sz="0" w:space="0" w:color="auto"/>
            <w:bottom w:val="none" w:sz="0" w:space="0" w:color="auto"/>
            <w:right w:val="none" w:sz="0" w:space="0" w:color="auto"/>
          </w:divBdr>
        </w:div>
        <w:div w:id="1374698572">
          <w:marLeft w:val="480"/>
          <w:marRight w:val="0"/>
          <w:marTop w:val="0"/>
          <w:marBottom w:val="0"/>
          <w:divBdr>
            <w:top w:val="none" w:sz="0" w:space="0" w:color="auto"/>
            <w:left w:val="none" w:sz="0" w:space="0" w:color="auto"/>
            <w:bottom w:val="none" w:sz="0" w:space="0" w:color="auto"/>
            <w:right w:val="none" w:sz="0" w:space="0" w:color="auto"/>
          </w:divBdr>
        </w:div>
        <w:div w:id="1634796251">
          <w:marLeft w:val="480"/>
          <w:marRight w:val="0"/>
          <w:marTop w:val="0"/>
          <w:marBottom w:val="0"/>
          <w:divBdr>
            <w:top w:val="none" w:sz="0" w:space="0" w:color="auto"/>
            <w:left w:val="none" w:sz="0" w:space="0" w:color="auto"/>
            <w:bottom w:val="none" w:sz="0" w:space="0" w:color="auto"/>
            <w:right w:val="none" w:sz="0" w:space="0" w:color="auto"/>
          </w:divBdr>
        </w:div>
        <w:div w:id="371659149">
          <w:marLeft w:val="480"/>
          <w:marRight w:val="0"/>
          <w:marTop w:val="0"/>
          <w:marBottom w:val="0"/>
          <w:divBdr>
            <w:top w:val="none" w:sz="0" w:space="0" w:color="auto"/>
            <w:left w:val="none" w:sz="0" w:space="0" w:color="auto"/>
            <w:bottom w:val="none" w:sz="0" w:space="0" w:color="auto"/>
            <w:right w:val="none" w:sz="0" w:space="0" w:color="auto"/>
          </w:divBdr>
        </w:div>
        <w:div w:id="893346055">
          <w:marLeft w:val="480"/>
          <w:marRight w:val="0"/>
          <w:marTop w:val="0"/>
          <w:marBottom w:val="0"/>
          <w:divBdr>
            <w:top w:val="none" w:sz="0" w:space="0" w:color="auto"/>
            <w:left w:val="none" w:sz="0" w:space="0" w:color="auto"/>
            <w:bottom w:val="none" w:sz="0" w:space="0" w:color="auto"/>
            <w:right w:val="none" w:sz="0" w:space="0" w:color="auto"/>
          </w:divBdr>
        </w:div>
        <w:div w:id="531302683">
          <w:marLeft w:val="480"/>
          <w:marRight w:val="0"/>
          <w:marTop w:val="0"/>
          <w:marBottom w:val="0"/>
          <w:divBdr>
            <w:top w:val="none" w:sz="0" w:space="0" w:color="auto"/>
            <w:left w:val="none" w:sz="0" w:space="0" w:color="auto"/>
            <w:bottom w:val="none" w:sz="0" w:space="0" w:color="auto"/>
            <w:right w:val="none" w:sz="0" w:space="0" w:color="auto"/>
          </w:divBdr>
        </w:div>
        <w:div w:id="1966305134">
          <w:marLeft w:val="480"/>
          <w:marRight w:val="0"/>
          <w:marTop w:val="0"/>
          <w:marBottom w:val="0"/>
          <w:divBdr>
            <w:top w:val="none" w:sz="0" w:space="0" w:color="auto"/>
            <w:left w:val="none" w:sz="0" w:space="0" w:color="auto"/>
            <w:bottom w:val="none" w:sz="0" w:space="0" w:color="auto"/>
            <w:right w:val="none" w:sz="0" w:space="0" w:color="auto"/>
          </w:divBdr>
        </w:div>
        <w:div w:id="1294940415">
          <w:marLeft w:val="480"/>
          <w:marRight w:val="0"/>
          <w:marTop w:val="0"/>
          <w:marBottom w:val="0"/>
          <w:divBdr>
            <w:top w:val="none" w:sz="0" w:space="0" w:color="auto"/>
            <w:left w:val="none" w:sz="0" w:space="0" w:color="auto"/>
            <w:bottom w:val="none" w:sz="0" w:space="0" w:color="auto"/>
            <w:right w:val="none" w:sz="0" w:space="0" w:color="auto"/>
          </w:divBdr>
        </w:div>
        <w:div w:id="138881764">
          <w:marLeft w:val="480"/>
          <w:marRight w:val="0"/>
          <w:marTop w:val="0"/>
          <w:marBottom w:val="0"/>
          <w:divBdr>
            <w:top w:val="none" w:sz="0" w:space="0" w:color="auto"/>
            <w:left w:val="none" w:sz="0" w:space="0" w:color="auto"/>
            <w:bottom w:val="none" w:sz="0" w:space="0" w:color="auto"/>
            <w:right w:val="none" w:sz="0" w:space="0" w:color="auto"/>
          </w:divBdr>
        </w:div>
        <w:div w:id="702250394">
          <w:marLeft w:val="480"/>
          <w:marRight w:val="0"/>
          <w:marTop w:val="0"/>
          <w:marBottom w:val="0"/>
          <w:divBdr>
            <w:top w:val="none" w:sz="0" w:space="0" w:color="auto"/>
            <w:left w:val="none" w:sz="0" w:space="0" w:color="auto"/>
            <w:bottom w:val="none" w:sz="0" w:space="0" w:color="auto"/>
            <w:right w:val="none" w:sz="0" w:space="0" w:color="auto"/>
          </w:divBdr>
        </w:div>
        <w:div w:id="745879117">
          <w:marLeft w:val="480"/>
          <w:marRight w:val="0"/>
          <w:marTop w:val="0"/>
          <w:marBottom w:val="0"/>
          <w:divBdr>
            <w:top w:val="none" w:sz="0" w:space="0" w:color="auto"/>
            <w:left w:val="none" w:sz="0" w:space="0" w:color="auto"/>
            <w:bottom w:val="none" w:sz="0" w:space="0" w:color="auto"/>
            <w:right w:val="none" w:sz="0" w:space="0" w:color="auto"/>
          </w:divBdr>
        </w:div>
        <w:div w:id="1885675762">
          <w:marLeft w:val="480"/>
          <w:marRight w:val="0"/>
          <w:marTop w:val="0"/>
          <w:marBottom w:val="0"/>
          <w:divBdr>
            <w:top w:val="none" w:sz="0" w:space="0" w:color="auto"/>
            <w:left w:val="none" w:sz="0" w:space="0" w:color="auto"/>
            <w:bottom w:val="none" w:sz="0" w:space="0" w:color="auto"/>
            <w:right w:val="none" w:sz="0" w:space="0" w:color="auto"/>
          </w:divBdr>
        </w:div>
        <w:div w:id="1592352191">
          <w:marLeft w:val="480"/>
          <w:marRight w:val="0"/>
          <w:marTop w:val="0"/>
          <w:marBottom w:val="0"/>
          <w:divBdr>
            <w:top w:val="none" w:sz="0" w:space="0" w:color="auto"/>
            <w:left w:val="none" w:sz="0" w:space="0" w:color="auto"/>
            <w:bottom w:val="none" w:sz="0" w:space="0" w:color="auto"/>
            <w:right w:val="none" w:sz="0" w:space="0" w:color="auto"/>
          </w:divBdr>
        </w:div>
        <w:div w:id="333455613">
          <w:marLeft w:val="480"/>
          <w:marRight w:val="0"/>
          <w:marTop w:val="0"/>
          <w:marBottom w:val="0"/>
          <w:divBdr>
            <w:top w:val="none" w:sz="0" w:space="0" w:color="auto"/>
            <w:left w:val="none" w:sz="0" w:space="0" w:color="auto"/>
            <w:bottom w:val="none" w:sz="0" w:space="0" w:color="auto"/>
            <w:right w:val="none" w:sz="0" w:space="0" w:color="auto"/>
          </w:divBdr>
        </w:div>
        <w:div w:id="1616669345">
          <w:marLeft w:val="480"/>
          <w:marRight w:val="0"/>
          <w:marTop w:val="0"/>
          <w:marBottom w:val="0"/>
          <w:divBdr>
            <w:top w:val="none" w:sz="0" w:space="0" w:color="auto"/>
            <w:left w:val="none" w:sz="0" w:space="0" w:color="auto"/>
            <w:bottom w:val="none" w:sz="0" w:space="0" w:color="auto"/>
            <w:right w:val="none" w:sz="0" w:space="0" w:color="auto"/>
          </w:divBdr>
        </w:div>
        <w:div w:id="794755464">
          <w:marLeft w:val="480"/>
          <w:marRight w:val="0"/>
          <w:marTop w:val="0"/>
          <w:marBottom w:val="0"/>
          <w:divBdr>
            <w:top w:val="none" w:sz="0" w:space="0" w:color="auto"/>
            <w:left w:val="none" w:sz="0" w:space="0" w:color="auto"/>
            <w:bottom w:val="none" w:sz="0" w:space="0" w:color="auto"/>
            <w:right w:val="none" w:sz="0" w:space="0" w:color="auto"/>
          </w:divBdr>
        </w:div>
        <w:div w:id="767391009">
          <w:marLeft w:val="480"/>
          <w:marRight w:val="0"/>
          <w:marTop w:val="0"/>
          <w:marBottom w:val="0"/>
          <w:divBdr>
            <w:top w:val="none" w:sz="0" w:space="0" w:color="auto"/>
            <w:left w:val="none" w:sz="0" w:space="0" w:color="auto"/>
            <w:bottom w:val="none" w:sz="0" w:space="0" w:color="auto"/>
            <w:right w:val="none" w:sz="0" w:space="0" w:color="auto"/>
          </w:divBdr>
        </w:div>
        <w:div w:id="39672685">
          <w:marLeft w:val="480"/>
          <w:marRight w:val="0"/>
          <w:marTop w:val="0"/>
          <w:marBottom w:val="0"/>
          <w:divBdr>
            <w:top w:val="none" w:sz="0" w:space="0" w:color="auto"/>
            <w:left w:val="none" w:sz="0" w:space="0" w:color="auto"/>
            <w:bottom w:val="none" w:sz="0" w:space="0" w:color="auto"/>
            <w:right w:val="none" w:sz="0" w:space="0" w:color="auto"/>
          </w:divBdr>
        </w:div>
        <w:div w:id="1433471451">
          <w:marLeft w:val="480"/>
          <w:marRight w:val="0"/>
          <w:marTop w:val="0"/>
          <w:marBottom w:val="0"/>
          <w:divBdr>
            <w:top w:val="none" w:sz="0" w:space="0" w:color="auto"/>
            <w:left w:val="none" w:sz="0" w:space="0" w:color="auto"/>
            <w:bottom w:val="none" w:sz="0" w:space="0" w:color="auto"/>
            <w:right w:val="none" w:sz="0" w:space="0" w:color="auto"/>
          </w:divBdr>
        </w:div>
        <w:div w:id="937906089">
          <w:marLeft w:val="480"/>
          <w:marRight w:val="0"/>
          <w:marTop w:val="0"/>
          <w:marBottom w:val="0"/>
          <w:divBdr>
            <w:top w:val="none" w:sz="0" w:space="0" w:color="auto"/>
            <w:left w:val="none" w:sz="0" w:space="0" w:color="auto"/>
            <w:bottom w:val="none" w:sz="0" w:space="0" w:color="auto"/>
            <w:right w:val="none" w:sz="0" w:space="0" w:color="auto"/>
          </w:divBdr>
        </w:div>
        <w:div w:id="959142774">
          <w:marLeft w:val="480"/>
          <w:marRight w:val="0"/>
          <w:marTop w:val="0"/>
          <w:marBottom w:val="0"/>
          <w:divBdr>
            <w:top w:val="none" w:sz="0" w:space="0" w:color="auto"/>
            <w:left w:val="none" w:sz="0" w:space="0" w:color="auto"/>
            <w:bottom w:val="none" w:sz="0" w:space="0" w:color="auto"/>
            <w:right w:val="none" w:sz="0" w:space="0" w:color="auto"/>
          </w:divBdr>
        </w:div>
        <w:div w:id="1607735052">
          <w:marLeft w:val="480"/>
          <w:marRight w:val="0"/>
          <w:marTop w:val="0"/>
          <w:marBottom w:val="0"/>
          <w:divBdr>
            <w:top w:val="none" w:sz="0" w:space="0" w:color="auto"/>
            <w:left w:val="none" w:sz="0" w:space="0" w:color="auto"/>
            <w:bottom w:val="none" w:sz="0" w:space="0" w:color="auto"/>
            <w:right w:val="none" w:sz="0" w:space="0" w:color="auto"/>
          </w:divBdr>
        </w:div>
        <w:div w:id="119955217">
          <w:marLeft w:val="480"/>
          <w:marRight w:val="0"/>
          <w:marTop w:val="0"/>
          <w:marBottom w:val="0"/>
          <w:divBdr>
            <w:top w:val="none" w:sz="0" w:space="0" w:color="auto"/>
            <w:left w:val="none" w:sz="0" w:space="0" w:color="auto"/>
            <w:bottom w:val="none" w:sz="0" w:space="0" w:color="auto"/>
            <w:right w:val="none" w:sz="0" w:space="0" w:color="auto"/>
          </w:divBdr>
        </w:div>
        <w:div w:id="1456094515">
          <w:marLeft w:val="480"/>
          <w:marRight w:val="0"/>
          <w:marTop w:val="0"/>
          <w:marBottom w:val="0"/>
          <w:divBdr>
            <w:top w:val="none" w:sz="0" w:space="0" w:color="auto"/>
            <w:left w:val="none" w:sz="0" w:space="0" w:color="auto"/>
            <w:bottom w:val="none" w:sz="0" w:space="0" w:color="auto"/>
            <w:right w:val="none" w:sz="0" w:space="0" w:color="auto"/>
          </w:divBdr>
        </w:div>
        <w:div w:id="1686708389">
          <w:marLeft w:val="480"/>
          <w:marRight w:val="0"/>
          <w:marTop w:val="0"/>
          <w:marBottom w:val="0"/>
          <w:divBdr>
            <w:top w:val="none" w:sz="0" w:space="0" w:color="auto"/>
            <w:left w:val="none" w:sz="0" w:space="0" w:color="auto"/>
            <w:bottom w:val="none" w:sz="0" w:space="0" w:color="auto"/>
            <w:right w:val="none" w:sz="0" w:space="0" w:color="auto"/>
          </w:divBdr>
        </w:div>
        <w:div w:id="1621258930">
          <w:marLeft w:val="480"/>
          <w:marRight w:val="0"/>
          <w:marTop w:val="0"/>
          <w:marBottom w:val="0"/>
          <w:divBdr>
            <w:top w:val="none" w:sz="0" w:space="0" w:color="auto"/>
            <w:left w:val="none" w:sz="0" w:space="0" w:color="auto"/>
            <w:bottom w:val="none" w:sz="0" w:space="0" w:color="auto"/>
            <w:right w:val="none" w:sz="0" w:space="0" w:color="auto"/>
          </w:divBdr>
        </w:div>
        <w:div w:id="341780983">
          <w:marLeft w:val="480"/>
          <w:marRight w:val="0"/>
          <w:marTop w:val="0"/>
          <w:marBottom w:val="0"/>
          <w:divBdr>
            <w:top w:val="none" w:sz="0" w:space="0" w:color="auto"/>
            <w:left w:val="none" w:sz="0" w:space="0" w:color="auto"/>
            <w:bottom w:val="none" w:sz="0" w:space="0" w:color="auto"/>
            <w:right w:val="none" w:sz="0" w:space="0" w:color="auto"/>
          </w:divBdr>
        </w:div>
        <w:div w:id="697780022">
          <w:marLeft w:val="480"/>
          <w:marRight w:val="0"/>
          <w:marTop w:val="0"/>
          <w:marBottom w:val="0"/>
          <w:divBdr>
            <w:top w:val="none" w:sz="0" w:space="0" w:color="auto"/>
            <w:left w:val="none" w:sz="0" w:space="0" w:color="auto"/>
            <w:bottom w:val="none" w:sz="0" w:space="0" w:color="auto"/>
            <w:right w:val="none" w:sz="0" w:space="0" w:color="auto"/>
          </w:divBdr>
        </w:div>
        <w:div w:id="1349286799">
          <w:marLeft w:val="480"/>
          <w:marRight w:val="0"/>
          <w:marTop w:val="0"/>
          <w:marBottom w:val="0"/>
          <w:divBdr>
            <w:top w:val="none" w:sz="0" w:space="0" w:color="auto"/>
            <w:left w:val="none" w:sz="0" w:space="0" w:color="auto"/>
            <w:bottom w:val="none" w:sz="0" w:space="0" w:color="auto"/>
            <w:right w:val="none" w:sz="0" w:space="0" w:color="auto"/>
          </w:divBdr>
        </w:div>
        <w:div w:id="1438716079">
          <w:marLeft w:val="480"/>
          <w:marRight w:val="0"/>
          <w:marTop w:val="0"/>
          <w:marBottom w:val="0"/>
          <w:divBdr>
            <w:top w:val="none" w:sz="0" w:space="0" w:color="auto"/>
            <w:left w:val="none" w:sz="0" w:space="0" w:color="auto"/>
            <w:bottom w:val="none" w:sz="0" w:space="0" w:color="auto"/>
            <w:right w:val="none" w:sz="0" w:space="0" w:color="auto"/>
          </w:divBdr>
        </w:div>
        <w:div w:id="82652213">
          <w:marLeft w:val="480"/>
          <w:marRight w:val="0"/>
          <w:marTop w:val="0"/>
          <w:marBottom w:val="0"/>
          <w:divBdr>
            <w:top w:val="none" w:sz="0" w:space="0" w:color="auto"/>
            <w:left w:val="none" w:sz="0" w:space="0" w:color="auto"/>
            <w:bottom w:val="none" w:sz="0" w:space="0" w:color="auto"/>
            <w:right w:val="none" w:sz="0" w:space="0" w:color="auto"/>
          </w:divBdr>
        </w:div>
        <w:div w:id="1200358115">
          <w:marLeft w:val="480"/>
          <w:marRight w:val="0"/>
          <w:marTop w:val="0"/>
          <w:marBottom w:val="0"/>
          <w:divBdr>
            <w:top w:val="none" w:sz="0" w:space="0" w:color="auto"/>
            <w:left w:val="none" w:sz="0" w:space="0" w:color="auto"/>
            <w:bottom w:val="none" w:sz="0" w:space="0" w:color="auto"/>
            <w:right w:val="none" w:sz="0" w:space="0" w:color="auto"/>
          </w:divBdr>
        </w:div>
        <w:div w:id="1766615031">
          <w:marLeft w:val="480"/>
          <w:marRight w:val="0"/>
          <w:marTop w:val="0"/>
          <w:marBottom w:val="0"/>
          <w:divBdr>
            <w:top w:val="none" w:sz="0" w:space="0" w:color="auto"/>
            <w:left w:val="none" w:sz="0" w:space="0" w:color="auto"/>
            <w:bottom w:val="none" w:sz="0" w:space="0" w:color="auto"/>
            <w:right w:val="none" w:sz="0" w:space="0" w:color="auto"/>
          </w:divBdr>
        </w:div>
        <w:div w:id="2053267031">
          <w:marLeft w:val="480"/>
          <w:marRight w:val="0"/>
          <w:marTop w:val="0"/>
          <w:marBottom w:val="0"/>
          <w:divBdr>
            <w:top w:val="none" w:sz="0" w:space="0" w:color="auto"/>
            <w:left w:val="none" w:sz="0" w:space="0" w:color="auto"/>
            <w:bottom w:val="none" w:sz="0" w:space="0" w:color="auto"/>
            <w:right w:val="none" w:sz="0" w:space="0" w:color="auto"/>
          </w:divBdr>
        </w:div>
        <w:div w:id="1883981542">
          <w:marLeft w:val="480"/>
          <w:marRight w:val="0"/>
          <w:marTop w:val="0"/>
          <w:marBottom w:val="0"/>
          <w:divBdr>
            <w:top w:val="none" w:sz="0" w:space="0" w:color="auto"/>
            <w:left w:val="none" w:sz="0" w:space="0" w:color="auto"/>
            <w:bottom w:val="none" w:sz="0" w:space="0" w:color="auto"/>
            <w:right w:val="none" w:sz="0" w:space="0" w:color="auto"/>
          </w:divBdr>
        </w:div>
        <w:div w:id="1777679257">
          <w:marLeft w:val="480"/>
          <w:marRight w:val="0"/>
          <w:marTop w:val="0"/>
          <w:marBottom w:val="0"/>
          <w:divBdr>
            <w:top w:val="none" w:sz="0" w:space="0" w:color="auto"/>
            <w:left w:val="none" w:sz="0" w:space="0" w:color="auto"/>
            <w:bottom w:val="none" w:sz="0" w:space="0" w:color="auto"/>
            <w:right w:val="none" w:sz="0" w:space="0" w:color="auto"/>
          </w:divBdr>
        </w:div>
        <w:div w:id="769081447">
          <w:marLeft w:val="480"/>
          <w:marRight w:val="0"/>
          <w:marTop w:val="0"/>
          <w:marBottom w:val="0"/>
          <w:divBdr>
            <w:top w:val="none" w:sz="0" w:space="0" w:color="auto"/>
            <w:left w:val="none" w:sz="0" w:space="0" w:color="auto"/>
            <w:bottom w:val="none" w:sz="0" w:space="0" w:color="auto"/>
            <w:right w:val="none" w:sz="0" w:space="0" w:color="auto"/>
          </w:divBdr>
        </w:div>
        <w:div w:id="1400052726">
          <w:marLeft w:val="480"/>
          <w:marRight w:val="0"/>
          <w:marTop w:val="0"/>
          <w:marBottom w:val="0"/>
          <w:divBdr>
            <w:top w:val="none" w:sz="0" w:space="0" w:color="auto"/>
            <w:left w:val="none" w:sz="0" w:space="0" w:color="auto"/>
            <w:bottom w:val="none" w:sz="0" w:space="0" w:color="auto"/>
            <w:right w:val="none" w:sz="0" w:space="0" w:color="auto"/>
          </w:divBdr>
        </w:div>
        <w:div w:id="537280585">
          <w:marLeft w:val="480"/>
          <w:marRight w:val="0"/>
          <w:marTop w:val="0"/>
          <w:marBottom w:val="0"/>
          <w:divBdr>
            <w:top w:val="none" w:sz="0" w:space="0" w:color="auto"/>
            <w:left w:val="none" w:sz="0" w:space="0" w:color="auto"/>
            <w:bottom w:val="none" w:sz="0" w:space="0" w:color="auto"/>
            <w:right w:val="none" w:sz="0" w:space="0" w:color="auto"/>
          </w:divBdr>
        </w:div>
        <w:div w:id="2122874421">
          <w:marLeft w:val="480"/>
          <w:marRight w:val="0"/>
          <w:marTop w:val="0"/>
          <w:marBottom w:val="0"/>
          <w:divBdr>
            <w:top w:val="none" w:sz="0" w:space="0" w:color="auto"/>
            <w:left w:val="none" w:sz="0" w:space="0" w:color="auto"/>
            <w:bottom w:val="none" w:sz="0" w:space="0" w:color="auto"/>
            <w:right w:val="none" w:sz="0" w:space="0" w:color="auto"/>
          </w:divBdr>
        </w:div>
        <w:div w:id="1529562600">
          <w:marLeft w:val="480"/>
          <w:marRight w:val="0"/>
          <w:marTop w:val="0"/>
          <w:marBottom w:val="0"/>
          <w:divBdr>
            <w:top w:val="none" w:sz="0" w:space="0" w:color="auto"/>
            <w:left w:val="none" w:sz="0" w:space="0" w:color="auto"/>
            <w:bottom w:val="none" w:sz="0" w:space="0" w:color="auto"/>
            <w:right w:val="none" w:sz="0" w:space="0" w:color="auto"/>
          </w:divBdr>
        </w:div>
        <w:div w:id="575163719">
          <w:marLeft w:val="480"/>
          <w:marRight w:val="0"/>
          <w:marTop w:val="0"/>
          <w:marBottom w:val="0"/>
          <w:divBdr>
            <w:top w:val="none" w:sz="0" w:space="0" w:color="auto"/>
            <w:left w:val="none" w:sz="0" w:space="0" w:color="auto"/>
            <w:bottom w:val="none" w:sz="0" w:space="0" w:color="auto"/>
            <w:right w:val="none" w:sz="0" w:space="0" w:color="auto"/>
          </w:divBdr>
        </w:div>
        <w:div w:id="729811846">
          <w:marLeft w:val="480"/>
          <w:marRight w:val="0"/>
          <w:marTop w:val="0"/>
          <w:marBottom w:val="0"/>
          <w:divBdr>
            <w:top w:val="none" w:sz="0" w:space="0" w:color="auto"/>
            <w:left w:val="none" w:sz="0" w:space="0" w:color="auto"/>
            <w:bottom w:val="none" w:sz="0" w:space="0" w:color="auto"/>
            <w:right w:val="none" w:sz="0" w:space="0" w:color="auto"/>
          </w:divBdr>
        </w:div>
        <w:div w:id="956181873">
          <w:marLeft w:val="480"/>
          <w:marRight w:val="0"/>
          <w:marTop w:val="0"/>
          <w:marBottom w:val="0"/>
          <w:divBdr>
            <w:top w:val="none" w:sz="0" w:space="0" w:color="auto"/>
            <w:left w:val="none" w:sz="0" w:space="0" w:color="auto"/>
            <w:bottom w:val="none" w:sz="0" w:space="0" w:color="auto"/>
            <w:right w:val="none" w:sz="0" w:space="0" w:color="auto"/>
          </w:divBdr>
        </w:div>
        <w:div w:id="599022114">
          <w:marLeft w:val="480"/>
          <w:marRight w:val="0"/>
          <w:marTop w:val="0"/>
          <w:marBottom w:val="0"/>
          <w:divBdr>
            <w:top w:val="none" w:sz="0" w:space="0" w:color="auto"/>
            <w:left w:val="none" w:sz="0" w:space="0" w:color="auto"/>
            <w:bottom w:val="none" w:sz="0" w:space="0" w:color="auto"/>
            <w:right w:val="none" w:sz="0" w:space="0" w:color="auto"/>
          </w:divBdr>
        </w:div>
        <w:div w:id="1156383527">
          <w:marLeft w:val="480"/>
          <w:marRight w:val="0"/>
          <w:marTop w:val="0"/>
          <w:marBottom w:val="0"/>
          <w:divBdr>
            <w:top w:val="none" w:sz="0" w:space="0" w:color="auto"/>
            <w:left w:val="none" w:sz="0" w:space="0" w:color="auto"/>
            <w:bottom w:val="none" w:sz="0" w:space="0" w:color="auto"/>
            <w:right w:val="none" w:sz="0" w:space="0" w:color="auto"/>
          </w:divBdr>
        </w:div>
        <w:div w:id="1839034242">
          <w:marLeft w:val="480"/>
          <w:marRight w:val="0"/>
          <w:marTop w:val="0"/>
          <w:marBottom w:val="0"/>
          <w:divBdr>
            <w:top w:val="none" w:sz="0" w:space="0" w:color="auto"/>
            <w:left w:val="none" w:sz="0" w:space="0" w:color="auto"/>
            <w:bottom w:val="none" w:sz="0" w:space="0" w:color="auto"/>
            <w:right w:val="none" w:sz="0" w:space="0" w:color="auto"/>
          </w:divBdr>
        </w:div>
        <w:div w:id="278688535">
          <w:marLeft w:val="480"/>
          <w:marRight w:val="0"/>
          <w:marTop w:val="0"/>
          <w:marBottom w:val="0"/>
          <w:divBdr>
            <w:top w:val="none" w:sz="0" w:space="0" w:color="auto"/>
            <w:left w:val="none" w:sz="0" w:space="0" w:color="auto"/>
            <w:bottom w:val="none" w:sz="0" w:space="0" w:color="auto"/>
            <w:right w:val="none" w:sz="0" w:space="0" w:color="auto"/>
          </w:divBdr>
        </w:div>
        <w:div w:id="1660497549">
          <w:marLeft w:val="480"/>
          <w:marRight w:val="0"/>
          <w:marTop w:val="0"/>
          <w:marBottom w:val="0"/>
          <w:divBdr>
            <w:top w:val="none" w:sz="0" w:space="0" w:color="auto"/>
            <w:left w:val="none" w:sz="0" w:space="0" w:color="auto"/>
            <w:bottom w:val="none" w:sz="0" w:space="0" w:color="auto"/>
            <w:right w:val="none" w:sz="0" w:space="0" w:color="auto"/>
          </w:divBdr>
        </w:div>
        <w:div w:id="2078631592">
          <w:marLeft w:val="480"/>
          <w:marRight w:val="0"/>
          <w:marTop w:val="0"/>
          <w:marBottom w:val="0"/>
          <w:divBdr>
            <w:top w:val="none" w:sz="0" w:space="0" w:color="auto"/>
            <w:left w:val="none" w:sz="0" w:space="0" w:color="auto"/>
            <w:bottom w:val="none" w:sz="0" w:space="0" w:color="auto"/>
            <w:right w:val="none" w:sz="0" w:space="0" w:color="auto"/>
          </w:divBdr>
        </w:div>
        <w:div w:id="1433281301">
          <w:marLeft w:val="480"/>
          <w:marRight w:val="0"/>
          <w:marTop w:val="0"/>
          <w:marBottom w:val="0"/>
          <w:divBdr>
            <w:top w:val="none" w:sz="0" w:space="0" w:color="auto"/>
            <w:left w:val="none" w:sz="0" w:space="0" w:color="auto"/>
            <w:bottom w:val="none" w:sz="0" w:space="0" w:color="auto"/>
            <w:right w:val="none" w:sz="0" w:space="0" w:color="auto"/>
          </w:divBdr>
        </w:div>
        <w:div w:id="380251744">
          <w:marLeft w:val="480"/>
          <w:marRight w:val="0"/>
          <w:marTop w:val="0"/>
          <w:marBottom w:val="0"/>
          <w:divBdr>
            <w:top w:val="none" w:sz="0" w:space="0" w:color="auto"/>
            <w:left w:val="none" w:sz="0" w:space="0" w:color="auto"/>
            <w:bottom w:val="none" w:sz="0" w:space="0" w:color="auto"/>
            <w:right w:val="none" w:sz="0" w:space="0" w:color="auto"/>
          </w:divBdr>
        </w:div>
        <w:div w:id="157312103">
          <w:marLeft w:val="480"/>
          <w:marRight w:val="0"/>
          <w:marTop w:val="0"/>
          <w:marBottom w:val="0"/>
          <w:divBdr>
            <w:top w:val="none" w:sz="0" w:space="0" w:color="auto"/>
            <w:left w:val="none" w:sz="0" w:space="0" w:color="auto"/>
            <w:bottom w:val="none" w:sz="0" w:space="0" w:color="auto"/>
            <w:right w:val="none" w:sz="0" w:space="0" w:color="auto"/>
          </w:divBdr>
        </w:div>
        <w:div w:id="1963921582">
          <w:marLeft w:val="480"/>
          <w:marRight w:val="0"/>
          <w:marTop w:val="0"/>
          <w:marBottom w:val="0"/>
          <w:divBdr>
            <w:top w:val="none" w:sz="0" w:space="0" w:color="auto"/>
            <w:left w:val="none" w:sz="0" w:space="0" w:color="auto"/>
            <w:bottom w:val="none" w:sz="0" w:space="0" w:color="auto"/>
            <w:right w:val="none" w:sz="0" w:space="0" w:color="auto"/>
          </w:divBdr>
        </w:div>
        <w:div w:id="1264917100">
          <w:marLeft w:val="480"/>
          <w:marRight w:val="0"/>
          <w:marTop w:val="0"/>
          <w:marBottom w:val="0"/>
          <w:divBdr>
            <w:top w:val="none" w:sz="0" w:space="0" w:color="auto"/>
            <w:left w:val="none" w:sz="0" w:space="0" w:color="auto"/>
            <w:bottom w:val="none" w:sz="0" w:space="0" w:color="auto"/>
            <w:right w:val="none" w:sz="0" w:space="0" w:color="auto"/>
          </w:divBdr>
        </w:div>
        <w:div w:id="1082684679">
          <w:marLeft w:val="480"/>
          <w:marRight w:val="0"/>
          <w:marTop w:val="0"/>
          <w:marBottom w:val="0"/>
          <w:divBdr>
            <w:top w:val="none" w:sz="0" w:space="0" w:color="auto"/>
            <w:left w:val="none" w:sz="0" w:space="0" w:color="auto"/>
            <w:bottom w:val="none" w:sz="0" w:space="0" w:color="auto"/>
            <w:right w:val="none" w:sz="0" w:space="0" w:color="auto"/>
          </w:divBdr>
        </w:div>
      </w:divsChild>
    </w:div>
    <w:div w:id="1040082769">
      <w:bodyDiv w:val="1"/>
      <w:marLeft w:val="0"/>
      <w:marRight w:val="0"/>
      <w:marTop w:val="0"/>
      <w:marBottom w:val="0"/>
      <w:divBdr>
        <w:top w:val="none" w:sz="0" w:space="0" w:color="auto"/>
        <w:left w:val="none" w:sz="0" w:space="0" w:color="auto"/>
        <w:bottom w:val="none" w:sz="0" w:space="0" w:color="auto"/>
        <w:right w:val="none" w:sz="0" w:space="0" w:color="auto"/>
      </w:divBdr>
    </w:div>
    <w:div w:id="1040476236">
      <w:bodyDiv w:val="1"/>
      <w:marLeft w:val="0"/>
      <w:marRight w:val="0"/>
      <w:marTop w:val="0"/>
      <w:marBottom w:val="0"/>
      <w:divBdr>
        <w:top w:val="none" w:sz="0" w:space="0" w:color="auto"/>
        <w:left w:val="none" w:sz="0" w:space="0" w:color="auto"/>
        <w:bottom w:val="none" w:sz="0" w:space="0" w:color="auto"/>
        <w:right w:val="none" w:sz="0" w:space="0" w:color="auto"/>
      </w:divBdr>
    </w:div>
    <w:div w:id="1041050708">
      <w:bodyDiv w:val="1"/>
      <w:marLeft w:val="0"/>
      <w:marRight w:val="0"/>
      <w:marTop w:val="0"/>
      <w:marBottom w:val="0"/>
      <w:divBdr>
        <w:top w:val="none" w:sz="0" w:space="0" w:color="auto"/>
        <w:left w:val="none" w:sz="0" w:space="0" w:color="auto"/>
        <w:bottom w:val="none" w:sz="0" w:space="0" w:color="auto"/>
        <w:right w:val="none" w:sz="0" w:space="0" w:color="auto"/>
      </w:divBdr>
    </w:div>
    <w:div w:id="1041175019">
      <w:bodyDiv w:val="1"/>
      <w:marLeft w:val="0"/>
      <w:marRight w:val="0"/>
      <w:marTop w:val="0"/>
      <w:marBottom w:val="0"/>
      <w:divBdr>
        <w:top w:val="none" w:sz="0" w:space="0" w:color="auto"/>
        <w:left w:val="none" w:sz="0" w:space="0" w:color="auto"/>
        <w:bottom w:val="none" w:sz="0" w:space="0" w:color="auto"/>
        <w:right w:val="none" w:sz="0" w:space="0" w:color="auto"/>
      </w:divBdr>
    </w:div>
    <w:div w:id="1041243815">
      <w:bodyDiv w:val="1"/>
      <w:marLeft w:val="0"/>
      <w:marRight w:val="0"/>
      <w:marTop w:val="0"/>
      <w:marBottom w:val="0"/>
      <w:divBdr>
        <w:top w:val="none" w:sz="0" w:space="0" w:color="auto"/>
        <w:left w:val="none" w:sz="0" w:space="0" w:color="auto"/>
        <w:bottom w:val="none" w:sz="0" w:space="0" w:color="auto"/>
        <w:right w:val="none" w:sz="0" w:space="0" w:color="auto"/>
      </w:divBdr>
    </w:div>
    <w:div w:id="1041248174">
      <w:bodyDiv w:val="1"/>
      <w:marLeft w:val="0"/>
      <w:marRight w:val="0"/>
      <w:marTop w:val="0"/>
      <w:marBottom w:val="0"/>
      <w:divBdr>
        <w:top w:val="none" w:sz="0" w:space="0" w:color="auto"/>
        <w:left w:val="none" w:sz="0" w:space="0" w:color="auto"/>
        <w:bottom w:val="none" w:sz="0" w:space="0" w:color="auto"/>
        <w:right w:val="none" w:sz="0" w:space="0" w:color="auto"/>
      </w:divBdr>
    </w:div>
    <w:div w:id="1042288764">
      <w:bodyDiv w:val="1"/>
      <w:marLeft w:val="0"/>
      <w:marRight w:val="0"/>
      <w:marTop w:val="0"/>
      <w:marBottom w:val="0"/>
      <w:divBdr>
        <w:top w:val="none" w:sz="0" w:space="0" w:color="auto"/>
        <w:left w:val="none" w:sz="0" w:space="0" w:color="auto"/>
        <w:bottom w:val="none" w:sz="0" w:space="0" w:color="auto"/>
        <w:right w:val="none" w:sz="0" w:space="0" w:color="auto"/>
      </w:divBdr>
    </w:div>
    <w:div w:id="1042678805">
      <w:bodyDiv w:val="1"/>
      <w:marLeft w:val="0"/>
      <w:marRight w:val="0"/>
      <w:marTop w:val="0"/>
      <w:marBottom w:val="0"/>
      <w:divBdr>
        <w:top w:val="none" w:sz="0" w:space="0" w:color="auto"/>
        <w:left w:val="none" w:sz="0" w:space="0" w:color="auto"/>
        <w:bottom w:val="none" w:sz="0" w:space="0" w:color="auto"/>
        <w:right w:val="none" w:sz="0" w:space="0" w:color="auto"/>
      </w:divBdr>
    </w:div>
    <w:div w:id="1042941074">
      <w:bodyDiv w:val="1"/>
      <w:marLeft w:val="0"/>
      <w:marRight w:val="0"/>
      <w:marTop w:val="0"/>
      <w:marBottom w:val="0"/>
      <w:divBdr>
        <w:top w:val="none" w:sz="0" w:space="0" w:color="auto"/>
        <w:left w:val="none" w:sz="0" w:space="0" w:color="auto"/>
        <w:bottom w:val="none" w:sz="0" w:space="0" w:color="auto"/>
        <w:right w:val="none" w:sz="0" w:space="0" w:color="auto"/>
      </w:divBdr>
    </w:div>
    <w:div w:id="1043411152">
      <w:bodyDiv w:val="1"/>
      <w:marLeft w:val="0"/>
      <w:marRight w:val="0"/>
      <w:marTop w:val="0"/>
      <w:marBottom w:val="0"/>
      <w:divBdr>
        <w:top w:val="none" w:sz="0" w:space="0" w:color="auto"/>
        <w:left w:val="none" w:sz="0" w:space="0" w:color="auto"/>
        <w:bottom w:val="none" w:sz="0" w:space="0" w:color="auto"/>
        <w:right w:val="none" w:sz="0" w:space="0" w:color="auto"/>
      </w:divBdr>
    </w:div>
    <w:div w:id="1043557858">
      <w:bodyDiv w:val="1"/>
      <w:marLeft w:val="0"/>
      <w:marRight w:val="0"/>
      <w:marTop w:val="0"/>
      <w:marBottom w:val="0"/>
      <w:divBdr>
        <w:top w:val="none" w:sz="0" w:space="0" w:color="auto"/>
        <w:left w:val="none" w:sz="0" w:space="0" w:color="auto"/>
        <w:bottom w:val="none" w:sz="0" w:space="0" w:color="auto"/>
        <w:right w:val="none" w:sz="0" w:space="0" w:color="auto"/>
      </w:divBdr>
    </w:div>
    <w:div w:id="1044477028">
      <w:bodyDiv w:val="1"/>
      <w:marLeft w:val="0"/>
      <w:marRight w:val="0"/>
      <w:marTop w:val="0"/>
      <w:marBottom w:val="0"/>
      <w:divBdr>
        <w:top w:val="none" w:sz="0" w:space="0" w:color="auto"/>
        <w:left w:val="none" w:sz="0" w:space="0" w:color="auto"/>
        <w:bottom w:val="none" w:sz="0" w:space="0" w:color="auto"/>
        <w:right w:val="none" w:sz="0" w:space="0" w:color="auto"/>
      </w:divBdr>
    </w:div>
    <w:div w:id="1044523650">
      <w:bodyDiv w:val="1"/>
      <w:marLeft w:val="0"/>
      <w:marRight w:val="0"/>
      <w:marTop w:val="0"/>
      <w:marBottom w:val="0"/>
      <w:divBdr>
        <w:top w:val="none" w:sz="0" w:space="0" w:color="auto"/>
        <w:left w:val="none" w:sz="0" w:space="0" w:color="auto"/>
        <w:bottom w:val="none" w:sz="0" w:space="0" w:color="auto"/>
        <w:right w:val="none" w:sz="0" w:space="0" w:color="auto"/>
      </w:divBdr>
    </w:div>
    <w:div w:id="1045377014">
      <w:bodyDiv w:val="1"/>
      <w:marLeft w:val="0"/>
      <w:marRight w:val="0"/>
      <w:marTop w:val="0"/>
      <w:marBottom w:val="0"/>
      <w:divBdr>
        <w:top w:val="none" w:sz="0" w:space="0" w:color="auto"/>
        <w:left w:val="none" w:sz="0" w:space="0" w:color="auto"/>
        <w:bottom w:val="none" w:sz="0" w:space="0" w:color="auto"/>
        <w:right w:val="none" w:sz="0" w:space="0" w:color="auto"/>
      </w:divBdr>
    </w:div>
    <w:div w:id="1045567506">
      <w:bodyDiv w:val="1"/>
      <w:marLeft w:val="0"/>
      <w:marRight w:val="0"/>
      <w:marTop w:val="0"/>
      <w:marBottom w:val="0"/>
      <w:divBdr>
        <w:top w:val="none" w:sz="0" w:space="0" w:color="auto"/>
        <w:left w:val="none" w:sz="0" w:space="0" w:color="auto"/>
        <w:bottom w:val="none" w:sz="0" w:space="0" w:color="auto"/>
        <w:right w:val="none" w:sz="0" w:space="0" w:color="auto"/>
      </w:divBdr>
    </w:div>
    <w:div w:id="1046025191">
      <w:bodyDiv w:val="1"/>
      <w:marLeft w:val="0"/>
      <w:marRight w:val="0"/>
      <w:marTop w:val="0"/>
      <w:marBottom w:val="0"/>
      <w:divBdr>
        <w:top w:val="none" w:sz="0" w:space="0" w:color="auto"/>
        <w:left w:val="none" w:sz="0" w:space="0" w:color="auto"/>
        <w:bottom w:val="none" w:sz="0" w:space="0" w:color="auto"/>
        <w:right w:val="none" w:sz="0" w:space="0" w:color="auto"/>
      </w:divBdr>
    </w:div>
    <w:div w:id="1046030630">
      <w:bodyDiv w:val="1"/>
      <w:marLeft w:val="0"/>
      <w:marRight w:val="0"/>
      <w:marTop w:val="0"/>
      <w:marBottom w:val="0"/>
      <w:divBdr>
        <w:top w:val="none" w:sz="0" w:space="0" w:color="auto"/>
        <w:left w:val="none" w:sz="0" w:space="0" w:color="auto"/>
        <w:bottom w:val="none" w:sz="0" w:space="0" w:color="auto"/>
        <w:right w:val="none" w:sz="0" w:space="0" w:color="auto"/>
      </w:divBdr>
    </w:div>
    <w:div w:id="1046104137">
      <w:bodyDiv w:val="1"/>
      <w:marLeft w:val="0"/>
      <w:marRight w:val="0"/>
      <w:marTop w:val="0"/>
      <w:marBottom w:val="0"/>
      <w:divBdr>
        <w:top w:val="none" w:sz="0" w:space="0" w:color="auto"/>
        <w:left w:val="none" w:sz="0" w:space="0" w:color="auto"/>
        <w:bottom w:val="none" w:sz="0" w:space="0" w:color="auto"/>
        <w:right w:val="none" w:sz="0" w:space="0" w:color="auto"/>
      </w:divBdr>
    </w:div>
    <w:div w:id="1046445108">
      <w:bodyDiv w:val="1"/>
      <w:marLeft w:val="0"/>
      <w:marRight w:val="0"/>
      <w:marTop w:val="0"/>
      <w:marBottom w:val="0"/>
      <w:divBdr>
        <w:top w:val="none" w:sz="0" w:space="0" w:color="auto"/>
        <w:left w:val="none" w:sz="0" w:space="0" w:color="auto"/>
        <w:bottom w:val="none" w:sz="0" w:space="0" w:color="auto"/>
        <w:right w:val="none" w:sz="0" w:space="0" w:color="auto"/>
      </w:divBdr>
    </w:div>
    <w:div w:id="1046641532">
      <w:bodyDiv w:val="1"/>
      <w:marLeft w:val="0"/>
      <w:marRight w:val="0"/>
      <w:marTop w:val="0"/>
      <w:marBottom w:val="0"/>
      <w:divBdr>
        <w:top w:val="none" w:sz="0" w:space="0" w:color="auto"/>
        <w:left w:val="none" w:sz="0" w:space="0" w:color="auto"/>
        <w:bottom w:val="none" w:sz="0" w:space="0" w:color="auto"/>
        <w:right w:val="none" w:sz="0" w:space="0" w:color="auto"/>
      </w:divBdr>
      <w:divsChild>
        <w:div w:id="1718042440">
          <w:marLeft w:val="480"/>
          <w:marRight w:val="0"/>
          <w:marTop w:val="0"/>
          <w:marBottom w:val="0"/>
          <w:divBdr>
            <w:top w:val="none" w:sz="0" w:space="0" w:color="auto"/>
            <w:left w:val="none" w:sz="0" w:space="0" w:color="auto"/>
            <w:bottom w:val="none" w:sz="0" w:space="0" w:color="auto"/>
            <w:right w:val="none" w:sz="0" w:space="0" w:color="auto"/>
          </w:divBdr>
        </w:div>
        <w:div w:id="54276534">
          <w:marLeft w:val="480"/>
          <w:marRight w:val="0"/>
          <w:marTop w:val="0"/>
          <w:marBottom w:val="0"/>
          <w:divBdr>
            <w:top w:val="none" w:sz="0" w:space="0" w:color="auto"/>
            <w:left w:val="none" w:sz="0" w:space="0" w:color="auto"/>
            <w:bottom w:val="none" w:sz="0" w:space="0" w:color="auto"/>
            <w:right w:val="none" w:sz="0" w:space="0" w:color="auto"/>
          </w:divBdr>
        </w:div>
        <w:div w:id="1005205885">
          <w:marLeft w:val="480"/>
          <w:marRight w:val="0"/>
          <w:marTop w:val="0"/>
          <w:marBottom w:val="0"/>
          <w:divBdr>
            <w:top w:val="none" w:sz="0" w:space="0" w:color="auto"/>
            <w:left w:val="none" w:sz="0" w:space="0" w:color="auto"/>
            <w:bottom w:val="none" w:sz="0" w:space="0" w:color="auto"/>
            <w:right w:val="none" w:sz="0" w:space="0" w:color="auto"/>
          </w:divBdr>
        </w:div>
        <w:div w:id="1666515527">
          <w:marLeft w:val="480"/>
          <w:marRight w:val="0"/>
          <w:marTop w:val="0"/>
          <w:marBottom w:val="0"/>
          <w:divBdr>
            <w:top w:val="none" w:sz="0" w:space="0" w:color="auto"/>
            <w:left w:val="none" w:sz="0" w:space="0" w:color="auto"/>
            <w:bottom w:val="none" w:sz="0" w:space="0" w:color="auto"/>
            <w:right w:val="none" w:sz="0" w:space="0" w:color="auto"/>
          </w:divBdr>
        </w:div>
        <w:div w:id="702901671">
          <w:marLeft w:val="480"/>
          <w:marRight w:val="0"/>
          <w:marTop w:val="0"/>
          <w:marBottom w:val="0"/>
          <w:divBdr>
            <w:top w:val="none" w:sz="0" w:space="0" w:color="auto"/>
            <w:left w:val="none" w:sz="0" w:space="0" w:color="auto"/>
            <w:bottom w:val="none" w:sz="0" w:space="0" w:color="auto"/>
            <w:right w:val="none" w:sz="0" w:space="0" w:color="auto"/>
          </w:divBdr>
        </w:div>
        <w:div w:id="327754334">
          <w:marLeft w:val="480"/>
          <w:marRight w:val="0"/>
          <w:marTop w:val="0"/>
          <w:marBottom w:val="0"/>
          <w:divBdr>
            <w:top w:val="none" w:sz="0" w:space="0" w:color="auto"/>
            <w:left w:val="none" w:sz="0" w:space="0" w:color="auto"/>
            <w:bottom w:val="none" w:sz="0" w:space="0" w:color="auto"/>
            <w:right w:val="none" w:sz="0" w:space="0" w:color="auto"/>
          </w:divBdr>
        </w:div>
        <w:div w:id="792527071">
          <w:marLeft w:val="480"/>
          <w:marRight w:val="0"/>
          <w:marTop w:val="0"/>
          <w:marBottom w:val="0"/>
          <w:divBdr>
            <w:top w:val="none" w:sz="0" w:space="0" w:color="auto"/>
            <w:left w:val="none" w:sz="0" w:space="0" w:color="auto"/>
            <w:bottom w:val="none" w:sz="0" w:space="0" w:color="auto"/>
            <w:right w:val="none" w:sz="0" w:space="0" w:color="auto"/>
          </w:divBdr>
        </w:div>
        <w:div w:id="79328011">
          <w:marLeft w:val="480"/>
          <w:marRight w:val="0"/>
          <w:marTop w:val="0"/>
          <w:marBottom w:val="0"/>
          <w:divBdr>
            <w:top w:val="none" w:sz="0" w:space="0" w:color="auto"/>
            <w:left w:val="none" w:sz="0" w:space="0" w:color="auto"/>
            <w:bottom w:val="none" w:sz="0" w:space="0" w:color="auto"/>
            <w:right w:val="none" w:sz="0" w:space="0" w:color="auto"/>
          </w:divBdr>
        </w:div>
        <w:div w:id="1818913580">
          <w:marLeft w:val="480"/>
          <w:marRight w:val="0"/>
          <w:marTop w:val="0"/>
          <w:marBottom w:val="0"/>
          <w:divBdr>
            <w:top w:val="none" w:sz="0" w:space="0" w:color="auto"/>
            <w:left w:val="none" w:sz="0" w:space="0" w:color="auto"/>
            <w:bottom w:val="none" w:sz="0" w:space="0" w:color="auto"/>
            <w:right w:val="none" w:sz="0" w:space="0" w:color="auto"/>
          </w:divBdr>
        </w:div>
        <w:div w:id="450320951">
          <w:marLeft w:val="480"/>
          <w:marRight w:val="0"/>
          <w:marTop w:val="0"/>
          <w:marBottom w:val="0"/>
          <w:divBdr>
            <w:top w:val="none" w:sz="0" w:space="0" w:color="auto"/>
            <w:left w:val="none" w:sz="0" w:space="0" w:color="auto"/>
            <w:bottom w:val="none" w:sz="0" w:space="0" w:color="auto"/>
            <w:right w:val="none" w:sz="0" w:space="0" w:color="auto"/>
          </w:divBdr>
        </w:div>
        <w:div w:id="2042197458">
          <w:marLeft w:val="480"/>
          <w:marRight w:val="0"/>
          <w:marTop w:val="0"/>
          <w:marBottom w:val="0"/>
          <w:divBdr>
            <w:top w:val="none" w:sz="0" w:space="0" w:color="auto"/>
            <w:left w:val="none" w:sz="0" w:space="0" w:color="auto"/>
            <w:bottom w:val="none" w:sz="0" w:space="0" w:color="auto"/>
            <w:right w:val="none" w:sz="0" w:space="0" w:color="auto"/>
          </w:divBdr>
        </w:div>
        <w:div w:id="1711109610">
          <w:marLeft w:val="480"/>
          <w:marRight w:val="0"/>
          <w:marTop w:val="0"/>
          <w:marBottom w:val="0"/>
          <w:divBdr>
            <w:top w:val="none" w:sz="0" w:space="0" w:color="auto"/>
            <w:left w:val="none" w:sz="0" w:space="0" w:color="auto"/>
            <w:bottom w:val="none" w:sz="0" w:space="0" w:color="auto"/>
            <w:right w:val="none" w:sz="0" w:space="0" w:color="auto"/>
          </w:divBdr>
        </w:div>
        <w:div w:id="614752702">
          <w:marLeft w:val="480"/>
          <w:marRight w:val="0"/>
          <w:marTop w:val="0"/>
          <w:marBottom w:val="0"/>
          <w:divBdr>
            <w:top w:val="none" w:sz="0" w:space="0" w:color="auto"/>
            <w:left w:val="none" w:sz="0" w:space="0" w:color="auto"/>
            <w:bottom w:val="none" w:sz="0" w:space="0" w:color="auto"/>
            <w:right w:val="none" w:sz="0" w:space="0" w:color="auto"/>
          </w:divBdr>
        </w:div>
        <w:div w:id="2056001507">
          <w:marLeft w:val="480"/>
          <w:marRight w:val="0"/>
          <w:marTop w:val="0"/>
          <w:marBottom w:val="0"/>
          <w:divBdr>
            <w:top w:val="none" w:sz="0" w:space="0" w:color="auto"/>
            <w:left w:val="none" w:sz="0" w:space="0" w:color="auto"/>
            <w:bottom w:val="none" w:sz="0" w:space="0" w:color="auto"/>
            <w:right w:val="none" w:sz="0" w:space="0" w:color="auto"/>
          </w:divBdr>
        </w:div>
        <w:div w:id="1118331987">
          <w:marLeft w:val="480"/>
          <w:marRight w:val="0"/>
          <w:marTop w:val="0"/>
          <w:marBottom w:val="0"/>
          <w:divBdr>
            <w:top w:val="none" w:sz="0" w:space="0" w:color="auto"/>
            <w:left w:val="none" w:sz="0" w:space="0" w:color="auto"/>
            <w:bottom w:val="none" w:sz="0" w:space="0" w:color="auto"/>
            <w:right w:val="none" w:sz="0" w:space="0" w:color="auto"/>
          </w:divBdr>
        </w:div>
        <w:div w:id="1817263103">
          <w:marLeft w:val="480"/>
          <w:marRight w:val="0"/>
          <w:marTop w:val="0"/>
          <w:marBottom w:val="0"/>
          <w:divBdr>
            <w:top w:val="none" w:sz="0" w:space="0" w:color="auto"/>
            <w:left w:val="none" w:sz="0" w:space="0" w:color="auto"/>
            <w:bottom w:val="none" w:sz="0" w:space="0" w:color="auto"/>
            <w:right w:val="none" w:sz="0" w:space="0" w:color="auto"/>
          </w:divBdr>
        </w:div>
        <w:div w:id="1451123851">
          <w:marLeft w:val="480"/>
          <w:marRight w:val="0"/>
          <w:marTop w:val="0"/>
          <w:marBottom w:val="0"/>
          <w:divBdr>
            <w:top w:val="none" w:sz="0" w:space="0" w:color="auto"/>
            <w:left w:val="none" w:sz="0" w:space="0" w:color="auto"/>
            <w:bottom w:val="none" w:sz="0" w:space="0" w:color="auto"/>
            <w:right w:val="none" w:sz="0" w:space="0" w:color="auto"/>
          </w:divBdr>
        </w:div>
        <w:div w:id="1370379142">
          <w:marLeft w:val="480"/>
          <w:marRight w:val="0"/>
          <w:marTop w:val="0"/>
          <w:marBottom w:val="0"/>
          <w:divBdr>
            <w:top w:val="none" w:sz="0" w:space="0" w:color="auto"/>
            <w:left w:val="none" w:sz="0" w:space="0" w:color="auto"/>
            <w:bottom w:val="none" w:sz="0" w:space="0" w:color="auto"/>
            <w:right w:val="none" w:sz="0" w:space="0" w:color="auto"/>
          </w:divBdr>
        </w:div>
        <w:div w:id="522062197">
          <w:marLeft w:val="480"/>
          <w:marRight w:val="0"/>
          <w:marTop w:val="0"/>
          <w:marBottom w:val="0"/>
          <w:divBdr>
            <w:top w:val="none" w:sz="0" w:space="0" w:color="auto"/>
            <w:left w:val="none" w:sz="0" w:space="0" w:color="auto"/>
            <w:bottom w:val="none" w:sz="0" w:space="0" w:color="auto"/>
            <w:right w:val="none" w:sz="0" w:space="0" w:color="auto"/>
          </w:divBdr>
        </w:div>
        <w:div w:id="957175925">
          <w:marLeft w:val="480"/>
          <w:marRight w:val="0"/>
          <w:marTop w:val="0"/>
          <w:marBottom w:val="0"/>
          <w:divBdr>
            <w:top w:val="none" w:sz="0" w:space="0" w:color="auto"/>
            <w:left w:val="none" w:sz="0" w:space="0" w:color="auto"/>
            <w:bottom w:val="none" w:sz="0" w:space="0" w:color="auto"/>
            <w:right w:val="none" w:sz="0" w:space="0" w:color="auto"/>
          </w:divBdr>
        </w:div>
        <w:div w:id="1400716110">
          <w:marLeft w:val="480"/>
          <w:marRight w:val="0"/>
          <w:marTop w:val="0"/>
          <w:marBottom w:val="0"/>
          <w:divBdr>
            <w:top w:val="none" w:sz="0" w:space="0" w:color="auto"/>
            <w:left w:val="none" w:sz="0" w:space="0" w:color="auto"/>
            <w:bottom w:val="none" w:sz="0" w:space="0" w:color="auto"/>
            <w:right w:val="none" w:sz="0" w:space="0" w:color="auto"/>
          </w:divBdr>
        </w:div>
        <w:div w:id="1273131578">
          <w:marLeft w:val="480"/>
          <w:marRight w:val="0"/>
          <w:marTop w:val="0"/>
          <w:marBottom w:val="0"/>
          <w:divBdr>
            <w:top w:val="none" w:sz="0" w:space="0" w:color="auto"/>
            <w:left w:val="none" w:sz="0" w:space="0" w:color="auto"/>
            <w:bottom w:val="none" w:sz="0" w:space="0" w:color="auto"/>
            <w:right w:val="none" w:sz="0" w:space="0" w:color="auto"/>
          </w:divBdr>
        </w:div>
        <w:div w:id="1419450379">
          <w:marLeft w:val="480"/>
          <w:marRight w:val="0"/>
          <w:marTop w:val="0"/>
          <w:marBottom w:val="0"/>
          <w:divBdr>
            <w:top w:val="none" w:sz="0" w:space="0" w:color="auto"/>
            <w:left w:val="none" w:sz="0" w:space="0" w:color="auto"/>
            <w:bottom w:val="none" w:sz="0" w:space="0" w:color="auto"/>
            <w:right w:val="none" w:sz="0" w:space="0" w:color="auto"/>
          </w:divBdr>
        </w:div>
        <w:div w:id="852761141">
          <w:marLeft w:val="480"/>
          <w:marRight w:val="0"/>
          <w:marTop w:val="0"/>
          <w:marBottom w:val="0"/>
          <w:divBdr>
            <w:top w:val="none" w:sz="0" w:space="0" w:color="auto"/>
            <w:left w:val="none" w:sz="0" w:space="0" w:color="auto"/>
            <w:bottom w:val="none" w:sz="0" w:space="0" w:color="auto"/>
            <w:right w:val="none" w:sz="0" w:space="0" w:color="auto"/>
          </w:divBdr>
        </w:div>
        <w:div w:id="475146559">
          <w:marLeft w:val="480"/>
          <w:marRight w:val="0"/>
          <w:marTop w:val="0"/>
          <w:marBottom w:val="0"/>
          <w:divBdr>
            <w:top w:val="none" w:sz="0" w:space="0" w:color="auto"/>
            <w:left w:val="none" w:sz="0" w:space="0" w:color="auto"/>
            <w:bottom w:val="none" w:sz="0" w:space="0" w:color="auto"/>
            <w:right w:val="none" w:sz="0" w:space="0" w:color="auto"/>
          </w:divBdr>
        </w:div>
        <w:div w:id="899245992">
          <w:marLeft w:val="480"/>
          <w:marRight w:val="0"/>
          <w:marTop w:val="0"/>
          <w:marBottom w:val="0"/>
          <w:divBdr>
            <w:top w:val="none" w:sz="0" w:space="0" w:color="auto"/>
            <w:left w:val="none" w:sz="0" w:space="0" w:color="auto"/>
            <w:bottom w:val="none" w:sz="0" w:space="0" w:color="auto"/>
            <w:right w:val="none" w:sz="0" w:space="0" w:color="auto"/>
          </w:divBdr>
        </w:div>
        <w:div w:id="606347245">
          <w:marLeft w:val="480"/>
          <w:marRight w:val="0"/>
          <w:marTop w:val="0"/>
          <w:marBottom w:val="0"/>
          <w:divBdr>
            <w:top w:val="none" w:sz="0" w:space="0" w:color="auto"/>
            <w:left w:val="none" w:sz="0" w:space="0" w:color="auto"/>
            <w:bottom w:val="none" w:sz="0" w:space="0" w:color="auto"/>
            <w:right w:val="none" w:sz="0" w:space="0" w:color="auto"/>
          </w:divBdr>
        </w:div>
        <w:div w:id="1294291232">
          <w:marLeft w:val="480"/>
          <w:marRight w:val="0"/>
          <w:marTop w:val="0"/>
          <w:marBottom w:val="0"/>
          <w:divBdr>
            <w:top w:val="none" w:sz="0" w:space="0" w:color="auto"/>
            <w:left w:val="none" w:sz="0" w:space="0" w:color="auto"/>
            <w:bottom w:val="none" w:sz="0" w:space="0" w:color="auto"/>
            <w:right w:val="none" w:sz="0" w:space="0" w:color="auto"/>
          </w:divBdr>
        </w:div>
        <w:div w:id="160395935">
          <w:marLeft w:val="480"/>
          <w:marRight w:val="0"/>
          <w:marTop w:val="0"/>
          <w:marBottom w:val="0"/>
          <w:divBdr>
            <w:top w:val="none" w:sz="0" w:space="0" w:color="auto"/>
            <w:left w:val="none" w:sz="0" w:space="0" w:color="auto"/>
            <w:bottom w:val="none" w:sz="0" w:space="0" w:color="auto"/>
            <w:right w:val="none" w:sz="0" w:space="0" w:color="auto"/>
          </w:divBdr>
        </w:div>
        <w:div w:id="1211652274">
          <w:marLeft w:val="480"/>
          <w:marRight w:val="0"/>
          <w:marTop w:val="0"/>
          <w:marBottom w:val="0"/>
          <w:divBdr>
            <w:top w:val="none" w:sz="0" w:space="0" w:color="auto"/>
            <w:left w:val="none" w:sz="0" w:space="0" w:color="auto"/>
            <w:bottom w:val="none" w:sz="0" w:space="0" w:color="auto"/>
            <w:right w:val="none" w:sz="0" w:space="0" w:color="auto"/>
          </w:divBdr>
        </w:div>
        <w:div w:id="1900631093">
          <w:marLeft w:val="480"/>
          <w:marRight w:val="0"/>
          <w:marTop w:val="0"/>
          <w:marBottom w:val="0"/>
          <w:divBdr>
            <w:top w:val="none" w:sz="0" w:space="0" w:color="auto"/>
            <w:left w:val="none" w:sz="0" w:space="0" w:color="auto"/>
            <w:bottom w:val="none" w:sz="0" w:space="0" w:color="auto"/>
            <w:right w:val="none" w:sz="0" w:space="0" w:color="auto"/>
          </w:divBdr>
        </w:div>
        <w:div w:id="796067871">
          <w:marLeft w:val="480"/>
          <w:marRight w:val="0"/>
          <w:marTop w:val="0"/>
          <w:marBottom w:val="0"/>
          <w:divBdr>
            <w:top w:val="none" w:sz="0" w:space="0" w:color="auto"/>
            <w:left w:val="none" w:sz="0" w:space="0" w:color="auto"/>
            <w:bottom w:val="none" w:sz="0" w:space="0" w:color="auto"/>
            <w:right w:val="none" w:sz="0" w:space="0" w:color="auto"/>
          </w:divBdr>
        </w:div>
        <w:div w:id="2077623164">
          <w:marLeft w:val="480"/>
          <w:marRight w:val="0"/>
          <w:marTop w:val="0"/>
          <w:marBottom w:val="0"/>
          <w:divBdr>
            <w:top w:val="none" w:sz="0" w:space="0" w:color="auto"/>
            <w:left w:val="none" w:sz="0" w:space="0" w:color="auto"/>
            <w:bottom w:val="none" w:sz="0" w:space="0" w:color="auto"/>
            <w:right w:val="none" w:sz="0" w:space="0" w:color="auto"/>
          </w:divBdr>
        </w:div>
        <w:div w:id="1805610945">
          <w:marLeft w:val="480"/>
          <w:marRight w:val="0"/>
          <w:marTop w:val="0"/>
          <w:marBottom w:val="0"/>
          <w:divBdr>
            <w:top w:val="none" w:sz="0" w:space="0" w:color="auto"/>
            <w:left w:val="none" w:sz="0" w:space="0" w:color="auto"/>
            <w:bottom w:val="none" w:sz="0" w:space="0" w:color="auto"/>
            <w:right w:val="none" w:sz="0" w:space="0" w:color="auto"/>
          </w:divBdr>
        </w:div>
        <w:div w:id="1561819207">
          <w:marLeft w:val="480"/>
          <w:marRight w:val="0"/>
          <w:marTop w:val="0"/>
          <w:marBottom w:val="0"/>
          <w:divBdr>
            <w:top w:val="none" w:sz="0" w:space="0" w:color="auto"/>
            <w:left w:val="none" w:sz="0" w:space="0" w:color="auto"/>
            <w:bottom w:val="none" w:sz="0" w:space="0" w:color="auto"/>
            <w:right w:val="none" w:sz="0" w:space="0" w:color="auto"/>
          </w:divBdr>
        </w:div>
        <w:div w:id="688987963">
          <w:marLeft w:val="480"/>
          <w:marRight w:val="0"/>
          <w:marTop w:val="0"/>
          <w:marBottom w:val="0"/>
          <w:divBdr>
            <w:top w:val="none" w:sz="0" w:space="0" w:color="auto"/>
            <w:left w:val="none" w:sz="0" w:space="0" w:color="auto"/>
            <w:bottom w:val="none" w:sz="0" w:space="0" w:color="auto"/>
            <w:right w:val="none" w:sz="0" w:space="0" w:color="auto"/>
          </w:divBdr>
        </w:div>
        <w:div w:id="106052184">
          <w:marLeft w:val="480"/>
          <w:marRight w:val="0"/>
          <w:marTop w:val="0"/>
          <w:marBottom w:val="0"/>
          <w:divBdr>
            <w:top w:val="none" w:sz="0" w:space="0" w:color="auto"/>
            <w:left w:val="none" w:sz="0" w:space="0" w:color="auto"/>
            <w:bottom w:val="none" w:sz="0" w:space="0" w:color="auto"/>
            <w:right w:val="none" w:sz="0" w:space="0" w:color="auto"/>
          </w:divBdr>
        </w:div>
        <w:div w:id="1166476901">
          <w:marLeft w:val="480"/>
          <w:marRight w:val="0"/>
          <w:marTop w:val="0"/>
          <w:marBottom w:val="0"/>
          <w:divBdr>
            <w:top w:val="none" w:sz="0" w:space="0" w:color="auto"/>
            <w:left w:val="none" w:sz="0" w:space="0" w:color="auto"/>
            <w:bottom w:val="none" w:sz="0" w:space="0" w:color="auto"/>
            <w:right w:val="none" w:sz="0" w:space="0" w:color="auto"/>
          </w:divBdr>
        </w:div>
        <w:div w:id="1692147756">
          <w:marLeft w:val="480"/>
          <w:marRight w:val="0"/>
          <w:marTop w:val="0"/>
          <w:marBottom w:val="0"/>
          <w:divBdr>
            <w:top w:val="none" w:sz="0" w:space="0" w:color="auto"/>
            <w:left w:val="none" w:sz="0" w:space="0" w:color="auto"/>
            <w:bottom w:val="none" w:sz="0" w:space="0" w:color="auto"/>
            <w:right w:val="none" w:sz="0" w:space="0" w:color="auto"/>
          </w:divBdr>
        </w:div>
        <w:div w:id="326246527">
          <w:marLeft w:val="480"/>
          <w:marRight w:val="0"/>
          <w:marTop w:val="0"/>
          <w:marBottom w:val="0"/>
          <w:divBdr>
            <w:top w:val="none" w:sz="0" w:space="0" w:color="auto"/>
            <w:left w:val="none" w:sz="0" w:space="0" w:color="auto"/>
            <w:bottom w:val="none" w:sz="0" w:space="0" w:color="auto"/>
            <w:right w:val="none" w:sz="0" w:space="0" w:color="auto"/>
          </w:divBdr>
        </w:div>
        <w:div w:id="1819179544">
          <w:marLeft w:val="480"/>
          <w:marRight w:val="0"/>
          <w:marTop w:val="0"/>
          <w:marBottom w:val="0"/>
          <w:divBdr>
            <w:top w:val="none" w:sz="0" w:space="0" w:color="auto"/>
            <w:left w:val="none" w:sz="0" w:space="0" w:color="auto"/>
            <w:bottom w:val="none" w:sz="0" w:space="0" w:color="auto"/>
            <w:right w:val="none" w:sz="0" w:space="0" w:color="auto"/>
          </w:divBdr>
        </w:div>
        <w:div w:id="932737531">
          <w:marLeft w:val="480"/>
          <w:marRight w:val="0"/>
          <w:marTop w:val="0"/>
          <w:marBottom w:val="0"/>
          <w:divBdr>
            <w:top w:val="none" w:sz="0" w:space="0" w:color="auto"/>
            <w:left w:val="none" w:sz="0" w:space="0" w:color="auto"/>
            <w:bottom w:val="none" w:sz="0" w:space="0" w:color="auto"/>
            <w:right w:val="none" w:sz="0" w:space="0" w:color="auto"/>
          </w:divBdr>
        </w:div>
        <w:div w:id="1407453222">
          <w:marLeft w:val="480"/>
          <w:marRight w:val="0"/>
          <w:marTop w:val="0"/>
          <w:marBottom w:val="0"/>
          <w:divBdr>
            <w:top w:val="none" w:sz="0" w:space="0" w:color="auto"/>
            <w:left w:val="none" w:sz="0" w:space="0" w:color="auto"/>
            <w:bottom w:val="none" w:sz="0" w:space="0" w:color="auto"/>
            <w:right w:val="none" w:sz="0" w:space="0" w:color="auto"/>
          </w:divBdr>
        </w:div>
        <w:div w:id="2044359220">
          <w:marLeft w:val="480"/>
          <w:marRight w:val="0"/>
          <w:marTop w:val="0"/>
          <w:marBottom w:val="0"/>
          <w:divBdr>
            <w:top w:val="none" w:sz="0" w:space="0" w:color="auto"/>
            <w:left w:val="none" w:sz="0" w:space="0" w:color="auto"/>
            <w:bottom w:val="none" w:sz="0" w:space="0" w:color="auto"/>
            <w:right w:val="none" w:sz="0" w:space="0" w:color="auto"/>
          </w:divBdr>
        </w:div>
        <w:div w:id="1313288032">
          <w:marLeft w:val="480"/>
          <w:marRight w:val="0"/>
          <w:marTop w:val="0"/>
          <w:marBottom w:val="0"/>
          <w:divBdr>
            <w:top w:val="none" w:sz="0" w:space="0" w:color="auto"/>
            <w:left w:val="none" w:sz="0" w:space="0" w:color="auto"/>
            <w:bottom w:val="none" w:sz="0" w:space="0" w:color="auto"/>
            <w:right w:val="none" w:sz="0" w:space="0" w:color="auto"/>
          </w:divBdr>
        </w:div>
        <w:div w:id="1418330704">
          <w:marLeft w:val="480"/>
          <w:marRight w:val="0"/>
          <w:marTop w:val="0"/>
          <w:marBottom w:val="0"/>
          <w:divBdr>
            <w:top w:val="none" w:sz="0" w:space="0" w:color="auto"/>
            <w:left w:val="none" w:sz="0" w:space="0" w:color="auto"/>
            <w:bottom w:val="none" w:sz="0" w:space="0" w:color="auto"/>
            <w:right w:val="none" w:sz="0" w:space="0" w:color="auto"/>
          </w:divBdr>
        </w:div>
        <w:div w:id="1372728923">
          <w:marLeft w:val="480"/>
          <w:marRight w:val="0"/>
          <w:marTop w:val="0"/>
          <w:marBottom w:val="0"/>
          <w:divBdr>
            <w:top w:val="none" w:sz="0" w:space="0" w:color="auto"/>
            <w:left w:val="none" w:sz="0" w:space="0" w:color="auto"/>
            <w:bottom w:val="none" w:sz="0" w:space="0" w:color="auto"/>
            <w:right w:val="none" w:sz="0" w:space="0" w:color="auto"/>
          </w:divBdr>
        </w:div>
        <w:div w:id="375200487">
          <w:marLeft w:val="480"/>
          <w:marRight w:val="0"/>
          <w:marTop w:val="0"/>
          <w:marBottom w:val="0"/>
          <w:divBdr>
            <w:top w:val="none" w:sz="0" w:space="0" w:color="auto"/>
            <w:left w:val="none" w:sz="0" w:space="0" w:color="auto"/>
            <w:bottom w:val="none" w:sz="0" w:space="0" w:color="auto"/>
            <w:right w:val="none" w:sz="0" w:space="0" w:color="auto"/>
          </w:divBdr>
        </w:div>
        <w:div w:id="788164214">
          <w:marLeft w:val="480"/>
          <w:marRight w:val="0"/>
          <w:marTop w:val="0"/>
          <w:marBottom w:val="0"/>
          <w:divBdr>
            <w:top w:val="none" w:sz="0" w:space="0" w:color="auto"/>
            <w:left w:val="none" w:sz="0" w:space="0" w:color="auto"/>
            <w:bottom w:val="none" w:sz="0" w:space="0" w:color="auto"/>
            <w:right w:val="none" w:sz="0" w:space="0" w:color="auto"/>
          </w:divBdr>
        </w:div>
        <w:div w:id="1463497466">
          <w:marLeft w:val="480"/>
          <w:marRight w:val="0"/>
          <w:marTop w:val="0"/>
          <w:marBottom w:val="0"/>
          <w:divBdr>
            <w:top w:val="none" w:sz="0" w:space="0" w:color="auto"/>
            <w:left w:val="none" w:sz="0" w:space="0" w:color="auto"/>
            <w:bottom w:val="none" w:sz="0" w:space="0" w:color="auto"/>
            <w:right w:val="none" w:sz="0" w:space="0" w:color="auto"/>
          </w:divBdr>
        </w:div>
        <w:div w:id="842015331">
          <w:marLeft w:val="480"/>
          <w:marRight w:val="0"/>
          <w:marTop w:val="0"/>
          <w:marBottom w:val="0"/>
          <w:divBdr>
            <w:top w:val="none" w:sz="0" w:space="0" w:color="auto"/>
            <w:left w:val="none" w:sz="0" w:space="0" w:color="auto"/>
            <w:bottom w:val="none" w:sz="0" w:space="0" w:color="auto"/>
            <w:right w:val="none" w:sz="0" w:space="0" w:color="auto"/>
          </w:divBdr>
        </w:div>
        <w:div w:id="966278743">
          <w:marLeft w:val="480"/>
          <w:marRight w:val="0"/>
          <w:marTop w:val="0"/>
          <w:marBottom w:val="0"/>
          <w:divBdr>
            <w:top w:val="none" w:sz="0" w:space="0" w:color="auto"/>
            <w:left w:val="none" w:sz="0" w:space="0" w:color="auto"/>
            <w:bottom w:val="none" w:sz="0" w:space="0" w:color="auto"/>
            <w:right w:val="none" w:sz="0" w:space="0" w:color="auto"/>
          </w:divBdr>
        </w:div>
        <w:div w:id="1664042241">
          <w:marLeft w:val="480"/>
          <w:marRight w:val="0"/>
          <w:marTop w:val="0"/>
          <w:marBottom w:val="0"/>
          <w:divBdr>
            <w:top w:val="none" w:sz="0" w:space="0" w:color="auto"/>
            <w:left w:val="none" w:sz="0" w:space="0" w:color="auto"/>
            <w:bottom w:val="none" w:sz="0" w:space="0" w:color="auto"/>
            <w:right w:val="none" w:sz="0" w:space="0" w:color="auto"/>
          </w:divBdr>
        </w:div>
        <w:div w:id="1275676081">
          <w:marLeft w:val="480"/>
          <w:marRight w:val="0"/>
          <w:marTop w:val="0"/>
          <w:marBottom w:val="0"/>
          <w:divBdr>
            <w:top w:val="none" w:sz="0" w:space="0" w:color="auto"/>
            <w:left w:val="none" w:sz="0" w:space="0" w:color="auto"/>
            <w:bottom w:val="none" w:sz="0" w:space="0" w:color="auto"/>
            <w:right w:val="none" w:sz="0" w:space="0" w:color="auto"/>
          </w:divBdr>
        </w:div>
        <w:div w:id="639305832">
          <w:marLeft w:val="480"/>
          <w:marRight w:val="0"/>
          <w:marTop w:val="0"/>
          <w:marBottom w:val="0"/>
          <w:divBdr>
            <w:top w:val="none" w:sz="0" w:space="0" w:color="auto"/>
            <w:left w:val="none" w:sz="0" w:space="0" w:color="auto"/>
            <w:bottom w:val="none" w:sz="0" w:space="0" w:color="auto"/>
            <w:right w:val="none" w:sz="0" w:space="0" w:color="auto"/>
          </w:divBdr>
        </w:div>
        <w:div w:id="114174573">
          <w:marLeft w:val="480"/>
          <w:marRight w:val="0"/>
          <w:marTop w:val="0"/>
          <w:marBottom w:val="0"/>
          <w:divBdr>
            <w:top w:val="none" w:sz="0" w:space="0" w:color="auto"/>
            <w:left w:val="none" w:sz="0" w:space="0" w:color="auto"/>
            <w:bottom w:val="none" w:sz="0" w:space="0" w:color="auto"/>
            <w:right w:val="none" w:sz="0" w:space="0" w:color="auto"/>
          </w:divBdr>
        </w:div>
        <w:div w:id="912399179">
          <w:marLeft w:val="480"/>
          <w:marRight w:val="0"/>
          <w:marTop w:val="0"/>
          <w:marBottom w:val="0"/>
          <w:divBdr>
            <w:top w:val="none" w:sz="0" w:space="0" w:color="auto"/>
            <w:left w:val="none" w:sz="0" w:space="0" w:color="auto"/>
            <w:bottom w:val="none" w:sz="0" w:space="0" w:color="auto"/>
            <w:right w:val="none" w:sz="0" w:space="0" w:color="auto"/>
          </w:divBdr>
        </w:div>
        <w:div w:id="1204248741">
          <w:marLeft w:val="480"/>
          <w:marRight w:val="0"/>
          <w:marTop w:val="0"/>
          <w:marBottom w:val="0"/>
          <w:divBdr>
            <w:top w:val="none" w:sz="0" w:space="0" w:color="auto"/>
            <w:left w:val="none" w:sz="0" w:space="0" w:color="auto"/>
            <w:bottom w:val="none" w:sz="0" w:space="0" w:color="auto"/>
            <w:right w:val="none" w:sz="0" w:space="0" w:color="auto"/>
          </w:divBdr>
        </w:div>
        <w:div w:id="504244786">
          <w:marLeft w:val="480"/>
          <w:marRight w:val="0"/>
          <w:marTop w:val="0"/>
          <w:marBottom w:val="0"/>
          <w:divBdr>
            <w:top w:val="none" w:sz="0" w:space="0" w:color="auto"/>
            <w:left w:val="none" w:sz="0" w:space="0" w:color="auto"/>
            <w:bottom w:val="none" w:sz="0" w:space="0" w:color="auto"/>
            <w:right w:val="none" w:sz="0" w:space="0" w:color="auto"/>
          </w:divBdr>
        </w:div>
        <w:div w:id="589891870">
          <w:marLeft w:val="480"/>
          <w:marRight w:val="0"/>
          <w:marTop w:val="0"/>
          <w:marBottom w:val="0"/>
          <w:divBdr>
            <w:top w:val="none" w:sz="0" w:space="0" w:color="auto"/>
            <w:left w:val="none" w:sz="0" w:space="0" w:color="auto"/>
            <w:bottom w:val="none" w:sz="0" w:space="0" w:color="auto"/>
            <w:right w:val="none" w:sz="0" w:space="0" w:color="auto"/>
          </w:divBdr>
        </w:div>
        <w:div w:id="781728230">
          <w:marLeft w:val="480"/>
          <w:marRight w:val="0"/>
          <w:marTop w:val="0"/>
          <w:marBottom w:val="0"/>
          <w:divBdr>
            <w:top w:val="none" w:sz="0" w:space="0" w:color="auto"/>
            <w:left w:val="none" w:sz="0" w:space="0" w:color="auto"/>
            <w:bottom w:val="none" w:sz="0" w:space="0" w:color="auto"/>
            <w:right w:val="none" w:sz="0" w:space="0" w:color="auto"/>
          </w:divBdr>
        </w:div>
        <w:div w:id="1056049434">
          <w:marLeft w:val="480"/>
          <w:marRight w:val="0"/>
          <w:marTop w:val="0"/>
          <w:marBottom w:val="0"/>
          <w:divBdr>
            <w:top w:val="none" w:sz="0" w:space="0" w:color="auto"/>
            <w:left w:val="none" w:sz="0" w:space="0" w:color="auto"/>
            <w:bottom w:val="none" w:sz="0" w:space="0" w:color="auto"/>
            <w:right w:val="none" w:sz="0" w:space="0" w:color="auto"/>
          </w:divBdr>
        </w:div>
        <w:div w:id="1855535572">
          <w:marLeft w:val="480"/>
          <w:marRight w:val="0"/>
          <w:marTop w:val="0"/>
          <w:marBottom w:val="0"/>
          <w:divBdr>
            <w:top w:val="none" w:sz="0" w:space="0" w:color="auto"/>
            <w:left w:val="none" w:sz="0" w:space="0" w:color="auto"/>
            <w:bottom w:val="none" w:sz="0" w:space="0" w:color="auto"/>
            <w:right w:val="none" w:sz="0" w:space="0" w:color="auto"/>
          </w:divBdr>
        </w:div>
        <w:div w:id="947004001">
          <w:marLeft w:val="480"/>
          <w:marRight w:val="0"/>
          <w:marTop w:val="0"/>
          <w:marBottom w:val="0"/>
          <w:divBdr>
            <w:top w:val="none" w:sz="0" w:space="0" w:color="auto"/>
            <w:left w:val="none" w:sz="0" w:space="0" w:color="auto"/>
            <w:bottom w:val="none" w:sz="0" w:space="0" w:color="auto"/>
            <w:right w:val="none" w:sz="0" w:space="0" w:color="auto"/>
          </w:divBdr>
        </w:div>
        <w:div w:id="920062443">
          <w:marLeft w:val="480"/>
          <w:marRight w:val="0"/>
          <w:marTop w:val="0"/>
          <w:marBottom w:val="0"/>
          <w:divBdr>
            <w:top w:val="none" w:sz="0" w:space="0" w:color="auto"/>
            <w:left w:val="none" w:sz="0" w:space="0" w:color="auto"/>
            <w:bottom w:val="none" w:sz="0" w:space="0" w:color="auto"/>
            <w:right w:val="none" w:sz="0" w:space="0" w:color="auto"/>
          </w:divBdr>
        </w:div>
        <w:div w:id="921305175">
          <w:marLeft w:val="480"/>
          <w:marRight w:val="0"/>
          <w:marTop w:val="0"/>
          <w:marBottom w:val="0"/>
          <w:divBdr>
            <w:top w:val="none" w:sz="0" w:space="0" w:color="auto"/>
            <w:left w:val="none" w:sz="0" w:space="0" w:color="auto"/>
            <w:bottom w:val="none" w:sz="0" w:space="0" w:color="auto"/>
            <w:right w:val="none" w:sz="0" w:space="0" w:color="auto"/>
          </w:divBdr>
        </w:div>
        <w:div w:id="1455906583">
          <w:marLeft w:val="480"/>
          <w:marRight w:val="0"/>
          <w:marTop w:val="0"/>
          <w:marBottom w:val="0"/>
          <w:divBdr>
            <w:top w:val="none" w:sz="0" w:space="0" w:color="auto"/>
            <w:left w:val="none" w:sz="0" w:space="0" w:color="auto"/>
            <w:bottom w:val="none" w:sz="0" w:space="0" w:color="auto"/>
            <w:right w:val="none" w:sz="0" w:space="0" w:color="auto"/>
          </w:divBdr>
        </w:div>
        <w:div w:id="1103114114">
          <w:marLeft w:val="480"/>
          <w:marRight w:val="0"/>
          <w:marTop w:val="0"/>
          <w:marBottom w:val="0"/>
          <w:divBdr>
            <w:top w:val="none" w:sz="0" w:space="0" w:color="auto"/>
            <w:left w:val="none" w:sz="0" w:space="0" w:color="auto"/>
            <w:bottom w:val="none" w:sz="0" w:space="0" w:color="auto"/>
            <w:right w:val="none" w:sz="0" w:space="0" w:color="auto"/>
          </w:divBdr>
        </w:div>
        <w:div w:id="1217469572">
          <w:marLeft w:val="480"/>
          <w:marRight w:val="0"/>
          <w:marTop w:val="0"/>
          <w:marBottom w:val="0"/>
          <w:divBdr>
            <w:top w:val="none" w:sz="0" w:space="0" w:color="auto"/>
            <w:left w:val="none" w:sz="0" w:space="0" w:color="auto"/>
            <w:bottom w:val="none" w:sz="0" w:space="0" w:color="auto"/>
            <w:right w:val="none" w:sz="0" w:space="0" w:color="auto"/>
          </w:divBdr>
        </w:div>
        <w:div w:id="951322584">
          <w:marLeft w:val="480"/>
          <w:marRight w:val="0"/>
          <w:marTop w:val="0"/>
          <w:marBottom w:val="0"/>
          <w:divBdr>
            <w:top w:val="none" w:sz="0" w:space="0" w:color="auto"/>
            <w:left w:val="none" w:sz="0" w:space="0" w:color="auto"/>
            <w:bottom w:val="none" w:sz="0" w:space="0" w:color="auto"/>
            <w:right w:val="none" w:sz="0" w:space="0" w:color="auto"/>
          </w:divBdr>
        </w:div>
        <w:div w:id="986594552">
          <w:marLeft w:val="480"/>
          <w:marRight w:val="0"/>
          <w:marTop w:val="0"/>
          <w:marBottom w:val="0"/>
          <w:divBdr>
            <w:top w:val="none" w:sz="0" w:space="0" w:color="auto"/>
            <w:left w:val="none" w:sz="0" w:space="0" w:color="auto"/>
            <w:bottom w:val="none" w:sz="0" w:space="0" w:color="auto"/>
            <w:right w:val="none" w:sz="0" w:space="0" w:color="auto"/>
          </w:divBdr>
        </w:div>
        <w:div w:id="457839293">
          <w:marLeft w:val="480"/>
          <w:marRight w:val="0"/>
          <w:marTop w:val="0"/>
          <w:marBottom w:val="0"/>
          <w:divBdr>
            <w:top w:val="none" w:sz="0" w:space="0" w:color="auto"/>
            <w:left w:val="none" w:sz="0" w:space="0" w:color="auto"/>
            <w:bottom w:val="none" w:sz="0" w:space="0" w:color="auto"/>
            <w:right w:val="none" w:sz="0" w:space="0" w:color="auto"/>
          </w:divBdr>
        </w:div>
        <w:div w:id="1118917125">
          <w:marLeft w:val="480"/>
          <w:marRight w:val="0"/>
          <w:marTop w:val="0"/>
          <w:marBottom w:val="0"/>
          <w:divBdr>
            <w:top w:val="none" w:sz="0" w:space="0" w:color="auto"/>
            <w:left w:val="none" w:sz="0" w:space="0" w:color="auto"/>
            <w:bottom w:val="none" w:sz="0" w:space="0" w:color="auto"/>
            <w:right w:val="none" w:sz="0" w:space="0" w:color="auto"/>
          </w:divBdr>
        </w:div>
        <w:div w:id="231739042">
          <w:marLeft w:val="480"/>
          <w:marRight w:val="0"/>
          <w:marTop w:val="0"/>
          <w:marBottom w:val="0"/>
          <w:divBdr>
            <w:top w:val="none" w:sz="0" w:space="0" w:color="auto"/>
            <w:left w:val="none" w:sz="0" w:space="0" w:color="auto"/>
            <w:bottom w:val="none" w:sz="0" w:space="0" w:color="auto"/>
            <w:right w:val="none" w:sz="0" w:space="0" w:color="auto"/>
          </w:divBdr>
        </w:div>
        <w:div w:id="2010329233">
          <w:marLeft w:val="480"/>
          <w:marRight w:val="0"/>
          <w:marTop w:val="0"/>
          <w:marBottom w:val="0"/>
          <w:divBdr>
            <w:top w:val="none" w:sz="0" w:space="0" w:color="auto"/>
            <w:left w:val="none" w:sz="0" w:space="0" w:color="auto"/>
            <w:bottom w:val="none" w:sz="0" w:space="0" w:color="auto"/>
            <w:right w:val="none" w:sz="0" w:space="0" w:color="auto"/>
          </w:divBdr>
        </w:div>
        <w:div w:id="284891220">
          <w:marLeft w:val="480"/>
          <w:marRight w:val="0"/>
          <w:marTop w:val="0"/>
          <w:marBottom w:val="0"/>
          <w:divBdr>
            <w:top w:val="none" w:sz="0" w:space="0" w:color="auto"/>
            <w:left w:val="none" w:sz="0" w:space="0" w:color="auto"/>
            <w:bottom w:val="none" w:sz="0" w:space="0" w:color="auto"/>
            <w:right w:val="none" w:sz="0" w:space="0" w:color="auto"/>
          </w:divBdr>
        </w:div>
        <w:div w:id="1153714065">
          <w:marLeft w:val="480"/>
          <w:marRight w:val="0"/>
          <w:marTop w:val="0"/>
          <w:marBottom w:val="0"/>
          <w:divBdr>
            <w:top w:val="none" w:sz="0" w:space="0" w:color="auto"/>
            <w:left w:val="none" w:sz="0" w:space="0" w:color="auto"/>
            <w:bottom w:val="none" w:sz="0" w:space="0" w:color="auto"/>
            <w:right w:val="none" w:sz="0" w:space="0" w:color="auto"/>
          </w:divBdr>
        </w:div>
        <w:div w:id="62532985">
          <w:marLeft w:val="480"/>
          <w:marRight w:val="0"/>
          <w:marTop w:val="0"/>
          <w:marBottom w:val="0"/>
          <w:divBdr>
            <w:top w:val="none" w:sz="0" w:space="0" w:color="auto"/>
            <w:left w:val="none" w:sz="0" w:space="0" w:color="auto"/>
            <w:bottom w:val="none" w:sz="0" w:space="0" w:color="auto"/>
            <w:right w:val="none" w:sz="0" w:space="0" w:color="auto"/>
          </w:divBdr>
        </w:div>
        <w:div w:id="2079131073">
          <w:marLeft w:val="480"/>
          <w:marRight w:val="0"/>
          <w:marTop w:val="0"/>
          <w:marBottom w:val="0"/>
          <w:divBdr>
            <w:top w:val="none" w:sz="0" w:space="0" w:color="auto"/>
            <w:left w:val="none" w:sz="0" w:space="0" w:color="auto"/>
            <w:bottom w:val="none" w:sz="0" w:space="0" w:color="auto"/>
            <w:right w:val="none" w:sz="0" w:space="0" w:color="auto"/>
          </w:divBdr>
        </w:div>
        <w:div w:id="272133486">
          <w:marLeft w:val="480"/>
          <w:marRight w:val="0"/>
          <w:marTop w:val="0"/>
          <w:marBottom w:val="0"/>
          <w:divBdr>
            <w:top w:val="none" w:sz="0" w:space="0" w:color="auto"/>
            <w:left w:val="none" w:sz="0" w:space="0" w:color="auto"/>
            <w:bottom w:val="none" w:sz="0" w:space="0" w:color="auto"/>
            <w:right w:val="none" w:sz="0" w:space="0" w:color="auto"/>
          </w:divBdr>
        </w:div>
        <w:div w:id="1819423127">
          <w:marLeft w:val="480"/>
          <w:marRight w:val="0"/>
          <w:marTop w:val="0"/>
          <w:marBottom w:val="0"/>
          <w:divBdr>
            <w:top w:val="none" w:sz="0" w:space="0" w:color="auto"/>
            <w:left w:val="none" w:sz="0" w:space="0" w:color="auto"/>
            <w:bottom w:val="none" w:sz="0" w:space="0" w:color="auto"/>
            <w:right w:val="none" w:sz="0" w:space="0" w:color="auto"/>
          </w:divBdr>
        </w:div>
        <w:div w:id="713389392">
          <w:marLeft w:val="480"/>
          <w:marRight w:val="0"/>
          <w:marTop w:val="0"/>
          <w:marBottom w:val="0"/>
          <w:divBdr>
            <w:top w:val="none" w:sz="0" w:space="0" w:color="auto"/>
            <w:left w:val="none" w:sz="0" w:space="0" w:color="auto"/>
            <w:bottom w:val="none" w:sz="0" w:space="0" w:color="auto"/>
            <w:right w:val="none" w:sz="0" w:space="0" w:color="auto"/>
          </w:divBdr>
        </w:div>
        <w:div w:id="604964758">
          <w:marLeft w:val="480"/>
          <w:marRight w:val="0"/>
          <w:marTop w:val="0"/>
          <w:marBottom w:val="0"/>
          <w:divBdr>
            <w:top w:val="none" w:sz="0" w:space="0" w:color="auto"/>
            <w:left w:val="none" w:sz="0" w:space="0" w:color="auto"/>
            <w:bottom w:val="none" w:sz="0" w:space="0" w:color="auto"/>
            <w:right w:val="none" w:sz="0" w:space="0" w:color="auto"/>
          </w:divBdr>
        </w:div>
        <w:div w:id="2059282476">
          <w:marLeft w:val="480"/>
          <w:marRight w:val="0"/>
          <w:marTop w:val="0"/>
          <w:marBottom w:val="0"/>
          <w:divBdr>
            <w:top w:val="none" w:sz="0" w:space="0" w:color="auto"/>
            <w:left w:val="none" w:sz="0" w:space="0" w:color="auto"/>
            <w:bottom w:val="none" w:sz="0" w:space="0" w:color="auto"/>
            <w:right w:val="none" w:sz="0" w:space="0" w:color="auto"/>
          </w:divBdr>
        </w:div>
        <w:div w:id="2072075781">
          <w:marLeft w:val="480"/>
          <w:marRight w:val="0"/>
          <w:marTop w:val="0"/>
          <w:marBottom w:val="0"/>
          <w:divBdr>
            <w:top w:val="none" w:sz="0" w:space="0" w:color="auto"/>
            <w:left w:val="none" w:sz="0" w:space="0" w:color="auto"/>
            <w:bottom w:val="none" w:sz="0" w:space="0" w:color="auto"/>
            <w:right w:val="none" w:sz="0" w:space="0" w:color="auto"/>
          </w:divBdr>
        </w:div>
        <w:div w:id="1205602313">
          <w:marLeft w:val="480"/>
          <w:marRight w:val="0"/>
          <w:marTop w:val="0"/>
          <w:marBottom w:val="0"/>
          <w:divBdr>
            <w:top w:val="none" w:sz="0" w:space="0" w:color="auto"/>
            <w:left w:val="none" w:sz="0" w:space="0" w:color="auto"/>
            <w:bottom w:val="none" w:sz="0" w:space="0" w:color="auto"/>
            <w:right w:val="none" w:sz="0" w:space="0" w:color="auto"/>
          </w:divBdr>
        </w:div>
        <w:div w:id="1232889299">
          <w:marLeft w:val="480"/>
          <w:marRight w:val="0"/>
          <w:marTop w:val="0"/>
          <w:marBottom w:val="0"/>
          <w:divBdr>
            <w:top w:val="none" w:sz="0" w:space="0" w:color="auto"/>
            <w:left w:val="none" w:sz="0" w:space="0" w:color="auto"/>
            <w:bottom w:val="none" w:sz="0" w:space="0" w:color="auto"/>
            <w:right w:val="none" w:sz="0" w:space="0" w:color="auto"/>
          </w:divBdr>
        </w:div>
        <w:div w:id="1665280605">
          <w:marLeft w:val="480"/>
          <w:marRight w:val="0"/>
          <w:marTop w:val="0"/>
          <w:marBottom w:val="0"/>
          <w:divBdr>
            <w:top w:val="none" w:sz="0" w:space="0" w:color="auto"/>
            <w:left w:val="none" w:sz="0" w:space="0" w:color="auto"/>
            <w:bottom w:val="none" w:sz="0" w:space="0" w:color="auto"/>
            <w:right w:val="none" w:sz="0" w:space="0" w:color="auto"/>
          </w:divBdr>
        </w:div>
        <w:div w:id="1193686446">
          <w:marLeft w:val="480"/>
          <w:marRight w:val="0"/>
          <w:marTop w:val="0"/>
          <w:marBottom w:val="0"/>
          <w:divBdr>
            <w:top w:val="none" w:sz="0" w:space="0" w:color="auto"/>
            <w:left w:val="none" w:sz="0" w:space="0" w:color="auto"/>
            <w:bottom w:val="none" w:sz="0" w:space="0" w:color="auto"/>
            <w:right w:val="none" w:sz="0" w:space="0" w:color="auto"/>
          </w:divBdr>
        </w:div>
        <w:div w:id="1277709740">
          <w:marLeft w:val="480"/>
          <w:marRight w:val="0"/>
          <w:marTop w:val="0"/>
          <w:marBottom w:val="0"/>
          <w:divBdr>
            <w:top w:val="none" w:sz="0" w:space="0" w:color="auto"/>
            <w:left w:val="none" w:sz="0" w:space="0" w:color="auto"/>
            <w:bottom w:val="none" w:sz="0" w:space="0" w:color="auto"/>
            <w:right w:val="none" w:sz="0" w:space="0" w:color="auto"/>
          </w:divBdr>
        </w:div>
        <w:div w:id="768500629">
          <w:marLeft w:val="480"/>
          <w:marRight w:val="0"/>
          <w:marTop w:val="0"/>
          <w:marBottom w:val="0"/>
          <w:divBdr>
            <w:top w:val="none" w:sz="0" w:space="0" w:color="auto"/>
            <w:left w:val="none" w:sz="0" w:space="0" w:color="auto"/>
            <w:bottom w:val="none" w:sz="0" w:space="0" w:color="auto"/>
            <w:right w:val="none" w:sz="0" w:space="0" w:color="auto"/>
          </w:divBdr>
        </w:div>
        <w:div w:id="1713648197">
          <w:marLeft w:val="480"/>
          <w:marRight w:val="0"/>
          <w:marTop w:val="0"/>
          <w:marBottom w:val="0"/>
          <w:divBdr>
            <w:top w:val="none" w:sz="0" w:space="0" w:color="auto"/>
            <w:left w:val="none" w:sz="0" w:space="0" w:color="auto"/>
            <w:bottom w:val="none" w:sz="0" w:space="0" w:color="auto"/>
            <w:right w:val="none" w:sz="0" w:space="0" w:color="auto"/>
          </w:divBdr>
        </w:div>
        <w:div w:id="1349408707">
          <w:marLeft w:val="480"/>
          <w:marRight w:val="0"/>
          <w:marTop w:val="0"/>
          <w:marBottom w:val="0"/>
          <w:divBdr>
            <w:top w:val="none" w:sz="0" w:space="0" w:color="auto"/>
            <w:left w:val="none" w:sz="0" w:space="0" w:color="auto"/>
            <w:bottom w:val="none" w:sz="0" w:space="0" w:color="auto"/>
            <w:right w:val="none" w:sz="0" w:space="0" w:color="auto"/>
          </w:divBdr>
        </w:div>
        <w:div w:id="365717081">
          <w:marLeft w:val="480"/>
          <w:marRight w:val="0"/>
          <w:marTop w:val="0"/>
          <w:marBottom w:val="0"/>
          <w:divBdr>
            <w:top w:val="none" w:sz="0" w:space="0" w:color="auto"/>
            <w:left w:val="none" w:sz="0" w:space="0" w:color="auto"/>
            <w:bottom w:val="none" w:sz="0" w:space="0" w:color="auto"/>
            <w:right w:val="none" w:sz="0" w:space="0" w:color="auto"/>
          </w:divBdr>
        </w:div>
        <w:div w:id="702245134">
          <w:marLeft w:val="480"/>
          <w:marRight w:val="0"/>
          <w:marTop w:val="0"/>
          <w:marBottom w:val="0"/>
          <w:divBdr>
            <w:top w:val="none" w:sz="0" w:space="0" w:color="auto"/>
            <w:left w:val="none" w:sz="0" w:space="0" w:color="auto"/>
            <w:bottom w:val="none" w:sz="0" w:space="0" w:color="auto"/>
            <w:right w:val="none" w:sz="0" w:space="0" w:color="auto"/>
          </w:divBdr>
        </w:div>
        <w:div w:id="1578978213">
          <w:marLeft w:val="480"/>
          <w:marRight w:val="0"/>
          <w:marTop w:val="0"/>
          <w:marBottom w:val="0"/>
          <w:divBdr>
            <w:top w:val="none" w:sz="0" w:space="0" w:color="auto"/>
            <w:left w:val="none" w:sz="0" w:space="0" w:color="auto"/>
            <w:bottom w:val="none" w:sz="0" w:space="0" w:color="auto"/>
            <w:right w:val="none" w:sz="0" w:space="0" w:color="auto"/>
          </w:divBdr>
        </w:div>
        <w:div w:id="1685596314">
          <w:marLeft w:val="480"/>
          <w:marRight w:val="0"/>
          <w:marTop w:val="0"/>
          <w:marBottom w:val="0"/>
          <w:divBdr>
            <w:top w:val="none" w:sz="0" w:space="0" w:color="auto"/>
            <w:left w:val="none" w:sz="0" w:space="0" w:color="auto"/>
            <w:bottom w:val="none" w:sz="0" w:space="0" w:color="auto"/>
            <w:right w:val="none" w:sz="0" w:space="0" w:color="auto"/>
          </w:divBdr>
        </w:div>
        <w:div w:id="619530067">
          <w:marLeft w:val="480"/>
          <w:marRight w:val="0"/>
          <w:marTop w:val="0"/>
          <w:marBottom w:val="0"/>
          <w:divBdr>
            <w:top w:val="none" w:sz="0" w:space="0" w:color="auto"/>
            <w:left w:val="none" w:sz="0" w:space="0" w:color="auto"/>
            <w:bottom w:val="none" w:sz="0" w:space="0" w:color="auto"/>
            <w:right w:val="none" w:sz="0" w:space="0" w:color="auto"/>
          </w:divBdr>
        </w:div>
        <w:div w:id="241179490">
          <w:marLeft w:val="480"/>
          <w:marRight w:val="0"/>
          <w:marTop w:val="0"/>
          <w:marBottom w:val="0"/>
          <w:divBdr>
            <w:top w:val="none" w:sz="0" w:space="0" w:color="auto"/>
            <w:left w:val="none" w:sz="0" w:space="0" w:color="auto"/>
            <w:bottom w:val="none" w:sz="0" w:space="0" w:color="auto"/>
            <w:right w:val="none" w:sz="0" w:space="0" w:color="auto"/>
          </w:divBdr>
        </w:div>
        <w:div w:id="1846480601">
          <w:marLeft w:val="480"/>
          <w:marRight w:val="0"/>
          <w:marTop w:val="0"/>
          <w:marBottom w:val="0"/>
          <w:divBdr>
            <w:top w:val="none" w:sz="0" w:space="0" w:color="auto"/>
            <w:left w:val="none" w:sz="0" w:space="0" w:color="auto"/>
            <w:bottom w:val="none" w:sz="0" w:space="0" w:color="auto"/>
            <w:right w:val="none" w:sz="0" w:space="0" w:color="auto"/>
          </w:divBdr>
        </w:div>
        <w:div w:id="626159829">
          <w:marLeft w:val="480"/>
          <w:marRight w:val="0"/>
          <w:marTop w:val="0"/>
          <w:marBottom w:val="0"/>
          <w:divBdr>
            <w:top w:val="none" w:sz="0" w:space="0" w:color="auto"/>
            <w:left w:val="none" w:sz="0" w:space="0" w:color="auto"/>
            <w:bottom w:val="none" w:sz="0" w:space="0" w:color="auto"/>
            <w:right w:val="none" w:sz="0" w:space="0" w:color="auto"/>
          </w:divBdr>
        </w:div>
        <w:div w:id="1400206234">
          <w:marLeft w:val="480"/>
          <w:marRight w:val="0"/>
          <w:marTop w:val="0"/>
          <w:marBottom w:val="0"/>
          <w:divBdr>
            <w:top w:val="none" w:sz="0" w:space="0" w:color="auto"/>
            <w:left w:val="none" w:sz="0" w:space="0" w:color="auto"/>
            <w:bottom w:val="none" w:sz="0" w:space="0" w:color="auto"/>
            <w:right w:val="none" w:sz="0" w:space="0" w:color="auto"/>
          </w:divBdr>
        </w:div>
        <w:div w:id="84615501">
          <w:marLeft w:val="480"/>
          <w:marRight w:val="0"/>
          <w:marTop w:val="0"/>
          <w:marBottom w:val="0"/>
          <w:divBdr>
            <w:top w:val="none" w:sz="0" w:space="0" w:color="auto"/>
            <w:left w:val="none" w:sz="0" w:space="0" w:color="auto"/>
            <w:bottom w:val="none" w:sz="0" w:space="0" w:color="auto"/>
            <w:right w:val="none" w:sz="0" w:space="0" w:color="auto"/>
          </w:divBdr>
        </w:div>
        <w:div w:id="1554658159">
          <w:marLeft w:val="480"/>
          <w:marRight w:val="0"/>
          <w:marTop w:val="0"/>
          <w:marBottom w:val="0"/>
          <w:divBdr>
            <w:top w:val="none" w:sz="0" w:space="0" w:color="auto"/>
            <w:left w:val="none" w:sz="0" w:space="0" w:color="auto"/>
            <w:bottom w:val="none" w:sz="0" w:space="0" w:color="auto"/>
            <w:right w:val="none" w:sz="0" w:space="0" w:color="auto"/>
          </w:divBdr>
        </w:div>
        <w:div w:id="902564909">
          <w:marLeft w:val="480"/>
          <w:marRight w:val="0"/>
          <w:marTop w:val="0"/>
          <w:marBottom w:val="0"/>
          <w:divBdr>
            <w:top w:val="none" w:sz="0" w:space="0" w:color="auto"/>
            <w:left w:val="none" w:sz="0" w:space="0" w:color="auto"/>
            <w:bottom w:val="none" w:sz="0" w:space="0" w:color="auto"/>
            <w:right w:val="none" w:sz="0" w:space="0" w:color="auto"/>
          </w:divBdr>
        </w:div>
        <w:div w:id="2042435808">
          <w:marLeft w:val="480"/>
          <w:marRight w:val="0"/>
          <w:marTop w:val="0"/>
          <w:marBottom w:val="0"/>
          <w:divBdr>
            <w:top w:val="none" w:sz="0" w:space="0" w:color="auto"/>
            <w:left w:val="none" w:sz="0" w:space="0" w:color="auto"/>
            <w:bottom w:val="none" w:sz="0" w:space="0" w:color="auto"/>
            <w:right w:val="none" w:sz="0" w:space="0" w:color="auto"/>
          </w:divBdr>
        </w:div>
        <w:div w:id="377318039">
          <w:marLeft w:val="480"/>
          <w:marRight w:val="0"/>
          <w:marTop w:val="0"/>
          <w:marBottom w:val="0"/>
          <w:divBdr>
            <w:top w:val="none" w:sz="0" w:space="0" w:color="auto"/>
            <w:left w:val="none" w:sz="0" w:space="0" w:color="auto"/>
            <w:bottom w:val="none" w:sz="0" w:space="0" w:color="auto"/>
            <w:right w:val="none" w:sz="0" w:space="0" w:color="auto"/>
          </w:divBdr>
        </w:div>
        <w:div w:id="835220193">
          <w:marLeft w:val="480"/>
          <w:marRight w:val="0"/>
          <w:marTop w:val="0"/>
          <w:marBottom w:val="0"/>
          <w:divBdr>
            <w:top w:val="none" w:sz="0" w:space="0" w:color="auto"/>
            <w:left w:val="none" w:sz="0" w:space="0" w:color="auto"/>
            <w:bottom w:val="none" w:sz="0" w:space="0" w:color="auto"/>
            <w:right w:val="none" w:sz="0" w:space="0" w:color="auto"/>
          </w:divBdr>
        </w:div>
        <w:div w:id="1229803331">
          <w:marLeft w:val="480"/>
          <w:marRight w:val="0"/>
          <w:marTop w:val="0"/>
          <w:marBottom w:val="0"/>
          <w:divBdr>
            <w:top w:val="none" w:sz="0" w:space="0" w:color="auto"/>
            <w:left w:val="none" w:sz="0" w:space="0" w:color="auto"/>
            <w:bottom w:val="none" w:sz="0" w:space="0" w:color="auto"/>
            <w:right w:val="none" w:sz="0" w:space="0" w:color="auto"/>
          </w:divBdr>
        </w:div>
        <w:div w:id="1292594145">
          <w:marLeft w:val="480"/>
          <w:marRight w:val="0"/>
          <w:marTop w:val="0"/>
          <w:marBottom w:val="0"/>
          <w:divBdr>
            <w:top w:val="none" w:sz="0" w:space="0" w:color="auto"/>
            <w:left w:val="none" w:sz="0" w:space="0" w:color="auto"/>
            <w:bottom w:val="none" w:sz="0" w:space="0" w:color="auto"/>
            <w:right w:val="none" w:sz="0" w:space="0" w:color="auto"/>
          </w:divBdr>
        </w:div>
        <w:div w:id="609631675">
          <w:marLeft w:val="480"/>
          <w:marRight w:val="0"/>
          <w:marTop w:val="0"/>
          <w:marBottom w:val="0"/>
          <w:divBdr>
            <w:top w:val="none" w:sz="0" w:space="0" w:color="auto"/>
            <w:left w:val="none" w:sz="0" w:space="0" w:color="auto"/>
            <w:bottom w:val="none" w:sz="0" w:space="0" w:color="auto"/>
            <w:right w:val="none" w:sz="0" w:space="0" w:color="auto"/>
          </w:divBdr>
        </w:div>
        <w:div w:id="117920108">
          <w:marLeft w:val="480"/>
          <w:marRight w:val="0"/>
          <w:marTop w:val="0"/>
          <w:marBottom w:val="0"/>
          <w:divBdr>
            <w:top w:val="none" w:sz="0" w:space="0" w:color="auto"/>
            <w:left w:val="none" w:sz="0" w:space="0" w:color="auto"/>
            <w:bottom w:val="none" w:sz="0" w:space="0" w:color="auto"/>
            <w:right w:val="none" w:sz="0" w:space="0" w:color="auto"/>
          </w:divBdr>
        </w:div>
        <w:div w:id="869302035">
          <w:marLeft w:val="480"/>
          <w:marRight w:val="0"/>
          <w:marTop w:val="0"/>
          <w:marBottom w:val="0"/>
          <w:divBdr>
            <w:top w:val="none" w:sz="0" w:space="0" w:color="auto"/>
            <w:left w:val="none" w:sz="0" w:space="0" w:color="auto"/>
            <w:bottom w:val="none" w:sz="0" w:space="0" w:color="auto"/>
            <w:right w:val="none" w:sz="0" w:space="0" w:color="auto"/>
          </w:divBdr>
        </w:div>
        <w:div w:id="1249802329">
          <w:marLeft w:val="480"/>
          <w:marRight w:val="0"/>
          <w:marTop w:val="0"/>
          <w:marBottom w:val="0"/>
          <w:divBdr>
            <w:top w:val="none" w:sz="0" w:space="0" w:color="auto"/>
            <w:left w:val="none" w:sz="0" w:space="0" w:color="auto"/>
            <w:bottom w:val="none" w:sz="0" w:space="0" w:color="auto"/>
            <w:right w:val="none" w:sz="0" w:space="0" w:color="auto"/>
          </w:divBdr>
        </w:div>
        <w:div w:id="566965129">
          <w:marLeft w:val="480"/>
          <w:marRight w:val="0"/>
          <w:marTop w:val="0"/>
          <w:marBottom w:val="0"/>
          <w:divBdr>
            <w:top w:val="none" w:sz="0" w:space="0" w:color="auto"/>
            <w:left w:val="none" w:sz="0" w:space="0" w:color="auto"/>
            <w:bottom w:val="none" w:sz="0" w:space="0" w:color="auto"/>
            <w:right w:val="none" w:sz="0" w:space="0" w:color="auto"/>
          </w:divBdr>
        </w:div>
        <w:div w:id="730277074">
          <w:marLeft w:val="480"/>
          <w:marRight w:val="0"/>
          <w:marTop w:val="0"/>
          <w:marBottom w:val="0"/>
          <w:divBdr>
            <w:top w:val="none" w:sz="0" w:space="0" w:color="auto"/>
            <w:left w:val="none" w:sz="0" w:space="0" w:color="auto"/>
            <w:bottom w:val="none" w:sz="0" w:space="0" w:color="auto"/>
            <w:right w:val="none" w:sz="0" w:space="0" w:color="auto"/>
          </w:divBdr>
        </w:div>
        <w:div w:id="2132236571">
          <w:marLeft w:val="480"/>
          <w:marRight w:val="0"/>
          <w:marTop w:val="0"/>
          <w:marBottom w:val="0"/>
          <w:divBdr>
            <w:top w:val="none" w:sz="0" w:space="0" w:color="auto"/>
            <w:left w:val="none" w:sz="0" w:space="0" w:color="auto"/>
            <w:bottom w:val="none" w:sz="0" w:space="0" w:color="auto"/>
            <w:right w:val="none" w:sz="0" w:space="0" w:color="auto"/>
          </w:divBdr>
        </w:div>
        <w:div w:id="1738895473">
          <w:marLeft w:val="480"/>
          <w:marRight w:val="0"/>
          <w:marTop w:val="0"/>
          <w:marBottom w:val="0"/>
          <w:divBdr>
            <w:top w:val="none" w:sz="0" w:space="0" w:color="auto"/>
            <w:left w:val="none" w:sz="0" w:space="0" w:color="auto"/>
            <w:bottom w:val="none" w:sz="0" w:space="0" w:color="auto"/>
            <w:right w:val="none" w:sz="0" w:space="0" w:color="auto"/>
          </w:divBdr>
        </w:div>
        <w:div w:id="664475105">
          <w:marLeft w:val="480"/>
          <w:marRight w:val="0"/>
          <w:marTop w:val="0"/>
          <w:marBottom w:val="0"/>
          <w:divBdr>
            <w:top w:val="none" w:sz="0" w:space="0" w:color="auto"/>
            <w:left w:val="none" w:sz="0" w:space="0" w:color="auto"/>
            <w:bottom w:val="none" w:sz="0" w:space="0" w:color="auto"/>
            <w:right w:val="none" w:sz="0" w:space="0" w:color="auto"/>
          </w:divBdr>
        </w:div>
        <w:div w:id="1046371207">
          <w:marLeft w:val="480"/>
          <w:marRight w:val="0"/>
          <w:marTop w:val="0"/>
          <w:marBottom w:val="0"/>
          <w:divBdr>
            <w:top w:val="none" w:sz="0" w:space="0" w:color="auto"/>
            <w:left w:val="none" w:sz="0" w:space="0" w:color="auto"/>
            <w:bottom w:val="none" w:sz="0" w:space="0" w:color="auto"/>
            <w:right w:val="none" w:sz="0" w:space="0" w:color="auto"/>
          </w:divBdr>
        </w:div>
        <w:div w:id="310141361">
          <w:marLeft w:val="480"/>
          <w:marRight w:val="0"/>
          <w:marTop w:val="0"/>
          <w:marBottom w:val="0"/>
          <w:divBdr>
            <w:top w:val="none" w:sz="0" w:space="0" w:color="auto"/>
            <w:left w:val="none" w:sz="0" w:space="0" w:color="auto"/>
            <w:bottom w:val="none" w:sz="0" w:space="0" w:color="auto"/>
            <w:right w:val="none" w:sz="0" w:space="0" w:color="auto"/>
          </w:divBdr>
        </w:div>
        <w:div w:id="1894730024">
          <w:marLeft w:val="480"/>
          <w:marRight w:val="0"/>
          <w:marTop w:val="0"/>
          <w:marBottom w:val="0"/>
          <w:divBdr>
            <w:top w:val="none" w:sz="0" w:space="0" w:color="auto"/>
            <w:left w:val="none" w:sz="0" w:space="0" w:color="auto"/>
            <w:bottom w:val="none" w:sz="0" w:space="0" w:color="auto"/>
            <w:right w:val="none" w:sz="0" w:space="0" w:color="auto"/>
          </w:divBdr>
        </w:div>
        <w:div w:id="297684490">
          <w:marLeft w:val="480"/>
          <w:marRight w:val="0"/>
          <w:marTop w:val="0"/>
          <w:marBottom w:val="0"/>
          <w:divBdr>
            <w:top w:val="none" w:sz="0" w:space="0" w:color="auto"/>
            <w:left w:val="none" w:sz="0" w:space="0" w:color="auto"/>
            <w:bottom w:val="none" w:sz="0" w:space="0" w:color="auto"/>
            <w:right w:val="none" w:sz="0" w:space="0" w:color="auto"/>
          </w:divBdr>
        </w:div>
        <w:div w:id="1784152815">
          <w:marLeft w:val="480"/>
          <w:marRight w:val="0"/>
          <w:marTop w:val="0"/>
          <w:marBottom w:val="0"/>
          <w:divBdr>
            <w:top w:val="none" w:sz="0" w:space="0" w:color="auto"/>
            <w:left w:val="none" w:sz="0" w:space="0" w:color="auto"/>
            <w:bottom w:val="none" w:sz="0" w:space="0" w:color="auto"/>
            <w:right w:val="none" w:sz="0" w:space="0" w:color="auto"/>
          </w:divBdr>
        </w:div>
        <w:div w:id="1648394213">
          <w:marLeft w:val="480"/>
          <w:marRight w:val="0"/>
          <w:marTop w:val="0"/>
          <w:marBottom w:val="0"/>
          <w:divBdr>
            <w:top w:val="none" w:sz="0" w:space="0" w:color="auto"/>
            <w:left w:val="none" w:sz="0" w:space="0" w:color="auto"/>
            <w:bottom w:val="none" w:sz="0" w:space="0" w:color="auto"/>
            <w:right w:val="none" w:sz="0" w:space="0" w:color="auto"/>
          </w:divBdr>
        </w:div>
        <w:div w:id="1772044496">
          <w:marLeft w:val="480"/>
          <w:marRight w:val="0"/>
          <w:marTop w:val="0"/>
          <w:marBottom w:val="0"/>
          <w:divBdr>
            <w:top w:val="none" w:sz="0" w:space="0" w:color="auto"/>
            <w:left w:val="none" w:sz="0" w:space="0" w:color="auto"/>
            <w:bottom w:val="none" w:sz="0" w:space="0" w:color="auto"/>
            <w:right w:val="none" w:sz="0" w:space="0" w:color="auto"/>
          </w:divBdr>
        </w:div>
        <w:div w:id="1720320925">
          <w:marLeft w:val="480"/>
          <w:marRight w:val="0"/>
          <w:marTop w:val="0"/>
          <w:marBottom w:val="0"/>
          <w:divBdr>
            <w:top w:val="none" w:sz="0" w:space="0" w:color="auto"/>
            <w:left w:val="none" w:sz="0" w:space="0" w:color="auto"/>
            <w:bottom w:val="none" w:sz="0" w:space="0" w:color="auto"/>
            <w:right w:val="none" w:sz="0" w:space="0" w:color="auto"/>
          </w:divBdr>
        </w:div>
        <w:div w:id="372313656">
          <w:marLeft w:val="480"/>
          <w:marRight w:val="0"/>
          <w:marTop w:val="0"/>
          <w:marBottom w:val="0"/>
          <w:divBdr>
            <w:top w:val="none" w:sz="0" w:space="0" w:color="auto"/>
            <w:left w:val="none" w:sz="0" w:space="0" w:color="auto"/>
            <w:bottom w:val="none" w:sz="0" w:space="0" w:color="auto"/>
            <w:right w:val="none" w:sz="0" w:space="0" w:color="auto"/>
          </w:divBdr>
        </w:div>
        <w:div w:id="1293362199">
          <w:marLeft w:val="480"/>
          <w:marRight w:val="0"/>
          <w:marTop w:val="0"/>
          <w:marBottom w:val="0"/>
          <w:divBdr>
            <w:top w:val="none" w:sz="0" w:space="0" w:color="auto"/>
            <w:left w:val="none" w:sz="0" w:space="0" w:color="auto"/>
            <w:bottom w:val="none" w:sz="0" w:space="0" w:color="auto"/>
            <w:right w:val="none" w:sz="0" w:space="0" w:color="auto"/>
          </w:divBdr>
        </w:div>
        <w:div w:id="1609969265">
          <w:marLeft w:val="480"/>
          <w:marRight w:val="0"/>
          <w:marTop w:val="0"/>
          <w:marBottom w:val="0"/>
          <w:divBdr>
            <w:top w:val="none" w:sz="0" w:space="0" w:color="auto"/>
            <w:left w:val="none" w:sz="0" w:space="0" w:color="auto"/>
            <w:bottom w:val="none" w:sz="0" w:space="0" w:color="auto"/>
            <w:right w:val="none" w:sz="0" w:space="0" w:color="auto"/>
          </w:divBdr>
        </w:div>
        <w:div w:id="1010915709">
          <w:marLeft w:val="480"/>
          <w:marRight w:val="0"/>
          <w:marTop w:val="0"/>
          <w:marBottom w:val="0"/>
          <w:divBdr>
            <w:top w:val="none" w:sz="0" w:space="0" w:color="auto"/>
            <w:left w:val="none" w:sz="0" w:space="0" w:color="auto"/>
            <w:bottom w:val="none" w:sz="0" w:space="0" w:color="auto"/>
            <w:right w:val="none" w:sz="0" w:space="0" w:color="auto"/>
          </w:divBdr>
        </w:div>
        <w:div w:id="1531337528">
          <w:marLeft w:val="480"/>
          <w:marRight w:val="0"/>
          <w:marTop w:val="0"/>
          <w:marBottom w:val="0"/>
          <w:divBdr>
            <w:top w:val="none" w:sz="0" w:space="0" w:color="auto"/>
            <w:left w:val="none" w:sz="0" w:space="0" w:color="auto"/>
            <w:bottom w:val="none" w:sz="0" w:space="0" w:color="auto"/>
            <w:right w:val="none" w:sz="0" w:space="0" w:color="auto"/>
          </w:divBdr>
        </w:div>
        <w:div w:id="41633117">
          <w:marLeft w:val="480"/>
          <w:marRight w:val="0"/>
          <w:marTop w:val="0"/>
          <w:marBottom w:val="0"/>
          <w:divBdr>
            <w:top w:val="none" w:sz="0" w:space="0" w:color="auto"/>
            <w:left w:val="none" w:sz="0" w:space="0" w:color="auto"/>
            <w:bottom w:val="none" w:sz="0" w:space="0" w:color="auto"/>
            <w:right w:val="none" w:sz="0" w:space="0" w:color="auto"/>
          </w:divBdr>
        </w:div>
        <w:div w:id="1707019144">
          <w:marLeft w:val="480"/>
          <w:marRight w:val="0"/>
          <w:marTop w:val="0"/>
          <w:marBottom w:val="0"/>
          <w:divBdr>
            <w:top w:val="none" w:sz="0" w:space="0" w:color="auto"/>
            <w:left w:val="none" w:sz="0" w:space="0" w:color="auto"/>
            <w:bottom w:val="none" w:sz="0" w:space="0" w:color="auto"/>
            <w:right w:val="none" w:sz="0" w:space="0" w:color="auto"/>
          </w:divBdr>
        </w:div>
        <w:div w:id="267392054">
          <w:marLeft w:val="480"/>
          <w:marRight w:val="0"/>
          <w:marTop w:val="0"/>
          <w:marBottom w:val="0"/>
          <w:divBdr>
            <w:top w:val="none" w:sz="0" w:space="0" w:color="auto"/>
            <w:left w:val="none" w:sz="0" w:space="0" w:color="auto"/>
            <w:bottom w:val="none" w:sz="0" w:space="0" w:color="auto"/>
            <w:right w:val="none" w:sz="0" w:space="0" w:color="auto"/>
          </w:divBdr>
        </w:div>
        <w:div w:id="1261066327">
          <w:marLeft w:val="480"/>
          <w:marRight w:val="0"/>
          <w:marTop w:val="0"/>
          <w:marBottom w:val="0"/>
          <w:divBdr>
            <w:top w:val="none" w:sz="0" w:space="0" w:color="auto"/>
            <w:left w:val="none" w:sz="0" w:space="0" w:color="auto"/>
            <w:bottom w:val="none" w:sz="0" w:space="0" w:color="auto"/>
            <w:right w:val="none" w:sz="0" w:space="0" w:color="auto"/>
          </w:divBdr>
        </w:div>
        <w:div w:id="1418330825">
          <w:marLeft w:val="480"/>
          <w:marRight w:val="0"/>
          <w:marTop w:val="0"/>
          <w:marBottom w:val="0"/>
          <w:divBdr>
            <w:top w:val="none" w:sz="0" w:space="0" w:color="auto"/>
            <w:left w:val="none" w:sz="0" w:space="0" w:color="auto"/>
            <w:bottom w:val="none" w:sz="0" w:space="0" w:color="auto"/>
            <w:right w:val="none" w:sz="0" w:space="0" w:color="auto"/>
          </w:divBdr>
        </w:div>
        <w:div w:id="117604074">
          <w:marLeft w:val="480"/>
          <w:marRight w:val="0"/>
          <w:marTop w:val="0"/>
          <w:marBottom w:val="0"/>
          <w:divBdr>
            <w:top w:val="none" w:sz="0" w:space="0" w:color="auto"/>
            <w:left w:val="none" w:sz="0" w:space="0" w:color="auto"/>
            <w:bottom w:val="none" w:sz="0" w:space="0" w:color="auto"/>
            <w:right w:val="none" w:sz="0" w:space="0" w:color="auto"/>
          </w:divBdr>
        </w:div>
      </w:divsChild>
    </w:div>
    <w:div w:id="1047297467">
      <w:bodyDiv w:val="1"/>
      <w:marLeft w:val="0"/>
      <w:marRight w:val="0"/>
      <w:marTop w:val="0"/>
      <w:marBottom w:val="0"/>
      <w:divBdr>
        <w:top w:val="none" w:sz="0" w:space="0" w:color="auto"/>
        <w:left w:val="none" w:sz="0" w:space="0" w:color="auto"/>
        <w:bottom w:val="none" w:sz="0" w:space="0" w:color="auto"/>
        <w:right w:val="none" w:sz="0" w:space="0" w:color="auto"/>
      </w:divBdr>
    </w:div>
    <w:div w:id="1047753913">
      <w:bodyDiv w:val="1"/>
      <w:marLeft w:val="0"/>
      <w:marRight w:val="0"/>
      <w:marTop w:val="0"/>
      <w:marBottom w:val="0"/>
      <w:divBdr>
        <w:top w:val="none" w:sz="0" w:space="0" w:color="auto"/>
        <w:left w:val="none" w:sz="0" w:space="0" w:color="auto"/>
        <w:bottom w:val="none" w:sz="0" w:space="0" w:color="auto"/>
        <w:right w:val="none" w:sz="0" w:space="0" w:color="auto"/>
      </w:divBdr>
    </w:div>
    <w:div w:id="1048526979">
      <w:bodyDiv w:val="1"/>
      <w:marLeft w:val="0"/>
      <w:marRight w:val="0"/>
      <w:marTop w:val="0"/>
      <w:marBottom w:val="0"/>
      <w:divBdr>
        <w:top w:val="none" w:sz="0" w:space="0" w:color="auto"/>
        <w:left w:val="none" w:sz="0" w:space="0" w:color="auto"/>
        <w:bottom w:val="none" w:sz="0" w:space="0" w:color="auto"/>
        <w:right w:val="none" w:sz="0" w:space="0" w:color="auto"/>
      </w:divBdr>
      <w:divsChild>
        <w:div w:id="1442384622">
          <w:marLeft w:val="480"/>
          <w:marRight w:val="0"/>
          <w:marTop w:val="0"/>
          <w:marBottom w:val="0"/>
          <w:divBdr>
            <w:top w:val="none" w:sz="0" w:space="0" w:color="auto"/>
            <w:left w:val="none" w:sz="0" w:space="0" w:color="auto"/>
            <w:bottom w:val="none" w:sz="0" w:space="0" w:color="auto"/>
            <w:right w:val="none" w:sz="0" w:space="0" w:color="auto"/>
          </w:divBdr>
        </w:div>
        <w:div w:id="944188656">
          <w:marLeft w:val="480"/>
          <w:marRight w:val="0"/>
          <w:marTop w:val="0"/>
          <w:marBottom w:val="0"/>
          <w:divBdr>
            <w:top w:val="none" w:sz="0" w:space="0" w:color="auto"/>
            <w:left w:val="none" w:sz="0" w:space="0" w:color="auto"/>
            <w:bottom w:val="none" w:sz="0" w:space="0" w:color="auto"/>
            <w:right w:val="none" w:sz="0" w:space="0" w:color="auto"/>
          </w:divBdr>
        </w:div>
        <w:div w:id="1189368083">
          <w:marLeft w:val="480"/>
          <w:marRight w:val="0"/>
          <w:marTop w:val="0"/>
          <w:marBottom w:val="0"/>
          <w:divBdr>
            <w:top w:val="none" w:sz="0" w:space="0" w:color="auto"/>
            <w:left w:val="none" w:sz="0" w:space="0" w:color="auto"/>
            <w:bottom w:val="none" w:sz="0" w:space="0" w:color="auto"/>
            <w:right w:val="none" w:sz="0" w:space="0" w:color="auto"/>
          </w:divBdr>
        </w:div>
        <w:div w:id="1402676371">
          <w:marLeft w:val="480"/>
          <w:marRight w:val="0"/>
          <w:marTop w:val="0"/>
          <w:marBottom w:val="0"/>
          <w:divBdr>
            <w:top w:val="none" w:sz="0" w:space="0" w:color="auto"/>
            <w:left w:val="none" w:sz="0" w:space="0" w:color="auto"/>
            <w:bottom w:val="none" w:sz="0" w:space="0" w:color="auto"/>
            <w:right w:val="none" w:sz="0" w:space="0" w:color="auto"/>
          </w:divBdr>
        </w:div>
        <w:div w:id="1255894926">
          <w:marLeft w:val="480"/>
          <w:marRight w:val="0"/>
          <w:marTop w:val="0"/>
          <w:marBottom w:val="0"/>
          <w:divBdr>
            <w:top w:val="none" w:sz="0" w:space="0" w:color="auto"/>
            <w:left w:val="none" w:sz="0" w:space="0" w:color="auto"/>
            <w:bottom w:val="none" w:sz="0" w:space="0" w:color="auto"/>
            <w:right w:val="none" w:sz="0" w:space="0" w:color="auto"/>
          </w:divBdr>
        </w:div>
        <w:div w:id="431096589">
          <w:marLeft w:val="480"/>
          <w:marRight w:val="0"/>
          <w:marTop w:val="0"/>
          <w:marBottom w:val="0"/>
          <w:divBdr>
            <w:top w:val="none" w:sz="0" w:space="0" w:color="auto"/>
            <w:left w:val="none" w:sz="0" w:space="0" w:color="auto"/>
            <w:bottom w:val="none" w:sz="0" w:space="0" w:color="auto"/>
            <w:right w:val="none" w:sz="0" w:space="0" w:color="auto"/>
          </w:divBdr>
        </w:div>
        <w:div w:id="241178809">
          <w:marLeft w:val="480"/>
          <w:marRight w:val="0"/>
          <w:marTop w:val="0"/>
          <w:marBottom w:val="0"/>
          <w:divBdr>
            <w:top w:val="none" w:sz="0" w:space="0" w:color="auto"/>
            <w:left w:val="none" w:sz="0" w:space="0" w:color="auto"/>
            <w:bottom w:val="none" w:sz="0" w:space="0" w:color="auto"/>
            <w:right w:val="none" w:sz="0" w:space="0" w:color="auto"/>
          </w:divBdr>
        </w:div>
        <w:div w:id="681517667">
          <w:marLeft w:val="480"/>
          <w:marRight w:val="0"/>
          <w:marTop w:val="0"/>
          <w:marBottom w:val="0"/>
          <w:divBdr>
            <w:top w:val="none" w:sz="0" w:space="0" w:color="auto"/>
            <w:left w:val="none" w:sz="0" w:space="0" w:color="auto"/>
            <w:bottom w:val="none" w:sz="0" w:space="0" w:color="auto"/>
            <w:right w:val="none" w:sz="0" w:space="0" w:color="auto"/>
          </w:divBdr>
        </w:div>
        <w:div w:id="1094058675">
          <w:marLeft w:val="480"/>
          <w:marRight w:val="0"/>
          <w:marTop w:val="0"/>
          <w:marBottom w:val="0"/>
          <w:divBdr>
            <w:top w:val="none" w:sz="0" w:space="0" w:color="auto"/>
            <w:left w:val="none" w:sz="0" w:space="0" w:color="auto"/>
            <w:bottom w:val="none" w:sz="0" w:space="0" w:color="auto"/>
            <w:right w:val="none" w:sz="0" w:space="0" w:color="auto"/>
          </w:divBdr>
        </w:div>
        <w:div w:id="440149861">
          <w:marLeft w:val="480"/>
          <w:marRight w:val="0"/>
          <w:marTop w:val="0"/>
          <w:marBottom w:val="0"/>
          <w:divBdr>
            <w:top w:val="none" w:sz="0" w:space="0" w:color="auto"/>
            <w:left w:val="none" w:sz="0" w:space="0" w:color="auto"/>
            <w:bottom w:val="none" w:sz="0" w:space="0" w:color="auto"/>
            <w:right w:val="none" w:sz="0" w:space="0" w:color="auto"/>
          </w:divBdr>
        </w:div>
        <w:div w:id="571500965">
          <w:marLeft w:val="480"/>
          <w:marRight w:val="0"/>
          <w:marTop w:val="0"/>
          <w:marBottom w:val="0"/>
          <w:divBdr>
            <w:top w:val="none" w:sz="0" w:space="0" w:color="auto"/>
            <w:left w:val="none" w:sz="0" w:space="0" w:color="auto"/>
            <w:bottom w:val="none" w:sz="0" w:space="0" w:color="auto"/>
            <w:right w:val="none" w:sz="0" w:space="0" w:color="auto"/>
          </w:divBdr>
        </w:div>
        <w:div w:id="1348826757">
          <w:marLeft w:val="480"/>
          <w:marRight w:val="0"/>
          <w:marTop w:val="0"/>
          <w:marBottom w:val="0"/>
          <w:divBdr>
            <w:top w:val="none" w:sz="0" w:space="0" w:color="auto"/>
            <w:left w:val="none" w:sz="0" w:space="0" w:color="auto"/>
            <w:bottom w:val="none" w:sz="0" w:space="0" w:color="auto"/>
            <w:right w:val="none" w:sz="0" w:space="0" w:color="auto"/>
          </w:divBdr>
        </w:div>
        <w:div w:id="1810782377">
          <w:marLeft w:val="480"/>
          <w:marRight w:val="0"/>
          <w:marTop w:val="0"/>
          <w:marBottom w:val="0"/>
          <w:divBdr>
            <w:top w:val="none" w:sz="0" w:space="0" w:color="auto"/>
            <w:left w:val="none" w:sz="0" w:space="0" w:color="auto"/>
            <w:bottom w:val="none" w:sz="0" w:space="0" w:color="auto"/>
            <w:right w:val="none" w:sz="0" w:space="0" w:color="auto"/>
          </w:divBdr>
        </w:div>
        <w:div w:id="664163789">
          <w:marLeft w:val="480"/>
          <w:marRight w:val="0"/>
          <w:marTop w:val="0"/>
          <w:marBottom w:val="0"/>
          <w:divBdr>
            <w:top w:val="none" w:sz="0" w:space="0" w:color="auto"/>
            <w:left w:val="none" w:sz="0" w:space="0" w:color="auto"/>
            <w:bottom w:val="none" w:sz="0" w:space="0" w:color="auto"/>
            <w:right w:val="none" w:sz="0" w:space="0" w:color="auto"/>
          </w:divBdr>
        </w:div>
        <w:div w:id="1792243726">
          <w:marLeft w:val="480"/>
          <w:marRight w:val="0"/>
          <w:marTop w:val="0"/>
          <w:marBottom w:val="0"/>
          <w:divBdr>
            <w:top w:val="none" w:sz="0" w:space="0" w:color="auto"/>
            <w:left w:val="none" w:sz="0" w:space="0" w:color="auto"/>
            <w:bottom w:val="none" w:sz="0" w:space="0" w:color="auto"/>
            <w:right w:val="none" w:sz="0" w:space="0" w:color="auto"/>
          </w:divBdr>
        </w:div>
        <w:div w:id="92481589">
          <w:marLeft w:val="480"/>
          <w:marRight w:val="0"/>
          <w:marTop w:val="0"/>
          <w:marBottom w:val="0"/>
          <w:divBdr>
            <w:top w:val="none" w:sz="0" w:space="0" w:color="auto"/>
            <w:left w:val="none" w:sz="0" w:space="0" w:color="auto"/>
            <w:bottom w:val="none" w:sz="0" w:space="0" w:color="auto"/>
            <w:right w:val="none" w:sz="0" w:space="0" w:color="auto"/>
          </w:divBdr>
        </w:div>
        <w:div w:id="1594364839">
          <w:marLeft w:val="480"/>
          <w:marRight w:val="0"/>
          <w:marTop w:val="0"/>
          <w:marBottom w:val="0"/>
          <w:divBdr>
            <w:top w:val="none" w:sz="0" w:space="0" w:color="auto"/>
            <w:left w:val="none" w:sz="0" w:space="0" w:color="auto"/>
            <w:bottom w:val="none" w:sz="0" w:space="0" w:color="auto"/>
            <w:right w:val="none" w:sz="0" w:space="0" w:color="auto"/>
          </w:divBdr>
        </w:div>
        <w:div w:id="356732233">
          <w:marLeft w:val="480"/>
          <w:marRight w:val="0"/>
          <w:marTop w:val="0"/>
          <w:marBottom w:val="0"/>
          <w:divBdr>
            <w:top w:val="none" w:sz="0" w:space="0" w:color="auto"/>
            <w:left w:val="none" w:sz="0" w:space="0" w:color="auto"/>
            <w:bottom w:val="none" w:sz="0" w:space="0" w:color="auto"/>
            <w:right w:val="none" w:sz="0" w:space="0" w:color="auto"/>
          </w:divBdr>
        </w:div>
        <w:div w:id="4596294">
          <w:marLeft w:val="480"/>
          <w:marRight w:val="0"/>
          <w:marTop w:val="0"/>
          <w:marBottom w:val="0"/>
          <w:divBdr>
            <w:top w:val="none" w:sz="0" w:space="0" w:color="auto"/>
            <w:left w:val="none" w:sz="0" w:space="0" w:color="auto"/>
            <w:bottom w:val="none" w:sz="0" w:space="0" w:color="auto"/>
            <w:right w:val="none" w:sz="0" w:space="0" w:color="auto"/>
          </w:divBdr>
        </w:div>
        <w:div w:id="1270889412">
          <w:marLeft w:val="480"/>
          <w:marRight w:val="0"/>
          <w:marTop w:val="0"/>
          <w:marBottom w:val="0"/>
          <w:divBdr>
            <w:top w:val="none" w:sz="0" w:space="0" w:color="auto"/>
            <w:left w:val="none" w:sz="0" w:space="0" w:color="auto"/>
            <w:bottom w:val="none" w:sz="0" w:space="0" w:color="auto"/>
            <w:right w:val="none" w:sz="0" w:space="0" w:color="auto"/>
          </w:divBdr>
        </w:div>
        <w:div w:id="1494418196">
          <w:marLeft w:val="480"/>
          <w:marRight w:val="0"/>
          <w:marTop w:val="0"/>
          <w:marBottom w:val="0"/>
          <w:divBdr>
            <w:top w:val="none" w:sz="0" w:space="0" w:color="auto"/>
            <w:left w:val="none" w:sz="0" w:space="0" w:color="auto"/>
            <w:bottom w:val="none" w:sz="0" w:space="0" w:color="auto"/>
            <w:right w:val="none" w:sz="0" w:space="0" w:color="auto"/>
          </w:divBdr>
        </w:div>
        <w:div w:id="857617290">
          <w:marLeft w:val="480"/>
          <w:marRight w:val="0"/>
          <w:marTop w:val="0"/>
          <w:marBottom w:val="0"/>
          <w:divBdr>
            <w:top w:val="none" w:sz="0" w:space="0" w:color="auto"/>
            <w:left w:val="none" w:sz="0" w:space="0" w:color="auto"/>
            <w:bottom w:val="none" w:sz="0" w:space="0" w:color="auto"/>
            <w:right w:val="none" w:sz="0" w:space="0" w:color="auto"/>
          </w:divBdr>
        </w:div>
        <w:div w:id="1768501835">
          <w:marLeft w:val="480"/>
          <w:marRight w:val="0"/>
          <w:marTop w:val="0"/>
          <w:marBottom w:val="0"/>
          <w:divBdr>
            <w:top w:val="none" w:sz="0" w:space="0" w:color="auto"/>
            <w:left w:val="none" w:sz="0" w:space="0" w:color="auto"/>
            <w:bottom w:val="none" w:sz="0" w:space="0" w:color="auto"/>
            <w:right w:val="none" w:sz="0" w:space="0" w:color="auto"/>
          </w:divBdr>
        </w:div>
        <w:div w:id="446193697">
          <w:marLeft w:val="480"/>
          <w:marRight w:val="0"/>
          <w:marTop w:val="0"/>
          <w:marBottom w:val="0"/>
          <w:divBdr>
            <w:top w:val="none" w:sz="0" w:space="0" w:color="auto"/>
            <w:left w:val="none" w:sz="0" w:space="0" w:color="auto"/>
            <w:bottom w:val="none" w:sz="0" w:space="0" w:color="auto"/>
            <w:right w:val="none" w:sz="0" w:space="0" w:color="auto"/>
          </w:divBdr>
        </w:div>
        <w:div w:id="471413753">
          <w:marLeft w:val="480"/>
          <w:marRight w:val="0"/>
          <w:marTop w:val="0"/>
          <w:marBottom w:val="0"/>
          <w:divBdr>
            <w:top w:val="none" w:sz="0" w:space="0" w:color="auto"/>
            <w:left w:val="none" w:sz="0" w:space="0" w:color="auto"/>
            <w:bottom w:val="none" w:sz="0" w:space="0" w:color="auto"/>
            <w:right w:val="none" w:sz="0" w:space="0" w:color="auto"/>
          </w:divBdr>
        </w:div>
        <w:div w:id="837229241">
          <w:marLeft w:val="480"/>
          <w:marRight w:val="0"/>
          <w:marTop w:val="0"/>
          <w:marBottom w:val="0"/>
          <w:divBdr>
            <w:top w:val="none" w:sz="0" w:space="0" w:color="auto"/>
            <w:left w:val="none" w:sz="0" w:space="0" w:color="auto"/>
            <w:bottom w:val="none" w:sz="0" w:space="0" w:color="auto"/>
            <w:right w:val="none" w:sz="0" w:space="0" w:color="auto"/>
          </w:divBdr>
        </w:div>
        <w:div w:id="2119373115">
          <w:marLeft w:val="480"/>
          <w:marRight w:val="0"/>
          <w:marTop w:val="0"/>
          <w:marBottom w:val="0"/>
          <w:divBdr>
            <w:top w:val="none" w:sz="0" w:space="0" w:color="auto"/>
            <w:left w:val="none" w:sz="0" w:space="0" w:color="auto"/>
            <w:bottom w:val="none" w:sz="0" w:space="0" w:color="auto"/>
            <w:right w:val="none" w:sz="0" w:space="0" w:color="auto"/>
          </w:divBdr>
        </w:div>
        <w:div w:id="2088964760">
          <w:marLeft w:val="480"/>
          <w:marRight w:val="0"/>
          <w:marTop w:val="0"/>
          <w:marBottom w:val="0"/>
          <w:divBdr>
            <w:top w:val="none" w:sz="0" w:space="0" w:color="auto"/>
            <w:left w:val="none" w:sz="0" w:space="0" w:color="auto"/>
            <w:bottom w:val="none" w:sz="0" w:space="0" w:color="auto"/>
            <w:right w:val="none" w:sz="0" w:space="0" w:color="auto"/>
          </w:divBdr>
        </w:div>
        <w:div w:id="1891189965">
          <w:marLeft w:val="480"/>
          <w:marRight w:val="0"/>
          <w:marTop w:val="0"/>
          <w:marBottom w:val="0"/>
          <w:divBdr>
            <w:top w:val="none" w:sz="0" w:space="0" w:color="auto"/>
            <w:left w:val="none" w:sz="0" w:space="0" w:color="auto"/>
            <w:bottom w:val="none" w:sz="0" w:space="0" w:color="auto"/>
            <w:right w:val="none" w:sz="0" w:space="0" w:color="auto"/>
          </w:divBdr>
        </w:div>
        <w:div w:id="1400246053">
          <w:marLeft w:val="480"/>
          <w:marRight w:val="0"/>
          <w:marTop w:val="0"/>
          <w:marBottom w:val="0"/>
          <w:divBdr>
            <w:top w:val="none" w:sz="0" w:space="0" w:color="auto"/>
            <w:left w:val="none" w:sz="0" w:space="0" w:color="auto"/>
            <w:bottom w:val="none" w:sz="0" w:space="0" w:color="auto"/>
            <w:right w:val="none" w:sz="0" w:space="0" w:color="auto"/>
          </w:divBdr>
        </w:div>
        <w:div w:id="271128602">
          <w:marLeft w:val="480"/>
          <w:marRight w:val="0"/>
          <w:marTop w:val="0"/>
          <w:marBottom w:val="0"/>
          <w:divBdr>
            <w:top w:val="none" w:sz="0" w:space="0" w:color="auto"/>
            <w:left w:val="none" w:sz="0" w:space="0" w:color="auto"/>
            <w:bottom w:val="none" w:sz="0" w:space="0" w:color="auto"/>
            <w:right w:val="none" w:sz="0" w:space="0" w:color="auto"/>
          </w:divBdr>
        </w:div>
        <w:div w:id="1863981673">
          <w:marLeft w:val="480"/>
          <w:marRight w:val="0"/>
          <w:marTop w:val="0"/>
          <w:marBottom w:val="0"/>
          <w:divBdr>
            <w:top w:val="none" w:sz="0" w:space="0" w:color="auto"/>
            <w:left w:val="none" w:sz="0" w:space="0" w:color="auto"/>
            <w:bottom w:val="none" w:sz="0" w:space="0" w:color="auto"/>
            <w:right w:val="none" w:sz="0" w:space="0" w:color="auto"/>
          </w:divBdr>
        </w:div>
        <w:div w:id="746727116">
          <w:marLeft w:val="480"/>
          <w:marRight w:val="0"/>
          <w:marTop w:val="0"/>
          <w:marBottom w:val="0"/>
          <w:divBdr>
            <w:top w:val="none" w:sz="0" w:space="0" w:color="auto"/>
            <w:left w:val="none" w:sz="0" w:space="0" w:color="auto"/>
            <w:bottom w:val="none" w:sz="0" w:space="0" w:color="auto"/>
            <w:right w:val="none" w:sz="0" w:space="0" w:color="auto"/>
          </w:divBdr>
        </w:div>
        <w:div w:id="1622178843">
          <w:marLeft w:val="480"/>
          <w:marRight w:val="0"/>
          <w:marTop w:val="0"/>
          <w:marBottom w:val="0"/>
          <w:divBdr>
            <w:top w:val="none" w:sz="0" w:space="0" w:color="auto"/>
            <w:left w:val="none" w:sz="0" w:space="0" w:color="auto"/>
            <w:bottom w:val="none" w:sz="0" w:space="0" w:color="auto"/>
            <w:right w:val="none" w:sz="0" w:space="0" w:color="auto"/>
          </w:divBdr>
        </w:div>
        <w:div w:id="2008435021">
          <w:marLeft w:val="480"/>
          <w:marRight w:val="0"/>
          <w:marTop w:val="0"/>
          <w:marBottom w:val="0"/>
          <w:divBdr>
            <w:top w:val="none" w:sz="0" w:space="0" w:color="auto"/>
            <w:left w:val="none" w:sz="0" w:space="0" w:color="auto"/>
            <w:bottom w:val="none" w:sz="0" w:space="0" w:color="auto"/>
            <w:right w:val="none" w:sz="0" w:space="0" w:color="auto"/>
          </w:divBdr>
        </w:div>
        <w:div w:id="904485824">
          <w:marLeft w:val="480"/>
          <w:marRight w:val="0"/>
          <w:marTop w:val="0"/>
          <w:marBottom w:val="0"/>
          <w:divBdr>
            <w:top w:val="none" w:sz="0" w:space="0" w:color="auto"/>
            <w:left w:val="none" w:sz="0" w:space="0" w:color="auto"/>
            <w:bottom w:val="none" w:sz="0" w:space="0" w:color="auto"/>
            <w:right w:val="none" w:sz="0" w:space="0" w:color="auto"/>
          </w:divBdr>
        </w:div>
        <w:div w:id="962812140">
          <w:marLeft w:val="480"/>
          <w:marRight w:val="0"/>
          <w:marTop w:val="0"/>
          <w:marBottom w:val="0"/>
          <w:divBdr>
            <w:top w:val="none" w:sz="0" w:space="0" w:color="auto"/>
            <w:left w:val="none" w:sz="0" w:space="0" w:color="auto"/>
            <w:bottom w:val="none" w:sz="0" w:space="0" w:color="auto"/>
            <w:right w:val="none" w:sz="0" w:space="0" w:color="auto"/>
          </w:divBdr>
        </w:div>
        <w:div w:id="491069471">
          <w:marLeft w:val="480"/>
          <w:marRight w:val="0"/>
          <w:marTop w:val="0"/>
          <w:marBottom w:val="0"/>
          <w:divBdr>
            <w:top w:val="none" w:sz="0" w:space="0" w:color="auto"/>
            <w:left w:val="none" w:sz="0" w:space="0" w:color="auto"/>
            <w:bottom w:val="none" w:sz="0" w:space="0" w:color="auto"/>
            <w:right w:val="none" w:sz="0" w:space="0" w:color="auto"/>
          </w:divBdr>
        </w:div>
        <w:div w:id="738944229">
          <w:marLeft w:val="480"/>
          <w:marRight w:val="0"/>
          <w:marTop w:val="0"/>
          <w:marBottom w:val="0"/>
          <w:divBdr>
            <w:top w:val="none" w:sz="0" w:space="0" w:color="auto"/>
            <w:left w:val="none" w:sz="0" w:space="0" w:color="auto"/>
            <w:bottom w:val="none" w:sz="0" w:space="0" w:color="auto"/>
            <w:right w:val="none" w:sz="0" w:space="0" w:color="auto"/>
          </w:divBdr>
        </w:div>
        <w:div w:id="832456035">
          <w:marLeft w:val="480"/>
          <w:marRight w:val="0"/>
          <w:marTop w:val="0"/>
          <w:marBottom w:val="0"/>
          <w:divBdr>
            <w:top w:val="none" w:sz="0" w:space="0" w:color="auto"/>
            <w:left w:val="none" w:sz="0" w:space="0" w:color="auto"/>
            <w:bottom w:val="none" w:sz="0" w:space="0" w:color="auto"/>
            <w:right w:val="none" w:sz="0" w:space="0" w:color="auto"/>
          </w:divBdr>
        </w:div>
        <w:div w:id="288246853">
          <w:marLeft w:val="480"/>
          <w:marRight w:val="0"/>
          <w:marTop w:val="0"/>
          <w:marBottom w:val="0"/>
          <w:divBdr>
            <w:top w:val="none" w:sz="0" w:space="0" w:color="auto"/>
            <w:left w:val="none" w:sz="0" w:space="0" w:color="auto"/>
            <w:bottom w:val="none" w:sz="0" w:space="0" w:color="auto"/>
            <w:right w:val="none" w:sz="0" w:space="0" w:color="auto"/>
          </w:divBdr>
        </w:div>
        <w:div w:id="1944457670">
          <w:marLeft w:val="480"/>
          <w:marRight w:val="0"/>
          <w:marTop w:val="0"/>
          <w:marBottom w:val="0"/>
          <w:divBdr>
            <w:top w:val="none" w:sz="0" w:space="0" w:color="auto"/>
            <w:left w:val="none" w:sz="0" w:space="0" w:color="auto"/>
            <w:bottom w:val="none" w:sz="0" w:space="0" w:color="auto"/>
            <w:right w:val="none" w:sz="0" w:space="0" w:color="auto"/>
          </w:divBdr>
        </w:div>
        <w:div w:id="572662778">
          <w:marLeft w:val="480"/>
          <w:marRight w:val="0"/>
          <w:marTop w:val="0"/>
          <w:marBottom w:val="0"/>
          <w:divBdr>
            <w:top w:val="none" w:sz="0" w:space="0" w:color="auto"/>
            <w:left w:val="none" w:sz="0" w:space="0" w:color="auto"/>
            <w:bottom w:val="none" w:sz="0" w:space="0" w:color="auto"/>
            <w:right w:val="none" w:sz="0" w:space="0" w:color="auto"/>
          </w:divBdr>
        </w:div>
        <w:div w:id="282155240">
          <w:marLeft w:val="480"/>
          <w:marRight w:val="0"/>
          <w:marTop w:val="0"/>
          <w:marBottom w:val="0"/>
          <w:divBdr>
            <w:top w:val="none" w:sz="0" w:space="0" w:color="auto"/>
            <w:left w:val="none" w:sz="0" w:space="0" w:color="auto"/>
            <w:bottom w:val="none" w:sz="0" w:space="0" w:color="auto"/>
            <w:right w:val="none" w:sz="0" w:space="0" w:color="auto"/>
          </w:divBdr>
        </w:div>
        <w:div w:id="1139424427">
          <w:marLeft w:val="480"/>
          <w:marRight w:val="0"/>
          <w:marTop w:val="0"/>
          <w:marBottom w:val="0"/>
          <w:divBdr>
            <w:top w:val="none" w:sz="0" w:space="0" w:color="auto"/>
            <w:left w:val="none" w:sz="0" w:space="0" w:color="auto"/>
            <w:bottom w:val="none" w:sz="0" w:space="0" w:color="auto"/>
            <w:right w:val="none" w:sz="0" w:space="0" w:color="auto"/>
          </w:divBdr>
        </w:div>
        <w:div w:id="1484195540">
          <w:marLeft w:val="480"/>
          <w:marRight w:val="0"/>
          <w:marTop w:val="0"/>
          <w:marBottom w:val="0"/>
          <w:divBdr>
            <w:top w:val="none" w:sz="0" w:space="0" w:color="auto"/>
            <w:left w:val="none" w:sz="0" w:space="0" w:color="auto"/>
            <w:bottom w:val="none" w:sz="0" w:space="0" w:color="auto"/>
            <w:right w:val="none" w:sz="0" w:space="0" w:color="auto"/>
          </w:divBdr>
        </w:div>
        <w:div w:id="1855728555">
          <w:marLeft w:val="480"/>
          <w:marRight w:val="0"/>
          <w:marTop w:val="0"/>
          <w:marBottom w:val="0"/>
          <w:divBdr>
            <w:top w:val="none" w:sz="0" w:space="0" w:color="auto"/>
            <w:left w:val="none" w:sz="0" w:space="0" w:color="auto"/>
            <w:bottom w:val="none" w:sz="0" w:space="0" w:color="auto"/>
            <w:right w:val="none" w:sz="0" w:space="0" w:color="auto"/>
          </w:divBdr>
        </w:div>
        <w:div w:id="351031556">
          <w:marLeft w:val="480"/>
          <w:marRight w:val="0"/>
          <w:marTop w:val="0"/>
          <w:marBottom w:val="0"/>
          <w:divBdr>
            <w:top w:val="none" w:sz="0" w:space="0" w:color="auto"/>
            <w:left w:val="none" w:sz="0" w:space="0" w:color="auto"/>
            <w:bottom w:val="none" w:sz="0" w:space="0" w:color="auto"/>
            <w:right w:val="none" w:sz="0" w:space="0" w:color="auto"/>
          </w:divBdr>
        </w:div>
        <w:div w:id="72701356">
          <w:marLeft w:val="480"/>
          <w:marRight w:val="0"/>
          <w:marTop w:val="0"/>
          <w:marBottom w:val="0"/>
          <w:divBdr>
            <w:top w:val="none" w:sz="0" w:space="0" w:color="auto"/>
            <w:left w:val="none" w:sz="0" w:space="0" w:color="auto"/>
            <w:bottom w:val="none" w:sz="0" w:space="0" w:color="auto"/>
            <w:right w:val="none" w:sz="0" w:space="0" w:color="auto"/>
          </w:divBdr>
        </w:div>
        <w:div w:id="1532109523">
          <w:marLeft w:val="480"/>
          <w:marRight w:val="0"/>
          <w:marTop w:val="0"/>
          <w:marBottom w:val="0"/>
          <w:divBdr>
            <w:top w:val="none" w:sz="0" w:space="0" w:color="auto"/>
            <w:left w:val="none" w:sz="0" w:space="0" w:color="auto"/>
            <w:bottom w:val="none" w:sz="0" w:space="0" w:color="auto"/>
            <w:right w:val="none" w:sz="0" w:space="0" w:color="auto"/>
          </w:divBdr>
        </w:div>
        <w:div w:id="76294889">
          <w:marLeft w:val="480"/>
          <w:marRight w:val="0"/>
          <w:marTop w:val="0"/>
          <w:marBottom w:val="0"/>
          <w:divBdr>
            <w:top w:val="none" w:sz="0" w:space="0" w:color="auto"/>
            <w:left w:val="none" w:sz="0" w:space="0" w:color="auto"/>
            <w:bottom w:val="none" w:sz="0" w:space="0" w:color="auto"/>
            <w:right w:val="none" w:sz="0" w:space="0" w:color="auto"/>
          </w:divBdr>
        </w:div>
        <w:div w:id="582691572">
          <w:marLeft w:val="480"/>
          <w:marRight w:val="0"/>
          <w:marTop w:val="0"/>
          <w:marBottom w:val="0"/>
          <w:divBdr>
            <w:top w:val="none" w:sz="0" w:space="0" w:color="auto"/>
            <w:left w:val="none" w:sz="0" w:space="0" w:color="auto"/>
            <w:bottom w:val="none" w:sz="0" w:space="0" w:color="auto"/>
            <w:right w:val="none" w:sz="0" w:space="0" w:color="auto"/>
          </w:divBdr>
        </w:div>
        <w:div w:id="1681658838">
          <w:marLeft w:val="480"/>
          <w:marRight w:val="0"/>
          <w:marTop w:val="0"/>
          <w:marBottom w:val="0"/>
          <w:divBdr>
            <w:top w:val="none" w:sz="0" w:space="0" w:color="auto"/>
            <w:left w:val="none" w:sz="0" w:space="0" w:color="auto"/>
            <w:bottom w:val="none" w:sz="0" w:space="0" w:color="auto"/>
            <w:right w:val="none" w:sz="0" w:space="0" w:color="auto"/>
          </w:divBdr>
        </w:div>
        <w:div w:id="631324407">
          <w:marLeft w:val="480"/>
          <w:marRight w:val="0"/>
          <w:marTop w:val="0"/>
          <w:marBottom w:val="0"/>
          <w:divBdr>
            <w:top w:val="none" w:sz="0" w:space="0" w:color="auto"/>
            <w:left w:val="none" w:sz="0" w:space="0" w:color="auto"/>
            <w:bottom w:val="none" w:sz="0" w:space="0" w:color="auto"/>
            <w:right w:val="none" w:sz="0" w:space="0" w:color="auto"/>
          </w:divBdr>
        </w:div>
        <w:div w:id="1268656392">
          <w:marLeft w:val="480"/>
          <w:marRight w:val="0"/>
          <w:marTop w:val="0"/>
          <w:marBottom w:val="0"/>
          <w:divBdr>
            <w:top w:val="none" w:sz="0" w:space="0" w:color="auto"/>
            <w:left w:val="none" w:sz="0" w:space="0" w:color="auto"/>
            <w:bottom w:val="none" w:sz="0" w:space="0" w:color="auto"/>
            <w:right w:val="none" w:sz="0" w:space="0" w:color="auto"/>
          </w:divBdr>
        </w:div>
        <w:div w:id="950551827">
          <w:marLeft w:val="480"/>
          <w:marRight w:val="0"/>
          <w:marTop w:val="0"/>
          <w:marBottom w:val="0"/>
          <w:divBdr>
            <w:top w:val="none" w:sz="0" w:space="0" w:color="auto"/>
            <w:left w:val="none" w:sz="0" w:space="0" w:color="auto"/>
            <w:bottom w:val="none" w:sz="0" w:space="0" w:color="auto"/>
            <w:right w:val="none" w:sz="0" w:space="0" w:color="auto"/>
          </w:divBdr>
        </w:div>
        <w:div w:id="777800041">
          <w:marLeft w:val="480"/>
          <w:marRight w:val="0"/>
          <w:marTop w:val="0"/>
          <w:marBottom w:val="0"/>
          <w:divBdr>
            <w:top w:val="none" w:sz="0" w:space="0" w:color="auto"/>
            <w:left w:val="none" w:sz="0" w:space="0" w:color="auto"/>
            <w:bottom w:val="none" w:sz="0" w:space="0" w:color="auto"/>
            <w:right w:val="none" w:sz="0" w:space="0" w:color="auto"/>
          </w:divBdr>
        </w:div>
        <w:div w:id="1797723557">
          <w:marLeft w:val="480"/>
          <w:marRight w:val="0"/>
          <w:marTop w:val="0"/>
          <w:marBottom w:val="0"/>
          <w:divBdr>
            <w:top w:val="none" w:sz="0" w:space="0" w:color="auto"/>
            <w:left w:val="none" w:sz="0" w:space="0" w:color="auto"/>
            <w:bottom w:val="none" w:sz="0" w:space="0" w:color="auto"/>
            <w:right w:val="none" w:sz="0" w:space="0" w:color="auto"/>
          </w:divBdr>
        </w:div>
        <w:div w:id="1289823835">
          <w:marLeft w:val="480"/>
          <w:marRight w:val="0"/>
          <w:marTop w:val="0"/>
          <w:marBottom w:val="0"/>
          <w:divBdr>
            <w:top w:val="none" w:sz="0" w:space="0" w:color="auto"/>
            <w:left w:val="none" w:sz="0" w:space="0" w:color="auto"/>
            <w:bottom w:val="none" w:sz="0" w:space="0" w:color="auto"/>
            <w:right w:val="none" w:sz="0" w:space="0" w:color="auto"/>
          </w:divBdr>
        </w:div>
        <w:div w:id="1168710474">
          <w:marLeft w:val="480"/>
          <w:marRight w:val="0"/>
          <w:marTop w:val="0"/>
          <w:marBottom w:val="0"/>
          <w:divBdr>
            <w:top w:val="none" w:sz="0" w:space="0" w:color="auto"/>
            <w:left w:val="none" w:sz="0" w:space="0" w:color="auto"/>
            <w:bottom w:val="none" w:sz="0" w:space="0" w:color="auto"/>
            <w:right w:val="none" w:sz="0" w:space="0" w:color="auto"/>
          </w:divBdr>
        </w:div>
        <w:div w:id="211696294">
          <w:marLeft w:val="480"/>
          <w:marRight w:val="0"/>
          <w:marTop w:val="0"/>
          <w:marBottom w:val="0"/>
          <w:divBdr>
            <w:top w:val="none" w:sz="0" w:space="0" w:color="auto"/>
            <w:left w:val="none" w:sz="0" w:space="0" w:color="auto"/>
            <w:bottom w:val="none" w:sz="0" w:space="0" w:color="auto"/>
            <w:right w:val="none" w:sz="0" w:space="0" w:color="auto"/>
          </w:divBdr>
        </w:div>
        <w:div w:id="1287003953">
          <w:marLeft w:val="480"/>
          <w:marRight w:val="0"/>
          <w:marTop w:val="0"/>
          <w:marBottom w:val="0"/>
          <w:divBdr>
            <w:top w:val="none" w:sz="0" w:space="0" w:color="auto"/>
            <w:left w:val="none" w:sz="0" w:space="0" w:color="auto"/>
            <w:bottom w:val="none" w:sz="0" w:space="0" w:color="auto"/>
            <w:right w:val="none" w:sz="0" w:space="0" w:color="auto"/>
          </w:divBdr>
        </w:div>
        <w:div w:id="522675174">
          <w:marLeft w:val="480"/>
          <w:marRight w:val="0"/>
          <w:marTop w:val="0"/>
          <w:marBottom w:val="0"/>
          <w:divBdr>
            <w:top w:val="none" w:sz="0" w:space="0" w:color="auto"/>
            <w:left w:val="none" w:sz="0" w:space="0" w:color="auto"/>
            <w:bottom w:val="none" w:sz="0" w:space="0" w:color="auto"/>
            <w:right w:val="none" w:sz="0" w:space="0" w:color="auto"/>
          </w:divBdr>
        </w:div>
        <w:div w:id="747338121">
          <w:marLeft w:val="480"/>
          <w:marRight w:val="0"/>
          <w:marTop w:val="0"/>
          <w:marBottom w:val="0"/>
          <w:divBdr>
            <w:top w:val="none" w:sz="0" w:space="0" w:color="auto"/>
            <w:left w:val="none" w:sz="0" w:space="0" w:color="auto"/>
            <w:bottom w:val="none" w:sz="0" w:space="0" w:color="auto"/>
            <w:right w:val="none" w:sz="0" w:space="0" w:color="auto"/>
          </w:divBdr>
        </w:div>
        <w:div w:id="1288311986">
          <w:marLeft w:val="480"/>
          <w:marRight w:val="0"/>
          <w:marTop w:val="0"/>
          <w:marBottom w:val="0"/>
          <w:divBdr>
            <w:top w:val="none" w:sz="0" w:space="0" w:color="auto"/>
            <w:left w:val="none" w:sz="0" w:space="0" w:color="auto"/>
            <w:bottom w:val="none" w:sz="0" w:space="0" w:color="auto"/>
            <w:right w:val="none" w:sz="0" w:space="0" w:color="auto"/>
          </w:divBdr>
        </w:div>
        <w:div w:id="1504781238">
          <w:marLeft w:val="480"/>
          <w:marRight w:val="0"/>
          <w:marTop w:val="0"/>
          <w:marBottom w:val="0"/>
          <w:divBdr>
            <w:top w:val="none" w:sz="0" w:space="0" w:color="auto"/>
            <w:left w:val="none" w:sz="0" w:space="0" w:color="auto"/>
            <w:bottom w:val="none" w:sz="0" w:space="0" w:color="auto"/>
            <w:right w:val="none" w:sz="0" w:space="0" w:color="auto"/>
          </w:divBdr>
        </w:div>
        <w:div w:id="1414888421">
          <w:marLeft w:val="480"/>
          <w:marRight w:val="0"/>
          <w:marTop w:val="0"/>
          <w:marBottom w:val="0"/>
          <w:divBdr>
            <w:top w:val="none" w:sz="0" w:space="0" w:color="auto"/>
            <w:left w:val="none" w:sz="0" w:space="0" w:color="auto"/>
            <w:bottom w:val="none" w:sz="0" w:space="0" w:color="auto"/>
            <w:right w:val="none" w:sz="0" w:space="0" w:color="auto"/>
          </w:divBdr>
        </w:div>
        <w:div w:id="1953630587">
          <w:marLeft w:val="480"/>
          <w:marRight w:val="0"/>
          <w:marTop w:val="0"/>
          <w:marBottom w:val="0"/>
          <w:divBdr>
            <w:top w:val="none" w:sz="0" w:space="0" w:color="auto"/>
            <w:left w:val="none" w:sz="0" w:space="0" w:color="auto"/>
            <w:bottom w:val="none" w:sz="0" w:space="0" w:color="auto"/>
            <w:right w:val="none" w:sz="0" w:space="0" w:color="auto"/>
          </w:divBdr>
        </w:div>
        <w:div w:id="1639799771">
          <w:marLeft w:val="480"/>
          <w:marRight w:val="0"/>
          <w:marTop w:val="0"/>
          <w:marBottom w:val="0"/>
          <w:divBdr>
            <w:top w:val="none" w:sz="0" w:space="0" w:color="auto"/>
            <w:left w:val="none" w:sz="0" w:space="0" w:color="auto"/>
            <w:bottom w:val="none" w:sz="0" w:space="0" w:color="auto"/>
            <w:right w:val="none" w:sz="0" w:space="0" w:color="auto"/>
          </w:divBdr>
        </w:div>
        <w:div w:id="363331676">
          <w:marLeft w:val="480"/>
          <w:marRight w:val="0"/>
          <w:marTop w:val="0"/>
          <w:marBottom w:val="0"/>
          <w:divBdr>
            <w:top w:val="none" w:sz="0" w:space="0" w:color="auto"/>
            <w:left w:val="none" w:sz="0" w:space="0" w:color="auto"/>
            <w:bottom w:val="none" w:sz="0" w:space="0" w:color="auto"/>
            <w:right w:val="none" w:sz="0" w:space="0" w:color="auto"/>
          </w:divBdr>
        </w:div>
        <w:div w:id="1634600968">
          <w:marLeft w:val="480"/>
          <w:marRight w:val="0"/>
          <w:marTop w:val="0"/>
          <w:marBottom w:val="0"/>
          <w:divBdr>
            <w:top w:val="none" w:sz="0" w:space="0" w:color="auto"/>
            <w:left w:val="none" w:sz="0" w:space="0" w:color="auto"/>
            <w:bottom w:val="none" w:sz="0" w:space="0" w:color="auto"/>
            <w:right w:val="none" w:sz="0" w:space="0" w:color="auto"/>
          </w:divBdr>
        </w:div>
        <w:div w:id="146750335">
          <w:marLeft w:val="480"/>
          <w:marRight w:val="0"/>
          <w:marTop w:val="0"/>
          <w:marBottom w:val="0"/>
          <w:divBdr>
            <w:top w:val="none" w:sz="0" w:space="0" w:color="auto"/>
            <w:left w:val="none" w:sz="0" w:space="0" w:color="auto"/>
            <w:bottom w:val="none" w:sz="0" w:space="0" w:color="auto"/>
            <w:right w:val="none" w:sz="0" w:space="0" w:color="auto"/>
          </w:divBdr>
        </w:div>
        <w:div w:id="1358775565">
          <w:marLeft w:val="480"/>
          <w:marRight w:val="0"/>
          <w:marTop w:val="0"/>
          <w:marBottom w:val="0"/>
          <w:divBdr>
            <w:top w:val="none" w:sz="0" w:space="0" w:color="auto"/>
            <w:left w:val="none" w:sz="0" w:space="0" w:color="auto"/>
            <w:bottom w:val="none" w:sz="0" w:space="0" w:color="auto"/>
            <w:right w:val="none" w:sz="0" w:space="0" w:color="auto"/>
          </w:divBdr>
        </w:div>
        <w:div w:id="789517787">
          <w:marLeft w:val="480"/>
          <w:marRight w:val="0"/>
          <w:marTop w:val="0"/>
          <w:marBottom w:val="0"/>
          <w:divBdr>
            <w:top w:val="none" w:sz="0" w:space="0" w:color="auto"/>
            <w:left w:val="none" w:sz="0" w:space="0" w:color="auto"/>
            <w:bottom w:val="none" w:sz="0" w:space="0" w:color="auto"/>
            <w:right w:val="none" w:sz="0" w:space="0" w:color="auto"/>
          </w:divBdr>
        </w:div>
        <w:div w:id="12806262">
          <w:marLeft w:val="480"/>
          <w:marRight w:val="0"/>
          <w:marTop w:val="0"/>
          <w:marBottom w:val="0"/>
          <w:divBdr>
            <w:top w:val="none" w:sz="0" w:space="0" w:color="auto"/>
            <w:left w:val="none" w:sz="0" w:space="0" w:color="auto"/>
            <w:bottom w:val="none" w:sz="0" w:space="0" w:color="auto"/>
            <w:right w:val="none" w:sz="0" w:space="0" w:color="auto"/>
          </w:divBdr>
        </w:div>
        <w:div w:id="1383745085">
          <w:marLeft w:val="480"/>
          <w:marRight w:val="0"/>
          <w:marTop w:val="0"/>
          <w:marBottom w:val="0"/>
          <w:divBdr>
            <w:top w:val="none" w:sz="0" w:space="0" w:color="auto"/>
            <w:left w:val="none" w:sz="0" w:space="0" w:color="auto"/>
            <w:bottom w:val="none" w:sz="0" w:space="0" w:color="auto"/>
            <w:right w:val="none" w:sz="0" w:space="0" w:color="auto"/>
          </w:divBdr>
        </w:div>
        <w:div w:id="2111507743">
          <w:marLeft w:val="480"/>
          <w:marRight w:val="0"/>
          <w:marTop w:val="0"/>
          <w:marBottom w:val="0"/>
          <w:divBdr>
            <w:top w:val="none" w:sz="0" w:space="0" w:color="auto"/>
            <w:left w:val="none" w:sz="0" w:space="0" w:color="auto"/>
            <w:bottom w:val="none" w:sz="0" w:space="0" w:color="auto"/>
            <w:right w:val="none" w:sz="0" w:space="0" w:color="auto"/>
          </w:divBdr>
        </w:div>
        <w:div w:id="545920352">
          <w:marLeft w:val="480"/>
          <w:marRight w:val="0"/>
          <w:marTop w:val="0"/>
          <w:marBottom w:val="0"/>
          <w:divBdr>
            <w:top w:val="none" w:sz="0" w:space="0" w:color="auto"/>
            <w:left w:val="none" w:sz="0" w:space="0" w:color="auto"/>
            <w:bottom w:val="none" w:sz="0" w:space="0" w:color="auto"/>
            <w:right w:val="none" w:sz="0" w:space="0" w:color="auto"/>
          </w:divBdr>
        </w:div>
        <w:div w:id="1727294471">
          <w:marLeft w:val="480"/>
          <w:marRight w:val="0"/>
          <w:marTop w:val="0"/>
          <w:marBottom w:val="0"/>
          <w:divBdr>
            <w:top w:val="none" w:sz="0" w:space="0" w:color="auto"/>
            <w:left w:val="none" w:sz="0" w:space="0" w:color="auto"/>
            <w:bottom w:val="none" w:sz="0" w:space="0" w:color="auto"/>
            <w:right w:val="none" w:sz="0" w:space="0" w:color="auto"/>
          </w:divBdr>
        </w:div>
        <w:div w:id="1758668323">
          <w:marLeft w:val="480"/>
          <w:marRight w:val="0"/>
          <w:marTop w:val="0"/>
          <w:marBottom w:val="0"/>
          <w:divBdr>
            <w:top w:val="none" w:sz="0" w:space="0" w:color="auto"/>
            <w:left w:val="none" w:sz="0" w:space="0" w:color="auto"/>
            <w:bottom w:val="none" w:sz="0" w:space="0" w:color="auto"/>
            <w:right w:val="none" w:sz="0" w:space="0" w:color="auto"/>
          </w:divBdr>
        </w:div>
        <w:div w:id="152573030">
          <w:marLeft w:val="480"/>
          <w:marRight w:val="0"/>
          <w:marTop w:val="0"/>
          <w:marBottom w:val="0"/>
          <w:divBdr>
            <w:top w:val="none" w:sz="0" w:space="0" w:color="auto"/>
            <w:left w:val="none" w:sz="0" w:space="0" w:color="auto"/>
            <w:bottom w:val="none" w:sz="0" w:space="0" w:color="auto"/>
            <w:right w:val="none" w:sz="0" w:space="0" w:color="auto"/>
          </w:divBdr>
        </w:div>
        <w:div w:id="2061126749">
          <w:marLeft w:val="480"/>
          <w:marRight w:val="0"/>
          <w:marTop w:val="0"/>
          <w:marBottom w:val="0"/>
          <w:divBdr>
            <w:top w:val="none" w:sz="0" w:space="0" w:color="auto"/>
            <w:left w:val="none" w:sz="0" w:space="0" w:color="auto"/>
            <w:bottom w:val="none" w:sz="0" w:space="0" w:color="auto"/>
            <w:right w:val="none" w:sz="0" w:space="0" w:color="auto"/>
          </w:divBdr>
        </w:div>
        <w:div w:id="316956227">
          <w:marLeft w:val="480"/>
          <w:marRight w:val="0"/>
          <w:marTop w:val="0"/>
          <w:marBottom w:val="0"/>
          <w:divBdr>
            <w:top w:val="none" w:sz="0" w:space="0" w:color="auto"/>
            <w:left w:val="none" w:sz="0" w:space="0" w:color="auto"/>
            <w:bottom w:val="none" w:sz="0" w:space="0" w:color="auto"/>
            <w:right w:val="none" w:sz="0" w:space="0" w:color="auto"/>
          </w:divBdr>
        </w:div>
        <w:div w:id="1767381814">
          <w:marLeft w:val="480"/>
          <w:marRight w:val="0"/>
          <w:marTop w:val="0"/>
          <w:marBottom w:val="0"/>
          <w:divBdr>
            <w:top w:val="none" w:sz="0" w:space="0" w:color="auto"/>
            <w:left w:val="none" w:sz="0" w:space="0" w:color="auto"/>
            <w:bottom w:val="none" w:sz="0" w:space="0" w:color="auto"/>
            <w:right w:val="none" w:sz="0" w:space="0" w:color="auto"/>
          </w:divBdr>
        </w:div>
        <w:div w:id="1008824454">
          <w:marLeft w:val="480"/>
          <w:marRight w:val="0"/>
          <w:marTop w:val="0"/>
          <w:marBottom w:val="0"/>
          <w:divBdr>
            <w:top w:val="none" w:sz="0" w:space="0" w:color="auto"/>
            <w:left w:val="none" w:sz="0" w:space="0" w:color="auto"/>
            <w:bottom w:val="none" w:sz="0" w:space="0" w:color="auto"/>
            <w:right w:val="none" w:sz="0" w:space="0" w:color="auto"/>
          </w:divBdr>
        </w:div>
        <w:div w:id="1524980062">
          <w:marLeft w:val="480"/>
          <w:marRight w:val="0"/>
          <w:marTop w:val="0"/>
          <w:marBottom w:val="0"/>
          <w:divBdr>
            <w:top w:val="none" w:sz="0" w:space="0" w:color="auto"/>
            <w:left w:val="none" w:sz="0" w:space="0" w:color="auto"/>
            <w:bottom w:val="none" w:sz="0" w:space="0" w:color="auto"/>
            <w:right w:val="none" w:sz="0" w:space="0" w:color="auto"/>
          </w:divBdr>
        </w:div>
        <w:div w:id="1537352648">
          <w:marLeft w:val="480"/>
          <w:marRight w:val="0"/>
          <w:marTop w:val="0"/>
          <w:marBottom w:val="0"/>
          <w:divBdr>
            <w:top w:val="none" w:sz="0" w:space="0" w:color="auto"/>
            <w:left w:val="none" w:sz="0" w:space="0" w:color="auto"/>
            <w:bottom w:val="none" w:sz="0" w:space="0" w:color="auto"/>
            <w:right w:val="none" w:sz="0" w:space="0" w:color="auto"/>
          </w:divBdr>
        </w:div>
        <w:div w:id="748885427">
          <w:marLeft w:val="480"/>
          <w:marRight w:val="0"/>
          <w:marTop w:val="0"/>
          <w:marBottom w:val="0"/>
          <w:divBdr>
            <w:top w:val="none" w:sz="0" w:space="0" w:color="auto"/>
            <w:left w:val="none" w:sz="0" w:space="0" w:color="auto"/>
            <w:bottom w:val="none" w:sz="0" w:space="0" w:color="auto"/>
            <w:right w:val="none" w:sz="0" w:space="0" w:color="auto"/>
          </w:divBdr>
        </w:div>
        <w:div w:id="1591234551">
          <w:marLeft w:val="480"/>
          <w:marRight w:val="0"/>
          <w:marTop w:val="0"/>
          <w:marBottom w:val="0"/>
          <w:divBdr>
            <w:top w:val="none" w:sz="0" w:space="0" w:color="auto"/>
            <w:left w:val="none" w:sz="0" w:space="0" w:color="auto"/>
            <w:bottom w:val="none" w:sz="0" w:space="0" w:color="auto"/>
            <w:right w:val="none" w:sz="0" w:space="0" w:color="auto"/>
          </w:divBdr>
        </w:div>
        <w:div w:id="775488233">
          <w:marLeft w:val="480"/>
          <w:marRight w:val="0"/>
          <w:marTop w:val="0"/>
          <w:marBottom w:val="0"/>
          <w:divBdr>
            <w:top w:val="none" w:sz="0" w:space="0" w:color="auto"/>
            <w:left w:val="none" w:sz="0" w:space="0" w:color="auto"/>
            <w:bottom w:val="none" w:sz="0" w:space="0" w:color="auto"/>
            <w:right w:val="none" w:sz="0" w:space="0" w:color="auto"/>
          </w:divBdr>
        </w:div>
        <w:div w:id="228661073">
          <w:marLeft w:val="480"/>
          <w:marRight w:val="0"/>
          <w:marTop w:val="0"/>
          <w:marBottom w:val="0"/>
          <w:divBdr>
            <w:top w:val="none" w:sz="0" w:space="0" w:color="auto"/>
            <w:left w:val="none" w:sz="0" w:space="0" w:color="auto"/>
            <w:bottom w:val="none" w:sz="0" w:space="0" w:color="auto"/>
            <w:right w:val="none" w:sz="0" w:space="0" w:color="auto"/>
          </w:divBdr>
        </w:div>
        <w:div w:id="2001419139">
          <w:marLeft w:val="480"/>
          <w:marRight w:val="0"/>
          <w:marTop w:val="0"/>
          <w:marBottom w:val="0"/>
          <w:divBdr>
            <w:top w:val="none" w:sz="0" w:space="0" w:color="auto"/>
            <w:left w:val="none" w:sz="0" w:space="0" w:color="auto"/>
            <w:bottom w:val="none" w:sz="0" w:space="0" w:color="auto"/>
            <w:right w:val="none" w:sz="0" w:space="0" w:color="auto"/>
          </w:divBdr>
        </w:div>
        <w:div w:id="622150432">
          <w:marLeft w:val="480"/>
          <w:marRight w:val="0"/>
          <w:marTop w:val="0"/>
          <w:marBottom w:val="0"/>
          <w:divBdr>
            <w:top w:val="none" w:sz="0" w:space="0" w:color="auto"/>
            <w:left w:val="none" w:sz="0" w:space="0" w:color="auto"/>
            <w:bottom w:val="none" w:sz="0" w:space="0" w:color="auto"/>
            <w:right w:val="none" w:sz="0" w:space="0" w:color="auto"/>
          </w:divBdr>
        </w:div>
        <w:div w:id="1091123236">
          <w:marLeft w:val="480"/>
          <w:marRight w:val="0"/>
          <w:marTop w:val="0"/>
          <w:marBottom w:val="0"/>
          <w:divBdr>
            <w:top w:val="none" w:sz="0" w:space="0" w:color="auto"/>
            <w:left w:val="none" w:sz="0" w:space="0" w:color="auto"/>
            <w:bottom w:val="none" w:sz="0" w:space="0" w:color="auto"/>
            <w:right w:val="none" w:sz="0" w:space="0" w:color="auto"/>
          </w:divBdr>
        </w:div>
        <w:div w:id="1199004008">
          <w:marLeft w:val="480"/>
          <w:marRight w:val="0"/>
          <w:marTop w:val="0"/>
          <w:marBottom w:val="0"/>
          <w:divBdr>
            <w:top w:val="none" w:sz="0" w:space="0" w:color="auto"/>
            <w:left w:val="none" w:sz="0" w:space="0" w:color="auto"/>
            <w:bottom w:val="none" w:sz="0" w:space="0" w:color="auto"/>
            <w:right w:val="none" w:sz="0" w:space="0" w:color="auto"/>
          </w:divBdr>
        </w:div>
        <w:div w:id="500316607">
          <w:marLeft w:val="480"/>
          <w:marRight w:val="0"/>
          <w:marTop w:val="0"/>
          <w:marBottom w:val="0"/>
          <w:divBdr>
            <w:top w:val="none" w:sz="0" w:space="0" w:color="auto"/>
            <w:left w:val="none" w:sz="0" w:space="0" w:color="auto"/>
            <w:bottom w:val="none" w:sz="0" w:space="0" w:color="auto"/>
            <w:right w:val="none" w:sz="0" w:space="0" w:color="auto"/>
          </w:divBdr>
        </w:div>
        <w:div w:id="2121215371">
          <w:marLeft w:val="480"/>
          <w:marRight w:val="0"/>
          <w:marTop w:val="0"/>
          <w:marBottom w:val="0"/>
          <w:divBdr>
            <w:top w:val="none" w:sz="0" w:space="0" w:color="auto"/>
            <w:left w:val="none" w:sz="0" w:space="0" w:color="auto"/>
            <w:bottom w:val="none" w:sz="0" w:space="0" w:color="auto"/>
            <w:right w:val="none" w:sz="0" w:space="0" w:color="auto"/>
          </w:divBdr>
        </w:div>
        <w:div w:id="302656042">
          <w:marLeft w:val="480"/>
          <w:marRight w:val="0"/>
          <w:marTop w:val="0"/>
          <w:marBottom w:val="0"/>
          <w:divBdr>
            <w:top w:val="none" w:sz="0" w:space="0" w:color="auto"/>
            <w:left w:val="none" w:sz="0" w:space="0" w:color="auto"/>
            <w:bottom w:val="none" w:sz="0" w:space="0" w:color="auto"/>
            <w:right w:val="none" w:sz="0" w:space="0" w:color="auto"/>
          </w:divBdr>
        </w:div>
        <w:div w:id="1187645355">
          <w:marLeft w:val="480"/>
          <w:marRight w:val="0"/>
          <w:marTop w:val="0"/>
          <w:marBottom w:val="0"/>
          <w:divBdr>
            <w:top w:val="none" w:sz="0" w:space="0" w:color="auto"/>
            <w:left w:val="none" w:sz="0" w:space="0" w:color="auto"/>
            <w:bottom w:val="none" w:sz="0" w:space="0" w:color="auto"/>
            <w:right w:val="none" w:sz="0" w:space="0" w:color="auto"/>
          </w:divBdr>
        </w:div>
        <w:div w:id="268776975">
          <w:marLeft w:val="480"/>
          <w:marRight w:val="0"/>
          <w:marTop w:val="0"/>
          <w:marBottom w:val="0"/>
          <w:divBdr>
            <w:top w:val="none" w:sz="0" w:space="0" w:color="auto"/>
            <w:left w:val="none" w:sz="0" w:space="0" w:color="auto"/>
            <w:bottom w:val="none" w:sz="0" w:space="0" w:color="auto"/>
            <w:right w:val="none" w:sz="0" w:space="0" w:color="auto"/>
          </w:divBdr>
        </w:div>
        <w:div w:id="1641304974">
          <w:marLeft w:val="480"/>
          <w:marRight w:val="0"/>
          <w:marTop w:val="0"/>
          <w:marBottom w:val="0"/>
          <w:divBdr>
            <w:top w:val="none" w:sz="0" w:space="0" w:color="auto"/>
            <w:left w:val="none" w:sz="0" w:space="0" w:color="auto"/>
            <w:bottom w:val="none" w:sz="0" w:space="0" w:color="auto"/>
            <w:right w:val="none" w:sz="0" w:space="0" w:color="auto"/>
          </w:divBdr>
        </w:div>
        <w:div w:id="926965303">
          <w:marLeft w:val="480"/>
          <w:marRight w:val="0"/>
          <w:marTop w:val="0"/>
          <w:marBottom w:val="0"/>
          <w:divBdr>
            <w:top w:val="none" w:sz="0" w:space="0" w:color="auto"/>
            <w:left w:val="none" w:sz="0" w:space="0" w:color="auto"/>
            <w:bottom w:val="none" w:sz="0" w:space="0" w:color="auto"/>
            <w:right w:val="none" w:sz="0" w:space="0" w:color="auto"/>
          </w:divBdr>
        </w:div>
        <w:div w:id="1478376031">
          <w:marLeft w:val="480"/>
          <w:marRight w:val="0"/>
          <w:marTop w:val="0"/>
          <w:marBottom w:val="0"/>
          <w:divBdr>
            <w:top w:val="none" w:sz="0" w:space="0" w:color="auto"/>
            <w:left w:val="none" w:sz="0" w:space="0" w:color="auto"/>
            <w:bottom w:val="none" w:sz="0" w:space="0" w:color="auto"/>
            <w:right w:val="none" w:sz="0" w:space="0" w:color="auto"/>
          </w:divBdr>
        </w:div>
        <w:div w:id="245189833">
          <w:marLeft w:val="480"/>
          <w:marRight w:val="0"/>
          <w:marTop w:val="0"/>
          <w:marBottom w:val="0"/>
          <w:divBdr>
            <w:top w:val="none" w:sz="0" w:space="0" w:color="auto"/>
            <w:left w:val="none" w:sz="0" w:space="0" w:color="auto"/>
            <w:bottom w:val="none" w:sz="0" w:space="0" w:color="auto"/>
            <w:right w:val="none" w:sz="0" w:space="0" w:color="auto"/>
          </w:divBdr>
        </w:div>
        <w:div w:id="2016683614">
          <w:marLeft w:val="480"/>
          <w:marRight w:val="0"/>
          <w:marTop w:val="0"/>
          <w:marBottom w:val="0"/>
          <w:divBdr>
            <w:top w:val="none" w:sz="0" w:space="0" w:color="auto"/>
            <w:left w:val="none" w:sz="0" w:space="0" w:color="auto"/>
            <w:bottom w:val="none" w:sz="0" w:space="0" w:color="auto"/>
            <w:right w:val="none" w:sz="0" w:space="0" w:color="auto"/>
          </w:divBdr>
        </w:div>
        <w:div w:id="1539271983">
          <w:marLeft w:val="480"/>
          <w:marRight w:val="0"/>
          <w:marTop w:val="0"/>
          <w:marBottom w:val="0"/>
          <w:divBdr>
            <w:top w:val="none" w:sz="0" w:space="0" w:color="auto"/>
            <w:left w:val="none" w:sz="0" w:space="0" w:color="auto"/>
            <w:bottom w:val="none" w:sz="0" w:space="0" w:color="auto"/>
            <w:right w:val="none" w:sz="0" w:space="0" w:color="auto"/>
          </w:divBdr>
        </w:div>
        <w:div w:id="1305280684">
          <w:marLeft w:val="480"/>
          <w:marRight w:val="0"/>
          <w:marTop w:val="0"/>
          <w:marBottom w:val="0"/>
          <w:divBdr>
            <w:top w:val="none" w:sz="0" w:space="0" w:color="auto"/>
            <w:left w:val="none" w:sz="0" w:space="0" w:color="auto"/>
            <w:bottom w:val="none" w:sz="0" w:space="0" w:color="auto"/>
            <w:right w:val="none" w:sz="0" w:space="0" w:color="auto"/>
          </w:divBdr>
        </w:div>
        <w:div w:id="781995597">
          <w:marLeft w:val="480"/>
          <w:marRight w:val="0"/>
          <w:marTop w:val="0"/>
          <w:marBottom w:val="0"/>
          <w:divBdr>
            <w:top w:val="none" w:sz="0" w:space="0" w:color="auto"/>
            <w:left w:val="none" w:sz="0" w:space="0" w:color="auto"/>
            <w:bottom w:val="none" w:sz="0" w:space="0" w:color="auto"/>
            <w:right w:val="none" w:sz="0" w:space="0" w:color="auto"/>
          </w:divBdr>
        </w:div>
        <w:div w:id="1975787613">
          <w:marLeft w:val="480"/>
          <w:marRight w:val="0"/>
          <w:marTop w:val="0"/>
          <w:marBottom w:val="0"/>
          <w:divBdr>
            <w:top w:val="none" w:sz="0" w:space="0" w:color="auto"/>
            <w:left w:val="none" w:sz="0" w:space="0" w:color="auto"/>
            <w:bottom w:val="none" w:sz="0" w:space="0" w:color="auto"/>
            <w:right w:val="none" w:sz="0" w:space="0" w:color="auto"/>
          </w:divBdr>
        </w:div>
        <w:div w:id="1458111187">
          <w:marLeft w:val="480"/>
          <w:marRight w:val="0"/>
          <w:marTop w:val="0"/>
          <w:marBottom w:val="0"/>
          <w:divBdr>
            <w:top w:val="none" w:sz="0" w:space="0" w:color="auto"/>
            <w:left w:val="none" w:sz="0" w:space="0" w:color="auto"/>
            <w:bottom w:val="none" w:sz="0" w:space="0" w:color="auto"/>
            <w:right w:val="none" w:sz="0" w:space="0" w:color="auto"/>
          </w:divBdr>
        </w:div>
        <w:div w:id="1834563022">
          <w:marLeft w:val="480"/>
          <w:marRight w:val="0"/>
          <w:marTop w:val="0"/>
          <w:marBottom w:val="0"/>
          <w:divBdr>
            <w:top w:val="none" w:sz="0" w:space="0" w:color="auto"/>
            <w:left w:val="none" w:sz="0" w:space="0" w:color="auto"/>
            <w:bottom w:val="none" w:sz="0" w:space="0" w:color="auto"/>
            <w:right w:val="none" w:sz="0" w:space="0" w:color="auto"/>
          </w:divBdr>
        </w:div>
        <w:div w:id="828249452">
          <w:marLeft w:val="480"/>
          <w:marRight w:val="0"/>
          <w:marTop w:val="0"/>
          <w:marBottom w:val="0"/>
          <w:divBdr>
            <w:top w:val="none" w:sz="0" w:space="0" w:color="auto"/>
            <w:left w:val="none" w:sz="0" w:space="0" w:color="auto"/>
            <w:bottom w:val="none" w:sz="0" w:space="0" w:color="auto"/>
            <w:right w:val="none" w:sz="0" w:space="0" w:color="auto"/>
          </w:divBdr>
        </w:div>
        <w:div w:id="1102191515">
          <w:marLeft w:val="480"/>
          <w:marRight w:val="0"/>
          <w:marTop w:val="0"/>
          <w:marBottom w:val="0"/>
          <w:divBdr>
            <w:top w:val="none" w:sz="0" w:space="0" w:color="auto"/>
            <w:left w:val="none" w:sz="0" w:space="0" w:color="auto"/>
            <w:bottom w:val="none" w:sz="0" w:space="0" w:color="auto"/>
            <w:right w:val="none" w:sz="0" w:space="0" w:color="auto"/>
          </w:divBdr>
        </w:div>
        <w:div w:id="339704152">
          <w:marLeft w:val="480"/>
          <w:marRight w:val="0"/>
          <w:marTop w:val="0"/>
          <w:marBottom w:val="0"/>
          <w:divBdr>
            <w:top w:val="none" w:sz="0" w:space="0" w:color="auto"/>
            <w:left w:val="none" w:sz="0" w:space="0" w:color="auto"/>
            <w:bottom w:val="none" w:sz="0" w:space="0" w:color="auto"/>
            <w:right w:val="none" w:sz="0" w:space="0" w:color="auto"/>
          </w:divBdr>
        </w:div>
        <w:div w:id="65223544">
          <w:marLeft w:val="480"/>
          <w:marRight w:val="0"/>
          <w:marTop w:val="0"/>
          <w:marBottom w:val="0"/>
          <w:divBdr>
            <w:top w:val="none" w:sz="0" w:space="0" w:color="auto"/>
            <w:left w:val="none" w:sz="0" w:space="0" w:color="auto"/>
            <w:bottom w:val="none" w:sz="0" w:space="0" w:color="auto"/>
            <w:right w:val="none" w:sz="0" w:space="0" w:color="auto"/>
          </w:divBdr>
        </w:div>
        <w:div w:id="466364909">
          <w:marLeft w:val="480"/>
          <w:marRight w:val="0"/>
          <w:marTop w:val="0"/>
          <w:marBottom w:val="0"/>
          <w:divBdr>
            <w:top w:val="none" w:sz="0" w:space="0" w:color="auto"/>
            <w:left w:val="none" w:sz="0" w:space="0" w:color="auto"/>
            <w:bottom w:val="none" w:sz="0" w:space="0" w:color="auto"/>
            <w:right w:val="none" w:sz="0" w:space="0" w:color="auto"/>
          </w:divBdr>
        </w:div>
        <w:div w:id="1353216892">
          <w:marLeft w:val="480"/>
          <w:marRight w:val="0"/>
          <w:marTop w:val="0"/>
          <w:marBottom w:val="0"/>
          <w:divBdr>
            <w:top w:val="none" w:sz="0" w:space="0" w:color="auto"/>
            <w:left w:val="none" w:sz="0" w:space="0" w:color="auto"/>
            <w:bottom w:val="none" w:sz="0" w:space="0" w:color="auto"/>
            <w:right w:val="none" w:sz="0" w:space="0" w:color="auto"/>
          </w:divBdr>
        </w:div>
        <w:div w:id="778261201">
          <w:marLeft w:val="480"/>
          <w:marRight w:val="0"/>
          <w:marTop w:val="0"/>
          <w:marBottom w:val="0"/>
          <w:divBdr>
            <w:top w:val="none" w:sz="0" w:space="0" w:color="auto"/>
            <w:left w:val="none" w:sz="0" w:space="0" w:color="auto"/>
            <w:bottom w:val="none" w:sz="0" w:space="0" w:color="auto"/>
            <w:right w:val="none" w:sz="0" w:space="0" w:color="auto"/>
          </w:divBdr>
        </w:div>
        <w:div w:id="1354578920">
          <w:marLeft w:val="480"/>
          <w:marRight w:val="0"/>
          <w:marTop w:val="0"/>
          <w:marBottom w:val="0"/>
          <w:divBdr>
            <w:top w:val="none" w:sz="0" w:space="0" w:color="auto"/>
            <w:left w:val="none" w:sz="0" w:space="0" w:color="auto"/>
            <w:bottom w:val="none" w:sz="0" w:space="0" w:color="auto"/>
            <w:right w:val="none" w:sz="0" w:space="0" w:color="auto"/>
          </w:divBdr>
        </w:div>
        <w:div w:id="681129675">
          <w:marLeft w:val="480"/>
          <w:marRight w:val="0"/>
          <w:marTop w:val="0"/>
          <w:marBottom w:val="0"/>
          <w:divBdr>
            <w:top w:val="none" w:sz="0" w:space="0" w:color="auto"/>
            <w:left w:val="none" w:sz="0" w:space="0" w:color="auto"/>
            <w:bottom w:val="none" w:sz="0" w:space="0" w:color="auto"/>
            <w:right w:val="none" w:sz="0" w:space="0" w:color="auto"/>
          </w:divBdr>
        </w:div>
        <w:div w:id="815145917">
          <w:marLeft w:val="480"/>
          <w:marRight w:val="0"/>
          <w:marTop w:val="0"/>
          <w:marBottom w:val="0"/>
          <w:divBdr>
            <w:top w:val="none" w:sz="0" w:space="0" w:color="auto"/>
            <w:left w:val="none" w:sz="0" w:space="0" w:color="auto"/>
            <w:bottom w:val="none" w:sz="0" w:space="0" w:color="auto"/>
            <w:right w:val="none" w:sz="0" w:space="0" w:color="auto"/>
          </w:divBdr>
        </w:div>
        <w:div w:id="764109161">
          <w:marLeft w:val="480"/>
          <w:marRight w:val="0"/>
          <w:marTop w:val="0"/>
          <w:marBottom w:val="0"/>
          <w:divBdr>
            <w:top w:val="none" w:sz="0" w:space="0" w:color="auto"/>
            <w:left w:val="none" w:sz="0" w:space="0" w:color="auto"/>
            <w:bottom w:val="none" w:sz="0" w:space="0" w:color="auto"/>
            <w:right w:val="none" w:sz="0" w:space="0" w:color="auto"/>
          </w:divBdr>
        </w:div>
        <w:div w:id="1381443959">
          <w:marLeft w:val="480"/>
          <w:marRight w:val="0"/>
          <w:marTop w:val="0"/>
          <w:marBottom w:val="0"/>
          <w:divBdr>
            <w:top w:val="none" w:sz="0" w:space="0" w:color="auto"/>
            <w:left w:val="none" w:sz="0" w:space="0" w:color="auto"/>
            <w:bottom w:val="none" w:sz="0" w:space="0" w:color="auto"/>
            <w:right w:val="none" w:sz="0" w:space="0" w:color="auto"/>
          </w:divBdr>
        </w:div>
        <w:div w:id="1163860880">
          <w:marLeft w:val="480"/>
          <w:marRight w:val="0"/>
          <w:marTop w:val="0"/>
          <w:marBottom w:val="0"/>
          <w:divBdr>
            <w:top w:val="none" w:sz="0" w:space="0" w:color="auto"/>
            <w:left w:val="none" w:sz="0" w:space="0" w:color="auto"/>
            <w:bottom w:val="none" w:sz="0" w:space="0" w:color="auto"/>
            <w:right w:val="none" w:sz="0" w:space="0" w:color="auto"/>
          </w:divBdr>
        </w:div>
        <w:div w:id="486242517">
          <w:marLeft w:val="480"/>
          <w:marRight w:val="0"/>
          <w:marTop w:val="0"/>
          <w:marBottom w:val="0"/>
          <w:divBdr>
            <w:top w:val="none" w:sz="0" w:space="0" w:color="auto"/>
            <w:left w:val="none" w:sz="0" w:space="0" w:color="auto"/>
            <w:bottom w:val="none" w:sz="0" w:space="0" w:color="auto"/>
            <w:right w:val="none" w:sz="0" w:space="0" w:color="auto"/>
          </w:divBdr>
        </w:div>
        <w:div w:id="150754279">
          <w:marLeft w:val="480"/>
          <w:marRight w:val="0"/>
          <w:marTop w:val="0"/>
          <w:marBottom w:val="0"/>
          <w:divBdr>
            <w:top w:val="none" w:sz="0" w:space="0" w:color="auto"/>
            <w:left w:val="none" w:sz="0" w:space="0" w:color="auto"/>
            <w:bottom w:val="none" w:sz="0" w:space="0" w:color="auto"/>
            <w:right w:val="none" w:sz="0" w:space="0" w:color="auto"/>
          </w:divBdr>
        </w:div>
        <w:div w:id="1312825815">
          <w:marLeft w:val="480"/>
          <w:marRight w:val="0"/>
          <w:marTop w:val="0"/>
          <w:marBottom w:val="0"/>
          <w:divBdr>
            <w:top w:val="none" w:sz="0" w:space="0" w:color="auto"/>
            <w:left w:val="none" w:sz="0" w:space="0" w:color="auto"/>
            <w:bottom w:val="none" w:sz="0" w:space="0" w:color="auto"/>
            <w:right w:val="none" w:sz="0" w:space="0" w:color="auto"/>
          </w:divBdr>
        </w:div>
        <w:div w:id="1848474791">
          <w:marLeft w:val="480"/>
          <w:marRight w:val="0"/>
          <w:marTop w:val="0"/>
          <w:marBottom w:val="0"/>
          <w:divBdr>
            <w:top w:val="none" w:sz="0" w:space="0" w:color="auto"/>
            <w:left w:val="none" w:sz="0" w:space="0" w:color="auto"/>
            <w:bottom w:val="none" w:sz="0" w:space="0" w:color="auto"/>
            <w:right w:val="none" w:sz="0" w:space="0" w:color="auto"/>
          </w:divBdr>
        </w:div>
        <w:div w:id="459690125">
          <w:marLeft w:val="480"/>
          <w:marRight w:val="0"/>
          <w:marTop w:val="0"/>
          <w:marBottom w:val="0"/>
          <w:divBdr>
            <w:top w:val="none" w:sz="0" w:space="0" w:color="auto"/>
            <w:left w:val="none" w:sz="0" w:space="0" w:color="auto"/>
            <w:bottom w:val="none" w:sz="0" w:space="0" w:color="auto"/>
            <w:right w:val="none" w:sz="0" w:space="0" w:color="auto"/>
          </w:divBdr>
        </w:div>
        <w:div w:id="2065565806">
          <w:marLeft w:val="480"/>
          <w:marRight w:val="0"/>
          <w:marTop w:val="0"/>
          <w:marBottom w:val="0"/>
          <w:divBdr>
            <w:top w:val="none" w:sz="0" w:space="0" w:color="auto"/>
            <w:left w:val="none" w:sz="0" w:space="0" w:color="auto"/>
            <w:bottom w:val="none" w:sz="0" w:space="0" w:color="auto"/>
            <w:right w:val="none" w:sz="0" w:space="0" w:color="auto"/>
          </w:divBdr>
        </w:div>
        <w:div w:id="540288049">
          <w:marLeft w:val="480"/>
          <w:marRight w:val="0"/>
          <w:marTop w:val="0"/>
          <w:marBottom w:val="0"/>
          <w:divBdr>
            <w:top w:val="none" w:sz="0" w:space="0" w:color="auto"/>
            <w:left w:val="none" w:sz="0" w:space="0" w:color="auto"/>
            <w:bottom w:val="none" w:sz="0" w:space="0" w:color="auto"/>
            <w:right w:val="none" w:sz="0" w:space="0" w:color="auto"/>
          </w:divBdr>
        </w:div>
        <w:div w:id="1214123956">
          <w:marLeft w:val="480"/>
          <w:marRight w:val="0"/>
          <w:marTop w:val="0"/>
          <w:marBottom w:val="0"/>
          <w:divBdr>
            <w:top w:val="none" w:sz="0" w:space="0" w:color="auto"/>
            <w:left w:val="none" w:sz="0" w:space="0" w:color="auto"/>
            <w:bottom w:val="none" w:sz="0" w:space="0" w:color="auto"/>
            <w:right w:val="none" w:sz="0" w:space="0" w:color="auto"/>
          </w:divBdr>
        </w:div>
        <w:div w:id="1109590176">
          <w:marLeft w:val="480"/>
          <w:marRight w:val="0"/>
          <w:marTop w:val="0"/>
          <w:marBottom w:val="0"/>
          <w:divBdr>
            <w:top w:val="none" w:sz="0" w:space="0" w:color="auto"/>
            <w:left w:val="none" w:sz="0" w:space="0" w:color="auto"/>
            <w:bottom w:val="none" w:sz="0" w:space="0" w:color="auto"/>
            <w:right w:val="none" w:sz="0" w:space="0" w:color="auto"/>
          </w:divBdr>
        </w:div>
        <w:div w:id="167063729">
          <w:marLeft w:val="480"/>
          <w:marRight w:val="0"/>
          <w:marTop w:val="0"/>
          <w:marBottom w:val="0"/>
          <w:divBdr>
            <w:top w:val="none" w:sz="0" w:space="0" w:color="auto"/>
            <w:left w:val="none" w:sz="0" w:space="0" w:color="auto"/>
            <w:bottom w:val="none" w:sz="0" w:space="0" w:color="auto"/>
            <w:right w:val="none" w:sz="0" w:space="0" w:color="auto"/>
          </w:divBdr>
        </w:div>
        <w:div w:id="1029992359">
          <w:marLeft w:val="480"/>
          <w:marRight w:val="0"/>
          <w:marTop w:val="0"/>
          <w:marBottom w:val="0"/>
          <w:divBdr>
            <w:top w:val="none" w:sz="0" w:space="0" w:color="auto"/>
            <w:left w:val="none" w:sz="0" w:space="0" w:color="auto"/>
            <w:bottom w:val="none" w:sz="0" w:space="0" w:color="auto"/>
            <w:right w:val="none" w:sz="0" w:space="0" w:color="auto"/>
          </w:divBdr>
        </w:div>
        <w:div w:id="1330670599">
          <w:marLeft w:val="480"/>
          <w:marRight w:val="0"/>
          <w:marTop w:val="0"/>
          <w:marBottom w:val="0"/>
          <w:divBdr>
            <w:top w:val="none" w:sz="0" w:space="0" w:color="auto"/>
            <w:left w:val="none" w:sz="0" w:space="0" w:color="auto"/>
            <w:bottom w:val="none" w:sz="0" w:space="0" w:color="auto"/>
            <w:right w:val="none" w:sz="0" w:space="0" w:color="auto"/>
          </w:divBdr>
        </w:div>
        <w:div w:id="1727946368">
          <w:marLeft w:val="480"/>
          <w:marRight w:val="0"/>
          <w:marTop w:val="0"/>
          <w:marBottom w:val="0"/>
          <w:divBdr>
            <w:top w:val="none" w:sz="0" w:space="0" w:color="auto"/>
            <w:left w:val="none" w:sz="0" w:space="0" w:color="auto"/>
            <w:bottom w:val="none" w:sz="0" w:space="0" w:color="auto"/>
            <w:right w:val="none" w:sz="0" w:space="0" w:color="auto"/>
          </w:divBdr>
        </w:div>
        <w:div w:id="1960990055">
          <w:marLeft w:val="480"/>
          <w:marRight w:val="0"/>
          <w:marTop w:val="0"/>
          <w:marBottom w:val="0"/>
          <w:divBdr>
            <w:top w:val="none" w:sz="0" w:space="0" w:color="auto"/>
            <w:left w:val="none" w:sz="0" w:space="0" w:color="auto"/>
            <w:bottom w:val="none" w:sz="0" w:space="0" w:color="auto"/>
            <w:right w:val="none" w:sz="0" w:space="0" w:color="auto"/>
          </w:divBdr>
        </w:div>
        <w:div w:id="341053435">
          <w:marLeft w:val="480"/>
          <w:marRight w:val="0"/>
          <w:marTop w:val="0"/>
          <w:marBottom w:val="0"/>
          <w:divBdr>
            <w:top w:val="none" w:sz="0" w:space="0" w:color="auto"/>
            <w:left w:val="none" w:sz="0" w:space="0" w:color="auto"/>
            <w:bottom w:val="none" w:sz="0" w:space="0" w:color="auto"/>
            <w:right w:val="none" w:sz="0" w:space="0" w:color="auto"/>
          </w:divBdr>
        </w:div>
        <w:div w:id="831407998">
          <w:marLeft w:val="480"/>
          <w:marRight w:val="0"/>
          <w:marTop w:val="0"/>
          <w:marBottom w:val="0"/>
          <w:divBdr>
            <w:top w:val="none" w:sz="0" w:space="0" w:color="auto"/>
            <w:left w:val="none" w:sz="0" w:space="0" w:color="auto"/>
            <w:bottom w:val="none" w:sz="0" w:space="0" w:color="auto"/>
            <w:right w:val="none" w:sz="0" w:space="0" w:color="auto"/>
          </w:divBdr>
        </w:div>
        <w:div w:id="1989892703">
          <w:marLeft w:val="480"/>
          <w:marRight w:val="0"/>
          <w:marTop w:val="0"/>
          <w:marBottom w:val="0"/>
          <w:divBdr>
            <w:top w:val="none" w:sz="0" w:space="0" w:color="auto"/>
            <w:left w:val="none" w:sz="0" w:space="0" w:color="auto"/>
            <w:bottom w:val="none" w:sz="0" w:space="0" w:color="auto"/>
            <w:right w:val="none" w:sz="0" w:space="0" w:color="auto"/>
          </w:divBdr>
        </w:div>
        <w:div w:id="1835367547">
          <w:marLeft w:val="480"/>
          <w:marRight w:val="0"/>
          <w:marTop w:val="0"/>
          <w:marBottom w:val="0"/>
          <w:divBdr>
            <w:top w:val="none" w:sz="0" w:space="0" w:color="auto"/>
            <w:left w:val="none" w:sz="0" w:space="0" w:color="auto"/>
            <w:bottom w:val="none" w:sz="0" w:space="0" w:color="auto"/>
            <w:right w:val="none" w:sz="0" w:space="0" w:color="auto"/>
          </w:divBdr>
        </w:div>
        <w:div w:id="629897520">
          <w:marLeft w:val="480"/>
          <w:marRight w:val="0"/>
          <w:marTop w:val="0"/>
          <w:marBottom w:val="0"/>
          <w:divBdr>
            <w:top w:val="none" w:sz="0" w:space="0" w:color="auto"/>
            <w:left w:val="none" w:sz="0" w:space="0" w:color="auto"/>
            <w:bottom w:val="none" w:sz="0" w:space="0" w:color="auto"/>
            <w:right w:val="none" w:sz="0" w:space="0" w:color="auto"/>
          </w:divBdr>
        </w:div>
        <w:div w:id="1005204747">
          <w:marLeft w:val="480"/>
          <w:marRight w:val="0"/>
          <w:marTop w:val="0"/>
          <w:marBottom w:val="0"/>
          <w:divBdr>
            <w:top w:val="none" w:sz="0" w:space="0" w:color="auto"/>
            <w:left w:val="none" w:sz="0" w:space="0" w:color="auto"/>
            <w:bottom w:val="none" w:sz="0" w:space="0" w:color="auto"/>
            <w:right w:val="none" w:sz="0" w:space="0" w:color="auto"/>
          </w:divBdr>
        </w:div>
        <w:div w:id="1901135168">
          <w:marLeft w:val="480"/>
          <w:marRight w:val="0"/>
          <w:marTop w:val="0"/>
          <w:marBottom w:val="0"/>
          <w:divBdr>
            <w:top w:val="none" w:sz="0" w:space="0" w:color="auto"/>
            <w:left w:val="none" w:sz="0" w:space="0" w:color="auto"/>
            <w:bottom w:val="none" w:sz="0" w:space="0" w:color="auto"/>
            <w:right w:val="none" w:sz="0" w:space="0" w:color="auto"/>
          </w:divBdr>
        </w:div>
        <w:div w:id="2125542183">
          <w:marLeft w:val="480"/>
          <w:marRight w:val="0"/>
          <w:marTop w:val="0"/>
          <w:marBottom w:val="0"/>
          <w:divBdr>
            <w:top w:val="none" w:sz="0" w:space="0" w:color="auto"/>
            <w:left w:val="none" w:sz="0" w:space="0" w:color="auto"/>
            <w:bottom w:val="none" w:sz="0" w:space="0" w:color="auto"/>
            <w:right w:val="none" w:sz="0" w:space="0" w:color="auto"/>
          </w:divBdr>
        </w:div>
      </w:divsChild>
    </w:div>
    <w:div w:id="1048723094">
      <w:bodyDiv w:val="1"/>
      <w:marLeft w:val="0"/>
      <w:marRight w:val="0"/>
      <w:marTop w:val="0"/>
      <w:marBottom w:val="0"/>
      <w:divBdr>
        <w:top w:val="none" w:sz="0" w:space="0" w:color="auto"/>
        <w:left w:val="none" w:sz="0" w:space="0" w:color="auto"/>
        <w:bottom w:val="none" w:sz="0" w:space="0" w:color="auto"/>
        <w:right w:val="none" w:sz="0" w:space="0" w:color="auto"/>
      </w:divBdr>
    </w:div>
    <w:div w:id="1048725036">
      <w:bodyDiv w:val="1"/>
      <w:marLeft w:val="0"/>
      <w:marRight w:val="0"/>
      <w:marTop w:val="0"/>
      <w:marBottom w:val="0"/>
      <w:divBdr>
        <w:top w:val="none" w:sz="0" w:space="0" w:color="auto"/>
        <w:left w:val="none" w:sz="0" w:space="0" w:color="auto"/>
        <w:bottom w:val="none" w:sz="0" w:space="0" w:color="auto"/>
        <w:right w:val="none" w:sz="0" w:space="0" w:color="auto"/>
      </w:divBdr>
    </w:div>
    <w:div w:id="1048798266">
      <w:bodyDiv w:val="1"/>
      <w:marLeft w:val="0"/>
      <w:marRight w:val="0"/>
      <w:marTop w:val="0"/>
      <w:marBottom w:val="0"/>
      <w:divBdr>
        <w:top w:val="none" w:sz="0" w:space="0" w:color="auto"/>
        <w:left w:val="none" w:sz="0" w:space="0" w:color="auto"/>
        <w:bottom w:val="none" w:sz="0" w:space="0" w:color="auto"/>
        <w:right w:val="none" w:sz="0" w:space="0" w:color="auto"/>
      </w:divBdr>
    </w:div>
    <w:div w:id="1049719732">
      <w:bodyDiv w:val="1"/>
      <w:marLeft w:val="0"/>
      <w:marRight w:val="0"/>
      <w:marTop w:val="0"/>
      <w:marBottom w:val="0"/>
      <w:divBdr>
        <w:top w:val="none" w:sz="0" w:space="0" w:color="auto"/>
        <w:left w:val="none" w:sz="0" w:space="0" w:color="auto"/>
        <w:bottom w:val="none" w:sz="0" w:space="0" w:color="auto"/>
        <w:right w:val="none" w:sz="0" w:space="0" w:color="auto"/>
      </w:divBdr>
    </w:div>
    <w:div w:id="1049842359">
      <w:bodyDiv w:val="1"/>
      <w:marLeft w:val="0"/>
      <w:marRight w:val="0"/>
      <w:marTop w:val="0"/>
      <w:marBottom w:val="0"/>
      <w:divBdr>
        <w:top w:val="none" w:sz="0" w:space="0" w:color="auto"/>
        <w:left w:val="none" w:sz="0" w:space="0" w:color="auto"/>
        <w:bottom w:val="none" w:sz="0" w:space="0" w:color="auto"/>
        <w:right w:val="none" w:sz="0" w:space="0" w:color="auto"/>
      </w:divBdr>
    </w:div>
    <w:div w:id="1050377393">
      <w:bodyDiv w:val="1"/>
      <w:marLeft w:val="0"/>
      <w:marRight w:val="0"/>
      <w:marTop w:val="0"/>
      <w:marBottom w:val="0"/>
      <w:divBdr>
        <w:top w:val="none" w:sz="0" w:space="0" w:color="auto"/>
        <w:left w:val="none" w:sz="0" w:space="0" w:color="auto"/>
        <w:bottom w:val="none" w:sz="0" w:space="0" w:color="auto"/>
        <w:right w:val="none" w:sz="0" w:space="0" w:color="auto"/>
      </w:divBdr>
    </w:div>
    <w:div w:id="1050571471">
      <w:bodyDiv w:val="1"/>
      <w:marLeft w:val="0"/>
      <w:marRight w:val="0"/>
      <w:marTop w:val="0"/>
      <w:marBottom w:val="0"/>
      <w:divBdr>
        <w:top w:val="none" w:sz="0" w:space="0" w:color="auto"/>
        <w:left w:val="none" w:sz="0" w:space="0" w:color="auto"/>
        <w:bottom w:val="none" w:sz="0" w:space="0" w:color="auto"/>
        <w:right w:val="none" w:sz="0" w:space="0" w:color="auto"/>
      </w:divBdr>
    </w:div>
    <w:div w:id="1050694589">
      <w:bodyDiv w:val="1"/>
      <w:marLeft w:val="0"/>
      <w:marRight w:val="0"/>
      <w:marTop w:val="0"/>
      <w:marBottom w:val="0"/>
      <w:divBdr>
        <w:top w:val="none" w:sz="0" w:space="0" w:color="auto"/>
        <w:left w:val="none" w:sz="0" w:space="0" w:color="auto"/>
        <w:bottom w:val="none" w:sz="0" w:space="0" w:color="auto"/>
        <w:right w:val="none" w:sz="0" w:space="0" w:color="auto"/>
      </w:divBdr>
    </w:div>
    <w:div w:id="1051349706">
      <w:bodyDiv w:val="1"/>
      <w:marLeft w:val="0"/>
      <w:marRight w:val="0"/>
      <w:marTop w:val="0"/>
      <w:marBottom w:val="0"/>
      <w:divBdr>
        <w:top w:val="none" w:sz="0" w:space="0" w:color="auto"/>
        <w:left w:val="none" w:sz="0" w:space="0" w:color="auto"/>
        <w:bottom w:val="none" w:sz="0" w:space="0" w:color="auto"/>
        <w:right w:val="none" w:sz="0" w:space="0" w:color="auto"/>
      </w:divBdr>
    </w:div>
    <w:div w:id="1051927498">
      <w:bodyDiv w:val="1"/>
      <w:marLeft w:val="0"/>
      <w:marRight w:val="0"/>
      <w:marTop w:val="0"/>
      <w:marBottom w:val="0"/>
      <w:divBdr>
        <w:top w:val="none" w:sz="0" w:space="0" w:color="auto"/>
        <w:left w:val="none" w:sz="0" w:space="0" w:color="auto"/>
        <w:bottom w:val="none" w:sz="0" w:space="0" w:color="auto"/>
        <w:right w:val="none" w:sz="0" w:space="0" w:color="auto"/>
      </w:divBdr>
    </w:div>
    <w:div w:id="1052342490">
      <w:bodyDiv w:val="1"/>
      <w:marLeft w:val="0"/>
      <w:marRight w:val="0"/>
      <w:marTop w:val="0"/>
      <w:marBottom w:val="0"/>
      <w:divBdr>
        <w:top w:val="none" w:sz="0" w:space="0" w:color="auto"/>
        <w:left w:val="none" w:sz="0" w:space="0" w:color="auto"/>
        <w:bottom w:val="none" w:sz="0" w:space="0" w:color="auto"/>
        <w:right w:val="none" w:sz="0" w:space="0" w:color="auto"/>
      </w:divBdr>
    </w:div>
    <w:div w:id="1052851195">
      <w:bodyDiv w:val="1"/>
      <w:marLeft w:val="0"/>
      <w:marRight w:val="0"/>
      <w:marTop w:val="0"/>
      <w:marBottom w:val="0"/>
      <w:divBdr>
        <w:top w:val="none" w:sz="0" w:space="0" w:color="auto"/>
        <w:left w:val="none" w:sz="0" w:space="0" w:color="auto"/>
        <w:bottom w:val="none" w:sz="0" w:space="0" w:color="auto"/>
        <w:right w:val="none" w:sz="0" w:space="0" w:color="auto"/>
      </w:divBdr>
    </w:div>
    <w:div w:id="1053234938">
      <w:bodyDiv w:val="1"/>
      <w:marLeft w:val="0"/>
      <w:marRight w:val="0"/>
      <w:marTop w:val="0"/>
      <w:marBottom w:val="0"/>
      <w:divBdr>
        <w:top w:val="none" w:sz="0" w:space="0" w:color="auto"/>
        <w:left w:val="none" w:sz="0" w:space="0" w:color="auto"/>
        <w:bottom w:val="none" w:sz="0" w:space="0" w:color="auto"/>
        <w:right w:val="none" w:sz="0" w:space="0" w:color="auto"/>
      </w:divBdr>
    </w:div>
    <w:div w:id="1053622332">
      <w:bodyDiv w:val="1"/>
      <w:marLeft w:val="0"/>
      <w:marRight w:val="0"/>
      <w:marTop w:val="0"/>
      <w:marBottom w:val="0"/>
      <w:divBdr>
        <w:top w:val="none" w:sz="0" w:space="0" w:color="auto"/>
        <w:left w:val="none" w:sz="0" w:space="0" w:color="auto"/>
        <w:bottom w:val="none" w:sz="0" w:space="0" w:color="auto"/>
        <w:right w:val="none" w:sz="0" w:space="0" w:color="auto"/>
      </w:divBdr>
    </w:div>
    <w:div w:id="1054085756">
      <w:bodyDiv w:val="1"/>
      <w:marLeft w:val="0"/>
      <w:marRight w:val="0"/>
      <w:marTop w:val="0"/>
      <w:marBottom w:val="0"/>
      <w:divBdr>
        <w:top w:val="none" w:sz="0" w:space="0" w:color="auto"/>
        <w:left w:val="none" w:sz="0" w:space="0" w:color="auto"/>
        <w:bottom w:val="none" w:sz="0" w:space="0" w:color="auto"/>
        <w:right w:val="none" w:sz="0" w:space="0" w:color="auto"/>
      </w:divBdr>
    </w:div>
    <w:div w:id="1054162511">
      <w:bodyDiv w:val="1"/>
      <w:marLeft w:val="0"/>
      <w:marRight w:val="0"/>
      <w:marTop w:val="0"/>
      <w:marBottom w:val="0"/>
      <w:divBdr>
        <w:top w:val="none" w:sz="0" w:space="0" w:color="auto"/>
        <w:left w:val="none" w:sz="0" w:space="0" w:color="auto"/>
        <w:bottom w:val="none" w:sz="0" w:space="0" w:color="auto"/>
        <w:right w:val="none" w:sz="0" w:space="0" w:color="auto"/>
      </w:divBdr>
    </w:div>
    <w:div w:id="1054549945">
      <w:bodyDiv w:val="1"/>
      <w:marLeft w:val="0"/>
      <w:marRight w:val="0"/>
      <w:marTop w:val="0"/>
      <w:marBottom w:val="0"/>
      <w:divBdr>
        <w:top w:val="none" w:sz="0" w:space="0" w:color="auto"/>
        <w:left w:val="none" w:sz="0" w:space="0" w:color="auto"/>
        <w:bottom w:val="none" w:sz="0" w:space="0" w:color="auto"/>
        <w:right w:val="none" w:sz="0" w:space="0" w:color="auto"/>
      </w:divBdr>
    </w:div>
    <w:div w:id="1056320303">
      <w:bodyDiv w:val="1"/>
      <w:marLeft w:val="0"/>
      <w:marRight w:val="0"/>
      <w:marTop w:val="0"/>
      <w:marBottom w:val="0"/>
      <w:divBdr>
        <w:top w:val="none" w:sz="0" w:space="0" w:color="auto"/>
        <w:left w:val="none" w:sz="0" w:space="0" w:color="auto"/>
        <w:bottom w:val="none" w:sz="0" w:space="0" w:color="auto"/>
        <w:right w:val="none" w:sz="0" w:space="0" w:color="auto"/>
      </w:divBdr>
    </w:div>
    <w:div w:id="1056398062">
      <w:bodyDiv w:val="1"/>
      <w:marLeft w:val="0"/>
      <w:marRight w:val="0"/>
      <w:marTop w:val="0"/>
      <w:marBottom w:val="0"/>
      <w:divBdr>
        <w:top w:val="none" w:sz="0" w:space="0" w:color="auto"/>
        <w:left w:val="none" w:sz="0" w:space="0" w:color="auto"/>
        <w:bottom w:val="none" w:sz="0" w:space="0" w:color="auto"/>
        <w:right w:val="none" w:sz="0" w:space="0" w:color="auto"/>
      </w:divBdr>
    </w:div>
    <w:div w:id="1056466205">
      <w:bodyDiv w:val="1"/>
      <w:marLeft w:val="0"/>
      <w:marRight w:val="0"/>
      <w:marTop w:val="0"/>
      <w:marBottom w:val="0"/>
      <w:divBdr>
        <w:top w:val="none" w:sz="0" w:space="0" w:color="auto"/>
        <w:left w:val="none" w:sz="0" w:space="0" w:color="auto"/>
        <w:bottom w:val="none" w:sz="0" w:space="0" w:color="auto"/>
        <w:right w:val="none" w:sz="0" w:space="0" w:color="auto"/>
      </w:divBdr>
    </w:div>
    <w:div w:id="1056783264">
      <w:bodyDiv w:val="1"/>
      <w:marLeft w:val="0"/>
      <w:marRight w:val="0"/>
      <w:marTop w:val="0"/>
      <w:marBottom w:val="0"/>
      <w:divBdr>
        <w:top w:val="none" w:sz="0" w:space="0" w:color="auto"/>
        <w:left w:val="none" w:sz="0" w:space="0" w:color="auto"/>
        <w:bottom w:val="none" w:sz="0" w:space="0" w:color="auto"/>
        <w:right w:val="none" w:sz="0" w:space="0" w:color="auto"/>
      </w:divBdr>
    </w:div>
    <w:div w:id="1057242746">
      <w:bodyDiv w:val="1"/>
      <w:marLeft w:val="0"/>
      <w:marRight w:val="0"/>
      <w:marTop w:val="0"/>
      <w:marBottom w:val="0"/>
      <w:divBdr>
        <w:top w:val="none" w:sz="0" w:space="0" w:color="auto"/>
        <w:left w:val="none" w:sz="0" w:space="0" w:color="auto"/>
        <w:bottom w:val="none" w:sz="0" w:space="0" w:color="auto"/>
        <w:right w:val="none" w:sz="0" w:space="0" w:color="auto"/>
      </w:divBdr>
    </w:div>
    <w:div w:id="1057246809">
      <w:bodyDiv w:val="1"/>
      <w:marLeft w:val="0"/>
      <w:marRight w:val="0"/>
      <w:marTop w:val="0"/>
      <w:marBottom w:val="0"/>
      <w:divBdr>
        <w:top w:val="none" w:sz="0" w:space="0" w:color="auto"/>
        <w:left w:val="none" w:sz="0" w:space="0" w:color="auto"/>
        <w:bottom w:val="none" w:sz="0" w:space="0" w:color="auto"/>
        <w:right w:val="none" w:sz="0" w:space="0" w:color="auto"/>
      </w:divBdr>
    </w:div>
    <w:div w:id="1057433856">
      <w:bodyDiv w:val="1"/>
      <w:marLeft w:val="0"/>
      <w:marRight w:val="0"/>
      <w:marTop w:val="0"/>
      <w:marBottom w:val="0"/>
      <w:divBdr>
        <w:top w:val="none" w:sz="0" w:space="0" w:color="auto"/>
        <w:left w:val="none" w:sz="0" w:space="0" w:color="auto"/>
        <w:bottom w:val="none" w:sz="0" w:space="0" w:color="auto"/>
        <w:right w:val="none" w:sz="0" w:space="0" w:color="auto"/>
      </w:divBdr>
    </w:div>
    <w:div w:id="1058435184">
      <w:bodyDiv w:val="1"/>
      <w:marLeft w:val="0"/>
      <w:marRight w:val="0"/>
      <w:marTop w:val="0"/>
      <w:marBottom w:val="0"/>
      <w:divBdr>
        <w:top w:val="none" w:sz="0" w:space="0" w:color="auto"/>
        <w:left w:val="none" w:sz="0" w:space="0" w:color="auto"/>
        <w:bottom w:val="none" w:sz="0" w:space="0" w:color="auto"/>
        <w:right w:val="none" w:sz="0" w:space="0" w:color="auto"/>
      </w:divBdr>
    </w:div>
    <w:div w:id="1058477587">
      <w:bodyDiv w:val="1"/>
      <w:marLeft w:val="0"/>
      <w:marRight w:val="0"/>
      <w:marTop w:val="0"/>
      <w:marBottom w:val="0"/>
      <w:divBdr>
        <w:top w:val="none" w:sz="0" w:space="0" w:color="auto"/>
        <w:left w:val="none" w:sz="0" w:space="0" w:color="auto"/>
        <w:bottom w:val="none" w:sz="0" w:space="0" w:color="auto"/>
        <w:right w:val="none" w:sz="0" w:space="0" w:color="auto"/>
      </w:divBdr>
    </w:div>
    <w:div w:id="1059788044">
      <w:bodyDiv w:val="1"/>
      <w:marLeft w:val="0"/>
      <w:marRight w:val="0"/>
      <w:marTop w:val="0"/>
      <w:marBottom w:val="0"/>
      <w:divBdr>
        <w:top w:val="none" w:sz="0" w:space="0" w:color="auto"/>
        <w:left w:val="none" w:sz="0" w:space="0" w:color="auto"/>
        <w:bottom w:val="none" w:sz="0" w:space="0" w:color="auto"/>
        <w:right w:val="none" w:sz="0" w:space="0" w:color="auto"/>
      </w:divBdr>
    </w:div>
    <w:div w:id="1060134180">
      <w:bodyDiv w:val="1"/>
      <w:marLeft w:val="0"/>
      <w:marRight w:val="0"/>
      <w:marTop w:val="0"/>
      <w:marBottom w:val="0"/>
      <w:divBdr>
        <w:top w:val="none" w:sz="0" w:space="0" w:color="auto"/>
        <w:left w:val="none" w:sz="0" w:space="0" w:color="auto"/>
        <w:bottom w:val="none" w:sz="0" w:space="0" w:color="auto"/>
        <w:right w:val="none" w:sz="0" w:space="0" w:color="auto"/>
      </w:divBdr>
    </w:div>
    <w:div w:id="1060402779">
      <w:bodyDiv w:val="1"/>
      <w:marLeft w:val="0"/>
      <w:marRight w:val="0"/>
      <w:marTop w:val="0"/>
      <w:marBottom w:val="0"/>
      <w:divBdr>
        <w:top w:val="none" w:sz="0" w:space="0" w:color="auto"/>
        <w:left w:val="none" w:sz="0" w:space="0" w:color="auto"/>
        <w:bottom w:val="none" w:sz="0" w:space="0" w:color="auto"/>
        <w:right w:val="none" w:sz="0" w:space="0" w:color="auto"/>
      </w:divBdr>
    </w:div>
    <w:div w:id="1061053317">
      <w:bodyDiv w:val="1"/>
      <w:marLeft w:val="0"/>
      <w:marRight w:val="0"/>
      <w:marTop w:val="0"/>
      <w:marBottom w:val="0"/>
      <w:divBdr>
        <w:top w:val="none" w:sz="0" w:space="0" w:color="auto"/>
        <w:left w:val="none" w:sz="0" w:space="0" w:color="auto"/>
        <w:bottom w:val="none" w:sz="0" w:space="0" w:color="auto"/>
        <w:right w:val="none" w:sz="0" w:space="0" w:color="auto"/>
      </w:divBdr>
    </w:div>
    <w:div w:id="1061056087">
      <w:bodyDiv w:val="1"/>
      <w:marLeft w:val="0"/>
      <w:marRight w:val="0"/>
      <w:marTop w:val="0"/>
      <w:marBottom w:val="0"/>
      <w:divBdr>
        <w:top w:val="none" w:sz="0" w:space="0" w:color="auto"/>
        <w:left w:val="none" w:sz="0" w:space="0" w:color="auto"/>
        <w:bottom w:val="none" w:sz="0" w:space="0" w:color="auto"/>
        <w:right w:val="none" w:sz="0" w:space="0" w:color="auto"/>
      </w:divBdr>
    </w:div>
    <w:div w:id="1061749787">
      <w:bodyDiv w:val="1"/>
      <w:marLeft w:val="0"/>
      <w:marRight w:val="0"/>
      <w:marTop w:val="0"/>
      <w:marBottom w:val="0"/>
      <w:divBdr>
        <w:top w:val="none" w:sz="0" w:space="0" w:color="auto"/>
        <w:left w:val="none" w:sz="0" w:space="0" w:color="auto"/>
        <w:bottom w:val="none" w:sz="0" w:space="0" w:color="auto"/>
        <w:right w:val="none" w:sz="0" w:space="0" w:color="auto"/>
      </w:divBdr>
    </w:div>
    <w:div w:id="1062364693">
      <w:bodyDiv w:val="1"/>
      <w:marLeft w:val="0"/>
      <w:marRight w:val="0"/>
      <w:marTop w:val="0"/>
      <w:marBottom w:val="0"/>
      <w:divBdr>
        <w:top w:val="none" w:sz="0" w:space="0" w:color="auto"/>
        <w:left w:val="none" w:sz="0" w:space="0" w:color="auto"/>
        <w:bottom w:val="none" w:sz="0" w:space="0" w:color="auto"/>
        <w:right w:val="none" w:sz="0" w:space="0" w:color="auto"/>
      </w:divBdr>
    </w:div>
    <w:div w:id="1062681829">
      <w:bodyDiv w:val="1"/>
      <w:marLeft w:val="0"/>
      <w:marRight w:val="0"/>
      <w:marTop w:val="0"/>
      <w:marBottom w:val="0"/>
      <w:divBdr>
        <w:top w:val="none" w:sz="0" w:space="0" w:color="auto"/>
        <w:left w:val="none" w:sz="0" w:space="0" w:color="auto"/>
        <w:bottom w:val="none" w:sz="0" w:space="0" w:color="auto"/>
        <w:right w:val="none" w:sz="0" w:space="0" w:color="auto"/>
      </w:divBdr>
    </w:div>
    <w:div w:id="1062869680">
      <w:bodyDiv w:val="1"/>
      <w:marLeft w:val="0"/>
      <w:marRight w:val="0"/>
      <w:marTop w:val="0"/>
      <w:marBottom w:val="0"/>
      <w:divBdr>
        <w:top w:val="none" w:sz="0" w:space="0" w:color="auto"/>
        <w:left w:val="none" w:sz="0" w:space="0" w:color="auto"/>
        <w:bottom w:val="none" w:sz="0" w:space="0" w:color="auto"/>
        <w:right w:val="none" w:sz="0" w:space="0" w:color="auto"/>
      </w:divBdr>
    </w:div>
    <w:div w:id="1063716284">
      <w:bodyDiv w:val="1"/>
      <w:marLeft w:val="0"/>
      <w:marRight w:val="0"/>
      <w:marTop w:val="0"/>
      <w:marBottom w:val="0"/>
      <w:divBdr>
        <w:top w:val="none" w:sz="0" w:space="0" w:color="auto"/>
        <w:left w:val="none" w:sz="0" w:space="0" w:color="auto"/>
        <w:bottom w:val="none" w:sz="0" w:space="0" w:color="auto"/>
        <w:right w:val="none" w:sz="0" w:space="0" w:color="auto"/>
      </w:divBdr>
    </w:div>
    <w:div w:id="1063867155">
      <w:bodyDiv w:val="1"/>
      <w:marLeft w:val="0"/>
      <w:marRight w:val="0"/>
      <w:marTop w:val="0"/>
      <w:marBottom w:val="0"/>
      <w:divBdr>
        <w:top w:val="none" w:sz="0" w:space="0" w:color="auto"/>
        <w:left w:val="none" w:sz="0" w:space="0" w:color="auto"/>
        <w:bottom w:val="none" w:sz="0" w:space="0" w:color="auto"/>
        <w:right w:val="none" w:sz="0" w:space="0" w:color="auto"/>
      </w:divBdr>
    </w:div>
    <w:div w:id="1065420473">
      <w:bodyDiv w:val="1"/>
      <w:marLeft w:val="0"/>
      <w:marRight w:val="0"/>
      <w:marTop w:val="0"/>
      <w:marBottom w:val="0"/>
      <w:divBdr>
        <w:top w:val="none" w:sz="0" w:space="0" w:color="auto"/>
        <w:left w:val="none" w:sz="0" w:space="0" w:color="auto"/>
        <w:bottom w:val="none" w:sz="0" w:space="0" w:color="auto"/>
        <w:right w:val="none" w:sz="0" w:space="0" w:color="auto"/>
      </w:divBdr>
    </w:div>
    <w:div w:id="1065568605">
      <w:bodyDiv w:val="1"/>
      <w:marLeft w:val="0"/>
      <w:marRight w:val="0"/>
      <w:marTop w:val="0"/>
      <w:marBottom w:val="0"/>
      <w:divBdr>
        <w:top w:val="none" w:sz="0" w:space="0" w:color="auto"/>
        <w:left w:val="none" w:sz="0" w:space="0" w:color="auto"/>
        <w:bottom w:val="none" w:sz="0" w:space="0" w:color="auto"/>
        <w:right w:val="none" w:sz="0" w:space="0" w:color="auto"/>
      </w:divBdr>
    </w:div>
    <w:div w:id="1067414030">
      <w:bodyDiv w:val="1"/>
      <w:marLeft w:val="0"/>
      <w:marRight w:val="0"/>
      <w:marTop w:val="0"/>
      <w:marBottom w:val="0"/>
      <w:divBdr>
        <w:top w:val="none" w:sz="0" w:space="0" w:color="auto"/>
        <w:left w:val="none" w:sz="0" w:space="0" w:color="auto"/>
        <w:bottom w:val="none" w:sz="0" w:space="0" w:color="auto"/>
        <w:right w:val="none" w:sz="0" w:space="0" w:color="auto"/>
      </w:divBdr>
    </w:div>
    <w:div w:id="1067460394">
      <w:bodyDiv w:val="1"/>
      <w:marLeft w:val="0"/>
      <w:marRight w:val="0"/>
      <w:marTop w:val="0"/>
      <w:marBottom w:val="0"/>
      <w:divBdr>
        <w:top w:val="none" w:sz="0" w:space="0" w:color="auto"/>
        <w:left w:val="none" w:sz="0" w:space="0" w:color="auto"/>
        <w:bottom w:val="none" w:sz="0" w:space="0" w:color="auto"/>
        <w:right w:val="none" w:sz="0" w:space="0" w:color="auto"/>
      </w:divBdr>
    </w:div>
    <w:div w:id="1068110832">
      <w:bodyDiv w:val="1"/>
      <w:marLeft w:val="0"/>
      <w:marRight w:val="0"/>
      <w:marTop w:val="0"/>
      <w:marBottom w:val="0"/>
      <w:divBdr>
        <w:top w:val="none" w:sz="0" w:space="0" w:color="auto"/>
        <w:left w:val="none" w:sz="0" w:space="0" w:color="auto"/>
        <w:bottom w:val="none" w:sz="0" w:space="0" w:color="auto"/>
        <w:right w:val="none" w:sz="0" w:space="0" w:color="auto"/>
      </w:divBdr>
    </w:div>
    <w:div w:id="1068114414">
      <w:bodyDiv w:val="1"/>
      <w:marLeft w:val="0"/>
      <w:marRight w:val="0"/>
      <w:marTop w:val="0"/>
      <w:marBottom w:val="0"/>
      <w:divBdr>
        <w:top w:val="none" w:sz="0" w:space="0" w:color="auto"/>
        <w:left w:val="none" w:sz="0" w:space="0" w:color="auto"/>
        <w:bottom w:val="none" w:sz="0" w:space="0" w:color="auto"/>
        <w:right w:val="none" w:sz="0" w:space="0" w:color="auto"/>
      </w:divBdr>
    </w:div>
    <w:div w:id="1068265352">
      <w:bodyDiv w:val="1"/>
      <w:marLeft w:val="0"/>
      <w:marRight w:val="0"/>
      <w:marTop w:val="0"/>
      <w:marBottom w:val="0"/>
      <w:divBdr>
        <w:top w:val="none" w:sz="0" w:space="0" w:color="auto"/>
        <w:left w:val="none" w:sz="0" w:space="0" w:color="auto"/>
        <w:bottom w:val="none" w:sz="0" w:space="0" w:color="auto"/>
        <w:right w:val="none" w:sz="0" w:space="0" w:color="auto"/>
      </w:divBdr>
    </w:div>
    <w:div w:id="1068453475">
      <w:bodyDiv w:val="1"/>
      <w:marLeft w:val="0"/>
      <w:marRight w:val="0"/>
      <w:marTop w:val="0"/>
      <w:marBottom w:val="0"/>
      <w:divBdr>
        <w:top w:val="none" w:sz="0" w:space="0" w:color="auto"/>
        <w:left w:val="none" w:sz="0" w:space="0" w:color="auto"/>
        <w:bottom w:val="none" w:sz="0" w:space="0" w:color="auto"/>
        <w:right w:val="none" w:sz="0" w:space="0" w:color="auto"/>
      </w:divBdr>
    </w:div>
    <w:div w:id="1069233624">
      <w:bodyDiv w:val="1"/>
      <w:marLeft w:val="0"/>
      <w:marRight w:val="0"/>
      <w:marTop w:val="0"/>
      <w:marBottom w:val="0"/>
      <w:divBdr>
        <w:top w:val="none" w:sz="0" w:space="0" w:color="auto"/>
        <w:left w:val="none" w:sz="0" w:space="0" w:color="auto"/>
        <w:bottom w:val="none" w:sz="0" w:space="0" w:color="auto"/>
        <w:right w:val="none" w:sz="0" w:space="0" w:color="auto"/>
      </w:divBdr>
    </w:div>
    <w:div w:id="1069503029">
      <w:bodyDiv w:val="1"/>
      <w:marLeft w:val="0"/>
      <w:marRight w:val="0"/>
      <w:marTop w:val="0"/>
      <w:marBottom w:val="0"/>
      <w:divBdr>
        <w:top w:val="none" w:sz="0" w:space="0" w:color="auto"/>
        <w:left w:val="none" w:sz="0" w:space="0" w:color="auto"/>
        <w:bottom w:val="none" w:sz="0" w:space="0" w:color="auto"/>
        <w:right w:val="none" w:sz="0" w:space="0" w:color="auto"/>
      </w:divBdr>
      <w:divsChild>
        <w:div w:id="1974820822">
          <w:marLeft w:val="480"/>
          <w:marRight w:val="0"/>
          <w:marTop w:val="0"/>
          <w:marBottom w:val="0"/>
          <w:divBdr>
            <w:top w:val="none" w:sz="0" w:space="0" w:color="auto"/>
            <w:left w:val="none" w:sz="0" w:space="0" w:color="auto"/>
            <w:bottom w:val="none" w:sz="0" w:space="0" w:color="auto"/>
            <w:right w:val="none" w:sz="0" w:space="0" w:color="auto"/>
          </w:divBdr>
        </w:div>
        <w:div w:id="1146243678">
          <w:marLeft w:val="480"/>
          <w:marRight w:val="0"/>
          <w:marTop w:val="0"/>
          <w:marBottom w:val="0"/>
          <w:divBdr>
            <w:top w:val="none" w:sz="0" w:space="0" w:color="auto"/>
            <w:left w:val="none" w:sz="0" w:space="0" w:color="auto"/>
            <w:bottom w:val="none" w:sz="0" w:space="0" w:color="auto"/>
            <w:right w:val="none" w:sz="0" w:space="0" w:color="auto"/>
          </w:divBdr>
        </w:div>
        <w:div w:id="2138178952">
          <w:marLeft w:val="480"/>
          <w:marRight w:val="0"/>
          <w:marTop w:val="0"/>
          <w:marBottom w:val="0"/>
          <w:divBdr>
            <w:top w:val="none" w:sz="0" w:space="0" w:color="auto"/>
            <w:left w:val="none" w:sz="0" w:space="0" w:color="auto"/>
            <w:bottom w:val="none" w:sz="0" w:space="0" w:color="auto"/>
            <w:right w:val="none" w:sz="0" w:space="0" w:color="auto"/>
          </w:divBdr>
        </w:div>
        <w:div w:id="236676044">
          <w:marLeft w:val="480"/>
          <w:marRight w:val="0"/>
          <w:marTop w:val="0"/>
          <w:marBottom w:val="0"/>
          <w:divBdr>
            <w:top w:val="none" w:sz="0" w:space="0" w:color="auto"/>
            <w:left w:val="none" w:sz="0" w:space="0" w:color="auto"/>
            <w:bottom w:val="none" w:sz="0" w:space="0" w:color="auto"/>
            <w:right w:val="none" w:sz="0" w:space="0" w:color="auto"/>
          </w:divBdr>
        </w:div>
        <w:div w:id="724837205">
          <w:marLeft w:val="480"/>
          <w:marRight w:val="0"/>
          <w:marTop w:val="0"/>
          <w:marBottom w:val="0"/>
          <w:divBdr>
            <w:top w:val="none" w:sz="0" w:space="0" w:color="auto"/>
            <w:left w:val="none" w:sz="0" w:space="0" w:color="auto"/>
            <w:bottom w:val="none" w:sz="0" w:space="0" w:color="auto"/>
            <w:right w:val="none" w:sz="0" w:space="0" w:color="auto"/>
          </w:divBdr>
        </w:div>
        <w:div w:id="1349796330">
          <w:marLeft w:val="480"/>
          <w:marRight w:val="0"/>
          <w:marTop w:val="0"/>
          <w:marBottom w:val="0"/>
          <w:divBdr>
            <w:top w:val="none" w:sz="0" w:space="0" w:color="auto"/>
            <w:left w:val="none" w:sz="0" w:space="0" w:color="auto"/>
            <w:bottom w:val="none" w:sz="0" w:space="0" w:color="auto"/>
            <w:right w:val="none" w:sz="0" w:space="0" w:color="auto"/>
          </w:divBdr>
        </w:div>
        <w:div w:id="297340178">
          <w:marLeft w:val="480"/>
          <w:marRight w:val="0"/>
          <w:marTop w:val="0"/>
          <w:marBottom w:val="0"/>
          <w:divBdr>
            <w:top w:val="none" w:sz="0" w:space="0" w:color="auto"/>
            <w:left w:val="none" w:sz="0" w:space="0" w:color="auto"/>
            <w:bottom w:val="none" w:sz="0" w:space="0" w:color="auto"/>
            <w:right w:val="none" w:sz="0" w:space="0" w:color="auto"/>
          </w:divBdr>
        </w:div>
        <w:div w:id="1016736283">
          <w:marLeft w:val="480"/>
          <w:marRight w:val="0"/>
          <w:marTop w:val="0"/>
          <w:marBottom w:val="0"/>
          <w:divBdr>
            <w:top w:val="none" w:sz="0" w:space="0" w:color="auto"/>
            <w:left w:val="none" w:sz="0" w:space="0" w:color="auto"/>
            <w:bottom w:val="none" w:sz="0" w:space="0" w:color="auto"/>
            <w:right w:val="none" w:sz="0" w:space="0" w:color="auto"/>
          </w:divBdr>
        </w:div>
        <w:div w:id="599029869">
          <w:marLeft w:val="480"/>
          <w:marRight w:val="0"/>
          <w:marTop w:val="0"/>
          <w:marBottom w:val="0"/>
          <w:divBdr>
            <w:top w:val="none" w:sz="0" w:space="0" w:color="auto"/>
            <w:left w:val="none" w:sz="0" w:space="0" w:color="auto"/>
            <w:bottom w:val="none" w:sz="0" w:space="0" w:color="auto"/>
            <w:right w:val="none" w:sz="0" w:space="0" w:color="auto"/>
          </w:divBdr>
        </w:div>
        <w:div w:id="245723330">
          <w:marLeft w:val="480"/>
          <w:marRight w:val="0"/>
          <w:marTop w:val="0"/>
          <w:marBottom w:val="0"/>
          <w:divBdr>
            <w:top w:val="none" w:sz="0" w:space="0" w:color="auto"/>
            <w:left w:val="none" w:sz="0" w:space="0" w:color="auto"/>
            <w:bottom w:val="none" w:sz="0" w:space="0" w:color="auto"/>
            <w:right w:val="none" w:sz="0" w:space="0" w:color="auto"/>
          </w:divBdr>
        </w:div>
        <w:div w:id="524561746">
          <w:marLeft w:val="480"/>
          <w:marRight w:val="0"/>
          <w:marTop w:val="0"/>
          <w:marBottom w:val="0"/>
          <w:divBdr>
            <w:top w:val="none" w:sz="0" w:space="0" w:color="auto"/>
            <w:left w:val="none" w:sz="0" w:space="0" w:color="auto"/>
            <w:bottom w:val="none" w:sz="0" w:space="0" w:color="auto"/>
            <w:right w:val="none" w:sz="0" w:space="0" w:color="auto"/>
          </w:divBdr>
        </w:div>
        <w:div w:id="373969795">
          <w:marLeft w:val="480"/>
          <w:marRight w:val="0"/>
          <w:marTop w:val="0"/>
          <w:marBottom w:val="0"/>
          <w:divBdr>
            <w:top w:val="none" w:sz="0" w:space="0" w:color="auto"/>
            <w:left w:val="none" w:sz="0" w:space="0" w:color="auto"/>
            <w:bottom w:val="none" w:sz="0" w:space="0" w:color="auto"/>
            <w:right w:val="none" w:sz="0" w:space="0" w:color="auto"/>
          </w:divBdr>
        </w:div>
        <w:div w:id="804394345">
          <w:marLeft w:val="480"/>
          <w:marRight w:val="0"/>
          <w:marTop w:val="0"/>
          <w:marBottom w:val="0"/>
          <w:divBdr>
            <w:top w:val="none" w:sz="0" w:space="0" w:color="auto"/>
            <w:left w:val="none" w:sz="0" w:space="0" w:color="auto"/>
            <w:bottom w:val="none" w:sz="0" w:space="0" w:color="auto"/>
            <w:right w:val="none" w:sz="0" w:space="0" w:color="auto"/>
          </w:divBdr>
        </w:div>
        <w:div w:id="592008103">
          <w:marLeft w:val="480"/>
          <w:marRight w:val="0"/>
          <w:marTop w:val="0"/>
          <w:marBottom w:val="0"/>
          <w:divBdr>
            <w:top w:val="none" w:sz="0" w:space="0" w:color="auto"/>
            <w:left w:val="none" w:sz="0" w:space="0" w:color="auto"/>
            <w:bottom w:val="none" w:sz="0" w:space="0" w:color="auto"/>
            <w:right w:val="none" w:sz="0" w:space="0" w:color="auto"/>
          </w:divBdr>
        </w:div>
        <w:div w:id="1044671787">
          <w:marLeft w:val="480"/>
          <w:marRight w:val="0"/>
          <w:marTop w:val="0"/>
          <w:marBottom w:val="0"/>
          <w:divBdr>
            <w:top w:val="none" w:sz="0" w:space="0" w:color="auto"/>
            <w:left w:val="none" w:sz="0" w:space="0" w:color="auto"/>
            <w:bottom w:val="none" w:sz="0" w:space="0" w:color="auto"/>
            <w:right w:val="none" w:sz="0" w:space="0" w:color="auto"/>
          </w:divBdr>
        </w:div>
        <w:div w:id="1214190999">
          <w:marLeft w:val="480"/>
          <w:marRight w:val="0"/>
          <w:marTop w:val="0"/>
          <w:marBottom w:val="0"/>
          <w:divBdr>
            <w:top w:val="none" w:sz="0" w:space="0" w:color="auto"/>
            <w:left w:val="none" w:sz="0" w:space="0" w:color="auto"/>
            <w:bottom w:val="none" w:sz="0" w:space="0" w:color="auto"/>
            <w:right w:val="none" w:sz="0" w:space="0" w:color="auto"/>
          </w:divBdr>
        </w:div>
        <w:div w:id="1137263652">
          <w:marLeft w:val="480"/>
          <w:marRight w:val="0"/>
          <w:marTop w:val="0"/>
          <w:marBottom w:val="0"/>
          <w:divBdr>
            <w:top w:val="none" w:sz="0" w:space="0" w:color="auto"/>
            <w:left w:val="none" w:sz="0" w:space="0" w:color="auto"/>
            <w:bottom w:val="none" w:sz="0" w:space="0" w:color="auto"/>
            <w:right w:val="none" w:sz="0" w:space="0" w:color="auto"/>
          </w:divBdr>
        </w:div>
        <w:div w:id="1213349177">
          <w:marLeft w:val="480"/>
          <w:marRight w:val="0"/>
          <w:marTop w:val="0"/>
          <w:marBottom w:val="0"/>
          <w:divBdr>
            <w:top w:val="none" w:sz="0" w:space="0" w:color="auto"/>
            <w:left w:val="none" w:sz="0" w:space="0" w:color="auto"/>
            <w:bottom w:val="none" w:sz="0" w:space="0" w:color="auto"/>
            <w:right w:val="none" w:sz="0" w:space="0" w:color="auto"/>
          </w:divBdr>
        </w:div>
        <w:div w:id="1791314178">
          <w:marLeft w:val="480"/>
          <w:marRight w:val="0"/>
          <w:marTop w:val="0"/>
          <w:marBottom w:val="0"/>
          <w:divBdr>
            <w:top w:val="none" w:sz="0" w:space="0" w:color="auto"/>
            <w:left w:val="none" w:sz="0" w:space="0" w:color="auto"/>
            <w:bottom w:val="none" w:sz="0" w:space="0" w:color="auto"/>
            <w:right w:val="none" w:sz="0" w:space="0" w:color="auto"/>
          </w:divBdr>
        </w:div>
        <w:div w:id="1615868226">
          <w:marLeft w:val="480"/>
          <w:marRight w:val="0"/>
          <w:marTop w:val="0"/>
          <w:marBottom w:val="0"/>
          <w:divBdr>
            <w:top w:val="none" w:sz="0" w:space="0" w:color="auto"/>
            <w:left w:val="none" w:sz="0" w:space="0" w:color="auto"/>
            <w:bottom w:val="none" w:sz="0" w:space="0" w:color="auto"/>
            <w:right w:val="none" w:sz="0" w:space="0" w:color="auto"/>
          </w:divBdr>
        </w:div>
        <w:div w:id="858205463">
          <w:marLeft w:val="480"/>
          <w:marRight w:val="0"/>
          <w:marTop w:val="0"/>
          <w:marBottom w:val="0"/>
          <w:divBdr>
            <w:top w:val="none" w:sz="0" w:space="0" w:color="auto"/>
            <w:left w:val="none" w:sz="0" w:space="0" w:color="auto"/>
            <w:bottom w:val="none" w:sz="0" w:space="0" w:color="auto"/>
            <w:right w:val="none" w:sz="0" w:space="0" w:color="auto"/>
          </w:divBdr>
        </w:div>
        <w:div w:id="1646740734">
          <w:marLeft w:val="480"/>
          <w:marRight w:val="0"/>
          <w:marTop w:val="0"/>
          <w:marBottom w:val="0"/>
          <w:divBdr>
            <w:top w:val="none" w:sz="0" w:space="0" w:color="auto"/>
            <w:left w:val="none" w:sz="0" w:space="0" w:color="auto"/>
            <w:bottom w:val="none" w:sz="0" w:space="0" w:color="auto"/>
            <w:right w:val="none" w:sz="0" w:space="0" w:color="auto"/>
          </w:divBdr>
        </w:div>
        <w:div w:id="835732620">
          <w:marLeft w:val="480"/>
          <w:marRight w:val="0"/>
          <w:marTop w:val="0"/>
          <w:marBottom w:val="0"/>
          <w:divBdr>
            <w:top w:val="none" w:sz="0" w:space="0" w:color="auto"/>
            <w:left w:val="none" w:sz="0" w:space="0" w:color="auto"/>
            <w:bottom w:val="none" w:sz="0" w:space="0" w:color="auto"/>
            <w:right w:val="none" w:sz="0" w:space="0" w:color="auto"/>
          </w:divBdr>
        </w:div>
        <w:div w:id="310866662">
          <w:marLeft w:val="480"/>
          <w:marRight w:val="0"/>
          <w:marTop w:val="0"/>
          <w:marBottom w:val="0"/>
          <w:divBdr>
            <w:top w:val="none" w:sz="0" w:space="0" w:color="auto"/>
            <w:left w:val="none" w:sz="0" w:space="0" w:color="auto"/>
            <w:bottom w:val="none" w:sz="0" w:space="0" w:color="auto"/>
            <w:right w:val="none" w:sz="0" w:space="0" w:color="auto"/>
          </w:divBdr>
        </w:div>
        <w:div w:id="135530474">
          <w:marLeft w:val="480"/>
          <w:marRight w:val="0"/>
          <w:marTop w:val="0"/>
          <w:marBottom w:val="0"/>
          <w:divBdr>
            <w:top w:val="none" w:sz="0" w:space="0" w:color="auto"/>
            <w:left w:val="none" w:sz="0" w:space="0" w:color="auto"/>
            <w:bottom w:val="none" w:sz="0" w:space="0" w:color="auto"/>
            <w:right w:val="none" w:sz="0" w:space="0" w:color="auto"/>
          </w:divBdr>
        </w:div>
        <w:div w:id="1556312862">
          <w:marLeft w:val="480"/>
          <w:marRight w:val="0"/>
          <w:marTop w:val="0"/>
          <w:marBottom w:val="0"/>
          <w:divBdr>
            <w:top w:val="none" w:sz="0" w:space="0" w:color="auto"/>
            <w:left w:val="none" w:sz="0" w:space="0" w:color="auto"/>
            <w:bottom w:val="none" w:sz="0" w:space="0" w:color="auto"/>
            <w:right w:val="none" w:sz="0" w:space="0" w:color="auto"/>
          </w:divBdr>
        </w:div>
        <w:div w:id="1985894220">
          <w:marLeft w:val="480"/>
          <w:marRight w:val="0"/>
          <w:marTop w:val="0"/>
          <w:marBottom w:val="0"/>
          <w:divBdr>
            <w:top w:val="none" w:sz="0" w:space="0" w:color="auto"/>
            <w:left w:val="none" w:sz="0" w:space="0" w:color="auto"/>
            <w:bottom w:val="none" w:sz="0" w:space="0" w:color="auto"/>
            <w:right w:val="none" w:sz="0" w:space="0" w:color="auto"/>
          </w:divBdr>
        </w:div>
        <w:div w:id="219051287">
          <w:marLeft w:val="480"/>
          <w:marRight w:val="0"/>
          <w:marTop w:val="0"/>
          <w:marBottom w:val="0"/>
          <w:divBdr>
            <w:top w:val="none" w:sz="0" w:space="0" w:color="auto"/>
            <w:left w:val="none" w:sz="0" w:space="0" w:color="auto"/>
            <w:bottom w:val="none" w:sz="0" w:space="0" w:color="auto"/>
            <w:right w:val="none" w:sz="0" w:space="0" w:color="auto"/>
          </w:divBdr>
        </w:div>
        <w:div w:id="1151026230">
          <w:marLeft w:val="480"/>
          <w:marRight w:val="0"/>
          <w:marTop w:val="0"/>
          <w:marBottom w:val="0"/>
          <w:divBdr>
            <w:top w:val="none" w:sz="0" w:space="0" w:color="auto"/>
            <w:left w:val="none" w:sz="0" w:space="0" w:color="auto"/>
            <w:bottom w:val="none" w:sz="0" w:space="0" w:color="auto"/>
            <w:right w:val="none" w:sz="0" w:space="0" w:color="auto"/>
          </w:divBdr>
        </w:div>
        <w:div w:id="931820993">
          <w:marLeft w:val="480"/>
          <w:marRight w:val="0"/>
          <w:marTop w:val="0"/>
          <w:marBottom w:val="0"/>
          <w:divBdr>
            <w:top w:val="none" w:sz="0" w:space="0" w:color="auto"/>
            <w:left w:val="none" w:sz="0" w:space="0" w:color="auto"/>
            <w:bottom w:val="none" w:sz="0" w:space="0" w:color="auto"/>
            <w:right w:val="none" w:sz="0" w:space="0" w:color="auto"/>
          </w:divBdr>
        </w:div>
        <w:div w:id="1269892369">
          <w:marLeft w:val="480"/>
          <w:marRight w:val="0"/>
          <w:marTop w:val="0"/>
          <w:marBottom w:val="0"/>
          <w:divBdr>
            <w:top w:val="none" w:sz="0" w:space="0" w:color="auto"/>
            <w:left w:val="none" w:sz="0" w:space="0" w:color="auto"/>
            <w:bottom w:val="none" w:sz="0" w:space="0" w:color="auto"/>
            <w:right w:val="none" w:sz="0" w:space="0" w:color="auto"/>
          </w:divBdr>
        </w:div>
        <w:div w:id="237596953">
          <w:marLeft w:val="480"/>
          <w:marRight w:val="0"/>
          <w:marTop w:val="0"/>
          <w:marBottom w:val="0"/>
          <w:divBdr>
            <w:top w:val="none" w:sz="0" w:space="0" w:color="auto"/>
            <w:left w:val="none" w:sz="0" w:space="0" w:color="auto"/>
            <w:bottom w:val="none" w:sz="0" w:space="0" w:color="auto"/>
            <w:right w:val="none" w:sz="0" w:space="0" w:color="auto"/>
          </w:divBdr>
        </w:div>
        <w:div w:id="1490368675">
          <w:marLeft w:val="480"/>
          <w:marRight w:val="0"/>
          <w:marTop w:val="0"/>
          <w:marBottom w:val="0"/>
          <w:divBdr>
            <w:top w:val="none" w:sz="0" w:space="0" w:color="auto"/>
            <w:left w:val="none" w:sz="0" w:space="0" w:color="auto"/>
            <w:bottom w:val="none" w:sz="0" w:space="0" w:color="auto"/>
            <w:right w:val="none" w:sz="0" w:space="0" w:color="auto"/>
          </w:divBdr>
        </w:div>
        <w:div w:id="881289898">
          <w:marLeft w:val="480"/>
          <w:marRight w:val="0"/>
          <w:marTop w:val="0"/>
          <w:marBottom w:val="0"/>
          <w:divBdr>
            <w:top w:val="none" w:sz="0" w:space="0" w:color="auto"/>
            <w:left w:val="none" w:sz="0" w:space="0" w:color="auto"/>
            <w:bottom w:val="none" w:sz="0" w:space="0" w:color="auto"/>
            <w:right w:val="none" w:sz="0" w:space="0" w:color="auto"/>
          </w:divBdr>
        </w:div>
        <w:div w:id="80302686">
          <w:marLeft w:val="480"/>
          <w:marRight w:val="0"/>
          <w:marTop w:val="0"/>
          <w:marBottom w:val="0"/>
          <w:divBdr>
            <w:top w:val="none" w:sz="0" w:space="0" w:color="auto"/>
            <w:left w:val="none" w:sz="0" w:space="0" w:color="auto"/>
            <w:bottom w:val="none" w:sz="0" w:space="0" w:color="auto"/>
            <w:right w:val="none" w:sz="0" w:space="0" w:color="auto"/>
          </w:divBdr>
        </w:div>
        <w:div w:id="1269198233">
          <w:marLeft w:val="480"/>
          <w:marRight w:val="0"/>
          <w:marTop w:val="0"/>
          <w:marBottom w:val="0"/>
          <w:divBdr>
            <w:top w:val="none" w:sz="0" w:space="0" w:color="auto"/>
            <w:left w:val="none" w:sz="0" w:space="0" w:color="auto"/>
            <w:bottom w:val="none" w:sz="0" w:space="0" w:color="auto"/>
            <w:right w:val="none" w:sz="0" w:space="0" w:color="auto"/>
          </w:divBdr>
        </w:div>
        <w:div w:id="1134904921">
          <w:marLeft w:val="480"/>
          <w:marRight w:val="0"/>
          <w:marTop w:val="0"/>
          <w:marBottom w:val="0"/>
          <w:divBdr>
            <w:top w:val="none" w:sz="0" w:space="0" w:color="auto"/>
            <w:left w:val="none" w:sz="0" w:space="0" w:color="auto"/>
            <w:bottom w:val="none" w:sz="0" w:space="0" w:color="auto"/>
            <w:right w:val="none" w:sz="0" w:space="0" w:color="auto"/>
          </w:divBdr>
        </w:div>
        <w:div w:id="1282303626">
          <w:marLeft w:val="480"/>
          <w:marRight w:val="0"/>
          <w:marTop w:val="0"/>
          <w:marBottom w:val="0"/>
          <w:divBdr>
            <w:top w:val="none" w:sz="0" w:space="0" w:color="auto"/>
            <w:left w:val="none" w:sz="0" w:space="0" w:color="auto"/>
            <w:bottom w:val="none" w:sz="0" w:space="0" w:color="auto"/>
            <w:right w:val="none" w:sz="0" w:space="0" w:color="auto"/>
          </w:divBdr>
        </w:div>
        <w:div w:id="840580077">
          <w:marLeft w:val="480"/>
          <w:marRight w:val="0"/>
          <w:marTop w:val="0"/>
          <w:marBottom w:val="0"/>
          <w:divBdr>
            <w:top w:val="none" w:sz="0" w:space="0" w:color="auto"/>
            <w:left w:val="none" w:sz="0" w:space="0" w:color="auto"/>
            <w:bottom w:val="none" w:sz="0" w:space="0" w:color="auto"/>
            <w:right w:val="none" w:sz="0" w:space="0" w:color="auto"/>
          </w:divBdr>
        </w:div>
        <w:div w:id="679894852">
          <w:marLeft w:val="480"/>
          <w:marRight w:val="0"/>
          <w:marTop w:val="0"/>
          <w:marBottom w:val="0"/>
          <w:divBdr>
            <w:top w:val="none" w:sz="0" w:space="0" w:color="auto"/>
            <w:left w:val="none" w:sz="0" w:space="0" w:color="auto"/>
            <w:bottom w:val="none" w:sz="0" w:space="0" w:color="auto"/>
            <w:right w:val="none" w:sz="0" w:space="0" w:color="auto"/>
          </w:divBdr>
        </w:div>
        <w:div w:id="240792800">
          <w:marLeft w:val="480"/>
          <w:marRight w:val="0"/>
          <w:marTop w:val="0"/>
          <w:marBottom w:val="0"/>
          <w:divBdr>
            <w:top w:val="none" w:sz="0" w:space="0" w:color="auto"/>
            <w:left w:val="none" w:sz="0" w:space="0" w:color="auto"/>
            <w:bottom w:val="none" w:sz="0" w:space="0" w:color="auto"/>
            <w:right w:val="none" w:sz="0" w:space="0" w:color="auto"/>
          </w:divBdr>
        </w:div>
        <w:div w:id="1594169780">
          <w:marLeft w:val="480"/>
          <w:marRight w:val="0"/>
          <w:marTop w:val="0"/>
          <w:marBottom w:val="0"/>
          <w:divBdr>
            <w:top w:val="none" w:sz="0" w:space="0" w:color="auto"/>
            <w:left w:val="none" w:sz="0" w:space="0" w:color="auto"/>
            <w:bottom w:val="none" w:sz="0" w:space="0" w:color="auto"/>
            <w:right w:val="none" w:sz="0" w:space="0" w:color="auto"/>
          </w:divBdr>
        </w:div>
        <w:div w:id="894924497">
          <w:marLeft w:val="480"/>
          <w:marRight w:val="0"/>
          <w:marTop w:val="0"/>
          <w:marBottom w:val="0"/>
          <w:divBdr>
            <w:top w:val="none" w:sz="0" w:space="0" w:color="auto"/>
            <w:left w:val="none" w:sz="0" w:space="0" w:color="auto"/>
            <w:bottom w:val="none" w:sz="0" w:space="0" w:color="auto"/>
            <w:right w:val="none" w:sz="0" w:space="0" w:color="auto"/>
          </w:divBdr>
        </w:div>
        <w:div w:id="476142942">
          <w:marLeft w:val="480"/>
          <w:marRight w:val="0"/>
          <w:marTop w:val="0"/>
          <w:marBottom w:val="0"/>
          <w:divBdr>
            <w:top w:val="none" w:sz="0" w:space="0" w:color="auto"/>
            <w:left w:val="none" w:sz="0" w:space="0" w:color="auto"/>
            <w:bottom w:val="none" w:sz="0" w:space="0" w:color="auto"/>
            <w:right w:val="none" w:sz="0" w:space="0" w:color="auto"/>
          </w:divBdr>
        </w:div>
        <w:div w:id="1430462966">
          <w:marLeft w:val="480"/>
          <w:marRight w:val="0"/>
          <w:marTop w:val="0"/>
          <w:marBottom w:val="0"/>
          <w:divBdr>
            <w:top w:val="none" w:sz="0" w:space="0" w:color="auto"/>
            <w:left w:val="none" w:sz="0" w:space="0" w:color="auto"/>
            <w:bottom w:val="none" w:sz="0" w:space="0" w:color="auto"/>
            <w:right w:val="none" w:sz="0" w:space="0" w:color="auto"/>
          </w:divBdr>
        </w:div>
        <w:div w:id="664238395">
          <w:marLeft w:val="480"/>
          <w:marRight w:val="0"/>
          <w:marTop w:val="0"/>
          <w:marBottom w:val="0"/>
          <w:divBdr>
            <w:top w:val="none" w:sz="0" w:space="0" w:color="auto"/>
            <w:left w:val="none" w:sz="0" w:space="0" w:color="auto"/>
            <w:bottom w:val="none" w:sz="0" w:space="0" w:color="auto"/>
            <w:right w:val="none" w:sz="0" w:space="0" w:color="auto"/>
          </w:divBdr>
        </w:div>
        <w:div w:id="955677870">
          <w:marLeft w:val="480"/>
          <w:marRight w:val="0"/>
          <w:marTop w:val="0"/>
          <w:marBottom w:val="0"/>
          <w:divBdr>
            <w:top w:val="none" w:sz="0" w:space="0" w:color="auto"/>
            <w:left w:val="none" w:sz="0" w:space="0" w:color="auto"/>
            <w:bottom w:val="none" w:sz="0" w:space="0" w:color="auto"/>
            <w:right w:val="none" w:sz="0" w:space="0" w:color="auto"/>
          </w:divBdr>
        </w:div>
        <w:div w:id="1963613452">
          <w:marLeft w:val="480"/>
          <w:marRight w:val="0"/>
          <w:marTop w:val="0"/>
          <w:marBottom w:val="0"/>
          <w:divBdr>
            <w:top w:val="none" w:sz="0" w:space="0" w:color="auto"/>
            <w:left w:val="none" w:sz="0" w:space="0" w:color="auto"/>
            <w:bottom w:val="none" w:sz="0" w:space="0" w:color="auto"/>
            <w:right w:val="none" w:sz="0" w:space="0" w:color="auto"/>
          </w:divBdr>
        </w:div>
        <w:div w:id="1456294223">
          <w:marLeft w:val="480"/>
          <w:marRight w:val="0"/>
          <w:marTop w:val="0"/>
          <w:marBottom w:val="0"/>
          <w:divBdr>
            <w:top w:val="none" w:sz="0" w:space="0" w:color="auto"/>
            <w:left w:val="none" w:sz="0" w:space="0" w:color="auto"/>
            <w:bottom w:val="none" w:sz="0" w:space="0" w:color="auto"/>
            <w:right w:val="none" w:sz="0" w:space="0" w:color="auto"/>
          </w:divBdr>
        </w:div>
        <w:div w:id="675766714">
          <w:marLeft w:val="480"/>
          <w:marRight w:val="0"/>
          <w:marTop w:val="0"/>
          <w:marBottom w:val="0"/>
          <w:divBdr>
            <w:top w:val="none" w:sz="0" w:space="0" w:color="auto"/>
            <w:left w:val="none" w:sz="0" w:space="0" w:color="auto"/>
            <w:bottom w:val="none" w:sz="0" w:space="0" w:color="auto"/>
            <w:right w:val="none" w:sz="0" w:space="0" w:color="auto"/>
          </w:divBdr>
        </w:div>
        <w:div w:id="1968050543">
          <w:marLeft w:val="480"/>
          <w:marRight w:val="0"/>
          <w:marTop w:val="0"/>
          <w:marBottom w:val="0"/>
          <w:divBdr>
            <w:top w:val="none" w:sz="0" w:space="0" w:color="auto"/>
            <w:left w:val="none" w:sz="0" w:space="0" w:color="auto"/>
            <w:bottom w:val="none" w:sz="0" w:space="0" w:color="auto"/>
            <w:right w:val="none" w:sz="0" w:space="0" w:color="auto"/>
          </w:divBdr>
        </w:div>
        <w:div w:id="1128359502">
          <w:marLeft w:val="480"/>
          <w:marRight w:val="0"/>
          <w:marTop w:val="0"/>
          <w:marBottom w:val="0"/>
          <w:divBdr>
            <w:top w:val="none" w:sz="0" w:space="0" w:color="auto"/>
            <w:left w:val="none" w:sz="0" w:space="0" w:color="auto"/>
            <w:bottom w:val="none" w:sz="0" w:space="0" w:color="auto"/>
            <w:right w:val="none" w:sz="0" w:space="0" w:color="auto"/>
          </w:divBdr>
        </w:div>
        <w:div w:id="1467159062">
          <w:marLeft w:val="480"/>
          <w:marRight w:val="0"/>
          <w:marTop w:val="0"/>
          <w:marBottom w:val="0"/>
          <w:divBdr>
            <w:top w:val="none" w:sz="0" w:space="0" w:color="auto"/>
            <w:left w:val="none" w:sz="0" w:space="0" w:color="auto"/>
            <w:bottom w:val="none" w:sz="0" w:space="0" w:color="auto"/>
            <w:right w:val="none" w:sz="0" w:space="0" w:color="auto"/>
          </w:divBdr>
        </w:div>
        <w:div w:id="881869849">
          <w:marLeft w:val="480"/>
          <w:marRight w:val="0"/>
          <w:marTop w:val="0"/>
          <w:marBottom w:val="0"/>
          <w:divBdr>
            <w:top w:val="none" w:sz="0" w:space="0" w:color="auto"/>
            <w:left w:val="none" w:sz="0" w:space="0" w:color="auto"/>
            <w:bottom w:val="none" w:sz="0" w:space="0" w:color="auto"/>
            <w:right w:val="none" w:sz="0" w:space="0" w:color="auto"/>
          </w:divBdr>
        </w:div>
        <w:div w:id="269433649">
          <w:marLeft w:val="480"/>
          <w:marRight w:val="0"/>
          <w:marTop w:val="0"/>
          <w:marBottom w:val="0"/>
          <w:divBdr>
            <w:top w:val="none" w:sz="0" w:space="0" w:color="auto"/>
            <w:left w:val="none" w:sz="0" w:space="0" w:color="auto"/>
            <w:bottom w:val="none" w:sz="0" w:space="0" w:color="auto"/>
            <w:right w:val="none" w:sz="0" w:space="0" w:color="auto"/>
          </w:divBdr>
        </w:div>
        <w:div w:id="1591280032">
          <w:marLeft w:val="480"/>
          <w:marRight w:val="0"/>
          <w:marTop w:val="0"/>
          <w:marBottom w:val="0"/>
          <w:divBdr>
            <w:top w:val="none" w:sz="0" w:space="0" w:color="auto"/>
            <w:left w:val="none" w:sz="0" w:space="0" w:color="auto"/>
            <w:bottom w:val="none" w:sz="0" w:space="0" w:color="auto"/>
            <w:right w:val="none" w:sz="0" w:space="0" w:color="auto"/>
          </w:divBdr>
        </w:div>
        <w:div w:id="616831361">
          <w:marLeft w:val="480"/>
          <w:marRight w:val="0"/>
          <w:marTop w:val="0"/>
          <w:marBottom w:val="0"/>
          <w:divBdr>
            <w:top w:val="none" w:sz="0" w:space="0" w:color="auto"/>
            <w:left w:val="none" w:sz="0" w:space="0" w:color="auto"/>
            <w:bottom w:val="none" w:sz="0" w:space="0" w:color="auto"/>
            <w:right w:val="none" w:sz="0" w:space="0" w:color="auto"/>
          </w:divBdr>
        </w:div>
        <w:div w:id="978194962">
          <w:marLeft w:val="480"/>
          <w:marRight w:val="0"/>
          <w:marTop w:val="0"/>
          <w:marBottom w:val="0"/>
          <w:divBdr>
            <w:top w:val="none" w:sz="0" w:space="0" w:color="auto"/>
            <w:left w:val="none" w:sz="0" w:space="0" w:color="auto"/>
            <w:bottom w:val="none" w:sz="0" w:space="0" w:color="auto"/>
            <w:right w:val="none" w:sz="0" w:space="0" w:color="auto"/>
          </w:divBdr>
        </w:div>
        <w:div w:id="243146939">
          <w:marLeft w:val="480"/>
          <w:marRight w:val="0"/>
          <w:marTop w:val="0"/>
          <w:marBottom w:val="0"/>
          <w:divBdr>
            <w:top w:val="none" w:sz="0" w:space="0" w:color="auto"/>
            <w:left w:val="none" w:sz="0" w:space="0" w:color="auto"/>
            <w:bottom w:val="none" w:sz="0" w:space="0" w:color="auto"/>
            <w:right w:val="none" w:sz="0" w:space="0" w:color="auto"/>
          </w:divBdr>
        </w:div>
        <w:div w:id="1583372576">
          <w:marLeft w:val="480"/>
          <w:marRight w:val="0"/>
          <w:marTop w:val="0"/>
          <w:marBottom w:val="0"/>
          <w:divBdr>
            <w:top w:val="none" w:sz="0" w:space="0" w:color="auto"/>
            <w:left w:val="none" w:sz="0" w:space="0" w:color="auto"/>
            <w:bottom w:val="none" w:sz="0" w:space="0" w:color="auto"/>
            <w:right w:val="none" w:sz="0" w:space="0" w:color="auto"/>
          </w:divBdr>
        </w:div>
        <w:div w:id="652873708">
          <w:marLeft w:val="480"/>
          <w:marRight w:val="0"/>
          <w:marTop w:val="0"/>
          <w:marBottom w:val="0"/>
          <w:divBdr>
            <w:top w:val="none" w:sz="0" w:space="0" w:color="auto"/>
            <w:left w:val="none" w:sz="0" w:space="0" w:color="auto"/>
            <w:bottom w:val="none" w:sz="0" w:space="0" w:color="auto"/>
            <w:right w:val="none" w:sz="0" w:space="0" w:color="auto"/>
          </w:divBdr>
        </w:div>
        <w:div w:id="1972248237">
          <w:marLeft w:val="480"/>
          <w:marRight w:val="0"/>
          <w:marTop w:val="0"/>
          <w:marBottom w:val="0"/>
          <w:divBdr>
            <w:top w:val="none" w:sz="0" w:space="0" w:color="auto"/>
            <w:left w:val="none" w:sz="0" w:space="0" w:color="auto"/>
            <w:bottom w:val="none" w:sz="0" w:space="0" w:color="auto"/>
            <w:right w:val="none" w:sz="0" w:space="0" w:color="auto"/>
          </w:divBdr>
        </w:div>
        <w:div w:id="2126803453">
          <w:marLeft w:val="480"/>
          <w:marRight w:val="0"/>
          <w:marTop w:val="0"/>
          <w:marBottom w:val="0"/>
          <w:divBdr>
            <w:top w:val="none" w:sz="0" w:space="0" w:color="auto"/>
            <w:left w:val="none" w:sz="0" w:space="0" w:color="auto"/>
            <w:bottom w:val="none" w:sz="0" w:space="0" w:color="auto"/>
            <w:right w:val="none" w:sz="0" w:space="0" w:color="auto"/>
          </w:divBdr>
        </w:div>
        <w:div w:id="1115054824">
          <w:marLeft w:val="480"/>
          <w:marRight w:val="0"/>
          <w:marTop w:val="0"/>
          <w:marBottom w:val="0"/>
          <w:divBdr>
            <w:top w:val="none" w:sz="0" w:space="0" w:color="auto"/>
            <w:left w:val="none" w:sz="0" w:space="0" w:color="auto"/>
            <w:bottom w:val="none" w:sz="0" w:space="0" w:color="auto"/>
            <w:right w:val="none" w:sz="0" w:space="0" w:color="auto"/>
          </w:divBdr>
        </w:div>
        <w:div w:id="1726875574">
          <w:marLeft w:val="480"/>
          <w:marRight w:val="0"/>
          <w:marTop w:val="0"/>
          <w:marBottom w:val="0"/>
          <w:divBdr>
            <w:top w:val="none" w:sz="0" w:space="0" w:color="auto"/>
            <w:left w:val="none" w:sz="0" w:space="0" w:color="auto"/>
            <w:bottom w:val="none" w:sz="0" w:space="0" w:color="auto"/>
            <w:right w:val="none" w:sz="0" w:space="0" w:color="auto"/>
          </w:divBdr>
        </w:div>
        <w:div w:id="462845350">
          <w:marLeft w:val="480"/>
          <w:marRight w:val="0"/>
          <w:marTop w:val="0"/>
          <w:marBottom w:val="0"/>
          <w:divBdr>
            <w:top w:val="none" w:sz="0" w:space="0" w:color="auto"/>
            <w:left w:val="none" w:sz="0" w:space="0" w:color="auto"/>
            <w:bottom w:val="none" w:sz="0" w:space="0" w:color="auto"/>
            <w:right w:val="none" w:sz="0" w:space="0" w:color="auto"/>
          </w:divBdr>
        </w:div>
        <w:div w:id="444230613">
          <w:marLeft w:val="480"/>
          <w:marRight w:val="0"/>
          <w:marTop w:val="0"/>
          <w:marBottom w:val="0"/>
          <w:divBdr>
            <w:top w:val="none" w:sz="0" w:space="0" w:color="auto"/>
            <w:left w:val="none" w:sz="0" w:space="0" w:color="auto"/>
            <w:bottom w:val="none" w:sz="0" w:space="0" w:color="auto"/>
            <w:right w:val="none" w:sz="0" w:space="0" w:color="auto"/>
          </w:divBdr>
        </w:div>
        <w:div w:id="1791583702">
          <w:marLeft w:val="480"/>
          <w:marRight w:val="0"/>
          <w:marTop w:val="0"/>
          <w:marBottom w:val="0"/>
          <w:divBdr>
            <w:top w:val="none" w:sz="0" w:space="0" w:color="auto"/>
            <w:left w:val="none" w:sz="0" w:space="0" w:color="auto"/>
            <w:bottom w:val="none" w:sz="0" w:space="0" w:color="auto"/>
            <w:right w:val="none" w:sz="0" w:space="0" w:color="auto"/>
          </w:divBdr>
        </w:div>
        <w:div w:id="1126854417">
          <w:marLeft w:val="480"/>
          <w:marRight w:val="0"/>
          <w:marTop w:val="0"/>
          <w:marBottom w:val="0"/>
          <w:divBdr>
            <w:top w:val="none" w:sz="0" w:space="0" w:color="auto"/>
            <w:left w:val="none" w:sz="0" w:space="0" w:color="auto"/>
            <w:bottom w:val="none" w:sz="0" w:space="0" w:color="auto"/>
            <w:right w:val="none" w:sz="0" w:space="0" w:color="auto"/>
          </w:divBdr>
        </w:div>
        <w:div w:id="315964278">
          <w:marLeft w:val="480"/>
          <w:marRight w:val="0"/>
          <w:marTop w:val="0"/>
          <w:marBottom w:val="0"/>
          <w:divBdr>
            <w:top w:val="none" w:sz="0" w:space="0" w:color="auto"/>
            <w:left w:val="none" w:sz="0" w:space="0" w:color="auto"/>
            <w:bottom w:val="none" w:sz="0" w:space="0" w:color="auto"/>
            <w:right w:val="none" w:sz="0" w:space="0" w:color="auto"/>
          </w:divBdr>
        </w:div>
        <w:div w:id="589855505">
          <w:marLeft w:val="480"/>
          <w:marRight w:val="0"/>
          <w:marTop w:val="0"/>
          <w:marBottom w:val="0"/>
          <w:divBdr>
            <w:top w:val="none" w:sz="0" w:space="0" w:color="auto"/>
            <w:left w:val="none" w:sz="0" w:space="0" w:color="auto"/>
            <w:bottom w:val="none" w:sz="0" w:space="0" w:color="auto"/>
            <w:right w:val="none" w:sz="0" w:space="0" w:color="auto"/>
          </w:divBdr>
        </w:div>
        <w:div w:id="1252809666">
          <w:marLeft w:val="480"/>
          <w:marRight w:val="0"/>
          <w:marTop w:val="0"/>
          <w:marBottom w:val="0"/>
          <w:divBdr>
            <w:top w:val="none" w:sz="0" w:space="0" w:color="auto"/>
            <w:left w:val="none" w:sz="0" w:space="0" w:color="auto"/>
            <w:bottom w:val="none" w:sz="0" w:space="0" w:color="auto"/>
            <w:right w:val="none" w:sz="0" w:space="0" w:color="auto"/>
          </w:divBdr>
        </w:div>
        <w:div w:id="925185089">
          <w:marLeft w:val="480"/>
          <w:marRight w:val="0"/>
          <w:marTop w:val="0"/>
          <w:marBottom w:val="0"/>
          <w:divBdr>
            <w:top w:val="none" w:sz="0" w:space="0" w:color="auto"/>
            <w:left w:val="none" w:sz="0" w:space="0" w:color="auto"/>
            <w:bottom w:val="none" w:sz="0" w:space="0" w:color="auto"/>
            <w:right w:val="none" w:sz="0" w:space="0" w:color="auto"/>
          </w:divBdr>
        </w:div>
        <w:div w:id="736902389">
          <w:marLeft w:val="480"/>
          <w:marRight w:val="0"/>
          <w:marTop w:val="0"/>
          <w:marBottom w:val="0"/>
          <w:divBdr>
            <w:top w:val="none" w:sz="0" w:space="0" w:color="auto"/>
            <w:left w:val="none" w:sz="0" w:space="0" w:color="auto"/>
            <w:bottom w:val="none" w:sz="0" w:space="0" w:color="auto"/>
            <w:right w:val="none" w:sz="0" w:space="0" w:color="auto"/>
          </w:divBdr>
        </w:div>
        <w:div w:id="1977681093">
          <w:marLeft w:val="480"/>
          <w:marRight w:val="0"/>
          <w:marTop w:val="0"/>
          <w:marBottom w:val="0"/>
          <w:divBdr>
            <w:top w:val="none" w:sz="0" w:space="0" w:color="auto"/>
            <w:left w:val="none" w:sz="0" w:space="0" w:color="auto"/>
            <w:bottom w:val="none" w:sz="0" w:space="0" w:color="auto"/>
            <w:right w:val="none" w:sz="0" w:space="0" w:color="auto"/>
          </w:divBdr>
        </w:div>
        <w:div w:id="1634407767">
          <w:marLeft w:val="480"/>
          <w:marRight w:val="0"/>
          <w:marTop w:val="0"/>
          <w:marBottom w:val="0"/>
          <w:divBdr>
            <w:top w:val="none" w:sz="0" w:space="0" w:color="auto"/>
            <w:left w:val="none" w:sz="0" w:space="0" w:color="auto"/>
            <w:bottom w:val="none" w:sz="0" w:space="0" w:color="auto"/>
            <w:right w:val="none" w:sz="0" w:space="0" w:color="auto"/>
          </w:divBdr>
        </w:div>
        <w:div w:id="2060396821">
          <w:marLeft w:val="480"/>
          <w:marRight w:val="0"/>
          <w:marTop w:val="0"/>
          <w:marBottom w:val="0"/>
          <w:divBdr>
            <w:top w:val="none" w:sz="0" w:space="0" w:color="auto"/>
            <w:left w:val="none" w:sz="0" w:space="0" w:color="auto"/>
            <w:bottom w:val="none" w:sz="0" w:space="0" w:color="auto"/>
            <w:right w:val="none" w:sz="0" w:space="0" w:color="auto"/>
          </w:divBdr>
        </w:div>
        <w:div w:id="407769833">
          <w:marLeft w:val="480"/>
          <w:marRight w:val="0"/>
          <w:marTop w:val="0"/>
          <w:marBottom w:val="0"/>
          <w:divBdr>
            <w:top w:val="none" w:sz="0" w:space="0" w:color="auto"/>
            <w:left w:val="none" w:sz="0" w:space="0" w:color="auto"/>
            <w:bottom w:val="none" w:sz="0" w:space="0" w:color="auto"/>
            <w:right w:val="none" w:sz="0" w:space="0" w:color="auto"/>
          </w:divBdr>
        </w:div>
        <w:div w:id="45686371">
          <w:marLeft w:val="480"/>
          <w:marRight w:val="0"/>
          <w:marTop w:val="0"/>
          <w:marBottom w:val="0"/>
          <w:divBdr>
            <w:top w:val="none" w:sz="0" w:space="0" w:color="auto"/>
            <w:left w:val="none" w:sz="0" w:space="0" w:color="auto"/>
            <w:bottom w:val="none" w:sz="0" w:space="0" w:color="auto"/>
            <w:right w:val="none" w:sz="0" w:space="0" w:color="auto"/>
          </w:divBdr>
        </w:div>
        <w:div w:id="2123916221">
          <w:marLeft w:val="480"/>
          <w:marRight w:val="0"/>
          <w:marTop w:val="0"/>
          <w:marBottom w:val="0"/>
          <w:divBdr>
            <w:top w:val="none" w:sz="0" w:space="0" w:color="auto"/>
            <w:left w:val="none" w:sz="0" w:space="0" w:color="auto"/>
            <w:bottom w:val="none" w:sz="0" w:space="0" w:color="auto"/>
            <w:right w:val="none" w:sz="0" w:space="0" w:color="auto"/>
          </w:divBdr>
        </w:div>
        <w:div w:id="1190988466">
          <w:marLeft w:val="480"/>
          <w:marRight w:val="0"/>
          <w:marTop w:val="0"/>
          <w:marBottom w:val="0"/>
          <w:divBdr>
            <w:top w:val="none" w:sz="0" w:space="0" w:color="auto"/>
            <w:left w:val="none" w:sz="0" w:space="0" w:color="auto"/>
            <w:bottom w:val="none" w:sz="0" w:space="0" w:color="auto"/>
            <w:right w:val="none" w:sz="0" w:space="0" w:color="auto"/>
          </w:divBdr>
        </w:div>
        <w:div w:id="339045633">
          <w:marLeft w:val="480"/>
          <w:marRight w:val="0"/>
          <w:marTop w:val="0"/>
          <w:marBottom w:val="0"/>
          <w:divBdr>
            <w:top w:val="none" w:sz="0" w:space="0" w:color="auto"/>
            <w:left w:val="none" w:sz="0" w:space="0" w:color="auto"/>
            <w:bottom w:val="none" w:sz="0" w:space="0" w:color="auto"/>
            <w:right w:val="none" w:sz="0" w:space="0" w:color="auto"/>
          </w:divBdr>
        </w:div>
        <w:div w:id="1278028211">
          <w:marLeft w:val="480"/>
          <w:marRight w:val="0"/>
          <w:marTop w:val="0"/>
          <w:marBottom w:val="0"/>
          <w:divBdr>
            <w:top w:val="none" w:sz="0" w:space="0" w:color="auto"/>
            <w:left w:val="none" w:sz="0" w:space="0" w:color="auto"/>
            <w:bottom w:val="none" w:sz="0" w:space="0" w:color="auto"/>
            <w:right w:val="none" w:sz="0" w:space="0" w:color="auto"/>
          </w:divBdr>
        </w:div>
        <w:div w:id="1126120392">
          <w:marLeft w:val="480"/>
          <w:marRight w:val="0"/>
          <w:marTop w:val="0"/>
          <w:marBottom w:val="0"/>
          <w:divBdr>
            <w:top w:val="none" w:sz="0" w:space="0" w:color="auto"/>
            <w:left w:val="none" w:sz="0" w:space="0" w:color="auto"/>
            <w:bottom w:val="none" w:sz="0" w:space="0" w:color="auto"/>
            <w:right w:val="none" w:sz="0" w:space="0" w:color="auto"/>
          </w:divBdr>
        </w:div>
        <w:div w:id="1149977264">
          <w:marLeft w:val="480"/>
          <w:marRight w:val="0"/>
          <w:marTop w:val="0"/>
          <w:marBottom w:val="0"/>
          <w:divBdr>
            <w:top w:val="none" w:sz="0" w:space="0" w:color="auto"/>
            <w:left w:val="none" w:sz="0" w:space="0" w:color="auto"/>
            <w:bottom w:val="none" w:sz="0" w:space="0" w:color="auto"/>
            <w:right w:val="none" w:sz="0" w:space="0" w:color="auto"/>
          </w:divBdr>
        </w:div>
        <w:div w:id="1776901606">
          <w:marLeft w:val="480"/>
          <w:marRight w:val="0"/>
          <w:marTop w:val="0"/>
          <w:marBottom w:val="0"/>
          <w:divBdr>
            <w:top w:val="none" w:sz="0" w:space="0" w:color="auto"/>
            <w:left w:val="none" w:sz="0" w:space="0" w:color="auto"/>
            <w:bottom w:val="none" w:sz="0" w:space="0" w:color="auto"/>
            <w:right w:val="none" w:sz="0" w:space="0" w:color="auto"/>
          </w:divBdr>
        </w:div>
        <w:div w:id="1299648253">
          <w:marLeft w:val="480"/>
          <w:marRight w:val="0"/>
          <w:marTop w:val="0"/>
          <w:marBottom w:val="0"/>
          <w:divBdr>
            <w:top w:val="none" w:sz="0" w:space="0" w:color="auto"/>
            <w:left w:val="none" w:sz="0" w:space="0" w:color="auto"/>
            <w:bottom w:val="none" w:sz="0" w:space="0" w:color="auto"/>
            <w:right w:val="none" w:sz="0" w:space="0" w:color="auto"/>
          </w:divBdr>
        </w:div>
        <w:div w:id="708992602">
          <w:marLeft w:val="480"/>
          <w:marRight w:val="0"/>
          <w:marTop w:val="0"/>
          <w:marBottom w:val="0"/>
          <w:divBdr>
            <w:top w:val="none" w:sz="0" w:space="0" w:color="auto"/>
            <w:left w:val="none" w:sz="0" w:space="0" w:color="auto"/>
            <w:bottom w:val="none" w:sz="0" w:space="0" w:color="auto"/>
            <w:right w:val="none" w:sz="0" w:space="0" w:color="auto"/>
          </w:divBdr>
        </w:div>
        <w:div w:id="1500656927">
          <w:marLeft w:val="480"/>
          <w:marRight w:val="0"/>
          <w:marTop w:val="0"/>
          <w:marBottom w:val="0"/>
          <w:divBdr>
            <w:top w:val="none" w:sz="0" w:space="0" w:color="auto"/>
            <w:left w:val="none" w:sz="0" w:space="0" w:color="auto"/>
            <w:bottom w:val="none" w:sz="0" w:space="0" w:color="auto"/>
            <w:right w:val="none" w:sz="0" w:space="0" w:color="auto"/>
          </w:divBdr>
        </w:div>
        <w:div w:id="209536224">
          <w:marLeft w:val="480"/>
          <w:marRight w:val="0"/>
          <w:marTop w:val="0"/>
          <w:marBottom w:val="0"/>
          <w:divBdr>
            <w:top w:val="none" w:sz="0" w:space="0" w:color="auto"/>
            <w:left w:val="none" w:sz="0" w:space="0" w:color="auto"/>
            <w:bottom w:val="none" w:sz="0" w:space="0" w:color="auto"/>
            <w:right w:val="none" w:sz="0" w:space="0" w:color="auto"/>
          </w:divBdr>
        </w:div>
        <w:div w:id="92675641">
          <w:marLeft w:val="480"/>
          <w:marRight w:val="0"/>
          <w:marTop w:val="0"/>
          <w:marBottom w:val="0"/>
          <w:divBdr>
            <w:top w:val="none" w:sz="0" w:space="0" w:color="auto"/>
            <w:left w:val="none" w:sz="0" w:space="0" w:color="auto"/>
            <w:bottom w:val="none" w:sz="0" w:space="0" w:color="auto"/>
            <w:right w:val="none" w:sz="0" w:space="0" w:color="auto"/>
          </w:divBdr>
        </w:div>
        <w:div w:id="13458976">
          <w:marLeft w:val="480"/>
          <w:marRight w:val="0"/>
          <w:marTop w:val="0"/>
          <w:marBottom w:val="0"/>
          <w:divBdr>
            <w:top w:val="none" w:sz="0" w:space="0" w:color="auto"/>
            <w:left w:val="none" w:sz="0" w:space="0" w:color="auto"/>
            <w:bottom w:val="none" w:sz="0" w:space="0" w:color="auto"/>
            <w:right w:val="none" w:sz="0" w:space="0" w:color="auto"/>
          </w:divBdr>
        </w:div>
        <w:div w:id="1331636004">
          <w:marLeft w:val="480"/>
          <w:marRight w:val="0"/>
          <w:marTop w:val="0"/>
          <w:marBottom w:val="0"/>
          <w:divBdr>
            <w:top w:val="none" w:sz="0" w:space="0" w:color="auto"/>
            <w:left w:val="none" w:sz="0" w:space="0" w:color="auto"/>
            <w:bottom w:val="none" w:sz="0" w:space="0" w:color="auto"/>
            <w:right w:val="none" w:sz="0" w:space="0" w:color="auto"/>
          </w:divBdr>
        </w:div>
        <w:div w:id="1695033607">
          <w:marLeft w:val="480"/>
          <w:marRight w:val="0"/>
          <w:marTop w:val="0"/>
          <w:marBottom w:val="0"/>
          <w:divBdr>
            <w:top w:val="none" w:sz="0" w:space="0" w:color="auto"/>
            <w:left w:val="none" w:sz="0" w:space="0" w:color="auto"/>
            <w:bottom w:val="none" w:sz="0" w:space="0" w:color="auto"/>
            <w:right w:val="none" w:sz="0" w:space="0" w:color="auto"/>
          </w:divBdr>
        </w:div>
        <w:div w:id="1797287101">
          <w:marLeft w:val="480"/>
          <w:marRight w:val="0"/>
          <w:marTop w:val="0"/>
          <w:marBottom w:val="0"/>
          <w:divBdr>
            <w:top w:val="none" w:sz="0" w:space="0" w:color="auto"/>
            <w:left w:val="none" w:sz="0" w:space="0" w:color="auto"/>
            <w:bottom w:val="none" w:sz="0" w:space="0" w:color="auto"/>
            <w:right w:val="none" w:sz="0" w:space="0" w:color="auto"/>
          </w:divBdr>
        </w:div>
        <w:div w:id="292103404">
          <w:marLeft w:val="480"/>
          <w:marRight w:val="0"/>
          <w:marTop w:val="0"/>
          <w:marBottom w:val="0"/>
          <w:divBdr>
            <w:top w:val="none" w:sz="0" w:space="0" w:color="auto"/>
            <w:left w:val="none" w:sz="0" w:space="0" w:color="auto"/>
            <w:bottom w:val="none" w:sz="0" w:space="0" w:color="auto"/>
            <w:right w:val="none" w:sz="0" w:space="0" w:color="auto"/>
          </w:divBdr>
        </w:div>
        <w:div w:id="504591671">
          <w:marLeft w:val="480"/>
          <w:marRight w:val="0"/>
          <w:marTop w:val="0"/>
          <w:marBottom w:val="0"/>
          <w:divBdr>
            <w:top w:val="none" w:sz="0" w:space="0" w:color="auto"/>
            <w:left w:val="none" w:sz="0" w:space="0" w:color="auto"/>
            <w:bottom w:val="none" w:sz="0" w:space="0" w:color="auto"/>
            <w:right w:val="none" w:sz="0" w:space="0" w:color="auto"/>
          </w:divBdr>
        </w:div>
        <w:div w:id="1341659899">
          <w:marLeft w:val="480"/>
          <w:marRight w:val="0"/>
          <w:marTop w:val="0"/>
          <w:marBottom w:val="0"/>
          <w:divBdr>
            <w:top w:val="none" w:sz="0" w:space="0" w:color="auto"/>
            <w:left w:val="none" w:sz="0" w:space="0" w:color="auto"/>
            <w:bottom w:val="none" w:sz="0" w:space="0" w:color="auto"/>
            <w:right w:val="none" w:sz="0" w:space="0" w:color="auto"/>
          </w:divBdr>
        </w:div>
        <w:div w:id="1425612621">
          <w:marLeft w:val="480"/>
          <w:marRight w:val="0"/>
          <w:marTop w:val="0"/>
          <w:marBottom w:val="0"/>
          <w:divBdr>
            <w:top w:val="none" w:sz="0" w:space="0" w:color="auto"/>
            <w:left w:val="none" w:sz="0" w:space="0" w:color="auto"/>
            <w:bottom w:val="none" w:sz="0" w:space="0" w:color="auto"/>
            <w:right w:val="none" w:sz="0" w:space="0" w:color="auto"/>
          </w:divBdr>
        </w:div>
        <w:div w:id="366494815">
          <w:marLeft w:val="480"/>
          <w:marRight w:val="0"/>
          <w:marTop w:val="0"/>
          <w:marBottom w:val="0"/>
          <w:divBdr>
            <w:top w:val="none" w:sz="0" w:space="0" w:color="auto"/>
            <w:left w:val="none" w:sz="0" w:space="0" w:color="auto"/>
            <w:bottom w:val="none" w:sz="0" w:space="0" w:color="auto"/>
            <w:right w:val="none" w:sz="0" w:space="0" w:color="auto"/>
          </w:divBdr>
        </w:div>
        <w:div w:id="451478083">
          <w:marLeft w:val="480"/>
          <w:marRight w:val="0"/>
          <w:marTop w:val="0"/>
          <w:marBottom w:val="0"/>
          <w:divBdr>
            <w:top w:val="none" w:sz="0" w:space="0" w:color="auto"/>
            <w:left w:val="none" w:sz="0" w:space="0" w:color="auto"/>
            <w:bottom w:val="none" w:sz="0" w:space="0" w:color="auto"/>
            <w:right w:val="none" w:sz="0" w:space="0" w:color="auto"/>
          </w:divBdr>
        </w:div>
        <w:div w:id="2104639807">
          <w:marLeft w:val="480"/>
          <w:marRight w:val="0"/>
          <w:marTop w:val="0"/>
          <w:marBottom w:val="0"/>
          <w:divBdr>
            <w:top w:val="none" w:sz="0" w:space="0" w:color="auto"/>
            <w:left w:val="none" w:sz="0" w:space="0" w:color="auto"/>
            <w:bottom w:val="none" w:sz="0" w:space="0" w:color="auto"/>
            <w:right w:val="none" w:sz="0" w:space="0" w:color="auto"/>
          </w:divBdr>
        </w:div>
        <w:div w:id="1440949947">
          <w:marLeft w:val="480"/>
          <w:marRight w:val="0"/>
          <w:marTop w:val="0"/>
          <w:marBottom w:val="0"/>
          <w:divBdr>
            <w:top w:val="none" w:sz="0" w:space="0" w:color="auto"/>
            <w:left w:val="none" w:sz="0" w:space="0" w:color="auto"/>
            <w:bottom w:val="none" w:sz="0" w:space="0" w:color="auto"/>
            <w:right w:val="none" w:sz="0" w:space="0" w:color="auto"/>
          </w:divBdr>
        </w:div>
        <w:div w:id="1565483412">
          <w:marLeft w:val="480"/>
          <w:marRight w:val="0"/>
          <w:marTop w:val="0"/>
          <w:marBottom w:val="0"/>
          <w:divBdr>
            <w:top w:val="none" w:sz="0" w:space="0" w:color="auto"/>
            <w:left w:val="none" w:sz="0" w:space="0" w:color="auto"/>
            <w:bottom w:val="none" w:sz="0" w:space="0" w:color="auto"/>
            <w:right w:val="none" w:sz="0" w:space="0" w:color="auto"/>
          </w:divBdr>
        </w:div>
        <w:div w:id="329330488">
          <w:marLeft w:val="480"/>
          <w:marRight w:val="0"/>
          <w:marTop w:val="0"/>
          <w:marBottom w:val="0"/>
          <w:divBdr>
            <w:top w:val="none" w:sz="0" w:space="0" w:color="auto"/>
            <w:left w:val="none" w:sz="0" w:space="0" w:color="auto"/>
            <w:bottom w:val="none" w:sz="0" w:space="0" w:color="auto"/>
            <w:right w:val="none" w:sz="0" w:space="0" w:color="auto"/>
          </w:divBdr>
        </w:div>
        <w:div w:id="1271667325">
          <w:marLeft w:val="480"/>
          <w:marRight w:val="0"/>
          <w:marTop w:val="0"/>
          <w:marBottom w:val="0"/>
          <w:divBdr>
            <w:top w:val="none" w:sz="0" w:space="0" w:color="auto"/>
            <w:left w:val="none" w:sz="0" w:space="0" w:color="auto"/>
            <w:bottom w:val="none" w:sz="0" w:space="0" w:color="auto"/>
            <w:right w:val="none" w:sz="0" w:space="0" w:color="auto"/>
          </w:divBdr>
        </w:div>
        <w:div w:id="298194765">
          <w:marLeft w:val="480"/>
          <w:marRight w:val="0"/>
          <w:marTop w:val="0"/>
          <w:marBottom w:val="0"/>
          <w:divBdr>
            <w:top w:val="none" w:sz="0" w:space="0" w:color="auto"/>
            <w:left w:val="none" w:sz="0" w:space="0" w:color="auto"/>
            <w:bottom w:val="none" w:sz="0" w:space="0" w:color="auto"/>
            <w:right w:val="none" w:sz="0" w:space="0" w:color="auto"/>
          </w:divBdr>
        </w:div>
        <w:div w:id="1621565951">
          <w:marLeft w:val="480"/>
          <w:marRight w:val="0"/>
          <w:marTop w:val="0"/>
          <w:marBottom w:val="0"/>
          <w:divBdr>
            <w:top w:val="none" w:sz="0" w:space="0" w:color="auto"/>
            <w:left w:val="none" w:sz="0" w:space="0" w:color="auto"/>
            <w:bottom w:val="none" w:sz="0" w:space="0" w:color="auto"/>
            <w:right w:val="none" w:sz="0" w:space="0" w:color="auto"/>
          </w:divBdr>
        </w:div>
        <w:div w:id="1821070535">
          <w:marLeft w:val="480"/>
          <w:marRight w:val="0"/>
          <w:marTop w:val="0"/>
          <w:marBottom w:val="0"/>
          <w:divBdr>
            <w:top w:val="none" w:sz="0" w:space="0" w:color="auto"/>
            <w:left w:val="none" w:sz="0" w:space="0" w:color="auto"/>
            <w:bottom w:val="none" w:sz="0" w:space="0" w:color="auto"/>
            <w:right w:val="none" w:sz="0" w:space="0" w:color="auto"/>
          </w:divBdr>
        </w:div>
        <w:div w:id="1692952564">
          <w:marLeft w:val="480"/>
          <w:marRight w:val="0"/>
          <w:marTop w:val="0"/>
          <w:marBottom w:val="0"/>
          <w:divBdr>
            <w:top w:val="none" w:sz="0" w:space="0" w:color="auto"/>
            <w:left w:val="none" w:sz="0" w:space="0" w:color="auto"/>
            <w:bottom w:val="none" w:sz="0" w:space="0" w:color="auto"/>
            <w:right w:val="none" w:sz="0" w:space="0" w:color="auto"/>
          </w:divBdr>
        </w:div>
        <w:div w:id="2104951805">
          <w:marLeft w:val="480"/>
          <w:marRight w:val="0"/>
          <w:marTop w:val="0"/>
          <w:marBottom w:val="0"/>
          <w:divBdr>
            <w:top w:val="none" w:sz="0" w:space="0" w:color="auto"/>
            <w:left w:val="none" w:sz="0" w:space="0" w:color="auto"/>
            <w:bottom w:val="none" w:sz="0" w:space="0" w:color="auto"/>
            <w:right w:val="none" w:sz="0" w:space="0" w:color="auto"/>
          </w:divBdr>
        </w:div>
        <w:div w:id="1778140547">
          <w:marLeft w:val="480"/>
          <w:marRight w:val="0"/>
          <w:marTop w:val="0"/>
          <w:marBottom w:val="0"/>
          <w:divBdr>
            <w:top w:val="none" w:sz="0" w:space="0" w:color="auto"/>
            <w:left w:val="none" w:sz="0" w:space="0" w:color="auto"/>
            <w:bottom w:val="none" w:sz="0" w:space="0" w:color="auto"/>
            <w:right w:val="none" w:sz="0" w:space="0" w:color="auto"/>
          </w:divBdr>
        </w:div>
        <w:div w:id="458378350">
          <w:marLeft w:val="480"/>
          <w:marRight w:val="0"/>
          <w:marTop w:val="0"/>
          <w:marBottom w:val="0"/>
          <w:divBdr>
            <w:top w:val="none" w:sz="0" w:space="0" w:color="auto"/>
            <w:left w:val="none" w:sz="0" w:space="0" w:color="auto"/>
            <w:bottom w:val="none" w:sz="0" w:space="0" w:color="auto"/>
            <w:right w:val="none" w:sz="0" w:space="0" w:color="auto"/>
          </w:divBdr>
        </w:div>
        <w:div w:id="1349791444">
          <w:marLeft w:val="480"/>
          <w:marRight w:val="0"/>
          <w:marTop w:val="0"/>
          <w:marBottom w:val="0"/>
          <w:divBdr>
            <w:top w:val="none" w:sz="0" w:space="0" w:color="auto"/>
            <w:left w:val="none" w:sz="0" w:space="0" w:color="auto"/>
            <w:bottom w:val="none" w:sz="0" w:space="0" w:color="auto"/>
            <w:right w:val="none" w:sz="0" w:space="0" w:color="auto"/>
          </w:divBdr>
        </w:div>
        <w:div w:id="224924341">
          <w:marLeft w:val="480"/>
          <w:marRight w:val="0"/>
          <w:marTop w:val="0"/>
          <w:marBottom w:val="0"/>
          <w:divBdr>
            <w:top w:val="none" w:sz="0" w:space="0" w:color="auto"/>
            <w:left w:val="none" w:sz="0" w:space="0" w:color="auto"/>
            <w:bottom w:val="none" w:sz="0" w:space="0" w:color="auto"/>
            <w:right w:val="none" w:sz="0" w:space="0" w:color="auto"/>
          </w:divBdr>
        </w:div>
        <w:div w:id="1955474459">
          <w:marLeft w:val="480"/>
          <w:marRight w:val="0"/>
          <w:marTop w:val="0"/>
          <w:marBottom w:val="0"/>
          <w:divBdr>
            <w:top w:val="none" w:sz="0" w:space="0" w:color="auto"/>
            <w:left w:val="none" w:sz="0" w:space="0" w:color="auto"/>
            <w:bottom w:val="none" w:sz="0" w:space="0" w:color="auto"/>
            <w:right w:val="none" w:sz="0" w:space="0" w:color="auto"/>
          </w:divBdr>
        </w:div>
        <w:div w:id="2136485958">
          <w:marLeft w:val="480"/>
          <w:marRight w:val="0"/>
          <w:marTop w:val="0"/>
          <w:marBottom w:val="0"/>
          <w:divBdr>
            <w:top w:val="none" w:sz="0" w:space="0" w:color="auto"/>
            <w:left w:val="none" w:sz="0" w:space="0" w:color="auto"/>
            <w:bottom w:val="none" w:sz="0" w:space="0" w:color="auto"/>
            <w:right w:val="none" w:sz="0" w:space="0" w:color="auto"/>
          </w:divBdr>
        </w:div>
        <w:div w:id="174851886">
          <w:marLeft w:val="480"/>
          <w:marRight w:val="0"/>
          <w:marTop w:val="0"/>
          <w:marBottom w:val="0"/>
          <w:divBdr>
            <w:top w:val="none" w:sz="0" w:space="0" w:color="auto"/>
            <w:left w:val="none" w:sz="0" w:space="0" w:color="auto"/>
            <w:bottom w:val="none" w:sz="0" w:space="0" w:color="auto"/>
            <w:right w:val="none" w:sz="0" w:space="0" w:color="auto"/>
          </w:divBdr>
        </w:div>
        <w:div w:id="428549372">
          <w:marLeft w:val="480"/>
          <w:marRight w:val="0"/>
          <w:marTop w:val="0"/>
          <w:marBottom w:val="0"/>
          <w:divBdr>
            <w:top w:val="none" w:sz="0" w:space="0" w:color="auto"/>
            <w:left w:val="none" w:sz="0" w:space="0" w:color="auto"/>
            <w:bottom w:val="none" w:sz="0" w:space="0" w:color="auto"/>
            <w:right w:val="none" w:sz="0" w:space="0" w:color="auto"/>
          </w:divBdr>
        </w:div>
        <w:div w:id="2112191918">
          <w:marLeft w:val="480"/>
          <w:marRight w:val="0"/>
          <w:marTop w:val="0"/>
          <w:marBottom w:val="0"/>
          <w:divBdr>
            <w:top w:val="none" w:sz="0" w:space="0" w:color="auto"/>
            <w:left w:val="none" w:sz="0" w:space="0" w:color="auto"/>
            <w:bottom w:val="none" w:sz="0" w:space="0" w:color="auto"/>
            <w:right w:val="none" w:sz="0" w:space="0" w:color="auto"/>
          </w:divBdr>
        </w:div>
        <w:div w:id="1117605841">
          <w:marLeft w:val="480"/>
          <w:marRight w:val="0"/>
          <w:marTop w:val="0"/>
          <w:marBottom w:val="0"/>
          <w:divBdr>
            <w:top w:val="none" w:sz="0" w:space="0" w:color="auto"/>
            <w:left w:val="none" w:sz="0" w:space="0" w:color="auto"/>
            <w:bottom w:val="none" w:sz="0" w:space="0" w:color="auto"/>
            <w:right w:val="none" w:sz="0" w:space="0" w:color="auto"/>
          </w:divBdr>
        </w:div>
        <w:div w:id="1691443618">
          <w:marLeft w:val="480"/>
          <w:marRight w:val="0"/>
          <w:marTop w:val="0"/>
          <w:marBottom w:val="0"/>
          <w:divBdr>
            <w:top w:val="none" w:sz="0" w:space="0" w:color="auto"/>
            <w:left w:val="none" w:sz="0" w:space="0" w:color="auto"/>
            <w:bottom w:val="none" w:sz="0" w:space="0" w:color="auto"/>
            <w:right w:val="none" w:sz="0" w:space="0" w:color="auto"/>
          </w:divBdr>
        </w:div>
        <w:div w:id="1519811110">
          <w:marLeft w:val="480"/>
          <w:marRight w:val="0"/>
          <w:marTop w:val="0"/>
          <w:marBottom w:val="0"/>
          <w:divBdr>
            <w:top w:val="none" w:sz="0" w:space="0" w:color="auto"/>
            <w:left w:val="none" w:sz="0" w:space="0" w:color="auto"/>
            <w:bottom w:val="none" w:sz="0" w:space="0" w:color="auto"/>
            <w:right w:val="none" w:sz="0" w:space="0" w:color="auto"/>
          </w:divBdr>
        </w:div>
        <w:div w:id="630943745">
          <w:marLeft w:val="480"/>
          <w:marRight w:val="0"/>
          <w:marTop w:val="0"/>
          <w:marBottom w:val="0"/>
          <w:divBdr>
            <w:top w:val="none" w:sz="0" w:space="0" w:color="auto"/>
            <w:left w:val="none" w:sz="0" w:space="0" w:color="auto"/>
            <w:bottom w:val="none" w:sz="0" w:space="0" w:color="auto"/>
            <w:right w:val="none" w:sz="0" w:space="0" w:color="auto"/>
          </w:divBdr>
        </w:div>
        <w:div w:id="897589062">
          <w:marLeft w:val="480"/>
          <w:marRight w:val="0"/>
          <w:marTop w:val="0"/>
          <w:marBottom w:val="0"/>
          <w:divBdr>
            <w:top w:val="none" w:sz="0" w:space="0" w:color="auto"/>
            <w:left w:val="none" w:sz="0" w:space="0" w:color="auto"/>
            <w:bottom w:val="none" w:sz="0" w:space="0" w:color="auto"/>
            <w:right w:val="none" w:sz="0" w:space="0" w:color="auto"/>
          </w:divBdr>
        </w:div>
        <w:div w:id="59913562">
          <w:marLeft w:val="480"/>
          <w:marRight w:val="0"/>
          <w:marTop w:val="0"/>
          <w:marBottom w:val="0"/>
          <w:divBdr>
            <w:top w:val="none" w:sz="0" w:space="0" w:color="auto"/>
            <w:left w:val="none" w:sz="0" w:space="0" w:color="auto"/>
            <w:bottom w:val="none" w:sz="0" w:space="0" w:color="auto"/>
            <w:right w:val="none" w:sz="0" w:space="0" w:color="auto"/>
          </w:divBdr>
        </w:div>
        <w:div w:id="1874003004">
          <w:marLeft w:val="480"/>
          <w:marRight w:val="0"/>
          <w:marTop w:val="0"/>
          <w:marBottom w:val="0"/>
          <w:divBdr>
            <w:top w:val="none" w:sz="0" w:space="0" w:color="auto"/>
            <w:left w:val="none" w:sz="0" w:space="0" w:color="auto"/>
            <w:bottom w:val="none" w:sz="0" w:space="0" w:color="auto"/>
            <w:right w:val="none" w:sz="0" w:space="0" w:color="auto"/>
          </w:divBdr>
        </w:div>
        <w:div w:id="839001015">
          <w:marLeft w:val="480"/>
          <w:marRight w:val="0"/>
          <w:marTop w:val="0"/>
          <w:marBottom w:val="0"/>
          <w:divBdr>
            <w:top w:val="none" w:sz="0" w:space="0" w:color="auto"/>
            <w:left w:val="none" w:sz="0" w:space="0" w:color="auto"/>
            <w:bottom w:val="none" w:sz="0" w:space="0" w:color="auto"/>
            <w:right w:val="none" w:sz="0" w:space="0" w:color="auto"/>
          </w:divBdr>
        </w:div>
        <w:div w:id="186452734">
          <w:marLeft w:val="480"/>
          <w:marRight w:val="0"/>
          <w:marTop w:val="0"/>
          <w:marBottom w:val="0"/>
          <w:divBdr>
            <w:top w:val="none" w:sz="0" w:space="0" w:color="auto"/>
            <w:left w:val="none" w:sz="0" w:space="0" w:color="auto"/>
            <w:bottom w:val="none" w:sz="0" w:space="0" w:color="auto"/>
            <w:right w:val="none" w:sz="0" w:space="0" w:color="auto"/>
          </w:divBdr>
        </w:div>
        <w:div w:id="782381804">
          <w:marLeft w:val="480"/>
          <w:marRight w:val="0"/>
          <w:marTop w:val="0"/>
          <w:marBottom w:val="0"/>
          <w:divBdr>
            <w:top w:val="none" w:sz="0" w:space="0" w:color="auto"/>
            <w:left w:val="none" w:sz="0" w:space="0" w:color="auto"/>
            <w:bottom w:val="none" w:sz="0" w:space="0" w:color="auto"/>
            <w:right w:val="none" w:sz="0" w:space="0" w:color="auto"/>
          </w:divBdr>
        </w:div>
        <w:div w:id="142625267">
          <w:marLeft w:val="480"/>
          <w:marRight w:val="0"/>
          <w:marTop w:val="0"/>
          <w:marBottom w:val="0"/>
          <w:divBdr>
            <w:top w:val="none" w:sz="0" w:space="0" w:color="auto"/>
            <w:left w:val="none" w:sz="0" w:space="0" w:color="auto"/>
            <w:bottom w:val="none" w:sz="0" w:space="0" w:color="auto"/>
            <w:right w:val="none" w:sz="0" w:space="0" w:color="auto"/>
          </w:divBdr>
        </w:div>
        <w:div w:id="1441221347">
          <w:marLeft w:val="480"/>
          <w:marRight w:val="0"/>
          <w:marTop w:val="0"/>
          <w:marBottom w:val="0"/>
          <w:divBdr>
            <w:top w:val="none" w:sz="0" w:space="0" w:color="auto"/>
            <w:left w:val="none" w:sz="0" w:space="0" w:color="auto"/>
            <w:bottom w:val="none" w:sz="0" w:space="0" w:color="auto"/>
            <w:right w:val="none" w:sz="0" w:space="0" w:color="auto"/>
          </w:divBdr>
        </w:div>
        <w:div w:id="9453646">
          <w:marLeft w:val="480"/>
          <w:marRight w:val="0"/>
          <w:marTop w:val="0"/>
          <w:marBottom w:val="0"/>
          <w:divBdr>
            <w:top w:val="none" w:sz="0" w:space="0" w:color="auto"/>
            <w:left w:val="none" w:sz="0" w:space="0" w:color="auto"/>
            <w:bottom w:val="none" w:sz="0" w:space="0" w:color="auto"/>
            <w:right w:val="none" w:sz="0" w:space="0" w:color="auto"/>
          </w:divBdr>
        </w:div>
        <w:div w:id="1580866637">
          <w:marLeft w:val="480"/>
          <w:marRight w:val="0"/>
          <w:marTop w:val="0"/>
          <w:marBottom w:val="0"/>
          <w:divBdr>
            <w:top w:val="none" w:sz="0" w:space="0" w:color="auto"/>
            <w:left w:val="none" w:sz="0" w:space="0" w:color="auto"/>
            <w:bottom w:val="none" w:sz="0" w:space="0" w:color="auto"/>
            <w:right w:val="none" w:sz="0" w:space="0" w:color="auto"/>
          </w:divBdr>
        </w:div>
        <w:div w:id="1122263076">
          <w:marLeft w:val="480"/>
          <w:marRight w:val="0"/>
          <w:marTop w:val="0"/>
          <w:marBottom w:val="0"/>
          <w:divBdr>
            <w:top w:val="none" w:sz="0" w:space="0" w:color="auto"/>
            <w:left w:val="none" w:sz="0" w:space="0" w:color="auto"/>
            <w:bottom w:val="none" w:sz="0" w:space="0" w:color="auto"/>
            <w:right w:val="none" w:sz="0" w:space="0" w:color="auto"/>
          </w:divBdr>
        </w:div>
      </w:divsChild>
    </w:div>
    <w:div w:id="1070078038">
      <w:bodyDiv w:val="1"/>
      <w:marLeft w:val="0"/>
      <w:marRight w:val="0"/>
      <w:marTop w:val="0"/>
      <w:marBottom w:val="0"/>
      <w:divBdr>
        <w:top w:val="none" w:sz="0" w:space="0" w:color="auto"/>
        <w:left w:val="none" w:sz="0" w:space="0" w:color="auto"/>
        <w:bottom w:val="none" w:sz="0" w:space="0" w:color="auto"/>
        <w:right w:val="none" w:sz="0" w:space="0" w:color="auto"/>
      </w:divBdr>
    </w:div>
    <w:div w:id="1070418505">
      <w:bodyDiv w:val="1"/>
      <w:marLeft w:val="0"/>
      <w:marRight w:val="0"/>
      <w:marTop w:val="0"/>
      <w:marBottom w:val="0"/>
      <w:divBdr>
        <w:top w:val="none" w:sz="0" w:space="0" w:color="auto"/>
        <w:left w:val="none" w:sz="0" w:space="0" w:color="auto"/>
        <w:bottom w:val="none" w:sz="0" w:space="0" w:color="auto"/>
        <w:right w:val="none" w:sz="0" w:space="0" w:color="auto"/>
      </w:divBdr>
    </w:div>
    <w:div w:id="1070689234">
      <w:bodyDiv w:val="1"/>
      <w:marLeft w:val="0"/>
      <w:marRight w:val="0"/>
      <w:marTop w:val="0"/>
      <w:marBottom w:val="0"/>
      <w:divBdr>
        <w:top w:val="none" w:sz="0" w:space="0" w:color="auto"/>
        <w:left w:val="none" w:sz="0" w:space="0" w:color="auto"/>
        <w:bottom w:val="none" w:sz="0" w:space="0" w:color="auto"/>
        <w:right w:val="none" w:sz="0" w:space="0" w:color="auto"/>
      </w:divBdr>
    </w:div>
    <w:div w:id="1070739147">
      <w:bodyDiv w:val="1"/>
      <w:marLeft w:val="0"/>
      <w:marRight w:val="0"/>
      <w:marTop w:val="0"/>
      <w:marBottom w:val="0"/>
      <w:divBdr>
        <w:top w:val="none" w:sz="0" w:space="0" w:color="auto"/>
        <w:left w:val="none" w:sz="0" w:space="0" w:color="auto"/>
        <w:bottom w:val="none" w:sz="0" w:space="0" w:color="auto"/>
        <w:right w:val="none" w:sz="0" w:space="0" w:color="auto"/>
      </w:divBdr>
    </w:div>
    <w:div w:id="1071658685">
      <w:bodyDiv w:val="1"/>
      <w:marLeft w:val="0"/>
      <w:marRight w:val="0"/>
      <w:marTop w:val="0"/>
      <w:marBottom w:val="0"/>
      <w:divBdr>
        <w:top w:val="none" w:sz="0" w:space="0" w:color="auto"/>
        <w:left w:val="none" w:sz="0" w:space="0" w:color="auto"/>
        <w:bottom w:val="none" w:sz="0" w:space="0" w:color="auto"/>
        <w:right w:val="none" w:sz="0" w:space="0" w:color="auto"/>
      </w:divBdr>
    </w:div>
    <w:div w:id="1073165455">
      <w:bodyDiv w:val="1"/>
      <w:marLeft w:val="0"/>
      <w:marRight w:val="0"/>
      <w:marTop w:val="0"/>
      <w:marBottom w:val="0"/>
      <w:divBdr>
        <w:top w:val="none" w:sz="0" w:space="0" w:color="auto"/>
        <w:left w:val="none" w:sz="0" w:space="0" w:color="auto"/>
        <w:bottom w:val="none" w:sz="0" w:space="0" w:color="auto"/>
        <w:right w:val="none" w:sz="0" w:space="0" w:color="auto"/>
      </w:divBdr>
    </w:div>
    <w:div w:id="1073619341">
      <w:bodyDiv w:val="1"/>
      <w:marLeft w:val="0"/>
      <w:marRight w:val="0"/>
      <w:marTop w:val="0"/>
      <w:marBottom w:val="0"/>
      <w:divBdr>
        <w:top w:val="none" w:sz="0" w:space="0" w:color="auto"/>
        <w:left w:val="none" w:sz="0" w:space="0" w:color="auto"/>
        <w:bottom w:val="none" w:sz="0" w:space="0" w:color="auto"/>
        <w:right w:val="none" w:sz="0" w:space="0" w:color="auto"/>
      </w:divBdr>
    </w:div>
    <w:div w:id="1073773522">
      <w:bodyDiv w:val="1"/>
      <w:marLeft w:val="0"/>
      <w:marRight w:val="0"/>
      <w:marTop w:val="0"/>
      <w:marBottom w:val="0"/>
      <w:divBdr>
        <w:top w:val="none" w:sz="0" w:space="0" w:color="auto"/>
        <w:left w:val="none" w:sz="0" w:space="0" w:color="auto"/>
        <w:bottom w:val="none" w:sz="0" w:space="0" w:color="auto"/>
        <w:right w:val="none" w:sz="0" w:space="0" w:color="auto"/>
      </w:divBdr>
    </w:div>
    <w:div w:id="1074161429">
      <w:bodyDiv w:val="1"/>
      <w:marLeft w:val="0"/>
      <w:marRight w:val="0"/>
      <w:marTop w:val="0"/>
      <w:marBottom w:val="0"/>
      <w:divBdr>
        <w:top w:val="none" w:sz="0" w:space="0" w:color="auto"/>
        <w:left w:val="none" w:sz="0" w:space="0" w:color="auto"/>
        <w:bottom w:val="none" w:sz="0" w:space="0" w:color="auto"/>
        <w:right w:val="none" w:sz="0" w:space="0" w:color="auto"/>
      </w:divBdr>
    </w:div>
    <w:div w:id="1075281853">
      <w:bodyDiv w:val="1"/>
      <w:marLeft w:val="0"/>
      <w:marRight w:val="0"/>
      <w:marTop w:val="0"/>
      <w:marBottom w:val="0"/>
      <w:divBdr>
        <w:top w:val="none" w:sz="0" w:space="0" w:color="auto"/>
        <w:left w:val="none" w:sz="0" w:space="0" w:color="auto"/>
        <w:bottom w:val="none" w:sz="0" w:space="0" w:color="auto"/>
        <w:right w:val="none" w:sz="0" w:space="0" w:color="auto"/>
      </w:divBdr>
    </w:div>
    <w:div w:id="1075472089">
      <w:bodyDiv w:val="1"/>
      <w:marLeft w:val="0"/>
      <w:marRight w:val="0"/>
      <w:marTop w:val="0"/>
      <w:marBottom w:val="0"/>
      <w:divBdr>
        <w:top w:val="none" w:sz="0" w:space="0" w:color="auto"/>
        <w:left w:val="none" w:sz="0" w:space="0" w:color="auto"/>
        <w:bottom w:val="none" w:sz="0" w:space="0" w:color="auto"/>
        <w:right w:val="none" w:sz="0" w:space="0" w:color="auto"/>
      </w:divBdr>
    </w:div>
    <w:div w:id="1075785926">
      <w:bodyDiv w:val="1"/>
      <w:marLeft w:val="0"/>
      <w:marRight w:val="0"/>
      <w:marTop w:val="0"/>
      <w:marBottom w:val="0"/>
      <w:divBdr>
        <w:top w:val="none" w:sz="0" w:space="0" w:color="auto"/>
        <w:left w:val="none" w:sz="0" w:space="0" w:color="auto"/>
        <w:bottom w:val="none" w:sz="0" w:space="0" w:color="auto"/>
        <w:right w:val="none" w:sz="0" w:space="0" w:color="auto"/>
      </w:divBdr>
    </w:div>
    <w:div w:id="1076443227">
      <w:bodyDiv w:val="1"/>
      <w:marLeft w:val="0"/>
      <w:marRight w:val="0"/>
      <w:marTop w:val="0"/>
      <w:marBottom w:val="0"/>
      <w:divBdr>
        <w:top w:val="none" w:sz="0" w:space="0" w:color="auto"/>
        <w:left w:val="none" w:sz="0" w:space="0" w:color="auto"/>
        <w:bottom w:val="none" w:sz="0" w:space="0" w:color="auto"/>
        <w:right w:val="none" w:sz="0" w:space="0" w:color="auto"/>
      </w:divBdr>
    </w:div>
    <w:div w:id="1076897340">
      <w:bodyDiv w:val="1"/>
      <w:marLeft w:val="0"/>
      <w:marRight w:val="0"/>
      <w:marTop w:val="0"/>
      <w:marBottom w:val="0"/>
      <w:divBdr>
        <w:top w:val="none" w:sz="0" w:space="0" w:color="auto"/>
        <w:left w:val="none" w:sz="0" w:space="0" w:color="auto"/>
        <w:bottom w:val="none" w:sz="0" w:space="0" w:color="auto"/>
        <w:right w:val="none" w:sz="0" w:space="0" w:color="auto"/>
      </w:divBdr>
    </w:div>
    <w:div w:id="1077170469">
      <w:bodyDiv w:val="1"/>
      <w:marLeft w:val="0"/>
      <w:marRight w:val="0"/>
      <w:marTop w:val="0"/>
      <w:marBottom w:val="0"/>
      <w:divBdr>
        <w:top w:val="none" w:sz="0" w:space="0" w:color="auto"/>
        <w:left w:val="none" w:sz="0" w:space="0" w:color="auto"/>
        <w:bottom w:val="none" w:sz="0" w:space="0" w:color="auto"/>
        <w:right w:val="none" w:sz="0" w:space="0" w:color="auto"/>
      </w:divBdr>
    </w:div>
    <w:div w:id="1077703776">
      <w:bodyDiv w:val="1"/>
      <w:marLeft w:val="0"/>
      <w:marRight w:val="0"/>
      <w:marTop w:val="0"/>
      <w:marBottom w:val="0"/>
      <w:divBdr>
        <w:top w:val="none" w:sz="0" w:space="0" w:color="auto"/>
        <w:left w:val="none" w:sz="0" w:space="0" w:color="auto"/>
        <w:bottom w:val="none" w:sz="0" w:space="0" w:color="auto"/>
        <w:right w:val="none" w:sz="0" w:space="0" w:color="auto"/>
      </w:divBdr>
      <w:divsChild>
        <w:div w:id="107235449">
          <w:marLeft w:val="480"/>
          <w:marRight w:val="0"/>
          <w:marTop w:val="0"/>
          <w:marBottom w:val="0"/>
          <w:divBdr>
            <w:top w:val="none" w:sz="0" w:space="0" w:color="auto"/>
            <w:left w:val="none" w:sz="0" w:space="0" w:color="auto"/>
            <w:bottom w:val="none" w:sz="0" w:space="0" w:color="auto"/>
            <w:right w:val="none" w:sz="0" w:space="0" w:color="auto"/>
          </w:divBdr>
        </w:div>
        <w:div w:id="365176333">
          <w:marLeft w:val="480"/>
          <w:marRight w:val="0"/>
          <w:marTop w:val="0"/>
          <w:marBottom w:val="0"/>
          <w:divBdr>
            <w:top w:val="none" w:sz="0" w:space="0" w:color="auto"/>
            <w:left w:val="none" w:sz="0" w:space="0" w:color="auto"/>
            <w:bottom w:val="none" w:sz="0" w:space="0" w:color="auto"/>
            <w:right w:val="none" w:sz="0" w:space="0" w:color="auto"/>
          </w:divBdr>
        </w:div>
        <w:div w:id="393623721">
          <w:marLeft w:val="480"/>
          <w:marRight w:val="0"/>
          <w:marTop w:val="0"/>
          <w:marBottom w:val="0"/>
          <w:divBdr>
            <w:top w:val="none" w:sz="0" w:space="0" w:color="auto"/>
            <w:left w:val="none" w:sz="0" w:space="0" w:color="auto"/>
            <w:bottom w:val="none" w:sz="0" w:space="0" w:color="auto"/>
            <w:right w:val="none" w:sz="0" w:space="0" w:color="auto"/>
          </w:divBdr>
        </w:div>
        <w:div w:id="640116570">
          <w:marLeft w:val="480"/>
          <w:marRight w:val="0"/>
          <w:marTop w:val="0"/>
          <w:marBottom w:val="0"/>
          <w:divBdr>
            <w:top w:val="none" w:sz="0" w:space="0" w:color="auto"/>
            <w:left w:val="none" w:sz="0" w:space="0" w:color="auto"/>
            <w:bottom w:val="none" w:sz="0" w:space="0" w:color="auto"/>
            <w:right w:val="none" w:sz="0" w:space="0" w:color="auto"/>
          </w:divBdr>
        </w:div>
        <w:div w:id="896622963">
          <w:marLeft w:val="480"/>
          <w:marRight w:val="0"/>
          <w:marTop w:val="0"/>
          <w:marBottom w:val="0"/>
          <w:divBdr>
            <w:top w:val="none" w:sz="0" w:space="0" w:color="auto"/>
            <w:left w:val="none" w:sz="0" w:space="0" w:color="auto"/>
            <w:bottom w:val="none" w:sz="0" w:space="0" w:color="auto"/>
            <w:right w:val="none" w:sz="0" w:space="0" w:color="auto"/>
          </w:divBdr>
        </w:div>
        <w:div w:id="243496845">
          <w:marLeft w:val="480"/>
          <w:marRight w:val="0"/>
          <w:marTop w:val="0"/>
          <w:marBottom w:val="0"/>
          <w:divBdr>
            <w:top w:val="none" w:sz="0" w:space="0" w:color="auto"/>
            <w:left w:val="none" w:sz="0" w:space="0" w:color="auto"/>
            <w:bottom w:val="none" w:sz="0" w:space="0" w:color="auto"/>
            <w:right w:val="none" w:sz="0" w:space="0" w:color="auto"/>
          </w:divBdr>
        </w:div>
        <w:div w:id="1715351077">
          <w:marLeft w:val="480"/>
          <w:marRight w:val="0"/>
          <w:marTop w:val="0"/>
          <w:marBottom w:val="0"/>
          <w:divBdr>
            <w:top w:val="none" w:sz="0" w:space="0" w:color="auto"/>
            <w:left w:val="none" w:sz="0" w:space="0" w:color="auto"/>
            <w:bottom w:val="none" w:sz="0" w:space="0" w:color="auto"/>
            <w:right w:val="none" w:sz="0" w:space="0" w:color="auto"/>
          </w:divBdr>
        </w:div>
        <w:div w:id="938293520">
          <w:marLeft w:val="480"/>
          <w:marRight w:val="0"/>
          <w:marTop w:val="0"/>
          <w:marBottom w:val="0"/>
          <w:divBdr>
            <w:top w:val="none" w:sz="0" w:space="0" w:color="auto"/>
            <w:left w:val="none" w:sz="0" w:space="0" w:color="auto"/>
            <w:bottom w:val="none" w:sz="0" w:space="0" w:color="auto"/>
            <w:right w:val="none" w:sz="0" w:space="0" w:color="auto"/>
          </w:divBdr>
        </w:div>
        <w:div w:id="1709865960">
          <w:marLeft w:val="480"/>
          <w:marRight w:val="0"/>
          <w:marTop w:val="0"/>
          <w:marBottom w:val="0"/>
          <w:divBdr>
            <w:top w:val="none" w:sz="0" w:space="0" w:color="auto"/>
            <w:left w:val="none" w:sz="0" w:space="0" w:color="auto"/>
            <w:bottom w:val="none" w:sz="0" w:space="0" w:color="auto"/>
            <w:right w:val="none" w:sz="0" w:space="0" w:color="auto"/>
          </w:divBdr>
        </w:div>
        <w:div w:id="1598370368">
          <w:marLeft w:val="480"/>
          <w:marRight w:val="0"/>
          <w:marTop w:val="0"/>
          <w:marBottom w:val="0"/>
          <w:divBdr>
            <w:top w:val="none" w:sz="0" w:space="0" w:color="auto"/>
            <w:left w:val="none" w:sz="0" w:space="0" w:color="auto"/>
            <w:bottom w:val="none" w:sz="0" w:space="0" w:color="auto"/>
            <w:right w:val="none" w:sz="0" w:space="0" w:color="auto"/>
          </w:divBdr>
        </w:div>
        <w:div w:id="943078701">
          <w:marLeft w:val="480"/>
          <w:marRight w:val="0"/>
          <w:marTop w:val="0"/>
          <w:marBottom w:val="0"/>
          <w:divBdr>
            <w:top w:val="none" w:sz="0" w:space="0" w:color="auto"/>
            <w:left w:val="none" w:sz="0" w:space="0" w:color="auto"/>
            <w:bottom w:val="none" w:sz="0" w:space="0" w:color="auto"/>
            <w:right w:val="none" w:sz="0" w:space="0" w:color="auto"/>
          </w:divBdr>
        </w:div>
        <w:div w:id="1385325431">
          <w:marLeft w:val="480"/>
          <w:marRight w:val="0"/>
          <w:marTop w:val="0"/>
          <w:marBottom w:val="0"/>
          <w:divBdr>
            <w:top w:val="none" w:sz="0" w:space="0" w:color="auto"/>
            <w:left w:val="none" w:sz="0" w:space="0" w:color="auto"/>
            <w:bottom w:val="none" w:sz="0" w:space="0" w:color="auto"/>
            <w:right w:val="none" w:sz="0" w:space="0" w:color="auto"/>
          </w:divBdr>
        </w:div>
        <w:div w:id="1148322051">
          <w:marLeft w:val="480"/>
          <w:marRight w:val="0"/>
          <w:marTop w:val="0"/>
          <w:marBottom w:val="0"/>
          <w:divBdr>
            <w:top w:val="none" w:sz="0" w:space="0" w:color="auto"/>
            <w:left w:val="none" w:sz="0" w:space="0" w:color="auto"/>
            <w:bottom w:val="none" w:sz="0" w:space="0" w:color="auto"/>
            <w:right w:val="none" w:sz="0" w:space="0" w:color="auto"/>
          </w:divBdr>
        </w:div>
        <w:div w:id="805245290">
          <w:marLeft w:val="480"/>
          <w:marRight w:val="0"/>
          <w:marTop w:val="0"/>
          <w:marBottom w:val="0"/>
          <w:divBdr>
            <w:top w:val="none" w:sz="0" w:space="0" w:color="auto"/>
            <w:left w:val="none" w:sz="0" w:space="0" w:color="auto"/>
            <w:bottom w:val="none" w:sz="0" w:space="0" w:color="auto"/>
            <w:right w:val="none" w:sz="0" w:space="0" w:color="auto"/>
          </w:divBdr>
        </w:div>
        <w:div w:id="1015152931">
          <w:marLeft w:val="480"/>
          <w:marRight w:val="0"/>
          <w:marTop w:val="0"/>
          <w:marBottom w:val="0"/>
          <w:divBdr>
            <w:top w:val="none" w:sz="0" w:space="0" w:color="auto"/>
            <w:left w:val="none" w:sz="0" w:space="0" w:color="auto"/>
            <w:bottom w:val="none" w:sz="0" w:space="0" w:color="auto"/>
            <w:right w:val="none" w:sz="0" w:space="0" w:color="auto"/>
          </w:divBdr>
        </w:div>
        <w:div w:id="180976002">
          <w:marLeft w:val="480"/>
          <w:marRight w:val="0"/>
          <w:marTop w:val="0"/>
          <w:marBottom w:val="0"/>
          <w:divBdr>
            <w:top w:val="none" w:sz="0" w:space="0" w:color="auto"/>
            <w:left w:val="none" w:sz="0" w:space="0" w:color="auto"/>
            <w:bottom w:val="none" w:sz="0" w:space="0" w:color="auto"/>
            <w:right w:val="none" w:sz="0" w:space="0" w:color="auto"/>
          </w:divBdr>
        </w:div>
        <w:div w:id="32077193">
          <w:marLeft w:val="480"/>
          <w:marRight w:val="0"/>
          <w:marTop w:val="0"/>
          <w:marBottom w:val="0"/>
          <w:divBdr>
            <w:top w:val="none" w:sz="0" w:space="0" w:color="auto"/>
            <w:left w:val="none" w:sz="0" w:space="0" w:color="auto"/>
            <w:bottom w:val="none" w:sz="0" w:space="0" w:color="auto"/>
            <w:right w:val="none" w:sz="0" w:space="0" w:color="auto"/>
          </w:divBdr>
        </w:div>
        <w:div w:id="628709252">
          <w:marLeft w:val="480"/>
          <w:marRight w:val="0"/>
          <w:marTop w:val="0"/>
          <w:marBottom w:val="0"/>
          <w:divBdr>
            <w:top w:val="none" w:sz="0" w:space="0" w:color="auto"/>
            <w:left w:val="none" w:sz="0" w:space="0" w:color="auto"/>
            <w:bottom w:val="none" w:sz="0" w:space="0" w:color="auto"/>
            <w:right w:val="none" w:sz="0" w:space="0" w:color="auto"/>
          </w:divBdr>
        </w:div>
        <w:div w:id="958490446">
          <w:marLeft w:val="480"/>
          <w:marRight w:val="0"/>
          <w:marTop w:val="0"/>
          <w:marBottom w:val="0"/>
          <w:divBdr>
            <w:top w:val="none" w:sz="0" w:space="0" w:color="auto"/>
            <w:left w:val="none" w:sz="0" w:space="0" w:color="auto"/>
            <w:bottom w:val="none" w:sz="0" w:space="0" w:color="auto"/>
            <w:right w:val="none" w:sz="0" w:space="0" w:color="auto"/>
          </w:divBdr>
        </w:div>
        <w:div w:id="1508204778">
          <w:marLeft w:val="480"/>
          <w:marRight w:val="0"/>
          <w:marTop w:val="0"/>
          <w:marBottom w:val="0"/>
          <w:divBdr>
            <w:top w:val="none" w:sz="0" w:space="0" w:color="auto"/>
            <w:left w:val="none" w:sz="0" w:space="0" w:color="auto"/>
            <w:bottom w:val="none" w:sz="0" w:space="0" w:color="auto"/>
            <w:right w:val="none" w:sz="0" w:space="0" w:color="auto"/>
          </w:divBdr>
        </w:div>
        <w:div w:id="1210072589">
          <w:marLeft w:val="480"/>
          <w:marRight w:val="0"/>
          <w:marTop w:val="0"/>
          <w:marBottom w:val="0"/>
          <w:divBdr>
            <w:top w:val="none" w:sz="0" w:space="0" w:color="auto"/>
            <w:left w:val="none" w:sz="0" w:space="0" w:color="auto"/>
            <w:bottom w:val="none" w:sz="0" w:space="0" w:color="auto"/>
            <w:right w:val="none" w:sz="0" w:space="0" w:color="auto"/>
          </w:divBdr>
        </w:div>
        <w:div w:id="1518738144">
          <w:marLeft w:val="480"/>
          <w:marRight w:val="0"/>
          <w:marTop w:val="0"/>
          <w:marBottom w:val="0"/>
          <w:divBdr>
            <w:top w:val="none" w:sz="0" w:space="0" w:color="auto"/>
            <w:left w:val="none" w:sz="0" w:space="0" w:color="auto"/>
            <w:bottom w:val="none" w:sz="0" w:space="0" w:color="auto"/>
            <w:right w:val="none" w:sz="0" w:space="0" w:color="auto"/>
          </w:divBdr>
        </w:div>
        <w:div w:id="1245987885">
          <w:marLeft w:val="480"/>
          <w:marRight w:val="0"/>
          <w:marTop w:val="0"/>
          <w:marBottom w:val="0"/>
          <w:divBdr>
            <w:top w:val="none" w:sz="0" w:space="0" w:color="auto"/>
            <w:left w:val="none" w:sz="0" w:space="0" w:color="auto"/>
            <w:bottom w:val="none" w:sz="0" w:space="0" w:color="auto"/>
            <w:right w:val="none" w:sz="0" w:space="0" w:color="auto"/>
          </w:divBdr>
        </w:div>
        <w:div w:id="1249196466">
          <w:marLeft w:val="480"/>
          <w:marRight w:val="0"/>
          <w:marTop w:val="0"/>
          <w:marBottom w:val="0"/>
          <w:divBdr>
            <w:top w:val="none" w:sz="0" w:space="0" w:color="auto"/>
            <w:left w:val="none" w:sz="0" w:space="0" w:color="auto"/>
            <w:bottom w:val="none" w:sz="0" w:space="0" w:color="auto"/>
            <w:right w:val="none" w:sz="0" w:space="0" w:color="auto"/>
          </w:divBdr>
        </w:div>
        <w:div w:id="15157432">
          <w:marLeft w:val="480"/>
          <w:marRight w:val="0"/>
          <w:marTop w:val="0"/>
          <w:marBottom w:val="0"/>
          <w:divBdr>
            <w:top w:val="none" w:sz="0" w:space="0" w:color="auto"/>
            <w:left w:val="none" w:sz="0" w:space="0" w:color="auto"/>
            <w:bottom w:val="none" w:sz="0" w:space="0" w:color="auto"/>
            <w:right w:val="none" w:sz="0" w:space="0" w:color="auto"/>
          </w:divBdr>
        </w:div>
        <w:div w:id="1655454838">
          <w:marLeft w:val="480"/>
          <w:marRight w:val="0"/>
          <w:marTop w:val="0"/>
          <w:marBottom w:val="0"/>
          <w:divBdr>
            <w:top w:val="none" w:sz="0" w:space="0" w:color="auto"/>
            <w:left w:val="none" w:sz="0" w:space="0" w:color="auto"/>
            <w:bottom w:val="none" w:sz="0" w:space="0" w:color="auto"/>
            <w:right w:val="none" w:sz="0" w:space="0" w:color="auto"/>
          </w:divBdr>
        </w:div>
        <w:div w:id="947471768">
          <w:marLeft w:val="480"/>
          <w:marRight w:val="0"/>
          <w:marTop w:val="0"/>
          <w:marBottom w:val="0"/>
          <w:divBdr>
            <w:top w:val="none" w:sz="0" w:space="0" w:color="auto"/>
            <w:left w:val="none" w:sz="0" w:space="0" w:color="auto"/>
            <w:bottom w:val="none" w:sz="0" w:space="0" w:color="auto"/>
            <w:right w:val="none" w:sz="0" w:space="0" w:color="auto"/>
          </w:divBdr>
        </w:div>
        <w:div w:id="2056201216">
          <w:marLeft w:val="480"/>
          <w:marRight w:val="0"/>
          <w:marTop w:val="0"/>
          <w:marBottom w:val="0"/>
          <w:divBdr>
            <w:top w:val="none" w:sz="0" w:space="0" w:color="auto"/>
            <w:left w:val="none" w:sz="0" w:space="0" w:color="auto"/>
            <w:bottom w:val="none" w:sz="0" w:space="0" w:color="auto"/>
            <w:right w:val="none" w:sz="0" w:space="0" w:color="auto"/>
          </w:divBdr>
        </w:div>
        <w:div w:id="1037122232">
          <w:marLeft w:val="480"/>
          <w:marRight w:val="0"/>
          <w:marTop w:val="0"/>
          <w:marBottom w:val="0"/>
          <w:divBdr>
            <w:top w:val="none" w:sz="0" w:space="0" w:color="auto"/>
            <w:left w:val="none" w:sz="0" w:space="0" w:color="auto"/>
            <w:bottom w:val="none" w:sz="0" w:space="0" w:color="auto"/>
            <w:right w:val="none" w:sz="0" w:space="0" w:color="auto"/>
          </w:divBdr>
        </w:div>
        <w:div w:id="1458639146">
          <w:marLeft w:val="480"/>
          <w:marRight w:val="0"/>
          <w:marTop w:val="0"/>
          <w:marBottom w:val="0"/>
          <w:divBdr>
            <w:top w:val="none" w:sz="0" w:space="0" w:color="auto"/>
            <w:left w:val="none" w:sz="0" w:space="0" w:color="auto"/>
            <w:bottom w:val="none" w:sz="0" w:space="0" w:color="auto"/>
            <w:right w:val="none" w:sz="0" w:space="0" w:color="auto"/>
          </w:divBdr>
        </w:div>
        <w:div w:id="1169830407">
          <w:marLeft w:val="480"/>
          <w:marRight w:val="0"/>
          <w:marTop w:val="0"/>
          <w:marBottom w:val="0"/>
          <w:divBdr>
            <w:top w:val="none" w:sz="0" w:space="0" w:color="auto"/>
            <w:left w:val="none" w:sz="0" w:space="0" w:color="auto"/>
            <w:bottom w:val="none" w:sz="0" w:space="0" w:color="auto"/>
            <w:right w:val="none" w:sz="0" w:space="0" w:color="auto"/>
          </w:divBdr>
        </w:div>
        <w:div w:id="1619067157">
          <w:marLeft w:val="480"/>
          <w:marRight w:val="0"/>
          <w:marTop w:val="0"/>
          <w:marBottom w:val="0"/>
          <w:divBdr>
            <w:top w:val="none" w:sz="0" w:space="0" w:color="auto"/>
            <w:left w:val="none" w:sz="0" w:space="0" w:color="auto"/>
            <w:bottom w:val="none" w:sz="0" w:space="0" w:color="auto"/>
            <w:right w:val="none" w:sz="0" w:space="0" w:color="auto"/>
          </w:divBdr>
        </w:div>
        <w:div w:id="671108053">
          <w:marLeft w:val="480"/>
          <w:marRight w:val="0"/>
          <w:marTop w:val="0"/>
          <w:marBottom w:val="0"/>
          <w:divBdr>
            <w:top w:val="none" w:sz="0" w:space="0" w:color="auto"/>
            <w:left w:val="none" w:sz="0" w:space="0" w:color="auto"/>
            <w:bottom w:val="none" w:sz="0" w:space="0" w:color="auto"/>
            <w:right w:val="none" w:sz="0" w:space="0" w:color="auto"/>
          </w:divBdr>
        </w:div>
        <w:div w:id="1691296013">
          <w:marLeft w:val="480"/>
          <w:marRight w:val="0"/>
          <w:marTop w:val="0"/>
          <w:marBottom w:val="0"/>
          <w:divBdr>
            <w:top w:val="none" w:sz="0" w:space="0" w:color="auto"/>
            <w:left w:val="none" w:sz="0" w:space="0" w:color="auto"/>
            <w:bottom w:val="none" w:sz="0" w:space="0" w:color="auto"/>
            <w:right w:val="none" w:sz="0" w:space="0" w:color="auto"/>
          </w:divBdr>
        </w:div>
        <w:div w:id="61100353">
          <w:marLeft w:val="480"/>
          <w:marRight w:val="0"/>
          <w:marTop w:val="0"/>
          <w:marBottom w:val="0"/>
          <w:divBdr>
            <w:top w:val="none" w:sz="0" w:space="0" w:color="auto"/>
            <w:left w:val="none" w:sz="0" w:space="0" w:color="auto"/>
            <w:bottom w:val="none" w:sz="0" w:space="0" w:color="auto"/>
            <w:right w:val="none" w:sz="0" w:space="0" w:color="auto"/>
          </w:divBdr>
        </w:div>
        <w:div w:id="74471834">
          <w:marLeft w:val="480"/>
          <w:marRight w:val="0"/>
          <w:marTop w:val="0"/>
          <w:marBottom w:val="0"/>
          <w:divBdr>
            <w:top w:val="none" w:sz="0" w:space="0" w:color="auto"/>
            <w:left w:val="none" w:sz="0" w:space="0" w:color="auto"/>
            <w:bottom w:val="none" w:sz="0" w:space="0" w:color="auto"/>
            <w:right w:val="none" w:sz="0" w:space="0" w:color="auto"/>
          </w:divBdr>
        </w:div>
        <w:div w:id="1967656396">
          <w:marLeft w:val="480"/>
          <w:marRight w:val="0"/>
          <w:marTop w:val="0"/>
          <w:marBottom w:val="0"/>
          <w:divBdr>
            <w:top w:val="none" w:sz="0" w:space="0" w:color="auto"/>
            <w:left w:val="none" w:sz="0" w:space="0" w:color="auto"/>
            <w:bottom w:val="none" w:sz="0" w:space="0" w:color="auto"/>
            <w:right w:val="none" w:sz="0" w:space="0" w:color="auto"/>
          </w:divBdr>
        </w:div>
        <w:div w:id="1846165678">
          <w:marLeft w:val="480"/>
          <w:marRight w:val="0"/>
          <w:marTop w:val="0"/>
          <w:marBottom w:val="0"/>
          <w:divBdr>
            <w:top w:val="none" w:sz="0" w:space="0" w:color="auto"/>
            <w:left w:val="none" w:sz="0" w:space="0" w:color="auto"/>
            <w:bottom w:val="none" w:sz="0" w:space="0" w:color="auto"/>
            <w:right w:val="none" w:sz="0" w:space="0" w:color="auto"/>
          </w:divBdr>
        </w:div>
        <w:div w:id="653531568">
          <w:marLeft w:val="480"/>
          <w:marRight w:val="0"/>
          <w:marTop w:val="0"/>
          <w:marBottom w:val="0"/>
          <w:divBdr>
            <w:top w:val="none" w:sz="0" w:space="0" w:color="auto"/>
            <w:left w:val="none" w:sz="0" w:space="0" w:color="auto"/>
            <w:bottom w:val="none" w:sz="0" w:space="0" w:color="auto"/>
            <w:right w:val="none" w:sz="0" w:space="0" w:color="auto"/>
          </w:divBdr>
        </w:div>
        <w:div w:id="234242601">
          <w:marLeft w:val="480"/>
          <w:marRight w:val="0"/>
          <w:marTop w:val="0"/>
          <w:marBottom w:val="0"/>
          <w:divBdr>
            <w:top w:val="none" w:sz="0" w:space="0" w:color="auto"/>
            <w:left w:val="none" w:sz="0" w:space="0" w:color="auto"/>
            <w:bottom w:val="none" w:sz="0" w:space="0" w:color="auto"/>
            <w:right w:val="none" w:sz="0" w:space="0" w:color="auto"/>
          </w:divBdr>
        </w:div>
        <w:div w:id="592981751">
          <w:marLeft w:val="480"/>
          <w:marRight w:val="0"/>
          <w:marTop w:val="0"/>
          <w:marBottom w:val="0"/>
          <w:divBdr>
            <w:top w:val="none" w:sz="0" w:space="0" w:color="auto"/>
            <w:left w:val="none" w:sz="0" w:space="0" w:color="auto"/>
            <w:bottom w:val="none" w:sz="0" w:space="0" w:color="auto"/>
            <w:right w:val="none" w:sz="0" w:space="0" w:color="auto"/>
          </w:divBdr>
        </w:div>
        <w:div w:id="2001545510">
          <w:marLeft w:val="480"/>
          <w:marRight w:val="0"/>
          <w:marTop w:val="0"/>
          <w:marBottom w:val="0"/>
          <w:divBdr>
            <w:top w:val="none" w:sz="0" w:space="0" w:color="auto"/>
            <w:left w:val="none" w:sz="0" w:space="0" w:color="auto"/>
            <w:bottom w:val="none" w:sz="0" w:space="0" w:color="auto"/>
            <w:right w:val="none" w:sz="0" w:space="0" w:color="auto"/>
          </w:divBdr>
        </w:div>
        <w:div w:id="1195382428">
          <w:marLeft w:val="480"/>
          <w:marRight w:val="0"/>
          <w:marTop w:val="0"/>
          <w:marBottom w:val="0"/>
          <w:divBdr>
            <w:top w:val="none" w:sz="0" w:space="0" w:color="auto"/>
            <w:left w:val="none" w:sz="0" w:space="0" w:color="auto"/>
            <w:bottom w:val="none" w:sz="0" w:space="0" w:color="auto"/>
            <w:right w:val="none" w:sz="0" w:space="0" w:color="auto"/>
          </w:divBdr>
        </w:div>
        <w:div w:id="1942758440">
          <w:marLeft w:val="480"/>
          <w:marRight w:val="0"/>
          <w:marTop w:val="0"/>
          <w:marBottom w:val="0"/>
          <w:divBdr>
            <w:top w:val="none" w:sz="0" w:space="0" w:color="auto"/>
            <w:left w:val="none" w:sz="0" w:space="0" w:color="auto"/>
            <w:bottom w:val="none" w:sz="0" w:space="0" w:color="auto"/>
            <w:right w:val="none" w:sz="0" w:space="0" w:color="auto"/>
          </w:divBdr>
        </w:div>
        <w:div w:id="1010059184">
          <w:marLeft w:val="480"/>
          <w:marRight w:val="0"/>
          <w:marTop w:val="0"/>
          <w:marBottom w:val="0"/>
          <w:divBdr>
            <w:top w:val="none" w:sz="0" w:space="0" w:color="auto"/>
            <w:left w:val="none" w:sz="0" w:space="0" w:color="auto"/>
            <w:bottom w:val="none" w:sz="0" w:space="0" w:color="auto"/>
            <w:right w:val="none" w:sz="0" w:space="0" w:color="auto"/>
          </w:divBdr>
        </w:div>
        <w:div w:id="354506373">
          <w:marLeft w:val="480"/>
          <w:marRight w:val="0"/>
          <w:marTop w:val="0"/>
          <w:marBottom w:val="0"/>
          <w:divBdr>
            <w:top w:val="none" w:sz="0" w:space="0" w:color="auto"/>
            <w:left w:val="none" w:sz="0" w:space="0" w:color="auto"/>
            <w:bottom w:val="none" w:sz="0" w:space="0" w:color="auto"/>
            <w:right w:val="none" w:sz="0" w:space="0" w:color="auto"/>
          </w:divBdr>
        </w:div>
        <w:div w:id="1530332522">
          <w:marLeft w:val="480"/>
          <w:marRight w:val="0"/>
          <w:marTop w:val="0"/>
          <w:marBottom w:val="0"/>
          <w:divBdr>
            <w:top w:val="none" w:sz="0" w:space="0" w:color="auto"/>
            <w:left w:val="none" w:sz="0" w:space="0" w:color="auto"/>
            <w:bottom w:val="none" w:sz="0" w:space="0" w:color="auto"/>
            <w:right w:val="none" w:sz="0" w:space="0" w:color="auto"/>
          </w:divBdr>
        </w:div>
        <w:div w:id="1547991336">
          <w:marLeft w:val="480"/>
          <w:marRight w:val="0"/>
          <w:marTop w:val="0"/>
          <w:marBottom w:val="0"/>
          <w:divBdr>
            <w:top w:val="none" w:sz="0" w:space="0" w:color="auto"/>
            <w:left w:val="none" w:sz="0" w:space="0" w:color="auto"/>
            <w:bottom w:val="none" w:sz="0" w:space="0" w:color="auto"/>
            <w:right w:val="none" w:sz="0" w:space="0" w:color="auto"/>
          </w:divBdr>
        </w:div>
        <w:div w:id="717973168">
          <w:marLeft w:val="480"/>
          <w:marRight w:val="0"/>
          <w:marTop w:val="0"/>
          <w:marBottom w:val="0"/>
          <w:divBdr>
            <w:top w:val="none" w:sz="0" w:space="0" w:color="auto"/>
            <w:left w:val="none" w:sz="0" w:space="0" w:color="auto"/>
            <w:bottom w:val="none" w:sz="0" w:space="0" w:color="auto"/>
            <w:right w:val="none" w:sz="0" w:space="0" w:color="auto"/>
          </w:divBdr>
        </w:div>
        <w:div w:id="2111389923">
          <w:marLeft w:val="480"/>
          <w:marRight w:val="0"/>
          <w:marTop w:val="0"/>
          <w:marBottom w:val="0"/>
          <w:divBdr>
            <w:top w:val="none" w:sz="0" w:space="0" w:color="auto"/>
            <w:left w:val="none" w:sz="0" w:space="0" w:color="auto"/>
            <w:bottom w:val="none" w:sz="0" w:space="0" w:color="auto"/>
            <w:right w:val="none" w:sz="0" w:space="0" w:color="auto"/>
          </w:divBdr>
        </w:div>
        <w:div w:id="2140029724">
          <w:marLeft w:val="480"/>
          <w:marRight w:val="0"/>
          <w:marTop w:val="0"/>
          <w:marBottom w:val="0"/>
          <w:divBdr>
            <w:top w:val="none" w:sz="0" w:space="0" w:color="auto"/>
            <w:left w:val="none" w:sz="0" w:space="0" w:color="auto"/>
            <w:bottom w:val="none" w:sz="0" w:space="0" w:color="auto"/>
            <w:right w:val="none" w:sz="0" w:space="0" w:color="auto"/>
          </w:divBdr>
        </w:div>
        <w:div w:id="477959138">
          <w:marLeft w:val="480"/>
          <w:marRight w:val="0"/>
          <w:marTop w:val="0"/>
          <w:marBottom w:val="0"/>
          <w:divBdr>
            <w:top w:val="none" w:sz="0" w:space="0" w:color="auto"/>
            <w:left w:val="none" w:sz="0" w:space="0" w:color="auto"/>
            <w:bottom w:val="none" w:sz="0" w:space="0" w:color="auto"/>
            <w:right w:val="none" w:sz="0" w:space="0" w:color="auto"/>
          </w:divBdr>
        </w:div>
        <w:div w:id="1899706421">
          <w:marLeft w:val="480"/>
          <w:marRight w:val="0"/>
          <w:marTop w:val="0"/>
          <w:marBottom w:val="0"/>
          <w:divBdr>
            <w:top w:val="none" w:sz="0" w:space="0" w:color="auto"/>
            <w:left w:val="none" w:sz="0" w:space="0" w:color="auto"/>
            <w:bottom w:val="none" w:sz="0" w:space="0" w:color="auto"/>
            <w:right w:val="none" w:sz="0" w:space="0" w:color="auto"/>
          </w:divBdr>
        </w:div>
        <w:div w:id="25100926">
          <w:marLeft w:val="480"/>
          <w:marRight w:val="0"/>
          <w:marTop w:val="0"/>
          <w:marBottom w:val="0"/>
          <w:divBdr>
            <w:top w:val="none" w:sz="0" w:space="0" w:color="auto"/>
            <w:left w:val="none" w:sz="0" w:space="0" w:color="auto"/>
            <w:bottom w:val="none" w:sz="0" w:space="0" w:color="auto"/>
            <w:right w:val="none" w:sz="0" w:space="0" w:color="auto"/>
          </w:divBdr>
        </w:div>
        <w:div w:id="631524592">
          <w:marLeft w:val="480"/>
          <w:marRight w:val="0"/>
          <w:marTop w:val="0"/>
          <w:marBottom w:val="0"/>
          <w:divBdr>
            <w:top w:val="none" w:sz="0" w:space="0" w:color="auto"/>
            <w:left w:val="none" w:sz="0" w:space="0" w:color="auto"/>
            <w:bottom w:val="none" w:sz="0" w:space="0" w:color="auto"/>
            <w:right w:val="none" w:sz="0" w:space="0" w:color="auto"/>
          </w:divBdr>
        </w:div>
        <w:div w:id="1106192068">
          <w:marLeft w:val="480"/>
          <w:marRight w:val="0"/>
          <w:marTop w:val="0"/>
          <w:marBottom w:val="0"/>
          <w:divBdr>
            <w:top w:val="none" w:sz="0" w:space="0" w:color="auto"/>
            <w:left w:val="none" w:sz="0" w:space="0" w:color="auto"/>
            <w:bottom w:val="none" w:sz="0" w:space="0" w:color="auto"/>
            <w:right w:val="none" w:sz="0" w:space="0" w:color="auto"/>
          </w:divBdr>
        </w:div>
        <w:div w:id="168957421">
          <w:marLeft w:val="480"/>
          <w:marRight w:val="0"/>
          <w:marTop w:val="0"/>
          <w:marBottom w:val="0"/>
          <w:divBdr>
            <w:top w:val="none" w:sz="0" w:space="0" w:color="auto"/>
            <w:left w:val="none" w:sz="0" w:space="0" w:color="auto"/>
            <w:bottom w:val="none" w:sz="0" w:space="0" w:color="auto"/>
            <w:right w:val="none" w:sz="0" w:space="0" w:color="auto"/>
          </w:divBdr>
        </w:div>
        <w:div w:id="1678343033">
          <w:marLeft w:val="480"/>
          <w:marRight w:val="0"/>
          <w:marTop w:val="0"/>
          <w:marBottom w:val="0"/>
          <w:divBdr>
            <w:top w:val="none" w:sz="0" w:space="0" w:color="auto"/>
            <w:left w:val="none" w:sz="0" w:space="0" w:color="auto"/>
            <w:bottom w:val="none" w:sz="0" w:space="0" w:color="auto"/>
            <w:right w:val="none" w:sz="0" w:space="0" w:color="auto"/>
          </w:divBdr>
        </w:div>
        <w:div w:id="1746954265">
          <w:marLeft w:val="480"/>
          <w:marRight w:val="0"/>
          <w:marTop w:val="0"/>
          <w:marBottom w:val="0"/>
          <w:divBdr>
            <w:top w:val="none" w:sz="0" w:space="0" w:color="auto"/>
            <w:left w:val="none" w:sz="0" w:space="0" w:color="auto"/>
            <w:bottom w:val="none" w:sz="0" w:space="0" w:color="auto"/>
            <w:right w:val="none" w:sz="0" w:space="0" w:color="auto"/>
          </w:divBdr>
        </w:div>
        <w:div w:id="1340157209">
          <w:marLeft w:val="480"/>
          <w:marRight w:val="0"/>
          <w:marTop w:val="0"/>
          <w:marBottom w:val="0"/>
          <w:divBdr>
            <w:top w:val="none" w:sz="0" w:space="0" w:color="auto"/>
            <w:left w:val="none" w:sz="0" w:space="0" w:color="auto"/>
            <w:bottom w:val="none" w:sz="0" w:space="0" w:color="auto"/>
            <w:right w:val="none" w:sz="0" w:space="0" w:color="auto"/>
          </w:divBdr>
        </w:div>
        <w:div w:id="1641615109">
          <w:marLeft w:val="480"/>
          <w:marRight w:val="0"/>
          <w:marTop w:val="0"/>
          <w:marBottom w:val="0"/>
          <w:divBdr>
            <w:top w:val="none" w:sz="0" w:space="0" w:color="auto"/>
            <w:left w:val="none" w:sz="0" w:space="0" w:color="auto"/>
            <w:bottom w:val="none" w:sz="0" w:space="0" w:color="auto"/>
            <w:right w:val="none" w:sz="0" w:space="0" w:color="auto"/>
          </w:divBdr>
        </w:div>
        <w:div w:id="178814512">
          <w:marLeft w:val="480"/>
          <w:marRight w:val="0"/>
          <w:marTop w:val="0"/>
          <w:marBottom w:val="0"/>
          <w:divBdr>
            <w:top w:val="none" w:sz="0" w:space="0" w:color="auto"/>
            <w:left w:val="none" w:sz="0" w:space="0" w:color="auto"/>
            <w:bottom w:val="none" w:sz="0" w:space="0" w:color="auto"/>
            <w:right w:val="none" w:sz="0" w:space="0" w:color="auto"/>
          </w:divBdr>
        </w:div>
        <w:div w:id="1384257430">
          <w:marLeft w:val="480"/>
          <w:marRight w:val="0"/>
          <w:marTop w:val="0"/>
          <w:marBottom w:val="0"/>
          <w:divBdr>
            <w:top w:val="none" w:sz="0" w:space="0" w:color="auto"/>
            <w:left w:val="none" w:sz="0" w:space="0" w:color="auto"/>
            <w:bottom w:val="none" w:sz="0" w:space="0" w:color="auto"/>
            <w:right w:val="none" w:sz="0" w:space="0" w:color="auto"/>
          </w:divBdr>
        </w:div>
        <w:div w:id="645008101">
          <w:marLeft w:val="480"/>
          <w:marRight w:val="0"/>
          <w:marTop w:val="0"/>
          <w:marBottom w:val="0"/>
          <w:divBdr>
            <w:top w:val="none" w:sz="0" w:space="0" w:color="auto"/>
            <w:left w:val="none" w:sz="0" w:space="0" w:color="auto"/>
            <w:bottom w:val="none" w:sz="0" w:space="0" w:color="auto"/>
            <w:right w:val="none" w:sz="0" w:space="0" w:color="auto"/>
          </w:divBdr>
        </w:div>
        <w:div w:id="753480419">
          <w:marLeft w:val="480"/>
          <w:marRight w:val="0"/>
          <w:marTop w:val="0"/>
          <w:marBottom w:val="0"/>
          <w:divBdr>
            <w:top w:val="none" w:sz="0" w:space="0" w:color="auto"/>
            <w:left w:val="none" w:sz="0" w:space="0" w:color="auto"/>
            <w:bottom w:val="none" w:sz="0" w:space="0" w:color="auto"/>
            <w:right w:val="none" w:sz="0" w:space="0" w:color="auto"/>
          </w:divBdr>
        </w:div>
        <w:div w:id="706686276">
          <w:marLeft w:val="480"/>
          <w:marRight w:val="0"/>
          <w:marTop w:val="0"/>
          <w:marBottom w:val="0"/>
          <w:divBdr>
            <w:top w:val="none" w:sz="0" w:space="0" w:color="auto"/>
            <w:left w:val="none" w:sz="0" w:space="0" w:color="auto"/>
            <w:bottom w:val="none" w:sz="0" w:space="0" w:color="auto"/>
            <w:right w:val="none" w:sz="0" w:space="0" w:color="auto"/>
          </w:divBdr>
        </w:div>
        <w:div w:id="1026978137">
          <w:marLeft w:val="480"/>
          <w:marRight w:val="0"/>
          <w:marTop w:val="0"/>
          <w:marBottom w:val="0"/>
          <w:divBdr>
            <w:top w:val="none" w:sz="0" w:space="0" w:color="auto"/>
            <w:left w:val="none" w:sz="0" w:space="0" w:color="auto"/>
            <w:bottom w:val="none" w:sz="0" w:space="0" w:color="auto"/>
            <w:right w:val="none" w:sz="0" w:space="0" w:color="auto"/>
          </w:divBdr>
        </w:div>
        <w:div w:id="779497353">
          <w:marLeft w:val="480"/>
          <w:marRight w:val="0"/>
          <w:marTop w:val="0"/>
          <w:marBottom w:val="0"/>
          <w:divBdr>
            <w:top w:val="none" w:sz="0" w:space="0" w:color="auto"/>
            <w:left w:val="none" w:sz="0" w:space="0" w:color="auto"/>
            <w:bottom w:val="none" w:sz="0" w:space="0" w:color="auto"/>
            <w:right w:val="none" w:sz="0" w:space="0" w:color="auto"/>
          </w:divBdr>
        </w:div>
        <w:div w:id="766853908">
          <w:marLeft w:val="480"/>
          <w:marRight w:val="0"/>
          <w:marTop w:val="0"/>
          <w:marBottom w:val="0"/>
          <w:divBdr>
            <w:top w:val="none" w:sz="0" w:space="0" w:color="auto"/>
            <w:left w:val="none" w:sz="0" w:space="0" w:color="auto"/>
            <w:bottom w:val="none" w:sz="0" w:space="0" w:color="auto"/>
            <w:right w:val="none" w:sz="0" w:space="0" w:color="auto"/>
          </w:divBdr>
        </w:div>
        <w:div w:id="589973481">
          <w:marLeft w:val="480"/>
          <w:marRight w:val="0"/>
          <w:marTop w:val="0"/>
          <w:marBottom w:val="0"/>
          <w:divBdr>
            <w:top w:val="none" w:sz="0" w:space="0" w:color="auto"/>
            <w:left w:val="none" w:sz="0" w:space="0" w:color="auto"/>
            <w:bottom w:val="none" w:sz="0" w:space="0" w:color="auto"/>
            <w:right w:val="none" w:sz="0" w:space="0" w:color="auto"/>
          </w:divBdr>
        </w:div>
        <w:div w:id="587272490">
          <w:marLeft w:val="480"/>
          <w:marRight w:val="0"/>
          <w:marTop w:val="0"/>
          <w:marBottom w:val="0"/>
          <w:divBdr>
            <w:top w:val="none" w:sz="0" w:space="0" w:color="auto"/>
            <w:left w:val="none" w:sz="0" w:space="0" w:color="auto"/>
            <w:bottom w:val="none" w:sz="0" w:space="0" w:color="auto"/>
            <w:right w:val="none" w:sz="0" w:space="0" w:color="auto"/>
          </w:divBdr>
        </w:div>
        <w:div w:id="846555202">
          <w:marLeft w:val="480"/>
          <w:marRight w:val="0"/>
          <w:marTop w:val="0"/>
          <w:marBottom w:val="0"/>
          <w:divBdr>
            <w:top w:val="none" w:sz="0" w:space="0" w:color="auto"/>
            <w:left w:val="none" w:sz="0" w:space="0" w:color="auto"/>
            <w:bottom w:val="none" w:sz="0" w:space="0" w:color="auto"/>
            <w:right w:val="none" w:sz="0" w:space="0" w:color="auto"/>
          </w:divBdr>
        </w:div>
        <w:div w:id="586353076">
          <w:marLeft w:val="480"/>
          <w:marRight w:val="0"/>
          <w:marTop w:val="0"/>
          <w:marBottom w:val="0"/>
          <w:divBdr>
            <w:top w:val="none" w:sz="0" w:space="0" w:color="auto"/>
            <w:left w:val="none" w:sz="0" w:space="0" w:color="auto"/>
            <w:bottom w:val="none" w:sz="0" w:space="0" w:color="auto"/>
            <w:right w:val="none" w:sz="0" w:space="0" w:color="auto"/>
          </w:divBdr>
        </w:div>
        <w:div w:id="412241196">
          <w:marLeft w:val="480"/>
          <w:marRight w:val="0"/>
          <w:marTop w:val="0"/>
          <w:marBottom w:val="0"/>
          <w:divBdr>
            <w:top w:val="none" w:sz="0" w:space="0" w:color="auto"/>
            <w:left w:val="none" w:sz="0" w:space="0" w:color="auto"/>
            <w:bottom w:val="none" w:sz="0" w:space="0" w:color="auto"/>
            <w:right w:val="none" w:sz="0" w:space="0" w:color="auto"/>
          </w:divBdr>
        </w:div>
        <w:div w:id="1254818081">
          <w:marLeft w:val="480"/>
          <w:marRight w:val="0"/>
          <w:marTop w:val="0"/>
          <w:marBottom w:val="0"/>
          <w:divBdr>
            <w:top w:val="none" w:sz="0" w:space="0" w:color="auto"/>
            <w:left w:val="none" w:sz="0" w:space="0" w:color="auto"/>
            <w:bottom w:val="none" w:sz="0" w:space="0" w:color="auto"/>
            <w:right w:val="none" w:sz="0" w:space="0" w:color="auto"/>
          </w:divBdr>
        </w:div>
        <w:div w:id="1684550683">
          <w:marLeft w:val="480"/>
          <w:marRight w:val="0"/>
          <w:marTop w:val="0"/>
          <w:marBottom w:val="0"/>
          <w:divBdr>
            <w:top w:val="none" w:sz="0" w:space="0" w:color="auto"/>
            <w:left w:val="none" w:sz="0" w:space="0" w:color="auto"/>
            <w:bottom w:val="none" w:sz="0" w:space="0" w:color="auto"/>
            <w:right w:val="none" w:sz="0" w:space="0" w:color="auto"/>
          </w:divBdr>
        </w:div>
        <w:div w:id="2131699608">
          <w:marLeft w:val="480"/>
          <w:marRight w:val="0"/>
          <w:marTop w:val="0"/>
          <w:marBottom w:val="0"/>
          <w:divBdr>
            <w:top w:val="none" w:sz="0" w:space="0" w:color="auto"/>
            <w:left w:val="none" w:sz="0" w:space="0" w:color="auto"/>
            <w:bottom w:val="none" w:sz="0" w:space="0" w:color="auto"/>
            <w:right w:val="none" w:sz="0" w:space="0" w:color="auto"/>
          </w:divBdr>
        </w:div>
        <w:div w:id="2005283005">
          <w:marLeft w:val="480"/>
          <w:marRight w:val="0"/>
          <w:marTop w:val="0"/>
          <w:marBottom w:val="0"/>
          <w:divBdr>
            <w:top w:val="none" w:sz="0" w:space="0" w:color="auto"/>
            <w:left w:val="none" w:sz="0" w:space="0" w:color="auto"/>
            <w:bottom w:val="none" w:sz="0" w:space="0" w:color="auto"/>
            <w:right w:val="none" w:sz="0" w:space="0" w:color="auto"/>
          </w:divBdr>
        </w:div>
        <w:div w:id="353266942">
          <w:marLeft w:val="480"/>
          <w:marRight w:val="0"/>
          <w:marTop w:val="0"/>
          <w:marBottom w:val="0"/>
          <w:divBdr>
            <w:top w:val="none" w:sz="0" w:space="0" w:color="auto"/>
            <w:left w:val="none" w:sz="0" w:space="0" w:color="auto"/>
            <w:bottom w:val="none" w:sz="0" w:space="0" w:color="auto"/>
            <w:right w:val="none" w:sz="0" w:space="0" w:color="auto"/>
          </w:divBdr>
        </w:div>
        <w:div w:id="430243947">
          <w:marLeft w:val="480"/>
          <w:marRight w:val="0"/>
          <w:marTop w:val="0"/>
          <w:marBottom w:val="0"/>
          <w:divBdr>
            <w:top w:val="none" w:sz="0" w:space="0" w:color="auto"/>
            <w:left w:val="none" w:sz="0" w:space="0" w:color="auto"/>
            <w:bottom w:val="none" w:sz="0" w:space="0" w:color="auto"/>
            <w:right w:val="none" w:sz="0" w:space="0" w:color="auto"/>
          </w:divBdr>
        </w:div>
        <w:div w:id="1485782122">
          <w:marLeft w:val="480"/>
          <w:marRight w:val="0"/>
          <w:marTop w:val="0"/>
          <w:marBottom w:val="0"/>
          <w:divBdr>
            <w:top w:val="none" w:sz="0" w:space="0" w:color="auto"/>
            <w:left w:val="none" w:sz="0" w:space="0" w:color="auto"/>
            <w:bottom w:val="none" w:sz="0" w:space="0" w:color="auto"/>
            <w:right w:val="none" w:sz="0" w:space="0" w:color="auto"/>
          </w:divBdr>
        </w:div>
        <w:div w:id="33241461">
          <w:marLeft w:val="480"/>
          <w:marRight w:val="0"/>
          <w:marTop w:val="0"/>
          <w:marBottom w:val="0"/>
          <w:divBdr>
            <w:top w:val="none" w:sz="0" w:space="0" w:color="auto"/>
            <w:left w:val="none" w:sz="0" w:space="0" w:color="auto"/>
            <w:bottom w:val="none" w:sz="0" w:space="0" w:color="auto"/>
            <w:right w:val="none" w:sz="0" w:space="0" w:color="auto"/>
          </w:divBdr>
        </w:div>
        <w:div w:id="1803838409">
          <w:marLeft w:val="480"/>
          <w:marRight w:val="0"/>
          <w:marTop w:val="0"/>
          <w:marBottom w:val="0"/>
          <w:divBdr>
            <w:top w:val="none" w:sz="0" w:space="0" w:color="auto"/>
            <w:left w:val="none" w:sz="0" w:space="0" w:color="auto"/>
            <w:bottom w:val="none" w:sz="0" w:space="0" w:color="auto"/>
            <w:right w:val="none" w:sz="0" w:space="0" w:color="auto"/>
          </w:divBdr>
        </w:div>
        <w:div w:id="2091731270">
          <w:marLeft w:val="480"/>
          <w:marRight w:val="0"/>
          <w:marTop w:val="0"/>
          <w:marBottom w:val="0"/>
          <w:divBdr>
            <w:top w:val="none" w:sz="0" w:space="0" w:color="auto"/>
            <w:left w:val="none" w:sz="0" w:space="0" w:color="auto"/>
            <w:bottom w:val="none" w:sz="0" w:space="0" w:color="auto"/>
            <w:right w:val="none" w:sz="0" w:space="0" w:color="auto"/>
          </w:divBdr>
        </w:div>
        <w:div w:id="422997115">
          <w:marLeft w:val="480"/>
          <w:marRight w:val="0"/>
          <w:marTop w:val="0"/>
          <w:marBottom w:val="0"/>
          <w:divBdr>
            <w:top w:val="none" w:sz="0" w:space="0" w:color="auto"/>
            <w:left w:val="none" w:sz="0" w:space="0" w:color="auto"/>
            <w:bottom w:val="none" w:sz="0" w:space="0" w:color="auto"/>
            <w:right w:val="none" w:sz="0" w:space="0" w:color="auto"/>
          </w:divBdr>
        </w:div>
        <w:div w:id="1318071180">
          <w:marLeft w:val="480"/>
          <w:marRight w:val="0"/>
          <w:marTop w:val="0"/>
          <w:marBottom w:val="0"/>
          <w:divBdr>
            <w:top w:val="none" w:sz="0" w:space="0" w:color="auto"/>
            <w:left w:val="none" w:sz="0" w:space="0" w:color="auto"/>
            <w:bottom w:val="none" w:sz="0" w:space="0" w:color="auto"/>
            <w:right w:val="none" w:sz="0" w:space="0" w:color="auto"/>
          </w:divBdr>
        </w:div>
        <w:div w:id="1373458665">
          <w:marLeft w:val="480"/>
          <w:marRight w:val="0"/>
          <w:marTop w:val="0"/>
          <w:marBottom w:val="0"/>
          <w:divBdr>
            <w:top w:val="none" w:sz="0" w:space="0" w:color="auto"/>
            <w:left w:val="none" w:sz="0" w:space="0" w:color="auto"/>
            <w:bottom w:val="none" w:sz="0" w:space="0" w:color="auto"/>
            <w:right w:val="none" w:sz="0" w:space="0" w:color="auto"/>
          </w:divBdr>
        </w:div>
        <w:div w:id="1537037965">
          <w:marLeft w:val="480"/>
          <w:marRight w:val="0"/>
          <w:marTop w:val="0"/>
          <w:marBottom w:val="0"/>
          <w:divBdr>
            <w:top w:val="none" w:sz="0" w:space="0" w:color="auto"/>
            <w:left w:val="none" w:sz="0" w:space="0" w:color="auto"/>
            <w:bottom w:val="none" w:sz="0" w:space="0" w:color="auto"/>
            <w:right w:val="none" w:sz="0" w:space="0" w:color="auto"/>
          </w:divBdr>
        </w:div>
        <w:div w:id="536311571">
          <w:marLeft w:val="480"/>
          <w:marRight w:val="0"/>
          <w:marTop w:val="0"/>
          <w:marBottom w:val="0"/>
          <w:divBdr>
            <w:top w:val="none" w:sz="0" w:space="0" w:color="auto"/>
            <w:left w:val="none" w:sz="0" w:space="0" w:color="auto"/>
            <w:bottom w:val="none" w:sz="0" w:space="0" w:color="auto"/>
            <w:right w:val="none" w:sz="0" w:space="0" w:color="auto"/>
          </w:divBdr>
        </w:div>
        <w:div w:id="2125421532">
          <w:marLeft w:val="480"/>
          <w:marRight w:val="0"/>
          <w:marTop w:val="0"/>
          <w:marBottom w:val="0"/>
          <w:divBdr>
            <w:top w:val="none" w:sz="0" w:space="0" w:color="auto"/>
            <w:left w:val="none" w:sz="0" w:space="0" w:color="auto"/>
            <w:bottom w:val="none" w:sz="0" w:space="0" w:color="auto"/>
            <w:right w:val="none" w:sz="0" w:space="0" w:color="auto"/>
          </w:divBdr>
        </w:div>
        <w:div w:id="856500261">
          <w:marLeft w:val="480"/>
          <w:marRight w:val="0"/>
          <w:marTop w:val="0"/>
          <w:marBottom w:val="0"/>
          <w:divBdr>
            <w:top w:val="none" w:sz="0" w:space="0" w:color="auto"/>
            <w:left w:val="none" w:sz="0" w:space="0" w:color="auto"/>
            <w:bottom w:val="none" w:sz="0" w:space="0" w:color="auto"/>
            <w:right w:val="none" w:sz="0" w:space="0" w:color="auto"/>
          </w:divBdr>
        </w:div>
        <w:div w:id="799150646">
          <w:marLeft w:val="480"/>
          <w:marRight w:val="0"/>
          <w:marTop w:val="0"/>
          <w:marBottom w:val="0"/>
          <w:divBdr>
            <w:top w:val="none" w:sz="0" w:space="0" w:color="auto"/>
            <w:left w:val="none" w:sz="0" w:space="0" w:color="auto"/>
            <w:bottom w:val="none" w:sz="0" w:space="0" w:color="auto"/>
            <w:right w:val="none" w:sz="0" w:space="0" w:color="auto"/>
          </w:divBdr>
        </w:div>
        <w:div w:id="2118866617">
          <w:marLeft w:val="480"/>
          <w:marRight w:val="0"/>
          <w:marTop w:val="0"/>
          <w:marBottom w:val="0"/>
          <w:divBdr>
            <w:top w:val="none" w:sz="0" w:space="0" w:color="auto"/>
            <w:left w:val="none" w:sz="0" w:space="0" w:color="auto"/>
            <w:bottom w:val="none" w:sz="0" w:space="0" w:color="auto"/>
            <w:right w:val="none" w:sz="0" w:space="0" w:color="auto"/>
          </w:divBdr>
        </w:div>
        <w:div w:id="725302437">
          <w:marLeft w:val="480"/>
          <w:marRight w:val="0"/>
          <w:marTop w:val="0"/>
          <w:marBottom w:val="0"/>
          <w:divBdr>
            <w:top w:val="none" w:sz="0" w:space="0" w:color="auto"/>
            <w:left w:val="none" w:sz="0" w:space="0" w:color="auto"/>
            <w:bottom w:val="none" w:sz="0" w:space="0" w:color="auto"/>
            <w:right w:val="none" w:sz="0" w:space="0" w:color="auto"/>
          </w:divBdr>
        </w:div>
        <w:div w:id="2101564473">
          <w:marLeft w:val="480"/>
          <w:marRight w:val="0"/>
          <w:marTop w:val="0"/>
          <w:marBottom w:val="0"/>
          <w:divBdr>
            <w:top w:val="none" w:sz="0" w:space="0" w:color="auto"/>
            <w:left w:val="none" w:sz="0" w:space="0" w:color="auto"/>
            <w:bottom w:val="none" w:sz="0" w:space="0" w:color="auto"/>
            <w:right w:val="none" w:sz="0" w:space="0" w:color="auto"/>
          </w:divBdr>
        </w:div>
        <w:div w:id="22366846">
          <w:marLeft w:val="480"/>
          <w:marRight w:val="0"/>
          <w:marTop w:val="0"/>
          <w:marBottom w:val="0"/>
          <w:divBdr>
            <w:top w:val="none" w:sz="0" w:space="0" w:color="auto"/>
            <w:left w:val="none" w:sz="0" w:space="0" w:color="auto"/>
            <w:bottom w:val="none" w:sz="0" w:space="0" w:color="auto"/>
            <w:right w:val="none" w:sz="0" w:space="0" w:color="auto"/>
          </w:divBdr>
        </w:div>
        <w:div w:id="771972230">
          <w:marLeft w:val="480"/>
          <w:marRight w:val="0"/>
          <w:marTop w:val="0"/>
          <w:marBottom w:val="0"/>
          <w:divBdr>
            <w:top w:val="none" w:sz="0" w:space="0" w:color="auto"/>
            <w:left w:val="none" w:sz="0" w:space="0" w:color="auto"/>
            <w:bottom w:val="none" w:sz="0" w:space="0" w:color="auto"/>
            <w:right w:val="none" w:sz="0" w:space="0" w:color="auto"/>
          </w:divBdr>
        </w:div>
        <w:div w:id="966622248">
          <w:marLeft w:val="480"/>
          <w:marRight w:val="0"/>
          <w:marTop w:val="0"/>
          <w:marBottom w:val="0"/>
          <w:divBdr>
            <w:top w:val="none" w:sz="0" w:space="0" w:color="auto"/>
            <w:left w:val="none" w:sz="0" w:space="0" w:color="auto"/>
            <w:bottom w:val="none" w:sz="0" w:space="0" w:color="auto"/>
            <w:right w:val="none" w:sz="0" w:space="0" w:color="auto"/>
          </w:divBdr>
        </w:div>
        <w:div w:id="381834385">
          <w:marLeft w:val="480"/>
          <w:marRight w:val="0"/>
          <w:marTop w:val="0"/>
          <w:marBottom w:val="0"/>
          <w:divBdr>
            <w:top w:val="none" w:sz="0" w:space="0" w:color="auto"/>
            <w:left w:val="none" w:sz="0" w:space="0" w:color="auto"/>
            <w:bottom w:val="none" w:sz="0" w:space="0" w:color="auto"/>
            <w:right w:val="none" w:sz="0" w:space="0" w:color="auto"/>
          </w:divBdr>
        </w:div>
        <w:div w:id="1497530304">
          <w:marLeft w:val="480"/>
          <w:marRight w:val="0"/>
          <w:marTop w:val="0"/>
          <w:marBottom w:val="0"/>
          <w:divBdr>
            <w:top w:val="none" w:sz="0" w:space="0" w:color="auto"/>
            <w:left w:val="none" w:sz="0" w:space="0" w:color="auto"/>
            <w:bottom w:val="none" w:sz="0" w:space="0" w:color="auto"/>
            <w:right w:val="none" w:sz="0" w:space="0" w:color="auto"/>
          </w:divBdr>
        </w:div>
        <w:div w:id="106199569">
          <w:marLeft w:val="480"/>
          <w:marRight w:val="0"/>
          <w:marTop w:val="0"/>
          <w:marBottom w:val="0"/>
          <w:divBdr>
            <w:top w:val="none" w:sz="0" w:space="0" w:color="auto"/>
            <w:left w:val="none" w:sz="0" w:space="0" w:color="auto"/>
            <w:bottom w:val="none" w:sz="0" w:space="0" w:color="auto"/>
            <w:right w:val="none" w:sz="0" w:space="0" w:color="auto"/>
          </w:divBdr>
        </w:div>
        <w:div w:id="70272469">
          <w:marLeft w:val="480"/>
          <w:marRight w:val="0"/>
          <w:marTop w:val="0"/>
          <w:marBottom w:val="0"/>
          <w:divBdr>
            <w:top w:val="none" w:sz="0" w:space="0" w:color="auto"/>
            <w:left w:val="none" w:sz="0" w:space="0" w:color="auto"/>
            <w:bottom w:val="none" w:sz="0" w:space="0" w:color="auto"/>
            <w:right w:val="none" w:sz="0" w:space="0" w:color="auto"/>
          </w:divBdr>
        </w:div>
        <w:div w:id="1710301572">
          <w:marLeft w:val="480"/>
          <w:marRight w:val="0"/>
          <w:marTop w:val="0"/>
          <w:marBottom w:val="0"/>
          <w:divBdr>
            <w:top w:val="none" w:sz="0" w:space="0" w:color="auto"/>
            <w:left w:val="none" w:sz="0" w:space="0" w:color="auto"/>
            <w:bottom w:val="none" w:sz="0" w:space="0" w:color="auto"/>
            <w:right w:val="none" w:sz="0" w:space="0" w:color="auto"/>
          </w:divBdr>
        </w:div>
        <w:div w:id="1721591422">
          <w:marLeft w:val="480"/>
          <w:marRight w:val="0"/>
          <w:marTop w:val="0"/>
          <w:marBottom w:val="0"/>
          <w:divBdr>
            <w:top w:val="none" w:sz="0" w:space="0" w:color="auto"/>
            <w:left w:val="none" w:sz="0" w:space="0" w:color="auto"/>
            <w:bottom w:val="none" w:sz="0" w:space="0" w:color="auto"/>
            <w:right w:val="none" w:sz="0" w:space="0" w:color="auto"/>
          </w:divBdr>
        </w:div>
        <w:div w:id="430786187">
          <w:marLeft w:val="480"/>
          <w:marRight w:val="0"/>
          <w:marTop w:val="0"/>
          <w:marBottom w:val="0"/>
          <w:divBdr>
            <w:top w:val="none" w:sz="0" w:space="0" w:color="auto"/>
            <w:left w:val="none" w:sz="0" w:space="0" w:color="auto"/>
            <w:bottom w:val="none" w:sz="0" w:space="0" w:color="auto"/>
            <w:right w:val="none" w:sz="0" w:space="0" w:color="auto"/>
          </w:divBdr>
        </w:div>
        <w:div w:id="725687098">
          <w:marLeft w:val="480"/>
          <w:marRight w:val="0"/>
          <w:marTop w:val="0"/>
          <w:marBottom w:val="0"/>
          <w:divBdr>
            <w:top w:val="none" w:sz="0" w:space="0" w:color="auto"/>
            <w:left w:val="none" w:sz="0" w:space="0" w:color="auto"/>
            <w:bottom w:val="none" w:sz="0" w:space="0" w:color="auto"/>
            <w:right w:val="none" w:sz="0" w:space="0" w:color="auto"/>
          </w:divBdr>
        </w:div>
        <w:div w:id="680278421">
          <w:marLeft w:val="480"/>
          <w:marRight w:val="0"/>
          <w:marTop w:val="0"/>
          <w:marBottom w:val="0"/>
          <w:divBdr>
            <w:top w:val="none" w:sz="0" w:space="0" w:color="auto"/>
            <w:left w:val="none" w:sz="0" w:space="0" w:color="auto"/>
            <w:bottom w:val="none" w:sz="0" w:space="0" w:color="auto"/>
            <w:right w:val="none" w:sz="0" w:space="0" w:color="auto"/>
          </w:divBdr>
        </w:div>
        <w:div w:id="1299535208">
          <w:marLeft w:val="480"/>
          <w:marRight w:val="0"/>
          <w:marTop w:val="0"/>
          <w:marBottom w:val="0"/>
          <w:divBdr>
            <w:top w:val="none" w:sz="0" w:space="0" w:color="auto"/>
            <w:left w:val="none" w:sz="0" w:space="0" w:color="auto"/>
            <w:bottom w:val="none" w:sz="0" w:space="0" w:color="auto"/>
            <w:right w:val="none" w:sz="0" w:space="0" w:color="auto"/>
          </w:divBdr>
        </w:div>
        <w:div w:id="1534925466">
          <w:marLeft w:val="480"/>
          <w:marRight w:val="0"/>
          <w:marTop w:val="0"/>
          <w:marBottom w:val="0"/>
          <w:divBdr>
            <w:top w:val="none" w:sz="0" w:space="0" w:color="auto"/>
            <w:left w:val="none" w:sz="0" w:space="0" w:color="auto"/>
            <w:bottom w:val="none" w:sz="0" w:space="0" w:color="auto"/>
            <w:right w:val="none" w:sz="0" w:space="0" w:color="auto"/>
          </w:divBdr>
        </w:div>
        <w:div w:id="2076929495">
          <w:marLeft w:val="480"/>
          <w:marRight w:val="0"/>
          <w:marTop w:val="0"/>
          <w:marBottom w:val="0"/>
          <w:divBdr>
            <w:top w:val="none" w:sz="0" w:space="0" w:color="auto"/>
            <w:left w:val="none" w:sz="0" w:space="0" w:color="auto"/>
            <w:bottom w:val="none" w:sz="0" w:space="0" w:color="auto"/>
            <w:right w:val="none" w:sz="0" w:space="0" w:color="auto"/>
          </w:divBdr>
        </w:div>
        <w:div w:id="756177152">
          <w:marLeft w:val="480"/>
          <w:marRight w:val="0"/>
          <w:marTop w:val="0"/>
          <w:marBottom w:val="0"/>
          <w:divBdr>
            <w:top w:val="none" w:sz="0" w:space="0" w:color="auto"/>
            <w:left w:val="none" w:sz="0" w:space="0" w:color="auto"/>
            <w:bottom w:val="none" w:sz="0" w:space="0" w:color="auto"/>
            <w:right w:val="none" w:sz="0" w:space="0" w:color="auto"/>
          </w:divBdr>
        </w:div>
        <w:div w:id="1717706064">
          <w:marLeft w:val="480"/>
          <w:marRight w:val="0"/>
          <w:marTop w:val="0"/>
          <w:marBottom w:val="0"/>
          <w:divBdr>
            <w:top w:val="none" w:sz="0" w:space="0" w:color="auto"/>
            <w:left w:val="none" w:sz="0" w:space="0" w:color="auto"/>
            <w:bottom w:val="none" w:sz="0" w:space="0" w:color="auto"/>
            <w:right w:val="none" w:sz="0" w:space="0" w:color="auto"/>
          </w:divBdr>
        </w:div>
        <w:div w:id="972321848">
          <w:marLeft w:val="480"/>
          <w:marRight w:val="0"/>
          <w:marTop w:val="0"/>
          <w:marBottom w:val="0"/>
          <w:divBdr>
            <w:top w:val="none" w:sz="0" w:space="0" w:color="auto"/>
            <w:left w:val="none" w:sz="0" w:space="0" w:color="auto"/>
            <w:bottom w:val="none" w:sz="0" w:space="0" w:color="auto"/>
            <w:right w:val="none" w:sz="0" w:space="0" w:color="auto"/>
          </w:divBdr>
        </w:div>
        <w:div w:id="1802306296">
          <w:marLeft w:val="480"/>
          <w:marRight w:val="0"/>
          <w:marTop w:val="0"/>
          <w:marBottom w:val="0"/>
          <w:divBdr>
            <w:top w:val="none" w:sz="0" w:space="0" w:color="auto"/>
            <w:left w:val="none" w:sz="0" w:space="0" w:color="auto"/>
            <w:bottom w:val="none" w:sz="0" w:space="0" w:color="auto"/>
            <w:right w:val="none" w:sz="0" w:space="0" w:color="auto"/>
          </w:divBdr>
        </w:div>
        <w:div w:id="63066136">
          <w:marLeft w:val="480"/>
          <w:marRight w:val="0"/>
          <w:marTop w:val="0"/>
          <w:marBottom w:val="0"/>
          <w:divBdr>
            <w:top w:val="none" w:sz="0" w:space="0" w:color="auto"/>
            <w:left w:val="none" w:sz="0" w:space="0" w:color="auto"/>
            <w:bottom w:val="none" w:sz="0" w:space="0" w:color="auto"/>
            <w:right w:val="none" w:sz="0" w:space="0" w:color="auto"/>
          </w:divBdr>
        </w:div>
        <w:div w:id="1590309077">
          <w:marLeft w:val="480"/>
          <w:marRight w:val="0"/>
          <w:marTop w:val="0"/>
          <w:marBottom w:val="0"/>
          <w:divBdr>
            <w:top w:val="none" w:sz="0" w:space="0" w:color="auto"/>
            <w:left w:val="none" w:sz="0" w:space="0" w:color="auto"/>
            <w:bottom w:val="none" w:sz="0" w:space="0" w:color="auto"/>
            <w:right w:val="none" w:sz="0" w:space="0" w:color="auto"/>
          </w:divBdr>
        </w:div>
        <w:div w:id="747461264">
          <w:marLeft w:val="480"/>
          <w:marRight w:val="0"/>
          <w:marTop w:val="0"/>
          <w:marBottom w:val="0"/>
          <w:divBdr>
            <w:top w:val="none" w:sz="0" w:space="0" w:color="auto"/>
            <w:left w:val="none" w:sz="0" w:space="0" w:color="auto"/>
            <w:bottom w:val="none" w:sz="0" w:space="0" w:color="auto"/>
            <w:right w:val="none" w:sz="0" w:space="0" w:color="auto"/>
          </w:divBdr>
        </w:div>
        <w:div w:id="1496913644">
          <w:marLeft w:val="480"/>
          <w:marRight w:val="0"/>
          <w:marTop w:val="0"/>
          <w:marBottom w:val="0"/>
          <w:divBdr>
            <w:top w:val="none" w:sz="0" w:space="0" w:color="auto"/>
            <w:left w:val="none" w:sz="0" w:space="0" w:color="auto"/>
            <w:bottom w:val="none" w:sz="0" w:space="0" w:color="auto"/>
            <w:right w:val="none" w:sz="0" w:space="0" w:color="auto"/>
          </w:divBdr>
        </w:div>
        <w:div w:id="1244295491">
          <w:marLeft w:val="480"/>
          <w:marRight w:val="0"/>
          <w:marTop w:val="0"/>
          <w:marBottom w:val="0"/>
          <w:divBdr>
            <w:top w:val="none" w:sz="0" w:space="0" w:color="auto"/>
            <w:left w:val="none" w:sz="0" w:space="0" w:color="auto"/>
            <w:bottom w:val="none" w:sz="0" w:space="0" w:color="auto"/>
            <w:right w:val="none" w:sz="0" w:space="0" w:color="auto"/>
          </w:divBdr>
        </w:div>
        <w:div w:id="968898779">
          <w:marLeft w:val="480"/>
          <w:marRight w:val="0"/>
          <w:marTop w:val="0"/>
          <w:marBottom w:val="0"/>
          <w:divBdr>
            <w:top w:val="none" w:sz="0" w:space="0" w:color="auto"/>
            <w:left w:val="none" w:sz="0" w:space="0" w:color="auto"/>
            <w:bottom w:val="none" w:sz="0" w:space="0" w:color="auto"/>
            <w:right w:val="none" w:sz="0" w:space="0" w:color="auto"/>
          </w:divBdr>
        </w:div>
        <w:div w:id="799423438">
          <w:marLeft w:val="480"/>
          <w:marRight w:val="0"/>
          <w:marTop w:val="0"/>
          <w:marBottom w:val="0"/>
          <w:divBdr>
            <w:top w:val="none" w:sz="0" w:space="0" w:color="auto"/>
            <w:left w:val="none" w:sz="0" w:space="0" w:color="auto"/>
            <w:bottom w:val="none" w:sz="0" w:space="0" w:color="auto"/>
            <w:right w:val="none" w:sz="0" w:space="0" w:color="auto"/>
          </w:divBdr>
        </w:div>
        <w:div w:id="808396489">
          <w:marLeft w:val="480"/>
          <w:marRight w:val="0"/>
          <w:marTop w:val="0"/>
          <w:marBottom w:val="0"/>
          <w:divBdr>
            <w:top w:val="none" w:sz="0" w:space="0" w:color="auto"/>
            <w:left w:val="none" w:sz="0" w:space="0" w:color="auto"/>
            <w:bottom w:val="none" w:sz="0" w:space="0" w:color="auto"/>
            <w:right w:val="none" w:sz="0" w:space="0" w:color="auto"/>
          </w:divBdr>
        </w:div>
        <w:div w:id="499780286">
          <w:marLeft w:val="480"/>
          <w:marRight w:val="0"/>
          <w:marTop w:val="0"/>
          <w:marBottom w:val="0"/>
          <w:divBdr>
            <w:top w:val="none" w:sz="0" w:space="0" w:color="auto"/>
            <w:left w:val="none" w:sz="0" w:space="0" w:color="auto"/>
            <w:bottom w:val="none" w:sz="0" w:space="0" w:color="auto"/>
            <w:right w:val="none" w:sz="0" w:space="0" w:color="auto"/>
          </w:divBdr>
        </w:div>
        <w:div w:id="514731392">
          <w:marLeft w:val="480"/>
          <w:marRight w:val="0"/>
          <w:marTop w:val="0"/>
          <w:marBottom w:val="0"/>
          <w:divBdr>
            <w:top w:val="none" w:sz="0" w:space="0" w:color="auto"/>
            <w:left w:val="none" w:sz="0" w:space="0" w:color="auto"/>
            <w:bottom w:val="none" w:sz="0" w:space="0" w:color="auto"/>
            <w:right w:val="none" w:sz="0" w:space="0" w:color="auto"/>
          </w:divBdr>
        </w:div>
        <w:div w:id="1419137608">
          <w:marLeft w:val="480"/>
          <w:marRight w:val="0"/>
          <w:marTop w:val="0"/>
          <w:marBottom w:val="0"/>
          <w:divBdr>
            <w:top w:val="none" w:sz="0" w:space="0" w:color="auto"/>
            <w:left w:val="none" w:sz="0" w:space="0" w:color="auto"/>
            <w:bottom w:val="none" w:sz="0" w:space="0" w:color="auto"/>
            <w:right w:val="none" w:sz="0" w:space="0" w:color="auto"/>
          </w:divBdr>
        </w:div>
        <w:div w:id="1932348505">
          <w:marLeft w:val="480"/>
          <w:marRight w:val="0"/>
          <w:marTop w:val="0"/>
          <w:marBottom w:val="0"/>
          <w:divBdr>
            <w:top w:val="none" w:sz="0" w:space="0" w:color="auto"/>
            <w:left w:val="none" w:sz="0" w:space="0" w:color="auto"/>
            <w:bottom w:val="none" w:sz="0" w:space="0" w:color="auto"/>
            <w:right w:val="none" w:sz="0" w:space="0" w:color="auto"/>
          </w:divBdr>
        </w:div>
        <w:div w:id="940725913">
          <w:marLeft w:val="480"/>
          <w:marRight w:val="0"/>
          <w:marTop w:val="0"/>
          <w:marBottom w:val="0"/>
          <w:divBdr>
            <w:top w:val="none" w:sz="0" w:space="0" w:color="auto"/>
            <w:left w:val="none" w:sz="0" w:space="0" w:color="auto"/>
            <w:bottom w:val="none" w:sz="0" w:space="0" w:color="auto"/>
            <w:right w:val="none" w:sz="0" w:space="0" w:color="auto"/>
          </w:divBdr>
        </w:div>
        <w:div w:id="1373115241">
          <w:marLeft w:val="480"/>
          <w:marRight w:val="0"/>
          <w:marTop w:val="0"/>
          <w:marBottom w:val="0"/>
          <w:divBdr>
            <w:top w:val="none" w:sz="0" w:space="0" w:color="auto"/>
            <w:left w:val="none" w:sz="0" w:space="0" w:color="auto"/>
            <w:bottom w:val="none" w:sz="0" w:space="0" w:color="auto"/>
            <w:right w:val="none" w:sz="0" w:space="0" w:color="auto"/>
          </w:divBdr>
        </w:div>
        <w:div w:id="1617516636">
          <w:marLeft w:val="480"/>
          <w:marRight w:val="0"/>
          <w:marTop w:val="0"/>
          <w:marBottom w:val="0"/>
          <w:divBdr>
            <w:top w:val="none" w:sz="0" w:space="0" w:color="auto"/>
            <w:left w:val="none" w:sz="0" w:space="0" w:color="auto"/>
            <w:bottom w:val="none" w:sz="0" w:space="0" w:color="auto"/>
            <w:right w:val="none" w:sz="0" w:space="0" w:color="auto"/>
          </w:divBdr>
        </w:div>
        <w:div w:id="113259367">
          <w:marLeft w:val="480"/>
          <w:marRight w:val="0"/>
          <w:marTop w:val="0"/>
          <w:marBottom w:val="0"/>
          <w:divBdr>
            <w:top w:val="none" w:sz="0" w:space="0" w:color="auto"/>
            <w:left w:val="none" w:sz="0" w:space="0" w:color="auto"/>
            <w:bottom w:val="none" w:sz="0" w:space="0" w:color="auto"/>
            <w:right w:val="none" w:sz="0" w:space="0" w:color="auto"/>
          </w:divBdr>
        </w:div>
        <w:div w:id="1976064750">
          <w:marLeft w:val="480"/>
          <w:marRight w:val="0"/>
          <w:marTop w:val="0"/>
          <w:marBottom w:val="0"/>
          <w:divBdr>
            <w:top w:val="none" w:sz="0" w:space="0" w:color="auto"/>
            <w:left w:val="none" w:sz="0" w:space="0" w:color="auto"/>
            <w:bottom w:val="none" w:sz="0" w:space="0" w:color="auto"/>
            <w:right w:val="none" w:sz="0" w:space="0" w:color="auto"/>
          </w:divBdr>
        </w:div>
        <w:div w:id="1586300122">
          <w:marLeft w:val="480"/>
          <w:marRight w:val="0"/>
          <w:marTop w:val="0"/>
          <w:marBottom w:val="0"/>
          <w:divBdr>
            <w:top w:val="none" w:sz="0" w:space="0" w:color="auto"/>
            <w:left w:val="none" w:sz="0" w:space="0" w:color="auto"/>
            <w:bottom w:val="none" w:sz="0" w:space="0" w:color="auto"/>
            <w:right w:val="none" w:sz="0" w:space="0" w:color="auto"/>
          </w:divBdr>
        </w:div>
        <w:div w:id="800073617">
          <w:marLeft w:val="480"/>
          <w:marRight w:val="0"/>
          <w:marTop w:val="0"/>
          <w:marBottom w:val="0"/>
          <w:divBdr>
            <w:top w:val="none" w:sz="0" w:space="0" w:color="auto"/>
            <w:left w:val="none" w:sz="0" w:space="0" w:color="auto"/>
            <w:bottom w:val="none" w:sz="0" w:space="0" w:color="auto"/>
            <w:right w:val="none" w:sz="0" w:space="0" w:color="auto"/>
          </w:divBdr>
        </w:div>
        <w:div w:id="1223905095">
          <w:marLeft w:val="480"/>
          <w:marRight w:val="0"/>
          <w:marTop w:val="0"/>
          <w:marBottom w:val="0"/>
          <w:divBdr>
            <w:top w:val="none" w:sz="0" w:space="0" w:color="auto"/>
            <w:left w:val="none" w:sz="0" w:space="0" w:color="auto"/>
            <w:bottom w:val="none" w:sz="0" w:space="0" w:color="auto"/>
            <w:right w:val="none" w:sz="0" w:space="0" w:color="auto"/>
          </w:divBdr>
        </w:div>
        <w:div w:id="988362771">
          <w:marLeft w:val="480"/>
          <w:marRight w:val="0"/>
          <w:marTop w:val="0"/>
          <w:marBottom w:val="0"/>
          <w:divBdr>
            <w:top w:val="none" w:sz="0" w:space="0" w:color="auto"/>
            <w:left w:val="none" w:sz="0" w:space="0" w:color="auto"/>
            <w:bottom w:val="none" w:sz="0" w:space="0" w:color="auto"/>
            <w:right w:val="none" w:sz="0" w:space="0" w:color="auto"/>
          </w:divBdr>
        </w:div>
        <w:div w:id="1543862747">
          <w:marLeft w:val="480"/>
          <w:marRight w:val="0"/>
          <w:marTop w:val="0"/>
          <w:marBottom w:val="0"/>
          <w:divBdr>
            <w:top w:val="none" w:sz="0" w:space="0" w:color="auto"/>
            <w:left w:val="none" w:sz="0" w:space="0" w:color="auto"/>
            <w:bottom w:val="none" w:sz="0" w:space="0" w:color="auto"/>
            <w:right w:val="none" w:sz="0" w:space="0" w:color="auto"/>
          </w:divBdr>
        </w:div>
      </w:divsChild>
    </w:div>
    <w:div w:id="1079013573">
      <w:bodyDiv w:val="1"/>
      <w:marLeft w:val="0"/>
      <w:marRight w:val="0"/>
      <w:marTop w:val="0"/>
      <w:marBottom w:val="0"/>
      <w:divBdr>
        <w:top w:val="none" w:sz="0" w:space="0" w:color="auto"/>
        <w:left w:val="none" w:sz="0" w:space="0" w:color="auto"/>
        <w:bottom w:val="none" w:sz="0" w:space="0" w:color="auto"/>
        <w:right w:val="none" w:sz="0" w:space="0" w:color="auto"/>
      </w:divBdr>
    </w:div>
    <w:div w:id="1079521489">
      <w:bodyDiv w:val="1"/>
      <w:marLeft w:val="0"/>
      <w:marRight w:val="0"/>
      <w:marTop w:val="0"/>
      <w:marBottom w:val="0"/>
      <w:divBdr>
        <w:top w:val="none" w:sz="0" w:space="0" w:color="auto"/>
        <w:left w:val="none" w:sz="0" w:space="0" w:color="auto"/>
        <w:bottom w:val="none" w:sz="0" w:space="0" w:color="auto"/>
        <w:right w:val="none" w:sz="0" w:space="0" w:color="auto"/>
      </w:divBdr>
    </w:div>
    <w:div w:id="1079863485">
      <w:bodyDiv w:val="1"/>
      <w:marLeft w:val="0"/>
      <w:marRight w:val="0"/>
      <w:marTop w:val="0"/>
      <w:marBottom w:val="0"/>
      <w:divBdr>
        <w:top w:val="none" w:sz="0" w:space="0" w:color="auto"/>
        <w:left w:val="none" w:sz="0" w:space="0" w:color="auto"/>
        <w:bottom w:val="none" w:sz="0" w:space="0" w:color="auto"/>
        <w:right w:val="none" w:sz="0" w:space="0" w:color="auto"/>
      </w:divBdr>
    </w:div>
    <w:div w:id="1081175142">
      <w:bodyDiv w:val="1"/>
      <w:marLeft w:val="0"/>
      <w:marRight w:val="0"/>
      <w:marTop w:val="0"/>
      <w:marBottom w:val="0"/>
      <w:divBdr>
        <w:top w:val="none" w:sz="0" w:space="0" w:color="auto"/>
        <w:left w:val="none" w:sz="0" w:space="0" w:color="auto"/>
        <w:bottom w:val="none" w:sz="0" w:space="0" w:color="auto"/>
        <w:right w:val="none" w:sz="0" w:space="0" w:color="auto"/>
      </w:divBdr>
    </w:div>
    <w:div w:id="1081609724">
      <w:bodyDiv w:val="1"/>
      <w:marLeft w:val="0"/>
      <w:marRight w:val="0"/>
      <w:marTop w:val="0"/>
      <w:marBottom w:val="0"/>
      <w:divBdr>
        <w:top w:val="none" w:sz="0" w:space="0" w:color="auto"/>
        <w:left w:val="none" w:sz="0" w:space="0" w:color="auto"/>
        <w:bottom w:val="none" w:sz="0" w:space="0" w:color="auto"/>
        <w:right w:val="none" w:sz="0" w:space="0" w:color="auto"/>
      </w:divBdr>
    </w:div>
    <w:div w:id="1083181684">
      <w:bodyDiv w:val="1"/>
      <w:marLeft w:val="0"/>
      <w:marRight w:val="0"/>
      <w:marTop w:val="0"/>
      <w:marBottom w:val="0"/>
      <w:divBdr>
        <w:top w:val="none" w:sz="0" w:space="0" w:color="auto"/>
        <w:left w:val="none" w:sz="0" w:space="0" w:color="auto"/>
        <w:bottom w:val="none" w:sz="0" w:space="0" w:color="auto"/>
        <w:right w:val="none" w:sz="0" w:space="0" w:color="auto"/>
      </w:divBdr>
    </w:div>
    <w:div w:id="1083648808">
      <w:bodyDiv w:val="1"/>
      <w:marLeft w:val="0"/>
      <w:marRight w:val="0"/>
      <w:marTop w:val="0"/>
      <w:marBottom w:val="0"/>
      <w:divBdr>
        <w:top w:val="none" w:sz="0" w:space="0" w:color="auto"/>
        <w:left w:val="none" w:sz="0" w:space="0" w:color="auto"/>
        <w:bottom w:val="none" w:sz="0" w:space="0" w:color="auto"/>
        <w:right w:val="none" w:sz="0" w:space="0" w:color="auto"/>
      </w:divBdr>
    </w:div>
    <w:div w:id="1083721271">
      <w:bodyDiv w:val="1"/>
      <w:marLeft w:val="0"/>
      <w:marRight w:val="0"/>
      <w:marTop w:val="0"/>
      <w:marBottom w:val="0"/>
      <w:divBdr>
        <w:top w:val="none" w:sz="0" w:space="0" w:color="auto"/>
        <w:left w:val="none" w:sz="0" w:space="0" w:color="auto"/>
        <w:bottom w:val="none" w:sz="0" w:space="0" w:color="auto"/>
        <w:right w:val="none" w:sz="0" w:space="0" w:color="auto"/>
      </w:divBdr>
      <w:divsChild>
        <w:div w:id="1112743586">
          <w:marLeft w:val="480"/>
          <w:marRight w:val="0"/>
          <w:marTop w:val="0"/>
          <w:marBottom w:val="0"/>
          <w:divBdr>
            <w:top w:val="none" w:sz="0" w:space="0" w:color="auto"/>
            <w:left w:val="none" w:sz="0" w:space="0" w:color="auto"/>
            <w:bottom w:val="none" w:sz="0" w:space="0" w:color="auto"/>
            <w:right w:val="none" w:sz="0" w:space="0" w:color="auto"/>
          </w:divBdr>
        </w:div>
        <w:div w:id="72627067">
          <w:marLeft w:val="480"/>
          <w:marRight w:val="0"/>
          <w:marTop w:val="0"/>
          <w:marBottom w:val="0"/>
          <w:divBdr>
            <w:top w:val="none" w:sz="0" w:space="0" w:color="auto"/>
            <w:left w:val="none" w:sz="0" w:space="0" w:color="auto"/>
            <w:bottom w:val="none" w:sz="0" w:space="0" w:color="auto"/>
            <w:right w:val="none" w:sz="0" w:space="0" w:color="auto"/>
          </w:divBdr>
        </w:div>
        <w:div w:id="862595382">
          <w:marLeft w:val="480"/>
          <w:marRight w:val="0"/>
          <w:marTop w:val="0"/>
          <w:marBottom w:val="0"/>
          <w:divBdr>
            <w:top w:val="none" w:sz="0" w:space="0" w:color="auto"/>
            <w:left w:val="none" w:sz="0" w:space="0" w:color="auto"/>
            <w:bottom w:val="none" w:sz="0" w:space="0" w:color="auto"/>
            <w:right w:val="none" w:sz="0" w:space="0" w:color="auto"/>
          </w:divBdr>
        </w:div>
        <w:div w:id="848250928">
          <w:marLeft w:val="480"/>
          <w:marRight w:val="0"/>
          <w:marTop w:val="0"/>
          <w:marBottom w:val="0"/>
          <w:divBdr>
            <w:top w:val="none" w:sz="0" w:space="0" w:color="auto"/>
            <w:left w:val="none" w:sz="0" w:space="0" w:color="auto"/>
            <w:bottom w:val="none" w:sz="0" w:space="0" w:color="auto"/>
            <w:right w:val="none" w:sz="0" w:space="0" w:color="auto"/>
          </w:divBdr>
        </w:div>
        <w:div w:id="109400636">
          <w:marLeft w:val="480"/>
          <w:marRight w:val="0"/>
          <w:marTop w:val="0"/>
          <w:marBottom w:val="0"/>
          <w:divBdr>
            <w:top w:val="none" w:sz="0" w:space="0" w:color="auto"/>
            <w:left w:val="none" w:sz="0" w:space="0" w:color="auto"/>
            <w:bottom w:val="none" w:sz="0" w:space="0" w:color="auto"/>
            <w:right w:val="none" w:sz="0" w:space="0" w:color="auto"/>
          </w:divBdr>
        </w:div>
        <w:div w:id="2117367234">
          <w:marLeft w:val="480"/>
          <w:marRight w:val="0"/>
          <w:marTop w:val="0"/>
          <w:marBottom w:val="0"/>
          <w:divBdr>
            <w:top w:val="none" w:sz="0" w:space="0" w:color="auto"/>
            <w:left w:val="none" w:sz="0" w:space="0" w:color="auto"/>
            <w:bottom w:val="none" w:sz="0" w:space="0" w:color="auto"/>
            <w:right w:val="none" w:sz="0" w:space="0" w:color="auto"/>
          </w:divBdr>
        </w:div>
        <w:div w:id="715082015">
          <w:marLeft w:val="480"/>
          <w:marRight w:val="0"/>
          <w:marTop w:val="0"/>
          <w:marBottom w:val="0"/>
          <w:divBdr>
            <w:top w:val="none" w:sz="0" w:space="0" w:color="auto"/>
            <w:left w:val="none" w:sz="0" w:space="0" w:color="auto"/>
            <w:bottom w:val="none" w:sz="0" w:space="0" w:color="auto"/>
            <w:right w:val="none" w:sz="0" w:space="0" w:color="auto"/>
          </w:divBdr>
        </w:div>
        <w:div w:id="1882015815">
          <w:marLeft w:val="480"/>
          <w:marRight w:val="0"/>
          <w:marTop w:val="0"/>
          <w:marBottom w:val="0"/>
          <w:divBdr>
            <w:top w:val="none" w:sz="0" w:space="0" w:color="auto"/>
            <w:left w:val="none" w:sz="0" w:space="0" w:color="auto"/>
            <w:bottom w:val="none" w:sz="0" w:space="0" w:color="auto"/>
            <w:right w:val="none" w:sz="0" w:space="0" w:color="auto"/>
          </w:divBdr>
        </w:div>
        <w:div w:id="713234545">
          <w:marLeft w:val="480"/>
          <w:marRight w:val="0"/>
          <w:marTop w:val="0"/>
          <w:marBottom w:val="0"/>
          <w:divBdr>
            <w:top w:val="none" w:sz="0" w:space="0" w:color="auto"/>
            <w:left w:val="none" w:sz="0" w:space="0" w:color="auto"/>
            <w:bottom w:val="none" w:sz="0" w:space="0" w:color="auto"/>
            <w:right w:val="none" w:sz="0" w:space="0" w:color="auto"/>
          </w:divBdr>
        </w:div>
        <w:div w:id="586814296">
          <w:marLeft w:val="480"/>
          <w:marRight w:val="0"/>
          <w:marTop w:val="0"/>
          <w:marBottom w:val="0"/>
          <w:divBdr>
            <w:top w:val="none" w:sz="0" w:space="0" w:color="auto"/>
            <w:left w:val="none" w:sz="0" w:space="0" w:color="auto"/>
            <w:bottom w:val="none" w:sz="0" w:space="0" w:color="auto"/>
            <w:right w:val="none" w:sz="0" w:space="0" w:color="auto"/>
          </w:divBdr>
        </w:div>
        <w:div w:id="1610161715">
          <w:marLeft w:val="480"/>
          <w:marRight w:val="0"/>
          <w:marTop w:val="0"/>
          <w:marBottom w:val="0"/>
          <w:divBdr>
            <w:top w:val="none" w:sz="0" w:space="0" w:color="auto"/>
            <w:left w:val="none" w:sz="0" w:space="0" w:color="auto"/>
            <w:bottom w:val="none" w:sz="0" w:space="0" w:color="auto"/>
            <w:right w:val="none" w:sz="0" w:space="0" w:color="auto"/>
          </w:divBdr>
        </w:div>
        <w:div w:id="1548713079">
          <w:marLeft w:val="480"/>
          <w:marRight w:val="0"/>
          <w:marTop w:val="0"/>
          <w:marBottom w:val="0"/>
          <w:divBdr>
            <w:top w:val="none" w:sz="0" w:space="0" w:color="auto"/>
            <w:left w:val="none" w:sz="0" w:space="0" w:color="auto"/>
            <w:bottom w:val="none" w:sz="0" w:space="0" w:color="auto"/>
            <w:right w:val="none" w:sz="0" w:space="0" w:color="auto"/>
          </w:divBdr>
        </w:div>
        <w:div w:id="344017285">
          <w:marLeft w:val="480"/>
          <w:marRight w:val="0"/>
          <w:marTop w:val="0"/>
          <w:marBottom w:val="0"/>
          <w:divBdr>
            <w:top w:val="none" w:sz="0" w:space="0" w:color="auto"/>
            <w:left w:val="none" w:sz="0" w:space="0" w:color="auto"/>
            <w:bottom w:val="none" w:sz="0" w:space="0" w:color="auto"/>
            <w:right w:val="none" w:sz="0" w:space="0" w:color="auto"/>
          </w:divBdr>
        </w:div>
        <w:div w:id="789863381">
          <w:marLeft w:val="480"/>
          <w:marRight w:val="0"/>
          <w:marTop w:val="0"/>
          <w:marBottom w:val="0"/>
          <w:divBdr>
            <w:top w:val="none" w:sz="0" w:space="0" w:color="auto"/>
            <w:left w:val="none" w:sz="0" w:space="0" w:color="auto"/>
            <w:bottom w:val="none" w:sz="0" w:space="0" w:color="auto"/>
            <w:right w:val="none" w:sz="0" w:space="0" w:color="auto"/>
          </w:divBdr>
        </w:div>
        <w:div w:id="587350232">
          <w:marLeft w:val="480"/>
          <w:marRight w:val="0"/>
          <w:marTop w:val="0"/>
          <w:marBottom w:val="0"/>
          <w:divBdr>
            <w:top w:val="none" w:sz="0" w:space="0" w:color="auto"/>
            <w:left w:val="none" w:sz="0" w:space="0" w:color="auto"/>
            <w:bottom w:val="none" w:sz="0" w:space="0" w:color="auto"/>
            <w:right w:val="none" w:sz="0" w:space="0" w:color="auto"/>
          </w:divBdr>
        </w:div>
        <w:div w:id="2049452212">
          <w:marLeft w:val="480"/>
          <w:marRight w:val="0"/>
          <w:marTop w:val="0"/>
          <w:marBottom w:val="0"/>
          <w:divBdr>
            <w:top w:val="none" w:sz="0" w:space="0" w:color="auto"/>
            <w:left w:val="none" w:sz="0" w:space="0" w:color="auto"/>
            <w:bottom w:val="none" w:sz="0" w:space="0" w:color="auto"/>
            <w:right w:val="none" w:sz="0" w:space="0" w:color="auto"/>
          </w:divBdr>
        </w:div>
        <w:div w:id="1671788836">
          <w:marLeft w:val="480"/>
          <w:marRight w:val="0"/>
          <w:marTop w:val="0"/>
          <w:marBottom w:val="0"/>
          <w:divBdr>
            <w:top w:val="none" w:sz="0" w:space="0" w:color="auto"/>
            <w:left w:val="none" w:sz="0" w:space="0" w:color="auto"/>
            <w:bottom w:val="none" w:sz="0" w:space="0" w:color="auto"/>
            <w:right w:val="none" w:sz="0" w:space="0" w:color="auto"/>
          </w:divBdr>
        </w:div>
        <w:div w:id="2047946484">
          <w:marLeft w:val="480"/>
          <w:marRight w:val="0"/>
          <w:marTop w:val="0"/>
          <w:marBottom w:val="0"/>
          <w:divBdr>
            <w:top w:val="none" w:sz="0" w:space="0" w:color="auto"/>
            <w:left w:val="none" w:sz="0" w:space="0" w:color="auto"/>
            <w:bottom w:val="none" w:sz="0" w:space="0" w:color="auto"/>
            <w:right w:val="none" w:sz="0" w:space="0" w:color="auto"/>
          </w:divBdr>
        </w:div>
        <w:div w:id="935821143">
          <w:marLeft w:val="480"/>
          <w:marRight w:val="0"/>
          <w:marTop w:val="0"/>
          <w:marBottom w:val="0"/>
          <w:divBdr>
            <w:top w:val="none" w:sz="0" w:space="0" w:color="auto"/>
            <w:left w:val="none" w:sz="0" w:space="0" w:color="auto"/>
            <w:bottom w:val="none" w:sz="0" w:space="0" w:color="auto"/>
            <w:right w:val="none" w:sz="0" w:space="0" w:color="auto"/>
          </w:divBdr>
        </w:div>
        <w:div w:id="1634094593">
          <w:marLeft w:val="480"/>
          <w:marRight w:val="0"/>
          <w:marTop w:val="0"/>
          <w:marBottom w:val="0"/>
          <w:divBdr>
            <w:top w:val="none" w:sz="0" w:space="0" w:color="auto"/>
            <w:left w:val="none" w:sz="0" w:space="0" w:color="auto"/>
            <w:bottom w:val="none" w:sz="0" w:space="0" w:color="auto"/>
            <w:right w:val="none" w:sz="0" w:space="0" w:color="auto"/>
          </w:divBdr>
        </w:div>
        <w:div w:id="1721704480">
          <w:marLeft w:val="480"/>
          <w:marRight w:val="0"/>
          <w:marTop w:val="0"/>
          <w:marBottom w:val="0"/>
          <w:divBdr>
            <w:top w:val="none" w:sz="0" w:space="0" w:color="auto"/>
            <w:left w:val="none" w:sz="0" w:space="0" w:color="auto"/>
            <w:bottom w:val="none" w:sz="0" w:space="0" w:color="auto"/>
            <w:right w:val="none" w:sz="0" w:space="0" w:color="auto"/>
          </w:divBdr>
        </w:div>
        <w:div w:id="857700110">
          <w:marLeft w:val="480"/>
          <w:marRight w:val="0"/>
          <w:marTop w:val="0"/>
          <w:marBottom w:val="0"/>
          <w:divBdr>
            <w:top w:val="none" w:sz="0" w:space="0" w:color="auto"/>
            <w:left w:val="none" w:sz="0" w:space="0" w:color="auto"/>
            <w:bottom w:val="none" w:sz="0" w:space="0" w:color="auto"/>
            <w:right w:val="none" w:sz="0" w:space="0" w:color="auto"/>
          </w:divBdr>
        </w:div>
        <w:div w:id="1988316503">
          <w:marLeft w:val="480"/>
          <w:marRight w:val="0"/>
          <w:marTop w:val="0"/>
          <w:marBottom w:val="0"/>
          <w:divBdr>
            <w:top w:val="none" w:sz="0" w:space="0" w:color="auto"/>
            <w:left w:val="none" w:sz="0" w:space="0" w:color="auto"/>
            <w:bottom w:val="none" w:sz="0" w:space="0" w:color="auto"/>
            <w:right w:val="none" w:sz="0" w:space="0" w:color="auto"/>
          </w:divBdr>
        </w:div>
        <w:div w:id="1451364183">
          <w:marLeft w:val="480"/>
          <w:marRight w:val="0"/>
          <w:marTop w:val="0"/>
          <w:marBottom w:val="0"/>
          <w:divBdr>
            <w:top w:val="none" w:sz="0" w:space="0" w:color="auto"/>
            <w:left w:val="none" w:sz="0" w:space="0" w:color="auto"/>
            <w:bottom w:val="none" w:sz="0" w:space="0" w:color="auto"/>
            <w:right w:val="none" w:sz="0" w:space="0" w:color="auto"/>
          </w:divBdr>
        </w:div>
        <w:div w:id="204830104">
          <w:marLeft w:val="480"/>
          <w:marRight w:val="0"/>
          <w:marTop w:val="0"/>
          <w:marBottom w:val="0"/>
          <w:divBdr>
            <w:top w:val="none" w:sz="0" w:space="0" w:color="auto"/>
            <w:left w:val="none" w:sz="0" w:space="0" w:color="auto"/>
            <w:bottom w:val="none" w:sz="0" w:space="0" w:color="auto"/>
            <w:right w:val="none" w:sz="0" w:space="0" w:color="auto"/>
          </w:divBdr>
        </w:div>
        <w:div w:id="560482954">
          <w:marLeft w:val="480"/>
          <w:marRight w:val="0"/>
          <w:marTop w:val="0"/>
          <w:marBottom w:val="0"/>
          <w:divBdr>
            <w:top w:val="none" w:sz="0" w:space="0" w:color="auto"/>
            <w:left w:val="none" w:sz="0" w:space="0" w:color="auto"/>
            <w:bottom w:val="none" w:sz="0" w:space="0" w:color="auto"/>
            <w:right w:val="none" w:sz="0" w:space="0" w:color="auto"/>
          </w:divBdr>
        </w:div>
        <w:div w:id="181013098">
          <w:marLeft w:val="480"/>
          <w:marRight w:val="0"/>
          <w:marTop w:val="0"/>
          <w:marBottom w:val="0"/>
          <w:divBdr>
            <w:top w:val="none" w:sz="0" w:space="0" w:color="auto"/>
            <w:left w:val="none" w:sz="0" w:space="0" w:color="auto"/>
            <w:bottom w:val="none" w:sz="0" w:space="0" w:color="auto"/>
            <w:right w:val="none" w:sz="0" w:space="0" w:color="auto"/>
          </w:divBdr>
        </w:div>
        <w:div w:id="322242194">
          <w:marLeft w:val="480"/>
          <w:marRight w:val="0"/>
          <w:marTop w:val="0"/>
          <w:marBottom w:val="0"/>
          <w:divBdr>
            <w:top w:val="none" w:sz="0" w:space="0" w:color="auto"/>
            <w:left w:val="none" w:sz="0" w:space="0" w:color="auto"/>
            <w:bottom w:val="none" w:sz="0" w:space="0" w:color="auto"/>
            <w:right w:val="none" w:sz="0" w:space="0" w:color="auto"/>
          </w:divBdr>
        </w:div>
        <w:div w:id="746658285">
          <w:marLeft w:val="480"/>
          <w:marRight w:val="0"/>
          <w:marTop w:val="0"/>
          <w:marBottom w:val="0"/>
          <w:divBdr>
            <w:top w:val="none" w:sz="0" w:space="0" w:color="auto"/>
            <w:left w:val="none" w:sz="0" w:space="0" w:color="auto"/>
            <w:bottom w:val="none" w:sz="0" w:space="0" w:color="auto"/>
            <w:right w:val="none" w:sz="0" w:space="0" w:color="auto"/>
          </w:divBdr>
        </w:div>
        <w:div w:id="204609416">
          <w:marLeft w:val="480"/>
          <w:marRight w:val="0"/>
          <w:marTop w:val="0"/>
          <w:marBottom w:val="0"/>
          <w:divBdr>
            <w:top w:val="none" w:sz="0" w:space="0" w:color="auto"/>
            <w:left w:val="none" w:sz="0" w:space="0" w:color="auto"/>
            <w:bottom w:val="none" w:sz="0" w:space="0" w:color="auto"/>
            <w:right w:val="none" w:sz="0" w:space="0" w:color="auto"/>
          </w:divBdr>
        </w:div>
        <w:div w:id="1889029120">
          <w:marLeft w:val="480"/>
          <w:marRight w:val="0"/>
          <w:marTop w:val="0"/>
          <w:marBottom w:val="0"/>
          <w:divBdr>
            <w:top w:val="none" w:sz="0" w:space="0" w:color="auto"/>
            <w:left w:val="none" w:sz="0" w:space="0" w:color="auto"/>
            <w:bottom w:val="none" w:sz="0" w:space="0" w:color="auto"/>
            <w:right w:val="none" w:sz="0" w:space="0" w:color="auto"/>
          </w:divBdr>
        </w:div>
        <w:div w:id="1269310205">
          <w:marLeft w:val="480"/>
          <w:marRight w:val="0"/>
          <w:marTop w:val="0"/>
          <w:marBottom w:val="0"/>
          <w:divBdr>
            <w:top w:val="none" w:sz="0" w:space="0" w:color="auto"/>
            <w:left w:val="none" w:sz="0" w:space="0" w:color="auto"/>
            <w:bottom w:val="none" w:sz="0" w:space="0" w:color="auto"/>
            <w:right w:val="none" w:sz="0" w:space="0" w:color="auto"/>
          </w:divBdr>
        </w:div>
        <w:div w:id="1367294258">
          <w:marLeft w:val="480"/>
          <w:marRight w:val="0"/>
          <w:marTop w:val="0"/>
          <w:marBottom w:val="0"/>
          <w:divBdr>
            <w:top w:val="none" w:sz="0" w:space="0" w:color="auto"/>
            <w:left w:val="none" w:sz="0" w:space="0" w:color="auto"/>
            <w:bottom w:val="none" w:sz="0" w:space="0" w:color="auto"/>
            <w:right w:val="none" w:sz="0" w:space="0" w:color="auto"/>
          </w:divBdr>
        </w:div>
        <w:div w:id="1874728761">
          <w:marLeft w:val="480"/>
          <w:marRight w:val="0"/>
          <w:marTop w:val="0"/>
          <w:marBottom w:val="0"/>
          <w:divBdr>
            <w:top w:val="none" w:sz="0" w:space="0" w:color="auto"/>
            <w:left w:val="none" w:sz="0" w:space="0" w:color="auto"/>
            <w:bottom w:val="none" w:sz="0" w:space="0" w:color="auto"/>
            <w:right w:val="none" w:sz="0" w:space="0" w:color="auto"/>
          </w:divBdr>
        </w:div>
        <w:div w:id="755783999">
          <w:marLeft w:val="480"/>
          <w:marRight w:val="0"/>
          <w:marTop w:val="0"/>
          <w:marBottom w:val="0"/>
          <w:divBdr>
            <w:top w:val="none" w:sz="0" w:space="0" w:color="auto"/>
            <w:left w:val="none" w:sz="0" w:space="0" w:color="auto"/>
            <w:bottom w:val="none" w:sz="0" w:space="0" w:color="auto"/>
            <w:right w:val="none" w:sz="0" w:space="0" w:color="auto"/>
          </w:divBdr>
        </w:div>
        <w:div w:id="1424573251">
          <w:marLeft w:val="480"/>
          <w:marRight w:val="0"/>
          <w:marTop w:val="0"/>
          <w:marBottom w:val="0"/>
          <w:divBdr>
            <w:top w:val="none" w:sz="0" w:space="0" w:color="auto"/>
            <w:left w:val="none" w:sz="0" w:space="0" w:color="auto"/>
            <w:bottom w:val="none" w:sz="0" w:space="0" w:color="auto"/>
            <w:right w:val="none" w:sz="0" w:space="0" w:color="auto"/>
          </w:divBdr>
        </w:div>
        <w:div w:id="1580598891">
          <w:marLeft w:val="480"/>
          <w:marRight w:val="0"/>
          <w:marTop w:val="0"/>
          <w:marBottom w:val="0"/>
          <w:divBdr>
            <w:top w:val="none" w:sz="0" w:space="0" w:color="auto"/>
            <w:left w:val="none" w:sz="0" w:space="0" w:color="auto"/>
            <w:bottom w:val="none" w:sz="0" w:space="0" w:color="auto"/>
            <w:right w:val="none" w:sz="0" w:space="0" w:color="auto"/>
          </w:divBdr>
        </w:div>
        <w:div w:id="1216117719">
          <w:marLeft w:val="480"/>
          <w:marRight w:val="0"/>
          <w:marTop w:val="0"/>
          <w:marBottom w:val="0"/>
          <w:divBdr>
            <w:top w:val="none" w:sz="0" w:space="0" w:color="auto"/>
            <w:left w:val="none" w:sz="0" w:space="0" w:color="auto"/>
            <w:bottom w:val="none" w:sz="0" w:space="0" w:color="auto"/>
            <w:right w:val="none" w:sz="0" w:space="0" w:color="auto"/>
          </w:divBdr>
        </w:div>
        <w:div w:id="1216282875">
          <w:marLeft w:val="480"/>
          <w:marRight w:val="0"/>
          <w:marTop w:val="0"/>
          <w:marBottom w:val="0"/>
          <w:divBdr>
            <w:top w:val="none" w:sz="0" w:space="0" w:color="auto"/>
            <w:left w:val="none" w:sz="0" w:space="0" w:color="auto"/>
            <w:bottom w:val="none" w:sz="0" w:space="0" w:color="auto"/>
            <w:right w:val="none" w:sz="0" w:space="0" w:color="auto"/>
          </w:divBdr>
        </w:div>
        <w:div w:id="1636835628">
          <w:marLeft w:val="480"/>
          <w:marRight w:val="0"/>
          <w:marTop w:val="0"/>
          <w:marBottom w:val="0"/>
          <w:divBdr>
            <w:top w:val="none" w:sz="0" w:space="0" w:color="auto"/>
            <w:left w:val="none" w:sz="0" w:space="0" w:color="auto"/>
            <w:bottom w:val="none" w:sz="0" w:space="0" w:color="auto"/>
            <w:right w:val="none" w:sz="0" w:space="0" w:color="auto"/>
          </w:divBdr>
        </w:div>
        <w:div w:id="1285038584">
          <w:marLeft w:val="480"/>
          <w:marRight w:val="0"/>
          <w:marTop w:val="0"/>
          <w:marBottom w:val="0"/>
          <w:divBdr>
            <w:top w:val="none" w:sz="0" w:space="0" w:color="auto"/>
            <w:left w:val="none" w:sz="0" w:space="0" w:color="auto"/>
            <w:bottom w:val="none" w:sz="0" w:space="0" w:color="auto"/>
            <w:right w:val="none" w:sz="0" w:space="0" w:color="auto"/>
          </w:divBdr>
        </w:div>
        <w:div w:id="932787998">
          <w:marLeft w:val="480"/>
          <w:marRight w:val="0"/>
          <w:marTop w:val="0"/>
          <w:marBottom w:val="0"/>
          <w:divBdr>
            <w:top w:val="none" w:sz="0" w:space="0" w:color="auto"/>
            <w:left w:val="none" w:sz="0" w:space="0" w:color="auto"/>
            <w:bottom w:val="none" w:sz="0" w:space="0" w:color="auto"/>
            <w:right w:val="none" w:sz="0" w:space="0" w:color="auto"/>
          </w:divBdr>
        </w:div>
        <w:div w:id="587076778">
          <w:marLeft w:val="480"/>
          <w:marRight w:val="0"/>
          <w:marTop w:val="0"/>
          <w:marBottom w:val="0"/>
          <w:divBdr>
            <w:top w:val="none" w:sz="0" w:space="0" w:color="auto"/>
            <w:left w:val="none" w:sz="0" w:space="0" w:color="auto"/>
            <w:bottom w:val="none" w:sz="0" w:space="0" w:color="auto"/>
            <w:right w:val="none" w:sz="0" w:space="0" w:color="auto"/>
          </w:divBdr>
        </w:div>
        <w:div w:id="1873378340">
          <w:marLeft w:val="480"/>
          <w:marRight w:val="0"/>
          <w:marTop w:val="0"/>
          <w:marBottom w:val="0"/>
          <w:divBdr>
            <w:top w:val="none" w:sz="0" w:space="0" w:color="auto"/>
            <w:left w:val="none" w:sz="0" w:space="0" w:color="auto"/>
            <w:bottom w:val="none" w:sz="0" w:space="0" w:color="auto"/>
            <w:right w:val="none" w:sz="0" w:space="0" w:color="auto"/>
          </w:divBdr>
        </w:div>
        <w:div w:id="1148326189">
          <w:marLeft w:val="480"/>
          <w:marRight w:val="0"/>
          <w:marTop w:val="0"/>
          <w:marBottom w:val="0"/>
          <w:divBdr>
            <w:top w:val="none" w:sz="0" w:space="0" w:color="auto"/>
            <w:left w:val="none" w:sz="0" w:space="0" w:color="auto"/>
            <w:bottom w:val="none" w:sz="0" w:space="0" w:color="auto"/>
            <w:right w:val="none" w:sz="0" w:space="0" w:color="auto"/>
          </w:divBdr>
        </w:div>
        <w:div w:id="1684235539">
          <w:marLeft w:val="480"/>
          <w:marRight w:val="0"/>
          <w:marTop w:val="0"/>
          <w:marBottom w:val="0"/>
          <w:divBdr>
            <w:top w:val="none" w:sz="0" w:space="0" w:color="auto"/>
            <w:left w:val="none" w:sz="0" w:space="0" w:color="auto"/>
            <w:bottom w:val="none" w:sz="0" w:space="0" w:color="auto"/>
            <w:right w:val="none" w:sz="0" w:space="0" w:color="auto"/>
          </w:divBdr>
        </w:div>
        <w:div w:id="2075928039">
          <w:marLeft w:val="480"/>
          <w:marRight w:val="0"/>
          <w:marTop w:val="0"/>
          <w:marBottom w:val="0"/>
          <w:divBdr>
            <w:top w:val="none" w:sz="0" w:space="0" w:color="auto"/>
            <w:left w:val="none" w:sz="0" w:space="0" w:color="auto"/>
            <w:bottom w:val="none" w:sz="0" w:space="0" w:color="auto"/>
            <w:right w:val="none" w:sz="0" w:space="0" w:color="auto"/>
          </w:divBdr>
        </w:div>
        <w:div w:id="1644235219">
          <w:marLeft w:val="480"/>
          <w:marRight w:val="0"/>
          <w:marTop w:val="0"/>
          <w:marBottom w:val="0"/>
          <w:divBdr>
            <w:top w:val="none" w:sz="0" w:space="0" w:color="auto"/>
            <w:left w:val="none" w:sz="0" w:space="0" w:color="auto"/>
            <w:bottom w:val="none" w:sz="0" w:space="0" w:color="auto"/>
            <w:right w:val="none" w:sz="0" w:space="0" w:color="auto"/>
          </w:divBdr>
        </w:div>
        <w:div w:id="1030644909">
          <w:marLeft w:val="480"/>
          <w:marRight w:val="0"/>
          <w:marTop w:val="0"/>
          <w:marBottom w:val="0"/>
          <w:divBdr>
            <w:top w:val="none" w:sz="0" w:space="0" w:color="auto"/>
            <w:left w:val="none" w:sz="0" w:space="0" w:color="auto"/>
            <w:bottom w:val="none" w:sz="0" w:space="0" w:color="auto"/>
            <w:right w:val="none" w:sz="0" w:space="0" w:color="auto"/>
          </w:divBdr>
        </w:div>
        <w:div w:id="1915436614">
          <w:marLeft w:val="480"/>
          <w:marRight w:val="0"/>
          <w:marTop w:val="0"/>
          <w:marBottom w:val="0"/>
          <w:divBdr>
            <w:top w:val="none" w:sz="0" w:space="0" w:color="auto"/>
            <w:left w:val="none" w:sz="0" w:space="0" w:color="auto"/>
            <w:bottom w:val="none" w:sz="0" w:space="0" w:color="auto"/>
            <w:right w:val="none" w:sz="0" w:space="0" w:color="auto"/>
          </w:divBdr>
        </w:div>
        <w:div w:id="225921635">
          <w:marLeft w:val="480"/>
          <w:marRight w:val="0"/>
          <w:marTop w:val="0"/>
          <w:marBottom w:val="0"/>
          <w:divBdr>
            <w:top w:val="none" w:sz="0" w:space="0" w:color="auto"/>
            <w:left w:val="none" w:sz="0" w:space="0" w:color="auto"/>
            <w:bottom w:val="none" w:sz="0" w:space="0" w:color="auto"/>
            <w:right w:val="none" w:sz="0" w:space="0" w:color="auto"/>
          </w:divBdr>
        </w:div>
        <w:div w:id="398747818">
          <w:marLeft w:val="480"/>
          <w:marRight w:val="0"/>
          <w:marTop w:val="0"/>
          <w:marBottom w:val="0"/>
          <w:divBdr>
            <w:top w:val="none" w:sz="0" w:space="0" w:color="auto"/>
            <w:left w:val="none" w:sz="0" w:space="0" w:color="auto"/>
            <w:bottom w:val="none" w:sz="0" w:space="0" w:color="auto"/>
            <w:right w:val="none" w:sz="0" w:space="0" w:color="auto"/>
          </w:divBdr>
        </w:div>
        <w:div w:id="991057301">
          <w:marLeft w:val="480"/>
          <w:marRight w:val="0"/>
          <w:marTop w:val="0"/>
          <w:marBottom w:val="0"/>
          <w:divBdr>
            <w:top w:val="none" w:sz="0" w:space="0" w:color="auto"/>
            <w:left w:val="none" w:sz="0" w:space="0" w:color="auto"/>
            <w:bottom w:val="none" w:sz="0" w:space="0" w:color="auto"/>
            <w:right w:val="none" w:sz="0" w:space="0" w:color="auto"/>
          </w:divBdr>
        </w:div>
        <w:div w:id="1161192908">
          <w:marLeft w:val="480"/>
          <w:marRight w:val="0"/>
          <w:marTop w:val="0"/>
          <w:marBottom w:val="0"/>
          <w:divBdr>
            <w:top w:val="none" w:sz="0" w:space="0" w:color="auto"/>
            <w:left w:val="none" w:sz="0" w:space="0" w:color="auto"/>
            <w:bottom w:val="none" w:sz="0" w:space="0" w:color="auto"/>
            <w:right w:val="none" w:sz="0" w:space="0" w:color="auto"/>
          </w:divBdr>
        </w:div>
        <w:div w:id="458956700">
          <w:marLeft w:val="480"/>
          <w:marRight w:val="0"/>
          <w:marTop w:val="0"/>
          <w:marBottom w:val="0"/>
          <w:divBdr>
            <w:top w:val="none" w:sz="0" w:space="0" w:color="auto"/>
            <w:left w:val="none" w:sz="0" w:space="0" w:color="auto"/>
            <w:bottom w:val="none" w:sz="0" w:space="0" w:color="auto"/>
            <w:right w:val="none" w:sz="0" w:space="0" w:color="auto"/>
          </w:divBdr>
        </w:div>
        <w:div w:id="1367755412">
          <w:marLeft w:val="480"/>
          <w:marRight w:val="0"/>
          <w:marTop w:val="0"/>
          <w:marBottom w:val="0"/>
          <w:divBdr>
            <w:top w:val="none" w:sz="0" w:space="0" w:color="auto"/>
            <w:left w:val="none" w:sz="0" w:space="0" w:color="auto"/>
            <w:bottom w:val="none" w:sz="0" w:space="0" w:color="auto"/>
            <w:right w:val="none" w:sz="0" w:space="0" w:color="auto"/>
          </w:divBdr>
        </w:div>
        <w:div w:id="677737883">
          <w:marLeft w:val="480"/>
          <w:marRight w:val="0"/>
          <w:marTop w:val="0"/>
          <w:marBottom w:val="0"/>
          <w:divBdr>
            <w:top w:val="none" w:sz="0" w:space="0" w:color="auto"/>
            <w:left w:val="none" w:sz="0" w:space="0" w:color="auto"/>
            <w:bottom w:val="none" w:sz="0" w:space="0" w:color="auto"/>
            <w:right w:val="none" w:sz="0" w:space="0" w:color="auto"/>
          </w:divBdr>
        </w:div>
        <w:div w:id="1254893553">
          <w:marLeft w:val="480"/>
          <w:marRight w:val="0"/>
          <w:marTop w:val="0"/>
          <w:marBottom w:val="0"/>
          <w:divBdr>
            <w:top w:val="none" w:sz="0" w:space="0" w:color="auto"/>
            <w:left w:val="none" w:sz="0" w:space="0" w:color="auto"/>
            <w:bottom w:val="none" w:sz="0" w:space="0" w:color="auto"/>
            <w:right w:val="none" w:sz="0" w:space="0" w:color="auto"/>
          </w:divBdr>
        </w:div>
        <w:div w:id="1336762455">
          <w:marLeft w:val="480"/>
          <w:marRight w:val="0"/>
          <w:marTop w:val="0"/>
          <w:marBottom w:val="0"/>
          <w:divBdr>
            <w:top w:val="none" w:sz="0" w:space="0" w:color="auto"/>
            <w:left w:val="none" w:sz="0" w:space="0" w:color="auto"/>
            <w:bottom w:val="none" w:sz="0" w:space="0" w:color="auto"/>
            <w:right w:val="none" w:sz="0" w:space="0" w:color="auto"/>
          </w:divBdr>
        </w:div>
        <w:div w:id="1812139295">
          <w:marLeft w:val="480"/>
          <w:marRight w:val="0"/>
          <w:marTop w:val="0"/>
          <w:marBottom w:val="0"/>
          <w:divBdr>
            <w:top w:val="none" w:sz="0" w:space="0" w:color="auto"/>
            <w:left w:val="none" w:sz="0" w:space="0" w:color="auto"/>
            <w:bottom w:val="none" w:sz="0" w:space="0" w:color="auto"/>
            <w:right w:val="none" w:sz="0" w:space="0" w:color="auto"/>
          </w:divBdr>
        </w:div>
        <w:div w:id="138235298">
          <w:marLeft w:val="480"/>
          <w:marRight w:val="0"/>
          <w:marTop w:val="0"/>
          <w:marBottom w:val="0"/>
          <w:divBdr>
            <w:top w:val="none" w:sz="0" w:space="0" w:color="auto"/>
            <w:left w:val="none" w:sz="0" w:space="0" w:color="auto"/>
            <w:bottom w:val="none" w:sz="0" w:space="0" w:color="auto"/>
            <w:right w:val="none" w:sz="0" w:space="0" w:color="auto"/>
          </w:divBdr>
        </w:div>
        <w:div w:id="175727756">
          <w:marLeft w:val="480"/>
          <w:marRight w:val="0"/>
          <w:marTop w:val="0"/>
          <w:marBottom w:val="0"/>
          <w:divBdr>
            <w:top w:val="none" w:sz="0" w:space="0" w:color="auto"/>
            <w:left w:val="none" w:sz="0" w:space="0" w:color="auto"/>
            <w:bottom w:val="none" w:sz="0" w:space="0" w:color="auto"/>
            <w:right w:val="none" w:sz="0" w:space="0" w:color="auto"/>
          </w:divBdr>
        </w:div>
        <w:div w:id="603998038">
          <w:marLeft w:val="480"/>
          <w:marRight w:val="0"/>
          <w:marTop w:val="0"/>
          <w:marBottom w:val="0"/>
          <w:divBdr>
            <w:top w:val="none" w:sz="0" w:space="0" w:color="auto"/>
            <w:left w:val="none" w:sz="0" w:space="0" w:color="auto"/>
            <w:bottom w:val="none" w:sz="0" w:space="0" w:color="auto"/>
            <w:right w:val="none" w:sz="0" w:space="0" w:color="auto"/>
          </w:divBdr>
        </w:div>
        <w:div w:id="1909608976">
          <w:marLeft w:val="480"/>
          <w:marRight w:val="0"/>
          <w:marTop w:val="0"/>
          <w:marBottom w:val="0"/>
          <w:divBdr>
            <w:top w:val="none" w:sz="0" w:space="0" w:color="auto"/>
            <w:left w:val="none" w:sz="0" w:space="0" w:color="auto"/>
            <w:bottom w:val="none" w:sz="0" w:space="0" w:color="auto"/>
            <w:right w:val="none" w:sz="0" w:space="0" w:color="auto"/>
          </w:divBdr>
        </w:div>
        <w:div w:id="319231292">
          <w:marLeft w:val="480"/>
          <w:marRight w:val="0"/>
          <w:marTop w:val="0"/>
          <w:marBottom w:val="0"/>
          <w:divBdr>
            <w:top w:val="none" w:sz="0" w:space="0" w:color="auto"/>
            <w:left w:val="none" w:sz="0" w:space="0" w:color="auto"/>
            <w:bottom w:val="none" w:sz="0" w:space="0" w:color="auto"/>
            <w:right w:val="none" w:sz="0" w:space="0" w:color="auto"/>
          </w:divBdr>
        </w:div>
        <w:div w:id="1418593518">
          <w:marLeft w:val="480"/>
          <w:marRight w:val="0"/>
          <w:marTop w:val="0"/>
          <w:marBottom w:val="0"/>
          <w:divBdr>
            <w:top w:val="none" w:sz="0" w:space="0" w:color="auto"/>
            <w:left w:val="none" w:sz="0" w:space="0" w:color="auto"/>
            <w:bottom w:val="none" w:sz="0" w:space="0" w:color="auto"/>
            <w:right w:val="none" w:sz="0" w:space="0" w:color="auto"/>
          </w:divBdr>
        </w:div>
        <w:div w:id="973825650">
          <w:marLeft w:val="480"/>
          <w:marRight w:val="0"/>
          <w:marTop w:val="0"/>
          <w:marBottom w:val="0"/>
          <w:divBdr>
            <w:top w:val="none" w:sz="0" w:space="0" w:color="auto"/>
            <w:left w:val="none" w:sz="0" w:space="0" w:color="auto"/>
            <w:bottom w:val="none" w:sz="0" w:space="0" w:color="auto"/>
            <w:right w:val="none" w:sz="0" w:space="0" w:color="auto"/>
          </w:divBdr>
        </w:div>
        <w:div w:id="69474495">
          <w:marLeft w:val="480"/>
          <w:marRight w:val="0"/>
          <w:marTop w:val="0"/>
          <w:marBottom w:val="0"/>
          <w:divBdr>
            <w:top w:val="none" w:sz="0" w:space="0" w:color="auto"/>
            <w:left w:val="none" w:sz="0" w:space="0" w:color="auto"/>
            <w:bottom w:val="none" w:sz="0" w:space="0" w:color="auto"/>
            <w:right w:val="none" w:sz="0" w:space="0" w:color="auto"/>
          </w:divBdr>
        </w:div>
        <w:div w:id="508563314">
          <w:marLeft w:val="480"/>
          <w:marRight w:val="0"/>
          <w:marTop w:val="0"/>
          <w:marBottom w:val="0"/>
          <w:divBdr>
            <w:top w:val="none" w:sz="0" w:space="0" w:color="auto"/>
            <w:left w:val="none" w:sz="0" w:space="0" w:color="auto"/>
            <w:bottom w:val="none" w:sz="0" w:space="0" w:color="auto"/>
            <w:right w:val="none" w:sz="0" w:space="0" w:color="auto"/>
          </w:divBdr>
        </w:div>
        <w:div w:id="1404718862">
          <w:marLeft w:val="480"/>
          <w:marRight w:val="0"/>
          <w:marTop w:val="0"/>
          <w:marBottom w:val="0"/>
          <w:divBdr>
            <w:top w:val="none" w:sz="0" w:space="0" w:color="auto"/>
            <w:left w:val="none" w:sz="0" w:space="0" w:color="auto"/>
            <w:bottom w:val="none" w:sz="0" w:space="0" w:color="auto"/>
            <w:right w:val="none" w:sz="0" w:space="0" w:color="auto"/>
          </w:divBdr>
        </w:div>
        <w:div w:id="655570155">
          <w:marLeft w:val="480"/>
          <w:marRight w:val="0"/>
          <w:marTop w:val="0"/>
          <w:marBottom w:val="0"/>
          <w:divBdr>
            <w:top w:val="none" w:sz="0" w:space="0" w:color="auto"/>
            <w:left w:val="none" w:sz="0" w:space="0" w:color="auto"/>
            <w:bottom w:val="none" w:sz="0" w:space="0" w:color="auto"/>
            <w:right w:val="none" w:sz="0" w:space="0" w:color="auto"/>
          </w:divBdr>
        </w:div>
        <w:div w:id="1649167745">
          <w:marLeft w:val="480"/>
          <w:marRight w:val="0"/>
          <w:marTop w:val="0"/>
          <w:marBottom w:val="0"/>
          <w:divBdr>
            <w:top w:val="none" w:sz="0" w:space="0" w:color="auto"/>
            <w:left w:val="none" w:sz="0" w:space="0" w:color="auto"/>
            <w:bottom w:val="none" w:sz="0" w:space="0" w:color="auto"/>
            <w:right w:val="none" w:sz="0" w:space="0" w:color="auto"/>
          </w:divBdr>
        </w:div>
        <w:div w:id="1363358181">
          <w:marLeft w:val="480"/>
          <w:marRight w:val="0"/>
          <w:marTop w:val="0"/>
          <w:marBottom w:val="0"/>
          <w:divBdr>
            <w:top w:val="none" w:sz="0" w:space="0" w:color="auto"/>
            <w:left w:val="none" w:sz="0" w:space="0" w:color="auto"/>
            <w:bottom w:val="none" w:sz="0" w:space="0" w:color="auto"/>
            <w:right w:val="none" w:sz="0" w:space="0" w:color="auto"/>
          </w:divBdr>
        </w:div>
        <w:div w:id="1238586759">
          <w:marLeft w:val="480"/>
          <w:marRight w:val="0"/>
          <w:marTop w:val="0"/>
          <w:marBottom w:val="0"/>
          <w:divBdr>
            <w:top w:val="none" w:sz="0" w:space="0" w:color="auto"/>
            <w:left w:val="none" w:sz="0" w:space="0" w:color="auto"/>
            <w:bottom w:val="none" w:sz="0" w:space="0" w:color="auto"/>
            <w:right w:val="none" w:sz="0" w:space="0" w:color="auto"/>
          </w:divBdr>
        </w:div>
        <w:div w:id="2048987216">
          <w:marLeft w:val="480"/>
          <w:marRight w:val="0"/>
          <w:marTop w:val="0"/>
          <w:marBottom w:val="0"/>
          <w:divBdr>
            <w:top w:val="none" w:sz="0" w:space="0" w:color="auto"/>
            <w:left w:val="none" w:sz="0" w:space="0" w:color="auto"/>
            <w:bottom w:val="none" w:sz="0" w:space="0" w:color="auto"/>
            <w:right w:val="none" w:sz="0" w:space="0" w:color="auto"/>
          </w:divBdr>
        </w:div>
        <w:div w:id="242493753">
          <w:marLeft w:val="480"/>
          <w:marRight w:val="0"/>
          <w:marTop w:val="0"/>
          <w:marBottom w:val="0"/>
          <w:divBdr>
            <w:top w:val="none" w:sz="0" w:space="0" w:color="auto"/>
            <w:left w:val="none" w:sz="0" w:space="0" w:color="auto"/>
            <w:bottom w:val="none" w:sz="0" w:space="0" w:color="auto"/>
            <w:right w:val="none" w:sz="0" w:space="0" w:color="auto"/>
          </w:divBdr>
        </w:div>
        <w:div w:id="1396900705">
          <w:marLeft w:val="480"/>
          <w:marRight w:val="0"/>
          <w:marTop w:val="0"/>
          <w:marBottom w:val="0"/>
          <w:divBdr>
            <w:top w:val="none" w:sz="0" w:space="0" w:color="auto"/>
            <w:left w:val="none" w:sz="0" w:space="0" w:color="auto"/>
            <w:bottom w:val="none" w:sz="0" w:space="0" w:color="auto"/>
            <w:right w:val="none" w:sz="0" w:space="0" w:color="auto"/>
          </w:divBdr>
        </w:div>
        <w:div w:id="153299895">
          <w:marLeft w:val="480"/>
          <w:marRight w:val="0"/>
          <w:marTop w:val="0"/>
          <w:marBottom w:val="0"/>
          <w:divBdr>
            <w:top w:val="none" w:sz="0" w:space="0" w:color="auto"/>
            <w:left w:val="none" w:sz="0" w:space="0" w:color="auto"/>
            <w:bottom w:val="none" w:sz="0" w:space="0" w:color="auto"/>
            <w:right w:val="none" w:sz="0" w:space="0" w:color="auto"/>
          </w:divBdr>
        </w:div>
        <w:div w:id="1047339265">
          <w:marLeft w:val="480"/>
          <w:marRight w:val="0"/>
          <w:marTop w:val="0"/>
          <w:marBottom w:val="0"/>
          <w:divBdr>
            <w:top w:val="none" w:sz="0" w:space="0" w:color="auto"/>
            <w:left w:val="none" w:sz="0" w:space="0" w:color="auto"/>
            <w:bottom w:val="none" w:sz="0" w:space="0" w:color="auto"/>
            <w:right w:val="none" w:sz="0" w:space="0" w:color="auto"/>
          </w:divBdr>
        </w:div>
        <w:div w:id="997999028">
          <w:marLeft w:val="480"/>
          <w:marRight w:val="0"/>
          <w:marTop w:val="0"/>
          <w:marBottom w:val="0"/>
          <w:divBdr>
            <w:top w:val="none" w:sz="0" w:space="0" w:color="auto"/>
            <w:left w:val="none" w:sz="0" w:space="0" w:color="auto"/>
            <w:bottom w:val="none" w:sz="0" w:space="0" w:color="auto"/>
            <w:right w:val="none" w:sz="0" w:space="0" w:color="auto"/>
          </w:divBdr>
        </w:div>
        <w:div w:id="797259590">
          <w:marLeft w:val="480"/>
          <w:marRight w:val="0"/>
          <w:marTop w:val="0"/>
          <w:marBottom w:val="0"/>
          <w:divBdr>
            <w:top w:val="none" w:sz="0" w:space="0" w:color="auto"/>
            <w:left w:val="none" w:sz="0" w:space="0" w:color="auto"/>
            <w:bottom w:val="none" w:sz="0" w:space="0" w:color="auto"/>
            <w:right w:val="none" w:sz="0" w:space="0" w:color="auto"/>
          </w:divBdr>
        </w:div>
        <w:div w:id="1883857571">
          <w:marLeft w:val="480"/>
          <w:marRight w:val="0"/>
          <w:marTop w:val="0"/>
          <w:marBottom w:val="0"/>
          <w:divBdr>
            <w:top w:val="none" w:sz="0" w:space="0" w:color="auto"/>
            <w:left w:val="none" w:sz="0" w:space="0" w:color="auto"/>
            <w:bottom w:val="none" w:sz="0" w:space="0" w:color="auto"/>
            <w:right w:val="none" w:sz="0" w:space="0" w:color="auto"/>
          </w:divBdr>
        </w:div>
        <w:div w:id="1588224814">
          <w:marLeft w:val="480"/>
          <w:marRight w:val="0"/>
          <w:marTop w:val="0"/>
          <w:marBottom w:val="0"/>
          <w:divBdr>
            <w:top w:val="none" w:sz="0" w:space="0" w:color="auto"/>
            <w:left w:val="none" w:sz="0" w:space="0" w:color="auto"/>
            <w:bottom w:val="none" w:sz="0" w:space="0" w:color="auto"/>
            <w:right w:val="none" w:sz="0" w:space="0" w:color="auto"/>
          </w:divBdr>
        </w:div>
        <w:div w:id="1876650974">
          <w:marLeft w:val="480"/>
          <w:marRight w:val="0"/>
          <w:marTop w:val="0"/>
          <w:marBottom w:val="0"/>
          <w:divBdr>
            <w:top w:val="none" w:sz="0" w:space="0" w:color="auto"/>
            <w:left w:val="none" w:sz="0" w:space="0" w:color="auto"/>
            <w:bottom w:val="none" w:sz="0" w:space="0" w:color="auto"/>
            <w:right w:val="none" w:sz="0" w:space="0" w:color="auto"/>
          </w:divBdr>
        </w:div>
        <w:div w:id="1098721063">
          <w:marLeft w:val="480"/>
          <w:marRight w:val="0"/>
          <w:marTop w:val="0"/>
          <w:marBottom w:val="0"/>
          <w:divBdr>
            <w:top w:val="none" w:sz="0" w:space="0" w:color="auto"/>
            <w:left w:val="none" w:sz="0" w:space="0" w:color="auto"/>
            <w:bottom w:val="none" w:sz="0" w:space="0" w:color="auto"/>
            <w:right w:val="none" w:sz="0" w:space="0" w:color="auto"/>
          </w:divBdr>
        </w:div>
        <w:div w:id="1936598161">
          <w:marLeft w:val="480"/>
          <w:marRight w:val="0"/>
          <w:marTop w:val="0"/>
          <w:marBottom w:val="0"/>
          <w:divBdr>
            <w:top w:val="none" w:sz="0" w:space="0" w:color="auto"/>
            <w:left w:val="none" w:sz="0" w:space="0" w:color="auto"/>
            <w:bottom w:val="none" w:sz="0" w:space="0" w:color="auto"/>
            <w:right w:val="none" w:sz="0" w:space="0" w:color="auto"/>
          </w:divBdr>
        </w:div>
        <w:div w:id="1410468883">
          <w:marLeft w:val="480"/>
          <w:marRight w:val="0"/>
          <w:marTop w:val="0"/>
          <w:marBottom w:val="0"/>
          <w:divBdr>
            <w:top w:val="none" w:sz="0" w:space="0" w:color="auto"/>
            <w:left w:val="none" w:sz="0" w:space="0" w:color="auto"/>
            <w:bottom w:val="none" w:sz="0" w:space="0" w:color="auto"/>
            <w:right w:val="none" w:sz="0" w:space="0" w:color="auto"/>
          </w:divBdr>
        </w:div>
        <w:div w:id="343820421">
          <w:marLeft w:val="480"/>
          <w:marRight w:val="0"/>
          <w:marTop w:val="0"/>
          <w:marBottom w:val="0"/>
          <w:divBdr>
            <w:top w:val="none" w:sz="0" w:space="0" w:color="auto"/>
            <w:left w:val="none" w:sz="0" w:space="0" w:color="auto"/>
            <w:bottom w:val="none" w:sz="0" w:space="0" w:color="auto"/>
            <w:right w:val="none" w:sz="0" w:space="0" w:color="auto"/>
          </w:divBdr>
        </w:div>
        <w:div w:id="634221927">
          <w:marLeft w:val="480"/>
          <w:marRight w:val="0"/>
          <w:marTop w:val="0"/>
          <w:marBottom w:val="0"/>
          <w:divBdr>
            <w:top w:val="none" w:sz="0" w:space="0" w:color="auto"/>
            <w:left w:val="none" w:sz="0" w:space="0" w:color="auto"/>
            <w:bottom w:val="none" w:sz="0" w:space="0" w:color="auto"/>
            <w:right w:val="none" w:sz="0" w:space="0" w:color="auto"/>
          </w:divBdr>
        </w:div>
        <w:div w:id="76824833">
          <w:marLeft w:val="480"/>
          <w:marRight w:val="0"/>
          <w:marTop w:val="0"/>
          <w:marBottom w:val="0"/>
          <w:divBdr>
            <w:top w:val="none" w:sz="0" w:space="0" w:color="auto"/>
            <w:left w:val="none" w:sz="0" w:space="0" w:color="auto"/>
            <w:bottom w:val="none" w:sz="0" w:space="0" w:color="auto"/>
            <w:right w:val="none" w:sz="0" w:space="0" w:color="auto"/>
          </w:divBdr>
        </w:div>
        <w:div w:id="1069186352">
          <w:marLeft w:val="480"/>
          <w:marRight w:val="0"/>
          <w:marTop w:val="0"/>
          <w:marBottom w:val="0"/>
          <w:divBdr>
            <w:top w:val="none" w:sz="0" w:space="0" w:color="auto"/>
            <w:left w:val="none" w:sz="0" w:space="0" w:color="auto"/>
            <w:bottom w:val="none" w:sz="0" w:space="0" w:color="auto"/>
            <w:right w:val="none" w:sz="0" w:space="0" w:color="auto"/>
          </w:divBdr>
        </w:div>
        <w:div w:id="770975629">
          <w:marLeft w:val="480"/>
          <w:marRight w:val="0"/>
          <w:marTop w:val="0"/>
          <w:marBottom w:val="0"/>
          <w:divBdr>
            <w:top w:val="none" w:sz="0" w:space="0" w:color="auto"/>
            <w:left w:val="none" w:sz="0" w:space="0" w:color="auto"/>
            <w:bottom w:val="none" w:sz="0" w:space="0" w:color="auto"/>
            <w:right w:val="none" w:sz="0" w:space="0" w:color="auto"/>
          </w:divBdr>
        </w:div>
        <w:div w:id="1089160080">
          <w:marLeft w:val="480"/>
          <w:marRight w:val="0"/>
          <w:marTop w:val="0"/>
          <w:marBottom w:val="0"/>
          <w:divBdr>
            <w:top w:val="none" w:sz="0" w:space="0" w:color="auto"/>
            <w:left w:val="none" w:sz="0" w:space="0" w:color="auto"/>
            <w:bottom w:val="none" w:sz="0" w:space="0" w:color="auto"/>
            <w:right w:val="none" w:sz="0" w:space="0" w:color="auto"/>
          </w:divBdr>
        </w:div>
        <w:div w:id="1014500244">
          <w:marLeft w:val="480"/>
          <w:marRight w:val="0"/>
          <w:marTop w:val="0"/>
          <w:marBottom w:val="0"/>
          <w:divBdr>
            <w:top w:val="none" w:sz="0" w:space="0" w:color="auto"/>
            <w:left w:val="none" w:sz="0" w:space="0" w:color="auto"/>
            <w:bottom w:val="none" w:sz="0" w:space="0" w:color="auto"/>
            <w:right w:val="none" w:sz="0" w:space="0" w:color="auto"/>
          </w:divBdr>
        </w:div>
        <w:div w:id="125205163">
          <w:marLeft w:val="480"/>
          <w:marRight w:val="0"/>
          <w:marTop w:val="0"/>
          <w:marBottom w:val="0"/>
          <w:divBdr>
            <w:top w:val="none" w:sz="0" w:space="0" w:color="auto"/>
            <w:left w:val="none" w:sz="0" w:space="0" w:color="auto"/>
            <w:bottom w:val="none" w:sz="0" w:space="0" w:color="auto"/>
            <w:right w:val="none" w:sz="0" w:space="0" w:color="auto"/>
          </w:divBdr>
        </w:div>
        <w:div w:id="1284729268">
          <w:marLeft w:val="480"/>
          <w:marRight w:val="0"/>
          <w:marTop w:val="0"/>
          <w:marBottom w:val="0"/>
          <w:divBdr>
            <w:top w:val="none" w:sz="0" w:space="0" w:color="auto"/>
            <w:left w:val="none" w:sz="0" w:space="0" w:color="auto"/>
            <w:bottom w:val="none" w:sz="0" w:space="0" w:color="auto"/>
            <w:right w:val="none" w:sz="0" w:space="0" w:color="auto"/>
          </w:divBdr>
        </w:div>
        <w:div w:id="1985309533">
          <w:marLeft w:val="480"/>
          <w:marRight w:val="0"/>
          <w:marTop w:val="0"/>
          <w:marBottom w:val="0"/>
          <w:divBdr>
            <w:top w:val="none" w:sz="0" w:space="0" w:color="auto"/>
            <w:left w:val="none" w:sz="0" w:space="0" w:color="auto"/>
            <w:bottom w:val="none" w:sz="0" w:space="0" w:color="auto"/>
            <w:right w:val="none" w:sz="0" w:space="0" w:color="auto"/>
          </w:divBdr>
        </w:div>
        <w:div w:id="255332203">
          <w:marLeft w:val="480"/>
          <w:marRight w:val="0"/>
          <w:marTop w:val="0"/>
          <w:marBottom w:val="0"/>
          <w:divBdr>
            <w:top w:val="none" w:sz="0" w:space="0" w:color="auto"/>
            <w:left w:val="none" w:sz="0" w:space="0" w:color="auto"/>
            <w:bottom w:val="none" w:sz="0" w:space="0" w:color="auto"/>
            <w:right w:val="none" w:sz="0" w:space="0" w:color="auto"/>
          </w:divBdr>
        </w:div>
        <w:div w:id="563298395">
          <w:marLeft w:val="480"/>
          <w:marRight w:val="0"/>
          <w:marTop w:val="0"/>
          <w:marBottom w:val="0"/>
          <w:divBdr>
            <w:top w:val="none" w:sz="0" w:space="0" w:color="auto"/>
            <w:left w:val="none" w:sz="0" w:space="0" w:color="auto"/>
            <w:bottom w:val="none" w:sz="0" w:space="0" w:color="auto"/>
            <w:right w:val="none" w:sz="0" w:space="0" w:color="auto"/>
          </w:divBdr>
        </w:div>
        <w:div w:id="760180091">
          <w:marLeft w:val="480"/>
          <w:marRight w:val="0"/>
          <w:marTop w:val="0"/>
          <w:marBottom w:val="0"/>
          <w:divBdr>
            <w:top w:val="none" w:sz="0" w:space="0" w:color="auto"/>
            <w:left w:val="none" w:sz="0" w:space="0" w:color="auto"/>
            <w:bottom w:val="none" w:sz="0" w:space="0" w:color="auto"/>
            <w:right w:val="none" w:sz="0" w:space="0" w:color="auto"/>
          </w:divBdr>
        </w:div>
        <w:div w:id="404451945">
          <w:marLeft w:val="480"/>
          <w:marRight w:val="0"/>
          <w:marTop w:val="0"/>
          <w:marBottom w:val="0"/>
          <w:divBdr>
            <w:top w:val="none" w:sz="0" w:space="0" w:color="auto"/>
            <w:left w:val="none" w:sz="0" w:space="0" w:color="auto"/>
            <w:bottom w:val="none" w:sz="0" w:space="0" w:color="auto"/>
            <w:right w:val="none" w:sz="0" w:space="0" w:color="auto"/>
          </w:divBdr>
        </w:div>
        <w:div w:id="2052729280">
          <w:marLeft w:val="480"/>
          <w:marRight w:val="0"/>
          <w:marTop w:val="0"/>
          <w:marBottom w:val="0"/>
          <w:divBdr>
            <w:top w:val="none" w:sz="0" w:space="0" w:color="auto"/>
            <w:left w:val="none" w:sz="0" w:space="0" w:color="auto"/>
            <w:bottom w:val="none" w:sz="0" w:space="0" w:color="auto"/>
            <w:right w:val="none" w:sz="0" w:space="0" w:color="auto"/>
          </w:divBdr>
        </w:div>
        <w:div w:id="832794229">
          <w:marLeft w:val="480"/>
          <w:marRight w:val="0"/>
          <w:marTop w:val="0"/>
          <w:marBottom w:val="0"/>
          <w:divBdr>
            <w:top w:val="none" w:sz="0" w:space="0" w:color="auto"/>
            <w:left w:val="none" w:sz="0" w:space="0" w:color="auto"/>
            <w:bottom w:val="none" w:sz="0" w:space="0" w:color="auto"/>
            <w:right w:val="none" w:sz="0" w:space="0" w:color="auto"/>
          </w:divBdr>
        </w:div>
        <w:div w:id="1508514869">
          <w:marLeft w:val="480"/>
          <w:marRight w:val="0"/>
          <w:marTop w:val="0"/>
          <w:marBottom w:val="0"/>
          <w:divBdr>
            <w:top w:val="none" w:sz="0" w:space="0" w:color="auto"/>
            <w:left w:val="none" w:sz="0" w:space="0" w:color="auto"/>
            <w:bottom w:val="none" w:sz="0" w:space="0" w:color="auto"/>
            <w:right w:val="none" w:sz="0" w:space="0" w:color="auto"/>
          </w:divBdr>
        </w:div>
        <w:div w:id="1057315559">
          <w:marLeft w:val="480"/>
          <w:marRight w:val="0"/>
          <w:marTop w:val="0"/>
          <w:marBottom w:val="0"/>
          <w:divBdr>
            <w:top w:val="none" w:sz="0" w:space="0" w:color="auto"/>
            <w:left w:val="none" w:sz="0" w:space="0" w:color="auto"/>
            <w:bottom w:val="none" w:sz="0" w:space="0" w:color="auto"/>
            <w:right w:val="none" w:sz="0" w:space="0" w:color="auto"/>
          </w:divBdr>
        </w:div>
        <w:div w:id="1769151614">
          <w:marLeft w:val="480"/>
          <w:marRight w:val="0"/>
          <w:marTop w:val="0"/>
          <w:marBottom w:val="0"/>
          <w:divBdr>
            <w:top w:val="none" w:sz="0" w:space="0" w:color="auto"/>
            <w:left w:val="none" w:sz="0" w:space="0" w:color="auto"/>
            <w:bottom w:val="none" w:sz="0" w:space="0" w:color="auto"/>
            <w:right w:val="none" w:sz="0" w:space="0" w:color="auto"/>
          </w:divBdr>
        </w:div>
        <w:div w:id="2041860170">
          <w:marLeft w:val="480"/>
          <w:marRight w:val="0"/>
          <w:marTop w:val="0"/>
          <w:marBottom w:val="0"/>
          <w:divBdr>
            <w:top w:val="none" w:sz="0" w:space="0" w:color="auto"/>
            <w:left w:val="none" w:sz="0" w:space="0" w:color="auto"/>
            <w:bottom w:val="none" w:sz="0" w:space="0" w:color="auto"/>
            <w:right w:val="none" w:sz="0" w:space="0" w:color="auto"/>
          </w:divBdr>
        </w:div>
        <w:div w:id="1258825210">
          <w:marLeft w:val="480"/>
          <w:marRight w:val="0"/>
          <w:marTop w:val="0"/>
          <w:marBottom w:val="0"/>
          <w:divBdr>
            <w:top w:val="none" w:sz="0" w:space="0" w:color="auto"/>
            <w:left w:val="none" w:sz="0" w:space="0" w:color="auto"/>
            <w:bottom w:val="none" w:sz="0" w:space="0" w:color="auto"/>
            <w:right w:val="none" w:sz="0" w:space="0" w:color="auto"/>
          </w:divBdr>
        </w:div>
        <w:div w:id="1126898344">
          <w:marLeft w:val="480"/>
          <w:marRight w:val="0"/>
          <w:marTop w:val="0"/>
          <w:marBottom w:val="0"/>
          <w:divBdr>
            <w:top w:val="none" w:sz="0" w:space="0" w:color="auto"/>
            <w:left w:val="none" w:sz="0" w:space="0" w:color="auto"/>
            <w:bottom w:val="none" w:sz="0" w:space="0" w:color="auto"/>
            <w:right w:val="none" w:sz="0" w:space="0" w:color="auto"/>
          </w:divBdr>
        </w:div>
        <w:div w:id="1770471124">
          <w:marLeft w:val="480"/>
          <w:marRight w:val="0"/>
          <w:marTop w:val="0"/>
          <w:marBottom w:val="0"/>
          <w:divBdr>
            <w:top w:val="none" w:sz="0" w:space="0" w:color="auto"/>
            <w:left w:val="none" w:sz="0" w:space="0" w:color="auto"/>
            <w:bottom w:val="none" w:sz="0" w:space="0" w:color="auto"/>
            <w:right w:val="none" w:sz="0" w:space="0" w:color="auto"/>
          </w:divBdr>
        </w:div>
        <w:div w:id="441414735">
          <w:marLeft w:val="480"/>
          <w:marRight w:val="0"/>
          <w:marTop w:val="0"/>
          <w:marBottom w:val="0"/>
          <w:divBdr>
            <w:top w:val="none" w:sz="0" w:space="0" w:color="auto"/>
            <w:left w:val="none" w:sz="0" w:space="0" w:color="auto"/>
            <w:bottom w:val="none" w:sz="0" w:space="0" w:color="auto"/>
            <w:right w:val="none" w:sz="0" w:space="0" w:color="auto"/>
          </w:divBdr>
        </w:div>
        <w:div w:id="673386555">
          <w:marLeft w:val="480"/>
          <w:marRight w:val="0"/>
          <w:marTop w:val="0"/>
          <w:marBottom w:val="0"/>
          <w:divBdr>
            <w:top w:val="none" w:sz="0" w:space="0" w:color="auto"/>
            <w:left w:val="none" w:sz="0" w:space="0" w:color="auto"/>
            <w:bottom w:val="none" w:sz="0" w:space="0" w:color="auto"/>
            <w:right w:val="none" w:sz="0" w:space="0" w:color="auto"/>
          </w:divBdr>
        </w:div>
        <w:div w:id="1608462204">
          <w:marLeft w:val="480"/>
          <w:marRight w:val="0"/>
          <w:marTop w:val="0"/>
          <w:marBottom w:val="0"/>
          <w:divBdr>
            <w:top w:val="none" w:sz="0" w:space="0" w:color="auto"/>
            <w:left w:val="none" w:sz="0" w:space="0" w:color="auto"/>
            <w:bottom w:val="none" w:sz="0" w:space="0" w:color="auto"/>
            <w:right w:val="none" w:sz="0" w:space="0" w:color="auto"/>
          </w:divBdr>
        </w:div>
        <w:div w:id="1222328452">
          <w:marLeft w:val="480"/>
          <w:marRight w:val="0"/>
          <w:marTop w:val="0"/>
          <w:marBottom w:val="0"/>
          <w:divBdr>
            <w:top w:val="none" w:sz="0" w:space="0" w:color="auto"/>
            <w:left w:val="none" w:sz="0" w:space="0" w:color="auto"/>
            <w:bottom w:val="none" w:sz="0" w:space="0" w:color="auto"/>
            <w:right w:val="none" w:sz="0" w:space="0" w:color="auto"/>
          </w:divBdr>
        </w:div>
        <w:div w:id="1969238584">
          <w:marLeft w:val="480"/>
          <w:marRight w:val="0"/>
          <w:marTop w:val="0"/>
          <w:marBottom w:val="0"/>
          <w:divBdr>
            <w:top w:val="none" w:sz="0" w:space="0" w:color="auto"/>
            <w:left w:val="none" w:sz="0" w:space="0" w:color="auto"/>
            <w:bottom w:val="none" w:sz="0" w:space="0" w:color="auto"/>
            <w:right w:val="none" w:sz="0" w:space="0" w:color="auto"/>
          </w:divBdr>
        </w:div>
        <w:div w:id="1984655708">
          <w:marLeft w:val="480"/>
          <w:marRight w:val="0"/>
          <w:marTop w:val="0"/>
          <w:marBottom w:val="0"/>
          <w:divBdr>
            <w:top w:val="none" w:sz="0" w:space="0" w:color="auto"/>
            <w:left w:val="none" w:sz="0" w:space="0" w:color="auto"/>
            <w:bottom w:val="none" w:sz="0" w:space="0" w:color="auto"/>
            <w:right w:val="none" w:sz="0" w:space="0" w:color="auto"/>
          </w:divBdr>
        </w:div>
        <w:div w:id="1559895766">
          <w:marLeft w:val="480"/>
          <w:marRight w:val="0"/>
          <w:marTop w:val="0"/>
          <w:marBottom w:val="0"/>
          <w:divBdr>
            <w:top w:val="none" w:sz="0" w:space="0" w:color="auto"/>
            <w:left w:val="none" w:sz="0" w:space="0" w:color="auto"/>
            <w:bottom w:val="none" w:sz="0" w:space="0" w:color="auto"/>
            <w:right w:val="none" w:sz="0" w:space="0" w:color="auto"/>
          </w:divBdr>
        </w:div>
        <w:div w:id="694424452">
          <w:marLeft w:val="480"/>
          <w:marRight w:val="0"/>
          <w:marTop w:val="0"/>
          <w:marBottom w:val="0"/>
          <w:divBdr>
            <w:top w:val="none" w:sz="0" w:space="0" w:color="auto"/>
            <w:left w:val="none" w:sz="0" w:space="0" w:color="auto"/>
            <w:bottom w:val="none" w:sz="0" w:space="0" w:color="auto"/>
            <w:right w:val="none" w:sz="0" w:space="0" w:color="auto"/>
          </w:divBdr>
        </w:div>
        <w:div w:id="764426484">
          <w:marLeft w:val="480"/>
          <w:marRight w:val="0"/>
          <w:marTop w:val="0"/>
          <w:marBottom w:val="0"/>
          <w:divBdr>
            <w:top w:val="none" w:sz="0" w:space="0" w:color="auto"/>
            <w:left w:val="none" w:sz="0" w:space="0" w:color="auto"/>
            <w:bottom w:val="none" w:sz="0" w:space="0" w:color="auto"/>
            <w:right w:val="none" w:sz="0" w:space="0" w:color="auto"/>
          </w:divBdr>
        </w:div>
        <w:div w:id="1553886389">
          <w:marLeft w:val="480"/>
          <w:marRight w:val="0"/>
          <w:marTop w:val="0"/>
          <w:marBottom w:val="0"/>
          <w:divBdr>
            <w:top w:val="none" w:sz="0" w:space="0" w:color="auto"/>
            <w:left w:val="none" w:sz="0" w:space="0" w:color="auto"/>
            <w:bottom w:val="none" w:sz="0" w:space="0" w:color="auto"/>
            <w:right w:val="none" w:sz="0" w:space="0" w:color="auto"/>
          </w:divBdr>
        </w:div>
        <w:div w:id="4603373">
          <w:marLeft w:val="480"/>
          <w:marRight w:val="0"/>
          <w:marTop w:val="0"/>
          <w:marBottom w:val="0"/>
          <w:divBdr>
            <w:top w:val="none" w:sz="0" w:space="0" w:color="auto"/>
            <w:left w:val="none" w:sz="0" w:space="0" w:color="auto"/>
            <w:bottom w:val="none" w:sz="0" w:space="0" w:color="auto"/>
            <w:right w:val="none" w:sz="0" w:space="0" w:color="auto"/>
          </w:divBdr>
        </w:div>
        <w:div w:id="145782929">
          <w:marLeft w:val="480"/>
          <w:marRight w:val="0"/>
          <w:marTop w:val="0"/>
          <w:marBottom w:val="0"/>
          <w:divBdr>
            <w:top w:val="none" w:sz="0" w:space="0" w:color="auto"/>
            <w:left w:val="none" w:sz="0" w:space="0" w:color="auto"/>
            <w:bottom w:val="none" w:sz="0" w:space="0" w:color="auto"/>
            <w:right w:val="none" w:sz="0" w:space="0" w:color="auto"/>
          </w:divBdr>
        </w:div>
        <w:div w:id="2073262252">
          <w:marLeft w:val="480"/>
          <w:marRight w:val="0"/>
          <w:marTop w:val="0"/>
          <w:marBottom w:val="0"/>
          <w:divBdr>
            <w:top w:val="none" w:sz="0" w:space="0" w:color="auto"/>
            <w:left w:val="none" w:sz="0" w:space="0" w:color="auto"/>
            <w:bottom w:val="none" w:sz="0" w:space="0" w:color="auto"/>
            <w:right w:val="none" w:sz="0" w:space="0" w:color="auto"/>
          </w:divBdr>
        </w:div>
        <w:div w:id="1218936292">
          <w:marLeft w:val="480"/>
          <w:marRight w:val="0"/>
          <w:marTop w:val="0"/>
          <w:marBottom w:val="0"/>
          <w:divBdr>
            <w:top w:val="none" w:sz="0" w:space="0" w:color="auto"/>
            <w:left w:val="none" w:sz="0" w:space="0" w:color="auto"/>
            <w:bottom w:val="none" w:sz="0" w:space="0" w:color="auto"/>
            <w:right w:val="none" w:sz="0" w:space="0" w:color="auto"/>
          </w:divBdr>
        </w:div>
        <w:div w:id="191307464">
          <w:marLeft w:val="480"/>
          <w:marRight w:val="0"/>
          <w:marTop w:val="0"/>
          <w:marBottom w:val="0"/>
          <w:divBdr>
            <w:top w:val="none" w:sz="0" w:space="0" w:color="auto"/>
            <w:left w:val="none" w:sz="0" w:space="0" w:color="auto"/>
            <w:bottom w:val="none" w:sz="0" w:space="0" w:color="auto"/>
            <w:right w:val="none" w:sz="0" w:space="0" w:color="auto"/>
          </w:divBdr>
        </w:div>
        <w:div w:id="1341158039">
          <w:marLeft w:val="480"/>
          <w:marRight w:val="0"/>
          <w:marTop w:val="0"/>
          <w:marBottom w:val="0"/>
          <w:divBdr>
            <w:top w:val="none" w:sz="0" w:space="0" w:color="auto"/>
            <w:left w:val="none" w:sz="0" w:space="0" w:color="auto"/>
            <w:bottom w:val="none" w:sz="0" w:space="0" w:color="auto"/>
            <w:right w:val="none" w:sz="0" w:space="0" w:color="auto"/>
          </w:divBdr>
        </w:div>
        <w:div w:id="1750929387">
          <w:marLeft w:val="480"/>
          <w:marRight w:val="0"/>
          <w:marTop w:val="0"/>
          <w:marBottom w:val="0"/>
          <w:divBdr>
            <w:top w:val="none" w:sz="0" w:space="0" w:color="auto"/>
            <w:left w:val="none" w:sz="0" w:space="0" w:color="auto"/>
            <w:bottom w:val="none" w:sz="0" w:space="0" w:color="auto"/>
            <w:right w:val="none" w:sz="0" w:space="0" w:color="auto"/>
          </w:divBdr>
        </w:div>
        <w:div w:id="1832525472">
          <w:marLeft w:val="480"/>
          <w:marRight w:val="0"/>
          <w:marTop w:val="0"/>
          <w:marBottom w:val="0"/>
          <w:divBdr>
            <w:top w:val="none" w:sz="0" w:space="0" w:color="auto"/>
            <w:left w:val="none" w:sz="0" w:space="0" w:color="auto"/>
            <w:bottom w:val="none" w:sz="0" w:space="0" w:color="auto"/>
            <w:right w:val="none" w:sz="0" w:space="0" w:color="auto"/>
          </w:divBdr>
        </w:div>
        <w:div w:id="1489516489">
          <w:marLeft w:val="480"/>
          <w:marRight w:val="0"/>
          <w:marTop w:val="0"/>
          <w:marBottom w:val="0"/>
          <w:divBdr>
            <w:top w:val="none" w:sz="0" w:space="0" w:color="auto"/>
            <w:left w:val="none" w:sz="0" w:space="0" w:color="auto"/>
            <w:bottom w:val="none" w:sz="0" w:space="0" w:color="auto"/>
            <w:right w:val="none" w:sz="0" w:space="0" w:color="auto"/>
          </w:divBdr>
        </w:div>
        <w:div w:id="25184577">
          <w:marLeft w:val="480"/>
          <w:marRight w:val="0"/>
          <w:marTop w:val="0"/>
          <w:marBottom w:val="0"/>
          <w:divBdr>
            <w:top w:val="none" w:sz="0" w:space="0" w:color="auto"/>
            <w:left w:val="none" w:sz="0" w:space="0" w:color="auto"/>
            <w:bottom w:val="none" w:sz="0" w:space="0" w:color="auto"/>
            <w:right w:val="none" w:sz="0" w:space="0" w:color="auto"/>
          </w:divBdr>
        </w:div>
        <w:div w:id="577177400">
          <w:marLeft w:val="480"/>
          <w:marRight w:val="0"/>
          <w:marTop w:val="0"/>
          <w:marBottom w:val="0"/>
          <w:divBdr>
            <w:top w:val="none" w:sz="0" w:space="0" w:color="auto"/>
            <w:left w:val="none" w:sz="0" w:space="0" w:color="auto"/>
            <w:bottom w:val="none" w:sz="0" w:space="0" w:color="auto"/>
            <w:right w:val="none" w:sz="0" w:space="0" w:color="auto"/>
          </w:divBdr>
        </w:div>
        <w:div w:id="1245914539">
          <w:marLeft w:val="480"/>
          <w:marRight w:val="0"/>
          <w:marTop w:val="0"/>
          <w:marBottom w:val="0"/>
          <w:divBdr>
            <w:top w:val="none" w:sz="0" w:space="0" w:color="auto"/>
            <w:left w:val="none" w:sz="0" w:space="0" w:color="auto"/>
            <w:bottom w:val="none" w:sz="0" w:space="0" w:color="auto"/>
            <w:right w:val="none" w:sz="0" w:space="0" w:color="auto"/>
          </w:divBdr>
        </w:div>
        <w:div w:id="661467434">
          <w:marLeft w:val="480"/>
          <w:marRight w:val="0"/>
          <w:marTop w:val="0"/>
          <w:marBottom w:val="0"/>
          <w:divBdr>
            <w:top w:val="none" w:sz="0" w:space="0" w:color="auto"/>
            <w:left w:val="none" w:sz="0" w:space="0" w:color="auto"/>
            <w:bottom w:val="none" w:sz="0" w:space="0" w:color="auto"/>
            <w:right w:val="none" w:sz="0" w:space="0" w:color="auto"/>
          </w:divBdr>
        </w:div>
        <w:div w:id="1207640023">
          <w:marLeft w:val="480"/>
          <w:marRight w:val="0"/>
          <w:marTop w:val="0"/>
          <w:marBottom w:val="0"/>
          <w:divBdr>
            <w:top w:val="none" w:sz="0" w:space="0" w:color="auto"/>
            <w:left w:val="none" w:sz="0" w:space="0" w:color="auto"/>
            <w:bottom w:val="none" w:sz="0" w:space="0" w:color="auto"/>
            <w:right w:val="none" w:sz="0" w:space="0" w:color="auto"/>
          </w:divBdr>
        </w:div>
        <w:div w:id="1873690069">
          <w:marLeft w:val="480"/>
          <w:marRight w:val="0"/>
          <w:marTop w:val="0"/>
          <w:marBottom w:val="0"/>
          <w:divBdr>
            <w:top w:val="none" w:sz="0" w:space="0" w:color="auto"/>
            <w:left w:val="none" w:sz="0" w:space="0" w:color="auto"/>
            <w:bottom w:val="none" w:sz="0" w:space="0" w:color="auto"/>
            <w:right w:val="none" w:sz="0" w:space="0" w:color="auto"/>
          </w:divBdr>
        </w:div>
        <w:div w:id="2136898375">
          <w:marLeft w:val="480"/>
          <w:marRight w:val="0"/>
          <w:marTop w:val="0"/>
          <w:marBottom w:val="0"/>
          <w:divBdr>
            <w:top w:val="none" w:sz="0" w:space="0" w:color="auto"/>
            <w:left w:val="none" w:sz="0" w:space="0" w:color="auto"/>
            <w:bottom w:val="none" w:sz="0" w:space="0" w:color="auto"/>
            <w:right w:val="none" w:sz="0" w:space="0" w:color="auto"/>
          </w:divBdr>
        </w:div>
        <w:div w:id="1165245132">
          <w:marLeft w:val="480"/>
          <w:marRight w:val="0"/>
          <w:marTop w:val="0"/>
          <w:marBottom w:val="0"/>
          <w:divBdr>
            <w:top w:val="none" w:sz="0" w:space="0" w:color="auto"/>
            <w:left w:val="none" w:sz="0" w:space="0" w:color="auto"/>
            <w:bottom w:val="none" w:sz="0" w:space="0" w:color="auto"/>
            <w:right w:val="none" w:sz="0" w:space="0" w:color="auto"/>
          </w:divBdr>
        </w:div>
        <w:div w:id="1330333623">
          <w:marLeft w:val="480"/>
          <w:marRight w:val="0"/>
          <w:marTop w:val="0"/>
          <w:marBottom w:val="0"/>
          <w:divBdr>
            <w:top w:val="none" w:sz="0" w:space="0" w:color="auto"/>
            <w:left w:val="none" w:sz="0" w:space="0" w:color="auto"/>
            <w:bottom w:val="none" w:sz="0" w:space="0" w:color="auto"/>
            <w:right w:val="none" w:sz="0" w:space="0" w:color="auto"/>
          </w:divBdr>
        </w:div>
        <w:div w:id="1762801055">
          <w:marLeft w:val="480"/>
          <w:marRight w:val="0"/>
          <w:marTop w:val="0"/>
          <w:marBottom w:val="0"/>
          <w:divBdr>
            <w:top w:val="none" w:sz="0" w:space="0" w:color="auto"/>
            <w:left w:val="none" w:sz="0" w:space="0" w:color="auto"/>
            <w:bottom w:val="none" w:sz="0" w:space="0" w:color="auto"/>
            <w:right w:val="none" w:sz="0" w:space="0" w:color="auto"/>
          </w:divBdr>
        </w:div>
        <w:div w:id="2061854647">
          <w:marLeft w:val="480"/>
          <w:marRight w:val="0"/>
          <w:marTop w:val="0"/>
          <w:marBottom w:val="0"/>
          <w:divBdr>
            <w:top w:val="none" w:sz="0" w:space="0" w:color="auto"/>
            <w:left w:val="none" w:sz="0" w:space="0" w:color="auto"/>
            <w:bottom w:val="none" w:sz="0" w:space="0" w:color="auto"/>
            <w:right w:val="none" w:sz="0" w:space="0" w:color="auto"/>
          </w:divBdr>
        </w:div>
        <w:div w:id="1305238143">
          <w:marLeft w:val="480"/>
          <w:marRight w:val="0"/>
          <w:marTop w:val="0"/>
          <w:marBottom w:val="0"/>
          <w:divBdr>
            <w:top w:val="none" w:sz="0" w:space="0" w:color="auto"/>
            <w:left w:val="none" w:sz="0" w:space="0" w:color="auto"/>
            <w:bottom w:val="none" w:sz="0" w:space="0" w:color="auto"/>
            <w:right w:val="none" w:sz="0" w:space="0" w:color="auto"/>
          </w:divBdr>
        </w:div>
        <w:div w:id="1273589283">
          <w:marLeft w:val="480"/>
          <w:marRight w:val="0"/>
          <w:marTop w:val="0"/>
          <w:marBottom w:val="0"/>
          <w:divBdr>
            <w:top w:val="none" w:sz="0" w:space="0" w:color="auto"/>
            <w:left w:val="none" w:sz="0" w:space="0" w:color="auto"/>
            <w:bottom w:val="none" w:sz="0" w:space="0" w:color="auto"/>
            <w:right w:val="none" w:sz="0" w:space="0" w:color="auto"/>
          </w:divBdr>
        </w:div>
        <w:div w:id="628633890">
          <w:marLeft w:val="480"/>
          <w:marRight w:val="0"/>
          <w:marTop w:val="0"/>
          <w:marBottom w:val="0"/>
          <w:divBdr>
            <w:top w:val="none" w:sz="0" w:space="0" w:color="auto"/>
            <w:left w:val="none" w:sz="0" w:space="0" w:color="auto"/>
            <w:bottom w:val="none" w:sz="0" w:space="0" w:color="auto"/>
            <w:right w:val="none" w:sz="0" w:space="0" w:color="auto"/>
          </w:divBdr>
        </w:div>
        <w:div w:id="1806970346">
          <w:marLeft w:val="480"/>
          <w:marRight w:val="0"/>
          <w:marTop w:val="0"/>
          <w:marBottom w:val="0"/>
          <w:divBdr>
            <w:top w:val="none" w:sz="0" w:space="0" w:color="auto"/>
            <w:left w:val="none" w:sz="0" w:space="0" w:color="auto"/>
            <w:bottom w:val="none" w:sz="0" w:space="0" w:color="auto"/>
            <w:right w:val="none" w:sz="0" w:space="0" w:color="auto"/>
          </w:divBdr>
        </w:div>
        <w:div w:id="1502548491">
          <w:marLeft w:val="480"/>
          <w:marRight w:val="0"/>
          <w:marTop w:val="0"/>
          <w:marBottom w:val="0"/>
          <w:divBdr>
            <w:top w:val="none" w:sz="0" w:space="0" w:color="auto"/>
            <w:left w:val="none" w:sz="0" w:space="0" w:color="auto"/>
            <w:bottom w:val="none" w:sz="0" w:space="0" w:color="auto"/>
            <w:right w:val="none" w:sz="0" w:space="0" w:color="auto"/>
          </w:divBdr>
        </w:div>
        <w:div w:id="655573040">
          <w:marLeft w:val="480"/>
          <w:marRight w:val="0"/>
          <w:marTop w:val="0"/>
          <w:marBottom w:val="0"/>
          <w:divBdr>
            <w:top w:val="none" w:sz="0" w:space="0" w:color="auto"/>
            <w:left w:val="none" w:sz="0" w:space="0" w:color="auto"/>
            <w:bottom w:val="none" w:sz="0" w:space="0" w:color="auto"/>
            <w:right w:val="none" w:sz="0" w:space="0" w:color="auto"/>
          </w:divBdr>
        </w:div>
      </w:divsChild>
    </w:div>
    <w:div w:id="1084448320">
      <w:bodyDiv w:val="1"/>
      <w:marLeft w:val="0"/>
      <w:marRight w:val="0"/>
      <w:marTop w:val="0"/>
      <w:marBottom w:val="0"/>
      <w:divBdr>
        <w:top w:val="none" w:sz="0" w:space="0" w:color="auto"/>
        <w:left w:val="none" w:sz="0" w:space="0" w:color="auto"/>
        <w:bottom w:val="none" w:sz="0" w:space="0" w:color="auto"/>
        <w:right w:val="none" w:sz="0" w:space="0" w:color="auto"/>
      </w:divBdr>
    </w:div>
    <w:div w:id="1085304026">
      <w:bodyDiv w:val="1"/>
      <w:marLeft w:val="0"/>
      <w:marRight w:val="0"/>
      <w:marTop w:val="0"/>
      <w:marBottom w:val="0"/>
      <w:divBdr>
        <w:top w:val="none" w:sz="0" w:space="0" w:color="auto"/>
        <w:left w:val="none" w:sz="0" w:space="0" w:color="auto"/>
        <w:bottom w:val="none" w:sz="0" w:space="0" w:color="auto"/>
        <w:right w:val="none" w:sz="0" w:space="0" w:color="auto"/>
      </w:divBdr>
      <w:divsChild>
        <w:div w:id="1757507534">
          <w:marLeft w:val="480"/>
          <w:marRight w:val="0"/>
          <w:marTop w:val="0"/>
          <w:marBottom w:val="0"/>
          <w:divBdr>
            <w:top w:val="none" w:sz="0" w:space="0" w:color="auto"/>
            <w:left w:val="none" w:sz="0" w:space="0" w:color="auto"/>
            <w:bottom w:val="none" w:sz="0" w:space="0" w:color="auto"/>
            <w:right w:val="none" w:sz="0" w:space="0" w:color="auto"/>
          </w:divBdr>
        </w:div>
        <w:div w:id="1936327878">
          <w:marLeft w:val="480"/>
          <w:marRight w:val="0"/>
          <w:marTop w:val="0"/>
          <w:marBottom w:val="0"/>
          <w:divBdr>
            <w:top w:val="none" w:sz="0" w:space="0" w:color="auto"/>
            <w:left w:val="none" w:sz="0" w:space="0" w:color="auto"/>
            <w:bottom w:val="none" w:sz="0" w:space="0" w:color="auto"/>
            <w:right w:val="none" w:sz="0" w:space="0" w:color="auto"/>
          </w:divBdr>
        </w:div>
        <w:div w:id="1563325681">
          <w:marLeft w:val="480"/>
          <w:marRight w:val="0"/>
          <w:marTop w:val="0"/>
          <w:marBottom w:val="0"/>
          <w:divBdr>
            <w:top w:val="none" w:sz="0" w:space="0" w:color="auto"/>
            <w:left w:val="none" w:sz="0" w:space="0" w:color="auto"/>
            <w:bottom w:val="none" w:sz="0" w:space="0" w:color="auto"/>
            <w:right w:val="none" w:sz="0" w:space="0" w:color="auto"/>
          </w:divBdr>
        </w:div>
        <w:div w:id="1524590904">
          <w:marLeft w:val="480"/>
          <w:marRight w:val="0"/>
          <w:marTop w:val="0"/>
          <w:marBottom w:val="0"/>
          <w:divBdr>
            <w:top w:val="none" w:sz="0" w:space="0" w:color="auto"/>
            <w:left w:val="none" w:sz="0" w:space="0" w:color="auto"/>
            <w:bottom w:val="none" w:sz="0" w:space="0" w:color="auto"/>
            <w:right w:val="none" w:sz="0" w:space="0" w:color="auto"/>
          </w:divBdr>
        </w:div>
        <w:div w:id="1942834599">
          <w:marLeft w:val="480"/>
          <w:marRight w:val="0"/>
          <w:marTop w:val="0"/>
          <w:marBottom w:val="0"/>
          <w:divBdr>
            <w:top w:val="none" w:sz="0" w:space="0" w:color="auto"/>
            <w:left w:val="none" w:sz="0" w:space="0" w:color="auto"/>
            <w:bottom w:val="none" w:sz="0" w:space="0" w:color="auto"/>
            <w:right w:val="none" w:sz="0" w:space="0" w:color="auto"/>
          </w:divBdr>
        </w:div>
        <w:div w:id="1870293544">
          <w:marLeft w:val="480"/>
          <w:marRight w:val="0"/>
          <w:marTop w:val="0"/>
          <w:marBottom w:val="0"/>
          <w:divBdr>
            <w:top w:val="none" w:sz="0" w:space="0" w:color="auto"/>
            <w:left w:val="none" w:sz="0" w:space="0" w:color="auto"/>
            <w:bottom w:val="none" w:sz="0" w:space="0" w:color="auto"/>
            <w:right w:val="none" w:sz="0" w:space="0" w:color="auto"/>
          </w:divBdr>
        </w:div>
        <w:div w:id="1517845198">
          <w:marLeft w:val="480"/>
          <w:marRight w:val="0"/>
          <w:marTop w:val="0"/>
          <w:marBottom w:val="0"/>
          <w:divBdr>
            <w:top w:val="none" w:sz="0" w:space="0" w:color="auto"/>
            <w:left w:val="none" w:sz="0" w:space="0" w:color="auto"/>
            <w:bottom w:val="none" w:sz="0" w:space="0" w:color="auto"/>
            <w:right w:val="none" w:sz="0" w:space="0" w:color="auto"/>
          </w:divBdr>
        </w:div>
        <w:div w:id="172913128">
          <w:marLeft w:val="480"/>
          <w:marRight w:val="0"/>
          <w:marTop w:val="0"/>
          <w:marBottom w:val="0"/>
          <w:divBdr>
            <w:top w:val="none" w:sz="0" w:space="0" w:color="auto"/>
            <w:left w:val="none" w:sz="0" w:space="0" w:color="auto"/>
            <w:bottom w:val="none" w:sz="0" w:space="0" w:color="auto"/>
            <w:right w:val="none" w:sz="0" w:space="0" w:color="auto"/>
          </w:divBdr>
        </w:div>
        <w:div w:id="1699504549">
          <w:marLeft w:val="480"/>
          <w:marRight w:val="0"/>
          <w:marTop w:val="0"/>
          <w:marBottom w:val="0"/>
          <w:divBdr>
            <w:top w:val="none" w:sz="0" w:space="0" w:color="auto"/>
            <w:left w:val="none" w:sz="0" w:space="0" w:color="auto"/>
            <w:bottom w:val="none" w:sz="0" w:space="0" w:color="auto"/>
            <w:right w:val="none" w:sz="0" w:space="0" w:color="auto"/>
          </w:divBdr>
        </w:div>
        <w:div w:id="494535657">
          <w:marLeft w:val="480"/>
          <w:marRight w:val="0"/>
          <w:marTop w:val="0"/>
          <w:marBottom w:val="0"/>
          <w:divBdr>
            <w:top w:val="none" w:sz="0" w:space="0" w:color="auto"/>
            <w:left w:val="none" w:sz="0" w:space="0" w:color="auto"/>
            <w:bottom w:val="none" w:sz="0" w:space="0" w:color="auto"/>
            <w:right w:val="none" w:sz="0" w:space="0" w:color="auto"/>
          </w:divBdr>
        </w:div>
        <w:div w:id="260916767">
          <w:marLeft w:val="480"/>
          <w:marRight w:val="0"/>
          <w:marTop w:val="0"/>
          <w:marBottom w:val="0"/>
          <w:divBdr>
            <w:top w:val="none" w:sz="0" w:space="0" w:color="auto"/>
            <w:left w:val="none" w:sz="0" w:space="0" w:color="auto"/>
            <w:bottom w:val="none" w:sz="0" w:space="0" w:color="auto"/>
            <w:right w:val="none" w:sz="0" w:space="0" w:color="auto"/>
          </w:divBdr>
        </w:div>
        <w:div w:id="395511655">
          <w:marLeft w:val="480"/>
          <w:marRight w:val="0"/>
          <w:marTop w:val="0"/>
          <w:marBottom w:val="0"/>
          <w:divBdr>
            <w:top w:val="none" w:sz="0" w:space="0" w:color="auto"/>
            <w:left w:val="none" w:sz="0" w:space="0" w:color="auto"/>
            <w:bottom w:val="none" w:sz="0" w:space="0" w:color="auto"/>
            <w:right w:val="none" w:sz="0" w:space="0" w:color="auto"/>
          </w:divBdr>
        </w:div>
        <w:div w:id="672757106">
          <w:marLeft w:val="480"/>
          <w:marRight w:val="0"/>
          <w:marTop w:val="0"/>
          <w:marBottom w:val="0"/>
          <w:divBdr>
            <w:top w:val="none" w:sz="0" w:space="0" w:color="auto"/>
            <w:left w:val="none" w:sz="0" w:space="0" w:color="auto"/>
            <w:bottom w:val="none" w:sz="0" w:space="0" w:color="auto"/>
            <w:right w:val="none" w:sz="0" w:space="0" w:color="auto"/>
          </w:divBdr>
        </w:div>
        <w:div w:id="1851212752">
          <w:marLeft w:val="480"/>
          <w:marRight w:val="0"/>
          <w:marTop w:val="0"/>
          <w:marBottom w:val="0"/>
          <w:divBdr>
            <w:top w:val="none" w:sz="0" w:space="0" w:color="auto"/>
            <w:left w:val="none" w:sz="0" w:space="0" w:color="auto"/>
            <w:bottom w:val="none" w:sz="0" w:space="0" w:color="auto"/>
            <w:right w:val="none" w:sz="0" w:space="0" w:color="auto"/>
          </w:divBdr>
        </w:div>
        <w:div w:id="940718164">
          <w:marLeft w:val="480"/>
          <w:marRight w:val="0"/>
          <w:marTop w:val="0"/>
          <w:marBottom w:val="0"/>
          <w:divBdr>
            <w:top w:val="none" w:sz="0" w:space="0" w:color="auto"/>
            <w:left w:val="none" w:sz="0" w:space="0" w:color="auto"/>
            <w:bottom w:val="none" w:sz="0" w:space="0" w:color="auto"/>
            <w:right w:val="none" w:sz="0" w:space="0" w:color="auto"/>
          </w:divBdr>
        </w:div>
        <w:div w:id="344209818">
          <w:marLeft w:val="480"/>
          <w:marRight w:val="0"/>
          <w:marTop w:val="0"/>
          <w:marBottom w:val="0"/>
          <w:divBdr>
            <w:top w:val="none" w:sz="0" w:space="0" w:color="auto"/>
            <w:left w:val="none" w:sz="0" w:space="0" w:color="auto"/>
            <w:bottom w:val="none" w:sz="0" w:space="0" w:color="auto"/>
            <w:right w:val="none" w:sz="0" w:space="0" w:color="auto"/>
          </w:divBdr>
        </w:div>
        <w:div w:id="312030265">
          <w:marLeft w:val="480"/>
          <w:marRight w:val="0"/>
          <w:marTop w:val="0"/>
          <w:marBottom w:val="0"/>
          <w:divBdr>
            <w:top w:val="none" w:sz="0" w:space="0" w:color="auto"/>
            <w:left w:val="none" w:sz="0" w:space="0" w:color="auto"/>
            <w:bottom w:val="none" w:sz="0" w:space="0" w:color="auto"/>
            <w:right w:val="none" w:sz="0" w:space="0" w:color="auto"/>
          </w:divBdr>
        </w:div>
        <w:div w:id="449394628">
          <w:marLeft w:val="480"/>
          <w:marRight w:val="0"/>
          <w:marTop w:val="0"/>
          <w:marBottom w:val="0"/>
          <w:divBdr>
            <w:top w:val="none" w:sz="0" w:space="0" w:color="auto"/>
            <w:left w:val="none" w:sz="0" w:space="0" w:color="auto"/>
            <w:bottom w:val="none" w:sz="0" w:space="0" w:color="auto"/>
            <w:right w:val="none" w:sz="0" w:space="0" w:color="auto"/>
          </w:divBdr>
        </w:div>
        <w:div w:id="1658798799">
          <w:marLeft w:val="480"/>
          <w:marRight w:val="0"/>
          <w:marTop w:val="0"/>
          <w:marBottom w:val="0"/>
          <w:divBdr>
            <w:top w:val="none" w:sz="0" w:space="0" w:color="auto"/>
            <w:left w:val="none" w:sz="0" w:space="0" w:color="auto"/>
            <w:bottom w:val="none" w:sz="0" w:space="0" w:color="auto"/>
            <w:right w:val="none" w:sz="0" w:space="0" w:color="auto"/>
          </w:divBdr>
        </w:div>
        <w:div w:id="2044548323">
          <w:marLeft w:val="480"/>
          <w:marRight w:val="0"/>
          <w:marTop w:val="0"/>
          <w:marBottom w:val="0"/>
          <w:divBdr>
            <w:top w:val="none" w:sz="0" w:space="0" w:color="auto"/>
            <w:left w:val="none" w:sz="0" w:space="0" w:color="auto"/>
            <w:bottom w:val="none" w:sz="0" w:space="0" w:color="auto"/>
            <w:right w:val="none" w:sz="0" w:space="0" w:color="auto"/>
          </w:divBdr>
        </w:div>
        <w:div w:id="1869566627">
          <w:marLeft w:val="480"/>
          <w:marRight w:val="0"/>
          <w:marTop w:val="0"/>
          <w:marBottom w:val="0"/>
          <w:divBdr>
            <w:top w:val="none" w:sz="0" w:space="0" w:color="auto"/>
            <w:left w:val="none" w:sz="0" w:space="0" w:color="auto"/>
            <w:bottom w:val="none" w:sz="0" w:space="0" w:color="auto"/>
            <w:right w:val="none" w:sz="0" w:space="0" w:color="auto"/>
          </w:divBdr>
        </w:div>
        <w:div w:id="700326746">
          <w:marLeft w:val="480"/>
          <w:marRight w:val="0"/>
          <w:marTop w:val="0"/>
          <w:marBottom w:val="0"/>
          <w:divBdr>
            <w:top w:val="none" w:sz="0" w:space="0" w:color="auto"/>
            <w:left w:val="none" w:sz="0" w:space="0" w:color="auto"/>
            <w:bottom w:val="none" w:sz="0" w:space="0" w:color="auto"/>
            <w:right w:val="none" w:sz="0" w:space="0" w:color="auto"/>
          </w:divBdr>
        </w:div>
        <w:div w:id="258876781">
          <w:marLeft w:val="480"/>
          <w:marRight w:val="0"/>
          <w:marTop w:val="0"/>
          <w:marBottom w:val="0"/>
          <w:divBdr>
            <w:top w:val="none" w:sz="0" w:space="0" w:color="auto"/>
            <w:left w:val="none" w:sz="0" w:space="0" w:color="auto"/>
            <w:bottom w:val="none" w:sz="0" w:space="0" w:color="auto"/>
            <w:right w:val="none" w:sz="0" w:space="0" w:color="auto"/>
          </w:divBdr>
        </w:div>
        <w:div w:id="462894798">
          <w:marLeft w:val="480"/>
          <w:marRight w:val="0"/>
          <w:marTop w:val="0"/>
          <w:marBottom w:val="0"/>
          <w:divBdr>
            <w:top w:val="none" w:sz="0" w:space="0" w:color="auto"/>
            <w:left w:val="none" w:sz="0" w:space="0" w:color="auto"/>
            <w:bottom w:val="none" w:sz="0" w:space="0" w:color="auto"/>
            <w:right w:val="none" w:sz="0" w:space="0" w:color="auto"/>
          </w:divBdr>
        </w:div>
        <w:div w:id="2001034371">
          <w:marLeft w:val="480"/>
          <w:marRight w:val="0"/>
          <w:marTop w:val="0"/>
          <w:marBottom w:val="0"/>
          <w:divBdr>
            <w:top w:val="none" w:sz="0" w:space="0" w:color="auto"/>
            <w:left w:val="none" w:sz="0" w:space="0" w:color="auto"/>
            <w:bottom w:val="none" w:sz="0" w:space="0" w:color="auto"/>
            <w:right w:val="none" w:sz="0" w:space="0" w:color="auto"/>
          </w:divBdr>
        </w:div>
        <w:div w:id="639698606">
          <w:marLeft w:val="480"/>
          <w:marRight w:val="0"/>
          <w:marTop w:val="0"/>
          <w:marBottom w:val="0"/>
          <w:divBdr>
            <w:top w:val="none" w:sz="0" w:space="0" w:color="auto"/>
            <w:left w:val="none" w:sz="0" w:space="0" w:color="auto"/>
            <w:bottom w:val="none" w:sz="0" w:space="0" w:color="auto"/>
            <w:right w:val="none" w:sz="0" w:space="0" w:color="auto"/>
          </w:divBdr>
        </w:div>
        <w:div w:id="2084066953">
          <w:marLeft w:val="480"/>
          <w:marRight w:val="0"/>
          <w:marTop w:val="0"/>
          <w:marBottom w:val="0"/>
          <w:divBdr>
            <w:top w:val="none" w:sz="0" w:space="0" w:color="auto"/>
            <w:left w:val="none" w:sz="0" w:space="0" w:color="auto"/>
            <w:bottom w:val="none" w:sz="0" w:space="0" w:color="auto"/>
            <w:right w:val="none" w:sz="0" w:space="0" w:color="auto"/>
          </w:divBdr>
        </w:div>
        <w:div w:id="259918282">
          <w:marLeft w:val="480"/>
          <w:marRight w:val="0"/>
          <w:marTop w:val="0"/>
          <w:marBottom w:val="0"/>
          <w:divBdr>
            <w:top w:val="none" w:sz="0" w:space="0" w:color="auto"/>
            <w:left w:val="none" w:sz="0" w:space="0" w:color="auto"/>
            <w:bottom w:val="none" w:sz="0" w:space="0" w:color="auto"/>
            <w:right w:val="none" w:sz="0" w:space="0" w:color="auto"/>
          </w:divBdr>
        </w:div>
        <w:div w:id="580793805">
          <w:marLeft w:val="480"/>
          <w:marRight w:val="0"/>
          <w:marTop w:val="0"/>
          <w:marBottom w:val="0"/>
          <w:divBdr>
            <w:top w:val="none" w:sz="0" w:space="0" w:color="auto"/>
            <w:left w:val="none" w:sz="0" w:space="0" w:color="auto"/>
            <w:bottom w:val="none" w:sz="0" w:space="0" w:color="auto"/>
            <w:right w:val="none" w:sz="0" w:space="0" w:color="auto"/>
          </w:divBdr>
        </w:div>
        <w:div w:id="1013149408">
          <w:marLeft w:val="480"/>
          <w:marRight w:val="0"/>
          <w:marTop w:val="0"/>
          <w:marBottom w:val="0"/>
          <w:divBdr>
            <w:top w:val="none" w:sz="0" w:space="0" w:color="auto"/>
            <w:left w:val="none" w:sz="0" w:space="0" w:color="auto"/>
            <w:bottom w:val="none" w:sz="0" w:space="0" w:color="auto"/>
            <w:right w:val="none" w:sz="0" w:space="0" w:color="auto"/>
          </w:divBdr>
        </w:div>
        <w:div w:id="1206598918">
          <w:marLeft w:val="480"/>
          <w:marRight w:val="0"/>
          <w:marTop w:val="0"/>
          <w:marBottom w:val="0"/>
          <w:divBdr>
            <w:top w:val="none" w:sz="0" w:space="0" w:color="auto"/>
            <w:left w:val="none" w:sz="0" w:space="0" w:color="auto"/>
            <w:bottom w:val="none" w:sz="0" w:space="0" w:color="auto"/>
            <w:right w:val="none" w:sz="0" w:space="0" w:color="auto"/>
          </w:divBdr>
        </w:div>
        <w:div w:id="845093531">
          <w:marLeft w:val="480"/>
          <w:marRight w:val="0"/>
          <w:marTop w:val="0"/>
          <w:marBottom w:val="0"/>
          <w:divBdr>
            <w:top w:val="none" w:sz="0" w:space="0" w:color="auto"/>
            <w:left w:val="none" w:sz="0" w:space="0" w:color="auto"/>
            <w:bottom w:val="none" w:sz="0" w:space="0" w:color="auto"/>
            <w:right w:val="none" w:sz="0" w:space="0" w:color="auto"/>
          </w:divBdr>
        </w:div>
        <w:div w:id="1055394530">
          <w:marLeft w:val="480"/>
          <w:marRight w:val="0"/>
          <w:marTop w:val="0"/>
          <w:marBottom w:val="0"/>
          <w:divBdr>
            <w:top w:val="none" w:sz="0" w:space="0" w:color="auto"/>
            <w:left w:val="none" w:sz="0" w:space="0" w:color="auto"/>
            <w:bottom w:val="none" w:sz="0" w:space="0" w:color="auto"/>
            <w:right w:val="none" w:sz="0" w:space="0" w:color="auto"/>
          </w:divBdr>
        </w:div>
        <w:div w:id="218127811">
          <w:marLeft w:val="480"/>
          <w:marRight w:val="0"/>
          <w:marTop w:val="0"/>
          <w:marBottom w:val="0"/>
          <w:divBdr>
            <w:top w:val="none" w:sz="0" w:space="0" w:color="auto"/>
            <w:left w:val="none" w:sz="0" w:space="0" w:color="auto"/>
            <w:bottom w:val="none" w:sz="0" w:space="0" w:color="auto"/>
            <w:right w:val="none" w:sz="0" w:space="0" w:color="auto"/>
          </w:divBdr>
        </w:div>
        <w:div w:id="866063505">
          <w:marLeft w:val="480"/>
          <w:marRight w:val="0"/>
          <w:marTop w:val="0"/>
          <w:marBottom w:val="0"/>
          <w:divBdr>
            <w:top w:val="none" w:sz="0" w:space="0" w:color="auto"/>
            <w:left w:val="none" w:sz="0" w:space="0" w:color="auto"/>
            <w:bottom w:val="none" w:sz="0" w:space="0" w:color="auto"/>
            <w:right w:val="none" w:sz="0" w:space="0" w:color="auto"/>
          </w:divBdr>
        </w:div>
        <w:div w:id="463043014">
          <w:marLeft w:val="480"/>
          <w:marRight w:val="0"/>
          <w:marTop w:val="0"/>
          <w:marBottom w:val="0"/>
          <w:divBdr>
            <w:top w:val="none" w:sz="0" w:space="0" w:color="auto"/>
            <w:left w:val="none" w:sz="0" w:space="0" w:color="auto"/>
            <w:bottom w:val="none" w:sz="0" w:space="0" w:color="auto"/>
            <w:right w:val="none" w:sz="0" w:space="0" w:color="auto"/>
          </w:divBdr>
        </w:div>
        <w:div w:id="1325428780">
          <w:marLeft w:val="480"/>
          <w:marRight w:val="0"/>
          <w:marTop w:val="0"/>
          <w:marBottom w:val="0"/>
          <w:divBdr>
            <w:top w:val="none" w:sz="0" w:space="0" w:color="auto"/>
            <w:left w:val="none" w:sz="0" w:space="0" w:color="auto"/>
            <w:bottom w:val="none" w:sz="0" w:space="0" w:color="auto"/>
            <w:right w:val="none" w:sz="0" w:space="0" w:color="auto"/>
          </w:divBdr>
        </w:div>
        <w:div w:id="614563203">
          <w:marLeft w:val="480"/>
          <w:marRight w:val="0"/>
          <w:marTop w:val="0"/>
          <w:marBottom w:val="0"/>
          <w:divBdr>
            <w:top w:val="none" w:sz="0" w:space="0" w:color="auto"/>
            <w:left w:val="none" w:sz="0" w:space="0" w:color="auto"/>
            <w:bottom w:val="none" w:sz="0" w:space="0" w:color="auto"/>
            <w:right w:val="none" w:sz="0" w:space="0" w:color="auto"/>
          </w:divBdr>
        </w:div>
        <w:div w:id="977345444">
          <w:marLeft w:val="480"/>
          <w:marRight w:val="0"/>
          <w:marTop w:val="0"/>
          <w:marBottom w:val="0"/>
          <w:divBdr>
            <w:top w:val="none" w:sz="0" w:space="0" w:color="auto"/>
            <w:left w:val="none" w:sz="0" w:space="0" w:color="auto"/>
            <w:bottom w:val="none" w:sz="0" w:space="0" w:color="auto"/>
            <w:right w:val="none" w:sz="0" w:space="0" w:color="auto"/>
          </w:divBdr>
        </w:div>
        <w:div w:id="854419505">
          <w:marLeft w:val="480"/>
          <w:marRight w:val="0"/>
          <w:marTop w:val="0"/>
          <w:marBottom w:val="0"/>
          <w:divBdr>
            <w:top w:val="none" w:sz="0" w:space="0" w:color="auto"/>
            <w:left w:val="none" w:sz="0" w:space="0" w:color="auto"/>
            <w:bottom w:val="none" w:sz="0" w:space="0" w:color="auto"/>
            <w:right w:val="none" w:sz="0" w:space="0" w:color="auto"/>
          </w:divBdr>
        </w:div>
        <w:div w:id="1377504197">
          <w:marLeft w:val="480"/>
          <w:marRight w:val="0"/>
          <w:marTop w:val="0"/>
          <w:marBottom w:val="0"/>
          <w:divBdr>
            <w:top w:val="none" w:sz="0" w:space="0" w:color="auto"/>
            <w:left w:val="none" w:sz="0" w:space="0" w:color="auto"/>
            <w:bottom w:val="none" w:sz="0" w:space="0" w:color="auto"/>
            <w:right w:val="none" w:sz="0" w:space="0" w:color="auto"/>
          </w:divBdr>
        </w:div>
        <w:div w:id="1749157097">
          <w:marLeft w:val="480"/>
          <w:marRight w:val="0"/>
          <w:marTop w:val="0"/>
          <w:marBottom w:val="0"/>
          <w:divBdr>
            <w:top w:val="none" w:sz="0" w:space="0" w:color="auto"/>
            <w:left w:val="none" w:sz="0" w:space="0" w:color="auto"/>
            <w:bottom w:val="none" w:sz="0" w:space="0" w:color="auto"/>
            <w:right w:val="none" w:sz="0" w:space="0" w:color="auto"/>
          </w:divBdr>
        </w:div>
        <w:div w:id="984578891">
          <w:marLeft w:val="480"/>
          <w:marRight w:val="0"/>
          <w:marTop w:val="0"/>
          <w:marBottom w:val="0"/>
          <w:divBdr>
            <w:top w:val="none" w:sz="0" w:space="0" w:color="auto"/>
            <w:left w:val="none" w:sz="0" w:space="0" w:color="auto"/>
            <w:bottom w:val="none" w:sz="0" w:space="0" w:color="auto"/>
            <w:right w:val="none" w:sz="0" w:space="0" w:color="auto"/>
          </w:divBdr>
        </w:div>
        <w:div w:id="741299296">
          <w:marLeft w:val="480"/>
          <w:marRight w:val="0"/>
          <w:marTop w:val="0"/>
          <w:marBottom w:val="0"/>
          <w:divBdr>
            <w:top w:val="none" w:sz="0" w:space="0" w:color="auto"/>
            <w:left w:val="none" w:sz="0" w:space="0" w:color="auto"/>
            <w:bottom w:val="none" w:sz="0" w:space="0" w:color="auto"/>
            <w:right w:val="none" w:sz="0" w:space="0" w:color="auto"/>
          </w:divBdr>
        </w:div>
        <w:div w:id="1361468192">
          <w:marLeft w:val="480"/>
          <w:marRight w:val="0"/>
          <w:marTop w:val="0"/>
          <w:marBottom w:val="0"/>
          <w:divBdr>
            <w:top w:val="none" w:sz="0" w:space="0" w:color="auto"/>
            <w:left w:val="none" w:sz="0" w:space="0" w:color="auto"/>
            <w:bottom w:val="none" w:sz="0" w:space="0" w:color="auto"/>
            <w:right w:val="none" w:sz="0" w:space="0" w:color="auto"/>
          </w:divBdr>
        </w:div>
        <w:div w:id="208105959">
          <w:marLeft w:val="480"/>
          <w:marRight w:val="0"/>
          <w:marTop w:val="0"/>
          <w:marBottom w:val="0"/>
          <w:divBdr>
            <w:top w:val="none" w:sz="0" w:space="0" w:color="auto"/>
            <w:left w:val="none" w:sz="0" w:space="0" w:color="auto"/>
            <w:bottom w:val="none" w:sz="0" w:space="0" w:color="auto"/>
            <w:right w:val="none" w:sz="0" w:space="0" w:color="auto"/>
          </w:divBdr>
        </w:div>
        <w:div w:id="167870086">
          <w:marLeft w:val="480"/>
          <w:marRight w:val="0"/>
          <w:marTop w:val="0"/>
          <w:marBottom w:val="0"/>
          <w:divBdr>
            <w:top w:val="none" w:sz="0" w:space="0" w:color="auto"/>
            <w:left w:val="none" w:sz="0" w:space="0" w:color="auto"/>
            <w:bottom w:val="none" w:sz="0" w:space="0" w:color="auto"/>
            <w:right w:val="none" w:sz="0" w:space="0" w:color="auto"/>
          </w:divBdr>
        </w:div>
        <w:div w:id="171459417">
          <w:marLeft w:val="480"/>
          <w:marRight w:val="0"/>
          <w:marTop w:val="0"/>
          <w:marBottom w:val="0"/>
          <w:divBdr>
            <w:top w:val="none" w:sz="0" w:space="0" w:color="auto"/>
            <w:left w:val="none" w:sz="0" w:space="0" w:color="auto"/>
            <w:bottom w:val="none" w:sz="0" w:space="0" w:color="auto"/>
            <w:right w:val="none" w:sz="0" w:space="0" w:color="auto"/>
          </w:divBdr>
        </w:div>
        <w:div w:id="1279991303">
          <w:marLeft w:val="480"/>
          <w:marRight w:val="0"/>
          <w:marTop w:val="0"/>
          <w:marBottom w:val="0"/>
          <w:divBdr>
            <w:top w:val="none" w:sz="0" w:space="0" w:color="auto"/>
            <w:left w:val="none" w:sz="0" w:space="0" w:color="auto"/>
            <w:bottom w:val="none" w:sz="0" w:space="0" w:color="auto"/>
            <w:right w:val="none" w:sz="0" w:space="0" w:color="auto"/>
          </w:divBdr>
        </w:div>
        <w:div w:id="1788548966">
          <w:marLeft w:val="480"/>
          <w:marRight w:val="0"/>
          <w:marTop w:val="0"/>
          <w:marBottom w:val="0"/>
          <w:divBdr>
            <w:top w:val="none" w:sz="0" w:space="0" w:color="auto"/>
            <w:left w:val="none" w:sz="0" w:space="0" w:color="auto"/>
            <w:bottom w:val="none" w:sz="0" w:space="0" w:color="auto"/>
            <w:right w:val="none" w:sz="0" w:space="0" w:color="auto"/>
          </w:divBdr>
        </w:div>
        <w:div w:id="1291784229">
          <w:marLeft w:val="480"/>
          <w:marRight w:val="0"/>
          <w:marTop w:val="0"/>
          <w:marBottom w:val="0"/>
          <w:divBdr>
            <w:top w:val="none" w:sz="0" w:space="0" w:color="auto"/>
            <w:left w:val="none" w:sz="0" w:space="0" w:color="auto"/>
            <w:bottom w:val="none" w:sz="0" w:space="0" w:color="auto"/>
            <w:right w:val="none" w:sz="0" w:space="0" w:color="auto"/>
          </w:divBdr>
        </w:div>
        <w:div w:id="964656667">
          <w:marLeft w:val="480"/>
          <w:marRight w:val="0"/>
          <w:marTop w:val="0"/>
          <w:marBottom w:val="0"/>
          <w:divBdr>
            <w:top w:val="none" w:sz="0" w:space="0" w:color="auto"/>
            <w:left w:val="none" w:sz="0" w:space="0" w:color="auto"/>
            <w:bottom w:val="none" w:sz="0" w:space="0" w:color="auto"/>
            <w:right w:val="none" w:sz="0" w:space="0" w:color="auto"/>
          </w:divBdr>
        </w:div>
        <w:div w:id="2052530728">
          <w:marLeft w:val="480"/>
          <w:marRight w:val="0"/>
          <w:marTop w:val="0"/>
          <w:marBottom w:val="0"/>
          <w:divBdr>
            <w:top w:val="none" w:sz="0" w:space="0" w:color="auto"/>
            <w:left w:val="none" w:sz="0" w:space="0" w:color="auto"/>
            <w:bottom w:val="none" w:sz="0" w:space="0" w:color="auto"/>
            <w:right w:val="none" w:sz="0" w:space="0" w:color="auto"/>
          </w:divBdr>
        </w:div>
        <w:div w:id="1218205480">
          <w:marLeft w:val="480"/>
          <w:marRight w:val="0"/>
          <w:marTop w:val="0"/>
          <w:marBottom w:val="0"/>
          <w:divBdr>
            <w:top w:val="none" w:sz="0" w:space="0" w:color="auto"/>
            <w:left w:val="none" w:sz="0" w:space="0" w:color="auto"/>
            <w:bottom w:val="none" w:sz="0" w:space="0" w:color="auto"/>
            <w:right w:val="none" w:sz="0" w:space="0" w:color="auto"/>
          </w:divBdr>
        </w:div>
        <w:div w:id="148401196">
          <w:marLeft w:val="480"/>
          <w:marRight w:val="0"/>
          <w:marTop w:val="0"/>
          <w:marBottom w:val="0"/>
          <w:divBdr>
            <w:top w:val="none" w:sz="0" w:space="0" w:color="auto"/>
            <w:left w:val="none" w:sz="0" w:space="0" w:color="auto"/>
            <w:bottom w:val="none" w:sz="0" w:space="0" w:color="auto"/>
            <w:right w:val="none" w:sz="0" w:space="0" w:color="auto"/>
          </w:divBdr>
        </w:div>
        <w:div w:id="2035232227">
          <w:marLeft w:val="480"/>
          <w:marRight w:val="0"/>
          <w:marTop w:val="0"/>
          <w:marBottom w:val="0"/>
          <w:divBdr>
            <w:top w:val="none" w:sz="0" w:space="0" w:color="auto"/>
            <w:left w:val="none" w:sz="0" w:space="0" w:color="auto"/>
            <w:bottom w:val="none" w:sz="0" w:space="0" w:color="auto"/>
            <w:right w:val="none" w:sz="0" w:space="0" w:color="auto"/>
          </w:divBdr>
        </w:div>
        <w:div w:id="259223432">
          <w:marLeft w:val="480"/>
          <w:marRight w:val="0"/>
          <w:marTop w:val="0"/>
          <w:marBottom w:val="0"/>
          <w:divBdr>
            <w:top w:val="none" w:sz="0" w:space="0" w:color="auto"/>
            <w:left w:val="none" w:sz="0" w:space="0" w:color="auto"/>
            <w:bottom w:val="none" w:sz="0" w:space="0" w:color="auto"/>
            <w:right w:val="none" w:sz="0" w:space="0" w:color="auto"/>
          </w:divBdr>
        </w:div>
        <w:div w:id="1419788969">
          <w:marLeft w:val="480"/>
          <w:marRight w:val="0"/>
          <w:marTop w:val="0"/>
          <w:marBottom w:val="0"/>
          <w:divBdr>
            <w:top w:val="none" w:sz="0" w:space="0" w:color="auto"/>
            <w:left w:val="none" w:sz="0" w:space="0" w:color="auto"/>
            <w:bottom w:val="none" w:sz="0" w:space="0" w:color="auto"/>
            <w:right w:val="none" w:sz="0" w:space="0" w:color="auto"/>
          </w:divBdr>
        </w:div>
        <w:div w:id="1650553736">
          <w:marLeft w:val="480"/>
          <w:marRight w:val="0"/>
          <w:marTop w:val="0"/>
          <w:marBottom w:val="0"/>
          <w:divBdr>
            <w:top w:val="none" w:sz="0" w:space="0" w:color="auto"/>
            <w:left w:val="none" w:sz="0" w:space="0" w:color="auto"/>
            <w:bottom w:val="none" w:sz="0" w:space="0" w:color="auto"/>
            <w:right w:val="none" w:sz="0" w:space="0" w:color="auto"/>
          </w:divBdr>
        </w:div>
        <w:div w:id="658191212">
          <w:marLeft w:val="480"/>
          <w:marRight w:val="0"/>
          <w:marTop w:val="0"/>
          <w:marBottom w:val="0"/>
          <w:divBdr>
            <w:top w:val="none" w:sz="0" w:space="0" w:color="auto"/>
            <w:left w:val="none" w:sz="0" w:space="0" w:color="auto"/>
            <w:bottom w:val="none" w:sz="0" w:space="0" w:color="auto"/>
            <w:right w:val="none" w:sz="0" w:space="0" w:color="auto"/>
          </w:divBdr>
        </w:div>
        <w:div w:id="1586643728">
          <w:marLeft w:val="480"/>
          <w:marRight w:val="0"/>
          <w:marTop w:val="0"/>
          <w:marBottom w:val="0"/>
          <w:divBdr>
            <w:top w:val="none" w:sz="0" w:space="0" w:color="auto"/>
            <w:left w:val="none" w:sz="0" w:space="0" w:color="auto"/>
            <w:bottom w:val="none" w:sz="0" w:space="0" w:color="auto"/>
            <w:right w:val="none" w:sz="0" w:space="0" w:color="auto"/>
          </w:divBdr>
        </w:div>
        <w:div w:id="66735268">
          <w:marLeft w:val="480"/>
          <w:marRight w:val="0"/>
          <w:marTop w:val="0"/>
          <w:marBottom w:val="0"/>
          <w:divBdr>
            <w:top w:val="none" w:sz="0" w:space="0" w:color="auto"/>
            <w:left w:val="none" w:sz="0" w:space="0" w:color="auto"/>
            <w:bottom w:val="none" w:sz="0" w:space="0" w:color="auto"/>
            <w:right w:val="none" w:sz="0" w:space="0" w:color="auto"/>
          </w:divBdr>
        </w:div>
        <w:div w:id="796412880">
          <w:marLeft w:val="480"/>
          <w:marRight w:val="0"/>
          <w:marTop w:val="0"/>
          <w:marBottom w:val="0"/>
          <w:divBdr>
            <w:top w:val="none" w:sz="0" w:space="0" w:color="auto"/>
            <w:left w:val="none" w:sz="0" w:space="0" w:color="auto"/>
            <w:bottom w:val="none" w:sz="0" w:space="0" w:color="auto"/>
            <w:right w:val="none" w:sz="0" w:space="0" w:color="auto"/>
          </w:divBdr>
        </w:div>
        <w:div w:id="866331379">
          <w:marLeft w:val="480"/>
          <w:marRight w:val="0"/>
          <w:marTop w:val="0"/>
          <w:marBottom w:val="0"/>
          <w:divBdr>
            <w:top w:val="none" w:sz="0" w:space="0" w:color="auto"/>
            <w:left w:val="none" w:sz="0" w:space="0" w:color="auto"/>
            <w:bottom w:val="none" w:sz="0" w:space="0" w:color="auto"/>
            <w:right w:val="none" w:sz="0" w:space="0" w:color="auto"/>
          </w:divBdr>
        </w:div>
        <w:div w:id="1303657854">
          <w:marLeft w:val="480"/>
          <w:marRight w:val="0"/>
          <w:marTop w:val="0"/>
          <w:marBottom w:val="0"/>
          <w:divBdr>
            <w:top w:val="none" w:sz="0" w:space="0" w:color="auto"/>
            <w:left w:val="none" w:sz="0" w:space="0" w:color="auto"/>
            <w:bottom w:val="none" w:sz="0" w:space="0" w:color="auto"/>
            <w:right w:val="none" w:sz="0" w:space="0" w:color="auto"/>
          </w:divBdr>
        </w:div>
        <w:div w:id="518588450">
          <w:marLeft w:val="480"/>
          <w:marRight w:val="0"/>
          <w:marTop w:val="0"/>
          <w:marBottom w:val="0"/>
          <w:divBdr>
            <w:top w:val="none" w:sz="0" w:space="0" w:color="auto"/>
            <w:left w:val="none" w:sz="0" w:space="0" w:color="auto"/>
            <w:bottom w:val="none" w:sz="0" w:space="0" w:color="auto"/>
            <w:right w:val="none" w:sz="0" w:space="0" w:color="auto"/>
          </w:divBdr>
        </w:div>
        <w:div w:id="451871542">
          <w:marLeft w:val="480"/>
          <w:marRight w:val="0"/>
          <w:marTop w:val="0"/>
          <w:marBottom w:val="0"/>
          <w:divBdr>
            <w:top w:val="none" w:sz="0" w:space="0" w:color="auto"/>
            <w:left w:val="none" w:sz="0" w:space="0" w:color="auto"/>
            <w:bottom w:val="none" w:sz="0" w:space="0" w:color="auto"/>
            <w:right w:val="none" w:sz="0" w:space="0" w:color="auto"/>
          </w:divBdr>
        </w:div>
        <w:div w:id="1912688831">
          <w:marLeft w:val="480"/>
          <w:marRight w:val="0"/>
          <w:marTop w:val="0"/>
          <w:marBottom w:val="0"/>
          <w:divBdr>
            <w:top w:val="none" w:sz="0" w:space="0" w:color="auto"/>
            <w:left w:val="none" w:sz="0" w:space="0" w:color="auto"/>
            <w:bottom w:val="none" w:sz="0" w:space="0" w:color="auto"/>
            <w:right w:val="none" w:sz="0" w:space="0" w:color="auto"/>
          </w:divBdr>
        </w:div>
        <w:div w:id="404650689">
          <w:marLeft w:val="480"/>
          <w:marRight w:val="0"/>
          <w:marTop w:val="0"/>
          <w:marBottom w:val="0"/>
          <w:divBdr>
            <w:top w:val="none" w:sz="0" w:space="0" w:color="auto"/>
            <w:left w:val="none" w:sz="0" w:space="0" w:color="auto"/>
            <w:bottom w:val="none" w:sz="0" w:space="0" w:color="auto"/>
            <w:right w:val="none" w:sz="0" w:space="0" w:color="auto"/>
          </w:divBdr>
        </w:div>
        <w:div w:id="1821463600">
          <w:marLeft w:val="480"/>
          <w:marRight w:val="0"/>
          <w:marTop w:val="0"/>
          <w:marBottom w:val="0"/>
          <w:divBdr>
            <w:top w:val="none" w:sz="0" w:space="0" w:color="auto"/>
            <w:left w:val="none" w:sz="0" w:space="0" w:color="auto"/>
            <w:bottom w:val="none" w:sz="0" w:space="0" w:color="auto"/>
            <w:right w:val="none" w:sz="0" w:space="0" w:color="auto"/>
          </w:divBdr>
        </w:div>
        <w:div w:id="1890191242">
          <w:marLeft w:val="480"/>
          <w:marRight w:val="0"/>
          <w:marTop w:val="0"/>
          <w:marBottom w:val="0"/>
          <w:divBdr>
            <w:top w:val="none" w:sz="0" w:space="0" w:color="auto"/>
            <w:left w:val="none" w:sz="0" w:space="0" w:color="auto"/>
            <w:bottom w:val="none" w:sz="0" w:space="0" w:color="auto"/>
            <w:right w:val="none" w:sz="0" w:space="0" w:color="auto"/>
          </w:divBdr>
        </w:div>
        <w:div w:id="830948861">
          <w:marLeft w:val="480"/>
          <w:marRight w:val="0"/>
          <w:marTop w:val="0"/>
          <w:marBottom w:val="0"/>
          <w:divBdr>
            <w:top w:val="none" w:sz="0" w:space="0" w:color="auto"/>
            <w:left w:val="none" w:sz="0" w:space="0" w:color="auto"/>
            <w:bottom w:val="none" w:sz="0" w:space="0" w:color="auto"/>
            <w:right w:val="none" w:sz="0" w:space="0" w:color="auto"/>
          </w:divBdr>
        </w:div>
        <w:div w:id="2029404743">
          <w:marLeft w:val="480"/>
          <w:marRight w:val="0"/>
          <w:marTop w:val="0"/>
          <w:marBottom w:val="0"/>
          <w:divBdr>
            <w:top w:val="none" w:sz="0" w:space="0" w:color="auto"/>
            <w:left w:val="none" w:sz="0" w:space="0" w:color="auto"/>
            <w:bottom w:val="none" w:sz="0" w:space="0" w:color="auto"/>
            <w:right w:val="none" w:sz="0" w:space="0" w:color="auto"/>
          </w:divBdr>
        </w:div>
        <w:div w:id="1701008732">
          <w:marLeft w:val="480"/>
          <w:marRight w:val="0"/>
          <w:marTop w:val="0"/>
          <w:marBottom w:val="0"/>
          <w:divBdr>
            <w:top w:val="none" w:sz="0" w:space="0" w:color="auto"/>
            <w:left w:val="none" w:sz="0" w:space="0" w:color="auto"/>
            <w:bottom w:val="none" w:sz="0" w:space="0" w:color="auto"/>
            <w:right w:val="none" w:sz="0" w:space="0" w:color="auto"/>
          </w:divBdr>
        </w:div>
        <w:div w:id="1412892106">
          <w:marLeft w:val="480"/>
          <w:marRight w:val="0"/>
          <w:marTop w:val="0"/>
          <w:marBottom w:val="0"/>
          <w:divBdr>
            <w:top w:val="none" w:sz="0" w:space="0" w:color="auto"/>
            <w:left w:val="none" w:sz="0" w:space="0" w:color="auto"/>
            <w:bottom w:val="none" w:sz="0" w:space="0" w:color="auto"/>
            <w:right w:val="none" w:sz="0" w:space="0" w:color="auto"/>
          </w:divBdr>
        </w:div>
        <w:div w:id="280648555">
          <w:marLeft w:val="480"/>
          <w:marRight w:val="0"/>
          <w:marTop w:val="0"/>
          <w:marBottom w:val="0"/>
          <w:divBdr>
            <w:top w:val="none" w:sz="0" w:space="0" w:color="auto"/>
            <w:left w:val="none" w:sz="0" w:space="0" w:color="auto"/>
            <w:bottom w:val="none" w:sz="0" w:space="0" w:color="auto"/>
            <w:right w:val="none" w:sz="0" w:space="0" w:color="auto"/>
          </w:divBdr>
        </w:div>
        <w:div w:id="348458429">
          <w:marLeft w:val="480"/>
          <w:marRight w:val="0"/>
          <w:marTop w:val="0"/>
          <w:marBottom w:val="0"/>
          <w:divBdr>
            <w:top w:val="none" w:sz="0" w:space="0" w:color="auto"/>
            <w:left w:val="none" w:sz="0" w:space="0" w:color="auto"/>
            <w:bottom w:val="none" w:sz="0" w:space="0" w:color="auto"/>
            <w:right w:val="none" w:sz="0" w:space="0" w:color="auto"/>
          </w:divBdr>
        </w:div>
        <w:div w:id="1533879058">
          <w:marLeft w:val="480"/>
          <w:marRight w:val="0"/>
          <w:marTop w:val="0"/>
          <w:marBottom w:val="0"/>
          <w:divBdr>
            <w:top w:val="none" w:sz="0" w:space="0" w:color="auto"/>
            <w:left w:val="none" w:sz="0" w:space="0" w:color="auto"/>
            <w:bottom w:val="none" w:sz="0" w:space="0" w:color="auto"/>
            <w:right w:val="none" w:sz="0" w:space="0" w:color="auto"/>
          </w:divBdr>
        </w:div>
        <w:div w:id="1726174402">
          <w:marLeft w:val="480"/>
          <w:marRight w:val="0"/>
          <w:marTop w:val="0"/>
          <w:marBottom w:val="0"/>
          <w:divBdr>
            <w:top w:val="none" w:sz="0" w:space="0" w:color="auto"/>
            <w:left w:val="none" w:sz="0" w:space="0" w:color="auto"/>
            <w:bottom w:val="none" w:sz="0" w:space="0" w:color="auto"/>
            <w:right w:val="none" w:sz="0" w:space="0" w:color="auto"/>
          </w:divBdr>
        </w:div>
        <w:div w:id="241376891">
          <w:marLeft w:val="480"/>
          <w:marRight w:val="0"/>
          <w:marTop w:val="0"/>
          <w:marBottom w:val="0"/>
          <w:divBdr>
            <w:top w:val="none" w:sz="0" w:space="0" w:color="auto"/>
            <w:left w:val="none" w:sz="0" w:space="0" w:color="auto"/>
            <w:bottom w:val="none" w:sz="0" w:space="0" w:color="auto"/>
            <w:right w:val="none" w:sz="0" w:space="0" w:color="auto"/>
          </w:divBdr>
        </w:div>
        <w:div w:id="196551500">
          <w:marLeft w:val="480"/>
          <w:marRight w:val="0"/>
          <w:marTop w:val="0"/>
          <w:marBottom w:val="0"/>
          <w:divBdr>
            <w:top w:val="none" w:sz="0" w:space="0" w:color="auto"/>
            <w:left w:val="none" w:sz="0" w:space="0" w:color="auto"/>
            <w:bottom w:val="none" w:sz="0" w:space="0" w:color="auto"/>
            <w:right w:val="none" w:sz="0" w:space="0" w:color="auto"/>
          </w:divBdr>
        </w:div>
        <w:div w:id="19205937">
          <w:marLeft w:val="480"/>
          <w:marRight w:val="0"/>
          <w:marTop w:val="0"/>
          <w:marBottom w:val="0"/>
          <w:divBdr>
            <w:top w:val="none" w:sz="0" w:space="0" w:color="auto"/>
            <w:left w:val="none" w:sz="0" w:space="0" w:color="auto"/>
            <w:bottom w:val="none" w:sz="0" w:space="0" w:color="auto"/>
            <w:right w:val="none" w:sz="0" w:space="0" w:color="auto"/>
          </w:divBdr>
        </w:div>
        <w:div w:id="1510021383">
          <w:marLeft w:val="480"/>
          <w:marRight w:val="0"/>
          <w:marTop w:val="0"/>
          <w:marBottom w:val="0"/>
          <w:divBdr>
            <w:top w:val="none" w:sz="0" w:space="0" w:color="auto"/>
            <w:left w:val="none" w:sz="0" w:space="0" w:color="auto"/>
            <w:bottom w:val="none" w:sz="0" w:space="0" w:color="auto"/>
            <w:right w:val="none" w:sz="0" w:space="0" w:color="auto"/>
          </w:divBdr>
        </w:div>
        <w:div w:id="1343631512">
          <w:marLeft w:val="480"/>
          <w:marRight w:val="0"/>
          <w:marTop w:val="0"/>
          <w:marBottom w:val="0"/>
          <w:divBdr>
            <w:top w:val="none" w:sz="0" w:space="0" w:color="auto"/>
            <w:left w:val="none" w:sz="0" w:space="0" w:color="auto"/>
            <w:bottom w:val="none" w:sz="0" w:space="0" w:color="auto"/>
            <w:right w:val="none" w:sz="0" w:space="0" w:color="auto"/>
          </w:divBdr>
        </w:div>
        <w:div w:id="749617456">
          <w:marLeft w:val="480"/>
          <w:marRight w:val="0"/>
          <w:marTop w:val="0"/>
          <w:marBottom w:val="0"/>
          <w:divBdr>
            <w:top w:val="none" w:sz="0" w:space="0" w:color="auto"/>
            <w:left w:val="none" w:sz="0" w:space="0" w:color="auto"/>
            <w:bottom w:val="none" w:sz="0" w:space="0" w:color="auto"/>
            <w:right w:val="none" w:sz="0" w:space="0" w:color="auto"/>
          </w:divBdr>
        </w:div>
        <w:div w:id="1297106064">
          <w:marLeft w:val="480"/>
          <w:marRight w:val="0"/>
          <w:marTop w:val="0"/>
          <w:marBottom w:val="0"/>
          <w:divBdr>
            <w:top w:val="none" w:sz="0" w:space="0" w:color="auto"/>
            <w:left w:val="none" w:sz="0" w:space="0" w:color="auto"/>
            <w:bottom w:val="none" w:sz="0" w:space="0" w:color="auto"/>
            <w:right w:val="none" w:sz="0" w:space="0" w:color="auto"/>
          </w:divBdr>
        </w:div>
        <w:div w:id="206570666">
          <w:marLeft w:val="480"/>
          <w:marRight w:val="0"/>
          <w:marTop w:val="0"/>
          <w:marBottom w:val="0"/>
          <w:divBdr>
            <w:top w:val="none" w:sz="0" w:space="0" w:color="auto"/>
            <w:left w:val="none" w:sz="0" w:space="0" w:color="auto"/>
            <w:bottom w:val="none" w:sz="0" w:space="0" w:color="auto"/>
            <w:right w:val="none" w:sz="0" w:space="0" w:color="auto"/>
          </w:divBdr>
        </w:div>
        <w:div w:id="343826023">
          <w:marLeft w:val="480"/>
          <w:marRight w:val="0"/>
          <w:marTop w:val="0"/>
          <w:marBottom w:val="0"/>
          <w:divBdr>
            <w:top w:val="none" w:sz="0" w:space="0" w:color="auto"/>
            <w:left w:val="none" w:sz="0" w:space="0" w:color="auto"/>
            <w:bottom w:val="none" w:sz="0" w:space="0" w:color="auto"/>
            <w:right w:val="none" w:sz="0" w:space="0" w:color="auto"/>
          </w:divBdr>
        </w:div>
        <w:div w:id="404109430">
          <w:marLeft w:val="480"/>
          <w:marRight w:val="0"/>
          <w:marTop w:val="0"/>
          <w:marBottom w:val="0"/>
          <w:divBdr>
            <w:top w:val="none" w:sz="0" w:space="0" w:color="auto"/>
            <w:left w:val="none" w:sz="0" w:space="0" w:color="auto"/>
            <w:bottom w:val="none" w:sz="0" w:space="0" w:color="auto"/>
            <w:right w:val="none" w:sz="0" w:space="0" w:color="auto"/>
          </w:divBdr>
        </w:div>
        <w:div w:id="345252330">
          <w:marLeft w:val="480"/>
          <w:marRight w:val="0"/>
          <w:marTop w:val="0"/>
          <w:marBottom w:val="0"/>
          <w:divBdr>
            <w:top w:val="none" w:sz="0" w:space="0" w:color="auto"/>
            <w:left w:val="none" w:sz="0" w:space="0" w:color="auto"/>
            <w:bottom w:val="none" w:sz="0" w:space="0" w:color="auto"/>
            <w:right w:val="none" w:sz="0" w:space="0" w:color="auto"/>
          </w:divBdr>
        </w:div>
        <w:div w:id="247273577">
          <w:marLeft w:val="480"/>
          <w:marRight w:val="0"/>
          <w:marTop w:val="0"/>
          <w:marBottom w:val="0"/>
          <w:divBdr>
            <w:top w:val="none" w:sz="0" w:space="0" w:color="auto"/>
            <w:left w:val="none" w:sz="0" w:space="0" w:color="auto"/>
            <w:bottom w:val="none" w:sz="0" w:space="0" w:color="auto"/>
            <w:right w:val="none" w:sz="0" w:space="0" w:color="auto"/>
          </w:divBdr>
        </w:div>
        <w:div w:id="1581674281">
          <w:marLeft w:val="480"/>
          <w:marRight w:val="0"/>
          <w:marTop w:val="0"/>
          <w:marBottom w:val="0"/>
          <w:divBdr>
            <w:top w:val="none" w:sz="0" w:space="0" w:color="auto"/>
            <w:left w:val="none" w:sz="0" w:space="0" w:color="auto"/>
            <w:bottom w:val="none" w:sz="0" w:space="0" w:color="auto"/>
            <w:right w:val="none" w:sz="0" w:space="0" w:color="auto"/>
          </w:divBdr>
        </w:div>
        <w:div w:id="40596673">
          <w:marLeft w:val="480"/>
          <w:marRight w:val="0"/>
          <w:marTop w:val="0"/>
          <w:marBottom w:val="0"/>
          <w:divBdr>
            <w:top w:val="none" w:sz="0" w:space="0" w:color="auto"/>
            <w:left w:val="none" w:sz="0" w:space="0" w:color="auto"/>
            <w:bottom w:val="none" w:sz="0" w:space="0" w:color="auto"/>
            <w:right w:val="none" w:sz="0" w:space="0" w:color="auto"/>
          </w:divBdr>
        </w:div>
        <w:div w:id="2132279642">
          <w:marLeft w:val="480"/>
          <w:marRight w:val="0"/>
          <w:marTop w:val="0"/>
          <w:marBottom w:val="0"/>
          <w:divBdr>
            <w:top w:val="none" w:sz="0" w:space="0" w:color="auto"/>
            <w:left w:val="none" w:sz="0" w:space="0" w:color="auto"/>
            <w:bottom w:val="none" w:sz="0" w:space="0" w:color="auto"/>
            <w:right w:val="none" w:sz="0" w:space="0" w:color="auto"/>
          </w:divBdr>
        </w:div>
        <w:div w:id="1553076808">
          <w:marLeft w:val="480"/>
          <w:marRight w:val="0"/>
          <w:marTop w:val="0"/>
          <w:marBottom w:val="0"/>
          <w:divBdr>
            <w:top w:val="none" w:sz="0" w:space="0" w:color="auto"/>
            <w:left w:val="none" w:sz="0" w:space="0" w:color="auto"/>
            <w:bottom w:val="none" w:sz="0" w:space="0" w:color="auto"/>
            <w:right w:val="none" w:sz="0" w:space="0" w:color="auto"/>
          </w:divBdr>
        </w:div>
        <w:div w:id="1687176038">
          <w:marLeft w:val="480"/>
          <w:marRight w:val="0"/>
          <w:marTop w:val="0"/>
          <w:marBottom w:val="0"/>
          <w:divBdr>
            <w:top w:val="none" w:sz="0" w:space="0" w:color="auto"/>
            <w:left w:val="none" w:sz="0" w:space="0" w:color="auto"/>
            <w:bottom w:val="none" w:sz="0" w:space="0" w:color="auto"/>
            <w:right w:val="none" w:sz="0" w:space="0" w:color="auto"/>
          </w:divBdr>
        </w:div>
        <w:div w:id="145901654">
          <w:marLeft w:val="480"/>
          <w:marRight w:val="0"/>
          <w:marTop w:val="0"/>
          <w:marBottom w:val="0"/>
          <w:divBdr>
            <w:top w:val="none" w:sz="0" w:space="0" w:color="auto"/>
            <w:left w:val="none" w:sz="0" w:space="0" w:color="auto"/>
            <w:bottom w:val="none" w:sz="0" w:space="0" w:color="auto"/>
            <w:right w:val="none" w:sz="0" w:space="0" w:color="auto"/>
          </w:divBdr>
        </w:div>
        <w:div w:id="1342974368">
          <w:marLeft w:val="480"/>
          <w:marRight w:val="0"/>
          <w:marTop w:val="0"/>
          <w:marBottom w:val="0"/>
          <w:divBdr>
            <w:top w:val="none" w:sz="0" w:space="0" w:color="auto"/>
            <w:left w:val="none" w:sz="0" w:space="0" w:color="auto"/>
            <w:bottom w:val="none" w:sz="0" w:space="0" w:color="auto"/>
            <w:right w:val="none" w:sz="0" w:space="0" w:color="auto"/>
          </w:divBdr>
        </w:div>
        <w:div w:id="910044286">
          <w:marLeft w:val="480"/>
          <w:marRight w:val="0"/>
          <w:marTop w:val="0"/>
          <w:marBottom w:val="0"/>
          <w:divBdr>
            <w:top w:val="none" w:sz="0" w:space="0" w:color="auto"/>
            <w:left w:val="none" w:sz="0" w:space="0" w:color="auto"/>
            <w:bottom w:val="none" w:sz="0" w:space="0" w:color="auto"/>
            <w:right w:val="none" w:sz="0" w:space="0" w:color="auto"/>
          </w:divBdr>
        </w:div>
        <w:div w:id="1025792762">
          <w:marLeft w:val="480"/>
          <w:marRight w:val="0"/>
          <w:marTop w:val="0"/>
          <w:marBottom w:val="0"/>
          <w:divBdr>
            <w:top w:val="none" w:sz="0" w:space="0" w:color="auto"/>
            <w:left w:val="none" w:sz="0" w:space="0" w:color="auto"/>
            <w:bottom w:val="none" w:sz="0" w:space="0" w:color="auto"/>
            <w:right w:val="none" w:sz="0" w:space="0" w:color="auto"/>
          </w:divBdr>
        </w:div>
        <w:div w:id="1960069668">
          <w:marLeft w:val="480"/>
          <w:marRight w:val="0"/>
          <w:marTop w:val="0"/>
          <w:marBottom w:val="0"/>
          <w:divBdr>
            <w:top w:val="none" w:sz="0" w:space="0" w:color="auto"/>
            <w:left w:val="none" w:sz="0" w:space="0" w:color="auto"/>
            <w:bottom w:val="none" w:sz="0" w:space="0" w:color="auto"/>
            <w:right w:val="none" w:sz="0" w:space="0" w:color="auto"/>
          </w:divBdr>
        </w:div>
        <w:div w:id="347488231">
          <w:marLeft w:val="480"/>
          <w:marRight w:val="0"/>
          <w:marTop w:val="0"/>
          <w:marBottom w:val="0"/>
          <w:divBdr>
            <w:top w:val="none" w:sz="0" w:space="0" w:color="auto"/>
            <w:left w:val="none" w:sz="0" w:space="0" w:color="auto"/>
            <w:bottom w:val="none" w:sz="0" w:space="0" w:color="auto"/>
            <w:right w:val="none" w:sz="0" w:space="0" w:color="auto"/>
          </w:divBdr>
        </w:div>
        <w:div w:id="1260338002">
          <w:marLeft w:val="480"/>
          <w:marRight w:val="0"/>
          <w:marTop w:val="0"/>
          <w:marBottom w:val="0"/>
          <w:divBdr>
            <w:top w:val="none" w:sz="0" w:space="0" w:color="auto"/>
            <w:left w:val="none" w:sz="0" w:space="0" w:color="auto"/>
            <w:bottom w:val="none" w:sz="0" w:space="0" w:color="auto"/>
            <w:right w:val="none" w:sz="0" w:space="0" w:color="auto"/>
          </w:divBdr>
        </w:div>
        <w:div w:id="843395466">
          <w:marLeft w:val="480"/>
          <w:marRight w:val="0"/>
          <w:marTop w:val="0"/>
          <w:marBottom w:val="0"/>
          <w:divBdr>
            <w:top w:val="none" w:sz="0" w:space="0" w:color="auto"/>
            <w:left w:val="none" w:sz="0" w:space="0" w:color="auto"/>
            <w:bottom w:val="none" w:sz="0" w:space="0" w:color="auto"/>
            <w:right w:val="none" w:sz="0" w:space="0" w:color="auto"/>
          </w:divBdr>
        </w:div>
        <w:div w:id="1925261354">
          <w:marLeft w:val="480"/>
          <w:marRight w:val="0"/>
          <w:marTop w:val="0"/>
          <w:marBottom w:val="0"/>
          <w:divBdr>
            <w:top w:val="none" w:sz="0" w:space="0" w:color="auto"/>
            <w:left w:val="none" w:sz="0" w:space="0" w:color="auto"/>
            <w:bottom w:val="none" w:sz="0" w:space="0" w:color="auto"/>
            <w:right w:val="none" w:sz="0" w:space="0" w:color="auto"/>
          </w:divBdr>
        </w:div>
        <w:div w:id="1713117701">
          <w:marLeft w:val="480"/>
          <w:marRight w:val="0"/>
          <w:marTop w:val="0"/>
          <w:marBottom w:val="0"/>
          <w:divBdr>
            <w:top w:val="none" w:sz="0" w:space="0" w:color="auto"/>
            <w:left w:val="none" w:sz="0" w:space="0" w:color="auto"/>
            <w:bottom w:val="none" w:sz="0" w:space="0" w:color="auto"/>
            <w:right w:val="none" w:sz="0" w:space="0" w:color="auto"/>
          </w:divBdr>
        </w:div>
        <w:div w:id="1271358957">
          <w:marLeft w:val="480"/>
          <w:marRight w:val="0"/>
          <w:marTop w:val="0"/>
          <w:marBottom w:val="0"/>
          <w:divBdr>
            <w:top w:val="none" w:sz="0" w:space="0" w:color="auto"/>
            <w:left w:val="none" w:sz="0" w:space="0" w:color="auto"/>
            <w:bottom w:val="none" w:sz="0" w:space="0" w:color="auto"/>
            <w:right w:val="none" w:sz="0" w:space="0" w:color="auto"/>
          </w:divBdr>
        </w:div>
        <w:div w:id="289480928">
          <w:marLeft w:val="480"/>
          <w:marRight w:val="0"/>
          <w:marTop w:val="0"/>
          <w:marBottom w:val="0"/>
          <w:divBdr>
            <w:top w:val="none" w:sz="0" w:space="0" w:color="auto"/>
            <w:left w:val="none" w:sz="0" w:space="0" w:color="auto"/>
            <w:bottom w:val="none" w:sz="0" w:space="0" w:color="auto"/>
            <w:right w:val="none" w:sz="0" w:space="0" w:color="auto"/>
          </w:divBdr>
        </w:div>
        <w:div w:id="1657876672">
          <w:marLeft w:val="480"/>
          <w:marRight w:val="0"/>
          <w:marTop w:val="0"/>
          <w:marBottom w:val="0"/>
          <w:divBdr>
            <w:top w:val="none" w:sz="0" w:space="0" w:color="auto"/>
            <w:left w:val="none" w:sz="0" w:space="0" w:color="auto"/>
            <w:bottom w:val="none" w:sz="0" w:space="0" w:color="auto"/>
            <w:right w:val="none" w:sz="0" w:space="0" w:color="auto"/>
          </w:divBdr>
        </w:div>
        <w:div w:id="109667293">
          <w:marLeft w:val="480"/>
          <w:marRight w:val="0"/>
          <w:marTop w:val="0"/>
          <w:marBottom w:val="0"/>
          <w:divBdr>
            <w:top w:val="none" w:sz="0" w:space="0" w:color="auto"/>
            <w:left w:val="none" w:sz="0" w:space="0" w:color="auto"/>
            <w:bottom w:val="none" w:sz="0" w:space="0" w:color="auto"/>
            <w:right w:val="none" w:sz="0" w:space="0" w:color="auto"/>
          </w:divBdr>
        </w:div>
        <w:div w:id="157842119">
          <w:marLeft w:val="480"/>
          <w:marRight w:val="0"/>
          <w:marTop w:val="0"/>
          <w:marBottom w:val="0"/>
          <w:divBdr>
            <w:top w:val="none" w:sz="0" w:space="0" w:color="auto"/>
            <w:left w:val="none" w:sz="0" w:space="0" w:color="auto"/>
            <w:bottom w:val="none" w:sz="0" w:space="0" w:color="auto"/>
            <w:right w:val="none" w:sz="0" w:space="0" w:color="auto"/>
          </w:divBdr>
        </w:div>
        <w:div w:id="1176115774">
          <w:marLeft w:val="480"/>
          <w:marRight w:val="0"/>
          <w:marTop w:val="0"/>
          <w:marBottom w:val="0"/>
          <w:divBdr>
            <w:top w:val="none" w:sz="0" w:space="0" w:color="auto"/>
            <w:left w:val="none" w:sz="0" w:space="0" w:color="auto"/>
            <w:bottom w:val="none" w:sz="0" w:space="0" w:color="auto"/>
            <w:right w:val="none" w:sz="0" w:space="0" w:color="auto"/>
          </w:divBdr>
        </w:div>
        <w:div w:id="104814017">
          <w:marLeft w:val="480"/>
          <w:marRight w:val="0"/>
          <w:marTop w:val="0"/>
          <w:marBottom w:val="0"/>
          <w:divBdr>
            <w:top w:val="none" w:sz="0" w:space="0" w:color="auto"/>
            <w:left w:val="none" w:sz="0" w:space="0" w:color="auto"/>
            <w:bottom w:val="none" w:sz="0" w:space="0" w:color="auto"/>
            <w:right w:val="none" w:sz="0" w:space="0" w:color="auto"/>
          </w:divBdr>
        </w:div>
        <w:div w:id="1729257851">
          <w:marLeft w:val="480"/>
          <w:marRight w:val="0"/>
          <w:marTop w:val="0"/>
          <w:marBottom w:val="0"/>
          <w:divBdr>
            <w:top w:val="none" w:sz="0" w:space="0" w:color="auto"/>
            <w:left w:val="none" w:sz="0" w:space="0" w:color="auto"/>
            <w:bottom w:val="none" w:sz="0" w:space="0" w:color="auto"/>
            <w:right w:val="none" w:sz="0" w:space="0" w:color="auto"/>
          </w:divBdr>
        </w:div>
        <w:div w:id="442304880">
          <w:marLeft w:val="480"/>
          <w:marRight w:val="0"/>
          <w:marTop w:val="0"/>
          <w:marBottom w:val="0"/>
          <w:divBdr>
            <w:top w:val="none" w:sz="0" w:space="0" w:color="auto"/>
            <w:left w:val="none" w:sz="0" w:space="0" w:color="auto"/>
            <w:bottom w:val="none" w:sz="0" w:space="0" w:color="auto"/>
            <w:right w:val="none" w:sz="0" w:space="0" w:color="auto"/>
          </w:divBdr>
        </w:div>
        <w:div w:id="2105881192">
          <w:marLeft w:val="480"/>
          <w:marRight w:val="0"/>
          <w:marTop w:val="0"/>
          <w:marBottom w:val="0"/>
          <w:divBdr>
            <w:top w:val="none" w:sz="0" w:space="0" w:color="auto"/>
            <w:left w:val="none" w:sz="0" w:space="0" w:color="auto"/>
            <w:bottom w:val="none" w:sz="0" w:space="0" w:color="auto"/>
            <w:right w:val="none" w:sz="0" w:space="0" w:color="auto"/>
          </w:divBdr>
        </w:div>
        <w:div w:id="311373793">
          <w:marLeft w:val="480"/>
          <w:marRight w:val="0"/>
          <w:marTop w:val="0"/>
          <w:marBottom w:val="0"/>
          <w:divBdr>
            <w:top w:val="none" w:sz="0" w:space="0" w:color="auto"/>
            <w:left w:val="none" w:sz="0" w:space="0" w:color="auto"/>
            <w:bottom w:val="none" w:sz="0" w:space="0" w:color="auto"/>
            <w:right w:val="none" w:sz="0" w:space="0" w:color="auto"/>
          </w:divBdr>
        </w:div>
        <w:div w:id="132918387">
          <w:marLeft w:val="480"/>
          <w:marRight w:val="0"/>
          <w:marTop w:val="0"/>
          <w:marBottom w:val="0"/>
          <w:divBdr>
            <w:top w:val="none" w:sz="0" w:space="0" w:color="auto"/>
            <w:left w:val="none" w:sz="0" w:space="0" w:color="auto"/>
            <w:bottom w:val="none" w:sz="0" w:space="0" w:color="auto"/>
            <w:right w:val="none" w:sz="0" w:space="0" w:color="auto"/>
          </w:divBdr>
        </w:div>
        <w:div w:id="1765611229">
          <w:marLeft w:val="480"/>
          <w:marRight w:val="0"/>
          <w:marTop w:val="0"/>
          <w:marBottom w:val="0"/>
          <w:divBdr>
            <w:top w:val="none" w:sz="0" w:space="0" w:color="auto"/>
            <w:left w:val="none" w:sz="0" w:space="0" w:color="auto"/>
            <w:bottom w:val="none" w:sz="0" w:space="0" w:color="auto"/>
            <w:right w:val="none" w:sz="0" w:space="0" w:color="auto"/>
          </w:divBdr>
        </w:div>
        <w:div w:id="1242519779">
          <w:marLeft w:val="480"/>
          <w:marRight w:val="0"/>
          <w:marTop w:val="0"/>
          <w:marBottom w:val="0"/>
          <w:divBdr>
            <w:top w:val="none" w:sz="0" w:space="0" w:color="auto"/>
            <w:left w:val="none" w:sz="0" w:space="0" w:color="auto"/>
            <w:bottom w:val="none" w:sz="0" w:space="0" w:color="auto"/>
            <w:right w:val="none" w:sz="0" w:space="0" w:color="auto"/>
          </w:divBdr>
        </w:div>
        <w:div w:id="1350255175">
          <w:marLeft w:val="480"/>
          <w:marRight w:val="0"/>
          <w:marTop w:val="0"/>
          <w:marBottom w:val="0"/>
          <w:divBdr>
            <w:top w:val="none" w:sz="0" w:space="0" w:color="auto"/>
            <w:left w:val="none" w:sz="0" w:space="0" w:color="auto"/>
            <w:bottom w:val="none" w:sz="0" w:space="0" w:color="auto"/>
            <w:right w:val="none" w:sz="0" w:space="0" w:color="auto"/>
          </w:divBdr>
        </w:div>
        <w:div w:id="2040006683">
          <w:marLeft w:val="480"/>
          <w:marRight w:val="0"/>
          <w:marTop w:val="0"/>
          <w:marBottom w:val="0"/>
          <w:divBdr>
            <w:top w:val="none" w:sz="0" w:space="0" w:color="auto"/>
            <w:left w:val="none" w:sz="0" w:space="0" w:color="auto"/>
            <w:bottom w:val="none" w:sz="0" w:space="0" w:color="auto"/>
            <w:right w:val="none" w:sz="0" w:space="0" w:color="auto"/>
          </w:divBdr>
        </w:div>
        <w:div w:id="1119420809">
          <w:marLeft w:val="480"/>
          <w:marRight w:val="0"/>
          <w:marTop w:val="0"/>
          <w:marBottom w:val="0"/>
          <w:divBdr>
            <w:top w:val="none" w:sz="0" w:space="0" w:color="auto"/>
            <w:left w:val="none" w:sz="0" w:space="0" w:color="auto"/>
            <w:bottom w:val="none" w:sz="0" w:space="0" w:color="auto"/>
            <w:right w:val="none" w:sz="0" w:space="0" w:color="auto"/>
          </w:divBdr>
        </w:div>
        <w:div w:id="2060977842">
          <w:marLeft w:val="480"/>
          <w:marRight w:val="0"/>
          <w:marTop w:val="0"/>
          <w:marBottom w:val="0"/>
          <w:divBdr>
            <w:top w:val="none" w:sz="0" w:space="0" w:color="auto"/>
            <w:left w:val="none" w:sz="0" w:space="0" w:color="auto"/>
            <w:bottom w:val="none" w:sz="0" w:space="0" w:color="auto"/>
            <w:right w:val="none" w:sz="0" w:space="0" w:color="auto"/>
          </w:divBdr>
        </w:div>
        <w:div w:id="688609147">
          <w:marLeft w:val="480"/>
          <w:marRight w:val="0"/>
          <w:marTop w:val="0"/>
          <w:marBottom w:val="0"/>
          <w:divBdr>
            <w:top w:val="none" w:sz="0" w:space="0" w:color="auto"/>
            <w:left w:val="none" w:sz="0" w:space="0" w:color="auto"/>
            <w:bottom w:val="none" w:sz="0" w:space="0" w:color="auto"/>
            <w:right w:val="none" w:sz="0" w:space="0" w:color="auto"/>
          </w:divBdr>
        </w:div>
        <w:div w:id="1457412503">
          <w:marLeft w:val="480"/>
          <w:marRight w:val="0"/>
          <w:marTop w:val="0"/>
          <w:marBottom w:val="0"/>
          <w:divBdr>
            <w:top w:val="none" w:sz="0" w:space="0" w:color="auto"/>
            <w:left w:val="none" w:sz="0" w:space="0" w:color="auto"/>
            <w:bottom w:val="none" w:sz="0" w:space="0" w:color="auto"/>
            <w:right w:val="none" w:sz="0" w:space="0" w:color="auto"/>
          </w:divBdr>
        </w:div>
        <w:div w:id="855581767">
          <w:marLeft w:val="480"/>
          <w:marRight w:val="0"/>
          <w:marTop w:val="0"/>
          <w:marBottom w:val="0"/>
          <w:divBdr>
            <w:top w:val="none" w:sz="0" w:space="0" w:color="auto"/>
            <w:left w:val="none" w:sz="0" w:space="0" w:color="auto"/>
            <w:bottom w:val="none" w:sz="0" w:space="0" w:color="auto"/>
            <w:right w:val="none" w:sz="0" w:space="0" w:color="auto"/>
          </w:divBdr>
        </w:div>
        <w:div w:id="2108455445">
          <w:marLeft w:val="480"/>
          <w:marRight w:val="0"/>
          <w:marTop w:val="0"/>
          <w:marBottom w:val="0"/>
          <w:divBdr>
            <w:top w:val="none" w:sz="0" w:space="0" w:color="auto"/>
            <w:left w:val="none" w:sz="0" w:space="0" w:color="auto"/>
            <w:bottom w:val="none" w:sz="0" w:space="0" w:color="auto"/>
            <w:right w:val="none" w:sz="0" w:space="0" w:color="auto"/>
          </w:divBdr>
        </w:div>
        <w:div w:id="1970356605">
          <w:marLeft w:val="480"/>
          <w:marRight w:val="0"/>
          <w:marTop w:val="0"/>
          <w:marBottom w:val="0"/>
          <w:divBdr>
            <w:top w:val="none" w:sz="0" w:space="0" w:color="auto"/>
            <w:left w:val="none" w:sz="0" w:space="0" w:color="auto"/>
            <w:bottom w:val="none" w:sz="0" w:space="0" w:color="auto"/>
            <w:right w:val="none" w:sz="0" w:space="0" w:color="auto"/>
          </w:divBdr>
        </w:div>
        <w:div w:id="1473518722">
          <w:marLeft w:val="480"/>
          <w:marRight w:val="0"/>
          <w:marTop w:val="0"/>
          <w:marBottom w:val="0"/>
          <w:divBdr>
            <w:top w:val="none" w:sz="0" w:space="0" w:color="auto"/>
            <w:left w:val="none" w:sz="0" w:space="0" w:color="auto"/>
            <w:bottom w:val="none" w:sz="0" w:space="0" w:color="auto"/>
            <w:right w:val="none" w:sz="0" w:space="0" w:color="auto"/>
          </w:divBdr>
        </w:div>
        <w:div w:id="629436610">
          <w:marLeft w:val="480"/>
          <w:marRight w:val="0"/>
          <w:marTop w:val="0"/>
          <w:marBottom w:val="0"/>
          <w:divBdr>
            <w:top w:val="none" w:sz="0" w:space="0" w:color="auto"/>
            <w:left w:val="none" w:sz="0" w:space="0" w:color="auto"/>
            <w:bottom w:val="none" w:sz="0" w:space="0" w:color="auto"/>
            <w:right w:val="none" w:sz="0" w:space="0" w:color="auto"/>
          </w:divBdr>
        </w:div>
        <w:div w:id="1793549656">
          <w:marLeft w:val="480"/>
          <w:marRight w:val="0"/>
          <w:marTop w:val="0"/>
          <w:marBottom w:val="0"/>
          <w:divBdr>
            <w:top w:val="none" w:sz="0" w:space="0" w:color="auto"/>
            <w:left w:val="none" w:sz="0" w:space="0" w:color="auto"/>
            <w:bottom w:val="none" w:sz="0" w:space="0" w:color="auto"/>
            <w:right w:val="none" w:sz="0" w:space="0" w:color="auto"/>
          </w:divBdr>
        </w:div>
        <w:div w:id="1795321127">
          <w:marLeft w:val="480"/>
          <w:marRight w:val="0"/>
          <w:marTop w:val="0"/>
          <w:marBottom w:val="0"/>
          <w:divBdr>
            <w:top w:val="none" w:sz="0" w:space="0" w:color="auto"/>
            <w:left w:val="none" w:sz="0" w:space="0" w:color="auto"/>
            <w:bottom w:val="none" w:sz="0" w:space="0" w:color="auto"/>
            <w:right w:val="none" w:sz="0" w:space="0" w:color="auto"/>
          </w:divBdr>
        </w:div>
        <w:div w:id="1481117109">
          <w:marLeft w:val="480"/>
          <w:marRight w:val="0"/>
          <w:marTop w:val="0"/>
          <w:marBottom w:val="0"/>
          <w:divBdr>
            <w:top w:val="none" w:sz="0" w:space="0" w:color="auto"/>
            <w:left w:val="none" w:sz="0" w:space="0" w:color="auto"/>
            <w:bottom w:val="none" w:sz="0" w:space="0" w:color="auto"/>
            <w:right w:val="none" w:sz="0" w:space="0" w:color="auto"/>
          </w:divBdr>
        </w:div>
        <w:div w:id="905144851">
          <w:marLeft w:val="480"/>
          <w:marRight w:val="0"/>
          <w:marTop w:val="0"/>
          <w:marBottom w:val="0"/>
          <w:divBdr>
            <w:top w:val="none" w:sz="0" w:space="0" w:color="auto"/>
            <w:left w:val="none" w:sz="0" w:space="0" w:color="auto"/>
            <w:bottom w:val="none" w:sz="0" w:space="0" w:color="auto"/>
            <w:right w:val="none" w:sz="0" w:space="0" w:color="auto"/>
          </w:divBdr>
        </w:div>
        <w:div w:id="1911847178">
          <w:marLeft w:val="480"/>
          <w:marRight w:val="0"/>
          <w:marTop w:val="0"/>
          <w:marBottom w:val="0"/>
          <w:divBdr>
            <w:top w:val="none" w:sz="0" w:space="0" w:color="auto"/>
            <w:left w:val="none" w:sz="0" w:space="0" w:color="auto"/>
            <w:bottom w:val="none" w:sz="0" w:space="0" w:color="auto"/>
            <w:right w:val="none" w:sz="0" w:space="0" w:color="auto"/>
          </w:divBdr>
        </w:div>
        <w:div w:id="1535652801">
          <w:marLeft w:val="480"/>
          <w:marRight w:val="0"/>
          <w:marTop w:val="0"/>
          <w:marBottom w:val="0"/>
          <w:divBdr>
            <w:top w:val="none" w:sz="0" w:space="0" w:color="auto"/>
            <w:left w:val="none" w:sz="0" w:space="0" w:color="auto"/>
            <w:bottom w:val="none" w:sz="0" w:space="0" w:color="auto"/>
            <w:right w:val="none" w:sz="0" w:space="0" w:color="auto"/>
          </w:divBdr>
        </w:div>
        <w:div w:id="665326049">
          <w:marLeft w:val="480"/>
          <w:marRight w:val="0"/>
          <w:marTop w:val="0"/>
          <w:marBottom w:val="0"/>
          <w:divBdr>
            <w:top w:val="none" w:sz="0" w:space="0" w:color="auto"/>
            <w:left w:val="none" w:sz="0" w:space="0" w:color="auto"/>
            <w:bottom w:val="none" w:sz="0" w:space="0" w:color="auto"/>
            <w:right w:val="none" w:sz="0" w:space="0" w:color="auto"/>
          </w:divBdr>
        </w:div>
      </w:divsChild>
    </w:div>
    <w:div w:id="1085960393">
      <w:bodyDiv w:val="1"/>
      <w:marLeft w:val="0"/>
      <w:marRight w:val="0"/>
      <w:marTop w:val="0"/>
      <w:marBottom w:val="0"/>
      <w:divBdr>
        <w:top w:val="none" w:sz="0" w:space="0" w:color="auto"/>
        <w:left w:val="none" w:sz="0" w:space="0" w:color="auto"/>
        <w:bottom w:val="none" w:sz="0" w:space="0" w:color="auto"/>
        <w:right w:val="none" w:sz="0" w:space="0" w:color="auto"/>
      </w:divBdr>
    </w:div>
    <w:div w:id="1086071083">
      <w:bodyDiv w:val="1"/>
      <w:marLeft w:val="0"/>
      <w:marRight w:val="0"/>
      <w:marTop w:val="0"/>
      <w:marBottom w:val="0"/>
      <w:divBdr>
        <w:top w:val="none" w:sz="0" w:space="0" w:color="auto"/>
        <w:left w:val="none" w:sz="0" w:space="0" w:color="auto"/>
        <w:bottom w:val="none" w:sz="0" w:space="0" w:color="auto"/>
        <w:right w:val="none" w:sz="0" w:space="0" w:color="auto"/>
      </w:divBdr>
    </w:div>
    <w:div w:id="1087265516">
      <w:bodyDiv w:val="1"/>
      <w:marLeft w:val="0"/>
      <w:marRight w:val="0"/>
      <w:marTop w:val="0"/>
      <w:marBottom w:val="0"/>
      <w:divBdr>
        <w:top w:val="none" w:sz="0" w:space="0" w:color="auto"/>
        <w:left w:val="none" w:sz="0" w:space="0" w:color="auto"/>
        <w:bottom w:val="none" w:sz="0" w:space="0" w:color="auto"/>
        <w:right w:val="none" w:sz="0" w:space="0" w:color="auto"/>
      </w:divBdr>
    </w:div>
    <w:div w:id="1087381212">
      <w:bodyDiv w:val="1"/>
      <w:marLeft w:val="0"/>
      <w:marRight w:val="0"/>
      <w:marTop w:val="0"/>
      <w:marBottom w:val="0"/>
      <w:divBdr>
        <w:top w:val="none" w:sz="0" w:space="0" w:color="auto"/>
        <w:left w:val="none" w:sz="0" w:space="0" w:color="auto"/>
        <w:bottom w:val="none" w:sz="0" w:space="0" w:color="auto"/>
        <w:right w:val="none" w:sz="0" w:space="0" w:color="auto"/>
      </w:divBdr>
    </w:div>
    <w:div w:id="1089305412">
      <w:bodyDiv w:val="1"/>
      <w:marLeft w:val="0"/>
      <w:marRight w:val="0"/>
      <w:marTop w:val="0"/>
      <w:marBottom w:val="0"/>
      <w:divBdr>
        <w:top w:val="none" w:sz="0" w:space="0" w:color="auto"/>
        <w:left w:val="none" w:sz="0" w:space="0" w:color="auto"/>
        <w:bottom w:val="none" w:sz="0" w:space="0" w:color="auto"/>
        <w:right w:val="none" w:sz="0" w:space="0" w:color="auto"/>
      </w:divBdr>
    </w:div>
    <w:div w:id="1089349432">
      <w:bodyDiv w:val="1"/>
      <w:marLeft w:val="0"/>
      <w:marRight w:val="0"/>
      <w:marTop w:val="0"/>
      <w:marBottom w:val="0"/>
      <w:divBdr>
        <w:top w:val="none" w:sz="0" w:space="0" w:color="auto"/>
        <w:left w:val="none" w:sz="0" w:space="0" w:color="auto"/>
        <w:bottom w:val="none" w:sz="0" w:space="0" w:color="auto"/>
        <w:right w:val="none" w:sz="0" w:space="0" w:color="auto"/>
      </w:divBdr>
    </w:div>
    <w:div w:id="1089470849">
      <w:bodyDiv w:val="1"/>
      <w:marLeft w:val="0"/>
      <w:marRight w:val="0"/>
      <w:marTop w:val="0"/>
      <w:marBottom w:val="0"/>
      <w:divBdr>
        <w:top w:val="none" w:sz="0" w:space="0" w:color="auto"/>
        <w:left w:val="none" w:sz="0" w:space="0" w:color="auto"/>
        <w:bottom w:val="none" w:sz="0" w:space="0" w:color="auto"/>
        <w:right w:val="none" w:sz="0" w:space="0" w:color="auto"/>
      </w:divBdr>
    </w:div>
    <w:div w:id="1089500345">
      <w:bodyDiv w:val="1"/>
      <w:marLeft w:val="0"/>
      <w:marRight w:val="0"/>
      <w:marTop w:val="0"/>
      <w:marBottom w:val="0"/>
      <w:divBdr>
        <w:top w:val="none" w:sz="0" w:space="0" w:color="auto"/>
        <w:left w:val="none" w:sz="0" w:space="0" w:color="auto"/>
        <w:bottom w:val="none" w:sz="0" w:space="0" w:color="auto"/>
        <w:right w:val="none" w:sz="0" w:space="0" w:color="auto"/>
      </w:divBdr>
    </w:div>
    <w:div w:id="1089890366">
      <w:bodyDiv w:val="1"/>
      <w:marLeft w:val="0"/>
      <w:marRight w:val="0"/>
      <w:marTop w:val="0"/>
      <w:marBottom w:val="0"/>
      <w:divBdr>
        <w:top w:val="none" w:sz="0" w:space="0" w:color="auto"/>
        <w:left w:val="none" w:sz="0" w:space="0" w:color="auto"/>
        <w:bottom w:val="none" w:sz="0" w:space="0" w:color="auto"/>
        <w:right w:val="none" w:sz="0" w:space="0" w:color="auto"/>
      </w:divBdr>
    </w:div>
    <w:div w:id="1089935377">
      <w:bodyDiv w:val="1"/>
      <w:marLeft w:val="0"/>
      <w:marRight w:val="0"/>
      <w:marTop w:val="0"/>
      <w:marBottom w:val="0"/>
      <w:divBdr>
        <w:top w:val="none" w:sz="0" w:space="0" w:color="auto"/>
        <w:left w:val="none" w:sz="0" w:space="0" w:color="auto"/>
        <w:bottom w:val="none" w:sz="0" w:space="0" w:color="auto"/>
        <w:right w:val="none" w:sz="0" w:space="0" w:color="auto"/>
      </w:divBdr>
    </w:div>
    <w:div w:id="1090276324">
      <w:bodyDiv w:val="1"/>
      <w:marLeft w:val="0"/>
      <w:marRight w:val="0"/>
      <w:marTop w:val="0"/>
      <w:marBottom w:val="0"/>
      <w:divBdr>
        <w:top w:val="none" w:sz="0" w:space="0" w:color="auto"/>
        <w:left w:val="none" w:sz="0" w:space="0" w:color="auto"/>
        <w:bottom w:val="none" w:sz="0" w:space="0" w:color="auto"/>
        <w:right w:val="none" w:sz="0" w:space="0" w:color="auto"/>
      </w:divBdr>
    </w:div>
    <w:div w:id="1090850514">
      <w:bodyDiv w:val="1"/>
      <w:marLeft w:val="0"/>
      <w:marRight w:val="0"/>
      <w:marTop w:val="0"/>
      <w:marBottom w:val="0"/>
      <w:divBdr>
        <w:top w:val="none" w:sz="0" w:space="0" w:color="auto"/>
        <w:left w:val="none" w:sz="0" w:space="0" w:color="auto"/>
        <w:bottom w:val="none" w:sz="0" w:space="0" w:color="auto"/>
        <w:right w:val="none" w:sz="0" w:space="0" w:color="auto"/>
      </w:divBdr>
    </w:div>
    <w:div w:id="1091197139">
      <w:bodyDiv w:val="1"/>
      <w:marLeft w:val="0"/>
      <w:marRight w:val="0"/>
      <w:marTop w:val="0"/>
      <w:marBottom w:val="0"/>
      <w:divBdr>
        <w:top w:val="none" w:sz="0" w:space="0" w:color="auto"/>
        <w:left w:val="none" w:sz="0" w:space="0" w:color="auto"/>
        <w:bottom w:val="none" w:sz="0" w:space="0" w:color="auto"/>
        <w:right w:val="none" w:sz="0" w:space="0" w:color="auto"/>
      </w:divBdr>
    </w:div>
    <w:div w:id="1091200945">
      <w:bodyDiv w:val="1"/>
      <w:marLeft w:val="0"/>
      <w:marRight w:val="0"/>
      <w:marTop w:val="0"/>
      <w:marBottom w:val="0"/>
      <w:divBdr>
        <w:top w:val="none" w:sz="0" w:space="0" w:color="auto"/>
        <w:left w:val="none" w:sz="0" w:space="0" w:color="auto"/>
        <w:bottom w:val="none" w:sz="0" w:space="0" w:color="auto"/>
        <w:right w:val="none" w:sz="0" w:space="0" w:color="auto"/>
      </w:divBdr>
    </w:div>
    <w:div w:id="1091244422">
      <w:bodyDiv w:val="1"/>
      <w:marLeft w:val="0"/>
      <w:marRight w:val="0"/>
      <w:marTop w:val="0"/>
      <w:marBottom w:val="0"/>
      <w:divBdr>
        <w:top w:val="none" w:sz="0" w:space="0" w:color="auto"/>
        <w:left w:val="none" w:sz="0" w:space="0" w:color="auto"/>
        <w:bottom w:val="none" w:sz="0" w:space="0" w:color="auto"/>
        <w:right w:val="none" w:sz="0" w:space="0" w:color="auto"/>
      </w:divBdr>
    </w:div>
    <w:div w:id="1091313345">
      <w:bodyDiv w:val="1"/>
      <w:marLeft w:val="0"/>
      <w:marRight w:val="0"/>
      <w:marTop w:val="0"/>
      <w:marBottom w:val="0"/>
      <w:divBdr>
        <w:top w:val="none" w:sz="0" w:space="0" w:color="auto"/>
        <w:left w:val="none" w:sz="0" w:space="0" w:color="auto"/>
        <w:bottom w:val="none" w:sz="0" w:space="0" w:color="auto"/>
        <w:right w:val="none" w:sz="0" w:space="0" w:color="auto"/>
      </w:divBdr>
    </w:div>
    <w:div w:id="1091316945">
      <w:bodyDiv w:val="1"/>
      <w:marLeft w:val="0"/>
      <w:marRight w:val="0"/>
      <w:marTop w:val="0"/>
      <w:marBottom w:val="0"/>
      <w:divBdr>
        <w:top w:val="none" w:sz="0" w:space="0" w:color="auto"/>
        <w:left w:val="none" w:sz="0" w:space="0" w:color="auto"/>
        <w:bottom w:val="none" w:sz="0" w:space="0" w:color="auto"/>
        <w:right w:val="none" w:sz="0" w:space="0" w:color="auto"/>
      </w:divBdr>
    </w:div>
    <w:div w:id="1091510925">
      <w:bodyDiv w:val="1"/>
      <w:marLeft w:val="0"/>
      <w:marRight w:val="0"/>
      <w:marTop w:val="0"/>
      <w:marBottom w:val="0"/>
      <w:divBdr>
        <w:top w:val="none" w:sz="0" w:space="0" w:color="auto"/>
        <w:left w:val="none" w:sz="0" w:space="0" w:color="auto"/>
        <w:bottom w:val="none" w:sz="0" w:space="0" w:color="auto"/>
        <w:right w:val="none" w:sz="0" w:space="0" w:color="auto"/>
      </w:divBdr>
    </w:div>
    <w:div w:id="1091924391">
      <w:bodyDiv w:val="1"/>
      <w:marLeft w:val="0"/>
      <w:marRight w:val="0"/>
      <w:marTop w:val="0"/>
      <w:marBottom w:val="0"/>
      <w:divBdr>
        <w:top w:val="none" w:sz="0" w:space="0" w:color="auto"/>
        <w:left w:val="none" w:sz="0" w:space="0" w:color="auto"/>
        <w:bottom w:val="none" w:sz="0" w:space="0" w:color="auto"/>
        <w:right w:val="none" w:sz="0" w:space="0" w:color="auto"/>
      </w:divBdr>
    </w:div>
    <w:div w:id="1092582047">
      <w:bodyDiv w:val="1"/>
      <w:marLeft w:val="0"/>
      <w:marRight w:val="0"/>
      <w:marTop w:val="0"/>
      <w:marBottom w:val="0"/>
      <w:divBdr>
        <w:top w:val="none" w:sz="0" w:space="0" w:color="auto"/>
        <w:left w:val="none" w:sz="0" w:space="0" w:color="auto"/>
        <w:bottom w:val="none" w:sz="0" w:space="0" w:color="auto"/>
        <w:right w:val="none" w:sz="0" w:space="0" w:color="auto"/>
      </w:divBdr>
    </w:div>
    <w:div w:id="1092824237">
      <w:bodyDiv w:val="1"/>
      <w:marLeft w:val="0"/>
      <w:marRight w:val="0"/>
      <w:marTop w:val="0"/>
      <w:marBottom w:val="0"/>
      <w:divBdr>
        <w:top w:val="none" w:sz="0" w:space="0" w:color="auto"/>
        <w:left w:val="none" w:sz="0" w:space="0" w:color="auto"/>
        <w:bottom w:val="none" w:sz="0" w:space="0" w:color="auto"/>
        <w:right w:val="none" w:sz="0" w:space="0" w:color="auto"/>
      </w:divBdr>
    </w:div>
    <w:div w:id="1093403092">
      <w:bodyDiv w:val="1"/>
      <w:marLeft w:val="0"/>
      <w:marRight w:val="0"/>
      <w:marTop w:val="0"/>
      <w:marBottom w:val="0"/>
      <w:divBdr>
        <w:top w:val="none" w:sz="0" w:space="0" w:color="auto"/>
        <w:left w:val="none" w:sz="0" w:space="0" w:color="auto"/>
        <w:bottom w:val="none" w:sz="0" w:space="0" w:color="auto"/>
        <w:right w:val="none" w:sz="0" w:space="0" w:color="auto"/>
      </w:divBdr>
    </w:div>
    <w:div w:id="1093673567">
      <w:bodyDiv w:val="1"/>
      <w:marLeft w:val="0"/>
      <w:marRight w:val="0"/>
      <w:marTop w:val="0"/>
      <w:marBottom w:val="0"/>
      <w:divBdr>
        <w:top w:val="none" w:sz="0" w:space="0" w:color="auto"/>
        <w:left w:val="none" w:sz="0" w:space="0" w:color="auto"/>
        <w:bottom w:val="none" w:sz="0" w:space="0" w:color="auto"/>
        <w:right w:val="none" w:sz="0" w:space="0" w:color="auto"/>
      </w:divBdr>
    </w:div>
    <w:div w:id="1094286186">
      <w:bodyDiv w:val="1"/>
      <w:marLeft w:val="0"/>
      <w:marRight w:val="0"/>
      <w:marTop w:val="0"/>
      <w:marBottom w:val="0"/>
      <w:divBdr>
        <w:top w:val="none" w:sz="0" w:space="0" w:color="auto"/>
        <w:left w:val="none" w:sz="0" w:space="0" w:color="auto"/>
        <w:bottom w:val="none" w:sz="0" w:space="0" w:color="auto"/>
        <w:right w:val="none" w:sz="0" w:space="0" w:color="auto"/>
      </w:divBdr>
    </w:div>
    <w:div w:id="1094470656">
      <w:bodyDiv w:val="1"/>
      <w:marLeft w:val="0"/>
      <w:marRight w:val="0"/>
      <w:marTop w:val="0"/>
      <w:marBottom w:val="0"/>
      <w:divBdr>
        <w:top w:val="none" w:sz="0" w:space="0" w:color="auto"/>
        <w:left w:val="none" w:sz="0" w:space="0" w:color="auto"/>
        <w:bottom w:val="none" w:sz="0" w:space="0" w:color="auto"/>
        <w:right w:val="none" w:sz="0" w:space="0" w:color="auto"/>
      </w:divBdr>
    </w:div>
    <w:div w:id="1094976362">
      <w:bodyDiv w:val="1"/>
      <w:marLeft w:val="0"/>
      <w:marRight w:val="0"/>
      <w:marTop w:val="0"/>
      <w:marBottom w:val="0"/>
      <w:divBdr>
        <w:top w:val="none" w:sz="0" w:space="0" w:color="auto"/>
        <w:left w:val="none" w:sz="0" w:space="0" w:color="auto"/>
        <w:bottom w:val="none" w:sz="0" w:space="0" w:color="auto"/>
        <w:right w:val="none" w:sz="0" w:space="0" w:color="auto"/>
      </w:divBdr>
    </w:div>
    <w:div w:id="1095244868">
      <w:bodyDiv w:val="1"/>
      <w:marLeft w:val="0"/>
      <w:marRight w:val="0"/>
      <w:marTop w:val="0"/>
      <w:marBottom w:val="0"/>
      <w:divBdr>
        <w:top w:val="none" w:sz="0" w:space="0" w:color="auto"/>
        <w:left w:val="none" w:sz="0" w:space="0" w:color="auto"/>
        <w:bottom w:val="none" w:sz="0" w:space="0" w:color="auto"/>
        <w:right w:val="none" w:sz="0" w:space="0" w:color="auto"/>
      </w:divBdr>
    </w:div>
    <w:div w:id="1095519202">
      <w:bodyDiv w:val="1"/>
      <w:marLeft w:val="0"/>
      <w:marRight w:val="0"/>
      <w:marTop w:val="0"/>
      <w:marBottom w:val="0"/>
      <w:divBdr>
        <w:top w:val="none" w:sz="0" w:space="0" w:color="auto"/>
        <w:left w:val="none" w:sz="0" w:space="0" w:color="auto"/>
        <w:bottom w:val="none" w:sz="0" w:space="0" w:color="auto"/>
        <w:right w:val="none" w:sz="0" w:space="0" w:color="auto"/>
      </w:divBdr>
    </w:div>
    <w:div w:id="1096557661">
      <w:bodyDiv w:val="1"/>
      <w:marLeft w:val="0"/>
      <w:marRight w:val="0"/>
      <w:marTop w:val="0"/>
      <w:marBottom w:val="0"/>
      <w:divBdr>
        <w:top w:val="none" w:sz="0" w:space="0" w:color="auto"/>
        <w:left w:val="none" w:sz="0" w:space="0" w:color="auto"/>
        <w:bottom w:val="none" w:sz="0" w:space="0" w:color="auto"/>
        <w:right w:val="none" w:sz="0" w:space="0" w:color="auto"/>
      </w:divBdr>
    </w:div>
    <w:div w:id="1096559077">
      <w:bodyDiv w:val="1"/>
      <w:marLeft w:val="0"/>
      <w:marRight w:val="0"/>
      <w:marTop w:val="0"/>
      <w:marBottom w:val="0"/>
      <w:divBdr>
        <w:top w:val="none" w:sz="0" w:space="0" w:color="auto"/>
        <w:left w:val="none" w:sz="0" w:space="0" w:color="auto"/>
        <w:bottom w:val="none" w:sz="0" w:space="0" w:color="auto"/>
        <w:right w:val="none" w:sz="0" w:space="0" w:color="auto"/>
      </w:divBdr>
    </w:div>
    <w:div w:id="1097671478">
      <w:bodyDiv w:val="1"/>
      <w:marLeft w:val="0"/>
      <w:marRight w:val="0"/>
      <w:marTop w:val="0"/>
      <w:marBottom w:val="0"/>
      <w:divBdr>
        <w:top w:val="none" w:sz="0" w:space="0" w:color="auto"/>
        <w:left w:val="none" w:sz="0" w:space="0" w:color="auto"/>
        <w:bottom w:val="none" w:sz="0" w:space="0" w:color="auto"/>
        <w:right w:val="none" w:sz="0" w:space="0" w:color="auto"/>
      </w:divBdr>
    </w:div>
    <w:div w:id="1098022053">
      <w:bodyDiv w:val="1"/>
      <w:marLeft w:val="0"/>
      <w:marRight w:val="0"/>
      <w:marTop w:val="0"/>
      <w:marBottom w:val="0"/>
      <w:divBdr>
        <w:top w:val="none" w:sz="0" w:space="0" w:color="auto"/>
        <w:left w:val="none" w:sz="0" w:space="0" w:color="auto"/>
        <w:bottom w:val="none" w:sz="0" w:space="0" w:color="auto"/>
        <w:right w:val="none" w:sz="0" w:space="0" w:color="auto"/>
      </w:divBdr>
    </w:div>
    <w:div w:id="1098524240">
      <w:bodyDiv w:val="1"/>
      <w:marLeft w:val="0"/>
      <w:marRight w:val="0"/>
      <w:marTop w:val="0"/>
      <w:marBottom w:val="0"/>
      <w:divBdr>
        <w:top w:val="none" w:sz="0" w:space="0" w:color="auto"/>
        <w:left w:val="none" w:sz="0" w:space="0" w:color="auto"/>
        <w:bottom w:val="none" w:sz="0" w:space="0" w:color="auto"/>
        <w:right w:val="none" w:sz="0" w:space="0" w:color="auto"/>
      </w:divBdr>
    </w:div>
    <w:div w:id="1099331084">
      <w:bodyDiv w:val="1"/>
      <w:marLeft w:val="0"/>
      <w:marRight w:val="0"/>
      <w:marTop w:val="0"/>
      <w:marBottom w:val="0"/>
      <w:divBdr>
        <w:top w:val="none" w:sz="0" w:space="0" w:color="auto"/>
        <w:left w:val="none" w:sz="0" w:space="0" w:color="auto"/>
        <w:bottom w:val="none" w:sz="0" w:space="0" w:color="auto"/>
        <w:right w:val="none" w:sz="0" w:space="0" w:color="auto"/>
      </w:divBdr>
    </w:div>
    <w:div w:id="1099527257">
      <w:bodyDiv w:val="1"/>
      <w:marLeft w:val="0"/>
      <w:marRight w:val="0"/>
      <w:marTop w:val="0"/>
      <w:marBottom w:val="0"/>
      <w:divBdr>
        <w:top w:val="none" w:sz="0" w:space="0" w:color="auto"/>
        <w:left w:val="none" w:sz="0" w:space="0" w:color="auto"/>
        <w:bottom w:val="none" w:sz="0" w:space="0" w:color="auto"/>
        <w:right w:val="none" w:sz="0" w:space="0" w:color="auto"/>
      </w:divBdr>
    </w:div>
    <w:div w:id="1099640100">
      <w:bodyDiv w:val="1"/>
      <w:marLeft w:val="0"/>
      <w:marRight w:val="0"/>
      <w:marTop w:val="0"/>
      <w:marBottom w:val="0"/>
      <w:divBdr>
        <w:top w:val="none" w:sz="0" w:space="0" w:color="auto"/>
        <w:left w:val="none" w:sz="0" w:space="0" w:color="auto"/>
        <w:bottom w:val="none" w:sz="0" w:space="0" w:color="auto"/>
        <w:right w:val="none" w:sz="0" w:space="0" w:color="auto"/>
      </w:divBdr>
    </w:div>
    <w:div w:id="1100494141">
      <w:bodyDiv w:val="1"/>
      <w:marLeft w:val="0"/>
      <w:marRight w:val="0"/>
      <w:marTop w:val="0"/>
      <w:marBottom w:val="0"/>
      <w:divBdr>
        <w:top w:val="none" w:sz="0" w:space="0" w:color="auto"/>
        <w:left w:val="none" w:sz="0" w:space="0" w:color="auto"/>
        <w:bottom w:val="none" w:sz="0" w:space="0" w:color="auto"/>
        <w:right w:val="none" w:sz="0" w:space="0" w:color="auto"/>
      </w:divBdr>
    </w:div>
    <w:div w:id="1101687475">
      <w:bodyDiv w:val="1"/>
      <w:marLeft w:val="0"/>
      <w:marRight w:val="0"/>
      <w:marTop w:val="0"/>
      <w:marBottom w:val="0"/>
      <w:divBdr>
        <w:top w:val="none" w:sz="0" w:space="0" w:color="auto"/>
        <w:left w:val="none" w:sz="0" w:space="0" w:color="auto"/>
        <w:bottom w:val="none" w:sz="0" w:space="0" w:color="auto"/>
        <w:right w:val="none" w:sz="0" w:space="0" w:color="auto"/>
      </w:divBdr>
    </w:div>
    <w:div w:id="1102605601">
      <w:bodyDiv w:val="1"/>
      <w:marLeft w:val="0"/>
      <w:marRight w:val="0"/>
      <w:marTop w:val="0"/>
      <w:marBottom w:val="0"/>
      <w:divBdr>
        <w:top w:val="none" w:sz="0" w:space="0" w:color="auto"/>
        <w:left w:val="none" w:sz="0" w:space="0" w:color="auto"/>
        <w:bottom w:val="none" w:sz="0" w:space="0" w:color="auto"/>
        <w:right w:val="none" w:sz="0" w:space="0" w:color="auto"/>
      </w:divBdr>
    </w:div>
    <w:div w:id="1103308672">
      <w:bodyDiv w:val="1"/>
      <w:marLeft w:val="0"/>
      <w:marRight w:val="0"/>
      <w:marTop w:val="0"/>
      <w:marBottom w:val="0"/>
      <w:divBdr>
        <w:top w:val="none" w:sz="0" w:space="0" w:color="auto"/>
        <w:left w:val="none" w:sz="0" w:space="0" w:color="auto"/>
        <w:bottom w:val="none" w:sz="0" w:space="0" w:color="auto"/>
        <w:right w:val="none" w:sz="0" w:space="0" w:color="auto"/>
      </w:divBdr>
    </w:div>
    <w:div w:id="1104114477">
      <w:bodyDiv w:val="1"/>
      <w:marLeft w:val="0"/>
      <w:marRight w:val="0"/>
      <w:marTop w:val="0"/>
      <w:marBottom w:val="0"/>
      <w:divBdr>
        <w:top w:val="none" w:sz="0" w:space="0" w:color="auto"/>
        <w:left w:val="none" w:sz="0" w:space="0" w:color="auto"/>
        <w:bottom w:val="none" w:sz="0" w:space="0" w:color="auto"/>
        <w:right w:val="none" w:sz="0" w:space="0" w:color="auto"/>
      </w:divBdr>
    </w:div>
    <w:div w:id="1104156380">
      <w:bodyDiv w:val="1"/>
      <w:marLeft w:val="0"/>
      <w:marRight w:val="0"/>
      <w:marTop w:val="0"/>
      <w:marBottom w:val="0"/>
      <w:divBdr>
        <w:top w:val="none" w:sz="0" w:space="0" w:color="auto"/>
        <w:left w:val="none" w:sz="0" w:space="0" w:color="auto"/>
        <w:bottom w:val="none" w:sz="0" w:space="0" w:color="auto"/>
        <w:right w:val="none" w:sz="0" w:space="0" w:color="auto"/>
      </w:divBdr>
      <w:divsChild>
        <w:div w:id="651297180">
          <w:marLeft w:val="480"/>
          <w:marRight w:val="0"/>
          <w:marTop w:val="0"/>
          <w:marBottom w:val="0"/>
          <w:divBdr>
            <w:top w:val="none" w:sz="0" w:space="0" w:color="auto"/>
            <w:left w:val="none" w:sz="0" w:space="0" w:color="auto"/>
            <w:bottom w:val="none" w:sz="0" w:space="0" w:color="auto"/>
            <w:right w:val="none" w:sz="0" w:space="0" w:color="auto"/>
          </w:divBdr>
        </w:div>
        <w:div w:id="1769303516">
          <w:marLeft w:val="480"/>
          <w:marRight w:val="0"/>
          <w:marTop w:val="0"/>
          <w:marBottom w:val="0"/>
          <w:divBdr>
            <w:top w:val="none" w:sz="0" w:space="0" w:color="auto"/>
            <w:left w:val="none" w:sz="0" w:space="0" w:color="auto"/>
            <w:bottom w:val="none" w:sz="0" w:space="0" w:color="auto"/>
            <w:right w:val="none" w:sz="0" w:space="0" w:color="auto"/>
          </w:divBdr>
        </w:div>
        <w:div w:id="1747874637">
          <w:marLeft w:val="480"/>
          <w:marRight w:val="0"/>
          <w:marTop w:val="0"/>
          <w:marBottom w:val="0"/>
          <w:divBdr>
            <w:top w:val="none" w:sz="0" w:space="0" w:color="auto"/>
            <w:left w:val="none" w:sz="0" w:space="0" w:color="auto"/>
            <w:bottom w:val="none" w:sz="0" w:space="0" w:color="auto"/>
            <w:right w:val="none" w:sz="0" w:space="0" w:color="auto"/>
          </w:divBdr>
        </w:div>
        <w:div w:id="1533035989">
          <w:marLeft w:val="480"/>
          <w:marRight w:val="0"/>
          <w:marTop w:val="0"/>
          <w:marBottom w:val="0"/>
          <w:divBdr>
            <w:top w:val="none" w:sz="0" w:space="0" w:color="auto"/>
            <w:left w:val="none" w:sz="0" w:space="0" w:color="auto"/>
            <w:bottom w:val="none" w:sz="0" w:space="0" w:color="auto"/>
            <w:right w:val="none" w:sz="0" w:space="0" w:color="auto"/>
          </w:divBdr>
        </w:div>
        <w:div w:id="261037498">
          <w:marLeft w:val="480"/>
          <w:marRight w:val="0"/>
          <w:marTop w:val="0"/>
          <w:marBottom w:val="0"/>
          <w:divBdr>
            <w:top w:val="none" w:sz="0" w:space="0" w:color="auto"/>
            <w:left w:val="none" w:sz="0" w:space="0" w:color="auto"/>
            <w:bottom w:val="none" w:sz="0" w:space="0" w:color="auto"/>
            <w:right w:val="none" w:sz="0" w:space="0" w:color="auto"/>
          </w:divBdr>
        </w:div>
        <w:div w:id="833765133">
          <w:marLeft w:val="480"/>
          <w:marRight w:val="0"/>
          <w:marTop w:val="0"/>
          <w:marBottom w:val="0"/>
          <w:divBdr>
            <w:top w:val="none" w:sz="0" w:space="0" w:color="auto"/>
            <w:left w:val="none" w:sz="0" w:space="0" w:color="auto"/>
            <w:bottom w:val="none" w:sz="0" w:space="0" w:color="auto"/>
            <w:right w:val="none" w:sz="0" w:space="0" w:color="auto"/>
          </w:divBdr>
        </w:div>
        <w:div w:id="1207908269">
          <w:marLeft w:val="480"/>
          <w:marRight w:val="0"/>
          <w:marTop w:val="0"/>
          <w:marBottom w:val="0"/>
          <w:divBdr>
            <w:top w:val="none" w:sz="0" w:space="0" w:color="auto"/>
            <w:left w:val="none" w:sz="0" w:space="0" w:color="auto"/>
            <w:bottom w:val="none" w:sz="0" w:space="0" w:color="auto"/>
            <w:right w:val="none" w:sz="0" w:space="0" w:color="auto"/>
          </w:divBdr>
        </w:div>
        <w:div w:id="1232154624">
          <w:marLeft w:val="480"/>
          <w:marRight w:val="0"/>
          <w:marTop w:val="0"/>
          <w:marBottom w:val="0"/>
          <w:divBdr>
            <w:top w:val="none" w:sz="0" w:space="0" w:color="auto"/>
            <w:left w:val="none" w:sz="0" w:space="0" w:color="auto"/>
            <w:bottom w:val="none" w:sz="0" w:space="0" w:color="auto"/>
            <w:right w:val="none" w:sz="0" w:space="0" w:color="auto"/>
          </w:divBdr>
        </w:div>
        <w:div w:id="1800997757">
          <w:marLeft w:val="480"/>
          <w:marRight w:val="0"/>
          <w:marTop w:val="0"/>
          <w:marBottom w:val="0"/>
          <w:divBdr>
            <w:top w:val="none" w:sz="0" w:space="0" w:color="auto"/>
            <w:left w:val="none" w:sz="0" w:space="0" w:color="auto"/>
            <w:bottom w:val="none" w:sz="0" w:space="0" w:color="auto"/>
            <w:right w:val="none" w:sz="0" w:space="0" w:color="auto"/>
          </w:divBdr>
        </w:div>
        <w:div w:id="1578710903">
          <w:marLeft w:val="480"/>
          <w:marRight w:val="0"/>
          <w:marTop w:val="0"/>
          <w:marBottom w:val="0"/>
          <w:divBdr>
            <w:top w:val="none" w:sz="0" w:space="0" w:color="auto"/>
            <w:left w:val="none" w:sz="0" w:space="0" w:color="auto"/>
            <w:bottom w:val="none" w:sz="0" w:space="0" w:color="auto"/>
            <w:right w:val="none" w:sz="0" w:space="0" w:color="auto"/>
          </w:divBdr>
        </w:div>
        <w:div w:id="1376006859">
          <w:marLeft w:val="480"/>
          <w:marRight w:val="0"/>
          <w:marTop w:val="0"/>
          <w:marBottom w:val="0"/>
          <w:divBdr>
            <w:top w:val="none" w:sz="0" w:space="0" w:color="auto"/>
            <w:left w:val="none" w:sz="0" w:space="0" w:color="auto"/>
            <w:bottom w:val="none" w:sz="0" w:space="0" w:color="auto"/>
            <w:right w:val="none" w:sz="0" w:space="0" w:color="auto"/>
          </w:divBdr>
        </w:div>
        <w:div w:id="932274609">
          <w:marLeft w:val="480"/>
          <w:marRight w:val="0"/>
          <w:marTop w:val="0"/>
          <w:marBottom w:val="0"/>
          <w:divBdr>
            <w:top w:val="none" w:sz="0" w:space="0" w:color="auto"/>
            <w:left w:val="none" w:sz="0" w:space="0" w:color="auto"/>
            <w:bottom w:val="none" w:sz="0" w:space="0" w:color="auto"/>
            <w:right w:val="none" w:sz="0" w:space="0" w:color="auto"/>
          </w:divBdr>
        </w:div>
        <w:div w:id="1545366679">
          <w:marLeft w:val="480"/>
          <w:marRight w:val="0"/>
          <w:marTop w:val="0"/>
          <w:marBottom w:val="0"/>
          <w:divBdr>
            <w:top w:val="none" w:sz="0" w:space="0" w:color="auto"/>
            <w:left w:val="none" w:sz="0" w:space="0" w:color="auto"/>
            <w:bottom w:val="none" w:sz="0" w:space="0" w:color="auto"/>
            <w:right w:val="none" w:sz="0" w:space="0" w:color="auto"/>
          </w:divBdr>
        </w:div>
        <w:div w:id="1266428194">
          <w:marLeft w:val="480"/>
          <w:marRight w:val="0"/>
          <w:marTop w:val="0"/>
          <w:marBottom w:val="0"/>
          <w:divBdr>
            <w:top w:val="none" w:sz="0" w:space="0" w:color="auto"/>
            <w:left w:val="none" w:sz="0" w:space="0" w:color="auto"/>
            <w:bottom w:val="none" w:sz="0" w:space="0" w:color="auto"/>
            <w:right w:val="none" w:sz="0" w:space="0" w:color="auto"/>
          </w:divBdr>
        </w:div>
        <w:div w:id="253058156">
          <w:marLeft w:val="480"/>
          <w:marRight w:val="0"/>
          <w:marTop w:val="0"/>
          <w:marBottom w:val="0"/>
          <w:divBdr>
            <w:top w:val="none" w:sz="0" w:space="0" w:color="auto"/>
            <w:left w:val="none" w:sz="0" w:space="0" w:color="auto"/>
            <w:bottom w:val="none" w:sz="0" w:space="0" w:color="auto"/>
            <w:right w:val="none" w:sz="0" w:space="0" w:color="auto"/>
          </w:divBdr>
        </w:div>
        <w:div w:id="177351572">
          <w:marLeft w:val="480"/>
          <w:marRight w:val="0"/>
          <w:marTop w:val="0"/>
          <w:marBottom w:val="0"/>
          <w:divBdr>
            <w:top w:val="none" w:sz="0" w:space="0" w:color="auto"/>
            <w:left w:val="none" w:sz="0" w:space="0" w:color="auto"/>
            <w:bottom w:val="none" w:sz="0" w:space="0" w:color="auto"/>
            <w:right w:val="none" w:sz="0" w:space="0" w:color="auto"/>
          </w:divBdr>
        </w:div>
        <w:div w:id="237716549">
          <w:marLeft w:val="480"/>
          <w:marRight w:val="0"/>
          <w:marTop w:val="0"/>
          <w:marBottom w:val="0"/>
          <w:divBdr>
            <w:top w:val="none" w:sz="0" w:space="0" w:color="auto"/>
            <w:left w:val="none" w:sz="0" w:space="0" w:color="auto"/>
            <w:bottom w:val="none" w:sz="0" w:space="0" w:color="auto"/>
            <w:right w:val="none" w:sz="0" w:space="0" w:color="auto"/>
          </w:divBdr>
        </w:div>
        <w:div w:id="586113011">
          <w:marLeft w:val="480"/>
          <w:marRight w:val="0"/>
          <w:marTop w:val="0"/>
          <w:marBottom w:val="0"/>
          <w:divBdr>
            <w:top w:val="none" w:sz="0" w:space="0" w:color="auto"/>
            <w:left w:val="none" w:sz="0" w:space="0" w:color="auto"/>
            <w:bottom w:val="none" w:sz="0" w:space="0" w:color="auto"/>
            <w:right w:val="none" w:sz="0" w:space="0" w:color="auto"/>
          </w:divBdr>
        </w:div>
        <w:div w:id="1871987133">
          <w:marLeft w:val="480"/>
          <w:marRight w:val="0"/>
          <w:marTop w:val="0"/>
          <w:marBottom w:val="0"/>
          <w:divBdr>
            <w:top w:val="none" w:sz="0" w:space="0" w:color="auto"/>
            <w:left w:val="none" w:sz="0" w:space="0" w:color="auto"/>
            <w:bottom w:val="none" w:sz="0" w:space="0" w:color="auto"/>
            <w:right w:val="none" w:sz="0" w:space="0" w:color="auto"/>
          </w:divBdr>
        </w:div>
        <w:div w:id="909534227">
          <w:marLeft w:val="480"/>
          <w:marRight w:val="0"/>
          <w:marTop w:val="0"/>
          <w:marBottom w:val="0"/>
          <w:divBdr>
            <w:top w:val="none" w:sz="0" w:space="0" w:color="auto"/>
            <w:left w:val="none" w:sz="0" w:space="0" w:color="auto"/>
            <w:bottom w:val="none" w:sz="0" w:space="0" w:color="auto"/>
            <w:right w:val="none" w:sz="0" w:space="0" w:color="auto"/>
          </w:divBdr>
        </w:div>
        <w:div w:id="407772840">
          <w:marLeft w:val="480"/>
          <w:marRight w:val="0"/>
          <w:marTop w:val="0"/>
          <w:marBottom w:val="0"/>
          <w:divBdr>
            <w:top w:val="none" w:sz="0" w:space="0" w:color="auto"/>
            <w:left w:val="none" w:sz="0" w:space="0" w:color="auto"/>
            <w:bottom w:val="none" w:sz="0" w:space="0" w:color="auto"/>
            <w:right w:val="none" w:sz="0" w:space="0" w:color="auto"/>
          </w:divBdr>
        </w:div>
        <w:div w:id="236941860">
          <w:marLeft w:val="480"/>
          <w:marRight w:val="0"/>
          <w:marTop w:val="0"/>
          <w:marBottom w:val="0"/>
          <w:divBdr>
            <w:top w:val="none" w:sz="0" w:space="0" w:color="auto"/>
            <w:left w:val="none" w:sz="0" w:space="0" w:color="auto"/>
            <w:bottom w:val="none" w:sz="0" w:space="0" w:color="auto"/>
            <w:right w:val="none" w:sz="0" w:space="0" w:color="auto"/>
          </w:divBdr>
        </w:div>
        <w:div w:id="1399665029">
          <w:marLeft w:val="480"/>
          <w:marRight w:val="0"/>
          <w:marTop w:val="0"/>
          <w:marBottom w:val="0"/>
          <w:divBdr>
            <w:top w:val="none" w:sz="0" w:space="0" w:color="auto"/>
            <w:left w:val="none" w:sz="0" w:space="0" w:color="auto"/>
            <w:bottom w:val="none" w:sz="0" w:space="0" w:color="auto"/>
            <w:right w:val="none" w:sz="0" w:space="0" w:color="auto"/>
          </w:divBdr>
        </w:div>
        <w:div w:id="1368792592">
          <w:marLeft w:val="480"/>
          <w:marRight w:val="0"/>
          <w:marTop w:val="0"/>
          <w:marBottom w:val="0"/>
          <w:divBdr>
            <w:top w:val="none" w:sz="0" w:space="0" w:color="auto"/>
            <w:left w:val="none" w:sz="0" w:space="0" w:color="auto"/>
            <w:bottom w:val="none" w:sz="0" w:space="0" w:color="auto"/>
            <w:right w:val="none" w:sz="0" w:space="0" w:color="auto"/>
          </w:divBdr>
        </w:div>
        <w:div w:id="1129739961">
          <w:marLeft w:val="480"/>
          <w:marRight w:val="0"/>
          <w:marTop w:val="0"/>
          <w:marBottom w:val="0"/>
          <w:divBdr>
            <w:top w:val="none" w:sz="0" w:space="0" w:color="auto"/>
            <w:left w:val="none" w:sz="0" w:space="0" w:color="auto"/>
            <w:bottom w:val="none" w:sz="0" w:space="0" w:color="auto"/>
            <w:right w:val="none" w:sz="0" w:space="0" w:color="auto"/>
          </w:divBdr>
        </w:div>
        <w:div w:id="2088071198">
          <w:marLeft w:val="480"/>
          <w:marRight w:val="0"/>
          <w:marTop w:val="0"/>
          <w:marBottom w:val="0"/>
          <w:divBdr>
            <w:top w:val="none" w:sz="0" w:space="0" w:color="auto"/>
            <w:left w:val="none" w:sz="0" w:space="0" w:color="auto"/>
            <w:bottom w:val="none" w:sz="0" w:space="0" w:color="auto"/>
            <w:right w:val="none" w:sz="0" w:space="0" w:color="auto"/>
          </w:divBdr>
        </w:div>
        <w:div w:id="645860969">
          <w:marLeft w:val="480"/>
          <w:marRight w:val="0"/>
          <w:marTop w:val="0"/>
          <w:marBottom w:val="0"/>
          <w:divBdr>
            <w:top w:val="none" w:sz="0" w:space="0" w:color="auto"/>
            <w:left w:val="none" w:sz="0" w:space="0" w:color="auto"/>
            <w:bottom w:val="none" w:sz="0" w:space="0" w:color="auto"/>
            <w:right w:val="none" w:sz="0" w:space="0" w:color="auto"/>
          </w:divBdr>
        </w:div>
        <w:div w:id="785974251">
          <w:marLeft w:val="480"/>
          <w:marRight w:val="0"/>
          <w:marTop w:val="0"/>
          <w:marBottom w:val="0"/>
          <w:divBdr>
            <w:top w:val="none" w:sz="0" w:space="0" w:color="auto"/>
            <w:left w:val="none" w:sz="0" w:space="0" w:color="auto"/>
            <w:bottom w:val="none" w:sz="0" w:space="0" w:color="auto"/>
            <w:right w:val="none" w:sz="0" w:space="0" w:color="auto"/>
          </w:divBdr>
        </w:div>
        <w:div w:id="854540666">
          <w:marLeft w:val="480"/>
          <w:marRight w:val="0"/>
          <w:marTop w:val="0"/>
          <w:marBottom w:val="0"/>
          <w:divBdr>
            <w:top w:val="none" w:sz="0" w:space="0" w:color="auto"/>
            <w:left w:val="none" w:sz="0" w:space="0" w:color="auto"/>
            <w:bottom w:val="none" w:sz="0" w:space="0" w:color="auto"/>
            <w:right w:val="none" w:sz="0" w:space="0" w:color="auto"/>
          </w:divBdr>
        </w:div>
        <w:div w:id="259529520">
          <w:marLeft w:val="480"/>
          <w:marRight w:val="0"/>
          <w:marTop w:val="0"/>
          <w:marBottom w:val="0"/>
          <w:divBdr>
            <w:top w:val="none" w:sz="0" w:space="0" w:color="auto"/>
            <w:left w:val="none" w:sz="0" w:space="0" w:color="auto"/>
            <w:bottom w:val="none" w:sz="0" w:space="0" w:color="auto"/>
            <w:right w:val="none" w:sz="0" w:space="0" w:color="auto"/>
          </w:divBdr>
        </w:div>
        <w:div w:id="1385330561">
          <w:marLeft w:val="480"/>
          <w:marRight w:val="0"/>
          <w:marTop w:val="0"/>
          <w:marBottom w:val="0"/>
          <w:divBdr>
            <w:top w:val="none" w:sz="0" w:space="0" w:color="auto"/>
            <w:left w:val="none" w:sz="0" w:space="0" w:color="auto"/>
            <w:bottom w:val="none" w:sz="0" w:space="0" w:color="auto"/>
            <w:right w:val="none" w:sz="0" w:space="0" w:color="auto"/>
          </w:divBdr>
        </w:div>
        <w:div w:id="1704094250">
          <w:marLeft w:val="480"/>
          <w:marRight w:val="0"/>
          <w:marTop w:val="0"/>
          <w:marBottom w:val="0"/>
          <w:divBdr>
            <w:top w:val="none" w:sz="0" w:space="0" w:color="auto"/>
            <w:left w:val="none" w:sz="0" w:space="0" w:color="auto"/>
            <w:bottom w:val="none" w:sz="0" w:space="0" w:color="auto"/>
            <w:right w:val="none" w:sz="0" w:space="0" w:color="auto"/>
          </w:divBdr>
        </w:div>
        <w:div w:id="1369070202">
          <w:marLeft w:val="480"/>
          <w:marRight w:val="0"/>
          <w:marTop w:val="0"/>
          <w:marBottom w:val="0"/>
          <w:divBdr>
            <w:top w:val="none" w:sz="0" w:space="0" w:color="auto"/>
            <w:left w:val="none" w:sz="0" w:space="0" w:color="auto"/>
            <w:bottom w:val="none" w:sz="0" w:space="0" w:color="auto"/>
            <w:right w:val="none" w:sz="0" w:space="0" w:color="auto"/>
          </w:divBdr>
        </w:div>
        <w:div w:id="765619190">
          <w:marLeft w:val="480"/>
          <w:marRight w:val="0"/>
          <w:marTop w:val="0"/>
          <w:marBottom w:val="0"/>
          <w:divBdr>
            <w:top w:val="none" w:sz="0" w:space="0" w:color="auto"/>
            <w:left w:val="none" w:sz="0" w:space="0" w:color="auto"/>
            <w:bottom w:val="none" w:sz="0" w:space="0" w:color="auto"/>
            <w:right w:val="none" w:sz="0" w:space="0" w:color="auto"/>
          </w:divBdr>
        </w:div>
        <w:div w:id="534081794">
          <w:marLeft w:val="480"/>
          <w:marRight w:val="0"/>
          <w:marTop w:val="0"/>
          <w:marBottom w:val="0"/>
          <w:divBdr>
            <w:top w:val="none" w:sz="0" w:space="0" w:color="auto"/>
            <w:left w:val="none" w:sz="0" w:space="0" w:color="auto"/>
            <w:bottom w:val="none" w:sz="0" w:space="0" w:color="auto"/>
            <w:right w:val="none" w:sz="0" w:space="0" w:color="auto"/>
          </w:divBdr>
        </w:div>
        <w:div w:id="1195729897">
          <w:marLeft w:val="480"/>
          <w:marRight w:val="0"/>
          <w:marTop w:val="0"/>
          <w:marBottom w:val="0"/>
          <w:divBdr>
            <w:top w:val="none" w:sz="0" w:space="0" w:color="auto"/>
            <w:left w:val="none" w:sz="0" w:space="0" w:color="auto"/>
            <w:bottom w:val="none" w:sz="0" w:space="0" w:color="auto"/>
            <w:right w:val="none" w:sz="0" w:space="0" w:color="auto"/>
          </w:divBdr>
        </w:div>
        <w:div w:id="1292829590">
          <w:marLeft w:val="480"/>
          <w:marRight w:val="0"/>
          <w:marTop w:val="0"/>
          <w:marBottom w:val="0"/>
          <w:divBdr>
            <w:top w:val="none" w:sz="0" w:space="0" w:color="auto"/>
            <w:left w:val="none" w:sz="0" w:space="0" w:color="auto"/>
            <w:bottom w:val="none" w:sz="0" w:space="0" w:color="auto"/>
            <w:right w:val="none" w:sz="0" w:space="0" w:color="auto"/>
          </w:divBdr>
        </w:div>
        <w:div w:id="920722650">
          <w:marLeft w:val="480"/>
          <w:marRight w:val="0"/>
          <w:marTop w:val="0"/>
          <w:marBottom w:val="0"/>
          <w:divBdr>
            <w:top w:val="none" w:sz="0" w:space="0" w:color="auto"/>
            <w:left w:val="none" w:sz="0" w:space="0" w:color="auto"/>
            <w:bottom w:val="none" w:sz="0" w:space="0" w:color="auto"/>
            <w:right w:val="none" w:sz="0" w:space="0" w:color="auto"/>
          </w:divBdr>
        </w:div>
        <w:div w:id="707026747">
          <w:marLeft w:val="480"/>
          <w:marRight w:val="0"/>
          <w:marTop w:val="0"/>
          <w:marBottom w:val="0"/>
          <w:divBdr>
            <w:top w:val="none" w:sz="0" w:space="0" w:color="auto"/>
            <w:left w:val="none" w:sz="0" w:space="0" w:color="auto"/>
            <w:bottom w:val="none" w:sz="0" w:space="0" w:color="auto"/>
            <w:right w:val="none" w:sz="0" w:space="0" w:color="auto"/>
          </w:divBdr>
        </w:div>
        <w:div w:id="604580408">
          <w:marLeft w:val="480"/>
          <w:marRight w:val="0"/>
          <w:marTop w:val="0"/>
          <w:marBottom w:val="0"/>
          <w:divBdr>
            <w:top w:val="none" w:sz="0" w:space="0" w:color="auto"/>
            <w:left w:val="none" w:sz="0" w:space="0" w:color="auto"/>
            <w:bottom w:val="none" w:sz="0" w:space="0" w:color="auto"/>
            <w:right w:val="none" w:sz="0" w:space="0" w:color="auto"/>
          </w:divBdr>
        </w:div>
        <w:div w:id="793790323">
          <w:marLeft w:val="480"/>
          <w:marRight w:val="0"/>
          <w:marTop w:val="0"/>
          <w:marBottom w:val="0"/>
          <w:divBdr>
            <w:top w:val="none" w:sz="0" w:space="0" w:color="auto"/>
            <w:left w:val="none" w:sz="0" w:space="0" w:color="auto"/>
            <w:bottom w:val="none" w:sz="0" w:space="0" w:color="auto"/>
            <w:right w:val="none" w:sz="0" w:space="0" w:color="auto"/>
          </w:divBdr>
        </w:div>
        <w:div w:id="675689018">
          <w:marLeft w:val="480"/>
          <w:marRight w:val="0"/>
          <w:marTop w:val="0"/>
          <w:marBottom w:val="0"/>
          <w:divBdr>
            <w:top w:val="none" w:sz="0" w:space="0" w:color="auto"/>
            <w:left w:val="none" w:sz="0" w:space="0" w:color="auto"/>
            <w:bottom w:val="none" w:sz="0" w:space="0" w:color="auto"/>
            <w:right w:val="none" w:sz="0" w:space="0" w:color="auto"/>
          </w:divBdr>
        </w:div>
        <w:div w:id="1291746097">
          <w:marLeft w:val="480"/>
          <w:marRight w:val="0"/>
          <w:marTop w:val="0"/>
          <w:marBottom w:val="0"/>
          <w:divBdr>
            <w:top w:val="none" w:sz="0" w:space="0" w:color="auto"/>
            <w:left w:val="none" w:sz="0" w:space="0" w:color="auto"/>
            <w:bottom w:val="none" w:sz="0" w:space="0" w:color="auto"/>
            <w:right w:val="none" w:sz="0" w:space="0" w:color="auto"/>
          </w:divBdr>
        </w:div>
        <w:div w:id="1714385729">
          <w:marLeft w:val="480"/>
          <w:marRight w:val="0"/>
          <w:marTop w:val="0"/>
          <w:marBottom w:val="0"/>
          <w:divBdr>
            <w:top w:val="none" w:sz="0" w:space="0" w:color="auto"/>
            <w:left w:val="none" w:sz="0" w:space="0" w:color="auto"/>
            <w:bottom w:val="none" w:sz="0" w:space="0" w:color="auto"/>
            <w:right w:val="none" w:sz="0" w:space="0" w:color="auto"/>
          </w:divBdr>
        </w:div>
        <w:div w:id="1276063244">
          <w:marLeft w:val="480"/>
          <w:marRight w:val="0"/>
          <w:marTop w:val="0"/>
          <w:marBottom w:val="0"/>
          <w:divBdr>
            <w:top w:val="none" w:sz="0" w:space="0" w:color="auto"/>
            <w:left w:val="none" w:sz="0" w:space="0" w:color="auto"/>
            <w:bottom w:val="none" w:sz="0" w:space="0" w:color="auto"/>
            <w:right w:val="none" w:sz="0" w:space="0" w:color="auto"/>
          </w:divBdr>
        </w:div>
        <w:div w:id="542138324">
          <w:marLeft w:val="480"/>
          <w:marRight w:val="0"/>
          <w:marTop w:val="0"/>
          <w:marBottom w:val="0"/>
          <w:divBdr>
            <w:top w:val="none" w:sz="0" w:space="0" w:color="auto"/>
            <w:left w:val="none" w:sz="0" w:space="0" w:color="auto"/>
            <w:bottom w:val="none" w:sz="0" w:space="0" w:color="auto"/>
            <w:right w:val="none" w:sz="0" w:space="0" w:color="auto"/>
          </w:divBdr>
        </w:div>
        <w:div w:id="566302637">
          <w:marLeft w:val="480"/>
          <w:marRight w:val="0"/>
          <w:marTop w:val="0"/>
          <w:marBottom w:val="0"/>
          <w:divBdr>
            <w:top w:val="none" w:sz="0" w:space="0" w:color="auto"/>
            <w:left w:val="none" w:sz="0" w:space="0" w:color="auto"/>
            <w:bottom w:val="none" w:sz="0" w:space="0" w:color="auto"/>
            <w:right w:val="none" w:sz="0" w:space="0" w:color="auto"/>
          </w:divBdr>
        </w:div>
        <w:div w:id="388382796">
          <w:marLeft w:val="480"/>
          <w:marRight w:val="0"/>
          <w:marTop w:val="0"/>
          <w:marBottom w:val="0"/>
          <w:divBdr>
            <w:top w:val="none" w:sz="0" w:space="0" w:color="auto"/>
            <w:left w:val="none" w:sz="0" w:space="0" w:color="auto"/>
            <w:bottom w:val="none" w:sz="0" w:space="0" w:color="auto"/>
            <w:right w:val="none" w:sz="0" w:space="0" w:color="auto"/>
          </w:divBdr>
        </w:div>
        <w:div w:id="213588902">
          <w:marLeft w:val="480"/>
          <w:marRight w:val="0"/>
          <w:marTop w:val="0"/>
          <w:marBottom w:val="0"/>
          <w:divBdr>
            <w:top w:val="none" w:sz="0" w:space="0" w:color="auto"/>
            <w:left w:val="none" w:sz="0" w:space="0" w:color="auto"/>
            <w:bottom w:val="none" w:sz="0" w:space="0" w:color="auto"/>
            <w:right w:val="none" w:sz="0" w:space="0" w:color="auto"/>
          </w:divBdr>
        </w:div>
        <w:div w:id="346448469">
          <w:marLeft w:val="480"/>
          <w:marRight w:val="0"/>
          <w:marTop w:val="0"/>
          <w:marBottom w:val="0"/>
          <w:divBdr>
            <w:top w:val="none" w:sz="0" w:space="0" w:color="auto"/>
            <w:left w:val="none" w:sz="0" w:space="0" w:color="auto"/>
            <w:bottom w:val="none" w:sz="0" w:space="0" w:color="auto"/>
            <w:right w:val="none" w:sz="0" w:space="0" w:color="auto"/>
          </w:divBdr>
        </w:div>
        <w:div w:id="1693802032">
          <w:marLeft w:val="480"/>
          <w:marRight w:val="0"/>
          <w:marTop w:val="0"/>
          <w:marBottom w:val="0"/>
          <w:divBdr>
            <w:top w:val="none" w:sz="0" w:space="0" w:color="auto"/>
            <w:left w:val="none" w:sz="0" w:space="0" w:color="auto"/>
            <w:bottom w:val="none" w:sz="0" w:space="0" w:color="auto"/>
            <w:right w:val="none" w:sz="0" w:space="0" w:color="auto"/>
          </w:divBdr>
        </w:div>
        <w:div w:id="2102942648">
          <w:marLeft w:val="480"/>
          <w:marRight w:val="0"/>
          <w:marTop w:val="0"/>
          <w:marBottom w:val="0"/>
          <w:divBdr>
            <w:top w:val="none" w:sz="0" w:space="0" w:color="auto"/>
            <w:left w:val="none" w:sz="0" w:space="0" w:color="auto"/>
            <w:bottom w:val="none" w:sz="0" w:space="0" w:color="auto"/>
            <w:right w:val="none" w:sz="0" w:space="0" w:color="auto"/>
          </w:divBdr>
        </w:div>
        <w:div w:id="120540027">
          <w:marLeft w:val="480"/>
          <w:marRight w:val="0"/>
          <w:marTop w:val="0"/>
          <w:marBottom w:val="0"/>
          <w:divBdr>
            <w:top w:val="none" w:sz="0" w:space="0" w:color="auto"/>
            <w:left w:val="none" w:sz="0" w:space="0" w:color="auto"/>
            <w:bottom w:val="none" w:sz="0" w:space="0" w:color="auto"/>
            <w:right w:val="none" w:sz="0" w:space="0" w:color="auto"/>
          </w:divBdr>
        </w:div>
        <w:div w:id="1179196332">
          <w:marLeft w:val="480"/>
          <w:marRight w:val="0"/>
          <w:marTop w:val="0"/>
          <w:marBottom w:val="0"/>
          <w:divBdr>
            <w:top w:val="none" w:sz="0" w:space="0" w:color="auto"/>
            <w:left w:val="none" w:sz="0" w:space="0" w:color="auto"/>
            <w:bottom w:val="none" w:sz="0" w:space="0" w:color="auto"/>
            <w:right w:val="none" w:sz="0" w:space="0" w:color="auto"/>
          </w:divBdr>
        </w:div>
        <w:div w:id="315840562">
          <w:marLeft w:val="480"/>
          <w:marRight w:val="0"/>
          <w:marTop w:val="0"/>
          <w:marBottom w:val="0"/>
          <w:divBdr>
            <w:top w:val="none" w:sz="0" w:space="0" w:color="auto"/>
            <w:left w:val="none" w:sz="0" w:space="0" w:color="auto"/>
            <w:bottom w:val="none" w:sz="0" w:space="0" w:color="auto"/>
            <w:right w:val="none" w:sz="0" w:space="0" w:color="auto"/>
          </w:divBdr>
        </w:div>
        <w:div w:id="744840564">
          <w:marLeft w:val="480"/>
          <w:marRight w:val="0"/>
          <w:marTop w:val="0"/>
          <w:marBottom w:val="0"/>
          <w:divBdr>
            <w:top w:val="none" w:sz="0" w:space="0" w:color="auto"/>
            <w:left w:val="none" w:sz="0" w:space="0" w:color="auto"/>
            <w:bottom w:val="none" w:sz="0" w:space="0" w:color="auto"/>
            <w:right w:val="none" w:sz="0" w:space="0" w:color="auto"/>
          </w:divBdr>
        </w:div>
        <w:div w:id="903949625">
          <w:marLeft w:val="480"/>
          <w:marRight w:val="0"/>
          <w:marTop w:val="0"/>
          <w:marBottom w:val="0"/>
          <w:divBdr>
            <w:top w:val="none" w:sz="0" w:space="0" w:color="auto"/>
            <w:left w:val="none" w:sz="0" w:space="0" w:color="auto"/>
            <w:bottom w:val="none" w:sz="0" w:space="0" w:color="auto"/>
            <w:right w:val="none" w:sz="0" w:space="0" w:color="auto"/>
          </w:divBdr>
        </w:div>
        <w:div w:id="173499178">
          <w:marLeft w:val="480"/>
          <w:marRight w:val="0"/>
          <w:marTop w:val="0"/>
          <w:marBottom w:val="0"/>
          <w:divBdr>
            <w:top w:val="none" w:sz="0" w:space="0" w:color="auto"/>
            <w:left w:val="none" w:sz="0" w:space="0" w:color="auto"/>
            <w:bottom w:val="none" w:sz="0" w:space="0" w:color="auto"/>
            <w:right w:val="none" w:sz="0" w:space="0" w:color="auto"/>
          </w:divBdr>
        </w:div>
        <w:div w:id="1206598892">
          <w:marLeft w:val="480"/>
          <w:marRight w:val="0"/>
          <w:marTop w:val="0"/>
          <w:marBottom w:val="0"/>
          <w:divBdr>
            <w:top w:val="none" w:sz="0" w:space="0" w:color="auto"/>
            <w:left w:val="none" w:sz="0" w:space="0" w:color="auto"/>
            <w:bottom w:val="none" w:sz="0" w:space="0" w:color="auto"/>
            <w:right w:val="none" w:sz="0" w:space="0" w:color="auto"/>
          </w:divBdr>
        </w:div>
        <w:div w:id="410657795">
          <w:marLeft w:val="480"/>
          <w:marRight w:val="0"/>
          <w:marTop w:val="0"/>
          <w:marBottom w:val="0"/>
          <w:divBdr>
            <w:top w:val="none" w:sz="0" w:space="0" w:color="auto"/>
            <w:left w:val="none" w:sz="0" w:space="0" w:color="auto"/>
            <w:bottom w:val="none" w:sz="0" w:space="0" w:color="auto"/>
            <w:right w:val="none" w:sz="0" w:space="0" w:color="auto"/>
          </w:divBdr>
        </w:div>
        <w:div w:id="498034853">
          <w:marLeft w:val="480"/>
          <w:marRight w:val="0"/>
          <w:marTop w:val="0"/>
          <w:marBottom w:val="0"/>
          <w:divBdr>
            <w:top w:val="none" w:sz="0" w:space="0" w:color="auto"/>
            <w:left w:val="none" w:sz="0" w:space="0" w:color="auto"/>
            <w:bottom w:val="none" w:sz="0" w:space="0" w:color="auto"/>
            <w:right w:val="none" w:sz="0" w:space="0" w:color="auto"/>
          </w:divBdr>
        </w:div>
        <w:div w:id="216210955">
          <w:marLeft w:val="480"/>
          <w:marRight w:val="0"/>
          <w:marTop w:val="0"/>
          <w:marBottom w:val="0"/>
          <w:divBdr>
            <w:top w:val="none" w:sz="0" w:space="0" w:color="auto"/>
            <w:left w:val="none" w:sz="0" w:space="0" w:color="auto"/>
            <w:bottom w:val="none" w:sz="0" w:space="0" w:color="auto"/>
            <w:right w:val="none" w:sz="0" w:space="0" w:color="auto"/>
          </w:divBdr>
        </w:div>
        <w:div w:id="1654405157">
          <w:marLeft w:val="480"/>
          <w:marRight w:val="0"/>
          <w:marTop w:val="0"/>
          <w:marBottom w:val="0"/>
          <w:divBdr>
            <w:top w:val="none" w:sz="0" w:space="0" w:color="auto"/>
            <w:left w:val="none" w:sz="0" w:space="0" w:color="auto"/>
            <w:bottom w:val="none" w:sz="0" w:space="0" w:color="auto"/>
            <w:right w:val="none" w:sz="0" w:space="0" w:color="auto"/>
          </w:divBdr>
        </w:div>
        <w:div w:id="544681723">
          <w:marLeft w:val="480"/>
          <w:marRight w:val="0"/>
          <w:marTop w:val="0"/>
          <w:marBottom w:val="0"/>
          <w:divBdr>
            <w:top w:val="none" w:sz="0" w:space="0" w:color="auto"/>
            <w:left w:val="none" w:sz="0" w:space="0" w:color="auto"/>
            <w:bottom w:val="none" w:sz="0" w:space="0" w:color="auto"/>
            <w:right w:val="none" w:sz="0" w:space="0" w:color="auto"/>
          </w:divBdr>
        </w:div>
        <w:div w:id="314340693">
          <w:marLeft w:val="480"/>
          <w:marRight w:val="0"/>
          <w:marTop w:val="0"/>
          <w:marBottom w:val="0"/>
          <w:divBdr>
            <w:top w:val="none" w:sz="0" w:space="0" w:color="auto"/>
            <w:left w:val="none" w:sz="0" w:space="0" w:color="auto"/>
            <w:bottom w:val="none" w:sz="0" w:space="0" w:color="auto"/>
            <w:right w:val="none" w:sz="0" w:space="0" w:color="auto"/>
          </w:divBdr>
        </w:div>
        <w:div w:id="714236899">
          <w:marLeft w:val="480"/>
          <w:marRight w:val="0"/>
          <w:marTop w:val="0"/>
          <w:marBottom w:val="0"/>
          <w:divBdr>
            <w:top w:val="none" w:sz="0" w:space="0" w:color="auto"/>
            <w:left w:val="none" w:sz="0" w:space="0" w:color="auto"/>
            <w:bottom w:val="none" w:sz="0" w:space="0" w:color="auto"/>
            <w:right w:val="none" w:sz="0" w:space="0" w:color="auto"/>
          </w:divBdr>
        </w:div>
        <w:div w:id="886725998">
          <w:marLeft w:val="480"/>
          <w:marRight w:val="0"/>
          <w:marTop w:val="0"/>
          <w:marBottom w:val="0"/>
          <w:divBdr>
            <w:top w:val="none" w:sz="0" w:space="0" w:color="auto"/>
            <w:left w:val="none" w:sz="0" w:space="0" w:color="auto"/>
            <w:bottom w:val="none" w:sz="0" w:space="0" w:color="auto"/>
            <w:right w:val="none" w:sz="0" w:space="0" w:color="auto"/>
          </w:divBdr>
        </w:div>
        <w:div w:id="1301693585">
          <w:marLeft w:val="480"/>
          <w:marRight w:val="0"/>
          <w:marTop w:val="0"/>
          <w:marBottom w:val="0"/>
          <w:divBdr>
            <w:top w:val="none" w:sz="0" w:space="0" w:color="auto"/>
            <w:left w:val="none" w:sz="0" w:space="0" w:color="auto"/>
            <w:bottom w:val="none" w:sz="0" w:space="0" w:color="auto"/>
            <w:right w:val="none" w:sz="0" w:space="0" w:color="auto"/>
          </w:divBdr>
        </w:div>
        <w:div w:id="1762292579">
          <w:marLeft w:val="480"/>
          <w:marRight w:val="0"/>
          <w:marTop w:val="0"/>
          <w:marBottom w:val="0"/>
          <w:divBdr>
            <w:top w:val="none" w:sz="0" w:space="0" w:color="auto"/>
            <w:left w:val="none" w:sz="0" w:space="0" w:color="auto"/>
            <w:bottom w:val="none" w:sz="0" w:space="0" w:color="auto"/>
            <w:right w:val="none" w:sz="0" w:space="0" w:color="auto"/>
          </w:divBdr>
        </w:div>
        <w:div w:id="442310766">
          <w:marLeft w:val="480"/>
          <w:marRight w:val="0"/>
          <w:marTop w:val="0"/>
          <w:marBottom w:val="0"/>
          <w:divBdr>
            <w:top w:val="none" w:sz="0" w:space="0" w:color="auto"/>
            <w:left w:val="none" w:sz="0" w:space="0" w:color="auto"/>
            <w:bottom w:val="none" w:sz="0" w:space="0" w:color="auto"/>
            <w:right w:val="none" w:sz="0" w:space="0" w:color="auto"/>
          </w:divBdr>
        </w:div>
        <w:div w:id="1957133949">
          <w:marLeft w:val="480"/>
          <w:marRight w:val="0"/>
          <w:marTop w:val="0"/>
          <w:marBottom w:val="0"/>
          <w:divBdr>
            <w:top w:val="none" w:sz="0" w:space="0" w:color="auto"/>
            <w:left w:val="none" w:sz="0" w:space="0" w:color="auto"/>
            <w:bottom w:val="none" w:sz="0" w:space="0" w:color="auto"/>
            <w:right w:val="none" w:sz="0" w:space="0" w:color="auto"/>
          </w:divBdr>
        </w:div>
        <w:div w:id="1970743886">
          <w:marLeft w:val="480"/>
          <w:marRight w:val="0"/>
          <w:marTop w:val="0"/>
          <w:marBottom w:val="0"/>
          <w:divBdr>
            <w:top w:val="none" w:sz="0" w:space="0" w:color="auto"/>
            <w:left w:val="none" w:sz="0" w:space="0" w:color="auto"/>
            <w:bottom w:val="none" w:sz="0" w:space="0" w:color="auto"/>
            <w:right w:val="none" w:sz="0" w:space="0" w:color="auto"/>
          </w:divBdr>
        </w:div>
        <w:div w:id="1043480608">
          <w:marLeft w:val="480"/>
          <w:marRight w:val="0"/>
          <w:marTop w:val="0"/>
          <w:marBottom w:val="0"/>
          <w:divBdr>
            <w:top w:val="none" w:sz="0" w:space="0" w:color="auto"/>
            <w:left w:val="none" w:sz="0" w:space="0" w:color="auto"/>
            <w:bottom w:val="none" w:sz="0" w:space="0" w:color="auto"/>
            <w:right w:val="none" w:sz="0" w:space="0" w:color="auto"/>
          </w:divBdr>
        </w:div>
        <w:div w:id="758983711">
          <w:marLeft w:val="480"/>
          <w:marRight w:val="0"/>
          <w:marTop w:val="0"/>
          <w:marBottom w:val="0"/>
          <w:divBdr>
            <w:top w:val="none" w:sz="0" w:space="0" w:color="auto"/>
            <w:left w:val="none" w:sz="0" w:space="0" w:color="auto"/>
            <w:bottom w:val="none" w:sz="0" w:space="0" w:color="auto"/>
            <w:right w:val="none" w:sz="0" w:space="0" w:color="auto"/>
          </w:divBdr>
        </w:div>
        <w:div w:id="330567209">
          <w:marLeft w:val="480"/>
          <w:marRight w:val="0"/>
          <w:marTop w:val="0"/>
          <w:marBottom w:val="0"/>
          <w:divBdr>
            <w:top w:val="none" w:sz="0" w:space="0" w:color="auto"/>
            <w:left w:val="none" w:sz="0" w:space="0" w:color="auto"/>
            <w:bottom w:val="none" w:sz="0" w:space="0" w:color="auto"/>
            <w:right w:val="none" w:sz="0" w:space="0" w:color="auto"/>
          </w:divBdr>
        </w:div>
        <w:div w:id="2109155556">
          <w:marLeft w:val="480"/>
          <w:marRight w:val="0"/>
          <w:marTop w:val="0"/>
          <w:marBottom w:val="0"/>
          <w:divBdr>
            <w:top w:val="none" w:sz="0" w:space="0" w:color="auto"/>
            <w:left w:val="none" w:sz="0" w:space="0" w:color="auto"/>
            <w:bottom w:val="none" w:sz="0" w:space="0" w:color="auto"/>
            <w:right w:val="none" w:sz="0" w:space="0" w:color="auto"/>
          </w:divBdr>
        </w:div>
        <w:div w:id="1690373497">
          <w:marLeft w:val="480"/>
          <w:marRight w:val="0"/>
          <w:marTop w:val="0"/>
          <w:marBottom w:val="0"/>
          <w:divBdr>
            <w:top w:val="none" w:sz="0" w:space="0" w:color="auto"/>
            <w:left w:val="none" w:sz="0" w:space="0" w:color="auto"/>
            <w:bottom w:val="none" w:sz="0" w:space="0" w:color="auto"/>
            <w:right w:val="none" w:sz="0" w:space="0" w:color="auto"/>
          </w:divBdr>
        </w:div>
        <w:div w:id="1655259156">
          <w:marLeft w:val="480"/>
          <w:marRight w:val="0"/>
          <w:marTop w:val="0"/>
          <w:marBottom w:val="0"/>
          <w:divBdr>
            <w:top w:val="none" w:sz="0" w:space="0" w:color="auto"/>
            <w:left w:val="none" w:sz="0" w:space="0" w:color="auto"/>
            <w:bottom w:val="none" w:sz="0" w:space="0" w:color="auto"/>
            <w:right w:val="none" w:sz="0" w:space="0" w:color="auto"/>
          </w:divBdr>
        </w:div>
        <w:div w:id="763574079">
          <w:marLeft w:val="480"/>
          <w:marRight w:val="0"/>
          <w:marTop w:val="0"/>
          <w:marBottom w:val="0"/>
          <w:divBdr>
            <w:top w:val="none" w:sz="0" w:space="0" w:color="auto"/>
            <w:left w:val="none" w:sz="0" w:space="0" w:color="auto"/>
            <w:bottom w:val="none" w:sz="0" w:space="0" w:color="auto"/>
            <w:right w:val="none" w:sz="0" w:space="0" w:color="auto"/>
          </w:divBdr>
        </w:div>
        <w:div w:id="1632053857">
          <w:marLeft w:val="480"/>
          <w:marRight w:val="0"/>
          <w:marTop w:val="0"/>
          <w:marBottom w:val="0"/>
          <w:divBdr>
            <w:top w:val="none" w:sz="0" w:space="0" w:color="auto"/>
            <w:left w:val="none" w:sz="0" w:space="0" w:color="auto"/>
            <w:bottom w:val="none" w:sz="0" w:space="0" w:color="auto"/>
            <w:right w:val="none" w:sz="0" w:space="0" w:color="auto"/>
          </w:divBdr>
        </w:div>
        <w:div w:id="1841845371">
          <w:marLeft w:val="480"/>
          <w:marRight w:val="0"/>
          <w:marTop w:val="0"/>
          <w:marBottom w:val="0"/>
          <w:divBdr>
            <w:top w:val="none" w:sz="0" w:space="0" w:color="auto"/>
            <w:left w:val="none" w:sz="0" w:space="0" w:color="auto"/>
            <w:bottom w:val="none" w:sz="0" w:space="0" w:color="auto"/>
            <w:right w:val="none" w:sz="0" w:space="0" w:color="auto"/>
          </w:divBdr>
        </w:div>
        <w:div w:id="1978296907">
          <w:marLeft w:val="480"/>
          <w:marRight w:val="0"/>
          <w:marTop w:val="0"/>
          <w:marBottom w:val="0"/>
          <w:divBdr>
            <w:top w:val="none" w:sz="0" w:space="0" w:color="auto"/>
            <w:left w:val="none" w:sz="0" w:space="0" w:color="auto"/>
            <w:bottom w:val="none" w:sz="0" w:space="0" w:color="auto"/>
            <w:right w:val="none" w:sz="0" w:space="0" w:color="auto"/>
          </w:divBdr>
        </w:div>
        <w:div w:id="841973299">
          <w:marLeft w:val="480"/>
          <w:marRight w:val="0"/>
          <w:marTop w:val="0"/>
          <w:marBottom w:val="0"/>
          <w:divBdr>
            <w:top w:val="none" w:sz="0" w:space="0" w:color="auto"/>
            <w:left w:val="none" w:sz="0" w:space="0" w:color="auto"/>
            <w:bottom w:val="none" w:sz="0" w:space="0" w:color="auto"/>
            <w:right w:val="none" w:sz="0" w:space="0" w:color="auto"/>
          </w:divBdr>
        </w:div>
        <w:div w:id="1556891817">
          <w:marLeft w:val="480"/>
          <w:marRight w:val="0"/>
          <w:marTop w:val="0"/>
          <w:marBottom w:val="0"/>
          <w:divBdr>
            <w:top w:val="none" w:sz="0" w:space="0" w:color="auto"/>
            <w:left w:val="none" w:sz="0" w:space="0" w:color="auto"/>
            <w:bottom w:val="none" w:sz="0" w:space="0" w:color="auto"/>
            <w:right w:val="none" w:sz="0" w:space="0" w:color="auto"/>
          </w:divBdr>
        </w:div>
        <w:div w:id="1887135707">
          <w:marLeft w:val="480"/>
          <w:marRight w:val="0"/>
          <w:marTop w:val="0"/>
          <w:marBottom w:val="0"/>
          <w:divBdr>
            <w:top w:val="none" w:sz="0" w:space="0" w:color="auto"/>
            <w:left w:val="none" w:sz="0" w:space="0" w:color="auto"/>
            <w:bottom w:val="none" w:sz="0" w:space="0" w:color="auto"/>
            <w:right w:val="none" w:sz="0" w:space="0" w:color="auto"/>
          </w:divBdr>
        </w:div>
        <w:div w:id="833305831">
          <w:marLeft w:val="480"/>
          <w:marRight w:val="0"/>
          <w:marTop w:val="0"/>
          <w:marBottom w:val="0"/>
          <w:divBdr>
            <w:top w:val="none" w:sz="0" w:space="0" w:color="auto"/>
            <w:left w:val="none" w:sz="0" w:space="0" w:color="auto"/>
            <w:bottom w:val="none" w:sz="0" w:space="0" w:color="auto"/>
            <w:right w:val="none" w:sz="0" w:space="0" w:color="auto"/>
          </w:divBdr>
        </w:div>
        <w:div w:id="1228417669">
          <w:marLeft w:val="480"/>
          <w:marRight w:val="0"/>
          <w:marTop w:val="0"/>
          <w:marBottom w:val="0"/>
          <w:divBdr>
            <w:top w:val="none" w:sz="0" w:space="0" w:color="auto"/>
            <w:left w:val="none" w:sz="0" w:space="0" w:color="auto"/>
            <w:bottom w:val="none" w:sz="0" w:space="0" w:color="auto"/>
            <w:right w:val="none" w:sz="0" w:space="0" w:color="auto"/>
          </w:divBdr>
        </w:div>
        <w:div w:id="1914195061">
          <w:marLeft w:val="480"/>
          <w:marRight w:val="0"/>
          <w:marTop w:val="0"/>
          <w:marBottom w:val="0"/>
          <w:divBdr>
            <w:top w:val="none" w:sz="0" w:space="0" w:color="auto"/>
            <w:left w:val="none" w:sz="0" w:space="0" w:color="auto"/>
            <w:bottom w:val="none" w:sz="0" w:space="0" w:color="auto"/>
            <w:right w:val="none" w:sz="0" w:space="0" w:color="auto"/>
          </w:divBdr>
        </w:div>
        <w:div w:id="829100328">
          <w:marLeft w:val="480"/>
          <w:marRight w:val="0"/>
          <w:marTop w:val="0"/>
          <w:marBottom w:val="0"/>
          <w:divBdr>
            <w:top w:val="none" w:sz="0" w:space="0" w:color="auto"/>
            <w:left w:val="none" w:sz="0" w:space="0" w:color="auto"/>
            <w:bottom w:val="none" w:sz="0" w:space="0" w:color="auto"/>
            <w:right w:val="none" w:sz="0" w:space="0" w:color="auto"/>
          </w:divBdr>
        </w:div>
        <w:div w:id="91508779">
          <w:marLeft w:val="480"/>
          <w:marRight w:val="0"/>
          <w:marTop w:val="0"/>
          <w:marBottom w:val="0"/>
          <w:divBdr>
            <w:top w:val="none" w:sz="0" w:space="0" w:color="auto"/>
            <w:left w:val="none" w:sz="0" w:space="0" w:color="auto"/>
            <w:bottom w:val="none" w:sz="0" w:space="0" w:color="auto"/>
            <w:right w:val="none" w:sz="0" w:space="0" w:color="auto"/>
          </w:divBdr>
        </w:div>
        <w:div w:id="776601834">
          <w:marLeft w:val="480"/>
          <w:marRight w:val="0"/>
          <w:marTop w:val="0"/>
          <w:marBottom w:val="0"/>
          <w:divBdr>
            <w:top w:val="none" w:sz="0" w:space="0" w:color="auto"/>
            <w:left w:val="none" w:sz="0" w:space="0" w:color="auto"/>
            <w:bottom w:val="none" w:sz="0" w:space="0" w:color="auto"/>
            <w:right w:val="none" w:sz="0" w:space="0" w:color="auto"/>
          </w:divBdr>
        </w:div>
        <w:div w:id="193034505">
          <w:marLeft w:val="480"/>
          <w:marRight w:val="0"/>
          <w:marTop w:val="0"/>
          <w:marBottom w:val="0"/>
          <w:divBdr>
            <w:top w:val="none" w:sz="0" w:space="0" w:color="auto"/>
            <w:left w:val="none" w:sz="0" w:space="0" w:color="auto"/>
            <w:bottom w:val="none" w:sz="0" w:space="0" w:color="auto"/>
            <w:right w:val="none" w:sz="0" w:space="0" w:color="auto"/>
          </w:divBdr>
        </w:div>
        <w:div w:id="217085140">
          <w:marLeft w:val="480"/>
          <w:marRight w:val="0"/>
          <w:marTop w:val="0"/>
          <w:marBottom w:val="0"/>
          <w:divBdr>
            <w:top w:val="none" w:sz="0" w:space="0" w:color="auto"/>
            <w:left w:val="none" w:sz="0" w:space="0" w:color="auto"/>
            <w:bottom w:val="none" w:sz="0" w:space="0" w:color="auto"/>
            <w:right w:val="none" w:sz="0" w:space="0" w:color="auto"/>
          </w:divBdr>
        </w:div>
        <w:div w:id="1493179301">
          <w:marLeft w:val="480"/>
          <w:marRight w:val="0"/>
          <w:marTop w:val="0"/>
          <w:marBottom w:val="0"/>
          <w:divBdr>
            <w:top w:val="none" w:sz="0" w:space="0" w:color="auto"/>
            <w:left w:val="none" w:sz="0" w:space="0" w:color="auto"/>
            <w:bottom w:val="none" w:sz="0" w:space="0" w:color="auto"/>
            <w:right w:val="none" w:sz="0" w:space="0" w:color="auto"/>
          </w:divBdr>
        </w:div>
        <w:div w:id="152186106">
          <w:marLeft w:val="480"/>
          <w:marRight w:val="0"/>
          <w:marTop w:val="0"/>
          <w:marBottom w:val="0"/>
          <w:divBdr>
            <w:top w:val="none" w:sz="0" w:space="0" w:color="auto"/>
            <w:left w:val="none" w:sz="0" w:space="0" w:color="auto"/>
            <w:bottom w:val="none" w:sz="0" w:space="0" w:color="auto"/>
            <w:right w:val="none" w:sz="0" w:space="0" w:color="auto"/>
          </w:divBdr>
        </w:div>
        <w:div w:id="1190610732">
          <w:marLeft w:val="480"/>
          <w:marRight w:val="0"/>
          <w:marTop w:val="0"/>
          <w:marBottom w:val="0"/>
          <w:divBdr>
            <w:top w:val="none" w:sz="0" w:space="0" w:color="auto"/>
            <w:left w:val="none" w:sz="0" w:space="0" w:color="auto"/>
            <w:bottom w:val="none" w:sz="0" w:space="0" w:color="auto"/>
            <w:right w:val="none" w:sz="0" w:space="0" w:color="auto"/>
          </w:divBdr>
        </w:div>
        <w:div w:id="1470243295">
          <w:marLeft w:val="480"/>
          <w:marRight w:val="0"/>
          <w:marTop w:val="0"/>
          <w:marBottom w:val="0"/>
          <w:divBdr>
            <w:top w:val="none" w:sz="0" w:space="0" w:color="auto"/>
            <w:left w:val="none" w:sz="0" w:space="0" w:color="auto"/>
            <w:bottom w:val="none" w:sz="0" w:space="0" w:color="auto"/>
            <w:right w:val="none" w:sz="0" w:space="0" w:color="auto"/>
          </w:divBdr>
        </w:div>
        <w:div w:id="1836069666">
          <w:marLeft w:val="480"/>
          <w:marRight w:val="0"/>
          <w:marTop w:val="0"/>
          <w:marBottom w:val="0"/>
          <w:divBdr>
            <w:top w:val="none" w:sz="0" w:space="0" w:color="auto"/>
            <w:left w:val="none" w:sz="0" w:space="0" w:color="auto"/>
            <w:bottom w:val="none" w:sz="0" w:space="0" w:color="auto"/>
            <w:right w:val="none" w:sz="0" w:space="0" w:color="auto"/>
          </w:divBdr>
        </w:div>
        <w:div w:id="1331788397">
          <w:marLeft w:val="480"/>
          <w:marRight w:val="0"/>
          <w:marTop w:val="0"/>
          <w:marBottom w:val="0"/>
          <w:divBdr>
            <w:top w:val="none" w:sz="0" w:space="0" w:color="auto"/>
            <w:left w:val="none" w:sz="0" w:space="0" w:color="auto"/>
            <w:bottom w:val="none" w:sz="0" w:space="0" w:color="auto"/>
            <w:right w:val="none" w:sz="0" w:space="0" w:color="auto"/>
          </w:divBdr>
        </w:div>
        <w:div w:id="101152837">
          <w:marLeft w:val="480"/>
          <w:marRight w:val="0"/>
          <w:marTop w:val="0"/>
          <w:marBottom w:val="0"/>
          <w:divBdr>
            <w:top w:val="none" w:sz="0" w:space="0" w:color="auto"/>
            <w:left w:val="none" w:sz="0" w:space="0" w:color="auto"/>
            <w:bottom w:val="none" w:sz="0" w:space="0" w:color="auto"/>
            <w:right w:val="none" w:sz="0" w:space="0" w:color="auto"/>
          </w:divBdr>
        </w:div>
        <w:div w:id="691734077">
          <w:marLeft w:val="480"/>
          <w:marRight w:val="0"/>
          <w:marTop w:val="0"/>
          <w:marBottom w:val="0"/>
          <w:divBdr>
            <w:top w:val="none" w:sz="0" w:space="0" w:color="auto"/>
            <w:left w:val="none" w:sz="0" w:space="0" w:color="auto"/>
            <w:bottom w:val="none" w:sz="0" w:space="0" w:color="auto"/>
            <w:right w:val="none" w:sz="0" w:space="0" w:color="auto"/>
          </w:divBdr>
        </w:div>
        <w:div w:id="1311862318">
          <w:marLeft w:val="480"/>
          <w:marRight w:val="0"/>
          <w:marTop w:val="0"/>
          <w:marBottom w:val="0"/>
          <w:divBdr>
            <w:top w:val="none" w:sz="0" w:space="0" w:color="auto"/>
            <w:left w:val="none" w:sz="0" w:space="0" w:color="auto"/>
            <w:bottom w:val="none" w:sz="0" w:space="0" w:color="auto"/>
            <w:right w:val="none" w:sz="0" w:space="0" w:color="auto"/>
          </w:divBdr>
        </w:div>
        <w:div w:id="1443695355">
          <w:marLeft w:val="480"/>
          <w:marRight w:val="0"/>
          <w:marTop w:val="0"/>
          <w:marBottom w:val="0"/>
          <w:divBdr>
            <w:top w:val="none" w:sz="0" w:space="0" w:color="auto"/>
            <w:left w:val="none" w:sz="0" w:space="0" w:color="auto"/>
            <w:bottom w:val="none" w:sz="0" w:space="0" w:color="auto"/>
            <w:right w:val="none" w:sz="0" w:space="0" w:color="auto"/>
          </w:divBdr>
        </w:div>
        <w:div w:id="473639612">
          <w:marLeft w:val="480"/>
          <w:marRight w:val="0"/>
          <w:marTop w:val="0"/>
          <w:marBottom w:val="0"/>
          <w:divBdr>
            <w:top w:val="none" w:sz="0" w:space="0" w:color="auto"/>
            <w:left w:val="none" w:sz="0" w:space="0" w:color="auto"/>
            <w:bottom w:val="none" w:sz="0" w:space="0" w:color="auto"/>
            <w:right w:val="none" w:sz="0" w:space="0" w:color="auto"/>
          </w:divBdr>
        </w:div>
        <w:div w:id="969169275">
          <w:marLeft w:val="480"/>
          <w:marRight w:val="0"/>
          <w:marTop w:val="0"/>
          <w:marBottom w:val="0"/>
          <w:divBdr>
            <w:top w:val="none" w:sz="0" w:space="0" w:color="auto"/>
            <w:left w:val="none" w:sz="0" w:space="0" w:color="auto"/>
            <w:bottom w:val="none" w:sz="0" w:space="0" w:color="auto"/>
            <w:right w:val="none" w:sz="0" w:space="0" w:color="auto"/>
          </w:divBdr>
        </w:div>
        <w:div w:id="40909651">
          <w:marLeft w:val="480"/>
          <w:marRight w:val="0"/>
          <w:marTop w:val="0"/>
          <w:marBottom w:val="0"/>
          <w:divBdr>
            <w:top w:val="none" w:sz="0" w:space="0" w:color="auto"/>
            <w:left w:val="none" w:sz="0" w:space="0" w:color="auto"/>
            <w:bottom w:val="none" w:sz="0" w:space="0" w:color="auto"/>
            <w:right w:val="none" w:sz="0" w:space="0" w:color="auto"/>
          </w:divBdr>
        </w:div>
        <w:div w:id="965354130">
          <w:marLeft w:val="480"/>
          <w:marRight w:val="0"/>
          <w:marTop w:val="0"/>
          <w:marBottom w:val="0"/>
          <w:divBdr>
            <w:top w:val="none" w:sz="0" w:space="0" w:color="auto"/>
            <w:left w:val="none" w:sz="0" w:space="0" w:color="auto"/>
            <w:bottom w:val="none" w:sz="0" w:space="0" w:color="auto"/>
            <w:right w:val="none" w:sz="0" w:space="0" w:color="auto"/>
          </w:divBdr>
        </w:div>
        <w:div w:id="107051439">
          <w:marLeft w:val="480"/>
          <w:marRight w:val="0"/>
          <w:marTop w:val="0"/>
          <w:marBottom w:val="0"/>
          <w:divBdr>
            <w:top w:val="none" w:sz="0" w:space="0" w:color="auto"/>
            <w:left w:val="none" w:sz="0" w:space="0" w:color="auto"/>
            <w:bottom w:val="none" w:sz="0" w:space="0" w:color="auto"/>
            <w:right w:val="none" w:sz="0" w:space="0" w:color="auto"/>
          </w:divBdr>
        </w:div>
        <w:div w:id="211382160">
          <w:marLeft w:val="480"/>
          <w:marRight w:val="0"/>
          <w:marTop w:val="0"/>
          <w:marBottom w:val="0"/>
          <w:divBdr>
            <w:top w:val="none" w:sz="0" w:space="0" w:color="auto"/>
            <w:left w:val="none" w:sz="0" w:space="0" w:color="auto"/>
            <w:bottom w:val="none" w:sz="0" w:space="0" w:color="auto"/>
            <w:right w:val="none" w:sz="0" w:space="0" w:color="auto"/>
          </w:divBdr>
        </w:div>
        <w:div w:id="222104587">
          <w:marLeft w:val="480"/>
          <w:marRight w:val="0"/>
          <w:marTop w:val="0"/>
          <w:marBottom w:val="0"/>
          <w:divBdr>
            <w:top w:val="none" w:sz="0" w:space="0" w:color="auto"/>
            <w:left w:val="none" w:sz="0" w:space="0" w:color="auto"/>
            <w:bottom w:val="none" w:sz="0" w:space="0" w:color="auto"/>
            <w:right w:val="none" w:sz="0" w:space="0" w:color="auto"/>
          </w:divBdr>
        </w:div>
        <w:div w:id="619922948">
          <w:marLeft w:val="480"/>
          <w:marRight w:val="0"/>
          <w:marTop w:val="0"/>
          <w:marBottom w:val="0"/>
          <w:divBdr>
            <w:top w:val="none" w:sz="0" w:space="0" w:color="auto"/>
            <w:left w:val="none" w:sz="0" w:space="0" w:color="auto"/>
            <w:bottom w:val="none" w:sz="0" w:space="0" w:color="auto"/>
            <w:right w:val="none" w:sz="0" w:space="0" w:color="auto"/>
          </w:divBdr>
        </w:div>
        <w:div w:id="1334793616">
          <w:marLeft w:val="480"/>
          <w:marRight w:val="0"/>
          <w:marTop w:val="0"/>
          <w:marBottom w:val="0"/>
          <w:divBdr>
            <w:top w:val="none" w:sz="0" w:space="0" w:color="auto"/>
            <w:left w:val="none" w:sz="0" w:space="0" w:color="auto"/>
            <w:bottom w:val="none" w:sz="0" w:space="0" w:color="auto"/>
            <w:right w:val="none" w:sz="0" w:space="0" w:color="auto"/>
          </w:divBdr>
        </w:div>
        <w:div w:id="100076744">
          <w:marLeft w:val="480"/>
          <w:marRight w:val="0"/>
          <w:marTop w:val="0"/>
          <w:marBottom w:val="0"/>
          <w:divBdr>
            <w:top w:val="none" w:sz="0" w:space="0" w:color="auto"/>
            <w:left w:val="none" w:sz="0" w:space="0" w:color="auto"/>
            <w:bottom w:val="none" w:sz="0" w:space="0" w:color="auto"/>
            <w:right w:val="none" w:sz="0" w:space="0" w:color="auto"/>
          </w:divBdr>
        </w:div>
        <w:div w:id="1377897196">
          <w:marLeft w:val="480"/>
          <w:marRight w:val="0"/>
          <w:marTop w:val="0"/>
          <w:marBottom w:val="0"/>
          <w:divBdr>
            <w:top w:val="none" w:sz="0" w:space="0" w:color="auto"/>
            <w:left w:val="none" w:sz="0" w:space="0" w:color="auto"/>
            <w:bottom w:val="none" w:sz="0" w:space="0" w:color="auto"/>
            <w:right w:val="none" w:sz="0" w:space="0" w:color="auto"/>
          </w:divBdr>
        </w:div>
        <w:div w:id="280889432">
          <w:marLeft w:val="480"/>
          <w:marRight w:val="0"/>
          <w:marTop w:val="0"/>
          <w:marBottom w:val="0"/>
          <w:divBdr>
            <w:top w:val="none" w:sz="0" w:space="0" w:color="auto"/>
            <w:left w:val="none" w:sz="0" w:space="0" w:color="auto"/>
            <w:bottom w:val="none" w:sz="0" w:space="0" w:color="auto"/>
            <w:right w:val="none" w:sz="0" w:space="0" w:color="auto"/>
          </w:divBdr>
        </w:div>
        <w:div w:id="518740380">
          <w:marLeft w:val="480"/>
          <w:marRight w:val="0"/>
          <w:marTop w:val="0"/>
          <w:marBottom w:val="0"/>
          <w:divBdr>
            <w:top w:val="none" w:sz="0" w:space="0" w:color="auto"/>
            <w:left w:val="none" w:sz="0" w:space="0" w:color="auto"/>
            <w:bottom w:val="none" w:sz="0" w:space="0" w:color="auto"/>
            <w:right w:val="none" w:sz="0" w:space="0" w:color="auto"/>
          </w:divBdr>
        </w:div>
        <w:div w:id="1778403756">
          <w:marLeft w:val="480"/>
          <w:marRight w:val="0"/>
          <w:marTop w:val="0"/>
          <w:marBottom w:val="0"/>
          <w:divBdr>
            <w:top w:val="none" w:sz="0" w:space="0" w:color="auto"/>
            <w:left w:val="none" w:sz="0" w:space="0" w:color="auto"/>
            <w:bottom w:val="none" w:sz="0" w:space="0" w:color="auto"/>
            <w:right w:val="none" w:sz="0" w:space="0" w:color="auto"/>
          </w:divBdr>
        </w:div>
        <w:div w:id="2107535940">
          <w:marLeft w:val="480"/>
          <w:marRight w:val="0"/>
          <w:marTop w:val="0"/>
          <w:marBottom w:val="0"/>
          <w:divBdr>
            <w:top w:val="none" w:sz="0" w:space="0" w:color="auto"/>
            <w:left w:val="none" w:sz="0" w:space="0" w:color="auto"/>
            <w:bottom w:val="none" w:sz="0" w:space="0" w:color="auto"/>
            <w:right w:val="none" w:sz="0" w:space="0" w:color="auto"/>
          </w:divBdr>
        </w:div>
        <w:div w:id="414742604">
          <w:marLeft w:val="480"/>
          <w:marRight w:val="0"/>
          <w:marTop w:val="0"/>
          <w:marBottom w:val="0"/>
          <w:divBdr>
            <w:top w:val="none" w:sz="0" w:space="0" w:color="auto"/>
            <w:left w:val="none" w:sz="0" w:space="0" w:color="auto"/>
            <w:bottom w:val="none" w:sz="0" w:space="0" w:color="auto"/>
            <w:right w:val="none" w:sz="0" w:space="0" w:color="auto"/>
          </w:divBdr>
        </w:div>
        <w:div w:id="2121148290">
          <w:marLeft w:val="480"/>
          <w:marRight w:val="0"/>
          <w:marTop w:val="0"/>
          <w:marBottom w:val="0"/>
          <w:divBdr>
            <w:top w:val="none" w:sz="0" w:space="0" w:color="auto"/>
            <w:left w:val="none" w:sz="0" w:space="0" w:color="auto"/>
            <w:bottom w:val="none" w:sz="0" w:space="0" w:color="auto"/>
            <w:right w:val="none" w:sz="0" w:space="0" w:color="auto"/>
          </w:divBdr>
        </w:div>
        <w:div w:id="941188253">
          <w:marLeft w:val="480"/>
          <w:marRight w:val="0"/>
          <w:marTop w:val="0"/>
          <w:marBottom w:val="0"/>
          <w:divBdr>
            <w:top w:val="none" w:sz="0" w:space="0" w:color="auto"/>
            <w:left w:val="none" w:sz="0" w:space="0" w:color="auto"/>
            <w:bottom w:val="none" w:sz="0" w:space="0" w:color="auto"/>
            <w:right w:val="none" w:sz="0" w:space="0" w:color="auto"/>
          </w:divBdr>
        </w:div>
        <w:div w:id="1893954732">
          <w:marLeft w:val="480"/>
          <w:marRight w:val="0"/>
          <w:marTop w:val="0"/>
          <w:marBottom w:val="0"/>
          <w:divBdr>
            <w:top w:val="none" w:sz="0" w:space="0" w:color="auto"/>
            <w:left w:val="none" w:sz="0" w:space="0" w:color="auto"/>
            <w:bottom w:val="none" w:sz="0" w:space="0" w:color="auto"/>
            <w:right w:val="none" w:sz="0" w:space="0" w:color="auto"/>
          </w:divBdr>
        </w:div>
        <w:div w:id="2073624794">
          <w:marLeft w:val="480"/>
          <w:marRight w:val="0"/>
          <w:marTop w:val="0"/>
          <w:marBottom w:val="0"/>
          <w:divBdr>
            <w:top w:val="none" w:sz="0" w:space="0" w:color="auto"/>
            <w:left w:val="none" w:sz="0" w:space="0" w:color="auto"/>
            <w:bottom w:val="none" w:sz="0" w:space="0" w:color="auto"/>
            <w:right w:val="none" w:sz="0" w:space="0" w:color="auto"/>
          </w:divBdr>
        </w:div>
        <w:div w:id="978387708">
          <w:marLeft w:val="480"/>
          <w:marRight w:val="0"/>
          <w:marTop w:val="0"/>
          <w:marBottom w:val="0"/>
          <w:divBdr>
            <w:top w:val="none" w:sz="0" w:space="0" w:color="auto"/>
            <w:left w:val="none" w:sz="0" w:space="0" w:color="auto"/>
            <w:bottom w:val="none" w:sz="0" w:space="0" w:color="auto"/>
            <w:right w:val="none" w:sz="0" w:space="0" w:color="auto"/>
          </w:divBdr>
        </w:div>
        <w:div w:id="1074009362">
          <w:marLeft w:val="480"/>
          <w:marRight w:val="0"/>
          <w:marTop w:val="0"/>
          <w:marBottom w:val="0"/>
          <w:divBdr>
            <w:top w:val="none" w:sz="0" w:space="0" w:color="auto"/>
            <w:left w:val="none" w:sz="0" w:space="0" w:color="auto"/>
            <w:bottom w:val="none" w:sz="0" w:space="0" w:color="auto"/>
            <w:right w:val="none" w:sz="0" w:space="0" w:color="auto"/>
          </w:divBdr>
        </w:div>
        <w:div w:id="2013988739">
          <w:marLeft w:val="480"/>
          <w:marRight w:val="0"/>
          <w:marTop w:val="0"/>
          <w:marBottom w:val="0"/>
          <w:divBdr>
            <w:top w:val="none" w:sz="0" w:space="0" w:color="auto"/>
            <w:left w:val="none" w:sz="0" w:space="0" w:color="auto"/>
            <w:bottom w:val="none" w:sz="0" w:space="0" w:color="auto"/>
            <w:right w:val="none" w:sz="0" w:space="0" w:color="auto"/>
          </w:divBdr>
        </w:div>
        <w:div w:id="919947802">
          <w:marLeft w:val="480"/>
          <w:marRight w:val="0"/>
          <w:marTop w:val="0"/>
          <w:marBottom w:val="0"/>
          <w:divBdr>
            <w:top w:val="none" w:sz="0" w:space="0" w:color="auto"/>
            <w:left w:val="none" w:sz="0" w:space="0" w:color="auto"/>
            <w:bottom w:val="none" w:sz="0" w:space="0" w:color="auto"/>
            <w:right w:val="none" w:sz="0" w:space="0" w:color="auto"/>
          </w:divBdr>
        </w:div>
        <w:div w:id="1233353843">
          <w:marLeft w:val="480"/>
          <w:marRight w:val="0"/>
          <w:marTop w:val="0"/>
          <w:marBottom w:val="0"/>
          <w:divBdr>
            <w:top w:val="none" w:sz="0" w:space="0" w:color="auto"/>
            <w:left w:val="none" w:sz="0" w:space="0" w:color="auto"/>
            <w:bottom w:val="none" w:sz="0" w:space="0" w:color="auto"/>
            <w:right w:val="none" w:sz="0" w:space="0" w:color="auto"/>
          </w:divBdr>
        </w:div>
        <w:div w:id="1156652996">
          <w:marLeft w:val="480"/>
          <w:marRight w:val="0"/>
          <w:marTop w:val="0"/>
          <w:marBottom w:val="0"/>
          <w:divBdr>
            <w:top w:val="none" w:sz="0" w:space="0" w:color="auto"/>
            <w:left w:val="none" w:sz="0" w:space="0" w:color="auto"/>
            <w:bottom w:val="none" w:sz="0" w:space="0" w:color="auto"/>
            <w:right w:val="none" w:sz="0" w:space="0" w:color="auto"/>
          </w:divBdr>
        </w:div>
        <w:div w:id="1253197587">
          <w:marLeft w:val="480"/>
          <w:marRight w:val="0"/>
          <w:marTop w:val="0"/>
          <w:marBottom w:val="0"/>
          <w:divBdr>
            <w:top w:val="none" w:sz="0" w:space="0" w:color="auto"/>
            <w:left w:val="none" w:sz="0" w:space="0" w:color="auto"/>
            <w:bottom w:val="none" w:sz="0" w:space="0" w:color="auto"/>
            <w:right w:val="none" w:sz="0" w:space="0" w:color="auto"/>
          </w:divBdr>
        </w:div>
        <w:div w:id="580024651">
          <w:marLeft w:val="480"/>
          <w:marRight w:val="0"/>
          <w:marTop w:val="0"/>
          <w:marBottom w:val="0"/>
          <w:divBdr>
            <w:top w:val="none" w:sz="0" w:space="0" w:color="auto"/>
            <w:left w:val="none" w:sz="0" w:space="0" w:color="auto"/>
            <w:bottom w:val="none" w:sz="0" w:space="0" w:color="auto"/>
            <w:right w:val="none" w:sz="0" w:space="0" w:color="auto"/>
          </w:divBdr>
        </w:div>
        <w:div w:id="1268543522">
          <w:marLeft w:val="480"/>
          <w:marRight w:val="0"/>
          <w:marTop w:val="0"/>
          <w:marBottom w:val="0"/>
          <w:divBdr>
            <w:top w:val="none" w:sz="0" w:space="0" w:color="auto"/>
            <w:left w:val="none" w:sz="0" w:space="0" w:color="auto"/>
            <w:bottom w:val="none" w:sz="0" w:space="0" w:color="auto"/>
            <w:right w:val="none" w:sz="0" w:space="0" w:color="auto"/>
          </w:divBdr>
        </w:div>
        <w:div w:id="319965629">
          <w:marLeft w:val="480"/>
          <w:marRight w:val="0"/>
          <w:marTop w:val="0"/>
          <w:marBottom w:val="0"/>
          <w:divBdr>
            <w:top w:val="none" w:sz="0" w:space="0" w:color="auto"/>
            <w:left w:val="none" w:sz="0" w:space="0" w:color="auto"/>
            <w:bottom w:val="none" w:sz="0" w:space="0" w:color="auto"/>
            <w:right w:val="none" w:sz="0" w:space="0" w:color="auto"/>
          </w:divBdr>
        </w:div>
        <w:div w:id="898247043">
          <w:marLeft w:val="480"/>
          <w:marRight w:val="0"/>
          <w:marTop w:val="0"/>
          <w:marBottom w:val="0"/>
          <w:divBdr>
            <w:top w:val="none" w:sz="0" w:space="0" w:color="auto"/>
            <w:left w:val="none" w:sz="0" w:space="0" w:color="auto"/>
            <w:bottom w:val="none" w:sz="0" w:space="0" w:color="auto"/>
            <w:right w:val="none" w:sz="0" w:space="0" w:color="auto"/>
          </w:divBdr>
        </w:div>
        <w:div w:id="1882090845">
          <w:marLeft w:val="480"/>
          <w:marRight w:val="0"/>
          <w:marTop w:val="0"/>
          <w:marBottom w:val="0"/>
          <w:divBdr>
            <w:top w:val="none" w:sz="0" w:space="0" w:color="auto"/>
            <w:left w:val="none" w:sz="0" w:space="0" w:color="auto"/>
            <w:bottom w:val="none" w:sz="0" w:space="0" w:color="auto"/>
            <w:right w:val="none" w:sz="0" w:space="0" w:color="auto"/>
          </w:divBdr>
        </w:div>
      </w:divsChild>
    </w:div>
    <w:div w:id="1104183271">
      <w:bodyDiv w:val="1"/>
      <w:marLeft w:val="0"/>
      <w:marRight w:val="0"/>
      <w:marTop w:val="0"/>
      <w:marBottom w:val="0"/>
      <w:divBdr>
        <w:top w:val="none" w:sz="0" w:space="0" w:color="auto"/>
        <w:left w:val="none" w:sz="0" w:space="0" w:color="auto"/>
        <w:bottom w:val="none" w:sz="0" w:space="0" w:color="auto"/>
        <w:right w:val="none" w:sz="0" w:space="0" w:color="auto"/>
      </w:divBdr>
    </w:div>
    <w:div w:id="1105005794">
      <w:bodyDiv w:val="1"/>
      <w:marLeft w:val="0"/>
      <w:marRight w:val="0"/>
      <w:marTop w:val="0"/>
      <w:marBottom w:val="0"/>
      <w:divBdr>
        <w:top w:val="none" w:sz="0" w:space="0" w:color="auto"/>
        <w:left w:val="none" w:sz="0" w:space="0" w:color="auto"/>
        <w:bottom w:val="none" w:sz="0" w:space="0" w:color="auto"/>
        <w:right w:val="none" w:sz="0" w:space="0" w:color="auto"/>
      </w:divBdr>
    </w:div>
    <w:div w:id="1105148751">
      <w:bodyDiv w:val="1"/>
      <w:marLeft w:val="0"/>
      <w:marRight w:val="0"/>
      <w:marTop w:val="0"/>
      <w:marBottom w:val="0"/>
      <w:divBdr>
        <w:top w:val="none" w:sz="0" w:space="0" w:color="auto"/>
        <w:left w:val="none" w:sz="0" w:space="0" w:color="auto"/>
        <w:bottom w:val="none" w:sz="0" w:space="0" w:color="auto"/>
        <w:right w:val="none" w:sz="0" w:space="0" w:color="auto"/>
      </w:divBdr>
    </w:div>
    <w:div w:id="1105609953">
      <w:bodyDiv w:val="1"/>
      <w:marLeft w:val="0"/>
      <w:marRight w:val="0"/>
      <w:marTop w:val="0"/>
      <w:marBottom w:val="0"/>
      <w:divBdr>
        <w:top w:val="none" w:sz="0" w:space="0" w:color="auto"/>
        <w:left w:val="none" w:sz="0" w:space="0" w:color="auto"/>
        <w:bottom w:val="none" w:sz="0" w:space="0" w:color="auto"/>
        <w:right w:val="none" w:sz="0" w:space="0" w:color="auto"/>
      </w:divBdr>
    </w:div>
    <w:div w:id="1106652815">
      <w:bodyDiv w:val="1"/>
      <w:marLeft w:val="0"/>
      <w:marRight w:val="0"/>
      <w:marTop w:val="0"/>
      <w:marBottom w:val="0"/>
      <w:divBdr>
        <w:top w:val="none" w:sz="0" w:space="0" w:color="auto"/>
        <w:left w:val="none" w:sz="0" w:space="0" w:color="auto"/>
        <w:bottom w:val="none" w:sz="0" w:space="0" w:color="auto"/>
        <w:right w:val="none" w:sz="0" w:space="0" w:color="auto"/>
      </w:divBdr>
    </w:div>
    <w:div w:id="1106655074">
      <w:bodyDiv w:val="1"/>
      <w:marLeft w:val="0"/>
      <w:marRight w:val="0"/>
      <w:marTop w:val="0"/>
      <w:marBottom w:val="0"/>
      <w:divBdr>
        <w:top w:val="none" w:sz="0" w:space="0" w:color="auto"/>
        <w:left w:val="none" w:sz="0" w:space="0" w:color="auto"/>
        <w:bottom w:val="none" w:sz="0" w:space="0" w:color="auto"/>
        <w:right w:val="none" w:sz="0" w:space="0" w:color="auto"/>
      </w:divBdr>
    </w:div>
    <w:div w:id="1107777626">
      <w:bodyDiv w:val="1"/>
      <w:marLeft w:val="0"/>
      <w:marRight w:val="0"/>
      <w:marTop w:val="0"/>
      <w:marBottom w:val="0"/>
      <w:divBdr>
        <w:top w:val="none" w:sz="0" w:space="0" w:color="auto"/>
        <w:left w:val="none" w:sz="0" w:space="0" w:color="auto"/>
        <w:bottom w:val="none" w:sz="0" w:space="0" w:color="auto"/>
        <w:right w:val="none" w:sz="0" w:space="0" w:color="auto"/>
      </w:divBdr>
    </w:div>
    <w:div w:id="1107895529">
      <w:bodyDiv w:val="1"/>
      <w:marLeft w:val="0"/>
      <w:marRight w:val="0"/>
      <w:marTop w:val="0"/>
      <w:marBottom w:val="0"/>
      <w:divBdr>
        <w:top w:val="none" w:sz="0" w:space="0" w:color="auto"/>
        <w:left w:val="none" w:sz="0" w:space="0" w:color="auto"/>
        <w:bottom w:val="none" w:sz="0" w:space="0" w:color="auto"/>
        <w:right w:val="none" w:sz="0" w:space="0" w:color="auto"/>
      </w:divBdr>
    </w:div>
    <w:div w:id="1109084159">
      <w:bodyDiv w:val="1"/>
      <w:marLeft w:val="0"/>
      <w:marRight w:val="0"/>
      <w:marTop w:val="0"/>
      <w:marBottom w:val="0"/>
      <w:divBdr>
        <w:top w:val="none" w:sz="0" w:space="0" w:color="auto"/>
        <w:left w:val="none" w:sz="0" w:space="0" w:color="auto"/>
        <w:bottom w:val="none" w:sz="0" w:space="0" w:color="auto"/>
        <w:right w:val="none" w:sz="0" w:space="0" w:color="auto"/>
      </w:divBdr>
    </w:div>
    <w:div w:id="1109622373">
      <w:bodyDiv w:val="1"/>
      <w:marLeft w:val="0"/>
      <w:marRight w:val="0"/>
      <w:marTop w:val="0"/>
      <w:marBottom w:val="0"/>
      <w:divBdr>
        <w:top w:val="none" w:sz="0" w:space="0" w:color="auto"/>
        <w:left w:val="none" w:sz="0" w:space="0" w:color="auto"/>
        <w:bottom w:val="none" w:sz="0" w:space="0" w:color="auto"/>
        <w:right w:val="none" w:sz="0" w:space="0" w:color="auto"/>
      </w:divBdr>
    </w:div>
    <w:div w:id="1109859169">
      <w:bodyDiv w:val="1"/>
      <w:marLeft w:val="0"/>
      <w:marRight w:val="0"/>
      <w:marTop w:val="0"/>
      <w:marBottom w:val="0"/>
      <w:divBdr>
        <w:top w:val="none" w:sz="0" w:space="0" w:color="auto"/>
        <w:left w:val="none" w:sz="0" w:space="0" w:color="auto"/>
        <w:bottom w:val="none" w:sz="0" w:space="0" w:color="auto"/>
        <w:right w:val="none" w:sz="0" w:space="0" w:color="auto"/>
      </w:divBdr>
    </w:div>
    <w:div w:id="1110130607">
      <w:bodyDiv w:val="1"/>
      <w:marLeft w:val="0"/>
      <w:marRight w:val="0"/>
      <w:marTop w:val="0"/>
      <w:marBottom w:val="0"/>
      <w:divBdr>
        <w:top w:val="none" w:sz="0" w:space="0" w:color="auto"/>
        <w:left w:val="none" w:sz="0" w:space="0" w:color="auto"/>
        <w:bottom w:val="none" w:sz="0" w:space="0" w:color="auto"/>
        <w:right w:val="none" w:sz="0" w:space="0" w:color="auto"/>
      </w:divBdr>
    </w:div>
    <w:div w:id="1110199078">
      <w:bodyDiv w:val="1"/>
      <w:marLeft w:val="0"/>
      <w:marRight w:val="0"/>
      <w:marTop w:val="0"/>
      <w:marBottom w:val="0"/>
      <w:divBdr>
        <w:top w:val="none" w:sz="0" w:space="0" w:color="auto"/>
        <w:left w:val="none" w:sz="0" w:space="0" w:color="auto"/>
        <w:bottom w:val="none" w:sz="0" w:space="0" w:color="auto"/>
        <w:right w:val="none" w:sz="0" w:space="0" w:color="auto"/>
      </w:divBdr>
    </w:div>
    <w:div w:id="1111169006">
      <w:bodyDiv w:val="1"/>
      <w:marLeft w:val="0"/>
      <w:marRight w:val="0"/>
      <w:marTop w:val="0"/>
      <w:marBottom w:val="0"/>
      <w:divBdr>
        <w:top w:val="none" w:sz="0" w:space="0" w:color="auto"/>
        <w:left w:val="none" w:sz="0" w:space="0" w:color="auto"/>
        <w:bottom w:val="none" w:sz="0" w:space="0" w:color="auto"/>
        <w:right w:val="none" w:sz="0" w:space="0" w:color="auto"/>
      </w:divBdr>
    </w:div>
    <w:div w:id="1111170282">
      <w:bodyDiv w:val="1"/>
      <w:marLeft w:val="0"/>
      <w:marRight w:val="0"/>
      <w:marTop w:val="0"/>
      <w:marBottom w:val="0"/>
      <w:divBdr>
        <w:top w:val="none" w:sz="0" w:space="0" w:color="auto"/>
        <w:left w:val="none" w:sz="0" w:space="0" w:color="auto"/>
        <w:bottom w:val="none" w:sz="0" w:space="0" w:color="auto"/>
        <w:right w:val="none" w:sz="0" w:space="0" w:color="auto"/>
      </w:divBdr>
    </w:div>
    <w:div w:id="1111819492">
      <w:bodyDiv w:val="1"/>
      <w:marLeft w:val="0"/>
      <w:marRight w:val="0"/>
      <w:marTop w:val="0"/>
      <w:marBottom w:val="0"/>
      <w:divBdr>
        <w:top w:val="none" w:sz="0" w:space="0" w:color="auto"/>
        <w:left w:val="none" w:sz="0" w:space="0" w:color="auto"/>
        <w:bottom w:val="none" w:sz="0" w:space="0" w:color="auto"/>
        <w:right w:val="none" w:sz="0" w:space="0" w:color="auto"/>
      </w:divBdr>
    </w:div>
    <w:div w:id="1111901600">
      <w:bodyDiv w:val="1"/>
      <w:marLeft w:val="0"/>
      <w:marRight w:val="0"/>
      <w:marTop w:val="0"/>
      <w:marBottom w:val="0"/>
      <w:divBdr>
        <w:top w:val="none" w:sz="0" w:space="0" w:color="auto"/>
        <w:left w:val="none" w:sz="0" w:space="0" w:color="auto"/>
        <w:bottom w:val="none" w:sz="0" w:space="0" w:color="auto"/>
        <w:right w:val="none" w:sz="0" w:space="0" w:color="auto"/>
      </w:divBdr>
    </w:div>
    <w:div w:id="1112552155">
      <w:bodyDiv w:val="1"/>
      <w:marLeft w:val="0"/>
      <w:marRight w:val="0"/>
      <w:marTop w:val="0"/>
      <w:marBottom w:val="0"/>
      <w:divBdr>
        <w:top w:val="none" w:sz="0" w:space="0" w:color="auto"/>
        <w:left w:val="none" w:sz="0" w:space="0" w:color="auto"/>
        <w:bottom w:val="none" w:sz="0" w:space="0" w:color="auto"/>
        <w:right w:val="none" w:sz="0" w:space="0" w:color="auto"/>
      </w:divBdr>
    </w:div>
    <w:div w:id="1113091231">
      <w:bodyDiv w:val="1"/>
      <w:marLeft w:val="0"/>
      <w:marRight w:val="0"/>
      <w:marTop w:val="0"/>
      <w:marBottom w:val="0"/>
      <w:divBdr>
        <w:top w:val="none" w:sz="0" w:space="0" w:color="auto"/>
        <w:left w:val="none" w:sz="0" w:space="0" w:color="auto"/>
        <w:bottom w:val="none" w:sz="0" w:space="0" w:color="auto"/>
        <w:right w:val="none" w:sz="0" w:space="0" w:color="auto"/>
      </w:divBdr>
    </w:div>
    <w:div w:id="1115294435">
      <w:bodyDiv w:val="1"/>
      <w:marLeft w:val="0"/>
      <w:marRight w:val="0"/>
      <w:marTop w:val="0"/>
      <w:marBottom w:val="0"/>
      <w:divBdr>
        <w:top w:val="none" w:sz="0" w:space="0" w:color="auto"/>
        <w:left w:val="none" w:sz="0" w:space="0" w:color="auto"/>
        <w:bottom w:val="none" w:sz="0" w:space="0" w:color="auto"/>
        <w:right w:val="none" w:sz="0" w:space="0" w:color="auto"/>
      </w:divBdr>
    </w:div>
    <w:div w:id="1115489538">
      <w:bodyDiv w:val="1"/>
      <w:marLeft w:val="0"/>
      <w:marRight w:val="0"/>
      <w:marTop w:val="0"/>
      <w:marBottom w:val="0"/>
      <w:divBdr>
        <w:top w:val="none" w:sz="0" w:space="0" w:color="auto"/>
        <w:left w:val="none" w:sz="0" w:space="0" w:color="auto"/>
        <w:bottom w:val="none" w:sz="0" w:space="0" w:color="auto"/>
        <w:right w:val="none" w:sz="0" w:space="0" w:color="auto"/>
      </w:divBdr>
    </w:div>
    <w:div w:id="1116293409">
      <w:bodyDiv w:val="1"/>
      <w:marLeft w:val="0"/>
      <w:marRight w:val="0"/>
      <w:marTop w:val="0"/>
      <w:marBottom w:val="0"/>
      <w:divBdr>
        <w:top w:val="none" w:sz="0" w:space="0" w:color="auto"/>
        <w:left w:val="none" w:sz="0" w:space="0" w:color="auto"/>
        <w:bottom w:val="none" w:sz="0" w:space="0" w:color="auto"/>
        <w:right w:val="none" w:sz="0" w:space="0" w:color="auto"/>
      </w:divBdr>
    </w:div>
    <w:div w:id="1117410678">
      <w:bodyDiv w:val="1"/>
      <w:marLeft w:val="0"/>
      <w:marRight w:val="0"/>
      <w:marTop w:val="0"/>
      <w:marBottom w:val="0"/>
      <w:divBdr>
        <w:top w:val="none" w:sz="0" w:space="0" w:color="auto"/>
        <w:left w:val="none" w:sz="0" w:space="0" w:color="auto"/>
        <w:bottom w:val="none" w:sz="0" w:space="0" w:color="auto"/>
        <w:right w:val="none" w:sz="0" w:space="0" w:color="auto"/>
      </w:divBdr>
      <w:divsChild>
        <w:div w:id="1952206902">
          <w:marLeft w:val="480"/>
          <w:marRight w:val="0"/>
          <w:marTop w:val="0"/>
          <w:marBottom w:val="0"/>
          <w:divBdr>
            <w:top w:val="none" w:sz="0" w:space="0" w:color="auto"/>
            <w:left w:val="none" w:sz="0" w:space="0" w:color="auto"/>
            <w:bottom w:val="none" w:sz="0" w:space="0" w:color="auto"/>
            <w:right w:val="none" w:sz="0" w:space="0" w:color="auto"/>
          </w:divBdr>
        </w:div>
        <w:div w:id="1243876891">
          <w:marLeft w:val="480"/>
          <w:marRight w:val="0"/>
          <w:marTop w:val="0"/>
          <w:marBottom w:val="0"/>
          <w:divBdr>
            <w:top w:val="none" w:sz="0" w:space="0" w:color="auto"/>
            <w:left w:val="none" w:sz="0" w:space="0" w:color="auto"/>
            <w:bottom w:val="none" w:sz="0" w:space="0" w:color="auto"/>
            <w:right w:val="none" w:sz="0" w:space="0" w:color="auto"/>
          </w:divBdr>
        </w:div>
        <w:div w:id="1476488229">
          <w:marLeft w:val="480"/>
          <w:marRight w:val="0"/>
          <w:marTop w:val="0"/>
          <w:marBottom w:val="0"/>
          <w:divBdr>
            <w:top w:val="none" w:sz="0" w:space="0" w:color="auto"/>
            <w:left w:val="none" w:sz="0" w:space="0" w:color="auto"/>
            <w:bottom w:val="none" w:sz="0" w:space="0" w:color="auto"/>
            <w:right w:val="none" w:sz="0" w:space="0" w:color="auto"/>
          </w:divBdr>
        </w:div>
        <w:div w:id="353311161">
          <w:marLeft w:val="480"/>
          <w:marRight w:val="0"/>
          <w:marTop w:val="0"/>
          <w:marBottom w:val="0"/>
          <w:divBdr>
            <w:top w:val="none" w:sz="0" w:space="0" w:color="auto"/>
            <w:left w:val="none" w:sz="0" w:space="0" w:color="auto"/>
            <w:bottom w:val="none" w:sz="0" w:space="0" w:color="auto"/>
            <w:right w:val="none" w:sz="0" w:space="0" w:color="auto"/>
          </w:divBdr>
        </w:div>
        <w:div w:id="2002080242">
          <w:marLeft w:val="480"/>
          <w:marRight w:val="0"/>
          <w:marTop w:val="0"/>
          <w:marBottom w:val="0"/>
          <w:divBdr>
            <w:top w:val="none" w:sz="0" w:space="0" w:color="auto"/>
            <w:left w:val="none" w:sz="0" w:space="0" w:color="auto"/>
            <w:bottom w:val="none" w:sz="0" w:space="0" w:color="auto"/>
            <w:right w:val="none" w:sz="0" w:space="0" w:color="auto"/>
          </w:divBdr>
        </w:div>
        <w:div w:id="1530876529">
          <w:marLeft w:val="480"/>
          <w:marRight w:val="0"/>
          <w:marTop w:val="0"/>
          <w:marBottom w:val="0"/>
          <w:divBdr>
            <w:top w:val="none" w:sz="0" w:space="0" w:color="auto"/>
            <w:left w:val="none" w:sz="0" w:space="0" w:color="auto"/>
            <w:bottom w:val="none" w:sz="0" w:space="0" w:color="auto"/>
            <w:right w:val="none" w:sz="0" w:space="0" w:color="auto"/>
          </w:divBdr>
        </w:div>
        <w:div w:id="1842819714">
          <w:marLeft w:val="480"/>
          <w:marRight w:val="0"/>
          <w:marTop w:val="0"/>
          <w:marBottom w:val="0"/>
          <w:divBdr>
            <w:top w:val="none" w:sz="0" w:space="0" w:color="auto"/>
            <w:left w:val="none" w:sz="0" w:space="0" w:color="auto"/>
            <w:bottom w:val="none" w:sz="0" w:space="0" w:color="auto"/>
            <w:right w:val="none" w:sz="0" w:space="0" w:color="auto"/>
          </w:divBdr>
        </w:div>
        <w:div w:id="1324971611">
          <w:marLeft w:val="480"/>
          <w:marRight w:val="0"/>
          <w:marTop w:val="0"/>
          <w:marBottom w:val="0"/>
          <w:divBdr>
            <w:top w:val="none" w:sz="0" w:space="0" w:color="auto"/>
            <w:left w:val="none" w:sz="0" w:space="0" w:color="auto"/>
            <w:bottom w:val="none" w:sz="0" w:space="0" w:color="auto"/>
            <w:right w:val="none" w:sz="0" w:space="0" w:color="auto"/>
          </w:divBdr>
        </w:div>
        <w:div w:id="1267034821">
          <w:marLeft w:val="480"/>
          <w:marRight w:val="0"/>
          <w:marTop w:val="0"/>
          <w:marBottom w:val="0"/>
          <w:divBdr>
            <w:top w:val="none" w:sz="0" w:space="0" w:color="auto"/>
            <w:left w:val="none" w:sz="0" w:space="0" w:color="auto"/>
            <w:bottom w:val="none" w:sz="0" w:space="0" w:color="auto"/>
            <w:right w:val="none" w:sz="0" w:space="0" w:color="auto"/>
          </w:divBdr>
        </w:div>
        <w:div w:id="722602570">
          <w:marLeft w:val="480"/>
          <w:marRight w:val="0"/>
          <w:marTop w:val="0"/>
          <w:marBottom w:val="0"/>
          <w:divBdr>
            <w:top w:val="none" w:sz="0" w:space="0" w:color="auto"/>
            <w:left w:val="none" w:sz="0" w:space="0" w:color="auto"/>
            <w:bottom w:val="none" w:sz="0" w:space="0" w:color="auto"/>
            <w:right w:val="none" w:sz="0" w:space="0" w:color="auto"/>
          </w:divBdr>
        </w:div>
        <w:div w:id="58410047">
          <w:marLeft w:val="480"/>
          <w:marRight w:val="0"/>
          <w:marTop w:val="0"/>
          <w:marBottom w:val="0"/>
          <w:divBdr>
            <w:top w:val="none" w:sz="0" w:space="0" w:color="auto"/>
            <w:left w:val="none" w:sz="0" w:space="0" w:color="auto"/>
            <w:bottom w:val="none" w:sz="0" w:space="0" w:color="auto"/>
            <w:right w:val="none" w:sz="0" w:space="0" w:color="auto"/>
          </w:divBdr>
        </w:div>
        <w:div w:id="515193422">
          <w:marLeft w:val="480"/>
          <w:marRight w:val="0"/>
          <w:marTop w:val="0"/>
          <w:marBottom w:val="0"/>
          <w:divBdr>
            <w:top w:val="none" w:sz="0" w:space="0" w:color="auto"/>
            <w:left w:val="none" w:sz="0" w:space="0" w:color="auto"/>
            <w:bottom w:val="none" w:sz="0" w:space="0" w:color="auto"/>
            <w:right w:val="none" w:sz="0" w:space="0" w:color="auto"/>
          </w:divBdr>
        </w:div>
        <w:div w:id="59839325">
          <w:marLeft w:val="480"/>
          <w:marRight w:val="0"/>
          <w:marTop w:val="0"/>
          <w:marBottom w:val="0"/>
          <w:divBdr>
            <w:top w:val="none" w:sz="0" w:space="0" w:color="auto"/>
            <w:left w:val="none" w:sz="0" w:space="0" w:color="auto"/>
            <w:bottom w:val="none" w:sz="0" w:space="0" w:color="auto"/>
            <w:right w:val="none" w:sz="0" w:space="0" w:color="auto"/>
          </w:divBdr>
        </w:div>
        <w:div w:id="292058788">
          <w:marLeft w:val="480"/>
          <w:marRight w:val="0"/>
          <w:marTop w:val="0"/>
          <w:marBottom w:val="0"/>
          <w:divBdr>
            <w:top w:val="none" w:sz="0" w:space="0" w:color="auto"/>
            <w:left w:val="none" w:sz="0" w:space="0" w:color="auto"/>
            <w:bottom w:val="none" w:sz="0" w:space="0" w:color="auto"/>
            <w:right w:val="none" w:sz="0" w:space="0" w:color="auto"/>
          </w:divBdr>
        </w:div>
        <w:div w:id="459417279">
          <w:marLeft w:val="480"/>
          <w:marRight w:val="0"/>
          <w:marTop w:val="0"/>
          <w:marBottom w:val="0"/>
          <w:divBdr>
            <w:top w:val="none" w:sz="0" w:space="0" w:color="auto"/>
            <w:left w:val="none" w:sz="0" w:space="0" w:color="auto"/>
            <w:bottom w:val="none" w:sz="0" w:space="0" w:color="auto"/>
            <w:right w:val="none" w:sz="0" w:space="0" w:color="auto"/>
          </w:divBdr>
        </w:div>
        <w:div w:id="500858258">
          <w:marLeft w:val="480"/>
          <w:marRight w:val="0"/>
          <w:marTop w:val="0"/>
          <w:marBottom w:val="0"/>
          <w:divBdr>
            <w:top w:val="none" w:sz="0" w:space="0" w:color="auto"/>
            <w:left w:val="none" w:sz="0" w:space="0" w:color="auto"/>
            <w:bottom w:val="none" w:sz="0" w:space="0" w:color="auto"/>
            <w:right w:val="none" w:sz="0" w:space="0" w:color="auto"/>
          </w:divBdr>
        </w:div>
        <w:div w:id="2089690427">
          <w:marLeft w:val="480"/>
          <w:marRight w:val="0"/>
          <w:marTop w:val="0"/>
          <w:marBottom w:val="0"/>
          <w:divBdr>
            <w:top w:val="none" w:sz="0" w:space="0" w:color="auto"/>
            <w:left w:val="none" w:sz="0" w:space="0" w:color="auto"/>
            <w:bottom w:val="none" w:sz="0" w:space="0" w:color="auto"/>
            <w:right w:val="none" w:sz="0" w:space="0" w:color="auto"/>
          </w:divBdr>
        </w:div>
        <w:div w:id="311254955">
          <w:marLeft w:val="480"/>
          <w:marRight w:val="0"/>
          <w:marTop w:val="0"/>
          <w:marBottom w:val="0"/>
          <w:divBdr>
            <w:top w:val="none" w:sz="0" w:space="0" w:color="auto"/>
            <w:left w:val="none" w:sz="0" w:space="0" w:color="auto"/>
            <w:bottom w:val="none" w:sz="0" w:space="0" w:color="auto"/>
            <w:right w:val="none" w:sz="0" w:space="0" w:color="auto"/>
          </w:divBdr>
        </w:div>
        <w:div w:id="1313213973">
          <w:marLeft w:val="480"/>
          <w:marRight w:val="0"/>
          <w:marTop w:val="0"/>
          <w:marBottom w:val="0"/>
          <w:divBdr>
            <w:top w:val="none" w:sz="0" w:space="0" w:color="auto"/>
            <w:left w:val="none" w:sz="0" w:space="0" w:color="auto"/>
            <w:bottom w:val="none" w:sz="0" w:space="0" w:color="auto"/>
            <w:right w:val="none" w:sz="0" w:space="0" w:color="auto"/>
          </w:divBdr>
        </w:div>
        <w:div w:id="350186657">
          <w:marLeft w:val="480"/>
          <w:marRight w:val="0"/>
          <w:marTop w:val="0"/>
          <w:marBottom w:val="0"/>
          <w:divBdr>
            <w:top w:val="none" w:sz="0" w:space="0" w:color="auto"/>
            <w:left w:val="none" w:sz="0" w:space="0" w:color="auto"/>
            <w:bottom w:val="none" w:sz="0" w:space="0" w:color="auto"/>
            <w:right w:val="none" w:sz="0" w:space="0" w:color="auto"/>
          </w:divBdr>
        </w:div>
        <w:div w:id="1826165925">
          <w:marLeft w:val="480"/>
          <w:marRight w:val="0"/>
          <w:marTop w:val="0"/>
          <w:marBottom w:val="0"/>
          <w:divBdr>
            <w:top w:val="none" w:sz="0" w:space="0" w:color="auto"/>
            <w:left w:val="none" w:sz="0" w:space="0" w:color="auto"/>
            <w:bottom w:val="none" w:sz="0" w:space="0" w:color="auto"/>
            <w:right w:val="none" w:sz="0" w:space="0" w:color="auto"/>
          </w:divBdr>
        </w:div>
        <w:div w:id="525631475">
          <w:marLeft w:val="480"/>
          <w:marRight w:val="0"/>
          <w:marTop w:val="0"/>
          <w:marBottom w:val="0"/>
          <w:divBdr>
            <w:top w:val="none" w:sz="0" w:space="0" w:color="auto"/>
            <w:left w:val="none" w:sz="0" w:space="0" w:color="auto"/>
            <w:bottom w:val="none" w:sz="0" w:space="0" w:color="auto"/>
            <w:right w:val="none" w:sz="0" w:space="0" w:color="auto"/>
          </w:divBdr>
        </w:div>
        <w:div w:id="1155873553">
          <w:marLeft w:val="480"/>
          <w:marRight w:val="0"/>
          <w:marTop w:val="0"/>
          <w:marBottom w:val="0"/>
          <w:divBdr>
            <w:top w:val="none" w:sz="0" w:space="0" w:color="auto"/>
            <w:left w:val="none" w:sz="0" w:space="0" w:color="auto"/>
            <w:bottom w:val="none" w:sz="0" w:space="0" w:color="auto"/>
            <w:right w:val="none" w:sz="0" w:space="0" w:color="auto"/>
          </w:divBdr>
        </w:div>
        <w:div w:id="1483808559">
          <w:marLeft w:val="480"/>
          <w:marRight w:val="0"/>
          <w:marTop w:val="0"/>
          <w:marBottom w:val="0"/>
          <w:divBdr>
            <w:top w:val="none" w:sz="0" w:space="0" w:color="auto"/>
            <w:left w:val="none" w:sz="0" w:space="0" w:color="auto"/>
            <w:bottom w:val="none" w:sz="0" w:space="0" w:color="auto"/>
            <w:right w:val="none" w:sz="0" w:space="0" w:color="auto"/>
          </w:divBdr>
        </w:div>
        <w:div w:id="1260598529">
          <w:marLeft w:val="480"/>
          <w:marRight w:val="0"/>
          <w:marTop w:val="0"/>
          <w:marBottom w:val="0"/>
          <w:divBdr>
            <w:top w:val="none" w:sz="0" w:space="0" w:color="auto"/>
            <w:left w:val="none" w:sz="0" w:space="0" w:color="auto"/>
            <w:bottom w:val="none" w:sz="0" w:space="0" w:color="auto"/>
            <w:right w:val="none" w:sz="0" w:space="0" w:color="auto"/>
          </w:divBdr>
        </w:div>
        <w:div w:id="2027975201">
          <w:marLeft w:val="480"/>
          <w:marRight w:val="0"/>
          <w:marTop w:val="0"/>
          <w:marBottom w:val="0"/>
          <w:divBdr>
            <w:top w:val="none" w:sz="0" w:space="0" w:color="auto"/>
            <w:left w:val="none" w:sz="0" w:space="0" w:color="auto"/>
            <w:bottom w:val="none" w:sz="0" w:space="0" w:color="auto"/>
            <w:right w:val="none" w:sz="0" w:space="0" w:color="auto"/>
          </w:divBdr>
        </w:div>
        <w:div w:id="457532424">
          <w:marLeft w:val="480"/>
          <w:marRight w:val="0"/>
          <w:marTop w:val="0"/>
          <w:marBottom w:val="0"/>
          <w:divBdr>
            <w:top w:val="none" w:sz="0" w:space="0" w:color="auto"/>
            <w:left w:val="none" w:sz="0" w:space="0" w:color="auto"/>
            <w:bottom w:val="none" w:sz="0" w:space="0" w:color="auto"/>
            <w:right w:val="none" w:sz="0" w:space="0" w:color="auto"/>
          </w:divBdr>
        </w:div>
        <w:div w:id="939339140">
          <w:marLeft w:val="480"/>
          <w:marRight w:val="0"/>
          <w:marTop w:val="0"/>
          <w:marBottom w:val="0"/>
          <w:divBdr>
            <w:top w:val="none" w:sz="0" w:space="0" w:color="auto"/>
            <w:left w:val="none" w:sz="0" w:space="0" w:color="auto"/>
            <w:bottom w:val="none" w:sz="0" w:space="0" w:color="auto"/>
            <w:right w:val="none" w:sz="0" w:space="0" w:color="auto"/>
          </w:divBdr>
        </w:div>
        <w:div w:id="1495022977">
          <w:marLeft w:val="480"/>
          <w:marRight w:val="0"/>
          <w:marTop w:val="0"/>
          <w:marBottom w:val="0"/>
          <w:divBdr>
            <w:top w:val="none" w:sz="0" w:space="0" w:color="auto"/>
            <w:left w:val="none" w:sz="0" w:space="0" w:color="auto"/>
            <w:bottom w:val="none" w:sz="0" w:space="0" w:color="auto"/>
            <w:right w:val="none" w:sz="0" w:space="0" w:color="auto"/>
          </w:divBdr>
        </w:div>
        <w:div w:id="465045729">
          <w:marLeft w:val="480"/>
          <w:marRight w:val="0"/>
          <w:marTop w:val="0"/>
          <w:marBottom w:val="0"/>
          <w:divBdr>
            <w:top w:val="none" w:sz="0" w:space="0" w:color="auto"/>
            <w:left w:val="none" w:sz="0" w:space="0" w:color="auto"/>
            <w:bottom w:val="none" w:sz="0" w:space="0" w:color="auto"/>
            <w:right w:val="none" w:sz="0" w:space="0" w:color="auto"/>
          </w:divBdr>
        </w:div>
        <w:div w:id="15078916">
          <w:marLeft w:val="480"/>
          <w:marRight w:val="0"/>
          <w:marTop w:val="0"/>
          <w:marBottom w:val="0"/>
          <w:divBdr>
            <w:top w:val="none" w:sz="0" w:space="0" w:color="auto"/>
            <w:left w:val="none" w:sz="0" w:space="0" w:color="auto"/>
            <w:bottom w:val="none" w:sz="0" w:space="0" w:color="auto"/>
            <w:right w:val="none" w:sz="0" w:space="0" w:color="auto"/>
          </w:divBdr>
        </w:div>
        <w:div w:id="259919462">
          <w:marLeft w:val="480"/>
          <w:marRight w:val="0"/>
          <w:marTop w:val="0"/>
          <w:marBottom w:val="0"/>
          <w:divBdr>
            <w:top w:val="none" w:sz="0" w:space="0" w:color="auto"/>
            <w:left w:val="none" w:sz="0" w:space="0" w:color="auto"/>
            <w:bottom w:val="none" w:sz="0" w:space="0" w:color="auto"/>
            <w:right w:val="none" w:sz="0" w:space="0" w:color="auto"/>
          </w:divBdr>
        </w:div>
        <w:div w:id="484929130">
          <w:marLeft w:val="480"/>
          <w:marRight w:val="0"/>
          <w:marTop w:val="0"/>
          <w:marBottom w:val="0"/>
          <w:divBdr>
            <w:top w:val="none" w:sz="0" w:space="0" w:color="auto"/>
            <w:left w:val="none" w:sz="0" w:space="0" w:color="auto"/>
            <w:bottom w:val="none" w:sz="0" w:space="0" w:color="auto"/>
            <w:right w:val="none" w:sz="0" w:space="0" w:color="auto"/>
          </w:divBdr>
        </w:div>
        <w:div w:id="850142109">
          <w:marLeft w:val="480"/>
          <w:marRight w:val="0"/>
          <w:marTop w:val="0"/>
          <w:marBottom w:val="0"/>
          <w:divBdr>
            <w:top w:val="none" w:sz="0" w:space="0" w:color="auto"/>
            <w:left w:val="none" w:sz="0" w:space="0" w:color="auto"/>
            <w:bottom w:val="none" w:sz="0" w:space="0" w:color="auto"/>
            <w:right w:val="none" w:sz="0" w:space="0" w:color="auto"/>
          </w:divBdr>
        </w:div>
        <w:div w:id="894850388">
          <w:marLeft w:val="480"/>
          <w:marRight w:val="0"/>
          <w:marTop w:val="0"/>
          <w:marBottom w:val="0"/>
          <w:divBdr>
            <w:top w:val="none" w:sz="0" w:space="0" w:color="auto"/>
            <w:left w:val="none" w:sz="0" w:space="0" w:color="auto"/>
            <w:bottom w:val="none" w:sz="0" w:space="0" w:color="auto"/>
            <w:right w:val="none" w:sz="0" w:space="0" w:color="auto"/>
          </w:divBdr>
        </w:div>
        <w:div w:id="1632205904">
          <w:marLeft w:val="480"/>
          <w:marRight w:val="0"/>
          <w:marTop w:val="0"/>
          <w:marBottom w:val="0"/>
          <w:divBdr>
            <w:top w:val="none" w:sz="0" w:space="0" w:color="auto"/>
            <w:left w:val="none" w:sz="0" w:space="0" w:color="auto"/>
            <w:bottom w:val="none" w:sz="0" w:space="0" w:color="auto"/>
            <w:right w:val="none" w:sz="0" w:space="0" w:color="auto"/>
          </w:divBdr>
        </w:div>
        <w:div w:id="263154870">
          <w:marLeft w:val="480"/>
          <w:marRight w:val="0"/>
          <w:marTop w:val="0"/>
          <w:marBottom w:val="0"/>
          <w:divBdr>
            <w:top w:val="none" w:sz="0" w:space="0" w:color="auto"/>
            <w:left w:val="none" w:sz="0" w:space="0" w:color="auto"/>
            <w:bottom w:val="none" w:sz="0" w:space="0" w:color="auto"/>
            <w:right w:val="none" w:sz="0" w:space="0" w:color="auto"/>
          </w:divBdr>
        </w:div>
        <w:div w:id="957297645">
          <w:marLeft w:val="480"/>
          <w:marRight w:val="0"/>
          <w:marTop w:val="0"/>
          <w:marBottom w:val="0"/>
          <w:divBdr>
            <w:top w:val="none" w:sz="0" w:space="0" w:color="auto"/>
            <w:left w:val="none" w:sz="0" w:space="0" w:color="auto"/>
            <w:bottom w:val="none" w:sz="0" w:space="0" w:color="auto"/>
            <w:right w:val="none" w:sz="0" w:space="0" w:color="auto"/>
          </w:divBdr>
        </w:div>
        <w:div w:id="900092155">
          <w:marLeft w:val="480"/>
          <w:marRight w:val="0"/>
          <w:marTop w:val="0"/>
          <w:marBottom w:val="0"/>
          <w:divBdr>
            <w:top w:val="none" w:sz="0" w:space="0" w:color="auto"/>
            <w:left w:val="none" w:sz="0" w:space="0" w:color="auto"/>
            <w:bottom w:val="none" w:sz="0" w:space="0" w:color="auto"/>
            <w:right w:val="none" w:sz="0" w:space="0" w:color="auto"/>
          </w:divBdr>
        </w:div>
        <w:div w:id="2027057488">
          <w:marLeft w:val="480"/>
          <w:marRight w:val="0"/>
          <w:marTop w:val="0"/>
          <w:marBottom w:val="0"/>
          <w:divBdr>
            <w:top w:val="none" w:sz="0" w:space="0" w:color="auto"/>
            <w:left w:val="none" w:sz="0" w:space="0" w:color="auto"/>
            <w:bottom w:val="none" w:sz="0" w:space="0" w:color="auto"/>
            <w:right w:val="none" w:sz="0" w:space="0" w:color="auto"/>
          </w:divBdr>
        </w:div>
        <w:div w:id="526413993">
          <w:marLeft w:val="480"/>
          <w:marRight w:val="0"/>
          <w:marTop w:val="0"/>
          <w:marBottom w:val="0"/>
          <w:divBdr>
            <w:top w:val="none" w:sz="0" w:space="0" w:color="auto"/>
            <w:left w:val="none" w:sz="0" w:space="0" w:color="auto"/>
            <w:bottom w:val="none" w:sz="0" w:space="0" w:color="auto"/>
            <w:right w:val="none" w:sz="0" w:space="0" w:color="auto"/>
          </w:divBdr>
        </w:div>
        <w:div w:id="1763448351">
          <w:marLeft w:val="480"/>
          <w:marRight w:val="0"/>
          <w:marTop w:val="0"/>
          <w:marBottom w:val="0"/>
          <w:divBdr>
            <w:top w:val="none" w:sz="0" w:space="0" w:color="auto"/>
            <w:left w:val="none" w:sz="0" w:space="0" w:color="auto"/>
            <w:bottom w:val="none" w:sz="0" w:space="0" w:color="auto"/>
            <w:right w:val="none" w:sz="0" w:space="0" w:color="auto"/>
          </w:divBdr>
        </w:div>
        <w:div w:id="1536772062">
          <w:marLeft w:val="480"/>
          <w:marRight w:val="0"/>
          <w:marTop w:val="0"/>
          <w:marBottom w:val="0"/>
          <w:divBdr>
            <w:top w:val="none" w:sz="0" w:space="0" w:color="auto"/>
            <w:left w:val="none" w:sz="0" w:space="0" w:color="auto"/>
            <w:bottom w:val="none" w:sz="0" w:space="0" w:color="auto"/>
            <w:right w:val="none" w:sz="0" w:space="0" w:color="auto"/>
          </w:divBdr>
        </w:div>
        <w:div w:id="1211846403">
          <w:marLeft w:val="480"/>
          <w:marRight w:val="0"/>
          <w:marTop w:val="0"/>
          <w:marBottom w:val="0"/>
          <w:divBdr>
            <w:top w:val="none" w:sz="0" w:space="0" w:color="auto"/>
            <w:left w:val="none" w:sz="0" w:space="0" w:color="auto"/>
            <w:bottom w:val="none" w:sz="0" w:space="0" w:color="auto"/>
            <w:right w:val="none" w:sz="0" w:space="0" w:color="auto"/>
          </w:divBdr>
        </w:div>
        <w:div w:id="242951953">
          <w:marLeft w:val="480"/>
          <w:marRight w:val="0"/>
          <w:marTop w:val="0"/>
          <w:marBottom w:val="0"/>
          <w:divBdr>
            <w:top w:val="none" w:sz="0" w:space="0" w:color="auto"/>
            <w:left w:val="none" w:sz="0" w:space="0" w:color="auto"/>
            <w:bottom w:val="none" w:sz="0" w:space="0" w:color="auto"/>
            <w:right w:val="none" w:sz="0" w:space="0" w:color="auto"/>
          </w:divBdr>
        </w:div>
        <w:div w:id="1838953996">
          <w:marLeft w:val="480"/>
          <w:marRight w:val="0"/>
          <w:marTop w:val="0"/>
          <w:marBottom w:val="0"/>
          <w:divBdr>
            <w:top w:val="none" w:sz="0" w:space="0" w:color="auto"/>
            <w:left w:val="none" w:sz="0" w:space="0" w:color="auto"/>
            <w:bottom w:val="none" w:sz="0" w:space="0" w:color="auto"/>
            <w:right w:val="none" w:sz="0" w:space="0" w:color="auto"/>
          </w:divBdr>
        </w:div>
        <w:div w:id="1758482384">
          <w:marLeft w:val="480"/>
          <w:marRight w:val="0"/>
          <w:marTop w:val="0"/>
          <w:marBottom w:val="0"/>
          <w:divBdr>
            <w:top w:val="none" w:sz="0" w:space="0" w:color="auto"/>
            <w:left w:val="none" w:sz="0" w:space="0" w:color="auto"/>
            <w:bottom w:val="none" w:sz="0" w:space="0" w:color="auto"/>
            <w:right w:val="none" w:sz="0" w:space="0" w:color="auto"/>
          </w:divBdr>
        </w:div>
        <w:div w:id="164635004">
          <w:marLeft w:val="480"/>
          <w:marRight w:val="0"/>
          <w:marTop w:val="0"/>
          <w:marBottom w:val="0"/>
          <w:divBdr>
            <w:top w:val="none" w:sz="0" w:space="0" w:color="auto"/>
            <w:left w:val="none" w:sz="0" w:space="0" w:color="auto"/>
            <w:bottom w:val="none" w:sz="0" w:space="0" w:color="auto"/>
            <w:right w:val="none" w:sz="0" w:space="0" w:color="auto"/>
          </w:divBdr>
        </w:div>
        <w:div w:id="1374116268">
          <w:marLeft w:val="480"/>
          <w:marRight w:val="0"/>
          <w:marTop w:val="0"/>
          <w:marBottom w:val="0"/>
          <w:divBdr>
            <w:top w:val="none" w:sz="0" w:space="0" w:color="auto"/>
            <w:left w:val="none" w:sz="0" w:space="0" w:color="auto"/>
            <w:bottom w:val="none" w:sz="0" w:space="0" w:color="auto"/>
            <w:right w:val="none" w:sz="0" w:space="0" w:color="auto"/>
          </w:divBdr>
        </w:div>
        <w:div w:id="295456683">
          <w:marLeft w:val="480"/>
          <w:marRight w:val="0"/>
          <w:marTop w:val="0"/>
          <w:marBottom w:val="0"/>
          <w:divBdr>
            <w:top w:val="none" w:sz="0" w:space="0" w:color="auto"/>
            <w:left w:val="none" w:sz="0" w:space="0" w:color="auto"/>
            <w:bottom w:val="none" w:sz="0" w:space="0" w:color="auto"/>
            <w:right w:val="none" w:sz="0" w:space="0" w:color="auto"/>
          </w:divBdr>
        </w:div>
        <w:div w:id="803622416">
          <w:marLeft w:val="480"/>
          <w:marRight w:val="0"/>
          <w:marTop w:val="0"/>
          <w:marBottom w:val="0"/>
          <w:divBdr>
            <w:top w:val="none" w:sz="0" w:space="0" w:color="auto"/>
            <w:left w:val="none" w:sz="0" w:space="0" w:color="auto"/>
            <w:bottom w:val="none" w:sz="0" w:space="0" w:color="auto"/>
            <w:right w:val="none" w:sz="0" w:space="0" w:color="auto"/>
          </w:divBdr>
        </w:div>
        <w:div w:id="1540586576">
          <w:marLeft w:val="480"/>
          <w:marRight w:val="0"/>
          <w:marTop w:val="0"/>
          <w:marBottom w:val="0"/>
          <w:divBdr>
            <w:top w:val="none" w:sz="0" w:space="0" w:color="auto"/>
            <w:left w:val="none" w:sz="0" w:space="0" w:color="auto"/>
            <w:bottom w:val="none" w:sz="0" w:space="0" w:color="auto"/>
            <w:right w:val="none" w:sz="0" w:space="0" w:color="auto"/>
          </w:divBdr>
        </w:div>
        <w:div w:id="494421990">
          <w:marLeft w:val="480"/>
          <w:marRight w:val="0"/>
          <w:marTop w:val="0"/>
          <w:marBottom w:val="0"/>
          <w:divBdr>
            <w:top w:val="none" w:sz="0" w:space="0" w:color="auto"/>
            <w:left w:val="none" w:sz="0" w:space="0" w:color="auto"/>
            <w:bottom w:val="none" w:sz="0" w:space="0" w:color="auto"/>
            <w:right w:val="none" w:sz="0" w:space="0" w:color="auto"/>
          </w:divBdr>
        </w:div>
        <w:div w:id="4479118">
          <w:marLeft w:val="480"/>
          <w:marRight w:val="0"/>
          <w:marTop w:val="0"/>
          <w:marBottom w:val="0"/>
          <w:divBdr>
            <w:top w:val="none" w:sz="0" w:space="0" w:color="auto"/>
            <w:left w:val="none" w:sz="0" w:space="0" w:color="auto"/>
            <w:bottom w:val="none" w:sz="0" w:space="0" w:color="auto"/>
            <w:right w:val="none" w:sz="0" w:space="0" w:color="auto"/>
          </w:divBdr>
        </w:div>
        <w:div w:id="1623460061">
          <w:marLeft w:val="480"/>
          <w:marRight w:val="0"/>
          <w:marTop w:val="0"/>
          <w:marBottom w:val="0"/>
          <w:divBdr>
            <w:top w:val="none" w:sz="0" w:space="0" w:color="auto"/>
            <w:left w:val="none" w:sz="0" w:space="0" w:color="auto"/>
            <w:bottom w:val="none" w:sz="0" w:space="0" w:color="auto"/>
            <w:right w:val="none" w:sz="0" w:space="0" w:color="auto"/>
          </w:divBdr>
        </w:div>
        <w:div w:id="532349479">
          <w:marLeft w:val="480"/>
          <w:marRight w:val="0"/>
          <w:marTop w:val="0"/>
          <w:marBottom w:val="0"/>
          <w:divBdr>
            <w:top w:val="none" w:sz="0" w:space="0" w:color="auto"/>
            <w:left w:val="none" w:sz="0" w:space="0" w:color="auto"/>
            <w:bottom w:val="none" w:sz="0" w:space="0" w:color="auto"/>
            <w:right w:val="none" w:sz="0" w:space="0" w:color="auto"/>
          </w:divBdr>
        </w:div>
        <w:div w:id="1194922349">
          <w:marLeft w:val="480"/>
          <w:marRight w:val="0"/>
          <w:marTop w:val="0"/>
          <w:marBottom w:val="0"/>
          <w:divBdr>
            <w:top w:val="none" w:sz="0" w:space="0" w:color="auto"/>
            <w:left w:val="none" w:sz="0" w:space="0" w:color="auto"/>
            <w:bottom w:val="none" w:sz="0" w:space="0" w:color="auto"/>
            <w:right w:val="none" w:sz="0" w:space="0" w:color="auto"/>
          </w:divBdr>
        </w:div>
        <w:div w:id="2009862842">
          <w:marLeft w:val="480"/>
          <w:marRight w:val="0"/>
          <w:marTop w:val="0"/>
          <w:marBottom w:val="0"/>
          <w:divBdr>
            <w:top w:val="none" w:sz="0" w:space="0" w:color="auto"/>
            <w:left w:val="none" w:sz="0" w:space="0" w:color="auto"/>
            <w:bottom w:val="none" w:sz="0" w:space="0" w:color="auto"/>
            <w:right w:val="none" w:sz="0" w:space="0" w:color="auto"/>
          </w:divBdr>
        </w:div>
        <w:div w:id="1732072253">
          <w:marLeft w:val="480"/>
          <w:marRight w:val="0"/>
          <w:marTop w:val="0"/>
          <w:marBottom w:val="0"/>
          <w:divBdr>
            <w:top w:val="none" w:sz="0" w:space="0" w:color="auto"/>
            <w:left w:val="none" w:sz="0" w:space="0" w:color="auto"/>
            <w:bottom w:val="none" w:sz="0" w:space="0" w:color="auto"/>
            <w:right w:val="none" w:sz="0" w:space="0" w:color="auto"/>
          </w:divBdr>
        </w:div>
        <w:div w:id="1647202141">
          <w:marLeft w:val="480"/>
          <w:marRight w:val="0"/>
          <w:marTop w:val="0"/>
          <w:marBottom w:val="0"/>
          <w:divBdr>
            <w:top w:val="none" w:sz="0" w:space="0" w:color="auto"/>
            <w:left w:val="none" w:sz="0" w:space="0" w:color="auto"/>
            <w:bottom w:val="none" w:sz="0" w:space="0" w:color="auto"/>
            <w:right w:val="none" w:sz="0" w:space="0" w:color="auto"/>
          </w:divBdr>
        </w:div>
        <w:div w:id="1154680688">
          <w:marLeft w:val="480"/>
          <w:marRight w:val="0"/>
          <w:marTop w:val="0"/>
          <w:marBottom w:val="0"/>
          <w:divBdr>
            <w:top w:val="none" w:sz="0" w:space="0" w:color="auto"/>
            <w:left w:val="none" w:sz="0" w:space="0" w:color="auto"/>
            <w:bottom w:val="none" w:sz="0" w:space="0" w:color="auto"/>
            <w:right w:val="none" w:sz="0" w:space="0" w:color="auto"/>
          </w:divBdr>
        </w:div>
        <w:div w:id="1752266400">
          <w:marLeft w:val="480"/>
          <w:marRight w:val="0"/>
          <w:marTop w:val="0"/>
          <w:marBottom w:val="0"/>
          <w:divBdr>
            <w:top w:val="none" w:sz="0" w:space="0" w:color="auto"/>
            <w:left w:val="none" w:sz="0" w:space="0" w:color="auto"/>
            <w:bottom w:val="none" w:sz="0" w:space="0" w:color="auto"/>
            <w:right w:val="none" w:sz="0" w:space="0" w:color="auto"/>
          </w:divBdr>
        </w:div>
        <w:div w:id="721946447">
          <w:marLeft w:val="480"/>
          <w:marRight w:val="0"/>
          <w:marTop w:val="0"/>
          <w:marBottom w:val="0"/>
          <w:divBdr>
            <w:top w:val="none" w:sz="0" w:space="0" w:color="auto"/>
            <w:left w:val="none" w:sz="0" w:space="0" w:color="auto"/>
            <w:bottom w:val="none" w:sz="0" w:space="0" w:color="auto"/>
            <w:right w:val="none" w:sz="0" w:space="0" w:color="auto"/>
          </w:divBdr>
        </w:div>
        <w:div w:id="1182088134">
          <w:marLeft w:val="480"/>
          <w:marRight w:val="0"/>
          <w:marTop w:val="0"/>
          <w:marBottom w:val="0"/>
          <w:divBdr>
            <w:top w:val="none" w:sz="0" w:space="0" w:color="auto"/>
            <w:left w:val="none" w:sz="0" w:space="0" w:color="auto"/>
            <w:bottom w:val="none" w:sz="0" w:space="0" w:color="auto"/>
            <w:right w:val="none" w:sz="0" w:space="0" w:color="auto"/>
          </w:divBdr>
        </w:div>
        <w:div w:id="767041228">
          <w:marLeft w:val="480"/>
          <w:marRight w:val="0"/>
          <w:marTop w:val="0"/>
          <w:marBottom w:val="0"/>
          <w:divBdr>
            <w:top w:val="none" w:sz="0" w:space="0" w:color="auto"/>
            <w:left w:val="none" w:sz="0" w:space="0" w:color="auto"/>
            <w:bottom w:val="none" w:sz="0" w:space="0" w:color="auto"/>
            <w:right w:val="none" w:sz="0" w:space="0" w:color="auto"/>
          </w:divBdr>
        </w:div>
        <w:div w:id="1113327893">
          <w:marLeft w:val="480"/>
          <w:marRight w:val="0"/>
          <w:marTop w:val="0"/>
          <w:marBottom w:val="0"/>
          <w:divBdr>
            <w:top w:val="none" w:sz="0" w:space="0" w:color="auto"/>
            <w:left w:val="none" w:sz="0" w:space="0" w:color="auto"/>
            <w:bottom w:val="none" w:sz="0" w:space="0" w:color="auto"/>
            <w:right w:val="none" w:sz="0" w:space="0" w:color="auto"/>
          </w:divBdr>
        </w:div>
        <w:div w:id="717167183">
          <w:marLeft w:val="480"/>
          <w:marRight w:val="0"/>
          <w:marTop w:val="0"/>
          <w:marBottom w:val="0"/>
          <w:divBdr>
            <w:top w:val="none" w:sz="0" w:space="0" w:color="auto"/>
            <w:left w:val="none" w:sz="0" w:space="0" w:color="auto"/>
            <w:bottom w:val="none" w:sz="0" w:space="0" w:color="auto"/>
            <w:right w:val="none" w:sz="0" w:space="0" w:color="auto"/>
          </w:divBdr>
        </w:div>
        <w:div w:id="854538245">
          <w:marLeft w:val="480"/>
          <w:marRight w:val="0"/>
          <w:marTop w:val="0"/>
          <w:marBottom w:val="0"/>
          <w:divBdr>
            <w:top w:val="none" w:sz="0" w:space="0" w:color="auto"/>
            <w:left w:val="none" w:sz="0" w:space="0" w:color="auto"/>
            <w:bottom w:val="none" w:sz="0" w:space="0" w:color="auto"/>
            <w:right w:val="none" w:sz="0" w:space="0" w:color="auto"/>
          </w:divBdr>
        </w:div>
        <w:div w:id="415327331">
          <w:marLeft w:val="480"/>
          <w:marRight w:val="0"/>
          <w:marTop w:val="0"/>
          <w:marBottom w:val="0"/>
          <w:divBdr>
            <w:top w:val="none" w:sz="0" w:space="0" w:color="auto"/>
            <w:left w:val="none" w:sz="0" w:space="0" w:color="auto"/>
            <w:bottom w:val="none" w:sz="0" w:space="0" w:color="auto"/>
            <w:right w:val="none" w:sz="0" w:space="0" w:color="auto"/>
          </w:divBdr>
        </w:div>
        <w:div w:id="255555794">
          <w:marLeft w:val="480"/>
          <w:marRight w:val="0"/>
          <w:marTop w:val="0"/>
          <w:marBottom w:val="0"/>
          <w:divBdr>
            <w:top w:val="none" w:sz="0" w:space="0" w:color="auto"/>
            <w:left w:val="none" w:sz="0" w:space="0" w:color="auto"/>
            <w:bottom w:val="none" w:sz="0" w:space="0" w:color="auto"/>
            <w:right w:val="none" w:sz="0" w:space="0" w:color="auto"/>
          </w:divBdr>
        </w:div>
        <w:div w:id="105734634">
          <w:marLeft w:val="480"/>
          <w:marRight w:val="0"/>
          <w:marTop w:val="0"/>
          <w:marBottom w:val="0"/>
          <w:divBdr>
            <w:top w:val="none" w:sz="0" w:space="0" w:color="auto"/>
            <w:left w:val="none" w:sz="0" w:space="0" w:color="auto"/>
            <w:bottom w:val="none" w:sz="0" w:space="0" w:color="auto"/>
            <w:right w:val="none" w:sz="0" w:space="0" w:color="auto"/>
          </w:divBdr>
        </w:div>
        <w:div w:id="921571131">
          <w:marLeft w:val="480"/>
          <w:marRight w:val="0"/>
          <w:marTop w:val="0"/>
          <w:marBottom w:val="0"/>
          <w:divBdr>
            <w:top w:val="none" w:sz="0" w:space="0" w:color="auto"/>
            <w:left w:val="none" w:sz="0" w:space="0" w:color="auto"/>
            <w:bottom w:val="none" w:sz="0" w:space="0" w:color="auto"/>
            <w:right w:val="none" w:sz="0" w:space="0" w:color="auto"/>
          </w:divBdr>
        </w:div>
        <w:div w:id="1686596667">
          <w:marLeft w:val="480"/>
          <w:marRight w:val="0"/>
          <w:marTop w:val="0"/>
          <w:marBottom w:val="0"/>
          <w:divBdr>
            <w:top w:val="none" w:sz="0" w:space="0" w:color="auto"/>
            <w:left w:val="none" w:sz="0" w:space="0" w:color="auto"/>
            <w:bottom w:val="none" w:sz="0" w:space="0" w:color="auto"/>
            <w:right w:val="none" w:sz="0" w:space="0" w:color="auto"/>
          </w:divBdr>
        </w:div>
        <w:div w:id="803229746">
          <w:marLeft w:val="480"/>
          <w:marRight w:val="0"/>
          <w:marTop w:val="0"/>
          <w:marBottom w:val="0"/>
          <w:divBdr>
            <w:top w:val="none" w:sz="0" w:space="0" w:color="auto"/>
            <w:left w:val="none" w:sz="0" w:space="0" w:color="auto"/>
            <w:bottom w:val="none" w:sz="0" w:space="0" w:color="auto"/>
            <w:right w:val="none" w:sz="0" w:space="0" w:color="auto"/>
          </w:divBdr>
        </w:div>
        <w:div w:id="771903081">
          <w:marLeft w:val="480"/>
          <w:marRight w:val="0"/>
          <w:marTop w:val="0"/>
          <w:marBottom w:val="0"/>
          <w:divBdr>
            <w:top w:val="none" w:sz="0" w:space="0" w:color="auto"/>
            <w:left w:val="none" w:sz="0" w:space="0" w:color="auto"/>
            <w:bottom w:val="none" w:sz="0" w:space="0" w:color="auto"/>
            <w:right w:val="none" w:sz="0" w:space="0" w:color="auto"/>
          </w:divBdr>
        </w:div>
        <w:div w:id="887303692">
          <w:marLeft w:val="480"/>
          <w:marRight w:val="0"/>
          <w:marTop w:val="0"/>
          <w:marBottom w:val="0"/>
          <w:divBdr>
            <w:top w:val="none" w:sz="0" w:space="0" w:color="auto"/>
            <w:left w:val="none" w:sz="0" w:space="0" w:color="auto"/>
            <w:bottom w:val="none" w:sz="0" w:space="0" w:color="auto"/>
            <w:right w:val="none" w:sz="0" w:space="0" w:color="auto"/>
          </w:divBdr>
        </w:div>
        <w:div w:id="568661822">
          <w:marLeft w:val="480"/>
          <w:marRight w:val="0"/>
          <w:marTop w:val="0"/>
          <w:marBottom w:val="0"/>
          <w:divBdr>
            <w:top w:val="none" w:sz="0" w:space="0" w:color="auto"/>
            <w:left w:val="none" w:sz="0" w:space="0" w:color="auto"/>
            <w:bottom w:val="none" w:sz="0" w:space="0" w:color="auto"/>
            <w:right w:val="none" w:sz="0" w:space="0" w:color="auto"/>
          </w:divBdr>
        </w:div>
        <w:div w:id="184515679">
          <w:marLeft w:val="480"/>
          <w:marRight w:val="0"/>
          <w:marTop w:val="0"/>
          <w:marBottom w:val="0"/>
          <w:divBdr>
            <w:top w:val="none" w:sz="0" w:space="0" w:color="auto"/>
            <w:left w:val="none" w:sz="0" w:space="0" w:color="auto"/>
            <w:bottom w:val="none" w:sz="0" w:space="0" w:color="auto"/>
            <w:right w:val="none" w:sz="0" w:space="0" w:color="auto"/>
          </w:divBdr>
        </w:div>
        <w:div w:id="427891050">
          <w:marLeft w:val="480"/>
          <w:marRight w:val="0"/>
          <w:marTop w:val="0"/>
          <w:marBottom w:val="0"/>
          <w:divBdr>
            <w:top w:val="none" w:sz="0" w:space="0" w:color="auto"/>
            <w:left w:val="none" w:sz="0" w:space="0" w:color="auto"/>
            <w:bottom w:val="none" w:sz="0" w:space="0" w:color="auto"/>
            <w:right w:val="none" w:sz="0" w:space="0" w:color="auto"/>
          </w:divBdr>
        </w:div>
        <w:div w:id="2025279142">
          <w:marLeft w:val="480"/>
          <w:marRight w:val="0"/>
          <w:marTop w:val="0"/>
          <w:marBottom w:val="0"/>
          <w:divBdr>
            <w:top w:val="none" w:sz="0" w:space="0" w:color="auto"/>
            <w:left w:val="none" w:sz="0" w:space="0" w:color="auto"/>
            <w:bottom w:val="none" w:sz="0" w:space="0" w:color="auto"/>
            <w:right w:val="none" w:sz="0" w:space="0" w:color="auto"/>
          </w:divBdr>
        </w:div>
        <w:div w:id="306279183">
          <w:marLeft w:val="480"/>
          <w:marRight w:val="0"/>
          <w:marTop w:val="0"/>
          <w:marBottom w:val="0"/>
          <w:divBdr>
            <w:top w:val="none" w:sz="0" w:space="0" w:color="auto"/>
            <w:left w:val="none" w:sz="0" w:space="0" w:color="auto"/>
            <w:bottom w:val="none" w:sz="0" w:space="0" w:color="auto"/>
            <w:right w:val="none" w:sz="0" w:space="0" w:color="auto"/>
          </w:divBdr>
        </w:div>
        <w:div w:id="508300827">
          <w:marLeft w:val="480"/>
          <w:marRight w:val="0"/>
          <w:marTop w:val="0"/>
          <w:marBottom w:val="0"/>
          <w:divBdr>
            <w:top w:val="none" w:sz="0" w:space="0" w:color="auto"/>
            <w:left w:val="none" w:sz="0" w:space="0" w:color="auto"/>
            <w:bottom w:val="none" w:sz="0" w:space="0" w:color="auto"/>
            <w:right w:val="none" w:sz="0" w:space="0" w:color="auto"/>
          </w:divBdr>
        </w:div>
        <w:div w:id="1792742705">
          <w:marLeft w:val="480"/>
          <w:marRight w:val="0"/>
          <w:marTop w:val="0"/>
          <w:marBottom w:val="0"/>
          <w:divBdr>
            <w:top w:val="none" w:sz="0" w:space="0" w:color="auto"/>
            <w:left w:val="none" w:sz="0" w:space="0" w:color="auto"/>
            <w:bottom w:val="none" w:sz="0" w:space="0" w:color="auto"/>
            <w:right w:val="none" w:sz="0" w:space="0" w:color="auto"/>
          </w:divBdr>
        </w:div>
        <w:div w:id="970793962">
          <w:marLeft w:val="480"/>
          <w:marRight w:val="0"/>
          <w:marTop w:val="0"/>
          <w:marBottom w:val="0"/>
          <w:divBdr>
            <w:top w:val="none" w:sz="0" w:space="0" w:color="auto"/>
            <w:left w:val="none" w:sz="0" w:space="0" w:color="auto"/>
            <w:bottom w:val="none" w:sz="0" w:space="0" w:color="auto"/>
            <w:right w:val="none" w:sz="0" w:space="0" w:color="auto"/>
          </w:divBdr>
        </w:div>
        <w:div w:id="2080010289">
          <w:marLeft w:val="480"/>
          <w:marRight w:val="0"/>
          <w:marTop w:val="0"/>
          <w:marBottom w:val="0"/>
          <w:divBdr>
            <w:top w:val="none" w:sz="0" w:space="0" w:color="auto"/>
            <w:left w:val="none" w:sz="0" w:space="0" w:color="auto"/>
            <w:bottom w:val="none" w:sz="0" w:space="0" w:color="auto"/>
            <w:right w:val="none" w:sz="0" w:space="0" w:color="auto"/>
          </w:divBdr>
        </w:div>
        <w:div w:id="2137674038">
          <w:marLeft w:val="480"/>
          <w:marRight w:val="0"/>
          <w:marTop w:val="0"/>
          <w:marBottom w:val="0"/>
          <w:divBdr>
            <w:top w:val="none" w:sz="0" w:space="0" w:color="auto"/>
            <w:left w:val="none" w:sz="0" w:space="0" w:color="auto"/>
            <w:bottom w:val="none" w:sz="0" w:space="0" w:color="auto"/>
            <w:right w:val="none" w:sz="0" w:space="0" w:color="auto"/>
          </w:divBdr>
        </w:div>
        <w:div w:id="344669539">
          <w:marLeft w:val="480"/>
          <w:marRight w:val="0"/>
          <w:marTop w:val="0"/>
          <w:marBottom w:val="0"/>
          <w:divBdr>
            <w:top w:val="none" w:sz="0" w:space="0" w:color="auto"/>
            <w:left w:val="none" w:sz="0" w:space="0" w:color="auto"/>
            <w:bottom w:val="none" w:sz="0" w:space="0" w:color="auto"/>
            <w:right w:val="none" w:sz="0" w:space="0" w:color="auto"/>
          </w:divBdr>
        </w:div>
        <w:div w:id="1092049675">
          <w:marLeft w:val="480"/>
          <w:marRight w:val="0"/>
          <w:marTop w:val="0"/>
          <w:marBottom w:val="0"/>
          <w:divBdr>
            <w:top w:val="none" w:sz="0" w:space="0" w:color="auto"/>
            <w:left w:val="none" w:sz="0" w:space="0" w:color="auto"/>
            <w:bottom w:val="none" w:sz="0" w:space="0" w:color="auto"/>
            <w:right w:val="none" w:sz="0" w:space="0" w:color="auto"/>
          </w:divBdr>
        </w:div>
        <w:div w:id="1256983313">
          <w:marLeft w:val="480"/>
          <w:marRight w:val="0"/>
          <w:marTop w:val="0"/>
          <w:marBottom w:val="0"/>
          <w:divBdr>
            <w:top w:val="none" w:sz="0" w:space="0" w:color="auto"/>
            <w:left w:val="none" w:sz="0" w:space="0" w:color="auto"/>
            <w:bottom w:val="none" w:sz="0" w:space="0" w:color="auto"/>
            <w:right w:val="none" w:sz="0" w:space="0" w:color="auto"/>
          </w:divBdr>
        </w:div>
        <w:div w:id="1219588958">
          <w:marLeft w:val="480"/>
          <w:marRight w:val="0"/>
          <w:marTop w:val="0"/>
          <w:marBottom w:val="0"/>
          <w:divBdr>
            <w:top w:val="none" w:sz="0" w:space="0" w:color="auto"/>
            <w:left w:val="none" w:sz="0" w:space="0" w:color="auto"/>
            <w:bottom w:val="none" w:sz="0" w:space="0" w:color="auto"/>
            <w:right w:val="none" w:sz="0" w:space="0" w:color="auto"/>
          </w:divBdr>
        </w:div>
        <w:div w:id="691951428">
          <w:marLeft w:val="480"/>
          <w:marRight w:val="0"/>
          <w:marTop w:val="0"/>
          <w:marBottom w:val="0"/>
          <w:divBdr>
            <w:top w:val="none" w:sz="0" w:space="0" w:color="auto"/>
            <w:left w:val="none" w:sz="0" w:space="0" w:color="auto"/>
            <w:bottom w:val="none" w:sz="0" w:space="0" w:color="auto"/>
            <w:right w:val="none" w:sz="0" w:space="0" w:color="auto"/>
          </w:divBdr>
        </w:div>
        <w:div w:id="608008894">
          <w:marLeft w:val="480"/>
          <w:marRight w:val="0"/>
          <w:marTop w:val="0"/>
          <w:marBottom w:val="0"/>
          <w:divBdr>
            <w:top w:val="none" w:sz="0" w:space="0" w:color="auto"/>
            <w:left w:val="none" w:sz="0" w:space="0" w:color="auto"/>
            <w:bottom w:val="none" w:sz="0" w:space="0" w:color="auto"/>
            <w:right w:val="none" w:sz="0" w:space="0" w:color="auto"/>
          </w:divBdr>
        </w:div>
        <w:div w:id="1477187971">
          <w:marLeft w:val="480"/>
          <w:marRight w:val="0"/>
          <w:marTop w:val="0"/>
          <w:marBottom w:val="0"/>
          <w:divBdr>
            <w:top w:val="none" w:sz="0" w:space="0" w:color="auto"/>
            <w:left w:val="none" w:sz="0" w:space="0" w:color="auto"/>
            <w:bottom w:val="none" w:sz="0" w:space="0" w:color="auto"/>
            <w:right w:val="none" w:sz="0" w:space="0" w:color="auto"/>
          </w:divBdr>
        </w:div>
        <w:div w:id="1346786108">
          <w:marLeft w:val="480"/>
          <w:marRight w:val="0"/>
          <w:marTop w:val="0"/>
          <w:marBottom w:val="0"/>
          <w:divBdr>
            <w:top w:val="none" w:sz="0" w:space="0" w:color="auto"/>
            <w:left w:val="none" w:sz="0" w:space="0" w:color="auto"/>
            <w:bottom w:val="none" w:sz="0" w:space="0" w:color="auto"/>
            <w:right w:val="none" w:sz="0" w:space="0" w:color="auto"/>
          </w:divBdr>
        </w:div>
        <w:div w:id="1001156485">
          <w:marLeft w:val="480"/>
          <w:marRight w:val="0"/>
          <w:marTop w:val="0"/>
          <w:marBottom w:val="0"/>
          <w:divBdr>
            <w:top w:val="none" w:sz="0" w:space="0" w:color="auto"/>
            <w:left w:val="none" w:sz="0" w:space="0" w:color="auto"/>
            <w:bottom w:val="none" w:sz="0" w:space="0" w:color="auto"/>
            <w:right w:val="none" w:sz="0" w:space="0" w:color="auto"/>
          </w:divBdr>
        </w:div>
        <w:div w:id="1196432631">
          <w:marLeft w:val="480"/>
          <w:marRight w:val="0"/>
          <w:marTop w:val="0"/>
          <w:marBottom w:val="0"/>
          <w:divBdr>
            <w:top w:val="none" w:sz="0" w:space="0" w:color="auto"/>
            <w:left w:val="none" w:sz="0" w:space="0" w:color="auto"/>
            <w:bottom w:val="none" w:sz="0" w:space="0" w:color="auto"/>
            <w:right w:val="none" w:sz="0" w:space="0" w:color="auto"/>
          </w:divBdr>
        </w:div>
        <w:div w:id="1281689817">
          <w:marLeft w:val="480"/>
          <w:marRight w:val="0"/>
          <w:marTop w:val="0"/>
          <w:marBottom w:val="0"/>
          <w:divBdr>
            <w:top w:val="none" w:sz="0" w:space="0" w:color="auto"/>
            <w:left w:val="none" w:sz="0" w:space="0" w:color="auto"/>
            <w:bottom w:val="none" w:sz="0" w:space="0" w:color="auto"/>
            <w:right w:val="none" w:sz="0" w:space="0" w:color="auto"/>
          </w:divBdr>
        </w:div>
        <w:div w:id="1964001780">
          <w:marLeft w:val="480"/>
          <w:marRight w:val="0"/>
          <w:marTop w:val="0"/>
          <w:marBottom w:val="0"/>
          <w:divBdr>
            <w:top w:val="none" w:sz="0" w:space="0" w:color="auto"/>
            <w:left w:val="none" w:sz="0" w:space="0" w:color="auto"/>
            <w:bottom w:val="none" w:sz="0" w:space="0" w:color="auto"/>
            <w:right w:val="none" w:sz="0" w:space="0" w:color="auto"/>
          </w:divBdr>
        </w:div>
        <w:div w:id="923538979">
          <w:marLeft w:val="480"/>
          <w:marRight w:val="0"/>
          <w:marTop w:val="0"/>
          <w:marBottom w:val="0"/>
          <w:divBdr>
            <w:top w:val="none" w:sz="0" w:space="0" w:color="auto"/>
            <w:left w:val="none" w:sz="0" w:space="0" w:color="auto"/>
            <w:bottom w:val="none" w:sz="0" w:space="0" w:color="auto"/>
            <w:right w:val="none" w:sz="0" w:space="0" w:color="auto"/>
          </w:divBdr>
        </w:div>
        <w:div w:id="2042437423">
          <w:marLeft w:val="480"/>
          <w:marRight w:val="0"/>
          <w:marTop w:val="0"/>
          <w:marBottom w:val="0"/>
          <w:divBdr>
            <w:top w:val="none" w:sz="0" w:space="0" w:color="auto"/>
            <w:left w:val="none" w:sz="0" w:space="0" w:color="auto"/>
            <w:bottom w:val="none" w:sz="0" w:space="0" w:color="auto"/>
            <w:right w:val="none" w:sz="0" w:space="0" w:color="auto"/>
          </w:divBdr>
        </w:div>
        <w:div w:id="217979117">
          <w:marLeft w:val="480"/>
          <w:marRight w:val="0"/>
          <w:marTop w:val="0"/>
          <w:marBottom w:val="0"/>
          <w:divBdr>
            <w:top w:val="none" w:sz="0" w:space="0" w:color="auto"/>
            <w:left w:val="none" w:sz="0" w:space="0" w:color="auto"/>
            <w:bottom w:val="none" w:sz="0" w:space="0" w:color="auto"/>
            <w:right w:val="none" w:sz="0" w:space="0" w:color="auto"/>
          </w:divBdr>
        </w:div>
        <w:div w:id="1334648407">
          <w:marLeft w:val="480"/>
          <w:marRight w:val="0"/>
          <w:marTop w:val="0"/>
          <w:marBottom w:val="0"/>
          <w:divBdr>
            <w:top w:val="none" w:sz="0" w:space="0" w:color="auto"/>
            <w:left w:val="none" w:sz="0" w:space="0" w:color="auto"/>
            <w:bottom w:val="none" w:sz="0" w:space="0" w:color="auto"/>
            <w:right w:val="none" w:sz="0" w:space="0" w:color="auto"/>
          </w:divBdr>
        </w:div>
        <w:div w:id="324475441">
          <w:marLeft w:val="480"/>
          <w:marRight w:val="0"/>
          <w:marTop w:val="0"/>
          <w:marBottom w:val="0"/>
          <w:divBdr>
            <w:top w:val="none" w:sz="0" w:space="0" w:color="auto"/>
            <w:left w:val="none" w:sz="0" w:space="0" w:color="auto"/>
            <w:bottom w:val="none" w:sz="0" w:space="0" w:color="auto"/>
            <w:right w:val="none" w:sz="0" w:space="0" w:color="auto"/>
          </w:divBdr>
        </w:div>
        <w:div w:id="437484050">
          <w:marLeft w:val="480"/>
          <w:marRight w:val="0"/>
          <w:marTop w:val="0"/>
          <w:marBottom w:val="0"/>
          <w:divBdr>
            <w:top w:val="none" w:sz="0" w:space="0" w:color="auto"/>
            <w:left w:val="none" w:sz="0" w:space="0" w:color="auto"/>
            <w:bottom w:val="none" w:sz="0" w:space="0" w:color="auto"/>
            <w:right w:val="none" w:sz="0" w:space="0" w:color="auto"/>
          </w:divBdr>
        </w:div>
        <w:div w:id="502205938">
          <w:marLeft w:val="480"/>
          <w:marRight w:val="0"/>
          <w:marTop w:val="0"/>
          <w:marBottom w:val="0"/>
          <w:divBdr>
            <w:top w:val="none" w:sz="0" w:space="0" w:color="auto"/>
            <w:left w:val="none" w:sz="0" w:space="0" w:color="auto"/>
            <w:bottom w:val="none" w:sz="0" w:space="0" w:color="auto"/>
            <w:right w:val="none" w:sz="0" w:space="0" w:color="auto"/>
          </w:divBdr>
        </w:div>
        <w:div w:id="2095977512">
          <w:marLeft w:val="480"/>
          <w:marRight w:val="0"/>
          <w:marTop w:val="0"/>
          <w:marBottom w:val="0"/>
          <w:divBdr>
            <w:top w:val="none" w:sz="0" w:space="0" w:color="auto"/>
            <w:left w:val="none" w:sz="0" w:space="0" w:color="auto"/>
            <w:bottom w:val="none" w:sz="0" w:space="0" w:color="auto"/>
            <w:right w:val="none" w:sz="0" w:space="0" w:color="auto"/>
          </w:divBdr>
        </w:div>
        <w:div w:id="901981744">
          <w:marLeft w:val="480"/>
          <w:marRight w:val="0"/>
          <w:marTop w:val="0"/>
          <w:marBottom w:val="0"/>
          <w:divBdr>
            <w:top w:val="none" w:sz="0" w:space="0" w:color="auto"/>
            <w:left w:val="none" w:sz="0" w:space="0" w:color="auto"/>
            <w:bottom w:val="none" w:sz="0" w:space="0" w:color="auto"/>
            <w:right w:val="none" w:sz="0" w:space="0" w:color="auto"/>
          </w:divBdr>
        </w:div>
        <w:div w:id="883371620">
          <w:marLeft w:val="480"/>
          <w:marRight w:val="0"/>
          <w:marTop w:val="0"/>
          <w:marBottom w:val="0"/>
          <w:divBdr>
            <w:top w:val="none" w:sz="0" w:space="0" w:color="auto"/>
            <w:left w:val="none" w:sz="0" w:space="0" w:color="auto"/>
            <w:bottom w:val="none" w:sz="0" w:space="0" w:color="auto"/>
            <w:right w:val="none" w:sz="0" w:space="0" w:color="auto"/>
          </w:divBdr>
        </w:div>
        <w:div w:id="745491688">
          <w:marLeft w:val="480"/>
          <w:marRight w:val="0"/>
          <w:marTop w:val="0"/>
          <w:marBottom w:val="0"/>
          <w:divBdr>
            <w:top w:val="none" w:sz="0" w:space="0" w:color="auto"/>
            <w:left w:val="none" w:sz="0" w:space="0" w:color="auto"/>
            <w:bottom w:val="none" w:sz="0" w:space="0" w:color="auto"/>
            <w:right w:val="none" w:sz="0" w:space="0" w:color="auto"/>
          </w:divBdr>
        </w:div>
        <w:div w:id="580330887">
          <w:marLeft w:val="480"/>
          <w:marRight w:val="0"/>
          <w:marTop w:val="0"/>
          <w:marBottom w:val="0"/>
          <w:divBdr>
            <w:top w:val="none" w:sz="0" w:space="0" w:color="auto"/>
            <w:left w:val="none" w:sz="0" w:space="0" w:color="auto"/>
            <w:bottom w:val="none" w:sz="0" w:space="0" w:color="auto"/>
            <w:right w:val="none" w:sz="0" w:space="0" w:color="auto"/>
          </w:divBdr>
        </w:div>
        <w:div w:id="1609002349">
          <w:marLeft w:val="480"/>
          <w:marRight w:val="0"/>
          <w:marTop w:val="0"/>
          <w:marBottom w:val="0"/>
          <w:divBdr>
            <w:top w:val="none" w:sz="0" w:space="0" w:color="auto"/>
            <w:left w:val="none" w:sz="0" w:space="0" w:color="auto"/>
            <w:bottom w:val="none" w:sz="0" w:space="0" w:color="auto"/>
            <w:right w:val="none" w:sz="0" w:space="0" w:color="auto"/>
          </w:divBdr>
        </w:div>
        <w:div w:id="633565435">
          <w:marLeft w:val="480"/>
          <w:marRight w:val="0"/>
          <w:marTop w:val="0"/>
          <w:marBottom w:val="0"/>
          <w:divBdr>
            <w:top w:val="none" w:sz="0" w:space="0" w:color="auto"/>
            <w:left w:val="none" w:sz="0" w:space="0" w:color="auto"/>
            <w:bottom w:val="none" w:sz="0" w:space="0" w:color="auto"/>
            <w:right w:val="none" w:sz="0" w:space="0" w:color="auto"/>
          </w:divBdr>
        </w:div>
        <w:div w:id="1412853450">
          <w:marLeft w:val="480"/>
          <w:marRight w:val="0"/>
          <w:marTop w:val="0"/>
          <w:marBottom w:val="0"/>
          <w:divBdr>
            <w:top w:val="none" w:sz="0" w:space="0" w:color="auto"/>
            <w:left w:val="none" w:sz="0" w:space="0" w:color="auto"/>
            <w:bottom w:val="none" w:sz="0" w:space="0" w:color="auto"/>
            <w:right w:val="none" w:sz="0" w:space="0" w:color="auto"/>
          </w:divBdr>
        </w:div>
        <w:div w:id="596911664">
          <w:marLeft w:val="480"/>
          <w:marRight w:val="0"/>
          <w:marTop w:val="0"/>
          <w:marBottom w:val="0"/>
          <w:divBdr>
            <w:top w:val="none" w:sz="0" w:space="0" w:color="auto"/>
            <w:left w:val="none" w:sz="0" w:space="0" w:color="auto"/>
            <w:bottom w:val="none" w:sz="0" w:space="0" w:color="auto"/>
            <w:right w:val="none" w:sz="0" w:space="0" w:color="auto"/>
          </w:divBdr>
        </w:div>
        <w:div w:id="514727619">
          <w:marLeft w:val="480"/>
          <w:marRight w:val="0"/>
          <w:marTop w:val="0"/>
          <w:marBottom w:val="0"/>
          <w:divBdr>
            <w:top w:val="none" w:sz="0" w:space="0" w:color="auto"/>
            <w:left w:val="none" w:sz="0" w:space="0" w:color="auto"/>
            <w:bottom w:val="none" w:sz="0" w:space="0" w:color="auto"/>
            <w:right w:val="none" w:sz="0" w:space="0" w:color="auto"/>
          </w:divBdr>
        </w:div>
        <w:div w:id="395519164">
          <w:marLeft w:val="480"/>
          <w:marRight w:val="0"/>
          <w:marTop w:val="0"/>
          <w:marBottom w:val="0"/>
          <w:divBdr>
            <w:top w:val="none" w:sz="0" w:space="0" w:color="auto"/>
            <w:left w:val="none" w:sz="0" w:space="0" w:color="auto"/>
            <w:bottom w:val="none" w:sz="0" w:space="0" w:color="auto"/>
            <w:right w:val="none" w:sz="0" w:space="0" w:color="auto"/>
          </w:divBdr>
        </w:div>
        <w:div w:id="1131442928">
          <w:marLeft w:val="480"/>
          <w:marRight w:val="0"/>
          <w:marTop w:val="0"/>
          <w:marBottom w:val="0"/>
          <w:divBdr>
            <w:top w:val="none" w:sz="0" w:space="0" w:color="auto"/>
            <w:left w:val="none" w:sz="0" w:space="0" w:color="auto"/>
            <w:bottom w:val="none" w:sz="0" w:space="0" w:color="auto"/>
            <w:right w:val="none" w:sz="0" w:space="0" w:color="auto"/>
          </w:divBdr>
        </w:div>
        <w:div w:id="1763648547">
          <w:marLeft w:val="480"/>
          <w:marRight w:val="0"/>
          <w:marTop w:val="0"/>
          <w:marBottom w:val="0"/>
          <w:divBdr>
            <w:top w:val="none" w:sz="0" w:space="0" w:color="auto"/>
            <w:left w:val="none" w:sz="0" w:space="0" w:color="auto"/>
            <w:bottom w:val="none" w:sz="0" w:space="0" w:color="auto"/>
            <w:right w:val="none" w:sz="0" w:space="0" w:color="auto"/>
          </w:divBdr>
        </w:div>
        <w:div w:id="379012884">
          <w:marLeft w:val="480"/>
          <w:marRight w:val="0"/>
          <w:marTop w:val="0"/>
          <w:marBottom w:val="0"/>
          <w:divBdr>
            <w:top w:val="none" w:sz="0" w:space="0" w:color="auto"/>
            <w:left w:val="none" w:sz="0" w:space="0" w:color="auto"/>
            <w:bottom w:val="none" w:sz="0" w:space="0" w:color="auto"/>
            <w:right w:val="none" w:sz="0" w:space="0" w:color="auto"/>
          </w:divBdr>
        </w:div>
        <w:div w:id="1433549711">
          <w:marLeft w:val="480"/>
          <w:marRight w:val="0"/>
          <w:marTop w:val="0"/>
          <w:marBottom w:val="0"/>
          <w:divBdr>
            <w:top w:val="none" w:sz="0" w:space="0" w:color="auto"/>
            <w:left w:val="none" w:sz="0" w:space="0" w:color="auto"/>
            <w:bottom w:val="none" w:sz="0" w:space="0" w:color="auto"/>
            <w:right w:val="none" w:sz="0" w:space="0" w:color="auto"/>
          </w:divBdr>
        </w:div>
        <w:div w:id="528107288">
          <w:marLeft w:val="480"/>
          <w:marRight w:val="0"/>
          <w:marTop w:val="0"/>
          <w:marBottom w:val="0"/>
          <w:divBdr>
            <w:top w:val="none" w:sz="0" w:space="0" w:color="auto"/>
            <w:left w:val="none" w:sz="0" w:space="0" w:color="auto"/>
            <w:bottom w:val="none" w:sz="0" w:space="0" w:color="auto"/>
            <w:right w:val="none" w:sz="0" w:space="0" w:color="auto"/>
          </w:divBdr>
        </w:div>
        <w:div w:id="1324509313">
          <w:marLeft w:val="480"/>
          <w:marRight w:val="0"/>
          <w:marTop w:val="0"/>
          <w:marBottom w:val="0"/>
          <w:divBdr>
            <w:top w:val="none" w:sz="0" w:space="0" w:color="auto"/>
            <w:left w:val="none" w:sz="0" w:space="0" w:color="auto"/>
            <w:bottom w:val="none" w:sz="0" w:space="0" w:color="auto"/>
            <w:right w:val="none" w:sz="0" w:space="0" w:color="auto"/>
          </w:divBdr>
        </w:div>
        <w:div w:id="487214684">
          <w:marLeft w:val="480"/>
          <w:marRight w:val="0"/>
          <w:marTop w:val="0"/>
          <w:marBottom w:val="0"/>
          <w:divBdr>
            <w:top w:val="none" w:sz="0" w:space="0" w:color="auto"/>
            <w:left w:val="none" w:sz="0" w:space="0" w:color="auto"/>
            <w:bottom w:val="none" w:sz="0" w:space="0" w:color="auto"/>
            <w:right w:val="none" w:sz="0" w:space="0" w:color="auto"/>
          </w:divBdr>
        </w:div>
        <w:div w:id="847141907">
          <w:marLeft w:val="480"/>
          <w:marRight w:val="0"/>
          <w:marTop w:val="0"/>
          <w:marBottom w:val="0"/>
          <w:divBdr>
            <w:top w:val="none" w:sz="0" w:space="0" w:color="auto"/>
            <w:left w:val="none" w:sz="0" w:space="0" w:color="auto"/>
            <w:bottom w:val="none" w:sz="0" w:space="0" w:color="auto"/>
            <w:right w:val="none" w:sz="0" w:space="0" w:color="auto"/>
          </w:divBdr>
        </w:div>
        <w:div w:id="334959526">
          <w:marLeft w:val="480"/>
          <w:marRight w:val="0"/>
          <w:marTop w:val="0"/>
          <w:marBottom w:val="0"/>
          <w:divBdr>
            <w:top w:val="none" w:sz="0" w:space="0" w:color="auto"/>
            <w:left w:val="none" w:sz="0" w:space="0" w:color="auto"/>
            <w:bottom w:val="none" w:sz="0" w:space="0" w:color="auto"/>
            <w:right w:val="none" w:sz="0" w:space="0" w:color="auto"/>
          </w:divBdr>
        </w:div>
        <w:div w:id="1488781602">
          <w:marLeft w:val="480"/>
          <w:marRight w:val="0"/>
          <w:marTop w:val="0"/>
          <w:marBottom w:val="0"/>
          <w:divBdr>
            <w:top w:val="none" w:sz="0" w:space="0" w:color="auto"/>
            <w:left w:val="none" w:sz="0" w:space="0" w:color="auto"/>
            <w:bottom w:val="none" w:sz="0" w:space="0" w:color="auto"/>
            <w:right w:val="none" w:sz="0" w:space="0" w:color="auto"/>
          </w:divBdr>
        </w:div>
        <w:div w:id="1456101517">
          <w:marLeft w:val="480"/>
          <w:marRight w:val="0"/>
          <w:marTop w:val="0"/>
          <w:marBottom w:val="0"/>
          <w:divBdr>
            <w:top w:val="none" w:sz="0" w:space="0" w:color="auto"/>
            <w:left w:val="none" w:sz="0" w:space="0" w:color="auto"/>
            <w:bottom w:val="none" w:sz="0" w:space="0" w:color="auto"/>
            <w:right w:val="none" w:sz="0" w:space="0" w:color="auto"/>
          </w:divBdr>
        </w:div>
        <w:div w:id="1602225166">
          <w:marLeft w:val="480"/>
          <w:marRight w:val="0"/>
          <w:marTop w:val="0"/>
          <w:marBottom w:val="0"/>
          <w:divBdr>
            <w:top w:val="none" w:sz="0" w:space="0" w:color="auto"/>
            <w:left w:val="none" w:sz="0" w:space="0" w:color="auto"/>
            <w:bottom w:val="none" w:sz="0" w:space="0" w:color="auto"/>
            <w:right w:val="none" w:sz="0" w:space="0" w:color="auto"/>
          </w:divBdr>
        </w:div>
        <w:div w:id="1817062063">
          <w:marLeft w:val="480"/>
          <w:marRight w:val="0"/>
          <w:marTop w:val="0"/>
          <w:marBottom w:val="0"/>
          <w:divBdr>
            <w:top w:val="none" w:sz="0" w:space="0" w:color="auto"/>
            <w:left w:val="none" w:sz="0" w:space="0" w:color="auto"/>
            <w:bottom w:val="none" w:sz="0" w:space="0" w:color="auto"/>
            <w:right w:val="none" w:sz="0" w:space="0" w:color="auto"/>
          </w:divBdr>
        </w:div>
        <w:div w:id="316032900">
          <w:marLeft w:val="480"/>
          <w:marRight w:val="0"/>
          <w:marTop w:val="0"/>
          <w:marBottom w:val="0"/>
          <w:divBdr>
            <w:top w:val="none" w:sz="0" w:space="0" w:color="auto"/>
            <w:left w:val="none" w:sz="0" w:space="0" w:color="auto"/>
            <w:bottom w:val="none" w:sz="0" w:space="0" w:color="auto"/>
            <w:right w:val="none" w:sz="0" w:space="0" w:color="auto"/>
          </w:divBdr>
        </w:div>
        <w:div w:id="436406330">
          <w:marLeft w:val="480"/>
          <w:marRight w:val="0"/>
          <w:marTop w:val="0"/>
          <w:marBottom w:val="0"/>
          <w:divBdr>
            <w:top w:val="none" w:sz="0" w:space="0" w:color="auto"/>
            <w:left w:val="none" w:sz="0" w:space="0" w:color="auto"/>
            <w:bottom w:val="none" w:sz="0" w:space="0" w:color="auto"/>
            <w:right w:val="none" w:sz="0" w:space="0" w:color="auto"/>
          </w:divBdr>
        </w:div>
        <w:div w:id="1500728733">
          <w:marLeft w:val="480"/>
          <w:marRight w:val="0"/>
          <w:marTop w:val="0"/>
          <w:marBottom w:val="0"/>
          <w:divBdr>
            <w:top w:val="none" w:sz="0" w:space="0" w:color="auto"/>
            <w:left w:val="none" w:sz="0" w:space="0" w:color="auto"/>
            <w:bottom w:val="none" w:sz="0" w:space="0" w:color="auto"/>
            <w:right w:val="none" w:sz="0" w:space="0" w:color="auto"/>
          </w:divBdr>
        </w:div>
        <w:div w:id="1543445373">
          <w:marLeft w:val="480"/>
          <w:marRight w:val="0"/>
          <w:marTop w:val="0"/>
          <w:marBottom w:val="0"/>
          <w:divBdr>
            <w:top w:val="none" w:sz="0" w:space="0" w:color="auto"/>
            <w:left w:val="none" w:sz="0" w:space="0" w:color="auto"/>
            <w:bottom w:val="none" w:sz="0" w:space="0" w:color="auto"/>
            <w:right w:val="none" w:sz="0" w:space="0" w:color="auto"/>
          </w:divBdr>
        </w:div>
        <w:div w:id="1909077197">
          <w:marLeft w:val="480"/>
          <w:marRight w:val="0"/>
          <w:marTop w:val="0"/>
          <w:marBottom w:val="0"/>
          <w:divBdr>
            <w:top w:val="none" w:sz="0" w:space="0" w:color="auto"/>
            <w:left w:val="none" w:sz="0" w:space="0" w:color="auto"/>
            <w:bottom w:val="none" w:sz="0" w:space="0" w:color="auto"/>
            <w:right w:val="none" w:sz="0" w:space="0" w:color="auto"/>
          </w:divBdr>
        </w:div>
        <w:div w:id="1895315654">
          <w:marLeft w:val="480"/>
          <w:marRight w:val="0"/>
          <w:marTop w:val="0"/>
          <w:marBottom w:val="0"/>
          <w:divBdr>
            <w:top w:val="none" w:sz="0" w:space="0" w:color="auto"/>
            <w:left w:val="none" w:sz="0" w:space="0" w:color="auto"/>
            <w:bottom w:val="none" w:sz="0" w:space="0" w:color="auto"/>
            <w:right w:val="none" w:sz="0" w:space="0" w:color="auto"/>
          </w:divBdr>
        </w:div>
        <w:div w:id="1631478311">
          <w:marLeft w:val="480"/>
          <w:marRight w:val="0"/>
          <w:marTop w:val="0"/>
          <w:marBottom w:val="0"/>
          <w:divBdr>
            <w:top w:val="none" w:sz="0" w:space="0" w:color="auto"/>
            <w:left w:val="none" w:sz="0" w:space="0" w:color="auto"/>
            <w:bottom w:val="none" w:sz="0" w:space="0" w:color="auto"/>
            <w:right w:val="none" w:sz="0" w:space="0" w:color="auto"/>
          </w:divBdr>
        </w:div>
        <w:div w:id="671497078">
          <w:marLeft w:val="480"/>
          <w:marRight w:val="0"/>
          <w:marTop w:val="0"/>
          <w:marBottom w:val="0"/>
          <w:divBdr>
            <w:top w:val="none" w:sz="0" w:space="0" w:color="auto"/>
            <w:left w:val="none" w:sz="0" w:space="0" w:color="auto"/>
            <w:bottom w:val="none" w:sz="0" w:space="0" w:color="auto"/>
            <w:right w:val="none" w:sz="0" w:space="0" w:color="auto"/>
          </w:divBdr>
        </w:div>
        <w:div w:id="1518036097">
          <w:marLeft w:val="480"/>
          <w:marRight w:val="0"/>
          <w:marTop w:val="0"/>
          <w:marBottom w:val="0"/>
          <w:divBdr>
            <w:top w:val="none" w:sz="0" w:space="0" w:color="auto"/>
            <w:left w:val="none" w:sz="0" w:space="0" w:color="auto"/>
            <w:bottom w:val="none" w:sz="0" w:space="0" w:color="auto"/>
            <w:right w:val="none" w:sz="0" w:space="0" w:color="auto"/>
          </w:divBdr>
        </w:div>
      </w:divsChild>
    </w:div>
    <w:div w:id="1117724940">
      <w:bodyDiv w:val="1"/>
      <w:marLeft w:val="0"/>
      <w:marRight w:val="0"/>
      <w:marTop w:val="0"/>
      <w:marBottom w:val="0"/>
      <w:divBdr>
        <w:top w:val="none" w:sz="0" w:space="0" w:color="auto"/>
        <w:left w:val="none" w:sz="0" w:space="0" w:color="auto"/>
        <w:bottom w:val="none" w:sz="0" w:space="0" w:color="auto"/>
        <w:right w:val="none" w:sz="0" w:space="0" w:color="auto"/>
      </w:divBdr>
    </w:div>
    <w:div w:id="1118598507">
      <w:bodyDiv w:val="1"/>
      <w:marLeft w:val="0"/>
      <w:marRight w:val="0"/>
      <w:marTop w:val="0"/>
      <w:marBottom w:val="0"/>
      <w:divBdr>
        <w:top w:val="none" w:sz="0" w:space="0" w:color="auto"/>
        <w:left w:val="none" w:sz="0" w:space="0" w:color="auto"/>
        <w:bottom w:val="none" w:sz="0" w:space="0" w:color="auto"/>
        <w:right w:val="none" w:sz="0" w:space="0" w:color="auto"/>
      </w:divBdr>
    </w:div>
    <w:div w:id="1119296611">
      <w:bodyDiv w:val="1"/>
      <w:marLeft w:val="0"/>
      <w:marRight w:val="0"/>
      <w:marTop w:val="0"/>
      <w:marBottom w:val="0"/>
      <w:divBdr>
        <w:top w:val="none" w:sz="0" w:space="0" w:color="auto"/>
        <w:left w:val="none" w:sz="0" w:space="0" w:color="auto"/>
        <w:bottom w:val="none" w:sz="0" w:space="0" w:color="auto"/>
        <w:right w:val="none" w:sz="0" w:space="0" w:color="auto"/>
      </w:divBdr>
    </w:div>
    <w:div w:id="1119685004">
      <w:bodyDiv w:val="1"/>
      <w:marLeft w:val="0"/>
      <w:marRight w:val="0"/>
      <w:marTop w:val="0"/>
      <w:marBottom w:val="0"/>
      <w:divBdr>
        <w:top w:val="none" w:sz="0" w:space="0" w:color="auto"/>
        <w:left w:val="none" w:sz="0" w:space="0" w:color="auto"/>
        <w:bottom w:val="none" w:sz="0" w:space="0" w:color="auto"/>
        <w:right w:val="none" w:sz="0" w:space="0" w:color="auto"/>
      </w:divBdr>
    </w:div>
    <w:div w:id="1120222327">
      <w:bodyDiv w:val="1"/>
      <w:marLeft w:val="0"/>
      <w:marRight w:val="0"/>
      <w:marTop w:val="0"/>
      <w:marBottom w:val="0"/>
      <w:divBdr>
        <w:top w:val="none" w:sz="0" w:space="0" w:color="auto"/>
        <w:left w:val="none" w:sz="0" w:space="0" w:color="auto"/>
        <w:bottom w:val="none" w:sz="0" w:space="0" w:color="auto"/>
        <w:right w:val="none" w:sz="0" w:space="0" w:color="auto"/>
      </w:divBdr>
    </w:div>
    <w:div w:id="1120877250">
      <w:bodyDiv w:val="1"/>
      <w:marLeft w:val="0"/>
      <w:marRight w:val="0"/>
      <w:marTop w:val="0"/>
      <w:marBottom w:val="0"/>
      <w:divBdr>
        <w:top w:val="none" w:sz="0" w:space="0" w:color="auto"/>
        <w:left w:val="none" w:sz="0" w:space="0" w:color="auto"/>
        <w:bottom w:val="none" w:sz="0" w:space="0" w:color="auto"/>
        <w:right w:val="none" w:sz="0" w:space="0" w:color="auto"/>
      </w:divBdr>
    </w:div>
    <w:div w:id="1120956528">
      <w:bodyDiv w:val="1"/>
      <w:marLeft w:val="0"/>
      <w:marRight w:val="0"/>
      <w:marTop w:val="0"/>
      <w:marBottom w:val="0"/>
      <w:divBdr>
        <w:top w:val="none" w:sz="0" w:space="0" w:color="auto"/>
        <w:left w:val="none" w:sz="0" w:space="0" w:color="auto"/>
        <w:bottom w:val="none" w:sz="0" w:space="0" w:color="auto"/>
        <w:right w:val="none" w:sz="0" w:space="0" w:color="auto"/>
      </w:divBdr>
    </w:div>
    <w:div w:id="1124234759">
      <w:bodyDiv w:val="1"/>
      <w:marLeft w:val="0"/>
      <w:marRight w:val="0"/>
      <w:marTop w:val="0"/>
      <w:marBottom w:val="0"/>
      <w:divBdr>
        <w:top w:val="none" w:sz="0" w:space="0" w:color="auto"/>
        <w:left w:val="none" w:sz="0" w:space="0" w:color="auto"/>
        <w:bottom w:val="none" w:sz="0" w:space="0" w:color="auto"/>
        <w:right w:val="none" w:sz="0" w:space="0" w:color="auto"/>
      </w:divBdr>
    </w:div>
    <w:div w:id="1124929529">
      <w:bodyDiv w:val="1"/>
      <w:marLeft w:val="0"/>
      <w:marRight w:val="0"/>
      <w:marTop w:val="0"/>
      <w:marBottom w:val="0"/>
      <w:divBdr>
        <w:top w:val="none" w:sz="0" w:space="0" w:color="auto"/>
        <w:left w:val="none" w:sz="0" w:space="0" w:color="auto"/>
        <w:bottom w:val="none" w:sz="0" w:space="0" w:color="auto"/>
        <w:right w:val="none" w:sz="0" w:space="0" w:color="auto"/>
      </w:divBdr>
    </w:div>
    <w:div w:id="1125388735">
      <w:bodyDiv w:val="1"/>
      <w:marLeft w:val="0"/>
      <w:marRight w:val="0"/>
      <w:marTop w:val="0"/>
      <w:marBottom w:val="0"/>
      <w:divBdr>
        <w:top w:val="none" w:sz="0" w:space="0" w:color="auto"/>
        <w:left w:val="none" w:sz="0" w:space="0" w:color="auto"/>
        <w:bottom w:val="none" w:sz="0" w:space="0" w:color="auto"/>
        <w:right w:val="none" w:sz="0" w:space="0" w:color="auto"/>
      </w:divBdr>
    </w:div>
    <w:div w:id="1125730953">
      <w:bodyDiv w:val="1"/>
      <w:marLeft w:val="0"/>
      <w:marRight w:val="0"/>
      <w:marTop w:val="0"/>
      <w:marBottom w:val="0"/>
      <w:divBdr>
        <w:top w:val="none" w:sz="0" w:space="0" w:color="auto"/>
        <w:left w:val="none" w:sz="0" w:space="0" w:color="auto"/>
        <w:bottom w:val="none" w:sz="0" w:space="0" w:color="auto"/>
        <w:right w:val="none" w:sz="0" w:space="0" w:color="auto"/>
      </w:divBdr>
    </w:div>
    <w:div w:id="1125736776">
      <w:bodyDiv w:val="1"/>
      <w:marLeft w:val="0"/>
      <w:marRight w:val="0"/>
      <w:marTop w:val="0"/>
      <w:marBottom w:val="0"/>
      <w:divBdr>
        <w:top w:val="none" w:sz="0" w:space="0" w:color="auto"/>
        <w:left w:val="none" w:sz="0" w:space="0" w:color="auto"/>
        <w:bottom w:val="none" w:sz="0" w:space="0" w:color="auto"/>
        <w:right w:val="none" w:sz="0" w:space="0" w:color="auto"/>
      </w:divBdr>
    </w:div>
    <w:div w:id="1126629608">
      <w:bodyDiv w:val="1"/>
      <w:marLeft w:val="0"/>
      <w:marRight w:val="0"/>
      <w:marTop w:val="0"/>
      <w:marBottom w:val="0"/>
      <w:divBdr>
        <w:top w:val="none" w:sz="0" w:space="0" w:color="auto"/>
        <w:left w:val="none" w:sz="0" w:space="0" w:color="auto"/>
        <w:bottom w:val="none" w:sz="0" w:space="0" w:color="auto"/>
        <w:right w:val="none" w:sz="0" w:space="0" w:color="auto"/>
      </w:divBdr>
    </w:div>
    <w:div w:id="1126856164">
      <w:bodyDiv w:val="1"/>
      <w:marLeft w:val="0"/>
      <w:marRight w:val="0"/>
      <w:marTop w:val="0"/>
      <w:marBottom w:val="0"/>
      <w:divBdr>
        <w:top w:val="none" w:sz="0" w:space="0" w:color="auto"/>
        <w:left w:val="none" w:sz="0" w:space="0" w:color="auto"/>
        <w:bottom w:val="none" w:sz="0" w:space="0" w:color="auto"/>
        <w:right w:val="none" w:sz="0" w:space="0" w:color="auto"/>
      </w:divBdr>
    </w:div>
    <w:div w:id="1127701764">
      <w:bodyDiv w:val="1"/>
      <w:marLeft w:val="0"/>
      <w:marRight w:val="0"/>
      <w:marTop w:val="0"/>
      <w:marBottom w:val="0"/>
      <w:divBdr>
        <w:top w:val="none" w:sz="0" w:space="0" w:color="auto"/>
        <w:left w:val="none" w:sz="0" w:space="0" w:color="auto"/>
        <w:bottom w:val="none" w:sz="0" w:space="0" w:color="auto"/>
        <w:right w:val="none" w:sz="0" w:space="0" w:color="auto"/>
      </w:divBdr>
    </w:div>
    <w:div w:id="1127970414">
      <w:bodyDiv w:val="1"/>
      <w:marLeft w:val="0"/>
      <w:marRight w:val="0"/>
      <w:marTop w:val="0"/>
      <w:marBottom w:val="0"/>
      <w:divBdr>
        <w:top w:val="none" w:sz="0" w:space="0" w:color="auto"/>
        <w:left w:val="none" w:sz="0" w:space="0" w:color="auto"/>
        <w:bottom w:val="none" w:sz="0" w:space="0" w:color="auto"/>
        <w:right w:val="none" w:sz="0" w:space="0" w:color="auto"/>
      </w:divBdr>
    </w:div>
    <w:div w:id="1129123913">
      <w:bodyDiv w:val="1"/>
      <w:marLeft w:val="0"/>
      <w:marRight w:val="0"/>
      <w:marTop w:val="0"/>
      <w:marBottom w:val="0"/>
      <w:divBdr>
        <w:top w:val="none" w:sz="0" w:space="0" w:color="auto"/>
        <w:left w:val="none" w:sz="0" w:space="0" w:color="auto"/>
        <w:bottom w:val="none" w:sz="0" w:space="0" w:color="auto"/>
        <w:right w:val="none" w:sz="0" w:space="0" w:color="auto"/>
      </w:divBdr>
    </w:div>
    <w:div w:id="1129516715">
      <w:bodyDiv w:val="1"/>
      <w:marLeft w:val="0"/>
      <w:marRight w:val="0"/>
      <w:marTop w:val="0"/>
      <w:marBottom w:val="0"/>
      <w:divBdr>
        <w:top w:val="none" w:sz="0" w:space="0" w:color="auto"/>
        <w:left w:val="none" w:sz="0" w:space="0" w:color="auto"/>
        <w:bottom w:val="none" w:sz="0" w:space="0" w:color="auto"/>
        <w:right w:val="none" w:sz="0" w:space="0" w:color="auto"/>
      </w:divBdr>
    </w:div>
    <w:div w:id="1130198827">
      <w:bodyDiv w:val="1"/>
      <w:marLeft w:val="0"/>
      <w:marRight w:val="0"/>
      <w:marTop w:val="0"/>
      <w:marBottom w:val="0"/>
      <w:divBdr>
        <w:top w:val="none" w:sz="0" w:space="0" w:color="auto"/>
        <w:left w:val="none" w:sz="0" w:space="0" w:color="auto"/>
        <w:bottom w:val="none" w:sz="0" w:space="0" w:color="auto"/>
        <w:right w:val="none" w:sz="0" w:space="0" w:color="auto"/>
      </w:divBdr>
    </w:div>
    <w:div w:id="1130246766">
      <w:bodyDiv w:val="1"/>
      <w:marLeft w:val="0"/>
      <w:marRight w:val="0"/>
      <w:marTop w:val="0"/>
      <w:marBottom w:val="0"/>
      <w:divBdr>
        <w:top w:val="none" w:sz="0" w:space="0" w:color="auto"/>
        <w:left w:val="none" w:sz="0" w:space="0" w:color="auto"/>
        <w:bottom w:val="none" w:sz="0" w:space="0" w:color="auto"/>
        <w:right w:val="none" w:sz="0" w:space="0" w:color="auto"/>
      </w:divBdr>
    </w:div>
    <w:div w:id="1130394582">
      <w:bodyDiv w:val="1"/>
      <w:marLeft w:val="0"/>
      <w:marRight w:val="0"/>
      <w:marTop w:val="0"/>
      <w:marBottom w:val="0"/>
      <w:divBdr>
        <w:top w:val="none" w:sz="0" w:space="0" w:color="auto"/>
        <w:left w:val="none" w:sz="0" w:space="0" w:color="auto"/>
        <w:bottom w:val="none" w:sz="0" w:space="0" w:color="auto"/>
        <w:right w:val="none" w:sz="0" w:space="0" w:color="auto"/>
      </w:divBdr>
    </w:div>
    <w:div w:id="1130591454">
      <w:bodyDiv w:val="1"/>
      <w:marLeft w:val="0"/>
      <w:marRight w:val="0"/>
      <w:marTop w:val="0"/>
      <w:marBottom w:val="0"/>
      <w:divBdr>
        <w:top w:val="none" w:sz="0" w:space="0" w:color="auto"/>
        <w:left w:val="none" w:sz="0" w:space="0" w:color="auto"/>
        <w:bottom w:val="none" w:sz="0" w:space="0" w:color="auto"/>
        <w:right w:val="none" w:sz="0" w:space="0" w:color="auto"/>
      </w:divBdr>
    </w:div>
    <w:div w:id="1130975031">
      <w:bodyDiv w:val="1"/>
      <w:marLeft w:val="0"/>
      <w:marRight w:val="0"/>
      <w:marTop w:val="0"/>
      <w:marBottom w:val="0"/>
      <w:divBdr>
        <w:top w:val="none" w:sz="0" w:space="0" w:color="auto"/>
        <w:left w:val="none" w:sz="0" w:space="0" w:color="auto"/>
        <w:bottom w:val="none" w:sz="0" w:space="0" w:color="auto"/>
        <w:right w:val="none" w:sz="0" w:space="0" w:color="auto"/>
      </w:divBdr>
    </w:div>
    <w:div w:id="1131166993">
      <w:bodyDiv w:val="1"/>
      <w:marLeft w:val="0"/>
      <w:marRight w:val="0"/>
      <w:marTop w:val="0"/>
      <w:marBottom w:val="0"/>
      <w:divBdr>
        <w:top w:val="none" w:sz="0" w:space="0" w:color="auto"/>
        <w:left w:val="none" w:sz="0" w:space="0" w:color="auto"/>
        <w:bottom w:val="none" w:sz="0" w:space="0" w:color="auto"/>
        <w:right w:val="none" w:sz="0" w:space="0" w:color="auto"/>
      </w:divBdr>
    </w:div>
    <w:div w:id="1133215149">
      <w:bodyDiv w:val="1"/>
      <w:marLeft w:val="0"/>
      <w:marRight w:val="0"/>
      <w:marTop w:val="0"/>
      <w:marBottom w:val="0"/>
      <w:divBdr>
        <w:top w:val="none" w:sz="0" w:space="0" w:color="auto"/>
        <w:left w:val="none" w:sz="0" w:space="0" w:color="auto"/>
        <w:bottom w:val="none" w:sz="0" w:space="0" w:color="auto"/>
        <w:right w:val="none" w:sz="0" w:space="0" w:color="auto"/>
      </w:divBdr>
    </w:div>
    <w:div w:id="1133325208">
      <w:bodyDiv w:val="1"/>
      <w:marLeft w:val="0"/>
      <w:marRight w:val="0"/>
      <w:marTop w:val="0"/>
      <w:marBottom w:val="0"/>
      <w:divBdr>
        <w:top w:val="none" w:sz="0" w:space="0" w:color="auto"/>
        <w:left w:val="none" w:sz="0" w:space="0" w:color="auto"/>
        <w:bottom w:val="none" w:sz="0" w:space="0" w:color="auto"/>
        <w:right w:val="none" w:sz="0" w:space="0" w:color="auto"/>
      </w:divBdr>
    </w:div>
    <w:div w:id="1133981801">
      <w:bodyDiv w:val="1"/>
      <w:marLeft w:val="0"/>
      <w:marRight w:val="0"/>
      <w:marTop w:val="0"/>
      <w:marBottom w:val="0"/>
      <w:divBdr>
        <w:top w:val="none" w:sz="0" w:space="0" w:color="auto"/>
        <w:left w:val="none" w:sz="0" w:space="0" w:color="auto"/>
        <w:bottom w:val="none" w:sz="0" w:space="0" w:color="auto"/>
        <w:right w:val="none" w:sz="0" w:space="0" w:color="auto"/>
      </w:divBdr>
    </w:div>
    <w:div w:id="1133982454">
      <w:bodyDiv w:val="1"/>
      <w:marLeft w:val="0"/>
      <w:marRight w:val="0"/>
      <w:marTop w:val="0"/>
      <w:marBottom w:val="0"/>
      <w:divBdr>
        <w:top w:val="none" w:sz="0" w:space="0" w:color="auto"/>
        <w:left w:val="none" w:sz="0" w:space="0" w:color="auto"/>
        <w:bottom w:val="none" w:sz="0" w:space="0" w:color="auto"/>
        <w:right w:val="none" w:sz="0" w:space="0" w:color="auto"/>
      </w:divBdr>
    </w:div>
    <w:div w:id="1134062466">
      <w:bodyDiv w:val="1"/>
      <w:marLeft w:val="0"/>
      <w:marRight w:val="0"/>
      <w:marTop w:val="0"/>
      <w:marBottom w:val="0"/>
      <w:divBdr>
        <w:top w:val="none" w:sz="0" w:space="0" w:color="auto"/>
        <w:left w:val="none" w:sz="0" w:space="0" w:color="auto"/>
        <w:bottom w:val="none" w:sz="0" w:space="0" w:color="auto"/>
        <w:right w:val="none" w:sz="0" w:space="0" w:color="auto"/>
      </w:divBdr>
    </w:div>
    <w:div w:id="1134063606">
      <w:bodyDiv w:val="1"/>
      <w:marLeft w:val="0"/>
      <w:marRight w:val="0"/>
      <w:marTop w:val="0"/>
      <w:marBottom w:val="0"/>
      <w:divBdr>
        <w:top w:val="none" w:sz="0" w:space="0" w:color="auto"/>
        <w:left w:val="none" w:sz="0" w:space="0" w:color="auto"/>
        <w:bottom w:val="none" w:sz="0" w:space="0" w:color="auto"/>
        <w:right w:val="none" w:sz="0" w:space="0" w:color="auto"/>
      </w:divBdr>
    </w:div>
    <w:div w:id="1134174352">
      <w:bodyDiv w:val="1"/>
      <w:marLeft w:val="0"/>
      <w:marRight w:val="0"/>
      <w:marTop w:val="0"/>
      <w:marBottom w:val="0"/>
      <w:divBdr>
        <w:top w:val="none" w:sz="0" w:space="0" w:color="auto"/>
        <w:left w:val="none" w:sz="0" w:space="0" w:color="auto"/>
        <w:bottom w:val="none" w:sz="0" w:space="0" w:color="auto"/>
        <w:right w:val="none" w:sz="0" w:space="0" w:color="auto"/>
      </w:divBdr>
    </w:div>
    <w:div w:id="1134249649">
      <w:bodyDiv w:val="1"/>
      <w:marLeft w:val="0"/>
      <w:marRight w:val="0"/>
      <w:marTop w:val="0"/>
      <w:marBottom w:val="0"/>
      <w:divBdr>
        <w:top w:val="none" w:sz="0" w:space="0" w:color="auto"/>
        <w:left w:val="none" w:sz="0" w:space="0" w:color="auto"/>
        <w:bottom w:val="none" w:sz="0" w:space="0" w:color="auto"/>
        <w:right w:val="none" w:sz="0" w:space="0" w:color="auto"/>
      </w:divBdr>
    </w:div>
    <w:div w:id="1135294053">
      <w:bodyDiv w:val="1"/>
      <w:marLeft w:val="0"/>
      <w:marRight w:val="0"/>
      <w:marTop w:val="0"/>
      <w:marBottom w:val="0"/>
      <w:divBdr>
        <w:top w:val="none" w:sz="0" w:space="0" w:color="auto"/>
        <w:left w:val="none" w:sz="0" w:space="0" w:color="auto"/>
        <w:bottom w:val="none" w:sz="0" w:space="0" w:color="auto"/>
        <w:right w:val="none" w:sz="0" w:space="0" w:color="auto"/>
      </w:divBdr>
    </w:div>
    <w:div w:id="1135831154">
      <w:bodyDiv w:val="1"/>
      <w:marLeft w:val="0"/>
      <w:marRight w:val="0"/>
      <w:marTop w:val="0"/>
      <w:marBottom w:val="0"/>
      <w:divBdr>
        <w:top w:val="none" w:sz="0" w:space="0" w:color="auto"/>
        <w:left w:val="none" w:sz="0" w:space="0" w:color="auto"/>
        <w:bottom w:val="none" w:sz="0" w:space="0" w:color="auto"/>
        <w:right w:val="none" w:sz="0" w:space="0" w:color="auto"/>
      </w:divBdr>
      <w:divsChild>
        <w:div w:id="1534805787">
          <w:marLeft w:val="480"/>
          <w:marRight w:val="0"/>
          <w:marTop w:val="0"/>
          <w:marBottom w:val="0"/>
          <w:divBdr>
            <w:top w:val="none" w:sz="0" w:space="0" w:color="auto"/>
            <w:left w:val="none" w:sz="0" w:space="0" w:color="auto"/>
            <w:bottom w:val="none" w:sz="0" w:space="0" w:color="auto"/>
            <w:right w:val="none" w:sz="0" w:space="0" w:color="auto"/>
          </w:divBdr>
        </w:div>
        <w:div w:id="264924104">
          <w:marLeft w:val="480"/>
          <w:marRight w:val="0"/>
          <w:marTop w:val="0"/>
          <w:marBottom w:val="0"/>
          <w:divBdr>
            <w:top w:val="none" w:sz="0" w:space="0" w:color="auto"/>
            <w:left w:val="none" w:sz="0" w:space="0" w:color="auto"/>
            <w:bottom w:val="none" w:sz="0" w:space="0" w:color="auto"/>
            <w:right w:val="none" w:sz="0" w:space="0" w:color="auto"/>
          </w:divBdr>
        </w:div>
        <w:div w:id="1557542737">
          <w:marLeft w:val="480"/>
          <w:marRight w:val="0"/>
          <w:marTop w:val="0"/>
          <w:marBottom w:val="0"/>
          <w:divBdr>
            <w:top w:val="none" w:sz="0" w:space="0" w:color="auto"/>
            <w:left w:val="none" w:sz="0" w:space="0" w:color="auto"/>
            <w:bottom w:val="none" w:sz="0" w:space="0" w:color="auto"/>
            <w:right w:val="none" w:sz="0" w:space="0" w:color="auto"/>
          </w:divBdr>
        </w:div>
        <w:div w:id="1523591309">
          <w:marLeft w:val="480"/>
          <w:marRight w:val="0"/>
          <w:marTop w:val="0"/>
          <w:marBottom w:val="0"/>
          <w:divBdr>
            <w:top w:val="none" w:sz="0" w:space="0" w:color="auto"/>
            <w:left w:val="none" w:sz="0" w:space="0" w:color="auto"/>
            <w:bottom w:val="none" w:sz="0" w:space="0" w:color="auto"/>
            <w:right w:val="none" w:sz="0" w:space="0" w:color="auto"/>
          </w:divBdr>
        </w:div>
        <w:div w:id="1170633955">
          <w:marLeft w:val="480"/>
          <w:marRight w:val="0"/>
          <w:marTop w:val="0"/>
          <w:marBottom w:val="0"/>
          <w:divBdr>
            <w:top w:val="none" w:sz="0" w:space="0" w:color="auto"/>
            <w:left w:val="none" w:sz="0" w:space="0" w:color="auto"/>
            <w:bottom w:val="none" w:sz="0" w:space="0" w:color="auto"/>
            <w:right w:val="none" w:sz="0" w:space="0" w:color="auto"/>
          </w:divBdr>
        </w:div>
        <w:div w:id="381179816">
          <w:marLeft w:val="480"/>
          <w:marRight w:val="0"/>
          <w:marTop w:val="0"/>
          <w:marBottom w:val="0"/>
          <w:divBdr>
            <w:top w:val="none" w:sz="0" w:space="0" w:color="auto"/>
            <w:left w:val="none" w:sz="0" w:space="0" w:color="auto"/>
            <w:bottom w:val="none" w:sz="0" w:space="0" w:color="auto"/>
            <w:right w:val="none" w:sz="0" w:space="0" w:color="auto"/>
          </w:divBdr>
        </w:div>
        <w:div w:id="1729911865">
          <w:marLeft w:val="480"/>
          <w:marRight w:val="0"/>
          <w:marTop w:val="0"/>
          <w:marBottom w:val="0"/>
          <w:divBdr>
            <w:top w:val="none" w:sz="0" w:space="0" w:color="auto"/>
            <w:left w:val="none" w:sz="0" w:space="0" w:color="auto"/>
            <w:bottom w:val="none" w:sz="0" w:space="0" w:color="auto"/>
            <w:right w:val="none" w:sz="0" w:space="0" w:color="auto"/>
          </w:divBdr>
        </w:div>
        <w:div w:id="1938057873">
          <w:marLeft w:val="480"/>
          <w:marRight w:val="0"/>
          <w:marTop w:val="0"/>
          <w:marBottom w:val="0"/>
          <w:divBdr>
            <w:top w:val="none" w:sz="0" w:space="0" w:color="auto"/>
            <w:left w:val="none" w:sz="0" w:space="0" w:color="auto"/>
            <w:bottom w:val="none" w:sz="0" w:space="0" w:color="auto"/>
            <w:right w:val="none" w:sz="0" w:space="0" w:color="auto"/>
          </w:divBdr>
        </w:div>
        <w:div w:id="1814979508">
          <w:marLeft w:val="480"/>
          <w:marRight w:val="0"/>
          <w:marTop w:val="0"/>
          <w:marBottom w:val="0"/>
          <w:divBdr>
            <w:top w:val="none" w:sz="0" w:space="0" w:color="auto"/>
            <w:left w:val="none" w:sz="0" w:space="0" w:color="auto"/>
            <w:bottom w:val="none" w:sz="0" w:space="0" w:color="auto"/>
            <w:right w:val="none" w:sz="0" w:space="0" w:color="auto"/>
          </w:divBdr>
        </w:div>
        <w:div w:id="1239707394">
          <w:marLeft w:val="480"/>
          <w:marRight w:val="0"/>
          <w:marTop w:val="0"/>
          <w:marBottom w:val="0"/>
          <w:divBdr>
            <w:top w:val="none" w:sz="0" w:space="0" w:color="auto"/>
            <w:left w:val="none" w:sz="0" w:space="0" w:color="auto"/>
            <w:bottom w:val="none" w:sz="0" w:space="0" w:color="auto"/>
            <w:right w:val="none" w:sz="0" w:space="0" w:color="auto"/>
          </w:divBdr>
        </w:div>
        <w:div w:id="1456824224">
          <w:marLeft w:val="480"/>
          <w:marRight w:val="0"/>
          <w:marTop w:val="0"/>
          <w:marBottom w:val="0"/>
          <w:divBdr>
            <w:top w:val="none" w:sz="0" w:space="0" w:color="auto"/>
            <w:left w:val="none" w:sz="0" w:space="0" w:color="auto"/>
            <w:bottom w:val="none" w:sz="0" w:space="0" w:color="auto"/>
            <w:right w:val="none" w:sz="0" w:space="0" w:color="auto"/>
          </w:divBdr>
        </w:div>
        <w:div w:id="2074228901">
          <w:marLeft w:val="480"/>
          <w:marRight w:val="0"/>
          <w:marTop w:val="0"/>
          <w:marBottom w:val="0"/>
          <w:divBdr>
            <w:top w:val="none" w:sz="0" w:space="0" w:color="auto"/>
            <w:left w:val="none" w:sz="0" w:space="0" w:color="auto"/>
            <w:bottom w:val="none" w:sz="0" w:space="0" w:color="auto"/>
            <w:right w:val="none" w:sz="0" w:space="0" w:color="auto"/>
          </w:divBdr>
        </w:div>
        <w:div w:id="623148474">
          <w:marLeft w:val="480"/>
          <w:marRight w:val="0"/>
          <w:marTop w:val="0"/>
          <w:marBottom w:val="0"/>
          <w:divBdr>
            <w:top w:val="none" w:sz="0" w:space="0" w:color="auto"/>
            <w:left w:val="none" w:sz="0" w:space="0" w:color="auto"/>
            <w:bottom w:val="none" w:sz="0" w:space="0" w:color="auto"/>
            <w:right w:val="none" w:sz="0" w:space="0" w:color="auto"/>
          </w:divBdr>
        </w:div>
        <w:div w:id="279845475">
          <w:marLeft w:val="480"/>
          <w:marRight w:val="0"/>
          <w:marTop w:val="0"/>
          <w:marBottom w:val="0"/>
          <w:divBdr>
            <w:top w:val="none" w:sz="0" w:space="0" w:color="auto"/>
            <w:left w:val="none" w:sz="0" w:space="0" w:color="auto"/>
            <w:bottom w:val="none" w:sz="0" w:space="0" w:color="auto"/>
            <w:right w:val="none" w:sz="0" w:space="0" w:color="auto"/>
          </w:divBdr>
        </w:div>
        <w:div w:id="1366059346">
          <w:marLeft w:val="480"/>
          <w:marRight w:val="0"/>
          <w:marTop w:val="0"/>
          <w:marBottom w:val="0"/>
          <w:divBdr>
            <w:top w:val="none" w:sz="0" w:space="0" w:color="auto"/>
            <w:left w:val="none" w:sz="0" w:space="0" w:color="auto"/>
            <w:bottom w:val="none" w:sz="0" w:space="0" w:color="auto"/>
            <w:right w:val="none" w:sz="0" w:space="0" w:color="auto"/>
          </w:divBdr>
        </w:div>
        <w:div w:id="1696300612">
          <w:marLeft w:val="480"/>
          <w:marRight w:val="0"/>
          <w:marTop w:val="0"/>
          <w:marBottom w:val="0"/>
          <w:divBdr>
            <w:top w:val="none" w:sz="0" w:space="0" w:color="auto"/>
            <w:left w:val="none" w:sz="0" w:space="0" w:color="auto"/>
            <w:bottom w:val="none" w:sz="0" w:space="0" w:color="auto"/>
            <w:right w:val="none" w:sz="0" w:space="0" w:color="auto"/>
          </w:divBdr>
        </w:div>
        <w:div w:id="11730981">
          <w:marLeft w:val="480"/>
          <w:marRight w:val="0"/>
          <w:marTop w:val="0"/>
          <w:marBottom w:val="0"/>
          <w:divBdr>
            <w:top w:val="none" w:sz="0" w:space="0" w:color="auto"/>
            <w:left w:val="none" w:sz="0" w:space="0" w:color="auto"/>
            <w:bottom w:val="none" w:sz="0" w:space="0" w:color="auto"/>
            <w:right w:val="none" w:sz="0" w:space="0" w:color="auto"/>
          </w:divBdr>
        </w:div>
        <w:div w:id="722218536">
          <w:marLeft w:val="480"/>
          <w:marRight w:val="0"/>
          <w:marTop w:val="0"/>
          <w:marBottom w:val="0"/>
          <w:divBdr>
            <w:top w:val="none" w:sz="0" w:space="0" w:color="auto"/>
            <w:left w:val="none" w:sz="0" w:space="0" w:color="auto"/>
            <w:bottom w:val="none" w:sz="0" w:space="0" w:color="auto"/>
            <w:right w:val="none" w:sz="0" w:space="0" w:color="auto"/>
          </w:divBdr>
        </w:div>
        <w:div w:id="252082696">
          <w:marLeft w:val="480"/>
          <w:marRight w:val="0"/>
          <w:marTop w:val="0"/>
          <w:marBottom w:val="0"/>
          <w:divBdr>
            <w:top w:val="none" w:sz="0" w:space="0" w:color="auto"/>
            <w:left w:val="none" w:sz="0" w:space="0" w:color="auto"/>
            <w:bottom w:val="none" w:sz="0" w:space="0" w:color="auto"/>
            <w:right w:val="none" w:sz="0" w:space="0" w:color="auto"/>
          </w:divBdr>
        </w:div>
        <w:div w:id="1399474053">
          <w:marLeft w:val="480"/>
          <w:marRight w:val="0"/>
          <w:marTop w:val="0"/>
          <w:marBottom w:val="0"/>
          <w:divBdr>
            <w:top w:val="none" w:sz="0" w:space="0" w:color="auto"/>
            <w:left w:val="none" w:sz="0" w:space="0" w:color="auto"/>
            <w:bottom w:val="none" w:sz="0" w:space="0" w:color="auto"/>
            <w:right w:val="none" w:sz="0" w:space="0" w:color="auto"/>
          </w:divBdr>
        </w:div>
        <w:div w:id="717358785">
          <w:marLeft w:val="480"/>
          <w:marRight w:val="0"/>
          <w:marTop w:val="0"/>
          <w:marBottom w:val="0"/>
          <w:divBdr>
            <w:top w:val="none" w:sz="0" w:space="0" w:color="auto"/>
            <w:left w:val="none" w:sz="0" w:space="0" w:color="auto"/>
            <w:bottom w:val="none" w:sz="0" w:space="0" w:color="auto"/>
            <w:right w:val="none" w:sz="0" w:space="0" w:color="auto"/>
          </w:divBdr>
        </w:div>
        <w:div w:id="593589100">
          <w:marLeft w:val="480"/>
          <w:marRight w:val="0"/>
          <w:marTop w:val="0"/>
          <w:marBottom w:val="0"/>
          <w:divBdr>
            <w:top w:val="none" w:sz="0" w:space="0" w:color="auto"/>
            <w:left w:val="none" w:sz="0" w:space="0" w:color="auto"/>
            <w:bottom w:val="none" w:sz="0" w:space="0" w:color="auto"/>
            <w:right w:val="none" w:sz="0" w:space="0" w:color="auto"/>
          </w:divBdr>
        </w:div>
        <w:div w:id="456678296">
          <w:marLeft w:val="480"/>
          <w:marRight w:val="0"/>
          <w:marTop w:val="0"/>
          <w:marBottom w:val="0"/>
          <w:divBdr>
            <w:top w:val="none" w:sz="0" w:space="0" w:color="auto"/>
            <w:left w:val="none" w:sz="0" w:space="0" w:color="auto"/>
            <w:bottom w:val="none" w:sz="0" w:space="0" w:color="auto"/>
            <w:right w:val="none" w:sz="0" w:space="0" w:color="auto"/>
          </w:divBdr>
        </w:div>
        <w:div w:id="1316453201">
          <w:marLeft w:val="480"/>
          <w:marRight w:val="0"/>
          <w:marTop w:val="0"/>
          <w:marBottom w:val="0"/>
          <w:divBdr>
            <w:top w:val="none" w:sz="0" w:space="0" w:color="auto"/>
            <w:left w:val="none" w:sz="0" w:space="0" w:color="auto"/>
            <w:bottom w:val="none" w:sz="0" w:space="0" w:color="auto"/>
            <w:right w:val="none" w:sz="0" w:space="0" w:color="auto"/>
          </w:divBdr>
        </w:div>
        <w:div w:id="1415930447">
          <w:marLeft w:val="480"/>
          <w:marRight w:val="0"/>
          <w:marTop w:val="0"/>
          <w:marBottom w:val="0"/>
          <w:divBdr>
            <w:top w:val="none" w:sz="0" w:space="0" w:color="auto"/>
            <w:left w:val="none" w:sz="0" w:space="0" w:color="auto"/>
            <w:bottom w:val="none" w:sz="0" w:space="0" w:color="auto"/>
            <w:right w:val="none" w:sz="0" w:space="0" w:color="auto"/>
          </w:divBdr>
        </w:div>
        <w:div w:id="1898931278">
          <w:marLeft w:val="480"/>
          <w:marRight w:val="0"/>
          <w:marTop w:val="0"/>
          <w:marBottom w:val="0"/>
          <w:divBdr>
            <w:top w:val="none" w:sz="0" w:space="0" w:color="auto"/>
            <w:left w:val="none" w:sz="0" w:space="0" w:color="auto"/>
            <w:bottom w:val="none" w:sz="0" w:space="0" w:color="auto"/>
            <w:right w:val="none" w:sz="0" w:space="0" w:color="auto"/>
          </w:divBdr>
        </w:div>
        <w:div w:id="1746566631">
          <w:marLeft w:val="480"/>
          <w:marRight w:val="0"/>
          <w:marTop w:val="0"/>
          <w:marBottom w:val="0"/>
          <w:divBdr>
            <w:top w:val="none" w:sz="0" w:space="0" w:color="auto"/>
            <w:left w:val="none" w:sz="0" w:space="0" w:color="auto"/>
            <w:bottom w:val="none" w:sz="0" w:space="0" w:color="auto"/>
            <w:right w:val="none" w:sz="0" w:space="0" w:color="auto"/>
          </w:divBdr>
        </w:div>
        <w:div w:id="1953053230">
          <w:marLeft w:val="480"/>
          <w:marRight w:val="0"/>
          <w:marTop w:val="0"/>
          <w:marBottom w:val="0"/>
          <w:divBdr>
            <w:top w:val="none" w:sz="0" w:space="0" w:color="auto"/>
            <w:left w:val="none" w:sz="0" w:space="0" w:color="auto"/>
            <w:bottom w:val="none" w:sz="0" w:space="0" w:color="auto"/>
            <w:right w:val="none" w:sz="0" w:space="0" w:color="auto"/>
          </w:divBdr>
        </w:div>
        <w:div w:id="1852210563">
          <w:marLeft w:val="480"/>
          <w:marRight w:val="0"/>
          <w:marTop w:val="0"/>
          <w:marBottom w:val="0"/>
          <w:divBdr>
            <w:top w:val="none" w:sz="0" w:space="0" w:color="auto"/>
            <w:left w:val="none" w:sz="0" w:space="0" w:color="auto"/>
            <w:bottom w:val="none" w:sz="0" w:space="0" w:color="auto"/>
            <w:right w:val="none" w:sz="0" w:space="0" w:color="auto"/>
          </w:divBdr>
        </w:div>
        <w:div w:id="1398017523">
          <w:marLeft w:val="480"/>
          <w:marRight w:val="0"/>
          <w:marTop w:val="0"/>
          <w:marBottom w:val="0"/>
          <w:divBdr>
            <w:top w:val="none" w:sz="0" w:space="0" w:color="auto"/>
            <w:left w:val="none" w:sz="0" w:space="0" w:color="auto"/>
            <w:bottom w:val="none" w:sz="0" w:space="0" w:color="auto"/>
            <w:right w:val="none" w:sz="0" w:space="0" w:color="auto"/>
          </w:divBdr>
        </w:div>
        <w:div w:id="1141842953">
          <w:marLeft w:val="480"/>
          <w:marRight w:val="0"/>
          <w:marTop w:val="0"/>
          <w:marBottom w:val="0"/>
          <w:divBdr>
            <w:top w:val="none" w:sz="0" w:space="0" w:color="auto"/>
            <w:left w:val="none" w:sz="0" w:space="0" w:color="auto"/>
            <w:bottom w:val="none" w:sz="0" w:space="0" w:color="auto"/>
            <w:right w:val="none" w:sz="0" w:space="0" w:color="auto"/>
          </w:divBdr>
        </w:div>
        <w:div w:id="1804931010">
          <w:marLeft w:val="480"/>
          <w:marRight w:val="0"/>
          <w:marTop w:val="0"/>
          <w:marBottom w:val="0"/>
          <w:divBdr>
            <w:top w:val="none" w:sz="0" w:space="0" w:color="auto"/>
            <w:left w:val="none" w:sz="0" w:space="0" w:color="auto"/>
            <w:bottom w:val="none" w:sz="0" w:space="0" w:color="auto"/>
            <w:right w:val="none" w:sz="0" w:space="0" w:color="auto"/>
          </w:divBdr>
        </w:div>
        <w:div w:id="1966688964">
          <w:marLeft w:val="480"/>
          <w:marRight w:val="0"/>
          <w:marTop w:val="0"/>
          <w:marBottom w:val="0"/>
          <w:divBdr>
            <w:top w:val="none" w:sz="0" w:space="0" w:color="auto"/>
            <w:left w:val="none" w:sz="0" w:space="0" w:color="auto"/>
            <w:bottom w:val="none" w:sz="0" w:space="0" w:color="auto"/>
            <w:right w:val="none" w:sz="0" w:space="0" w:color="auto"/>
          </w:divBdr>
        </w:div>
        <w:div w:id="72627021">
          <w:marLeft w:val="480"/>
          <w:marRight w:val="0"/>
          <w:marTop w:val="0"/>
          <w:marBottom w:val="0"/>
          <w:divBdr>
            <w:top w:val="none" w:sz="0" w:space="0" w:color="auto"/>
            <w:left w:val="none" w:sz="0" w:space="0" w:color="auto"/>
            <w:bottom w:val="none" w:sz="0" w:space="0" w:color="auto"/>
            <w:right w:val="none" w:sz="0" w:space="0" w:color="auto"/>
          </w:divBdr>
        </w:div>
        <w:div w:id="1046493457">
          <w:marLeft w:val="480"/>
          <w:marRight w:val="0"/>
          <w:marTop w:val="0"/>
          <w:marBottom w:val="0"/>
          <w:divBdr>
            <w:top w:val="none" w:sz="0" w:space="0" w:color="auto"/>
            <w:left w:val="none" w:sz="0" w:space="0" w:color="auto"/>
            <w:bottom w:val="none" w:sz="0" w:space="0" w:color="auto"/>
            <w:right w:val="none" w:sz="0" w:space="0" w:color="auto"/>
          </w:divBdr>
        </w:div>
        <w:div w:id="1974552056">
          <w:marLeft w:val="480"/>
          <w:marRight w:val="0"/>
          <w:marTop w:val="0"/>
          <w:marBottom w:val="0"/>
          <w:divBdr>
            <w:top w:val="none" w:sz="0" w:space="0" w:color="auto"/>
            <w:left w:val="none" w:sz="0" w:space="0" w:color="auto"/>
            <w:bottom w:val="none" w:sz="0" w:space="0" w:color="auto"/>
            <w:right w:val="none" w:sz="0" w:space="0" w:color="auto"/>
          </w:divBdr>
        </w:div>
        <w:div w:id="412707669">
          <w:marLeft w:val="480"/>
          <w:marRight w:val="0"/>
          <w:marTop w:val="0"/>
          <w:marBottom w:val="0"/>
          <w:divBdr>
            <w:top w:val="none" w:sz="0" w:space="0" w:color="auto"/>
            <w:left w:val="none" w:sz="0" w:space="0" w:color="auto"/>
            <w:bottom w:val="none" w:sz="0" w:space="0" w:color="auto"/>
            <w:right w:val="none" w:sz="0" w:space="0" w:color="auto"/>
          </w:divBdr>
        </w:div>
        <w:div w:id="672799420">
          <w:marLeft w:val="480"/>
          <w:marRight w:val="0"/>
          <w:marTop w:val="0"/>
          <w:marBottom w:val="0"/>
          <w:divBdr>
            <w:top w:val="none" w:sz="0" w:space="0" w:color="auto"/>
            <w:left w:val="none" w:sz="0" w:space="0" w:color="auto"/>
            <w:bottom w:val="none" w:sz="0" w:space="0" w:color="auto"/>
            <w:right w:val="none" w:sz="0" w:space="0" w:color="auto"/>
          </w:divBdr>
        </w:div>
        <w:div w:id="1907687951">
          <w:marLeft w:val="480"/>
          <w:marRight w:val="0"/>
          <w:marTop w:val="0"/>
          <w:marBottom w:val="0"/>
          <w:divBdr>
            <w:top w:val="none" w:sz="0" w:space="0" w:color="auto"/>
            <w:left w:val="none" w:sz="0" w:space="0" w:color="auto"/>
            <w:bottom w:val="none" w:sz="0" w:space="0" w:color="auto"/>
            <w:right w:val="none" w:sz="0" w:space="0" w:color="auto"/>
          </w:divBdr>
        </w:div>
        <w:div w:id="1939481620">
          <w:marLeft w:val="480"/>
          <w:marRight w:val="0"/>
          <w:marTop w:val="0"/>
          <w:marBottom w:val="0"/>
          <w:divBdr>
            <w:top w:val="none" w:sz="0" w:space="0" w:color="auto"/>
            <w:left w:val="none" w:sz="0" w:space="0" w:color="auto"/>
            <w:bottom w:val="none" w:sz="0" w:space="0" w:color="auto"/>
            <w:right w:val="none" w:sz="0" w:space="0" w:color="auto"/>
          </w:divBdr>
        </w:div>
        <w:div w:id="637688602">
          <w:marLeft w:val="480"/>
          <w:marRight w:val="0"/>
          <w:marTop w:val="0"/>
          <w:marBottom w:val="0"/>
          <w:divBdr>
            <w:top w:val="none" w:sz="0" w:space="0" w:color="auto"/>
            <w:left w:val="none" w:sz="0" w:space="0" w:color="auto"/>
            <w:bottom w:val="none" w:sz="0" w:space="0" w:color="auto"/>
            <w:right w:val="none" w:sz="0" w:space="0" w:color="auto"/>
          </w:divBdr>
        </w:div>
        <w:div w:id="1327973347">
          <w:marLeft w:val="480"/>
          <w:marRight w:val="0"/>
          <w:marTop w:val="0"/>
          <w:marBottom w:val="0"/>
          <w:divBdr>
            <w:top w:val="none" w:sz="0" w:space="0" w:color="auto"/>
            <w:left w:val="none" w:sz="0" w:space="0" w:color="auto"/>
            <w:bottom w:val="none" w:sz="0" w:space="0" w:color="auto"/>
            <w:right w:val="none" w:sz="0" w:space="0" w:color="auto"/>
          </w:divBdr>
        </w:div>
        <w:div w:id="1985428531">
          <w:marLeft w:val="480"/>
          <w:marRight w:val="0"/>
          <w:marTop w:val="0"/>
          <w:marBottom w:val="0"/>
          <w:divBdr>
            <w:top w:val="none" w:sz="0" w:space="0" w:color="auto"/>
            <w:left w:val="none" w:sz="0" w:space="0" w:color="auto"/>
            <w:bottom w:val="none" w:sz="0" w:space="0" w:color="auto"/>
            <w:right w:val="none" w:sz="0" w:space="0" w:color="auto"/>
          </w:divBdr>
        </w:div>
        <w:div w:id="1599220386">
          <w:marLeft w:val="480"/>
          <w:marRight w:val="0"/>
          <w:marTop w:val="0"/>
          <w:marBottom w:val="0"/>
          <w:divBdr>
            <w:top w:val="none" w:sz="0" w:space="0" w:color="auto"/>
            <w:left w:val="none" w:sz="0" w:space="0" w:color="auto"/>
            <w:bottom w:val="none" w:sz="0" w:space="0" w:color="auto"/>
            <w:right w:val="none" w:sz="0" w:space="0" w:color="auto"/>
          </w:divBdr>
        </w:div>
        <w:div w:id="233205606">
          <w:marLeft w:val="480"/>
          <w:marRight w:val="0"/>
          <w:marTop w:val="0"/>
          <w:marBottom w:val="0"/>
          <w:divBdr>
            <w:top w:val="none" w:sz="0" w:space="0" w:color="auto"/>
            <w:left w:val="none" w:sz="0" w:space="0" w:color="auto"/>
            <w:bottom w:val="none" w:sz="0" w:space="0" w:color="auto"/>
            <w:right w:val="none" w:sz="0" w:space="0" w:color="auto"/>
          </w:divBdr>
        </w:div>
        <w:div w:id="1613977198">
          <w:marLeft w:val="480"/>
          <w:marRight w:val="0"/>
          <w:marTop w:val="0"/>
          <w:marBottom w:val="0"/>
          <w:divBdr>
            <w:top w:val="none" w:sz="0" w:space="0" w:color="auto"/>
            <w:left w:val="none" w:sz="0" w:space="0" w:color="auto"/>
            <w:bottom w:val="none" w:sz="0" w:space="0" w:color="auto"/>
            <w:right w:val="none" w:sz="0" w:space="0" w:color="auto"/>
          </w:divBdr>
        </w:div>
        <w:div w:id="1265070260">
          <w:marLeft w:val="480"/>
          <w:marRight w:val="0"/>
          <w:marTop w:val="0"/>
          <w:marBottom w:val="0"/>
          <w:divBdr>
            <w:top w:val="none" w:sz="0" w:space="0" w:color="auto"/>
            <w:left w:val="none" w:sz="0" w:space="0" w:color="auto"/>
            <w:bottom w:val="none" w:sz="0" w:space="0" w:color="auto"/>
            <w:right w:val="none" w:sz="0" w:space="0" w:color="auto"/>
          </w:divBdr>
        </w:div>
        <w:div w:id="1401169036">
          <w:marLeft w:val="480"/>
          <w:marRight w:val="0"/>
          <w:marTop w:val="0"/>
          <w:marBottom w:val="0"/>
          <w:divBdr>
            <w:top w:val="none" w:sz="0" w:space="0" w:color="auto"/>
            <w:left w:val="none" w:sz="0" w:space="0" w:color="auto"/>
            <w:bottom w:val="none" w:sz="0" w:space="0" w:color="auto"/>
            <w:right w:val="none" w:sz="0" w:space="0" w:color="auto"/>
          </w:divBdr>
        </w:div>
        <w:div w:id="1827865267">
          <w:marLeft w:val="480"/>
          <w:marRight w:val="0"/>
          <w:marTop w:val="0"/>
          <w:marBottom w:val="0"/>
          <w:divBdr>
            <w:top w:val="none" w:sz="0" w:space="0" w:color="auto"/>
            <w:left w:val="none" w:sz="0" w:space="0" w:color="auto"/>
            <w:bottom w:val="none" w:sz="0" w:space="0" w:color="auto"/>
            <w:right w:val="none" w:sz="0" w:space="0" w:color="auto"/>
          </w:divBdr>
        </w:div>
        <w:div w:id="1948391940">
          <w:marLeft w:val="480"/>
          <w:marRight w:val="0"/>
          <w:marTop w:val="0"/>
          <w:marBottom w:val="0"/>
          <w:divBdr>
            <w:top w:val="none" w:sz="0" w:space="0" w:color="auto"/>
            <w:left w:val="none" w:sz="0" w:space="0" w:color="auto"/>
            <w:bottom w:val="none" w:sz="0" w:space="0" w:color="auto"/>
            <w:right w:val="none" w:sz="0" w:space="0" w:color="auto"/>
          </w:divBdr>
        </w:div>
        <w:div w:id="273054735">
          <w:marLeft w:val="480"/>
          <w:marRight w:val="0"/>
          <w:marTop w:val="0"/>
          <w:marBottom w:val="0"/>
          <w:divBdr>
            <w:top w:val="none" w:sz="0" w:space="0" w:color="auto"/>
            <w:left w:val="none" w:sz="0" w:space="0" w:color="auto"/>
            <w:bottom w:val="none" w:sz="0" w:space="0" w:color="auto"/>
            <w:right w:val="none" w:sz="0" w:space="0" w:color="auto"/>
          </w:divBdr>
        </w:div>
        <w:div w:id="593056793">
          <w:marLeft w:val="480"/>
          <w:marRight w:val="0"/>
          <w:marTop w:val="0"/>
          <w:marBottom w:val="0"/>
          <w:divBdr>
            <w:top w:val="none" w:sz="0" w:space="0" w:color="auto"/>
            <w:left w:val="none" w:sz="0" w:space="0" w:color="auto"/>
            <w:bottom w:val="none" w:sz="0" w:space="0" w:color="auto"/>
            <w:right w:val="none" w:sz="0" w:space="0" w:color="auto"/>
          </w:divBdr>
        </w:div>
        <w:div w:id="885678067">
          <w:marLeft w:val="480"/>
          <w:marRight w:val="0"/>
          <w:marTop w:val="0"/>
          <w:marBottom w:val="0"/>
          <w:divBdr>
            <w:top w:val="none" w:sz="0" w:space="0" w:color="auto"/>
            <w:left w:val="none" w:sz="0" w:space="0" w:color="auto"/>
            <w:bottom w:val="none" w:sz="0" w:space="0" w:color="auto"/>
            <w:right w:val="none" w:sz="0" w:space="0" w:color="auto"/>
          </w:divBdr>
        </w:div>
        <w:div w:id="1816070219">
          <w:marLeft w:val="480"/>
          <w:marRight w:val="0"/>
          <w:marTop w:val="0"/>
          <w:marBottom w:val="0"/>
          <w:divBdr>
            <w:top w:val="none" w:sz="0" w:space="0" w:color="auto"/>
            <w:left w:val="none" w:sz="0" w:space="0" w:color="auto"/>
            <w:bottom w:val="none" w:sz="0" w:space="0" w:color="auto"/>
            <w:right w:val="none" w:sz="0" w:space="0" w:color="auto"/>
          </w:divBdr>
        </w:div>
        <w:div w:id="200940303">
          <w:marLeft w:val="480"/>
          <w:marRight w:val="0"/>
          <w:marTop w:val="0"/>
          <w:marBottom w:val="0"/>
          <w:divBdr>
            <w:top w:val="none" w:sz="0" w:space="0" w:color="auto"/>
            <w:left w:val="none" w:sz="0" w:space="0" w:color="auto"/>
            <w:bottom w:val="none" w:sz="0" w:space="0" w:color="auto"/>
            <w:right w:val="none" w:sz="0" w:space="0" w:color="auto"/>
          </w:divBdr>
        </w:div>
        <w:div w:id="645860609">
          <w:marLeft w:val="480"/>
          <w:marRight w:val="0"/>
          <w:marTop w:val="0"/>
          <w:marBottom w:val="0"/>
          <w:divBdr>
            <w:top w:val="none" w:sz="0" w:space="0" w:color="auto"/>
            <w:left w:val="none" w:sz="0" w:space="0" w:color="auto"/>
            <w:bottom w:val="none" w:sz="0" w:space="0" w:color="auto"/>
            <w:right w:val="none" w:sz="0" w:space="0" w:color="auto"/>
          </w:divBdr>
        </w:div>
        <w:div w:id="1864243262">
          <w:marLeft w:val="480"/>
          <w:marRight w:val="0"/>
          <w:marTop w:val="0"/>
          <w:marBottom w:val="0"/>
          <w:divBdr>
            <w:top w:val="none" w:sz="0" w:space="0" w:color="auto"/>
            <w:left w:val="none" w:sz="0" w:space="0" w:color="auto"/>
            <w:bottom w:val="none" w:sz="0" w:space="0" w:color="auto"/>
            <w:right w:val="none" w:sz="0" w:space="0" w:color="auto"/>
          </w:divBdr>
        </w:div>
        <w:div w:id="759715939">
          <w:marLeft w:val="480"/>
          <w:marRight w:val="0"/>
          <w:marTop w:val="0"/>
          <w:marBottom w:val="0"/>
          <w:divBdr>
            <w:top w:val="none" w:sz="0" w:space="0" w:color="auto"/>
            <w:left w:val="none" w:sz="0" w:space="0" w:color="auto"/>
            <w:bottom w:val="none" w:sz="0" w:space="0" w:color="auto"/>
            <w:right w:val="none" w:sz="0" w:space="0" w:color="auto"/>
          </w:divBdr>
        </w:div>
        <w:div w:id="62601747">
          <w:marLeft w:val="480"/>
          <w:marRight w:val="0"/>
          <w:marTop w:val="0"/>
          <w:marBottom w:val="0"/>
          <w:divBdr>
            <w:top w:val="none" w:sz="0" w:space="0" w:color="auto"/>
            <w:left w:val="none" w:sz="0" w:space="0" w:color="auto"/>
            <w:bottom w:val="none" w:sz="0" w:space="0" w:color="auto"/>
            <w:right w:val="none" w:sz="0" w:space="0" w:color="auto"/>
          </w:divBdr>
        </w:div>
        <w:div w:id="1536893747">
          <w:marLeft w:val="480"/>
          <w:marRight w:val="0"/>
          <w:marTop w:val="0"/>
          <w:marBottom w:val="0"/>
          <w:divBdr>
            <w:top w:val="none" w:sz="0" w:space="0" w:color="auto"/>
            <w:left w:val="none" w:sz="0" w:space="0" w:color="auto"/>
            <w:bottom w:val="none" w:sz="0" w:space="0" w:color="auto"/>
            <w:right w:val="none" w:sz="0" w:space="0" w:color="auto"/>
          </w:divBdr>
        </w:div>
        <w:div w:id="865869053">
          <w:marLeft w:val="480"/>
          <w:marRight w:val="0"/>
          <w:marTop w:val="0"/>
          <w:marBottom w:val="0"/>
          <w:divBdr>
            <w:top w:val="none" w:sz="0" w:space="0" w:color="auto"/>
            <w:left w:val="none" w:sz="0" w:space="0" w:color="auto"/>
            <w:bottom w:val="none" w:sz="0" w:space="0" w:color="auto"/>
            <w:right w:val="none" w:sz="0" w:space="0" w:color="auto"/>
          </w:divBdr>
        </w:div>
        <w:div w:id="744567880">
          <w:marLeft w:val="480"/>
          <w:marRight w:val="0"/>
          <w:marTop w:val="0"/>
          <w:marBottom w:val="0"/>
          <w:divBdr>
            <w:top w:val="none" w:sz="0" w:space="0" w:color="auto"/>
            <w:left w:val="none" w:sz="0" w:space="0" w:color="auto"/>
            <w:bottom w:val="none" w:sz="0" w:space="0" w:color="auto"/>
            <w:right w:val="none" w:sz="0" w:space="0" w:color="auto"/>
          </w:divBdr>
        </w:div>
        <w:div w:id="1718776350">
          <w:marLeft w:val="480"/>
          <w:marRight w:val="0"/>
          <w:marTop w:val="0"/>
          <w:marBottom w:val="0"/>
          <w:divBdr>
            <w:top w:val="none" w:sz="0" w:space="0" w:color="auto"/>
            <w:left w:val="none" w:sz="0" w:space="0" w:color="auto"/>
            <w:bottom w:val="none" w:sz="0" w:space="0" w:color="auto"/>
            <w:right w:val="none" w:sz="0" w:space="0" w:color="auto"/>
          </w:divBdr>
        </w:div>
        <w:div w:id="295455358">
          <w:marLeft w:val="480"/>
          <w:marRight w:val="0"/>
          <w:marTop w:val="0"/>
          <w:marBottom w:val="0"/>
          <w:divBdr>
            <w:top w:val="none" w:sz="0" w:space="0" w:color="auto"/>
            <w:left w:val="none" w:sz="0" w:space="0" w:color="auto"/>
            <w:bottom w:val="none" w:sz="0" w:space="0" w:color="auto"/>
            <w:right w:val="none" w:sz="0" w:space="0" w:color="auto"/>
          </w:divBdr>
        </w:div>
        <w:div w:id="491261003">
          <w:marLeft w:val="480"/>
          <w:marRight w:val="0"/>
          <w:marTop w:val="0"/>
          <w:marBottom w:val="0"/>
          <w:divBdr>
            <w:top w:val="none" w:sz="0" w:space="0" w:color="auto"/>
            <w:left w:val="none" w:sz="0" w:space="0" w:color="auto"/>
            <w:bottom w:val="none" w:sz="0" w:space="0" w:color="auto"/>
            <w:right w:val="none" w:sz="0" w:space="0" w:color="auto"/>
          </w:divBdr>
        </w:div>
        <w:div w:id="1822232808">
          <w:marLeft w:val="480"/>
          <w:marRight w:val="0"/>
          <w:marTop w:val="0"/>
          <w:marBottom w:val="0"/>
          <w:divBdr>
            <w:top w:val="none" w:sz="0" w:space="0" w:color="auto"/>
            <w:left w:val="none" w:sz="0" w:space="0" w:color="auto"/>
            <w:bottom w:val="none" w:sz="0" w:space="0" w:color="auto"/>
            <w:right w:val="none" w:sz="0" w:space="0" w:color="auto"/>
          </w:divBdr>
        </w:div>
        <w:div w:id="1509558146">
          <w:marLeft w:val="480"/>
          <w:marRight w:val="0"/>
          <w:marTop w:val="0"/>
          <w:marBottom w:val="0"/>
          <w:divBdr>
            <w:top w:val="none" w:sz="0" w:space="0" w:color="auto"/>
            <w:left w:val="none" w:sz="0" w:space="0" w:color="auto"/>
            <w:bottom w:val="none" w:sz="0" w:space="0" w:color="auto"/>
            <w:right w:val="none" w:sz="0" w:space="0" w:color="auto"/>
          </w:divBdr>
        </w:div>
        <w:div w:id="636958862">
          <w:marLeft w:val="480"/>
          <w:marRight w:val="0"/>
          <w:marTop w:val="0"/>
          <w:marBottom w:val="0"/>
          <w:divBdr>
            <w:top w:val="none" w:sz="0" w:space="0" w:color="auto"/>
            <w:left w:val="none" w:sz="0" w:space="0" w:color="auto"/>
            <w:bottom w:val="none" w:sz="0" w:space="0" w:color="auto"/>
            <w:right w:val="none" w:sz="0" w:space="0" w:color="auto"/>
          </w:divBdr>
        </w:div>
        <w:div w:id="101654399">
          <w:marLeft w:val="480"/>
          <w:marRight w:val="0"/>
          <w:marTop w:val="0"/>
          <w:marBottom w:val="0"/>
          <w:divBdr>
            <w:top w:val="none" w:sz="0" w:space="0" w:color="auto"/>
            <w:left w:val="none" w:sz="0" w:space="0" w:color="auto"/>
            <w:bottom w:val="none" w:sz="0" w:space="0" w:color="auto"/>
            <w:right w:val="none" w:sz="0" w:space="0" w:color="auto"/>
          </w:divBdr>
        </w:div>
        <w:div w:id="1298533084">
          <w:marLeft w:val="480"/>
          <w:marRight w:val="0"/>
          <w:marTop w:val="0"/>
          <w:marBottom w:val="0"/>
          <w:divBdr>
            <w:top w:val="none" w:sz="0" w:space="0" w:color="auto"/>
            <w:left w:val="none" w:sz="0" w:space="0" w:color="auto"/>
            <w:bottom w:val="none" w:sz="0" w:space="0" w:color="auto"/>
            <w:right w:val="none" w:sz="0" w:space="0" w:color="auto"/>
          </w:divBdr>
        </w:div>
        <w:div w:id="1715155967">
          <w:marLeft w:val="480"/>
          <w:marRight w:val="0"/>
          <w:marTop w:val="0"/>
          <w:marBottom w:val="0"/>
          <w:divBdr>
            <w:top w:val="none" w:sz="0" w:space="0" w:color="auto"/>
            <w:left w:val="none" w:sz="0" w:space="0" w:color="auto"/>
            <w:bottom w:val="none" w:sz="0" w:space="0" w:color="auto"/>
            <w:right w:val="none" w:sz="0" w:space="0" w:color="auto"/>
          </w:divBdr>
        </w:div>
        <w:div w:id="1631981043">
          <w:marLeft w:val="480"/>
          <w:marRight w:val="0"/>
          <w:marTop w:val="0"/>
          <w:marBottom w:val="0"/>
          <w:divBdr>
            <w:top w:val="none" w:sz="0" w:space="0" w:color="auto"/>
            <w:left w:val="none" w:sz="0" w:space="0" w:color="auto"/>
            <w:bottom w:val="none" w:sz="0" w:space="0" w:color="auto"/>
            <w:right w:val="none" w:sz="0" w:space="0" w:color="auto"/>
          </w:divBdr>
        </w:div>
        <w:div w:id="1635869646">
          <w:marLeft w:val="480"/>
          <w:marRight w:val="0"/>
          <w:marTop w:val="0"/>
          <w:marBottom w:val="0"/>
          <w:divBdr>
            <w:top w:val="none" w:sz="0" w:space="0" w:color="auto"/>
            <w:left w:val="none" w:sz="0" w:space="0" w:color="auto"/>
            <w:bottom w:val="none" w:sz="0" w:space="0" w:color="auto"/>
            <w:right w:val="none" w:sz="0" w:space="0" w:color="auto"/>
          </w:divBdr>
        </w:div>
        <w:div w:id="222765471">
          <w:marLeft w:val="480"/>
          <w:marRight w:val="0"/>
          <w:marTop w:val="0"/>
          <w:marBottom w:val="0"/>
          <w:divBdr>
            <w:top w:val="none" w:sz="0" w:space="0" w:color="auto"/>
            <w:left w:val="none" w:sz="0" w:space="0" w:color="auto"/>
            <w:bottom w:val="none" w:sz="0" w:space="0" w:color="auto"/>
            <w:right w:val="none" w:sz="0" w:space="0" w:color="auto"/>
          </w:divBdr>
        </w:div>
        <w:div w:id="2136747962">
          <w:marLeft w:val="480"/>
          <w:marRight w:val="0"/>
          <w:marTop w:val="0"/>
          <w:marBottom w:val="0"/>
          <w:divBdr>
            <w:top w:val="none" w:sz="0" w:space="0" w:color="auto"/>
            <w:left w:val="none" w:sz="0" w:space="0" w:color="auto"/>
            <w:bottom w:val="none" w:sz="0" w:space="0" w:color="auto"/>
            <w:right w:val="none" w:sz="0" w:space="0" w:color="auto"/>
          </w:divBdr>
        </w:div>
        <w:div w:id="1308393034">
          <w:marLeft w:val="480"/>
          <w:marRight w:val="0"/>
          <w:marTop w:val="0"/>
          <w:marBottom w:val="0"/>
          <w:divBdr>
            <w:top w:val="none" w:sz="0" w:space="0" w:color="auto"/>
            <w:left w:val="none" w:sz="0" w:space="0" w:color="auto"/>
            <w:bottom w:val="none" w:sz="0" w:space="0" w:color="auto"/>
            <w:right w:val="none" w:sz="0" w:space="0" w:color="auto"/>
          </w:divBdr>
        </w:div>
        <w:div w:id="798961620">
          <w:marLeft w:val="480"/>
          <w:marRight w:val="0"/>
          <w:marTop w:val="0"/>
          <w:marBottom w:val="0"/>
          <w:divBdr>
            <w:top w:val="none" w:sz="0" w:space="0" w:color="auto"/>
            <w:left w:val="none" w:sz="0" w:space="0" w:color="auto"/>
            <w:bottom w:val="none" w:sz="0" w:space="0" w:color="auto"/>
            <w:right w:val="none" w:sz="0" w:space="0" w:color="auto"/>
          </w:divBdr>
        </w:div>
        <w:div w:id="846214176">
          <w:marLeft w:val="480"/>
          <w:marRight w:val="0"/>
          <w:marTop w:val="0"/>
          <w:marBottom w:val="0"/>
          <w:divBdr>
            <w:top w:val="none" w:sz="0" w:space="0" w:color="auto"/>
            <w:left w:val="none" w:sz="0" w:space="0" w:color="auto"/>
            <w:bottom w:val="none" w:sz="0" w:space="0" w:color="auto"/>
            <w:right w:val="none" w:sz="0" w:space="0" w:color="auto"/>
          </w:divBdr>
        </w:div>
        <w:div w:id="474416514">
          <w:marLeft w:val="480"/>
          <w:marRight w:val="0"/>
          <w:marTop w:val="0"/>
          <w:marBottom w:val="0"/>
          <w:divBdr>
            <w:top w:val="none" w:sz="0" w:space="0" w:color="auto"/>
            <w:left w:val="none" w:sz="0" w:space="0" w:color="auto"/>
            <w:bottom w:val="none" w:sz="0" w:space="0" w:color="auto"/>
            <w:right w:val="none" w:sz="0" w:space="0" w:color="auto"/>
          </w:divBdr>
        </w:div>
        <w:div w:id="2127429952">
          <w:marLeft w:val="480"/>
          <w:marRight w:val="0"/>
          <w:marTop w:val="0"/>
          <w:marBottom w:val="0"/>
          <w:divBdr>
            <w:top w:val="none" w:sz="0" w:space="0" w:color="auto"/>
            <w:left w:val="none" w:sz="0" w:space="0" w:color="auto"/>
            <w:bottom w:val="none" w:sz="0" w:space="0" w:color="auto"/>
            <w:right w:val="none" w:sz="0" w:space="0" w:color="auto"/>
          </w:divBdr>
        </w:div>
        <w:div w:id="1666664974">
          <w:marLeft w:val="480"/>
          <w:marRight w:val="0"/>
          <w:marTop w:val="0"/>
          <w:marBottom w:val="0"/>
          <w:divBdr>
            <w:top w:val="none" w:sz="0" w:space="0" w:color="auto"/>
            <w:left w:val="none" w:sz="0" w:space="0" w:color="auto"/>
            <w:bottom w:val="none" w:sz="0" w:space="0" w:color="auto"/>
            <w:right w:val="none" w:sz="0" w:space="0" w:color="auto"/>
          </w:divBdr>
        </w:div>
        <w:div w:id="550578475">
          <w:marLeft w:val="480"/>
          <w:marRight w:val="0"/>
          <w:marTop w:val="0"/>
          <w:marBottom w:val="0"/>
          <w:divBdr>
            <w:top w:val="none" w:sz="0" w:space="0" w:color="auto"/>
            <w:left w:val="none" w:sz="0" w:space="0" w:color="auto"/>
            <w:bottom w:val="none" w:sz="0" w:space="0" w:color="auto"/>
            <w:right w:val="none" w:sz="0" w:space="0" w:color="auto"/>
          </w:divBdr>
        </w:div>
        <w:div w:id="1751846158">
          <w:marLeft w:val="480"/>
          <w:marRight w:val="0"/>
          <w:marTop w:val="0"/>
          <w:marBottom w:val="0"/>
          <w:divBdr>
            <w:top w:val="none" w:sz="0" w:space="0" w:color="auto"/>
            <w:left w:val="none" w:sz="0" w:space="0" w:color="auto"/>
            <w:bottom w:val="none" w:sz="0" w:space="0" w:color="auto"/>
            <w:right w:val="none" w:sz="0" w:space="0" w:color="auto"/>
          </w:divBdr>
        </w:div>
        <w:div w:id="1623538299">
          <w:marLeft w:val="480"/>
          <w:marRight w:val="0"/>
          <w:marTop w:val="0"/>
          <w:marBottom w:val="0"/>
          <w:divBdr>
            <w:top w:val="none" w:sz="0" w:space="0" w:color="auto"/>
            <w:left w:val="none" w:sz="0" w:space="0" w:color="auto"/>
            <w:bottom w:val="none" w:sz="0" w:space="0" w:color="auto"/>
            <w:right w:val="none" w:sz="0" w:space="0" w:color="auto"/>
          </w:divBdr>
        </w:div>
        <w:div w:id="1200976405">
          <w:marLeft w:val="480"/>
          <w:marRight w:val="0"/>
          <w:marTop w:val="0"/>
          <w:marBottom w:val="0"/>
          <w:divBdr>
            <w:top w:val="none" w:sz="0" w:space="0" w:color="auto"/>
            <w:left w:val="none" w:sz="0" w:space="0" w:color="auto"/>
            <w:bottom w:val="none" w:sz="0" w:space="0" w:color="auto"/>
            <w:right w:val="none" w:sz="0" w:space="0" w:color="auto"/>
          </w:divBdr>
        </w:div>
        <w:div w:id="512039349">
          <w:marLeft w:val="480"/>
          <w:marRight w:val="0"/>
          <w:marTop w:val="0"/>
          <w:marBottom w:val="0"/>
          <w:divBdr>
            <w:top w:val="none" w:sz="0" w:space="0" w:color="auto"/>
            <w:left w:val="none" w:sz="0" w:space="0" w:color="auto"/>
            <w:bottom w:val="none" w:sz="0" w:space="0" w:color="auto"/>
            <w:right w:val="none" w:sz="0" w:space="0" w:color="auto"/>
          </w:divBdr>
        </w:div>
        <w:div w:id="1333291750">
          <w:marLeft w:val="480"/>
          <w:marRight w:val="0"/>
          <w:marTop w:val="0"/>
          <w:marBottom w:val="0"/>
          <w:divBdr>
            <w:top w:val="none" w:sz="0" w:space="0" w:color="auto"/>
            <w:left w:val="none" w:sz="0" w:space="0" w:color="auto"/>
            <w:bottom w:val="none" w:sz="0" w:space="0" w:color="auto"/>
            <w:right w:val="none" w:sz="0" w:space="0" w:color="auto"/>
          </w:divBdr>
        </w:div>
        <w:div w:id="1957909297">
          <w:marLeft w:val="480"/>
          <w:marRight w:val="0"/>
          <w:marTop w:val="0"/>
          <w:marBottom w:val="0"/>
          <w:divBdr>
            <w:top w:val="none" w:sz="0" w:space="0" w:color="auto"/>
            <w:left w:val="none" w:sz="0" w:space="0" w:color="auto"/>
            <w:bottom w:val="none" w:sz="0" w:space="0" w:color="auto"/>
            <w:right w:val="none" w:sz="0" w:space="0" w:color="auto"/>
          </w:divBdr>
        </w:div>
        <w:div w:id="1768308983">
          <w:marLeft w:val="480"/>
          <w:marRight w:val="0"/>
          <w:marTop w:val="0"/>
          <w:marBottom w:val="0"/>
          <w:divBdr>
            <w:top w:val="none" w:sz="0" w:space="0" w:color="auto"/>
            <w:left w:val="none" w:sz="0" w:space="0" w:color="auto"/>
            <w:bottom w:val="none" w:sz="0" w:space="0" w:color="auto"/>
            <w:right w:val="none" w:sz="0" w:space="0" w:color="auto"/>
          </w:divBdr>
        </w:div>
        <w:div w:id="454064496">
          <w:marLeft w:val="480"/>
          <w:marRight w:val="0"/>
          <w:marTop w:val="0"/>
          <w:marBottom w:val="0"/>
          <w:divBdr>
            <w:top w:val="none" w:sz="0" w:space="0" w:color="auto"/>
            <w:left w:val="none" w:sz="0" w:space="0" w:color="auto"/>
            <w:bottom w:val="none" w:sz="0" w:space="0" w:color="auto"/>
            <w:right w:val="none" w:sz="0" w:space="0" w:color="auto"/>
          </w:divBdr>
        </w:div>
        <w:div w:id="972059910">
          <w:marLeft w:val="480"/>
          <w:marRight w:val="0"/>
          <w:marTop w:val="0"/>
          <w:marBottom w:val="0"/>
          <w:divBdr>
            <w:top w:val="none" w:sz="0" w:space="0" w:color="auto"/>
            <w:left w:val="none" w:sz="0" w:space="0" w:color="auto"/>
            <w:bottom w:val="none" w:sz="0" w:space="0" w:color="auto"/>
            <w:right w:val="none" w:sz="0" w:space="0" w:color="auto"/>
          </w:divBdr>
        </w:div>
        <w:div w:id="894513178">
          <w:marLeft w:val="480"/>
          <w:marRight w:val="0"/>
          <w:marTop w:val="0"/>
          <w:marBottom w:val="0"/>
          <w:divBdr>
            <w:top w:val="none" w:sz="0" w:space="0" w:color="auto"/>
            <w:left w:val="none" w:sz="0" w:space="0" w:color="auto"/>
            <w:bottom w:val="none" w:sz="0" w:space="0" w:color="auto"/>
            <w:right w:val="none" w:sz="0" w:space="0" w:color="auto"/>
          </w:divBdr>
        </w:div>
        <w:div w:id="484980629">
          <w:marLeft w:val="480"/>
          <w:marRight w:val="0"/>
          <w:marTop w:val="0"/>
          <w:marBottom w:val="0"/>
          <w:divBdr>
            <w:top w:val="none" w:sz="0" w:space="0" w:color="auto"/>
            <w:left w:val="none" w:sz="0" w:space="0" w:color="auto"/>
            <w:bottom w:val="none" w:sz="0" w:space="0" w:color="auto"/>
            <w:right w:val="none" w:sz="0" w:space="0" w:color="auto"/>
          </w:divBdr>
        </w:div>
        <w:div w:id="1753821030">
          <w:marLeft w:val="480"/>
          <w:marRight w:val="0"/>
          <w:marTop w:val="0"/>
          <w:marBottom w:val="0"/>
          <w:divBdr>
            <w:top w:val="none" w:sz="0" w:space="0" w:color="auto"/>
            <w:left w:val="none" w:sz="0" w:space="0" w:color="auto"/>
            <w:bottom w:val="none" w:sz="0" w:space="0" w:color="auto"/>
            <w:right w:val="none" w:sz="0" w:space="0" w:color="auto"/>
          </w:divBdr>
        </w:div>
        <w:div w:id="1849367232">
          <w:marLeft w:val="480"/>
          <w:marRight w:val="0"/>
          <w:marTop w:val="0"/>
          <w:marBottom w:val="0"/>
          <w:divBdr>
            <w:top w:val="none" w:sz="0" w:space="0" w:color="auto"/>
            <w:left w:val="none" w:sz="0" w:space="0" w:color="auto"/>
            <w:bottom w:val="none" w:sz="0" w:space="0" w:color="auto"/>
            <w:right w:val="none" w:sz="0" w:space="0" w:color="auto"/>
          </w:divBdr>
        </w:div>
        <w:div w:id="1654412168">
          <w:marLeft w:val="480"/>
          <w:marRight w:val="0"/>
          <w:marTop w:val="0"/>
          <w:marBottom w:val="0"/>
          <w:divBdr>
            <w:top w:val="none" w:sz="0" w:space="0" w:color="auto"/>
            <w:left w:val="none" w:sz="0" w:space="0" w:color="auto"/>
            <w:bottom w:val="none" w:sz="0" w:space="0" w:color="auto"/>
            <w:right w:val="none" w:sz="0" w:space="0" w:color="auto"/>
          </w:divBdr>
        </w:div>
        <w:div w:id="1862402158">
          <w:marLeft w:val="480"/>
          <w:marRight w:val="0"/>
          <w:marTop w:val="0"/>
          <w:marBottom w:val="0"/>
          <w:divBdr>
            <w:top w:val="none" w:sz="0" w:space="0" w:color="auto"/>
            <w:left w:val="none" w:sz="0" w:space="0" w:color="auto"/>
            <w:bottom w:val="none" w:sz="0" w:space="0" w:color="auto"/>
            <w:right w:val="none" w:sz="0" w:space="0" w:color="auto"/>
          </w:divBdr>
        </w:div>
        <w:div w:id="393741224">
          <w:marLeft w:val="480"/>
          <w:marRight w:val="0"/>
          <w:marTop w:val="0"/>
          <w:marBottom w:val="0"/>
          <w:divBdr>
            <w:top w:val="none" w:sz="0" w:space="0" w:color="auto"/>
            <w:left w:val="none" w:sz="0" w:space="0" w:color="auto"/>
            <w:bottom w:val="none" w:sz="0" w:space="0" w:color="auto"/>
            <w:right w:val="none" w:sz="0" w:space="0" w:color="auto"/>
          </w:divBdr>
        </w:div>
        <w:div w:id="553740857">
          <w:marLeft w:val="480"/>
          <w:marRight w:val="0"/>
          <w:marTop w:val="0"/>
          <w:marBottom w:val="0"/>
          <w:divBdr>
            <w:top w:val="none" w:sz="0" w:space="0" w:color="auto"/>
            <w:left w:val="none" w:sz="0" w:space="0" w:color="auto"/>
            <w:bottom w:val="none" w:sz="0" w:space="0" w:color="auto"/>
            <w:right w:val="none" w:sz="0" w:space="0" w:color="auto"/>
          </w:divBdr>
        </w:div>
        <w:div w:id="1628393045">
          <w:marLeft w:val="480"/>
          <w:marRight w:val="0"/>
          <w:marTop w:val="0"/>
          <w:marBottom w:val="0"/>
          <w:divBdr>
            <w:top w:val="none" w:sz="0" w:space="0" w:color="auto"/>
            <w:left w:val="none" w:sz="0" w:space="0" w:color="auto"/>
            <w:bottom w:val="none" w:sz="0" w:space="0" w:color="auto"/>
            <w:right w:val="none" w:sz="0" w:space="0" w:color="auto"/>
          </w:divBdr>
        </w:div>
        <w:div w:id="638194962">
          <w:marLeft w:val="480"/>
          <w:marRight w:val="0"/>
          <w:marTop w:val="0"/>
          <w:marBottom w:val="0"/>
          <w:divBdr>
            <w:top w:val="none" w:sz="0" w:space="0" w:color="auto"/>
            <w:left w:val="none" w:sz="0" w:space="0" w:color="auto"/>
            <w:bottom w:val="none" w:sz="0" w:space="0" w:color="auto"/>
            <w:right w:val="none" w:sz="0" w:space="0" w:color="auto"/>
          </w:divBdr>
        </w:div>
        <w:div w:id="62457808">
          <w:marLeft w:val="480"/>
          <w:marRight w:val="0"/>
          <w:marTop w:val="0"/>
          <w:marBottom w:val="0"/>
          <w:divBdr>
            <w:top w:val="none" w:sz="0" w:space="0" w:color="auto"/>
            <w:left w:val="none" w:sz="0" w:space="0" w:color="auto"/>
            <w:bottom w:val="none" w:sz="0" w:space="0" w:color="auto"/>
            <w:right w:val="none" w:sz="0" w:space="0" w:color="auto"/>
          </w:divBdr>
        </w:div>
        <w:div w:id="2106804360">
          <w:marLeft w:val="480"/>
          <w:marRight w:val="0"/>
          <w:marTop w:val="0"/>
          <w:marBottom w:val="0"/>
          <w:divBdr>
            <w:top w:val="none" w:sz="0" w:space="0" w:color="auto"/>
            <w:left w:val="none" w:sz="0" w:space="0" w:color="auto"/>
            <w:bottom w:val="none" w:sz="0" w:space="0" w:color="auto"/>
            <w:right w:val="none" w:sz="0" w:space="0" w:color="auto"/>
          </w:divBdr>
        </w:div>
        <w:div w:id="1247962111">
          <w:marLeft w:val="480"/>
          <w:marRight w:val="0"/>
          <w:marTop w:val="0"/>
          <w:marBottom w:val="0"/>
          <w:divBdr>
            <w:top w:val="none" w:sz="0" w:space="0" w:color="auto"/>
            <w:left w:val="none" w:sz="0" w:space="0" w:color="auto"/>
            <w:bottom w:val="none" w:sz="0" w:space="0" w:color="auto"/>
            <w:right w:val="none" w:sz="0" w:space="0" w:color="auto"/>
          </w:divBdr>
        </w:div>
        <w:div w:id="494810181">
          <w:marLeft w:val="480"/>
          <w:marRight w:val="0"/>
          <w:marTop w:val="0"/>
          <w:marBottom w:val="0"/>
          <w:divBdr>
            <w:top w:val="none" w:sz="0" w:space="0" w:color="auto"/>
            <w:left w:val="none" w:sz="0" w:space="0" w:color="auto"/>
            <w:bottom w:val="none" w:sz="0" w:space="0" w:color="auto"/>
            <w:right w:val="none" w:sz="0" w:space="0" w:color="auto"/>
          </w:divBdr>
        </w:div>
        <w:div w:id="568734607">
          <w:marLeft w:val="480"/>
          <w:marRight w:val="0"/>
          <w:marTop w:val="0"/>
          <w:marBottom w:val="0"/>
          <w:divBdr>
            <w:top w:val="none" w:sz="0" w:space="0" w:color="auto"/>
            <w:left w:val="none" w:sz="0" w:space="0" w:color="auto"/>
            <w:bottom w:val="none" w:sz="0" w:space="0" w:color="auto"/>
            <w:right w:val="none" w:sz="0" w:space="0" w:color="auto"/>
          </w:divBdr>
        </w:div>
        <w:div w:id="1044017415">
          <w:marLeft w:val="480"/>
          <w:marRight w:val="0"/>
          <w:marTop w:val="0"/>
          <w:marBottom w:val="0"/>
          <w:divBdr>
            <w:top w:val="none" w:sz="0" w:space="0" w:color="auto"/>
            <w:left w:val="none" w:sz="0" w:space="0" w:color="auto"/>
            <w:bottom w:val="none" w:sz="0" w:space="0" w:color="auto"/>
            <w:right w:val="none" w:sz="0" w:space="0" w:color="auto"/>
          </w:divBdr>
        </w:div>
        <w:div w:id="1519469741">
          <w:marLeft w:val="480"/>
          <w:marRight w:val="0"/>
          <w:marTop w:val="0"/>
          <w:marBottom w:val="0"/>
          <w:divBdr>
            <w:top w:val="none" w:sz="0" w:space="0" w:color="auto"/>
            <w:left w:val="none" w:sz="0" w:space="0" w:color="auto"/>
            <w:bottom w:val="none" w:sz="0" w:space="0" w:color="auto"/>
            <w:right w:val="none" w:sz="0" w:space="0" w:color="auto"/>
          </w:divBdr>
        </w:div>
        <w:div w:id="2089885300">
          <w:marLeft w:val="480"/>
          <w:marRight w:val="0"/>
          <w:marTop w:val="0"/>
          <w:marBottom w:val="0"/>
          <w:divBdr>
            <w:top w:val="none" w:sz="0" w:space="0" w:color="auto"/>
            <w:left w:val="none" w:sz="0" w:space="0" w:color="auto"/>
            <w:bottom w:val="none" w:sz="0" w:space="0" w:color="auto"/>
            <w:right w:val="none" w:sz="0" w:space="0" w:color="auto"/>
          </w:divBdr>
        </w:div>
        <w:div w:id="1754624323">
          <w:marLeft w:val="480"/>
          <w:marRight w:val="0"/>
          <w:marTop w:val="0"/>
          <w:marBottom w:val="0"/>
          <w:divBdr>
            <w:top w:val="none" w:sz="0" w:space="0" w:color="auto"/>
            <w:left w:val="none" w:sz="0" w:space="0" w:color="auto"/>
            <w:bottom w:val="none" w:sz="0" w:space="0" w:color="auto"/>
            <w:right w:val="none" w:sz="0" w:space="0" w:color="auto"/>
          </w:divBdr>
        </w:div>
        <w:div w:id="1784223058">
          <w:marLeft w:val="480"/>
          <w:marRight w:val="0"/>
          <w:marTop w:val="0"/>
          <w:marBottom w:val="0"/>
          <w:divBdr>
            <w:top w:val="none" w:sz="0" w:space="0" w:color="auto"/>
            <w:left w:val="none" w:sz="0" w:space="0" w:color="auto"/>
            <w:bottom w:val="none" w:sz="0" w:space="0" w:color="auto"/>
            <w:right w:val="none" w:sz="0" w:space="0" w:color="auto"/>
          </w:divBdr>
        </w:div>
        <w:div w:id="1397242813">
          <w:marLeft w:val="480"/>
          <w:marRight w:val="0"/>
          <w:marTop w:val="0"/>
          <w:marBottom w:val="0"/>
          <w:divBdr>
            <w:top w:val="none" w:sz="0" w:space="0" w:color="auto"/>
            <w:left w:val="none" w:sz="0" w:space="0" w:color="auto"/>
            <w:bottom w:val="none" w:sz="0" w:space="0" w:color="auto"/>
            <w:right w:val="none" w:sz="0" w:space="0" w:color="auto"/>
          </w:divBdr>
        </w:div>
        <w:div w:id="1801537861">
          <w:marLeft w:val="480"/>
          <w:marRight w:val="0"/>
          <w:marTop w:val="0"/>
          <w:marBottom w:val="0"/>
          <w:divBdr>
            <w:top w:val="none" w:sz="0" w:space="0" w:color="auto"/>
            <w:left w:val="none" w:sz="0" w:space="0" w:color="auto"/>
            <w:bottom w:val="none" w:sz="0" w:space="0" w:color="auto"/>
            <w:right w:val="none" w:sz="0" w:space="0" w:color="auto"/>
          </w:divBdr>
        </w:div>
        <w:div w:id="1541553351">
          <w:marLeft w:val="480"/>
          <w:marRight w:val="0"/>
          <w:marTop w:val="0"/>
          <w:marBottom w:val="0"/>
          <w:divBdr>
            <w:top w:val="none" w:sz="0" w:space="0" w:color="auto"/>
            <w:left w:val="none" w:sz="0" w:space="0" w:color="auto"/>
            <w:bottom w:val="none" w:sz="0" w:space="0" w:color="auto"/>
            <w:right w:val="none" w:sz="0" w:space="0" w:color="auto"/>
          </w:divBdr>
        </w:div>
        <w:div w:id="447890764">
          <w:marLeft w:val="480"/>
          <w:marRight w:val="0"/>
          <w:marTop w:val="0"/>
          <w:marBottom w:val="0"/>
          <w:divBdr>
            <w:top w:val="none" w:sz="0" w:space="0" w:color="auto"/>
            <w:left w:val="none" w:sz="0" w:space="0" w:color="auto"/>
            <w:bottom w:val="none" w:sz="0" w:space="0" w:color="auto"/>
            <w:right w:val="none" w:sz="0" w:space="0" w:color="auto"/>
          </w:divBdr>
        </w:div>
        <w:div w:id="439181627">
          <w:marLeft w:val="480"/>
          <w:marRight w:val="0"/>
          <w:marTop w:val="0"/>
          <w:marBottom w:val="0"/>
          <w:divBdr>
            <w:top w:val="none" w:sz="0" w:space="0" w:color="auto"/>
            <w:left w:val="none" w:sz="0" w:space="0" w:color="auto"/>
            <w:bottom w:val="none" w:sz="0" w:space="0" w:color="auto"/>
            <w:right w:val="none" w:sz="0" w:space="0" w:color="auto"/>
          </w:divBdr>
        </w:div>
        <w:div w:id="2090074402">
          <w:marLeft w:val="480"/>
          <w:marRight w:val="0"/>
          <w:marTop w:val="0"/>
          <w:marBottom w:val="0"/>
          <w:divBdr>
            <w:top w:val="none" w:sz="0" w:space="0" w:color="auto"/>
            <w:left w:val="none" w:sz="0" w:space="0" w:color="auto"/>
            <w:bottom w:val="none" w:sz="0" w:space="0" w:color="auto"/>
            <w:right w:val="none" w:sz="0" w:space="0" w:color="auto"/>
          </w:divBdr>
        </w:div>
        <w:div w:id="1825583360">
          <w:marLeft w:val="480"/>
          <w:marRight w:val="0"/>
          <w:marTop w:val="0"/>
          <w:marBottom w:val="0"/>
          <w:divBdr>
            <w:top w:val="none" w:sz="0" w:space="0" w:color="auto"/>
            <w:left w:val="none" w:sz="0" w:space="0" w:color="auto"/>
            <w:bottom w:val="none" w:sz="0" w:space="0" w:color="auto"/>
            <w:right w:val="none" w:sz="0" w:space="0" w:color="auto"/>
          </w:divBdr>
        </w:div>
        <w:div w:id="1159737555">
          <w:marLeft w:val="480"/>
          <w:marRight w:val="0"/>
          <w:marTop w:val="0"/>
          <w:marBottom w:val="0"/>
          <w:divBdr>
            <w:top w:val="none" w:sz="0" w:space="0" w:color="auto"/>
            <w:left w:val="none" w:sz="0" w:space="0" w:color="auto"/>
            <w:bottom w:val="none" w:sz="0" w:space="0" w:color="auto"/>
            <w:right w:val="none" w:sz="0" w:space="0" w:color="auto"/>
          </w:divBdr>
        </w:div>
        <w:div w:id="1348214417">
          <w:marLeft w:val="480"/>
          <w:marRight w:val="0"/>
          <w:marTop w:val="0"/>
          <w:marBottom w:val="0"/>
          <w:divBdr>
            <w:top w:val="none" w:sz="0" w:space="0" w:color="auto"/>
            <w:left w:val="none" w:sz="0" w:space="0" w:color="auto"/>
            <w:bottom w:val="none" w:sz="0" w:space="0" w:color="auto"/>
            <w:right w:val="none" w:sz="0" w:space="0" w:color="auto"/>
          </w:divBdr>
        </w:div>
        <w:div w:id="470632444">
          <w:marLeft w:val="480"/>
          <w:marRight w:val="0"/>
          <w:marTop w:val="0"/>
          <w:marBottom w:val="0"/>
          <w:divBdr>
            <w:top w:val="none" w:sz="0" w:space="0" w:color="auto"/>
            <w:left w:val="none" w:sz="0" w:space="0" w:color="auto"/>
            <w:bottom w:val="none" w:sz="0" w:space="0" w:color="auto"/>
            <w:right w:val="none" w:sz="0" w:space="0" w:color="auto"/>
          </w:divBdr>
        </w:div>
        <w:div w:id="215242275">
          <w:marLeft w:val="480"/>
          <w:marRight w:val="0"/>
          <w:marTop w:val="0"/>
          <w:marBottom w:val="0"/>
          <w:divBdr>
            <w:top w:val="none" w:sz="0" w:space="0" w:color="auto"/>
            <w:left w:val="none" w:sz="0" w:space="0" w:color="auto"/>
            <w:bottom w:val="none" w:sz="0" w:space="0" w:color="auto"/>
            <w:right w:val="none" w:sz="0" w:space="0" w:color="auto"/>
          </w:divBdr>
        </w:div>
        <w:div w:id="1794907730">
          <w:marLeft w:val="480"/>
          <w:marRight w:val="0"/>
          <w:marTop w:val="0"/>
          <w:marBottom w:val="0"/>
          <w:divBdr>
            <w:top w:val="none" w:sz="0" w:space="0" w:color="auto"/>
            <w:left w:val="none" w:sz="0" w:space="0" w:color="auto"/>
            <w:bottom w:val="none" w:sz="0" w:space="0" w:color="auto"/>
            <w:right w:val="none" w:sz="0" w:space="0" w:color="auto"/>
          </w:divBdr>
        </w:div>
        <w:div w:id="196622963">
          <w:marLeft w:val="480"/>
          <w:marRight w:val="0"/>
          <w:marTop w:val="0"/>
          <w:marBottom w:val="0"/>
          <w:divBdr>
            <w:top w:val="none" w:sz="0" w:space="0" w:color="auto"/>
            <w:left w:val="none" w:sz="0" w:space="0" w:color="auto"/>
            <w:bottom w:val="none" w:sz="0" w:space="0" w:color="auto"/>
            <w:right w:val="none" w:sz="0" w:space="0" w:color="auto"/>
          </w:divBdr>
        </w:div>
        <w:div w:id="1141314870">
          <w:marLeft w:val="480"/>
          <w:marRight w:val="0"/>
          <w:marTop w:val="0"/>
          <w:marBottom w:val="0"/>
          <w:divBdr>
            <w:top w:val="none" w:sz="0" w:space="0" w:color="auto"/>
            <w:left w:val="none" w:sz="0" w:space="0" w:color="auto"/>
            <w:bottom w:val="none" w:sz="0" w:space="0" w:color="auto"/>
            <w:right w:val="none" w:sz="0" w:space="0" w:color="auto"/>
          </w:divBdr>
        </w:div>
        <w:div w:id="1444958713">
          <w:marLeft w:val="480"/>
          <w:marRight w:val="0"/>
          <w:marTop w:val="0"/>
          <w:marBottom w:val="0"/>
          <w:divBdr>
            <w:top w:val="none" w:sz="0" w:space="0" w:color="auto"/>
            <w:left w:val="none" w:sz="0" w:space="0" w:color="auto"/>
            <w:bottom w:val="none" w:sz="0" w:space="0" w:color="auto"/>
            <w:right w:val="none" w:sz="0" w:space="0" w:color="auto"/>
          </w:divBdr>
        </w:div>
        <w:div w:id="77795981">
          <w:marLeft w:val="480"/>
          <w:marRight w:val="0"/>
          <w:marTop w:val="0"/>
          <w:marBottom w:val="0"/>
          <w:divBdr>
            <w:top w:val="none" w:sz="0" w:space="0" w:color="auto"/>
            <w:left w:val="none" w:sz="0" w:space="0" w:color="auto"/>
            <w:bottom w:val="none" w:sz="0" w:space="0" w:color="auto"/>
            <w:right w:val="none" w:sz="0" w:space="0" w:color="auto"/>
          </w:divBdr>
        </w:div>
        <w:div w:id="1987659771">
          <w:marLeft w:val="480"/>
          <w:marRight w:val="0"/>
          <w:marTop w:val="0"/>
          <w:marBottom w:val="0"/>
          <w:divBdr>
            <w:top w:val="none" w:sz="0" w:space="0" w:color="auto"/>
            <w:left w:val="none" w:sz="0" w:space="0" w:color="auto"/>
            <w:bottom w:val="none" w:sz="0" w:space="0" w:color="auto"/>
            <w:right w:val="none" w:sz="0" w:space="0" w:color="auto"/>
          </w:divBdr>
        </w:div>
        <w:div w:id="1444880111">
          <w:marLeft w:val="480"/>
          <w:marRight w:val="0"/>
          <w:marTop w:val="0"/>
          <w:marBottom w:val="0"/>
          <w:divBdr>
            <w:top w:val="none" w:sz="0" w:space="0" w:color="auto"/>
            <w:left w:val="none" w:sz="0" w:space="0" w:color="auto"/>
            <w:bottom w:val="none" w:sz="0" w:space="0" w:color="auto"/>
            <w:right w:val="none" w:sz="0" w:space="0" w:color="auto"/>
          </w:divBdr>
        </w:div>
        <w:div w:id="319819246">
          <w:marLeft w:val="480"/>
          <w:marRight w:val="0"/>
          <w:marTop w:val="0"/>
          <w:marBottom w:val="0"/>
          <w:divBdr>
            <w:top w:val="none" w:sz="0" w:space="0" w:color="auto"/>
            <w:left w:val="none" w:sz="0" w:space="0" w:color="auto"/>
            <w:bottom w:val="none" w:sz="0" w:space="0" w:color="auto"/>
            <w:right w:val="none" w:sz="0" w:space="0" w:color="auto"/>
          </w:divBdr>
        </w:div>
        <w:div w:id="1337852768">
          <w:marLeft w:val="480"/>
          <w:marRight w:val="0"/>
          <w:marTop w:val="0"/>
          <w:marBottom w:val="0"/>
          <w:divBdr>
            <w:top w:val="none" w:sz="0" w:space="0" w:color="auto"/>
            <w:left w:val="none" w:sz="0" w:space="0" w:color="auto"/>
            <w:bottom w:val="none" w:sz="0" w:space="0" w:color="auto"/>
            <w:right w:val="none" w:sz="0" w:space="0" w:color="auto"/>
          </w:divBdr>
        </w:div>
        <w:div w:id="582376182">
          <w:marLeft w:val="480"/>
          <w:marRight w:val="0"/>
          <w:marTop w:val="0"/>
          <w:marBottom w:val="0"/>
          <w:divBdr>
            <w:top w:val="none" w:sz="0" w:space="0" w:color="auto"/>
            <w:left w:val="none" w:sz="0" w:space="0" w:color="auto"/>
            <w:bottom w:val="none" w:sz="0" w:space="0" w:color="auto"/>
            <w:right w:val="none" w:sz="0" w:space="0" w:color="auto"/>
          </w:divBdr>
        </w:div>
        <w:div w:id="962423003">
          <w:marLeft w:val="480"/>
          <w:marRight w:val="0"/>
          <w:marTop w:val="0"/>
          <w:marBottom w:val="0"/>
          <w:divBdr>
            <w:top w:val="none" w:sz="0" w:space="0" w:color="auto"/>
            <w:left w:val="none" w:sz="0" w:space="0" w:color="auto"/>
            <w:bottom w:val="none" w:sz="0" w:space="0" w:color="auto"/>
            <w:right w:val="none" w:sz="0" w:space="0" w:color="auto"/>
          </w:divBdr>
        </w:div>
        <w:div w:id="598415090">
          <w:marLeft w:val="480"/>
          <w:marRight w:val="0"/>
          <w:marTop w:val="0"/>
          <w:marBottom w:val="0"/>
          <w:divBdr>
            <w:top w:val="none" w:sz="0" w:space="0" w:color="auto"/>
            <w:left w:val="none" w:sz="0" w:space="0" w:color="auto"/>
            <w:bottom w:val="none" w:sz="0" w:space="0" w:color="auto"/>
            <w:right w:val="none" w:sz="0" w:space="0" w:color="auto"/>
          </w:divBdr>
        </w:div>
        <w:div w:id="1217664919">
          <w:marLeft w:val="480"/>
          <w:marRight w:val="0"/>
          <w:marTop w:val="0"/>
          <w:marBottom w:val="0"/>
          <w:divBdr>
            <w:top w:val="none" w:sz="0" w:space="0" w:color="auto"/>
            <w:left w:val="none" w:sz="0" w:space="0" w:color="auto"/>
            <w:bottom w:val="none" w:sz="0" w:space="0" w:color="auto"/>
            <w:right w:val="none" w:sz="0" w:space="0" w:color="auto"/>
          </w:divBdr>
        </w:div>
      </w:divsChild>
    </w:div>
    <w:div w:id="1136337515">
      <w:bodyDiv w:val="1"/>
      <w:marLeft w:val="0"/>
      <w:marRight w:val="0"/>
      <w:marTop w:val="0"/>
      <w:marBottom w:val="0"/>
      <w:divBdr>
        <w:top w:val="none" w:sz="0" w:space="0" w:color="auto"/>
        <w:left w:val="none" w:sz="0" w:space="0" w:color="auto"/>
        <w:bottom w:val="none" w:sz="0" w:space="0" w:color="auto"/>
        <w:right w:val="none" w:sz="0" w:space="0" w:color="auto"/>
      </w:divBdr>
    </w:div>
    <w:div w:id="1137261512">
      <w:bodyDiv w:val="1"/>
      <w:marLeft w:val="0"/>
      <w:marRight w:val="0"/>
      <w:marTop w:val="0"/>
      <w:marBottom w:val="0"/>
      <w:divBdr>
        <w:top w:val="none" w:sz="0" w:space="0" w:color="auto"/>
        <w:left w:val="none" w:sz="0" w:space="0" w:color="auto"/>
        <w:bottom w:val="none" w:sz="0" w:space="0" w:color="auto"/>
        <w:right w:val="none" w:sz="0" w:space="0" w:color="auto"/>
      </w:divBdr>
    </w:div>
    <w:div w:id="1137449607">
      <w:bodyDiv w:val="1"/>
      <w:marLeft w:val="0"/>
      <w:marRight w:val="0"/>
      <w:marTop w:val="0"/>
      <w:marBottom w:val="0"/>
      <w:divBdr>
        <w:top w:val="none" w:sz="0" w:space="0" w:color="auto"/>
        <w:left w:val="none" w:sz="0" w:space="0" w:color="auto"/>
        <w:bottom w:val="none" w:sz="0" w:space="0" w:color="auto"/>
        <w:right w:val="none" w:sz="0" w:space="0" w:color="auto"/>
      </w:divBdr>
    </w:div>
    <w:div w:id="1137914125">
      <w:bodyDiv w:val="1"/>
      <w:marLeft w:val="0"/>
      <w:marRight w:val="0"/>
      <w:marTop w:val="0"/>
      <w:marBottom w:val="0"/>
      <w:divBdr>
        <w:top w:val="none" w:sz="0" w:space="0" w:color="auto"/>
        <w:left w:val="none" w:sz="0" w:space="0" w:color="auto"/>
        <w:bottom w:val="none" w:sz="0" w:space="0" w:color="auto"/>
        <w:right w:val="none" w:sz="0" w:space="0" w:color="auto"/>
      </w:divBdr>
    </w:div>
    <w:div w:id="1138180868">
      <w:bodyDiv w:val="1"/>
      <w:marLeft w:val="0"/>
      <w:marRight w:val="0"/>
      <w:marTop w:val="0"/>
      <w:marBottom w:val="0"/>
      <w:divBdr>
        <w:top w:val="none" w:sz="0" w:space="0" w:color="auto"/>
        <w:left w:val="none" w:sz="0" w:space="0" w:color="auto"/>
        <w:bottom w:val="none" w:sz="0" w:space="0" w:color="auto"/>
        <w:right w:val="none" w:sz="0" w:space="0" w:color="auto"/>
      </w:divBdr>
    </w:div>
    <w:div w:id="1138185699">
      <w:bodyDiv w:val="1"/>
      <w:marLeft w:val="0"/>
      <w:marRight w:val="0"/>
      <w:marTop w:val="0"/>
      <w:marBottom w:val="0"/>
      <w:divBdr>
        <w:top w:val="none" w:sz="0" w:space="0" w:color="auto"/>
        <w:left w:val="none" w:sz="0" w:space="0" w:color="auto"/>
        <w:bottom w:val="none" w:sz="0" w:space="0" w:color="auto"/>
        <w:right w:val="none" w:sz="0" w:space="0" w:color="auto"/>
      </w:divBdr>
    </w:div>
    <w:div w:id="1138449335">
      <w:bodyDiv w:val="1"/>
      <w:marLeft w:val="0"/>
      <w:marRight w:val="0"/>
      <w:marTop w:val="0"/>
      <w:marBottom w:val="0"/>
      <w:divBdr>
        <w:top w:val="none" w:sz="0" w:space="0" w:color="auto"/>
        <w:left w:val="none" w:sz="0" w:space="0" w:color="auto"/>
        <w:bottom w:val="none" w:sz="0" w:space="0" w:color="auto"/>
        <w:right w:val="none" w:sz="0" w:space="0" w:color="auto"/>
      </w:divBdr>
    </w:div>
    <w:div w:id="1138499066">
      <w:bodyDiv w:val="1"/>
      <w:marLeft w:val="0"/>
      <w:marRight w:val="0"/>
      <w:marTop w:val="0"/>
      <w:marBottom w:val="0"/>
      <w:divBdr>
        <w:top w:val="none" w:sz="0" w:space="0" w:color="auto"/>
        <w:left w:val="none" w:sz="0" w:space="0" w:color="auto"/>
        <w:bottom w:val="none" w:sz="0" w:space="0" w:color="auto"/>
        <w:right w:val="none" w:sz="0" w:space="0" w:color="auto"/>
      </w:divBdr>
    </w:div>
    <w:div w:id="1138648286">
      <w:bodyDiv w:val="1"/>
      <w:marLeft w:val="0"/>
      <w:marRight w:val="0"/>
      <w:marTop w:val="0"/>
      <w:marBottom w:val="0"/>
      <w:divBdr>
        <w:top w:val="none" w:sz="0" w:space="0" w:color="auto"/>
        <w:left w:val="none" w:sz="0" w:space="0" w:color="auto"/>
        <w:bottom w:val="none" w:sz="0" w:space="0" w:color="auto"/>
        <w:right w:val="none" w:sz="0" w:space="0" w:color="auto"/>
      </w:divBdr>
    </w:div>
    <w:div w:id="1139885760">
      <w:bodyDiv w:val="1"/>
      <w:marLeft w:val="0"/>
      <w:marRight w:val="0"/>
      <w:marTop w:val="0"/>
      <w:marBottom w:val="0"/>
      <w:divBdr>
        <w:top w:val="none" w:sz="0" w:space="0" w:color="auto"/>
        <w:left w:val="none" w:sz="0" w:space="0" w:color="auto"/>
        <w:bottom w:val="none" w:sz="0" w:space="0" w:color="auto"/>
        <w:right w:val="none" w:sz="0" w:space="0" w:color="auto"/>
      </w:divBdr>
    </w:div>
    <w:div w:id="1141389734">
      <w:bodyDiv w:val="1"/>
      <w:marLeft w:val="0"/>
      <w:marRight w:val="0"/>
      <w:marTop w:val="0"/>
      <w:marBottom w:val="0"/>
      <w:divBdr>
        <w:top w:val="none" w:sz="0" w:space="0" w:color="auto"/>
        <w:left w:val="none" w:sz="0" w:space="0" w:color="auto"/>
        <w:bottom w:val="none" w:sz="0" w:space="0" w:color="auto"/>
        <w:right w:val="none" w:sz="0" w:space="0" w:color="auto"/>
      </w:divBdr>
    </w:div>
    <w:div w:id="1141506358">
      <w:bodyDiv w:val="1"/>
      <w:marLeft w:val="0"/>
      <w:marRight w:val="0"/>
      <w:marTop w:val="0"/>
      <w:marBottom w:val="0"/>
      <w:divBdr>
        <w:top w:val="none" w:sz="0" w:space="0" w:color="auto"/>
        <w:left w:val="none" w:sz="0" w:space="0" w:color="auto"/>
        <w:bottom w:val="none" w:sz="0" w:space="0" w:color="auto"/>
        <w:right w:val="none" w:sz="0" w:space="0" w:color="auto"/>
      </w:divBdr>
    </w:div>
    <w:div w:id="1141730579">
      <w:bodyDiv w:val="1"/>
      <w:marLeft w:val="0"/>
      <w:marRight w:val="0"/>
      <w:marTop w:val="0"/>
      <w:marBottom w:val="0"/>
      <w:divBdr>
        <w:top w:val="none" w:sz="0" w:space="0" w:color="auto"/>
        <w:left w:val="none" w:sz="0" w:space="0" w:color="auto"/>
        <w:bottom w:val="none" w:sz="0" w:space="0" w:color="auto"/>
        <w:right w:val="none" w:sz="0" w:space="0" w:color="auto"/>
      </w:divBdr>
    </w:div>
    <w:div w:id="1142498439">
      <w:bodyDiv w:val="1"/>
      <w:marLeft w:val="0"/>
      <w:marRight w:val="0"/>
      <w:marTop w:val="0"/>
      <w:marBottom w:val="0"/>
      <w:divBdr>
        <w:top w:val="none" w:sz="0" w:space="0" w:color="auto"/>
        <w:left w:val="none" w:sz="0" w:space="0" w:color="auto"/>
        <w:bottom w:val="none" w:sz="0" w:space="0" w:color="auto"/>
        <w:right w:val="none" w:sz="0" w:space="0" w:color="auto"/>
      </w:divBdr>
    </w:div>
    <w:div w:id="1143084822">
      <w:bodyDiv w:val="1"/>
      <w:marLeft w:val="0"/>
      <w:marRight w:val="0"/>
      <w:marTop w:val="0"/>
      <w:marBottom w:val="0"/>
      <w:divBdr>
        <w:top w:val="none" w:sz="0" w:space="0" w:color="auto"/>
        <w:left w:val="none" w:sz="0" w:space="0" w:color="auto"/>
        <w:bottom w:val="none" w:sz="0" w:space="0" w:color="auto"/>
        <w:right w:val="none" w:sz="0" w:space="0" w:color="auto"/>
      </w:divBdr>
    </w:div>
    <w:div w:id="1143885615">
      <w:bodyDiv w:val="1"/>
      <w:marLeft w:val="0"/>
      <w:marRight w:val="0"/>
      <w:marTop w:val="0"/>
      <w:marBottom w:val="0"/>
      <w:divBdr>
        <w:top w:val="none" w:sz="0" w:space="0" w:color="auto"/>
        <w:left w:val="none" w:sz="0" w:space="0" w:color="auto"/>
        <w:bottom w:val="none" w:sz="0" w:space="0" w:color="auto"/>
        <w:right w:val="none" w:sz="0" w:space="0" w:color="auto"/>
      </w:divBdr>
    </w:div>
    <w:div w:id="1144159173">
      <w:bodyDiv w:val="1"/>
      <w:marLeft w:val="0"/>
      <w:marRight w:val="0"/>
      <w:marTop w:val="0"/>
      <w:marBottom w:val="0"/>
      <w:divBdr>
        <w:top w:val="none" w:sz="0" w:space="0" w:color="auto"/>
        <w:left w:val="none" w:sz="0" w:space="0" w:color="auto"/>
        <w:bottom w:val="none" w:sz="0" w:space="0" w:color="auto"/>
        <w:right w:val="none" w:sz="0" w:space="0" w:color="auto"/>
      </w:divBdr>
    </w:div>
    <w:div w:id="1144348351">
      <w:bodyDiv w:val="1"/>
      <w:marLeft w:val="0"/>
      <w:marRight w:val="0"/>
      <w:marTop w:val="0"/>
      <w:marBottom w:val="0"/>
      <w:divBdr>
        <w:top w:val="none" w:sz="0" w:space="0" w:color="auto"/>
        <w:left w:val="none" w:sz="0" w:space="0" w:color="auto"/>
        <w:bottom w:val="none" w:sz="0" w:space="0" w:color="auto"/>
        <w:right w:val="none" w:sz="0" w:space="0" w:color="auto"/>
      </w:divBdr>
    </w:div>
    <w:div w:id="1144739958">
      <w:bodyDiv w:val="1"/>
      <w:marLeft w:val="0"/>
      <w:marRight w:val="0"/>
      <w:marTop w:val="0"/>
      <w:marBottom w:val="0"/>
      <w:divBdr>
        <w:top w:val="none" w:sz="0" w:space="0" w:color="auto"/>
        <w:left w:val="none" w:sz="0" w:space="0" w:color="auto"/>
        <w:bottom w:val="none" w:sz="0" w:space="0" w:color="auto"/>
        <w:right w:val="none" w:sz="0" w:space="0" w:color="auto"/>
      </w:divBdr>
    </w:div>
    <w:div w:id="1144812410">
      <w:bodyDiv w:val="1"/>
      <w:marLeft w:val="0"/>
      <w:marRight w:val="0"/>
      <w:marTop w:val="0"/>
      <w:marBottom w:val="0"/>
      <w:divBdr>
        <w:top w:val="none" w:sz="0" w:space="0" w:color="auto"/>
        <w:left w:val="none" w:sz="0" w:space="0" w:color="auto"/>
        <w:bottom w:val="none" w:sz="0" w:space="0" w:color="auto"/>
        <w:right w:val="none" w:sz="0" w:space="0" w:color="auto"/>
      </w:divBdr>
    </w:div>
    <w:div w:id="1145464755">
      <w:bodyDiv w:val="1"/>
      <w:marLeft w:val="0"/>
      <w:marRight w:val="0"/>
      <w:marTop w:val="0"/>
      <w:marBottom w:val="0"/>
      <w:divBdr>
        <w:top w:val="none" w:sz="0" w:space="0" w:color="auto"/>
        <w:left w:val="none" w:sz="0" w:space="0" w:color="auto"/>
        <w:bottom w:val="none" w:sz="0" w:space="0" w:color="auto"/>
        <w:right w:val="none" w:sz="0" w:space="0" w:color="auto"/>
      </w:divBdr>
    </w:div>
    <w:div w:id="1146780998">
      <w:bodyDiv w:val="1"/>
      <w:marLeft w:val="0"/>
      <w:marRight w:val="0"/>
      <w:marTop w:val="0"/>
      <w:marBottom w:val="0"/>
      <w:divBdr>
        <w:top w:val="none" w:sz="0" w:space="0" w:color="auto"/>
        <w:left w:val="none" w:sz="0" w:space="0" w:color="auto"/>
        <w:bottom w:val="none" w:sz="0" w:space="0" w:color="auto"/>
        <w:right w:val="none" w:sz="0" w:space="0" w:color="auto"/>
      </w:divBdr>
    </w:div>
    <w:div w:id="1147404986">
      <w:bodyDiv w:val="1"/>
      <w:marLeft w:val="0"/>
      <w:marRight w:val="0"/>
      <w:marTop w:val="0"/>
      <w:marBottom w:val="0"/>
      <w:divBdr>
        <w:top w:val="none" w:sz="0" w:space="0" w:color="auto"/>
        <w:left w:val="none" w:sz="0" w:space="0" w:color="auto"/>
        <w:bottom w:val="none" w:sz="0" w:space="0" w:color="auto"/>
        <w:right w:val="none" w:sz="0" w:space="0" w:color="auto"/>
      </w:divBdr>
    </w:div>
    <w:div w:id="1147479084">
      <w:bodyDiv w:val="1"/>
      <w:marLeft w:val="0"/>
      <w:marRight w:val="0"/>
      <w:marTop w:val="0"/>
      <w:marBottom w:val="0"/>
      <w:divBdr>
        <w:top w:val="none" w:sz="0" w:space="0" w:color="auto"/>
        <w:left w:val="none" w:sz="0" w:space="0" w:color="auto"/>
        <w:bottom w:val="none" w:sz="0" w:space="0" w:color="auto"/>
        <w:right w:val="none" w:sz="0" w:space="0" w:color="auto"/>
      </w:divBdr>
    </w:div>
    <w:div w:id="1148017348">
      <w:bodyDiv w:val="1"/>
      <w:marLeft w:val="0"/>
      <w:marRight w:val="0"/>
      <w:marTop w:val="0"/>
      <w:marBottom w:val="0"/>
      <w:divBdr>
        <w:top w:val="none" w:sz="0" w:space="0" w:color="auto"/>
        <w:left w:val="none" w:sz="0" w:space="0" w:color="auto"/>
        <w:bottom w:val="none" w:sz="0" w:space="0" w:color="auto"/>
        <w:right w:val="none" w:sz="0" w:space="0" w:color="auto"/>
      </w:divBdr>
    </w:div>
    <w:div w:id="1148329317">
      <w:bodyDiv w:val="1"/>
      <w:marLeft w:val="0"/>
      <w:marRight w:val="0"/>
      <w:marTop w:val="0"/>
      <w:marBottom w:val="0"/>
      <w:divBdr>
        <w:top w:val="none" w:sz="0" w:space="0" w:color="auto"/>
        <w:left w:val="none" w:sz="0" w:space="0" w:color="auto"/>
        <w:bottom w:val="none" w:sz="0" w:space="0" w:color="auto"/>
        <w:right w:val="none" w:sz="0" w:space="0" w:color="auto"/>
      </w:divBdr>
    </w:div>
    <w:div w:id="1148598303">
      <w:bodyDiv w:val="1"/>
      <w:marLeft w:val="0"/>
      <w:marRight w:val="0"/>
      <w:marTop w:val="0"/>
      <w:marBottom w:val="0"/>
      <w:divBdr>
        <w:top w:val="none" w:sz="0" w:space="0" w:color="auto"/>
        <w:left w:val="none" w:sz="0" w:space="0" w:color="auto"/>
        <w:bottom w:val="none" w:sz="0" w:space="0" w:color="auto"/>
        <w:right w:val="none" w:sz="0" w:space="0" w:color="auto"/>
      </w:divBdr>
    </w:div>
    <w:div w:id="1148668100">
      <w:bodyDiv w:val="1"/>
      <w:marLeft w:val="0"/>
      <w:marRight w:val="0"/>
      <w:marTop w:val="0"/>
      <w:marBottom w:val="0"/>
      <w:divBdr>
        <w:top w:val="none" w:sz="0" w:space="0" w:color="auto"/>
        <w:left w:val="none" w:sz="0" w:space="0" w:color="auto"/>
        <w:bottom w:val="none" w:sz="0" w:space="0" w:color="auto"/>
        <w:right w:val="none" w:sz="0" w:space="0" w:color="auto"/>
      </w:divBdr>
    </w:div>
    <w:div w:id="1148785053">
      <w:bodyDiv w:val="1"/>
      <w:marLeft w:val="0"/>
      <w:marRight w:val="0"/>
      <w:marTop w:val="0"/>
      <w:marBottom w:val="0"/>
      <w:divBdr>
        <w:top w:val="none" w:sz="0" w:space="0" w:color="auto"/>
        <w:left w:val="none" w:sz="0" w:space="0" w:color="auto"/>
        <w:bottom w:val="none" w:sz="0" w:space="0" w:color="auto"/>
        <w:right w:val="none" w:sz="0" w:space="0" w:color="auto"/>
      </w:divBdr>
    </w:div>
    <w:div w:id="1148857360">
      <w:bodyDiv w:val="1"/>
      <w:marLeft w:val="0"/>
      <w:marRight w:val="0"/>
      <w:marTop w:val="0"/>
      <w:marBottom w:val="0"/>
      <w:divBdr>
        <w:top w:val="none" w:sz="0" w:space="0" w:color="auto"/>
        <w:left w:val="none" w:sz="0" w:space="0" w:color="auto"/>
        <w:bottom w:val="none" w:sz="0" w:space="0" w:color="auto"/>
        <w:right w:val="none" w:sz="0" w:space="0" w:color="auto"/>
      </w:divBdr>
    </w:div>
    <w:div w:id="1149054891">
      <w:bodyDiv w:val="1"/>
      <w:marLeft w:val="0"/>
      <w:marRight w:val="0"/>
      <w:marTop w:val="0"/>
      <w:marBottom w:val="0"/>
      <w:divBdr>
        <w:top w:val="none" w:sz="0" w:space="0" w:color="auto"/>
        <w:left w:val="none" w:sz="0" w:space="0" w:color="auto"/>
        <w:bottom w:val="none" w:sz="0" w:space="0" w:color="auto"/>
        <w:right w:val="none" w:sz="0" w:space="0" w:color="auto"/>
      </w:divBdr>
    </w:div>
    <w:div w:id="1149908818">
      <w:bodyDiv w:val="1"/>
      <w:marLeft w:val="0"/>
      <w:marRight w:val="0"/>
      <w:marTop w:val="0"/>
      <w:marBottom w:val="0"/>
      <w:divBdr>
        <w:top w:val="none" w:sz="0" w:space="0" w:color="auto"/>
        <w:left w:val="none" w:sz="0" w:space="0" w:color="auto"/>
        <w:bottom w:val="none" w:sz="0" w:space="0" w:color="auto"/>
        <w:right w:val="none" w:sz="0" w:space="0" w:color="auto"/>
      </w:divBdr>
    </w:div>
    <w:div w:id="1149984127">
      <w:bodyDiv w:val="1"/>
      <w:marLeft w:val="0"/>
      <w:marRight w:val="0"/>
      <w:marTop w:val="0"/>
      <w:marBottom w:val="0"/>
      <w:divBdr>
        <w:top w:val="none" w:sz="0" w:space="0" w:color="auto"/>
        <w:left w:val="none" w:sz="0" w:space="0" w:color="auto"/>
        <w:bottom w:val="none" w:sz="0" w:space="0" w:color="auto"/>
        <w:right w:val="none" w:sz="0" w:space="0" w:color="auto"/>
      </w:divBdr>
    </w:div>
    <w:div w:id="1150247603">
      <w:bodyDiv w:val="1"/>
      <w:marLeft w:val="0"/>
      <w:marRight w:val="0"/>
      <w:marTop w:val="0"/>
      <w:marBottom w:val="0"/>
      <w:divBdr>
        <w:top w:val="none" w:sz="0" w:space="0" w:color="auto"/>
        <w:left w:val="none" w:sz="0" w:space="0" w:color="auto"/>
        <w:bottom w:val="none" w:sz="0" w:space="0" w:color="auto"/>
        <w:right w:val="none" w:sz="0" w:space="0" w:color="auto"/>
      </w:divBdr>
    </w:div>
    <w:div w:id="1150555781">
      <w:bodyDiv w:val="1"/>
      <w:marLeft w:val="0"/>
      <w:marRight w:val="0"/>
      <w:marTop w:val="0"/>
      <w:marBottom w:val="0"/>
      <w:divBdr>
        <w:top w:val="none" w:sz="0" w:space="0" w:color="auto"/>
        <w:left w:val="none" w:sz="0" w:space="0" w:color="auto"/>
        <w:bottom w:val="none" w:sz="0" w:space="0" w:color="auto"/>
        <w:right w:val="none" w:sz="0" w:space="0" w:color="auto"/>
      </w:divBdr>
    </w:div>
    <w:div w:id="1150710885">
      <w:bodyDiv w:val="1"/>
      <w:marLeft w:val="0"/>
      <w:marRight w:val="0"/>
      <w:marTop w:val="0"/>
      <w:marBottom w:val="0"/>
      <w:divBdr>
        <w:top w:val="none" w:sz="0" w:space="0" w:color="auto"/>
        <w:left w:val="none" w:sz="0" w:space="0" w:color="auto"/>
        <w:bottom w:val="none" w:sz="0" w:space="0" w:color="auto"/>
        <w:right w:val="none" w:sz="0" w:space="0" w:color="auto"/>
      </w:divBdr>
    </w:div>
    <w:div w:id="1151024258">
      <w:bodyDiv w:val="1"/>
      <w:marLeft w:val="0"/>
      <w:marRight w:val="0"/>
      <w:marTop w:val="0"/>
      <w:marBottom w:val="0"/>
      <w:divBdr>
        <w:top w:val="none" w:sz="0" w:space="0" w:color="auto"/>
        <w:left w:val="none" w:sz="0" w:space="0" w:color="auto"/>
        <w:bottom w:val="none" w:sz="0" w:space="0" w:color="auto"/>
        <w:right w:val="none" w:sz="0" w:space="0" w:color="auto"/>
      </w:divBdr>
    </w:div>
    <w:div w:id="1151141965">
      <w:bodyDiv w:val="1"/>
      <w:marLeft w:val="0"/>
      <w:marRight w:val="0"/>
      <w:marTop w:val="0"/>
      <w:marBottom w:val="0"/>
      <w:divBdr>
        <w:top w:val="none" w:sz="0" w:space="0" w:color="auto"/>
        <w:left w:val="none" w:sz="0" w:space="0" w:color="auto"/>
        <w:bottom w:val="none" w:sz="0" w:space="0" w:color="auto"/>
        <w:right w:val="none" w:sz="0" w:space="0" w:color="auto"/>
      </w:divBdr>
    </w:div>
    <w:div w:id="1151287128">
      <w:bodyDiv w:val="1"/>
      <w:marLeft w:val="0"/>
      <w:marRight w:val="0"/>
      <w:marTop w:val="0"/>
      <w:marBottom w:val="0"/>
      <w:divBdr>
        <w:top w:val="none" w:sz="0" w:space="0" w:color="auto"/>
        <w:left w:val="none" w:sz="0" w:space="0" w:color="auto"/>
        <w:bottom w:val="none" w:sz="0" w:space="0" w:color="auto"/>
        <w:right w:val="none" w:sz="0" w:space="0" w:color="auto"/>
      </w:divBdr>
    </w:div>
    <w:div w:id="1151407842">
      <w:bodyDiv w:val="1"/>
      <w:marLeft w:val="0"/>
      <w:marRight w:val="0"/>
      <w:marTop w:val="0"/>
      <w:marBottom w:val="0"/>
      <w:divBdr>
        <w:top w:val="none" w:sz="0" w:space="0" w:color="auto"/>
        <w:left w:val="none" w:sz="0" w:space="0" w:color="auto"/>
        <w:bottom w:val="none" w:sz="0" w:space="0" w:color="auto"/>
        <w:right w:val="none" w:sz="0" w:space="0" w:color="auto"/>
      </w:divBdr>
    </w:div>
    <w:div w:id="1151795997">
      <w:bodyDiv w:val="1"/>
      <w:marLeft w:val="0"/>
      <w:marRight w:val="0"/>
      <w:marTop w:val="0"/>
      <w:marBottom w:val="0"/>
      <w:divBdr>
        <w:top w:val="none" w:sz="0" w:space="0" w:color="auto"/>
        <w:left w:val="none" w:sz="0" w:space="0" w:color="auto"/>
        <w:bottom w:val="none" w:sz="0" w:space="0" w:color="auto"/>
        <w:right w:val="none" w:sz="0" w:space="0" w:color="auto"/>
      </w:divBdr>
    </w:div>
    <w:div w:id="1151942186">
      <w:bodyDiv w:val="1"/>
      <w:marLeft w:val="0"/>
      <w:marRight w:val="0"/>
      <w:marTop w:val="0"/>
      <w:marBottom w:val="0"/>
      <w:divBdr>
        <w:top w:val="none" w:sz="0" w:space="0" w:color="auto"/>
        <w:left w:val="none" w:sz="0" w:space="0" w:color="auto"/>
        <w:bottom w:val="none" w:sz="0" w:space="0" w:color="auto"/>
        <w:right w:val="none" w:sz="0" w:space="0" w:color="auto"/>
      </w:divBdr>
    </w:div>
    <w:div w:id="1154445035">
      <w:bodyDiv w:val="1"/>
      <w:marLeft w:val="0"/>
      <w:marRight w:val="0"/>
      <w:marTop w:val="0"/>
      <w:marBottom w:val="0"/>
      <w:divBdr>
        <w:top w:val="none" w:sz="0" w:space="0" w:color="auto"/>
        <w:left w:val="none" w:sz="0" w:space="0" w:color="auto"/>
        <w:bottom w:val="none" w:sz="0" w:space="0" w:color="auto"/>
        <w:right w:val="none" w:sz="0" w:space="0" w:color="auto"/>
      </w:divBdr>
    </w:div>
    <w:div w:id="1155029615">
      <w:bodyDiv w:val="1"/>
      <w:marLeft w:val="0"/>
      <w:marRight w:val="0"/>
      <w:marTop w:val="0"/>
      <w:marBottom w:val="0"/>
      <w:divBdr>
        <w:top w:val="none" w:sz="0" w:space="0" w:color="auto"/>
        <w:left w:val="none" w:sz="0" w:space="0" w:color="auto"/>
        <w:bottom w:val="none" w:sz="0" w:space="0" w:color="auto"/>
        <w:right w:val="none" w:sz="0" w:space="0" w:color="auto"/>
      </w:divBdr>
    </w:div>
    <w:div w:id="1156842032">
      <w:bodyDiv w:val="1"/>
      <w:marLeft w:val="0"/>
      <w:marRight w:val="0"/>
      <w:marTop w:val="0"/>
      <w:marBottom w:val="0"/>
      <w:divBdr>
        <w:top w:val="none" w:sz="0" w:space="0" w:color="auto"/>
        <w:left w:val="none" w:sz="0" w:space="0" w:color="auto"/>
        <w:bottom w:val="none" w:sz="0" w:space="0" w:color="auto"/>
        <w:right w:val="none" w:sz="0" w:space="0" w:color="auto"/>
      </w:divBdr>
    </w:div>
    <w:div w:id="1156923251">
      <w:bodyDiv w:val="1"/>
      <w:marLeft w:val="0"/>
      <w:marRight w:val="0"/>
      <w:marTop w:val="0"/>
      <w:marBottom w:val="0"/>
      <w:divBdr>
        <w:top w:val="none" w:sz="0" w:space="0" w:color="auto"/>
        <w:left w:val="none" w:sz="0" w:space="0" w:color="auto"/>
        <w:bottom w:val="none" w:sz="0" w:space="0" w:color="auto"/>
        <w:right w:val="none" w:sz="0" w:space="0" w:color="auto"/>
      </w:divBdr>
    </w:div>
    <w:div w:id="1157116194">
      <w:bodyDiv w:val="1"/>
      <w:marLeft w:val="0"/>
      <w:marRight w:val="0"/>
      <w:marTop w:val="0"/>
      <w:marBottom w:val="0"/>
      <w:divBdr>
        <w:top w:val="none" w:sz="0" w:space="0" w:color="auto"/>
        <w:left w:val="none" w:sz="0" w:space="0" w:color="auto"/>
        <w:bottom w:val="none" w:sz="0" w:space="0" w:color="auto"/>
        <w:right w:val="none" w:sz="0" w:space="0" w:color="auto"/>
      </w:divBdr>
    </w:div>
    <w:div w:id="1157454886">
      <w:bodyDiv w:val="1"/>
      <w:marLeft w:val="0"/>
      <w:marRight w:val="0"/>
      <w:marTop w:val="0"/>
      <w:marBottom w:val="0"/>
      <w:divBdr>
        <w:top w:val="none" w:sz="0" w:space="0" w:color="auto"/>
        <w:left w:val="none" w:sz="0" w:space="0" w:color="auto"/>
        <w:bottom w:val="none" w:sz="0" w:space="0" w:color="auto"/>
        <w:right w:val="none" w:sz="0" w:space="0" w:color="auto"/>
      </w:divBdr>
    </w:div>
    <w:div w:id="1158420774">
      <w:bodyDiv w:val="1"/>
      <w:marLeft w:val="0"/>
      <w:marRight w:val="0"/>
      <w:marTop w:val="0"/>
      <w:marBottom w:val="0"/>
      <w:divBdr>
        <w:top w:val="none" w:sz="0" w:space="0" w:color="auto"/>
        <w:left w:val="none" w:sz="0" w:space="0" w:color="auto"/>
        <w:bottom w:val="none" w:sz="0" w:space="0" w:color="auto"/>
        <w:right w:val="none" w:sz="0" w:space="0" w:color="auto"/>
      </w:divBdr>
    </w:div>
    <w:div w:id="1158769521">
      <w:bodyDiv w:val="1"/>
      <w:marLeft w:val="0"/>
      <w:marRight w:val="0"/>
      <w:marTop w:val="0"/>
      <w:marBottom w:val="0"/>
      <w:divBdr>
        <w:top w:val="none" w:sz="0" w:space="0" w:color="auto"/>
        <w:left w:val="none" w:sz="0" w:space="0" w:color="auto"/>
        <w:bottom w:val="none" w:sz="0" w:space="0" w:color="auto"/>
        <w:right w:val="none" w:sz="0" w:space="0" w:color="auto"/>
      </w:divBdr>
    </w:div>
    <w:div w:id="1158955978">
      <w:bodyDiv w:val="1"/>
      <w:marLeft w:val="0"/>
      <w:marRight w:val="0"/>
      <w:marTop w:val="0"/>
      <w:marBottom w:val="0"/>
      <w:divBdr>
        <w:top w:val="none" w:sz="0" w:space="0" w:color="auto"/>
        <w:left w:val="none" w:sz="0" w:space="0" w:color="auto"/>
        <w:bottom w:val="none" w:sz="0" w:space="0" w:color="auto"/>
        <w:right w:val="none" w:sz="0" w:space="0" w:color="auto"/>
      </w:divBdr>
    </w:div>
    <w:div w:id="1159075877">
      <w:bodyDiv w:val="1"/>
      <w:marLeft w:val="0"/>
      <w:marRight w:val="0"/>
      <w:marTop w:val="0"/>
      <w:marBottom w:val="0"/>
      <w:divBdr>
        <w:top w:val="none" w:sz="0" w:space="0" w:color="auto"/>
        <w:left w:val="none" w:sz="0" w:space="0" w:color="auto"/>
        <w:bottom w:val="none" w:sz="0" w:space="0" w:color="auto"/>
        <w:right w:val="none" w:sz="0" w:space="0" w:color="auto"/>
      </w:divBdr>
    </w:div>
    <w:div w:id="1159275385">
      <w:bodyDiv w:val="1"/>
      <w:marLeft w:val="0"/>
      <w:marRight w:val="0"/>
      <w:marTop w:val="0"/>
      <w:marBottom w:val="0"/>
      <w:divBdr>
        <w:top w:val="none" w:sz="0" w:space="0" w:color="auto"/>
        <w:left w:val="none" w:sz="0" w:space="0" w:color="auto"/>
        <w:bottom w:val="none" w:sz="0" w:space="0" w:color="auto"/>
        <w:right w:val="none" w:sz="0" w:space="0" w:color="auto"/>
      </w:divBdr>
    </w:div>
    <w:div w:id="1159730706">
      <w:bodyDiv w:val="1"/>
      <w:marLeft w:val="0"/>
      <w:marRight w:val="0"/>
      <w:marTop w:val="0"/>
      <w:marBottom w:val="0"/>
      <w:divBdr>
        <w:top w:val="none" w:sz="0" w:space="0" w:color="auto"/>
        <w:left w:val="none" w:sz="0" w:space="0" w:color="auto"/>
        <w:bottom w:val="none" w:sz="0" w:space="0" w:color="auto"/>
        <w:right w:val="none" w:sz="0" w:space="0" w:color="auto"/>
      </w:divBdr>
    </w:div>
    <w:div w:id="1160147871">
      <w:bodyDiv w:val="1"/>
      <w:marLeft w:val="0"/>
      <w:marRight w:val="0"/>
      <w:marTop w:val="0"/>
      <w:marBottom w:val="0"/>
      <w:divBdr>
        <w:top w:val="none" w:sz="0" w:space="0" w:color="auto"/>
        <w:left w:val="none" w:sz="0" w:space="0" w:color="auto"/>
        <w:bottom w:val="none" w:sz="0" w:space="0" w:color="auto"/>
        <w:right w:val="none" w:sz="0" w:space="0" w:color="auto"/>
      </w:divBdr>
    </w:div>
    <w:div w:id="1160199923">
      <w:bodyDiv w:val="1"/>
      <w:marLeft w:val="0"/>
      <w:marRight w:val="0"/>
      <w:marTop w:val="0"/>
      <w:marBottom w:val="0"/>
      <w:divBdr>
        <w:top w:val="none" w:sz="0" w:space="0" w:color="auto"/>
        <w:left w:val="none" w:sz="0" w:space="0" w:color="auto"/>
        <w:bottom w:val="none" w:sz="0" w:space="0" w:color="auto"/>
        <w:right w:val="none" w:sz="0" w:space="0" w:color="auto"/>
      </w:divBdr>
    </w:div>
    <w:div w:id="1160855043">
      <w:bodyDiv w:val="1"/>
      <w:marLeft w:val="0"/>
      <w:marRight w:val="0"/>
      <w:marTop w:val="0"/>
      <w:marBottom w:val="0"/>
      <w:divBdr>
        <w:top w:val="none" w:sz="0" w:space="0" w:color="auto"/>
        <w:left w:val="none" w:sz="0" w:space="0" w:color="auto"/>
        <w:bottom w:val="none" w:sz="0" w:space="0" w:color="auto"/>
        <w:right w:val="none" w:sz="0" w:space="0" w:color="auto"/>
      </w:divBdr>
    </w:div>
    <w:div w:id="1161698386">
      <w:bodyDiv w:val="1"/>
      <w:marLeft w:val="0"/>
      <w:marRight w:val="0"/>
      <w:marTop w:val="0"/>
      <w:marBottom w:val="0"/>
      <w:divBdr>
        <w:top w:val="none" w:sz="0" w:space="0" w:color="auto"/>
        <w:left w:val="none" w:sz="0" w:space="0" w:color="auto"/>
        <w:bottom w:val="none" w:sz="0" w:space="0" w:color="auto"/>
        <w:right w:val="none" w:sz="0" w:space="0" w:color="auto"/>
      </w:divBdr>
    </w:div>
    <w:div w:id="1161701566">
      <w:bodyDiv w:val="1"/>
      <w:marLeft w:val="0"/>
      <w:marRight w:val="0"/>
      <w:marTop w:val="0"/>
      <w:marBottom w:val="0"/>
      <w:divBdr>
        <w:top w:val="none" w:sz="0" w:space="0" w:color="auto"/>
        <w:left w:val="none" w:sz="0" w:space="0" w:color="auto"/>
        <w:bottom w:val="none" w:sz="0" w:space="0" w:color="auto"/>
        <w:right w:val="none" w:sz="0" w:space="0" w:color="auto"/>
      </w:divBdr>
    </w:div>
    <w:div w:id="1161772144">
      <w:bodyDiv w:val="1"/>
      <w:marLeft w:val="0"/>
      <w:marRight w:val="0"/>
      <w:marTop w:val="0"/>
      <w:marBottom w:val="0"/>
      <w:divBdr>
        <w:top w:val="none" w:sz="0" w:space="0" w:color="auto"/>
        <w:left w:val="none" w:sz="0" w:space="0" w:color="auto"/>
        <w:bottom w:val="none" w:sz="0" w:space="0" w:color="auto"/>
        <w:right w:val="none" w:sz="0" w:space="0" w:color="auto"/>
      </w:divBdr>
    </w:div>
    <w:div w:id="1162043616">
      <w:bodyDiv w:val="1"/>
      <w:marLeft w:val="0"/>
      <w:marRight w:val="0"/>
      <w:marTop w:val="0"/>
      <w:marBottom w:val="0"/>
      <w:divBdr>
        <w:top w:val="none" w:sz="0" w:space="0" w:color="auto"/>
        <w:left w:val="none" w:sz="0" w:space="0" w:color="auto"/>
        <w:bottom w:val="none" w:sz="0" w:space="0" w:color="auto"/>
        <w:right w:val="none" w:sz="0" w:space="0" w:color="auto"/>
      </w:divBdr>
    </w:div>
    <w:div w:id="1162090065">
      <w:bodyDiv w:val="1"/>
      <w:marLeft w:val="0"/>
      <w:marRight w:val="0"/>
      <w:marTop w:val="0"/>
      <w:marBottom w:val="0"/>
      <w:divBdr>
        <w:top w:val="none" w:sz="0" w:space="0" w:color="auto"/>
        <w:left w:val="none" w:sz="0" w:space="0" w:color="auto"/>
        <w:bottom w:val="none" w:sz="0" w:space="0" w:color="auto"/>
        <w:right w:val="none" w:sz="0" w:space="0" w:color="auto"/>
      </w:divBdr>
    </w:div>
    <w:div w:id="1162349351">
      <w:bodyDiv w:val="1"/>
      <w:marLeft w:val="0"/>
      <w:marRight w:val="0"/>
      <w:marTop w:val="0"/>
      <w:marBottom w:val="0"/>
      <w:divBdr>
        <w:top w:val="none" w:sz="0" w:space="0" w:color="auto"/>
        <w:left w:val="none" w:sz="0" w:space="0" w:color="auto"/>
        <w:bottom w:val="none" w:sz="0" w:space="0" w:color="auto"/>
        <w:right w:val="none" w:sz="0" w:space="0" w:color="auto"/>
      </w:divBdr>
    </w:div>
    <w:div w:id="1162352326">
      <w:bodyDiv w:val="1"/>
      <w:marLeft w:val="0"/>
      <w:marRight w:val="0"/>
      <w:marTop w:val="0"/>
      <w:marBottom w:val="0"/>
      <w:divBdr>
        <w:top w:val="none" w:sz="0" w:space="0" w:color="auto"/>
        <w:left w:val="none" w:sz="0" w:space="0" w:color="auto"/>
        <w:bottom w:val="none" w:sz="0" w:space="0" w:color="auto"/>
        <w:right w:val="none" w:sz="0" w:space="0" w:color="auto"/>
      </w:divBdr>
    </w:div>
    <w:div w:id="1162621469">
      <w:bodyDiv w:val="1"/>
      <w:marLeft w:val="0"/>
      <w:marRight w:val="0"/>
      <w:marTop w:val="0"/>
      <w:marBottom w:val="0"/>
      <w:divBdr>
        <w:top w:val="none" w:sz="0" w:space="0" w:color="auto"/>
        <w:left w:val="none" w:sz="0" w:space="0" w:color="auto"/>
        <w:bottom w:val="none" w:sz="0" w:space="0" w:color="auto"/>
        <w:right w:val="none" w:sz="0" w:space="0" w:color="auto"/>
      </w:divBdr>
    </w:div>
    <w:div w:id="1162771161">
      <w:bodyDiv w:val="1"/>
      <w:marLeft w:val="0"/>
      <w:marRight w:val="0"/>
      <w:marTop w:val="0"/>
      <w:marBottom w:val="0"/>
      <w:divBdr>
        <w:top w:val="none" w:sz="0" w:space="0" w:color="auto"/>
        <w:left w:val="none" w:sz="0" w:space="0" w:color="auto"/>
        <w:bottom w:val="none" w:sz="0" w:space="0" w:color="auto"/>
        <w:right w:val="none" w:sz="0" w:space="0" w:color="auto"/>
      </w:divBdr>
    </w:div>
    <w:div w:id="1162963012">
      <w:bodyDiv w:val="1"/>
      <w:marLeft w:val="0"/>
      <w:marRight w:val="0"/>
      <w:marTop w:val="0"/>
      <w:marBottom w:val="0"/>
      <w:divBdr>
        <w:top w:val="none" w:sz="0" w:space="0" w:color="auto"/>
        <w:left w:val="none" w:sz="0" w:space="0" w:color="auto"/>
        <w:bottom w:val="none" w:sz="0" w:space="0" w:color="auto"/>
        <w:right w:val="none" w:sz="0" w:space="0" w:color="auto"/>
      </w:divBdr>
    </w:div>
    <w:div w:id="1163200392">
      <w:bodyDiv w:val="1"/>
      <w:marLeft w:val="0"/>
      <w:marRight w:val="0"/>
      <w:marTop w:val="0"/>
      <w:marBottom w:val="0"/>
      <w:divBdr>
        <w:top w:val="none" w:sz="0" w:space="0" w:color="auto"/>
        <w:left w:val="none" w:sz="0" w:space="0" w:color="auto"/>
        <w:bottom w:val="none" w:sz="0" w:space="0" w:color="auto"/>
        <w:right w:val="none" w:sz="0" w:space="0" w:color="auto"/>
      </w:divBdr>
    </w:div>
    <w:div w:id="1163742164">
      <w:bodyDiv w:val="1"/>
      <w:marLeft w:val="0"/>
      <w:marRight w:val="0"/>
      <w:marTop w:val="0"/>
      <w:marBottom w:val="0"/>
      <w:divBdr>
        <w:top w:val="none" w:sz="0" w:space="0" w:color="auto"/>
        <w:left w:val="none" w:sz="0" w:space="0" w:color="auto"/>
        <w:bottom w:val="none" w:sz="0" w:space="0" w:color="auto"/>
        <w:right w:val="none" w:sz="0" w:space="0" w:color="auto"/>
      </w:divBdr>
    </w:div>
    <w:div w:id="1165248094">
      <w:bodyDiv w:val="1"/>
      <w:marLeft w:val="0"/>
      <w:marRight w:val="0"/>
      <w:marTop w:val="0"/>
      <w:marBottom w:val="0"/>
      <w:divBdr>
        <w:top w:val="none" w:sz="0" w:space="0" w:color="auto"/>
        <w:left w:val="none" w:sz="0" w:space="0" w:color="auto"/>
        <w:bottom w:val="none" w:sz="0" w:space="0" w:color="auto"/>
        <w:right w:val="none" w:sz="0" w:space="0" w:color="auto"/>
      </w:divBdr>
    </w:div>
    <w:div w:id="1166285790">
      <w:bodyDiv w:val="1"/>
      <w:marLeft w:val="0"/>
      <w:marRight w:val="0"/>
      <w:marTop w:val="0"/>
      <w:marBottom w:val="0"/>
      <w:divBdr>
        <w:top w:val="none" w:sz="0" w:space="0" w:color="auto"/>
        <w:left w:val="none" w:sz="0" w:space="0" w:color="auto"/>
        <w:bottom w:val="none" w:sz="0" w:space="0" w:color="auto"/>
        <w:right w:val="none" w:sz="0" w:space="0" w:color="auto"/>
      </w:divBdr>
    </w:div>
    <w:div w:id="1166630136">
      <w:bodyDiv w:val="1"/>
      <w:marLeft w:val="0"/>
      <w:marRight w:val="0"/>
      <w:marTop w:val="0"/>
      <w:marBottom w:val="0"/>
      <w:divBdr>
        <w:top w:val="none" w:sz="0" w:space="0" w:color="auto"/>
        <w:left w:val="none" w:sz="0" w:space="0" w:color="auto"/>
        <w:bottom w:val="none" w:sz="0" w:space="0" w:color="auto"/>
        <w:right w:val="none" w:sz="0" w:space="0" w:color="auto"/>
      </w:divBdr>
    </w:div>
    <w:div w:id="1166631771">
      <w:bodyDiv w:val="1"/>
      <w:marLeft w:val="0"/>
      <w:marRight w:val="0"/>
      <w:marTop w:val="0"/>
      <w:marBottom w:val="0"/>
      <w:divBdr>
        <w:top w:val="none" w:sz="0" w:space="0" w:color="auto"/>
        <w:left w:val="none" w:sz="0" w:space="0" w:color="auto"/>
        <w:bottom w:val="none" w:sz="0" w:space="0" w:color="auto"/>
        <w:right w:val="none" w:sz="0" w:space="0" w:color="auto"/>
      </w:divBdr>
    </w:div>
    <w:div w:id="1166747379">
      <w:bodyDiv w:val="1"/>
      <w:marLeft w:val="0"/>
      <w:marRight w:val="0"/>
      <w:marTop w:val="0"/>
      <w:marBottom w:val="0"/>
      <w:divBdr>
        <w:top w:val="none" w:sz="0" w:space="0" w:color="auto"/>
        <w:left w:val="none" w:sz="0" w:space="0" w:color="auto"/>
        <w:bottom w:val="none" w:sz="0" w:space="0" w:color="auto"/>
        <w:right w:val="none" w:sz="0" w:space="0" w:color="auto"/>
      </w:divBdr>
    </w:div>
    <w:div w:id="1167209846">
      <w:bodyDiv w:val="1"/>
      <w:marLeft w:val="0"/>
      <w:marRight w:val="0"/>
      <w:marTop w:val="0"/>
      <w:marBottom w:val="0"/>
      <w:divBdr>
        <w:top w:val="none" w:sz="0" w:space="0" w:color="auto"/>
        <w:left w:val="none" w:sz="0" w:space="0" w:color="auto"/>
        <w:bottom w:val="none" w:sz="0" w:space="0" w:color="auto"/>
        <w:right w:val="none" w:sz="0" w:space="0" w:color="auto"/>
      </w:divBdr>
    </w:div>
    <w:div w:id="1167598735">
      <w:bodyDiv w:val="1"/>
      <w:marLeft w:val="0"/>
      <w:marRight w:val="0"/>
      <w:marTop w:val="0"/>
      <w:marBottom w:val="0"/>
      <w:divBdr>
        <w:top w:val="none" w:sz="0" w:space="0" w:color="auto"/>
        <w:left w:val="none" w:sz="0" w:space="0" w:color="auto"/>
        <w:bottom w:val="none" w:sz="0" w:space="0" w:color="auto"/>
        <w:right w:val="none" w:sz="0" w:space="0" w:color="auto"/>
      </w:divBdr>
    </w:div>
    <w:div w:id="1169102526">
      <w:bodyDiv w:val="1"/>
      <w:marLeft w:val="0"/>
      <w:marRight w:val="0"/>
      <w:marTop w:val="0"/>
      <w:marBottom w:val="0"/>
      <w:divBdr>
        <w:top w:val="none" w:sz="0" w:space="0" w:color="auto"/>
        <w:left w:val="none" w:sz="0" w:space="0" w:color="auto"/>
        <w:bottom w:val="none" w:sz="0" w:space="0" w:color="auto"/>
        <w:right w:val="none" w:sz="0" w:space="0" w:color="auto"/>
      </w:divBdr>
    </w:div>
    <w:div w:id="1169322065">
      <w:bodyDiv w:val="1"/>
      <w:marLeft w:val="0"/>
      <w:marRight w:val="0"/>
      <w:marTop w:val="0"/>
      <w:marBottom w:val="0"/>
      <w:divBdr>
        <w:top w:val="none" w:sz="0" w:space="0" w:color="auto"/>
        <w:left w:val="none" w:sz="0" w:space="0" w:color="auto"/>
        <w:bottom w:val="none" w:sz="0" w:space="0" w:color="auto"/>
        <w:right w:val="none" w:sz="0" w:space="0" w:color="auto"/>
      </w:divBdr>
    </w:div>
    <w:div w:id="1169756091">
      <w:bodyDiv w:val="1"/>
      <w:marLeft w:val="0"/>
      <w:marRight w:val="0"/>
      <w:marTop w:val="0"/>
      <w:marBottom w:val="0"/>
      <w:divBdr>
        <w:top w:val="none" w:sz="0" w:space="0" w:color="auto"/>
        <w:left w:val="none" w:sz="0" w:space="0" w:color="auto"/>
        <w:bottom w:val="none" w:sz="0" w:space="0" w:color="auto"/>
        <w:right w:val="none" w:sz="0" w:space="0" w:color="auto"/>
      </w:divBdr>
    </w:div>
    <w:div w:id="1170758309">
      <w:bodyDiv w:val="1"/>
      <w:marLeft w:val="0"/>
      <w:marRight w:val="0"/>
      <w:marTop w:val="0"/>
      <w:marBottom w:val="0"/>
      <w:divBdr>
        <w:top w:val="none" w:sz="0" w:space="0" w:color="auto"/>
        <w:left w:val="none" w:sz="0" w:space="0" w:color="auto"/>
        <w:bottom w:val="none" w:sz="0" w:space="0" w:color="auto"/>
        <w:right w:val="none" w:sz="0" w:space="0" w:color="auto"/>
      </w:divBdr>
    </w:div>
    <w:div w:id="1170758338">
      <w:bodyDiv w:val="1"/>
      <w:marLeft w:val="0"/>
      <w:marRight w:val="0"/>
      <w:marTop w:val="0"/>
      <w:marBottom w:val="0"/>
      <w:divBdr>
        <w:top w:val="none" w:sz="0" w:space="0" w:color="auto"/>
        <w:left w:val="none" w:sz="0" w:space="0" w:color="auto"/>
        <w:bottom w:val="none" w:sz="0" w:space="0" w:color="auto"/>
        <w:right w:val="none" w:sz="0" w:space="0" w:color="auto"/>
      </w:divBdr>
    </w:div>
    <w:div w:id="1171212754">
      <w:bodyDiv w:val="1"/>
      <w:marLeft w:val="0"/>
      <w:marRight w:val="0"/>
      <w:marTop w:val="0"/>
      <w:marBottom w:val="0"/>
      <w:divBdr>
        <w:top w:val="none" w:sz="0" w:space="0" w:color="auto"/>
        <w:left w:val="none" w:sz="0" w:space="0" w:color="auto"/>
        <w:bottom w:val="none" w:sz="0" w:space="0" w:color="auto"/>
        <w:right w:val="none" w:sz="0" w:space="0" w:color="auto"/>
      </w:divBdr>
    </w:div>
    <w:div w:id="1171260548">
      <w:bodyDiv w:val="1"/>
      <w:marLeft w:val="0"/>
      <w:marRight w:val="0"/>
      <w:marTop w:val="0"/>
      <w:marBottom w:val="0"/>
      <w:divBdr>
        <w:top w:val="none" w:sz="0" w:space="0" w:color="auto"/>
        <w:left w:val="none" w:sz="0" w:space="0" w:color="auto"/>
        <w:bottom w:val="none" w:sz="0" w:space="0" w:color="auto"/>
        <w:right w:val="none" w:sz="0" w:space="0" w:color="auto"/>
      </w:divBdr>
    </w:div>
    <w:div w:id="1171260873">
      <w:bodyDiv w:val="1"/>
      <w:marLeft w:val="0"/>
      <w:marRight w:val="0"/>
      <w:marTop w:val="0"/>
      <w:marBottom w:val="0"/>
      <w:divBdr>
        <w:top w:val="none" w:sz="0" w:space="0" w:color="auto"/>
        <w:left w:val="none" w:sz="0" w:space="0" w:color="auto"/>
        <w:bottom w:val="none" w:sz="0" w:space="0" w:color="auto"/>
        <w:right w:val="none" w:sz="0" w:space="0" w:color="auto"/>
      </w:divBdr>
    </w:div>
    <w:div w:id="1171410637">
      <w:bodyDiv w:val="1"/>
      <w:marLeft w:val="0"/>
      <w:marRight w:val="0"/>
      <w:marTop w:val="0"/>
      <w:marBottom w:val="0"/>
      <w:divBdr>
        <w:top w:val="none" w:sz="0" w:space="0" w:color="auto"/>
        <w:left w:val="none" w:sz="0" w:space="0" w:color="auto"/>
        <w:bottom w:val="none" w:sz="0" w:space="0" w:color="auto"/>
        <w:right w:val="none" w:sz="0" w:space="0" w:color="auto"/>
      </w:divBdr>
    </w:div>
    <w:div w:id="1171916024">
      <w:bodyDiv w:val="1"/>
      <w:marLeft w:val="0"/>
      <w:marRight w:val="0"/>
      <w:marTop w:val="0"/>
      <w:marBottom w:val="0"/>
      <w:divBdr>
        <w:top w:val="none" w:sz="0" w:space="0" w:color="auto"/>
        <w:left w:val="none" w:sz="0" w:space="0" w:color="auto"/>
        <w:bottom w:val="none" w:sz="0" w:space="0" w:color="auto"/>
        <w:right w:val="none" w:sz="0" w:space="0" w:color="auto"/>
      </w:divBdr>
    </w:div>
    <w:div w:id="1171919014">
      <w:bodyDiv w:val="1"/>
      <w:marLeft w:val="0"/>
      <w:marRight w:val="0"/>
      <w:marTop w:val="0"/>
      <w:marBottom w:val="0"/>
      <w:divBdr>
        <w:top w:val="none" w:sz="0" w:space="0" w:color="auto"/>
        <w:left w:val="none" w:sz="0" w:space="0" w:color="auto"/>
        <w:bottom w:val="none" w:sz="0" w:space="0" w:color="auto"/>
        <w:right w:val="none" w:sz="0" w:space="0" w:color="auto"/>
      </w:divBdr>
    </w:div>
    <w:div w:id="1172140793">
      <w:bodyDiv w:val="1"/>
      <w:marLeft w:val="0"/>
      <w:marRight w:val="0"/>
      <w:marTop w:val="0"/>
      <w:marBottom w:val="0"/>
      <w:divBdr>
        <w:top w:val="none" w:sz="0" w:space="0" w:color="auto"/>
        <w:left w:val="none" w:sz="0" w:space="0" w:color="auto"/>
        <w:bottom w:val="none" w:sz="0" w:space="0" w:color="auto"/>
        <w:right w:val="none" w:sz="0" w:space="0" w:color="auto"/>
      </w:divBdr>
    </w:div>
    <w:div w:id="1172181444">
      <w:bodyDiv w:val="1"/>
      <w:marLeft w:val="0"/>
      <w:marRight w:val="0"/>
      <w:marTop w:val="0"/>
      <w:marBottom w:val="0"/>
      <w:divBdr>
        <w:top w:val="none" w:sz="0" w:space="0" w:color="auto"/>
        <w:left w:val="none" w:sz="0" w:space="0" w:color="auto"/>
        <w:bottom w:val="none" w:sz="0" w:space="0" w:color="auto"/>
        <w:right w:val="none" w:sz="0" w:space="0" w:color="auto"/>
      </w:divBdr>
    </w:div>
    <w:div w:id="1172184865">
      <w:bodyDiv w:val="1"/>
      <w:marLeft w:val="0"/>
      <w:marRight w:val="0"/>
      <w:marTop w:val="0"/>
      <w:marBottom w:val="0"/>
      <w:divBdr>
        <w:top w:val="none" w:sz="0" w:space="0" w:color="auto"/>
        <w:left w:val="none" w:sz="0" w:space="0" w:color="auto"/>
        <w:bottom w:val="none" w:sz="0" w:space="0" w:color="auto"/>
        <w:right w:val="none" w:sz="0" w:space="0" w:color="auto"/>
      </w:divBdr>
    </w:div>
    <w:div w:id="1172378104">
      <w:bodyDiv w:val="1"/>
      <w:marLeft w:val="0"/>
      <w:marRight w:val="0"/>
      <w:marTop w:val="0"/>
      <w:marBottom w:val="0"/>
      <w:divBdr>
        <w:top w:val="none" w:sz="0" w:space="0" w:color="auto"/>
        <w:left w:val="none" w:sz="0" w:space="0" w:color="auto"/>
        <w:bottom w:val="none" w:sz="0" w:space="0" w:color="auto"/>
        <w:right w:val="none" w:sz="0" w:space="0" w:color="auto"/>
      </w:divBdr>
    </w:div>
    <w:div w:id="1172721031">
      <w:bodyDiv w:val="1"/>
      <w:marLeft w:val="0"/>
      <w:marRight w:val="0"/>
      <w:marTop w:val="0"/>
      <w:marBottom w:val="0"/>
      <w:divBdr>
        <w:top w:val="none" w:sz="0" w:space="0" w:color="auto"/>
        <w:left w:val="none" w:sz="0" w:space="0" w:color="auto"/>
        <w:bottom w:val="none" w:sz="0" w:space="0" w:color="auto"/>
        <w:right w:val="none" w:sz="0" w:space="0" w:color="auto"/>
      </w:divBdr>
    </w:div>
    <w:div w:id="1173375629">
      <w:bodyDiv w:val="1"/>
      <w:marLeft w:val="0"/>
      <w:marRight w:val="0"/>
      <w:marTop w:val="0"/>
      <w:marBottom w:val="0"/>
      <w:divBdr>
        <w:top w:val="none" w:sz="0" w:space="0" w:color="auto"/>
        <w:left w:val="none" w:sz="0" w:space="0" w:color="auto"/>
        <w:bottom w:val="none" w:sz="0" w:space="0" w:color="auto"/>
        <w:right w:val="none" w:sz="0" w:space="0" w:color="auto"/>
      </w:divBdr>
    </w:div>
    <w:div w:id="1174488859">
      <w:bodyDiv w:val="1"/>
      <w:marLeft w:val="0"/>
      <w:marRight w:val="0"/>
      <w:marTop w:val="0"/>
      <w:marBottom w:val="0"/>
      <w:divBdr>
        <w:top w:val="none" w:sz="0" w:space="0" w:color="auto"/>
        <w:left w:val="none" w:sz="0" w:space="0" w:color="auto"/>
        <w:bottom w:val="none" w:sz="0" w:space="0" w:color="auto"/>
        <w:right w:val="none" w:sz="0" w:space="0" w:color="auto"/>
      </w:divBdr>
    </w:div>
    <w:div w:id="1175146462">
      <w:bodyDiv w:val="1"/>
      <w:marLeft w:val="0"/>
      <w:marRight w:val="0"/>
      <w:marTop w:val="0"/>
      <w:marBottom w:val="0"/>
      <w:divBdr>
        <w:top w:val="none" w:sz="0" w:space="0" w:color="auto"/>
        <w:left w:val="none" w:sz="0" w:space="0" w:color="auto"/>
        <w:bottom w:val="none" w:sz="0" w:space="0" w:color="auto"/>
        <w:right w:val="none" w:sz="0" w:space="0" w:color="auto"/>
      </w:divBdr>
    </w:div>
    <w:div w:id="1175614793">
      <w:bodyDiv w:val="1"/>
      <w:marLeft w:val="0"/>
      <w:marRight w:val="0"/>
      <w:marTop w:val="0"/>
      <w:marBottom w:val="0"/>
      <w:divBdr>
        <w:top w:val="none" w:sz="0" w:space="0" w:color="auto"/>
        <w:left w:val="none" w:sz="0" w:space="0" w:color="auto"/>
        <w:bottom w:val="none" w:sz="0" w:space="0" w:color="auto"/>
        <w:right w:val="none" w:sz="0" w:space="0" w:color="auto"/>
      </w:divBdr>
    </w:div>
    <w:div w:id="1176073025">
      <w:bodyDiv w:val="1"/>
      <w:marLeft w:val="0"/>
      <w:marRight w:val="0"/>
      <w:marTop w:val="0"/>
      <w:marBottom w:val="0"/>
      <w:divBdr>
        <w:top w:val="none" w:sz="0" w:space="0" w:color="auto"/>
        <w:left w:val="none" w:sz="0" w:space="0" w:color="auto"/>
        <w:bottom w:val="none" w:sz="0" w:space="0" w:color="auto"/>
        <w:right w:val="none" w:sz="0" w:space="0" w:color="auto"/>
      </w:divBdr>
    </w:div>
    <w:div w:id="1177039342">
      <w:bodyDiv w:val="1"/>
      <w:marLeft w:val="0"/>
      <w:marRight w:val="0"/>
      <w:marTop w:val="0"/>
      <w:marBottom w:val="0"/>
      <w:divBdr>
        <w:top w:val="none" w:sz="0" w:space="0" w:color="auto"/>
        <w:left w:val="none" w:sz="0" w:space="0" w:color="auto"/>
        <w:bottom w:val="none" w:sz="0" w:space="0" w:color="auto"/>
        <w:right w:val="none" w:sz="0" w:space="0" w:color="auto"/>
      </w:divBdr>
    </w:div>
    <w:div w:id="1177767455">
      <w:bodyDiv w:val="1"/>
      <w:marLeft w:val="0"/>
      <w:marRight w:val="0"/>
      <w:marTop w:val="0"/>
      <w:marBottom w:val="0"/>
      <w:divBdr>
        <w:top w:val="none" w:sz="0" w:space="0" w:color="auto"/>
        <w:left w:val="none" w:sz="0" w:space="0" w:color="auto"/>
        <w:bottom w:val="none" w:sz="0" w:space="0" w:color="auto"/>
        <w:right w:val="none" w:sz="0" w:space="0" w:color="auto"/>
      </w:divBdr>
    </w:div>
    <w:div w:id="1177883954">
      <w:bodyDiv w:val="1"/>
      <w:marLeft w:val="0"/>
      <w:marRight w:val="0"/>
      <w:marTop w:val="0"/>
      <w:marBottom w:val="0"/>
      <w:divBdr>
        <w:top w:val="none" w:sz="0" w:space="0" w:color="auto"/>
        <w:left w:val="none" w:sz="0" w:space="0" w:color="auto"/>
        <w:bottom w:val="none" w:sz="0" w:space="0" w:color="auto"/>
        <w:right w:val="none" w:sz="0" w:space="0" w:color="auto"/>
      </w:divBdr>
    </w:div>
    <w:div w:id="1178038503">
      <w:bodyDiv w:val="1"/>
      <w:marLeft w:val="0"/>
      <w:marRight w:val="0"/>
      <w:marTop w:val="0"/>
      <w:marBottom w:val="0"/>
      <w:divBdr>
        <w:top w:val="none" w:sz="0" w:space="0" w:color="auto"/>
        <w:left w:val="none" w:sz="0" w:space="0" w:color="auto"/>
        <w:bottom w:val="none" w:sz="0" w:space="0" w:color="auto"/>
        <w:right w:val="none" w:sz="0" w:space="0" w:color="auto"/>
      </w:divBdr>
      <w:divsChild>
        <w:div w:id="388959471">
          <w:marLeft w:val="480"/>
          <w:marRight w:val="0"/>
          <w:marTop w:val="0"/>
          <w:marBottom w:val="0"/>
          <w:divBdr>
            <w:top w:val="none" w:sz="0" w:space="0" w:color="auto"/>
            <w:left w:val="none" w:sz="0" w:space="0" w:color="auto"/>
            <w:bottom w:val="none" w:sz="0" w:space="0" w:color="auto"/>
            <w:right w:val="none" w:sz="0" w:space="0" w:color="auto"/>
          </w:divBdr>
        </w:div>
        <w:div w:id="1460340738">
          <w:marLeft w:val="480"/>
          <w:marRight w:val="0"/>
          <w:marTop w:val="0"/>
          <w:marBottom w:val="0"/>
          <w:divBdr>
            <w:top w:val="none" w:sz="0" w:space="0" w:color="auto"/>
            <w:left w:val="none" w:sz="0" w:space="0" w:color="auto"/>
            <w:bottom w:val="none" w:sz="0" w:space="0" w:color="auto"/>
            <w:right w:val="none" w:sz="0" w:space="0" w:color="auto"/>
          </w:divBdr>
        </w:div>
        <w:div w:id="102652641">
          <w:marLeft w:val="480"/>
          <w:marRight w:val="0"/>
          <w:marTop w:val="0"/>
          <w:marBottom w:val="0"/>
          <w:divBdr>
            <w:top w:val="none" w:sz="0" w:space="0" w:color="auto"/>
            <w:left w:val="none" w:sz="0" w:space="0" w:color="auto"/>
            <w:bottom w:val="none" w:sz="0" w:space="0" w:color="auto"/>
            <w:right w:val="none" w:sz="0" w:space="0" w:color="auto"/>
          </w:divBdr>
        </w:div>
        <w:div w:id="44260105">
          <w:marLeft w:val="480"/>
          <w:marRight w:val="0"/>
          <w:marTop w:val="0"/>
          <w:marBottom w:val="0"/>
          <w:divBdr>
            <w:top w:val="none" w:sz="0" w:space="0" w:color="auto"/>
            <w:left w:val="none" w:sz="0" w:space="0" w:color="auto"/>
            <w:bottom w:val="none" w:sz="0" w:space="0" w:color="auto"/>
            <w:right w:val="none" w:sz="0" w:space="0" w:color="auto"/>
          </w:divBdr>
        </w:div>
        <w:div w:id="644050719">
          <w:marLeft w:val="480"/>
          <w:marRight w:val="0"/>
          <w:marTop w:val="0"/>
          <w:marBottom w:val="0"/>
          <w:divBdr>
            <w:top w:val="none" w:sz="0" w:space="0" w:color="auto"/>
            <w:left w:val="none" w:sz="0" w:space="0" w:color="auto"/>
            <w:bottom w:val="none" w:sz="0" w:space="0" w:color="auto"/>
            <w:right w:val="none" w:sz="0" w:space="0" w:color="auto"/>
          </w:divBdr>
        </w:div>
        <w:div w:id="1758821261">
          <w:marLeft w:val="480"/>
          <w:marRight w:val="0"/>
          <w:marTop w:val="0"/>
          <w:marBottom w:val="0"/>
          <w:divBdr>
            <w:top w:val="none" w:sz="0" w:space="0" w:color="auto"/>
            <w:left w:val="none" w:sz="0" w:space="0" w:color="auto"/>
            <w:bottom w:val="none" w:sz="0" w:space="0" w:color="auto"/>
            <w:right w:val="none" w:sz="0" w:space="0" w:color="auto"/>
          </w:divBdr>
        </w:div>
        <w:div w:id="1154763011">
          <w:marLeft w:val="480"/>
          <w:marRight w:val="0"/>
          <w:marTop w:val="0"/>
          <w:marBottom w:val="0"/>
          <w:divBdr>
            <w:top w:val="none" w:sz="0" w:space="0" w:color="auto"/>
            <w:left w:val="none" w:sz="0" w:space="0" w:color="auto"/>
            <w:bottom w:val="none" w:sz="0" w:space="0" w:color="auto"/>
            <w:right w:val="none" w:sz="0" w:space="0" w:color="auto"/>
          </w:divBdr>
        </w:div>
        <w:div w:id="908460433">
          <w:marLeft w:val="480"/>
          <w:marRight w:val="0"/>
          <w:marTop w:val="0"/>
          <w:marBottom w:val="0"/>
          <w:divBdr>
            <w:top w:val="none" w:sz="0" w:space="0" w:color="auto"/>
            <w:left w:val="none" w:sz="0" w:space="0" w:color="auto"/>
            <w:bottom w:val="none" w:sz="0" w:space="0" w:color="auto"/>
            <w:right w:val="none" w:sz="0" w:space="0" w:color="auto"/>
          </w:divBdr>
        </w:div>
        <w:div w:id="1162085153">
          <w:marLeft w:val="480"/>
          <w:marRight w:val="0"/>
          <w:marTop w:val="0"/>
          <w:marBottom w:val="0"/>
          <w:divBdr>
            <w:top w:val="none" w:sz="0" w:space="0" w:color="auto"/>
            <w:left w:val="none" w:sz="0" w:space="0" w:color="auto"/>
            <w:bottom w:val="none" w:sz="0" w:space="0" w:color="auto"/>
            <w:right w:val="none" w:sz="0" w:space="0" w:color="auto"/>
          </w:divBdr>
        </w:div>
        <w:div w:id="1242252963">
          <w:marLeft w:val="480"/>
          <w:marRight w:val="0"/>
          <w:marTop w:val="0"/>
          <w:marBottom w:val="0"/>
          <w:divBdr>
            <w:top w:val="none" w:sz="0" w:space="0" w:color="auto"/>
            <w:left w:val="none" w:sz="0" w:space="0" w:color="auto"/>
            <w:bottom w:val="none" w:sz="0" w:space="0" w:color="auto"/>
            <w:right w:val="none" w:sz="0" w:space="0" w:color="auto"/>
          </w:divBdr>
        </w:div>
        <w:div w:id="2018531582">
          <w:marLeft w:val="480"/>
          <w:marRight w:val="0"/>
          <w:marTop w:val="0"/>
          <w:marBottom w:val="0"/>
          <w:divBdr>
            <w:top w:val="none" w:sz="0" w:space="0" w:color="auto"/>
            <w:left w:val="none" w:sz="0" w:space="0" w:color="auto"/>
            <w:bottom w:val="none" w:sz="0" w:space="0" w:color="auto"/>
            <w:right w:val="none" w:sz="0" w:space="0" w:color="auto"/>
          </w:divBdr>
        </w:div>
        <w:div w:id="931818373">
          <w:marLeft w:val="480"/>
          <w:marRight w:val="0"/>
          <w:marTop w:val="0"/>
          <w:marBottom w:val="0"/>
          <w:divBdr>
            <w:top w:val="none" w:sz="0" w:space="0" w:color="auto"/>
            <w:left w:val="none" w:sz="0" w:space="0" w:color="auto"/>
            <w:bottom w:val="none" w:sz="0" w:space="0" w:color="auto"/>
            <w:right w:val="none" w:sz="0" w:space="0" w:color="auto"/>
          </w:divBdr>
        </w:div>
        <w:div w:id="1178542658">
          <w:marLeft w:val="480"/>
          <w:marRight w:val="0"/>
          <w:marTop w:val="0"/>
          <w:marBottom w:val="0"/>
          <w:divBdr>
            <w:top w:val="none" w:sz="0" w:space="0" w:color="auto"/>
            <w:left w:val="none" w:sz="0" w:space="0" w:color="auto"/>
            <w:bottom w:val="none" w:sz="0" w:space="0" w:color="auto"/>
            <w:right w:val="none" w:sz="0" w:space="0" w:color="auto"/>
          </w:divBdr>
        </w:div>
        <w:div w:id="1351955963">
          <w:marLeft w:val="480"/>
          <w:marRight w:val="0"/>
          <w:marTop w:val="0"/>
          <w:marBottom w:val="0"/>
          <w:divBdr>
            <w:top w:val="none" w:sz="0" w:space="0" w:color="auto"/>
            <w:left w:val="none" w:sz="0" w:space="0" w:color="auto"/>
            <w:bottom w:val="none" w:sz="0" w:space="0" w:color="auto"/>
            <w:right w:val="none" w:sz="0" w:space="0" w:color="auto"/>
          </w:divBdr>
        </w:div>
        <w:div w:id="200939836">
          <w:marLeft w:val="480"/>
          <w:marRight w:val="0"/>
          <w:marTop w:val="0"/>
          <w:marBottom w:val="0"/>
          <w:divBdr>
            <w:top w:val="none" w:sz="0" w:space="0" w:color="auto"/>
            <w:left w:val="none" w:sz="0" w:space="0" w:color="auto"/>
            <w:bottom w:val="none" w:sz="0" w:space="0" w:color="auto"/>
            <w:right w:val="none" w:sz="0" w:space="0" w:color="auto"/>
          </w:divBdr>
        </w:div>
        <w:div w:id="1622033658">
          <w:marLeft w:val="480"/>
          <w:marRight w:val="0"/>
          <w:marTop w:val="0"/>
          <w:marBottom w:val="0"/>
          <w:divBdr>
            <w:top w:val="none" w:sz="0" w:space="0" w:color="auto"/>
            <w:left w:val="none" w:sz="0" w:space="0" w:color="auto"/>
            <w:bottom w:val="none" w:sz="0" w:space="0" w:color="auto"/>
            <w:right w:val="none" w:sz="0" w:space="0" w:color="auto"/>
          </w:divBdr>
        </w:div>
        <w:div w:id="2146118681">
          <w:marLeft w:val="480"/>
          <w:marRight w:val="0"/>
          <w:marTop w:val="0"/>
          <w:marBottom w:val="0"/>
          <w:divBdr>
            <w:top w:val="none" w:sz="0" w:space="0" w:color="auto"/>
            <w:left w:val="none" w:sz="0" w:space="0" w:color="auto"/>
            <w:bottom w:val="none" w:sz="0" w:space="0" w:color="auto"/>
            <w:right w:val="none" w:sz="0" w:space="0" w:color="auto"/>
          </w:divBdr>
        </w:div>
        <w:div w:id="418448672">
          <w:marLeft w:val="480"/>
          <w:marRight w:val="0"/>
          <w:marTop w:val="0"/>
          <w:marBottom w:val="0"/>
          <w:divBdr>
            <w:top w:val="none" w:sz="0" w:space="0" w:color="auto"/>
            <w:left w:val="none" w:sz="0" w:space="0" w:color="auto"/>
            <w:bottom w:val="none" w:sz="0" w:space="0" w:color="auto"/>
            <w:right w:val="none" w:sz="0" w:space="0" w:color="auto"/>
          </w:divBdr>
        </w:div>
        <w:div w:id="1595280158">
          <w:marLeft w:val="480"/>
          <w:marRight w:val="0"/>
          <w:marTop w:val="0"/>
          <w:marBottom w:val="0"/>
          <w:divBdr>
            <w:top w:val="none" w:sz="0" w:space="0" w:color="auto"/>
            <w:left w:val="none" w:sz="0" w:space="0" w:color="auto"/>
            <w:bottom w:val="none" w:sz="0" w:space="0" w:color="auto"/>
            <w:right w:val="none" w:sz="0" w:space="0" w:color="auto"/>
          </w:divBdr>
        </w:div>
        <w:div w:id="968710456">
          <w:marLeft w:val="480"/>
          <w:marRight w:val="0"/>
          <w:marTop w:val="0"/>
          <w:marBottom w:val="0"/>
          <w:divBdr>
            <w:top w:val="none" w:sz="0" w:space="0" w:color="auto"/>
            <w:left w:val="none" w:sz="0" w:space="0" w:color="auto"/>
            <w:bottom w:val="none" w:sz="0" w:space="0" w:color="auto"/>
            <w:right w:val="none" w:sz="0" w:space="0" w:color="auto"/>
          </w:divBdr>
        </w:div>
        <w:div w:id="1726568015">
          <w:marLeft w:val="480"/>
          <w:marRight w:val="0"/>
          <w:marTop w:val="0"/>
          <w:marBottom w:val="0"/>
          <w:divBdr>
            <w:top w:val="none" w:sz="0" w:space="0" w:color="auto"/>
            <w:left w:val="none" w:sz="0" w:space="0" w:color="auto"/>
            <w:bottom w:val="none" w:sz="0" w:space="0" w:color="auto"/>
            <w:right w:val="none" w:sz="0" w:space="0" w:color="auto"/>
          </w:divBdr>
        </w:div>
        <w:div w:id="559054774">
          <w:marLeft w:val="480"/>
          <w:marRight w:val="0"/>
          <w:marTop w:val="0"/>
          <w:marBottom w:val="0"/>
          <w:divBdr>
            <w:top w:val="none" w:sz="0" w:space="0" w:color="auto"/>
            <w:left w:val="none" w:sz="0" w:space="0" w:color="auto"/>
            <w:bottom w:val="none" w:sz="0" w:space="0" w:color="auto"/>
            <w:right w:val="none" w:sz="0" w:space="0" w:color="auto"/>
          </w:divBdr>
        </w:div>
        <w:div w:id="1038240289">
          <w:marLeft w:val="480"/>
          <w:marRight w:val="0"/>
          <w:marTop w:val="0"/>
          <w:marBottom w:val="0"/>
          <w:divBdr>
            <w:top w:val="none" w:sz="0" w:space="0" w:color="auto"/>
            <w:left w:val="none" w:sz="0" w:space="0" w:color="auto"/>
            <w:bottom w:val="none" w:sz="0" w:space="0" w:color="auto"/>
            <w:right w:val="none" w:sz="0" w:space="0" w:color="auto"/>
          </w:divBdr>
        </w:div>
        <w:div w:id="626668398">
          <w:marLeft w:val="480"/>
          <w:marRight w:val="0"/>
          <w:marTop w:val="0"/>
          <w:marBottom w:val="0"/>
          <w:divBdr>
            <w:top w:val="none" w:sz="0" w:space="0" w:color="auto"/>
            <w:left w:val="none" w:sz="0" w:space="0" w:color="auto"/>
            <w:bottom w:val="none" w:sz="0" w:space="0" w:color="auto"/>
            <w:right w:val="none" w:sz="0" w:space="0" w:color="auto"/>
          </w:divBdr>
        </w:div>
        <w:div w:id="1282685569">
          <w:marLeft w:val="480"/>
          <w:marRight w:val="0"/>
          <w:marTop w:val="0"/>
          <w:marBottom w:val="0"/>
          <w:divBdr>
            <w:top w:val="none" w:sz="0" w:space="0" w:color="auto"/>
            <w:left w:val="none" w:sz="0" w:space="0" w:color="auto"/>
            <w:bottom w:val="none" w:sz="0" w:space="0" w:color="auto"/>
            <w:right w:val="none" w:sz="0" w:space="0" w:color="auto"/>
          </w:divBdr>
        </w:div>
        <w:div w:id="215707403">
          <w:marLeft w:val="480"/>
          <w:marRight w:val="0"/>
          <w:marTop w:val="0"/>
          <w:marBottom w:val="0"/>
          <w:divBdr>
            <w:top w:val="none" w:sz="0" w:space="0" w:color="auto"/>
            <w:left w:val="none" w:sz="0" w:space="0" w:color="auto"/>
            <w:bottom w:val="none" w:sz="0" w:space="0" w:color="auto"/>
            <w:right w:val="none" w:sz="0" w:space="0" w:color="auto"/>
          </w:divBdr>
        </w:div>
        <w:div w:id="1282373866">
          <w:marLeft w:val="480"/>
          <w:marRight w:val="0"/>
          <w:marTop w:val="0"/>
          <w:marBottom w:val="0"/>
          <w:divBdr>
            <w:top w:val="none" w:sz="0" w:space="0" w:color="auto"/>
            <w:left w:val="none" w:sz="0" w:space="0" w:color="auto"/>
            <w:bottom w:val="none" w:sz="0" w:space="0" w:color="auto"/>
            <w:right w:val="none" w:sz="0" w:space="0" w:color="auto"/>
          </w:divBdr>
        </w:div>
        <w:div w:id="242298805">
          <w:marLeft w:val="480"/>
          <w:marRight w:val="0"/>
          <w:marTop w:val="0"/>
          <w:marBottom w:val="0"/>
          <w:divBdr>
            <w:top w:val="none" w:sz="0" w:space="0" w:color="auto"/>
            <w:left w:val="none" w:sz="0" w:space="0" w:color="auto"/>
            <w:bottom w:val="none" w:sz="0" w:space="0" w:color="auto"/>
            <w:right w:val="none" w:sz="0" w:space="0" w:color="auto"/>
          </w:divBdr>
        </w:div>
        <w:div w:id="2125882236">
          <w:marLeft w:val="480"/>
          <w:marRight w:val="0"/>
          <w:marTop w:val="0"/>
          <w:marBottom w:val="0"/>
          <w:divBdr>
            <w:top w:val="none" w:sz="0" w:space="0" w:color="auto"/>
            <w:left w:val="none" w:sz="0" w:space="0" w:color="auto"/>
            <w:bottom w:val="none" w:sz="0" w:space="0" w:color="auto"/>
            <w:right w:val="none" w:sz="0" w:space="0" w:color="auto"/>
          </w:divBdr>
        </w:div>
        <w:div w:id="858202905">
          <w:marLeft w:val="480"/>
          <w:marRight w:val="0"/>
          <w:marTop w:val="0"/>
          <w:marBottom w:val="0"/>
          <w:divBdr>
            <w:top w:val="none" w:sz="0" w:space="0" w:color="auto"/>
            <w:left w:val="none" w:sz="0" w:space="0" w:color="auto"/>
            <w:bottom w:val="none" w:sz="0" w:space="0" w:color="auto"/>
            <w:right w:val="none" w:sz="0" w:space="0" w:color="auto"/>
          </w:divBdr>
        </w:div>
        <w:div w:id="1948154157">
          <w:marLeft w:val="480"/>
          <w:marRight w:val="0"/>
          <w:marTop w:val="0"/>
          <w:marBottom w:val="0"/>
          <w:divBdr>
            <w:top w:val="none" w:sz="0" w:space="0" w:color="auto"/>
            <w:left w:val="none" w:sz="0" w:space="0" w:color="auto"/>
            <w:bottom w:val="none" w:sz="0" w:space="0" w:color="auto"/>
            <w:right w:val="none" w:sz="0" w:space="0" w:color="auto"/>
          </w:divBdr>
        </w:div>
        <w:div w:id="1508979690">
          <w:marLeft w:val="480"/>
          <w:marRight w:val="0"/>
          <w:marTop w:val="0"/>
          <w:marBottom w:val="0"/>
          <w:divBdr>
            <w:top w:val="none" w:sz="0" w:space="0" w:color="auto"/>
            <w:left w:val="none" w:sz="0" w:space="0" w:color="auto"/>
            <w:bottom w:val="none" w:sz="0" w:space="0" w:color="auto"/>
            <w:right w:val="none" w:sz="0" w:space="0" w:color="auto"/>
          </w:divBdr>
        </w:div>
        <w:div w:id="1861433786">
          <w:marLeft w:val="480"/>
          <w:marRight w:val="0"/>
          <w:marTop w:val="0"/>
          <w:marBottom w:val="0"/>
          <w:divBdr>
            <w:top w:val="none" w:sz="0" w:space="0" w:color="auto"/>
            <w:left w:val="none" w:sz="0" w:space="0" w:color="auto"/>
            <w:bottom w:val="none" w:sz="0" w:space="0" w:color="auto"/>
            <w:right w:val="none" w:sz="0" w:space="0" w:color="auto"/>
          </w:divBdr>
        </w:div>
        <w:div w:id="803886284">
          <w:marLeft w:val="480"/>
          <w:marRight w:val="0"/>
          <w:marTop w:val="0"/>
          <w:marBottom w:val="0"/>
          <w:divBdr>
            <w:top w:val="none" w:sz="0" w:space="0" w:color="auto"/>
            <w:left w:val="none" w:sz="0" w:space="0" w:color="auto"/>
            <w:bottom w:val="none" w:sz="0" w:space="0" w:color="auto"/>
            <w:right w:val="none" w:sz="0" w:space="0" w:color="auto"/>
          </w:divBdr>
        </w:div>
        <w:div w:id="225605820">
          <w:marLeft w:val="480"/>
          <w:marRight w:val="0"/>
          <w:marTop w:val="0"/>
          <w:marBottom w:val="0"/>
          <w:divBdr>
            <w:top w:val="none" w:sz="0" w:space="0" w:color="auto"/>
            <w:left w:val="none" w:sz="0" w:space="0" w:color="auto"/>
            <w:bottom w:val="none" w:sz="0" w:space="0" w:color="auto"/>
            <w:right w:val="none" w:sz="0" w:space="0" w:color="auto"/>
          </w:divBdr>
        </w:div>
        <w:div w:id="1900431425">
          <w:marLeft w:val="480"/>
          <w:marRight w:val="0"/>
          <w:marTop w:val="0"/>
          <w:marBottom w:val="0"/>
          <w:divBdr>
            <w:top w:val="none" w:sz="0" w:space="0" w:color="auto"/>
            <w:left w:val="none" w:sz="0" w:space="0" w:color="auto"/>
            <w:bottom w:val="none" w:sz="0" w:space="0" w:color="auto"/>
            <w:right w:val="none" w:sz="0" w:space="0" w:color="auto"/>
          </w:divBdr>
        </w:div>
        <w:div w:id="1793163081">
          <w:marLeft w:val="480"/>
          <w:marRight w:val="0"/>
          <w:marTop w:val="0"/>
          <w:marBottom w:val="0"/>
          <w:divBdr>
            <w:top w:val="none" w:sz="0" w:space="0" w:color="auto"/>
            <w:left w:val="none" w:sz="0" w:space="0" w:color="auto"/>
            <w:bottom w:val="none" w:sz="0" w:space="0" w:color="auto"/>
            <w:right w:val="none" w:sz="0" w:space="0" w:color="auto"/>
          </w:divBdr>
        </w:div>
        <w:div w:id="843668482">
          <w:marLeft w:val="480"/>
          <w:marRight w:val="0"/>
          <w:marTop w:val="0"/>
          <w:marBottom w:val="0"/>
          <w:divBdr>
            <w:top w:val="none" w:sz="0" w:space="0" w:color="auto"/>
            <w:left w:val="none" w:sz="0" w:space="0" w:color="auto"/>
            <w:bottom w:val="none" w:sz="0" w:space="0" w:color="auto"/>
            <w:right w:val="none" w:sz="0" w:space="0" w:color="auto"/>
          </w:divBdr>
        </w:div>
        <w:div w:id="587272245">
          <w:marLeft w:val="480"/>
          <w:marRight w:val="0"/>
          <w:marTop w:val="0"/>
          <w:marBottom w:val="0"/>
          <w:divBdr>
            <w:top w:val="none" w:sz="0" w:space="0" w:color="auto"/>
            <w:left w:val="none" w:sz="0" w:space="0" w:color="auto"/>
            <w:bottom w:val="none" w:sz="0" w:space="0" w:color="auto"/>
            <w:right w:val="none" w:sz="0" w:space="0" w:color="auto"/>
          </w:divBdr>
        </w:div>
        <w:div w:id="1596785866">
          <w:marLeft w:val="480"/>
          <w:marRight w:val="0"/>
          <w:marTop w:val="0"/>
          <w:marBottom w:val="0"/>
          <w:divBdr>
            <w:top w:val="none" w:sz="0" w:space="0" w:color="auto"/>
            <w:left w:val="none" w:sz="0" w:space="0" w:color="auto"/>
            <w:bottom w:val="none" w:sz="0" w:space="0" w:color="auto"/>
            <w:right w:val="none" w:sz="0" w:space="0" w:color="auto"/>
          </w:divBdr>
        </w:div>
        <w:div w:id="889195443">
          <w:marLeft w:val="480"/>
          <w:marRight w:val="0"/>
          <w:marTop w:val="0"/>
          <w:marBottom w:val="0"/>
          <w:divBdr>
            <w:top w:val="none" w:sz="0" w:space="0" w:color="auto"/>
            <w:left w:val="none" w:sz="0" w:space="0" w:color="auto"/>
            <w:bottom w:val="none" w:sz="0" w:space="0" w:color="auto"/>
            <w:right w:val="none" w:sz="0" w:space="0" w:color="auto"/>
          </w:divBdr>
        </w:div>
        <w:div w:id="1026175439">
          <w:marLeft w:val="480"/>
          <w:marRight w:val="0"/>
          <w:marTop w:val="0"/>
          <w:marBottom w:val="0"/>
          <w:divBdr>
            <w:top w:val="none" w:sz="0" w:space="0" w:color="auto"/>
            <w:left w:val="none" w:sz="0" w:space="0" w:color="auto"/>
            <w:bottom w:val="none" w:sz="0" w:space="0" w:color="auto"/>
            <w:right w:val="none" w:sz="0" w:space="0" w:color="auto"/>
          </w:divBdr>
        </w:div>
        <w:div w:id="65030781">
          <w:marLeft w:val="480"/>
          <w:marRight w:val="0"/>
          <w:marTop w:val="0"/>
          <w:marBottom w:val="0"/>
          <w:divBdr>
            <w:top w:val="none" w:sz="0" w:space="0" w:color="auto"/>
            <w:left w:val="none" w:sz="0" w:space="0" w:color="auto"/>
            <w:bottom w:val="none" w:sz="0" w:space="0" w:color="auto"/>
            <w:right w:val="none" w:sz="0" w:space="0" w:color="auto"/>
          </w:divBdr>
        </w:div>
        <w:div w:id="674503623">
          <w:marLeft w:val="480"/>
          <w:marRight w:val="0"/>
          <w:marTop w:val="0"/>
          <w:marBottom w:val="0"/>
          <w:divBdr>
            <w:top w:val="none" w:sz="0" w:space="0" w:color="auto"/>
            <w:left w:val="none" w:sz="0" w:space="0" w:color="auto"/>
            <w:bottom w:val="none" w:sz="0" w:space="0" w:color="auto"/>
            <w:right w:val="none" w:sz="0" w:space="0" w:color="auto"/>
          </w:divBdr>
        </w:div>
        <w:div w:id="781652414">
          <w:marLeft w:val="480"/>
          <w:marRight w:val="0"/>
          <w:marTop w:val="0"/>
          <w:marBottom w:val="0"/>
          <w:divBdr>
            <w:top w:val="none" w:sz="0" w:space="0" w:color="auto"/>
            <w:left w:val="none" w:sz="0" w:space="0" w:color="auto"/>
            <w:bottom w:val="none" w:sz="0" w:space="0" w:color="auto"/>
            <w:right w:val="none" w:sz="0" w:space="0" w:color="auto"/>
          </w:divBdr>
        </w:div>
        <w:div w:id="297490964">
          <w:marLeft w:val="480"/>
          <w:marRight w:val="0"/>
          <w:marTop w:val="0"/>
          <w:marBottom w:val="0"/>
          <w:divBdr>
            <w:top w:val="none" w:sz="0" w:space="0" w:color="auto"/>
            <w:left w:val="none" w:sz="0" w:space="0" w:color="auto"/>
            <w:bottom w:val="none" w:sz="0" w:space="0" w:color="auto"/>
            <w:right w:val="none" w:sz="0" w:space="0" w:color="auto"/>
          </w:divBdr>
        </w:div>
        <w:div w:id="528028895">
          <w:marLeft w:val="480"/>
          <w:marRight w:val="0"/>
          <w:marTop w:val="0"/>
          <w:marBottom w:val="0"/>
          <w:divBdr>
            <w:top w:val="none" w:sz="0" w:space="0" w:color="auto"/>
            <w:left w:val="none" w:sz="0" w:space="0" w:color="auto"/>
            <w:bottom w:val="none" w:sz="0" w:space="0" w:color="auto"/>
            <w:right w:val="none" w:sz="0" w:space="0" w:color="auto"/>
          </w:divBdr>
        </w:div>
        <w:div w:id="299920359">
          <w:marLeft w:val="480"/>
          <w:marRight w:val="0"/>
          <w:marTop w:val="0"/>
          <w:marBottom w:val="0"/>
          <w:divBdr>
            <w:top w:val="none" w:sz="0" w:space="0" w:color="auto"/>
            <w:left w:val="none" w:sz="0" w:space="0" w:color="auto"/>
            <w:bottom w:val="none" w:sz="0" w:space="0" w:color="auto"/>
            <w:right w:val="none" w:sz="0" w:space="0" w:color="auto"/>
          </w:divBdr>
        </w:div>
        <w:div w:id="69154873">
          <w:marLeft w:val="480"/>
          <w:marRight w:val="0"/>
          <w:marTop w:val="0"/>
          <w:marBottom w:val="0"/>
          <w:divBdr>
            <w:top w:val="none" w:sz="0" w:space="0" w:color="auto"/>
            <w:left w:val="none" w:sz="0" w:space="0" w:color="auto"/>
            <w:bottom w:val="none" w:sz="0" w:space="0" w:color="auto"/>
            <w:right w:val="none" w:sz="0" w:space="0" w:color="auto"/>
          </w:divBdr>
        </w:div>
        <w:div w:id="361903057">
          <w:marLeft w:val="480"/>
          <w:marRight w:val="0"/>
          <w:marTop w:val="0"/>
          <w:marBottom w:val="0"/>
          <w:divBdr>
            <w:top w:val="none" w:sz="0" w:space="0" w:color="auto"/>
            <w:left w:val="none" w:sz="0" w:space="0" w:color="auto"/>
            <w:bottom w:val="none" w:sz="0" w:space="0" w:color="auto"/>
            <w:right w:val="none" w:sz="0" w:space="0" w:color="auto"/>
          </w:divBdr>
        </w:div>
        <w:div w:id="1949313369">
          <w:marLeft w:val="480"/>
          <w:marRight w:val="0"/>
          <w:marTop w:val="0"/>
          <w:marBottom w:val="0"/>
          <w:divBdr>
            <w:top w:val="none" w:sz="0" w:space="0" w:color="auto"/>
            <w:left w:val="none" w:sz="0" w:space="0" w:color="auto"/>
            <w:bottom w:val="none" w:sz="0" w:space="0" w:color="auto"/>
            <w:right w:val="none" w:sz="0" w:space="0" w:color="auto"/>
          </w:divBdr>
        </w:div>
        <w:div w:id="250549905">
          <w:marLeft w:val="480"/>
          <w:marRight w:val="0"/>
          <w:marTop w:val="0"/>
          <w:marBottom w:val="0"/>
          <w:divBdr>
            <w:top w:val="none" w:sz="0" w:space="0" w:color="auto"/>
            <w:left w:val="none" w:sz="0" w:space="0" w:color="auto"/>
            <w:bottom w:val="none" w:sz="0" w:space="0" w:color="auto"/>
            <w:right w:val="none" w:sz="0" w:space="0" w:color="auto"/>
          </w:divBdr>
        </w:div>
        <w:div w:id="928581817">
          <w:marLeft w:val="480"/>
          <w:marRight w:val="0"/>
          <w:marTop w:val="0"/>
          <w:marBottom w:val="0"/>
          <w:divBdr>
            <w:top w:val="none" w:sz="0" w:space="0" w:color="auto"/>
            <w:left w:val="none" w:sz="0" w:space="0" w:color="auto"/>
            <w:bottom w:val="none" w:sz="0" w:space="0" w:color="auto"/>
            <w:right w:val="none" w:sz="0" w:space="0" w:color="auto"/>
          </w:divBdr>
        </w:div>
        <w:div w:id="262886460">
          <w:marLeft w:val="480"/>
          <w:marRight w:val="0"/>
          <w:marTop w:val="0"/>
          <w:marBottom w:val="0"/>
          <w:divBdr>
            <w:top w:val="none" w:sz="0" w:space="0" w:color="auto"/>
            <w:left w:val="none" w:sz="0" w:space="0" w:color="auto"/>
            <w:bottom w:val="none" w:sz="0" w:space="0" w:color="auto"/>
            <w:right w:val="none" w:sz="0" w:space="0" w:color="auto"/>
          </w:divBdr>
        </w:div>
        <w:div w:id="1104039048">
          <w:marLeft w:val="480"/>
          <w:marRight w:val="0"/>
          <w:marTop w:val="0"/>
          <w:marBottom w:val="0"/>
          <w:divBdr>
            <w:top w:val="none" w:sz="0" w:space="0" w:color="auto"/>
            <w:left w:val="none" w:sz="0" w:space="0" w:color="auto"/>
            <w:bottom w:val="none" w:sz="0" w:space="0" w:color="auto"/>
            <w:right w:val="none" w:sz="0" w:space="0" w:color="auto"/>
          </w:divBdr>
        </w:div>
        <w:div w:id="1886404893">
          <w:marLeft w:val="480"/>
          <w:marRight w:val="0"/>
          <w:marTop w:val="0"/>
          <w:marBottom w:val="0"/>
          <w:divBdr>
            <w:top w:val="none" w:sz="0" w:space="0" w:color="auto"/>
            <w:left w:val="none" w:sz="0" w:space="0" w:color="auto"/>
            <w:bottom w:val="none" w:sz="0" w:space="0" w:color="auto"/>
            <w:right w:val="none" w:sz="0" w:space="0" w:color="auto"/>
          </w:divBdr>
        </w:div>
        <w:div w:id="99378120">
          <w:marLeft w:val="480"/>
          <w:marRight w:val="0"/>
          <w:marTop w:val="0"/>
          <w:marBottom w:val="0"/>
          <w:divBdr>
            <w:top w:val="none" w:sz="0" w:space="0" w:color="auto"/>
            <w:left w:val="none" w:sz="0" w:space="0" w:color="auto"/>
            <w:bottom w:val="none" w:sz="0" w:space="0" w:color="auto"/>
            <w:right w:val="none" w:sz="0" w:space="0" w:color="auto"/>
          </w:divBdr>
        </w:div>
        <w:div w:id="2018002022">
          <w:marLeft w:val="480"/>
          <w:marRight w:val="0"/>
          <w:marTop w:val="0"/>
          <w:marBottom w:val="0"/>
          <w:divBdr>
            <w:top w:val="none" w:sz="0" w:space="0" w:color="auto"/>
            <w:left w:val="none" w:sz="0" w:space="0" w:color="auto"/>
            <w:bottom w:val="none" w:sz="0" w:space="0" w:color="auto"/>
            <w:right w:val="none" w:sz="0" w:space="0" w:color="auto"/>
          </w:divBdr>
        </w:div>
        <w:div w:id="720985568">
          <w:marLeft w:val="480"/>
          <w:marRight w:val="0"/>
          <w:marTop w:val="0"/>
          <w:marBottom w:val="0"/>
          <w:divBdr>
            <w:top w:val="none" w:sz="0" w:space="0" w:color="auto"/>
            <w:left w:val="none" w:sz="0" w:space="0" w:color="auto"/>
            <w:bottom w:val="none" w:sz="0" w:space="0" w:color="auto"/>
            <w:right w:val="none" w:sz="0" w:space="0" w:color="auto"/>
          </w:divBdr>
        </w:div>
        <w:div w:id="330332274">
          <w:marLeft w:val="480"/>
          <w:marRight w:val="0"/>
          <w:marTop w:val="0"/>
          <w:marBottom w:val="0"/>
          <w:divBdr>
            <w:top w:val="none" w:sz="0" w:space="0" w:color="auto"/>
            <w:left w:val="none" w:sz="0" w:space="0" w:color="auto"/>
            <w:bottom w:val="none" w:sz="0" w:space="0" w:color="auto"/>
            <w:right w:val="none" w:sz="0" w:space="0" w:color="auto"/>
          </w:divBdr>
        </w:div>
        <w:div w:id="970357177">
          <w:marLeft w:val="480"/>
          <w:marRight w:val="0"/>
          <w:marTop w:val="0"/>
          <w:marBottom w:val="0"/>
          <w:divBdr>
            <w:top w:val="none" w:sz="0" w:space="0" w:color="auto"/>
            <w:left w:val="none" w:sz="0" w:space="0" w:color="auto"/>
            <w:bottom w:val="none" w:sz="0" w:space="0" w:color="auto"/>
            <w:right w:val="none" w:sz="0" w:space="0" w:color="auto"/>
          </w:divBdr>
        </w:div>
        <w:div w:id="2050522268">
          <w:marLeft w:val="480"/>
          <w:marRight w:val="0"/>
          <w:marTop w:val="0"/>
          <w:marBottom w:val="0"/>
          <w:divBdr>
            <w:top w:val="none" w:sz="0" w:space="0" w:color="auto"/>
            <w:left w:val="none" w:sz="0" w:space="0" w:color="auto"/>
            <w:bottom w:val="none" w:sz="0" w:space="0" w:color="auto"/>
            <w:right w:val="none" w:sz="0" w:space="0" w:color="auto"/>
          </w:divBdr>
        </w:div>
        <w:div w:id="1442995224">
          <w:marLeft w:val="480"/>
          <w:marRight w:val="0"/>
          <w:marTop w:val="0"/>
          <w:marBottom w:val="0"/>
          <w:divBdr>
            <w:top w:val="none" w:sz="0" w:space="0" w:color="auto"/>
            <w:left w:val="none" w:sz="0" w:space="0" w:color="auto"/>
            <w:bottom w:val="none" w:sz="0" w:space="0" w:color="auto"/>
            <w:right w:val="none" w:sz="0" w:space="0" w:color="auto"/>
          </w:divBdr>
        </w:div>
        <w:div w:id="701714327">
          <w:marLeft w:val="480"/>
          <w:marRight w:val="0"/>
          <w:marTop w:val="0"/>
          <w:marBottom w:val="0"/>
          <w:divBdr>
            <w:top w:val="none" w:sz="0" w:space="0" w:color="auto"/>
            <w:left w:val="none" w:sz="0" w:space="0" w:color="auto"/>
            <w:bottom w:val="none" w:sz="0" w:space="0" w:color="auto"/>
            <w:right w:val="none" w:sz="0" w:space="0" w:color="auto"/>
          </w:divBdr>
        </w:div>
        <w:div w:id="1223248592">
          <w:marLeft w:val="480"/>
          <w:marRight w:val="0"/>
          <w:marTop w:val="0"/>
          <w:marBottom w:val="0"/>
          <w:divBdr>
            <w:top w:val="none" w:sz="0" w:space="0" w:color="auto"/>
            <w:left w:val="none" w:sz="0" w:space="0" w:color="auto"/>
            <w:bottom w:val="none" w:sz="0" w:space="0" w:color="auto"/>
            <w:right w:val="none" w:sz="0" w:space="0" w:color="auto"/>
          </w:divBdr>
        </w:div>
        <w:div w:id="77100027">
          <w:marLeft w:val="480"/>
          <w:marRight w:val="0"/>
          <w:marTop w:val="0"/>
          <w:marBottom w:val="0"/>
          <w:divBdr>
            <w:top w:val="none" w:sz="0" w:space="0" w:color="auto"/>
            <w:left w:val="none" w:sz="0" w:space="0" w:color="auto"/>
            <w:bottom w:val="none" w:sz="0" w:space="0" w:color="auto"/>
            <w:right w:val="none" w:sz="0" w:space="0" w:color="auto"/>
          </w:divBdr>
        </w:div>
        <w:div w:id="923563044">
          <w:marLeft w:val="480"/>
          <w:marRight w:val="0"/>
          <w:marTop w:val="0"/>
          <w:marBottom w:val="0"/>
          <w:divBdr>
            <w:top w:val="none" w:sz="0" w:space="0" w:color="auto"/>
            <w:left w:val="none" w:sz="0" w:space="0" w:color="auto"/>
            <w:bottom w:val="none" w:sz="0" w:space="0" w:color="auto"/>
            <w:right w:val="none" w:sz="0" w:space="0" w:color="auto"/>
          </w:divBdr>
        </w:div>
        <w:div w:id="455952206">
          <w:marLeft w:val="480"/>
          <w:marRight w:val="0"/>
          <w:marTop w:val="0"/>
          <w:marBottom w:val="0"/>
          <w:divBdr>
            <w:top w:val="none" w:sz="0" w:space="0" w:color="auto"/>
            <w:left w:val="none" w:sz="0" w:space="0" w:color="auto"/>
            <w:bottom w:val="none" w:sz="0" w:space="0" w:color="auto"/>
            <w:right w:val="none" w:sz="0" w:space="0" w:color="auto"/>
          </w:divBdr>
        </w:div>
        <w:div w:id="712847077">
          <w:marLeft w:val="480"/>
          <w:marRight w:val="0"/>
          <w:marTop w:val="0"/>
          <w:marBottom w:val="0"/>
          <w:divBdr>
            <w:top w:val="none" w:sz="0" w:space="0" w:color="auto"/>
            <w:left w:val="none" w:sz="0" w:space="0" w:color="auto"/>
            <w:bottom w:val="none" w:sz="0" w:space="0" w:color="auto"/>
            <w:right w:val="none" w:sz="0" w:space="0" w:color="auto"/>
          </w:divBdr>
        </w:div>
        <w:div w:id="87653630">
          <w:marLeft w:val="480"/>
          <w:marRight w:val="0"/>
          <w:marTop w:val="0"/>
          <w:marBottom w:val="0"/>
          <w:divBdr>
            <w:top w:val="none" w:sz="0" w:space="0" w:color="auto"/>
            <w:left w:val="none" w:sz="0" w:space="0" w:color="auto"/>
            <w:bottom w:val="none" w:sz="0" w:space="0" w:color="auto"/>
            <w:right w:val="none" w:sz="0" w:space="0" w:color="auto"/>
          </w:divBdr>
        </w:div>
        <w:div w:id="470245447">
          <w:marLeft w:val="480"/>
          <w:marRight w:val="0"/>
          <w:marTop w:val="0"/>
          <w:marBottom w:val="0"/>
          <w:divBdr>
            <w:top w:val="none" w:sz="0" w:space="0" w:color="auto"/>
            <w:left w:val="none" w:sz="0" w:space="0" w:color="auto"/>
            <w:bottom w:val="none" w:sz="0" w:space="0" w:color="auto"/>
            <w:right w:val="none" w:sz="0" w:space="0" w:color="auto"/>
          </w:divBdr>
        </w:div>
        <w:div w:id="81876467">
          <w:marLeft w:val="480"/>
          <w:marRight w:val="0"/>
          <w:marTop w:val="0"/>
          <w:marBottom w:val="0"/>
          <w:divBdr>
            <w:top w:val="none" w:sz="0" w:space="0" w:color="auto"/>
            <w:left w:val="none" w:sz="0" w:space="0" w:color="auto"/>
            <w:bottom w:val="none" w:sz="0" w:space="0" w:color="auto"/>
            <w:right w:val="none" w:sz="0" w:space="0" w:color="auto"/>
          </w:divBdr>
        </w:div>
        <w:div w:id="828400648">
          <w:marLeft w:val="480"/>
          <w:marRight w:val="0"/>
          <w:marTop w:val="0"/>
          <w:marBottom w:val="0"/>
          <w:divBdr>
            <w:top w:val="none" w:sz="0" w:space="0" w:color="auto"/>
            <w:left w:val="none" w:sz="0" w:space="0" w:color="auto"/>
            <w:bottom w:val="none" w:sz="0" w:space="0" w:color="auto"/>
            <w:right w:val="none" w:sz="0" w:space="0" w:color="auto"/>
          </w:divBdr>
        </w:div>
        <w:div w:id="79762389">
          <w:marLeft w:val="480"/>
          <w:marRight w:val="0"/>
          <w:marTop w:val="0"/>
          <w:marBottom w:val="0"/>
          <w:divBdr>
            <w:top w:val="none" w:sz="0" w:space="0" w:color="auto"/>
            <w:left w:val="none" w:sz="0" w:space="0" w:color="auto"/>
            <w:bottom w:val="none" w:sz="0" w:space="0" w:color="auto"/>
            <w:right w:val="none" w:sz="0" w:space="0" w:color="auto"/>
          </w:divBdr>
        </w:div>
        <w:div w:id="1551502524">
          <w:marLeft w:val="480"/>
          <w:marRight w:val="0"/>
          <w:marTop w:val="0"/>
          <w:marBottom w:val="0"/>
          <w:divBdr>
            <w:top w:val="none" w:sz="0" w:space="0" w:color="auto"/>
            <w:left w:val="none" w:sz="0" w:space="0" w:color="auto"/>
            <w:bottom w:val="none" w:sz="0" w:space="0" w:color="auto"/>
            <w:right w:val="none" w:sz="0" w:space="0" w:color="auto"/>
          </w:divBdr>
        </w:div>
        <w:div w:id="1471557880">
          <w:marLeft w:val="480"/>
          <w:marRight w:val="0"/>
          <w:marTop w:val="0"/>
          <w:marBottom w:val="0"/>
          <w:divBdr>
            <w:top w:val="none" w:sz="0" w:space="0" w:color="auto"/>
            <w:left w:val="none" w:sz="0" w:space="0" w:color="auto"/>
            <w:bottom w:val="none" w:sz="0" w:space="0" w:color="auto"/>
            <w:right w:val="none" w:sz="0" w:space="0" w:color="auto"/>
          </w:divBdr>
        </w:div>
        <w:div w:id="1782335886">
          <w:marLeft w:val="480"/>
          <w:marRight w:val="0"/>
          <w:marTop w:val="0"/>
          <w:marBottom w:val="0"/>
          <w:divBdr>
            <w:top w:val="none" w:sz="0" w:space="0" w:color="auto"/>
            <w:left w:val="none" w:sz="0" w:space="0" w:color="auto"/>
            <w:bottom w:val="none" w:sz="0" w:space="0" w:color="auto"/>
            <w:right w:val="none" w:sz="0" w:space="0" w:color="auto"/>
          </w:divBdr>
        </w:div>
        <w:div w:id="1313022235">
          <w:marLeft w:val="480"/>
          <w:marRight w:val="0"/>
          <w:marTop w:val="0"/>
          <w:marBottom w:val="0"/>
          <w:divBdr>
            <w:top w:val="none" w:sz="0" w:space="0" w:color="auto"/>
            <w:left w:val="none" w:sz="0" w:space="0" w:color="auto"/>
            <w:bottom w:val="none" w:sz="0" w:space="0" w:color="auto"/>
            <w:right w:val="none" w:sz="0" w:space="0" w:color="auto"/>
          </w:divBdr>
        </w:div>
        <w:div w:id="2136562537">
          <w:marLeft w:val="480"/>
          <w:marRight w:val="0"/>
          <w:marTop w:val="0"/>
          <w:marBottom w:val="0"/>
          <w:divBdr>
            <w:top w:val="none" w:sz="0" w:space="0" w:color="auto"/>
            <w:left w:val="none" w:sz="0" w:space="0" w:color="auto"/>
            <w:bottom w:val="none" w:sz="0" w:space="0" w:color="auto"/>
            <w:right w:val="none" w:sz="0" w:space="0" w:color="auto"/>
          </w:divBdr>
        </w:div>
        <w:div w:id="820271120">
          <w:marLeft w:val="480"/>
          <w:marRight w:val="0"/>
          <w:marTop w:val="0"/>
          <w:marBottom w:val="0"/>
          <w:divBdr>
            <w:top w:val="none" w:sz="0" w:space="0" w:color="auto"/>
            <w:left w:val="none" w:sz="0" w:space="0" w:color="auto"/>
            <w:bottom w:val="none" w:sz="0" w:space="0" w:color="auto"/>
            <w:right w:val="none" w:sz="0" w:space="0" w:color="auto"/>
          </w:divBdr>
        </w:div>
        <w:div w:id="1376781948">
          <w:marLeft w:val="480"/>
          <w:marRight w:val="0"/>
          <w:marTop w:val="0"/>
          <w:marBottom w:val="0"/>
          <w:divBdr>
            <w:top w:val="none" w:sz="0" w:space="0" w:color="auto"/>
            <w:left w:val="none" w:sz="0" w:space="0" w:color="auto"/>
            <w:bottom w:val="none" w:sz="0" w:space="0" w:color="auto"/>
            <w:right w:val="none" w:sz="0" w:space="0" w:color="auto"/>
          </w:divBdr>
        </w:div>
        <w:div w:id="206989935">
          <w:marLeft w:val="480"/>
          <w:marRight w:val="0"/>
          <w:marTop w:val="0"/>
          <w:marBottom w:val="0"/>
          <w:divBdr>
            <w:top w:val="none" w:sz="0" w:space="0" w:color="auto"/>
            <w:left w:val="none" w:sz="0" w:space="0" w:color="auto"/>
            <w:bottom w:val="none" w:sz="0" w:space="0" w:color="auto"/>
            <w:right w:val="none" w:sz="0" w:space="0" w:color="auto"/>
          </w:divBdr>
        </w:div>
        <w:div w:id="1080566683">
          <w:marLeft w:val="480"/>
          <w:marRight w:val="0"/>
          <w:marTop w:val="0"/>
          <w:marBottom w:val="0"/>
          <w:divBdr>
            <w:top w:val="none" w:sz="0" w:space="0" w:color="auto"/>
            <w:left w:val="none" w:sz="0" w:space="0" w:color="auto"/>
            <w:bottom w:val="none" w:sz="0" w:space="0" w:color="auto"/>
            <w:right w:val="none" w:sz="0" w:space="0" w:color="auto"/>
          </w:divBdr>
        </w:div>
        <w:div w:id="380593369">
          <w:marLeft w:val="480"/>
          <w:marRight w:val="0"/>
          <w:marTop w:val="0"/>
          <w:marBottom w:val="0"/>
          <w:divBdr>
            <w:top w:val="none" w:sz="0" w:space="0" w:color="auto"/>
            <w:left w:val="none" w:sz="0" w:space="0" w:color="auto"/>
            <w:bottom w:val="none" w:sz="0" w:space="0" w:color="auto"/>
            <w:right w:val="none" w:sz="0" w:space="0" w:color="auto"/>
          </w:divBdr>
        </w:div>
        <w:div w:id="22828567">
          <w:marLeft w:val="480"/>
          <w:marRight w:val="0"/>
          <w:marTop w:val="0"/>
          <w:marBottom w:val="0"/>
          <w:divBdr>
            <w:top w:val="none" w:sz="0" w:space="0" w:color="auto"/>
            <w:left w:val="none" w:sz="0" w:space="0" w:color="auto"/>
            <w:bottom w:val="none" w:sz="0" w:space="0" w:color="auto"/>
            <w:right w:val="none" w:sz="0" w:space="0" w:color="auto"/>
          </w:divBdr>
        </w:div>
        <w:div w:id="1387794625">
          <w:marLeft w:val="480"/>
          <w:marRight w:val="0"/>
          <w:marTop w:val="0"/>
          <w:marBottom w:val="0"/>
          <w:divBdr>
            <w:top w:val="none" w:sz="0" w:space="0" w:color="auto"/>
            <w:left w:val="none" w:sz="0" w:space="0" w:color="auto"/>
            <w:bottom w:val="none" w:sz="0" w:space="0" w:color="auto"/>
            <w:right w:val="none" w:sz="0" w:space="0" w:color="auto"/>
          </w:divBdr>
        </w:div>
        <w:div w:id="1478835632">
          <w:marLeft w:val="480"/>
          <w:marRight w:val="0"/>
          <w:marTop w:val="0"/>
          <w:marBottom w:val="0"/>
          <w:divBdr>
            <w:top w:val="none" w:sz="0" w:space="0" w:color="auto"/>
            <w:left w:val="none" w:sz="0" w:space="0" w:color="auto"/>
            <w:bottom w:val="none" w:sz="0" w:space="0" w:color="auto"/>
            <w:right w:val="none" w:sz="0" w:space="0" w:color="auto"/>
          </w:divBdr>
        </w:div>
        <w:div w:id="893077219">
          <w:marLeft w:val="480"/>
          <w:marRight w:val="0"/>
          <w:marTop w:val="0"/>
          <w:marBottom w:val="0"/>
          <w:divBdr>
            <w:top w:val="none" w:sz="0" w:space="0" w:color="auto"/>
            <w:left w:val="none" w:sz="0" w:space="0" w:color="auto"/>
            <w:bottom w:val="none" w:sz="0" w:space="0" w:color="auto"/>
            <w:right w:val="none" w:sz="0" w:space="0" w:color="auto"/>
          </w:divBdr>
        </w:div>
        <w:div w:id="1118451908">
          <w:marLeft w:val="480"/>
          <w:marRight w:val="0"/>
          <w:marTop w:val="0"/>
          <w:marBottom w:val="0"/>
          <w:divBdr>
            <w:top w:val="none" w:sz="0" w:space="0" w:color="auto"/>
            <w:left w:val="none" w:sz="0" w:space="0" w:color="auto"/>
            <w:bottom w:val="none" w:sz="0" w:space="0" w:color="auto"/>
            <w:right w:val="none" w:sz="0" w:space="0" w:color="auto"/>
          </w:divBdr>
        </w:div>
        <w:div w:id="583220679">
          <w:marLeft w:val="480"/>
          <w:marRight w:val="0"/>
          <w:marTop w:val="0"/>
          <w:marBottom w:val="0"/>
          <w:divBdr>
            <w:top w:val="none" w:sz="0" w:space="0" w:color="auto"/>
            <w:left w:val="none" w:sz="0" w:space="0" w:color="auto"/>
            <w:bottom w:val="none" w:sz="0" w:space="0" w:color="auto"/>
            <w:right w:val="none" w:sz="0" w:space="0" w:color="auto"/>
          </w:divBdr>
        </w:div>
        <w:div w:id="372538754">
          <w:marLeft w:val="480"/>
          <w:marRight w:val="0"/>
          <w:marTop w:val="0"/>
          <w:marBottom w:val="0"/>
          <w:divBdr>
            <w:top w:val="none" w:sz="0" w:space="0" w:color="auto"/>
            <w:left w:val="none" w:sz="0" w:space="0" w:color="auto"/>
            <w:bottom w:val="none" w:sz="0" w:space="0" w:color="auto"/>
            <w:right w:val="none" w:sz="0" w:space="0" w:color="auto"/>
          </w:divBdr>
        </w:div>
        <w:div w:id="1145582585">
          <w:marLeft w:val="480"/>
          <w:marRight w:val="0"/>
          <w:marTop w:val="0"/>
          <w:marBottom w:val="0"/>
          <w:divBdr>
            <w:top w:val="none" w:sz="0" w:space="0" w:color="auto"/>
            <w:left w:val="none" w:sz="0" w:space="0" w:color="auto"/>
            <w:bottom w:val="none" w:sz="0" w:space="0" w:color="auto"/>
            <w:right w:val="none" w:sz="0" w:space="0" w:color="auto"/>
          </w:divBdr>
        </w:div>
        <w:div w:id="1852260809">
          <w:marLeft w:val="480"/>
          <w:marRight w:val="0"/>
          <w:marTop w:val="0"/>
          <w:marBottom w:val="0"/>
          <w:divBdr>
            <w:top w:val="none" w:sz="0" w:space="0" w:color="auto"/>
            <w:left w:val="none" w:sz="0" w:space="0" w:color="auto"/>
            <w:bottom w:val="none" w:sz="0" w:space="0" w:color="auto"/>
            <w:right w:val="none" w:sz="0" w:space="0" w:color="auto"/>
          </w:divBdr>
        </w:div>
        <w:div w:id="1348749342">
          <w:marLeft w:val="480"/>
          <w:marRight w:val="0"/>
          <w:marTop w:val="0"/>
          <w:marBottom w:val="0"/>
          <w:divBdr>
            <w:top w:val="none" w:sz="0" w:space="0" w:color="auto"/>
            <w:left w:val="none" w:sz="0" w:space="0" w:color="auto"/>
            <w:bottom w:val="none" w:sz="0" w:space="0" w:color="auto"/>
            <w:right w:val="none" w:sz="0" w:space="0" w:color="auto"/>
          </w:divBdr>
        </w:div>
        <w:div w:id="1676615225">
          <w:marLeft w:val="480"/>
          <w:marRight w:val="0"/>
          <w:marTop w:val="0"/>
          <w:marBottom w:val="0"/>
          <w:divBdr>
            <w:top w:val="none" w:sz="0" w:space="0" w:color="auto"/>
            <w:left w:val="none" w:sz="0" w:space="0" w:color="auto"/>
            <w:bottom w:val="none" w:sz="0" w:space="0" w:color="auto"/>
            <w:right w:val="none" w:sz="0" w:space="0" w:color="auto"/>
          </w:divBdr>
        </w:div>
        <w:div w:id="1967346800">
          <w:marLeft w:val="480"/>
          <w:marRight w:val="0"/>
          <w:marTop w:val="0"/>
          <w:marBottom w:val="0"/>
          <w:divBdr>
            <w:top w:val="none" w:sz="0" w:space="0" w:color="auto"/>
            <w:left w:val="none" w:sz="0" w:space="0" w:color="auto"/>
            <w:bottom w:val="none" w:sz="0" w:space="0" w:color="auto"/>
            <w:right w:val="none" w:sz="0" w:space="0" w:color="auto"/>
          </w:divBdr>
        </w:div>
        <w:div w:id="1911304762">
          <w:marLeft w:val="480"/>
          <w:marRight w:val="0"/>
          <w:marTop w:val="0"/>
          <w:marBottom w:val="0"/>
          <w:divBdr>
            <w:top w:val="none" w:sz="0" w:space="0" w:color="auto"/>
            <w:left w:val="none" w:sz="0" w:space="0" w:color="auto"/>
            <w:bottom w:val="none" w:sz="0" w:space="0" w:color="auto"/>
            <w:right w:val="none" w:sz="0" w:space="0" w:color="auto"/>
          </w:divBdr>
        </w:div>
        <w:div w:id="715087469">
          <w:marLeft w:val="480"/>
          <w:marRight w:val="0"/>
          <w:marTop w:val="0"/>
          <w:marBottom w:val="0"/>
          <w:divBdr>
            <w:top w:val="none" w:sz="0" w:space="0" w:color="auto"/>
            <w:left w:val="none" w:sz="0" w:space="0" w:color="auto"/>
            <w:bottom w:val="none" w:sz="0" w:space="0" w:color="auto"/>
            <w:right w:val="none" w:sz="0" w:space="0" w:color="auto"/>
          </w:divBdr>
        </w:div>
        <w:div w:id="386220023">
          <w:marLeft w:val="480"/>
          <w:marRight w:val="0"/>
          <w:marTop w:val="0"/>
          <w:marBottom w:val="0"/>
          <w:divBdr>
            <w:top w:val="none" w:sz="0" w:space="0" w:color="auto"/>
            <w:left w:val="none" w:sz="0" w:space="0" w:color="auto"/>
            <w:bottom w:val="none" w:sz="0" w:space="0" w:color="auto"/>
            <w:right w:val="none" w:sz="0" w:space="0" w:color="auto"/>
          </w:divBdr>
        </w:div>
        <w:div w:id="1445537821">
          <w:marLeft w:val="480"/>
          <w:marRight w:val="0"/>
          <w:marTop w:val="0"/>
          <w:marBottom w:val="0"/>
          <w:divBdr>
            <w:top w:val="none" w:sz="0" w:space="0" w:color="auto"/>
            <w:left w:val="none" w:sz="0" w:space="0" w:color="auto"/>
            <w:bottom w:val="none" w:sz="0" w:space="0" w:color="auto"/>
            <w:right w:val="none" w:sz="0" w:space="0" w:color="auto"/>
          </w:divBdr>
        </w:div>
        <w:div w:id="1594125897">
          <w:marLeft w:val="480"/>
          <w:marRight w:val="0"/>
          <w:marTop w:val="0"/>
          <w:marBottom w:val="0"/>
          <w:divBdr>
            <w:top w:val="none" w:sz="0" w:space="0" w:color="auto"/>
            <w:left w:val="none" w:sz="0" w:space="0" w:color="auto"/>
            <w:bottom w:val="none" w:sz="0" w:space="0" w:color="auto"/>
            <w:right w:val="none" w:sz="0" w:space="0" w:color="auto"/>
          </w:divBdr>
        </w:div>
        <w:div w:id="1234705332">
          <w:marLeft w:val="480"/>
          <w:marRight w:val="0"/>
          <w:marTop w:val="0"/>
          <w:marBottom w:val="0"/>
          <w:divBdr>
            <w:top w:val="none" w:sz="0" w:space="0" w:color="auto"/>
            <w:left w:val="none" w:sz="0" w:space="0" w:color="auto"/>
            <w:bottom w:val="none" w:sz="0" w:space="0" w:color="auto"/>
            <w:right w:val="none" w:sz="0" w:space="0" w:color="auto"/>
          </w:divBdr>
        </w:div>
        <w:div w:id="1005010007">
          <w:marLeft w:val="480"/>
          <w:marRight w:val="0"/>
          <w:marTop w:val="0"/>
          <w:marBottom w:val="0"/>
          <w:divBdr>
            <w:top w:val="none" w:sz="0" w:space="0" w:color="auto"/>
            <w:left w:val="none" w:sz="0" w:space="0" w:color="auto"/>
            <w:bottom w:val="none" w:sz="0" w:space="0" w:color="auto"/>
            <w:right w:val="none" w:sz="0" w:space="0" w:color="auto"/>
          </w:divBdr>
        </w:div>
        <w:div w:id="1464927539">
          <w:marLeft w:val="480"/>
          <w:marRight w:val="0"/>
          <w:marTop w:val="0"/>
          <w:marBottom w:val="0"/>
          <w:divBdr>
            <w:top w:val="none" w:sz="0" w:space="0" w:color="auto"/>
            <w:left w:val="none" w:sz="0" w:space="0" w:color="auto"/>
            <w:bottom w:val="none" w:sz="0" w:space="0" w:color="auto"/>
            <w:right w:val="none" w:sz="0" w:space="0" w:color="auto"/>
          </w:divBdr>
        </w:div>
        <w:div w:id="949552685">
          <w:marLeft w:val="480"/>
          <w:marRight w:val="0"/>
          <w:marTop w:val="0"/>
          <w:marBottom w:val="0"/>
          <w:divBdr>
            <w:top w:val="none" w:sz="0" w:space="0" w:color="auto"/>
            <w:left w:val="none" w:sz="0" w:space="0" w:color="auto"/>
            <w:bottom w:val="none" w:sz="0" w:space="0" w:color="auto"/>
            <w:right w:val="none" w:sz="0" w:space="0" w:color="auto"/>
          </w:divBdr>
        </w:div>
        <w:div w:id="1661152556">
          <w:marLeft w:val="480"/>
          <w:marRight w:val="0"/>
          <w:marTop w:val="0"/>
          <w:marBottom w:val="0"/>
          <w:divBdr>
            <w:top w:val="none" w:sz="0" w:space="0" w:color="auto"/>
            <w:left w:val="none" w:sz="0" w:space="0" w:color="auto"/>
            <w:bottom w:val="none" w:sz="0" w:space="0" w:color="auto"/>
            <w:right w:val="none" w:sz="0" w:space="0" w:color="auto"/>
          </w:divBdr>
        </w:div>
        <w:div w:id="1071542685">
          <w:marLeft w:val="480"/>
          <w:marRight w:val="0"/>
          <w:marTop w:val="0"/>
          <w:marBottom w:val="0"/>
          <w:divBdr>
            <w:top w:val="none" w:sz="0" w:space="0" w:color="auto"/>
            <w:left w:val="none" w:sz="0" w:space="0" w:color="auto"/>
            <w:bottom w:val="none" w:sz="0" w:space="0" w:color="auto"/>
            <w:right w:val="none" w:sz="0" w:space="0" w:color="auto"/>
          </w:divBdr>
        </w:div>
        <w:div w:id="1370030465">
          <w:marLeft w:val="480"/>
          <w:marRight w:val="0"/>
          <w:marTop w:val="0"/>
          <w:marBottom w:val="0"/>
          <w:divBdr>
            <w:top w:val="none" w:sz="0" w:space="0" w:color="auto"/>
            <w:left w:val="none" w:sz="0" w:space="0" w:color="auto"/>
            <w:bottom w:val="none" w:sz="0" w:space="0" w:color="auto"/>
            <w:right w:val="none" w:sz="0" w:space="0" w:color="auto"/>
          </w:divBdr>
        </w:div>
        <w:div w:id="1946033667">
          <w:marLeft w:val="480"/>
          <w:marRight w:val="0"/>
          <w:marTop w:val="0"/>
          <w:marBottom w:val="0"/>
          <w:divBdr>
            <w:top w:val="none" w:sz="0" w:space="0" w:color="auto"/>
            <w:left w:val="none" w:sz="0" w:space="0" w:color="auto"/>
            <w:bottom w:val="none" w:sz="0" w:space="0" w:color="auto"/>
            <w:right w:val="none" w:sz="0" w:space="0" w:color="auto"/>
          </w:divBdr>
        </w:div>
        <w:div w:id="218706860">
          <w:marLeft w:val="480"/>
          <w:marRight w:val="0"/>
          <w:marTop w:val="0"/>
          <w:marBottom w:val="0"/>
          <w:divBdr>
            <w:top w:val="none" w:sz="0" w:space="0" w:color="auto"/>
            <w:left w:val="none" w:sz="0" w:space="0" w:color="auto"/>
            <w:bottom w:val="none" w:sz="0" w:space="0" w:color="auto"/>
            <w:right w:val="none" w:sz="0" w:space="0" w:color="auto"/>
          </w:divBdr>
        </w:div>
        <w:div w:id="1514102621">
          <w:marLeft w:val="480"/>
          <w:marRight w:val="0"/>
          <w:marTop w:val="0"/>
          <w:marBottom w:val="0"/>
          <w:divBdr>
            <w:top w:val="none" w:sz="0" w:space="0" w:color="auto"/>
            <w:left w:val="none" w:sz="0" w:space="0" w:color="auto"/>
            <w:bottom w:val="none" w:sz="0" w:space="0" w:color="auto"/>
            <w:right w:val="none" w:sz="0" w:space="0" w:color="auto"/>
          </w:divBdr>
        </w:div>
        <w:div w:id="2147116203">
          <w:marLeft w:val="480"/>
          <w:marRight w:val="0"/>
          <w:marTop w:val="0"/>
          <w:marBottom w:val="0"/>
          <w:divBdr>
            <w:top w:val="none" w:sz="0" w:space="0" w:color="auto"/>
            <w:left w:val="none" w:sz="0" w:space="0" w:color="auto"/>
            <w:bottom w:val="none" w:sz="0" w:space="0" w:color="auto"/>
            <w:right w:val="none" w:sz="0" w:space="0" w:color="auto"/>
          </w:divBdr>
        </w:div>
        <w:div w:id="497431025">
          <w:marLeft w:val="480"/>
          <w:marRight w:val="0"/>
          <w:marTop w:val="0"/>
          <w:marBottom w:val="0"/>
          <w:divBdr>
            <w:top w:val="none" w:sz="0" w:space="0" w:color="auto"/>
            <w:left w:val="none" w:sz="0" w:space="0" w:color="auto"/>
            <w:bottom w:val="none" w:sz="0" w:space="0" w:color="auto"/>
            <w:right w:val="none" w:sz="0" w:space="0" w:color="auto"/>
          </w:divBdr>
        </w:div>
        <w:div w:id="1096512590">
          <w:marLeft w:val="480"/>
          <w:marRight w:val="0"/>
          <w:marTop w:val="0"/>
          <w:marBottom w:val="0"/>
          <w:divBdr>
            <w:top w:val="none" w:sz="0" w:space="0" w:color="auto"/>
            <w:left w:val="none" w:sz="0" w:space="0" w:color="auto"/>
            <w:bottom w:val="none" w:sz="0" w:space="0" w:color="auto"/>
            <w:right w:val="none" w:sz="0" w:space="0" w:color="auto"/>
          </w:divBdr>
        </w:div>
        <w:div w:id="339820118">
          <w:marLeft w:val="480"/>
          <w:marRight w:val="0"/>
          <w:marTop w:val="0"/>
          <w:marBottom w:val="0"/>
          <w:divBdr>
            <w:top w:val="none" w:sz="0" w:space="0" w:color="auto"/>
            <w:left w:val="none" w:sz="0" w:space="0" w:color="auto"/>
            <w:bottom w:val="none" w:sz="0" w:space="0" w:color="auto"/>
            <w:right w:val="none" w:sz="0" w:space="0" w:color="auto"/>
          </w:divBdr>
        </w:div>
        <w:div w:id="1293438630">
          <w:marLeft w:val="480"/>
          <w:marRight w:val="0"/>
          <w:marTop w:val="0"/>
          <w:marBottom w:val="0"/>
          <w:divBdr>
            <w:top w:val="none" w:sz="0" w:space="0" w:color="auto"/>
            <w:left w:val="none" w:sz="0" w:space="0" w:color="auto"/>
            <w:bottom w:val="none" w:sz="0" w:space="0" w:color="auto"/>
            <w:right w:val="none" w:sz="0" w:space="0" w:color="auto"/>
          </w:divBdr>
        </w:div>
        <w:div w:id="746810038">
          <w:marLeft w:val="480"/>
          <w:marRight w:val="0"/>
          <w:marTop w:val="0"/>
          <w:marBottom w:val="0"/>
          <w:divBdr>
            <w:top w:val="none" w:sz="0" w:space="0" w:color="auto"/>
            <w:left w:val="none" w:sz="0" w:space="0" w:color="auto"/>
            <w:bottom w:val="none" w:sz="0" w:space="0" w:color="auto"/>
            <w:right w:val="none" w:sz="0" w:space="0" w:color="auto"/>
          </w:divBdr>
        </w:div>
        <w:div w:id="763770823">
          <w:marLeft w:val="480"/>
          <w:marRight w:val="0"/>
          <w:marTop w:val="0"/>
          <w:marBottom w:val="0"/>
          <w:divBdr>
            <w:top w:val="none" w:sz="0" w:space="0" w:color="auto"/>
            <w:left w:val="none" w:sz="0" w:space="0" w:color="auto"/>
            <w:bottom w:val="none" w:sz="0" w:space="0" w:color="auto"/>
            <w:right w:val="none" w:sz="0" w:space="0" w:color="auto"/>
          </w:divBdr>
        </w:div>
        <w:div w:id="259065464">
          <w:marLeft w:val="480"/>
          <w:marRight w:val="0"/>
          <w:marTop w:val="0"/>
          <w:marBottom w:val="0"/>
          <w:divBdr>
            <w:top w:val="none" w:sz="0" w:space="0" w:color="auto"/>
            <w:left w:val="none" w:sz="0" w:space="0" w:color="auto"/>
            <w:bottom w:val="none" w:sz="0" w:space="0" w:color="auto"/>
            <w:right w:val="none" w:sz="0" w:space="0" w:color="auto"/>
          </w:divBdr>
        </w:div>
        <w:div w:id="1592472382">
          <w:marLeft w:val="480"/>
          <w:marRight w:val="0"/>
          <w:marTop w:val="0"/>
          <w:marBottom w:val="0"/>
          <w:divBdr>
            <w:top w:val="none" w:sz="0" w:space="0" w:color="auto"/>
            <w:left w:val="none" w:sz="0" w:space="0" w:color="auto"/>
            <w:bottom w:val="none" w:sz="0" w:space="0" w:color="auto"/>
            <w:right w:val="none" w:sz="0" w:space="0" w:color="auto"/>
          </w:divBdr>
        </w:div>
        <w:div w:id="1978290602">
          <w:marLeft w:val="480"/>
          <w:marRight w:val="0"/>
          <w:marTop w:val="0"/>
          <w:marBottom w:val="0"/>
          <w:divBdr>
            <w:top w:val="none" w:sz="0" w:space="0" w:color="auto"/>
            <w:left w:val="none" w:sz="0" w:space="0" w:color="auto"/>
            <w:bottom w:val="none" w:sz="0" w:space="0" w:color="auto"/>
            <w:right w:val="none" w:sz="0" w:space="0" w:color="auto"/>
          </w:divBdr>
        </w:div>
        <w:div w:id="1546261187">
          <w:marLeft w:val="480"/>
          <w:marRight w:val="0"/>
          <w:marTop w:val="0"/>
          <w:marBottom w:val="0"/>
          <w:divBdr>
            <w:top w:val="none" w:sz="0" w:space="0" w:color="auto"/>
            <w:left w:val="none" w:sz="0" w:space="0" w:color="auto"/>
            <w:bottom w:val="none" w:sz="0" w:space="0" w:color="auto"/>
            <w:right w:val="none" w:sz="0" w:space="0" w:color="auto"/>
          </w:divBdr>
        </w:div>
        <w:div w:id="1288202825">
          <w:marLeft w:val="480"/>
          <w:marRight w:val="0"/>
          <w:marTop w:val="0"/>
          <w:marBottom w:val="0"/>
          <w:divBdr>
            <w:top w:val="none" w:sz="0" w:space="0" w:color="auto"/>
            <w:left w:val="none" w:sz="0" w:space="0" w:color="auto"/>
            <w:bottom w:val="none" w:sz="0" w:space="0" w:color="auto"/>
            <w:right w:val="none" w:sz="0" w:space="0" w:color="auto"/>
          </w:divBdr>
        </w:div>
        <w:div w:id="1462461752">
          <w:marLeft w:val="480"/>
          <w:marRight w:val="0"/>
          <w:marTop w:val="0"/>
          <w:marBottom w:val="0"/>
          <w:divBdr>
            <w:top w:val="none" w:sz="0" w:space="0" w:color="auto"/>
            <w:left w:val="none" w:sz="0" w:space="0" w:color="auto"/>
            <w:bottom w:val="none" w:sz="0" w:space="0" w:color="auto"/>
            <w:right w:val="none" w:sz="0" w:space="0" w:color="auto"/>
          </w:divBdr>
        </w:div>
        <w:div w:id="234319301">
          <w:marLeft w:val="480"/>
          <w:marRight w:val="0"/>
          <w:marTop w:val="0"/>
          <w:marBottom w:val="0"/>
          <w:divBdr>
            <w:top w:val="none" w:sz="0" w:space="0" w:color="auto"/>
            <w:left w:val="none" w:sz="0" w:space="0" w:color="auto"/>
            <w:bottom w:val="none" w:sz="0" w:space="0" w:color="auto"/>
            <w:right w:val="none" w:sz="0" w:space="0" w:color="auto"/>
          </w:divBdr>
        </w:div>
        <w:div w:id="151264730">
          <w:marLeft w:val="480"/>
          <w:marRight w:val="0"/>
          <w:marTop w:val="0"/>
          <w:marBottom w:val="0"/>
          <w:divBdr>
            <w:top w:val="none" w:sz="0" w:space="0" w:color="auto"/>
            <w:left w:val="none" w:sz="0" w:space="0" w:color="auto"/>
            <w:bottom w:val="none" w:sz="0" w:space="0" w:color="auto"/>
            <w:right w:val="none" w:sz="0" w:space="0" w:color="auto"/>
          </w:divBdr>
        </w:div>
        <w:div w:id="1094520276">
          <w:marLeft w:val="480"/>
          <w:marRight w:val="0"/>
          <w:marTop w:val="0"/>
          <w:marBottom w:val="0"/>
          <w:divBdr>
            <w:top w:val="none" w:sz="0" w:space="0" w:color="auto"/>
            <w:left w:val="none" w:sz="0" w:space="0" w:color="auto"/>
            <w:bottom w:val="none" w:sz="0" w:space="0" w:color="auto"/>
            <w:right w:val="none" w:sz="0" w:space="0" w:color="auto"/>
          </w:divBdr>
        </w:div>
        <w:div w:id="1094014326">
          <w:marLeft w:val="480"/>
          <w:marRight w:val="0"/>
          <w:marTop w:val="0"/>
          <w:marBottom w:val="0"/>
          <w:divBdr>
            <w:top w:val="none" w:sz="0" w:space="0" w:color="auto"/>
            <w:left w:val="none" w:sz="0" w:space="0" w:color="auto"/>
            <w:bottom w:val="none" w:sz="0" w:space="0" w:color="auto"/>
            <w:right w:val="none" w:sz="0" w:space="0" w:color="auto"/>
          </w:divBdr>
        </w:div>
        <w:div w:id="305669355">
          <w:marLeft w:val="480"/>
          <w:marRight w:val="0"/>
          <w:marTop w:val="0"/>
          <w:marBottom w:val="0"/>
          <w:divBdr>
            <w:top w:val="none" w:sz="0" w:space="0" w:color="auto"/>
            <w:left w:val="none" w:sz="0" w:space="0" w:color="auto"/>
            <w:bottom w:val="none" w:sz="0" w:space="0" w:color="auto"/>
            <w:right w:val="none" w:sz="0" w:space="0" w:color="auto"/>
          </w:divBdr>
        </w:div>
        <w:div w:id="2083091101">
          <w:marLeft w:val="480"/>
          <w:marRight w:val="0"/>
          <w:marTop w:val="0"/>
          <w:marBottom w:val="0"/>
          <w:divBdr>
            <w:top w:val="none" w:sz="0" w:space="0" w:color="auto"/>
            <w:left w:val="none" w:sz="0" w:space="0" w:color="auto"/>
            <w:bottom w:val="none" w:sz="0" w:space="0" w:color="auto"/>
            <w:right w:val="none" w:sz="0" w:space="0" w:color="auto"/>
          </w:divBdr>
        </w:div>
        <w:div w:id="420951312">
          <w:marLeft w:val="480"/>
          <w:marRight w:val="0"/>
          <w:marTop w:val="0"/>
          <w:marBottom w:val="0"/>
          <w:divBdr>
            <w:top w:val="none" w:sz="0" w:space="0" w:color="auto"/>
            <w:left w:val="none" w:sz="0" w:space="0" w:color="auto"/>
            <w:bottom w:val="none" w:sz="0" w:space="0" w:color="auto"/>
            <w:right w:val="none" w:sz="0" w:space="0" w:color="auto"/>
          </w:divBdr>
        </w:div>
        <w:div w:id="1692218019">
          <w:marLeft w:val="480"/>
          <w:marRight w:val="0"/>
          <w:marTop w:val="0"/>
          <w:marBottom w:val="0"/>
          <w:divBdr>
            <w:top w:val="none" w:sz="0" w:space="0" w:color="auto"/>
            <w:left w:val="none" w:sz="0" w:space="0" w:color="auto"/>
            <w:bottom w:val="none" w:sz="0" w:space="0" w:color="auto"/>
            <w:right w:val="none" w:sz="0" w:space="0" w:color="auto"/>
          </w:divBdr>
        </w:div>
        <w:div w:id="642126668">
          <w:marLeft w:val="480"/>
          <w:marRight w:val="0"/>
          <w:marTop w:val="0"/>
          <w:marBottom w:val="0"/>
          <w:divBdr>
            <w:top w:val="none" w:sz="0" w:space="0" w:color="auto"/>
            <w:left w:val="none" w:sz="0" w:space="0" w:color="auto"/>
            <w:bottom w:val="none" w:sz="0" w:space="0" w:color="auto"/>
            <w:right w:val="none" w:sz="0" w:space="0" w:color="auto"/>
          </w:divBdr>
        </w:div>
        <w:div w:id="1238518842">
          <w:marLeft w:val="480"/>
          <w:marRight w:val="0"/>
          <w:marTop w:val="0"/>
          <w:marBottom w:val="0"/>
          <w:divBdr>
            <w:top w:val="none" w:sz="0" w:space="0" w:color="auto"/>
            <w:left w:val="none" w:sz="0" w:space="0" w:color="auto"/>
            <w:bottom w:val="none" w:sz="0" w:space="0" w:color="auto"/>
            <w:right w:val="none" w:sz="0" w:space="0" w:color="auto"/>
          </w:divBdr>
        </w:div>
        <w:div w:id="1804425836">
          <w:marLeft w:val="480"/>
          <w:marRight w:val="0"/>
          <w:marTop w:val="0"/>
          <w:marBottom w:val="0"/>
          <w:divBdr>
            <w:top w:val="none" w:sz="0" w:space="0" w:color="auto"/>
            <w:left w:val="none" w:sz="0" w:space="0" w:color="auto"/>
            <w:bottom w:val="none" w:sz="0" w:space="0" w:color="auto"/>
            <w:right w:val="none" w:sz="0" w:space="0" w:color="auto"/>
          </w:divBdr>
        </w:div>
        <w:div w:id="144319933">
          <w:marLeft w:val="480"/>
          <w:marRight w:val="0"/>
          <w:marTop w:val="0"/>
          <w:marBottom w:val="0"/>
          <w:divBdr>
            <w:top w:val="none" w:sz="0" w:space="0" w:color="auto"/>
            <w:left w:val="none" w:sz="0" w:space="0" w:color="auto"/>
            <w:bottom w:val="none" w:sz="0" w:space="0" w:color="auto"/>
            <w:right w:val="none" w:sz="0" w:space="0" w:color="auto"/>
          </w:divBdr>
        </w:div>
        <w:div w:id="776680276">
          <w:marLeft w:val="480"/>
          <w:marRight w:val="0"/>
          <w:marTop w:val="0"/>
          <w:marBottom w:val="0"/>
          <w:divBdr>
            <w:top w:val="none" w:sz="0" w:space="0" w:color="auto"/>
            <w:left w:val="none" w:sz="0" w:space="0" w:color="auto"/>
            <w:bottom w:val="none" w:sz="0" w:space="0" w:color="auto"/>
            <w:right w:val="none" w:sz="0" w:space="0" w:color="auto"/>
          </w:divBdr>
        </w:div>
        <w:div w:id="1052117343">
          <w:marLeft w:val="480"/>
          <w:marRight w:val="0"/>
          <w:marTop w:val="0"/>
          <w:marBottom w:val="0"/>
          <w:divBdr>
            <w:top w:val="none" w:sz="0" w:space="0" w:color="auto"/>
            <w:left w:val="none" w:sz="0" w:space="0" w:color="auto"/>
            <w:bottom w:val="none" w:sz="0" w:space="0" w:color="auto"/>
            <w:right w:val="none" w:sz="0" w:space="0" w:color="auto"/>
          </w:divBdr>
        </w:div>
        <w:div w:id="1325888212">
          <w:marLeft w:val="480"/>
          <w:marRight w:val="0"/>
          <w:marTop w:val="0"/>
          <w:marBottom w:val="0"/>
          <w:divBdr>
            <w:top w:val="none" w:sz="0" w:space="0" w:color="auto"/>
            <w:left w:val="none" w:sz="0" w:space="0" w:color="auto"/>
            <w:bottom w:val="none" w:sz="0" w:space="0" w:color="auto"/>
            <w:right w:val="none" w:sz="0" w:space="0" w:color="auto"/>
          </w:divBdr>
        </w:div>
        <w:div w:id="1965649646">
          <w:marLeft w:val="480"/>
          <w:marRight w:val="0"/>
          <w:marTop w:val="0"/>
          <w:marBottom w:val="0"/>
          <w:divBdr>
            <w:top w:val="none" w:sz="0" w:space="0" w:color="auto"/>
            <w:left w:val="none" w:sz="0" w:space="0" w:color="auto"/>
            <w:bottom w:val="none" w:sz="0" w:space="0" w:color="auto"/>
            <w:right w:val="none" w:sz="0" w:space="0" w:color="auto"/>
          </w:divBdr>
        </w:div>
        <w:div w:id="1481850829">
          <w:marLeft w:val="480"/>
          <w:marRight w:val="0"/>
          <w:marTop w:val="0"/>
          <w:marBottom w:val="0"/>
          <w:divBdr>
            <w:top w:val="none" w:sz="0" w:space="0" w:color="auto"/>
            <w:left w:val="none" w:sz="0" w:space="0" w:color="auto"/>
            <w:bottom w:val="none" w:sz="0" w:space="0" w:color="auto"/>
            <w:right w:val="none" w:sz="0" w:space="0" w:color="auto"/>
          </w:divBdr>
        </w:div>
      </w:divsChild>
    </w:div>
    <w:div w:id="1178078411">
      <w:bodyDiv w:val="1"/>
      <w:marLeft w:val="0"/>
      <w:marRight w:val="0"/>
      <w:marTop w:val="0"/>
      <w:marBottom w:val="0"/>
      <w:divBdr>
        <w:top w:val="none" w:sz="0" w:space="0" w:color="auto"/>
        <w:left w:val="none" w:sz="0" w:space="0" w:color="auto"/>
        <w:bottom w:val="none" w:sz="0" w:space="0" w:color="auto"/>
        <w:right w:val="none" w:sz="0" w:space="0" w:color="auto"/>
      </w:divBdr>
    </w:div>
    <w:div w:id="1179126295">
      <w:bodyDiv w:val="1"/>
      <w:marLeft w:val="0"/>
      <w:marRight w:val="0"/>
      <w:marTop w:val="0"/>
      <w:marBottom w:val="0"/>
      <w:divBdr>
        <w:top w:val="none" w:sz="0" w:space="0" w:color="auto"/>
        <w:left w:val="none" w:sz="0" w:space="0" w:color="auto"/>
        <w:bottom w:val="none" w:sz="0" w:space="0" w:color="auto"/>
        <w:right w:val="none" w:sz="0" w:space="0" w:color="auto"/>
      </w:divBdr>
    </w:div>
    <w:div w:id="1179779729">
      <w:bodyDiv w:val="1"/>
      <w:marLeft w:val="0"/>
      <w:marRight w:val="0"/>
      <w:marTop w:val="0"/>
      <w:marBottom w:val="0"/>
      <w:divBdr>
        <w:top w:val="none" w:sz="0" w:space="0" w:color="auto"/>
        <w:left w:val="none" w:sz="0" w:space="0" w:color="auto"/>
        <w:bottom w:val="none" w:sz="0" w:space="0" w:color="auto"/>
        <w:right w:val="none" w:sz="0" w:space="0" w:color="auto"/>
      </w:divBdr>
    </w:div>
    <w:div w:id="1180434660">
      <w:bodyDiv w:val="1"/>
      <w:marLeft w:val="0"/>
      <w:marRight w:val="0"/>
      <w:marTop w:val="0"/>
      <w:marBottom w:val="0"/>
      <w:divBdr>
        <w:top w:val="none" w:sz="0" w:space="0" w:color="auto"/>
        <w:left w:val="none" w:sz="0" w:space="0" w:color="auto"/>
        <w:bottom w:val="none" w:sz="0" w:space="0" w:color="auto"/>
        <w:right w:val="none" w:sz="0" w:space="0" w:color="auto"/>
      </w:divBdr>
    </w:div>
    <w:div w:id="1181746848">
      <w:bodyDiv w:val="1"/>
      <w:marLeft w:val="0"/>
      <w:marRight w:val="0"/>
      <w:marTop w:val="0"/>
      <w:marBottom w:val="0"/>
      <w:divBdr>
        <w:top w:val="none" w:sz="0" w:space="0" w:color="auto"/>
        <w:left w:val="none" w:sz="0" w:space="0" w:color="auto"/>
        <w:bottom w:val="none" w:sz="0" w:space="0" w:color="auto"/>
        <w:right w:val="none" w:sz="0" w:space="0" w:color="auto"/>
      </w:divBdr>
    </w:div>
    <w:div w:id="1181890967">
      <w:bodyDiv w:val="1"/>
      <w:marLeft w:val="0"/>
      <w:marRight w:val="0"/>
      <w:marTop w:val="0"/>
      <w:marBottom w:val="0"/>
      <w:divBdr>
        <w:top w:val="none" w:sz="0" w:space="0" w:color="auto"/>
        <w:left w:val="none" w:sz="0" w:space="0" w:color="auto"/>
        <w:bottom w:val="none" w:sz="0" w:space="0" w:color="auto"/>
        <w:right w:val="none" w:sz="0" w:space="0" w:color="auto"/>
      </w:divBdr>
    </w:div>
    <w:div w:id="1182473248">
      <w:bodyDiv w:val="1"/>
      <w:marLeft w:val="0"/>
      <w:marRight w:val="0"/>
      <w:marTop w:val="0"/>
      <w:marBottom w:val="0"/>
      <w:divBdr>
        <w:top w:val="none" w:sz="0" w:space="0" w:color="auto"/>
        <w:left w:val="none" w:sz="0" w:space="0" w:color="auto"/>
        <w:bottom w:val="none" w:sz="0" w:space="0" w:color="auto"/>
        <w:right w:val="none" w:sz="0" w:space="0" w:color="auto"/>
      </w:divBdr>
    </w:div>
    <w:div w:id="1182475426">
      <w:bodyDiv w:val="1"/>
      <w:marLeft w:val="0"/>
      <w:marRight w:val="0"/>
      <w:marTop w:val="0"/>
      <w:marBottom w:val="0"/>
      <w:divBdr>
        <w:top w:val="none" w:sz="0" w:space="0" w:color="auto"/>
        <w:left w:val="none" w:sz="0" w:space="0" w:color="auto"/>
        <w:bottom w:val="none" w:sz="0" w:space="0" w:color="auto"/>
        <w:right w:val="none" w:sz="0" w:space="0" w:color="auto"/>
      </w:divBdr>
    </w:div>
    <w:div w:id="1182741644">
      <w:bodyDiv w:val="1"/>
      <w:marLeft w:val="0"/>
      <w:marRight w:val="0"/>
      <w:marTop w:val="0"/>
      <w:marBottom w:val="0"/>
      <w:divBdr>
        <w:top w:val="none" w:sz="0" w:space="0" w:color="auto"/>
        <w:left w:val="none" w:sz="0" w:space="0" w:color="auto"/>
        <w:bottom w:val="none" w:sz="0" w:space="0" w:color="auto"/>
        <w:right w:val="none" w:sz="0" w:space="0" w:color="auto"/>
      </w:divBdr>
    </w:div>
    <w:div w:id="1183784593">
      <w:bodyDiv w:val="1"/>
      <w:marLeft w:val="0"/>
      <w:marRight w:val="0"/>
      <w:marTop w:val="0"/>
      <w:marBottom w:val="0"/>
      <w:divBdr>
        <w:top w:val="none" w:sz="0" w:space="0" w:color="auto"/>
        <w:left w:val="none" w:sz="0" w:space="0" w:color="auto"/>
        <w:bottom w:val="none" w:sz="0" w:space="0" w:color="auto"/>
        <w:right w:val="none" w:sz="0" w:space="0" w:color="auto"/>
      </w:divBdr>
    </w:div>
    <w:div w:id="1184202168">
      <w:bodyDiv w:val="1"/>
      <w:marLeft w:val="0"/>
      <w:marRight w:val="0"/>
      <w:marTop w:val="0"/>
      <w:marBottom w:val="0"/>
      <w:divBdr>
        <w:top w:val="none" w:sz="0" w:space="0" w:color="auto"/>
        <w:left w:val="none" w:sz="0" w:space="0" w:color="auto"/>
        <w:bottom w:val="none" w:sz="0" w:space="0" w:color="auto"/>
        <w:right w:val="none" w:sz="0" w:space="0" w:color="auto"/>
      </w:divBdr>
    </w:div>
    <w:div w:id="1184322002">
      <w:bodyDiv w:val="1"/>
      <w:marLeft w:val="0"/>
      <w:marRight w:val="0"/>
      <w:marTop w:val="0"/>
      <w:marBottom w:val="0"/>
      <w:divBdr>
        <w:top w:val="none" w:sz="0" w:space="0" w:color="auto"/>
        <w:left w:val="none" w:sz="0" w:space="0" w:color="auto"/>
        <w:bottom w:val="none" w:sz="0" w:space="0" w:color="auto"/>
        <w:right w:val="none" w:sz="0" w:space="0" w:color="auto"/>
      </w:divBdr>
    </w:div>
    <w:div w:id="1184324163">
      <w:bodyDiv w:val="1"/>
      <w:marLeft w:val="0"/>
      <w:marRight w:val="0"/>
      <w:marTop w:val="0"/>
      <w:marBottom w:val="0"/>
      <w:divBdr>
        <w:top w:val="none" w:sz="0" w:space="0" w:color="auto"/>
        <w:left w:val="none" w:sz="0" w:space="0" w:color="auto"/>
        <w:bottom w:val="none" w:sz="0" w:space="0" w:color="auto"/>
        <w:right w:val="none" w:sz="0" w:space="0" w:color="auto"/>
      </w:divBdr>
    </w:div>
    <w:div w:id="1184513857">
      <w:bodyDiv w:val="1"/>
      <w:marLeft w:val="0"/>
      <w:marRight w:val="0"/>
      <w:marTop w:val="0"/>
      <w:marBottom w:val="0"/>
      <w:divBdr>
        <w:top w:val="none" w:sz="0" w:space="0" w:color="auto"/>
        <w:left w:val="none" w:sz="0" w:space="0" w:color="auto"/>
        <w:bottom w:val="none" w:sz="0" w:space="0" w:color="auto"/>
        <w:right w:val="none" w:sz="0" w:space="0" w:color="auto"/>
      </w:divBdr>
    </w:div>
    <w:div w:id="1184709423">
      <w:bodyDiv w:val="1"/>
      <w:marLeft w:val="0"/>
      <w:marRight w:val="0"/>
      <w:marTop w:val="0"/>
      <w:marBottom w:val="0"/>
      <w:divBdr>
        <w:top w:val="none" w:sz="0" w:space="0" w:color="auto"/>
        <w:left w:val="none" w:sz="0" w:space="0" w:color="auto"/>
        <w:bottom w:val="none" w:sz="0" w:space="0" w:color="auto"/>
        <w:right w:val="none" w:sz="0" w:space="0" w:color="auto"/>
      </w:divBdr>
    </w:div>
    <w:div w:id="1184902908">
      <w:bodyDiv w:val="1"/>
      <w:marLeft w:val="0"/>
      <w:marRight w:val="0"/>
      <w:marTop w:val="0"/>
      <w:marBottom w:val="0"/>
      <w:divBdr>
        <w:top w:val="none" w:sz="0" w:space="0" w:color="auto"/>
        <w:left w:val="none" w:sz="0" w:space="0" w:color="auto"/>
        <w:bottom w:val="none" w:sz="0" w:space="0" w:color="auto"/>
        <w:right w:val="none" w:sz="0" w:space="0" w:color="auto"/>
      </w:divBdr>
    </w:div>
    <w:div w:id="1185250413">
      <w:bodyDiv w:val="1"/>
      <w:marLeft w:val="0"/>
      <w:marRight w:val="0"/>
      <w:marTop w:val="0"/>
      <w:marBottom w:val="0"/>
      <w:divBdr>
        <w:top w:val="none" w:sz="0" w:space="0" w:color="auto"/>
        <w:left w:val="none" w:sz="0" w:space="0" w:color="auto"/>
        <w:bottom w:val="none" w:sz="0" w:space="0" w:color="auto"/>
        <w:right w:val="none" w:sz="0" w:space="0" w:color="auto"/>
      </w:divBdr>
    </w:div>
    <w:div w:id="1185972119">
      <w:bodyDiv w:val="1"/>
      <w:marLeft w:val="0"/>
      <w:marRight w:val="0"/>
      <w:marTop w:val="0"/>
      <w:marBottom w:val="0"/>
      <w:divBdr>
        <w:top w:val="none" w:sz="0" w:space="0" w:color="auto"/>
        <w:left w:val="none" w:sz="0" w:space="0" w:color="auto"/>
        <w:bottom w:val="none" w:sz="0" w:space="0" w:color="auto"/>
        <w:right w:val="none" w:sz="0" w:space="0" w:color="auto"/>
      </w:divBdr>
    </w:div>
    <w:div w:id="1186019574">
      <w:bodyDiv w:val="1"/>
      <w:marLeft w:val="0"/>
      <w:marRight w:val="0"/>
      <w:marTop w:val="0"/>
      <w:marBottom w:val="0"/>
      <w:divBdr>
        <w:top w:val="none" w:sz="0" w:space="0" w:color="auto"/>
        <w:left w:val="none" w:sz="0" w:space="0" w:color="auto"/>
        <w:bottom w:val="none" w:sz="0" w:space="0" w:color="auto"/>
        <w:right w:val="none" w:sz="0" w:space="0" w:color="auto"/>
      </w:divBdr>
    </w:div>
    <w:div w:id="1186556744">
      <w:bodyDiv w:val="1"/>
      <w:marLeft w:val="0"/>
      <w:marRight w:val="0"/>
      <w:marTop w:val="0"/>
      <w:marBottom w:val="0"/>
      <w:divBdr>
        <w:top w:val="none" w:sz="0" w:space="0" w:color="auto"/>
        <w:left w:val="none" w:sz="0" w:space="0" w:color="auto"/>
        <w:bottom w:val="none" w:sz="0" w:space="0" w:color="auto"/>
        <w:right w:val="none" w:sz="0" w:space="0" w:color="auto"/>
      </w:divBdr>
    </w:div>
    <w:div w:id="1187331207">
      <w:bodyDiv w:val="1"/>
      <w:marLeft w:val="0"/>
      <w:marRight w:val="0"/>
      <w:marTop w:val="0"/>
      <w:marBottom w:val="0"/>
      <w:divBdr>
        <w:top w:val="none" w:sz="0" w:space="0" w:color="auto"/>
        <w:left w:val="none" w:sz="0" w:space="0" w:color="auto"/>
        <w:bottom w:val="none" w:sz="0" w:space="0" w:color="auto"/>
        <w:right w:val="none" w:sz="0" w:space="0" w:color="auto"/>
      </w:divBdr>
    </w:div>
    <w:div w:id="1187448591">
      <w:bodyDiv w:val="1"/>
      <w:marLeft w:val="0"/>
      <w:marRight w:val="0"/>
      <w:marTop w:val="0"/>
      <w:marBottom w:val="0"/>
      <w:divBdr>
        <w:top w:val="none" w:sz="0" w:space="0" w:color="auto"/>
        <w:left w:val="none" w:sz="0" w:space="0" w:color="auto"/>
        <w:bottom w:val="none" w:sz="0" w:space="0" w:color="auto"/>
        <w:right w:val="none" w:sz="0" w:space="0" w:color="auto"/>
      </w:divBdr>
    </w:div>
    <w:div w:id="1190415544">
      <w:bodyDiv w:val="1"/>
      <w:marLeft w:val="0"/>
      <w:marRight w:val="0"/>
      <w:marTop w:val="0"/>
      <w:marBottom w:val="0"/>
      <w:divBdr>
        <w:top w:val="none" w:sz="0" w:space="0" w:color="auto"/>
        <w:left w:val="none" w:sz="0" w:space="0" w:color="auto"/>
        <w:bottom w:val="none" w:sz="0" w:space="0" w:color="auto"/>
        <w:right w:val="none" w:sz="0" w:space="0" w:color="auto"/>
      </w:divBdr>
    </w:div>
    <w:div w:id="1190605126">
      <w:bodyDiv w:val="1"/>
      <w:marLeft w:val="0"/>
      <w:marRight w:val="0"/>
      <w:marTop w:val="0"/>
      <w:marBottom w:val="0"/>
      <w:divBdr>
        <w:top w:val="none" w:sz="0" w:space="0" w:color="auto"/>
        <w:left w:val="none" w:sz="0" w:space="0" w:color="auto"/>
        <w:bottom w:val="none" w:sz="0" w:space="0" w:color="auto"/>
        <w:right w:val="none" w:sz="0" w:space="0" w:color="auto"/>
      </w:divBdr>
    </w:div>
    <w:div w:id="1191187621">
      <w:bodyDiv w:val="1"/>
      <w:marLeft w:val="0"/>
      <w:marRight w:val="0"/>
      <w:marTop w:val="0"/>
      <w:marBottom w:val="0"/>
      <w:divBdr>
        <w:top w:val="none" w:sz="0" w:space="0" w:color="auto"/>
        <w:left w:val="none" w:sz="0" w:space="0" w:color="auto"/>
        <w:bottom w:val="none" w:sz="0" w:space="0" w:color="auto"/>
        <w:right w:val="none" w:sz="0" w:space="0" w:color="auto"/>
      </w:divBdr>
    </w:div>
    <w:div w:id="1191379022">
      <w:bodyDiv w:val="1"/>
      <w:marLeft w:val="0"/>
      <w:marRight w:val="0"/>
      <w:marTop w:val="0"/>
      <w:marBottom w:val="0"/>
      <w:divBdr>
        <w:top w:val="none" w:sz="0" w:space="0" w:color="auto"/>
        <w:left w:val="none" w:sz="0" w:space="0" w:color="auto"/>
        <w:bottom w:val="none" w:sz="0" w:space="0" w:color="auto"/>
        <w:right w:val="none" w:sz="0" w:space="0" w:color="auto"/>
      </w:divBdr>
    </w:div>
    <w:div w:id="1191382381">
      <w:bodyDiv w:val="1"/>
      <w:marLeft w:val="0"/>
      <w:marRight w:val="0"/>
      <w:marTop w:val="0"/>
      <w:marBottom w:val="0"/>
      <w:divBdr>
        <w:top w:val="none" w:sz="0" w:space="0" w:color="auto"/>
        <w:left w:val="none" w:sz="0" w:space="0" w:color="auto"/>
        <w:bottom w:val="none" w:sz="0" w:space="0" w:color="auto"/>
        <w:right w:val="none" w:sz="0" w:space="0" w:color="auto"/>
      </w:divBdr>
      <w:divsChild>
        <w:div w:id="1001160326">
          <w:marLeft w:val="480"/>
          <w:marRight w:val="0"/>
          <w:marTop w:val="0"/>
          <w:marBottom w:val="0"/>
          <w:divBdr>
            <w:top w:val="none" w:sz="0" w:space="0" w:color="auto"/>
            <w:left w:val="none" w:sz="0" w:space="0" w:color="auto"/>
            <w:bottom w:val="none" w:sz="0" w:space="0" w:color="auto"/>
            <w:right w:val="none" w:sz="0" w:space="0" w:color="auto"/>
          </w:divBdr>
        </w:div>
        <w:div w:id="1335449530">
          <w:marLeft w:val="480"/>
          <w:marRight w:val="0"/>
          <w:marTop w:val="0"/>
          <w:marBottom w:val="0"/>
          <w:divBdr>
            <w:top w:val="none" w:sz="0" w:space="0" w:color="auto"/>
            <w:left w:val="none" w:sz="0" w:space="0" w:color="auto"/>
            <w:bottom w:val="none" w:sz="0" w:space="0" w:color="auto"/>
            <w:right w:val="none" w:sz="0" w:space="0" w:color="auto"/>
          </w:divBdr>
        </w:div>
        <w:div w:id="1048190591">
          <w:marLeft w:val="480"/>
          <w:marRight w:val="0"/>
          <w:marTop w:val="0"/>
          <w:marBottom w:val="0"/>
          <w:divBdr>
            <w:top w:val="none" w:sz="0" w:space="0" w:color="auto"/>
            <w:left w:val="none" w:sz="0" w:space="0" w:color="auto"/>
            <w:bottom w:val="none" w:sz="0" w:space="0" w:color="auto"/>
            <w:right w:val="none" w:sz="0" w:space="0" w:color="auto"/>
          </w:divBdr>
        </w:div>
        <w:div w:id="23754769">
          <w:marLeft w:val="480"/>
          <w:marRight w:val="0"/>
          <w:marTop w:val="0"/>
          <w:marBottom w:val="0"/>
          <w:divBdr>
            <w:top w:val="none" w:sz="0" w:space="0" w:color="auto"/>
            <w:left w:val="none" w:sz="0" w:space="0" w:color="auto"/>
            <w:bottom w:val="none" w:sz="0" w:space="0" w:color="auto"/>
            <w:right w:val="none" w:sz="0" w:space="0" w:color="auto"/>
          </w:divBdr>
        </w:div>
        <w:div w:id="69083774">
          <w:marLeft w:val="480"/>
          <w:marRight w:val="0"/>
          <w:marTop w:val="0"/>
          <w:marBottom w:val="0"/>
          <w:divBdr>
            <w:top w:val="none" w:sz="0" w:space="0" w:color="auto"/>
            <w:left w:val="none" w:sz="0" w:space="0" w:color="auto"/>
            <w:bottom w:val="none" w:sz="0" w:space="0" w:color="auto"/>
            <w:right w:val="none" w:sz="0" w:space="0" w:color="auto"/>
          </w:divBdr>
        </w:div>
        <w:div w:id="821770219">
          <w:marLeft w:val="480"/>
          <w:marRight w:val="0"/>
          <w:marTop w:val="0"/>
          <w:marBottom w:val="0"/>
          <w:divBdr>
            <w:top w:val="none" w:sz="0" w:space="0" w:color="auto"/>
            <w:left w:val="none" w:sz="0" w:space="0" w:color="auto"/>
            <w:bottom w:val="none" w:sz="0" w:space="0" w:color="auto"/>
            <w:right w:val="none" w:sz="0" w:space="0" w:color="auto"/>
          </w:divBdr>
        </w:div>
        <w:div w:id="302469265">
          <w:marLeft w:val="480"/>
          <w:marRight w:val="0"/>
          <w:marTop w:val="0"/>
          <w:marBottom w:val="0"/>
          <w:divBdr>
            <w:top w:val="none" w:sz="0" w:space="0" w:color="auto"/>
            <w:left w:val="none" w:sz="0" w:space="0" w:color="auto"/>
            <w:bottom w:val="none" w:sz="0" w:space="0" w:color="auto"/>
            <w:right w:val="none" w:sz="0" w:space="0" w:color="auto"/>
          </w:divBdr>
        </w:div>
        <w:div w:id="798229866">
          <w:marLeft w:val="480"/>
          <w:marRight w:val="0"/>
          <w:marTop w:val="0"/>
          <w:marBottom w:val="0"/>
          <w:divBdr>
            <w:top w:val="none" w:sz="0" w:space="0" w:color="auto"/>
            <w:left w:val="none" w:sz="0" w:space="0" w:color="auto"/>
            <w:bottom w:val="none" w:sz="0" w:space="0" w:color="auto"/>
            <w:right w:val="none" w:sz="0" w:space="0" w:color="auto"/>
          </w:divBdr>
        </w:div>
        <w:div w:id="2021815434">
          <w:marLeft w:val="480"/>
          <w:marRight w:val="0"/>
          <w:marTop w:val="0"/>
          <w:marBottom w:val="0"/>
          <w:divBdr>
            <w:top w:val="none" w:sz="0" w:space="0" w:color="auto"/>
            <w:left w:val="none" w:sz="0" w:space="0" w:color="auto"/>
            <w:bottom w:val="none" w:sz="0" w:space="0" w:color="auto"/>
            <w:right w:val="none" w:sz="0" w:space="0" w:color="auto"/>
          </w:divBdr>
        </w:div>
        <w:div w:id="745611113">
          <w:marLeft w:val="480"/>
          <w:marRight w:val="0"/>
          <w:marTop w:val="0"/>
          <w:marBottom w:val="0"/>
          <w:divBdr>
            <w:top w:val="none" w:sz="0" w:space="0" w:color="auto"/>
            <w:left w:val="none" w:sz="0" w:space="0" w:color="auto"/>
            <w:bottom w:val="none" w:sz="0" w:space="0" w:color="auto"/>
            <w:right w:val="none" w:sz="0" w:space="0" w:color="auto"/>
          </w:divBdr>
        </w:div>
        <w:div w:id="574824215">
          <w:marLeft w:val="480"/>
          <w:marRight w:val="0"/>
          <w:marTop w:val="0"/>
          <w:marBottom w:val="0"/>
          <w:divBdr>
            <w:top w:val="none" w:sz="0" w:space="0" w:color="auto"/>
            <w:left w:val="none" w:sz="0" w:space="0" w:color="auto"/>
            <w:bottom w:val="none" w:sz="0" w:space="0" w:color="auto"/>
            <w:right w:val="none" w:sz="0" w:space="0" w:color="auto"/>
          </w:divBdr>
        </w:div>
        <w:div w:id="1141382201">
          <w:marLeft w:val="480"/>
          <w:marRight w:val="0"/>
          <w:marTop w:val="0"/>
          <w:marBottom w:val="0"/>
          <w:divBdr>
            <w:top w:val="none" w:sz="0" w:space="0" w:color="auto"/>
            <w:left w:val="none" w:sz="0" w:space="0" w:color="auto"/>
            <w:bottom w:val="none" w:sz="0" w:space="0" w:color="auto"/>
            <w:right w:val="none" w:sz="0" w:space="0" w:color="auto"/>
          </w:divBdr>
        </w:div>
        <w:div w:id="277219812">
          <w:marLeft w:val="480"/>
          <w:marRight w:val="0"/>
          <w:marTop w:val="0"/>
          <w:marBottom w:val="0"/>
          <w:divBdr>
            <w:top w:val="none" w:sz="0" w:space="0" w:color="auto"/>
            <w:left w:val="none" w:sz="0" w:space="0" w:color="auto"/>
            <w:bottom w:val="none" w:sz="0" w:space="0" w:color="auto"/>
            <w:right w:val="none" w:sz="0" w:space="0" w:color="auto"/>
          </w:divBdr>
        </w:div>
        <w:div w:id="814950900">
          <w:marLeft w:val="480"/>
          <w:marRight w:val="0"/>
          <w:marTop w:val="0"/>
          <w:marBottom w:val="0"/>
          <w:divBdr>
            <w:top w:val="none" w:sz="0" w:space="0" w:color="auto"/>
            <w:left w:val="none" w:sz="0" w:space="0" w:color="auto"/>
            <w:bottom w:val="none" w:sz="0" w:space="0" w:color="auto"/>
            <w:right w:val="none" w:sz="0" w:space="0" w:color="auto"/>
          </w:divBdr>
        </w:div>
        <w:div w:id="2028365976">
          <w:marLeft w:val="480"/>
          <w:marRight w:val="0"/>
          <w:marTop w:val="0"/>
          <w:marBottom w:val="0"/>
          <w:divBdr>
            <w:top w:val="none" w:sz="0" w:space="0" w:color="auto"/>
            <w:left w:val="none" w:sz="0" w:space="0" w:color="auto"/>
            <w:bottom w:val="none" w:sz="0" w:space="0" w:color="auto"/>
            <w:right w:val="none" w:sz="0" w:space="0" w:color="auto"/>
          </w:divBdr>
        </w:div>
        <w:div w:id="85149589">
          <w:marLeft w:val="480"/>
          <w:marRight w:val="0"/>
          <w:marTop w:val="0"/>
          <w:marBottom w:val="0"/>
          <w:divBdr>
            <w:top w:val="none" w:sz="0" w:space="0" w:color="auto"/>
            <w:left w:val="none" w:sz="0" w:space="0" w:color="auto"/>
            <w:bottom w:val="none" w:sz="0" w:space="0" w:color="auto"/>
            <w:right w:val="none" w:sz="0" w:space="0" w:color="auto"/>
          </w:divBdr>
        </w:div>
        <w:div w:id="1222518164">
          <w:marLeft w:val="480"/>
          <w:marRight w:val="0"/>
          <w:marTop w:val="0"/>
          <w:marBottom w:val="0"/>
          <w:divBdr>
            <w:top w:val="none" w:sz="0" w:space="0" w:color="auto"/>
            <w:left w:val="none" w:sz="0" w:space="0" w:color="auto"/>
            <w:bottom w:val="none" w:sz="0" w:space="0" w:color="auto"/>
            <w:right w:val="none" w:sz="0" w:space="0" w:color="auto"/>
          </w:divBdr>
        </w:div>
        <w:div w:id="1212687397">
          <w:marLeft w:val="480"/>
          <w:marRight w:val="0"/>
          <w:marTop w:val="0"/>
          <w:marBottom w:val="0"/>
          <w:divBdr>
            <w:top w:val="none" w:sz="0" w:space="0" w:color="auto"/>
            <w:left w:val="none" w:sz="0" w:space="0" w:color="auto"/>
            <w:bottom w:val="none" w:sz="0" w:space="0" w:color="auto"/>
            <w:right w:val="none" w:sz="0" w:space="0" w:color="auto"/>
          </w:divBdr>
        </w:div>
        <w:div w:id="2044746706">
          <w:marLeft w:val="480"/>
          <w:marRight w:val="0"/>
          <w:marTop w:val="0"/>
          <w:marBottom w:val="0"/>
          <w:divBdr>
            <w:top w:val="none" w:sz="0" w:space="0" w:color="auto"/>
            <w:left w:val="none" w:sz="0" w:space="0" w:color="auto"/>
            <w:bottom w:val="none" w:sz="0" w:space="0" w:color="auto"/>
            <w:right w:val="none" w:sz="0" w:space="0" w:color="auto"/>
          </w:divBdr>
        </w:div>
        <w:div w:id="704600255">
          <w:marLeft w:val="480"/>
          <w:marRight w:val="0"/>
          <w:marTop w:val="0"/>
          <w:marBottom w:val="0"/>
          <w:divBdr>
            <w:top w:val="none" w:sz="0" w:space="0" w:color="auto"/>
            <w:left w:val="none" w:sz="0" w:space="0" w:color="auto"/>
            <w:bottom w:val="none" w:sz="0" w:space="0" w:color="auto"/>
            <w:right w:val="none" w:sz="0" w:space="0" w:color="auto"/>
          </w:divBdr>
        </w:div>
        <w:div w:id="1518428493">
          <w:marLeft w:val="480"/>
          <w:marRight w:val="0"/>
          <w:marTop w:val="0"/>
          <w:marBottom w:val="0"/>
          <w:divBdr>
            <w:top w:val="none" w:sz="0" w:space="0" w:color="auto"/>
            <w:left w:val="none" w:sz="0" w:space="0" w:color="auto"/>
            <w:bottom w:val="none" w:sz="0" w:space="0" w:color="auto"/>
            <w:right w:val="none" w:sz="0" w:space="0" w:color="auto"/>
          </w:divBdr>
        </w:div>
        <w:div w:id="360980978">
          <w:marLeft w:val="480"/>
          <w:marRight w:val="0"/>
          <w:marTop w:val="0"/>
          <w:marBottom w:val="0"/>
          <w:divBdr>
            <w:top w:val="none" w:sz="0" w:space="0" w:color="auto"/>
            <w:left w:val="none" w:sz="0" w:space="0" w:color="auto"/>
            <w:bottom w:val="none" w:sz="0" w:space="0" w:color="auto"/>
            <w:right w:val="none" w:sz="0" w:space="0" w:color="auto"/>
          </w:divBdr>
        </w:div>
        <w:div w:id="186676718">
          <w:marLeft w:val="480"/>
          <w:marRight w:val="0"/>
          <w:marTop w:val="0"/>
          <w:marBottom w:val="0"/>
          <w:divBdr>
            <w:top w:val="none" w:sz="0" w:space="0" w:color="auto"/>
            <w:left w:val="none" w:sz="0" w:space="0" w:color="auto"/>
            <w:bottom w:val="none" w:sz="0" w:space="0" w:color="auto"/>
            <w:right w:val="none" w:sz="0" w:space="0" w:color="auto"/>
          </w:divBdr>
        </w:div>
        <w:div w:id="1923028855">
          <w:marLeft w:val="480"/>
          <w:marRight w:val="0"/>
          <w:marTop w:val="0"/>
          <w:marBottom w:val="0"/>
          <w:divBdr>
            <w:top w:val="none" w:sz="0" w:space="0" w:color="auto"/>
            <w:left w:val="none" w:sz="0" w:space="0" w:color="auto"/>
            <w:bottom w:val="none" w:sz="0" w:space="0" w:color="auto"/>
            <w:right w:val="none" w:sz="0" w:space="0" w:color="auto"/>
          </w:divBdr>
        </w:div>
        <w:div w:id="450129188">
          <w:marLeft w:val="480"/>
          <w:marRight w:val="0"/>
          <w:marTop w:val="0"/>
          <w:marBottom w:val="0"/>
          <w:divBdr>
            <w:top w:val="none" w:sz="0" w:space="0" w:color="auto"/>
            <w:left w:val="none" w:sz="0" w:space="0" w:color="auto"/>
            <w:bottom w:val="none" w:sz="0" w:space="0" w:color="auto"/>
            <w:right w:val="none" w:sz="0" w:space="0" w:color="auto"/>
          </w:divBdr>
        </w:div>
        <w:div w:id="1097091727">
          <w:marLeft w:val="480"/>
          <w:marRight w:val="0"/>
          <w:marTop w:val="0"/>
          <w:marBottom w:val="0"/>
          <w:divBdr>
            <w:top w:val="none" w:sz="0" w:space="0" w:color="auto"/>
            <w:left w:val="none" w:sz="0" w:space="0" w:color="auto"/>
            <w:bottom w:val="none" w:sz="0" w:space="0" w:color="auto"/>
            <w:right w:val="none" w:sz="0" w:space="0" w:color="auto"/>
          </w:divBdr>
        </w:div>
        <w:div w:id="2131627690">
          <w:marLeft w:val="480"/>
          <w:marRight w:val="0"/>
          <w:marTop w:val="0"/>
          <w:marBottom w:val="0"/>
          <w:divBdr>
            <w:top w:val="none" w:sz="0" w:space="0" w:color="auto"/>
            <w:left w:val="none" w:sz="0" w:space="0" w:color="auto"/>
            <w:bottom w:val="none" w:sz="0" w:space="0" w:color="auto"/>
            <w:right w:val="none" w:sz="0" w:space="0" w:color="auto"/>
          </w:divBdr>
        </w:div>
        <w:div w:id="232861301">
          <w:marLeft w:val="480"/>
          <w:marRight w:val="0"/>
          <w:marTop w:val="0"/>
          <w:marBottom w:val="0"/>
          <w:divBdr>
            <w:top w:val="none" w:sz="0" w:space="0" w:color="auto"/>
            <w:left w:val="none" w:sz="0" w:space="0" w:color="auto"/>
            <w:bottom w:val="none" w:sz="0" w:space="0" w:color="auto"/>
            <w:right w:val="none" w:sz="0" w:space="0" w:color="auto"/>
          </w:divBdr>
        </w:div>
        <w:div w:id="1400514103">
          <w:marLeft w:val="480"/>
          <w:marRight w:val="0"/>
          <w:marTop w:val="0"/>
          <w:marBottom w:val="0"/>
          <w:divBdr>
            <w:top w:val="none" w:sz="0" w:space="0" w:color="auto"/>
            <w:left w:val="none" w:sz="0" w:space="0" w:color="auto"/>
            <w:bottom w:val="none" w:sz="0" w:space="0" w:color="auto"/>
            <w:right w:val="none" w:sz="0" w:space="0" w:color="auto"/>
          </w:divBdr>
        </w:div>
        <w:div w:id="2024941105">
          <w:marLeft w:val="480"/>
          <w:marRight w:val="0"/>
          <w:marTop w:val="0"/>
          <w:marBottom w:val="0"/>
          <w:divBdr>
            <w:top w:val="none" w:sz="0" w:space="0" w:color="auto"/>
            <w:left w:val="none" w:sz="0" w:space="0" w:color="auto"/>
            <w:bottom w:val="none" w:sz="0" w:space="0" w:color="auto"/>
            <w:right w:val="none" w:sz="0" w:space="0" w:color="auto"/>
          </w:divBdr>
        </w:div>
        <w:div w:id="1757631655">
          <w:marLeft w:val="480"/>
          <w:marRight w:val="0"/>
          <w:marTop w:val="0"/>
          <w:marBottom w:val="0"/>
          <w:divBdr>
            <w:top w:val="none" w:sz="0" w:space="0" w:color="auto"/>
            <w:left w:val="none" w:sz="0" w:space="0" w:color="auto"/>
            <w:bottom w:val="none" w:sz="0" w:space="0" w:color="auto"/>
            <w:right w:val="none" w:sz="0" w:space="0" w:color="auto"/>
          </w:divBdr>
        </w:div>
        <w:div w:id="918707472">
          <w:marLeft w:val="480"/>
          <w:marRight w:val="0"/>
          <w:marTop w:val="0"/>
          <w:marBottom w:val="0"/>
          <w:divBdr>
            <w:top w:val="none" w:sz="0" w:space="0" w:color="auto"/>
            <w:left w:val="none" w:sz="0" w:space="0" w:color="auto"/>
            <w:bottom w:val="none" w:sz="0" w:space="0" w:color="auto"/>
            <w:right w:val="none" w:sz="0" w:space="0" w:color="auto"/>
          </w:divBdr>
        </w:div>
        <w:div w:id="1240479588">
          <w:marLeft w:val="480"/>
          <w:marRight w:val="0"/>
          <w:marTop w:val="0"/>
          <w:marBottom w:val="0"/>
          <w:divBdr>
            <w:top w:val="none" w:sz="0" w:space="0" w:color="auto"/>
            <w:left w:val="none" w:sz="0" w:space="0" w:color="auto"/>
            <w:bottom w:val="none" w:sz="0" w:space="0" w:color="auto"/>
            <w:right w:val="none" w:sz="0" w:space="0" w:color="auto"/>
          </w:divBdr>
        </w:div>
        <w:div w:id="820971393">
          <w:marLeft w:val="480"/>
          <w:marRight w:val="0"/>
          <w:marTop w:val="0"/>
          <w:marBottom w:val="0"/>
          <w:divBdr>
            <w:top w:val="none" w:sz="0" w:space="0" w:color="auto"/>
            <w:left w:val="none" w:sz="0" w:space="0" w:color="auto"/>
            <w:bottom w:val="none" w:sz="0" w:space="0" w:color="auto"/>
            <w:right w:val="none" w:sz="0" w:space="0" w:color="auto"/>
          </w:divBdr>
        </w:div>
        <w:div w:id="1888487201">
          <w:marLeft w:val="480"/>
          <w:marRight w:val="0"/>
          <w:marTop w:val="0"/>
          <w:marBottom w:val="0"/>
          <w:divBdr>
            <w:top w:val="none" w:sz="0" w:space="0" w:color="auto"/>
            <w:left w:val="none" w:sz="0" w:space="0" w:color="auto"/>
            <w:bottom w:val="none" w:sz="0" w:space="0" w:color="auto"/>
            <w:right w:val="none" w:sz="0" w:space="0" w:color="auto"/>
          </w:divBdr>
        </w:div>
        <w:div w:id="777990351">
          <w:marLeft w:val="480"/>
          <w:marRight w:val="0"/>
          <w:marTop w:val="0"/>
          <w:marBottom w:val="0"/>
          <w:divBdr>
            <w:top w:val="none" w:sz="0" w:space="0" w:color="auto"/>
            <w:left w:val="none" w:sz="0" w:space="0" w:color="auto"/>
            <w:bottom w:val="none" w:sz="0" w:space="0" w:color="auto"/>
            <w:right w:val="none" w:sz="0" w:space="0" w:color="auto"/>
          </w:divBdr>
        </w:div>
        <w:div w:id="1727994430">
          <w:marLeft w:val="480"/>
          <w:marRight w:val="0"/>
          <w:marTop w:val="0"/>
          <w:marBottom w:val="0"/>
          <w:divBdr>
            <w:top w:val="none" w:sz="0" w:space="0" w:color="auto"/>
            <w:left w:val="none" w:sz="0" w:space="0" w:color="auto"/>
            <w:bottom w:val="none" w:sz="0" w:space="0" w:color="auto"/>
            <w:right w:val="none" w:sz="0" w:space="0" w:color="auto"/>
          </w:divBdr>
        </w:div>
        <w:div w:id="646319062">
          <w:marLeft w:val="480"/>
          <w:marRight w:val="0"/>
          <w:marTop w:val="0"/>
          <w:marBottom w:val="0"/>
          <w:divBdr>
            <w:top w:val="none" w:sz="0" w:space="0" w:color="auto"/>
            <w:left w:val="none" w:sz="0" w:space="0" w:color="auto"/>
            <w:bottom w:val="none" w:sz="0" w:space="0" w:color="auto"/>
            <w:right w:val="none" w:sz="0" w:space="0" w:color="auto"/>
          </w:divBdr>
        </w:div>
        <w:div w:id="407577434">
          <w:marLeft w:val="480"/>
          <w:marRight w:val="0"/>
          <w:marTop w:val="0"/>
          <w:marBottom w:val="0"/>
          <w:divBdr>
            <w:top w:val="none" w:sz="0" w:space="0" w:color="auto"/>
            <w:left w:val="none" w:sz="0" w:space="0" w:color="auto"/>
            <w:bottom w:val="none" w:sz="0" w:space="0" w:color="auto"/>
            <w:right w:val="none" w:sz="0" w:space="0" w:color="auto"/>
          </w:divBdr>
        </w:div>
        <w:div w:id="1950162951">
          <w:marLeft w:val="480"/>
          <w:marRight w:val="0"/>
          <w:marTop w:val="0"/>
          <w:marBottom w:val="0"/>
          <w:divBdr>
            <w:top w:val="none" w:sz="0" w:space="0" w:color="auto"/>
            <w:left w:val="none" w:sz="0" w:space="0" w:color="auto"/>
            <w:bottom w:val="none" w:sz="0" w:space="0" w:color="auto"/>
            <w:right w:val="none" w:sz="0" w:space="0" w:color="auto"/>
          </w:divBdr>
        </w:div>
        <w:div w:id="1467427621">
          <w:marLeft w:val="480"/>
          <w:marRight w:val="0"/>
          <w:marTop w:val="0"/>
          <w:marBottom w:val="0"/>
          <w:divBdr>
            <w:top w:val="none" w:sz="0" w:space="0" w:color="auto"/>
            <w:left w:val="none" w:sz="0" w:space="0" w:color="auto"/>
            <w:bottom w:val="none" w:sz="0" w:space="0" w:color="auto"/>
            <w:right w:val="none" w:sz="0" w:space="0" w:color="auto"/>
          </w:divBdr>
        </w:div>
        <w:div w:id="687487525">
          <w:marLeft w:val="480"/>
          <w:marRight w:val="0"/>
          <w:marTop w:val="0"/>
          <w:marBottom w:val="0"/>
          <w:divBdr>
            <w:top w:val="none" w:sz="0" w:space="0" w:color="auto"/>
            <w:left w:val="none" w:sz="0" w:space="0" w:color="auto"/>
            <w:bottom w:val="none" w:sz="0" w:space="0" w:color="auto"/>
            <w:right w:val="none" w:sz="0" w:space="0" w:color="auto"/>
          </w:divBdr>
        </w:div>
        <w:div w:id="1912881796">
          <w:marLeft w:val="480"/>
          <w:marRight w:val="0"/>
          <w:marTop w:val="0"/>
          <w:marBottom w:val="0"/>
          <w:divBdr>
            <w:top w:val="none" w:sz="0" w:space="0" w:color="auto"/>
            <w:left w:val="none" w:sz="0" w:space="0" w:color="auto"/>
            <w:bottom w:val="none" w:sz="0" w:space="0" w:color="auto"/>
            <w:right w:val="none" w:sz="0" w:space="0" w:color="auto"/>
          </w:divBdr>
        </w:div>
        <w:div w:id="711735129">
          <w:marLeft w:val="480"/>
          <w:marRight w:val="0"/>
          <w:marTop w:val="0"/>
          <w:marBottom w:val="0"/>
          <w:divBdr>
            <w:top w:val="none" w:sz="0" w:space="0" w:color="auto"/>
            <w:left w:val="none" w:sz="0" w:space="0" w:color="auto"/>
            <w:bottom w:val="none" w:sz="0" w:space="0" w:color="auto"/>
            <w:right w:val="none" w:sz="0" w:space="0" w:color="auto"/>
          </w:divBdr>
        </w:div>
        <w:div w:id="2023555923">
          <w:marLeft w:val="480"/>
          <w:marRight w:val="0"/>
          <w:marTop w:val="0"/>
          <w:marBottom w:val="0"/>
          <w:divBdr>
            <w:top w:val="none" w:sz="0" w:space="0" w:color="auto"/>
            <w:left w:val="none" w:sz="0" w:space="0" w:color="auto"/>
            <w:bottom w:val="none" w:sz="0" w:space="0" w:color="auto"/>
            <w:right w:val="none" w:sz="0" w:space="0" w:color="auto"/>
          </w:divBdr>
        </w:div>
        <w:div w:id="1257052871">
          <w:marLeft w:val="480"/>
          <w:marRight w:val="0"/>
          <w:marTop w:val="0"/>
          <w:marBottom w:val="0"/>
          <w:divBdr>
            <w:top w:val="none" w:sz="0" w:space="0" w:color="auto"/>
            <w:left w:val="none" w:sz="0" w:space="0" w:color="auto"/>
            <w:bottom w:val="none" w:sz="0" w:space="0" w:color="auto"/>
            <w:right w:val="none" w:sz="0" w:space="0" w:color="auto"/>
          </w:divBdr>
        </w:div>
        <w:div w:id="1819497496">
          <w:marLeft w:val="480"/>
          <w:marRight w:val="0"/>
          <w:marTop w:val="0"/>
          <w:marBottom w:val="0"/>
          <w:divBdr>
            <w:top w:val="none" w:sz="0" w:space="0" w:color="auto"/>
            <w:left w:val="none" w:sz="0" w:space="0" w:color="auto"/>
            <w:bottom w:val="none" w:sz="0" w:space="0" w:color="auto"/>
            <w:right w:val="none" w:sz="0" w:space="0" w:color="auto"/>
          </w:divBdr>
        </w:div>
        <w:div w:id="1587762594">
          <w:marLeft w:val="480"/>
          <w:marRight w:val="0"/>
          <w:marTop w:val="0"/>
          <w:marBottom w:val="0"/>
          <w:divBdr>
            <w:top w:val="none" w:sz="0" w:space="0" w:color="auto"/>
            <w:left w:val="none" w:sz="0" w:space="0" w:color="auto"/>
            <w:bottom w:val="none" w:sz="0" w:space="0" w:color="auto"/>
            <w:right w:val="none" w:sz="0" w:space="0" w:color="auto"/>
          </w:divBdr>
        </w:div>
        <w:div w:id="504982242">
          <w:marLeft w:val="480"/>
          <w:marRight w:val="0"/>
          <w:marTop w:val="0"/>
          <w:marBottom w:val="0"/>
          <w:divBdr>
            <w:top w:val="none" w:sz="0" w:space="0" w:color="auto"/>
            <w:left w:val="none" w:sz="0" w:space="0" w:color="auto"/>
            <w:bottom w:val="none" w:sz="0" w:space="0" w:color="auto"/>
            <w:right w:val="none" w:sz="0" w:space="0" w:color="auto"/>
          </w:divBdr>
        </w:div>
        <w:div w:id="2135635762">
          <w:marLeft w:val="480"/>
          <w:marRight w:val="0"/>
          <w:marTop w:val="0"/>
          <w:marBottom w:val="0"/>
          <w:divBdr>
            <w:top w:val="none" w:sz="0" w:space="0" w:color="auto"/>
            <w:left w:val="none" w:sz="0" w:space="0" w:color="auto"/>
            <w:bottom w:val="none" w:sz="0" w:space="0" w:color="auto"/>
            <w:right w:val="none" w:sz="0" w:space="0" w:color="auto"/>
          </w:divBdr>
        </w:div>
        <w:div w:id="1678725323">
          <w:marLeft w:val="480"/>
          <w:marRight w:val="0"/>
          <w:marTop w:val="0"/>
          <w:marBottom w:val="0"/>
          <w:divBdr>
            <w:top w:val="none" w:sz="0" w:space="0" w:color="auto"/>
            <w:left w:val="none" w:sz="0" w:space="0" w:color="auto"/>
            <w:bottom w:val="none" w:sz="0" w:space="0" w:color="auto"/>
            <w:right w:val="none" w:sz="0" w:space="0" w:color="auto"/>
          </w:divBdr>
        </w:div>
        <w:div w:id="2085683926">
          <w:marLeft w:val="480"/>
          <w:marRight w:val="0"/>
          <w:marTop w:val="0"/>
          <w:marBottom w:val="0"/>
          <w:divBdr>
            <w:top w:val="none" w:sz="0" w:space="0" w:color="auto"/>
            <w:left w:val="none" w:sz="0" w:space="0" w:color="auto"/>
            <w:bottom w:val="none" w:sz="0" w:space="0" w:color="auto"/>
            <w:right w:val="none" w:sz="0" w:space="0" w:color="auto"/>
          </w:divBdr>
        </w:div>
        <w:div w:id="1891571713">
          <w:marLeft w:val="480"/>
          <w:marRight w:val="0"/>
          <w:marTop w:val="0"/>
          <w:marBottom w:val="0"/>
          <w:divBdr>
            <w:top w:val="none" w:sz="0" w:space="0" w:color="auto"/>
            <w:left w:val="none" w:sz="0" w:space="0" w:color="auto"/>
            <w:bottom w:val="none" w:sz="0" w:space="0" w:color="auto"/>
            <w:right w:val="none" w:sz="0" w:space="0" w:color="auto"/>
          </w:divBdr>
        </w:div>
        <w:div w:id="1660382444">
          <w:marLeft w:val="480"/>
          <w:marRight w:val="0"/>
          <w:marTop w:val="0"/>
          <w:marBottom w:val="0"/>
          <w:divBdr>
            <w:top w:val="none" w:sz="0" w:space="0" w:color="auto"/>
            <w:left w:val="none" w:sz="0" w:space="0" w:color="auto"/>
            <w:bottom w:val="none" w:sz="0" w:space="0" w:color="auto"/>
            <w:right w:val="none" w:sz="0" w:space="0" w:color="auto"/>
          </w:divBdr>
        </w:div>
        <w:div w:id="168764222">
          <w:marLeft w:val="480"/>
          <w:marRight w:val="0"/>
          <w:marTop w:val="0"/>
          <w:marBottom w:val="0"/>
          <w:divBdr>
            <w:top w:val="none" w:sz="0" w:space="0" w:color="auto"/>
            <w:left w:val="none" w:sz="0" w:space="0" w:color="auto"/>
            <w:bottom w:val="none" w:sz="0" w:space="0" w:color="auto"/>
            <w:right w:val="none" w:sz="0" w:space="0" w:color="auto"/>
          </w:divBdr>
        </w:div>
        <w:div w:id="689989296">
          <w:marLeft w:val="480"/>
          <w:marRight w:val="0"/>
          <w:marTop w:val="0"/>
          <w:marBottom w:val="0"/>
          <w:divBdr>
            <w:top w:val="none" w:sz="0" w:space="0" w:color="auto"/>
            <w:left w:val="none" w:sz="0" w:space="0" w:color="auto"/>
            <w:bottom w:val="none" w:sz="0" w:space="0" w:color="auto"/>
            <w:right w:val="none" w:sz="0" w:space="0" w:color="auto"/>
          </w:divBdr>
        </w:div>
        <w:div w:id="295527144">
          <w:marLeft w:val="480"/>
          <w:marRight w:val="0"/>
          <w:marTop w:val="0"/>
          <w:marBottom w:val="0"/>
          <w:divBdr>
            <w:top w:val="none" w:sz="0" w:space="0" w:color="auto"/>
            <w:left w:val="none" w:sz="0" w:space="0" w:color="auto"/>
            <w:bottom w:val="none" w:sz="0" w:space="0" w:color="auto"/>
            <w:right w:val="none" w:sz="0" w:space="0" w:color="auto"/>
          </w:divBdr>
        </w:div>
        <w:div w:id="1947811205">
          <w:marLeft w:val="480"/>
          <w:marRight w:val="0"/>
          <w:marTop w:val="0"/>
          <w:marBottom w:val="0"/>
          <w:divBdr>
            <w:top w:val="none" w:sz="0" w:space="0" w:color="auto"/>
            <w:left w:val="none" w:sz="0" w:space="0" w:color="auto"/>
            <w:bottom w:val="none" w:sz="0" w:space="0" w:color="auto"/>
            <w:right w:val="none" w:sz="0" w:space="0" w:color="auto"/>
          </w:divBdr>
        </w:div>
        <w:div w:id="1290697569">
          <w:marLeft w:val="480"/>
          <w:marRight w:val="0"/>
          <w:marTop w:val="0"/>
          <w:marBottom w:val="0"/>
          <w:divBdr>
            <w:top w:val="none" w:sz="0" w:space="0" w:color="auto"/>
            <w:left w:val="none" w:sz="0" w:space="0" w:color="auto"/>
            <w:bottom w:val="none" w:sz="0" w:space="0" w:color="auto"/>
            <w:right w:val="none" w:sz="0" w:space="0" w:color="auto"/>
          </w:divBdr>
        </w:div>
        <w:div w:id="1663194919">
          <w:marLeft w:val="480"/>
          <w:marRight w:val="0"/>
          <w:marTop w:val="0"/>
          <w:marBottom w:val="0"/>
          <w:divBdr>
            <w:top w:val="none" w:sz="0" w:space="0" w:color="auto"/>
            <w:left w:val="none" w:sz="0" w:space="0" w:color="auto"/>
            <w:bottom w:val="none" w:sz="0" w:space="0" w:color="auto"/>
            <w:right w:val="none" w:sz="0" w:space="0" w:color="auto"/>
          </w:divBdr>
        </w:div>
        <w:div w:id="331419255">
          <w:marLeft w:val="480"/>
          <w:marRight w:val="0"/>
          <w:marTop w:val="0"/>
          <w:marBottom w:val="0"/>
          <w:divBdr>
            <w:top w:val="none" w:sz="0" w:space="0" w:color="auto"/>
            <w:left w:val="none" w:sz="0" w:space="0" w:color="auto"/>
            <w:bottom w:val="none" w:sz="0" w:space="0" w:color="auto"/>
            <w:right w:val="none" w:sz="0" w:space="0" w:color="auto"/>
          </w:divBdr>
        </w:div>
        <w:div w:id="574169868">
          <w:marLeft w:val="480"/>
          <w:marRight w:val="0"/>
          <w:marTop w:val="0"/>
          <w:marBottom w:val="0"/>
          <w:divBdr>
            <w:top w:val="none" w:sz="0" w:space="0" w:color="auto"/>
            <w:left w:val="none" w:sz="0" w:space="0" w:color="auto"/>
            <w:bottom w:val="none" w:sz="0" w:space="0" w:color="auto"/>
            <w:right w:val="none" w:sz="0" w:space="0" w:color="auto"/>
          </w:divBdr>
        </w:div>
        <w:div w:id="2134785747">
          <w:marLeft w:val="480"/>
          <w:marRight w:val="0"/>
          <w:marTop w:val="0"/>
          <w:marBottom w:val="0"/>
          <w:divBdr>
            <w:top w:val="none" w:sz="0" w:space="0" w:color="auto"/>
            <w:left w:val="none" w:sz="0" w:space="0" w:color="auto"/>
            <w:bottom w:val="none" w:sz="0" w:space="0" w:color="auto"/>
            <w:right w:val="none" w:sz="0" w:space="0" w:color="auto"/>
          </w:divBdr>
        </w:div>
        <w:div w:id="992180715">
          <w:marLeft w:val="480"/>
          <w:marRight w:val="0"/>
          <w:marTop w:val="0"/>
          <w:marBottom w:val="0"/>
          <w:divBdr>
            <w:top w:val="none" w:sz="0" w:space="0" w:color="auto"/>
            <w:left w:val="none" w:sz="0" w:space="0" w:color="auto"/>
            <w:bottom w:val="none" w:sz="0" w:space="0" w:color="auto"/>
            <w:right w:val="none" w:sz="0" w:space="0" w:color="auto"/>
          </w:divBdr>
        </w:div>
        <w:div w:id="1195968870">
          <w:marLeft w:val="480"/>
          <w:marRight w:val="0"/>
          <w:marTop w:val="0"/>
          <w:marBottom w:val="0"/>
          <w:divBdr>
            <w:top w:val="none" w:sz="0" w:space="0" w:color="auto"/>
            <w:left w:val="none" w:sz="0" w:space="0" w:color="auto"/>
            <w:bottom w:val="none" w:sz="0" w:space="0" w:color="auto"/>
            <w:right w:val="none" w:sz="0" w:space="0" w:color="auto"/>
          </w:divBdr>
        </w:div>
        <w:div w:id="649750653">
          <w:marLeft w:val="480"/>
          <w:marRight w:val="0"/>
          <w:marTop w:val="0"/>
          <w:marBottom w:val="0"/>
          <w:divBdr>
            <w:top w:val="none" w:sz="0" w:space="0" w:color="auto"/>
            <w:left w:val="none" w:sz="0" w:space="0" w:color="auto"/>
            <w:bottom w:val="none" w:sz="0" w:space="0" w:color="auto"/>
            <w:right w:val="none" w:sz="0" w:space="0" w:color="auto"/>
          </w:divBdr>
        </w:div>
        <w:div w:id="1264651801">
          <w:marLeft w:val="480"/>
          <w:marRight w:val="0"/>
          <w:marTop w:val="0"/>
          <w:marBottom w:val="0"/>
          <w:divBdr>
            <w:top w:val="none" w:sz="0" w:space="0" w:color="auto"/>
            <w:left w:val="none" w:sz="0" w:space="0" w:color="auto"/>
            <w:bottom w:val="none" w:sz="0" w:space="0" w:color="auto"/>
            <w:right w:val="none" w:sz="0" w:space="0" w:color="auto"/>
          </w:divBdr>
        </w:div>
        <w:div w:id="2071031532">
          <w:marLeft w:val="480"/>
          <w:marRight w:val="0"/>
          <w:marTop w:val="0"/>
          <w:marBottom w:val="0"/>
          <w:divBdr>
            <w:top w:val="none" w:sz="0" w:space="0" w:color="auto"/>
            <w:left w:val="none" w:sz="0" w:space="0" w:color="auto"/>
            <w:bottom w:val="none" w:sz="0" w:space="0" w:color="auto"/>
            <w:right w:val="none" w:sz="0" w:space="0" w:color="auto"/>
          </w:divBdr>
        </w:div>
        <w:div w:id="1523278817">
          <w:marLeft w:val="480"/>
          <w:marRight w:val="0"/>
          <w:marTop w:val="0"/>
          <w:marBottom w:val="0"/>
          <w:divBdr>
            <w:top w:val="none" w:sz="0" w:space="0" w:color="auto"/>
            <w:left w:val="none" w:sz="0" w:space="0" w:color="auto"/>
            <w:bottom w:val="none" w:sz="0" w:space="0" w:color="auto"/>
            <w:right w:val="none" w:sz="0" w:space="0" w:color="auto"/>
          </w:divBdr>
        </w:div>
        <w:div w:id="232736331">
          <w:marLeft w:val="480"/>
          <w:marRight w:val="0"/>
          <w:marTop w:val="0"/>
          <w:marBottom w:val="0"/>
          <w:divBdr>
            <w:top w:val="none" w:sz="0" w:space="0" w:color="auto"/>
            <w:left w:val="none" w:sz="0" w:space="0" w:color="auto"/>
            <w:bottom w:val="none" w:sz="0" w:space="0" w:color="auto"/>
            <w:right w:val="none" w:sz="0" w:space="0" w:color="auto"/>
          </w:divBdr>
        </w:div>
        <w:div w:id="2034574954">
          <w:marLeft w:val="480"/>
          <w:marRight w:val="0"/>
          <w:marTop w:val="0"/>
          <w:marBottom w:val="0"/>
          <w:divBdr>
            <w:top w:val="none" w:sz="0" w:space="0" w:color="auto"/>
            <w:left w:val="none" w:sz="0" w:space="0" w:color="auto"/>
            <w:bottom w:val="none" w:sz="0" w:space="0" w:color="auto"/>
            <w:right w:val="none" w:sz="0" w:space="0" w:color="auto"/>
          </w:divBdr>
        </w:div>
        <w:div w:id="871266022">
          <w:marLeft w:val="480"/>
          <w:marRight w:val="0"/>
          <w:marTop w:val="0"/>
          <w:marBottom w:val="0"/>
          <w:divBdr>
            <w:top w:val="none" w:sz="0" w:space="0" w:color="auto"/>
            <w:left w:val="none" w:sz="0" w:space="0" w:color="auto"/>
            <w:bottom w:val="none" w:sz="0" w:space="0" w:color="auto"/>
            <w:right w:val="none" w:sz="0" w:space="0" w:color="auto"/>
          </w:divBdr>
        </w:div>
        <w:div w:id="395396561">
          <w:marLeft w:val="480"/>
          <w:marRight w:val="0"/>
          <w:marTop w:val="0"/>
          <w:marBottom w:val="0"/>
          <w:divBdr>
            <w:top w:val="none" w:sz="0" w:space="0" w:color="auto"/>
            <w:left w:val="none" w:sz="0" w:space="0" w:color="auto"/>
            <w:bottom w:val="none" w:sz="0" w:space="0" w:color="auto"/>
            <w:right w:val="none" w:sz="0" w:space="0" w:color="auto"/>
          </w:divBdr>
        </w:div>
        <w:div w:id="690762830">
          <w:marLeft w:val="480"/>
          <w:marRight w:val="0"/>
          <w:marTop w:val="0"/>
          <w:marBottom w:val="0"/>
          <w:divBdr>
            <w:top w:val="none" w:sz="0" w:space="0" w:color="auto"/>
            <w:left w:val="none" w:sz="0" w:space="0" w:color="auto"/>
            <w:bottom w:val="none" w:sz="0" w:space="0" w:color="auto"/>
            <w:right w:val="none" w:sz="0" w:space="0" w:color="auto"/>
          </w:divBdr>
        </w:div>
        <w:div w:id="1512335438">
          <w:marLeft w:val="480"/>
          <w:marRight w:val="0"/>
          <w:marTop w:val="0"/>
          <w:marBottom w:val="0"/>
          <w:divBdr>
            <w:top w:val="none" w:sz="0" w:space="0" w:color="auto"/>
            <w:left w:val="none" w:sz="0" w:space="0" w:color="auto"/>
            <w:bottom w:val="none" w:sz="0" w:space="0" w:color="auto"/>
            <w:right w:val="none" w:sz="0" w:space="0" w:color="auto"/>
          </w:divBdr>
        </w:div>
        <w:div w:id="605431799">
          <w:marLeft w:val="480"/>
          <w:marRight w:val="0"/>
          <w:marTop w:val="0"/>
          <w:marBottom w:val="0"/>
          <w:divBdr>
            <w:top w:val="none" w:sz="0" w:space="0" w:color="auto"/>
            <w:left w:val="none" w:sz="0" w:space="0" w:color="auto"/>
            <w:bottom w:val="none" w:sz="0" w:space="0" w:color="auto"/>
            <w:right w:val="none" w:sz="0" w:space="0" w:color="auto"/>
          </w:divBdr>
        </w:div>
        <w:div w:id="2010130709">
          <w:marLeft w:val="480"/>
          <w:marRight w:val="0"/>
          <w:marTop w:val="0"/>
          <w:marBottom w:val="0"/>
          <w:divBdr>
            <w:top w:val="none" w:sz="0" w:space="0" w:color="auto"/>
            <w:left w:val="none" w:sz="0" w:space="0" w:color="auto"/>
            <w:bottom w:val="none" w:sz="0" w:space="0" w:color="auto"/>
            <w:right w:val="none" w:sz="0" w:space="0" w:color="auto"/>
          </w:divBdr>
        </w:div>
        <w:div w:id="169954311">
          <w:marLeft w:val="480"/>
          <w:marRight w:val="0"/>
          <w:marTop w:val="0"/>
          <w:marBottom w:val="0"/>
          <w:divBdr>
            <w:top w:val="none" w:sz="0" w:space="0" w:color="auto"/>
            <w:left w:val="none" w:sz="0" w:space="0" w:color="auto"/>
            <w:bottom w:val="none" w:sz="0" w:space="0" w:color="auto"/>
            <w:right w:val="none" w:sz="0" w:space="0" w:color="auto"/>
          </w:divBdr>
        </w:div>
        <w:div w:id="570120045">
          <w:marLeft w:val="480"/>
          <w:marRight w:val="0"/>
          <w:marTop w:val="0"/>
          <w:marBottom w:val="0"/>
          <w:divBdr>
            <w:top w:val="none" w:sz="0" w:space="0" w:color="auto"/>
            <w:left w:val="none" w:sz="0" w:space="0" w:color="auto"/>
            <w:bottom w:val="none" w:sz="0" w:space="0" w:color="auto"/>
            <w:right w:val="none" w:sz="0" w:space="0" w:color="auto"/>
          </w:divBdr>
        </w:div>
        <w:div w:id="1687056781">
          <w:marLeft w:val="480"/>
          <w:marRight w:val="0"/>
          <w:marTop w:val="0"/>
          <w:marBottom w:val="0"/>
          <w:divBdr>
            <w:top w:val="none" w:sz="0" w:space="0" w:color="auto"/>
            <w:left w:val="none" w:sz="0" w:space="0" w:color="auto"/>
            <w:bottom w:val="none" w:sz="0" w:space="0" w:color="auto"/>
            <w:right w:val="none" w:sz="0" w:space="0" w:color="auto"/>
          </w:divBdr>
        </w:div>
        <w:div w:id="764768288">
          <w:marLeft w:val="480"/>
          <w:marRight w:val="0"/>
          <w:marTop w:val="0"/>
          <w:marBottom w:val="0"/>
          <w:divBdr>
            <w:top w:val="none" w:sz="0" w:space="0" w:color="auto"/>
            <w:left w:val="none" w:sz="0" w:space="0" w:color="auto"/>
            <w:bottom w:val="none" w:sz="0" w:space="0" w:color="auto"/>
            <w:right w:val="none" w:sz="0" w:space="0" w:color="auto"/>
          </w:divBdr>
        </w:div>
        <w:div w:id="1290939040">
          <w:marLeft w:val="480"/>
          <w:marRight w:val="0"/>
          <w:marTop w:val="0"/>
          <w:marBottom w:val="0"/>
          <w:divBdr>
            <w:top w:val="none" w:sz="0" w:space="0" w:color="auto"/>
            <w:left w:val="none" w:sz="0" w:space="0" w:color="auto"/>
            <w:bottom w:val="none" w:sz="0" w:space="0" w:color="auto"/>
            <w:right w:val="none" w:sz="0" w:space="0" w:color="auto"/>
          </w:divBdr>
        </w:div>
        <w:div w:id="1947078740">
          <w:marLeft w:val="480"/>
          <w:marRight w:val="0"/>
          <w:marTop w:val="0"/>
          <w:marBottom w:val="0"/>
          <w:divBdr>
            <w:top w:val="none" w:sz="0" w:space="0" w:color="auto"/>
            <w:left w:val="none" w:sz="0" w:space="0" w:color="auto"/>
            <w:bottom w:val="none" w:sz="0" w:space="0" w:color="auto"/>
            <w:right w:val="none" w:sz="0" w:space="0" w:color="auto"/>
          </w:divBdr>
        </w:div>
        <w:div w:id="1095201639">
          <w:marLeft w:val="480"/>
          <w:marRight w:val="0"/>
          <w:marTop w:val="0"/>
          <w:marBottom w:val="0"/>
          <w:divBdr>
            <w:top w:val="none" w:sz="0" w:space="0" w:color="auto"/>
            <w:left w:val="none" w:sz="0" w:space="0" w:color="auto"/>
            <w:bottom w:val="none" w:sz="0" w:space="0" w:color="auto"/>
            <w:right w:val="none" w:sz="0" w:space="0" w:color="auto"/>
          </w:divBdr>
        </w:div>
        <w:div w:id="886915966">
          <w:marLeft w:val="480"/>
          <w:marRight w:val="0"/>
          <w:marTop w:val="0"/>
          <w:marBottom w:val="0"/>
          <w:divBdr>
            <w:top w:val="none" w:sz="0" w:space="0" w:color="auto"/>
            <w:left w:val="none" w:sz="0" w:space="0" w:color="auto"/>
            <w:bottom w:val="none" w:sz="0" w:space="0" w:color="auto"/>
            <w:right w:val="none" w:sz="0" w:space="0" w:color="auto"/>
          </w:divBdr>
        </w:div>
        <w:div w:id="1771662387">
          <w:marLeft w:val="480"/>
          <w:marRight w:val="0"/>
          <w:marTop w:val="0"/>
          <w:marBottom w:val="0"/>
          <w:divBdr>
            <w:top w:val="none" w:sz="0" w:space="0" w:color="auto"/>
            <w:left w:val="none" w:sz="0" w:space="0" w:color="auto"/>
            <w:bottom w:val="none" w:sz="0" w:space="0" w:color="auto"/>
            <w:right w:val="none" w:sz="0" w:space="0" w:color="auto"/>
          </w:divBdr>
        </w:div>
        <w:div w:id="1066144220">
          <w:marLeft w:val="480"/>
          <w:marRight w:val="0"/>
          <w:marTop w:val="0"/>
          <w:marBottom w:val="0"/>
          <w:divBdr>
            <w:top w:val="none" w:sz="0" w:space="0" w:color="auto"/>
            <w:left w:val="none" w:sz="0" w:space="0" w:color="auto"/>
            <w:bottom w:val="none" w:sz="0" w:space="0" w:color="auto"/>
            <w:right w:val="none" w:sz="0" w:space="0" w:color="auto"/>
          </w:divBdr>
        </w:div>
        <w:div w:id="1994794406">
          <w:marLeft w:val="480"/>
          <w:marRight w:val="0"/>
          <w:marTop w:val="0"/>
          <w:marBottom w:val="0"/>
          <w:divBdr>
            <w:top w:val="none" w:sz="0" w:space="0" w:color="auto"/>
            <w:left w:val="none" w:sz="0" w:space="0" w:color="auto"/>
            <w:bottom w:val="none" w:sz="0" w:space="0" w:color="auto"/>
            <w:right w:val="none" w:sz="0" w:space="0" w:color="auto"/>
          </w:divBdr>
        </w:div>
        <w:div w:id="661853881">
          <w:marLeft w:val="480"/>
          <w:marRight w:val="0"/>
          <w:marTop w:val="0"/>
          <w:marBottom w:val="0"/>
          <w:divBdr>
            <w:top w:val="none" w:sz="0" w:space="0" w:color="auto"/>
            <w:left w:val="none" w:sz="0" w:space="0" w:color="auto"/>
            <w:bottom w:val="none" w:sz="0" w:space="0" w:color="auto"/>
            <w:right w:val="none" w:sz="0" w:space="0" w:color="auto"/>
          </w:divBdr>
        </w:div>
        <w:div w:id="398867782">
          <w:marLeft w:val="480"/>
          <w:marRight w:val="0"/>
          <w:marTop w:val="0"/>
          <w:marBottom w:val="0"/>
          <w:divBdr>
            <w:top w:val="none" w:sz="0" w:space="0" w:color="auto"/>
            <w:left w:val="none" w:sz="0" w:space="0" w:color="auto"/>
            <w:bottom w:val="none" w:sz="0" w:space="0" w:color="auto"/>
            <w:right w:val="none" w:sz="0" w:space="0" w:color="auto"/>
          </w:divBdr>
        </w:div>
        <w:div w:id="754789322">
          <w:marLeft w:val="480"/>
          <w:marRight w:val="0"/>
          <w:marTop w:val="0"/>
          <w:marBottom w:val="0"/>
          <w:divBdr>
            <w:top w:val="none" w:sz="0" w:space="0" w:color="auto"/>
            <w:left w:val="none" w:sz="0" w:space="0" w:color="auto"/>
            <w:bottom w:val="none" w:sz="0" w:space="0" w:color="auto"/>
            <w:right w:val="none" w:sz="0" w:space="0" w:color="auto"/>
          </w:divBdr>
        </w:div>
        <w:div w:id="1680346969">
          <w:marLeft w:val="480"/>
          <w:marRight w:val="0"/>
          <w:marTop w:val="0"/>
          <w:marBottom w:val="0"/>
          <w:divBdr>
            <w:top w:val="none" w:sz="0" w:space="0" w:color="auto"/>
            <w:left w:val="none" w:sz="0" w:space="0" w:color="auto"/>
            <w:bottom w:val="none" w:sz="0" w:space="0" w:color="auto"/>
            <w:right w:val="none" w:sz="0" w:space="0" w:color="auto"/>
          </w:divBdr>
        </w:div>
        <w:div w:id="1381787406">
          <w:marLeft w:val="480"/>
          <w:marRight w:val="0"/>
          <w:marTop w:val="0"/>
          <w:marBottom w:val="0"/>
          <w:divBdr>
            <w:top w:val="none" w:sz="0" w:space="0" w:color="auto"/>
            <w:left w:val="none" w:sz="0" w:space="0" w:color="auto"/>
            <w:bottom w:val="none" w:sz="0" w:space="0" w:color="auto"/>
            <w:right w:val="none" w:sz="0" w:space="0" w:color="auto"/>
          </w:divBdr>
        </w:div>
        <w:div w:id="1110856812">
          <w:marLeft w:val="480"/>
          <w:marRight w:val="0"/>
          <w:marTop w:val="0"/>
          <w:marBottom w:val="0"/>
          <w:divBdr>
            <w:top w:val="none" w:sz="0" w:space="0" w:color="auto"/>
            <w:left w:val="none" w:sz="0" w:space="0" w:color="auto"/>
            <w:bottom w:val="none" w:sz="0" w:space="0" w:color="auto"/>
            <w:right w:val="none" w:sz="0" w:space="0" w:color="auto"/>
          </w:divBdr>
        </w:div>
        <w:div w:id="1516765600">
          <w:marLeft w:val="480"/>
          <w:marRight w:val="0"/>
          <w:marTop w:val="0"/>
          <w:marBottom w:val="0"/>
          <w:divBdr>
            <w:top w:val="none" w:sz="0" w:space="0" w:color="auto"/>
            <w:left w:val="none" w:sz="0" w:space="0" w:color="auto"/>
            <w:bottom w:val="none" w:sz="0" w:space="0" w:color="auto"/>
            <w:right w:val="none" w:sz="0" w:space="0" w:color="auto"/>
          </w:divBdr>
        </w:div>
        <w:div w:id="1753309417">
          <w:marLeft w:val="480"/>
          <w:marRight w:val="0"/>
          <w:marTop w:val="0"/>
          <w:marBottom w:val="0"/>
          <w:divBdr>
            <w:top w:val="none" w:sz="0" w:space="0" w:color="auto"/>
            <w:left w:val="none" w:sz="0" w:space="0" w:color="auto"/>
            <w:bottom w:val="none" w:sz="0" w:space="0" w:color="auto"/>
            <w:right w:val="none" w:sz="0" w:space="0" w:color="auto"/>
          </w:divBdr>
        </w:div>
        <w:div w:id="1141116751">
          <w:marLeft w:val="480"/>
          <w:marRight w:val="0"/>
          <w:marTop w:val="0"/>
          <w:marBottom w:val="0"/>
          <w:divBdr>
            <w:top w:val="none" w:sz="0" w:space="0" w:color="auto"/>
            <w:left w:val="none" w:sz="0" w:space="0" w:color="auto"/>
            <w:bottom w:val="none" w:sz="0" w:space="0" w:color="auto"/>
            <w:right w:val="none" w:sz="0" w:space="0" w:color="auto"/>
          </w:divBdr>
        </w:div>
        <w:div w:id="149953444">
          <w:marLeft w:val="480"/>
          <w:marRight w:val="0"/>
          <w:marTop w:val="0"/>
          <w:marBottom w:val="0"/>
          <w:divBdr>
            <w:top w:val="none" w:sz="0" w:space="0" w:color="auto"/>
            <w:left w:val="none" w:sz="0" w:space="0" w:color="auto"/>
            <w:bottom w:val="none" w:sz="0" w:space="0" w:color="auto"/>
            <w:right w:val="none" w:sz="0" w:space="0" w:color="auto"/>
          </w:divBdr>
        </w:div>
        <w:div w:id="4023166">
          <w:marLeft w:val="480"/>
          <w:marRight w:val="0"/>
          <w:marTop w:val="0"/>
          <w:marBottom w:val="0"/>
          <w:divBdr>
            <w:top w:val="none" w:sz="0" w:space="0" w:color="auto"/>
            <w:left w:val="none" w:sz="0" w:space="0" w:color="auto"/>
            <w:bottom w:val="none" w:sz="0" w:space="0" w:color="auto"/>
            <w:right w:val="none" w:sz="0" w:space="0" w:color="auto"/>
          </w:divBdr>
        </w:div>
        <w:div w:id="1764908507">
          <w:marLeft w:val="480"/>
          <w:marRight w:val="0"/>
          <w:marTop w:val="0"/>
          <w:marBottom w:val="0"/>
          <w:divBdr>
            <w:top w:val="none" w:sz="0" w:space="0" w:color="auto"/>
            <w:left w:val="none" w:sz="0" w:space="0" w:color="auto"/>
            <w:bottom w:val="none" w:sz="0" w:space="0" w:color="auto"/>
            <w:right w:val="none" w:sz="0" w:space="0" w:color="auto"/>
          </w:divBdr>
        </w:div>
        <w:div w:id="1573004441">
          <w:marLeft w:val="480"/>
          <w:marRight w:val="0"/>
          <w:marTop w:val="0"/>
          <w:marBottom w:val="0"/>
          <w:divBdr>
            <w:top w:val="none" w:sz="0" w:space="0" w:color="auto"/>
            <w:left w:val="none" w:sz="0" w:space="0" w:color="auto"/>
            <w:bottom w:val="none" w:sz="0" w:space="0" w:color="auto"/>
            <w:right w:val="none" w:sz="0" w:space="0" w:color="auto"/>
          </w:divBdr>
        </w:div>
        <w:div w:id="178274048">
          <w:marLeft w:val="480"/>
          <w:marRight w:val="0"/>
          <w:marTop w:val="0"/>
          <w:marBottom w:val="0"/>
          <w:divBdr>
            <w:top w:val="none" w:sz="0" w:space="0" w:color="auto"/>
            <w:left w:val="none" w:sz="0" w:space="0" w:color="auto"/>
            <w:bottom w:val="none" w:sz="0" w:space="0" w:color="auto"/>
            <w:right w:val="none" w:sz="0" w:space="0" w:color="auto"/>
          </w:divBdr>
        </w:div>
        <w:div w:id="1635986632">
          <w:marLeft w:val="480"/>
          <w:marRight w:val="0"/>
          <w:marTop w:val="0"/>
          <w:marBottom w:val="0"/>
          <w:divBdr>
            <w:top w:val="none" w:sz="0" w:space="0" w:color="auto"/>
            <w:left w:val="none" w:sz="0" w:space="0" w:color="auto"/>
            <w:bottom w:val="none" w:sz="0" w:space="0" w:color="auto"/>
            <w:right w:val="none" w:sz="0" w:space="0" w:color="auto"/>
          </w:divBdr>
        </w:div>
        <w:div w:id="398984369">
          <w:marLeft w:val="480"/>
          <w:marRight w:val="0"/>
          <w:marTop w:val="0"/>
          <w:marBottom w:val="0"/>
          <w:divBdr>
            <w:top w:val="none" w:sz="0" w:space="0" w:color="auto"/>
            <w:left w:val="none" w:sz="0" w:space="0" w:color="auto"/>
            <w:bottom w:val="none" w:sz="0" w:space="0" w:color="auto"/>
            <w:right w:val="none" w:sz="0" w:space="0" w:color="auto"/>
          </w:divBdr>
        </w:div>
        <w:div w:id="1983270843">
          <w:marLeft w:val="480"/>
          <w:marRight w:val="0"/>
          <w:marTop w:val="0"/>
          <w:marBottom w:val="0"/>
          <w:divBdr>
            <w:top w:val="none" w:sz="0" w:space="0" w:color="auto"/>
            <w:left w:val="none" w:sz="0" w:space="0" w:color="auto"/>
            <w:bottom w:val="none" w:sz="0" w:space="0" w:color="auto"/>
            <w:right w:val="none" w:sz="0" w:space="0" w:color="auto"/>
          </w:divBdr>
        </w:div>
        <w:div w:id="1088694060">
          <w:marLeft w:val="480"/>
          <w:marRight w:val="0"/>
          <w:marTop w:val="0"/>
          <w:marBottom w:val="0"/>
          <w:divBdr>
            <w:top w:val="none" w:sz="0" w:space="0" w:color="auto"/>
            <w:left w:val="none" w:sz="0" w:space="0" w:color="auto"/>
            <w:bottom w:val="none" w:sz="0" w:space="0" w:color="auto"/>
            <w:right w:val="none" w:sz="0" w:space="0" w:color="auto"/>
          </w:divBdr>
        </w:div>
        <w:div w:id="273631338">
          <w:marLeft w:val="480"/>
          <w:marRight w:val="0"/>
          <w:marTop w:val="0"/>
          <w:marBottom w:val="0"/>
          <w:divBdr>
            <w:top w:val="none" w:sz="0" w:space="0" w:color="auto"/>
            <w:left w:val="none" w:sz="0" w:space="0" w:color="auto"/>
            <w:bottom w:val="none" w:sz="0" w:space="0" w:color="auto"/>
            <w:right w:val="none" w:sz="0" w:space="0" w:color="auto"/>
          </w:divBdr>
        </w:div>
        <w:div w:id="1441030316">
          <w:marLeft w:val="480"/>
          <w:marRight w:val="0"/>
          <w:marTop w:val="0"/>
          <w:marBottom w:val="0"/>
          <w:divBdr>
            <w:top w:val="none" w:sz="0" w:space="0" w:color="auto"/>
            <w:left w:val="none" w:sz="0" w:space="0" w:color="auto"/>
            <w:bottom w:val="none" w:sz="0" w:space="0" w:color="auto"/>
            <w:right w:val="none" w:sz="0" w:space="0" w:color="auto"/>
          </w:divBdr>
        </w:div>
        <w:div w:id="1951860177">
          <w:marLeft w:val="480"/>
          <w:marRight w:val="0"/>
          <w:marTop w:val="0"/>
          <w:marBottom w:val="0"/>
          <w:divBdr>
            <w:top w:val="none" w:sz="0" w:space="0" w:color="auto"/>
            <w:left w:val="none" w:sz="0" w:space="0" w:color="auto"/>
            <w:bottom w:val="none" w:sz="0" w:space="0" w:color="auto"/>
            <w:right w:val="none" w:sz="0" w:space="0" w:color="auto"/>
          </w:divBdr>
        </w:div>
        <w:div w:id="742799168">
          <w:marLeft w:val="480"/>
          <w:marRight w:val="0"/>
          <w:marTop w:val="0"/>
          <w:marBottom w:val="0"/>
          <w:divBdr>
            <w:top w:val="none" w:sz="0" w:space="0" w:color="auto"/>
            <w:left w:val="none" w:sz="0" w:space="0" w:color="auto"/>
            <w:bottom w:val="none" w:sz="0" w:space="0" w:color="auto"/>
            <w:right w:val="none" w:sz="0" w:space="0" w:color="auto"/>
          </w:divBdr>
        </w:div>
        <w:div w:id="1048382694">
          <w:marLeft w:val="480"/>
          <w:marRight w:val="0"/>
          <w:marTop w:val="0"/>
          <w:marBottom w:val="0"/>
          <w:divBdr>
            <w:top w:val="none" w:sz="0" w:space="0" w:color="auto"/>
            <w:left w:val="none" w:sz="0" w:space="0" w:color="auto"/>
            <w:bottom w:val="none" w:sz="0" w:space="0" w:color="auto"/>
            <w:right w:val="none" w:sz="0" w:space="0" w:color="auto"/>
          </w:divBdr>
        </w:div>
        <w:div w:id="1365255091">
          <w:marLeft w:val="480"/>
          <w:marRight w:val="0"/>
          <w:marTop w:val="0"/>
          <w:marBottom w:val="0"/>
          <w:divBdr>
            <w:top w:val="none" w:sz="0" w:space="0" w:color="auto"/>
            <w:left w:val="none" w:sz="0" w:space="0" w:color="auto"/>
            <w:bottom w:val="none" w:sz="0" w:space="0" w:color="auto"/>
            <w:right w:val="none" w:sz="0" w:space="0" w:color="auto"/>
          </w:divBdr>
        </w:div>
        <w:div w:id="1715228881">
          <w:marLeft w:val="480"/>
          <w:marRight w:val="0"/>
          <w:marTop w:val="0"/>
          <w:marBottom w:val="0"/>
          <w:divBdr>
            <w:top w:val="none" w:sz="0" w:space="0" w:color="auto"/>
            <w:left w:val="none" w:sz="0" w:space="0" w:color="auto"/>
            <w:bottom w:val="none" w:sz="0" w:space="0" w:color="auto"/>
            <w:right w:val="none" w:sz="0" w:space="0" w:color="auto"/>
          </w:divBdr>
        </w:div>
        <w:div w:id="1581719040">
          <w:marLeft w:val="480"/>
          <w:marRight w:val="0"/>
          <w:marTop w:val="0"/>
          <w:marBottom w:val="0"/>
          <w:divBdr>
            <w:top w:val="none" w:sz="0" w:space="0" w:color="auto"/>
            <w:left w:val="none" w:sz="0" w:space="0" w:color="auto"/>
            <w:bottom w:val="none" w:sz="0" w:space="0" w:color="auto"/>
            <w:right w:val="none" w:sz="0" w:space="0" w:color="auto"/>
          </w:divBdr>
        </w:div>
        <w:div w:id="1543515131">
          <w:marLeft w:val="480"/>
          <w:marRight w:val="0"/>
          <w:marTop w:val="0"/>
          <w:marBottom w:val="0"/>
          <w:divBdr>
            <w:top w:val="none" w:sz="0" w:space="0" w:color="auto"/>
            <w:left w:val="none" w:sz="0" w:space="0" w:color="auto"/>
            <w:bottom w:val="none" w:sz="0" w:space="0" w:color="auto"/>
            <w:right w:val="none" w:sz="0" w:space="0" w:color="auto"/>
          </w:divBdr>
        </w:div>
        <w:div w:id="1421101648">
          <w:marLeft w:val="480"/>
          <w:marRight w:val="0"/>
          <w:marTop w:val="0"/>
          <w:marBottom w:val="0"/>
          <w:divBdr>
            <w:top w:val="none" w:sz="0" w:space="0" w:color="auto"/>
            <w:left w:val="none" w:sz="0" w:space="0" w:color="auto"/>
            <w:bottom w:val="none" w:sz="0" w:space="0" w:color="auto"/>
            <w:right w:val="none" w:sz="0" w:space="0" w:color="auto"/>
          </w:divBdr>
        </w:div>
        <w:div w:id="865220114">
          <w:marLeft w:val="480"/>
          <w:marRight w:val="0"/>
          <w:marTop w:val="0"/>
          <w:marBottom w:val="0"/>
          <w:divBdr>
            <w:top w:val="none" w:sz="0" w:space="0" w:color="auto"/>
            <w:left w:val="none" w:sz="0" w:space="0" w:color="auto"/>
            <w:bottom w:val="none" w:sz="0" w:space="0" w:color="auto"/>
            <w:right w:val="none" w:sz="0" w:space="0" w:color="auto"/>
          </w:divBdr>
        </w:div>
        <w:div w:id="896092126">
          <w:marLeft w:val="480"/>
          <w:marRight w:val="0"/>
          <w:marTop w:val="0"/>
          <w:marBottom w:val="0"/>
          <w:divBdr>
            <w:top w:val="none" w:sz="0" w:space="0" w:color="auto"/>
            <w:left w:val="none" w:sz="0" w:space="0" w:color="auto"/>
            <w:bottom w:val="none" w:sz="0" w:space="0" w:color="auto"/>
            <w:right w:val="none" w:sz="0" w:space="0" w:color="auto"/>
          </w:divBdr>
        </w:div>
        <w:div w:id="1440371810">
          <w:marLeft w:val="480"/>
          <w:marRight w:val="0"/>
          <w:marTop w:val="0"/>
          <w:marBottom w:val="0"/>
          <w:divBdr>
            <w:top w:val="none" w:sz="0" w:space="0" w:color="auto"/>
            <w:left w:val="none" w:sz="0" w:space="0" w:color="auto"/>
            <w:bottom w:val="none" w:sz="0" w:space="0" w:color="auto"/>
            <w:right w:val="none" w:sz="0" w:space="0" w:color="auto"/>
          </w:divBdr>
        </w:div>
        <w:div w:id="2133668713">
          <w:marLeft w:val="480"/>
          <w:marRight w:val="0"/>
          <w:marTop w:val="0"/>
          <w:marBottom w:val="0"/>
          <w:divBdr>
            <w:top w:val="none" w:sz="0" w:space="0" w:color="auto"/>
            <w:left w:val="none" w:sz="0" w:space="0" w:color="auto"/>
            <w:bottom w:val="none" w:sz="0" w:space="0" w:color="auto"/>
            <w:right w:val="none" w:sz="0" w:space="0" w:color="auto"/>
          </w:divBdr>
        </w:div>
        <w:div w:id="1170289931">
          <w:marLeft w:val="480"/>
          <w:marRight w:val="0"/>
          <w:marTop w:val="0"/>
          <w:marBottom w:val="0"/>
          <w:divBdr>
            <w:top w:val="none" w:sz="0" w:space="0" w:color="auto"/>
            <w:left w:val="none" w:sz="0" w:space="0" w:color="auto"/>
            <w:bottom w:val="none" w:sz="0" w:space="0" w:color="auto"/>
            <w:right w:val="none" w:sz="0" w:space="0" w:color="auto"/>
          </w:divBdr>
        </w:div>
        <w:div w:id="995229743">
          <w:marLeft w:val="480"/>
          <w:marRight w:val="0"/>
          <w:marTop w:val="0"/>
          <w:marBottom w:val="0"/>
          <w:divBdr>
            <w:top w:val="none" w:sz="0" w:space="0" w:color="auto"/>
            <w:left w:val="none" w:sz="0" w:space="0" w:color="auto"/>
            <w:bottom w:val="none" w:sz="0" w:space="0" w:color="auto"/>
            <w:right w:val="none" w:sz="0" w:space="0" w:color="auto"/>
          </w:divBdr>
        </w:div>
        <w:div w:id="1305741661">
          <w:marLeft w:val="480"/>
          <w:marRight w:val="0"/>
          <w:marTop w:val="0"/>
          <w:marBottom w:val="0"/>
          <w:divBdr>
            <w:top w:val="none" w:sz="0" w:space="0" w:color="auto"/>
            <w:left w:val="none" w:sz="0" w:space="0" w:color="auto"/>
            <w:bottom w:val="none" w:sz="0" w:space="0" w:color="auto"/>
            <w:right w:val="none" w:sz="0" w:space="0" w:color="auto"/>
          </w:divBdr>
        </w:div>
        <w:div w:id="1602106450">
          <w:marLeft w:val="480"/>
          <w:marRight w:val="0"/>
          <w:marTop w:val="0"/>
          <w:marBottom w:val="0"/>
          <w:divBdr>
            <w:top w:val="none" w:sz="0" w:space="0" w:color="auto"/>
            <w:left w:val="none" w:sz="0" w:space="0" w:color="auto"/>
            <w:bottom w:val="none" w:sz="0" w:space="0" w:color="auto"/>
            <w:right w:val="none" w:sz="0" w:space="0" w:color="auto"/>
          </w:divBdr>
        </w:div>
        <w:div w:id="1370446653">
          <w:marLeft w:val="480"/>
          <w:marRight w:val="0"/>
          <w:marTop w:val="0"/>
          <w:marBottom w:val="0"/>
          <w:divBdr>
            <w:top w:val="none" w:sz="0" w:space="0" w:color="auto"/>
            <w:left w:val="none" w:sz="0" w:space="0" w:color="auto"/>
            <w:bottom w:val="none" w:sz="0" w:space="0" w:color="auto"/>
            <w:right w:val="none" w:sz="0" w:space="0" w:color="auto"/>
          </w:divBdr>
        </w:div>
        <w:div w:id="541595712">
          <w:marLeft w:val="480"/>
          <w:marRight w:val="0"/>
          <w:marTop w:val="0"/>
          <w:marBottom w:val="0"/>
          <w:divBdr>
            <w:top w:val="none" w:sz="0" w:space="0" w:color="auto"/>
            <w:left w:val="none" w:sz="0" w:space="0" w:color="auto"/>
            <w:bottom w:val="none" w:sz="0" w:space="0" w:color="auto"/>
            <w:right w:val="none" w:sz="0" w:space="0" w:color="auto"/>
          </w:divBdr>
        </w:div>
        <w:div w:id="2048873609">
          <w:marLeft w:val="480"/>
          <w:marRight w:val="0"/>
          <w:marTop w:val="0"/>
          <w:marBottom w:val="0"/>
          <w:divBdr>
            <w:top w:val="none" w:sz="0" w:space="0" w:color="auto"/>
            <w:left w:val="none" w:sz="0" w:space="0" w:color="auto"/>
            <w:bottom w:val="none" w:sz="0" w:space="0" w:color="auto"/>
            <w:right w:val="none" w:sz="0" w:space="0" w:color="auto"/>
          </w:divBdr>
        </w:div>
        <w:div w:id="721441124">
          <w:marLeft w:val="480"/>
          <w:marRight w:val="0"/>
          <w:marTop w:val="0"/>
          <w:marBottom w:val="0"/>
          <w:divBdr>
            <w:top w:val="none" w:sz="0" w:space="0" w:color="auto"/>
            <w:left w:val="none" w:sz="0" w:space="0" w:color="auto"/>
            <w:bottom w:val="none" w:sz="0" w:space="0" w:color="auto"/>
            <w:right w:val="none" w:sz="0" w:space="0" w:color="auto"/>
          </w:divBdr>
        </w:div>
        <w:div w:id="1997492977">
          <w:marLeft w:val="480"/>
          <w:marRight w:val="0"/>
          <w:marTop w:val="0"/>
          <w:marBottom w:val="0"/>
          <w:divBdr>
            <w:top w:val="none" w:sz="0" w:space="0" w:color="auto"/>
            <w:left w:val="none" w:sz="0" w:space="0" w:color="auto"/>
            <w:bottom w:val="none" w:sz="0" w:space="0" w:color="auto"/>
            <w:right w:val="none" w:sz="0" w:space="0" w:color="auto"/>
          </w:divBdr>
        </w:div>
        <w:div w:id="1911500142">
          <w:marLeft w:val="480"/>
          <w:marRight w:val="0"/>
          <w:marTop w:val="0"/>
          <w:marBottom w:val="0"/>
          <w:divBdr>
            <w:top w:val="none" w:sz="0" w:space="0" w:color="auto"/>
            <w:left w:val="none" w:sz="0" w:space="0" w:color="auto"/>
            <w:bottom w:val="none" w:sz="0" w:space="0" w:color="auto"/>
            <w:right w:val="none" w:sz="0" w:space="0" w:color="auto"/>
          </w:divBdr>
        </w:div>
        <w:div w:id="925000708">
          <w:marLeft w:val="480"/>
          <w:marRight w:val="0"/>
          <w:marTop w:val="0"/>
          <w:marBottom w:val="0"/>
          <w:divBdr>
            <w:top w:val="none" w:sz="0" w:space="0" w:color="auto"/>
            <w:left w:val="none" w:sz="0" w:space="0" w:color="auto"/>
            <w:bottom w:val="none" w:sz="0" w:space="0" w:color="auto"/>
            <w:right w:val="none" w:sz="0" w:space="0" w:color="auto"/>
          </w:divBdr>
        </w:div>
        <w:div w:id="254367867">
          <w:marLeft w:val="480"/>
          <w:marRight w:val="0"/>
          <w:marTop w:val="0"/>
          <w:marBottom w:val="0"/>
          <w:divBdr>
            <w:top w:val="none" w:sz="0" w:space="0" w:color="auto"/>
            <w:left w:val="none" w:sz="0" w:space="0" w:color="auto"/>
            <w:bottom w:val="none" w:sz="0" w:space="0" w:color="auto"/>
            <w:right w:val="none" w:sz="0" w:space="0" w:color="auto"/>
          </w:divBdr>
        </w:div>
        <w:div w:id="2111271558">
          <w:marLeft w:val="480"/>
          <w:marRight w:val="0"/>
          <w:marTop w:val="0"/>
          <w:marBottom w:val="0"/>
          <w:divBdr>
            <w:top w:val="none" w:sz="0" w:space="0" w:color="auto"/>
            <w:left w:val="none" w:sz="0" w:space="0" w:color="auto"/>
            <w:bottom w:val="none" w:sz="0" w:space="0" w:color="auto"/>
            <w:right w:val="none" w:sz="0" w:space="0" w:color="auto"/>
          </w:divBdr>
        </w:div>
        <w:div w:id="1851336211">
          <w:marLeft w:val="480"/>
          <w:marRight w:val="0"/>
          <w:marTop w:val="0"/>
          <w:marBottom w:val="0"/>
          <w:divBdr>
            <w:top w:val="none" w:sz="0" w:space="0" w:color="auto"/>
            <w:left w:val="none" w:sz="0" w:space="0" w:color="auto"/>
            <w:bottom w:val="none" w:sz="0" w:space="0" w:color="auto"/>
            <w:right w:val="none" w:sz="0" w:space="0" w:color="auto"/>
          </w:divBdr>
        </w:div>
        <w:div w:id="396441749">
          <w:marLeft w:val="480"/>
          <w:marRight w:val="0"/>
          <w:marTop w:val="0"/>
          <w:marBottom w:val="0"/>
          <w:divBdr>
            <w:top w:val="none" w:sz="0" w:space="0" w:color="auto"/>
            <w:left w:val="none" w:sz="0" w:space="0" w:color="auto"/>
            <w:bottom w:val="none" w:sz="0" w:space="0" w:color="auto"/>
            <w:right w:val="none" w:sz="0" w:space="0" w:color="auto"/>
          </w:divBdr>
        </w:div>
        <w:div w:id="905727429">
          <w:marLeft w:val="480"/>
          <w:marRight w:val="0"/>
          <w:marTop w:val="0"/>
          <w:marBottom w:val="0"/>
          <w:divBdr>
            <w:top w:val="none" w:sz="0" w:space="0" w:color="auto"/>
            <w:left w:val="none" w:sz="0" w:space="0" w:color="auto"/>
            <w:bottom w:val="none" w:sz="0" w:space="0" w:color="auto"/>
            <w:right w:val="none" w:sz="0" w:space="0" w:color="auto"/>
          </w:divBdr>
        </w:div>
        <w:div w:id="773718547">
          <w:marLeft w:val="480"/>
          <w:marRight w:val="0"/>
          <w:marTop w:val="0"/>
          <w:marBottom w:val="0"/>
          <w:divBdr>
            <w:top w:val="none" w:sz="0" w:space="0" w:color="auto"/>
            <w:left w:val="none" w:sz="0" w:space="0" w:color="auto"/>
            <w:bottom w:val="none" w:sz="0" w:space="0" w:color="auto"/>
            <w:right w:val="none" w:sz="0" w:space="0" w:color="auto"/>
          </w:divBdr>
        </w:div>
        <w:div w:id="1947543120">
          <w:marLeft w:val="480"/>
          <w:marRight w:val="0"/>
          <w:marTop w:val="0"/>
          <w:marBottom w:val="0"/>
          <w:divBdr>
            <w:top w:val="none" w:sz="0" w:space="0" w:color="auto"/>
            <w:left w:val="none" w:sz="0" w:space="0" w:color="auto"/>
            <w:bottom w:val="none" w:sz="0" w:space="0" w:color="auto"/>
            <w:right w:val="none" w:sz="0" w:space="0" w:color="auto"/>
          </w:divBdr>
        </w:div>
        <w:div w:id="1675035241">
          <w:marLeft w:val="480"/>
          <w:marRight w:val="0"/>
          <w:marTop w:val="0"/>
          <w:marBottom w:val="0"/>
          <w:divBdr>
            <w:top w:val="none" w:sz="0" w:space="0" w:color="auto"/>
            <w:left w:val="none" w:sz="0" w:space="0" w:color="auto"/>
            <w:bottom w:val="none" w:sz="0" w:space="0" w:color="auto"/>
            <w:right w:val="none" w:sz="0" w:space="0" w:color="auto"/>
          </w:divBdr>
        </w:div>
      </w:divsChild>
    </w:div>
    <w:div w:id="1192036709">
      <w:bodyDiv w:val="1"/>
      <w:marLeft w:val="0"/>
      <w:marRight w:val="0"/>
      <w:marTop w:val="0"/>
      <w:marBottom w:val="0"/>
      <w:divBdr>
        <w:top w:val="none" w:sz="0" w:space="0" w:color="auto"/>
        <w:left w:val="none" w:sz="0" w:space="0" w:color="auto"/>
        <w:bottom w:val="none" w:sz="0" w:space="0" w:color="auto"/>
        <w:right w:val="none" w:sz="0" w:space="0" w:color="auto"/>
      </w:divBdr>
    </w:div>
    <w:div w:id="1192839311">
      <w:bodyDiv w:val="1"/>
      <w:marLeft w:val="0"/>
      <w:marRight w:val="0"/>
      <w:marTop w:val="0"/>
      <w:marBottom w:val="0"/>
      <w:divBdr>
        <w:top w:val="none" w:sz="0" w:space="0" w:color="auto"/>
        <w:left w:val="none" w:sz="0" w:space="0" w:color="auto"/>
        <w:bottom w:val="none" w:sz="0" w:space="0" w:color="auto"/>
        <w:right w:val="none" w:sz="0" w:space="0" w:color="auto"/>
      </w:divBdr>
    </w:div>
    <w:div w:id="1193768007">
      <w:bodyDiv w:val="1"/>
      <w:marLeft w:val="0"/>
      <w:marRight w:val="0"/>
      <w:marTop w:val="0"/>
      <w:marBottom w:val="0"/>
      <w:divBdr>
        <w:top w:val="none" w:sz="0" w:space="0" w:color="auto"/>
        <w:left w:val="none" w:sz="0" w:space="0" w:color="auto"/>
        <w:bottom w:val="none" w:sz="0" w:space="0" w:color="auto"/>
        <w:right w:val="none" w:sz="0" w:space="0" w:color="auto"/>
      </w:divBdr>
    </w:div>
    <w:div w:id="1193960736">
      <w:bodyDiv w:val="1"/>
      <w:marLeft w:val="0"/>
      <w:marRight w:val="0"/>
      <w:marTop w:val="0"/>
      <w:marBottom w:val="0"/>
      <w:divBdr>
        <w:top w:val="none" w:sz="0" w:space="0" w:color="auto"/>
        <w:left w:val="none" w:sz="0" w:space="0" w:color="auto"/>
        <w:bottom w:val="none" w:sz="0" w:space="0" w:color="auto"/>
        <w:right w:val="none" w:sz="0" w:space="0" w:color="auto"/>
      </w:divBdr>
    </w:div>
    <w:div w:id="1194079470">
      <w:bodyDiv w:val="1"/>
      <w:marLeft w:val="0"/>
      <w:marRight w:val="0"/>
      <w:marTop w:val="0"/>
      <w:marBottom w:val="0"/>
      <w:divBdr>
        <w:top w:val="none" w:sz="0" w:space="0" w:color="auto"/>
        <w:left w:val="none" w:sz="0" w:space="0" w:color="auto"/>
        <w:bottom w:val="none" w:sz="0" w:space="0" w:color="auto"/>
        <w:right w:val="none" w:sz="0" w:space="0" w:color="auto"/>
      </w:divBdr>
    </w:div>
    <w:div w:id="1194538527">
      <w:bodyDiv w:val="1"/>
      <w:marLeft w:val="0"/>
      <w:marRight w:val="0"/>
      <w:marTop w:val="0"/>
      <w:marBottom w:val="0"/>
      <w:divBdr>
        <w:top w:val="none" w:sz="0" w:space="0" w:color="auto"/>
        <w:left w:val="none" w:sz="0" w:space="0" w:color="auto"/>
        <w:bottom w:val="none" w:sz="0" w:space="0" w:color="auto"/>
        <w:right w:val="none" w:sz="0" w:space="0" w:color="auto"/>
      </w:divBdr>
    </w:div>
    <w:div w:id="1195389954">
      <w:bodyDiv w:val="1"/>
      <w:marLeft w:val="0"/>
      <w:marRight w:val="0"/>
      <w:marTop w:val="0"/>
      <w:marBottom w:val="0"/>
      <w:divBdr>
        <w:top w:val="none" w:sz="0" w:space="0" w:color="auto"/>
        <w:left w:val="none" w:sz="0" w:space="0" w:color="auto"/>
        <w:bottom w:val="none" w:sz="0" w:space="0" w:color="auto"/>
        <w:right w:val="none" w:sz="0" w:space="0" w:color="auto"/>
      </w:divBdr>
    </w:div>
    <w:div w:id="1195538358">
      <w:bodyDiv w:val="1"/>
      <w:marLeft w:val="0"/>
      <w:marRight w:val="0"/>
      <w:marTop w:val="0"/>
      <w:marBottom w:val="0"/>
      <w:divBdr>
        <w:top w:val="none" w:sz="0" w:space="0" w:color="auto"/>
        <w:left w:val="none" w:sz="0" w:space="0" w:color="auto"/>
        <w:bottom w:val="none" w:sz="0" w:space="0" w:color="auto"/>
        <w:right w:val="none" w:sz="0" w:space="0" w:color="auto"/>
      </w:divBdr>
    </w:div>
    <w:div w:id="1195731603">
      <w:bodyDiv w:val="1"/>
      <w:marLeft w:val="0"/>
      <w:marRight w:val="0"/>
      <w:marTop w:val="0"/>
      <w:marBottom w:val="0"/>
      <w:divBdr>
        <w:top w:val="none" w:sz="0" w:space="0" w:color="auto"/>
        <w:left w:val="none" w:sz="0" w:space="0" w:color="auto"/>
        <w:bottom w:val="none" w:sz="0" w:space="0" w:color="auto"/>
        <w:right w:val="none" w:sz="0" w:space="0" w:color="auto"/>
      </w:divBdr>
    </w:div>
    <w:div w:id="1195928010">
      <w:bodyDiv w:val="1"/>
      <w:marLeft w:val="0"/>
      <w:marRight w:val="0"/>
      <w:marTop w:val="0"/>
      <w:marBottom w:val="0"/>
      <w:divBdr>
        <w:top w:val="none" w:sz="0" w:space="0" w:color="auto"/>
        <w:left w:val="none" w:sz="0" w:space="0" w:color="auto"/>
        <w:bottom w:val="none" w:sz="0" w:space="0" w:color="auto"/>
        <w:right w:val="none" w:sz="0" w:space="0" w:color="auto"/>
      </w:divBdr>
    </w:div>
    <w:div w:id="1196039755">
      <w:bodyDiv w:val="1"/>
      <w:marLeft w:val="0"/>
      <w:marRight w:val="0"/>
      <w:marTop w:val="0"/>
      <w:marBottom w:val="0"/>
      <w:divBdr>
        <w:top w:val="none" w:sz="0" w:space="0" w:color="auto"/>
        <w:left w:val="none" w:sz="0" w:space="0" w:color="auto"/>
        <w:bottom w:val="none" w:sz="0" w:space="0" w:color="auto"/>
        <w:right w:val="none" w:sz="0" w:space="0" w:color="auto"/>
      </w:divBdr>
    </w:div>
    <w:div w:id="1196233309">
      <w:bodyDiv w:val="1"/>
      <w:marLeft w:val="0"/>
      <w:marRight w:val="0"/>
      <w:marTop w:val="0"/>
      <w:marBottom w:val="0"/>
      <w:divBdr>
        <w:top w:val="none" w:sz="0" w:space="0" w:color="auto"/>
        <w:left w:val="none" w:sz="0" w:space="0" w:color="auto"/>
        <w:bottom w:val="none" w:sz="0" w:space="0" w:color="auto"/>
        <w:right w:val="none" w:sz="0" w:space="0" w:color="auto"/>
      </w:divBdr>
    </w:div>
    <w:div w:id="1197351378">
      <w:bodyDiv w:val="1"/>
      <w:marLeft w:val="0"/>
      <w:marRight w:val="0"/>
      <w:marTop w:val="0"/>
      <w:marBottom w:val="0"/>
      <w:divBdr>
        <w:top w:val="none" w:sz="0" w:space="0" w:color="auto"/>
        <w:left w:val="none" w:sz="0" w:space="0" w:color="auto"/>
        <w:bottom w:val="none" w:sz="0" w:space="0" w:color="auto"/>
        <w:right w:val="none" w:sz="0" w:space="0" w:color="auto"/>
      </w:divBdr>
    </w:div>
    <w:div w:id="1197500600">
      <w:bodyDiv w:val="1"/>
      <w:marLeft w:val="0"/>
      <w:marRight w:val="0"/>
      <w:marTop w:val="0"/>
      <w:marBottom w:val="0"/>
      <w:divBdr>
        <w:top w:val="none" w:sz="0" w:space="0" w:color="auto"/>
        <w:left w:val="none" w:sz="0" w:space="0" w:color="auto"/>
        <w:bottom w:val="none" w:sz="0" w:space="0" w:color="auto"/>
        <w:right w:val="none" w:sz="0" w:space="0" w:color="auto"/>
      </w:divBdr>
    </w:div>
    <w:div w:id="1197960748">
      <w:bodyDiv w:val="1"/>
      <w:marLeft w:val="0"/>
      <w:marRight w:val="0"/>
      <w:marTop w:val="0"/>
      <w:marBottom w:val="0"/>
      <w:divBdr>
        <w:top w:val="none" w:sz="0" w:space="0" w:color="auto"/>
        <w:left w:val="none" w:sz="0" w:space="0" w:color="auto"/>
        <w:bottom w:val="none" w:sz="0" w:space="0" w:color="auto"/>
        <w:right w:val="none" w:sz="0" w:space="0" w:color="auto"/>
      </w:divBdr>
    </w:div>
    <w:div w:id="1199590904">
      <w:bodyDiv w:val="1"/>
      <w:marLeft w:val="0"/>
      <w:marRight w:val="0"/>
      <w:marTop w:val="0"/>
      <w:marBottom w:val="0"/>
      <w:divBdr>
        <w:top w:val="none" w:sz="0" w:space="0" w:color="auto"/>
        <w:left w:val="none" w:sz="0" w:space="0" w:color="auto"/>
        <w:bottom w:val="none" w:sz="0" w:space="0" w:color="auto"/>
        <w:right w:val="none" w:sz="0" w:space="0" w:color="auto"/>
      </w:divBdr>
    </w:div>
    <w:div w:id="1200165404">
      <w:bodyDiv w:val="1"/>
      <w:marLeft w:val="0"/>
      <w:marRight w:val="0"/>
      <w:marTop w:val="0"/>
      <w:marBottom w:val="0"/>
      <w:divBdr>
        <w:top w:val="none" w:sz="0" w:space="0" w:color="auto"/>
        <w:left w:val="none" w:sz="0" w:space="0" w:color="auto"/>
        <w:bottom w:val="none" w:sz="0" w:space="0" w:color="auto"/>
        <w:right w:val="none" w:sz="0" w:space="0" w:color="auto"/>
      </w:divBdr>
    </w:div>
    <w:div w:id="1200359825">
      <w:bodyDiv w:val="1"/>
      <w:marLeft w:val="0"/>
      <w:marRight w:val="0"/>
      <w:marTop w:val="0"/>
      <w:marBottom w:val="0"/>
      <w:divBdr>
        <w:top w:val="none" w:sz="0" w:space="0" w:color="auto"/>
        <w:left w:val="none" w:sz="0" w:space="0" w:color="auto"/>
        <w:bottom w:val="none" w:sz="0" w:space="0" w:color="auto"/>
        <w:right w:val="none" w:sz="0" w:space="0" w:color="auto"/>
      </w:divBdr>
    </w:div>
    <w:div w:id="1200507586">
      <w:bodyDiv w:val="1"/>
      <w:marLeft w:val="0"/>
      <w:marRight w:val="0"/>
      <w:marTop w:val="0"/>
      <w:marBottom w:val="0"/>
      <w:divBdr>
        <w:top w:val="none" w:sz="0" w:space="0" w:color="auto"/>
        <w:left w:val="none" w:sz="0" w:space="0" w:color="auto"/>
        <w:bottom w:val="none" w:sz="0" w:space="0" w:color="auto"/>
        <w:right w:val="none" w:sz="0" w:space="0" w:color="auto"/>
      </w:divBdr>
    </w:div>
    <w:div w:id="1200511061">
      <w:bodyDiv w:val="1"/>
      <w:marLeft w:val="0"/>
      <w:marRight w:val="0"/>
      <w:marTop w:val="0"/>
      <w:marBottom w:val="0"/>
      <w:divBdr>
        <w:top w:val="none" w:sz="0" w:space="0" w:color="auto"/>
        <w:left w:val="none" w:sz="0" w:space="0" w:color="auto"/>
        <w:bottom w:val="none" w:sz="0" w:space="0" w:color="auto"/>
        <w:right w:val="none" w:sz="0" w:space="0" w:color="auto"/>
      </w:divBdr>
    </w:div>
    <w:div w:id="1200555203">
      <w:bodyDiv w:val="1"/>
      <w:marLeft w:val="0"/>
      <w:marRight w:val="0"/>
      <w:marTop w:val="0"/>
      <w:marBottom w:val="0"/>
      <w:divBdr>
        <w:top w:val="none" w:sz="0" w:space="0" w:color="auto"/>
        <w:left w:val="none" w:sz="0" w:space="0" w:color="auto"/>
        <w:bottom w:val="none" w:sz="0" w:space="0" w:color="auto"/>
        <w:right w:val="none" w:sz="0" w:space="0" w:color="auto"/>
      </w:divBdr>
    </w:div>
    <w:div w:id="1201430764">
      <w:bodyDiv w:val="1"/>
      <w:marLeft w:val="0"/>
      <w:marRight w:val="0"/>
      <w:marTop w:val="0"/>
      <w:marBottom w:val="0"/>
      <w:divBdr>
        <w:top w:val="none" w:sz="0" w:space="0" w:color="auto"/>
        <w:left w:val="none" w:sz="0" w:space="0" w:color="auto"/>
        <w:bottom w:val="none" w:sz="0" w:space="0" w:color="auto"/>
        <w:right w:val="none" w:sz="0" w:space="0" w:color="auto"/>
      </w:divBdr>
    </w:div>
    <w:div w:id="1201630517">
      <w:bodyDiv w:val="1"/>
      <w:marLeft w:val="0"/>
      <w:marRight w:val="0"/>
      <w:marTop w:val="0"/>
      <w:marBottom w:val="0"/>
      <w:divBdr>
        <w:top w:val="none" w:sz="0" w:space="0" w:color="auto"/>
        <w:left w:val="none" w:sz="0" w:space="0" w:color="auto"/>
        <w:bottom w:val="none" w:sz="0" w:space="0" w:color="auto"/>
        <w:right w:val="none" w:sz="0" w:space="0" w:color="auto"/>
      </w:divBdr>
    </w:div>
    <w:div w:id="1202092485">
      <w:bodyDiv w:val="1"/>
      <w:marLeft w:val="0"/>
      <w:marRight w:val="0"/>
      <w:marTop w:val="0"/>
      <w:marBottom w:val="0"/>
      <w:divBdr>
        <w:top w:val="none" w:sz="0" w:space="0" w:color="auto"/>
        <w:left w:val="none" w:sz="0" w:space="0" w:color="auto"/>
        <w:bottom w:val="none" w:sz="0" w:space="0" w:color="auto"/>
        <w:right w:val="none" w:sz="0" w:space="0" w:color="auto"/>
      </w:divBdr>
    </w:div>
    <w:div w:id="1202131053">
      <w:bodyDiv w:val="1"/>
      <w:marLeft w:val="0"/>
      <w:marRight w:val="0"/>
      <w:marTop w:val="0"/>
      <w:marBottom w:val="0"/>
      <w:divBdr>
        <w:top w:val="none" w:sz="0" w:space="0" w:color="auto"/>
        <w:left w:val="none" w:sz="0" w:space="0" w:color="auto"/>
        <w:bottom w:val="none" w:sz="0" w:space="0" w:color="auto"/>
        <w:right w:val="none" w:sz="0" w:space="0" w:color="auto"/>
      </w:divBdr>
    </w:div>
    <w:div w:id="1202521492">
      <w:bodyDiv w:val="1"/>
      <w:marLeft w:val="0"/>
      <w:marRight w:val="0"/>
      <w:marTop w:val="0"/>
      <w:marBottom w:val="0"/>
      <w:divBdr>
        <w:top w:val="none" w:sz="0" w:space="0" w:color="auto"/>
        <w:left w:val="none" w:sz="0" w:space="0" w:color="auto"/>
        <w:bottom w:val="none" w:sz="0" w:space="0" w:color="auto"/>
        <w:right w:val="none" w:sz="0" w:space="0" w:color="auto"/>
      </w:divBdr>
    </w:div>
    <w:div w:id="1202789073">
      <w:bodyDiv w:val="1"/>
      <w:marLeft w:val="0"/>
      <w:marRight w:val="0"/>
      <w:marTop w:val="0"/>
      <w:marBottom w:val="0"/>
      <w:divBdr>
        <w:top w:val="none" w:sz="0" w:space="0" w:color="auto"/>
        <w:left w:val="none" w:sz="0" w:space="0" w:color="auto"/>
        <w:bottom w:val="none" w:sz="0" w:space="0" w:color="auto"/>
        <w:right w:val="none" w:sz="0" w:space="0" w:color="auto"/>
      </w:divBdr>
    </w:div>
    <w:div w:id="1204364977">
      <w:bodyDiv w:val="1"/>
      <w:marLeft w:val="0"/>
      <w:marRight w:val="0"/>
      <w:marTop w:val="0"/>
      <w:marBottom w:val="0"/>
      <w:divBdr>
        <w:top w:val="none" w:sz="0" w:space="0" w:color="auto"/>
        <w:left w:val="none" w:sz="0" w:space="0" w:color="auto"/>
        <w:bottom w:val="none" w:sz="0" w:space="0" w:color="auto"/>
        <w:right w:val="none" w:sz="0" w:space="0" w:color="auto"/>
      </w:divBdr>
    </w:div>
    <w:div w:id="1205144054">
      <w:bodyDiv w:val="1"/>
      <w:marLeft w:val="0"/>
      <w:marRight w:val="0"/>
      <w:marTop w:val="0"/>
      <w:marBottom w:val="0"/>
      <w:divBdr>
        <w:top w:val="none" w:sz="0" w:space="0" w:color="auto"/>
        <w:left w:val="none" w:sz="0" w:space="0" w:color="auto"/>
        <w:bottom w:val="none" w:sz="0" w:space="0" w:color="auto"/>
        <w:right w:val="none" w:sz="0" w:space="0" w:color="auto"/>
      </w:divBdr>
    </w:div>
    <w:div w:id="1205556925">
      <w:bodyDiv w:val="1"/>
      <w:marLeft w:val="0"/>
      <w:marRight w:val="0"/>
      <w:marTop w:val="0"/>
      <w:marBottom w:val="0"/>
      <w:divBdr>
        <w:top w:val="none" w:sz="0" w:space="0" w:color="auto"/>
        <w:left w:val="none" w:sz="0" w:space="0" w:color="auto"/>
        <w:bottom w:val="none" w:sz="0" w:space="0" w:color="auto"/>
        <w:right w:val="none" w:sz="0" w:space="0" w:color="auto"/>
      </w:divBdr>
    </w:div>
    <w:div w:id="1205674362">
      <w:bodyDiv w:val="1"/>
      <w:marLeft w:val="0"/>
      <w:marRight w:val="0"/>
      <w:marTop w:val="0"/>
      <w:marBottom w:val="0"/>
      <w:divBdr>
        <w:top w:val="none" w:sz="0" w:space="0" w:color="auto"/>
        <w:left w:val="none" w:sz="0" w:space="0" w:color="auto"/>
        <w:bottom w:val="none" w:sz="0" w:space="0" w:color="auto"/>
        <w:right w:val="none" w:sz="0" w:space="0" w:color="auto"/>
      </w:divBdr>
    </w:div>
    <w:div w:id="1206332724">
      <w:bodyDiv w:val="1"/>
      <w:marLeft w:val="0"/>
      <w:marRight w:val="0"/>
      <w:marTop w:val="0"/>
      <w:marBottom w:val="0"/>
      <w:divBdr>
        <w:top w:val="none" w:sz="0" w:space="0" w:color="auto"/>
        <w:left w:val="none" w:sz="0" w:space="0" w:color="auto"/>
        <w:bottom w:val="none" w:sz="0" w:space="0" w:color="auto"/>
        <w:right w:val="none" w:sz="0" w:space="0" w:color="auto"/>
      </w:divBdr>
    </w:div>
    <w:div w:id="1206715078">
      <w:bodyDiv w:val="1"/>
      <w:marLeft w:val="0"/>
      <w:marRight w:val="0"/>
      <w:marTop w:val="0"/>
      <w:marBottom w:val="0"/>
      <w:divBdr>
        <w:top w:val="none" w:sz="0" w:space="0" w:color="auto"/>
        <w:left w:val="none" w:sz="0" w:space="0" w:color="auto"/>
        <w:bottom w:val="none" w:sz="0" w:space="0" w:color="auto"/>
        <w:right w:val="none" w:sz="0" w:space="0" w:color="auto"/>
      </w:divBdr>
    </w:div>
    <w:div w:id="1207910884">
      <w:bodyDiv w:val="1"/>
      <w:marLeft w:val="0"/>
      <w:marRight w:val="0"/>
      <w:marTop w:val="0"/>
      <w:marBottom w:val="0"/>
      <w:divBdr>
        <w:top w:val="none" w:sz="0" w:space="0" w:color="auto"/>
        <w:left w:val="none" w:sz="0" w:space="0" w:color="auto"/>
        <w:bottom w:val="none" w:sz="0" w:space="0" w:color="auto"/>
        <w:right w:val="none" w:sz="0" w:space="0" w:color="auto"/>
      </w:divBdr>
    </w:div>
    <w:div w:id="1208029676">
      <w:bodyDiv w:val="1"/>
      <w:marLeft w:val="0"/>
      <w:marRight w:val="0"/>
      <w:marTop w:val="0"/>
      <w:marBottom w:val="0"/>
      <w:divBdr>
        <w:top w:val="none" w:sz="0" w:space="0" w:color="auto"/>
        <w:left w:val="none" w:sz="0" w:space="0" w:color="auto"/>
        <w:bottom w:val="none" w:sz="0" w:space="0" w:color="auto"/>
        <w:right w:val="none" w:sz="0" w:space="0" w:color="auto"/>
      </w:divBdr>
    </w:div>
    <w:div w:id="1208224993">
      <w:bodyDiv w:val="1"/>
      <w:marLeft w:val="0"/>
      <w:marRight w:val="0"/>
      <w:marTop w:val="0"/>
      <w:marBottom w:val="0"/>
      <w:divBdr>
        <w:top w:val="none" w:sz="0" w:space="0" w:color="auto"/>
        <w:left w:val="none" w:sz="0" w:space="0" w:color="auto"/>
        <w:bottom w:val="none" w:sz="0" w:space="0" w:color="auto"/>
        <w:right w:val="none" w:sz="0" w:space="0" w:color="auto"/>
      </w:divBdr>
    </w:div>
    <w:div w:id="1208881470">
      <w:bodyDiv w:val="1"/>
      <w:marLeft w:val="0"/>
      <w:marRight w:val="0"/>
      <w:marTop w:val="0"/>
      <w:marBottom w:val="0"/>
      <w:divBdr>
        <w:top w:val="none" w:sz="0" w:space="0" w:color="auto"/>
        <w:left w:val="none" w:sz="0" w:space="0" w:color="auto"/>
        <w:bottom w:val="none" w:sz="0" w:space="0" w:color="auto"/>
        <w:right w:val="none" w:sz="0" w:space="0" w:color="auto"/>
      </w:divBdr>
    </w:div>
    <w:div w:id="1208953833">
      <w:bodyDiv w:val="1"/>
      <w:marLeft w:val="0"/>
      <w:marRight w:val="0"/>
      <w:marTop w:val="0"/>
      <w:marBottom w:val="0"/>
      <w:divBdr>
        <w:top w:val="none" w:sz="0" w:space="0" w:color="auto"/>
        <w:left w:val="none" w:sz="0" w:space="0" w:color="auto"/>
        <w:bottom w:val="none" w:sz="0" w:space="0" w:color="auto"/>
        <w:right w:val="none" w:sz="0" w:space="0" w:color="auto"/>
      </w:divBdr>
    </w:div>
    <w:div w:id="1209755352">
      <w:bodyDiv w:val="1"/>
      <w:marLeft w:val="0"/>
      <w:marRight w:val="0"/>
      <w:marTop w:val="0"/>
      <w:marBottom w:val="0"/>
      <w:divBdr>
        <w:top w:val="none" w:sz="0" w:space="0" w:color="auto"/>
        <w:left w:val="none" w:sz="0" w:space="0" w:color="auto"/>
        <w:bottom w:val="none" w:sz="0" w:space="0" w:color="auto"/>
        <w:right w:val="none" w:sz="0" w:space="0" w:color="auto"/>
      </w:divBdr>
    </w:div>
    <w:div w:id="1210145572">
      <w:bodyDiv w:val="1"/>
      <w:marLeft w:val="0"/>
      <w:marRight w:val="0"/>
      <w:marTop w:val="0"/>
      <w:marBottom w:val="0"/>
      <w:divBdr>
        <w:top w:val="none" w:sz="0" w:space="0" w:color="auto"/>
        <w:left w:val="none" w:sz="0" w:space="0" w:color="auto"/>
        <w:bottom w:val="none" w:sz="0" w:space="0" w:color="auto"/>
        <w:right w:val="none" w:sz="0" w:space="0" w:color="auto"/>
      </w:divBdr>
    </w:div>
    <w:div w:id="1210798612">
      <w:bodyDiv w:val="1"/>
      <w:marLeft w:val="0"/>
      <w:marRight w:val="0"/>
      <w:marTop w:val="0"/>
      <w:marBottom w:val="0"/>
      <w:divBdr>
        <w:top w:val="none" w:sz="0" w:space="0" w:color="auto"/>
        <w:left w:val="none" w:sz="0" w:space="0" w:color="auto"/>
        <w:bottom w:val="none" w:sz="0" w:space="0" w:color="auto"/>
        <w:right w:val="none" w:sz="0" w:space="0" w:color="auto"/>
      </w:divBdr>
    </w:div>
    <w:div w:id="1210802265">
      <w:bodyDiv w:val="1"/>
      <w:marLeft w:val="0"/>
      <w:marRight w:val="0"/>
      <w:marTop w:val="0"/>
      <w:marBottom w:val="0"/>
      <w:divBdr>
        <w:top w:val="none" w:sz="0" w:space="0" w:color="auto"/>
        <w:left w:val="none" w:sz="0" w:space="0" w:color="auto"/>
        <w:bottom w:val="none" w:sz="0" w:space="0" w:color="auto"/>
        <w:right w:val="none" w:sz="0" w:space="0" w:color="auto"/>
      </w:divBdr>
    </w:div>
    <w:div w:id="1212040180">
      <w:bodyDiv w:val="1"/>
      <w:marLeft w:val="0"/>
      <w:marRight w:val="0"/>
      <w:marTop w:val="0"/>
      <w:marBottom w:val="0"/>
      <w:divBdr>
        <w:top w:val="none" w:sz="0" w:space="0" w:color="auto"/>
        <w:left w:val="none" w:sz="0" w:space="0" w:color="auto"/>
        <w:bottom w:val="none" w:sz="0" w:space="0" w:color="auto"/>
        <w:right w:val="none" w:sz="0" w:space="0" w:color="auto"/>
      </w:divBdr>
    </w:div>
    <w:div w:id="1212225220">
      <w:bodyDiv w:val="1"/>
      <w:marLeft w:val="0"/>
      <w:marRight w:val="0"/>
      <w:marTop w:val="0"/>
      <w:marBottom w:val="0"/>
      <w:divBdr>
        <w:top w:val="none" w:sz="0" w:space="0" w:color="auto"/>
        <w:left w:val="none" w:sz="0" w:space="0" w:color="auto"/>
        <w:bottom w:val="none" w:sz="0" w:space="0" w:color="auto"/>
        <w:right w:val="none" w:sz="0" w:space="0" w:color="auto"/>
      </w:divBdr>
    </w:div>
    <w:div w:id="1212689528">
      <w:bodyDiv w:val="1"/>
      <w:marLeft w:val="0"/>
      <w:marRight w:val="0"/>
      <w:marTop w:val="0"/>
      <w:marBottom w:val="0"/>
      <w:divBdr>
        <w:top w:val="none" w:sz="0" w:space="0" w:color="auto"/>
        <w:left w:val="none" w:sz="0" w:space="0" w:color="auto"/>
        <w:bottom w:val="none" w:sz="0" w:space="0" w:color="auto"/>
        <w:right w:val="none" w:sz="0" w:space="0" w:color="auto"/>
      </w:divBdr>
    </w:div>
    <w:div w:id="1213007183">
      <w:bodyDiv w:val="1"/>
      <w:marLeft w:val="0"/>
      <w:marRight w:val="0"/>
      <w:marTop w:val="0"/>
      <w:marBottom w:val="0"/>
      <w:divBdr>
        <w:top w:val="none" w:sz="0" w:space="0" w:color="auto"/>
        <w:left w:val="none" w:sz="0" w:space="0" w:color="auto"/>
        <w:bottom w:val="none" w:sz="0" w:space="0" w:color="auto"/>
        <w:right w:val="none" w:sz="0" w:space="0" w:color="auto"/>
      </w:divBdr>
    </w:div>
    <w:div w:id="1213032550">
      <w:bodyDiv w:val="1"/>
      <w:marLeft w:val="0"/>
      <w:marRight w:val="0"/>
      <w:marTop w:val="0"/>
      <w:marBottom w:val="0"/>
      <w:divBdr>
        <w:top w:val="none" w:sz="0" w:space="0" w:color="auto"/>
        <w:left w:val="none" w:sz="0" w:space="0" w:color="auto"/>
        <w:bottom w:val="none" w:sz="0" w:space="0" w:color="auto"/>
        <w:right w:val="none" w:sz="0" w:space="0" w:color="auto"/>
      </w:divBdr>
      <w:divsChild>
        <w:div w:id="749546317">
          <w:marLeft w:val="480"/>
          <w:marRight w:val="0"/>
          <w:marTop w:val="0"/>
          <w:marBottom w:val="0"/>
          <w:divBdr>
            <w:top w:val="none" w:sz="0" w:space="0" w:color="auto"/>
            <w:left w:val="none" w:sz="0" w:space="0" w:color="auto"/>
            <w:bottom w:val="none" w:sz="0" w:space="0" w:color="auto"/>
            <w:right w:val="none" w:sz="0" w:space="0" w:color="auto"/>
          </w:divBdr>
        </w:div>
        <w:div w:id="1409958854">
          <w:marLeft w:val="480"/>
          <w:marRight w:val="0"/>
          <w:marTop w:val="0"/>
          <w:marBottom w:val="0"/>
          <w:divBdr>
            <w:top w:val="none" w:sz="0" w:space="0" w:color="auto"/>
            <w:left w:val="none" w:sz="0" w:space="0" w:color="auto"/>
            <w:bottom w:val="none" w:sz="0" w:space="0" w:color="auto"/>
            <w:right w:val="none" w:sz="0" w:space="0" w:color="auto"/>
          </w:divBdr>
        </w:div>
        <w:div w:id="1883127007">
          <w:marLeft w:val="480"/>
          <w:marRight w:val="0"/>
          <w:marTop w:val="0"/>
          <w:marBottom w:val="0"/>
          <w:divBdr>
            <w:top w:val="none" w:sz="0" w:space="0" w:color="auto"/>
            <w:left w:val="none" w:sz="0" w:space="0" w:color="auto"/>
            <w:bottom w:val="none" w:sz="0" w:space="0" w:color="auto"/>
            <w:right w:val="none" w:sz="0" w:space="0" w:color="auto"/>
          </w:divBdr>
        </w:div>
        <w:div w:id="1762142322">
          <w:marLeft w:val="480"/>
          <w:marRight w:val="0"/>
          <w:marTop w:val="0"/>
          <w:marBottom w:val="0"/>
          <w:divBdr>
            <w:top w:val="none" w:sz="0" w:space="0" w:color="auto"/>
            <w:left w:val="none" w:sz="0" w:space="0" w:color="auto"/>
            <w:bottom w:val="none" w:sz="0" w:space="0" w:color="auto"/>
            <w:right w:val="none" w:sz="0" w:space="0" w:color="auto"/>
          </w:divBdr>
        </w:div>
        <w:div w:id="1934313490">
          <w:marLeft w:val="480"/>
          <w:marRight w:val="0"/>
          <w:marTop w:val="0"/>
          <w:marBottom w:val="0"/>
          <w:divBdr>
            <w:top w:val="none" w:sz="0" w:space="0" w:color="auto"/>
            <w:left w:val="none" w:sz="0" w:space="0" w:color="auto"/>
            <w:bottom w:val="none" w:sz="0" w:space="0" w:color="auto"/>
            <w:right w:val="none" w:sz="0" w:space="0" w:color="auto"/>
          </w:divBdr>
        </w:div>
        <w:div w:id="63912884">
          <w:marLeft w:val="480"/>
          <w:marRight w:val="0"/>
          <w:marTop w:val="0"/>
          <w:marBottom w:val="0"/>
          <w:divBdr>
            <w:top w:val="none" w:sz="0" w:space="0" w:color="auto"/>
            <w:left w:val="none" w:sz="0" w:space="0" w:color="auto"/>
            <w:bottom w:val="none" w:sz="0" w:space="0" w:color="auto"/>
            <w:right w:val="none" w:sz="0" w:space="0" w:color="auto"/>
          </w:divBdr>
        </w:div>
        <w:div w:id="1883252828">
          <w:marLeft w:val="480"/>
          <w:marRight w:val="0"/>
          <w:marTop w:val="0"/>
          <w:marBottom w:val="0"/>
          <w:divBdr>
            <w:top w:val="none" w:sz="0" w:space="0" w:color="auto"/>
            <w:left w:val="none" w:sz="0" w:space="0" w:color="auto"/>
            <w:bottom w:val="none" w:sz="0" w:space="0" w:color="auto"/>
            <w:right w:val="none" w:sz="0" w:space="0" w:color="auto"/>
          </w:divBdr>
        </w:div>
        <w:div w:id="1281299816">
          <w:marLeft w:val="480"/>
          <w:marRight w:val="0"/>
          <w:marTop w:val="0"/>
          <w:marBottom w:val="0"/>
          <w:divBdr>
            <w:top w:val="none" w:sz="0" w:space="0" w:color="auto"/>
            <w:left w:val="none" w:sz="0" w:space="0" w:color="auto"/>
            <w:bottom w:val="none" w:sz="0" w:space="0" w:color="auto"/>
            <w:right w:val="none" w:sz="0" w:space="0" w:color="auto"/>
          </w:divBdr>
        </w:div>
        <w:div w:id="1624385711">
          <w:marLeft w:val="480"/>
          <w:marRight w:val="0"/>
          <w:marTop w:val="0"/>
          <w:marBottom w:val="0"/>
          <w:divBdr>
            <w:top w:val="none" w:sz="0" w:space="0" w:color="auto"/>
            <w:left w:val="none" w:sz="0" w:space="0" w:color="auto"/>
            <w:bottom w:val="none" w:sz="0" w:space="0" w:color="auto"/>
            <w:right w:val="none" w:sz="0" w:space="0" w:color="auto"/>
          </w:divBdr>
        </w:div>
        <w:div w:id="1869098034">
          <w:marLeft w:val="480"/>
          <w:marRight w:val="0"/>
          <w:marTop w:val="0"/>
          <w:marBottom w:val="0"/>
          <w:divBdr>
            <w:top w:val="none" w:sz="0" w:space="0" w:color="auto"/>
            <w:left w:val="none" w:sz="0" w:space="0" w:color="auto"/>
            <w:bottom w:val="none" w:sz="0" w:space="0" w:color="auto"/>
            <w:right w:val="none" w:sz="0" w:space="0" w:color="auto"/>
          </w:divBdr>
        </w:div>
        <w:div w:id="1632856496">
          <w:marLeft w:val="480"/>
          <w:marRight w:val="0"/>
          <w:marTop w:val="0"/>
          <w:marBottom w:val="0"/>
          <w:divBdr>
            <w:top w:val="none" w:sz="0" w:space="0" w:color="auto"/>
            <w:left w:val="none" w:sz="0" w:space="0" w:color="auto"/>
            <w:bottom w:val="none" w:sz="0" w:space="0" w:color="auto"/>
            <w:right w:val="none" w:sz="0" w:space="0" w:color="auto"/>
          </w:divBdr>
        </w:div>
        <w:div w:id="1101535202">
          <w:marLeft w:val="480"/>
          <w:marRight w:val="0"/>
          <w:marTop w:val="0"/>
          <w:marBottom w:val="0"/>
          <w:divBdr>
            <w:top w:val="none" w:sz="0" w:space="0" w:color="auto"/>
            <w:left w:val="none" w:sz="0" w:space="0" w:color="auto"/>
            <w:bottom w:val="none" w:sz="0" w:space="0" w:color="auto"/>
            <w:right w:val="none" w:sz="0" w:space="0" w:color="auto"/>
          </w:divBdr>
        </w:div>
        <w:div w:id="2075270126">
          <w:marLeft w:val="480"/>
          <w:marRight w:val="0"/>
          <w:marTop w:val="0"/>
          <w:marBottom w:val="0"/>
          <w:divBdr>
            <w:top w:val="none" w:sz="0" w:space="0" w:color="auto"/>
            <w:left w:val="none" w:sz="0" w:space="0" w:color="auto"/>
            <w:bottom w:val="none" w:sz="0" w:space="0" w:color="auto"/>
            <w:right w:val="none" w:sz="0" w:space="0" w:color="auto"/>
          </w:divBdr>
        </w:div>
        <w:div w:id="508759883">
          <w:marLeft w:val="480"/>
          <w:marRight w:val="0"/>
          <w:marTop w:val="0"/>
          <w:marBottom w:val="0"/>
          <w:divBdr>
            <w:top w:val="none" w:sz="0" w:space="0" w:color="auto"/>
            <w:left w:val="none" w:sz="0" w:space="0" w:color="auto"/>
            <w:bottom w:val="none" w:sz="0" w:space="0" w:color="auto"/>
            <w:right w:val="none" w:sz="0" w:space="0" w:color="auto"/>
          </w:divBdr>
        </w:div>
        <w:div w:id="1145856733">
          <w:marLeft w:val="480"/>
          <w:marRight w:val="0"/>
          <w:marTop w:val="0"/>
          <w:marBottom w:val="0"/>
          <w:divBdr>
            <w:top w:val="none" w:sz="0" w:space="0" w:color="auto"/>
            <w:left w:val="none" w:sz="0" w:space="0" w:color="auto"/>
            <w:bottom w:val="none" w:sz="0" w:space="0" w:color="auto"/>
            <w:right w:val="none" w:sz="0" w:space="0" w:color="auto"/>
          </w:divBdr>
        </w:div>
        <w:div w:id="1159689692">
          <w:marLeft w:val="480"/>
          <w:marRight w:val="0"/>
          <w:marTop w:val="0"/>
          <w:marBottom w:val="0"/>
          <w:divBdr>
            <w:top w:val="none" w:sz="0" w:space="0" w:color="auto"/>
            <w:left w:val="none" w:sz="0" w:space="0" w:color="auto"/>
            <w:bottom w:val="none" w:sz="0" w:space="0" w:color="auto"/>
            <w:right w:val="none" w:sz="0" w:space="0" w:color="auto"/>
          </w:divBdr>
        </w:div>
        <w:div w:id="2092657493">
          <w:marLeft w:val="480"/>
          <w:marRight w:val="0"/>
          <w:marTop w:val="0"/>
          <w:marBottom w:val="0"/>
          <w:divBdr>
            <w:top w:val="none" w:sz="0" w:space="0" w:color="auto"/>
            <w:left w:val="none" w:sz="0" w:space="0" w:color="auto"/>
            <w:bottom w:val="none" w:sz="0" w:space="0" w:color="auto"/>
            <w:right w:val="none" w:sz="0" w:space="0" w:color="auto"/>
          </w:divBdr>
        </w:div>
        <w:div w:id="173695719">
          <w:marLeft w:val="480"/>
          <w:marRight w:val="0"/>
          <w:marTop w:val="0"/>
          <w:marBottom w:val="0"/>
          <w:divBdr>
            <w:top w:val="none" w:sz="0" w:space="0" w:color="auto"/>
            <w:left w:val="none" w:sz="0" w:space="0" w:color="auto"/>
            <w:bottom w:val="none" w:sz="0" w:space="0" w:color="auto"/>
            <w:right w:val="none" w:sz="0" w:space="0" w:color="auto"/>
          </w:divBdr>
        </w:div>
        <w:div w:id="289897743">
          <w:marLeft w:val="480"/>
          <w:marRight w:val="0"/>
          <w:marTop w:val="0"/>
          <w:marBottom w:val="0"/>
          <w:divBdr>
            <w:top w:val="none" w:sz="0" w:space="0" w:color="auto"/>
            <w:left w:val="none" w:sz="0" w:space="0" w:color="auto"/>
            <w:bottom w:val="none" w:sz="0" w:space="0" w:color="auto"/>
            <w:right w:val="none" w:sz="0" w:space="0" w:color="auto"/>
          </w:divBdr>
        </w:div>
        <w:div w:id="766849629">
          <w:marLeft w:val="480"/>
          <w:marRight w:val="0"/>
          <w:marTop w:val="0"/>
          <w:marBottom w:val="0"/>
          <w:divBdr>
            <w:top w:val="none" w:sz="0" w:space="0" w:color="auto"/>
            <w:left w:val="none" w:sz="0" w:space="0" w:color="auto"/>
            <w:bottom w:val="none" w:sz="0" w:space="0" w:color="auto"/>
            <w:right w:val="none" w:sz="0" w:space="0" w:color="auto"/>
          </w:divBdr>
        </w:div>
        <w:div w:id="222375844">
          <w:marLeft w:val="480"/>
          <w:marRight w:val="0"/>
          <w:marTop w:val="0"/>
          <w:marBottom w:val="0"/>
          <w:divBdr>
            <w:top w:val="none" w:sz="0" w:space="0" w:color="auto"/>
            <w:left w:val="none" w:sz="0" w:space="0" w:color="auto"/>
            <w:bottom w:val="none" w:sz="0" w:space="0" w:color="auto"/>
            <w:right w:val="none" w:sz="0" w:space="0" w:color="auto"/>
          </w:divBdr>
        </w:div>
        <w:div w:id="2097825201">
          <w:marLeft w:val="480"/>
          <w:marRight w:val="0"/>
          <w:marTop w:val="0"/>
          <w:marBottom w:val="0"/>
          <w:divBdr>
            <w:top w:val="none" w:sz="0" w:space="0" w:color="auto"/>
            <w:left w:val="none" w:sz="0" w:space="0" w:color="auto"/>
            <w:bottom w:val="none" w:sz="0" w:space="0" w:color="auto"/>
            <w:right w:val="none" w:sz="0" w:space="0" w:color="auto"/>
          </w:divBdr>
        </w:div>
        <w:div w:id="1981417389">
          <w:marLeft w:val="480"/>
          <w:marRight w:val="0"/>
          <w:marTop w:val="0"/>
          <w:marBottom w:val="0"/>
          <w:divBdr>
            <w:top w:val="none" w:sz="0" w:space="0" w:color="auto"/>
            <w:left w:val="none" w:sz="0" w:space="0" w:color="auto"/>
            <w:bottom w:val="none" w:sz="0" w:space="0" w:color="auto"/>
            <w:right w:val="none" w:sz="0" w:space="0" w:color="auto"/>
          </w:divBdr>
        </w:div>
        <w:div w:id="1664551448">
          <w:marLeft w:val="480"/>
          <w:marRight w:val="0"/>
          <w:marTop w:val="0"/>
          <w:marBottom w:val="0"/>
          <w:divBdr>
            <w:top w:val="none" w:sz="0" w:space="0" w:color="auto"/>
            <w:left w:val="none" w:sz="0" w:space="0" w:color="auto"/>
            <w:bottom w:val="none" w:sz="0" w:space="0" w:color="auto"/>
            <w:right w:val="none" w:sz="0" w:space="0" w:color="auto"/>
          </w:divBdr>
        </w:div>
        <w:div w:id="1247610673">
          <w:marLeft w:val="480"/>
          <w:marRight w:val="0"/>
          <w:marTop w:val="0"/>
          <w:marBottom w:val="0"/>
          <w:divBdr>
            <w:top w:val="none" w:sz="0" w:space="0" w:color="auto"/>
            <w:left w:val="none" w:sz="0" w:space="0" w:color="auto"/>
            <w:bottom w:val="none" w:sz="0" w:space="0" w:color="auto"/>
            <w:right w:val="none" w:sz="0" w:space="0" w:color="auto"/>
          </w:divBdr>
        </w:div>
        <w:div w:id="2094231212">
          <w:marLeft w:val="480"/>
          <w:marRight w:val="0"/>
          <w:marTop w:val="0"/>
          <w:marBottom w:val="0"/>
          <w:divBdr>
            <w:top w:val="none" w:sz="0" w:space="0" w:color="auto"/>
            <w:left w:val="none" w:sz="0" w:space="0" w:color="auto"/>
            <w:bottom w:val="none" w:sz="0" w:space="0" w:color="auto"/>
            <w:right w:val="none" w:sz="0" w:space="0" w:color="auto"/>
          </w:divBdr>
        </w:div>
        <w:div w:id="1235505370">
          <w:marLeft w:val="480"/>
          <w:marRight w:val="0"/>
          <w:marTop w:val="0"/>
          <w:marBottom w:val="0"/>
          <w:divBdr>
            <w:top w:val="none" w:sz="0" w:space="0" w:color="auto"/>
            <w:left w:val="none" w:sz="0" w:space="0" w:color="auto"/>
            <w:bottom w:val="none" w:sz="0" w:space="0" w:color="auto"/>
            <w:right w:val="none" w:sz="0" w:space="0" w:color="auto"/>
          </w:divBdr>
        </w:div>
        <w:div w:id="1101996862">
          <w:marLeft w:val="480"/>
          <w:marRight w:val="0"/>
          <w:marTop w:val="0"/>
          <w:marBottom w:val="0"/>
          <w:divBdr>
            <w:top w:val="none" w:sz="0" w:space="0" w:color="auto"/>
            <w:left w:val="none" w:sz="0" w:space="0" w:color="auto"/>
            <w:bottom w:val="none" w:sz="0" w:space="0" w:color="auto"/>
            <w:right w:val="none" w:sz="0" w:space="0" w:color="auto"/>
          </w:divBdr>
        </w:div>
        <w:div w:id="1846821762">
          <w:marLeft w:val="480"/>
          <w:marRight w:val="0"/>
          <w:marTop w:val="0"/>
          <w:marBottom w:val="0"/>
          <w:divBdr>
            <w:top w:val="none" w:sz="0" w:space="0" w:color="auto"/>
            <w:left w:val="none" w:sz="0" w:space="0" w:color="auto"/>
            <w:bottom w:val="none" w:sz="0" w:space="0" w:color="auto"/>
            <w:right w:val="none" w:sz="0" w:space="0" w:color="auto"/>
          </w:divBdr>
        </w:div>
        <w:div w:id="1003625565">
          <w:marLeft w:val="480"/>
          <w:marRight w:val="0"/>
          <w:marTop w:val="0"/>
          <w:marBottom w:val="0"/>
          <w:divBdr>
            <w:top w:val="none" w:sz="0" w:space="0" w:color="auto"/>
            <w:left w:val="none" w:sz="0" w:space="0" w:color="auto"/>
            <w:bottom w:val="none" w:sz="0" w:space="0" w:color="auto"/>
            <w:right w:val="none" w:sz="0" w:space="0" w:color="auto"/>
          </w:divBdr>
        </w:div>
        <w:div w:id="856429646">
          <w:marLeft w:val="480"/>
          <w:marRight w:val="0"/>
          <w:marTop w:val="0"/>
          <w:marBottom w:val="0"/>
          <w:divBdr>
            <w:top w:val="none" w:sz="0" w:space="0" w:color="auto"/>
            <w:left w:val="none" w:sz="0" w:space="0" w:color="auto"/>
            <w:bottom w:val="none" w:sz="0" w:space="0" w:color="auto"/>
            <w:right w:val="none" w:sz="0" w:space="0" w:color="auto"/>
          </w:divBdr>
        </w:div>
        <w:div w:id="457576410">
          <w:marLeft w:val="480"/>
          <w:marRight w:val="0"/>
          <w:marTop w:val="0"/>
          <w:marBottom w:val="0"/>
          <w:divBdr>
            <w:top w:val="none" w:sz="0" w:space="0" w:color="auto"/>
            <w:left w:val="none" w:sz="0" w:space="0" w:color="auto"/>
            <w:bottom w:val="none" w:sz="0" w:space="0" w:color="auto"/>
            <w:right w:val="none" w:sz="0" w:space="0" w:color="auto"/>
          </w:divBdr>
        </w:div>
        <w:div w:id="1152135984">
          <w:marLeft w:val="480"/>
          <w:marRight w:val="0"/>
          <w:marTop w:val="0"/>
          <w:marBottom w:val="0"/>
          <w:divBdr>
            <w:top w:val="none" w:sz="0" w:space="0" w:color="auto"/>
            <w:left w:val="none" w:sz="0" w:space="0" w:color="auto"/>
            <w:bottom w:val="none" w:sz="0" w:space="0" w:color="auto"/>
            <w:right w:val="none" w:sz="0" w:space="0" w:color="auto"/>
          </w:divBdr>
        </w:div>
        <w:div w:id="921990609">
          <w:marLeft w:val="480"/>
          <w:marRight w:val="0"/>
          <w:marTop w:val="0"/>
          <w:marBottom w:val="0"/>
          <w:divBdr>
            <w:top w:val="none" w:sz="0" w:space="0" w:color="auto"/>
            <w:left w:val="none" w:sz="0" w:space="0" w:color="auto"/>
            <w:bottom w:val="none" w:sz="0" w:space="0" w:color="auto"/>
            <w:right w:val="none" w:sz="0" w:space="0" w:color="auto"/>
          </w:divBdr>
        </w:div>
        <w:div w:id="249852277">
          <w:marLeft w:val="480"/>
          <w:marRight w:val="0"/>
          <w:marTop w:val="0"/>
          <w:marBottom w:val="0"/>
          <w:divBdr>
            <w:top w:val="none" w:sz="0" w:space="0" w:color="auto"/>
            <w:left w:val="none" w:sz="0" w:space="0" w:color="auto"/>
            <w:bottom w:val="none" w:sz="0" w:space="0" w:color="auto"/>
            <w:right w:val="none" w:sz="0" w:space="0" w:color="auto"/>
          </w:divBdr>
        </w:div>
        <w:div w:id="1589122221">
          <w:marLeft w:val="480"/>
          <w:marRight w:val="0"/>
          <w:marTop w:val="0"/>
          <w:marBottom w:val="0"/>
          <w:divBdr>
            <w:top w:val="none" w:sz="0" w:space="0" w:color="auto"/>
            <w:left w:val="none" w:sz="0" w:space="0" w:color="auto"/>
            <w:bottom w:val="none" w:sz="0" w:space="0" w:color="auto"/>
            <w:right w:val="none" w:sz="0" w:space="0" w:color="auto"/>
          </w:divBdr>
        </w:div>
        <w:div w:id="2114547005">
          <w:marLeft w:val="480"/>
          <w:marRight w:val="0"/>
          <w:marTop w:val="0"/>
          <w:marBottom w:val="0"/>
          <w:divBdr>
            <w:top w:val="none" w:sz="0" w:space="0" w:color="auto"/>
            <w:left w:val="none" w:sz="0" w:space="0" w:color="auto"/>
            <w:bottom w:val="none" w:sz="0" w:space="0" w:color="auto"/>
            <w:right w:val="none" w:sz="0" w:space="0" w:color="auto"/>
          </w:divBdr>
        </w:div>
        <w:div w:id="1662733649">
          <w:marLeft w:val="480"/>
          <w:marRight w:val="0"/>
          <w:marTop w:val="0"/>
          <w:marBottom w:val="0"/>
          <w:divBdr>
            <w:top w:val="none" w:sz="0" w:space="0" w:color="auto"/>
            <w:left w:val="none" w:sz="0" w:space="0" w:color="auto"/>
            <w:bottom w:val="none" w:sz="0" w:space="0" w:color="auto"/>
            <w:right w:val="none" w:sz="0" w:space="0" w:color="auto"/>
          </w:divBdr>
        </w:div>
        <w:div w:id="432936966">
          <w:marLeft w:val="480"/>
          <w:marRight w:val="0"/>
          <w:marTop w:val="0"/>
          <w:marBottom w:val="0"/>
          <w:divBdr>
            <w:top w:val="none" w:sz="0" w:space="0" w:color="auto"/>
            <w:left w:val="none" w:sz="0" w:space="0" w:color="auto"/>
            <w:bottom w:val="none" w:sz="0" w:space="0" w:color="auto"/>
            <w:right w:val="none" w:sz="0" w:space="0" w:color="auto"/>
          </w:divBdr>
        </w:div>
        <w:div w:id="465586659">
          <w:marLeft w:val="480"/>
          <w:marRight w:val="0"/>
          <w:marTop w:val="0"/>
          <w:marBottom w:val="0"/>
          <w:divBdr>
            <w:top w:val="none" w:sz="0" w:space="0" w:color="auto"/>
            <w:left w:val="none" w:sz="0" w:space="0" w:color="auto"/>
            <w:bottom w:val="none" w:sz="0" w:space="0" w:color="auto"/>
            <w:right w:val="none" w:sz="0" w:space="0" w:color="auto"/>
          </w:divBdr>
        </w:div>
        <w:div w:id="2118333005">
          <w:marLeft w:val="480"/>
          <w:marRight w:val="0"/>
          <w:marTop w:val="0"/>
          <w:marBottom w:val="0"/>
          <w:divBdr>
            <w:top w:val="none" w:sz="0" w:space="0" w:color="auto"/>
            <w:left w:val="none" w:sz="0" w:space="0" w:color="auto"/>
            <w:bottom w:val="none" w:sz="0" w:space="0" w:color="auto"/>
            <w:right w:val="none" w:sz="0" w:space="0" w:color="auto"/>
          </w:divBdr>
        </w:div>
        <w:div w:id="1091973699">
          <w:marLeft w:val="480"/>
          <w:marRight w:val="0"/>
          <w:marTop w:val="0"/>
          <w:marBottom w:val="0"/>
          <w:divBdr>
            <w:top w:val="none" w:sz="0" w:space="0" w:color="auto"/>
            <w:left w:val="none" w:sz="0" w:space="0" w:color="auto"/>
            <w:bottom w:val="none" w:sz="0" w:space="0" w:color="auto"/>
            <w:right w:val="none" w:sz="0" w:space="0" w:color="auto"/>
          </w:divBdr>
        </w:div>
        <w:div w:id="1877349506">
          <w:marLeft w:val="480"/>
          <w:marRight w:val="0"/>
          <w:marTop w:val="0"/>
          <w:marBottom w:val="0"/>
          <w:divBdr>
            <w:top w:val="none" w:sz="0" w:space="0" w:color="auto"/>
            <w:left w:val="none" w:sz="0" w:space="0" w:color="auto"/>
            <w:bottom w:val="none" w:sz="0" w:space="0" w:color="auto"/>
            <w:right w:val="none" w:sz="0" w:space="0" w:color="auto"/>
          </w:divBdr>
        </w:div>
        <w:div w:id="1765609439">
          <w:marLeft w:val="480"/>
          <w:marRight w:val="0"/>
          <w:marTop w:val="0"/>
          <w:marBottom w:val="0"/>
          <w:divBdr>
            <w:top w:val="none" w:sz="0" w:space="0" w:color="auto"/>
            <w:left w:val="none" w:sz="0" w:space="0" w:color="auto"/>
            <w:bottom w:val="none" w:sz="0" w:space="0" w:color="auto"/>
            <w:right w:val="none" w:sz="0" w:space="0" w:color="auto"/>
          </w:divBdr>
        </w:div>
        <w:div w:id="425464097">
          <w:marLeft w:val="480"/>
          <w:marRight w:val="0"/>
          <w:marTop w:val="0"/>
          <w:marBottom w:val="0"/>
          <w:divBdr>
            <w:top w:val="none" w:sz="0" w:space="0" w:color="auto"/>
            <w:left w:val="none" w:sz="0" w:space="0" w:color="auto"/>
            <w:bottom w:val="none" w:sz="0" w:space="0" w:color="auto"/>
            <w:right w:val="none" w:sz="0" w:space="0" w:color="auto"/>
          </w:divBdr>
        </w:div>
        <w:div w:id="1714428695">
          <w:marLeft w:val="480"/>
          <w:marRight w:val="0"/>
          <w:marTop w:val="0"/>
          <w:marBottom w:val="0"/>
          <w:divBdr>
            <w:top w:val="none" w:sz="0" w:space="0" w:color="auto"/>
            <w:left w:val="none" w:sz="0" w:space="0" w:color="auto"/>
            <w:bottom w:val="none" w:sz="0" w:space="0" w:color="auto"/>
            <w:right w:val="none" w:sz="0" w:space="0" w:color="auto"/>
          </w:divBdr>
        </w:div>
        <w:div w:id="399904501">
          <w:marLeft w:val="480"/>
          <w:marRight w:val="0"/>
          <w:marTop w:val="0"/>
          <w:marBottom w:val="0"/>
          <w:divBdr>
            <w:top w:val="none" w:sz="0" w:space="0" w:color="auto"/>
            <w:left w:val="none" w:sz="0" w:space="0" w:color="auto"/>
            <w:bottom w:val="none" w:sz="0" w:space="0" w:color="auto"/>
            <w:right w:val="none" w:sz="0" w:space="0" w:color="auto"/>
          </w:divBdr>
        </w:div>
        <w:div w:id="1845777178">
          <w:marLeft w:val="480"/>
          <w:marRight w:val="0"/>
          <w:marTop w:val="0"/>
          <w:marBottom w:val="0"/>
          <w:divBdr>
            <w:top w:val="none" w:sz="0" w:space="0" w:color="auto"/>
            <w:left w:val="none" w:sz="0" w:space="0" w:color="auto"/>
            <w:bottom w:val="none" w:sz="0" w:space="0" w:color="auto"/>
            <w:right w:val="none" w:sz="0" w:space="0" w:color="auto"/>
          </w:divBdr>
        </w:div>
        <w:div w:id="402143311">
          <w:marLeft w:val="480"/>
          <w:marRight w:val="0"/>
          <w:marTop w:val="0"/>
          <w:marBottom w:val="0"/>
          <w:divBdr>
            <w:top w:val="none" w:sz="0" w:space="0" w:color="auto"/>
            <w:left w:val="none" w:sz="0" w:space="0" w:color="auto"/>
            <w:bottom w:val="none" w:sz="0" w:space="0" w:color="auto"/>
            <w:right w:val="none" w:sz="0" w:space="0" w:color="auto"/>
          </w:divBdr>
        </w:div>
        <w:div w:id="953026675">
          <w:marLeft w:val="480"/>
          <w:marRight w:val="0"/>
          <w:marTop w:val="0"/>
          <w:marBottom w:val="0"/>
          <w:divBdr>
            <w:top w:val="none" w:sz="0" w:space="0" w:color="auto"/>
            <w:left w:val="none" w:sz="0" w:space="0" w:color="auto"/>
            <w:bottom w:val="none" w:sz="0" w:space="0" w:color="auto"/>
            <w:right w:val="none" w:sz="0" w:space="0" w:color="auto"/>
          </w:divBdr>
        </w:div>
        <w:div w:id="1473909149">
          <w:marLeft w:val="480"/>
          <w:marRight w:val="0"/>
          <w:marTop w:val="0"/>
          <w:marBottom w:val="0"/>
          <w:divBdr>
            <w:top w:val="none" w:sz="0" w:space="0" w:color="auto"/>
            <w:left w:val="none" w:sz="0" w:space="0" w:color="auto"/>
            <w:bottom w:val="none" w:sz="0" w:space="0" w:color="auto"/>
            <w:right w:val="none" w:sz="0" w:space="0" w:color="auto"/>
          </w:divBdr>
        </w:div>
        <w:div w:id="1796946450">
          <w:marLeft w:val="480"/>
          <w:marRight w:val="0"/>
          <w:marTop w:val="0"/>
          <w:marBottom w:val="0"/>
          <w:divBdr>
            <w:top w:val="none" w:sz="0" w:space="0" w:color="auto"/>
            <w:left w:val="none" w:sz="0" w:space="0" w:color="auto"/>
            <w:bottom w:val="none" w:sz="0" w:space="0" w:color="auto"/>
            <w:right w:val="none" w:sz="0" w:space="0" w:color="auto"/>
          </w:divBdr>
        </w:div>
        <w:div w:id="764573062">
          <w:marLeft w:val="480"/>
          <w:marRight w:val="0"/>
          <w:marTop w:val="0"/>
          <w:marBottom w:val="0"/>
          <w:divBdr>
            <w:top w:val="none" w:sz="0" w:space="0" w:color="auto"/>
            <w:left w:val="none" w:sz="0" w:space="0" w:color="auto"/>
            <w:bottom w:val="none" w:sz="0" w:space="0" w:color="auto"/>
            <w:right w:val="none" w:sz="0" w:space="0" w:color="auto"/>
          </w:divBdr>
        </w:div>
        <w:div w:id="62877135">
          <w:marLeft w:val="480"/>
          <w:marRight w:val="0"/>
          <w:marTop w:val="0"/>
          <w:marBottom w:val="0"/>
          <w:divBdr>
            <w:top w:val="none" w:sz="0" w:space="0" w:color="auto"/>
            <w:left w:val="none" w:sz="0" w:space="0" w:color="auto"/>
            <w:bottom w:val="none" w:sz="0" w:space="0" w:color="auto"/>
            <w:right w:val="none" w:sz="0" w:space="0" w:color="auto"/>
          </w:divBdr>
        </w:div>
        <w:div w:id="1017194318">
          <w:marLeft w:val="480"/>
          <w:marRight w:val="0"/>
          <w:marTop w:val="0"/>
          <w:marBottom w:val="0"/>
          <w:divBdr>
            <w:top w:val="none" w:sz="0" w:space="0" w:color="auto"/>
            <w:left w:val="none" w:sz="0" w:space="0" w:color="auto"/>
            <w:bottom w:val="none" w:sz="0" w:space="0" w:color="auto"/>
            <w:right w:val="none" w:sz="0" w:space="0" w:color="auto"/>
          </w:divBdr>
        </w:div>
        <w:div w:id="1551188802">
          <w:marLeft w:val="480"/>
          <w:marRight w:val="0"/>
          <w:marTop w:val="0"/>
          <w:marBottom w:val="0"/>
          <w:divBdr>
            <w:top w:val="none" w:sz="0" w:space="0" w:color="auto"/>
            <w:left w:val="none" w:sz="0" w:space="0" w:color="auto"/>
            <w:bottom w:val="none" w:sz="0" w:space="0" w:color="auto"/>
            <w:right w:val="none" w:sz="0" w:space="0" w:color="auto"/>
          </w:divBdr>
        </w:div>
        <w:div w:id="1241332793">
          <w:marLeft w:val="480"/>
          <w:marRight w:val="0"/>
          <w:marTop w:val="0"/>
          <w:marBottom w:val="0"/>
          <w:divBdr>
            <w:top w:val="none" w:sz="0" w:space="0" w:color="auto"/>
            <w:left w:val="none" w:sz="0" w:space="0" w:color="auto"/>
            <w:bottom w:val="none" w:sz="0" w:space="0" w:color="auto"/>
            <w:right w:val="none" w:sz="0" w:space="0" w:color="auto"/>
          </w:divBdr>
        </w:div>
        <w:div w:id="1790078682">
          <w:marLeft w:val="480"/>
          <w:marRight w:val="0"/>
          <w:marTop w:val="0"/>
          <w:marBottom w:val="0"/>
          <w:divBdr>
            <w:top w:val="none" w:sz="0" w:space="0" w:color="auto"/>
            <w:left w:val="none" w:sz="0" w:space="0" w:color="auto"/>
            <w:bottom w:val="none" w:sz="0" w:space="0" w:color="auto"/>
            <w:right w:val="none" w:sz="0" w:space="0" w:color="auto"/>
          </w:divBdr>
        </w:div>
        <w:div w:id="1745033351">
          <w:marLeft w:val="480"/>
          <w:marRight w:val="0"/>
          <w:marTop w:val="0"/>
          <w:marBottom w:val="0"/>
          <w:divBdr>
            <w:top w:val="none" w:sz="0" w:space="0" w:color="auto"/>
            <w:left w:val="none" w:sz="0" w:space="0" w:color="auto"/>
            <w:bottom w:val="none" w:sz="0" w:space="0" w:color="auto"/>
            <w:right w:val="none" w:sz="0" w:space="0" w:color="auto"/>
          </w:divBdr>
        </w:div>
        <w:div w:id="75367811">
          <w:marLeft w:val="480"/>
          <w:marRight w:val="0"/>
          <w:marTop w:val="0"/>
          <w:marBottom w:val="0"/>
          <w:divBdr>
            <w:top w:val="none" w:sz="0" w:space="0" w:color="auto"/>
            <w:left w:val="none" w:sz="0" w:space="0" w:color="auto"/>
            <w:bottom w:val="none" w:sz="0" w:space="0" w:color="auto"/>
            <w:right w:val="none" w:sz="0" w:space="0" w:color="auto"/>
          </w:divBdr>
        </w:div>
        <w:div w:id="1893534599">
          <w:marLeft w:val="480"/>
          <w:marRight w:val="0"/>
          <w:marTop w:val="0"/>
          <w:marBottom w:val="0"/>
          <w:divBdr>
            <w:top w:val="none" w:sz="0" w:space="0" w:color="auto"/>
            <w:left w:val="none" w:sz="0" w:space="0" w:color="auto"/>
            <w:bottom w:val="none" w:sz="0" w:space="0" w:color="auto"/>
            <w:right w:val="none" w:sz="0" w:space="0" w:color="auto"/>
          </w:divBdr>
        </w:div>
        <w:div w:id="766577852">
          <w:marLeft w:val="480"/>
          <w:marRight w:val="0"/>
          <w:marTop w:val="0"/>
          <w:marBottom w:val="0"/>
          <w:divBdr>
            <w:top w:val="none" w:sz="0" w:space="0" w:color="auto"/>
            <w:left w:val="none" w:sz="0" w:space="0" w:color="auto"/>
            <w:bottom w:val="none" w:sz="0" w:space="0" w:color="auto"/>
            <w:right w:val="none" w:sz="0" w:space="0" w:color="auto"/>
          </w:divBdr>
        </w:div>
        <w:div w:id="1465465422">
          <w:marLeft w:val="480"/>
          <w:marRight w:val="0"/>
          <w:marTop w:val="0"/>
          <w:marBottom w:val="0"/>
          <w:divBdr>
            <w:top w:val="none" w:sz="0" w:space="0" w:color="auto"/>
            <w:left w:val="none" w:sz="0" w:space="0" w:color="auto"/>
            <w:bottom w:val="none" w:sz="0" w:space="0" w:color="auto"/>
            <w:right w:val="none" w:sz="0" w:space="0" w:color="auto"/>
          </w:divBdr>
        </w:div>
        <w:div w:id="1100104494">
          <w:marLeft w:val="480"/>
          <w:marRight w:val="0"/>
          <w:marTop w:val="0"/>
          <w:marBottom w:val="0"/>
          <w:divBdr>
            <w:top w:val="none" w:sz="0" w:space="0" w:color="auto"/>
            <w:left w:val="none" w:sz="0" w:space="0" w:color="auto"/>
            <w:bottom w:val="none" w:sz="0" w:space="0" w:color="auto"/>
            <w:right w:val="none" w:sz="0" w:space="0" w:color="auto"/>
          </w:divBdr>
        </w:div>
        <w:div w:id="1774861606">
          <w:marLeft w:val="480"/>
          <w:marRight w:val="0"/>
          <w:marTop w:val="0"/>
          <w:marBottom w:val="0"/>
          <w:divBdr>
            <w:top w:val="none" w:sz="0" w:space="0" w:color="auto"/>
            <w:left w:val="none" w:sz="0" w:space="0" w:color="auto"/>
            <w:bottom w:val="none" w:sz="0" w:space="0" w:color="auto"/>
            <w:right w:val="none" w:sz="0" w:space="0" w:color="auto"/>
          </w:divBdr>
        </w:div>
        <w:div w:id="438451764">
          <w:marLeft w:val="480"/>
          <w:marRight w:val="0"/>
          <w:marTop w:val="0"/>
          <w:marBottom w:val="0"/>
          <w:divBdr>
            <w:top w:val="none" w:sz="0" w:space="0" w:color="auto"/>
            <w:left w:val="none" w:sz="0" w:space="0" w:color="auto"/>
            <w:bottom w:val="none" w:sz="0" w:space="0" w:color="auto"/>
            <w:right w:val="none" w:sz="0" w:space="0" w:color="auto"/>
          </w:divBdr>
        </w:div>
        <w:div w:id="1394159538">
          <w:marLeft w:val="480"/>
          <w:marRight w:val="0"/>
          <w:marTop w:val="0"/>
          <w:marBottom w:val="0"/>
          <w:divBdr>
            <w:top w:val="none" w:sz="0" w:space="0" w:color="auto"/>
            <w:left w:val="none" w:sz="0" w:space="0" w:color="auto"/>
            <w:bottom w:val="none" w:sz="0" w:space="0" w:color="auto"/>
            <w:right w:val="none" w:sz="0" w:space="0" w:color="auto"/>
          </w:divBdr>
        </w:div>
        <w:div w:id="295374502">
          <w:marLeft w:val="480"/>
          <w:marRight w:val="0"/>
          <w:marTop w:val="0"/>
          <w:marBottom w:val="0"/>
          <w:divBdr>
            <w:top w:val="none" w:sz="0" w:space="0" w:color="auto"/>
            <w:left w:val="none" w:sz="0" w:space="0" w:color="auto"/>
            <w:bottom w:val="none" w:sz="0" w:space="0" w:color="auto"/>
            <w:right w:val="none" w:sz="0" w:space="0" w:color="auto"/>
          </w:divBdr>
        </w:div>
        <w:div w:id="1942834683">
          <w:marLeft w:val="480"/>
          <w:marRight w:val="0"/>
          <w:marTop w:val="0"/>
          <w:marBottom w:val="0"/>
          <w:divBdr>
            <w:top w:val="none" w:sz="0" w:space="0" w:color="auto"/>
            <w:left w:val="none" w:sz="0" w:space="0" w:color="auto"/>
            <w:bottom w:val="none" w:sz="0" w:space="0" w:color="auto"/>
            <w:right w:val="none" w:sz="0" w:space="0" w:color="auto"/>
          </w:divBdr>
        </w:div>
        <w:div w:id="1688755191">
          <w:marLeft w:val="480"/>
          <w:marRight w:val="0"/>
          <w:marTop w:val="0"/>
          <w:marBottom w:val="0"/>
          <w:divBdr>
            <w:top w:val="none" w:sz="0" w:space="0" w:color="auto"/>
            <w:left w:val="none" w:sz="0" w:space="0" w:color="auto"/>
            <w:bottom w:val="none" w:sz="0" w:space="0" w:color="auto"/>
            <w:right w:val="none" w:sz="0" w:space="0" w:color="auto"/>
          </w:divBdr>
        </w:div>
        <w:div w:id="1560092679">
          <w:marLeft w:val="480"/>
          <w:marRight w:val="0"/>
          <w:marTop w:val="0"/>
          <w:marBottom w:val="0"/>
          <w:divBdr>
            <w:top w:val="none" w:sz="0" w:space="0" w:color="auto"/>
            <w:left w:val="none" w:sz="0" w:space="0" w:color="auto"/>
            <w:bottom w:val="none" w:sz="0" w:space="0" w:color="auto"/>
            <w:right w:val="none" w:sz="0" w:space="0" w:color="auto"/>
          </w:divBdr>
        </w:div>
        <w:div w:id="2001882765">
          <w:marLeft w:val="480"/>
          <w:marRight w:val="0"/>
          <w:marTop w:val="0"/>
          <w:marBottom w:val="0"/>
          <w:divBdr>
            <w:top w:val="none" w:sz="0" w:space="0" w:color="auto"/>
            <w:left w:val="none" w:sz="0" w:space="0" w:color="auto"/>
            <w:bottom w:val="none" w:sz="0" w:space="0" w:color="auto"/>
            <w:right w:val="none" w:sz="0" w:space="0" w:color="auto"/>
          </w:divBdr>
        </w:div>
        <w:div w:id="871958233">
          <w:marLeft w:val="480"/>
          <w:marRight w:val="0"/>
          <w:marTop w:val="0"/>
          <w:marBottom w:val="0"/>
          <w:divBdr>
            <w:top w:val="none" w:sz="0" w:space="0" w:color="auto"/>
            <w:left w:val="none" w:sz="0" w:space="0" w:color="auto"/>
            <w:bottom w:val="none" w:sz="0" w:space="0" w:color="auto"/>
            <w:right w:val="none" w:sz="0" w:space="0" w:color="auto"/>
          </w:divBdr>
        </w:div>
        <w:div w:id="1023702082">
          <w:marLeft w:val="480"/>
          <w:marRight w:val="0"/>
          <w:marTop w:val="0"/>
          <w:marBottom w:val="0"/>
          <w:divBdr>
            <w:top w:val="none" w:sz="0" w:space="0" w:color="auto"/>
            <w:left w:val="none" w:sz="0" w:space="0" w:color="auto"/>
            <w:bottom w:val="none" w:sz="0" w:space="0" w:color="auto"/>
            <w:right w:val="none" w:sz="0" w:space="0" w:color="auto"/>
          </w:divBdr>
        </w:div>
        <w:div w:id="164590948">
          <w:marLeft w:val="480"/>
          <w:marRight w:val="0"/>
          <w:marTop w:val="0"/>
          <w:marBottom w:val="0"/>
          <w:divBdr>
            <w:top w:val="none" w:sz="0" w:space="0" w:color="auto"/>
            <w:left w:val="none" w:sz="0" w:space="0" w:color="auto"/>
            <w:bottom w:val="none" w:sz="0" w:space="0" w:color="auto"/>
            <w:right w:val="none" w:sz="0" w:space="0" w:color="auto"/>
          </w:divBdr>
        </w:div>
        <w:div w:id="2138141888">
          <w:marLeft w:val="480"/>
          <w:marRight w:val="0"/>
          <w:marTop w:val="0"/>
          <w:marBottom w:val="0"/>
          <w:divBdr>
            <w:top w:val="none" w:sz="0" w:space="0" w:color="auto"/>
            <w:left w:val="none" w:sz="0" w:space="0" w:color="auto"/>
            <w:bottom w:val="none" w:sz="0" w:space="0" w:color="auto"/>
            <w:right w:val="none" w:sz="0" w:space="0" w:color="auto"/>
          </w:divBdr>
        </w:div>
        <w:div w:id="201944091">
          <w:marLeft w:val="480"/>
          <w:marRight w:val="0"/>
          <w:marTop w:val="0"/>
          <w:marBottom w:val="0"/>
          <w:divBdr>
            <w:top w:val="none" w:sz="0" w:space="0" w:color="auto"/>
            <w:left w:val="none" w:sz="0" w:space="0" w:color="auto"/>
            <w:bottom w:val="none" w:sz="0" w:space="0" w:color="auto"/>
            <w:right w:val="none" w:sz="0" w:space="0" w:color="auto"/>
          </w:divBdr>
        </w:div>
        <w:div w:id="1248343901">
          <w:marLeft w:val="480"/>
          <w:marRight w:val="0"/>
          <w:marTop w:val="0"/>
          <w:marBottom w:val="0"/>
          <w:divBdr>
            <w:top w:val="none" w:sz="0" w:space="0" w:color="auto"/>
            <w:left w:val="none" w:sz="0" w:space="0" w:color="auto"/>
            <w:bottom w:val="none" w:sz="0" w:space="0" w:color="auto"/>
            <w:right w:val="none" w:sz="0" w:space="0" w:color="auto"/>
          </w:divBdr>
        </w:div>
        <w:div w:id="1409763907">
          <w:marLeft w:val="480"/>
          <w:marRight w:val="0"/>
          <w:marTop w:val="0"/>
          <w:marBottom w:val="0"/>
          <w:divBdr>
            <w:top w:val="none" w:sz="0" w:space="0" w:color="auto"/>
            <w:left w:val="none" w:sz="0" w:space="0" w:color="auto"/>
            <w:bottom w:val="none" w:sz="0" w:space="0" w:color="auto"/>
            <w:right w:val="none" w:sz="0" w:space="0" w:color="auto"/>
          </w:divBdr>
        </w:div>
        <w:div w:id="1835492977">
          <w:marLeft w:val="480"/>
          <w:marRight w:val="0"/>
          <w:marTop w:val="0"/>
          <w:marBottom w:val="0"/>
          <w:divBdr>
            <w:top w:val="none" w:sz="0" w:space="0" w:color="auto"/>
            <w:left w:val="none" w:sz="0" w:space="0" w:color="auto"/>
            <w:bottom w:val="none" w:sz="0" w:space="0" w:color="auto"/>
            <w:right w:val="none" w:sz="0" w:space="0" w:color="auto"/>
          </w:divBdr>
        </w:div>
        <w:div w:id="1031418893">
          <w:marLeft w:val="480"/>
          <w:marRight w:val="0"/>
          <w:marTop w:val="0"/>
          <w:marBottom w:val="0"/>
          <w:divBdr>
            <w:top w:val="none" w:sz="0" w:space="0" w:color="auto"/>
            <w:left w:val="none" w:sz="0" w:space="0" w:color="auto"/>
            <w:bottom w:val="none" w:sz="0" w:space="0" w:color="auto"/>
            <w:right w:val="none" w:sz="0" w:space="0" w:color="auto"/>
          </w:divBdr>
        </w:div>
        <w:div w:id="689989754">
          <w:marLeft w:val="480"/>
          <w:marRight w:val="0"/>
          <w:marTop w:val="0"/>
          <w:marBottom w:val="0"/>
          <w:divBdr>
            <w:top w:val="none" w:sz="0" w:space="0" w:color="auto"/>
            <w:left w:val="none" w:sz="0" w:space="0" w:color="auto"/>
            <w:bottom w:val="none" w:sz="0" w:space="0" w:color="auto"/>
            <w:right w:val="none" w:sz="0" w:space="0" w:color="auto"/>
          </w:divBdr>
        </w:div>
        <w:div w:id="1959484940">
          <w:marLeft w:val="480"/>
          <w:marRight w:val="0"/>
          <w:marTop w:val="0"/>
          <w:marBottom w:val="0"/>
          <w:divBdr>
            <w:top w:val="none" w:sz="0" w:space="0" w:color="auto"/>
            <w:left w:val="none" w:sz="0" w:space="0" w:color="auto"/>
            <w:bottom w:val="none" w:sz="0" w:space="0" w:color="auto"/>
            <w:right w:val="none" w:sz="0" w:space="0" w:color="auto"/>
          </w:divBdr>
        </w:div>
        <w:div w:id="1221819507">
          <w:marLeft w:val="480"/>
          <w:marRight w:val="0"/>
          <w:marTop w:val="0"/>
          <w:marBottom w:val="0"/>
          <w:divBdr>
            <w:top w:val="none" w:sz="0" w:space="0" w:color="auto"/>
            <w:left w:val="none" w:sz="0" w:space="0" w:color="auto"/>
            <w:bottom w:val="none" w:sz="0" w:space="0" w:color="auto"/>
            <w:right w:val="none" w:sz="0" w:space="0" w:color="auto"/>
          </w:divBdr>
        </w:div>
        <w:div w:id="562176640">
          <w:marLeft w:val="480"/>
          <w:marRight w:val="0"/>
          <w:marTop w:val="0"/>
          <w:marBottom w:val="0"/>
          <w:divBdr>
            <w:top w:val="none" w:sz="0" w:space="0" w:color="auto"/>
            <w:left w:val="none" w:sz="0" w:space="0" w:color="auto"/>
            <w:bottom w:val="none" w:sz="0" w:space="0" w:color="auto"/>
            <w:right w:val="none" w:sz="0" w:space="0" w:color="auto"/>
          </w:divBdr>
        </w:div>
        <w:div w:id="1001005354">
          <w:marLeft w:val="480"/>
          <w:marRight w:val="0"/>
          <w:marTop w:val="0"/>
          <w:marBottom w:val="0"/>
          <w:divBdr>
            <w:top w:val="none" w:sz="0" w:space="0" w:color="auto"/>
            <w:left w:val="none" w:sz="0" w:space="0" w:color="auto"/>
            <w:bottom w:val="none" w:sz="0" w:space="0" w:color="auto"/>
            <w:right w:val="none" w:sz="0" w:space="0" w:color="auto"/>
          </w:divBdr>
        </w:div>
        <w:div w:id="95289792">
          <w:marLeft w:val="480"/>
          <w:marRight w:val="0"/>
          <w:marTop w:val="0"/>
          <w:marBottom w:val="0"/>
          <w:divBdr>
            <w:top w:val="none" w:sz="0" w:space="0" w:color="auto"/>
            <w:left w:val="none" w:sz="0" w:space="0" w:color="auto"/>
            <w:bottom w:val="none" w:sz="0" w:space="0" w:color="auto"/>
            <w:right w:val="none" w:sz="0" w:space="0" w:color="auto"/>
          </w:divBdr>
        </w:div>
        <w:div w:id="1545364978">
          <w:marLeft w:val="480"/>
          <w:marRight w:val="0"/>
          <w:marTop w:val="0"/>
          <w:marBottom w:val="0"/>
          <w:divBdr>
            <w:top w:val="none" w:sz="0" w:space="0" w:color="auto"/>
            <w:left w:val="none" w:sz="0" w:space="0" w:color="auto"/>
            <w:bottom w:val="none" w:sz="0" w:space="0" w:color="auto"/>
            <w:right w:val="none" w:sz="0" w:space="0" w:color="auto"/>
          </w:divBdr>
        </w:div>
        <w:div w:id="1752386124">
          <w:marLeft w:val="480"/>
          <w:marRight w:val="0"/>
          <w:marTop w:val="0"/>
          <w:marBottom w:val="0"/>
          <w:divBdr>
            <w:top w:val="none" w:sz="0" w:space="0" w:color="auto"/>
            <w:left w:val="none" w:sz="0" w:space="0" w:color="auto"/>
            <w:bottom w:val="none" w:sz="0" w:space="0" w:color="auto"/>
            <w:right w:val="none" w:sz="0" w:space="0" w:color="auto"/>
          </w:divBdr>
        </w:div>
        <w:div w:id="517236065">
          <w:marLeft w:val="480"/>
          <w:marRight w:val="0"/>
          <w:marTop w:val="0"/>
          <w:marBottom w:val="0"/>
          <w:divBdr>
            <w:top w:val="none" w:sz="0" w:space="0" w:color="auto"/>
            <w:left w:val="none" w:sz="0" w:space="0" w:color="auto"/>
            <w:bottom w:val="none" w:sz="0" w:space="0" w:color="auto"/>
            <w:right w:val="none" w:sz="0" w:space="0" w:color="auto"/>
          </w:divBdr>
        </w:div>
        <w:div w:id="2100248052">
          <w:marLeft w:val="480"/>
          <w:marRight w:val="0"/>
          <w:marTop w:val="0"/>
          <w:marBottom w:val="0"/>
          <w:divBdr>
            <w:top w:val="none" w:sz="0" w:space="0" w:color="auto"/>
            <w:left w:val="none" w:sz="0" w:space="0" w:color="auto"/>
            <w:bottom w:val="none" w:sz="0" w:space="0" w:color="auto"/>
            <w:right w:val="none" w:sz="0" w:space="0" w:color="auto"/>
          </w:divBdr>
        </w:div>
        <w:div w:id="192038177">
          <w:marLeft w:val="480"/>
          <w:marRight w:val="0"/>
          <w:marTop w:val="0"/>
          <w:marBottom w:val="0"/>
          <w:divBdr>
            <w:top w:val="none" w:sz="0" w:space="0" w:color="auto"/>
            <w:left w:val="none" w:sz="0" w:space="0" w:color="auto"/>
            <w:bottom w:val="none" w:sz="0" w:space="0" w:color="auto"/>
            <w:right w:val="none" w:sz="0" w:space="0" w:color="auto"/>
          </w:divBdr>
        </w:div>
        <w:div w:id="1757479862">
          <w:marLeft w:val="480"/>
          <w:marRight w:val="0"/>
          <w:marTop w:val="0"/>
          <w:marBottom w:val="0"/>
          <w:divBdr>
            <w:top w:val="none" w:sz="0" w:space="0" w:color="auto"/>
            <w:left w:val="none" w:sz="0" w:space="0" w:color="auto"/>
            <w:bottom w:val="none" w:sz="0" w:space="0" w:color="auto"/>
            <w:right w:val="none" w:sz="0" w:space="0" w:color="auto"/>
          </w:divBdr>
        </w:div>
        <w:div w:id="679430877">
          <w:marLeft w:val="480"/>
          <w:marRight w:val="0"/>
          <w:marTop w:val="0"/>
          <w:marBottom w:val="0"/>
          <w:divBdr>
            <w:top w:val="none" w:sz="0" w:space="0" w:color="auto"/>
            <w:left w:val="none" w:sz="0" w:space="0" w:color="auto"/>
            <w:bottom w:val="none" w:sz="0" w:space="0" w:color="auto"/>
            <w:right w:val="none" w:sz="0" w:space="0" w:color="auto"/>
          </w:divBdr>
        </w:div>
        <w:div w:id="1475558238">
          <w:marLeft w:val="480"/>
          <w:marRight w:val="0"/>
          <w:marTop w:val="0"/>
          <w:marBottom w:val="0"/>
          <w:divBdr>
            <w:top w:val="none" w:sz="0" w:space="0" w:color="auto"/>
            <w:left w:val="none" w:sz="0" w:space="0" w:color="auto"/>
            <w:bottom w:val="none" w:sz="0" w:space="0" w:color="auto"/>
            <w:right w:val="none" w:sz="0" w:space="0" w:color="auto"/>
          </w:divBdr>
        </w:div>
        <w:div w:id="1191794539">
          <w:marLeft w:val="480"/>
          <w:marRight w:val="0"/>
          <w:marTop w:val="0"/>
          <w:marBottom w:val="0"/>
          <w:divBdr>
            <w:top w:val="none" w:sz="0" w:space="0" w:color="auto"/>
            <w:left w:val="none" w:sz="0" w:space="0" w:color="auto"/>
            <w:bottom w:val="none" w:sz="0" w:space="0" w:color="auto"/>
            <w:right w:val="none" w:sz="0" w:space="0" w:color="auto"/>
          </w:divBdr>
        </w:div>
        <w:div w:id="345248531">
          <w:marLeft w:val="480"/>
          <w:marRight w:val="0"/>
          <w:marTop w:val="0"/>
          <w:marBottom w:val="0"/>
          <w:divBdr>
            <w:top w:val="none" w:sz="0" w:space="0" w:color="auto"/>
            <w:left w:val="none" w:sz="0" w:space="0" w:color="auto"/>
            <w:bottom w:val="none" w:sz="0" w:space="0" w:color="auto"/>
            <w:right w:val="none" w:sz="0" w:space="0" w:color="auto"/>
          </w:divBdr>
        </w:div>
        <w:div w:id="96557567">
          <w:marLeft w:val="480"/>
          <w:marRight w:val="0"/>
          <w:marTop w:val="0"/>
          <w:marBottom w:val="0"/>
          <w:divBdr>
            <w:top w:val="none" w:sz="0" w:space="0" w:color="auto"/>
            <w:left w:val="none" w:sz="0" w:space="0" w:color="auto"/>
            <w:bottom w:val="none" w:sz="0" w:space="0" w:color="auto"/>
            <w:right w:val="none" w:sz="0" w:space="0" w:color="auto"/>
          </w:divBdr>
        </w:div>
        <w:div w:id="6292742">
          <w:marLeft w:val="480"/>
          <w:marRight w:val="0"/>
          <w:marTop w:val="0"/>
          <w:marBottom w:val="0"/>
          <w:divBdr>
            <w:top w:val="none" w:sz="0" w:space="0" w:color="auto"/>
            <w:left w:val="none" w:sz="0" w:space="0" w:color="auto"/>
            <w:bottom w:val="none" w:sz="0" w:space="0" w:color="auto"/>
            <w:right w:val="none" w:sz="0" w:space="0" w:color="auto"/>
          </w:divBdr>
        </w:div>
        <w:div w:id="2074348065">
          <w:marLeft w:val="480"/>
          <w:marRight w:val="0"/>
          <w:marTop w:val="0"/>
          <w:marBottom w:val="0"/>
          <w:divBdr>
            <w:top w:val="none" w:sz="0" w:space="0" w:color="auto"/>
            <w:left w:val="none" w:sz="0" w:space="0" w:color="auto"/>
            <w:bottom w:val="none" w:sz="0" w:space="0" w:color="auto"/>
            <w:right w:val="none" w:sz="0" w:space="0" w:color="auto"/>
          </w:divBdr>
        </w:div>
        <w:div w:id="427388533">
          <w:marLeft w:val="480"/>
          <w:marRight w:val="0"/>
          <w:marTop w:val="0"/>
          <w:marBottom w:val="0"/>
          <w:divBdr>
            <w:top w:val="none" w:sz="0" w:space="0" w:color="auto"/>
            <w:left w:val="none" w:sz="0" w:space="0" w:color="auto"/>
            <w:bottom w:val="none" w:sz="0" w:space="0" w:color="auto"/>
            <w:right w:val="none" w:sz="0" w:space="0" w:color="auto"/>
          </w:divBdr>
        </w:div>
        <w:div w:id="1324771371">
          <w:marLeft w:val="480"/>
          <w:marRight w:val="0"/>
          <w:marTop w:val="0"/>
          <w:marBottom w:val="0"/>
          <w:divBdr>
            <w:top w:val="none" w:sz="0" w:space="0" w:color="auto"/>
            <w:left w:val="none" w:sz="0" w:space="0" w:color="auto"/>
            <w:bottom w:val="none" w:sz="0" w:space="0" w:color="auto"/>
            <w:right w:val="none" w:sz="0" w:space="0" w:color="auto"/>
          </w:divBdr>
        </w:div>
        <w:div w:id="1287006399">
          <w:marLeft w:val="480"/>
          <w:marRight w:val="0"/>
          <w:marTop w:val="0"/>
          <w:marBottom w:val="0"/>
          <w:divBdr>
            <w:top w:val="none" w:sz="0" w:space="0" w:color="auto"/>
            <w:left w:val="none" w:sz="0" w:space="0" w:color="auto"/>
            <w:bottom w:val="none" w:sz="0" w:space="0" w:color="auto"/>
            <w:right w:val="none" w:sz="0" w:space="0" w:color="auto"/>
          </w:divBdr>
        </w:div>
        <w:div w:id="92554978">
          <w:marLeft w:val="480"/>
          <w:marRight w:val="0"/>
          <w:marTop w:val="0"/>
          <w:marBottom w:val="0"/>
          <w:divBdr>
            <w:top w:val="none" w:sz="0" w:space="0" w:color="auto"/>
            <w:left w:val="none" w:sz="0" w:space="0" w:color="auto"/>
            <w:bottom w:val="none" w:sz="0" w:space="0" w:color="auto"/>
            <w:right w:val="none" w:sz="0" w:space="0" w:color="auto"/>
          </w:divBdr>
        </w:div>
        <w:div w:id="869873621">
          <w:marLeft w:val="480"/>
          <w:marRight w:val="0"/>
          <w:marTop w:val="0"/>
          <w:marBottom w:val="0"/>
          <w:divBdr>
            <w:top w:val="none" w:sz="0" w:space="0" w:color="auto"/>
            <w:left w:val="none" w:sz="0" w:space="0" w:color="auto"/>
            <w:bottom w:val="none" w:sz="0" w:space="0" w:color="auto"/>
            <w:right w:val="none" w:sz="0" w:space="0" w:color="auto"/>
          </w:divBdr>
        </w:div>
        <w:div w:id="957880107">
          <w:marLeft w:val="480"/>
          <w:marRight w:val="0"/>
          <w:marTop w:val="0"/>
          <w:marBottom w:val="0"/>
          <w:divBdr>
            <w:top w:val="none" w:sz="0" w:space="0" w:color="auto"/>
            <w:left w:val="none" w:sz="0" w:space="0" w:color="auto"/>
            <w:bottom w:val="none" w:sz="0" w:space="0" w:color="auto"/>
            <w:right w:val="none" w:sz="0" w:space="0" w:color="auto"/>
          </w:divBdr>
        </w:div>
        <w:div w:id="1520388497">
          <w:marLeft w:val="480"/>
          <w:marRight w:val="0"/>
          <w:marTop w:val="0"/>
          <w:marBottom w:val="0"/>
          <w:divBdr>
            <w:top w:val="none" w:sz="0" w:space="0" w:color="auto"/>
            <w:left w:val="none" w:sz="0" w:space="0" w:color="auto"/>
            <w:bottom w:val="none" w:sz="0" w:space="0" w:color="auto"/>
            <w:right w:val="none" w:sz="0" w:space="0" w:color="auto"/>
          </w:divBdr>
        </w:div>
        <w:div w:id="268515906">
          <w:marLeft w:val="480"/>
          <w:marRight w:val="0"/>
          <w:marTop w:val="0"/>
          <w:marBottom w:val="0"/>
          <w:divBdr>
            <w:top w:val="none" w:sz="0" w:space="0" w:color="auto"/>
            <w:left w:val="none" w:sz="0" w:space="0" w:color="auto"/>
            <w:bottom w:val="none" w:sz="0" w:space="0" w:color="auto"/>
            <w:right w:val="none" w:sz="0" w:space="0" w:color="auto"/>
          </w:divBdr>
        </w:div>
        <w:div w:id="1173103251">
          <w:marLeft w:val="480"/>
          <w:marRight w:val="0"/>
          <w:marTop w:val="0"/>
          <w:marBottom w:val="0"/>
          <w:divBdr>
            <w:top w:val="none" w:sz="0" w:space="0" w:color="auto"/>
            <w:left w:val="none" w:sz="0" w:space="0" w:color="auto"/>
            <w:bottom w:val="none" w:sz="0" w:space="0" w:color="auto"/>
            <w:right w:val="none" w:sz="0" w:space="0" w:color="auto"/>
          </w:divBdr>
        </w:div>
        <w:div w:id="660164194">
          <w:marLeft w:val="480"/>
          <w:marRight w:val="0"/>
          <w:marTop w:val="0"/>
          <w:marBottom w:val="0"/>
          <w:divBdr>
            <w:top w:val="none" w:sz="0" w:space="0" w:color="auto"/>
            <w:left w:val="none" w:sz="0" w:space="0" w:color="auto"/>
            <w:bottom w:val="none" w:sz="0" w:space="0" w:color="auto"/>
            <w:right w:val="none" w:sz="0" w:space="0" w:color="auto"/>
          </w:divBdr>
        </w:div>
        <w:div w:id="1087922319">
          <w:marLeft w:val="480"/>
          <w:marRight w:val="0"/>
          <w:marTop w:val="0"/>
          <w:marBottom w:val="0"/>
          <w:divBdr>
            <w:top w:val="none" w:sz="0" w:space="0" w:color="auto"/>
            <w:left w:val="none" w:sz="0" w:space="0" w:color="auto"/>
            <w:bottom w:val="none" w:sz="0" w:space="0" w:color="auto"/>
            <w:right w:val="none" w:sz="0" w:space="0" w:color="auto"/>
          </w:divBdr>
        </w:div>
        <w:div w:id="805469039">
          <w:marLeft w:val="480"/>
          <w:marRight w:val="0"/>
          <w:marTop w:val="0"/>
          <w:marBottom w:val="0"/>
          <w:divBdr>
            <w:top w:val="none" w:sz="0" w:space="0" w:color="auto"/>
            <w:left w:val="none" w:sz="0" w:space="0" w:color="auto"/>
            <w:bottom w:val="none" w:sz="0" w:space="0" w:color="auto"/>
            <w:right w:val="none" w:sz="0" w:space="0" w:color="auto"/>
          </w:divBdr>
        </w:div>
        <w:div w:id="90783617">
          <w:marLeft w:val="480"/>
          <w:marRight w:val="0"/>
          <w:marTop w:val="0"/>
          <w:marBottom w:val="0"/>
          <w:divBdr>
            <w:top w:val="none" w:sz="0" w:space="0" w:color="auto"/>
            <w:left w:val="none" w:sz="0" w:space="0" w:color="auto"/>
            <w:bottom w:val="none" w:sz="0" w:space="0" w:color="auto"/>
            <w:right w:val="none" w:sz="0" w:space="0" w:color="auto"/>
          </w:divBdr>
        </w:div>
        <w:div w:id="1167358675">
          <w:marLeft w:val="480"/>
          <w:marRight w:val="0"/>
          <w:marTop w:val="0"/>
          <w:marBottom w:val="0"/>
          <w:divBdr>
            <w:top w:val="none" w:sz="0" w:space="0" w:color="auto"/>
            <w:left w:val="none" w:sz="0" w:space="0" w:color="auto"/>
            <w:bottom w:val="none" w:sz="0" w:space="0" w:color="auto"/>
            <w:right w:val="none" w:sz="0" w:space="0" w:color="auto"/>
          </w:divBdr>
        </w:div>
        <w:div w:id="822084304">
          <w:marLeft w:val="480"/>
          <w:marRight w:val="0"/>
          <w:marTop w:val="0"/>
          <w:marBottom w:val="0"/>
          <w:divBdr>
            <w:top w:val="none" w:sz="0" w:space="0" w:color="auto"/>
            <w:left w:val="none" w:sz="0" w:space="0" w:color="auto"/>
            <w:bottom w:val="none" w:sz="0" w:space="0" w:color="auto"/>
            <w:right w:val="none" w:sz="0" w:space="0" w:color="auto"/>
          </w:divBdr>
        </w:div>
        <w:div w:id="1722050154">
          <w:marLeft w:val="480"/>
          <w:marRight w:val="0"/>
          <w:marTop w:val="0"/>
          <w:marBottom w:val="0"/>
          <w:divBdr>
            <w:top w:val="none" w:sz="0" w:space="0" w:color="auto"/>
            <w:left w:val="none" w:sz="0" w:space="0" w:color="auto"/>
            <w:bottom w:val="none" w:sz="0" w:space="0" w:color="auto"/>
            <w:right w:val="none" w:sz="0" w:space="0" w:color="auto"/>
          </w:divBdr>
        </w:div>
        <w:div w:id="1661733654">
          <w:marLeft w:val="480"/>
          <w:marRight w:val="0"/>
          <w:marTop w:val="0"/>
          <w:marBottom w:val="0"/>
          <w:divBdr>
            <w:top w:val="none" w:sz="0" w:space="0" w:color="auto"/>
            <w:left w:val="none" w:sz="0" w:space="0" w:color="auto"/>
            <w:bottom w:val="none" w:sz="0" w:space="0" w:color="auto"/>
            <w:right w:val="none" w:sz="0" w:space="0" w:color="auto"/>
          </w:divBdr>
        </w:div>
        <w:div w:id="1099905761">
          <w:marLeft w:val="480"/>
          <w:marRight w:val="0"/>
          <w:marTop w:val="0"/>
          <w:marBottom w:val="0"/>
          <w:divBdr>
            <w:top w:val="none" w:sz="0" w:space="0" w:color="auto"/>
            <w:left w:val="none" w:sz="0" w:space="0" w:color="auto"/>
            <w:bottom w:val="none" w:sz="0" w:space="0" w:color="auto"/>
            <w:right w:val="none" w:sz="0" w:space="0" w:color="auto"/>
          </w:divBdr>
        </w:div>
        <w:div w:id="657340853">
          <w:marLeft w:val="480"/>
          <w:marRight w:val="0"/>
          <w:marTop w:val="0"/>
          <w:marBottom w:val="0"/>
          <w:divBdr>
            <w:top w:val="none" w:sz="0" w:space="0" w:color="auto"/>
            <w:left w:val="none" w:sz="0" w:space="0" w:color="auto"/>
            <w:bottom w:val="none" w:sz="0" w:space="0" w:color="auto"/>
            <w:right w:val="none" w:sz="0" w:space="0" w:color="auto"/>
          </w:divBdr>
        </w:div>
        <w:div w:id="1564221494">
          <w:marLeft w:val="480"/>
          <w:marRight w:val="0"/>
          <w:marTop w:val="0"/>
          <w:marBottom w:val="0"/>
          <w:divBdr>
            <w:top w:val="none" w:sz="0" w:space="0" w:color="auto"/>
            <w:left w:val="none" w:sz="0" w:space="0" w:color="auto"/>
            <w:bottom w:val="none" w:sz="0" w:space="0" w:color="auto"/>
            <w:right w:val="none" w:sz="0" w:space="0" w:color="auto"/>
          </w:divBdr>
        </w:div>
        <w:div w:id="1549756154">
          <w:marLeft w:val="480"/>
          <w:marRight w:val="0"/>
          <w:marTop w:val="0"/>
          <w:marBottom w:val="0"/>
          <w:divBdr>
            <w:top w:val="none" w:sz="0" w:space="0" w:color="auto"/>
            <w:left w:val="none" w:sz="0" w:space="0" w:color="auto"/>
            <w:bottom w:val="none" w:sz="0" w:space="0" w:color="auto"/>
            <w:right w:val="none" w:sz="0" w:space="0" w:color="auto"/>
          </w:divBdr>
        </w:div>
        <w:div w:id="1461221709">
          <w:marLeft w:val="480"/>
          <w:marRight w:val="0"/>
          <w:marTop w:val="0"/>
          <w:marBottom w:val="0"/>
          <w:divBdr>
            <w:top w:val="none" w:sz="0" w:space="0" w:color="auto"/>
            <w:left w:val="none" w:sz="0" w:space="0" w:color="auto"/>
            <w:bottom w:val="none" w:sz="0" w:space="0" w:color="auto"/>
            <w:right w:val="none" w:sz="0" w:space="0" w:color="auto"/>
          </w:divBdr>
        </w:div>
        <w:div w:id="114952640">
          <w:marLeft w:val="480"/>
          <w:marRight w:val="0"/>
          <w:marTop w:val="0"/>
          <w:marBottom w:val="0"/>
          <w:divBdr>
            <w:top w:val="none" w:sz="0" w:space="0" w:color="auto"/>
            <w:left w:val="none" w:sz="0" w:space="0" w:color="auto"/>
            <w:bottom w:val="none" w:sz="0" w:space="0" w:color="auto"/>
            <w:right w:val="none" w:sz="0" w:space="0" w:color="auto"/>
          </w:divBdr>
        </w:div>
        <w:div w:id="1473058331">
          <w:marLeft w:val="480"/>
          <w:marRight w:val="0"/>
          <w:marTop w:val="0"/>
          <w:marBottom w:val="0"/>
          <w:divBdr>
            <w:top w:val="none" w:sz="0" w:space="0" w:color="auto"/>
            <w:left w:val="none" w:sz="0" w:space="0" w:color="auto"/>
            <w:bottom w:val="none" w:sz="0" w:space="0" w:color="auto"/>
            <w:right w:val="none" w:sz="0" w:space="0" w:color="auto"/>
          </w:divBdr>
        </w:div>
        <w:div w:id="1954163672">
          <w:marLeft w:val="480"/>
          <w:marRight w:val="0"/>
          <w:marTop w:val="0"/>
          <w:marBottom w:val="0"/>
          <w:divBdr>
            <w:top w:val="none" w:sz="0" w:space="0" w:color="auto"/>
            <w:left w:val="none" w:sz="0" w:space="0" w:color="auto"/>
            <w:bottom w:val="none" w:sz="0" w:space="0" w:color="auto"/>
            <w:right w:val="none" w:sz="0" w:space="0" w:color="auto"/>
          </w:divBdr>
        </w:div>
        <w:div w:id="770055101">
          <w:marLeft w:val="480"/>
          <w:marRight w:val="0"/>
          <w:marTop w:val="0"/>
          <w:marBottom w:val="0"/>
          <w:divBdr>
            <w:top w:val="none" w:sz="0" w:space="0" w:color="auto"/>
            <w:left w:val="none" w:sz="0" w:space="0" w:color="auto"/>
            <w:bottom w:val="none" w:sz="0" w:space="0" w:color="auto"/>
            <w:right w:val="none" w:sz="0" w:space="0" w:color="auto"/>
          </w:divBdr>
        </w:div>
        <w:div w:id="1127967570">
          <w:marLeft w:val="480"/>
          <w:marRight w:val="0"/>
          <w:marTop w:val="0"/>
          <w:marBottom w:val="0"/>
          <w:divBdr>
            <w:top w:val="none" w:sz="0" w:space="0" w:color="auto"/>
            <w:left w:val="none" w:sz="0" w:space="0" w:color="auto"/>
            <w:bottom w:val="none" w:sz="0" w:space="0" w:color="auto"/>
            <w:right w:val="none" w:sz="0" w:space="0" w:color="auto"/>
          </w:divBdr>
        </w:div>
        <w:div w:id="1241527050">
          <w:marLeft w:val="480"/>
          <w:marRight w:val="0"/>
          <w:marTop w:val="0"/>
          <w:marBottom w:val="0"/>
          <w:divBdr>
            <w:top w:val="none" w:sz="0" w:space="0" w:color="auto"/>
            <w:left w:val="none" w:sz="0" w:space="0" w:color="auto"/>
            <w:bottom w:val="none" w:sz="0" w:space="0" w:color="auto"/>
            <w:right w:val="none" w:sz="0" w:space="0" w:color="auto"/>
          </w:divBdr>
        </w:div>
        <w:div w:id="1099908166">
          <w:marLeft w:val="480"/>
          <w:marRight w:val="0"/>
          <w:marTop w:val="0"/>
          <w:marBottom w:val="0"/>
          <w:divBdr>
            <w:top w:val="none" w:sz="0" w:space="0" w:color="auto"/>
            <w:left w:val="none" w:sz="0" w:space="0" w:color="auto"/>
            <w:bottom w:val="none" w:sz="0" w:space="0" w:color="auto"/>
            <w:right w:val="none" w:sz="0" w:space="0" w:color="auto"/>
          </w:divBdr>
        </w:div>
        <w:div w:id="547448728">
          <w:marLeft w:val="480"/>
          <w:marRight w:val="0"/>
          <w:marTop w:val="0"/>
          <w:marBottom w:val="0"/>
          <w:divBdr>
            <w:top w:val="none" w:sz="0" w:space="0" w:color="auto"/>
            <w:left w:val="none" w:sz="0" w:space="0" w:color="auto"/>
            <w:bottom w:val="none" w:sz="0" w:space="0" w:color="auto"/>
            <w:right w:val="none" w:sz="0" w:space="0" w:color="auto"/>
          </w:divBdr>
        </w:div>
        <w:div w:id="709114321">
          <w:marLeft w:val="480"/>
          <w:marRight w:val="0"/>
          <w:marTop w:val="0"/>
          <w:marBottom w:val="0"/>
          <w:divBdr>
            <w:top w:val="none" w:sz="0" w:space="0" w:color="auto"/>
            <w:left w:val="none" w:sz="0" w:space="0" w:color="auto"/>
            <w:bottom w:val="none" w:sz="0" w:space="0" w:color="auto"/>
            <w:right w:val="none" w:sz="0" w:space="0" w:color="auto"/>
          </w:divBdr>
        </w:div>
        <w:div w:id="390151772">
          <w:marLeft w:val="480"/>
          <w:marRight w:val="0"/>
          <w:marTop w:val="0"/>
          <w:marBottom w:val="0"/>
          <w:divBdr>
            <w:top w:val="none" w:sz="0" w:space="0" w:color="auto"/>
            <w:left w:val="none" w:sz="0" w:space="0" w:color="auto"/>
            <w:bottom w:val="none" w:sz="0" w:space="0" w:color="auto"/>
            <w:right w:val="none" w:sz="0" w:space="0" w:color="auto"/>
          </w:divBdr>
        </w:div>
        <w:div w:id="587618531">
          <w:marLeft w:val="480"/>
          <w:marRight w:val="0"/>
          <w:marTop w:val="0"/>
          <w:marBottom w:val="0"/>
          <w:divBdr>
            <w:top w:val="none" w:sz="0" w:space="0" w:color="auto"/>
            <w:left w:val="none" w:sz="0" w:space="0" w:color="auto"/>
            <w:bottom w:val="none" w:sz="0" w:space="0" w:color="auto"/>
            <w:right w:val="none" w:sz="0" w:space="0" w:color="auto"/>
          </w:divBdr>
        </w:div>
        <w:div w:id="1806922090">
          <w:marLeft w:val="480"/>
          <w:marRight w:val="0"/>
          <w:marTop w:val="0"/>
          <w:marBottom w:val="0"/>
          <w:divBdr>
            <w:top w:val="none" w:sz="0" w:space="0" w:color="auto"/>
            <w:left w:val="none" w:sz="0" w:space="0" w:color="auto"/>
            <w:bottom w:val="none" w:sz="0" w:space="0" w:color="auto"/>
            <w:right w:val="none" w:sz="0" w:space="0" w:color="auto"/>
          </w:divBdr>
        </w:div>
        <w:div w:id="2120025450">
          <w:marLeft w:val="480"/>
          <w:marRight w:val="0"/>
          <w:marTop w:val="0"/>
          <w:marBottom w:val="0"/>
          <w:divBdr>
            <w:top w:val="none" w:sz="0" w:space="0" w:color="auto"/>
            <w:left w:val="none" w:sz="0" w:space="0" w:color="auto"/>
            <w:bottom w:val="none" w:sz="0" w:space="0" w:color="auto"/>
            <w:right w:val="none" w:sz="0" w:space="0" w:color="auto"/>
          </w:divBdr>
        </w:div>
      </w:divsChild>
    </w:div>
    <w:div w:id="1213693338">
      <w:bodyDiv w:val="1"/>
      <w:marLeft w:val="0"/>
      <w:marRight w:val="0"/>
      <w:marTop w:val="0"/>
      <w:marBottom w:val="0"/>
      <w:divBdr>
        <w:top w:val="none" w:sz="0" w:space="0" w:color="auto"/>
        <w:left w:val="none" w:sz="0" w:space="0" w:color="auto"/>
        <w:bottom w:val="none" w:sz="0" w:space="0" w:color="auto"/>
        <w:right w:val="none" w:sz="0" w:space="0" w:color="auto"/>
      </w:divBdr>
    </w:div>
    <w:div w:id="1213923677">
      <w:bodyDiv w:val="1"/>
      <w:marLeft w:val="0"/>
      <w:marRight w:val="0"/>
      <w:marTop w:val="0"/>
      <w:marBottom w:val="0"/>
      <w:divBdr>
        <w:top w:val="none" w:sz="0" w:space="0" w:color="auto"/>
        <w:left w:val="none" w:sz="0" w:space="0" w:color="auto"/>
        <w:bottom w:val="none" w:sz="0" w:space="0" w:color="auto"/>
        <w:right w:val="none" w:sz="0" w:space="0" w:color="auto"/>
      </w:divBdr>
    </w:div>
    <w:div w:id="1214318114">
      <w:bodyDiv w:val="1"/>
      <w:marLeft w:val="0"/>
      <w:marRight w:val="0"/>
      <w:marTop w:val="0"/>
      <w:marBottom w:val="0"/>
      <w:divBdr>
        <w:top w:val="none" w:sz="0" w:space="0" w:color="auto"/>
        <w:left w:val="none" w:sz="0" w:space="0" w:color="auto"/>
        <w:bottom w:val="none" w:sz="0" w:space="0" w:color="auto"/>
        <w:right w:val="none" w:sz="0" w:space="0" w:color="auto"/>
      </w:divBdr>
    </w:div>
    <w:div w:id="1214657010">
      <w:bodyDiv w:val="1"/>
      <w:marLeft w:val="0"/>
      <w:marRight w:val="0"/>
      <w:marTop w:val="0"/>
      <w:marBottom w:val="0"/>
      <w:divBdr>
        <w:top w:val="none" w:sz="0" w:space="0" w:color="auto"/>
        <w:left w:val="none" w:sz="0" w:space="0" w:color="auto"/>
        <w:bottom w:val="none" w:sz="0" w:space="0" w:color="auto"/>
        <w:right w:val="none" w:sz="0" w:space="0" w:color="auto"/>
      </w:divBdr>
    </w:div>
    <w:div w:id="1214996977">
      <w:bodyDiv w:val="1"/>
      <w:marLeft w:val="0"/>
      <w:marRight w:val="0"/>
      <w:marTop w:val="0"/>
      <w:marBottom w:val="0"/>
      <w:divBdr>
        <w:top w:val="none" w:sz="0" w:space="0" w:color="auto"/>
        <w:left w:val="none" w:sz="0" w:space="0" w:color="auto"/>
        <w:bottom w:val="none" w:sz="0" w:space="0" w:color="auto"/>
        <w:right w:val="none" w:sz="0" w:space="0" w:color="auto"/>
      </w:divBdr>
    </w:div>
    <w:div w:id="1215003166">
      <w:bodyDiv w:val="1"/>
      <w:marLeft w:val="0"/>
      <w:marRight w:val="0"/>
      <w:marTop w:val="0"/>
      <w:marBottom w:val="0"/>
      <w:divBdr>
        <w:top w:val="none" w:sz="0" w:space="0" w:color="auto"/>
        <w:left w:val="none" w:sz="0" w:space="0" w:color="auto"/>
        <w:bottom w:val="none" w:sz="0" w:space="0" w:color="auto"/>
        <w:right w:val="none" w:sz="0" w:space="0" w:color="auto"/>
      </w:divBdr>
    </w:div>
    <w:div w:id="1216045132">
      <w:bodyDiv w:val="1"/>
      <w:marLeft w:val="0"/>
      <w:marRight w:val="0"/>
      <w:marTop w:val="0"/>
      <w:marBottom w:val="0"/>
      <w:divBdr>
        <w:top w:val="none" w:sz="0" w:space="0" w:color="auto"/>
        <w:left w:val="none" w:sz="0" w:space="0" w:color="auto"/>
        <w:bottom w:val="none" w:sz="0" w:space="0" w:color="auto"/>
        <w:right w:val="none" w:sz="0" w:space="0" w:color="auto"/>
      </w:divBdr>
    </w:div>
    <w:div w:id="1216115434">
      <w:bodyDiv w:val="1"/>
      <w:marLeft w:val="0"/>
      <w:marRight w:val="0"/>
      <w:marTop w:val="0"/>
      <w:marBottom w:val="0"/>
      <w:divBdr>
        <w:top w:val="none" w:sz="0" w:space="0" w:color="auto"/>
        <w:left w:val="none" w:sz="0" w:space="0" w:color="auto"/>
        <w:bottom w:val="none" w:sz="0" w:space="0" w:color="auto"/>
        <w:right w:val="none" w:sz="0" w:space="0" w:color="auto"/>
      </w:divBdr>
    </w:div>
    <w:div w:id="1216238665">
      <w:bodyDiv w:val="1"/>
      <w:marLeft w:val="0"/>
      <w:marRight w:val="0"/>
      <w:marTop w:val="0"/>
      <w:marBottom w:val="0"/>
      <w:divBdr>
        <w:top w:val="none" w:sz="0" w:space="0" w:color="auto"/>
        <w:left w:val="none" w:sz="0" w:space="0" w:color="auto"/>
        <w:bottom w:val="none" w:sz="0" w:space="0" w:color="auto"/>
        <w:right w:val="none" w:sz="0" w:space="0" w:color="auto"/>
      </w:divBdr>
    </w:div>
    <w:div w:id="1216353508">
      <w:bodyDiv w:val="1"/>
      <w:marLeft w:val="0"/>
      <w:marRight w:val="0"/>
      <w:marTop w:val="0"/>
      <w:marBottom w:val="0"/>
      <w:divBdr>
        <w:top w:val="none" w:sz="0" w:space="0" w:color="auto"/>
        <w:left w:val="none" w:sz="0" w:space="0" w:color="auto"/>
        <w:bottom w:val="none" w:sz="0" w:space="0" w:color="auto"/>
        <w:right w:val="none" w:sz="0" w:space="0" w:color="auto"/>
      </w:divBdr>
    </w:div>
    <w:div w:id="1216429179">
      <w:bodyDiv w:val="1"/>
      <w:marLeft w:val="0"/>
      <w:marRight w:val="0"/>
      <w:marTop w:val="0"/>
      <w:marBottom w:val="0"/>
      <w:divBdr>
        <w:top w:val="none" w:sz="0" w:space="0" w:color="auto"/>
        <w:left w:val="none" w:sz="0" w:space="0" w:color="auto"/>
        <w:bottom w:val="none" w:sz="0" w:space="0" w:color="auto"/>
        <w:right w:val="none" w:sz="0" w:space="0" w:color="auto"/>
      </w:divBdr>
    </w:div>
    <w:div w:id="1217357129">
      <w:bodyDiv w:val="1"/>
      <w:marLeft w:val="0"/>
      <w:marRight w:val="0"/>
      <w:marTop w:val="0"/>
      <w:marBottom w:val="0"/>
      <w:divBdr>
        <w:top w:val="none" w:sz="0" w:space="0" w:color="auto"/>
        <w:left w:val="none" w:sz="0" w:space="0" w:color="auto"/>
        <w:bottom w:val="none" w:sz="0" w:space="0" w:color="auto"/>
        <w:right w:val="none" w:sz="0" w:space="0" w:color="auto"/>
      </w:divBdr>
    </w:div>
    <w:div w:id="1217666231">
      <w:bodyDiv w:val="1"/>
      <w:marLeft w:val="0"/>
      <w:marRight w:val="0"/>
      <w:marTop w:val="0"/>
      <w:marBottom w:val="0"/>
      <w:divBdr>
        <w:top w:val="none" w:sz="0" w:space="0" w:color="auto"/>
        <w:left w:val="none" w:sz="0" w:space="0" w:color="auto"/>
        <w:bottom w:val="none" w:sz="0" w:space="0" w:color="auto"/>
        <w:right w:val="none" w:sz="0" w:space="0" w:color="auto"/>
      </w:divBdr>
    </w:div>
    <w:div w:id="1219363616">
      <w:bodyDiv w:val="1"/>
      <w:marLeft w:val="0"/>
      <w:marRight w:val="0"/>
      <w:marTop w:val="0"/>
      <w:marBottom w:val="0"/>
      <w:divBdr>
        <w:top w:val="none" w:sz="0" w:space="0" w:color="auto"/>
        <w:left w:val="none" w:sz="0" w:space="0" w:color="auto"/>
        <w:bottom w:val="none" w:sz="0" w:space="0" w:color="auto"/>
        <w:right w:val="none" w:sz="0" w:space="0" w:color="auto"/>
      </w:divBdr>
    </w:div>
    <w:div w:id="1219586715">
      <w:bodyDiv w:val="1"/>
      <w:marLeft w:val="0"/>
      <w:marRight w:val="0"/>
      <w:marTop w:val="0"/>
      <w:marBottom w:val="0"/>
      <w:divBdr>
        <w:top w:val="none" w:sz="0" w:space="0" w:color="auto"/>
        <w:left w:val="none" w:sz="0" w:space="0" w:color="auto"/>
        <w:bottom w:val="none" w:sz="0" w:space="0" w:color="auto"/>
        <w:right w:val="none" w:sz="0" w:space="0" w:color="auto"/>
      </w:divBdr>
    </w:div>
    <w:div w:id="1221013746">
      <w:bodyDiv w:val="1"/>
      <w:marLeft w:val="0"/>
      <w:marRight w:val="0"/>
      <w:marTop w:val="0"/>
      <w:marBottom w:val="0"/>
      <w:divBdr>
        <w:top w:val="none" w:sz="0" w:space="0" w:color="auto"/>
        <w:left w:val="none" w:sz="0" w:space="0" w:color="auto"/>
        <w:bottom w:val="none" w:sz="0" w:space="0" w:color="auto"/>
        <w:right w:val="none" w:sz="0" w:space="0" w:color="auto"/>
      </w:divBdr>
    </w:div>
    <w:div w:id="1221094297">
      <w:bodyDiv w:val="1"/>
      <w:marLeft w:val="0"/>
      <w:marRight w:val="0"/>
      <w:marTop w:val="0"/>
      <w:marBottom w:val="0"/>
      <w:divBdr>
        <w:top w:val="none" w:sz="0" w:space="0" w:color="auto"/>
        <w:left w:val="none" w:sz="0" w:space="0" w:color="auto"/>
        <w:bottom w:val="none" w:sz="0" w:space="0" w:color="auto"/>
        <w:right w:val="none" w:sz="0" w:space="0" w:color="auto"/>
      </w:divBdr>
    </w:div>
    <w:div w:id="1221359368">
      <w:bodyDiv w:val="1"/>
      <w:marLeft w:val="0"/>
      <w:marRight w:val="0"/>
      <w:marTop w:val="0"/>
      <w:marBottom w:val="0"/>
      <w:divBdr>
        <w:top w:val="none" w:sz="0" w:space="0" w:color="auto"/>
        <w:left w:val="none" w:sz="0" w:space="0" w:color="auto"/>
        <w:bottom w:val="none" w:sz="0" w:space="0" w:color="auto"/>
        <w:right w:val="none" w:sz="0" w:space="0" w:color="auto"/>
      </w:divBdr>
      <w:divsChild>
        <w:div w:id="1118842671">
          <w:marLeft w:val="480"/>
          <w:marRight w:val="0"/>
          <w:marTop w:val="0"/>
          <w:marBottom w:val="0"/>
          <w:divBdr>
            <w:top w:val="none" w:sz="0" w:space="0" w:color="auto"/>
            <w:left w:val="none" w:sz="0" w:space="0" w:color="auto"/>
            <w:bottom w:val="none" w:sz="0" w:space="0" w:color="auto"/>
            <w:right w:val="none" w:sz="0" w:space="0" w:color="auto"/>
          </w:divBdr>
        </w:div>
        <w:div w:id="1888494204">
          <w:marLeft w:val="480"/>
          <w:marRight w:val="0"/>
          <w:marTop w:val="0"/>
          <w:marBottom w:val="0"/>
          <w:divBdr>
            <w:top w:val="none" w:sz="0" w:space="0" w:color="auto"/>
            <w:left w:val="none" w:sz="0" w:space="0" w:color="auto"/>
            <w:bottom w:val="none" w:sz="0" w:space="0" w:color="auto"/>
            <w:right w:val="none" w:sz="0" w:space="0" w:color="auto"/>
          </w:divBdr>
        </w:div>
        <w:div w:id="1780681362">
          <w:marLeft w:val="480"/>
          <w:marRight w:val="0"/>
          <w:marTop w:val="0"/>
          <w:marBottom w:val="0"/>
          <w:divBdr>
            <w:top w:val="none" w:sz="0" w:space="0" w:color="auto"/>
            <w:left w:val="none" w:sz="0" w:space="0" w:color="auto"/>
            <w:bottom w:val="none" w:sz="0" w:space="0" w:color="auto"/>
            <w:right w:val="none" w:sz="0" w:space="0" w:color="auto"/>
          </w:divBdr>
        </w:div>
        <w:div w:id="352655705">
          <w:marLeft w:val="480"/>
          <w:marRight w:val="0"/>
          <w:marTop w:val="0"/>
          <w:marBottom w:val="0"/>
          <w:divBdr>
            <w:top w:val="none" w:sz="0" w:space="0" w:color="auto"/>
            <w:left w:val="none" w:sz="0" w:space="0" w:color="auto"/>
            <w:bottom w:val="none" w:sz="0" w:space="0" w:color="auto"/>
            <w:right w:val="none" w:sz="0" w:space="0" w:color="auto"/>
          </w:divBdr>
        </w:div>
        <w:div w:id="1851328854">
          <w:marLeft w:val="480"/>
          <w:marRight w:val="0"/>
          <w:marTop w:val="0"/>
          <w:marBottom w:val="0"/>
          <w:divBdr>
            <w:top w:val="none" w:sz="0" w:space="0" w:color="auto"/>
            <w:left w:val="none" w:sz="0" w:space="0" w:color="auto"/>
            <w:bottom w:val="none" w:sz="0" w:space="0" w:color="auto"/>
            <w:right w:val="none" w:sz="0" w:space="0" w:color="auto"/>
          </w:divBdr>
        </w:div>
        <w:div w:id="708601805">
          <w:marLeft w:val="480"/>
          <w:marRight w:val="0"/>
          <w:marTop w:val="0"/>
          <w:marBottom w:val="0"/>
          <w:divBdr>
            <w:top w:val="none" w:sz="0" w:space="0" w:color="auto"/>
            <w:left w:val="none" w:sz="0" w:space="0" w:color="auto"/>
            <w:bottom w:val="none" w:sz="0" w:space="0" w:color="auto"/>
            <w:right w:val="none" w:sz="0" w:space="0" w:color="auto"/>
          </w:divBdr>
        </w:div>
        <w:div w:id="1093353667">
          <w:marLeft w:val="480"/>
          <w:marRight w:val="0"/>
          <w:marTop w:val="0"/>
          <w:marBottom w:val="0"/>
          <w:divBdr>
            <w:top w:val="none" w:sz="0" w:space="0" w:color="auto"/>
            <w:left w:val="none" w:sz="0" w:space="0" w:color="auto"/>
            <w:bottom w:val="none" w:sz="0" w:space="0" w:color="auto"/>
            <w:right w:val="none" w:sz="0" w:space="0" w:color="auto"/>
          </w:divBdr>
        </w:div>
        <w:div w:id="88278609">
          <w:marLeft w:val="480"/>
          <w:marRight w:val="0"/>
          <w:marTop w:val="0"/>
          <w:marBottom w:val="0"/>
          <w:divBdr>
            <w:top w:val="none" w:sz="0" w:space="0" w:color="auto"/>
            <w:left w:val="none" w:sz="0" w:space="0" w:color="auto"/>
            <w:bottom w:val="none" w:sz="0" w:space="0" w:color="auto"/>
            <w:right w:val="none" w:sz="0" w:space="0" w:color="auto"/>
          </w:divBdr>
        </w:div>
        <w:div w:id="971247671">
          <w:marLeft w:val="480"/>
          <w:marRight w:val="0"/>
          <w:marTop w:val="0"/>
          <w:marBottom w:val="0"/>
          <w:divBdr>
            <w:top w:val="none" w:sz="0" w:space="0" w:color="auto"/>
            <w:left w:val="none" w:sz="0" w:space="0" w:color="auto"/>
            <w:bottom w:val="none" w:sz="0" w:space="0" w:color="auto"/>
            <w:right w:val="none" w:sz="0" w:space="0" w:color="auto"/>
          </w:divBdr>
        </w:div>
        <w:div w:id="1955016115">
          <w:marLeft w:val="480"/>
          <w:marRight w:val="0"/>
          <w:marTop w:val="0"/>
          <w:marBottom w:val="0"/>
          <w:divBdr>
            <w:top w:val="none" w:sz="0" w:space="0" w:color="auto"/>
            <w:left w:val="none" w:sz="0" w:space="0" w:color="auto"/>
            <w:bottom w:val="none" w:sz="0" w:space="0" w:color="auto"/>
            <w:right w:val="none" w:sz="0" w:space="0" w:color="auto"/>
          </w:divBdr>
        </w:div>
        <w:div w:id="1178496841">
          <w:marLeft w:val="480"/>
          <w:marRight w:val="0"/>
          <w:marTop w:val="0"/>
          <w:marBottom w:val="0"/>
          <w:divBdr>
            <w:top w:val="none" w:sz="0" w:space="0" w:color="auto"/>
            <w:left w:val="none" w:sz="0" w:space="0" w:color="auto"/>
            <w:bottom w:val="none" w:sz="0" w:space="0" w:color="auto"/>
            <w:right w:val="none" w:sz="0" w:space="0" w:color="auto"/>
          </w:divBdr>
        </w:div>
        <w:div w:id="1225483194">
          <w:marLeft w:val="480"/>
          <w:marRight w:val="0"/>
          <w:marTop w:val="0"/>
          <w:marBottom w:val="0"/>
          <w:divBdr>
            <w:top w:val="none" w:sz="0" w:space="0" w:color="auto"/>
            <w:left w:val="none" w:sz="0" w:space="0" w:color="auto"/>
            <w:bottom w:val="none" w:sz="0" w:space="0" w:color="auto"/>
            <w:right w:val="none" w:sz="0" w:space="0" w:color="auto"/>
          </w:divBdr>
        </w:div>
        <w:div w:id="417215676">
          <w:marLeft w:val="480"/>
          <w:marRight w:val="0"/>
          <w:marTop w:val="0"/>
          <w:marBottom w:val="0"/>
          <w:divBdr>
            <w:top w:val="none" w:sz="0" w:space="0" w:color="auto"/>
            <w:left w:val="none" w:sz="0" w:space="0" w:color="auto"/>
            <w:bottom w:val="none" w:sz="0" w:space="0" w:color="auto"/>
            <w:right w:val="none" w:sz="0" w:space="0" w:color="auto"/>
          </w:divBdr>
        </w:div>
        <w:div w:id="1783767268">
          <w:marLeft w:val="480"/>
          <w:marRight w:val="0"/>
          <w:marTop w:val="0"/>
          <w:marBottom w:val="0"/>
          <w:divBdr>
            <w:top w:val="none" w:sz="0" w:space="0" w:color="auto"/>
            <w:left w:val="none" w:sz="0" w:space="0" w:color="auto"/>
            <w:bottom w:val="none" w:sz="0" w:space="0" w:color="auto"/>
            <w:right w:val="none" w:sz="0" w:space="0" w:color="auto"/>
          </w:divBdr>
        </w:div>
        <w:div w:id="1112820143">
          <w:marLeft w:val="480"/>
          <w:marRight w:val="0"/>
          <w:marTop w:val="0"/>
          <w:marBottom w:val="0"/>
          <w:divBdr>
            <w:top w:val="none" w:sz="0" w:space="0" w:color="auto"/>
            <w:left w:val="none" w:sz="0" w:space="0" w:color="auto"/>
            <w:bottom w:val="none" w:sz="0" w:space="0" w:color="auto"/>
            <w:right w:val="none" w:sz="0" w:space="0" w:color="auto"/>
          </w:divBdr>
        </w:div>
        <w:div w:id="1048870754">
          <w:marLeft w:val="480"/>
          <w:marRight w:val="0"/>
          <w:marTop w:val="0"/>
          <w:marBottom w:val="0"/>
          <w:divBdr>
            <w:top w:val="none" w:sz="0" w:space="0" w:color="auto"/>
            <w:left w:val="none" w:sz="0" w:space="0" w:color="auto"/>
            <w:bottom w:val="none" w:sz="0" w:space="0" w:color="auto"/>
            <w:right w:val="none" w:sz="0" w:space="0" w:color="auto"/>
          </w:divBdr>
        </w:div>
        <w:div w:id="1381898447">
          <w:marLeft w:val="480"/>
          <w:marRight w:val="0"/>
          <w:marTop w:val="0"/>
          <w:marBottom w:val="0"/>
          <w:divBdr>
            <w:top w:val="none" w:sz="0" w:space="0" w:color="auto"/>
            <w:left w:val="none" w:sz="0" w:space="0" w:color="auto"/>
            <w:bottom w:val="none" w:sz="0" w:space="0" w:color="auto"/>
            <w:right w:val="none" w:sz="0" w:space="0" w:color="auto"/>
          </w:divBdr>
        </w:div>
        <w:div w:id="428545738">
          <w:marLeft w:val="480"/>
          <w:marRight w:val="0"/>
          <w:marTop w:val="0"/>
          <w:marBottom w:val="0"/>
          <w:divBdr>
            <w:top w:val="none" w:sz="0" w:space="0" w:color="auto"/>
            <w:left w:val="none" w:sz="0" w:space="0" w:color="auto"/>
            <w:bottom w:val="none" w:sz="0" w:space="0" w:color="auto"/>
            <w:right w:val="none" w:sz="0" w:space="0" w:color="auto"/>
          </w:divBdr>
        </w:div>
        <w:div w:id="1110858894">
          <w:marLeft w:val="480"/>
          <w:marRight w:val="0"/>
          <w:marTop w:val="0"/>
          <w:marBottom w:val="0"/>
          <w:divBdr>
            <w:top w:val="none" w:sz="0" w:space="0" w:color="auto"/>
            <w:left w:val="none" w:sz="0" w:space="0" w:color="auto"/>
            <w:bottom w:val="none" w:sz="0" w:space="0" w:color="auto"/>
            <w:right w:val="none" w:sz="0" w:space="0" w:color="auto"/>
          </w:divBdr>
        </w:div>
        <w:div w:id="2134009166">
          <w:marLeft w:val="480"/>
          <w:marRight w:val="0"/>
          <w:marTop w:val="0"/>
          <w:marBottom w:val="0"/>
          <w:divBdr>
            <w:top w:val="none" w:sz="0" w:space="0" w:color="auto"/>
            <w:left w:val="none" w:sz="0" w:space="0" w:color="auto"/>
            <w:bottom w:val="none" w:sz="0" w:space="0" w:color="auto"/>
            <w:right w:val="none" w:sz="0" w:space="0" w:color="auto"/>
          </w:divBdr>
        </w:div>
        <w:div w:id="31882251">
          <w:marLeft w:val="480"/>
          <w:marRight w:val="0"/>
          <w:marTop w:val="0"/>
          <w:marBottom w:val="0"/>
          <w:divBdr>
            <w:top w:val="none" w:sz="0" w:space="0" w:color="auto"/>
            <w:left w:val="none" w:sz="0" w:space="0" w:color="auto"/>
            <w:bottom w:val="none" w:sz="0" w:space="0" w:color="auto"/>
            <w:right w:val="none" w:sz="0" w:space="0" w:color="auto"/>
          </w:divBdr>
        </w:div>
        <w:div w:id="2143307545">
          <w:marLeft w:val="480"/>
          <w:marRight w:val="0"/>
          <w:marTop w:val="0"/>
          <w:marBottom w:val="0"/>
          <w:divBdr>
            <w:top w:val="none" w:sz="0" w:space="0" w:color="auto"/>
            <w:left w:val="none" w:sz="0" w:space="0" w:color="auto"/>
            <w:bottom w:val="none" w:sz="0" w:space="0" w:color="auto"/>
            <w:right w:val="none" w:sz="0" w:space="0" w:color="auto"/>
          </w:divBdr>
        </w:div>
        <w:div w:id="1455752609">
          <w:marLeft w:val="480"/>
          <w:marRight w:val="0"/>
          <w:marTop w:val="0"/>
          <w:marBottom w:val="0"/>
          <w:divBdr>
            <w:top w:val="none" w:sz="0" w:space="0" w:color="auto"/>
            <w:left w:val="none" w:sz="0" w:space="0" w:color="auto"/>
            <w:bottom w:val="none" w:sz="0" w:space="0" w:color="auto"/>
            <w:right w:val="none" w:sz="0" w:space="0" w:color="auto"/>
          </w:divBdr>
        </w:div>
        <w:div w:id="166867151">
          <w:marLeft w:val="480"/>
          <w:marRight w:val="0"/>
          <w:marTop w:val="0"/>
          <w:marBottom w:val="0"/>
          <w:divBdr>
            <w:top w:val="none" w:sz="0" w:space="0" w:color="auto"/>
            <w:left w:val="none" w:sz="0" w:space="0" w:color="auto"/>
            <w:bottom w:val="none" w:sz="0" w:space="0" w:color="auto"/>
            <w:right w:val="none" w:sz="0" w:space="0" w:color="auto"/>
          </w:divBdr>
        </w:div>
        <w:div w:id="372341324">
          <w:marLeft w:val="480"/>
          <w:marRight w:val="0"/>
          <w:marTop w:val="0"/>
          <w:marBottom w:val="0"/>
          <w:divBdr>
            <w:top w:val="none" w:sz="0" w:space="0" w:color="auto"/>
            <w:left w:val="none" w:sz="0" w:space="0" w:color="auto"/>
            <w:bottom w:val="none" w:sz="0" w:space="0" w:color="auto"/>
            <w:right w:val="none" w:sz="0" w:space="0" w:color="auto"/>
          </w:divBdr>
        </w:div>
        <w:div w:id="144472181">
          <w:marLeft w:val="480"/>
          <w:marRight w:val="0"/>
          <w:marTop w:val="0"/>
          <w:marBottom w:val="0"/>
          <w:divBdr>
            <w:top w:val="none" w:sz="0" w:space="0" w:color="auto"/>
            <w:left w:val="none" w:sz="0" w:space="0" w:color="auto"/>
            <w:bottom w:val="none" w:sz="0" w:space="0" w:color="auto"/>
            <w:right w:val="none" w:sz="0" w:space="0" w:color="auto"/>
          </w:divBdr>
        </w:div>
        <w:div w:id="1953126592">
          <w:marLeft w:val="480"/>
          <w:marRight w:val="0"/>
          <w:marTop w:val="0"/>
          <w:marBottom w:val="0"/>
          <w:divBdr>
            <w:top w:val="none" w:sz="0" w:space="0" w:color="auto"/>
            <w:left w:val="none" w:sz="0" w:space="0" w:color="auto"/>
            <w:bottom w:val="none" w:sz="0" w:space="0" w:color="auto"/>
            <w:right w:val="none" w:sz="0" w:space="0" w:color="auto"/>
          </w:divBdr>
        </w:div>
        <w:div w:id="1478062654">
          <w:marLeft w:val="480"/>
          <w:marRight w:val="0"/>
          <w:marTop w:val="0"/>
          <w:marBottom w:val="0"/>
          <w:divBdr>
            <w:top w:val="none" w:sz="0" w:space="0" w:color="auto"/>
            <w:left w:val="none" w:sz="0" w:space="0" w:color="auto"/>
            <w:bottom w:val="none" w:sz="0" w:space="0" w:color="auto"/>
            <w:right w:val="none" w:sz="0" w:space="0" w:color="auto"/>
          </w:divBdr>
        </w:div>
        <w:div w:id="1360158155">
          <w:marLeft w:val="480"/>
          <w:marRight w:val="0"/>
          <w:marTop w:val="0"/>
          <w:marBottom w:val="0"/>
          <w:divBdr>
            <w:top w:val="none" w:sz="0" w:space="0" w:color="auto"/>
            <w:left w:val="none" w:sz="0" w:space="0" w:color="auto"/>
            <w:bottom w:val="none" w:sz="0" w:space="0" w:color="auto"/>
            <w:right w:val="none" w:sz="0" w:space="0" w:color="auto"/>
          </w:divBdr>
        </w:div>
        <w:div w:id="2077236442">
          <w:marLeft w:val="480"/>
          <w:marRight w:val="0"/>
          <w:marTop w:val="0"/>
          <w:marBottom w:val="0"/>
          <w:divBdr>
            <w:top w:val="none" w:sz="0" w:space="0" w:color="auto"/>
            <w:left w:val="none" w:sz="0" w:space="0" w:color="auto"/>
            <w:bottom w:val="none" w:sz="0" w:space="0" w:color="auto"/>
            <w:right w:val="none" w:sz="0" w:space="0" w:color="auto"/>
          </w:divBdr>
        </w:div>
        <w:div w:id="917207438">
          <w:marLeft w:val="480"/>
          <w:marRight w:val="0"/>
          <w:marTop w:val="0"/>
          <w:marBottom w:val="0"/>
          <w:divBdr>
            <w:top w:val="none" w:sz="0" w:space="0" w:color="auto"/>
            <w:left w:val="none" w:sz="0" w:space="0" w:color="auto"/>
            <w:bottom w:val="none" w:sz="0" w:space="0" w:color="auto"/>
            <w:right w:val="none" w:sz="0" w:space="0" w:color="auto"/>
          </w:divBdr>
        </w:div>
        <w:div w:id="1994408834">
          <w:marLeft w:val="480"/>
          <w:marRight w:val="0"/>
          <w:marTop w:val="0"/>
          <w:marBottom w:val="0"/>
          <w:divBdr>
            <w:top w:val="none" w:sz="0" w:space="0" w:color="auto"/>
            <w:left w:val="none" w:sz="0" w:space="0" w:color="auto"/>
            <w:bottom w:val="none" w:sz="0" w:space="0" w:color="auto"/>
            <w:right w:val="none" w:sz="0" w:space="0" w:color="auto"/>
          </w:divBdr>
        </w:div>
        <w:div w:id="301809683">
          <w:marLeft w:val="480"/>
          <w:marRight w:val="0"/>
          <w:marTop w:val="0"/>
          <w:marBottom w:val="0"/>
          <w:divBdr>
            <w:top w:val="none" w:sz="0" w:space="0" w:color="auto"/>
            <w:left w:val="none" w:sz="0" w:space="0" w:color="auto"/>
            <w:bottom w:val="none" w:sz="0" w:space="0" w:color="auto"/>
            <w:right w:val="none" w:sz="0" w:space="0" w:color="auto"/>
          </w:divBdr>
        </w:div>
        <w:div w:id="1657805179">
          <w:marLeft w:val="480"/>
          <w:marRight w:val="0"/>
          <w:marTop w:val="0"/>
          <w:marBottom w:val="0"/>
          <w:divBdr>
            <w:top w:val="none" w:sz="0" w:space="0" w:color="auto"/>
            <w:left w:val="none" w:sz="0" w:space="0" w:color="auto"/>
            <w:bottom w:val="none" w:sz="0" w:space="0" w:color="auto"/>
            <w:right w:val="none" w:sz="0" w:space="0" w:color="auto"/>
          </w:divBdr>
        </w:div>
        <w:div w:id="321082599">
          <w:marLeft w:val="480"/>
          <w:marRight w:val="0"/>
          <w:marTop w:val="0"/>
          <w:marBottom w:val="0"/>
          <w:divBdr>
            <w:top w:val="none" w:sz="0" w:space="0" w:color="auto"/>
            <w:left w:val="none" w:sz="0" w:space="0" w:color="auto"/>
            <w:bottom w:val="none" w:sz="0" w:space="0" w:color="auto"/>
            <w:right w:val="none" w:sz="0" w:space="0" w:color="auto"/>
          </w:divBdr>
        </w:div>
        <w:div w:id="1716734556">
          <w:marLeft w:val="480"/>
          <w:marRight w:val="0"/>
          <w:marTop w:val="0"/>
          <w:marBottom w:val="0"/>
          <w:divBdr>
            <w:top w:val="none" w:sz="0" w:space="0" w:color="auto"/>
            <w:left w:val="none" w:sz="0" w:space="0" w:color="auto"/>
            <w:bottom w:val="none" w:sz="0" w:space="0" w:color="auto"/>
            <w:right w:val="none" w:sz="0" w:space="0" w:color="auto"/>
          </w:divBdr>
        </w:div>
        <w:div w:id="1931233799">
          <w:marLeft w:val="480"/>
          <w:marRight w:val="0"/>
          <w:marTop w:val="0"/>
          <w:marBottom w:val="0"/>
          <w:divBdr>
            <w:top w:val="none" w:sz="0" w:space="0" w:color="auto"/>
            <w:left w:val="none" w:sz="0" w:space="0" w:color="auto"/>
            <w:bottom w:val="none" w:sz="0" w:space="0" w:color="auto"/>
            <w:right w:val="none" w:sz="0" w:space="0" w:color="auto"/>
          </w:divBdr>
        </w:div>
        <w:div w:id="425004478">
          <w:marLeft w:val="480"/>
          <w:marRight w:val="0"/>
          <w:marTop w:val="0"/>
          <w:marBottom w:val="0"/>
          <w:divBdr>
            <w:top w:val="none" w:sz="0" w:space="0" w:color="auto"/>
            <w:left w:val="none" w:sz="0" w:space="0" w:color="auto"/>
            <w:bottom w:val="none" w:sz="0" w:space="0" w:color="auto"/>
            <w:right w:val="none" w:sz="0" w:space="0" w:color="auto"/>
          </w:divBdr>
        </w:div>
        <w:div w:id="1075662948">
          <w:marLeft w:val="480"/>
          <w:marRight w:val="0"/>
          <w:marTop w:val="0"/>
          <w:marBottom w:val="0"/>
          <w:divBdr>
            <w:top w:val="none" w:sz="0" w:space="0" w:color="auto"/>
            <w:left w:val="none" w:sz="0" w:space="0" w:color="auto"/>
            <w:bottom w:val="none" w:sz="0" w:space="0" w:color="auto"/>
            <w:right w:val="none" w:sz="0" w:space="0" w:color="auto"/>
          </w:divBdr>
        </w:div>
        <w:div w:id="2116945324">
          <w:marLeft w:val="480"/>
          <w:marRight w:val="0"/>
          <w:marTop w:val="0"/>
          <w:marBottom w:val="0"/>
          <w:divBdr>
            <w:top w:val="none" w:sz="0" w:space="0" w:color="auto"/>
            <w:left w:val="none" w:sz="0" w:space="0" w:color="auto"/>
            <w:bottom w:val="none" w:sz="0" w:space="0" w:color="auto"/>
            <w:right w:val="none" w:sz="0" w:space="0" w:color="auto"/>
          </w:divBdr>
        </w:div>
        <w:div w:id="117376649">
          <w:marLeft w:val="480"/>
          <w:marRight w:val="0"/>
          <w:marTop w:val="0"/>
          <w:marBottom w:val="0"/>
          <w:divBdr>
            <w:top w:val="none" w:sz="0" w:space="0" w:color="auto"/>
            <w:left w:val="none" w:sz="0" w:space="0" w:color="auto"/>
            <w:bottom w:val="none" w:sz="0" w:space="0" w:color="auto"/>
            <w:right w:val="none" w:sz="0" w:space="0" w:color="auto"/>
          </w:divBdr>
        </w:div>
        <w:div w:id="606155095">
          <w:marLeft w:val="480"/>
          <w:marRight w:val="0"/>
          <w:marTop w:val="0"/>
          <w:marBottom w:val="0"/>
          <w:divBdr>
            <w:top w:val="none" w:sz="0" w:space="0" w:color="auto"/>
            <w:left w:val="none" w:sz="0" w:space="0" w:color="auto"/>
            <w:bottom w:val="none" w:sz="0" w:space="0" w:color="auto"/>
            <w:right w:val="none" w:sz="0" w:space="0" w:color="auto"/>
          </w:divBdr>
        </w:div>
        <w:div w:id="272632502">
          <w:marLeft w:val="480"/>
          <w:marRight w:val="0"/>
          <w:marTop w:val="0"/>
          <w:marBottom w:val="0"/>
          <w:divBdr>
            <w:top w:val="none" w:sz="0" w:space="0" w:color="auto"/>
            <w:left w:val="none" w:sz="0" w:space="0" w:color="auto"/>
            <w:bottom w:val="none" w:sz="0" w:space="0" w:color="auto"/>
            <w:right w:val="none" w:sz="0" w:space="0" w:color="auto"/>
          </w:divBdr>
        </w:div>
        <w:div w:id="978149184">
          <w:marLeft w:val="480"/>
          <w:marRight w:val="0"/>
          <w:marTop w:val="0"/>
          <w:marBottom w:val="0"/>
          <w:divBdr>
            <w:top w:val="none" w:sz="0" w:space="0" w:color="auto"/>
            <w:left w:val="none" w:sz="0" w:space="0" w:color="auto"/>
            <w:bottom w:val="none" w:sz="0" w:space="0" w:color="auto"/>
            <w:right w:val="none" w:sz="0" w:space="0" w:color="auto"/>
          </w:divBdr>
        </w:div>
        <w:div w:id="1796679584">
          <w:marLeft w:val="480"/>
          <w:marRight w:val="0"/>
          <w:marTop w:val="0"/>
          <w:marBottom w:val="0"/>
          <w:divBdr>
            <w:top w:val="none" w:sz="0" w:space="0" w:color="auto"/>
            <w:left w:val="none" w:sz="0" w:space="0" w:color="auto"/>
            <w:bottom w:val="none" w:sz="0" w:space="0" w:color="auto"/>
            <w:right w:val="none" w:sz="0" w:space="0" w:color="auto"/>
          </w:divBdr>
        </w:div>
        <w:div w:id="451628858">
          <w:marLeft w:val="480"/>
          <w:marRight w:val="0"/>
          <w:marTop w:val="0"/>
          <w:marBottom w:val="0"/>
          <w:divBdr>
            <w:top w:val="none" w:sz="0" w:space="0" w:color="auto"/>
            <w:left w:val="none" w:sz="0" w:space="0" w:color="auto"/>
            <w:bottom w:val="none" w:sz="0" w:space="0" w:color="auto"/>
            <w:right w:val="none" w:sz="0" w:space="0" w:color="auto"/>
          </w:divBdr>
        </w:div>
        <w:div w:id="1837106989">
          <w:marLeft w:val="480"/>
          <w:marRight w:val="0"/>
          <w:marTop w:val="0"/>
          <w:marBottom w:val="0"/>
          <w:divBdr>
            <w:top w:val="none" w:sz="0" w:space="0" w:color="auto"/>
            <w:left w:val="none" w:sz="0" w:space="0" w:color="auto"/>
            <w:bottom w:val="none" w:sz="0" w:space="0" w:color="auto"/>
            <w:right w:val="none" w:sz="0" w:space="0" w:color="auto"/>
          </w:divBdr>
        </w:div>
        <w:div w:id="451477666">
          <w:marLeft w:val="480"/>
          <w:marRight w:val="0"/>
          <w:marTop w:val="0"/>
          <w:marBottom w:val="0"/>
          <w:divBdr>
            <w:top w:val="none" w:sz="0" w:space="0" w:color="auto"/>
            <w:left w:val="none" w:sz="0" w:space="0" w:color="auto"/>
            <w:bottom w:val="none" w:sz="0" w:space="0" w:color="auto"/>
            <w:right w:val="none" w:sz="0" w:space="0" w:color="auto"/>
          </w:divBdr>
        </w:div>
        <w:div w:id="1415199900">
          <w:marLeft w:val="480"/>
          <w:marRight w:val="0"/>
          <w:marTop w:val="0"/>
          <w:marBottom w:val="0"/>
          <w:divBdr>
            <w:top w:val="none" w:sz="0" w:space="0" w:color="auto"/>
            <w:left w:val="none" w:sz="0" w:space="0" w:color="auto"/>
            <w:bottom w:val="none" w:sz="0" w:space="0" w:color="auto"/>
            <w:right w:val="none" w:sz="0" w:space="0" w:color="auto"/>
          </w:divBdr>
        </w:div>
        <w:div w:id="832380358">
          <w:marLeft w:val="480"/>
          <w:marRight w:val="0"/>
          <w:marTop w:val="0"/>
          <w:marBottom w:val="0"/>
          <w:divBdr>
            <w:top w:val="none" w:sz="0" w:space="0" w:color="auto"/>
            <w:left w:val="none" w:sz="0" w:space="0" w:color="auto"/>
            <w:bottom w:val="none" w:sz="0" w:space="0" w:color="auto"/>
            <w:right w:val="none" w:sz="0" w:space="0" w:color="auto"/>
          </w:divBdr>
        </w:div>
        <w:div w:id="1243489911">
          <w:marLeft w:val="480"/>
          <w:marRight w:val="0"/>
          <w:marTop w:val="0"/>
          <w:marBottom w:val="0"/>
          <w:divBdr>
            <w:top w:val="none" w:sz="0" w:space="0" w:color="auto"/>
            <w:left w:val="none" w:sz="0" w:space="0" w:color="auto"/>
            <w:bottom w:val="none" w:sz="0" w:space="0" w:color="auto"/>
            <w:right w:val="none" w:sz="0" w:space="0" w:color="auto"/>
          </w:divBdr>
        </w:div>
        <w:div w:id="1316494473">
          <w:marLeft w:val="480"/>
          <w:marRight w:val="0"/>
          <w:marTop w:val="0"/>
          <w:marBottom w:val="0"/>
          <w:divBdr>
            <w:top w:val="none" w:sz="0" w:space="0" w:color="auto"/>
            <w:left w:val="none" w:sz="0" w:space="0" w:color="auto"/>
            <w:bottom w:val="none" w:sz="0" w:space="0" w:color="auto"/>
            <w:right w:val="none" w:sz="0" w:space="0" w:color="auto"/>
          </w:divBdr>
        </w:div>
        <w:div w:id="1769614071">
          <w:marLeft w:val="480"/>
          <w:marRight w:val="0"/>
          <w:marTop w:val="0"/>
          <w:marBottom w:val="0"/>
          <w:divBdr>
            <w:top w:val="none" w:sz="0" w:space="0" w:color="auto"/>
            <w:left w:val="none" w:sz="0" w:space="0" w:color="auto"/>
            <w:bottom w:val="none" w:sz="0" w:space="0" w:color="auto"/>
            <w:right w:val="none" w:sz="0" w:space="0" w:color="auto"/>
          </w:divBdr>
        </w:div>
        <w:div w:id="779909915">
          <w:marLeft w:val="480"/>
          <w:marRight w:val="0"/>
          <w:marTop w:val="0"/>
          <w:marBottom w:val="0"/>
          <w:divBdr>
            <w:top w:val="none" w:sz="0" w:space="0" w:color="auto"/>
            <w:left w:val="none" w:sz="0" w:space="0" w:color="auto"/>
            <w:bottom w:val="none" w:sz="0" w:space="0" w:color="auto"/>
            <w:right w:val="none" w:sz="0" w:space="0" w:color="auto"/>
          </w:divBdr>
        </w:div>
        <w:div w:id="559294613">
          <w:marLeft w:val="480"/>
          <w:marRight w:val="0"/>
          <w:marTop w:val="0"/>
          <w:marBottom w:val="0"/>
          <w:divBdr>
            <w:top w:val="none" w:sz="0" w:space="0" w:color="auto"/>
            <w:left w:val="none" w:sz="0" w:space="0" w:color="auto"/>
            <w:bottom w:val="none" w:sz="0" w:space="0" w:color="auto"/>
            <w:right w:val="none" w:sz="0" w:space="0" w:color="auto"/>
          </w:divBdr>
        </w:div>
        <w:div w:id="526408875">
          <w:marLeft w:val="480"/>
          <w:marRight w:val="0"/>
          <w:marTop w:val="0"/>
          <w:marBottom w:val="0"/>
          <w:divBdr>
            <w:top w:val="none" w:sz="0" w:space="0" w:color="auto"/>
            <w:left w:val="none" w:sz="0" w:space="0" w:color="auto"/>
            <w:bottom w:val="none" w:sz="0" w:space="0" w:color="auto"/>
            <w:right w:val="none" w:sz="0" w:space="0" w:color="auto"/>
          </w:divBdr>
        </w:div>
        <w:div w:id="394474050">
          <w:marLeft w:val="480"/>
          <w:marRight w:val="0"/>
          <w:marTop w:val="0"/>
          <w:marBottom w:val="0"/>
          <w:divBdr>
            <w:top w:val="none" w:sz="0" w:space="0" w:color="auto"/>
            <w:left w:val="none" w:sz="0" w:space="0" w:color="auto"/>
            <w:bottom w:val="none" w:sz="0" w:space="0" w:color="auto"/>
            <w:right w:val="none" w:sz="0" w:space="0" w:color="auto"/>
          </w:divBdr>
        </w:div>
        <w:div w:id="972367872">
          <w:marLeft w:val="480"/>
          <w:marRight w:val="0"/>
          <w:marTop w:val="0"/>
          <w:marBottom w:val="0"/>
          <w:divBdr>
            <w:top w:val="none" w:sz="0" w:space="0" w:color="auto"/>
            <w:left w:val="none" w:sz="0" w:space="0" w:color="auto"/>
            <w:bottom w:val="none" w:sz="0" w:space="0" w:color="auto"/>
            <w:right w:val="none" w:sz="0" w:space="0" w:color="auto"/>
          </w:divBdr>
        </w:div>
        <w:div w:id="408768426">
          <w:marLeft w:val="480"/>
          <w:marRight w:val="0"/>
          <w:marTop w:val="0"/>
          <w:marBottom w:val="0"/>
          <w:divBdr>
            <w:top w:val="none" w:sz="0" w:space="0" w:color="auto"/>
            <w:left w:val="none" w:sz="0" w:space="0" w:color="auto"/>
            <w:bottom w:val="none" w:sz="0" w:space="0" w:color="auto"/>
            <w:right w:val="none" w:sz="0" w:space="0" w:color="auto"/>
          </w:divBdr>
        </w:div>
        <w:div w:id="1436511798">
          <w:marLeft w:val="480"/>
          <w:marRight w:val="0"/>
          <w:marTop w:val="0"/>
          <w:marBottom w:val="0"/>
          <w:divBdr>
            <w:top w:val="none" w:sz="0" w:space="0" w:color="auto"/>
            <w:left w:val="none" w:sz="0" w:space="0" w:color="auto"/>
            <w:bottom w:val="none" w:sz="0" w:space="0" w:color="auto"/>
            <w:right w:val="none" w:sz="0" w:space="0" w:color="auto"/>
          </w:divBdr>
        </w:div>
        <w:div w:id="36854590">
          <w:marLeft w:val="480"/>
          <w:marRight w:val="0"/>
          <w:marTop w:val="0"/>
          <w:marBottom w:val="0"/>
          <w:divBdr>
            <w:top w:val="none" w:sz="0" w:space="0" w:color="auto"/>
            <w:left w:val="none" w:sz="0" w:space="0" w:color="auto"/>
            <w:bottom w:val="none" w:sz="0" w:space="0" w:color="auto"/>
            <w:right w:val="none" w:sz="0" w:space="0" w:color="auto"/>
          </w:divBdr>
        </w:div>
        <w:div w:id="436411566">
          <w:marLeft w:val="480"/>
          <w:marRight w:val="0"/>
          <w:marTop w:val="0"/>
          <w:marBottom w:val="0"/>
          <w:divBdr>
            <w:top w:val="none" w:sz="0" w:space="0" w:color="auto"/>
            <w:left w:val="none" w:sz="0" w:space="0" w:color="auto"/>
            <w:bottom w:val="none" w:sz="0" w:space="0" w:color="auto"/>
            <w:right w:val="none" w:sz="0" w:space="0" w:color="auto"/>
          </w:divBdr>
        </w:div>
        <w:div w:id="1811629145">
          <w:marLeft w:val="480"/>
          <w:marRight w:val="0"/>
          <w:marTop w:val="0"/>
          <w:marBottom w:val="0"/>
          <w:divBdr>
            <w:top w:val="none" w:sz="0" w:space="0" w:color="auto"/>
            <w:left w:val="none" w:sz="0" w:space="0" w:color="auto"/>
            <w:bottom w:val="none" w:sz="0" w:space="0" w:color="auto"/>
            <w:right w:val="none" w:sz="0" w:space="0" w:color="auto"/>
          </w:divBdr>
        </w:div>
        <w:div w:id="92820191">
          <w:marLeft w:val="480"/>
          <w:marRight w:val="0"/>
          <w:marTop w:val="0"/>
          <w:marBottom w:val="0"/>
          <w:divBdr>
            <w:top w:val="none" w:sz="0" w:space="0" w:color="auto"/>
            <w:left w:val="none" w:sz="0" w:space="0" w:color="auto"/>
            <w:bottom w:val="none" w:sz="0" w:space="0" w:color="auto"/>
            <w:right w:val="none" w:sz="0" w:space="0" w:color="auto"/>
          </w:divBdr>
        </w:div>
        <w:div w:id="2045134447">
          <w:marLeft w:val="480"/>
          <w:marRight w:val="0"/>
          <w:marTop w:val="0"/>
          <w:marBottom w:val="0"/>
          <w:divBdr>
            <w:top w:val="none" w:sz="0" w:space="0" w:color="auto"/>
            <w:left w:val="none" w:sz="0" w:space="0" w:color="auto"/>
            <w:bottom w:val="none" w:sz="0" w:space="0" w:color="auto"/>
            <w:right w:val="none" w:sz="0" w:space="0" w:color="auto"/>
          </w:divBdr>
        </w:div>
        <w:div w:id="1421414022">
          <w:marLeft w:val="480"/>
          <w:marRight w:val="0"/>
          <w:marTop w:val="0"/>
          <w:marBottom w:val="0"/>
          <w:divBdr>
            <w:top w:val="none" w:sz="0" w:space="0" w:color="auto"/>
            <w:left w:val="none" w:sz="0" w:space="0" w:color="auto"/>
            <w:bottom w:val="none" w:sz="0" w:space="0" w:color="auto"/>
            <w:right w:val="none" w:sz="0" w:space="0" w:color="auto"/>
          </w:divBdr>
        </w:div>
        <w:div w:id="222105938">
          <w:marLeft w:val="480"/>
          <w:marRight w:val="0"/>
          <w:marTop w:val="0"/>
          <w:marBottom w:val="0"/>
          <w:divBdr>
            <w:top w:val="none" w:sz="0" w:space="0" w:color="auto"/>
            <w:left w:val="none" w:sz="0" w:space="0" w:color="auto"/>
            <w:bottom w:val="none" w:sz="0" w:space="0" w:color="auto"/>
            <w:right w:val="none" w:sz="0" w:space="0" w:color="auto"/>
          </w:divBdr>
        </w:div>
        <w:div w:id="377246134">
          <w:marLeft w:val="480"/>
          <w:marRight w:val="0"/>
          <w:marTop w:val="0"/>
          <w:marBottom w:val="0"/>
          <w:divBdr>
            <w:top w:val="none" w:sz="0" w:space="0" w:color="auto"/>
            <w:left w:val="none" w:sz="0" w:space="0" w:color="auto"/>
            <w:bottom w:val="none" w:sz="0" w:space="0" w:color="auto"/>
            <w:right w:val="none" w:sz="0" w:space="0" w:color="auto"/>
          </w:divBdr>
        </w:div>
        <w:div w:id="1143620006">
          <w:marLeft w:val="480"/>
          <w:marRight w:val="0"/>
          <w:marTop w:val="0"/>
          <w:marBottom w:val="0"/>
          <w:divBdr>
            <w:top w:val="none" w:sz="0" w:space="0" w:color="auto"/>
            <w:left w:val="none" w:sz="0" w:space="0" w:color="auto"/>
            <w:bottom w:val="none" w:sz="0" w:space="0" w:color="auto"/>
            <w:right w:val="none" w:sz="0" w:space="0" w:color="auto"/>
          </w:divBdr>
        </w:div>
        <w:div w:id="1044402203">
          <w:marLeft w:val="480"/>
          <w:marRight w:val="0"/>
          <w:marTop w:val="0"/>
          <w:marBottom w:val="0"/>
          <w:divBdr>
            <w:top w:val="none" w:sz="0" w:space="0" w:color="auto"/>
            <w:left w:val="none" w:sz="0" w:space="0" w:color="auto"/>
            <w:bottom w:val="none" w:sz="0" w:space="0" w:color="auto"/>
            <w:right w:val="none" w:sz="0" w:space="0" w:color="auto"/>
          </w:divBdr>
        </w:div>
        <w:div w:id="1354574752">
          <w:marLeft w:val="480"/>
          <w:marRight w:val="0"/>
          <w:marTop w:val="0"/>
          <w:marBottom w:val="0"/>
          <w:divBdr>
            <w:top w:val="none" w:sz="0" w:space="0" w:color="auto"/>
            <w:left w:val="none" w:sz="0" w:space="0" w:color="auto"/>
            <w:bottom w:val="none" w:sz="0" w:space="0" w:color="auto"/>
            <w:right w:val="none" w:sz="0" w:space="0" w:color="auto"/>
          </w:divBdr>
        </w:div>
        <w:div w:id="1957129547">
          <w:marLeft w:val="480"/>
          <w:marRight w:val="0"/>
          <w:marTop w:val="0"/>
          <w:marBottom w:val="0"/>
          <w:divBdr>
            <w:top w:val="none" w:sz="0" w:space="0" w:color="auto"/>
            <w:left w:val="none" w:sz="0" w:space="0" w:color="auto"/>
            <w:bottom w:val="none" w:sz="0" w:space="0" w:color="auto"/>
            <w:right w:val="none" w:sz="0" w:space="0" w:color="auto"/>
          </w:divBdr>
        </w:div>
        <w:div w:id="1310162231">
          <w:marLeft w:val="480"/>
          <w:marRight w:val="0"/>
          <w:marTop w:val="0"/>
          <w:marBottom w:val="0"/>
          <w:divBdr>
            <w:top w:val="none" w:sz="0" w:space="0" w:color="auto"/>
            <w:left w:val="none" w:sz="0" w:space="0" w:color="auto"/>
            <w:bottom w:val="none" w:sz="0" w:space="0" w:color="auto"/>
            <w:right w:val="none" w:sz="0" w:space="0" w:color="auto"/>
          </w:divBdr>
        </w:div>
        <w:div w:id="447504545">
          <w:marLeft w:val="480"/>
          <w:marRight w:val="0"/>
          <w:marTop w:val="0"/>
          <w:marBottom w:val="0"/>
          <w:divBdr>
            <w:top w:val="none" w:sz="0" w:space="0" w:color="auto"/>
            <w:left w:val="none" w:sz="0" w:space="0" w:color="auto"/>
            <w:bottom w:val="none" w:sz="0" w:space="0" w:color="auto"/>
            <w:right w:val="none" w:sz="0" w:space="0" w:color="auto"/>
          </w:divBdr>
        </w:div>
        <w:div w:id="615332719">
          <w:marLeft w:val="480"/>
          <w:marRight w:val="0"/>
          <w:marTop w:val="0"/>
          <w:marBottom w:val="0"/>
          <w:divBdr>
            <w:top w:val="none" w:sz="0" w:space="0" w:color="auto"/>
            <w:left w:val="none" w:sz="0" w:space="0" w:color="auto"/>
            <w:bottom w:val="none" w:sz="0" w:space="0" w:color="auto"/>
            <w:right w:val="none" w:sz="0" w:space="0" w:color="auto"/>
          </w:divBdr>
        </w:div>
        <w:div w:id="756904293">
          <w:marLeft w:val="480"/>
          <w:marRight w:val="0"/>
          <w:marTop w:val="0"/>
          <w:marBottom w:val="0"/>
          <w:divBdr>
            <w:top w:val="none" w:sz="0" w:space="0" w:color="auto"/>
            <w:left w:val="none" w:sz="0" w:space="0" w:color="auto"/>
            <w:bottom w:val="none" w:sz="0" w:space="0" w:color="auto"/>
            <w:right w:val="none" w:sz="0" w:space="0" w:color="auto"/>
          </w:divBdr>
        </w:div>
        <w:div w:id="1323119585">
          <w:marLeft w:val="480"/>
          <w:marRight w:val="0"/>
          <w:marTop w:val="0"/>
          <w:marBottom w:val="0"/>
          <w:divBdr>
            <w:top w:val="none" w:sz="0" w:space="0" w:color="auto"/>
            <w:left w:val="none" w:sz="0" w:space="0" w:color="auto"/>
            <w:bottom w:val="none" w:sz="0" w:space="0" w:color="auto"/>
            <w:right w:val="none" w:sz="0" w:space="0" w:color="auto"/>
          </w:divBdr>
        </w:div>
        <w:div w:id="178472194">
          <w:marLeft w:val="480"/>
          <w:marRight w:val="0"/>
          <w:marTop w:val="0"/>
          <w:marBottom w:val="0"/>
          <w:divBdr>
            <w:top w:val="none" w:sz="0" w:space="0" w:color="auto"/>
            <w:left w:val="none" w:sz="0" w:space="0" w:color="auto"/>
            <w:bottom w:val="none" w:sz="0" w:space="0" w:color="auto"/>
            <w:right w:val="none" w:sz="0" w:space="0" w:color="auto"/>
          </w:divBdr>
        </w:div>
        <w:div w:id="978728948">
          <w:marLeft w:val="480"/>
          <w:marRight w:val="0"/>
          <w:marTop w:val="0"/>
          <w:marBottom w:val="0"/>
          <w:divBdr>
            <w:top w:val="none" w:sz="0" w:space="0" w:color="auto"/>
            <w:left w:val="none" w:sz="0" w:space="0" w:color="auto"/>
            <w:bottom w:val="none" w:sz="0" w:space="0" w:color="auto"/>
            <w:right w:val="none" w:sz="0" w:space="0" w:color="auto"/>
          </w:divBdr>
        </w:div>
        <w:div w:id="1211461188">
          <w:marLeft w:val="480"/>
          <w:marRight w:val="0"/>
          <w:marTop w:val="0"/>
          <w:marBottom w:val="0"/>
          <w:divBdr>
            <w:top w:val="none" w:sz="0" w:space="0" w:color="auto"/>
            <w:left w:val="none" w:sz="0" w:space="0" w:color="auto"/>
            <w:bottom w:val="none" w:sz="0" w:space="0" w:color="auto"/>
            <w:right w:val="none" w:sz="0" w:space="0" w:color="auto"/>
          </w:divBdr>
        </w:div>
        <w:div w:id="1382365033">
          <w:marLeft w:val="480"/>
          <w:marRight w:val="0"/>
          <w:marTop w:val="0"/>
          <w:marBottom w:val="0"/>
          <w:divBdr>
            <w:top w:val="none" w:sz="0" w:space="0" w:color="auto"/>
            <w:left w:val="none" w:sz="0" w:space="0" w:color="auto"/>
            <w:bottom w:val="none" w:sz="0" w:space="0" w:color="auto"/>
            <w:right w:val="none" w:sz="0" w:space="0" w:color="auto"/>
          </w:divBdr>
        </w:div>
        <w:div w:id="344792076">
          <w:marLeft w:val="480"/>
          <w:marRight w:val="0"/>
          <w:marTop w:val="0"/>
          <w:marBottom w:val="0"/>
          <w:divBdr>
            <w:top w:val="none" w:sz="0" w:space="0" w:color="auto"/>
            <w:left w:val="none" w:sz="0" w:space="0" w:color="auto"/>
            <w:bottom w:val="none" w:sz="0" w:space="0" w:color="auto"/>
            <w:right w:val="none" w:sz="0" w:space="0" w:color="auto"/>
          </w:divBdr>
        </w:div>
        <w:div w:id="1373650055">
          <w:marLeft w:val="480"/>
          <w:marRight w:val="0"/>
          <w:marTop w:val="0"/>
          <w:marBottom w:val="0"/>
          <w:divBdr>
            <w:top w:val="none" w:sz="0" w:space="0" w:color="auto"/>
            <w:left w:val="none" w:sz="0" w:space="0" w:color="auto"/>
            <w:bottom w:val="none" w:sz="0" w:space="0" w:color="auto"/>
            <w:right w:val="none" w:sz="0" w:space="0" w:color="auto"/>
          </w:divBdr>
        </w:div>
        <w:div w:id="1663853433">
          <w:marLeft w:val="480"/>
          <w:marRight w:val="0"/>
          <w:marTop w:val="0"/>
          <w:marBottom w:val="0"/>
          <w:divBdr>
            <w:top w:val="none" w:sz="0" w:space="0" w:color="auto"/>
            <w:left w:val="none" w:sz="0" w:space="0" w:color="auto"/>
            <w:bottom w:val="none" w:sz="0" w:space="0" w:color="auto"/>
            <w:right w:val="none" w:sz="0" w:space="0" w:color="auto"/>
          </w:divBdr>
        </w:div>
        <w:div w:id="724180207">
          <w:marLeft w:val="480"/>
          <w:marRight w:val="0"/>
          <w:marTop w:val="0"/>
          <w:marBottom w:val="0"/>
          <w:divBdr>
            <w:top w:val="none" w:sz="0" w:space="0" w:color="auto"/>
            <w:left w:val="none" w:sz="0" w:space="0" w:color="auto"/>
            <w:bottom w:val="none" w:sz="0" w:space="0" w:color="auto"/>
            <w:right w:val="none" w:sz="0" w:space="0" w:color="auto"/>
          </w:divBdr>
        </w:div>
        <w:div w:id="1530295002">
          <w:marLeft w:val="480"/>
          <w:marRight w:val="0"/>
          <w:marTop w:val="0"/>
          <w:marBottom w:val="0"/>
          <w:divBdr>
            <w:top w:val="none" w:sz="0" w:space="0" w:color="auto"/>
            <w:left w:val="none" w:sz="0" w:space="0" w:color="auto"/>
            <w:bottom w:val="none" w:sz="0" w:space="0" w:color="auto"/>
            <w:right w:val="none" w:sz="0" w:space="0" w:color="auto"/>
          </w:divBdr>
        </w:div>
        <w:div w:id="1327367185">
          <w:marLeft w:val="480"/>
          <w:marRight w:val="0"/>
          <w:marTop w:val="0"/>
          <w:marBottom w:val="0"/>
          <w:divBdr>
            <w:top w:val="none" w:sz="0" w:space="0" w:color="auto"/>
            <w:left w:val="none" w:sz="0" w:space="0" w:color="auto"/>
            <w:bottom w:val="none" w:sz="0" w:space="0" w:color="auto"/>
            <w:right w:val="none" w:sz="0" w:space="0" w:color="auto"/>
          </w:divBdr>
        </w:div>
        <w:div w:id="755517561">
          <w:marLeft w:val="480"/>
          <w:marRight w:val="0"/>
          <w:marTop w:val="0"/>
          <w:marBottom w:val="0"/>
          <w:divBdr>
            <w:top w:val="none" w:sz="0" w:space="0" w:color="auto"/>
            <w:left w:val="none" w:sz="0" w:space="0" w:color="auto"/>
            <w:bottom w:val="none" w:sz="0" w:space="0" w:color="auto"/>
            <w:right w:val="none" w:sz="0" w:space="0" w:color="auto"/>
          </w:divBdr>
        </w:div>
        <w:div w:id="13046522">
          <w:marLeft w:val="480"/>
          <w:marRight w:val="0"/>
          <w:marTop w:val="0"/>
          <w:marBottom w:val="0"/>
          <w:divBdr>
            <w:top w:val="none" w:sz="0" w:space="0" w:color="auto"/>
            <w:left w:val="none" w:sz="0" w:space="0" w:color="auto"/>
            <w:bottom w:val="none" w:sz="0" w:space="0" w:color="auto"/>
            <w:right w:val="none" w:sz="0" w:space="0" w:color="auto"/>
          </w:divBdr>
        </w:div>
        <w:div w:id="2114199676">
          <w:marLeft w:val="480"/>
          <w:marRight w:val="0"/>
          <w:marTop w:val="0"/>
          <w:marBottom w:val="0"/>
          <w:divBdr>
            <w:top w:val="none" w:sz="0" w:space="0" w:color="auto"/>
            <w:left w:val="none" w:sz="0" w:space="0" w:color="auto"/>
            <w:bottom w:val="none" w:sz="0" w:space="0" w:color="auto"/>
            <w:right w:val="none" w:sz="0" w:space="0" w:color="auto"/>
          </w:divBdr>
        </w:div>
        <w:div w:id="640042130">
          <w:marLeft w:val="480"/>
          <w:marRight w:val="0"/>
          <w:marTop w:val="0"/>
          <w:marBottom w:val="0"/>
          <w:divBdr>
            <w:top w:val="none" w:sz="0" w:space="0" w:color="auto"/>
            <w:left w:val="none" w:sz="0" w:space="0" w:color="auto"/>
            <w:bottom w:val="none" w:sz="0" w:space="0" w:color="auto"/>
            <w:right w:val="none" w:sz="0" w:space="0" w:color="auto"/>
          </w:divBdr>
        </w:div>
        <w:div w:id="405500464">
          <w:marLeft w:val="480"/>
          <w:marRight w:val="0"/>
          <w:marTop w:val="0"/>
          <w:marBottom w:val="0"/>
          <w:divBdr>
            <w:top w:val="none" w:sz="0" w:space="0" w:color="auto"/>
            <w:left w:val="none" w:sz="0" w:space="0" w:color="auto"/>
            <w:bottom w:val="none" w:sz="0" w:space="0" w:color="auto"/>
            <w:right w:val="none" w:sz="0" w:space="0" w:color="auto"/>
          </w:divBdr>
        </w:div>
        <w:div w:id="243800903">
          <w:marLeft w:val="480"/>
          <w:marRight w:val="0"/>
          <w:marTop w:val="0"/>
          <w:marBottom w:val="0"/>
          <w:divBdr>
            <w:top w:val="none" w:sz="0" w:space="0" w:color="auto"/>
            <w:left w:val="none" w:sz="0" w:space="0" w:color="auto"/>
            <w:bottom w:val="none" w:sz="0" w:space="0" w:color="auto"/>
            <w:right w:val="none" w:sz="0" w:space="0" w:color="auto"/>
          </w:divBdr>
        </w:div>
        <w:div w:id="1892039056">
          <w:marLeft w:val="480"/>
          <w:marRight w:val="0"/>
          <w:marTop w:val="0"/>
          <w:marBottom w:val="0"/>
          <w:divBdr>
            <w:top w:val="none" w:sz="0" w:space="0" w:color="auto"/>
            <w:left w:val="none" w:sz="0" w:space="0" w:color="auto"/>
            <w:bottom w:val="none" w:sz="0" w:space="0" w:color="auto"/>
            <w:right w:val="none" w:sz="0" w:space="0" w:color="auto"/>
          </w:divBdr>
        </w:div>
        <w:div w:id="1697733140">
          <w:marLeft w:val="480"/>
          <w:marRight w:val="0"/>
          <w:marTop w:val="0"/>
          <w:marBottom w:val="0"/>
          <w:divBdr>
            <w:top w:val="none" w:sz="0" w:space="0" w:color="auto"/>
            <w:left w:val="none" w:sz="0" w:space="0" w:color="auto"/>
            <w:bottom w:val="none" w:sz="0" w:space="0" w:color="auto"/>
            <w:right w:val="none" w:sz="0" w:space="0" w:color="auto"/>
          </w:divBdr>
        </w:div>
        <w:div w:id="1426727349">
          <w:marLeft w:val="480"/>
          <w:marRight w:val="0"/>
          <w:marTop w:val="0"/>
          <w:marBottom w:val="0"/>
          <w:divBdr>
            <w:top w:val="none" w:sz="0" w:space="0" w:color="auto"/>
            <w:left w:val="none" w:sz="0" w:space="0" w:color="auto"/>
            <w:bottom w:val="none" w:sz="0" w:space="0" w:color="auto"/>
            <w:right w:val="none" w:sz="0" w:space="0" w:color="auto"/>
          </w:divBdr>
        </w:div>
        <w:div w:id="2047440099">
          <w:marLeft w:val="480"/>
          <w:marRight w:val="0"/>
          <w:marTop w:val="0"/>
          <w:marBottom w:val="0"/>
          <w:divBdr>
            <w:top w:val="none" w:sz="0" w:space="0" w:color="auto"/>
            <w:left w:val="none" w:sz="0" w:space="0" w:color="auto"/>
            <w:bottom w:val="none" w:sz="0" w:space="0" w:color="auto"/>
            <w:right w:val="none" w:sz="0" w:space="0" w:color="auto"/>
          </w:divBdr>
        </w:div>
        <w:div w:id="501744421">
          <w:marLeft w:val="480"/>
          <w:marRight w:val="0"/>
          <w:marTop w:val="0"/>
          <w:marBottom w:val="0"/>
          <w:divBdr>
            <w:top w:val="none" w:sz="0" w:space="0" w:color="auto"/>
            <w:left w:val="none" w:sz="0" w:space="0" w:color="auto"/>
            <w:bottom w:val="none" w:sz="0" w:space="0" w:color="auto"/>
            <w:right w:val="none" w:sz="0" w:space="0" w:color="auto"/>
          </w:divBdr>
        </w:div>
        <w:div w:id="404035192">
          <w:marLeft w:val="480"/>
          <w:marRight w:val="0"/>
          <w:marTop w:val="0"/>
          <w:marBottom w:val="0"/>
          <w:divBdr>
            <w:top w:val="none" w:sz="0" w:space="0" w:color="auto"/>
            <w:left w:val="none" w:sz="0" w:space="0" w:color="auto"/>
            <w:bottom w:val="none" w:sz="0" w:space="0" w:color="auto"/>
            <w:right w:val="none" w:sz="0" w:space="0" w:color="auto"/>
          </w:divBdr>
        </w:div>
        <w:div w:id="1602449175">
          <w:marLeft w:val="480"/>
          <w:marRight w:val="0"/>
          <w:marTop w:val="0"/>
          <w:marBottom w:val="0"/>
          <w:divBdr>
            <w:top w:val="none" w:sz="0" w:space="0" w:color="auto"/>
            <w:left w:val="none" w:sz="0" w:space="0" w:color="auto"/>
            <w:bottom w:val="none" w:sz="0" w:space="0" w:color="auto"/>
            <w:right w:val="none" w:sz="0" w:space="0" w:color="auto"/>
          </w:divBdr>
        </w:div>
        <w:div w:id="1508715218">
          <w:marLeft w:val="480"/>
          <w:marRight w:val="0"/>
          <w:marTop w:val="0"/>
          <w:marBottom w:val="0"/>
          <w:divBdr>
            <w:top w:val="none" w:sz="0" w:space="0" w:color="auto"/>
            <w:left w:val="none" w:sz="0" w:space="0" w:color="auto"/>
            <w:bottom w:val="none" w:sz="0" w:space="0" w:color="auto"/>
            <w:right w:val="none" w:sz="0" w:space="0" w:color="auto"/>
          </w:divBdr>
        </w:div>
        <w:div w:id="886919365">
          <w:marLeft w:val="480"/>
          <w:marRight w:val="0"/>
          <w:marTop w:val="0"/>
          <w:marBottom w:val="0"/>
          <w:divBdr>
            <w:top w:val="none" w:sz="0" w:space="0" w:color="auto"/>
            <w:left w:val="none" w:sz="0" w:space="0" w:color="auto"/>
            <w:bottom w:val="none" w:sz="0" w:space="0" w:color="auto"/>
            <w:right w:val="none" w:sz="0" w:space="0" w:color="auto"/>
          </w:divBdr>
        </w:div>
        <w:div w:id="958144863">
          <w:marLeft w:val="480"/>
          <w:marRight w:val="0"/>
          <w:marTop w:val="0"/>
          <w:marBottom w:val="0"/>
          <w:divBdr>
            <w:top w:val="none" w:sz="0" w:space="0" w:color="auto"/>
            <w:left w:val="none" w:sz="0" w:space="0" w:color="auto"/>
            <w:bottom w:val="none" w:sz="0" w:space="0" w:color="auto"/>
            <w:right w:val="none" w:sz="0" w:space="0" w:color="auto"/>
          </w:divBdr>
        </w:div>
        <w:div w:id="2097435374">
          <w:marLeft w:val="480"/>
          <w:marRight w:val="0"/>
          <w:marTop w:val="0"/>
          <w:marBottom w:val="0"/>
          <w:divBdr>
            <w:top w:val="none" w:sz="0" w:space="0" w:color="auto"/>
            <w:left w:val="none" w:sz="0" w:space="0" w:color="auto"/>
            <w:bottom w:val="none" w:sz="0" w:space="0" w:color="auto"/>
            <w:right w:val="none" w:sz="0" w:space="0" w:color="auto"/>
          </w:divBdr>
        </w:div>
        <w:div w:id="1661890112">
          <w:marLeft w:val="480"/>
          <w:marRight w:val="0"/>
          <w:marTop w:val="0"/>
          <w:marBottom w:val="0"/>
          <w:divBdr>
            <w:top w:val="none" w:sz="0" w:space="0" w:color="auto"/>
            <w:left w:val="none" w:sz="0" w:space="0" w:color="auto"/>
            <w:bottom w:val="none" w:sz="0" w:space="0" w:color="auto"/>
            <w:right w:val="none" w:sz="0" w:space="0" w:color="auto"/>
          </w:divBdr>
        </w:div>
        <w:div w:id="23095672">
          <w:marLeft w:val="480"/>
          <w:marRight w:val="0"/>
          <w:marTop w:val="0"/>
          <w:marBottom w:val="0"/>
          <w:divBdr>
            <w:top w:val="none" w:sz="0" w:space="0" w:color="auto"/>
            <w:left w:val="none" w:sz="0" w:space="0" w:color="auto"/>
            <w:bottom w:val="none" w:sz="0" w:space="0" w:color="auto"/>
            <w:right w:val="none" w:sz="0" w:space="0" w:color="auto"/>
          </w:divBdr>
        </w:div>
        <w:div w:id="320816495">
          <w:marLeft w:val="480"/>
          <w:marRight w:val="0"/>
          <w:marTop w:val="0"/>
          <w:marBottom w:val="0"/>
          <w:divBdr>
            <w:top w:val="none" w:sz="0" w:space="0" w:color="auto"/>
            <w:left w:val="none" w:sz="0" w:space="0" w:color="auto"/>
            <w:bottom w:val="none" w:sz="0" w:space="0" w:color="auto"/>
            <w:right w:val="none" w:sz="0" w:space="0" w:color="auto"/>
          </w:divBdr>
        </w:div>
        <w:div w:id="1416248542">
          <w:marLeft w:val="480"/>
          <w:marRight w:val="0"/>
          <w:marTop w:val="0"/>
          <w:marBottom w:val="0"/>
          <w:divBdr>
            <w:top w:val="none" w:sz="0" w:space="0" w:color="auto"/>
            <w:left w:val="none" w:sz="0" w:space="0" w:color="auto"/>
            <w:bottom w:val="none" w:sz="0" w:space="0" w:color="auto"/>
            <w:right w:val="none" w:sz="0" w:space="0" w:color="auto"/>
          </w:divBdr>
        </w:div>
        <w:div w:id="1934506940">
          <w:marLeft w:val="480"/>
          <w:marRight w:val="0"/>
          <w:marTop w:val="0"/>
          <w:marBottom w:val="0"/>
          <w:divBdr>
            <w:top w:val="none" w:sz="0" w:space="0" w:color="auto"/>
            <w:left w:val="none" w:sz="0" w:space="0" w:color="auto"/>
            <w:bottom w:val="none" w:sz="0" w:space="0" w:color="auto"/>
            <w:right w:val="none" w:sz="0" w:space="0" w:color="auto"/>
          </w:divBdr>
        </w:div>
        <w:div w:id="54938182">
          <w:marLeft w:val="480"/>
          <w:marRight w:val="0"/>
          <w:marTop w:val="0"/>
          <w:marBottom w:val="0"/>
          <w:divBdr>
            <w:top w:val="none" w:sz="0" w:space="0" w:color="auto"/>
            <w:left w:val="none" w:sz="0" w:space="0" w:color="auto"/>
            <w:bottom w:val="none" w:sz="0" w:space="0" w:color="auto"/>
            <w:right w:val="none" w:sz="0" w:space="0" w:color="auto"/>
          </w:divBdr>
        </w:div>
        <w:div w:id="1240599159">
          <w:marLeft w:val="480"/>
          <w:marRight w:val="0"/>
          <w:marTop w:val="0"/>
          <w:marBottom w:val="0"/>
          <w:divBdr>
            <w:top w:val="none" w:sz="0" w:space="0" w:color="auto"/>
            <w:left w:val="none" w:sz="0" w:space="0" w:color="auto"/>
            <w:bottom w:val="none" w:sz="0" w:space="0" w:color="auto"/>
            <w:right w:val="none" w:sz="0" w:space="0" w:color="auto"/>
          </w:divBdr>
        </w:div>
        <w:div w:id="1505197670">
          <w:marLeft w:val="480"/>
          <w:marRight w:val="0"/>
          <w:marTop w:val="0"/>
          <w:marBottom w:val="0"/>
          <w:divBdr>
            <w:top w:val="none" w:sz="0" w:space="0" w:color="auto"/>
            <w:left w:val="none" w:sz="0" w:space="0" w:color="auto"/>
            <w:bottom w:val="none" w:sz="0" w:space="0" w:color="auto"/>
            <w:right w:val="none" w:sz="0" w:space="0" w:color="auto"/>
          </w:divBdr>
        </w:div>
        <w:div w:id="473647067">
          <w:marLeft w:val="480"/>
          <w:marRight w:val="0"/>
          <w:marTop w:val="0"/>
          <w:marBottom w:val="0"/>
          <w:divBdr>
            <w:top w:val="none" w:sz="0" w:space="0" w:color="auto"/>
            <w:left w:val="none" w:sz="0" w:space="0" w:color="auto"/>
            <w:bottom w:val="none" w:sz="0" w:space="0" w:color="auto"/>
            <w:right w:val="none" w:sz="0" w:space="0" w:color="auto"/>
          </w:divBdr>
        </w:div>
        <w:div w:id="1933661779">
          <w:marLeft w:val="480"/>
          <w:marRight w:val="0"/>
          <w:marTop w:val="0"/>
          <w:marBottom w:val="0"/>
          <w:divBdr>
            <w:top w:val="none" w:sz="0" w:space="0" w:color="auto"/>
            <w:left w:val="none" w:sz="0" w:space="0" w:color="auto"/>
            <w:bottom w:val="none" w:sz="0" w:space="0" w:color="auto"/>
            <w:right w:val="none" w:sz="0" w:space="0" w:color="auto"/>
          </w:divBdr>
        </w:div>
        <w:div w:id="1665350641">
          <w:marLeft w:val="480"/>
          <w:marRight w:val="0"/>
          <w:marTop w:val="0"/>
          <w:marBottom w:val="0"/>
          <w:divBdr>
            <w:top w:val="none" w:sz="0" w:space="0" w:color="auto"/>
            <w:left w:val="none" w:sz="0" w:space="0" w:color="auto"/>
            <w:bottom w:val="none" w:sz="0" w:space="0" w:color="auto"/>
            <w:right w:val="none" w:sz="0" w:space="0" w:color="auto"/>
          </w:divBdr>
        </w:div>
        <w:div w:id="787890837">
          <w:marLeft w:val="480"/>
          <w:marRight w:val="0"/>
          <w:marTop w:val="0"/>
          <w:marBottom w:val="0"/>
          <w:divBdr>
            <w:top w:val="none" w:sz="0" w:space="0" w:color="auto"/>
            <w:left w:val="none" w:sz="0" w:space="0" w:color="auto"/>
            <w:bottom w:val="none" w:sz="0" w:space="0" w:color="auto"/>
            <w:right w:val="none" w:sz="0" w:space="0" w:color="auto"/>
          </w:divBdr>
        </w:div>
        <w:div w:id="494077086">
          <w:marLeft w:val="480"/>
          <w:marRight w:val="0"/>
          <w:marTop w:val="0"/>
          <w:marBottom w:val="0"/>
          <w:divBdr>
            <w:top w:val="none" w:sz="0" w:space="0" w:color="auto"/>
            <w:left w:val="none" w:sz="0" w:space="0" w:color="auto"/>
            <w:bottom w:val="none" w:sz="0" w:space="0" w:color="auto"/>
            <w:right w:val="none" w:sz="0" w:space="0" w:color="auto"/>
          </w:divBdr>
        </w:div>
        <w:div w:id="1692026503">
          <w:marLeft w:val="480"/>
          <w:marRight w:val="0"/>
          <w:marTop w:val="0"/>
          <w:marBottom w:val="0"/>
          <w:divBdr>
            <w:top w:val="none" w:sz="0" w:space="0" w:color="auto"/>
            <w:left w:val="none" w:sz="0" w:space="0" w:color="auto"/>
            <w:bottom w:val="none" w:sz="0" w:space="0" w:color="auto"/>
            <w:right w:val="none" w:sz="0" w:space="0" w:color="auto"/>
          </w:divBdr>
        </w:div>
        <w:div w:id="708649089">
          <w:marLeft w:val="480"/>
          <w:marRight w:val="0"/>
          <w:marTop w:val="0"/>
          <w:marBottom w:val="0"/>
          <w:divBdr>
            <w:top w:val="none" w:sz="0" w:space="0" w:color="auto"/>
            <w:left w:val="none" w:sz="0" w:space="0" w:color="auto"/>
            <w:bottom w:val="none" w:sz="0" w:space="0" w:color="auto"/>
            <w:right w:val="none" w:sz="0" w:space="0" w:color="auto"/>
          </w:divBdr>
        </w:div>
        <w:div w:id="2053773400">
          <w:marLeft w:val="480"/>
          <w:marRight w:val="0"/>
          <w:marTop w:val="0"/>
          <w:marBottom w:val="0"/>
          <w:divBdr>
            <w:top w:val="none" w:sz="0" w:space="0" w:color="auto"/>
            <w:left w:val="none" w:sz="0" w:space="0" w:color="auto"/>
            <w:bottom w:val="none" w:sz="0" w:space="0" w:color="auto"/>
            <w:right w:val="none" w:sz="0" w:space="0" w:color="auto"/>
          </w:divBdr>
        </w:div>
        <w:div w:id="265771054">
          <w:marLeft w:val="480"/>
          <w:marRight w:val="0"/>
          <w:marTop w:val="0"/>
          <w:marBottom w:val="0"/>
          <w:divBdr>
            <w:top w:val="none" w:sz="0" w:space="0" w:color="auto"/>
            <w:left w:val="none" w:sz="0" w:space="0" w:color="auto"/>
            <w:bottom w:val="none" w:sz="0" w:space="0" w:color="auto"/>
            <w:right w:val="none" w:sz="0" w:space="0" w:color="auto"/>
          </w:divBdr>
        </w:div>
        <w:div w:id="968583981">
          <w:marLeft w:val="480"/>
          <w:marRight w:val="0"/>
          <w:marTop w:val="0"/>
          <w:marBottom w:val="0"/>
          <w:divBdr>
            <w:top w:val="none" w:sz="0" w:space="0" w:color="auto"/>
            <w:left w:val="none" w:sz="0" w:space="0" w:color="auto"/>
            <w:bottom w:val="none" w:sz="0" w:space="0" w:color="auto"/>
            <w:right w:val="none" w:sz="0" w:space="0" w:color="auto"/>
          </w:divBdr>
        </w:div>
        <w:div w:id="634915538">
          <w:marLeft w:val="480"/>
          <w:marRight w:val="0"/>
          <w:marTop w:val="0"/>
          <w:marBottom w:val="0"/>
          <w:divBdr>
            <w:top w:val="none" w:sz="0" w:space="0" w:color="auto"/>
            <w:left w:val="none" w:sz="0" w:space="0" w:color="auto"/>
            <w:bottom w:val="none" w:sz="0" w:space="0" w:color="auto"/>
            <w:right w:val="none" w:sz="0" w:space="0" w:color="auto"/>
          </w:divBdr>
        </w:div>
        <w:div w:id="727648442">
          <w:marLeft w:val="480"/>
          <w:marRight w:val="0"/>
          <w:marTop w:val="0"/>
          <w:marBottom w:val="0"/>
          <w:divBdr>
            <w:top w:val="none" w:sz="0" w:space="0" w:color="auto"/>
            <w:left w:val="none" w:sz="0" w:space="0" w:color="auto"/>
            <w:bottom w:val="none" w:sz="0" w:space="0" w:color="auto"/>
            <w:right w:val="none" w:sz="0" w:space="0" w:color="auto"/>
          </w:divBdr>
        </w:div>
        <w:div w:id="359940666">
          <w:marLeft w:val="480"/>
          <w:marRight w:val="0"/>
          <w:marTop w:val="0"/>
          <w:marBottom w:val="0"/>
          <w:divBdr>
            <w:top w:val="none" w:sz="0" w:space="0" w:color="auto"/>
            <w:left w:val="none" w:sz="0" w:space="0" w:color="auto"/>
            <w:bottom w:val="none" w:sz="0" w:space="0" w:color="auto"/>
            <w:right w:val="none" w:sz="0" w:space="0" w:color="auto"/>
          </w:divBdr>
        </w:div>
        <w:div w:id="647827351">
          <w:marLeft w:val="480"/>
          <w:marRight w:val="0"/>
          <w:marTop w:val="0"/>
          <w:marBottom w:val="0"/>
          <w:divBdr>
            <w:top w:val="none" w:sz="0" w:space="0" w:color="auto"/>
            <w:left w:val="none" w:sz="0" w:space="0" w:color="auto"/>
            <w:bottom w:val="none" w:sz="0" w:space="0" w:color="auto"/>
            <w:right w:val="none" w:sz="0" w:space="0" w:color="auto"/>
          </w:divBdr>
        </w:div>
        <w:div w:id="2043049915">
          <w:marLeft w:val="480"/>
          <w:marRight w:val="0"/>
          <w:marTop w:val="0"/>
          <w:marBottom w:val="0"/>
          <w:divBdr>
            <w:top w:val="none" w:sz="0" w:space="0" w:color="auto"/>
            <w:left w:val="none" w:sz="0" w:space="0" w:color="auto"/>
            <w:bottom w:val="none" w:sz="0" w:space="0" w:color="auto"/>
            <w:right w:val="none" w:sz="0" w:space="0" w:color="auto"/>
          </w:divBdr>
        </w:div>
        <w:div w:id="695816549">
          <w:marLeft w:val="480"/>
          <w:marRight w:val="0"/>
          <w:marTop w:val="0"/>
          <w:marBottom w:val="0"/>
          <w:divBdr>
            <w:top w:val="none" w:sz="0" w:space="0" w:color="auto"/>
            <w:left w:val="none" w:sz="0" w:space="0" w:color="auto"/>
            <w:bottom w:val="none" w:sz="0" w:space="0" w:color="auto"/>
            <w:right w:val="none" w:sz="0" w:space="0" w:color="auto"/>
          </w:divBdr>
        </w:div>
        <w:div w:id="1944457697">
          <w:marLeft w:val="480"/>
          <w:marRight w:val="0"/>
          <w:marTop w:val="0"/>
          <w:marBottom w:val="0"/>
          <w:divBdr>
            <w:top w:val="none" w:sz="0" w:space="0" w:color="auto"/>
            <w:left w:val="none" w:sz="0" w:space="0" w:color="auto"/>
            <w:bottom w:val="none" w:sz="0" w:space="0" w:color="auto"/>
            <w:right w:val="none" w:sz="0" w:space="0" w:color="auto"/>
          </w:divBdr>
        </w:div>
        <w:div w:id="1617635044">
          <w:marLeft w:val="480"/>
          <w:marRight w:val="0"/>
          <w:marTop w:val="0"/>
          <w:marBottom w:val="0"/>
          <w:divBdr>
            <w:top w:val="none" w:sz="0" w:space="0" w:color="auto"/>
            <w:left w:val="none" w:sz="0" w:space="0" w:color="auto"/>
            <w:bottom w:val="none" w:sz="0" w:space="0" w:color="auto"/>
            <w:right w:val="none" w:sz="0" w:space="0" w:color="auto"/>
          </w:divBdr>
        </w:div>
        <w:div w:id="428165188">
          <w:marLeft w:val="480"/>
          <w:marRight w:val="0"/>
          <w:marTop w:val="0"/>
          <w:marBottom w:val="0"/>
          <w:divBdr>
            <w:top w:val="none" w:sz="0" w:space="0" w:color="auto"/>
            <w:left w:val="none" w:sz="0" w:space="0" w:color="auto"/>
            <w:bottom w:val="none" w:sz="0" w:space="0" w:color="auto"/>
            <w:right w:val="none" w:sz="0" w:space="0" w:color="auto"/>
          </w:divBdr>
        </w:div>
        <w:div w:id="111555176">
          <w:marLeft w:val="480"/>
          <w:marRight w:val="0"/>
          <w:marTop w:val="0"/>
          <w:marBottom w:val="0"/>
          <w:divBdr>
            <w:top w:val="none" w:sz="0" w:space="0" w:color="auto"/>
            <w:left w:val="none" w:sz="0" w:space="0" w:color="auto"/>
            <w:bottom w:val="none" w:sz="0" w:space="0" w:color="auto"/>
            <w:right w:val="none" w:sz="0" w:space="0" w:color="auto"/>
          </w:divBdr>
        </w:div>
        <w:div w:id="1279487346">
          <w:marLeft w:val="480"/>
          <w:marRight w:val="0"/>
          <w:marTop w:val="0"/>
          <w:marBottom w:val="0"/>
          <w:divBdr>
            <w:top w:val="none" w:sz="0" w:space="0" w:color="auto"/>
            <w:left w:val="none" w:sz="0" w:space="0" w:color="auto"/>
            <w:bottom w:val="none" w:sz="0" w:space="0" w:color="auto"/>
            <w:right w:val="none" w:sz="0" w:space="0" w:color="auto"/>
          </w:divBdr>
        </w:div>
        <w:div w:id="213395934">
          <w:marLeft w:val="480"/>
          <w:marRight w:val="0"/>
          <w:marTop w:val="0"/>
          <w:marBottom w:val="0"/>
          <w:divBdr>
            <w:top w:val="none" w:sz="0" w:space="0" w:color="auto"/>
            <w:left w:val="none" w:sz="0" w:space="0" w:color="auto"/>
            <w:bottom w:val="none" w:sz="0" w:space="0" w:color="auto"/>
            <w:right w:val="none" w:sz="0" w:space="0" w:color="auto"/>
          </w:divBdr>
        </w:div>
        <w:div w:id="799886187">
          <w:marLeft w:val="480"/>
          <w:marRight w:val="0"/>
          <w:marTop w:val="0"/>
          <w:marBottom w:val="0"/>
          <w:divBdr>
            <w:top w:val="none" w:sz="0" w:space="0" w:color="auto"/>
            <w:left w:val="none" w:sz="0" w:space="0" w:color="auto"/>
            <w:bottom w:val="none" w:sz="0" w:space="0" w:color="auto"/>
            <w:right w:val="none" w:sz="0" w:space="0" w:color="auto"/>
          </w:divBdr>
        </w:div>
        <w:div w:id="104421763">
          <w:marLeft w:val="480"/>
          <w:marRight w:val="0"/>
          <w:marTop w:val="0"/>
          <w:marBottom w:val="0"/>
          <w:divBdr>
            <w:top w:val="none" w:sz="0" w:space="0" w:color="auto"/>
            <w:left w:val="none" w:sz="0" w:space="0" w:color="auto"/>
            <w:bottom w:val="none" w:sz="0" w:space="0" w:color="auto"/>
            <w:right w:val="none" w:sz="0" w:space="0" w:color="auto"/>
          </w:divBdr>
        </w:div>
        <w:div w:id="442531473">
          <w:marLeft w:val="480"/>
          <w:marRight w:val="0"/>
          <w:marTop w:val="0"/>
          <w:marBottom w:val="0"/>
          <w:divBdr>
            <w:top w:val="none" w:sz="0" w:space="0" w:color="auto"/>
            <w:left w:val="none" w:sz="0" w:space="0" w:color="auto"/>
            <w:bottom w:val="none" w:sz="0" w:space="0" w:color="auto"/>
            <w:right w:val="none" w:sz="0" w:space="0" w:color="auto"/>
          </w:divBdr>
        </w:div>
        <w:div w:id="1474904344">
          <w:marLeft w:val="480"/>
          <w:marRight w:val="0"/>
          <w:marTop w:val="0"/>
          <w:marBottom w:val="0"/>
          <w:divBdr>
            <w:top w:val="none" w:sz="0" w:space="0" w:color="auto"/>
            <w:left w:val="none" w:sz="0" w:space="0" w:color="auto"/>
            <w:bottom w:val="none" w:sz="0" w:space="0" w:color="auto"/>
            <w:right w:val="none" w:sz="0" w:space="0" w:color="auto"/>
          </w:divBdr>
        </w:div>
        <w:div w:id="497112018">
          <w:marLeft w:val="480"/>
          <w:marRight w:val="0"/>
          <w:marTop w:val="0"/>
          <w:marBottom w:val="0"/>
          <w:divBdr>
            <w:top w:val="none" w:sz="0" w:space="0" w:color="auto"/>
            <w:left w:val="none" w:sz="0" w:space="0" w:color="auto"/>
            <w:bottom w:val="none" w:sz="0" w:space="0" w:color="auto"/>
            <w:right w:val="none" w:sz="0" w:space="0" w:color="auto"/>
          </w:divBdr>
        </w:div>
        <w:div w:id="2049790522">
          <w:marLeft w:val="480"/>
          <w:marRight w:val="0"/>
          <w:marTop w:val="0"/>
          <w:marBottom w:val="0"/>
          <w:divBdr>
            <w:top w:val="none" w:sz="0" w:space="0" w:color="auto"/>
            <w:left w:val="none" w:sz="0" w:space="0" w:color="auto"/>
            <w:bottom w:val="none" w:sz="0" w:space="0" w:color="auto"/>
            <w:right w:val="none" w:sz="0" w:space="0" w:color="auto"/>
          </w:divBdr>
        </w:div>
        <w:div w:id="507256349">
          <w:marLeft w:val="480"/>
          <w:marRight w:val="0"/>
          <w:marTop w:val="0"/>
          <w:marBottom w:val="0"/>
          <w:divBdr>
            <w:top w:val="none" w:sz="0" w:space="0" w:color="auto"/>
            <w:left w:val="none" w:sz="0" w:space="0" w:color="auto"/>
            <w:bottom w:val="none" w:sz="0" w:space="0" w:color="auto"/>
            <w:right w:val="none" w:sz="0" w:space="0" w:color="auto"/>
          </w:divBdr>
        </w:div>
        <w:div w:id="1171677054">
          <w:marLeft w:val="480"/>
          <w:marRight w:val="0"/>
          <w:marTop w:val="0"/>
          <w:marBottom w:val="0"/>
          <w:divBdr>
            <w:top w:val="none" w:sz="0" w:space="0" w:color="auto"/>
            <w:left w:val="none" w:sz="0" w:space="0" w:color="auto"/>
            <w:bottom w:val="none" w:sz="0" w:space="0" w:color="auto"/>
            <w:right w:val="none" w:sz="0" w:space="0" w:color="auto"/>
          </w:divBdr>
        </w:div>
        <w:div w:id="970674187">
          <w:marLeft w:val="480"/>
          <w:marRight w:val="0"/>
          <w:marTop w:val="0"/>
          <w:marBottom w:val="0"/>
          <w:divBdr>
            <w:top w:val="none" w:sz="0" w:space="0" w:color="auto"/>
            <w:left w:val="none" w:sz="0" w:space="0" w:color="auto"/>
            <w:bottom w:val="none" w:sz="0" w:space="0" w:color="auto"/>
            <w:right w:val="none" w:sz="0" w:space="0" w:color="auto"/>
          </w:divBdr>
        </w:div>
        <w:div w:id="1471095877">
          <w:marLeft w:val="480"/>
          <w:marRight w:val="0"/>
          <w:marTop w:val="0"/>
          <w:marBottom w:val="0"/>
          <w:divBdr>
            <w:top w:val="none" w:sz="0" w:space="0" w:color="auto"/>
            <w:left w:val="none" w:sz="0" w:space="0" w:color="auto"/>
            <w:bottom w:val="none" w:sz="0" w:space="0" w:color="auto"/>
            <w:right w:val="none" w:sz="0" w:space="0" w:color="auto"/>
          </w:divBdr>
        </w:div>
        <w:div w:id="417678222">
          <w:marLeft w:val="480"/>
          <w:marRight w:val="0"/>
          <w:marTop w:val="0"/>
          <w:marBottom w:val="0"/>
          <w:divBdr>
            <w:top w:val="none" w:sz="0" w:space="0" w:color="auto"/>
            <w:left w:val="none" w:sz="0" w:space="0" w:color="auto"/>
            <w:bottom w:val="none" w:sz="0" w:space="0" w:color="auto"/>
            <w:right w:val="none" w:sz="0" w:space="0" w:color="auto"/>
          </w:divBdr>
        </w:div>
        <w:div w:id="1642224572">
          <w:marLeft w:val="480"/>
          <w:marRight w:val="0"/>
          <w:marTop w:val="0"/>
          <w:marBottom w:val="0"/>
          <w:divBdr>
            <w:top w:val="none" w:sz="0" w:space="0" w:color="auto"/>
            <w:left w:val="none" w:sz="0" w:space="0" w:color="auto"/>
            <w:bottom w:val="none" w:sz="0" w:space="0" w:color="auto"/>
            <w:right w:val="none" w:sz="0" w:space="0" w:color="auto"/>
          </w:divBdr>
        </w:div>
        <w:div w:id="1483277810">
          <w:marLeft w:val="480"/>
          <w:marRight w:val="0"/>
          <w:marTop w:val="0"/>
          <w:marBottom w:val="0"/>
          <w:divBdr>
            <w:top w:val="none" w:sz="0" w:space="0" w:color="auto"/>
            <w:left w:val="none" w:sz="0" w:space="0" w:color="auto"/>
            <w:bottom w:val="none" w:sz="0" w:space="0" w:color="auto"/>
            <w:right w:val="none" w:sz="0" w:space="0" w:color="auto"/>
          </w:divBdr>
          <w:divsChild>
            <w:div w:id="968516359">
              <w:marLeft w:val="0"/>
              <w:marRight w:val="0"/>
              <w:marTop w:val="0"/>
              <w:marBottom w:val="0"/>
              <w:divBdr>
                <w:top w:val="none" w:sz="0" w:space="0" w:color="auto"/>
                <w:left w:val="none" w:sz="0" w:space="0" w:color="auto"/>
                <w:bottom w:val="none" w:sz="0" w:space="0" w:color="auto"/>
                <w:right w:val="none" w:sz="0" w:space="0" w:color="auto"/>
              </w:divBdr>
              <w:divsChild>
                <w:div w:id="403919584">
                  <w:marLeft w:val="480"/>
                  <w:marRight w:val="0"/>
                  <w:marTop w:val="0"/>
                  <w:marBottom w:val="0"/>
                  <w:divBdr>
                    <w:top w:val="none" w:sz="0" w:space="0" w:color="auto"/>
                    <w:left w:val="none" w:sz="0" w:space="0" w:color="auto"/>
                    <w:bottom w:val="none" w:sz="0" w:space="0" w:color="auto"/>
                    <w:right w:val="none" w:sz="0" w:space="0" w:color="auto"/>
                  </w:divBdr>
                </w:div>
                <w:div w:id="1250702065">
                  <w:marLeft w:val="480"/>
                  <w:marRight w:val="0"/>
                  <w:marTop w:val="0"/>
                  <w:marBottom w:val="0"/>
                  <w:divBdr>
                    <w:top w:val="none" w:sz="0" w:space="0" w:color="auto"/>
                    <w:left w:val="none" w:sz="0" w:space="0" w:color="auto"/>
                    <w:bottom w:val="none" w:sz="0" w:space="0" w:color="auto"/>
                    <w:right w:val="none" w:sz="0" w:space="0" w:color="auto"/>
                  </w:divBdr>
                </w:div>
                <w:div w:id="1277057226">
                  <w:marLeft w:val="480"/>
                  <w:marRight w:val="0"/>
                  <w:marTop w:val="0"/>
                  <w:marBottom w:val="0"/>
                  <w:divBdr>
                    <w:top w:val="none" w:sz="0" w:space="0" w:color="auto"/>
                    <w:left w:val="none" w:sz="0" w:space="0" w:color="auto"/>
                    <w:bottom w:val="none" w:sz="0" w:space="0" w:color="auto"/>
                    <w:right w:val="none" w:sz="0" w:space="0" w:color="auto"/>
                  </w:divBdr>
                </w:div>
                <w:div w:id="1881699416">
                  <w:marLeft w:val="480"/>
                  <w:marRight w:val="0"/>
                  <w:marTop w:val="0"/>
                  <w:marBottom w:val="0"/>
                  <w:divBdr>
                    <w:top w:val="none" w:sz="0" w:space="0" w:color="auto"/>
                    <w:left w:val="none" w:sz="0" w:space="0" w:color="auto"/>
                    <w:bottom w:val="none" w:sz="0" w:space="0" w:color="auto"/>
                    <w:right w:val="none" w:sz="0" w:space="0" w:color="auto"/>
                  </w:divBdr>
                </w:div>
                <w:div w:id="644969125">
                  <w:marLeft w:val="480"/>
                  <w:marRight w:val="0"/>
                  <w:marTop w:val="0"/>
                  <w:marBottom w:val="0"/>
                  <w:divBdr>
                    <w:top w:val="none" w:sz="0" w:space="0" w:color="auto"/>
                    <w:left w:val="none" w:sz="0" w:space="0" w:color="auto"/>
                    <w:bottom w:val="none" w:sz="0" w:space="0" w:color="auto"/>
                    <w:right w:val="none" w:sz="0" w:space="0" w:color="auto"/>
                  </w:divBdr>
                </w:div>
                <w:div w:id="1781104575">
                  <w:marLeft w:val="480"/>
                  <w:marRight w:val="0"/>
                  <w:marTop w:val="0"/>
                  <w:marBottom w:val="0"/>
                  <w:divBdr>
                    <w:top w:val="none" w:sz="0" w:space="0" w:color="auto"/>
                    <w:left w:val="none" w:sz="0" w:space="0" w:color="auto"/>
                    <w:bottom w:val="none" w:sz="0" w:space="0" w:color="auto"/>
                    <w:right w:val="none" w:sz="0" w:space="0" w:color="auto"/>
                  </w:divBdr>
                </w:div>
                <w:div w:id="1371302586">
                  <w:marLeft w:val="480"/>
                  <w:marRight w:val="0"/>
                  <w:marTop w:val="0"/>
                  <w:marBottom w:val="0"/>
                  <w:divBdr>
                    <w:top w:val="none" w:sz="0" w:space="0" w:color="auto"/>
                    <w:left w:val="none" w:sz="0" w:space="0" w:color="auto"/>
                    <w:bottom w:val="none" w:sz="0" w:space="0" w:color="auto"/>
                    <w:right w:val="none" w:sz="0" w:space="0" w:color="auto"/>
                  </w:divBdr>
                </w:div>
                <w:div w:id="1872717466">
                  <w:marLeft w:val="480"/>
                  <w:marRight w:val="0"/>
                  <w:marTop w:val="0"/>
                  <w:marBottom w:val="0"/>
                  <w:divBdr>
                    <w:top w:val="none" w:sz="0" w:space="0" w:color="auto"/>
                    <w:left w:val="none" w:sz="0" w:space="0" w:color="auto"/>
                    <w:bottom w:val="none" w:sz="0" w:space="0" w:color="auto"/>
                    <w:right w:val="none" w:sz="0" w:space="0" w:color="auto"/>
                  </w:divBdr>
                </w:div>
                <w:div w:id="1302149118">
                  <w:marLeft w:val="480"/>
                  <w:marRight w:val="0"/>
                  <w:marTop w:val="0"/>
                  <w:marBottom w:val="0"/>
                  <w:divBdr>
                    <w:top w:val="none" w:sz="0" w:space="0" w:color="auto"/>
                    <w:left w:val="none" w:sz="0" w:space="0" w:color="auto"/>
                    <w:bottom w:val="none" w:sz="0" w:space="0" w:color="auto"/>
                    <w:right w:val="none" w:sz="0" w:space="0" w:color="auto"/>
                  </w:divBdr>
                </w:div>
                <w:div w:id="1879662294">
                  <w:marLeft w:val="480"/>
                  <w:marRight w:val="0"/>
                  <w:marTop w:val="0"/>
                  <w:marBottom w:val="0"/>
                  <w:divBdr>
                    <w:top w:val="none" w:sz="0" w:space="0" w:color="auto"/>
                    <w:left w:val="none" w:sz="0" w:space="0" w:color="auto"/>
                    <w:bottom w:val="none" w:sz="0" w:space="0" w:color="auto"/>
                    <w:right w:val="none" w:sz="0" w:space="0" w:color="auto"/>
                  </w:divBdr>
                </w:div>
                <w:div w:id="1062631614">
                  <w:marLeft w:val="480"/>
                  <w:marRight w:val="0"/>
                  <w:marTop w:val="0"/>
                  <w:marBottom w:val="0"/>
                  <w:divBdr>
                    <w:top w:val="none" w:sz="0" w:space="0" w:color="auto"/>
                    <w:left w:val="none" w:sz="0" w:space="0" w:color="auto"/>
                    <w:bottom w:val="none" w:sz="0" w:space="0" w:color="auto"/>
                    <w:right w:val="none" w:sz="0" w:space="0" w:color="auto"/>
                  </w:divBdr>
                </w:div>
                <w:div w:id="1556896412">
                  <w:marLeft w:val="480"/>
                  <w:marRight w:val="0"/>
                  <w:marTop w:val="0"/>
                  <w:marBottom w:val="0"/>
                  <w:divBdr>
                    <w:top w:val="none" w:sz="0" w:space="0" w:color="auto"/>
                    <w:left w:val="none" w:sz="0" w:space="0" w:color="auto"/>
                    <w:bottom w:val="none" w:sz="0" w:space="0" w:color="auto"/>
                    <w:right w:val="none" w:sz="0" w:space="0" w:color="auto"/>
                  </w:divBdr>
                </w:div>
                <w:div w:id="259877742">
                  <w:marLeft w:val="480"/>
                  <w:marRight w:val="0"/>
                  <w:marTop w:val="0"/>
                  <w:marBottom w:val="0"/>
                  <w:divBdr>
                    <w:top w:val="none" w:sz="0" w:space="0" w:color="auto"/>
                    <w:left w:val="none" w:sz="0" w:space="0" w:color="auto"/>
                    <w:bottom w:val="none" w:sz="0" w:space="0" w:color="auto"/>
                    <w:right w:val="none" w:sz="0" w:space="0" w:color="auto"/>
                  </w:divBdr>
                </w:div>
                <w:div w:id="345448786">
                  <w:marLeft w:val="480"/>
                  <w:marRight w:val="0"/>
                  <w:marTop w:val="0"/>
                  <w:marBottom w:val="0"/>
                  <w:divBdr>
                    <w:top w:val="none" w:sz="0" w:space="0" w:color="auto"/>
                    <w:left w:val="none" w:sz="0" w:space="0" w:color="auto"/>
                    <w:bottom w:val="none" w:sz="0" w:space="0" w:color="auto"/>
                    <w:right w:val="none" w:sz="0" w:space="0" w:color="auto"/>
                  </w:divBdr>
                </w:div>
                <w:div w:id="380638021">
                  <w:marLeft w:val="480"/>
                  <w:marRight w:val="0"/>
                  <w:marTop w:val="0"/>
                  <w:marBottom w:val="0"/>
                  <w:divBdr>
                    <w:top w:val="none" w:sz="0" w:space="0" w:color="auto"/>
                    <w:left w:val="none" w:sz="0" w:space="0" w:color="auto"/>
                    <w:bottom w:val="none" w:sz="0" w:space="0" w:color="auto"/>
                    <w:right w:val="none" w:sz="0" w:space="0" w:color="auto"/>
                  </w:divBdr>
                </w:div>
                <w:div w:id="737480586">
                  <w:marLeft w:val="480"/>
                  <w:marRight w:val="0"/>
                  <w:marTop w:val="0"/>
                  <w:marBottom w:val="0"/>
                  <w:divBdr>
                    <w:top w:val="none" w:sz="0" w:space="0" w:color="auto"/>
                    <w:left w:val="none" w:sz="0" w:space="0" w:color="auto"/>
                    <w:bottom w:val="none" w:sz="0" w:space="0" w:color="auto"/>
                    <w:right w:val="none" w:sz="0" w:space="0" w:color="auto"/>
                  </w:divBdr>
                </w:div>
                <w:div w:id="244389124">
                  <w:marLeft w:val="480"/>
                  <w:marRight w:val="0"/>
                  <w:marTop w:val="0"/>
                  <w:marBottom w:val="0"/>
                  <w:divBdr>
                    <w:top w:val="none" w:sz="0" w:space="0" w:color="auto"/>
                    <w:left w:val="none" w:sz="0" w:space="0" w:color="auto"/>
                    <w:bottom w:val="none" w:sz="0" w:space="0" w:color="auto"/>
                    <w:right w:val="none" w:sz="0" w:space="0" w:color="auto"/>
                  </w:divBdr>
                </w:div>
                <w:div w:id="45883419">
                  <w:marLeft w:val="480"/>
                  <w:marRight w:val="0"/>
                  <w:marTop w:val="0"/>
                  <w:marBottom w:val="0"/>
                  <w:divBdr>
                    <w:top w:val="none" w:sz="0" w:space="0" w:color="auto"/>
                    <w:left w:val="none" w:sz="0" w:space="0" w:color="auto"/>
                    <w:bottom w:val="none" w:sz="0" w:space="0" w:color="auto"/>
                    <w:right w:val="none" w:sz="0" w:space="0" w:color="auto"/>
                  </w:divBdr>
                </w:div>
                <w:div w:id="757364662">
                  <w:marLeft w:val="480"/>
                  <w:marRight w:val="0"/>
                  <w:marTop w:val="0"/>
                  <w:marBottom w:val="0"/>
                  <w:divBdr>
                    <w:top w:val="none" w:sz="0" w:space="0" w:color="auto"/>
                    <w:left w:val="none" w:sz="0" w:space="0" w:color="auto"/>
                    <w:bottom w:val="none" w:sz="0" w:space="0" w:color="auto"/>
                    <w:right w:val="none" w:sz="0" w:space="0" w:color="auto"/>
                  </w:divBdr>
                </w:div>
                <w:div w:id="704407804">
                  <w:marLeft w:val="480"/>
                  <w:marRight w:val="0"/>
                  <w:marTop w:val="0"/>
                  <w:marBottom w:val="0"/>
                  <w:divBdr>
                    <w:top w:val="none" w:sz="0" w:space="0" w:color="auto"/>
                    <w:left w:val="none" w:sz="0" w:space="0" w:color="auto"/>
                    <w:bottom w:val="none" w:sz="0" w:space="0" w:color="auto"/>
                    <w:right w:val="none" w:sz="0" w:space="0" w:color="auto"/>
                  </w:divBdr>
                </w:div>
                <w:div w:id="17121343">
                  <w:marLeft w:val="480"/>
                  <w:marRight w:val="0"/>
                  <w:marTop w:val="0"/>
                  <w:marBottom w:val="0"/>
                  <w:divBdr>
                    <w:top w:val="none" w:sz="0" w:space="0" w:color="auto"/>
                    <w:left w:val="none" w:sz="0" w:space="0" w:color="auto"/>
                    <w:bottom w:val="none" w:sz="0" w:space="0" w:color="auto"/>
                    <w:right w:val="none" w:sz="0" w:space="0" w:color="auto"/>
                  </w:divBdr>
                </w:div>
                <w:div w:id="1421221004">
                  <w:marLeft w:val="480"/>
                  <w:marRight w:val="0"/>
                  <w:marTop w:val="0"/>
                  <w:marBottom w:val="0"/>
                  <w:divBdr>
                    <w:top w:val="none" w:sz="0" w:space="0" w:color="auto"/>
                    <w:left w:val="none" w:sz="0" w:space="0" w:color="auto"/>
                    <w:bottom w:val="none" w:sz="0" w:space="0" w:color="auto"/>
                    <w:right w:val="none" w:sz="0" w:space="0" w:color="auto"/>
                  </w:divBdr>
                </w:div>
                <w:div w:id="895504331">
                  <w:marLeft w:val="480"/>
                  <w:marRight w:val="0"/>
                  <w:marTop w:val="0"/>
                  <w:marBottom w:val="0"/>
                  <w:divBdr>
                    <w:top w:val="none" w:sz="0" w:space="0" w:color="auto"/>
                    <w:left w:val="none" w:sz="0" w:space="0" w:color="auto"/>
                    <w:bottom w:val="none" w:sz="0" w:space="0" w:color="auto"/>
                    <w:right w:val="none" w:sz="0" w:space="0" w:color="auto"/>
                  </w:divBdr>
                </w:div>
                <w:div w:id="1689062164">
                  <w:marLeft w:val="480"/>
                  <w:marRight w:val="0"/>
                  <w:marTop w:val="0"/>
                  <w:marBottom w:val="0"/>
                  <w:divBdr>
                    <w:top w:val="none" w:sz="0" w:space="0" w:color="auto"/>
                    <w:left w:val="none" w:sz="0" w:space="0" w:color="auto"/>
                    <w:bottom w:val="none" w:sz="0" w:space="0" w:color="auto"/>
                    <w:right w:val="none" w:sz="0" w:space="0" w:color="auto"/>
                  </w:divBdr>
                </w:div>
                <w:div w:id="2110349054">
                  <w:marLeft w:val="480"/>
                  <w:marRight w:val="0"/>
                  <w:marTop w:val="0"/>
                  <w:marBottom w:val="0"/>
                  <w:divBdr>
                    <w:top w:val="none" w:sz="0" w:space="0" w:color="auto"/>
                    <w:left w:val="none" w:sz="0" w:space="0" w:color="auto"/>
                    <w:bottom w:val="none" w:sz="0" w:space="0" w:color="auto"/>
                    <w:right w:val="none" w:sz="0" w:space="0" w:color="auto"/>
                  </w:divBdr>
                </w:div>
                <w:div w:id="1832792302">
                  <w:marLeft w:val="480"/>
                  <w:marRight w:val="0"/>
                  <w:marTop w:val="0"/>
                  <w:marBottom w:val="0"/>
                  <w:divBdr>
                    <w:top w:val="none" w:sz="0" w:space="0" w:color="auto"/>
                    <w:left w:val="none" w:sz="0" w:space="0" w:color="auto"/>
                    <w:bottom w:val="none" w:sz="0" w:space="0" w:color="auto"/>
                    <w:right w:val="none" w:sz="0" w:space="0" w:color="auto"/>
                  </w:divBdr>
                </w:div>
                <w:div w:id="1506433389">
                  <w:marLeft w:val="480"/>
                  <w:marRight w:val="0"/>
                  <w:marTop w:val="0"/>
                  <w:marBottom w:val="0"/>
                  <w:divBdr>
                    <w:top w:val="none" w:sz="0" w:space="0" w:color="auto"/>
                    <w:left w:val="none" w:sz="0" w:space="0" w:color="auto"/>
                    <w:bottom w:val="none" w:sz="0" w:space="0" w:color="auto"/>
                    <w:right w:val="none" w:sz="0" w:space="0" w:color="auto"/>
                  </w:divBdr>
                </w:div>
                <w:div w:id="914899292">
                  <w:marLeft w:val="480"/>
                  <w:marRight w:val="0"/>
                  <w:marTop w:val="0"/>
                  <w:marBottom w:val="0"/>
                  <w:divBdr>
                    <w:top w:val="none" w:sz="0" w:space="0" w:color="auto"/>
                    <w:left w:val="none" w:sz="0" w:space="0" w:color="auto"/>
                    <w:bottom w:val="none" w:sz="0" w:space="0" w:color="auto"/>
                    <w:right w:val="none" w:sz="0" w:space="0" w:color="auto"/>
                  </w:divBdr>
                </w:div>
                <w:div w:id="44718532">
                  <w:marLeft w:val="480"/>
                  <w:marRight w:val="0"/>
                  <w:marTop w:val="0"/>
                  <w:marBottom w:val="0"/>
                  <w:divBdr>
                    <w:top w:val="none" w:sz="0" w:space="0" w:color="auto"/>
                    <w:left w:val="none" w:sz="0" w:space="0" w:color="auto"/>
                    <w:bottom w:val="none" w:sz="0" w:space="0" w:color="auto"/>
                    <w:right w:val="none" w:sz="0" w:space="0" w:color="auto"/>
                  </w:divBdr>
                </w:div>
                <w:div w:id="245498780">
                  <w:marLeft w:val="480"/>
                  <w:marRight w:val="0"/>
                  <w:marTop w:val="0"/>
                  <w:marBottom w:val="0"/>
                  <w:divBdr>
                    <w:top w:val="none" w:sz="0" w:space="0" w:color="auto"/>
                    <w:left w:val="none" w:sz="0" w:space="0" w:color="auto"/>
                    <w:bottom w:val="none" w:sz="0" w:space="0" w:color="auto"/>
                    <w:right w:val="none" w:sz="0" w:space="0" w:color="auto"/>
                  </w:divBdr>
                </w:div>
                <w:div w:id="496918016">
                  <w:marLeft w:val="480"/>
                  <w:marRight w:val="0"/>
                  <w:marTop w:val="0"/>
                  <w:marBottom w:val="0"/>
                  <w:divBdr>
                    <w:top w:val="none" w:sz="0" w:space="0" w:color="auto"/>
                    <w:left w:val="none" w:sz="0" w:space="0" w:color="auto"/>
                    <w:bottom w:val="none" w:sz="0" w:space="0" w:color="auto"/>
                    <w:right w:val="none" w:sz="0" w:space="0" w:color="auto"/>
                  </w:divBdr>
                </w:div>
                <w:div w:id="2137947703">
                  <w:marLeft w:val="480"/>
                  <w:marRight w:val="0"/>
                  <w:marTop w:val="0"/>
                  <w:marBottom w:val="0"/>
                  <w:divBdr>
                    <w:top w:val="none" w:sz="0" w:space="0" w:color="auto"/>
                    <w:left w:val="none" w:sz="0" w:space="0" w:color="auto"/>
                    <w:bottom w:val="none" w:sz="0" w:space="0" w:color="auto"/>
                    <w:right w:val="none" w:sz="0" w:space="0" w:color="auto"/>
                  </w:divBdr>
                </w:div>
                <w:div w:id="1941524840">
                  <w:marLeft w:val="480"/>
                  <w:marRight w:val="0"/>
                  <w:marTop w:val="0"/>
                  <w:marBottom w:val="0"/>
                  <w:divBdr>
                    <w:top w:val="none" w:sz="0" w:space="0" w:color="auto"/>
                    <w:left w:val="none" w:sz="0" w:space="0" w:color="auto"/>
                    <w:bottom w:val="none" w:sz="0" w:space="0" w:color="auto"/>
                    <w:right w:val="none" w:sz="0" w:space="0" w:color="auto"/>
                  </w:divBdr>
                </w:div>
                <w:div w:id="387415432">
                  <w:marLeft w:val="480"/>
                  <w:marRight w:val="0"/>
                  <w:marTop w:val="0"/>
                  <w:marBottom w:val="0"/>
                  <w:divBdr>
                    <w:top w:val="none" w:sz="0" w:space="0" w:color="auto"/>
                    <w:left w:val="none" w:sz="0" w:space="0" w:color="auto"/>
                    <w:bottom w:val="none" w:sz="0" w:space="0" w:color="auto"/>
                    <w:right w:val="none" w:sz="0" w:space="0" w:color="auto"/>
                  </w:divBdr>
                </w:div>
                <w:div w:id="1925337463">
                  <w:marLeft w:val="480"/>
                  <w:marRight w:val="0"/>
                  <w:marTop w:val="0"/>
                  <w:marBottom w:val="0"/>
                  <w:divBdr>
                    <w:top w:val="none" w:sz="0" w:space="0" w:color="auto"/>
                    <w:left w:val="none" w:sz="0" w:space="0" w:color="auto"/>
                    <w:bottom w:val="none" w:sz="0" w:space="0" w:color="auto"/>
                    <w:right w:val="none" w:sz="0" w:space="0" w:color="auto"/>
                  </w:divBdr>
                </w:div>
                <w:div w:id="342712275">
                  <w:marLeft w:val="480"/>
                  <w:marRight w:val="0"/>
                  <w:marTop w:val="0"/>
                  <w:marBottom w:val="0"/>
                  <w:divBdr>
                    <w:top w:val="none" w:sz="0" w:space="0" w:color="auto"/>
                    <w:left w:val="none" w:sz="0" w:space="0" w:color="auto"/>
                    <w:bottom w:val="none" w:sz="0" w:space="0" w:color="auto"/>
                    <w:right w:val="none" w:sz="0" w:space="0" w:color="auto"/>
                  </w:divBdr>
                </w:div>
                <w:div w:id="1678460605">
                  <w:marLeft w:val="480"/>
                  <w:marRight w:val="0"/>
                  <w:marTop w:val="0"/>
                  <w:marBottom w:val="0"/>
                  <w:divBdr>
                    <w:top w:val="none" w:sz="0" w:space="0" w:color="auto"/>
                    <w:left w:val="none" w:sz="0" w:space="0" w:color="auto"/>
                    <w:bottom w:val="none" w:sz="0" w:space="0" w:color="auto"/>
                    <w:right w:val="none" w:sz="0" w:space="0" w:color="auto"/>
                  </w:divBdr>
                </w:div>
                <w:div w:id="667251687">
                  <w:marLeft w:val="480"/>
                  <w:marRight w:val="0"/>
                  <w:marTop w:val="0"/>
                  <w:marBottom w:val="0"/>
                  <w:divBdr>
                    <w:top w:val="none" w:sz="0" w:space="0" w:color="auto"/>
                    <w:left w:val="none" w:sz="0" w:space="0" w:color="auto"/>
                    <w:bottom w:val="none" w:sz="0" w:space="0" w:color="auto"/>
                    <w:right w:val="none" w:sz="0" w:space="0" w:color="auto"/>
                  </w:divBdr>
                </w:div>
                <w:div w:id="974800225">
                  <w:marLeft w:val="480"/>
                  <w:marRight w:val="0"/>
                  <w:marTop w:val="0"/>
                  <w:marBottom w:val="0"/>
                  <w:divBdr>
                    <w:top w:val="none" w:sz="0" w:space="0" w:color="auto"/>
                    <w:left w:val="none" w:sz="0" w:space="0" w:color="auto"/>
                    <w:bottom w:val="none" w:sz="0" w:space="0" w:color="auto"/>
                    <w:right w:val="none" w:sz="0" w:space="0" w:color="auto"/>
                  </w:divBdr>
                </w:div>
                <w:div w:id="1154487591">
                  <w:marLeft w:val="480"/>
                  <w:marRight w:val="0"/>
                  <w:marTop w:val="0"/>
                  <w:marBottom w:val="0"/>
                  <w:divBdr>
                    <w:top w:val="none" w:sz="0" w:space="0" w:color="auto"/>
                    <w:left w:val="none" w:sz="0" w:space="0" w:color="auto"/>
                    <w:bottom w:val="none" w:sz="0" w:space="0" w:color="auto"/>
                    <w:right w:val="none" w:sz="0" w:space="0" w:color="auto"/>
                  </w:divBdr>
                </w:div>
                <w:div w:id="1507939906">
                  <w:marLeft w:val="480"/>
                  <w:marRight w:val="0"/>
                  <w:marTop w:val="0"/>
                  <w:marBottom w:val="0"/>
                  <w:divBdr>
                    <w:top w:val="none" w:sz="0" w:space="0" w:color="auto"/>
                    <w:left w:val="none" w:sz="0" w:space="0" w:color="auto"/>
                    <w:bottom w:val="none" w:sz="0" w:space="0" w:color="auto"/>
                    <w:right w:val="none" w:sz="0" w:space="0" w:color="auto"/>
                  </w:divBdr>
                </w:div>
                <w:div w:id="1145120034">
                  <w:marLeft w:val="480"/>
                  <w:marRight w:val="0"/>
                  <w:marTop w:val="0"/>
                  <w:marBottom w:val="0"/>
                  <w:divBdr>
                    <w:top w:val="none" w:sz="0" w:space="0" w:color="auto"/>
                    <w:left w:val="none" w:sz="0" w:space="0" w:color="auto"/>
                    <w:bottom w:val="none" w:sz="0" w:space="0" w:color="auto"/>
                    <w:right w:val="none" w:sz="0" w:space="0" w:color="auto"/>
                  </w:divBdr>
                </w:div>
                <w:div w:id="26611264">
                  <w:marLeft w:val="480"/>
                  <w:marRight w:val="0"/>
                  <w:marTop w:val="0"/>
                  <w:marBottom w:val="0"/>
                  <w:divBdr>
                    <w:top w:val="none" w:sz="0" w:space="0" w:color="auto"/>
                    <w:left w:val="none" w:sz="0" w:space="0" w:color="auto"/>
                    <w:bottom w:val="none" w:sz="0" w:space="0" w:color="auto"/>
                    <w:right w:val="none" w:sz="0" w:space="0" w:color="auto"/>
                  </w:divBdr>
                </w:div>
                <w:div w:id="445471300">
                  <w:marLeft w:val="480"/>
                  <w:marRight w:val="0"/>
                  <w:marTop w:val="0"/>
                  <w:marBottom w:val="0"/>
                  <w:divBdr>
                    <w:top w:val="none" w:sz="0" w:space="0" w:color="auto"/>
                    <w:left w:val="none" w:sz="0" w:space="0" w:color="auto"/>
                    <w:bottom w:val="none" w:sz="0" w:space="0" w:color="auto"/>
                    <w:right w:val="none" w:sz="0" w:space="0" w:color="auto"/>
                  </w:divBdr>
                </w:div>
                <w:div w:id="1319380804">
                  <w:marLeft w:val="480"/>
                  <w:marRight w:val="0"/>
                  <w:marTop w:val="0"/>
                  <w:marBottom w:val="0"/>
                  <w:divBdr>
                    <w:top w:val="none" w:sz="0" w:space="0" w:color="auto"/>
                    <w:left w:val="none" w:sz="0" w:space="0" w:color="auto"/>
                    <w:bottom w:val="none" w:sz="0" w:space="0" w:color="auto"/>
                    <w:right w:val="none" w:sz="0" w:space="0" w:color="auto"/>
                  </w:divBdr>
                </w:div>
                <w:div w:id="1931622104">
                  <w:marLeft w:val="480"/>
                  <w:marRight w:val="0"/>
                  <w:marTop w:val="0"/>
                  <w:marBottom w:val="0"/>
                  <w:divBdr>
                    <w:top w:val="none" w:sz="0" w:space="0" w:color="auto"/>
                    <w:left w:val="none" w:sz="0" w:space="0" w:color="auto"/>
                    <w:bottom w:val="none" w:sz="0" w:space="0" w:color="auto"/>
                    <w:right w:val="none" w:sz="0" w:space="0" w:color="auto"/>
                  </w:divBdr>
                </w:div>
                <w:div w:id="1313096576">
                  <w:marLeft w:val="480"/>
                  <w:marRight w:val="0"/>
                  <w:marTop w:val="0"/>
                  <w:marBottom w:val="0"/>
                  <w:divBdr>
                    <w:top w:val="none" w:sz="0" w:space="0" w:color="auto"/>
                    <w:left w:val="none" w:sz="0" w:space="0" w:color="auto"/>
                    <w:bottom w:val="none" w:sz="0" w:space="0" w:color="auto"/>
                    <w:right w:val="none" w:sz="0" w:space="0" w:color="auto"/>
                  </w:divBdr>
                </w:div>
                <w:div w:id="1917787995">
                  <w:marLeft w:val="480"/>
                  <w:marRight w:val="0"/>
                  <w:marTop w:val="0"/>
                  <w:marBottom w:val="0"/>
                  <w:divBdr>
                    <w:top w:val="none" w:sz="0" w:space="0" w:color="auto"/>
                    <w:left w:val="none" w:sz="0" w:space="0" w:color="auto"/>
                    <w:bottom w:val="none" w:sz="0" w:space="0" w:color="auto"/>
                    <w:right w:val="none" w:sz="0" w:space="0" w:color="auto"/>
                  </w:divBdr>
                </w:div>
                <w:div w:id="796727726">
                  <w:marLeft w:val="480"/>
                  <w:marRight w:val="0"/>
                  <w:marTop w:val="0"/>
                  <w:marBottom w:val="0"/>
                  <w:divBdr>
                    <w:top w:val="none" w:sz="0" w:space="0" w:color="auto"/>
                    <w:left w:val="none" w:sz="0" w:space="0" w:color="auto"/>
                    <w:bottom w:val="none" w:sz="0" w:space="0" w:color="auto"/>
                    <w:right w:val="none" w:sz="0" w:space="0" w:color="auto"/>
                  </w:divBdr>
                </w:div>
                <w:div w:id="723716858">
                  <w:marLeft w:val="480"/>
                  <w:marRight w:val="0"/>
                  <w:marTop w:val="0"/>
                  <w:marBottom w:val="0"/>
                  <w:divBdr>
                    <w:top w:val="none" w:sz="0" w:space="0" w:color="auto"/>
                    <w:left w:val="none" w:sz="0" w:space="0" w:color="auto"/>
                    <w:bottom w:val="none" w:sz="0" w:space="0" w:color="auto"/>
                    <w:right w:val="none" w:sz="0" w:space="0" w:color="auto"/>
                  </w:divBdr>
                </w:div>
                <w:div w:id="1481731746">
                  <w:marLeft w:val="480"/>
                  <w:marRight w:val="0"/>
                  <w:marTop w:val="0"/>
                  <w:marBottom w:val="0"/>
                  <w:divBdr>
                    <w:top w:val="none" w:sz="0" w:space="0" w:color="auto"/>
                    <w:left w:val="none" w:sz="0" w:space="0" w:color="auto"/>
                    <w:bottom w:val="none" w:sz="0" w:space="0" w:color="auto"/>
                    <w:right w:val="none" w:sz="0" w:space="0" w:color="auto"/>
                  </w:divBdr>
                </w:div>
                <w:div w:id="1331058008">
                  <w:marLeft w:val="480"/>
                  <w:marRight w:val="0"/>
                  <w:marTop w:val="0"/>
                  <w:marBottom w:val="0"/>
                  <w:divBdr>
                    <w:top w:val="none" w:sz="0" w:space="0" w:color="auto"/>
                    <w:left w:val="none" w:sz="0" w:space="0" w:color="auto"/>
                    <w:bottom w:val="none" w:sz="0" w:space="0" w:color="auto"/>
                    <w:right w:val="none" w:sz="0" w:space="0" w:color="auto"/>
                  </w:divBdr>
                </w:div>
                <w:div w:id="1601835563">
                  <w:marLeft w:val="480"/>
                  <w:marRight w:val="0"/>
                  <w:marTop w:val="0"/>
                  <w:marBottom w:val="0"/>
                  <w:divBdr>
                    <w:top w:val="none" w:sz="0" w:space="0" w:color="auto"/>
                    <w:left w:val="none" w:sz="0" w:space="0" w:color="auto"/>
                    <w:bottom w:val="none" w:sz="0" w:space="0" w:color="auto"/>
                    <w:right w:val="none" w:sz="0" w:space="0" w:color="auto"/>
                  </w:divBdr>
                </w:div>
                <w:div w:id="371810418">
                  <w:marLeft w:val="480"/>
                  <w:marRight w:val="0"/>
                  <w:marTop w:val="0"/>
                  <w:marBottom w:val="0"/>
                  <w:divBdr>
                    <w:top w:val="none" w:sz="0" w:space="0" w:color="auto"/>
                    <w:left w:val="none" w:sz="0" w:space="0" w:color="auto"/>
                    <w:bottom w:val="none" w:sz="0" w:space="0" w:color="auto"/>
                    <w:right w:val="none" w:sz="0" w:space="0" w:color="auto"/>
                  </w:divBdr>
                </w:div>
                <w:div w:id="1152989217">
                  <w:marLeft w:val="480"/>
                  <w:marRight w:val="0"/>
                  <w:marTop w:val="0"/>
                  <w:marBottom w:val="0"/>
                  <w:divBdr>
                    <w:top w:val="none" w:sz="0" w:space="0" w:color="auto"/>
                    <w:left w:val="none" w:sz="0" w:space="0" w:color="auto"/>
                    <w:bottom w:val="none" w:sz="0" w:space="0" w:color="auto"/>
                    <w:right w:val="none" w:sz="0" w:space="0" w:color="auto"/>
                  </w:divBdr>
                </w:div>
                <w:div w:id="610168401">
                  <w:marLeft w:val="480"/>
                  <w:marRight w:val="0"/>
                  <w:marTop w:val="0"/>
                  <w:marBottom w:val="0"/>
                  <w:divBdr>
                    <w:top w:val="none" w:sz="0" w:space="0" w:color="auto"/>
                    <w:left w:val="none" w:sz="0" w:space="0" w:color="auto"/>
                    <w:bottom w:val="none" w:sz="0" w:space="0" w:color="auto"/>
                    <w:right w:val="none" w:sz="0" w:space="0" w:color="auto"/>
                  </w:divBdr>
                </w:div>
                <w:div w:id="311717861">
                  <w:marLeft w:val="480"/>
                  <w:marRight w:val="0"/>
                  <w:marTop w:val="0"/>
                  <w:marBottom w:val="0"/>
                  <w:divBdr>
                    <w:top w:val="none" w:sz="0" w:space="0" w:color="auto"/>
                    <w:left w:val="none" w:sz="0" w:space="0" w:color="auto"/>
                    <w:bottom w:val="none" w:sz="0" w:space="0" w:color="auto"/>
                    <w:right w:val="none" w:sz="0" w:space="0" w:color="auto"/>
                  </w:divBdr>
                </w:div>
                <w:div w:id="320084545">
                  <w:marLeft w:val="480"/>
                  <w:marRight w:val="0"/>
                  <w:marTop w:val="0"/>
                  <w:marBottom w:val="0"/>
                  <w:divBdr>
                    <w:top w:val="none" w:sz="0" w:space="0" w:color="auto"/>
                    <w:left w:val="none" w:sz="0" w:space="0" w:color="auto"/>
                    <w:bottom w:val="none" w:sz="0" w:space="0" w:color="auto"/>
                    <w:right w:val="none" w:sz="0" w:space="0" w:color="auto"/>
                  </w:divBdr>
                </w:div>
                <w:div w:id="98641423">
                  <w:marLeft w:val="480"/>
                  <w:marRight w:val="0"/>
                  <w:marTop w:val="0"/>
                  <w:marBottom w:val="0"/>
                  <w:divBdr>
                    <w:top w:val="none" w:sz="0" w:space="0" w:color="auto"/>
                    <w:left w:val="none" w:sz="0" w:space="0" w:color="auto"/>
                    <w:bottom w:val="none" w:sz="0" w:space="0" w:color="auto"/>
                    <w:right w:val="none" w:sz="0" w:space="0" w:color="auto"/>
                  </w:divBdr>
                </w:div>
                <w:div w:id="2049179776">
                  <w:marLeft w:val="480"/>
                  <w:marRight w:val="0"/>
                  <w:marTop w:val="0"/>
                  <w:marBottom w:val="0"/>
                  <w:divBdr>
                    <w:top w:val="none" w:sz="0" w:space="0" w:color="auto"/>
                    <w:left w:val="none" w:sz="0" w:space="0" w:color="auto"/>
                    <w:bottom w:val="none" w:sz="0" w:space="0" w:color="auto"/>
                    <w:right w:val="none" w:sz="0" w:space="0" w:color="auto"/>
                  </w:divBdr>
                </w:div>
                <w:div w:id="1605068786">
                  <w:marLeft w:val="480"/>
                  <w:marRight w:val="0"/>
                  <w:marTop w:val="0"/>
                  <w:marBottom w:val="0"/>
                  <w:divBdr>
                    <w:top w:val="none" w:sz="0" w:space="0" w:color="auto"/>
                    <w:left w:val="none" w:sz="0" w:space="0" w:color="auto"/>
                    <w:bottom w:val="none" w:sz="0" w:space="0" w:color="auto"/>
                    <w:right w:val="none" w:sz="0" w:space="0" w:color="auto"/>
                  </w:divBdr>
                </w:div>
                <w:div w:id="601189006">
                  <w:marLeft w:val="480"/>
                  <w:marRight w:val="0"/>
                  <w:marTop w:val="0"/>
                  <w:marBottom w:val="0"/>
                  <w:divBdr>
                    <w:top w:val="none" w:sz="0" w:space="0" w:color="auto"/>
                    <w:left w:val="none" w:sz="0" w:space="0" w:color="auto"/>
                    <w:bottom w:val="none" w:sz="0" w:space="0" w:color="auto"/>
                    <w:right w:val="none" w:sz="0" w:space="0" w:color="auto"/>
                  </w:divBdr>
                </w:div>
                <w:div w:id="1351638952">
                  <w:marLeft w:val="480"/>
                  <w:marRight w:val="0"/>
                  <w:marTop w:val="0"/>
                  <w:marBottom w:val="0"/>
                  <w:divBdr>
                    <w:top w:val="none" w:sz="0" w:space="0" w:color="auto"/>
                    <w:left w:val="none" w:sz="0" w:space="0" w:color="auto"/>
                    <w:bottom w:val="none" w:sz="0" w:space="0" w:color="auto"/>
                    <w:right w:val="none" w:sz="0" w:space="0" w:color="auto"/>
                  </w:divBdr>
                </w:div>
                <w:div w:id="1204097897">
                  <w:marLeft w:val="480"/>
                  <w:marRight w:val="0"/>
                  <w:marTop w:val="0"/>
                  <w:marBottom w:val="0"/>
                  <w:divBdr>
                    <w:top w:val="none" w:sz="0" w:space="0" w:color="auto"/>
                    <w:left w:val="none" w:sz="0" w:space="0" w:color="auto"/>
                    <w:bottom w:val="none" w:sz="0" w:space="0" w:color="auto"/>
                    <w:right w:val="none" w:sz="0" w:space="0" w:color="auto"/>
                  </w:divBdr>
                </w:div>
                <w:div w:id="1325545414">
                  <w:marLeft w:val="480"/>
                  <w:marRight w:val="0"/>
                  <w:marTop w:val="0"/>
                  <w:marBottom w:val="0"/>
                  <w:divBdr>
                    <w:top w:val="none" w:sz="0" w:space="0" w:color="auto"/>
                    <w:left w:val="none" w:sz="0" w:space="0" w:color="auto"/>
                    <w:bottom w:val="none" w:sz="0" w:space="0" w:color="auto"/>
                    <w:right w:val="none" w:sz="0" w:space="0" w:color="auto"/>
                  </w:divBdr>
                </w:div>
                <w:div w:id="2136675904">
                  <w:marLeft w:val="480"/>
                  <w:marRight w:val="0"/>
                  <w:marTop w:val="0"/>
                  <w:marBottom w:val="0"/>
                  <w:divBdr>
                    <w:top w:val="none" w:sz="0" w:space="0" w:color="auto"/>
                    <w:left w:val="none" w:sz="0" w:space="0" w:color="auto"/>
                    <w:bottom w:val="none" w:sz="0" w:space="0" w:color="auto"/>
                    <w:right w:val="none" w:sz="0" w:space="0" w:color="auto"/>
                  </w:divBdr>
                </w:div>
                <w:div w:id="750004275">
                  <w:marLeft w:val="480"/>
                  <w:marRight w:val="0"/>
                  <w:marTop w:val="0"/>
                  <w:marBottom w:val="0"/>
                  <w:divBdr>
                    <w:top w:val="none" w:sz="0" w:space="0" w:color="auto"/>
                    <w:left w:val="none" w:sz="0" w:space="0" w:color="auto"/>
                    <w:bottom w:val="none" w:sz="0" w:space="0" w:color="auto"/>
                    <w:right w:val="none" w:sz="0" w:space="0" w:color="auto"/>
                  </w:divBdr>
                </w:div>
                <w:div w:id="11347842">
                  <w:marLeft w:val="480"/>
                  <w:marRight w:val="0"/>
                  <w:marTop w:val="0"/>
                  <w:marBottom w:val="0"/>
                  <w:divBdr>
                    <w:top w:val="none" w:sz="0" w:space="0" w:color="auto"/>
                    <w:left w:val="none" w:sz="0" w:space="0" w:color="auto"/>
                    <w:bottom w:val="none" w:sz="0" w:space="0" w:color="auto"/>
                    <w:right w:val="none" w:sz="0" w:space="0" w:color="auto"/>
                  </w:divBdr>
                </w:div>
                <w:div w:id="1302419675">
                  <w:marLeft w:val="480"/>
                  <w:marRight w:val="0"/>
                  <w:marTop w:val="0"/>
                  <w:marBottom w:val="0"/>
                  <w:divBdr>
                    <w:top w:val="none" w:sz="0" w:space="0" w:color="auto"/>
                    <w:left w:val="none" w:sz="0" w:space="0" w:color="auto"/>
                    <w:bottom w:val="none" w:sz="0" w:space="0" w:color="auto"/>
                    <w:right w:val="none" w:sz="0" w:space="0" w:color="auto"/>
                  </w:divBdr>
                </w:div>
                <w:div w:id="201673986">
                  <w:marLeft w:val="480"/>
                  <w:marRight w:val="0"/>
                  <w:marTop w:val="0"/>
                  <w:marBottom w:val="0"/>
                  <w:divBdr>
                    <w:top w:val="none" w:sz="0" w:space="0" w:color="auto"/>
                    <w:left w:val="none" w:sz="0" w:space="0" w:color="auto"/>
                    <w:bottom w:val="none" w:sz="0" w:space="0" w:color="auto"/>
                    <w:right w:val="none" w:sz="0" w:space="0" w:color="auto"/>
                  </w:divBdr>
                </w:div>
                <w:div w:id="808135546">
                  <w:marLeft w:val="480"/>
                  <w:marRight w:val="0"/>
                  <w:marTop w:val="0"/>
                  <w:marBottom w:val="0"/>
                  <w:divBdr>
                    <w:top w:val="none" w:sz="0" w:space="0" w:color="auto"/>
                    <w:left w:val="none" w:sz="0" w:space="0" w:color="auto"/>
                    <w:bottom w:val="none" w:sz="0" w:space="0" w:color="auto"/>
                    <w:right w:val="none" w:sz="0" w:space="0" w:color="auto"/>
                  </w:divBdr>
                </w:div>
                <w:div w:id="1624263333">
                  <w:marLeft w:val="480"/>
                  <w:marRight w:val="0"/>
                  <w:marTop w:val="0"/>
                  <w:marBottom w:val="0"/>
                  <w:divBdr>
                    <w:top w:val="none" w:sz="0" w:space="0" w:color="auto"/>
                    <w:left w:val="none" w:sz="0" w:space="0" w:color="auto"/>
                    <w:bottom w:val="none" w:sz="0" w:space="0" w:color="auto"/>
                    <w:right w:val="none" w:sz="0" w:space="0" w:color="auto"/>
                  </w:divBdr>
                </w:div>
                <w:div w:id="2057780886">
                  <w:marLeft w:val="480"/>
                  <w:marRight w:val="0"/>
                  <w:marTop w:val="0"/>
                  <w:marBottom w:val="0"/>
                  <w:divBdr>
                    <w:top w:val="none" w:sz="0" w:space="0" w:color="auto"/>
                    <w:left w:val="none" w:sz="0" w:space="0" w:color="auto"/>
                    <w:bottom w:val="none" w:sz="0" w:space="0" w:color="auto"/>
                    <w:right w:val="none" w:sz="0" w:space="0" w:color="auto"/>
                  </w:divBdr>
                </w:div>
                <w:div w:id="364914319">
                  <w:marLeft w:val="480"/>
                  <w:marRight w:val="0"/>
                  <w:marTop w:val="0"/>
                  <w:marBottom w:val="0"/>
                  <w:divBdr>
                    <w:top w:val="none" w:sz="0" w:space="0" w:color="auto"/>
                    <w:left w:val="none" w:sz="0" w:space="0" w:color="auto"/>
                    <w:bottom w:val="none" w:sz="0" w:space="0" w:color="auto"/>
                    <w:right w:val="none" w:sz="0" w:space="0" w:color="auto"/>
                  </w:divBdr>
                </w:div>
                <w:div w:id="843908165">
                  <w:marLeft w:val="480"/>
                  <w:marRight w:val="0"/>
                  <w:marTop w:val="0"/>
                  <w:marBottom w:val="0"/>
                  <w:divBdr>
                    <w:top w:val="none" w:sz="0" w:space="0" w:color="auto"/>
                    <w:left w:val="none" w:sz="0" w:space="0" w:color="auto"/>
                    <w:bottom w:val="none" w:sz="0" w:space="0" w:color="auto"/>
                    <w:right w:val="none" w:sz="0" w:space="0" w:color="auto"/>
                  </w:divBdr>
                </w:div>
                <w:div w:id="1234589151">
                  <w:marLeft w:val="480"/>
                  <w:marRight w:val="0"/>
                  <w:marTop w:val="0"/>
                  <w:marBottom w:val="0"/>
                  <w:divBdr>
                    <w:top w:val="none" w:sz="0" w:space="0" w:color="auto"/>
                    <w:left w:val="none" w:sz="0" w:space="0" w:color="auto"/>
                    <w:bottom w:val="none" w:sz="0" w:space="0" w:color="auto"/>
                    <w:right w:val="none" w:sz="0" w:space="0" w:color="auto"/>
                  </w:divBdr>
                </w:div>
                <w:div w:id="1385258180">
                  <w:marLeft w:val="480"/>
                  <w:marRight w:val="0"/>
                  <w:marTop w:val="0"/>
                  <w:marBottom w:val="0"/>
                  <w:divBdr>
                    <w:top w:val="none" w:sz="0" w:space="0" w:color="auto"/>
                    <w:left w:val="none" w:sz="0" w:space="0" w:color="auto"/>
                    <w:bottom w:val="none" w:sz="0" w:space="0" w:color="auto"/>
                    <w:right w:val="none" w:sz="0" w:space="0" w:color="auto"/>
                  </w:divBdr>
                </w:div>
                <w:div w:id="835728861">
                  <w:marLeft w:val="480"/>
                  <w:marRight w:val="0"/>
                  <w:marTop w:val="0"/>
                  <w:marBottom w:val="0"/>
                  <w:divBdr>
                    <w:top w:val="none" w:sz="0" w:space="0" w:color="auto"/>
                    <w:left w:val="none" w:sz="0" w:space="0" w:color="auto"/>
                    <w:bottom w:val="none" w:sz="0" w:space="0" w:color="auto"/>
                    <w:right w:val="none" w:sz="0" w:space="0" w:color="auto"/>
                  </w:divBdr>
                </w:div>
                <w:div w:id="2112964674">
                  <w:marLeft w:val="480"/>
                  <w:marRight w:val="0"/>
                  <w:marTop w:val="0"/>
                  <w:marBottom w:val="0"/>
                  <w:divBdr>
                    <w:top w:val="none" w:sz="0" w:space="0" w:color="auto"/>
                    <w:left w:val="none" w:sz="0" w:space="0" w:color="auto"/>
                    <w:bottom w:val="none" w:sz="0" w:space="0" w:color="auto"/>
                    <w:right w:val="none" w:sz="0" w:space="0" w:color="auto"/>
                  </w:divBdr>
                </w:div>
                <w:div w:id="294407894">
                  <w:marLeft w:val="480"/>
                  <w:marRight w:val="0"/>
                  <w:marTop w:val="0"/>
                  <w:marBottom w:val="0"/>
                  <w:divBdr>
                    <w:top w:val="none" w:sz="0" w:space="0" w:color="auto"/>
                    <w:left w:val="none" w:sz="0" w:space="0" w:color="auto"/>
                    <w:bottom w:val="none" w:sz="0" w:space="0" w:color="auto"/>
                    <w:right w:val="none" w:sz="0" w:space="0" w:color="auto"/>
                  </w:divBdr>
                </w:div>
                <w:div w:id="1934895125">
                  <w:marLeft w:val="480"/>
                  <w:marRight w:val="0"/>
                  <w:marTop w:val="0"/>
                  <w:marBottom w:val="0"/>
                  <w:divBdr>
                    <w:top w:val="none" w:sz="0" w:space="0" w:color="auto"/>
                    <w:left w:val="none" w:sz="0" w:space="0" w:color="auto"/>
                    <w:bottom w:val="none" w:sz="0" w:space="0" w:color="auto"/>
                    <w:right w:val="none" w:sz="0" w:space="0" w:color="auto"/>
                  </w:divBdr>
                </w:div>
                <w:div w:id="763303521">
                  <w:marLeft w:val="480"/>
                  <w:marRight w:val="0"/>
                  <w:marTop w:val="0"/>
                  <w:marBottom w:val="0"/>
                  <w:divBdr>
                    <w:top w:val="none" w:sz="0" w:space="0" w:color="auto"/>
                    <w:left w:val="none" w:sz="0" w:space="0" w:color="auto"/>
                    <w:bottom w:val="none" w:sz="0" w:space="0" w:color="auto"/>
                    <w:right w:val="none" w:sz="0" w:space="0" w:color="auto"/>
                  </w:divBdr>
                </w:div>
                <w:div w:id="253981229">
                  <w:marLeft w:val="480"/>
                  <w:marRight w:val="0"/>
                  <w:marTop w:val="0"/>
                  <w:marBottom w:val="0"/>
                  <w:divBdr>
                    <w:top w:val="none" w:sz="0" w:space="0" w:color="auto"/>
                    <w:left w:val="none" w:sz="0" w:space="0" w:color="auto"/>
                    <w:bottom w:val="none" w:sz="0" w:space="0" w:color="auto"/>
                    <w:right w:val="none" w:sz="0" w:space="0" w:color="auto"/>
                  </w:divBdr>
                </w:div>
                <w:div w:id="518739509">
                  <w:marLeft w:val="480"/>
                  <w:marRight w:val="0"/>
                  <w:marTop w:val="0"/>
                  <w:marBottom w:val="0"/>
                  <w:divBdr>
                    <w:top w:val="none" w:sz="0" w:space="0" w:color="auto"/>
                    <w:left w:val="none" w:sz="0" w:space="0" w:color="auto"/>
                    <w:bottom w:val="none" w:sz="0" w:space="0" w:color="auto"/>
                    <w:right w:val="none" w:sz="0" w:space="0" w:color="auto"/>
                  </w:divBdr>
                </w:div>
                <w:div w:id="1329285332">
                  <w:marLeft w:val="480"/>
                  <w:marRight w:val="0"/>
                  <w:marTop w:val="0"/>
                  <w:marBottom w:val="0"/>
                  <w:divBdr>
                    <w:top w:val="none" w:sz="0" w:space="0" w:color="auto"/>
                    <w:left w:val="none" w:sz="0" w:space="0" w:color="auto"/>
                    <w:bottom w:val="none" w:sz="0" w:space="0" w:color="auto"/>
                    <w:right w:val="none" w:sz="0" w:space="0" w:color="auto"/>
                  </w:divBdr>
                </w:div>
                <w:div w:id="1110661196">
                  <w:marLeft w:val="480"/>
                  <w:marRight w:val="0"/>
                  <w:marTop w:val="0"/>
                  <w:marBottom w:val="0"/>
                  <w:divBdr>
                    <w:top w:val="none" w:sz="0" w:space="0" w:color="auto"/>
                    <w:left w:val="none" w:sz="0" w:space="0" w:color="auto"/>
                    <w:bottom w:val="none" w:sz="0" w:space="0" w:color="auto"/>
                    <w:right w:val="none" w:sz="0" w:space="0" w:color="auto"/>
                  </w:divBdr>
                </w:div>
                <w:div w:id="1542521114">
                  <w:marLeft w:val="480"/>
                  <w:marRight w:val="0"/>
                  <w:marTop w:val="0"/>
                  <w:marBottom w:val="0"/>
                  <w:divBdr>
                    <w:top w:val="none" w:sz="0" w:space="0" w:color="auto"/>
                    <w:left w:val="none" w:sz="0" w:space="0" w:color="auto"/>
                    <w:bottom w:val="none" w:sz="0" w:space="0" w:color="auto"/>
                    <w:right w:val="none" w:sz="0" w:space="0" w:color="auto"/>
                  </w:divBdr>
                </w:div>
                <w:div w:id="698895867">
                  <w:marLeft w:val="480"/>
                  <w:marRight w:val="0"/>
                  <w:marTop w:val="0"/>
                  <w:marBottom w:val="0"/>
                  <w:divBdr>
                    <w:top w:val="none" w:sz="0" w:space="0" w:color="auto"/>
                    <w:left w:val="none" w:sz="0" w:space="0" w:color="auto"/>
                    <w:bottom w:val="none" w:sz="0" w:space="0" w:color="auto"/>
                    <w:right w:val="none" w:sz="0" w:space="0" w:color="auto"/>
                  </w:divBdr>
                </w:div>
                <w:div w:id="67652871">
                  <w:marLeft w:val="480"/>
                  <w:marRight w:val="0"/>
                  <w:marTop w:val="0"/>
                  <w:marBottom w:val="0"/>
                  <w:divBdr>
                    <w:top w:val="none" w:sz="0" w:space="0" w:color="auto"/>
                    <w:left w:val="none" w:sz="0" w:space="0" w:color="auto"/>
                    <w:bottom w:val="none" w:sz="0" w:space="0" w:color="auto"/>
                    <w:right w:val="none" w:sz="0" w:space="0" w:color="auto"/>
                  </w:divBdr>
                </w:div>
                <w:div w:id="1816948382">
                  <w:marLeft w:val="480"/>
                  <w:marRight w:val="0"/>
                  <w:marTop w:val="0"/>
                  <w:marBottom w:val="0"/>
                  <w:divBdr>
                    <w:top w:val="none" w:sz="0" w:space="0" w:color="auto"/>
                    <w:left w:val="none" w:sz="0" w:space="0" w:color="auto"/>
                    <w:bottom w:val="none" w:sz="0" w:space="0" w:color="auto"/>
                    <w:right w:val="none" w:sz="0" w:space="0" w:color="auto"/>
                  </w:divBdr>
                </w:div>
                <w:div w:id="1469399124">
                  <w:marLeft w:val="480"/>
                  <w:marRight w:val="0"/>
                  <w:marTop w:val="0"/>
                  <w:marBottom w:val="0"/>
                  <w:divBdr>
                    <w:top w:val="none" w:sz="0" w:space="0" w:color="auto"/>
                    <w:left w:val="none" w:sz="0" w:space="0" w:color="auto"/>
                    <w:bottom w:val="none" w:sz="0" w:space="0" w:color="auto"/>
                    <w:right w:val="none" w:sz="0" w:space="0" w:color="auto"/>
                  </w:divBdr>
                </w:div>
                <w:div w:id="1744721086">
                  <w:marLeft w:val="480"/>
                  <w:marRight w:val="0"/>
                  <w:marTop w:val="0"/>
                  <w:marBottom w:val="0"/>
                  <w:divBdr>
                    <w:top w:val="none" w:sz="0" w:space="0" w:color="auto"/>
                    <w:left w:val="none" w:sz="0" w:space="0" w:color="auto"/>
                    <w:bottom w:val="none" w:sz="0" w:space="0" w:color="auto"/>
                    <w:right w:val="none" w:sz="0" w:space="0" w:color="auto"/>
                  </w:divBdr>
                </w:div>
                <w:div w:id="2112160896">
                  <w:marLeft w:val="480"/>
                  <w:marRight w:val="0"/>
                  <w:marTop w:val="0"/>
                  <w:marBottom w:val="0"/>
                  <w:divBdr>
                    <w:top w:val="none" w:sz="0" w:space="0" w:color="auto"/>
                    <w:left w:val="none" w:sz="0" w:space="0" w:color="auto"/>
                    <w:bottom w:val="none" w:sz="0" w:space="0" w:color="auto"/>
                    <w:right w:val="none" w:sz="0" w:space="0" w:color="auto"/>
                  </w:divBdr>
                </w:div>
                <w:div w:id="691418203">
                  <w:marLeft w:val="480"/>
                  <w:marRight w:val="0"/>
                  <w:marTop w:val="0"/>
                  <w:marBottom w:val="0"/>
                  <w:divBdr>
                    <w:top w:val="none" w:sz="0" w:space="0" w:color="auto"/>
                    <w:left w:val="none" w:sz="0" w:space="0" w:color="auto"/>
                    <w:bottom w:val="none" w:sz="0" w:space="0" w:color="auto"/>
                    <w:right w:val="none" w:sz="0" w:space="0" w:color="auto"/>
                  </w:divBdr>
                </w:div>
                <w:div w:id="1564100241">
                  <w:marLeft w:val="480"/>
                  <w:marRight w:val="0"/>
                  <w:marTop w:val="0"/>
                  <w:marBottom w:val="0"/>
                  <w:divBdr>
                    <w:top w:val="none" w:sz="0" w:space="0" w:color="auto"/>
                    <w:left w:val="none" w:sz="0" w:space="0" w:color="auto"/>
                    <w:bottom w:val="none" w:sz="0" w:space="0" w:color="auto"/>
                    <w:right w:val="none" w:sz="0" w:space="0" w:color="auto"/>
                  </w:divBdr>
                </w:div>
                <w:div w:id="1922371116">
                  <w:marLeft w:val="480"/>
                  <w:marRight w:val="0"/>
                  <w:marTop w:val="0"/>
                  <w:marBottom w:val="0"/>
                  <w:divBdr>
                    <w:top w:val="none" w:sz="0" w:space="0" w:color="auto"/>
                    <w:left w:val="none" w:sz="0" w:space="0" w:color="auto"/>
                    <w:bottom w:val="none" w:sz="0" w:space="0" w:color="auto"/>
                    <w:right w:val="none" w:sz="0" w:space="0" w:color="auto"/>
                  </w:divBdr>
                </w:div>
                <w:div w:id="1944415797">
                  <w:marLeft w:val="480"/>
                  <w:marRight w:val="0"/>
                  <w:marTop w:val="0"/>
                  <w:marBottom w:val="0"/>
                  <w:divBdr>
                    <w:top w:val="none" w:sz="0" w:space="0" w:color="auto"/>
                    <w:left w:val="none" w:sz="0" w:space="0" w:color="auto"/>
                    <w:bottom w:val="none" w:sz="0" w:space="0" w:color="auto"/>
                    <w:right w:val="none" w:sz="0" w:space="0" w:color="auto"/>
                  </w:divBdr>
                </w:div>
                <w:div w:id="259338415">
                  <w:marLeft w:val="480"/>
                  <w:marRight w:val="0"/>
                  <w:marTop w:val="0"/>
                  <w:marBottom w:val="0"/>
                  <w:divBdr>
                    <w:top w:val="none" w:sz="0" w:space="0" w:color="auto"/>
                    <w:left w:val="none" w:sz="0" w:space="0" w:color="auto"/>
                    <w:bottom w:val="none" w:sz="0" w:space="0" w:color="auto"/>
                    <w:right w:val="none" w:sz="0" w:space="0" w:color="auto"/>
                  </w:divBdr>
                </w:div>
                <w:div w:id="1035808159">
                  <w:marLeft w:val="480"/>
                  <w:marRight w:val="0"/>
                  <w:marTop w:val="0"/>
                  <w:marBottom w:val="0"/>
                  <w:divBdr>
                    <w:top w:val="none" w:sz="0" w:space="0" w:color="auto"/>
                    <w:left w:val="none" w:sz="0" w:space="0" w:color="auto"/>
                    <w:bottom w:val="none" w:sz="0" w:space="0" w:color="auto"/>
                    <w:right w:val="none" w:sz="0" w:space="0" w:color="auto"/>
                  </w:divBdr>
                </w:div>
                <w:div w:id="227231968">
                  <w:marLeft w:val="480"/>
                  <w:marRight w:val="0"/>
                  <w:marTop w:val="0"/>
                  <w:marBottom w:val="0"/>
                  <w:divBdr>
                    <w:top w:val="none" w:sz="0" w:space="0" w:color="auto"/>
                    <w:left w:val="none" w:sz="0" w:space="0" w:color="auto"/>
                    <w:bottom w:val="none" w:sz="0" w:space="0" w:color="auto"/>
                    <w:right w:val="none" w:sz="0" w:space="0" w:color="auto"/>
                  </w:divBdr>
                </w:div>
                <w:div w:id="1716391062">
                  <w:marLeft w:val="480"/>
                  <w:marRight w:val="0"/>
                  <w:marTop w:val="0"/>
                  <w:marBottom w:val="0"/>
                  <w:divBdr>
                    <w:top w:val="none" w:sz="0" w:space="0" w:color="auto"/>
                    <w:left w:val="none" w:sz="0" w:space="0" w:color="auto"/>
                    <w:bottom w:val="none" w:sz="0" w:space="0" w:color="auto"/>
                    <w:right w:val="none" w:sz="0" w:space="0" w:color="auto"/>
                  </w:divBdr>
                </w:div>
                <w:div w:id="2111972974">
                  <w:marLeft w:val="480"/>
                  <w:marRight w:val="0"/>
                  <w:marTop w:val="0"/>
                  <w:marBottom w:val="0"/>
                  <w:divBdr>
                    <w:top w:val="none" w:sz="0" w:space="0" w:color="auto"/>
                    <w:left w:val="none" w:sz="0" w:space="0" w:color="auto"/>
                    <w:bottom w:val="none" w:sz="0" w:space="0" w:color="auto"/>
                    <w:right w:val="none" w:sz="0" w:space="0" w:color="auto"/>
                  </w:divBdr>
                </w:div>
                <w:div w:id="1856534697">
                  <w:marLeft w:val="480"/>
                  <w:marRight w:val="0"/>
                  <w:marTop w:val="0"/>
                  <w:marBottom w:val="0"/>
                  <w:divBdr>
                    <w:top w:val="none" w:sz="0" w:space="0" w:color="auto"/>
                    <w:left w:val="none" w:sz="0" w:space="0" w:color="auto"/>
                    <w:bottom w:val="none" w:sz="0" w:space="0" w:color="auto"/>
                    <w:right w:val="none" w:sz="0" w:space="0" w:color="auto"/>
                  </w:divBdr>
                </w:div>
                <w:div w:id="1634948594">
                  <w:marLeft w:val="480"/>
                  <w:marRight w:val="0"/>
                  <w:marTop w:val="0"/>
                  <w:marBottom w:val="0"/>
                  <w:divBdr>
                    <w:top w:val="none" w:sz="0" w:space="0" w:color="auto"/>
                    <w:left w:val="none" w:sz="0" w:space="0" w:color="auto"/>
                    <w:bottom w:val="none" w:sz="0" w:space="0" w:color="auto"/>
                    <w:right w:val="none" w:sz="0" w:space="0" w:color="auto"/>
                  </w:divBdr>
                </w:div>
                <w:div w:id="1670715387">
                  <w:marLeft w:val="480"/>
                  <w:marRight w:val="0"/>
                  <w:marTop w:val="0"/>
                  <w:marBottom w:val="0"/>
                  <w:divBdr>
                    <w:top w:val="none" w:sz="0" w:space="0" w:color="auto"/>
                    <w:left w:val="none" w:sz="0" w:space="0" w:color="auto"/>
                    <w:bottom w:val="none" w:sz="0" w:space="0" w:color="auto"/>
                    <w:right w:val="none" w:sz="0" w:space="0" w:color="auto"/>
                  </w:divBdr>
                </w:div>
                <w:div w:id="1392001502">
                  <w:marLeft w:val="480"/>
                  <w:marRight w:val="0"/>
                  <w:marTop w:val="0"/>
                  <w:marBottom w:val="0"/>
                  <w:divBdr>
                    <w:top w:val="none" w:sz="0" w:space="0" w:color="auto"/>
                    <w:left w:val="none" w:sz="0" w:space="0" w:color="auto"/>
                    <w:bottom w:val="none" w:sz="0" w:space="0" w:color="auto"/>
                    <w:right w:val="none" w:sz="0" w:space="0" w:color="auto"/>
                  </w:divBdr>
                </w:div>
                <w:div w:id="1838644797">
                  <w:marLeft w:val="480"/>
                  <w:marRight w:val="0"/>
                  <w:marTop w:val="0"/>
                  <w:marBottom w:val="0"/>
                  <w:divBdr>
                    <w:top w:val="none" w:sz="0" w:space="0" w:color="auto"/>
                    <w:left w:val="none" w:sz="0" w:space="0" w:color="auto"/>
                    <w:bottom w:val="none" w:sz="0" w:space="0" w:color="auto"/>
                    <w:right w:val="none" w:sz="0" w:space="0" w:color="auto"/>
                  </w:divBdr>
                </w:div>
                <w:div w:id="2083943649">
                  <w:marLeft w:val="480"/>
                  <w:marRight w:val="0"/>
                  <w:marTop w:val="0"/>
                  <w:marBottom w:val="0"/>
                  <w:divBdr>
                    <w:top w:val="none" w:sz="0" w:space="0" w:color="auto"/>
                    <w:left w:val="none" w:sz="0" w:space="0" w:color="auto"/>
                    <w:bottom w:val="none" w:sz="0" w:space="0" w:color="auto"/>
                    <w:right w:val="none" w:sz="0" w:space="0" w:color="auto"/>
                  </w:divBdr>
                </w:div>
                <w:div w:id="309141185">
                  <w:marLeft w:val="480"/>
                  <w:marRight w:val="0"/>
                  <w:marTop w:val="0"/>
                  <w:marBottom w:val="0"/>
                  <w:divBdr>
                    <w:top w:val="none" w:sz="0" w:space="0" w:color="auto"/>
                    <w:left w:val="none" w:sz="0" w:space="0" w:color="auto"/>
                    <w:bottom w:val="none" w:sz="0" w:space="0" w:color="auto"/>
                    <w:right w:val="none" w:sz="0" w:space="0" w:color="auto"/>
                  </w:divBdr>
                </w:div>
                <w:div w:id="1898083911">
                  <w:marLeft w:val="480"/>
                  <w:marRight w:val="0"/>
                  <w:marTop w:val="0"/>
                  <w:marBottom w:val="0"/>
                  <w:divBdr>
                    <w:top w:val="none" w:sz="0" w:space="0" w:color="auto"/>
                    <w:left w:val="none" w:sz="0" w:space="0" w:color="auto"/>
                    <w:bottom w:val="none" w:sz="0" w:space="0" w:color="auto"/>
                    <w:right w:val="none" w:sz="0" w:space="0" w:color="auto"/>
                  </w:divBdr>
                </w:div>
                <w:div w:id="1899853515">
                  <w:marLeft w:val="480"/>
                  <w:marRight w:val="0"/>
                  <w:marTop w:val="0"/>
                  <w:marBottom w:val="0"/>
                  <w:divBdr>
                    <w:top w:val="none" w:sz="0" w:space="0" w:color="auto"/>
                    <w:left w:val="none" w:sz="0" w:space="0" w:color="auto"/>
                    <w:bottom w:val="none" w:sz="0" w:space="0" w:color="auto"/>
                    <w:right w:val="none" w:sz="0" w:space="0" w:color="auto"/>
                  </w:divBdr>
                </w:div>
                <w:div w:id="1556043260">
                  <w:marLeft w:val="480"/>
                  <w:marRight w:val="0"/>
                  <w:marTop w:val="0"/>
                  <w:marBottom w:val="0"/>
                  <w:divBdr>
                    <w:top w:val="none" w:sz="0" w:space="0" w:color="auto"/>
                    <w:left w:val="none" w:sz="0" w:space="0" w:color="auto"/>
                    <w:bottom w:val="none" w:sz="0" w:space="0" w:color="auto"/>
                    <w:right w:val="none" w:sz="0" w:space="0" w:color="auto"/>
                  </w:divBdr>
                </w:div>
                <w:div w:id="645860268">
                  <w:marLeft w:val="480"/>
                  <w:marRight w:val="0"/>
                  <w:marTop w:val="0"/>
                  <w:marBottom w:val="0"/>
                  <w:divBdr>
                    <w:top w:val="none" w:sz="0" w:space="0" w:color="auto"/>
                    <w:left w:val="none" w:sz="0" w:space="0" w:color="auto"/>
                    <w:bottom w:val="none" w:sz="0" w:space="0" w:color="auto"/>
                    <w:right w:val="none" w:sz="0" w:space="0" w:color="auto"/>
                  </w:divBdr>
                </w:div>
                <w:div w:id="748625289">
                  <w:marLeft w:val="480"/>
                  <w:marRight w:val="0"/>
                  <w:marTop w:val="0"/>
                  <w:marBottom w:val="0"/>
                  <w:divBdr>
                    <w:top w:val="none" w:sz="0" w:space="0" w:color="auto"/>
                    <w:left w:val="none" w:sz="0" w:space="0" w:color="auto"/>
                    <w:bottom w:val="none" w:sz="0" w:space="0" w:color="auto"/>
                    <w:right w:val="none" w:sz="0" w:space="0" w:color="auto"/>
                  </w:divBdr>
                </w:div>
                <w:div w:id="557546070">
                  <w:marLeft w:val="480"/>
                  <w:marRight w:val="0"/>
                  <w:marTop w:val="0"/>
                  <w:marBottom w:val="0"/>
                  <w:divBdr>
                    <w:top w:val="none" w:sz="0" w:space="0" w:color="auto"/>
                    <w:left w:val="none" w:sz="0" w:space="0" w:color="auto"/>
                    <w:bottom w:val="none" w:sz="0" w:space="0" w:color="auto"/>
                    <w:right w:val="none" w:sz="0" w:space="0" w:color="auto"/>
                  </w:divBdr>
                </w:div>
                <w:div w:id="776481863">
                  <w:marLeft w:val="480"/>
                  <w:marRight w:val="0"/>
                  <w:marTop w:val="0"/>
                  <w:marBottom w:val="0"/>
                  <w:divBdr>
                    <w:top w:val="none" w:sz="0" w:space="0" w:color="auto"/>
                    <w:left w:val="none" w:sz="0" w:space="0" w:color="auto"/>
                    <w:bottom w:val="none" w:sz="0" w:space="0" w:color="auto"/>
                    <w:right w:val="none" w:sz="0" w:space="0" w:color="auto"/>
                  </w:divBdr>
                </w:div>
                <w:div w:id="2040933374">
                  <w:marLeft w:val="480"/>
                  <w:marRight w:val="0"/>
                  <w:marTop w:val="0"/>
                  <w:marBottom w:val="0"/>
                  <w:divBdr>
                    <w:top w:val="none" w:sz="0" w:space="0" w:color="auto"/>
                    <w:left w:val="none" w:sz="0" w:space="0" w:color="auto"/>
                    <w:bottom w:val="none" w:sz="0" w:space="0" w:color="auto"/>
                    <w:right w:val="none" w:sz="0" w:space="0" w:color="auto"/>
                  </w:divBdr>
                </w:div>
                <w:div w:id="1359770068">
                  <w:marLeft w:val="480"/>
                  <w:marRight w:val="0"/>
                  <w:marTop w:val="0"/>
                  <w:marBottom w:val="0"/>
                  <w:divBdr>
                    <w:top w:val="none" w:sz="0" w:space="0" w:color="auto"/>
                    <w:left w:val="none" w:sz="0" w:space="0" w:color="auto"/>
                    <w:bottom w:val="none" w:sz="0" w:space="0" w:color="auto"/>
                    <w:right w:val="none" w:sz="0" w:space="0" w:color="auto"/>
                  </w:divBdr>
                </w:div>
                <w:div w:id="1716808664">
                  <w:marLeft w:val="480"/>
                  <w:marRight w:val="0"/>
                  <w:marTop w:val="0"/>
                  <w:marBottom w:val="0"/>
                  <w:divBdr>
                    <w:top w:val="none" w:sz="0" w:space="0" w:color="auto"/>
                    <w:left w:val="none" w:sz="0" w:space="0" w:color="auto"/>
                    <w:bottom w:val="none" w:sz="0" w:space="0" w:color="auto"/>
                    <w:right w:val="none" w:sz="0" w:space="0" w:color="auto"/>
                  </w:divBdr>
                </w:div>
                <w:div w:id="1090389324">
                  <w:marLeft w:val="480"/>
                  <w:marRight w:val="0"/>
                  <w:marTop w:val="0"/>
                  <w:marBottom w:val="0"/>
                  <w:divBdr>
                    <w:top w:val="none" w:sz="0" w:space="0" w:color="auto"/>
                    <w:left w:val="none" w:sz="0" w:space="0" w:color="auto"/>
                    <w:bottom w:val="none" w:sz="0" w:space="0" w:color="auto"/>
                    <w:right w:val="none" w:sz="0" w:space="0" w:color="auto"/>
                  </w:divBdr>
                </w:div>
                <w:div w:id="900141796">
                  <w:marLeft w:val="480"/>
                  <w:marRight w:val="0"/>
                  <w:marTop w:val="0"/>
                  <w:marBottom w:val="0"/>
                  <w:divBdr>
                    <w:top w:val="none" w:sz="0" w:space="0" w:color="auto"/>
                    <w:left w:val="none" w:sz="0" w:space="0" w:color="auto"/>
                    <w:bottom w:val="none" w:sz="0" w:space="0" w:color="auto"/>
                    <w:right w:val="none" w:sz="0" w:space="0" w:color="auto"/>
                  </w:divBdr>
                </w:div>
                <w:div w:id="1582525402">
                  <w:marLeft w:val="480"/>
                  <w:marRight w:val="0"/>
                  <w:marTop w:val="0"/>
                  <w:marBottom w:val="0"/>
                  <w:divBdr>
                    <w:top w:val="none" w:sz="0" w:space="0" w:color="auto"/>
                    <w:left w:val="none" w:sz="0" w:space="0" w:color="auto"/>
                    <w:bottom w:val="none" w:sz="0" w:space="0" w:color="auto"/>
                    <w:right w:val="none" w:sz="0" w:space="0" w:color="auto"/>
                  </w:divBdr>
                </w:div>
                <w:div w:id="897788443">
                  <w:marLeft w:val="480"/>
                  <w:marRight w:val="0"/>
                  <w:marTop w:val="0"/>
                  <w:marBottom w:val="0"/>
                  <w:divBdr>
                    <w:top w:val="none" w:sz="0" w:space="0" w:color="auto"/>
                    <w:left w:val="none" w:sz="0" w:space="0" w:color="auto"/>
                    <w:bottom w:val="none" w:sz="0" w:space="0" w:color="auto"/>
                    <w:right w:val="none" w:sz="0" w:space="0" w:color="auto"/>
                  </w:divBdr>
                </w:div>
                <w:div w:id="1527208658">
                  <w:marLeft w:val="480"/>
                  <w:marRight w:val="0"/>
                  <w:marTop w:val="0"/>
                  <w:marBottom w:val="0"/>
                  <w:divBdr>
                    <w:top w:val="none" w:sz="0" w:space="0" w:color="auto"/>
                    <w:left w:val="none" w:sz="0" w:space="0" w:color="auto"/>
                    <w:bottom w:val="none" w:sz="0" w:space="0" w:color="auto"/>
                    <w:right w:val="none" w:sz="0" w:space="0" w:color="auto"/>
                  </w:divBdr>
                </w:div>
                <w:div w:id="1468283377">
                  <w:marLeft w:val="480"/>
                  <w:marRight w:val="0"/>
                  <w:marTop w:val="0"/>
                  <w:marBottom w:val="0"/>
                  <w:divBdr>
                    <w:top w:val="none" w:sz="0" w:space="0" w:color="auto"/>
                    <w:left w:val="none" w:sz="0" w:space="0" w:color="auto"/>
                    <w:bottom w:val="none" w:sz="0" w:space="0" w:color="auto"/>
                    <w:right w:val="none" w:sz="0" w:space="0" w:color="auto"/>
                  </w:divBdr>
                </w:div>
                <w:div w:id="23603380">
                  <w:marLeft w:val="480"/>
                  <w:marRight w:val="0"/>
                  <w:marTop w:val="0"/>
                  <w:marBottom w:val="0"/>
                  <w:divBdr>
                    <w:top w:val="none" w:sz="0" w:space="0" w:color="auto"/>
                    <w:left w:val="none" w:sz="0" w:space="0" w:color="auto"/>
                    <w:bottom w:val="none" w:sz="0" w:space="0" w:color="auto"/>
                    <w:right w:val="none" w:sz="0" w:space="0" w:color="auto"/>
                  </w:divBdr>
                </w:div>
                <w:div w:id="1700207158">
                  <w:marLeft w:val="480"/>
                  <w:marRight w:val="0"/>
                  <w:marTop w:val="0"/>
                  <w:marBottom w:val="0"/>
                  <w:divBdr>
                    <w:top w:val="none" w:sz="0" w:space="0" w:color="auto"/>
                    <w:left w:val="none" w:sz="0" w:space="0" w:color="auto"/>
                    <w:bottom w:val="none" w:sz="0" w:space="0" w:color="auto"/>
                    <w:right w:val="none" w:sz="0" w:space="0" w:color="auto"/>
                  </w:divBdr>
                </w:div>
                <w:div w:id="80489898">
                  <w:marLeft w:val="480"/>
                  <w:marRight w:val="0"/>
                  <w:marTop w:val="0"/>
                  <w:marBottom w:val="0"/>
                  <w:divBdr>
                    <w:top w:val="none" w:sz="0" w:space="0" w:color="auto"/>
                    <w:left w:val="none" w:sz="0" w:space="0" w:color="auto"/>
                    <w:bottom w:val="none" w:sz="0" w:space="0" w:color="auto"/>
                    <w:right w:val="none" w:sz="0" w:space="0" w:color="auto"/>
                  </w:divBdr>
                </w:div>
                <w:div w:id="1601988484">
                  <w:marLeft w:val="480"/>
                  <w:marRight w:val="0"/>
                  <w:marTop w:val="0"/>
                  <w:marBottom w:val="0"/>
                  <w:divBdr>
                    <w:top w:val="none" w:sz="0" w:space="0" w:color="auto"/>
                    <w:left w:val="none" w:sz="0" w:space="0" w:color="auto"/>
                    <w:bottom w:val="none" w:sz="0" w:space="0" w:color="auto"/>
                    <w:right w:val="none" w:sz="0" w:space="0" w:color="auto"/>
                  </w:divBdr>
                </w:div>
                <w:div w:id="1357737232">
                  <w:marLeft w:val="480"/>
                  <w:marRight w:val="0"/>
                  <w:marTop w:val="0"/>
                  <w:marBottom w:val="0"/>
                  <w:divBdr>
                    <w:top w:val="none" w:sz="0" w:space="0" w:color="auto"/>
                    <w:left w:val="none" w:sz="0" w:space="0" w:color="auto"/>
                    <w:bottom w:val="none" w:sz="0" w:space="0" w:color="auto"/>
                    <w:right w:val="none" w:sz="0" w:space="0" w:color="auto"/>
                  </w:divBdr>
                </w:div>
                <w:div w:id="149251613">
                  <w:marLeft w:val="480"/>
                  <w:marRight w:val="0"/>
                  <w:marTop w:val="0"/>
                  <w:marBottom w:val="0"/>
                  <w:divBdr>
                    <w:top w:val="none" w:sz="0" w:space="0" w:color="auto"/>
                    <w:left w:val="none" w:sz="0" w:space="0" w:color="auto"/>
                    <w:bottom w:val="none" w:sz="0" w:space="0" w:color="auto"/>
                    <w:right w:val="none" w:sz="0" w:space="0" w:color="auto"/>
                  </w:divBdr>
                </w:div>
                <w:div w:id="2026517780">
                  <w:marLeft w:val="480"/>
                  <w:marRight w:val="0"/>
                  <w:marTop w:val="0"/>
                  <w:marBottom w:val="0"/>
                  <w:divBdr>
                    <w:top w:val="none" w:sz="0" w:space="0" w:color="auto"/>
                    <w:left w:val="none" w:sz="0" w:space="0" w:color="auto"/>
                    <w:bottom w:val="none" w:sz="0" w:space="0" w:color="auto"/>
                    <w:right w:val="none" w:sz="0" w:space="0" w:color="auto"/>
                  </w:divBdr>
                </w:div>
                <w:div w:id="1902326778">
                  <w:marLeft w:val="480"/>
                  <w:marRight w:val="0"/>
                  <w:marTop w:val="0"/>
                  <w:marBottom w:val="0"/>
                  <w:divBdr>
                    <w:top w:val="none" w:sz="0" w:space="0" w:color="auto"/>
                    <w:left w:val="none" w:sz="0" w:space="0" w:color="auto"/>
                    <w:bottom w:val="none" w:sz="0" w:space="0" w:color="auto"/>
                    <w:right w:val="none" w:sz="0" w:space="0" w:color="auto"/>
                  </w:divBdr>
                </w:div>
                <w:div w:id="384137091">
                  <w:marLeft w:val="480"/>
                  <w:marRight w:val="0"/>
                  <w:marTop w:val="0"/>
                  <w:marBottom w:val="0"/>
                  <w:divBdr>
                    <w:top w:val="none" w:sz="0" w:space="0" w:color="auto"/>
                    <w:left w:val="none" w:sz="0" w:space="0" w:color="auto"/>
                    <w:bottom w:val="none" w:sz="0" w:space="0" w:color="auto"/>
                    <w:right w:val="none" w:sz="0" w:space="0" w:color="auto"/>
                  </w:divBdr>
                </w:div>
                <w:div w:id="1208643807">
                  <w:marLeft w:val="480"/>
                  <w:marRight w:val="0"/>
                  <w:marTop w:val="0"/>
                  <w:marBottom w:val="0"/>
                  <w:divBdr>
                    <w:top w:val="none" w:sz="0" w:space="0" w:color="auto"/>
                    <w:left w:val="none" w:sz="0" w:space="0" w:color="auto"/>
                    <w:bottom w:val="none" w:sz="0" w:space="0" w:color="auto"/>
                    <w:right w:val="none" w:sz="0" w:space="0" w:color="auto"/>
                  </w:divBdr>
                </w:div>
                <w:div w:id="1538082228">
                  <w:marLeft w:val="480"/>
                  <w:marRight w:val="0"/>
                  <w:marTop w:val="0"/>
                  <w:marBottom w:val="0"/>
                  <w:divBdr>
                    <w:top w:val="none" w:sz="0" w:space="0" w:color="auto"/>
                    <w:left w:val="none" w:sz="0" w:space="0" w:color="auto"/>
                    <w:bottom w:val="none" w:sz="0" w:space="0" w:color="auto"/>
                    <w:right w:val="none" w:sz="0" w:space="0" w:color="auto"/>
                  </w:divBdr>
                </w:div>
                <w:div w:id="419765655">
                  <w:marLeft w:val="480"/>
                  <w:marRight w:val="0"/>
                  <w:marTop w:val="0"/>
                  <w:marBottom w:val="0"/>
                  <w:divBdr>
                    <w:top w:val="none" w:sz="0" w:space="0" w:color="auto"/>
                    <w:left w:val="none" w:sz="0" w:space="0" w:color="auto"/>
                    <w:bottom w:val="none" w:sz="0" w:space="0" w:color="auto"/>
                    <w:right w:val="none" w:sz="0" w:space="0" w:color="auto"/>
                  </w:divBdr>
                </w:div>
                <w:div w:id="1726369992">
                  <w:marLeft w:val="480"/>
                  <w:marRight w:val="0"/>
                  <w:marTop w:val="0"/>
                  <w:marBottom w:val="0"/>
                  <w:divBdr>
                    <w:top w:val="none" w:sz="0" w:space="0" w:color="auto"/>
                    <w:left w:val="none" w:sz="0" w:space="0" w:color="auto"/>
                    <w:bottom w:val="none" w:sz="0" w:space="0" w:color="auto"/>
                    <w:right w:val="none" w:sz="0" w:space="0" w:color="auto"/>
                  </w:divBdr>
                </w:div>
                <w:div w:id="283779444">
                  <w:marLeft w:val="480"/>
                  <w:marRight w:val="0"/>
                  <w:marTop w:val="0"/>
                  <w:marBottom w:val="0"/>
                  <w:divBdr>
                    <w:top w:val="none" w:sz="0" w:space="0" w:color="auto"/>
                    <w:left w:val="none" w:sz="0" w:space="0" w:color="auto"/>
                    <w:bottom w:val="none" w:sz="0" w:space="0" w:color="auto"/>
                    <w:right w:val="none" w:sz="0" w:space="0" w:color="auto"/>
                  </w:divBdr>
                </w:div>
                <w:div w:id="1066804038">
                  <w:marLeft w:val="480"/>
                  <w:marRight w:val="0"/>
                  <w:marTop w:val="0"/>
                  <w:marBottom w:val="0"/>
                  <w:divBdr>
                    <w:top w:val="none" w:sz="0" w:space="0" w:color="auto"/>
                    <w:left w:val="none" w:sz="0" w:space="0" w:color="auto"/>
                    <w:bottom w:val="none" w:sz="0" w:space="0" w:color="auto"/>
                    <w:right w:val="none" w:sz="0" w:space="0" w:color="auto"/>
                  </w:divBdr>
                </w:div>
                <w:div w:id="13966250">
                  <w:marLeft w:val="480"/>
                  <w:marRight w:val="0"/>
                  <w:marTop w:val="0"/>
                  <w:marBottom w:val="0"/>
                  <w:divBdr>
                    <w:top w:val="none" w:sz="0" w:space="0" w:color="auto"/>
                    <w:left w:val="none" w:sz="0" w:space="0" w:color="auto"/>
                    <w:bottom w:val="none" w:sz="0" w:space="0" w:color="auto"/>
                    <w:right w:val="none" w:sz="0" w:space="0" w:color="auto"/>
                  </w:divBdr>
                </w:div>
                <w:div w:id="607272957">
                  <w:marLeft w:val="480"/>
                  <w:marRight w:val="0"/>
                  <w:marTop w:val="0"/>
                  <w:marBottom w:val="0"/>
                  <w:divBdr>
                    <w:top w:val="none" w:sz="0" w:space="0" w:color="auto"/>
                    <w:left w:val="none" w:sz="0" w:space="0" w:color="auto"/>
                    <w:bottom w:val="none" w:sz="0" w:space="0" w:color="auto"/>
                    <w:right w:val="none" w:sz="0" w:space="0" w:color="auto"/>
                  </w:divBdr>
                </w:div>
                <w:div w:id="797919212">
                  <w:marLeft w:val="480"/>
                  <w:marRight w:val="0"/>
                  <w:marTop w:val="0"/>
                  <w:marBottom w:val="0"/>
                  <w:divBdr>
                    <w:top w:val="none" w:sz="0" w:space="0" w:color="auto"/>
                    <w:left w:val="none" w:sz="0" w:space="0" w:color="auto"/>
                    <w:bottom w:val="none" w:sz="0" w:space="0" w:color="auto"/>
                    <w:right w:val="none" w:sz="0" w:space="0" w:color="auto"/>
                  </w:divBdr>
                </w:div>
                <w:div w:id="1172648521">
                  <w:marLeft w:val="480"/>
                  <w:marRight w:val="0"/>
                  <w:marTop w:val="0"/>
                  <w:marBottom w:val="0"/>
                  <w:divBdr>
                    <w:top w:val="none" w:sz="0" w:space="0" w:color="auto"/>
                    <w:left w:val="none" w:sz="0" w:space="0" w:color="auto"/>
                    <w:bottom w:val="none" w:sz="0" w:space="0" w:color="auto"/>
                    <w:right w:val="none" w:sz="0" w:space="0" w:color="auto"/>
                  </w:divBdr>
                </w:div>
                <w:div w:id="2021659844">
                  <w:marLeft w:val="480"/>
                  <w:marRight w:val="0"/>
                  <w:marTop w:val="0"/>
                  <w:marBottom w:val="0"/>
                  <w:divBdr>
                    <w:top w:val="none" w:sz="0" w:space="0" w:color="auto"/>
                    <w:left w:val="none" w:sz="0" w:space="0" w:color="auto"/>
                    <w:bottom w:val="none" w:sz="0" w:space="0" w:color="auto"/>
                    <w:right w:val="none" w:sz="0" w:space="0" w:color="auto"/>
                  </w:divBdr>
                </w:div>
                <w:div w:id="1448086041">
                  <w:marLeft w:val="480"/>
                  <w:marRight w:val="0"/>
                  <w:marTop w:val="0"/>
                  <w:marBottom w:val="0"/>
                  <w:divBdr>
                    <w:top w:val="none" w:sz="0" w:space="0" w:color="auto"/>
                    <w:left w:val="none" w:sz="0" w:space="0" w:color="auto"/>
                    <w:bottom w:val="none" w:sz="0" w:space="0" w:color="auto"/>
                    <w:right w:val="none" w:sz="0" w:space="0" w:color="auto"/>
                  </w:divBdr>
                </w:div>
                <w:div w:id="1314216168">
                  <w:marLeft w:val="480"/>
                  <w:marRight w:val="0"/>
                  <w:marTop w:val="0"/>
                  <w:marBottom w:val="0"/>
                  <w:divBdr>
                    <w:top w:val="none" w:sz="0" w:space="0" w:color="auto"/>
                    <w:left w:val="none" w:sz="0" w:space="0" w:color="auto"/>
                    <w:bottom w:val="none" w:sz="0" w:space="0" w:color="auto"/>
                    <w:right w:val="none" w:sz="0" w:space="0" w:color="auto"/>
                  </w:divBdr>
                </w:div>
              </w:divsChild>
            </w:div>
            <w:div w:id="1503203159">
              <w:marLeft w:val="0"/>
              <w:marRight w:val="0"/>
              <w:marTop w:val="0"/>
              <w:marBottom w:val="0"/>
              <w:divBdr>
                <w:top w:val="none" w:sz="0" w:space="0" w:color="auto"/>
                <w:left w:val="none" w:sz="0" w:space="0" w:color="auto"/>
                <w:bottom w:val="none" w:sz="0" w:space="0" w:color="auto"/>
                <w:right w:val="none" w:sz="0" w:space="0" w:color="auto"/>
              </w:divBdr>
              <w:divsChild>
                <w:div w:id="1577207674">
                  <w:marLeft w:val="480"/>
                  <w:marRight w:val="0"/>
                  <w:marTop w:val="0"/>
                  <w:marBottom w:val="0"/>
                  <w:divBdr>
                    <w:top w:val="none" w:sz="0" w:space="0" w:color="auto"/>
                    <w:left w:val="none" w:sz="0" w:space="0" w:color="auto"/>
                    <w:bottom w:val="none" w:sz="0" w:space="0" w:color="auto"/>
                    <w:right w:val="none" w:sz="0" w:space="0" w:color="auto"/>
                  </w:divBdr>
                </w:div>
                <w:div w:id="950666055">
                  <w:marLeft w:val="480"/>
                  <w:marRight w:val="0"/>
                  <w:marTop w:val="0"/>
                  <w:marBottom w:val="0"/>
                  <w:divBdr>
                    <w:top w:val="none" w:sz="0" w:space="0" w:color="auto"/>
                    <w:left w:val="none" w:sz="0" w:space="0" w:color="auto"/>
                    <w:bottom w:val="none" w:sz="0" w:space="0" w:color="auto"/>
                    <w:right w:val="none" w:sz="0" w:space="0" w:color="auto"/>
                  </w:divBdr>
                </w:div>
                <w:div w:id="1774936728">
                  <w:marLeft w:val="480"/>
                  <w:marRight w:val="0"/>
                  <w:marTop w:val="0"/>
                  <w:marBottom w:val="0"/>
                  <w:divBdr>
                    <w:top w:val="none" w:sz="0" w:space="0" w:color="auto"/>
                    <w:left w:val="none" w:sz="0" w:space="0" w:color="auto"/>
                    <w:bottom w:val="none" w:sz="0" w:space="0" w:color="auto"/>
                    <w:right w:val="none" w:sz="0" w:space="0" w:color="auto"/>
                  </w:divBdr>
                </w:div>
                <w:div w:id="1632395962">
                  <w:marLeft w:val="480"/>
                  <w:marRight w:val="0"/>
                  <w:marTop w:val="0"/>
                  <w:marBottom w:val="0"/>
                  <w:divBdr>
                    <w:top w:val="none" w:sz="0" w:space="0" w:color="auto"/>
                    <w:left w:val="none" w:sz="0" w:space="0" w:color="auto"/>
                    <w:bottom w:val="none" w:sz="0" w:space="0" w:color="auto"/>
                    <w:right w:val="none" w:sz="0" w:space="0" w:color="auto"/>
                  </w:divBdr>
                </w:div>
                <w:div w:id="578712060">
                  <w:marLeft w:val="480"/>
                  <w:marRight w:val="0"/>
                  <w:marTop w:val="0"/>
                  <w:marBottom w:val="0"/>
                  <w:divBdr>
                    <w:top w:val="none" w:sz="0" w:space="0" w:color="auto"/>
                    <w:left w:val="none" w:sz="0" w:space="0" w:color="auto"/>
                    <w:bottom w:val="none" w:sz="0" w:space="0" w:color="auto"/>
                    <w:right w:val="none" w:sz="0" w:space="0" w:color="auto"/>
                  </w:divBdr>
                </w:div>
                <w:div w:id="1980835999">
                  <w:marLeft w:val="480"/>
                  <w:marRight w:val="0"/>
                  <w:marTop w:val="0"/>
                  <w:marBottom w:val="0"/>
                  <w:divBdr>
                    <w:top w:val="none" w:sz="0" w:space="0" w:color="auto"/>
                    <w:left w:val="none" w:sz="0" w:space="0" w:color="auto"/>
                    <w:bottom w:val="none" w:sz="0" w:space="0" w:color="auto"/>
                    <w:right w:val="none" w:sz="0" w:space="0" w:color="auto"/>
                  </w:divBdr>
                </w:div>
                <w:div w:id="635373264">
                  <w:marLeft w:val="480"/>
                  <w:marRight w:val="0"/>
                  <w:marTop w:val="0"/>
                  <w:marBottom w:val="0"/>
                  <w:divBdr>
                    <w:top w:val="none" w:sz="0" w:space="0" w:color="auto"/>
                    <w:left w:val="none" w:sz="0" w:space="0" w:color="auto"/>
                    <w:bottom w:val="none" w:sz="0" w:space="0" w:color="auto"/>
                    <w:right w:val="none" w:sz="0" w:space="0" w:color="auto"/>
                  </w:divBdr>
                </w:div>
                <w:div w:id="1072118780">
                  <w:marLeft w:val="480"/>
                  <w:marRight w:val="0"/>
                  <w:marTop w:val="0"/>
                  <w:marBottom w:val="0"/>
                  <w:divBdr>
                    <w:top w:val="none" w:sz="0" w:space="0" w:color="auto"/>
                    <w:left w:val="none" w:sz="0" w:space="0" w:color="auto"/>
                    <w:bottom w:val="none" w:sz="0" w:space="0" w:color="auto"/>
                    <w:right w:val="none" w:sz="0" w:space="0" w:color="auto"/>
                  </w:divBdr>
                </w:div>
                <w:div w:id="290356732">
                  <w:marLeft w:val="480"/>
                  <w:marRight w:val="0"/>
                  <w:marTop w:val="0"/>
                  <w:marBottom w:val="0"/>
                  <w:divBdr>
                    <w:top w:val="none" w:sz="0" w:space="0" w:color="auto"/>
                    <w:left w:val="none" w:sz="0" w:space="0" w:color="auto"/>
                    <w:bottom w:val="none" w:sz="0" w:space="0" w:color="auto"/>
                    <w:right w:val="none" w:sz="0" w:space="0" w:color="auto"/>
                  </w:divBdr>
                </w:div>
                <w:div w:id="331177397">
                  <w:marLeft w:val="480"/>
                  <w:marRight w:val="0"/>
                  <w:marTop w:val="0"/>
                  <w:marBottom w:val="0"/>
                  <w:divBdr>
                    <w:top w:val="none" w:sz="0" w:space="0" w:color="auto"/>
                    <w:left w:val="none" w:sz="0" w:space="0" w:color="auto"/>
                    <w:bottom w:val="none" w:sz="0" w:space="0" w:color="auto"/>
                    <w:right w:val="none" w:sz="0" w:space="0" w:color="auto"/>
                  </w:divBdr>
                </w:div>
                <w:div w:id="483277135">
                  <w:marLeft w:val="480"/>
                  <w:marRight w:val="0"/>
                  <w:marTop w:val="0"/>
                  <w:marBottom w:val="0"/>
                  <w:divBdr>
                    <w:top w:val="none" w:sz="0" w:space="0" w:color="auto"/>
                    <w:left w:val="none" w:sz="0" w:space="0" w:color="auto"/>
                    <w:bottom w:val="none" w:sz="0" w:space="0" w:color="auto"/>
                    <w:right w:val="none" w:sz="0" w:space="0" w:color="auto"/>
                  </w:divBdr>
                </w:div>
                <w:div w:id="2113550502">
                  <w:marLeft w:val="480"/>
                  <w:marRight w:val="0"/>
                  <w:marTop w:val="0"/>
                  <w:marBottom w:val="0"/>
                  <w:divBdr>
                    <w:top w:val="none" w:sz="0" w:space="0" w:color="auto"/>
                    <w:left w:val="none" w:sz="0" w:space="0" w:color="auto"/>
                    <w:bottom w:val="none" w:sz="0" w:space="0" w:color="auto"/>
                    <w:right w:val="none" w:sz="0" w:space="0" w:color="auto"/>
                  </w:divBdr>
                </w:div>
                <w:div w:id="720054428">
                  <w:marLeft w:val="480"/>
                  <w:marRight w:val="0"/>
                  <w:marTop w:val="0"/>
                  <w:marBottom w:val="0"/>
                  <w:divBdr>
                    <w:top w:val="none" w:sz="0" w:space="0" w:color="auto"/>
                    <w:left w:val="none" w:sz="0" w:space="0" w:color="auto"/>
                    <w:bottom w:val="none" w:sz="0" w:space="0" w:color="auto"/>
                    <w:right w:val="none" w:sz="0" w:space="0" w:color="auto"/>
                  </w:divBdr>
                </w:div>
                <w:div w:id="2067027720">
                  <w:marLeft w:val="480"/>
                  <w:marRight w:val="0"/>
                  <w:marTop w:val="0"/>
                  <w:marBottom w:val="0"/>
                  <w:divBdr>
                    <w:top w:val="none" w:sz="0" w:space="0" w:color="auto"/>
                    <w:left w:val="none" w:sz="0" w:space="0" w:color="auto"/>
                    <w:bottom w:val="none" w:sz="0" w:space="0" w:color="auto"/>
                    <w:right w:val="none" w:sz="0" w:space="0" w:color="auto"/>
                  </w:divBdr>
                </w:div>
                <w:div w:id="1413813035">
                  <w:marLeft w:val="480"/>
                  <w:marRight w:val="0"/>
                  <w:marTop w:val="0"/>
                  <w:marBottom w:val="0"/>
                  <w:divBdr>
                    <w:top w:val="none" w:sz="0" w:space="0" w:color="auto"/>
                    <w:left w:val="none" w:sz="0" w:space="0" w:color="auto"/>
                    <w:bottom w:val="none" w:sz="0" w:space="0" w:color="auto"/>
                    <w:right w:val="none" w:sz="0" w:space="0" w:color="auto"/>
                  </w:divBdr>
                </w:div>
                <w:div w:id="861165161">
                  <w:marLeft w:val="480"/>
                  <w:marRight w:val="0"/>
                  <w:marTop w:val="0"/>
                  <w:marBottom w:val="0"/>
                  <w:divBdr>
                    <w:top w:val="none" w:sz="0" w:space="0" w:color="auto"/>
                    <w:left w:val="none" w:sz="0" w:space="0" w:color="auto"/>
                    <w:bottom w:val="none" w:sz="0" w:space="0" w:color="auto"/>
                    <w:right w:val="none" w:sz="0" w:space="0" w:color="auto"/>
                  </w:divBdr>
                </w:div>
                <w:div w:id="644817672">
                  <w:marLeft w:val="480"/>
                  <w:marRight w:val="0"/>
                  <w:marTop w:val="0"/>
                  <w:marBottom w:val="0"/>
                  <w:divBdr>
                    <w:top w:val="none" w:sz="0" w:space="0" w:color="auto"/>
                    <w:left w:val="none" w:sz="0" w:space="0" w:color="auto"/>
                    <w:bottom w:val="none" w:sz="0" w:space="0" w:color="auto"/>
                    <w:right w:val="none" w:sz="0" w:space="0" w:color="auto"/>
                  </w:divBdr>
                </w:div>
                <w:div w:id="316540221">
                  <w:marLeft w:val="480"/>
                  <w:marRight w:val="0"/>
                  <w:marTop w:val="0"/>
                  <w:marBottom w:val="0"/>
                  <w:divBdr>
                    <w:top w:val="none" w:sz="0" w:space="0" w:color="auto"/>
                    <w:left w:val="none" w:sz="0" w:space="0" w:color="auto"/>
                    <w:bottom w:val="none" w:sz="0" w:space="0" w:color="auto"/>
                    <w:right w:val="none" w:sz="0" w:space="0" w:color="auto"/>
                  </w:divBdr>
                </w:div>
                <w:div w:id="1693414661">
                  <w:marLeft w:val="480"/>
                  <w:marRight w:val="0"/>
                  <w:marTop w:val="0"/>
                  <w:marBottom w:val="0"/>
                  <w:divBdr>
                    <w:top w:val="none" w:sz="0" w:space="0" w:color="auto"/>
                    <w:left w:val="none" w:sz="0" w:space="0" w:color="auto"/>
                    <w:bottom w:val="none" w:sz="0" w:space="0" w:color="auto"/>
                    <w:right w:val="none" w:sz="0" w:space="0" w:color="auto"/>
                  </w:divBdr>
                </w:div>
                <w:div w:id="1269893509">
                  <w:marLeft w:val="480"/>
                  <w:marRight w:val="0"/>
                  <w:marTop w:val="0"/>
                  <w:marBottom w:val="0"/>
                  <w:divBdr>
                    <w:top w:val="none" w:sz="0" w:space="0" w:color="auto"/>
                    <w:left w:val="none" w:sz="0" w:space="0" w:color="auto"/>
                    <w:bottom w:val="none" w:sz="0" w:space="0" w:color="auto"/>
                    <w:right w:val="none" w:sz="0" w:space="0" w:color="auto"/>
                  </w:divBdr>
                </w:div>
                <w:div w:id="1645575543">
                  <w:marLeft w:val="480"/>
                  <w:marRight w:val="0"/>
                  <w:marTop w:val="0"/>
                  <w:marBottom w:val="0"/>
                  <w:divBdr>
                    <w:top w:val="none" w:sz="0" w:space="0" w:color="auto"/>
                    <w:left w:val="none" w:sz="0" w:space="0" w:color="auto"/>
                    <w:bottom w:val="none" w:sz="0" w:space="0" w:color="auto"/>
                    <w:right w:val="none" w:sz="0" w:space="0" w:color="auto"/>
                  </w:divBdr>
                </w:div>
                <w:div w:id="1865054202">
                  <w:marLeft w:val="480"/>
                  <w:marRight w:val="0"/>
                  <w:marTop w:val="0"/>
                  <w:marBottom w:val="0"/>
                  <w:divBdr>
                    <w:top w:val="none" w:sz="0" w:space="0" w:color="auto"/>
                    <w:left w:val="none" w:sz="0" w:space="0" w:color="auto"/>
                    <w:bottom w:val="none" w:sz="0" w:space="0" w:color="auto"/>
                    <w:right w:val="none" w:sz="0" w:space="0" w:color="auto"/>
                  </w:divBdr>
                </w:div>
                <w:div w:id="888761102">
                  <w:marLeft w:val="480"/>
                  <w:marRight w:val="0"/>
                  <w:marTop w:val="0"/>
                  <w:marBottom w:val="0"/>
                  <w:divBdr>
                    <w:top w:val="none" w:sz="0" w:space="0" w:color="auto"/>
                    <w:left w:val="none" w:sz="0" w:space="0" w:color="auto"/>
                    <w:bottom w:val="none" w:sz="0" w:space="0" w:color="auto"/>
                    <w:right w:val="none" w:sz="0" w:space="0" w:color="auto"/>
                  </w:divBdr>
                </w:div>
                <w:div w:id="1186866239">
                  <w:marLeft w:val="480"/>
                  <w:marRight w:val="0"/>
                  <w:marTop w:val="0"/>
                  <w:marBottom w:val="0"/>
                  <w:divBdr>
                    <w:top w:val="none" w:sz="0" w:space="0" w:color="auto"/>
                    <w:left w:val="none" w:sz="0" w:space="0" w:color="auto"/>
                    <w:bottom w:val="none" w:sz="0" w:space="0" w:color="auto"/>
                    <w:right w:val="none" w:sz="0" w:space="0" w:color="auto"/>
                  </w:divBdr>
                </w:div>
                <w:div w:id="773013824">
                  <w:marLeft w:val="480"/>
                  <w:marRight w:val="0"/>
                  <w:marTop w:val="0"/>
                  <w:marBottom w:val="0"/>
                  <w:divBdr>
                    <w:top w:val="none" w:sz="0" w:space="0" w:color="auto"/>
                    <w:left w:val="none" w:sz="0" w:space="0" w:color="auto"/>
                    <w:bottom w:val="none" w:sz="0" w:space="0" w:color="auto"/>
                    <w:right w:val="none" w:sz="0" w:space="0" w:color="auto"/>
                  </w:divBdr>
                </w:div>
                <w:div w:id="1241333095">
                  <w:marLeft w:val="480"/>
                  <w:marRight w:val="0"/>
                  <w:marTop w:val="0"/>
                  <w:marBottom w:val="0"/>
                  <w:divBdr>
                    <w:top w:val="none" w:sz="0" w:space="0" w:color="auto"/>
                    <w:left w:val="none" w:sz="0" w:space="0" w:color="auto"/>
                    <w:bottom w:val="none" w:sz="0" w:space="0" w:color="auto"/>
                    <w:right w:val="none" w:sz="0" w:space="0" w:color="auto"/>
                  </w:divBdr>
                </w:div>
                <w:div w:id="201943497">
                  <w:marLeft w:val="480"/>
                  <w:marRight w:val="0"/>
                  <w:marTop w:val="0"/>
                  <w:marBottom w:val="0"/>
                  <w:divBdr>
                    <w:top w:val="none" w:sz="0" w:space="0" w:color="auto"/>
                    <w:left w:val="none" w:sz="0" w:space="0" w:color="auto"/>
                    <w:bottom w:val="none" w:sz="0" w:space="0" w:color="auto"/>
                    <w:right w:val="none" w:sz="0" w:space="0" w:color="auto"/>
                  </w:divBdr>
                </w:div>
                <w:div w:id="1939093710">
                  <w:marLeft w:val="480"/>
                  <w:marRight w:val="0"/>
                  <w:marTop w:val="0"/>
                  <w:marBottom w:val="0"/>
                  <w:divBdr>
                    <w:top w:val="none" w:sz="0" w:space="0" w:color="auto"/>
                    <w:left w:val="none" w:sz="0" w:space="0" w:color="auto"/>
                    <w:bottom w:val="none" w:sz="0" w:space="0" w:color="auto"/>
                    <w:right w:val="none" w:sz="0" w:space="0" w:color="auto"/>
                  </w:divBdr>
                </w:div>
                <w:div w:id="2009941531">
                  <w:marLeft w:val="480"/>
                  <w:marRight w:val="0"/>
                  <w:marTop w:val="0"/>
                  <w:marBottom w:val="0"/>
                  <w:divBdr>
                    <w:top w:val="none" w:sz="0" w:space="0" w:color="auto"/>
                    <w:left w:val="none" w:sz="0" w:space="0" w:color="auto"/>
                    <w:bottom w:val="none" w:sz="0" w:space="0" w:color="auto"/>
                    <w:right w:val="none" w:sz="0" w:space="0" w:color="auto"/>
                  </w:divBdr>
                </w:div>
                <w:div w:id="1566142912">
                  <w:marLeft w:val="480"/>
                  <w:marRight w:val="0"/>
                  <w:marTop w:val="0"/>
                  <w:marBottom w:val="0"/>
                  <w:divBdr>
                    <w:top w:val="none" w:sz="0" w:space="0" w:color="auto"/>
                    <w:left w:val="none" w:sz="0" w:space="0" w:color="auto"/>
                    <w:bottom w:val="none" w:sz="0" w:space="0" w:color="auto"/>
                    <w:right w:val="none" w:sz="0" w:space="0" w:color="auto"/>
                  </w:divBdr>
                </w:div>
                <w:div w:id="344986125">
                  <w:marLeft w:val="480"/>
                  <w:marRight w:val="0"/>
                  <w:marTop w:val="0"/>
                  <w:marBottom w:val="0"/>
                  <w:divBdr>
                    <w:top w:val="none" w:sz="0" w:space="0" w:color="auto"/>
                    <w:left w:val="none" w:sz="0" w:space="0" w:color="auto"/>
                    <w:bottom w:val="none" w:sz="0" w:space="0" w:color="auto"/>
                    <w:right w:val="none" w:sz="0" w:space="0" w:color="auto"/>
                  </w:divBdr>
                </w:div>
                <w:div w:id="45767073">
                  <w:marLeft w:val="480"/>
                  <w:marRight w:val="0"/>
                  <w:marTop w:val="0"/>
                  <w:marBottom w:val="0"/>
                  <w:divBdr>
                    <w:top w:val="none" w:sz="0" w:space="0" w:color="auto"/>
                    <w:left w:val="none" w:sz="0" w:space="0" w:color="auto"/>
                    <w:bottom w:val="none" w:sz="0" w:space="0" w:color="auto"/>
                    <w:right w:val="none" w:sz="0" w:space="0" w:color="auto"/>
                  </w:divBdr>
                </w:div>
                <w:div w:id="1787459037">
                  <w:marLeft w:val="480"/>
                  <w:marRight w:val="0"/>
                  <w:marTop w:val="0"/>
                  <w:marBottom w:val="0"/>
                  <w:divBdr>
                    <w:top w:val="none" w:sz="0" w:space="0" w:color="auto"/>
                    <w:left w:val="none" w:sz="0" w:space="0" w:color="auto"/>
                    <w:bottom w:val="none" w:sz="0" w:space="0" w:color="auto"/>
                    <w:right w:val="none" w:sz="0" w:space="0" w:color="auto"/>
                  </w:divBdr>
                </w:div>
                <w:div w:id="1480726140">
                  <w:marLeft w:val="480"/>
                  <w:marRight w:val="0"/>
                  <w:marTop w:val="0"/>
                  <w:marBottom w:val="0"/>
                  <w:divBdr>
                    <w:top w:val="none" w:sz="0" w:space="0" w:color="auto"/>
                    <w:left w:val="none" w:sz="0" w:space="0" w:color="auto"/>
                    <w:bottom w:val="none" w:sz="0" w:space="0" w:color="auto"/>
                    <w:right w:val="none" w:sz="0" w:space="0" w:color="auto"/>
                  </w:divBdr>
                </w:div>
                <w:div w:id="514225591">
                  <w:marLeft w:val="480"/>
                  <w:marRight w:val="0"/>
                  <w:marTop w:val="0"/>
                  <w:marBottom w:val="0"/>
                  <w:divBdr>
                    <w:top w:val="none" w:sz="0" w:space="0" w:color="auto"/>
                    <w:left w:val="none" w:sz="0" w:space="0" w:color="auto"/>
                    <w:bottom w:val="none" w:sz="0" w:space="0" w:color="auto"/>
                    <w:right w:val="none" w:sz="0" w:space="0" w:color="auto"/>
                  </w:divBdr>
                </w:div>
                <w:div w:id="39791075">
                  <w:marLeft w:val="480"/>
                  <w:marRight w:val="0"/>
                  <w:marTop w:val="0"/>
                  <w:marBottom w:val="0"/>
                  <w:divBdr>
                    <w:top w:val="none" w:sz="0" w:space="0" w:color="auto"/>
                    <w:left w:val="none" w:sz="0" w:space="0" w:color="auto"/>
                    <w:bottom w:val="none" w:sz="0" w:space="0" w:color="auto"/>
                    <w:right w:val="none" w:sz="0" w:space="0" w:color="auto"/>
                  </w:divBdr>
                </w:div>
                <w:div w:id="2098935833">
                  <w:marLeft w:val="480"/>
                  <w:marRight w:val="0"/>
                  <w:marTop w:val="0"/>
                  <w:marBottom w:val="0"/>
                  <w:divBdr>
                    <w:top w:val="none" w:sz="0" w:space="0" w:color="auto"/>
                    <w:left w:val="none" w:sz="0" w:space="0" w:color="auto"/>
                    <w:bottom w:val="none" w:sz="0" w:space="0" w:color="auto"/>
                    <w:right w:val="none" w:sz="0" w:space="0" w:color="auto"/>
                  </w:divBdr>
                </w:div>
                <w:div w:id="728962070">
                  <w:marLeft w:val="480"/>
                  <w:marRight w:val="0"/>
                  <w:marTop w:val="0"/>
                  <w:marBottom w:val="0"/>
                  <w:divBdr>
                    <w:top w:val="none" w:sz="0" w:space="0" w:color="auto"/>
                    <w:left w:val="none" w:sz="0" w:space="0" w:color="auto"/>
                    <w:bottom w:val="none" w:sz="0" w:space="0" w:color="auto"/>
                    <w:right w:val="none" w:sz="0" w:space="0" w:color="auto"/>
                  </w:divBdr>
                </w:div>
                <w:div w:id="2127890864">
                  <w:marLeft w:val="480"/>
                  <w:marRight w:val="0"/>
                  <w:marTop w:val="0"/>
                  <w:marBottom w:val="0"/>
                  <w:divBdr>
                    <w:top w:val="none" w:sz="0" w:space="0" w:color="auto"/>
                    <w:left w:val="none" w:sz="0" w:space="0" w:color="auto"/>
                    <w:bottom w:val="none" w:sz="0" w:space="0" w:color="auto"/>
                    <w:right w:val="none" w:sz="0" w:space="0" w:color="auto"/>
                  </w:divBdr>
                </w:div>
                <w:div w:id="114981541">
                  <w:marLeft w:val="480"/>
                  <w:marRight w:val="0"/>
                  <w:marTop w:val="0"/>
                  <w:marBottom w:val="0"/>
                  <w:divBdr>
                    <w:top w:val="none" w:sz="0" w:space="0" w:color="auto"/>
                    <w:left w:val="none" w:sz="0" w:space="0" w:color="auto"/>
                    <w:bottom w:val="none" w:sz="0" w:space="0" w:color="auto"/>
                    <w:right w:val="none" w:sz="0" w:space="0" w:color="auto"/>
                  </w:divBdr>
                </w:div>
                <w:div w:id="1119571535">
                  <w:marLeft w:val="480"/>
                  <w:marRight w:val="0"/>
                  <w:marTop w:val="0"/>
                  <w:marBottom w:val="0"/>
                  <w:divBdr>
                    <w:top w:val="none" w:sz="0" w:space="0" w:color="auto"/>
                    <w:left w:val="none" w:sz="0" w:space="0" w:color="auto"/>
                    <w:bottom w:val="none" w:sz="0" w:space="0" w:color="auto"/>
                    <w:right w:val="none" w:sz="0" w:space="0" w:color="auto"/>
                  </w:divBdr>
                </w:div>
                <w:div w:id="1091270505">
                  <w:marLeft w:val="480"/>
                  <w:marRight w:val="0"/>
                  <w:marTop w:val="0"/>
                  <w:marBottom w:val="0"/>
                  <w:divBdr>
                    <w:top w:val="none" w:sz="0" w:space="0" w:color="auto"/>
                    <w:left w:val="none" w:sz="0" w:space="0" w:color="auto"/>
                    <w:bottom w:val="none" w:sz="0" w:space="0" w:color="auto"/>
                    <w:right w:val="none" w:sz="0" w:space="0" w:color="auto"/>
                  </w:divBdr>
                </w:div>
                <w:div w:id="356852929">
                  <w:marLeft w:val="480"/>
                  <w:marRight w:val="0"/>
                  <w:marTop w:val="0"/>
                  <w:marBottom w:val="0"/>
                  <w:divBdr>
                    <w:top w:val="none" w:sz="0" w:space="0" w:color="auto"/>
                    <w:left w:val="none" w:sz="0" w:space="0" w:color="auto"/>
                    <w:bottom w:val="none" w:sz="0" w:space="0" w:color="auto"/>
                    <w:right w:val="none" w:sz="0" w:space="0" w:color="auto"/>
                  </w:divBdr>
                </w:div>
                <w:div w:id="338774022">
                  <w:marLeft w:val="480"/>
                  <w:marRight w:val="0"/>
                  <w:marTop w:val="0"/>
                  <w:marBottom w:val="0"/>
                  <w:divBdr>
                    <w:top w:val="none" w:sz="0" w:space="0" w:color="auto"/>
                    <w:left w:val="none" w:sz="0" w:space="0" w:color="auto"/>
                    <w:bottom w:val="none" w:sz="0" w:space="0" w:color="auto"/>
                    <w:right w:val="none" w:sz="0" w:space="0" w:color="auto"/>
                  </w:divBdr>
                </w:div>
                <w:div w:id="1775785367">
                  <w:marLeft w:val="480"/>
                  <w:marRight w:val="0"/>
                  <w:marTop w:val="0"/>
                  <w:marBottom w:val="0"/>
                  <w:divBdr>
                    <w:top w:val="none" w:sz="0" w:space="0" w:color="auto"/>
                    <w:left w:val="none" w:sz="0" w:space="0" w:color="auto"/>
                    <w:bottom w:val="none" w:sz="0" w:space="0" w:color="auto"/>
                    <w:right w:val="none" w:sz="0" w:space="0" w:color="auto"/>
                  </w:divBdr>
                </w:div>
                <w:div w:id="1043288321">
                  <w:marLeft w:val="480"/>
                  <w:marRight w:val="0"/>
                  <w:marTop w:val="0"/>
                  <w:marBottom w:val="0"/>
                  <w:divBdr>
                    <w:top w:val="none" w:sz="0" w:space="0" w:color="auto"/>
                    <w:left w:val="none" w:sz="0" w:space="0" w:color="auto"/>
                    <w:bottom w:val="none" w:sz="0" w:space="0" w:color="auto"/>
                    <w:right w:val="none" w:sz="0" w:space="0" w:color="auto"/>
                  </w:divBdr>
                </w:div>
                <w:div w:id="1029717030">
                  <w:marLeft w:val="480"/>
                  <w:marRight w:val="0"/>
                  <w:marTop w:val="0"/>
                  <w:marBottom w:val="0"/>
                  <w:divBdr>
                    <w:top w:val="none" w:sz="0" w:space="0" w:color="auto"/>
                    <w:left w:val="none" w:sz="0" w:space="0" w:color="auto"/>
                    <w:bottom w:val="none" w:sz="0" w:space="0" w:color="auto"/>
                    <w:right w:val="none" w:sz="0" w:space="0" w:color="auto"/>
                  </w:divBdr>
                </w:div>
                <w:div w:id="218710009">
                  <w:marLeft w:val="480"/>
                  <w:marRight w:val="0"/>
                  <w:marTop w:val="0"/>
                  <w:marBottom w:val="0"/>
                  <w:divBdr>
                    <w:top w:val="none" w:sz="0" w:space="0" w:color="auto"/>
                    <w:left w:val="none" w:sz="0" w:space="0" w:color="auto"/>
                    <w:bottom w:val="none" w:sz="0" w:space="0" w:color="auto"/>
                    <w:right w:val="none" w:sz="0" w:space="0" w:color="auto"/>
                  </w:divBdr>
                </w:div>
                <w:div w:id="743991550">
                  <w:marLeft w:val="480"/>
                  <w:marRight w:val="0"/>
                  <w:marTop w:val="0"/>
                  <w:marBottom w:val="0"/>
                  <w:divBdr>
                    <w:top w:val="none" w:sz="0" w:space="0" w:color="auto"/>
                    <w:left w:val="none" w:sz="0" w:space="0" w:color="auto"/>
                    <w:bottom w:val="none" w:sz="0" w:space="0" w:color="auto"/>
                    <w:right w:val="none" w:sz="0" w:space="0" w:color="auto"/>
                  </w:divBdr>
                </w:div>
                <w:div w:id="1119567275">
                  <w:marLeft w:val="480"/>
                  <w:marRight w:val="0"/>
                  <w:marTop w:val="0"/>
                  <w:marBottom w:val="0"/>
                  <w:divBdr>
                    <w:top w:val="none" w:sz="0" w:space="0" w:color="auto"/>
                    <w:left w:val="none" w:sz="0" w:space="0" w:color="auto"/>
                    <w:bottom w:val="none" w:sz="0" w:space="0" w:color="auto"/>
                    <w:right w:val="none" w:sz="0" w:space="0" w:color="auto"/>
                  </w:divBdr>
                </w:div>
                <w:div w:id="57288557">
                  <w:marLeft w:val="480"/>
                  <w:marRight w:val="0"/>
                  <w:marTop w:val="0"/>
                  <w:marBottom w:val="0"/>
                  <w:divBdr>
                    <w:top w:val="none" w:sz="0" w:space="0" w:color="auto"/>
                    <w:left w:val="none" w:sz="0" w:space="0" w:color="auto"/>
                    <w:bottom w:val="none" w:sz="0" w:space="0" w:color="auto"/>
                    <w:right w:val="none" w:sz="0" w:space="0" w:color="auto"/>
                  </w:divBdr>
                </w:div>
                <w:div w:id="1602688275">
                  <w:marLeft w:val="480"/>
                  <w:marRight w:val="0"/>
                  <w:marTop w:val="0"/>
                  <w:marBottom w:val="0"/>
                  <w:divBdr>
                    <w:top w:val="none" w:sz="0" w:space="0" w:color="auto"/>
                    <w:left w:val="none" w:sz="0" w:space="0" w:color="auto"/>
                    <w:bottom w:val="none" w:sz="0" w:space="0" w:color="auto"/>
                    <w:right w:val="none" w:sz="0" w:space="0" w:color="auto"/>
                  </w:divBdr>
                </w:div>
                <w:div w:id="566569655">
                  <w:marLeft w:val="480"/>
                  <w:marRight w:val="0"/>
                  <w:marTop w:val="0"/>
                  <w:marBottom w:val="0"/>
                  <w:divBdr>
                    <w:top w:val="none" w:sz="0" w:space="0" w:color="auto"/>
                    <w:left w:val="none" w:sz="0" w:space="0" w:color="auto"/>
                    <w:bottom w:val="none" w:sz="0" w:space="0" w:color="auto"/>
                    <w:right w:val="none" w:sz="0" w:space="0" w:color="auto"/>
                  </w:divBdr>
                </w:div>
                <w:div w:id="828062836">
                  <w:marLeft w:val="480"/>
                  <w:marRight w:val="0"/>
                  <w:marTop w:val="0"/>
                  <w:marBottom w:val="0"/>
                  <w:divBdr>
                    <w:top w:val="none" w:sz="0" w:space="0" w:color="auto"/>
                    <w:left w:val="none" w:sz="0" w:space="0" w:color="auto"/>
                    <w:bottom w:val="none" w:sz="0" w:space="0" w:color="auto"/>
                    <w:right w:val="none" w:sz="0" w:space="0" w:color="auto"/>
                  </w:divBdr>
                </w:div>
                <w:div w:id="1743672044">
                  <w:marLeft w:val="480"/>
                  <w:marRight w:val="0"/>
                  <w:marTop w:val="0"/>
                  <w:marBottom w:val="0"/>
                  <w:divBdr>
                    <w:top w:val="none" w:sz="0" w:space="0" w:color="auto"/>
                    <w:left w:val="none" w:sz="0" w:space="0" w:color="auto"/>
                    <w:bottom w:val="none" w:sz="0" w:space="0" w:color="auto"/>
                    <w:right w:val="none" w:sz="0" w:space="0" w:color="auto"/>
                  </w:divBdr>
                </w:div>
                <w:div w:id="287470321">
                  <w:marLeft w:val="480"/>
                  <w:marRight w:val="0"/>
                  <w:marTop w:val="0"/>
                  <w:marBottom w:val="0"/>
                  <w:divBdr>
                    <w:top w:val="none" w:sz="0" w:space="0" w:color="auto"/>
                    <w:left w:val="none" w:sz="0" w:space="0" w:color="auto"/>
                    <w:bottom w:val="none" w:sz="0" w:space="0" w:color="auto"/>
                    <w:right w:val="none" w:sz="0" w:space="0" w:color="auto"/>
                  </w:divBdr>
                </w:div>
                <w:div w:id="201983117">
                  <w:marLeft w:val="480"/>
                  <w:marRight w:val="0"/>
                  <w:marTop w:val="0"/>
                  <w:marBottom w:val="0"/>
                  <w:divBdr>
                    <w:top w:val="none" w:sz="0" w:space="0" w:color="auto"/>
                    <w:left w:val="none" w:sz="0" w:space="0" w:color="auto"/>
                    <w:bottom w:val="none" w:sz="0" w:space="0" w:color="auto"/>
                    <w:right w:val="none" w:sz="0" w:space="0" w:color="auto"/>
                  </w:divBdr>
                </w:div>
                <w:div w:id="809831388">
                  <w:marLeft w:val="480"/>
                  <w:marRight w:val="0"/>
                  <w:marTop w:val="0"/>
                  <w:marBottom w:val="0"/>
                  <w:divBdr>
                    <w:top w:val="none" w:sz="0" w:space="0" w:color="auto"/>
                    <w:left w:val="none" w:sz="0" w:space="0" w:color="auto"/>
                    <w:bottom w:val="none" w:sz="0" w:space="0" w:color="auto"/>
                    <w:right w:val="none" w:sz="0" w:space="0" w:color="auto"/>
                  </w:divBdr>
                </w:div>
                <w:div w:id="1742604946">
                  <w:marLeft w:val="480"/>
                  <w:marRight w:val="0"/>
                  <w:marTop w:val="0"/>
                  <w:marBottom w:val="0"/>
                  <w:divBdr>
                    <w:top w:val="none" w:sz="0" w:space="0" w:color="auto"/>
                    <w:left w:val="none" w:sz="0" w:space="0" w:color="auto"/>
                    <w:bottom w:val="none" w:sz="0" w:space="0" w:color="auto"/>
                    <w:right w:val="none" w:sz="0" w:space="0" w:color="auto"/>
                  </w:divBdr>
                </w:div>
                <w:div w:id="865295651">
                  <w:marLeft w:val="480"/>
                  <w:marRight w:val="0"/>
                  <w:marTop w:val="0"/>
                  <w:marBottom w:val="0"/>
                  <w:divBdr>
                    <w:top w:val="none" w:sz="0" w:space="0" w:color="auto"/>
                    <w:left w:val="none" w:sz="0" w:space="0" w:color="auto"/>
                    <w:bottom w:val="none" w:sz="0" w:space="0" w:color="auto"/>
                    <w:right w:val="none" w:sz="0" w:space="0" w:color="auto"/>
                  </w:divBdr>
                </w:div>
                <w:div w:id="13925274">
                  <w:marLeft w:val="480"/>
                  <w:marRight w:val="0"/>
                  <w:marTop w:val="0"/>
                  <w:marBottom w:val="0"/>
                  <w:divBdr>
                    <w:top w:val="none" w:sz="0" w:space="0" w:color="auto"/>
                    <w:left w:val="none" w:sz="0" w:space="0" w:color="auto"/>
                    <w:bottom w:val="none" w:sz="0" w:space="0" w:color="auto"/>
                    <w:right w:val="none" w:sz="0" w:space="0" w:color="auto"/>
                  </w:divBdr>
                </w:div>
                <w:div w:id="1623806701">
                  <w:marLeft w:val="480"/>
                  <w:marRight w:val="0"/>
                  <w:marTop w:val="0"/>
                  <w:marBottom w:val="0"/>
                  <w:divBdr>
                    <w:top w:val="none" w:sz="0" w:space="0" w:color="auto"/>
                    <w:left w:val="none" w:sz="0" w:space="0" w:color="auto"/>
                    <w:bottom w:val="none" w:sz="0" w:space="0" w:color="auto"/>
                    <w:right w:val="none" w:sz="0" w:space="0" w:color="auto"/>
                  </w:divBdr>
                </w:div>
                <w:div w:id="189224378">
                  <w:marLeft w:val="480"/>
                  <w:marRight w:val="0"/>
                  <w:marTop w:val="0"/>
                  <w:marBottom w:val="0"/>
                  <w:divBdr>
                    <w:top w:val="none" w:sz="0" w:space="0" w:color="auto"/>
                    <w:left w:val="none" w:sz="0" w:space="0" w:color="auto"/>
                    <w:bottom w:val="none" w:sz="0" w:space="0" w:color="auto"/>
                    <w:right w:val="none" w:sz="0" w:space="0" w:color="auto"/>
                  </w:divBdr>
                </w:div>
                <w:div w:id="417747475">
                  <w:marLeft w:val="480"/>
                  <w:marRight w:val="0"/>
                  <w:marTop w:val="0"/>
                  <w:marBottom w:val="0"/>
                  <w:divBdr>
                    <w:top w:val="none" w:sz="0" w:space="0" w:color="auto"/>
                    <w:left w:val="none" w:sz="0" w:space="0" w:color="auto"/>
                    <w:bottom w:val="none" w:sz="0" w:space="0" w:color="auto"/>
                    <w:right w:val="none" w:sz="0" w:space="0" w:color="auto"/>
                  </w:divBdr>
                </w:div>
                <w:div w:id="1522165829">
                  <w:marLeft w:val="480"/>
                  <w:marRight w:val="0"/>
                  <w:marTop w:val="0"/>
                  <w:marBottom w:val="0"/>
                  <w:divBdr>
                    <w:top w:val="none" w:sz="0" w:space="0" w:color="auto"/>
                    <w:left w:val="none" w:sz="0" w:space="0" w:color="auto"/>
                    <w:bottom w:val="none" w:sz="0" w:space="0" w:color="auto"/>
                    <w:right w:val="none" w:sz="0" w:space="0" w:color="auto"/>
                  </w:divBdr>
                </w:div>
                <w:div w:id="1048532461">
                  <w:marLeft w:val="480"/>
                  <w:marRight w:val="0"/>
                  <w:marTop w:val="0"/>
                  <w:marBottom w:val="0"/>
                  <w:divBdr>
                    <w:top w:val="none" w:sz="0" w:space="0" w:color="auto"/>
                    <w:left w:val="none" w:sz="0" w:space="0" w:color="auto"/>
                    <w:bottom w:val="none" w:sz="0" w:space="0" w:color="auto"/>
                    <w:right w:val="none" w:sz="0" w:space="0" w:color="auto"/>
                  </w:divBdr>
                </w:div>
                <w:div w:id="150100447">
                  <w:marLeft w:val="480"/>
                  <w:marRight w:val="0"/>
                  <w:marTop w:val="0"/>
                  <w:marBottom w:val="0"/>
                  <w:divBdr>
                    <w:top w:val="none" w:sz="0" w:space="0" w:color="auto"/>
                    <w:left w:val="none" w:sz="0" w:space="0" w:color="auto"/>
                    <w:bottom w:val="none" w:sz="0" w:space="0" w:color="auto"/>
                    <w:right w:val="none" w:sz="0" w:space="0" w:color="auto"/>
                  </w:divBdr>
                </w:div>
                <w:div w:id="620765950">
                  <w:marLeft w:val="480"/>
                  <w:marRight w:val="0"/>
                  <w:marTop w:val="0"/>
                  <w:marBottom w:val="0"/>
                  <w:divBdr>
                    <w:top w:val="none" w:sz="0" w:space="0" w:color="auto"/>
                    <w:left w:val="none" w:sz="0" w:space="0" w:color="auto"/>
                    <w:bottom w:val="none" w:sz="0" w:space="0" w:color="auto"/>
                    <w:right w:val="none" w:sz="0" w:space="0" w:color="auto"/>
                  </w:divBdr>
                </w:div>
                <w:div w:id="1710762731">
                  <w:marLeft w:val="480"/>
                  <w:marRight w:val="0"/>
                  <w:marTop w:val="0"/>
                  <w:marBottom w:val="0"/>
                  <w:divBdr>
                    <w:top w:val="none" w:sz="0" w:space="0" w:color="auto"/>
                    <w:left w:val="none" w:sz="0" w:space="0" w:color="auto"/>
                    <w:bottom w:val="none" w:sz="0" w:space="0" w:color="auto"/>
                    <w:right w:val="none" w:sz="0" w:space="0" w:color="auto"/>
                  </w:divBdr>
                </w:div>
                <w:div w:id="1854030322">
                  <w:marLeft w:val="480"/>
                  <w:marRight w:val="0"/>
                  <w:marTop w:val="0"/>
                  <w:marBottom w:val="0"/>
                  <w:divBdr>
                    <w:top w:val="none" w:sz="0" w:space="0" w:color="auto"/>
                    <w:left w:val="none" w:sz="0" w:space="0" w:color="auto"/>
                    <w:bottom w:val="none" w:sz="0" w:space="0" w:color="auto"/>
                    <w:right w:val="none" w:sz="0" w:space="0" w:color="auto"/>
                  </w:divBdr>
                </w:div>
                <w:div w:id="480198167">
                  <w:marLeft w:val="480"/>
                  <w:marRight w:val="0"/>
                  <w:marTop w:val="0"/>
                  <w:marBottom w:val="0"/>
                  <w:divBdr>
                    <w:top w:val="none" w:sz="0" w:space="0" w:color="auto"/>
                    <w:left w:val="none" w:sz="0" w:space="0" w:color="auto"/>
                    <w:bottom w:val="none" w:sz="0" w:space="0" w:color="auto"/>
                    <w:right w:val="none" w:sz="0" w:space="0" w:color="auto"/>
                  </w:divBdr>
                </w:div>
                <w:div w:id="1899709908">
                  <w:marLeft w:val="480"/>
                  <w:marRight w:val="0"/>
                  <w:marTop w:val="0"/>
                  <w:marBottom w:val="0"/>
                  <w:divBdr>
                    <w:top w:val="none" w:sz="0" w:space="0" w:color="auto"/>
                    <w:left w:val="none" w:sz="0" w:space="0" w:color="auto"/>
                    <w:bottom w:val="none" w:sz="0" w:space="0" w:color="auto"/>
                    <w:right w:val="none" w:sz="0" w:space="0" w:color="auto"/>
                  </w:divBdr>
                </w:div>
                <w:div w:id="1734042895">
                  <w:marLeft w:val="480"/>
                  <w:marRight w:val="0"/>
                  <w:marTop w:val="0"/>
                  <w:marBottom w:val="0"/>
                  <w:divBdr>
                    <w:top w:val="none" w:sz="0" w:space="0" w:color="auto"/>
                    <w:left w:val="none" w:sz="0" w:space="0" w:color="auto"/>
                    <w:bottom w:val="none" w:sz="0" w:space="0" w:color="auto"/>
                    <w:right w:val="none" w:sz="0" w:space="0" w:color="auto"/>
                  </w:divBdr>
                </w:div>
                <w:div w:id="169612740">
                  <w:marLeft w:val="480"/>
                  <w:marRight w:val="0"/>
                  <w:marTop w:val="0"/>
                  <w:marBottom w:val="0"/>
                  <w:divBdr>
                    <w:top w:val="none" w:sz="0" w:space="0" w:color="auto"/>
                    <w:left w:val="none" w:sz="0" w:space="0" w:color="auto"/>
                    <w:bottom w:val="none" w:sz="0" w:space="0" w:color="auto"/>
                    <w:right w:val="none" w:sz="0" w:space="0" w:color="auto"/>
                  </w:divBdr>
                </w:div>
                <w:div w:id="1807120742">
                  <w:marLeft w:val="480"/>
                  <w:marRight w:val="0"/>
                  <w:marTop w:val="0"/>
                  <w:marBottom w:val="0"/>
                  <w:divBdr>
                    <w:top w:val="none" w:sz="0" w:space="0" w:color="auto"/>
                    <w:left w:val="none" w:sz="0" w:space="0" w:color="auto"/>
                    <w:bottom w:val="none" w:sz="0" w:space="0" w:color="auto"/>
                    <w:right w:val="none" w:sz="0" w:space="0" w:color="auto"/>
                  </w:divBdr>
                </w:div>
                <w:div w:id="1320768866">
                  <w:marLeft w:val="480"/>
                  <w:marRight w:val="0"/>
                  <w:marTop w:val="0"/>
                  <w:marBottom w:val="0"/>
                  <w:divBdr>
                    <w:top w:val="none" w:sz="0" w:space="0" w:color="auto"/>
                    <w:left w:val="none" w:sz="0" w:space="0" w:color="auto"/>
                    <w:bottom w:val="none" w:sz="0" w:space="0" w:color="auto"/>
                    <w:right w:val="none" w:sz="0" w:space="0" w:color="auto"/>
                  </w:divBdr>
                </w:div>
                <w:div w:id="1788547696">
                  <w:marLeft w:val="480"/>
                  <w:marRight w:val="0"/>
                  <w:marTop w:val="0"/>
                  <w:marBottom w:val="0"/>
                  <w:divBdr>
                    <w:top w:val="none" w:sz="0" w:space="0" w:color="auto"/>
                    <w:left w:val="none" w:sz="0" w:space="0" w:color="auto"/>
                    <w:bottom w:val="none" w:sz="0" w:space="0" w:color="auto"/>
                    <w:right w:val="none" w:sz="0" w:space="0" w:color="auto"/>
                  </w:divBdr>
                </w:div>
                <w:div w:id="1609191687">
                  <w:marLeft w:val="480"/>
                  <w:marRight w:val="0"/>
                  <w:marTop w:val="0"/>
                  <w:marBottom w:val="0"/>
                  <w:divBdr>
                    <w:top w:val="none" w:sz="0" w:space="0" w:color="auto"/>
                    <w:left w:val="none" w:sz="0" w:space="0" w:color="auto"/>
                    <w:bottom w:val="none" w:sz="0" w:space="0" w:color="auto"/>
                    <w:right w:val="none" w:sz="0" w:space="0" w:color="auto"/>
                  </w:divBdr>
                </w:div>
                <w:div w:id="330253592">
                  <w:marLeft w:val="480"/>
                  <w:marRight w:val="0"/>
                  <w:marTop w:val="0"/>
                  <w:marBottom w:val="0"/>
                  <w:divBdr>
                    <w:top w:val="none" w:sz="0" w:space="0" w:color="auto"/>
                    <w:left w:val="none" w:sz="0" w:space="0" w:color="auto"/>
                    <w:bottom w:val="none" w:sz="0" w:space="0" w:color="auto"/>
                    <w:right w:val="none" w:sz="0" w:space="0" w:color="auto"/>
                  </w:divBdr>
                </w:div>
                <w:div w:id="1546603378">
                  <w:marLeft w:val="480"/>
                  <w:marRight w:val="0"/>
                  <w:marTop w:val="0"/>
                  <w:marBottom w:val="0"/>
                  <w:divBdr>
                    <w:top w:val="none" w:sz="0" w:space="0" w:color="auto"/>
                    <w:left w:val="none" w:sz="0" w:space="0" w:color="auto"/>
                    <w:bottom w:val="none" w:sz="0" w:space="0" w:color="auto"/>
                    <w:right w:val="none" w:sz="0" w:space="0" w:color="auto"/>
                  </w:divBdr>
                </w:div>
                <w:div w:id="1714889508">
                  <w:marLeft w:val="480"/>
                  <w:marRight w:val="0"/>
                  <w:marTop w:val="0"/>
                  <w:marBottom w:val="0"/>
                  <w:divBdr>
                    <w:top w:val="none" w:sz="0" w:space="0" w:color="auto"/>
                    <w:left w:val="none" w:sz="0" w:space="0" w:color="auto"/>
                    <w:bottom w:val="none" w:sz="0" w:space="0" w:color="auto"/>
                    <w:right w:val="none" w:sz="0" w:space="0" w:color="auto"/>
                  </w:divBdr>
                </w:div>
                <w:div w:id="1510367921">
                  <w:marLeft w:val="480"/>
                  <w:marRight w:val="0"/>
                  <w:marTop w:val="0"/>
                  <w:marBottom w:val="0"/>
                  <w:divBdr>
                    <w:top w:val="none" w:sz="0" w:space="0" w:color="auto"/>
                    <w:left w:val="none" w:sz="0" w:space="0" w:color="auto"/>
                    <w:bottom w:val="none" w:sz="0" w:space="0" w:color="auto"/>
                    <w:right w:val="none" w:sz="0" w:space="0" w:color="auto"/>
                  </w:divBdr>
                </w:div>
                <w:div w:id="234826178">
                  <w:marLeft w:val="480"/>
                  <w:marRight w:val="0"/>
                  <w:marTop w:val="0"/>
                  <w:marBottom w:val="0"/>
                  <w:divBdr>
                    <w:top w:val="none" w:sz="0" w:space="0" w:color="auto"/>
                    <w:left w:val="none" w:sz="0" w:space="0" w:color="auto"/>
                    <w:bottom w:val="none" w:sz="0" w:space="0" w:color="auto"/>
                    <w:right w:val="none" w:sz="0" w:space="0" w:color="auto"/>
                  </w:divBdr>
                </w:div>
                <w:div w:id="1605071519">
                  <w:marLeft w:val="480"/>
                  <w:marRight w:val="0"/>
                  <w:marTop w:val="0"/>
                  <w:marBottom w:val="0"/>
                  <w:divBdr>
                    <w:top w:val="none" w:sz="0" w:space="0" w:color="auto"/>
                    <w:left w:val="none" w:sz="0" w:space="0" w:color="auto"/>
                    <w:bottom w:val="none" w:sz="0" w:space="0" w:color="auto"/>
                    <w:right w:val="none" w:sz="0" w:space="0" w:color="auto"/>
                  </w:divBdr>
                </w:div>
                <w:div w:id="448940079">
                  <w:marLeft w:val="480"/>
                  <w:marRight w:val="0"/>
                  <w:marTop w:val="0"/>
                  <w:marBottom w:val="0"/>
                  <w:divBdr>
                    <w:top w:val="none" w:sz="0" w:space="0" w:color="auto"/>
                    <w:left w:val="none" w:sz="0" w:space="0" w:color="auto"/>
                    <w:bottom w:val="none" w:sz="0" w:space="0" w:color="auto"/>
                    <w:right w:val="none" w:sz="0" w:space="0" w:color="auto"/>
                  </w:divBdr>
                </w:div>
                <w:div w:id="1637449578">
                  <w:marLeft w:val="480"/>
                  <w:marRight w:val="0"/>
                  <w:marTop w:val="0"/>
                  <w:marBottom w:val="0"/>
                  <w:divBdr>
                    <w:top w:val="none" w:sz="0" w:space="0" w:color="auto"/>
                    <w:left w:val="none" w:sz="0" w:space="0" w:color="auto"/>
                    <w:bottom w:val="none" w:sz="0" w:space="0" w:color="auto"/>
                    <w:right w:val="none" w:sz="0" w:space="0" w:color="auto"/>
                  </w:divBdr>
                </w:div>
                <w:div w:id="1047028172">
                  <w:marLeft w:val="480"/>
                  <w:marRight w:val="0"/>
                  <w:marTop w:val="0"/>
                  <w:marBottom w:val="0"/>
                  <w:divBdr>
                    <w:top w:val="none" w:sz="0" w:space="0" w:color="auto"/>
                    <w:left w:val="none" w:sz="0" w:space="0" w:color="auto"/>
                    <w:bottom w:val="none" w:sz="0" w:space="0" w:color="auto"/>
                    <w:right w:val="none" w:sz="0" w:space="0" w:color="auto"/>
                  </w:divBdr>
                </w:div>
                <w:div w:id="1576355343">
                  <w:marLeft w:val="480"/>
                  <w:marRight w:val="0"/>
                  <w:marTop w:val="0"/>
                  <w:marBottom w:val="0"/>
                  <w:divBdr>
                    <w:top w:val="none" w:sz="0" w:space="0" w:color="auto"/>
                    <w:left w:val="none" w:sz="0" w:space="0" w:color="auto"/>
                    <w:bottom w:val="none" w:sz="0" w:space="0" w:color="auto"/>
                    <w:right w:val="none" w:sz="0" w:space="0" w:color="auto"/>
                  </w:divBdr>
                </w:div>
                <w:div w:id="1925331730">
                  <w:marLeft w:val="480"/>
                  <w:marRight w:val="0"/>
                  <w:marTop w:val="0"/>
                  <w:marBottom w:val="0"/>
                  <w:divBdr>
                    <w:top w:val="none" w:sz="0" w:space="0" w:color="auto"/>
                    <w:left w:val="none" w:sz="0" w:space="0" w:color="auto"/>
                    <w:bottom w:val="none" w:sz="0" w:space="0" w:color="auto"/>
                    <w:right w:val="none" w:sz="0" w:space="0" w:color="auto"/>
                  </w:divBdr>
                </w:div>
                <w:div w:id="2044206201">
                  <w:marLeft w:val="480"/>
                  <w:marRight w:val="0"/>
                  <w:marTop w:val="0"/>
                  <w:marBottom w:val="0"/>
                  <w:divBdr>
                    <w:top w:val="none" w:sz="0" w:space="0" w:color="auto"/>
                    <w:left w:val="none" w:sz="0" w:space="0" w:color="auto"/>
                    <w:bottom w:val="none" w:sz="0" w:space="0" w:color="auto"/>
                    <w:right w:val="none" w:sz="0" w:space="0" w:color="auto"/>
                  </w:divBdr>
                </w:div>
                <w:div w:id="335156865">
                  <w:marLeft w:val="480"/>
                  <w:marRight w:val="0"/>
                  <w:marTop w:val="0"/>
                  <w:marBottom w:val="0"/>
                  <w:divBdr>
                    <w:top w:val="none" w:sz="0" w:space="0" w:color="auto"/>
                    <w:left w:val="none" w:sz="0" w:space="0" w:color="auto"/>
                    <w:bottom w:val="none" w:sz="0" w:space="0" w:color="auto"/>
                    <w:right w:val="none" w:sz="0" w:space="0" w:color="auto"/>
                  </w:divBdr>
                </w:div>
                <w:div w:id="1707220103">
                  <w:marLeft w:val="480"/>
                  <w:marRight w:val="0"/>
                  <w:marTop w:val="0"/>
                  <w:marBottom w:val="0"/>
                  <w:divBdr>
                    <w:top w:val="none" w:sz="0" w:space="0" w:color="auto"/>
                    <w:left w:val="none" w:sz="0" w:space="0" w:color="auto"/>
                    <w:bottom w:val="none" w:sz="0" w:space="0" w:color="auto"/>
                    <w:right w:val="none" w:sz="0" w:space="0" w:color="auto"/>
                  </w:divBdr>
                </w:div>
                <w:div w:id="1265767457">
                  <w:marLeft w:val="480"/>
                  <w:marRight w:val="0"/>
                  <w:marTop w:val="0"/>
                  <w:marBottom w:val="0"/>
                  <w:divBdr>
                    <w:top w:val="none" w:sz="0" w:space="0" w:color="auto"/>
                    <w:left w:val="none" w:sz="0" w:space="0" w:color="auto"/>
                    <w:bottom w:val="none" w:sz="0" w:space="0" w:color="auto"/>
                    <w:right w:val="none" w:sz="0" w:space="0" w:color="auto"/>
                  </w:divBdr>
                </w:div>
                <w:div w:id="242955860">
                  <w:marLeft w:val="480"/>
                  <w:marRight w:val="0"/>
                  <w:marTop w:val="0"/>
                  <w:marBottom w:val="0"/>
                  <w:divBdr>
                    <w:top w:val="none" w:sz="0" w:space="0" w:color="auto"/>
                    <w:left w:val="none" w:sz="0" w:space="0" w:color="auto"/>
                    <w:bottom w:val="none" w:sz="0" w:space="0" w:color="auto"/>
                    <w:right w:val="none" w:sz="0" w:space="0" w:color="auto"/>
                  </w:divBdr>
                </w:div>
                <w:div w:id="210921713">
                  <w:marLeft w:val="480"/>
                  <w:marRight w:val="0"/>
                  <w:marTop w:val="0"/>
                  <w:marBottom w:val="0"/>
                  <w:divBdr>
                    <w:top w:val="none" w:sz="0" w:space="0" w:color="auto"/>
                    <w:left w:val="none" w:sz="0" w:space="0" w:color="auto"/>
                    <w:bottom w:val="none" w:sz="0" w:space="0" w:color="auto"/>
                    <w:right w:val="none" w:sz="0" w:space="0" w:color="auto"/>
                  </w:divBdr>
                </w:div>
                <w:div w:id="1917351405">
                  <w:marLeft w:val="480"/>
                  <w:marRight w:val="0"/>
                  <w:marTop w:val="0"/>
                  <w:marBottom w:val="0"/>
                  <w:divBdr>
                    <w:top w:val="none" w:sz="0" w:space="0" w:color="auto"/>
                    <w:left w:val="none" w:sz="0" w:space="0" w:color="auto"/>
                    <w:bottom w:val="none" w:sz="0" w:space="0" w:color="auto"/>
                    <w:right w:val="none" w:sz="0" w:space="0" w:color="auto"/>
                  </w:divBdr>
                </w:div>
                <w:div w:id="4788140">
                  <w:marLeft w:val="480"/>
                  <w:marRight w:val="0"/>
                  <w:marTop w:val="0"/>
                  <w:marBottom w:val="0"/>
                  <w:divBdr>
                    <w:top w:val="none" w:sz="0" w:space="0" w:color="auto"/>
                    <w:left w:val="none" w:sz="0" w:space="0" w:color="auto"/>
                    <w:bottom w:val="none" w:sz="0" w:space="0" w:color="auto"/>
                    <w:right w:val="none" w:sz="0" w:space="0" w:color="auto"/>
                  </w:divBdr>
                </w:div>
                <w:div w:id="1788771899">
                  <w:marLeft w:val="480"/>
                  <w:marRight w:val="0"/>
                  <w:marTop w:val="0"/>
                  <w:marBottom w:val="0"/>
                  <w:divBdr>
                    <w:top w:val="none" w:sz="0" w:space="0" w:color="auto"/>
                    <w:left w:val="none" w:sz="0" w:space="0" w:color="auto"/>
                    <w:bottom w:val="none" w:sz="0" w:space="0" w:color="auto"/>
                    <w:right w:val="none" w:sz="0" w:space="0" w:color="auto"/>
                  </w:divBdr>
                </w:div>
                <w:div w:id="1751149894">
                  <w:marLeft w:val="480"/>
                  <w:marRight w:val="0"/>
                  <w:marTop w:val="0"/>
                  <w:marBottom w:val="0"/>
                  <w:divBdr>
                    <w:top w:val="none" w:sz="0" w:space="0" w:color="auto"/>
                    <w:left w:val="none" w:sz="0" w:space="0" w:color="auto"/>
                    <w:bottom w:val="none" w:sz="0" w:space="0" w:color="auto"/>
                    <w:right w:val="none" w:sz="0" w:space="0" w:color="auto"/>
                  </w:divBdr>
                </w:div>
                <w:div w:id="1461731632">
                  <w:marLeft w:val="480"/>
                  <w:marRight w:val="0"/>
                  <w:marTop w:val="0"/>
                  <w:marBottom w:val="0"/>
                  <w:divBdr>
                    <w:top w:val="none" w:sz="0" w:space="0" w:color="auto"/>
                    <w:left w:val="none" w:sz="0" w:space="0" w:color="auto"/>
                    <w:bottom w:val="none" w:sz="0" w:space="0" w:color="auto"/>
                    <w:right w:val="none" w:sz="0" w:space="0" w:color="auto"/>
                  </w:divBdr>
                </w:div>
                <w:div w:id="972711857">
                  <w:marLeft w:val="480"/>
                  <w:marRight w:val="0"/>
                  <w:marTop w:val="0"/>
                  <w:marBottom w:val="0"/>
                  <w:divBdr>
                    <w:top w:val="none" w:sz="0" w:space="0" w:color="auto"/>
                    <w:left w:val="none" w:sz="0" w:space="0" w:color="auto"/>
                    <w:bottom w:val="none" w:sz="0" w:space="0" w:color="auto"/>
                    <w:right w:val="none" w:sz="0" w:space="0" w:color="auto"/>
                  </w:divBdr>
                </w:div>
                <w:div w:id="90005599">
                  <w:marLeft w:val="480"/>
                  <w:marRight w:val="0"/>
                  <w:marTop w:val="0"/>
                  <w:marBottom w:val="0"/>
                  <w:divBdr>
                    <w:top w:val="none" w:sz="0" w:space="0" w:color="auto"/>
                    <w:left w:val="none" w:sz="0" w:space="0" w:color="auto"/>
                    <w:bottom w:val="none" w:sz="0" w:space="0" w:color="auto"/>
                    <w:right w:val="none" w:sz="0" w:space="0" w:color="auto"/>
                  </w:divBdr>
                </w:div>
                <w:div w:id="479615362">
                  <w:marLeft w:val="480"/>
                  <w:marRight w:val="0"/>
                  <w:marTop w:val="0"/>
                  <w:marBottom w:val="0"/>
                  <w:divBdr>
                    <w:top w:val="none" w:sz="0" w:space="0" w:color="auto"/>
                    <w:left w:val="none" w:sz="0" w:space="0" w:color="auto"/>
                    <w:bottom w:val="none" w:sz="0" w:space="0" w:color="auto"/>
                    <w:right w:val="none" w:sz="0" w:space="0" w:color="auto"/>
                  </w:divBdr>
                </w:div>
                <w:div w:id="1877548973">
                  <w:marLeft w:val="480"/>
                  <w:marRight w:val="0"/>
                  <w:marTop w:val="0"/>
                  <w:marBottom w:val="0"/>
                  <w:divBdr>
                    <w:top w:val="none" w:sz="0" w:space="0" w:color="auto"/>
                    <w:left w:val="none" w:sz="0" w:space="0" w:color="auto"/>
                    <w:bottom w:val="none" w:sz="0" w:space="0" w:color="auto"/>
                    <w:right w:val="none" w:sz="0" w:space="0" w:color="auto"/>
                  </w:divBdr>
                </w:div>
                <w:div w:id="133107208">
                  <w:marLeft w:val="480"/>
                  <w:marRight w:val="0"/>
                  <w:marTop w:val="0"/>
                  <w:marBottom w:val="0"/>
                  <w:divBdr>
                    <w:top w:val="none" w:sz="0" w:space="0" w:color="auto"/>
                    <w:left w:val="none" w:sz="0" w:space="0" w:color="auto"/>
                    <w:bottom w:val="none" w:sz="0" w:space="0" w:color="auto"/>
                    <w:right w:val="none" w:sz="0" w:space="0" w:color="auto"/>
                  </w:divBdr>
                </w:div>
                <w:div w:id="832570871">
                  <w:marLeft w:val="480"/>
                  <w:marRight w:val="0"/>
                  <w:marTop w:val="0"/>
                  <w:marBottom w:val="0"/>
                  <w:divBdr>
                    <w:top w:val="none" w:sz="0" w:space="0" w:color="auto"/>
                    <w:left w:val="none" w:sz="0" w:space="0" w:color="auto"/>
                    <w:bottom w:val="none" w:sz="0" w:space="0" w:color="auto"/>
                    <w:right w:val="none" w:sz="0" w:space="0" w:color="auto"/>
                  </w:divBdr>
                </w:div>
                <w:div w:id="2022659049">
                  <w:marLeft w:val="480"/>
                  <w:marRight w:val="0"/>
                  <w:marTop w:val="0"/>
                  <w:marBottom w:val="0"/>
                  <w:divBdr>
                    <w:top w:val="none" w:sz="0" w:space="0" w:color="auto"/>
                    <w:left w:val="none" w:sz="0" w:space="0" w:color="auto"/>
                    <w:bottom w:val="none" w:sz="0" w:space="0" w:color="auto"/>
                    <w:right w:val="none" w:sz="0" w:space="0" w:color="auto"/>
                  </w:divBdr>
                </w:div>
                <w:div w:id="800268127">
                  <w:marLeft w:val="480"/>
                  <w:marRight w:val="0"/>
                  <w:marTop w:val="0"/>
                  <w:marBottom w:val="0"/>
                  <w:divBdr>
                    <w:top w:val="none" w:sz="0" w:space="0" w:color="auto"/>
                    <w:left w:val="none" w:sz="0" w:space="0" w:color="auto"/>
                    <w:bottom w:val="none" w:sz="0" w:space="0" w:color="auto"/>
                    <w:right w:val="none" w:sz="0" w:space="0" w:color="auto"/>
                  </w:divBdr>
                </w:div>
                <w:div w:id="1100375945">
                  <w:marLeft w:val="480"/>
                  <w:marRight w:val="0"/>
                  <w:marTop w:val="0"/>
                  <w:marBottom w:val="0"/>
                  <w:divBdr>
                    <w:top w:val="none" w:sz="0" w:space="0" w:color="auto"/>
                    <w:left w:val="none" w:sz="0" w:space="0" w:color="auto"/>
                    <w:bottom w:val="none" w:sz="0" w:space="0" w:color="auto"/>
                    <w:right w:val="none" w:sz="0" w:space="0" w:color="auto"/>
                  </w:divBdr>
                </w:div>
                <w:div w:id="1664964749">
                  <w:marLeft w:val="480"/>
                  <w:marRight w:val="0"/>
                  <w:marTop w:val="0"/>
                  <w:marBottom w:val="0"/>
                  <w:divBdr>
                    <w:top w:val="none" w:sz="0" w:space="0" w:color="auto"/>
                    <w:left w:val="none" w:sz="0" w:space="0" w:color="auto"/>
                    <w:bottom w:val="none" w:sz="0" w:space="0" w:color="auto"/>
                    <w:right w:val="none" w:sz="0" w:space="0" w:color="auto"/>
                  </w:divBdr>
                </w:div>
                <w:div w:id="856388256">
                  <w:marLeft w:val="480"/>
                  <w:marRight w:val="0"/>
                  <w:marTop w:val="0"/>
                  <w:marBottom w:val="0"/>
                  <w:divBdr>
                    <w:top w:val="none" w:sz="0" w:space="0" w:color="auto"/>
                    <w:left w:val="none" w:sz="0" w:space="0" w:color="auto"/>
                    <w:bottom w:val="none" w:sz="0" w:space="0" w:color="auto"/>
                    <w:right w:val="none" w:sz="0" w:space="0" w:color="auto"/>
                  </w:divBdr>
                </w:div>
                <w:div w:id="1962111210">
                  <w:marLeft w:val="480"/>
                  <w:marRight w:val="0"/>
                  <w:marTop w:val="0"/>
                  <w:marBottom w:val="0"/>
                  <w:divBdr>
                    <w:top w:val="none" w:sz="0" w:space="0" w:color="auto"/>
                    <w:left w:val="none" w:sz="0" w:space="0" w:color="auto"/>
                    <w:bottom w:val="none" w:sz="0" w:space="0" w:color="auto"/>
                    <w:right w:val="none" w:sz="0" w:space="0" w:color="auto"/>
                  </w:divBdr>
                </w:div>
                <w:div w:id="1002859549">
                  <w:marLeft w:val="480"/>
                  <w:marRight w:val="0"/>
                  <w:marTop w:val="0"/>
                  <w:marBottom w:val="0"/>
                  <w:divBdr>
                    <w:top w:val="none" w:sz="0" w:space="0" w:color="auto"/>
                    <w:left w:val="none" w:sz="0" w:space="0" w:color="auto"/>
                    <w:bottom w:val="none" w:sz="0" w:space="0" w:color="auto"/>
                    <w:right w:val="none" w:sz="0" w:space="0" w:color="auto"/>
                  </w:divBdr>
                </w:div>
                <w:div w:id="743338005">
                  <w:marLeft w:val="480"/>
                  <w:marRight w:val="0"/>
                  <w:marTop w:val="0"/>
                  <w:marBottom w:val="0"/>
                  <w:divBdr>
                    <w:top w:val="none" w:sz="0" w:space="0" w:color="auto"/>
                    <w:left w:val="none" w:sz="0" w:space="0" w:color="auto"/>
                    <w:bottom w:val="none" w:sz="0" w:space="0" w:color="auto"/>
                    <w:right w:val="none" w:sz="0" w:space="0" w:color="auto"/>
                  </w:divBdr>
                </w:div>
                <w:div w:id="483662557">
                  <w:marLeft w:val="480"/>
                  <w:marRight w:val="0"/>
                  <w:marTop w:val="0"/>
                  <w:marBottom w:val="0"/>
                  <w:divBdr>
                    <w:top w:val="none" w:sz="0" w:space="0" w:color="auto"/>
                    <w:left w:val="none" w:sz="0" w:space="0" w:color="auto"/>
                    <w:bottom w:val="none" w:sz="0" w:space="0" w:color="auto"/>
                    <w:right w:val="none" w:sz="0" w:space="0" w:color="auto"/>
                  </w:divBdr>
                </w:div>
                <w:div w:id="1208906618">
                  <w:marLeft w:val="480"/>
                  <w:marRight w:val="0"/>
                  <w:marTop w:val="0"/>
                  <w:marBottom w:val="0"/>
                  <w:divBdr>
                    <w:top w:val="none" w:sz="0" w:space="0" w:color="auto"/>
                    <w:left w:val="none" w:sz="0" w:space="0" w:color="auto"/>
                    <w:bottom w:val="none" w:sz="0" w:space="0" w:color="auto"/>
                    <w:right w:val="none" w:sz="0" w:space="0" w:color="auto"/>
                  </w:divBdr>
                </w:div>
                <w:div w:id="527990783">
                  <w:marLeft w:val="480"/>
                  <w:marRight w:val="0"/>
                  <w:marTop w:val="0"/>
                  <w:marBottom w:val="0"/>
                  <w:divBdr>
                    <w:top w:val="none" w:sz="0" w:space="0" w:color="auto"/>
                    <w:left w:val="none" w:sz="0" w:space="0" w:color="auto"/>
                    <w:bottom w:val="none" w:sz="0" w:space="0" w:color="auto"/>
                    <w:right w:val="none" w:sz="0" w:space="0" w:color="auto"/>
                  </w:divBdr>
                </w:div>
                <w:div w:id="930743992">
                  <w:marLeft w:val="480"/>
                  <w:marRight w:val="0"/>
                  <w:marTop w:val="0"/>
                  <w:marBottom w:val="0"/>
                  <w:divBdr>
                    <w:top w:val="none" w:sz="0" w:space="0" w:color="auto"/>
                    <w:left w:val="none" w:sz="0" w:space="0" w:color="auto"/>
                    <w:bottom w:val="none" w:sz="0" w:space="0" w:color="auto"/>
                    <w:right w:val="none" w:sz="0" w:space="0" w:color="auto"/>
                  </w:divBdr>
                </w:div>
                <w:div w:id="2018265360">
                  <w:marLeft w:val="480"/>
                  <w:marRight w:val="0"/>
                  <w:marTop w:val="0"/>
                  <w:marBottom w:val="0"/>
                  <w:divBdr>
                    <w:top w:val="none" w:sz="0" w:space="0" w:color="auto"/>
                    <w:left w:val="none" w:sz="0" w:space="0" w:color="auto"/>
                    <w:bottom w:val="none" w:sz="0" w:space="0" w:color="auto"/>
                    <w:right w:val="none" w:sz="0" w:space="0" w:color="auto"/>
                  </w:divBdr>
                </w:div>
                <w:div w:id="1660842073">
                  <w:marLeft w:val="480"/>
                  <w:marRight w:val="0"/>
                  <w:marTop w:val="0"/>
                  <w:marBottom w:val="0"/>
                  <w:divBdr>
                    <w:top w:val="none" w:sz="0" w:space="0" w:color="auto"/>
                    <w:left w:val="none" w:sz="0" w:space="0" w:color="auto"/>
                    <w:bottom w:val="none" w:sz="0" w:space="0" w:color="auto"/>
                    <w:right w:val="none" w:sz="0" w:space="0" w:color="auto"/>
                  </w:divBdr>
                </w:div>
                <w:div w:id="737438364">
                  <w:marLeft w:val="480"/>
                  <w:marRight w:val="0"/>
                  <w:marTop w:val="0"/>
                  <w:marBottom w:val="0"/>
                  <w:divBdr>
                    <w:top w:val="none" w:sz="0" w:space="0" w:color="auto"/>
                    <w:left w:val="none" w:sz="0" w:space="0" w:color="auto"/>
                    <w:bottom w:val="none" w:sz="0" w:space="0" w:color="auto"/>
                    <w:right w:val="none" w:sz="0" w:space="0" w:color="auto"/>
                  </w:divBdr>
                </w:div>
                <w:div w:id="1455564054">
                  <w:marLeft w:val="480"/>
                  <w:marRight w:val="0"/>
                  <w:marTop w:val="0"/>
                  <w:marBottom w:val="0"/>
                  <w:divBdr>
                    <w:top w:val="none" w:sz="0" w:space="0" w:color="auto"/>
                    <w:left w:val="none" w:sz="0" w:space="0" w:color="auto"/>
                    <w:bottom w:val="none" w:sz="0" w:space="0" w:color="auto"/>
                    <w:right w:val="none" w:sz="0" w:space="0" w:color="auto"/>
                  </w:divBdr>
                </w:div>
                <w:div w:id="337316745">
                  <w:marLeft w:val="480"/>
                  <w:marRight w:val="0"/>
                  <w:marTop w:val="0"/>
                  <w:marBottom w:val="0"/>
                  <w:divBdr>
                    <w:top w:val="none" w:sz="0" w:space="0" w:color="auto"/>
                    <w:left w:val="none" w:sz="0" w:space="0" w:color="auto"/>
                    <w:bottom w:val="none" w:sz="0" w:space="0" w:color="auto"/>
                    <w:right w:val="none" w:sz="0" w:space="0" w:color="auto"/>
                  </w:divBdr>
                </w:div>
                <w:div w:id="1057826288">
                  <w:marLeft w:val="480"/>
                  <w:marRight w:val="0"/>
                  <w:marTop w:val="0"/>
                  <w:marBottom w:val="0"/>
                  <w:divBdr>
                    <w:top w:val="none" w:sz="0" w:space="0" w:color="auto"/>
                    <w:left w:val="none" w:sz="0" w:space="0" w:color="auto"/>
                    <w:bottom w:val="none" w:sz="0" w:space="0" w:color="auto"/>
                    <w:right w:val="none" w:sz="0" w:space="0" w:color="auto"/>
                  </w:divBdr>
                </w:div>
                <w:div w:id="963118169">
                  <w:marLeft w:val="480"/>
                  <w:marRight w:val="0"/>
                  <w:marTop w:val="0"/>
                  <w:marBottom w:val="0"/>
                  <w:divBdr>
                    <w:top w:val="none" w:sz="0" w:space="0" w:color="auto"/>
                    <w:left w:val="none" w:sz="0" w:space="0" w:color="auto"/>
                    <w:bottom w:val="none" w:sz="0" w:space="0" w:color="auto"/>
                    <w:right w:val="none" w:sz="0" w:space="0" w:color="auto"/>
                  </w:divBdr>
                </w:div>
                <w:div w:id="218790902">
                  <w:marLeft w:val="480"/>
                  <w:marRight w:val="0"/>
                  <w:marTop w:val="0"/>
                  <w:marBottom w:val="0"/>
                  <w:divBdr>
                    <w:top w:val="none" w:sz="0" w:space="0" w:color="auto"/>
                    <w:left w:val="none" w:sz="0" w:space="0" w:color="auto"/>
                    <w:bottom w:val="none" w:sz="0" w:space="0" w:color="auto"/>
                    <w:right w:val="none" w:sz="0" w:space="0" w:color="auto"/>
                  </w:divBdr>
                </w:div>
                <w:div w:id="116144292">
                  <w:marLeft w:val="480"/>
                  <w:marRight w:val="0"/>
                  <w:marTop w:val="0"/>
                  <w:marBottom w:val="0"/>
                  <w:divBdr>
                    <w:top w:val="none" w:sz="0" w:space="0" w:color="auto"/>
                    <w:left w:val="none" w:sz="0" w:space="0" w:color="auto"/>
                    <w:bottom w:val="none" w:sz="0" w:space="0" w:color="auto"/>
                    <w:right w:val="none" w:sz="0" w:space="0" w:color="auto"/>
                  </w:divBdr>
                </w:div>
                <w:div w:id="1656567660">
                  <w:marLeft w:val="480"/>
                  <w:marRight w:val="0"/>
                  <w:marTop w:val="0"/>
                  <w:marBottom w:val="0"/>
                  <w:divBdr>
                    <w:top w:val="none" w:sz="0" w:space="0" w:color="auto"/>
                    <w:left w:val="none" w:sz="0" w:space="0" w:color="auto"/>
                    <w:bottom w:val="none" w:sz="0" w:space="0" w:color="auto"/>
                    <w:right w:val="none" w:sz="0" w:space="0" w:color="auto"/>
                  </w:divBdr>
                </w:div>
                <w:div w:id="1251239777">
                  <w:marLeft w:val="480"/>
                  <w:marRight w:val="0"/>
                  <w:marTop w:val="0"/>
                  <w:marBottom w:val="0"/>
                  <w:divBdr>
                    <w:top w:val="none" w:sz="0" w:space="0" w:color="auto"/>
                    <w:left w:val="none" w:sz="0" w:space="0" w:color="auto"/>
                    <w:bottom w:val="none" w:sz="0" w:space="0" w:color="auto"/>
                    <w:right w:val="none" w:sz="0" w:space="0" w:color="auto"/>
                  </w:divBdr>
                </w:div>
                <w:div w:id="1816291220">
                  <w:marLeft w:val="480"/>
                  <w:marRight w:val="0"/>
                  <w:marTop w:val="0"/>
                  <w:marBottom w:val="0"/>
                  <w:divBdr>
                    <w:top w:val="none" w:sz="0" w:space="0" w:color="auto"/>
                    <w:left w:val="none" w:sz="0" w:space="0" w:color="auto"/>
                    <w:bottom w:val="none" w:sz="0" w:space="0" w:color="auto"/>
                    <w:right w:val="none" w:sz="0" w:space="0" w:color="auto"/>
                  </w:divBdr>
                </w:div>
                <w:div w:id="382215269">
                  <w:marLeft w:val="480"/>
                  <w:marRight w:val="0"/>
                  <w:marTop w:val="0"/>
                  <w:marBottom w:val="0"/>
                  <w:divBdr>
                    <w:top w:val="none" w:sz="0" w:space="0" w:color="auto"/>
                    <w:left w:val="none" w:sz="0" w:space="0" w:color="auto"/>
                    <w:bottom w:val="none" w:sz="0" w:space="0" w:color="auto"/>
                    <w:right w:val="none" w:sz="0" w:space="0" w:color="auto"/>
                  </w:divBdr>
                </w:div>
                <w:div w:id="443160354">
                  <w:marLeft w:val="480"/>
                  <w:marRight w:val="0"/>
                  <w:marTop w:val="0"/>
                  <w:marBottom w:val="0"/>
                  <w:divBdr>
                    <w:top w:val="none" w:sz="0" w:space="0" w:color="auto"/>
                    <w:left w:val="none" w:sz="0" w:space="0" w:color="auto"/>
                    <w:bottom w:val="none" w:sz="0" w:space="0" w:color="auto"/>
                    <w:right w:val="none" w:sz="0" w:space="0" w:color="auto"/>
                  </w:divBdr>
                </w:div>
                <w:div w:id="481194055">
                  <w:marLeft w:val="480"/>
                  <w:marRight w:val="0"/>
                  <w:marTop w:val="0"/>
                  <w:marBottom w:val="0"/>
                  <w:divBdr>
                    <w:top w:val="none" w:sz="0" w:space="0" w:color="auto"/>
                    <w:left w:val="none" w:sz="0" w:space="0" w:color="auto"/>
                    <w:bottom w:val="none" w:sz="0" w:space="0" w:color="auto"/>
                    <w:right w:val="none" w:sz="0" w:space="0" w:color="auto"/>
                  </w:divBdr>
                </w:div>
                <w:div w:id="2093700919">
                  <w:marLeft w:val="480"/>
                  <w:marRight w:val="0"/>
                  <w:marTop w:val="0"/>
                  <w:marBottom w:val="0"/>
                  <w:divBdr>
                    <w:top w:val="none" w:sz="0" w:space="0" w:color="auto"/>
                    <w:left w:val="none" w:sz="0" w:space="0" w:color="auto"/>
                    <w:bottom w:val="none" w:sz="0" w:space="0" w:color="auto"/>
                    <w:right w:val="none" w:sz="0" w:space="0" w:color="auto"/>
                  </w:divBdr>
                </w:div>
                <w:div w:id="1443644861">
                  <w:marLeft w:val="480"/>
                  <w:marRight w:val="0"/>
                  <w:marTop w:val="0"/>
                  <w:marBottom w:val="0"/>
                  <w:divBdr>
                    <w:top w:val="none" w:sz="0" w:space="0" w:color="auto"/>
                    <w:left w:val="none" w:sz="0" w:space="0" w:color="auto"/>
                    <w:bottom w:val="none" w:sz="0" w:space="0" w:color="auto"/>
                    <w:right w:val="none" w:sz="0" w:space="0" w:color="auto"/>
                  </w:divBdr>
                </w:div>
                <w:div w:id="16735732">
                  <w:marLeft w:val="480"/>
                  <w:marRight w:val="0"/>
                  <w:marTop w:val="0"/>
                  <w:marBottom w:val="0"/>
                  <w:divBdr>
                    <w:top w:val="none" w:sz="0" w:space="0" w:color="auto"/>
                    <w:left w:val="none" w:sz="0" w:space="0" w:color="auto"/>
                    <w:bottom w:val="none" w:sz="0" w:space="0" w:color="auto"/>
                    <w:right w:val="none" w:sz="0" w:space="0" w:color="auto"/>
                  </w:divBdr>
                </w:div>
                <w:div w:id="2110002528">
                  <w:marLeft w:val="480"/>
                  <w:marRight w:val="0"/>
                  <w:marTop w:val="0"/>
                  <w:marBottom w:val="0"/>
                  <w:divBdr>
                    <w:top w:val="none" w:sz="0" w:space="0" w:color="auto"/>
                    <w:left w:val="none" w:sz="0" w:space="0" w:color="auto"/>
                    <w:bottom w:val="none" w:sz="0" w:space="0" w:color="auto"/>
                    <w:right w:val="none" w:sz="0" w:space="0" w:color="auto"/>
                  </w:divBdr>
                </w:div>
                <w:div w:id="1544781046">
                  <w:marLeft w:val="480"/>
                  <w:marRight w:val="0"/>
                  <w:marTop w:val="0"/>
                  <w:marBottom w:val="0"/>
                  <w:divBdr>
                    <w:top w:val="none" w:sz="0" w:space="0" w:color="auto"/>
                    <w:left w:val="none" w:sz="0" w:space="0" w:color="auto"/>
                    <w:bottom w:val="none" w:sz="0" w:space="0" w:color="auto"/>
                    <w:right w:val="none" w:sz="0" w:space="0" w:color="auto"/>
                  </w:divBdr>
                </w:div>
                <w:div w:id="1473328021">
                  <w:marLeft w:val="480"/>
                  <w:marRight w:val="0"/>
                  <w:marTop w:val="0"/>
                  <w:marBottom w:val="0"/>
                  <w:divBdr>
                    <w:top w:val="none" w:sz="0" w:space="0" w:color="auto"/>
                    <w:left w:val="none" w:sz="0" w:space="0" w:color="auto"/>
                    <w:bottom w:val="none" w:sz="0" w:space="0" w:color="auto"/>
                    <w:right w:val="none" w:sz="0" w:space="0" w:color="auto"/>
                  </w:divBdr>
                </w:div>
                <w:div w:id="403912166">
                  <w:marLeft w:val="480"/>
                  <w:marRight w:val="0"/>
                  <w:marTop w:val="0"/>
                  <w:marBottom w:val="0"/>
                  <w:divBdr>
                    <w:top w:val="none" w:sz="0" w:space="0" w:color="auto"/>
                    <w:left w:val="none" w:sz="0" w:space="0" w:color="auto"/>
                    <w:bottom w:val="none" w:sz="0" w:space="0" w:color="auto"/>
                    <w:right w:val="none" w:sz="0" w:space="0" w:color="auto"/>
                  </w:divBdr>
                </w:div>
                <w:div w:id="681279425">
                  <w:marLeft w:val="480"/>
                  <w:marRight w:val="0"/>
                  <w:marTop w:val="0"/>
                  <w:marBottom w:val="0"/>
                  <w:divBdr>
                    <w:top w:val="none" w:sz="0" w:space="0" w:color="auto"/>
                    <w:left w:val="none" w:sz="0" w:space="0" w:color="auto"/>
                    <w:bottom w:val="none" w:sz="0" w:space="0" w:color="auto"/>
                    <w:right w:val="none" w:sz="0" w:space="0" w:color="auto"/>
                  </w:divBdr>
                </w:div>
                <w:div w:id="508952847">
                  <w:marLeft w:val="480"/>
                  <w:marRight w:val="0"/>
                  <w:marTop w:val="0"/>
                  <w:marBottom w:val="0"/>
                  <w:divBdr>
                    <w:top w:val="none" w:sz="0" w:space="0" w:color="auto"/>
                    <w:left w:val="none" w:sz="0" w:space="0" w:color="auto"/>
                    <w:bottom w:val="none" w:sz="0" w:space="0" w:color="auto"/>
                    <w:right w:val="none" w:sz="0" w:space="0" w:color="auto"/>
                  </w:divBdr>
                </w:div>
                <w:div w:id="653030775">
                  <w:marLeft w:val="480"/>
                  <w:marRight w:val="0"/>
                  <w:marTop w:val="0"/>
                  <w:marBottom w:val="0"/>
                  <w:divBdr>
                    <w:top w:val="none" w:sz="0" w:space="0" w:color="auto"/>
                    <w:left w:val="none" w:sz="0" w:space="0" w:color="auto"/>
                    <w:bottom w:val="none" w:sz="0" w:space="0" w:color="auto"/>
                    <w:right w:val="none" w:sz="0" w:space="0" w:color="auto"/>
                  </w:divBdr>
                </w:div>
                <w:div w:id="1674457027">
                  <w:marLeft w:val="480"/>
                  <w:marRight w:val="0"/>
                  <w:marTop w:val="0"/>
                  <w:marBottom w:val="0"/>
                  <w:divBdr>
                    <w:top w:val="none" w:sz="0" w:space="0" w:color="auto"/>
                    <w:left w:val="none" w:sz="0" w:space="0" w:color="auto"/>
                    <w:bottom w:val="none" w:sz="0" w:space="0" w:color="auto"/>
                    <w:right w:val="none" w:sz="0" w:space="0" w:color="auto"/>
                  </w:divBdr>
                </w:div>
                <w:div w:id="587661964">
                  <w:marLeft w:val="480"/>
                  <w:marRight w:val="0"/>
                  <w:marTop w:val="0"/>
                  <w:marBottom w:val="0"/>
                  <w:divBdr>
                    <w:top w:val="none" w:sz="0" w:space="0" w:color="auto"/>
                    <w:left w:val="none" w:sz="0" w:space="0" w:color="auto"/>
                    <w:bottom w:val="none" w:sz="0" w:space="0" w:color="auto"/>
                    <w:right w:val="none" w:sz="0" w:space="0" w:color="auto"/>
                  </w:divBdr>
                </w:div>
                <w:div w:id="725378373">
                  <w:marLeft w:val="480"/>
                  <w:marRight w:val="0"/>
                  <w:marTop w:val="0"/>
                  <w:marBottom w:val="0"/>
                  <w:divBdr>
                    <w:top w:val="none" w:sz="0" w:space="0" w:color="auto"/>
                    <w:left w:val="none" w:sz="0" w:space="0" w:color="auto"/>
                    <w:bottom w:val="none" w:sz="0" w:space="0" w:color="auto"/>
                    <w:right w:val="none" w:sz="0" w:space="0" w:color="auto"/>
                  </w:divBdr>
                </w:div>
                <w:div w:id="1983926387">
                  <w:marLeft w:val="480"/>
                  <w:marRight w:val="0"/>
                  <w:marTop w:val="0"/>
                  <w:marBottom w:val="0"/>
                  <w:divBdr>
                    <w:top w:val="none" w:sz="0" w:space="0" w:color="auto"/>
                    <w:left w:val="none" w:sz="0" w:space="0" w:color="auto"/>
                    <w:bottom w:val="none" w:sz="0" w:space="0" w:color="auto"/>
                    <w:right w:val="none" w:sz="0" w:space="0" w:color="auto"/>
                  </w:divBdr>
                </w:div>
              </w:divsChild>
            </w:div>
            <w:div w:id="1360277830">
              <w:marLeft w:val="0"/>
              <w:marRight w:val="0"/>
              <w:marTop w:val="0"/>
              <w:marBottom w:val="0"/>
              <w:divBdr>
                <w:top w:val="none" w:sz="0" w:space="0" w:color="auto"/>
                <w:left w:val="none" w:sz="0" w:space="0" w:color="auto"/>
                <w:bottom w:val="none" w:sz="0" w:space="0" w:color="auto"/>
                <w:right w:val="none" w:sz="0" w:space="0" w:color="auto"/>
              </w:divBdr>
              <w:divsChild>
                <w:div w:id="198787298">
                  <w:marLeft w:val="480"/>
                  <w:marRight w:val="0"/>
                  <w:marTop w:val="0"/>
                  <w:marBottom w:val="0"/>
                  <w:divBdr>
                    <w:top w:val="none" w:sz="0" w:space="0" w:color="auto"/>
                    <w:left w:val="none" w:sz="0" w:space="0" w:color="auto"/>
                    <w:bottom w:val="none" w:sz="0" w:space="0" w:color="auto"/>
                    <w:right w:val="none" w:sz="0" w:space="0" w:color="auto"/>
                  </w:divBdr>
                </w:div>
                <w:div w:id="190724762">
                  <w:marLeft w:val="480"/>
                  <w:marRight w:val="0"/>
                  <w:marTop w:val="0"/>
                  <w:marBottom w:val="0"/>
                  <w:divBdr>
                    <w:top w:val="none" w:sz="0" w:space="0" w:color="auto"/>
                    <w:left w:val="none" w:sz="0" w:space="0" w:color="auto"/>
                    <w:bottom w:val="none" w:sz="0" w:space="0" w:color="auto"/>
                    <w:right w:val="none" w:sz="0" w:space="0" w:color="auto"/>
                  </w:divBdr>
                </w:div>
                <w:div w:id="506137189">
                  <w:marLeft w:val="480"/>
                  <w:marRight w:val="0"/>
                  <w:marTop w:val="0"/>
                  <w:marBottom w:val="0"/>
                  <w:divBdr>
                    <w:top w:val="none" w:sz="0" w:space="0" w:color="auto"/>
                    <w:left w:val="none" w:sz="0" w:space="0" w:color="auto"/>
                    <w:bottom w:val="none" w:sz="0" w:space="0" w:color="auto"/>
                    <w:right w:val="none" w:sz="0" w:space="0" w:color="auto"/>
                  </w:divBdr>
                </w:div>
                <w:div w:id="1036349545">
                  <w:marLeft w:val="480"/>
                  <w:marRight w:val="0"/>
                  <w:marTop w:val="0"/>
                  <w:marBottom w:val="0"/>
                  <w:divBdr>
                    <w:top w:val="none" w:sz="0" w:space="0" w:color="auto"/>
                    <w:left w:val="none" w:sz="0" w:space="0" w:color="auto"/>
                    <w:bottom w:val="none" w:sz="0" w:space="0" w:color="auto"/>
                    <w:right w:val="none" w:sz="0" w:space="0" w:color="auto"/>
                  </w:divBdr>
                </w:div>
                <w:div w:id="242378075">
                  <w:marLeft w:val="480"/>
                  <w:marRight w:val="0"/>
                  <w:marTop w:val="0"/>
                  <w:marBottom w:val="0"/>
                  <w:divBdr>
                    <w:top w:val="none" w:sz="0" w:space="0" w:color="auto"/>
                    <w:left w:val="none" w:sz="0" w:space="0" w:color="auto"/>
                    <w:bottom w:val="none" w:sz="0" w:space="0" w:color="auto"/>
                    <w:right w:val="none" w:sz="0" w:space="0" w:color="auto"/>
                  </w:divBdr>
                </w:div>
                <w:div w:id="671179806">
                  <w:marLeft w:val="480"/>
                  <w:marRight w:val="0"/>
                  <w:marTop w:val="0"/>
                  <w:marBottom w:val="0"/>
                  <w:divBdr>
                    <w:top w:val="none" w:sz="0" w:space="0" w:color="auto"/>
                    <w:left w:val="none" w:sz="0" w:space="0" w:color="auto"/>
                    <w:bottom w:val="none" w:sz="0" w:space="0" w:color="auto"/>
                    <w:right w:val="none" w:sz="0" w:space="0" w:color="auto"/>
                  </w:divBdr>
                </w:div>
                <w:div w:id="1764644374">
                  <w:marLeft w:val="480"/>
                  <w:marRight w:val="0"/>
                  <w:marTop w:val="0"/>
                  <w:marBottom w:val="0"/>
                  <w:divBdr>
                    <w:top w:val="none" w:sz="0" w:space="0" w:color="auto"/>
                    <w:left w:val="none" w:sz="0" w:space="0" w:color="auto"/>
                    <w:bottom w:val="none" w:sz="0" w:space="0" w:color="auto"/>
                    <w:right w:val="none" w:sz="0" w:space="0" w:color="auto"/>
                  </w:divBdr>
                </w:div>
                <w:div w:id="2042513192">
                  <w:marLeft w:val="480"/>
                  <w:marRight w:val="0"/>
                  <w:marTop w:val="0"/>
                  <w:marBottom w:val="0"/>
                  <w:divBdr>
                    <w:top w:val="none" w:sz="0" w:space="0" w:color="auto"/>
                    <w:left w:val="none" w:sz="0" w:space="0" w:color="auto"/>
                    <w:bottom w:val="none" w:sz="0" w:space="0" w:color="auto"/>
                    <w:right w:val="none" w:sz="0" w:space="0" w:color="auto"/>
                  </w:divBdr>
                </w:div>
                <w:div w:id="2131707557">
                  <w:marLeft w:val="480"/>
                  <w:marRight w:val="0"/>
                  <w:marTop w:val="0"/>
                  <w:marBottom w:val="0"/>
                  <w:divBdr>
                    <w:top w:val="none" w:sz="0" w:space="0" w:color="auto"/>
                    <w:left w:val="none" w:sz="0" w:space="0" w:color="auto"/>
                    <w:bottom w:val="none" w:sz="0" w:space="0" w:color="auto"/>
                    <w:right w:val="none" w:sz="0" w:space="0" w:color="auto"/>
                  </w:divBdr>
                </w:div>
                <w:div w:id="1633362755">
                  <w:marLeft w:val="480"/>
                  <w:marRight w:val="0"/>
                  <w:marTop w:val="0"/>
                  <w:marBottom w:val="0"/>
                  <w:divBdr>
                    <w:top w:val="none" w:sz="0" w:space="0" w:color="auto"/>
                    <w:left w:val="none" w:sz="0" w:space="0" w:color="auto"/>
                    <w:bottom w:val="none" w:sz="0" w:space="0" w:color="auto"/>
                    <w:right w:val="none" w:sz="0" w:space="0" w:color="auto"/>
                  </w:divBdr>
                </w:div>
                <w:div w:id="345980718">
                  <w:marLeft w:val="480"/>
                  <w:marRight w:val="0"/>
                  <w:marTop w:val="0"/>
                  <w:marBottom w:val="0"/>
                  <w:divBdr>
                    <w:top w:val="none" w:sz="0" w:space="0" w:color="auto"/>
                    <w:left w:val="none" w:sz="0" w:space="0" w:color="auto"/>
                    <w:bottom w:val="none" w:sz="0" w:space="0" w:color="auto"/>
                    <w:right w:val="none" w:sz="0" w:space="0" w:color="auto"/>
                  </w:divBdr>
                </w:div>
                <w:div w:id="2137486138">
                  <w:marLeft w:val="480"/>
                  <w:marRight w:val="0"/>
                  <w:marTop w:val="0"/>
                  <w:marBottom w:val="0"/>
                  <w:divBdr>
                    <w:top w:val="none" w:sz="0" w:space="0" w:color="auto"/>
                    <w:left w:val="none" w:sz="0" w:space="0" w:color="auto"/>
                    <w:bottom w:val="none" w:sz="0" w:space="0" w:color="auto"/>
                    <w:right w:val="none" w:sz="0" w:space="0" w:color="auto"/>
                  </w:divBdr>
                </w:div>
                <w:div w:id="1408722679">
                  <w:marLeft w:val="480"/>
                  <w:marRight w:val="0"/>
                  <w:marTop w:val="0"/>
                  <w:marBottom w:val="0"/>
                  <w:divBdr>
                    <w:top w:val="none" w:sz="0" w:space="0" w:color="auto"/>
                    <w:left w:val="none" w:sz="0" w:space="0" w:color="auto"/>
                    <w:bottom w:val="none" w:sz="0" w:space="0" w:color="auto"/>
                    <w:right w:val="none" w:sz="0" w:space="0" w:color="auto"/>
                  </w:divBdr>
                </w:div>
                <w:div w:id="1418943364">
                  <w:marLeft w:val="480"/>
                  <w:marRight w:val="0"/>
                  <w:marTop w:val="0"/>
                  <w:marBottom w:val="0"/>
                  <w:divBdr>
                    <w:top w:val="none" w:sz="0" w:space="0" w:color="auto"/>
                    <w:left w:val="none" w:sz="0" w:space="0" w:color="auto"/>
                    <w:bottom w:val="none" w:sz="0" w:space="0" w:color="auto"/>
                    <w:right w:val="none" w:sz="0" w:space="0" w:color="auto"/>
                  </w:divBdr>
                </w:div>
                <w:div w:id="1674605946">
                  <w:marLeft w:val="480"/>
                  <w:marRight w:val="0"/>
                  <w:marTop w:val="0"/>
                  <w:marBottom w:val="0"/>
                  <w:divBdr>
                    <w:top w:val="none" w:sz="0" w:space="0" w:color="auto"/>
                    <w:left w:val="none" w:sz="0" w:space="0" w:color="auto"/>
                    <w:bottom w:val="none" w:sz="0" w:space="0" w:color="auto"/>
                    <w:right w:val="none" w:sz="0" w:space="0" w:color="auto"/>
                  </w:divBdr>
                </w:div>
                <w:div w:id="256404403">
                  <w:marLeft w:val="480"/>
                  <w:marRight w:val="0"/>
                  <w:marTop w:val="0"/>
                  <w:marBottom w:val="0"/>
                  <w:divBdr>
                    <w:top w:val="none" w:sz="0" w:space="0" w:color="auto"/>
                    <w:left w:val="none" w:sz="0" w:space="0" w:color="auto"/>
                    <w:bottom w:val="none" w:sz="0" w:space="0" w:color="auto"/>
                    <w:right w:val="none" w:sz="0" w:space="0" w:color="auto"/>
                  </w:divBdr>
                </w:div>
                <w:div w:id="1035351987">
                  <w:marLeft w:val="480"/>
                  <w:marRight w:val="0"/>
                  <w:marTop w:val="0"/>
                  <w:marBottom w:val="0"/>
                  <w:divBdr>
                    <w:top w:val="none" w:sz="0" w:space="0" w:color="auto"/>
                    <w:left w:val="none" w:sz="0" w:space="0" w:color="auto"/>
                    <w:bottom w:val="none" w:sz="0" w:space="0" w:color="auto"/>
                    <w:right w:val="none" w:sz="0" w:space="0" w:color="auto"/>
                  </w:divBdr>
                </w:div>
                <w:div w:id="73824402">
                  <w:marLeft w:val="480"/>
                  <w:marRight w:val="0"/>
                  <w:marTop w:val="0"/>
                  <w:marBottom w:val="0"/>
                  <w:divBdr>
                    <w:top w:val="none" w:sz="0" w:space="0" w:color="auto"/>
                    <w:left w:val="none" w:sz="0" w:space="0" w:color="auto"/>
                    <w:bottom w:val="none" w:sz="0" w:space="0" w:color="auto"/>
                    <w:right w:val="none" w:sz="0" w:space="0" w:color="auto"/>
                  </w:divBdr>
                </w:div>
                <w:div w:id="1044021036">
                  <w:marLeft w:val="480"/>
                  <w:marRight w:val="0"/>
                  <w:marTop w:val="0"/>
                  <w:marBottom w:val="0"/>
                  <w:divBdr>
                    <w:top w:val="none" w:sz="0" w:space="0" w:color="auto"/>
                    <w:left w:val="none" w:sz="0" w:space="0" w:color="auto"/>
                    <w:bottom w:val="none" w:sz="0" w:space="0" w:color="auto"/>
                    <w:right w:val="none" w:sz="0" w:space="0" w:color="auto"/>
                  </w:divBdr>
                </w:div>
                <w:div w:id="916204154">
                  <w:marLeft w:val="480"/>
                  <w:marRight w:val="0"/>
                  <w:marTop w:val="0"/>
                  <w:marBottom w:val="0"/>
                  <w:divBdr>
                    <w:top w:val="none" w:sz="0" w:space="0" w:color="auto"/>
                    <w:left w:val="none" w:sz="0" w:space="0" w:color="auto"/>
                    <w:bottom w:val="none" w:sz="0" w:space="0" w:color="auto"/>
                    <w:right w:val="none" w:sz="0" w:space="0" w:color="auto"/>
                  </w:divBdr>
                </w:div>
                <w:div w:id="315842034">
                  <w:marLeft w:val="480"/>
                  <w:marRight w:val="0"/>
                  <w:marTop w:val="0"/>
                  <w:marBottom w:val="0"/>
                  <w:divBdr>
                    <w:top w:val="none" w:sz="0" w:space="0" w:color="auto"/>
                    <w:left w:val="none" w:sz="0" w:space="0" w:color="auto"/>
                    <w:bottom w:val="none" w:sz="0" w:space="0" w:color="auto"/>
                    <w:right w:val="none" w:sz="0" w:space="0" w:color="auto"/>
                  </w:divBdr>
                </w:div>
                <w:div w:id="1140728741">
                  <w:marLeft w:val="480"/>
                  <w:marRight w:val="0"/>
                  <w:marTop w:val="0"/>
                  <w:marBottom w:val="0"/>
                  <w:divBdr>
                    <w:top w:val="none" w:sz="0" w:space="0" w:color="auto"/>
                    <w:left w:val="none" w:sz="0" w:space="0" w:color="auto"/>
                    <w:bottom w:val="none" w:sz="0" w:space="0" w:color="auto"/>
                    <w:right w:val="none" w:sz="0" w:space="0" w:color="auto"/>
                  </w:divBdr>
                </w:div>
                <w:div w:id="273832482">
                  <w:marLeft w:val="480"/>
                  <w:marRight w:val="0"/>
                  <w:marTop w:val="0"/>
                  <w:marBottom w:val="0"/>
                  <w:divBdr>
                    <w:top w:val="none" w:sz="0" w:space="0" w:color="auto"/>
                    <w:left w:val="none" w:sz="0" w:space="0" w:color="auto"/>
                    <w:bottom w:val="none" w:sz="0" w:space="0" w:color="auto"/>
                    <w:right w:val="none" w:sz="0" w:space="0" w:color="auto"/>
                  </w:divBdr>
                </w:div>
                <w:div w:id="516309469">
                  <w:marLeft w:val="480"/>
                  <w:marRight w:val="0"/>
                  <w:marTop w:val="0"/>
                  <w:marBottom w:val="0"/>
                  <w:divBdr>
                    <w:top w:val="none" w:sz="0" w:space="0" w:color="auto"/>
                    <w:left w:val="none" w:sz="0" w:space="0" w:color="auto"/>
                    <w:bottom w:val="none" w:sz="0" w:space="0" w:color="auto"/>
                    <w:right w:val="none" w:sz="0" w:space="0" w:color="auto"/>
                  </w:divBdr>
                </w:div>
                <w:div w:id="1462311623">
                  <w:marLeft w:val="480"/>
                  <w:marRight w:val="0"/>
                  <w:marTop w:val="0"/>
                  <w:marBottom w:val="0"/>
                  <w:divBdr>
                    <w:top w:val="none" w:sz="0" w:space="0" w:color="auto"/>
                    <w:left w:val="none" w:sz="0" w:space="0" w:color="auto"/>
                    <w:bottom w:val="none" w:sz="0" w:space="0" w:color="auto"/>
                    <w:right w:val="none" w:sz="0" w:space="0" w:color="auto"/>
                  </w:divBdr>
                </w:div>
                <w:div w:id="1256329958">
                  <w:marLeft w:val="480"/>
                  <w:marRight w:val="0"/>
                  <w:marTop w:val="0"/>
                  <w:marBottom w:val="0"/>
                  <w:divBdr>
                    <w:top w:val="none" w:sz="0" w:space="0" w:color="auto"/>
                    <w:left w:val="none" w:sz="0" w:space="0" w:color="auto"/>
                    <w:bottom w:val="none" w:sz="0" w:space="0" w:color="auto"/>
                    <w:right w:val="none" w:sz="0" w:space="0" w:color="auto"/>
                  </w:divBdr>
                </w:div>
                <w:div w:id="2104103867">
                  <w:marLeft w:val="480"/>
                  <w:marRight w:val="0"/>
                  <w:marTop w:val="0"/>
                  <w:marBottom w:val="0"/>
                  <w:divBdr>
                    <w:top w:val="none" w:sz="0" w:space="0" w:color="auto"/>
                    <w:left w:val="none" w:sz="0" w:space="0" w:color="auto"/>
                    <w:bottom w:val="none" w:sz="0" w:space="0" w:color="auto"/>
                    <w:right w:val="none" w:sz="0" w:space="0" w:color="auto"/>
                  </w:divBdr>
                </w:div>
                <w:div w:id="1519078698">
                  <w:marLeft w:val="480"/>
                  <w:marRight w:val="0"/>
                  <w:marTop w:val="0"/>
                  <w:marBottom w:val="0"/>
                  <w:divBdr>
                    <w:top w:val="none" w:sz="0" w:space="0" w:color="auto"/>
                    <w:left w:val="none" w:sz="0" w:space="0" w:color="auto"/>
                    <w:bottom w:val="none" w:sz="0" w:space="0" w:color="auto"/>
                    <w:right w:val="none" w:sz="0" w:space="0" w:color="auto"/>
                  </w:divBdr>
                </w:div>
                <w:div w:id="1494443831">
                  <w:marLeft w:val="480"/>
                  <w:marRight w:val="0"/>
                  <w:marTop w:val="0"/>
                  <w:marBottom w:val="0"/>
                  <w:divBdr>
                    <w:top w:val="none" w:sz="0" w:space="0" w:color="auto"/>
                    <w:left w:val="none" w:sz="0" w:space="0" w:color="auto"/>
                    <w:bottom w:val="none" w:sz="0" w:space="0" w:color="auto"/>
                    <w:right w:val="none" w:sz="0" w:space="0" w:color="auto"/>
                  </w:divBdr>
                </w:div>
                <w:div w:id="1919245617">
                  <w:marLeft w:val="480"/>
                  <w:marRight w:val="0"/>
                  <w:marTop w:val="0"/>
                  <w:marBottom w:val="0"/>
                  <w:divBdr>
                    <w:top w:val="none" w:sz="0" w:space="0" w:color="auto"/>
                    <w:left w:val="none" w:sz="0" w:space="0" w:color="auto"/>
                    <w:bottom w:val="none" w:sz="0" w:space="0" w:color="auto"/>
                    <w:right w:val="none" w:sz="0" w:space="0" w:color="auto"/>
                  </w:divBdr>
                </w:div>
                <w:div w:id="1811746062">
                  <w:marLeft w:val="480"/>
                  <w:marRight w:val="0"/>
                  <w:marTop w:val="0"/>
                  <w:marBottom w:val="0"/>
                  <w:divBdr>
                    <w:top w:val="none" w:sz="0" w:space="0" w:color="auto"/>
                    <w:left w:val="none" w:sz="0" w:space="0" w:color="auto"/>
                    <w:bottom w:val="none" w:sz="0" w:space="0" w:color="auto"/>
                    <w:right w:val="none" w:sz="0" w:space="0" w:color="auto"/>
                  </w:divBdr>
                </w:div>
                <w:div w:id="2089418922">
                  <w:marLeft w:val="480"/>
                  <w:marRight w:val="0"/>
                  <w:marTop w:val="0"/>
                  <w:marBottom w:val="0"/>
                  <w:divBdr>
                    <w:top w:val="none" w:sz="0" w:space="0" w:color="auto"/>
                    <w:left w:val="none" w:sz="0" w:space="0" w:color="auto"/>
                    <w:bottom w:val="none" w:sz="0" w:space="0" w:color="auto"/>
                    <w:right w:val="none" w:sz="0" w:space="0" w:color="auto"/>
                  </w:divBdr>
                </w:div>
                <w:div w:id="670982887">
                  <w:marLeft w:val="480"/>
                  <w:marRight w:val="0"/>
                  <w:marTop w:val="0"/>
                  <w:marBottom w:val="0"/>
                  <w:divBdr>
                    <w:top w:val="none" w:sz="0" w:space="0" w:color="auto"/>
                    <w:left w:val="none" w:sz="0" w:space="0" w:color="auto"/>
                    <w:bottom w:val="none" w:sz="0" w:space="0" w:color="auto"/>
                    <w:right w:val="none" w:sz="0" w:space="0" w:color="auto"/>
                  </w:divBdr>
                </w:div>
                <w:div w:id="772359164">
                  <w:marLeft w:val="480"/>
                  <w:marRight w:val="0"/>
                  <w:marTop w:val="0"/>
                  <w:marBottom w:val="0"/>
                  <w:divBdr>
                    <w:top w:val="none" w:sz="0" w:space="0" w:color="auto"/>
                    <w:left w:val="none" w:sz="0" w:space="0" w:color="auto"/>
                    <w:bottom w:val="none" w:sz="0" w:space="0" w:color="auto"/>
                    <w:right w:val="none" w:sz="0" w:space="0" w:color="auto"/>
                  </w:divBdr>
                </w:div>
                <w:div w:id="179662534">
                  <w:marLeft w:val="480"/>
                  <w:marRight w:val="0"/>
                  <w:marTop w:val="0"/>
                  <w:marBottom w:val="0"/>
                  <w:divBdr>
                    <w:top w:val="none" w:sz="0" w:space="0" w:color="auto"/>
                    <w:left w:val="none" w:sz="0" w:space="0" w:color="auto"/>
                    <w:bottom w:val="none" w:sz="0" w:space="0" w:color="auto"/>
                    <w:right w:val="none" w:sz="0" w:space="0" w:color="auto"/>
                  </w:divBdr>
                </w:div>
                <w:div w:id="2115203075">
                  <w:marLeft w:val="480"/>
                  <w:marRight w:val="0"/>
                  <w:marTop w:val="0"/>
                  <w:marBottom w:val="0"/>
                  <w:divBdr>
                    <w:top w:val="none" w:sz="0" w:space="0" w:color="auto"/>
                    <w:left w:val="none" w:sz="0" w:space="0" w:color="auto"/>
                    <w:bottom w:val="none" w:sz="0" w:space="0" w:color="auto"/>
                    <w:right w:val="none" w:sz="0" w:space="0" w:color="auto"/>
                  </w:divBdr>
                </w:div>
                <w:div w:id="1479224929">
                  <w:marLeft w:val="480"/>
                  <w:marRight w:val="0"/>
                  <w:marTop w:val="0"/>
                  <w:marBottom w:val="0"/>
                  <w:divBdr>
                    <w:top w:val="none" w:sz="0" w:space="0" w:color="auto"/>
                    <w:left w:val="none" w:sz="0" w:space="0" w:color="auto"/>
                    <w:bottom w:val="none" w:sz="0" w:space="0" w:color="auto"/>
                    <w:right w:val="none" w:sz="0" w:space="0" w:color="auto"/>
                  </w:divBdr>
                </w:div>
                <w:div w:id="304627817">
                  <w:marLeft w:val="480"/>
                  <w:marRight w:val="0"/>
                  <w:marTop w:val="0"/>
                  <w:marBottom w:val="0"/>
                  <w:divBdr>
                    <w:top w:val="none" w:sz="0" w:space="0" w:color="auto"/>
                    <w:left w:val="none" w:sz="0" w:space="0" w:color="auto"/>
                    <w:bottom w:val="none" w:sz="0" w:space="0" w:color="auto"/>
                    <w:right w:val="none" w:sz="0" w:space="0" w:color="auto"/>
                  </w:divBdr>
                </w:div>
                <w:div w:id="2027363480">
                  <w:marLeft w:val="480"/>
                  <w:marRight w:val="0"/>
                  <w:marTop w:val="0"/>
                  <w:marBottom w:val="0"/>
                  <w:divBdr>
                    <w:top w:val="none" w:sz="0" w:space="0" w:color="auto"/>
                    <w:left w:val="none" w:sz="0" w:space="0" w:color="auto"/>
                    <w:bottom w:val="none" w:sz="0" w:space="0" w:color="auto"/>
                    <w:right w:val="none" w:sz="0" w:space="0" w:color="auto"/>
                  </w:divBdr>
                </w:div>
                <w:div w:id="545488681">
                  <w:marLeft w:val="480"/>
                  <w:marRight w:val="0"/>
                  <w:marTop w:val="0"/>
                  <w:marBottom w:val="0"/>
                  <w:divBdr>
                    <w:top w:val="none" w:sz="0" w:space="0" w:color="auto"/>
                    <w:left w:val="none" w:sz="0" w:space="0" w:color="auto"/>
                    <w:bottom w:val="none" w:sz="0" w:space="0" w:color="auto"/>
                    <w:right w:val="none" w:sz="0" w:space="0" w:color="auto"/>
                  </w:divBdr>
                </w:div>
                <w:div w:id="1125999676">
                  <w:marLeft w:val="480"/>
                  <w:marRight w:val="0"/>
                  <w:marTop w:val="0"/>
                  <w:marBottom w:val="0"/>
                  <w:divBdr>
                    <w:top w:val="none" w:sz="0" w:space="0" w:color="auto"/>
                    <w:left w:val="none" w:sz="0" w:space="0" w:color="auto"/>
                    <w:bottom w:val="none" w:sz="0" w:space="0" w:color="auto"/>
                    <w:right w:val="none" w:sz="0" w:space="0" w:color="auto"/>
                  </w:divBdr>
                </w:div>
                <w:div w:id="779297285">
                  <w:marLeft w:val="480"/>
                  <w:marRight w:val="0"/>
                  <w:marTop w:val="0"/>
                  <w:marBottom w:val="0"/>
                  <w:divBdr>
                    <w:top w:val="none" w:sz="0" w:space="0" w:color="auto"/>
                    <w:left w:val="none" w:sz="0" w:space="0" w:color="auto"/>
                    <w:bottom w:val="none" w:sz="0" w:space="0" w:color="auto"/>
                    <w:right w:val="none" w:sz="0" w:space="0" w:color="auto"/>
                  </w:divBdr>
                </w:div>
                <w:div w:id="751464295">
                  <w:marLeft w:val="480"/>
                  <w:marRight w:val="0"/>
                  <w:marTop w:val="0"/>
                  <w:marBottom w:val="0"/>
                  <w:divBdr>
                    <w:top w:val="none" w:sz="0" w:space="0" w:color="auto"/>
                    <w:left w:val="none" w:sz="0" w:space="0" w:color="auto"/>
                    <w:bottom w:val="none" w:sz="0" w:space="0" w:color="auto"/>
                    <w:right w:val="none" w:sz="0" w:space="0" w:color="auto"/>
                  </w:divBdr>
                </w:div>
                <w:div w:id="2021082277">
                  <w:marLeft w:val="480"/>
                  <w:marRight w:val="0"/>
                  <w:marTop w:val="0"/>
                  <w:marBottom w:val="0"/>
                  <w:divBdr>
                    <w:top w:val="none" w:sz="0" w:space="0" w:color="auto"/>
                    <w:left w:val="none" w:sz="0" w:space="0" w:color="auto"/>
                    <w:bottom w:val="none" w:sz="0" w:space="0" w:color="auto"/>
                    <w:right w:val="none" w:sz="0" w:space="0" w:color="auto"/>
                  </w:divBdr>
                </w:div>
                <w:div w:id="158079460">
                  <w:marLeft w:val="480"/>
                  <w:marRight w:val="0"/>
                  <w:marTop w:val="0"/>
                  <w:marBottom w:val="0"/>
                  <w:divBdr>
                    <w:top w:val="none" w:sz="0" w:space="0" w:color="auto"/>
                    <w:left w:val="none" w:sz="0" w:space="0" w:color="auto"/>
                    <w:bottom w:val="none" w:sz="0" w:space="0" w:color="auto"/>
                    <w:right w:val="none" w:sz="0" w:space="0" w:color="auto"/>
                  </w:divBdr>
                </w:div>
                <w:div w:id="390464274">
                  <w:marLeft w:val="480"/>
                  <w:marRight w:val="0"/>
                  <w:marTop w:val="0"/>
                  <w:marBottom w:val="0"/>
                  <w:divBdr>
                    <w:top w:val="none" w:sz="0" w:space="0" w:color="auto"/>
                    <w:left w:val="none" w:sz="0" w:space="0" w:color="auto"/>
                    <w:bottom w:val="none" w:sz="0" w:space="0" w:color="auto"/>
                    <w:right w:val="none" w:sz="0" w:space="0" w:color="auto"/>
                  </w:divBdr>
                </w:div>
                <w:div w:id="267589441">
                  <w:marLeft w:val="480"/>
                  <w:marRight w:val="0"/>
                  <w:marTop w:val="0"/>
                  <w:marBottom w:val="0"/>
                  <w:divBdr>
                    <w:top w:val="none" w:sz="0" w:space="0" w:color="auto"/>
                    <w:left w:val="none" w:sz="0" w:space="0" w:color="auto"/>
                    <w:bottom w:val="none" w:sz="0" w:space="0" w:color="auto"/>
                    <w:right w:val="none" w:sz="0" w:space="0" w:color="auto"/>
                  </w:divBdr>
                </w:div>
                <w:div w:id="1862863992">
                  <w:marLeft w:val="480"/>
                  <w:marRight w:val="0"/>
                  <w:marTop w:val="0"/>
                  <w:marBottom w:val="0"/>
                  <w:divBdr>
                    <w:top w:val="none" w:sz="0" w:space="0" w:color="auto"/>
                    <w:left w:val="none" w:sz="0" w:space="0" w:color="auto"/>
                    <w:bottom w:val="none" w:sz="0" w:space="0" w:color="auto"/>
                    <w:right w:val="none" w:sz="0" w:space="0" w:color="auto"/>
                  </w:divBdr>
                </w:div>
                <w:div w:id="1636372842">
                  <w:marLeft w:val="480"/>
                  <w:marRight w:val="0"/>
                  <w:marTop w:val="0"/>
                  <w:marBottom w:val="0"/>
                  <w:divBdr>
                    <w:top w:val="none" w:sz="0" w:space="0" w:color="auto"/>
                    <w:left w:val="none" w:sz="0" w:space="0" w:color="auto"/>
                    <w:bottom w:val="none" w:sz="0" w:space="0" w:color="auto"/>
                    <w:right w:val="none" w:sz="0" w:space="0" w:color="auto"/>
                  </w:divBdr>
                </w:div>
                <w:div w:id="458689556">
                  <w:marLeft w:val="480"/>
                  <w:marRight w:val="0"/>
                  <w:marTop w:val="0"/>
                  <w:marBottom w:val="0"/>
                  <w:divBdr>
                    <w:top w:val="none" w:sz="0" w:space="0" w:color="auto"/>
                    <w:left w:val="none" w:sz="0" w:space="0" w:color="auto"/>
                    <w:bottom w:val="none" w:sz="0" w:space="0" w:color="auto"/>
                    <w:right w:val="none" w:sz="0" w:space="0" w:color="auto"/>
                  </w:divBdr>
                </w:div>
                <w:div w:id="813067597">
                  <w:marLeft w:val="480"/>
                  <w:marRight w:val="0"/>
                  <w:marTop w:val="0"/>
                  <w:marBottom w:val="0"/>
                  <w:divBdr>
                    <w:top w:val="none" w:sz="0" w:space="0" w:color="auto"/>
                    <w:left w:val="none" w:sz="0" w:space="0" w:color="auto"/>
                    <w:bottom w:val="none" w:sz="0" w:space="0" w:color="auto"/>
                    <w:right w:val="none" w:sz="0" w:space="0" w:color="auto"/>
                  </w:divBdr>
                </w:div>
                <w:div w:id="1506869741">
                  <w:marLeft w:val="480"/>
                  <w:marRight w:val="0"/>
                  <w:marTop w:val="0"/>
                  <w:marBottom w:val="0"/>
                  <w:divBdr>
                    <w:top w:val="none" w:sz="0" w:space="0" w:color="auto"/>
                    <w:left w:val="none" w:sz="0" w:space="0" w:color="auto"/>
                    <w:bottom w:val="none" w:sz="0" w:space="0" w:color="auto"/>
                    <w:right w:val="none" w:sz="0" w:space="0" w:color="auto"/>
                  </w:divBdr>
                </w:div>
                <w:div w:id="2031947401">
                  <w:marLeft w:val="480"/>
                  <w:marRight w:val="0"/>
                  <w:marTop w:val="0"/>
                  <w:marBottom w:val="0"/>
                  <w:divBdr>
                    <w:top w:val="none" w:sz="0" w:space="0" w:color="auto"/>
                    <w:left w:val="none" w:sz="0" w:space="0" w:color="auto"/>
                    <w:bottom w:val="none" w:sz="0" w:space="0" w:color="auto"/>
                    <w:right w:val="none" w:sz="0" w:space="0" w:color="auto"/>
                  </w:divBdr>
                </w:div>
                <w:div w:id="1533347549">
                  <w:marLeft w:val="480"/>
                  <w:marRight w:val="0"/>
                  <w:marTop w:val="0"/>
                  <w:marBottom w:val="0"/>
                  <w:divBdr>
                    <w:top w:val="none" w:sz="0" w:space="0" w:color="auto"/>
                    <w:left w:val="none" w:sz="0" w:space="0" w:color="auto"/>
                    <w:bottom w:val="none" w:sz="0" w:space="0" w:color="auto"/>
                    <w:right w:val="none" w:sz="0" w:space="0" w:color="auto"/>
                  </w:divBdr>
                </w:div>
                <w:div w:id="343823952">
                  <w:marLeft w:val="480"/>
                  <w:marRight w:val="0"/>
                  <w:marTop w:val="0"/>
                  <w:marBottom w:val="0"/>
                  <w:divBdr>
                    <w:top w:val="none" w:sz="0" w:space="0" w:color="auto"/>
                    <w:left w:val="none" w:sz="0" w:space="0" w:color="auto"/>
                    <w:bottom w:val="none" w:sz="0" w:space="0" w:color="auto"/>
                    <w:right w:val="none" w:sz="0" w:space="0" w:color="auto"/>
                  </w:divBdr>
                </w:div>
                <w:div w:id="38358250">
                  <w:marLeft w:val="480"/>
                  <w:marRight w:val="0"/>
                  <w:marTop w:val="0"/>
                  <w:marBottom w:val="0"/>
                  <w:divBdr>
                    <w:top w:val="none" w:sz="0" w:space="0" w:color="auto"/>
                    <w:left w:val="none" w:sz="0" w:space="0" w:color="auto"/>
                    <w:bottom w:val="none" w:sz="0" w:space="0" w:color="auto"/>
                    <w:right w:val="none" w:sz="0" w:space="0" w:color="auto"/>
                  </w:divBdr>
                </w:div>
                <w:div w:id="1196118615">
                  <w:marLeft w:val="480"/>
                  <w:marRight w:val="0"/>
                  <w:marTop w:val="0"/>
                  <w:marBottom w:val="0"/>
                  <w:divBdr>
                    <w:top w:val="none" w:sz="0" w:space="0" w:color="auto"/>
                    <w:left w:val="none" w:sz="0" w:space="0" w:color="auto"/>
                    <w:bottom w:val="none" w:sz="0" w:space="0" w:color="auto"/>
                    <w:right w:val="none" w:sz="0" w:space="0" w:color="auto"/>
                  </w:divBdr>
                </w:div>
                <w:div w:id="1597640020">
                  <w:marLeft w:val="480"/>
                  <w:marRight w:val="0"/>
                  <w:marTop w:val="0"/>
                  <w:marBottom w:val="0"/>
                  <w:divBdr>
                    <w:top w:val="none" w:sz="0" w:space="0" w:color="auto"/>
                    <w:left w:val="none" w:sz="0" w:space="0" w:color="auto"/>
                    <w:bottom w:val="none" w:sz="0" w:space="0" w:color="auto"/>
                    <w:right w:val="none" w:sz="0" w:space="0" w:color="auto"/>
                  </w:divBdr>
                </w:div>
                <w:div w:id="1675261153">
                  <w:marLeft w:val="480"/>
                  <w:marRight w:val="0"/>
                  <w:marTop w:val="0"/>
                  <w:marBottom w:val="0"/>
                  <w:divBdr>
                    <w:top w:val="none" w:sz="0" w:space="0" w:color="auto"/>
                    <w:left w:val="none" w:sz="0" w:space="0" w:color="auto"/>
                    <w:bottom w:val="none" w:sz="0" w:space="0" w:color="auto"/>
                    <w:right w:val="none" w:sz="0" w:space="0" w:color="auto"/>
                  </w:divBdr>
                </w:div>
                <w:div w:id="326371145">
                  <w:marLeft w:val="480"/>
                  <w:marRight w:val="0"/>
                  <w:marTop w:val="0"/>
                  <w:marBottom w:val="0"/>
                  <w:divBdr>
                    <w:top w:val="none" w:sz="0" w:space="0" w:color="auto"/>
                    <w:left w:val="none" w:sz="0" w:space="0" w:color="auto"/>
                    <w:bottom w:val="none" w:sz="0" w:space="0" w:color="auto"/>
                    <w:right w:val="none" w:sz="0" w:space="0" w:color="auto"/>
                  </w:divBdr>
                </w:div>
                <w:div w:id="2127236972">
                  <w:marLeft w:val="480"/>
                  <w:marRight w:val="0"/>
                  <w:marTop w:val="0"/>
                  <w:marBottom w:val="0"/>
                  <w:divBdr>
                    <w:top w:val="none" w:sz="0" w:space="0" w:color="auto"/>
                    <w:left w:val="none" w:sz="0" w:space="0" w:color="auto"/>
                    <w:bottom w:val="none" w:sz="0" w:space="0" w:color="auto"/>
                    <w:right w:val="none" w:sz="0" w:space="0" w:color="auto"/>
                  </w:divBdr>
                </w:div>
                <w:div w:id="1082023455">
                  <w:marLeft w:val="480"/>
                  <w:marRight w:val="0"/>
                  <w:marTop w:val="0"/>
                  <w:marBottom w:val="0"/>
                  <w:divBdr>
                    <w:top w:val="none" w:sz="0" w:space="0" w:color="auto"/>
                    <w:left w:val="none" w:sz="0" w:space="0" w:color="auto"/>
                    <w:bottom w:val="none" w:sz="0" w:space="0" w:color="auto"/>
                    <w:right w:val="none" w:sz="0" w:space="0" w:color="auto"/>
                  </w:divBdr>
                </w:div>
                <w:div w:id="370885688">
                  <w:marLeft w:val="480"/>
                  <w:marRight w:val="0"/>
                  <w:marTop w:val="0"/>
                  <w:marBottom w:val="0"/>
                  <w:divBdr>
                    <w:top w:val="none" w:sz="0" w:space="0" w:color="auto"/>
                    <w:left w:val="none" w:sz="0" w:space="0" w:color="auto"/>
                    <w:bottom w:val="none" w:sz="0" w:space="0" w:color="auto"/>
                    <w:right w:val="none" w:sz="0" w:space="0" w:color="auto"/>
                  </w:divBdr>
                </w:div>
                <w:div w:id="1438334716">
                  <w:marLeft w:val="480"/>
                  <w:marRight w:val="0"/>
                  <w:marTop w:val="0"/>
                  <w:marBottom w:val="0"/>
                  <w:divBdr>
                    <w:top w:val="none" w:sz="0" w:space="0" w:color="auto"/>
                    <w:left w:val="none" w:sz="0" w:space="0" w:color="auto"/>
                    <w:bottom w:val="none" w:sz="0" w:space="0" w:color="auto"/>
                    <w:right w:val="none" w:sz="0" w:space="0" w:color="auto"/>
                  </w:divBdr>
                </w:div>
                <w:div w:id="1015113559">
                  <w:marLeft w:val="480"/>
                  <w:marRight w:val="0"/>
                  <w:marTop w:val="0"/>
                  <w:marBottom w:val="0"/>
                  <w:divBdr>
                    <w:top w:val="none" w:sz="0" w:space="0" w:color="auto"/>
                    <w:left w:val="none" w:sz="0" w:space="0" w:color="auto"/>
                    <w:bottom w:val="none" w:sz="0" w:space="0" w:color="auto"/>
                    <w:right w:val="none" w:sz="0" w:space="0" w:color="auto"/>
                  </w:divBdr>
                </w:div>
                <w:div w:id="570045133">
                  <w:marLeft w:val="480"/>
                  <w:marRight w:val="0"/>
                  <w:marTop w:val="0"/>
                  <w:marBottom w:val="0"/>
                  <w:divBdr>
                    <w:top w:val="none" w:sz="0" w:space="0" w:color="auto"/>
                    <w:left w:val="none" w:sz="0" w:space="0" w:color="auto"/>
                    <w:bottom w:val="none" w:sz="0" w:space="0" w:color="auto"/>
                    <w:right w:val="none" w:sz="0" w:space="0" w:color="auto"/>
                  </w:divBdr>
                </w:div>
                <w:div w:id="288323743">
                  <w:marLeft w:val="480"/>
                  <w:marRight w:val="0"/>
                  <w:marTop w:val="0"/>
                  <w:marBottom w:val="0"/>
                  <w:divBdr>
                    <w:top w:val="none" w:sz="0" w:space="0" w:color="auto"/>
                    <w:left w:val="none" w:sz="0" w:space="0" w:color="auto"/>
                    <w:bottom w:val="none" w:sz="0" w:space="0" w:color="auto"/>
                    <w:right w:val="none" w:sz="0" w:space="0" w:color="auto"/>
                  </w:divBdr>
                </w:div>
                <w:div w:id="991104678">
                  <w:marLeft w:val="480"/>
                  <w:marRight w:val="0"/>
                  <w:marTop w:val="0"/>
                  <w:marBottom w:val="0"/>
                  <w:divBdr>
                    <w:top w:val="none" w:sz="0" w:space="0" w:color="auto"/>
                    <w:left w:val="none" w:sz="0" w:space="0" w:color="auto"/>
                    <w:bottom w:val="none" w:sz="0" w:space="0" w:color="auto"/>
                    <w:right w:val="none" w:sz="0" w:space="0" w:color="auto"/>
                  </w:divBdr>
                </w:div>
                <w:div w:id="1973321095">
                  <w:marLeft w:val="480"/>
                  <w:marRight w:val="0"/>
                  <w:marTop w:val="0"/>
                  <w:marBottom w:val="0"/>
                  <w:divBdr>
                    <w:top w:val="none" w:sz="0" w:space="0" w:color="auto"/>
                    <w:left w:val="none" w:sz="0" w:space="0" w:color="auto"/>
                    <w:bottom w:val="none" w:sz="0" w:space="0" w:color="auto"/>
                    <w:right w:val="none" w:sz="0" w:space="0" w:color="auto"/>
                  </w:divBdr>
                </w:div>
                <w:div w:id="20783329">
                  <w:marLeft w:val="480"/>
                  <w:marRight w:val="0"/>
                  <w:marTop w:val="0"/>
                  <w:marBottom w:val="0"/>
                  <w:divBdr>
                    <w:top w:val="none" w:sz="0" w:space="0" w:color="auto"/>
                    <w:left w:val="none" w:sz="0" w:space="0" w:color="auto"/>
                    <w:bottom w:val="none" w:sz="0" w:space="0" w:color="auto"/>
                    <w:right w:val="none" w:sz="0" w:space="0" w:color="auto"/>
                  </w:divBdr>
                </w:div>
                <w:div w:id="1113086446">
                  <w:marLeft w:val="480"/>
                  <w:marRight w:val="0"/>
                  <w:marTop w:val="0"/>
                  <w:marBottom w:val="0"/>
                  <w:divBdr>
                    <w:top w:val="none" w:sz="0" w:space="0" w:color="auto"/>
                    <w:left w:val="none" w:sz="0" w:space="0" w:color="auto"/>
                    <w:bottom w:val="none" w:sz="0" w:space="0" w:color="auto"/>
                    <w:right w:val="none" w:sz="0" w:space="0" w:color="auto"/>
                  </w:divBdr>
                </w:div>
                <w:div w:id="1593199454">
                  <w:marLeft w:val="480"/>
                  <w:marRight w:val="0"/>
                  <w:marTop w:val="0"/>
                  <w:marBottom w:val="0"/>
                  <w:divBdr>
                    <w:top w:val="none" w:sz="0" w:space="0" w:color="auto"/>
                    <w:left w:val="none" w:sz="0" w:space="0" w:color="auto"/>
                    <w:bottom w:val="none" w:sz="0" w:space="0" w:color="auto"/>
                    <w:right w:val="none" w:sz="0" w:space="0" w:color="auto"/>
                  </w:divBdr>
                </w:div>
                <w:div w:id="73472443">
                  <w:marLeft w:val="480"/>
                  <w:marRight w:val="0"/>
                  <w:marTop w:val="0"/>
                  <w:marBottom w:val="0"/>
                  <w:divBdr>
                    <w:top w:val="none" w:sz="0" w:space="0" w:color="auto"/>
                    <w:left w:val="none" w:sz="0" w:space="0" w:color="auto"/>
                    <w:bottom w:val="none" w:sz="0" w:space="0" w:color="auto"/>
                    <w:right w:val="none" w:sz="0" w:space="0" w:color="auto"/>
                  </w:divBdr>
                </w:div>
                <w:div w:id="67075879">
                  <w:marLeft w:val="480"/>
                  <w:marRight w:val="0"/>
                  <w:marTop w:val="0"/>
                  <w:marBottom w:val="0"/>
                  <w:divBdr>
                    <w:top w:val="none" w:sz="0" w:space="0" w:color="auto"/>
                    <w:left w:val="none" w:sz="0" w:space="0" w:color="auto"/>
                    <w:bottom w:val="none" w:sz="0" w:space="0" w:color="auto"/>
                    <w:right w:val="none" w:sz="0" w:space="0" w:color="auto"/>
                  </w:divBdr>
                </w:div>
                <w:div w:id="1157263105">
                  <w:marLeft w:val="480"/>
                  <w:marRight w:val="0"/>
                  <w:marTop w:val="0"/>
                  <w:marBottom w:val="0"/>
                  <w:divBdr>
                    <w:top w:val="none" w:sz="0" w:space="0" w:color="auto"/>
                    <w:left w:val="none" w:sz="0" w:space="0" w:color="auto"/>
                    <w:bottom w:val="none" w:sz="0" w:space="0" w:color="auto"/>
                    <w:right w:val="none" w:sz="0" w:space="0" w:color="auto"/>
                  </w:divBdr>
                </w:div>
                <w:div w:id="1051004315">
                  <w:marLeft w:val="480"/>
                  <w:marRight w:val="0"/>
                  <w:marTop w:val="0"/>
                  <w:marBottom w:val="0"/>
                  <w:divBdr>
                    <w:top w:val="none" w:sz="0" w:space="0" w:color="auto"/>
                    <w:left w:val="none" w:sz="0" w:space="0" w:color="auto"/>
                    <w:bottom w:val="none" w:sz="0" w:space="0" w:color="auto"/>
                    <w:right w:val="none" w:sz="0" w:space="0" w:color="auto"/>
                  </w:divBdr>
                </w:div>
                <w:div w:id="1528986117">
                  <w:marLeft w:val="480"/>
                  <w:marRight w:val="0"/>
                  <w:marTop w:val="0"/>
                  <w:marBottom w:val="0"/>
                  <w:divBdr>
                    <w:top w:val="none" w:sz="0" w:space="0" w:color="auto"/>
                    <w:left w:val="none" w:sz="0" w:space="0" w:color="auto"/>
                    <w:bottom w:val="none" w:sz="0" w:space="0" w:color="auto"/>
                    <w:right w:val="none" w:sz="0" w:space="0" w:color="auto"/>
                  </w:divBdr>
                </w:div>
                <w:div w:id="64451950">
                  <w:marLeft w:val="480"/>
                  <w:marRight w:val="0"/>
                  <w:marTop w:val="0"/>
                  <w:marBottom w:val="0"/>
                  <w:divBdr>
                    <w:top w:val="none" w:sz="0" w:space="0" w:color="auto"/>
                    <w:left w:val="none" w:sz="0" w:space="0" w:color="auto"/>
                    <w:bottom w:val="none" w:sz="0" w:space="0" w:color="auto"/>
                    <w:right w:val="none" w:sz="0" w:space="0" w:color="auto"/>
                  </w:divBdr>
                </w:div>
                <w:div w:id="1196842670">
                  <w:marLeft w:val="480"/>
                  <w:marRight w:val="0"/>
                  <w:marTop w:val="0"/>
                  <w:marBottom w:val="0"/>
                  <w:divBdr>
                    <w:top w:val="none" w:sz="0" w:space="0" w:color="auto"/>
                    <w:left w:val="none" w:sz="0" w:space="0" w:color="auto"/>
                    <w:bottom w:val="none" w:sz="0" w:space="0" w:color="auto"/>
                    <w:right w:val="none" w:sz="0" w:space="0" w:color="auto"/>
                  </w:divBdr>
                </w:div>
                <w:div w:id="804201345">
                  <w:marLeft w:val="480"/>
                  <w:marRight w:val="0"/>
                  <w:marTop w:val="0"/>
                  <w:marBottom w:val="0"/>
                  <w:divBdr>
                    <w:top w:val="none" w:sz="0" w:space="0" w:color="auto"/>
                    <w:left w:val="none" w:sz="0" w:space="0" w:color="auto"/>
                    <w:bottom w:val="none" w:sz="0" w:space="0" w:color="auto"/>
                    <w:right w:val="none" w:sz="0" w:space="0" w:color="auto"/>
                  </w:divBdr>
                </w:div>
                <w:div w:id="455178638">
                  <w:marLeft w:val="480"/>
                  <w:marRight w:val="0"/>
                  <w:marTop w:val="0"/>
                  <w:marBottom w:val="0"/>
                  <w:divBdr>
                    <w:top w:val="none" w:sz="0" w:space="0" w:color="auto"/>
                    <w:left w:val="none" w:sz="0" w:space="0" w:color="auto"/>
                    <w:bottom w:val="none" w:sz="0" w:space="0" w:color="auto"/>
                    <w:right w:val="none" w:sz="0" w:space="0" w:color="auto"/>
                  </w:divBdr>
                </w:div>
                <w:div w:id="2127843443">
                  <w:marLeft w:val="480"/>
                  <w:marRight w:val="0"/>
                  <w:marTop w:val="0"/>
                  <w:marBottom w:val="0"/>
                  <w:divBdr>
                    <w:top w:val="none" w:sz="0" w:space="0" w:color="auto"/>
                    <w:left w:val="none" w:sz="0" w:space="0" w:color="auto"/>
                    <w:bottom w:val="none" w:sz="0" w:space="0" w:color="auto"/>
                    <w:right w:val="none" w:sz="0" w:space="0" w:color="auto"/>
                  </w:divBdr>
                </w:div>
                <w:div w:id="192502400">
                  <w:marLeft w:val="480"/>
                  <w:marRight w:val="0"/>
                  <w:marTop w:val="0"/>
                  <w:marBottom w:val="0"/>
                  <w:divBdr>
                    <w:top w:val="none" w:sz="0" w:space="0" w:color="auto"/>
                    <w:left w:val="none" w:sz="0" w:space="0" w:color="auto"/>
                    <w:bottom w:val="none" w:sz="0" w:space="0" w:color="auto"/>
                    <w:right w:val="none" w:sz="0" w:space="0" w:color="auto"/>
                  </w:divBdr>
                </w:div>
                <w:div w:id="51664581">
                  <w:marLeft w:val="480"/>
                  <w:marRight w:val="0"/>
                  <w:marTop w:val="0"/>
                  <w:marBottom w:val="0"/>
                  <w:divBdr>
                    <w:top w:val="none" w:sz="0" w:space="0" w:color="auto"/>
                    <w:left w:val="none" w:sz="0" w:space="0" w:color="auto"/>
                    <w:bottom w:val="none" w:sz="0" w:space="0" w:color="auto"/>
                    <w:right w:val="none" w:sz="0" w:space="0" w:color="auto"/>
                  </w:divBdr>
                </w:div>
                <w:div w:id="2001151902">
                  <w:marLeft w:val="480"/>
                  <w:marRight w:val="0"/>
                  <w:marTop w:val="0"/>
                  <w:marBottom w:val="0"/>
                  <w:divBdr>
                    <w:top w:val="none" w:sz="0" w:space="0" w:color="auto"/>
                    <w:left w:val="none" w:sz="0" w:space="0" w:color="auto"/>
                    <w:bottom w:val="none" w:sz="0" w:space="0" w:color="auto"/>
                    <w:right w:val="none" w:sz="0" w:space="0" w:color="auto"/>
                  </w:divBdr>
                </w:div>
                <w:div w:id="376591340">
                  <w:marLeft w:val="480"/>
                  <w:marRight w:val="0"/>
                  <w:marTop w:val="0"/>
                  <w:marBottom w:val="0"/>
                  <w:divBdr>
                    <w:top w:val="none" w:sz="0" w:space="0" w:color="auto"/>
                    <w:left w:val="none" w:sz="0" w:space="0" w:color="auto"/>
                    <w:bottom w:val="none" w:sz="0" w:space="0" w:color="auto"/>
                    <w:right w:val="none" w:sz="0" w:space="0" w:color="auto"/>
                  </w:divBdr>
                </w:div>
                <w:div w:id="1850749336">
                  <w:marLeft w:val="480"/>
                  <w:marRight w:val="0"/>
                  <w:marTop w:val="0"/>
                  <w:marBottom w:val="0"/>
                  <w:divBdr>
                    <w:top w:val="none" w:sz="0" w:space="0" w:color="auto"/>
                    <w:left w:val="none" w:sz="0" w:space="0" w:color="auto"/>
                    <w:bottom w:val="none" w:sz="0" w:space="0" w:color="auto"/>
                    <w:right w:val="none" w:sz="0" w:space="0" w:color="auto"/>
                  </w:divBdr>
                </w:div>
                <w:div w:id="2056344058">
                  <w:marLeft w:val="480"/>
                  <w:marRight w:val="0"/>
                  <w:marTop w:val="0"/>
                  <w:marBottom w:val="0"/>
                  <w:divBdr>
                    <w:top w:val="none" w:sz="0" w:space="0" w:color="auto"/>
                    <w:left w:val="none" w:sz="0" w:space="0" w:color="auto"/>
                    <w:bottom w:val="none" w:sz="0" w:space="0" w:color="auto"/>
                    <w:right w:val="none" w:sz="0" w:space="0" w:color="auto"/>
                  </w:divBdr>
                </w:div>
                <w:div w:id="1419787575">
                  <w:marLeft w:val="480"/>
                  <w:marRight w:val="0"/>
                  <w:marTop w:val="0"/>
                  <w:marBottom w:val="0"/>
                  <w:divBdr>
                    <w:top w:val="none" w:sz="0" w:space="0" w:color="auto"/>
                    <w:left w:val="none" w:sz="0" w:space="0" w:color="auto"/>
                    <w:bottom w:val="none" w:sz="0" w:space="0" w:color="auto"/>
                    <w:right w:val="none" w:sz="0" w:space="0" w:color="auto"/>
                  </w:divBdr>
                </w:div>
                <w:div w:id="1034690218">
                  <w:marLeft w:val="480"/>
                  <w:marRight w:val="0"/>
                  <w:marTop w:val="0"/>
                  <w:marBottom w:val="0"/>
                  <w:divBdr>
                    <w:top w:val="none" w:sz="0" w:space="0" w:color="auto"/>
                    <w:left w:val="none" w:sz="0" w:space="0" w:color="auto"/>
                    <w:bottom w:val="none" w:sz="0" w:space="0" w:color="auto"/>
                    <w:right w:val="none" w:sz="0" w:space="0" w:color="auto"/>
                  </w:divBdr>
                </w:div>
                <w:div w:id="626282520">
                  <w:marLeft w:val="480"/>
                  <w:marRight w:val="0"/>
                  <w:marTop w:val="0"/>
                  <w:marBottom w:val="0"/>
                  <w:divBdr>
                    <w:top w:val="none" w:sz="0" w:space="0" w:color="auto"/>
                    <w:left w:val="none" w:sz="0" w:space="0" w:color="auto"/>
                    <w:bottom w:val="none" w:sz="0" w:space="0" w:color="auto"/>
                    <w:right w:val="none" w:sz="0" w:space="0" w:color="auto"/>
                  </w:divBdr>
                </w:div>
                <w:div w:id="333460098">
                  <w:marLeft w:val="480"/>
                  <w:marRight w:val="0"/>
                  <w:marTop w:val="0"/>
                  <w:marBottom w:val="0"/>
                  <w:divBdr>
                    <w:top w:val="none" w:sz="0" w:space="0" w:color="auto"/>
                    <w:left w:val="none" w:sz="0" w:space="0" w:color="auto"/>
                    <w:bottom w:val="none" w:sz="0" w:space="0" w:color="auto"/>
                    <w:right w:val="none" w:sz="0" w:space="0" w:color="auto"/>
                  </w:divBdr>
                </w:div>
                <w:div w:id="1757286541">
                  <w:marLeft w:val="480"/>
                  <w:marRight w:val="0"/>
                  <w:marTop w:val="0"/>
                  <w:marBottom w:val="0"/>
                  <w:divBdr>
                    <w:top w:val="none" w:sz="0" w:space="0" w:color="auto"/>
                    <w:left w:val="none" w:sz="0" w:space="0" w:color="auto"/>
                    <w:bottom w:val="none" w:sz="0" w:space="0" w:color="auto"/>
                    <w:right w:val="none" w:sz="0" w:space="0" w:color="auto"/>
                  </w:divBdr>
                </w:div>
                <w:div w:id="735326844">
                  <w:marLeft w:val="480"/>
                  <w:marRight w:val="0"/>
                  <w:marTop w:val="0"/>
                  <w:marBottom w:val="0"/>
                  <w:divBdr>
                    <w:top w:val="none" w:sz="0" w:space="0" w:color="auto"/>
                    <w:left w:val="none" w:sz="0" w:space="0" w:color="auto"/>
                    <w:bottom w:val="none" w:sz="0" w:space="0" w:color="auto"/>
                    <w:right w:val="none" w:sz="0" w:space="0" w:color="auto"/>
                  </w:divBdr>
                </w:div>
                <w:div w:id="1257514230">
                  <w:marLeft w:val="480"/>
                  <w:marRight w:val="0"/>
                  <w:marTop w:val="0"/>
                  <w:marBottom w:val="0"/>
                  <w:divBdr>
                    <w:top w:val="none" w:sz="0" w:space="0" w:color="auto"/>
                    <w:left w:val="none" w:sz="0" w:space="0" w:color="auto"/>
                    <w:bottom w:val="none" w:sz="0" w:space="0" w:color="auto"/>
                    <w:right w:val="none" w:sz="0" w:space="0" w:color="auto"/>
                  </w:divBdr>
                </w:div>
                <w:div w:id="1133788950">
                  <w:marLeft w:val="480"/>
                  <w:marRight w:val="0"/>
                  <w:marTop w:val="0"/>
                  <w:marBottom w:val="0"/>
                  <w:divBdr>
                    <w:top w:val="none" w:sz="0" w:space="0" w:color="auto"/>
                    <w:left w:val="none" w:sz="0" w:space="0" w:color="auto"/>
                    <w:bottom w:val="none" w:sz="0" w:space="0" w:color="auto"/>
                    <w:right w:val="none" w:sz="0" w:space="0" w:color="auto"/>
                  </w:divBdr>
                </w:div>
                <w:div w:id="722488681">
                  <w:marLeft w:val="480"/>
                  <w:marRight w:val="0"/>
                  <w:marTop w:val="0"/>
                  <w:marBottom w:val="0"/>
                  <w:divBdr>
                    <w:top w:val="none" w:sz="0" w:space="0" w:color="auto"/>
                    <w:left w:val="none" w:sz="0" w:space="0" w:color="auto"/>
                    <w:bottom w:val="none" w:sz="0" w:space="0" w:color="auto"/>
                    <w:right w:val="none" w:sz="0" w:space="0" w:color="auto"/>
                  </w:divBdr>
                </w:div>
                <w:div w:id="816185866">
                  <w:marLeft w:val="480"/>
                  <w:marRight w:val="0"/>
                  <w:marTop w:val="0"/>
                  <w:marBottom w:val="0"/>
                  <w:divBdr>
                    <w:top w:val="none" w:sz="0" w:space="0" w:color="auto"/>
                    <w:left w:val="none" w:sz="0" w:space="0" w:color="auto"/>
                    <w:bottom w:val="none" w:sz="0" w:space="0" w:color="auto"/>
                    <w:right w:val="none" w:sz="0" w:space="0" w:color="auto"/>
                  </w:divBdr>
                </w:div>
                <w:div w:id="1329334359">
                  <w:marLeft w:val="480"/>
                  <w:marRight w:val="0"/>
                  <w:marTop w:val="0"/>
                  <w:marBottom w:val="0"/>
                  <w:divBdr>
                    <w:top w:val="none" w:sz="0" w:space="0" w:color="auto"/>
                    <w:left w:val="none" w:sz="0" w:space="0" w:color="auto"/>
                    <w:bottom w:val="none" w:sz="0" w:space="0" w:color="auto"/>
                    <w:right w:val="none" w:sz="0" w:space="0" w:color="auto"/>
                  </w:divBdr>
                </w:div>
                <w:div w:id="1514686929">
                  <w:marLeft w:val="480"/>
                  <w:marRight w:val="0"/>
                  <w:marTop w:val="0"/>
                  <w:marBottom w:val="0"/>
                  <w:divBdr>
                    <w:top w:val="none" w:sz="0" w:space="0" w:color="auto"/>
                    <w:left w:val="none" w:sz="0" w:space="0" w:color="auto"/>
                    <w:bottom w:val="none" w:sz="0" w:space="0" w:color="auto"/>
                    <w:right w:val="none" w:sz="0" w:space="0" w:color="auto"/>
                  </w:divBdr>
                </w:div>
                <w:div w:id="1480658149">
                  <w:marLeft w:val="480"/>
                  <w:marRight w:val="0"/>
                  <w:marTop w:val="0"/>
                  <w:marBottom w:val="0"/>
                  <w:divBdr>
                    <w:top w:val="none" w:sz="0" w:space="0" w:color="auto"/>
                    <w:left w:val="none" w:sz="0" w:space="0" w:color="auto"/>
                    <w:bottom w:val="none" w:sz="0" w:space="0" w:color="auto"/>
                    <w:right w:val="none" w:sz="0" w:space="0" w:color="auto"/>
                  </w:divBdr>
                </w:div>
                <w:div w:id="613177126">
                  <w:marLeft w:val="480"/>
                  <w:marRight w:val="0"/>
                  <w:marTop w:val="0"/>
                  <w:marBottom w:val="0"/>
                  <w:divBdr>
                    <w:top w:val="none" w:sz="0" w:space="0" w:color="auto"/>
                    <w:left w:val="none" w:sz="0" w:space="0" w:color="auto"/>
                    <w:bottom w:val="none" w:sz="0" w:space="0" w:color="auto"/>
                    <w:right w:val="none" w:sz="0" w:space="0" w:color="auto"/>
                  </w:divBdr>
                </w:div>
                <w:div w:id="1114710200">
                  <w:marLeft w:val="480"/>
                  <w:marRight w:val="0"/>
                  <w:marTop w:val="0"/>
                  <w:marBottom w:val="0"/>
                  <w:divBdr>
                    <w:top w:val="none" w:sz="0" w:space="0" w:color="auto"/>
                    <w:left w:val="none" w:sz="0" w:space="0" w:color="auto"/>
                    <w:bottom w:val="none" w:sz="0" w:space="0" w:color="auto"/>
                    <w:right w:val="none" w:sz="0" w:space="0" w:color="auto"/>
                  </w:divBdr>
                </w:div>
                <w:div w:id="1129199580">
                  <w:marLeft w:val="480"/>
                  <w:marRight w:val="0"/>
                  <w:marTop w:val="0"/>
                  <w:marBottom w:val="0"/>
                  <w:divBdr>
                    <w:top w:val="none" w:sz="0" w:space="0" w:color="auto"/>
                    <w:left w:val="none" w:sz="0" w:space="0" w:color="auto"/>
                    <w:bottom w:val="none" w:sz="0" w:space="0" w:color="auto"/>
                    <w:right w:val="none" w:sz="0" w:space="0" w:color="auto"/>
                  </w:divBdr>
                </w:div>
                <w:div w:id="658078819">
                  <w:marLeft w:val="480"/>
                  <w:marRight w:val="0"/>
                  <w:marTop w:val="0"/>
                  <w:marBottom w:val="0"/>
                  <w:divBdr>
                    <w:top w:val="none" w:sz="0" w:space="0" w:color="auto"/>
                    <w:left w:val="none" w:sz="0" w:space="0" w:color="auto"/>
                    <w:bottom w:val="none" w:sz="0" w:space="0" w:color="auto"/>
                    <w:right w:val="none" w:sz="0" w:space="0" w:color="auto"/>
                  </w:divBdr>
                </w:div>
                <w:div w:id="1785076090">
                  <w:marLeft w:val="480"/>
                  <w:marRight w:val="0"/>
                  <w:marTop w:val="0"/>
                  <w:marBottom w:val="0"/>
                  <w:divBdr>
                    <w:top w:val="none" w:sz="0" w:space="0" w:color="auto"/>
                    <w:left w:val="none" w:sz="0" w:space="0" w:color="auto"/>
                    <w:bottom w:val="none" w:sz="0" w:space="0" w:color="auto"/>
                    <w:right w:val="none" w:sz="0" w:space="0" w:color="auto"/>
                  </w:divBdr>
                </w:div>
                <w:div w:id="1996761440">
                  <w:marLeft w:val="480"/>
                  <w:marRight w:val="0"/>
                  <w:marTop w:val="0"/>
                  <w:marBottom w:val="0"/>
                  <w:divBdr>
                    <w:top w:val="none" w:sz="0" w:space="0" w:color="auto"/>
                    <w:left w:val="none" w:sz="0" w:space="0" w:color="auto"/>
                    <w:bottom w:val="none" w:sz="0" w:space="0" w:color="auto"/>
                    <w:right w:val="none" w:sz="0" w:space="0" w:color="auto"/>
                  </w:divBdr>
                </w:div>
                <w:div w:id="218633607">
                  <w:marLeft w:val="480"/>
                  <w:marRight w:val="0"/>
                  <w:marTop w:val="0"/>
                  <w:marBottom w:val="0"/>
                  <w:divBdr>
                    <w:top w:val="none" w:sz="0" w:space="0" w:color="auto"/>
                    <w:left w:val="none" w:sz="0" w:space="0" w:color="auto"/>
                    <w:bottom w:val="none" w:sz="0" w:space="0" w:color="auto"/>
                    <w:right w:val="none" w:sz="0" w:space="0" w:color="auto"/>
                  </w:divBdr>
                </w:div>
                <w:div w:id="1981761054">
                  <w:marLeft w:val="480"/>
                  <w:marRight w:val="0"/>
                  <w:marTop w:val="0"/>
                  <w:marBottom w:val="0"/>
                  <w:divBdr>
                    <w:top w:val="none" w:sz="0" w:space="0" w:color="auto"/>
                    <w:left w:val="none" w:sz="0" w:space="0" w:color="auto"/>
                    <w:bottom w:val="none" w:sz="0" w:space="0" w:color="auto"/>
                    <w:right w:val="none" w:sz="0" w:space="0" w:color="auto"/>
                  </w:divBdr>
                </w:div>
                <w:div w:id="238096190">
                  <w:marLeft w:val="480"/>
                  <w:marRight w:val="0"/>
                  <w:marTop w:val="0"/>
                  <w:marBottom w:val="0"/>
                  <w:divBdr>
                    <w:top w:val="none" w:sz="0" w:space="0" w:color="auto"/>
                    <w:left w:val="none" w:sz="0" w:space="0" w:color="auto"/>
                    <w:bottom w:val="none" w:sz="0" w:space="0" w:color="auto"/>
                    <w:right w:val="none" w:sz="0" w:space="0" w:color="auto"/>
                  </w:divBdr>
                </w:div>
                <w:div w:id="1946694805">
                  <w:marLeft w:val="480"/>
                  <w:marRight w:val="0"/>
                  <w:marTop w:val="0"/>
                  <w:marBottom w:val="0"/>
                  <w:divBdr>
                    <w:top w:val="none" w:sz="0" w:space="0" w:color="auto"/>
                    <w:left w:val="none" w:sz="0" w:space="0" w:color="auto"/>
                    <w:bottom w:val="none" w:sz="0" w:space="0" w:color="auto"/>
                    <w:right w:val="none" w:sz="0" w:space="0" w:color="auto"/>
                  </w:divBdr>
                </w:div>
                <w:div w:id="1885634070">
                  <w:marLeft w:val="480"/>
                  <w:marRight w:val="0"/>
                  <w:marTop w:val="0"/>
                  <w:marBottom w:val="0"/>
                  <w:divBdr>
                    <w:top w:val="none" w:sz="0" w:space="0" w:color="auto"/>
                    <w:left w:val="none" w:sz="0" w:space="0" w:color="auto"/>
                    <w:bottom w:val="none" w:sz="0" w:space="0" w:color="auto"/>
                    <w:right w:val="none" w:sz="0" w:space="0" w:color="auto"/>
                  </w:divBdr>
                </w:div>
                <w:div w:id="129399002">
                  <w:marLeft w:val="480"/>
                  <w:marRight w:val="0"/>
                  <w:marTop w:val="0"/>
                  <w:marBottom w:val="0"/>
                  <w:divBdr>
                    <w:top w:val="none" w:sz="0" w:space="0" w:color="auto"/>
                    <w:left w:val="none" w:sz="0" w:space="0" w:color="auto"/>
                    <w:bottom w:val="none" w:sz="0" w:space="0" w:color="auto"/>
                    <w:right w:val="none" w:sz="0" w:space="0" w:color="auto"/>
                  </w:divBdr>
                </w:div>
                <w:div w:id="939996725">
                  <w:marLeft w:val="480"/>
                  <w:marRight w:val="0"/>
                  <w:marTop w:val="0"/>
                  <w:marBottom w:val="0"/>
                  <w:divBdr>
                    <w:top w:val="none" w:sz="0" w:space="0" w:color="auto"/>
                    <w:left w:val="none" w:sz="0" w:space="0" w:color="auto"/>
                    <w:bottom w:val="none" w:sz="0" w:space="0" w:color="auto"/>
                    <w:right w:val="none" w:sz="0" w:space="0" w:color="auto"/>
                  </w:divBdr>
                </w:div>
                <w:div w:id="2062822346">
                  <w:marLeft w:val="480"/>
                  <w:marRight w:val="0"/>
                  <w:marTop w:val="0"/>
                  <w:marBottom w:val="0"/>
                  <w:divBdr>
                    <w:top w:val="none" w:sz="0" w:space="0" w:color="auto"/>
                    <w:left w:val="none" w:sz="0" w:space="0" w:color="auto"/>
                    <w:bottom w:val="none" w:sz="0" w:space="0" w:color="auto"/>
                    <w:right w:val="none" w:sz="0" w:space="0" w:color="auto"/>
                  </w:divBdr>
                </w:div>
                <w:div w:id="1851946774">
                  <w:marLeft w:val="480"/>
                  <w:marRight w:val="0"/>
                  <w:marTop w:val="0"/>
                  <w:marBottom w:val="0"/>
                  <w:divBdr>
                    <w:top w:val="none" w:sz="0" w:space="0" w:color="auto"/>
                    <w:left w:val="none" w:sz="0" w:space="0" w:color="auto"/>
                    <w:bottom w:val="none" w:sz="0" w:space="0" w:color="auto"/>
                    <w:right w:val="none" w:sz="0" w:space="0" w:color="auto"/>
                  </w:divBdr>
                </w:div>
                <w:div w:id="545337851">
                  <w:marLeft w:val="480"/>
                  <w:marRight w:val="0"/>
                  <w:marTop w:val="0"/>
                  <w:marBottom w:val="0"/>
                  <w:divBdr>
                    <w:top w:val="none" w:sz="0" w:space="0" w:color="auto"/>
                    <w:left w:val="none" w:sz="0" w:space="0" w:color="auto"/>
                    <w:bottom w:val="none" w:sz="0" w:space="0" w:color="auto"/>
                    <w:right w:val="none" w:sz="0" w:space="0" w:color="auto"/>
                  </w:divBdr>
                </w:div>
                <w:div w:id="909734398">
                  <w:marLeft w:val="480"/>
                  <w:marRight w:val="0"/>
                  <w:marTop w:val="0"/>
                  <w:marBottom w:val="0"/>
                  <w:divBdr>
                    <w:top w:val="none" w:sz="0" w:space="0" w:color="auto"/>
                    <w:left w:val="none" w:sz="0" w:space="0" w:color="auto"/>
                    <w:bottom w:val="none" w:sz="0" w:space="0" w:color="auto"/>
                    <w:right w:val="none" w:sz="0" w:space="0" w:color="auto"/>
                  </w:divBdr>
                </w:div>
                <w:div w:id="994992631">
                  <w:marLeft w:val="480"/>
                  <w:marRight w:val="0"/>
                  <w:marTop w:val="0"/>
                  <w:marBottom w:val="0"/>
                  <w:divBdr>
                    <w:top w:val="none" w:sz="0" w:space="0" w:color="auto"/>
                    <w:left w:val="none" w:sz="0" w:space="0" w:color="auto"/>
                    <w:bottom w:val="none" w:sz="0" w:space="0" w:color="auto"/>
                    <w:right w:val="none" w:sz="0" w:space="0" w:color="auto"/>
                  </w:divBdr>
                </w:div>
                <w:div w:id="1697735693">
                  <w:marLeft w:val="480"/>
                  <w:marRight w:val="0"/>
                  <w:marTop w:val="0"/>
                  <w:marBottom w:val="0"/>
                  <w:divBdr>
                    <w:top w:val="none" w:sz="0" w:space="0" w:color="auto"/>
                    <w:left w:val="none" w:sz="0" w:space="0" w:color="auto"/>
                    <w:bottom w:val="none" w:sz="0" w:space="0" w:color="auto"/>
                    <w:right w:val="none" w:sz="0" w:space="0" w:color="auto"/>
                  </w:divBdr>
                </w:div>
                <w:div w:id="1865972193">
                  <w:marLeft w:val="480"/>
                  <w:marRight w:val="0"/>
                  <w:marTop w:val="0"/>
                  <w:marBottom w:val="0"/>
                  <w:divBdr>
                    <w:top w:val="none" w:sz="0" w:space="0" w:color="auto"/>
                    <w:left w:val="none" w:sz="0" w:space="0" w:color="auto"/>
                    <w:bottom w:val="none" w:sz="0" w:space="0" w:color="auto"/>
                    <w:right w:val="none" w:sz="0" w:space="0" w:color="auto"/>
                  </w:divBdr>
                </w:div>
                <w:div w:id="1152912098">
                  <w:marLeft w:val="480"/>
                  <w:marRight w:val="0"/>
                  <w:marTop w:val="0"/>
                  <w:marBottom w:val="0"/>
                  <w:divBdr>
                    <w:top w:val="none" w:sz="0" w:space="0" w:color="auto"/>
                    <w:left w:val="none" w:sz="0" w:space="0" w:color="auto"/>
                    <w:bottom w:val="none" w:sz="0" w:space="0" w:color="auto"/>
                    <w:right w:val="none" w:sz="0" w:space="0" w:color="auto"/>
                  </w:divBdr>
                </w:div>
                <w:div w:id="391539500">
                  <w:marLeft w:val="480"/>
                  <w:marRight w:val="0"/>
                  <w:marTop w:val="0"/>
                  <w:marBottom w:val="0"/>
                  <w:divBdr>
                    <w:top w:val="none" w:sz="0" w:space="0" w:color="auto"/>
                    <w:left w:val="none" w:sz="0" w:space="0" w:color="auto"/>
                    <w:bottom w:val="none" w:sz="0" w:space="0" w:color="auto"/>
                    <w:right w:val="none" w:sz="0" w:space="0" w:color="auto"/>
                  </w:divBdr>
                </w:div>
                <w:div w:id="1453985185">
                  <w:marLeft w:val="480"/>
                  <w:marRight w:val="0"/>
                  <w:marTop w:val="0"/>
                  <w:marBottom w:val="0"/>
                  <w:divBdr>
                    <w:top w:val="none" w:sz="0" w:space="0" w:color="auto"/>
                    <w:left w:val="none" w:sz="0" w:space="0" w:color="auto"/>
                    <w:bottom w:val="none" w:sz="0" w:space="0" w:color="auto"/>
                    <w:right w:val="none" w:sz="0" w:space="0" w:color="auto"/>
                  </w:divBdr>
                </w:div>
                <w:div w:id="877670914">
                  <w:marLeft w:val="480"/>
                  <w:marRight w:val="0"/>
                  <w:marTop w:val="0"/>
                  <w:marBottom w:val="0"/>
                  <w:divBdr>
                    <w:top w:val="none" w:sz="0" w:space="0" w:color="auto"/>
                    <w:left w:val="none" w:sz="0" w:space="0" w:color="auto"/>
                    <w:bottom w:val="none" w:sz="0" w:space="0" w:color="auto"/>
                    <w:right w:val="none" w:sz="0" w:space="0" w:color="auto"/>
                  </w:divBdr>
                </w:div>
                <w:div w:id="992216841">
                  <w:marLeft w:val="480"/>
                  <w:marRight w:val="0"/>
                  <w:marTop w:val="0"/>
                  <w:marBottom w:val="0"/>
                  <w:divBdr>
                    <w:top w:val="none" w:sz="0" w:space="0" w:color="auto"/>
                    <w:left w:val="none" w:sz="0" w:space="0" w:color="auto"/>
                    <w:bottom w:val="none" w:sz="0" w:space="0" w:color="auto"/>
                    <w:right w:val="none" w:sz="0" w:space="0" w:color="auto"/>
                  </w:divBdr>
                </w:div>
                <w:div w:id="1987663923">
                  <w:marLeft w:val="480"/>
                  <w:marRight w:val="0"/>
                  <w:marTop w:val="0"/>
                  <w:marBottom w:val="0"/>
                  <w:divBdr>
                    <w:top w:val="none" w:sz="0" w:space="0" w:color="auto"/>
                    <w:left w:val="none" w:sz="0" w:space="0" w:color="auto"/>
                    <w:bottom w:val="none" w:sz="0" w:space="0" w:color="auto"/>
                    <w:right w:val="none" w:sz="0" w:space="0" w:color="auto"/>
                  </w:divBdr>
                </w:div>
                <w:div w:id="1741823927">
                  <w:marLeft w:val="480"/>
                  <w:marRight w:val="0"/>
                  <w:marTop w:val="0"/>
                  <w:marBottom w:val="0"/>
                  <w:divBdr>
                    <w:top w:val="none" w:sz="0" w:space="0" w:color="auto"/>
                    <w:left w:val="none" w:sz="0" w:space="0" w:color="auto"/>
                    <w:bottom w:val="none" w:sz="0" w:space="0" w:color="auto"/>
                    <w:right w:val="none" w:sz="0" w:space="0" w:color="auto"/>
                  </w:divBdr>
                </w:div>
                <w:div w:id="1247882274">
                  <w:marLeft w:val="480"/>
                  <w:marRight w:val="0"/>
                  <w:marTop w:val="0"/>
                  <w:marBottom w:val="0"/>
                  <w:divBdr>
                    <w:top w:val="none" w:sz="0" w:space="0" w:color="auto"/>
                    <w:left w:val="none" w:sz="0" w:space="0" w:color="auto"/>
                    <w:bottom w:val="none" w:sz="0" w:space="0" w:color="auto"/>
                    <w:right w:val="none" w:sz="0" w:space="0" w:color="auto"/>
                  </w:divBdr>
                </w:div>
                <w:div w:id="228611327">
                  <w:marLeft w:val="480"/>
                  <w:marRight w:val="0"/>
                  <w:marTop w:val="0"/>
                  <w:marBottom w:val="0"/>
                  <w:divBdr>
                    <w:top w:val="none" w:sz="0" w:space="0" w:color="auto"/>
                    <w:left w:val="none" w:sz="0" w:space="0" w:color="auto"/>
                    <w:bottom w:val="none" w:sz="0" w:space="0" w:color="auto"/>
                    <w:right w:val="none" w:sz="0" w:space="0" w:color="auto"/>
                  </w:divBdr>
                </w:div>
                <w:div w:id="1540437996">
                  <w:marLeft w:val="480"/>
                  <w:marRight w:val="0"/>
                  <w:marTop w:val="0"/>
                  <w:marBottom w:val="0"/>
                  <w:divBdr>
                    <w:top w:val="none" w:sz="0" w:space="0" w:color="auto"/>
                    <w:left w:val="none" w:sz="0" w:space="0" w:color="auto"/>
                    <w:bottom w:val="none" w:sz="0" w:space="0" w:color="auto"/>
                    <w:right w:val="none" w:sz="0" w:space="0" w:color="auto"/>
                  </w:divBdr>
                </w:div>
                <w:div w:id="2114275602">
                  <w:marLeft w:val="480"/>
                  <w:marRight w:val="0"/>
                  <w:marTop w:val="0"/>
                  <w:marBottom w:val="0"/>
                  <w:divBdr>
                    <w:top w:val="none" w:sz="0" w:space="0" w:color="auto"/>
                    <w:left w:val="none" w:sz="0" w:space="0" w:color="auto"/>
                    <w:bottom w:val="none" w:sz="0" w:space="0" w:color="auto"/>
                    <w:right w:val="none" w:sz="0" w:space="0" w:color="auto"/>
                  </w:divBdr>
                </w:div>
                <w:div w:id="1446850453">
                  <w:marLeft w:val="480"/>
                  <w:marRight w:val="0"/>
                  <w:marTop w:val="0"/>
                  <w:marBottom w:val="0"/>
                  <w:divBdr>
                    <w:top w:val="none" w:sz="0" w:space="0" w:color="auto"/>
                    <w:left w:val="none" w:sz="0" w:space="0" w:color="auto"/>
                    <w:bottom w:val="none" w:sz="0" w:space="0" w:color="auto"/>
                    <w:right w:val="none" w:sz="0" w:space="0" w:color="auto"/>
                  </w:divBdr>
                </w:div>
                <w:div w:id="103035838">
                  <w:marLeft w:val="480"/>
                  <w:marRight w:val="0"/>
                  <w:marTop w:val="0"/>
                  <w:marBottom w:val="0"/>
                  <w:divBdr>
                    <w:top w:val="none" w:sz="0" w:space="0" w:color="auto"/>
                    <w:left w:val="none" w:sz="0" w:space="0" w:color="auto"/>
                    <w:bottom w:val="none" w:sz="0" w:space="0" w:color="auto"/>
                    <w:right w:val="none" w:sz="0" w:space="0" w:color="auto"/>
                  </w:divBdr>
                </w:div>
                <w:div w:id="2111310532">
                  <w:marLeft w:val="480"/>
                  <w:marRight w:val="0"/>
                  <w:marTop w:val="0"/>
                  <w:marBottom w:val="0"/>
                  <w:divBdr>
                    <w:top w:val="none" w:sz="0" w:space="0" w:color="auto"/>
                    <w:left w:val="none" w:sz="0" w:space="0" w:color="auto"/>
                    <w:bottom w:val="none" w:sz="0" w:space="0" w:color="auto"/>
                    <w:right w:val="none" w:sz="0" w:space="0" w:color="auto"/>
                  </w:divBdr>
                </w:div>
                <w:div w:id="789324328">
                  <w:marLeft w:val="480"/>
                  <w:marRight w:val="0"/>
                  <w:marTop w:val="0"/>
                  <w:marBottom w:val="0"/>
                  <w:divBdr>
                    <w:top w:val="none" w:sz="0" w:space="0" w:color="auto"/>
                    <w:left w:val="none" w:sz="0" w:space="0" w:color="auto"/>
                    <w:bottom w:val="none" w:sz="0" w:space="0" w:color="auto"/>
                    <w:right w:val="none" w:sz="0" w:space="0" w:color="auto"/>
                  </w:divBdr>
                </w:div>
                <w:div w:id="942684797">
                  <w:marLeft w:val="480"/>
                  <w:marRight w:val="0"/>
                  <w:marTop w:val="0"/>
                  <w:marBottom w:val="0"/>
                  <w:divBdr>
                    <w:top w:val="none" w:sz="0" w:space="0" w:color="auto"/>
                    <w:left w:val="none" w:sz="0" w:space="0" w:color="auto"/>
                    <w:bottom w:val="none" w:sz="0" w:space="0" w:color="auto"/>
                    <w:right w:val="none" w:sz="0" w:space="0" w:color="auto"/>
                  </w:divBdr>
                </w:div>
                <w:div w:id="1828087163">
                  <w:marLeft w:val="480"/>
                  <w:marRight w:val="0"/>
                  <w:marTop w:val="0"/>
                  <w:marBottom w:val="0"/>
                  <w:divBdr>
                    <w:top w:val="none" w:sz="0" w:space="0" w:color="auto"/>
                    <w:left w:val="none" w:sz="0" w:space="0" w:color="auto"/>
                    <w:bottom w:val="none" w:sz="0" w:space="0" w:color="auto"/>
                    <w:right w:val="none" w:sz="0" w:space="0" w:color="auto"/>
                  </w:divBdr>
                </w:div>
                <w:div w:id="895821070">
                  <w:marLeft w:val="480"/>
                  <w:marRight w:val="0"/>
                  <w:marTop w:val="0"/>
                  <w:marBottom w:val="0"/>
                  <w:divBdr>
                    <w:top w:val="none" w:sz="0" w:space="0" w:color="auto"/>
                    <w:left w:val="none" w:sz="0" w:space="0" w:color="auto"/>
                    <w:bottom w:val="none" w:sz="0" w:space="0" w:color="auto"/>
                    <w:right w:val="none" w:sz="0" w:space="0" w:color="auto"/>
                  </w:divBdr>
                </w:div>
                <w:div w:id="1317956455">
                  <w:marLeft w:val="480"/>
                  <w:marRight w:val="0"/>
                  <w:marTop w:val="0"/>
                  <w:marBottom w:val="0"/>
                  <w:divBdr>
                    <w:top w:val="none" w:sz="0" w:space="0" w:color="auto"/>
                    <w:left w:val="none" w:sz="0" w:space="0" w:color="auto"/>
                    <w:bottom w:val="none" w:sz="0" w:space="0" w:color="auto"/>
                    <w:right w:val="none" w:sz="0" w:space="0" w:color="auto"/>
                  </w:divBdr>
                </w:div>
                <w:div w:id="1232931269">
                  <w:marLeft w:val="480"/>
                  <w:marRight w:val="0"/>
                  <w:marTop w:val="0"/>
                  <w:marBottom w:val="0"/>
                  <w:divBdr>
                    <w:top w:val="none" w:sz="0" w:space="0" w:color="auto"/>
                    <w:left w:val="none" w:sz="0" w:space="0" w:color="auto"/>
                    <w:bottom w:val="none" w:sz="0" w:space="0" w:color="auto"/>
                    <w:right w:val="none" w:sz="0" w:space="0" w:color="auto"/>
                  </w:divBdr>
                </w:div>
                <w:div w:id="1197230063">
                  <w:marLeft w:val="480"/>
                  <w:marRight w:val="0"/>
                  <w:marTop w:val="0"/>
                  <w:marBottom w:val="0"/>
                  <w:divBdr>
                    <w:top w:val="none" w:sz="0" w:space="0" w:color="auto"/>
                    <w:left w:val="none" w:sz="0" w:space="0" w:color="auto"/>
                    <w:bottom w:val="none" w:sz="0" w:space="0" w:color="auto"/>
                    <w:right w:val="none" w:sz="0" w:space="0" w:color="auto"/>
                  </w:divBdr>
                </w:div>
                <w:div w:id="681131756">
                  <w:marLeft w:val="480"/>
                  <w:marRight w:val="0"/>
                  <w:marTop w:val="0"/>
                  <w:marBottom w:val="0"/>
                  <w:divBdr>
                    <w:top w:val="none" w:sz="0" w:space="0" w:color="auto"/>
                    <w:left w:val="none" w:sz="0" w:space="0" w:color="auto"/>
                    <w:bottom w:val="none" w:sz="0" w:space="0" w:color="auto"/>
                    <w:right w:val="none" w:sz="0" w:space="0" w:color="auto"/>
                  </w:divBdr>
                </w:div>
                <w:div w:id="474219943">
                  <w:marLeft w:val="480"/>
                  <w:marRight w:val="0"/>
                  <w:marTop w:val="0"/>
                  <w:marBottom w:val="0"/>
                  <w:divBdr>
                    <w:top w:val="none" w:sz="0" w:space="0" w:color="auto"/>
                    <w:left w:val="none" w:sz="0" w:space="0" w:color="auto"/>
                    <w:bottom w:val="none" w:sz="0" w:space="0" w:color="auto"/>
                    <w:right w:val="none" w:sz="0" w:space="0" w:color="auto"/>
                  </w:divBdr>
                </w:div>
                <w:div w:id="1809013705">
                  <w:marLeft w:val="480"/>
                  <w:marRight w:val="0"/>
                  <w:marTop w:val="0"/>
                  <w:marBottom w:val="0"/>
                  <w:divBdr>
                    <w:top w:val="none" w:sz="0" w:space="0" w:color="auto"/>
                    <w:left w:val="none" w:sz="0" w:space="0" w:color="auto"/>
                    <w:bottom w:val="none" w:sz="0" w:space="0" w:color="auto"/>
                    <w:right w:val="none" w:sz="0" w:space="0" w:color="auto"/>
                  </w:divBdr>
                </w:div>
                <w:div w:id="1588340788">
                  <w:marLeft w:val="480"/>
                  <w:marRight w:val="0"/>
                  <w:marTop w:val="0"/>
                  <w:marBottom w:val="0"/>
                  <w:divBdr>
                    <w:top w:val="none" w:sz="0" w:space="0" w:color="auto"/>
                    <w:left w:val="none" w:sz="0" w:space="0" w:color="auto"/>
                    <w:bottom w:val="none" w:sz="0" w:space="0" w:color="auto"/>
                    <w:right w:val="none" w:sz="0" w:space="0" w:color="auto"/>
                  </w:divBdr>
                </w:div>
                <w:div w:id="693460053">
                  <w:marLeft w:val="480"/>
                  <w:marRight w:val="0"/>
                  <w:marTop w:val="0"/>
                  <w:marBottom w:val="0"/>
                  <w:divBdr>
                    <w:top w:val="none" w:sz="0" w:space="0" w:color="auto"/>
                    <w:left w:val="none" w:sz="0" w:space="0" w:color="auto"/>
                    <w:bottom w:val="none" w:sz="0" w:space="0" w:color="auto"/>
                    <w:right w:val="none" w:sz="0" w:space="0" w:color="auto"/>
                  </w:divBdr>
                </w:div>
              </w:divsChild>
            </w:div>
            <w:div w:id="448135416">
              <w:marLeft w:val="0"/>
              <w:marRight w:val="0"/>
              <w:marTop w:val="0"/>
              <w:marBottom w:val="0"/>
              <w:divBdr>
                <w:top w:val="none" w:sz="0" w:space="0" w:color="auto"/>
                <w:left w:val="none" w:sz="0" w:space="0" w:color="auto"/>
                <w:bottom w:val="none" w:sz="0" w:space="0" w:color="auto"/>
                <w:right w:val="none" w:sz="0" w:space="0" w:color="auto"/>
              </w:divBdr>
              <w:divsChild>
                <w:div w:id="936140406">
                  <w:marLeft w:val="480"/>
                  <w:marRight w:val="0"/>
                  <w:marTop w:val="0"/>
                  <w:marBottom w:val="0"/>
                  <w:divBdr>
                    <w:top w:val="none" w:sz="0" w:space="0" w:color="auto"/>
                    <w:left w:val="none" w:sz="0" w:space="0" w:color="auto"/>
                    <w:bottom w:val="none" w:sz="0" w:space="0" w:color="auto"/>
                    <w:right w:val="none" w:sz="0" w:space="0" w:color="auto"/>
                  </w:divBdr>
                </w:div>
                <w:div w:id="796071629">
                  <w:marLeft w:val="480"/>
                  <w:marRight w:val="0"/>
                  <w:marTop w:val="0"/>
                  <w:marBottom w:val="0"/>
                  <w:divBdr>
                    <w:top w:val="none" w:sz="0" w:space="0" w:color="auto"/>
                    <w:left w:val="none" w:sz="0" w:space="0" w:color="auto"/>
                    <w:bottom w:val="none" w:sz="0" w:space="0" w:color="auto"/>
                    <w:right w:val="none" w:sz="0" w:space="0" w:color="auto"/>
                  </w:divBdr>
                </w:div>
                <w:div w:id="325667309">
                  <w:marLeft w:val="480"/>
                  <w:marRight w:val="0"/>
                  <w:marTop w:val="0"/>
                  <w:marBottom w:val="0"/>
                  <w:divBdr>
                    <w:top w:val="none" w:sz="0" w:space="0" w:color="auto"/>
                    <w:left w:val="none" w:sz="0" w:space="0" w:color="auto"/>
                    <w:bottom w:val="none" w:sz="0" w:space="0" w:color="auto"/>
                    <w:right w:val="none" w:sz="0" w:space="0" w:color="auto"/>
                  </w:divBdr>
                </w:div>
                <w:div w:id="2103910264">
                  <w:marLeft w:val="480"/>
                  <w:marRight w:val="0"/>
                  <w:marTop w:val="0"/>
                  <w:marBottom w:val="0"/>
                  <w:divBdr>
                    <w:top w:val="none" w:sz="0" w:space="0" w:color="auto"/>
                    <w:left w:val="none" w:sz="0" w:space="0" w:color="auto"/>
                    <w:bottom w:val="none" w:sz="0" w:space="0" w:color="auto"/>
                    <w:right w:val="none" w:sz="0" w:space="0" w:color="auto"/>
                  </w:divBdr>
                </w:div>
                <w:div w:id="508984982">
                  <w:marLeft w:val="480"/>
                  <w:marRight w:val="0"/>
                  <w:marTop w:val="0"/>
                  <w:marBottom w:val="0"/>
                  <w:divBdr>
                    <w:top w:val="none" w:sz="0" w:space="0" w:color="auto"/>
                    <w:left w:val="none" w:sz="0" w:space="0" w:color="auto"/>
                    <w:bottom w:val="none" w:sz="0" w:space="0" w:color="auto"/>
                    <w:right w:val="none" w:sz="0" w:space="0" w:color="auto"/>
                  </w:divBdr>
                </w:div>
                <w:div w:id="2069718450">
                  <w:marLeft w:val="480"/>
                  <w:marRight w:val="0"/>
                  <w:marTop w:val="0"/>
                  <w:marBottom w:val="0"/>
                  <w:divBdr>
                    <w:top w:val="none" w:sz="0" w:space="0" w:color="auto"/>
                    <w:left w:val="none" w:sz="0" w:space="0" w:color="auto"/>
                    <w:bottom w:val="none" w:sz="0" w:space="0" w:color="auto"/>
                    <w:right w:val="none" w:sz="0" w:space="0" w:color="auto"/>
                  </w:divBdr>
                </w:div>
                <w:div w:id="806242540">
                  <w:marLeft w:val="480"/>
                  <w:marRight w:val="0"/>
                  <w:marTop w:val="0"/>
                  <w:marBottom w:val="0"/>
                  <w:divBdr>
                    <w:top w:val="none" w:sz="0" w:space="0" w:color="auto"/>
                    <w:left w:val="none" w:sz="0" w:space="0" w:color="auto"/>
                    <w:bottom w:val="none" w:sz="0" w:space="0" w:color="auto"/>
                    <w:right w:val="none" w:sz="0" w:space="0" w:color="auto"/>
                  </w:divBdr>
                </w:div>
                <w:div w:id="103043336">
                  <w:marLeft w:val="480"/>
                  <w:marRight w:val="0"/>
                  <w:marTop w:val="0"/>
                  <w:marBottom w:val="0"/>
                  <w:divBdr>
                    <w:top w:val="none" w:sz="0" w:space="0" w:color="auto"/>
                    <w:left w:val="none" w:sz="0" w:space="0" w:color="auto"/>
                    <w:bottom w:val="none" w:sz="0" w:space="0" w:color="auto"/>
                    <w:right w:val="none" w:sz="0" w:space="0" w:color="auto"/>
                  </w:divBdr>
                </w:div>
                <w:div w:id="2043553208">
                  <w:marLeft w:val="480"/>
                  <w:marRight w:val="0"/>
                  <w:marTop w:val="0"/>
                  <w:marBottom w:val="0"/>
                  <w:divBdr>
                    <w:top w:val="none" w:sz="0" w:space="0" w:color="auto"/>
                    <w:left w:val="none" w:sz="0" w:space="0" w:color="auto"/>
                    <w:bottom w:val="none" w:sz="0" w:space="0" w:color="auto"/>
                    <w:right w:val="none" w:sz="0" w:space="0" w:color="auto"/>
                  </w:divBdr>
                </w:div>
                <w:div w:id="2023583409">
                  <w:marLeft w:val="480"/>
                  <w:marRight w:val="0"/>
                  <w:marTop w:val="0"/>
                  <w:marBottom w:val="0"/>
                  <w:divBdr>
                    <w:top w:val="none" w:sz="0" w:space="0" w:color="auto"/>
                    <w:left w:val="none" w:sz="0" w:space="0" w:color="auto"/>
                    <w:bottom w:val="none" w:sz="0" w:space="0" w:color="auto"/>
                    <w:right w:val="none" w:sz="0" w:space="0" w:color="auto"/>
                  </w:divBdr>
                </w:div>
                <w:div w:id="970135530">
                  <w:marLeft w:val="480"/>
                  <w:marRight w:val="0"/>
                  <w:marTop w:val="0"/>
                  <w:marBottom w:val="0"/>
                  <w:divBdr>
                    <w:top w:val="none" w:sz="0" w:space="0" w:color="auto"/>
                    <w:left w:val="none" w:sz="0" w:space="0" w:color="auto"/>
                    <w:bottom w:val="none" w:sz="0" w:space="0" w:color="auto"/>
                    <w:right w:val="none" w:sz="0" w:space="0" w:color="auto"/>
                  </w:divBdr>
                </w:div>
                <w:div w:id="1975014760">
                  <w:marLeft w:val="480"/>
                  <w:marRight w:val="0"/>
                  <w:marTop w:val="0"/>
                  <w:marBottom w:val="0"/>
                  <w:divBdr>
                    <w:top w:val="none" w:sz="0" w:space="0" w:color="auto"/>
                    <w:left w:val="none" w:sz="0" w:space="0" w:color="auto"/>
                    <w:bottom w:val="none" w:sz="0" w:space="0" w:color="auto"/>
                    <w:right w:val="none" w:sz="0" w:space="0" w:color="auto"/>
                  </w:divBdr>
                </w:div>
                <w:div w:id="1019969495">
                  <w:marLeft w:val="480"/>
                  <w:marRight w:val="0"/>
                  <w:marTop w:val="0"/>
                  <w:marBottom w:val="0"/>
                  <w:divBdr>
                    <w:top w:val="none" w:sz="0" w:space="0" w:color="auto"/>
                    <w:left w:val="none" w:sz="0" w:space="0" w:color="auto"/>
                    <w:bottom w:val="none" w:sz="0" w:space="0" w:color="auto"/>
                    <w:right w:val="none" w:sz="0" w:space="0" w:color="auto"/>
                  </w:divBdr>
                </w:div>
                <w:div w:id="1633904667">
                  <w:marLeft w:val="480"/>
                  <w:marRight w:val="0"/>
                  <w:marTop w:val="0"/>
                  <w:marBottom w:val="0"/>
                  <w:divBdr>
                    <w:top w:val="none" w:sz="0" w:space="0" w:color="auto"/>
                    <w:left w:val="none" w:sz="0" w:space="0" w:color="auto"/>
                    <w:bottom w:val="none" w:sz="0" w:space="0" w:color="auto"/>
                    <w:right w:val="none" w:sz="0" w:space="0" w:color="auto"/>
                  </w:divBdr>
                </w:div>
                <w:div w:id="1521964295">
                  <w:marLeft w:val="480"/>
                  <w:marRight w:val="0"/>
                  <w:marTop w:val="0"/>
                  <w:marBottom w:val="0"/>
                  <w:divBdr>
                    <w:top w:val="none" w:sz="0" w:space="0" w:color="auto"/>
                    <w:left w:val="none" w:sz="0" w:space="0" w:color="auto"/>
                    <w:bottom w:val="none" w:sz="0" w:space="0" w:color="auto"/>
                    <w:right w:val="none" w:sz="0" w:space="0" w:color="auto"/>
                  </w:divBdr>
                </w:div>
                <w:div w:id="1470976222">
                  <w:marLeft w:val="480"/>
                  <w:marRight w:val="0"/>
                  <w:marTop w:val="0"/>
                  <w:marBottom w:val="0"/>
                  <w:divBdr>
                    <w:top w:val="none" w:sz="0" w:space="0" w:color="auto"/>
                    <w:left w:val="none" w:sz="0" w:space="0" w:color="auto"/>
                    <w:bottom w:val="none" w:sz="0" w:space="0" w:color="auto"/>
                    <w:right w:val="none" w:sz="0" w:space="0" w:color="auto"/>
                  </w:divBdr>
                </w:div>
                <w:div w:id="491528323">
                  <w:marLeft w:val="480"/>
                  <w:marRight w:val="0"/>
                  <w:marTop w:val="0"/>
                  <w:marBottom w:val="0"/>
                  <w:divBdr>
                    <w:top w:val="none" w:sz="0" w:space="0" w:color="auto"/>
                    <w:left w:val="none" w:sz="0" w:space="0" w:color="auto"/>
                    <w:bottom w:val="none" w:sz="0" w:space="0" w:color="auto"/>
                    <w:right w:val="none" w:sz="0" w:space="0" w:color="auto"/>
                  </w:divBdr>
                </w:div>
                <w:div w:id="1495685857">
                  <w:marLeft w:val="480"/>
                  <w:marRight w:val="0"/>
                  <w:marTop w:val="0"/>
                  <w:marBottom w:val="0"/>
                  <w:divBdr>
                    <w:top w:val="none" w:sz="0" w:space="0" w:color="auto"/>
                    <w:left w:val="none" w:sz="0" w:space="0" w:color="auto"/>
                    <w:bottom w:val="none" w:sz="0" w:space="0" w:color="auto"/>
                    <w:right w:val="none" w:sz="0" w:space="0" w:color="auto"/>
                  </w:divBdr>
                </w:div>
                <w:div w:id="1376850507">
                  <w:marLeft w:val="480"/>
                  <w:marRight w:val="0"/>
                  <w:marTop w:val="0"/>
                  <w:marBottom w:val="0"/>
                  <w:divBdr>
                    <w:top w:val="none" w:sz="0" w:space="0" w:color="auto"/>
                    <w:left w:val="none" w:sz="0" w:space="0" w:color="auto"/>
                    <w:bottom w:val="none" w:sz="0" w:space="0" w:color="auto"/>
                    <w:right w:val="none" w:sz="0" w:space="0" w:color="auto"/>
                  </w:divBdr>
                </w:div>
                <w:div w:id="1276526406">
                  <w:marLeft w:val="480"/>
                  <w:marRight w:val="0"/>
                  <w:marTop w:val="0"/>
                  <w:marBottom w:val="0"/>
                  <w:divBdr>
                    <w:top w:val="none" w:sz="0" w:space="0" w:color="auto"/>
                    <w:left w:val="none" w:sz="0" w:space="0" w:color="auto"/>
                    <w:bottom w:val="none" w:sz="0" w:space="0" w:color="auto"/>
                    <w:right w:val="none" w:sz="0" w:space="0" w:color="auto"/>
                  </w:divBdr>
                </w:div>
                <w:div w:id="1475372484">
                  <w:marLeft w:val="480"/>
                  <w:marRight w:val="0"/>
                  <w:marTop w:val="0"/>
                  <w:marBottom w:val="0"/>
                  <w:divBdr>
                    <w:top w:val="none" w:sz="0" w:space="0" w:color="auto"/>
                    <w:left w:val="none" w:sz="0" w:space="0" w:color="auto"/>
                    <w:bottom w:val="none" w:sz="0" w:space="0" w:color="auto"/>
                    <w:right w:val="none" w:sz="0" w:space="0" w:color="auto"/>
                  </w:divBdr>
                </w:div>
                <w:div w:id="1049917359">
                  <w:marLeft w:val="480"/>
                  <w:marRight w:val="0"/>
                  <w:marTop w:val="0"/>
                  <w:marBottom w:val="0"/>
                  <w:divBdr>
                    <w:top w:val="none" w:sz="0" w:space="0" w:color="auto"/>
                    <w:left w:val="none" w:sz="0" w:space="0" w:color="auto"/>
                    <w:bottom w:val="none" w:sz="0" w:space="0" w:color="auto"/>
                    <w:right w:val="none" w:sz="0" w:space="0" w:color="auto"/>
                  </w:divBdr>
                </w:div>
                <w:div w:id="1947809472">
                  <w:marLeft w:val="480"/>
                  <w:marRight w:val="0"/>
                  <w:marTop w:val="0"/>
                  <w:marBottom w:val="0"/>
                  <w:divBdr>
                    <w:top w:val="none" w:sz="0" w:space="0" w:color="auto"/>
                    <w:left w:val="none" w:sz="0" w:space="0" w:color="auto"/>
                    <w:bottom w:val="none" w:sz="0" w:space="0" w:color="auto"/>
                    <w:right w:val="none" w:sz="0" w:space="0" w:color="auto"/>
                  </w:divBdr>
                </w:div>
                <w:div w:id="798307825">
                  <w:marLeft w:val="480"/>
                  <w:marRight w:val="0"/>
                  <w:marTop w:val="0"/>
                  <w:marBottom w:val="0"/>
                  <w:divBdr>
                    <w:top w:val="none" w:sz="0" w:space="0" w:color="auto"/>
                    <w:left w:val="none" w:sz="0" w:space="0" w:color="auto"/>
                    <w:bottom w:val="none" w:sz="0" w:space="0" w:color="auto"/>
                    <w:right w:val="none" w:sz="0" w:space="0" w:color="auto"/>
                  </w:divBdr>
                </w:div>
                <w:div w:id="682054041">
                  <w:marLeft w:val="480"/>
                  <w:marRight w:val="0"/>
                  <w:marTop w:val="0"/>
                  <w:marBottom w:val="0"/>
                  <w:divBdr>
                    <w:top w:val="none" w:sz="0" w:space="0" w:color="auto"/>
                    <w:left w:val="none" w:sz="0" w:space="0" w:color="auto"/>
                    <w:bottom w:val="none" w:sz="0" w:space="0" w:color="auto"/>
                    <w:right w:val="none" w:sz="0" w:space="0" w:color="auto"/>
                  </w:divBdr>
                </w:div>
                <w:div w:id="1100836355">
                  <w:marLeft w:val="480"/>
                  <w:marRight w:val="0"/>
                  <w:marTop w:val="0"/>
                  <w:marBottom w:val="0"/>
                  <w:divBdr>
                    <w:top w:val="none" w:sz="0" w:space="0" w:color="auto"/>
                    <w:left w:val="none" w:sz="0" w:space="0" w:color="auto"/>
                    <w:bottom w:val="none" w:sz="0" w:space="0" w:color="auto"/>
                    <w:right w:val="none" w:sz="0" w:space="0" w:color="auto"/>
                  </w:divBdr>
                </w:div>
                <w:div w:id="1831671799">
                  <w:marLeft w:val="480"/>
                  <w:marRight w:val="0"/>
                  <w:marTop w:val="0"/>
                  <w:marBottom w:val="0"/>
                  <w:divBdr>
                    <w:top w:val="none" w:sz="0" w:space="0" w:color="auto"/>
                    <w:left w:val="none" w:sz="0" w:space="0" w:color="auto"/>
                    <w:bottom w:val="none" w:sz="0" w:space="0" w:color="auto"/>
                    <w:right w:val="none" w:sz="0" w:space="0" w:color="auto"/>
                  </w:divBdr>
                </w:div>
                <w:div w:id="1529366888">
                  <w:marLeft w:val="480"/>
                  <w:marRight w:val="0"/>
                  <w:marTop w:val="0"/>
                  <w:marBottom w:val="0"/>
                  <w:divBdr>
                    <w:top w:val="none" w:sz="0" w:space="0" w:color="auto"/>
                    <w:left w:val="none" w:sz="0" w:space="0" w:color="auto"/>
                    <w:bottom w:val="none" w:sz="0" w:space="0" w:color="auto"/>
                    <w:right w:val="none" w:sz="0" w:space="0" w:color="auto"/>
                  </w:divBdr>
                </w:div>
                <w:div w:id="1975132243">
                  <w:marLeft w:val="480"/>
                  <w:marRight w:val="0"/>
                  <w:marTop w:val="0"/>
                  <w:marBottom w:val="0"/>
                  <w:divBdr>
                    <w:top w:val="none" w:sz="0" w:space="0" w:color="auto"/>
                    <w:left w:val="none" w:sz="0" w:space="0" w:color="auto"/>
                    <w:bottom w:val="none" w:sz="0" w:space="0" w:color="auto"/>
                    <w:right w:val="none" w:sz="0" w:space="0" w:color="auto"/>
                  </w:divBdr>
                </w:div>
                <w:div w:id="2117863795">
                  <w:marLeft w:val="480"/>
                  <w:marRight w:val="0"/>
                  <w:marTop w:val="0"/>
                  <w:marBottom w:val="0"/>
                  <w:divBdr>
                    <w:top w:val="none" w:sz="0" w:space="0" w:color="auto"/>
                    <w:left w:val="none" w:sz="0" w:space="0" w:color="auto"/>
                    <w:bottom w:val="none" w:sz="0" w:space="0" w:color="auto"/>
                    <w:right w:val="none" w:sz="0" w:space="0" w:color="auto"/>
                  </w:divBdr>
                </w:div>
                <w:div w:id="1659455511">
                  <w:marLeft w:val="480"/>
                  <w:marRight w:val="0"/>
                  <w:marTop w:val="0"/>
                  <w:marBottom w:val="0"/>
                  <w:divBdr>
                    <w:top w:val="none" w:sz="0" w:space="0" w:color="auto"/>
                    <w:left w:val="none" w:sz="0" w:space="0" w:color="auto"/>
                    <w:bottom w:val="none" w:sz="0" w:space="0" w:color="auto"/>
                    <w:right w:val="none" w:sz="0" w:space="0" w:color="auto"/>
                  </w:divBdr>
                </w:div>
                <w:div w:id="2141070399">
                  <w:marLeft w:val="480"/>
                  <w:marRight w:val="0"/>
                  <w:marTop w:val="0"/>
                  <w:marBottom w:val="0"/>
                  <w:divBdr>
                    <w:top w:val="none" w:sz="0" w:space="0" w:color="auto"/>
                    <w:left w:val="none" w:sz="0" w:space="0" w:color="auto"/>
                    <w:bottom w:val="none" w:sz="0" w:space="0" w:color="auto"/>
                    <w:right w:val="none" w:sz="0" w:space="0" w:color="auto"/>
                  </w:divBdr>
                </w:div>
                <w:div w:id="1308129982">
                  <w:marLeft w:val="480"/>
                  <w:marRight w:val="0"/>
                  <w:marTop w:val="0"/>
                  <w:marBottom w:val="0"/>
                  <w:divBdr>
                    <w:top w:val="none" w:sz="0" w:space="0" w:color="auto"/>
                    <w:left w:val="none" w:sz="0" w:space="0" w:color="auto"/>
                    <w:bottom w:val="none" w:sz="0" w:space="0" w:color="auto"/>
                    <w:right w:val="none" w:sz="0" w:space="0" w:color="auto"/>
                  </w:divBdr>
                </w:div>
                <w:div w:id="2103258869">
                  <w:marLeft w:val="480"/>
                  <w:marRight w:val="0"/>
                  <w:marTop w:val="0"/>
                  <w:marBottom w:val="0"/>
                  <w:divBdr>
                    <w:top w:val="none" w:sz="0" w:space="0" w:color="auto"/>
                    <w:left w:val="none" w:sz="0" w:space="0" w:color="auto"/>
                    <w:bottom w:val="none" w:sz="0" w:space="0" w:color="auto"/>
                    <w:right w:val="none" w:sz="0" w:space="0" w:color="auto"/>
                  </w:divBdr>
                </w:div>
                <w:div w:id="595939091">
                  <w:marLeft w:val="480"/>
                  <w:marRight w:val="0"/>
                  <w:marTop w:val="0"/>
                  <w:marBottom w:val="0"/>
                  <w:divBdr>
                    <w:top w:val="none" w:sz="0" w:space="0" w:color="auto"/>
                    <w:left w:val="none" w:sz="0" w:space="0" w:color="auto"/>
                    <w:bottom w:val="none" w:sz="0" w:space="0" w:color="auto"/>
                    <w:right w:val="none" w:sz="0" w:space="0" w:color="auto"/>
                  </w:divBdr>
                </w:div>
                <w:div w:id="1242645837">
                  <w:marLeft w:val="480"/>
                  <w:marRight w:val="0"/>
                  <w:marTop w:val="0"/>
                  <w:marBottom w:val="0"/>
                  <w:divBdr>
                    <w:top w:val="none" w:sz="0" w:space="0" w:color="auto"/>
                    <w:left w:val="none" w:sz="0" w:space="0" w:color="auto"/>
                    <w:bottom w:val="none" w:sz="0" w:space="0" w:color="auto"/>
                    <w:right w:val="none" w:sz="0" w:space="0" w:color="auto"/>
                  </w:divBdr>
                </w:div>
                <w:div w:id="468086021">
                  <w:marLeft w:val="480"/>
                  <w:marRight w:val="0"/>
                  <w:marTop w:val="0"/>
                  <w:marBottom w:val="0"/>
                  <w:divBdr>
                    <w:top w:val="none" w:sz="0" w:space="0" w:color="auto"/>
                    <w:left w:val="none" w:sz="0" w:space="0" w:color="auto"/>
                    <w:bottom w:val="none" w:sz="0" w:space="0" w:color="auto"/>
                    <w:right w:val="none" w:sz="0" w:space="0" w:color="auto"/>
                  </w:divBdr>
                </w:div>
                <w:div w:id="893276623">
                  <w:marLeft w:val="480"/>
                  <w:marRight w:val="0"/>
                  <w:marTop w:val="0"/>
                  <w:marBottom w:val="0"/>
                  <w:divBdr>
                    <w:top w:val="none" w:sz="0" w:space="0" w:color="auto"/>
                    <w:left w:val="none" w:sz="0" w:space="0" w:color="auto"/>
                    <w:bottom w:val="none" w:sz="0" w:space="0" w:color="auto"/>
                    <w:right w:val="none" w:sz="0" w:space="0" w:color="auto"/>
                  </w:divBdr>
                </w:div>
                <w:div w:id="306907770">
                  <w:marLeft w:val="480"/>
                  <w:marRight w:val="0"/>
                  <w:marTop w:val="0"/>
                  <w:marBottom w:val="0"/>
                  <w:divBdr>
                    <w:top w:val="none" w:sz="0" w:space="0" w:color="auto"/>
                    <w:left w:val="none" w:sz="0" w:space="0" w:color="auto"/>
                    <w:bottom w:val="none" w:sz="0" w:space="0" w:color="auto"/>
                    <w:right w:val="none" w:sz="0" w:space="0" w:color="auto"/>
                  </w:divBdr>
                </w:div>
                <w:div w:id="2114397613">
                  <w:marLeft w:val="480"/>
                  <w:marRight w:val="0"/>
                  <w:marTop w:val="0"/>
                  <w:marBottom w:val="0"/>
                  <w:divBdr>
                    <w:top w:val="none" w:sz="0" w:space="0" w:color="auto"/>
                    <w:left w:val="none" w:sz="0" w:space="0" w:color="auto"/>
                    <w:bottom w:val="none" w:sz="0" w:space="0" w:color="auto"/>
                    <w:right w:val="none" w:sz="0" w:space="0" w:color="auto"/>
                  </w:divBdr>
                </w:div>
                <w:div w:id="515996884">
                  <w:marLeft w:val="480"/>
                  <w:marRight w:val="0"/>
                  <w:marTop w:val="0"/>
                  <w:marBottom w:val="0"/>
                  <w:divBdr>
                    <w:top w:val="none" w:sz="0" w:space="0" w:color="auto"/>
                    <w:left w:val="none" w:sz="0" w:space="0" w:color="auto"/>
                    <w:bottom w:val="none" w:sz="0" w:space="0" w:color="auto"/>
                    <w:right w:val="none" w:sz="0" w:space="0" w:color="auto"/>
                  </w:divBdr>
                </w:div>
                <w:div w:id="1415318730">
                  <w:marLeft w:val="480"/>
                  <w:marRight w:val="0"/>
                  <w:marTop w:val="0"/>
                  <w:marBottom w:val="0"/>
                  <w:divBdr>
                    <w:top w:val="none" w:sz="0" w:space="0" w:color="auto"/>
                    <w:left w:val="none" w:sz="0" w:space="0" w:color="auto"/>
                    <w:bottom w:val="none" w:sz="0" w:space="0" w:color="auto"/>
                    <w:right w:val="none" w:sz="0" w:space="0" w:color="auto"/>
                  </w:divBdr>
                </w:div>
                <w:div w:id="1764568688">
                  <w:marLeft w:val="480"/>
                  <w:marRight w:val="0"/>
                  <w:marTop w:val="0"/>
                  <w:marBottom w:val="0"/>
                  <w:divBdr>
                    <w:top w:val="none" w:sz="0" w:space="0" w:color="auto"/>
                    <w:left w:val="none" w:sz="0" w:space="0" w:color="auto"/>
                    <w:bottom w:val="none" w:sz="0" w:space="0" w:color="auto"/>
                    <w:right w:val="none" w:sz="0" w:space="0" w:color="auto"/>
                  </w:divBdr>
                </w:div>
                <w:div w:id="827794289">
                  <w:marLeft w:val="480"/>
                  <w:marRight w:val="0"/>
                  <w:marTop w:val="0"/>
                  <w:marBottom w:val="0"/>
                  <w:divBdr>
                    <w:top w:val="none" w:sz="0" w:space="0" w:color="auto"/>
                    <w:left w:val="none" w:sz="0" w:space="0" w:color="auto"/>
                    <w:bottom w:val="none" w:sz="0" w:space="0" w:color="auto"/>
                    <w:right w:val="none" w:sz="0" w:space="0" w:color="auto"/>
                  </w:divBdr>
                </w:div>
                <w:div w:id="1193955925">
                  <w:marLeft w:val="480"/>
                  <w:marRight w:val="0"/>
                  <w:marTop w:val="0"/>
                  <w:marBottom w:val="0"/>
                  <w:divBdr>
                    <w:top w:val="none" w:sz="0" w:space="0" w:color="auto"/>
                    <w:left w:val="none" w:sz="0" w:space="0" w:color="auto"/>
                    <w:bottom w:val="none" w:sz="0" w:space="0" w:color="auto"/>
                    <w:right w:val="none" w:sz="0" w:space="0" w:color="auto"/>
                  </w:divBdr>
                </w:div>
                <w:div w:id="347951769">
                  <w:marLeft w:val="480"/>
                  <w:marRight w:val="0"/>
                  <w:marTop w:val="0"/>
                  <w:marBottom w:val="0"/>
                  <w:divBdr>
                    <w:top w:val="none" w:sz="0" w:space="0" w:color="auto"/>
                    <w:left w:val="none" w:sz="0" w:space="0" w:color="auto"/>
                    <w:bottom w:val="none" w:sz="0" w:space="0" w:color="auto"/>
                    <w:right w:val="none" w:sz="0" w:space="0" w:color="auto"/>
                  </w:divBdr>
                </w:div>
                <w:div w:id="1033386371">
                  <w:marLeft w:val="480"/>
                  <w:marRight w:val="0"/>
                  <w:marTop w:val="0"/>
                  <w:marBottom w:val="0"/>
                  <w:divBdr>
                    <w:top w:val="none" w:sz="0" w:space="0" w:color="auto"/>
                    <w:left w:val="none" w:sz="0" w:space="0" w:color="auto"/>
                    <w:bottom w:val="none" w:sz="0" w:space="0" w:color="auto"/>
                    <w:right w:val="none" w:sz="0" w:space="0" w:color="auto"/>
                  </w:divBdr>
                </w:div>
                <w:div w:id="1064109621">
                  <w:marLeft w:val="480"/>
                  <w:marRight w:val="0"/>
                  <w:marTop w:val="0"/>
                  <w:marBottom w:val="0"/>
                  <w:divBdr>
                    <w:top w:val="none" w:sz="0" w:space="0" w:color="auto"/>
                    <w:left w:val="none" w:sz="0" w:space="0" w:color="auto"/>
                    <w:bottom w:val="none" w:sz="0" w:space="0" w:color="auto"/>
                    <w:right w:val="none" w:sz="0" w:space="0" w:color="auto"/>
                  </w:divBdr>
                </w:div>
                <w:div w:id="257761611">
                  <w:marLeft w:val="480"/>
                  <w:marRight w:val="0"/>
                  <w:marTop w:val="0"/>
                  <w:marBottom w:val="0"/>
                  <w:divBdr>
                    <w:top w:val="none" w:sz="0" w:space="0" w:color="auto"/>
                    <w:left w:val="none" w:sz="0" w:space="0" w:color="auto"/>
                    <w:bottom w:val="none" w:sz="0" w:space="0" w:color="auto"/>
                    <w:right w:val="none" w:sz="0" w:space="0" w:color="auto"/>
                  </w:divBdr>
                </w:div>
                <w:div w:id="1524051682">
                  <w:marLeft w:val="480"/>
                  <w:marRight w:val="0"/>
                  <w:marTop w:val="0"/>
                  <w:marBottom w:val="0"/>
                  <w:divBdr>
                    <w:top w:val="none" w:sz="0" w:space="0" w:color="auto"/>
                    <w:left w:val="none" w:sz="0" w:space="0" w:color="auto"/>
                    <w:bottom w:val="none" w:sz="0" w:space="0" w:color="auto"/>
                    <w:right w:val="none" w:sz="0" w:space="0" w:color="auto"/>
                  </w:divBdr>
                </w:div>
                <w:div w:id="187958993">
                  <w:marLeft w:val="480"/>
                  <w:marRight w:val="0"/>
                  <w:marTop w:val="0"/>
                  <w:marBottom w:val="0"/>
                  <w:divBdr>
                    <w:top w:val="none" w:sz="0" w:space="0" w:color="auto"/>
                    <w:left w:val="none" w:sz="0" w:space="0" w:color="auto"/>
                    <w:bottom w:val="none" w:sz="0" w:space="0" w:color="auto"/>
                    <w:right w:val="none" w:sz="0" w:space="0" w:color="auto"/>
                  </w:divBdr>
                </w:div>
                <w:div w:id="390427844">
                  <w:marLeft w:val="480"/>
                  <w:marRight w:val="0"/>
                  <w:marTop w:val="0"/>
                  <w:marBottom w:val="0"/>
                  <w:divBdr>
                    <w:top w:val="none" w:sz="0" w:space="0" w:color="auto"/>
                    <w:left w:val="none" w:sz="0" w:space="0" w:color="auto"/>
                    <w:bottom w:val="none" w:sz="0" w:space="0" w:color="auto"/>
                    <w:right w:val="none" w:sz="0" w:space="0" w:color="auto"/>
                  </w:divBdr>
                </w:div>
                <w:div w:id="923875692">
                  <w:marLeft w:val="480"/>
                  <w:marRight w:val="0"/>
                  <w:marTop w:val="0"/>
                  <w:marBottom w:val="0"/>
                  <w:divBdr>
                    <w:top w:val="none" w:sz="0" w:space="0" w:color="auto"/>
                    <w:left w:val="none" w:sz="0" w:space="0" w:color="auto"/>
                    <w:bottom w:val="none" w:sz="0" w:space="0" w:color="auto"/>
                    <w:right w:val="none" w:sz="0" w:space="0" w:color="auto"/>
                  </w:divBdr>
                </w:div>
                <w:div w:id="1729180314">
                  <w:marLeft w:val="480"/>
                  <w:marRight w:val="0"/>
                  <w:marTop w:val="0"/>
                  <w:marBottom w:val="0"/>
                  <w:divBdr>
                    <w:top w:val="none" w:sz="0" w:space="0" w:color="auto"/>
                    <w:left w:val="none" w:sz="0" w:space="0" w:color="auto"/>
                    <w:bottom w:val="none" w:sz="0" w:space="0" w:color="auto"/>
                    <w:right w:val="none" w:sz="0" w:space="0" w:color="auto"/>
                  </w:divBdr>
                </w:div>
                <w:div w:id="623778501">
                  <w:marLeft w:val="480"/>
                  <w:marRight w:val="0"/>
                  <w:marTop w:val="0"/>
                  <w:marBottom w:val="0"/>
                  <w:divBdr>
                    <w:top w:val="none" w:sz="0" w:space="0" w:color="auto"/>
                    <w:left w:val="none" w:sz="0" w:space="0" w:color="auto"/>
                    <w:bottom w:val="none" w:sz="0" w:space="0" w:color="auto"/>
                    <w:right w:val="none" w:sz="0" w:space="0" w:color="auto"/>
                  </w:divBdr>
                </w:div>
                <w:div w:id="2083595995">
                  <w:marLeft w:val="480"/>
                  <w:marRight w:val="0"/>
                  <w:marTop w:val="0"/>
                  <w:marBottom w:val="0"/>
                  <w:divBdr>
                    <w:top w:val="none" w:sz="0" w:space="0" w:color="auto"/>
                    <w:left w:val="none" w:sz="0" w:space="0" w:color="auto"/>
                    <w:bottom w:val="none" w:sz="0" w:space="0" w:color="auto"/>
                    <w:right w:val="none" w:sz="0" w:space="0" w:color="auto"/>
                  </w:divBdr>
                </w:div>
                <w:div w:id="1205479216">
                  <w:marLeft w:val="480"/>
                  <w:marRight w:val="0"/>
                  <w:marTop w:val="0"/>
                  <w:marBottom w:val="0"/>
                  <w:divBdr>
                    <w:top w:val="none" w:sz="0" w:space="0" w:color="auto"/>
                    <w:left w:val="none" w:sz="0" w:space="0" w:color="auto"/>
                    <w:bottom w:val="none" w:sz="0" w:space="0" w:color="auto"/>
                    <w:right w:val="none" w:sz="0" w:space="0" w:color="auto"/>
                  </w:divBdr>
                </w:div>
                <w:div w:id="679308952">
                  <w:marLeft w:val="480"/>
                  <w:marRight w:val="0"/>
                  <w:marTop w:val="0"/>
                  <w:marBottom w:val="0"/>
                  <w:divBdr>
                    <w:top w:val="none" w:sz="0" w:space="0" w:color="auto"/>
                    <w:left w:val="none" w:sz="0" w:space="0" w:color="auto"/>
                    <w:bottom w:val="none" w:sz="0" w:space="0" w:color="auto"/>
                    <w:right w:val="none" w:sz="0" w:space="0" w:color="auto"/>
                  </w:divBdr>
                </w:div>
                <w:div w:id="910820211">
                  <w:marLeft w:val="480"/>
                  <w:marRight w:val="0"/>
                  <w:marTop w:val="0"/>
                  <w:marBottom w:val="0"/>
                  <w:divBdr>
                    <w:top w:val="none" w:sz="0" w:space="0" w:color="auto"/>
                    <w:left w:val="none" w:sz="0" w:space="0" w:color="auto"/>
                    <w:bottom w:val="none" w:sz="0" w:space="0" w:color="auto"/>
                    <w:right w:val="none" w:sz="0" w:space="0" w:color="auto"/>
                  </w:divBdr>
                </w:div>
                <w:div w:id="2060856959">
                  <w:marLeft w:val="480"/>
                  <w:marRight w:val="0"/>
                  <w:marTop w:val="0"/>
                  <w:marBottom w:val="0"/>
                  <w:divBdr>
                    <w:top w:val="none" w:sz="0" w:space="0" w:color="auto"/>
                    <w:left w:val="none" w:sz="0" w:space="0" w:color="auto"/>
                    <w:bottom w:val="none" w:sz="0" w:space="0" w:color="auto"/>
                    <w:right w:val="none" w:sz="0" w:space="0" w:color="auto"/>
                  </w:divBdr>
                </w:div>
                <w:div w:id="794568769">
                  <w:marLeft w:val="480"/>
                  <w:marRight w:val="0"/>
                  <w:marTop w:val="0"/>
                  <w:marBottom w:val="0"/>
                  <w:divBdr>
                    <w:top w:val="none" w:sz="0" w:space="0" w:color="auto"/>
                    <w:left w:val="none" w:sz="0" w:space="0" w:color="auto"/>
                    <w:bottom w:val="none" w:sz="0" w:space="0" w:color="auto"/>
                    <w:right w:val="none" w:sz="0" w:space="0" w:color="auto"/>
                  </w:divBdr>
                </w:div>
                <w:div w:id="316157809">
                  <w:marLeft w:val="480"/>
                  <w:marRight w:val="0"/>
                  <w:marTop w:val="0"/>
                  <w:marBottom w:val="0"/>
                  <w:divBdr>
                    <w:top w:val="none" w:sz="0" w:space="0" w:color="auto"/>
                    <w:left w:val="none" w:sz="0" w:space="0" w:color="auto"/>
                    <w:bottom w:val="none" w:sz="0" w:space="0" w:color="auto"/>
                    <w:right w:val="none" w:sz="0" w:space="0" w:color="auto"/>
                  </w:divBdr>
                </w:div>
                <w:div w:id="2069304396">
                  <w:marLeft w:val="480"/>
                  <w:marRight w:val="0"/>
                  <w:marTop w:val="0"/>
                  <w:marBottom w:val="0"/>
                  <w:divBdr>
                    <w:top w:val="none" w:sz="0" w:space="0" w:color="auto"/>
                    <w:left w:val="none" w:sz="0" w:space="0" w:color="auto"/>
                    <w:bottom w:val="none" w:sz="0" w:space="0" w:color="auto"/>
                    <w:right w:val="none" w:sz="0" w:space="0" w:color="auto"/>
                  </w:divBdr>
                </w:div>
                <w:div w:id="793598565">
                  <w:marLeft w:val="480"/>
                  <w:marRight w:val="0"/>
                  <w:marTop w:val="0"/>
                  <w:marBottom w:val="0"/>
                  <w:divBdr>
                    <w:top w:val="none" w:sz="0" w:space="0" w:color="auto"/>
                    <w:left w:val="none" w:sz="0" w:space="0" w:color="auto"/>
                    <w:bottom w:val="none" w:sz="0" w:space="0" w:color="auto"/>
                    <w:right w:val="none" w:sz="0" w:space="0" w:color="auto"/>
                  </w:divBdr>
                </w:div>
                <w:div w:id="1886605002">
                  <w:marLeft w:val="480"/>
                  <w:marRight w:val="0"/>
                  <w:marTop w:val="0"/>
                  <w:marBottom w:val="0"/>
                  <w:divBdr>
                    <w:top w:val="none" w:sz="0" w:space="0" w:color="auto"/>
                    <w:left w:val="none" w:sz="0" w:space="0" w:color="auto"/>
                    <w:bottom w:val="none" w:sz="0" w:space="0" w:color="auto"/>
                    <w:right w:val="none" w:sz="0" w:space="0" w:color="auto"/>
                  </w:divBdr>
                </w:div>
                <w:div w:id="896472846">
                  <w:marLeft w:val="480"/>
                  <w:marRight w:val="0"/>
                  <w:marTop w:val="0"/>
                  <w:marBottom w:val="0"/>
                  <w:divBdr>
                    <w:top w:val="none" w:sz="0" w:space="0" w:color="auto"/>
                    <w:left w:val="none" w:sz="0" w:space="0" w:color="auto"/>
                    <w:bottom w:val="none" w:sz="0" w:space="0" w:color="auto"/>
                    <w:right w:val="none" w:sz="0" w:space="0" w:color="auto"/>
                  </w:divBdr>
                </w:div>
                <w:div w:id="1463495579">
                  <w:marLeft w:val="480"/>
                  <w:marRight w:val="0"/>
                  <w:marTop w:val="0"/>
                  <w:marBottom w:val="0"/>
                  <w:divBdr>
                    <w:top w:val="none" w:sz="0" w:space="0" w:color="auto"/>
                    <w:left w:val="none" w:sz="0" w:space="0" w:color="auto"/>
                    <w:bottom w:val="none" w:sz="0" w:space="0" w:color="auto"/>
                    <w:right w:val="none" w:sz="0" w:space="0" w:color="auto"/>
                  </w:divBdr>
                </w:div>
                <w:div w:id="297959373">
                  <w:marLeft w:val="480"/>
                  <w:marRight w:val="0"/>
                  <w:marTop w:val="0"/>
                  <w:marBottom w:val="0"/>
                  <w:divBdr>
                    <w:top w:val="none" w:sz="0" w:space="0" w:color="auto"/>
                    <w:left w:val="none" w:sz="0" w:space="0" w:color="auto"/>
                    <w:bottom w:val="none" w:sz="0" w:space="0" w:color="auto"/>
                    <w:right w:val="none" w:sz="0" w:space="0" w:color="auto"/>
                  </w:divBdr>
                </w:div>
                <w:div w:id="74208338">
                  <w:marLeft w:val="480"/>
                  <w:marRight w:val="0"/>
                  <w:marTop w:val="0"/>
                  <w:marBottom w:val="0"/>
                  <w:divBdr>
                    <w:top w:val="none" w:sz="0" w:space="0" w:color="auto"/>
                    <w:left w:val="none" w:sz="0" w:space="0" w:color="auto"/>
                    <w:bottom w:val="none" w:sz="0" w:space="0" w:color="auto"/>
                    <w:right w:val="none" w:sz="0" w:space="0" w:color="auto"/>
                  </w:divBdr>
                </w:div>
                <w:div w:id="1075592871">
                  <w:marLeft w:val="480"/>
                  <w:marRight w:val="0"/>
                  <w:marTop w:val="0"/>
                  <w:marBottom w:val="0"/>
                  <w:divBdr>
                    <w:top w:val="none" w:sz="0" w:space="0" w:color="auto"/>
                    <w:left w:val="none" w:sz="0" w:space="0" w:color="auto"/>
                    <w:bottom w:val="none" w:sz="0" w:space="0" w:color="auto"/>
                    <w:right w:val="none" w:sz="0" w:space="0" w:color="auto"/>
                  </w:divBdr>
                </w:div>
                <w:div w:id="81876262">
                  <w:marLeft w:val="480"/>
                  <w:marRight w:val="0"/>
                  <w:marTop w:val="0"/>
                  <w:marBottom w:val="0"/>
                  <w:divBdr>
                    <w:top w:val="none" w:sz="0" w:space="0" w:color="auto"/>
                    <w:left w:val="none" w:sz="0" w:space="0" w:color="auto"/>
                    <w:bottom w:val="none" w:sz="0" w:space="0" w:color="auto"/>
                    <w:right w:val="none" w:sz="0" w:space="0" w:color="auto"/>
                  </w:divBdr>
                </w:div>
                <w:div w:id="1664897447">
                  <w:marLeft w:val="480"/>
                  <w:marRight w:val="0"/>
                  <w:marTop w:val="0"/>
                  <w:marBottom w:val="0"/>
                  <w:divBdr>
                    <w:top w:val="none" w:sz="0" w:space="0" w:color="auto"/>
                    <w:left w:val="none" w:sz="0" w:space="0" w:color="auto"/>
                    <w:bottom w:val="none" w:sz="0" w:space="0" w:color="auto"/>
                    <w:right w:val="none" w:sz="0" w:space="0" w:color="auto"/>
                  </w:divBdr>
                </w:div>
                <w:div w:id="144014292">
                  <w:marLeft w:val="480"/>
                  <w:marRight w:val="0"/>
                  <w:marTop w:val="0"/>
                  <w:marBottom w:val="0"/>
                  <w:divBdr>
                    <w:top w:val="none" w:sz="0" w:space="0" w:color="auto"/>
                    <w:left w:val="none" w:sz="0" w:space="0" w:color="auto"/>
                    <w:bottom w:val="none" w:sz="0" w:space="0" w:color="auto"/>
                    <w:right w:val="none" w:sz="0" w:space="0" w:color="auto"/>
                  </w:divBdr>
                </w:div>
                <w:div w:id="1830443469">
                  <w:marLeft w:val="480"/>
                  <w:marRight w:val="0"/>
                  <w:marTop w:val="0"/>
                  <w:marBottom w:val="0"/>
                  <w:divBdr>
                    <w:top w:val="none" w:sz="0" w:space="0" w:color="auto"/>
                    <w:left w:val="none" w:sz="0" w:space="0" w:color="auto"/>
                    <w:bottom w:val="none" w:sz="0" w:space="0" w:color="auto"/>
                    <w:right w:val="none" w:sz="0" w:space="0" w:color="auto"/>
                  </w:divBdr>
                </w:div>
                <w:div w:id="680619341">
                  <w:marLeft w:val="480"/>
                  <w:marRight w:val="0"/>
                  <w:marTop w:val="0"/>
                  <w:marBottom w:val="0"/>
                  <w:divBdr>
                    <w:top w:val="none" w:sz="0" w:space="0" w:color="auto"/>
                    <w:left w:val="none" w:sz="0" w:space="0" w:color="auto"/>
                    <w:bottom w:val="none" w:sz="0" w:space="0" w:color="auto"/>
                    <w:right w:val="none" w:sz="0" w:space="0" w:color="auto"/>
                  </w:divBdr>
                </w:div>
                <w:div w:id="25065972">
                  <w:marLeft w:val="480"/>
                  <w:marRight w:val="0"/>
                  <w:marTop w:val="0"/>
                  <w:marBottom w:val="0"/>
                  <w:divBdr>
                    <w:top w:val="none" w:sz="0" w:space="0" w:color="auto"/>
                    <w:left w:val="none" w:sz="0" w:space="0" w:color="auto"/>
                    <w:bottom w:val="none" w:sz="0" w:space="0" w:color="auto"/>
                    <w:right w:val="none" w:sz="0" w:space="0" w:color="auto"/>
                  </w:divBdr>
                </w:div>
                <w:div w:id="992024488">
                  <w:marLeft w:val="480"/>
                  <w:marRight w:val="0"/>
                  <w:marTop w:val="0"/>
                  <w:marBottom w:val="0"/>
                  <w:divBdr>
                    <w:top w:val="none" w:sz="0" w:space="0" w:color="auto"/>
                    <w:left w:val="none" w:sz="0" w:space="0" w:color="auto"/>
                    <w:bottom w:val="none" w:sz="0" w:space="0" w:color="auto"/>
                    <w:right w:val="none" w:sz="0" w:space="0" w:color="auto"/>
                  </w:divBdr>
                </w:div>
                <w:div w:id="906761988">
                  <w:marLeft w:val="480"/>
                  <w:marRight w:val="0"/>
                  <w:marTop w:val="0"/>
                  <w:marBottom w:val="0"/>
                  <w:divBdr>
                    <w:top w:val="none" w:sz="0" w:space="0" w:color="auto"/>
                    <w:left w:val="none" w:sz="0" w:space="0" w:color="auto"/>
                    <w:bottom w:val="none" w:sz="0" w:space="0" w:color="auto"/>
                    <w:right w:val="none" w:sz="0" w:space="0" w:color="auto"/>
                  </w:divBdr>
                </w:div>
                <w:div w:id="762461170">
                  <w:marLeft w:val="480"/>
                  <w:marRight w:val="0"/>
                  <w:marTop w:val="0"/>
                  <w:marBottom w:val="0"/>
                  <w:divBdr>
                    <w:top w:val="none" w:sz="0" w:space="0" w:color="auto"/>
                    <w:left w:val="none" w:sz="0" w:space="0" w:color="auto"/>
                    <w:bottom w:val="none" w:sz="0" w:space="0" w:color="auto"/>
                    <w:right w:val="none" w:sz="0" w:space="0" w:color="auto"/>
                  </w:divBdr>
                </w:div>
                <w:div w:id="1837842370">
                  <w:marLeft w:val="480"/>
                  <w:marRight w:val="0"/>
                  <w:marTop w:val="0"/>
                  <w:marBottom w:val="0"/>
                  <w:divBdr>
                    <w:top w:val="none" w:sz="0" w:space="0" w:color="auto"/>
                    <w:left w:val="none" w:sz="0" w:space="0" w:color="auto"/>
                    <w:bottom w:val="none" w:sz="0" w:space="0" w:color="auto"/>
                    <w:right w:val="none" w:sz="0" w:space="0" w:color="auto"/>
                  </w:divBdr>
                </w:div>
                <w:div w:id="1869176176">
                  <w:marLeft w:val="480"/>
                  <w:marRight w:val="0"/>
                  <w:marTop w:val="0"/>
                  <w:marBottom w:val="0"/>
                  <w:divBdr>
                    <w:top w:val="none" w:sz="0" w:space="0" w:color="auto"/>
                    <w:left w:val="none" w:sz="0" w:space="0" w:color="auto"/>
                    <w:bottom w:val="none" w:sz="0" w:space="0" w:color="auto"/>
                    <w:right w:val="none" w:sz="0" w:space="0" w:color="auto"/>
                  </w:divBdr>
                </w:div>
                <w:div w:id="95029833">
                  <w:marLeft w:val="480"/>
                  <w:marRight w:val="0"/>
                  <w:marTop w:val="0"/>
                  <w:marBottom w:val="0"/>
                  <w:divBdr>
                    <w:top w:val="none" w:sz="0" w:space="0" w:color="auto"/>
                    <w:left w:val="none" w:sz="0" w:space="0" w:color="auto"/>
                    <w:bottom w:val="none" w:sz="0" w:space="0" w:color="auto"/>
                    <w:right w:val="none" w:sz="0" w:space="0" w:color="auto"/>
                  </w:divBdr>
                </w:div>
                <w:div w:id="1683586277">
                  <w:marLeft w:val="480"/>
                  <w:marRight w:val="0"/>
                  <w:marTop w:val="0"/>
                  <w:marBottom w:val="0"/>
                  <w:divBdr>
                    <w:top w:val="none" w:sz="0" w:space="0" w:color="auto"/>
                    <w:left w:val="none" w:sz="0" w:space="0" w:color="auto"/>
                    <w:bottom w:val="none" w:sz="0" w:space="0" w:color="auto"/>
                    <w:right w:val="none" w:sz="0" w:space="0" w:color="auto"/>
                  </w:divBdr>
                </w:div>
                <w:div w:id="1760104166">
                  <w:marLeft w:val="480"/>
                  <w:marRight w:val="0"/>
                  <w:marTop w:val="0"/>
                  <w:marBottom w:val="0"/>
                  <w:divBdr>
                    <w:top w:val="none" w:sz="0" w:space="0" w:color="auto"/>
                    <w:left w:val="none" w:sz="0" w:space="0" w:color="auto"/>
                    <w:bottom w:val="none" w:sz="0" w:space="0" w:color="auto"/>
                    <w:right w:val="none" w:sz="0" w:space="0" w:color="auto"/>
                  </w:divBdr>
                </w:div>
                <w:div w:id="133914900">
                  <w:marLeft w:val="480"/>
                  <w:marRight w:val="0"/>
                  <w:marTop w:val="0"/>
                  <w:marBottom w:val="0"/>
                  <w:divBdr>
                    <w:top w:val="none" w:sz="0" w:space="0" w:color="auto"/>
                    <w:left w:val="none" w:sz="0" w:space="0" w:color="auto"/>
                    <w:bottom w:val="none" w:sz="0" w:space="0" w:color="auto"/>
                    <w:right w:val="none" w:sz="0" w:space="0" w:color="auto"/>
                  </w:divBdr>
                </w:div>
                <w:div w:id="1634290481">
                  <w:marLeft w:val="480"/>
                  <w:marRight w:val="0"/>
                  <w:marTop w:val="0"/>
                  <w:marBottom w:val="0"/>
                  <w:divBdr>
                    <w:top w:val="none" w:sz="0" w:space="0" w:color="auto"/>
                    <w:left w:val="none" w:sz="0" w:space="0" w:color="auto"/>
                    <w:bottom w:val="none" w:sz="0" w:space="0" w:color="auto"/>
                    <w:right w:val="none" w:sz="0" w:space="0" w:color="auto"/>
                  </w:divBdr>
                </w:div>
                <w:div w:id="53356159">
                  <w:marLeft w:val="480"/>
                  <w:marRight w:val="0"/>
                  <w:marTop w:val="0"/>
                  <w:marBottom w:val="0"/>
                  <w:divBdr>
                    <w:top w:val="none" w:sz="0" w:space="0" w:color="auto"/>
                    <w:left w:val="none" w:sz="0" w:space="0" w:color="auto"/>
                    <w:bottom w:val="none" w:sz="0" w:space="0" w:color="auto"/>
                    <w:right w:val="none" w:sz="0" w:space="0" w:color="auto"/>
                  </w:divBdr>
                </w:div>
                <w:div w:id="64496986">
                  <w:marLeft w:val="480"/>
                  <w:marRight w:val="0"/>
                  <w:marTop w:val="0"/>
                  <w:marBottom w:val="0"/>
                  <w:divBdr>
                    <w:top w:val="none" w:sz="0" w:space="0" w:color="auto"/>
                    <w:left w:val="none" w:sz="0" w:space="0" w:color="auto"/>
                    <w:bottom w:val="none" w:sz="0" w:space="0" w:color="auto"/>
                    <w:right w:val="none" w:sz="0" w:space="0" w:color="auto"/>
                  </w:divBdr>
                </w:div>
                <w:div w:id="112293468">
                  <w:marLeft w:val="480"/>
                  <w:marRight w:val="0"/>
                  <w:marTop w:val="0"/>
                  <w:marBottom w:val="0"/>
                  <w:divBdr>
                    <w:top w:val="none" w:sz="0" w:space="0" w:color="auto"/>
                    <w:left w:val="none" w:sz="0" w:space="0" w:color="auto"/>
                    <w:bottom w:val="none" w:sz="0" w:space="0" w:color="auto"/>
                    <w:right w:val="none" w:sz="0" w:space="0" w:color="auto"/>
                  </w:divBdr>
                </w:div>
                <w:div w:id="1880971601">
                  <w:marLeft w:val="480"/>
                  <w:marRight w:val="0"/>
                  <w:marTop w:val="0"/>
                  <w:marBottom w:val="0"/>
                  <w:divBdr>
                    <w:top w:val="none" w:sz="0" w:space="0" w:color="auto"/>
                    <w:left w:val="none" w:sz="0" w:space="0" w:color="auto"/>
                    <w:bottom w:val="none" w:sz="0" w:space="0" w:color="auto"/>
                    <w:right w:val="none" w:sz="0" w:space="0" w:color="auto"/>
                  </w:divBdr>
                </w:div>
                <w:div w:id="137115440">
                  <w:marLeft w:val="480"/>
                  <w:marRight w:val="0"/>
                  <w:marTop w:val="0"/>
                  <w:marBottom w:val="0"/>
                  <w:divBdr>
                    <w:top w:val="none" w:sz="0" w:space="0" w:color="auto"/>
                    <w:left w:val="none" w:sz="0" w:space="0" w:color="auto"/>
                    <w:bottom w:val="none" w:sz="0" w:space="0" w:color="auto"/>
                    <w:right w:val="none" w:sz="0" w:space="0" w:color="auto"/>
                  </w:divBdr>
                </w:div>
                <w:div w:id="1405566550">
                  <w:marLeft w:val="480"/>
                  <w:marRight w:val="0"/>
                  <w:marTop w:val="0"/>
                  <w:marBottom w:val="0"/>
                  <w:divBdr>
                    <w:top w:val="none" w:sz="0" w:space="0" w:color="auto"/>
                    <w:left w:val="none" w:sz="0" w:space="0" w:color="auto"/>
                    <w:bottom w:val="none" w:sz="0" w:space="0" w:color="auto"/>
                    <w:right w:val="none" w:sz="0" w:space="0" w:color="auto"/>
                  </w:divBdr>
                </w:div>
                <w:div w:id="679937312">
                  <w:marLeft w:val="480"/>
                  <w:marRight w:val="0"/>
                  <w:marTop w:val="0"/>
                  <w:marBottom w:val="0"/>
                  <w:divBdr>
                    <w:top w:val="none" w:sz="0" w:space="0" w:color="auto"/>
                    <w:left w:val="none" w:sz="0" w:space="0" w:color="auto"/>
                    <w:bottom w:val="none" w:sz="0" w:space="0" w:color="auto"/>
                    <w:right w:val="none" w:sz="0" w:space="0" w:color="auto"/>
                  </w:divBdr>
                </w:div>
                <w:div w:id="629483696">
                  <w:marLeft w:val="480"/>
                  <w:marRight w:val="0"/>
                  <w:marTop w:val="0"/>
                  <w:marBottom w:val="0"/>
                  <w:divBdr>
                    <w:top w:val="none" w:sz="0" w:space="0" w:color="auto"/>
                    <w:left w:val="none" w:sz="0" w:space="0" w:color="auto"/>
                    <w:bottom w:val="none" w:sz="0" w:space="0" w:color="auto"/>
                    <w:right w:val="none" w:sz="0" w:space="0" w:color="auto"/>
                  </w:divBdr>
                </w:div>
                <w:div w:id="872037332">
                  <w:marLeft w:val="480"/>
                  <w:marRight w:val="0"/>
                  <w:marTop w:val="0"/>
                  <w:marBottom w:val="0"/>
                  <w:divBdr>
                    <w:top w:val="none" w:sz="0" w:space="0" w:color="auto"/>
                    <w:left w:val="none" w:sz="0" w:space="0" w:color="auto"/>
                    <w:bottom w:val="none" w:sz="0" w:space="0" w:color="auto"/>
                    <w:right w:val="none" w:sz="0" w:space="0" w:color="auto"/>
                  </w:divBdr>
                </w:div>
                <w:div w:id="660155194">
                  <w:marLeft w:val="480"/>
                  <w:marRight w:val="0"/>
                  <w:marTop w:val="0"/>
                  <w:marBottom w:val="0"/>
                  <w:divBdr>
                    <w:top w:val="none" w:sz="0" w:space="0" w:color="auto"/>
                    <w:left w:val="none" w:sz="0" w:space="0" w:color="auto"/>
                    <w:bottom w:val="none" w:sz="0" w:space="0" w:color="auto"/>
                    <w:right w:val="none" w:sz="0" w:space="0" w:color="auto"/>
                  </w:divBdr>
                </w:div>
                <w:div w:id="1213349786">
                  <w:marLeft w:val="480"/>
                  <w:marRight w:val="0"/>
                  <w:marTop w:val="0"/>
                  <w:marBottom w:val="0"/>
                  <w:divBdr>
                    <w:top w:val="none" w:sz="0" w:space="0" w:color="auto"/>
                    <w:left w:val="none" w:sz="0" w:space="0" w:color="auto"/>
                    <w:bottom w:val="none" w:sz="0" w:space="0" w:color="auto"/>
                    <w:right w:val="none" w:sz="0" w:space="0" w:color="auto"/>
                  </w:divBdr>
                </w:div>
                <w:div w:id="982078122">
                  <w:marLeft w:val="480"/>
                  <w:marRight w:val="0"/>
                  <w:marTop w:val="0"/>
                  <w:marBottom w:val="0"/>
                  <w:divBdr>
                    <w:top w:val="none" w:sz="0" w:space="0" w:color="auto"/>
                    <w:left w:val="none" w:sz="0" w:space="0" w:color="auto"/>
                    <w:bottom w:val="none" w:sz="0" w:space="0" w:color="auto"/>
                    <w:right w:val="none" w:sz="0" w:space="0" w:color="auto"/>
                  </w:divBdr>
                </w:div>
                <w:div w:id="2027709658">
                  <w:marLeft w:val="480"/>
                  <w:marRight w:val="0"/>
                  <w:marTop w:val="0"/>
                  <w:marBottom w:val="0"/>
                  <w:divBdr>
                    <w:top w:val="none" w:sz="0" w:space="0" w:color="auto"/>
                    <w:left w:val="none" w:sz="0" w:space="0" w:color="auto"/>
                    <w:bottom w:val="none" w:sz="0" w:space="0" w:color="auto"/>
                    <w:right w:val="none" w:sz="0" w:space="0" w:color="auto"/>
                  </w:divBdr>
                </w:div>
                <w:div w:id="659114439">
                  <w:marLeft w:val="480"/>
                  <w:marRight w:val="0"/>
                  <w:marTop w:val="0"/>
                  <w:marBottom w:val="0"/>
                  <w:divBdr>
                    <w:top w:val="none" w:sz="0" w:space="0" w:color="auto"/>
                    <w:left w:val="none" w:sz="0" w:space="0" w:color="auto"/>
                    <w:bottom w:val="none" w:sz="0" w:space="0" w:color="auto"/>
                    <w:right w:val="none" w:sz="0" w:space="0" w:color="auto"/>
                  </w:divBdr>
                </w:div>
                <w:div w:id="219563269">
                  <w:marLeft w:val="480"/>
                  <w:marRight w:val="0"/>
                  <w:marTop w:val="0"/>
                  <w:marBottom w:val="0"/>
                  <w:divBdr>
                    <w:top w:val="none" w:sz="0" w:space="0" w:color="auto"/>
                    <w:left w:val="none" w:sz="0" w:space="0" w:color="auto"/>
                    <w:bottom w:val="none" w:sz="0" w:space="0" w:color="auto"/>
                    <w:right w:val="none" w:sz="0" w:space="0" w:color="auto"/>
                  </w:divBdr>
                </w:div>
                <w:div w:id="1894384719">
                  <w:marLeft w:val="480"/>
                  <w:marRight w:val="0"/>
                  <w:marTop w:val="0"/>
                  <w:marBottom w:val="0"/>
                  <w:divBdr>
                    <w:top w:val="none" w:sz="0" w:space="0" w:color="auto"/>
                    <w:left w:val="none" w:sz="0" w:space="0" w:color="auto"/>
                    <w:bottom w:val="none" w:sz="0" w:space="0" w:color="auto"/>
                    <w:right w:val="none" w:sz="0" w:space="0" w:color="auto"/>
                  </w:divBdr>
                </w:div>
                <w:div w:id="1209729976">
                  <w:marLeft w:val="480"/>
                  <w:marRight w:val="0"/>
                  <w:marTop w:val="0"/>
                  <w:marBottom w:val="0"/>
                  <w:divBdr>
                    <w:top w:val="none" w:sz="0" w:space="0" w:color="auto"/>
                    <w:left w:val="none" w:sz="0" w:space="0" w:color="auto"/>
                    <w:bottom w:val="none" w:sz="0" w:space="0" w:color="auto"/>
                    <w:right w:val="none" w:sz="0" w:space="0" w:color="auto"/>
                  </w:divBdr>
                </w:div>
                <w:div w:id="275791491">
                  <w:marLeft w:val="480"/>
                  <w:marRight w:val="0"/>
                  <w:marTop w:val="0"/>
                  <w:marBottom w:val="0"/>
                  <w:divBdr>
                    <w:top w:val="none" w:sz="0" w:space="0" w:color="auto"/>
                    <w:left w:val="none" w:sz="0" w:space="0" w:color="auto"/>
                    <w:bottom w:val="none" w:sz="0" w:space="0" w:color="auto"/>
                    <w:right w:val="none" w:sz="0" w:space="0" w:color="auto"/>
                  </w:divBdr>
                </w:div>
                <w:div w:id="702873982">
                  <w:marLeft w:val="480"/>
                  <w:marRight w:val="0"/>
                  <w:marTop w:val="0"/>
                  <w:marBottom w:val="0"/>
                  <w:divBdr>
                    <w:top w:val="none" w:sz="0" w:space="0" w:color="auto"/>
                    <w:left w:val="none" w:sz="0" w:space="0" w:color="auto"/>
                    <w:bottom w:val="none" w:sz="0" w:space="0" w:color="auto"/>
                    <w:right w:val="none" w:sz="0" w:space="0" w:color="auto"/>
                  </w:divBdr>
                </w:div>
                <w:div w:id="573005295">
                  <w:marLeft w:val="480"/>
                  <w:marRight w:val="0"/>
                  <w:marTop w:val="0"/>
                  <w:marBottom w:val="0"/>
                  <w:divBdr>
                    <w:top w:val="none" w:sz="0" w:space="0" w:color="auto"/>
                    <w:left w:val="none" w:sz="0" w:space="0" w:color="auto"/>
                    <w:bottom w:val="none" w:sz="0" w:space="0" w:color="auto"/>
                    <w:right w:val="none" w:sz="0" w:space="0" w:color="auto"/>
                  </w:divBdr>
                </w:div>
                <w:div w:id="1219248282">
                  <w:marLeft w:val="480"/>
                  <w:marRight w:val="0"/>
                  <w:marTop w:val="0"/>
                  <w:marBottom w:val="0"/>
                  <w:divBdr>
                    <w:top w:val="none" w:sz="0" w:space="0" w:color="auto"/>
                    <w:left w:val="none" w:sz="0" w:space="0" w:color="auto"/>
                    <w:bottom w:val="none" w:sz="0" w:space="0" w:color="auto"/>
                    <w:right w:val="none" w:sz="0" w:space="0" w:color="auto"/>
                  </w:divBdr>
                </w:div>
                <w:div w:id="1583762316">
                  <w:marLeft w:val="480"/>
                  <w:marRight w:val="0"/>
                  <w:marTop w:val="0"/>
                  <w:marBottom w:val="0"/>
                  <w:divBdr>
                    <w:top w:val="none" w:sz="0" w:space="0" w:color="auto"/>
                    <w:left w:val="none" w:sz="0" w:space="0" w:color="auto"/>
                    <w:bottom w:val="none" w:sz="0" w:space="0" w:color="auto"/>
                    <w:right w:val="none" w:sz="0" w:space="0" w:color="auto"/>
                  </w:divBdr>
                </w:div>
                <w:div w:id="43336556">
                  <w:marLeft w:val="480"/>
                  <w:marRight w:val="0"/>
                  <w:marTop w:val="0"/>
                  <w:marBottom w:val="0"/>
                  <w:divBdr>
                    <w:top w:val="none" w:sz="0" w:space="0" w:color="auto"/>
                    <w:left w:val="none" w:sz="0" w:space="0" w:color="auto"/>
                    <w:bottom w:val="none" w:sz="0" w:space="0" w:color="auto"/>
                    <w:right w:val="none" w:sz="0" w:space="0" w:color="auto"/>
                  </w:divBdr>
                </w:div>
                <w:div w:id="770903685">
                  <w:marLeft w:val="480"/>
                  <w:marRight w:val="0"/>
                  <w:marTop w:val="0"/>
                  <w:marBottom w:val="0"/>
                  <w:divBdr>
                    <w:top w:val="none" w:sz="0" w:space="0" w:color="auto"/>
                    <w:left w:val="none" w:sz="0" w:space="0" w:color="auto"/>
                    <w:bottom w:val="none" w:sz="0" w:space="0" w:color="auto"/>
                    <w:right w:val="none" w:sz="0" w:space="0" w:color="auto"/>
                  </w:divBdr>
                </w:div>
                <w:div w:id="952059237">
                  <w:marLeft w:val="480"/>
                  <w:marRight w:val="0"/>
                  <w:marTop w:val="0"/>
                  <w:marBottom w:val="0"/>
                  <w:divBdr>
                    <w:top w:val="none" w:sz="0" w:space="0" w:color="auto"/>
                    <w:left w:val="none" w:sz="0" w:space="0" w:color="auto"/>
                    <w:bottom w:val="none" w:sz="0" w:space="0" w:color="auto"/>
                    <w:right w:val="none" w:sz="0" w:space="0" w:color="auto"/>
                  </w:divBdr>
                </w:div>
                <w:div w:id="1304115560">
                  <w:marLeft w:val="480"/>
                  <w:marRight w:val="0"/>
                  <w:marTop w:val="0"/>
                  <w:marBottom w:val="0"/>
                  <w:divBdr>
                    <w:top w:val="none" w:sz="0" w:space="0" w:color="auto"/>
                    <w:left w:val="none" w:sz="0" w:space="0" w:color="auto"/>
                    <w:bottom w:val="none" w:sz="0" w:space="0" w:color="auto"/>
                    <w:right w:val="none" w:sz="0" w:space="0" w:color="auto"/>
                  </w:divBdr>
                </w:div>
                <w:div w:id="264190967">
                  <w:marLeft w:val="480"/>
                  <w:marRight w:val="0"/>
                  <w:marTop w:val="0"/>
                  <w:marBottom w:val="0"/>
                  <w:divBdr>
                    <w:top w:val="none" w:sz="0" w:space="0" w:color="auto"/>
                    <w:left w:val="none" w:sz="0" w:space="0" w:color="auto"/>
                    <w:bottom w:val="none" w:sz="0" w:space="0" w:color="auto"/>
                    <w:right w:val="none" w:sz="0" w:space="0" w:color="auto"/>
                  </w:divBdr>
                </w:div>
                <w:div w:id="937905176">
                  <w:marLeft w:val="480"/>
                  <w:marRight w:val="0"/>
                  <w:marTop w:val="0"/>
                  <w:marBottom w:val="0"/>
                  <w:divBdr>
                    <w:top w:val="none" w:sz="0" w:space="0" w:color="auto"/>
                    <w:left w:val="none" w:sz="0" w:space="0" w:color="auto"/>
                    <w:bottom w:val="none" w:sz="0" w:space="0" w:color="auto"/>
                    <w:right w:val="none" w:sz="0" w:space="0" w:color="auto"/>
                  </w:divBdr>
                </w:div>
                <w:div w:id="1414349994">
                  <w:marLeft w:val="480"/>
                  <w:marRight w:val="0"/>
                  <w:marTop w:val="0"/>
                  <w:marBottom w:val="0"/>
                  <w:divBdr>
                    <w:top w:val="none" w:sz="0" w:space="0" w:color="auto"/>
                    <w:left w:val="none" w:sz="0" w:space="0" w:color="auto"/>
                    <w:bottom w:val="none" w:sz="0" w:space="0" w:color="auto"/>
                    <w:right w:val="none" w:sz="0" w:space="0" w:color="auto"/>
                  </w:divBdr>
                </w:div>
                <w:div w:id="1954170616">
                  <w:marLeft w:val="480"/>
                  <w:marRight w:val="0"/>
                  <w:marTop w:val="0"/>
                  <w:marBottom w:val="0"/>
                  <w:divBdr>
                    <w:top w:val="none" w:sz="0" w:space="0" w:color="auto"/>
                    <w:left w:val="none" w:sz="0" w:space="0" w:color="auto"/>
                    <w:bottom w:val="none" w:sz="0" w:space="0" w:color="auto"/>
                    <w:right w:val="none" w:sz="0" w:space="0" w:color="auto"/>
                  </w:divBdr>
                </w:div>
                <w:div w:id="1448500501">
                  <w:marLeft w:val="480"/>
                  <w:marRight w:val="0"/>
                  <w:marTop w:val="0"/>
                  <w:marBottom w:val="0"/>
                  <w:divBdr>
                    <w:top w:val="none" w:sz="0" w:space="0" w:color="auto"/>
                    <w:left w:val="none" w:sz="0" w:space="0" w:color="auto"/>
                    <w:bottom w:val="none" w:sz="0" w:space="0" w:color="auto"/>
                    <w:right w:val="none" w:sz="0" w:space="0" w:color="auto"/>
                  </w:divBdr>
                </w:div>
                <w:div w:id="591162740">
                  <w:marLeft w:val="480"/>
                  <w:marRight w:val="0"/>
                  <w:marTop w:val="0"/>
                  <w:marBottom w:val="0"/>
                  <w:divBdr>
                    <w:top w:val="none" w:sz="0" w:space="0" w:color="auto"/>
                    <w:left w:val="none" w:sz="0" w:space="0" w:color="auto"/>
                    <w:bottom w:val="none" w:sz="0" w:space="0" w:color="auto"/>
                    <w:right w:val="none" w:sz="0" w:space="0" w:color="auto"/>
                  </w:divBdr>
                </w:div>
                <w:div w:id="1421875438">
                  <w:marLeft w:val="480"/>
                  <w:marRight w:val="0"/>
                  <w:marTop w:val="0"/>
                  <w:marBottom w:val="0"/>
                  <w:divBdr>
                    <w:top w:val="none" w:sz="0" w:space="0" w:color="auto"/>
                    <w:left w:val="none" w:sz="0" w:space="0" w:color="auto"/>
                    <w:bottom w:val="none" w:sz="0" w:space="0" w:color="auto"/>
                    <w:right w:val="none" w:sz="0" w:space="0" w:color="auto"/>
                  </w:divBdr>
                </w:div>
                <w:div w:id="1403872648">
                  <w:marLeft w:val="480"/>
                  <w:marRight w:val="0"/>
                  <w:marTop w:val="0"/>
                  <w:marBottom w:val="0"/>
                  <w:divBdr>
                    <w:top w:val="none" w:sz="0" w:space="0" w:color="auto"/>
                    <w:left w:val="none" w:sz="0" w:space="0" w:color="auto"/>
                    <w:bottom w:val="none" w:sz="0" w:space="0" w:color="auto"/>
                    <w:right w:val="none" w:sz="0" w:space="0" w:color="auto"/>
                  </w:divBdr>
                </w:div>
                <w:div w:id="1906841446">
                  <w:marLeft w:val="480"/>
                  <w:marRight w:val="0"/>
                  <w:marTop w:val="0"/>
                  <w:marBottom w:val="0"/>
                  <w:divBdr>
                    <w:top w:val="none" w:sz="0" w:space="0" w:color="auto"/>
                    <w:left w:val="none" w:sz="0" w:space="0" w:color="auto"/>
                    <w:bottom w:val="none" w:sz="0" w:space="0" w:color="auto"/>
                    <w:right w:val="none" w:sz="0" w:space="0" w:color="auto"/>
                  </w:divBdr>
                </w:div>
                <w:div w:id="1314456209">
                  <w:marLeft w:val="480"/>
                  <w:marRight w:val="0"/>
                  <w:marTop w:val="0"/>
                  <w:marBottom w:val="0"/>
                  <w:divBdr>
                    <w:top w:val="none" w:sz="0" w:space="0" w:color="auto"/>
                    <w:left w:val="none" w:sz="0" w:space="0" w:color="auto"/>
                    <w:bottom w:val="none" w:sz="0" w:space="0" w:color="auto"/>
                    <w:right w:val="none" w:sz="0" w:space="0" w:color="auto"/>
                  </w:divBdr>
                </w:div>
                <w:div w:id="1391923004">
                  <w:marLeft w:val="480"/>
                  <w:marRight w:val="0"/>
                  <w:marTop w:val="0"/>
                  <w:marBottom w:val="0"/>
                  <w:divBdr>
                    <w:top w:val="none" w:sz="0" w:space="0" w:color="auto"/>
                    <w:left w:val="none" w:sz="0" w:space="0" w:color="auto"/>
                    <w:bottom w:val="none" w:sz="0" w:space="0" w:color="auto"/>
                    <w:right w:val="none" w:sz="0" w:space="0" w:color="auto"/>
                  </w:divBdr>
                </w:div>
                <w:div w:id="364597774">
                  <w:marLeft w:val="480"/>
                  <w:marRight w:val="0"/>
                  <w:marTop w:val="0"/>
                  <w:marBottom w:val="0"/>
                  <w:divBdr>
                    <w:top w:val="none" w:sz="0" w:space="0" w:color="auto"/>
                    <w:left w:val="none" w:sz="0" w:space="0" w:color="auto"/>
                    <w:bottom w:val="none" w:sz="0" w:space="0" w:color="auto"/>
                    <w:right w:val="none" w:sz="0" w:space="0" w:color="auto"/>
                  </w:divBdr>
                </w:div>
                <w:div w:id="2093232125">
                  <w:marLeft w:val="480"/>
                  <w:marRight w:val="0"/>
                  <w:marTop w:val="0"/>
                  <w:marBottom w:val="0"/>
                  <w:divBdr>
                    <w:top w:val="none" w:sz="0" w:space="0" w:color="auto"/>
                    <w:left w:val="none" w:sz="0" w:space="0" w:color="auto"/>
                    <w:bottom w:val="none" w:sz="0" w:space="0" w:color="auto"/>
                    <w:right w:val="none" w:sz="0" w:space="0" w:color="auto"/>
                  </w:divBdr>
                </w:div>
                <w:div w:id="384185687">
                  <w:marLeft w:val="480"/>
                  <w:marRight w:val="0"/>
                  <w:marTop w:val="0"/>
                  <w:marBottom w:val="0"/>
                  <w:divBdr>
                    <w:top w:val="none" w:sz="0" w:space="0" w:color="auto"/>
                    <w:left w:val="none" w:sz="0" w:space="0" w:color="auto"/>
                    <w:bottom w:val="none" w:sz="0" w:space="0" w:color="auto"/>
                    <w:right w:val="none" w:sz="0" w:space="0" w:color="auto"/>
                  </w:divBdr>
                </w:div>
                <w:div w:id="1817451763">
                  <w:marLeft w:val="480"/>
                  <w:marRight w:val="0"/>
                  <w:marTop w:val="0"/>
                  <w:marBottom w:val="0"/>
                  <w:divBdr>
                    <w:top w:val="none" w:sz="0" w:space="0" w:color="auto"/>
                    <w:left w:val="none" w:sz="0" w:space="0" w:color="auto"/>
                    <w:bottom w:val="none" w:sz="0" w:space="0" w:color="auto"/>
                    <w:right w:val="none" w:sz="0" w:space="0" w:color="auto"/>
                  </w:divBdr>
                </w:div>
                <w:div w:id="728378302">
                  <w:marLeft w:val="480"/>
                  <w:marRight w:val="0"/>
                  <w:marTop w:val="0"/>
                  <w:marBottom w:val="0"/>
                  <w:divBdr>
                    <w:top w:val="none" w:sz="0" w:space="0" w:color="auto"/>
                    <w:left w:val="none" w:sz="0" w:space="0" w:color="auto"/>
                    <w:bottom w:val="none" w:sz="0" w:space="0" w:color="auto"/>
                    <w:right w:val="none" w:sz="0" w:space="0" w:color="auto"/>
                  </w:divBdr>
                </w:div>
                <w:div w:id="199514605">
                  <w:marLeft w:val="480"/>
                  <w:marRight w:val="0"/>
                  <w:marTop w:val="0"/>
                  <w:marBottom w:val="0"/>
                  <w:divBdr>
                    <w:top w:val="none" w:sz="0" w:space="0" w:color="auto"/>
                    <w:left w:val="none" w:sz="0" w:space="0" w:color="auto"/>
                    <w:bottom w:val="none" w:sz="0" w:space="0" w:color="auto"/>
                    <w:right w:val="none" w:sz="0" w:space="0" w:color="auto"/>
                  </w:divBdr>
                </w:div>
                <w:div w:id="532304818">
                  <w:marLeft w:val="480"/>
                  <w:marRight w:val="0"/>
                  <w:marTop w:val="0"/>
                  <w:marBottom w:val="0"/>
                  <w:divBdr>
                    <w:top w:val="none" w:sz="0" w:space="0" w:color="auto"/>
                    <w:left w:val="none" w:sz="0" w:space="0" w:color="auto"/>
                    <w:bottom w:val="none" w:sz="0" w:space="0" w:color="auto"/>
                    <w:right w:val="none" w:sz="0" w:space="0" w:color="auto"/>
                  </w:divBdr>
                </w:div>
                <w:div w:id="809714065">
                  <w:marLeft w:val="480"/>
                  <w:marRight w:val="0"/>
                  <w:marTop w:val="0"/>
                  <w:marBottom w:val="0"/>
                  <w:divBdr>
                    <w:top w:val="none" w:sz="0" w:space="0" w:color="auto"/>
                    <w:left w:val="none" w:sz="0" w:space="0" w:color="auto"/>
                    <w:bottom w:val="none" w:sz="0" w:space="0" w:color="auto"/>
                    <w:right w:val="none" w:sz="0" w:space="0" w:color="auto"/>
                  </w:divBdr>
                </w:div>
                <w:div w:id="776145597">
                  <w:marLeft w:val="480"/>
                  <w:marRight w:val="0"/>
                  <w:marTop w:val="0"/>
                  <w:marBottom w:val="0"/>
                  <w:divBdr>
                    <w:top w:val="none" w:sz="0" w:space="0" w:color="auto"/>
                    <w:left w:val="none" w:sz="0" w:space="0" w:color="auto"/>
                    <w:bottom w:val="none" w:sz="0" w:space="0" w:color="auto"/>
                    <w:right w:val="none" w:sz="0" w:space="0" w:color="auto"/>
                  </w:divBdr>
                </w:div>
                <w:div w:id="107552216">
                  <w:marLeft w:val="480"/>
                  <w:marRight w:val="0"/>
                  <w:marTop w:val="0"/>
                  <w:marBottom w:val="0"/>
                  <w:divBdr>
                    <w:top w:val="none" w:sz="0" w:space="0" w:color="auto"/>
                    <w:left w:val="none" w:sz="0" w:space="0" w:color="auto"/>
                    <w:bottom w:val="none" w:sz="0" w:space="0" w:color="auto"/>
                    <w:right w:val="none" w:sz="0" w:space="0" w:color="auto"/>
                  </w:divBdr>
                </w:div>
                <w:div w:id="1695114184">
                  <w:marLeft w:val="480"/>
                  <w:marRight w:val="0"/>
                  <w:marTop w:val="0"/>
                  <w:marBottom w:val="0"/>
                  <w:divBdr>
                    <w:top w:val="none" w:sz="0" w:space="0" w:color="auto"/>
                    <w:left w:val="none" w:sz="0" w:space="0" w:color="auto"/>
                    <w:bottom w:val="none" w:sz="0" w:space="0" w:color="auto"/>
                    <w:right w:val="none" w:sz="0" w:space="0" w:color="auto"/>
                  </w:divBdr>
                </w:div>
                <w:div w:id="1288507702">
                  <w:marLeft w:val="480"/>
                  <w:marRight w:val="0"/>
                  <w:marTop w:val="0"/>
                  <w:marBottom w:val="0"/>
                  <w:divBdr>
                    <w:top w:val="none" w:sz="0" w:space="0" w:color="auto"/>
                    <w:left w:val="none" w:sz="0" w:space="0" w:color="auto"/>
                    <w:bottom w:val="none" w:sz="0" w:space="0" w:color="auto"/>
                    <w:right w:val="none" w:sz="0" w:space="0" w:color="auto"/>
                  </w:divBdr>
                </w:div>
                <w:div w:id="797996538">
                  <w:marLeft w:val="480"/>
                  <w:marRight w:val="0"/>
                  <w:marTop w:val="0"/>
                  <w:marBottom w:val="0"/>
                  <w:divBdr>
                    <w:top w:val="none" w:sz="0" w:space="0" w:color="auto"/>
                    <w:left w:val="none" w:sz="0" w:space="0" w:color="auto"/>
                    <w:bottom w:val="none" w:sz="0" w:space="0" w:color="auto"/>
                    <w:right w:val="none" w:sz="0" w:space="0" w:color="auto"/>
                  </w:divBdr>
                </w:div>
                <w:div w:id="2005010969">
                  <w:marLeft w:val="480"/>
                  <w:marRight w:val="0"/>
                  <w:marTop w:val="0"/>
                  <w:marBottom w:val="0"/>
                  <w:divBdr>
                    <w:top w:val="none" w:sz="0" w:space="0" w:color="auto"/>
                    <w:left w:val="none" w:sz="0" w:space="0" w:color="auto"/>
                    <w:bottom w:val="none" w:sz="0" w:space="0" w:color="auto"/>
                    <w:right w:val="none" w:sz="0" w:space="0" w:color="auto"/>
                  </w:divBdr>
                </w:div>
                <w:div w:id="1122849673">
                  <w:marLeft w:val="480"/>
                  <w:marRight w:val="0"/>
                  <w:marTop w:val="0"/>
                  <w:marBottom w:val="0"/>
                  <w:divBdr>
                    <w:top w:val="none" w:sz="0" w:space="0" w:color="auto"/>
                    <w:left w:val="none" w:sz="0" w:space="0" w:color="auto"/>
                    <w:bottom w:val="none" w:sz="0" w:space="0" w:color="auto"/>
                    <w:right w:val="none" w:sz="0" w:space="0" w:color="auto"/>
                  </w:divBdr>
                </w:div>
                <w:div w:id="63574675">
                  <w:marLeft w:val="480"/>
                  <w:marRight w:val="0"/>
                  <w:marTop w:val="0"/>
                  <w:marBottom w:val="0"/>
                  <w:divBdr>
                    <w:top w:val="none" w:sz="0" w:space="0" w:color="auto"/>
                    <w:left w:val="none" w:sz="0" w:space="0" w:color="auto"/>
                    <w:bottom w:val="none" w:sz="0" w:space="0" w:color="auto"/>
                    <w:right w:val="none" w:sz="0" w:space="0" w:color="auto"/>
                  </w:divBdr>
                </w:div>
                <w:div w:id="1158107737">
                  <w:marLeft w:val="480"/>
                  <w:marRight w:val="0"/>
                  <w:marTop w:val="0"/>
                  <w:marBottom w:val="0"/>
                  <w:divBdr>
                    <w:top w:val="none" w:sz="0" w:space="0" w:color="auto"/>
                    <w:left w:val="none" w:sz="0" w:space="0" w:color="auto"/>
                    <w:bottom w:val="none" w:sz="0" w:space="0" w:color="auto"/>
                    <w:right w:val="none" w:sz="0" w:space="0" w:color="auto"/>
                  </w:divBdr>
                </w:div>
                <w:div w:id="1248078082">
                  <w:marLeft w:val="480"/>
                  <w:marRight w:val="0"/>
                  <w:marTop w:val="0"/>
                  <w:marBottom w:val="0"/>
                  <w:divBdr>
                    <w:top w:val="none" w:sz="0" w:space="0" w:color="auto"/>
                    <w:left w:val="none" w:sz="0" w:space="0" w:color="auto"/>
                    <w:bottom w:val="none" w:sz="0" w:space="0" w:color="auto"/>
                    <w:right w:val="none" w:sz="0" w:space="0" w:color="auto"/>
                  </w:divBdr>
                </w:div>
                <w:div w:id="106581202">
                  <w:marLeft w:val="480"/>
                  <w:marRight w:val="0"/>
                  <w:marTop w:val="0"/>
                  <w:marBottom w:val="0"/>
                  <w:divBdr>
                    <w:top w:val="none" w:sz="0" w:space="0" w:color="auto"/>
                    <w:left w:val="none" w:sz="0" w:space="0" w:color="auto"/>
                    <w:bottom w:val="none" w:sz="0" w:space="0" w:color="auto"/>
                    <w:right w:val="none" w:sz="0" w:space="0" w:color="auto"/>
                  </w:divBdr>
                </w:div>
                <w:div w:id="301007794">
                  <w:marLeft w:val="480"/>
                  <w:marRight w:val="0"/>
                  <w:marTop w:val="0"/>
                  <w:marBottom w:val="0"/>
                  <w:divBdr>
                    <w:top w:val="none" w:sz="0" w:space="0" w:color="auto"/>
                    <w:left w:val="none" w:sz="0" w:space="0" w:color="auto"/>
                    <w:bottom w:val="none" w:sz="0" w:space="0" w:color="auto"/>
                    <w:right w:val="none" w:sz="0" w:space="0" w:color="auto"/>
                  </w:divBdr>
                </w:div>
                <w:div w:id="1761827301">
                  <w:marLeft w:val="480"/>
                  <w:marRight w:val="0"/>
                  <w:marTop w:val="0"/>
                  <w:marBottom w:val="0"/>
                  <w:divBdr>
                    <w:top w:val="none" w:sz="0" w:space="0" w:color="auto"/>
                    <w:left w:val="none" w:sz="0" w:space="0" w:color="auto"/>
                    <w:bottom w:val="none" w:sz="0" w:space="0" w:color="auto"/>
                    <w:right w:val="none" w:sz="0" w:space="0" w:color="auto"/>
                  </w:divBdr>
                </w:div>
                <w:div w:id="530144540">
                  <w:marLeft w:val="480"/>
                  <w:marRight w:val="0"/>
                  <w:marTop w:val="0"/>
                  <w:marBottom w:val="0"/>
                  <w:divBdr>
                    <w:top w:val="none" w:sz="0" w:space="0" w:color="auto"/>
                    <w:left w:val="none" w:sz="0" w:space="0" w:color="auto"/>
                    <w:bottom w:val="none" w:sz="0" w:space="0" w:color="auto"/>
                    <w:right w:val="none" w:sz="0" w:space="0" w:color="auto"/>
                  </w:divBdr>
                </w:div>
                <w:div w:id="1448354193">
                  <w:marLeft w:val="480"/>
                  <w:marRight w:val="0"/>
                  <w:marTop w:val="0"/>
                  <w:marBottom w:val="0"/>
                  <w:divBdr>
                    <w:top w:val="none" w:sz="0" w:space="0" w:color="auto"/>
                    <w:left w:val="none" w:sz="0" w:space="0" w:color="auto"/>
                    <w:bottom w:val="none" w:sz="0" w:space="0" w:color="auto"/>
                    <w:right w:val="none" w:sz="0" w:space="0" w:color="auto"/>
                  </w:divBdr>
                </w:div>
                <w:div w:id="60910412">
                  <w:marLeft w:val="480"/>
                  <w:marRight w:val="0"/>
                  <w:marTop w:val="0"/>
                  <w:marBottom w:val="0"/>
                  <w:divBdr>
                    <w:top w:val="none" w:sz="0" w:space="0" w:color="auto"/>
                    <w:left w:val="none" w:sz="0" w:space="0" w:color="auto"/>
                    <w:bottom w:val="none" w:sz="0" w:space="0" w:color="auto"/>
                    <w:right w:val="none" w:sz="0" w:space="0" w:color="auto"/>
                  </w:divBdr>
                </w:div>
              </w:divsChild>
            </w:div>
            <w:div w:id="1031809694">
              <w:marLeft w:val="0"/>
              <w:marRight w:val="0"/>
              <w:marTop w:val="0"/>
              <w:marBottom w:val="0"/>
              <w:divBdr>
                <w:top w:val="none" w:sz="0" w:space="0" w:color="auto"/>
                <w:left w:val="none" w:sz="0" w:space="0" w:color="auto"/>
                <w:bottom w:val="none" w:sz="0" w:space="0" w:color="auto"/>
                <w:right w:val="none" w:sz="0" w:space="0" w:color="auto"/>
              </w:divBdr>
              <w:divsChild>
                <w:div w:id="729229127">
                  <w:marLeft w:val="480"/>
                  <w:marRight w:val="0"/>
                  <w:marTop w:val="0"/>
                  <w:marBottom w:val="0"/>
                  <w:divBdr>
                    <w:top w:val="none" w:sz="0" w:space="0" w:color="auto"/>
                    <w:left w:val="none" w:sz="0" w:space="0" w:color="auto"/>
                    <w:bottom w:val="none" w:sz="0" w:space="0" w:color="auto"/>
                    <w:right w:val="none" w:sz="0" w:space="0" w:color="auto"/>
                  </w:divBdr>
                </w:div>
                <w:div w:id="466048372">
                  <w:marLeft w:val="480"/>
                  <w:marRight w:val="0"/>
                  <w:marTop w:val="0"/>
                  <w:marBottom w:val="0"/>
                  <w:divBdr>
                    <w:top w:val="none" w:sz="0" w:space="0" w:color="auto"/>
                    <w:left w:val="none" w:sz="0" w:space="0" w:color="auto"/>
                    <w:bottom w:val="none" w:sz="0" w:space="0" w:color="auto"/>
                    <w:right w:val="none" w:sz="0" w:space="0" w:color="auto"/>
                  </w:divBdr>
                </w:div>
                <w:div w:id="1102260125">
                  <w:marLeft w:val="480"/>
                  <w:marRight w:val="0"/>
                  <w:marTop w:val="0"/>
                  <w:marBottom w:val="0"/>
                  <w:divBdr>
                    <w:top w:val="none" w:sz="0" w:space="0" w:color="auto"/>
                    <w:left w:val="none" w:sz="0" w:space="0" w:color="auto"/>
                    <w:bottom w:val="none" w:sz="0" w:space="0" w:color="auto"/>
                    <w:right w:val="none" w:sz="0" w:space="0" w:color="auto"/>
                  </w:divBdr>
                </w:div>
                <w:div w:id="462845876">
                  <w:marLeft w:val="480"/>
                  <w:marRight w:val="0"/>
                  <w:marTop w:val="0"/>
                  <w:marBottom w:val="0"/>
                  <w:divBdr>
                    <w:top w:val="none" w:sz="0" w:space="0" w:color="auto"/>
                    <w:left w:val="none" w:sz="0" w:space="0" w:color="auto"/>
                    <w:bottom w:val="none" w:sz="0" w:space="0" w:color="auto"/>
                    <w:right w:val="none" w:sz="0" w:space="0" w:color="auto"/>
                  </w:divBdr>
                </w:div>
                <w:div w:id="971709991">
                  <w:marLeft w:val="480"/>
                  <w:marRight w:val="0"/>
                  <w:marTop w:val="0"/>
                  <w:marBottom w:val="0"/>
                  <w:divBdr>
                    <w:top w:val="none" w:sz="0" w:space="0" w:color="auto"/>
                    <w:left w:val="none" w:sz="0" w:space="0" w:color="auto"/>
                    <w:bottom w:val="none" w:sz="0" w:space="0" w:color="auto"/>
                    <w:right w:val="none" w:sz="0" w:space="0" w:color="auto"/>
                  </w:divBdr>
                </w:div>
                <w:div w:id="80685733">
                  <w:marLeft w:val="480"/>
                  <w:marRight w:val="0"/>
                  <w:marTop w:val="0"/>
                  <w:marBottom w:val="0"/>
                  <w:divBdr>
                    <w:top w:val="none" w:sz="0" w:space="0" w:color="auto"/>
                    <w:left w:val="none" w:sz="0" w:space="0" w:color="auto"/>
                    <w:bottom w:val="none" w:sz="0" w:space="0" w:color="auto"/>
                    <w:right w:val="none" w:sz="0" w:space="0" w:color="auto"/>
                  </w:divBdr>
                </w:div>
                <w:div w:id="55015726">
                  <w:marLeft w:val="480"/>
                  <w:marRight w:val="0"/>
                  <w:marTop w:val="0"/>
                  <w:marBottom w:val="0"/>
                  <w:divBdr>
                    <w:top w:val="none" w:sz="0" w:space="0" w:color="auto"/>
                    <w:left w:val="none" w:sz="0" w:space="0" w:color="auto"/>
                    <w:bottom w:val="none" w:sz="0" w:space="0" w:color="auto"/>
                    <w:right w:val="none" w:sz="0" w:space="0" w:color="auto"/>
                  </w:divBdr>
                </w:div>
                <w:div w:id="2019194850">
                  <w:marLeft w:val="480"/>
                  <w:marRight w:val="0"/>
                  <w:marTop w:val="0"/>
                  <w:marBottom w:val="0"/>
                  <w:divBdr>
                    <w:top w:val="none" w:sz="0" w:space="0" w:color="auto"/>
                    <w:left w:val="none" w:sz="0" w:space="0" w:color="auto"/>
                    <w:bottom w:val="none" w:sz="0" w:space="0" w:color="auto"/>
                    <w:right w:val="none" w:sz="0" w:space="0" w:color="auto"/>
                  </w:divBdr>
                </w:div>
                <w:div w:id="265619318">
                  <w:marLeft w:val="480"/>
                  <w:marRight w:val="0"/>
                  <w:marTop w:val="0"/>
                  <w:marBottom w:val="0"/>
                  <w:divBdr>
                    <w:top w:val="none" w:sz="0" w:space="0" w:color="auto"/>
                    <w:left w:val="none" w:sz="0" w:space="0" w:color="auto"/>
                    <w:bottom w:val="none" w:sz="0" w:space="0" w:color="auto"/>
                    <w:right w:val="none" w:sz="0" w:space="0" w:color="auto"/>
                  </w:divBdr>
                </w:div>
                <w:div w:id="95517461">
                  <w:marLeft w:val="480"/>
                  <w:marRight w:val="0"/>
                  <w:marTop w:val="0"/>
                  <w:marBottom w:val="0"/>
                  <w:divBdr>
                    <w:top w:val="none" w:sz="0" w:space="0" w:color="auto"/>
                    <w:left w:val="none" w:sz="0" w:space="0" w:color="auto"/>
                    <w:bottom w:val="none" w:sz="0" w:space="0" w:color="auto"/>
                    <w:right w:val="none" w:sz="0" w:space="0" w:color="auto"/>
                  </w:divBdr>
                </w:div>
                <w:div w:id="145778595">
                  <w:marLeft w:val="480"/>
                  <w:marRight w:val="0"/>
                  <w:marTop w:val="0"/>
                  <w:marBottom w:val="0"/>
                  <w:divBdr>
                    <w:top w:val="none" w:sz="0" w:space="0" w:color="auto"/>
                    <w:left w:val="none" w:sz="0" w:space="0" w:color="auto"/>
                    <w:bottom w:val="none" w:sz="0" w:space="0" w:color="auto"/>
                    <w:right w:val="none" w:sz="0" w:space="0" w:color="auto"/>
                  </w:divBdr>
                </w:div>
                <w:div w:id="471756323">
                  <w:marLeft w:val="480"/>
                  <w:marRight w:val="0"/>
                  <w:marTop w:val="0"/>
                  <w:marBottom w:val="0"/>
                  <w:divBdr>
                    <w:top w:val="none" w:sz="0" w:space="0" w:color="auto"/>
                    <w:left w:val="none" w:sz="0" w:space="0" w:color="auto"/>
                    <w:bottom w:val="none" w:sz="0" w:space="0" w:color="auto"/>
                    <w:right w:val="none" w:sz="0" w:space="0" w:color="auto"/>
                  </w:divBdr>
                </w:div>
                <w:div w:id="141629442">
                  <w:marLeft w:val="480"/>
                  <w:marRight w:val="0"/>
                  <w:marTop w:val="0"/>
                  <w:marBottom w:val="0"/>
                  <w:divBdr>
                    <w:top w:val="none" w:sz="0" w:space="0" w:color="auto"/>
                    <w:left w:val="none" w:sz="0" w:space="0" w:color="auto"/>
                    <w:bottom w:val="none" w:sz="0" w:space="0" w:color="auto"/>
                    <w:right w:val="none" w:sz="0" w:space="0" w:color="auto"/>
                  </w:divBdr>
                </w:div>
                <w:div w:id="1281301308">
                  <w:marLeft w:val="480"/>
                  <w:marRight w:val="0"/>
                  <w:marTop w:val="0"/>
                  <w:marBottom w:val="0"/>
                  <w:divBdr>
                    <w:top w:val="none" w:sz="0" w:space="0" w:color="auto"/>
                    <w:left w:val="none" w:sz="0" w:space="0" w:color="auto"/>
                    <w:bottom w:val="none" w:sz="0" w:space="0" w:color="auto"/>
                    <w:right w:val="none" w:sz="0" w:space="0" w:color="auto"/>
                  </w:divBdr>
                </w:div>
                <w:div w:id="1767069397">
                  <w:marLeft w:val="480"/>
                  <w:marRight w:val="0"/>
                  <w:marTop w:val="0"/>
                  <w:marBottom w:val="0"/>
                  <w:divBdr>
                    <w:top w:val="none" w:sz="0" w:space="0" w:color="auto"/>
                    <w:left w:val="none" w:sz="0" w:space="0" w:color="auto"/>
                    <w:bottom w:val="none" w:sz="0" w:space="0" w:color="auto"/>
                    <w:right w:val="none" w:sz="0" w:space="0" w:color="auto"/>
                  </w:divBdr>
                </w:div>
                <w:div w:id="1297105758">
                  <w:marLeft w:val="480"/>
                  <w:marRight w:val="0"/>
                  <w:marTop w:val="0"/>
                  <w:marBottom w:val="0"/>
                  <w:divBdr>
                    <w:top w:val="none" w:sz="0" w:space="0" w:color="auto"/>
                    <w:left w:val="none" w:sz="0" w:space="0" w:color="auto"/>
                    <w:bottom w:val="none" w:sz="0" w:space="0" w:color="auto"/>
                    <w:right w:val="none" w:sz="0" w:space="0" w:color="auto"/>
                  </w:divBdr>
                </w:div>
                <w:div w:id="357394680">
                  <w:marLeft w:val="480"/>
                  <w:marRight w:val="0"/>
                  <w:marTop w:val="0"/>
                  <w:marBottom w:val="0"/>
                  <w:divBdr>
                    <w:top w:val="none" w:sz="0" w:space="0" w:color="auto"/>
                    <w:left w:val="none" w:sz="0" w:space="0" w:color="auto"/>
                    <w:bottom w:val="none" w:sz="0" w:space="0" w:color="auto"/>
                    <w:right w:val="none" w:sz="0" w:space="0" w:color="auto"/>
                  </w:divBdr>
                </w:div>
                <w:div w:id="821626998">
                  <w:marLeft w:val="480"/>
                  <w:marRight w:val="0"/>
                  <w:marTop w:val="0"/>
                  <w:marBottom w:val="0"/>
                  <w:divBdr>
                    <w:top w:val="none" w:sz="0" w:space="0" w:color="auto"/>
                    <w:left w:val="none" w:sz="0" w:space="0" w:color="auto"/>
                    <w:bottom w:val="none" w:sz="0" w:space="0" w:color="auto"/>
                    <w:right w:val="none" w:sz="0" w:space="0" w:color="auto"/>
                  </w:divBdr>
                </w:div>
                <w:div w:id="478308027">
                  <w:marLeft w:val="480"/>
                  <w:marRight w:val="0"/>
                  <w:marTop w:val="0"/>
                  <w:marBottom w:val="0"/>
                  <w:divBdr>
                    <w:top w:val="none" w:sz="0" w:space="0" w:color="auto"/>
                    <w:left w:val="none" w:sz="0" w:space="0" w:color="auto"/>
                    <w:bottom w:val="none" w:sz="0" w:space="0" w:color="auto"/>
                    <w:right w:val="none" w:sz="0" w:space="0" w:color="auto"/>
                  </w:divBdr>
                </w:div>
                <w:div w:id="574438360">
                  <w:marLeft w:val="480"/>
                  <w:marRight w:val="0"/>
                  <w:marTop w:val="0"/>
                  <w:marBottom w:val="0"/>
                  <w:divBdr>
                    <w:top w:val="none" w:sz="0" w:space="0" w:color="auto"/>
                    <w:left w:val="none" w:sz="0" w:space="0" w:color="auto"/>
                    <w:bottom w:val="none" w:sz="0" w:space="0" w:color="auto"/>
                    <w:right w:val="none" w:sz="0" w:space="0" w:color="auto"/>
                  </w:divBdr>
                </w:div>
                <w:div w:id="1183474619">
                  <w:marLeft w:val="480"/>
                  <w:marRight w:val="0"/>
                  <w:marTop w:val="0"/>
                  <w:marBottom w:val="0"/>
                  <w:divBdr>
                    <w:top w:val="none" w:sz="0" w:space="0" w:color="auto"/>
                    <w:left w:val="none" w:sz="0" w:space="0" w:color="auto"/>
                    <w:bottom w:val="none" w:sz="0" w:space="0" w:color="auto"/>
                    <w:right w:val="none" w:sz="0" w:space="0" w:color="auto"/>
                  </w:divBdr>
                </w:div>
                <w:div w:id="491604354">
                  <w:marLeft w:val="480"/>
                  <w:marRight w:val="0"/>
                  <w:marTop w:val="0"/>
                  <w:marBottom w:val="0"/>
                  <w:divBdr>
                    <w:top w:val="none" w:sz="0" w:space="0" w:color="auto"/>
                    <w:left w:val="none" w:sz="0" w:space="0" w:color="auto"/>
                    <w:bottom w:val="none" w:sz="0" w:space="0" w:color="auto"/>
                    <w:right w:val="none" w:sz="0" w:space="0" w:color="auto"/>
                  </w:divBdr>
                </w:div>
                <w:div w:id="276521551">
                  <w:marLeft w:val="480"/>
                  <w:marRight w:val="0"/>
                  <w:marTop w:val="0"/>
                  <w:marBottom w:val="0"/>
                  <w:divBdr>
                    <w:top w:val="none" w:sz="0" w:space="0" w:color="auto"/>
                    <w:left w:val="none" w:sz="0" w:space="0" w:color="auto"/>
                    <w:bottom w:val="none" w:sz="0" w:space="0" w:color="auto"/>
                    <w:right w:val="none" w:sz="0" w:space="0" w:color="auto"/>
                  </w:divBdr>
                </w:div>
                <w:div w:id="1359040498">
                  <w:marLeft w:val="480"/>
                  <w:marRight w:val="0"/>
                  <w:marTop w:val="0"/>
                  <w:marBottom w:val="0"/>
                  <w:divBdr>
                    <w:top w:val="none" w:sz="0" w:space="0" w:color="auto"/>
                    <w:left w:val="none" w:sz="0" w:space="0" w:color="auto"/>
                    <w:bottom w:val="none" w:sz="0" w:space="0" w:color="auto"/>
                    <w:right w:val="none" w:sz="0" w:space="0" w:color="auto"/>
                  </w:divBdr>
                </w:div>
                <w:div w:id="1893417902">
                  <w:marLeft w:val="480"/>
                  <w:marRight w:val="0"/>
                  <w:marTop w:val="0"/>
                  <w:marBottom w:val="0"/>
                  <w:divBdr>
                    <w:top w:val="none" w:sz="0" w:space="0" w:color="auto"/>
                    <w:left w:val="none" w:sz="0" w:space="0" w:color="auto"/>
                    <w:bottom w:val="none" w:sz="0" w:space="0" w:color="auto"/>
                    <w:right w:val="none" w:sz="0" w:space="0" w:color="auto"/>
                  </w:divBdr>
                </w:div>
                <w:div w:id="924729250">
                  <w:marLeft w:val="480"/>
                  <w:marRight w:val="0"/>
                  <w:marTop w:val="0"/>
                  <w:marBottom w:val="0"/>
                  <w:divBdr>
                    <w:top w:val="none" w:sz="0" w:space="0" w:color="auto"/>
                    <w:left w:val="none" w:sz="0" w:space="0" w:color="auto"/>
                    <w:bottom w:val="none" w:sz="0" w:space="0" w:color="auto"/>
                    <w:right w:val="none" w:sz="0" w:space="0" w:color="auto"/>
                  </w:divBdr>
                </w:div>
                <w:div w:id="2110805878">
                  <w:marLeft w:val="480"/>
                  <w:marRight w:val="0"/>
                  <w:marTop w:val="0"/>
                  <w:marBottom w:val="0"/>
                  <w:divBdr>
                    <w:top w:val="none" w:sz="0" w:space="0" w:color="auto"/>
                    <w:left w:val="none" w:sz="0" w:space="0" w:color="auto"/>
                    <w:bottom w:val="none" w:sz="0" w:space="0" w:color="auto"/>
                    <w:right w:val="none" w:sz="0" w:space="0" w:color="auto"/>
                  </w:divBdr>
                </w:div>
                <w:div w:id="570387813">
                  <w:marLeft w:val="480"/>
                  <w:marRight w:val="0"/>
                  <w:marTop w:val="0"/>
                  <w:marBottom w:val="0"/>
                  <w:divBdr>
                    <w:top w:val="none" w:sz="0" w:space="0" w:color="auto"/>
                    <w:left w:val="none" w:sz="0" w:space="0" w:color="auto"/>
                    <w:bottom w:val="none" w:sz="0" w:space="0" w:color="auto"/>
                    <w:right w:val="none" w:sz="0" w:space="0" w:color="auto"/>
                  </w:divBdr>
                </w:div>
                <w:div w:id="1855262582">
                  <w:marLeft w:val="480"/>
                  <w:marRight w:val="0"/>
                  <w:marTop w:val="0"/>
                  <w:marBottom w:val="0"/>
                  <w:divBdr>
                    <w:top w:val="none" w:sz="0" w:space="0" w:color="auto"/>
                    <w:left w:val="none" w:sz="0" w:space="0" w:color="auto"/>
                    <w:bottom w:val="none" w:sz="0" w:space="0" w:color="auto"/>
                    <w:right w:val="none" w:sz="0" w:space="0" w:color="auto"/>
                  </w:divBdr>
                </w:div>
                <w:div w:id="1589003225">
                  <w:marLeft w:val="480"/>
                  <w:marRight w:val="0"/>
                  <w:marTop w:val="0"/>
                  <w:marBottom w:val="0"/>
                  <w:divBdr>
                    <w:top w:val="none" w:sz="0" w:space="0" w:color="auto"/>
                    <w:left w:val="none" w:sz="0" w:space="0" w:color="auto"/>
                    <w:bottom w:val="none" w:sz="0" w:space="0" w:color="auto"/>
                    <w:right w:val="none" w:sz="0" w:space="0" w:color="auto"/>
                  </w:divBdr>
                </w:div>
                <w:div w:id="526454147">
                  <w:marLeft w:val="480"/>
                  <w:marRight w:val="0"/>
                  <w:marTop w:val="0"/>
                  <w:marBottom w:val="0"/>
                  <w:divBdr>
                    <w:top w:val="none" w:sz="0" w:space="0" w:color="auto"/>
                    <w:left w:val="none" w:sz="0" w:space="0" w:color="auto"/>
                    <w:bottom w:val="none" w:sz="0" w:space="0" w:color="auto"/>
                    <w:right w:val="none" w:sz="0" w:space="0" w:color="auto"/>
                  </w:divBdr>
                </w:div>
                <w:div w:id="1441997379">
                  <w:marLeft w:val="480"/>
                  <w:marRight w:val="0"/>
                  <w:marTop w:val="0"/>
                  <w:marBottom w:val="0"/>
                  <w:divBdr>
                    <w:top w:val="none" w:sz="0" w:space="0" w:color="auto"/>
                    <w:left w:val="none" w:sz="0" w:space="0" w:color="auto"/>
                    <w:bottom w:val="none" w:sz="0" w:space="0" w:color="auto"/>
                    <w:right w:val="none" w:sz="0" w:space="0" w:color="auto"/>
                  </w:divBdr>
                </w:div>
                <w:div w:id="1048606523">
                  <w:marLeft w:val="480"/>
                  <w:marRight w:val="0"/>
                  <w:marTop w:val="0"/>
                  <w:marBottom w:val="0"/>
                  <w:divBdr>
                    <w:top w:val="none" w:sz="0" w:space="0" w:color="auto"/>
                    <w:left w:val="none" w:sz="0" w:space="0" w:color="auto"/>
                    <w:bottom w:val="none" w:sz="0" w:space="0" w:color="auto"/>
                    <w:right w:val="none" w:sz="0" w:space="0" w:color="auto"/>
                  </w:divBdr>
                </w:div>
                <w:div w:id="1695109714">
                  <w:marLeft w:val="480"/>
                  <w:marRight w:val="0"/>
                  <w:marTop w:val="0"/>
                  <w:marBottom w:val="0"/>
                  <w:divBdr>
                    <w:top w:val="none" w:sz="0" w:space="0" w:color="auto"/>
                    <w:left w:val="none" w:sz="0" w:space="0" w:color="auto"/>
                    <w:bottom w:val="none" w:sz="0" w:space="0" w:color="auto"/>
                    <w:right w:val="none" w:sz="0" w:space="0" w:color="auto"/>
                  </w:divBdr>
                </w:div>
                <w:div w:id="1189484199">
                  <w:marLeft w:val="480"/>
                  <w:marRight w:val="0"/>
                  <w:marTop w:val="0"/>
                  <w:marBottom w:val="0"/>
                  <w:divBdr>
                    <w:top w:val="none" w:sz="0" w:space="0" w:color="auto"/>
                    <w:left w:val="none" w:sz="0" w:space="0" w:color="auto"/>
                    <w:bottom w:val="none" w:sz="0" w:space="0" w:color="auto"/>
                    <w:right w:val="none" w:sz="0" w:space="0" w:color="auto"/>
                  </w:divBdr>
                </w:div>
                <w:div w:id="1991055882">
                  <w:marLeft w:val="480"/>
                  <w:marRight w:val="0"/>
                  <w:marTop w:val="0"/>
                  <w:marBottom w:val="0"/>
                  <w:divBdr>
                    <w:top w:val="none" w:sz="0" w:space="0" w:color="auto"/>
                    <w:left w:val="none" w:sz="0" w:space="0" w:color="auto"/>
                    <w:bottom w:val="none" w:sz="0" w:space="0" w:color="auto"/>
                    <w:right w:val="none" w:sz="0" w:space="0" w:color="auto"/>
                  </w:divBdr>
                </w:div>
                <w:div w:id="1244728570">
                  <w:marLeft w:val="480"/>
                  <w:marRight w:val="0"/>
                  <w:marTop w:val="0"/>
                  <w:marBottom w:val="0"/>
                  <w:divBdr>
                    <w:top w:val="none" w:sz="0" w:space="0" w:color="auto"/>
                    <w:left w:val="none" w:sz="0" w:space="0" w:color="auto"/>
                    <w:bottom w:val="none" w:sz="0" w:space="0" w:color="auto"/>
                    <w:right w:val="none" w:sz="0" w:space="0" w:color="auto"/>
                  </w:divBdr>
                </w:div>
                <w:div w:id="401564508">
                  <w:marLeft w:val="480"/>
                  <w:marRight w:val="0"/>
                  <w:marTop w:val="0"/>
                  <w:marBottom w:val="0"/>
                  <w:divBdr>
                    <w:top w:val="none" w:sz="0" w:space="0" w:color="auto"/>
                    <w:left w:val="none" w:sz="0" w:space="0" w:color="auto"/>
                    <w:bottom w:val="none" w:sz="0" w:space="0" w:color="auto"/>
                    <w:right w:val="none" w:sz="0" w:space="0" w:color="auto"/>
                  </w:divBdr>
                </w:div>
                <w:div w:id="446893384">
                  <w:marLeft w:val="480"/>
                  <w:marRight w:val="0"/>
                  <w:marTop w:val="0"/>
                  <w:marBottom w:val="0"/>
                  <w:divBdr>
                    <w:top w:val="none" w:sz="0" w:space="0" w:color="auto"/>
                    <w:left w:val="none" w:sz="0" w:space="0" w:color="auto"/>
                    <w:bottom w:val="none" w:sz="0" w:space="0" w:color="auto"/>
                    <w:right w:val="none" w:sz="0" w:space="0" w:color="auto"/>
                  </w:divBdr>
                </w:div>
                <w:div w:id="1150173416">
                  <w:marLeft w:val="480"/>
                  <w:marRight w:val="0"/>
                  <w:marTop w:val="0"/>
                  <w:marBottom w:val="0"/>
                  <w:divBdr>
                    <w:top w:val="none" w:sz="0" w:space="0" w:color="auto"/>
                    <w:left w:val="none" w:sz="0" w:space="0" w:color="auto"/>
                    <w:bottom w:val="none" w:sz="0" w:space="0" w:color="auto"/>
                    <w:right w:val="none" w:sz="0" w:space="0" w:color="auto"/>
                  </w:divBdr>
                </w:div>
                <w:div w:id="1522544326">
                  <w:marLeft w:val="480"/>
                  <w:marRight w:val="0"/>
                  <w:marTop w:val="0"/>
                  <w:marBottom w:val="0"/>
                  <w:divBdr>
                    <w:top w:val="none" w:sz="0" w:space="0" w:color="auto"/>
                    <w:left w:val="none" w:sz="0" w:space="0" w:color="auto"/>
                    <w:bottom w:val="none" w:sz="0" w:space="0" w:color="auto"/>
                    <w:right w:val="none" w:sz="0" w:space="0" w:color="auto"/>
                  </w:divBdr>
                </w:div>
                <w:div w:id="206259433">
                  <w:marLeft w:val="480"/>
                  <w:marRight w:val="0"/>
                  <w:marTop w:val="0"/>
                  <w:marBottom w:val="0"/>
                  <w:divBdr>
                    <w:top w:val="none" w:sz="0" w:space="0" w:color="auto"/>
                    <w:left w:val="none" w:sz="0" w:space="0" w:color="auto"/>
                    <w:bottom w:val="none" w:sz="0" w:space="0" w:color="auto"/>
                    <w:right w:val="none" w:sz="0" w:space="0" w:color="auto"/>
                  </w:divBdr>
                </w:div>
                <w:div w:id="1537153657">
                  <w:marLeft w:val="480"/>
                  <w:marRight w:val="0"/>
                  <w:marTop w:val="0"/>
                  <w:marBottom w:val="0"/>
                  <w:divBdr>
                    <w:top w:val="none" w:sz="0" w:space="0" w:color="auto"/>
                    <w:left w:val="none" w:sz="0" w:space="0" w:color="auto"/>
                    <w:bottom w:val="none" w:sz="0" w:space="0" w:color="auto"/>
                    <w:right w:val="none" w:sz="0" w:space="0" w:color="auto"/>
                  </w:divBdr>
                </w:div>
                <w:div w:id="1310398584">
                  <w:marLeft w:val="480"/>
                  <w:marRight w:val="0"/>
                  <w:marTop w:val="0"/>
                  <w:marBottom w:val="0"/>
                  <w:divBdr>
                    <w:top w:val="none" w:sz="0" w:space="0" w:color="auto"/>
                    <w:left w:val="none" w:sz="0" w:space="0" w:color="auto"/>
                    <w:bottom w:val="none" w:sz="0" w:space="0" w:color="auto"/>
                    <w:right w:val="none" w:sz="0" w:space="0" w:color="auto"/>
                  </w:divBdr>
                </w:div>
                <w:div w:id="1810899745">
                  <w:marLeft w:val="480"/>
                  <w:marRight w:val="0"/>
                  <w:marTop w:val="0"/>
                  <w:marBottom w:val="0"/>
                  <w:divBdr>
                    <w:top w:val="none" w:sz="0" w:space="0" w:color="auto"/>
                    <w:left w:val="none" w:sz="0" w:space="0" w:color="auto"/>
                    <w:bottom w:val="none" w:sz="0" w:space="0" w:color="auto"/>
                    <w:right w:val="none" w:sz="0" w:space="0" w:color="auto"/>
                  </w:divBdr>
                </w:div>
                <w:div w:id="1781952815">
                  <w:marLeft w:val="480"/>
                  <w:marRight w:val="0"/>
                  <w:marTop w:val="0"/>
                  <w:marBottom w:val="0"/>
                  <w:divBdr>
                    <w:top w:val="none" w:sz="0" w:space="0" w:color="auto"/>
                    <w:left w:val="none" w:sz="0" w:space="0" w:color="auto"/>
                    <w:bottom w:val="none" w:sz="0" w:space="0" w:color="auto"/>
                    <w:right w:val="none" w:sz="0" w:space="0" w:color="auto"/>
                  </w:divBdr>
                </w:div>
                <w:div w:id="224878328">
                  <w:marLeft w:val="480"/>
                  <w:marRight w:val="0"/>
                  <w:marTop w:val="0"/>
                  <w:marBottom w:val="0"/>
                  <w:divBdr>
                    <w:top w:val="none" w:sz="0" w:space="0" w:color="auto"/>
                    <w:left w:val="none" w:sz="0" w:space="0" w:color="auto"/>
                    <w:bottom w:val="none" w:sz="0" w:space="0" w:color="auto"/>
                    <w:right w:val="none" w:sz="0" w:space="0" w:color="auto"/>
                  </w:divBdr>
                </w:div>
                <w:div w:id="2021614704">
                  <w:marLeft w:val="480"/>
                  <w:marRight w:val="0"/>
                  <w:marTop w:val="0"/>
                  <w:marBottom w:val="0"/>
                  <w:divBdr>
                    <w:top w:val="none" w:sz="0" w:space="0" w:color="auto"/>
                    <w:left w:val="none" w:sz="0" w:space="0" w:color="auto"/>
                    <w:bottom w:val="none" w:sz="0" w:space="0" w:color="auto"/>
                    <w:right w:val="none" w:sz="0" w:space="0" w:color="auto"/>
                  </w:divBdr>
                </w:div>
                <w:div w:id="1466046641">
                  <w:marLeft w:val="480"/>
                  <w:marRight w:val="0"/>
                  <w:marTop w:val="0"/>
                  <w:marBottom w:val="0"/>
                  <w:divBdr>
                    <w:top w:val="none" w:sz="0" w:space="0" w:color="auto"/>
                    <w:left w:val="none" w:sz="0" w:space="0" w:color="auto"/>
                    <w:bottom w:val="none" w:sz="0" w:space="0" w:color="auto"/>
                    <w:right w:val="none" w:sz="0" w:space="0" w:color="auto"/>
                  </w:divBdr>
                </w:div>
                <w:div w:id="1618559118">
                  <w:marLeft w:val="480"/>
                  <w:marRight w:val="0"/>
                  <w:marTop w:val="0"/>
                  <w:marBottom w:val="0"/>
                  <w:divBdr>
                    <w:top w:val="none" w:sz="0" w:space="0" w:color="auto"/>
                    <w:left w:val="none" w:sz="0" w:space="0" w:color="auto"/>
                    <w:bottom w:val="none" w:sz="0" w:space="0" w:color="auto"/>
                    <w:right w:val="none" w:sz="0" w:space="0" w:color="auto"/>
                  </w:divBdr>
                </w:div>
                <w:div w:id="1368992663">
                  <w:marLeft w:val="480"/>
                  <w:marRight w:val="0"/>
                  <w:marTop w:val="0"/>
                  <w:marBottom w:val="0"/>
                  <w:divBdr>
                    <w:top w:val="none" w:sz="0" w:space="0" w:color="auto"/>
                    <w:left w:val="none" w:sz="0" w:space="0" w:color="auto"/>
                    <w:bottom w:val="none" w:sz="0" w:space="0" w:color="auto"/>
                    <w:right w:val="none" w:sz="0" w:space="0" w:color="auto"/>
                  </w:divBdr>
                </w:div>
                <w:div w:id="722869047">
                  <w:marLeft w:val="480"/>
                  <w:marRight w:val="0"/>
                  <w:marTop w:val="0"/>
                  <w:marBottom w:val="0"/>
                  <w:divBdr>
                    <w:top w:val="none" w:sz="0" w:space="0" w:color="auto"/>
                    <w:left w:val="none" w:sz="0" w:space="0" w:color="auto"/>
                    <w:bottom w:val="none" w:sz="0" w:space="0" w:color="auto"/>
                    <w:right w:val="none" w:sz="0" w:space="0" w:color="auto"/>
                  </w:divBdr>
                </w:div>
                <w:div w:id="1897862214">
                  <w:marLeft w:val="480"/>
                  <w:marRight w:val="0"/>
                  <w:marTop w:val="0"/>
                  <w:marBottom w:val="0"/>
                  <w:divBdr>
                    <w:top w:val="none" w:sz="0" w:space="0" w:color="auto"/>
                    <w:left w:val="none" w:sz="0" w:space="0" w:color="auto"/>
                    <w:bottom w:val="none" w:sz="0" w:space="0" w:color="auto"/>
                    <w:right w:val="none" w:sz="0" w:space="0" w:color="auto"/>
                  </w:divBdr>
                </w:div>
                <w:div w:id="2017539765">
                  <w:marLeft w:val="480"/>
                  <w:marRight w:val="0"/>
                  <w:marTop w:val="0"/>
                  <w:marBottom w:val="0"/>
                  <w:divBdr>
                    <w:top w:val="none" w:sz="0" w:space="0" w:color="auto"/>
                    <w:left w:val="none" w:sz="0" w:space="0" w:color="auto"/>
                    <w:bottom w:val="none" w:sz="0" w:space="0" w:color="auto"/>
                    <w:right w:val="none" w:sz="0" w:space="0" w:color="auto"/>
                  </w:divBdr>
                </w:div>
                <w:div w:id="904872318">
                  <w:marLeft w:val="480"/>
                  <w:marRight w:val="0"/>
                  <w:marTop w:val="0"/>
                  <w:marBottom w:val="0"/>
                  <w:divBdr>
                    <w:top w:val="none" w:sz="0" w:space="0" w:color="auto"/>
                    <w:left w:val="none" w:sz="0" w:space="0" w:color="auto"/>
                    <w:bottom w:val="none" w:sz="0" w:space="0" w:color="auto"/>
                    <w:right w:val="none" w:sz="0" w:space="0" w:color="auto"/>
                  </w:divBdr>
                </w:div>
                <w:div w:id="374504821">
                  <w:marLeft w:val="480"/>
                  <w:marRight w:val="0"/>
                  <w:marTop w:val="0"/>
                  <w:marBottom w:val="0"/>
                  <w:divBdr>
                    <w:top w:val="none" w:sz="0" w:space="0" w:color="auto"/>
                    <w:left w:val="none" w:sz="0" w:space="0" w:color="auto"/>
                    <w:bottom w:val="none" w:sz="0" w:space="0" w:color="auto"/>
                    <w:right w:val="none" w:sz="0" w:space="0" w:color="auto"/>
                  </w:divBdr>
                </w:div>
                <w:div w:id="1902445126">
                  <w:marLeft w:val="480"/>
                  <w:marRight w:val="0"/>
                  <w:marTop w:val="0"/>
                  <w:marBottom w:val="0"/>
                  <w:divBdr>
                    <w:top w:val="none" w:sz="0" w:space="0" w:color="auto"/>
                    <w:left w:val="none" w:sz="0" w:space="0" w:color="auto"/>
                    <w:bottom w:val="none" w:sz="0" w:space="0" w:color="auto"/>
                    <w:right w:val="none" w:sz="0" w:space="0" w:color="auto"/>
                  </w:divBdr>
                </w:div>
                <w:div w:id="187066770">
                  <w:marLeft w:val="480"/>
                  <w:marRight w:val="0"/>
                  <w:marTop w:val="0"/>
                  <w:marBottom w:val="0"/>
                  <w:divBdr>
                    <w:top w:val="none" w:sz="0" w:space="0" w:color="auto"/>
                    <w:left w:val="none" w:sz="0" w:space="0" w:color="auto"/>
                    <w:bottom w:val="none" w:sz="0" w:space="0" w:color="auto"/>
                    <w:right w:val="none" w:sz="0" w:space="0" w:color="auto"/>
                  </w:divBdr>
                </w:div>
                <w:div w:id="1479834992">
                  <w:marLeft w:val="480"/>
                  <w:marRight w:val="0"/>
                  <w:marTop w:val="0"/>
                  <w:marBottom w:val="0"/>
                  <w:divBdr>
                    <w:top w:val="none" w:sz="0" w:space="0" w:color="auto"/>
                    <w:left w:val="none" w:sz="0" w:space="0" w:color="auto"/>
                    <w:bottom w:val="none" w:sz="0" w:space="0" w:color="auto"/>
                    <w:right w:val="none" w:sz="0" w:space="0" w:color="auto"/>
                  </w:divBdr>
                </w:div>
                <w:div w:id="1199005843">
                  <w:marLeft w:val="480"/>
                  <w:marRight w:val="0"/>
                  <w:marTop w:val="0"/>
                  <w:marBottom w:val="0"/>
                  <w:divBdr>
                    <w:top w:val="none" w:sz="0" w:space="0" w:color="auto"/>
                    <w:left w:val="none" w:sz="0" w:space="0" w:color="auto"/>
                    <w:bottom w:val="none" w:sz="0" w:space="0" w:color="auto"/>
                    <w:right w:val="none" w:sz="0" w:space="0" w:color="auto"/>
                  </w:divBdr>
                </w:div>
                <w:div w:id="1081803125">
                  <w:marLeft w:val="480"/>
                  <w:marRight w:val="0"/>
                  <w:marTop w:val="0"/>
                  <w:marBottom w:val="0"/>
                  <w:divBdr>
                    <w:top w:val="none" w:sz="0" w:space="0" w:color="auto"/>
                    <w:left w:val="none" w:sz="0" w:space="0" w:color="auto"/>
                    <w:bottom w:val="none" w:sz="0" w:space="0" w:color="auto"/>
                    <w:right w:val="none" w:sz="0" w:space="0" w:color="auto"/>
                  </w:divBdr>
                </w:div>
                <w:div w:id="1699233886">
                  <w:marLeft w:val="480"/>
                  <w:marRight w:val="0"/>
                  <w:marTop w:val="0"/>
                  <w:marBottom w:val="0"/>
                  <w:divBdr>
                    <w:top w:val="none" w:sz="0" w:space="0" w:color="auto"/>
                    <w:left w:val="none" w:sz="0" w:space="0" w:color="auto"/>
                    <w:bottom w:val="none" w:sz="0" w:space="0" w:color="auto"/>
                    <w:right w:val="none" w:sz="0" w:space="0" w:color="auto"/>
                  </w:divBdr>
                </w:div>
                <w:div w:id="1467772800">
                  <w:marLeft w:val="480"/>
                  <w:marRight w:val="0"/>
                  <w:marTop w:val="0"/>
                  <w:marBottom w:val="0"/>
                  <w:divBdr>
                    <w:top w:val="none" w:sz="0" w:space="0" w:color="auto"/>
                    <w:left w:val="none" w:sz="0" w:space="0" w:color="auto"/>
                    <w:bottom w:val="none" w:sz="0" w:space="0" w:color="auto"/>
                    <w:right w:val="none" w:sz="0" w:space="0" w:color="auto"/>
                  </w:divBdr>
                </w:div>
                <w:div w:id="1102651041">
                  <w:marLeft w:val="480"/>
                  <w:marRight w:val="0"/>
                  <w:marTop w:val="0"/>
                  <w:marBottom w:val="0"/>
                  <w:divBdr>
                    <w:top w:val="none" w:sz="0" w:space="0" w:color="auto"/>
                    <w:left w:val="none" w:sz="0" w:space="0" w:color="auto"/>
                    <w:bottom w:val="none" w:sz="0" w:space="0" w:color="auto"/>
                    <w:right w:val="none" w:sz="0" w:space="0" w:color="auto"/>
                  </w:divBdr>
                </w:div>
                <w:div w:id="1678654594">
                  <w:marLeft w:val="480"/>
                  <w:marRight w:val="0"/>
                  <w:marTop w:val="0"/>
                  <w:marBottom w:val="0"/>
                  <w:divBdr>
                    <w:top w:val="none" w:sz="0" w:space="0" w:color="auto"/>
                    <w:left w:val="none" w:sz="0" w:space="0" w:color="auto"/>
                    <w:bottom w:val="none" w:sz="0" w:space="0" w:color="auto"/>
                    <w:right w:val="none" w:sz="0" w:space="0" w:color="auto"/>
                  </w:divBdr>
                </w:div>
                <w:div w:id="2088961459">
                  <w:marLeft w:val="480"/>
                  <w:marRight w:val="0"/>
                  <w:marTop w:val="0"/>
                  <w:marBottom w:val="0"/>
                  <w:divBdr>
                    <w:top w:val="none" w:sz="0" w:space="0" w:color="auto"/>
                    <w:left w:val="none" w:sz="0" w:space="0" w:color="auto"/>
                    <w:bottom w:val="none" w:sz="0" w:space="0" w:color="auto"/>
                    <w:right w:val="none" w:sz="0" w:space="0" w:color="auto"/>
                  </w:divBdr>
                </w:div>
                <w:div w:id="578712422">
                  <w:marLeft w:val="480"/>
                  <w:marRight w:val="0"/>
                  <w:marTop w:val="0"/>
                  <w:marBottom w:val="0"/>
                  <w:divBdr>
                    <w:top w:val="none" w:sz="0" w:space="0" w:color="auto"/>
                    <w:left w:val="none" w:sz="0" w:space="0" w:color="auto"/>
                    <w:bottom w:val="none" w:sz="0" w:space="0" w:color="auto"/>
                    <w:right w:val="none" w:sz="0" w:space="0" w:color="auto"/>
                  </w:divBdr>
                </w:div>
                <w:div w:id="1503423648">
                  <w:marLeft w:val="480"/>
                  <w:marRight w:val="0"/>
                  <w:marTop w:val="0"/>
                  <w:marBottom w:val="0"/>
                  <w:divBdr>
                    <w:top w:val="none" w:sz="0" w:space="0" w:color="auto"/>
                    <w:left w:val="none" w:sz="0" w:space="0" w:color="auto"/>
                    <w:bottom w:val="none" w:sz="0" w:space="0" w:color="auto"/>
                    <w:right w:val="none" w:sz="0" w:space="0" w:color="auto"/>
                  </w:divBdr>
                </w:div>
                <w:div w:id="753015036">
                  <w:marLeft w:val="480"/>
                  <w:marRight w:val="0"/>
                  <w:marTop w:val="0"/>
                  <w:marBottom w:val="0"/>
                  <w:divBdr>
                    <w:top w:val="none" w:sz="0" w:space="0" w:color="auto"/>
                    <w:left w:val="none" w:sz="0" w:space="0" w:color="auto"/>
                    <w:bottom w:val="none" w:sz="0" w:space="0" w:color="auto"/>
                    <w:right w:val="none" w:sz="0" w:space="0" w:color="auto"/>
                  </w:divBdr>
                </w:div>
                <w:div w:id="2093046532">
                  <w:marLeft w:val="480"/>
                  <w:marRight w:val="0"/>
                  <w:marTop w:val="0"/>
                  <w:marBottom w:val="0"/>
                  <w:divBdr>
                    <w:top w:val="none" w:sz="0" w:space="0" w:color="auto"/>
                    <w:left w:val="none" w:sz="0" w:space="0" w:color="auto"/>
                    <w:bottom w:val="none" w:sz="0" w:space="0" w:color="auto"/>
                    <w:right w:val="none" w:sz="0" w:space="0" w:color="auto"/>
                  </w:divBdr>
                </w:div>
                <w:div w:id="2059816126">
                  <w:marLeft w:val="480"/>
                  <w:marRight w:val="0"/>
                  <w:marTop w:val="0"/>
                  <w:marBottom w:val="0"/>
                  <w:divBdr>
                    <w:top w:val="none" w:sz="0" w:space="0" w:color="auto"/>
                    <w:left w:val="none" w:sz="0" w:space="0" w:color="auto"/>
                    <w:bottom w:val="none" w:sz="0" w:space="0" w:color="auto"/>
                    <w:right w:val="none" w:sz="0" w:space="0" w:color="auto"/>
                  </w:divBdr>
                </w:div>
                <w:div w:id="1399018600">
                  <w:marLeft w:val="480"/>
                  <w:marRight w:val="0"/>
                  <w:marTop w:val="0"/>
                  <w:marBottom w:val="0"/>
                  <w:divBdr>
                    <w:top w:val="none" w:sz="0" w:space="0" w:color="auto"/>
                    <w:left w:val="none" w:sz="0" w:space="0" w:color="auto"/>
                    <w:bottom w:val="none" w:sz="0" w:space="0" w:color="auto"/>
                    <w:right w:val="none" w:sz="0" w:space="0" w:color="auto"/>
                  </w:divBdr>
                </w:div>
                <w:div w:id="1262910169">
                  <w:marLeft w:val="480"/>
                  <w:marRight w:val="0"/>
                  <w:marTop w:val="0"/>
                  <w:marBottom w:val="0"/>
                  <w:divBdr>
                    <w:top w:val="none" w:sz="0" w:space="0" w:color="auto"/>
                    <w:left w:val="none" w:sz="0" w:space="0" w:color="auto"/>
                    <w:bottom w:val="none" w:sz="0" w:space="0" w:color="auto"/>
                    <w:right w:val="none" w:sz="0" w:space="0" w:color="auto"/>
                  </w:divBdr>
                </w:div>
                <w:div w:id="1406486911">
                  <w:marLeft w:val="480"/>
                  <w:marRight w:val="0"/>
                  <w:marTop w:val="0"/>
                  <w:marBottom w:val="0"/>
                  <w:divBdr>
                    <w:top w:val="none" w:sz="0" w:space="0" w:color="auto"/>
                    <w:left w:val="none" w:sz="0" w:space="0" w:color="auto"/>
                    <w:bottom w:val="none" w:sz="0" w:space="0" w:color="auto"/>
                    <w:right w:val="none" w:sz="0" w:space="0" w:color="auto"/>
                  </w:divBdr>
                </w:div>
                <w:div w:id="1791246253">
                  <w:marLeft w:val="480"/>
                  <w:marRight w:val="0"/>
                  <w:marTop w:val="0"/>
                  <w:marBottom w:val="0"/>
                  <w:divBdr>
                    <w:top w:val="none" w:sz="0" w:space="0" w:color="auto"/>
                    <w:left w:val="none" w:sz="0" w:space="0" w:color="auto"/>
                    <w:bottom w:val="none" w:sz="0" w:space="0" w:color="auto"/>
                    <w:right w:val="none" w:sz="0" w:space="0" w:color="auto"/>
                  </w:divBdr>
                </w:div>
                <w:div w:id="1537498857">
                  <w:marLeft w:val="480"/>
                  <w:marRight w:val="0"/>
                  <w:marTop w:val="0"/>
                  <w:marBottom w:val="0"/>
                  <w:divBdr>
                    <w:top w:val="none" w:sz="0" w:space="0" w:color="auto"/>
                    <w:left w:val="none" w:sz="0" w:space="0" w:color="auto"/>
                    <w:bottom w:val="none" w:sz="0" w:space="0" w:color="auto"/>
                    <w:right w:val="none" w:sz="0" w:space="0" w:color="auto"/>
                  </w:divBdr>
                </w:div>
                <w:div w:id="2128575990">
                  <w:marLeft w:val="480"/>
                  <w:marRight w:val="0"/>
                  <w:marTop w:val="0"/>
                  <w:marBottom w:val="0"/>
                  <w:divBdr>
                    <w:top w:val="none" w:sz="0" w:space="0" w:color="auto"/>
                    <w:left w:val="none" w:sz="0" w:space="0" w:color="auto"/>
                    <w:bottom w:val="none" w:sz="0" w:space="0" w:color="auto"/>
                    <w:right w:val="none" w:sz="0" w:space="0" w:color="auto"/>
                  </w:divBdr>
                </w:div>
                <w:div w:id="1955359385">
                  <w:marLeft w:val="480"/>
                  <w:marRight w:val="0"/>
                  <w:marTop w:val="0"/>
                  <w:marBottom w:val="0"/>
                  <w:divBdr>
                    <w:top w:val="none" w:sz="0" w:space="0" w:color="auto"/>
                    <w:left w:val="none" w:sz="0" w:space="0" w:color="auto"/>
                    <w:bottom w:val="none" w:sz="0" w:space="0" w:color="auto"/>
                    <w:right w:val="none" w:sz="0" w:space="0" w:color="auto"/>
                  </w:divBdr>
                </w:div>
                <w:div w:id="1536769754">
                  <w:marLeft w:val="480"/>
                  <w:marRight w:val="0"/>
                  <w:marTop w:val="0"/>
                  <w:marBottom w:val="0"/>
                  <w:divBdr>
                    <w:top w:val="none" w:sz="0" w:space="0" w:color="auto"/>
                    <w:left w:val="none" w:sz="0" w:space="0" w:color="auto"/>
                    <w:bottom w:val="none" w:sz="0" w:space="0" w:color="auto"/>
                    <w:right w:val="none" w:sz="0" w:space="0" w:color="auto"/>
                  </w:divBdr>
                </w:div>
                <w:div w:id="69930226">
                  <w:marLeft w:val="480"/>
                  <w:marRight w:val="0"/>
                  <w:marTop w:val="0"/>
                  <w:marBottom w:val="0"/>
                  <w:divBdr>
                    <w:top w:val="none" w:sz="0" w:space="0" w:color="auto"/>
                    <w:left w:val="none" w:sz="0" w:space="0" w:color="auto"/>
                    <w:bottom w:val="none" w:sz="0" w:space="0" w:color="auto"/>
                    <w:right w:val="none" w:sz="0" w:space="0" w:color="auto"/>
                  </w:divBdr>
                </w:div>
                <w:div w:id="534345172">
                  <w:marLeft w:val="480"/>
                  <w:marRight w:val="0"/>
                  <w:marTop w:val="0"/>
                  <w:marBottom w:val="0"/>
                  <w:divBdr>
                    <w:top w:val="none" w:sz="0" w:space="0" w:color="auto"/>
                    <w:left w:val="none" w:sz="0" w:space="0" w:color="auto"/>
                    <w:bottom w:val="none" w:sz="0" w:space="0" w:color="auto"/>
                    <w:right w:val="none" w:sz="0" w:space="0" w:color="auto"/>
                  </w:divBdr>
                </w:div>
                <w:div w:id="1470129454">
                  <w:marLeft w:val="480"/>
                  <w:marRight w:val="0"/>
                  <w:marTop w:val="0"/>
                  <w:marBottom w:val="0"/>
                  <w:divBdr>
                    <w:top w:val="none" w:sz="0" w:space="0" w:color="auto"/>
                    <w:left w:val="none" w:sz="0" w:space="0" w:color="auto"/>
                    <w:bottom w:val="none" w:sz="0" w:space="0" w:color="auto"/>
                    <w:right w:val="none" w:sz="0" w:space="0" w:color="auto"/>
                  </w:divBdr>
                </w:div>
                <w:div w:id="609312280">
                  <w:marLeft w:val="480"/>
                  <w:marRight w:val="0"/>
                  <w:marTop w:val="0"/>
                  <w:marBottom w:val="0"/>
                  <w:divBdr>
                    <w:top w:val="none" w:sz="0" w:space="0" w:color="auto"/>
                    <w:left w:val="none" w:sz="0" w:space="0" w:color="auto"/>
                    <w:bottom w:val="none" w:sz="0" w:space="0" w:color="auto"/>
                    <w:right w:val="none" w:sz="0" w:space="0" w:color="auto"/>
                  </w:divBdr>
                </w:div>
                <w:div w:id="739445802">
                  <w:marLeft w:val="480"/>
                  <w:marRight w:val="0"/>
                  <w:marTop w:val="0"/>
                  <w:marBottom w:val="0"/>
                  <w:divBdr>
                    <w:top w:val="none" w:sz="0" w:space="0" w:color="auto"/>
                    <w:left w:val="none" w:sz="0" w:space="0" w:color="auto"/>
                    <w:bottom w:val="none" w:sz="0" w:space="0" w:color="auto"/>
                    <w:right w:val="none" w:sz="0" w:space="0" w:color="auto"/>
                  </w:divBdr>
                </w:div>
                <w:div w:id="559947282">
                  <w:marLeft w:val="480"/>
                  <w:marRight w:val="0"/>
                  <w:marTop w:val="0"/>
                  <w:marBottom w:val="0"/>
                  <w:divBdr>
                    <w:top w:val="none" w:sz="0" w:space="0" w:color="auto"/>
                    <w:left w:val="none" w:sz="0" w:space="0" w:color="auto"/>
                    <w:bottom w:val="none" w:sz="0" w:space="0" w:color="auto"/>
                    <w:right w:val="none" w:sz="0" w:space="0" w:color="auto"/>
                  </w:divBdr>
                </w:div>
                <w:div w:id="276642290">
                  <w:marLeft w:val="480"/>
                  <w:marRight w:val="0"/>
                  <w:marTop w:val="0"/>
                  <w:marBottom w:val="0"/>
                  <w:divBdr>
                    <w:top w:val="none" w:sz="0" w:space="0" w:color="auto"/>
                    <w:left w:val="none" w:sz="0" w:space="0" w:color="auto"/>
                    <w:bottom w:val="none" w:sz="0" w:space="0" w:color="auto"/>
                    <w:right w:val="none" w:sz="0" w:space="0" w:color="auto"/>
                  </w:divBdr>
                </w:div>
                <w:div w:id="472407212">
                  <w:marLeft w:val="480"/>
                  <w:marRight w:val="0"/>
                  <w:marTop w:val="0"/>
                  <w:marBottom w:val="0"/>
                  <w:divBdr>
                    <w:top w:val="none" w:sz="0" w:space="0" w:color="auto"/>
                    <w:left w:val="none" w:sz="0" w:space="0" w:color="auto"/>
                    <w:bottom w:val="none" w:sz="0" w:space="0" w:color="auto"/>
                    <w:right w:val="none" w:sz="0" w:space="0" w:color="auto"/>
                  </w:divBdr>
                </w:div>
                <w:div w:id="1120106967">
                  <w:marLeft w:val="480"/>
                  <w:marRight w:val="0"/>
                  <w:marTop w:val="0"/>
                  <w:marBottom w:val="0"/>
                  <w:divBdr>
                    <w:top w:val="none" w:sz="0" w:space="0" w:color="auto"/>
                    <w:left w:val="none" w:sz="0" w:space="0" w:color="auto"/>
                    <w:bottom w:val="none" w:sz="0" w:space="0" w:color="auto"/>
                    <w:right w:val="none" w:sz="0" w:space="0" w:color="auto"/>
                  </w:divBdr>
                </w:div>
                <w:div w:id="1836415608">
                  <w:marLeft w:val="480"/>
                  <w:marRight w:val="0"/>
                  <w:marTop w:val="0"/>
                  <w:marBottom w:val="0"/>
                  <w:divBdr>
                    <w:top w:val="none" w:sz="0" w:space="0" w:color="auto"/>
                    <w:left w:val="none" w:sz="0" w:space="0" w:color="auto"/>
                    <w:bottom w:val="none" w:sz="0" w:space="0" w:color="auto"/>
                    <w:right w:val="none" w:sz="0" w:space="0" w:color="auto"/>
                  </w:divBdr>
                </w:div>
                <w:div w:id="73556110">
                  <w:marLeft w:val="480"/>
                  <w:marRight w:val="0"/>
                  <w:marTop w:val="0"/>
                  <w:marBottom w:val="0"/>
                  <w:divBdr>
                    <w:top w:val="none" w:sz="0" w:space="0" w:color="auto"/>
                    <w:left w:val="none" w:sz="0" w:space="0" w:color="auto"/>
                    <w:bottom w:val="none" w:sz="0" w:space="0" w:color="auto"/>
                    <w:right w:val="none" w:sz="0" w:space="0" w:color="auto"/>
                  </w:divBdr>
                </w:div>
                <w:div w:id="439254242">
                  <w:marLeft w:val="480"/>
                  <w:marRight w:val="0"/>
                  <w:marTop w:val="0"/>
                  <w:marBottom w:val="0"/>
                  <w:divBdr>
                    <w:top w:val="none" w:sz="0" w:space="0" w:color="auto"/>
                    <w:left w:val="none" w:sz="0" w:space="0" w:color="auto"/>
                    <w:bottom w:val="none" w:sz="0" w:space="0" w:color="auto"/>
                    <w:right w:val="none" w:sz="0" w:space="0" w:color="auto"/>
                  </w:divBdr>
                </w:div>
                <w:div w:id="1091927184">
                  <w:marLeft w:val="480"/>
                  <w:marRight w:val="0"/>
                  <w:marTop w:val="0"/>
                  <w:marBottom w:val="0"/>
                  <w:divBdr>
                    <w:top w:val="none" w:sz="0" w:space="0" w:color="auto"/>
                    <w:left w:val="none" w:sz="0" w:space="0" w:color="auto"/>
                    <w:bottom w:val="none" w:sz="0" w:space="0" w:color="auto"/>
                    <w:right w:val="none" w:sz="0" w:space="0" w:color="auto"/>
                  </w:divBdr>
                </w:div>
                <w:div w:id="491410726">
                  <w:marLeft w:val="480"/>
                  <w:marRight w:val="0"/>
                  <w:marTop w:val="0"/>
                  <w:marBottom w:val="0"/>
                  <w:divBdr>
                    <w:top w:val="none" w:sz="0" w:space="0" w:color="auto"/>
                    <w:left w:val="none" w:sz="0" w:space="0" w:color="auto"/>
                    <w:bottom w:val="none" w:sz="0" w:space="0" w:color="auto"/>
                    <w:right w:val="none" w:sz="0" w:space="0" w:color="auto"/>
                  </w:divBdr>
                </w:div>
                <w:div w:id="1684624699">
                  <w:marLeft w:val="480"/>
                  <w:marRight w:val="0"/>
                  <w:marTop w:val="0"/>
                  <w:marBottom w:val="0"/>
                  <w:divBdr>
                    <w:top w:val="none" w:sz="0" w:space="0" w:color="auto"/>
                    <w:left w:val="none" w:sz="0" w:space="0" w:color="auto"/>
                    <w:bottom w:val="none" w:sz="0" w:space="0" w:color="auto"/>
                    <w:right w:val="none" w:sz="0" w:space="0" w:color="auto"/>
                  </w:divBdr>
                </w:div>
                <w:div w:id="1771510599">
                  <w:marLeft w:val="480"/>
                  <w:marRight w:val="0"/>
                  <w:marTop w:val="0"/>
                  <w:marBottom w:val="0"/>
                  <w:divBdr>
                    <w:top w:val="none" w:sz="0" w:space="0" w:color="auto"/>
                    <w:left w:val="none" w:sz="0" w:space="0" w:color="auto"/>
                    <w:bottom w:val="none" w:sz="0" w:space="0" w:color="auto"/>
                    <w:right w:val="none" w:sz="0" w:space="0" w:color="auto"/>
                  </w:divBdr>
                </w:div>
                <w:div w:id="819735384">
                  <w:marLeft w:val="480"/>
                  <w:marRight w:val="0"/>
                  <w:marTop w:val="0"/>
                  <w:marBottom w:val="0"/>
                  <w:divBdr>
                    <w:top w:val="none" w:sz="0" w:space="0" w:color="auto"/>
                    <w:left w:val="none" w:sz="0" w:space="0" w:color="auto"/>
                    <w:bottom w:val="none" w:sz="0" w:space="0" w:color="auto"/>
                    <w:right w:val="none" w:sz="0" w:space="0" w:color="auto"/>
                  </w:divBdr>
                </w:div>
                <w:div w:id="674380944">
                  <w:marLeft w:val="480"/>
                  <w:marRight w:val="0"/>
                  <w:marTop w:val="0"/>
                  <w:marBottom w:val="0"/>
                  <w:divBdr>
                    <w:top w:val="none" w:sz="0" w:space="0" w:color="auto"/>
                    <w:left w:val="none" w:sz="0" w:space="0" w:color="auto"/>
                    <w:bottom w:val="none" w:sz="0" w:space="0" w:color="auto"/>
                    <w:right w:val="none" w:sz="0" w:space="0" w:color="auto"/>
                  </w:divBdr>
                </w:div>
                <w:div w:id="835724685">
                  <w:marLeft w:val="480"/>
                  <w:marRight w:val="0"/>
                  <w:marTop w:val="0"/>
                  <w:marBottom w:val="0"/>
                  <w:divBdr>
                    <w:top w:val="none" w:sz="0" w:space="0" w:color="auto"/>
                    <w:left w:val="none" w:sz="0" w:space="0" w:color="auto"/>
                    <w:bottom w:val="none" w:sz="0" w:space="0" w:color="auto"/>
                    <w:right w:val="none" w:sz="0" w:space="0" w:color="auto"/>
                  </w:divBdr>
                </w:div>
                <w:div w:id="1857109879">
                  <w:marLeft w:val="480"/>
                  <w:marRight w:val="0"/>
                  <w:marTop w:val="0"/>
                  <w:marBottom w:val="0"/>
                  <w:divBdr>
                    <w:top w:val="none" w:sz="0" w:space="0" w:color="auto"/>
                    <w:left w:val="none" w:sz="0" w:space="0" w:color="auto"/>
                    <w:bottom w:val="none" w:sz="0" w:space="0" w:color="auto"/>
                    <w:right w:val="none" w:sz="0" w:space="0" w:color="auto"/>
                  </w:divBdr>
                </w:div>
                <w:div w:id="1870140287">
                  <w:marLeft w:val="480"/>
                  <w:marRight w:val="0"/>
                  <w:marTop w:val="0"/>
                  <w:marBottom w:val="0"/>
                  <w:divBdr>
                    <w:top w:val="none" w:sz="0" w:space="0" w:color="auto"/>
                    <w:left w:val="none" w:sz="0" w:space="0" w:color="auto"/>
                    <w:bottom w:val="none" w:sz="0" w:space="0" w:color="auto"/>
                    <w:right w:val="none" w:sz="0" w:space="0" w:color="auto"/>
                  </w:divBdr>
                </w:div>
                <w:div w:id="1184173057">
                  <w:marLeft w:val="480"/>
                  <w:marRight w:val="0"/>
                  <w:marTop w:val="0"/>
                  <w:marBottom w:val="0"/>
                  <w:divBdr>
                    <w:top w:val="none" w:sz="0" w:space="0" w:color="auto"/>
                    <w:left w:val="none" w:sz="0" w:space="0" w:color="auto"/>
                    <w:bottom w:val="none" w:sz="0" w:space="0" w:color="auto"/>
                    <w:right w:val="none" w:sz="0" w:space="0" w:color="auto"/>
                  </w:divBdr>
                </w:div>
                <w:div w:id="306134313">
                  <w:marLeft w:val="480"/>
                  <w:marRight w:val="0"/>
                  <w:marTop w:val="0"/>
                  <w:marBottom w:val="0"/>
                  <w:divBdr>
                    <w:top w:val="none" w:sz="0" w:space="0" w:color="auto"/>
                    <w:left w:val="none" w:sz="0" w:space="0" w:color="auto"/>
                    <w:bottom w:val="none" w:sz="0" w:space="0" w:color="auto"/>
                    <w:right w:val="none" w:sz="0" w:space="0" w:color="auto"/>
                  </w:divBdr>
                </w:div>
                <w:div w:id="1922910566">
                  <w:marLeft w:val="480"/>
                  <w:marRight w:val="0"/>
                  <w:marTop w:val="0"/>
                  <w:marBottom w:val="0"/>
                  <w:divBdr>
                    <w:top w:val="none" w:sz="0" w:space="0" w:color="auto"/>
                    <w:left w:val="none" w:sz="0" w:space="0" w:color="auto"/>
                    <w:bottom w:val="none" w:sz="0" w:space="0" w:color="auto"/>
                    <w:right w:val="none" w:sz="0" w:space="0" w:color="auto"/>
                  </w:divBdr>
                </w:div>
                <w:div w:id="359821494">
                  <w:marLeft w:val="480"/>
                  <w:marRight w:val="0"/>
                  <w:marTop w:val="0"/>
                  <w:marBottom w:val="0"/>
                  <w:divBdr>
                    <w:top w:val="none" w:sz="0" w:space="0" w:color="auto"/>
                    <w:left w:val="none" w:sz="0" w:space="0" w:color="auto"/>
                    <w:bottom w:val="none" w:sz="0" w:space="0" w:color="auto"/>
                    <w:right w:val="none" w:sz="0" w:space="0" w:color="auto"/>
                  </w:divBdr>
                </w:div>
                <w:div w:id="282198433">
                  <w:marLeft w:val="480"/>
                  <w:marRight w:val="0"/>
                  <w:marTop w:val="0"/>
                  <w:marBottom w:val="0"/>
                  <w:divBdr>
                    <w:top w:val="none" w:sz="0" w:space="0" w:color="auto"/>
                    <w:left w:val="none" w:sz="0" w:space="0" w:color="auto"/>
                    <w:bottom w:val="none" w:sz="0" w:space="0" w:color="auto"/>
                    <w:right w:val="none" w:sz="0" w:space="0" w:color="auto"/>
                  </w:divBdr>
                </w:div>
                <w:div w:id="427507020">
                  <w:marLeft w:val="480"/>
                  <w:marRight w:val="0"/>
                  <w:marTop w:val="0"/>
                  <w:marBottom w:val="0"/>
                  <w:divBdr>
                    <w:top w:val="none" w:sz="0" w:space="0" w:color="auto"/>
                    <w:left w:val="none" w:sz="0" w:space="0" w:color="auto"/>
                    <w:bottom w:val="none" w:sz="0" w:space="0" w:color="auto"/>
                    <w:right w:val="none" w:sz="0" w:space="0" w:color="auto"/>
                  </w:divBdr>
                </w:div>
                <w:div w:id="167404913">
                  <w:marLeft w:val="480"/>
                  <w:marRight w:val="0"/>
                  <w:marTop w:val="0"/>
                  <w:marBottom w:val="0"/>
                  <w:divBdr>
                    <w:top w:val="none" w:sz="0" w:space="0" w:color="auto"/>
                    <w:left w:val="none" w:sz="0" w:space="0" w:color="auto"/>
                    <w:bottom w:val="none" w:sz="0" w:space="0" w:color="auto"/>
                    <w:right w:val="none" w:sz="0" w:space="0" w:color="auto"/>
                  </w:divBdr>
                </w:div>
                <w:div w:id="1139032297">
                  <w:marLeft w:val="480"/>
                  <w:marRight w:val="0"/>
                  <w:marTop w:val="0"/>
                  <w:marBottom w:val="0"/>
                  <w:divBdr>
                    <w:top w:val="none" w:sz="0" w:space="0" w:color="auto"/>
                    <w:left w:val="none" w:sz="0" w:space="0" w:color="auto"/>
                    <w:bottom w:val="none" w:sz="0" w:space="0" w:color="auto"/>
                    <w:right w:val="none" w:sz="0" w:space="0" w:color="auto"/>
                  </w:divBdr>
                </w:div>
                <w:div w:id="1918974198">
                  <w:marLeft w:val="480"/>
                  <w:marRight w:val="0"/>
                  <w:marTop w:val="0"/>
                  <w:marBottom w:val="0"/>
                  <w:divBdr>
                    <w:top w:val="none" w:sz="0" w:space="0" w:color="auto"/>
                    <w:left w:val="none" w:sz="0" w:space="0" w:color="auto"/>
                    <w:bottom w:val="none" w:sz="0" w:space="0" w:color="auto"/>
                    <w:right w:val="none" w:sz="0" w:space="0" w:color="auto"/>
                  </w:divBdr>
                </w:div>
                <w:div w:id="531454699">
                  <w:marLeft w:val="480"/>
                  <w:marRight w:val="0"/>
                  <w:marTop w:val="0"/>
                  <w:marBottom w:val="0"/>
                  <w:divBdr>
                    <w:top w:val="none" w:sz="0" w:space="0" w:color="auto"/>
                    <w:left w:val="none" w:sz="0" w:space="0" w:color="auto"/>
                    <w:bottom w:val="none" w:sz="0" w:space="0" w:color="auto"/>
                    <w:right w:val="none" w:sz="0" w:space="0" w:color="auto"/>
                  </w:divBdr>
                </w:div>
                <w:div w:id="693188540">
                  <w:marLeft w:val="480"/>
                  <w:marRight w:val="0"/>
                  <w:marTop w:val="0"/>
                  <w:marBottom w:val="0"/>
                  <w:divBdr>
                    <w:top w:val="none" w:sz="0" w:space="0" w:color="auto"/>
                    <w:left w:val="none" w:sz="0" w:space="0" w:color="auto"/>
                    <w:bottom w:val="none" w:sz="0" w:space="0" w:color="auto"/>
                    <w:right w:val="none" w:sz="0" w:space="0" w:color="auto"/>
                  </w:divBdr>
                </w:div>
                <w:div w:id="1630740055">
                  <w:marLeft w:val="480"/>
                  <w:marRight w:val="0"/>
                  <w:marTop w:val="0"/>
                  <w:marBottom w:val="0"/>
                  <w:divBdr>
                    <w:top w:val="none" w:sz="0" w:space="0" w:color="auto"/>
                    <w:left w:val="none" w:sz="0" w:space="0" w:color="auto"/>
                    <w:bottom w:val="none" w:sz="0" w:space="0" w:color="auto"/>
                    <w:right w:val="none" w:sz="0" w:space="0" w:color="auto"/>
                  </w:divBdr>
                </w:div>
                <w:div w:id="1110780874">
                  <w:marLeft w:val="480"/>
                  <w:marRight w:val="0"/>
                  <w:marTop w:val="0"/>
                  <w:marBottom w:val="0"/>
                  <w:divBdr>
                    <w:top w:val="none" w:sz="0" w:space="0" w:color="auto"/>
                    <w:left w:val="none" w:sz="0" w:space="0" w:color="auto"/>
                    <w:bottom w:val="none" w:sz="0" w:space="0" w:color="auto"/>
                    <w:right w:val="none" w:sz="0" w:space="0" w:color="auto"/>
                  </w:divBdr>
                </w:div>
                <w:div w:id="2051688618">
                  <w:marLeft w:val="480"/>
                  <w:marRight w:val="0"/>
                  <w:marTop w:val="0"/>
                  <w:marBottom w:val="0"/>
                  <w:divBdr>
                    <w:top w:val="none" w:sz="0" w:space="0" w:color="auto"/>
                    <w:left w:val="none" w:sz="0" w:space="0" w:color="auto"/>
                    <w:bottom w:val="none" w:sz="0" w:space="0" w:color="auto"/>
                    <w:right w:val="none" w:sz="0" w:space="0" w:color="auto"/>
                  </w:divBdr>
                </w:div>
                <w:div w:id="1231038737">
                  <w:marLeft w:val="480"/>
                  <w:marRight w:val="0"/>
                  <w:marTop w:val="0"/>
                  <w:marBottom w:val="0"/>
                  <w:divBdr>
                    <w:top w:val="none" w:sz="0" w:space="0" w:color="auto"/>
                    <w:left w:val="none" w:sz="0" w:space="0" w:color="auto"/>
                    <w:bottom w:val="none" w:sz="0" w:space="0" w:color="auto"/>
                    <w:right w:val="none" w:sz="0" w:space="0" w:color="auto"/>
                  </w:divBdr>
                </w:div>
                <w:div w:id="394821357">
                  <w:marLeft w:val="480"/>
                  <w:marRight w:val="0"/>
                  <w:marTop w:val="0"/>
                  <w:marBottom w:val="0"/>
                  <w:divBdr>
                    <w:top w:val="none" w:sz="0" w:space="0" w:color="auto"/>
                    <w:left w:val="none" w:sz="0" w:space="0" w:color="auto"/>
                    <w:bottom w:val="none" w:sz="0" w:space="0" w:color="auto"/>
                    <w:right w:val="none" w:sz="0" w:space="0" w:color="auto"/>
                  </w:divBdr>
                </w:div>
                <w:div w:id="1814833833">
                  <w:marLeft w:val="480"/>
                  <w:marRight w:val="0"/>
                  <w:marTop w:val="0"/>
                  <w:marBottom w:val="0"/>
                  <w:divBdr>
                    <w:top w:val="none" w:sz="0" w:space="0" w:color="auto"/>
                    <w:left w:val="none" w:sz="0" w:space="0" w:color="auto"/>
                    <w:bottom w:val="none" w:sz="0" w:space="0" w:color="auto"/>
                    <w:right w:val="none" w:sz="0" w:space="0" w:color="auto"/>
                  </w:divBdr>
                </w:div>
                <w:div w:id="711807442">
                  <w:marLeft w:val="480"/>
                  <w:marRight w:val="0"/>
                  <w:marTop w:val="0"/>
                  <w:marBottom w:val="0"/>
                  <w:divBdr>
                    <w:top w:val="none" w:sz="0" w:space="0" w:color="auto"/>
                    <w:left w:val="none" w:sz="0" w:space="0" w:color="auto"/>
                    <w:bottom w:val="none" w:sz="0" w:space="0" w:color="auto"/>
                    <w:right w:val="none" w:sz="0" w:space="0" w:color="auto"/>
                  </w:divBdr>
                </w:div>
                <w:div w:id="137304422">
                  <w:marLeft w:val="480"/>
                  <w:marRight w:val="0"/>
                  <w:marTop w:val="0"/>
                  <w:marBottom w:val="0"/>
                  <w:divBdr>
                    <w:top w:val="none" w:sz="0" w:space="0" w:color="auto"/>
                    <w:left w:val="none" w:sz="0" w:space="0" w:color="auto"/>
                    <w:bottom w:val="none" w:sz="0" w:space="0" w:color="auto"/>
                    <w:right w:val="none" w:sz="0" w:space="0" w:color="auto"/>
                  </w:divBdr>
                </w:div>
                <w:div w:id="883059924">
                  <w:marLeft w:val="480"/>
                  <w:marRight w:val="0"/>
                  <w:marTop w:val="0"/>
                  <w:marBottom w:val="0"/>
                  <w:divBdr>
                    <w:top w:val="none" w:sz="0" w:space="0" w:color="auto"/>
                    <w:left w:val="none" w:sz="0" w:space="0" w:color="auto"/>
                    <w:bottom w:val="none" w:sz="0" w:space="0" w:color="auto"/>
                    <w:right w:val="none" w:sz="0" w:space="0" w:color="auto"/>
                  </w:divBdr>
                </w:div>
                <w:div w:id="1432169411">
                  <w:marLeft w:val="480"/>
                  <w:marRight w:val="0"/>
                  <w:marTop w:val="0"/>
                  <w:marBottom w:val="0"/>
                  <w:divBdr>
                    <w:top w:val="none" w:sz="0" w:space="0" w:color="auto"/>
                    <w:left w:val="none" w:sz="0" w:space="0" w:color="auto"/>
                    <w:bottom w:val="none" w:sz="0" w:space="0" w:color="auto"/>
                    <w:right w:val="none" w:sz="0" w:space="0" w:color="auto"/>
                  </w:divBdr>
                </w:div>
                <w:div w:id="363751249">
                  <w:marLeft w:val="480"/>
                  <w:marRight w:val="0"/>
                  <w:marTop w:val="0"/>
                  <w:marBottom w:val="0"/>
                  <w:divBdr>
                    <w:top w:val="none" w:sz="0" w:space="0" w:color="auto"/>
                    <w:left w:val="none" w:sz="0" w:space="0" w:color="auto"/>
                    <w:bottom w:val="none" w:sz="0" w:space="0" w:color="auto"/>
                    <w:right w:val="none" w:sz="0" w:space="0" w:color="auto"/>
                  </w:divBdr>
                </w:div>
                <w:div w:id="897284889">
                  <w:marLeft w:val="480"/>
                  <w:marRight w:val="0"/>
                  <w:marTop w:val="0"/>
                  <w:marBottom w:val="0"/>
                  <w:divBdr>
                    <w:top w:val="none" w:sz="0" w:space="0" w:color="auto"/>
                    <w:left w:val="none" w:sz="0" w:space="0" w:color="auto"/>
                    <w:bottom w:val="none" w:sz="0" w:space="0" w:color="auto"/>
                    <w:right w:val="none" w:sz="0" w:space="0" w:color="auto"/>
                  </w:divBdr>
                </w:div>
                <w:div w:id="635646715">
                  <w:marLeft w:val="480"/>
                  <w:marRight w:val="0"/>
                  <w:marTop w:val="0"/>
                  <w:marBottom w:val="0"/>
                  <w:divBdr>
                    <w:top w:val="none" w:sz="0" w:space="0" w:color="auto"/>
                    <w:left w:val="none" w:sz="0" w:space="0" w:color="auto"/>
                    <w:bottom w:val="none" w:sz="0" w:space="0" w:color="auto"/>
                    <w:right w:val="none" w:sz="0" w:space="0" w:color="auto"/>
                  </w:divBdr>
                </w:div>
                <w:div w:id="1692413699">
                  <w:marLeft w:val="480"/>
                  <w:marRight w:val="0"/>
                  <w:marTop w:val="0"/>
                  <w:marBottom w:val="0"/>
                  <w:divBdr>
                    <w:top w:val="none" w:sz="0" w:space="0" w:color="auto"/>
                    <w:left w:val="none" w:sz="0" w:space="0" w:color="auto"/>
                    <w:bottom w:val="none" w:sz="0" w:space="0" w:color="auto"/>
                    <w:right w:val="none" w:sz="0" w:space="0" w:color="auto"/>
                  </w:divBdr>
                </w:div>
                <w:div w:id="337655433">
                  <w:marLeft w:val="480"/>
                  <w:marRight w:val="0"/>
                  <w:marTop w:val="0"/>
                  <w:marBottom w:val="0"/>
                  <w:divBdr>
                    <w:top w:val="none" w:sz="0" w:space="0" w:color="auto"/>
                    <w:left w:val="none" w:sz="0" w:space="0" w:color="auto"/>
                    <w:bottom w:val="none" w:sz="0" w:space="0" w:color="auto"/>
                    <w:right w:val="none" w:sz="0" w:space="0" w:color="auto"/>
                  </w:divBdr>
                </w:div>
                <w:div w:id="1124423407">
                  <w:marLeft w:val="480"/>
                  <w:marRight w:val="0"/>
                  <w:marTop w:val="0"/>
                  <w:marBottom w:val="0"/>
                  <w:divBdr>
                    <w:top w:val="none" w:sz="0" w:space="0" w:color="auto"/>
                    <w:left w:val="none" w:sz="0" w:space="0" w:color="auto"/>
                    <w:bottom w:val="none" w:sz="0" w:space="0" w:color="auto"/>
                    <w:right w:val="none" w:sz="0" w:space="0" w:color="auto"/>
                  </w:divBdr>
                </w:div>
                <w:div w:id="191111402">
                  <w:marLeft w:val="480"/>
                  <w:marRight w:val="0"/>
                  <w:marTop w:val="0"/>
                  <w:marBottom w:val="0"/>
                  <w:divBdr>
                    <w:top w:val="none" w:sz="0" w:space="0" w:color="auto"/>
                    <w:left w:val="none" w:sz="0" w:space="0" w:color="auto"/>
                    <w:bottom w:val="none" w:sz="0" w:space="0" w:color="auto"/>
                    <w:right w:val="none" w:sz="0" w:space="0" w:color="auto"/>
                  </w:divBdr>
                </w:div>
                <w:div w:id="863248949">
                  <w:marLeft w:val="480"/>
                  <w:marRight w:val="0"/>
                  <w:marTop w:val="0"/>
                  <w:marBottom w:val="0"/>
                  <w:divBdr>
                    <w:top w:val="none" w:sz="0" w:space="0" w:color="auto"/>
                    <w:left w:val="none" w:sz="0" w:space="0" w:color="auto"/>
                    <w:bottom w:val="none" w:sz="0" w:space="0" w:color="auto"/>
                    <w:right w:val="none" w:sz="0" w:space="0" w:color="auto"/>
                  </w:divBdr>
                </w:div>
                <w:div w:id="917907788">
                  <w:marLeft w:val="480"/>
                  <w:marRight w:val="0"/>
                  <w:marTop w:val="0"/>
                  <w:marBottom w:val="0"/>
                  <w:divBdr>
                    <w:top w:val="none" w:sz="0" w:space="0" w:color="auto"/>
                    <w:left w:val="none" w:sz="0" w:space="0" w:color="auto"/>
                    <w:bottom w:val="none" w:sz="0" w:space="0" w:color="auto"/>
                    <w:right w:val="none" w:sz="0" w:space="0" w:color="auto"/>
                  </w:divBdr>
                </w:div>
                <w:div w:id="2045015484">
                  <w:marLeft w:val="480"/>
                  <w:marRight w:val="0"/>
                  <w:marTop w:val="0"/>
                  <w:marBottom w:val="0"/>
                  <w:divBdr>
                    <w:top w:val="none" w:sz="0" w:space="0" w:color="auto"/>
                    <w:left w:val="none" w:sz="0" w:space="0" w:color="auto"/>
                    <w:bottom w:val="none" w:sz="0" w:space="0" w:color="auto"/>
                    <w:right w:val="none" w:sz="0" w:space="0" w:color="auto"/>
                  </w:divBdr>
                </w:div>
                <w:div w:id="1645163509">
                  <w:marLeft w:val="480"/>
                  <w:marRight w:val="0"/>
                  <w:marTop w:val="0"/>
                  <w:marBottom w:val="0"/>
                  <w:divBdr>
                    <w:top w:val="none" w:sz="0" w:space="0" w:color="auto"/>
                    <w:left w:val="none" w:sz="0" w:space="0" w:color="auto"/>
                    <w:bottom w:val="none" w:sz="0" w:space="0" w:color="auto"/>
                    <w:right w:val="none" w:sz="0" w:space="0" w:color="auto"/>
                  </w:divBdr>
                </w:div>
                <w:div w:id="1330867159">
                  <w:marLeft w:val="480"/>
                  <w:marRight w:val="0"/>
                  <w:marTop w:val="0"/>
                  <w:marBottom w:val="0"/>
                  <w:divBdr>
                    <w:top w:val="none" w:sz="0" w:space="0" w:color="auto"/>
                    <w:left w:val="none" w:sz="0" w:space="0" w:color="auto"/>
                    <w:bottom w:val="none" w:sz="0" w:space="0" w:color="auto"/>
                    <w:right w:val="none" w:sz="0" w:space="0" w:color="auto"/>
                  </w:divBdr>
                </w:div>
                <w:div w:id="1873882705">
                  <w:marLeft w:val="480"/>
                  <w:marRight w:val="0"/>
                  <w:marTop w:val="0"/>
                  <w:marBottom w:val="0"/>
                  <w:divBdr>
                    <w:top w:val="none" w:sz="0" w:space="0" w:color="auto"/>
                    <w:left w:val="none" w:sz="0" w:space="0" w:color="auto"/>
                    <w:bottom w:val="none" w:sz="0" w:space="0" w:color="auto"/>
                    <w:right w:val="none" w:sz="0" w:space="0" w:color="auto"/>
                  </w:divBdr>
                </w:div>
                <w:div w:id="729764189">
                  <w:marLeft w:val="480"/>
                  <w:marRight w:val="0"/>
                  <w:marTop w:val="0"/>
                  <w:marBottom w:val="0"/>
                  <w:divBdr>
                    <w:top w:val="none" w:sz="0" w:space="0" w:color="auto"/>
                    <w:left w:val="none" w:sz="0" w:space="0" w:color="auto"/>
                    <w:bottom w:val="none" w:sz="0" w:space="0" w:color="auto"/>
                    <w:right w:val="none" w:sz="0" w:space="0" w:color="auto"/>
                  </w:divBdr>
                </w:div>
                <w:div w:id="1678191046">
                  <w:marLeft w:val="480"/>
                  <w:marRight w:val="0"/>
                  <w:marTop w:val="0"/>
                  <w:marBottom w:val="0"/>
                  <w:divBdr>
                    <w:top w:val="none" w:sz="0" w:space="0" w:color="auto"/>
                    <w:left w:val="none" w:sz="0" w:space="0" w:color="auto"/>
                    <w:bottom w:val="none" w:sz="0" w:space="0" w:color="auto"/>
                    <w:right w:val="none" w:sz="0" w:space="0" w:color="auto"/>
                  </w:divBdr>
                </w:div>
                <w:div w:id="1423331139">
                  <w:marLeft w:val="480"/>
                  <w:marRight w:val="0"/>
                  <w:marTop w:val="0"/>
                  <w:marBottom w:val="0"/>
                  <w:divBdr>
                    <w:top w:val="none" w:sz="0" w:space="0" w:color="auto"/>
                    <w:left w:val="none" w:sz="0" w:space="0" w:color="auto"/>
                    <w:bottom w:val="none" w:sz="0" w:space="0" w:color="auto"/>
                    <w:right w:val="none" w:sz="0" w:space="0" w:color="auto"/>
                  </w:divBdr>
                </w:div>
                <w:div w:id="874389187">
                  <w:marLeft w:val="480"/>
                  <w:marRight w:val="0"/>
                  <w:marTop w:val="0"/>
                  <w:marBottom w:val="0"/>
                  <w:divBdr>
                    <w:top w:val="none" w:sz="0" w:space="0" w:color="auto"/>
                    <w:left w:val="none" w:sz="0" w:space="0" w:color="auto"/>
                    <w:bottom w:val="none" w:sz="0" w:space="0" w:color="auto"/>
                    <w:right w:val="none" w:sz="0" w:space="0" w:color="auto"/>
                  </w:divBdr>
                </w:div>
                <w:div w:id="325667416">
                  <w:marLeft w:val="480"/>
                  <w:marRight w:val="0"/>
                  <w:marTop w:val="0"/>
                  <w:marBottom w:val="0"/>
                  <w:divBdr>
                    <w:top w:val="none" w:sz="0" w:space="0" w:color="auto"/>
                    <w:left w:val="none" w:sz="0" w:space="0" w:color="auto"/>
                    <w:bottom w:val="none" w:sz="0" w:space="0" w:color="auto"/>
                    <w:right w:val="none" w:sz="0" w:space="0" w:color="auto"/>
                  </w:divBdr>
                </w:div>
                <w:div w:id="796290882">
                  <w:marLeft w:val="480"/>
                  <w:marRight w:val="0"/>
                  <w:marTop w:val="0"/>
                  <w:marBottom w:val="0"/>
                  <w:divBdr>
                    <w:top w:val="none" w:sz="0" w:space="0" w:color="auto"/>
                    <w:left w:val="none" w:sz="0" w:space="0" w:color="auto"/>
                    <w:bottom w:val="none" w:sz="0" w:space="0" w:color="auto"/>
                    <w:right w:val="none" w:sz="0" w:space="0" w:color="auto"/>
                  </w:divBdr>
                </w:div>
                <w:div w:id="1439520019">
                  <w:marLeft w:val="480"/>
                  <w:marRight w:val="0"/>
                  <w:marTop w:val="0"/>
                  <w:marBottom w:val="0"/>
                  <w:divBdr>
                    <w:top w:val="none" w:sz="0" w:space="0" w:color="auto"/>
                    <w:left w:val="none" w:sz="0" w:space="0" w:color="auto"/>
                    <w:bottom w:val="none" w:sz="0" w:space="0" w:color="auto"/>
                    <w:right w:val="none" w:sz="0" w:space="0" w:color="auto"/>
                  </w:divBdr>
                </w:div>
                <w:div w:id="14505171">
                  <w:marLeft w:val="480"/>
                  <w:marRight w:val="0"/>
                  <w:marTop w:val="0"/>
                  <w:marBottom w:val="0"/>
                  <w:divBdr>
                    <w:top w:val="none" w:sz="0" w:space="0" w:color="auto"/>
                    <w:left w:val="none" w:sz="0" w:space="0" w:color="auto"/>
                    <w:bottom w:val="none" w:sz="0" w:space="0" w:color="auto"/>
                    <w:right w:val="none" w:sz="0" w:space="0" w:color="auto"/>
                  </w:divBdr>
                </w:div>
                <w:div w:id="1524978730">
                  <w:marLeft w:val="480"/>
                  <w:marRight w:val="0"/>
                  <w:marTop w:val="0"/>
                  <w:marBottom w:val="0"/>
                  <w:divBdr>
                    <w:top w:val="none" w:sz="0" w:space="0" w:color="auto"/>
                    <w:left w:val="none" w:sz="0" w:space="0" w:color="auto"/>
                    <w:bottom w:val="none" w:sz="0" w:space="0" w:color="auto"/>
                    <w:right w:val="none" w:sz="0" w:space="0" w:color="auto"/>
                  </w:divBdr>
                </w:div>
                <w:div w:id="2056661076">
                  <w:marLeft w:val="480"/>
                  <w:marRight w:val="0"/>
                  <w:marTop w:val="0"/>
                  <w:marBottom w:val="0"/>
                  <w:divBdr>
                    <w:top w:val="none" w:sz="0" w:space="0" w:color="auto"/>
                    <w:left w:val="none" w:sz="0" w:space="0" w:color="auto"/>
                    <w:bottom w:val="none" w:sz="0" w:space="0" w:color="auto"/>
                    <w:right w:val="none" w:sz="0" w:space="0" w:color="auto"/>
                  </w:divBdr>
                </w:div>
                <w:div w:id="1849324810">
                  <w:marLeft w:val="480"/>
                  <w:marRight w:val="0"/>
                  <w:marTop w:val="0"/>
                  <w:marBottom w:val="0"/>
                  <w:divBdr>
                    <w:top w:val="none" w:sz="0" w:space="0" w:color="auto"/>
                    <w:left w:val="none" w:sz="0" w:space="0" w:color="auto"/>
                    <w:bottom w:val="none" w:sz="0" w:space="0" w:color="auto"/>
                    <w:right w:val="none" w:sz="0" w:space="0" w:color="auto"/>
                  </w:divBdr>
                </w:div>
                <w:div w:id="404380007">
                  <w:marLeft w:val="480"/>
                  <w:marRight w:val="0"/>
                  <w:marTop w:val="0"/>
                  <w:marBottom w:val="0"/>
                  <w:divBdr>
                    <w:top w:val="none" w:sz="0" w:space="0" w:color="auto"/>
                    <w:left w:val="none" w:sz="0" w:space="0" w:color="auto"/>
                    <w:bottom w:val="none" w:sz="0" w:space="0" w:color="auto"/>
                    <w:right w:val="none" w:sz="0" w:space="0" w:color="auto"/>
                  </w:divBdr>
                </w:div>
                <w:div w:id="952832724">
                  <w:marLeft w:val="480"/>
                  <w:marRight w:val="0"/>
                  <w:marTop w:val="0"/>
                  <w:marBottom w:val="0"/>
                  <w:divBdr>
                    <w:top w:val="none" w:sz="0" w:space="0" w:color="auto"/>
                    <w:left w:val="none" w:sz="0" w:space="0" w:color="auto"/>
                    <w:bottom w:val="none" w:sz="0" w:space="0" w:color="auto"/>
                    <w:right w:val="none" w:sz="0" w:space="0" w:color="auto"/>
                  </w:divBdr>
                </w:div>
              </w:divsChild>
            </w:div>
            <w:div w:id="2080663834">
              <w:marLeft w:val="0"/>
              <w:marRight w:val="0"/>
              <w:marTop w:val="0"/>
              <w:marBottom w:val="0"/>
              <w:divBdr>
                <w:top w:val="none" w:sz="0" w:space="0" w:color="auto"/>
                <w:left w:val="none" w:sz="0" w:space="0" w:color="auto"/>
                <w:bottom w:val="none" w:sz="0" w:space="0" w:color="auto"/>
                <w:right w:val="none" w:sz="0" w:space="0" w:color="auto"/>
              </w:divBdr>
              <w:divsChild>
                <w:div w:id="1002047624">
                  <w:marLeft w:val="480"/>
                  <w:marRight w:val="0"/>
                  <w:marTop w:val="0"/>
                  <w:marBottom w:val="0"/>
                  <w:divBdr>
                    <w:top w:val="none" w:sz="0" w:space="0" w:color="auto"/>
                    <w:left w:val="none" w:sz="0" w:space="0" w:color="auto"/>
                    <w:bottom w:val="none" w:sz="0" w:space="0" w:color="auto"/>
                    <w:right w:val="none" w:sz="0" w:space="0" w:color="auto"/>
                  </w:divBdr>
                </w:div>
                <w:div w:id="124203363">
                  <w:marLeft w:val="480"/>
                  <w:marRight w:val="0"/>
                  <w:marTop w:val="0"/>
                  <w:marBottom w:val="0"/>
                  <w:divBdr>
                    <w:top w:val="none" w:sz="0" w:space="0" w:color="auto"/>
                    <w:left w:val="none" w:sz="0" w:space="0" w:color="auto"/>
                    <w:bottom w:val="none" w:sz="0" w:space="0" w:color="auto"/>
                    <w:right w:val="none" w:sz="0" w:space="0" w:color="auto"/>
                  </w:divBdr>
                </w:div>
                <w:div w:id="1557547478">
                  <w:marLeft w:val="480"/>
                  <w:marRight w:val="0"/>
                  <w:marTop w:val="0"/>
                  <w:marBottom w:val="0"/>
                  <w:divBdr>
                    <w:top w:val="none" w:sz="0" w:space="0" w:color="auto"/>
                    <w:left w:val="none" w:sz="0" w:space="0" w:color="auto"/>
                    <w:bottom w:val="none" w:sz="0" w:space="0" w:color="auto"/>
                    <w:right w:val="none" w:sz="0" w:space="0" w:color="auto"/>
                  </w:divBdr>
                </w:div>
                <w:div w:id="422578068">
                  <w:marLeft w:val="480"/>
                  <w:marRight w:val="0"/>
                  <w:marTop w:val="0"/>
                  <w:marBottom w:val="0"/>
                  <w:divBdr>
                    <w:top w:val="none" w:sz="0" w:space="0" w:color="auto"/>
                    <w:left w:val="none" w:sz="0" w:space="0" w:color="auto"/>
                    <w:bottom w:val="none" w:sz="0" w:space="0" w:color="auto"/>
                    <w:right w:val="none" w:sz="0" w:space="0" w:color="auto"/>
                  </w:divBdr>
                </w:div>
                <w:div w:id="950162623">
                  <w:marLeft w:val="480"/>
                  <w:marRight w:val="0"/>
                  <w:marTop w:val="0"/>
                  <w:marBottom w:val="0"/>
                  <w:divBdr>
                    <w:top w:val="none" w:sz="0" w:space="0" w:color="auto"/>
                    <w:left w:val="none" w:sz="0" w:space="0" w:color="auto"/>
                    <w:bottom w:val="none" w:sz="0" w:space="0" w:color="auto"/>
                    <w:right w:val="none" w:sz="0" w:space="0" w:color="auto"/>
                  </w:divBdr>
                </w:div>
                <w:div w:id="1232082767">
                  <w:marLeft w:val="480"/>
                  <w:marRight w:val="0"/>
                  <w:marTop w:val="0"/>
                  <w:marBottom w:val="0"/>
                  <w:divBdr>
                    <w:top w:val="none" w:sz="0" w:space="0" w:color="auto"/>
                    <w:left w:val="none" w:sz="0" w:space="0" w:color="auto"/>
                    <w:bottom w:val="none" w:sz="0" w:space="0" w:color="auto"/>
                    <w:right w:val="none" w:sz="0" w:space="0" w:color="auto"/>
                  </w:divBdr>
                </w:div>
                <w:div w:id="630138689">
                  <w:marLeft w:val="480"/>
                  <w:marRight w:val="0"/>
                  <w:marTop w:val="0"/>
                  <w:marBottom w:val="0"/>
                  <w:divBdr>
                    <w:top w:val="none" w:sz="0" w:space="0" w:color="auto"/>
                    <w:left w:val="none" w:sz="0" w:space="0" w:color="auto"/>
                    <w:bottom w:val="none" w:sz="0" w:space="0" w:color="auto"/>
                    <w:right w:val="none" w:sz="0" w:space="0" w:color="auto"/>
                  </w:divBdr>
                </w:div>
                <w:div w:id="1791632848">
                  <w:marLeft w:val="480"/>
                  <w:marRight w:val="0"/>
                  <w:marTop w:val="0"/>
                  <w:marBottom w:val="0"/>
                  <w:divBdr>
                    <w:top w:val="none" w:sz="0" w:space="0" w:color="auto"/>
                    <w:left w:val="none" w:sz="0" w:space="0" w:color="auto"/>
                    <w:bottom w:val="none" w:sz="0" w:space="0" w:color="auto"/>
                    <w:right w:val="none" w:sz="0" w:space="0" w:color="auto"/>
                  </w:divBdr>
                </w:div>
                <w:div w:id="68117481">
                  <w:marLeft w:val="480"/>
                  <w:marRight w:val="0"/>
                  <w:marTop w:val="0"/>
                  <w:marBottom w:val="0"/>
                  <w:divBdr>
                    <w:top w:val="none" w:sz="0" w:space="0" w:color="auto"/>
                    <w:left w:val="none" w:sz="0" w:space="0" w:color="auto"/>
                    <w:bottom w:val="none" w:sz="0" w:space="0" w:color="auto"/>
                    <w:right w:val="none" w:sz="0" w:space="0" w:color="auto"/>
                  </w:divBdr>
                </w:div>
                <w:div w:id="1040134459">
                  <w:marLeft w:val="480"/>
                  <w:marRight w:val="0"/>
                  <w:marTop w:val="0"/>
                  <w:marBottom w:val="0"/>
                  <w:divBdr>
                    <w:top w:val="none" w:sz="0" w:space="0" w:color="auto"/>
                    <w:left w:val="none" w:sz="0" w:space="0" w:color="auto"/>
                    <w:bottom w:val="none" w:sz="0" w:space="0" w:color="auto"/>
                    <w:right w:val="none" w:sz="0" w:space="0" w:color="auto"/>
                  </w:divBdr>
                </w:div>
                <w:div w:id="1858426426">
                  <w:marLeft w:val="480"/>
                  <w:marRight w:val="0"/>
                  <w:marTop w:val="0"/>
                  <w:marBottom w:val="0"/>
                  <w:divBdr>
                    <w:top w:val="none" w:sz="0" w:space="0" w:color="auto"/>
                    <w:left w:val="none" w:sz="0" w:space="0" w:color="auto"/>
                    <w:bottom w:val="none" w:sz="0" w:space="0" w:color="auto"/>
                    <w:right w:val="none" w:sz="0" w:space="0" w:color="auto"/>
                  </w:divBdr>
                </w:div>
                <w:div w:id="183521772">
                  <w:marLeft w:val="480"/>
                  <w:marRight w:val="0"/>
                  <w:marTop w:val="0"/>
                  <w:marBottom w:val="0"/>
                  <w:divBdr>
                    <w:top w:val="none" w:sz="0" w:space="0" w:color="auto"/>
                    <w:left w:val="none" w:sz="0" w:space="0" w:color="auto"/>
                    <w:bottom w:val="none" w:sz="0" w:space="0" w:color="auto"/>
                    <w:right w:val="none" w:sz="0" w:space="0" w:color="auto"/>
                  </w:divBdr>
                </w:div>
                <w:div w:id="2086145091">
                  <w:marLeft w:val="480"/>
                  <w:marRight w:val="0"/>
                  <w:marTop w:val="0"/>
                  <w:marBottom w:val="0"/>
                  <w:divBdr>
                    <w:top w:val="none" w:sz="0" w:space="0" w:color="auto"/>
                    <w:left w:val="none" w:sz="0" w:space="0" w:color="auto"/>
                    <w:bottom w:val="none" w:sz="0" w:space="0" w:color="auto"/>
                    <w:right w:val="none" w:sz="0" w:space="0" w:color="auto"/>
                  </w:divBdr>
                </w:div>
                <w:div w:id="1434863610">
                  <w:marLeft w:val="480"/>
                  <w:marRight w:val="0"/>
                  <w:marTop w:val="0"/>
                  <w:marBottom w:val="0"/>
                  <w:divBdr>
                    <w:top w:val="none" w:sz="0" w:space="0" w:color="auto"/>
                    <w:left w:val="none" w:sz="0" w:space="0" w:color="auto"/>
                    <w:bottom w:val="none" w:sz="0" w:space="0" w:color="auto"/>
                    <w:right w:val="none" w:sz="0" w:space="0" w:color="auto"/>
                  </w:divBdr>
                </w:div>
                <w:div w:id="254900845">
                  <w:marLeft w:val="480"/>
                  <w:marRight w:val="0"/>
                  <w:marTop w:val="0"/>
                  <w:marBottom w:val="0"/>
                  <w:divBdr>
                    <w:top w:val="none" w:sz="0" w:space="0" w:color="auto"/>
                    <w:left w:val="none" w:sz="0" w:space="0" w:color="auto"/>
                    <w:bottom w:val="none" w:sz="0" w:space="0" w:color="auto"/>
                    <w:right w:val="none" w:sz="0" w:space="0" w:color="auto"/>
                  </w:divBdr>
                </w:div>
                <w:div w:id="1089079329">
                  <w:marLeft w:val="480"/>
                  <w:marRight w:val="0"/>
                  <w:marTop w:val="0"/>
                  <w:marBottom w:val="0"/>
                  <w:divBdr>
                    <w:top w:val="none" w:sz="0" w:space="0" w:color="auto"/>
                    <w:left w:val="none" w:sz="0" w:space="0" w:color="auto"/>
                    <w:bottom w:val="none" w:sz="0" w:space="0" w:color="auto"/>
                    <w:right w:val="none" w:sz="0" w:space="0" w:color="auto"/>
                  </w:divBdr>
                </w:div>
                <w:div w:id="197939759">
                  <w:marLeft w:val="480"/>
                  <w:marRight w:val="0"/>
                  <w:marTop w:val="0"/>
                  <w:marBottom w:val="0"/>
                  <w:divBdr>
                    <w:top w:val="none" w:sz="0" w:space="0" w:color="auto"/>
                    <w:left w:val="none" w:sz="0" w:space="0" w:color="auto"/>
                    <w:bottom w:val="none" w:sz="0" w:space="0" w:color="auto"/>
                    <w:right w:val="none" w:sz="0" w:space="0" w:color="auto"/>
                  </w:divBdr>
                </w:div>
                <w:div w:id="1962154035">
                  <w:marLeft w:val="480"/>
                  <w:marRight w:val="0"/>
                  <w:marTop w:val="0"/>
                  <w:marBottom w:val="0"/>
                  <w:divBdr>
                    <w:top w:val="none" w:sz="0" w:space="0" w:color="auto"/>
                    <w:left w:val="none" w:sz="0" w:space="0" w:color="auto"/>
                    <w:bottom w:val="none" w:sz="0" w:space="0" w:color="auto"/>
                    <w:right w:val="none" w:sz="0" w:space="0" w:color="auto"/>
                  </w:divBdr>
                </w:div>
                <w:div w:id="930821497">
                  <w:marLeft w:val="480"/>
                  <w:marRight w:val="0"/>
                  <w:marTop w:val="0"/>
                  <w:marBottom w:val="0"/>
                  <w:divBdr>
                    <w:top w:val="none" w:sz="0" w:space="0" w:color="auto"/>
                    <w:left w:val="none" w:sz="0" w:space="0" w:color="auto"/>
                    <w:bottom w:val="none" w:sz="0" w:space="0" w:color="auto"/>
                    <w:right w:val="none" w:sz="0" w:space="0" w:color="auto"/>
                  </w:divBdr>
                </w:div>
                <w:div w:id="263270080">
                  <w:marLeft w:val="480"/>
                  <w:marRight w:val="0"/>
                  <w:marTop w:val="0"/>
                  <w:marBottom w:val="0"/>
                  <w:divBdr>
                    <w:top w:val="none" w:sz="0" w:space="0" w:color="auto"/>
                    <w:left w:val="none" w:sz="0" w:space="0" w:color="auto"/>
                    <w:bottom w:val="none" w:sz="0" w:space="0" w:color="auto"/>
                    <w:right w:val="none" w:sz="0" w:space="0" w:color="auto"/>
                  </w:divBdr>
                </w:div>
                <w:div w:id="1251819457">
                  <w:marLeft w:val="480"/>
                  <w:marRight w:val="0"/>
                  <w:marTop w:val="0"/>
                  <w:marBottom w:val="0"/>
                  <w:divBdr>
                    <w:top w:val="none" w:sz="0" w:space="0" w:color="auto"/>
                    <w:left w:val="none" w:sz="0" w:space="0" w:color="auto"/>
                    <w:bottom w:val="none" w:sz="0" w:space="0" w:color="auto"/>
                    <w:right w:val="none" w:sz="0" w:space="0" w:color="auto"/>
                  </w:divBdr>
                </w:div>
                <w:div w:id="1868910004">
                  <w:marLeft w:val="480"/>
                  <w:marRight w:val="0"/>
                  <w:marTop w:val="0"/>
                  <w:marBottom w:val="0"/>
                  <w:divBdr>
                    <w:top w:val="none" w:sz="0" w:space="0" w:color="auto"/>
                    <w:left w:val="none" w:sz="0" w:space="0" w:color="auto"/>
                    <w:bottom w:val="none" w:sz="0" w:space="0" w:color="auto"/>
                    <w:right w:val="none" w:sz="0" w:space="0" w:color="auto"/>
                  </w:divBdr>
                </w:div>
                <w:div w:id="1733384124">
                  <w:marLeft w:val="480"/>
                  <w:marRight w:val="0"/>
                  <w:marTop w:val="0"/>
                  <w:marBottom w:val="0"/>
                  <w:divBdr>
                    <w:top w:val="none" w:sz="0" w:space="0" w:color="auto"/>
                    <w:left w:val="none" w:sz="0" w:space="0" w:color="auto"/>
                    <w:bottom w:val="none" w:sz="0" w:space="0" w:color="auto"/>
                    <w:right w:val="none" w:sz="0" w:space="0" w:color="auto"/>
                  </w:divBdr>
                </w:div>
                <w:div w:id="551230131">
                  <w:marLeft w:val="480"/>
                  <w:marRight w:val="0"/>
                  <w:marTop w:val="0"/>
                  <w:marBottom w:val="0"/>
                  <w:divBdr>
                    <w:top w:val="none" w:sz="0" w:space="0" w:color="auto"/>
                    <w:left w:val="none" w:sz="0" w:space="0" w:color="auto"/>
                    <w:bottom w:val="none" w:sz="0" w:space="0" w:color="auto"/>
                    <w:right w:val="none" w:sz="0" w:space="0" w:color="auto"/>
                  </w:divBdr>
                </w:div>
                <w:div w:id="963778230">
                  <w:marLeft w:val="480"/>
                  <w:marRight w:val="0"/>
                  <w:marTop w:val="0"/>
                  <w:marBottom w:val="0"/>
                  <w:divBdr>
                    <w:top w:val="none" w:sz="0" w:space="0" w:color="auto"/>
                    <w:left w:val="none" w:sz="0" w:space="0" w:color="auto"/>
                    <w:bottom w:val="none" w:sz="0" w:space="0" w:color="auto"/>
                    <w:right w:val="none" w:sz="0" w:space="0" w:color="auto"/>
                  </w:divBdr>
                </w:div>
                <w:div w:id="1761220883">
                  <w:marLeft w:val="480"/>
                  <w:marRight w:val="0"/>
                  <w:marTop w:val="0"/>
                  <w:marBottom w:val="0"/>
                  <w:divBdr>
                    <w:top w:val="none" w:sz="0" w:space="0" w:color="auto"/>
                    <w:left w:val="none" w:sz="0" w:space="0" w:color="auto"/>
                    <w:bottom w:val="none" w:sz="0" w:space="0" w:color="auto"/>
                    <w:right w:val="none" w:sz="0" w:space="0" w:color="auto"/>
                  </w:divBdr>
                </w:div>
                <w:div w:id="1436443324">
                  <w:marLeft w:val="480"/>
                  <w:marRight w:val="0"/>
                  <w:marTop w:val="0"/>
                  <w:marBottom w:val="0"/>
                  <w:divBdr>
                    <w:top w:val="none" w:sz="0" w:space="0" w:color="auto"/>
                    <w:left w:val="none" w:sz="0" w:space="0" w:color="auto"/>
                    <w:bottom w:val="none" w:sz="0" w:space="0" w:color="auto"/>
                    <w:right w:val="none" w:sz="0" w:space="0" w:color="auto"/>
                  </w:divBdr>
                </w:div>
                <w:div w:id="1869487888">
                  <w:marLeft w:val="480"/>
                  <w:marRight w:val="0"/>
                  <w:marTop w:val="0"/>
                  <w:marBottom w:val="0"/>
                  <w:divBdr>
                    <w:top w:val="none" w:sz="0" w:space="0" w:color="auto"/>
                    <w:left w:val="none" w:sz="0" w:space="0" w:color="auto"/>
                    <w:bottom w:val="none" w:sz="0" w:space="0" w:color="auto"/>
                    <w:right w:val="none" w:sz="0" w:space="0" w:color="auto"/>
                  </w:divBdr>
                </w:div>
                <w:div w:id="601495073">
                  <w:marLeft w:val="480"/>
                  <w:marRight w:val="0"/>
                  <w:marTop w:val="0"/>
                  <w:marBottom w:val="0"/>
                  <w:divBdr>
                    <w:top w:val="none" w:sz="0" w:space="0" w:color="auto"/>
                    <w:left w:val="none" w:sz="0" w:space="0" w:color="auto"/>
                    <w:bottom w:val="none" w:sz="0" w:space="0" w:color="auto"/>
                    <w:right w:val="none" w:sz="0" w:space="0" w:color="auto"/>
                  </w:divBdr>
                </w:div>
                <w:div w:id="1757483722">
                  <w:marLeft w:val="480"/>
                  <w:marRight w:val="0"/>
                  <w:marTop w:val="0"/>
                  <w:marBottom w:val="0"/>
                  <w:divBdr>
                    <w:top w:val="none" w:sz="0" w:space="0" w:color="auto"/>
                    <w:left w:val="none" w:sz="0" w:space="0" w:color="auto"/>
                    <w:bottom w:val="none" w:sz="0" w:space="0" w:color="auto"/>
                    <w:right w:val="none" w:sz="0" w:space="0" w:color="auto"/>
                  </w:divBdr>
                </w:div>
                <w:div w:id="1512143630">
                  <w:marLeft w:val="480"/>
                  <w:marRight w:val="0"/>
                  <w:marTop w:val="0"/>
                  <w:marBottom w:val="0"/>
                  <w:divBdr>
                    <w:top w:val="none" w:sz="0" w:space="0" w:color="auto"/>
                    <w:left w:val="none" w:sz="0" w:space="0" w:color="auto"/>
                    <w:bottom w:val="none" w:sz="0" w:space="0" w:color="auto"/>
                    <w:right w:val="none" w:sz="0" w:space="0" w:color="auto"/>
                  </w:divBdr>
                </w:div>
                <w:div w:id="1390811881">
                  <w:marLeft w:val="480"/>
                  <w:marRight w:val="0"/>
                  <w:marTop w:val="0"/>
                  <w:marBottom w:val="0"/>
                  <w:divBdr>
                    <w:top w:val="none" w:sz="0" w:space="0" w:color="auto"/>
                    <w:left w:val="none" w:sz="0" w:space="0" w:color="auto"/>
                    <w:bottom w:val="none" w:sz="0" w:space="0" w:color="auto"/>
                    <w:right w:val="none" w:sz="0" w:space="0" w:color="auto"/>
                  </w:divBdr>
                </w:div>
                <w:div w:id="1676230405">
                  <w:marLeft w:val="480"/>
                  <w:marRight w:val="0"/>
                  <w:marTop w:val="0"/>
                  <w:marBottom w:val="0"/>
                  <w:divBdr>
                    <w:top w:val="none" w:sz="0" w:space="0" w:color="auto"/>
                    <w:left w:val="none" w:sz="0" w:space="0" w:color="auto"/>
                    <w:bottom w:val="none" w:sz="0" w:space="0" w:color="auto"/>
                    <w:right w:val="none" w:sz="0" w:space="0" w:color="auto"/>
                  </w:divBdr>
                </w:div>
                <w:div w:id="1418748450">
                  <w:marLeft w:val="480"/>
                  <w:marRight w:val="0"/>
                  <w:marTop w:val="0"/>
                  <w:marBottom w:val="0"/>
                  <w:divBdr>
                    <w:top w:val="none" w:sz="0" w:space="0" w:color="auto"/>
                    <w:left w:val="none" w:sz="0" w:space="0" w:color="auto"/>
                    <w:bottom w:val="none" w:sz="0" w:space="0" w:color="auto"/>
                    <w:right w:val="none" w:sz="0" w:space="0" w:color="auto"/>
                  </w:divBdr>
                </w:div>
                <w:div w:id="560093916">
                  <w:marLeft w:val="480"/>
                  <w:marRight w:val="0"/>
                  <w:marTop w:val="0"/>
                  <w:marBottom w:val="0"/>
                  <w:divBdr>
                    <w:top w:val="none" w:sz="0" w:space="0" w:color="auto"/>
                    <w:left w:val="none" w:sz="0" w:space="0" w:color="auto"/>
                    <w:bottom w:val="none" w:sz="0" w:space="0" w:color="auto"/>
                    <w:right w:val="none" w:sz="0" w:space="0" w:color="auto"/>
                  </w:divBdr>
                </w:div>
                <w:div w:id="431559094">
                  <w:marLeft w:val="480"/>
                  <w:marRight w:val="0"/>
                  <w:marTop w:val="0"/>
                  <w:marBottom w:val="0"/>
                  <w:divBdr>
                    <w:top w:val="none" w:sz="0" w:space="0" w:color="auto"/>
                    <w:left w:val="none" w:sz="0" w:space="0" w:color="auto"/>
                    <w:bottom w:val="none" w:sz="0" w:space="0" w:color="auto"/>
                    <w:right w:val="none" w:sz="0" w:space="0" w:color="auto"/>
                  </w:divBdr>
                </w:div>
                <w:div w:id="1184594534">
                  <w:marLeft w:val="480"/>
                  <w:marRight w:val="0"/>
                  <w:marTop w:val="0"/>
                  <w:marBottom w:val="0"/>
                  <w:divBdr>
                    <w:top w:val="none" w:sz="0" w:space="0" w:color="auto"/>
                    <w:left w:val="none" w:sz="0" w:space="0" w:color="auto"/>
                    <w:bottom w:val="none" w:sz="0" w:space="0" w:color="auto"/>
                    <w:right w:val="none" w:sz="0" w:space="0" w:color="auto"/>
                  </w:divBdr>
                </w:div>
                <w:div w:id="1499689377">
                  <w:marLeft w:val="480"/>
                  <w:marRight w:val="0"/>
                  <w:marTop w:val="0"/>
                  <w:marBottom w:val="0"/>
                  <w:divBdr>
                    <w:top w:val="none" w:sz="0" w:space="0" w:color="auto"/>
                    <w:left w:val="none" w:sz="0" w:space="0" w:color="auto"/>
                    <w:bottom w:val="none" w:sz="0" w:space="0" w:color="auto"/>
                    <w:right w:val="none" w:sz="0" w:space="0" w:color="auto"/>
                  </w:divBdr>
                </w:div>
                <w:div w:id="867720200">
                  <w:marLeft w:val="480"/>
                  <w:marRight w:val="0"/>
                  <w:marTop w:val="0"/>
                  <w:marBottom w:val="0"/>
                  <w:divBdr>
                    <w:top w:val="none" w:sz="0" w:space="0" w:color="auto"/>
                    <w:left w:val="none" w:sz="0" w:space="0" w:color="auto"/>
                    <w:bottom w:val="none" w:sz="0" w:space="0" w:color="auto"/>
                    <w:right w:val="none" w:sz="0" w:space="0" w:color="auto"/>
                  </w:divBdr>
                </w:div>
                <w:div w:id="1255821083">
                  <w:marLeft w:val="480"/>
                  <w:marRight w:val="0"/>
                  <w:marTop w:val="0"/>
                  <w:marBottom w:val="0"/>
                  <w:divBdr>
                    <w:top w:val="none" w:sz="0" w:space="0" w:color="auto"/>
                    <w:left w:val="none" w:sz="0" w:space="0" w:color="auto"/>
                    <w:bottom w:val="none" w:sz="0" w:space="0" w:color="auto"/>
                    <w:right w:val="none" w:sz="0" w:space="0" w:color="auto"/>
                  </w:divBdr>
                </w:div>
                <w:div w:id="775096804">
                  <w:marLeft w:val="480"/>
                  <w:marRight w:val="0"/>
                  <w:marTop w:val="0"/>
                  <w:marBottom w:val="0"/>
                  <w:divBdr>
                    <w:top w:val="none" w:sz="0" w:space="0" w:color="auto"/>
                    <w:left w:val="none" w:sz="0" w:space="0" w:color="auto"/>
                    <w:bottom w:val="none" w:sz="0" w:space="0" w:color="auto"/>
                    <w:right w:val="none" w:sz="0" w:space="0" w:color="auto"/>
                  </w:divBdr>
                </w:div>
                <w:div w:id="690645315">
                  <w:marLeft w:val="480"/>
                  <w:marRight w:val="0"/>
                  <w:marTop w:val="0"/>
                  <w:marBottom w:val="0"/>
                  <w:divBdr>
                    <w:top w:val="none" w:sz="0" w:space="0" w:color="auto"/>
                    <w:left w:val="none" w:sz="0" w:space="0" w:color="auto"/>
                    <w:bottom w:val="none" w:sz="0" w:space="0" w:color="auto"/>
                    <w:right w:val="none" w:sz="0" w:space="0" w:color="auto"/>
                  </w:divBdr>
                </w:div>
                <w:div w:id="823817399">
                  <w:marLeft w:val="480"/>
                  <w:marRight w:val="0"/>
                  <w:marTop w:val="0"/>
                  <w:marBottom w:val="0"/>
                  <w:divBdr>
                    <w:top w:val="none" w:sz="0" w:space="0" w:color="auto"/>
                    <w:left w:val="none" w:sz="0" w:space="0" w:color="auto"/>
                    <w:bottom w:val="none" w:sz="0" w:space="0" w:color="auto"/>
                    <w:right w:val="none" w:sz="0" w:space="0" w:color="auto"/>
                  </w:divBdr>
                </w:div>
                <w:div w:id="1932352401">
                  <w:marLeft w:val="480"/>
                  <w:marRight w:val="0"/>
                  <w:marTop w:val="0"/>
                  <w:marBottom w:val="0"/>
                  <w:divBdr>
                    <w:top w:val="none" w:sz="0" w:space="0" w:color="auto"/>
                    <w:left w:val="none" w:sz="0" w:space="0" w:color="auto"/>
                    <w:bottom w:val="none" w:sz="0" w:space="0" w:color="auto"/>
                    <w:right w:val="none" w:sz="0" w:space="0" w:color="auto"/>
                  </w:divBdr>
                </w:div>
                <w:div w:id="1830518217">
                  <w:marLeft w:val="480"/>
                  <w:marRight w:val="0"/>
                  <w:marTop w:val="0"/>
                  <w:marBottom w:val="0"/>
                  <w:divBdr>
                    <w:top w:val="none" w:sz="0" w:space="0" w:color="auto"/>
                    <w:left w:val="none" w:sz="0" w:space="0" w:color="auto"/>
                    <w:bottom w:val="none" w:sz="0" w:space="0" w:color="auto"/>
                    <w:right w:val="none" w:sz="0" w:space="0" w:color="auto"/>
                  </w:divBdr>
                </w:div>
                <w:div w:id="1440221984">
                  <w:marLeft w:val="480"/>
                  <w:marRight w:val="0"/>
                  <w:marTop w:val="0"/>
                  <w:marBottom w:val="0"/>
                  <w:divBdr>
                    <w:top w:val="none" w:sz="0" w:space="0" w:color="auto"/>
                    <w:left w:val="none" w:sz="0" w:space="0" w:color="auto"/>
                    <w:bottom w:val="none" w:sz="0" w:space="0" w:color="auto"/>
                    <w:right w:val="none" w:sz="0" w:space="0" w:color="auto"/>
                  </w:divBdr>
                </w:div>
                <w:div w:id="2014919724">
                  <w:marLeft w:val="480"/>
                  <w:marRight w:val="0"/>
                  <w:marTop w:val="0"/>
                  <w:marBottom w:val="0"/>
                  <w:divBdr>
                    <w:top w:val="none" w:sz="0" w:space="0" w:color="auto"/>
                    <w:left w:val="none" w:sz="0" w:space="0" w:color="auto"/>
                    <w:bottom w:val="none" w:sz="0" w:space="0" w:color="auto"/>
                    <w:right w:val="none" w:sz="0" w:space="0" w:color="auto"/>
                  </w:divBdr>
                </w:div>
                <w:div w:id="1679120543">
                  <w:marLeft w:val="480"/>
                  <w:marRight w:val="0"/>
                  <w:marTop w:val="0"/>
                  <w:marBottom w:val="0"/>
                  <w:divBdr>
                    <w:top w:val="none" w:sz="0" w:space="0" w:color="auto"/>
                    <w:left w:val="none" w:sz="0" w:space="0" w:color="auto"/>
                    <w:bottom w:val="none" w:sz="0" w:space="0" w:color="auto"/>
                    <w:right w:val="none" w:sz="0" w:space="0" w:color="auto"/>
                  </w:divBdr>
                </w:div>
                <w:div w:id="2072265637">
                  <w:marLeft w:val="480"/>
                  <w:marRight w:val="0"/>
                  <w:marTop w:val="0"/>
                  <w:marBottom w:val="0"/>
                  <w:divBdr>
                    <w:top w:val="none" w:sz="0" w:space="0" w:color="auto"/>
                    <w:left w:val="none" w:sz="0" w:space="0" w:color="auto"/>
                    <w:bottom w:val="none" w:sz="0" w:space="0" w:color="auto"/>
                    <w:right w:val="none" w:sz="0" w:space="0" w:color="auto"/>
                  </w:divBdr>
                </w:div>
                <w:div w:id="441387806">
                  <w:marLeft w:val="480"/>
                  <w:marRight w:val="0"/>
                  <w:marTop w:val="0"/>
                  <w:marBottom w:val="0"/>
                  <w:divBdr>
                    <w:top w:val="none" w:sz="0" w:space="0" w:color="auto"/>
                    <w:left w:val="none" w:sz="0" w:space="0" w:color="auto"/>
                    <w:bottom w:val="none" w:sz="0" w:space="0" w:color="auto"/>
                    <w:right w:val="none" w:sz="0" w:space="0" w:color="auto"/>
                  </w:divBdr>
                </w:div>
                <w:div w:id="217013702">
                  <w:marLeft w:val="480"/>
                  <w:marRight w:val="0"/>
                  <w:marTop w:val="0"/>
                  <w:marBottom w:val="0"/>
                  <w:divBdr>
                    <w:top w:val="none" w:sz="0" w:space="0" w:color="auto"/>
                    <w:left w:val="none" w:sz="0" w:space="0" w:color="auto"/>
                    <w:bottom w:val="none" w:sz="0" w:space="0" w:color="auto"/>
                    <w:right w:val="none" w:sz="0" w:space="0" w:color="auto"/>
                  </w:divBdr>
                </w:div>
                <w:div w:id="1377772558">
                  <w:marLeft w:val="480"/>
                  <w:marRight w:val="0"/>
                  <w:marTop w:val="0"/>
                  <w:marBottom w:val="0"/>
                  <w:divBdr>
                    <w:top w:val="none" w:sz="0" w:space="0" w:color="auto"/>
                    <w:left w:val="none" w:sz="0" w:space="0" w:color="auto"/>
                    <w:bottom w:val="none" w:sz="0" w:space="0" w:color="auto"/>
                    <w:right w:val="none" w:sz="0" w:space="0" w:color="auto"/>
                  </w:divBdr>
                </w:div>
                <w:div w:id="1282613090">
                  <w:marLeft w:val="480"/>
                  <w:marRight w:val="0"/>
                  <w:marTop w:val="0"/>
                  <w:marBottom w:val="0"/>
                  <w:divBdr>
                    <w:top w:val="none" w:sz="0" w:space="0" w:color="auto"/>
                    <w:left w:val="none" w:sz="0" w:space="0" w:color="auto"/>
                    <w:bottom w:val="none" w:sz="0" w:space="0" w:color="auto"/>
                    <w:right w:val="none" w:sz="0" w:space="0" w:color="auto"/>
                  </w:divBdr>
                </w:div>
                <w:div w:id="1212770993">
                  <w:marLeft w:val="480"/>
                  <w:marRight w:val="0"/>
                  <w:marTop w:val="0"/>
                  <w:marBottom w:val="0"/>
                  <w:divBdr>
                    <w:top w:val="none" w:sz="0" w:space="0" w:color="auto"/>
                    <w:left w:val="none" w:sz="0" w:space="0" w:color="auto"/>
                    <w:bottom w:val="none" w:sz="0" w:space="0" w:color="auto"/>
                    <w:right w:val="none" w:sz="0" w:space="0" w:color="auto"/>
                  </w:divBdr>
                </w:div>
                <w:div w:id="1500384068">
                  <w:marLeft w:val="480"/>
                  <w:marRight w:val="0"/>
                  <w:marTop w:val="0"/>
                  <w:marBottom w:val="0"/>
                  <w:divBdr>
                    <w:top w:val="none" w:sz="0" w:space="0" w:color="auto"/>
                    <w:left w:val="none" w:sz="0" w:space="0" w:color="auto"/>
                    <w:bottom w:val="none" w:sz="0" w:space="0" w:color="auto"/>
                    <w:right w:val="none" w:sz="0" w:space="0" w:color="auto"/>
                  </w:divBdr>
                </w:div>
                <w:div w:id="660231991">
                  <w:marLeft w:val="480"/>
                  <w:marRight w:val="0"/>
                  <w:marTop w:val="0"/>
                  <w:marBottom w:val="0"/>
                  <w:divBdr>
                    <w:top w:val="none" w:sz="0" w:space="0" w:color="auto"/>
                    <w:left w:val="none" w:sz="0" w:space="0" w:color="auto"/>
                    <w:bottom w:val="none" w:sz="0" w:space="0" w:color="auto"/>
                    <w:right w:val="none" w:sz="0" w:space="0" w:color="auto"/>
                  </w:divBdr>
                </w:div>
                <w:div w:id="1533223839">
                  <w:marLeft w:val="480"/>
                  <w:marRight w:val="0"/>
                  <w:marTop w:val="0"/>
                  <w:marBottom w:val="0"/>
                  <w:divBdr>
                    <w:top w:val="none" w:sz="0" w:space="0" w:color="auto"/>
                    <w:left w:val="none" w:sz="0" w:space="0" w:color="auto"/>
                    <w:bottom w:val="none" w:sz="0" w:space="0" w:color="auto"/>
                    <w:right w:val="none" w:sz="0" w:space="0" w:color="auto"/>
                  </w:divBdr>
                </w:div>
                <w:div w:id="667833750">
                  <w:marLeft w:val="480"/>
                  <w:marRight w:val="0"/>
                  <w:marTop w:val="0"/>
                  <w:marBottom w:val="0"/>
                  <w:divBdr>
                    <w:top w:val="none" w:sz="0" w:space="0" w:color="auto"/>
                    <w:left w:val="none" w:sz="0" w:space="0" w:color="auto"/>
                    <w:bottom w:val="none" w:sz="0" w:space="0" w:color="auto"/>
                    <w:right w:val="none" w:sz="0" w:space="0" w:color="auto"/>
                  </w:divBdr>
                </w:div>
                <w:div w:id="18899766">
                  <w:marLeft w:val="480"/>
                  <w:marRight w:val="0"/>
                  <w:marTop w:val="0"/>
                  <w:marBottom w:val="0"/>
                  <w:divBdr>
                    <w:top w:val="none" w:sz="0" w:space="0" w:color="auto"/>
                    <w:left w:val="none" w:sz="0" w:space="0" w:color="auto"/>
                    <w:bottom w:val="none" w:sz="0" w:space="0" w:color="auto"/>
                    <w:right w:val="none" w:sz="0" w:space="0" w:color="auto"/>
                  </w:divBdr>
                </w:div>
                <w:div w:id="1701129476">
                  <w:marLeft w:val="480"/>
                  <w:marRight w:val="0"/>
                  <w:marTop w:val="0"/>
                  <w:marBottom w:val="0"/>
                  <w:divBdr>
                    <w:top w:val="none" w:sz="0" w:space="0" w:color="auto"/>
                    <w:left w:val="none" w:sz="0" w:space="0" w:color="auto"/>
                    <w:bottom w:val="none" w:sz="0" w:space="0" w:color="auto"/>
                    <w:right w:val="none" w:sz="0" w:space="0" w:color="auto"/>
                  </w:divBdr>
                </w:div>
                <w:div w:id="2035646050">
                  <w:marLeft w:val="480"/>
                  <w:marRight w:val="0"/>
                  <w:marTop w:val="0"/>
                  <w:marBottom w:val="0"/>
                  <w:divBdr>
                    <w:top w:val="none" w:sz="0" w:space="0" w:color="auto"/>
                    <w:left w:val="none" w:sz="0" w:space="0" w:color="auto"/>
                    <w:bottom w:val="none" w:sz="0" w:space="0" w:color="auto"/>
                    <w:right w:val="none" w:sz="0" w:space="0" w:color="auto"/>
                  </w:divBdr>
                </w:div>
                <w:div w:id="2011640181">
                  <w:marLeft w:val="480"/>
                  <w:marRight w:val="0"/>
                  <w:marTop w:val="0"/>
                  <w:marBottom w:val="0"/>
                  <w:divBdr>
                    <w:top w:val="none" w:sz="0" w:space="0" w:color="auto"/>
                    <w:left w:val="none" w:sz="0" w:space="0" w:color="auto"/>
                    <w:bottom w:val="none" w:sz="0" w:space="0" w:color="auto"/>
                    <w:right w:val="none" w:sz="0" w:space="0" w:color="auto"/>
                  </w:divBdr>
                </w:div>
                <w:div w:id="280041648">
                  <w:marLeft w:val="480"/>
                  <w:marRight w:val="0"/>
                  <w:marTop w:val="0"/>
                  <w:marBottom w:val="0"/>
                  <w:divBdr>
                    <w:top w:val="none" w:sz="0" w:space="0" w:color="auto"/>
                    <w:left w:val="none" w:sz="0" w:space="0" w:color="auto"/>
                    <w:bottom w:val="none" w:sz="0" w:space="0" w:color="auto"/>
                    <w:right w:val="none" w:sz="0" w:space="0" w:color="auto"/>
                  </w:divBdr>
                </w:div>
                <w:div w:id="212236305">
                  <w:marLeft w:val="480"/>
                  <w:marRight w:val="0"/>
                  <w:marTop w:val="0"/>
                  <w:marBottom w:val="0"/>
                  <w:divBdr>
                    <w:top w:val="none" w:sz="0" w:space="0" w:color="auto"/>
                    <w:left w:val="none" w:sz="0" w:space="0" w:color="auto"/>
                    <w:bottom w:val="none" w:sz="0" w:space="0" w:color="auto"/>
                    <w:right w:val="none" w:sz="0" w:space="0" w:color="auto"/>
                  </w:divBdr>
                </w:div>
                <w:div w:id="1025668103">
                  <w:marLeft w:val="480"/>
                  <w:marRight w:val="0"/>
                  <w:marTop w:val="0"/>
                  <w:marBottom w:val="0"/>
                  <w:divBdr>
                    <w:top w:val="none" w:sz="0" w:space="0" w:color="auto"/>
                    <w:left w:val="none" w:sz="0" w:space="0" w:color="auto"/>
                    <w:bottom w:val="none" w:sz="0" w:space="0" w:color="auto"/>
                    <w:right w:val="none" w:sz="0" w:space="0" w:color="auto"/>
                  </w:divBdr>
                </w:div>
                <w:div w:id="530610538">
                  <w:marLeft w:val="480"/>
                  <w:marRight w:val="0"/>
                  <w:marTop w:val="0"/>
                  <w:marBottom w:val="0"/>
                  <w:divBdr>
                    <w:top w:val="none" w:sz="0" w:space="0" w:color="auto"/>
                    <w:left w:val="none" w:sz="0" w:space="0" w:color="auto"/>
                    <w:bottom w:val="none" w:sz="0" w:space="0" w:color="auto"/>
                    <w:right w:val="none" w:sz="0" w:space="0" w:color="auto"/>
                  </w:divBdr>
                </w:div>
                <w:div w:id="1231041077">
                  <w:marLeft w:val="480"/>
                  <w:marRight w:val="0"/>
                  <w:marTop w:val="0"/>
                  <w:marBottom w:val="0"/>
                  <w:divBdr>
                    <w:top w:val="none" w:sz="0" w:space="0" w:color="auto"/>
                    <w:left w:val="none" w:sz="0" w:space="0" w:color="auto"/>
                    <w:bottom w:val="none" w:sz="0" w:space="0" w:color="auto"/>
                    <w:right w:val="none" w:sz="0" w:space="0" w:color="auto"/>
                  </w:divBdr>
                </w:div>
                <w:div w:id="346563300">
                  <w:marLeft w:val="480"/>
                  <w:marRight w:val="0"/>
                  <w:marTop w:val="0"/>
                  <w:marBottom w:val="0"/>
                  <w:divBdr>
                    <w:top w:val="none" w:sz="0" w:space="0" w:color="auto"/>
                    <w:left w:val="none" w:sz="0" w:space="0" w:color="auto"/>
                    <w:bottom w:val="none" w:sz="0" w:space="0" w:color="auto"/>
                    <w:right w:val="none" w:sz="0" w:space="0" w:color="auto"/>
                  </w:divBdr>
                </w:div>
                <w:div w:id="1383872408">
                  <w:marLeft w:val="480"/>
                  <w:marRight w:val="0"/>
                  <w:marTop w:val="0"/>
                  <w:marBottom w:val="0"/>
                  <w:divBdr>
                    <w:top w:val="none" w:sz="0" w:space="0" w:color="auto"/>
                    <w:left w:val="none" w:sz="0" w:space="0" w:color="auto"/>
                    <w:bottom w:val="none" w:sz="0" w:space="0" w:color="auto"/>
                    <w:right w:val="none" w:sz="0" w:space="0" w:color="auto"/>
                  </w:divBdr>
                </w:div>
                <w:div w:id="526985947">
                  <w:marLeft w:val="480"/>
                  <w:marRight w:val="0"/>
                  <w:marTop w:val="0"/>
                  <w:marBottom w:val="0"/>
                  <w:divBdr>
                    <w:top w:val="none" w:sz="0" w:space="0" w:color="auto"/>
                    <w:left w:val="none" w:sz="0" w:space="0" w:color="auto"/>
                    <w:bottom w:val="none" w:sz="0" w:space="0" w:color="auto"/>
                    <w:right w:val="none" w:sz="0" w:space="0" w:color="auto"/>
                  </w:divBdr>
                </w:div>
                <w:div w:id="1384872016">
                  <w:marLeft w:val="480"/>
                  <w:marRight w:val="0"/>
                  <w:marTop w:val="0"/>
                  <w:marBottom w:val="0"/>
                  <w:divBdr>
                    <w:top w:val="none" w:sz="0" w:space="0" w:color="auto"/>
                    <w:left w:val="none" w:sz="0" w:space="0" w:color="auto"/>
                    <w:bottom w:val="none" w:sz="0" w:space="0" w:color="auto"/>
                    <w:right w:val="none" w:sz="0" w:space="0" w:color="auto"/>
                  </w:divBdr>
                </w:div>
                <w:div w:id="163054303">
                  <w:marLeft w:val="480"/>
                  <w:marRight w:val="0"/>
                  <w:marTop w:val="0"/>
                  <w:marBottom w:val="0"/>
                  <w:divBdr>
                    <w:top w:val="none" w:sz="0" w:space="0" w:color="auto"/>
                    <w:left w:val="none" w:sz="0" w:space="0" w:color="auto"/>
                    <w:bottom w:val="none" w:sz="0" w:space="0" w:color="auto"/>
                    <w:right w:val="none" w:sz="0" w:space="0" w:color="auto"/>
                  </w:divBdr>
                </w:div>
                <w:div w:id="622738090">
                  <w:marLeft w:val="480"/>
                  <w:marRight w:val="0"/>
                  <w:marTop w:val="0"/>
                  <w:marBottom w:val="0"/>
                  <w:divBdr>
                    <w:top w:val="none" w:sz="0" w:space="0" w:color="auto"/>
                    <w:left w:val="none" w:sz="0" w:space="0" w:color="auto"/>
                    <w:bottom w:val="none" w:sz="0" w:space="0" w:color="auto"/>
                    <w:right w:val="none" w:sz="0" w:space="0" w:color="auto"/>
                  </w:divBdr>
                </w:div>
                <w:div w:id="1190098275">
                  <w:marLeft w:val="480"/>
                  <w:marRight w:val="0"/>
                  <w:marTop w:val="0"/>
                  <w:marBottom w:val="0"/>
                  <w:divBdr>
                    <w:top w:val="none" w:sz="0" w:space="0" w:color="auto"/>
                    <w:left w:val="none" w:sz="0" w:space="0" w:color="auto"/>
                    <w:bottom w:val="none" w:sz="0" w:space="0" w:color="auto"/>
                    <w:right w:val="none" w:sz="0" w:space="0" w:color="auto"/>
                  </w:divBdr>
                </w:div>
                <w:div w:id="329482100">
                  <w:marLeft w:val="480"/>
                  <w:marRight w:val="0"/>
                  <w:marTop w:val="0"/>
                  <w:marBottom w:val="0"/>
                  <w:divBdr>
                    <w:top w:val="none" w:sz="0" w:space="0" w:color="auto"/>
                    <w:left w:val="none" w:sz="0" w:space="0" w:color="auto"/>
                    <w:bottom w:val="none" w:sz="0" w:space="0" w:color="auto"/>
                    <w:right w:val="none" w:sz="0" w:space="0" w:color="auto"/>
                  </w:divBdr>
                </w:div>
                <w:div w:id="876968190">
                  <w:marLeft w:val="480"/>
                  <w:marRight w:val="0"/>
                  <w:marTop w:val="0"/>
                  <w:marBottom w:val="0"/>
                  <w:divBdr>
                    <w:top w:val="none" w:sz="0" w:space="0" w:color="auto"/>
                    <w:left w:val="none" w:sz="0" w:space="0" w:color="auto"/>
                    <w:bottom w:val="none" w:sz="0" w:space="0" w:color="auto"/>
                    <w:right w:val="none" w:sz="0" w:space="0" w:color="auto"/>
                  </w:divBdr>
                </w:div>
                <w:div w:id="355889490">
                  <w:marLeft w:val="480"/>
                  <w:marRight w:val="0"/>
                  <w:marTop w:val="0"/>
                  <w:marBottom w:val="0"/>
                  <w:divBdr>
                    <w:top w:val="none" w:sz="0" w:space="0" w:color="auto"/>
                    <w:left w:val="none" w:sz="0" w:space="0" w:color="auto"/>
                    <w:bottom w:val="none" w:sz="0" w:space="0" w:color="auto"/>
                    <w:right w:val="none" w:sz="0" w:space="0" w:color="auto"/>
                  </w:divBdr>
                </w:div>
                <w:div w:id="803693272">
                  <w:marLeft w:val="480"/>
                  <w:marRight w:val="0"/>
                  <w:marTop w:val="0"/>
                  <w:marBottom w:val="0"/>
                  <w:divBdr>
                    <w:top w:val="none" w:sz="0" w:space="0" w:color="auto"/>
                    <w:left w:val="none" w:sz="0" w:space="0" w:color="auto"/>
                    <w:bottom w:val="none" w:sz="0" w:space="0" w:color="auto"/>
                    <w:right w:val="none" w:sz="0" w:space="0" w:color="auto"/>
                  </w:divBdr>
                </w:div>
                <w:div w:id="1163617717">
                  <w:marLeft w:val="480"/>
                  <w:marRight w:val="0"/>
                  <w:marTop w:val="0"/>
                  <w:marBottom w:val="0"/>
                  <w:divBdr>
                    <w:top w:val="none" w:sz="0" w:space="0" w:color="auto"/>
                    <w:left w:val="none" w:sz="0" w:space="0" w:color="auto"/>
                    <w:bottom w:val="none" w:sz="0" w:space="0" w:color="auto"/>
                    <w:right w:val="none" w:sz="0" w:space="0" w:color="auto"/>
                  </w:divBdr>
                </w:div>
                <w:div w:id="802969402">
                  <w:marLeft w:val="480"/>
                  <w:marRight w:val="0"/>
                  <w:marTop w:val="0"/>
                  <w:marBottom w:val="0"/>
                  <w:divBdr>
                    <w:top w:val="none" w:sz="0" w:space="0" w:color="auto"/>
                    <w:left w:val="none" w:sz="0" w:space="0" w:color="auto"/>
                    <w:bottom w:val="none" w:sz="0" w:space="0" w:color="auto"/>
                    <w:right w:val="none" w:sz="0" w:space="0" w:color="auto"/>
                  </w:divBdr>
                </w:div>
                <w:div w:id="1410730743">
                  <w:marLeft w:val="480"/>
                  <w:marRight w:val="0"/>
                  <w:marTop w:val="0"/>
                  <w:marBottom w:val="0"/>
                  <w:divBdr>
                    <w:top w:val="none" w:sz="0" w:space="0" w:color="auto"/>
                    <w:left w:val="none" w:sz="0" w:space="0" w:color="auto"/>
                    <w:bottom w:val="none" w:sz="0" w:space="0" w:color="auto"/>
                    <w:right w:val="none" w:sz="0" w:space="0" w:color="auto"/>
                  </w:divBdr>
                </w:div>
                <w:div w:id="2032759651">
                  <w:marLeft w:val="480"/>
                  <w:marRight w:val="0"/>
                  <w:marTop w:val="0"/>
                  <w:marBottom w:val="0"/>
                  <w:divBdr>
                    <w:top w:val="none" w:sz="0" w:space="0" w:color="auto"/>
                    <w:left w:val="none" w:sz="0" w:space="0" w:color="auto"/>
                    <w:bottom w:val="none" w:sz="0" w:space="0" w:color="auto"/>
                    <w:right w:val="none" w:sz="0" w:space="0" w:color="auto"/>
                  </w:divBdr>
                </w:div>
                <w:div w:id="719208440">
                  <w:marLeft w:val="480"/>
                  <w:marRight w:val="0"/>
                  <w:marTop w:val="0"/>
                  <w:marBottom w:val="0"/>
                  <w:divBdr>
                    <w:top w:val="none" w:sz="0" w:space="0" w:color="auto"/>
                    <w:left w:val="none" w:sz="0" w:space="0" w:color="auto"/>
                    <w:bottom w:val="none" w:sz="0" w:space="0" w:color="auto"/>
                    <w:right w:val="none" w:sz="0" w:space="0" w:color="auto"/>
                  </w:divBdr>
                </w:div>
                <w:div w:id="1962300331">
                  <w:marLeft w:val="480"/>
                  <w:marRight w:val="0"/>
                  <w:marTop w:val="0"/>
                  <w:marBottom w:val="0"/>
                  <w:divBdr>
                    <w:top w:val="none" w:sz="0" w:space="0" w:color="auto"/>
                    <w:left w:val="none" w:sz="0" w:space="0" w:color="auto"/>
                    <w:bottom w:val="none" w:sz="0" w:space="0" w:color="auto"/>
                    <w:right w:val="none" w:sz="0" w:space="0" w:color="auto"/>
                  </w:divBdr>
                </w:div>
                <w:div w:id="102000906">
                  <w:marLeft w:val="480"/>
                  <w:marRight w:val="0"/>
                  <w:marTop w:val="0"/>
                  <w:marBottom w:val="0"/>
                  <w:divBdr>
                    <w:top w:val="none" w:sz="0" w:space="0" w:color="auto"/>
                    <w:left w:val="none" w:sz="0" w:space="0" w:color="auto"/>
                    <w:bottom w:val="none" w:sz="0" w:space="0" w:color="auto"/>
                    <w:right w:val="none" w:sz="0" w:space="0" w:color="auto"/>
                  </w:divBdr>
                </w:div>
                <w:div w:id="893586809">
                  <w:marLeft w:val="480"/>
                  <w:marRight w:val="0"/>
                  <w:marTop w:val="0"/>
                  <w:marBottom w:val="0"/>
                  <w:divBdr>
                    <w:top w:val="none" w:sz="0" w:space="0" w:color="auto"/>
                    <w:left w:val="none" w:sz="0" w:space="0" w:color="auto"/>
                    <w:bottom w:val="none" w:sz="0" w:space="0" w:color="auto"/>
                    <w:right w:val="none" w:sz="0" w:space="0" w:color="auto"/>
                  </w:divBdr>
                </w:div>
                <w:div w:id="533347888">
                  <w:marLeft w:val="480"/>
                  <w:marRight w:val="0"/>
                  <w:marTop w:val="0"/>
                  <w:marBottom w:val="0"/>
                  <w:divBdr>
                    <w:top w:val="none" w:sz="0" w:space="0" w:color="auto"/>
                    <w:left w:val="none" w:sz="0" w:space="0" w:color="auto"/>
                    <w:bottom w:val="none" w:sz="0" w:space="0" w:color="auto"/>
                    <w:right w:val="none" w:sz="0" w:space="0" w:color="auto"/>
                  </w:divBdr>
                </w:div>
                <w:div w:id="606347666">
                  <w:marLeft w:val="480"/>
                  <w:marRight w:val="0"/>
                  <w:marTop w:val="0"/>
                  <w:marBottom w:val="0"/>
                  <w:divBdr>
                    <w:top w:val="none" w:sz="0" w:space="0" w:color="auto"/>
                    <w:left w:val="none" w:sz="0" w:space="0" w:color="auto"/>
                    <w:bottom w:val="none" w:sz="0" w:space="0" w:color="auto"/>
                    <w:right w:val="none" w:sz="0" w:space="0" w:color="auto"/>
                  </w:divBdr>
                </w:div>
                <w:div w:id="1799761683">
                  <w:marLeft w:val="480"/>
                  <w:marRight w:val="0"/>
                  <w:marTop w:val="0"/>
                  <w:marBottom w:val="0"/>
                  <w:divBdr>
                    <w:top w:val="none" w:sz="0" w:space="0" w:color="auto"/>
                    <w:left w:val="none" w:sz="0" w:space="0" w:color="auto"/>
                    <w:bottom w:val="none" w:sz="0" w:space="0" w:color="auto"/>
                    <w:right w:val="none" w:sz="0" w:space="0" w:color="auto"/>
                  </w:divBdr>
                </w:div>
                <w:div w:id="1746142002">
                  <w:marLeft w:val="480"/>
                  <w:marRight w:val="0"/>
                  <w:marTop w:val="0"/>
                  <w:marBottom w:val="0"/>
                  <w:divBdr>
                    <w:top w:val="none" w:sz="0" w:space="0" w:color="auto"/>
                    <w:left w:val="none" w:sz="0" w:space="0" w:color="auto"/>
                    <w:bottom w:val="none" w:sz="0" w:space="0" w:color="auto"/>
                    <w:right w:val="none" w:sz="0" w:space="0" w:color="auto"/>
                  </w:divBdr>
                </w:div>
                <w:div w:id="1365204779">
                  <w:marLeft w:val="480"/>
                  <w:marRight w:val="0"/>
                  <w:marTop w:val="0"/>
                  <w:marBottom w:val="0"/>
                  <w:divBdr>
                    <w:top w:val="none" w:sz="0" w:space="0" w:color="auto"/>
                    <w:left w:val="none" w:sz="0" w:space="0" w:color="auto"/>
                    <w:bottom w:val="none" w:sz="0" w:space="0" w:color="auto"/>
                    <w:right w:val="none" w:sz="0" w:space="0" w:color="auto"/>
                  </w:divBdr>
                </w:div>
                <w:div w:id="758258030">
                  <w:marLeft w:val="480"/>
                  <w:marRight w:val="0"/>
                  <w:marTop w:val="0"/>
                  <w:marBottom w:val="0"/>
                  <w:divBdr>
                    <w:top w:val="none" w:sz="0" w:space="0" w:color="auto"/>
                    <w:left w:val="none" w:sz="0" w:space="0" w:color="auto"/>
                    <w:bottom w:val="none" w:sz="0" w:space="0" w:color="auto"/>
                    <w:right w:val="none" w:sz="0" w:space="0" w:color="auto"/>
                  </w:divBdr>
                </w:div>
                <w:div w:id="1954896559">
                  <w:marLeft w:val="480"/>
                  <w:marRight w:val="0"/>
                  <w:marTop w:val="0"/>
                  <w:marBottom w:val="0"/>
                  <w:divBdr>
                    <w:top w:val="none" w:sz="0" w:space="0" w:color="auto"/>
                    <w:left w:val="none" w:sz="0" w:space="0" w:color="auto"/>
                    <w:bottom w:val="none" w:sz="0" w:space="0" w:color="auto"/>
                    <w:right w:val="none" w:sz="0" w:space="0" w:color="auto"/>
                  </w:divBdr>
                </w:div>
                <w:div w:id="706418160">
                  <w:marLeft w:val="480"/>
                  <w:marRight w:val="0"/>
                  <w:marTop w:val="0"/>
                  <w:marBottom w:val="0"/>
                  <w:divBdr>
                    <w:top w:val="none" w:sz="0" w:space="0" w:color="auto"/>
                    <w:left w:val="none" w:sz="0" w:space="0" w:color="auto"/>
                    <w:bottom w:val="none" w:sz="0" w:space="0" w:color="auto"/>
                    <w:right w:val="none" w:sz="0" w:space="0" w:color="auto"/>
                  </w:divBdr>
                </w:div>
                <w:div w:id="1999727906">
                  <w:marLeft w:val="480"/>
                  <w:marRight w:val="0"/>
                  <w:marTop w:val="0"/>
                  <w:marBottom w:val="0"/>
                  <w:divBdr>
                    <w:top w:val="none" w:sz="0" w:space="0" w:color="auto"/>
                    <w:left w:val="none" w:sz="0" w:space="0" w:color="auto"/>
                    <w:bottom w:val="none" w:sz="0" w:space="0" w:color="auto"/>
                    <w:right w:val="none" w:sz="0" w:space="0" w:color="auto"/>
                  </w:divBdr>
                </w:div>
                <w:div w:id="268660042">
                  <w:marLeft w:val="480"/>
                  <w:marRight w:val="0"/>
                  <w:marTop w:val="0"/>
                  <w:marBottom w:val="0"/>
                  <w:divBdr>
                    <w:top w:val="none" w:sz="0" w:space="0" w:color="auto"/>
                    <w:left w:val="none" w:sz="0" w:space="0" w:color="auto"/>
                    <w:bottom w:val="none" w:sz="0" w:space="0" w:color="auto"/>
                    <w:right w:val="none" w:sz="0" w:space="0" w:color="auto"/>
                  </w:divBdr>
                </w:div>
                <w:div w:id="1215194725">
                  <w:marLeft w:val="480"/>
                  <w:marRight w:val="0"/>
                  <w:marTop w:val="0"/>
                  <w:marBottom w:val="0"/>
                  <w:divBdr>
                    <w:top w:val="none" w:sz="0" w:space="0" w:color="auto"/>
                    <w:left w:val="none" w:sz="0" w:space="0" w:color="auto"/>
                    <w:bottom w:val="none" w:sz="0" w:space="0" w:color="auto"/>
                    <w:right w:val="none" w:sz="0" w:space="0" w:color="auto"/>
                  </w:divBdr>
                </w:div>
                <w:div w:id="1156989958">
                  <w:marLeft w:val="480"/>
                  <w:marRight w:val="0"/>
                  <w:marTop w:val="0"/>
                  <w:marBottom w:val="0"/>
                  <w:divBdr>
                    <w:top w:val="none" w:sz="0" w:space="0" w:color="auto"/>
                    <w:left w:val="none" w:sz="0" w:space="0" w:color="auto"/>
                    <w:bottom w:val="none" w:sz="0" w:space="0" w:color="auto"/>
                    <w:right w:val="none" w:sz="0" w:space="0" w:color="auto"/>
                  </w:divBdr>
                </w:div>
                <w:div w:id="1130628861">
                  <w:marLeft w:val="480"/>
                  <w:marRight w:val="0"/>
                  <w:marTop w:val="0"/>
                  <w:marBottom w:val="0"/>
                  <w:divBdr>
                    <w:top w:val="none" w:sz="0" w:space="0" w:color="auto"/>
                    <w:left w:val="none" w:sz="0" w:space="0" w:color="auto"/>
                    <w:bottom w:val="none" w:sz="0" w:space="0" w:color="auto"/>
                    <w:right w:val="none" w:sz="0" w:space="0" w:color="auto"/>
                  </w:divBdr>
                </w:div>
                <w:div w:id="1085299060">
                  <w:marLeft w:val="480"/>
                  <w:marRight w:val="0"/>
                  <w:marTop w:val="0"/>
                  <w:marBottom w:val="0"/>
                  <w:divBdr>
                    <w:top w:val="none" w:sz="0" w:space="0" w:color="auto"/>
                    <w:left w:val="none" w:sz="0" w:space="0" w:color="auto"/>
                    <w:bottom w:val="none" w:sz="0" w:space="0" w:color="auto"/>
                    <w:right w:val="none" w:sz="0" w:space="0" w:color="auto"/>
                  </w:divBdr>
                </w:div>
                <w:div w:id="33124112">
                  <w:marLeft w:val="480"/>
                  <w:marRight w:val="0"/>
                  <w:marTop w:val="0"/>
                  <w:marBottom w:val="0"/>
                  <w:divBdr>
                    <w:top w:val="none" w:sz="0" w:space="0" w:color="auto"/>
                    <w:left w:val="none" w:sz="0" w:space="0" w:color="auto"/>
                    <w:bottom w:val="none" w:sz="0" w:space="0" w:color="auto"/>
                    <w:right w:val="none" w:sz="0" w:space="0" w:color="auto"/>
                  </w:divBdr>
                </w:div>
                <w:div w:id="2135322878">
                  <w:marLeft w:val="480"/>
                  <w:marRight w:val="0"/>
                  <w:marTop w:val="0"/>
                  <w:marBottom w:val="0"/>
                  <w:divBdr>
                    <w:top w:val="none" w:sz="0" w:space="0" w:color="auto"/>
                    <w:left w:val="none" w:sz="0" w:space="0" w:color="auto"/>
                    <w:bottom w:val="none" w:sz="0" w:space="0" w:color="auto"/>
                    <w:right w:val="none" w:sz="0" w:space="0" w:color="auto"/>
                  </w:divBdr>
                </w:div>
                <w:div w:id="1484197256">
                  <w:marLeft w:val="480"/>
                  <w:marRight w:val="0"/>
                  <w:marTop w:val="0"/>
                  <w:marBottom w:val="0"/>
                  <w:divBdr>
                    <w:top w:val="none" w:sz="0" w:space="0" w:color="auto"/>
                    <w:left w:val="none" w:sz="0" w:space="0" w:color="auto"/>
                    <w:bottom w:val="none" w:sz="0" w:space="0" w:color="auto"/>
                    <w:right w:val="none" w:sz="0" w:space="0" w:color="auto"/>
                  </w:divBdr>
                </w:div>
                <w:div w:id="665673406">
                  <w:marLeft w:val="480"/>
                  <w:marRight w:val="0"/>
                  <w:marTop w:val="0"/>
                  <w:marBottom w:val="0"/>
                  <w:divBdr>
                    <w:top w:val="none" w:sz="0" w:space="0" w:color="auto"/>
                    <w:left w:val="none" w:sz="0" w:space="0" w:color="auto"/>
                    <w:bottom w:val="none" w:sz="0" w:space="0" w:color="auto"/>
                    <w:right w:val="none" w:sz="0" w:space="0" w:color="auto"/>
                  </w:divBdr>
                </w:div>
                <w:div w:id="1135637351">
                  <w:marLeft w:val="480"/>
                  <w:marRight w:val="0"/>
                  <w:marTop w:val="0"/>
                  <w:marBottom w:val="0"/>
                  <w:divBdr>
                    <w:top w:val="none" w:sz="0" w:space="0" w:color="auto"/>
                    <w:left w:val="none" w:sz="0" w:space="0" w:color="auto"/>
                    <w:bottom w:val="none" w:sz="0" w:space="0" w:color="auto"/>
                    <w:right w:val="none" w:sz="0" w:space="0" w:color="auto"/>
                  </w:divBdr>
                </w:div>
                <w:div w:id="1625649037">
                  <w:marLeft w:val="480"/>
                  <w:marRight w:val="0"/>
                  <w:marTop w:val="0"/>
                  <w:marBottom w:val="0"/>
                  <w:divBdr>
                    <w:top w:val="none" w:sz="0" w:space="0" w:color="auto"/>
                    <w:left w:val="none" w:sz="0" w:space="0" w:color="auto"/>
                    <w:bottom w:val="none" w:sz="0" w:space="0" w:color="auto"/>
                    <w:right w:val="none" w:sz="0" w:space="0" w:color="auto"/>
                  </w:divBdr>
                </w:div>
                <w:div w:id="1219976098">
                  <w:marLeft w:val="480"/>
                  <w:marRight w:val="0"/>
                  <w:marTop w:val="0"/>
                  <w:marBottom w:val="0"/>
                  <w:divBdr>
                    <w:top w:val="none" w:sz="0" w:space="0" w:color="auto"/>
                    <w:left w:val="none" w:sz="0" w:space="0" w:color="auto"/>
                    <w:bottom w:val="none" w:sz="0" w:space="0" w:color="auto"/>
                    <w:right w:val="none" w:sz="0" w:space="0" w:color="auto"/>
                  </w:divBdr>
                </w:div>
                <w:div w:id="1771268143">
                  <w:marLeft w:val="480"/>
                  <w:marRight w:val="0"/>
                  <w:marTop w:val="0"/>
                  <w:marBottom w:val="0"/>
                  <w:divBdr>
                    <w:top w:val="none" w:sz="0" w:space="0" w:color="auto"/>
                    <w:left w:val="none" w:sz="0" w:space="0" w:color="auto"/>
                    <w:bottom w:val="none" w:sz="0" w:space="0" w:color="auto"/>
                    <w:right w:val="none" w:sz="0" w:space="0" w:color="auto"/>
                  </w:divBdr>
                </w:div>
                <w:div w:id="894705423">
                  <w:marLeft w:val="480"/>
                  <w:marRight w:val="0"/>
                  <w:marTop w:val="0"/>
                  <w:marBottom w:val="0"/>
                  <w:divBdr>
                    <w:top w:val="none" w:sz="0" w:space="0" w:color="auto"/>
                    <w:left w:val="none" w:sz="0" w:space="0" w:color="auto"/>
                    <w:bottom w:val="none" w:sz="0" w:space="0" w:color="auto"/>
                    <w:right w:val="none" w:sz="0" w:space="0" w:color="auto"/>
                  </w:divBdr>
                </w:div>
                <w:div w:id="655574382">
                  <w:marLeft w:val="480"/>
                  <w:marRight w:val="0"/>
                  <w:marTop w:val="0"/>
                  <w:marBottom w:val="0"/>
                  <w:divBdr>
                    <w:top w:val="none" w:sz="0" w:space="0" w:color="auto"/>
                    <w:left w:val="none" w:sz="0" w:space="0" w:color="auto"/>
                    <w:bottom w:val="none" w:sz="0" w:space="0" w:color="auto"/>
                    <w:right w:val="none" w:sz="0" w:space="0" w:color="auto"/>
                  </w:divBdr>
                </w:div>
                <w:div w:id="301276306">
                  <w:marLeft w:val="480"/>
                  <w:marRight w:val="0"/>
                  <w:marTop w:val="0"/>
                  <w:marBottom w:val="0"/>
                  <w:divBdr>
                    <w:top w:val="none" w:sz="0" w:space="0" w:color="auto"/>
                    <w:left w:val="none" w:sz="0" w:space="0" w:color="auto"/>
                    <w:bottom w:val="none" w:sz="0" w:space="0" w:color="auto"/>
                    <w:right w:val="none" w:sz="0" w:space="0" w:color="auto"/>
                  </w:divBdr>
                </w:div>
                <w:div w:id="1937707471">
                  <w:marLeft w:val="480"/>
                  <w:marRight w:val="0"/>
                  <w:marTop w:val="0"/>
                  <w:marBottom w:val="0"/>
                  <w:divBdr>
                    <w:top w:val="none" w:sz="0" w:space="0" w:color="auto"/>
                    <w:left w:val="none" w:sz="0" w:space="0" w:color="auto"/>
                    <w:bottom w:val="none" w:sz="0" w:space="0" w:color="auto"/>
                    <w:right w:val="none" w:sz="0" w:space="0" w:color="auto"/>
                  </w:divBdr>
                </w:div>
                <w:div w:id="2140419079">
                  <w:marLeft w:val="480"/>
                  <w:marRight w:val="0"/>
                  <w:marTop w:val="0"/>
                  <w:marBottom w:val="0"/>
                  <w:divBdr>
                    <w:top w:val="none" w:sz="0" w:space="0" w:color="auto"/>
                    <w:left w:val="none" w:sz="0" w:space="0" w:color="auto"/>
                    <w:bottom w:val="none" w:sz="0" w:space="0" w:color="auto"/>
                    <w:right w:val="none" w:sz="0" w:space="0" w:color="auto"/>
                  </w:divBdr>
                </w:div>
                <w:div w:id="1757634774">
                  <w:marLeft w:val="480"/>
                  <w:marRight w:val="0"/>
                  <w:marTop w:val="0"/>
                  <w:marBottom w:val="0"/>
                  <w:divBdr>
                    <w:top w:val="none" w:sz="0" w:space="0" w:color="auto"/>
                    <w:left w:val="none" w:sz="0" w:space="0" w:color="auto"/>
                    <w:bottom w:val="none" w:sz="0" w:space="0" w:color="auto"/>
                    <w:right w:val="none" w:sz="0" w:space="0" w:color="auto"/>
                  </w:divBdr>
                </w:div>
                <w:div w:id="1480801251">
                  <w:marLeft w:val="480"/>
                  <w:marRight w:val="0"/>
                  <w:marTop w:val="0"/>
                  <w:marBottom w:val="0"/>
                  <w:divBdr>
                    <w:top w:val="none" w:sz="0" w:space="0" w:color="auto"/>
                    <w:left w:val="none" w:sz="0" w:space="0" w:color="auto"/>
                    <w:bottom w:val="none" w:sz="0" w:space="0" w:color="auto"/>
                    <w:right w:val="none" w:sz="0" w:space="0" w:color="auto"/>
                  </w:divBdr>
                </w:div>
                <w:div w:id="1203399539">
                  <w:marLeft w:val="480"/>
                  <w:marRight w:val="0"/>
                  <w:marTop w:val="0"/>
                  <w:marBottom w:val="0"/>
                  <w:divBdr>
                    <w:top w:val="none" w:sz="0" w:space="0" w:color="auto"/>
                    <w:left w:val="none" w:sz="0" w:space="0" w:color="auto"/>
                    <w:bottom w:val="none" w:sz="0" w:space="0" w:color="auto"/>
                    <w:right w:val="none" w:sz="0" w:space="0" w:color="auto"/>
                  </w:divBdr>
                </w:div>
                <w:div w:id="2089764537">
                  <w:marLeft w:val="480"/>
                  <w:marRight w:val="0"/>
                  <w:marTop w:val="0"/>
                  <w:marBottom w:val="0"/>
                  <w:divBdr>
                    <w:top w:val="none" w:sz="0" w:space="0" w:color="auto"/>
                    <w:left w:val="none" w:sz="0" w:space="0" w:color="auto"/>
                    <w:bottom w:val="none" w:sz="0" w:space="0" w:color="auto"/>
                    <w:right w:val="none" w:sz="0" w:space="0" w:color="auto"/>
                  </w:divBdr>
                </w:div>
                <w:div w:id="2131045206">
                  <w:marLeft w:val="480"/>
                  <w:marRight w:val="0"/>
                  <w:marTop w:val="0"/>
                  <w:marBottom w:val="0"/>
                  <w:divBdr>
                    <w:top w:val="none" w:sz="0" w:space="0" w:color="auto"/>
                    <w:left w:val="none" w:sz="0" w:space="0" w:color="auto"/>
                    <w:bottom w:val="none" w:sz="0" w:space="0" w:color="auto"/>
                    <w:right w:val="none" w:sz="0" w:space="0" w:color="auto"/>
                  </w:divBdr>
                </w:div>
                <w:div w:id="1046756695">
                  <w:marLeft w:val="480"/>
                  <w:marRight w:val="0"/>
                  <w:marTop w:val="0"/>
                  <w:marBottom w:val="0"/>
                  <w:divBdr>
                    <w:top w:val="none" w:sz="0" w:space="0" w:color="auto"/>
                    <w:left w:val="none" w:sz="0" w:space="0" w:color="auto"/>
                    <w:bottom w:val="none" w:sz="0" w:space="0" w:color="auto"/>
                    <w:right w:val="none" w:sz="0" w:space="0" w:color="auto"/>
                  </w:divBdr>
                </w:div>
                <w:div w:id="446050389">
                  <w:marLeft w:val="480"/>
                  <w:marRight w:val="0"/>
                  <w:marTop w:val="0"/>
                  <w:marBottom w:val="0"/>
                  <w:divBdr>
                    <w:top w:val="none" w:sz="0" w:space="0" w:color="auto"/>
                    <w:left w:val="none" w:sz="0" w:space="0" w:color="auto"/>
                    <w:bottom w:val="none" w:sz="0" w:space="0" w:color="auto"/>
                    <w:right w:val="none" w:sz="0" w:space="0" w:color="auto"/>
                  </w:divBdr>
                </w:div>
                <w:div w:id="1560441001">
                  <w:marLeft w:val="480"/>
                  <w:marRight w:val="0"/>
                  <w:marTop w:val="0"/>
                  <w:marBottom w:val="0"/>
                  <w:divBdr>
                    <w:top w:val="none" w:sz="0" w:space="0" w:color="auto"/>
                    <w:left w:val="none" w:sz="0" w:space="0" w:color="auto"/>
                    <w:bottom w:val="none" w:sz="0" w:space="0" w:color="auto"/>
                    <w:right w:val="none" w:sz="0" w:space="0" w:color="auto"/>
                  </w:divBdr>
                </w:div>
                <w:div w:id="172765849">
                  <w:marLeft w:val="480"/>
                  <w:marRight w:val="0"/>
                  <w:marTop w:val="0"/>
                  <w:marBottom w:val="0"/>
                  <w:divBdr>
                    <w:top w:val="none" w:sz="0" w:space="0" w:color="auto"/>
                    <w:left w:val="none" w:sz="0" w:space="0" w:color="auto"/>
                    <w:bottom w:val="none" w:sz="0" w:space="0" w:color="auto"/>
                    <w:right w:val="none" w:sz="0" w:space="0" w:color="auto"/>
                  </w:divBdr>
                </w:div>
                <w:div w:id="164059285">
                  <w:marLeft w:val="480"/>
                  <w:marRight w:val="0"/>
                  <w:marTop w:val="0"/>
                  <w:marBottom w:val="0"/>
                  <w:divBdr>
                    <w:top w:val="none" w:sz="0" w:space="0" w:color="auto"/>
                    <w:left w:val="none" w:sz="0" w:space="0" w:color="auto"/>
                    <w:bottom w:val="none" w:sz="0" w:space="0" w:color="auto"/>
                    <w:right w:val="none" w:sz="0" w:space="0" w:color="auto"/>
                  </w:divBdr>
                </w:div>
                <w:div w:id="1284269876">
                  <w:marLeft w:val="480"/>
                  <w:marRight w:val="0"/>
                  <w:marTop w:val="0"/>
                  <w:marBottom w:val="0"/>
                  <w:divBdr>
                    <w:top w:val="none" w:sz="0" w:space="0" w:color="auto"/>
                    <w:left w:val="none" w:sz="0" w:space="0" w:color="auto"/>
                    <w:bottom w:val="none" w:sz="0" w:space="0" w:color="auto"/>
                    <w:right w:val="none" w:sz="0" w:space="0" w:color="auto"/>
                  </w:divBdr>
                </w:div>
                <w:div w:id="978995030">
                  <w:marLeft w:val="480"/>
                  <w:marRight w:val="0"/>
                  <w:marTop w:val="0"/>
                  <w:marBottom w:val="0"/>
                  <w:divBdr>
                    <w:top w:val="none" w:sz="0" w:space="0" w:color="auto"/>
                    <w:left w:val="none" w:sz="0" w:space="0" w:color="auto"/>
                    <w:bottom w:val="none" w:sz="0" w:space="0" w:color="auto"/>
                    <w:right w:val="none" w:sz="0" w:space="0" w:color="auto"/>
                  </w:divBdr>
                </w:div>
                <w:div w:id="2112820161">
                  <w:marLeft w:val="480"/>
                  <w:marRight w:val="0"/>
                  <w:marTop w:val="0"/>
                  <w:marBottom w:val="0"/>
                  <w:divBdr>
                    <w:top w:val="none" w:sz="0" w:space="0" w:color="auto"/>
                    <w:left w:val="none" w:sz="0" w:space="0" w:color="auto"/>
                    <w:bottom w:val="none" w:sz="0" w:space="0" w:color="auto"/>
                    <w:right w:val="none" w:sz="0" w:space="0" w:color="auto"/>
                  </w:divBdr>
                </w:div>
                <w:div w:id="2037340875">
                  <w:marLeft w:val="480"/>
                  <w:marRight w:val="0"/>
                  <w:marTop w:val="0"/>
                  <w:marBottom w:val="0"/>
                  <w:divBdr>
                    <w:top w:val="none" w:sz="0" w:space="0" w:color="auto"/>
                    <w:left w:val="none" w:sz="0" w:space="0" w:color="auto"/>
                    <w:bottom w:val="none" w:sz="0" w:space="0" w:color="auto"/>
                    <w:right w:val="none" w:sz="0" w:space="0" w:color="auto"/>
                  </w:divBdr>
                </w:div>
                <w:div w:id="1699771404">
                  <w:marLeft w:val="480"/>
                  <w:marRight w:val="0"/>
                  <w:marTop w:val="0"/>
                  <w:marBottom w:val="0"/>
                  <w:divBdr>
                    <w:top w:val="none" w:sz="0" w:space="0" w:color="auto"/>
                    <w:left w:val="none" w:sz="0" w:space="0" w:color="auto"/>
                    <w:bottom w:val="none" w:sz="0" w:space="0" w:color="auto"/>
                    <w:right w:val="none" w:sz="0" w:space="0" w:color="auto"/>
                  </w:divBdr>
                </w:div>
                <w:div w:id="1083405954">
                  <w:marLeft w:val="480"/>
                  <w:marRight w:val="0"/>
                  <w:marTop w:val="0"/>
                  <w:marBottom w:val="0"/>
                  <w:divBdr>
                    <w:top w:val="none" w:sz="0" w:space="0" w:color="auto"/>
                    <w:left w:val="none" w:sz="0" w:space="0" w:color="auto"/>
                    <w:bottom w:val="none" w:sz="0" w:space="0" w:color="auto"/>
                    <w:right w:val="none" w:sz="0" w:space="0" w:color="auto"/>
                  </w:divBdr>
                </w:div>
                <w:div w:id="1589774371">
                  <w:marLeft w:val="480"/>
                  <w:marRight w:val="0"/>
                  <w:marTop w:val="0"/>
                  <w:marBottom w:val="0"/>
                  <w:divBdr>
                    <w:top w:val="none" w:sz="0" w:space="0" w:color="auto"/>
                    <w:left w:val="none" w:sz="0" w:space="0" w:color="auto"/>
                    <w:bottom w:val="none" w:sz="0" w:space="0" w:color="auto"/>
                    <w:right w:val="none" w:sz="0" w:space="0" w:color="auto"/>
                  </w:divBdr>
                </w:div>
                <w:div w:id="2099792852">
                  <w:marLeft w:val="480"/>
                  <w:marRight w:val="0"/>
                  <w:marTop w:val="0"/>
                  <w:marBottom w:val="0"/>
                  <w:divBdr>
                    <w:top w:val="none" w:sz="0" w:space="0" w:color="auto"/>
                    <w:left w:val="none" w:sz="0" w:space="0" w:color="auto"/>
                    <w:bottom w:val="none" w:sz="0" w:space="0" w:color="auto"/>
                    <w:right w:val="none" w:sz="0" w:space="0" w:color="auto"/>
                  </w:divBdr>
                </w:div>
                <w:div w:id="114913343">
                  <w:marLeft w:val="480"/>
                  <w:marRight w:val="0"/>
                  <w:marTop w:val="0"/>
                  <w:marBottom w:val="0"/>
                  <w:divBdr>
                    <w:top w:val="none" w:sz="0" w:space="0" w:color="auto"/>
                    <w:left w:val="none" w:sz="0" w:space="0" w:color="auto"/>
                    <w:bottom w:val="none" w:sz="0" w:space="0" w:color="auto"/>
                    <w:right w:val="none" w:sz="0" w:space="0" w:color="auto"/>
                  </w:divBdr>
                </w:div>
                <w:div w:id="2118864315">
                  <w:marLeft w:val="480"/>
                  <w:marRight w:val="0"/>
                  <w:marTop w:val="0"/>
                  <w:marBottom w:val="0"/>
                  <w:divBdr>
                    <w:top w:val="none" w:sz="0" w:space="0" w:color="auto"/>
                    <w:left w:val="none" w:sz="0" w:space="0" w:color="auto"/>
                    <w:bottom w:val="none" w:sz="0" w:space="0" w:color="auto"/>
                    <w:right w:val="none" w:sz="0" w:space="0" w:color="auto"/>
                  </w:divBdr>
                </w:div>
                <w:div w:id="252013449">
                  <w:marLeft w:val="480"/>
                  <w:marRight w:val="0"/>
                  <w:marTop w:val="0"/>
                  <w:marBottom w:val="0"/>
                  <w:divBdr>
                    <w:top w:val="none" w:sz="0" w:space="0" w:color="auto"/>
                    <w:left w:val="none" w:sz="0" w:space="0" w:color="auto"/>
                    <w:bottom w:val="none" w:sz="0" w:space="0" w:color="auto"/>
                    <w:right w:val="none" w:sz="0" w:space="0" w:color="auto"/>
                  </w:divBdr>
                </w:div>
                <w:div w:id="495878021">
                  <w:marLeft w:val="480"/>
                  <w:marRight w:val="0"/>
                  <w:marTop w:val="0"/>
                  <w:marBottom w:val="0"/>
                  <w:divBdr>
                    <w:top w:val="none" w:sz="0" w:space="0" w:color="auto"/>
                    <w:left w:val="none" w:sz="0" w:space="0" w:color="auto"/>
                    <w:bottom w:val="none" w:sz="0" w:space="0" w:color="auto"/>
                    <w:right w:val="none" w:sz="0" w:space="0" w:color="auto"/>
                  </w:divBdr>
                </w:div>
                <w:div w:id="870072318">
                  <w:marLeft w:val="480"/>
                  <w:marRight w:val="0"/>
                  <w:marTop w:val="0"/>
                  <w:marBottom w:val="0"/>
                  <w:divBdr>
                    <w:top w:val="none" w:sz="0" w:space="0" w:color="auto"/>
                    <w:left w:val="none" w:sz="0" w:space="0" w:color="auto"/>
                    <w:bottom w:val="none" w:sz="0" w:space="0" w:color="auto"/>
                    <w:right w:val="none" w:sz="0" w:space="0" w:color="auto"/>
                  </w:divBdr>
                </w:div>
                <w:div w:id="493840989">
                  <w:marLeft w:val="480"/>
                  <w:marRight w:val="0"/>
                  <w:marTop w:val="0"/>
                  <w:marBottom w:val="0"/>
                  <w:divBdr>
                    <w:top w:val="none" w:sz="0" w:space="0" w:color="auto"/>
                    <w:left w:val="none" w:sz="0" w:space="0" w:color="auto"/>
                    <w:bottom w:val="none" w:sz="0" w:space="0" w:color="auto"/>
                    <w:right w:val="none" w:sz="0" w:space="0" w:color="auto"/>
                  </w:divBdr>
                </w:div>
                <w:div w:id="59405058">
                  <w:marLeft w:val="480"/>
                  <w:marRight w:val="0"/>
                  <w:marTop w:val="0"/>
                  <w:marBottom w:val="0"/>
                  <w:divBdr>
                    <w:top w:val="none" w:sz="0" w:space="0" w:color="auto"/>
                    <w:left w:val="none" w:sz="0" w:space="0" w:color="auto"/>
                    <w:bottom w:val="none" w:sz="0" w:space="0" w:color="auto"/>
                    <w:right w:val="none" w:sz="0" w:space="0" w:color="auto"/>
                  </w:divBdr>
                </w:div>
                <w:div w:id="1349983214">
                  <w:marLeft w:val="480"/>
                  <w:marRight w:val="0"/>
                  <w:marTop w:val="0"/>
                  <w:marBottom w:val="0"/>
                  <w:divBdr>
                    <w:top w:val="none" w:sz="0" w:space="0" w:color="auto"/>
                    <w:left w:val="none" w:sz="0" w:space="0" w:color="auto"/>
                    <w:bottom w:val="none" w:sz="0" w:space="0" w:color="auto"/>
                    <w:right w:val="none" w:sz="0" w:space="0" w:color="auto"/>
                  </w:divBdr>
                </w:div>
                <w:div w:id="659698882">
                  <w:marLeft w:val="480"/>
                  <w:marRight w:val="0"/>
                  <w:marTop w:val="0"/>
                  <w:marBottom w:val="0"/>
                  <w:divBdr>
                    <w:top w:val="none" w:sz="0" w:space="0" w:color="auto"/>
                    <w:left w:val="none" w:sz="0" w:space="0" w:color="auto"/>
                    <w:bottom w:val="none" w:sz="0" w:space="0" w:color="auto"/>
                    <w:right w:val="none" w:sz="0" w:space="0" w:color="auto"/>
                  </w:divBdr>
                </w:div>
                <w:div w:id="377705221">
                  <w:marLeft w:val="480"/>
                  <w:marRight w:val="0"/>
                  <w:marTop w:val="0"/>
                  <w:marBottom w:val="0"/>
                  <w:divBdr>
                    <w:top w:val="none" w:sz="0" w:space="0" w:color="auto"/>
                    <w:left w:val="none" w:sz="0" w:space="0" w:color="auto"/>
                    <w:bottom w:val="none" w:sz="0" w:space="0" w:color="auto"/>
                    <w:right w:val="none" w:sz="0" w:space="0" w:color="auto"/>
                  </w:divBdr>
                </w:div>
                <w:div w:id="189144987">
                  <w:marLeft w:val="480"/>
                  <w:marRight w:val="0"/>
                  <w:marTop w:val="0"/>
                  <w:marBottom w:val="0"/>
                  <w:divBdr>
                    <w:top w:val="none" w:sz="0" w:space="0" w:color="auto"/>
                    <w:left w:val="none" w:sz="0" w:space="0" w:color="auto"/>
                    <w:bottom w:val="none" w:sz="0" w:space="0" w:color="auto"/>
                    <w:right w:val="none" w:sz="0" w:space="0" w:color="auto"/>
                  </w:divBdr>
                </w:div>
                <w:div w:id="712077951">
                  <w:marLeft w:val="480"/>
                  <w:marRight w:val="0"/>
                  <w:marTop w:val="0"/>
                  <w:marBottom w:val="0"/>
                  <w:divBdr>
                    <w:top w:val="none" w:sz="0" w:space="0" w:color="auto"/>
                    <w:left w:val="none" w:sz="0" w:space="0" w:color="auto"/>
                    <w:bottom w:val="none" w:sz="0" w:space="0" w:color="auto"/>
                    <w:right w:val="none" w:sz="0" w:space="0" w:color="auto"/>
                  </w:divBdr>
                </w:div>
                <w:div w:id="91243616">
                  <w:marLeft w:val="480"/>
                  <w:marRight w:val="0"/>
                  <w:marTop w:val="0"/>
                  <w:marBottom w:val="0"/>
                  <w:divBdr>
                    <w:top w:val="none" w:sz="0" w:space="0" w:color="auto"/>
                    <w:left w:val="none" w:sz="0" w:space="0" w:color="auto"/>
                    <w:bottom w:val="none" w:sz="0" w:space="0" w:color="auto"/>
                    <w:right w:val="none" w:sz="0" w:space="0" w:color="auto"/>
                  </w:divBdr>
                </w:div>
                <w:div w:id="1467892639">
                  <w:marLeft w:val="480"/>
                  <w:marRight w:val="0"/>
                  <w:marTop w:val="0"/>
                  <w:marBottom w:val="0"/>
                  <w:divBdr>
                    <w:top w:val="none" w:sz="0" w:space="0" w:color="auto"/>
                    <w:left w:val="none" w:sz="0" w:space="0" w:color="auto"/>
                    <w:bottom w:val="none" w:sz="0" w:space="0" w:color="auto"/>
                    <w:right w:val="none" w:sz="0" w:space="0" w:color="auto"/>
                  </w:divBdr>
                </w:div>
                <w:div w:id="910579924">
                  <w:marLeft w:val="480"/>
                  <w:marRight w:val="0"/>
                  <w:marTop w:val="0"/>
                  <w:marBottom w:val="0"/>
                  <w:divBdr>
                    <w:top w:val="none" w:sz="0" w:space="0" w:color="auto"/>
                    <w:left w:val="none" w:sz="0" w:space="0" w:color="auto"/>
                    <w:bottom w:val="none" w:sz="0" w:space="0" w:color="auto"/>
                    <w:right w:val="none" w:sz="0" w:space="0" w:color="auto"/>
                  </w:divBdr>
                </w:div>
                <w:div w:id="1700665837">
                  <w:marLeft w:val="480"/>
                  <w:marRight w:val="0"/>
                  <w:marTop w:val="0"/>
                  <w:marBottom w:val="0"/>
                  <w:divBdr>
                    <w:top w:val="none" w:sz="0" w:space="0" w:color="auto"/>
                    <w:left w:val="none" w:sz="0" w:space="0" w:color="auto"/>
                    <w:bottom w:val="none" w:sz="0" w:space="0" w:color="auto"/>
                    <w:right w:val="none" w:sz="0" w:space="0" w:color="auto"/>
                  </w:divBdr>
                </w:div>
              </w:divsChild>
            </w:div>
            <w:div w:id="795292222">
              <w:marLeft w:val="0"/>
              <w:marRight w:val="0"/>
              <w:marTop w:val="0"/>
              <w:marBottom w:val="0"/>
              <w:divBdr>
                <w:top w:val="none" w:sz="0" w:space="0" w:color="auto"/>
                <w:left w:val="none" w:sz="0" w:space="0" w:color="auto"/>
                <w:bottom w:val="none" w:sz="0" w:space="0" w:color="auto"/>
                <w:right w:val="none" w:sz="0" w:space="0" w:color="auto"/>
              </w:divBdr>
              <w:divsChild>
                <w:div w:id="1382048212">
                  <w:marLeft w:val="480"/>
                  <w:marRight w:val="0"/>
                  <w:marTop w:val="0"/>
                  <w:marBottom w:val="0"/>
                  <w:divBdr>
                    <w:top w:val="none" w:sz="0" w:space="0" w:color="auto"/>
                    <w:left w:val="none" w:sz="0" w:space="0" w:color="auto"/>
                    <w:bottom w:val="none" w:sz="0" w:space="0" w:color="auto"/>
                    <w:right w:val="none" w:sz="0" w:space="0" w:color="auto"/>
                  </w:divBdr>
                </w:div>
                <w:div w:id="1365060397">
                  <w:marLeft w:val="480"/>
                  <w:marRight w:val="0"/>
                  <w:marTop w:val="0"/>
                  <w:marBottom w:val="0"/>
                  <w:divBdr>
                    <w:top w:val="none" w:sz="0" w:space="0" w:color="auto"/>
                    <w:left w:val="none" w:sz="0" w:space="0" w:color="auto"/>
                    <w:bottom w:val="none" w:sz="0" w:space="0" w:color="auto"/>
                    <w:right w:val="none" w:sz="0" w:space="0" w:color="auto"/>
                  </w:divBdr>
                </w:div>
                <w:div w:id="1359434095">
                  <w:marLeft w:val="480"/>
                  <w:marRight w:val="0"/>
                  <w:marTop w:val="0"/>
                  <w:marBottom w:val="0"/>
                  <w:divBdr>
                    <w:top w:val="none" w:sz="0" w:space="0" w:color="auto"/>
                    <w:left w:val="none" w:sz="0" w:space="0" w:color="auto"/>
                    <w:bottom w:val="none" w:sz="0" w:space="0" w:color="auto"/>
                    <w:right w:val="none" w:sz="0" w:space="0" w:color="auto"/>
                  </w:divBdr>
                </w:div>
                <w:div w:id="390082904">
                  <w:marLeft w:val="480"/>
                  <w:marRight w:val="0"/>
                  <w:marTop w:val="0"/>
                  <w:marBottom w:val="0"/>
                  <w:divBdr>
                    <w:top w:val="none" w:sz="0" w:space="0" w:color="auto"/>
                    <w:left w:val="none" w:sz="0" w:space="0" w:color="auto"/>
                    <w:bottom w:val="none" w:sz="0" w:space="0" w:color="auto"/>
                    <w:right w:val="none" w:sz="0" w:space="0" w:color="auto"/>
                  </w:divBdr>
                </w:div>
                <w:div w:id="925262741">
                  <w:marLeft w:val="480"/>
                  <w:marRight w:val="0"/>
                  <w:marTop w:val="0"/>
                  <w:marBottom w:val="0"/>
                  <w:divBdr>
                    <w:top w:val="none" w:sz="0" w:space="0" w:color="auto"/>
                    <w:left w:val="none" w:sz="0" w:space="0" w:color="auto"/>
                    <w:bottom w:val="none" w:sz="0" w:space="0" w:color="auto"/>
                    <w:right w:val="none" w:sz="0" w:space="0" w:color="auto"/>
                  </w:divBdr>
                </w:div>
                <w:div w:id="356657334">
                  <w:marLeft w:val="480"/>
                  <w:marRight w:val="0"/>
                  <w:marTop w:val="0"/>
                  <w:marBottom w:val="0"/>
                  <w:divBdr>
                    <w:top w:val="none" w:sz="0" w:space="0" w:color="auto"/>
                    <w:left w:val="none" w:sz="0" w:space="0" w:color="auto"/>
                    <w:bottom w:val="none" w:sz="0" w:space="0" w:color="auto"/>
                    <w:right w:val="none" w:sz="0" w:space="0" w:color="auto"/>
                  </w:divBdr>
                </w:div>
                <w:div w:id="1366638232">
                  <w:marLeft w:val="480"/>
                  <w:marRight w:val="0"/>
                  <w:marTop w:val="0"/>
                  <w:marBottom w:val="0"/>
                  <w:divBdr>
                    <w:top w:val="none" w:sz="0" w:space="0" w:color="auto"/>
                    <w:left w:val="none" w:sz="0" w:space="0" w:color="auto"/>
                    <w:bottom w:val="none" w:sz="0" w:space="0" w:color="auto"/>
                    <w:right w:val="none" w:sz="0" w:space="0" w:color="auto"/>
                  </w:divBdr>
                </w:div>
                <w:div w:id="1769615241">
                  <w:marLeft w:val="480"/>
                  <w:marRight w:val="0"/>
                  <w:marTop w:val="0"/>
                  <w:marBottom w:val="0"/>
                  <w:divBdr>
                    <w:top w:val="none" w:sz="0" w:space="0" w:color="auto"/>
                    <w:left w:val="none" w:sz="0" w:space="0" w:color="auto"/>
                    <w:bottom w:val="none" w:sz="0" w:space="0" w:color="auto"/>
                    <w:right w:val="none" w:sz="0" w:space="0" w:color="auto"/>
                  </w:divBdr>
                </w:div>
                <w:div w:id="1987514305">
                  <w:marLeft w:val="480"/>
                  <w:marRight w:val="0"/>
                  <w:marTop w:val="0"/>
                  <w:marBottom w:val="0"/>
                  <w:divBdr>
                    <w:top w:val="none" w:sz="0" w:space="0" w:color="auto"/>
                    <w:left w:val="none" w:sz="0" w:space="0" w:color="auto"/>
                    <w:bottom w:val="none" w:sz="0" w:space="0" w:color="auto"/>
                    <w:right w:val="none" w:sz="0" w:space="0" w:color="auto"/>
                  </w:divBdr>
                </w:div>
                <w:div w:id="272329225">
                  <w:marLeft w:val="480"/>
                  <w:marRight w:val="0"/>
                  <w:marTop w:val="0"/>
                  <w:marBottom w:val="0"/>
                  <w:divBdr>
                    <w:top w:val="none" w:sz="0" w:space="0" w:color="auto"/>
                    <w:left w:val="none" w:sz="0" w:space="0" w:color="auto"/>
                    <w:bottom w:val="none" w:sz="0" w:space="0" w:color="auto"/>
                    <w:right w:val="none" w:sz="0" w:space="0" w:color="auto"/>
                  </w:divBdr>
                </w:div>
                <w:div w:id="1959875737">
                  <w:marLeft w:val="480"/>
                  <w:marRight w:val="0"/>
                  <w:marTop w:val="0"/>
                  <w:marBottom w:val="0"/>
                  <w:divBdr>
                    <w:top w:val="none" w:sz="0" w:space="0" w:color="auto"/>
                    <w:left w:val="none" w:sz="0" w:space="0" w:color="auto"/>
                    <w:bottom w:val="none" w:sz="0" w:space="0" w:color="auto"/>
                    <w:right w:val="none" w:sz="0" w:space="0" w:color="auto"/>
                  </w:divBdr>
                </w:div>
                <w:div w:id="20938098">
                  <w:marLeft w:val="480"/>
                  <w:marRight w:val="0"/>
                  <w:marTop w:val="0"/>
                  <w:marBottom w:val="0"/>
                  <w:divBdr>
                    <w:top w:val="none" w:sz="0" w:space="0" w:color="auto"/>
                    <w:left w:val="none" w:sz="0" w:space="0" w:color="auto"/>
                    <w:bottom w:val="none" w:sz="0" w:space="0" w:color="auto"/>
                    <w:right w:val="none" w:sz="0" w:space="0" w:color="auto"/>
                  </w:divBdr>
                </w:div>
                <w:div w:id="572589573">
                  <w:marLeft w:val="480"/>
                  <w:marRight w:val="0"/>
                  <w:marTop w:val="0"/>
                  <w:marBottom w:val="0"/>
                  <w:divBdr>
                    <w:top w:val="none" w:sz="0" w:space="0" w:color="auto"/>
                    <w:left w:val="none" w:sz="0" w:space="0" w:color="auto"/>
                    <w:bottom w:val="none" w:sz="0" w:space="0" w:color="auto"/>
                    <w:right w:val="none" w:sz="0" w:space="0" w:color="auto"/>
                  </w:divBdr>
                </w:div>
                <w:div w:id="2111777506">
                  <w:marLeft w:val="480"/>
                  <w:marRight w:val="0"/>
                  <w:marTop w:val="0"/>
                  <w:marBottom w:val="0"/>
                  <w:divBdr>
                    <w:top w:val="none" w:sz="0" w:space="0" w:color="auto"/>
                    <w:left w:val="none" w:sz="0" w:space="0" w:color="auto"/>
                    <w:bottom w:val="none" w:sz="0" w:space="0" w:color="auto"/>
                    <w:right w:val="none" w:sz="0" w:space="0" w:color="auto"/>
                  </w:divBdr>
                </w:div>
                <w:div w:id="1508136978">
                  <w:marLeft w:val="480"/>
                  <w:marRight w:val="0"/>
                  <w:marTop w:val="0"/>
                  <w:marBottom w:val="0"/>
                  <w:divBdr>
                    <w:top w:val="none" w:sz="0" w:space="0" w:color="auto"/>
                    <w:left w:val="none" w:sz="0" w:space="0" w:color="auto"/>
                    <w:bottom w:val="none" w:sz="0" w:space="0" w:color="auto"/>
                    <w:right w:val="none" w:sz="0" w:space="0" w:color="auto"/>
                  </w:divBdr>
                </w:div>
                <w:div w:id="1419718146">
                  <w:marLeft w:val="480"/>
                  <w:marRight w:val="0"/>
                  <w:marTop w:val="0"/>
                  <w:marBottom w:val="0"/>
                  <w:divBdr>
                    <w:top w:val="none" w:sz="0" w:space="0" w:color="auto"/>
                    <w:left w:val="none" w:sz="0" w:space="0" w:color="auto"/>
                    <w:bottom w:val="none" w:sz="0" w:space="0" w:color="auto"/>
                    <w:right w:val="none" w:sz="0" w:space="0" w:color="auto"/>
                  </w:divBdr>
                </w:div>
                <w:div w:id="1210219931">
                  <w:marLeft w:val="480"/>
                  <w:marRight w:val="0"/>
                  <w:marTop w:val="0"/>
                  <w:marBottom w:val="0"/>
                  <w:divBdr>
                    <w:top w:val="none" w:sz="0" w:space="0" w:color="auto"/>
                    <w:left w:val="none" w:sz="0" w:space="0" w:color="auto"/>
                    <w:bottom w:val="none" w:sz="0" w:space="0" w:color="auto"/>
                    <w:right w:val="none" w:sz="0" w:space="0" w:color="auto"/>
                  </w:divBdr>
                </w:div>
                <w:div w:id="1921717138">
                  <w:marLeft w:val="480"/>
                  <w:marRight w:val="0"/>
                  <w:marTop w:val="0"/>
                  <w:marBottom w:val="0"/>
                  <w:divBdr>
                    <w:top w:val="none" w:sz="0" w:space="0" w:color="auto"/>
                    <w:left w:val="none" w:sz="0" w:space="0" w:color="auto"/>
                    <w:bottom w:val="none" w:sz="0" w:space="0" w:color="auto"/>
                    <w:right w:val="none" w:sz="0" w:space="0" w:color="auto"/>
                  </w:divBdr>
                </w:div>
                <w:div w:id="1002587864">
                  <w:marLeft w:val="480"/>
                  <w:marRight w:val="0"/>
                  <w:marTop w:val="0"/>
                  <w:marBottom w:val="0"/>
                  <w:divBdr>
                    <w:top w:val="none" w:sz="0" w:space="0" w:color="auto"/>
                    <w:left w:val="none" w:sz="0" w:space="0" w:color="auto"/>
                    <w:bottom w:val="none" w:sz="0" w:space="0" w:color="auto"/>
                    <w:right w:val="none" w:sz="0" w:space="0" w:color="auto"/>
                  </w:divBdr>
                </w:div>
                <w:div w:id="1964651004">
                  <w:marLeft w:val="480"/>
                  <w:marRight w:val="0"/>
                  <w:marTop w:val="0"/>
                  <w:marBottom w:val="0"/>
                  <w:divBdr>
                    <w:top w:val="none" w:sz="0" w:space="0" w:color="auto"/>
                    <w:left w:val="none" w:sz="0" w:space="0" w:color="auto"/>
                    <w:bottom w:val="none" w:sz="0" w:space="0" w:color="auto"/>
                    <w:right w:val="none" w:sz="0" w:space="0" w:color="auto"/>
                  </w:divBdr>
                </w:div>
                <w:div w:id="661473609">
                  <w:marLeft w:val="480"/>
                  <w:marRight w:val="0"/>
                  <w:marTop w:val="0"/>
                  <w:marBottom w:val="0"/>
                  <w:divBdr>
                    <w:top w:val="none" w:sz="0" w:space="0" w:color="auto"/>
                    <w:left w:val="none" w:sz="0" w:space="0" w:color="auto"/>
                    <w:bottom w:val="none" w:sz="0" w:space="0" w:color="auto"/>
                    <w:right w:val="none" w:sz="0" w:space="0" w:color="auto"/>
                  </w:divBdr>
                </w:div>
                <w:div w:id="156848861">
                  <w:marLeft w:val="480"/>
                  <w:marRight w:val="0"/>
                  <w:marTop w:val="0"/>
                  <w:marBottom w:val="0"/>
                  <w:divBdr>
                    <w:top w:val="none" w:sz="0" w:space="0" w:color="auto"/>
                    <w:left w:val="none" w:sz="0" w:space="0" w:color="auto"/>
                    <w:bottom w:val="none" w:sz="0" w:space="0" w:color="auto"/>
                    <w:right w:val="none" w:sz="0" w:space="0" w:color="auto"/>
                  </w:divBdr>
                </w:div>
                <w:div w:id="1239708125">
                  <w:marLeft w:val="480"/>
                  <w:marRight w:val="0"/>
                  <w:marTop w:val="0"/>
                  <w:marBottom w:val="0"/>
                  <w:divBdr>
                    <w:top w:val="none" w:sz="0" w:space="0" w:color="auto"/>
                    <w:left w:val="none" w:sz="0" w:space="0" w:color="auto"/>
                    <w:bottom w:val="none" w:sz="0" w:space="0" w:color="auto"/>
                    <w:right w:val="none" w:sz="0" w:space="0" w:color="auto"/>
                  </w:divBdr>
                </w:div>
                <w:div w:id="2060325567">
                  <w:marLeft w:val="480"/>
                  <w:marRight w:val="0"/>
                  <w:marTop w:val="0"/>
                  <w:marBottom w:val="0"/>
                  <w:divBdr>
                    <w:top w:val="none" w:sz="0" w:space="0" w:color="auto"/>
                    <w:left w:val="none" w:sz="0" w:space="0" w:color="auto"/>
                    <w:bottom w:val="none" w:sz="0" w:space="0" w:color="auto"/>
                    <w:right w:val="none" w:sz="0" w:space="0" w:color="auto"/>
                  </w:divBdr>
                </w:div>
                <w:div w:id="140315564">
                  <w:marLeft w:val="480"/>
                  <w:marRight w:val="0"/>
                  <w:marTop w:val="0"/>
                  <w:marBottom w:val="0"/>
                  <w:divBdr>
                    <w:top w:val="none" w:sz="0" w:space="0" w:color="auto"/>
                    <w:left w:val="none" w:sz="0" w:space="0" w:color="auto"/>
                    <w:bottom w:val="none" w:sz="0" w:space="0" w:color="auto"/>
                    <w:right w:val="none" w:sz="0" w:space="0" w:color="auto"/>
                  </w:divBdr>
                </w:div>
                <w:div w:id="1996958273">
                  <w:marLeft w:val="480"/>
                  <w:marRight w:val="0"/>
                  <w:marTop w:val="0"/>
                  <w:marBottom w:val="0"/>
                  <w:divBdr>
                    <w:top w:val="none" w:sz="0" w:space="0" w:color="auto"/>
                    <w:left w:val="none" w:sz="0" w:space="0" w:color="auto"/>
                    <w:bottom w:val="none" w:sz="0" w:space="0" w:color="auto"/>
                    <w:right w:val="none" w:sz="0" w:space="0" w:color="auto"/>
                  </w:divBdr>
                </w:div>
                <w:div w:id="713578048">
                  <w:marLeft w:val="480"/>
                  <w:marRight w:val="0"/>
                  <w:marTop w:val="0"/>
                  <w:marBottom w:val="0"/>
                  <w:divBdr>
                    <w:top w:val="none" w:sz="0" w:space="0" w:color="auto"/>
                    <w:left w:val="none" w:sz="0" w:space="0" w:color="auto"/>
                    <w:bottom w:val="none" w:sz="0" w:space="0" w:color="auto"/>
                    <w:right w:val="none" w:sz="0" w:space="0" w:color="auto"/>
                  </w:divBdr>
                </w:div>
                <w:div w:id="1134983288">
                  <w:marLeft w:val="480"/>
                  <w:marRight w:val="0"/>
                  <w:marTop w:val="0"/>
                  <w:marBottom w:val="0"/>
                  <w:divBdr>
                    <w:top w:val="none" w:sz="0" w:space="0" w:color="auto"/>
                    <w:left w:val="none" w:sz="0" w:space="0" w:color="auto"/>
                    <w:bottom w:val="none" w:sz="0" w:space="0" w:color="auto"/>
                    <w:right w:val="none" w:sz="0" w:space="0" w:color="auto"/>
                  </w:divBdr>
                </w:div>
                <w:div w:id="1985771491">
                  <w:marLeft w:val="480"/>
                  <w:marRight w:val="0"/>
                  <w:marTop w:val="0"/>
                  <w:marBottom w:val="0"/>
                  <w:divBdr>
                    <w:top w:val="none" w:sz="0" w:space="0" w:color="auto"/>
                    <w:left w:val="none" w:sz="0" w:space="0" w:color="auto"/>
                    <w:bottom w:val="none" w:sz="0" w:space="0" w:color="auto"/>
                    <w:right w:val="none" w:sz="0" w:space="0" w:color="auto"/>
                  </w:divBdr>
                </w:div>
                <w:div w:id="987131258">
                  <w:marLeft w:val="480"/>
                  <w:marRight w:val="0"/>
                  <w:marTop w:val="0"/>
                  <w:marBottom w:val="0"/>
                  <w:divBdr>
                    <w:top w:val="none" w:sz="0" w:space="0" w:color="auto"/>
                    <w:left w:val="none" w:sz="0" w:space="0" w:color="auto"/>
                    <w:bottom w:val="none" w:sz="0" w:space="0" w:color="auto"/>
                    <w:right w:val="none" w:sz="0" w:space="0" w:color="auto"/>
                  </w:divBdr>
                </w:div>
                <w:div w:id="1771242714">
                  <w:marLeft w:val="480"/>
                  <w:marRight w:val="0"/>
                  <w:marTop w:val="0"/>
                  <w:marBottom w:val="0"/>
                  <w:divBdr>
                    <w:top w:val="none" w:sz="0" w:space="0" w:color="auto"/>
                    <w:left w:val="none" w:sz="0" w:space="0" w:color="auto"/>
                    <w:bottom w:val="none" w:sz="0" w:space="0" w:color="auto"/>
                    <w:right w:val="none" w:sz="0" w:space="0" w:color="auto"/>
                  </w:divBdr>
                </w:div>
                <w:div w:id="550851021">
                  <w:marLeft w:val="480"/>
                  <w:marRight w:val="0"/>
                  <w:marTop w:val="0"/>
                  <w:marBottom w:val="0"/>
                  <w:divBdr>
                    <w:top w:val="none" w:sz="0" w:space="0" w:color="auto"/>
                    <w:left w:val="none" w:sz="0" w:space="0" w:color="auto"/>
                    <w:bottom w:val="none" w:sz="0" w:space="0" w:color="auto"/>
                    <w:right w:val="none" w:sz="0" w:space="0" w:color="auto"/>
                  </w:divBdr>
                </w:div>
                <w:div w:id="144395679">
                  <w:marLeft w:val="480"/>
                  <w:marRight w:val="0"/>
                  <w:marTop w:val="0"/>
                  <w:marBottom w:val="0"/>
                  <w:divBdr>
                    <w:top w:val="none" w:sz="0" w:space="0" w:color="auto"/>
                    <w:left w:val="none" w:sz="0" w:space="0" w:color="auto"/>
                    <w:bottom w:val="none" w:sz="0" w:space="0" w:color="auto"/>
                    <w:right w:val="none" w:sz="0" w:space="0" w:color="auto"/>
                  </w:divBdr>
                </w:div>
                <w:div w:id="202641811">
                  <w:marLeft w:val="480"/>
                  <w:marRight w:val="0"/>
                  <w:marTop w:val="0"/>
                  <w:marBottom w:val="0"/>
                  <w:divBdr>
                    <w:top w:val="none" w:sz="0" w:space="0" w:color="auto"/>
                    <w:left w:val="none" w:sz="0" w:space="0" w:color="auto"/>
                    <w:bottom w:val="none" w:sz="0" w:space="0" w:color="auto"/>
                    <w:right w:val="none" w:sz="0" w:space="0" w:color="auto"/>
                  </w:divBdr>
                </w:div>
                <w:div w:id="1358233724">
                  <w:marLeft w:val="480"/>
                  <w:marRight w:val="0"/>
                  <w:marTop w:val="0"/>
                  <w:marBottom w:val="0"/>
                  <w:divBdr>
                    <w:top w:val="none" w:sz="0" w:space="0" w:color="auto"/>
                    <w:left w:val="none" w:sz="0" w:space="0" w:color="auto"/>
                    <w:bottom w:val="none" w:sz="0" w:space="0" w:color="auto"/>
                    <w:right w:val="none" w:sz="0" w:space="0" w:color="auto"/>
                  </w:divBdr>
                </w:div>
                <w:div w:id="104232621">
                  <w:marLeft w:val="480"/>
                  <w:marRight w:val="0"/>
                  <w:marTop w:val="0"/>
                  <w:marBottom w:val="0"/>
                  <w:divBdr>
                    <w:top w:val="none" w:sz="0" w:space="0" w:color="auto"/>
                    <w:left w:val="none" w:sz="0" w:space="0" w:color="auto"/>
                    <w:bottom w:val="none" w:sz="0" w:space="0" w:color="auto"/>
                    <w:right w:val="none" w:sz="0" w:space="0" w:color="auto"/>
                  </w:divBdr>
                </w:div>
                <w:div w:id="1656565194">
                  <w:marLeft w:val="480"/>
                  <w:marRight w:val="0"/>
                  <w:marTop w:val="0"/>
                  <w:marBottom w:val="0"/>
                  <w:divBdr>
                    <w:top w:val="none" w:sz="0" w:space="0" w:color="auto"/>
                    <w:left w:val="none" w:sz="0" w:space="0" w:color="auto"/>
                    <w:bottom w:val="none" w:sz="0" w:space="0" w:color="auto"/>
                    <w:right w:val="none" w:sz="0" w:space="0" w:color="auto"/>
                  </w:divBdr>
                </w:div>
                <w:div w:id="1175925195">
                  <w:marLeft w:val="480"/>
                  <w:marRight w:val="0"/>
                  <w:marTop w:val="0"/>
                  <w:marBottom w:val="0"/>
                  <w:divBdr>
                    <w:top w:val="none" w:sz="0" w:space="0" w:color="auto"/>
                    <w:left w:val="none" w:sz="0" w:space="0" w:color="auto"/>
                    <w:bottom w:val="none" w:sz="0" w:space="0" w:color="auto"/>
                    <w:right w:val="none" w:sz="0" w:space="0" w:color="auto"/>
                  </w:divBdr>
                </w:div>
                <w:div w:id="1971981783">
                  <w:marLeft w:val="480"/>
                  <w:marRight w:val="0"/>
                  <w:marTop w:val="0"/>
                  <w:marBottom w:val="0"/>
                  <w:divBdr>
                    <w:top w:val="none" w:sz="0" w:space="0" w:color="auto"/>
                    <w:left w:val="none" w:sz="0" w:space="0" w:color="auto"/>
                    <w:bottom w:val="none" w:sz="0" w:space="0" w:color="auto"/>
                    <w:right w:val="none" w:sz="0" w:space="0" w:color="auto"/>
                  </w:divBdr>
                </w:div>
                <w:div w:id="1935431111">
                  <w:marLeft w:val="480"/>
                  <w:marRight w:val="0"/>
                  <w:marTop w:val="0"/>
                  <w:marBottom w:val="0"/>
                  <w:divBdr>
                    <w:top w:val="none" w:sz="0" w:space="0" w:color="auto"/>
                    <w:left w:val="none" w:sz="0" w:space="0" w:color="auto"/>
                    <w:bottom w:val="none" w:sz="0" w:space="0" w:color="auto"/>
                    <w:right w:val="none" w:sz="0" w:space="0" w:color="auto"/>
                  </w:divBdr>
                </w:div>
                <w:div w:id="1197692847">
                  <w:marLeft w:val="480"/>
                  <w:marRight w:val="0"/>
                  <w:marTop w:val="0"/>
                  <w:marBottom w:val="0"/>
                  <w:divBdr>
                    <w:top w:val="none" w:sz="0" w:space="0" w:color="auto"/>
                    <w:left w:val="none" w:sz="0" w:space="0" w:color="auto"/>
                    <w:bottom w:val="none" w:sz="0" w:space="0" w:color="auto"/>
                    <w:right w:val="none" w:sz="0" w:space="0" w:color="auto"/>
                  </w:divBdr>
                </w:div>
                <w:div w:id="2141342567">
                  <w:marLeft w:val="480"/>
                  <w:marRight w:val="0"/>
                  <w:marTop w:val="0"/>
                  <w:marBottom w:val="0"/>
                  <w:divBdr>
                    <w:top w:val="none" w:sz="0" w:space="0" w:color="auto"/>
                    <w:left w:val="none" w:sz="0" w:space="0" w:color="auto"/>
                    <w:bottom w:val="none" w:sz="0" w:space="0" w:color="auto"/>
                    <w:right w:val="none" w:sz="0" w:space="0" w:color="auto"/>
                  </w:divBdr>
                </w:div>
                <w:div w:id="434135199">
                  <w:marLeft w:val="480"/>
                  <w:marRight w:val="0"/>
                  <w:marTop w:val="0"/>
                  <w:marBottom w:val="0"/>
                  <w:divBdr>
                    <w:top w:val="none" w:sz="0" w:space="0" w:color="auto"/>
                    <w:left w:val="none" w:sz="0" w:space="0" w:color="auto"/>
                    <w:bottom w:val="none" w:sz="0" w:space="0" w:color="auto"/>
                    <w:right w:val="none" w:sz="0" w:space="0" w:color="auto"/>
                  </w:divBdr>
                </w:div>
                <w:div w:id="2090691520">
                  <w:marLeft w:val="480"/>
                  <w:marRight w:val="0"/>
                  <w:marTop w:val="0"/>
                  <w:marBottom w:val="0"/>
                  <w:divBdr>
                    <w:top w:val="none" w:sz="0" w:space="0" w:color="auto"/>
                    <w:left w:val="none" w:sz="0" w:space="0" w:color="auto"/>
                    <w:bottom w:val="none" w:sz="0" w:space="0" w:color="auto"/>
                    <w:right w:val="none" w:sz="0" w:space="0" w:color="auto"/>
                  </w:divBdr>
                </w:div>
                <w:div w:id="891693402">
                  <w:marLeft w:val="480"/>
                  <w:marRight w:val="0"/>
                  <w:marTop w:val="0"/>
                  <w:marBottom w:val="0"/>
                  <w:divBdr>
                    <w:top w:val="none" w:sz="0" w:space="0" w:color="auto"/>
                    <w:left w:val="none" w:sz="0" w:space="0" w:color="auto"/>
                    <w:bottom w:val="none" w:sz="0" w:space="0" w:color="auto"/>
                    <w:right w:val="none" w:sz="0" w:space="0" w:color="auto"/>
                  </w:divBdr>
                </w:div>
                <w:div w:id="2141727539">
                  <w:marLeft w:val="480"/>
                  <w:marRight w:val="0"/>
                  <w:marTop w:val="0"/>
                  <w:marBottom w:val="0"/>
                  <w:divBdr>
                    <w:top w:val="none" w:sz="0" w:space="0" w:color="auto"/>
                    <w:left w:val="none" w:sz="0" w:space="0" w:color="auto"/>
                    <w:bottom w:val="none" w:sz="0" w:space="0" w:color="auto"/>
                    <w:right w:val="none" w:sz="0" w:space="0" w:color="auto"/>
                  </w:divBdr>
                </w:div>
                <w:div w:id="1662809726">
                  <w:marLeft w:val="480"/>
                  <w:marRight w:val="0"/>
                  <w:marTop w:val="0"/>
                  <w:marBottom w:val="0"/>
                  <w:divBdr>
                    <w:top w:val="none" w:sz="0" w:space="0" w:color="auto"/>
                    <w:left w:val="none" w:sz="0" w:space="0" w:color="auto"/>
                    <w:bottom w:val="none" w:sz="0" w:space="0" w:color="auto"/>
                    <w:right w:val="none" w:sz="0" w:space="0" w:color="auto"/>
                  </w:divBdr>
                </w:div>
                <w:div w:id="2032678376">
                  <w:marLeft w:val="480"/>
                  <w:marRight w:val="0"/>
                  <w:marTop w:val="0"/>
                  <w:marBottom w:val="0"/>
                  <w:divBdr>
                    <w:top w:val="none" w:sz="0" w:space="0" w:color="auto"/>
                    <w:left w:val="none" w:sz="0" w:space="0" w:color="auto"/>
                    <w:bottom w:val="none" w:sz="0" w:space="0" w:color="auto"/>
                    <w:right w:val="none" w:sz="0" w:space="0" w:color="auto"/>
                  </w:divBdr>
                </w:div>
                <w:div w:id="1556239698">
                  <w:marLeft w:val="480"/>
                  <w:marRight w:val="0"/>
                  <w:marTop w:val="0"/>
                  <w:marBottom w:val="0"/>
                  <w:divBdr>
                    <w:top w:val="none" w:sz="0" w:space="0" w:color="auto"/>
                    <w:left w:val="none" w:sz="0" w:space="0" w:color="auto"/>
                    <w:bottom w:val="none" w:sz="0" w:space="0" w:color="auto"/>
                    <w:right w:val="none" w:sz="0" w:space="0" w:color="auto"/>
                  </w:divBdr>
                </w:div>
                <w:div w:id="350687620">
                  <w:marLeft w:val="480"/>
                  <w:marRight w:val="0"/>
                  <w:marTop w:val="0"/>
                  <w:marBottom w:val="0"/>
                  <w:divBdr>
                    <w:top w:val="none" w:sz="0" w:space="0" w:color="auto"/>
                    <w:left w:val="none" w:sz="0" w:space="0" w:color="auto"/>
                    <w:bottom w:val="none" w:sz="0" w:space="0" w:color="auto"/>
                    <w:right w:val="none" w:sz="0" w:space="0" w:color="auto"/>
                  </w:divBdr>
                </w:div>
                <w:div w:id="842012648">
                  <w:marLeft w:val="480"/>
                  <w:marRight w:val="0"/>
                  <w:marTop w:val="0"/>
                  <w:marBottom w:val="0"/>
                  <w:divBdr>
                    <w:top w:val="none" w:sz="0" w:space="0" w:color="auto"/>
                    <w:left w:val="none" w:sz="0" w:space="0" w:color="auto"/>
                    <w:bottom w:val="none" w:sz="0" w:space="0" w:color="auto"/>
                    <w:right w:val="none" w:sz="0" w:space="0" w:color="auto"/>
                  </w:divBdr>
                </w:div>
                <w:div w:id="1092552354">
                  <w:marLeft w:val="480"/>
                  <w:marRight w:val="0"/>
                  <w:marTop w:val="0"/>
                  <w:marBottom w:val="0"/>
                  <w:divBdr>
                    <w:top w:val="none" w:sz="0" w:space="0" w:color="auto"/>
                    <w:left w:val="none" w:sz="0" w:space="0" w:color="auto"/>
                    <w:bottom w:val="none" w:sz="0" w:space="0" w:color="auto"/>
                    <w:right w:val="none" w:sz="0" w:space="0" w:color="auto"/>
                  </w:divBdr>
                </w:div>
                <w:div w:id="1447118943">
                  <w:marLeft w:val="480"/>
                  <w:marRight w:val="0"/>
                  <w:marTop w:val="0"/>
                  <w:marBottom w:val="0"/>
                  <w:divBdr>
                    <w:top w:val="none" w:sz="0" w:space="0" w:color="auto"/>
                    <w:left w:val="none" w:sz="0" w:space="0" w:color="auto"/>
                    <w:bottom w:val="none" w:sz="0" w:space="0" w:color="auto"/>
                    <w:right w:val="none" w:sz="0" w:space="0" w:color="auto"/>
                  </w:divBdr>
                </w:div>
                <w:div w:id="1801998676">
                  <w:marLeft w:val="480"/>
                  <w:marRight w:val="0"/>
                  <w:marTop w:val="0"/>
                  <w:marBottom w:val="0"/>
                  <w:divBdr>
                    <w:top w:val="none" w:sz="0" w:space="0" w:color="auto"/>
                    <w:left w:val="none" w:sz="0" w:space="0" w:color="auto"/>
                    <w:bottom w:val="none" w:sz="0" w:space="0" w:color="auto"/>
                    <w:right w:val="none" w:sz="0" w:space="0" w:color="auto"/>
                  </w:divBdr>
                </w:div>
                <w:div w:id="1338507270">
                  <w:marLeft w:val="480"/>
                  <w:marRight w:val="0"/>
                  <w:marTop w:val="0"/>
                  <w:marBottom w:val="0"/>
                  <w:divBdr>
                    <w:top w:val="none" w:sz="0" w:space="0" w:color="auto"/>
                    <w:left w:val="none" w:sz="0" w:space="0" w:color="auto"/>
                    <w:bottom w:val="none" w:sz="0" w:space="0" w:color="auto"/>
                    <w:right w:val="none" w:sz="0" w:space="0" w:color="auto"/>
                  </w:divBdr>
                </w:div>
                <w:div w:id="408815560">
                  <w:marLeft w:val="480"/>
                  <w:marRight w:val="0"/>
                  <w:marTop w:val="0"/>
                  <w:marBottom w:val="0"/>
                  <w:divBdr>
                    <w:top w:val="none" w:sz="0" w:space="0" w:color="auto"/>
                    <w:left w:val="none" w:sz="0" w:space="0" w:color="auto"/>
                    <w:bottom w:val="none" w:sz="0" w:space="0" w:color="auto"/>
                    <w:right w:val="none" w:sz="0" w:space="0" w:color="auto"/>
                  </w:divBdr>
                </w:div>
                <w:div w:id="165706583">
                  <w:marLeft w:val="480"/>
                  <w:marRight w:val="0"/>
                  <w:marTop w:val="0"/>
                  <w:marBottom w:val="0"/>
                  <w:divBdr>
                    <w:top w:val="none" w:sz="0" w:space="0" w:color="auto"/>
                    <w:left w:val="none" w:sz="0" w:space="0" w:color="auto"/>
                    <w:bottom w:val="none" w:sz="0" w:space="0" w:color="auto"/>
                    <w:right w:val="none" w:sz="0" w:space="0" w:color="auto"/>
                  </w:divBdr>
                </w:div>
                <w:div w:id="1689063000">
                  <w:marLeft w:val="480"/>
                  <w:marRight w:val="0"/>
                  <w:marTop w:val="0"/>
                  <w:marBottom w:val="0"/>
                  <w:divBdr>
                    <w:top w:val="none" w:sz="0" w:space="0" w:color="auto"/>
                    <w:left w:val="none" w:sz="0" w:space="0" w:color="auto"/>
                    <w:bottom w:val="none" w:sz="0" w:space="0" w:color="auto"/>
                    <w:right w:val="none" w:sz="0" w:space="0" w:color="auto"/>
                  </w:divBdr>
                </w:div>
                <w:div w:id="722951339">
                  <w:marLeft w:val="480"/>
                  <w:marRight w:val="0"/>
                  <w:marTop w:val="0"/>
                  <w:marBottom w:val="0"/>
                  <w:divBdr>
                    <w:top w:val="none" w:sz="0" w:space="0" w:color="auto"/>
                    <w:left w:val="none" w:sz="0" w:space="0" w:color="auto"/>
                    <w:bottom w:val="none" w:sz="0" w:space="0" w:color="auto"/>
                    <w:right w:val="none" w:sz="0" w:space="0" w:color="auto"/>
                  </w:divBdr>
                </w:div>
                <w:div w:id="1558273601">
                  <w:marLeft w:val="480"/>
                  <w:marRight w:val="0"/>
                  <w:marTop w:val="0"/>
                  <w:marBottom w:val="0"/>
                  <w:divBdr>
                    <w:top w:val="none" w:sz="0" w:space="0" w:color="auto"/>
                    <w:left w:val="none" w:sz="0" w:space="0" w:color="auto"/>
                    <w:bottom w:val="none" w:sz="0" w:space="0" w:color="auto"/>
                    <w:right w:val="none" w:sz="0" w:space="0" w:color="auto"/>
                  </w:divBdr>
                </w:div>
                <w:div w:id="1439908855">
                  <w:marLeft w:val="480"/>
                  <w:marRight w:val="0"/>
                  <w:marTop w:val="0"/>
                  <w:marBottom w:val="0"/>
                  <w:divBdr>
                    <w:top w:val="none" w:sz="0" w:space="0" w:color="auto"/>
                    <w:left w:val="none" w:sz="0" w:space="0" w:color="auto"/>
                    <w:bottom w:val="none" w:sz="0" w:space="0" w:color="auto"/>
                    <w:right w:val="none" w:sz="0" w:space="0" w:color="auto"/>
                  </w:divBdr>
                </w:div>
                <w:div w:id="797257458">
                  <w:marLeft w:val="480"/>
                  <w:marRight w:val="0"/>
                  <w:marTop w:val="0"/>
                  <w:marBottom w:val="0"/>
                  <w:divBdr>
                    <w:top w:val="none" w:sz="0" w:space="0" w:color="auto"/>
                    <w:left w:val="none" w:sz="0" w:space="0" w:color="auto"/>
                    <w:bottom w:val="none" w:sz="0" w:space="0" w:color="auto"/>
                    <w:right w:val="none" w:sz="0" w:space="0" w:color="auto"/>
                  </w:divBdr>
                </w:div>
                <w:div w:id="1708263143">
                  <w:marLeft w:val="480"/>
                  <w:marRight w:val="0"/>
                  <w:marTop w:val="0"/>
                  <w:marBottom w:val="0"/>
                  <w:divBdr>
                    <w:top w:val="none" w:sz="0" w:space="0" w:color="auto"/>
                    <w:left w:val="none" w:sz="0" w:space="0" w:color="auto"/>
                    <w:bottom w:val="none" w:sz="0" w:space="0" w:color="auto"/>
                    <w:right w:val="none" w:sz="0" w:space="0" w:color="auto"/>
                  </w:divBdr>
                </w:div>
                <w:div w:id="283392489">
                  <w:marLeft w:val="480"/>
                  <w:marRight w:val="0"/>
                  <w:marTop w:val="0"/>
                  <w:marBottom w:val="0"/>
                  <w:divBdr>
                    <w:top w:val="none" w:sz="0" w:space="0" w:color="auto"/>
                    <w:left w:val="none" w:sz="0" w:space="0" w:color="auto"/>
                    <w:bottom w:val="none" w:sz="0" w:space="0" w:color="auto"/>
                    <w:right w:val="none" w:sz="0" w:space="0" w:color="auto"/>
                  </w:divBdr>
                </w:div>
                <w:div w:id="1382024497">
                  <w:marLeft w:val="480"/>
                  <w:marRight w:val="0"/>
                  <w:marTop w:val="0"/>
                  <w:marBottom w:val="0"/>
                  <w:divBdr>
                    <w:top w:val="none" w:sz="0" w:space="0" w:color="auto"/>
                    <w:left w:val="none" w:sz="0" w:space="0" w:color="auto"/>
                    <w:bottom w:val="none" w:sz="0" w:space="0" w:color="auto"/>
                    <w:right w:val="none" w:sz="0" w:space="0" w:color="auto"/>
                  </w:divBdr>
                </w:div>
                <w:div w:id="144054387">
                  <w:marLeft w:val="480"/>
                  <w:marRight w:val="0"/>
                  <w:marTop w:val="0"/>
                  <w:marBottom w:val="0"/>
                  <w:divBdr>
                    <w:top w:val="none" w:sz="0" w:space="0" w:color="auto"/>
                    <w:left w:val="none" w:sz="0" w:space="0" w:color="auto"/>
                    <w:bottom w:val="none" w:sz="0" w:space="0" w:color="auto"/>
                    <w:right w:val="none" w:sz="0" w:space="0" w:color="auto"/>
                  </w:divBdr>
                </w:div>
                <w:div w:id="573470233">
                  <w:marLeft w:val="480"/>
                  <w:marRight w:val="0"/>
                  <w:marTop w:val="0"/>
                  <w:marBottom w:val="0"/>
                  <w:divBdr>
                    <w:top w:val="none" w:sz="0" w:space="0" w:color="auto"/>
                    <w:left w:val="none" w:sz="0" w:space="0" w:color="auto"/>
                    <w:bottom w:val="none" w:sz="0" w:space="0" w:color="auto"/>
                    <w:right w:val="none" w:sz="0" w:space="0" w:color="auto"/>
                  </w:divBdr>
                </w:div>
                <w:div w:id="1558053220">
                  <w:marLeft w:val="480"/>
                  <w:marRight w:val="0"/>
                  <w:marTop w:val="0"/>
                  <w:marBottom w:val="0"/>
                  <w:divBdr>
                    <w:top w:val="none" w:sz="0" w:space="0" w:color="auto"/>
                    <w:left w:val="none" w:sz="0" w:space="0" w:color="auto"/>
                    <w:bottom w:val="none" w:sz="0" w:space="0" w:color="auto"/>
                    <w:right w:val="none" w:sz="0" w:space="0" w:color="auto"/>
                  </w:divBdr>
                </w:div>
                <w:div w:id="764420990">
                  <w:marLeft w:val="480"/>
                  <w:marRight w:val="0"/>
                  <w:marTop w:val="0"/>
                  <w:marBottom w:val="0"/>
                  <w:divBdr>
                    <w:top w:val="none" w:sz="0" w:space="0" w:color="auto"/>
                    <w:left w:val="none" w:sz="0" w:space="0" w:color="auto"/>
                    <w:bottom w:val="none" w:sz="0" w:space="0" w:color="auto"/>
                    <w:right w:val="none" w:sz="0" w:space="0" w:color="auto"/>
                  </w:divBdr>
                </w:div>
                <w:div w:id="1824541682">
                  <w:marLeft w:val="480"/>
                  <w:marRight w:val="0"/>
                  <w:marTop w:val="0"/>
                  <w:marBottom w:val="0"/>
                  <w:divBdr>
                    <w:top w:val="none" w:sz="0" w:space="0" w:color="auto"/>
                    <w:left w:val="none" w:sz="0" w:space="0" w:color="auto"/>
                    <w:bottom w:val="none" w:sz="0" w:space="0" w:color="auto"/>
                    <w:right w:val="none" w:sz="0" w:space="0" w:color="auto"/>
                  </w:divBdr>
                </w:div>
                <w:div w:id="2135100721">
                  <w:marLeft w:val="480"/>
                  <w:marRight w:val="0"/>
                  <w:marTop w:val="0"/>
                  <w:marBottom w:val="0"/>
                  <w:divBdr>
                    <w:top w:val="none" w:sz="0" w:space="0" w:color="auto"/>
                    <w:left w:val="none" w:sz="0" w:space="0" w:color="auto"/>
                    <w:bottom w:val="none" w:sz="0" w:space="0" w:color="auto"/>
                    <w:right w:val="none" w:sz="0" w:space="0" w:color="auto"/>
                  </w:divBdr>
                </w:div>
                <w:div w:id="155923995">
                  <w:marLeft w:val="480"/>
                  <w:marRight w:val="0"/>
                  <w:marTop w:val="0"/>
                  <w:marBottom w:val="0"/>
                  <w:divBdr>
                    <w:top w:val="none" w:sz="0" w:space="0" w:color="auto"/>
                    <w:left w:val="none" w:sz="0" w:space="0" w:color="auto"/>
                    <w:bottom w:val="none" w:sz="0" w:space="0" w:color="auto"/>
                    <w:right w:val="none" w:sz="0" w:space="0" w:color="auto"/>
                  </w:divBdr>
                </w:div>
                <w:div w:id="899487987">
                  <w:marLeft w:val="480"/>
                  <w:marRight w:val="0"/>
                  <w:marTop w:val="0"/>
                  <w:marBottom w:val="0"/>
                  <w:divBdr>
                    <w:top w:val="none" w:sz="0" w:space="0" w:color="auto"/>
                    <w:left w:val="none" w:sz="0" w:space="0" w:color="auto"/>
                    <w:bottom w:val="none" w:sz="0" w:space="0" w:color="auto"/>
                    <w:right w:val="none" w:sz="0" w:space="0" w:color="auto"/>
                  </w:divBdr>
                </w:div>
                <w:div w:id="2008510716">
                  <w:marLeft w:val="480"/>
                  <w:marRight w:val="0"/>
                  <w:marTop w:val="0"/>
                  <w:marBottom w:val="0"/>
                  <w:divBdr>
                    <w:top w:val="none" w:sz="0" w:space="0" w:color="auto"/>
                    <w:left w:val="none" w:sz="0" w:space="0" w:color="auto"/>
                    <w:bottom w:val="none" w:sz="0" w:space="0" w:color="auto"/>
                    <w:right w:val="none" w:sz="0" w:space="0" w:color="auto"/>
                  </w:divBdr>
                </w:div>
                <w:div w:id="967778166">
                  <w:marLeft w:val="480"/>
                  <w:marRight w:val="0"/>
                  <w:marTop w:val="0"/>
                  <w:marBottom w:val="0"/>
                  <w:divBdr>
                    <w:top w:val="none" w:sz="0" w:space="0" w:color="auto"/>
                    <w:left w:val="none" w:sz="0" w:space="0" w:color="auto"/>
                    <w:bottom w:val="none" w:sz="0" w:space="0" w:color="auto"/>
                    <w:right w:val="none" w:sz="0" w:space="0" w:color="auto"/>
                  </w:divBdr>
                </w:div>
                <w:div w:id="631793971">
                  <w:marLeft w:val="480"/>
                  <w:marRight w:val="0"/>
                  <w:marTop w:val="0"/>
                  <w:marBottom w:val="0"/>
                  <w:divBdr>
                    <w:top w:val="none" w:sz="0" w:space="0" w:color="auto"/>
                    <w:left w:val="none" w:sz="0" w:space="0" w:color="auto"/>
                    <w:bottom w:val="none" w:sz="0" w:space="0" w:color="auto"/>
                    <w:right w:val="none" w:sz="0" w:space="0" w:color="auto"/>
                  </w:divBdr>
                </w:div>
                <w:div w:id="2083065239">
                  <w:marLeft w:val="480"/>
                  <w:marRight w:val="0"/>
                  <w:marTop w:val="0"/>
                  <w:marBottom w:val="0"/>
                  <w:divBdr>
                    <w:top w:val="none" w:sz="0" w:space="0" w:color="auto"/>
                    <w:left w:val="none" w:sz="0" w:space="0" w:color="auto"/>
                    <w:bottom w:val="none" w:sz="0" w:space="0" w:color="auto"/>
                    <w:right w:val="none" w:sz="0" w:space="0" w:color="auto"/>
                  </w:divBdr>
                </w:div>
                <w:div w:id="723873564">
                  <w:marLeft w:val="480"/>
                  <w:marRight w:val="0"/>
                  <w:marTop w:val="0"/>
                  <w:marBottom w:val="0"/>
                  <w:divBdr>
                    <w:top w:val="none" w:sz="0" w:space="0" w:color="auto"/>
                    <w:left w:val="none" w:sz="0" w:space="0" w:color="auto"/>
                    <w:bottom w:val="none" w:sz="0" w:space="0" w:color="auto"/>
                    <w:right w:val="none" w:sz="0" w:space="0" w:color="auto"/>
                  </w:divBdr>
                </w:div>
                <w:div w:id="1697465319">
                  <w:marLeft w:val="480"/>
                  <w:marRight w:val="0"/>
                  <w:marTop w:val="0"/>
                  <w:marBottom w:val="0"/>
                  <w:divBdr>
                    <w:top w:val="none" w:sz="0" w:space="0" w:color="auto"/>
                    <w:left w:val="none" w:sz="0" w:space="0" w:color="auto"/>
                    <w:bottom w:val="none" w:sz="0" w:space="0" w:color="auto"/>
                    <w:right w:val="none" w:sz="0" w:space="0" w:color="auto"/>
                  </w:divBdr>
                </w:div>
                <w:div w:id="1515533046">
                  <w:marLeft w:val="480"/>
                  <w:marRight w:val="0"/>
                  <w:marTop w:val="0"/>
                  <w:marBottom w:val="0"/>
                  <w:divBdr>
                    <w:top w:val="none" w:sz="0" w:space="0" w:color="auto"/>
                    <w:left w:val="none" w:sz="0" w:space="0" w:color="auto"/>
                    <w:bottom w:val="none" w:sz="0" w:space="0" w:color="auto"/>
                    <w:right w:val="none" w:sz="0" w:space="0" w:color="auto"/>
                  </w:divBdr>
                </w:div>
                <w:div w:id="1230772894">
                  <w:marLeft w:val="480"/>
                  <w:marRight w:val="0"/>
                  <w:marTop w:val="0"/>
                  <w:marBottom w:val="0"/>
                  <w:divBdr>
                    <w:top w:val="none" w:sz="0" w:space="0" w:color="auto"/>
                    <w:left w:val="none" w:sz="0" w:space="0" w:color="auto"/>
                    <w:bottom w:val="none" w:sz="0" w:space="0" w:color="auto"/>
                    <w:right w:val="none" w:sz="0" w:space="0" w:color="auto"/>
                  </w:divBdr>
                </w:div>
                <w:div w:id="997465693">
                  <w:marLeft w:val="480"/>
                  <w:marRight w:val="0"/>
                  <w:marTop w:val="0"/>
                  <w:marBottom w:val="0"/>
                  <w:divBdr>
                    <w:top w:val="none" w:sz="0" w:space="0" w:color="auto"/>
                    <w:left w:val="none" w:sz="0" w:space="0" w:color="auto"/>
                    <w:bottom w:val="none" w:sz="0" w:space="0" w:color="auto"/>
                    <w:right w:val="none" w:sz="0" w:space="0" w:color="auto"/>
                  </w:divBdr>
                </w:div>
                <w:div w:id="1496677966">
                  <w:marLeft w:val="480"/>
                  <w:marRight w:val="0"/>
                  <w:marTop w:val="0"/>
                  <w:marBottom w:val="0"/>
                  <w:divBdr>
                    <w:top w:val="none" w:sz="0" w:space="0" w:color="auto"/>
                    <w:left w:val="none" w:sz="0" w:space="0" w:color="auto"/>
                    <w:bottom w:val="none" w:sz="0" w:space="0" w:color="auto"/>
                    <w:right w:val="none" w:sz="0" w:space="0" w:color="auto"/>
                  </w:divBdr>
                </w:div>
                <w:div w:id="1605965882">
                  <w:marLeft w:val="480"/>
                  <w:marRight w:val="0"/>
                  <w:marTop w:val="0"/>
                  <w:marBottom w:val="0"/>
                  <w:divBdr>
                    <w:top w:val="none" w:sz="0" w:space="0" w:color="auto"/>
                    <w:left w:val="none" w:sz="0" w:space="0" w:color="auto"/>
                    <w:bottom w:val="none" w:sz="0" w:space="0" w:color="auto"/>
                    <w:right w:val="none" w:sz="0" w:space="0" w:color="auto"/>
                  </w:divBdr>
                </w:div>
                <w:div w:id="1170173321">
                  <w:marLeft w:val="480"/>
                  <w:marRight w:val="0"/>
                  <w:marTop w:val="0"/>
                  <w:marBottom w:val="0"/>
                  <w:divBdr>
                    <w:top w:val="none" w:sz="0" w:space="0" w:color="auto"/>
                    <w:left w:val="none" w:sz="0" w:space="0" w:color="auto"/>
                    <w:bottom w:val="none" w:sz="0" w:space="0" w:color="auto"/>
                    <w:right w:val="none" w:sz="0" w:space="0" w:color="auto"/>
                  </w:divBdr>
                </w:div>
                <w:div w:id="1264072620">
                  <w:marLeft w:val="480"/>
                  <w:marRight w:val="0"/>
                  <w:marTop w:val="0"/>
                  <w:marBottom w:val="0"/>
                  <w:divBdr>
                    <w:top w:val="none" w:sz="0" w:space="0" w:color="auto"/>
                    <w:left w:val="none" w:sz="0" w:space="0" w:color="auto"/>
                    <w:bottom w:val="none" w:sz="0" w:space="0" w:color="auto"/>
                    <w:right w:val="none" w:sz="0" w:space="0" w:color="auto"/>
                  </w:divBdr>
                </w:div>
                <w:div w:id="2073113328">
                  <w:marLeft w:val="480"/>
                  <w:marRight w:val="0"/>
                  <w:marTop w:val="0"/>
                  <w:marBottom w:val="0"/>
                  <w:divBdr>
                    <w:top w:val="none" w:sz="0" w:space="0" w:color="auto"/>
                    <w:left w:val="none" w:sz="0" w:space="0" w:color="auto"/>
                    <w:bottom w:val="none" w:sz="0" w:space="0" w:color="auto"/>
                    <w:right w:val="none" w:sz="0" w:space="0" w:color="auto"/>
                  </w:divBdr>
                </w:div>
                <w:div w:id="450245512">
                  <w:marLeft w:val="480"/>
                  <w:marRight w:val="0"/>
                  <w:marTop w:val="0"/>
                  <w:marBottom w:val="0"/>
                  <w:divBdr>
                    <w:top w:val="none" w:sz="0" w:space="0" w:color="auto"/>
                    <w:left w:val="none" w:sz="0" w:space="0" w:color="auto"/>
                    <w:bottom w:val="none" w:sz="0" w:space="0" w:color="auto"/>
                    <w:right w:val="none" w:sz="0" w:space="0" w:color="auto"/>
                  </w:divBdr>
                </w:div>
                <w:div w:id="2052341586">
                  <w:marLeft w:val="480"/>
                  <w:marRight w:val="0"/>
                  <w:marTop w:val="0"/>
                  <w:marBottom w:val="0"/>
                  <w:divBdr>
                    <w:top w:val="none" w:sz="0" w:space="0" w:color="auto"/>
                    <w:left w:val="none" w:sz="0" w:space="0" w:color="auto"/>
                    <w:bottom w:val="none" w:sz="0" w:space="0" w:color="auto"/>
                    <w:right w:val="none" w:sz="0" w:space="0" w:color="auto"/>
                  </w:divBdr>
                </w:div>
                <w:div w:id="1314604466">
                  <w:marLeft w:val="480"/>
                  <w:marRight w:val="0"/>
                  <w:marTop w:val="0"/>
                  <w:marBottom w:val="0"/>
                  <w:divBdr>
                    <w:top w:val="none" w:sz="0" w:space="0" w:color="auto"/>
                    <w:left w:val="none" w:sz="0" w:space="0" w:color="auto"/>
                    <w:bottom w:val="none" w:sz="0" w:space="0" w:color="auto"/>
                    <w:right w:val="none" w:sz="0" w:space="0" w:color="auto"/>
                  </w:divBdr>
                </w:div>
                <w:div w:id="1145007307">
                  <w:marLeft w:val="480"/>
                  <w:marRight w:val="0"/>
                  <w:marTop w:val="0"/>
                  <w:marBottom w:val="0"/>
                  <w:divBdr>
                    <w:top w:val="none" w:sz="0" w:space="0" w:color="auto"/>
                    <w:left w:val="none" w:sz="0" w:space="0" w:color="auto"/>
                    <w:bottom w:val="none" w:sz="0" w:space="0" w:color="auto"/>
                    <w:right w:val="none" w:sz="0" w:space="0" w:color="auto"/>
                  </w:divBdr>
                </w:div>
                <w:div w:id="1989087458">
                  <w:marLeft w:val="480"/>
                  <w:marRight w:val="0"/>
                  <w:marTop w:val="0"/>
                  <w:marBottom w:val="0"/>
                  <w:divBdr>
                    <w:top w:val="none" w:sz="0" w:space="0" w:color="auto"/>
                    <w:left w:val="none" w:sz="0" w:space="0" w:color="auto"/>
                    <w:bottom w:val="none" w:sz="0" w:space="0" w:color="auto"/>
                    <w:right w:val="none" w:sz="0" w:space="0" w:color="auto"/>
                  </w:divBdr>
                </w:div>
                <w:div w:id="798305487">
                  <w:marLeft w:val="480"/>
                  <w:marRight w:val="0"/>
                  <w:marTop w:val="0"/>
                  <w:marBottom w:val="0"/>
                  <w:divBdr>
                    <w:top w:val="none" w:sz="0" w:space="0" w:color="auto"/>
                    <w:left w:val="none" w:sz="0" w:space="0" w:color="auto"/>
                    <w:bottom w:val="none" w:sz="0" w:space="0" w:color="auto"/>
                    <w:right w:val="none" w:sz="0" w:space="0" w:color="auto"/>
                  </w:divBdr>
                </w:div>
                <w:div w:id="176894224">
                  <w:marLeft w:val="480"/>
                  <w:marRight w:val="0"/>
                  <w:marTop w:val="0"/>
                  <w:marBottom w:val="0"/>
                  <w:divBdr>
                    <w:top w:val="none" w:sz="0" w:space="0" w:color="auto"/>
                    <w:left w:val="none" w:sz="0" w:space="0" w:color="auto"/>
                    <w:bottom w:val="none" w:sz="0" w:space="0" w:color="auto"/>
                    <w:right w:val="none" w:sz="0" w:space="0" w:color="auto"/>
                  </w:divBdr>
                </w:div>
                <w:div w:id="990252901">
                  <w:marLeft w:val="480"/>
                  <w:marRight w:val="0"/>
                  <w:marTop w:val="0"/>
                  <w:marBottom w:val="0"/>
                  <w:divBdr>
                    <w:top w:val="none" w:sz="0" w:space="0" w:color="auto"/>
                    <w:left w:val="none" w:sz="0" w:space="0" w:color="auto"/>
                    <w:bottom w:val="none" w:sz="0" w:space="0" w:color="auto"/>
                    <w:right w:val="none" w:sz="0" w:space="0" w:color="auto"/>
                  </w:divBdr>
                </w:div>
                <w:div w:id="1181899200">
                  <w:marLeft w:val="480"/>
                  <w:marRight w:val="0"/>
                  <w:marTop w:val="0"/>
                  <w:marBottom w:val="0"/>
                  <w:divBdr>
                    <w:top w:val="none" w:sz="0" w:space="0" w:color="auto"/>
                    <w:left w:val="none" w:sz="0" w:space="0" w:color="auto"/>
                    <w:bottom w:val="none" w:sz="0" w:space="0" w:color="auto"/>
                    <w:right w:val="none" w:sz="0" w:space="0" w:color="auto"/>
                  </w:divBdr>
                </w:div>
                <w:div w:id="127476897">
                  <w:marLeft w:val="480"/>
                  <w:marRight w:val="0"/>
                  <w:marTop w:val="0"/>
                  <w:marBottom w:val="0"/>
                  <w:divBdr>
                    <w:top w:val="none" w:sz="0" w:space="0" w:color="auto"/>
                    <w:left w:val="none" w:sz="0" w:space="0" w:color="auto"/>
                    <w:bottom w:val="none" w:sz="0" w:space="0" w:color="auto"/>
                    <w:right w:val="none" w:sz="0" w:space="0" w:color="auto"/>
                  </w:divBdr>
                </w:div>
                <w:div w:id="44567655">
                  <w:marLeft w:val="480"/>
                  <w:marRight w:val="0"/>
                  <w:marTop w:val="0"/>
                  <w:marBottom w:val="0"/>
                  <w:divBdr>
                    <w:top w:val="none" w:sz="0" w:space="0" w:color="auto"/>
                    <w:left w:val="none" w:sz="0" w:space="0" w:color="auto"/>
                    <w:bottom w:val="none" w:sz="0" w:space="0" w:color="auto"/>
                    <w:right w:val="none" w:sz="0" w:space="0" w:color="auto"/>
                  </w:divBdr>
                </w:div>
                <w:div w:id="1943106705">
                  <w:marLeft w:val="480"/>
                  <w:marRight w:val="0"/>
                  <w:marTop w:val="0"/>
                  <w:marBottom w:val="0"/>
                  <w:divBdr>
                    <w:top w:val="none" w:sz="0" w:space="0" w:color="auto"/>
                    <w:left w:val="none" w:sz="0" w:space="0" w:color="auto"/>
                    <w:bottom w:val="none" w:sz="0" w:space="0" w:color="auto"/>
                    <w:right w:val="none" w:sz="0" w:space="0" w:color="auto"/>
                  </w:divBdr>
                </w:div>
                <w:div w:id="664868997">
                  <w:marLeft w:val="480"/>
                  <w:marRight w:val="0"/>
                  <w:marTop w:val="0"/>
                  <w:marBottom w:val="0"/>
                  <w:divBdr>
                    <w:top w:val="none" w:sz="0" w:space="0" w:color="auto"/>
                    <w:left w:val="none" w:sz="0" w:space="0" w:color="auto"/>
                    <w:bottom w:val="none" w:sz="0" w:space="0" w:color="auto"/>
                    <w:right w:val="none" w:sz="0" w:space="0" w:color="auto"/>
                  </w:divBdr>
                </w:div>
                <w:div w:id="966663229">
                  <w:marLeft w:val="480"/>
                  <w:marRight w:val="0"/>
                  <w:marTop w:val="0"/>
                  <w:marBottom w:val="0"/>
                  <w:divBdr>
                    <w:top w:val="none" w:sz="0" w:space="0" w:color="auto"/>
                    <w:left w:val="none" w:sz="0" w:space="0" w:color="auto"/>
                    <w:bottom w:val="none" w:sz="0" w:space="0" w:color="auto"/>
                    <w:right w:val="none" w:sz="0" w:space="0" w:color="auto"/>
                  </w:divBdr>
                </w:div>
                <w:div w:id="25566407">
                  <w:marLeft w:val="480"/>
                  <w:marRight w:val="0"/>
                  <w:marTop w:val="0"/>
                  <w:marBottom w:val="0"/>
                  <w:divBdr>
                    <w:top w:val="none" w:sz="0" w:space="0" w:color="auto"/>
                    <w:left w:val="none" w:sz="0" w:space="0" w:color="auto"/>
                    <w:bottom w:val="none" w:sz="0" w:space="0" w:color="auto"/>
                    <w:right w:val="none" w:sz="0" w:space="0" w:color="auto"/>
                  </w:divBdr>
                </w:div>
                <w:div w:id="1904639342">
                  <w:marLeft w:val="480"/>
                  <w:marRight w:val="0"/>
                  <w:marTop w:val="0"/>
                  <w:marBottom w:val="0"/>
                  <w:divBdr>
                    <w:top w:val="none" w:sz="0" w:space="0" w:color="auto"/>
                    <w:left w:val="none" w:sz="0" w:space="0" w:color="auto"/>
                    <w:bottom w:val="none" w:sz="0" w:space="0" w:color="auto"/>
                    <w:right w:val="none" w:sz="0" w:space="0" w:color="auto"/>
                  </w:divBdr>
                </w:div>
                <w:div w:id="1929650913">
                  <w:marLeft w:val="480"/>
                  <w:marRight w:val="0"/>
                  <w:marTop w:val="0"/>
                  <w:marBottom w:val="0"/>
                  <w:divBdr>
                    <w:top w:val="none" w:sz="0" w:space="0" w:color="auto"/>
                    <w:left w:val="none" w:sz="0" w:space="0" w:color="auto"/>
                    <w:bottom w:val="none" w:sz="0" w:space="0" w:color="auto"/>
                    <w:right w:val="none" w:sz="0" w:space="0" w:color="auto"/>
                  </w:divBdr>
                </w:div>
                <w:div w:id="787966967">
                  <w:marLeft w:val="480"/>
                  <w:marRight w:val="0"/>
                  <w:marTop w:val="0"/>
                  <w:marBottom w:val="0"/>
                  <w:divBdr>
                    <w:top w:val="none" w:sz="0" w:space="0" w:color="auto"/>
                    <w:left w:val="none" w:sz="0" w:space="0" w:color="auto"/>
                    <w:bottom w:val="none" w:sz="0" w:space="0" w:color="auto"/>
                    <w:right w:val="none" w:sz="0" w:space="0" w:color="auto"/>
                  </w:divBdr>
                </w:div>
                <w:div w:id="1225336066">
                  <w:marLeft w:val="480"/>
                  <w:marRight w:val="0"/>
                  <w:marTop w:val="0"/>
                  <w:marBottom w:val="0"/>
                  <w:divBdr>
                    <w:top w:val="none" w:sz="0" w:space="0" w:color="auto"/>
                    <w:left w:val="none" w:sz="0" w:space="0" w:color="auto"/>
                    <w:bottom w:val="none" w:sz="0" w:space="0" w:color="auto"/>
                    <w:right w:val="none" w:sz="0" w:space="0" w:color="auto"/>
                  </w:divBdr>
                </w:div>
                <w:div w:id="1206674224">
                  <w:marLeft w:val="480"/>
                  <w:marRight w:val="0"/>
                  <w:marTop w:val="0"/>
                  <w:marBottom w:val="0"/>
                  <w:divBdr>
                    <w:top w:val="none" w:sz="0" w:space="0" w:color="auto"/>
                    <w:left w:val="none" w:sz="0" w:space="0" w:color="auto"/>
                    <w:bottom w:val="none" w:sz="0" w:space="0" w:color="auto"/>
                    <w:right w:val="none" w:sz="0" w:space="0" w:color="auto"/>
                  </w:divBdr>
                </w:div>
                <w:div w:id="1538349598">
                  <w:marLeft w:val="480"/>
                  <w:marRight w:val="0"/>
                  <w:marTop w:val="0"/>
                  <w:marBottom w:val="0"/>
                  <w:divBdr>
                    <w:top w:val="none" w:sz="0" w:space="0" w:color="auto"/>
                    <w:left w:val="none" w:sz="0" w:space="0" w:color="auto"/>
                    <w:bottom w:val="none" w:sz="0" w:space="0" w:color="auto"/>
                    <w:right w:val="none" w:sz="0" w:space="0" w:color="auto"/>
                  </w:divBdr>
                </w:div>
                <w:div w:id="1764566758">
                  <w:marLeft w:val="480"/>
                  <w:marRight w:val="0"/>
                  <w:marTop w:val="0"/>
                  <w:marBottom w:val="0"/>
                  <w:divBdr>
                    <w:top w:val="none" w:sz="0" w:space="0" w:color="auto"/>
                    <w:left w:val="none" w:sz="0" w:space="0" w:color="auto"/>
                    <w:bottom w:val="none" w:sz="0" w:space="0" w:color="auto"/>
                    <w:right w:val="none" w:sz="0" w:space="0" w:color="auto"/>
                  </w:divBdr>
                </w:div>
                <w:div w:id="169493667">
                  <w:marLeft w:val="480"/>
                  <w:marRight w:val="0"/>
                  <w:marTop w:val="0"/>
                  <w:marBottom w:val="0"/>
                  <w:divBdr>
                    <w:top w:val="none" w:sz="0" w:space="0" w:color="auto"/>
                    <w:left w:val="none" w:sz="0" w:space="0" w:color="auto"/>
                    <w:bottom w:val="none" w:sz="0" w:space="0" w:color="auto"/>
                    <w:right w:val="none" w:sz="0" w:space="0" w:color="auto"/>
                  </w:divBdr>
                </w:div>
                <w:div w:id="798912615">
                  <w:marLeft w:val="480"/>
                  <w:marRight w:val="0"/>
                  <w:marTop w:val="0"/>
                  <w:marBottom w:val="0"/>
                  <w:divBdr>
                    <w:top w:val="none" w:sz="0" w:space="0" w:color="auto"/>
                    <w:left w:val="none" w:sz="0" w:space="0" w:color="auto"/>
                    <w:bottom w:val="none" w:sz="0" w:space="0" w:color="auto"/>
                    <w:right w:val="none" w:sz="0" w:space="0" w:color="auto"/>
                  </w:divBdr>
                </w:div>
                <w:div w:id="819811831">
                  <w:marLeft w:val="480"/>
                  <w:marRight w:val="0"/>
                  <w:marTop w:val="0"/>
                  <w:marBottom w:val="0"/>
                  <w:divBdr>
                    <w:top w:val="none" w:sz="0" w:space="0" w:color="auto"/>
                    <w:left w:val="none" w:sz="0" w:space="0" w:color="auto"/>
                    <w:bottom w:val="none" w:sz="0" w:space="0" w:color="auto"/>
                    <w:right w:val="none" w:sz="0" w:space="0" w:color="auto"/>
                  </w:divBdr>
                </w:div>
                <w:div w:id="1023743597">
                  <w:marLeft w:val="480"/>
                  <w:marRight w:val="0"/>
                  <w:marTop w:val="0"/>
                  <w:marBottom w:val="0"/>
                  <w:divBdr>
                    <w:top w:val="none" w:sz="0" w:space="0" w:color="auto"/>
                    <w:left w:val="none" w:sz="0" w:space="0" w:color="auto"/>
                    <w:bottom w:val="none" w:sz="0" w:space="0" w:color="auto"/>
                    <w:right w:val="none" w:sz="0" w:space="0" w:color="auto"/>
                  </w:divBdr>
                </w:div>
                <w:div w:id="828640745">
                  <w:marLeft w:val="480"/>
                  <w:marRight w:val="0"/>
                  <w:marTop w:val="0"/>
                  <w:marBottom w:val="0"/>
                  <w:divBdr>
                    <w:top w:val="none" w:sz="0" w:space="0" w:color="auto"/>
                    <w:left w:val="none" w:sz="0" w:space="0" w:color="auto"/>
                    <w:bottom w:val="none" w:sz="0" w:space="0" w:color="auto"/>
                    <w:right w:val="none" w:sz="0" w:space="0" w:color="auto"/>
                  </w:divBdr>
                </w:div>
                <w:div w:id="1938709236">
                  <w:marLeft w:val="480"/>
                  <w:marRight w:val="0"/>
                  <w:marTop w:val="0"/>
                  <w:marBottom w:val="0"/>
                  <w:divBdr>
                    <w:top w:val="none" w:sz="0" w:space="0" w:color="auto"/>
                    <w:left w:val="none" w:sz="0" w:space="0" w:color="auto"/>
                    <w:bottom w:val="none" w:sz="0" w:space="0" w:color="auto"/>
                    <w:right w:val="none" w:sz="0" w:space="0" w:color="auto"/>
                  </w:divBdr>
                </w:div>
                <w:div w:id="1964269520">
                  <w:marLeft w:val="480"/>
                  <w:marRight w:val="0"/>
                  <w:marTop w:val="0"/>
                  <w:marBottom w:val="0"/>
                  <w:divBdr>
                    <w:top w:val="none" w:sz="0" w:space="0" w:color="auto"/>
                    <w:left w:val="none" w:sz="0" w:space="0" w:color="auto"/>
                    <w:bottom w:val="none" w:sz="0" w:space="0" w:color="auto"/>
                    <w:right w:val="none" w:sz="0" w:space="0" w:color="auto"/>
                  </w:divBdr>
                </w:div>
                <w:div w:id="1798142763">
                  <w:marLeft w:val="480"/>
                  <w:marRight w:val="0"/>
                  <w:marTop w:val="0"/>
                  <w:marBottom w:val="0"/>
                  <w:divBdr>
                    <w:top w:val="none" w:sz="0" w:space="0" w:color="auto"/>
                    <w:left w:val="none" w:sz="0" w:space="0" w:color="auto"/>
                    <w:bottom w:val="none" w:sz="0" w:space="0" w:color="auto"/>
                    <w:right w:val="none" w:sz="0" w:space="0" w:color="auto"/>
                  </w:divBdr>
                </w:div>
                <w:div w:id="771320951">
                  <w:marLeft w:val="480"/>
                  <w:marRight w:val="0"/>
                  <w:marTop w:val="0"/>
                  <w:marBottom w:val="0"/>
                  <w:divBdr>
                    <w:top w:val="none" w:sz="0" w:space="0" w:color="auto"/>
                    <w:left w:val="none" w:sz="0" w:space="0" w:color="auto"/>
                    <w:bottom w:val="none" w:sz="0" w:space="0" w:color="auto"/>
                    <w:right w:val="none" w:sz="0" w:space="0" w:color="auto"/>
                  </w:divBdr>
                </w:div>
                <w:div w:id="1053583590">
                  <w:marLeft w:val="480"/>
                  <w:marRight w:val="0"/>
                  <w:marTop w:val="0"/>
                  <w:marBottom w:val="0"/>
                  <w:divBdr>
                    <w:top w:val="none" w:sz="0" w:space="0" w:color="auto"/>
                    <w:left w:val="none" w:sz="0" w:space="0" w:color="auto"/>
                    <w:bottom w:val="none" w:sz="0" w:space="0" w:color="auto"/>
                    <w:right w:val="none" w:sz="0" w:space="0" w:color="auto"/>
                  </w:divBdr>
                </w:div>
                <w:div w:id="309286865">
                  <w:marLeft w:val="480"/>
                  <w:marRight w:val="0"/>
                  <w:marTop w:val="0"/>
                  <w:marBottom w:val="0"/>
                  <w:divBdr>
                    <w:top w:val="none" w:sz="0" w:space="0" w:color="auto"/>
                    <w:left w:val="none" w:sz="0" w:space="0" w:color="auto"/>
                    <w:bottom w:val="none" w:sz="0" w:space="0" w:color="auto"/>
                    <w:right w:val="none" w:sz="0" w:space="0" w:color="auto"/>
                  </w:divBdr>
                </w:div>
                <w:div w:id="1949309669">
                  <w:marLeft w:val="480"/>
                  <w:marRight w:val="0"/>
                  <w:marTop w:val="0"/>
                  <w:marBottom w:val="0"/>
                  <w:divBdr>
                    <w:top w:val="none" w:sz="0" w:space="0" w:color="auto"/>
                    <w:left w:val="none" w:sz="0" w:space="0" w:color="auto"/>
                    <w:bottom w:val="none" w:sz="0" w:space="0" w:color="auto"/>
                    <w:right w:val="none" w:sz="0" w:space="0" w:color="auto"/>
                  </w:divBdr>
                </w:div>
                <w:div w:id="405419352">
                  <w:marLeft w:val="480"/>
                  <w:marRight w:val="0"/>
                  <w:marTop w:val="0"/>
                  <w:marBottom w:val="0"/>
                  <w:divBdr>
                    <w:top w:val="none" w:sz="0" w:space="0" w:color="auto"/>
                    <w:left w:val="none" w:sz="0" w:space="0" w:color="auto"/>
                    <w:bottom w:val="none" w:sz="0" w:space="0" w:color="auto"/>
                    <w:right w:val="none" w:sz="0" w:space="0" w:color="auto"/>
                  </w:divBdr>
                </w:div>
                <w:div w:id="1421104931">
                  <w:marLeft w:val="480"/>
                  <w:marRight w:val="0"/>
                  <w:marTop w:val="0"/>
                  <w:marBottom w:val="0"/>
                  <w:divBdr>
                    <w:top w:val="none" w:sz="0" w:space="0" w:color="auto"/>
                    <w:left w:val="none" w:sz="0" w:space="0" w:color="auto"/>
                    <w:bottom w:val="none" w:sz="0" w:space="0" w:color="auto"/>
                    <w:right w:val="none" w:sz="0" w:space="0" w:color="auto"/>
                  </w:divBdr>
                </w:div>
                <w:div w:id="1839729401">
                  <w:marLeft w:val="480"/>
                  <w:marRight w:val="0"/>
                  <w:marTop w:val="0"/>
                  <w:marBottom w:val="0"/>
                  <w:divBdr>
                    <w:top w:val="none" w:sz="0" w:space="0" w:color="auto"/>
                    <w:left w:val="none" w:sz="0" w:space="0" w:color="auto"/>
                    <w:bottom w:val="none" w:sz="0" w:space="0" w:color="auto"/>
                    <w:right w:val="none" w:sz="0" w:space="0" w:color="auto"/>
                  </w:divBdr>
                </w:div>
                <w:div w:id="1431271001">
                  <w:marLeft w:val="480"/>
                  <w:marRight w:val="0"/>
                  <w:marTop w:val="0"/>
                  <w:marBottom w:val="0"/>
                  <w:divBdr>
                    <w:top w:val="none" w:sz="0" w:space="0" w:color="auto"/>
                    <w:left w:val="none" w:sz="0" w:space="0" w:color="auto"/>
                    <w:bottom w:val="none" w:sz="0" w:space="0" w:color="auto"/>
                    <w:right w:val="none" w:sz="0" w:space="0" w:color="auto"/>
                  </w:divBdr>
                </w:div>
                <w:div w:id="585503001">
                  <w:marLeft w:val="480"/>
                  <w:marRight w:val="0"/>
                  <w:marTop w:val="0"/>
                  <w:marBottom w:val="0"/>
                  <w:divBdr>
                    <w:top w:val="none" w:sz="0" w:space="0" w:color="auto"/>
                    <w:left w:val="none" w:sz="0" w:space="0" w:color="auto"/>
                    <w:bottom w:val="none" w:sz="0" w:space="0" w:color="auto"/>
                    <w:right w:val="none" w:sz="0" w:space="0" w:color="auto"/>
                  </w:divBdr>
                </w:div>
                <w:div w:id="724182126">
                  <w:marLeft w:val="480"/>
                  <w:marRight w:val="0"/>
                  <w:marTop w:val="0"/>
                  <w:marBottom w:val="0"/>
                  <w:divBdr>
                    <w:top w:val="none" w:sz="0" w:space="0" w:color="auto"/>
                    <w:left w:val="none" w:sz="0" w:space="0" w:color="auto"/>
                    <w:bottom w:val="none" w:sz="0" w:space="0" w:color="auto"/>
                    <w:right w:val="none" w:sz="0" w:space="0" w:color="auto"/>
                  </w:divBdr>
                </w:div>
                <w:div w:id="2069911237">
                  <w:marLeft w:val="480"/>
                  <w:marRight w:val="0"/>
                  <w:marTop w:val="0"/>
                  <w:marBottom w:val="0"/>
                  <w:divBdr>
                    <w:top w:val="none" w:sz="0" w:space="0" w:color="auto"/>
                    <w:left w:val="none" w:sz="0" w:space="0" w:color="auto"/>
                    <w:bottom w:val="none" w:sz="0" w:space="0" w:color="auto"/>
                    <w:right w:val="none" w:sz="0" w:space="0" w:color="auto"/>
                  </w:divBdr>
                </w:div>
                <w:div w:id="898781196">
                  <w:marLeft w:val="480"/>
                  <w:marRight w:val="0"/>
                  <w:marTop w:val="0"/>
                  <w:marBottom w:val="0"/>
                  <w:divBdr>
                    <w:top w:val="none" w:sz="0" w:space="0" w:color="auto"/>
                    <w:left w:val="none" w:sz="0" w:space="0" w:color="auto"/>
                    <w:bottom w:val="none" w:sz="0" w:space="0" w:color="auto"/>
                    <w:right w:val="none" w:sz="0" w:space="0" w:color="auto"/>
                  </w:divBdr>
                </w:div>
                <w:div w:id="454561709">
                  <w:marLeft w:val="480"/>
                  <w:marRight w:val="0"/>
                  <w:marTop w:val="0"/>
                  <w:marBottom w:val="0"/>
                  <w:divBdr>
                    <w:top w:val="none" w:sz="0" w:space="0" w:color="auto"/>
                    <w:left w:val="none" w:sz="0" w:space="0" w:color="auto"/>
                    <w:bottom w:val="none" w:sz="0" w:space="0" w:color="auto"/>
                    <w:right w:val="none" w:sz="0" w:space="0" w:color="auto"/>
                  </w:divBdr>
                </w:div>
                <w:div w:id="1384480560">
                  <w:marLeft w:val="480"/>
                  <w:marRight w:val="0"/>
                  <w:marTop w:val="0"/>
                  <w:marBottom w:val="0"/>
                  <w:divBdr>
                    <w:top w:val="none" w:sz="0" w:space="0" w:color="auto"/>
                    <w:left w:val="none" w:sz="0" w:space="0" w:color="auto"/>
                    <w:bottom w:val="none" w:sz="0" w:space="0" w:color="auto"/>
                    <w:right w:val="none" w:sz="0" w:space="0" w:color="auto"/>
                  </w:divBdr>
                </w:div>
                <w:div w:id="585841393">
                  <w:marLeft w:val="480"/>
                  <w:marRight w:val="0"/>
                  <w:marTop w:val="0"/>
                  <w:marBottom w:val="0"/>
                  <w:divBdr>
                    <w:top w:val="none" w:sz="0" w:space="0" w:color="auto"/>
                    <w:left w:val="none" w:sz="0" w:space="0" w:color="auto"/>
                    <w:bottom w:val="none" w:sz="0" w:space="0" w:color="auto"/>
                    <w:right w:val="none" w:sz="0" w:space="0" w:color="auto"/>
                  </w:divBdr>
                </w:div>
                <w:div w:id="1351223408">
                  <w:marLeft w:val="480"/>
                  <w:marRight w:val="0"/>
                  <w:marTop w:val="0"/>
                  <w:marBottom w:val="0"/>
                  <w:divBdr>
                    <w:top w:val="none" w:sz="0" w:space="0" w:color="auto"/>
                    <w:left w:val="none" w:sz="0" w:space="0" w:color="auto"/>
                    <w:bottom w:val="none" w:sz="0" w:space="0" w:color="auto"/>
                    <w:right w:val="none" w:sz="0" w:space="0" w:color="auto"/>
                  </w:divBdr>
                </w:div>
                <w:div w:id="123012495">
                  <w:marLeft w:val="480"/>
                  <w:marRight w:val="0"/>
                  <w:marTop w:val="0"/>
                  <w:marBottom w:val="0"/>
                  <w:divBdr>
                    <w:top w:val="none" w:sz="0" w:space="0" w:color="auto"/>
                    <w:left w:val="none" w:sz="0" w:space="0" w:color="auto"/>
                    <w:bottom w:val="none" w:sz="0" w:space="0" w:color="auto"/>
                    <w:right w:val="none" w:sz="0" w:space="0" w:color="auto"/>
                  </w:divBdr>
                </w:div>
                <w:div w:id="839463055">
                  <w:marLeft w:val="480"/>
                  <w:marRight w:val="0"/>
                  <w:marTop w:val="0"/>
                  <w:marBottom w:val="0"/>
                  <w:divBdr>
                    <w:top w:val="none" w:sz="0" w:space="0" w:color="auto"/>
                    <w:left w:val="none" w:sz="0" w:space="0" w:color="auto"/>
                    <w:bottom w:val="none" w:sz="0" w:space="0" w:color="auto"/>
                    <w:right w:val="none" w:sz="0" w:space="0" w:color="auto"/>
                  </w:divBdr>
                </w:div>
                <w:div w:id="1501194790">
                  <w:marLeft w:val="480"/>
                  <w:marRight w:val="0"/>
                  <w:marTop w:val="0"/>
                  <w:marBottom w:val="0"/>
                  <w:divBdr>
                    <w:top w:val="none" w:sz="0" w:space="0" w:color="auto"/>
                    <w:left w:val="none" w:sz="0" w:space="0" w:color="auto"/>
                    <w:bottom w:val="none" w:sz="0" w:space="0" w:color="auto"/>
                    <w:right w:val="none" w:sz="0" w:space="0" w:color="auto"/>
                  </w:divBdr>
                </w:div>
                <w:div w:id="145098699">
                  <w:marLeft w:val="480"/>
                  <w:marRight w:val="0"/>
                  <w:marTop w:val="0"/>
                  <w:marBottom w:val="0"/>
                  <w:divBdr>
                    <w:top w:val="none" w:sz="0" w:space="0" w:color="auto"/>
                    <w:left w:val="none" w:sz="0" w:space="0" w:color="auto"/>
                    <w:bottom w:val="none" w:sz="0" w:space="0" w:color="auto"/>
                    <w:right w:val="none" w:sz="0" w:space="0" w:color="auto"/>
                  </w:divBdr>
                </w:div>
                <w:div w:id="1754661652">
                  <w:marLeft w:val="480"/>
                  <w:marRight w:val="0"/>
                  <w:marTop w:val="0"/>
                  <w:marBottom w:val="0"/>
                  <w:divBdr>
                    <w:top w:val="none" w:sz="0" w:space="0" w:color="auto"/>
                    <w:left w:val="none" w:sz="0" w:space="0" w:color="auto"/>
                    <w:bottom w:val="none" w:sz="0" w:space="0" w:color="auto"/>
                    <w:right w:val="none" w:sz="0" w:space="0" w:color="auto"/>
                  </w:divBdr>
                </w:div>
                <w:div w:id="1480926239">
                  <w:marLeft w:val="480"/>
                  <w:marRight w:val="0"/>
                  <w:marTop w:val="0"/>
                  <w:marBottom w:val="0"/>
                  <w:divBdr>
                    <w:top w:val="none" w:sz="0" w:space="0" w:color="auto"/>
                    <w:left w:val="none" w:sz="0" w:space="0" w:color="auto"/>
                    <w:bottom w:val="none" w:sz="0" w:space="0" w:color="auto"/>
                    <w:right w:val="none" w:sz="0" w:space="0" w:color="auto"/>
                  </w:divBdr>
                </w:div>
                <w:div w:id="675617021">
                  <w:marLeft w:val="480"/>
                  <w:marRight w:val="0"/>
                  <w:marTop w:val="0"/>
                  <w:marBottom w:val="0"/>
                  <w:divBdr>
                    <w:top w:val="none" w:sz="0" w:space="0" w:color="auto"/>
                    <w:left w:val="none" w:sz="0" w:space="0" w:color="auto"/>
                    <w:bottom w:val="none" w:sz="0" w:space="0" w:color="auto"/>
                    <w:right w:val="none" w:sz="0" w:space="0" w:color="auto"/>
                  </w:divBdr>
                </w:div>
                <w:div w:id="1419061440">
                  <w:marLeft w:val="480"/>
                  <w:marRight w:val="0"/>
                  <w:marTop w:val="0"/>
                  <w:marBottom w:val="0"/>
                  <w:divBdr>
                    <w:top w:val="none" w:sz="0" w:space="0" w:color="auto"/>
                    <w:left w:val="none" w:sz="0" w:space="0" w:color="auto"/>
                    <w:bottom w:val="none" w:sz="0" w:space="0" w:color="auto"/>
                    <w:right w:val="none" w:sz="0" w:space="0" w:color="auto"/>
                  </w:divBdr>
                </w:div>
                <w:div w:id="1818104527">
                  <w:marLeft w:val="480"/>
                  <w:marRight w:val="0"/>
                  <w:marTop w:val="0"/>
                  <w:marBottom w:val="0"/>
                  <w:divBdr>
                    <w:top w:val="none" w:sz="0" w:space="0" w:color="auto"/>
                    <w:left w:val="none" w:sz="0" w:space="0" w:color="auto"/>
                    <w:bottom w:val="none" w:sz="0" w:space="0" w:color="auto"/>
                    <w:right w:val="none" w:sz="0" w:space="0" w:color="auto"/>
                  </w:divBdr>
                </w:div>
                <w:div w:id="1648900539">
                  <w:marLeft w:val="480"/>
                  <w:marRight w:val="0"/>
                  <w:marTop w:val="0"/>
                  <w:marBottom w:val="0"/>
                  <w:divBdr>
                    <w:top w:val="none" w:sz="0" w:space="0" w:color="auto"/>
                    <w:left w:val="none" w:sz="0" w:space="0" w:color="auto"/>
                    <w:bottom w:val="none" w:sz="0" w:space="0" w:color="auto"/>
                    <w:right w:val="none" w:sz="0" w:space="0" w:color="auto"/>
                  </w:divBdr>
                </w:div>
                <w:div w:id="1110009727">
                  <w:marLeft w:val="480"/>
                  <w:marRight w:val="0"/>
                  <w:marTop w:val="0"/>
                  <w:marBottom w:val="0"/>
                  <w:divBdr>
                    <w:top w:val="none" w:sz="0" w:space="0" w:color="auto"/>
                    <w:left w:val="none" w:sz="0" w:space="0" w:color="auto"/>
                    <w:bottom w:val="none" w:sz="0" w:space="0" w:color="auto"/>
                    <w:right w:val="none" w:sz="0" w:space="0" w:color="auto"/>
                  </w:divBdr>
                </w:div>
                <w:div w:id="740644342">
                  <w:marLeft w:val="480"/>
                  <w:marRight w:val="0"/>
                  <w:marTop w:val="0"/>
                  <w:marBottom w:val="0"/>
                  <w:divBdr>
                    <w:top w:val="none" w:sz="0" w:space="0" w:color="auto"/>
                    <w:left w:val="none" w:sz="0" w:space="0" w:color="auto"/>
                    <w:bottom w:val="none" w:sz="0" w:space="0" w:color="auto"/>
                    <w:right w:val="none" w:sz="0" w:space="0" w:color="auto"/>
                  </w:divBdr>
                </w:div>
                <w:div w:id="1976446134">
                  <w:marLeft w:val="480"/>
                  <w:marRight w:val="0"/>
                  <w:marTop w:val="0"/>
                  <w:marBottom w:val="0"/>
                  <w:divBdr>
                    <w:top w:val="none" w:sz="0" w:space="0" w:color="auto"/>
                    <w:left w:val="none" w:sz="0" w:space="0" w:color="auto"/>
                    <w:bottom w:val="none" w:sz="0" w:space="0" w:color="auto"/>
                    <w:right w:val="none" w:sz="0" w:space="0" w:color="auto"/>
                  </w:divBdr>
                </w:div>
                <w:div w:id="1547638608">
                  <w:marLeft w:val="480"/>
                  <w:marRight w:val="0"/>
                  <w:marTop w:val="0"/>
                  <w:marBottom w:val="0"/>
                  <w:divBdr>
                    <w:top w:val="none" w:sz="0" w:space="0" w:color="auto"/>
                    <w:left w:val="none" w:sz="0" w:space="0" w:color="auto"/>
                    <w:bottom w:val="none" w:sz="0" w:space="0" w:color="auto"/>
                    <w:right w:val="none" w:sz="0" w:space="0" w:color="auto"/>
                  </w:divBdr>
                </w:div>
              </w:divsChild>
            </w:div>
            <w:div w:id="1425103199">
              <w:marLeft w:val="0"/>
              <w:marRight w:val="0"/>
              <w:marTop w:val="0"/>
              <w:marBottom w:val="0"/>
              <w:divBdr>
                <w:top w:val="none" w:sz="0" w:space="0" w:color="auto"/>
                <w:left w:val="none" w:sz="0" w:space="0" w:color="auto"/>
                <w:bottom w:val="none" w:sz="0" w:space="0" w:color="auto"/>
                <w:right w:val="none" w:sz="0" w:space="0" w:color="auto"/>
              </w:divBdr>
              <w:divsChild>
                <w:div w:id="1085298573">
                  <w:marLeft w:val="480"/>
                  <w:marRight w:val="0"/>
                  <w:marTop w:val="0"/>
                  <w:marBottom w:val="0"/>
                  <w:divBdr>
                    <w:top w:val="none" w:sz="0" w:space="0" w:color="auto"/>
                    <w:left w:val="none" w:sz="0" w:space="0" w:color="auto"/>
                    <w:bottom w:val="none" w:sz="0" w:space="0" w:color="auto"/>
                    <w:right w:val="none" w:sz="0" w:space="0" w:color="auto"/>
                  </w:divBdr>
                </w:div>
                <w:div w:id="695696447">
                  <w:marLeft w:val="480"/>
                  <w:marRight w:val="0"/>
                  <w:marTop w:val="0"/>
                  <w:marBottom w:val="0"/>
                  <w:divBdr>
                    <w:top w:val="none" w:sz="0" w:space="0" w:color="auto"/>
                    <w:left w:val="none" w:sz="0" w:space="0" w:color="auto"/>
                    <w:bottom w:val="none" w:sz="0" w:space="0" w:color="auto"/>
                    <w:right w:val="none" w:sz="0" w:space="0" w:color="auto"/>
                  </w:divBdr>
                </w:div>
                <w:div w:id="177736030">
                  <w:marLeft w:val="480"/>
                  <w:marRight w:val="0"/>
                  <w:marTop w:val="0"/>
                  <w:marBottom w:val="0"/>
                  <w:divBdr>
                    <w:top w:val="none" w:sz="0" w:space="0" w:color="auto"/>
                    <w:left w:val="none" w:sz="0" w:space="0" w:color="auto"/>
                    <w:bottom w:val="none" w:sz="0" w:space="0" w:color="auto"/>
                    <w:right w:val="none" w:sz="0" w:space="0" w:color="auto"/>
                  </w:divBdr>
                </w:div>
                <w:div w:id="1057968654">
                  <w:marLeft w:val="480"/>
                  <w:marRight w:val="0"/>
                  <w:marTop w:val="0"/>
                  <w:marBottom w:val="0"/>
                  <w:divBdr>
                    <w:top w:val="none" w:sz="0" w:space="0" w:color="auto"/>
                    <w:left w:val="none" w:sz="0" w:space="0" w:color="auto"/>
                    <w:bottom w:val="none" w:sz="0" w:space="0" w:color="auto"/>
                    <w:right w:val="none" w:sz="0" w:space="0" w:color="auto"/>
                  </w:divBdr>
                </w:div>
                <w:div w:id="1369911274">
                  <w:marLeft w:val="480"/>
                  <w:marRight w:val="0"/>
                  <w:marTop w:val="0"/>
                  <w:marBottom w:val="0"/>
                  <w:divBdr>
                    <w:top w:val="none" w:sz="0" w:space="0" w:color="auto"/>
                    <w:left w:val="none" w:sz="0" w:space="0" w:color="auto"/>
                    <w:bottom w:val="none" w:sz="0" w:space="0" w:color="auto"/>
                    <w:right w:val="none" w:sz="0" w:space="0" w:color="auto"/>
                  </w:divBdr>
                </w:div>
                <w:div w:id="319580057">
                  <w:marLeft w:val="480"/>
                  <w:marRight w:val="0"/>
                  <w:marTop w:val="0"/>
                  <w:marBottom w:val="0"/>
                  <w:divBdr>
                    <w:top w:val="none" w:sz="0" w:space="0" w:color="auto"/>
                    <w:left w:val="none" w:sz="0" w:space="0" w:color="auto"/>
                    <w:bottom w:val="none" w:sz="0" w:space="0" w:color="auto"/>
                    <w:right w:val="none" w:sz="0" w:space="0" w:color="auto"/>
                  </w:divBdr>
                </w:div>
                <w:div w:id="1152451352">
                  <w:marLeft w:val="480"/>
                  <w:marRight w:val="0"/>
                  <w:marTop w:val="0"/>
                  <w:marBottom w:val="0"/>
                  <w:divBdr>
                    <w:top w:val="none" w:sz="0" w:space="0" w:color="auto"/>
                    <w:left w:val="none" w:sz="0" w:space="0" w:color="auto"/>
                    <w:bottom w:val="none" w:sz="0" w:space="0" w:color="auto"/>
                    <w:right w:val="none" w:sz="0" w:space="0" w:color="auto"/>
                  </w:divBdr>
                </w:div>
                <w:div w:id="1583489205">
                  <w:marLeft w:val="480"/>
                  <w:marRight w:val="0"/>
                  <w:marTop w:val="0"/>
                  <w:marBottom w:val="0"/>
                  <w:divBdr>
                    <w:top w:val="none" w:sz="0" w:space="0" w:color="auto"/>
                    <w:left w:val="none" w:sz="0" w:space="0" w:color="auto"/>
                    <w:bottom w:val="none" w:sz="0" w:space="0" w:color="auto"/>
                    <w:right w:val="none" w:sz="0" w:space="0" w:color="auto"/>
                  </w:divBdr>
                </w:div>
                <w:div w:id="1775439900">
                  <w:marLeft w:val="480"/>
                  <w:marRight w:val="0"/>
                  <w:marTop w:val="0"/>
                  <w:marBottom w:val="0"/>
                  <w:divBdr>
                    <w:top w:val="none" w:sz="0" w:space="0" w:color="auto"/>
                    <w:left w:val="none" w:sz="0" w:space="0" w:color="auto"/>
                    <w:bottom w:val="none" w:sz="0" w:space="0" w:color="auto"/>
                    <w:right w:val="none" w:sz="0" w:space="0" w:color="auto"/>
                  </w:divBdr>
                </w:div>
                <w:div w:id="1901288800">
                  <w:marLeft w:val="480"/>
                  <w:marRight w:val="0"/>
                  <w:marTop w:val="0"/>
                  <w:marBottom w:val="0"/>
                  <w:divBdr>
                    <w:top w:val="none" w:sz="0" w:space="0" w:color="auto"/>
                    <w:left w:val="none" w:sz="0" w:space="0" w:color="auto"/>
                    <w:bottom w:val="none" w:sz="0" w:space="0" w:color="auto"/>
                    <w:right w:val="none" w:sz="0" w:space="0" w:color="auto"/>
                  </w:divBdr>
                </w:div>
                <w:div w:id="95831347">
                  <w:marLeft w:val="480"/>
                  <w:marRight w:val="0"/>
                  <w:marTop w:val="0"/>
                  <w:marBottom w:val="0"/>
                  <w:divBdr>
                    <w:top w:val="none" w:sz="0" w:space="0" w:color="auto"/>
                    <w:left w:val="none" w:sz="0" w:space="0" w:color="auto"/>
                    <w:bottom w:val="none" w:sz="0" w:space="0" w:color="auto"/>
                    <w:right w:val="none" w:sz="0" w:space="0" w:color="auto"/>
                  </w:divBdr>
                </w:div>
                <w:div w:id="1146706801">
                  <w:marLeft w:val="480"/>
                  <w:marRight w:val="0"/>
                  <w:marTop w:val="0"/>
                  <w:marBottom w:val="0"/>
                  <w:divBdr>
                    <w:top w:val="none" w:sz="0" w:space="0" w:color="auto"/>
                    <w:left w:val="none" w:sz="0" w:space="0" w:color="auto"/>
                    <w:bottom w:val="none" w:sz="0" w:space="0" w:color="auto"/>
                    <w:right w:val="none" w:sz="0" w:space="0" w:color="auto"/>
                  </w:divBdr>
                </w:div>
                <w:div w:id="1891450865">
                  <w:marLeft w:val="480"/>
                  <w:marRight w:val="0"/>
                  <w:marTop w:val="0"/>
                  <w:marBottom w:val="0"/>
                  <w:divBdr>
                    <w:top w:val="none" w:sz="0" w:space="0" w:color="auto"/>
                    <w:left w:val="none" w:sz="0" w:space="0" w:color="auto"/>
                    <w:bottom w:val="none" w:sz="0" w:space="0" w:color="auto"/>
                    <w:right w:val="none" w:sz="0" w:space="0" w:color="auto"/>
                  </w:divBdr>
                </w:div>
                <w:div w:id="1458521689">
                  <w:marLeft w:val="480"/>
                  <w:marRight w:val="0"/>
                  <w:marTop w:val="0"/>
                  <w:marBottom w:val="0"/>
                  <w:divBdr>
                    <w:top w:val="none" w:sz="0" w:space="0" w:color="auto"/>
                    <w:left w:val="none" w:sz="0" w:space="0" w:color="auto"/>
                    <w:bottom w:val="none" w:sz="0" w:space="0" w:color="auto"/>
                    <w:right w:val="none" w:sz="0" w:space="0" w:color="auto"/>
                  </w:divBdr>
                </w:div>
                <w:div w:id="1459449070">
                  <w:marLeft w:val="480"/>
                  <w:marRight w:val="0"/>
                  <w:marTop w:val="0"/>
                  <w:marBottom w:val="0"/>
                  <w:divBdr>
                    <w:top w:val="none" w:sz="0" w:space="0" w:color="auto"/>
                    <w:left w:val="none" w:sz="0" w:space="0" w:color="auto"/>
                    <w:bottom w:val="none" w:sz="0" w:space="0" w:color="auto"/>
                    <w:right w:val="none" w:sz="0" w:space="0" w:color="auto"/>
                  </w:divBdr>
                </w:div>
                <w:div w:id="1987467849">
                  <w:marLeft w:val="480"/>
                  <w:marRight w:val="0"/>
                  <w:marTop w:val="0"/>
                  <w:marBottom w:val="0"/>
                  <w:divBdr>
                    <w:top w:val="none" w:sz="0" w:space="0" w:color="auto"/>
                    <w:left w:val="none" w:sz="0" w:space="0" w:color="auto"/>
                    <w:bottom w:val="none" w:sz="0" w:space="0" w:color="auto"/>
                    <w:right w:val="none" w:sz="0" w:space="0" w:color="auto"/>
                  </w:divBdr>
                </w:div>
                <w:div w:id="1648624965">
                  <w:marLeft w:val="480"/>
                  <w:marRight w:val="0"/>
                  <w:marTop w:val="0"/>
                  <w:marBottom w:val="0"/>
                  <w:divBdr>
                    <w:top w:val="none" w:sz="0" w:space="0" w:color="auto"/>
                    <w:left w:val="none" w:sz="0" w:space="0" w:color="auto"/>
                    <w:bottom w:val="none" w:sz="0" w:space="0" w:color="auto"/>
                    <w:right w:val="none" w:sz="0" w:space="0" w:color="auto"/>
                  </w:divBdr>
                </w:div>
                <w:div w:id="1063529936">
                  <w:marLeft w:val="480"/>
                  <w:marRight w:val="0"/>
                  <w:marTop w:val="0"/>
                  <w:marBottom w:val="0"/>
                  <w:divBdr>
                    <w:top w:val="none" w:sz="0" w:space="0" w:color="auto"/>
                    <w:left w:val="none" w:sz="0" w:space="0" w:color="auto"/>
                    <w:bottom w:val="none" w:sz="0" w:space="0" w:color="auto"/>
                    <w:right w:val="none" w:sz="0" w:space="0" w:color="auto"/>
                  </w:divBdr>
                </w:div>
                <w:div w:id="855996169">
                  <w:marLeft w:val="480"/>
                  <w:marRight w:val="0"/>
                  <w:marTop w:val="0"/>
                  <w:marBottom w:val="0"/>
                  <w:divBdr>
                    <w:top w:val="none" w:sz="0" w:space="0" w:color="auto"/>
                    <w:left w:val="none" w:sz="0" w:space="0" w:color="auto"/>
                    <w:bottom w:val="none" w:sz="0" w:space="0" w:color="auto"/>
                    <w:right w:val="none" w:sz="0" w:space="0" w:color="auto"/>
                  </w:divBdr>
                </w:div>
                <w:div w:id="892883050">
                  <w:marLeft w:val="480"/>
                  <w:marRight w:val="0"/>
                  <w:marTop w:val="0"/>
                  <w:marBottom w:val="0"/>
                  <w:divBdr>
                    <w:top w:val="none" w:sz="0" w:space="0" w:color="auto"/>
                    <w:left w:val="none" w:sz="0" w:space="0" w:color="auto"/>
                    <w:bottom w:val="none" w:sz="0" w:space="0" w:color="auto"/>
                    <w:right w:val="none" w:sz="0" w:space="0" w:color="auto"/>
                  </w:divBdr>
                </w:div>
                <w:div w:id="10648716">
                  <w:marLeft w:val="480"/>
                  <w:marRight w:val="0"/>
                  <w:marTop w:val="0"/>
                  <w:marBottom w:val="0"/>
                  <w:divBdr>
                    <w:top w:val="none" w:sz="0" w:space="0" w:color="auto"/>
                    <w:left w:val="none" w:sz="0" w:space="0" w:color="auto"/>
                    <w:bottom w:val="none" w:sz="0" w:space="0" w:color="auto"/>
                    <w:right w:val="none" w:sz="0" w:space="0" w:color="auto"/>
                  </w:divBdr>
                </w:div>
                <w:div w:id="1305619926">
                  <w:marLeft w:val="480"/>
                  <w:marRight w:val="0"/>
                  <w:marTop w:val="0"/>
                  <w:marBottom w:val="0"/>
                  <w:divBdr>
                    <w:top w:val="none" w:sz="0" w:space="0" w:color="auto"/>
                    <w:left w:val="none" w:sz="0" w:space="0" w:color="auto"/>
                    <w:bottom w:val="none" w:sz="0" w:space="0" w:color="auto"/>
                    <w:right w:val="none" w:sz="0" w:space="0" w:color="auto"/>
                  </w:divBdr>
                </w:div>
                <w:div w:id="537359760">
                  <w:marLeft w:val="480"/>
                  <w:marRight w:val="0"/>
                  <w:marTop w:val="0"/>
                  <w:marBottom w:val="0"/>
                  <w:divBdr>
                    <w:top w:val="none" w:sz="0" w:space="0" w:color="auto"/>
                    <w:left w:val="none" w:sz="0" w:space="0" w:color="auto"/>
                    <w:bottom w:val="none" w:sz="0" w:space="0" w:color="auto"/>
                    <w:right w:val="none" w:sz="0" w:space="0" w:color="auto"/>
                  </w:divBdr>
                </w:div>
                <w:div w:id="1387415997">
                  <w:marLeft w:val="480"/>
                  <w:marRight w:val="0"/>
                  <w:marTop w:val="0"/>
                  <w:marBottom w:val="0"/>
                  <w:divBdr>
                    <w:top w:val="none" w:sz="0" w:space="0" w:color="auto"/>
                    <w:left w:val="none" w:sz="0" w:space="0" w:color="auto"/>
                    <w:bottom w:val="none" w:sz="0" w:space="0" w:color="auto"/>
                    <w:right w:val="none" w:sz="0" w:space="0" w:color="auto"/>
                  </w:divBdr>
                </w:div>
                <w:div w:id="931281954">
                  <w:marLeft w:val="480"/>
                  <w:marRight w:val="0"/>
                  <w:marTop w:val="0"/>
                  <w:marBottom w:val="0"/>
                  <w:divBdr>
                    <w:top w:val="none" w:sz="0" w:space="0" w:color="auto"/>
                    <w:left w:val="none" w:sz="0" w:space="0" w:color="auto"/>
                    <w:bottom w:val="none" w:sz="0" w:space="0" w:color="auto"/>
                    <w:right w:val="none" w:sz="0" w:space="0" w:color="auto"/>
                  </w:divBdr>
                </w:div>
                <w:div w:id="1663117542">
                  <w:marLeft w:val="480"/>
                  <w:marRight w:val="0"/>
                  <w:marTop w:val="0"/>
                  <w:marBottom w:val="0"/>
                  <w:divBdr>
                    <w:top w:val="none" w:sz="0" w:space="0" w:color="auto"/>
                    <w:left w:val="none" w:sz="0" w:space="0" w:color="auto"/>
                    <w:bottom w:val="none" w:sz="0" w:space="0" w:color="auto"/>
                    <w:right w:val="none" w:sz="0" w:space="0" w:color="auto"/>
                  </w:divBdr>
                </w:div>
                <w:div w:id="1594049067">
                  <w:marLeft w:val="480"/>
                  <w:marRight w:val="0"/>
                  <w:marTop w:val="0"/>
                  <w:marBottom w:val="0"/>
                  <w:divBdr>
                    <w:top w:val="none" w:sz="0" w:space="0" w:color="auto"/>
                    <w:left w:val="none" w:sz="0" w:space="0" w:color="auto"/>
                    <w:bottom w:val="none" w:sz="0" w:space="0" w:color="auto"/>
                    <w:right w:val="none" w:sz="0" w:space="0" w:color="auto"/>
                  </w:divBdr>
                </w:div>
                <w:div w:id="1853183722">
                  <w:marLeft w:val="480"/>
                  <w:marRight w:val="0"/>
                  <w:marTop w:val="0"/>
                  <w:marBottom w:val="0"/>
                  <w:divBdr>
                    <w:top w:val="none" w:sz="0" w:space="0" w:color="auto"/>
                    <w:left w:val="none" w:sz="0" w:space="0" w:color="auto"/>
                    <w:bottom w:val="none" w:sz="0" w:space="0" w:color="auto"/>
                    <w:right w:val="none" w:sz="0" w:space="0" w:color="auto"/>
                  </w:divBdr>
                </w:div>
                <w:div w:id="760219052">
                  <w:marLeft w:val="480"/>
                  <w:marRight w:val="0"/>
                  <w:marTop w:val="0"/>
                  <w:marBottom w:val="0"/>
                  <w:divBdr>
                    <w:top w:val="none" w:sz="0" w:space="0" w:color="auto"/>
                    <w:left w:val="none" w:sz="0" w:space="0" w:color="auto"/>
                    <w:bottom w:val="none" w:sz="0" w:space="0" w:color="auto"/>
                    <w:right w:val="none" w:sz="0" w:space="0" w:color="auto"/>
                  </w:divBdr>
                </w:div>
                <w:div w:id="1998531957">
                  <w:marLeft w:val="480"/>
                  <w:marRight w:val="0"/>
                  <w:marTop w:val="0"/>
                  <w:marBottom w:val="0"/>
                  <w:divBdr>
                    <w:top w:val="none" w:sz="0" w:space="0" w:color="auto"/>
                    <w:left w:val="none" w:sz="0" w:space="0" w:color="auto"/>
                    <w:bottom w:val="none" w:sz="0" w:space="0" w:color="auto"/>
                    <w:right w:val="none" w:sz="0" w:space="0" w:color="auto"/>
                  </w:divBdr>
                </w:div>
                <w:div w:id="1771504629">
                  <w:marLeft w:val="480"/>
                  <w:marRight w:val="0"/>
                  <w:marTop w:val="0"/>
                  <w:marBottom w:val="0"/>
                  <w:divBdr>
                    <w:top w:val="none" w:sz="0" w:space="0" w:color="auto"/>
                    <w:left w:val="none" w:sz="0" w:space="0" w:color="auto"/>
                    <w:bottom w:val="none" w:sz="0" w:space="0" w:color="auto"/>
                    <w:right w:val="none" w:sz="0" w:space="0" w:color="auto"/>
                  </w:divBdr>
                </w:div>
                <w:div w:id="951594556">
                  <w:marLeft w:val="480"/>
                  <w:marRight w:val="0"/>
                  <w:marTop w:val="0"/>
                  <w:marBottom w:val="0"/>
                  <w:divBdr>
                    <w:top w:val="none" w:sz="0" w:space="0" w:color="auto"/>
                    <w:left w:val="none" w:sz="0" w:space="0" w:color="auto"/>
                    <w:bottom w:val="none" w:sz="0" w:space="0" w:color="auto"/>
                    <w:right w:val="none" w:sz="0" w:space="0" w:color="auto"/>
                  </w:divBdr>
                </w:div>
                <w:div w:id="868302334">
                  <w:marLeft w:val="480"/>
                  <w:marRight w:val="0"/>
                  <w:marTop w:val="0"/>
                  <w:marBottom w:val="0"/>
                  <w:divBdr>
                    <w:top w:val="none" w:sz="0" w:space="0" w:color="auto"/>
                    <w:left w:val="none" w:sz="0" w:space="0" w:color="auto"/>
                    <w:bottom w:val="none" w:sz="0" w:space="0" w:color="auto"/>
                    <w:right w:val="none" w:sz="0" w:space="0" w:color="auto"/>
                  </w:divBdr>
                </w:div>
                <w:div w:id="1141460448">
                  <w:marLeft w:val="480"/>
                  <w:marRight w:val="0"/>
                  <w:marTop w:val="0"/>
                  <w:marBottom w:val="0"/>
                  <w:divBdr>
                    <w:top w:val="none" w:sz="0" w:space="0" w:color="auto"/>
                    <w:left w:val="none" w:sz="0" w:space="0" w:color="auto"/>
                    <w:bottom w:val="none" w:sz="0" w:space="0" w:color="auto"/>
                    <w:right w:val="none" w:sz="0" w:space="0" w:color="auto"/>
                  </w:divBdr>
                </w:div>
                <w:div w:id="566232921">
                  <w:marLeft w:val="480"/>
                  <w:marRight w:val="0"/>
                  <w:marTop w:val="0"/>
                  <w:marBottom w:val="0"/>
                  <w:divBdr>
                    <w:top w:val="none" w:sz="0" w:space="0" w:color="auto"/>
                    <w:left w:val="none" w:sz="0" w:space="0" w:color="auto"/>
                    <w:bottom w:val="none" w:sz="0" w:space="0" w:color="auto"/>
                    <w:right w:val="none" w:sz="0" w:space="0" w:color="auto"/>
                  </w:divBdr>
                </w:div>
                <w:div w:id="1677145254">
                  <w:marLeft w:val="480"/>
                  <w:marRight w:val="0"/>
                  <w:marTop w:val="0"/>
                  <w:marBottom w:val="0"/>
                  <w:divBdr>
                    <w:top w:val="none" w:sz="0" w:space="0" w:color="auto"/>
                    <w:left w:val="none" w:sz="0" w:space="0" w:color="auto"/>
                    <w:bottom w:val="none" w:sz="0" w:space="0" w:color="auto"/>
                    <w:right w:val="none" w:sz="0" w:space="0" w:color="auto"/>
                  </w:divBdr>
                </w:div>
                <w:div w:id="496573522">
                  <w:marLeft w:val="480"/>
                  <w:marRight w:val="0"/>
                  <w:marTop w:val="0"/>
                  <w:marBottom w:val="0"/>
                  <w:divBdr>
                    <w:top w:val="none" w:sz="0" w:space="0" w:color="auto"/>
                    <w:left w:val="none" w:sz="0" w:space="0" w:color="auto"/>
                    <w:bottom w:val="none" w:sz="0" w:space="0" w:color="auto"/>
                    <w:right w:val="none" w:sz="0" w:space="0" w:color="auto"/>
                  </w:divBdr>
                </w:div>
                <w:div w:id="1597325871">
                  <w:marLeft w:val="480"/>
                  <w:marRight w:val="0"/>
                  <w:marTop w:val="0"/>
                  <w:marBottom w:val="0"/>
                  <w:divBdr>
                    <w:top w:val="none" w:sz="0" w:space="0" w:color="auto"/>
                    <w:left w:val="none" w:sz="0" w:space="0" w:color="auto"/>
                    <w:bottom w:val="none" w:sz="0" w:space="0" w:color="auto"/>
                    <w:right w:val="none" w:sz="0" w:space="0" w:color="auto"/>
                  </w:divBdr>
                </w:div>
                <w:div w:id="1460605997">
                  <w:marLeft w:val="480"/>
                  <w:marRight w:val="0"/>
                  <w:marTop w:val="0"/>
                  <w:marBottom w:val="0"/>
                  <w:divBdr>
                    <w:top w:val="none" w:sz="0" w:space="0" w:color="auto"/>
                    <w:left w:val="none" w:sz="0" w:space="0" w:color="auto"/>
                    <w:bottom w:val="none" w:sz="0" w:space="0" w:color="auto"/>
                    <w:right w:val="none" w:sz="0" w:space="0" w:color="auto"/>
                  </w:divBdr>
                </w:div>
                <w:div w:id="1336416956">
                  <w:marLeft w:val="480"/>
                  <w:marRight w:val="0"/>
                  <w:marTop w:val="0"/>
                  <w:marBottom w:val="0"/>
                  <w:divBdr>
                    <w:top w:val="none" w:sz="0" w:space="0" w:color="auto"/>
                    <w:left w:val="none" w:sz="0" w:space="0" w:color="auto"/>
                    <w:bottom w:val="none" w:sz="0" w:space="0" w:color="auto"/>
                    <w:right w:val="none" w:sz="0" w:space="0" w:color="auto"/>
                  </w:divBdr>
                </w:div>
                <w:div w:id="299766909">
                  <w:marLeft w:val="480"/>
                  <w:marRight w:val="0"/>
                  <w:marTop w:val="0"/>
                  <w:marBottom w:val="0"/>
                  <w:divBdr>
                    <w:top w:val="none" w:sz="0" w:space="0" w:color="auto"/>
                    <w:left w:val="none" w:sz="0" w:space="0" w:color="auto"/>
                    <w:bottom w:val="none" w:sz="0" w:space="0" w:color="auto"/>
                    <w:right w:val="none" w:sz="0" w:space="0" w:color="auto"/>
                  </w:divBdr>
                </w:div>
                <w:div w:id="562834040">
                  <w:marLeft w:val="480"/>
                  <w:marRight w:val="0"/>
                  <w:marTop w:val="0"/>
                  <w:marBottom w:val="0"/>
                  <w:divBdr>
                    <w:top w:val="none" w:sz="0" w:space="0" w:color="auto"/>
                    <w:left w:val="none" w:sz="0" w:space="0" w:color="auto"/>
                    <w:bottom w:val="none" w:sz="0" w:space="0" w:color="auto"/>
                    <w:right w:val="none" w:sz="0" w:space="0" w:color="auto"/>
                  </w:divBdr>
                </w:div>
                <w:div w:id="1877544123">
                  <w:marLeft w:val="480"/>
                  <w:marRight w:val="0"/>
                  <w:marTop w:val="0"/>
                  <w:marBottom w:val="0"/>
                  <w:divBdr>
                    <w:top w:val="none" w:sz="0" w:space="0" w:color="auto"/>
                    <w:left w:val="none" w:sz="0" w:space="0" w:color="auto"/>
                    <w:bottom w:val="none" w:sz="0" w:space="0" w:color="auto"/>
                    <w:right w:val="none" w:sz="0" w:space="0" w:color="auto"/>
                  </w:divBdr>
                </w:div>
                <w:div w:id="921598854">
                  <w:marLeft w:val="480"/>
                  <w:marRight w:val="0"/>
                  <w:marTop w:val="0"/>
                  <w:marBottom w:val="0"/>
                  <w:divBdr>
                    <w:top w:val="none" w:sz="0" w:space="0" w:color="auto"/>
                    <w:left w:val="none" w:sz="0" w:space="0" w:color="auto"/>
                    <w:bottom w:val="none" w:sz="0" w:space="0" w:color="auto"/>
                    <w:right w:val="none" w:sz="0" w:space="0" w:color="auto"/>
                  </w:divBdr>
                </w:div>
                <w:div w:id="188185068">
                  <w:marLeft w:val="480"/>
                  <w:marRight w:val="0"/>
                  <w:marTop w:val="0"/>
                  <w:marBottom w:val="0"/>
                  <w:divBdr>
                    <w:top w:val="none" w:sz="0" w:space="0" w:color="auto"/>
                    <w:left w:val="none" w:sz="0" w:space="0" w:color="auto"/>
                    <w:bottom w:val="none" w:sz="0" w:space="0" w:color="auto"/>
                    <w:right w:val="none" w:sz="0" w:space="0" w:color="auto"/>
                  </w:divBdr>
                </w:div>
                <w:div w:id="2089382221">
                  <w:marLeft w:val="480"/>
                  <w:marRight w:val="0"/>
                  <w:marTop w:val="0"/>
                  <w:marBottom w:val="0"/>
                  <w:divBdr>
                    <w:top w:val="none" w:sz="0" w:space="0" w:color="auto"/>
                    <w:left w:val="none" w:sz="0" w:space="0" w:color="auto"/>
                    <w:bottom w:val="none" w:sz="0" w:space="0" w:color="auto"/>
                    <w:right w:val="none" w:sz="0" w:space="0" w:color="auto"/>
                  </w:divBdr>
                </w:div>
                <w:div w:id="67726236">
                  <w:marLeft w:val="480"/>
                  <w:marRight w:val="0"/>
                  <w:marTop w:val="0"/>
                  <w:marBottom w:val="0"/>
                  <w:divBdr>
                    <w:top w:val="none" w:sz="0" w:space="0" w:color="auto"/>
                    <w:left w:val="none" w:sz="0" w:space="0" w:color="auto"/>
                    <w:bottom w:val="none" w:sz="0" w:space="0" w:color="auto"/>
                    <w:right w:val="none" w:sz="0" w:space="0" w:color="auto"/>
                  </w:divBdr>
                </w:div>
                <w:div w:id="809174095">
                  <w:marLeft w:val="480"/>
                  <w:marRight w:val="0"/>
                  <w:marTop w:val="0"/>
                  <w:marBottom w:val="0"/>
                  <w:divBdr>
                    <w:top w:val="none" w:sz="0" w:space="0" w:color="auto"/>
                    <w:left w:val="none" w:sz="0" w:space="0" w:color="auto"/>
                    <w:bottom w:val="none" w:sz="0" w:space="0" w:color="auto"/>
                    <w:right w:val="none" w:sz="0" w:space="0" w:color="auto"/>
                  </w:divBdr>
                </w:div>
                <w:div w:id="958030036">
                  <w:marLeft w:val="480"/>
                  <w:marRight w:val="0"/>
                  <w:marTop w:val="0"/>
                  <w:marBottom w:val="0"/>
                  <w:divBdr>
                    <w:top w:val="none" w:sz="0" w:space="0" w:color="auto"/>
                    <w:left w:val="none" w:sz="0" w:space="0" w:color="auto"/>
                    <w:bottom w:val="none" w:sz="0" w:space="0" w:color="auto"/>
                    <w:right w:val="none" w:sz="0" w:space="0" w:color="auto"/>
                  </w:divBdr>
                </w:div>
                <w:div w:id="1766341939">
                  <w:marLeft w:val="480"/>
                  <w:marRight w:val="0"/>
                  <w:marTop w:val="0"/>
                  <w:marBottom w:val="0"/>
                  <w:divBdr>
                    <w:top w:val="none" w:sz="0" w:space="0" w:color="auto"/>
                    <w:left w:val="none" w:sz="0" w:space="0" w:color="auto"/>
                    <w:bottom w:val="none" w:sz="0" w:space="0" w:color="auto"/>
                    <w:right w:val="none" w:sz="0" w:space="0" w:color="auto"/>
                  </w:divBdr>
                </w:div>
                <w:div w:id="1252931143">
                  <w:marLeft w:val="480"/>
                  <w:marRight w:val="0"/>
                  <w:marTop w:val="0"/>
                  <w:marBottom w:val="0"/>
                  <w:divBdr>
                    <w:top w:val="none" w:sz="0" w:space="0" w:color="auto"/>
                    <w:left w:val="none" w:sz="0" w:space="0" w:color="auto"/>
                    <w:bottom w:val="none" w:sz="0" w:space="0" w:color="auto"/>
                    <w:right w:val="none" w:sz="0" w:space="0" w:color="auto"/>
                  </w:divBdr>
                </w:div>
                <w:div w:id="1896115423">
                  <w:marLeft w:val="480"/>
                  <w:marRight w:val="0"/>
                  <w:marTop w:val="0"/>
                  <w:marBottom w:val="0"/>
                  <w:divBdr>
                    <w:top w:val="none" w:sz="0" w:space="0" w:color="auto"/>
                    <w:left w:val="none" w:sz="0" w:space="0" w:color="auto"/>
                    <w:bottom w:val="none" w:sz="0" w:space="0" w:color="auto"/>
                    <w:right w:val="none" w:sz="0" w:space="0" w:color="auto"/>
                  </w:divBdr>
                </w:div>
                <w:div w:id="330522457">
                  <w:marLeft w:val="480"/>
                  <w:marRight w:val="0"/>
                  <w:marTop w:val="0"/>
                  <w:marBottom w:val="0"/>
                  <w:divBdr>
                    <w:top w:val="none" w:sz="0" w:space="0" w:color="auto"/>
                    <w:left w:val="none" w:sz="0" w:space="0" w:color="auto"/>
                    <w:bottom w:val="none" w:sz="0" w:space="0" w:color="auto"/>
                    <w:right w:val="none" w:sz="0" w:space="0" w:color="auto"/>
                  </w:divBdr>
                </w:div>
                <w:div w:id="391664407">
                  <w:marLeft w:val="480"/>
                  <w:marRight w:val="0"/>
                  <w:marTop w:val="0"/>
                  <w:marBottom w:val="0"/>
                  <w:divBdr>
                    <w:top w:val="none" w:sz="0" w:space="0" w:color="auto"/>
                    <w:left w:val="none" w:sz="0" w:space="0" w:color="auto"/>
                    <w:bottom w:val="none" w:sz="0" w:space="0" w:color="auto"/>
                    <w:right w:val="none" w:sz="0" w:space="0" w:color="auto"/>
                  </w:divBdr>
                </w:div>
                <w:div w:id="63533207">
                  <w:marLeft w:val="480"/>
                  <w:marRight w:val="0"/>
                  <w:marTop w:val="0"/>
                  <w:marBottom w:val="0"/>
                  <w:divBdr>
                    <w:top w:val="none" w:sz="0" w:space="0" w:color="auto"/>
                    <w:left w:val="none" w:sz="0" w:space="0" w:color="auto"/>
                    <w:bottom w:val="none" w:sz="0" w:space="0" w:color="auto"/>
                    <w:right w:val="none" w:sz="0" w:space="0" w:color="auto"/>
                  </w:divBdr>
                </w:div>
                <w:div w:id="1195191317">
                  <w:marLeft w:val="480"/>
                  <w:marRight w:val="0"/>
                  <w:marTop w:val="0"/>
                  <w:marBottom w:val="0"/>
                  <w:divBdr>
                    <w:top w:val="none" w:sz="0" w:space="0" w:color="auto"/>
                    <w:left w:val="none" w:sz="0" w:space="0" w:color="auto"/>
                    <w:bottom w:val="none" w:sz="0" w:space="0" w:color="auto"/>
                    <w:right w:val="none" w:sz="0" w:space="0" w:color="auto"/>
                  </w:divBdr>
                </w:div>
                <w:div w:id="1161897123">
                  <w:marLeft w:val="480"/>
                  <w:marRight w:val="0"/>
                  <w:marTop w:val="0"/>
                  <w:marBottom w:val="0"/>
                  <w:divBdr>
                    <w:top w:val="none" w:sz="0" w:space="0" w:color="auto"/>
                    <w:left w:val="none" w:sz="0" w:space="0" w:color="auto"/>
                    <w:bottom w:val="none" w:sz="0" w:space="0" w:color="auto"/>
                    <w:right w:val="none" w:sz="0" w:space="0" w:color="auto"/>
                  </w:divBdr>
                </w:div>
                <w:div w:id="1249776144">
                  <w:marLeft w:val="480"/>
                  <w:marRight w:val="0"/>
                  <w:marTop w:val="0"/>
                  <w:marBottom w:val="0"/>
                  <w:divBdr>
                    <w:top w:val="none" w:sz="0" w:space="0" w:color="auto"/>
                    <w:left w:val="none" w:sz="0" w:space="0" w:color="auto"/>
                    <w:bottom w:val="none" w:sz="0" w:space="0" w:color="auto"/>
                    <w:right w:val="none" w:sz="0" w:space="0" w:color="auto"/>
                  </w:divBdr>
                </w:div>
                <w:div w:id="2102099100">
                  <w:marLeft w:val="480"/>
                  <w:marRight w:val="0"/>
                  <w:marTop w:val="0"/>
                  <w:marBottom w:val="0"/>
                  <w:divBdr>
                    <w:top w:val="none" w:sz="0" w:space="0" w:color="auto"/>
                    <w:left w:val="none" w:sz="0" w:space="0" w:color="auto"/>
                    <w:bottom w:val="none" w:sz="0" w:space="0" w:color="auto"/>
                    <w:right w:val="none" w:sz="0" w:space="0" w:color="auto"/>
                  </w:divBdr>
                </w:div>
                <w:div w:id="1192374225">
                  <w:marLeft w:val="480"/>
                  <w:marRight w:val="0"/>
                  <w:marTop w:val="0"/>
                  <w:marBottom w:val="0"/>
                  <w:divBdr>
                    <w:top w:val="none" w:sz="0" w:space="0" w:color="auto"/>
                    <w:left w:val="none" w:sz="0" w:space="0" w:color="auto"/>
                    <w:bottom w:val="none" w:sz="0" w:space="0" w:color="auto"/>
                    <w:right w:val="none" w:sz="0" w:space="0" w:color="auto"/>
                  </w:divBdr>
                </w:div>
                <w:div w:id="412243653">
                  <w:marLeft w:val="480"/>
                  <w:marRight w:val="0"/>
                  <w:marTop w:val="0"/>
                  <w:marBottom w:val="0"/>
                  <w:divBdr>
                    <w:top w:val="none" w:sz="0" w:space="0" w:color="auto"/>
                    <w:left w:val="none" w:sz="0" w:space="0" w:color="auto"/>
                    <w:bottom w:val="none" w:sz="0" w:space="0" w:color="auto"/>
                    <w:right w:val="none" w:sz="0" w:space="0" w:color="auto"/>
                  </w:divBdr>
                </w:div>
                <w:div w:id="182329121">
                  <w:marLeft w:val="480"/>
                  <w:marRight w:val="0"/>
                  <w:marTop w:val="0"/>
                  <w:marBottom w:val="0"/>
                  <w:divBdr>
                    <w:top w:val="none" w:sz="0" w:space="0" w:color="auto"/>
                    <w:left w:val="none" w:sz="0" w:space="0" w:color="auto"/>
                    <w:bottom w:val="none" w:sz="0" w:space="0" w:color="auto"/>
                    <w:right w:val="none" w:sz="0" w:space="0" w:color="auto"/>
                  </w:divBdr>
                </w:div>
                <w:div w:id="1764102700">
                  <w:marLeft w:val="480"/>
                  <w:marRight w:val="0"/>
                  <w:marTop w:val="0"/>
                  <w:marBottom w:val="0"/>
                  <w:divBdr>
                    <w:top w:val="none" w:sz="0" w:space="0" w:color="auto"/>
                    <w:left w:val="none" w:sz="0" w:space="0" w:color="auto"/>
                    <w:bottom w:val="none" w:sz="0" w:space="0" w:color="auto"/>
                    <w:right w:val="none" w:sz="0" w:space="0" w:color="auto"/>
                  </w:divBdr>
                </w:div>
                <w:div w:id="1856075019">
                  <w:marLeft w:val="480"/>
                  <w:marRight w:val="0"/>
                  <w:marTop w:val="0"/>
                  <w:marBottom w:val="0"/>
                  <w:divBdr>
                    <w:top w:val="none" w:sz="0" w:space="0" w:color="auto"/>
                    <w:left w:val="none" w:sz="0" w:space="0" w:color="auto"/>
                    <w:bottom w:val="none" w:sz="0" w:space="0" w:color="auto"/>
                    <w:right w:val="none" w:sz="0" w:space="0" w:color="auto"/>
                  </w:divBdr>
                </w:div>
                <w:div w:id="1348867008">
                  <w:marLeft w:val="480"/>
                  <w:marRight w:val="0"/>
                  <w:marTop w:val="0"/>
                  <w:marBottom w:val="0"/>
                  <w:divBdr>
                    <w:top w:val="none" w:sz="0" w:space="0" w:color="auto"/>
                    <w:left w:val="none" w:sz="0" w:space="0" w:color="auto"/>
                    <w:bottom w:val="none" w:sz="0" w:space="0" w:color="auto"/>
                    <w:right w:val="none" w:sz="0" w:space="0" w:color="auto"/>
                  </w:divBdr>
                </w:div>
                <w:div w:id="1543982182">
                  <w:marLeft w:val="480"/>
                  <w:marRight w:val="0"/>
                  <w:marTop w:val="0"/>
                  <w:marBottom w:val="0"/>
                  <w:divBdr>
                    <w:top w:val="none" w:sz="0" w:space="0" w:color="auto"/>
                    <w:left w:val="none" w:sz="0" w:space="0" w:color="auto"/>
                    <w:bottom w:val="none" w:sz="0" w:space="0" w:color="auto"/>
                    <w:right w:val="none" w:sz="0" w:space="0" w:color="auto"/>
                  </w:divBdr>
                </w:div>
                <w:div w:id="1707219478">
                  <w:marLeft w:val="480"/>
                  <w:marRight w:val="0"/>
                  <w:marTop w:val="0"/>
                  <w:marBottom w:val="0"/>
                  <w:divBdr>
                    <w:top w:val="none" w:sz="0" w:space="0" w:color="auto"/>
                    <w:left w:val="none" w:sz="0" w:space="0" w:color="auto"/>
                    <w:bottom w:val="none" w:sz="0" w:space="0" w:color="auto"/>
                    <w:right w:val="none" w:sz="0" w:space="0" w:color="auto"/>
                  </w:divBdr>
                </w:div>
                <w:div w:id="2086147057">
                  <w:marLeft w:val="480"/>
                  <w:marRight w:val="0"/>
                  <w:marTop w:val="0"/>
                  <w:marBottom w:val="0"/>
                  <w:divBdr>
                    <w:top w:val="none" w:sz="0" w:space="0" w:color="auto"/>
                    <w:left w:val="none" w:sz="0" w:space="0" w:color="auto"/>
                    <w:bottom w:val="none" w:sz="0" w:space="0" w:color="auto"/>
                    <w:right w:val="none" w:sz="0" w:space="0" w:color="auto"/>
                  </w:divBdr>
                </w:div>
                <w:div w:id="1325012383">
                  <w:marLeft w:val="480"/>
                  <w:marRight w:val="0"/>
                  <w:marTop w:val="0"/>
                  <w:marBottom w:val="0"/>
                  <w:divBdr>
                    <w:top w:val="none" w:sz="0" w:space="0" w:color="auto"/>
                    <w:left w:val="none" w:sz="0" w:space="0" w:color="auto"/>
                    <w:bottom w:val="none" w:sz="0" w:space="0" w:color="auto"/>
                    <w:right w:val="none" w:sz="0" w:space="0" w:color="auto"/>
                  </w:divBdr>
                </w:div>
                <w:div w:id="1079718372">
                  <w:marLeft w:val="480"/>
                  <w:marRight w:val="0"/>
                  <w:marTop w:val="0"/>
                  <w:marBottom w:val="0"/>
                  <w:divBdr>
                    <w:top w:val="none" w:sz="0" w:space="0" w:color="auto"/>
                    <w:left w:val="none" w:sz="0" w:space="0" w:color="auto"/>
                    <w:bottom w:val="none" w:sz="0" w:space="0" w:color="auto"/>
                    <w:right w:val="none" w:sz="0" w:space="0" w:color="auto"/>
                  </w:divBdr>
                </w:div>
                <w:div w:id="282003923">
                  <w:marLeft w:val="480"/>
                  <w:marRight w:val="0"/>
                  <w:marTop w:val="0"/>
                  <w:marBottom w:val="0"/>
                  <w:divBdr>
                    <w:top w:val="none" w:sz="0" w:space="0" w:color="auto"/>
                    <w:left w:val="none" w:sz="0" w:space="0" w:color="auto"/>
                    <w:bottom w:val="none" w:sz="0" w:space="0" w:color="auto"/>
                    <w:right w:val="none" w:sz="0" w:space="0" w:color="auto"/>
                  </w:divBdr>
                </w:div>
                <w:div w:id="442964099">
                  <w:marLeft w:val="480"/>
                  <w:marRight w:val="0"/>
                  <w:marTop w:val="0"/>
                  <w:marBottom w:val="0"/>
                  <w:divBdr>
                    <w:top w:val="none" w:sz="0" w:space="0" w:color="auto"/>
                    <w:left w:val="none" w:sz="0" w:space="0" w:color="auto"/>
                    <w:bottom w:val="none" w:sz="0" w:space="0" w:color="auto"/>
                    <w:right w:val="none" w:sz="0" w:space="0" w:color="auto"/>
                  </w:divBdr>
                </w:div>
                <w:div w:id="1631083103">
                  <w:marLeft w:val="480"/>
                  <w:marRight w:val="0"/>
                  <w:marTop w:val="0"/>
                  <w:marBottom w:val="0"/>
                  <w:divBdr>
                    <w:top w:val="none" w:sz="0" w:space="0" w:color="auto"/>
                    <w:left w:val="none" w:sz="0" w:space="0" w:color="auto"/>
                    <w:bottom w:val="none" w:sz="0" w:space="0" w:color="auto"/>
                    <w:right w:val="none" w:sz="0" w:space="0" w:color="auto"/>
                  </w:divBdr>
                </w:div>
                <w:div w:id="581641219">
                  <w:marLeft w:val="480"/>
                  <w:marRight w:val="0"/>
                  <w:marTop w:val="0"/>
                  <w:marBottom w:val="0"/>
                  <w:divBdr>
                    <w:top w:val="none" w:sz="0" w:space="0" w:color="auto"/>
                    <w:left w:val="none" w:sz="0" w:space="0" w:color="auto"/>
                    <w:bottom w:val="none" w:sz="0" w:space="0" w:color="auto"/>
                    <w:right w:val="none" w:sz="0" w:space="0" w:color="auto"/>
                  </w:divBdr>
                </w:div>
                <w:div w:id="1388844538">
                  <w:marLeft w:val="480"/>
                  <w:marRight w:val="0"/>
                  <w:marTop w:val="0"/>
                  <w:marBottom w:val="0"/>
                  <w:divBdr>
                    <w:top w:val="none" w:sz="0" w:space="0" w:color="auto"/>
                    <w:left w:val="none" w:sz="0" w:space="0" w:color="auto"/>
                    <w:bottom w:val="none" w:sz="0" w:space="0" w:color="auto"/>
                    <w:right w:val="none" w:sz="0" w:space="0" w:color="auto"/>
                  </w:divBdr>
                </w:div>
                <w:div w:id="1561014512">
                  <w:marLeft w:val="480"/>
                  <w:marRight w:val="0"/>
                  <w:marTop w:val="0"/>
                  <w:marBottom w:val="0"/>
                  <w:divBdr>
                    <w:top w:val="none" w:sz="0" w:space="0" w:color="auto"/>
                    <w:left w:val="none" w:sz="0" w:space="0" w:color="auto"/>
                    <w:bottom w:val="none" w:sz="0" w:space="0" w:color="auto"/>
                    <w:right w:val="none" w:sz="0" w:space="0" w:color="auto"/>
                  </w:divBdr>
                </w:div>
                <w:div w:id="728453974">
                  <w:marLeft w:val="480"/>
                  <w:marRight w:val="0"/>
                  <w:marTop w:val="0"/>
                  <w:marBottom w:val="0"/>
                  <w:divBdr>
                    <w:top w:val="none" w:sz="0" w:space="0" w:color="auto"/>
                    <w:left w:val="none" w:sz="0" w:space="0" w:color="auto"/>
                    <w:bottom w:val="none" w:sz="0" w:space="0" w:color="auto"/>
                    <w:right w:val="none" w:sz="0" w:space="0" w:color="auto"/>
                  </w:divBdr>
                </w:div>
                <w:div w:id="230894331">
                  <w:marLeft w:val="480"/>
                  <w:marRight w:val="0"/>
                  <w:marTop w:val="0"/>
                  <w:marBottom w:val="0"/>
                  <w:divBdr>
                    <w:top w:val="none" w:sz="0" w:space="0" w:color="auto"/>
                    <w:left w:val="none" w:sz="0" w:space="0" w:color="auto"/>
                    <w:bottom w:val="none" w:sz="0" w:space="0" w:color="auto"/>
                    <w:right w:val="none" w:sz="0" w:space="0" w:color="auto"/>
                  </w:divBdr>
                </w:div>
                <w:div w:id="1594514260">
                  <w:marLeft w:val="480"/>
                  <w:marRight w:val="0"/>
                  <w:marTop w:val="0"/>
                  <w:marBottom w:val="0"/>
                  <w:divBdr>
                    <w:top w:val="none" w:sz="0" w:space="0" w:color="auto"/>
                    <w:left w:val="none" w:sz="0" w:space="0" w:color="auto"/>
                    <w:bottom w:val="none" w:sz="0" w:space="0" w:color="auto"/>
                    <w:right w:val="none" w:sz="0" w:space="0" w:color="auto"/>
                  </w:divBdr>
                </w:div>
                <w:div w:id="2041277600">
                  <w:marLeft w:val="480"/>
                  <w:marRight w:val="0"/>
                  <w:marTop w:val="0"/>
                  <w:marBottom w:val="0"/>
                  <w:divBdr>
                    <w:top w:val="none" w:sz="0" w:space="0" w:color="auto"/>
                    <w:left w:val="none" w:sz="0" w:space="0" w:color="auto"/>
                    <w:bottom w:val="none" w:sz="0" w:space="0" w:color="auto"/>
                    <w:right w:val="none" w:sz="0" w:space="0" w:color="auto"/>
                  </w:divBdr>
                </w:div>
                <w:div w:id="667052854">
                  <w:marLeft w:val="480"/>
                  <w:marRight w:val="0"/>
                  <w:marTop w:val="0"/>
                  <w:marBottom w:val="0"/>
                  <w:divBdr>
                    <w:top w:val="none" w:sz="0" w:space="0" w:color="auto"/>
                    <w:left w:val="none" w:sz="0" w:space="0" w:color="auto"/>
                    <w:bottom w:val="none" w:sz="0" w:space="0" w:color="auto"/>
                    <w:right w:val="none" w:sz="0" w:space="0" w:color="auto"/>
                  </w:divBdr>
                </w:div>
                <w:div w:id="1491098454">
                  <w:marLeft w:val="480"/>
                  <w:marRight w:val="0"/>
                  <w:marTop w:val="0"/>
                  <w:marBottom w:val="0"/>
                  <w:divBdr>
                    <w:top w:val="none" w:sz="0" w:space="0" w:color="auto"/>
                    <w:left w:val="none" w:sz="0" w:space="0" w:color="auto"/>
                    <w:bottom w:val="none" w:sz="0" w:space="0" w:color="auto"/>
                    <w:right w:val="none" w:sz="0" w:space="0" w:color="auto"/>
                  </w:divBdr>
                </w:div>
                <w:div w:id="1932009202">
                  <w:marLeft w:val="480"/>
                  <w:marRight w:val="0"/>
                  <w:marTop w:val="0"/>
                  <w:marBottom w:val="0"/>
                  <w:divBdr>
                    <w:top w:val="none" w:sz="0" w:space="0" w:color="auto"/>
                    <w:left w:val="none" w:sz="0" w:space="0" w:color="auto"/>
                    <w:bottom w:val="none" w:sz="0" w:space="0" w:color="auto"/>
                    <w:right w:val="none" w:sz="0" w:space="0" w:color="auto"/>
                  </w:divBdr>
                </w:div>
                <w:div w:id="593630">
                  <w:marLeft w:val="480"/>
                  <w:marRight w:val="0"/>
                  <w:marTop w:val="0"/>
                  <w:marBottom w:val="0"/>
                  <w:divBdr>
                    <w:top w:val="none" w:sz="0" w:space="0" w:color="auto"/>
                    <w:left w:val="none" w:sz="0" w:space="0" w:color="auto"/>
                    <w:bottom w:val="none" w:sz="0" w:space="0" w:color="auto"/>
                    <w:right w:val="none" w:sz="0" w:space="0" w:color="auto"/>
                  </w:divBdr>
                </w:div>
                <w:div w:id="993795670">
                  <w:marLeft w:val="480"/>
                  <w:marRight w:val="0"/>
                  <w:marTop w:val="0"/>
                  <w:marBottom w:val="0"/>
                  <w:divBdr>
                    <w:top w:val="none" w:sz="0" w:space="0" w:color="auto"/>
                    <w:left w:val="none" w:sz="0" w:space="0" w:color="auto"/>
                    <w:bottom w:val="none" w:sz="0" w:space="0" w:color="auto"/>
                    <w:right w:val="none" w:sz="0" w:space="0" w:color="auto"/>
                  </w:divBdr>
                </w:div>
                <w:div w:id="1152483232">
                  <w:marLeft w:val="480"/>
                  <w:marRight w:val="0"/>
                  <w:marTop w:val="0"/>
                  <w:marBottom w:val="0"/>
                  <w:divBdr>
                    <w:top w:val="none" w:sz="0" w:space="0" w:color="auto"/>
                    <w:left w:val="none" w:sz="0" w:space="0" w:color="auto"/>
                    <w:bottom w:val="none" w:sz="0" w:space="0" w:color="auto"/>
                    <w:right w:val="none" w:sz="0" w:space="0" w:color="auto"/>
                  </w:divBdr>
                </w:div>
                <w:div w:id="861095450">
                  <w:marLeft w:val="480"/>
                  <w:marRight w:val="0"/>
                  <w:marTop w:val="0"/>
                  <w:marBottom w:val="0"/>
                  <w:divBdr>
                    <w:top w:val="none" w:sz="0" w:space="0" w:color="auto"/>
                    <w:left w:val="none" w:sz="0" w:space="0" w:color="auto"/>
                    <w:bottom w:val="none" w:sz="0" w:space="0" w:color="auto"/>
                    <w:right w:val="none" w:sz="0" w:space="0" w:color="auto"/>
                  </w:divBdr>
                </w:div>
                <w:div w:id="897670611">
                  <w:marLeft w:val="480"/>
                  <w:marRight w:val="0"/>
                  <w:marTop w:val="0"/>
                  <w:marBottom w:val="0"/>
                  <w:divBdr>
                    <w:top w:val="none" w:sz="0" w:space="0" w:color="auto"/>
                    <w:left w:val="none" w:sz="0" w:space="0" w:color="auto"/>
                    <w:bottom w:val="none" w:sz="0" w:space="0" w:color="auto"/>
                    <w:right w:val="none" w:sz="0" w:space="0" w:color="auto"/>
                  </w:divBdr>
                </w:div>
                <w:div w:id="1248491595">
                  <w:marLeft w:val="480"/>
                  <w:marRight w:val="0"/>
                  <w:marTop w:val="0"/>
                  <w:marBottom w:val="0"/>
                  <w:divBdr>
                    <w:top w:val="none" w:sz="0" w:space="0" w:color="auto"/>
                    <w:left w:val="none" w:sz="0" w:space="0" w:color="auto"/>
                    <w:bottom w:val="none" w:sz="0" w:space="0" w:color="auto"/>
                    <w:right w:val="none" w:sz="0" w:space="0" w:color="auto"/>
                  </w:divBdr>
                </w:div>
                <w:div w:id="195122993">
                  <w:marLeft w:val="480"/>
                  <w:marRight w:val="0"/>
                  <w:marTop w:val="0"/>
                  <w:marBottom w:val="0"/>
                  <w:divBdr>
                    <w:top w:val="none" w:sz="0" w:space="0" w:color="auto"/>
                    <w:left w:val="none" w:sz="0" w:space="0" w:color="auto"/>
                    <w:bottom w:val="none" w:sz="0" w:space="0" w:color="auto"/>
                    <w:right w:val="none" w:sz="0" w:space="0" w:color="auto"/>
                  </w:divBdr>
                </w:div>
                <w:div w:id="1022366008">
                  <w:marLeft w:val="480"/>
                  <w:marRight w:val="0"/>
                  <w:marTop w:val="0"/>
                  <w:marBottom w:val="0"/>
                  <w:divBdr>
                    <w:top w:val="none" w:sz="0" w:space="0" w:color="auto"/>
                    <w:left w:val="none" w:sz="0" w:space="0" w:color="auto"/>
                    <w:bottom w:val="none" w:sz="0" w:space="0" w:color="auto"/>
                    <w:right w:val="none" w:sz="0" w:space="0" w:color="auto"/>
                  </w:divBdr>
                </w:div>
                <w:div w:id="1063257919">
                  <w:marLeft w:val="480"/>
                  <w:marRight w:val="0"/>
                  <w:marTop w:val="0"/>
                  <w:marBottom w:val="0"/>
                  <w:divBdr>
                    <w:top w:val="none" w:sz="0" w:space="0" w:color="auto"/>
                    <w:left w:val="none" w:sz="0" w:space="0" w:color="auto"/>
                    <w:bottom w:val="none" w:sz="0" w:space="0" w:color="auto"/>
                    <w:right w:val="none" w:sz="0" w:space="0" w:color="auto"/>
                  </w:divBdr>
                </w:div>
                <w:div w:id="1519738544">
                  <w:marLeft w:val="480"/>
                  <w:marRight w:val="0"/>
                  <w:marTop w:val="0"/>
                  <w:marBottom w:val="0"/>
                  <w:divBdr>
                    <w:top w:val="none" w:sz="0" w:space="0" w:color="auto"/>
                    <w:left w:val="none" w:sz="0" w:space="0" w:color="auto"/>
                    <w:bottom w:val="none" w:sz="0" w:space="0" w:color="auto"/>
                    <w:right w:val="none" w:sz="0" w:space="0" w:color="auto"/>
                  </w:divBdr>
                </w:div>
                <w:div w:id="278488940">
                  <w:marLeft w:val="480"/>
                  <w:marRight w:val="0"/>
                  <w:marTop w:val="0"/>
                  <w:marBottom w:val="0"/>
                  <w:divBdr>
                    <w:top w:val="none" w:sz="0" w:space="0" w:color="auto"/>
                    <w:left w:val="none" w:sz="0" w:space="0" w:color="auto"/>
                    <w:bottom w:val="none" w:sz="0" w:space="0" w:color="auto"/>
                    <w:right w:val="none" w:sz="0" w:space="0" w:color="auto"/>
                  </w:divBdr>
                </w:div>
                <w:div w:id="1926722104">
                  <w:marLeft w:val="480"/>
                  <w:marRight w:val="0"/>
                  <w:marTop w:val="0"/>
                  <w:marBottom w:val="0"/>
                  <w:divBdr>
                    <w:top w:val="none" w:sz="0" w:space="0" w:color="auto"/>
                    <w:left w:val="none" w:sz="0" w:space="0" w:color="auto"/>
                    <w:bottom w:val="none" w:sz="0" w:space="0" w:color="auto"/>
                    <w:right w:val="none" w:sz="0" w:space="0" w:color="auto"/>
                  </w:divBdr>
                </w:div>
                <w:div w:id="901403747">
                  <w:marLeft w:val="480"/>
                  <w:marRight w:val="0"/>
                  <w:marTop w:val="0"/>
                  <w:marBottom w:val="0"/>
                  <w:divBdr>
                    <w:top w:val="none" w:sz="0" w:space="0" w:color="auto"/>
                    <w:left w:val="none" w:sz="0" w:space="0" w:color="auto"/>
                    <w:bottom w:val="none" w:sz="0" w:space="0" w:color="auto"/>
                    <w:right w:val="none" w:sz="0" w:space="0" w:color="auto"/>
                  </w:divBdr>
                </w:div>
                <w:div w:id="1363936801">
                  <w:marLeft w:val="480"/>
                  <w:marRight w:val="0"/>
                  <w:marTop w:val="0"/>
                  <w:marBottom w:val="0"/>
                  <w:divBdr>
                    <w:top w:val="none" w:sz="0" w:space="0" w:color="auto"/>
                    <w:left w:val="none" w:sz="0" w:space="0" w:color="auto"/>
                    <w:bottom w:val="none" w:sz="0" w:space="0" w:color="auto"/>
                    <w:right w:val="none" w:sz="0" w:space="0" w:color="auto"/>
                  </w:divBdr>
                </w:div>
                <w:div w:id="1229074085">
                  <w:marLeft w:val="480"/>
                  <w:marRight w:val="0"/>
                  <w:marTop w:val="0"/>
                  <w:marBottom w:val="0"/>
                  <w:divBdr>
                    <w:top w:val="none" w:sz="0" w:space="0" w:color="auto"/>
                    <w:left w:val="none" w:sz="0" w:space="0" w:color="auto"/>
                    <w:bottom w:val="none" w:sz="0" w:space="0" w:color="auto"/>
                    <w:right w:val="none" w:sz="0" w:space="0" w:color="auto"/>
                  </w:divBdr>
                </w:div>
                <w:div w:id="435684379">
                  <w:marLeft w:val="480"/>
                  <w:marRight w:val="0"/>
                  <w:marTop w:val="0"/>
                  <w:marBottom w:val="0"/>
                  <w:divBdr>
                    <w:top w:val="none" w:sz="0" w:space="0" w:color="auto"/>
                    <w:left w:val="none" w:sz="0" w:space="0" w:color="auto"/>
                    <w:bottom w:val="none" w:sz="0" w:space="0" w:color="auto"/>
                    <w:right w:val="none" w:sz="0" w:space="0" w:color="auto"/>
                  </w:divBdr>
                </w:div>
                <w:div w:id="1897468938">
                  <w:marLeft w:val="480"/>
                  <w:marRight w:val="0"/>
                  <w:marTop w:val="0"/>
                  <w:marBottom w:val="0"/>
                  <w:divBdr>
                    <w:top w:val="none" w:sz="0" w:space="0" w:color="auto"/>
                    <w:left w:val="none" w:sz="0" w:space="0" w:color="auto"/>
                    <w:bottom w:val="none" w:sz="0" w:space="0" w:color="auto"/>
                    <w:right w:val="none" w:sz="0" w:space="0" w:color="auto"/>
                  </w:divBdr>
                </w:div>
                <w:div w:id="199514262">
                  <w:marLeft w:val="480"/>
                  <w:marRight w:val="0"/>
                  <w:marTop w:val="0"/>
                  <w:marBottom w:val="0"/>
                  <w:divBdr>
                    <w:top w:val="none" w:sz="0" w:space="0" w:color="auto"/>
                    <w:left w:val="none" w:sz="0" w:space="0" w:color="auto"/>
                    <w:bottom w:val="none" w:sz="0" w:space="0" w:color="auto"/>
                    <w:right w:val="none" w:sz="0" w:space="0" w:color="auto"/>
                  </w:divBdr>
                </w:div>
                <w:div w:id="198589676">
                  <w:marLeft w:val="480"/>
                  <w:marRight w:val="0"/>
                  <w:marTop w:val="0"/>
                  <w:marBottom w:val="0"/>
                  <w:divBdr>
                    <w:top w:val="none" w:sz="0" w:space="0" w:color="auto"/>
                    <w:left w:val="none" w:sz="0" w:space="0" w:color="auto"/>
                    <w:bottom w:val="none" w:sz="0" w:space="0" w:color="auto"/>
                    <w:right w:val="none" w:sz="0" w:space="0" w:color="auto"/>
                  </w:divBdr>
                </w:div>
                <w:div w:id="1712612941">
                  <w:marLeft w:val="480"/>
                  <w:marRight w:val="0"/>
                  <w:marTop w:val="0"/>
                  <w:marBottom w:val="0"/>
                  <w:divBdr>
                    <w:top w:val="none" w:sz="0" w:space="0" w:color="auto"/>
                    <w:left w:val="none" w:sz="0" w:space="0" w:color="auto"/>
                    <w:bottom w:val="none" w:sz="0" w:space="0" w:color="auto"/>
                    <w:right w:val="none" w:sz="0" w:space="0" w:color="auto"/>
                  </w:divBdr>
                </w:div>
                <w:div w:id="1242760952">
                  <w:marLeft w:val="480"/>
                  <w:marRight w:val="0"/>
                  <w:marTop w:val="0"/>
                  <w:marBottom w:val="0"/>
                  <w:divBdr>
                    <w:top w:val="none" w:sz="0" w:space="0" w:color="auto"/>
                    <w:left w:val="none" w:sz="0" w:space="0" w:color="auto"/>
                    <w:bottom w:val="none" w:sz="0" w:space="0" w:color="auto"/>
                    <w:right w:val="none" w:sz="0" w:space="0" w:color="auto"/>
                  </w:divBdr>
                </w:div>
                <w:div w:id="551694884">
                  <w:marLeft w:val="480"/>
                  <w:marRight w:val="0"/>
                  <w:marTop w:val="0"/>
                  <w:marBottom w:val="0"/>
                  <w:divBdr>
                    <w:top w:val="none" w:sz="0" w:space="0" w:color="auto"/>
                    <w:left w:val="none" w:sz="0" w:space="0" w:color="auto"/>
                    <w:bottom w:val="none" w:sz="0" w:space="0" w:color="auto"/>
                    <w:right w:val="none" w:sz="0" w:space="0" w:color="auto"/>
                  </w:divBdr>
                </w:div>
                <w:div w:id="2090998360">
                  <w:marLeft w:val="480"/>
                  <w:marRight w:val="0"/>
                  <w:marTop w:val="0"/>
                  <w:marBottom w:val="0"/>
                  <w:divBdr>
                    <w:top w:val="none" w:sz="0" w:space="0" w:color="auto"/>
                    <w:left w:val="none" w:sz="0" w:space="0" w:color="auto"/>
                    <w:bottom w:val="none" w:sz="0" w:space="0" w:color="auto"/>
                    <w:right w:val="none" w:sz="0" w:space="0" w:color="auto"/>
                  </w:divBdr>
                </w:div>
                <w:div w:id="572350148">
                  <w:marLeft w:val="480"/>
                  <w:marRight w:val="0"/>
                  <w:marTop w:val="0"/>
                  <w:marBottom w:val="0"/>
                  <w:divBdr>
                    <w:top w:val="none" w:sz="0" w:space="0" w:color="auto"/>
                    <w:left w:val="none" w:sz="0" w:space="0" w:color="auto"/>
                    <w:bottom w:val="none" w:sz="0" w:space="0" w:color="auto"/>
                    <w:right w:val="none" w:sz="0" w:space="0" w:color="auto"/>
                  </w:divBdr>
                </w:div>
                <w:div w:id="1016226565">
                  <w:marLeft w:val="480"/>
                  <w:marRight w:val="0"/>
                  <w:marTop w:val="0"/>
                  <w:marBottom w:val="0"/>
                  <w:divBdr>
                    <w:top w:val="none" w:sz="0" w:space="0" w:color="auto"/>
                    <w:left w:val="none" w:sz="0" w:space="0" w:color="auto"/>
                    <w:bottom w:val="none" w:sz="0" w:space="0" w:color="auto"/>
                    <w:right w:val="none" w:sz="0" w:space="0" w:color="auto"/>
                  </w:divBdr>
                </w:div>
                <w:div w:id="1709454914">
                  <w:marLeft w:val="480"/>
                  <w:marRight w:val="0"/>
                  <w:marTop w:val="0"/>
                  <w:marBottom w:val="0"/>
                  <w:divBdr>
                    <w:top w:val="none" w:sz="0" w:space="0" w:color="auto"/>
                    <w:left w:val="none" w:sz="0" w:space="0" w:color="auto"/>
                    <w:bottom w:val="none" w:sz="0" w:space="0" w:color="auto"/>
                    <w:right w:val="none" w:sz="0" w:space="0" w:color="auto"/>
                  </w:divBdr>
                </w:div>
                <w:div w:id="397826406">
                  <w:marLeft w:val="480"/>
                  <w:marRight w:val="0"/>
                  <w:marTop w:val="0"/>
                  <w:marBottom w:val="0"/>
                  <w:divBdr>
                    <w:top w:val="none" w:sz="0" w:space="0" w:color="auto"/>
                    <w:left w:val="none" w:sz="0" w:space="0" w:color="auto"/>
                    <w:bottom w:val="none" w:sz="0" w:space="0" w:color="auto"/>
                    <w:right w:val="none" w:sz="0" w:space="0" w:color="auto"/>
                  </w:divBdr>
                </w:div>
                <w:div w:id="965741963">
                  <w:marLeft w:val="480"/>
                  <w:marRight w:val="0"/>
                  <w:marTop w:val="0"/>
                  <w:marBottom w:val="0"/>
                  <w:divBdr>
                    <w:top w:val="none" w:sz="0" w:space="0" w:color="auto"/>
                    <w:left w:val="none" w:sz="0" w:space="0" w:color="auto"/>
                    <w:bottom w:val="none" w:sz="0" w:space="0" w:color="auto"/>
                    <w:right w:val="none" w:sz="0" w:space="0" w:color="auto"/>
                  </w:divBdr>
                </w:div>
                <w:div w:id="2027054143">
                  <w:marLeft w:val="480"/>
                  <w:marRight w:val="0"/>
                  <w:marTop w:val="0"/>
                  <w:marBottom w:val="0"/>
                  <w:divBdr>
                    <w:top w:val="none" w:sz="0" w:space="0" w:color="auto"/>
                    <w:left w:val="none" w:sz="0" w:space="0" w:color="auto"/>
                    <w:bottom w:val="none" w:sz="0" w:space="0" w:color="auto"/>
                    <w:right w:val="none" w:sz="0" w:space="0" w:color="auto"/>
                  </w:divBdr>
                </w:div>
                <w:div w:id="894313317">
                  <w:marLeft w:val="480"/>
                  <w:marRight w:val="0"/>
                  <w:marTop w:val="0"/>
                  <w:marBottom w:val="0"/>
                  <w:divBdr>
                    <w:top w:val="none" w:sz="0" w:space="0" w:color="auto"/>
                    <w:left w:val="none" w:sz="0" w:space="0" w:color="auto"/>
                    <w:bottom w:val="none" w:sz="0" w:space="0" w:color="auto"/>
                    <w:right w:val="none" w:sz="0" w:space="0" w:color="auto"/>
                  </w:divBdr>
                </w:div>
                <w:div w:id="880946795">
                  <w:marLeft w:val="480"/>
                  <w:marRight w:val="0"/>
                  <w:marTop w:val="0"/>
                  <w:marBottom w:val="0"/>
                  <w:divBdr>
                    <w:top w:val="none" w:sz="0" w:space="0" w:color="auto"/>
                    <w:left w:val="none" w:sz="0" w:space="0" w:color="auto"/>
                    <w:bottom w:val="none" w:sz="0" w:space="0" w:color="auto"/>
                    <w:right w:val="none" w:sz="0" w:space="0" w:color="auto"/>
                  </w:divBdr>
                </w:div>
                <w:div w:id="1492216071">
                  <w:marLeft w:val="480"/>
                  <w:marRight w:val="0"/>
                  <w:marTop w:val="0"/>
                  <w:marBottom w:val="0"/>
                  <w:divBdr>
                    <w:top w:val="none" w:sz="0" w:space="0" w:color="auto"/>
                    <w:left w:val="none" w:sz="0" w:space="0" w:color="auto"/>
                    <w:bottom w:val="none" w:sz="0" w:space="0" w:color="auto"/>
                    <w:right w:val="none" w:sz="0" w:space="0" w:color="auto"/>
                  </w:divBdr>
                </w:div>
                <w:div w:id="1576237612">
                  <w:marLeft w:val="480"/>
                  <w:marRight w:val="0"/>
                  <w:marTop w:val="0"/>
                  <w:marBottom w:val="0"/>
                  <w:divBdr>
                    <w:top w:val="none" w:sz="0" w:space="0" w:color="auto"/>
                    <w:left w:val="none" w:sz="0" w:space="0" w:color="auto"/>
                    <w:bottom w:val="none" w:sz="0" w:space="0" w:color="auto"/>
                    <w:right w:val="none" w:sz="0" w:space="0" w:color="auto"/>
                  </w:divBdr>
                </w:div>
                <w:div w:id="87430803">
                  <w:marLeft w:val="480"/>
                  <w:marRight w:val="0"/>
                  <w:marTop w:val="0"/>
                  <w:marBottom w:val="0"/>
                  <w:divBdr>
                    <w:top w:val="none" w:sz="0" w:space="0" w:color="auto"/>
                    <w:left w:val="none" w:sz="0" w:space="0" w:color="auto"/>
                    <w:bottom w:val="none" w:sz="0" w:space="0" w:color="auto"/>
                    <w:right w:val="none" w:sz="0" w:space="0" w:color="auto"/>
                  </w:divBdr>
                </w:div>
                <w:div w:id="1800879200">
                  <w:marLeft w:val="480"/>
                  <w:marRight w:val="0"/>
                  <w:marTop w:val="0"/>
                  <w:marBottom w:val="0"/>
                  <w:divBdr>
                    <w:top w:val="none" w:sz="0" w:space="0" w:color="auto"/>
                    <w:left w:val="none" w:sz="0" w:space="0" w:color="auto"/>
                    <w:bottom w:val="none" w:sz="0" w:space="0" w:color="auto"/>
                    <w:right w:val="none" w:sz="0" w:space="0" w:color="auto"/>
                  </w:divBdr>
                </w:div>
                <w:div w:id="1149637013">
                  <w:marLeft w:val="480"/>
                  <w:marRight w:val="0"/>
                  <w:marTop w:val="0"/>
                  <w:marBottom w:val="0"/>
                  <w:divBdr>
                    <w:top w:val="none" w:sz="0" w:space="0" w:color="auto"/>
                    <w:left w:val="none" w:sz="0" w:space="0" w:color="auto"/>
                    <w:bottom w:val="none" w:sz="0" w:space="0" w:color="auto"/>
                    <w:right w:val="none" w:sz="0" w:space="0" w:color="auto"/>
                  </w:divBdr>
                </w:div>
                <w:div w:id="2092894023">
                  <w:marLeft w:val="480"/>
                  <w:marRight w:val="0"/>
                  <w:marTop w:val="0"/>
                  <w:marBottom w:val="0"/>
                  <w:divBdr>
                    <w:top w:val="none" w:sz="0" w:space="0" w:color="auto"/>
                    <w:left w:val="none" w:sz="0" w:space="0" w:color="auto"/>
                    <w:bottom w:val="none" w:sz="0" w:space="0" w:color="auto"/>
                    <w:right w:val="none" w:sz="0" w:space="0" w:color="auto"/>
                  </w:divBdr>
                </w:div>
                <w:div w:id="95910902">
                  <w:marLeft w:val="480"/>
                  <w:marRight w:val="0"/>
                  <w:marTop w:val="0"/>
                  <w:marBottom w:val="0"/>
                  <w:divBdr>
                    <w:top w:val="none" w:sz="0" w:space="0" w:color="auto"/>
                    <w:left w:val="none" w:sz="0" w:space="0" w:color="auto"/>
                    <w:bottom w:val="none" w:sz="0" w:space="0" w:color="auto"/>
                    <w:right w:val="none" w:sz="0" w:space="0" w:color="auto"/>
                  </w:divBdr>
                </w:div>
                <w:div w:id="2110465000">
                  <w:marLeft w:val="480"/>
                  <w:marRight w:val="0"/>
                  <w:marTop w:val="0"/>
                  <w:marBottom w:val="0"/>
                  <w:divBdr>
                    <w:top w:val="none" w:sz="0" w:space="0" w:color="auto"/>
                    <w:left w:val="none" w:sz="0" w:space="0" w:color="auto"/>
                    <w:bottom w:val="none" w:sz="0" w:space="0" w:color="auto"/>
                    <w:right w:val="none" w:sz="0" w:space="0" w:color="auto"/>
                  </w:divBdr>
                </w:div>
                <w:div w:id="1013726795">
                  <w:marLeft w:val="480"/>
                  <w:marRight w:val="0"/>
                  <w:marTop w:val="0"/>
                  <w:marBottom w:val="0"/>
                  <w:divBdr>
                    <w:top w:val="none" w:sz="0" w:space="0" w:color="auto"/>
                    <w:left w:val="none" w:sz="0" w:space="0" w:color="auto"/>
                    <w:bottom w:val="none" w:sz="0" w:space="0" w:color="auto"/>
                    <w:right w:val="none" w:sz="0" w:space="0" w:color="auto"/>
                  </w:divBdr>
                </w:div>
                <w:div w:id="264113535">
                  <w:marLeft w:val="480"/>
                  <w:marRight w:val="0"/>
                  <w:marTop w:val="0"/>
                  <w:marBottom w:val="0"/>
                  <w:divBdr>
                    <w:top w:val="none" w:sz="0" w:space="0" w:color="auto"/>
                    <w:left w:val="none" w:sz="0" w:space="0" w:color="auto"/>
                    <w:bottom w:val="none" w:sz="0" w:space="0" w:color="auto"/>
                    <w:right w:val="none" w:sz="0" w:space="0" w:color="auto"/>
                  </w:divBdr>
                </w:div>
                <w:div w:id="1664357970">
                  <w:marLeft w:val="480"/>
                  <w:marRight w:val="0"/>
                  <w:marTop w:val="0"/>
                  <w:marBottom w:val="0"/>
                  <w:divBdr>
                    <w:top w:val="none" w:sz="0" w:space="0" w:color="auto"/>
                    <w:left w:val="none" w:sz="0" w:space="0" w:color="auto"/>
                    <w:bottom w:val="none" w:sz="0" w:space="0" w:color="auto"/>
                    <w:right w:val="none" w:sz="0" w:space="0" w:color="auto"/>
                  </w:divBdr>
                </w:div>
                <w:div w:id="704713666">
                  <w:marLeft w:val="480"/>
                  <w:marRight w:val="0"/>
                  <w:marTop w:val="0"/>
                  <w:marBottom w:val="0"/>
                  <w:divBdr>
                    <w:top w:val="none" w:sz="0" w:space="0" w:color="auto"/>
                    <w:left w:val="none" w:sz="0" w:space="0" w:color="auto"/>
                    <w:bottom w:val="none" w:sz="0" w:space="0" w:color="auto"/>
                    <w:right w:val="none" w:sz="0" w:space="0" w:color="auto"/>
                  </w:divBdr>
                </w:div>
                <w:div w:id="468548014">
                  <w:marLeft w:val="480"/>
                  <w:marRight w:val="0"/>
                  <w:marTop w:val="0"/>
                  <w:marBottom w:val="0"/>
                  <w:divBdr>
                    <w:top w:val="none" w:sz="0" w:space="0" w:color="auto"/>
                    <w:left w:val="none" w:sz="0" w:space="0" w:color="auto"/>
                    <w:bottom w:val="none" w:sz="0" w:space="0" w:color="auto"/>
                    <w:right w:val="none" w:sz="0" w:space="0" w:color="auto"/>
                  </w:divBdr>
                </w:div>
                <w:div w:id="1404832048">
                  <w:marLeft w:val="480"/>
                  <w:marRight w:val="0"/>
                  <w:marTop w:val="0"/>
                  <w:marBottom w:val="0"/>
                  <w:divBdr>
                    <w:top w:val="none" w:sz="0" w:space="0" w:color="auto"/>
                    <w:left w:val="none" w:sz="0" w:space="0" w:color="auto"/>
                    <w:bottom w:val="none" w:sz="0" w:space="0" w:color="auto"/>
                    <w:right w:val="none" w:sz="0" w:space="0" w:color="auto"/>
                  </w:divBdr>
                </w:div>
                <w:div w:id="1261792024">
                  <w:marLeft w:val="480"/>
                  <w:marRight w:val="0"/>
                  <w:marTop w:val="0"/>
                  <w:marBottom w:val="0"/>
                  <w:divBdr>
                    <w:top w:val="none" w:sz="0" w:space="0" w:color="auto"/>
                    <w:left w:val="none" w:sz="0" w:space="0" w:color="auto"/>
                    <w:bottom w:val="none" w:sz="0" w:space="0" w:color="auto"/>
                    <w:right w:val="none" w:sz="0" w:space="0" w:color="auto"/>
                  </w:divBdr>
                </w:div>
                <w:div w:id="725224689">
                  <w:marLeft w:val="480"/>
                  <w:marRight w:val="0"/>
                  <w:marTop w:val="0"/>
                  <w:marBottom w:val="0"/>
                  <w:divBdr>
                    <w:top w:val="none" w:sz="0" w:space="0" w:color="auto"/>
                    <w:left w:val="none" w:sz="0" w:space="0" w:color="auto"/>
                    <w:bottom w:val="none" w:sz="0" w:space="0" w:color="auto"/>
                    <w:right w:val="none" w:sz="0" w:space="0" w:color="auto"/>
                  </w:divBdr>
                </w:div>
                <w:div w:id="1870296311">
                  <w:marLeft w:val="480"/>
                  <w:marRight w:val="0"/>
                  <w:marTop w:val="0"/>
                  <w:marBottom w:val="0"/>
                  <w:divBdr>
                    <w:top w:val="none" w:sz="0" w:space="0" w:color="auto"/>
                    <w:left w:val="none" w:sz="0" w:space="0" w:color="auto"/>
                    <w:bottom w:val="none" w:sz="0" w:space="0" w:color="auto"/>
                    <w:right w:val="none" w:sz="0" w:space="0" w:color="auto"/>
                  </w:divBdr>
                </w:div>
                <w:div w:id="726029895">
                  <w:marLeft w:val="480"/>
                  <w:marRight w:val="0"/>
                  <w:marTop w:val="0"/>
                  <w:marBottom w:val="0"/>
                  <w:divBdr>
                    <w:top w:val="none" w:sz="0" w:space="0" w:color="auto"/>
                    <w:left w:val="none" w:sz="0" w:space="0" w:color="auto"/>
                    <w:bottom w:val="none" w:sz="0" w:space="0" w:color="auto"/>
                    <w:right w:val="none" w:sz="0" w:space="0" w:color="auto"/>
                  </w:divBdr>
                </w:div>
                <w:div w:id="394817409">
                  <w:marLeft w:val="480"/>
                  <w:marRight w:val="0"/>
                  <w:marTop w:val="0"/>
                  <w:marBottom w:val="0"/>
                  <w:divBdr>
                    <w:top w:val="none" w:sz="0" w:space="0" w:color="auto"/>
                    <w:left w:val="none" w:sz="0" w:space="0" w:color="auto"/>
                    <w:bottom w:val="none" w:sz="0" w:space="0" w:color="auto"/>
                    <w:right w:val="none" w:sz="0" w:space="0" w:color="auto"/>
                  </w:divBdr>
                </w:div>
                <w:div w:id="1323698792">
                  <w:marLeft w:val="480"/>
                  <w:marRight w:val="0"/>
                  <w:marTop w:val="0"/>
                  <w:marBottom w:val="0"/>
                  <w:divBdr>
                    <w:top w:val="none" w:sz="0" w:space="0" w:color="auto"/>
                    <w:left w:val="none" w:sz="0" w:space="0" w:color="auto"/>
                    <w:bottom w:val="none" w:sz="0" w:space="0" w:color="auto"/>
                    <w:right w:val="none" w:sz="0" w:space="0" w:color="auto"/>
                  </w:divBdr>
                </w:div>
                <w:div w:id="701978695">
                  <w:marLeft w:val="480"/>
                  <w:marRight w:val="0"/>
                  <w:marTop w:val="0"/>
                  <w:marBottom w:val="0"/>
                  <w:divBdr>
                    <w:top w:val="none" w:sz="0" w:space="0" w:color="auto"/>
                    <w:left w:val="none" w:sz="0" w:space="0" w:color="auto"/>
                    <w:bottom w:val="none" w:sz="0" w:space="0" w:color="auto"/>
                    <w:right w:val="none" w:sz="0" w:space="0" w:color="auto"/>
                  </w:divBdr>
                </w:div>
                <w:div w:id="820077431">
                  <w:marLeft w:val="480"/>
                  <w:marRight w:val="0"/>
                  <w:marTop w:val="0"/>
                  <w:marBottom w:val="0"/>
                  <w:divBdr>
                    <w:top w:val="none" w:sz="0" w:space="0" w:color="auto"/>
                    <w:left w:val="none" w:sz="0" w:space="0" w:color="auto"/>
                    <w:bottom w:val="none" w:sz="0" w:space="0" w:color="auto"/>
                    <w:right w:val="none" w:sz="0" w:space="0" w:color="auto"/>
                  </w:divBdr>
                </w:div>
                <w:div w:id="456264118">
                  <w:marLeft w:val="480"/>
                  <w:marRight w:val="0"/>
                  <w:marTop w:val="0"/>
                  <w:marBottom w:val="0"/>
                  <w:divBdr>
                    <w:top w:val="none" w:sz="0" w:space="0" w:color="auto"/>
                    <w:left w:val="none" w:sz="0" w:space="0" w:color="auto"/>
                    <w:bottom w:val="none" w:sz="0" w:space="0" w:color="auto"/>
                    <w:right w:val="none" w:sz="0" w:space="0" w:color="auto"/>
                  </w:divBdr>
                </w:div>
                <w:div w:id="2137487695">
                  <w:marLeft w:val="480"/>
                  <w:marRight w:val="0"/>
                  <w:marTop w:val="0"/>
                  <w:marBottom w:val="0"/>
                  <w:divBdr>
                    <w:top w:val="none" w:sz="0" w:space="0" w:color="auto"/>
                    <w:left w:val="none" w:sz="0" w:space="0" w:color="auto"/>
                    <w:bottom w:val="none" w:sz="0" w:space="0" w:color="auto"/>
                    <w:right w:val="none" w:sz="0" w:space="0" w:color="auto"/>
                  </w:divBdr>
                </w:div>
                <w:div w:id="1777945620">
                  <w:marLeft w:val="480"/>
                  <w:marRight w:val="0"/>
                  <w:marTop w:val="0"/>
                  <w:marBottom w:val="0"/>
                  <w:divBdr>
                    <w:top w:val="none" w:sz="0" w:space="0" w:color="auto"/>
                    <w:left w:val="none" w:sz="0" w:space="0" w:color="auto"/>
                    <w:bottom w:val="none" w:sz="0" w:space="0" w:color="auto"/>
                    <w:right w:val="none" w:sz="0" w:space="0" w:color="auto"/>
                  </w:divBdr>
                </w:div>
                <w:div w:id="1209882327">
                  <w:marLeft w:val="480"/>
                  <w:marRight w:val="0"/>
                  <w:marTop w:val="0"/>
                  <w:marBottom w:val="0"/>
                  <w:divBdr>
                    <w:top w:val="none" w:sz="0" w:space="0" w:color="auto"/>
                    <w:left w:val="none" w:sz="0" w:space="0" w:color="auto"/>
                    <w:bottom w:val="none" w:sz="0" w:space="0" w:color="auto"/>
                    <w:right w:val="none" w:sz="0" w:space="0" w:color="auto"/>
                  </w:divBdr>
                </w:div>
                <w:div w:id="1091243967">
                  <w:marLeft w:val="480"/>
                  <w:marRight w:val="0"/>
                  <w:marTop w:val="0"/>
                  <w:marBottom w:val="0"/>
                  <w:divBdr>
                    <w:top w:val="none" w:sz="0" w:space="0" w:color="auto"/>
                    <w:left w:val="none" w:sz="0" w:space="0" w:color="auto"/>
                    <w:bottom w:val="none" w:sz="0" w:space="0" w:color="auto"/>
                    <w:right w:val="none" w:sz="0" w:space="0" w:color="auto"/>
                  </w:divBdr>
                </w:div>
                <w:div w:id="448283243">
                  <w:marLeft w:val="480"/>
                  <w:marRight w:val="0"/>
                  <w:marTop w:val="0"/>
                  <w:marBottom w:val="0"/>
                  <w:divBdr>
                    <w:top w:val="none" w:sz="0" w:space="0" w:color="auto"/>
                    <w:left w:val="none" w:sz="0" w:space="0" w:color="auto"/>
                    <w:bottom w:val="none" w:sz="0" w:space="0" w:color="auto"/>
                    <w:right w:val="none" w:sz="0" w:space="0" w:color="auto"/>
                  </w:divBdr>
                </w:div>
                <w:div w:id="804394021">
                  <w:marLeft w:val="480"/>
                  <w:marRight w:val="0"/>
                  <w:marTop w:val="0"/>
                  <w:marBottom w:val="0"/>
                  <w:divBdr>
                    <w:top w:val="none" w:sz="0" w:space="0" w:color="auto"/>
                    <w:left w:val="none" w:sz="0" w:space="0" w:color="auto"/>
                    <w:bottom w:val="none" w:sz="0" w:space="0" w:color="auto"/>
                    <w:right w:val="none" w:sz="0" w:space="0" w:color="auto"/>
                  </w:divBdr>
                </w:div>
                <w:div w:id="509636478">
                  <w:marLeft w:val="480"/>
                  <w:marRight w:val="0"/>
                  <w:marTop w:val="0"/>
                  <w:marBottom w:val="0"/>
                  <w:divBdr>
                    <w:top w:val="none" w:sz="0" w:space="0" w:color="auto"/>
                    <w:left w:val="none" w:sz="0" w:space="0" w:color="auto"/>
                    <w:bottom w:val="none" w:sz="0" w:space="0" w:color="auto"/>
                    <w:right w:val="none" w:sz="0" w:space="0" w:color="auto"/>
                  </w:divBdr>
                </w:div>
                <w:div w:id="1773671825">
                  <w:marLeft w:val="480"/>
                  <w:marRight w:val="0"/>
                  <w:marTop w:val="0"/>
                  <w:marBottom w:val="0"/>
                  <w:divBdr>
                    <w:top w:val="none" w:sz="0" w:space="0" w:color="auto"/>
                    <w:left w:val="none" w:sz="0" w:space="0" w:color="auto"/>
                    <w:bottom w:val="none" w:sz="0" w:space="0" w:color="auto"/>
                    <w:right w:val="none" w:sz="0" w:space="0" w:color="auto"/>
                  </w:divBdr>
                </w:div>
                <w:div w:id="639959748">
                  <w:marLeft w:val="480"/>
                  <w:marRight w:val="0"/>
                  <w:marTop w:val="0"/>
                  <w:marBottom w:val="0"/>
                  <w:divBdr>
                    <w:top w:val="none" w:sz="0" w:space="0" w:color="auto"/>
                    <w:left w:val="none" w:sz="0" w:space="0" w:color="auto"/>
                    <w:bottom w:val="none" w:sz="0" w:space="0" w:color="auto"/>
                    <w:right w:val="none" w:sz="0" w:space="0" w:color="auto"/>
                  </w:divBdr>
                </w:div>
                <w:div w:id="144048310">
                  <w:marLeft w:val="480"/>
                  <w:marRight w:val="0"/>
                  <w:marTop w:val="0"/>
                  <w:marBottom w:val="0"/>
                  <w:divBdr>
                    <w:top w:val="none" w:sz="0" w:space="0" w:color="auto"/>
                    <w:left w:val="none" w:sz="0" w:space="0" w:color="auto"/>
                    <w:bottom w:val="none" w:sz="0" w:space="0" w:color="auto"/>
                    <w:right w:val="none" w:sz="0" w:space="0" w:color="auto"/>
                  </w:divBdr>
                </w:div>
              </w:divsChild>
            </w:div>
            <w:div w:id="558709312">
              <w:marLeft w:val="0"/>
              <w:marRight w:val="0"/>
              <w:marTop w:val="0"/>
              <w:marBottom w:val="0"/>
              <w:divBdr>
                <w:top w:val="none" w:sz="0" w:space="0" w:color="auto"/>
                <w:left w:val="none" w:sz="0" w:space="0" w:color="auto"/>
                <w:bottom w:val="none" w:sz="0" w:space="0" w:color="auto"/>
                <w:right w:val="none" w:sz="0" w:space="0" w:color="auto"/>
              </w:divBdr>
              <w:divsChild>
                <w:div w:id="422920062">
                  <w:marLeft w:val="480"/>
                  <w:marRight w:val="0"/>
                  <w:marTop w:val="0"/>
                  <w:marBottom w:val="0"/>
                  <w:divBdr>
                    <w:top w:val="none" w:sz="0" w:space="0" w:color="auto"/>
                    <w:left w:val="none" w:sz="0" w:space="0" w:color="auto"/>
                    <w:bottom w:val="none" w:sz="0" w:space="0" w:color="auto"/>
                    <w:right w:val="none" w:sz="0" w:space="0" w:color="auto"/>
                  </w:divBdr>
                </w:div>
                <w:div w:id="555706619">
                  <w:marLeft w:val="480"/>
                  <w:marRight w:val="0"/>
                  <w:marTop w:val="0"/>
                  <w:marBottom w:val="0"/>
                  <w:divBdr>
                    <w:top w:val="none" w:sz="0" w:space="0" w:color="auto"/>
                    <w:left w:val="none" w:sz="0" w:space="0" w:color="auto"/>
                    <w:bottom w:val="none" w:sz="0" w:space="0" w:color="auto"/>
                    <w:right w:val="none" w:sz="0" w:space="0" w:color="auto"/>
                  </w:divBdr>
                </w:div>
                <w:div w:id="734425957">
                  <w:marLeft w:val="480"/>
                  <w:marRight w:val="0"/>
                  <w:marTop w:val="0"/>
                  <w:marBottom w:val="0"/>
                  <w:divBdr>
                    <w:top w:val="none" w:sz="0" w:space="0" w:color="auto"/>
                    <w:left w:val="none" w:sz="0" w:space="0" w:color="auto"/>
                    <w:bottom w:val="none" w:sz="0" w:space="0" w:color="auto"/>
                    <w:right w:val="none" w:sz="0" w:space="0" w:color="auto"/>
                  </w:divBdr>
                </w:div>
                <w:div w:id="830218496">
                  <w:marLeft w:val="480"/>
                  <w:marRight w:val="0"/>
                  <w:marTop w:val="0"/>
                  <w:marBottom w:val="0"/>
                  <w:divBdr>
                    <w:top w:val="none" w:sz="0" w:space="0" w:color="auto"/>
                    <w:left w:val="none" w:sz="0" w:space="0" w:color="auto"/>
                    <w:bottom w:val="none" w:sz="0" w:space="0" w:color="auto"/>
                    <w:right w:val="none" w:sz="0" w:space="0" w:color="auto"/>
                  </w:divBdr>
                </w:div>
                <w:div w:id="45689449">
                  <w:marLeft w:val="480"/>
                  <w:marRight w:val="0"/>
                  <w:marTop w:val="0"/>
                  <w:marBottom w:val="0"/>
                  <w:divBdr>
                    <w:top w:val="none" w:sz="0" w:space="0" w:color="auto"/>
                    <w:left w:val="none" w:sz="0" w:space="0" w:color="auto"/>
                    <w:bottom w:val="none" w:sz="0" w:space="0" w:color="auto"/>
                    <w:right w:val="none" w:sz="0" w:space="0" w:color="auto"/>
                  </w:divBdr>
                </w:div>
                <w:div w:id="829294213">
                  <w:marLeft w:val="480"/>
                  <w:marRight w:val="0"/>
                  <w:marTop w:val="0"/>
                  <w:marBottom w:val="0"/>
                  <w:divBdr>
                    <w:top w:val="none" w:sz="0" w:space="0" w:color="auto"/>
                    <w:left w:val="none" w:sz="0" w:space="0" w:color="auto"/>
                    <w:bottom w:val="none" w:sz="0" w:space="0" w:color="auto"/>
                    <w:right w:val="none" w:sz="0" w:space="0" w:color="auto"/>
                  </w:divBdr>
                </w:div>
                <w:div w:id="94596791">
                  <w:marLeft w:val="480"/>
                  <w:marRight w:val="0"/>
                  <w:marTop w:val="0"/>
                  <w:marBottom w:val="0"/>
                  <w:divBdr>
                    <w:top w:val="none" w:sz="0" w:space="0" w:color="auto"/>
                    <w:left w:val="none" w:sz="0" w:space="0" w:color="auto"/>
                    <w:bottom w:val="none" w:sz="0" w:space="0" w:color="auto"/>
                    <w:right w:val="none" w:sz="0" w:space="0" w:color="auto"/>
                  </w:divBdr>
                </w:div>
                <w:div w:id="1451782674">
                  <w:marLeft w:val="480"/>
                  <w:marRight w:val="0"/>
                  <w:marTop w:val="0"/>
                  <w:marBottom w:val="0"/>
                  <w:divBdr>
                    <w:top w:val="none" w:sz="0" w:space="0" w:color="auto"/>
                    <w:left w:val="none" w:sz="0" w:space="0" w:color="auto"/>
                    <w:bottom w:val="none" w:sz="0" w:space="0" w:color="auto"/>
                    <w:right w:val="none" w:sz="0" w:space="0" w:color="auto"/>
                  </w:divBdr>
                </w:div>
                <w:div w:id="814179520">
                  <w:marLeft w:val="480"/>
                  <w:marRight w:val="0"/>
                  <w:marTop w:val="0"/>
                  <w:marBottom w:val="0"/>
                  <w:divBdr>
                    <w:top w:val="none" w:sz="0" w:space="0" w:color="auto"/>
                    <w:left w:val="none" w:sz="0" w:space="0" w:color="auto"/>
                    <w:bottom w:val="none" w:sz="0" w:space="0" w:color="auto"/>
                    <w:right w:val="none" w:sz="0" w:space="0" w:color="auto"/>
                  </w:divBdr>
                </w:div>
                <w:div w:id="2039159851">
                  <w:marLeft w:val="480"/>
                  <w:marRight w:val="0"/>
                  <w:marTop w:val="0"/>
                  <w:marBottom w:val="0"/>
                  <w:divBdr>
                    <w:top w:val="none" w:sz="0" w:space="0" w:color="auto"/>
                    <w:left w:val="none" w:sz="0" w:space="0" w:color="auto"/>
                    <w:bottom w:val="none" w:sz="0" w:space="0" w:color="auto"/>
                    <w:right w:val="none" w:sz="0" w:space="0" w:color="auto"/>
                  </w:divBdr>
                </w:div>
                <w:div w:id="376979628">
                  <w:marLeft w:val="480"/>
                  <w:marRight w:val="0"/>
                  <w:marTop w:val="0"/>
                  <w:marBottom w:val="0"/>
                  <w:divBdr>
                    <w:top w:val="none" w:sz="0" w:space="0" w:color="auto"/>
                    <w:left w:val="none" w:sz="0" w:space="0" w:color="auto"/>
                    <w:bottom w:val="none" w:sz="0" w:space="0" w:color="auto"/>
                    <w:right w:val="none" w:sz="0" w:space="0" w:color="auto"/>
                  </w:divBdr>
                </w:div>
                <w:div w:id="1778987408">
                  <w:marLeft w:val="480"/>
                  <w:marRight w:val="0"/>
                  <w:marTop w:val="0"/>
                  <w:marBottom w:val="0"/>
                  <w:divBdr>
                    <w:top w:val="none" w:sz="0" w:space="0" w:color="auto"/>
                    <w:left w:val="none" w:sz="0" w:space="0" w:color="auto"/>
                    <w:bottom w:val="none" w:sz="0" w:space="0" w:color="auto"/>
                    <w:right w:val="none" w:sz="0" w:space="0" w:color="auto"/>
                  </w:divBdr>
                </w:div>
                <w:div w:id="800221503">
                  <w:marLeft w:val="480"/>
                  <w:marRight w:val="0"/>
                  <w:marTop w:val="0"/>
                  <w:marBottom w:val="0"/>
                  <w:divBdr>
                    <w:top w:val="none" w:sz="0" w:space="0" w:color="auto"/>
                    <w:left w:val="none" w:sz="0" w:space="0" w:color="auto"/>
                    <w:bottom w:val="none" w:sz="0" w:space="0" w:color="auto"/>
                    <w:right w:val="none" w:sz="0" w:space="0" w:color="auto"/>
                  </w:divBdr>
                </w:div>
                <w:div w:id="1157302241">
                  <w:marLeft w:val="480"/>
                  <w:marRight w:val="0"/>
                  <w:marTop w:val="0"/>
                  <w:marBottom w:val="0"/>
                  <w:divBdr>
                    <w:top w:val="none" w:sz="0" w:space="0" w:color="auto"/>
                    <w:left w:val="none" w:sz="0" w:space="0" w:color="auto"/>
                    <w:bottom w:val="none" w:sz="0" w:space="0" w:color="auto"/>
                    <w:right w:val="none" w:sz="0" w:space="0" w:color="auto"/>
                  </w:divBdr>
                </w:div>
                <w:div w:id="13382444">
                  <w:marLeft w:val="480"/>
                  <w:marRight w:val="0"/>
                  <w:marTop w:val="0"/>
                  <w:marBottom w:val="0"/>
                  <w:divBdr>
                    <w:top w:val="none" w:sz="0" w:space="0" w:color="auto"/>
                    <w:left w:val="none" w:sz="0" w:space="0" w:color="auto"/>
                    <w:bottom w:val="none" w:sz="0" w:space="0" w:color="auto"/>
                    <w:right w:val="none" w:sz="0" w:space="0" w:color="auto"/>
                  </w:divBdr>
                </w:div>
                <w:div w:id="1296989267">
                  <w:marLeft w:val="480"/>
                  <w:marRight w:val="0"/>
                  <w:marTop w:val="0"/>
                  <w:marBottom w:val="0"/>
                  <w:divBdr>
                    <w:top w:val="none" w:sz="0" w:space="0" w:color="auto"/>
                    <w:left w:val="none" w:sz="0" w:space="0" w:color="auto"/>
                    <w:bottom w:val="none" w:sz="0" w:space="0" w:color="auto"/>
                    <w:right w:val="none" w:sz="0" w:space="0" w:color="auto"/>
                  </w:divBdr>
                </w:div>
                <w:div w:id="1602568735">
                  <w:marLeft w:val="480"/>
                  <w:marRight w:val="0"/>
                  <w:marTop w:val="0"/>
                  <w:marBottom w:val="0"/>
                  <w:divBdr>
                    <w:top w:val="none" w:sz="0" w:space="0" w:color="auto"/>
                    <w:left w:val="none" w:sz="0" w:space="0" w:color="auto"/>
                    <w:bottom w:val="none" w:sz="0" w:space="0" w:color="auto"/>
                    <w:right w:val="none" w:sz="0" w:space="0" w:color="auto"/>
                  </w:divBdr>
                </w:div>
                <w:div w:id="843595915">
                  <w:marLeft w:val="480"/>
                  <w:marRight w:val="0"/>
                  <w:marTop w:val="0"/>
                  <w:marBottom w:val="0"/>
                  <w:divBdr>
                    <w:top w:val="none" w:sz="0" w:space="0" w:color="auto"/>
                    <w:left w:val="none" w:sz="0" w:space="0" w:color="auto"/>
                    <w:bottom w:val="none" w:sz="0" w:space="0" w:color="auto"/>
                    <w:right w:val="none" w:sz="0" w:space="0" w:color="auto"/>
                  </w:divBdr>
                </w:div>
                <w:div w:id="1400011965">
                  <w:marLeft w:val="480"/>
                  <w:marRight w:val="0"/>
                  <w:marTop w:val="0"/>
                  <w:marBottom w:val="0"/>
                  <w:divBdr>
                    <w:top w:val="none" w:sz="0" w:space="0" w:color="auto"/>
                    <w:left w:val="none" w:sz="0" w:space="0" w:color="auto"/>
                    <w:bottom w:val="none" w:sz="0" w:space="0" w:color="auto"/>
                    <w:right w:val="none" w:sz="0" w:space="0" w:color="auto"/>
                  </w:divBdr>
                </w:div>
                <w:div w:id="2013415164">
                  <w:marLeft w:val="480"/>
                  <w:marRight w:val="0"/>
                  <w:marTop w:val="0"/>
                  <w:marBottom w:val="0"/>
                  <w:divBdr>
                    <w:top w:val="none" w:sz="0" w:space="0" w:color="auto"/>
                    <w:left w:val="none" w:sz="0" w:space="0" w:color="auto"/>
                    <w:bottom w:val="none" w:sz="0" w:space="0" w:color="auto"/>
                    <w:right w:val="none" w:sz="0" w:space="0" w:color="auto"/>
                  </w:divBdr>
                </w:div>
                <w:div w:id="1315111151">
                  <w:marLeft w:val="480"/>
                  <w:marRight w:val="0"/>
                  <w:marTop w:val="0"/>
                  <w:marBottom w:val="0"/>
                  <w:divBdr>
                    <w:top w:val="none" w:sz="0" w:space="0" w:color="auto"/>
                    <w:left w:val="none" w:sz="0" w:space="0" w:color="auto"/>
                    <w:bottom w:val="none" w:sz="0" w:space="0" w:color="auto"/>
                    <w:right w:val="none" w:sz="0" w:space="0" w:color="auto"/>
                  </w:divBdr>
                </w:div>
                <w:div w:id="2084641553">
                  <w:marLeft w:val="480"/>
                  <w:marRight w:val="0"/>
                  <w:marTop w:val="0"/>
                  <w:marBottom w:val="0"/>
                  <w:divBdr>
                    <w:top w:val="none" w:sz="0" w:space="0" w:color="auto"/>
                    <w:left w:val="none" w:sz="0" w:space="0" w:color="auto"/>
                    <w:bottom w:val="none" w:sz="0" w:space="0" w:color="auto"/>
                    <w:right w:val="none" w:sz="0" w:space="0" w:color="auto"/>
                  </w:divBdr>
                </w:div>
                <w:div w:id="404107311">
                  <w:marLeft w:val="480"/>
                  <w:marRight w:val="0"/>
                  <w:marTop w:val="0"/>
                  <w:marBottom w:val="0"/>
                  <w:divBdr>
                    <w:top w:val="none" w:sz="0" w:space="0" w:color="auto"/>
                    <w:left w:val="none" w:sz="0" w:space="0" w:color="auto"/>
                    <w:bottom w:val="none" w:sz="0" w:space="0" w:color="auto"/>
                    <w:right w:val="none" w:sz="0" w:space="0" w:color="auto"/>
                  </w:divBdr>
                </w:div>
                <w:div w:id="2055808817">
                  <w:marLeft w:val="480"/>
                  <w:marRight w:val="0"/>
                  <w:marTop w:val="0"/>
                  <w:marBottom w:val="0"/>
                  <w:divBdr>
                    <w:top w:val="none" w:sz="0" w:space="0" w:color="auto"/>
                    <w:left w:val="none" w:sz="0" w:space="0" w:color="auto"/>
                    <w:bottom w:val="none" w:sz="0" w:space="0" w:color="auto"/>
                    <w:right w:val="none" w:sz="0" w:space="0" w:color="auto"/>
                  </w:divBdr>
                </w:div>
                <w:div w:id="1345324758">
                  <w:marLeft w:val="480"/>
                  <w:marRight w:val="0"/>
                  <w:marTop w:val="0"/>
                  <w:marBottom w:val="0"/>
                  <w:divBdr>
                    <w:top w:val="none" w:sz="0" w:space="0" w:color="auto"/>
                    <w:left w:val="none" w:sz="0" w:space="0" w:color="auto"/>
                    <w:bottom w:val="none" w:sz="0" w:space="0" w:color="auto"/>
                    <w:right w:val="none" w:sz="0" w:space="0" w:color="auto"/>
                  </w:divBdr>
                </w:div>
                <w:div w:id="1430084397">
                  <w:marLeft w:val="480"/>
                  <w:marRight w:val="0"/>
                  <w:marTop w:val="0"/>
                  <w:marBottom w:val="0"/>
                  <w:divBdr>
                    <w:top w:val="none" w:sz="0" w:space="0" w:color="auto"/>
                    <w:left w:val="none" w:sz="0" w:space="0" w:color="auto"/>
                    <w:bottom w:val="none" w:sz="0" w:space="0" w:color="auto"/>
                    <w:right w:val="none" w:sz="0" w:space="0" w:color="auto"/>
                  </w:divBdr>
                </w:div>
                <w:div w:id="1089303664">
                  <w:marLeft w:val="480"/>
                  <w:marRight w:val="0"/>
                  <w:marTop w:val="0"/>
                  <w:marBottom w:val="0"/>
                  <w:divBdr>
                    <w:top w:val="none" w:sz="0" w:space="0" w:color="auto"/>
                    <w:left w:val="none" w:sz="0" w:space="0" w:color="auto"/>
                    <w:bottom w:val="none" w:sz="0" w:space="0" w:color="auto"/>
                    <w:right w:val="none" w:sz="0" w:space="0" w:color="auto"/>
                  </w:divBdr>
                </w:div>
                <w:div w:id="286742074">
                  <w:marLeft w:val="480"/>
                  <w:marRight w:val="0"/>
                  <w:marTop w:val="0"/>
                  <w:marBottom w:val="0"/>
                  <w:divBdr>
                    <w:top w:val="none" w:sz="0" w:space="0" w:color="auto"/>
                    <w:left w:val="none" w:sz="0" w:space="0" w:color="auto"/>
                    <w:bottom w:val="none" w:sz="0" w:space="0" w:color="auto"/>
                    <w:right w:val="none" w:sz="0" w:space="0" w:color="auto"/>
                  </w:divBdr>
                </w:div>
                <w:div w:id="348140768">
                  <w:marLeft w:val="480"/>
                  <w:marRight w:val="0"/>
                  <w:marTop w:val="0"/>
                  <w:marBottom w:val="0"/>
                  <w:divBdr>
                    <w:top w:val="none" w:sz="0" w:space="0" w:color="auto"/>
                    <w:left w:val="none" w:sz="0" w:space="0" w:color="auto"/>
                    <w:bottom w:val="none" w:sz="0" w:space="0" w:color="auto"/>
                    <w:right w:val="none" w:sz="0" w:space="0" w:color="auto"/>
                  </w:divBdr>
                </w:div>
                <w:div w:id="1062488137">
                  <w:marLeft w:val="480"/>
                  <w:marRight w:val="0"/>
                  <w:marTop w:val="0"/>
                  <w:marBottom w:val="0"/>
                  <w:divBdr>
                    <w:top w:val="none" w:sz="0" w:space="0" w:color="auto"/>
                    <w:left w:val="none" w:sz="0" w:space="0" w:color="auto"/>
                    <w:bottom w:val="none" w:sz="0" w:space="0" w:color="auto"/>
                    <w:right w:val="none" w:sz="0" w:space="0" w:color="auto"/>
                  </w:divBdr>
                </w:div>
                <w:div w:id="1235243392">
                  <w:marLeft w:val="480"/>
                  <w:marRight w:val="0"/>
                  <w:marTop w:val="0"/>
                  <w:marBottom w:val="0"/>
                  <w:divBdr>
                    <w:top w:val="none" w:sz="0" w:space="0" w:color="auto"/>
                    <w:left w:val="none" w:sz="0" w:space="0" w:color="auto"/>
                    <w:bottom w:val="none" w:sz="0" w:space="0" w:color="auto"/>
                    <w:right w:val="none" w:sz="0" w:space="0" w:color="auto"/>
                  </w:divBdr>
                </w:div>
                <w:div w:id="837158896">
                  <w:marLeft w:val="480"/>
                  <w:marRight w:val="0"/>
                  <w:marTop w:val="0"/>
                  <w:marBottom w:val="0"/>
                  <w:divBdr>
                    <w:top w:val="none" w:sz="0" w:space="0" w:color="auto"/>
                    <w:left w:val="none" w:sz="0" w:space="0" w:color="auto"/>
                    <w:bottom w:val="none" w:sz="0" w:space="0" w:color="auto"/>
                    <w:right w:val="none" w:sz="0" w:space="0" w:color="auto"/>
                  </w:divBdr>
                </w:div>
                <w:div w:id="1187793686">
                  <w:marLeft w:val="480"/>
                  <w:marRight w:val="0"/>
                  <w:marTop w:val="0"/>
                  <w:marBottom w:val="0"/>
                  <w:divBdr>
                    <w:top w:val="none" w:sz="0" w:space="0" w:color="auto"/>
                    <w:left w:val="none" w:sz="0" w:space="0" w:color="auto"/>
                    <w:bottom w:val="none" w:sz="0" w:space="0" w:color="auto"/>
                    <w:right w:val="none" w:sz="0" w:space="0" w:color="auto"/>
                  </w:divBdr>
                </w:div>
                <w:div w:id="1551459469">
                  <w:marLeft w:val="480"/>
                  <w:marRight w:val="0"/>
                  <w:marTop w:val="0"/>
                  <w:marBottom w:val="0"/>
                  <w:divBdr>
                    <w:top w:val="none" w:sz="0" w:space="0" w:color="auto"/>
                    <w:left w:val="none" w:sz="0" w:space="0" w:color="auto"/>
                    <w:bottom w:val="none" w:sz="0" w:space="0" w:color="auto"/>
                    <w:right w:val="none" w:sz="0" w:space="0" w:color="auto"/>
                  </w:divBdr>
                </w:div>
                <w:div w:id="883296461">
                  <w:marLeft w:val="480"/>
                  <w:marRight w:val="0"/>
                  <w:marTop w:val="0"/>
                  <w:marBottom w:val="0"/>
                  <w:divBdr>
                    <w:top w:val="none" w:sz="0" w:space="0" w:color="auto"/>
                    <w:left w:val="none" w:sz="0" w:space="0" w:color="auto"/>
                    <w:bottom w:val="none" w:sz="0" w:space="0" w:color="auto"/>
                    <w:right w:val="none" w:sz="0" w:space="0" w:color="auto"/>
                  </w:divBdr>
                </w:div>
                <w:div w:id="489030749">
                  <w:marLeft w:val="480"/>
                  <w:marRight w:val="0"/>
                  <w:marTop w:val="0"/>
                  <w:marBottom w:val="0"/>
                  <w:divBdr>
                    <w:top w:val="none" w:sz="0" w:space="0" w:color="auto"/>
                    <w:left w:val="none" w:sz="0" w:space="0" w:color="auto"/>
                    <w:bottom w:val="none" w:sz="0" w:space="0" w:color="auto"/>
                    <w:right w:val="none" w:sz="0" w:space="0" w:color="auto"/>
                  </w:divBdr>
                </w:div>
                <w:div w:id="1447889086">
                  <w:marLeft w:val="480"/>
                  <w:marRight w:val="0"/>
                  <w:marTop w:val="0"/>
                  <w:marBottom w:val="0"/>
                  <w:divBdr>
                    <w:top w:val="none" w:sz="0" w:space="0" w:color="auto"/>
                    <w:left w:val="none" w:sz="0" w:space="0" w:color="auto"/>
                    <w:bottom w:val="none" w:sz="0" w:space="0" w:color="auto"/>
                    <w:right w:val="none" w:sz="0" w:space="0" w:color="auto"/>
                  </w:divBdr>
                </w:div>
                <w:div w:id="1530535053">
                  <w:marLeft w:val="480"/>
                  <w:marRight w:val="0"/>
                  <w:marTop w:val="0"/>
                  <w:marBottom w:val="0"/>
                  <w:divBdr>
                    <w:top w:val="none" w:sz="0" w:space="0" w:color="auto"/>
                    <w:left w:val="none" w:sz="0" w:space="0" w:color="auto"/>
                    <w:bottom w:val="none" w:sz="0" w:space="0" w:color="auto"/>
                    <w:right w:val="none" w:sz="0" w:space="0" w:color="auto"/>
                  </w:divBdr>
                </w:div>
                <w:div w:id="745689567">
                  <w:marLeft w:val="480"/>
                  <w:marRight w:val="0"/>
                  <w:marTop w:val="0"/>
                  <w:marBottom w:val="0"/>
                  <w:divBdr>
                    <w:top w:val="none" w:sz="0" w:space="0" w:color="auto"/>
                    <w:left w:val="none" w:sz="0" w:space="0" w:color="auto"/>
                    <w:bottom w:val="none" w:sz="0" w:space="0" w:color="auto"/>
                    <w:right w:val="none" w:sz="0" w:space="0" w:color="auto"/>
                  </w:divBdr>
                </w:div>
                <w:div w:id="1599873871">
                  <w:marLeft w:val="480"/>
                  <w:marRight w:val="0"/>
                  <w:marTop w:val="0"/>
                  <w:marBottom w:val="0"/>
                  <w:divBdr>
                    <w:top w:val="none" w:sz="0" w:space="0" w:color="auto"/>
                    <w:left w:val="none" w:sz="0" w:space="0" w:color="auto"/>
                    <w:bottom w:val="none" w:sz="0" w:space="0" w:color="auto"/>
                    <w:right w:val="none" w:sz="0" w:space="0" w:color="auto"/>
                  </w:divBdr>
                </w:div>
                <w:div w:id="1718164019">
                  <w:marLeft w:val="480"/>
                  <w:marRight w:val="0"/>
                  <w:marTop w:val="0"/>
                  <w:marBottom w:val="0"/>
                  <w:divBdr>
                    <w:top w:val="none" w:sz="0" w:space="0" w:color="auto"/>
                    <w:left w:val="none" w:sz="0" w:space="0" w:color="auto"/>
                    <w:bottom w:val="none" w:sz="0" w:space="0" w:color="auto"/>
                    <w:right w:val="none" w:sz="0" w:space="0" w:color="auto"/>
                  </w:divBdr>
                </w:div>
                <w:div w:id="335424134">
                  <w:marLeft w:val="480"/>
                  <w:marRight w:val="0"/>
                  <w:marTop w:val="0"/>
                  <w:marBottom w:val="0"/>
                  <w:divBdr>
                    <w:top w:val="none" w:sz="0" w:space="0" w:color="auto"/>
                    <w:left w:val="none" w:sz="0" w:space="0" w:color="auto"/>
                    <w:bottom w:val="none" w:sz="0" w:space="0" w:color="auto"/>
                    <w:right w:val="none" w:sz="0" w:space="0" w:color="auto"/>
                  </w:divBdr>
                </w:div>
                <w:div w:id="1166483634">
                  <w:marLeft w:val="480"/>
                  <w:marRight w:val="0"/>
                  <w:marTop w:val="0"/>
                  <w:marBottom w:val="0"/>
                  <w:divBdr>
                    <w:top w:val="none" w:sz="0" w:space="0" w:color="auto"/>
                    <w:left w:val="none" w:sz="0" w:space="0" w:color="auto"/>
                    <w:bottom w:val="none" w:sz="0" w:space="0" w:color="auto"/>
                    <w:right w:val="none" w:sz="0" w:space="0" w:color="auto"/>
                  </w:divBdr>
                </w:div>
                <w:div w:id="620847557">
                  <w:marLeft w:val="480"/>
                  <w:marRight w:val="0"/>
                  <w:marTop w:val="0"/>
                  <w:marBottom w:val="0"/>
                  <w:divBdr>
                    <w:top w:val="none" w:sz="0" w:space="0" w:color="auto"/>
                    <w:left w:val="none" w:sz="0" w:space="0" w:color="auto"/>
                    <w:bottom w:val="none" w:sz="0" w:space="0" w:color="auto"/>
                    <w:right w:val="none" w:sz="0" w:space="0" w:color="auto"/>
                  </w:divBdr>
                </w:div>
                <w:div w:id="151065203">
                  <w:marLeft w:val="480"/>
                  <w:marRight w:val="0"/>
                  <w:marTop w:val="0"/>
                  <w:marBottom w:val="0"/>
                  <w:divBdr>
                    <w:top w:val="none" w:sz="0" w:space="0" w:color="auto"/>
                    <w:left w:val="none" w:sz="0" w:space="0" w:color="auto"/>
                    <w:bottom w:val="none" w:sz="0" w:space="0" w:color="auto"/>
                    <w:right w:val="none" w:sz="0" w:space="0" w:color="auto"/>
                  </w:divBdr>
                </w:div>
                <w:div w:id="1782870641">
                  <w:marLeft w:val="480"/>
                  <w:marRight w:val="0"/>
                  <w:marTop w:val="0"/>
                  <w:marBottom w:val="0"/>
                  <w:divBdr>
                    <w:top w:val="none" w:sz="0" w:space="0" w:color="auto"/>
                    <w:left w:val="none" w:sz="0" w:space="0" w:color="auto"/>
                    <w:bottom w:val="none" w:sz="0" w:space="0" w:color="auto"/>
                    <w:right w:val="none" w:sz="0" w:space="0" w:color="auto"/>
                  </w:divBdr>
                </w:div>
                <w:div w:id="1134174623">
                  <w:marLeft w:val="480"/>
                  <w:marRight w:val="0"/>
                  <w:marTop w:val="0"/>
                  <w:marBottom w:val="0"/>
                  <w:divBdr>
                    <w:top w:val="none" w:sz="0" w:space="0" w:color="auto"/>
                    <w:left w:val="none" w:sz="0" w:space="0" w:color="auto"/>
                    <w:bottom w:val="none" w:sz="0" w:space="0" w:color="auto"/>
                    <w:right w:val="none" w:sz="0" w:space="0" w:color="auto"/>
                  </w:divBdr>
                </w:div>
                <w:div w:id="1712921332">
                  <w:marLeft w:val="480"/>
                  <w:marRight w:val="0"/>
                  <w:marTop w:val="0"/>
                  <w:marBottom w:val="0"/>
                  <w:divBdr>
                    <w:top w:val="none" w:sz="0" w:space="0" w:color="auto"/>
                    <w:left w:val="none" w:sz="0" w:space="0" w:color="auto"/>
                    <w:bottom w:val="none" w:sz="0" w:space="0" w:color="auto"/>
                    <w:right w:val="none" w:sz="0" w:space="0" w:color="auto"/>
                  </w:divBdr>
                </w:div>
                <w:div w:id="1459177710">
                  <w:marLeft w:val="480"/>
                  <w:marRight w:val="0"/>
                  <w:marTop w:val="0"/>
                  <w:marBottom w:val="0"/>
                  <w:divBdr>
                    <w:top w:val="none" w:sz="0" w:space="0" w:color="auto"/>
                    <w:left w:val="none" w:sz="0" w:space="0" w:color="auto"/>
                    <w:bottom w:val="none" w:sz="0" w:space="0" w:color="auto"/>
                    <w:right w:val="none" w:sz="0" w:space="0" w:color="auto"/>
                  </w:divBdr>
                </w:div>
                <w:div w:id="1737705785">
                  <w:marLeft w:val="480"/>
                  <w:marRight w:val="0"/>
                  <w:marTop w:val="0"/>
                  <w:marBottom w:val="0"/>
                  <w:divBdr>
                    <w:top w:val="none" w:sz="0" w:space="0" w:color="auto"/>
                    <w:left w:val="none" w:sz="0" w:space="0" w:color="auto"/>
                    <w:bottom w:val="none" w:sz="0" w:space="0" w:color="auto"/>
                    <w:right w:val="none" w:sz="0" w:space="0" w:color="auto"/>
                  </w:divBdr>
                </w:div>
                <w:div w:id="2083328813">
                  <w:marLeft w:val="480"/>
                  <w:marRight w:val="0"/>
                  <w:marTop w:val="0"/>
                  <w:marBottom w:val="0"/>
                  <w:divBdr>
                    <w:top w:val="none" w:sz="0" w:space="0" w:color="auto"/>
                    <w:left w:val="none" w:sz="0" w:space="0" w:color="auto"/>
                    <w:bottom w:val="none" w:sz="0" w:space="0" w:color="auto"/>
                    <w:right w:val="none" w:sz="0" w:space="0" w:color="auto"/>
                  </w:divBdr>
                </w:div>
                <w:div w:id="1866290707">
                  <w:marLeft w:val="480"/>
                  <w:marRight w:val="0"/>
                  <w:marTop w:val="0"/>
                  <w:marBottom w:val="0"/>
                  <w:divBdr>
                    <w:top w:val="none" w:sz="0" w:space="0" w:color="auto"/>
                    <w:left w:val="none" w:sz="0" w:space="0" w:color="auto"/>
                    <w:bottom w:val="none" w:sz="0" w:space="0" w:color="auto"/>
                    <w:right w:val="none" w:sz="0" w:space="0" w:color="auto"/>
                  </w:divBdr>
                </w:div>
                <w:div w:id="220214220">
                  <w:marLeft w:val="480"/>
                  <w:marRight w:val="0"/>
                  <w:marTop w:val="0"/>
                  <w:marBottom w:val="0"/>
                  <w:divBdr>
                    <w:top w:val="none" w:sz="0" w:space="0" w:color="auto"/>
                    <w:left w:val="none" w:sz="0" w:space="0" w:color="auto"/>
                    <w:bottom w:val="none" w:sz="0" w:space="0" w:color="auto"/>
                    <w:right w:val="none" w:sz="0" w:space="0" w:color="auto"/>
                  </w:divBdr>
                </w:div>
                <w:div w:id="598179097">
                  <w:marLeft w:val="480"/>
                  <w:marRight w:val="0"/>
                  <w:marTop w:val="0"/>
                  <w:marBottom w:val="0"/>
                  <w:divBdr>
                    <w:top w:val="none" w:sz="0" w:space="0" w:color="auto"/>
                    <w:left w:val="none" w:sz="0" w:space="0" w:color="auto"/>
                    <w:bottom w:val="none" w:sz="0" w:space="0" w:color="auto"/>
                    <w:right w:val="none" w:sz="0" w:space="0" w:color="auto"/>
                  </w:divBdr>
                </w:div>
                <w:div w:id="495072457">
                  <w:marLeft w:val="480"/>
                  <w:marRight w:val="0"/>
                  <w:marTop w:val="0"/>
                  <w:marBottom w:val="0"/>
                  <w:divBdr>
                    <w:top w:val="none" w:sz="0" w:space="0" w:color="auto"/>
                    <w:left w:val="none" w:sz="0" w:space="0" w:color="auto"/>
                    <w:bottom w:val="none" w:sz="0" w:space="0" w:color="auto"/>
                    <w:right w:val="none" w:sz="0" w:space="0" w:color="auto"/>
                  </w:divBdr>
                </w:div>
                <w:div w:id="855314202">
                  <w:marLeft w:val="480"/>
                  <w:marRight w:val="0"/>
                  <w:marTop w:val="0"/>
                  <w:marBottom w:val="0"/>
                  <w:divBdr>
                    <w:top w:val="none" w:sz="0" w:space="0" w:color="auto"/>
                    <w:left w:val="none" w:sz="0" w:space="0" w:color="auto"/>
                    <w:bottom w:val="none" w:sz="0" w:space="0" w:color="auto"/>
                    <w:right w:val="none" w:sz="0" w:space="0" w:color="auto"/>
                  </w:divBdr>
                </w:div>
                <w:div w:id="1047798143">
                  <w:marLeft w:val="480"/>
                  <w:marRight w:val="0"/>
                  <w:marTop w:val="0"/>
                  <w:marBottom w:val="0"/>
                  <w:divBdr>
                    <w:top w:val="none" w:sz="0" w:space="0" w:color="auto"/>
                    <w:left w:val="none" w:sz="0" w:space="0" w:color="auto"/>
                    <w:bottom w:val="none" w:sz="0" w:space="0" w:color="auto"/>
                    <w:right w:val="none" w:sz="0" w:space="0" w:color="auto"/>
                  </w:divBdr>
                </w:div>
                <w:div w:id="1927299795">
                  <w:marLeft w:val="480"/>
                  <w:marRight w:val="0"/>
                  <w:marTop w:val="0"/>
                  <w:marBottom w:val="0"/>
                  <w:divBdr>
                    <w:top w:val="none" w:sz="0" w:space="0" w:color="auto"/>
                    <w:left w:val="none" w:sz="0" w:space="0" w:color="auto"/>
                    <w:bottom w:val="none" w:sz="0" w:space="0" w:color="auto"/>
                    <w:right w:val="none" w:sz="0" w:space="0" w:color="auto"/>
                  </w:divBdr>
                </w:div>
                <w:div w:id="1760175496">
                  <w:marLeft w:val="480"/>
                  <w:marRight w:val="0"/>
                  <w:marTop w:val="0"/>
                  <w:marBottom w:val="0"/>
                  <w:divBdr>
                    <w:top w:val="none" w:sz="0" w:space="0" w:color="auto"/>
                    <w:left w:val="none" w:sz="0" w:space="0" w:color="auto"/>
                    <w:bottom w:val="none" w:sz="0" w:space="0" w:color="auto"/>
                    <w:right w:val="none" w:sz="0" w:space="0" w:color="auto"/>
                  </w:divBdr>
                </w:div>
                <w:div w:id="190608227">
                  <w:marLeft w:val="480"/>
                  <w:marRight w:val="0"/>
                  <w:marTop w:val="0"/>
                  <w:marBottom w:val="0"/>
                  <w:divBdr>
                    <w:top w:val="none" w:sz="0" w:space="0" w:color="auto"/>
                    <w:left w:val="none" w:sz="0" w:space="0" w:color="auto"/>
                    <w:bottom w:val="none" w:sz="0" w:space="0" w:color="auto"/>
                    <w:right w:val="none" w:sz="0" w:space="0" w:color="auto"/>
                  </w:divBdr>
                </w:div>
                <w:div w:id="455490932">
                  <w:marLeft w:val="480"/>
                  <w:marRight w:val="0"/>
                  <w:marTop w:val="0"/>
                  <w:marBottom w:val="0"/>
                  <w:divBdr>
                    <w:top w:val="none" w:sz="0" w:space="0" w:color="auto"/>
                    <w:left w:val="none" w:sz="0" w:space="0" w:color="auto"/>
                    <w:bottom w:val="none" w:sz="0" w:space="0" w:color="auto"/>
                    <w:right w:val="none" w:sz="0" w:space="0" w:color="auto"/>
                  </w:divBdr>
                </w:div>
                <w:div w:id="178084008">
                  <w:marLeft w:val="480"/>
                  <w:marRight w:val="0"/>
                  <w:marTop w:val="0"/>
                  <w:marBottom w:val="0"/>
                  <w:divBdr>
                    <w:top w:val="none" w:sz="0" w:space="0" w:color="auto"/>
                    <w:left w:val="none" w:sz="0" w:space="0" w:color="auto"/>
                    <w:bottom w:val="none" w:sz="0" w:space="0" w:color="auto"/>
                    <w:right w:val="none" w:sz="0" w:space="0" w:color="auto"/>
                  </w:divBdr>
                </w:div>
                <w:div w:id="1016536936">
                  <w:marLeft w:val="480"/>
                  <w:marRight w:val="0"/>
                  <w:marTop w:val="0"/>
                  <w:marBottom w:val="0"/>
                  <w:divBdr>
                    <w:top w:val="none" w:sz="0" w:space="0" w:color="auto"/>
                    <w:left w:val="none" w:sz="0" w:space="0" w:color="auto"/>
                    <w:bottom w:val="none" w:sz="0" w:space="0" w:color="auto"/>
                    <w:right w:val="none" w:sz="0" w:space="0" w:color="auto"/>
                  </w:divBdr>
                </w:div>
                <w:div w:id="380830361">
                  <w:marLeft w:val="480"/>
                  <w:marRight w:val="0"/>
                  <w:marTop w:val="0"/>
                  <w:marBottom w:val="0"/>
                  <w:divBdr>
                    <w:top w:val="none" w:sz="0" w:space="0" w:color="auto"/>
                    <w:left w:val="none" w:sz="0" w:space="0" w:color="auto"/>
                    <w:bottom w:val="none" w:sz="0" w:space="0" w:color="auto"/>
                    <w:right w:val="none" w:sz="0" w:space="0" w:color="auto"/>
                  </w:divBdr>
                </w:div>
                <w:div w:id="464549037">
                  <w:marLeft w:val="480"/>
                  <w:marRight w:val="0"/>
                  <w:marTop w:val="0"/>
                  <w:marBottom w:val="0"/>
                  <w:divBdr>
                    <w:top w:val="none" w:sz="0" w:space="0" w:color="auto"/>
                    <w:left w:val="none" w:sz="0" w:space="0" w:color="auto"/>
                    <w:bottom w:val="none" w:sz="0" w:space="0" w:color="auto"/>
                    <w:right w:val="none" w:sz="0" w:space="0" w:color="auto"/>
                  </w:divBdr>
                </w:div>
                <w:div w:id="1736319057">
                  <w:marLeft w:val="480"/>
                  <w:marRight w:val="0"/>
                  <w:marTop w:val="0"/>
                  <w:marBottom w:val="0"/>
                  <w:divBdr>
                    <w:top w:val="none" w:sz="0" w:space="0" w:color="auto"/>
                    <w:left w:val="none" w:sz="0" w:space="0" w:color="auto"/>
                    <w:bottom w:val="none" w:sz="0" w:space="0" w:color="auto"/>
                    <w:right w:val="none" w:sz="0" w:space="0" w:color="auto"/>
                  </w:divBdr>
                </w:div>
                <w:div w:id="1518928187">
                  <w:marLeft w:val="480"/>
                  <w:marRight w:val="0"/>
                  <w:marTop w:val="0"/>
                  <w:marBottom w:val="0"/>
                  <w:divBdr>
                    <w:top w:val="none" w:sz="0" w:space="0" w:color="auto"/>
                    <w:left w:val="none" w:sz="0" w:space="0" w:color="auto"/>
                    <w:bottom w:val="none" w:sz="0" w:space="0" w:color="auto"/>
                    <w:right w:val="none" w:sz="0" w:space="0" w:color="auto"/>
                  </w:divBdr>
                </w:div>
                <w:div w:id="1439251652">
                  <w:marLeft w:val="480"/>
                  <w:marRight w:val="0"/>
                  <w:marTop w:val="0"/>
                  <w:marBottom w:val="0"/>
                  <w:divBdr>
                    <w:top w:val="none" w:sz="0" w:space="0" w:color="auto"/>
                    <w:left w:val="none" w:sz="0" w:space="0" w:color="auto"/>
                    <w:bottom w:val="none" w:sz="0" w:space="0" w:color="auto"/>
                    <w:right w:val="none" w:sz="0" w:space="0" w:color="auto"/>
                  </w:divBdr>
                </w:div>
                <w:div w:id="1336103760">
                  <w:marLeft w:val="480"/>
                  <w:marRight w:val="0"/>
                  <w:marTop w:val="0"/>
                  <w:marBottom w:val="0"/>
                  <w:divBdr>
                    <w:top w:val="none" w:sz="0" w:space="0" w:color="auto"/>
                    <w:left w:val="none" w:sz="0" w:space="0" w:color="auto"/>
                    <w:bottom w:val="none" w:sz="0" w:space="0" w:color="auto"/>
                    <w:right w:val="none" w:sz="0" w:space="0" w:color="auto"/>
                  </w:divBdr>
                </w:div>
                <w:div w:id="176890757">
                  <w:marLeft w:val="480"/>
                  <w:marRight w:val="0"/>
                  <w:marTop w:val="0"/>
                  <w:marBottom w:val="0"/>
                  <w:divBdr>
                    <w:top w:val="none" w:sz="0" w:space="0" w:color="auto"/>
                    <w:left w:val="none" w:sz="0" w:space="0" w:color="auto"/>
                    <w:bottom w:val="none" w:sz="0" w:space="0" w:color="auto"/>
                    <w:right w:val="none" w:sz="0" w:space="0" w:color="auto"/>
                  </w:divBdr>
                </w:div>
                <w:div w:id="550117383">
                  <w:marLeft w:val="480"/>
                  <w:marRight w:val="0"/>
                  <w:marTop w:val="0"/>
                  <w:marBottom w:val="0"/>
                  <w:divBdr>
                    <w:top w:val="none" w:sz="0" w:space="0" w:color="auto"/>
                    <w:left w:val="none" w:sz="0" w:space="0" w:color="auto"/>
                    <w:bottom w:val="none" w:sz="0" w:space="0" w:color="auto"/>
                    <w:right w:val="none" w:sz="0" w:space="0" w:color="auto"/>
                  </w:divBdr>
                </w:div>
                <w:div w:id="1532650371">
                  <w:marLeft w:val="480"/>
                  <w:marRight w:val="0"/>
                  <w:marTop w:val="0"/>
                  <w:marBottom w:val="0"/>
                  <w:divBdr>
                    <w:top w:val="none" w:sz="0" w:space="0" w:color="auto"/>
                    <w:left w:val="none" w:sz="0" w:space="0" w:color="auto"/>
                    <w:bottom w:val="none" w:sz="0" w:space="0" w:color="auto"/>
                    <w:right w:val="none" w:sz="0" w:space="0" w:color="auto"/>
                  </w:divBdr>
                </w:div>
                <w:div w:id="1593321895">
                  <w:marLeft w:val="480"/>
                  <w:marRight w:val="0"/>
                  <w:marTop w:val="0"/>
                  <w:marBottom w:val="0"/>
                  <w:divBdr>
                    <w:top w:val="none" w:sz="0" w:space="0" w:color="auto"/>
                    <w:left w:val="none" w:sz="0" w:space="0" w:color="auto"/>
                    <w:bottom w:val="none" w:sz="0" w:space="0" w:color="auto"/>
                    <w:right w:val="none" w:sz="0" w:space="0" w:color="auto"/>
                  </w:divBdr>
                </w:div>
                <w:div w:id="1678078407">
                  <w:marLeft w:val="480"/>
                  <w:marRight w:val="0"/>
                  <w:marTop w:val="0"/>
                  <w:marBottom w:val="0"/>
                  <w:divBdr>
                    <w:top w:val="none" w:sz="0" w:space="0" w:color="auto"/>
                    <w:left w:val="none" w:sz="0" w:space="0" w:color="auto"/>
                    <w:bottom w:val="none" w:sz="0" w:space="0" w:color="auto"/>
                    <w:right w:val="none" w:sz="0" w:space="0" w:color="auto"/>
                  </w:divBdr>
                </w:div>
                <w:div w:id="862285899">
                  <w:marLeft w:val="480"/>
                  <w:marRight w:val="0"/>
                  <w:marTop w:val="0"/>
                  <w:marBottom w:val="0"/>
                  <w:divBdr>
                    <w:top w:val="none" w:sz="0" w:space="0" w:color="auto"/>
                    <w:left w:val="none" w:sz="0" w:space="0" w:color="auto"/>
                    <w:bottom w:val="none" w:sz="0" w:space="0" w:color="auto"/>
                    <w:right w:val="none" w:sz="0" w:space="0" w:color="auto"/>
                  </w:divBdr>
                </w:div>
                <w:div w:id="1747989888">
                  <w:marLeft w:val="480"/>
                  <w:marRight w:val="0"/>
                  <w:marTop w:val="0"/>
                  <w:marBottom w:val="0"/>
                  <w:divBdr>
                    <w:top w:val="none" w:sz="0" w:space="0" w:color="auto"/>
                    <w:left w:val="none" w:sz="0" w:space="0" w:color="auto"/>
                    <w:bottom w:val="none" w:sz="0" w:space="0" w:color="auto"/>
                    <w:right w:val="none" w:sz="0" w:space="0" w:color="auto"/>
                  </w:divBdr>
                </w:div>
                <w:div w:id="959649737">
                  <w:marLeft w:val="480"/>
                  <w:marRight w:val="0"/>
                  <w:marTop w:val="0"/>
                  <w:marBottom w:val="0"/>
                  <w:divBdr>
                    <w:top w:val="none" w:sz="0" w:space="0" w:color="auto"/>
                    <w:left w:val="none" w:sz="0" w:space="0" w:color="auto"/>
                    <w:bottom w:val="none" w:sz="0" w:space="0" w:color="auto"/>
                    <w:right w:val="none" w:sz="0" w:space="0" w:color="auto"/>
                  </w:divBdr>
                </w:div>
                <w:div w:id="733624224">
                  <w:marLeft w:val="480"/>
                  <w:marRight w:val="0"/>
                  <w:marTop w:val="0"/>
                  <w:marBottom w:val="0"/>
                  <w:divBdr>
                    <w:top w:val="none" w:sz="0" w:space="0" w:color="auto"/>
                    <w:left w:val="none" w:sz="0" w:space="0" w:color="auto"/>
                    <w:bottom w:val="none" w:sz="0" w:space="0" w:color="auto"/>
                    <w:right w:val="none" w:sz="0" w:space="0" w:color="auto"/>
                  </w:divBdr>
                </w:div>
                <w:div w:id="1005284924">
                  <w:marLeft w:val="480"/>
                  <w:marRight w:val="0"/>
                  <w:marTop w:val="0"/>
                  <w:marBottom w:val="0"/>
                  <w:divBdr>
                    <w:top w:val="none" w:sz="0" w:space="0" w:color="auto"/>
                    <w:left w:val="none" w:sz="0" w:space="0" w:color="auto"/>
                    <w:bottom w:val="none" w:sz="0" w:space="0" w:color="auto"/>
                    <w:right w:val="none" w:sz="0" w:space="0" w:color="auto"/>
                  </w:divBdr>
                </w:div>
                <w:div w:id="379519486">
                  <w:marLeft w:val="480"/>
                  <w:marRight w:val="0"/>
                  <w:marTop w:val="0"/>
                  <w:marBottom w:val="0"/>
                  <w:divBdr>
                    <w:top w:val="none" w:sz="0" w:space="0" w:color="auto"/>
                    <w:left w:val="none" w:sz="0" w:space="0" w:color="auto"/>
                    <w:bottom w:val="none" w:sz="0" w:space="0" w:color="auto"/>
                    <w:right w:val="none" w:sz="0" w:space="0" w:color="auto"/>
                  </w:divBdr>
                </w:div>
                <w:div w:id="1458715713">
                  <w:marLeft w:val="480"/>
                  <w:marRight w:val="0"/>
                  <w:marTop w:val="0"/>
                  <w:marBottom w:val="0"/>
                  <w:divBdr>
                    <w:top w:val="none" w:sz="0" w:space="0" w:color="auto"/>
                    <w:left w:val="none" w:sz="0" w:space="0" w:color="auto"/>
                    <w:bottom w:val="none" w:sz="0" w:space="0" w:color="auto"/>
                    <w:right w:val="none" w:sz="0" w:space="0" w:color="auto"/>
                  </w:divBdr>
                </w:div>
                <w:div w:id="425227318">
                  <w:marLeft w:val="480"/>
                  <w:marRight w:val="0"/>
                  <w:marTop w:val="0"/>
                  <w:marBottom w:val="0"/>
                  <w:divBdr>
                    <w:top w:val="none" w:sz="0" w:space="0" w:color="auto"/>
                    <w:left w:val="none" w:sz="0" w:space="0" w:color="auto"/>
                    <w:bottom w:val="none" w:sz="0" w:space="0" w:color="auto"/>
                    <w:right w:val="none" w:sz="0" w:space="0" w:color="auto"/>
                  </w:divBdr>
                </w:div>
                <w:div w:id="1540775185">
                  <w:marLeft w:val="480"/>
                  <w:marRight w:val="0"/>
                  <w:marTop w:val="0"/>
                  <w:marBottom w:val="0"/>
                  <w:divBdr>
                    <w:top w:val="none" w:sz="0" w:space="0" w:color="auto"/>
                    <w:left w:val="none" w:sz="0" w:space="0" w:color="auto"/>
                    <w:bottom w:val="none" w:sz="0" w:space="0" w:color="auto"/>
                    <w:right w:val="none" w:sz="0" w:space="0" w:color="auto"/>
                  </w:divBdr>
                </w:div>
                <w:div w:id="195851038">
                  <w:marLeft w:val="480"/>
                  <w:marRight w:val="0"/>
                  <w:marTop w:val="0"/>
                  <w:marBottom w:val="0"/>
                  <w:divBdr>
                    <w:top w:val="none" w:sz="0" w:space="0" w:color="auto"/>
                    <w:left w:val="none" w:sz="0" w:space="0" w:color="auto"/>
                    <w:bottom w:val="none" w:sz="0" w:space="0" w:color="auto"/>
                    <w:right w:val="none" w:sz="0" w:space="0" w:color="auto"/>
                  </w:divBdr>
                </w:div>
                <w:div w:id="1110931185">
                  <w:marLeft w:val="480"/>
                  <w:marRight w:val="0"/>
                  <w:marTop w:val="0"/>
                  <w:marBottom w:val="0"/>
                  <w:divBdr>
                    <w:top w:val="none" w:sz="0" w:space="0" w:color="auto"/>
                    <w:left w:val="none" w:sz="0" w:space="0" w:color="auto"/>
                    <w:bottom w:val="none" w:sz="0" w:space="0" w:color="auto"/>
                    <w:right w:val="none" w:sz="0" w:space="0" w:color="auto"/>
                  </w:divBdr>
                </w:div>
                <w:div w:id="519005987">
                  <w:marLeft w:val="480"/>
                  <w:marRight w:val="0"/>
                  <w:marTop w:val="0"/>
                  <w:marBottom w:val="0"/>
                  <w:divBdr>
                    <w:top w:val="none" w:sz="0" w:space="0" w:color="auto"/>
                    <w:left w:val="none" w:sz="0" w:space="0" w:color="auto"/>
                    <w:bottom w:val="none" w:sz="0" w:space="0" w:color="auto"/>
                    <w:right w:val="none" w:sz="0" w:space="0" w:color="auto"/>
                  </w:divBdr>
                </w:div>
                <w:div w:id="929436665">
                  <w:marLeft w:val="480"/>
                  <w:marRight w:val="0"/>
                  <w:marTop w:val="0"/>
                  <w:marBottom w:val="0"/>
                  <w:divBdr>
                    <w:top w:val="none" w:sz="0" w:space="0" w:color="auto"/>
                    <w:left w:val="none" w:sz="0" w:space="0" w:color="auto"/>
                    <w:bottom w:val="none" w:sz="0" w:space="0" w:color="auto"/>
                    <w:right w:val="none" w:sz="0" w:space="0" w:color="auto"/>
                  </w:divBdr>
                </w:div>
                <w:div w:id="1754887305">
                  <w:marLeft w:val="480"/>
                  <w:marRight w:val="0"/>
                  <w:marTop w:val="0"/>
                  <w:marBottom w:val="0"/>
                  <w:divBdr>
                    <w:top w:val="none" w:sz="0" w:space="0" w:color="auto"/>
                    <w:left w:val="none" w:sz="0" w:space="0" w:color="auto"/>
                    <w:bottom w:val="none" w:sz="0" w:space="0" w:color="auto"/>
                    <w:right w:val="none" w:sz="0" w:space="0" w:color="auto"/>
                  </w:divBdr>
                </w:div>
                <w:div w:id="1958443696">
                  <w:marLeft w:val="480"/>
                  <w:marRight w:val="0"/>
                  <w:marTop w:val="0"/>
                  <w:marBottom w:val="0"/>
                  <w:divBdr>
                    <w:top w:val="none" w:sz="0" w:space="0" w:color="auto"/>
                    <w:left w:val="none" w:sz="0" w:space="0" w:color="auto"/>
                    <w:bottom w:val="none" w:sz="0" w:space="0" w:color="auto"/>
                    <w:right w:val="none" w:sz="0" w:space="0" w:color="auto"/>
                  </w:divBdr>
                </w:div>
                <w:div w:id="682824116">
                  <w:marLeft w:val="480"/>
                  <w:marRight w:val="0"/>
                  <w:marTop w:val="0"/>
                  <w:marBottom w:val="0"/>
                  <w:divBdr>
                    <w:top w:val="none" w:sz="0" w:space="0" w:color="auto"/>
                    <w:left w:val="none" w:sz="0" w:space="0" w:color="auto"/>
                    <w:bottom w:val="none" w:sz="0" w:space="0" w:color="auto"/>
                    <w:right w:val="none" w:sz="0" w:space="0" w:color="auto"/>
                  </w:divBdr>
                </w:div>
                <w:div w:id="1080100507">
                  <w:marLeft w:val="480"/>
                  <w:marRight w:val="0"/>
                  <w:marTop w:val="0"/>
                  <w:marBottom w:val="0"/>
                  <w:divBdr>
                    <w:top w:val="none" w:sz="0" w:space="0" w:color="auto"/>
                    <w:left w:val="none" w:sz="0" w:space="0" w:color="auto"/>
                    <w:bottom w:val="none" w:sz="0" w:space="0" w:color="auto"/>
                    <w:right w:val="none" w:sz="0" w:space="0" w:color="auto"/>
                  </w:divBdr>
                </w:div>
                <w:div w:id="1833721149">
                  <w:marLeft w:val="480"/>
                  <w:marRight w:val="0"/>
                  <w:marTop w:val="0"/>
                  <w:marBottom w:val="0"/>
                  <w:divBdr>
                    <w:top w:val="none" w:sz="0" w:space="0" w:color="auto"/>
                    <w:left w:val="none" w:sz="0" w:space="0" w:color="auto"/>
                    <w:bottom w:val="none" w:sz="0" w:space="0" w:color="auto"/>
                    <w:right w:val="none" w:sz="0" w:space="0" w:color="auto"/>
                  </w:divBdr>
                </w:div>
                <w:div w:id="1034888178">
                  <w:marLeft w:val="480"/>
                  <w:marRight w:val="0"/>
                  <w:marTop w:val="0"/>
                  <w:marBottom w:val="0"/>
                  <w:divBdr>
                    <w:top w:val="none" w:sz="0" w:space="0" w:color="auto"/>
                    <w:left w:val="none" w:sz="0" w:space="0" w:color="auto"/>
                    <w:bottom w:val="none" w:sz="0" w:space="0" w:color="auto"/>
                    <w:right w:val="none" w:sz="0" w:space="0" w:color="auto"/>
                  </w:divBdr>
                </w:div>
                <w:div w:id="17243080">
                  <w:marLeft w:val="480"/>
                  <w:marRight w:val="0"/>
                  <w:marTop w:val="0"/>
                  <w:marBottom w:val="0"/>
                  <w:divBdr>
                    <w:top w:val="none" w:sz="0" w:space="0" w:color="auto"/>
                    <w:left w:val="none" w:sz="0" w:space="0" w:color="auto"/>
                    <w:bottom w:val="none" w:sz="0" w:space="0" w:color="auto"/>
                    <w:right w:val="none" w:sz="0" w:space="0" w:color="auto"/>
                  </w:divBdr>
                </w:div>
                <w:div w:id="1385762588">
                  <w:marLeft w:val="480"/>
                  <w:marRight w:val="0"/>
                  <w:marTop w:val="0"/>
                  <w:marBottom w:val="0"/>
                  <w:divBdr>
                    <w:top w:val="none" w:sz="0" w:space="0" w:color="auto"/>
                    <w:left w:val="none" w:sz="0" w:space="0" w:color="auto"/>
                    <w:bottom w:val="none" w:sz="0" w:space="0" w:color="auto"/>
                    <w:right w:val="none" w:sz="0" w:space="0" w:color="auto"/>
                  </w:divBdr>
                </w:div>
                <w:div w:id="984359884">
                  <w:marLeft w:val="480"/>
                  <w:marRight w:val="0"/>
                  <w:marTop w:val="0"/>
                  <w:marBottom w:val="0"/>
                  <w:divBdr>
                    <w:top w:val="none" w:sz="0" w:space="0" w:color="auto"/>
                    <w:left w:val="none" w:sz="0" w:space="0" w:color="auto"/>
                    <w:bottom w:val="none" w:sz="0" w:space="0" w:color="auto"/>
                    <w:right w:val="none" w:sz="0" w:space="0" w:color="auto"/>
                  </w:divBdr>
                </w:div>
                <w:div w:id="1436947032">
                  <w:marLeft w:val="480"/>
                  <w:marRight w:val="0"/>
                  <w:marTop w:val="0"/>
                  <w:marBottom w:val="0"/>
                  <w:divBdr>
                    <w:top w:val="none" w:sz="0" w:space="0" w:color="auto"/>
                    <w:left w:val="none" w:sz="0" w:space="0" w:color="auto"/>
                    <w:bottom w:val="none" w:sz="0" w:space="0" w:color="auto"/>
                    <w:right w:val="none" w:sz="0" w:space="0" w:color="auto"/>
                  </w:divBdr>
                </w:div>
                <w:div w:id="1458641591">
                  <w:marLeft w:val="480"/>
                  <w:marRight w:val="0"/>
                  <w:marTop w:val="0"/>
                  <w:marBottom w:val="0"/>
                  <w:divBdr>
                    <w:top w:val="none" w:sz="0" w:space="0" w:color="auto"/>
                    <w:left w:val="none" w:sz="0" w:space="0" w:color="auto"/>
                    <w:bottom w:val="none" w:sz="0" w:space="0" w:color="auto"/>
                    <w:right w:val="none" w:sz="0" w:space="0" w:color="auto"/>
                  </w:divBdr>
                </w:div>
                <w:div w:id="1998996085">
                  <w:marLeft w:val="480"/>
                  <w:marRight w:val="0"/>
                  <w:marTop w:val="0"/>
                  <w:marBottom w:val="0"/>
                  <w:divBdr>
                    <w:top w:val="none" w:sz="0" w:space="0" w:color="auto"/>
                    <w:left w:val="none" w:sz="0" w:space="0" w:color="auto"/>
                    <w:bottom w:val="none" w:sz="0" w:space="0" w:color="auto"/>
                    <w:right w:val="none" w:sz="0" w:space="0" w:color="auto"/>
                  </w:divBdr>
                </w:div>
                <w:div w:id="1379017191">
                  <w:marLeft w:val="480"/>
                  <w:marRight w:val="0"/>
                  <w:marTop w:val="0"/>
                  <w:marBottom w:val="0"/>
                  <w:divBdr>
                    <w:top w:val="none" w:sz="0" w:space="0" w:color="auto"/>
                    <w:left w:val="none" w:sz="0" w:space="0" w:color="auto"/>
                    <w:bottom w:val="none" w:sz="0" w:space="0" w:color="auto"/>
                    <w:right w:val="none" w:sz="0" w:space="0" w:color="auto"/>
                  </w:divBdr>
                </w:div>
                <w:div w:id="1023168807">
                  <w:marLeft w:val="480"/>
                  <w:marRight w:val="0"/>
                  <w:marTop w:val="0"/>
                  <w:marBottom w:val="0"/>
                  <w:divBdr>
                    <w:top w:val="none" w:sz="0" w:space="0" w:color="auto"/>
                    <w:left w:val="none" w:sz="0" w:space="0" w:color="auto"/>
                    <w:bottom w:val="none" w:sz="0" w:space="0" w:color="auto"/>
                    <w:right w:val="none" w:sz="0" w:space="0" w:color="auto"/>
                  </w:divBdr>
                </w:div>
                <w:div w:id="1322732023">
                  <w:marLeft w:val="480"/>
                  <w:marRight w:val="0"/>
                  <w:marTop w:val="0"/>
                  <w:marBottom w:val="0"/>
                  <w:divBdr>
                    <w:top w:val="none" w:sz="0" w:space="0" w:color="auto"/>
                    <w:left w:val="none" w:sz="0" w:space="0" w:color="auto"/>
                    <w:bottom w:val="none" w:sz="0" w:space="0" w:color="auto"/>
                    <w:right w:val="none" w:sz="0" w:space="0" w:color="auto"/>
                  </w:divBdr>
                </w:div>
                <w:div w:id="1478649447">
                  <w:marLeft w:val="480"/>
                  <w:marRight w:val="0"/>
                  <w:marTop w:val="0"/>
                  <w:marBottom w:val="0"/>
                  <w:divBdr>
                    <w:top w:val="none" w:sz="0" w:space="0" w:color="auto"/>
                    <w:left w:val="none" w:sz="0" w:space="0" w:color="auto"/>
                    <w:bottom w:val="none" w:sz="0" w:space="0" w:color="auto"/>
                    <w:right w:val="none" w:sz="0" w:space="0" w:color="auto"/>
                  </w:divBdr>
                </w:div>
                <w:div w:id="426467446">
                  <w:marLeft w:val="480"/>
                  <w:marRight w:val="0"/>
                  <w:marTop w:val="0"/>
                  <w:marBottom w:val="0"/>
                  <w:divBdr>
                    <w:top w:val="none" w:sz="0" w:space="0" w:color="auto"/>
                    <w:left w:val="none" w:sz="0" w:space="0" w:color="auto"/>
                    <w:bottom w:val="none" w:sz="0" w:space="0" w:color="auto"/>
                    <w:right w:val="none" w:sz="0" w:space="0" w:color="auto"/>
                  </w:divBdr>
                </w:div>
                <w:div w:id="299697110">
                  <w:marLeft w:val="480"/>
                  <w:marRight w:val="0"/>
                  <w:marTop w:val="0"/>
                  <w:marBottom w:val="0"/>
                  <w:divBdr>
                    <w:top w:val="none" w:sz="0" w:space="0" w:color="auto"/>
                    <w:left w:val="none" w:sz="0" w:space="0" w:color="auto"/>
                    <w:bottom w:val="none" w:sz="0" w:space="0" w:color="auto"/>
                    <w:right w:val="none" w:sz="0" w:space="0" w:color="auto"/>
                  </w:divBdr>
                </w:div>
                <w:div w:id="606156041">
                  <w:marLeft w:val="480"/>
                  <w:marRight w:val="0"/>
                  <w:marTop w:val="0"/>
                  <w:marBottom w:val="0"/>
                  <w:divBdr>
                    <w:top w:val="none" w:sz="0" w:space="0" w:color="auto"/>
                    <w:left w:val="none" w:sz="0" w:space="0" w:color="auto"/>
                    <w:bottom w:val="none" w:sz="0" w:space="0" w:color="auto"/>
                    <w:right w:val="none" w:sz="0" w:space="0" w:color="auto"/>
                  </w:divBdr>
                </w:div>
                <w:div w:id="958756734">
                  <w:marLeft w:val="480"/>
                  <w:marRight w:val="0"/>
                  <w:marTop w:val="0"/>
                  <w:marBottom w:val="0"/>
                  <w:divBdr>
                    <w:top w:val="none" w:sz="0" w:space="0" w:color="auto"/>
                    <w:left w:val="none" w:sz="0" w:space="0" w:color="auto"/>
                    <w:bottom w:val="none" w:sz="0" w:space="0" w:color="auto"/>
                    <w:right w:val="none" w:sz="0" w:space="0" w:color="auto"/>
                  </w:divBdr>
                </w:div>
                <w:div w:id="1152520585">
                  <w:marLeft w:val="480"/>
                  <w:marRight w:val="0"/>
                  <w:marTop w:val="0"/>
                  <w:marBottom w:val="0"/>
                  <w:divBdr>
                    <w:top w:val="none" w:sz="0" w:space="0" w:color="auto"/>
                    <w:left w:val="none" w:sz="0" w:space="0" w:color="auto"/>
                    <w:bottom w:val="none" w:sz="0" w:space="0" w:color="auto"/>
                    <w:right w:val="none" w:sz="0" w:space="0" w:color="auto"/>
                  </w:divBdr>
                </w:div>
                <w:div w:id="870538178">
                  <w:marLeft w:val="480"/>
                  <w:marRight w:val="0"/>
                  <w:marTop w:val="0"/>
                  <w:marBottom w:val="0"/>
                  <w:divBdr>
                    <w:top w:val="none" w:sz="0" w:space="0" w:color="auto"/>
                    <w:left w:val="none" w:sz="0" w:space="0" w:color="auto"/>
                    <w:bottom w:val="none" w:sz="0" w:space="0" w:color="auto"/>
                    <w:right w:val="none" w:sz="0" w:space="0" w:color="auto"/>
                  </w:divBdr>
                </w:div>
                <w:div w:id="1029839130">
                  <w:marLeft w:val="480"/>
                  <w:marRight w:val="0"/>
                  <w:marTop w:val="0"/>
                  <w:marBottom w:val="0"/>
                  <w:divBdr>
                    <w:top w:val="none" w:sz="0" w:space="0" w:color="auto"/>
                    <w:left w:val="none" w:sz="0" w:space="0" w:color="auto"/>
                    <w:bottom w:val="none" w:sz="0" w:space="0" w:color="auto"/>
                    <w:right w:val="none" w:sz="0" w:space="0" w:color="auto"/>
                  </w:divBdr>
                </w:div>
                <w:div w:id="2018267857">
                  <w:marLeft w:val="480"/>
                  <w:marRight w:val="0"/>
                  <w:marTop w:val="0"/>
                  <w:marBottom w:val="0"/>
                  <w:divBdr>
                    <w:top w:val="none" w:sz="0" w:space="0" w:color="auto"/>
                    <w:left w:val="none" w:sz="0" w:space="0" w:color="auto"/>
                    <w:bottom w:val="none" w:sz="0" w:space="0" w:color="auto"/>
                    <w:right w:val="none" w:sz="0" w:space="0" w:color="auto"/>
                  </w:divBdr>
                </w:div>
                <w:div w:id="1869176980">
                  <w:marLeft w:val="480"/>
                  <w:marRight w:val="0"/>
                  <w:marTop w:val="0"/>
                  <w:marBottom w:val="0"/>
                  <w:divBdr>
                    <w:top w:val="none" w:sz="0" w:space="0" w:color="auto"/>
                    <w:left w:val="none" w:sz="0" w:space="0" w:color="auto"/>
                    <w:bottom w:val="none" w:sz="0" w:space="0" w:color="auto"/>
                    <w:right w:val="none" w:sz="0" w:space="0" w:color="auto"/>
                  </w:divBdr>
                </w:div>
                <w:div w:id="236282276">
                  <w:marLeft w:val="480"/>
                  <w:marRight w:val="0"/>
                  <w:marTop w:val="0"/>
                  <w:marBottom w:val="0"/>
                  <w:divBdr>
                    <w:top w:val="none" w:sz="0" w:space="0" w:color="auto"/>
                    <w:left w:val="none" w:sz="0" w:space="0" w:color="auto"/>
                    <w:bottom w:val="none" w:sz="0" w:space="0" w:color="auto"/>
                    <w:right w:val="none" w:sz="0" w:space="0" w:color="auto"/>
                  </w:divBdr>
                </w:div>
                <w:div w:id="1194810127">
                  <w:marLeft w:val="480"/>
                  <w:marRight w:val="0"/>
                  <w:marTop w:val="0"/>
                  <w:marBottom w:val="0"/>
                  <w:divBdr>
                    <w:top w:val="none" w:sz="0" w:space="0" w:color="auto"/>
                    <w:left w:val="none" w:sz="0" w:space="0" w:color="auto"/>
                    <w:bottom w:val="none" w:sz="0" w:space="0" w:color="auto"/>
                    <w:right w:val="none" w:sz="0" w:space="0" w:color="auto"/>
                  </w:divBdr>
                </w:div>
                <w:div w:id="787242037">
                  <w:marLeft w:val="480"/>
                  <w:marRight w:val="0"/>
                  <w:marTop w:val="0"/>
                  <w:marBottom w:val="0"/>
                  <w:divBdr>
                    <w:top w:val="none" w:sz="0" w:space="0" w:color="auto"/>
                    <w:left w:val="none" w:sz="0" w:space="0" w:color="auto"/>
                    <w:bottom w:val="none" w:sz="0" w:space="0" w:color="auto"/>
                    <w:right w:val="none" w:sz="0" w:space="0" w:color="auto"/>
                  </w:divBdr>
                </w:div>
                <w:div w:id="170881389">
                  <w:marLeft w:val="480"/>
                  <w:marRight w:val="0"/>
                  <w:marTop w:val="0"/>
                  <w:marBottom w:val="0"/>
                  <w:divBdr>
                    <w:top w:val="none" w:sz="0" w:space="0" w:color="auto"/>
                    <w:left w:val="none" w:sz="0" w:space="0" w:color="auto"/>
                    <w:bottom w:val="none" w:sz="0" w:space="0" w:color="auto"/>
                    <w:right w:val="none" w:sz="0" w:space="0" w:color="auto"/>
                  </w:divBdr>
                </w:div>
                <w:div w:id="365639264">
                  <w:marLeft w:val="480"/>
                  <w:marRight w:val="0"/>
                  <w:marTop w:val="0"/>
                  <w:marBottom w:val="0"/>
                  <w:divBdr>
                    <w:top w:val="none" w:sz="0" w:space="0" w:color="auto"/>
                    <w:left w:val="none" w:sz="0" w:space="0" w:color="auto"/>
                    <w:bottom w:val="none" w:sz="0" w:space="0" w:color="auto"/>
                    <w:right w:val="none" w:sz="0" w:space="0" w:color="auto"/>
                  </w:divBdr>
                </w:div>
                <w:div w:id="2081827562">
                  <w:marLeft w:val="480"/>
                  <w:marRight w:val="0"/>
                  <w:marTop w:val="0"/>
                  <w:marBottom w:val="0"/>
                  <w:divBdr>
                    <w:top w:val="none" w:sz="0" w:space="0" w:color="auto"/>
                    <w:left w:val="none" w:sz="0" w:space="0" w:color="auto"/>
                    <w:bottom w:val="none" w:sz="0" w:space="0" w:color="auto"/>
                    <w:right w:val="none" w:sz="0" w:space="0" w:color="auto"/>
                  </w:divBdr>
                </w:div>
                <w:div w:id="180094502">
                  <w:marLeft w:val="480"/>
                  <w:marRight w:val="0"/>
                  <w:marTop w:val="0"/>
                  <w:marBottom w:val="0"/>
                  <w:divBdr>
                    <w:top w:val="none" w:sz="0" w:space="0" w:color="auto"/>
                    <w:left w:val="none" w:sz="0" w:space="0" w:color="auto"/>
                    <w:bottom w:val="none" w:sz="0" w:space="0" w:color="auto"/>
                    <w:right w:val="none" w:sz="0" w:space="0" w:color="auto"/>
                  </w:divBdr>
                </w:div>
                <w:div w:id="1406218137">
                  <w:marLeft w:val="480"/>
                  <w:marRight w:val="0"/>
                  <w:marTop w:val="0"/>
                  <w:marBottom w:val="0"/>
                  <w:divBdr>
                    <w:top w:val="none" w:sz="0" w:space="0" w:color="auto"/>
                    <w:left w:val="none" w:sz="0" w:space="0" w:color="auto"/>
                    <w:bottom w:val="none" w:sz="0" w:space="0" w:color="auto"/>
                    <w:right w:val="none" w:sz="0" w:space="0" w:color="auto"/>
                  </w:divBdr>
                </w:div>
                <w:div w:id="1517498701">
                  <w:marLeft w:val="480"/>
                  <w:marRight w:val="0"/>
                  <w:marTop w:val="0"/>
                  <w:marBottom w:val="0"/>
                  <w:divBdr>
                    <w:top w:val="none" w:sz="0" w:space="0" w:color="auto"/>
                    <w:left w:val="none" w:sz="0" w:space="0" w:color="auto"/>
                    <w:bottom w:val="none" w:sz="0" w:space="0" w:color="auto"/>
                    <w:right w:val="none" w:sz="0" w:space="0" w:color="auto"/>
                  </w:divBdr>
                </w:div>
                <w:div w:id="1272978264">
                  <w:marLeft w:val="480"/>
                  <w:marRight w:val="0"/>
                  <w:marTop w:val="0"/>
                  <w:marBottom w:val="0"/>
                  <w:divBdr>
                    <w:top w:val="none" w:sz="0" w:space="0" w:color="auto"/>
                    <w:left w:val="none" w:sz="0" w:space="0" w:color="auto"/>
                    <w:bottom w:val="none" w:sz="0" w:space="0" w:color="auto"/>
                    <w:right w:val="none" w:sz="0" w:space="0" w:color="auto"/>
                  </w:divBdr>
                </w:div>
                <w:div w:id="187719985">
                  <w:marLeft w:val="480"/>
                  <w:marRight w:val="0"/>
                  <w:marTop w:val="0"/>
                  <w:marBottom w:val="0"/>
                  <w:divBdr>
                    <w:top w:val="none" w:sz="0" w:space="0" w:color="auto"/>
                    <w:left w:val="none" w:sz="0" w:space="0" w:color="auto"/>
                    <w:bottom w:val="none" w:sz="0" w:space="0" w:color="auto"/>
                    <w:right w:val="none" w:sz="0" w:space="0" w:color="auto"/>
                  </w:divBdr>
                </w:div>
                <w:div w:id="1669676172">
                  <w:marLeft w:val="480"/>
                  <w:marRight w:val="0"/>
                  <w:marTop w:val="0"/>
                  <w:marBottom w:val="0"/>
                  <w:divBdr>
                    <w:top w:val="none" w:sz="0" w:space="0" w:color="auto"/>
                    <w:left w:val="none" w:sz="0" w:space="0" w:color="auto"/>
                    <w:bottom w:val="none" w:sz="0" w:space="0" w:color="auto"/>
                    <w:right w:val="none" w:sz="0" w:space="0" w:color="auto"/>
                  </w:divBdr>
                </w:div>
                <w:div w:id="282614465">
                  <w:marLeft w:val="480"/>
                  <w:marRight w:val="0"/>
                  <w:marTop w:val="0"/>
                  <w:marBottom w:val="0"/>
                  <w:divBdr>
                    <w:top w:val="none" w:sz="0" w:space="0" w:color="auto"/>
                    <w:left w:val="none" w:sz="0" w:space="0" w:color="auto"/>
                    <w:bottom w:val="none" w:sz="0" w:space="0" w:color="auto"/>
                    <w:right w:val="none" w:sz="0" w:space="0" w:color="auto"/>
                  </w:divBdr>
                </w:div>
                <w:div w:id="1668173834">
                  <w:marLeft w:val="480"/>
                  <w:marRight w:val="0"/>
                  <w:marTop w:val="0"/>
                  <w:marBottom w:val="0"/>
                  <w:divBdr>
                    <w:top w:val="none" w:sz="0" w:space="0" w:color="auto"/>
                    <w:left w:val="none" w:sz="0" w:space="0" w:color="auto"/>
                    <w:bottom w:val="none" w:sz="0" w:space="0" w:color="auto"/>
                    <w:right w:val="none" w:sz="0" w:space="0" w:color="auto"/>
                  </w:divBdr>
                </w:div>
                <w:div w:id="1306810170">
                  <w:marLeft w:val="480"/>
                  <w:marRight w:val="0"/>
                  <w:marTop w:val="0"/>
                  <w:marBottom w:val="0"/>
                  <w:divBdr>
                    <w:top w:val="none" w:sz="0" w:space="0" w:color="auto"/>
                    <w:left w:val="none" w:sz="0" w:space="0" w:color="auto"/>
                    <w:bottom w:val="none" w:sz="0" w:space="0" w:color="auto"/>
                    <w:right w:val="none" w:sz="0" w:space="0" w:color="auto"/>
                  </w:divBdr>
                </w:div>
                <w:div w:id="386343971">
                  <w:marLeft w:val="480"/>
                  <w:marRight w:val="0"/>
                  <w:marTop w:val="0"/>
                  <w:marBottom w:val="0"/>
                  <w:divBdr>
                    <w:top w:val="none" w:sz="0" w:space="0" w:color="auto"/>
                    <w:left w:val="none" w:sz="0" w:space="0" w:color="auto"/>
                    <w:bottom w:val="none" w:sz="0" w:space="0" w:color="auto"/>
                    <w:right w:val="none" w:sz="0" w:space="0" w:color="auto"/>
                  </w:divBdr>
                </w:div>
                <w:div w:id="1137144815">
                  <w:marLeft w:val="480"/>
                  <w:marRight w:val="0"/>
                  <w:marTop w:val="0"/>
                  <w:marBottom w:val="0"/>
                  <w:divBdr>
                    <w:top w:val="none" w:sz="0" w:space="0" w:color="auto"/>
                    <w:left w:val="none" w:sz="0" w:space="0" w:color="auto"/>
                    <w:bottom w:val="none" w:sz="0" w:space="0" w:color="auto"/>
                    <w:right w:val="none" w:sz="0" w:space="0" w:color="auto"/>
                  </w:divBdr>
                </w:div>
                <w:div w:id="2000696531">
                  <w:marLeft w:val="480"/>
                  <w:marRight w:val="0"/>
                  <w:marTop w:val="0"/>
                  <w:marBottom w:val="0"/>
                  <w:divBdr>
                    <w:top w:val="none" w:sz="0" w:space="0" w:color="auto"/>
                    <w:left w:val="none" w:sz="0" w:space="0" w:color="auto"/>
                    <w:bottom w:val="none" w:sz="0" w:space="0" w:color="auto"/>
                    <w:right w:val="none" w:sz="0" w:space="0" w:color="auto"/>
                  </w:divBdr>
                </w:div>
                <w:div w:id="768234294">
                  <w:marLeft w:val="480"/>
                  <w:marRight w:val="0"/>
                  <w:marTop w:val="0"/>
                  <w:marBottom w:val="0"/>
                  <w:divBdr>
                    <w:top w:val="none" w:sz="0" w:space="0" w:color="auto"/>
                    <w:left w:val="none" w:sz="0" w:space="0" w:color="auto"/>
                    <w:bottom w:val="none" w:sz="0" w:space="0" w:color="auto"/>
                    <w:right w:val="none" w:sz="0" w:space="0" w:color="auto"/>
                  </w:divBdr>
                </w:div>
                <w:div w:id="733089874">
                  <w:marLeft w:val="480"/>
                  <w:marRight w:val="0"/>
                  <w:marTop w:val="0"/>
                  <w:marBottom w:val="0"/>
                  <w:divBdr>
                    <w:top w:val="none" w:sz="0" w:space="0" w:color="auto"/>
                    <w:left w:val="none" w:sz="0" w:space="0" w:color="auto"/>
                    <w:bottom w:val="none" w:sz="0" w:space="0" w:color="auto"/>
                    <w:right w:val="none" w:sz="0" w:space="0" w:color="auto"/>
                  </w:divBdr>
                </w:div>
                <w:div w:id="838160680">
                  <w:marLeft w:val="480"/>
                  <w:marRight w:val="0"/>
                  <w:marTop w:val="0"/>
                  <w:marBottom w:val="0"/>
                  <w:divBdr>
                    <w:top w:val="none" w:sz="0" w:space="0" w:color="auto"/>
                    <w:left w:val="none" w:sz="0" w:space="0" w:color="auto"/>
                    <w:bottom w:val="none" w:sz="0" w:space="0" w:color="auto"/>
                    <w:right w:val="none" w:sz="0" w:space="0" w:color="auto"/>
                  </w:divBdr>
                </w:div>
                <w:div w:id="1182430678">
                  <w:marLeft w:val="480"/>
                  <w:marRight w:val="0"/>
                  <w:marTop w:val="0"/>
                  <w:marBottom w:val="0"/>
                  <w:divBdr>
                    <w:top w:val="none" w:sz="0" w:space="0" w:color="auto"/>
                    <w:left w:val="none" w:sz="0" w:space="0" w:color="auto"/>
                    <w:bottom w:val="none" w:sz="0" w:space="0" w:color="auto"/>
                    <w:right w:val="none" w:sz="0" w:space="0" w:color="auto"/>
                  </w:divBdr>
                </w:div>
                <w:div w:id="1648823892">
                  <w:marLeft w:val="480"/>
                  <w:marRight w:val="0"/>
                  <w:marTop w:val="0"/>
                  <w:marBottom w:val="0"/>
                  <w:divBdr>
                    <w:top w:val="none" w:sz="0" w:space="0" w:color="auto"/>
                    <w:left w:val="none" w:sz="0" w:space="0" w:color="auto"/>
                    <w:bottom w:val="none" w:sz="0" w:space="0" w:color="auto"/>
                    <w:right w:val="none" w:sz="0" w:space="0" w:color="auto"/>
                  </w:divBdr>
                </w:div>
                <w:div w:id="1749615959">
                  <w:marLeft w:val="480"/>
                  <w:marRight w:val="0"/>
                  <w:marTop w:val="0"/>
                  <w:marBottom w:val="0"/>
                  <w:divBdr>
                    <w:top w:val="none" w:sz="0" w:space="0" w:color="auto"/>
                    <w:left w:val="none" w:sz="0" w:space="0" w:color="auto"/>
                    <w:bottom w:val="none" w:sz="0" w:space="0" w:color="auto"/>
                    <w:right w:val="none" w:sz="0" w:space="0" w:color="auto"/>
                  </w:divBdr>
                </w:div>
                <w:div w:id="687021848">
                  <w:marLeft w:val="480"/>
                  <w:marRight w:val="0"/>
                  <w:marTop w:val="0"/>
                  <w:marBottom w:val="0"/>
                  <w:divBdr>
                    <w:top w:val="none" w:sz="0" w:space="0" w:color="auto"/>
                    <w:left w:val="none" w:sz="0" w:space="0" w:color="auto"/>
                    <w:bottom w:val="none" w:sz="0" w:space="0" w:color="auto"/>
                    <w:right w:val="none" w:sz="0" w:space="0" w:color="auto"/>
                  </w:divBdr>
                </w:div>
                <w:div w:id="1095326911">
                  <w:marLeft w:val="480"/>
                  <w:marRight w:val="0"/>
                  <w:marTop w:val="0"/>
                  <w:marBottom w:val="0"/>
                  <w:divBdr>
                    <w:top w:val="none" w:sz="0" w:space="0" w:color="auto"/>
                    <w:left w:val="none" w:sz="0" w:space="0" w:color="auto"/>
                    <w:bottom w:val="none" w:sz="0" w:space="0" w:color="auto"/>
                    <w:right w:val="none" w:sz="0" w:space="0" w:color="auto"/>
                  </w:divBdr>
                </w:div>
                <w:div w:id="1457336419">
                  <w:marLeft w:val="480"/>
                  <w:marRight w:val="0"/>
                  <w:marTop w:val="0"/>
                  <w:marBottom w:val="0"/>
                  <w:divBdr>
                    <w:top w:val="none" w:sz="0" w:space="0" w:color="auto"/>
                    <w:left w:val="none" w:sz="0" w:space="0" w:color="auto"/>
                    <w:bottom w:val="none" w:sz="0" w:space="0" w:color="auto"/>
                    <w:right w:val="none" w:sz="0" w:space="0" w:color="auto"/>
                  </w:divBdr>
                </w:div>
                <w:div w:id="160437483">
                  <w:marLeft w:val="480"/>
                  <w:marRight w:val="0"/>
                  <w:marTop w:val="0"/>
                  <w:marBottom w:val="0"/>
                  <w:divBdr>
                    <w:top w:val="none" w:sz="0" w:space="0" w:color="auto"/>
                    <w:left w:val="none" w:sz="0" w:space="0" w:color="auto"/>
                    <w:bottom w:val="none" w:sz="0" w:space="0" w:color="auto"/>
                    <w:right w:val="none" w:sz="0" w:space="0" w:color="auto"/>
                  </w:divBdr>
                </w:div>
                <w:div w:id="1091508269">
                  <w:marLeft w:val="480"/>
                  <w:marRight w:val="0"/>
                  <w:marTop w:val="0"/>
                  <w:marBottom w:val="0"/>
                  <w:divBdr>
                    <w:top w:val="none" w:sz="0" w:space="0" w:color="auto"/>
                    <w:left w:val="none" w:sz="0" w:space="0" w:color="auto"/>
                    <w:bottom w:val="none" w:sz="0" w:space="0" w:color="auto"/>
                    <w:right w:val="none" w:sz="0" w:space="0" w:color="auto"/>
                  </w:divBdr>
                </w:div>
                <w:div w:id="1605110052">
                  <w:marLeft w:val="480"/>
                  <w:marRight w:val="0"/>
                  <w:marTop w:val="0"/>
                  <w:marBottom w:val="0"/>
                  <w:divBdr>
                    <w:top w:val="none" w:sz="0" w:space="0" w:color="auto"/>
                    <w:left w:val="none" w:sz="0" w:space="0" w:color="auto"/>
                    <w:bottom w:val="none" w:sz="0" w:space="0" w:color="auto"/>
                    <w:right w:val="none" w:sz="0" w:space="0" w:color="auto"/>
                  </w:divBdr>
                </w:div>
                <w:div w:id="737946994">
                  <w:marLeft w:val="480"/>
                  <w:marRight w:val="0"/>
                  <w:marTop w:val="0"/>
                  <w:marBottom w:val="0"/>
                  <w:divBdr>
                    <w:top w:val="none" w:sz="0" w:space="0" w:color="auto"/>
                    <w:left w:val="none" w:sz="0" w:space="0" w:color="auto"/>
                    <w:bottom w:val="none" w:sz="0" w:space="0" w:color="auto"/>
                    <w:right w:val="none" w:sz="0" w:space="0" w:color="auto"/>
                  </w:divBdr>
                </w:div>
                <w:div w:id="1511874516">
                  <w:marLeft w:val="480"/>
                  <w:marRight w:val="0"/>
                  <w:marTop w:val="0"/>
                  <w:marBottom w:val="0"/>
                  <w:divBdr>
                    <w:top w:val="none" w:sz="0" w:space="0" w:color="auto"/>
                    <w:left w:val="none" w:sz="0" w:space="0" w:color="auto"/>
                    <w:bottom w:val="none" w:sz="0" w:space="0" w:color="auto"/>
                    <w:right w:val="none" w:sz="0" w:space="0" w:color="auto"/>
                  </w:divBdr>
                </w:div>
                <w:div w:id="428933915">
                  <w:marLeft w:val="480"/>
                  <w:marRight w:val="0"/>
                  <w:marTop w:val="0"/>
                  <w:marBottom w:val="0"/>
                  <w:divBdr>
                    <w:top w:val="none" w:sz="0" w:space="0" w:color="auto"/>
                    <w:left w:val="none" w:sz="0" w:space="0" w:color="auto"/>
                    <w:bottom w:val="none" w:sz="0" w:space="0" w:color="auto"/>
                    <w:right w:val="none" w:sz="0" w:space="0" w:color="auto"/>
                  </w:divBdr>
                </w:div>
                <w:div w:id="420951231">
                  <w:marLeft w:val="480"/>
                  <w:marRight w:val="0"/>
                  <w:marTop w:val="0"/>
                  <w:marBottom w:val="0"/>
                  <w:divBdr>
                    <w:top w:val="none" w:sz="0" w:space="0" w:color="auto"/>
                    <w:left w:val="none" w:sz="0" w:space="0" w:color="auto"/>
                    <w:bottom w:val="none" w:sz="0" w:space="0" w:color="auto"/>
                    <w:right w:val="none" w:sz="0" w:space="0" w:color="auto"/>
                  </w:divBdr>
                </w:div>
                <w:div w:id="1136410298">
                  <w:marLeft w:val="480"/>
                  <w:marRight w:val="0"/>
                  <w:marTop w:val="0"/>
                  <w:marBottom w:val="0"/>
                  <w:divBdr>
                    <w:top w:val="none" w:sz="0" w:space="0" w:color="auto"/>
                    <w:left w:val="none" w:sz="0" w:space="0" w:color="auto"/>
                    <w:bottom w:val="none" w:sz="0" w:space="0" w:color="auto"/>
                    <w:right w:val="none" w:sz="0" w:space="0" w:color="auto"/>
                  </w:divBdr>
                </w:div>
              </w:divsChild>
            </w:div>
            <w:div w:id="1329482035">
              <w:marLeft w:val="0"/>
              <w:marRight w:val="0"/>
              <w:marTop w:val="0"/>
              <w:marBottom w:val="0"/>
              <w:divBdr>
                <w:top w:val="none" w:sz="0" w:space="0" w:color="auto"/>
                <w:left w:val="none" w:sz="0" w:space="0" w:color="auto"/>
                <w:bottom w:val="none" w:sz="0" w:space="0" w:color="auto"/>
                <w:right w:val="none" w:sz="0" w:space="0" w:color="auto"/>
              </w:divBdr>
              <w:divsChild>
                <w:div w:id="189689813">
                  <w:marLeft w:val="480"/>
                  <w:marRight w:val="0"/>
                  <w:marTop w:val="0"/>
                  <w:marBottom w:val="0"/>
                  <w:divBdr>
                    <w:top w:val="none" w:sz="0" w:space="0" w:color="auto"/>
                    <w:left w:val="none" w:sz="0" w:space="0" w:color="auto"/>
                    <w:bottom w:val="none" w:sz="0" w:space="0" w:color="auto"/>
                    <w:right w:val="none" w:sz="0" w:space="0" w:color="auto"/>
                  </w:divBdr>
                </w:div>
                <w:div w:id="636763336">
                  <w:marLeft w:val="480"/>
                  <w:marRight w:val="0"/>
                  <w:marTop w:val="0"/>
                  <w:marBottom w:val="0"/>
                  <w:divBdr>
                    <w:top w:val="none" w:sz="0" w:space="0" w:color="auto"/>
                    <w:left w:val="none" w:sz="0" w:space="0" w:color="auto"/>
                    <w:bottom w:val="none" w:sz="0" w:space="0" w:color="auto"/>
                    <w:right w:val="none" w:sz="0" w:space="0" w:color="auto"/>
                  </w:divBdr>
                </w:div>
                <w:div w:id="501513503">
                  <w:marLeft w:val="480"/>
                  <w:marRight w:val="0"/>
                  <w:marTop w:val="0"/>
                  <w:marBottom w:val="0"/>
                  <w:divBdr>
                    <w:top w:val="none" w:sz="0" w:space="0" w:color="auto"/>
                    <w:left w:val="none" w:sz="0" w:space="0" w:color="auto"/>
                    <w:bottom w:val="none" w:sz="0" w:space="0" w:color="auto"/>
                    <w:right w:val="none" w:sz="0" w:space="0" w:color="auto"/>
                  </w:divBdr>
                </w:div>
                <w:div w:id="933167598">
                  <w:marLeft w:val="480"/>
                  <w:marRight w:val="0"/>
                  <w:marTop w:val="0"/>
                  <w:marBottom w:val="0"/>
                  <w:divBdr>
                    <w:top w:val="none" w:sz="0" w:space="0" w:color="auto"/>
                    <w:left w:val="none" w:sz="0" w:space="0" w:color="auto"/>
                    <w:bottom w:val="none" w:sz="0" w:space="0" w:color="auto"/>
                    <w:right w:val="none" w:sz="0" w:space="0" w:color="auto"/>
                  </w:divBdr>
                </w:div>
                <w:div w:id="2095780928">
                  <w:marLeft w:val="480"/>
                  <w:marRight w:val="0"/>
                  <w:marTop w:val="0"/>
                  <w:marBottom w:val="0"/>
                  <w:divBdr>
                    <w:top w:val="none" w:sz="0" w:space="0" w:color="auto"/>
                    <w:left w:val="none" w:sz="0" w:space="0" w:color="auto"/>
                    <w:bottom w:val="none" w:sz="0" w:space="0" w:color="auto"/>
                    <w:right w:val="none" w:sz="0" w:space="0" w:color="auto"/>
                  </w:divBdr>
                </w:div>
                <w:div w:id="1144928000">
                  <w:marLeft w:val="480"/>
                  <w:marRight w:val="0"/>
                  <w:marTop w:val="0"/>
                  <w:marBottom w:val="0"/>
                  <w:divBdr>
                    <w:top w:val="none" w:sz="0" w:space="0" w:color="auto"/>
                    <w:left w:val="none" w:sz="0" w:space="0" w:color="auto"/>
                    <w:bottom w:val="none" w:sz="0" w:space="0" w:color="auto"/>
                    <w:right w:val="none" w:sz="0" w:space="0" w:color="auto"/>
                  </w:divBdr>
                </w:div>
                <w:div w:id="1740864914">
                  <w:marLeft w:val="480"/>
                  <w:marRight w:val="0"/>
                  <w:marTop w:val="0"/>
                  <w:marBottom w:val="0"/>
                  <w:divBdr>
                    <w:top w:val="none" w:sz="0" w:space="0" w:color="auto"/>
                    <w:left w:val="none" w:sz="0" w:space="0" w:color="auto"/>
                    <w:bottom w:val="none" w:sz="0" w:space="0" w:color="auto"/>
                    <w:right w:val="none" w:sz="0" w:space="0" w:color="auto"/>
                  </w:divBdr>
                </w:div>
                <w:div w:id="480005026">
                  <w:marLeft w:val="480"/>
                  <w:marRight w:val="0"/>
                  <w:marTop w:val="0"/>
                  <w:marBottom w:val="0"/>
                  <w:divBdr>
                    <w:top w:val="none" w:sz="0" w:space="0" w:color="auto"/>
                    <w:left w:val="none" w:sz="0" w:space="0" w:color="auto"/>
                    <w:bottom w:val="none" w:sz="0" w:space="0" w:color="auto"/>
                    <w:right w:val="none" w:sz="0" w:space="0" w:color="auto"/>
                  </w:divBdr>
                </w:div>
                <w:div w:id="905991285">
                  <w:marLeft w:val="480"/>
                  <w:marRight w:val="0"/>
                  <w:marTop w:val="0"/>
                  <w:marBottom w:val="0"/>
                  <w:divBdr>
                    <w:top w:val="none" w:sz="0" w:space="0" w:color="auto"/>
                    <w:left w:val="none" w:sz="0" w:space="0" w:color="auto"/>
                    <w:bottom w:val="none" w:sz="0" w:space="0" w:color="auto"/>
                    <w:right w:val="none" w:sz="0" w:space="0" w:color="auto"/>
                  </w:divBdr>
                </w:div>
                <w:div w:id="1681076883">
                  <w:marLeft w:val="480"/>
                  <w:marRight w:val="0"/>
                  <w:marTop w:val="0"/>
                  <w:marBottom w:val="0"/>
                  <w:divBdr>
                    <w:top w:val="none" w:sz="0" w:space="0" w:color="auto"/>
                    <w:left w:val="none" w:sz="0" w:space="0" w:color="auto"/>
                    <w:bottom w:val="none" w:sz="0" w:space="0" w:color="auto"/>
                    <w:right w:val="none" w:sz="0" w:space="0" w:color="auto"/>
                  </w:divBdr>
                </w:div>
                <w:div w:id="1047409959">
                  <w:marLeft w:val="480"/>
                  <w:marRight w:val="0"/>
                  <w:marTop w:val="0"/>
                  <w:marBottom w:val="0"/>
                  <w:divBdr>
                    <w:top w:val="none" w:sz="0" w:space="0" w:color="auto"/>
                    <w:left w:val="none" w:sz="0" w:space="0" w:color="auto"/>
                    <w:bottom w:val="none" w:sz="0" w:space="0" w:color="auto"/>
                    <w:right w:val="none" w:sz="0" w:space="0" w:color="auto"/>
                  </w:divBdr>
                </w:div>
                <w:div w:id="263541644">
                  <w:marLeft w:val="480"/>
                  <w:marRight w:val="0"/>
                  <w:marTop w:val="0"/>
                  <w:marBottom w:val="0"/>
                  <w:divBdr>
                    <w:top w:val="none" w:sz="0" w:space="0" w:color="auto"/>
                    <w:left w:val="none" w:sz="0" w:space="0" w:color="auto"/>
                    <w:bottom w:val="none" w:sz="0" w:space="0" w:color="auto"/>
                    <w:right w:val="none" w:sz="0" w:space="0" w:color="auto"/>
                  </w:divBdr>
                </w:div>
                <w:div w:id="1305890119">
                  <w:marLeft w:val="480"/>
                  <w:marRight w:val="0"/>
                  <w:marTop w:val="0"/>
                  <w:marBottom w:val="0"/>
                  <w:divBdr>
                    <w:top w:val="none" w:sz="0" w:space="0" w:color="auto"/>
                    <w:left w:val="none" w:sz="0" w:space="0" w:color="auto"/>
                    <w:bottom w:val="none" w:sz="0" w:space="0" w:color="auto"/>
                    <w:right w:val="none" w:sz="0" w:space="0" w:color="auto"/>
                  </w:divBdr>
                </w:div>
                <w:div w:id="398671256">
                  <w:marLeft w:val="480"/>
                  <w:marRight w:val="0"/>
                  <w:marTop w:val="0"/>
                  <w:marBottom w:val="0"/>
                  <w:divBdr>
                    <w:top w:val="none" w:sz="0" w:space="0" w:color="auto"/>
                    <w:left w:val="none" w:sz="0" w:space="0" w:color="auto"/>
                    <w:bottom w:val="none" w:sz="0" w:space="0" w:color="auto"/>
                    <w:right w:val="none" w:sz="0" w:space="0" w:color="auto"/>
                  </w:divBdr>
                </w:div>
                <w:div w:id="1061558581">
                  <w:marLeft w:val="480"/>
                  <w:marRight w:val="0"/>
                  <w:marTop w:val="0"/>
                  <w:marBottom w:val="0"/>
                  <w:divBdr>
                    <w:top w:val="none" w:sz="0" w:space="0" w:color="auto"/>
                    <w:left w:val="none" w:sz="0" w:space="0" w:color="auto"/>
                    <w:bottom w:val="none" w:sz="0" w:space="0" w:color="auto"/>
                    <w:right w:val="none" w:sz="0" w:space="0" w:color="auto"/>
                  </w:divBdr>
                </w:div>
                <w:div w:id="243804709">
                  <w:marLeft w:val="480"/>
                  <w:marRight w:val="0"/>
                  <w:marTop w:val="0"/>
                  <w:marBottom w:val="0"/>
                  <w:divBdr>
                    <w:top w:val="none" w:sz="0" w:space="0" w:color="auto"/>
                    <w:left w:val="none" w:sz="0" w:space="0" w:color="auto"/>
                    <w:bottom w:val="none" w:sz="0" w:space="0" w:color="auto"/>
                    <w:right w:val="none" w:sz="0" w:space="0" w:color="auto"/>
                  </w:divBdr>
                </w:div>
                <w:div w:id="209612093">
                  <w:marLeft w:val="480"/>
                  <w:marRight w:val="0"/>
                  <w:marTop w:val="0"/>
                  <w:marBottom w:val="0"/>
                  <w:divBdr>
                    <w:top w:val="none" w:sz="0" w:space="0" w:color="auto"/>
                    <w:left w:val="none" w:sz="0" w:space="0" w:color="auto"/>
                    <w:bottom w:val="none" w:sz="0" w:space="0" w:color="auto"/>
                    <w:right w:val="none" w:sz="0" w:space="0" w:color="auto"/>
                  </w:divBdr>
                </w:div>
                <w:div w:id="846676889">
                  <w:marLeft w:val="480"/>
                  <w:marRight w:val="0"/>
                  <w:marTop w:val="0"/>
                  <w:marBottom w:val="0"/>
                  <w:divBdr>
                    <w:top w:val="none" w:sz="0" w:space="0" w:color="auto"/>
                    <w:left w:val="none" w:sz="0" w:space="0" w:color="auto"/>
                    <w:bottom w:val="none" w:sz="0" w:space="0" w:color="auto"/>
                    <w:right w:val="none" w:sz="0" w:space="0" w:color="auto"/>
                  </w:divBdr>
                </w:div>
                <w:div w:id="980884372">
                  <w:marLeft w:val="480"/>
                  <w:marRight w:val="0"/>
                  <w:marTop w:val="0"/>
                  <w:marBottom w:val="0"/>
                  <w:divBdr>
                    <w:top w:val="none" w:sz="0" w:space="0" w:color="auto"/>
                    <w:left w:val="none" w:sz="0" w:space="0" w:color="auto"/>
                    <w:bottom w:val="none" w:sz="0" w:space="0" w:color="auto"/>
                    <w:right w:val="none" w:sz="0" w:space="0" w:color="auto"/>
                  </w:divBdr>
                </w:div>
                <w:div w:id="2054386053">
                  <w:marLeft w:val="480"/>
                  <w:marRight w:val="0"/>
                  <w:marTop w:val="0"/>
                  <w:marBottom w:val="0"/>
                  <w:divBdr>
                    <w:top w:val="none" w:sz="0" w:space="0" w:color="auto"/>
                    <w:left w:val="none" w:sz="0" w:space="0" w:color="auto"/>
                    <w:bottom w:val="none" w:sz="0" w:space="0" w:color="auto"/>
                    <w:right w:val="none" w:sz="0" w:space="0" w:color="auto"/>
                  </w:divBdr>
                </w:div>
                <w:div w:id="176771700">
                  <w:marLeft w:val="480"/>
                  <w:marRight w:val="0"/>
                  <w:marTop w:val="0"/>
                  <w:marBottom w:val="0"/>
                  <w:divBdr>
                    <w:top w:val="none" w:sz="0" w:space="0" w:color="auto"/>
                    <w:left w:val="none" w:sz="0" w:space="0" w:color="auto"/>
                    <w:bottom w:val="none" w:sz="0" w:space="0" w:color="auto"/>
                    <w:right w:val="none" w:sz="0" w:space="0" w:color="auto"/>
                  </w:divBdr>
                </w:div>
                <w:div w:id="1692104669">
                  <w:marLeft w:val="480"/>
                  <w:marRight w:val="0"/>
                  <w:marTop w:val="0"/>
                  <w:marBottom w:val="0"/>
                  <w:divBdr>
                    <w:top w:val="none" w:sz="0" w:space="0" w:color="auto"/>
                    <w:left w:val="none" w:sz="0" w:space="0" w:color="auto"/>
                    <w:bottom w:val="none" w:sz="0" w:space="0" w:color="auto"/>
                    <w:right w:val="none" w:sz="0" w:space="0" w:color="auto"/>
                  </w:divBdr>
                </w:div>
                <w:div w:id="2073691669">
                  <w:marLeft w:val="480"/>
                  <w:marRight w:val="0"/>
                  <w:marTop w:val="0"/>
                  <w:marBottom w:val="0"/>
                  <w:divBdr>
                    <w:top w:val="none" w:sz="0" w:space="0" w:color="auto"/>
                    <w:left w:val="none" w:sz="0" w:space="0" w:color="auto"/>
                    <w:bottom w:val="none" w:sz="0" w:space="0" w:color="auto"/>
                    <w:right w:val="none" w:sz="0" w:space="0" w:color="auto"/>
                  </w:divBdr>
                </w:div>
                <w:div w:id="1134524937">
                  <w:marLeft w:val="480"/>
                  <w:marRight w:val="0"/>
                  <w:marTop w:val="0"/>
                  <w:marBottom w:val="0"/>
                  <w:divBdr>
                    <w:top w:val="none" w:sz="0" w:space="0" w:color="auto"/>
                    <w:left w:val="none" w:sz="0" w:space="0" w:color="auto"/>
                    <w:bottom w:val="none" w:sz="0" w:space="0" w:color="auto"/>
                    <w:right w:val="none" w:sz="0" w:space="0" w:color="auto"/>
                  </w:divBdr>
                </w:div>
                <w:div w:id="1637178046">
                  <w:marLeft w:val="480"/>
                  <w:marRight w:val="0"/>
                  <w:marTop w:val="0"/>
                  <w:marBottom w:val="0"/>
                  <w:divBdr>
                    <w:top w:val="none" w:sz="0" w:space="0" w:color="auto"/>
                    <w:left w:val="none" w:sz="0" w:space="0" w:color="auto"/>
                    <w:bottom w:val="none" w:sz="0" w:space="0" w:color="auto"/>
                    <w:right w:val="none" w:sz="0" w:space="0" w:color="auto"/>
                  </w:divBdr>
                </w:div>
                <w:div w:id="152793679">
                  <w:marLeft w:val="480"/>
                  <w:marRight w:val="0"/>
                  <w:marTop w:val="0"/>
                  <w:marBottom w:val="0"/>
                  <w:divBdr>
                    <w:top w:val="none" w:sz="0" w:space="0" w:color="auto"/>
                    <w:left w:val="none" w:sz="0" w:space="0" w:color="auto"/>
                    <w:bottom w:val="none" w:sz="0" w:space="0" w:color="auto"/>
                    <w:right w:val="none" w:sz="0" w:space="0" w:color="auto"/>
                  </w:divBdr>
                </w:div>
                <w:div w:id="1582180595">
                  <w:marLeft w:val="480"/>
                  <w:marRight w:val="0"/>
                  <w:marTop w:val="0"/>
                  <w:marBottom w:val="0"/>
                  <w:divBdr>
                    <w:top w:val="none" w:sz="0" w:space="0" w:color="auto"/>
                    <w:left w:val="none" w:sz="0" w:space="0" w:color="auto"/>
                    <w:bottom w:val="none" w:sz="0" w:space="0" w:color="auto"/>
                    <w:right w:val="none" w:sz="0" w:space="0" w:color="auto"/>
                  </w:divBdr>
                </w:div>
                <w:div w:id="2093041260">
                  <w:marLeft w:val="480"/>
                  <w:marRight w:val="0"/>
                  <w:marTop w:val="0"/>
                  <w:marBottom w:val="0"/>
                  <w:divBdr>
                    <w:top w:val="none" w:sz="0" w:space="0" w:color="auto"/>
                    <w:left w:val="none" w:sz="0" w:space="0" w:color="auto"/>
                    <w:bottom w:val="none" w:sz="0" w:space="0" w:color="auto"/>
                    <w:right w:val="none" w:sz="0" w:space="0" w:color="auto"/>
                  </w:divBdr>
                </w:div>
                <w:div w:id="831414283">
                  <w:marLeft w:val="480"/>
                  <w:marRight w:val="0"/>
                  <w:marTop w:val="0"/>
                  <w:marBottom w:val="0"/>
                  <w:divBdr>
                    <w:top w:val="none" w:sz="0" w:space="0" w:color="auto"/>
                    <w:left w:val="none" w:sz="0" w:space="0" w:color="auto"/>
                    <w:bottom w:val="none" w:sz="0" w:space="0" w:color="auto"/>
                    <w:right w:val="none" w:sz="0" w:space="0" w:color="auto"/>
                  </w:divBdr>
                </w:div>
                <w:div w:id="490172828">
                  <w:marLeft w:val="480"/>
                  <w:marRight w:val="0"/>
                  <w:marTop w:val="0"/>
                  <w:marBottom w:val="0"/>
                  <w:divBdr>
                    <w:top w:val="none" w:sz="0" w:space="0" w:color="auto"/>
                    <w:left w:val="none" w:sz="0" w:space="0" w:color="auto"/>
                    <w:bottom w:val="none" w:sz="0" w:space="0" w:color="auto"/>
                    <w:right w:val="none" w:sz="0" w:space="0" w:color="auto"/>
                  </w:divBdr>
                </w:div>
                <w:div w:id="1525250366">
                  <w:marLeft w:val="480"/>
                  <w:marRight w:val="0"/>
                  <w:marTop w:val="0"/>
                  <w:marBottom w:val="0"/>
                  <w:divBdr>
                    <w:top w:val="none" w:sz="0" w:space="0" w:color="auto"/>
                    <w:left w:val="none" w:sz="0" w:space="0" w:color="auto"/>
                    <w:bottom w:val="none" w:sz="0" w:space="0" w:color="auto"/>
                    <w:right w:val="none" w:sz="0" w:space="0" w:color="auto"/>
                  </w:divBdr>
                </w:div>
                <w:div w:id="1944921526">
                  <w:marLeft w:val="480"/>
                  <w:marRight w:val="0"/>
                  <w:marTop w:val="0"/>
                  <w:marBottom w:val="0"/>
                  <w:divBdr>
                    <w:top w:val="none" w:sz="0" w:space="0" w:color="auto"/>
                    <w:left w:val="none" w:sz="0" w:space="0" w:color="auto"/>
                    <w:bottom w:val="none" w:sz="0" w:space="0" w:color="auto"/>
                    <w:right w:val="none" w:sz="0" w:space="0" w:color="auto"/>
                  </w:divBdr>
                </w:div>
                <w:div w:id="1908419641">
                  <w:marLeft w:val="480"/>
                  <w:marRight w:val="0"/>
                  <w:marTop w:val="0"/>
                  <w:marBottom w:val="0"/>
                  <w:divBdr>
                    <w:top w:val="none" w:sz="0" w:space="0" w:color="auto"/>
                    <w:left w:val="none" w:sz="0" w:space="0" w:color="auto"/>
                    <w:bottom w:val="none" w:sz="0" w:space="0" w:color="auto"/>
                    <w:right w:val="none" w:sz="0" w:space="0" w:color="auto"/>
                  </w:divBdr>
                </w:div>
                <w:div w:id="874851163">
                  <w:marLeft w:val="480"/>
                  <w:marRight w:val="0"/>
                  <w:marTop w:val="0"/>
                  <w:marBottom w:val="0"/>
                  <w:divBdr>
                    <w:top w:val="none" w:sz="0" w:space="0" w:color="auto"/>
                    <w:left w:val="none" w:sz="0" w:space="0" w:color="auto"/>
                    <w:bottom w:val="none" w:sz="0" w:space="0" w:color="auto"/>
                    <w:right w:val="none" w:sz="0" w:space="0" w:color="auto"/>
                  </w:divBdr>
                </w:div>
                <w:div w:id="881556191">
                  <w:marLeft w:val="480"/>
                  <w:marRight w:val="0"/>
                  <w:marTop w:val="0"/>
                  <w:marBottom w:val="0"/>
                  <w:divBdr>
                    <w:top w:val="none" w:sz="0" w:space="0" w:color="auto"/>
                    <w:left w:val="none" w:sz="0" w:space="0" w:color="auto"/>
                    <w:bottom w:val="none" w:sz="0" w:space="0" w:color="auto"/>
                    <w:right w:val="none" w:sz="0" w:space="0" w:color="auto"/>
                  </w:divBdr>
                </w:div>
                <w:div w:id="1013415028">
                  <w:marLeft w:val="480"/>
                  <w:marRight w:val="0"/>
                  <w:marTop w:val="0"/>
                  <w:marBottom w:val="0"/>
                  <w:divBdr>
                    <w:top w:val="none" w:sz="0" w:space="0" w:color="auto"/>
                    <w:left w:val="none" w:sz="0" w:space="0" w:color="auto"/>
                    <w:bottom w:val="none" w:sz="0" w:space="0" w:color="auto"/>
                    <w:right w:val="none" w:sz="0" w:space="0" w:color="auto"/>
                  </w:divBdr>
                </w:div>
                <w:div w:id="436482774">
                  <w:marLeft w:val="480"/>
                  <w:marRight w:val="0"/>
                  <w:marTop w:val="0"/>
                  <w:marBottom w:val="0"/>
                  <w:divBdr>
                    <w:top w:val="none" w:sz="0" w:space="0" w:color="auto"/>
                    <w:left w:val="none" w:sz="0" w:space="0" w:color="auto"/>
                    <w:bottom w:val="none" w:sz="0" w:space="0" w:color="auto"/>
                    <w:right w:val="none" w:sz="0" w:space="0" w:color="auto"/>
                  </w:divBdr>
                </w:div>
                <w:div w:id="422772908">
                  <w:marLeft w:val="480"/>
                  <w:marRight w:val="0"/>
                  <w:marTop w:val="0"/>
                  <w:marBottom w:val="0"/>
                  <w:divBdr>
                    <w:top w:val="none" w:sz="0" w:space="0" w:color="auto"/>
                    <w:left w:val="none" w:sz="0" w:space="0" w:color="auto"/>
                    <w:bottom w:val="none" w:sz="0" w:space="0" w:color="auto"/>
                    <w:right w:val="none" w:sz="0" w:space="0" w:color="auto"/>
                  </w:divBdr>
                </w:div>
                <w:div w:id="1279794467">
                  <w:marLeft w:val="480"/>
                  <w:marRight w:val="0"/>
                  <w:marTop w:val="0"/>
                  <w:marBottom w:val="0"/>
                  <w:divBdr>
                    <w:top w:val="none" w:sz="0" w:space="0" w:color="auto"/>
                    <w:left w:val="none" w:sz="0" w:space="0" w:color="auto"/>
                    <w:bottom w:val="none" w:sz="0" w:space="0" w:color="auto"/>
                    <w:right w:val="none" w:sz="0" w:space="0" w:color="auto"/>
                  </w:divBdr>
                </w:div>
                <w:div w:id="1906253423">
                  <w:marLeft w:val="480"/>
                  <w:marRight w:val="0"/>
                  <w:marTop w:val="0"/>
                  <w:marBottom w:val="0"/>
                  <w:divBdr>
                    <w:top w:val="none" w:sz="0" w:space="0" w:color="auto"/>
                    <w:left w:val="none" w:sz="0" w:space="0" w:color="auto"/>
                    <w:bottom w:val="none" w:sz="0" w:space="0" w:color="auto"/>
                    <w:right w:val="none" w:sz="0" w:space="0" w:color="auto"/>
                  </w:divBdr>
                </w:div>
                <w:div w:id="2055498177">
                  <w:marLeft w:val="480"/>
                  <w:marRight w:val="0"/>
                  <w:marTop w:val="0"/>
                  <w:marBottom w:val="0"/>
                  <w:divBdr>
                    <w:top w:val="none" w:sz="0" w:space="0" w:color="auto"/>
                    <w:left w:val="none" w:sz="0" w:space="0" w:color="auto"/>
                    <w:bottom w:val="none" w:sz="0" w:space="0" w:color="auto"/>
                    <w:right w:val="none" w:sz="0" w:space="0" w:color="auto"/>
                  </w:divBdr>
                </w:div>
                <w:div w:id="200289616">
                  <w:marLeft w:val="480"/>
                  <w:marRight w:val="0"/>
                  <w:marTop w:val="0"/>
                  <w:marBottom w:val="0"/>
                  <w:divBdr>
                    <w:top w:val="none" w:sz="0" w:space="0" w:color="auto"/>
                    <w:left w:val="none" w:sz="0" w:space="0" w:color="auto"/>
                    <w:bottom w:val="none" w:sz="0" w:space="0" w:color="auto"/>
                    <w:right w:val="none" w:sz="0" w:space="0" w:color="auto"/>
                  </w:divBdr>
                </w:div>
                <w:div w:id="1746032035">
                  <w:marLeft w:val="480"/>
                  <w:marRight w:val="0"/>
                  <w:marTop w:val="0"/>
                  <w:marBottom w:val="0"/>
                  <w:divBdr>
                    <w:top w:val="none" w:sz="0" w:space="0" w:color="auto"/>
                    <w:left w:val="none" w:sz="0" w:space="0" w:color="auto"/>
                    <w:bottom w:val="none" w:sz="0" w:space="0" w:color="auto"/>
                    <w:right w:val="none" w:sz="0" w:space="0" w:color="auto"/>
                  </w:divBdr>
                </w:div>
                <w:div w:id="1504933911">
                  <w:marLeft w:val="480"/>
                  <w:marRight w:val="0"/>
                  <w:marTop w:val="0"/>
                  <w:marBottom w:val="0"/>
                  <w:divBdr>
                    <w:top w:val="none" w:sz="0" w:space="0" w:color="auto"/>
                    <w:left w:val="none" w:sz="0" w:space="0" w:color="auto"/>
                    <w:bottom w:val="none" w:sz="0" w:space="0" w:color="auto"/>
                    <w:right w:val="none" w:sz="0" w:space="0" w:color="auto"/>
                  </w:divBdr>
                </w:div>
                <w:div w:id="1186823500">
                  <w:marLeft w:val="480"/>
                  <w:marRight w:val="0"/>
                  <w:marTop w:val="0"/>
                  <w:marBottom w:val="0"/>
                  <w:divBdr>
                    <w:top w:val="none" w:sz="0" w:space="0" w:color="auto"/>
                    <w:left w:val="none" w:sz="0" w:space="0" w:color="auto"/>
                    <w:bottom w:val="none" w:sz="0" w:space="0" w:color="auto"/>
                    <w:right w:val="none" w:sz="0" w:space="0" w:color="auto"/>
                  </w:divBdr>
                </w:div>
                <w:div w:id="15929449">
                  <w:marLeft w:val="480"/>
                  <w:marRight w:val="0"/>
                  <w:marTop w:val="0"/>
                  <w:marBottom w:val="0"/>
                  <w:divBdr>
                    <w:top w:val="none" w:sz="0" w:space="0" w:color="auto"/>
                    <w:left w:val="none" w:sz="0" w:space="0" w:color="auto"/>
                    <w:bottom w:val="none" w:sz="0" w:space="0" w:color="auto"/>
                    <w:right w:val="none" w:sz="0" w:space="0" w:color="auto"/>
                  </w:divBdr>
                </w:div>
                <w:div w:id="1907956157">
                  <w:marLeft w:val="480"/>
                  <w:marRight w:val="0"/>
                  <w:marTop w:val="0"/>
                  <w:marBottom w:val="0"/>
                  <w:divBdr>
                    <w:top w:val="none" w:sz="0" w:space="0" w:color="auto"/>
                    <w:left w:val="none" w:sz="0" w:space="0" w:color="auto"/>
                    <w:bottom w:val="none" w:sz="0" w:space="0" w:color="auto"/>
                    <w:right w:val="none" w:sz="0" w:space="0" w:color="auto"/>
                  </w:divBdr>
                </w:div>
                <w:div w:id="1035157129">
                  <w:marLeft w:val="480"/>
                  <w:marRight w:val="0"/>
                  <w:marTop w:val="0"/>
                  <w:marBottom w:val="0"/>
                  <w:divBdr>
                    <w:top w:val="none" w:sz="0" w:space="0" w:color="auto"/>
                    <w:left w:val="none" w:sz="0" w:space="0" w:color="auto"/>
                    <w:bottom w:val="none" w:sz="0" w:space="0" w:color="auto"/>
                    <w:right w:val="none" w:sz="0" w:space="0" w:color="auto"/>
                  </w:divBdr>
                </w:div>
                <w:div w:id="879976168">
                  <w:marLeft w:val="480"/>
                  <w:marRight w:val="0"/>
                  <w:marTop w:val="0"/>
                  <w:marBottom w:val="0"/>
                  <w:divBdr>
                    <w:top w:val="none" w:sz="0" w:space="0" w:color="auto"/>
                    <w:left w:val="none" w:sz="0" w:space="0" w:color="auto"/>
                    <w:bottom w:val="none" w:sz="0" w:space="0" w:color="auto"/>
                    <w:right w:val="none" w:sz="0" w:space="0" w:color="auto"/>
                  </w:divBdr>
                </w:div>
                <w:div w:id="1155412090">
                  <w:marLeft w:val="480"/>
                  <w:marRight w:val="0"/>
                  <w:marTop w:val="0"/>
                  <w:marBottom w:val="0"/>
                  <w:divBdr>
                    <w:top w:val="none" w:sz="0" w:space="0" w:color="auto"/>
                    <w:left w:val="none" w:sz="0" w:space="0" w:color="auto"/>
                    <w:bottom w:val="none" w:sz="0" w:space="0" w:color="auto"/>
                    <w:right w:val="none" w:sz="0" w:space="0" w:color="auto"/>
                  </w:divBdr>
                </w:div>
                <w:div w:id="1110247382">
                  <w:marLeft w:val="480"/>
                  <w:marRight w:val="0"/>
                  <w:marTop w:val="0"/>
                  <w:marBottom w:val="0"/>
                  <w:divBdr>
                    <w:top w:val="none" w:sz="0" w:space="0" w:color="auto"/>
                    <w:left w:val="none" w:sz="0" w:space="0" w:color="auto"/>
                    <w:bottom w:val="none" w:sz="0" w:space="0" w:color="auto"/>
                    <w:right w:val="none" w:sz="0" w:space="0" w:color="auto"/>
                  </w:divBdr>
                </w:div>
                <w:div w:id="530068417">
                  <w:marLeft w:val="480"/>
                  <w:marRight w:val="0"/>
                  <w:marTop w:val="0"/>
                  <w:marBottom w:val="0"/>
                  <w:divBdr>
                    <w:top w:val="none" w:sz="0" w:space="0" w:color="auto"/>
                    <w:left w:val="none" w:sz="0" w:space="0" w:color="auto"/>
                    <w:bottom w:val="none" w:sz="0" w:space="0" w:color="auto"/>
                    <w:right w:val="none" w:sz="0" w:space="0" w:color="auto"/>
                  </w:divBdr>
                </w:div>
                <w:div w:id="852459014">
                  <w:marLeft w:val="480"/>
                  <w:marRight w:val="0"/>
                  <w:marTop w:val="0"/>
                  <w:marBottom w:val="0"/>
                  <w:divBdr>
                    <w:top w:val="none" w:sz="0" w:space="0" w:color="auto"/>
                    <w:left w:val="none" w:sz="0" w:space="0" w:color="auto"/>
                    <w:bottom w:val="none" w:sz="0" w:space="0" w:color="auto"/>
                    <w:right w:val="none" w:sz="0" w:space="0" w:color="auto"/>
                  </w:divBdr>
                </w:div>
                <w:div w:id="2091392879">
                  <w:marLeft w:val="480"/>
                  <w:marRight w:val="0"/>
                  <w:marTop w:val="0"/>
                  <w:marBottom w:val="0"/>
                  <w:divBdr>
                    <w:top w:val="none" w:sz="0" w:space="0" w:color="auto"/>
                    <w:left w:val="none" w:sz="0" w:space="0" w:color="auto"/>
                    <w:bottom w:val="none" w:sz="0" w:space="0" w:color="auto"/>
                    <w:right w:val="none" w:sz="0" w:space="0" w:color="auto"/>
                  </w:divBdr>
                </w:div>
                <w:div w:id="1924144862">
                  <w:marLeft w:val="480"/>
                  <w:marRight w:val="0"/>
                  <w:marTop w:val="0"/>
                  <w:marBottom w:val="0"/>
                  <w:divBdr>
                    <w:top w:val="none" w:sz="0" w:space="0" w:color="auto"/>
                    <w:left w:val="none" w:sz="0" w:space="0" w:color="auto"/>
                    <w:bottom w:val="none" w:sz="0" w:space="0" w:color="auto"/>
                    <w:right w:val="none" w:sz="0" w:space="0" w:color="auto"/>
                  </w:divBdr>
                </w:div>
                <w:div w:id="183440814">
                  <w:marLeft w:val="480"/>
                  <w:marRight w:val="0"/>
                  <w:marTop w:val="0"/>
                  <w:marBottom w:val="0"/>
                  <w:divBdr>
                    <w:top w:val="none" w:sz="0" w:space="0" w:color="auto"/>
                    <w:left w:val="none" w:sz="0" w:space="0" w:color="auto"/>
                    <w:bottom w:val="none" w:sz="0" w:space="0" w:color="auto"/>
                    <w:right w:val="none" w:sz="0" w:space="0" w:color="auto"/>
                  </w:divBdr>
                </w:div>
                <w:div w:id="1762947743">
                  <w:marLeft w:val="480"/>
                  <w:marRight w:val="0"/>
                  <w:marTop w:val="0"/>
                  <w:marBottom w:val="0"/>
                  <w:divBdr>
                    <w:top w:val="none" w:sz="0" w:space="0" w:color="auto"/>
                    <w:left w:val="none" w:sz="0" w:space="0" w:color="auto"/>
                    <w:bottom w:val="none" w:sz="0" w:space="0" w:color="auto"/>
                    <w:right w:val="none" w:sz="0" w:space="0" w:color="auto"/>
                  </w:divBdr>
                </w:div>
                <w:div w:id="320624986">
                  <w:marLeft w:val="480"/>
                  <w:marRight w:val="0"/>
                  <w:marTop w:val="0"/>
                  <w:marBottom w:val="0"/>
                  <w:divBdr>
                    <w:top w:val="none" w:sz="0" w:space="0" w:color="auto"/>
                    <w:left w:val="none" w:sz="0" w:space="0" w:color="auto"/>
                    <w:bottom w:val="none" w:sz="0" w:space="0" w:color="auto"/>
                    <w:right w:val="none" w:sz="0" w:space="0" w:color="auto"/>
                  </w:divBdr>
                </w:div>
                <w:div w:id="1861698626">
                  <w:marLeft w:val="480"/>
                  <w:marRight w:val="0"/>
                  <w:marTop w:val="0"/>
                  <w:marBottom w:val="0"/>
                  <w:divBdr>
                    <w:top w:val="none" w:sz="0" w:space="0" w:color="auto"/>
                    <w:left w:val="none" w:sz="0" w:space="0" w:color="auto"/>
                    <w:bottom w:val="none" w:sz="0" w:space="0" w:color="auto"/>
                    <w:right w:val="none" w:sz="0" w:space="0" w:color="auto"/>
                  </w:divBdr>
                </w:div>
                <w:div w:id="658269583">
                  <w:marLeft w:val="480"/>
                  <w:marRight w:val="0"/>
                  <w:marTop w:val="0"/>
                  <w:marBottom w:val="0"/>
                  <w:divBdr>
                    <w:top w:val="none" w:sz="0" w:space="0" w:color="auto"/>
                    <w:left w:val="none" w:sz="0" w:space="0" w:color="auto"/>
                    <w:bottom w:val="none" w:sz="0" w:space="0" w:color="auto"/>
                    <w:right w:val="none" w:sz="0" w:space="0" w:color="auto"/>
                  </w:divBdr>
                </w:div>
                <w:div w:id="1951356201">
                  <w:marLeft w:val="480"/>
                  <w:marRight w:val="0"/>
                  <w:marTop w:val="0"/>
                  <w:marBottom w:val="0"/>
                  <w:divBdr>
                    <w:top w:val="none" w:sz="0" w:space="0" w:color="auto"/>
                    <w:left w:val="none" w:sz="0" w:space="0" w:color="auto"/>
                    <w:bottom w:val="none" w:sz="0" w:space="0" w:color="auto"/>
                    <w:right w:val="none" w:sz="0" w:space="0" w:color="auto"/>
                  </w:divBdr>
                </w:div>
                <w:div w:id="441456789">
                  <w:marLeft w:val="480"/>
                  <w:marRight w:val="0"/>
                  <w:marTop w:val="0"/>
                  <w:marBottom w:val="0"/>
                  <w:divBdr>
                    <w:top w:val="none" w:sz="0" w:space="0" w:color="auto"/>
                    <w:left w:val="none" w:sz="0" w:space="0" w:color="auto"/>
                    <w:bottom w:val="none" w:sz="0" w:space="0" w:color="auto"/>
                    <w:right w:val="none" w:sz="0" w:space="0" w:color="auto"/>
                  </w:divBdr>
                </w:div>
                <w:div w:id="1841003312">
                  <w:marLeft w:val="480"/>
                  <w:marRight w:val="0"/>
                  <w:marTop w:val="0"/>
                  <w:marBottom w:val="0"/>
                  <w:divBdr>
                    <w:top w:val="none" w:sz="0" w:space="0" w:color="auto"/>
                    <w:left w:val="none" w:sz="0" w:space="0" w:color="auto"/>
                    <w:bottom w:val="none" w:sz="0" w:space="0" w:color="auto"/>
                    <w:right w:val="none" w:sz="0" w:space="0" w:color="auto"/>
                  </w:divBdr>
                </w:div>
                <w:div w:id="1374697525">
                  <w:marLeft w:val="480"/>
                  <w:marRight w:val="0"/>
                  <w:marTop w:val="0"/>
                  <w:marBottom w:val="0"/>
                  <w:divBdr>
                    <w:top w:val="none" w:sz="0" w:space="0" w:color="auto"/>
                    <w:left w:val="none" w:sz="0" w:space="0" w:color="auto"/>
                    <w:bottom w:val="none" w:sz="0" w:space="0" w:color="auto"/>
                    <w:right w:val="none" w:sz="0" w:space="0" w:color="auto"/>
                  </w:divBdr>
                </w:div>
                <w:div w:id="1651864294">
                  <w:marLeft w:val="480"/>
                  <w:marRight w:val="0"/>
                  <w:marTop w:val="0"/>
                  <w:marBottom w:val="0"/>
                  <w:divBdr>
                    <w:top w:val="none" w:sz="0" w:space="0" w:color="auto"/>
                    <w:left w:val="none" w:sz="0" w:space="0" w:color="auto"/>
                    <w:bottom w:val="none" w:sz="0" w:space="0" w:color="auto"/>
                    <w:right w:val="none" w:sz="0" w:space="0" w:color="auto"/>
                  </w:divBdr>
                </w:div>
                <w:div w:id="411511276">
                  <w:marLeft w:val="480"/>
                  <w:marRight w:val="0"/>
                  <w:marTop w:val="0"/>
                  <w:marBottom w:val="0"/>
                  <w:divBdr>
                    <w:top w:val="none" w:sz="0" w:space="0" w:color="auto"/>
                    <w:left w:val="none" w:sz="0" w:space="0" w:color="auto"/>
                    <w:bottom w:val="none" w:sz="0" w:space="0" w:color="auto"/>
                    <w:right w:val="none" w:sz="0" w:space="0" w:color="auto"/>
                  </w:divBdr>
                </w:div>
                <w:div w:id="392966892">
                  <w:marLeft w:val="480"/>
                  <w:marRight w:val="0"/>
                  <w:marTop w:val="0"/>
                  <w:marBottom w:val="0"/>
                  <w:divBdr>
                    <w:top w:val="none" w:sz="0" w:space="0" w:color="auto"/>
                    <w:left w:val="none" w:sz="0" w:space="0" w:color="auto"/>
                    <w:bottom w:val="none" w:sz="0" w:space="0" w:color="auto"/>
                    <w:right w:val="none" w:sz="0" w:space="0" w:color="auto"/>
                  </w:divBdr>
                </w:div>
                <w:div w:id="1048410622">
                  <w:marLeft w:val="480"/>
                  <w:marRight w:val="0"/>
                  <w:marTop w:val="0"/>
                  <w:marBottom w:val="0"/>
                  <w:divBdr>
                    <w:top w:val="none" w:sz="0" w:space="0" w:color="auto"/>
                    <w:left w:val="none" w:sz="0" w:space="0" w:color="auto"/>
                    <w:bottom w:val="none" w:sz="0" w:space="0" w:color="auto"/>
                    <w:right w:val="none" w:sz="0" w:space="0" w:color="auto"/>
                  </w:divBdr>
                </w:div>
                <w:div w:id="452679190">
                  <w:marLeft w:val="480"/>
                  <w:marRight w:val="0"/>
                  <w:marTop w:val="0"/>
                  <w:marBottom w:val="0"/>
                  <w:divBdr>
                    <w:top w:val="none" w:sz="0" w:space="0" w:color="auto"/>
                    <w:left w:val="none" w:sz="0" w:space="0" w:color="auto"/>
                    <w:bottom w:val="none" w:sz="0" w:space="0" w:color="auto"/>
                    <w:right w:val="none" w:sz="0" w:space="0" w:color="auto"/>
                  </w:divBdr>
                </w:div>
                <w:div w:id="893665241">
                  <w:marLeft w:val="480"/>
                  <w:marRight w:val="0"/>
                  <w:marTop w:val="0"/>
                  <w:marBottom w:val="0"/>
                  <w:divBdr>
                    <w:top w:val="none" w:sz="0" w:space="0" w:color="auto"/>
                    <w:left w:val="none" w:sz="0" w:space="0" w:color="auto"/>
                    <w:bottom w:val="none" w:sz="0" w:space="0" w:color="auto"/>
                    <w:right w:val="none" w:sz="0" w:space="0" w:color="auto"/>
                  </w:divBdr>
                </w:div>
                <w:div w:id="635526349">
                  <w:marLeft w:val="480"/>
                  <w:marRight w:val="0"/>
                  <w:marTop w:val="0"/>
                  <w:marBottom w:val="0"/>
                  <w:divBdr>
                    <w:top w:val="none" w:sz="0" w:space="0" w:color="auto"/>
                    <w:left w:val="none" w:sz="0" w:space="0" w:color="auto"/>
                    <w:bottom w:val="none" w:sz="0" w:space="0" w:color="auto"/>
                    <w:right w:val="none" w:sz="0" w:space="0" w:color="auto"/>
                  </w:divBdr>
                </w:div>
                <w:div w:id="1093630194">
                  <w:marLeft w:val="480"/>
                  <w:marRight w:val="0"/>
                  <w:marTop w:val="0"/>
                  <w:marBottom w:val="0"/>
                  <w:divBdr>
                    <w:top w:val="none" w:sz="0" w:space="0" w:color="auto"/>
                    <w:left w:val="none" w:sz="0" w:space="0" w:color="auto"/>
                    <w:bottom w:val="none" w:sz="0" w:space="0" w:color="auto"/>
                    <w:right w:val="none" w:sz="0" w:space="0" w:color="auto"/>
                  </w:divBdr>
                </w:div>
                <w:div w:id="439112417">
                  <w:marLeft w:val="480"/>
                  <w:marRight w:val="0"/>
                  <w:marTop w:val="0"/>
                  <w:marBottom w:val="0"/>
                  <w:divBdr>
                    <w:top w:val="none" w:sz="0" w:space="0" w:color="auto"/>
                    <w:left w:val="none" w:sz="0" w:space="0" w:color="auto"/>
                    <w:bottom w:val="none" w:sz="0" w:space="0" w:color="auto"/>
                    <w:right w:val="none" w:sz="0" w:space="0" w:color="auto"/>
                  </w:divBdr>
                </w:div>
                <w:div w:id="1311209529">
                  <w:marLeft w:val="480"/>
                  <w:marRight w:val="0"/>
                  <w:marTop w:val="0"/>
                  <w:marBottom w:val="0"/>
                  <w:divBdr>
                    <w:top w:val="none" w:sz="0" w:space="0" w:color="auto"/>
                    <w:left w:val="none" w:sz="0" w:space="0" w:color="auto"/>
                    <w:bottom w:val="none" w:sz="0" w:space="0" w:color="auto"/>
                    <w:right w:val="none" w:sz="0" w:space="0" w:color="auto"/>
                  </w:divBdr>
                </w:div>
                <w:div w:id="1970471921">
                  <w:marLeft w:val="480"/>
                  <w:marRight w:val="0"/>
                  <w:marTop w:val="0"/>
                  <w:marBottom w:val="0"/>
                  <w:divBdr>
                    <w:top w:val="none" w:sz="0" w:space="0" w:color="auto"/>
                    <w:left w:val="none" w:sz="0" w:space="0" w:color="auto"/>
                    <w:bottom w:val="none" w:sz="0" w:space="0" w:color="auto"/>
                    <w:right w:val="none" w:sz="0" w:space="0" w:color="auto"/>
                  </w:divBdr>
                </w:div>
                <w:div w:id="525800739">
                  <w:marLeft w:val="480"/>
                  <w:marRight w:val="0"/>
                  <w:marTop w:val="0"/>
                  <w:marBottom w:val="0"/>
                  <w:divBdr>
                    <w:top w:val="none" w:sz="0" w:space="0" w:color="auto"/>
                    <w:left w:val="none" w:sz="0" w:space="0" w:color="auto"/>
                    <w:bottom w:val="none" w:sz="0" w:space="0" w:color="auto"/>
                    <w:right w:val="none" w:sz="0" w:space="0" w:color="auto"/>
                  </w:divBdr>
                </w:div>
                <w:div w:id="350449791">
                  <w:marLeft w:val="480"/>
                  <w:marRight w:val="0"/>
                  <w:marTop w:val="0"/>
                  <w:marBottom w:val="0"/>
                  <w:divBdr>
                    <w:top w:val="none" w:sz="0" w:space="0" w:color="auto"/>
                    <w:left w:val="none" w:sz="0" w:space="0" w:color="auto"/>
                    <w:bottom w:val="none" w:sz="0" w:space="0" w:color="auto"/>
                    <w:right w:val="none" w:sz="0" w:space="0" w:color="auto"/>
                  </w:divBdr>
                </w:div>
                <w:div w:id="1290622267">
                  <w:marLeft w:val="480"/>
                  <w:marRight w:val="0"/>
                  <w:marTop w:val="0"/>
                  <w:marBottom w:val="0"/>
                  <w:divBdr>
                    <w:top w:val="none" w:sz="0" w:space="0" w:color="auto"/>
                    <w:left w:val="none" w:sz="0" w:space="0" w:color="auto"/>
                    <w:bottom w:val="none" w:sz="0" w:space="0" w:color="auto"/>
                    <w:right w:val="none" w:sz="0" w:space="0" w:color="auto"/>
                  </w:divBdr>
                </w:div>
                <w:div w:id="1913738154">
                  <w:marLeft w:val="480"/>
                  <w:marRight w:val="0"/>
                  <w:marTop w:val="0"/>
                  <w:marBottom w:val="0"/>
                  <w:divBdr>
                    <w:top w:val="none" w:sz="0" w:space="0" w:color="auto"/>
                    <w:left w:val="none" w:sz="0" w:space="0" w:color="auto"/>
                    <w:bottom w:val="none" w:sz="0" w:space="0" w:color="auto"/>
                    <w:right w:val="none" w:sz="0" w:space="0" w:color="auto"/>
                  </w:divBdr>
                </w:div>
                <w:div w:id="1515224500">
                  <w:marLeft w:val="480"/>
                  <w:marRight w:val="0"/>
                  <w:marTop w:val="0"/>
                  <w:marBottom w:val="0"/>
                  <w:divBdr>
                    <w:top w:val="none" w:sz="0" w:space="0" w:color="auto"/>
                    <w:left w:val="none" w:sz="0" w:space="0" w:color="auto"/>
                    <w:bottom w:val="none" w:sz="0" w:space="0" w:color="auto"/>
                    <w:right w:val="none" w:sz="0" w:space="0" w:color="auto"/>
                  </w:divBdr>
                </w:div>
                <w:div w:id="1432048438">
                  <w:marLeft w:val="480"/>
                  <w:marRight w:val="0"/>
                  <w:marTop w:val="0"/>
                  <w:marBottom w:val="0"/>
                  <w:divBdr>
                    <w:top w:val="none" w:sz="0" w:space="0" w:color="auto"/>
                    <w:left w:val="none" w:sz="0" w:space="0" w:color="auto"/>
                    <w:bottom w:val="none" w:sz="0" w:space="0" w:color="auto"/>
                    <w:right w:val="none" w:sz="0" w:space="0" w:color="auto"/>
                  </w:divBdr>
                </w:div>
                <w:div w:id="882866338">
                  <w:marLeft w:val="480"/>
                  <w:marRight w:val="0"/>
                  <w:marTop w:val="0"/>
                  <w:marBottom w:val="0"/>
                  <w:divBdr>
                    <w:top w:val="none" w:sz="0" w:space="0" w:color="auto"/>
                    <w:left w:val="none" w:sz="0" w:space="0" w:color="auto"/>
                    <w:bottom w:val="none" w:sz="0" w:space="0" w:color="auto"/>
                    <w:right w:val="none" w:sz="0" w:space="0" w:color="auto"/>
                  </w:divBdr>
                </w:div>
                <w:div w:id="659037512">
                  <w:marLeft w:val="480"/>
                  <w:marRight w:val="0"/>
                  <w:marTop w:val="0"/>
                  <w:marBottom w:val="0"/>
                  <w:divBdr>
                    <w:top w:val="none" w:sz="0" w:space="0" w:color="auto"/>
                    <w:left w:val="none" w:sz="0" w:space="0" w:color="auto"/>
                    <w:bottom w:val="none" w:sz="0" w:space="0" w:color="auto"/>
                    <w:right w:val="none" w:sz="0" w:space="0" w:color="auto"/>
                  </w:divBdr>
                </w:div>
                <w:div w:id="2005233856">
                  <w:marLeft w:val="480"/>
                  <w:marRight w:val="0"/>
                  <w:marTop w:val="0"/>
                  <w:marBottom w:val="0"/>
                  <w:divBdr>
                    <w:top w:val="none" w:sz="0" w:space="0" w:color="auto"/>
                    <w:left w:val="none" w:sz="0" w:space="0" w:color="auto"/>
                    <w:bottom w:val="none" w:sz="0" w:space="0" w:color="auto"/>
                    <w:right w:val="none" w:sz="0" w:space="0" w:color="auto"/>
                  </w:divBdr>
                </w:div>
                <w:div w:id="189103214">
                  <w:marLeft w:val="480"/>
                  <w:marRight w:val="0"/>
                  <w:marTop w:val="0"/>
                  <w:marBottom w:val="0"/>
                  <w:divBdr>
                    <w:top w:val="none" w:sz="0" w:space="0" w:color="auto"/>
                    <w:left w:val="none" w:sz="0" w:space="0" w:color="auto"/>
                    <w:bottom w:val="none" w:sz="0" w:space="0" w:color="auto"/>
                    <w:right w:val="none" w:sz="0" w:space="0" w:color="auto"/>
                  </w:divBdr>
                </w:div>
                <w:div w:id="1908373770">
                  <w:marLeft w:val="480"/>
                  <w:marRight w:val="0"/>
                  <w:marTop w:val="0"/>
                  <w:marBottom w:val="0"/>
                  <w:divBdr>
                    <w:top w:val="none" w:sz="0" w:space="0" w:color="auto"/>
                    <w:left w:val="none" w:sz="0" w:space="0" w:color="auto"/>
                    <w:bottom w:val="none" w:sz="0" w:space="0" w:color="auto"/>
                    <w:right w:val="none" w:sz="0" w:space="0" w:color="auto"/>
                  </w:divBdr>
                </w:div>
                <w:div w:id="1532844274">
                  <w:marLeft w:val="480"/>
                  <w:marRight w:val="0"/>
                  <w:marTop w:val="0"/>
                  <w:marBottom w:val="0"/>
                  <w:divBdr>
                    <w:top w:val="none" w:sz="0" w:space="0" w:color="auto"/>
                    <w:left w:val="none" w:sz="0" w:space="0" w:color="auto"/>
                    <w:bottom w:val="none" w:sz="0" w:space="0" w:color="auto"/>
                    <w:right w:val="none" w:sz="0" w:space="0" w:color="auto"/>
                  </w:divBdr>
                </w:div>
                <w:div w:id="1818720607">
                  <w:marLeft w:val="480"/>
                  <w:marRight w:val="0"/>
                  <w:marTop w:val="0"/>
                  <w:marBottom w:val="0"/>
                  <w:divBdr>
                    <w:top w:val="none" w:sz="0" w:space="0" w:color="auto"/>
                    <w:left w:val="none" w:sz="0" w:space="0" w:color="auto"/>
                    <w:bottom w:val="none" w:sz="0" w:space="0" w:color="auto"/>
                    <w:right w:val="none" w:sz="0" w:space="0" w:color="auto"/>
                  </w:divBdr>
                </w:div>
                <w:div w:id="1907062279">
                  <w:marLeft w:val="480"/>
                  <w:marRight w:val="0"/>
                  <w:marTop w:val="0"/>
                  <w:marBottom w:val="0"/>
                  <w:divBdr>
                    <w:top w:val="none" w:sz="0" w:space="0" w:color="auto"/>
                    <w:left w:val="none" w:sz="0" w:space="0" w:color="auto"/>
                    <w:bottom w:val="none" w:sz="0" w:space="0" w:color="auto"/>
                    <w:right w:val="none" w:sz="0" w:space="0" w:color="auto"/>
                  </w:divBdr>
                </w:div>
                <w:div w:id="1407142479">
                  <w:marLeft w:val="480"/>
                  <w:marRight w:val="0"/>
                  <w:marTop w:val="0"/>
                  <w:marBottom w:val="0"/>
                  <w:divBdr>
                    <w:top w:val="none" w:sz="0" w:space="0" w:color="auto"/>
                    <w:left w:val="none" w:sz="0" w:space="0" w:color="auto"/>
                    <w:bottom w:val="none" w:sz="0" w:space="0" w:color="auto"/>
                    <w:right w:val="none" w:sz="0" w:space="0" w:color="auto"/>
                  </w:divBdr>
                </w:div>
                <w:div w:id="1882941898">
                  <w:marLeft w:val="480"/>
                  <w:marRight w:val="0"/>
                  <w:marTop w:val="0"/>
                  <w:marBottom w:val="0"/>
                  <w:divBdr>
                    <w:top w:val="none" w:sz="0" w:space="0" w:color="auto"/>
                    <w:left w:val="none" w:sz="0" w:space="0" w:color="auto"/>
                    <w:bottom w:val="none" w:sz="0" w:space="0" w:color="auto"/>
                    <w:right w:val="none" w:sz="0" w:space="0" w:color="auto"/>
                  </w:divBdr>
                </w:div>
                <w:div w:id="426463003">
                  <w:marLeft w:val="480"/>
                  <w:marRight w:val="0"/>
                  <w:marTop w:val="0"/>
                  <w:marBottom w:val="0"/>
                  <w:divBdr>
                    <w:top w:val="none" w:sz="0" w:space="0" w:color="auto"/>
                    <w:left w:val="none" w:sz="0" w:space="0" w:color="auto"/>
                    <w:bottom w:val="none" w:sz="0" w:space="0" w:color="auto"/>
                    <w:right w:val="none" w:sz="0" w:space="0" w:color="auto"/>
                  </w:divBdr>
                </w:div>
                <w:div w:id="152452361">
                  <w:marLeft w:val="480"/>
                  <w:marRight w:val="0"/>
                  <w:marTop w:val="0"/>
                  <w:marBottom w:val="0"/>
                  <w:divBdr>
                    <w:top w:val="none" w:sz="0" w:space="0" w:color="auto"/>
                    <w:left w:val="none" w:sz="0" w:space="0" w:color="auto"/>
                    <w:bottom w:val="none" w:sz="0" w:space="0" w:color="auto"/>
                    <w:right w:val="none" w:sz="0" w:space="0" w:color="auto"/>
                  </w:divBdr>
                </w:div>
                <w:div w:id="1321155999">
                  <w:marLeft w:val="480"/>
                  <w:marRight w:val="0"/>
                  <w:marTop w:val="0"/>
                  <w:marBottom w:val="0"/>
                  <w:divBdr>
                    <w:top w:val="none" w:sz="0" w:space="0" w:color="auto"/>
                    <w:left w:val="none" w:sz="0" w:space="0" w:color="auto"/>
                    <w:bottom w:val="none" w:sz="0" w:space="0" w:color="auto"/>
                    <w:right w:val="none" w:sz="0" w:space="0" w:color="auto"/>
                  </w:divBdr>
                </w:div>
                <w:div w:id="2132549200">
                  <w:marLeft w:val="480"/>
                  <w:marRight w:val="0"/>
                  <w:marTop w:val="0"/>
                  <w:marBottom w:val="0"/>
                  <w:divBdr>
                    <w:top w:val="none" w:sz="0" w:space="0" w:color="auto"/>
                    <w:left w:val="none" w:sz="0" w:space="0" w:color="auto"/>
                    <w:bottom w:val="none" w:sz="0" w:space="0" w:color="auto"/>
                    <w:right w:val="none" w:sz="0" w:space="0" w:color="auto"/>
                  </w:divBdr>
                </w:div>
                <w:div w:id="836725622">
                  <w:marLeft w:val="480"/>
                  <w:marRight w:val="0"/>
                  <w:marTop w:val="0"/>
                  <w:marBottom w:val="0"/>
                  <w:divBdr>
                    <w:top w:val="none" w:sz="0" w:space="0" w:color="auto"/>
                    <w:left w:val="none" w:sz="0" w:space="0" w:color="auto"/>
                    <w:bottom w:val="none" w:sz="0" w:space="0" w:color="auto"/>
                    <w:right w:val="none" w:sz="0" w:space="0" w:color="auto"/>
                  </w:divBdr>
                </w:div>
                <w:div w:id="498887914">
                  <w:marLeft w:val="480"/>
                  <w:marRight w:val="0"/>
                  <w:marTop w:val="0"/>
                  <w:marBottom w:val="0"/>
                  <w:divBdr>
                    <w:top w:val="none" w:sz="0" w:space="0" w:color="auto"/>
                    <w:left w:val="none" w:sz="0" w:space="0" w:color="auto"/>
                    <w:bottom w:val="none" w:sz="0" w:space="0" w:color="auto"/>
                    <w:right w:val="none" w:sz="0" w:space="0" w:color="auto"/>
                  </w:divBdr>
                </w:div>
                <w:div w:id="1950382974">
                  <w:marLeft w:val="480"/>
                  <w:marRight w:val="0"/>
                  <w:marTop w:val="0"/>
                  <w:marBottom w:val="0"/>
                  <w:divBdr>
                    <w:top w:val="none" w:sz="0" w:space="0" w:color="auto"/>
                    <w:left w:val="none" w:sz="0" w:space="0" w:color="auto"/>
                    <w:bottom w:val="none" w:sz="0" w:space="0" w:color="auto"/>
                    <w:right w:val="none" w:sz="0" w:space="0" w:color="auto"/>
                  </w:divBdr>
                </w:div>
                <w:div w:id="143132250">
                  <w:marLeft w:val="480"/>
                  <w:marRight w:val="0"/>
                  <w:marTop w:val="0"/>
                  <w:marBottom w:val="0"/>
                  <w:divBdr>
                    <w:top w:val="none" w:sz="0" w:space="0" w:color="auto"/>
                    <w:left w:val="none" w:sz="0" w:space="0" w:color="auto"/>
                    <w:bottom w:val="none" w:sz="0" w:space="0" w:color="auto"/>
                    <w:right w:val="none" w:sz="0" w:space="0" w:color="auto"/>
                  </w:divBdr>
                </w:div>
                <w:div w:id="1968270493">
                  <w:marLeft w:val="480"/>
                  <w:marRight w:val="0"/>
                  <w:marTop w:val="0"/>
                  <w:marBottom w:val="0"/>
                  <w:divBdr>
                    <w:top w:val="none" w:sz="0" w:space="0" w:color="auto"/>
                    <w:left w:val="none" w:sz="0" w:space="0" w:color="auto"/>
                    <w:bottom w:val="none" w:sz="0" w:space="0" w:color="auto"/>
                    <w:right w:val="none" w:sz="0" w:space="0" w:color="auto"/>
                  </w:divBdr>
                </w:div>
                <w:div w:id="2060467988">
                  <w:marLeft w:val="480"/>
                  <w:marRight w:val="0"/>
                  <w:marTop w:val="0"/>
                  <w:marBottom w:val="0"/>
                  <w:divBdr>
                    <w:top w:val="none" w:sz="0" w:space="0" w:color="auto"/>
                    <w:left w:val="none" w:sz="0" w:space="0" w:color="auto"/>
                    <w:bottom w:val="none" w:sz="0" w:space="0" w:color="auto"/>
                    <w:right w:val="none" w:sz="0" w:space="0" w:color="auto"/>
                  </w:divBdr>
                </w:div>
                <w:div w:id="367529044">
                  <w:marLeft w:val="480"/>
                  <w:marRight w:val="0"/>
                  <w:marTop w:val="0"/>
                  <w:marBottom w:val="0"/>
                  <w:divBdr>
                    <w:top w:val="none" w:sz="0" w:space="0" w:color="auto"/>
                    <w:left w:val="none" w:sz="0" w:space="0" w:color="auto"/>
                    <w:bottom w:val="none" w:sz="0" w:space="0" w:color="auto"/>
                    <w:right w:val="none" w:sz="0" w:space="0" w:color="auto"/>
                  </w:divBdr>
                </w:div>
                <w:div w:id="1947233322">
                  <w:marLeft w:val="480"/>
                  <w:marRight w:val="0"/>
                  <w:marTop w:val="0"/>
                  <w:marBottom w:val="0"/>
                  <w:divBdr>
                    <w:top w:val="none" w:sz="0" w:space="0" w:color="auto"/>
                    <w:left w:val="none" w:sz="0" w:space="0" w:color="auto"/>
                    <w:bottom w:val="none" w:sz="0" w:space="0" w:color="auto"/>
                    <w:right w:val="none" w:sz="0" w:space="0" w:color="auto"/>
                  </w:divBdr>
                </w:div>
                <w:div w:id="1802574483">
                  <w:marLeft w:val="480"/>
                  <w:marRight w:val="0"/>
                  <w:marTop w:val="0"/>
                  <w:marBottom w:val="0"/>
                  <w:divBdr>
                    <w:top w:val="none" w:sz="0" w:space="0" w:color="auto"/>
                    <w:left w:val="none" w:sz="0" w:space="0" w:color="auto"/>
                    <w:bottom w:val="none" w:sz="0" w:space="0" w:color="auto"/>
                    <w:right w:val="none" w:sz="0" w:space="0" w:color="auto"/>
                  </w:divBdr>
                </w:div>
                <w:div w:id="1870332519">
                  <w:marLeft w:val="480"/>
                  <w:marRight w:val="0"/>
                  <w:marTop w:val="0"/>
                  <w:marBottom w:val="0"/>
                  <w:divBdr>
                    <w:top w:val="none" w:sz="0" w:space="0" w:color="auto"/>
                    <w:left w:val="none" w:sz="0" w:space="0" w:color="auto"/>
                    <w:bottom w:val="none" w:sz="0" w:space="0" w:color="auto"/>
                    <w:right w:val="none" w:sz="0" w:space="0" w:color="auto"/>
                  </w:divBdr>
                </w:div>
                <w:div w:id="2068144827">
                  <w:marLeft w:val="480"/>
                  <w:marRight w:val="0"/>
                  <w:marTop w:val="0"/>
                  <w:marBottom w:val="0"/>
                  <w:divBdr>
                    <w:top w:val="none" w:sz="0" w:space="0" w:color="auto"/>
                    <w:left w:val="none" w:sz="0" w:space="0" w:color="auto"/>
                    <w:bottom w:val="none" w:sz="0" w:space="0" w:color="auto"/>
                    <w:right w:val="none" w:sz="0" w:space="0" w:color="auto"/>
                  </w:divBdr>
                </w:div>
                <w:div w:id="1517040001">
                  <w:marLeft w:val="480"/>
                  <w:marRight w:val="0"/>
                  <w:marTop w:val="0"/>
                  <w:marBottom w:val="0"/>
                  <w:divBdr>
                    <w:top w:val="none" w:sz="0" w:space="0" w:color="auto"/>
                    <w:left w:val="none" w:sz="0" w:space="0" w:color="auto"/>
                    <w:bottom w:val="none" w:sz="0" w:space="0" w:color="auto"/>
                    <w:right w:val="none" w:sz="0" w:space="0" w:color="auto"/>
                  </w:divBdr>
                </w:div>
                <w:div w:id="338898756">
                  <w:marLeft w:val="480"/>
                  <w:marRight w:val="0"/>
                  <w:marTop w:val="0"/>
                  <w:marBottom w:val="0"/>
                  <w:divBdr>
                    <w:top w:val="none" w:sz="0" w:space="0" w:color="auto"/>
                    <w:left w:val="none" w:sz="0" w:space="0" w:color="auto"/>
                    <w:bottom w:val="none" w:sz="0" w:space="0" w:color="auto"/>
                    <w:right w:val="none" w:sz="0" w:space="0" w:color="auto"/>
                  </w:divBdr>
                </w:div>
                <w:div w:id="1667202416">
                  <w:marLeft w:val="480"/>
                  <w:marRight w:val="0"/>
                  <w:marTop w:val="0"/>
                  <w:marBottom w:val="0"/>
                  <w:divBdr>
                    <w:top w:val="none" w:sz="0" w:space="0" w:color="auto"/>
                    <w:left w:val="none" w:sz="0" w:space="0" w:color="auto"/>
                    <w:bottom w:val="none" w:sz="0" w:space="0" w:color="auto"/>
                    <w:right w:val="none" w:sz="0" w:space="0" w:color="auto"/>
                  </w:divBdr>
                </w:div>
                <w:div w:id="998461114">
                  <w:marLeft w:val="480"/>
                  <w:marRight w:val="0"/>
                  <w:marTop w:val="0"/>
                  <w:marBottom w:val="0"/>
                  <w:divBdr>
                    <w:top w:val="none" w:sz="0" w:space="0" w:color="auto"/>
                    <w:left w:val="none" w:sz="0" w:space="0" w:color="auto"/>
                    <w:bottom w:val="none" w:sz="0" w:space="0" w:color="auto"/>
                    <w:right w:val="none" w:sz="0" w:space="0" w:color="auto"/>
                  </w:divBdr>
                </w:div>
                <w:div w:id="1085805757">
                  <w:marLeft w:val="480"/>
                  <w:marRight w:val="0"/>
                  <w:marTop w:val="0"/>
                  <w:marBottom w:val="0"/>
                  <w:divBdr>
                    <w:top w:val="none" w:sz="0" w:space="0" w:color="auto"/>
                    <w:left w:val="none" w:sz="0" w:space="0" w:color="auto"/>
                    <w:bottom w:val="none" w:sz="0" w:space="0" w:color="auto"/>
                    <w:right w:val="none" w:sz="0" w:space="0" w:color="auto"/>
                  </w:divBdr>
                </w:div>
                <w:div w:id="2101366072">
                  <w:marLeft w:val="480"/>
                  <w:marRight w:val="0"/>
                  <w:marTop w:val="0"/>
                  <w:marBottom w:val="0"/>
                  <w:divBdr>
                    <w:top w:val="none" w:sz="0" w:space="0" w:color="auto"/>
                    <w:left w:val="none" w:sz="0" w:space="0" w:color="auto"/>
                    <w:bottom w:val="none" w:sz="0" w:space="0" w:color="auto"/>
                    <w:right w:val="none" w:sz="0" w:space="0" w:color="auto"/>
                  </w:divBdr>
                </w:div>
                <w:div w:id="1622489223">
                  <w:marLeft w:val="480"/>
                  <w:marRight w:val="0"/>
                  <w:marTop w:val="0"/>
                  <w:marBottom w:val="0"/>
                  <w:divBdr>
                    <w:top w:val="none" w:sz="0" w:space="0" w:color="auto"/>
                    <w:left w:val="none" w:sz="0" w:space="0" w:color="auto"/>
                    <w:bottom w:val="none" w:sz="0" w:space="0" w:color="auto"/>
                    <w:right w:val="none" w:sz="0" w:space="0" w:color="auto"/>
                  </w:divBdr>
                </w:div>
                <w:div w:id="810251858">
                  <w:marLeft w:val="480"/>
                  <w:marRight w:val="0"/>
                  <w:marTop w:val="0"/>
                  <w:marBottom w:val="0"/>
                  <w:divBdr>
                    <w:top w:val="none" w:sz="0" w:space="0" w:color="auto"/>
                    <w:left w:val="none" w:sz="0" w:space="0" w:color="auto"/>
                    <w:bottom w:val="none" w:sz="0" w:space="0" w:color="auto"/>
                    <w:right w:val="none" w:sz="0" w:space="0" w:color="auto"/>
                  </w:divBdr>
                </w:div>
                <w:div w:id="1457749460">
                  <w:marLeft w:val="480"/>
                  <w:marRight w:val="0"/>
                  <w:marTop w:val="0"/>
                  <w:marBottom w:val="0"/>
                  <w:divBdr>
                    <w:top w:val="none" w:sz="0" w:space="0" w:color="auto"/>
                    <w:left w:val="none" w:sz="0" w:space="0" w:color="auto"/>
                    <w:bottom w:val="none" w:sz="0" w:space="0" w:color="auto"/>
                    <w:right w:val="none" w:sz="0" w:space="0" w:color="auto"/>
                  </w:divBdr>
                </w:div>
                <w:div w:id="2073313186">
                  <w:marLeft w:val="480"/>
                  <w:marRight w:val="0"/>
                  <w:marTop w:val="0"/>
                  <w:marBottom w:val="0"/>
                  <w:divBdr>
                    <w:top w:val="none" w:sz="0" w:space="0" w:color="auto"/>
                    <w:left w:val="none" w:sz="0" w:space="0" w:color="auto"/>
                    <w:bottom w:val="none" w:sz="0" w:space="0" w:color="auto"/>
                    <w:right w:val="none" w:sz="0" w:space="0" w:color="auto"/>
                  </w:divBdr>
                </w:div>
                <w:div w:id="1425764955">
                  <w:marLeft w:val="480"/>
                  <w:marRight w:val="0"/>
                  <w:marTop w:val="0"/>
                  <w:marBottom w:val="0"/>
                  <w:divBdr>
                    <w:top w:val="none" w:sz="0" w:space="0" w:color="auto"/>
                    <w:left w:val="none" w:sz="0" w:space="0" w:color="auto"/>
                    <w:bottom w:val="none" w:sz="0" w:space="0" w:color="auto"/>
                    <w:right w:val="none" w:sz="0" w:space="0" w:color="auto"/>
                  </w:divBdr>
                </w:div>
                <w:div w:id="419527955">
                  <w:marLeft w:val="480"/>
                  <w:marRight w:val="0"/>
                  <w:marTop w:val="0"/>
                  <w:marBottom w:val="0"/>
                  <w:divBdr>
                    <w:top w:val="none" w:sz="0" w:space="0" w:color="auto"/>
                    <w:left w:val="none" w:sz="0" w:space="0" w:color="auto"/>
                    <w:bottom w:val="none" w:sz="0" w:space="0" w:color="auto"/>
                    <w:right w:val="none" w:sz="0" w:space="0" w:color="auto"/>
                  </w:divBdr>
                </w:div>
                <w:div w:id="664943834">
                  <w:marLeft w:val="480"/>
                  <w:marRight w:val="0"/>
                  <w:marTop w:val="0"/>
                  <w:marBottom w:val="0"/>
                  <w:divBdr>
                    <w:top w:val="none" w:sz="0" w:space="0" w:color="auto"/>
                    <w:left w:val="none" w:sz="0" w:space="0" w:color="auto"/>
                    <w:bottom w:val="none" w:sz="0" w:space="0" w:color="auto"/>
                    <w:right w:val="none" w:sz="0" w:space="0" w:color="auto"/>
                  </w:divBdr>
                </w:div>
                <w:div w:id="1101727163">
                  <w:marLeft w:val="480"/>
                  <w:marRight w:val="0"/>
                  <w:marTop w:val="0"/>
                  <w:marBottom w:val="0"/>
                  <w:divBdr>
                    <w:top w:val="none" w:sz="0" w:space="0" w:color="auto"/>
                    <w:left w:val="none" w:sz="0" w:space="0" w:color="auto"/>
                    <w:bottom w:val="none" w:sz="0" w:space="0" w:color="auto"/>
                    <w:right w:val="none" w:sz="0" w:space="0" w:color="auto"/>
                  </w:divBdr>
                </w:div>
                <w:div w:id="1404598548">
                  <w:marLeft w:val="480"/>
                  <w:marRight w:val="0"/>
                  <w:marTop w:val="0"/>
                  <w:marBottom w:val="0"/>
                  <w:divBdr>
                    <w:top w:val="none" w:sz="0" w:space="0" w:color="auto"/>
                    <w:left w:val="none" w:sz="0" w:space="0" w:color="auto"/>
                    <w:bottom w:val="none" w:sz="0" w:space="0" w:color="auto"/>
                    <w:right w:val="none" w:sz="0" w:space="0" w:color="auto"/>
                  </w:divBdr>
                </w:div>
                <w:div w:id="409736369">
                  <w:marLeft w:val="480"/>
                  <w:marRight w:val="0"/>
                  <w:marTop w:val="0"/>
                  <w:marBottom w:val="0"/>
                  <w:divBdr>
                    <w:top w:val="none" w:sz="0" w:space="0" w:color="auto"/>
                    <w:left w:val="none" w:sz="0" w:space="0" w:color="auto"/>
                    <w:bottom w:val="none" w:sz="0" w:space="0" w:color="auto"/>
                    <w:right w:val="none" w:sz="0" w:space="0" w:color="auto"/>
                  </w:divBdr>
                </w:div>
                <w:div w:id="1695619704">
                  <w:marLeft w:val="480"/>
                  <w:marRight w:val="0"/>
                  <w:marTop w:val="0"/>
                  <w:marBottom w:val="0"/>
                  <w:divBdr>
                    <w:top w:val="none" w:sz="0" w:space="0" w:color="auto"/>
                    <w:left w:val="none" w:sz="0" w:space="0" w:color="auto"/>
                    <w:bottom w:val="none" w:sz="0" w:space="0" w:color="auto"/>
                    <w:right w:val="none" w:sz="0" w:space="0" w:color="auto"/>
                  </w:divBdr>
                </w:div>
                <w:div w:id="1152020318">
                  <w:marLeft w:val="480"/>
                  <w:marRight w:val="0"/>
                  <w:marTop w:val="0"/>
                  <w:marBottom w:val="0"/>
                  <w:divBdr>
                    <w:top w:val="none" w:sz="0" w:space="0" w:color="auto"/>
                    <w:left w:val="none" w:sz="0" w:space="0" w:color="auto"/>
                    <w:bottom w:val="none" w:sz="0" w:space="0" w:color="auto"/>
                    <w:right w:val="none" w:sz="0" w:space="0" w:color="auto"/>
                  </w:divBdr>
                </w:div>
                <w:div w:id="1806463667">
                  <w:marLeft w:val="480"/>
                  <w:marRight w:val="0"/>
                  <w:marTop w:val="0"/>
                  <w:marBottom w:val="0"/>
                  <w:divBdr>
                    <w:top w:val="none" w:sz="0" w:space="0" w:color="auto"/>
                    <w:left w:val="none" w:sz="0" w:space="0" w:color="auto"/>
                    <w:bottom w:val="none" w:sz="0" w:space="0" w:color="auto"/>
                    <w:right w:val="none" w:sz="0" w:space="0" w:color="auto"/>
                  </w:divBdr>
                </w:div>
                <w:div w:id="1217859339">
                  <w:marLeft w:val="480"/>
                  <w:marRight w:val="0"/>
                  <w:marTop w:val="0"/>
                  <w:marBottom w:val="0"/>
                  <w:divBdr>
                    <w:top w:val="none" w:sz="0" w:space="0" w:color="auto"/>
                    <w:left w:val="none" w:sz="0" w:space="0" w:color="auto"/>
                    <w:bottom w:val="none" w:sz="0" w:space="0" w:color="auto"/>
                    <w:right w:val="none" w:sz="0" w:space="0" w:color="auto"/>
                  </w:divBdr>
                </w:div>
                <w:div w:id="1527712486">
                  <w:marLeft w:val="480"/>
                  <w:marRight w:val="0"/>
                  <w:marTop w:val="0"/>
                  <w:marBottom w:val="0"/>
                  <w:divBdr>
                    <w:top w:val="none" w:sz="0" w:space="0" w:color="auto"/>
                    <w:left w:val="none" w:sz="0" w:space="0" w:color="auto"/>
                    <w:bottom w:val="none" w:sz="0" w:space="0" w:color="auto"/>
                    <w:right w:val="none" w:sz="0" w:space="0" w:color="auto"/>
                  </w:divBdr>
                </w:div>
                <w:div w:id="102967627">
                  <w:marLeft w:val="480"/>
                  <w:marRight w:val="0"/>
                  <w:marTop w:val="0"/>
                  <w:marBottom w:val="0"/>
                  <w:divBdr>
                    <w:top w:val="none" w:sz="0" w:space="0" w:color="auto"/>
                    <w:left w:val="none" w:sz="0" w:space="0" w:color="auto"/>
                    <w:bottom w:val="none" w:sz="0" w:space="0" w:color="auto"/>
                    <w:right w:val="none" w:sz="0" w:space="0" w:color="auto"/>
                  </w:divBdr>
                </w:div>
                <w:div w:id="1542278821">
                  <w:marLeft w:val="480"/>
                  <w:marRight w:val="0"/>
                  <w:marTop w:val="0"/>
                  <w:marBottom w:val="0"/>
                  <w:divBdr>
                    <w:top w:val="none" w:sz="0" w:space="0" w:color="auto"/>
                    <w:left w:val="none" w:sz="0" w:space="0" w:color="auto"/>
                    <w:bottom w:val="none" w:sz="0" w:space="0" w:color="auto"/>
                    <w:right w:val="none" w:sz="0" w:space="0" w:color="auto"/>
                  </w:divBdr>
                </w:div>
                <w:div w:id="2012755872">
                  <w:marLeft w:val="480"/>
                  <w:marRight w:val="0"/>
                  <w:marTop w:val="0"/>
                  <w:marBottom w:val="0"/>
                  <w:divBdr>
                    <w:top w:val="none" w:sz="0" w:space="0" w:color="auto"/>
                    <w:left w:val="none" w:sz="0" w:space="0" w:color="auto"/>
                    <w:bottom w:val="none" w:sz="0" w:space="0" w:color="auto"/>
                    <w:right w:val="none" w:sz="0" w:space="0" w:color="auto"/>
                  </w:divBdr>
                </w:div>
                <w:div w:id="93942920">
                  <w:marLeft w:val="480"/>
                  <w:marRight w:val="0"/>
                  <w:marTop w:val="0"/>
                  <w:marBottom w:val="0"/>
                  <w:divBdr>
                    <w:top w:val="none" w:sz="0" w:space="0" w:color="auto"/>
                    <w:left w:val="none" w:sz="0" w:space="0" w:color="auto"/>
                    <w:bottom w:val="none" w:sz="0" w:space="0" w:color="auto"/>
                    <w:right w:val="none" w:sz="0" w:space="0" w:color="auto"/>
                  </w:divBdr>
                </w:div>
                <w:div w:id="550116690">
                  <w:marLeft w:val="480"/>
                  <w:marRight w:val="0"/>
                  <w:marTop w:val="0"/>
                  <w:marBottom w:val="0"/>
                  <w:divBdr>
                    <w:top w:val="none" w:sz="0" w:space="0" w:color="auto"/>
                    <w:left w:val="none" w:sz="0" w:space="0" w:color="auto"/>
                    <w:bottom w:val="none" w:sz="0" w:space="0" w:color="auto"/>
                    <w:right w:val="none" w:sz="0" w:space="0" w:color="auto"/>
                  </w:divBdr>
                </w:div>
                <w:div w:id="543719132">
                  <w:marLeft w:val="480"/>
                  <w:marRight w:val="0"/>
                  <w:marTop w:val="0"/>
                  <w:marBottom w:val="0"/>
                  <w:divBdr>
                    <w:top w:val="none" w:sz="0" w:space="0" w:color="auto"/>
                    <w:left w:val="none" w:sz="0" w:space="0" w:color="auto"/>
                    <w:bottom w:val="none" w:sz="0" w:space="0" w:color="auto"/>
                    <w:right w:val="none" w:sz="0" w:space="0" w:color="auto"/>
                  </w:divBdr>
                </w:div>
                <w:div w:id="1843543286">
                  <w:marLeft w:val="480"/>
                  <w:marRight w:val="0"/>
                  <w:marTop w:val="0"/>
                  <w:marBottom w:val="0"/>
                  <w:divBdr>
                    <w:top w:val="none" w:sz="0" w:space="0" w:color="auto"/>
                    <w:left w:val="none" w:sz="0" w:space="0" w:color="auto"/>
                    <w:bottom w:val="none" w:sz="0" w:space="0" w:color="auto"/>
                    <w:right w:val="none" w:sz="0" w:space="0" w:color="auto"/>
                  </w:divBdr>
                </w:div>
                <w:div w:id="2125036186">
                  <w:marLeft w:val="480"/>
                  <w:marRight w:val="0"/>
                  <w:marTop w:val="0"/>
                  <w:marBottom w:val="0"/>
                  <w:divBdr>
                    <w:top w:val="none" w:sz="0" w:space="0" w:color="auto"/>
                    <w:left w:val="none" w:sz="0" w:space="0" w:color="auto"/>
                    <w:bottom w:val="none" w:sz="0" w:space="0" w:color="auto"/>
                    <w:right w:val="none" w:sz="0" w:space="0" w:color="auto"/>
                  </w:divBdr>
                </w:div>
                <w:div w:id="2113699268">
                  <w:marLeft w:val="480"/>
                  <w:marRight w:val="0"/>
                  <w:marTop w:val="0"/>
                  <w:marBottom w:val="0"/>
                  <w:divBdr>
                    <w:top w:val="none" w:sz="0" w:space="0" w:color="auto"/>
                    <w:left w:val="none" w:sz="0" w:space="0" w:color="auto"/>
                    <w:bottom w:val="none" w:sz="0" w:space="0" w:color="auto"/>
                    <w:right w:val="none" w:sz="0" w:space="0" w:color="auto"/>
                  </w:divBdr>
                </w:div>
                <w:div w:id="871453191">
                  <w:marLeft w:val="480"/>
                  <w:marRight w:val="0"/>
                  <w:marTop w:val="0"/>
                  <w:marBottom w:val="0"/>
                  <w:divBdr>
                    <w:top w:val="none" w:sz="0" w:space="0" w:color="auto"/>
                    <w:left w:val="none" w:sz="0" w:space="0" w:color="auto"/>
                    <w:bottom w:val="none" w:sz="0" w:space="0" w:color="auto"/>
                    <w:right w:val="none" w:sz="0" w:space="0" w:color="auto"/>
                  </w:divBdr>
                </w:div>
                <w:div w:id="1657026969">
                  <w:marLeft w:val="480"/>
                  <w:marRight w:val="0"/>
                  <w:marTop w:val="0"/>
                  <w:marBottom w:val="0"/>
                  <w:divBdr>
                    <w:top w:val="none" w:sz="0" w:space="0" w:color="auto"/>
                    <w:left w:val="none" w:sz="0" w:space="0" w:color="auto"/>
                    <w:bottom w:val="none" w:sz="0" w:space="0" w:color="auto"/>
                    <w:right w:val="none" w:sz="0" w:space="0" w:color="auto"/>
                  </w:divBdr>
                </w:div>
                <w:div w:id="156575068">
                  <w:marLeft w:val="480"/>
                  <w:marRight w:val="0"/>
                  <w:marTop w:val="0"/>
                  <w:marBottom w:val="0"/>
                  <w:divBdr>
                    <w:top w:val="none" w:sz="0" w:space="0" w:color="auto"/>
                    <w:left w:val="none" w:sz="0" w:space="0" w:color="auto"/>
                    <w:bottom w:val="none" w:sz="0" w:space="0" w:color="auto"/>
                    <w:right w:val="none" w:sz="0" w:space="0" w:color="auto"/>
                  </w:divBdr>
                </w:div>
                <w:div w:id="1985696868">
                  <w:marLeft w:val="480"/>
                  <w:marRight w:val="0"/>
                  <w:marTop w:val="0"/>
                  <w:marBottom w:val="0"/>
                  <w:divBdr>
                    <w:top w:val="none" w:sz="0" w:space="0" w:color="auto"/>
                    <w:left w:val="none" w:sz="0" w:space="0" w:color="auto"/>
                    <w:bottom w:val="none" w:sz="0" w:space="0" w:color="auto"/>
                    <w:right w:val="none" w:sz="0" w:space="0" w:color="auto"/>
                  </w:divBdr>
                </w:div>
                <w:div w:id="938560588">
                  <w:marLeft w:val="480"/>
                  <w:marRight w:val="0"/>
                  <w:marTop w:val="0"/>
                  <w:marBottom w:val="0"/>
                  <w:divBdr>
                    <w:top w:val="none" w:sz="0" w:space="0" w:color="auto"/>
                    <w:left w:val="none" w:sz="0" w:space="0" w:color="auto"/>
                    <w:bottom w:val="none" w:sz="0" w:space="0" w:color="auto"/>
                    <w:right w:val="none" w:sz="0" w:space="0" w:color="auto"/>
                  </w:divBdr>
                </w:div>
                <w:div w:id="482893818">
                  <w:marLeft w:val="480"/>
                  <w:marRight w:val="0"/>
                  <w:marTop w:val="0"/>
                  <w:marBottom w:val="0"/>
                  <w:divBdr>
                    <w:top w:val="none" w:sz="0" w:space="0" w:color="auto"/>
                    <w:left w:val="none" w:sz="0" w:space="0" w:color="auto"/>
                    <w:bottom w:val="none" w:sz="0" w:space="0" w:color="auto"/>
                    <w:right w:val="none" w:sz="0" w:space="0" w:color="auto"/>
                  </w:divBdr>
                </w:div>
                <w:div w:id="1462655605">
                  <w:marLeft w:val="480"/>
                  <w:marRight w:val="0"/>
                  <w:marTop w:val="0"/>
                  <w:marBottom w:val="0"/>
                  <w:divBdr>
                    <w:top w:val="none" w:sz="0" w:space="0" w:color="auto"/>
                    <w:left w:val="none" w:sz="0" w:space="0" w:color="auto"/>
                    <w:bottom w:val="none" w:sz="0" w:space="0" w:color="auto"/>
                    <w:right w:val="none" w:sz="0" w:space="0" w:color="auto"/>
                  </w:divBdr>
                </w:div>
                <w:div w:id="534006558">
                  <w:marLeft w:val="480"/>
                  <w:marRight w:val="0"/>
                  <w:marTop w:val="0"/>
                  <w:marBottom w:val="0"/>
                  <w:divBdr>
                    <w:top w:val="none" w:sz="0" w:space="0" w:color="auto"/>
                    <w:left w:val="none" w:sz="0" w:space="0" w:color="auto"/>
                    <w:bottom w:val="none" w:sz="0" w:space="0" w:color="auto"/>
                    <w:right w:val="none" w:sz="0" w:space="0" w:color="auto"/>
                  </w:divBdr>
                </w:div>
                <w:div w:id="918094689">
                  <w:marLeft w:val="480"/>
                  <w:marRight w:val="0"/>
                  <w:marTop w:val="0"/>
                  <w:marBottom w:val="0"/>
                  <w:divBdr>
                    <w:top w:val="none" w:sz="0" w:space="0" w:color="auto"/>
                    <w:left w:val="none" w:sz="0" w:space="0" w:color="auto"/>
                    <w:bottom w:val="none" w:sz="0" w:space="0" w:color="auto"/>
                    <w:right w:val="none" w:sz="0" w:space="0" w:color="auto"/>
                  </w:divBdr>
                </w:div>
                <w:div w:id="408577322">
                  <w:marLeft w:val="480"/>
                  <w:marRight w:val="0"/>
                  <w:marTop w:val="0"/>
                  <w:marBottom w:val="0"/>
                  <w:divBdr>
                    <w:top w:val="none" w:sz="0" w:space="0" w:color="auto"/>
                    <w:left w:val="none" w:sz="0" w:space="0" w:color="auto"/>
                    <w:bottom w:val="none" w:sz="0" w:space="0" w:color="auto"/>
                    <w:right w:val="none" w:sz="0" w:space="0" w:color="auto"/>
                  </w:divBdr>
                </w:div>
                <w:div w:id="2041003998">
                  <w:marLeft w:val="480"/>
                  <w:marRight w:val="0"/>
                  <w:marTop w:val="0"/>
                  <w:marBottom w:val="0"/>
                  <w:divBdr>
                    <w:top w:val="none" w:sz="0" w:space="0" w:color="auto"/>
                    <w:left w:val="none" w:sz="0" w:space="0" w:color="auto"/>
                    <w:bottom w:val="none" w:sz="0" w:space="0" w:color="auto"/>
                    <w:right w:val="none" w:sz="0" w:space="0" w:color="auto"/>
                  </w:divBdr>
                </w:div>
              </w:divsChild>
            </w:div>
            <w:div w:id="1295331237">
              <w:marLeft w:val="0"/>
              <w:marRight w:val="0"/>
              <w:marTop w:val="0"/>
              <w:marBottom w:val="0"/>
              <w:divBdr>
                <w:top w:val="none" w:sz="0" w:space="0" w:color="auto"/>
                <w:left w:val="none" w:sz="0" w:space="0" w:color="auto"/>
                <w:bottom w:val="none" w:sz="0" w:space="0" w:color="auto"/>
                <w:right w:val="none" w:sz="0" w:space="0" w:color="auto"/>
              </w:divBdr>
              <w:divsChild>
                <w:div w:id="645478495">
                  <w:marLeft w:val="480"/>
                  <w:marRight w:val="0"/>
                  <w:marTop w:val="0"/>
                  <w:marBottom w:val="0"/>
                  <w:divBdr>
                    <w:top w:val="none" w:sz="0" w:space="0" w:color="auto"/>
                    <w:left w:val="none" w:sz="0" w:space="0" w:color="auto"/>
                    <w:bottom w:val="none" w:sz="0" w:space="0" w:color="auto"/>
                    <w:right w:val="none" w:sz="0" w:space="0" w:color="auto"/>
                  </w:divBdr>
                </w:div>
                <w:div w:id="530186990">
                  <w:marLeft w:val="480"/>
                  <w:marRight w:val="0"/>
                  <w:marTop w:val="0"/>
                  <w:marBottom w:val="0"/>
                  <w:divBdr>
                    <w:top w:val="none" w:sz="0" w:space="0" w:color="auto"/>
                    <w:left w:val="none" w:sz="0" w:space="0" w:color="auto"/>
                    <w:bottom w:val="none" w:sz="0" w:space="0" w:color="auto"/>
                    <w:right w:val="none" w:sz="0" w:space="0" w:color="auto"/>
                  </w:divBdr>
                </w:div>
                <w:div w:id="1254779562">
                  <w:marLeft w:val="480"/>
                  <w:marRight w:val="0"/>
                  <w:marTop w:val="0"/>
                  <w:marBottom w:val="0"/>
                  <w:divBdr>
                    <w:top w:val="none" w:sz="0" w:space="0" w:color="auto"/>
                    <w:left w:val="none" w:sz="0" w:space="0" w:color="auto"/>
                    <w:bottom w:val="none" w:sz="0" w:space="0" w:color="auto"/>
                    <w:right w:val="none" w:sz="0" w:space="0" w:color="auto"/>
                  </w:divBdr>
                </w:div>
                <w:div w:id="315651860">
                  <w:marLeft w:val="480"/>
                  <w:marRight w:val="0"/>
                  <w:marTop w:val="0"/>
                  <w:marBottom w:val="0"/>
                  <w:divBdr>
                    <w:top w:val="none" w:sz="0" w:space="0" w:color="auto"/>
                    <w:left w:val="none" w:sz="0" w:space="0" w:color="auto"/>
                    <w:bottom w:val="none" w:sz="0" w:space="0" w:color="auto"/>
                    <w:right w:val="none" w:sz="0" w:space="0" w:color="auto"/>
                  </w:divBdr>
                </w:div>
                <w:div w:id="2141026117">
                  <w:marLeft w:val="480"/>
                  <w:marRight w:val="0"/>
                  <w:marTop w:val="0"/>
                  <w:marBottom w:val="0"/>
                  <w:divBdr>
                    <w:top w:val="none" w:sz="0" w:space="0" w:color="auto"/>
                    <w:left w:val="none" w:sz="0" w:space="0" w:color="auto"/>
                    <w:bottom w:val="none" w:sz="0" w:space="0" w:color="auto"/>
                    <w:right w:val="none" w:sz="0" w:space="0" w:color="auto"/>
                  </w:divBdr>
                </w:div>
                <w:div w:id="1261791671">
                  <w:marLeft w:val="480"/>
                  <w:marRight w:val="0"/>
                  <w:marTop w:val="0"/>
                  <w:marBottom w:val="0"/>
                  <w:divBdr>
                    <w:top w:val="none" w:sz="0" w:space="0" w:color="auto"/>
                    <w:left w:val="none" w:sz="0" w:space="0" w:color="auto"/>
                    <w:bottom w:val="none" w:sz="0" w:space="0" w:color="auto"/>
                    <w:right w:val="none" w:sz="0" w:space="0" w:color="auto"/>
                  </w:divBdr>
                </w:div>
                <w:div w:id="805203746">
                  <w:marLeft w:val="480"/>
                  <w:marRight w:val="0"/>
                  <w:marTop w:val="0"/>
                  <w:marBottom w:val="0"/>
                  <w:divBdr>
                    <w:top w:val="none" w:sz="0" w:space="0" w:color="auto"/>
                    <w:left w:val="none" w:sz="0" w:space="0" w:color="auto"/>
                    <w:bottom w:val="none" w:sz="0" w:space="0" w:color="auto"/>
                    <w:right w:val="none" w:sz="0" w:space="0" w:color="auto"/>
                  </w:divBdr>
                </w:div>
                <w:div w:id="527837391">
                  <w:marLeft w:val="480"/>
                  <w:marRight w:val="0"/>
                  <w:marTop w:val="0"/>
                  <w:marBottom w:val="0"/>
                  <w:divBdr>
                    <w:top w:val="none" w:sz="0" w:space="0" w:color="auto"/>
                    <w:left w:val="none" w:sz="0" w:space="0" w:color="auto"/>
                    <w:bottom w:val="none" w:sz="0" w:space="0" w:color="auto"/>
                    <w:right w:val="none" w:sz="0" w:space="0" w:color="auto"/>
                  </w:divBdr>
                </w:div>
                <w:div w:id="2011176545">
                  <w:marLeft w:val="480"/>
                  <w:marRight w:val="0"/>
                  <w:marTop w:val="0"/>
                  <w:marBottom w:val="0"/>
                  <w:divBdr>
                    <w:top w:val="none" w:sz="0" w:space="0" w:color="auto"/>
                    <w:left w:val="none" w:sz="0" w:space="0" w:color="auto"/>
                    <w:bottom w:val="none" w:sz="0" w:space="0" w:color="auto"/>
                    <w:right w:val="none" w:sz="0" w:space="0" w:color="auto"/>
                  </w:divBdr>
                </w:div>
                <w:div w:id="137191533">
                  <w:marLeft w:val="480"/>
                  <w:marRight w:val="0"/>
                  <w:marTop w:val="0"/>
                  <w:marBottom w:val="0"/>
                  <w:divBdr>
                    <w:top w:val="none" w:sz="0" w:space="0" w:color="auto"/>
                    <w:left w:val="none" w:sz="0" w:space="0" w:color="auto"/>
                    <w:bottom w:val="none" w:sz="0" w:space="0" w:color="auto"/>
                    <w:right w:val="none" w:sz="0" w:space="0" w:color="auto"/>
                  </w:divBdr>
                </w:div>
                <w:div w:id="1071385330">
                  <w:marLeft w:val="480"/>
                  <w:marRight w:val="0"/>
                  <w:marTop w:val="0"/>
                  <w:marBottom w:val="0"/>
                  <w:divBdr>
                    <w:top w:val="none" w:sz="0" w:space="0" w:color="auto"/>
                    <w:left w:val="none" w:sz="0" w:space="0" w:color="auto"/>
                    <w:bottom w:val="none" w:sz="0" w:space="0" w:color="auto"/>
                    <w:right w:val="none" w:sz="0" w:space="0" w:color="auto"/>
                  </w:divBdr>
                </w:div>
                <w:div w:id="1056201454">
                  <w:marLeft w:val="480"/>
                  <w:marRight w:val="0"/>
                  <w:marTop w:val="0"/>
                  <w:marBottom w:val="0"/>
                  <w:divBdr>
                    <w:top w:val="none" w:sz="0" w:space="0" w:color="auto"/>
                    <w:left w:val="none" w:sz="0" w:space="0" w:color="auto"/>
                    <w:bottom w:val="none" w:sz="0" w:space="0" w:color="auto"/>
                    <w:right w:val="none" w:sz="0" w:space="0" w:color="auto"/>
                  </w:divBdr>
                </w:div>
                <w:div w:id="532886865">
                  <w:marLeft w:val="480"/>
                  <w:marRight w:val="0"/>
                  <w:marTop w:val="0"/>
                  <w:marBottom w:val="0"/>
                  <w:divBdr>
                    <w:top w:val="none" w:sz="0" w:space="0" w:color="auto"/>
                    <w:left w:val="none" w:sz="0" w:space="0" w:color="auto"/>
                    <w:bottom w:val="none" w:sz="0" w:space="0" w:color="auto"/>
                    <w:right w:val="none" w:sz="0" w:space="0" w:color="auto"/>
                  </w:divBdr>
                </w:div>
                <w:div w:id="2004357114">
                  <w:marLeft w:val="480"/>
                  <w:marRight w:val="0"/>
                  <w:marTop w:val="0"/>
                  <w:marBottom w:val="0"/>
                  <w:divBdr>
                    <w:top w:val="none" w:sz="0" w:space="0" w:color="auto"/>
                    <w:left w:val="none" w:sz="0" w:space="0" w:color="auto"/>
                    <w:bottom w:val="none" w:sz="0" w:space="0" w:color="auto"/>
                    <w:right w:val="none" w:sz="0" w:space="0" w:color="auto"/>
                  </w:divBdr>
                </w:div>
                <w:div w:id="1542087268">
                  <w:marLeft w:val="480"/>
                  <w:marRight w:val="0"/>
                  <w:marTop w:val="0"/>
                  <w:marBottom w:val="0"/>
                  <w:divBdr>
                    <w:top w:val="none" w:sz="0" w:space="0" w:color="auto"/>
                    <w:left w:val="none" w:sz="0" w:space="0" w:color="auto"/>
                    <w:bottom w:val="none" w:sz="0" w:space="0" w:color="auto"/>
                    <w:right w:val="none" w:sz="0" w:space="0" w:color="auto"/>
                  </w:divBdr>
                </w:div>
                <w:div w:id="1935360973">
                  <w:marLeft w:val="480"/>
                  <w:marRight w:val="0"/>
                  <w:marTop w:val="0"/>
                  <w:marBottom w:val="0"/>
                  <w:divBdr>
                    <w:top w:val="none" w:sz="0" w:space="0" w:color="auto"/>
                    <w:left w:val="none" w:sz="0" w:space="0" w:color="auto"/>
                    <w:bottom w:val="none" w:sz="0" w:space="0" w:color="auto"/>
                    <w:right w:val="none" w:sz="0" w:space="0" w:color="auto"/>
                  </w:divBdr>
                </w:div>
                <w:div w:id="1282882052">
                  <w:marLeft w:val="480"/>
                  <w:marRight w:val="0"/>
                  <w:marTop w:val="0"/>
                  <w:marBottom w:val="0"/>
                  <w:divBdr>
                    <w:top w:val="none" w:sz="0" w:space="0" w:color="auto"/>
                    <w:left w:val="none" w:sz="0" w:space="0" w:color="auto"/>
                    <w:bottom w:val="none" w:sz="0" w:space="0" w:color="auto"/>
                    <w:right w:val="none" w:sz="0" w:space="0" w:color="auto"/>
                  </w:divBdr>
                </w:div>
                <w:div w:id="676419849">
                  <w:marLeft w:val="480"/>
                  <w:marRight w:val="0"/>
                  <w:marTop w:val="0"/>
                  <w:marBottom w:val="0"/>
                  <w:divBdr>
                    <w:top w:val="none" w:sz="0" w:space="0" w:color="auto"/>
                    <w:left w:val="none" w:sz="0" w:space="0" w:color="auto"/>
                    <w:bottom w:val="none" w:sz="0" w:space="0" w:color="auto"/>
                    <w:right w:val="none" w:sz="0" w:space="0" w:color="auto"/>
                  </w:divBdr>
                </w:div>
                <w:div w:id="1428817301">
                  <w:marLeft w:val="480"/>
                  <w:marRight w:val="0"/>
                  <w:marTop w:val="0"/>
                  <w:marBottom w:val="0"/>
                  <w:divBdr>
                    <w:top w:val="none" w:sz="0" w:space="0" w:color="auto"/>
                    <w:left w:val="none" w:sz="0" w:space="0" w:color="auto"/>
                    <w:bottom w:val="none" w:sz="0" w:space="0" w:color="auto"/>
                    <w:right w:val="none" w:sz="0" w:space="0" w:color="auto"/>
                  </w:divBdr>
                </w:div>
                <w:div w:id="1898515814">
                  <w:marLeft w:val="480"/>
                  <w:marRight w:val="0"/>
                  <w:marTop w:val="0"/>
                  <w:marBottom w:val="0"/>
                  <w:divBdr>
                    <w:top w:val="none" w:sz="0" w:space="0" w:color="auto"/>
                    <w:left w:val="none" w:sz="0" w:space="0" w:color="auto"/>
                    <w:bottom w:val="none" w:sz="0" w:space="0" w:color="auto"/>
                    <w:right w:val="none" w:sz="0" w:space="0" w:color="auto"/>
                  </w:divBdr>
                </w:div>
                <w:div w:id="1532063112">
                  <w:marLeft w:val="480"/>
                  <w:marRight w:val="0"/>
                  <w:marTop w:val="0"/>
                  <w:marBottom w:val="0"/>
                  <w:divBdr>
                    <w:top w:val="none" w:sz="0" w:space="0" w:color="auto"/>
                    <w:left w:val="none" w:sz="0" w:space="0" w:color="auto"/>
                    <w:bottom w:val="none" w:sz="0" w:space="0" w:color="auto"/>
                    <w:right w:val="none" w:sz="0" w:space="0" w:color="auto"/>
                  </w:divBdr>
                </w:div>
                <w:div w:id="1823306210">
                  <w:marLeft w:val="480"/>
                  <w:marRight w:val="0"/>
                  <w:marTop w:val="0"/>
                  <w:marBottom w:val="0"/>
                  <w:divBdr>
                    <w:top w:val="none" w:sz="0" w:space="0" w:color="auto"/>
                    <w:left w:val="none" w:sz="0" w:space="0" w:color="auto"/>
                    <w:bottom w:val="none" w:sz="0" w:space="0" w:color="auto"/>
                    <w:right w:val="none" w:sz="0" w:space="0" w:color="auto"/>
                  </w:divBdr>
                </w:div>
                <w:div w:id="894002627">
                  <w:marLeft w:val="480"/>
                  <w:marRight w:val="0"/>
                  <w:marTop w:val="0"/>
                  <w:marBottom w:val="0"/>
                  <w:divBdr>
                    <w:top w:val="none" w:sz="0" w:space="0" w:color="auto"/>
                    <w:left w:val="none" w:sz="0" w:space="0" w:color="auto"/>
                    <w:bottom w:val="none" w:sz="0" w:space="0" w:color="auto"/>
                    <w:right w:val="none" w:sz="0" w:space="0" w:color="auto"/>
                  </w:divBdr>
                </w:div>
                <w:div w:id="1778478207">
                  <w:marLeft w:val="480"/>
                  <w:marRight w:val="0"/>
                  <w:marTop w:val="0"/>
                  <w:marBottom w:val="0"/>
                  <w:divBdr>
                    <w:top w:val="none" w:sz="0" w:space="0" w:color="auto"/>
                    <w:left w:val="none" w:sz="0" w:space="0" w:color="auto"/>
                    <w:bottom w:val="none" w:sz="0" w:space="0" w:color="auto"/>
                    <w:right w:val="none" w:sz="0" w:space="0" w:color="auto"/>
                  </w:divBdr>
                </w:div>
                <w:div w:id="355691421">
                  <w:marLeft w:val="480"/>
                  <w:marRight w:val="0"/>
                  <w:marTop w:val="0"/>
                  <w:marBottom w:val="0"/>
                  <w:divBdr>
                    <w:top w:val="none" w:sz="0" w:space="0" w:color="auto"/>
                    <w:left w:val="none" w:sz="0" w:space="0" w:color="auto"/>
                    <w:bottom w:val="none" w:sz="0" w:space="0" w:color="auto"/>
                    <w:right w:val="none" w:sz="0" w:space="0" w:color="auto"/>
                  </w:divBdr>
                </w:div>
                <w:div w:id="616058150">
                  <w:marLeft w:val="480"/>
                  <w:marRight w:val="0"/>
                  <w:marTop w:val="0"/>
                  <w:marBottom w:val="0"/>
                  <w:divBdr>
                    <w:top w:val="none" w:sz="0" w:space="0" w:color="auto"/>
                    <w:left w:val="none" w:sz="0" w:space="0" w:color="auto"/>
                    <w:bottom w:val="none" w:sz="0" w:space="0" w:color="auto"/>
                    <w:right w:val="none" w:sz="0" w:space="0" w:color="auto"/>
                  </w:divBdr>
                </w:div>
                <w:div w:id="585959175">
                  <w:marLeft w:val="480"/>
                  <w:marRight w:val="0"/>
                  <w:marTop w:val="0"/>
                  <w:marBottom w:val="0"/>
                  <w:divBdr>
                    <w:top w:val="none" w:sz="0" w:space="0" w:color="auto"/>
                    <w:left w:val="none" w:sz="0" w:space="0" w:color="auto"/>
                    <w:bottom w:val="none" w:sz="0" w:space="0" w:color="auto"/>
                    <w:right w:val="none" w:sz="0" w:space="0" w:color="auto"/>
                  </w:divBdr>
                </w:div>
                <w:div w:id="1535386711">
                  <w:marLeft w:val="480"/>
                  <w:marRight w:val="0"/>
                  <w:marTop w:val="0"/>
                  <w:marBottom w:val="0"/>
                  <w:divBdr>
                    <w:top w:val="none" w:sz="0" w:space="0" w:color="auto"/>
                    <w:left w:val="none" w:sz="0" w:space="0" w:color="auto"/>
                    <w:bottom w:val="none" w:sz="0" w:space="0" w:color="auto"/>
                    <w:right w:val="none" w:sz="0" w:space="0" w:color="auto"/>
                  </w:divBdr>
                </w:div>
                <w:div w:id="1449278552">
                  <w:marLeft w:val="480"/>
                  <w:marRight w:val="0"/>
                  <w:marTop w:val="0"/>
                  <w:marBottom w:val="0"/>
                  <w:divBdr>
                    <w:top w:val="none" w:sz="0" w:space="0" w:color="auto"/>
                    <w:left w:val="none" w:sz="0" w:space="0" w:color="auto"/>
                    <w:bottom w:val="none" w:sz="0" w:space="0" w:color="auto"/>
                    <w:right w:val="none" w:sz="0" w:space="0" w:color="auto"/>
                  </w:divBdr>
                </w:div>
                <w:div w:id="412631746">
                  <w:marLeft w:val="480"/>
                  <w:marRight w:val="0"/>
                  <w:marTop w:val="0"/>
                  <w:marBottom w:val="0"/>
                  <w:divBdr>
                    <w:top w:val="none" w:sz="0" w:space="0" w:color="auto"/>
                    <w:left w:val="none" w:sz="0" w:space="0" w:color="auto"/>
                    <w:bottom w:val="none" w:sz="0" w:space="0" w:color="auto"/>
                    <w:right w:val="none" w:sz="0" w:space="0" w:color="auto"/>
                  </w:divBdr>
                </w:div>
                <w:div w:id="1585650056">
                  <w:marLeft w:val="480"/>
                  <w:marRight w:val="0"/>
                  <w:marTop w:val="0"/>
                  <w:marBottom w:val="0"/>
                  <w:divBdr>
                    <w:top w:val="none" w:sz="0" w:space="0" w:color="auto"/>
                    <w:left w:val="none" w:sz="0" w:space="0" w:color="auto"/>
                    <w:bottom w:val="none" w:sz="0" w:space="0" w:color="auto"/>
                    <w:right w:val="none" w:sz="0" w:space="0" w:color="auto"/>
                  </w:divBdr>
                </w:div>
                <w:div w:id="1799102849">
                  <w:marLeft w:val="480"/>
                  <w:marRight w:val="0"/>
                  <w:marTop w:val="0"/>
                  <w:marBottom w:val="0"/>
                  <w:divBdr>
                    <w:top w:val="none" w:sz="0" w:space="0" w:color="auto"/>
                    <w:left w:val="none" w:sz="0" w:space="0" w:color="auto"/>
                    <w:bottom w:val="none" w:sz="0" w:space="0" w:color="auto"/>
                    <w:right w:val="none" w:sz="0" w:space="0" w:color="auto"/>
                  </w:divBdr>
                </w:div>
                <w:div w:id="945111948">
                  <w:marLeft w:val="480"/>
                  <w:marRight w:val="0"/>
                  <w:marTop w:val="0"/>
                  <w:marBottom w:val="0"/>
                  <w:divBdr>
                    <w:top w:val="none" w:sz="0" w:space="0" w:color="auto"/>
                    <w:left w:val="none" w:sz="0" w:space="0" w:color="auto"/>
                    <w:bottom w:val="none" w:sz="0" w:space="0" w:color="auto"/>
                    <w:right w:val="none" w:sz="0" w:space="0" w:color="auto"/>
                  </w:divBdr>
                </w:div>
                <w:div w:id="1594974699">
                  <w:marLeft w:val="480"/>
                  <w:marRight w:val="0"/>
                  <w:marTop w:val="0"/>
                  <w:marBottom w:val="0"/>
                  <w:divBdr>
                    <w:top w:val="none" w:sz="0" w:space="0" w:color="auto"/>
                    <w:left w:val="none" w:sz="0" w:space="0" w:color="auto"/>
                    <w:bottom w:val="none" w:sz="0" w:space="0" w:color="auto"/>
                    <w:right w:val="none" w:sz="0" w:space="0" w:color="auto"/>
                  </w:divBdr>
                </w:div>
                <w:div w:id="958875710">
                  <w:marLeft w:val="480"/>
                  <w:marRight w:val="0"/>
                  <w:marTop w:val="0"/>
                  <w:marBottom w:val="0"/>
                  <w:divBdr>
                    <w:top w:val="none" w:sz="0" w:space="0" w:color="auto"/>
                    <w:left w:val="none" w:sz="0" w:space="0" w:color="auto"/>
                    <w:bottom w:val="none" w:sz="0" w:space="0" w:color="auto"/>
                    <w:right w:val="none" w:sz="0" w:space="0" w:color="auto"/>
                  </w:divBdr>
                </w:div>
                <w:div w:id="9991897">
                  <w:marLeft w:val="480"/>
                  <w:marRight w:val="0"/>
                  <w:marTop w:val="0"/>
                  <w:marBottom w:val="0"/>
                  <w:divBdr>
                    <w:top w:val="none" w:sz="0" w:space="0" w:color="auto"/>
                    <w:left w:val="none" w:sz="0" w:space="0" w:color="auto"/>
                    <w:bottom w:val="none" w:sz="0" w:space="0" w:color="auto"/>
                    <w:right w:val="none" w:sz="0" w:space="0" w:color="auto"/>
                  </w:divBdr>
                </w:div>
                <w:div w:id="842234316">
                  <w:marLeft w:val="480"/>
                  <w:marRight w:val="0"/>
                  <w:marTop w:val="0"/>
                  <w:marBottom w:val="0"/>
                  <w:divBdr>
                    <w:top w:val="none" w:sz="0" w:space="0" w:color="auto"/>
                    <w:left w:val="none" w:sz="0" w:space="0" w:color="auto"/>
                    <w:bottom w:val="none" w:sz="0" w:space="0" w:color="auto"/>
                    <w:right w:val="none" w:sz="0" w:space="0" w:color="auto"/>
                  </w:divBdr>
                </w:div>
                <w:div w:id="1396856917">
                  <w:marLeft w:val="480"/>
                  <w:marRight w:val="0"/>
                  <w:marTop w:val="0"/>
                  <w:marBottom w:val="0"/>
                  <w:divBdr>
                    <w:top w:val="none" w:sz="0" w:space="0" w:color="auto"/>
                    <w:left w:val="none" w:sz="0" w:space="0" w:color="auto"/>
                    <w:bottom w:val="none" w:sz="0" w:space="0" w:color="auto"/>
                    <w:right w:val="none" w:sz="0" w:space="0" w:color="auto"/>
                  </w:divBdr>
                </w:div>
                <w:div w:id="157818603">
                  <w:marLeft w:val="480"/>
                  <w:marRight w:val="0"/>
                  <w:marTop w:val="0"/>
                  <w:marBottom w:val="0"/>
                  <w:divBdr>
                    <w:top w:val="none" w:sz="0" w:space="0" w:color="auto"/>
                    <w:left w:val="none" w:sz="0" w:space="0" w:color="auto"/>
                    <w:bottom w:val="none" w:sz="0" w:space="0" w:color="auto"/>
                    <w:right w:val="none" w:sz="0" w:space="0" w:color="auto"/>
                  </w:divBdr>
                </w:div>
                <w:div w:id="729498281">
                  <w:marLeft w:val="480"/>
                  <w:marRight w:val="0"/>
                  <w:marTop w:val="0"/>
                  <w:marBottom w:val="0"/>
                  <w:divBdr>
                    <w:top w:val="none" w:sz="0" w:space="0" w:color="auto"/>
                    <w:left w:val="none" w:sz="0" w:space="0" w:color="auto"/>
                    <w:bottom w:val="none" w:sz="0" w:space="0" w:color="auto"/>
                    <w:right w:val="none" w:sz="0" w:space="0" w:color="auto"/>
                  </w:divBdr>
                </w:div>
                <w:div w:id="1937054421">
                  <w:marLeft w:val="480"/>
                  <w:marRight w:val="0"/>
                  <w:marTop w:val="0"/>
                  <w:marBottom w:val="0"/>
                  <w:divBdr>
                    <w:top w:val="none" w:sz="0" w:space="0" w:color="auto"/>
                    <w:left w:val="none" w:sz="0" w:space="0" w:color="auto"/>
                    <w:bottom w:val="none" w:sz="0" w:space="0" w:color="auto"/>
                    <w:right w:val="none" w:sz="0" w:space="0" w:color="auto"/>
                  </w:divBdr>
                </w:div>
                <w:div w:id="188566127">
                  <w:marLeft w:val="480"/>
                  <w:marRight w:val="0"/>
                  <w:marTop w:val="0"/>
                  <w:marBottom w:val="0"/>
                  <w:divBdr>
                    <w:top w:val="none" w:sz="0" w:space="0" w:color="auto"/>
                    <w:left w:val="none" w:sz="0" w:space="0" w:color="auto"/>
                    <w:bottom w:val="none" w:sz="0" w:space="0" w:color="auto"/>
                    <w:right w:val="none" w:sz="0" w:space="0" w:color="auto"/>
                  </w:divBdr>
                </w:div>
                <w:div w:id="1593736824">
                  <w:marLeft w:val="480"/>
                  <w:marRight w:val="0"/>
                  <w:marTop w:val="0"/>
                  <w:marBottom w:val="0"/>
                  <w:divBdr>
                    <w:top w:val="none" w:sz="0" w:space="0" w:color="auto"/>
                    <w:left w:val="none" w:sz="0" w:space="0" w:color="auto"/>
                    <w:bottom w:val="none" w:sz="0" w:space="0" w:color="auto"/>
                    <w:right w:val="none" w:sz="0" w:space="0" w:color="auto"/>
                  </w:divBdr>
                </w:div>
                <w:div w:id="1733189442">
                  <w:marLeft w:val="480"/>
                  <w:marRight w:val="0"/>
                  <w:marTop w:val="0"/>
                  <w:marBottom w:val="0"/>
                  <w:divBdr>
                    <w:top w:val="none" w:sz="0" w:space="0" w:color="auto"/>
                    <w:left w:val="none" w:sz="0" w:space="0" w:color="auto"/>
                    <w:bottom w:val="none" w:sz="0" w:space="0" w:color="auto"/>
                    <w:right w:val="none" w:sz="0" w:space="0" w:color="auto"/>
                  </w:divBdr>
                </w:div>
                <w:div w:id="795292593">
                  <w:marLeft w:val="480"/>
                  <w:marRight w:val="0"/>
                  <w:marTop w:val="0"/>
                  <w:marBottom w:val="0"/>
                  <w:divBdr>
                    <w:top w:val="none" w:sz="0" w:space="0" w:color="auto"/>
                    <w:left w:val="none" w:sz="0" w:space="0" w:color="auto"/>
                    <w:bottom w:val="none" w:sz="0" w:space="0" w:color="auto"/>
                    <w:right w:val="none" w:sz="0" w:space="0" w:color="auto"/>
                  </w:divBdr>
                </w:div>
                <w:div w:id="702824943">
                  <w:marLeft w:val="480"/>
                  <w:marRight w:val="0"/>
                  <w:marTop w:val="0"/>
                  <w:marBottom w:val="0"/>
                  <w:divBdr>
                    <w:top w:val="none" w:sz="0" w:space="0" w:color="auto"/>
                    <w:left w:val="none" w:sz="0" w:space="0" w:color="auto"/>
                    <w:bottom w:val="none" w:sz="0" w:space="0" w:color="auto"/>
                    <w:right w:val="none" w:sz="0" w:space="0" w:color="auto"/>
                  </w:divBdr>
                </w:div>
                <w:div w:id="1454405377">
                  <w:marLeft w:val="480"/>
                  <w:marRight w:val="0"/>
                  <w:marTop w:val="0"/>
                  <w:marBottom w:val="0"/>
                  <w:divBdr>
                    <w:top w:val="none" w:sz="0" w:space="0" w:color="auto"/>
                    <w:left w:val="none" w:sz="0" w:space="0" w:color="auto"/>
                    <w:bottom w:val="none" w:sz="0" w:space="0" w:color="auto"/>
                    <w:right w:val="none" w:sz="0" w:space="0" w:color="auto"/>
                  </w:divBdr>
                </w:div>
                <w:div w:id="1519545268">
                  <w:marLeft w:val="480"/>
                  <w:marRight w:val="0"/>
                  <w:marTop w:val="0"/>
                  <w:marBottom w:val="0"/>
                  <w:divBdr>
                    <w:top w:val="none" w:sz="0" w:space="0" w:color="auto"/>
                    <w:left w:val="none" w:sz="0" w:space="0" w:color="auto"/>
                    <w:bottom w:val="none" w:sz="0" w:space="0" w:color="auto"/>
                    <w:right w:val="none" w:sz="0" w:space="0" w:color="auto"/>
                  </w:divBdr>
                </w:div>
                <w:div w:id="507446057">
                  <w:marLeft w:val="480"/>
                  <w:marRight w:val="0"/>
                  <w:marTop w:val="0"/>
                  <w:marBottom w:val="0"/>
                  <w:divBdr>
                    <w:top w:val="none" w:sz="0" w:space="0" w:color="auto"/>
                    <w:left w:val="none" w:sz="0" w:space="0" w:color="auto"/>
                    <w:bottom w:val="none" w:sz="0" w:space="0" w:color="auto"/>
                    <w:right w:val="none" w:sz="0" w:space="0" w:color="auto"/>
                  </w:divBdr>
                </w:div>
                <w:div w:id="1463187597">
                  <w:marLeft w:val="480"/>
                  <w:marRight w:val="0"/>
                  <w:marTop w:val="0"/>
                  <w:marBottom w:val="0"/>
                  <w:divBdr>
                    <w:top w:val="none" w:sz="0" w:space="0" w:color="auto"/>
                    <w:left w:val="none" w:sz="0" w:space="0" w:color="auto"/>
                    <w:bottom w:val="none" w:sz="0" w:space="0" w:color="auto"/>
                    <w:right w:val="none" w:sz="0" w:space="0" w:color="auto"/>
                  </w:divBdr>
                </w:div>
                <w:div w:id="1075323457">
                  <w:marLeft w:val="480"/>
                  <w:marRight w:val="0"/>
                  <w:marTop w:val="0"/>
                  <w:marBottom w:val="0"/>
                  <w:divBdr>
                    <w:top w:val="none" w:sz="0" w:space="0" w:color="auto"/>
                    <w:left w:val="none" w:sz="0" w:space="0" w:color="auto"/>
                    <w:bottom w:val="none" w:sz="0" w:space="0" w:color="auto"/>
                    <w:right w:val="none" w:sz="0" w:space="0" w:color="auto"/>
                  </w:divBdr>
                </w:div>
                <w:div w:id="1373077192">
                  <w:marLeft w:val="480"/>
                  <w:marRight w:val="0"/>
                  <w:marTop w:val="0"/>
                  <w:marBottom w:val="0"/>
                  <w:divBdr>
                    <w:top w:val="none" w:sz="0" w:space="0" w:color="auto"/>
                    <w:left w:val="none" w:sz="0" w:space="0" w:color="auto"/>
                    <w:bottom w:val="none" w:sz="0" w:space="0" w:color="auto"/>
                    <w:right w:val="none" w:sz="0" w:space="0" w:color="auto"/>
                  </w:divBdr>
                </w:div>
                <w:div w:id="1394355972">
                  <w:marLeft w:val="480"/>
                  <w:marRight w:val="0"/>
                  <w:marTop w:val="0"/>
                  <w:marBottom w:val="0"/>
                  <w:divBdr>
                    <w:top w:val="none" w:sz="0" w:space="0" w:color="auto"/>
                    <w:left w:val="none" w:sz="0" w:space="0" w:color="auto"/>
                    <w:bottom w:val="none" w:sz="0" w:space="0" w:color="auto"/>
                    <w:right w:val="none" w:sz="0" w:space="0" w:color="auto"/>
                  </w:divBdr>
                </w:div>
                <w:div w:id="1241327066">
                  <w:marLeft w:val="480"/>
                  <w:marRight w:val="0"/>
                  <w:marTop w:val="0"/>
                  <w:marBottom w:val="0"/>
                  <w:divBdr>
                    <w:top w:val="none" w:sz="0" w:space="0" w:color="auto"/>
                    <w:left w:val="none" w:sz="0" w:space="0" w:color="auto"/>
                    <w:bottom w:val="none" w:sz="0" w:space="0" w:color="auto"/>
                    <w:right w:val="none" w:sz="0" w:space="0" w:color="auto"/>
                  </w:divBdr>
                </w:div>
                <w:div w:id="1933314333">
                  <w:marLeft w:val="480"/>
                  <w:marRight w:val="0"/>
                  <w:marTop w:val="0"/>
                  <w:marBottom w:val="0"/>
                  <w:divBdr>
                    <w:top w:val="none" w:sz="0" w:space="0" w:color="auto"/>
                    <w:left w:val="none" w:sz="0" w:space="0" w:color="auto"/>
                    <w:bottom w:val="none" w:sz="0" w:space="0" w:color="auto"/>
                    <w:right w:val="none" w:sz="0" w:space="0" w:color="auto"/>
                  </w:divBdr>
                </w:div>
                <w:div w:id="1774783427">
                  <w:marLeft w:val="480"/>
                  <w:marRight w:val="0"/>
                  <w:marTop w:val="0"/>
                  <w:marBottom w:val="0"/>
                  <w:divBdr>
                    <w:top w:val="none" w:sz="0" w:space="0" w:color="auto"/>
                    <w:left w:val="none" w:sz="0" w:space="0" w:color="auto"/>
                    <w:bottom w:val="none" w:sz="0" w:space="0" w:color="auto"/>
                    <w:right w:val="none" w:sz="0" w:space="0" w:color="auto"/>
                  </w:divBdr>
                </w:div>
                <w:div w:id="1722242449">
                  <w:marLeft w:val="480"/>
                  <w:marRight w:val="0"/>
                  <w:marTop w:val="0"/>
                  <w:marBottom w:val="0"/>
                  <w:divBdr>
                    <w:top w:val="none" w:sz="0" w:space="0" w:color="auto"/>
                    <w:left w:val="none" w:sz="0" w:space="0" w:color="auto"/>
                    <w:bottom w:val="none" w:sz="0" w:space="0" w:color="auto"/>
                    <w:right w:val="none" w:sz="0" w:space="0" w:color="auto"/>
                  </w:divBdr>
                </w:div>
                <w:div w:id="833374658">
                  <w:marLeft w:val="480"/>
                  <w:marRight w:val="0"/>
                  <w:marTop w:val="0"/>
                  <w:marBottom w:val="0"/>
                  <w:divBdr>
                    <w:top w:val="none" w:sz="0" w:space="0" w:color="auto"/>
                    <w:left w:val="none" w:sz="0" w:space="0" w:color="auto"/>
                    <w:bottom w:val="none" w:sz="0" w:space="0" w:color="auto"/>
                    <w:right w:val="none" w:sz="0" w:space="0" w:color="auto"/>
                  </w:divBdr>
                </w:div>
                <w:div w:id="698239561">
                  <w:marLeft w:val="480"/>
                  <w:marRight w:val="0"/>
                  <w:marTop w:val="0"/>
                  <w:marBottom w:val="0"/>
                  <w:divBdr>
                    <w:top w:val="none" w:sz="0" w:space="0" w:color="auto"/>
                    <w:left w:val="none" w:sz="0" w:space="0" w:color="auto"/>
                    <w:bottom w:val="none" w:sz="0" w:space="0" w:color="auto"/>
                    <w:right w:val="none" w:sz="0" w:space="0" w:color="auto"/>
                  </w:divBdr>
                </w:div>
                <w:div w:id="729890477">
                  <w:marLeft w:val="480"/>
                  <w:marRight w:val="0"/>
                  <w:marTop w:val="0"/>
                  <w:marBottom w:val="0"/>
                  <w:divBdr>
                    <w:top w:val="none" w:sz="0" w:space="0" w:color="auto"/>
                    <w:left w:val="none" w:sz="0" w:space="0" w:color="auto"/>
                    <w:bottom w:val="none" w:sz="0" w:space="0" w:color="auto"/>
                    <w:right w:val="none" w:sz="0" w:space="0" w:color="auto"/>
                  </w:divBdr>
                </w:div>
                <w:div w:id="1636257821">
                  <w:marLeft w:val="480"/>
                  <w:marRight w:val="0"/>
                  <w:marTop w:val="0"/>
                  <w:marBottom w:val="0"/>
                  <w:divBdr>
                    <w:top w:val="none" w:sz="0" w:space="0" w:color="auto"/>
                    <w:left w:val="none" w:sz="0" w:space="0" w:color="auto"/>
                    <w:bottom w:val="none" w:sz="0" w:space="0" w:color="auto"/>
                    <w:right w:val="none" w:sz="0" w:space="0" w:color="auto"/>
                  </w:divBdr>
                </w:div>
                <w:div w:id="1957904570">
                  <w:marLeft w:val="480"/>
                  <w:marRight w:val="0"/>
                  <w:marTop w:val="0"/>
                  <w:marBottom w:val="0"/>
                  <w:divBdr>
                    <w:top w:val="none" w:sz="0" w:space="0" w:color="auto"/>
                    <w:left w:val="none" w:sz="0" w:space="0" w:color="auto"/>
                    <w:bottom w:val="none" w:sz="0" w:space="0" w:color="auto"/>
                    <w:right w:val="none" w:sz="0" w:space="0" w:color="auto"/>
                  </w:divBdr>
                </w:div>
                <w:div w:id="976300245">
                  <w:marLeft w:val="480"/>
                  <w:marRight w:val="0"/>
                  <w:marTop w:val="0"/>
                  <w:marBottom w:val="0"/>
                  <w:divBdr>
                    <w:top w:val="none" w:sz="0" w:space="0" w:color="auto"/>
                    <w:left w:val="none" w:sz="0" w:space="0" w:color="auto"/>
                    <w:bottom w:val="none" w:sz="0" w:space="0" w:color="auto"/>
                    <w:right w:val="none" w:sz="0" w:space="0" w:color="auto"/>
                  </w:divBdr>
                </w:div>
                <w:div w:id="543642419">
                  <w:marLeft w:val="480"/>
                  <w:marRight w:val="0"/>
                  <w:marTop w:val="0"/>
                  <w:marBottom w:val="0"/>
                  <w:divBdr>
                    <w:top w:val="none" w:sz="0" w:space="0" w:color="auto"/>
                    <w:left w:val="none" w:sz="0" w:space="0" w:color="auto"/>
                    <w:bottom w:val="none" w:sz="0" w:space="0" w:color="auto"/>
                    <w:right w:val="none" w:sz="0" w:space="0" w:color="auto"/>
                  </w:divBdr>
                </w:div>
                <w:div w:id="672341868">
                  <w:marLeft w:val="480"/>
                  <w:marRight w:val="0"/>
                  <w:marTop w:val="0"/>
                  <w:marBottom w:val="0"/>
                  <w:divBdr>
                    <w:top w:val="none" w:sz="0" w:space="0" w:color="auto"/>
                    <w:left w:val="none" w:sz="0" w:space="0" w:color="auto"/>
                    <w:bottom w:val="none" w:sz="0" w:space="0" w:color="auto"/>
                    <w:right w:val="none" w:sz="0" w:space="0" w:color="auto"/>
                  </w:divBdr>
                </w:div>
                <w:div w:id="605230763">
                  <w:marLeft w:val="480"/>
                  <w:marRight w:val="0"/>
                  <w:marTop w:val="0"/>
                  <w:marBottom w:val="0"/>
                  <w:divBdr>
                    <w:top w:val="none" w:sz="0" w:space="0" w:color="auto"/>
                    <w:left w:val="none" w:sz="0" w:space="0" w:color="auto"/>
                    <w:bottom w:val="none" w:sz="0" w:space="0" w:color="auto"/>
                    <w:right w:val="none" w:sz="0" w:space="0" w:color="auto"/>
                  </w:divBdr>
                </w:div>
                <w:div w:id="17004170">
                  <w:marLeft w:val="480"/>
                  <w:marRight w:val="0"/>
                  <w:marTop w:val="0"/>
                  <w:marBottom w:val="0"/>
                  <w:divBdr>
                    <w:top w:val="none" w:sz="0" w:space="0" w:color="auto"/>
                    <w:left w:val="none" w:sz="0" w:space="0" w:color="auto"/>
                    <w:bottom w:val="none" w:sz="0" w:space="0" w:color="auto"/>
                    <w:right w:val="none" w:sz="0" w:space="0" w:color="auto"/>
                  </w:divBdr>
                </w:div>
                <w:div w:id="659429737">
                  <w:marLeft w:val="480"/>
                  <w:marRight w:val="0"/>
                  <w:marTop w:val="0"/>
                  <w:marBottom w:val="0"/>
                  <w:divBdr>
                    <w:top w:val="none" w:sz="0" w:space="0" w:color="auto"/>
                    <w:left w:val="none" w:sz="0" w:space="0" w:color="auto"/>
                    <w:bottom w:val="none" w:sz="0" w:space="0" w:color="auto"/>
                    <w:right w:val="none" w:sz="0" w:space="0" w:color="auto"/>
                  </w:divBdr>
                </w:div>
                <w:div w:id="248120362">
                  <w:marLeft w:val="480"/>
                  <w:marRight w:val="0"/>
                  <w:marTop w:val="0"/>
                  <w:marBottom w:val="0"/>
                  <w:divBdr>
                    <w:top w:val="none" w:sz="0" w:space="0" w:color="auto"/>
                    <w:left w:val="none" w:sz="0" w:space="0" w:color="auto"/>
                    <w:bottom w:val="none" w:sz="0" w:space="0" w:color="auto"/>
                    <w:right w:val="none" w:sz="0" w:space="0" w:color="auto"/>
                  </w:divBdr>
                </w:div>
                <w:div w:id="1578709941">
                  <w:marLeft w:val="480"/>
                  <w:marRight w:val="0"/>
                  <w:marTop w:val="0"/>
                  <w:marBottom w:val="0"/>
                  <w:divBdr>
                    <w:top w:val="none" w:sz="0" w:space="0" w:color="auto"/>
                    <w:left w:val="none" w:sz="0" w:space="0" w:color="auto"/>
                    <w:bottom w:val="none" w:sz="0" w:space="0" w:color="auto"/>
                    <w:right w:val="none" w:sz="0" w:space="0" w:color="auto"/>
                  </w:divBdr>
                </w:div>
                <w:div w:id="714694437">
                  <w:marLeft w:val="480"/>
                  <w:marRight w:val="0"/>
                  <w:marTop w:val="0"/>
                  <w:marBottom w:val="0"/>
                  <w:divBdr>
                    <w:top w:val="none" w:sz="0" w:space="0" w:color="auto"/>
                    <w:left w:val="none" w:sz="0" w:space="0" w:color="auto"/>
                    <w:bottom w:val="none" w:sz="0" w:space="0" w:color="auto"/>
                    <w:right w:val="none" w:sz="0" w:space="0" w:color="auto"/>
                  </w:divBdr>
                </w:div>
                <w:div w:id="595792476">
                  <w:marLeft w:val="480"/>
                  <w:marRight w:val="0"/>
                  <w:marTop w:val="0"/>
                  <w:marBottom w:val="0"/>
                  <w:divBdr>
                    <w:top w:val="none" w:sz="0" w:space="0" w:color="auto"/>
                    <w:left w:val="none" w:sz="0" w:space="0" w:color="auto"/>
                    <w:bottom w:val="none" w:sz="0" w:space="0" w:color="auto"/>
                    <w:right w:val="none" w:sz="0" w:space="0" w:color="auto"/>
                  </w:divBdr>
                </w:div>
                <w:div w:id="128474038">
                  <w:marLeft w:val="480"/>
                  <w:marRight w:val="0"/>
                  <w:marTop w:val="0"/>
                  <w:marBottom w:val="0"/>
                  <w:divBdr>
                    <w:top w:val="none" w:sz="0" w:space="0" w:color="auto"/>
                    <w:left w:val="none" w:sz="0" w:space="0" w:color="auto"/>
                    <w:bottom w:val="none" w:sz="0" w:space="0" w:color="auto"/>
                    <w:right w:val="none" w:sz="0" w:space="0" w:color="auto"/>
                  </w:divBdr>
                </w:div>
                <w:div w:id="238370436">
                  <w:marLeft w:val="480"/>
                  <w:marRight w:val="0"/>
                  <w:marTop w:val="0"/>
                  <w:marBottom w:val="0"/>
                  <w:divBdr>
                    <w:top w:val="none" w:sz="0" w:space="0" w:color="auto"/>
                    <w:left w:val="none" w:sz="0" w:space="0" w:color="auto"/>
                    <w:bottom w:val="none" w:sz="0" w:space="0" w:color="auto"/>
                    <w:right w:val="none" w:sz="0" w:space="0" w:color="auto"/>
                  </w:divBdr>
                </w:div>
                <w:div w:id="986518452">
                  <w:marLeft w:val="480"/>
                  <w:marRight w:val="0"/>
                  <w:marTop w:val="0"/>
                  <w:marBottom w:val="0"/>
                  <w:divBdr>
                    <w:top w:val="none" w:sz="0" w:space="0" w:color="auto"/>
                    <w:left w:val="none" w:sz="0" w:space="0" w:color="auto"/>
                    <w:bottom w:val="none" w:sz="0" w:space="0" w:color="auto"/>
                    <w:right w:val="none" w:sz="0" w:space="0" w:color="auto"/>
                  </w:divBdr>
                </w:div>
                <w:div w:id="804813033">
                  <w:marLeft w:val="480"/>
                  <w:marRight w:val="0"/>
                  <w:marTop w:val="0"/>
                  <w:marBottom w:val="0"/>
                  <w:divBdr>
                    <w:top w:val="none" w:sz="0" w:space="0" w:color="auto"/>
                    <w:left w:val="none" w:sz="0" w:space="0" w:color="auto"/>
                    <w:bottom w:val="none" w:sz="0" w:space="0" w:color="auto"/>
                    <w:right w:val="none" w:sz="0" w:space="0" w:color="auto"/>
                  </w:divBdr>
                </w:div>
                <w:div w:id="443572348">
                  <w:marLeft w:val="480"/>
                  <w:marRight w:val="0"/>
                  <w:marTop w:val="0"/>
                  <w:marBottom w:val="0"/>
                  <w:divBdr>
                    <w:top w:val="none" w:sz="0" w:space="0" w:color="auto"/>
                    <w:left w:val="none" w:sz="0" w:space="0" w:color="auto"/>
                    <w:bottom w:val="none" w:sz="0" w:space="0" w:color="auto"/>
                    <w:right w:val="none" w:sz="0" w:space="0" w:color="auto"/>
                  </w:divBdr>
                </w:div>
                <w:div w:id="55473882">
                  <w:marLeft w:val="480"/>
                  <w:marRight w:val="0"/>
                  <w:marTop w:val="0"/>
                  <w:marBottom w:val="0"/>
                  <w:divBdr>
                    <w:top w:val="none" w:sz="0" w:space="0" w:color="auto"/>
                    <w:left w:val="none" w:sz="0" w:space="0" w:color="auto"/>
                    <w:bottom w:val="none" w:sz="0" w:space="0" w:color="auto"/>
                    <w:right w:val="none" w:sz="0" w:space="0" w:color="auto"/>
                  </w:divBdr>
                </w:div>
                <w:div w:id="353843530">
                  <w:marLeft w:val="480"/>
                  <w:marRight w:val="0"/>
                  <w:marTop w:val="0"/>
                  <w:marBottom w:val="0"/>
                  <w:divBdr>
                    <w:top w:val="none" w:sz="0" w:space="0" w:color="auto"/>
                    <w:left w:val="none" w:sz="0" w:space="0" w:color="auto"/>
                    <w:bottom w:val="none" w:sz="0" w:space="0" w:color="auto"/>
                    <w:right w:val="none" w:sz="0" w:space="0" w:color="auto"/>
                  </w:divBdr>
                </w:div>
                <w:div w:id="1791703970">
                  <w:marLeft w:val="480"/>
                  <w:marRight w:val="0"/>
                  <w:marTop w:val="0"/>
                  <w:marBottom w:val="0"/>
                  <w:divBdr>
                    <w:top w:val="none" w:sz="0" w:space="0" w:color="auto"/>
                    <w:left w:val="none" w:sz="0" w:space="0" w:color="auto"/>
                    <w:bottom w:val="none" w:sz="0" w:space="0" w:color="auto"/>
                    <w:right w:val="none" w:sz="0" w:space="0" w:color="auto"/>
                  </w:divBdr>
                </w:div>
                <w:div w:id="859507306">
                  <w:marLeft w:val="480"/>
                  <w:marRight w:val="0"/>
                  <w:marTop w:val="0"/>
                  <w:marBottom w:val="0"/>
                  <w:divBdr>
                    <w:top w:val="none" w:sz="0" w:space="0" w:color="auto"/>
                    <w:left w:val="none" w:sz="0" w:space="0" w:color="auto"/>
                    <w:bottom w:val="none" w:sz="0" w:space="0" w:color="auto"/>
                    <w:right w:val="none" w:sz="0" w:space="0" w:color="auto"/>
                  </w:divBdr>
                </w:div>
                <w:div w:id="200899941">
                  <w:marLeft w:val="480"/>
                  <w:marRight w:val="0"/>
                  <w:marTop w:val="0"/>
                  <w:marBottom w:val="0"/>
                  <w:divBdr>
                    <w:top w:val="none" w:sz="0" w:space="0" w:color="auto"/>
                    <w:left w:val="none" w:sz="0" w:space="0" w:color="auto"/>
                    <w:bottom w:val="none" w:sz="0" w:space="0" w:color="auto"/>
                    <w:right w:val="none" w:sz="0" w:space="0" w:color="auto"/>
                  </w:divBdr>
                </w:div>
                <w:div w:id="637683273">
                  <w:marLeft w:val="480"/>
                  <w:marRight w:val="0"/>
                  <w:marTop w:val="0"/>
                  <w:marBottom w:val="0"/>
                  <w:divBdr>
                    <w:top w:val="none" w:sz="0" w:space="0" w:color="auto"/>
                    <w:left w:val="none" w:sz="0" w:space="0" w:color="auto"/>
                    <w:bottom w:val="none" w:sz="0" w:space="0" w:color="auto"/>
                    <w:right w:val="none" w:sz="0" w:space="0" w:color="auto"/>
                  </w:divBdr>
                </w:div>
                <w:div w:id="300960596">
                  <w:marLeft w:val="480"/>
                  <w:marRight w:val="0"/>
                  <w:marTop w:val="0"/>
                  <w:marBottom w:val="0"/>
                  <w:divBdr>
                    <w:top w:val="none" w:sz="0" w:space="0" w:color="auto"/>
                    <w:left w:val="none" w:sz="0" w:space="0" w:color="auto"/>
                    <w:bottom w:val="none" w:sz="0" w:space="0" w:color="auto"/>
                    <w:right w:val="none" w:sz="0" w:space="0" w:color="auto"/>
                  </w:divBdr>
                </w:div>
                <w:div w:id="824472535">
                  <w:marLeft w:val="480"/>
                  <w:marRight w:val="0"/>
                  <w:marTop w:val="0"/>
                  <w:marBottom w:val="0"/>
                  <w:divBdr>
                    <w:top w:val="none" w:sz="0" w:space="0" w:color="auto"/>
                    <w:left w:val="none" w:sz="0" w:space="0" w:color="auto"/>
                    <w:bottom w:val="none" w:sz="0" w:space="0" w:color="auto"/>
                    <w:right w:val="none" w:sz="0" w:space="0" w:color="auto"/>
                  </w:divBdr>
                </w:div>
                <w:div w:id="266894397">
                  <w:marLeft w:val="480"/>
                  <w:marRight w:val="0"/>
                  <w:marTop w:val="0"/>
                  <w:marBottom w:val="0"/>
                  <w:divBdr>
                    <w:top w:val="none" w:sz="0" w:space="0" w:color="auto"/>
                    <w:left w:val="none" w:sz="0" w:space="0" w:color="auto"/>
                    <w:bottom w:val="none" w:sz="0" w:space="0" w:color="auto"/>
                    <w:right w:val="none" w:sz="0" w:space="0" w:color="auto"/>
                  </w:divBdr>
                </w:div>
                <w:div w:id="1381443557">
                  <w:marLeft w:val="480"/>
                  <w:marRight w:val="0"/>
                  <w:marTop w:val="0"/>
                  <w:marBottom w:val="0"/>
                  <w:divBdr>
                    <w:top w:val="none" w:sz="0" w:space="0" w:color="auto"/>
                    <w:left w:val="none" w:sz="0" w:space="0" w:color="auto"/>
                    <w:bottom w:val="none" w:sz="0" w:space="0" w:color="auto"/>
                    <w:right w:val="none" w:sz="0" w:space="0" w:color="auto"/>
                  </w:divBdr>
                </w:div>
                <w:div w:id="860095596">
                  <w:marLeft w:val="480"/>
                  <w:marRight w:val="0"/>
                  <w:marTop w:val="0"/>
                  <w:marBottom w:val="0"/>
                  <w:divBdr>
                    <w:top w:val="none" w:sz="0" w:space="0" w:color="auto"/>
                    <w:left w:val="none" w:sz="0" w:space="0" w:color="auto"/>
                    <w:bottom w:val="none" w:sz="0" w:space="0" w:color="auto"/>
                    <w:right w:val="none" w:sz="0" w:space="0" w:color="auto"/>
                  </w:divBdr>
                </w:div>
                <w:div w:id="342779352">
                  <w:marLeft w:val="480"/>
                  <w:marRight w:val="0"/>
                  <w:marTop w:val="0"/>
                  <w:marBottom w:val="0"/>
                  <w:divBdr>
                    <w:top w:val="none" w:sz="0" w:space="0" w:color="auto"/>
                    <w:left w:val="none" w:sz="0" w:space="0" w:color="auto"/>
                    <w:bottom w:val="none" w:sz="0" w:space="0" w:color="auto"/>
                    <w:right w:val="none" w:sz="0" w:space="0" w:color="auto"/>
                  </w:divBdr>
                </w:div>
                <w:div w:id="1482888679">
                  <w:marLeft w:val="480"/>
                  <w:marRight w:val="0"/>
                  <w:marTop w:val="0"/>
                  <w:marBottom w:val="0"/>
                  <w:divBdr>
                    <w:top w:val="none" w:sz="0" w:space="0" w:color="auto"/>
                    <w:left w:val="none" w:sz="0" w:space="0" w:color="auto"/>
                    <w:bottom w:val="none" w:sz="0" w:space="0" w:color="auto"/>
                    <w:right w:val="none" w:sz="0" w:space="0" w:color="auto"/>
                  </w:divBdr>
                </w:div>
                <w:div w:id="1807969369">
                  <w:marLeft w:val="480"/>
                  <w:marRight w:val="0"/>
                  <w:marTop w:val="0"/>
                  <w:marBottom w:val="0"/>
                  <w:divBdr>
                    <w:top w:val="none" w:sz="0" w:space="0" w:color="auto"/>
                    <w:left w:val="none" w:sz="0" w:space="0" w:color="auto"/>
                    <w:bottom w:val="none" w:sz="0" w:space="0" w:color="auto"/>
                    <w:right w:val="none" w:sz="0" w:space="0" w:color="auto"/>
                  </w:divBdr>
                </w:div>
                <w:div w:id="1919513088">
                  <w:marLeft w:val="480"/>
                  <w:marRight w:val="0"/>
                  <w:marTop w:val="0"/>
                  <w:marBottom w:val="0"/>
                  <w:divBdr>
                    <w:top w:val="none" w:sz="0" w:space="0" w:color="auto"/>
                    <w:left w:val="none" w:sz="0" w:space="0" w:color="auto"/>
                    <w:bottom w:val="none" w:sz="0" w:space="0" w:color="auto"/>
                    <w:right w:val="none" w:sz="0" w:space="0" w:color="auto"/>
                  </w:divBdr>
                </w:div>
                <w:div w:id="141193551">
                  <w:marLeft w:val="480"/>
                  <w:marRight w:val="0"/>
                  <w:marTop w:val="0"/>
                  <w:marBottom w:val="0"/>
                  <w:divBdr>
                    <w:top w:val="none" w:sz="0" w:space="0" w:color="auto"/>
                    <w:left w:val="none" w:sz="0" w:space="0" w:color="auto"/>
                    <w:bottom w:val="none" w:sz="0" w:space="0" w:color="auto"/>
                    <w:right w:val="none" w:sz="0" w:space="0" w:color="auto"/>
                  </w:divBdr>
                </w:div>
                <w:div w:id="1949585806">
                  <w:marLeft w:val="480"/>
                  <w:marRight w:val="0"/>
                  <w:marTop w:val="0"/>
                  <w:marBottom w:val="0"/>
                  <w:divBdr>
                    <w:top w:val="none" w:sz="0" w:space="0" w:color="auto"/>
                    <w:left w:val="none" w:sz="0" w:space="0" w:color="auto"/>
                    <w:bottom w:val="none" w:sz="0" w:space="0" w:color="auto"/>
                    <w:right w:val="none" w:sz="0" w:space="0" w:color="auto"/>
                  </w:divBdr>
                </w:div>
                <w:div w:id="1617983168">
                  <w:marLeft w:val="480"/>
                  <w:marRight w:val="0"/>
                  <w:marTop w:val="0"/>
                  <w:marBottom w:val="0"/>
                  <w:divBdr>
                    <w:top w:val="none" w:sz="0" w:space="0" w:color="auto"/>
                    <w:left w:val="none" w:sz="0" w:space="0" w:color="auto"/>
                    <w:bottom w:val="none" w:sz="0" w:space="0" w:color="auto"/>
                    <w:right w:val="none" w:sz="0" w:space="0" w:color="auto"/>
                  </w:divBdr>
                </w:div>
                <w:div w:id="1164056240">
                  <w:marLeft w:val="480"/>
                  <w:marRight w:val="0"/>
                  <w:marTop w:val="0"/>
                  <w:marBottom w:val="0"/>
                  <w:divBdr>
                    <w:top w:val="none" w:sz="0" w:space="0" w:color="auto"/>
                    <w:left w:val="none" w:sz="0" w:space="0" w:color="auto"/>
                    <w:bottom w:val="none" w:sz="0" w:space="0" w:color="auto"/>
                    <w:right w:val="none" w:sz="0" w:space="0" w:color="auto"/>
                  </w:divBdr>
                </w:div>
                <w:div w:id="2013948814">
                  <w:marLeft w:val="480"/>
                  <w:marRight w:val="0"/>
                  <w:marTop w:val="0"/>
                  <w:marBottom w:val="0"/>
                  <w:divBdr>
                    <w:top w:val="none" w:sz="0" w:space="0" w:color="auto"/>
                    <w:left w:val="none" w:sz="0" w:space="0" w:color="auto"/>
                    <w:bottom w:val="none" w:sz="0" w:space="0" w:color="auto"/>
                    <w:right w:val="none" w:sz="0" w:space="0" w:color="auto"/>
                  </w:divBdr>
                </w:div>
                <w:div w:id="560098968">
                  <w:marLeft w:val="480"/>
                  <w:marRight w:val="0"/>
                  <w:marTop w:val="0"/>
                  <w:marBottom w:val="0"/>
                  <w:divBdr>
                    <w:top w:val="none" w:sz="0" w:space="0" w:color="auto"/>
                    <w:left w:val="none" w:sz="0" w:space="0" w:color="auto"/>
                    <w:bottom w:val="none" w:sz="0" w:space="0" w:color="auto"/>
                    <w:right w:val="none" w:sz="0" w:space="0" w:color="auto"/>
                  </w:divBdr>
                </w:div>
                <w:div w:id="1799496620">
                  <w:marLeft w:val="480"/>
                  <w:marRight w:val="0"/>
                  <w:marTop w:val="0"/>
                  <w:marBottom w:val="0"/>
                  <w:divBdr>
                    <w:top w:val="none" w:sz="0" w:space="0" w:color="auto"/>
                    <w:left w:val="none" w:sz="0" w:space="0" w:color="auto"/>
                    <w:bottom w:val="none" w:sz="0" w:space="0" w:color="auto"/>
                    <w:right w:val="none" w:sz="0" w:space="0" w:color="auto"/>
                  </w:divBdr>
                </w:div>
                <w:div w:id="359353787">
                  <w:marLeft w:val="480"/>
                  <w:marRight w:val="0"/>
                  <w:marTop w:val="0"/>
                  <w:marBottom w:val="0"/>
                  <w:divBdr>
                    <w:top w:val="none" w:sz="0" w:space="0" w:color="auto"/>
                    <w:left w:val="none" w:sz="0" w:space="0" w:color="auto"/>
                    <w:bottom w:val="none" w:sz="0" w:space="0" w:color="auto"/>
                    <w:right w:val="none" w:sz="0" w:space="0" w:color="auto"/>
                  </w:divBdr>
                </w:div>
                <w:div w:id="121658518">
                  <w:marLeft w:val="480"/>
                  <w:marRight w:val="0"/>
                  <w:marTop w:val="0"/>
                  <w:marBottom w:val="0"/>
                  <w:divBdr>
                    <w:top w:val="none" w:sz="0" w:space="0" w:color="auto"/>
                    <w:left w:val="none" w:sz="0" w:space="0" w:color="auto"/>
                    <w:bottom w:val="none" w:sz="0" w:space="0" w:color="auto"/>
                    <w:right w:val="none" w:sz="0" w:space="0" w:color="auto"/>
                  </w:divBdr>
                </w:div>
                <w:div w:id="804276334">
                  <w:marLeft w:val="480"/>
                  <w:marRight w:val="0"/>
                  <w:marTop w:val="0"/>
                  <w:marBottom w:val="0"/>
                  <w:divBdr>
                    <w:top w:val="none" w:sz="0" w:space="0" w:color="auto"/>
                    <w:left w:val="none" w:sz="0" w:space="0" w:color="auto"/>
                    <w:bottom w:val="none" w:sz="0" w:space="0" w:color="auto"/>
                    <w:right w:val="none" w:sz="0" w:space="0" w:color="auto"/>
                  </w:divBdr>
                </w:div>
                <w:div w:id="530266423">
                  <w:marLeft w:val="480"/>
                  <w:marRight w:val="0"/>
                  <w:marTop w:val="0"/>
                  <w:marBottom w:val="0"/>
                  <w:divBdr>
                    <w:top w:val="none" w:sz="0" w:space="0" w:color="auto"/>
                    <w:left w:val="none" w:sz="0" w:space="0" w:color="auto"/>
                    <w:bottom w:val="none" w:sz="0" w:space="0" w:color="auto"/>
                    <w:right w:val="none" w:sz="0" w:space="0" w:color="auto"/>
                  </w:divBdr>
                </w:div>
                <w:div w:id="1024206292">
                  <w:marLeft w:val="480"/>
                  <w:marRight w:val="0"/>
                  <w:marTop w:val="0"/>
                  <w:marBottom w:val="0"/>
                  <w:divBdr>
                    <w:top w:val="none" w:sz="0" w:space="0" w:color="auto"/>
                    <w:left w:val="none" w:sz="0" w:space="0" w:color="auto"/>
                    <w:bottom w:val="none" w:sz="0" w:space="0" w:color="auto"/>
                    <w:right w:val="none" w:sz="0" w:space="0" w:color="auto"/>
                  </w:divBdr>
                </w:div>
                <w:div w:id="1678845039">
                  <w:marLeft w:val="480"/>
                  <w:marRight w:val="0"/>
                  <w:marTop w:val="0"/>
                  <w:marBottom w:val="0"/>
                  <w:divBdr>
                    <w:top w:val="none" w:sz="0" w:space="0" w:color="auto"/>
                    <w:left w:val="none" w:sz="0" w:space="0" w:color="auto"/>
                    <w:bottom w:val="none" w:sz="0" w:space="0" w:color="auto"/>
                    <w:right w:val="none" w:sz="0" w:space="0" w:color="auto"/>
                  </w:divBdr>
                </w:div>
                <w:div w:id="964117457">
                  <w:marLeft w:val="480"/>
                  <w:marRight w:val="0"/>
                  <w:marTop w:val="0"/>
                  <w:marBottom w:val="0"/>
                  <w:divBdr>
                    <w:top w:val="none" w:sz="0" w:space="0" w:color="auto"/>
                    <w:left w:val="none" w:sz="0" w:space="0" w:color="auto"/>
                    <w:bottom w:val="none" w:sz="0" w:space="0" w:color="auto"/>
                    <w:right w:val="none" w:sz="0" w:space="0" w:color="auto"/>
                  </w:divBdr>
                </w:div>
                <w:div w:id="1943760994">
                  <w:marLeft w:val="480"/>
                  <w:marRight w:val="0"/>
                  <w:marTop w:val="0"/>
                  <w:marBottom w:val="0"/>
                  <w:divBdr>
                    <w:top w:val="none" w:sz="0" w:space="0" w:color="auto"/>
                    <w:left w:val="none" w:sz="0" w:space="0" w:color="auto"/>
                    <w:bottom w:val="none" w:sz="0" w:space="0" w:color="auto"/>
                    <w:right w:val="none" w:sz="0" w:space="0" w:color="auto"/>
                  </w:divBdr>
                </w:div>
                <w:div w:id="1774977986">
                  <w:marLeft w:val="480"/>
                  <w:marRight w:val="0"/>
                  <w:marTop w:val="0"/>
                  <w:marBottom w:val="0"/>
                  <w:divBdr>
                    <w:top w:val="none" w:sz="0" w:space="0" w:color="auto"/>
                    <w:left w:val="none" w:sz="0" w:space="0" w:color="auto"/>
                    <w:bottom w:val="none" w:sz="0" w:space="0" w:color="auto"/>
                    <w:right w:val="none" w:sz="0" w:space="0" w:color="auto"/>
                  </w:divBdr>
                </w:div>
                <w:div w:id="1048840789">
                  <w:marLeft w:val="480"/>
                  <w:marRight w:val="0"/>
                  <w:marTop w:val="0"/>
                  <w:marBottom w:val="0"/>
                  <w:divBdr>
                    <w:top w:val="none" w:sz="0" w:space="0" w:color="auto"/>
                    <w:left w:val="none" w:sz="0" w:space="0" w:color="auto"/>
                    <w:bottom w:val="none" w:sz="0" w:space="0" w:color="auto"/>
                    <w:right w:val="none" w:sz="0" w:space="0" w:color="auto"/>
                  </w:divBdr>
                </w:div>
                <w:div w:id="838039475">
                  <w:marLeft w:val="480"/>
                  <w:marRight w:val="0"/>
                  <w:marTop w:val="0"/>
                  <w:marBottom w:val="0"/>
                  <w:divBdr>
                    <w:top w:val="none" w:sz="0" w:space="0" w:color="auto"/>
                    <w:left w:val="none" w:sz="0" w:space="0" w:color="auto"/>
                    <w:bottom w:val="none" w:sz="0" w:space="0" w:color="auto"/>
                    <w:right w:val="none" w:sz="0" w:space="0" w:color="auto"/>
                  </w:divBdr>
                </w:div>
                <w:div w:id="1082992653">
                  <w:marLeft w:val="480"/>
                  <w:marRight w:val="0"/>
                  <w:marTop w:val="0"/>
                  <w:marBottom w:val="0"/>
                  <w:divBdr>
                    <w:top w:val="none" w:sz="0" w:space="0" w:color="auto"/>
                    <w:left w:val="none" w:sz="0" w:space="0" w:color="auto"/>
                    <w:bottom w:val="none" w:sz="0" w:space="0" w:color="auto"/>
                    <w:right w:val="none" w:sz="0" w:space="0" w:color="auto"/>
                  </w:divBdr>
                </w:div>
                <w:div w:id="1594440140">
                  <w:marLeft w:val="480"/>
                  <w:marRight w:val="0"/>
                  <w:marTop w:val="0"/>
                  <w:marBottom w:val="0"/>
                  <w:divBdr>
                    <w:top w:val="none" w:sz="0" w:space="0" w:color="auto"/>
                    <w:left w:val="none" w:sz="0" w:space="0" w:color="auto"/>
                    <w:bottom w:val="none" w:sz="0" w:space="0" w:color="auto"/>
                    <w:right w:val="none" w:sz="0" w:space="0" w:color="auto"/>
                  </w:divBdr>
                </w:div>
                <w:div w:id="617488444">
                  <w:marLeft w:val="480"/>
                  <w:marRight w:val="0"/>
                  <w:marTop w:val="0"/>
                  <w:marBottom w:val="0"/>
                  <w:divBdr>
                    <w:top w:val="none" w:sz="0" w:space="0" w:color="auto"/>
                    <w:left w:val="none" w:sz="0" w:space="0" w:color="auto"/>
                    <w:bottom w:val="none" w:sz="0" w:space="0" w:color="auto"/>
                    <w:right w:val="none" w:sz="0" w:space="0" w:color="auto"/>
                  </w:divBdr>
                </w:div>
                <w:div w:id="1339770690">
                  <w:marLeft w:val="480"/>
                  <w:marRight w:val="0"/>
                  <w:marTop w:val="0"/>
                  <w:marBottom w:val="0"/>
                  <w:divBdr>
                    <w:top w:val="none" w:sz="0" w:space="0" w:color="auto"/>
                    <w:left w:val="none" w:sz="0" w:space="0" w:color="auto"/>
                    <w:bottom w:val="none" w:sz="0" w:space="0" w:color="auto"/>
                    <w:right w:val="none" w:sz="0" w:space="0" w:color="auto"/>
                  </w:divBdr>
                </w:div>
                <w:div w:id="1340623335">
                  <w:marLeft w:val="480"/>
                  <w:marRight w:val="0"/>
                  <w:marTop w:val="0"/>
                  <w:marBottom w:val="0"/>
                  <w:divBdr>
                    <w:top w:val="none" w:sz="0" w:space="0" w:color="auto"/>
                    <w:left w:val="none" w:sz="0" w:space="0" w:color="auto"/>
                    <w:bottom w:val="none" w:sz="0" w:space="0" w:color="auto"/>
                    <w:right w:val="none" w:sz="0" w:space="0" w:color="auto"/>
                  </w:divBdr>
                </w:div>
                <w:div w:id="1018582222">
                  <w:marLeft w:val="480"/>
                  <w:marRight w:val="0"/>
                  <w:marTop w:val="0"/>
                  <w:marBottom w:val="0"/>
                  <w:divBdr>
                    <w:top w:val="none" w:sz="0" w:space="0" w:color="auto"/>
                    <w:left w:val="none" w:sz="0" w:space="0" w:color="auto"/>
                    <w:bottom w:val="none" w:sz="0" w:space="0" w:color="auto"/>
                    <w:right w:val="none" w:sz="0" w:space="0" w:color="auto"/>
                  </w:divBdr>
                </w:div>
                <w:div w:id="1701274917">
                  <w:marLeft w:val="480"/>
                  <w:marRight w:val="0"/>
                  <w:marTop w:val="0"/>
                  <w:marBottom w:val="0"/>
                  <w:divBdr>
                    <w:top w:val="none" w:sz="0" w:space="0" w:color="auto"/>
                    <w:left w:val="none" w:sz="0" w:space="0" w:color="auto"/>
                    <w:bottom w:val="none" w:sz="0" w:space="0" w:color="auto"/>
                    <w:right w:val="none" w:sz="0" w:space="0" w:color="auto"/>
                  </w:divBdr>
                </w:div>
                <w:div w:id="1708603178">
                  <w:marLeft w:val="480"/>
                  <w:marRight w:val="0"/>
                  <w:marTop w:val="0"/>
                  <w:marBottom w:val="0"/>
                  <w:divBdr>
                    <w:top w:val="none" w:sz="0" w:space="0" w:color="auto"/>
                    <w:left w:val="none" w:sz="0" w:space="0" w:color="auto"/>
                    <w:bottom w:val="none" w:sz="0" w:space="0" w:color="auto"/>
                    <w:right w:val="none" w:sz="0" w:space="0" w:color="auto"/>
                  </w:divBdr>
                </w:div>
                <w:div w:id="1261989233">
                  <w:marLeft w:val="480"/>
                  <w:marRight w:val="0"/>
                  <w:marTop w:val="0"/>
                  <w:marBottom w:val="0"/>
                  <w:divBdr>
                    <w:top w:val="none" w:sz="0" w:space="0" w:color="auto"/>
                    <w:left w:val="none" w:sz="0" w:space="0" w:color="auto"/>
                    <w:bottom w:val="none" w:sz="0" w:space="0" w:color="auto"/>
                    <w:right w:val="none" w:sz="0" w:space="0" w:color="auto"/>
                  </w:divBdr>
                </w:div>
                <w:div w:id="1022585511">
                  <w:marLeft w:val="480"/>
                  <w:marRight w:val="0"/>
                  <w:marTop w:val="0"/>
                  <w:marBottom w:val="0"/>
                  <w:divBdr>
                    <w:top w:val="none" w:sz="0" w:space="0" w:color="auto"/>
                    <w:left w:val="none" w:sz="0" w:space="0" w:color="auto"/>
                    <w:bottom w:val="none" w:sz="0" w:space="0" w:color="auto"/>
                    <w:right w:val="none" w:sz="0" w:space="0" w:color="auto"/>
                  </w:divBdr>
                </w:div>
                <w:div w:id="1728532076">
                  <w:marLeft w:val="480"/>
                  <w:marRight w:val="0"/>
                  <w:marTop w:val="0"/>
                  <w:marBottom w:val="0"/>
                  <w:divBdr>
                    <w:top w:val="none" w:sz="0" w:space="0" w:color="auto"/>
                    <w:left w:val="none" w:sz="0" w:space="0" w:color="auto"/>
                    <w:bottom w:val="none" w:sz="0" w:space="0" w:color="auto"/>
                    <w:right w:val="none" w:sz="0" w:space="0" w:color="auto"/>
                  </w:divBdr>
                </w:div>
                <w:div w:id="2093044496">
                  <w:marLeft w:val="480"/>
                  <w:marRight w:val="0"/>
                  <w:marTop w:val="0"/>
                  <w:marBottom w:val="0"/>
                  <w:divBdr>
                    <w:top w:val="none" w:sz="0" w:space="0" w:color="auto"/>
                    <w:left w:val="none" w:sz="0" w:space="0" w:color="auto"/>
                    <w:bottom w:val="none" w:sz="0" w:space="0" w:color="auto"/>
                    <w:right w:val="none" w:sz="0" w:space="0" w:color="auto"/>
                  </w:divBdr>
                </w:div>
                <w:div w:id="1599558206">
                  <w:marLeft w:val="480"/>
                  <w:marRight w:val="0"/>
                  <w:marTop w:val="0"/>
                  <w:marBottom w:val="0"/>
                  <w:divBdr>
                    <w:top w:val="none" w:sz="0" w:space="0" w:color="auto"/>
                    <w:left w:val="none" w:sz="0" w:space="0" w:color="auto"/>
                    <w:bottom w:val="none" w:sz="0" w:space="0" w:color="auto"/>
                    <w:right w:val="none" w:sz="0" w:space="0" w:color="auto"/>
                  </w:divBdr>
                </w:div>
                <w:div w:id="1527209942">
                  <w:marLeft w:val="480"/>
                  <w:marRight w:val="0"/>
                  <w:marTop w:val="0"/>
                  <w:marBottom w:val="0"/>
                  <w:divBdr>
                    <w:top w:val="none" w:sz="0" w:space="0" w:color="auto"/>
                    <w:left w:val="none" w:sz="0" w:space="0" w:color="auto"/>
                    <w:bottom w:val="none" w:sz="0" w:space="0" w:color="auto"/>
                    <w:right w:val="none" w:sz="0" w:space="0" w:color="auto"/>
                  </w:divBdr>
                </w:div>
                <w:div w:id="1140997021">
                  <w:marLeft w:val="480"/>
                  <w:marRight w:val="0"/>
                  <w:marTop w:val="0"/>
                  <w:marBottom w:val="0"/>
                  <w:divBdr>
                    <w:top w:val="none" w:sz="0" w:space="0" w:color="auto"/>
                    <w:left w:val="none" w:sz="0" w:space="0" w:color="auto"/>
                    <w:bottom w:val="none" w:sz="0" w:space="0" w:color="auto"/>
                    <w:right w:val="none" w:sz="0" w:space="0" w:color="auto"/>
                  </w:divBdr>
                </w:div>
                <w:div w:id="1659773768">
                  <w:marLeft w:val="480"/>
                  <w:marRight w:val="0"/>
                  <w:marTop w:val="0"/>
                  <w:marBottom w:val="0"/>
                  <w:divBdr>
                    <w:top w:val="none" w:sz="0" w:space="0" w:color="auto"/>
                    <w:left w:val="none" w:sz="0" w:space="0" w:color="auto"/>
                    <w:bottom w:val="none" w:sz="0" w:space="0" w:color="auto"/>
                    <w:right w:val="none" w:sz="0" w:space="0" w:color="auto"/>
                  </w:divBdr>
                </w:div>
                <w:div w:id="1388454897">
                  <w:marLeft w:val="480"/>
                  <w:marRight w:val="0"/>
                  <w:marTop w:val="0"/>
                  <w:marBottom w:val="0"/>
                  <w:divBdr>
                    <w:top w:val="none" w:sz="0" w:space="0" w:color="auto"/>
                    <w:left w:val="none" w:sz="0" w:space="0" w:color="auto"/>
                    <w:bottom w:val="none" w:sz="0" w:space="0" w:color="auto"/>
                    <w:right w:val="none" w:sz="0" w:space="0" w:color="auto"/>
                  </w:divBdr>
                </w:div>
                <w:div w:id="520054190">
                  <w:marLeft w:val="480"/>
                  <w:marRight w:val="0"/>
                  <w:marTop w:val="0"/>
                  <w:marBottom w:val="0"/>
                  <w:divBdr>
                    <w:top w:val="none" w:sz="0" w:space="0" w:color="auto"/>
                    <w:left w:val="none" w:sz="0" w:space="0" w:color="auto"/>
                    <w:bottom w:val="none" w:sz="0" w:space="0" w:color="auto"/>
                    <w:right w:val="none" w:sz="0" w:space="0" w:color="auto"/>
                  </w:divBdr>
                </w:div>
                <w:div w:id="1354574558">
                  <w:marLeft w:val="480"/>
                  <w:marRight w:val="0"/>
                  <w:marTop w:val="0"/>
                  <w:marBottom w:val="0"/>
                  <w:divBdr>
                    <w:top w:val="none" w:sz="0" w:space="0" w:color="auto"/>
                    <w:left w:val="none" w:sz="0" w:space="0" w:color="auto"/>
                    <w:bottom w:val="none" w:sz="0" w:space="0" w:color="auto"/>
                    <w:right w:val="none" w:sz="0" w:space="0" w:color="auto"/>
                  </w:divBdr>
                </w:div>
                <w:div w:id="317459983">
                  <w:marLeft w:val="480"/>
                  <w:marRight w:val="0"/>
                  <w:marTop w:val="0"/>
                  <w:marBottom w:val="0"/>
                  <w:divBdr>
                    <w:top w:val="none" w:sz="0" w:space="0" w:color="auto"/>
                    <w:left w:val="none" w:sz="0" w:space="0" w:color="auto"/>
                    <w:bottom w:val="none" w:sz="0" w:space="0" w:color="auto"/>
                    <w:right w:val="none" w:sz="0" w:space="0" w:color="auto"/>
                  </w:divBdr>
                </w:div>
                <w:div w:id="2083016036">
                  <w:marLeft w:val="480"/>
                  <w:marRight w:val="0"/>
                  <w:marTop w:val="0"/>
                  <w:marBottom w:val="0"/>
                  <w:divBdr>
                    <w:top w:val="none" w:sz="0" w:space="0" w:color="auto"/>
                    <w:left w:val="none" w:sz="0" w:space="0" w:color="auto"/>
                    <w:bottom w:val="none" w:sz="0" w:space="0" w:color="auto"/>
                    <w:right w:val="none" w:sz="0" w:space="0" w:color="auto"/>
                  </w:divBdr>
                </w:div>
                <w:div w:id="1697121878">
                  <w:marLeft w:val="480"/>
                  <w:marRight w:val="0"/>
                  <w:marTop w:val="0"/>
                  <w:marBottom w:val="0"/>
                  <w:divBdr>
                    <w:top w:val="none" w:sz="0" w:space="0" w:color="auto"/>
                    <w:left w:val="none" w:sz="0" w:space="0" w:color="auto"/>
                    <w:bottom w:val="none" w:sz="0" w:space="0" w:color="auto"/>
                    <w:right w:val="none" w:sz="0" w:space="0" w:color="auto"/>
                  </w:divBdr>
                </w:div>
                <w:div w:id="1115978808">
                  <w:marLeft w:val="480"/>
                  <w:marRight w:val="0"/>
                  <w:marTop w:val="0"/>
                  <w:marBottom w:val="0"/>
                  <w:divBdr>
                    <w:top w:val="none" w:sz="0" w:space="0" w:color="auto"/>
                    <w:left w:val="none" w:sz="0" w:space="0" w:color="auto"/>
                    <w:bottom w:val="none" w:sz="0" w:space="0" w:color="auto"/>
                    <w:right w:val="none" w:sz="0" w:space="0" w:color="auto"/>
                  </w:divBdr>
                </w:div>
                <w:div w:id="861625560">
                  <w:marLeft w:val="480"/>
                  <w:marRight w:val="0"/>
                  <w:marTop w:val="0"/>
                  <w:marBottom w:val="0"/>
                  <w:divBdr>
                    <w:top w:val="none" w:sz="0" w:space="0" w:color="auto"/>
                    <w:left w:val="none" w:sz="0" w:space="0" w:color="auto"/>
                    <w:bottom w:val="none" w:sz="0" w:space="0" w:color="auto"/>
                    <w:right w:val="none" w:sz="0" w:space="0" w:color="auto"/>
                  </w:divBdr>
                </w:div>
                <w:div w:id="750276452">
                  <w:marLeft w:val="480"/>
                  <w:marRight w:val="0"/>
                  <w:marTop w:val="0"/>
                  <w:marBottom w:val="0"/>
                  <w:divBdr>
                    <w:top w:val="none" w:sz="0" w:space="0" w:color="auto"/>
                    <w:left w:val="none" w:sz="0" w:space="0" w:color="auto"/>
                    <w:bottom w:val="none" w:sz="0" w:space="0" w:color="auto"/>
                    <w:right w:val="none" w:sz="0" w:space="0" w:color="auto"/>
                  </w:divBdr>
                </w:div>
                <w:div w:id="583880145">
                  <w:marLeft w:val="480"/>
                  <w:marRight w:val="0"/>
                  <w:marTop w:val="0"/>
                  <w:marBottom w:val="0"/>
                  <w:divBdr>
                    <w:top w:val="none" w:sz="0" w:space="0" w:color="auto"/>
                    <w:left w:val="none" w:sz="0" w:space="0" w:color="auto"/>
                    <w:bottom w:val="none" w:sz="0" w:space="0" w:color="auto"/>
                    <w:right w:val="none" w:sz="0" w:space="0" w:color="auto"/>
                  </w:divBdr>
                </w:div>
                <w:div w:id="1941527520">
                  <w:marLeft w:val="480"/>
                  <w:marRight w:val="0"/>
                  <w:marTop w:val="0"/>
                  <w:marBottom w:val="0"/>
                  <w:divBdr>
                    <w:top w:val="none" w:sz="0" w:space="0" w:color="auto"/>
                    <w:left w:val="none" w:sz="0" w:space="0" w:color="auto"/>
                    <w:bottom w:val="none" w:sz="0" w:space="0" w:color="auto"/>
                    <w:right w:val="none" w:sz="0" w:space="0" w:color="auto"/>
                  </w:divBdr>
                </w:div>
                <w:div w:id="337586627">
                  <w:marLeft w:val="480"/>
                  <w:marRight w:val="0"/>
                  <w:marTop w:val="0"/>
                  <w:marBottom w:val="0"/>
                  <w:divBdr>
                    <w:top w:val="none" w:sz="0" w:space="0" w:color="auto"/>
                    <w:left w:val="none" w:sz="0" w:space="0" w:color="auto"/>
                    <w:bottom w:val="none" w:sz="0" w:space="0" w:color="auto"/>
                    <w:right w:val="none" w:sz="0" w:space="0" w:color="auto"/>
                  </w:divBdr>
                </w:div>
                <w:div w:id="1057627108">
                  <w:marLeft w:val="480"/>
                  <w:marRight w:val="0"/>
                  <w:marTop w:val="0"/>
                  <w:marBottom w:val="0"/>
                  <w:divBdr>
                    <w:top w:val="none" w:sz="0" w:space="0" w:color="auto"/>
                    <w:left w:val="none" w:sz="0" w:space="0" w:color="auto"/>
                    <w:bottom w:val="none" w:sz="0" w:space="0" w:color="auto"/>
                    <w:right w:val="none" w:sz="0" w:space="0" w:color="auto"/>
                  </w:divBdr>
                </w:div>
                <w:div w:id="326592537">
                  <w:marLeft w:val="480"/>
                  <w:marRight w:val="0"/>
                  <w:marTop w:val="0"/>
                  <w:marBottom w:val="0"/>
                  <w:divBdr>
                    <w:top w:val="none" w:sz="0" w:space="0" w:color="auto"/>
                    <w:left w:val="none" w:sz="0" w:space="0" w:color="auto"/>
                    <w:bottom w:val="none" w:sz="0" w:space="0" w:color="auto"/>
                    <w:right w:val="none" w:sz="0" w:space="0" w:color="auto"/>
                  </w:divBdr>
                </w:div>
                <w:div w:id="343945531">
                  <w:marLeft w:val="480"/>
                  <w:marRight w:val="0"/>
                  <w:marTop w:val="0"/>
                  <w:marBottom w:val="0"/>
                  <w:divBdr>
                    <w:top w:val="none" w:sz="0" w:space="0" w:color="auto"/>
                    <w:left w:val="none" w:sz="0" w:space="0" w:color="auto"/>
                    <w:bottom w:val="none" w:sz="0" w:space="0" w:color="auto"/>
                    <w:right w:val="none" w:sz="0" w:space="0" w:color="auto"/>
                  </w:divBdr>
                </w:div>
                <w:div w:id="1750808387">
                  <w:marLeft w:val="480"/>
                  <w:marRight w:val="0"/>
                  <w:marTop w:val="0"/>
                  <w:marBottom w:val="0"/>
                  <w:divBdr>
                    <w:top w:val="none" w:sz="0" w:space="0" w:color="auto"/>
                    <w:left w:val="none" w:sz="0" w:space="0" w:color="auto"/>
                    <w:bottom w:val="none" w:sz="0" w:space="0" w:color="auto"/>
                    <w:right w:val="none" w:sz="0" w:space="0" w:color="auto"/>
                  </w:divBdr>
                </w:div>
                <w:div w:id="689840350">
                  <w:marLeft w:val="480"/>
                  <w:marRight w:val="0"/>
                  <w:marTop w:val="0"/>
                  <w:marBottom w:val="0"/>
                  <w:divBdr>
                    <w:top w:val="none" w:sz="0" w:space="0" w:color="auto"/>
                    <w:left w:val="none" w:sz="0" w:space="0" w:color="auto"/>
                    <w:bottom w:val="none" w:sz="0" w:space="0" w:color="auto"/>
                    <w:right w:val="none" w:sz="0" w:space="0" w:color="auto"/>
                  </w:divBdr>
                </w:div>
                <w:div w:id="229272097">
                  <w:marLeft w:val="480"/>
                  <w:marRight w:val="0"/>
                  <w:marTop w:val="0"/>
                  <w:marBottom w:val="0"/>
                  <w:divBdr>
                    <w:top w:val="none" w:sz="0" w:space="0" w:color="auto"/>
                    <w:left w:val="none" w:sz="0" w:space="0" w:color="auto"/>
                    <w:bottom w:val="none" w:sz="0" w:space="0" w:color="auto"/>
                    <w:right w:val="none" w:sz="0" w:space="0" w:color="auto"/>
                  </w:divBdr>
                </w:div>
                <w:div w:id="1877499543">
                  <w:marLeft w:val="480"/>
                  <w:marRight w:val="0"/>
                  <w:marTop w:val="0"/>
                  <w:marBottom w:val="0"/>
                  <w:divBdr>
                    <w:top w:val="none" w:sz="0" w:space="0" w:color="auto"/>
                    <w:left w:val="none" w:sz="0" w:space="0" w:color="auto"/>
                    <w:bottom w:val="none" w:sz="0" w:space="0" w:color="auto"/>
                    <w:right w:val="none" w:sz="0" w:space="0" w:color="auto"/>
                  </w:divBdr>
                </w:div>
                <w:div w:id="1400057433">
                  <w:marLeft w:val="480"/>
                  <w:marRight w:val="0"/>
                  <w:marTop w:val="0"/>
                  <w:marBottom w:val="0"/>
                  <w:divBdr>
                    <w:top w:val="none" w:sz="0" w:space="0" w:color="auto"/>
                    <w:left w:val="none" w:sz="0" w:space="0" w:color="auto"/>
                    <w:bottom w:val="none" w:sz="0" w:space="0" w:color="auto"/>
                    <w:right w:val="none" w:sz="0" w:space="0" w:color="auto"/>
                  </w:divBdr>
                </w:div>
                <w:div w:id="249974079">
                  <w:marLeft w:val="480"/>
                  <w:marRight w:val="0"/>
                  <w:marTop w:val="0"/>
                  <w:marBottom w:val="0"/>
                  <w:divBdr>
                    <w:top w:val="none" w:sz="0" w:space="0" w:color="auto"/>
                    <w:left w:val="none" w:sz="0" w:space="0" w:color="auto"/>
                    <w:bottom w:val="none" w:sz="0" w:space="0" w:color="auto"/>
                    <w:right w:val="none" w:sz="0" w:space="0" w:color="auto"/>
                  </w:divBdr>
                </w:div>
              </w:divsChild>
            </w:div>
            <w:div w:id="1877037316">
              <w:marLeft w:val="0"/>
              <w:marRight w:val="0"/>
              <w:marTop w:val="0"/>
              <w:marBottom w:val="0"/>
              <w:divBdr>
                <w:top w:val="none" w:sz="0" w:space="0" w:color="auto"/>
                <w:left w:val="none" w:sz="0" w:space="0" w:color="auto"/>
                <w:bottom w:val="none" w:sz="0" w:space="0" w:color="auto"/>
                <w:right w:val="none" w:sz="0" w:space="0" w:color="auto"/>
              </w:divBdr>
              <w:divsChild>
                <w:div w:id="88433155">
                  <w:marLeft w:val="480"/>
                  <w:marRight w:val="0"/>
                  <w:marTop w:val="0"/>
                  <w:marBottom w:val="0"/>
                  <w:divBdr>
                    <w:top w:val="none" w:sz="0" w:space="0" w:color="auto"/>
                    <w:left w:val="none" w:sz="0" w:space="0" w:color="auto"/>
                    <w:bottom w:val="none" w:sz="0" w:space="0" w:color="auto"/>
                    <w:right w:val="none" w:sz="0" w:space="0" w:color="auto"/>
                  </w:divBdr>
                </w:div>
                <w:div w:id="621618598">
                  <w:marLeft w:val="480"/>
                  <w:marRight w:val="0"/>
                  <w:marTop w:val="0"/>
                  <w:marBottom w:val="0"/>
                  <w:divBdr>
                    <w:top w:val="none" w:sz="0" w:space="0" w:color="auto"/>
                    <w:left w:val="none" w:sz="0" w:space="0" w:color="auto"/>
                    <w:bottom w:val="none" w:sz="0" w:space="0" w:color="auto"/>
                    <w:right w:val="none" w:sz="0" w:space="0" w:color="auto"/>
                  </w:divBdr>
                </w:div>
                <w:div w:id="1500997378">
                  <w:marLeft w:val="480"/>
                  <w:marRight w:val="0"/>
                  <w:marTop w:val="0"/>
                  <w:marBottom w:val="0"/>
                  <w:divBdr>
                    <w:top w:val="none" w:sz="0" w:space="0" w:color="auto"/>
                    <w:left w:val="none" w:sz="0" w:space="0" w:color="auto"/>
                    <w:bottom w:val="none" w:sz="0" w:space="0" w:color="auto"/>
                    <w:right w:val="none" w:sz="0" w:space="0" w:color="auto"/>
                  </w:divBdr>
                </w:div>
                <w:div w:id="1590889409">
                  <w:marLeft w:val="480"/>
                  <w:marRight w:val="0"/>
                  <w:marTop w:val="0"/>
                  <w:marBottom w:val="0"/>
                  <w:divBdr>
                    <w:top w:val="none" w:sz="0" w:space="0" w:color="auto"/>
                    <w:left w:val="none" w:sz="0" w:space="0" w:color="auto"/>
                    <w:bottom w:val="none" w:sz="0" w:space="0" w:color="auto"/>
                    <w:right w:val="none" w:sz="0" w:space="0" w:color="auto"/>
                  </w:divBdr>
                </w:div>
                <w:div w:id="1531259662">
                  <w:marLeft w:val="480"/>
                  <w:marRight w:val="0"/>
                  <w:marTop w:val="0"/>
                  <w:marBottom w:val="0"/>
                  <w:divBdr>
                    <w:top w:val="none" w:sz="0" w:space="0" w:color="auto"/>
                    <w:left w:val="none" w:sz="0" w:space="0" w:color="auto"/>
                    <w:bottom w:val="none" w:sz="0" w:space="0" w:color="auto"/>
                    <w:right w:val="none" w:sz="0" w:space="0" w:color="auto"/>
                  </w:divBdr>
                </w:div>
                <w:div w:id="1468550221">
                  <w:marLeft w:val="480"/>
                  <w:marRight w:val="0"/>
                  <w:marTop w:val="0"/>
                  <w:marBottom w:val="0"/>
                  <w:divBdr>
                    <w:top w:val="none" w:sz="0" w:space="0" w:color="auto"/>
                    <w:left w:val="none" w:sz="0" w:space="0" w:color="auto"/>
                    <w:bottom w:val="none" w:sz="0" w:space="0" w:color="auto"/>
                    <w:right w:val="none" w:sz="0" w:space="0" w:color="auto"/>
                  </w:divBdr>
                </w:div>
                <w:div w:id="2043433652">
                  <w:marLeft w:val="480"/>
                  <w:marRight w:val="0"/>
                  <w:marTop w:val="0"/>
                  <w:marBottom w:val="0"/>
                  <w:divBdr>
                    <w:top w:val="none" w:sz="0" w:space="0" w:color="auto"/>
                    <w:left w:val="none" w:sz="0" w:space="0" w:color="auto"/>
                    <w:bottom w:val="none" w:sz="0" w:space="0" w:color="auto"/>
                    <w:right w:val="none" w:sz="0" w:space="0" w:color="auto"/>
                  </w:divBdr>
                </w:div>
                <w:div w:id="1000277859">
                  <w:marLeft w:val="480"/>
                  <w:marRight w:val="0"/>
                  <w:marTop w:val="0"/>
                  <w:marBottom w:val="0"/>
                  <w:divBdr>
                    <w:top w:val="none" w:sz="0" w:space="0" w:color="auto"/>
                    <w:left w:val="none" w:sz="0" w:space="0" w:color="auto"/>
                    <w:bottom w:val="none" w:sz="0" w:space="0" w:color="auto"/>
                    <w:right w:val="none" w:sz="0" w:space="0" w:color="auto"/>
                  </w:divBdr>
                </w:div>
                <w:div w:id="1775243713">
                  <w:marLeft w:val="480"/>
                  <w:marRight w:val="0"/>
                  <w:marTop w:val="0"/>
                  <w:marBottom w:val="0"/>
                  <w:divBdr>
                    <w:top w:val="none" w:sz="0" w:space="0" w:color="auto"/>
                    <w:left w:val="none" w:sz="0" w:space="0" w:color="auto"/>
                    <w:bottom w:val="none" w:sz="0" w:space="0" w:color="auto"/>
                    <w:right w:val="none" w:sz="0" w:space="0" w:color="auto"/>
                  </w:divBdr>
                </w:div>
                <w:div w:id="2131166264">
                  <w:marLeft w:val="480"/>
                  <w:marRight w:val="0"/>
                  <w:marTop w:val="0"/>
                  <w:marBottom w:val="0"/>
                  <w:divBdr>
                    <w:top w:val="none" w:sz="0" w:space="0" w:color="auto"/>
                    <w:left w:val="none" w:sz="0" w:space="0" w:color="auto"/>
                    <w:bottom w:val="none" w:sz="0" w:space="0" w:color="auto"/>
                    <w:right w:val="none" w:sz="0" w:space="0" w:color="auto"/>
                  </w:divBdr>
                </w:div>
                <w:div w:id="6491708">
                  <w:marLeft w:val="480"/>
                  <w:marRight w:val="0"/>
                  <w:marTop w:val="0"/>
                  <w:marBottom w:val="0"/>
                  <w:divBdr>
                    <w:top w:val="none" w:sz="0" w:space="0" w:color="auto"/>
                    <w:left w:val="none" w:sz="0" w:space="0" w:color="auto"/>
                    <w:bottom w:val="none" w:sz="0" w:space="0" w:color="auto"/>
                    <w:right w:val="none" w:sz="0" w:space="0" w:color="auto"/>
                  </w:divBdr>
                </w:div>
                <w:div w:id="1251353926">
                  <w:marLeft w:val="480"/>
                  <w:marRight w:val="0"/>
                  <w:marTop w:val="0"/>
                  <w:marBottom w:val="0"/>
                  <w:divBdr>
                    <w:top w:val="none" w:sz="0" w:space="0" w:color="auto"/>
                    <w:left w:val="none" w:sz="0" w:space="0" w:color="auto"/>
                    <w:bottom w:val="none" w:sz="0" w:space="0" w:color="auto"/>
                    <w:right w:val="none" w:sz="0" w:space="0" w:color="auto"/>
                  </w:divBdr>
                </w:div>
                <w:div w:id="1295334279">
                  <w:marLeft w:val="480"/>
                  <w:marRight w:val="0"/>
                  <w:marTop w:val="0"/>
                  <w:marBottom w:val="0"/>
                  <w:divBdr>
                    <w:top w:val="none" w:sz="0" w:space="0" w:color="auto"/>
                    <w:left w:val="none" w:sz="0" w:space="0" w:color="auto"/>
                    <w:bottom w:val="none" w:sz="0" w:space="0" w:color="auto"/>
                    <w:right w:val="none" w:sz="0" w:space="0" w:color="auto"/>
                  </w:divBdr>
                </w:div>
                <w:div w:id="1549953347">
                  <w:marLeft w:val="480"/>
                  <w:marRight w:val="0"/>
                  <w:marTop w:val="0"/>
                  <w:marBottom w:val="0"/>
                  <w:divBdr>
                    <w:top w:val="none" w:sz="0" w:space="0" w:color="auto"/>
                    <w:left w:val="none" w:sz="0" w:space="0" w:color="auto"/>
                    <w:bottom w:val="none" w:sz="0" w:space="0" w:color="auto"/>
                    <w:right w:val="none" w:sz="0" w:space="0" w:color="auto"/>
                  </w:divBdr>
                </w:div>
                <w:div w:id="1861428641">
                  <w:marLeft w:val="480"/>
                  <w:marRight w:val="0"/>
                  <w:marTop w:val="0"/>
                  <w:marBottom w:val="0"/>
                  <w:divBdr>
                    <w:top w:val="none" w:sz="0" w:space="0" w:color="auto"/>
                    <w:left w:val="none" w:sz="0" w:space="0" w:color="auto"/>
                    <w:bottom w:val="none" w:sz="0" w:space="0" w:color="auto"/>
                    <w:right w:val="none" w:sz="0" w:space="0" w:color="auto"/>
                  </w:divBdr>
                </w:div>
                <w:div w:id="2088111914">
                  <w:marLeft w:val="480"/>
                  <w:marRight w:val="0"/>
                  <w:marTop w:val="0"/>
                  <w:marBottom w:val="0"/>
                  <w:divBdr>
                    <w:top w:val="none" w:sz="0" w:space="0" w:color="auto"/>
                    <w:left w:val="none" w:sz="0" w:space="0" w:color="auto"/>
                    <w:bottom w:val="none" w:sz="0" w:space="0" w:color="auto"/>
                    <w:right w:val="none" w:sz="0" w:space="0" w:color="auto"/>
                  </w:divBdr>
                </w:div>
                <w:div w:id="2121096510">
                  <w:marLeft w:val="480"/>
                  <w:marRight w:val="0"/>
                  <w:marTop w:val="0"/>
                  <w:marBottom w:val="0"/>
                  <w:divBdr>
                    <w:top w:val="none" w:sz="0" w:space="0" w:color="auto"/>
                    <w:left w:val="none" w:sz="0" w:space="0" w:color="auto"/>
                    <w:bottom w:val="none" w:sz="0" w:space="0" w:color="auto"/>
                    <w:right w:val="none" w:sz="0" w:space="0" w:color="auto"/>
                  </w:divBdr>
                </w:div>
                <w:div w:id="324557758">
                  <w:marLeft w:val="480"/>
                  <w:marRight w:val="0"/>
                  <w:marTop w:val="0"/>
                  <w:marBottom w:val="0"/>
                  <w:divBdr>
                    <w:top w:val="none" w:sz="0" w:space="0" w:color="auto"/>
                    <w:left w:val="none" w:sz="0" w:space="0" w:color="auto"/>
                    <w:bottom w:val="none" w:sz="0" w:space="0" w:color="auto"/>
                    <w:right w:val="none" w:sz="0" w:space="0" w:color="auto"/>
                  </w:divBdr>
                </w:div>
                <w:div w:id="223105801">
                  <w:marLeft w:val="480"/>
                  <w:marRight w:val="0"/>
                  <w:marTop w:val="0"/>
                  <w:marBottom w:val="0"/>
                  <w:divBdr>
                    <w:top w:val="none" w:sz="0" w:space="0" w:color="auto"/>
                    <w:left w:val="none" w:sz="0" w:space="0" w:color="auto"/>
                    <w:bottom w:val="none" w:sz="0" w:space="0" w:color="auto"/>
                    <w:right w:val="none" w:sz="0" w:space="0" w:color="auto"/>
                  </w:divBdr>
                </w:div>
                <w:div w:id="1658652343">
                  <w:marLeft w:val="480"/>
                  <w:marRight w:val="0"/>
                  <w:marTop w:val="0"/>
                  <w:marBottom w:val="0"/>
                  <w:divBdr>
                    <w:top w:val="none" w:sz="0" w:space="0" w:color="auto"/>
                    <w:left w:val="none" w:sz="0" w:space="0" w:color="auto"/>
                    <w:bottom w:val="none" w:sz="0" w:space="0" w:color="auto"/>
                    <w:right w:val="none" w:sz="0" w:space="0" w:color="auto"/>
                  </w:divBdr>
                </w:div>
                <w:div w:id="235432966">
                  <w:marLeft w:val="480"/>
                  <w:marRight w:val="0"/>
                  <w:marTop w:val="0"/>
                  <w:marBottom w:val="0"/>
                  <w:divBdr>
                    <w:top w:val="none" w:sz="0" w:space="0" w:color="auto"/>
                    <w:left w:val="none" w:sz="0" w:space="0" w:color="auto"/>
                    <w:bottom w:val="none" w:sz="0" w:space="0" w:color="auto"/>
                    <w:right w:val="none" w:sz="0" w:space="0" w:color="auto"/>
                  </w:divBdr>
                </w:div>
                <w:div w:id="1343358025">
                  <w:marLeft w:val="480"/>
                  <w:marRight w:val="0"/>
                  <w:marTop w:val="0"/>
                  <w:marBottom w:val="0"/>
                  <w:divBdr>
                    <w:top w:val="none" w:sz="0" w:space="0" w:color="auto"/>
                    <w:left w:val="none" w:sz="0" w:space="0" w:color="auto"/>
                    <w:bottom w:val="none" w:sz="0" w:space="0" w:color="auto"/>
                    <w:right w:val="none" w:sz="0" w:space="0" w:color="auto"/>
                  </w:divBdr>
                </w:div>
                <w:div w:id="751899964">
                  <w:marLeft w:val="480"/>
                  <w:marRight w:val="0"/>
                  <w:marTop w:val="0"/>
                  <w:marBottom w:val="0"/>
                  <w:divBdr>
                    <w:top w:val="none" w:sz="0" w:space="0" w:color="auto"/>
                    <w:left w:val="none" w:sz="0" w:space="0" w:color="auto"/>
                    <w:bottom w:val="none" w:sz="0" w:space="0" w:color="auto"/>
                    <w:right w:val="none" w:sz="0" w:space="0" w:color="auto"/>
                  </w:divBdr>
                </w:div>
                <w:div w:id="1153834366">
                  <w:marLeft w:val="480"/>
                  <w:marRight w:val="0"/>
                  <w:marTop w:val="0"/>
                  <w:marBottom w:val="0"/>
                  <w:divBdr>
                    <w:top w:val="none" w:sz="0" w:space="0" w:color="auto"/>
                    <w:left w:val="none" w:sz="0" w:space="0" w:color="auto"/>
                    <w:bottom w:val="none" w:sz="0" w:space="0" w:color="auto"/>
                    <w:right w:val="none" w:sz="0" w:space="0" w:color="auto"/>
                  </w:divBdr>
                </w:div>
                <w:div w:id="1852719798">
                  <w:marLeft w:val="480"/>
                  <w:marRight w:val="0"/>
                  <w:marTop w:val="0"/>
                  <w:marBottom w:val="0"/>
                  <w:divBdr>
                    <w:top w:val="none" w:sz="0" w:space="0" w:color="auto"/>
                    <w:left w:val="none" w:sz="0" w:space="0" w:color="auto"/>
                    <w:bottom w:val="none" w:sz="0" w:space="0" w:color="auto"/>
                    <w:right w:val="none" w:sz="0" w:space="0" w:color="auto"/>
                  </w:divBdr>
                </w:div>
                <w:div w:id="86195263">
                  <w:marLeft w:val="480"/>
                  <w:marRight w:val="0"/>
                  <w:marTop w:val="0"/>
                  <w:marBottom w:val="0"/>
                  <w:divBdr>
                    <w:top w:val="none" w:sz="0" w:space="0" w:color="auto"/>
                    <w:left w:val="none" w:sz="0" w:space="0" w:color="auto"/>
                    <w:bottom w:val="none" w:sz="0" w:space="0" w:color="auto"/>
                    <w:right w:val="none" w:sz="0" w:space="0" w:color="auto"/>
                  </w:divBdr>
                </w:div>
                <w:div w:id="889531900">
                  <w:marLeft w:val="480"/>
                  <w:marRight w:val="0"/>
                  <w:marTop w:val="0"/>
                  <w:marBottom w:val="0"/>
                  <w:divBdr>
                    <w:top w:val="none" w:sz="0" w:space="0" w:color="auto"/>
                    <w:left w:val="none" w:sz="0" w:space="0" w:color="auto"/>
                    <w:bottom w:val="none" w:sz="0" w:space="0" w:color="auto"/>
                    <w:right w:val="none" w:sz="0" w:space="0" w:color="auto"/>
                  </w:divBdr>
                </w:div>
                <w:div w:id="1207238">
                  <w:marLeft w:val="480"/>
                  <w:marRight w:val="0"/>
                  <w:marTop w:val="0"/>
                  <w:marBottom w:val="0"/>
                  <w:divBdr>
                    <w:top w:val="none" w:sz="0" w:space="0" w:color="auto"/>
                    <w:left w:val="none" w:sz="0" w:space="0" w:color="auto"/>
                    <w:bottom w:val="none" w:sz="0" w:space="0" w:color="auto"/>
                    <w:right w:val="none" w:sz="0" w:space="0" w:color="auto"/>
                  </w:divBdr>
                </w:div>
                <w:div w:id="287710447">
                  <w:marLeft w:val="480"/>
                  <w:marRight w:val="0"/>
                  <w:marTop w:val="0"/>
                  <w:marBottom w:val="0"/>
                  <w:divBdr>
                    <w:top w:val="none" w:sz="0" w:space="0" w:color="auto"/>
                    <w:left w:val="none" w:sz="0" w:space="0" w:color="auto"/>
                    <w:bottom w:val="none" w:sz="0" w:space="0" w:color="auto"/>
                    <w:right w:val="none" w:sz="0" w:space="0" w:color="auto"/>
                  </w:divBdr>
                </w:div>
                <w:div w:id="555969911">
                  <w:marLeft w:val="480"/>
                  <w:marRight w:val="0"/>
                  <w:marTop w:val="0"/>
                  <w:marBottom w:val="0"/>
                  <w:divBdr>
                    <w:top w:val="none" w:sz="0" w:space="0" w:color="auto"/>
                    <w:left w:val="none" w:sz="0" w:space="0" w:color="auto"/>
                    <w:bottom w:val="none" w:sz="0" w:space="0" w:color="auto"/>
                    <w:right w:val="none" w:sz="0" w:space="0" w:color="auto"/>
                  </w:divBdr>
                </w:div>
                <w:div w:id="1996103676">
                  <w:marLeft w:val="480"/>
                  <w:marRight w:val="0"/>
                  <w:marTop w:val="0"/>
                  <w:marBottom w:val="0"/>
                  <w:divBdr>
                    <w:top w:val="none" w:sz="0" w:space="0" w:color="auto"/>
                    <w:left w:val="none" w:sz="0" w:space="0" w:color="auto"/>
                    <w:bottom w:val="none" w:sz="0" w:space="0" w:color="auto"/>
                    <w:right w:val="none" w:sz="0" w:space="0" w:color="auto"/>
                  </w:divBdr>
                </w:div>
                <w:div w:id="1987739123">
                  <w:marLeft w:val="480"/>
                  <w:marRight w:val="0"/>
                  <w:marTop w:val="0"/>
                  <w:marBottom w:val="0"/>
                  <w:divBdr>
                    <w:top w:val="none" w:sz="0" w:space="0" w:color="auto"/>
                    <w:left w:val="none" w:sz="0" w:space="0" w:color="auto"/>
                    <w:bottom w:val="none" w:sz="0" w:space="0" w:color="auto"/>
                    <w:right w:val="none" w:sz="0" w:space="0" w:color="auto"/>
                  </w:divBdr>
                </w:div>
                <w:div w:id="668678149">
                  <w:marLeft w:val="480"/>
                  <w:marRight w:val="0"/>
                  <w:marTop w:val="0"/>
                  <w:marBottom w:val="0"/>
                  <w:divBdr>
                    <w:top w:val="none" w:sz="0" w:space="0" w:color="auto"/>
                    <w:left w:val="none" w:sz="0" w:space="0" w:color="auto"/>
                    <w:bottom w:val="none" w:sz="0" w:space="0" w:color="auto"/>
                    <w:right w:val="none" w:sz="0" w:space="0" w:color="auto"/>
                  </w:divBdr>
                </w:div>
                <w:div w:id="1759057076">
                  <w:marLeft w:val="480"/>
                  <w:marRight w:val="0"/>
                  <w:marTop w:val="0"/>
                  <w:marBottom w:val="0"/>
                  <w:divBdr>
                    <w:top w:val="none" w:sz="0" w:space="0" w:color="auto"/>
                    <w:left w:val="none" w:sz="0" w:space="0" w:color="auto"/>
                    <w:bottom w:val="none" w:sz="0" w:space="0" w:color="auto"/>
                    <w:right w:val="none" w:sz="0" w:space="0" w:color="auto"/>
                  </w:divBdr>
                </w:div>
                <w:div w:id="1433428997">
                  <w:marLeft w:val="480"/>
                  <w:marRight w:val="0"/>
                  <w:marTop w:val="0"/>
                  <w:marBottom w:val="0"/>
                  <w:divBdr>
                    <w:top w:val="none" w:sz="0" w:space="0" w:color="auto"/>
                    <w:left w:val="none" w:sz="0" w:space="0" w:color="auto"/>
                    <w:bottom w:val="none" w:sz="0" w:space="0" w:color="auto"/>
                    <w:right w:val="none" w:sz="0" w:space="0" w:color="auto"/>
                  </w:divBdr>
                </w:div>
                <w:div w:id="2086104749">
                  <w:marLeft w:val="480"/>
                  <w:marRight w:val="0"/>
                  <w:marTop w:val="0"/>
                  <w:marBottom w:val="0"/>
                  <w:divBdr>
                    <w:top w:val="none" w:sz="0" w:space="0" w:color="auto"/>
                    <w:left w:val="none" w:sz="0" w:space="0" w:color="auto"/>
                    <w:bottom w:val="none" w:sz="0" w:space="0" w:color="auto"/>
                    <w:right w:val="none" w:sz="0" w:space="0" w:color="auto"/>
                  </w:divBdr>
                </w:div>
                <w:div w:id="1744837544">
                  <w:marLeft w:val="480"/>
                  <w:marRight w:val="0"/>
                  <w:marTop w:val="0"/>
                  <w:marBottom w:val="0"/>
                  <w:divBdr>
                    <w:top w:val="none" w:sz="0" w:space="0" w:color="auto"/>
                    <w:left w:val="none" w:sz="0" w:space="0" w:color="auto"/>
                    <w:bottom w:val="none" w:sz="0" w:space="0" w:color="auto"/>
                    <w:right w:val="none" w:sz="0" w:space="0" w:color="auto"/>
                  </w:divBdr>
                </w:div>
                <w:div w:id="1640763160">
                  <w:marLeft w:val="480"/>
                  <w:marRight w:val="0"/>
                  <w:marTop w:val="0"/>
                  <w:marBottom w:val="0"/>
                  <w:divBdr>
                    <w:top w:val="none" w:sz="0" w:space="0" w:color="auto"/>
                    <w:left w:val="none" w:sz="0" w:space="0" w:color="auto"/>
                    <w:bottom w:val="none" w:sz="0" w:space="0" w:color="auto"/>
                    <w:right w:val="none" w:sz="0" w:space="0" w:color="auto"/>
                  </w:divBdr>
                </w:div>
                <w:div w:id="1179736791">
                  <w:marLeft w:val="480"/>
                  <w:marRight w:val="0"/>
                  <w:marTop w:val="0"/>
                  <w:marBottom w:val="0"/>
                  <w:divBdr>
                    <w:top w:val="none" w:sz="0" w:space="0" w:color="auto"/>
                    <w:left w:val="none" w:sz="0" w:space="0" w:color="auto"/>
                    <w:bottom w:val="none" w:sz="0" w:space="0" w:color="auto"/>
                    <w:right w:val="none" w:sz="0" w:space="0" w:color="auto"/>
                  </w:divBdr>
                </w:div>
                <w:div w:id="468742347">
                  <w:marLeft w:val="480"/>
                  <w:marRight w:val="0"/>
                  <w:marTop w:val="0"/>
                  <w:marBottom w:val="0"/>
                  <w:divBdr>
                    <w:top w:val="none" w:sz="0" w:space="0" w:color="auto"/>
                    <w:left w:val="none" w:sz="0" w:space="0" w:color="auto"/>
                    <w:bottom w:val="none" w:sz="0" w:space="0" w:color="auto"/>
                    <w:right w:val="none" w:sz="0" w:space="0" w:color="auto"/>
                  </w:divBdr>
                </w:div>
                <w:div w:id="1822768401">
                  <w:marLeft w:val="480"/>
                  <w:marRight w:val="0"/>
                  <w:marTop w:val="0"/>
                  <w:marBottom w:val="0"/>
                  <w:divBdr>
                    <w:top w:val="none" w:sz="0" w:space="0" w:color="auto"/>
                    <w:left w:val="none" w:sz="0" w:space="0" w:color="auto"/>
                    <w:bottom w:val="none" w:sz="0" w:space="0" w:color="auto"/>
                    <w:right w:val="none" w:sz="0" w:space="0" w:color="auto"/>
                  </w:divBdr>
                </w:div>
                <w:div w:id="965044713">
                  <w:marLeft w:val="480"/>
                  <w:marRight w:val="0"/>
                  <w:marTop w:val="0"/>
                  <w:marBottom w:val="0"/>
                  <w:divBdr>
                    <w:top w:val="none" w:sz="0" w:space="0" w:color="auto"/>
                    <w:left w:val="none" w:sz="0" w:space="0" w:color="auto"/>
                    <w:bottom w:val="none" w:sz="0" w:space="0" w:color="auto"/>
                    <w:right w:val="none" w:sz="0" w:space="0" w:color="auto"/>
                  </w:divBdr>
                </w:div>
                <w:div w:id="264731978">
                  <w:marLeft w:val="480"/>
                  <w:marRight w:val="0"/>
                  <w:marTop w:val="0"/>
                  <w:marBottom w:val="0"/>
                  <w:divBdr>
                    <w:top w:val="none" w:sz="0" w:space="0" w:color="auto"/>
                    <w:left w:val="none" w:sz="0" w:space="0" w:color="auto"/>
                    <w:bottom w:val="none" w:sz="0" w:space="0" w:color="auto"/>
                    <w:right w:val="none" w:sz="0" w:space="0" w:color="auto"/>
                  </w:divBdr>
                </w:div>
                <w:div w:id="1547720191">
                  <w:marLeft w:val="480"/>
                  <w:marRight w:val="0"/>
                  <w:marTop w:val="0"/>
                  <w:marBottom w:val="0"/>
                  <w:divBdr>
                    <w:top w:val="none" w:sz="0" w:space="0" w:color="auto"/>
                    <w:left w:val="none" w:sz="0" w:space="0" w:color="auto"/>
                    <w:bottom w:val="none" w:sz="0" w:space="0" w:color="auto"/>
                    <w:right w:val="none" w:sz="0" w:space="0" w:color="auto"/>
                  </w:divBdr>
                </w:div>
                <w:div w:id="1267077319">
                  <w:marLeft w:val="480"/>
                  <w:marRight w:val="0"/>
                  <w:marTop w:val="0"/>
                  <w:marBottom w:val="0"/>
                  <w:divBdr>
                    <w:top w:val="none" w:sz="0" w:space="0" w:color="auto"/>
                    <w:left w:val="none" w:sz="0" w:space="0" w:color="auto"/>
                    <w:bottom w:val="none" w:sz="0" w:space="0" w:color="auto"/>
                    <w:right w:val="none" w:sz="0" w:space="0" w:color="auto"/>
                  </w:divBdr>
                </w:div>
                <w:div w:id="2001692773">
                  <w:marLeft w:val="480"/>
                  <w:marRight w:val="0"/>
                  <w:marTop w:val="0"/>
                  <w:marBottom w:val="0"/>
                  <w:divBdr>
                    <w:top w:val="none" w:sz="0" w:space="0" w:color="auto"/>
                    <w:left w:val="none" w:sz="0" w:space="0" w:color="auto"/>
                    <w:bottom w:val="none" w:sz="0" w:space="0" w:color="auto"/>
                    <w:right w:val="none" w:sz="0" w:space="0" w:color="auto"/>
                  </w:divBdr>
                </w:div>
                <w:div w:id="796991384">
                  <w:marLeft w:val="480"/>
                  <w:marRight w:val="0"/>
                  <w:marTop w:val="0"/>
                  <w:marBottom w:val="0"/>
                  <w:divBdr>
                    <w:top w:val="none" w:sz="0" w:space="0" w:color="auto"/>
                    <w:left w:val="none" w:sz="0" w:space="0" w:color="auto"/>
                    <w:bottom w:val="none" w:sz="0" w:space="0" w:color="auto"/>
                    <w:right w:val="none" w:sz="0" w:space="0" w:color="auto"/>
                  </w:divBdr>
                </w:div>
                <w:div w:id="775100539">
                  <w:marLeft w:val="480"/>
                  <w:marRight w:val="0"/>
                  <w:marTop w:val="0"/>
                  <w:marBottom w:val="0"/>
                  <w:divBdr>
                    <w:top w:val="none" w:sz="0" w:space="0" w:color="auto"/>
                    <w:left w:val="none" w:sz="0" w:space="0" w:color="auto"/>
                    <w:bottom w:val="none" w:sz="0" w:space="0" w:color="auto"/>
                    <w:right w:val="none" w:sz="0" w:space="0" w:color="auto"/>
                  </w:divBdr>
                </w:div>
                <w:div w:id="540945924">
                  <w:marLeft w:val="480"/>
                  <w:marRight w:val="0"/>
                  <w:marTop w:val="0"/>
                  <w:marBottom w:val="0"/>
                  <w:divBdr>
                    <w:top w:val="none" w:sz="0" w:space="0" w:color="auto"/>
                    <w:left w:val="none" w:sz="0" w:space="0" w:color="auto"/>
                    <w:bottom w:val="none" w:sz="0" w:space="0" w:color="auto"/>
                    <w:right w:val="none" w:sz="0" w:space="0" w:color="auto"/>
                  </w:divBdr>
                </w:div>
                <w:div w:id="2026518506">
                  <w:marLeft w:val="480"/>
                  <w:marRight w:val="0"/>
                  <w:marTop w:val="0"/>
                  <w:marBottom w:val="0"/>
                  <w:divBdr>
                    <w:top w:val="none" w:sz="0" w:space="0" w:color="auto"/>
                    <w:left w:val="none" w:sz="0" w:space="0" w:color="auto"/>
                    <w:bottom w:val="none" w:sz="0" w:space="0" w:color="auto"/>
                    <w:right w:val="none" w:sz="0" w:space="0" w:color="auto"/>
                  </w:divBdr>
                </w:div>
                <w:div w:id="379525167">
                  <w:marLeft w:val="480"/>
                  <w:marRight w:val="0"/>
                  <w:marTop w:val="0"/>
                  <w:marBottom w:val="0"/>
                  <w:divBdr>
                    <w:top w:val="none" w:sz="0" w:space="0" w:color="auto"/>
                    <w:left w:val="none" w:sz="0" w:space="0" w:color="auto"/>
                    <w:bottom w:val="none" w:sz="0" w:space="0" w:color="auto"/>
                    <w:right w:val="none" w:sz="0" w:space="0" w:color="auto"/>
                  </w:divBdr>
                </w:div>
                <w:div w:id="323052548">
                  <w:marLeft w:val="480"/>
                  <w:marRight w:val="0"/>
                  <w:marTop w:val="0"/>
                  <w:marBottom w:val="0"/>
                  <w:divBdr>
                    <w:top w:val="none" w:sz="0" w:space="0" w:color="auto"/>
                    <w:left w:val="none" w:sz="0" w:space="0" w:color="auto"/>
                    <w:bottom w:val="none" w:sz="0" w:space="0" w:color="auto"/>
                    <w:right w:val="none" w:sz="0" w:space="0" w:color="auto"/>
                  </w:divBdr>
                </w:div>
                <w:div w:id="468204100">
                  <w:marLeft w:val="480"/>
                  <w:marRight w:val="0"/>
                  <w:marTop w:val="0"/>
                  <w:marBottom w:val="0"/>
                  <w:divBdr>
                    <w:top w:val="none" w:sz="0" w:space="0" w:color="auto"/>
                    <w:left w:val="none" w:sz="0" w:space="0" w:color="auto"/>
                    <w:bottom w:val="none" w:sz="0" w:space="0" w:color="auto"/>
                    <w:right w:val="none" w:sz="0" w:space="0" w:color="auto"/>
                  </w:divBdr>
                </w:div>
                <w:div w:id="1216237122">
                  <w:marLeft w:val="480"/>
                  <w:marRight w:val="0"/>
                  <w:marTop w:val="0"/>
                  <w:marBottom w:val="0"/>
                  <w:divBdr>
                    <w:top w:val="none" w:sz="0" w:space="0" w:color="auto"/>
                    <w:left w:val="none" w:sz="0" w:space="0" w:color="auto"/>
                    <w:bottom w:val="none" w:sz="0" w:space="0" w:color="auto"/>
                    <w:right w:val="none" w:sz="0" w:space="0" w:color="auto"/>
                  </w:divBdr>
                </w:div>
                <w:div w:id="482086279">
                  <w:marLeft w:val="480"/>
                  <w:marRight w:val="0"/>
                  <w:marTop w:val="0"/>
                  <w:marBottom w:val="0"/>
                  <w:divBdr>
                    <w:top w:val="none" w:sz="0" w:space="0" w:color="auto"/>
                    <w:left w:val="none" w:sz="0" w:space="0" w:color="auto"/>
                    <w:bottom w:val="none" w:sz="0" w:space="0" w:color="auto"/>
                    <w:right w:val="none" w:sz="0" w:space="0" w:color="auto"/>
                  </w:divBdr>
                </w:div>
                <w:div w:id="1155411973">
                  <w:marLeft w:val="480"/>
                  <w:marRight w:val="0"/>
                  <w:marTop w:val="0"/>
                  <w:marBottom w:val="0"/>
                  <w:divBdr>
                    <w:top w:val="none" w:sz="0" w:space="0" w:color="auto"/>
                    <w:left w:val="none" w:sz="0" w:space="0" w:color="auto"/>
                    <w:bottom w:val="none" w:sz="0" w:space="0" w:color="auto"/>
                    <w:right w:val="none" w:sz="0" w:space="0" w:color="auto"/>
                  </w:divBdr>
                </w:div>
                <w:div w:id="1772971564">
                  <w:marLeft w:val="480"/>
                  <w:marRight w:val="0"/>
                  <w:marTop w:val="0"/>
                  <w:marBottom w:val="0"/>
                  <w:divBdr>
                    <w:top w:val="none" w:sz="0" w:space="0" w:color="auto"/>
                    <w:left w:val="none" w:sz="0" w:space="0" w:color="auto"/>
                    <w:bottom w:val="none" w:sz="0" w:space="0" w:color="auto"/>
                    <w:right w:val="none" w:sz="0" w:space="0" w:color="auto"/>
                  </w:divBdr>
                </w:div>
                <w:div w:id="1654260849">
                  <w:marLeft w:val="480"/>
                  <w:marRight w:val="0"/>
                  <w:marTop w:val="0"/>
                  <w:marBottom w:val="0"/>
                  <w:divBdr>
                    <w:top w:val="none" w:sz="0" w:space="0" w:color="auto"/>
                    <w:left w:val="none" w:sz="0" w:space="0" w:color="auto"/>
                    <w:bottom w:val="none" w:sz="0" w:space="0" w:color="auto"/>
                    <w:right w:val="none" w:sz="0" w:space="0" w:color="auto"/>
                  </w:divBdr>
                </w:div>
                <w:div w:id="1585720675">
                  <w:marLeft w:val="480"/>
                  <w:marRight w:val="0"/>
                  <w:marTop w:val="0"/>
                  <w:marBottom w:val="0"/>
                  <w:divBdr>
                    <w:top w:val="none" w:sz="0" w:space="0" w:color="auto"/>
                    <w:left w:val="none" w:sz="0" w:space="0" w:color="auto"/>
                    <w:bottom w:val="none" w:sz="0" w:space="0" w:color="auto"/>
                    <w:right w:val="none" w:sz="0" w:space="0" w:color="auto"/>
                  </w:divBdr>
                </w:div>
                <w:div w:id="1039745652">
                  <w:marLeft w:val="480"/>
                  <w:marRight w:val="0"/>
                  <w:marTop w:val="0"/>
                  <w:marBottom w:val="0"/>
                  <w:divBdr>
                    <w:top w:val="none" w:sz="0" w:space="0" w:color="auto"/>
                    <w:left w:val="none" w:sz="0" w:space="0" w:color="auto"/>
                    <w:bottom w:val="none" w:sz="0" w:space="0" w:color="auto"/>
                    <w:right w:val="none" w:sz="0" w:space="0" w:color="auto"/>
                  </w:divBdr>
                </w:div>
                <w:div w:id="1965958510">
                  <w:marLeft w:val="480"/>
                  <w:marRight w:val="0"/>
                  <w:marTop w:val="0"/>
                  <w:marBottom w:val="0"/>
                  <w:divBdr>
                    <w:top w:val="none" w:sz="0" w:space="0" w:color="auto"/>
                    <w:left w:val="none" w:sz="0" w:space="0" w:color="auto"/>
                    <w:bottom w:val="none" w:sz="0" w:space="0" w:color="auto"/>
                    <w:right w:val="none" w:sz="0" w:space="0" w:color="auto"/>
                  </w:divBdr>
                </w:div>
                <w:div w:id="116223774">
                  <w:marLeft w:val="480"/>
                  <w:marRight w:val="0"/>
                  <w:marTop w:val="0"/>
                  <w:marBottom w:val="0"/>
                  <w:divBdr>
                    <w:top w:val="none" w:sz="0" w:space="0" w:color="auto"/>
                    <w:left w:val="none" w:sz="0" w:space="0" w:color="auto"/>
                    <w:bottom w:val="none" w:sz="0" w:space="0" w:color="auto"/>
                    <w:right w:val="none" w:sz="0" w:space="0" w:color="auto"/>
                  </w:divBdr>
                </w:div>
                <w:div w:id="886649438">
                  <w:marLeft w:val="480"/>
                  <w:marRight w:val="0"/>
                  <w:marTop w:val="0"/>
                  <w:marBottom w:val="0"/>
                  <w:divBdr>
                    <w:top w:val="none" w:sz="0" w:space="0" w:color="auto"/>
                    <w:left w:val="none" w:sz="0" w:space="0" w:color="auto"/>
                    <w:bottom w:val="none" w:sz="0" w:space="0" w:color="auto"/>
                    <w:right w:val="none" w:sz="0" w:space="0" w:color="auto"/>
                  </w:divBdr>
                </w:div>
                <w:div w:id="18043835">
                  <w:marLeft w:val="480"/>
                  <w:marRight w:val="0"/>
                  <w:marTop w:val="0"/>
                  <w:marBottom w:val="0"/>
                  <w:divBdr>
                    <w:top w:val="none" w:sz="0" w:space="0" w:color="auto"/>
                    <w:left w:val="none" w:sz="0" w:space="0" w:color="auto"/>
                    <w:bottom w:val="none" w:sz="0" w:space="0" w:color="auto"/>
                    <w:right w:val="none" w:sz="0" w:space="0" w:color="auto"/>
                  </w:divBdr>
                </w:div>
                <w:div w:id="1096100828">
                  <w:marLeft w:val="480"/>
                  <w:marRight w:val="0"/>
                  <w:marTop w:val="0"/>
                  <w:marBottom w:val="0"/>
                  <w:divBdr>
                    <w:top w:val="none" w:sz="0" w:space="0" w:color="auto"/>
                    <w:left w:val="none" w:sz="0" w:space="0" w:color="auto"/>
                    <w:bottom w:val="none" w:sz="0" w:space="0" w:color="auto"/>
                    <w:right w:val="none" w:sz="0" w:space="0" w:color="auto"/>
                  </w:divBdr>
                </w:div>
                <w:div w:id="1077677421">
                  <w:marLeft w:val="480"/>
                  <w:marRight w:val="0"/>
                  <w:marTop w:val="0"/>
                  <w:marBottom w:val="0"/>
                  <w:divBdr>
                    <w:top w:val="none" w:sz="0" w:space="0" w:color="auto"/>
                    <w:left w:val="none" w:sz="0" w:space="0" w:color="auto"/>
                    <w:bottom w:val="none" w:sz="0" w:space="0" w:color="auto"/>
                    <w:right w:val="none" w:sz="0" w:space="0" w:color="auto"/>
                  </w:divBdr>
                </w:div>
                <w:div w:id="374355119">
                  <w:marLeft w:val="480"/>
                  <w:marRight w:val="0"/>
                  <w:marTop w:val="0"/>
                  <w:marBottom w:val="0"/>
                  <w:divBdr>
                    <w:top w:val="none" w:sz="0" w:space="0" w:color="auto"/>
                    <w:left w:val="none" w:sz="0" w:space="0" w:color="auto"/>
                    <w:bottom w:val="none" w:sz="0" w:space="0" w:color="auto"/>
                    <w:right w:val="none" w:sz="0" w:space="0" w:color="auto"/>
                  </w:divBdr>
                </w:div>
                <w:div w:id="154613286">
                  <w:marLeft w:val="480"/>
                  <w:marRight w:val="0"/>
                  <w:marTop w:val="0"/>
                  <w:marBottom w:val="0"/>
                  <w:divBdr>
                    <w:top w:val="none" w:sz="0" w:space="0" w:color="auto"/>
                    <w:left w:val="none" w:sz="0" w:space="0" w:color="auto"/>
                    <w:bottom w:val="none" w:sz="0" w:space="0" w:color="auto"/>
                    <w:right w:val="none" w:sz="0" w:space="0" w:color="auto"/>
                  </w:divBdr>
                </w:div>
                <w:div w:id="47387883">
                  <w:marLeft w:val="480"/>
                  <w:marRight w:val="0"/>
                  <w:marTop w:val="0"/>
                  <w:marBottom w:val="0"/>
                  <w:divBdr>
                    <w:top w:val="none" w:sz="0" w:space="0" w:color="auto"/>
                    <w:left w:val="none" w:sz="0" w:space="0" w:color="auto"/>
                    <w:bottom w:val="none" w:sz="0" w:space="0" w:color="auto"/>
                    <w:right w:val="none" w:sz="0" w:space="0" w:color="auto"/>
                  </w:divBdr>
                </w:div>
                <w:div w:id="1407648296">
                  <w:marLeft w:val="480"/>
                  <w:marRight w:val="0"/>
                  <w:marTop w:val="0"/>
                  <w:marBottom w:val="0"/>
                  <w:divBdr>
                    <w:top w:val="none" w:sz="0" w:space="0" w:color="auto"/>
                    <w:left w:val="none" w:sz="0" w:space="0" w:color="auto"/>
                    <w:bottom w:val="none" w:sz="0" w:space="0" w:color="auto"/>
                    <w:right w:val="none" w:sz="0" w:space="0" w:color="auto"/>
                  </w:divBdr>
                </w:div>
                <w:div w:id="1586063893">
                  <w:marLeft w:val="480"/>
                  <w:marRight w:val="0"/>
                  <w:marTop w:val="0"/>
                  <w:marBottom w:val="0"/>
                  <w:divBdr>
                    <w:top w:val="none" w:sz="0" w:space="0" w:color="auto"/>
                    <w:left w:val="none" w:sz="0" w:space="0" w:color="auto"/>
                    <w:bottom w:val="none" w:sz="0" w:space="0" w:color="auto"/>
                    <w:right w:val="none" w:sz="0" w:space="0" w:color="auto"/>
                  </w:divBdr>
                </w:div>
                <w:div w:id="330334122">
                  <w:marLeft w:val="480"/>
                  <w:marRight w:val="0"/>
                  <w:marTop w:val="0"/>
                  <w:marBottom w:val="0"/>
                  <w:divBdr>
                    <w:top w:val="none" w:sz="0" w:space="0" w:color="auto"/>
                    <w:left w:val="none" w:sz="0" w:space="0" w:color="auto"/>
                    <w:bottom w:val="none" w:sz="0" w:space="0" w:color="auto"/>
                    <w:right w:val="none" w:sz="0" w:space="0" w:color="auto"/>
                  </w:divBdr>
                </w:div>
                <w:div w:id="312757244">
                  <w:marLeft w:val="480"/>
                  <w:marRight w:val="0"/>
                  <w:marTop w:val="0"/>
                  <w:marBottom w:val="0"/>
                  <w:divBdr>
                    <w:top w:val="none" w:sz="0" w:space="0" w:color="auto"/>
                    <w:left w:val="none" w:sz="0" w:space="0" w:color="auto"/>
                    <w:bottom w:val="none" w:sz="0" w:space="0" w:color="auto"/>
                    <w:right w:val="none" w:sz="0" w:space="0" w:color="auto"/>
                  </w:divBdr>
                </w:div>
                <w:div w:id="1914314630">
                  <w:marLeft w:val="480"/>
                  <w:marRight w:val="0"/>
                  <w:marTop w:val="0"/>
                  <w:marBottom w:val="0"/>
                  <w:divBdr>
                    <w:top w:val="none" w:sz="0" w:space="0" w:color="auto"/>
                    <w:left w:val="none" w:sz="0" w:space="0" w:color="auto"/>
                    <w:bottom w:val="none" w:sz="0" w:space="0" w:color="auto"/>
                    <w:right w:val="none" w:sz="0" w:space="0" w:color="auto"/>
                  </w:divBdr>
                </w:div>
                <w:div w:id="1914314008">
                  <w:marLeft w:val="480"/>
                  <w:marRight w:val="0"/>
                  <w:marTop w:val="0"/>
                  <w:marBottom w:val="0"/>
                  <w:divBdr>
                    <w:top w:val="none" w:sz="0" w:space="0" w:color="auto"/>
                    <w:left w:val="none" w:sz="0" w:space="0" w:color="auto"/>
                    <w:bottom w:val="none" w:sz="0" w:space="0" w:color="auto"/>
                    <w:right w:val="none" w:sz="0" w:space="0" w:color="auto"/>
                  </w:divBdr>
                </w:div>
                <w:div w:id="1104348416">
                  <w:marLeft w:val="480"/>
                  <w:marRight w:val="0"/>
                  <w:marTop w:val="0"/>
                  <w:marBottom w:val="0"/>
                  <w:divBdr>
                    <w:top w:val="none" w:sz="0" w:space="0" w:color="auto"/>
                    <w:left w:val="none" w:sz="0" w:space="0" w:color="auto"/>
                    <w:bottom w:val="none" w:sz="0" w:space="0" w:color="auto"/>
                    <w:right w:val="none" w:sz="0" w:space="0" w:color="auto"/>
                  </w:divBdr>
                </w:div>
                <w:div w:id="1910455805">
                  <w:marLeft w:val="480"/>
                  <w:marRight w:val="0"/>
                  <w:marTop w:val="0"/>
                  <w:marBottom w:val="0"/>
                  <w:divBdr>
                    <w:top w:val="none" w:sz="0" w:space="0" w:color="auto"/>
                    <w:left w:val="none" w:sz="0" w:space="0" w:color="auto"/>
                    <w:bottom w:val="none" w:sz="0" w:space="0" w:color="auto"/>
                    <w:right w:val="none" w:sz="0" w:space="0" w:color="auto"/>
                  </w:divBdr>
                </w:div>
                <w:div w:id="1927181978">
                  <w:marLeft w:val="480"/>
                  <w:marRight w:val="0"/>
                  <w:marTop w:val="0"/>
                  <w:marBottom w:val="0"/>
                  <w:divBdr>
                    <w:top w:val="none" w:sz="0" w:space="0" w:color="auto"/>
                    <w:left w:val="none" w:sz="0" w:space="0" w:color="auto"/>
                    <w:bottom w:val="none" w:sz="0" w:space="0" w:color="auto"/>
                    <w:right w:val="none" w:sz="0" w:space="0" w:color="auto"/>
                  </w:divBdr>
                </w:div>
                <w:div w:id="2124642975">
                  <w:marLeft w:val="480"/>
                  <w:marRight w:val="0"/>
                  <w:marTop w:val="0"/>
                  <w:marBottom w:val="0"/>
                  <w:divBdr>
                    <w:top w:val="none" w:sz="0" w:space="0" w:color="auto"/>
                    <w:left w:val="none" w:sz="0" w:space="0" w:color="auto"/>
                    <w:bottom w:val="none" w:sz="0" w:space="0" w:color="auto"/>
                    <w:right w:val="none" w:sz="0" w:space="0" w:color="auto"/>
                  </w:divBdr>
                </w:div>
                <w:div w:id="230967727">
                  <w:marLeft w:val="480"/>
                  <w:marRight w:val="0"/>
                  <w:marTop w:val="0"/>
                  <w:marBottom w:val="0"/>
                  <w:divBdr>
                    <w:top w:val="none" w:sz="0" w:space="0" w:color="auto"/>
                    <w:left w:val="none" w:sz="0" w:space="0" w:color="auto"/>
                    <w:bottom w:val="none" w:sz="0" w:space="0" w:color="auto"/>
                    <w:right w:val="none" w:sz="0" w:space="0" w:color="auto"/>
                  </w:divBdr>
                </w:div>
                <w:div w:id="1859199933">
                  <w:marLeft w:val="480"/>
                  <w:marRight w:val="0"/>
                  <w:marTop w:val="0"/>
                  <w:marBottom w:val="0"/>
                  <w:divBdr>
                    <w:top w:val="none" w:sz="0" w:space="0" w:color="auto"/>
                    <w:left w:val="none" w:sz="0" w:space="0" w:color="auto"/>
                    <w:bottom w:val="none" w:sz="0" w:space="0" w:color="auto"/>
                    <w:right w:val="none" w:sz="0" w:space="0" w:color="auto"/>
                  </w:divBdr>
                </w:div>
                <w:div w:id="1232229971">
                  <w:marLeft w:val="480"/>
                  <w:marRight w:val="0"/>
                  <w:marTop w:val="0"/>
                  <w:marBottom w:val="0"/>
                  <w:divBdr>
                    <w:top w:val="none" w:sz="0" w:space="0" w:color="auto"/>
                    <w:left w:val="none" w:sz="0" w:space="0" w:color="auto"/>
                    <w:bottom w:val="none" w:sz="0" w:space="0" w:color="auto"/>
                    <w:right w:val="none" w:sz="0" w:space="0" w:color="auto"/>
                  </w:divBdr>
                </w:div>
                <w:div w:id="1409112801">
                  <w:marLeft w:val="480"/>
                  <w:marRight w:val="0"/>
                  <w:marTop w:val="0"/>
                  <w:marBottom w:val="0"/>
                  <w:divBdr>
                    <w:top w:val="none" w:sz="0" w:space="0" w:color="auto"/>
                    <w:left w:val="none" w:sz="0" w:space="0" w:color="auto"/>
                    <w:bottom w:val="none" w:sz="0" w:space="0" w:color="auto"/>
                    <w:right w:val="none" w:sz="0" w:space="0" w:color="auto"/>
                  </w:divBdr>
                </w:div>
                <w:div w:id="416025314">
                  <w:marLeft w:val="480"/>
                  <w:marRight w:val="0"/>
                  <w:marTop w:val="0"/>
                  <w:marBottom w:val="0"/>
                  <w:divBdr>
                    <w:top w:val="none" w:sz="0" w:space="0" w:color="auto"/>
                    <w:left w:val="none" w:sz="0" w:space="0" w:color="auto"/>
                    <w:bottom w:val="none" w:sz="0" w:space="0" w:color="auto"/>
                    <w:right w:val="none" w:sz="0" w:space="0" w:color="auto"/>
                  </w:divBdr>
                </w:div>
                <w:div w:id="1392772131">
                  <w:marLeft w:val="480"/>
                  <w:marRight w:val="0"/>
                  <w:marTop w:val="0"/>
                  <w:marBottom w:val="0"/>
                  <w:divBdr>
                    <w:top w:val="none" w:sz="0" w:space="0" w:color="auto"/>
                    <w:left w:val="none" w:sz="0" w:space="0" w:color="auto"/>
                    <w:bottom w:val="none" w:sz="0" w:space="0" w:color="auto"/>
                    <w:right w:val="none" w:sz="0" w:space="0" w:color="auto"/>
                  </w:divBdr>
                </w:div>
                <w:div w:id="581840012">
                  <w:marLeft w:val="480"/>
                  <w:marRight w:val="0"/>
                  <w:marTop w:val="0"/>
                  <w:marBottom w:val="0"/>
                  <w:divBdr>
                    <w:top w:val="none" w:sz="0" w:space="0" w:color="auto"/>
                    <w:left w:val="none" w:sz="0" w:space="0" w:color="auto"/>
                    <w:bottom w:val="none" w:sz="0" w:space="0" w:color="auto"/>
                    <w:right w:val="none" w:sz="0" w:space="0" w:color="auto"/>
                  </w:divBdr>
                </w:div>
                <w:div w:id="1309868430">
                  <w:marLeft w:val="480"/>
                  <w:marRight w:val="0"/>
                  <w:marTop w:val="0"/>
                  <w:marBottom w:val="0"/>
                  <w:divBdr>
                    <w:top w:val="none" w:sz="0" w:space="0" w:color="auto"/>
                    <w:left w:val="none" w:sz="0" w:space="0" w:color="auto"/>
                    <w:bottom w:val="none" w:sz="0" w:space="0" w:color="auto"/>
                    <w:right w:val="none" w:sz="0" w:space="0" w:color="auto"/>
                  </w:divBdr>
                </w:div>
                <w:div w:id="1667201218">
                  <w:marLeft w:val="480"/>
                  <w:marRight w:val="0"/>
                  <w:marTop w:val="0"/>
                  <w:marBottom w:val="0"/>
                  <w:divBdr>
                    <w:top w:val="none" w:sz="0" w:space="0" w:color="auto"/>
                    <w:left w:val="none" w:sz="0" w:space="0" w:color="auto"/>
                    <w:bottom w:val="none" w:sz="0" w:space="0" w:color="auto"/>
                    <w:right w:val="none" w:sz="0" w:space="0" w:color="auto"/>
                  </w:divBdr>
                </w:div>
                <w:div w:id="411465529">
                  <w:marLeft w:val="480"/>
                  <w:marRight w:val="0"/>
                  <w:marTop w:val="0"/>
                  <w:marBottom w:val="0"/>
                  <w:divBdr>
                    <w:top w:val="none" w:sz="0" w:space="0" w:color="auto"/>
                    <w:left w:val="none" w:sz="0" w:space="0" w:color="auto"/>
                    <w:bottom w:val="none" w:sz="0" w:space="0" w:color="auto"/>
                    <w:right w:val="none" w:sz="0" w:space="0" w:color="auto"/>
                  </w:divBdr>
                </w:div>
                <w:div w:id="2058434734">
                  <w:marLeft w:val="480"/>
                  <w:marRight w:val="0"/>
                  <w:marTop w:val="0"/>
                  <w:marBottom w:val="0"/>
                  <w:divBdr>
                    <w:top w:val="none" w:sz="0" w:space="0" w:color="auto"/>
                    <w:left w:val="none" w:sz="0" w:space="0" w:color="auto"/>
                    <w:bottom w:val="none" w:sz="0" w:space="0" w:color="auto"/>
                    <w:right w:val="none" w:sz="0" w:space="0" w:color="auto"/>
                  </w:divBdr>
                </w:div>
                <w:div w:id="1564024474">
                  <w:marLeft w:val="480"/>
                  <w:marRight w:val="0"/>
                  <w:marTop w:val="0"/>
                  <w:marBottom w:val="0"/>
                  <w:divBdr>
                    <w:top w:val="none" w:sz="0" w:space="0" w:color="auto"/>
                    <w:left w:val="none" w:sz="0" w:space="0" w:color="auto"/>
                    <w:bottom w:val="none" w:sz="0" w:space="0" w:color="auto"/>
                    <w:right w:val="none" w:sz="0" w:space="0" w:color="auto"/>
                  </w:divBdr>
                </w:div>
                <w:div w:id="1101726813">
                  <w:marLeft w:val="480"/>
                  <w:marRight w:val="0"/>
                  <w:marTop w:val="0"/>
                  <w:marBottom w:val="0"/>
                  <w:divBdr>
                    <w:top w:val="none" w:sz="0" w:space="0" w:color="auto"/>
                    <w:left w:val="none" w:sz="0" w:space="0" w:color="auto"/>
                    <w:bottom w:val="none" w:sz="0" w:space="0" w:color="auto"/>
                    <w:right w:val="none" w:sz="0" w:space="0" w:color="auto"/>
                  </w:divBdr>
                </w:div>
                <w:div w:id="1228300053">
                  <w:marLeft w:val="480"/>
                  <w:marRight w:val="0"/>
                  <w:marTop w:val="0"/>
                  <w:marBottom w:val="0"/>
                  <w:divBdr>
                    <w:top w:val="none" w:sz="0" w:space="0" w:color="auto"/>
                    <w:left w:val="none" w:sz="0" w:space="0" w:color="auto"/>
                    <w:bottom w:val="none" w:sz="0" w:space="0" w:color="auto"/>
                    <w:right w:val="none" w:sz="0" w:space="0" w:color="auto"/>
                  </w:divBdr>
                </w:div>
                <w:div w:id="1770856542">
                  <w:marLeft w:val="480"/>
                  <w:marRight w:val="0"/>
                  <w:marTop w:val="0"/>
                  <w:marBottom w:val="0"/>
                  <w:divBdr>
                    <w:top w:val="none" w:sz="0" w:space="0" w:color="auto"/>
                    <w:left w:val="none" w:sz="0" w:space="0" w:color="auto"/>
                    <w:bottom w:val="none" w:sz="0" w:space="0" w:color="auto"/>
                    <w:right w:val="none" w:sz="0" w:space="0" w:color="auto"/>
                  </w:divBdr>
                </w:div>
                <w:div w:id="1194926087">
                  <w:marLeft w:val="480"/>
                  <w:marRight w:val="0"/>
                  <w:marTop w:val="0"/>
                  <w:marBottom w:val="0"/>
                  <w:divBdr>
                    <w:top w:val="none" w:sz="0" w:space="0" w:color="auto"/>
                    <w:left w:val="none" w:sz="0" w:space="0" w:color="auto"/>
                    <w:bottom w:val="none" w:sz="0" w:space="0" w:color="auto"/>
                    <w:right w:val="none" w:sz="0" w:space="0" w:color="auto"/>
                  </w:divBdr>
                </w:div>
                <w:div w:id="1806312923">
                  <w:marLeft w:val="480"/>
                  <w:marRight w:val="0"/>
                  <w:marTop w:val="0"/>
                  <w:marBottom w:val="0"/>
                  <w:divBdr>
                    <w:top w:val="none" w:sz="0" w:space="0" w:color="auto"/>
                    <w:left w:val="none" w:sz="0" w:space="0" w:color="auto"/>
                    <w:bottom w:val="none" w:sz="0" w:space="0" w:color="auto"/>
                    <w:right w:val="none" w:sz="0" w:space="0" w:color="auto"/>
                  </w:divBdr>
                </w:div>
                <w:div w:id="1693147628">
                  <w:marLeft w:val="480"/>
                  <w:marRight w:val="0"/>
                  <w:marTop w:val="0"/>
                  <w:marBottom w:val="0"/>
                  <w:divBdr>
                    <w:top w:val="none" w:sz="0" w:space="0" w:color="auto"/>
                    <w:left w:val="none" w:sz="0" w:space="0" w:color="auto"/>
                    <w:bottom w:val="none" w:sz="0" w:space="0" w:color="auto"/>
                    <w:right w:val="none" w:sz="0" w:space="0" w:color="auto"/>
                  </w:divBdr>
                </w:div>
                <w:div w:id="78067716">
                  <w:marLeft w:val="480"/>
                  <w:marRight w:val="0"/>
                  <w:marTop w:val="0"/>
                  <w:marBottom w:val="0"/>
                  <w:divBdr>
                    <w:top w:val="none" w:sz="0" w:space="0" w:color="auto"/>
                    <w:left w:val="none" w:sz="0" w:space="0" w:color="auto"/>
                    <w:bottom w:val="none" w:sz="0" w:space="0" w:color="auto"/>
                    <w:right w:val="none" w:sz="0" w:space="0" w:color="auto"/>
                  </w:divBdr>
                </w:div>
                <w:div w:id="1693411588">
                  <w:marLeft w:val="480"/>
                  <w:marRight w:val="0"/>
                  <w:marTop w:val="0"/>
                  <w:marBottom w:val="0"/>
                  <w:divBdr>
                    <w:top w:val="none" w:sz="0" w:space="0" w:color="auto"/>
                    <w:left w:val="none" w:sz="0" w:space="0" w:color="auto"/>
                    <w:bottom w:val="none" w:sz="0" w:space="0" w:color="auto"/>
                    <w:right w:val="none" w:sz="0" w:space="0" w:color="auto"/>
                  </w:divBdr>
                </w:div>
                <w:div w:id="734428714">
                  <w:marLeft w:val="480"/>
                  <w:marRight w:val="0"/>
                  <w:marTop w:val="0"/>
                  <w:marBottom w:val="0"/>
                  <w:divBdr>
                    <w:top w:val="none" w:sz="0" w:space="0" w:color="auto"/>
                    <w:left w:val="none" w:sz="0" w:space="0" w:color="auto"/>
                    <w:bottom w:val="none" w:sz="0" w:space="0" w:color="auto"/>
                    <w:right w:val="none" w:sz="0" w:space="0" w:color="auto"/>
                  </w:divBdr>
                </w:div>
                <w:div w:id="49765334">
                  <w:marLeft w:val="480"/>
                  <w:marRight w:val="0"/>
                  <w:marTop w:val="0"/>
                  <w:marBottom w:val="0"/>
                  <w:divBdr>
                    <w:top w:val="none" w:sz="0" w:space="0" w:color="auto"/>
                    <w:left w:val="none" w:sz="0" w:space="0" w:color="auto"/>
                    <w:bottom w:val="none" w:sz="0" w:space="0" w:color="auto"/>
                    <w:right w:val="none" w:sz="0" w:space="0" w:color="auto"/>
                  </w:divBdr>
                </w:div>
                <w:div w:id="1793480067">
                  <w:marLeft w:val="480"/>
                  <w:marRight w:val="0"/>
                  <w:marTop w:val="0"/>
                  <w:marBottom w:val="0"/>
                  <w:divBdr>
                    <w:top w:val="none" w:sz="0" w:space="0" w:color="auto"/>
                    <w:left w:val="none" w:sz="0" w:space="0" w:color="auto"/>
                    <w:bottom w:val="none" w:sz="0" w:space="0" w:color="auto"/>
                    <w:right w:val="none" w:sz="0" w:space="0" w:color="auto"/>
                  </w:divBdr>
                </w:div>
                <w:div w:id="1450318966">
                  <w:marLeft w:val="480"/>
                  <w:marRight w:val="0"/>
                  <w:marTop w:val="0"/>
                  <w:marBottom w:val="0"/>
                  <w:divBdr>
                    <w:top w:val="none" w:sz="0" w:space="0" w:color="auto"/>
                    <w:left w:val="none" w:sz="0" w:space="0" w:color="auto"/>
                    <w:bottom w:val="none" w:sz="0" w:space="0" w:color="auto"/>
                    <w:right w:val="none" w:sz="0" w:space="0" w:color="auto"/>
                  </w:divBdr>
                </w:div>
                <w:div w:id="1638101661">
                  <w:marLeft w:val="480"/>
                  <w:marRight w:val="0"/>
                  <w:marTop w:val="0"/>
                  <w:marBottom w:val="0"/>
                  <w:divBdr>
                    <w:top w:val="none" w:sz="0" w:space="0" w:color="auto"/>
                    <w:left w:val="none" w:sz="0" w:space="0" w:color="auto"/>
                    <w:bottom w:val="none" w:sz="0" w:space="0" w:color="auto"/>
                    <w:right w:val="none" w:sz="0" w:space="0" w:color="auto"/>
                  </w:divBdr>
                </w:div>
                <w:div w:id="337779610">
                  <w:marLeft w:val="480"/>
                  <w:marRight w:val="0"/>
                  <w:marTop w:val="0"/>
                  <w:marBottom w:val="0"/>
                  <w:divBdr>
                    <w:top w:val="none" w:sz="0" w:space="0" w:color="auto"/>
                    <w:left w:val="none" w:sz="0" w:space="0" w:color="auto"/>
                    <w:bottom w:val="none" w:sz="0" w:space="0" w:color="auto"/>
                    <w:right w:val="none" w:sz="0" w:space="0" w:color="auto"/>
                  </w:divBdr>
                </w:div>
                <w:div w:id="2040280048">
                  <w:marLeft w:val="480"/>
                  <w:marRight w:val="0"/>
                  <w:marTop w:val="0"/>
                  <w:marBottom w:val="0"/>
                  <w:divBdr>
                    <w:top w:val="none" w:sz="0" w:space="0" w:color="auto"/>
                    <w:left w:val="none" w:sz="0" w:space="0" w:color="auto"/>
                    <w:bottom w:val="none" w:sz="0" w:space="0" w:color="auto"/>
                    <w:right w:val="none" w:sz="0" w:space="0" w:color="auto"/>
                  </w:divBdr>
                </w:div>
                <w:div w:id="1966233635">
                  <w:marLeft w:val="480"/>
                  <w:marRight w:val="0"/>
                  <w:marTop w:val="0"/>
                  <w:marBottom w:val="0"/>
                  <w:divBdr>
                    <w:top w:val="none" w:sz="0" w:space="0" w:color="auto"/>
                    <w:left w:val="none" w:sz="0" w:space="0" w:color="auto"/>
                    <w:bottom w:val="none" w:sz="0" w:space="0" w:color="auto"/>
                    <w:right w:val="none" w:sz="0" w:space="0" w:color="auto"/>
                  </w:divBdr>
                </w:div>
                <w:div w:id="1087573871">
                  <w:marLeft w:val="480"/>
                  <w:marRight w:val="0"/>
                  <w:marTop w:val="0"/>
                  <w:marBottom w:val="0"/>
                  <w:divBdr>
                    <w:top w:val="none" w:sz="0" w:space="0" w:color="auto"/>
                    <w:left w:val="none" w:sz="0" w:space="0" w:color="auto"/>
                    <w:bottom w:val="none" w:sz="0" w:space="0" w:color="auto"/>
                    <w:right w:val="none" w:sz="0" w:space="0" w:color="auto"/>
                  </w:divBdr>
                </w:div>
                <w:div w:id="1693843737">
                  <w:marLeft w:val="480"/>
                  <w:marRight w:val="0"/>
                  <w:marTop w:val="0"/>
                  <w:marBottom w:val="0"/>
                  <w:divBdr>
                    <w:top w:val="none" w:sz="0" w:space="0" w:color="auto"/>
                    <w:left w:val="none" w:sz="0" w:space="0" w:color="auto"/>
                    <w:bottom w:val="none" w:sz="0" w:space="0" w:color="auto"/>
                    <w:right w:val="none" w:sz="0" w:space="0" w:color="auto"/>
                  </w:divBdr>
                </w:div>
                <w:div w:id="299114479">
                  <w:marLeft w:val="480"/>
                  <w:marRight w:val="0"/>
                  <w:marTop w:val="0"/>
                  <w:marBottom w:val="0"/>
                  <w:divBdr>
                    <w:top w:val="none" w:sz="0" w:space="0" w:color="auto"/>
                    <w:left w:val="none" w:sz="0" w:space="0" w:color="auto"/>
                    <w:bottom w:val="none" w:sz="0" w:space="0" w:color="auto"/>
                    <w:right w:val="none" w:sz="0" w:space="0" w:color="auto"/>
                  </w:divBdr>
                </w:div>
                <w:div w:id="751313952">
                  <w:marLeft w:val="480"/>
                  <w:marRight w:val="0"/>
                  <w:marTop w:val="0"/>
                  <w:marBottom w:val="0"/>
                  <w:divBdr>
                    <w:top w:val="none" w:sz="0" w:space="0" w:color="auto"/>
                    <w:left w:val="none" w:sz="0" w:space="0" w:color="auto"/>
                    <w:bottom w:val="none" w:sz="0" w:space="0" w:color="auto"/>
                    <w:right w:val="none" w:sz="0" w:space="0" w:color="auto"/>
                  </w:divBdr>
                </w:div>
                <w:div w:id="1803693535">
                  <w:marLeft w:val="480"/>
                  <w:marRight w:val="0"/>
                  <w:marTop w:val="0"/>
                  <w:marBottom w:val="0"/>
                  <w:divBdr>
                    <w:top w:val="none" w:sz="0" w:space="0" w:color="auto"/>
                    <w:left w:val="none" w:sz="0" w:space="0" w:color="auto"/>
                    <w:bottom w:val="none" w:sz="0" w:space="0" w:color="auto"/>
                    <w:right w:val="none" w:sz="0" w:space="0" w:color="auto"/>
                  </w:divBdr>
                </w:div>
                <w:div w:id="1135293321">
                  <w:marLeft w:val="480"/>
                  <w:marRight w:val="0"/>
                  <w:marTop w:val="0"/>
                  <w:marBottom w:val="0"/>
                  <w:divBdr>
                    <w:top w:val="none" w:sz="0" w:space="0" w:color="auto"/>
                    <w:left w:val="none" w:sz="0" w:space="0" w:color="auto"/>
                    <w:bottom w:val="none" w:sz="0" w:space="0" w:color="auto"/>
                    <w:right w:val="none" w:sz="0" w:space="0" w:color="auto"/>
                  </w:divBdr>
                </w:div>
                <w:div w:id="927273720">
                  <w:marLeft w:val="480"/>
                  <w:marRight w:val="0"/>
                  <w:marTop w:val="0"/>
                  <w:marBottom w:val="0"/>
                  <w:divBdr>
                    <w:top w:val="none" w:sz="0" w:space="0" w:color="auto"/>
                    <w:left w:val="none" w:sz="0" w:space="0" w:color="auto"/>
                    <w:bottom w:val="none" w:sz="0" w:space="0" w:color="auto"/>
                    <w:right w:val="none" w:sz="0" w:space="0" w:color="auto"/>
                  </w:divBdr>
                </w:div>
                <w:div w:id="1047989936">
                  <w:marLeft w:val="480"/>
                  <w:marRight w:val="0"/>
                  <w:marTop w:val="0"/>
                  <w:marBottom w:val="0"/>
                  <w:divBdr>
                    <w:top w:val="none" w:sz="0" w:space="0" w:color="auto"/>
                    <w:left w:val="none" w:sz="0" w:space="0" w:color="auto"/>
                    <w:bottom w:val="none" w:sz="0" w:space="0" w:color="auto"/>
                    <w:right w:val="none" w:sz="0" w:space="0" w:color="auto"/>
                  </w:divBdr>
                </w:div>
                <w:div w:id="1246109165">
                  <w:marLeft w:val="480"/>
                  <w:marRight w:val="0"/>
                  <w:marTop w:val="0"/>
                  <w:marBottom w:val="0"/>
                  <w:divBdr>
                    <w:top w:val="none" w:sz="0" w:space="0" w:color="auto"/>
                    <w:left w:val="none" w:sz="0" w:space="0" w:color="auto"/>
                    <w:bottom w:val="none" w:sz="0" w:space="0" w:color="auto"/>
                    <w:right w:val="none" w:sz="0" w:space="0" w:color="auto"/>
                  </w:divBdr>
                </w:div>
                <w:div w:id="1397508048">
                  <w:marLeft w:val="480"/>
                  <w:marRight w:val="0"/>
                  <w:marTop w:val="0"/>
                  <w:marBottom w:val="0"/>
                  <w:divBdr>
                    <w:top w:val="none" w:sz="0" w:space="0" w:color="auto"/>
                    <w:left w:val="none" w:sz="0" w:space="0" w:color="auto"/>
                    <w:bottom w:val="none" w:sz="0" w:space="0" w:color="auto"/>
                    <w:right w:val="none" w:sz="0" w:space="0" w:color="auto"/>
                  </w:divBdr>
                </w:div>
                <w:div w:id="2121414329">
                  <w:marLeft w:val="480"/>
                  <w:marRight w:val="0"/>
                  <w:marTop w:val="0"/>
                  <w:marBottom w:val="0"/>
                  <w:divBdr>
                    <w:top w:val="none" w:sz="0" w:space="0" w:color="auto"/>
                    <w:left w:val="none" w:sz="0" w:space="0" w:color="auto"/>
                    <w:bottom w:val="none" w:sz="0" w:space="0" w:color="auto"/>
                    <w:right w:val="none" w:sz="0" w:space="0" w:color="auto"/>
                  </w:divBdr>
                </w:div>
                <w:div w:id="839467167">
                  <w:marLeft w:val="480"/>
                  <w:marRight w:val="0"/>
                  <w:marTop w:val="0"/>
                  <w:marBottom w:val="0"/>
                  <w:divBdr>
                    <w:top w:val="none" w:sz="0" w:space="0" w:color="auto"/>
                    <w:left w:val="none" w:sz="0" w:space="0" w:color="auto"/>
                    <w:bottom w:val="none" w:sz="0" w:space="0" w:color="auto"/>
                    <w:right w:val="none" w:sz="0" w:space="0" w:color="auto"/>
                  </w:divBdr>
                </w:div>
                <w:div w:id="471021002">
                  <w:marLeft w:val="480"/>
                  <w:marRight w:val="0"/>
                  <w:marTop w:val="0"/>
                  <w:marBottom w:val="0"/>
                  <w:divBdr>
                    <w:top w:val="none" w:sz="0" w:space="0" w:color="auto"/>
                    <w:left w:val="none" w:sz="0" w:space="0" w:color="auto"/>
                    <w:bottom w:val="none" w:sz="0" w:space="0" w:color="auto"/>
                    <w:right w:val="none" w:sz="0" w:space="0" w:color="auto"/>
                  </w:divBdr>
                </w:div>
                <w:div w:id="2141141248">
                  <w:marLeft w:val="480"/>
                  <w:marRight w:val="0"/>
                  <w:marTop w:val="0"/>
                  <w:marBottom w:val="0"/>
                  <w:divBdr>
                    <w:top w:val="none" w:sz="0" w:space="0" w:color="auto"/>
                    <w:left w:val="none" w:sz="0" w:space="0" w:color="auto"/>
                    <w:bottom w:val="none" w:sz="0" w:space="0" w:color="auto"/>
                    <w:right w:val="none" w:sz="0" w:space="0" w:color="auto"/>
                  </w:divBdr>
                </w:div>
                <w:div w:id="312298826">
                  <w:marLeft w:val="480"/>
                  <w:marRight w:val="0"/>
                  <w:marTop w:val="0"/>
                  <w:marBottom w:val="0"/>
                  <w:divBdr>
                    <w:top w:val="none" w:sz="0" w:space="0" w:color="auto"/>
                    <w:left w:val="none" w:sz="0" w:space="0" w:color="auto"/>
                    <w:bottom w:val="none" w:sz="0" w:space="0" w:color="auto"/>
                    <w:right w:val="none" w:sz="0" w:space="0" w:color="auto"/>
                  </w:divBdr>
                </w:div>
                <w:div w:id="1954168188">
                  <w:marLeft w:val="480"/>
                  <w:marRight w:val="0"/>
                  <w:marTop w:val="0"/>
                  <w:marBottom w:val="0"/>
                  <w:divBdr>
                    <w:top w:val="none" w:sz="0" w:space="0" w:color="auto"/>
                    <w:left w:val="none" w:sz="0" w:space="0" w:color="auto"/>
                    <w:bottom w:val="none" w:sz="0" w:space="0" w:color="auto"/>
                    <w:right w:val="none" w:sz="0" w:space="0" w:color="auto"/>
                  </w:divBdr>
                </w:div>
                <w:div w:id="1166360786">
                  <w:marLeft w:val="480"/>
                  <w:marRight w:val="0"/>
                  <w:marTop w:val="0"/>
                  <w:marBottom w:val="0"/>
                  <w:divBdr>
                    <w:top w:val="none" w:sz="0" w:space="0" w:color="auto"/>
                    <w:left w:val="none" w:sz="0" w:space="0" w:color="auto"/>
                    <w:bottom w:val="none" w:sz="0" w:space="0" w:color="auto"/>
                    <w:right w:val="none" w:sz="0" w:space="0" w:color="auto"/>
                  </w:divBdr>
                </w:div>
                <w:div w:id="945387436">
                  <w:marLeft w:val="480"/>
                  <w:marRight w:val="0"/>
                  <w:marTop w:val="0"/>
                  <w:marBottom w:val="0"/>
                  <w:divBdr>
                    <w:top w:val="none" w:sz="0" w:space="0" w:color="auto"/>
                    <w:left w:val="none" w:sz="0" w:space="0" w:color="auto"/>
                    <w:bottom w:val="none" w:sz="0" w:space="0" w:color="auto"/>
                    <w:right w:val="none" w:sz="0" w:space="0" w:color="auto"/>
                  </w:divBdr>
                </w:div>
                <w:div w:id="1632977601">
                  <w:marLeft w:val="480"/>
                  <w:marRight w:val="0"/>
                  <w:marTop w:val="0"/>
                  <w:marBottom w:val="0"/>
                  <w:divBdr>
                    <w:top w:val="none" w:sz="0" w:space="0" w:color="auto"/>
                    <w:left w:val="none" w:sz="0" w:space="0" w:color="auto"/>
                    <w:bottom w:val="none" w:sz="0" w:space="0" w:color="auto"/>
                    <w:right w:val="none" w:sz="0" w:space="0" w:color="auto"/>
                  </w:divBdr>
                </w:div>
                <w:div w:id="121844858">
                  <w:marLeft w:val="480"/>
                  <w:marRight w:val="0"/>
                  <w:marTop w:val="0"/>
                  <w:marBottom w:val="0"/>
                  <w:divBdr>
                    <w:top w:val="none" w:sz="0" w:space="0" w:color="auto"/>
                    <w:left w:val="none" w:sz="0" w:space="0" w:color="auto"/>
                    <w:bottom w:val="none" w:sz="0" w:space="0" w:color="auto"/>
                    <w:right w:val="none" w:sz="0" w:space="0" w:color="auto"/>
                  </w:divBdr>
                </w:div>
                <w:div w:id="68503387">
                  <w:marLeft w:val="480"/>
                  <w:marRight w:val="0"/>
                  <w:marTop w:val="0"/>
                  <w:marBottom w:val="0"/>
                  <w:divBdr>
                    <w:top w:val="none" w:sz="0" w:space="0" w:color="auto"/>
                    <w:left w:val="none" w:sz="0" w:space="0" w:color="auto"/>
                    <w:bottom w:val="none" w:sz="0" w:space="0" w:color="auto"/>
                    <w:right w:val="none" w:sz="0" w:space="0" w:color="auto"/>
                  </w:divBdr>
                </w:div>
                <w:div w:id="1344287317">
                  <w:marLeft w:val="480"/>
                  <w:marRight w:val="0"/>
                  <w:marTop w:val="0"/>
                  <w:marBottom w:val="0"/>
                  <w:divBdr>
                    <w:top w:val="none" w:sz="0" w:space="0" w:color="auto"/>
                    <w:left w:val="none" w:sz="0" w:space="0" w:color="auto"/>
                    <w:bottom w:val="none" w:sz="0" w:space="0" w:color="auto"/>
                    <w:right w:val="none" w:sz="0" w:space="0" w:color="auto"/>
                  </w:divBdr>
                </w:div>
                <w:div w:id="1283269110">
                  <w:marLeft w:val="480"/>
                  <w:marRight w:val="0"/>
                  <w:marTop w:val="0"/>
                  <w:marBottom w:val="0"/>
                  <w:divBdr>
                    <w:top w:val="none" w:sz="0" w:space="0" w:color="auto"/>
                    <w:left w:val="none" w:sz="0" w:space="0" w:color="auto"/>
                    <w:bottom w:val="none" w:sz="0" w:space="0" w:color="auto"/>
                    <w:right w:val="none" w:sz="0" w:space="0" w:color="auto"/>
                  </w:divBdr>
                </w:div>
                <w:div w:id="2027898238">
                  <w:marLeft w:val="480"/>
                  <w:marRight w:val="0"/>
                  <w:marTop w:val="0"/>
                  <w:marBottom w:val="0"/>
                  <w:divBdr>
                    <w:top w:val="none" w:sz="0" w:space="0" w:color="auto"/>
                    <w:left w:val="none" w:sz="0" w:space="0" w:color="auto"/>
                    <w:bottom w:val="none" w:sz="0" w:space="0" w:color="auto"/>
                    <w:right w:val="none" w:sz="0" w:space="0" w:color="auto"/>
                  </w:divBdr>
                </w:div>
                <w:div w:id="188760037">
                  <w:marLeft w:val="480"/>
                  <w:marRight w:val="0"/>
                  <w:marTop w:val="0"/>
                  <w:marBottom w:val="0"/>
                  <w:divBdr>
                    <w:top w:val="none" w:sz="0" w:space="0" w:color="auto"/>
                    <w:left w:val="none" w:sz="0" w:space="0" w:color="auto"/>
                    <w:bottom w:val="none" w:sz="0" w:space="0" w:color="auto"/>
                    <w:right w:val="none" w:sz="0" w:space="0" w:color="auto"/>
                  </w:divBdr>
                </w:div>
                <w:div w:id="2030176213">
                  <w:marLeft w:val="480"/>
                  <w:marRight w:val="0"/>
                  <w:marTop w:val="0"/>
                  <w:marBottom w:val="0"/>
                  <w:divBdr>
                    <w:top w:val="none" w:sz="0" w:space="0" w:color="auto"/>
                    <w:left w:val="none" w:sz="0" w:space="0" w:color="auto"/>
                    <w:bottom w:val="none" w:sz="0" w:space="0" w:color="auto"/>
                    <w:right w:val="none" w:sz="0" w:space="0" w:color="auto"/>
                  </w:divBdr>
                </w:div>
                <w:div w:id="1737701083">
                  <w:marLeft w:val="480"/>
                  <w:marRight w:val="0"/>
                  <w:marTop w:val="0"/>
                  <w:marBottom w:val="0"/>
                  <w:divBdr>
                    <w:top w:val="none" w:sz="0" w:space="0" w:color="auto"/>
                    <w:left w:val="none" w:sz="0" w:space="0" w:color="auto"/>
                    <w:bottom w:val="none" w:sz="0" w:space="0" w:color="auto"/>
                    <w:right w:val="none" w:sz="0" w:space="0" w:color="auto"/>
                  </w:divBdr>
                </w:div>
                <w:div w:id="1350135543">
                  <w:marLeft w:val="480"/>
                  <w:marRight w:val="0"/>
                  <w:marTop w:val="0"/>
                  <w:marBottom w:val="0"/>
                  <w:divBdr>
                    <w:top w:val="none" w:sz="0" w:space="0" w:color="auto"/>
                    <w:left w:val="none" w:sz="0" w:space="0" w:color="auto"/>
                    <w:bottom w:val="none" w:sz="0" w:space="0" w:color="auto"/>
                    <w:right w:val="none" w:sz="0" w:space="0" w:color="auto"/>
                  </w:divBdr>
                </w:div>
                <w:div w:id="246237284">
                  <w:marLeft w:val="480"/>
                  <w:marRight w:val="0"/>
                  <w:marTop w:val="0"/>
                  <w:marBottom w:val="0"/>
                  <w:divBdr>
                    <w:top w:val="none" w:sz="0" w:space="0" w:color="auto"/>
                    <w:left w:val="none" w:sz="0" w:space="0" w:color="auto"/>
                    <w:bottom w:val="none" w:sz="0" w:space="0" w:color="auto"/>
                    <w:right w:val="none" w:sz="0" w:space="0" w:color="auto"/>
                  </w:divBdr>
                </w:div>
                <w:div w:id="1226381363">
                  <w:marLeft w:val="480"/>
                  <w:marRight w:val="0"/>
                  <w:marTop w:val="0"/>
                  <w:marBottom w:val="0"/>
                  <w:divBdr>
                    <w:top w:val="none" w:sz="0" w:space="0" w:color="auto"/>
                    <w:left w:val="none" w:sz="0" w:space="0" w:color="auto"/>
                    <w:bottom w:val="none" w:sz="0" w:space="0" w:color="auto"/>
                    <w:right w:val="none" w:sz="0" w:space="0" w:color="auto"/>
                  </w:divBdr>
                </w:div>
                <w:div w:id="422149569">
                  <w:marLeft w:val="480"/>
                  <w:marRight w:val="0"/>
                  <w:marTop w:val="0"/>
                  <w:marBottom w:val="0"/>
                  <w:divBdr>
                    <w:top w:val="none" w:sz="0" w:space="0" w:color="auto"/>
                    <w:left w:val="none" w:sz="0" w:space="0" w:color="auto"/>
                    <w:bottom w:val="none" w:sz="0" w:space="0" w:color="auto"/>
                    <w:right w:val="none" w:sz="0" w:space="0" w:color="auto"/>
                  </w:divBdr>
                </w:div>
                <w:div w:id="194585329">
                  <w:marLeft w:val="480"/>
                  <w:marRight w:val="0"/>
                  <w:marTop w:val="0"/>
                  <w:marBottom w:val="0"/>
                  <w:divBdr>
                    <w:top w:val="none" w:sz="0" w:space="0" w:color="auto"/>
                    <w:left w:val="none" w:sz="0" w:space="0" w:color="auto"/>
                    <w:bottom w:val="none" w:sz="0" w:space="0" w:color="auto"/>
                    <w:right w:val="none" w:sz="0" w:space="0" w:color="auto"/>
                  </w:divBdr>
                </w:div>
                <w:div w:id="1104493291">
                  <w:marLeft w:val="480"/>
                  <w:marRight w:val="0"/>
                  <w:marTop w:val="0"/>
                  <w:marBottom w:val="0"/>
                  <w:divBdr>
                    <w:top w:val="none" w:sz="0" w:space="0" w:color="auto"/>
                    <w:left w:val="none" w:sz="0" w:space="0" w:color="auto"/>
                    <w:bottom w:val="none" w:sz="0" w:space="0" w:color="auto"/>
                    <w:right w:val="none" w:sz="0" w:space="0" w:color="auto"/>
                  </w:divBdr>
                </w:div>
                <w:div w:id="467944291">
                  <w:marLeft w:val="480"/>
                  <w:marRight w:val="0"/>
                  <w:marTop w:val="0"/>
                  <w:marBottom w:val="0"/>
                  <w:divBdr>
                    <w:top w:val="none" w:sz="0" w:space="0" w:color="auto"/>
                    <w:left w:val="none" w:sz="0" w:space="0" w:color="auto"/>
                    <w:bottom w:val="none" w:sz="0" w:space="0" w:color="auto"/>
                    <w:right w:val="none" w:sz="0" w:space="0" w:color="auto"/>
                  </w:divBdr>
                </w:div>
                <w:div w:id="1567300194">
                  <w:marLeft w:val="480"/>
                  <w:marRight w:val="0"/>
                  <w:marTop w:val="0"/>
                  <w:marBottom w:val="0"/>
                  <w:divBdr>
                    <w:top w:val="none" w:sz="0" w:space="0" w:color="auto"/>
                    <w:left w:val="none" w:sz="0" w:space="0" w:color="auto"/>
                    <w:bottom w:val="none" w:sz="0" w:space="0" w:color="auto"/>
                    <w:right w:val="none" w:sz="0" w:space="0" w:color="auto"/>
                  </w:divBdr>
                </w:div>
                <w:div w:id="762339895">
                  <w:marLeft w:val="480"/>
                  <w:marRight w:val="0"/>
                  <w:marTop w:val="0"/>
                  <w:marBottom w:val="0"/>
                  <w:divBdr>
                    <w:top w:val="none" w:sz="0" w:space="0" w:color="auto"/>
                    <w:left w:val="none" w:sz="0" w:space="0" w:color="auto"/>
                    <w:bottom w:val="none" w:sz="0" w:space="0" w:color="auto"/>
                    <w:right w:val="none" w:sz="0" w:space="0" w:color="auto"/>
                  </w:divBdr>
                </w:div>
                <w:div w:id="1818525394">
                  <w:marLeft w:val="480"/>
                  <w:marRight w:val="0"/>
                  <w:marTop w:val="0"/>
                  <w:marBottom w:val="0"/>
                  <w:divBdr>
                    <w:top w:val="none" w:sz="0" w:space="0" w:color="auto"/>
                    <w:left w:val="none" w:sz="0" w:space="0" w:color="auto"/>
                    <w:bottom w:val="none" w:sz="0" w:space="0" w:color="auto"/>
                    <w:right w:val="none" w:sz="0" w:space="0" w:color="auto"/>
                  </w:divBdr>
                </w:div>
                <w:div w:id="367534377">
                  <w:marLeft w:val="480"/>
                  <w:marRight w:val="0"/>
                  <w:marTop w:val="0"/>
                  <w:marBottom w:val="0"/>
                  <w:divBdr>
                    <w:top w:val="none" w:sz="0" w:space="0" w:color="auto"/>
                    <w:left w:val="none" w:sz="0" w:space="0" w:color="auto"/>
                    <w:bottom w:val="none" w:sz="0" w:space="0" w:color="auto"/>
                    <w:right w:val="none" w:sz="0" w:space="0" w:color="auto"/>
                  </w:divBdr>
                </w:div>
                <w:div w:id="74329595">
                  <w:marLeft w:val="480"/>
                  <w:marRight w:val="0"/>
                  <w:marTop w:val="0"/>
                  <w:marBottom w:val="0"/>
                  <w:divBdr>
                    <w:top w:val="none" w:sz="0" w:space="0" w:color="auto"/>
                    <w:left w:val="none" w:sz="0" w:space="0" w:color="auto"/>
                    <w:bottom w:val="none" w:sz="0" w:space="0" w:color="auto"/>
                    <w:right w:val="none" w:sz="0" w:space="0" w:color="auto"/>
                  </w:divBdr>
                </w:div>
                <w:div w:id="1973828954">
                  <w:marLeft w:val="480"/>
                  <w:marRight w:val="0"/>
                  <w:marTop w:val="0"/>
                  <w:marBottom w:val="0"/>
                  <w:divBdr>
                    <w:top w:val="none" w:sz="0" w:space="0" w:color="auto"/>
                    <w:left w:val="none" w:sz="0" w:space="0" w:color="auto"/>
                    <w:bottom w:val="none" w:sz="0" w:space="0" w:color="auto"/>
                    <w:right w:val="none" w:sz="0" w:space="0" w:color="auto"/>
                  </w:divBdr>
                </w:div>
              </w:divsChild>
            </w:div>
            <w:div w:id="1116945130">
              <w:marLeft w:val="0"/>
              <w:marRight w:val="0"/>
              <w:marTop w:val="0"/>
              <w:marBottom w:val="0"/>
              <w:divBdr>
                <w:top w:val="none" w:sz="0" w:space="0" w:color="auto"/>
                <w:left w:val="none" w:sz="0" w:space="0" w:color="auto"/>
                <w:bottom w:val="none" w:sz="0" w:space="0" w:color="auto"/>
                <w:right w:val="none" w:sz="0" w:space="0" w:color="auto"/>
              </w:divBdr>
              <w:divsChild>
                <w:div w:id="1837066326">
                  <w:marLeft w:val="480"/>
                  <w:marRight w:val="0"/>
                  <w:marTop w:val="0"/>
                  <w:marBottom w:val="0"/>
                  <w:divBdr>
                    <w:top w:val="none" w:sz="0" w:space="0" w:color="auto"/>
                    <w:left w:val="none" w:sz="0" w:space="0" w:color="auto"/>
                    <w:bottom w:val="none" w:sz="0" w:space="0" w:color="auto"/>
                    <w:right w:val="none" w:sz="0" w:space="0" w:color="auto"/>
                  </w:divBdr>
                </w:div>
                <w:div w:id="1544101138">
                  <w:marLeft w:val="480"/>
                  <w:marRight w:val="0"/>
                  <w:marTop w:val="0"/>
                  <w:marBottom w:val="0"/>
                  <w:divBdr>
                    <w:top w:val="none" w:sz="0" w:space="0" w:color="auto"/>
                    <w:left w:val="none" w:sz="0" w:space="0" w:color="auto"/>
                    <w:bottom w:val="none" w:sz="0" w:space="0" w:color="auto"/>
                    <w:right w:val="none" w:sz="0" w:space="0" w:color="auto"/>
                  </w:divBdr>
                </w:div>
                <w:div w:id="1088505484">
                  <w:marLeft w:val="480"/>
                  <w:marRight w:val="0"/>
                  <w:marTop w:val="0"/>
                  <w:marBottom w:val="0"/>
                  <w:divBdr>
                    <w:top w:val="none" w:sz="0" w:space="0" w:color="auto"/>
                    <w:left w:val="none" w:sz="0" w:space="0" w:color="auto"/>
                    <w:bottom w:val="none" w:sz="0" w:space="0" w:color="auto"/>
                    <w:right w:val="none" w:sz="0" w:space="0" w:color="auto"/>
                  </w:divBdr>
                </w:div>
                <w:div w:id="390082432">
                  <w:marLeft w:val="480"/>
                  <w:marRight w:val="0"/>
                  <w:marTop w:val="0"/>
                  <w:marBottom w:val="0"/>
                  <w:divBdr>
                    <w:top w:val="none" w:sz="0" w:space="0" w:color="auto"/>
                    <w:left w:val="none" w:sz="0" w:space="0" w:color="auto"/>
                    <w:bottom w:val="none" w:sz="0" w:space="0" w:color="auto"/>
                    <w:right w:val="none" w:sz="0" w:space="0" w:color="auto"/>
                  </w:divBdr>
                </w:div>
                <w:div w:id="1495949524">
                  <w:marLeft w:val="480"/>
                  <w:marRight w:val="0"/>
                  <w:marTop w:val="0"/>
                  <w:marBottom w:val="0"/>
                  <w:divBdr>
                    <w:top w:val="none" w:sz="0" w:space="0" w:color="auto"/>
                    <w:left w:val="none" w:sz="0" w:space="0" w:color="auto"/>
                    <w:bottom w:val="none" w:sz="0" w:space="0" w:color="auto"/>
                    <w:right w:val="none" w:sz="0" w:space="0" w:color="auto"/>
                  </w:divBdr>
                </w:div>
                <w:div w:id="1646857581">
                  <w:marLeft w:val="480"/>
                  <w:marRight w:val="0"/>
                  <w:marTop w:val="0"/>
                  <w:marBottom w:val="0"/>
                  <w:divBdr>
                    <w:top w:val="none" w:sz="0" w:space="0" w:color="auto"/>
                    <w:left w:val="none" w:sz="0" w:space="0" w:color="auto"/>
                    <w:bottom w:val="none" w:sz="0" w:space="0" w:color="auto"/>
                    <w:right w:val="none" w:sz="0" w:space="0" w:color="auto"/>
                  </w:divBdr>
                </w:div>
                <w:div w:id="55712632">
                  <w:marLeft w:val="480"/>
                  <w:marRight w:val="0"/>
                  <w:marTop w:val="0"/>
                  <w:marBottom w:val="0"/>
                  <w:divBdr>
                    <w:top w:val="none" w:sz="0" w:space="0" w:color="auto"/>
                    <w:left w:val="none" w:sz="0" w:space="0" w:color="auto"/>
                    <w:bottom w:val="none" w:sz="0" w:space="0" w:color="auto"/>
                    <w:right w:val="none" w:sz="0" w:space="0" w:color="auto"/>
                  </w:divBdr>
                </w:div>
                <w:div w:id="1197307686">
                  <w:marLeft w:val="480"/>
                  <w:marRight w:val="0"/>
                  <w:marTop w:val="0"/>
                  <w:marBottom w:val="0"/>
                  <w:divBdr>
                    <w:top w:val="none" w:sz="0" w:space="0" w:color="auto"/>
                    <w:left w:val="none" w:sz="0" w:space="0" w:color="auto"/>
                    <w:bottom w:val="none" w:sz="0" w:space="0" w:color="auto"/>
                    <w:right w:val="none" w:sz="0" w:space="0" w:color="auto"/>
                  </w:divBdr>
                </w:div>
                <w:div w:id="774712309">
                  <w:marLeft w:val="480"/>
                  <w:marRight w:val="0"/>
                  <w:marTop w:val="0"/>
                  <w:marBottom w:val="0"/>
                  <w:divBdr>
                    <w:top w:val="none" w:sz="0" w:space="0" w:color="auto"/>
                    <w:left w:val="none" w:sz="0" w:space="0" w:color="auto"/>
                    <w:bottom w:val="none" w:sz="0" w:space="0" w:color="auto"/>
                    <w:right w:val="none" w:sz="0" w:space="0" w:color="auto"/>
                  </w:divBdr>
                </w:div>
                <w:div w:id="914165422">
                  <w:marLeft w:val="480"/>
                  <w:marRight w:val="0"/>
                  <w:marTop w:val="0"/>
                  <w:marBottom w:val="0"/>
                  <w:divBdr>
                    <w:top w:val="none" w:sz="0" w:space="0" w:color="auto"/>
                    <w:left w:val="none" w:sz="0" w:space="0" w:color="auto"/>
                    <w:bottom w:val="none" w:sz="0" w:space="0" w:color="auto"/>
                    <w:right w:val="none" w:sz="0" w:space="0" w:color="auto"/>
                  </w:divBdr>
                </w:div>
                <w:div w:id="1351492989">
                  <w:marLeft w:val="480"/>
                  <w:marRight w:val="0"/>
                  <w:marTop w:val="0"/>
                  <w:marBottom w:val="0"/>
                  <w:divBdr>
                    <w:top w:val="none" w:sz="0" w:space="0" w:color="auto"/>
                    <w:left w:val="none" w:sz="0" w:space="0" w:color="auto"/>
                    <w:bottom w:val="none" w:sz="0" w:space="0" w:color="auto"/>
                    <w:right w:val="none" w:sz="0" w:space="0" w:color="auto"/>
                  </w:divBdr>
                </w:div>
                <w:div w:id="2017657324">
                  <w:marLeft w:val="480"/>
                  <w:marRight w:val="0"/>
                  <w:marTop w:val="0"/>
                  <w:marBottom w:val="0"/>
                  <w:divBdr>
                    <w:top w:val="none" w:sz="0" w:space="0" w:color="auto"/>
                    <w:left w:val="none" w:sz="0" w:space="0" w:color="auto"/>
                    <w:bottom w:val="none" w:sz="0" w:space="0" w:color="auto"/>
                    <w:right w:val="none" w:sz="0" w:space="0" w:color="auto"/>
                  </w:divBdr>
                </w:div>
                <w:div w:id="205799136">
                  <w:marLeft w:val="480"/>
                  <w:marRight w:val="0"/>
                  <w:marTop w:val="0"/>
                  <w:marBottom w:val="0"/>
                  <w:divBdr>
                    <w:top w:val="none" w:sz="0" w:space="0" w:color="auto"/>
                    <w:left w:val="none" w:sz="0" w:space="0" w:color="auto"/>
                    <w:bottom w:val="none" w:sz="0" w:space="0" w:color="auto"/>
                    <w:right w:val="none" w:sz="0" w:space="0" w:color="auto"/>
                  </w:divBdr>
                </w:div>
                <w:div w:id="296881203">
                  <w:marLeft w:val="480"/>
                  <w:marRight w:val="0"/>
                  <w:marTop w:val="0"/>
                  <w:marBottom w:val="0"/>
                  <w:divBdr>
                    <w:top w:val="none" w:sz="0" w:space="0" w:color="auto"/>
                    <w:left w:val="none" w:sz="0" w:space="0" w:color="auto"/>
                    <w:bottom w:val="none" w:sz="0" w:space="0" w:color="auto"/>
                    <w:right w:val="none" w:sz="0" w:space="0" w:color="auto"/>
                  </w:divBdr>
                </w:div>
                <w:div w:id="719015319">
                  <w:marLeft w:val="480"/>
                  <w:marRight w:val="0"/>
                  <w:marTop w:val="0"/>
                  <w:marBottom w:val="0"/>
                  <w:divBdr>
                    <w:top w:val="none" w:sz="0" w:space="0" w:color="auto"/>
                    <w:left w:val="none" w:sz="0" w:space="0" w:color="auto"/>
                    <w:bottom w:val="none" w:sz="0" w:space="0" w:color="auto"/>
                    <w:right w:val="none" w:sz="0" w:space="0" w:color="auto"/>
                  </w:divBdr>
                </w:div>
                <w:div w:id="809203680">
                  <w:marLeft w:val="480"/>
                  <w:marRight w:val="0"/>
                  <w:marTop w:val="0"/>
                  <w:marBottom w:val="0"/>
                  <w:divBdr>
                    <w:top w:val="none" w:sz="0" w:space="0" w:color="auto"/>
                    <w:left w:val="none" w:sz="0" w:space="0" w:color="auto"/>
                    <w:bottom w:val="none" w:sz="0" w:space="0" w:color="auto"/>
                    <w:right w:val="none" w:sz="0" w:space="0" w:color="auto"/>
                  </w:divBdr>
                </w:div>
                <w:div w:id="1453479918">
                  <w:marLeft w:val="480"/>
                  <w:marRight w:val="0"/>
                  <w:marTop w:val="0"/>
                  <w:marBottom w:val="0"/>
                  <w:divBdr>
                    <w:top w:val="none" w:sz="0" w:space="0" w:color="auto"/>
                    <w:left w:val="none" w:sz="0" w:space="0" w:color="auto"/>
                    <w:bottom w:val="none" w:sz="0" w:space="0" w:color="auto"/>
                    <w:right w:val="none" w:sz="0" w:space="0" w:color="auto"/>
                  </w:divBdr>
                </w:div>
                <w:div w:id="1770613878">
                  <w:marLeft w:val="480"/>
                  <w:marRight w:val="0"/>
                  <w:marTop w:val="0"/>
                  <w:marBottom w:val="0"/>
                  <w:divBdr>
                    <w:top w:val="none" w:sz="0" w:space="0" w:color="auto"/>
                    <w:left w:val="none" w:sz="0" w:space="0" w:color="auto"/>
                    <w:bottom w:val="none" w:sz="0" w:space="0" w:color="auto"/>
                    <w:right w:val="none" w:sz="0" w:space="0" w:color="auto"/>
                  </w:divBdr>
                </w:div>
                <w:div w:id="1252857773">
                  <w:marLeft w:val="480"/>
                  <w:marRight w:val="0"/>
                  <w:marTop w:val="0"/>
                  <w:marBottom w:val="0"/>
                  <w:divBdr>
                    <w:top w:val="none" w:sz="0" w:space="0" w:color="auto"/>
                    <w:left w:val="none" w:sz="0" w:space="0" w:color="auto"/>
                    <w:bottom w:val="none" w:sz="0" w:space="0" w:color="auto"/>
                    <w:right w:val="none" w:sz="0" w:space="0" w:color="auto"/>
                  </w:divBdr>
                </w:div>
                <w:div w:id="1474252941">
                  <w:marLeft w:val="480"/>
                  <w:marRight w:val="0"/>
                  <w:marTop w:val="0"/>
                  <w:marBottom w:val="0"/>
                  <w:divBdr>
                    <w:top w:val="none" w:sz="0" w:space="0" w:color="auto"/>
                    <w:left w:val="none" w:sz="0" w:space="0" w:color="auto"/>
                    <w:bottom w:val="none" w:sz="0" w:space="0" w:color="auto"/>
                    <w:right w:val="none" w:sz="0" w:space="0" w:color="auto"/>
                  </w:divBdr>
                </w:div>
                <w:div w:id="1052777766">
                  <w:marLeft w:val="480"/>
                  <w:marRight w:val="0"/>
                  <w:marTop w:val="0"/>
                  <w:marBottom w:val="0"/>
                  <w:divBdr>
                    <w:top w:val="none" w:sz="0" w:space="0" w:color="auto"/>
                    <w:left w:val="none" w:sz="0" w:space="0" w:color="auto"/>
                    <w:bottom w:val="none" w:sz="0" w:space="0" w:color="auto"/>
                    <w:right w:val="none" w:sz="0" w:space="0" w:color="auto"/>
                  </w:divBdr>
                </w:div>
                <w:div w:id="18506551">
                  <w:marLeft w:val="480"/>
                  <w:marRight w:val="0"/>
                  <w:marTop w:val="0"/>
                  <w:marBottom w:val="0"/>
                  <w:divBdr>
                    <w:top w:val="none" w:sz="0" w:space="0" w:color="auto"/>
                    <w:left w:val="none" w:sz="0" w:space="0" w:color="auto"/>
                    <w:bottom w:val="none" w:sz="0" w:space="0" w:color="auto"/>
                    <w:right w:val="none" w:sz="0" w:space="0" w:color="auto"/>
                  </w:divBdr>
                </w:div>
                <w:div w:id="603269828">
                  <w:marLeft w:val="480"/>
                  <w:marRight w:val="0"/>
                  <w:marTop w:val="0"/>
                  <w:marBottom w:val="0"/>
                  <w:divBdr>
                    <w:top w:val="none" w:sz="0" w:space="0" w:color="auto"/>
                    <w:left w:val="none" w:sz="0" w:space="0" w:color="auto"/>
                    <w:bottom w:val="none" w:sz="0" w:space="0" w:color="auto"/>
                    <w:right w:val="none" w:sz="0" w:space="0" w:color="auto"/>
                  </w:divBdr>
                </w:div>
                <w:div w:id="784469709">
                  <w:marLeft w:val="480"/>
                  <w:marRight w:val="0"/>
                  <w:marTop w:val="0"/>
                  <w:marBottom w:val="0"/>
                  <w:divBdr>
                    <w:top w:val="none" w:sz="0" w:space="0" w:color="auto"/>
                    <w:left w:val="none" w:sz="0" w:space="0" w:color="auto"/>
                    <w:bottom w:val="none" w:sz="0" w:space="0" w:color="auto"/>
                    <w:right w:val="none" w:sz="0" w:space="0" w:color="auto"/>
                  </w:divBdr>
                </w:div>
                <w:div w:id="1435130911">
                  <w:marLeft w:val="480"/>
                  <w:marRight w:val="0"/>
                  <w:marTop w:val="0"/>
                  <w:marBottom w:val="0"/>
                  <w:divBdr>
                    <w:top w:val="none" w:sz="0" w:space="0" w:color="auto"/>
                    <w:left w:val="none" w:sz="0" w:space="0" w:color="auto"/>
                    <w:bottom w:val="none" w:sz="0" w:space="0" w:color="auto"/>
                    <w:right w:val="none" w:sz="0" w:space="0" w:color="auto"/>
                  </w:divBdr>
                </w:div>
                <w:div w:id="1800300264">
                  <w:marLeft w:val="480"/>
                  <w:marRight w:val="0"/>
                  <w:marTop w:val="0"/>
                  <w:marBottom w:val="0"/>
                  <w:divBdr>
                    <w:top w:val="none" w:sz="0" w:space="0" w:color="auto"/>
                    <w:left w:val="none" w:sz="0" w:space="0" w:color="auto"/>
                    <w:bottom w:val="none" w:sz="0" w:space="0" w:color="auto"/>
                    <w:right w:val="none" w:sz="0" w:space="0" w:color="auto"/>
                  </w:divBdr>
                </w:div>
                <w:div w:id="622659091">
                  <w:marLeft w:val="480"/>
                  <w:marRight w:val="0"/>
                  <w:marTop w:val="0"/>
                  <w:marBottom w:val="0"/>
                  <w:divBdr>
                    <w:top w:val="none" w:sz="0" w:space="0" w:color="auto"/>
                    <w:left w:val="none" w:sz="0" w:space="0" w:color="auto"/>
                    <w:bottom w:val="none" w:sz="0" w:space="0" w:color="auto"/>
                    <w:right w:val="none" w:sz="0" w:space="0" w:color="auto"/>
                  </w:divBdr>
                </w:div>
                <w:div w:id="847984500">
                  <w:marLeft w:val="480"/>
                  <w:marRight w:val="0"/>
                  <w:marTop w:val="0"/>
                  <w:marBottom w:val="0"/>
                  <w:divBdr>
                    <w:top w:val="none" w:sz="0" w:space="0" w:color="auto"/>
                    <w:left w:val="none" w:sz="0" w:space="0" w:color="auto"/>
                    <w:bottom w:val="none" w:sz="0" w:space="0" w:color="auto"/>
                    <w:right w:val="none" w:sz="0" w:space="0" w:color="auto"/>
                  </w:divBdr>
                </w:div>
                <w:div w:id="913390177">
                  <w:marLeft w:val="480"/>
                  <w:marRight w:val="0"/>
                  <w:marTop w:val="0"/>
                  <w:marBottom w:val="0"/>
                  <w:divBdr>
                    <w:top w:val="none" w:sz="0" w:space="0" w:color="auto"/>
                    <w:left w:val="none" w:sz="0" w:space="0" w:color="auto"/>
                    <w:bottom w:val="none" w:sz="0" w:space="0" w:color="auto"/>
                    <w:right w:val="none" w:sz="0" w:space="0" w:color="auto"/>
                  </w:divBdr>
                </w:div>
                <w:div w:id="1438402039">
                  <w:marLeft w:val="480"/>
                  <w:marRight w:val="0"/>
                  <w:marTop w:val="0"/>
                  <w:marBottom w:val="0"/>
                  <w:divBdr>
                    <w:top w:val="none" w:sz="0" w:space="0" w:color="auto"/>
                    <w:left w:val="none" w:sz="0" w:space="0" w:color="auto"/>
                    <w:bottom w:val="none" w:sz="0" w:space="0" w:color="auto"/>
                    <w:right w:val="none" w:sz="0" w:space="0" w:color="auto"/>
                  </w:divBdr>
                </w:div>
                <w:div w:id="1328244180">
                  <w:marLeft w:val="480"/>
                  <w:marRight w:val="0"/>
                  <w:marTop w:val="0"/>
                  <w:marBottom w:val="0"/>
                  <w:divBdr>
                    <w:top w:val="none" w:sz="0" w:space="0" w:color="auto"/>
                    <w:left w:val="none" w:sz="0" w:space="0" w:color="auto"/>
                    <w:bottom w:val="none" w:sz="0" w:space="0" w:color="auto"/>
                    <w:right w:val="none" w:sz="0" w:space="0" w:color="auto"/>
                  </w:divBdr>
                </w:div>
                <w:div w:id="836923597">
                  <w:marLeft w:val="480"/>
                  <w:marRight w:val="0"/>
                  <w:marTop w:val="0"/>
                  <w:marBottom w:val="0"/>
                  <w:divBdr>
                    <w:top w:val="none" w:sz="0" w:space="0" w:color="auto"/>
                    <w:left w:val="none" w:sz="0" w:space="0" w:color="auto"/>
                    <w:bottom w:val="none" w:sz="0" w:space="0" w:color="auto"/>
                    <w:right w:val="none" w:sz="0" w:space="0" w:color="auto"/>
                  </w:divBdr>
                </w:div>
                <w:div w:id="1904096822">
                  <w:marLeft w:val="480"/>
                  <w:marRight w:val="0"/>
                  <w:marTop w:val="0"/>
                  <w:marBottom w:val="0"/>
                  <w:divBdr>
                    <w:top w:val="none" w:sz="0" w:space="0" w:color="auto"/>
                    <w:left w:val="none" w:sz="0" w:space="0" w:color="auto"/>
                    <w:bottom w:val="none" w:sz="0" w:space="0" w:color="auto"/>
                    <w:right w:val="none" w:sz="0" w:space="0" w:color="auto"/>
                  </w:divBdr>
                </w:div>
                <w:div w:id="180632897">
                  <w:marLeft w:val="480"/>
                  <w:marRight w:val="0"/>
                  <w:marTop w:val="0"/>
                  <w:marBottom w:val="0"/>
                  <w:divBdr>
                    <w:top w:val="none" w:sz="0" w:space="0" w:color="auto"/>
                    <w:left w:val="none" w:sz="0" w:space="0" w:color="auto"/>
                    <w:bottom w:val="none" w:sz="0" w:space="0" w:color="auto"/>
                    <w:right w:val="none" w:sz="0" w:space="0" w:color="auto"/>
                  </w:divBdr>
                </w:div>
                <w:div w:id="1697461409">
                  <w:marLeft w:val="480"/>
                  <w:marRight w:val="0"/>
                  <w:marTop w:val="0"/>
                  <w:marBottom w:val="0"/>
                  <w:divBdr>
                    <w:top w:val="none" w:sz="0" w:space="0" w:color="auto"/>
                    <w:left w:val="none" w:sz="0" w:space="0" w:color="auto"/>
                    <w:bottom w:val="none" w:sz="0" w:space="0" w:color="auto"/>
                    <w:right w:val="none" w:sz="0" w:space="0" w:color="auto"/>
                  </w:divBdr>
                </w:div>
                <w:div w:id="9724040">
                  <w:marLeft w:val="480"/>
                  <w:marRight w:val="0"/>
                  <w:marTop w:val="0"/>
                  <w:marBottom w:val="0"/>
                  <w:divBdr>
                    <w:top w:val="none" w:sz="0" w:space="0" w:color="auto"/>
                    <w:left w:val="none" w:sz="0" w:space="0" w:color="auto"/>
                    <w:bottom w:val="none" w:sz="0" w:space="0" w:color="auto"/>
                    <w:right w:val="none" w:sz="0" w:space="0" w:color="auto"/>
                  </w:divBdr>
                </w:div>
                <w:div w:id="1220050026">
                  <w:marLeft w:val="480"/>
                  <w:marRight w:val="0"/>
                  <w:marTop w:val="0"/>
                  <w:marBottom w:val="0"/>
                  <w:divBdr>
                    <w:top w:val="none" w:sz="0" w:space="0" w:color="auto"/>
                    <w:left w:val="none" w:sz="0" w:space="0" w:color="auto"/>
                    <w:bottom w:val="none" w:sz="0" w:space="0" w:color="auto"/>
                    <w:right w:val="none" w:sz="0" w:space="0" w:color="auto"/>
                  </w:divBdr>
                </w:div>
                <w:div w:id="1805614868">
                  <w:marLeft w:val="480"/>
                  <w:marRight w:val="0"/>
                  <w:marTop w:val="0"/>
                  <w:marBottom w:val="0"/>
                  <w:divBdr>
                    <w:top w:val="none" w:sz="0" w:space="0" w:color="auto"/>
                    <w:left w:val="none" w:sz="0" w:space="0" w:color="auto"/>
                    <w:bottom w:val="none" w:sz="0" w:space="0" w:color="auto"/>
                    <w:right w:val="none" w:sz="0" w:space="0" w:color="auto"/>
                  </w:divBdr>
                </w:div>
                <w:div w:id="1115057333">
                  <w:marLeft w:val="480"/>
                  <w:marRight w:val="0"/>
                  <w:marTop w:val="0"/>
                  <w:marBottom w:val="0"/>
                  <w:divBdr>
                    <w:top w:val="none" w:sz="0" w:space="0" w:color="auto"/>
                    <w:left w:val="none" w:sz="0" w:space="0" w:color="auto"/>
                    <w:bottom w:val="none" w:sz="0" w:space="0" w:color="auto"/>
                    <w:right w:val="none" w:sz="0" w:space="0" w:color="auto"/>
                  </w:divBdr>
                </w:div>
                <w:div w:id="1071926194">
                  <w:marLeft w:val="480"/>
                  <w:marRight w:val="0"/>
                  <w:marTop w:val="0"/>
                  <w:marBottom w:val="0"/>
                  <w:divBdr>
                    <w:top w:val="none" w:sz="0" w:space="0" w:color="auto"/>
                    <w:left w:val="none" w:sz="0" w:space="0" w:color="auto"/>
                    <w:bottom w:val="none" w:sz="0" w:space="0" w:color="auto"/>
                    <w:right w:val="none" w:sz="0" w:space="0" w:color="auto"/>
                  </w:divBdr>
                </w:div>
                <w:div w:id="811603167">
                  <w:marLeft w:val="480"/>
                  <w:marRight w:val="0"/>
                  <w:marTop w:val="0"/>
                  <w:marBottom w:val="0"/>
                  <w:divBdr>
                    <w:top w:val="none" w:sz="0" w:space="0" w:color="auto"/>
                    <w:left w:val="none" w:sz="0" w:space="0" w:color="auto"/>
                    <w:bottom w:val="none" w:sz="0" w:space="0" w:color="auto"/>
                    <w:right w:val="none" w:sz="0" w:space="0" w:color="auto"/>
                  </w:divBdr>
                </w:div>
                <w:div w:id="392702854">
                  <w:marLeft w:val="480"/>
                  <w:marRight w:val="0"/>
                  <w:marTop w:val="0"/>
                  <w:marBottom w:val="0"/>
                  <w:divBdr>
                    <w:top w:val="none" w:sz="0" w:space="0" w:color="auto"/>
                    <w:left w:val="none" w:sz="0" w:space="0" w:color="auto"/>
                    <w:bottom w:val="none" w:sz="0" w:space="0" w:color="auto"/>
                    <w:right w:val="none" w:sz="0" w:space="0" w:color="auto"/>
                  </w:divBdr>
                </w:div>
                <w:div w:id="1141965174">
                  <w:marLeft w:val="480"/>
                  <w:marRight w:val="0"/>
                  <w:marTop w:val="0"/>
                  <w:marBottom w:val="0"/>
                  <w:divBdr>
                    <w:top w:val="none" w:sz="0" w:space="0" w:color="auto"/>
                    <w:left w:val="none" w:sz="0" w:space="0" w:color="auto"/>
                    <w:bottom w:val="none" w:sz="0" w:space="0" w:color="auto"/>
                    <w:right w:val="none" w:sz="0" w:space="0" w:color="auto"/>
                  </w:divBdr>
                </w:div>
                <w:div w:id="115293164">
                  <w:marLeft w:val="480"/>
                  <w:marRight w:val="0"/>
                  <w:marTop w:val="0"/>
                  <w:marBottom w:val="0"/>
                  <w:divBdr>
                    <w:top w:val="none" w:sz="0" w:space="0" w:color="auto"/>
                    <w:left w:val="none" w:sz="0" w:space="0" w:color="auto"/>
                    <w:bottom w:val="none" w:sz="0" w:space="0" w:color="auto"/>
                    <w:right w:val="none" w:sz="0" w:space="0" w:color="auto"/>
                  </w:divBdr>
                </w:div>
                <w:div w:id="859776877">
                  <w:marLeft w:val="480"/>
                  <w:marRight w:val="0"/>
                  <w:marTop w:val="0"/>
                  <w:marBottom w:val="0"/>
                  <w:divBdr>
                    <w:top w:val="none" w:sz="0" w:space="0" w:color="auto"/>
                    <w:left w:val="none" w:sz="0" w:space="0" w:color="auto"/>
                    <w:bottom w:val="none" w:sz="0" w:space="0" w:color="auto"/>
                    <w:right w:val="none" w:sz="0" w:space="0" w:color="auto"/>
                  </w:divBdr>
                </w:div>
                <w:div w:id="1705668535">
                  <w:marLeft w:val="480"/>
                  <w:marRight w:val="0"/>
                  <w:marTop w:val="0"/>
                  <w:marBottom w:val="0"/>
                  <w:divBdr>
                    <w:top w:val="none" w:sz="0" w:space="0" w:color="auto"/>
                    <w:left w:val="none" w:sz="0" w:space="0" w:color="auto"/>
                    <w:bottom w:val="none" w:sz="0" w:space="0" w:color="auto"/>
                    <w:right w:val="none" w:sz="0" w:space="0" w:color="auto"/>
                  </w:divBdr>
                </w:div>
                <w:div w:id="615408716">
                  <w:marLeft w:val="480"/>
                  <w:marRight w:val="0"/>
                  <w:marTop w:val="0"/>
                  <w:marBottom w:val="0"/>
                  <w:divBdr>
                    <w:top w:val="none" w:sz="0" w:space="0" w:color="auto"/>
                    <w:left w:val="none" w:sz="0" w:space="0" w:color="auto"/>
                    <w:bottom w:val="none" w:sz="0" w:space="0" w:color="auto"/>
                    <w:right w:val="none" w:sz="0" w:space="0" w:color="auto"/>
                  </w:divBdr>
                </w:div>
                <w:div w:id="1182628779">
                  <w:marLeft w:val="480"/>
                  <w:marRight w:val="0"/>
                  <w:marTop w:val="0"/>
                  <w:marBottom w:val="0"/>
                  <w:divBdr>
                    <w:top w:val="none" w:sz="0" w:space="0" w:color="auto"/>
                    <w:left w:val="none" w:sz="0" w:space="0" w:color="auto"/>
                    <w:bottom w:val="none" w:sz="0" w:space="0" w:color="auto"/>
                    <w:right w:val="none" w:sz="0" w:space="0" w:color="auto"/>
                  </w:divBdr>
                </w:div>
                <w:div w:id="378936860">
                  <w:marLeft w:val="480"/>
                  <w:marRight w:val="0"/>
                  <w:marTop w:val="0"/>
                  <w:marBottom w:val="0"/>
                  <w:divBdr>
                    <w:top w:val="none" w:sz="0" w:space="0" w:color="auto"/>
                    <w:left w:val="none" w:sz="0" w:space="0" w:color="auto"/>
                    <w:bottom w:val="none" w:sz="0" w:space="0" w:color="auto"/>
                    <w:right w:val="none" w:sz="0" w:space="0" w:color="auto"/>
                  </w:divBdr>
                </w:div>
                <w:div w:id="1666468616">
                  <w:marLeft w:val="480"/>
                  <w:marRight w:val="0"/>
                  <w:marTop w:val="0"/>
                  <w:marBottom w:val="0"/>
                  <w:divBdr>
                    <w:top w:val="none" w:sz="0" w:space="0" w:color="auto"/>
                    <w:left w:val="none" w:sz="0" w:space="0" w:color="auto"/>
                    <w:bottom w:val="none" w:sz="0" w:space="0" w:color="auto"/>
                    <w:right w:val="none" w:sz="0" w:space="0" w:color="auto"/>
                  </w:divBdr>
                </w:div>
                <w:div w:id="1708720441">
                  <w:marLeft w:val="480"/>
                  <w:marRight w:val="0"/>
                  <w:marTop w:val="0"/>
                  <w:marBottom w:val="0"/>
                  <w:divBdr>
                    <w:top w:val="none" w:sz="0" w:space="0" w:color="auto"/>
                    <w:left w:val="none" w:sz="0" w:space="0" w:color="auto"/>
                    <w:bottom w:val="none" w:sz="0" w:space="0" w:color="auto"/>
                    <w:right w:val="none" w:sz="0" w:space="0" w:color="auto"/>
                  </w:divBdr>
                </w:div>
                <w:div w:id="748385083">
                  <w:marLeft w:val="480"/>
                  <w:marRight w:val="0"/>
                  <w:marTop w:val="0"/>
                  <w:marBottom w:val="0"/>
                  <w:divBdr>
                    <w:top w:val="none" w:sz="0" w:space="0" w:color="auto"/>
                    <w:left w:val="none" w:sz="0" w:space="0" w:color="auto"/>
                    <w:bottom w:val="none" w:sz="0" w:space="0" w:color="auto"/>
                    <w:right w:val="none" w:sz="0" w:space="0" w:color="auto"/>
                  </w:divBdr>
                </w:div>
                <w:div w:id="417950405">
                  <w:marLeft w:val="480"/>
                  <w:marRight w:val="0"/>
                  <w:marTop w:val="0"/>
                  <w:marBottom w:val="0"/>
                  <w:divBdr>
                    <w:top w:val="none" w:sz="0" w:space="0" w:color="auto"/>
                    <w:left w:val="none" w:sz="0" w:space="0" w:color="auto"/>
                    <w:bottom w:val="none" w:sz="0" w:space="0" w:color="auto"/>
                    <w:right w:val="none" w:sz="0" w:space="0" w:color="auto"/>
                  </w:divBdr>
                </w:div>
                <w:div w:id="1604261560">
                  <w:marLeft w:val="480"/>
                  <w:marRight w:val="0"/>
                  <w:marTop w:val="0"/>
                  <w:marBottom w:val="0"/>
                  <w:divBdr>
                    <w:top w:val="none" w:sz="0" w:space="0" w:color="auto"/>
                    <w:left w:val="none" w:sz="0" w:space="0" w:color="auto"/>
                    <w:bottom w:val="none" w:sz="0" w:space="0" w:color="auto"/>
                    <w:right w:val="none" w:sz="0" w:space="0" w:color="auto"/>
                  </w:divBdr>
                </w:div>
                <w:div w:id="818813291">
                  <w:marLeft w:val="480"/>
                  <w:marRight w:val="0"/>
                  <w:marTop w:val="0"/>
                  <w:marBottom w:val="0"/>
                  <w:divBdr>
                    <w:top w:val="none" w:sz="0" w:space="0" w:color="auto"/>
                    <w:left w:val="none" w:sz="0" w:space="0" w:color="auto"/>
                    <w:bottom w:val="none" w:sz="0" w:space="0" w:color="auto"/>
                    <w:right w:val="none" w:sz="0" w:space="0" w:color="auto"/>
                  </w:divBdr>
                </w:div>
                <w:div w:id="383335078">
                  <w:marLeft w:val="480"/>
                  <w:marRight w:val="0"/>
                  <w:marTop w:val="0"/>
                  <w:marBottom w:val="0"/>
                  <w:divBdr>
                    <w:top w:val="none" w:sz="0" w:space="0" w:color="auto"/>
                    <w:left w:val="none" w:sz="0" w:space="0" w:color="auto"/>
                    <w:bottom w:val="none" w:sz="0" w:space="0" w:color="auto"/>
                    <w:right w:val="none" w:sz="0" w:space="0" w:color="auto"/>
                  </w:divBdr>
                </w:div>
                <w:div w:id="1042174393">
                  <w:marLeft w:val="480"/>
                  <w:marRight w:val="0"/>
                  <w:marTop w:val="0"/>
                  <w:marBottom w:val="0"/>
                  <w:divBdr>
                    <w:top w:val="none" w:sz="0" w:space="0" w:color="auto"/>
                    <w:left w:val="none" w:sz="0" w:space="0" w:color="auto"/>
                    <w:bottom w:val="none" w:sz="0" w:space="0" w:color="auto"/>
                    <w:right w:val="none" w:sz="0" w:space="0" w:color="auto"/>
                  </w:divBdr>
                </w:div>
                <w:div w:id="1593976798">
                  <w:marLeft w:val="480"/>
                  <w:marRight w:val="0"/>
                  <w:marTop w:val="0"/>
                  <w:marBottom w:val="0"/>
                  <w:divBdr>
                    <w:top w:val="none" w:sz="0" w:space="0" w:color="auto"/>
                    <w:left w:val="none" w:sz="0" w:space="0" w:color="auto"/>
                    <w:bottom w:val="none" w:sz="0" w:space="0" w:color="auto"/>
                    <w:right w:val="none" w:sz="0" w:space="0" w:color="auto"/>
                  </w:divBdr>
                </w:div>
                <w:div w:id="2029208963">
                  <w:marLeft w:val="480"/>
                  <w:marRight w:val="0"/>
                  <w:marTop w:val="0"/>
                  <w:marBottom w:val="0"/>
                  <w:divBdr>
                    <w:top w:val="none" w:sz="0" w:space="0" w:color="auto"/>
                    <w:left w:val="none" w:sz="0" w:space="0" w:color="auto"/>
                    <w:bottom w:val="none" w:sz="0" w:space="0" w:color="auto"/>
                    <w:right w:val="none" w:sz="0" w:space="0" w:color="auto"/>
                  </w:divBdr>
                </w:div>
                <w:div w:id="913323556">
                  <w:marLeft w:val="480"/>
                  <w:marRight w:val="0"/>
                  <w:marTop w:val="0"/>
                  <w:marBottom w:val="0"/>
                  <w:divBdr>
                    <w:top w:val="none" w:sz="0" w:space="0" w:color="auto"/>
                    <w:left w:val="none" w:sz="0" w:space="0" w:color="auto"/>
                    <w:bottom w:val="none" w:sz="0" w:space="0" w:color="auto"/>
                    <w:right w:val="none" w:sz="0" w:space="0" w:color="auto"/>
                  </w:divBdr>
                </w:div>
                <w:div w:id="829374225">
                  <w:marLeft w:val="480"/>
                  <w:marRight w:val="0"/>
                  <w:marTop w:val="0"/>
                  <w:marBottom w:val="0"/>
                  <w:divBdr>
                    <w:top w:val="none" w:sz="0" w:space="0" w:color="auto"/>
                    <w:left w:val="none" w:sz="0" w:space="0" w:color="auto"/>
                    <w:bottom w:val="none" w:sz="0" w:space="0" w:color="auto"/>
                    <w:right w:val="none" w:sz="0" w:space="0" w:color="auto"/>
                  </w:divBdr>
                </w:div>
                <w:div w:id="408890483">
                  <w:marLeft w:val="480"/>
                  <w:marRight w:val="0"/>
                  <w:marTop w:val="0"/>
                  <w:marBottom w:val="0"/>
                  <w:divBdr>
                    <w:top w:val="none" w:sz="0" w:space="0" w:color="auto"/>
                    <w:left w:val="none" w:sz="0" w:space="0" w:color="auto"/>
                    <w:bottom w:val="none" w:sz="0" w:space="0" w:color="auto"/>
                    <w:right w:val="none" w:sz="0" w:space="0" w:color="auto"/>
                  </w:divBdr>
                </w:div>
                <w:div w:id="811557191">
                  <w:marLeft w:val="480"/>
                  <w:marRight w:val="0"/>
                  <w:marTop w:val="0"/>
                  <w:marBottom w:val="0"/>
                  <w:divBdr>
                    <w:top w:val="none" w:sz="0" w:space="0" w:color="auto"/>
                    <w:left w:val="none" w:sz="0" w:space="0" w:color="auto"/>
                    <w:bottom w:val="none" w:sz="0" w:space="0" w:color="auto"/>
                    <w:right w:val="none" w:sz="0" w:space="0" w:color="auto"/>
                  </w:divBdr>
                </w:div>
                <w:div w:id="1180973215">
                  <w:marLeft w:val="480"/>
                  <w:marRight w:val="0"/>
                  <w:marTop w:val="0"/>
                  <w:marBottom w:val="0"/>
                  <w:divBdr>
                    <w:top w:val="none" w:sz="0" w:space="0" w:color="auto"/>
                    <w:left w:val="none" w:sz="0" w:space="0" w:color="auto"/>
                    <w:bottom w:val="none" w:sz="0" w:space="0" w:color="auto"/>
                    <w:right w:val="none" w:sz="0" w:space="0" w:color="auto"/>
                  </w:divBdr>
                </w:div>
                <w:div w:id="1008486815">
                  <w:marLeft w:val="480"/>
                  <w:marRight w:val="0"/>
                  <w:marTop w:val="0"/>
                  <w:marBottom w:val="0"/>
                  <w:divBdr>
                    <w:top w:val="none" w:sz="0" w:space="0" w:color="auto"/>
                    <w:left w:val="none" w:sz="0" w:space="0" w:color="auto"/>
                    <w:bottom w:val="none" w:sz="0" w:space="0" w:color="auto"/>
                    <w:right w:val="none" w:sz="0" w:space="0" w:color="auto"/>
                  </w:divBdr>
                </w:div>
                <w:div w:id="512260220">
                  <w:marLeft w:val="480"/>
                  <w:marRight w:val="0"/>
                  <w:marTop w:val="0"/>
                  <w:marBottom w:val="0"/>
                  <w:divBdr>
                    <w:top w:val="none" w:sz="0" w:space="0" w:color="auto"/>
                    <w:left w:val="none" w:sz="0" w:space="0" w:color="auto"/>
                    <w:bottom w:val="none" w:sz="0" w:space="0" w:color="auto"/>
                    <w:right w:val="none" w:sz="0" w:space="0" w:color="auto"/>
                  </w:divBdr>
                </w:div>
                <w:div w:id="143399076">
                  <w:marLeft w:val="480"/>
                  <w:marRight w:val="0"/>
                  <w:marTop w:val="0"/>
                  <w:marBottom w:val="0"/>
                  <w:divBdr>
                    <w:top w:val="none" w:sz="0" w:space="0" w:color="auto"/>
                    <w:left w:val="none" w:sz="0" w:space="0" w:color="auto"/>
                    <w:bottom w:val="none" w:sz="0" w:space="0" w:color="auto"/>
                    <w:right w:val="none" w:sz="0" w:space="0" w:color="auto"/>
                  </w:divBdr>
                </w:div>
                <w:div w:id="1559046104">
                  <w:marLeft w:val="480"/>
                  <w:marRight w:val="0"/>
                  <w:marTop w:val="0"/>
                  <w:marBottom w:val="0"/>
                  <w:divBdr>
                    <w:top w:val="none" w:sz="0" w:space="0" w:color="auto"/>
                    <w:left w:val="none" w:sz="0" w:space="0" w:color="auto"/>
                    <w:bottom w:val="none" w:sz="0" w:space="0" w:color="auto"/>
                    <w:right w:val="none" w:sz="0" w:space="0" w:color="auto"/>
                  </w:divBdr>
                </w:div>
                <w:div w:id="1675649568">
                  <w:marLeft w:val="480"/>
                  <w:marRight w:val="0"/>
                  <w:marTop w:val="0"/>
                  <w:marBottom w:val="0"/>
                  <w:divBdr>
                    <w:top w:val="none" w:sz="0" w:space="0" w:color="auto"/>
                    <w:left w:val="none" w:sz="0" w:space="0" w:color="auto"/>
                    <w:bottom w:val="none" w:sz="0" w:space="0" w:color="auto"/>
                    <w:right w:val="none" w:sz="0" w:space="0" w:color="auto"/>
                  </w:divBdr>
                </w:div>
                <w:div w:id="1208647314">
                  <w:marLeft w:val="480"/>
                  <w:marRight w:val="0"/>
                  <w:marTop w:val="0"/>
                  <w:marBottom w:val="0"/>
                  <w:divBdr>
                    <w:top w:val="none" w:sz="0" w:space="0" w:color="auto"/>
                    <w:left w:val="none" w:sz="0" w:space="0" w:color="auto"/>
                    <w:bottom w:val="none" w:sz="0" w:space="0" w:color="auto"/>
                    <w:right w:val="none" w:sz="0" w:space="0" w:color="auto"/>
                  </w:divBdr>
                </w:div>
                <w:div w:id="1215042946">
                  <w:marLeft w:val="480"/>
                  <w:marRight w:val="0"/>
                  <w:marTop w:val="0"/>
                  <w:marBottom w:val="0"/>
                  <w:divBdr>
                    <w:top w:val="none" w:sz="0" w:space="0" w:color="auto"/>
                    <w:left w:val="none" w:sz="0" w:space="0" w:color="auto"/>
                    <w:bottom w:val="none" w:sz="0" w:space="0" w:color="auto"/>
                    <w:right w:val="none" w:sz="0" w:space="0" w:color="auto"/>
                  </w:divBdr>
                </w:div>
                <w:div w:id="1775973096">
                  <w:marLeft w:val="480"/>
                  <w:marRight w:val="0"/>
                  <w:marTop w:val="0"/>
                  <w:marBottom w:val="0"/>
                  <w:divBdr>
                    <w:top w:val="none" w:sz="0" w:space="0" w:color="auto"/>
                    <w:left w:val="none" w:sz="0" w:space="0" w:color="auto"/>
                    <w:bottom w:val="none" w:sz="0" w:space="0" w:color="auto"/>
                    <w:right w:val="none" w:sz="0" w:space="0" w:color="auto"/>
                  </w:divBdr>
                </w:div>
                <w:div w:id="497698593">
                  <w:marLeft w:val="480"/>
                  <w:marRight w:val="0"/>
                  <w:marTop w:val="0"/>
                  <w:marBottom w:val="0"/>
                  <w:divBdr>
                    <w:top w:val="none" w:sz="0" w:space="0" w:color="auto"/>
                    <w:left w:val="none" w:sz="0" w:space="0" w:color="auto"/>
                    <w:bottom w:val="none" w:sz="0" w:space="0" w:color="auto"/>
                    <w:right w:val="none" w:sz="0" w:space="0" w:color="auto"/>
                  </w:divBdr>
                </w:div>
                <w:div w:id="1703549980">
                  <w:marLeft w:val="480"/>
                  <w:marRight w:val="0"/>
                  <w:marTop w:val="0"/>
                  <w:marBottom w:val="0"/>
                  <w:divBdr>
                    <w:top w:val="none" w:sz="0" w:space="0" w:color="auto"/>
                    <w:left w:val="none" w:sz="0" w:space="0" w:color="auto"/>
                    <w:bottom w:val="none" w:sz="0" w:space="0" w:color="auto"/>
                    <w:right w:val="none" w:sz="0" w:space="0" w:color="auto"/>
                  </w:divBdr>
                </w:div>
                <w:div w:id="1796831455">
                  <w:marLeft w:val="480"/>
                  <w:marRight w:val="0"/>
                  <w:marTop w:val="0"/>
                  <w:marBottom w:val="0"/>
                  <w:divBdr>
                    <w:top w:val="none" w:sz="0" w:space="0" w:color="auto"/>
                    <w:left w:val="none" w:sz="0" w:space="0" w:color="auto"/>
                    <w:bottom w:val="none" w:sz="0" w:space="0" w:color="auto"/>
                    <w:right w:val="none" w:sz="0" w:space="0" w:color="auto"/>
                  </w:divBdr>
                </w:div>
                <w:div w:id="1232428736">
                  <w:marLeft w:val="480"/>
                  <w:marRight w:val="0"/>
                  <w:marTop w:val="0"/>
                  <w:marBottom w:val="0"/>
                  <w:divBdr>
                    <w:top w:val="none" w:sz="0" w:space="0" w:color="auto"/>
                    <w:left w:val="none" w:sz="0" w:space="0" w:color="auto"/>
                    <w:bottom w:val="none" w:sz="0" w:space="0" w:color="auto"/>
                    <w:right w:val="none" w:sz="0" w:space="0" w:color="auto"/>
                  </w:divBdr>
                </w:div>
                <w:div w:id="1696348086">
                  <w:marLeft w:val="480"/>
                  <w:marRight w:val="0"/>
                  <w:marTop w:val="0"/>
                  <w:marBottom w:val="0"/>
                  <w:divBdr>
                    <w:top w:val="none" w:sz="0" w:space="0" w:color="auto"/>
                    <w:left w:val="none" w:sz="0" w:space="0" w:color="auto"/>
                    <w:bottom w:val="none" w:sz="0" w:space="0" w:color="auto"/>
                    <w:right w:val="none" w:sz="0" w:space="0" w:color="auto"/>
                  </w:divBdr>
                </w:div>
                <w:div w:id="984579764">
                  <w:marLeft w:val="480"/>
                  <w:marRight w:val="0"/>
                  <w:marTop w:val="0"/>
                  <w:marBottom w:val="0"/>
                  <w:divBdr>
                    <w:top w:val="none" w:sz="0" w:space="0" w:color="auto"/>
                    <w:left w:val="none" w:sz="0" w:space="0" w:color="auto"/>
                    <w:bottom w:val="none" w:sz="0" w:space="0" w:color="auto"/>
                    <w:right w:val="none" w:sz="0" w:space="0" w:color="auto"/>
                  </w:divBdr>
                </w:div>
                <w:div w:id="900483130">
                  <w:marLeft w:val="480"/>
                  <w:marRight w:val="0"/>
                  <w:marTop w:val="0"/>
                  <w:marBottom w:val="0"/>
                  <w:divBdr>
                    <w:top w:val="none" w:sz="0" w:space="0" w:color="auto"/>
                    <w:left w:val="none" w:sz="0" w:space="0" w:color="auto"/>
                    <w:bottom w:val="none" w:sz="0" w:space="0" w:color="auto"/>
                    <w:right w:val="none" w:sz="0" w:space="0" w:color="auto"/>
                  </w:divBdr>
                </w:div>
                <w:div w:id="672955961">
                  <w:marLeft w:val="480"/>
                  <w:marRight w:val="0"/>
                  <w:marTop w:val="0"/>
                  <w:marBottom w:val="0"/>
                  <w:divBdr>
                    <w:top w:val="none" w:sz="0" w:space="0" w:color="auto"/>
                    <w:left w:val="none" w:sz="0" w:space="0" w:color="auto"/>
                    <w:bottom w:val="none" w:sz="0" w:space="0" w:color="auto"/>
                    <w:right w:val="none" w:sz="0" w:space="0" w:color="auto"/>
                  </w:divBdr>
                </w:div>
                <w:div w:id="1795051828">
                  <w:marLeft w:val="480"/>
                  <w:marRight w:val="0"/>
                  <w:marTop w:val="0"/>
                  <w:marBottom w:val="0"/>
                  <w:divBdr>
                    <w:top w:val="none" w:sz="0" w:space="0" w:color="auto"/>
                    <w:left w:val="none" w:sz="0" w:space="0" w:color="auto"/>
                    <w:bottom w:val="none" w:sz="0" w:space="0" w:color="auto"/>
                    <w:right w:val="none" w:sz="0" w:space="0" w:color="auto"/>
                  </w:divBdr>
                </w:div>
                <w:div w:id="1709257862">
                  <w:marLeft w:val="480"/>
                  <w:marRight w:val="0"/>
                  <w:marTop w:val="0"/>
                  <w:marBottom w:val="0"/>
                  <w:divBdr>
                    <w:top w:val="none" w:sz="0" w:space="0" w:color="auto"/>
                    <w:left w:val="none" w:sz="0" w:space="0" w:color="auto"/>
                    <w:bottom w:val="none" w:sz="0" w:space="0" w:color="auto"/>
                    <w:right w:val="none" w:sz="0" w:space="0" w:color="auto"/>
                  </w:divBdr>
                </w:div>
                <w:div w:id="1527599600">
                  <w:marLeft w:val="480"/>
                  <w:marRight w:val="0"/>
                  <w:marTop w:val="0"/>
                  <w:marBottom w:val="0"/>
                  <w:divBdr>
                    <w:top w:val="none" w:sz="0" w:space="0" w:color="auto"/>
                    <w:left w:val="none" w:sz="0" w:space="0" w:color="auto"/>
                    <w:bottom w:val="none" w:sz="0" w:space="0" w:color="auto"/>
                    <w:right w:val="none" w:sz="0" w:space="0" w:color="auto"/>
                  </w:divBdr>
                </w:div>
                <w:div w:id="1869025769">
                  <w:marLeft w:val="480"/>
                  <w:marRight w:val="0"/>
                  <w:marTop w:val="0"/>
                  <w:marBottom w:val="0"/>
                  <w:divBdr>
                    <w:top w:val="none" w:sz="0" w:space="0" w:color="auto"/>
                    <w:left w:val="none" w:sz="0" w:space="0" w:color="auto"/>
                    <w:bottom w:val="none" w:sz="0" w:space="0" w:color="auto"/>
                    <w:right w:val="none" w:sz="0" w:space="0" w:color="auto"/>
                  </w:divBdr>
                </w:div>
                <w:div w:id="1286887872">
                  <w:marLeft w:val="480"/>
                  <w:marRight w:val="0"/>
                  <w:marTop w:val="0"/>
                  <w:marBottom w:val="0"/>
                  <w:divBdr>
                    <w:top w:val="none" w:sz="0" w:space="0" w:color="auto"/>
                    <w:left w:val="none" w:sz="0" w:space="0" w:color="auto"/>
                    <w:bottom w:val="none" w:sz="0" w:space="0" w:color="auto"/>
                    <w:right w:val="none" w:sz="0" w:space="0" w:color="auto"/>
                  </w:divBdr>
                </w:div>
                <w:div w:id="269052786">
                  <w:marLeft w:val="480"/>
                  <w:marRight w:val="0"/>
                  <w:marTop w:val="0"/>
                  <w:marBottom w:val="0"/>
                  <w:divBdr>
                    <w:top w:val="none" w:sz="0" w:space="0" w:color="auto"/>
                    <w:left w:val="none" w:sz="0" w:space="0" w:color="auto"/>
                    <w:bottom w:val="none" w:sz="0" w:space="0" w:color="auto"/>
                    <w:right w:val="none" w:sz="0" w:space="0" w:color="auto"/>
                  </w:divBdr>
                </w:div>
                <w:div w:id="1060901288">
                  <w:marLeft w:val="480"/>
                  <w:marRight w:val="0"/>
                  <w:marTop w:val="0"/>
                  <w:marBottom w:val="0"/>
                  <w:divBdr>
                    <w:top w:val="none" w:sz="0" w:space="0" w:color="auto"/>
                    <w:left w:val="none" w:sz="0" w:space="0" w:color="auto"/>
                    <w:bottom w:val="none" w:sz="0" w:space="0" w:color="auto"/>
                    <w:right w:val="none" w:sz="0" w:space="0" w:color="auto"/>
                  </w:divBdr>
                </w:div>
                <w:div w:id="2064593058">
                  <w:marLeft w:val="480"/>
                  <w:marRight w:val="0"/>
                  <w:marTop w:val="0"/>
                  <w:marBottom w:val="0"/>
                  <w:divBdr>
                    <w:top w:val="none" w:sz="0" w:space="0" w:color="auto"/>
                    <w:left w:val="none" w:sz="0" w:space="0" w:color="auto"/>
                    <w:bottom w:val="none" w:sz="0" w:space="0" w:color="auto"/>
                    <w:right w:val="none" w:sz="0" w:space="0" w:color="auto"/>
                  </w:divBdr>
                </w:div>
                <w:div w:id="129329496">
                  <w:marLeft w:val="480"/>
                  <w:marRight w:val="0"/>
                  <w:marTop w:val="0"/>
                  <w:marBottom w:val="0"/>
                  <w:divBdr>
                    <w:top w:val="none" w:sz="0" w:space="0" w:color="auto"/>
                    <w:left w:val="none" w:sz="0" w:space="0" w:color="auto"/>
                    <w:bottom w:val="none" w:sz="0" w:space="0" w:color="auto"/>
                    <w:right w:val="none" w:sz="0" w:space="0" w:color="auto"/>
                  </w:divBdr>
                </w:div>
                <w:div w:id="865946031">
                  <w:marLeft w:val="480"/>
                  <w:marRight w:val="0"/>
                  <w:marTop w:val="0"/>
                  <w:marBottom w:val="0"/>
                  <w:divBdr>
                    <w:top w:val="none" w:sz="0" w:space="0" w:color="auto"/>
                    <w:left w:val="none" w:sz="0" w:space="0" w:color="auto"/>
                    <w:bottom w:val="none" w:sz="0" w:space="0" w:color="auto"/>
                    <w:right w:val="none" w:sz="0" w:space="0" w:color="auto"/>
                  </w:divBdr>
                </w:div>
                <w:div w:id="610939159">
                  <w:marLeft w:val="480"/>
                  <w:marRight w:val="0"/>
                  <w:marTop w:val="0"/>
                  <w:marBottom w:val="0"/>
                  <w:divBdr>
                    <w:top w:val="none" w:sz="0" w:space="0" w:color="auto"/>
                    <w:left w:val="none" w:sz="0" w:space="0" w:color="auto"/>
                    <w:bottom w:val="none" w:sz="0" w:space="0" w:color="auto"/>
                    <w:right w:val="none" w:sz="0" w:space="0" w:color="auto"/>
                  </w:divBdr>
                </w:div>
                <w:div w:id="391316367">
                  <w:marLeft w:val="480"/>
                  <w:marRight w:val="0"/>
                  <w:marTop w:val="0"/>
                  <w:marBottom w:val="0"/>
                  <w:divBdr>
                    <w:top w:val="none" w:sz="0" w:space="0" w:color="auto"/>
                    <w:left w:val="none" w:sz="0" w:space="0" w:color="auto"/>
                    <w:bottom w:val="none" w:sz="0" w:space="0" w:color="auto"/>
                    <w:right w:val="none" w:sz="0" w:space="0" w:color="auto"/>
                  </w:divBdr>
                </w:div>
                <w:div w:id="695621285">
                  <w:marLeft w:val="480"/>
                  <w:marRight w:val="0"/>
                  <w:marTop w:val="0"/>
                  <w:marBottom w:val="0"/>
                  <w:divBdr>
                    <w:top w:val="none" w:sz="0" w:space="0" w:color="auto"/>
                    <w:left w:val="none" w:sz="0" w:space="0" w:color="auto"/>
                    <w:bottom w:val="none" w:sz="0" w:space="0" w:color="auto"/>
                    <w:right w:val="none" w:sz="0" w:space="0" w:color="auto"/>
                  </w:divBdr>
                </w:div>
                <w:div w:id="1556700920">
                  <w:marLeft w:val="480"/>
                  <w:marRight w:val="0"/>
                  <w:marTop w:val="0"/>
                  <w:marBottom w:val="0"/>
                  <w:divBdr>
                    <w:top w:val="none" w:sz="0" w:space="0" w:color="auto"/>
                    <w:left w:val="none" w:sz="0" w:space="0" w:color="auto"/>
                    <w:bottom w:val="none" w:sz="0" w:space="0" w:color="auto"/>
                    <w:right w:val="none" w:sz="0" w:space="0" w:color="auto"/>
                  </w:divBdr>
                </w:div>
                <w:div w:id="189223511">
                  <w:marLeft w:val="480"/>
                  <w:marRight w:val="0"/>
                  <w:marTop w:val="0"/>
                  <w:marBottom w:val="0"/>
                  <w:divBdr>
                    <w:top w:val="none" w:sz="0" w:space="0" w:color="auto"/>
                    <w:left w:val="none" w:sz="0" w:space="0" w:color="auto"/>
                    <w:bottom w:val="none" w:sz="0" w:space="0" w:color="auto"/>
                    <w:right w:val="none" w:sz="0" w:space="0" w:color="auto"/>
                  </w:divBdr>
                </w:div>
                <w:div w:id="1985044198">
                  <w:marLeft w:val="480"/>
                  <w:marRight w:val="0"/>
                  <w:marTop w:val="0"/>
                  <w:marBottom w:val="0"/>
                  <w:divBdr>
                    <w:top w:val="none" w:sz="0" w:space="0" w:color="auto"/>
                    <w:left w:val="none" w:sz="0" w:space="0" w:color="auto"/>
                    <w:bottom w:val="none" w:sz="0" w:space="0" w:color="auto"/>
                    <w:right w:val="none" w:sz="0" w:space="0" w:color="auto"/>
                  </w:divBdr>
                </w:div>
                <w:div w:id="629359564">
                  <w:marLeft w:val="480"/>
                  <w:marRight w:val="0"/>
                  <w:marTop w:val="0"/>
                  <w:marBottom w:val="0"/>
                  <w:divBdr>
                    <w:top w:val="none" w:sz="0" w:space="0" w:color="auto"/>
                    <w:left w:val="none" w:sz="0" w:space="0" w:color="auto"/>
                    <w:bottom w:val="none" w:sz="0" w:space="0" w:color="auto"/>
                    <w:right w:val="none" w:sz="0" w:space="0" w:color="auto"/>
                  </w:divBdr>
                </w:div>
                <w:div w:id="641038017">
                  <w:marLeft w:val="480"/>
                  <w:marRight w:val="0"/>
                  <w:marTop w:val="0"/>
                  <w:marBottom w:val="0"/>
                  <w:divBdr>
                    <w:top w:val="none" w:sz="0" w:space="0" w:color="auto"/>
                    <w:left w:val="none" w:sz="0" w:space="0" w:color="auto"/>
                    <w:bottom w:val="none" w:sz="0" w:space="0" w:color="auto"/>
                    <w:right w:val="none" w:sz="0" w:space="0" w:color="auto"/>
                  </w:divBdr>
                </w:div>
                <w:div w:id="624652478">
                  <w:marLeft w:val="480"/>
                  <w:marRight w:val="0"/>
                  <w:marTop w:val="0"/>
                  <w:marBottom w:val="0"/>
                  <w:divBdr>
                    <w:top w:val="none" w:sz="0" w:space="0" w:color="auto"/>
                    <w:left w:val="none" w:sz="0" w:space="0" w:color="auto"/>
                    <w:bottom w:val="none" w:sz="0" w:space="0" w:color="auto"/>
                    <w:right w:val="none" w:sz="0" w:space="0" w:color="auto"/>
                  </w:divBdr>
                </w:div>
                <w:div w:id="2022201833">
                  <w:marLeft w:val="480"/>
                  <w:marRight w:val="0"/>
                  <w:marTop w:val="0"/>
                  <w:marBottom w:val="0"/>
                  <w:divBdr>
                    <w:top w:val="none" w:sz="0" w:space="0" w:color="auto"/>
                    <w:left w:val="none" w:sz="0" w:space="0" w:color="auto"/>
                    <w:bottom w:val="none" w:sz="0" w:space="0" w:color="auto"/>
                    <w:right w:val="none" w:sz="0" w:space="0" w:color="auto"/>
                  </w:divBdr>
                </w:div>
                <w:div w:id="462382608">
                  <w:marLeft w:val="480"/>
                  <w:marRight w:val="0"/>
                  <w:marTop w:val="0"/>
                  <w:marBottom w:val="0"/>
                  <w:divBdr>
                    <w:top w:val="none" w:sz="0" w:space="0" w:color="auto"/>
                    <w:left w:val="none" w:sz="0" w:space="0" w:color="auto"/>
                    <w:bottom w:val="none" w:sz="0" w:space="0" w:color="auto"/>
                    <w:right w:val="none" w:sz="0" w:space="0" w:color="auto"/>
                  </w:divBdr>
                </w:div>
                <w:div w:id="861944488">
                  <w:marLeft w:val="480"/>
                  <w:marRight w:val="0"/>
                  <w:marTop w:val="0"/>
                  <w:marBottom w:val="0"/>
                  <w:divBdr>
                    <w:top w:val="none" w:sz="0" w:space="0" w:color="auto"/>
                    <w:left w:val="none" w:sz="0" w:space="0" w:color="auto"/>
                    <w:bottom w:val="none" w:sz="0" w:space="0" w:color="auto"/>
                    <w:right w:val="none" w:sz="0" w:space="0" w:color="auto"/>
                  </w:divBdr>
                </w:div>
                <w:div w:id="1117681389">
                  <w:marLeft w:val="480"/>
                  <w:marRight w:val="0"/>
                  <w:marTop w:val="0"/>
                  <w:marBottom w:val="0"/>
                  <w:divBdr>
                    <w:top w:val="none" w:sz="0" w:space="0" w:color="auto"/>
                    <w:left w:val="none" w:sz="0" w:space="0" w:color="auto"/>
                    <w:bottom w:val="none" w:sz="0" w:space="0" w:color="auto"/>
                    <w:right w:val="none" w:sz="0" w:space="0" w:color="auto"/>
                  </w:divBdr>
                </w:div>
                <w:div w:id="315109968">
                  <w:marLeft w:val="480"/>
                  <w:marRight w:val="0"/>
                  <w:marTop w:val="0"/>
                  <w:marBottom w:val="0"/>
                  <w:divBdr>
                    <w:top w:val="none" w:sz="0" w:space="0" w:color="auto"/>
                    <w:left w:val="none" w:sz="0" w:space="0" w:color="auto"/>
                    <w:bottom w:val="none" w:sz="0" w:space="0" w:color="auto"/>
                    <w:right w:val="none" w:sz="0" w:space="0" w:color="auto"/>
                  </w:divBdr>
                </w:div>
                <w:div w:id="599948462">
                  <w:marLeft w:val="480"/>
                  <w:marRight w:val="0"/>
                  <w:marTop w:val="0"/>
                  <w:marBottom w:val="0"/>
                  <w:divBdr>
                    <w:top w:val="none" w:sz="0" w:space="0" w:color="auto"/>
                    <w:left w:val="none" w:sz="0" w:space="0" w:color="auto"/>
                    <w:bottom w:val="none" w:sz="0" w:space="0" w:color="auto"/>
                    <w:right w:val="none" w:sz="0" w:space="0" w:color="auto"/>
                  </w:divBdr>
                </w:div>
                <w:div w:id="1172186493">
                  <w:marLeft w:val="480"/>
                  <w:marRight w:val="0"/>
                  <w:marTop w:val="0"/>
                  <w:marBottom w:val="0"/>
                  <w:divBdr>
                    <w:top w:val="none" w:sz="0" w:space="0" w:color="auto"/>
                    <w:left w:val="none" w:sz="0" w:space="0" w:color="auto"/>
                    <w:bottom w:val="none" w:sz="0" w:space="0" w:color="auto"/>
                    <w:right w:val="none" w:sz="0" w:space="0" w:color="auto"/>
                  </w:divBdr>
                </w:div>
                <w:div w:id="677736273">
                  <w:marLeft w:val="480"/>
                  <w:marRight w:val="0"/>
                  <w:marTop w:val="0"/>
                  <w:marBottom w:val="0"/>
                  <w:divBdr>
                    <w:top w:val="none" w:sz="0" w:space="0" w:color="auto"/>
                    <w:left w:val="none" w:sz="0" w:space="0" w:color="auto"/>
                    <w:bottom w:val="none" w:sz="0" w:space="0" w:color="auto"/>
                    <w:right w:val="none" w:sz="0" w:space="0" w:color="auto"/>
                  </w:divBdr>
                </w:div>
                <w:div w:id="1325206410">
                  <w:marLeft w:val="480"/>
                  <w:marRight w:val="0"/>
                  <w:marTop w:val="0"/>
                  <w:marBottom w:val="0"/>
                  <w:divBdr>
                    <w:top w:val="none" w:sz="0" w:space="0" w:color="auto"/>
                    <w:left w:val="none" w:sz="0" w:space="0" w:color="auto"/>
                    <w:bottom w:val="none" w:sz="0" w:space="0" w:color="auto"/>
                    <w:right w:val="none" w:sz="0" w:space="0" w:color="auto"/>
                  </w:divBdr>
                </w:div>
                <w:div w:id="1141341419">
                  <w:marLeft w:val="480"/>
                  <w:marRight w:val="0"/>
                  <w:marTop w:val="0"/>
                  <w:marBottom w:val="0"/>
                  <w:divBdr>
                    <w:top w:val="none" w:sz="0" w:space="0" w:color="auto"/>
                    <w:left w:val="none" w:sz="0" w:space="0" w:color="auto"/>
                    <w:bottom w:val="none" w:sz="0" w:space="0" w:color="auto"/>
                    <w:right w:val="none" w:sz="0" w:space="0" w:color="auto"/>
                  </w:divBdr>
                </w:div>
                <w:div w:id="1002314964">
                  <w:marLeft w:val="480"/>
                  <w:marRight w:val="0"/>
                  <w:marTop w:val="0"/>
                  <w:marBottom w:val="0"/>
                  <w:divBdr>
                    <w:top w:val="none" w:sz="0" w:space="0" w:color="auto"/>
                    <w:left w:val="none" w:sz="0" w:space="0" w:color="auto"/>
                    <w:bottom w:val="none" w:sz="0" w:space="0" w:color="auto"/>
                    <w:right w:val="none" w:sz="0" w:space="0" w:color="auto"/>
                  </w:divBdr>
                </w:div>
                <w:div w:id="1006983849">
                  <w:marLeft w:val="480"/>
                  <w:marRight w:val="0"/>
                  <w:marTop w:val="0"/>
                  <w:marBottom w:val="0"/>
                  <w:divBdr>
                    <w:top w:val="none" w:sz="0" w:space="0" w:color="auto"/>
                    <w:left w:val="none" w:sz="0" w:space="0" w:color="auto"/>
                    <w:bottom w:val="none" w:sz="0" w:space="0" w:color="auto"/>
                    <w:right w:val="none" w:sz="0" w:space="0" w:color="auto"/>
                  </w:divBdr>
                </w:div>
                <w:div w:id="1176380403">
                  <w:marLeft w:val="480"/>
                  <w:marRight w:val="0"/>
                  <w:marTop w:val="0"/>
                  <w:marBottom w:val="0"/>
                  <w:divBdr>
                    <w:top w:val="none" w:sz="0" w:space="0" w:color="auto"/>
                    <w:left w:val="none" w:sz="0" w:space="0" w:color="auto"/>
                    <w:bottom w:val="none" w:sz="0" w:space="0" w:color="auto"/>
                    <w:right w:val="none" w:sz="0" w:space="0" w:color="auto"/>
                  </w:divBdr>
                </w:div>
                <w:div w:id="2101832419">
                  <w:marLeft w:val="480"/>
                  <w:marRight w:val="0"/>
                  <w:marTop w:val="0"/>
                  <w:marBottom w:val="0"/>
                  <w:divBdr>
                    <w:top w:val="none" w:sz="0" w:space="0" w:color="auto"/>
                    <w:left w:val="none" w:sz="0" w:space="0" w:color="auto"/>
                    <w:bottom w:val="none" w:sz="0" w:space="0" w:color="auto"/>
                    <w:right w:val="none" w:sz="0" w:space="0" w:color="auto"/>
                  </w:divBdr>
                </w:div>
                <w:div w:id="925043547">
                  <w:marLeft w:val="480"/>
                  <w:marRight w:val="0"/>
                  <w:marTop w:val="0"/>
                  <w:marBottom w:val="0"/>
                  <w:divBdr>
                    <w:top w:val="none" w:sz="0" w:space="0" w:color="auto"/>
                    <w:left w:val="none" w:sz="0" w:space="0" w:color="auto"/>
                    <w:bottom w:val="none" w:sz="0" w:space="0" w:color="auto"/>
                    <w:right w:val="none" w:sz="0" w:space="0" w:color="auto"/>
                  </w:divBdr>
                </w:div>
                <w:div w:id="1411729682">
                  <w:marLeft w:val="480"/>
                  <w:marRight w:val="0"/>
                  <w:marTop w:val="0"/>
                  <w:marBottom w:val="0"/>
                  <w:divBdr>
                    <w:top w:val="none" w:sz="0" w:space="0" w:color="auto"/>
                    <w:left w:val="none" w:sz="0" w:space="0" w:color="auto"/>
                    <w:bottom w:val="none" w:sz="0" w:space="0" w:color="auto"/>
                    <w:right w:val="none" w:sz="0" w:space="0" w:color="auto"/>
                  </w:divBdr>
                </w:div>
                <w:div w:id="1517961801">
                  <w:marLeft w:val="480"/>
                  <w:marRight w:val="0"/>
                  <w:marTop w:val="0"/>
                  <w:marBottom w:val="0"/>
                  <w:divBdr>
                    <w:top w:val="none" w:sz="0" w:space="0" w:color="auto"/>
                    <w:left w:val="none" w:sz="0" w:space="0" w:color="auto"/>
                    <w:bottom w:val="none" w:sz="0" w:space="0" w:color="auto"/>
                    <w:right w:val="none" w:sz="0" w:space="0" w:color="auto"/>
                  </w:divBdr>
                </w:div>
                <w:div w:id="661159001">
                  <w:marLeft w:val="480"/>
                  <w:marRight w:val="0"/>
                  <w:marTop w:val="0"/>
                  <w:marBottom w:val="0"/>
                  <w:divBdr>
                    <w:top w:val="none" w:sz="0" w:space="0" w:color="auto"/>
                    <w:left w:val="none" w:sz="0" w:space="0" w:color="auto"/>
                    <w:bottom w:val="none" w:sz="0" w:space="0" w:color="auto"/>
                    <w:right w:val="none" w:sz="0" w:space="0" w:color="auto"/>
                  </w:divBdr>
                </w:div>
                <w:div w:id="93985787">
                  <w:marLeft w:val="480"/>
                  <w:marRight w:val="0"/>
                  <w:marTop w:val="0"/>
                  <w:marBottom w:val="0"/>
                  <w:divBdr>
                    <w:top w:val="none" w:sz="0" w:space="0" w:color="auto"/>
                    <w:left w:val="none" w:sz="0" w:space="0" w:color="auto"/>
                    <w:bottom w:val="none" w:sz="0" w:space="0" w:color="auto"/>
                    <w:right w:val="none" w:sz="0" w:space="0" w:color="auto"/>
                  </w:divBdr>
                </w:div>
                <w:div w:id="1174733455">
                  <w:marLeft w:val="480"/>
                  <w:marRight w:val="0"/>
                  <w:marTop w:val="0"/>
                  <w:marBottom w:val="0"/>
                  <w:divBdr>
                    <w:top w:val="none" w:sz="0" w:space="0" w:color="auto"/>
                    <w:left w:val="none" w:sz="0" w:space="0" w:color="auto"/>
                    <w:bottom w:val="none" w:sz="0" w:space="0" w:color="auto"/>
                    <w:right w:val="none" w:sz="0" w:space="0" w:color="auto"/>
                  </w:divBdr>
                </w:div>
                <w:div w:id="1778788706">
                  <w:marLeft w:val="480"/>
                  <w:marRight w:val="0"/>
                  <w:marTop w:val="0"/>
                  <w:marBottom w:val="0"/>
                  <w:divBdr>
                    <w:top w:val="none" w:sz="0" w:space="0" w:color="auto"/>
                    <w:left w:val="none" w:sz="0" w:space="0" w:color="auto"/>
                    <w:bottom w:val="none" w:sz="0" w:space="0" w:color="auto"/>
                    <w:right w:val="none" w:sz="0" w:space="0" w:color="auto"/>
                  </w:divBdr>
                </w:div>
                <w:div w:id="994265602">
                  <w:marLeft w:val="480"/>
                  <w:marRight w:val="0"/>
                  <w:marTop w:val="0"/>
                  <w:marBottom w:val="0"/>
                  <w:divBdr>
                    <w:top w:val="none" w:sz="0" w:space="0" w:color="auto"/>
                    <w:left w:val="none" w:sz="0" w:space="0" w:color="auto"/>
                    <w:bottom w:val="none" w:sz="0" w:space="0" w:color="auto"/>
                    <w:right w:val="none" w:sz="0" w:space="0" w:color="auto"/>
                  </w:divBdr>
                </w:div>
                <w:div w:id="247082579">
                  <w:marLeft w:val="480"/>
                  <w:marRight w:val="0"/>
                  <w:marTop w:val="0"/>
                  <w:marBottom w:val="0"/>
                  <w:divBdr>
                    <w:top w:val="none" w:sz="0" w:space="0" w:color="auto"/>
                    <w:left w:val="none" w:sz="0" w:space="0" w:color="auto"/>
                    <w:bottom w:val="none" w:sz="0" w:space="0" w:color="auto"/>
                    <w:right w:val="none" w:sz="0" w:space="0" w:color="auto"/>
                  </w:divBdr>
                </w:div>
                <w:div w:id="1601258487">
                  <w:marLeft w:val="480"/>
                  <w:marRight w:val="0"/>
                  <w:marTop w:val="0"/>
                  <w:marBottom w:val="0"/>
                  <w:divBdr>
                    <w:top w:val="none" w:sz="0" w:space="0" w:color="auto"/>
                    <w:left w:val="none" w:sz="0" w:space="0" w:color="auto"/>
                    <w:bottom w:val="none" w:sz="0" w:space="0" w:color="auto"/>
                    <w:right w:val="none" w:sz="0" w:space="0" w:color="auto"/>
                  </w:divBdr>
                </w:div>
                <w:div w:id="1108966768">
                  <w:marLeft w:val="480"/>
                  <w:marRight w:val="0"/>
                  <w:marTop w:val="0"/>
                  <w:marBottom w:val="0"/>
                  <w:divBdr>
                    <w:top w:val="none" w:sz="0" w:space="0" w:color="auto"/>
                    <w:left w:val="none" w:sz="0" w:space="0" w:color="auto"/>
                    <w:bottom w:val="none" w:sz="0" w:space="0" w:color="auto"/>
                    <w:right w:val="none" w:sz="0" w:space="0" w:color="auto"/>
                  </w:divBdr>
                </w:div>
                <w:div w:id="1583294843">
                  <w:marLeft w:val="480"/>
                  <w:marRight w:val="0"/>
                  <w:marTop w:val="0"/>
                  <w:marBottom w:val="0"/>
                  <w:divBdr>
                    <w:top w:val="none" w:sz="0" w:space="0" w:color="auto"/>
                    <w:left w:val="none" w:sz="0" w:space="0" w:color="auto"/>
                    <w:bottom w:val="none" w:sz="0" w:space="0" w:color="auto"/>
                    <w:right w:val="none" w:sz="0" w:space="0" w:color="auto"/>
                  </w:divBdr>
                </w:div>
                <w:div w:id="748964540">
                  <w:marLeft w:val="480"/>
                  <w:marRight w:val="0"/>
                  <w:marTop w:val="0"/>
                  <w:marBottom w:val="0"/>
                  <w:divBdr>
                    <w:top w:val="none" w:sz="0" w:space="0" w:color="auto"/>
                    <w:left w:val="none" w:sz="0" w:space="0" w:color="auto"/>
                    <w:bottom w:val="none" w:sz="0" w:space="0" w:color="auto"/>
                    <w:right w:val="none" w:sz="0" w:space="0" w:color="auto"/>
                  </w:divBdr>
                </w:div>
                <w:div w:id="1426222850">
                  <w:marLeft w:val="480"/>
                  <w:marRight w:val="0"/>
                  <w:marTop w:val="0"/>
                  <w:marBottom w:val="0"/>
                  <w:divBdr>
                    <w:top w:val="none" w:sz="0" w:space="0" w:color="auto"/>
                    <w:left w:val="none" w:sz="0" w:space="0" w:color="auto"/>
                    <w:bottom w:val="none" w:sz="0" w:space="0" w:color="auto"/>
                    <w:right w:val="none" w:sz="0" w:space="0" w:color="auto"/>
                  </w:divBdr>
                </w:div>
                <w:div w:id="969818176">
                  <w:marLeft w:val="480"/>
                  <w:marRight w:val="0"/>
                  <w:marTop w:val="0"/>
                  <w:marBottom w:val="0"/>
                  <w:divBdr>
                    <w:top w:val="none" w:sz="0" w:space="0" w:color="auto"/>
                    <w:left w:val="none" w:sz="0" w:space="0" w:color="auto"/>
                    <w:bottom w:val="none" w:sz="0" w:space="0" w:color="auto"/>
                    <w:right w:val="none" w:sz="0" w:space="0" w:color="auto"/>
                  </w:divBdr>
                </w:div>
                <w:div w:id="265580765">
                  <w:marLeft w:val="480"/>
                  <w:marRight w:val="0"/>
                  <w:marTop w:val="0"/>
                  <w:marBottom w:val="0"/>
                  <w:divBdr>
                    <w:top w:val="none" w:sz="0" w:space="0" w:color="auto"/>
                    <w:left w:val="none" w:sz="0" w:space="0" w:color="auto"/>
                    <w:bottom w:val="none" w:sz="0" w:space="0" w:color="auto"/>
                    <w:right w:val="none" w:sz="0" w:space="0" w:color="auto"/>
                  </w:divBdr>
                </w:div>
                <w:div w:id="294415383">
                  <w:marLeft w:val="480"/>
                  <w:marRight w:val="0"/>
                  <w:marTop w:val="0"/>
                  <w:marBottom w:val="0"/>
                  <w:divBdr>
                    <w:top w:val="none" w:sz="0" w:space="0" w:color="auto"/>
                    <w:left w:val="none" w:sz="0" w:space="0" w:color="auto"/>
                    <w:bottom w:val="none" w:sz="0" w:space="0" w:color="auto"/>
                    <w:right w:val="none" w:sz="0" w:space="0" w:color="auto"/>
                  </w:divBdr>
                </w:div>
                <w:div w:id="515923581">
                  <w:marLeft w:val="480"/>
                  <w:marRight w:val="0"/>
                  <w:marTop w:val="0"/>
                  <w:marBottom w:val="0"/>
                  <w:divBdr>
                    <w:top w:val="none" w:sz="0" w:space="0" w:color="auto"/>
                    <w:left w:val="none" w:sz="0" w:space="0" w:color="auto"/>
                    <w:bottom w:val="none" w:sz="0" w:space="0" w:color="auto"/>
                    <w:right w:val="none" w:sz="0" w:space="0" w:color="auto"/>
                  </w:divBdr>
                </w:div>
                <w:div w:id="907617981">
                  <w:marLeft w:val="480"/>
                  <w:marRight w:val="0"/>
                  <w:marTop w:val="0"/>
                  <w:marBottom w:val="0"/>
                  <w:divBdr>
                    <w:top w:val="none" w:sz="0" w:space="0" w:color="auto"/>
                    <w:left w:val="none" w:sz="0" w:space="0" w:color="auto"/>
                    <w:bottom w:val="none" w:sz="0" w:space="0" w:color="auto"/>
                    <w:right w:val="none" w:sz="0" w:space="0" w:color="auto"/>
                  </w:divBdr>
                </w:div>
                <w:div w:id="1083068212">
                  <w:marLeft w:val="480"/>
                  <w:marRight w:val="0"/>
                  <w:marTop w:val="0"/>
                  <w:marBottom w:val="0"/>
                  <w:divBdr>
                    <w:top w:val="none" w:sz="0" w:space="0" w:color="auto"/>
                    <w:left w:val="none" w:sz="0" w:space="0" w:color="auto"/>
                    <w:bottom w:val="none" w:sz="0" w:space="0" w:color="auto"/>
                    <w:right w:val="none" w:sz="0" w:space="0" w:color="auto"/>
                  </w:divBdr>
                </w:div>
                <w:div w:id="1219633623">
                  <w:marLeft w:val="480"/>
                  <w:marRight w:val="0"/>
                  <w:marTop w:val="0"/>
                  <w:marBottom w:val="0"/>
                  <w:divBdr>
                    <w:top w:val="none" w:sz="0" w:space="0" w:color="auto"/>
                    <w:left w:val="none" w:sz="0" w:space="0" w:color="auto"/>
                    <w:bottom w:val="none" w:sz="0" w:space="0" w:color="auto"/>
                    <w:right w:val="none" w:sz="0" w:space="0" w:color="auto"/>
                  </w:divBdr>
                </w:div>
                <w:div w:id="1090855260">
                  <w:marLeft w:val="480"/>
                  <w:marRight w:val="0"/>
                  <w:marTop w:val="0"/>
                  <w:marBottom w:val="0"/>
                  <w:divBdr>
                    <w:top w:val="none" w:sz="0" w:space="0" w:color="auto"/>
                    <w:left w:val="none" w:sz="0" w:space="0" w:color="auto"/>
                    <w:bottom w:val="none" w:sz="0" w:space="0" w:color="auto"/>
                    <w:right w:val="none" w:sz="0" w:space="0" w:color="auto"/>
                  </w:divBdr>
                </w:div>
                <w:div w:id="380717290">
                  <w:marLeft w:val="480"/>
                  <w:marRight w:val="0"/>
                  <w:marTop w:val="0"/>
                  <w:marBottom w:val="0"/>
                  <w:divBdr>
                    <w:top w:val="none" w:sz="0" w:space="0" w:color="auto"/>
                    <w:left w:val="none" w:sz="0" w:space="0" w:color="auto"/>
                    <w:bottom w:val="none" w:sz="0" w:space="0" w:color="auto"/>
                    <w:right w:val="none" w:sz="0" w:space="0" w:color="auto"/>
                  </w:divBdr>
                </w:div>
                <w:div w:id="821310972">
                  <w:marLeft w:val="480"/>
                  <w:marRight w:val="0"/>
                  <w:marTop w:val="0"/>
                  <w:marBottom w:val="0"/>
                  <w:divBdr>
                    <w:top w:val="none" w:sz="0" w:space="0" w:color="auto"/>
                    <w:left w:val="none" w:sz="0" w:space="0" w:color="auto"/>
                    <w:bottom w:val="none" w:sz="0" w:space="0" w:color="auto"/>
                    <w:right w:val="none" w:sz="0" w:space="0" w:color="auto"/>
                  </w:divBdr>
                </w:div>
                <w:div w:id="345526073">
                  <w:marLeft w:val="480"/>
                  <w:marRight w:val="0"/>
                  <w:marTop w:val="0"/>
                  <w:marBottom w:val="0"/>
                  <w:divBdr>
                    <w:top w:val="none" w:sz="0" w:space="0" w:color="auto"/>
                    <w:left w:val="none" w:sz="0" w:space="0" w:color="auto"/>
                    <w:bottom w:val="none" w:sz="0" w:space="0" w:color="auto"/>
                    <w:right w:val="none" w:sz="0" w:space="0" w:color="auto"/>
                  </w:divBdr>
                </w:div>
                <w:div w:id="277493465">
                  <w:marLeft w:val="480"/>
                  <w:marRight w:val="0"/>
                  <w:marTop w:val="0"/>
                  <w:marBottom w:val="0"/>
                  <w:divBdr>
                    <w:top w:val="none" w:sz="0" w:space="0" w:color="auto"/>
                    <w:left w:val="none" w:sz="0" w:space="0" w:color="auto"/>
                    <w:bottom w:val="none" w:sz="0" w:space="0" w:color="auto"/>
                    <w:right w:val="none" w:sz="0" w:space="0" w:color="auto"/>
                  </w:divBdr>
                </w:div>
                <w:div w:id="391584775">
                  <w:marLeft w:val="480"/>
                  <w:marRight w:val="0"/>
                  <w:marTop w:val="0"/>
                  <w:marBottom w:val="0"/>
                  <w:divBdr>
                    <w:top w:val="none" w:sz="0" w:space="0" w:color="auto"/>
                    <w:left w:val="none" w:sz="0" w:space="0" w:color="auto"/>
                    <w:bottom w:val="none" w:sz="0" w:space="0" w:color="auto"/>
                    <w:right w:val="none" w:sz="0" w:space="0" w:color="auto"/>
                  </w:divBdr>
                </w:div>
                <w:div w:id="1918199465">
                  <w:marLeft w:val="480"/>
                  <w:marRight w:val="0"/>
                  <w:marTop w:val="0"/>
                  <w:marBottom w:val="0"/>
                  <w:divBdr>
                    <w:top w:val="none" w:sz="0" w:space="0" w:color="auto"/>
                    <w:left w:val="none" w:sz="0" w:space="0" w:color="auto"/>
                    <w:bottom w:val="none" w:sz="0" w:space="0" w:color="auto"/>
                    <w:right w:val="none" w:sz="0" w:space="0" w:color="auto"/>
                  </w:divBdr>
                </w:div>
                <w:div w:id="1973293799">
                  <w:marLeft w:val="480"/>
                  <w:marRight w:val="0"/>
                  <w:marTop w:val="0"/>
                  <w:marBottom w:val="0"/>
                  <w:divBdr>
                    <w:top w:val="none" w:sz="0" w:space="0" w:color="auto"/>
                    <w:left w:val="none" w:sz="0" w:space="0" w:color="auto"/>
                    <w:bottom w:val="none" w:sz="0" w:space="0" w:color="auto"/>
                    <w:right w:val="none" w:sz="0" w:space="0" w:color="auto"/>
                  </w:divBdr>
                </w:div>
                <w:div w:id="786511348">
                  <w:marLeft w:val="480"/>
                  <w:marRight w:val="0"/>
                  <w:marTop w:val="0"/>
                  <w:marBottom w:val="0"/>
                  <w:divBdr>
                    <w:top w:val="none" w:sz="0" w:space="0" w:color="auto"/>
                    <w:left w:val="none" w:sz="0" w:space="0" w:color="auto"/>
                    <w:bottom w:val="none" w:sz="0" w:space="0" w:color="auto"/>
                    <w:right w:val="none" w:sz="0" w:space="0" w:color="auto"/>
                  </w:divBdr>
                </w:div>
                <w:div w:id="1776898956">
                  <w:marLeft w:val="480"/>
                  <w:marRight w:val="0"/>
                  <w:marTop w:val="0"/>
                  <w:marBottom w:val="0"/>
                  <w:divBdr>
                    <w:top w:val="none" w:sz="0" w:space="0" w:color="auto"/>
                    <w:left w:val="none" w:sz="0" w:space="0" w:color="auto"/>
                    <w:bottom w:val="none" w:sz="0" w:space="0" w:color="auto"/>
                    <w:right w:val="none" w:sz="0" w:space="0" w:color="auto"/>
                  </w:divBdr>
                </w:div>
                <w:div w:id="1120147303">
                  <w:marLeft w:val="480"/>
                  <w:marRight w:val="0"/>
                  <w:marTop w:val="0"/>
                  <w:marBottom w:val="0"/>
                  <w:divBdr>
                    <w:top w:val="none" w:sz="0" w:space="0" w:color="auto"/>
                    <w:left w:val="none" w:sz="0" w:space="0" w:color="auto"/>
                    <w:bottom w:val="none" w:sz="0" w:space="0" w:color="auto"/>
                    <w:right w:val="none" w:sz="0" w:space="0" w:color="auto"/>
                  </w:divBdr>
                </w:div>
                <w:div w:id="670720992">
                  <w:marLeft w:val="480"/>
                  <w:marRight w:val="0"/>
                  <w:marTop w:val="0"/>
                  <w:marBottom w:val="0"/>
                  <w:divBdr>
                    <w:top w:val="none" w:sz="0" w:space="0" w:color="auto"/>
                    <w:left w:val="none" w:sz="0" w:space="0" w:color="auto"/>
                    <w:bottom w:val="none" w:sz="0" w:space="0" w:color="auto"/>
                    <w:right w:val="none" w:sz="0" w:space="0" w:color="auto"/>
                  </w:divBdr>
                </w:div>
                <w:div w:id="1678271324">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1477457">
      <w:bodyDiv w:val="1"/>
      <w:marLeft w:val="0"/>
      <w:marRight w:val="0"/>
      <w:marTop w:val="0"/>
      <w:marBottom w:val="0"/>
      <w:divBdr>
        <w:top w:val="none" w:sz="0" w:space="0" w:color="auto"/>
        <w:left w:val="none" w:sz="0" w:space="0" w:color="auto"/>
        <w:bottom w:val="none" w:sz="0" w:space="0" w:color="auto"/>
        <w:right w:val="none" w:sz="0" w:space="0" w:color="auto"/>
      </w:divBdr>
    </w:div>
    <w:div w:id="1221556441">
      <w:bodyDiv w:val="1"/>
      <w:marLeft w:val="0"/>
      <w:marRight w:val="0"/>
      <w:marTop w:val="0"/>
      <w:marBottom w:val="0"/>
      <w:divBdr>
        <w:top w:val="none" w:sz="0" w:space="0" w:color="auto"/>
        <w:left w:val="none" w:sz="0" w:space="0" w:color="auto"/>
        <w:bottom w:val="none" w:sz="0" w:space="0" w:color="auto"/>
        <w:right w:val="none" w:sz="0" w:space="0" w:color="auto"/>
      </w:divBdr>
    </w:div>
    <w:div w:id="1221793480">
      <w:bodyDiv w:val="1"/>
      <w:marLeft w:val="0"/>
      <w:marRight w:val="0"/>
      <w:marTop w:val="0"/>
      <w:marBottom w:val="0"/>
      <w:divBdr>
        <w:top w:val="none" w:sz="0" w:space="0" w:color="auto"/>
        <w:left w:val="none" w:sz="0" w:space="0" w:color="auto"/>
        <w:bottom w:val="none" w:sz="0" w:space="0" w:color="auto"/>
        <w:right w:val="none" w:sz="0" w:space="0" w:color="auto"/>
      </w:divBdr>
    </w:div>
    <w:div w:id="1221868821">
      <w:bodyDiv w:val="1"/>
      <w:marLeft w:val="0"/>
      <w:marRight w:val="0"/>
      <w:marTop w:val="0"/>
      <w:marBottom w:val="0"/>
      <w:divBdr>
        <w:top w:val="none" w:sz="0" w:space="0" w:color="auto"/>
        <w:left w:val="none" w:sz="0" w:space="0" w:color="auto"/>
        <w:bottom w:val="none" w:sz="0" w:space="0" w:color="auto"/>
        <w:right w:val="none" w:sz="0" w:space="0" w:color="auto"/>
      </w:divBdr>
    </w:div>
    <w:div w:id="1221985836">
      <w:bodyDiv w:val="1"/>
      <w:marLeft w:val="0"/>
      <w:marRight w:val="0"/>
      <w:marTop w:val="0"/>
      <w:marBottom w:val="0"/>
      <w:divBdr>
        <w:top w:val="none" w:sz="0" w:space="0" w:color="auto"/>
        <w:left w:val="none" w:sz="0" w:space="0" w:color="auto"/>
        <w:bottom w:val="none" w:sz="0" w:space="0" w:color="auto"/>
        <w:right w:val="none" w:sz="0" w:space="0" w:color="auto"/>
      </w:divBdr>
    </w:div>
    <w:div w:id="1222399760">
      <w:bodyDiv w:val="1"/>
      <w:marLeft w:val="0"/>
      <w:marRight w:val="0"/>
      <w:marTop w:val="0"/>
      <w:marBottom w:val="0"/>
      <w:divBdr>
        <w:top w:val="none" w:sz="0" w:space="0" w:color="auto"/>
        <w:left w:val="none" w:sz="0" w:space="0" w:color="auto"/>
        <w:bottom w:val="none" w:sz="0" w:space="0" w:color="auto"/>
        <w:right w:val="none" w:sz="0" w:space="0" w:color="auto"/>
      </w:divBdr>
    </w:div>
    <w:div w:id="1222717032">
      <w:bodyDiv w:val="1"/>
      <w:marLeft w:val="0"/>
      <w:marRight w:val="0"/>
      <w:marTop w:val="0"/>
      <w:marBottom w:val="0"/>
      <w:divBdr>
        <w:top w:val="none" w:sz="0" w:space="0" w:color="auto"/>
        <w:left w:val="none" w:sz="0" w:space="0" w:color="auto"/>
        <w:bottom w:val="none" w:sz="0" w:space="0" w:color="auto"/>
        <w:right w:val="none" w:sz="0" w:space="0" w:color="auto"/>
      </w:divBdr>
    </w:div>
    <w:div w:id="1223054832">
      <w:bodyDiv w:val="1"/>
      <w:marLeft w:val="0"/>
      <w:marRight w:val="0"/>
      <w:marTop w:val="0"/>
      <w:marBottom w:val="0"/>
      <w:divBdr>
        <w:top w:val="none" w:sz="0" w:space="0" w:color="auto"/>
        <w:left w:val="none" w:sz="0" w:space="0" w:color="auto"/>
        <w:bottom w:val="none" w:sz="0" w:space="0" w:color="auto"/>
        <w:right w:val="none" w:sz="0" w:space="0" w:color="auto"/>
      </w:divBdr>
    </w:div>
    <w:div w:id="1223251631">
      <w:bodyDiv w:val="1"/>
      <w:marLeft w:val="0"/>
      <w:marRight w:val="0"/>
      <w:marTop w:val="0"/>
      <w:marBottom w:val="0"/>
      <w:divBdr>
        <w:top w:val="none" w:sz="0" w:space="0" w:color="auto"/>
        <w:left w:val="none" w:sz="0" w:space="0" w:color="auto"/>
        <w:bottom w:val="none" w:sz="0" w:space="0" w:color="auto"/>
        <w:right w:val="none" w:sz="0" w:space="0" w:color="auto"/>
      </w:divBdr>
    </w:div>
    <w:div w:id="1224753143">
      <w:bodyDiv w:val="1"/>
      <w:marLeft w:val="0"/>
      <w:marRight w:val="0"/>
      <w:marTop w:val="0"/>
      <w:marBottom w:val="0"/>
      <w:divBdr>
        <w:top w:val="none" w:sz="0" w:space="0" w:color="auto"/>
        <w:left w:val="none" w:sz="0" w:space="0" w:color="auto"/>
        <w:bottom w:val="none" w:sz="0" w:space="0" w:color="auto"/>
        <w:right w:val="none" w:sz="0" w:space="0" w:color="auto"/>
      </w:divBdr>
    </w:div>
    <w:div w:id="1225025567">
      <w:bodyDiv w:val="1"/>
      <w:marLeft w:val="0"/>
      <w:marRight w:val="0"/>
      <w:marTop w:val="0"/>
      <w:marBottom w:val="0"/>
      <w:divBdr>
        <w:top w:val="none" w:sz="0" w:space="0" w:color="auto"/>
        <w:left w:val="none" w:sz="0" w:space="0" w:color="auto"/>
        <w:bottom w:val="none" w:sz="0" w:space="0" w:color="auto"/>
        <w:right w:val="none" w:sz="0" w:space="0" w:color="auto"/>
      </w:divBdr>
    </w:div>
    <w:div w:id="1225027632">
      <w:bodyDiv w:val="1"/>
      <w:marLeft w:val="0"/>
      <w:marRight w:val="0"/>
      <w:marTop w:val="0"/>
      <w:marBottom w:val="0"/>
      <w:divBdr>
        <w:top w:val="none" w:sz="0" w:space="0" w:color="auto"/>
        <w:left w:val="none" w:sz="0" w:space="0" w:color="auto"/>
        <w:bottom w:val="none" w:sz="0" w:space="0" w:color="auto"/>
        <w:right w:val="none" w:sz="0" w:space="0" w:color="auto"/>
      </w:divBdr>
    </w:div>
    <w:div w:id="1225028704">
      <w:bodyDiv w:val="1"/>
      <w:marLeft w:val="0"/>
      <w:marRight w:val="0"/>
      <w:marTop w:val="0"/>
      <w:marBottom w:val="0"/>
      <w:divBdr>
        <w:top w:val="none" w:sz="0" w:space="0" w:color="auto"/>
        <w:left w:val="none" w:sz="0" w:space="0" w:color="auto"/>
        <w:bottom w:val="none" w:sz="0" w:space="0" w:color="auto"/>
        <w:right w:val="none" w:sz="0" w:space="0" w:color="auto"/>
      </w:divBdr>
    </w:div>
    <w:div w:id="1225751775">
      <w:bodyDiv w:val="1"/>
      <w:marLeft w:val="0"/>
      <w:marRight w:val="0"/>
      <w:marTop w:val="0"/>
      <w:marBottom w:val="0"/>
      <w:divBdr>
        <w:top w:val="none" w:sz="0" w:space="0" w:color="auto"/>
        <w:left w:val="none" w:sz="0" w:space="0" w:color="auto"/>
        <w:bottom w:val="none" w:sz="0" w:space="0" w:color="auto"/>
        <w:right w:val="none" w:sz="0" w:space="0" w:color="auto"/>
      </w:divBdr>
    </w:div>
    <w:div w:id="1226068411">
      <w:bodyDiv w:val="1"/>
      <w:marLeft w:val="0"/>
      <w:marRight w:val="0"/>
      <w:marTop w:val="0"/>
      <w:marBottom w:val="0"/>
      <w:divBdr>
        <w:top w:val="none" w:sz="0" w:space="0" w:color="auto"/>
        <w:left w:val="none" w:sz="0" w:space="0" w:color="auto"/>
        <w:bottom w:val="none" w:sz="0" w:space="0" w:color="auto"/>
        <w:right w:val="none" w:sz="0" w:space="0" w:color="auto"/>
      </w:divBdr>
    </w:div>
    <w:div w:id="1226377814">
      <w:bodyDiv w:val="1"/>
      <w:marLeft w:val="0"/>
      <w:marRight w:val="0"/>
      <w:marTop w:val="0"/>
      <w:marBottom w:val="0"/>
      <w:divBdr>
        <w:top w:val="none" w:sz="0" w:space="0" w:color="auto"/>
        <w:left w:val="none" w:sz="0" w:space="0" w:color="auto"/>
        <w:bottom w:val="none" w:sz="0" w:space="0" w:color="auto"/>
        <w:right w:val="none" w:sz="0" w:space="0" w:color="auto"/>
      </w:divBdr>
    </w:div>
    <w:div w:id="1226524795">
      <w:bodyDiv w:val="1"/>
      <w:marLeft w:val="0"/>
      <w:marRight w:val="0"/>
      <w:marTop w:val="0"/>
      <w:marBottom w:val="0"/>
      <w:divBdr>
        <w:top w:val="none" w:sz="0" w:space="0" w:color="auto"/>
        <w:left w:val="none" w:sz="0" w:space="0" w:color="auto"/>
        <w:bottom w:val="none" w:sz="0" w:space="0" w:color="auto"/>
        <w:right w:val="none" w:sz="0" w:space="0" w:color="auto"/>
      </w:divBdr>
    </w:div>
    <w:div w:id="1226725824">
      <w:bodyDiv w:val="1"/>
      <w:marLeft w:val="0"/>
      <w:marRight w:val="0"/>
      <w:marTop w:val="0"/>
      <w:marBottom w:val="0"/>
      <w:divBdr>
        <w:top w:val="none" w:sz="0" w:space="0" w:color="auto"/>
        <w:left w:val="none" w:sz="0" w:space="0" w:color="auto"/>
        <w:bottom w:val="none" w:sz="0" w:space="0" w:color="auto"/>
        <w:right w:val="none" w:sz="0" w:space="0" w:color="auto"/>
      </w:divBdr>
    </w:div>
    <w:div w:id="1227565114">
      <w:bodyDiv w:val="1"/>
      <w:marLeft w:val="0"/>
      <w:marRight w:val="0"/>
      <w:marTop w:val="0"/>
      <w:marBottom w:val="0"/>
      <w:divBdr>
        <w:top w:val="none" w:sz="0" w:space="0" w:color="auto"/>
        <w:left w:val="none" w:sz="0" w:space="0" w:color="auto"/>
        <w:bottom w:val="none" w:sz="0" w:space="0" w:color="auto"/>
        <w:right w:val="none" w:sz="0" w:space="0" w:color="auto"/>
      </w:divBdr>
      <w:divsChild>
        <w:div w:id="11029201">
          <w:marLeft w:val="480"/>
          <w:marRight w:val="0"/>
          <w:marTop w:val="0"/>
          <w:marBottom w:val="0"/>
          <w:divBdr>
            <w:top w:val="none" w:sz="0" w:space="0" w:color="auto"/>
            <w:left w:val="none" w:sz="0" w:space="0" w:color="auto"/>
            <w:bottom w:val="none" w:sz="0" w:space="0" w:color="auto"/>
            <w:right w:val="none" w:sz="0" w:space="0" w:color="auto"/>
          </w:divBdr>
        </w:div>
        <w:div w:id="1809977855">
          <w:marLeft w:val="480"/>
          <w:marRight w:val="0"/>
          <w:marTop w:val="0"/>
          <w:marBottom w:val="0"/>
          <w:divBdr>
            <w:top w:val="none" w:sz="0" w:space="0" w:color="auto"/>
            <w:left w:val="none" w:sz="0" w:space="0" w:color="auto"/>
            <w:bottom w:val="none" w:sz="0" w:space="0" w:color="auto"/>
            <w:right w:val="none" w:sz="0" w:space="0" w:color="auto"/>
          </w:divBdr>
        </w:div>
        <w:div w:id="1841658550">
          <w:marLeft w:val="480"/>
          <w:marRight w:val="0"/>
          <w:marTop w:val="0"/>
          <w:marBottom w:val="0"/>
          <w:divBdr>
            <w:top w:val="none" w:sz="0" w:space="0" w:color="auto"/>
            <w:left w:val="none" w:sz="0" w:space="0" w:color="auto"/>
            <w:bottom w:val="none" w:sz="0" w:space="0" w:color="auto"/>
            <w:right w:val="none" w:sz="0" w:space="0" w:color="auto"/>
          </w:divBdr>
        </w:div>
        <w:div w:id="887374311">
          <w:marLeft w:val="480"/>
          <w:marRight w:val="0"/>
          <w:marTop w:val="0"/>
          <w:marBottom w:val="0"/>
          <w:divBdr>
            <w:top w:val="none" w:sz="0" w:space="0" w:color="auto"/>
            <w:left w:val="none" w:sz="0" w:space="0" w:color="auto"/>
            <w:bottom w:val="none" w:sz="0" w:space="0" w:color="auto"/>
            <w:right w:val="none" w:sz="0" w:space="0" w:color="auto"/>
          </w:divBdr>
        </w:div>
        <w:div w:id="2030133256">
          <w:marLeft w:val="480"/>
          <w:marRight w:val="0"/>
          <w:marTop w:val="0"/>
          <w:marBottom w:val="0"/>
          <w:divBdr>
            <w:top w:val="none" w:sz="0" w:space="0" w:color="auto"/>
            <w:left w:val="none" w:sz="0" w:space="0" w:color="auto"/>
            <w:bottom w:val="none" w:sz="0" w:space="0" w:color="auto"/>
            <w:right w:val="none" w:sz="0" w:space="0" w:color="auto"/>
          </w:divBdr>
        </w:div>
        <w:div w:id="1598833334">
          <w:marLeft w:val="480"/>
          <w:marRight w:val="0"/>
          <w:marTop w:val="0"/>
          <w:marBottom w:val="0"/>
          <w:divBdr>
            <w:top w:val="none" w:sz="0" w:space="0" w:color="auto"/>
            <w:left w:val="none" w:sz="0" w:space="0" w:color="auto"/>
            <w:bottom w:val="none" w:sz="0" w:space="0" w:color="auto"/>
            <w:right w:val="none" w:sz="0" w:space="0" w:color="auto"/>
          </w:divBdr>
        </w:div>
        <w:div w:id="1205168247">
          <w:marLeft w:val="480"/>
          <w:marRight w:val="0"/>
          <w:marTop w:val="0"/>
          <w:marBottom w:val="0"/>
          <w:divBdr>
            <w:top w:val="none" w:sz="0" w:space="0" w:color="auto"/>
            <w:left w:val="none" w:sz="0" w:space="0" w:color="auto"/>
            <w:bottom w:val="none" w:sz="0" w:space="0" w:color="auto"/>
            <w:right w:val="none" w:sz="0" w:space="0" w:color="auto"/>
          </w:divBdr>
        </w:div>
        <w:div w:id="615067845">
          <w:marLeft w:val="480"/>
          <w:marRight w:val="0"/>
          <w:marTop w:val="0"/>
          <w:marBottom w:val="0"/>
          <w:divBdr>
            <w:top w:val="none" w:sz="0" w:space="0" w:color="auto"/>
            <w:left w:val="none" w:sz="0" w:space="0" w:color="auto"/>
            <w:bottom w:val="none" w:sz="0" w:space="0" w:color="auto"/>
            <w:right w:val="none" w:sz="0" w:space="0" w:color="auto"/>
          </w:divBdr>
        </w:div>
        <w:div w:id="2129157129">
          <w:marLeft w:val="480"/>
          <w:marRight w:val="0"/>
          <w:marTop w:val="0"/>
          <w:marBottom w:val="0"/>
          <w:divBdr>
            <w:top w:val="none" w:sz="0" w:space="0" w:color="auto"/>
            <w:left w:val="none" w:sz="0" w:space="0" w:color="auto"/>
            <w:bottom w:val="none" w:sz="0" w:space="0" w:color="auto"/>
            <w:right w:val="none" w:sz="0" w:space="0" w:color="auto"/>
          </w:divBdr>
        </w:div>
        <w:div w:id="1391886318">
          <w:marLeft w:val="480"/>
          <w:marRight w:val="0"/>
          <w:marTop w:val="0"/>
          <w:marBottom w:val="0"/>
          <w:divBdr>
            <w:top w:val="none" w:sz="0" w:space="0" w:color="auto"/>
            <w:left w:val="none" w:sz="0" w:space="0" w:color="auto"/>
            <w:bottom w:val="none" w:sz="0" w:space="0" w:color="auto"/>
            <w:right w:val="none" w:sz="0" w:space="0" w:color="auto"/>
          </w:divBdr>
        </w:div>
        <w:div w:id="1102146739">
          <w:marLeft w:val="480"/>
          <w:marRight w:val="0"/>
          <w:marTop w:val="0"/>
          <w:marBottom w:val="0"/>
          <w:divBdr>
            <w:top w:val="none" w:sz="0" w:space="0" w:color="auto"/>
            <w:left w:val="none" w:sz="0" w:space="0" w:color="auto"/>
            <w:bottom w:val="none" w:sz="0" w:space="0" w:color="auto"/>
            <w:right w:val="none" w:sz="0" w:space="0" w:color="auto"/>
          </w:divBdr>
        </w:div>
        <w:div w:id="2007320925">
          <w:marLeft w:val="480"/>
          <w:marRight w:val="0"/>
          <w:marTop w:val="0"/>
          <w:marBottom w:val="0"/>
          <w:divBdr>
            <w:top w:val="none" w:sz="0" w:space="0" w:color="auto"/>
            <w:left w:val="none" w:sz="0" w:space="0" w:color="auto"/>
            <w:bottom w:val="none" w:sz="0" w:space="0" w:color="auto"/>
            <w:right w:val="none" w:sz="0" w:space="0" w:color="auto"/>
          </w:divBdr>
        </w:div>
        <w:div w:id="664357856">
          <w:marLeft w:val="480"/>
          <w:marRight w:val="0"/>
          <w:marTop w:val="0"/>
          <w:marBottom w:val="0"/>
          <w:divBdr>
            <w:top w:val="none" w:sz="0" w:space="0" w:color="auto"/>
            <w:left w:val="none" w:sz="0" w:space="0" w:color="auto"/>
            <w:bottom w:val="none" w:sz="0" w:space="0" w:color="auto"/>
            <w:right w:val="none" w:sz="0" w:space="0" w:color="auto"/>
          </w:divBdr>
        </w:div>
        <w:div w:id="868377938">
          <w:marLeft w:val="480"/>
          <w:marRight w:val="0"/>
          <w:marTop w:val="0"/>
          <w:marBottom w:val="0"/>
          <w:divBdr>
            <w:top w:val="none" w:sz="0" w:space="0" w:color="auto"/>
            <w:left w:val="none" w:sz="0" w:space="0" w:color="auto"/>
            <w:bottom w:val="none" w:sz="0" w:space="0" w:color="auto"/>
            <w:right w:val="none" w:sz="0" w:space="0" w:color="auto"/>
          </w:divBdr>
        </w:div>
        <w:div w:id="1537960263">
          <w:marLeft w:val="480"/>
          <w:marRight w:val="0"/>
          <w:marTop w:val="0"/>
          <w:marBottom w:val="0"/>
          <w:divBdr>
            <w:top w:val="none" w:sz="0" w:space="0" w:color="auto"/>
            <w:left w:val="none" w:sz="0" w:space="0" w:color="auto"/>
            <w:bottom w:val="none" w:sz="0" w:space="0" w:color="auto"/>
            <w:right w:val="none" w:sz="0" w:space="0" w:color="auto"/>
          </w:divBdr>
        </w:div>
        <w:div w:id="1355761920">
          <w:marLeft w:val="480"/>
          <w:marRight w:val="0"/>
          <w:marTop w:val="0"/>
          <w:marBottom w:val="0"/>
          <w:divBdr>
            <w:top w:val="none" w:sz="0" w:space="0" w:color="auto"/>
            <w:left w:val="none" w:sz="0" w:space="0" w:color="auto"/>
            <w:bottom w:val="none" w:sz="0" w:space="0" w:color="auto"/>
            <w:right w:val="none" w:sz="0" w:space="0" w:color="auto"/>
          </w:divBdr>
        </w:div>
        <w:div w:id="1287081997">
          <w:marLeft w:val="480"/>
          <w:marRight w:val="0"/>
          <w:marTop w:val="0"/>
          <w:marBottom w:val="0"/>
          <w:divBdr>
            <w:top w:val="none" w:sz="0" w:space="0" w:color="auto"/>
            <w:left w:val="none" w:sz="0" w:space="0" w:color="auto"/>
            <w:bottom w:val="none" w:sz="0" w:space="0" w:color="auto"/>
            <w:right w:val="none" w:sz="0" w:space="0" w:color="auto"/>
          </w:divBdr>
        </w:div>
        <w:div w:id="2055423353">
          <w:marLeft w:val="480"/>
          <w:marRight w:val="0"/>
          <w:marTop w:val="0"/>
          <w:marBottom w:val="0"/>
          <w:divBdr>
            <w:top w:val="none" w:sz="0" w:space="0" w:color="auto"/>
            <w:left w:val="none" w:sz="0" w:space="0" w:color="auto"/>
            <w:bottom w:val="none" w:sz="0" w:space="0" w:color="auto"/>
            <w:right w:val="none" w:sz="0" w:space="0" w:color="auto"/>
          </w:divBdr>
        </w:div>
        <w:div w:id="517041571">
          <w:marLeft w:val="480"/>
          <w:marRight w:val="0"/>
          <w:marTop w:val="0"/>
          <w:marBottom w:val="0"/>
          <w:divBdr>
            <w:top w:val="none" w:sz="0" w:space="0" w:color="auto"/>
            <w:left w:val="none" w:sz="0" w:space="0" w:color="auto"/>
            <w:bottom w:val="none" w:sz="0" w:space="0" w:color="auto"/>
            <w:right w:val="none" w:sz="0" w:space="0" w:color="auto"/>
          </w:divBdr>
        </w:div>
        <w:div w:id="493882755">
          <w:marLeft w:val="480"/>
          <w:marRight w:val="0"/>
          <w:marTop w:val="0"/>
          <w:marBottom w:val="0"/>
          <w:divBdr>
            <w:top w:val="none" w:sz="0" w:space="0" w:color="auto"/>
            <w:left w:val="none" w:sz="0" w:space="0" w:color="auto"/>
            <w:bottom w:val="none" w:sz="0" w:space="0" w:color="auto"/>
            <w:right w:val="none" w:sz="0" w:space="0" w:color="auto"/>
          </w:divBdr>
        </w:div>
        <w:div w:id="1839534509">
          <w:marLeft w:val="480"/>
          <w:marRight w:val="0"/>
          <w:marTop w:val="0"/>
          <w:marBottom w:val="0"/>
          <w:divBdr>
            <w:top w:val="none" w:sz="0" w:space="0" w:color="auto"/>
            <w:left w:val="none" w:sz="0" w:space="0" w:color="auto"/>
            <w:bottom w:val="none" w:sz="0" w:space="0" w:color="auto"/>
            <w:right w:val="none" w:sz="0" w:space="0" w:color="auto"/>
          </w:divBdr>
        </w:div>
        <w:div w:id="58788457">
          <w:marLeft w:val="480"/>
          <w:marRight w:val="0"/>
          <w:marTop w:val="0"/>
          <w:marBottom w:val="0"/>
          <w:divBdr>
            <w:top w:val="none" w:sz="0" w:space="0" w:color="auto"/>
            <w:left w:val="none" w:sz="0" w:space="0" w:color="auto"/>
            <w:bottom w:val="none" w:sz="0" w:space="0" w:color="auto"/>
            <w:right w:val="none" w:sz="0" w:space="0" w:color="auto"/>
          </w:divBdr>
        </w:div>
        <w:div w:id="1717966625">
          <w:marLeft w:val="480"/>
          <w:marRight w:val="0"/>
          <w:marTop w:val="0"/>
          <w:marBottom w:val="0"/>
          <w:divBdr>
            <w:top w:val="none" w:sz="0" w:space="0" w:color="auto"/>
            <w:left w:val="none" w:sz="0" w:space="0" w:color="auto"/>
            <w:bottom w:val="none" w:sz="0" w:space="0" w:color="auto"/>
            <w:right w:val="none" w:sz="0" w:space="0" w:color="auto"/>
          </w:divBdr>
        </w:div>
        <w:div w:id="380204926">
          <w:marLeft w:val="480"/>
          <w:marRight w:val="0"/>
          <w:marTop w:val="0"/>
          <w:marBottom w:val="0"/>
          <w:divBdr>
            <w:top w:val="none" w:sz="0" w:space="0" w:color="auto"/>
            <w:left w:val="none" w:sz="0" w:space="0" w:color="auto"/>
            <w:bottom w:val="none" w:sz="0" w:space="0" w:color="auto"/>
            <w:right w:val="none" w:sz="0" w:space="0" w:color="auto"/>
          </w:divBdr>
        </w:div>
        <w:div w:id="1243832114">
          <w:marLeft w:val="480"/>
          <w:marRight w:val="0"/>
          <w:marTop w:val="0"/>
          <w:marBottom w:val="0"/>
          <w:divBdr>
            <w:top w:val="none" w:sz="0" w:space="0" w:color="auto"/>
            <w:left w:val="none" w:sz="0" w:space="0" w:color="auto"/>
            <w:bottom w:val="none" w:sz="0" w:space="0" w:color="auto"/>
            <w:right w:val="none" w:sz="0" w:space="0" w:color="auto"/>
          </w:divBdr>
        </w:div>
        <w:div w:id="850608014">
          <w:marLeft w:val="480"/>
          <w:marRight w:val="0"/>
          <w:marTop w:val="0"/>
          <w:marBottom w:val="0"/>
          <w:divBdr>
            <w:top w:val="none" w:sz="0" w:space="0" w:color="auto"/>
            <w:left w:val="none" w:sz="0" w:space="0" w:color="auto"/>
            <w:bottom w:val="none" w:sz="0" w:space="0" w:color="auto"/>
            <w:right w:val="none" w:sz="0" w:space="0" w:color="auto"/>
          </w:divBdr>
        </w:div>
        <w:div w:id="133108611">
          <w:marLeft w:val="480"/>
          <w:marRight w:val="0"/>
          <w:marTop w:val="0"/>
          <w:marBottom w:val="0"/>
          <w:divBdr>
            <w:top w:val="none" w:sz="0" w:space="0" w:color="auto"/>
            <w:left w:val="none" w:sz="0" w:space="0" w:color="auto"/>
            <w:bottom w:val="none" w:sz="0" w:space="0" w:color="auto"/>
            <w:right w:val="none" w:sz="0" w:space="0" w:color="auto"/>
          </w:divBdr>
        </w:div>
        <w:div w:id="1437020509">
          <w:marLeft w:val="480"/>
          <w:marRight w:val="0"/>
          <w:marTop w:val="0"/>
          <w:marBottom w:val="0"/>
          <w:divBdr>
            <w:top w:val="none" w:sz="0" w:space="0" w:color="auto"/>
            <w:left w:val="none" w:sz="0" w:space="0" w:color="auto"/>
            <w:bottom w:val="none" w:sz="0" w:space="0" w:color="auto"/>
            <w:right w:val="none" w:sz="0" w:space="0" w:color="auto"/>
          </w:divBdr>
        </w:div>
        <w:div w:id="1350138539">
          <w:marLeft w:val="480"/>
          <w:marRight w:val="0"/>
          <w:marTop w:val="0"/>
          <w:marBottom w:val="0"/>
          <w:divBdr>
            <w:top w:val="none" w:sz="0" w:space="0" w:color="auto"/>
            <w:left w:val="none" w:sz="0" w:space="0" w:color="auto"/>
            <w:bottom w:val="none" w:sz="0" w:space="0" w:color="auto"/>
            <w:right w:val="none" w:sz="0" w:space="0" w:color="auto"/>
          </w:divBdr>
        </w:div>
        <w:div w:id="66804144">
          <w:marLeft w:val="480"/>
          <w:marRight w:val="0"/>
          <w:marTop w:val="0"/>
          <w:marBottom w:val="0"/>
          <w:divBdr>
            <w:top w:val="none" w:sz="0" w:space="0" w:color="auto"/>
            <w:left w:val="none" w:sz="0" w:space="0" w:color="auto"/>
            <w:bottom w:val="none" w:sz="0" w:space="0" w:color="auto"/>
            <w:right w:val="none" w:sz="0" w:space="0" w:color="auto"/>
          </w:divBdr>
        </w:div>
        <w:div w:id="1191802867">
          <w:marLeft w:val="480"/>
          <w:marRight w:val="0"/>
          <w:marTop w:val="0"/>
          <w:marBottom w:val="0"/>
          <w:divBdr>
            <w:top w:val="none" w:sz="0" w:space="0" w:color="auto"/>
            <w:left w:val="none" w:sz="0" w:space="0" w:color="auto"/>
            <w:bottom w:val="none" w:sz="0" w:space="0" w:color="auto"/>
            <w:right w:val="none" w:sz="0" w:space="0" w:color="auto"/>
          </w:divBdr>
        </w:div>
        <w:div w:id="2072189517">
          <w:marLeft w:val="480"/>
          <w:marRight w:val="0"/>
          <w:marTop w:val="0"/>
          <w:marBottom w:val="0"/>
          <w:divBdr>
            <w:top w:val="none" w:sz="0" w:space="0" w:color="auto"/>
            <w:left w:val="none" w:sz="0" w:space="0" w:color="auto"/>
            <w:bottom w:val="none" w:sz="0" w:space="0" w:color="auto"/>
            <w:right w:val="none" w:sz="0" w:space="0" w:color="auto"/>
          </w:divBdr>
        </w:div>
        <w:div w:id="1578704017">
          <w:marLeft w:val="480"/>
          <w:marRight w:val="0"/>
          <w:marTop w:val="0"/>
          <w:marBottom w:val="0"/>
          <w:divBdr>
            <w:top w:val="none" w:sz="0" w:space="0" w:color="auto"/>
            <w:left w:val="none" w:sz="0" w:space="0" w:color="auto"/>
            <w:bottom w:val="none" w:sz="0" w:space="0" w:color="auto"/>
            <w:right w:val="none" w:sz="0" w:space="0" w:color="auto"/>
          </w:divBdr>
        </w:div>
        <w:div w:id="1899895507">
          <w:marLeft w:val="480"/>
          <w:marRight w:val="0"/>
          <w:marTop w:val="0"/>
          <w:marBottom w:val="0"/>
          <w:divBdr>
            <w:top w:val="none" w:sz="0" w:space="0" w:color="auto"/>
            <w:left w:val="none" w:sz="0" w:space="0" w:color="auto"/>
            <w:bottom w:val="none" w:sz="0" w:space="0" w:color="auto"/>
            <w:right w:val="none" w:sz="0" w:space="0" w:color="auto"/>
          </w:divBdr>
        </w:div>
        <w:div w:id="1253977496">
          <w:marLeft w:val="480"/>
          <w:marRight w:val="0"/>
          <w:marTop w:val="0"/>
          <w:marBottom w:val="0"/>
          <w:divBdr>
            <w:top w:val="none" w:sz="0" w:space="0" w:color="auto"/>
            <w:left w:val="none" w:sz="0" w:space="0" w:color="auto"/>
            <w:bottom w:val="none" w:sz="0" w:space="0" w:color="auto"/>
            <w:right w:val="none" w:sz="0" w:space="0" w:color="auto"/>
          </w:divBdr>
        </w:div>
        <w:div w:id="1286888576">
          <w:marLeft w:val="480"/>
          <w:marRight w:val="0"/>
          <w:marTop w:val="0"/>
          <w:marBottom w:val="0"/>
          <w:divBdr>
            <w:top w:val="none" w:sz="0" w:space="0" w:color="auto"/>
            <w:left w:val="none" w:sz="0" w:space="0" w:color="auto"/>
            <w:bottom w:val="none" w:sz="0" w:space="0" w:color="auto"/>
            <w:right w:val="none" w:sz="0" w:space="0" w:color="auto"/>
          </w:divBdr>
        </w:div>
        <w:div w:id="969359290">
          <w:marLeft w:val="480"/>
          <w:marRight w:val="0"/>
          <w:marTop w:val="0"/>
          <w:marBottom w:val="0"/>
          <w:divBdr>
            <w:top w:val="none" w:sz="0" w:space="0" w:color="auto"/>
            <w:left w:val="none" w:sz="0" w:space="0" w:color="auto"/>
            <w:bottom w:val="none" w:sz="0" w:space="0" w:color="auto"/>
            <w:right w:val="none" w:sz="0" w:space="0" w:color="auto"/>
          </w:divBdr>
        </w:div>
        <w:div w:id="128473560">
          <w:marLeft w:val="480"/>
          <w:marRight w:val="0"/>
          <w:marTop w:val="0"/>
          <w:marBottom w:val="0"/>
          <w:divBdr>
            <w:top w:val="none" w:sz="0" w:space="0" w:color="auto"/>
            <w:left w:val="none" w:sz="0" w:space="0" w:color="auto"/>
            <w:bottom w:val="none" w:sz="0" w:space="0" w:color="auto"/>
            <w:right w:val="none" w:sz="0" w:space="0" w:color="auto"/>
          </w:divBdr>
        </w:div>
        <w:div w:id="264853541">
          <w:marLeft w:val="480"/>
          <w:marRight w:val="0"/>
          <w:marTop w:val="0"/>
          <w:marBottom w:val="0"/>
          <w:divBdr>
            <w:top w:val="none" w:sz="0" w:space="0" w:color="auto"/>
            <w:left w:val="none" w:sz="0" w:space="0" w:color="auto"/>
            <w:bottom w:val="none" w:sz="0" w:space="0" w:color="auto"/>
            <w:right w:val="none" w:sz="0" w:space="0" w:color="auto"/>
          </w:divBdr>
        </w:div>
        <w:div w:id="2053387115">
          <w:marLeft w:val="480"/>
          <w:marRight w:val="0"/>
          <w:marTop w:val="0"/>
          <w:marBottom w:val="0"/>
          <w:divBdr>
            <w:top w:val="none" w:sz="0" w:space="0" w:color="auto"/>
            <w:left w:val="none" w:sz="0" w:space="0" w:color="auto"/>
            <w:bottom w:val="none" w:sz="0" w:space="0" w:color="auto"/>
            <w:right w:val="none" w:sz="0" w:space="0" w:color="auto"/>
          </w:divBdr>
        </w:div>
        <w:div w:id="1176191687">
          <w:marLeft w:val="480"/>
          <w:marRight w:val="0"/>
          <w:marTop w:val="0"/>
          <w:marBottom w:val="0"/>
          <w:divBdr>
            <w:top w:val="none" w:sz="0" w:space="0" w:color="auto"/>
            <w:left w:val="none" w:sz="0" w:space="0" w:color="auto"/>
            <w:bottom w:val="none" w:sz="0" w:space="0" w:color="auto"/>
            <w:right w:val="none" w:sz="0" w:space="0" w:color="auto"/>
          </w:divBdr>
        </w:div>
        <w:div w:id="1879004402">
          <w:marLeft w:val="480"/>
          <w:marRight w:val="0"/>
          <w:marTop w:val="0"/>
          <w:marBottom w:val="0"/>
          <w:divBdr>
            <w:top w:val="none" w:sz="0" w:space="0" w:color="auto"/>
            <w:left w:val="none" w:sz="0" w:space="0" w:color="auto"/>
            <w:bottom w:val="none" w:sz="0" w:space="0" w:color="auto"/>
            <w:right w:val="none" w:sz="0" w:space="0" w:color="auto"/>
          </w:divBdr>
        </w:div>
        <w:div w:id="2054234300">
          <w:marLeft w:val="480"/>
          <w:marRight w:val="0"/>
          <w:marTop w:val="0"/>
          <w:marBottom w:val="0"/>
          <w:divBdr>
            <w:top w:val="none" w:sz="0" w:space="0" w:color="auto"/>
            <w:left w:val="none" w:sz="0" w:space="0" w:color="auto"/>
            <w:bottom w:val="none" w:sz="0" w:space="0" w:color="auto"/>
            <w:right w:val="none" w:sz="0" w:space="0" w:color="auto"/>
          </w:divBdr>
        </w:div>
        <w:div w:id="886644405">
          <w:marLeft w:val="480"/>
          <w:marRight w:val="0"/>
          <w:marTop w:val="0"/>
          <w:marBottom w:val="0"/>
          <w:divBdr>
            <w:top w:val="none" w:sz="0" w:space="0" w:color="auto"/>
            <w:left w:val="none" w:sz="0" w:space="0" w:color="auto"/>
            <w:bottom w:val="none" w:sz="0" w:space="0" w:color="auto"/>
            <w:right w:val="none" w:sz="0" w:space="0" w:color="auto"/>
          </w:divBdr>
        </w:div>
        <w:div w:id="1258565302">
          <w:marLeft w:val="480"/>
          <w:marRight w:val="0"/>
          <w:marTop w:val="0"/>
          <w:marBottom w:val="0"/>
          <w:divBdr>
            <w:top w:val="none" w:sz="0" w:space="0" w:color="auto"/>
            <w:left w:val="none" w:sz="0" w:space="0" w:color="auto"/>
            <w:bottom w:val="none" w:sz="0" w:space="0" w:color="auto"/>
            <w:right w:val="none" w:sz="0" w:space="0" w:color="auto"/>
          </w:divBdr>
        </w:div>
        <w:div w:id="201331290">
          <w:marLeft w:val="480"/>
          <w:marRight w:val="0"/>
          <w:marTop w:val="0"/>
          <w:marBottom w:val="0"/>
          <w:divBdr>
            <w:top w:val="none" w:sz="0" w:space="0" w:color="auto"/>
            <w:left w:val="none" w:sz="0" w:space="0" w:color="auto"/>
            <w:bottom w:val="none" w:sz="0" w:space="0" w:color="auto"/>
            <w:right w:val="none" w:sz="0" w:space="0" w:color="auto"/>
          </w:divBdr>
        </w:div>
        <w:div w:id="1555123741">
          <w:marLeft w:val="480"/>
          <w:marRight w:val="0"/>
          <w:marTop w:val="0"/>
          <w:marBottom w:val="0"/>
          <w:divBdr>
            <w:top w:val="none" w:sz="0" w:space="0" w:color="auto"/>
            <w:left w:val="none" w:sz="0" w:space="0" w:color="auto"/>
            <w:bottom w:val="none" w:sz="0" w:space="0" w:color="auto"/>
            <w:right w:val="none" w:sz="0" w:space="0" w:color="auto"/>
          </w:divBdr>
        </w:div>
        <w:div w:id="294718562">
          <w:marLeft w:val="480"/>
          <w:marRight w:val="0"/>
          <w:marTop w:val="0"/>
          <w:marBottom w:val="0"/>
          <w:divBdr>
            <w:top w:val="none" w:sz="0" w:space="0" w:color="auto"/>
            <w:left w:val="none" w:sz="0" w:space="0" w:color="auto"/>
            <w:bottom w:val="none" w:sz="0" w:space="0" w:color="auto"/>
            <w:right w:val="none" w:sz="0" w:space="0" w:color="auto"/>
          </w:divBdr>
        </w:div>
        <w:div w:id="1784417264">
          <w:marLeft w:val="480"/>
          <w:marRight w:val="0"/>
          <w:marTop w:val="0"/>
          <w:marBottom w:val="0"/>
          <w:divBdr>
            <w:top w:val="none" w:sz="0" w:space="0" w:color="auto"/>
            <w:left w:val="none" w:sz="0" w:space="0" w:color="auto"/>
            <w:bottom w:val="none" w:sz="0" w:space="0" w:color="auto"/>
            <w:right w:val="none" w:sz="0" w:space="0" w:color="auto"/>
          </w:divBdr>
        </w:div>
        <w:div w:id="974064520">
          <w:marLeft w:val="480"/>
          <w:marRight w:val="0"/>
          <w:marTop w:val="0"/>
          <w:marBottom w:val="0"/>
          <w:divBdr>
            <w:top w:val="none" w:sz="0" w:space="0" w:color="auto"/>
            <w:left w:val="none" w:sz="0" w:space="0" w:color="auto"/>
            <w:bottom w:val="none" w:sz="0" w:space="0" w:color="auto"/>
            <w:right w:val="none" w:sz="0" w:space="0" w:color="auto"/>
          </w:divBdr>
        </w:div>
        <w:div w:id="1154831334">
          <w:marLeft w:val="480"/>
          <w:marRight w:val="0"/>
          <w:marTop w:val="0"/>
          <w:marBottom w:val="0"/>
          <w:divBdr>
            <w:top w:val="none" w:sz="0" w:space="0" w:color="auto"/>
            <w:left w:val="none" w:sz="0" w:space="0" w:color="auto"/>
            <w:bottom w:val="none" w:sz="0" w:space="0" w:color="auto"/>
            <w:right w:val="none" w:sz="0" w:space="0" w:color="auto"/>
          </w:divBdr>
        </w:div>
        <w:div w:id="2062897122">
          <w:marLeft w:val="480"/>
          <w:marRight w:val="0"/>
          <w:marTop w:val="0"/>
          <w:marBottom w:val="0"/>
          <w:divBdr>
            <w:top w:val="none" w:sz="0" w:space="0" w:color="auto"/>
            <w:left w:val="none" w:sz="0" w:space="0" w:color="auto"/>
            <w:bottom w:val="none" w:sz="0" w:space="0" w:color="auto"/>
            <w:right w:val="none" w:sz="0" w:space="0" w:color="auto"/>
          </w:divBdr>
        </w:div>
        <w:div w:id="296185237">
          <w:marLeft w:val="480"/>
          <w:marRight w:val="0"/>
          <w:marTop w:val="0"/>
          <w:marBottom w:val="0"/>
          <w:divBdr>
            <w:top w:val="none" w:sz="0" w:space="0" w:color="auto"/>
            <w:left w:val="none" w:sz="0" w:space="0" w:color="auto"/>
            <w:bottom w:val="none" w:sz="0" w:space="0" w:color="auto"/>
            <w:right w:val="none" w:sz="0" w:space="0" w:color="auto"/>
          </w:divBdr>
        </w:div>
        <w:div w:id="297223648">
          <w:marLeft w:val="480"/>
          <w:marRight w:val="0"/>
          <w:marTop w:val="0"/>
          <w:marBottom w:val="0"/>
          <w:divBdr>
            <w:top w:val="none" w:sz="0" w:space="0" w:color="auto"/>
            <w:left w:val="none" w:sz="0" w:space="0" w:color="auto"/>
            <w:bottom w:val="none" w:sz="0" w:space="0" w:color="auto"/>
            <w:right w:val="none" w:sz="0" w:space="0" w:color="auto"/>
          </w:divBdr>
        </w:div>
        <w:div w:id="90661947">
          <w:marLeft w:val="480"/>
          <w:marRight w:val="0"/>
          <w:marTop w:val="0"/>
          <w:marBottom w:val="0"/>
          <w:divBdr>
            <w:top w:val="none" w:sz="0" w:space="0" w:color="auto"/>
            <w:left w:val="none" w:sz="0" w:space="0" w:color="auto"/>
            <w:bottom w:val="none" w:sz="0" w:space="0" w:color="auto"/>
            <w:right w:val="none" w:sz="0" w:space="0" w:color="auto"/>
          </w:divBdr>
        </w:div>
        <w:div w:id="808940264">
          <w:marLeft w:val="480"/>
          <w:marRight w:val="0"/>
          <w:marTop w:val="0"/>
          <w:marBottom w:val="0"/>
          <w:divBdr>
            <w:top w:val="none" w:sz="0" w:space="0" w:color="auto"/>
            <w:left w:val="none" w:sz="0" w:space="0" w:color="auto"/>
            <w:bottom w:val="none" w:sz="0" w:space="0" w:color="auto"/>
            <w:right w:val="none" w:sz="0" w:space="0" w:color="auto"/>
          </w:divBdr>
        </w:div>
        <w:div w:id="500656343">
          <w:marLeft w:val="480"/>
          <w:marRight w:val="0"/>
          <w:marTop w:val="0"/>
          <w:marBottom w:val="0"/>
          <w:divBdr>
            <w:top w:val="none" w:sz="0" w:space="0" w:color="auto"/>
            <w:left w:val="none" w:sz="0" w:space="0" w:color="auto"/>
            <w:bottom w:val="none" w:sz="0" w:space="0" w:color="auto"/>
            <w:right w:val="none" w:sz="0" w:space="0" w:color="auto"/>
          </w:divBdr>
        </w:div>
        <w:div w:id="1684894306">
          <w:marLeft w:val="480"/>
          <w:marRight w:val="0"/>
          <w:marTop w:val="0"/>
          <w:marBottom w:val="0"/>
          <w:divBdr>
            <w:top w:val="none" w:sz="0" w:space="0" w:color="auto"/>
            <w:left w:val="none" w:sz="0" w:space="0" w:color="auto"/>
            <w:bottom w:val="none" w:sz="0" w:space="0" w:color="auto"/>
            <w:right w:val="none" w:sz="0" w:space="0" w:color="auto"/>
          </w:divBdr>
        </w:div>
        <w:div w:id="268701322">
          <w:marLeft w:val="480"/>
          <w:marRight w:val="0"/>
          <w:marTop w:val="0"/>
          <w:marBottom w:val="0"/>
          <w:divBdr>
            <w:top w:val="none" w:sz="0" w:space="0" w:color="auto"/>
            <w:left w:val="none" w:sz="0" w:space="0" w:color="auto"/>
            <w:bottom w:val="none" w:sz="0" w:space="0" w:color="auto"/>
            <w:right w:val="none" w:sz="0" w:space="0" w:color="auto"/>
          </w:divBdr>
        </w:div>
        <w:div w:id="830830305">
          <w:marLeft w:val="480"/>
          <w:marRight w:val="0"/>
          <w:marTop w:val="0"/>
          <w:marBottom w:val="0"/>
          <w:divBdr>
            <w:top w:val="none" w:sz="0" w:space="0" w:color="auto"/>
            <w:left w:val="none" w:sz="0" w:space="0" w:color="auto"/>
            <w:bottom w:val="none" w:sz="0" w:space="0" w:color="auto"/>
            <w:right w:val="none" w:sz="0" w:space="0" w:color="auto"/>
          </w:divBdr>
        </w:div>
        <w:div w:id="463280241">
          <w:marLeft w:val="480"/>
          <w:marRight w:val="0"/>
          <w:marTop w:val="0"/>
          <w:marBottom w:val="0"/>
          <w:divBdr>
            <w:top w:val="none" w:sz="0" w:space="0" w:color="auto"/>
            <w:left w:val="none" w:sz="0" w:space="0" w:color="auto"/>
            <w:bottom w:val="none" w:sz="0" w:space="0" w:color="auto"/>
            <w:right w:val="none" w:sz="0" w:space="0" w:color="auto"/>
          </w:divBdr>
        </w:div>
        <w:div w:id="1918588002">
          <w:marLeft w:val="480"/>
          <w:marRight w:val="0"/>
          <w:marTop w:val="0"/>
          <w:marBottom w:val="0"/>
          <w:divBdr>
            <w:top w:val="none" w:sz="0" w:space="0" w:color="auto"/>
            <w:left w:val="none" w:sz="0" w:space="0" w:color="auto"/>
            <w:bottom w:val="none" w:sz="0" w:space="0" w:color="auto"/>
            <w:right w:val="none" w:sz="0" w:space="0" w:color="auto"/>
          </w:divBdr>
        </w:div>
        <w:div w:id="780104704">
          <w:marLeft w:val="480"/>
          <w:marRight w:val="0"/>
          <w:marTop w:val="0"/>
          <w:marBottom w:val="0"/>
          <w:divBdr>
            <w:top w:val="none" w:sz="0" w:space="0" w:color="auto"/>
            <w:left w:val="none" w:sz="0" w:space="0" w:color="auto"/>
            <w:bottom w:val="none" w:sz="0" w:space="0" w:color="auto"/>
            <w:right w:val="none" w:sz="0" w:space="0" w:color="auto"/>
          </w:divBdr>
        </w:div>
        <w:div w:id="1364751223">
          <w:marLeft w:val="480"/>
          <w:marRight w:val="0"/>
          <w:marTop w:val="0"/>
          <w:marBottom w:val="0"/>
          <w:divBdr>
            <w:top w:val="none" w:sz="0" w:space="0" w:color="auto"/>
            <w:left w:val="none" w:sz="0" w:space="0" w:color="auto"/>
            <w:bottom w:val="none" w:sz="0" w:space="0" w:color="auto"/>
            <w:right w:val="none" w:sz="0" w:space="0" w:color="auto"/>
          </w:divBdr>
        </w:div>
        <w:div w:id="845022703">
          <w:marLeft w:val="480"/>
          <w:marRight w:val="0"/>
          <w:marTop w:val="0"/>
          <w:marBottom w:val="0"/>
          <w:divBdr>
            <w:top w:val="none" w:sz="0" w:space="0" w:color="auto"/>
            <w:left w:val="none" w:sz="0" w:space="0" w:color="auto"/>
            <w:bottom w:val="none" w:sz="0" w:space="0" w:color="auto"/>
            <w:right w:val="none" w:sz="0" w:space="0" w:color="auto"/>
          </w:divBdr>
        </w:div>
        <w:div w:id="730469145">
          <w:marLeft w:val="480"/>
          <w:marRight w:val="0"/>
          <w:marTop w:val="0"/>
          <w:marBottom w:val="0"/>
          <w:divBdr>
            <w:top w:val="none" w:sz="0" w:space="0" w:color="auto"/>
            <w:left w:val="none" w:sz="0" w:space="0" w:color="auto"/>
            <w:bottom w:val="none" w:sz="0" w:space="0" w:color="auto"/>
            <w:right w:val="none" w:sz="0" w:space="0" w:color="auto"/>
          </w:divBdr>
        </w:div>
        <w:div w:id="1037243241">
          <w:marLeft w:val="480"/>
          <w:marRight w:val="0"/>
          <w:marTop w:val="0"/>
          <w:marBottom w:val="0"/>
          <w:divBdr>
            <w:top w:val="none" w:sz="0" w:space="0" w:color="auto"/>
            <w:left w:val="none" w:sz="0" w:space="0" w:color="auto"/>
            <w:bottom w:val="none" w:sz="0" w:space="0" w:color="auto"/>
            <w:right w:val="none" w:sz="0" w:space="0" w:color="auto"/>
          </w:divBdr>
        </w:div>
        <w:div w:id="625311226">
          <w:marLeft w:val="480"/>
          <w:marRight w:val="0"/>
          <w:marTop w:val="0"/>
          <w:marBottom w:val="0"/>
          <w:divBdr>
            <w:top w:val="none" w:sz="0" w:space="0" w:color="auto"/>
            <w:left w:val="none" w:sz="0" w:space="0" w:color="auto"/>
            <w:bottom w:val="none" w:sz="0" w:space="0" w:color="auto"/>
            <w:right w:val="none" w:sz="0" w:space="0" w:color="auto"/>
          </w:divBdr>
        </w:div>
        <w:div w:id="562371406">
          <w:marLeft w:val="480"/>
          <w:marRight w:val="0"/>
          <w:marTop w:val="0"/>
          <w:marBottom w:val="0"/>
          <w:divBdr>
            <w:top w:val="none" w:sz="0" w:space="0" w:color="auto"/>
            <w:left w:val="none" w:sz="0" w:space="0" w:color="auto"/>
            <w:bottom w:val="none" w:sz="0" w:space="0" w:color="auto"/>
            <w:right w:val="none" w:sz="0" w:space="0" w:color="auto"/>
          </w:divBdr>
        </w:div>
        <w:div w:id="238952221">
          <w:marLeft w:val="480"/>
          <w:marRight w:val="0"/>
          <w:marTop w:val="0"/>
          <w:marBottom w:val="0"/>
          <w:divBdr>
            <w:top w:val="none" w:sz="0" w:space="0" w:color="auto"/>
            <w:left w:val="none" w:sz="0" w:space="0" w:color="auto"/>
            <w:bottom w:val="none" w:sz="0" w:space="0" w:color="auto"/>
            <w:right w:val="none" w:sz="0" w:space="0" w:color="auto"/>
          </w:divBdr>
        </w:div>
        <w:div w:id="1274169709">
          <w:marLeft w:val="480"/>
          <w:marRight w:val="0"/>
          <w:marTop w:val="0"/>
          <w:marBottom w:val="0"/>
          <w:divBdr>
            <w:top w:val="none" w:sz="0" w:space="0" w:color="auto"/>
            <w:left w:val="none" w:sz="0" w:space="0" w:color="auto"/>
            <w:bottom w:val="none" w:sz="0" w:space="0" w:color="auto"/>
            <w:right w:val="none" w:sz="0" w:space="0" w:color="auto"/>
          </w:divBdr>
        </w:div>
        <w:div w:id="235240658">
          <w:marLeft w:val="480"/>
          <w:marRight w:val="0"/>
          <w:marTop w:val="0"/>
          <w:marBottom w:val="0"/>
          <w:divBdr>
            <w:top w:val="none" w:sz="0" w:space="0" w:color="auto"/>
            <w:left w:val="none" w:sz="0" w:space="0" w:color="auto"/>
            <w:bottom w:val="none" w:sz="0" w:space="0" w:color="auto"/>
            <w:right w:val="none" w:sz="0" w:space="0" w:color="auto"/>
          </w:divBdr>
        </w:div>
        <w:div w:id="24406981">
          <w:marLeft w:val="480"/>
          <w:marRight w:val="0"/>
          <w:marTop w:val="0"/>
          <w:marBottom w:val="0"/>
          <w:divBdr>
            <w:top w:val="none" w:sz="0" w:space="0" w:color="auto"/>
            <w:left w:val="none" w:sz="0" w:space="0" w:color="auto"/>
            <w:bottom w:val="none" w:sz="0" w:space="0" w:color="auto"/>
            <w:right w:val="none" w:sz="0" w:space="0" w:color="auto"/>
          </w:divBdr>
        </w:div>
        <w:div w:id="270556160">
          <w:marLeft w:val="480"/>
          <w:marRight w:val="0"/>
          <w:marTop w:val="0"/>
          <w:marBottom w:val="0"/>
          <w:divBdr>
            <w:top w:val="none" w:sz="0" w:space="0" w:color="auto"/>
            <w:left w:val="none" w:sz="0" w:space="0" w:color="auto"/>
            <w:bottom w:val="none" w:sz="0" w:space="0" w:color="auto"/>
            <w:right w:val="none" w:sz="0" w:space="0" w:color="auto"/>
          </w:divBdr>
        </w:div>
        <w:div w:id="1606380314">
          <w:marLeft w:val="480"/>
          <w:marRight w:val="0"/>
          <w:marTop w:val="0"/>
          <w:marBottom w:val="0"/>
          <w:divBdr>
            <w:top w:val="none" w:sz="0" w:space="0" w:color="auto"/>
            <w:left w:val="none" w:sz="0" w:space="0" w:color="auto"/>
            <w:bottom w:val="none" w:sz="0" w:space="0" w:color="auto"/>
            <w:right w:val="none" w:sz="0" w:space="0" w:color="auto"/>
          </w:divBdr>
        </w:div>
        <w:div w:id="1529567699">
          <w:marLeft w:val="480"/>
          <w:marRight w:val="0"/>
          <w:marTop w:val="0"/>
          <w:marBottom w:val="0"/>
          <w:divBdr>
            <w:top w:val="none" w:sz="0" w:space="0" w:color="auto"/>
            <w:left w:val="none" w:sz="0" w:space="0" w:color="auto"/>
            <w:bottom w:val="none" w:sz="0" w:space="0" w:color="auto"/>
            <w:right w:val="none" w:sz="0" w:space="0" w:color="auto"/>
          </w:divBdr>
        </w:div>
        <w:div w:id="982853439">
          <w:marLeft w:val="480"/>
          <w:marRight w:val="0"/>
          <w:marTop w:val="0"/>
          <w:marBottom w:val="0"/>
          <w:divBdr>
            <w:top w:val="none" w:sz="0" w:space="0" w:color="auto"/>
            <w:left w:val="none" w:sz="0" w:space="0" w:color="auto"/>
            <w:bottom w:val="none" w:sz="0" w:space="0" w:color="auto"/>
            <w:right w:val="none" w:sz="0" w:space="0" w:color="auto"/>
          </w:divBdr>
        </w:div>
        <w:div w:id="278033544">
          <w:marLeft w:val="480"/>
          <w:marRight w:val="0"/>
          <w:marTop w:val="0"/>
          <w:marBottom w:val="0"/>
          <w:divBdr>
            <w:top w:val="none" w:sz="0" w:space="0" w:color="auto"/>
            <w:left w:val="none" w:sz="0" w:space="0" w:color="auto"/>
            <w:bottom w:val="none" w:sz="0" w:space="0" w:color="auto"/>
            <w:right w:val="none" w:sz="0" w:space="0" w:color="auto"/>
          </w:divBdr>
        </w:div>
        <w:div w:id="109397558">
          <w:marLeft w:val="480"/>
          <w:marRight w:val="0"/>
          <w:marTop w:val="0"/>
          <w:marBottom w:val="0"/>
          <w:divBdr>
            <w:top w:val="none" w:sz="0" w:space="0" w:color="auto"/>
            <w:left w:val="none" w:sz="0" w:space="0" w:color="auto"/>
            <w:bottom w:val="none" w:sz="0" w:space="0" w:color="auto"/>
            <w:right w:val="none" w:sz="0" w:space="0" w:color="auto"/>
          </w:divBdr>
        </w:div>
        <w:div w:id="1751660107">
          <w:marLeft w:val="480"/>
          <w:marRight w:val="0"/>
          <w:marTop w:val="0"/>
          <w:marBottom w:val="0"/>
          <w:divBdr>
            <w:top w:val="none" w:sz="0" w:space="0" w:color="auto"/>
            <w:left w:val="none" w:sz="0" w:space="0" w:color="auto"/>
            <w:bottom w:val="none" w:sz="0" w:space="0" w:color="auto"/>
            <w:right w:val="none" w:sz="0" w:space="0" w:color="auto"/>
          </w:divBdr>
        </w:div>
        <w:div w:id="642201060">
          <w:marLeft w:val="480"/>
          <w:marRight w:val="0"/>
          <w:marTop w:val="0"/>
          <w:marBottom w:val="0"/>
          <w:divBdr>
            <w:top w:val="none" w:sz="0" w:space="0" w:color="auto"/>
            <w:left w:val="none" w:sz="0" w:space="0" w:color="auto"/>
            <w:bottom w:val="none" w:sz="0" w:space="0" w:color="auto"/>
            <w:right w:val="none" w:sz="0" w:space="0" w:color="auto"/>
          </w:divBdr>
        </w:div>
        <w:div w:id="321471704">
          <w:marLeft w:val="480"/>
          <w:marRight w:val="0"/>
          <w:marTop w:val="0"/>
          <w:marBottom w:val="0"/>
          <w:divBdr>
            <w:top w:val="none" w:sz="0" w:space="0" w:color="auto"/>
            <w:left w:val="none" w:sz="0" w:space="0" w:color="auto"/>
            <w:bottom w:val="none" w:sz="0" w:space="0" w:color="auto"/>
            <w:right w:val="none" w:sz="0" w:space="0" w:color="auto"/>
          </w:divBdr>
        </w:div>
        <w:div w:id="871960720">
          <w:marLeft w:val="480"/>
          <w:marRight w:val="0"/>
          <w:marTop w:val="0"/>
          <w:marBottom w:val="0"/>
          <w:divBdr>
            <w:top w:val="none" w:sz="0" w:space="0" w:color="auto"/>
            <w:left w:val="none" w:sz="0" w:space="0" w:color="auto"/>
            <w:bottom w:val="none" w:sz="0" w:space="0" w:color="auto"/>
            <w:right w:val="none" w:sz="0" w:space="0" w:color="auto"/>
          </w:divBdr>
        </w:div>
        <w:div w:id="1949316928">
          <w:marLeft w:val="480"/>
          <w:marRight w:val="0"/>
          <w:marTop w:val="0"/>
          <w:marBottom w:val="0"/>
          <w:divBdr>
            <w:top w:val="none" w:sz="0" w:space="0" w:color="auto"/>
            <w:left w:val="none" w:sz="0" w:space="0" w:color="auto"/>
            <w:bottom w:val="none" w:sz="0" w:space="0" w:color="auto"/>
            <w:right w:val="none" w:sz="0" w:space="0" w:color="auto"/>
          </w:divBdr>
        </w:div>
        <w:div w:id="1574661541">
          <w:marLeft w:val="480"/>
          <w:marRight w:val="0"/>
          <w:marTop w:val="0"/>
          <w:marBottom w:val="0"/>
          <w:divBdr>
            <w:top w:val="none" w:sz="0" w:space="0" w:color="auto"/>
            <w:left w:val="none" w:sz="0" w:space="0" w:color="auto"/>
            <w:bottom w:val="none" w:sz="0" w:space="0" w:color="auto"/>
            <w:right w:val="none" w:sz="0" w:space="0" w:color="auto"/>
          </w:divBdr>
        </w:div>
        <w:div w:id="1426026540">
          <w:marLeft w:val="480"/>
          <w:marRight w:val="0"/>
          <w:marTop w:val="0"/>
          <w:marBottom w:val="0"/>
          <w:divBdr>
            <w:top w:val="none" w:sz="0" w:space="0" w:color="auto"/>
            <w:left w:val="none" w:sz="0" w:space="0" w:color="auto"/>
            <w:bottom w:val="none" w:sz="0" w:space="0" w:color="auto"/>
            <w:right w:val="none" w:sz="0" w:space="0" w:color="auto"/>
          </w:divBdr>
        </w:div>
        <w:div w:id="1714764499">
          <w:marLeft w:val="480"/>
          <w:marRight w:val="0"/>
          <w:marTop w:val="0"/>
          <w:marBottom w:val="0"/>
          <w:divBdr>
            <w:top w:val="none" w:sz="0" w:space="0" w:color="auto"/>
            <w:left w:val="none" w:sz="0" w:space="0" w:color="auto"/>
            <w:bottom w:val="none" w:sz="0" w:space="0" w:color="auto"/>
            <w:right w:val="none" w:sz="0" w:space="0" w:color="auto"/>
          </w:divBdr>
        </w:div>
        <w:div w:id="1315451671">
          <w:marLeft w:val="480"/>
          <w:marRight w:val="0"/>
          <w:marTop w:val="0"/>
          <w:marBottom w:val="0"/>
          <w:divBdr>
            <w:top w:val="none" w:sz="0" w:space="0" w:color="auto"/>
            <w:left w:val="none" w:sz="0" w:space="0" w:color="auto"/>
            <w:bottom w:val="none" w:sz="0" w:space="0" w:color="auto"/>
            <w:right w:val="none" w:sz="0" w:space="0" w:color="auto"/>
          </w:divBdr>
        </w:div>
        <w:div w:id="1816946885">
          <w:marLeft w:val="480"/>
          <w:marRight w:val="0"/>
          <w:marTop w:val="0"/>
          <w:marBottom w:val="0"/>
          <w:divBdr>
            <w:top w:val="none" w:sz="0" w:space="0" w:color="auto"/>
            <w:left w:val="none" w:sz="0" w:space="0" w:color="auto"/>
            <w:bottom w:val="none" w:sz="0" w:space="0" w:color="auto"/>
            <w:right w:val="none" w:sz="0" w:space="0" w:color="auto"/>
          </w:divBdr>
        </w:div>
        <w:div w:id="271285729">
          <w:marLeft w:val="480"/>
          <w:marRight w:val="0"/>
          <w:marTop w:val="0"/>
          <w:marBottom w:val="0"/>
          <w:divBdr>
            <w:top w:val="none" w:sz="0" w:space="0" w:color="auto"/>
            <w:left w:val="none" w:sz="0" w:space="0" w:color="auto"/>
            <w:bottom w:val="none" w:sz="0" w:space="0" w:color="auto"/>
            <w:right w:val="none" w:sz="0" w:space="0" w:color="auto"/>
          </w:divBdr>
        </w:div>
        <w:div w:id="354884399">
          <w:marLeft w:val="480"/>
          <w:marRight w:val="0"/>
          <w:marTop w:val="0"/>
          <w:marBottom w:val="0"/>
          <w:divBdr>
            <w:top w:val="none" w:sz="0" w:space="0" w:color="auto"/>
            <w:left w:val="none" w:sz="0" w:space="0" w:color="auto"/>
            <w:bottom w:val="none" w:sz="0" w:space="0" w:color="auto"/>
            <w:right w:val="none" w:sz="0" w:space="0" w:color="auto"/>
          </w:divBdr>
        </w:div>
        <w:div w:id="108277428">
          <w:marLeft w:val="480"/>
          <w:marRight w:val="0"/>
          <w:marTop w:val="0"/>
          <w:marBottom w:val="0"/>
          <w:divBdr>
            <w:top w:val="none" w:sz="0" w:space="0" w:color="auto"/>
            <w:left w:val="none" w:sz="0" w:space="0" w:color="auto"/>
            <w:bottom w:val="none" w:sz="0" w:space="0" w:color="auto"/>
            <w:right w:val="none" w:sz="0" w:space="0" w:color="auto"/>
          </w:divBdr>
        </w:div>
        <w:div w:id="1629971722">
          <w:marLeft w:val="480"/>
          <w:marRight w:val="0"/>
          <w:marTop w:val="0"/>
          <w:marBottom w:val="0"/>
          <w:divBdr>
            <w:top w:val="none" w:sz="0" w:space="0" w:color="auto"/>
            <w:left w:val="none" w:sz="0" w:space="0" w:color="auto"/>
            <w:bottom w:val="none" w:sz="0" w:space="0" w:color="auto"/>
            <w:right w:val="none" w:sz="0" w:space="0" w:color="auto"/>
          </w:divBdr>
        </w:div>
        <w:div w:id="631180106">
          <w:marLeft w:val="480"/>
          <w:marRight w:val="0"/>
          <w:marTop w:val="0"/>
          <w:marBottom w:val="0"/>
          <w:divBdr>
            <w:top w:val="none" w:sz="0" w:space="0" w:color="auto"/>
            <w:left w:val="none" w:sz="0" w:space="0" w:color="auto"/>
            <w:bottom w:val="none" w:sz="0" w:space="0" w:color="auto"/>
            <w:right w:val="none" w:sz="0" w:space="0" w:color="auto"/>
          </w:divBdr>
        </w:div>
        <w:div w:id="1484931117">
          <w:marLeft w:val="480"/>
          <w:marRight w:val="0"/>
          <w:marTop w:val="0"/>
          <w:marBottom w:val="0"/>
          <w:divBdr>
            <w:top w:val="none" w:sz="0" w:space="0" w:color="auto"/>
            <w:left w:val="none" w:sz="0" w:space="0" w:color="auto"/>
            <w:bottom w:val="none" w:sz="0" w:space="0" w:color="auto"/>
            <w:right w:val="none" w:sz="0" w:space="0" w:color="auto"/>
          </w:divBdr>
        </w:div>
        <w:div w:id="668212415">
          <w:marLeft w:val="480"/>
          <w:marRight w:val="0"/>
          <w:marTop w:val="0"/>
          <w:marBottom w:val="0"/>
          <w:divBdr>
            <w:top w:val="none" w:sz="0" w:space="0" w:color="auto"/>
            <w:left w:val="none" w:sz="0" w:space="0" w:color="auto"/>
            <w:bottom w:val="none" w:sz="0" w:space="0" w:color="auto"/>
            <w:right w:val="none" w:sz="0" w:space="0" w:color="auto"/>
          </w:divBdr>
        </w:div>
        <w:div w:id="1878425328">
          <w:marLeft w:val="480"/>
          <w:marRight w:val="0"/>
          <w:marTop w:val="0"/>
          <w:marBottom w:val="0"/>
          <w:divBdr>
            <w:top w:val="none" w:sz="0" w:space="0" w:color="auto"/>
            <w:left w:val="none" w:sz="0" w:space="0" w:color="auto"/>
            <w:bottom w:val="none" w:sz="0" w:space="0" w:color="auto"/>
            <w:right w:val="none" w:sz="0" w:space="0" w:color="auto"/>
          </w:divBdr>
        </w:div>
        <w:div w:id="827867356">
          <w:marLeft w:val="480"/>
          <w:marRight w:val="0"/>
          <w:marTop w:val="0"/>
          <w:marBottom w:val="0"/>
          <w:divBdr>
            <w:top w:val="none" w:sz="0" w:space="0" w:color="auto"/>
            <w:left w:val="none" w:sz="0" w:space="0" w:color="auto"/>
            <w:bottom w:val="none" w:sz="0" w:space="0" w:color="auto"/>
            <w:right w:val="none" w:sz="0" w:space="0" w:color="auto"/>
          </w:divBdr>
        </w:div>
        <w:div w:id="1878470714">
          <w:marLeft w:val="480"/>
          <w:marRight w:val="0"/>
          <w:marTop w:val="0"/>
          <w:marBottom w:val="0"/>
          <w:divBdr>
            <w:top w:val="none" w:sz="0" w:space="0" w:color="auto"/>
            <w:left w:val="none" w:sz="0" w:space="0" w:color="auto"/>
            <w:bottom w:val="none" w:sz="0" w:space="0" w:color="auto"/>
            <w:right w:val="none" w:sz="0" w:space="0" w:color="auto"/>
          </w:divBdr>
        </w:div>
        <w:div w:id="107243969">
          <w:marLeft w:val="480"/>
          <w:marRight w:val="0"/>
          <w:marTop w:val="0"/>
          <w:marBottom w:val="0"/>
          <w:divBdr>
            <w:top w:val="none" w:sz="0" w:space="0" w:color="auto"/>
            <w:left w:val="none" w:sz="0" w:space="0" w:color="auto"/>
            <w:bottom w:val="none" w:sz="0" w:space="0" w:color="auto"/>
            <w:right w:val="none" w:sz="0" w:space="0" w:color="auto"/>
          </w:divBdr>
        </w:div>
        <w:div w:id="464277076">
          <w:marLeft w:val="480"/>
          <w:marRight w:val="0"/>
          <w:marTop w:val="0"/>
          <w:marBottom w:val="0"/>
          <w:divBdr>
            <w:top w:val="none" w:sz="0" w:space="0" w:color="auto"/>
            <w:left w:val="none" w:sz="0" w:space="0" w:color="auto"/>
            <w:bottom w:val="none" w:sz="0" w:space="0" w:color="auto"/>
            <w:right w:val="none" w:sz="0" w:space="0" w:color="auto"/>
          </w:divBdr>
        </w:div>
        <w:div w:id="1849253624">
          <w:marLeft w:val="480"/>
          <w:marRight w:val="0"/>
          <w:marTop w:val="0"/>
          <w:marBottom w:val="0"/>
          <w:divBdr>
            <w:top w:val="none" w:sz="0" w:space="0" w:color="auto"/>
            <w:left w:val="none" w:sz="0" w:space="0" w:color="auto"/>
            <w:bottom w:val="none" w:sz="0" w:space="0" w:color="auto"/>
            <w:right w:val="none" w:sz="0" w:space="0" w:color="auto"/>
          </w:divBdr>
        </w:div>
        <w:div w:id="1292051564">
          <w:marLeft w:val="480"/>
          <w:marRight w:val="0"/>
          <w:marTop w:val="0"/>
          <w:marBottom w:val="0"/>
          <w:divBdr>
            <w:top w:val="none" w:sz="0" w:space="0" w:color="auto"/>
            <w:left w:val="none" w:sz="0" w:space="0" w:color="auto"/>
            <w:bottom w:val="none" w:sz="0" w:space="0" w:color="auto"/>
            <w:right w:val="none" w:sz="0" w:space="0" w:color="auto"/>
          </w:divBdr>
        </w:div>
        <w:div w:id="284578668">
          <w:marLeft w:val="480"/>
          <w:marRight w:val="0"/>
          <w:marTop w:val="0"/>
          <w:marBottom w:val="0"/>
          <w:divBdr>
            <w:top w:val="none" w:sz="0" w:space="0" w:color="auto"/>
            <w:left w:val="none" w:sz="0" w:space="0" w:color="auto"/>
            <w:bottom w:val="none" w:sz="0" w:space="0" w:color="auto"/>
            <w:right w:val="none" w:sz="0" w:space="0" w:color="auto"/>
          </w:divBdr>
        </w:div>
        <w:div w:id="2140607530">
          <w:marLeft w:val="480"/>
          <w:marRight w:val="0"/>
          <w:marTop w:val="0"/>
          <w:marBottom w:val="0"/>
          <w:divBdr>
            <w:top w:val="none" w:sz="0" w:space="0" w:color="auto"/>
            <w:left w:val="none" w:sz="0" w:space="0" w:color="auto"/>
            <w:bottom w:val="none" w:sz="0" w:space="0" w:color="auto"/>
            <w:right w:val="none" w:sz="0" w:space="0" w:color="auto"/>
          </w:divBdr>
        </w:div>
        <w:div w:id="269360860">
          <w:marLeft w:val="480"/>
          <w:marRight w:val="0"/>
          <w:marTop w:val="0"/>
          <w:marBottom w:val="0"/>
          <w:divBdr>
            <w:top w:val="none" w:sz="0" w:space="0" w:color="auto"/>
            <w:left w:val="none" w:sz="0" w:space="0" w:color="auto"/>
            <w:bottom w:val="none" w:sz="0" w:space="0" w:color="auto"/>
            <w:right w:val="none" w:sz="0" w:space="0" w:color="auto"/>
          </w:divBdr>
        </w:div>
        <w:div w:id="1823083924">
          <w:marLeft w:val="480"/>
          <w:marRight w:val="0"/>
          <w:marTop w:val="0"/>
          <w:marBottom w:val="0"/>
          <w:divBdr>
            <w:top w:val="none" w:sz="0" w:space="0" w:color="auto"/>
            <w:left w:val="none" w:sz="0" w:space="0" w:color="auto"/>
            <w:bottom w:val="none" w:sz="0" w:space="0" w:color="auto"/>
            <w:right w:val="none" w:sz="0" w:space="0" w:color="auto"/>
          </w:divBdr>
        </w:div>
        <w:div w:id="117528121">
          <w:marLeft w:val="480"/>
          <w:marRight w:val="0"/>
          <w:marTop w:val="0"/>
          <w:marBottom w:val="0"/>
          <w:divBdr>
            <w:top w:val="none" w:sz="0" w:space="0" w:color="auto"/>
            <w:left w:val="none" w:sz="0" w:space="0" w:color="auto"/>
            <w:bottom w:val="none" w:sz="0" w:space="0" w:color="auto"/>
            <w:right w:val="none" w:sz="0" w:space="0" w:color="auto"/>
          </w:divBdr>
        </w:div>
        <w:div w:id="1721781509">
          <w:marLeft w:val="480"/>
          <w:marRight w:val="0"/>
          <w:marTop w:val="0"/>
          <w:marBottom w:val="0"/>
          <w:divBdr>
            <w:top w:val="none" w:sz="0" w:space="0" w:color="auto"/>
            <w:left w:val="none" w:sz="0" w:space="0" w:color="auto"/>
            <w:bottom w:val="none" w:sz="0" w:space="0" w:color="auto"/>
            <w:right w:val="none" w:sz="0" w:space="0" w:color="auto"/>
          </w:divBdr>
        </w:div>
        <w:div w:id="654653091">
          <w:marLeft w:val="480"/>
          <w:marRight w:val="0"/>
          <w:marTop w:val="0"/>
          <w:marBottom w:val="0"/>
          <w:divBdr>
            <w:top w:val="none" w:sz="0" w:space="0" w:color="auto"/>
            <w:left w:val="none" w:sz="0" w:space="0" w:color="auto"/>
            <w:bottom w:val="none" w:sz="0" w:space="0" w:color="auto"/>
            <w:right w:val="none" w:sz="0" w:space="0" w:color="auto"/>
          </w:divBdr>
        </w:div>
        <w:div w:id="1272971968">
          <w:marLeft w:val="480"/>
          <w:marRight w:val="0"/>
          <w:marTop w:val="0"/>
          <w:marBottom w:val="0"/>
          <w:divBdr>
            <w:top w:val="none" w:sz="0" w:space="0" w:color="auto"/>
            <w:left w:val="none" w:sz="0" w:space="0" w:color="auto"/>
            <w:bottom w:val="none" w:sz="0" w:space="0" w:color="auto"/>
            <w:right w:val="none" w:sz="0" w:space="0" w:color="auto"/>
          </w:divBdr>
        </w:div>
        <w:div w:id="1038315869">
          <w:marLeft w:val="480"/>
          <w:marRight w:val="0"/>
          <w:marTop w:val="0"/>
          <w:marBottom w:val="0"/>
          <w:divBdr>
            <w:top w:val="none" w:sz="0" w:space="0" w:color="auto"/>
            <w:left w:val="none" w:sz="0" w:space="0" w:color="auto"/>
            <w:bottom w:val="none" w:sz="0" w:space="0" w:color="auto"/>
            <w:right w:val="none" w:sz="0" w:space="0" w:color="auto"/>
          </w:divBdr>
        </w:div>
        <w:div w:id="1037120744">
          <w:marLeft w:val="480"/>
          <w:marRight w:val="0"/>
          <w:marTop w:val="0"/>
          <w:marBottom w:val="0"/>
          <w:divBdr>
            <w:top w:val="none" w:sz="0" w:space="0" w:color="auto"/>
            <w:left w:val="none" w:sz="0" w:space="0" w:color="auto"/>
            <w:bottom w:val="none" w:sz="0" w:space="0" w:color="auto"/>
            <w:right w:val="none" w:sz="0" w:space="0" w:color="auto"/>
          </w:divBdr>
        </w:div>
        <w:div w:id="1621910353">
          <w:marLeft w:val="480"/>
          <w:marRight w:val="0"/>
          <w:marTop w:val="0"/>
          <w:marBottom w:val="0"/>
          <w:divBdr>
            <w:top w:val="none" w:sz="0" w:space="0" w:color="auto"/>
            <w:left w:val="none" w:sz="0" w:space="0" w:color="auto"/>
            <w:bottom w:val="none" w:sz="0" w:space="0" w:color="auto"/>
            <w:right w:val="none" w:sz="0" w:space="0" w:color="auto"/>
          </w:divBdr>
        </w:div>
        <w:div w:id="1956404919">
          <w:marLeft w:val="480"/>
          <w:marRight w:val="0"/>
          <w:marTop w:val="0"/>
          <w:marBottom w:val="0"/>
          <w:divBdr>
            <w:top w:val="none" w:sz="0" w:space="0" w:color="auto"/>
            <w:left w:val="none" w:sz="0" w:space="0" w:color="auto"/>
            <w:bottom w:val="none" w:sz="0" w:space="0" w:color="auto"/>
            <w:right w:val="none" w:sz="0" w:space="0" w:color="auto"/>
          </w:divBdr>
        </w:div>
        <w:div w:id="2556275">
          <w:marLeft w:val="480"/>
          <w:marRight w:val="0"/>
          <w:marTop w:val="0"/>
          <w:marBottom w:val="0"/>
          <w:divBdr>
            <w:top w:val="none" w:sz="0" w:space="0" w:color="auto"/>
            <w:left w:val="none" w:sz="0" w:space="0" w:color="auto"/>
            <w:bottom w:val="none" w:sz="0" w:space="0" w:color="auto"/>
            <w:right w:val="none" w:sz="0" w:space="0" w:color="auto"/>
          </w:divBdr>
        </w:div>
        <w:div w:id="1251769747">
          <w:marLeft w:val="480"/>
          <w:marRight w:val="0"/>
          <w:marTop w:val="0"/>
          <w:marBottom w:val="0"/>
          <w:divBdr>
            <w:top w:val="none" w:sz="0" w:space="0" w:color="auto"/>
            <w:left w:val="none" w:sz="0" w:space="0" w:color="auto"/>
            <w:bottom w:val="none" w:sz="0" w:space="0" w:color="auto"/>
            <w:right w:val="none" w:sz="0" w:space="0" w:color="auto"/>
          </w:divBdr>
        </w:div>
        <w:div w:id="1704817746">
          <w:marLeft w:val="480"/>
          <w:marRight w:val="0"/>
          <w:marTop w:val="0"/>
          <w:marBottom w:val="0"/>
          <w:divBdr>
            <w:top w:val="none" w:sz="0" w:space="0" w:color="auto"/>
            <w:left w:val="none" w:sz="0" w:space="0" w:color="auto"/>
            <w:bottom w:val="none" w:sz="0" w:space="0" w:color="auto"/>
            <w:right w:val="none" w:sz="0" w:space="0" w:color="auto"/>
          </w:divBdr>
        </w:div>
        <w:div w:id="47194836">
          <w:marLeft w:val="480"/>
          <w:marRight w:val="0"/>
          <w:marTop w:val="0"/>
          <w:marBottom w:val="0"/>
          <w:divBdr>
            <w:top w:val="none" w:sz="0" w:space="0" w:color="auto"/>
            <w:left w:val="none" w:sz="0" w:space="0" w:color="auto"/>
            <w:bottom w:val="none" w:sz="0" w:space="0" w:color="auto"/>
            <w:right w:val="none" w:sz="0" w:space="0" w:color="auto"/>
          </w:divBdr>
        </w:div>
        <w:div w:id="1087310798">
          <w:marLeft w:val="480"/>
          <w:marRight w:val="0"/>
          <w:marTop w:val="0"/>
          <w:marBottom w:val="0"/>
          <w:divBdr>
            <w:top w:val="none" w:sz="0" w:space="0" w:color="auto"/>
            <w:left w:val="none" w:sz="0" w:space="0" w:color="auto"/>
            <w:bottom w:val="none" w:sz="0" w:space="0" w:color="auto"/>
            <w:right w:val="none" w:sz="0" w:space="0" w:color="auto"/>
          </w:divBdr>
        </w:div>
        <w:div w:id="1723404773">
          <w:marLeft w:val="480"/>
          <w:marRight w:val="0"/>
          <w:marTop w:val="0"/>
          <w:marBottom w:val="0"/>
          <w:divBdr>
            <w:top w:val="none" w:sz="0" w:space="0" w:color="auto"/>
            <w:left w:val="none" w:sz="0" w:space="0" w:color="auto"/>
            <w:bottom w:val="none" w:sz="0" w:space="0" w:color="auto"/>
            <w:right w:val="none" w:sz="0" w:space="0" w:color="auto"/>
          </w:divBdr>
        </w:div>
        <w:div w:id="235406503">
          <w:marLeft w:val="480"/>
          <w:marRight w:val="0"/>
          <w:marTop w:val="0"/>
          <w:marBottom w:val="0"/>
          <w:divBdr>
            <w:top w:val="none" w:sz="0" w:space="0" w:color="auto"/>
            <w:left w:val="none" w:sz="0" w:space="0" w:color="auto"/>
            <w:bottom w:val="none" w:sz="0" w:space="0" w:color="auto"/>
            <w:right w:val="none" w:sz="0" w:space="0" w:color="auto"/>
          </w:divBdr>
        </w:div>
        <w:div w:id="1653875749">
          <w:marLeft w:val="480"/>
          <w:marRight w:val="0"/>
          <w:marTop w:val="0"/>
          <w:marBottom w:val="0"/>
          <w:divBdr>
            <w:top w:val="none" w:sz="0" w:space="0" w:color="auto"/>
            <w:left w:val="none" w:sz="0" w:space="0" w:color="auto"/>
            <w:bottom w:val="none" w:sz="0" w:space="0" w:color="auto"/>
            <w:right w:val="none" w:sz="0" w:space="0" w:color="auto"/>
          </w:divBdr>
        </w:div>
        <w:div w:id="1170220967">
          <w:marLeft w:val="480"/>
          <w:marRight w:val="0"/>
          <w:marTop w:val="0"/>
          <w:marBottom w:val="0"/>
          <w:divBdr>
            <w:top w:val="none" w:sz="0" w:space="0" w:color="auto"/>
            <w:left w:val="none" w:sz="0" w:space="0" w:color="auto"/>
            <w:bottom w:val="none" w:sz="0" w:space="0" w:color="auto"/>
            <w:right w:val="none" w:sz="0" w:space="0" w:color="auto"/>
          </w:divBdr>
        </w:div>
        <w:div w:id="86537089">
          <w:marLeft w:val="480"/>
          <w:marRight w:val="0"/>
          <w:marTop w:val="0"/>
          <w:marBottom w:val="0"/>
          <w:divBdr>
            <w:top w:val="none" w:sz="0" w:space="0" w:color="auto"/>
            <w:left w:val="none" w:sz="0" w:space="0" w:color="auto"/>
            <w:bottom w:val="none" w:sz="0" w:space="0" w:color="auto"/>
            <w:right w:val="none" w:sz="0" w:space="0" w:color="auto"/>
          </w:divBdr>
        </w:div>
        <w:div w:id="1985348012">
          <w:marLeft w:val="480"/>
          <w:marRight w:val="0"/>
          <w:marTop w:val="0"/>
          <w:marBottom w:val="0"/>
          <w:divBdr>
            <w:top w:val="none" w:sz="0" w:space="0" w:color="auto"/>
            <w:left w:val="none" w:sz="0" w:space="0" w:color="auto"/>
            <w:bottom w:val="none" w:sz="0" w:space="0" w:color="auto"/>
            <w:right w:val="none" w:sz="0" w:space="0" w:color="auto"/>
          </w:divBdr>
        </w:div>
        <w:div w:id="1294411808">
          <w:marLeft w:val="480"/>
          <w:marRight w:val="0"/>
          <w:marTop w:val="0"/>
          <w:marBottom w:val="0"/>
          <w:divBdr>
            <w:top w:val="none" w:sz="0" w:space="0" w:color="auto"/>
            <w:left w:val="none" w:sz="0" w:space="0" w:color="auto"/>
            <w:bottom w:val="none" w:sz="0" w:space="0" w:color="auto"/>
            <w:right w:val="none" w:sz="0" w:space="0" w:color="auto"/>
          </w:divBdr>
        </w:div>
        <w:div w:id="180512990">
          <w:marLeft w:val="480"/>
          <w:marRight w:val="0"/>
          <w:marTop w:val="0"/>
          <w:marBottom w:val="0"/>
          <w:divBdr>
            <w:top w:val="none" w:sz="0" w:space="0" w:color="auto"/>
            <w:left w:val="none" w:sz="0" w:space="0" w:color="auto"/>
            <w:bottom w:val="none" w:sz="0" w:space="0" w:color="auto"/>
            <w:right w:val="none" w:sz="0" w:space="0" w:color="auto"/>
          </w:divBdr>
        </w:div>
        <w:div w:id="1577279840">
          <w:marLeft w:val="480"/>
          <w:marRight w:val="0"/>
          <w:marTop w:val="0"/>
          <w:marBottom w:val="0"/>
          <w:divBdr>
            <w:top w:val="none" w:sz="0" w:space="0" w:color="auto"/>
            <w:left w:val="none" w:sz="0" w:space="0" w:color="auto"/>
            <w:bottom w:val="none" w:sz="0" w:space="0" w:color="auto"/>
            <w:right w:val="none" w:sz="0" w:space="0" w:color="auto"/>
          </w:divBdr>
        </w:div>
        <w:div w:id="1148550050">
          <w:marLeft w:val="480"/>
          <w:marRight w:val="0"/>
          <w:marTop w:val="0"/>
          <w:marBottom w:val="0"/>
          <w:divBdr>
            <w:top w:val="none" w:sz="0" w:space="0" w:color="auto"/>
            <w:left w:val="none" w:sz="0" w:space="0" w:color="auto"/>
            <w:bottom w:val="none" w:sz="0" w:space="0" w:color="auto"/>
            <w:right w:val="none" w:sz="0" w:space="0" w:color="auto"/>
          </w:divBdr>
        </w:div>
        <w:div w:id="567887325">
          <w:marLeft w:val="480"/>
          <w:marRight w:val="0"/>
          <w:marTop w:val="0"/>
          <w:marBottom w:val="0"/>
          <w:divBdr>
            <w:top w:val="none" w:sz="0" w:space="0" w:color="auto"/>
            <w:left w:val="none" w:sz="0" w:space="0" w:color="auto"/>
            <w:bottom w:val="none" w:sz="0" w:space="0" w:color="auto"/>
            <w:right w:val="none" w:sz="0" w:space="0" w:color="auto"/>
          </w:divBdr>
        </w:div>
        <w:div w:id="2086146277">
          <w:marLeft w:val="480"/>
          <w:marRight w:val="0"/>
          <w:marTop w:val="0"/>
          <w:marBottom w:val="0"/>
          <w:divBdr>
            <w:top w:val="none" w:sz="0" w:space="0" w:color="auto"/>
            <w:left w:val="none" w:sz="0" w:space="0" w:color="auto"/>
            <w:bottom w:val="none" w:sz="0" w:space="0" w:color="auto"/>
            <w:right w:val="none" w:sz="0" w:space="0" w:color="auto"/>
          </w:divBdr>
        </w:div>
        <w:div w:id="856894333">
          <w:marLeft w:val="480"/>
          <w:marRight w:val="0"/>
          <w:marTop w:val="0"/>
          <w:marBottom w:val="0"/>
          <w:divBdr>
            <w:top w:val="none" w:sz="0" w:space="0" w:color="auto"/>
            <w:left w:val="none" w:sz="0" w:space="0" w:color="auto"/>
            <w:bottom w:val="none" w:sz="0" w:space="0" w:color="auto"/>
            <w:right w:val="none" w:sz="0" w:space="0" w:color="auto"/>
          </w:divBdr>
        </w:div>
        <w:div w:id="1292445500">
          <w:marLeft w:val="480"/>
          <w:marRight w:val="0"/>
          <w:marTop w:val="0"/>
          <w:marBottom w:val="0"/>
          <w:divBdr>
            <w:top w:val="none" w:sz="0" w:space="0" w:color="auto"/>
            <w:left w:val="none" w:sz="0" w:space="0" w:color="auto"/>
            <w:bottom w:val="none" w:sz="0" w:space="0" w:color="auto"/>
            <w:right w:val="none" w:sz="0" w:space="0" w:color="auto"/>
          </w:divBdr>
        </w:div>
        <w:div w:id="387415137">
          <w:marLeft w:val="480"/>
          <w:marRight w:val="0"/>
          <w:marTop w:val="0"/>
          <w:marBottom w:val="0"/>
          <w:divBdr>
            <w:top w:val="none" w:sz="0" w:space="0" w:color="auto"/>
            <w:left w:val="none" w:sz="0" w:space="0" w:color="auto"/>
            <w:bottom w:val="none" w:sz="0" w:space="0" w:color="auto"/>
            <w:right w:val="none" w:sz="0" w:space="0" w:color="auto"/>
          </w:divBdr>
        </w:div>
        <w:div w:id="1665428712">
          <w:marLeft w:val="480"/>
          <w:marRight w:val="0"/>
          <w:marTop w:val="0"/>
          <w:marBottom w:val="0"/>
          <w:divBdr>
            <w:top w:val="none" w:sz="0" w:space="0" w:color="auto"/>
            <w:left w:val="none" w:sz="0" w:space="0" w:color="auto"/>
            <w:bottom w:val="none" w:sz="0" w:space="0" w:color="auto"/>
            <w:right w:val="none" w:sz="0" w:space="0" w:color="auto"/>
          </w:divBdr>
        </w:div>
      </w:divsChild>
    </w:div>
    <w:div w:id="1227767858">
      <w:bodyDiv w:val="1"/>
      <w:marLeft w:val="0"/>
      <w:marRight w:val="0"/>
      <w:marTop w:val="0"/>
      <w:marBottom w:val="0"/>
      <w:divBdr>
        <w:top w:val="none" w:sz="0" w:space="0" w:color="auto"/>
        <w:left w:val="none" w:sz="0" w:space="0" w:color="auto"/>
        <w:bottom w:val="none" w:sz="0" w:space="0" w:color="auto"/>
        <w:right w:val="none" w:sz="0" w:space="0" w:color="auto"/>
      </w:divBdr>
    </w:div>
    <w:div w:id="1228345120">
      <w:bodyDiv w:val="1"/>
      <w:marLeft w:val="0"/>
      <w:marRight w:val="0"/>
      <w:marTop w:val="0"/>
      <w:marBottom w:val="0"/>
      <w:divBdr>
        <w:top w:val="none" w:sz="0" w:space="0" w:color="auto"/>
        <w:left w:val="none" w:sz="0" w:space="0" w:color="auto"/>
        <w:bottom w:val="none" w:sz="0" w:space="0" w:color="auto"/>
        <w:right w:val="none" w:sz="0" w:space="0" w:color="auto"/>
      </w:divBdr>
    </w:div>
    <w:div w:id="1228372118">
      <w:bodyDiv w:val="1"/>
      <w:marLeft w:val="0"/>
      <w:marRight w:val="0"/>
      <w:marTop w:val="0"/>
      <w:marBottom w:val="0"/>
      <w:divBdr>
        <w:top w:val="none" w:sz="0" w:space="0" w:color="auto"/>
        <w:left w:val="none" w:sz="0" w:space="0" w:color="auto"/>
        <w:bottom w:val="none" w:sz="0" w:space="0" w:color="auto"/>
        <w:right w:val="none" w:sz="0" w:space="0" w:color="auto"/>
      </w:divBdr>
    </w:div>
    <w:div w:id="1228490152">
      <w:bodyDiv w:val="1"/>
      <w:marLeft w:val="0"/>
      <w:marRight w:val="0"/>
      <w:marTop w:val="0"/>
      <w:marBottom w:val="0"/>
      <w:divBdr>
        <w:top w:val="none" w:sz="0" w:space="0" w:color="auto"/>
        <w:left w:val="none" w:sz="0" w:space="0" w:color="auto"/>
        <w:bottom w:val="none" w:sz="0" w:space="0" w:color="auto"/>
        <w:right w:val="none" w:sz="0" w:space="0" w:color="auto"/>
      </w:divBdr>
    </w:div>
    <w:div w:id="1229002926">
      <w:bodyDiv w:val="1"/>
      <w:marLeft w:val="0"/>
      <w:marRight w:val="0"/>
      <w:marTop w:val="0"/>
      <w:marBottom w:val="0"/>
      <w:divBdr>
        <w:top w:val="none" w:sz="0" w:space="0" w:color="auto"/>
        <w:left w:val="none" w:sz="0" w:space="0" w:color="auto"/>
        <w:bottom w:val="none" w:sz="0" w:space="0" w:color="auto"/>
        <w:right w:val="none" w:sz="0" w:space="0" w:color="auto"/>
      </w:divBdr>
    </w:div>
    <w:div w:id="1229072121">
      <w:bodyDiv w:val="1"/>
      <w:marLeft w:val="0"/>
      <w:marRight w:val="0"/>
      <w:marTop w:val="0"/>
      <w:marBottom w:val="0"/>
      <w:divBdr>
        <w:top w:val="none" w:sz="0" w:space="0" w:color="auto"/>
        <w:left w:val="none" w:sz="0" w:space="0" w:color="auto"/>
        <w:bottom w:val="none" w:sz="0" w:space="0" w:color="auto"/>
        <w:right w:val="none" w:sz="0" w:space="0" w:color="auto"/>
      </w:divBdr>
    </w:div>
    <w:div w:id="1229421507">
      <w:bodyDiv w:val="1"/>
      <w:marLeft w:val="0"/>
      <w:marRight w:val="0"/>
      <w:marTop w:val="0"/>
      <w:marBottom w:val="0"/>
      <w:divBdr>
        <w:top w:val="none" w:sz="0" w:space="0" w:color="auto"/>
        <w:left w:val="none" w:sz="0" w:space="0" w:color="auto"/>
        <w:bottom w:val="none" w:sz="0" w:space="0" w:color="auto"/>
        <w:right w:val="none" w:sz="0" w:space="0" w:color="auto"/>
      </w:divBdr>
    </w:div>
    <w:div w:id="1229533473">
      <w:bodyDiv w:val="1"/>
      <w:marLeft w:val="0"/>
      <w:marRight w:val="0"/>
      <w:marTop w:val="0"/>
      <w:marBottom w:val="0"/>
      <w:divBdr>
        <w:top w:val="none" w:sz="0" w:space="0" w:color="auto"/>
        <w:left w:val="none" w:sz="0" w:space="0" w:color="auto"/>
        <w:bottom w:val="none" w:sz="0" w:space="0" w:color="auto"/>
        <w:right w:val="none" w:sz="0" w:space="0" w:color="auto"/>
      </w:divBdr>
    </w:div>
    <w:div w:id="1229806604">
      <w:bodyDiv w:val="1"/>
      <w:marLeft w:val="0"/>
      <w:marRight w:val="0"/>
      <w:marTop w:val="0"/>
      <w:marBottom w:val="0"/>
      <w:divBdr>
        <w:top w:val="none" w:sz="0" w:space="0" w:color="auto"/>
        <w:left w:val="none" w:sz="0" w:space="0" w:color="auto"/>
        <w:bottom w:val="none" w:sz="0" w:space="0" w:color="auto"/>
        <w:right w:val="none" w:sz="0" w:space="0" w:color="auto"/>
      </w:divBdr>
    </w:div>
    <w:div w:id="1230069884">
      <w:bodyDiv w:val="1"/>
      <w:marLeft w:val="0"/>
      <w:marRight w:val="0"/>
      <w:marTop w:val="0"/>
      <w:marBottom w:val="0"/>
      <w:divBdr>
        <w:top w:val="none" w:sz="0" w:space="0" w:color="auto"/>
        <w:left w:val="none" w:sz="0" w:space="0" w:color="auto"/>
        <w:bottom w:val="none" w:sz="0" w:space="0" w:color="auto"/>
        <w:right w:val="none" w:sz="0" w:space="0" w:color="auto"/>
      </w:divBdr>
    </w:div>
    <w:div w:id="1230462370">
      <w:bodyDiv w:val="1"/>
      <w:marLeft w:val="0"/>
      <w:marRight w:val="0"/>
      <w:marTop w:val="0"/>
      <w:marBottom w:val="0"/>
      <w:divBdr>
        <w:top w:val="none" w:sz="0" w:space="0" w:color="auto"/>
        <w:left w:val="none" w:sz="0" w:space="0" w:color="auto"/>
        <w:bottom w:val="none" w:sz="0" w:space="0" w:color="auto"/>
        <w:right w:val="none" w:sz="0" w:space="0" w:color="auto"/>
      </w:divBdr>
    </w:div>
    <w:div w:id="1230770530">
      <w:bodyDiv w:val="1"/>
      <w:marLeft w:val="0"/>
      <w:marRight w:val="0"/>
      <w:marTop w:val="0"/>
      <w:marBottom w:val="0"/>
      <w:divBdr>
        <w:top w:val="none" w:sz="0" w:space="0" w:color="auto"/>
        <w:left w:val="none" w:sz="0" w:space="0" w:color="auto"/>
        <w:bottom w:val="none" w:sz="0" w:space="0" w:color="auto"/>
        <w:right w:val="none" w:sz="0" w:space="0" w:color="auto"/>
      </w:divBdr>
    </w:div>
    <w:div w:id="1231884463">
      <w:bodyDiv w:val="1"/>
      <w:marLeft w:val="0"/>
      <w:marRight w:val="0"/>
      <w:marTop w:val="0"/>
      <w:marBottom w:val="0"/>
      <w:divBdr>
        <w:top w:val="none" w:sz="0" w:space="0" w:color="auto"/>
        <w:left w:val="none" w:sz="0" w:space="0" w:color="auto"/>
        <w:bottom w:val="none" w:sz="0" w:space="0" w:color="auto"/>
        <w:right w:val="none" w:sz="0" w:space="0" w:color="auto"/>
      </w:divBdr>
    </w:div>
    <w:div w:id="1232614192">
      <w:bodyDiv w:val="1"/>
      <w:marLeft w:val="0"/>
      <w:marRight w:val="0"/>
      <w:marTop w:val="0"/>
      <w:marBottom w:val="0"/>
      <w:divBdr>
        <w:top w:val="none" w:sz="0" w:space="0" w:color="auto"/>
        <w:left w:val="none" w:sz="0" w:space="0" w:color="auto"/>
        <w:bottom w:val="none" w:sz="0" w:space="0" w:color="auto"/>
        <w:right w:val="none" w:sz="0" w:space="0" w:color="auto"/>
      </w:divBdr>
    </w:div>
    <w:div w:id="1232735592">
      <w:bodyDiv w:val="1"/>
      <w:marLeft w:val="0"/>
      <w:marRight w:val="0"/>
      <w:marTop w:val="0"/>
      <w:marBottom w:val="0"/>
      <w:divBdr>
        <w:top w:val="none" w:sz="0" w:space="0" w:color="auto"/>
        <w:left w:val="none" w:sz="0" w:space="0" w:color="auto"/>
        <w:bottom w:val="none" w:sz="0" w:space="0" w:color="auto"/>
        <w:right w:val="none" w:sz="0" w:space="0" w:color="auto"/>
      </w:divBdr>
    </w:div>
    <w:div w:id="1233153763">
      <w:bodyDiv w:val="1"/>
      <w:marLeft w:val="0"/>
      <w:marRight w:val="0"/>
      <w:marTop w:val="0"/>
      <w:marBottom w:val="0"/>
      <w:divBdr>
        <w:top w:val="none" w:sz="0" w:space="0" w:color="auto"/>
        <w:left w:val="none" w:sz="0" w:space="0" w:color="auto"/>
        <w:bottom w:val="none" w:sz="0" w:space="0" w:color="auto"/>
        <w:right w:val="none" w:sz="0" w:space="0" w:color="auto"/>
      </w:divBdr>
    </w:div>
    <w:div w:id="1233157545">
      <w:bodyDiv w:val="1"/>
      <w:marLeft w:val="0"/>
      <w:marRight w:val="0"/>
      <w:marTop w:val="0"/>
      <w:marBottom w:val="0"/>
      <w:divBdr>
        <w:top w:val="none" w:sz="0" w:space="0" w:color="auto"/>
        <w:left w:val="none" w:sz="0" w:space="0" w:color="auto"/>
        <w:bottom w:val="none" w:sz="0" w:space="0" w:color="auto"/>
        <w:right w:val="none" w:sz="0" w:space="0" w:color="auto"/>
      </w:divBdr>
    </w:div>
    <w:div w:id="1233589959">
      <w:bodyDiv w:val="1"/>
      <w:marLeft w:val="0"/>
      <w:marRight w:val="0"/>
      <w:marTop w:val="0"/>
      <w:marBottom w:val="0"/>
      <w:divBdr>
        <w:top w:val="none" w:sz="0" w:space="0" w:color="auto"/>
        <w:left w:val="none" w:sz="0" w:space="0" w:color="auto"/>
        <w:bottom w:val="none" w:sz="0" w:space="0" w:color="auto"/>
        <w:right w:val="none" w:sz="0" w:space="0" w:color="auto"/>
      </w:divBdr>
    </w:div>
    <w:div w:id="1234513000">
      <w:bodyDiv w:val="1"/>
      <w:marLeft w:val="0"/>
      <w:marRight w:val="0"/>
      <w:marTop w:val="0"/>
      <w:marBottom w:val="0"/>
      <w:divBdr>
        <w:top w:val="none" w:sz="0" w:space="0" w:color="auto"/>
        <w:left w:val="none" w:sz="0" w:space="0" w:color="auto"/>
        <w:bottom w:val="none" w:sz="0" w:space="0" w:color="auto"/>
        <w:right w:val="none" w:sz="0" w:space="0" w:color="auto"/>
      </w:divBdr>
    </w:div>
    <w:div w:id="1234975769">
      <w:bodyDiv w:val="1"/>
      <w:marLeft w:val="0"/>
      <w:marRight w:val="0"/>
      <w:marTop w:val="0"/>
      <w:marBottom w:val="0"/>
      <w:divBdr>
        <w:top w:val="none" w:sz="0" w:space="0" w:color="auto"/>
        <w:left w:val="none" w:sz="0" w:space="0" w:color="auto"/>
        <w:bottom w:val="none" w:sz="0" w:space="0" w:color="auto"/>
        <w:right w:val="none" w:sz="0" w:space="0" w:color="auto"/>
      </w:divBdr>
    </w:div>
    <w:div w:id="1235049739">
      <w:bodyDiv w:val="1"/>
      <w:marLeft w:val="0"/>
      <w:marRight w:val="0"/>
      <w:marTop w:val="0"/>
      <w:marBottom w:val="0"/>
      <w:divBdr>
        <w:top w:val="none" w:sz="0" w:space="0" w:color="auto"/>
        <w:left w:val="none" w:sz="0" w:space="0" w:color="auto"/>
        <w:bottom w:val="none" w:sz="0" w:space="0" w:color="auto"/>
        <w:right w:val="none" w:sz="0" w:space="0" w:color="auto"/>
      </w:divBdr>
    </w:div>
    <w:div w:id="1235239547">
      <w:bodyDiv w:val="1"/>
      <w:marLeft w:val="0"/>
      <w:marRight w:val="0"/>
      <w:marTop w:val="0"/>
      <w:marBottom w:val="0"/>
      <w:divBdr>
        <w:top w:val="none" w:sz="0" w:space="0" w:color="auto"/>
        <w:left w:val="none" w:sz="0" w:space="0" w:color="auto"/>
        <w:bottom w:val="none" w:sz="0" w:space="0" w:color="auto"/>
        <w:right w:val="none" w:sz="0" w:space="0" w:color="auto"/>
      </w:divBdr>
    </w:div>
    <w:div w:id="1235435069">
      <w:bodyDiv w:val="1"/>
      <w:marLeft w:val="0"/>
      <w:marRight w:val="0"/>
      <w:marTop w:val="0"/>
      <w:marBottom w:val="0"/>
      <w:divBdr>
        <w:top w:val="none" w:sz="0" w:space="0" w:color="auto"/>
        <w:left w:val="none" w:sz="0" w:space="0" w:color="auto"/>
        <w:bottom w:val="none" w:sz="0" w:space="0" w:color="auto"/>
        <w:right w:val="none" w:sz="0" w:space="0" w:color="auto"/>
      </w:divBdr>
    </w:div>
    <w:div w:id="1235507629">
      <w:bodyDiv w:val="1"/>
      <w:marLeft w:val="0"/>
      <w:marRight w:val="0"/>
      <w:marTop w:val="0"/>
      <w:marBottom w:val="0"/>
      <w:divBdr>
        <w:top w:val="none" w:sz="0" w:space="0" w:color="auto"/>
        <w:left w:val="none" w:sz="0" w:space="0" w:color="auto"/>
        <w:bottom w:val="none" w:sz="0" w:space="0" w:color="auto"/>
        <w:right w:val="none" w:sz="0" w:space="0" w:color="auto"/>
      </w:divBdr>
    </w:div>
    <w:div w:id="1235970095">
      <w:bodyDiv w:val="1"/>
      <w:marLeft w:val="0"/>
      <w:marRight w:val="0"/>
      <w:marTop w:val="0"/>
      <w:marBottom w:val="0"/>
      <w:divBdr>
        <w:top w:val="none" w:sz="0" w:space="0" w:color="auto"/>
        <w:left w:val="none" w:sz="0" w:space="0" w:color="auto"/>
        <w:bottom w:val="none" w:sz="0" w:space="0" w:color="auto"/>
        <w:right w:val="none" w:sz="0" w:space="0" w:color="auto"/>
      </w:divBdr>
    </w:div>
    <w:div w:id="1236084798">
      <w:bodyDiv w:val="1"/>
      <w:marLeft w:val="0"/>
      <w:marRight w:val="0"/>
      <w:marTop w:val="0"/>
      <w:marBottom w:val="0"/>
      <w:divBdr>
        <w:top w:val="none" w:sz="0" w:space="0" w:color="auto"/>
        <w:left w:val="none" w:sz="0" w:space="0" w:color="auto"/>
        <w:bottom w:val="none" w:sz="0" w:space="0" w:color="auto"/>
        <w:right w:val="none" w:sz="0" w:space="0" w:color="auto"/>
      </w:divBdr>
    </w:div>
    <w:div w:id="1236282050">
      <w:bodyDiv w:val="1"/>
      <w:marLeft w:val="0"/>
      <w:marRight w:val="0"/>
      <w:marTop w:val="0"/>
      <w:marBottom w:val="0"/>
      <w:divBdr>
        <w:top w:val="none" w:sz="0" w:space="0" w:color="auto"/>
        <w:left w:val="none" w:sz="0" w:space="0" w:color="auto"/>
        <w:bottom w:val="none" w:sz="0" w:space="0" w:color="auto"/>
        <w:right w:val="none" w:sz="0" w:space="0" w:color="auto"/>
      </w:divBdr>
    </w:div>
    <w:div w:id="1237007695">
      <w:bodyDiv w:val="1"/>
      <w:marLeft w:val="0"/>
      <w:marRight w:val="0"/>
      <w:marTop w:val="0"/>
      <w:marBottom w:val="0"/>
      <w:divBdr>
        <w:top w:val="none" w:sz="0" w:space="0" w:color="auto"/>
        <w:left w:val="none" w:sz="0" w:space="0" w:color="auto"/>
        <w:bottom w:val="none" w:sz="0" w:space="0" w:color="auto"/>
        <w:right w:val="none" w:sz="0" w:space="0" w:color="auto"/>
      </w:divBdr>
    </w:div>
    <w:div w:id="1237132898">
      <w:bodyDiv w:val="1"/>
      <w:marLeft w:val="0"/>
      <w:marRight w:val="0"/>
      <w:marTop w:val="0"/>
      <w:marBottom w:val="0"/>
      <w:divBdr>
        <w:top w:val="none" w:sz="0" w:space="0" w:color="auto"/>
        <w:left w:val="none" w:sz="0" w:space="0" w:color="auto"/>
        <w:bottom w:val="none" w:sz="0" w:space="0" w:color="auto"/>
        <w:right w:val="none" w:sz="0" w:space="0" w:color="auto"/>
      </w:divBdr>
    </w:div>
    <w:div w:id="1238248870">
      <w:bodyDiv w:val="1"/>
      <w:marLeft w:val="0"/>
      <w:marRight w:val="0"/>
      <w:marTop w:val="0"/>
      <w:marBottom w:val="0"/>
      <w:divBdr>
        <w:top w:val="none" w:sz="0" w:space="0" w:color="auto"/>
        <w:left w:val="none" w:sz="0" w:space="0" w:color="auto"/>
        <w:bottom w:val="none" w:sz="0" w:space="0" w:color="auto"/>
        <w:right w:val="none" w:sz="0" w:space="0" w:color="auto"/>
      </w:divBdr>
    </w:div>
    <w:div w:id="1238517850">
      <w:bodyDiv w:val="1"/>
      <w:marLeft w:val="0"/>
      <w:marRight w:val="0"/>
      <w:marTop w:val="0"/>
      <w:marBottom w:val="0"/>
      <w:divBdr>
        <w:top w:val="none" w:sz="0" w:space="0" w:color="auto"/>
        <w:left w:val="none" w:sz="0" w:space="0" w:color="auto"/>
        <w:bottom w:val="none" w:sz="0" w:space="0" w:color="auto"/>
        <w:right w:val="none" w:sz="0" w:space="0" w:color="auto"/>
      </w:divBdr>
    </w:div>
    <w:div w:id="1238595569">
      <w:bodyDiv w:val="1"/>
      <w:marLeft w:val="0"/>
      <w:marRight w:val="0"/>
      <w:marTop w:val="0"/>
      <w:marBottom w:val="0"/>
      <w:divBdr>
        <w:top w:val="none" w:sz="0" w:space="0" w:color="auto"/>
        <w:left w:val="none" w:sz="0" w:space="0" w:color="auto"/>
        <w:bottom w:val="none" w:sz="0" w:space="0" w:color="auto"/>
        <w:right w:val="none" w:sz="0" w:space="0" w:color="auto"/>
      </w:divBdr>
    </w:div>
    <w:div w:id="1238976192">
      <w:bodyDiv w:val="1"/>
      <w:marLeft w:val="0"/>
      <w:marRight w:val="0"/>
      <w:marTop w:val="0"/>
      <w:marBottom w:val="0"/>
      <w:divBdr>
        <w:top w:val="none" w:sz="0" w:space="0" w:color="auto"/>
        <w:left w:val="none" w:sz="0" w:space="0" w:color="auto"/>
        <w:bottom w:val="none" w:sz="0" w:space="0" w:color="auto"/>
        <w:right w:val="none" w:sz="0" w:space="0" w:color="auto"/>
      </w:divBdr>
    </w:div>
    <w:div w:id="1239899346">
      <w:bodyDiv w:val="1"/>
      <w:marLeft w:val="0"/>
      <w:marRight w:val="0"/>
      <w:marTop w:val="0"/>
      <w:marBottom w:val="0"/>
      <w:divBdr>
        <w:top w:val="none" w:sz="0" w:space="0" w:color="auto"/>
        <w:left w:val="none" w:sz="0" w:space="0" w:color="auto"/>
        <w:bottom w:val="none" w:sz="0" w:space="0" w:color="auto"/>
        <w:right w:val="none" w:sz="0" w:space="0" w:color="auto"/>
      </w:divBdr>
    </w:div>
    <w:div w:id="1240410344">
      <w:bodyDiv w:val="1"/>
      <w:marLeft w:val="0"/>
      <w:marRight w:val="0"/>
      <w:marTop w:val="0"/>
      <w:marBottom w:val="0"/>
      <w:divBdr>
        <w:top w:val="none" w:sz="0" w:space="0" w:color="auto"/>
        <w:left w:val="none" w:sz="0" w:space="0" w:color="auto"/>
        <w:bottom w:val="none" w:sz="0" w:space="0" w:color="auto"/>
        <w:right w:val="none" w:sz="0" w:space="0" w:color="auto"/>
      </w:divBdr>
    </w:div>
    <w:div w:id="1240477375">
      <w:bodyDiv w:val="1"/>
      <w:marLeft w:val="0"/>
      <w:marRight w:val="0"/>
      <w:marTop w:val="0"/>
      <w:marBottom w:val="0"/>
      <w:divBdr>
        <w:top w:val="none" w:sz="0" w:space="0" w:color="auto"/>
        <w:left w:val="none" w:sz="0" w:space="0" w:color="auto"/>
        <w:bottom w:val="none" w:sz="0" w:space="0" w:color="auto"/>
        <w:right w:val="none" w:sz="0" w:space="0" w:color="auto"/>
      </w:divBdr>
    </w:div>
    <w:div w:id="1240561209">
      <w:bodyDiv w:val="1"/>
      <w:marLeft w:val="0"/>
      <w:marRight w:val="0"/>
      <w:marTop w:val="0"/>
      <w:marBottom w:val="0"/>
      <w:divBdr>
        <w:top w:val="none" w:sz="0" w:space="0" w:color="auto"/>
        <w:left w:val="none" w:sz="0" w:space="0" w:color="auto"/>
        <w:bottom w:val="none" w:sz="0" w:space="0" w:color="auto"/>
        <w:right w:val="none" w:sz="0" w:space="0" w:color="auto"/>
      </w:divBdr>
    </w:div>
    <w:div w:id="1240672831">
      <w:bodyDiv w:val="1"/>
      <w:marLeft w:val="0"/>
      <w:marRight w:val="0"/>
      <w:marTop w:val="0"/>
      <w:marBottom w:val="0"/>
      <w:divBdr>
        <w:top w:val="none" w:sz="0" w:space="0" w:color="auto"/>
        <w:left w:val="none" w:sz="0" w:space="0" w:color="auto"/>
        <w:bottom w:val="none" w:sz="0" w:space="0" w:color="auto"/>
        <w:right w:val="none" w:sz="0" w:space="0" w:color="auto"/>
      </w:divBdr>
    </w:div>
    <w:div w:id="1241257184">
      <w:bodyDiv w:val="1"/>
      <w:marLeft w:val="0"/>
      <w:marRight w:val="0"/>
      <w:marTop w:val="0"/>
      <w:marBottom w:val="0"/>
      <w:divBdr>
        <w:top w:val="none" w:sz="0" w:space="0" w:color="auto"/>
        <w:left w:val="none" w:sz="0" w:space="0" w:color="auto"/>
        <w:bottom w:val="none" w:sz="0" w:space="0" w:color="auto"/>
        <w:right w:val="none" w:sz="0" w:space="0" w:color="auto"/>
      </w:divBdr>
    </w:div>
    <w:div w:id="1241401555">
      <w:bodyDiv w:val="1"/>
      <w:marLeft w:val="0"/>
      <w:marRight w:val="0"/>
      <w:marTop w:val="0"/>
      <w:marBottom w:val="0"/>
      <w:divBdr>
        <w:top w:val="none" w:sz="0" w:space="0" w:color="auto"/>
        <w:left w:val="none" w:sz="0" w:space="0" w:color="auto"/>
        <w:bottom w:val="none" w:sz="0" w:space="0" w:color="auto"/>
        <w:right w:val="none" w:sz="0" w:space="0" w:color="auto"/>
      </w:divBdr>
    </w:div>
    <w:div w:id="1241986719">
      <w:bodyDiv w:val="1"/>
      <w:marLeft w:val="0"/>
      <w:marRight w:val="0"/>
      <w:marTop w:val="0"/>
      <w:marBottom w:val="0"/>
      <w:divBdr>
        <w:top w:val="none" w:sz="0" w:space="0" w:color="auto"/>
        <w:left w:val="none" w:sz="0" w:space="0" w:color="auto"/>
        <w:bottom w:val="none" w:sz="0" w:space="0" w:color="auto"/>
        <w:right w:val="none" w:sz="0" w:space="0" w:color="auto"/>
      </w:divBdr>
    </w:div>
    <w:div w:id="1242790222">
      <w:bodyDiv w:val="1"/>
      <w:marLeft w:val="0"/>
      <w:marRight w:val="0"/>
      <w:marTop w:val="0"/>
      <w:marBottom w:val="0"/>
      <w:divBdr>
        <w:top w:val="none" w:sz="0" w:space="0" w:color="auto"/>
        <w:left w:val="none" w:sz="0" w:space="0" w:color="auto"/>
        <w:bottom w:val="none" w:sz="0" w:space="0" w:color="auto"/>
        <w:right w:val="none" w:sz="0" w:space="0" w:color="auto"/>
      </w:divBdr>
    </w:div>
    <w:div w:id="1243101376">
      <w:bodyDiv w:val="1"/>
      <w:marLeft w:val="0"/>
      <w:marRight w:val="0"/>
      <w:marTop w:val="0"/>
      <w:marBottom w:val="0"/>
      <w:divBdr>
        <w:top w:val="none" w:sz="0" w:space="0" w:color="auto"/>
        <w:left w:val="none" w:sz="0" w:space="0" w:color="auto"/>
        <w:bottom w:val="none" w:sz="0" w:space="0" w:color="auto"/>
        <w:right w:val="none" w:sz="0" w:space="0" w:color="auto"/>
      </w:divBdr>
    </w:div>
    <w:div w:id="1243442758">
      <w:bodyDiv w:val="1"/>
      <w:marLeft w:val="0"/>
      <w:marRight w:val="0"/>
      <w:marTop w:val="0"/>
      <w:marBottom w:val="0"/>
      <w:divBdr>
        <w:top w:val="none" w:sz="0" w:space="0" w:color="auto"/>
        <w:left w:val="none" w:sz="0" w:space="0" w:color="auto"/>
        <w:bottom w:val="none" w:sz="0" w:space="0" w:color="auto"/>
        <w:right w:val="none" w:sz="0" w:space="0" w:color="auto"/>
      </w:divBdr>
    </w:div>
    <w:div w:id="1244099579">
      <w:bodyDiv w:val="1"/>
      <w:marLeft w:val="0"/>
      <w:marRight w:val="0"/>
      <w:marTop w:val="0"/>
      <w:marBottom w:val="0"/>
      <w:divBdr>
        <w:top w:val="none" w:sz="0" w:space="0" w:color="auto"/>
        <w:left w:val="none" w:sz="0" w:space="0" w:color="auto"/>
        <w:bottom w:val="none" w:sz="0" w:space="0" w:color="auto"/>
        <w:right w:val="none" w:sz="0" w:space="0" w:color="auto"/>
      </w:divBdr>
    </w:div>
    <w:div w:id="1245142235">
      <w:bodyDiv w:val="1"/>
      <w:marLeft w:val="0"/>
      <w:marRight w:val="0"/>
      <w:marTop w:val="0"/>
      <w:marBottom w:val="0"/>
      <w:divBdr>
        <w:top w:val="none" w:sz="0" w:space="0" w:color="auto"/>
        <w:left w:val="none" w:sz="0" w:space="0" w:color="auto"/>
        <w:bottom w:val="none" w:sz="0" w:space="0" w:color="auto"/>
        <w:right w:val="none" w:sz="0" w:space="0" w:color="auto"/>
      </w:divBdr>
    </w:div>
    <w:div w:id="1245337118">
      <w:bodyDiv w:val="1"/>
      <w:marLeft w:val="0"/>
      <w:marRight w:val="0"/>
      <w:marTop w:val="0"/>
      <w:marBottom w:val="0"/>
      <w:divBdr>
        <w:top w:val="none" w:sz="0" w:space="0" w:color="auto"/>
        <w:left w:val="none" w:sz="0" w:space="0" w:color="auto"/>
        <w:bottom w:val="none" w:sz="0" w:space="0" w:color="auto"/>
        <w:right w:val="none" w:sz="0" w:space="0" w:color="auto"/>
      </w:divBdr>
    </w:div>
    <w:div w:id="1245728205">
      <w:bodyDiv w:val="1"/>
      <w:marLeft w:val="0"/>
      <w:marRight w:val="0"/>
      <w:marTop w:val="0"/>
      <w:marBottom w:val="0"/>
      <w:divBdr>
        <w:top w:val="none" w:sz="0" w:space="0" w:color="auto"/>
        <w:left w:val="none" w:sz="0" w:space="0" w:color="auto"/>
        <w:bottom w:val="none" w:sz="0" w:space="0" w:color="auto"/>
        <w:right w:val="none" w:sz="0" w:space="0" w:color="auto"/>
      </w:divBdr>
    </w:div>
    <w:div w:id="1246105974">
      <w:bodyDiv w:val="1"/>
      <w:marLeft w:val="0"/>
      <w:marRight w:val="0"/>
      <w:marTop w:val="0"/>
      <w:marBottom w:val="0"/>
      <w:divBdr>
        <w:top w:val="none" w:sz="0" w:space="0" w:color="auto"/>
        <w:left w:val="none" w:sz="0" w:space="0" w:color="auto"/>
        <w:bottom w:val="none" w:sz="0" w:space="0" w:color="auto"/>
        <w:right w:val="none" w:sz="0" w:space="0" w:color="auto"/>
      </w:divBdr>
    </w:div>
    <w:div w:id="1246182096">
      <w:bodyDiv w:val="1"/>
      <w:marLeft w:val="0"/>
      <w:marRight w:val="0"/>
      <w:marTop w:val="0"/>
      <w:marBottom w:val="0"/>
      <w:divBdr>
        <w:top w:val="none" w:sz="0" w:space="0" w:color="auto"/>
        <w:left w:val="none" w:sz="0" w:space="0" w:color="auto"/>
        <w:bottom w:val="none" w:sz="0" w:space="0" w:color="auto"/>
        <w:right w:val="none" w:sz="0" w:space="0" w:color="auto"/>
      </w:divBdr>
    </w:div>
    <w:div w:id="1246379280">
      <w:bodyDiv w:val="1"/>
      <w:marLeft w:val="0"/>
      <w:marRight w:val="0"/>
      <w:marTop w:val="0"/>
      <w:marBottom w:val="0"/>
      <w:divBdr>
        <w:top w:val="none" w:sz="0" w:space="0" w:color="auto"/>
        <w:left w:val="none" w:sz="0" w:space="0" w:color="auto"/>
        <w:bottom w:val="none" w:sz="0" w:space="0" w:color="auto"/>
        <w:right w:val="none" w:sz="0" w:space="0" w:color="auto"/>
      </w:divBdr>
    </w:div>
    <w:div w:id="1246918285">
      <w:bodyDiv w:val="1"/>
      <w:marLeft w:val="0"/>
      <w:marRight w:val="0"/>
      <w:marTop w:val="0"/>
      <w:marBottom w:val="0"/>
      <w:divBdr>
        <w:top w:val="none" w:sz="0" w:space="0" w:color="auto"/>
        <w:left w:val="none" w:sz="0" w:space="0" w:color="auto"/>
        <w:bottom w:val="none" w:sz="0" w:space="0" w:color="auto"/>
        <w:right w:val="none" w:sz="0" w:space="0" w:color="auto"/>
      </w:divBdr>
    </w:div>
    <w:div w:id="1247153346">
      <w:bodyDiv w:val="1"/>
      <w:marLeft w:val="0"/>
      <w:marRight w:val="0"/>
      <w:marTop w:val="0"/>
      <w:marBottom w:val="0"/>
      <w:divBdr>
        <w:top w:val="none" w:sz="0" w:space="0" w:color="auto"/>
        <w:left w:val="none" w:sz="0" w:space="0" w:color="auto"/>
        <w:bottom w:val="none" w:sz="0" w:space="0" w:color="auto"/>
        <w:right w:val="none" w:sz="0" w:space="0" w:color="auto"/>
      </w:divBdr>
    </w:div>
    <w:div w:id="1247761253">
      <w:bodyDiv w:val="1"/>
      <w:marLeft w:val="0"/>
      <w:marRight w:val="0"/>
      <w:marTop w:val="0"/>
      <w:marBottom w:val="0"/>
      <w:divBdr>
        <w:top w:val="none" w:sz="0" w:space="0" w:color="auto"/>
        <w:left w:val="none" w:sz="0" w:space="0" w:color="auto"/>
        <w:bottom w:val="none" w:sz="0" w:space="0" w:color="auto"/>
        <w:right w:val="none" w:sz="0" w:space="0" w:color="auto"/>
      </w:divBdr>
    </w:div>
    <w:div w:id="1248029911">
      <w:bodyDiv w:val="1"/>
      <w:marLeft w:val="0"/>
      <w:marRight w:val="0"/>
      <w:marTop w:val="0"/>
      <w:marBottom w:val="0"/>
      <w:divBdr>
        <w:top w:val="none" w:sz="0" w:space="0" w:color="auto"/>
        <w:left w:val="none" w:sz="0" w:space="0" w:color="auto"/>
        <w:bottom w:val="none" w:sz="0" w:space="0" w:color="auto"/>
        <w:right w:val="none" w:sz="0" w:space="0" w:color="auto"/>
      </w:divBdr>
    </w:div>
    <w:div w:id="1248231206">
      <w:bodyDiv w:val="1"/>
      <w:marLeft w:val="0"/>
      <w:marRight w:val="0"/>
      <w:marTop w:val="0"/>
      <w:marBottom w:val="0"/>
      <w:divBdr>
        <w:top w:val="none" w:sz="0" w:space="0" w:color="auto"/>
        <w:left w:val="none" w:sz="0" w:space="0" w:color="auto"/>
        <w:bottom w:val="none" w:sz="0" w:space="0" w:color="auto"/>
        <w:right w:val="none" w:sz="0" w:space="0" w:color="auto"/>
      </w:divBdr>
    </w:div>
    <w:div w:id="1248728278">
      <w:bodyDiv w:val="1"/>
      <w:marLeft w:val="0"/>
      <w:marRight w:val="0"/>
      <w:marTop w:val="0"/>
      <w:marBottom w:val="0"/>
      <w:divBdr>
        <w:top w:val="none" w:sz="0" w:space="0" w:color="auto"/>
        <w:left w:val="none" w:sz="0" w:space="0" w:color="auto"/>
        <w:bottom w:val="none" w:sz="0" w:space="0" w:color="auto"/>
        <w:right w:val="none" w:sz="0" w:space="0" w:color="auto"/>
      </w:divBdr>
    </w:div>
    <w:div w:id="1248734297">
      <w:bodyDiv w:val="1"/>
      <w:marLeft w:val="0"/>
      <w:marRight w:val="0"/>
      <w:marTop w:val="0"/>
      <w:marBottom w:val="0"/>
      <w:divBdr>
        <w:top w:val="none" w:sz="0" w:space="0" w:color="auto"/>
        <w:left w:val="none" w:sz="0" w:space="0" w:color="auto"/>
        <w:bottom w:val="none" w:sz="0" w:space="0" w:color="auto"/>
        <w:right w:val="none" w:sz="0" w:space="0" w:color="auto"/>
      </w:divBdr>
    </w:div>
    <w:div w:id="1248883976">
      <w:bodyDiv w:val="1"/>
      <w:marLeft w:val="0"/>
      <w:marRight w:val="0"/>
      <w:marTop w:val="0"/>
      <w:marBottom w:val="0"/>
      <w:divBdr>
        <w:top w:val="none" w:sz="0" w:space="0" w:color="auto"/>
        <w:left w:val="none" w:sz="0" w:space="0" w:color="auto"/>
        <w:bottom w:val="none" w:sz="0" w:space="0" w:color="auto"/>
        <w:right w:val="none" w:sz="0" w:space="0" w:color="auto"/>
      </w:divBdr>
    </w:div>
    <w:div w:id="1249075140">
      <w:bodyDiv w:val="1"/>
      <w:marLeft w:val="0"/>
      <w:marRight w:val="0"/>
      <w:marTop w:val="0"/>
      <w:marBottom w:val="0"/>
      <w:divBdr>
        <w:top w:val="none" w:sz="0" w:space="0" w:color="auto"/>
        <w:left w:val="none" w:sz="0" w:space="0" w:color="auto"/>
        <w:bottom w:val="none" w:sz="0" w:space="0" w:color="auto"/>
        <w:right w:val="none" w:sz="0" w:space="0" w:color="auto"/>
      </w:divBdr>
    </w:div>
    <w:div w:id="1249460240">
      <w:bodyDiv w:val="1"/>
      <w:marLeft w:val="0"/>
      <w:marRight w:val="0"/>
      <w:marTop w:val="0"/>
      <w:marBottom w:val="0"/>
      <w:divBdr>
        <w:top w:val="none" w:sz="0" w:space="0" w:color="auto"/>
        <w:left w:val="none" w:sz="0" w:space="0" w:color="auto"/>
        <w:bottom w:val="none" w:sz="0" w:space="0" w:color="auto"/>
        <w:right w:val="none" w:sz="0" w:space="0" w:color="auto"/>
      </w:divBdr>
    </w:div>
    <w:div w:id="1252156564">
      <w:bodyDiv w:val="1"/>
      <w:marLeft w:val="0"/>
      <w:marRight w:val="0"/>
      <w:marTop w:val="0"/>
      <w:marBottom w:val="0"/>
      <w:divBdr>
        <w:top w:val="none" w:sz="0" w:space="0" w:color="auto"/>
        <w:left w:val="none" w:sz="0" w:space="0" w:color="auto"/>
        <w:bottom w:val="none" w:sz="0" w:space="0" w:color="auto"/>
        <w:right w:val="none" w:sz="0" w:space="0" w:color="auto"/>
      </w:divBdr>
    </w:div>
    <w:div w:id="1252350017">
      <w:bodyDiv w:val="1"/>
      <w:marLeft w:val="0"/>
      <w:marRight w:val="0"/>
      <w:marTop w:val="0"/>
      <w:marBottom w:val="0"/>
      <w:divBdr>
        <w:top w:val="none" w:sz="0" w:space="0" w:color="auto"/>
        <w:left w:val="none" w:sz="0" w:space="0" w:color="auto"/>
        <w:bottom w:val="none" w:sz="0" w:space="0" w:color="auto"/>
        <w:right w:val="none" w:sz="0" w:space="0" w:color="auto"/>
      </w:divBdr>
    </w:div>
    <w:div w:id="1252395642">
      <w:bodyDiv w:val="1"/>
      <w:marLeft w:val="0"/>
      <w:marRight w:val="0"/>
      <w:marTop w:val="0"/>
      <w:marBottom w:val="0"/>
      <w:divBdr>
        <w:top w:val="none" w:sz="0" w:space="0" w:color="auto"/>
        <w:left w:val="none" w:sz="0" w:space="0" w:color="auto"/>
        <w:bottom w:val="none" w:sz="0" w:space="0" w:color="auto"/>
        <w:right w:val="none" w:sz="0" w:space="0" w:color="auto"/>
      </w:divBdr>
    </w:div>
    <w:div w:id="1252547794">
      <w:bodyDiv w:val="1"/>
      <w:marLeft w:val="0"/>
      <w:marRight w:val="0"/>
      <w:marTop w:val="0"/>
      <w:marBottom w:val="0"/>
      <w:divBdr>
        <w:top w:val="none" w:sz="0" w:space="0" w:color="auto"/>
        <w:left w:val="none" w:sz="0" w:space="0" w:color="auto"/>
        <w:bottom w:val="none" w:sz="0" w:space="0" w:color="auto"/>
        <w:right w:val="none" w:sz="0" w:space="0" w:color="auto"/>
      </w:divBdr>
    </w:div>
    <w:div w:id="1253776820">
      <w:bodyDiv w:val="1"/>
      <w:marLeft w:val="0"/>
      <w:marRight w:val="0"/>
      <w:marTop w:val="0"/>
      <w:marBottom w:val="0"/>
      <w:divBdr>
        <w:top w:val="none" w:sz="0" w:space="0" w:color="auto"/>
        <w:left w:val="none" w:sz="0" w:space="0" w:color="auto"/>
        <w:bottom w:val="none" w:sz="0" w:space="0" w:color="auto"/>
        <w:right w:val="none" w:sz="0" w:space="0" w:color="auto"/>
      </w:divBdr>
    </w:div>
    <w:div w:id="1253851827">
      <w:bodyDiv w:val="1"/>
      <w:marLeft w:val="0"/>
      <w:marRight w:val="0"/>
      <w:marTop w:val="0"/>
      <w:marBottom w:val="0"/>
      <w:divBdr>
        <w:top w:val="none" w:sz="0" w:space="0" w:color="auto"/>
        <w:left w:val="none" w:sz="0" w:space="0" w:color="auto"/>
        <w:bottom w:val="none" w:sz="0" w:space="0" w:color="auto"/>
        <w:right w:val="none" w:sz="0" w:space="0" w:color="auto"/>
      </w:divBdr>
    </w:div>
    <w:div w:id="1254170770">
      <w:bodyDiv w:val="1"/>
      <w:marLeft w:val="0"/>
      <w:marRight w:val="0"/>
      <w:marTop w:val="0"/>
      <w:marBottom w:val="0"/>
      <w:divBdr>
        <w:top w:val="none" w:sz="0" w:space="0" w:color="auto"/>
        <w:left w:val="none" w:sz="0" w:space="0" w:color="auto"/>
        <w:bottom w:val="none" w:sz="0" w:space="0" w:color="auto"/>
        <w:right w:val="none" w:sz="0" w:space="0" w:color="auto"/>
      </w:divBdr>
    </w:div>
    <w:div w:id="1254244711">
      <w:bodyDiv w:val="1"/>
      <w:marLeft w:val="0"/>
      <w:marRight w:val="0"/>
      <w:marTop w:val="0"/>
      <w:marBottom w:val="0"/>
      <w:divBdr>
        <w:top w:val="none" w:sz="0" w:space="0" w:color="auto"/>
        <w:left w:val="none" w:sz="0" w:space="0" w:color="auto"/>
        <w:bottom w:val="none" w:sz="0" w:space="0" w:color="auto"/>
        <w:right w:val="none" w:sz="0" w:space="0" w:color="auto"/>
      </w:divBdr>
    </w:div>
    <w:div w:id="1254625161">
      <w:bodyDiv w:val="1"/>
      <w:marLeft w:val="0"/>
      <w:marRight w:val="0"/>
      <w:marTop w:val="0"/>
      <w:marBottom w:val="0"/>
      <w:divBdr>
        <w:top w:val="none" w:sz="0" w:space="0" w:color="auto"/>
        <w:left w:val="none" w:sz="0" w:space="0" w:color="auto"/>
        <w:bottom w:val="none" w:sz="0" w:space="0" w:color="auto"/>
        <w:right w:val="none" w:sz="0" w:space="0" w:color="auto"/>
      </w:divBdr>
    </w:div>
    <w:div w:id="1254702070">
      <w:bodyDiv w:val="1"/>
      <w:marLeft w:val="0"/>
      <w:marRight w:val="0"/>
      <w:marTop w:val="0"/>
      <w:marBottom w:val="0"/>
      <w:divBdr>
        <w:top w:val="none" w:sz="0" w:space="0" w:color="auto"/>
        <w:left w:val="none" w:sz="0" w:space="0" w:color="auto"/>
        <w:bottom w:val="none" w:sz="0" w:space="0" w:color="auto"/>
        <w:right w:val="none" w:sz="0" w:space="0" w:color="auto"/>
      </w:divBdr>
    </w:div>
    <w:div w:id="1255090492">
      <w:bodyDiv w:val="1"/>
      <w:marLeft w:val="0"/>
      <w:marRight w:val="0"/>
      <w:marTop w:val="0"/>
      <w:marBottom w:val="0"/>
      <w:divBdr>
        <w:top w:val="none" w:sz="0" w:space="0" w:color="auto"/>
        <w:left w:val="none" w:sz="0" w:space="0" w:color="auto"/>
        <w:bottom w:val="none" w:sz="0" w:space="0" w:color="auto"/>
        <w:right w:val="none" w:sz="0" w:space="0" w:color="auto"/>
      </w:divBdr>
    </w:div>
    <w:div w:id="1256204244">
      <w:bodyDiv w:val="1"/>
      <w:marLeft w:val="0"/>
      <w:marRight w:val="0"/>
      <w:marTop w:val="0"/>
      <w:marBottom w:val="0"/>
      <w:divBdr>
        <w:top w:val="none" w:sz="0" w:space="0" w:color="auto"/>
        <w:left w:val="none" w:sz="0" w:space="0" w:color="auto"/>
        <w:bottom w:val="none" w:sz="0" w:space="0" w:color="auto"/>
        <w:right w:val="none" w:sz="0" w:space="0" w:color="auto"/>
      </w:divBdr>
    </w:div>
    <w:div w:id="1256479060">
      <w:bodyDiv w:val="1"/>
      <w:marLeft w:val="0"/>
      <w:marRight w:val="0"/>
      <w:marTop w:val="0"/>
      <w:marBottom w:val="0"/>
      <w:divBdr>
        <w:top w:val="none" w:sz="0" w:space="0" w:color="auto"/>
        <w:left w:val="none" w:sz="0" w:space="0" w:color="auto"/>
        <w:bottom w:val="none" w:sz="0" w:space="0" w:color="auto"/>
        <w:right w:val="none" w:sz="0" w:space="0" w:color="auto"/>
      </w:divBdr>
    </w:div>
    <w:div w:id="1257712459">
      <w:bodyDiv w:val="1"/>
      <w:marLeft w:val="0"/>
      <w:marRight w:val="0"/>
      <w:marTop w:val="0"/>
      <w:marBottom w:val="0"/>
      <w:divBdr>
        <w:top w:val="none" w:sz="0" w:space="0" w:color="auto"/>
        <w:left w:val="none" w:sz="0" w:space="0" w:color="auto"/>
        <w:bottom w:val="none" w:sz="0" w:space="0" w:color="auto"/>
        <w:right w:val="none" w:sz="0" w:space="0" w:color="auto"/>
      </w:divBdr>
    </w:div>
    <w:div w:id="1258557049">
      <w:bodyDiv w:val="1"/>
      <w:marLeft w:val="0"/>
      <w:marRight w:val="0"/>
      <w:marTop w:val="0"/>
      <w:marBottom w:val="0"/>
      <w:divBdr>
        <w:top w:val="none" w:sz="0" w:space="0" w:color="auto"/>
        <w:left w:val="none" w:sz="0" w:space="0" w:color="auto"/>
        <w:bottom w:val="none" w:sz="0" w:space="0" w:color="auto"/>
        <w:right w:val="none" w:sz="0" w:space="0" w:color="auto"/>
      </w:divBdr>
    </w:div>
    <w:div w:id="1259947230">
      <w:bodyDiv w:val="1"/>
      <w:marLeft w:val="0"/>
      <w:marRight w:val="0"/>
      <w:marTop w:val="0"/>
      <w:marBottom w:val="0"/>
      <w:divBdr>
        <w:top w:val="none" w:sz="0" w:space="0" w:color="auto"/>
        <w:left w:val="none" w:sz="0" w:space="0" w:color="auto"/>
        <w:bottom w:val="none" w:sz="0" w:space="0" w:color="auto"/>
        <w:right w:val="none" w:sz="0" w:space="0" w:color="auto"/>
      </w:divBdr>
    </w:div>
    <w:div w:id="1260214522">
      <w:bodyDiv w:val="1"/>
      <w:marLeft w:val="0"/>
      <w:marRight w:val="0"/>
      <w:marTop w:val="0"/>
      <w:marBottom w:val="0"/>
      <w:divBdr>
        <w:top w:val="none" w:sz="0" w:space="0" w:color="auto"/>
        <w:left w:val="none" w:sz="0" w:space="0" w:color="auto"/>
        <w:bottom w:val="none" w:sz="0" w:space="0" w:color="auto"/>
        <w:right w:val="none" w:sz="0" w:space="0" w:color="auto"/>
      </w:divBdr>
    </w:div>
    <w:div w:id="1260941580">
      <w:bodyDiv w:val="1"/>
      <w:marLeft w:val="0"/>
      <w:marRight w:val="0"/>
      <w:marTop w:val="0"/>
      <w:marBottom w:val="0"/>
      <w:divBdr>
        <w:top w:val="none" w:sz="0" w:space="0" w:color="auto"/>
        <w:left w:val="none" w:sz="0" w:space="0" w:color="auto"/>
        <w:bottom w:val="none" w:sz="0" w:space="0" w:color="auto"/>
        <w:right w:val="none" w:sz="0" w:space="0" w:color="auto"/>
      </w:divBdr>
    </w:div>
    <w:div w:id="1262103740">
      <w:bodyDiv w:val="1"/>
      <w:marLeft w:val="0"/>
      <w:marRight w:val="0"/>
      <w:marTop w:val="0"/>
      <w:marBottom w:val="0"/>
      <w:divBdr>
        <w:top w:val="none" w:sz="0" w:space="0" w:color="auto"/>
        <w:left w:val="none" w:sz="0" w:space="0" w:color="auto"/>
        <w:bottom w:val="none" w:sz="0" w:space="0" w:color="auto"/>
        <w:right w:val="none" w:sz="0" w:space="0" w:color="auto"/>
      </w:divBdr>
    </w:div>
    <w:div w:id="1262183736">
      <w:bodyDiv w:val="1"/>
      <w:marLeft w:val="0"/>
      <w:marRight w:val="0"/>
      <w:marTop w:val="0"/>
      <w:marBottom w:val="0"/>
      <w:divBdr>
        <w:top w:val="none" w:sz="0" w:space="0" w:color="auto"/>
        <w:left w:val="none" w:sz="0" w:space="0" w:color="auto"/>
        <w:bottom w:val="none" w:sz="0" w:space="0" w:color="auto"/>
        <w:right w:val="none" w:sz="0" w:space="0" w:color="auto"/>
      </w:divBdr>
    </w:div>
    <w:div w:id="1262370192">
      <w:bodyDiv w:val="1"/>
      <w:marLeft w:val="0"/>
      <w:marRight w:val="0"/>
      <w:marTop w:val="0"/>
      <w:marBottom w:val="0"/>
      <w:divBdr>
        <w:top w:val="none" w:sz="0" w:space="0" w:color="auto"/>
        <w:left w:val="none" w:sz="0" w:space="0" w:color="auto"/>
        <w:bottom w:val="none" w:sz="0" w:space="0" w:color="auto"/>
        <w:right w:val="none" w:sz="0" w:space="0" w:color="auto"/>
      </w:divBdr>
    </w:div>
    <w:div w:id="1263025538">
      <w:bodyDiv w:val="1"/>
      <w:marLeft w:val="0"/>
      <w:marRight w:val="0"/>
      <w:marTop w:val="0"/>
      <w:marBottom w:val="0"/>
      <w:divBdr>
        <w:top w:val="none" w:sz="0" w:space="0" w:color="auto"/>
        <w:left w:val="none" w:sz="0" w:space="0" w:color="auto"/>
        <w:bottom w:val="none" w:sz="0" w:space="0" w:color="auto"/>
        <w:right w:val="none" w:sz="0" w:space="0" w:color="auto"/>
      </w:divBdr>
    </w:div>
    <w:div w:id="1263563021">
      <w:bodyDiv w:val="1"/>
      <w:marLeft w:val="0"/>
      <w:marRight w:val="0"/>
      <w:marTop w:val="0"/>
      <w:marBottom w:val="0"/>
      <w:divBdr>
        <w:top w:val="none" w:sz="0" w:space="0" w:color="auto"/>
        <w:left w:val="none" w:sz="0" w:space="0" w:color="auto"/>
        <w:bottom w:val="none" w:sz="0" w:space="0" w:color="auto"/>
        <w:right w:val="none" w:sz="0" w:space="0" w:color="auto"/>
      </w:divBdr>
    </w:div>
    <w:div w:id="1263762285">
      <w:bodyDiv w:val="1"/>
      <w:marLeft w:val="0"/>
      <w:marRight w:val="0"/>
      <w:marTop w:val="0"/>
      <w:marBottom w:val="0"/>
      <w:divBdr>
        <w:top w:val="none" w:sz="0" w:space="0" w:color="auto"/>
        <w:left w:val="none" w:sz="0" w:space="0" w:color="auto"/>
        <w:bottom w:val="none" w:sz="0" w:space="0" w:color="auto"/>
        <w:right w:val="none" w:sz="0" w:space="0" w:color="auto"/>
      </w:divBdr>
    </w:div>
    <w:div w:id="1264416570">
      <w:bodyDiv w:val="1"/>
      <w:marLeft w:val="0"/>
      <w:marRight w:val="0"/>
      <w:marTop w:val="0"/>
      <w:marBottom w:val="0"/>
      <w:divBdr>
        <w:top w:val="none" w:sz="0" w:space="0" w:color="auto"/>
        <w:left w:val="none" w:sz="0" w:space="0" w:color="auto"/>
        <w:bottom w:val="none" w:sz="0" w:space="0" w:color="auto"/>
        <w:right w:val="none" w:sz="0" w:space="0" w:color="auto"/>
      </w:divBdr>
    </w:div>
    <w:div w:id="1264797467">
      <w:bodyDiv w:val="1"/>
      <w:marLeft w:val="0"/>
      <w:marRight w:val="0"/>
      <w:marTop w:val="0"/>
      <w:marBottom w:val="0"/>
      <w:divBdr>
        <w:top w:val="none" w:sz="0" w:space="0" w:color="auto"/>
        <w:left w:val="none" w:sz="0" w:space="0" w:color="auto"/>
        <w:bottom w:val="none" w:sz="0" w:space="0" w:color="auto"/>
        <w:right w:val="none" w:sz="0" w:space="0" w:color="auto"/>
      </w:divBdr>
    </w:div>
    <w:div w:id="1265268701">
      <w:bodyDiv w:val="1"/>
      <w:marLeft w:val="0"/>
      <w:marRight w:val="0"/>
      <w:marTop w:val="0"/>
      <w:marBottom w:val="0"/>
      <w:divBdr>
        <w:top w:val="none" w:sz="0" w:space="0" w:color="auto"/>
        <w:left w:val="none" w:sz="0" w:space="0" w:color="auto"/>
        <w:bottom w:val="none" w:sz="0" w:space="0" w:color="auto"/>
        <w:right w:val="none" w:sz="0" w:space="0" w:color="auto"/>
      </w:divBdr>
    </w:div>
    <w:div w:id="1265962348">
      <w:bodyDiv w:val="1"/>
      <w:marLeft w:val="0"/>
      <w:marRight w:val="0"/>
      <w:marTop w:val="0"/>
      <w:marBottom w:val="0"/>
      <w:divBdr>
        <w:top w:val="none" w:sz="0" w:space="0" w:color="auto"/>
        <w:left w:val="none" w:sz="0" w:space="0" w:color="auto"/>
        <w:bottom w:val="none" w:sz="0" w:space="0" w:color="auto"/>
        <w:right w:val="none" w:sz="0" w:space="0" w:color="auto"/>
      </w:divBdr>
    </w:div>
    <w:div w:id="1265965340">
      <w:bodyDiv w:val="1"/>
      <w:marLeft w:val="0"/>
      <w:marRight w:val="0"/>
      <w:marTop w:val="0"/>
      <w:marBottom w:val="0"/>
      <w:divBdr>
        <w:top w:val="none" w:sz="0" w:space="0" w:color="auto"/>
        <w:left w:val="none" w:sz="0" w:space="0" w:color="auto"/>
        <w:bottom w:val="none" w:sz="0" w:space="0" w:color="auto"/>
        <w:right w:val="none" w:sz="0" w:space="0" w:color="auto"/>
      </w:divBdr>
    </w:div>
    <w:div w:id="1266110180">
      <w:bodyDiv w:val="1"/>
      <w:marLeft w:val="0"/>
      <w:marRight w:val="0"/>
      <w:marTop w:val="0"/>
      <w:marBottom w:val="0"/>
      <w:divBdr>
        <w:top w:val="none" w:sz="0" w:space="0" w:color="auto"/>
        <w:left w:val="none" w:sz="0" w:space="0" w:color="auto"/>
        <w:bottom w:val="none" w:sz="0" w:space="0" w:color="auto"/>
        <w:right w:val="none" w:sz="0" w:space="0" w:color="auto"/>
      </w:divBdr>
    </w:div>
    <w:div w:id="1266228629">
      <w:bodyDiv w:val="1"/>
      <w:marLeft w:val="0"/>
      <w:marRight w:val="0"/>
      <w:marTop w:val="0"/>
      <w:marBottom w:val="0"/>
      <w:divBdr>
        <w:top w:val="none" w:sz="0" w:space="0" w:color="auto"/>
        <w:left w:val="none" w:sz="0" w:space="0" w:color="auto"/>
        <w:bottom w:val="none" w:sz="0" w:space="0" w:color="auto"/>
        <w:right w:val="none" w:sz="0" w:space="0" w:color="auto"/>
      </w:divBdr>
    </w:div>
    <w:div w:id="1266383303">
      <w:bodyDiv w:val="1"/>
      <w:marLeft w:val="0"/>
      <w:marRight w:val="0"/>
      <w:marTop w:val="0"/>
      <w:marBottom w:val="0"/>
      <w:divBdr>
        <w:top w:val="none" w:sz="0" w:space="0" w:color="auto"/>
        <w:left w:val="none" w:sz="0" w:space="0" w:color="auto"/>
        <w:bottom w:val="none" w:sz="0" w:space="0" w:color="auto"/>
        <w:right w:val="none" w:sz="0" w:space="0" w:color="auto"/>
      </w:divBdr>
    </w:div>
    <w:div w:id="1266965147">
      <w:bodyDiv w:val="1"/>
      <w:marLeft w:val="0"/>
      <w:marRight w:val="0"/>
      <w:marTop w:val="0"/>
      <w:marBottom w:val="0"/>
      <w:divBdr>
        <w:top w:val="none" w:sz="0" w:space="0" w:color="auto"/>
        <w:left w:val="none" w:sz="0" w:space="0" w:color="auto"/>
        <w:bottom w:val="none" w:sz="0" w:space="0" w:color="auto"/>
        <w:right w:val="none" w:sz="0" w:space="0" w:color="auto"/>
      </w:divBdr>
    </w:div>
    <w:div w:id="1267812265">
      <w:bodyDiv w:val="1"/>
      <w:marLeft w:val="0"/>
      <w:marRight w:val="0"/>
      <w:marTop w:val="0"/>
      <w:marBottom w:val="0"/>
      <w:divBdr>
        <w:top w:val="none" w:sz="0" w:space="0" w:color="auto"/>
        <w:left w:val="none" w:sz="0" w:space="0" w:color="auto"/>
        <w:bottom w:val="none" w:sz="0" w:space="0" w:color="auto"/>
        <w:right w:val="none" w:sz="0" w:space="0" w:color="auto"/>
      </w:divBdr>
      <w:divsChild>
        <w:div w:id="1473713280">
          <w:marLeft w:val="480"/>
          <w:marRight w:val="0"/>
          <w:marTop w:val="0"/>
          <w:marBottom w:val="0"/>
          <w:divBdr>
            <w:top w:val="none" w:sz="0" w:space="0" w:color="auto"/>
            <w:left w:val="none" w:sz="0" w:space="0" w:color="auto"/>
            <w:bottom w:val="none" w:sz="0" w:space="0" w:color="auto"/>
            <w:right w:val="none" w:sz="0" w:space="0" w:color="auto"/>
          </w:divBdr>
        </w:div>
        <w:div w:id="893082812">
          <w:marLeft w:val="480"/>
          <w:marRight w:val="0"/>
          <w:marTop w:val="0"/>
          <w:marBottom w:val="0"/>
          <w:divBdr>
            <w:top w:val="none" w:sz="0" w:space="0" w:color="auto"/>
            <w:left w:val="none" w:sz="0" w:space="0" w:color="auto"/>
            <w:bottom w:val="none" w:sz="0" w:space="0" w:color="auto"/>
            <w:right w:val="none" w:sz="0" w:space="0" w:color="auto"/>
          </w:divBdr>
        </w:div>
        <w:div w:id="62457236">
          <w:marLeft w:val="480"/>
          <w:marRight w:val="0"/>
          <w:marTop w:val="0"/>
          <w:marBottom w:val="0"/>
          <w:divBdr>
            <w:top w:val="none" w:sz="0" w:space="0" w:color="auto"/>
            <w:left w:val="none" w:sz="0" w:space="0" w:color="auto"/>
            <w:bottom w:val="none" w:sz="0" w:space="0" w:color="auto"/>
            <w:right w:val="none" w:sz="0" w:space="0" w:color="auto"/>
          </w:divBdr>
        </w:div>
        <w:div w:id="306474923">
          <w:marLeft w:val="480"/>
          <w:marRight w:val="0"/>
          <w:marTop w:val="0"/>
          <w:marBottom w:val="0"/>
          <w:divBdr>
            <w:top w:val="none" w:sz="0" w:space="0" w:color="auto"/>
            <w:left w:val="none" w:sz="0" w:space="0" w:color="auto"/>
            <w:bottom w:val="none" w:sz="0" w:space="0" w:color="auto"/>
            <w:right w:val="none" w:sz="0" w:space="0" w:color="auto"/>
          </w:divBdr>
        </w:div>
        <w:div w:id="1653558579">
          <w:marLeft w:val="480"/>
          <w:marRight w:val="0"/>
          <w:marTop w:val="0"/>
          <w:marBottom w:val="0"/>
          <w:divBdr>
            <w:top w:val="none" w:sz="0" w:space="0" w:color="auto"/>
            <w:left w:val="none" w:sz="0" w:space="0" w:color="auto"/>
            <w:bottom w:val="none" w:sz="0" w:space="0" w:color="auto"/>
            <w:right w:val="none" w:sz="0" w:space="0" w:color="auto"/>
          </w:divBdr>
        </w:div>
        <w:div w:id="1648975294">
          <w:marLeft w:val="480"/>
          <w:marRight w:val="0"/>
          <w:marTop w:val="0"/>
          <w:marBottom w:val="0"/>
          <w:divBdr>
            <w:top w:val="none" w:sz="0" w:space="0" w:color="auto"/>
            <w:left w:val="none" w:sz="0" w:space="0" w:color="auto"/>
            <w:bottom w:val="none" w:sz="0" w:space="0" w:color="auto"/>
            <w:right w:val="none" w:sz="0" w:space="0" w:color="auto"/>
          </w:divBdr>
        </w:div>
        <w:div w:id="1098985524">
          <w:marLeft w:val="480"/>
          <w:marRight w:val="0"/>
          <w:marTop w:val="0"/>
          <w:marBottom w:val="0"/>
          <w:divBdr>
            <w:top w:val="none" w:sz="0" w:space="0" w:color="auto"/>
            <w:left w:val="none" w:sz="0" w:space="0" w:color="auto"/>
            <w:bottom w:val="none" w:sz="0" w:space="0" w:color="auto"/>
            <w:right w:val="none" w:sz="0" w:space="0" w:color="auto"/>
          </w:divBdr>
        </w:div>
        <w:div w:id="1740858039">
          <w:marLeft w:val="480"/>
          <w:marRight w:val="0"/>
          <w:marTop w:val="0"/>
          <w:marBottom w:val="0"/>
          <w:divBdr>
            <w:top w:val="none" w:sz="0" w:space="0" w:color="auto"/>
            <w:left w:val="none" w:sz="0" w:space="0" w:color="auto"/>
            <w:bottom w:val="none" w:sz="0" w:space="0" w:color="auto"/>
            <w:right w:val="none" w:sz="0" w:space="0" w:color="auto"/>
          </w:divBdr>
        </w:div>
        <w:div w:id="410740659">
          <w:marLeft w:val="480"/>
          <w:marRight w:val="0"/>
          <w:marTop w:val="0"/>
          <w:marBottom w:val="0"/>
          <w:divBdr>
            <w:top w:val="none" w:sz="0" w:space="0" w:color="auto"/>
            <w:left w:val="none" w:sz="0" w:space="0" w:color="auto"/>
            <w:bottom w:val="none" w:sz="0" w:space="0" w:color="auto"/>
            <w:right w:val="none" w:sz="0" w:space="0" w:color="auto"/>
          </w:divBdr>
        </w:div>
        <w:div w:id="1096247080">
          <w:marLeft w:val="480"/>
          <w:marRight w:val="0"/>
          <w:marTop w:val="0"/>
          <w:marBottom w:val="0"/>
          <w:divBdr>
            <w:top w:val="none" w:sz="0" w:space="0" w:color="auto"/>
            <w:left w:val="none" w:sz="0" w:space="0" w:color="auto"/>
            <w:bottom w:val="none" w:sz="0" w:space="0" w:color="auto"/>
            <w:right w:val="none" w:sz="0" w:space="0" w:color="auto"/>
          </w:divBdr>
        </w:div>
        <w:div w:id="891162138">
          <w:marLeft w:val="480"/>
          <w:marRight w:val="0"/>
          <w:marTop w:val="0"/>
          <w:marBottom w:val="0"/>
          <w:divBdr>
            <w:top w:val="none" w:sz="0" w:space="0" w:color="auto"/>
            <w:left w:val="none" w:sz="0" w:space="0" w:color="auto"/>
            <w:bottom w:val="none" w:sz="0" w:space="0" w:color="auto"/>
            <w:right w:val="none" w:sz="0" w:space="0" w:color="auto"/>
          </w:divBdr>
        </w:div>
        <w:div w:id="296108903">
          <w:marLeft w:val="480"/>
          <w:marRight w:val="0"/>
          <w:marTop w:val="0"/>
          <w:marBottom w:val="0"/>
          <w:divBdr>
            <w:top w:val="none" w:sz="0" w:space="0" w:color="auto"/>
            <w:left w:val="none" w:sz="0" w:space="0" w:color="auto"/>
            <w:bottom w:val="none" w:sz="0" w:space="0" w:color="auto"/>
            <w:right w:val="none" w:sz="0" w:space="0" w:color="auto"/>
          </w:divBdr>
        </w:div>
        <w:div w:id="366375766">
          <w:marLeft w:val="480"/>
          <w:marRight w:val="0"/>
          <w:marTop w:val="0"/>
          <w:marBottom w:val="0"/>
          <w:divBdr>
            <w:top w:val="none" w:sz="0" w:space="0" w:color="auto"/>
            <w:left w:val="none" w:sz="0" w:space="0" w:color="auto"/>
            <w:bottom w:val="none" w:sz="0" w:space="0" w:color="auto"/>
            <w:right w:val="none" w:sz="0" w:space="0" w:color="auto"/>
          </w:divBdr>
        </w:div>
        <w:div w:id="1063261762">
          <w:marLeft w:val="480"/>
          <w:marRight w:val="0"/>
          <w:marTop w:val="0"/>
          <w:marBottom w:val="0"/>
          <w:divBdr>
            <w:top w:val="none" w:sz="0" w:space="0" w:color="auto"/>
            <w:left w:val="none" w:sz="0" w:space="0" w:color="auto"/>
            <w:bottom w:val="none" w:sz="0" w:space="0" w:color="auto"/>
            <w:right w:val="none" w:sz="0" w:space="0" w:color="auto"/>
          </w:divBdr>
        </w:div>
        <w:div w:id="214587704">
          <w:marLeft w:val="480"/>
          <w:marRight w:val="0"/>
          <w:marTop w:val="0"/>
          <w:marBottom w:val="0"/>
          <w:divBdr>
            <w:top w:val="none" w:sz="0" w:space="0" w:color="auto"/>
            <w:left w:val="none" w:sz="0" w:space="0" w:color="auto"/>
            <w:bottom w:val="none" w:sz="0" w:space="0" w:color="auto"/>
            <w:right w:val="none" w:sz="0" w:space="0" w:color="auto"/>
          </w:divBdr>
        </w:div>
        <w:div w:id="72046590">
          <w:marLeft w:val="480"/>
          <w:marRight w:val="0"/>
          <w:marTop w:val="0"/>
          <w:marBottom w:val="0"/>
          <w:divBdr>
            <w:top w:val="none" w:sz="0" w:space="0" w:color="auto"/>
            <w:left w:val="none" w:sz="0" w:space="0" w:color="auto"/>
            <w:bottom w:val="none" w:sz="0" w:space="0" w:color="auto"/>
            <w:right w:val="none" w:sz="0" w:space="0" w:color="auto"/>
          </w:divBdr>
        </w:div>
        <w:div w:id="197351294">
          <w:marLeft w:val="480"/>
          <w:marRight w:val="0"/>
          <w:marTop w:val="0"/>
          <w:marBottom w:val="0"/>
          <w:divBdr>
            <w:top w:val="none" w:sz="0" w:space="0" w:color="auto"/>
            <w:left w:val="none" w:sz="0" w:space="0" w:color="auto"/>
            <w:bottom w:val="none" w:sz="0" w:space="0" w:color="auto"/>
            <w:right w:val="none" w:sz="0" w:space="0" w:color="auto"/>
          </w:divBdr>
        </w:div>
        <w:div w:id="1082025064">
          <w:marLeft w:val="480"/>
          <w:marRight w:val="0"/>
          <w:marTop w:val="0"/>
          <w:marBottom w:val="0"/>
          <w:divBdr>
            <w:top w:val="none" w:sz="0" w:space="0" w:color="auto"/>
            <w:left w:val="none" w:sz="0" w:space="0" w:color="auto"/>
            <w:bottom w:val="none" w:sz="0" w:space="0" w:color="auto"/>
            <w:right w:val="none" w:sz="0" w:space="0" w:color="auto"/>
          </w:divBdr>
        </w:div>
        <w:div w:id="879978858">
          <w:marLeft w:val="480"/>
          <w:marRight w:val="0"/>
          <w:marTop w:val="0"/>
          <w:marBottom w:val="0"/>
          <w:divBdr>
            <w:top w:val="none" w:sz="0" w:space="0" w:color="auto"/>
            <w:left w:val="none" w:sz="0" w:space="0" w:color="auto"/>
            <w:bottom w:val="none" w:sz="0" w:space="0" w:color="auto"/>
            <w:right w:val="none" w:sz="0" w:space="0" w:color="auto"/>
          </w:divBdr>
        </w:div>
        <w:div w:id="916596327">
          <w:marLeft w:val="480"/>
          <w:marRight w:val="0"/>
          <w:marTop w:val="0"/>
          <w:marBottom w:val="0"/>
          <w:divBdr>
            <w:top w:val="none" w:sz="0" w:space="0" w:color="auto"/>
            <w:left w:val="none" w:sz="0" w:space="0" w:color="auto"/>
            <w:bottom w:val="none" w:sz="0" w:space="0" w:color="auto"/>
            <w:right w:val="none" w:sz="0" w:space="0" w:color="auto"/>
          </w:divBdr>
        </w:div>
        <w:div w:id="1319267673">
          <w:marLeft w:val="480"/>
          <w:marRight w:val="0"/>
          <w:marTop w:val="0"/>
          <w:marBottom w:val="0"/>
          <w:divBdr>
            <w:top w:val="none" w:sz="0" w:space="0" w:color="auto"/>
            <w:left w:val="none" w:sz="0" w:space="0" w:color="auto"/>
            <w:bottom w:val="none" w:sz="0" w:space="0" w:color="auto"/>
            <w:right w:val="none" w:sz="0" w:space="0" w:color="auto"/>
          </w:divBdr>
        </w:div>
        <w:div w:id="847906851">
          <w:marLeft w:val="480"/>
          <w:marRight w:val="0"/>
          <w:marTop w:val="0"/>
          <w:marBottom w:val="0"/>
          <w:divBdr>
            <w:top w:val="none" w:sz="0" w:space="0" w:color="auto"/>
            <w:left w:val="none" w:sz="0" w:space="0" w:color="auto"/>
            <w:bottom w:val="none" w:sz="0" w:space="0" w:color="auto"/>
            <w:right w:val="none" w:sz="0" w:space="0" w:color="auto"/>
          </w:divBdr>
        </w:div>
        <w:div w:id="1193687354">
          <w:marLeft w:val="480"/>
          <w:marRight w:val="0"/>
          <w:marTop w:val="0"/>
          <w:marBottom w:val="0"/>
          <w:divBdr>
            <w:top w:val="none" w:sz="0" w:space="0" w:color="auto"/>
            <w:left w:val="none" w:sz="0" w:space="0" w:color="auto"/>
            <w:bottom w:val="none" w:sz="0" w:space="0" w:color="auto"/>
            <w:right w:val="none" w:sz="0" w:space="0" w:color="auto"/>
          </w:divBdr>
        </w:div>
        <w:div w:id="901335499">
          <w:marLeft w:val="480"/>
          <w:marRight w:val="0"/>
          <w:marTop w:val="0"/>
          <w:marBottom w:val="0"/>
          <w:divBdr>
            <w:top w:val="none" w:sz="0" w:space="0" w:color="auto"/>
            <w:left w:val="none" w:sz="0" w:space="0" w:color="auto"/>
            <w:bottom w:val="none" w:sz="0" w:space="0" w:color="auto"/>
            <w:right w:val="none" w:sz="0" w:space="0" w:color="auto"/>
          </w:divBdr>
        </w:div>
        <w:div w:id="281428214">
          <w:marLeft w:val="480"/>
          <w:marRight w:val="0"/>
          <w:marTop w:val="0"/>
          <w:marBottom w:val="0"/>
          <w:divBdr>
            <w:top w:val="none" w:sz="0" w:space="0" w:color="auto"/>
            <w:left w:val="none" w:sz="0" w:space="0" w:color="auto"/>
            <w:bottom w:val="none" w:sz="0" w:space="0" w:color="auto"/>
            <w:right w:val="none" w:sz="0" w:space="0" w:color="auto"/>
          </w:divBdr>
        </w:div>
        <w:div w:id="2104718392">
          <w:marLeft w:val="480"/>
          <w:marRight w:val="0"/>
          <w:marTop w:val="0"/>
          <w:marBottom w:val="0"/>
          <w:divBdr>
            <w:top w:val="none" w:sz="0" w:space="0" w:color="auto"/>
            <w:left w:val="none" w:sz="0" w:space="0" w:color="auto"/>
            <w:bottom w:val="none" w:sz="0" w:space="0" w:color="auto"/>
            <w:right w:val="none" w:sz="0" w:space="0" w:color="auto"/>
          </w:divBdr>
        </w:div>
        <w:div w:id="1535771202">
          <w:marLeft w:val="480"/>
          <w:marRight w:val="0"/>
          <w:marTop w:val="0"/>
          <w:marBottom w:val="0"/>
          <w:divBdr>
            <w:top w:val="none" w:sz="0" w:space="0" w:color="auto"/>
            <w:left w:val="none" w:sz="0" w:space="0" w:color="auto"/>
            <w:bottom w:val="none" w:sz="0" w:space="0" w:color="auto"/>
            <w:right w:val="none" w:sz="0" w:space="0" w:color="auto"/>
          </w:divBdr>
        </w:div>
        <w:div w:id="347416453">
          <w:marLeft w:val="480"/>
          <w:marRight w:val="0"/>
          <w:marTop w:val="0"/>
          <w:marBottom w:val="0"/>
          <w:divBdr>
            <w:top w:val="none" w:sz="0" w:space="0" w:color="auto"/>
            <w:left w:val="none" w:sz="0" w:space="0" w:color="auto"/>
            <w:bottom w:val="none" w:sz="0" w:space="0" w:color="auto"/>
            <w:right w:val="none" w:sz="0" w:space="0" w:color="auto"/>
          </w:divBdr>
        </w:div>
        <w:div w:id="21396194">
          <w:marLeft w:val="480"/>
          <w:marRight w:val="0"/>
          <w:marTop w:val="0"/>
          <w:marBottom w:val="0"/>
          <w:divBdr>
            <w:top w:val="none" w:sz="0" w:space="0" w:color="auto"/>
            <w:left w:val="none" w:sz="0" w:space="0" w:color="auto"/>
            <w:bottom w:val="none" w:sz="0" w:space="0" w:color="auto"/>
            <w:right w:val="none" w:sz="0" w:space="0" w:color="auto"/>
          </w:divBdr>
        </w:div>
        <w:div w:id="1470900973">
          <w:marLeft w:val="480"/>
          <w:marRight w:val="0"/>
          <w:marTop w:val="0"/>
          <w:marBottom w:val="0"/>
          <w:divBdr>
            <w:top w:val="none" w:sz="0" w:space="0" w:color="auto"/>
            <w:left w:val="none" w:sz="0" w:space="0" w:color="auto"/>
            <w:bottom w:val="none" w:sz="0" w:space="0" w:color="auto"/>
            <w:right w:val="none" w:sz="0" w:space="0" w:color="auto"/>
          </w:divBdr>
        </w:div>
        <w:div w:id="1192912758">
          <w:marLeft w:val="480"/>
          <w:marRight w:val="0"/>
          <w:marTop w:val="0"/>
          <w:marBottom w:val="0"/>
          <w:divBdr>
            <w:top w:val="none" w:sz="0" w:space="0" w:color="auto"/>
            <w:left w:val="none" w:sz="0" w:space="0" w:color="auto"/>
            <w:bottom w:val="none" w:sz="0" w:space="0" w:color="auto"/>
            <w:right w:val="none" w:sz="0" w:space="0" w:color="auto"/>
          </w:divBdr>
        </w:div>
        <w:div w:id="819035909">
          <w:marLeft w:val="480"/>
          <w:marRight w:val="0"/>
          <w:marTop w:val="0"/>
          <w:marBottom w:val="0"/>
          <w:divBdr>
            <w:top w:val="none" w:sz="0" w:space="0" w:color="auto"/>
            <w:left w:val="none" w:sz="0" w:space="0" w:color="auto"/>
            <w:bottom w:val="none" w:sz="0" w:space="0" w:color="auto"/>
            <w:right w:val="none" w:sz="0" w:space="0" w:color="auto"/>
          </w:divBdr>
        </w:div>
        <w:div w:id="730277338">
          <w:marLeft w:val="480"/>
          <w:marRight w:val="0"/>
          <w:marTop w:val="0"/>
          <w:marBottom w:val="0"/>
          <w:divBdr>
            <w:top w:val="none" w:sz="0" w:space="0" w:color="auto"/>
            <w:left w:val="none" w:sz="0" w:space="0" w:color="auto"/>
            <w:bottom w:val="none" w:sz="0" w:space="0" w:color="auto"/>
            <w:right w:val="none" w:sz="0" w:space="0" w:color="auto"/>
          </w:divBdr>
        </w:div>
        <w:div w:id="144124343">
          <w:marLeft w:val="480"/>
          <w:marRight w:val="0"/>
          <w:marTop w:val="0"/>
          <w:marBottom w:val="0"/>
          <w:divBdr>
            <w:top w:val="none" w:sz="0" w:space="0" w:color="auto"/>
            <w:left w:val="none" w:sz="0" w:space="0" w:color="auto"/>
            <w:bottom w:val="none" w:sz="0" w:space="0" w:color="auto"/>
            <w:right w:val="none" w:sz="0" w:space="0" w:color="auto"/>
          </w:divBdr>
        </w:div>
        <w:div w:id="1760903808">
          <w:marLeft w:val="480"/>
          <w:marRight w:val="0"/>
          <w:marTop w:val="0"/>
          <w:marBottom w:val="0"/>
          <w:divBdr>
            <w:top w:val="none" w:sz="0" w:space="0" w:color="auto"/>
            <w:left w:val="none" w:sz="0" w:space="0" w:color="auto"/>
            <w:bottom w:val="none" w:sz="0" w:space="0" w:color="auto"/>
            <w:right w:val="none" w:sz="0" w:space="0" w:color="auto"/>
          </w:divBdr>
        </w:div>
        <w:div w:id="471365640">
          <w:marLeft w:val="480"/>
          <w:marRight w:val="0"/>
          <w:marTop w:val="0"/>
          <w:marBottom w:val="0"/>
          <w:divBdr>
            <w:top w:val="none" w:sz="0" w:space="0" w:color="auto"/>
            <w:left w:val="none" w:sz="0" w:space="0" w:color="auto"/>
            <w:bottom w:val="none" w:sz="0" w:space="0" w:color="auto"/>
            <w:right w:val="none" w:sz="0" w:space="0" w:color="auto"/>
          </w:divBdr>
        </w:div>
        <w:div w:id="994339298">
          <w:marLeft w:val="480"/>
          <w:marRight w:val="0"/>
          <w:marTop w:val="0"/>
          <w:marBottom w:val="0"/>
          <w:divBdr>
            <w:top w:val="none" w:sz="0" w:space="0" w:color="auto"/>
            <w:left w:val="none" w:sz="0" w:space="0" w:color="auto"/>
            <w:bottom w:val="none" w:sz="0" w:space="0" w:color="auto"/>
            <w:right w:val="none" w:sz="0" w:space="0" w:color="auto"/>
          </w:divBdr>
        </w:div>
        <w:div w:id="849219482">
          <w:marLeft w:val="480"/>
          <w:marRight w:val="0"/>
          <w:marTop w:val="0"/>
          <w:marBottom w:val="0"/>
          <w:divBdr>
            <w:top w:val="none" w:sz="0" w:space="0" w:color="auto"/>
            <w:left w:val="none" w:sz="0" w:space="0" w:color="auto"/>
            <w:bottom w:val="none" w:sz="0" w:space="0" w:color="auto"/>
            <w:right w:val="none" w:sz="0" w:space="0" w:color="auto"/>
          </w:divBdr>
        </w:div>
        <w:div w:id="1183979577">
          <w:marLeft w:val="480"/>
          <w:marRight w:val="0"/>
          <w:marTop w:val="0"/>
          <w:marBottom w:val="0"/>
          <w:divBdr>
            <w:top w:val="none" w:sz="0" w:space="0" w:color="auto"/>
            <w:left w:val="none" w:sz="0" w:space="0" w:color="auto"/>
            <w:bottom w:val="none" w:sz="0" w:space="0" w:color="auto"/>
            <w:right w:val="none" w:sz="0" w:space="0" w:color="auto"/>
          </w:divBdr>
        </w:div>
        <w:div w:id="825783101">
          <w:marLeft w:val="480"/>
          <w:marRight w:val="0"/>
          <w:marTop w:val="0"/>
          <w:marBottom w:val="0"/>
          <w:divBdr>
            <w:top w:val="none" w:sz="0" w:space="0" w:color="auto"/>
            <w:left w:val="none" w:sz="0" w:space="0" w:color="auto"/>
            <w:bottom w:val="none" w:sz="0" w:space="0" w:color="auto"/>
            <w:right w:val="none" w:sz="0" w:space="0" w:color="auto"/>
          </w:divBdr>
        </w:div>
        <w:div w:id="2037651937">
          <w:marLeft w:val="480"/>
          <w:marRight w:val="0"/>
          <w:marTop w:val="0"/>
          <w:marBottom w:val="0"/>
          <w:divBdr>
            <w:top w:val="none" w:sz="0" w:space="0" w:color="auto"/>
            <w:left w:val="none" w:sz="0" w:space="0" w:color="auto"/>
            <w:bottom w:val="none" w:sz="0" w:space="0" w:color="auto"/>
            <w:right w:val="none" w:sz="0" w:space="0" w:color="auto"/>
          </w:divBdr>
        </w:div>
        <w:div w:id="804159009">
          <w:marLeft w:val="480"/>
          <w:marRight w:val="0"/>
          <w:marTop w:val="0"/>
          <w:marBottom w:val="0"/>
          <w:divBdr>
            <w:top w:val="none" w:sz="0" w:space="0" w:color="auto"/>
            <w:left w:val="none" w:sz="0" w:space="0" w:color="auto"/>
            <w:bottom w:val="none" w:sz="0" w:space="0" w:color="auto"/>
            <w:right w:val="none" w:sz="0" w:space="0" w:color="auto"/>
          </w:divBdr>
        </w:div>
        <w:div w:id="445124674">
          <w:marLeft w:val="480"/>
          <w:marRight w:val="0"/>
          <w:marTop w:val="0"/>
          <w:marBottom w:val="0"/>
          <w:divBdr>
            <w:top w:val="none" w:sz="0" w:space="0" w:color="auto"/>
            <w:left w:val="none" w:sz="0" w:space="0" w:color="auto"/>
            <w:bottom w:val="none" w:sz="0" w:space="0" w:color="auto"/>
            <w:right w:val="none" w:sz="0" w:space="0" w:color="auto"/>
          </w:divBdr>
        </w:div>
        <w:div w:id="1836259518">
          <w:marLeft w:val="480"/>
          <w:marRight w:val="0"/>
          <w:marTop w:val="0"/>
          <w:marBottom w:val="0"/>
          <w:divBdr>
            <w:top w:val="none" w:sz="0" w:space="0" w:color="auto"/>
            <w:left w:val="none" w:sz="0" w:space="0" w:color="auto"/>
            <w:bottom w:val="none" w:sz="0" w:space="0" w:color="auto"/>
            <w:right w:val="none" w:sz="0" w:space="0" w:color="auto"/>
          </w:divBdr>
        </w:div>
        <w:div w:id="1272393672">
          <w:marLeft w:val="480"/>
          <w:marRight w:val="0"/>
          <w:marTop w:val="0"/>
          <w:marBottom w:val="0"/>
          <w:divBdr>
            <w:top w:val="none" w:sz="0" w:space="0" w:color="auto"/>
            <w:left w:val="none" w:sz="0" w:space="0" w:color="auto"/>
            <w:bottom w:val="none" w:sz="0" w:space="0" w:color="auto"/>
            <w:right w:val="none" w:sz="0" w:space="0" w:color="auto"/>
          </w:divBdr>
        </w:div>
        <w:div w:id="1940479666">
          <w:marLeft w:val="480"/>
          <w:marRight w:val="0"/>
          <w:marTop w:val="0"/>
          <w:marBottom w:val="0"/>
          <w:divBdr>
            <w:top w:val="none" w:sz="0" w:space="0" w:color="auto"/>
            <w:left w:val="none" w:sz="0" w:space="0" w:color="auto"/>
            <w:bottom w:val="none" w:sz="0" w:space="0" w:color="auto"/>
            <w:right w:val="none" w:sz="0" w:space="0" w:color="auto"/>
          </w:divBdr>
        </w:div>
        <w:div w:id="762189686">
          <w:marLeft w:val="480"/>
          <w:marRight w:val="0"/>
          <w:marTop w:val="0"/>
          <w:marBottom w:val="0"/>
          <w:divBdr>
            <w:top w:val="none" w:sz="0" w:space="0" w:color="auto"/>
            <w:left w:val="none" w:sz="0" w:space="0" w:color="auto"/>
            <w:bottom w:val="none" w:sz="0" w:space="0" w:color="auto"/>
            <w:right w:val="none" w:sz="0" w:space="0" w:color="auto"/>
          </w:divBdr>
        </w:div>
        <w:div w:id="1138916754">
          <w:marLeft w:val="480"/>
          <w:marRight w:val="0"/>
          <w:marTop w:val="0"/>
          <w:marBottom w:val="0"/>
          <w:divBdr>
            <w:top w:val="none" w:sz="0" w:space="0" w:color="auto"/>
            <w:left w:val="none" w:sz="0" w:space="0" w:color="auto"/>
            <w:bottom w:val="none" w:sz="0" w:space="0" w:color="auto"/>
            <w:right w:val="none" w:sz="0" w:space="0" w:color="auto"/>
          </w:divBdr>
        </w:div>
        <w:div w:id="11415647">
          <w:marLeft w:val="480"/>
          <w:marRight w:val="0"/>
          <w:marTop w:val="0"/>
          <w:marBottom w:val="0"/>
          <w:divBdr>
            <w:top w:val="none" w:sz="0" w:space="0" w:color="auto"/>
            <w:left w:val="none" w:sz="0" w:space="0" w:color="auto"/>
            <w:bottom w:val="none" w:sz="0" w:space="0" w:color="auto"/>
            <w:right w:val="none" w:sz="0" w:space="0" w:color="auto"/>
          </w:divBdr>
        </w:div>
        <w:div w:id="1386374641">
          <w:marLeft w:val="480"/>
          <w:marRight w:val="0"/>
          <w:marTop w:val="0"/>
          <w:marBottom w:val="0"/>
          <w:divBdr>
            <w:top w:val="none" w:sz="0" w:space="0" w:color="auto"/>
            <w:left w:val="none" w:sz="0" w:space="0" w:color="auto"/>
            <w:bottom w:val="none" w:sz="0" w:space="0" w:color="auto"/>
            <w:right w:val="none" w:sz="0" w:space="0" w:color="auto"/>
          </w:divBdr>
        </w:div>
        <w:div w:id="1126000748">
          <w:marLeft w:val="480"/>
          <w:marRight w:val="0"/>
          <w:marTop w:val="0"/>
          <w:marBottom w:val="0"/>
          <w:divBdr>
            <w:top w:val="none" w:sz="0" w:space="0" w:color="auto"/>
            <w:left w:val="none" w:sz="0" w:space="0" w:color="auto"/>
            <w:bottom w:val="none" w:sz="0" w:space="0" w:color="auto"/>
            <w:right w:val="none" w:sz="0" w:space="0" w:color="auto"/>
          </w:divBdr>
        </w:div>
        <w:div w:id="1322536560">
          <w:marLeft w:val="480"/>
          <w:marRight w:val="0"/>
          <w:marTop w:val="0"/>
          <w:marBottom w:val="0"/>
          <w:divBdr>
            <w:top w:val="none" w:sz="0" w:space="0" w:color="auto"/>
            <w:left w:val="none" w:sz="0" w:space="0" w:color="auto"/>
            <w:bottom w:val="none" w:sz="0" w:space="0" w:color="auto"/>
            <w:right w:val="none" w:sz="0" w:space="0" w:color="auto"/>
          </w:divBdr>
        </w:div>
        <w:div w:id="1496069531">
          <w:marLeft w:val="480"/>
          <w:marRight w:val="0"/>
          <w:marTop w:val="0"/>
          <w:marBottom w:val="0"/>
          <w:divBdr>
            <w:top w:val="none" w:sz="0" w:space="0" w:color="auto"/>
            <w:left w:val="none" w:sz="0" w:space="0" w:color="auto"/>
            <w:bottom w:val="none" w:sz="0" w:space="0" w:color="auto"/>
            <w:right w:val="none" w:sz="0" w:space="0" w:color="auto"/>
          </w:divBdr>
        </w:div>
        <w:div w:id="582447004">
          <w:marLeft w:val="480"/>
          <w:marRight w:val="0"/>
          <w:marTop w:val="0"/>
          <w:marBottom w:val="0"/>
          <w:divBdr>
            <w:top w:val="none" w:sz="0" w:space="0" w:color="auto"/>
            <w:left w:val="none" w:sz="0" w:space="0" w:color="auto"/>
            <w:bottom w:val="none" w:sz="0" w:space="0" w:color="auto"/>
            <w:right w:val="none" w:sz="0" w:space="0" w:color="auto"/>
          </w:divBdr>
        </w:div>
        <w:div w:id="1357972233">
          <w:marLeft w:val="480"/>
          <w:marRight w:val="0"/>
          <w:marTop w:val="0"/>
          <w:marBottom w:val="0"/>
          <w:divBdr>
            <w:top w:val="none" w:sz="0" w:space="0" w:color="auto"/>
            <w:left w:val="none" w:sz="0" w:space="0" w:color="auto"/>
            <w:bottom w:val="none" w:sz="0" w:space="0" w:color="auto"/>
            <w:right w:val="none" w:sz="0" w:space="0" w:color="auto"/>
          </w:divBdr>
        </w:div>
        <w:div w:id="986276692">
          <w:marLeft w:val="480"/>
          <w:marRight w:val="0"/>
          <w:marTop w:val="0"/>
          <w:marBottom w:val="0"/>
          <w:divBdr>
            <w:top w:val="none" w:sz="0" w:space="0" w:color="auto"/>
            <w:left w:val="none" w:sz="0" w:space="0" w:color="auto"/>
            <w:bottom w:val="none" w:sz="0" w:space="0" w:color="auto"/>
            <w:right w:val="none" w:sz="0" w:space="0" w:color="auto"/>
          </w:divBdr>
        </w:div>
        <w:div w:id="587084426">
          <w:marLeft w:val="480"/>
          <w:marRight w:val="0"/>
          <w:marTop w:val="0"/>
          <w:marBottom w:val="0"/>
          <w:divBdr>
            <w:top w:val="none" w:sz="0" w:space="0" w:color="auto"/>
            <w:left w:val="none" w:sz="0" w:space="0" w:color="auto"/>
            <w:bottom w:val="none" w:sz="0" w:space="0" w:color="auto"/>
            <w:right w:val="none" w:sz="0" w:space="0" w:color="auto"/>
          </w:divBdr>
        </w:div>
        <w:div w:id="1480614743">
          <w:marLeft w:val="480"/>
          <w:marRight w:val="0"/>
          <w:marTop w:val="0"/>
          <w:marBottom w:val="0"/>
          <w:divBdr>
            <w:top w:val="none" w:sz="0" w:space="0" w:color="auto"/>
            <w:left w:val="none" w:sz="0" w:space="0" w:color="auto"/>
            <w:bottom w:val="none" w:sz="0" w:space="0" w:color="auto"/>
            <w:right w:val="none" w:sz="0" w:space="0" w:color="auto"/>
          </w:divBdr>
        </w:div>
        <w:div w:id="1634602480">
          <w:marLeft w:val="480"/>
          <w:marRight w:val="0"/>
          <w:marTop w:val="0"/>
          <w:marBottom w:val="0"/>
          <w:divBdr>
            <w:top w:val="none" w:sz="0" w:space="0" w:color="auto"/>
            <w:left w:val="none" w:sz="0" w:space="0" w:color="auto"/>
            <w:bottom w:val="none" w:sz="0" w:space="0" w:color="auto"/>
            <w:right w:val="none" w:sz="0" w:space="0" w:color="auto"/>
          </w:divBdr>
        </w:div>
        <w:div w:id="291903736">
          <w:marLeft w:val="480"/>
          <w:marRight w:val="0"/>
          <w:marTop w:val="0"/>
          <w:marBottom w:val="0"/>
          <w:divBdr>
            <w:top w:val="none" w:sz="0" w:space="0" w:color="auto"/>
            <w:left w:val="none" w:sz="0" w:space="0" w:color="auto"/>
            <w:bottom w:val="none" w:sz="0" w:space="0" w:color="auto"/>
            <w:right w:val="none" w:sz="0" w:space="0" w:color="auto"/>
          </w:divBdr>
        </w:div>
        <w:div w:id="1173691619">
          <w:marLeft w:val="480"/>
          <w:marRight w:val="0"/>
          <w:marTop w:val="0"/>
          <w:marBottom w:val="0"/>
          <w:divBdr>
            <w:top w:val="none" w:sz="0" w:space="0" w:color="auto"/>
            <w:left w:val="none" w:sz="0" w:space="0" w:color="auto"/>
            <w:bottom w:val="none" w:sz="0" w:space="0" w:color="auto"/>
            <w:right w:val="none" w:sz="0" w:space="0" w:color="auto"/>
          </w:divBdr>
        </w:div>
        <w:div w:id="723258553">
          <w:marLeft w:val="480"/>
          <w:marRight w:val="0"/>
          <w:marTop w:val="0"/>
          <w:marBottom w:val="0"/>
          <w:divBdr>
            <w:top w:val="none" w:sz="0" w:space="0" w:color="auto"/>
            <w:left w:val="none" w:sz="0" w:space="0" w:color="auto"/>
            <w:bottom w:val="none" w:sz="0" w:space="0" w:color="auto"/>
            <w:right w:val="none" w:sz="0" w:space="0" w:color="auto"/>
          </w:divBdr>
        </w:div>
        <w:div w:id="1556742642">
          <w:marLeft w:val="480"/>
          <w:marRight w:val="0"/>
          <w:marTop w:val="0"/>
          <w:marBottom w:val="0"/>
          <w:divBdr>
            <w:top w:val="none" w:sz="0" w:space="0" w:color="auto"/>
            <w:left w:val="none" w:sz="0" w:space="0" w:color="auto"/>
            <w:bottom w:val="none" w:sz="0" w:space="0" w:color="auto"/>
            <w:right w:val="none" w:sz="0" w:space="0" w:color="auto"/>
          </w:divBdr>
        </w:div>
        <w:div w:id="1185247780">
          <w:marLeft w:val="480"/>
          <w:marRight w:val="0"/>
          <w:marTop w:val="0"/>
          <w:marBottom w:val="0"/>
          <w:divBdr>
            <w:top w:val="none" w:sz="0" w:space="0" w:color="auto"/>
            <w:left w:val="none" w:sz="0" w:space="0" w:color="auto"/>
            <w:bottom w:val="none" w:sz="0" w:space="0" w:color="auto"/>
            <w:right w:val="none" w:sz="0" w:space="0" w:color="auto"/>
          </w:divBdr>
        </w:div>
        <w:div w:id="214584145">
          <w:marLeft w:val="480"/>
          <w:marRight w:val="0"/>
          <w:marTop w:val="0"/>
          <w:marBottom w:val="0"/>
          <w:divBdr>
            <w:top w:val="none" w:sz="0" w:space="0" w:color="auto"/>
            <w:left w:val="none" w:sz="0" w:space="0" w:color="auto"/>
            <w:bottom w:val="none" w:sz="0" w:space="0" w:color="auto"/>
            <w:right w:val="none" w:sz="0" w:space="0" w:color="auto"/>
          </w:divBdr>
        </w:div>
        <w:div w:id="2057046908">
          <w:marLeft w:val="480"/>
          <w:marRight w:val="0"/>
          <w:marTop w:val="0"/>
          <w:marBottom w:val="0"/>
          <w:divBdr>
            <w:top w:val="none" w:sz="0" w:space="0" w:color="auto"/>
            <w:left w:val="none" w:sz="0" w:space="0" w:color="auto"/>
            <w:bottom w:val="none" w:sz="0" w:space="0" w:color="auto"/>
            <w:right w:val="none" w:sz="0" w:space="0" w:color="auto"/>
          </w:divBdr>
        </w:div>
        <w:div w:id="1963804781">
          <w:marLeft w:val="480"/>
          <w:marRight w:val="0"/>
          <w:marTop w:val="0"/>
          <w:marBottom w:val="0"/>
          <w:divBdr>
            <w:top w:val="none" w:sz="0" w:space="0" w:color="auto"/>
            <w:left w:val="none" w:sz="0" w:space="0" w:color="auto"/>
            <w:bottom w:val="none" w:sz="0" w:space="0" w:color="auto"/>
            <w:right w:val="none" w:sz="0" w:space="0" w:color="auto"/>
          </w:divBdr>
        </w:div>
        <w:div w:id="1446389141">
          <w:marLeft w:val="480"/>
          <w:marRight w:val="0"/>
          <w:marTop w:val="0"/>
          <w:marBottom w:val="0"/>
          <w:divBdr>
            <w:top w:val="none" w:sz="0" w:space="0" w:color="auto"/>
            <w:left w:val="none" w:sz="0" w:space="0" w:color="auto"/>
            <w:bottom w:val="none" w:sz="0" w:space="0" w:color="auto"/>
            <w:right w:val="none" w:sz="0" w:space="0" w:color="auto"/>
          </w:divBdr>
        </w:div>
        <w:div w:id="30502703">
          <w:marLeft w:val="480"/>
          <w:marRight w:val="0"/>
          <w:marTop w:val="0"/>
          <w:marBottom w:val="0"/>
          <w:divBdr>
            <w:top w:val="none" w:sz="0" w:space="0" w:color="auto"/>
            <w:left w:val="none" w:sz="0" w:space="0" w:color="auto"/>
            <w:bottom w:val="none" w:sz="0" w:space="0" w:color="auto"/>
            <w:right w:val="none" w:sz="0" w:space="0" w:color="auto"/>
          </w:divBdr>
        </w:div>
        <w:div w:id="471337672">
          <w:marLeft w:val="480"/>
          <w:marRight w:val="0"/>
          <w:marTop w:val="0"/>
          <w:marBottom w:val="0"/>
          <w:divBdr>
            <w:top w:val="none" w:sz="0" w:space="0" w:color="auto"/>
            <w:left w:val="none" w:sz="0" w:space="0" w:color="auto"/>
            <w:bottom w:val="none" w:sz="0" w:space="0" w:color="auto"/>
            <w:right w:val="none" w:sz="0" w:space="0" w:color="auto"/>
          </w:divBdr>
        </w:div>
        <w:div w:id="1682123195">
          <w:marLeft w:val="480"/>
          <w:marRight w:val="0"/>
          <w:marTop w:val="0"/>
          <w:marBottom w:val="0"/>
          <w:divBdr>
            <w:top w:val="none" w:sz="0" w:space="0" w:color="auto"/>
            <w:left w:val="none" w:sz="0" w:space="0" w:color="auto"/>
            <w:bottom w:val="none" w:sz="0" w:space="0" w:color="auto"/>
            <w:right w:val="none" w:sz="0" w:space="0" w:color="auto"/>
          </w:divBdr>
        </w:div>
        <w:div w:id="1134906170">
          <w:marLeft w:val="480"/>
          <w:marRight w:val="0"/>
          <w:marTop w:val="0"/>
          <w:marBottom w:val="0"/>
          <w:divBdr>
            <w:top w:val="none" w:sz="0" w:space="0" w:color="auto"/>
            <w:left w:val="none" w:sz="0" w:space="0" w:color="auto"/>
            <w:bottom w:val="none" w:sz="0" w:space="0" w:color="auto"/>
            <w:right w:val="none" w:sz="0" w:space="0" w:color="auto"/>
          </w:divBdr>
        </w:div>
        <w:div w:id="506871140">
          <w:marLeft w:val="480"/>
          <w:marRight w:val="0"/>
          <w:marTop w:val="0"/>
          <w:marBottom w:val="0"/>
          <w:divBdr>
            <w:top w:val="none" w:sz="0" w:space="0" w:color="auto"/>
            <w:left w:val="none" w:sz="0" w:space="0" w:color="auto"/>
            <w:bottom w:val="none" w:sz="0" w:space="0" w:color="auto"/>
            <w:right w:val="none" w:sz="0" w:space="0" w:color="auto"/>
          </w:divBdr>
        </w:div>
        <w:div w:id="590822887">
          <w:marLeft w:val="480"/>
          <w:marRight w:val="0"/>
          <w:marTop w:val="0"/>
          <w:marBottom w:val="0"/>
          <w:divBdr>
            <w:top w:val="none" w:sz="0" w:space="0" w:color="auto"/>
            <w:left w:val="none" w:sz="0" w:space="0" w:color="auto"/>
            <w:bottom w:val="none" w:sz="0" w:space="0" w:color="auto"/>
            <w:right w:val="none" w:sz="0" w:space="0" w:color="auto"/>
          </w:divBdr>
        </w:div>
        <w:div w:id="450634175">
          <w:marLeft w:val="480"/>
          <w:marRight w:val="0"/>
          <w:marTop w:val="0"/>
          <w:marBottom w:val="0"/>
          <w:divBdr>
            <w:top w:val="none" w:sz="0" w:space="0" w:color="auto"/>
            <w:left w:val="none" w:sz="0" w:space="0" w:color="auto"/>
            <w:bottom w:val="none" w:sz="0" w:space="0" w:color="auto"/>
            <w:right w:val="none" w:sz="0" w:space="0" w:color="auto"/>
          </w:divBdr>
        </w:div>
        <w:div w:id="577205644">
          <w:marLeft w:val="480"/>
          <w:marRight w:val="0"/>
          <w:marTop w:val="0"/>
          <w:marBottom w:val="0"/>
          <w:divBdr>
            <w:top w:val="none" w:sz="0" w:space="0" w:color="auto"/>
            <w:left w:val="none" w:sz="0" w:space="0" w:color="auto"/>
            <w:bottom w:val="none" w:sz="0" w:space="0" w:color="auto"/>
            <w:right w:val="none" w:sz="0" w:space="0" w:color="auto"/>
          </w:divBdr>
        </w:div>
        <w:div w:id="100610105">
          <w:marLeft w:val="480"/>
          <w:marRight w:val="0"/>
          <w:marTop w:val="0"/>
          <w:marBottom w:val="0"/>
          <w:divBdr>
            <w:top w:val="none" w:sz="0" w:space="0" w:color="auto"/>
            <w:left w:val="none" w:sz="0" w:space="0" w:color="auto"/>
            <w:bottom w:val="none" w:sz="0" w:space="0" w:color="auto"/>
            <w:right w:val="none" w:sz="0" w:space="0" w:color="auto"/>
          </w:divBdr>
        </w:div>
        <w:div w:id="1352604071">
          <w:marLeft w:val="480"/>
          <w:marRight w:val="0"/>
          <w:marTop w:val="0"/>
          <w:marBottom w:val="0"/>
          <w:divBdr>
            <w:top w:val="none" w:sz="0" w:space="0" w:color="auto"/>
            <w:left w:val="none" w:sz="0" w:space="0" w:color="auto"/>
            <w:bottom w:val="none" w:sz="0" w:space="0" w:color="auto"/>
            <w:right w:val="none" w:sz="0" w:space="0" w:color="auto"/>
          </w:divBdr>
        </w:div>
        <w:div w:id="1403679319">
          <w:marLeft w:val="480"/>
          <w:marRight w:val="0"/>
          <w:marTop w:val="0"/>
          <w:marBottom w:val="0"/>
          <w:divBdr>
            <w:top w:val="none" w:sz="0" w:space="0" w:color="auto"/>
            <w:left w:val="none" w:sz="0" w:space="0" w:color="auto"/>
            <w:bottom w:val="none" w:sz="0" w:space="0" w:color="auto"/>
            <w:right w:val="none" w:sz="0" w:space="0" w:color="auto"/>
          </w:divBdr>
        </w:div>
        <w:div w:id="505901367">
          <w:marLeft w:val="480"/>
          <w:marRight w:val="0"/>
          <w:marTop w:val="0"/>
          <w:marBottom w:val="0"/>
          <w:divBdr>
            <w:top w:val="none" w:sz="0" w:space="0" w:color="auto"/>
            <w:left w:val="none" w:sz="0" w:space="0" w:color="auto"/>
            <w:bottom w:val="none" w:sz="0" w:space="0" w:color="auto"/>
            <w:right w:val="none" w:sz="0" w:space="0" w:color="auto"/>
          </w:divBdr>
        </w:div>
        <w:div w:id="1901399678">
          <w:marLeft w:val="480"/>
          <w:marRight w:val="0"/>
          <w:marTop w:val="0"/>
          <w:marBottom w:val="0"/>
          <w:divBdr>
            <w:top w:val="none" w:sz="0" w:space="0" w:color="auto"/>
            <w:left w:val="none" w:sz="0" w:space="0" w:color="auto"/>
            <w:bottom w:val="none" w:sz="0" w:space="0" w:color="auto"/>
            <w:right w:val="none" w:sz="0" w:space="0" w:color="auto"/>
          </w:divBdr>
        </w:div>
        <w:div w:id="1361779854">
          <w:marLeft w:val="480"/>
          <w:marRight w:val="0"/>
          <w:marTop w:val="0"/>
          <w:marBottom w:val="0"/>
          <w:divBdr>
            <w:top w:val="none" w:sz="0" w:space="0" w:color="auto"/>
            <w:left w:val="none" w:sz="0" w:space="0" w:color="auto"/>
            <w:bottom w:val="none" w:sz="0" w:space="0" w:color="auto"/>
            <w:right w:val="none" w:sz="0" w:space="0" w:color="auto"/>
          </w:divBdr>
        </w:div>
        <w:div w:id="1449549671">
          <w:marLeft w:val="480"/>
          <w:marRight w:val="0"/>
          <w:marTop w:val="0"/>
          <w:marBottom w:val="0"/>
          <w:divBdr>
            <w:top w:val="none" w:sz="0" w:space="0" w:color="auto"/>
            <w:left w:val="none" w:sz="0" w:space="0" w:color="auto"/>
            <w:bottom w:val="none" w:sz="0" w:space="0" w:color="auto"/>
            <w:right w:val="none" w:sz="0" w:space="0" w:color="auto"/>
          </w:divBdr>
        </w:div>
        <w:div w:id="1350178446">
          <w:marLeft w:val="480"/>
          <w:marRight w:val="0"/>
          <w:marTop w:val="0"/>
          <w:marBottom w:val="0"/>
          <w:divBdr>
            <w:top w:val="none" w:sz="0" w:space="0" w:color="auto"/>
            <w:left w:val="none" w:sz="0" w:space="0" w:color="auto"/>
            <w:bottom w:val="none" w:sz="0" w:space="0" w:color="auto"/>
            <w:right w:val="none" w:sz="0" w:space="0" w:color="auto"/>
          </w:divBdr>
        </w:div>
        <w:div w:id="1353915486">
          <w:marLeft w:val="480"/>
          <w:marRight w:val="0"/>
          <w:marTop w:val="0"/>
          <w:marBottom w:val="0"/>
          <w:divBdr>
            <w:top w:val="none" w:sz="0" w:space="0" w:color="auto"/>
            <w:left w:val="none" w:sz="0" w:space="0" w:color="auto"/>
            <w:bottom w:val="none" w:sz="0" w:space="0" w:color="auto"/>
            <w:right w:val="none" w:sz="0" w:space="0" w:color="auto"/>
          </w:divBdr>
        </w:div>
        <w:div w:id="1948080632">
          <w:marLeft w:val="480"/>
          <w:marRight w:val="0"/>
          <w:marTop w:val="0"/>
          <w:marBottom w:val="0"/>
          <w:divBdr>
            <w:top w:val="none" w:sz="0" w:space="0" w:color="auto"/>
            <w:left w:val="none" w:sz="0" w:space="0" w:color="auto"/>
            <w:bottom w:val="none" w:sz="0" w:space="0" w:color="auto"/>
            <w:right w:val="none" w:sz="0" w:space="0" w:color="auto"/>
          </w:divBdr>
        </w:div>
        <w:div w:id="143351045">
          <w:marLeft w:val="480"/>
          <w:marRight w:val="0"/>
          <w:marTop w:val="0"/>
          <w:marBottom w:val="0"/>
          <w:divBdr>
            <w:top w:val="none" w:sz="0" w:space="0" w:color="auto"/>
            <w:left w:val="none" w:sz="0" w:space="0" w:color="auto"/>
            <w:bottom w:val="none" w:sz="0" w:space="0" w:color="auto"/>
            <w:right w:val="none" w:sz="0" w:space="0" w:color="auto"/>
          </w:divBdr>
        </w:div>
        <w:div w:id="1710954823">
          <w:marLeft w:val="480"/>
          <w:marRight w:val="0"/>
          <w:marTop w:val="0"/>
          <w:marBottom w:val="0"/>
          <w:divBdr>
            <w:top w:val="none" w:sz="0" w:space="0" w:color="auto"/>
            <w:left w:val="none" w:sz="0" w:space="0" w:color="auto"/>
            <w:bottom w:val="none" w:sz="0" w:space="0" w:color="auto"/>
            <w:right w:val="none" w:sz="0" w:space="0" w:color="auto"/>
          </w:divBdr>
        </w:div>
        <w:div w:id="696127987">
          <w:marLeft w:val="480"/>
          <w:marRight w:val="0"/>
          <w:marTop w:val="0"/>
          <w:marBottom w:val="0"/>
          <w:divBdr>
            <w:top w:val="none" w:sz="0" w:space="0" w:color="auto"/>
            <w:left w:val="none" w:sz="0" w:space="0" w:color="auto"/>
            <w:bottom w:val="none" w:sz="0" w:space="0" w:color="auto"/>
            <w:right w:val="none" w:sz="0" w:space="0" w:color="auto"/>
          </w:divBdr>
        </w:div>
        <w:div w:id="1637373549">
          <w:marLeft w:val="480"/>
          <w:marRight w:val="0"/>
          <w:marTop w:val="0"/>
          <w:marBottom w:val="0"/>
          <w:divBdr>
            <w:top w:val="none" w:sz="0" w:space="0" w:color="auto"/>
            <w:left w:val="none" w:sz="0" w:space="0" w:color="auto"/>
            <w:bottom w:val="none" w:sz="0" w:space="0" w:color="auto"/>
            <w:right w:val="none" w:sz="0" w:space="0" w:color="auto"/>
          </w:divBdr>
        </w:div>
        <w:div w:id="739906943">
          <w:marLeft w:val="480"/>
          <w:marRight w:val="0"/>
          <w:marTop w:val="0"/>
          <w:marBottom w:val="0"/>
          <w:divBdr>
            <w:top w:val="none" w:sz="0" w:space="0" w:color="auto"/>
            <w:left w:val="none" w:sz="0" w:space="0" w:color="auto"/>
            <w:bottom w:val="none" w:sz="0" w:space="0" w:color="auto"/>
            <w:right w:val="none" w:sz="0" w:space="0" w:color="auto"/>
          </w:divBdr>
        </w:div>
        <w:div w:id="7149026">
          <w:marLeft w:val="480"/>
          <w:marRight w:val="0"/>
          <w:marTop w:val="0"/>
          <w:marBottom w:val="0"/>
          <w:divBdr>
            <w:top w:val="none" w:sz="0" w:space="0" w:color="auto"/>
            <w:left w:val="none" w:sz="0" w:space="0" w:color="auto"/>
            <w:bottom w:val="none" w:sz="0" w:space="0" w:color="auto"/>
            <w:right w:val="none" w:sz="0" w:space="0" w:color="auto"/>
          </w:divBdr>
        </w:div>
        <w:div w:id="1718431361">
          <w:marLeft w:val="480"/>
          <w:marRight w:val="0"/>
          <w:marTop w:val="0"/>
          <w:marBottom w:val="0"/>
          <w:divBdr>
            <w:top w:val="none" w:sz="0" w:space="0" w:color="auto"/>
            <w:left w:val="none" w:sz="0" w:space="0" w:color="auto"/>
            <w:bottom w:val="none" w:sz="0" w:space="0" w:color="auto"/>
            <w:right w:val="none" w:sz="0" w:space="0" w:color="auto"/>
          </w:divBdr>
        </w:div>
        <w:div w:id="1701740483">
          <w:marLeft w:val="480"/>
          <w:marRight w:val="0"/>
          <w:marTop w:val="0"/>
          <w:marBottom w:val="0"/>
          <w:divBdr>
            <w:top w:val="none" w:sz="0" w:space="0" w:color="auto"/>
            <w:left w:val="none" w:sz="0" w:space="0" w:color="auto"/>
            <w:bottom w:val="none" w:sz="0" w:space="0" w:color="auto"/>
            <w:right w:val="none" w:sz="0" w:space="0" w:color="auto"/>
          </w:divBdr>
        </w:div>
        <w:div w:id="398285886">
          <w:marLeft w:val="480"/>
          <w:marRight w:val="0"/>
          <w:marTop w:val="0"/>
          <w:marBottom w:val="0"/>
          <w:divBdr>
            <w:top w:val="none" w:sz="0" w:space="0" w:color="auto"/>
            <w:left w:val="none" w:sz="0" w:space="0" w:color="auto"/>
            <w:bottom w:val="none" w:sz="0" w:space="0" w:color="auto"/>
            <w:right w:val="none" w:sz="0" w:space="0" w:color="auto"/>
          </w:divBdr>
        </w:div>
        <w:div w:id="1040594145">
          <w:marLeft w:val="480"/>
          <w:marRight w:val="0"/>
          <w:marTop w:val="0"/>
          <w:marBottom w:val="0"/>
          <w:divBdr>
            <w:top w:val="none" w:sz="0" w:space="0" w:color="auto"/>
            <w:left w:val="none" w:sz="0" w:space="0" w:color="auto"/>
            <w:bottom w:val="none" w:sz="0" w:space="0" w:color="auto"/>
            <w:right w:val="none" w:sz="0" w:space="0" w:color="auto"/>
          </w:divBdr>
        </w:div>
        <w:div w:id="1580481153">
          <w:marLeft w:val="480"/>
          <w:marRight w:val="0"/>
          <w:marTop w:val="0"/>
          <w:marBottom w:val="0"/>
          <w:divBdr>
            <w:top w:val="none" w:sz="0" w:space="0" w:color="auto"/>
            <w:left w:val="none" w:sz="0" w:space="0" w:color="auto"/>
            <w:bottom w:val="none" w:sz="0" w:space="0" w:color="auto"/>
            <w:right w:val="none" w:sz="0" w:space="0" w:color="auto"/>
          </w:divBdr>
        </w:div>
        <w:div w:id="2067609030">
          <w:marLeft w:val="480"/>
          <w:marRight w:val="0"/>
          <w:marTop w:val="0"/>
          <w:marBottom w:val="0"/>
          <w:divBdr>
            <w:top w:val="none" w:sz="0" w:space="0" w:color="auto"/>
            <w:left w:val="none" w:sz="0" w:space="0" w:color="auto"/>
            <w:bottom w:val="none" w:sz="0" w:space="0" w:color="auto"/>
            <w:right w:val="none" w:sz="0" w:space="0" w:color="auto"/>
          </w:divBdr>
        </w:div>
        <w:div w:id="30112533">
          <w:marLeft w:val="480"/>
          <w:marRight w:val="0"/>
          <w:marTop w:val="0"/>
          <w:marBottom w:val="0"/>
          <w:divBdr>
            <w:top w:val="none" w:sz="0" w:space="0" w:color="auto"/>
            <w:left w:val="none" w:sz="0" w:space="0" w:color="auto"/>
            <w:bottom w:val="none" w:sz="0" w:space="0" w:color="auto"/>
            <w:right w:val="none" w:sz="0" w:space="0" w:color="auto"/>
          </w:divBdr>
        </w:div>
        <w:div w:id="2146385334">
          <w:marLeft w:val="480"/>
          <w:marRight w:val="0"/>
          <w:marTop w:val="0"/>
          <w:marBottom w:val="0"/>
          <w:divBdr>
            <w:top w:val="none" w:sz="0" w:space="0" w:color="auto"/>
            <w:left w:val="none" w:sz="0" w:space="0" w:color="auto"/>
            <w:bottom w:val="none" w:sz="0" w:space="0" w:color="auto"/>
            <w:right w:val="none" w:sz="0" w:space="0" w:color="auto"/>
          </w:divBdr>
        </w:div>
        <w:div w:id="233514857">
          <w:marLeft w:val="480"/>
          <w:marRight w:val="0"/>
          <w:marTop w:val="0"/>
          <w:marBottom w:val="0"/>
          <w:divBdr>
            <w:top w:val="none" w:sz="0" w:space="0" w:color="auto"/>
            <w:left w:val="none" w:sz="0" w:space="0" w:color="auto"/>
            <w:bottom w:val="none" w:sz="0" w:space="0" w:color="auto"/>
            <w:right w:val="none" w:sz="0" w:space="0" w:color="auto"/>
          </w:divBdr>
        </w:div>
        <w:div w:id="1973825422">
          <w:marLeft w:val="480"/>
          <w:marRight w:val="0"/>
          <w:marTop w:val="0"/>
          <w:marBottom w:val="0"/>
          <w:divBdr>
            <w:top w:val="none" w:sz="0" w:space="0" w:color="auto"/>
            <w:left w:val="none" w:sz="0" w:space="0" w:color="auto"/>
            <w:bottom w:val="none" w:sz="0" w:space="0" w:color="auto"/>
            <w:right w:val="none" w:sz="0" w:space="0" w:color="auto"/>
          </w:divBdr>
        </w:div>
        <w:div w:id="1293369990">
          <w:marLeft w:val="480"/>
          <w:marRight w:val="0"/>
          <w:marTop w:val="0"/>
          <w:marBottom w:val="0"/>
          <w:divBdr>
            <w:top w:val="none" w:sz="0" w:space="0" w:color="auto"/>
            <w:left w:val="none" w:sz="0" w:space="0" w:color="auto"/>
            <w:bottom w:val="none" w:sz="0" w:space="0" w:color="auto"/>
            <w:right w:val="none" w:sz="0" w:space="0" w:color="auto"/>
          </w:divBdr>
        </w:div>
        <w:div w:id="640304406">
          <w:marLeft w:val="480"/>
          <w:marRight w:val="0"/>
          <w:marTop w:val="0"/>
          <w:marBottom w:val="0"/>
          <w:divBdr>
            <w:top w:val="none" w:sz="0" w:space="0" w:color="auto"/>
            <w:left w:val="none" w:sz="0" w:space="0" w:color="auto"/>
            <w:bottom w:val="none" w:sz="0" w:space="0" w:color="auto"/>
            <w:right w:val="none" w:sz="0" w:space="0" w:color="auto"/>
          </w:divBdr>
        </w:div>
        <w:div w:id="1551067741">
          <w:marLeft w:val="480"/>
          <w:marRight w:val="0"/>
          <w:marTop w:val="0"/>
          <w:marBottom w:val="0"/>
          <w:divBdr>
            <w:top w:val="none" w:sz="0" w:space="0" w:color="auto"/>
            <w:left w:val="none" w:sz="0" w:space="0" w:color="auto"/>
            <w:bottom w:val="none" w:sz="0" w:space="0" w:color="auto"/>
            <w:right w:val="none" w:sz="0" w:space="0" w:color="auto"/>
          </w:divBdr>
        </w:div>
        <w:div w:id="1598519748">
          <w:marLeft w:val="480"/>
          <w:marRight w:val="0"/>
          <w:marTop w:val="0"/>
          <w:marBottom w:val="0"/>
          <w:divBdr>
            <w:top w:val="none" w:sz="0" w:space="0" w:color="auto"/>
            <w:left w:val="none" w:sz="0" w:space="0" w:color="auto"/>
            <w:bottom w:val="none" w:sz="0" w:space="0" w:color="auto"/>
            <w:right w:val="none" w:sz="0" w:space="0" w:color="auto"/>
          </w:divBdr>
        </w:div>
        <w:div w:id="1470979868">
          <w:marLeft w:val="480"/>
          <w:marRight w:val="0"/>
          <w:marTop w:val="0"/>
          <w:marBottom w:val="0"/>
          <w:divBdr>
            <w:top w:val="none" w:sz="0" w:space="0" w:color="auto"/>
            <w:left w:val="none" w:sz="0" w:space="0" w:color="auto"/>
            <w:bottom w:val="none" w:sz="0" w:space="0" w:color="auto"/>
            <w:right w:val="none" w:sz="0" w:space="0" w:color="auto"/>
          </w:divBdr>
        </w:div>
        <w:div w:id="243534605">
          <w:marLeft w:val="480"/>
          <w:marRight w:val="0"/>
          <w:marTop w:val="0"/>
          <w:marBottom w:val="0"/>
          <w:divBdr>
            <w:top w:val="none" w:sz="0" w:space="0" w:color="auto"/>
            <w:left w:val="none" w:sz="0" w:space="0" w:color="auto"/>
            <w:bottom w:val="none" w:sz="0" w:space="0" w:color="auto"/>
            <w:right w:val="none" w:sz="0" w:space="0" w:color="auto"/>
          </w:divBdr>
        </w:div>
        <w:div w:id="1455322464">
          <w:marLeft w:val="480"/>
          <w:marRight w:val="0"/>
          <w:marTop w:val="0"/>
          <w:marBottom w:val="0"/>
          <w:divBdr>
            <w:top w:val="none" w:sz="0" w:space="0" w:color="auto"/>
            <w:left w:val="none" w:sz="0" w:space="0" w:color="auto"/>
            <w:bottom w:val="none" w:sz="0" w:space="0" w:color="auto"/>
            <w:right w:val="none" w:sz="0" w:space="0" w:color="auto"/>
          </w:divBdr>
        </w:div>
        <w:div w:id="286352484">
          <w:marLeft w:val="480"/>
          <w:marRight w:val="0"/>
          <w:marTop w:val="0"/>
          <w:marBottom w:val="0"/>
          <w:divBdr>
            <w:top w:val="none" w:sz="0" w:space="0" w:color="auto"/>
            <w:left w:val="none" w:sz="0" w:space="0" w:color="auto"/>
            <w:bottom w:val="none" w:sz="0" w:space="0" w:color="auto"/>
            <w:right w:val="none" w:sz="0" w:space="0" w:color="auto"/>
          </w:divBdr>
        </w:div>
        <w:div w:id="1251507209">
          <w:marLeft w:val="480"/>
          <w:marRight w:val="0"/>
          <w:marTop w:val="0"/>
          <w:marBottom w:val="0"/>
          <w:divBdr>
            <w:top w:val="none" w:sz="0" w:space="0" w:color="auto"/>
            <w:left w:val="none" w:sz="0" w:space="0" w:color="auto"/>
            <w:bottom w:val="none" w:sz="0" w:space="0" w:color="auto"/>
            <w:right w:val="none" w:sz="0" w:space="0" w:color="auto"/>
          </w:divBdr>
        </w:div>
        <w:div w:id="108356828">
          <w:marLeft w:val="480"/>
          <w:marRight w:val="0"/>
          <w:marTop w:val="0"/>
          <w:marBottom w:val="0"/>
          <w:divBdr>
            <w:top w:val="none" w:sz="0" w:space="0" w:color="auto"/>
            <w:left w:val="none" w:sz="0" w:space="0" w:color="auto"/>
            <w:bottom w:val="none" w:sz="0" w:space="0" w:color="auto"/>
            <w:right w:val="none" w:sz="0" w:space="0" w:color="auto"/>
          </w:divBdr>
        </w:div>
        <w:div w:id="448816391">
          <w:marLeft w:val="480"/>
          <w:marRight w:val="0"/>
          <w:marTop w:val="0"/>
          <w:marBottom w:val="0"/>
          <w:divBdr>
            <w:top w:val="none" w:sz="0" w:space="0" w:color="auto"/>
            <w:left w:val="none" w:sz="0" w:space="0" w:color="auto"/>
            <w:bottom w:val="none" w:sz="0" w:space="0" w:color="auto"/>
            <w:right w:val="none" w:sz="0" w:space="0" w:color="auto"/>
          </w:divBdr>
        </w:div>
        <w:div w:id="1099133841">
          <w:marLeft w:val="480"/>
          <w:marRight w:val="0"/>
          <w:marTop w:val="0"/>
          <w:marBottom w:val="0"/>
          <w:divBdr>
            <w:top w:val="none" w:sz="0" w:space="0" w:color="auto"/>
            <w:left w:val="none" w:sz="0" w:space="0" w:color="auto"/>
            <w:bottom w:val="none" w:sz="0" w:space="0" w:color="auto"/>
            <w:right w:val="none" w:sz="0" w:space="0" w:color="auto"/>
          </w:divBdr>
        </w:div>
        <w:div w:id="725377243">
          <w:marLeft w:val="480"/>
          <w:marRight w:val="0"/>
          <w:marTop w:val="0"/>
          <w:marBottom w:val="0"/>
          <w:divBdr>
            <w:top w:val="none" w:sz="0" w:space="0" w:color="auto"/>
            <w:left w:val="none" w:sz="0" w:space="0" w:color="auto"/>
            <w:bottom w:val="none" w:sz="0" w:space="0" w:color="auto"/>
            <w:right w:val="none" w:sz="0" w:space="0" w:color="auto"/>
          </w:divBdr>
        </w:div>
        <w:div w:id="2047560366">
          <w:marLeft w:val="480"/>
          <w:marRight w:val="0"/>
          <w:marTop w:val="0"/>
          <w:marBottom w:val="0"/>
          <w:divBdr>
            <w:top w:val="none" w:sz="0" w:space="0" w:color="auto"/>
            <w:left w:val="none" w:sz="0" w:space="0" w:color="auto"/>
            <w:bottom w:val="none" w:sz="0" w:space="0" w:color="auto"/>
            <w:right w:val="none" w:sz="0" w:space="0" w:color="auto"/>
          </w:divBdr>
        </w:div>
        <w:div w:id="1335645930">
          <w:marLeft w:val="480"/>
          <w:marRight w:val="0"/>
          <w:marTop w:val="0"/>
          <w:marBottom w:val="0"/>
          <w:divBdr>
            <w:top w:val="none" w:sz="0" w:space="0" w:color="auto"/>
            <w:left w:val="none" w:sz="0" w:space="0" w:color="auto"/>
            <w:bottom w:val="none" w:sz="0" w:space="0" w:color="auto"/>
            <w:right w:val="none" w:sz="0" w:space="0" w:color="auto"/>
          </w:divBdr>
        </w:div>
        <w:div w:id="412750232">
          <w:marLeft w:val="480"/>
          <w:marRight w:val="0"/>
          <w:marTop w:val="0"/>
          <w:marBottom w:val="0"/>
          <w:divBdr>
            <w:top w:val="none" w:sz="0" w:space="0" w:color="auto"/>
            <w:left w:val="none" w:sz="0" w:space="0" w:color="auto"/>
            <w:bottom w:val="none" w:sz="0" w:space="0" w:color="auto"/>
            <w:right w:val="none" w:sz="0" w:space="0" w:color="auto"/>
          </w:divBdr>
        </w:div>
        <w:div w:id="751006633">
          <w:marLeft w:val="480"/>
          <w:marRight w:val="0"/>
          <w:marTop w:val="0"/>
          <w:marBottom w:val="0"/>
          <w:divBdr>
            <w:top w:val="none" w:sz="0" w:space="0" w:color="auto"/>
            <w:left w:val="none" w:sz="0" w:space="0" w:color="auto"/>
            <w:bottom w:val="none" w:sz="0" w:space="0" w:color="auto"/>
            <w:right w:val="none" w:sz="0" w:space="0" w:color="auto"/>
          </w:divBdr>
        </w:div>
        <w:div w:id="1614632861">
          <w:marLeft w:val="480"/>
          <w:marRight w:val="0"/>
          <w:marTop w:val="0"/>
          <w:marBottom w:val="0"/>
          <w:divBdr>
            <w:top w:val="none" w:sz="0" w:space="0" w:color="auto"/>
            <w:left w:val="none" w:sz="0" w:space="0" w:color="auto"/>
            <w:bottom w:val="none" w:sz="0" w:space="0" w:color="auto"/>
            <w:right w:val="none" w:sz="0" w:space="0" w:color="auto"/>
          </w:divBdr>
        </w:div>
        <w:div w:id="708921191">
          <w:marLeft w:val="480"/>
          <w:marRight w:val="0"/>
          <w:marTop w:val="0"/>
          <w:marBottom w:val="0"/>
          <w:divBdr>
            <w:top w:val="none" w:sz="0" w:space="0" w:color="auto"/>
            <w:left w:val="none" w:sz="0" w:space="0" w:color="auto"/>
            <w:bottom w:val="none" w:sz="0" w:space="0" w:color="auto"/>
            <w:right w:val="none" w:sz="0" w:space="0" w:color="auto"/>
          </w:divBdr>
        </w:div>
        <w:div w:id="654452805">
          <w:marLeft w:val="480"/>
          <w:marRight w:val="0"/>
          <w:marTop w:val="0"/>
          <w:marBottom w:val="0"/>
          <w:divBdr>
            <w:top w:val="none" w:sz="0" w:space="0" w:color="auto"/>
            <w:left w:val="none" w:sz="0" w:space="0" w:color="auto"/>
            <w:bottom w:val="none" w:sz="0" w:space="0" w:color="auto"/>
            <w:right w:val="none" w:sz="0" w:space="0" w:color="auto"/>
          </w:divBdr>
        </w:div>
        <w:div w:id="1727071947">
          <w:marLeft w:val="480"/>
          <w:marRight w:val="0"/>
          <w:marTop w:val="0"/>
          <w:marBottom w:val="0"/>
          <w:divBdr>
            <w:top w:val="none" w:sz="0" w:space="0" w:color="auto"/>
            <w:left w:val="none" w:sz="0" w:space="0" w:color="auto"/>
            <w:bottom w:val="none" w:sz="0" w:space="0" w:color="auto"/>
            <w:right w:val="none" w:sz="0" w:space="0" w:color="auto"/>
          </w:divBdr>
        </w:div>
        <w:div w:id="971523524">
          <w:marLeft w:val="480"/>
          <w:marRight w:val="0"/>
          <w:marTop w:val="0"/>
          <w:marBottom w:val="0"/>
          <w:divBdr>
            <w:top w:val="none" w:sz="0" w:space="0" w:color="auto"/>
            <w:left w:val="none" w:sz="0" w:space="0" w:color="auto"/>
            <w:bottom w:val="none" w:sz="0" w:space="0" w:color="auto"/>
            <w:right w:val="none" w:sz="0" w:space="0" w:color="auto"/>
          </w:divBdr>
        </w:div>
        <w:div w:id="628781168">
          <w:marLeft w:val="480"/>
          <w:marRight w:val="0"/>
          <w:marTop w:val="0"/>
          <w:marBottom w:val="0"/>
          <w:divBdr>
            <w:top w:val="none" w:sz="0" w:space="0" w:color="auto"/>
            <w:left w:val="none" w:sz="0" w:space="0" w:color="auto"/>
            <w:bottom w:val="none" w:sz="0" w:space="0" w:color="auto"/>
            <w:right w:val="none" w:sz="0" w:space="0" w:color="auto"/>
          </w:divBdr>
        </w:div>
        <w:div w:id="1033117320">
          <w:marLeft w:val="480"/>
          <w:marRight w:val="0"/>
          <w:marTop w:val="0"/>
          <w:marBottom w:val="0"/>
          <w:divBdr>
            <w:top w:val="none" w:sz="0" w:space="0" w:color="auto"/>
            <w:left w:val="none" w:sz="0" w:space="0" w:color="auto"/>
            <w:bottom w:val="none" w:sz="0" w:space="0" w:color="auto"/>
            <w:right w:val="none" w:sz="0" w:space="0" w:color="auto"/>
          </w:divBdr>
        </w:div>
        <w:div w:id="1751124739">
          <w:marLeft w:val="480"/>
          <w:marRight w:val="0"/>
          <w:marTop w:val="0"/>
          <w:marBottom w:val="0"/>
          <w:divBdr>
            <w:top w:val="none" w:sz="0" w:space="0" w:color="auto"/>
            <w:left w:val="none" w:sz="0" w:space="0" w:color="auto"/>
            <w:bottom w:val="none" w:sz="0" w:space="0" w:color="auto"/>
            <w:right w:val="none" w:sz="0" w:space="0" w:color="auto"/>
          </w:divBdr>
        </w:div>
        <w:div w:id="140343117">
          <w:marLeft w:val="480"/>
          <w:marRight w:val="0"/>
          <w:marTop w:val="0"/>
          <w:marBottom w:val="0"/>
          <w:divBdr>
            <w:top w:val="none" w:sz="0" w:space="0" w:color="auto"/>
            <w:left w:val="none" w:sz="0" w:space="0" w:color="auto"/>
            <w:bottom w:val="none" w:sz="0" w:space="0" w:color="auto"/>
            <w:right w:val="none" w:sz="0" w:space="0" w:color="auto"/>
          </w:divBdr>
        </w:div>
        <w:div w:id="78142695">
          <w:marLeft w:val="480"/>
          <w:marRight w:val="0"/>
          <w:marTop w:val="0"/>
          <w:marBottom w:val="0"/>
          <w:divBdr>
            <w:top w:val="none" w:sz="0" w:space="0" w:color="auto"/>
            <w:left w:val="none" w:sz="0" w:space="0" w:color="auto"/>
            <w:bottom w:val="none" w:sz="0" w:space="0" w:color="auto"/>
            <w:right w:val="none" w:sz="0" w:space="0" w:color="auto"/>
          </w:divBdr>
        </w:div>
        <w:div w:id="206141338">
          <w:marLeft w:val="480"/>
          <w:marRight w:val="0"/>
          <w:marTop w:val="0"/>
          <w:marBottom w:val="0"/>
          <w:divBdr>
            <w:top w:val="none" w:sz="0" w:space="0" w:color="auto"/>
            <w:left w:val="none" w:sz="0" w:space="0" w:color="auto"/>
            <w:bottom w:val="none" w:sz="0" w:space="0" w:color="auto"/>
            <w:right w:val="none" w:sz="0" w:space="0" w:color="auto"/>
          </w:divBdr>
        </w:div>
        <w:div w:id="1434477571">
          <w:marLeft w:val="480"/>
          <w:marRight w:val="0"/>
          <w:marTop w:val="0"/>
          <w:marBottom w:val="0"/>
          <w:divBdr>
            <w:top w:val="none" w:sz="0" w:space="0" w:color="auto"/>
            <w:left w:val="none" w:sz="0" w:space="0" w:color="auto"/>
            <w:bottom w:val="none" w:sz="0" w:space="0" w:color="auto"/>
            <w:right w:val="none" w:sz="0" w:space="0" w:color="auto"/>
          </w:divBdr>
        </w:div>
        <w:div w:id="1968730321">
          <w:marLeft w:val="480"/>
          <w:marRight w:val="0"/>
          <w:marTop w:val="0"/>
          <w:marBottom w:val="0"/>
          <w:divBdr>
            <w:top w:val="none" w:sz="0" w:space="0" w:color="auto"/>
            <w:left w:val="none" w:sz="0" w:space="0" w:color="auto"/>
            <w:bottom w:val="none" w:sz="0" w:space="0" w:color="auto"/>
            <w:right w:val="none" w:sz="0" w:space="0" w:color="auto"/>
          </w:divBdr>
        </w:div>
        <w:div w:id="1994484269">
          <w:marLeft w:val="480"/>
          <w:marRight w:val="0"/>
          <w:marTop w:val="0"/>
          <w:marBottom w:val="0"/>
          <w:divBdr>
            <w:top w:val="none" w:sz="0" w:space="0" w:color="auto"/>
            <w:left w:val="none" w:sz="0" w:space="0" w:color="auto"/>
            <w:bottom w:val="none" w:sz="0" w:space="0" w:color="auto"/>
            <w:right w:val="none" w:sz="0" w:space="0" w:color="auto"/>
          </w:divBdr>
        </w:div>
        <w:div w:id="289366405">
          <w:marLeft w:val="480"/>
          <w:marRight w:val="0"/>
          <w:marTop w:val="0"/>
          <w:marBottom w:val="0"/>
          <w:divBdr>
            <w:top w:val="none" w:sz="0" w:space="0" w:color="auto"/>
            <w:left w:val="none" w:sz="0" w:space="0" w:color="auto"/>
            <w:bottom w:val="none" w:sz="0" w:space="0" w:color="auto"/>
            <w:right w:val="none" w:sz="0" w:space="0" w:color="auto"/>
          </w:divBdr>
        </w:div>
        <w:div w:id="1168181142">
          <w:marLeft w:val="480"/>
          <w:marRight w:val="0"/>
          <w:marTop w:val="0"/>
          <w:marBottom w:val="0"/>
          <w:divBdr>
            <w:top w:val="none" w:sz="0" w:space="0" w:color="auto"/>
            <w:left w:val="none" w:sz="0" w:space="0" w:color="auto"/>
            <w:bottom w:val="none" w:sz="0" w:space="0" w:color="auto"/>
            <w:right w:val="none" w:sz="0" w:space="0" w:color="auto"/>
          </w:divBdr>
        </w:div>
        <w:div w:id="170530106">
          <w:marLeft w:val="480"/>
          <w:marRight w:val="0"/>
          <w:marTop w:val="0"/>
          <w:marBottom w:val="0"/>
          <w:divBdr>
            <w:top w:val="none" w:sz="0" w:space="0" w:color="auto"/>
            <w:left w:val="none" w:sz="0" w:space="0" w:color="auto"/>
            <w:bottom w:val="none" w:sz="0" w:space="0" w:color="auto"/>
            <w:right w:val="none" w:sz="0" w:space="0" w:color="auto"/>
          </w:divBdr>
        </w:div>
        <w:div w:id="782460992">
          <w:marLeft w:val="480"/>
          <w:marRight w:val="0"/>
          <w:marTop w:val="0"/>
          <w:marBottom w:val="0"/>
          <w:divBdr>
            <w:top w:val="none" w:sz="0" w:space="0" w:color="auto"/>
            <w:left w:val="none" w:sz="0" w:space="0" w:color="auto"/>
            <w:bottom w:val="none" w:sz="0" w:space="0" w:color="auto"/>
            <w:right w:val="none" w:sz="0" w:space="0" w:color="auto"/>
          </w:divBdr>
        </w:div>
        <w:div w:id="759450631">
          <w:marLeft w:val="480"/>
          <w:marRight w:val="0"/>
          <w:marTop w:val="0"/>
          <w:marBottom w:val="0"/>
          <w:divBdr>
            <w:top w:val="none" w:sz="0" w:space="0" w:color="auto"/>
            <w:left w:val="none" w:sz="0" w:space="0" w:color="auto"/>
            <w:bottom w:val="none" w:sz="0" w:space="0" w:color="auto"/>
            <w:right w:val="none" w:sz="0" w:space="0" w:color="auto"/>
          </w:divBdr>
        </w:div>
        <w:div w:id="1725833343">
          <w:marLeft w:val="480"/>
          <w:marRight w:val="0"/>
          <w:marTop w:val="0"/>
          <w:marBottom w:val="0"/>
          <w:divBdr>
            <w:top w:val="none" w:sz="0" w:space="0" w:color="auto"/>
            <w:left w:val="none" w:sz="0" w:space="0" w:color="auto"/>
            <w:bottom w:val="none" w:sz="0" w:space="0" w:color="auto"/>
            <w:right w:val="none" w:sz="0" w:space="0" w:color="auto"/>
          </w:divBdr>
        </w:div>
        <w:div w:id="1398480205">
          <w:marLeft w:val="480"/>
          <w:marRight w:val="0"/>
          <w:marTop w:val="0"/>
          <w:marBottom w:val="0"/>
          <w:divBdr>
            <w:top w:val="none" w:sz="0" w:space="0" w:color="auto"/>
            <w:left w:val="none" w:sz="0" w:space="0" w:color="auto"/>
            <w:bottom w:val="none" w:sz="0" w:space="0" w:color="auto"/>
            <w:right w:val="none" w:sz="0" w:space="0" w:color="auto"/>
          </w:divBdr>
        </w:div>
        <w:div w:id="1647969296">
          <w:marLeft w:val="480"/>
          <w:marRight w:val="0"/>
          <w:marTop w:val="0"/>
          <w:marBottom w:val="0"/>
          <w:divBdr>
            <w:top w:val="none" w:sz="0" w:space="0" w:color="auto"/>
            <w:left w:val="none" w:sz="0" w:space="0" w:color="auto"/>
            <w:bottom w:val="none" w:sz="0" w:space="0" w:color="auto"/>
            <w:right w:val="none" w:sz="0" w:space="0" w:color="auto"/>
          </w:divBdr>
        </w:div>
      </w:divsChild>
    </w:div>
    <w:div w:id="1267881970">
      <w:bodyDiv w:val="1"/>
      <w:marLeft w:val="0"/>
      <w:marRight w:val="0"/>
      <w:marTop w:val="0"/>
      <w:marBottom w:val="0"/>
      <w:divBdr>
        <w:top w:val="none" w:sz="0" w:space="0" w:color="auto"/>
        <w:left w:val="none" w:sz="0" w:space="0" w:color="auto"/>
        <w:bottom w:val="none" w:sz="0" w:space="0" w:color="auto"/>
        <w:right w:val="none" w:sz="0" w:space="0" w:color="auto"/>
      </w:divBdr>
    </w:div>
    <w:div w:id="1268388609">
      <w:bodyDiv w:val="1"/>
      <w:marLeft w:val="0"/>
      <w:marRight w:val="0"/>
      <w:marTop w:val="0"/>
      <w:marBottom w:val="0"/>
      <w:divBdr>
        <w:top w:val="none" w:sz="0" w:space="0" w:color="auto"/>
        <w:left w:val="none" w:sz="0" w:space="0" w:color="auto"/>
        <w:bottom w:val="none" w:sz="0" w:space="0" w:color="auto"/>
        <w:right w:val="none" w:sz="0" w:space="0" w:color="auto"/>
      </w:divBdr>
    </w:div>
    <w:div w:id="1269122056">
      <w:bodyDiv w:val="1"/>
      <w:marLeft w:val="0"/>
      <w:marRight w:val="0"/>
      <w:marTop w:val="0"/>
      <w:marBottom w:val="0"/>
      <w:divBdr>
        <w:top w:val="none" w:sz="0" w:space="0" w:color="auto"/>
        <w:left w:val="none" w:sz="0" w:space="0" w:color="auto"/>
        <w:bottom w:val="none" w:sz="0" w:space="0" w:color="auto"/>
        <w:right w:val="none" w:sz="0" w:space="0" w:color="auto"/>
      </w:divBdr>
    </w:div>
    <w:div w:id="1269124853">
      <w:bodyDiv w:val="1"/>
      <w:marLeft w:val="0"/>
      <w:marRight w:val="0"/>
      <w:marTop w:val="0"/>
      <w:marBottom w:val="0"/>
      <w:divBdr>
        <w:top w:val="none" w:sz="0" w:space="0" w:color="auto"/>
        <w:left w:val="none" w:sz="0" w:space="0" w:color="auto"/>
        <w:bottom w:val="none" w:sz="0" w:space="0" w:color="auto"/>
        <w:right w:val="none" w:sz="0" w:space="0" w:color="auto"/>
      </w:divBdr>
    </w:div>
    <w:div w:id="1269698866">
      <w:bodyDiv w:val="1"/>
      <w:marLeft w:val="0"/>
      <w:marRight w:val="0"/>
      <w:marTop w:val="0"/>
      <w:marBottom w:val="0"/>
      <w:divBdr>
        <w:top w:val="none" w:sz="0" w:space="0" w:color="auto"/>
        <w:left w:val="none" w:sz="0" w:space="0" w:color="auto"/>
        <w:bottom w:val="none" w:sz="0" w:space="0" w:color="auto"/>
        <w:right w:val="none" w:sz="0" w:space="0" w:color="auto"/>
      </w:divBdr>
    </w:div>
    <w:div w:id="1269701978">
      <w:bodyDiv w:val="1"/>
      <w:marLeft w:val="0"/>
      <w:marRight w:val="0"/>
      <w:marTop w:val="0"/>
      <w:marBottom w:val="0"/>
      <w:divBdr>
        <w:top w:val="none" w:sz="0" w:space="0" w:color="auto"/>
        <w:left w:val="none" w:sz="0" w:space="0" w:color="auto"/>
        <w:bottom w:val="none" w:sz="0" w:space="0" w:color="auto"/>
        <w:right w:val="none" w:sz="0" w:space="0" w:color="auto"/>
      </w:divBdr>
    </w:div>
    <w:div w:id="1270116822">
      <w:bodyDiv w:val="1"/>
      <w:marLeft w:val="0"/>
      <w:marRight w:val="0"/>
      <w:marTop w:val="0"/>
      <w:marBottom w:val="0"/>
      <w:divBdr>
        <w:top w:val="none" w:sz="0" w:space="0" w:color="auto"/>
        <w:left w:val="none" w:sz="0" w:space="0" w:color="auto"/>
        <w:bottom w:val="none" w:sz="0" w:space="0" w:color="auto"/>
        <w:right w:val="none" w:sz="0" w:space="0" w:color="auto"/>
      </w:divBdr>
    </w:div>
    <w:div w:id="1271207678">
      <w:bodyDiv w:val="1"/>
      <w:marLeft w:val="0"/>
      <w:marRight w:val="0"/>
      <w:marTop w:val="0"/>
      <w:marBottom w:val="0"/>
      <w:divBdr>
        <w:top w:val="none" w:sz="0" w:space="0" w:color="auto"/>
        <w:left w:val="none" w:sz="0" w:space="0" w:color="auto"/>
        <w:bottom w:val="none" w:sz="0" w:space="0" w:color="auto"/>
        <w:right w:val="none" w:sz="0" w:space="0" w:color="auto"/>
      </w:divBdr>
    </w:div>
    <w:div w:id="1272208044">
      <w:bodyDiv w:val="1"/>
      <w:marLeft w:val="0"/>
      <w:marRight w:val="0"/>
      <w:marTop w:val="0"/>
      <w:marBottom w:val="0"/>
      <w:divBdr>
        <w:top w:val="none" w:sz="0" w:space="0" w:color="auto"/>
        <w:left w:val="none" w:sz="0" w:space="0" w:color="auto"/>
        <w:bottom w:val="none" w:sz="0" w:space="0" w:color="auto"/>
        <w:right w:val="none" w:sz="0" w:space="0" w:color="auto"/>
      </w:divBdr>
    </w:div>
    <w:div w:id="1272392899">
      <w:bodyDiv w:val="1"/>
      <w:marLeft w:val="0"/>
      <w:marRight w:val="0"/>
      <w:marTop w:val="0"/>
      <w:marBottom w:val="0"/>
      <w:divBdr>
        <w:top w:val="none" w:sz="0" w:space="0" w:color="auto"/>
        <w:left w:val="none" w:sz="0" w:space="0" w:color="auto"/>
        <w:bottom w:val="none" w:sz="0" w:space="0" w:color="auto"/>
        <w:right w:val="none" w:sz="0" w:space="0" w:color="auto"/>
      </w:divBdr>
    </w:div>
    <w:div w:id="1273636297">
      <w:bodyDiv w:val="1"/>
      <w:marLeft w:val="0"/>
      <w:marRight w:val="0"/>
      <w:marTop w:val="0"/>
      <w:marBottom w:val="0"/>
      <w:divBdr>
        <w:top w:val="none" w:sz="0" w:space="0" w:color="auto"/>
        <w:left w:val="none" w:sz="0" w:space="0" w:color="auto"/>
        <w:bottom w:val="none" w:sz="0" w:space="0" w:color="auto"/>
        <w:right w:val="none" w:sz="0" w:space="0" w:color="auto"/>
      </w:divBdr>
    </w:div>
    <w:div w:id="1273784988">
      <w:bodyDiv w:val="1"/>
      <w:marLeft w:val="0"/>
      <w:marRight w:val="0"/>
      <w:marTop w:val="0"/>
      <w:marBottom w:val="0"/>
      <w:divBdr>
        <w:top w:val="none" w:sz="0" w:space="0" w:color="auto"/>
        <w:left w:val="none" w:sz="0" w:space="0" w:color="auto"/>
        <w:bottom w:val="none" w:sz="0" w:space="0" w:color="auto"/>
        <w:right w:val="none" w:sz="0" w:space="0" w:color="auto"/>
      </w:divBdr>
    </w:div>
    <w:div w:id="1274020885">
      <w:bodyDiv w:val="1"/>
      <w:marLeft w:val="0"/>
      <w:marRight w:val="0"/>
      <w:marTop w:val="0"/>
      <w:marBottom w:val="0"/>
      <w:divBdr>
        <w:top w:val="none" w:sz="0" w:space="0" w:color="auto"/>
        <w:left w:val="none" w:sz="0" w:space="0" w:color="auto"/>
        <w:bottom w:val="none" w:sz="0" w:space="0" w:color="auto"/>
        <w:right w:val="none" w:sz="0" w:space="0" w:color="auto"/>
      </w:divBdr>
    </w:div>
    <w:div w:id="1274048472">
      <w:bodyDiv w:val="1"/>
      <w:marLeft w:val="0"/>
      <w:marRight w:val="0"/>
      <w:marTop w:val="0"/>
      <w:marBottom w:val="0"/>
      <w:divBdr>
        <w:top w:val="none" w:sz="0" w:space="0" w:color="auto"/>
        <w:left w:val="none" w:sz="0" w:space="0" w:color="auto"/>
        <w:bottom w:val="none" w:sz="0" w:space="0" w:color="auto"/>
        <w:right w:val="none" w:sz="0" w:space="0" w:color="auto"/>
      </w:divBdr>
    </w:div>
    <w:div w:id="1275091113">
      <w:bodyDiv w:val="1"/>
      <w:marLeft w:val="0"/>
      <w:marRight w:val="0"/>
      <w:marTop w:val="0"/>
      <w:marBottom w:val="0"/>
      <w:divBdr>
        <w:top w:val="none" w:sz="0" w:space="0" w:color="auto"/>
        <w:left w:val="none" w:sz="0" w:space="0" w:color="auto"/>
        <w:bottom w:val="none" w:sz="0" w:space="0" w:color="auto"/>
        <w:right w:val="none" w:sz="0" w:space="0" w:color="auto"/>
      </w:divBdr>
    </w:div>
    <w:div w:id="1275792527">
      <w:bodyDiv w:val="1"/>
      <w:marLeft w:val="0"/>
      <w:marRight w:val="0"/>
      <w:marTop w:val="0"/>
      <w:marBottom w:val="0"/>
      <w:divBdr>
        <w:top w:val="none" w:sz="0" w:space="0" w:color="auto"/>
        <w:left w:val="none" w:sz="0" w:space="0" w:color="auto"/>
        <w:bottom w:val="none" w:sz="0" w:space="0" w:color="auto"/>
        <w:right w:val="none" w:sz="0" w:space="0" w:color="auto"/>
      </w:divBdr>
    </w:div>
    <w:div w:id="1276131589">
      <w:bodyDiv w:val="1"/>
      <w:marLeft w:val="0"/>
      <w:marRight w:val="0"/>
      <w:marTop w:val="0"/>
      <w:marBottom w:val="0"/>
      <w:divBdr>
        <w:top w:val="none" w:sz="0" w:space="0" w:color="auto"/>
        <w:left w:val="none" w:sz="0" w:space="0" w:color="auto"/>
        <w:bottom w:val="none" w:sz="0" w:space="0" w:color="auto"/>
        <w:right w:val="none" w:sz="0" w:space="0" w:color="auto"/>
      </w:divBdr>
    </w:div>
    <w:div w:id="1276986776">
      <w:bodyDiv w:val="1"/>
      <w:marLeft w:val="0"/>
      <w:marRight w:val="0"/>
      <w:marTop w:val="0"/>
      <w:marBottom w:val="0"/>
      <w:divBdr>
        <w:top w:val="none" w:sz="0" w:space="0" w:color="auto"/>
        <w:left w:val="none" w:sz="0" w:space="0" w:color="auto"/>
        <w:bottom w:val="none" w:sz="0" w:space="0" w:color="auto"/>
        <w:right w:val="none" w:sz="0" w:space="0" w:color="auto"/>
      </w:divBdr>
    </w:div>
    <w:div w:id="1277297032">
      <w:bodyDiv w:val="1"/>
      <w:marLeft w:val="0"/>
      <w:marRight w:val="0"/>
      <w:marTop w:val="0"/>
      <w:marBottom w:val="0"/>
      <w:divBdr>
        <w:top w:val="none" w:sz="0" w:space="0" w:color="auto"/>
        <w:left w:val="none" w:sz="0" w:space="0" w:color="auto"/>
        <w:bottom w:val="none" w:sz="0" w:space="0" w:color="auto"/>
        <w:right w:val="none" w:sz="0" w:space="0" w:color="auto"/>
      </w:divBdr>
    </w:div>
    <w:div w:id="1278636552">
      <w:bodyDiv w:val="1"/>
      <w:marLeft w:val="0"/>
      <w:marRight w:val="0"/>
      <w:marTop w:val="0"/>
      <w:marBottom w:val="0"/>
      <w:divBdr>
        <w:top w:val="none" w:sz="0" w:space="0" w:color="auto"/>
        <w:left w:val="none" w:sz="0" w:space="0" w:color="auto"/>
        <w:bottom w:val="none" w:sz="0" w:space="0" w:color="auto"/>
        <w:right w:val="none" w:sz="0" w:space="0" w:color="auto"/>
      </w:divBdr>
    </w:div>
    <w:div w:id="1279220331">
      <w:bodyDiv w:val="1"/>
      <w:marLeft w:val="0"/>
      <w:marRight w:val="0"/>
      <w:marTop w:val="0"/>
      <w:marBottom w:val="0"/>
      <w:divBdr>
        <w:top w:val="none" w:sz="0" w:space="0" w:color="auto"/>
        <w:left w:val="none" w:sz="0" w:space="0" w:color="auto"/>
        <w:bottom w:val="none" w:sz="0" w:space="0" w:color="auto"/>
        <w:right w:val="none" w:sz="0" w:space="0" w:color="auto"/>
      </w:divBdr>
    </w:div>
    <w:div w:id="1279482156">
      <w:bodyDiv w:val="1"/>
      <w:marLeft w:val="0"/>
      <w:marRight w:val="0"/>
      <w:marTop w:val="0"/>
      <w:marBottom w:val="0"/>
      <w:divBdr>
        <w:top w:val="none" w:sz="0" w:space="0" w:color="auto"/>
        <w:left w:val="none" w:sz="0" w:space="0" w:color="auto"/>
        <w:bottom w:val="none" w:sz="0" w:space="0" w:color="auto"/>
        <w:right w:val="none" w:sz="0" w:space="0" w:color="auto"/>
      </w:divBdr>
    </w:div>
    <w:div w:id="1279599966">
      <w:bodyDiv w:val="1"/>
      <w:marLeft w:val="0"/>
      <w:marRight w:val="0"/>
      <w:marTop w:val="0"/>
      <w:marBottom w:val="0"/>
      <w:divBdr>
        <w:top w:val="none" w:sz="0" w:space="0" w:color="auto"/>
        <w:left w:val="none" w:sz="0" w:space="0" w:color="auto"/>
        <w:bottom w:val="none" w:sz="0" w:space="0" w:color="auto"/>
        <w:right w:val="none" w:sz="0" w:space="0" w:color="auto"/>
      </w:divBdr>
    </w:div>
    <w:div w:id="1280334037">
      <w:bodyDiv w:val="1"/>
      <w:marLeft w:val="0"/>
      <w:marRight w:val="0"/>
      <w:marTop w:val="0"/>
      <w:marBottom w:val="0"/>
      <w:divBdr>
        <w:top w:val="none" w:sz="0" w:space="0" w:color="auto"/>
        <w:left w:val="none" w:sz="0" w:space="0" w:color="auto"/>
        <w:bottom w:val="none" w:sz="0" w:space="0" w:color="auto"/>
        <w:right w:val="none" w:sz="0" w:space="0" w:color="auto"/>
      </w:divBdr>
    </w:div>
    <w:div w:id="1281259827">
      <w:bodyDiv w:val="1"/>
      <w:marLeft w:val="0"/>
      <w:marRight w:val="0"/>
      <w:marTop w:val="0"/>
      <w:marBottom w:val="0"/>
      <w:divBdr>
        <w:top w:val="none" w:sz="0" w:space="0" w:color="auto"/>
        <w:left w:val="none" w:sz="0" w:space="0" w:color="auto"/>
        <w:bottom w:val="none" w:sz="0" w:space="0" w:color="auto"/>
        <w:right w:val="none" w:sz="0" w:space="0" w:color="auto"/>
      </w:divBdr>
    </w:div>
    <w:div w:id="1281451229">
      <w:bodyDiv w:val="1"/>
      <w:marLeft w:val="0"/>
      <w:marRight w:val="0"/>
      <w:marTop w:val="0"/>
      <w:marBottom w:val="0"/>
      <w:divBdr>
        <w:top w:val="none" w:sz="0" w:space="0" w:color="auto"/>
        <w:left w:val="none" w:sz="0" w:space="0" w:color="auto"/>
        <w:bottom w:val="none" w:sz="0" w:space="0" w:color="auto"/>
        <w:right w:val="none" w:sz="0" w:space="0" w:color="auto"/>
      </w:divBdr>
    </w:div>
    <w:div w:id="1281451254">
      <w:bodyDiv w:val="1"/>
      <w:marLeft w:val="0"/>
      <w:marRight w:val="0"/>
      <w:marTop w:val="0"/>
      <w:marBottom w:val="0"/>
      <w:divBdr>
        <w:top w:val="none" w:sz="0" w:space="0" w:color="auto"/>
        <w:left w:val="none" w:sz="0" w:space="0" w:color="auto"/>
        <w:bottom w:val="none" w:sz="0" w:space="0" w:color="auto"/>
        <w:right w:val="none" w:sz="0" w:space="0" w:color="auto"/>
      </w:divBdr>
    </w:div>
    <w:div w:id="1281451957">
      <w:bodyDiv w:val="1"/>
      <w:marLeft w:val="0"/>
      <w:marRight w:val="0"/>
      <w:marTop w:val="0"/>
      <w:marBottom w:val="0"/>
      <w:divBdr>
        <w:top w:val="none" w:sz="0" w:space="0" w:color="auto"/>
        <w:left w:val="none" w:sz="0" w:space="0" w:color="auto"/>
        <w:bottom w:val="none" w:sz="0" w:space="0" w:color="auto"/>
        <w:right w:val="none" w:sz="0" w:space="0" w:color="auto"/>
      </w:divBdr>
    </w:div>
    <w:div w:id="1282372380">
      <w:bodyDiv w:val="1"/>
      <w:marLeft w:val="0"/>
      <w:marRight w:val="0"/>
      <w:marTop w:val="0"/>
      <w:marBottom w:val="0"/>
      <w:divBdr>
        <w:top w:val="none" w:sz="0" w:space="0" w:color="auto"/>
        <w:left w:val="none" w:sz="0" w:space="0" w:color="auto"/>
        <w:bottom w:val="none" w:sz="0" w:space="0" w:color="auto"/>
        <w:right w:val="none" w:sz="0" w:space="0" w:color="auto"/>
      </w:divBdr>
    </w:div>
    <w:div w:id="1282689190">
      <w:bodyDiv w:val="1"/>
      <w:marLeft w:val="0"/>
      <w:marRight w:val="0"/>
      <w:marTop w:val="0"/>
      <w:marBottom w:val="0"/>
      <w:divBdr>
        <w:top w:val="none" w:sz="0" w:space="0" w:color="auto"/>
        <w:left w:val="none" w:sz="0" w:space="0" w:color="auto"/>
        <w:bottom w:val="none" w:sz="0" w:space="0" w:color="auto"/>
        <w:right w:val="none" w:sz="0" w:space="0" w:color="auto"/>
      </w:divBdr>
    </w:div>
    <w:div w:id="1283533942">
      <w:bodyDiv w:val="1"/>
      <w:marLeft w:val="0"/>
      <w:marRight w:val="0"/>
      <w:marTop w:val="0"/>
      <w:marBottom w:val="0"/>
      <w:divBdr>
        <w:top w:val="none" w:sz="0" w:space="0" w:color="auto"/>
        <w:left w:val="none" w:sz="0" w:space="0" w:color="auto"/>
        <w:bottom w:val="none" w:sz="0" w:space="0" w:color="auto"/>
        <w:right w:val="none" w:sz="0" w:space="0" w:color="auto"/>
      </w:divBdr>
    </w:div>
    <w:div w:id="1283878102">
      <w:bodyDiv w:val="1"/>
      <w:marLeft w:val="0"/>
      <w:marRight w:val="0"/>
      <w:marTop w:val="0"/>
      <w:marBottom w:val="0"/>
      <w:divBdr>
        <w:top w:val="none" w:sz="0" w:space="0" w:color="auto"/>
        <w:left w:val="none" w:sz="0" w:space="0" w:color="auto"/>
        <w:bottom w:val="none" w:sz="0" w:space="0" w:color="auto"/>
        <w:right w:val="none" w:sz="0" w:space="0" w:color="auto"/>
      </w:divBdr>
    </w:div>
    <w:div w:id="1285499135">
      <w:bodyDiv w:val="1"/>
      <w:marLeft w:val="0"/>
      <w:marRight w:val="0"/>
      <w:marTop w:val="0"/>
      <w:marBottom w:val="0"/>
      <w:divBdr>
        <w:top w:val="none" w:sz="0" w:space="0" w:color="auto"/>
        <w:left w:val="none" w:sz="0" w:space="0" w:color="auto"/>
        <w:bottom w:val="none" w:sz="0" w:space="0" w:color="auto"/>
        <w:right w:val="none" w:sz="0" w:space="0" w:color="auto"/>
      </w:divBdr>
    </w:div>
    <w:div w:id="1285500139">
      <w:bodyDiv w:val="1"/>
      <w:marLeft w:val="0"/>
      <w:marRight w:val="0"/>
      <w:marTop w:val="0"/>
      <w:marBottom w:val="0"/>
      <w:divBdr>
        <w:top w:val="none" w:sz="0" w:space="0" w:color="auto"/>
        <w:left w:val="none" w:sz="0" w:space="0" w:color="auto"/>
        <w:bottom w:val="none" w:sz="0" w:space="0" w:color="auto"/>
        <w:right w:val="none" w:sz="0" w:space="0" w:color="auto"/>
      </w:divBdr>
    </w:div>
    <w:div w:id="1287928003">
      <w:bodyDiv w:val="1"/>
      <w:marLeft w:val="0"/>
      <w:marRight w:val="0"/>
      <w:marTop w:val="0"/>
      <w:marBottom w:val="0"/>
      <w:divBdr>
        <w:top w:val="none" w:sz="0" w:space="0" w:color="auto"/>
        <w:left w:val="none" w:sz="0" w:space="0" w:color="auto"/>
        <w:bottom w:val="none" w:sz="0" w:space="0" w:color="auto"/>
        <w:right w:val="none" w:sz="0" w:space="0" w:color="auto"/>
      </w:divBdr>
    </w:div>
    <w:div w:id="1288050412">
      <w:bodyDiv w:val="1"/>
      <w:marLeft w:val="0"/>
      <w:marRight w:val="0"/>
      <w:marTop w:val="0"/>
      <w:marBottom w:val="0"/>
      <w:divBdr>
        <w:top w:val="none" w:sz="0" w:space="0" w:color="auto"/>
        <w:left w:val="none" w:sz="0" w:space="0" w:color="auto"/>
        <w:bottom w:val="none" w:sz="0" w:space="0" w:color="auto"/>
        <w:right w:val="none" w:sz="0" w:space="0" w:color="auto"/>
      </w:divBdr>
    </w:div>
    <w:div w:id="1288584555">
      <w:bodyDiv w:val="1"/>
      <w:marLeft w:val="0"/>
      <w:marRight w:val="0"/>
      <w:marTop w:val="0"/>
      <w:marBottom w:val="0"/>
      <w:divBdr>
        <w:top w:val="none" w:sz="0" w:space="0" w:color="auto"/>
        <w:left w:val="none" w:sz="0" w:space="0" w:color="auto"/>
        <w:bottom w:val="none" w:sz="0" w:space="0" w:color="auto"/>
        <w:right w:val="none" w:sz="0" w:space="0" w:color="auto"/>
      </w:divBdr>
    </w:div>
    <w:div w:id="1289125252">
      <w:bodyDiv w:val="1"/>
      <w:marLeft w:val="0"/>
      <w:marRight w:val="0"/>
      <w:marTop w:val="0"/>
      <w:marBottom w:val="0"/>
      <w:divBdr>
        <w:top w:val="none" w:sz="0" w:space="0" w:color="auto"/>
        <w:left w:val="none" w:sz="0" w:space="0" w:color="auto"/>
        <w:bottom w:val="none" w:sz="0" w:space="0" w:color="auto"/>
        <w:right w:val="none" w:sz="0" w:space="0" w:color="auto"/>
      </w:divBdr>
    </w:div>
    <w:div w:id="1289899566">
      <w:bodyDiv w:val="1"/>
      <w:marLeft w:val="0"/>
      <w:marRight w:val="0"/>
      <w:marTop w:val="0"/>
      <w:marBottom w:val="0"/>
      <w:divBdr>
        <w:top w:val="none" w:sz="0" w:space="0" w:color="auto"/>
        <w:left w:val="none" w:sz="0" w:space="0" w:color="auto"/>
        <w:bottom w:val="none" w:sz="0" w:space="0" w:color="auto"/>
        <w:right w:val="none" w:sz="0" w:space="0" w:color="auto"/>
      </w:divBdr>
    </w:div>
    <w:div w:id="1290476314">
      <w:bodyDiv w:val="1"/>
      <w:marLeft w:val="0"/>
      <w:marRight w:val="0"/>
      <w:marTop w:val="0"/>
      <w:marBottom w:val="0"/>
      <w:divBdr>
        <w:top w:val="none" w:sz="0" w:space="0" w:color="auto"/>
        <w:left w:val="none" w:sz="0" w:space="0" w:color="auto"/>
        <w:bottom w:val="none" w:sz="0" w:space="0" w:color="auto"/>
        <w:right w:val="none" w:sz="0" w:space="0" w:color="auto"/>
      </w:divBdr>
    </w:div>
    <w:div w:id="1290624872">
      <w:bodyDiv w:val="1"/>
      <w:marLeft w:val="0"/>
      <w:marRight w:val="0"/>
      <w:marTop w:val="0"/>
      <w:marBottom w:val="0"/>
      <w:divBdr>
        <w:top w:val="none" w:sz="0" w:space="0" w:color="auto"/>
        <w:left w:val="none" w:sz="0" w:space="0" w:color="auto"/>
        <w:bottom w:val="none" w:sz="0" w:space="0" w:color="auto"/>
        <w:right w:val="none" w:sz="0" w:space="0" w:color="auto"/>
      </w:divBdr>
    </w:div>
    <w:div w:id="1292246364">
      <w:bodyDiv w:val="1"/>
      <w:marLeft w:val="0"/>
      <w:marRight w:val="0"/>
      <w:marTop w:val="0"/>
      <w:marBottom w:val="0"/>
      <w:divBdr>
        <w:top w:val="none" w:sz="0" w:space="0" w:color="auto"/>
        <w:left w:val="none" w:sz="0" w:space="0" w:color="auto"/>
        <w:bottom w:val="none" w:sz="0" w:space="0" w:color="auto"/>
        <w:right w:val="none" w:sz="0" w:space="0" w:color="auto"/>
      </w:divBdr>
    </w:div>
    <w:div w:id="1292705564">
      <w:bodyDiv w:val="1"/>
      <w:marLeft w:val="0"/>
      <w:marRight w:val="0"/>
      <w:marTop w:val="0"/>
      <w:marBottom w:val="0"/>
      <w:divBdr>
        <w:top w:val="none" w:sz="0" w:space="0" w:color="auto"/>
        <w:left w:val="none" w:sz="0" w:space="0" w:color="auto"/>
        <w:bottom w:val="none" w:sz="0" w:space="0" w:color="auto"/>
        <w:right w:val="none" w:sz="0" w:space="0" w:color="auto"/>
      </w:divBdr>
    </w:div>
    <w:div w:id="1293174921">
      <w:bodyDiv w:val="1"/>
      <w:marLeft w:val="0"/>
      <w:marRight w:val="0"/>
      <w:marTop w:val="0"/>
      <w:marBottom w:val="0"/>
      <w:divBdr>
        <w:top w:val="none" w:sz="0" w:space="0" w:color="auto"/>
        <w:left w:val="none" w:sz="0" w:space="0" w:color="auto"/>
        <w:bottom w:val="none" w:sz="0" w:space="0" w:color="auto"/>
        <w:right w:val="none" w:sz="0" w:space="0" w:color="auto"/>
      </w:divBdr>
    </w:div>
    <w:div w:id="1293637883">
      <w:bodyDiv w:val="1"/>
      <w:marLeft w:val="0"/>
      <w:marRight w:val="0"/>
      <w:marTop w:val="0"/>
      <w:marBottom w:val="0"/>
      <w:divBdr>
        <w:top w:val="none" w:sz="0" w:space="0" w:color="auto"/>
        <w:left w:val="none" w:sz="0" w:space="0" w:color="auto"/>
        <w:bottom w:val="none" w:sz="0" w:space="0" w:color="auto"/>
        <w:right w:val="none" w:sz="0" w:space="0" w:color="auto"/>
      </w:divBdr>
    </w:div>
    <w:div w:id="1293826959">
      <w:bodyDiv w:val="1"/>
      <w:marLeft w:val="0"/>
      <w:marRight w:val="0"/>
      <w:marTop w:val="0"/>
      <w:marBottom w:val="0"/>
      <w:divBdr>
        <w:top w:val="none" w:sz="0" w:space="0" w:color="auto"/>
        <w:left w:val="none" w:sz="0" w:space="0" w:color="auto"/>
        <w:bottom w:val="none" w:sz="0" w:space="0" w:color="auto"/>
        <w:right w:val="none" w:sz="0" w:space="0" w:color="auto"/>
      </w:divBdr>
    </w:div>
    <w:div w:id="1294679040">
      <w:bodyDiv w:val="1"/>
      <w:marLeft w:val="0"/>
      <w:marRight w:val="0"/>
      <w:marTop w:val="0"/>
      <w:marBottom w:val="0"/>
      <w:divBdr>
        <w:top w:val="none" w:sz="0" w:space="0" w:color="auto"/>
        <w:left w:val="none" w:sz="0" w:space="0" w:color="auto"/>
        <w:bottom w:val="none" w:sz="0" w:space="0" w:color="auto"/>
        <w:right w:val="none" w:sz="0" w:space="0" w:color="auto"/>
      </w:divBdr>
    </w:div>
    <w:div w:id="1294750878">
      <w:bodyDiv w:val="1"/>
      <w:marLeft w:val="0"/>
      <w:marRight w:val="0"/>
      <w:marTop w:val="0"/>
      <w:marBottom w:val="0"/>
      <w:divBdr>
        <w:top w:val="none" w:sz="0" w:space="0" w:color="auto"/>
        <w:left w:val="none" w:sz="0" w:space="0" w:color="auto"/>
        <w:bottom w:val="none" w:sz="0" w:space="0" w:color="auto"/>
        <w:right w:val="none" w:sz="0" w:space="0" w:color="auto"/>
      </w:divBdr>
    </w:div>
    <w:div w:id="1294944783">
      <w:bodyDiv w:val="1"/>
      <w:marLeft w:val="0"/>
      <w:marRight w:val="0"/>
      <w:marTop w:val="0"/>
      <w:marBottom w:val="0"/>
      <w:divBdr>
        <w:top w:val="none" w:sz="0" w:space="0" w:color="auto"/>
        <w:left w:val="none" w:sz="0" w:space="0" w:color="auto"/>
        <w:bottom w:val="none" w:sz="0" w:space="0" w:color="auto"/>
        <w:right w:val="none" w:sz="0" w:space="0" w:color="auto"/>
      </w:divBdr>
      <w:divsChild>
        <w:div w:id="888612597">
          <w:marLeft w:val="480"/>
          <w:marRight w:val="0"/>
          <w:marTop w:val="0"/>
          <w:marBottom w:val="0"/>
          <w:divBdr>
            <w:top w:val="none" w:sz="0" w:space="0" w:color="auto"/>
            <w:left w:val="none" w:sz="0" w:space="0" w:color="auto"/>
            <w:bottom w:val="none" w:sz="0" w:space="0" w:color="auto"/>
            <w:right w:val="none" w:sz="0" w:space="0" w:color="auto"/>
          </w:divBdr>
        </w:div>
        <w:div w:id="332071055">
          <w:marLeft w:val="480"/>
          <w:marRight w:val="0"/>
          <w:marTop w:val="0"/>
          <w:marBottom w:val="0"/>
          <w:divBdr>
            <w:top w:val="none" w:sz="0" w:space="0" w:color="auto"/>
            <w:left w:val="none" w:sz="0" w:space="0" w:color="auto"/>
            <w:bottom w:val="none" w:sz="0" w:space="0" w:color="auto"/>
            <w:right w:val="none" w:sz="0" w:space="0" w:color="auto"/>
          </w:divBdr>
        </w:div>
        <w:div w:id="187329638">
          <w:marLeft w:val="480"/>
          <w:marRight w:val="0"/>
          <w:marTop w:val="0"/>
          <w:marBottom w:val="0"/>
          <w:divBdr>
            <w:top w:val="none" w:sz="0" w:space="0" w:color="auto"/>
            <w:left w:val="none" w:sz="0" w:space="0" w:color="auto"/>
            <w:bottom w:val="none" w:sz="0" w:space="0" w:color="auto"/>
            <w:right w:val="none" w:sz="0" w:space="0" w:color="auto"/>
          </w:divBdr>
        </w:div>
        <w:div w:id="1712457850">
          <w:marLeft w:val="480"/>
          <w:marRight w:val="0"/>
          <w:marTop w:val="0"/>
          <w:marBottom w:val="0"/>
          <w:divBdr>
            <w:top w:val="none" w:sz="0" w:space="0" w:color="auto"/>
            <w:left w:val="none" w:sz="0" w:space="0" w:color="auto"/>
            <w:bottom w:val="none" w:sz="0" w:space="0" w:color="auto"/>
            <w:right w:val="none" w:sz="0" w:space="0" w:color="auto"/>
          </w:divBdr>
        </w:div>
        <w:div w:id="1307130215">
          <w:marLeft w:val="480"/>
          <w:marRight w:val="0"/>
          <w:marTop w:val="0"/>
          <w:marBottom w:val="0"/>
          <w:divBdr>
            <w:top w:val="none" w:sz="0" w:space="0" w:color="auto"/>
            <w:left w:val="none" w:sz="0" w:space="0" w:color="auto"/>
            <w:bottom w:val="none" w:sz="0" w:space="0" w:color="auto"/>
            <w:right w:val="none" w:sz="0" w:space="0" w:color="auto"/>
          </w:divBdr>
        </w:div>
        <w:div w:id="1215697467">
          <w:marLeft w:val="480"/>
          <w:marRight w:val="0"/>
          <w:marTop w:val="0"/>
          <w:marBottom w:val="0"/>
          <w:divBdr>
            <w:top w:val="none" w:sz="0" w:space="0" w:color="auto"/>
            <w:left w:val="none" w:sz="0" w:space="0" w:color="auto"/>
            <w:bottom w:val="none" w:sz="0" w:space="0" w:color="auto"/>
            <w:right w:val="none" w:sz="0" w:space="0" w:color="auto"/>
          </w:divBdr>
        </w:div>
        <w:div w:id="1796630654">
          <w:marLeft w:val="480"/>
          <w:marRight w:val="0"/>
          <w:marTop w:val="0"/>
          <w:marBottom w:val="0"/>
          <w:divBdr>
            <w:top w:val="none" w:sz="0" w:space="0" w:color="auto"/>
            <w:left w:val="none" w:sz="0" w:space="0" w:color="auto"/>
            <w:bottom w:val="none" w:sz="0" w:space="0" w:color="auto"/>
            <w:right w:val="none" w:sz="0" w:space="0" w:color="auto"/>
          </w:divBdr>
        </w:div>
        <w:div w:id="569384662">
          <w:marLeft w:val="480"/>
          <w:marRight w:val="0"/>
          <w:marTop w:val="0"/>
          <w:marBottom w:val="0"/>
          <w:divBdr>
            <w:top w:val="none" w:sz="0" w:space="0" w:color="auto"/>
            <w:left w:val="none" w:sz="0" w:space="0" w:color="auto"/>
            <w:bottom w:val="none" w:sz="0" w:space="0" w:color="auto"/>
            <w:right w:val="none" w:sz="0" w:space="0" w:color="auto"/>
          </w:divBdr>
        </w:div>
        <w:div w:id="1543789699">
          <w:marLeft w:val="480"/>
          <w:marRight w:val="0"/>
          <w:marTop w:val="0"/>
          <w:marBottom w:val="0"/>
          <w:divBdr>
            <w:top w:val="none" w:sz="0" w:space="0" w:color="auto"/>
            <w:left w:val="none" w:sz="0" w:space="0" w:color="auto"/>
            <w:bottom w:val="none" w:sz="0" w:space="0" w:color="auto"/>
            <w:right w:val="none" w:sz="0" w:space="0" w:color="auto"/>
          </w:divBdr>
        </w:div>
        <w:div w:id="910579333">
          <w:marLeft w:val="480"/>
          <w:marRight w:val="0"/>
          <w:marTop w:val="0"/>
          <w:marBottom w:val="0"/>
          <w:divBdr>
            <w:top w:val="none" w:sz="0" w:space="0" w:color="auto"/>
            <w:left w:val="none" w:sz="0" w:space="0" w:color="auto"/>
            <w:bottom w:val="none" w:sz="0" w:space="0" w:color="auto"/>
            <w:right w:val="none" w:sz="0" w:space="0" w:color="auto"/>
          </w:divBdr>
        </w:div>
        <w:div w:id="99644762">
          <w:marLeft w:val="480"/>
          <w:marRight w:val="0"/>
          <w:marTop w:val="0"/>
          <w:marBottom w:val="0"/>
          <w:divBdr>
            <w:top w:val="none" w:sz="0" w:space="0" w:color="auto"/>
            <w:left w:val="none" w:sz="0" w:space="0" w:color="auto"/>
            <w:bottom w:val="none" w:sz="0" w:space="0" w:color="auto"/>
            <w:right w:val="none" w:sz="0" w:space="0" w:color="auto"/>
          </w:divBdr>
        </w:div>
        <w:div w:id="709183184">
          <w:marLeft w:val="480"/>
          <w:marRight w:val="0"/>
          <w:marTop w:val="0"/>
          <w:marBottom w:val="0"/>
          <w:divBdr>
            <w:top w:val="none" w:sz="0" w:space="0" w:color="auto"/>
            <w:left w:val="none" w:sz="0" w:space="0" w:color="auto"/>
            <w:bottom w:val="none" w:sz="0" w:space="0" w:color="auto"/>
            <w:right w:val="none" w:sz="0" w:space="0" w:color="auto"/>
          </w:divBdr>
        </w:div>
        <w:div w:id="446628307">
          <w:marLeft w:val="480"/>
          <w:marRight w:val="0"/>
          <w:marTop w:val="0"/>
          <w:marBottom w:val="0"/>
          <w:divBdr>
            <w:top w:val="none" w:sz="0" w:space="0" w:color="auto"/>
            <w:left w:val="none" w:sz="0" w:space="0" w:color="auto"/>
            <w:bottom w:val="none" w:sz="0" w:space="0" w:color="auto"/>
            <w:right w:val="none" w:sz="0" w:space="0" w:color="auto"/>
          </w:divBdr>
        </w:div>
        <w:div w:id="786242038">
          <w:marLeft w:val="480"/>
          <w:marRight w:val="0"/>
          <w:marTop w:val="0"/>
          <w:marBottom w:val="0"/>
          <w:divBdr>
            <w:top w:val="none" w:sz="0" w:space="0" w:color="auto"/>
            <w:left w:val="none" w:sz="0" w:space="0" w:color="auto"/>
            <w:bottom w:val="none" w:sz="0" w:space="0" w:color="auto"/>
            <w:right w:val="none" w:sz="0" w:space="0" w:color="auto"/>
          </w:divBdr>
        </w:div>
        <w:div w:id="454905711">
          <w:marLeft w:val="480"/>
          <w:marRight w:val="0"/>
          <w:marTop w:val="0"/>
          <w:marBottom w:val="0"/>
          <w:divBdr>
            <w:top w:val="none" w:sz="0" w:space="0" w:color="auto"/>
            <w:left w:val="none" w:sz="0" w:space="0" w:color="auto"/>
            <w:bottom w:val="none" w:sz="0" w:space="0" w:color="auto"/>
            <w:right w:val="none" w:sz="0" w:space="0" w:color="auto"/>
          </w:divBdr>
        </w:div>
        <w:div w:id="829253915">
          <w:marLeft w:val="480"/>
          <w:marRight w:val="0"/>
          <w:marTop w:val="0"/>
          <w:marBottom w:val="0"/>
          <w:divBdr>
            <w:top w:val="none" w:sz="0" w:space="0" w:color="auto"/>
            <w:left w:val="none" w:sz="0" w:space="0" w:color="auto"/>
            <w:bottom w:val="none" w:sz="0" w:space="0" w:color="auto"/>
            <w:right w:val="none" w:sz="0" w:space="0" w:color="auto"/>
          </w:divBdr>
        </w:div>
        <w:div w:id="814026021">
          <w:marLeft w:val="480"/>
          <w:marRight w:val="0"/>
          <w:marTop w:val="0"/>
          <w:marBottom w:val="0"/>
          <w:divBdr>
            <w:top w:val="none" w:sz="0" w:space="0" w:color="auto"/>
            <w:left w:val="none" w:sz="0" w:space="0" w:color="auto"/>
            <w:bottom w:val="none" w:sz="0" w:space="0" w:color="auto"/>
            <w:right w:val="none" w:sz="0" w:space="0" w:color="auto"/>
          </w:divBdr>
        </w:div>
        <w:div w:id="2002805044">
          <w:marLeft w:val="480"/>
          <w:marRight w:val="0"/>
          <w:marTop w:val="0"/>
          <w:marBottom w:val="0"/>
          <w:divBdr>
            <w:top w:val="none" w:sz="0" w:space="0" w:color="auto"/>
            <w:left w:val="none" w:sz="0" w:space="0" w:color="auto"/>
            <w:bottom w:val="none" w:sz="0" w:space="0" w:color="auto"/>
            <w:right w:val="none" w:sz="0" w:space="0" w:color="auto"/>
          </w:divBdr>
        </w:div>
        <w:div w:id="410389104">
          <w:marLeft w:val="480"/>
          <w:marRight w:val="0"/>
          <w:marTop w:val="0"/>
          <w:marBottom w:val="0"/>
          <w:divBdr>
            <w:top w:val="none" w:sz="0" w:space="0" w:color="auto"/>
            <w:left w:val="none" w:sz="0" w:space="0" w:color="auto"/>
            <w:bottom w:val="none" w:sz="0" w:space="0" w:color="auto"/>
            <w:right w:val="none" w:sz="0" w:space="0" w:color="auto"/>
          </w:divBdr>
        </w:div>
        <w:div w:id="995457496">
          <w:marLeft w:val="480"/>
          <w:marRight w:val="0"/>
          <w:marTop w:val="0"/>
          <w:marBottom w:val="0"/>
          <w:divBdr>
            <w:top w:val="none" w:sz="0" w:space="0" w:color="auto"/>
            <w:left w:val="none" w:sz="0" w:space="0" w:color="auto"/>
            <w:bottom w:val="none" w:sz="0" w:space="0" w:color="auto"/>
            <w:right w:val="none" w:sz="0" w:space="0" w:color="auto"/>
          </w:divBdr>
        </w:div>
        <w:div w:id="1062100251">
          <w:marLeft w:val="480"/>
          <w:marRight w:val="0"/>
          <w:marTop w:val="0"/>
          <w:marBottom w:val="0"/>
          <w:divBdr>
            <w:top w:val="none" w:sz="0" w:space="0" w:color="auto"/>
            <w:left w:val="none" w:sz="0" w:space="0" w:color="auto"/>
            <w:bottom w:val="none" w:sz="0" w:space="0" w:color="auto"/>
            <w:right w:val="none" w:sz="0" w:space="0" w:color="auto"/>
          </w:divBdr>
        </w:div>
        <w:div w:id="754009094">
          <w:marLeft w:val="480"/>
          <w:marRight w:val="0"/>
          <w:marTop w:val="0"/>
          <w:marBottom w:val="0"/>
          <w:divBdr>
            <w:top w:val="none" w:sz="0" w:space="0" w:color="auto"/>
            <w:left w:val="none" w:sz="0" w:space="0" w:color="auto"/>
            <w:bottom w:val="none" w:sz="0" w:space="0" w:color="auto"/>
            <w:right w:val="none" w:sz="0" w:space="0" w:color="auto"/>
          </w:divBdr>
        </w:div>
        <w:div w:id="1461878748">
          <w:marLeft w:val="480"/>
          <w:marRight w:val="0"/>
          <w:marTop w:val="0"/>
          <w:marBottom w:val="0"/>
          <w:divBdr>
            <w:top w:val="none" w:sz="0" w:space="0" w:color="auto"/>
            <w:left w:val="none" w:sz="0" w:space="0" w:color="auto"/>
            <w:bottom w:val="none" w:sz="0" w:space="0" w:color="auto"/>
            <w:right w:val="none" w:sz="0" w:space="0" w:color="auto"/>
          </w:divBdr>
        </w:div>
        <w:div w:id="1037464952">
          <w:marLeft w:val="480"/>
          <w:marRight w:val="0"/>
          <w:marTop w:val="0"/>
          <w:marBottom w:val="0"/>
          <w:divBdr>
            <w:top w:val="none" w:sz="0" w:space="0" w:color="auto"/>
            <w:left w:val="none" w:sz="0" w:space="0" w:color="auto"/>
            <w:bottom w:val="none" w:sz="0" w:space="0" w:color="auto"/>
            <w:right w:val="none" w:sz="0" w:space="0" w:color="auto"/>
          </w:divBdr>
        </w:div>
        <w:div w:id="821432295">
          <w:marLeft w:val="480"/>
          <w:marRight w:val="0"/>
          <w:marTop w:val="0"/>
          <w:marBottom w:val="0"/>
          <w:divBdr>
            <w:top w:val="none" w:sz="0" w:space="0" w:color="auto"/>
            <w:left w:val="none" w:sz="0" w:space="0" w:color="auto"/>
            <w:bottom w:val="none" w:sz="0" w:space="0" w:color="auto"/>
            <w:right w:val="none" w:sz="0" w:space="0" w:color="auto"/>
          </w:divBdr>
        </w:div>
        <w:div w:id="440422759">
          <w:marLeft w:val="480"/>
          <w:marRight w:val="0"/>
          <w:marTop w:val="0"/>
          <w:marBottom w:val="0"/>
          <w:divBdr>
            <w:top w:val="none" w:sz="0" w:space="0" w:color="auto"/>
            <w:left w:val="none" w:sz="0" w:space="0" w:color="auto"/>
            <w:bottom w:val="none" w:sz="0" w:space="0" w:color="auto"/>
            <w:right w:val="none" w:sz="0" w:space="0" w:color="auto"/>
          </w:divBdr>
        </w:div>
        <w:div w:id="639265089">
          <w:marLeft w:val="480"/>
          <w:marRight w:val="0"/>
          <w:marTop w:val="0"/>
          <w:marBottom w:val="0"/>
          <w:divBdr>
            <w:top w:val="none" w:sz="0" w:space="0" w:color="auto"/>
            <w:left w:val="none" w:sz="0" w:space="0" w:color="auto"/>
            <w:bottom w:val="none" w:sz="0" w:space="0" w:color="auto"/>
            <w:right w:val="none" w:sz="0" w:space="0" w:color="auto"/>
          </w:divBdr>
        </w:div>
        <w:div w:id="621543797">
          <w:marLeft w:val="480"/>
          <w:marRight w:val="0"/>
          <w:marTop w:val="0"/>
          <w:marBottom w:val="0"/>
          <w:divBdr>
            <w:top w:val="none" w:sz="0" w:space="0" w:color="auto"/>
            <w:left w:val="none" w:sz="0" w:space="0" w:color="auto"/>
            <w:bottom w:val="none" w:sz="0" w:space="0" w:color="auto"/>
            <w:right w:val="none" w:sz="0" w:space="0" w:color="auto"/>
          </w:divBdr>
        </w:div>
        <w:div w:id="2021740005">
          <w:marLeft w:val="480"/>
          <w:marRight w:val="0"/>
          <w:marTop w:val="0"/>
          <w:marBottom w:val="0"/>
          <w:divBdr>
            <w:top w:val="none" w:sz="0" w:space="0" w:color="auto"/>
            <w:left w:val="none" w:sz="0" w:space="0" w:color="auto"/>
            <w:bottom w:val="none" w:sz="0" w:space="0" w:color="auto"/>
            <w:right w:val="none" w:sz="0" w:space="0" w:color="auto"/>
          </w:divBdr>
        </w:div>
        <w:div w:id="766736595">
          <w:marLeft w:val="480"/>
          <w:marRight w:val="0"/>
          <w:marTop w:val="0"/>
          <w:marBottom w:val="0"/>
          <w:divBdr>
            <w:top w:val="none" w:sz="0" w:space="0" w:color="auto"/>
            <w:left w:val="none" w:sz="0" w:space="0" w:color="auto"/>
            <w:bottom w:val="none" w:sz="0" w:space="0" w:color="auto"/>
            <w:right w:val="none" w:sz="0" w:space="0" w:color="auto"/>
          </w:divBdr>
        </w:div>
        <w:div w:id="298918369">
          <w:marLeft w:val="480"/>
          <w:marRight w:val="0"/>
          <w:marTop w:val="0"/>
          <w:marBottom w:val="0"/>
          <w:divBdr>
            <w:top w:val="none" w:sz="0" w:space="0" w:color="auto"/>
            <w:left w:val="none" w:sz="0" w:space="0" w:color="auto"/>
            <w:bottom w:val="none" w:sz="0" w:space="0" w:color="auto"/>
            <w:right w:val="none" w:sz="0" w:space="0" w:color="auto"/>
          </w:divBdr>
        </w:div>
        <w:div w:id="1606306480">
          <w:marLeft w:val="480"/>
          <w:marRight w:val="0"/>
          <w:marTop w:val="0"/>
          <w:marBottom w:val="0"/>
          <w:divBdr>
            <w:top w:val="none" w:sz="0" w:space="0" w:color="auto"/>
            <w:left w:val="none" w:sz="0" w:space="0" w:color="auto"/>
            <w:bottom w:val="none" w:sz="0" w:space="0" w:color="auto"/>
            <w:right w:val="none" w:sz="0" w:space="0" w:color="auto"/>
          </w:divBdr>
        </w:div>
        <w:div w:id="1841774246">
          <w:marLeft w:val="480"/>
          <w:marRight w:val="0"/>
          <w:marTop w:val="0"/>
          <w:marBottom w:val="0"/>
          <w:divBdr>
            <w:top w:val="none" w:sz="0" w:space="0" w:color="auto"/>
            <w:left w:val="none" w:sz="0" w:space="0" w:color="auto"/>
            <w:bottom w:val="none" w:sz="0" w:space="0" w:color="auto"/>
            <w:right w:val="none" w:sz="0" w:space="0" w:color="auto"/>
          </w:divBdr>
        </w:div>
        <w:div w:id="361907855">
          <w:marLeft w:val="480"/>
          <w:marRight w:val="0"/>
          <w:marTop w:val="0"/>
          <w:marBottom w:val="0"/>
          <w:divBdr>
            <w:top w:val="none" w:sz="0" w:space="0" w:color="auto"/>
            <w:left w:val="none" w:sz="0" w:space="0" w:color="auto"/>
            <w:bottom w:val="none" w:sz="0" w:space="0" w:color="auto"/>
            <w:right w:val="none" w:sz="0" w:space="0" w:color="auto"/>
          </w:divBdr>
        </w:div>
        <w:div w:id="1916042888">
          <w:marLeft w:val="480"/>
          <w:marRight w:val="0"/>
          <w:marTop w:val="0"/>
          <w:marBottom w:val="0"/>
          <w:divBdr>
            <w:top w:val="none" w:sz="0" w:space="0" w:color="auto"/>
            <w:left w:val="none" w:sz="0" w:space="0" w:color="auto"/>
            <w:bottom w:val="none" w:sz="0" w:space="0" w:color="auto"/>
            <w:right w:val="none" w:sz="0" w:space="0" w:color="auto"/>
          </w:divBdr>
        </w:div>
        <w:div w:id="1531918925">
          <w:marLeft w:val="480"/>
          <w:marRight w:val="0"/>
          <w:marTop w:val="0"/>
          <w:marBottom w:val="0"/>
          <w:divBdr>
            <w:top w:val="none" w:sz="0" w:space="0" w:color="auto"/>
            <w:left w:val="none" w:sz="0" w:space="0" w:color="auto"/>
            <w:bottom w:val="none" w:sz="0" w:space="0" w:color="auto"/>
            <w:right w:val="none" w:sz="0" w:space="0" w:color="auto"/>
          </w:divBdr>
        </w:div>
        <w:div w:id="674501621">
          <w:marLeft w:val="480"/>
          <w:marRight w:val="0"/>
          <w:marTop w:val="0"/>
          <w:marBottom w:val="0"/>
          <w:divBdr>
            <w:top w:val="none" w:sz="0" w:space="0" w:color="auto"/>
            <w:left w:val="none" w:sz="0" w:space="0" w:color="auto"/>
            <w:bottom w:val="none" w:sz="0" w:space="0" w:color="auto"/>
            <w:right w:val="none" w:sz="0" w:space="0" w:color="auto"/>
          </w:divBdr>
        </w:div>
        <w:div w:id="1620335566">
          <w:marLeft w:val="480"/>
          <w:marRight w:val="0"/>
          <w:marTop w:val="0"/>
          <w:marBottom w:val="0"/>
          <w:divBdr>
            <w:top w:val="none" w:sz="0" w:space="0" w:color="auto"/>
            <w:left w:val="none" w:sz="0" w:space="0" w:color="auto"/>
            <w:bottom w:val="none" w:sz="0" w:space="0" w:color="auto"/>
            <w:right w:val="none" w:sz="0" w:space="0" w:color="auto"/>
          </w:divBdr>
        </w:div>
        <w:div w:id="986473244">
          <w:marLeft w:val="480"/>
          <w:marRight w:val="0"/>
          <w:marTop w:val="0"/>
          <w:marBottom w:val="0"/>
          <w:divBdr>
            <w:top w:val="none" w:sz="0" w:space="0" w:color="auto"/>
            <w:left w:val="none" w:sz="0" w:space="0" w:color="auto"/>
            <w:bottom w:val="none" w:sz="0" w:space="0" w:color="auto"/>
            <w:right w:val="none" w:sz="0" w:space="0" w:color="auto"/>
          </w:divBdr>
        </w:div>
        <w:div w:id="485821703">
          <w:marLeft w:val="480"/>
          <w:marRight w:val="0"/>
          <w:marTop w:val="0"/>
          <w:marBottom w:val="0"/>
          <w:divBdr>
            <w:top w:val="none" w:sz="0" w:space="0" w:color="auto"/>
            <w:left w:val="none" w:sz="0" w:space="0" w:color="auto"/>
            <w:bottom w:val="none" w:sz="0" w:space="0" w:color="auto"/>
            <w:right w:val="none" w:sz="0" w:space="0" w:color="auto"/>
          </w:divBdr>
        </w:div>
        <w:div w:id="1086532415">
          <w:marLeft w:val="480"/>
          <w:marRight w:val="0"/>
          <w:marTop w:val="0"/>
          <w:marBottom w:val="0"/>
          <w:divBdr>
            <w:top w:val="none" w:sz="0" w:space="0" w:color="auto"/>
            <w:left w:val="none" w:sz="0" w:space="0" w:color="auto"/>
            <w:bottom w:val="none" w:sz="0" w:space="0" w:color="auto"/>
            <w:right w:val="none" w:sz="0" w:space="0" w:color="auto"/>
          </w:divBdr>
        </w:div>
        <w:div w:id="1853378754">
          <w:marLeft w:val="480"/>
          <w:marRight w:val="0"/>
          <w:marTop w:val="0"/>
          <w:marBottom w:val="0"/>
          <w:divBdr>
            <w:top w:val="none" w:sz="0" w:space="0" w:color="auto"/>
            <w:left w:val="none" w:sz="0" w:space="0" w:color="auto"/>
            <w:bottom w:val="none" w:sz="0" w:space="0" w:color="auto"/>
            <w:right w:val="none" w:sz="0" w:space="0" w:color="auto"/>
          </w:divBdr>
        </w:div>
        <w:div w:id="1573467272">
          <w:marLeft w:val="480"/>
          <w:marRight w:val="0"/>
          <w:marTop w:val="0"/>
          <w:marBottom w:val="0"/>
          <w:divBdr>
            <w:top w:val="none" w:sz="0" w:space="0" w:color="auto"/>
            <w:left w:val="none" w:sz="0" w:space="0" w:color="auto"/>
            <w:bottom w:val="none" w:sz="0" w:space="0" w:color="auto"/>
            <w:right w:val="none" w:sz="0" w:space="0" w:color="auto"/>
          </w:divBdr>
        </w:div>
        <w:div w:id="770706113">
          <w:marLeft w:val="480"/>
          <w:marRight w:val="0"/>
          <w:marTop w:val="0"/>
          <w:marBottom w:val="0"/>
          <w:divBdr>
            <w:top w:val="none" w:sz="0" w:space="0" w:color="auto"/>
            <w:left w:val="none" w:sz="0" w:space="0" w:color="auto"/>
            <w:bottom w:val="none" w:sz="0" w:space="0" w:color="auto"/>
            <w:right w:val="none" w:sz="0" w:space="0" w:color="auto"/>
          </w:divBdr>
        </w:div>
        <w:div w:id="1668822631">
          <w:marLeft w:val="480"/>
          <w:marRight w:val="0"/>
          <w:marTop w:val="0"/>
          <w:marBottom w:val="0"/>
          <w:divBdr>
            <w:top w:val="none" w:sz="0" w:space="0" w:color="auto"/>
            <w:left w:val="none" w:sz="0" w:space="0" w:color="auto"/>
            <w:bottom w:val="none" w:sz="0" w:space="0" w:color="auto"/>
            <w:right w:val="none" w:sz="0" w:space="0" w:color="auto"/>
          </w:divBdr>
        </w:div>
        <w:div w:id="1977294918">
          <w:marLeft w:val="480"/>
          <w:marRight w:val="0"/>
          <w:marTop w:val="0"/>
          <w:marBottom w:val="0"/>
          <w:divBdr>
            <w:top w:val="none" w:sz="0" w:space="0" w:color="auto"/>
            <w:left w:val="none" w:sz="0" w:space="0" w:color="auto"/>
            <w:bottom w:val="none" w:sz="0" w:space="0" w:color="auto"/>
            <w:right w:val="none" w:sz="0" w:space="0" w:color="auto"/>
          </w:divBdr>
        </w:div>
        <w:div w:id="686445732">
          <w:marLeft w:val="480"/>
          <w:marRight w:val="0"/>
          <w:marTop w:val="0"/>
          <w:marBottom w:val="0"/>
          <w:divBdr>
            <w:top w:val="none" w:sz="0" w:space="0" w:color="auto"/>
            <w:left w:val="none" w:sz="0" w:space="0" w:color="auto"/>
            <w:bottom w:val="none" w:sz="0" w:space="0" w:color="auto"/>
            <w:right w:val="none" w:sz="0" w:space="0" w:color="auto"/>
          </w:divBdr>
        </w:div>
        <w:div w:id="406192431">
          <w:marLeft w:val="480"/>
          <w:marRight w:val="0"/>
          <w:marTop w:val="0"/>
          <w:marBottom w:val="0"/>
          <w:divBdr>
            <w:top w:val="none" w:sz="0" w:space="0" w:color="auto"/>
            <w:left w:val="none" w:sz="0" w:space="0" w:color="auto"/>
            <w:bottom w:val="none" w:sz="0" w:space="0" w:color="auto"/>
            <w:right w:val="none" w:sz="0" w:space="0" w:color="auto"/>
          </w:divBdr>
        </w:div>
        <w:div w:id="1315570405">
          <w:marLeft w:val="480"/>
          <w:marRight w:val="0"/>
          <w:marTop w:val="0"/>
          <w:marBottom w:val="0"/>
          <w:divBdr>
            <w:top w:val="none" w:sz="0" w:space="0" w:color="auto"/>
            <w:left w:val="none" w:sz="0" w:space="0" w:color="auto"/>
            <w:bottom w:val="none" w:sz="0" w:space="0" w:color="auto"/>
            <w:right w:val="none" w:sz="0" w:space="0" w:color="auto"/>
          </w:divBdr>
        </w:div>
        <w:div w:id="1293440826">
          <w:marLeft w:val="480"/>
          <w:marRight w:val="0"/>
          <w:marTop w:val="0"/>
          <w:marBottom w:val="0"/>
          <w:divBdr>
            <w:top w:val="none" w:sz="0" w:space="0" w:color="auto"/>
            <w:left w:val="none" w:sz="0" w:space="0" w:color="auto"/>
            <w:bottom w:val="none" w:sz="0" w:space="0" w:color="auto"/>
            <w:right w:val="none" w:sz="0" w:space="0" w:color="auto"/>
          </w:divBdr>
        </w:div>
        <w:div w:id="185025040">
          <w:marLeft w:val="480"/>
          <w:marRight w:val="0"/>
          <w:marTop w:val="0"/>
          <w:marBottom w:val="0"/>
          <w:divBdr>
            <w:top w:val="none" w:sz="0" w:space="0" w:color="auto"/>
            <w:left w:val="none" w:sz="0" w:space="0" w:color="auto"/>
            <w:bottom w:val="none" w:sz="0" w:space="0" w:color="auto"/>
            <w:right w:val="none" w:sz="0" w:space="0" w:color="auto"/>
          </w:divBdr>
        </w:div>
        <w:div w:id="1100028996">
          <w:marLeft w:val="480"/>
          <w:marRight w:val="0"/>
          <w:marTop w:val="0"/>
          <w:marBottom w:val="0"/>
          <w:divBdr>
            <w:top w:val="none" w:sz="0" w:space="0" w:color="auto"/>
            <w:left w:val="none" w:sz="0" w:space="0" w:color="auto"/>
            <w:bottom w:val="none" w:sz="0" w:space="0" w:color="auto"/>
            <w:right w:val="none" w:sz="0" w:space="0" w:color="auto"/>
          </w:divBdr>
        </w:div>
        <w:div w:id="2035887442">
          <w:marLeft w:val="480"/>
          <w:marRight w:val="0"/>
          <w:marTop w:val="0"/>
          <w:marBottom w:val="0"/>
          <w:divBdr>
            <w:top w:val="none" w:sz="0" w:space="0" w:color="auto"/>
            <w:left w:val="none" w:sz="0" w:space="0" w:color="auto"/>
            <w:bottom w:val="none" w:sz="0" w:space="0" w:color="auto"/>
            <w:right w:val="none" w:sz="0" w:space="0" w:color="auto"/>
          </w:divBdr>
        </w:div>
        <w:div w:id="1468207637">
          <w:marLeft w:val="480"/>
          <w:marRight w:val="0"/>
          <w:marTop w:val="0"/>
          <w:marBottom w:val="0"/>
          <w:divBdr>
            <w:top w:val="none" w:sz="0" w:space="0" w:color="auto"/>
            <w:left w:val="none" w:sz="0" w:space="0" w:color="auto"/>
            <w:bottom w:val="none" w:sz="0" w:space="0" w:color="auto"/>
            <w:right w:val="none" w:sz="0" w:space="0" w:color="auto"/>
          </w:divBdr>
        </w:div>
        <w:div w:id="1070810215">
          <w:marLeft w:val="480"/>
          <w:marRight w:val="0"/>
          <w:marTop w:val="0"/>
          <w:marBottom w:val="0"/>
          <w:divBdr>
            <w:top w:val="none" w:sz="0" w:space="0" w:color="auto"/>
            <w:left w:val="none" w:sz="0" w:space="0" w:color="auto"/>
            <w:bottom w:val="none" w:sz="0" w:space="0" w:color="auto"/>
            <w:right w:val="none" w:sz="0" w:space="0" w:color="auto"/>
          </w:divBdr>
        </w:div>
        <w:div w:id="2080054439">
          <w:marLeft w:val="480"/>
          <w:marRight w:val="0"/>
          <w:marTop w:val="0"/>
          <w:marBottom w:val="0"/>
          <w:divBdr>
            <w:top w:val="none" w:sz="0" w:space="0" w:color="auto"/>
            <w:left w:val="none" w:sz="0" w:space="0" w:color="auto"/>
            <w:bottom w:val="none" w:sz="0" w:space="0" w:color="auto"/>
            <w:right w:val="none" w:sz="0" w:space="0" w:color="auto"/>
          </w:divBdr>
        </w:div>
        <w:div w:id="600988482">
          <w:marLeft w:val="480"/>
          <w:marRight w:val="0"/>
          <w:marTop w:val="0"/>
          <w:marBottom w:val="0"/>
          <w:divBdr>
            <w:top w:val="none" w:sz="0" w:space="0" w:color="auto"/>
            <w:left w:val="none" w:sz="0" w:space="0" w:color="auto"/>
            <w:bottom w:val="none" w:sz="0" w:space="0" w:color="auto"/>
            <w:right w:val="none" w:sz="0" w:space="0" w:color="auto"/>
          </w:divBdr>
        </w:div>
        <w:div w:id="1189223951">
          <w:marLeft w:val="480"/>
          <w:marRight w:val="0"/>
          <w:marTop w:val="0"/>
          <w:marBottom w:val="0"/>
          <w:divBdr>
            <w:top w:val="none" w:sz="0" w:space="0" w:color="auto"/>
            <w:left w:val="none" w:sz="0" w:space="0" w:color="auto"/>
            <w:bottom w:val="none" w:sz="0" w:space="0" w:color="auto"/>
            <w:right w:val="none" w:sz="0" w:space="0" w:color="auto"/>
          </w:divBdr>
        </w:div>
        <w:div w:id="1879392588">
          <w:marLeft w:val="480"/>
          <w:marRight w:val="0"/>
          <w:marTop w:val="0"/>
          <w:marBottom w:val="0"/>
          <w:divBdr>
            <w:top w:val="none" w:sz="0" w:space="0" w:color="auto"/>
            <w:left w:val="none" w:sz="0" w:space="0" w:color="auto"/>
            <w:bottom w:val="none" w:sz="0" w:space="0" w:color="auto"/>
            <w:right w:val="none" w:sz="0" w:space="0" w:color="auto"/>
          </w:divBdr>
        </w:div>
        <w:div w:id="571693916">
          <w:marLeft w:val="480"/>
          <w:marRight w:val="0"/>
          <w:marTop w:val="0"/>
          <w:marBottom w:val="0"/>
          <w:divBdr>
            <w:top w:val="none" w:sz="0" w:space="0" w:color="auto"/>
            <w:left w:val="none" w:sz="0" w:space="0" w:color="auto"/>
            <w:bottom w:val="none" w:sz="0" w:space="0" w:color="auto"/>
            <w:right w:val="none" w:sz="0" w:space="0" w:color="auto"/>
          </w:divBdr>
        </w:div>
        <w:div w:id="225143314">
          <w:marLeft w:val="480"/>
          <w:marRight w:val="0"/>
          <w:marTop w:val="0"/>
          <w:marBottom w:val="0"/>
          <w:divBdr>
            <w:top w:val="none" w:sz="0" w:space="0" w:color="auto"/>
            <w:left w:val="none" w:sz="0" w:space="0" w:color="auto"/>
            <w:bottom w:val="none" w:sz="0" w:space="0" w:color="auto"/>
            <w:right w:val="none" w:sz="0" w:space="0" w:color="auto"/>
          </w:divBdr>
        </w:div>
        <w:div w:id="2057965339">
          <w:marLeft w:val="480"/>
          <w:marRight w:val="0"/>
          <w:marTop w:val="0"/>
          <w:marBottom w:val="0"/>
          <w:divBdr>
            <w:top w:val="none" w:sz="0" w:space="0" w:color="auto"/>
            <w:left w:val="none" w:sz="0" w:space="0" w:color="auto"/>
            <w:bottom w:val="none" w:sz="0" w:space="0" w:color="auto"/>
            <w:right w:val="none" w:sz="0" w:space="0" w:color="auto"/>
          </w:divBdr>
        </w:div>
        <w:div w:id="32079297">
          <w:marLeft w:val="480"/>
          <w:marRight w:val="0"/>
          <w:marTop w:val="0"/>
          <w:marBottom w:val="0"/>
          <w:divBdr>
            <w:top w:val="none" w:sz="0" w:space="0" w:color="auto"/>
            <w:left w:val="none" w:sz="0" w:space="0" w:color="auto"/>
            <w:bottom w:val="none" w:sz="0" w:space="0" w:color="auto"/>
            <w:right w:val="none" w:sz="0" w:space="0" w:color="auto"/>
          </w:divBdr>
        </w:div>
        <w:div w:id="606084663">
          <w:marLeft w:val="480"/>
          <w:marRight w:val="0"/>
          <w:marTop w:val="0"/>
          <w:marBottom w:val="0"/>
          <w:divBdr>
            <w:top w:val="none" w:sz="0" w:space="0" w:color="auto"/>
            <w:left w:val="none" w:sz="0" w:space="0" w:color="auto"/>
            <w:bottom w:val="none" w:sz="0" w:space="0" w:color="auto"/>
            <w:right w:val="none" w:sz="0" w:space="0" w:color="auto"/>
          </w:divBdr>
        </w:div>
        <w:div w:id="844787538">
          <w:marLeft w:val="480"/>
          <w:marRight w:val="0"/>
          <w:marTop w:val="0"/>
          <w:marBottom w:val="0"/>
          <w:divBdr>
            <w:top w:val="none" w:sz="0" w:space="0" w:color="auto"/>
            <w:left w:val="none" w:sz="0" w:space="0" w:color="auto"/>
            <w:bottom w:val="none" w:sz="0" w:space="0" w:color="auto"/>
            <w:right w:val="none" w:sz="0" w:space="0" w:color="auto"/>
          </w:divBdr>
        </w:div>
        <w:div w:id="1544369599">
          <w:marLeft w:val="480"/>
          <w:marRight w:val="0"/>
          <w:marTop w:val="0"/>
          <w:marBottom w:val="0"/>
          <w:divBdr>
            <w:top w:val="none" w:sz="0" w:space="0" w:color="auto"/>
            <w:left w:val="none" w:sz="0" w:space="0" w:color="auto"/>
            <w:bottom w:val="none" w:sz="0" w:space="0" w:color="auto"/>
            <w:right w:val="none" w:sz="0" w:space="0" w:color="auto"/>
          </w:divBdr>
        </w:div>
        <w:div w:id="2086563557">
          <w:marLeft w:val="480"/>
          <w:marRight w:val="0"/>
          <w:marTop w:val="0"/>
          <w:marBottom w:val="0"/>
          <w:divBdr>
            <w:top w:val="none" w:sz="0" w:space="0" w:color="auto"/>
            <w:left w:val="none" w:sz="0" w:space="0" w:color="auto"/>
            <w:bottom w:val="none" w:sz="0" w:space="0" w:color="auto"/>
            <w:right w:val="none" w:sz="0" w:space="0" w:color="auto"/>
          </w:divBdr>
        </w:div>
        <w:div w:id="1433284897">
          <w:marLeft w:val="480"/>
          <w:marRight w:val="0"/>
          <w:marTop w:val="0"/>
          <w:marBottom w:val="0"/>
          <w:divBdr>
            <w:top w:val="none" w:sz="0" w:space="0" w:color="auto"/>
            <w:left w:val="none" w:sz="0" w:space="0" w:color="auto"/>
            <w:bottom w:val="none" w:sz="0" w:space="0" w:color="auto"/>
            <w:right w:val="none" w:sz="0" w:space="0" w:color="auto"/>
          </w:divBdr>
        </w:div>
        <w:div w:id="1625041854">
          <w:marLeft w:val="480"/>
          <w:marRight w:val="0"/>
          <w:marTop w:val="0"/>
          <w:marBottom w:val="0"/>
          <w:divBdr>
            <w:top w:val="none" w:sz="0" w:space="0" w:color="auto"/>
            <w:left w:val="none" w:sz="0" w:space="0" w:color="auto"/>
            <w:bottom w:val="none" w:sz="0" w:space="0" w:color="auto"/>
            <w:right w:val="none" w:sz="0" w:space="0" w:color="auto"/>
          </w:divBdr>
        </w:div>
        <w:div w:id="1442652008">
          <w:marLeft w:val="480"/>
          <w:marRight w:val="0"/>
          <w:marTop w:val="0"/>
          <w:marBottom w:val="0"/>
          <w:divBdr>
            <w:top w:val="none" w:sz="0" w:space="0" w:color="auto"/>
            <w:left w:val="none" w:sz="0" w:space="0" w:color="auto"/>
            <w:bottom w:val="none" w:sz="0" w:space="0" w:color="auto"/>
            <w:right w:val="none" w:sz="0" w:space="0" w:color="auto"/>
          </w:divBdr>
        </w:div>
        <w:div w:id="28771121">
          <w:marLeft w:val="480"/>
          <w:marRight w:val="0"/>
          <w:marTop w:val="0"/>
          <w:marBottom w:val="0"/>
          <w:divBdr>
            <w:top w:val="none" w:sz="0" w:space="0" w:color="auto"/>
            <w:left w:val="none" w:sz="0" w:space="0" w:color="auto"/>
            <w:bottom w:val="none" w:sz="0" w:space="0" w:color="auto"/>
            <w:right w:val="none" w:sz="0" w:space="0" w:color="auto"/>
          </w:divBdr>
        </w:div>
        <w:div w:id="128940576">
          <w:marLeft w:val="480"/>
          <w:marRight w:val="0"/>
          <w:marTop w:val="0"/>
          <w:marBottom w:val="0"/>
          <w:divBdr>
            <w:top w:val="none" w:sz="0" w:space="0" w:color="auto"/>
            <w:left w:val="none" w:sz="0" w:space="0" w:color="auto"/>
            <w:bottom w:val="none" w:sz="0" w:space="0" w:color="auto"/>
            <w:right w:val="none" w:sz="0" w:space="0" w:color="auto"/>
          </w:divBdr>
        </w:div>
        <w:div w:id="1289970515">
          <w:marLeft w:val="480"/>
          <w:marRight w:val="0"/>
          <w:marTop w:val="0"/>
          <w:marBottom w:val="0"/>
          <w:divBdr>
            <w:top w:val="none" w:sz="0" w:space="0" w:color="auto"/>
            <w:left w:val="none" w:sz="0" w:space="0" w:color="auto"/>
            <w:bottom w:val="none" w:sz="0" w:space="0" w:color="auto"/>
            <w:right w:val="none" w:sz="0" w:space="0" w:color="auto"/>
          </w:divBdr>
        </w:div>
        <w:div w:id="487593748">
          <w:marLeft w:val="480"/>
          <w:marRight w:val="0"/>
          <w:marTop w:val="0"/>
          <w:marBottom w:val="0"/>
          <w:divBdr>
            <w:top w:val="none" w:sz="0" w:space="0" w:color="auto"/>
            <w:left w:val="none" w:sz="0" w:space="0" w:color="auto"/>
            <w:bottom w:val="none" w:sz="0" w:space="0" w:color="auto"/>
            <w:right w:val="none" w:sz="0" w:space="0" w:color="auto"/>
          </w:divBdr>
        </w:div>
        <w:div w:id="1045720199">
          <w:marLeft w:val="480"/>
          <w:marRight w:val="0"/>
          <w:marTop w:val="0"/>
          <w:marBottom w:val="0"/>
          <w:divBdr>
            <w:top w:val="none" w:sz="0" w:space="0" w:color="auto"/>
            <w:left w:val="none" w:sz="0" w:space="0" w:color="auto"/>
            <w:bottom w:val="none" w:sz="0" w:space="0" w:color="auto"/>
            <w:right w:val="none" w:sz="0" w:space="0" w:color="auto"/>
          </w:divBdr>
        </w:div>
        <w:div w:id="307629846">
          <w:marLeft w:val="480"/>
          <w:marRight w:val="0"/>
          <w:marTop w:val="0"/>
          <w:marBottom w:val="0"/>
          <w:divBdr>
            <w:top w:val="none" w:sz="0" w:space="0" w:color="auto"/>
            <w:left w:val="none" w:sz="0" w:space="0" w:color="auto"/>
            <w:bottom w:val="none" w:sz="0" w:space="0" w:color="auto"/>
            <w:right w:val="none" w:sz="0" w:space="0" w:color="auto"/>
          </w:divBdr>
        </w:div>
        <w:div w:id="1718553962">
          <w:marLeft w:val="480"/>
          <w:marRight w:val="0"/>
          <w:marTop w:val="0"/>
          <w:marBottom w:val="0"/>
          <w:divBdr>
            <w:top w:val="none" w:sz="0" w:space="0" w:color="auto"/>
            <w:left w:val="none" w:sz="0" w:space="0" w:color="auto"/>
            <w:bottom w:val="none" w:sz="0" w:space="0" w:color="auto"/>
            <w:right w:val="none" w:sz="0" w:space="0" w:color="auto"/>
          </w:divBdr>
        </w:div>
        <w:div w:id="1482885940">
          <w:marLeft w:val="480"/>
          <w:marRight w:val="0"/>
          <w:marTop w:val="0"/>
          <w:marBottom w:val="0"/>
          <w:divBdr>
            <w:top w:val="none" w:sz="0" w:space="0" w:color="auto"/>
            <w:left w:val="none" w:sz="0" w:space="0" w:color="auto"/>
            <w:bottom w:val="none" w:sz="0" w:space="0" w:color="auto"/>
            <w:right w:val="none" w:sz="0" w:space="0" w:color="auto"/>
          </w:divBdr>
        </w:div>
        <w:div w:id="1897006465">
          <w:marLeft w:val="480"/>
          <w:marRight w:val="0"/>
          <w:marTop w:val="0"/>
          <w:marBottom w:val="0"/>
          <w:divBdr>
            <w:top w:val="none" w:sz="0" w:space="0" w:color="auto"/>
            <w:left w:val="none" w:sz="0" w:space="0" w:color="auto"/>
            <w:bottom w:val="none" w:sz="0" w:space="0" w:color="auto"/>
            <w:right w:val="none" w:sz="0" w:space="0" w:color="auto"/>
          </w:divBdr>
        </w:div>
        <w:div w:id="734396823">
          <w:marLeft w:val="480"/>
          <w:marRight w:val="0"/>
          <w:marTop w:val="0"/>
          <w:marBottom w:val="0"/>
          <w:divBdr>
            <w:top w:val="none" w:sz="0" w:space="0" w:color="auto"/>
            <w:left w:val="none" w:sz="0" w:space="0" w:color="auto"/>
            <w:bottom w:val="none" w:sz="0" w:space="0" w:color="auto"/>
            <w:right w:val="none" w:sz="0" w:space="0" w:color="auto"/>
          </w:divBdr>
        </w:div>
        <w:div w:id="443307322">
          <w:marLeft w:val="480"/>
          <w:marRight w:val="0"/>
          <w:marTop w:val="0"/>
          <w:marBottom w:val="0"/>
          <w:divBdr>
            <w:top w:val="none" w:sz="0" w:space="0" w:color="auto"/>
            <w:left w:val="none" w:sz="0" w:space="0" w:color="auto"/>
            <w:bottom w:val="none" w:sz="0" w:space="0" w:color="auto"/>
            <w:right w:val="none" w:sz="0" w:space="0" w:color="auto"/>
          </w:divBdr>
        </w:div>
        <w:div w:id="562713827">
          <w:marLeft w:val="480"/>
          <w:marRight w:val="0"/>
          <w:marTop w:val="0"/>
          <w:marBottom w:val="0"/>
          <w:divBdr>
            <w:top w:val="none" w:sz="0" w:space="0" w:color="auto"/>
            <w:left w:val="none" w:sz="0" w:space="0" w:color="auto"/>
            <w:bottom w:val="none" w:sz="0" w:space="0" w:color="auto"/>
            <w:right w:val="none" w:sz="0" w:space="0" w:color="auto"/>
          </w:divBdr>
        </w:div>
        <w:div w:id="1456219566">
          <w:marLeft w:val="480"/>
          <w:marRight w:val="0"/>
          <w:marTop w:val="0"/>
          <w:marBottom w:val="0"/>
          <w:divBdr>
            <w:top w:val="none" w:sz="0" w:space="0" w:color="auto"/>
            <w:left w:val="none" w:sz="0" w:space="0" w:color="auto"/>
            <w:bottom w:val="none" w:sz="0" w:space="0" w:color="auto"/>
            <w:right w:val="none" w:sz="0" w:space="0" w:color="auto"/>
          </w:divBdr>
        </w:div>
        <w:div w:id="1949656704">
          <w:marLeft w:val="480"/>
          <w:marRight w:val="0"/>
          <w:marTop w:val="0"/>
          <w:marBottom w:val="0"/>
          <w:divBdr>
            <w:top w:val="none" w:sz="0" w:space="0" w:color="auto"/>
            <w:left w:val="none" w:sz="0" w:space="0" w:color="auto"/>
            <w:bottom w:val="none" w:sz="0" w:space="0" w:color="auto"/>
            <w:right w:val="none" w:sz="0" w:space="0" w:color="auto"/>
          </w:divBdr>
        </w:div>
        <w:div w:id="1603758116">
          <w:marLeft w:val="480"/>
          <w:marRight w:val="0"/>
          <w:marTop w:val="0"/>
          <w:marBottom w:val="0"/>
          <w:divBdr>
            <w:top w:val="none" w:sz="0" w:space="0" w:color="auto"/>
            <w:left w:val="none" w:sz="0" w:space="0" w:color="auto"/>
            <w:bottom w:val="none" w:sz="0" w:space="0" w:color="auto"/>
            <w:right w:val="none" w:sz="0" w:space="0" w:color="auto"/>
          </w:divBdr>
        </w:div>
        <w:div w:id="1923417199">
          <w:marLeft w:val="480"/>
          <w:marRight w:val="0"/>
          <w:marTop w:val="0"/>
          <w:marBottom w:val="0"/>
          <w:divBdr>
            <w:top w:val="none" w:sz="0" w:space="0" w:color="auto"/>
            <w:left w:val="none" w:sz="0" w:space="0" w:color="auto"/>
            <w:bottom w:val="none" w:sz="0" w:space="0" w:color="auto"/>
            <w:right w:val="none" w:sz="0" w:space="0" w:color="auto"/>
          </w:divBdr>
        </w:div>
        <w:div w:id="1099984532">
          <w:marLeft w:val="480"/>
          <w:marRight w:val="0"/>
          <w:marTop w:val="0"/>
          <w:marBottom w:val="0"/>
          <w:divBdr>
            <w:top w:val="none" w:sz="0" w:space="0" w:color="auto"/>
            <w:left w:val="none" w:sz="0" w:space="0" w:color="auto"/>
            <w:bottom w:val="none" w:sz="0" w:space="0" w:color="auto"/>
            <w:right w:val="none" w:sz="0" w:space="0" w:color="auto"/>
          </w:divBdr>
        </w:div>
        <w:div w:id="1587568325">
          <w:marLeft w:val="480"/>
          <w:marRight w:val="0"/>
          <w:marTop w:val="0"/>
          <w:marBottom w:val="0"/>
          <w:divBdr>
            <w:top w:val="none" w:sz="0" w:space="0" w:color="auto"/>
            <w:left w:val="none" w:sz="0" w:space="0" w:color="auto"/>
            <w:bottom w:val="none" w:sz="0" w:space="0" w:color="auto"/>
            <w:right w:val="none" w:sz="0" w:space="0" w:color="auto"/>
          </w:divBdr>
        </w:div>
        <w:div w:id="1569418949">
          <w:marLeft w:val="480"/>
          <w:marRight w:val="0"/>
          <w:marTop w:val="0"/>
          <w:marBottom w:val="0"/>
          <w:divBdr>
            <w:top w:val="none" w:sz="0" w:space="0" w:color="auto"/>
            <w:left w:val="none" w:sz="0" w:space="0" w:color="auto"/>
            <w:bottom w:val="none" w:sz="0" w:space="0" w:color="auto"/>
            <w:right w:val="none" w:sz="0" w:space="0" w:color="auto"/>
          </w:divBdr>
        </w:div>
        <w:div w:id="468085864">
          <w:marLeft w:val="480"/>
          <w:marRight w:val="0"/>
          <w:marTop w:val="0"/>
          <w:marBottom w:val="0"/>
          <w:divBdr>
            <w:top w:val="none" w:sz="0" w:space="0" w:color="auto"/>
            <w:left w:val="none" w:sz="0" w:space="0" w:color="auto"/>
            <w:bottom w:val="none" w:sz="0" w:space="0" w:color="auto"/>
            <w:right w:val="none" w:sz="0" w:space="0" w:color="auto"/>
          </w:divBdr>
        </w:div>
        <w:div w:id="233320370">
          <w:marLeft w:val="480"/>
          <w:marRight w:val="0"/>
          <w:marTop w:val="0"/>
          <w:marBottom w:val="0"/>
          <w:divBdr>
            <w:top w:val="none" w:sz="0" w:space="0" w:color="auto"/>
            <w:left w:val="none" w:sz="0" w:space="0" w:color="auto"/>
            <w:bottom w:val="none" w:sz="0" w:space="0" w:color="auto"/>
            <w:right w:val="none" w:sz="0" w:space="0" w:color="auto"/>
          </w:divBdr>
        </w:div>
        <w:div w:id="168524364">
          <w:marLeft w:val="480"/>
          <w:marRight w:val="0"/>
          <w:marTop w:val="0"/>
          <w:marBottom w:val="0"/>
          <w:divBdr>
            <w:top w:val="none" w:sz="0" w:space="0" w:color="auto"/>
            <w:left w:val="none" w:sz="0" w:space="0" w:color="auto"/>
            <w:bottom w:val="none" w:sz="0" w:space="0" w:color="auto"/>
            <w:right w:val="none" w:sz="0" w:space="0" w:color="auto"/>
          </w:divBdr>
        </w:div>
        <w:div w:id="181863005">
          <w:marLeft w:val="480"/>
          <w:marRight w:val="0"/>
          <w:marTop w:val="0"/>
          <w:marBottom w:val="0"/>
          <w:divBdr>
            <w:top w:val="none" w:sz="0" w:space="0" w:color="auto"/>
            <w:left w:val="none" w:sz="0" w:space="0" w:color="auto"/>
            <w:bottom w:val="none" w:sz="0" w:space="0" w:color="auto"/>
            <w:right w:val="none" w:sz="0" w:space="0" w:color="auto"/>
          </w:divBdr>
        </w:div>
        <w:div w:id="62486690">
          <w:marLeft w:val="480"/>
          <w:marRight w:val="0"/>
          <w:marTop w:val="0"/>
          <w:marBottom w:val="0"/>
          <w:divBdr>
            <w:top w:val="none" w:sz="0" w:space="0" w:color="auto"/>
            <w:left w:val="none" w:sz="0" w:space="0" w:color="auto"/>
            <w:bottom w:val="none" w:sz="0" w:space="0" w:color="auto"/>
            <w:right w:val="none" w:sz="0" w:space="0" w:color="auto"/>
          </w:divBdr>
        </w:div>
        <w:div w:id="817962475">
          <w:marLeft w:val="480"/>
          <w:marRight w:val="0"/>
          <w:marTop w:val="0"/>
          <w:marBottom w:val="0"/>
          <w:divBdr>
            <w:top w:val="none" w:sz="0" w:space="0" w:color="auto"/>
            <w:left w:val="none" w:sz="0" w:space="0" w:color="auto"/>
            <w:bottom w:val="none" w:sz="0" w:space="0" w:color="auto"/>
            <w:right w:val="none" w:sz="0" w:space="0" w:color="auto"/>
          </w:divBdr>
        </w:div>
        <w:div w:id="1007826915">
          <w:marLeft w:val="480"/>
          <w:marRight w:val="0"/>
          <w:marTop w:val="0"/>
          <w:marBottom w:val="0"/>
          <w:divBdr>
            <w:top w:val="none" w:sz="0" w:space="0" w:color="auto"/>
            <w:left w:val="none" w:sz="0" w:space="0" w:color="auto"/>
            <w:bottom w:val="none" w:sz="0" w:space="0" w:color="auto"/>
            <w:right w:val="none" w:sz="0" w:space="0" w:color="auto"/>
          </w:divBdr>
        </w:div>
        <w:div w:id="751126954">
          <w:marLeft w:val="480"/>
          <w:marRight w:val="0"/>
          <w:marTop w:val="0"/>
          <w:marBottom w:val="0"/>
          <w:divBdr>
            <w:top w:val="none" w:sz="0" w:space="0" w:color="auto"/>
            <w:left w:val="none" w:sz="0" w:space="0" w:color="auto"/>
            <w:bottom w:val="none" w:sz="0" w:space="0" w:color="auto"/>
            <w:right w:val="none" w:sz="0" w:space="0" w:color="auto"/>
          </w:divBdr>
        </w:div>
        <w:div w:id="1361201815">
          <w:marLeft w:val="480"/>
          <w:marRight w:val="0"/>
          <w:marTop w:val="0"/>
          <w:marBottom w:val="0"/>
          <w:divBdr>
            <w:top w:val="none" w:sz="0" w:space="0" w:color="auto"/>
            <w:left w:val="none" w:sz="0" w:space="0" w:color="auto"/>
            <w:bottom w:val="none" w:sz="0" w:space="0" w:color="auto"/>
            <w:right w:val="none" w:sz="0" w:space="0" w:color="auto"/>
          </w:divBdr>
        </w:div>
        <w:div w:id="1559632235">
          <w:marLeft w:val="480"/>
          <w:marRight w:val="0"/>
          <w:marTop w:val="0"/>
          <w:marBottom w:val="0"/>
          <w:divBdr>
            <w:top w:val="none" w:sz="0" w:space="0" w:color="auto"/>
            <w:left w:val="none" w:sz="0" w:space="0" w:color="auto"/>
            <w:bottom w:val="none" w:sz="0" w:space="0" w:color="auto"/>
            <w:right w:val="none" w:sz="0" w:space="0" w:color="auto"/>
          </w:divBdr>
        </w:div>
        <w:div w:id="1158227917">
          <w:marLeft w:val="480"/>
          <w:marRight w:val="0"/>
          <w:marTop w:val="0"/>
          <w:marBottom w:val="0"/>
          <w:divBdr>
            <w:top w:val="none" w:sz="0" w:space="0" w:color="auto"/>
            <w:left w:val="none" w:sz="0" w:space="0" w:color="auto"/>
            <w:bottom w:val="none" w:sz="0" w:space="0" w:color="auto"/>
            <w:right w:val="none" w:sz="0" w:space="0" w:color="auto"/>
          </w:divBdr>
        </w:div>
        <w:div w:id="1576553174">
          <w:marLeft w:val="480"/>
          <w:marRight w:val="0"/>
          <w:marTop w:val="0"/>
          <w:marBottom w:val="0"/>
          <w:divBdr>
            <w:top w:val="none" w:sz="0" w:space="0" w:color="auto"/>
            <w:left w:val="none" w:sz="0" w:space="0" w:color="auto"/>
            <w:bottom w:val="none" w:sz="0" w:space="0" w:color="auto"/>
            <w:right w:val="none" w:sz="0" w:space="0" w:color="auto"/>
          </w:divBdr>
        </w:div>
        <w:div w:id="2112581134">
          <w:marLeft w:val="480"/>
          <w:marRight w:val="0"/>
          <w:marTop w:val="0"/>
          <w:marBottom w:val="0"/>
          <w:divBdr>
            <w:top w:val="none" w:sz="0" w:space="0" w:color="auto"/>
            <w:left w:val="none" w:sz="0" w:space="0" w:color="auto"/>
            <w:bottom w:val="none" w:sz="0" w:space="0" w:color="auto"/>
            <w:right w:val="none" w:sz="0" w:space="0" w:color="auto"/>
          </w:divBdr>
        </w:div>
        <w:div w:id="57016453">
          <w:marLeft w:val="480"/>
          <w:marRight w:val="0"/>
          <w:marTop w:val="0"/>
          <w:marBottom w:val="0"/>
          <w:divBdr>
            <w:top w:val="none" w:sz="0" w:space="0" w:color="auto"/>
            <w:left w:val="none" w:sz="0" w:space="0" w:color="auto"/>
            <w:bottom w:val="none" w:sz="0" w:space="0" w:color="auto"/>
            <w:right w:val="none" w:sz="0" w:space="0" w:color="auto"/>
          </w:divBdr>
        </w:div>
        <w:div w:id="621379045">
          <w:marLeft w:val="480"/>
          <w:marRight w:val="0"/>
          <w:marTop w:val="0"/>
          <w:marBottom w:val="0"/>
          <w:divBdr>
            <w:top w:val="none" w:sz="0" w:space="0" w:color="auto"/>
            <w:left w:val="none" w:sz="0" w:space="0" w:color="auto"/>
            <w:bottom w:val="none" w:sz="0" w:space="0" w:color="auto"/>
            <w:right w:val="none" w:sz="0" w:space="0" w:color="auto"/>
          </w:divBdr>
        </w:div>
        <w:div w:id="1167790433">
          <w:marLeft w:val="480"/>
          <w:marRight w:val="0"/>
          <w:marTop w:val="0"/>
          <w:marBottom w:val="0"/>
          <w:divBdr>
            <w:top w:val="none" w:sz="0" w:space="0" w:color="auto"/>
            <w:left w:val="none" w:sz="0" w:space="0" w:color="auto"/>
            <w:bottom w:val="none" w:sz="0" w:space="0" w:color="auto"/>
            <w:right w:val="none" w:sz="0" w:space="0" w:color="auto"/>
          </w:divBdr>
        </w:div>
        <w:div w:id="1454591590">
          <w:marLeft w:val="480"/>
          <w:marRight w:val="0"/>
          <w:marTop w:val="0"/>
          <w:marBottom w:val="0"/>
          <w:divBdr>
            <w:top w:val="none" w:sz="0" w:space="0" w:color="auto"/>
            <w:left w:val="none" w:sz="0" w:space="0" w:color="auto"/>
            <w:bottom w:val="none" w:sz="0" w:space="0" w:color="auto"/>
            <w:right w:val="none" w:sz="0" w:space="0" w:color="auto"/>
          </w:divBdr>
        </w:div>
        <w:div w:id="715349499">
          <w:marLeft w:val="480"/>
          <w:marRight w:val="0"/>
          <w:marTop w:val="0"/>
          <w:marBottom w:val="0"/>
          <w:divBdr>
            <w:top w:val="none" w:sz="0" w:space="0" w:color="auto"/>
            <w:left w:val="none" w:sz="0" w:space="0" w:color="auto"/>
            <w:bottom w:val="none" w:sz="0" w:space="0" w:color="auto"/>
            <w:right w:val="none" w:sz="0" w:space="0" w:color="auto"/>
          </w:divBdr>
        </w:div>
        <w:div w:id="528490386">
          <w:marLeft w:val="480"/>
          <w:marRight w:val="0"/>
          <w:marTop w:val="0"/>
          <w:marBottom w:val="0"/>
          <w:divBdr>
            <w:top w:val="none" w:sz="0" w:space="0" w:color="auto"/>
            <w:left w:val="none" w:sz="0" w:space="0" w:color="auto"/>
            <w:bottom w:val="none" w:sz="0" w:space="0" w:color="auto"/>
            <w:right w:val="none" w:sz="0" w:space="0" w:color="auto"/>
          </w:divBdr>
        </w:div>
        <w:div w:id="1004672255">
          <w:marLeft w:val="480"/>
          <w:marRight w:val="0"/>
          <w:marTop w:val="0"/>
          <w:marBottom w:val="0"/>
          <w:divBdr>
            <w:top w:val="none" w:sz="0" w:space="0" w:color="auto"/>
            <w:left w:val="none" w:sz="0" w:space="0" w:color="auto"/>
            <w:bottom w:val="none" w:sz="0" w:space="0" w:color="auto"/>
            <w:right w:val="none" w:sz="0" w:space="0" w:color="auto"/>
          </w:divBdr>
        </w:div>
        <w:div w:id="2090731058">
          <w:marLeft w:val="480"/>
          <w:marRight w:val="0"/>
          <w:marTop w:val="0"/>
          <w:marBottom w:val="0"/>
          <w:divBdr>
            <w:top w:val="none" w:sz="0" w:space="0" w:color="auto"/>
            <w:left w:val="none" w:sz="0" w:space="0" w:color="auto"/>
            <w:bottom w:val="none" w:sz="0" w:space="0" w:color="auto"/>
            <w:right w:val="none" w:sz="0" w:space="0" w:color="auto"/>
          </w:divBdr>
        </w:div>
        <w:div w:id="524945932">
          <w:marLeft w:val="480"/>
          <w:marRight w:val="0"/>
          <w:marTop w:val="0"/>
          <w:marBottom w:val="0"/>
          <w:divBdr>
            <w:top w:val="none" w:sz="0" w:space="0" w:color="auto"/>
            <w:left w:val="none" w:sz="0" w:space="0" w:color="auto"/>
            <w:bottom w:val="none" w:sz="0" w:space="0" w:color="auto"/>
            <w:right w:val="none" w:sz="0" w:space="0" w:color="auto"/>
          </w:divBdr>
        </w:div>
        <w:div w:id="1657688194">
          <w:marLeft w:val="480"/>
          <w:marRight w:val="0"/>
          <w:marTop w:val="0"/>
          <w:marBottom w:val="0"/>
          <w:divBdr>
            <w:top w:val="none" w:sz="0" w:space="0" w:color="auto"/>
            <w:left w:val="none" w:sz="0" w:space="0" w:color="auto"/>
            <w:bottom w:val="none" w:sz="0" w:space="0" w:color="auto"/>
            <w:right w:val="none" w:sz="0" w:space="0" w:color="auto"/>
          </w:divBdr>
        </w:div>
        <w:div w:id="943609093">
          <w:marLeft w:val="480"/>
          <w:marRight w:val="0"/>
          <w:marTop w:val="0"/>
          <w:marBottom w:val="0"/>
          <w:divBdr>
            <w:top w:val="none" w:sz="0" w:space="0" w:color="auto"/>
            <w:left w:val="none" w:sz="0" w:space="0" w:color="auto"/>
            <w:bottom w:val="none" w:sz="0" w:space="0" w:color="auto"/>
            <w:right w:val="none" w:sz="0" w:space="0" w:color="auto"/>
          </w:divBdr>
        </w:div>
        <w:div w:id="892234169">
          <w:marLeft w:val="480"/>
          <w:marRight w:val="0"/>
          <w:marTop w:val="0"/>
          <w:marBottom w:val="0"/>
          <w:divBdr>
            <w:top w:val="none" w:sz="0" w:space="0" w:color="auto"/>
            <w:left w:val="none" w:sz="0" w:space="0" w:color="auto"/>
            <w:bottom w:val="none" w:sz="0" w:space="0" w:color="auto"/>
            <w:right w:val="none" w:sz="0" w:space="0" w:color="auto"/>
          </w:divBdr>
        </w:div>
        <w:div w:id="766970317">
          <w:marLeft w:val="480"/>
          <w:marRight w:val="0"/>
          <w:marTop w:val="0"/>
          <w:marBottom w:val="0"/>
          <w:divBdr>
            <w:top w:val="none" w:sz="0" w:space="0" w:color="auto"/>
            <w:left w:val="none" w:sz="0" w:space="0" w:color="auto"/>
            <w:bottom w:val="none" w:sz="0" w:space="0" w:color="auto"/>
            <w:right w:val="none" w:sz="0" w:space="0" w:color="auto"/>
          </w:divBdr>
        </w:div>
        <w:div w:id="634990230">
          <w:marLeft w:val="480"/>
          <w:marRight w:val="0"/>
          <w:marTop w:val="0"/>
          <w:marBottom w:val="0"/>
          <w:divBdr>
            <w:top w:val="none" w:sz="0" w:space="0" w:color="auto"/>
            <w:left w:val="none" w:sz="0" w:space="0" w:color="auto"/>
            <w:bottom w:val="none" w:sz="0" w:space="0" w:color="auto"/>
            <w:right w:val="none" w:sz="0" w:space="0" w:color="auto"/>
          </w:divBdr>
        </w:div>
        <w:div w:id="1223057348">
          <w:marLeft w:val="480"/>
          <w:marRight w:val="0"/>
          <w:marTop w:val="0"/>
          <w:marBottom w:val="0"/>
          <w:divBdr>
            <w:top w:val="none" w:sz="0" w:space="0" w:color="auto"/>
            <w:left w:val="none" w:sz="0" w:space="0" w:color="auto"/>
            <w:bottom w:val="none" w:sz="0" w:space="0" w:color="auto"/>
            <w:right w:val="none" w:sz="0" w:space="0" w:color="auto"/>
          </w:divBdr>
        </w:div>
        <w:div w:id="315063778">
          <w:marLeft w:val="480"/>
          <w:marRight w:val="0"/>
          <w:marTop w:val="0"/>
          <w:marBottom w:val="0"/>
          <w:divBdr>
            <w:top w:val="none" w:sz="0" w:space="0" w:color="auto"/>
            <w:left w:val="none" w:sz="0" w:space="0" w:color="auto"/>
            <w:bottom w:val="none" w:sz="0" w:space="0" w:color="auto"/>
            <w:right w:val="none" w:sz="0" w:space="0" w:color="auto"/>
          </w:divBdr>
        </w:div>
        <w:div w:id="72701552">
          <w:marLeft w:val="480"/>
          <w:marRight w:val="0"/>
          <w:marTop w:val="0"/>
          <w:marBottom w:val="0"/>
          <w:divBdr>
            <w:top w:val="none" w:sz="0" w:space="0" w:color="auto"/>
            <w:left w:val="none" w:sz="0" w:space="0" w:color="auto"/>
            <w:bottom w:val="none" w:sz="0" w:space="0" w:color="auto"/>
            <w:right w:val="none" w:sz="0" w:space="0" w:color="auto"/>
          </w:divBdr>
        </w:div>
        <w:div w:id="39868646">
          <w:marLeft w:val="480"/>
          <w:marRight w:val="0"/>
          <w:marTop w:val="0"/>
          <w:marBottom w:val="0"/>
          <w:divBdr>
            <w:top w:val="none" w:sz="0" w:space="0" w:color="auto"/>
            <w:left w:val="none" w:sz="0" w:space="0" w:color="auto"/>
            <w:bottom w:val="none" w:sz="0" w:space="0" w:color="auto"/>
            <w:right w:val="none" w:sz="0" w:space="0" w:color="auto"/>
          </w:divBdr>
        </w:div>
        <w:div w:id="1313558464">
          <w:marLeft w:val="480"/>
          <w:marRight w:val="0"/>
          <w:marTop w:val="0"/>
          <w:marBottom w:val="0"/>
          <w:divBdr>
            <w:top w:val="none" w:sz="0" w:space="0" w:color="auto"/>
            <w:left w:val="none" w:sz="0" w:space="0" w:color="auto"/>
            <w:bottom w:val="none" w:sz="0" w:space="0" w:color="auto"/>
            <w:right w:val="none" w:sz="0" w:space="0" w:color="auto"/>
          </w:divBdr>
        </w:div>
        <w:div w:id="1320235460">
          <w:marLeft w:val="480"/>
          <w:marRight w:val="0"/>
          <w:marTop w:val="0"/>
          <w:marBottom w:val="0"/>
          <w:divBdr>
            <w:top w:val="none" w:sz="0" w:space="0" w:color="auto"/>
            <w:left w:val="none" w:sz="0" w:space="0" w:color="auto"/>
            <w:bottom w:val="none" w:sz="0" w:space="0" w:color="auto"/>
            <w:right w:val="none" w:sz="0" w:space="0" w:color="auto"/>
          </w:divBdr>
        </w:div>
        <w:div w:id="1446577242">
          <w:marLeft w:val="480"/>
          <w:marRight w:val="0"/>
          <w:marTop w:val="0"/>
          <w:marBottom w:val="0"/>
          <w:divBdr>
            <w:top w:val="none" w:sz="0" w:space="0" w:color="auto"/>
            <w:left w:val="none" w:sz="0" w:space="0" w:color="auto"/>
            <w:bottom w:val="none" w:sz="0" w:space="0" w:color="auto"/>
            <w:right w:val="none" w:sz="0" w:space="0" w:color="auto"/>
          </w:divBdr>
        </w:div>
        <w:div w:id="1925413488">
          <w:marLeft w:val="480"/>
          <w:marRight w:val="0"/>
          <w:marTop w:val="0"/>
          <w:marBottom w:val="0"/>
          <w:divBdr>
            <w:top w:val="none" w:sz="0" w:space="0" w:color="auto"/>
            <w:left w:val="none" w:sz="0" w:space="0" w:color="auto"/>
            <w:bottom w:val="none" w:sz="0" w:space="0" w:color="auto"/>
            <w:right w:val="none" w:sz="0" w:space="0" w:color="auto"/>
          </w:divBdr>
        </w:div>
        <w:div w:id="986710767">
          <w:marLeft w:val="480"/>
          <w:marRight w:val="0"/>
          <w:marTop w:val="0"/>
          <w:marBottom w:val="0"/>
          <w:divBdr>
            <w:top w:val="none" w:sz="0" w:space="0" w:color="auto"/>
            <w:left w:val="none" w:sz="0" w:space="0" w:color="auto"/>
            <w:bottom w:val="none" w:sz="0" w:space="0" w:color="auto"/>
            <w:right w:val="none" w:sz="0" w:space="0" w:color="auto"/>
          </w:divBdr>
        </w:div>
        <w:div w:id="1192958227">
          <w:marLeft w:val="480"/>
          <w:marRight w:val="0"/>
          <w:marTop w:val="0"/>
          <w:marBottom w:val="0"/>
          <w:divBdr>
            <w:top w:val="none" w:sz="0" w:space="0" w:color="auto"/>
            <w:left w:val="none" w:sz="0" w:space="0" w:color="auto"/>
            <w:bottom w:val="none" w:sz="0" w:space="0" w:color="auto"/>
            <w:right w:val="none" w:sz="0" w:space="0" w:color="auto"/>
          </w:divBdr>
        </w:div>
        <w:div w:id="416096925">
          <w:marLeft w:val="480"/>
          <w:marRight w:val="0"/>
          <w:marTop w:val="0"/>
          <w:marBottom w:val="0"/>
          <w:divBdr>
            <w:top w:val="none" w:sz="0" w:space="0" w:color="auto"/>
            <w:left w:val="none" w:sz="0" w:space="0" w:color="auto"/>
            <w:bottom w:val="none" w:sz="0" w:space="0" w:color="auto"/>
            <w:right w:val="none" w:sz="0" w:space="0" w:color="auto"/>
          </w:divBdr>
        </w:div>
        <w:div w:id="2108190453">
          <w:marLeft w:val="480"/>
          <w:marRight w:val="0"/>
          <w:marTop w:val="0"/>
          <w:marBottom w:val="0"/>
          <w:divBdr>
            <w:top w:val="none" w:sz="0" w:space="0" w:color="auto"/>
            <w:left w:val="none" w:sz="0" w:space="0" w:color="auto"/>
            <w:bottom w:val="none" w:sz="0" w:space="0" w:color="auto"/>
            <w:right w:val="none" w:sz="0" w:space="0" w:color="auto"/>
          </w:divBdr>
        </w:div>
        <w:div w:id="36663975">
          <w:marLeft w:val="480"/>
          <w:marRight w:val="0"/>
          <w:marTop w:val="0"/>
          <w:marBottom w:val="0"/>
          <w:divBdr>
            <w:top w:val="none" w:sz="0" w:space="0" w:color="auto"/>
            <w:left w:val="none" w:sz="0" w:space="0" w:color="auto"/>
            <w:bottom w:val="none" w:sz="0" w:space="0" w:color="auto"/>
            <w:right w:val="none" w:sz="0" w:space="0" w:color="auto"/>
          </w:divBdr>
        </w:div>
        <w:div w:id="542596141">
          <w:marLeft w:val="480"/>
          <w:marRight w:val="0"/>
          <w:marTop w:val="0"/>
          <w:marBottom w:val="0"/>
          <w:divBdr>
            <w:top w:val="none" w:sz="0" w:space="0" w:color="auto"/>
            <w:left w:val="none" w:sz="0" w:space="0" w:color="auto"/>
            <w:bottom w:val="none" w:sz="0" w:space="0" w:color="auto"/>
            <w:right w:val="none" w:sz="0" w:space="0" w:color="auto"/>
          </w:divBdr>
        </w:div>
        <w:div w:id="773480926">
          <w:marLeft w:val="480"/>
          <w:marRight w:val="0"/>
          <w:marTop w:val="0"/>
          <w:marBottom w:val="0"/>
          <w:divBdr>
            <w:top w:val="none" w:sz="0" w:space="0" w:color="auto"/>
            <w:left w:val="none" w:sz="0" w:space="0" w:color="auto"/>
            <w:bottom w:val="none" w:sz="0" w:space="0" w:color="auto"/>
            <w:right w:val="none" w:sz="0" w:space="0" w:color="auto"/>
          </w:divBdr>
        </w:div>
        <w:div w:id="1492329782">
          <w:marLeft w:val="480"/>
          <w:marRight w:val="0"/>
          <w:marTop w:val="0"/>
          <w:marBottom w:val="0"/>
          <w:divBdr>
            <w:top w:val="none" w:sz="0" w:space="0" w:color="auto"/>
            <w:left w:val="none" w:sz="0" w:space="0" w:color="auto"/>
            <w:bottom w:val="none" w:sz="0" w:space="0" w:color="auto"/>
            <w:right w:val="none" w:sz="0" w:space="0" w:color="auto"/>
          </w:divBdr>
        </w:div>
        <w:div w:id="1583949639">
          <w:marLeft w:val="480"/>
          <w:marRight w:val="0"/>
          <w:marTop w:val="0"/>
          <w:marBottom w:val="0"/>
          <w:divBdr>
            <w:top w:val="none" w:sz="0" w:space="0" w:color="auto"/>
            <w:left w:val="none" w:sz="0" w:space="0" w:color="auto"/>
            <w:bottom w:val="none" w:sz="0" w:space="0" w:color="auto"/>
            <w:right w:val="none" w:sz="0" w:space="0" w:color="auto"/>
          </w:divBdr>
        </w:div>
        <w:div w:id="1613124201">
          <w:marLeft w:val="480"/>
          <w:marRight w:val="0"/>
          <w:marTop w:val="0"/>
          <w:marBottom w:val="0"/>
          <w:divBdr>
            <w:top w:val="none" w:sz="0" w:space="0" w:color="auto"/>
            <w:left w:val="none" w:sz="0" w:space="0" w:color="auto"/>
            <w:bottom w:val="none" w:sz="0" w:space="0" w:color="auto"/>
            <w:right w:val="none" w:sz="0" w:space="0" w:color="auto"/>
          </w:divBdr>
        </w:div>
        <w:div w:id="1342928373">
          <w:marLeft w:val="480"/>
          <w:marRight w:val="0"/>
          <w:marTop w:val="0"/>
          <w:marBottom w:val="0"/>
          <w:divBdr>
            <w:top w:val="none" w:sz="0" w:space="0" w:color="auto"/>
            <w:left w:val="none" w:sz="0" w:space="0" w:color="auto"/>
            <w:bottom w:val="none" w:sz="0" w:space="0" w:color="auto"/>
            <w:right w:val="none" w:sz="0" w:space="0" w:color="auto"/>
          </w:divBdr>
        </w:div>
      </w:divsChild>
    </w:div>
    <w:div w:id="1295065898">
      <w:bodyDiv w:val="1"/>
      <w:marLeft w:val="0"/>
      <w:marRight w:val="0"/>
      <w:marTop w:val="0"/>
      <w:marBottom w:val="0"/>
      <w:divBdr>
        <w:top w:val="none" w:sz="0" w:space="0" w:color="auto"/>
        <w:left w:val="none" w:sz="0" w:space="0" w:color="auto"/>
        <w:bottom w:val="none" w:sz="0" w:space="0" w:color="auto"/>
        <w:right w:val="none" w:sz="0" w:space="0" w:color="auto"/>
      </w:divBdr>
    </w:div>
    <w:div w:id="1297955948">
      <w:bodyDiv w:val="1"/>
      <w:marLeft w:val="0"/>
      <w:marRight w:val="0"/>
      <w:marTop w:val="0"/>
      <w:marBottom w:val="0"/>
      <w:divBdr>
        <w:top w:val="none" w:sz="0" w:space="0" w:color="auto"/>
        <w:left w:val="none" w:sz="0" w:space="0" w:color="auto"/>
        <w:bottom w:val="none" w:sz="0" w:space="0" w:color="auto"/>
        <w:right w:val="none" w:sz="0" w:space="0" w:color="auto"/>
      </w:divBdr>
    </w:div>
    <w:div w:id="1298536973">
      <w:bodyDiv w:val="1"/>
      <w:marLeft w:val="0"/>
      <w:marRight w:val="0"/>
      <w:marTop w:val="0"/>
      <w:marBottom w:val="0"/>
      <w:divBdr>
        <w:top w:val="none" w:sz="0" w:space="0" w:color="auto"/>
        <w:left w:val="none" w:sz="0" w:space="0" w:color="auto"/>
        <w:bottom w:val="none" w:sz="0" w:space="0" w:color="auto"/>
        <w:right w:val="none" w:sz="0" w:space="0" w:color="auto"/>
      </w:divBdr>
    </w:div>
    <w:div w:id="1298798533">
      <w:bodyDiv w:val="1"/>
      <w:marLeft w:val="0"/>
      <w:marRight w:val="0"/>
      <w:marTop w:val="0"/>
      <w:marBottom w:val="0"/>
      <w:divBdr>
        <w:top w:val="none" w:sz="0" w:space="0" w:color="auto"/>
        <w:left w:val="none" w:sz="0" w:space="0" w:color="auto"/>
        <w:bottom w:val="none" w:sz="0" w:space="0" w:color="auto"/>
        <w:right w:val="none" w:sz="0" w:space="0" w:color="auto"/>
      </w:divBdr>
    </w:div>
    <w:div w:id="1299190639">
      <w:bodyDiv w:val="1"/>
      <w:marLeft w:val="0"/>
      <w:marRight w:val="0"/>
      <w:marTop w:val="0"/>
      <w:marBottom w:val="0"/>
      <w:divBdr>
        <w:top w:val="none" w:sz="0" w:space="0" w:color="auto"/>
        <w:left w:val="none" w:sz="0" w:space="0" w:color="auto"/>
        <w:bottom w:val="none" w:sz="0" w:space="0" w:color="auto"/>
        <w:right w:val="none" w:sz="0" w:space="0" w:color="auto"/>
      </w:divBdr>
    </w:div>
    <w:div w:id="1299410041">
      <w:bodyDiv w:val="1"/>
      <w:marLeft w:val="0"/>
      <w:marRight w:val="0"/>
      <w:marTop w:val="0"/>
      <w:marBottom w:val="0"/>
      <w:divBdr>
        <w:top w:val="none" w:sz="0" w:space="0" w:color="auto"/>
        <w:left w:val="none" w:sz="0" w:space="0" w:color="auto"/>
        <w:bottom w:val="none" w:sz="0" w:space="0" w:color="auto"/>
        <w:right w:val="none" w:sz="0" w:space="0" w:color="auto"/>
      </w:divBdr>
    </w:div>
    <w:div w:id="1299454223">
      <w:bodyDiv w:val="1"/>
      <w:marLeft w:val="0"/>
      <w:marRight w:val="0"/>
      <w:marTop w:val="0"/>
      <w:marBottom w:val="0"/>
      <w:divBdr>
        <w:top w:val="none" w:sz="0" w:space="0" w:color="auto"/>
        <w:left w:val="none" w:sz="0" w:space="0" w:color="auto"/>
        <w:bottom w:val="none" w:sz="0" w:space="0" w:color="auto"/>
        <w:right w:val="none" w:sz="0" w:space="0" w:color="auto"/>
      </w:divBdr>
    </w:div>
    <w:div w:id="1299802141">
      <w:bodyDiv w:val="1"/>
      <w:marLeft w:val="0"/>
      <w:marRight w:val="0"/>
      <w:marTop w:val="0"/>
      <w:marBottom w:val="0"/>
      <w:divBdr>
        <w:top w:val="none" w:sz="0" w:space="0" w:color="auto"/>
        <w:left w:val="none" w:sz="0" w:space="0" w:color="auto"/>
        <w:bottom w:val="none" w:sz="0" w:space="0" w:color="auto"/>
        <w:right w:val="none" w:sz="0" w:space="0" w:color="auto"/>
      </w:divBdr>
    </w:div>
    <w:div w:id="1299916376">
      <w:bodyDiv w:val="1"/>
      <w:marLeft w:val="0"/>
      <w:marRight w:val="0"/>
      <w:marTop w:val="0"/>
      <w:marBottom w:val="0"/>
      <w:divBdr>
        <w:top w:val="none" w:sz="0" w:space="0" w:color="auto"/>
        <w:left w:val="none" w:sz="0" w:space="0" w:color="auto"/>
        <w:bottom w:val="none" w:sz="0" w:space="0" w:color="auto"/>
        <w:right w:val="none" w:sz="0" w:space="0" w:color="auto"/>
      </w:divBdr>
    </w:div>
    <w:div w:id="1300107283">
      <w:bodyDiv w:val="1"/>
      <w:marLeft w:val="0"/>
      <w:marRight w:val="0"/>
      <w:marTop w:val="0"/>
      <w:marBottom w:val="0"/>
      <w:divBdr>
        <w:top w:val="none" w:sz="0" w:space="0" w:color="auto"/>
        <w:left w:val="none" w:sz="0" w:space="0" w:color="auto"/>
        <w:bottom w:val="none" w:sz="0" w:space="0" w:color="auto"/>
        <w:right w:val="none" w:sz="0" w:space="0" w:color="auto"/>
      </w:divBdr>
    </w:div>
    <w:div w:id="1300304620">
      <w:bodyDiv w:val="1"/>
      <w:marLeft w:val="0"/>
      <w:marRight w:val="0"/>
      <w:marTop w:val="0"/>
      <w:marBottom w:val="0"/>
      <w:divBdr>
        <w:top w:val="none" w:sz="0" w:space="0" w:color="auto"/>
        <w:left w:val="none" w:sz="0" w:space="0" w:color="auto"/>
        <w:bottom w:val="none" w:sz="0" w:space="0" w:color="auto"/>
        <w:right w:val="none" w:sz="0" w:space="0" w:color="auto"/>
      </w:divBdr>
    </w:div>
    <w:div w:id="1300693195">
      <w:bodyDiv w:val="1"/>
      <w:marLeft w:val="0"/>
      <w:marRight w:val="0"/>
      <w:marTop w:val="0"/>
      <w:marBottom w:val="0"/>
      <w:divBdr>
        <w:top w:val="none" w:sz="0" w:space="0" w:color="auto"/>
        <w:left w:val="none" w:sz="0" w:space="0" w:color="auto"/>
        <w:bottom w:val="none" w:sz="0" w:space="0" w:color="auto"/>
        <w:right w:val="none" w:sz="0" w:space="0" w:color="auto"/>
      </w:divBdr>
    </w:div>
    <w:div w:id="1301351388">
      <w:bodyDiv w:val="1"/>
      <w:marLeft w:val="0"/>
      <w:marRight w:val="0"/>
      <w:marTop w:val="0"/>
      <w:marBottom w:val="0"/>
      <w:divBdr>
        <w:top w:val="none" w:sz="0" w:space="0" w:color="auto"/>
        <w:left w:val="none" w:sz="0" w:space="0" w:color="auto"/>
        <w:bottom w:val="none" w:sz="0" w:space="0" w:color="auto"/>
        <w:right w:val="none" w:sz="0" w:space="0" w:color="auto"/>
      </w:divBdr>
    </w:div>
    <w:div w:id="1302542916">
      <w:bodyDiv w:val="1"/>
      <w:marLeft w:val="0"/>
      <w:marRight w:val="0"/>
      <w:marTop w:val="0"/>
      <w:marBottom w:val="0"/>
      <w:divBdr>
        <w:top w:val="none" w:sz="0" w:space="0" w:color="auto"/>
        <w:left w:val="none" w:sz="0" w:space="0" w:color="auto"/>
        <w:bottom w:val="none" w:sz="0" w:space="0" w:color="auto"/>
        <w:right w:val="none" w:sz="0" w:space="0" w:color="auto"/>
      </w:divBdr>
    </w:div>
    <w:div w:id="1302616332">
      <w:bodyDiv w:val="1"/>
      <w:marLeft w:val="0"/>
      <w:marRight w:val="0"/>
      <w:marTop w:val="0"/>
      <w:marBottom w:val="0"/>
      <w:divBdr>
        <w:top w:val="none" w:sz="0" w:space="0" w:color="auto"/>
        <w:left w:val="none" w:sz="0" w:space="0" w:color="auto"/>
        <w:bottom w:val="none" w:sz="0" w:space="0" w:color="auto"/>
        <w:right w:val="none" w:sz="0" w:space="0" w:color="auto"/>
      </w:divBdr>
    </w:div>
    <w:div w:id="1303805414">
      <w:bodyDiv w:val="1"/>
      <w:marLeft w:val="0"/>
      <w:marRight w:val="0"/>
      <w:marTop w:val="0"/>
      <w:marBottom w:val="0"/>
      <w:divBdr>
        <w:top w:val="none" w:sz="0" w:space="0" w:color="auto"/>
        <w:left w:val="none" w:sz="0" w:space="0" w:color="auto"/>
        <w:bottom w:val="none" w:sz="0" w:space="0" w:color="auto"/>
        <w:right w:val="none" w:sz="0" w:space="0" w:color="auto"/>
      </w:divBdr>
    </w:div>
    <w:div w:id="1304966409">
      <w:bodyDiv w:val="1"/>
      <w:marLeft w:val="0"/>
      <w:marRight w:val="0"/>
      <w:marTop w:val="0"/>
      <w:marBottom w:val="0"/>
      <w:divBdr>
        <w:top w:val="none" w:sz="0" w:space="0" w:color="auto"/>
        <w:left w:val="none" w:sz="0" w:space="0" w:color="auto"/>
        <w:bottom w:val="none" w:sz="0" w:space="0" w:color="auto"/>
        <w:right w:val="none" w:sz="0" w:space="0" w:color="auto"/>
      </w:divBdr>
    </w:div>
    <w:div w:id="1305547615">
      <w:bodyDiv w:val="1"/>
      <w:marLeft w:val="0"/>
      <w:marRight w:val="0"/>
      <w:marTop w:val="0"/>
      <w:marBottom w:val="0"/>
      <w:divBdr>
        <w:top w:val="none" w:sz="0" w:space="0" w:color="auto"/>
        <w:left w:val="none" w:sz="0" w:space="0" w:color="auto"/>
        <w:bottom w:val="none" w:sz="0" w:space="0" w:color="auto"/>
        <w:right w:val="none" w:sz="0" w:space="0" w:color="auto"/>
      </w:divBdr>
    </w:div>
    <w:div w:id="1306280635">
      <w:bodyDiv w:val="1"/>
      <w:marLeft w:val="0"/>
      <w:marRight w:val="0"/>
      <w:marTop w:val="0"/>
      <w:marBottom w:val="0"/>
      <w:divBdr>
        <w:top w:val="none" w:sz="0" w:space="0" w:color="auto"/>
        <w:left w:val="none" w:sz="0" w:space="0" w:color="auto"/>
        <w:bottom w:val="none" w:sz="0" w:space="0" w:color="auto"/>
        <w:right w:val="none" w:sz="0" w:space="0" w:color="auto"/>
      </w:divBdr>
    </w:div>
    <w:div w:id="1307009884">
      <w:bodyDiv w:val="1"/>
      <w:marLeft w:val="0"/>
      <w:marRight w:val="0"/>
      <w:marTop w:val="0"/>
      <w:marBottom w:val="0"/>
      <w:divBdr>
        <w:top w:val="none" w:sz="0" w:space="0" w:color="auto"/>
        <w:left w:val="none" w:sz="0" w:space="0" w:color="auto"/>
        <w:bottom w:val="none" w:sz="0" w:space="0" w:color="auto"/>
        <w:right w:val="none" w:sz="0" w:space="0" w:color="auto"/>
      </w:divBdr>
    </w:div>
    <w:div w:id="1307078833">
      <w:bodyDiv w:val="1"/>
      <w:marLeft w:val="0"/>
      <w:marRight w:val="0"/>
      <w:marTop w:val="0"/>
      <w:marBottom w:val="0"/>
      <w:divBdr>
        <w:top w:val="none" w:sz="0" w:space="0" w:color="auto"/>
        <w:left w:val="none" w:sz="0" w:space="0" w:color="auto"/>
        <w:bottom w:val="none" w:sz="0" w:space="0" w:color="auto"/>
        <w:right w:val="none" w:sz="0" w:space="0" w:color="auto"/>
      </w:divBdr>
    </w:div>
    <w:div w:id="1307080787">
      <w:bodyDiv w:val="1"/>
      <w:marLeft w:val="0"/>
      <w:marRight w:val="0"/>
      <w:marTop w:val="0"/>
      <w:marBottom w:val="0"/>
      <w:divBdr>
        <w:top w:val="none" w:sz="0" w:space="0" w:color="auto"/>
        <w:left w:val="none" w:sz="0" w:space="0" w:color="auto"/>
        <w:bottom w:val="none" w:sz="0" w:space="0" w:color="auto"/>
        <w:right w:val="none" w:sz="0" w:space="0" w:color="auto"/>
      </w:divBdr>
    </w:div>
    <w:div w:id="1307658501">
      <w:bodyDiv w:val="1"/>
      <w:marLeft w:val="0"/>
      <w:marRight w:val="0"/>
      <w:marTop w:val="0"/>
      <w:marBottom w:val="0"/>
      <w:divBdr>
        <w:top w:val="none" w:sz="0" w:space="0" w:color="auto"/>
        <w:left w:val="none" w:sz="0" w:space="0" w:color="auto"/>
        <w:bottom w:val="none" w:sz="0" w:space="0" w:color="auto"/>
        <w:right w:val="none" w:sz="0" w:space="0" w:color="auto"/>
      </w:divBdr>
    </w:div>
    <w:div w:id="1310358233">
      <w:bodyDiv w:val="1"/>
      <w:marLeft w:val="0"/>
      <w:marRight w:val="0"/>
      <w:marTop w:val="0"/>
      <w:marBottom w:val="0"/>
      <w:divBdr>
        <w:top w:val="none" w:sz="0" w:space="0" w:color="auto"/>
        <w:left w:val="none" w:sz="0" w:space="0" w:color="auto"/>
        <w:bottom w:val="none" w:sz="0" w:space="0" w:color="auto"/>
        <w:right w:val="none" w:sz="0" w:space="0" w:color="auto"/>
      </w:divBdr>
    </w:div>
    <w:div w:id="1310937011">
      <w:bodyDiv w:val="1"/>
      <w:marLeft w:val="0"/>
      <w:marRight w:val="0"/>
      <w:marTop w:val="0"/>
      <w:marBottom w:val="0"/>
      <w:divBdr>
        <w:top w:val="none" w:sz="0" w:space="0" w:color="auto"/>
        <w:left w:val="none" w:sz="0" w:space="0" w:color="auto"/>
        <w:bottom w:val="none" w:sz="0" w:space="0" w:color="auto"/>
        <w:right w:val="none" w:sz="0" w:space="0" w:color="auto"/>
      </w:divBdr>
    </w:div>
    <w:div w:id="1311135388">
      <w:bodyDiv w:val="1"/>
      <w:marLeft w:val="0"/>
      <w:marRight w:val="0"/>
      <w:marTop w:val="0"/>
      <w:marBottom w:val="0"/>
      <w:divBdr>
        <w:top w:val="none" w:sz="0" w:space="0" w:color="auto"/>
        <w:left w:val="none" w:sz="0" w:space="0" w:color="auto"/>
        <w:bottom w:val="none" w:sz="0" w:space="0" w:color="auto"/>
        <w:right w:val="none" w:sz="0" w:space="0" w:color="auto"/>
      </w:divBdr>
    </w:div>
    <w:div w:id="1311206372">
      <w:bodyDiv w:val="1"/>
      <w:marLeft w:val="0"/>
      <w:marRight w:val="0"/>
      <w:marTop w:val="0"/>
      <w:marBottom w:val="0"/>
      <w:divBdr>
        <w:top w:val="none" w:sz="0" w:space="0" w:color="auto"/>
        <w:left w:val="none" w:sz="0" w:space="0" w:color="auto"/>
        <w:bottom w:val="none" w:sz="0" w:space="0" w:color="auto"/>
        <w:right w:val="none" w:sz="0" w:space="0" w:color="auto"/>
      </w:divBdr>
    </w:div>
    <w:div w:id="1312248060">
      <w:bodyDiv w:val="1"/>
      <w:marLeft w:val="0"/>
      <w:marRight w:val="0"/>
      <w:marTop w:val="0"/>
      <w:marBottom w:val="0"/>
      <w:divBdr>
        <w:top w:val="none" w:sz="0" w:space="0" w:color="auto"/>
        <w:left w:val="none" w:sz="0" w:space="0" w:color="auto"/>
        <w:bottom w:val="none" w:sz="0" w:space="0" w:color="auto"/>
        <w:right w:val="none" w:sz="0" w:space="0" w:color="auto"/>
      </w:divBdr>
    </w:div>
    <w:div w:id="1312446293">
      <w:bodyDiv w:val="1"/>
      <w:marLeft w:val="0"/>
      <w:marRight w:val="0"/>
      <w:marTop w:val="0"/>
      <w:marBottom w:val="0"/>
      <w:divBdr>
        <w:top w:val="none" w:sz="0" w:space="0" w:color="auto"/>
        <w:left w:val="none" w:sz="0" w:space="0" w:color="auto"/>
        <w:bottom w:val="none" w:sz="0" w:space="0" w:color="auto"/>
        <w:right w:val="none" w:sz="0" w:space="0" w:color="auto"/>
      </w:divBdr>
    </w:div>
    <w:div w:id="1313408538">
      <w:bodyDiv w:val="1"/>
      <w:marLeft w:val="0"/>
      <w:marRight w:val="0"/>
      <w:marTop w:val="0"/>
      <w:marBottom w:val="0"/>
      <w:divBdr>
        <w:top w:val="none" w:sz="0" w:space="0" w:color="auto"/>
        <w:left w:val="none" w:sz="0" w:space="0" w:color="auto"/>
        <w:bottom w:val="none" w:sz="0" w:space="0" w:color="auto"/>
        <w:right w:val="none" w:sz="0" w:space="0" w:color="auto"/>
      </w:divBdr>
    </w:div>
    <w:div w:id="1313942812">
      <w:bodyDiv w:val="1"/>
      <w:marLeft w:val="0"/>
      <w:marRight w:val="0"/>
      <w:marTop w:val="0"/>
      <w:marBottom w:val="0"/>
      <w:divBdr>
        <w:top w:val="none" w:sz="0" w:space="0" w:color="auto"/>
        <w:left w:val="none" w:sz="0" w:space="0" w:color="auto"/>
        <w:bottom w:val="none" w:sz="0" w:space="0" w:color="auto"/>
        <w:right w:val="none" w:sz="0" w:space="0" w:color="auto"/>
      </w:divBdr>
    </w:div>
    <w:div w:id="1316563811">
      <w:bodyDiv w:val="1"/>
      <w:marLeft w:val="0"/>
      <w:marRight w:val="0"/>
      <w:marTop w:val="0"/>
      <w:marBottom w:val="0"/>
      <w:divBdr>
        <w:top w:val="none" w:sz="0" w:space="0" w:color="auto"/>
        <w:left w:val="none" w:sz="0" w:space="0" w:color="auto"/>
        <w:bottom w:val="none" w:sz="0" w:space="0" w:color="auto"/>
        <w:right w:val="none" w:sz="0" w:space="0" w:color="auto"/>
      </w:divBdr>
    </w:div>
    <w:div w:id="1316841292">
      <w:bodyDiv w:val="1"/>
      <w:marLeft w:val="0"/>
      <w:marRight w:val="0"/>
      <w:marTop w:val="0"/>
      <w:marBottom w:val="0"/>
      <w:divBdr>
        <w:top w:val="none" w:sz="0" w:space="0" w:color="auto"/>
        <w:left w:val="none" w:sz="0" w:space="0" w:color="auto"/>
        <w:bottom w:val="none" w:sz="0" w:space="0" w:color="auto"/>
        <w:right w:val="none" w:sz="0" w:space="0" w:color="auto"/>
      </w:divBdr>
    </w:div>
    <w:div w:id="1316952810">
      <w:bodyDiv w:val="1"/>
      <w:marLeft w:val="0"/>
      <w:marRight w:val="0"/>
      <w:marTop w:val="0"/>
      <w:marBottom w:val="0"/>
      <w:divBdr>
        <w:top w:val="none" w:sz="0" w:space="0" w:color="auto"/>
        <w:left w:val="none" w:sz="0" w:space="0" w:color="auto"/>
        <w:bottom w:val="none" w:sz="0" w:space="0" w:color="auto"/>
        <w:right w:val="none" w:sz="0" w:space="0" w:color="auto"/>
      </w:divBdr>
    </w:div>
    <w:div w:id="1317494999">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8800129">
      <w:bodyDiv w:val="1"/>
      <w:marLeft w:val="0"/>
      <w:marRight w:val="0"/>
      <w:marTop w:val="0"/>
      <w:marBottom w:val="0"/>
      <w:divBdr>
        <w:top w:val="none" w:sz="0" w:space="0" w:color="auto"/>
        <w:left w:val="none" w:sz="0" w:space="0" w:color="auto"/>
        <w:bottom w:val="none" w:sz="0" w:space="0" w:color="auto"/>
        <w:right w:val="none" w:sz="0" w:space="0" w:color="auto"/>
      </w:divBdr>
    </w:div>
    <w:div w:id="1318996778">
      <w:bodyDiv w:val="1"/>
      <w:marLeft w:val="0"/>
      <w:marRight w:val="0"/>
      <w:marTop w:val="0"/>
      <w:marBottom w:val="0"/>
      <w:divBdr>
        <w:top w:val="none" w:sz="0" w:space="0" w:color="auto"/>
        <w:left w:val="none" w:sz="0" w:space="0" w:color="auto"/>
        <w:bottom w:val="none" w:sz="0" w:space="0" w:color="auto"/>
        <w:right w:val="none" w:sz="0" w:space="0" w:color="auto"/>
      </w:divBdr>
    </w:div>
    <w:div w:id="1319071113">
      <w:bodyDiv w:val="1"/>
      <w:marLeft w:val="0"/>
      <w:marRight w:val="0"/>
      <w:marTop w:val="0"/>
      <w:marBottom w:val="0"/>
      <w:divBdr>
        <w:top w:val="none" w:sz="0" w:space="0" w:color="auto"/>
        <w:left w:val="none" w:sz="0" w:space="0" w:color="auto"/>
        <w:bottom w:val="none" w:sz="0" w:space="0" w:color="auto"/>
        <w:right w:val="none" w:sz="0" w:space="0" w:color="auto"/>
      </w:divBdr>
    </w:div>
    <w:div w:id="1319188742">
      <w:bodyDiv w:val="1"/>
      <w:marLeft w:val="0"/>
      <w:marRight w:val="0"/>
      <w:marTop w:val="0"/>
      <w:marBottom w:val="0"/>
      <w:divBdr>
        <w:top w:val="none" w:sz="0" w:space="0" w:color="auto"/>
        <w:left w:val="none" w:sz="0" w:space="0" w:color="auto"/>
        <w:bottom w:val="none" w:sz="0" w:space="0" w:color="auto"/>
        <w:right w:val="none" w:sz="0" w:space="0" w:color="auto"/>
      </w:divBdr>
    </w:div>
    <w:div w:id="1319311266">
      <w:bodyDiv w:val="1"/>
      <w:marLeft w:val="0"/>
      <w:marRight w:val="0"/>
      <w:marTop w:val="0"/>
      <w:marBottom w:val="0"/>
      <w:divBdr>
        <w:top w:val="none" w:sz="0" w:space="0" w:color="auto"/>
        <w:left w:val="none" w:sz="0" w:space="0" w:color="auto"/>
        <w:bottom w:val="none" w:sz="0" w:space="0" w:color="auto"/>
        <w:right w:val="none" w:sz="0" w:space="0" w:color="auto"/>
      </w:divBdr>
    </w:div>
    <w:div w:id="1319502007">
      <w:bodyDiv w:val="1"/>
      <w:marLeft w:val="0"/>
      <w:marRight w:val="0"/>
      <w:marTop w:val="0"/>
      <w:marBottom w:val="0"/>
      <w:divBdr>
        <w:top w:val="none" w:sz="0" w:space="0" w:color="auto"/>
        <w:left w:val="none" w:sz="0" w:space="0" w:color="auto"/>
        <w:bottom w:val="none" w:sz="0" w:space="0" w:color="auto"/>
        <w:right w:val="none" w:sz="0" w:space="0" w:color="auto"/>
      </w:divBdr>
    </w:div>
    <w:div w:id="1319574723">
      <w:bodyDiv w:val="1"/>
      <w:marLeft w:val="0"/>
      <w:marRight w:val="0"/>
      <w:marTop w:val="0"/>
      <w:marBottom w:val="0"/>
      <w:divBdr>
        <w:top w:val="none" w:sz="0" w:space="0" w:color="auto"/>
        <w:left w:val="none" w:sz="0" w:space="0" w:color="auto"/>
        <w:bottom w:val="none" w:sz="0" w:space="0" w:color="auto"/>
        <w:right w:val="none" w:sz="0" w:space="0" w:color="auto"/>
      </w:divBdr>
    </w:div>
    <w:div w:id="1320309087">
      <w:bodyDiv w:val="1"/>
      <w:marLeft w:val="0"/>
      <w:marRight w:val="0"/>
      <w:marTop w:val="0"/>
      <w:marBottom w:val="0"/>
      <w:divBdr>
        <w:top w:val="none" w:sz="0" w:space="0" w:color="auto"/>
        <w:left w:val="none" w:sz="0" w:space="0" w:color="auto"/>
        <w:bottom w:val="none" w:sz="0" w:space="0" w:color="auto"/>
        <w:right w:val="none" w:sz="0" w:space="0" w:color="auto"/>
      </w:divBdr>
    </w:div>
    <w:div w:id="1322007108">
      <w:bodyDiv w:val="1"/>
      <w:marLeft w:val="0"/>
      <w:marRight w:val="0"/>
      <w:marTop w:val="0"/>
      <w:marBottom w:val="0"/>
      <w:divBdr>
        <w:top w:val="none" w:sz="0" w:space="0" w:color="auto"/>
        <w:left w:val="none" w:sz="0" w:space="0" w:color="auto"/>
        <w:bottom w:val="none" w:sz="0" w:space="0" w:color="auto"/>
        <w:right w:val="none" w:sz="0" w:space="0" w:color="auto"/>
      </w:divBdr>
    </w:div>
    <w:div w:id="1322274721">
      <w:bodyDiv w:val="1"/>
      <w:marLeft w:val="0"/>
      <w:marRight w:val="0"/>
      <w:marTop w:val="0"/>
      <w:marBottom w:val="0"/>
      <w:divBdr>
        <w:top w:val="none" w:sz="0" w:space="0" w:color="auto"/>
        <w:left w:val="none" w:sz="0" w:space="0" w:color="auto"/>
        <w:bottom w:val="none" w:sz="0" w:space="0" w:color="auto"/>
        <w:right w:val="none" w:sz="0" w:space="0" w:color="auto"/>
      </w:divBdr>
    </w:div>
    <w:div w:id="1322731831">
      <w:bodyDiv w:val="1"/>
      <w:marLeft w:val="0"/>
      <w:marRight w:val="0"/>
      <w:marTop w:val="0"/>
      <w:marBottom w:val="0"/>
      <w:divBdr>
        <w:top w:val="none" w:sz="0" w:space="0" w:color="auto"/>
        <w:left w:val="none" w:sz="0" w:space="0" w:color="auto"/>
        <w:bottom w:val="none" w:sz="0" w:space="0" w:color="auto"/>
        <w:right w:val="none" w:sz="0" w:space="0" w:color="auto"/>
      </w:divBdr>
    </w:div>
    <w:div w:id="1322929479">
      <w:bodyDiv w:val="1"/>
      <w:marLeft w:val="0"/>
      <w:marRight w:val="0"/>
      <w:marTop w:val="0"/>
      <w:marBottom w:val="0"/>
      <w:divBdr>
        <w:top w:val="none" w:sz="0" w:space="0" w:color="auto"/>
        <w:left w:val="none" w:sz="0" w:space="0" w:color="auto"/>
        <w:bottom w:val="none" w:sz="0" w:space="0" w:color="auto"/>
        <w:right w:val="none" w:sz="0" w:space="0" w:color="auto"/>
      </w:divBdr>
    </w:div>
    <w:div w:id="1323390345">
      <w:bodyDiv w:val="1"/>
      <w:marLeft w:val="0"/>
      <w:marRight w:val="0"/>
      <w:marTop w:val="0"/>
      <w:marBottom w:val="0"/>
      <w:divBdr>
        <w:top w:val="none" w:sz="0" w:space="0" w:color="auto"/>
        <w:left w:val="none" w:sz="0" w:space="0" w:color="auto"/>
        <w:bottom w:val="none" w:sz="0" w:space="0" w:color="auto"/>
        <w:right w:val="none" w:sz="0" w:space="0" w:color="auto"/>
      </w:divBdr>
    </w:div>
    <w:div w:id="1324777020">
      <w:bodyDiv w:val="1"/>
      <w:marLeft w:val="0"/>
      <w:marRight w:val="0"/>
      <w:marTop w:val="0"/>
      <w:marBottom w:val="0"/>
      <w:divBdr>
        <w:top w:val="none" w:sz="0" w:space="0" w:color="auto"/>
        <w:left w:val="none" w:sz="0" w:space="0" w:color="auto"/>
        <w:bottom w:val="none" w:sz="0" w:space="0" w:color="auto"/>
        <w:right w:val="none" w:sz="0" w:space="0" w:color="auto"/>
      </w:divBdr>
    </w:div>
    <w:div w:id="1325166521">
      <w:bodyDiv w:val="1"/>
      <w:marLeft w:val="0"/>
      <w:marRight w:val="0"/>
      <w:marTop w:val="0"/>
      <w:marBottom w:val="0"/>
      <w:divBdr>
        <w:top w:val="none" w:sz="0" w:space="0" w:color="auto"/>
        <w:left w:val="none" w:sz="0" w:space="0" w:color="auto"/>
        <w:bottom w:val="none" w:sz="0" w:space="0" w:color="auto"/>
        <w:right w:val="none" w:sz="0" w:space="0" w:color="auto"/>
      </w:divBdr>
    </w:div>
    <w:div w:id="1325400702">
      <w:bodyDiv w:val="1"/>
      <w:marLeft w:val="0"/>
      <w:marRight w:val="0"/>
      <w:marTop w:val="0"/>
      <w:marBottom w:val="0"/>
      <w:divBdr>
        <w:top w:val="none" w:sz="0" w:space="0" w:color="auto"/>
        <w:left w:val="none" w:sz="0" w:space="0" w:color="auto"/>
        <w:bottom w:val="none" w:sz="0" w:space="0" w:color="auto"/>
        <w:right w:val="none" w:sz="0" w:space="0" w:color="auto"/>
      </w:divBdr>
    </w:div>
    <w:div w:id="1325473535">
      <w:bodyDiv w:val="1"/>
      <w:marLeft w:val="0"/>
      <w:marRight w:val="0"/>
      <w:marTop w:val="0"/>
      <w:marBottom w:val="0"/>
      <w:divBdr>
        <w:top w:val="none" w:sz="0" w:space="0" w:color="auto"/>
        <w:left w:val="none" w:sz="0" w:space="0" w:color="auto"/>
        <w:bottom w:val="none" w:sz="0" w:space="0" w:color="auto"/>
        <w:right w:val="none" w:sz="0" w:space="0" w:color="auto"/>
      </w:divBdr>
    </w:div>
    <w:div w:id="1325624427">
      <w:bodyDiv w:val="1"/>
      <w:marLeft w:val="0"/>
      <w:marRight w:val="0"/>
      <w:marTop w:val="0"/>
      <w:marBottom w:val="0"/>
      <w:divBdr>
        <w:top w:val="none" w:sz="0" w:space="0" w:color="auto"/>
        <w:left w:val="none" w:sz="0" w:space="0" w:color="auto"/>
        <w:bottom w:val="none" w:sz="0" w:space="0" w:color="auto"/>
        <w:right w:val="none" w:sz="0" w:space="0" w:color="auto"/>
      </w:divBdr>
    </w:div>
    <w:div w:id="1326125133">
      <w:bodyDiv w:val="1"/>
      <w:marLeft w:val="0"/>
      <w:marRight w:val="0"/>
      <w:marTop w:val="0"/>
      <w:marBottom w:val="0"/>
      <w:divBdr>
        <w:top w:val="none" w:sz="0" w:space="0" w:color="auto"/>
        <w:left w:val="none" w:sz="0" w:space="0" w:color="auto"/>
        <w:bottom w:val="none" w:sz="0" w:space="0" w:color="auto"/>
        <w:right w:val="none" w:sz="0" w:space="0" w:color="auto"/>
      </w:divBdr>
    </w:div>
    <w:div w:id="1326208307">
      <w:bodyDiv w:val="1"/>
      <w:marLeft w:val="0"/>
      <w:marRight w:val="0"/>
      <w:marTop w:val="0"/>
      <w:marBottom w:val="0"/>
      <w:divBdr>
        <w:top w:val="none" w:sz="0" w:space="0" w:color="auto"/>
        <w:left w:val="none" w:sz="0" w:space="0" w:color="auto"/>
        <w:bottom w:val="none" w:sz="0" w:space="0" w:color="auto"/>
        <w:right w:val="none" w:sz="0" w:space="0" w:color="auto"/>
      </w:divBdr>
    </w:div>
    <w:div w:id="1326544017">
      <w:bodyDiv w:val="1"/>
      <w:marLeft w:val="0"/>
      <w:marRight w:val="0"/>
      <w:marTop w:val="0"/>
      <w:marBottom w:val="0"/>
      <w:divBdr>
        <w:top w:val="none" w:sz="0" w:space="0" w:color="auto"/>
        <w:left w:val="none" w:sz="0" w:space="0" w:color="auto"/>
        <w:bottom w:val="none" w:sz="0" w:space="0" w:color="auto"/>
        <w:right w:val="none" w:sz="0" w:space="0" w:color="auto"/>
      </w:divBdr>
    </w:div>
    <w:div w:id="1326712693">
      <w:bodyDiv w:val="1"/>
      <w:marLeft w:val="0"/>
      <w:marRight w:val="0"/>
      <w:marTop w:val="0"/>
      <w:marBottom w:val="0"/>
      <w:divBdr>
        <w:top w:val="none" w:sz="0" w:space="0" w:color="auto"/>
        <w:left w:val="none" w:sz="0" w:space="0" w:color="auto"/>
        <w:bottom w:val="none" w:sz="0" w:space="0" w:color="auto"/>
        <w:right w:val="none" w:sz="0" w:space="0" w:color="auto"/>
      </w:divBdr>
    </w:div>
    <w:div w:id="1327173628">
      <w:bodyDiv w:val="1"/>
      <w:marLeft w:val="0"/>
      <w:marRight w:val="0"/>
      <w:marTop w:val="0"/>
      <w:marBottom w:val="0"/>
      <w:divBdr>
        <w:top w:val="none" w:sz="0" w:space="0" w:color="auto"/>
        <w:left w:val="none" w:sz="0" w:space="0" w:color="auto"/>
        <w:bottom w:val="none" w:sz="0" w:space="0" w:color="auto"/>
        <w:right w:val="none" w:sz="0" w:space="0" w:color="auto"/>
      </w:divBdr>
    </w:div>
    <w:div w:id="1327247703">
      <w:bodyDiv w:val="1"/>
      <w:marLeft w:val="0"/>
      <w:marRight w:val="0"/>
      <w:marTop w:val="0"/>
      <w:marBottom w:val="0"/>
      <w:divBdr>
        <w:top w:val="none" w:sz="0" w:space="0" w:color="auto"/>
        <w:left w:val="none" w:sz="0" w:space="0" w:color="auto"/>
        <w:bottom w:val="none" w:sz="0" w:space="0" w:color="auto"/>
        <w:right w:val="none" w:sz="0" w:space="0" w:color="auto"/>
      </w:divBdr>
    </w:div>
    <w:div w:id="1327973546">
      <w:bodyDiv w:val="1"/>
      <w:marLeft w:val="0"/>
      <w:marRight w:val="0"/>
      <w:marTop w:val="0"/>
      <w:marBottom w:val="0"/>
      <w:divBdr>
        <w:top w:val="none" w:sz="0" w:space="0" w:color="auto"/>
        <w:left w:val="none" w:sz="0" w:space="0" w:color="auto"/>
        <w:bottom w:val="none" w:sz="0" w:space="0" w:color="auto"/>
        <w:right w:val="none" w:sz="0" w:space="0" w:color="auto"/>
      </w:divBdr>
    </w:div>
    <w:div w:id="1328554605">
      <w:bodyDiv w:val="1"/>
      <w:marLeft w:val="0"/>
      <w:marRight w:val="0"/>
      <w:marTop w:val="0"/>
      <w:marBottom w:val="0"/>
      <w:divBdr>
        <w:top w:val="none" w:sz="0" w:space="0" w:color="auto"/>
        <w:left w:val="none" w:sz="0" w:space="0" w:color="auto"/>
        <w:bottom w:val="none" w:sz="0" w:space="0" w:color="auto"/>
        <w:right w:val="none" w:sz="0" w:space="0" w:color="auto"/>
      </w:divBdr>
    </w:div>
    <w:div w:id="1329407385">
      <w:bodyDiv w:val="1"/>
      <w:marLeft w:val="0"/>
      <w:marRight w:val="0"/>
      <w:marTop w:val="0"/>
      <w:marBottom w:val="0"/>
      <w:divBdr>
        <w:top w:val="none" w:sz="0" w:space="0" w:color="auto"/>
        <w:left w:val="none" w:sz="0" w:space="0" w:color="auto"/>
        <w:bottom w:val="none" w:sz="0" w:space="0" w:color="auto"/>
        <w:right w:val="none" w:sz="0" w:space="0" w:color="auto"/>
      </w:divBdr>
    </w:div>
    <w:div w:id="1329478848">
      <w:bodyDiv w:val="1"/>
      <w:marLeft w:val="0"/>
      <w:marRight w:val="0"/>
      <w:marTop w:val="0"/>
      <w:marBottom w:val="0"/>
      <w:divBdr>
        <w:top w:val="none" w:sz="0" w:space="0" w:color="auto"/>
        <w:left w:val="none" w:sz="0" w:space="0" w:color="auto"/>
        <w:bottom w:val="none" w:sz="0" w:space="0" w:color="auto"/>
        <w:right w:val="none" w:sz="0" w:space="0" w:color="auto"/>
      </w:divBdr>
    </w:div>
    <w:div w:id="1329678122">
      <w:bodyDiv w:val="1"/>
      <w:marLeft w:val="0"/>
      <w:marRight w:val="0"/>
      <w:marTop w:val="0"/>
      <w:marBottom w:val="0"/>
      <w:divBdr>
        <w:top w:val="none" w:sz="0" w:space="0" w:color="auto"/>
        <w:left w:val="none" w:sz="0" w:space="0" w:color="auto"/>
        <w:bottom w:val="none" w:sz="0" w:space="0" w:color="auto"/>
        <w:right w:val="none" w:sz="0" w:space="0" w:color="auto"/>
      </w:divBdr>
    </w:div>
    <w:div w:id="1329940046">
      <w:bodyDiv w:val="1"/>
      <w:marLeft w:val="0"/>
      <w:marRight w:val="0"/>
      <w:marTop w:val="0"/>
      <w:marBottom w:val="0"/>
      <w:divBdr>
        <w:top w:val="none" w:sz="0" w:space="0" w:color="auto"/>
        <w:left w:val="none" w:sz="0" w:space="0" w:color="auto"/>
        <w:bottom w:val="none" w:sz="0" w:space="0" w:color="auto"/>
        <w:right w:val="none" w:sz="0" w:space="0" w:color="auto"/>
      </w:divBdr>
    </w:div>
    <w:div w:id="1330325550">
      <w:bodyDiv w:val="1"/>
      <w:marLeft w:val="0"/>
      <w:marRight w:val="0"/>
      <w:marTop w:val="0"/>
      <w:marBottom w:val="0"/>
      <w:divBdr>
        <w:top w:val="none" w:sz="0" w:space="0" w:color="auto"/>
        <w:left w:val="none" w:sz="0" w:space="0" w:color="auto"/>
        <w:bottom w:val="none" w:sz="0" w:space="0" w:color="auto"/>
        <w:right w:val="none" w:sz="0" w:space="0" w:color="auto"/>
      </w:divBdr>
    </w:div>
    <w:div w:id="1330332944">
      <w:bodyDiv w:val="1"/>
      <w:marLeft w:val="0"/>
      <w:marRight w:val="0"/>
      <w:marTop w:val="0"/>
      <w:marBottom w:val="0"/>
      <w:divBdr>
        <w:top w:val="none" w:sz="0" w:space="0" w:color="auto"/>
        <w:left w:val="none" w:sz="0" w:space="0" w:color="auto"/>
        <w:bottom w:val="none" w:sz="0" w:space="0" w:color="auto"/>
        <w:right w:val="none" w:sz="0" w:space="0" w:color="auto"/>
      </w:divBdr>
    </w:div>
    <w:div w:id="1330717146">
      <w:bodyDiv w:val="1"/>
      <w:marLeft w:val="0"/>
      <w:marRight w:val="0"/>
      <w:marTop w:val="0"/>
      <w:marBottom w:val="0"/>
      <w:divBdr>
        <w:top w:val="none" w:sz="0" w:space="0" w:color="auto"/>
        <w:left w:val="none" w:sz="0" w:space="0" w:color="auto"/>
        <w:bottom w:val="none" w:sz="0" w:space="0" w:color="auto"/>
        <w:right w:val="none" w:sz="0" w:space="0" w:color="auto"/>
      </w:divBdr>
    </w:div>
    <w:div w:id="1331367572">
      <w:bodyDiv w:val="1"/>
      <w:marLeft w:val="0"/>
      <w:marRight w:val="0"/>
      <w:marTop w:val="0"/>
      <w:marBottom w:val="0"/>
      <w:divBdr>
        <w:top w:val="none" w:sz="0" w:space="0" w:color="auto"/>
        <w:left w:val="none" w:sz="0" w:space="0" w:color="auto"/>
        <w:bottom w:val="none" w:sz="0" w:space="0" w:color="auto"/>
        <w:right w:val="none" w:sz="0" w:space="0" w:color="auto"/>
      </w:divBdr>
    </w:div>
    <w:div w:id="1332484593">
      <w:bodyDiv w:val="1"/>
      <w:marLeft w:val="0"/>
      <w:marRight w:val="0"/>
      <w:marTop w:val="0"/>
      <w:marBottom w:val="0"/>
      <w:divBdr>
        <w:top w:val="none" w:sz="0" w:space="0" w:color="auto"/>
        <w:left w:val="none" w:sz="0" w:space="0" w:color="auto"/>
        <w:bottom w:val="none" w:sz="0" w:space="0" w:color="auto"/>
        <w:right w:val="none" w:sz="0" w:space="0" w:color="auto"/>
      </w:divBdr>
    </w:div>
    <w:div w:id="1333098035">
      <w:bodyDiv w:val="1"/>
      <w:marLeft w:val="0"/>
      <w:marRight w:val="0"/>
      <w:marTop w:val="0"/>
      <w:marBottom w:val="0"/>
      <w:divBdr>
        <w:top w:val="none" w:sz="0" w:space="0" w:color="auto"/>
        <w:left w:val="none" w:sz="0" w:space="0" w:color="auto"/>
        <w:bottom w:val="none" w:sz="0" w:space="0" w:color="auto"/>
        <w:right w:val="none" w:sz="0" w:space="0" w:color="auto"/>
      </w:divBdr>
    </w:div>
    <w:div w:id="1333490195">
      <w:bodyDiv w:val="1"/>
      <w:marLeft w:val="0"/>
      <w:marRight w:val="0"/>
      <w:marTop w:val="0"/>
      <w:marBottom w:val="0"/>
      <w:divBdr>
        <w:top w:val="none" w:sz="0" w:space="0" w:color="auto"/>
        <w:left w:val="none" w:sz="0" w:space="0" w:color="auto"/>
        <w:bottom w:val="none" w:sz="0" w:space="0" w:color="auto"/>
        <w:right w:val="none" w:sz="0" w:space="0" w:color="auto"/>
      </w:divBdr>
    </w:div>
    <w:div w:id="1333754815">
      <w:bodyDiv w:val="1"/>
      <w:marLeft w:val="0"/>
      <w:marRight w:val="0"/>
      <w:marTop w:val="0"/>
      <w:marBottom w:val="0"/>
      <w:divBdr>
        <w:top w:val="none" w:sz="0" w:space="0" w:color="auto"/>
        <w:left w:val="none" w:sz="0" w:space="0" w:color="auto"/>
        <w:bottom w:val="none" w:sz="0" w:space="0" w:color="auto"/>
        <w:right w:val="none" w:sz="0" w:space="0" w:color="auto"/>
      </w:divBdr>
    </w:div>
    <w:div w:id="1333988705">
      <w:bodyDiv w:val="1"/>
      <w:marLeft w:val="0"/>
      <w:marRight w:val="0"/>
      <w:marTop w:val="0"/>
      <w:marBottom w:val="0"/>
      <w:divBdr>
        <w:top w:val="none" w:sz="0" w:space="0" w:color="auto"/>
        <w:left w:val="none" w:sz="0" w:space="0" w:color="auto"/>
        <w:bottom w:val="none" w:sz="0" w:space="0" w:color="auto"/>
        <w:right w:val="none" w:sz="0" w:space="0" w:color="auto"/>
      </w:divBdr>
    </w:div>
    <w:div w:id="1334600914">
      <w:bodyDiv w:val="1"/>
      <w:marLeft w:val="0"/>
      <w:marRight w:val="0"/>
      <w:marTop w:val="0"/>
      <w:marBottom w:val="0"/>
      <w:divBdr>
        <w:top w:val="none" w:sz="0" w:space="0" w:color="auto"/>
        <w:left w:val="none" w:sz="0" w:space="0" w:color="auto"/>
        <w:bottom w:val="none" w:sz="0" w:space="0" w:color="auto"/>
        <w:right w:val="none" w:sz="0" w:space="0" w:color="auto"/>
      </w:divBdr>
    </w:div>
    <w:div w:id="1335378058">
      <w:bodyDiv w:val="1"/>
      <w:marLeft w:val="0"/>
      <w:marRight w:val="0"/>
      <w:marTop w:val="0"/>
      <w:marBottom w:val="0"/>
      <w:divBdr>
        <w:top w:val="none" w:sz="0" w:space="0" w:color="auto"/>
        <w:left w:val="none" w:sz="0" w:space="0" w:color="auto"/>
        <w:bottom w:val="none" w:sz="0" w:space="0" w:color="auto"/>
        <w:right w:val="none" w:sz="0" w:space="0" w:color="auto"/>
      </w:divBdr>
    </w:div>
    <w:div w:id="1335449281">
      <w:bodyDiv w:val="1"/>
      <w:marLeft w:val="0"/>
      <w:marRight w:val="0"/>
      <w:marTop w:val="0"/>
      <w:marBottom w:val="0"/>
      <w:divBdr>
        <w:top w:val="none" w:sz="0" w:space="0" w:color="auto"/>
        <w:left w:val="none" w:sz="0" w:space="0" w:color="auto"/>
        <w:bottom w:val="none" w:sz="0" w:space="0" w:color="auto"/>
        <w:right w:val="none" w:sz="0" w:space="0" w:color="auto"/>
      </w:divBdr>
    </w:div>
    <w:div w:id="1335455585">
      <w:bodyDiv w:val="1"/>
      <w:marLeft w:val="0"/>
      <w:marRight w:val="0"/>
      <w:marTop w:val="0"/>
      <w:marBottom w:val="0"/>
      <w:divBdr>
        <w:top w:val="none" w:sz="0" w:space="0" w:color="auto"/>
        <w:left w:val="none" w:sz="0" w:space="0" w:color="auto"/>
        <w:bottom w:val="none" w:sz="0" w:space="0" w:color="auto"/>
        <w:right w:val="none" w:sz="0" w:space="0" w:color="auto"/>
      </w:divBdr>
    </w:div>
    <w:div w:id="1336692517">
      <w:bodyDiv w:val="1"/>
      <w:marLeft w:val="0"/>
      <w:marRight w:val="0"/>
      <w:marTop w:val="0"/>
      <w:marBottom w:val="0"/>
      <w:divBdr>
        <w:top w:val="none" w:sz="0" w:space="0" w:color="auto"/>
        <w:left w:val="none" w:sz="0" w:space="0" w:color="auto"/>
        <w:bottom w:val="none" w:sz="0" w:space="0" w:color="auto"/>
        <w:right w:val="none" w:sz="0" w:space="0" w:color="auto"/>
      </w:divBdr>
    </w:div>
    <w:div w:id="1337341524">
      <w:bodyDiv w:val="1"/>
      <w:marLeft w:val="0"/>
      <w:marRight w:val="0"/>
      <w:marTop w:val="0"/>
      <w:marBottom w:val="0"/>
      <w:divBdr>
        <w:top w:val="none" w:sz="0" w:space="0" w:color="auto"/>
        <w:left w:val="none" w:sz="0" w:space="0" w:color="auto"/>
        <w:bottom w:val="none" w:sz="0" w:space="0" w:color="auto"/>
        <w:right w:val="none" w:sz="0" w:space="0" w:color="auto"/>
      </w:divBdr>
    </w:div>
    <w:div w:id="1337733565">
      <w:bodyDiv w:val="1"/>
      <w:marLeft w:val="0"/>
      <w:marRight w:val="0"/>
      <w:marTop w:val="0"/>
      <w:marBottom w:val="0"/>
      <w:divBdr>
        <w:top w:val="none" w:sz="0" w:space="0" w:color="auto"/>
        <w:left w:val="none" w:sz="0" w:space="0" w:color="auto"/>
        <w:bottom w:val="none" w:sz="0" w:space="0" w:color="auto"/>
        <w:right w:val="none" w:sz="0" w:space="0" w:color="auto"/>
      </w:divBdr>
    </w:div>
    <w:div w:id="1338190449">
      <w:bodyDiv w:val="1"/>
      <w:marLeft w:val="0"/>
      <w:marRight w:val="0"/>
      <w:marTop w:val="0"/>
      <w:marBottom w:val="0"/>
      <w:divBdr>
        <w:top w:val="none" w:sz="0" w:space="0" w:color="auto"/>
        <w:left w:val="none" w:sz="0" w:space="0" w:color="auto"/>
        <w:bottom w:val="none" w:sz="0" w:space="0" w:color="auto"/>
        <w:right w:val="none" w:sz="0" w:space="0" w:color="auto"/>
      </w:divBdr>
    </w:div>
    <w:div w:id="1338463349">
      <w:bodyDiv w:val="1"/>
      <w:marLeft w:val="0"/>
      <w:marRight w:val="0"/>
      <w:marTop w:val="0"/>
      <w:marBottom w:val="0"/>
      <w:divBdr>
        <w:top w:val="none" w:sz="0" w:space="0" w:color="auto"/>
        <w:left w:val="none" w:sz="0" w:space="0" w:color="auto"/>
        <w:bottom w:val="none" w:sz="0" w:space="0" w:color="auto"/>
        <w:right w:val="none" w:sz="0" w:space="0" w:color="auto"/>
      </w:divBdr>
    </w:div>
    <w:div w:id="1338575813">
      <w:bodyDiv w:val="1"/>
      <w:marLeft w:val="0"/>
      <w:marRight w:val="0"/>
      <w:marTop w:val="0"/>
      <w:marBottom w:val="0"/>
      <w:divBdr>
        <w:top w:val="none" w:sz="0" w:space="0" w:color="auto"/>
        <w:left w:val="none" w:sz="0" w:space="0" w:color="auto"/>
        <w:bottom w:val="none" w:sz="0" w:space="0" w:color="auto"/>
        <w:right w:val="none" w:sz="0" w:space="0" w:color="auto"/>
      </w:divBdr>
    </w:div>
    <w:div w:id="1338653845">
      <w:bodyDiv w:val="1"/>
      <w:marLeft w:val="0"/>
      <w:marRight w:val="0"/>
      <w:marTop w:val="0"/>
      <w:marBottom w:val="0"/>
      <w:divBdr>
        <w:top w:val="none" w:sz="0" w:space="0" w:color="auto"/>
        <w:left w:val="none" w:sz="0" w:space="0" w:color="auto"/>
        <w:bottom w:val="none" w:sz="0" w:space="0" w:color="auto"/>
        <w:right w:val="none" w:sz="0" w:space="0" w:color="auto"/>
      </w:divBdr>
    </w:div>
    <w:div w:id="1339695207">
      <w:bodyDiv w:val="1"/>
      <w:marLeft w:val="0"/>
      <w:marRight w:val="0"/>
      <w:marTop w:val="0"/>
      <w:marBottom w:val="0"/>
      <w:divBdr>
        <w:top w:val="none" w:sz="0" w:space="0" w:color="auto"/>
        <w:left w:val="none" w:sz="0" w:space="0" w:color="auto"/>
        <w:bottom w:val="none" w:sz="0" w:space="0" w:color="auto"/>
        <w:right w:val="none" w:sz="0" w:space="0" w:color="auto"/>
      </w:divBdr>
    </w:div>
    <w:div w:id="1340157808">
      <w:bodyDiv w:val="1"/>
      <w:marLeft w:val="0"/>
      <w:marRight w:val="0"/>
      <w:marTop w:val="0"/>
      <w:marBottom w:val="0"/>
      <w:divBdr>
        <w:top w:val="none" w:sz="0" w:space="0" w:color="auto"/>
        <w:left w:val="none" w:sz="0" w:space="0" w:color="auto"/>
        <w:bottom w:val="none" w:sz="0" w:space="0" w:color="auto"/>
        <w:right w:val="none" w:sz="0" w:space="0" w:color="auto"/>
      </w:divBdr>
    </w:div>
    <w:div w:id="1341347590">
      <w:bodyDiv w:val="1"/>
      <w:marLeft w:val="0"/>
      <w:marRight w:val="0"/>
      <w:marTop w:val="0"/>
      <w:marBottom w:val="0"/>
      <w:divBdr>
        <w:top w:val="none" w:sz="0" w:space="0" w:color="auto"/>
        <w:left w:val="none" w:sz="0" w:space="0" w:color="auto"/>
        <w:bottom w:val="none" w:sz="0" w:space="0" w:color="auto"/>
        <w:right w:val="none" w:sz="0" w:space="0" w:color="auto"/>
      </w:divBdr>
    </w:div>
    <w:div w:id="1342929184">
      <w:bodyDiv w:val="1"/>
      <w:marLeft w:val="0"/>
      <w:marRight w:val="0"/>
      <w:marTop w:val="0"/>
      <w:marBottom w:val="0"/>
      <w:divBdr>
        <w:top w:val="none" w:sz="0" w:space="0" w:color="auto"/>
        <w:left w:val="none" w:sz="0" w:space="0" w:color="auto"/>
        <w:bottom w:val="none" w:sz="0" w:space="0" w:color="auto"/>
        <w:right w:val="none" w:sz="0" w:space="0" w:color="auto"/>
      </w:divBdr>
    </w:div>
    <w:div w:id="1343165240">
      <w:bodyDiv w:val="1"/>
      <w:marLeft w:val="0"/>
      <w:marRight w:val="0"/>
      <w:marTop w:val="0"/>
      <w:marBottom w:val="0"/>
      <w:divBdr>
        <w:top w:val="none" w:sz="0" w:space="0" w:color="auto"/>
        <w:left w:val="none" w:sz="0" w:space="0" w:color="auto"/>
        <w:bottom w:val="none" w:sz="0" w:space="0" w:color="auto"/>
        <w:right w:val="none" w:sz="0" w:space="0" w:color="auto"/>
      </w:divBdr>
    </w:div>
    <w:div w:id="1343320875">
      <w:bodyDiv w:val="1"/>
      <w:marLeft w:val="0"/>
      <w:marRight w:val="0"/>
      <w:marTop w:val="0"/>
      <w:marBottom w:val="0"/>
      <w:divBdr>
        <w:top w:val="none" w:sz="0" w:space="0" w:color="auto"/>
        <w:left w:val="none" w:sz="0" w:space="0" w:color="auto"/>
        <w:bottom w:val="none" w:sz="0" w:space="0" w:color="auto"/>
        <w:right w:val="none" w:sz="0" w:space="0" w:color="auto"/>
      </w:divBdr>
    </w:div>
    <w:div w:id="1344090747">
      <w:bodyDiv w:val="1"/>
      <w:marLeft w:val="0"/>
      <w:marRight w:val="0"/>
      <w:marTop w:val="0"/>
      <w:marBottom w:val="0"/>
      <w:divBdr>
        <w:top w:val="none" w:sz="0" w:space="0" w:color="auto"/>
        <w:left w:val="none" w:sz="0" w:space="0" w:color="auto"/>
        <w:bottom w:val="none" w:sz="0" w:space="0" w:color="auto"/>
        <w:right w:val="none" w:sz="0" w:space="0" w:color="auto"/>
      </w:divBdr>
    </w:div>
    <w:div w:id="1344669468">
      <w:bodyDiv w:val="1"/>
      <w:marLeft w:val="0"/>
      <w:marRight w:val="0"/>
      <w:marTop w:val="0"/>
      <w:marBottom w:val="0"/>
      <w:divBdr>
        <w:top w:val="none" w:sz="0" w:space="0" w:color="auto"/>
        <w:left w:val="none" w:sz="0" w:space="0" w:color="auto"/>
        <w:bottom w:val="none" w:sz="0" w:space="0" w:color="auto"/>
        <w:right w:val="none" w:sz="0" w:space="0" w:color="auto"/>
      </w:divBdr>
    </w:div>
    <w:div w:id="1345018110">
      <w:bodyDiv w:val="1"/>
      <w:marLeft w:val="0"/>
      <w:marRight w:val="0"/>
      <w:marTop w:val="0"/>
      <w:marBottom w:val="0"/>
      <w:divBdr>
        <w:top w:val="none" w:sz="0" w:space="0" w:color="auto"/>
        <w:left w:val="none" w:sz="0" w:space="0" w:color="auto"/>
        <w:bottom w:val="none" w:sz="0" w:space="0" w:color="auto"/>
        <w:right w:val="none" w:sz="0" w:space="0" w:color="auto"/>
      </w:divBdr>
    </w:div>
    <w:div w:id="1345785413">
      <w:bodyDiv w:val="1"/>
      <w:marLeft w:val="0"/>
      <w:marRight w:val="0"/>
      <w:marTop w:val="0"/>
      <w:marBottom w:val="0"/>
      <w:divBdr>
        <w:top w:val="none" w:sz="0" w:space="0" w:color="auto"/>
        <w:left w:val="none" w:sz="0" w:space="0" w:color="auto"/>
        <w:bottom w:val="none" w:sz="0" w:space="0" w:color="auto"/>
        <w:right w:val="none" w:sz="0" w:space="0" w:color="auto"/>
      </w:divBdr>
    </w:div>
    <w:div w:id="1346900382">
      <w:bodyDiv w:val="1"/>
      <w:marLeft w:val="0"/>
      <w:marRight w:val="0"/>
      <w:marTop w:val="0"/>
      <w:marBottom w:val="0"/>
      <w:divBdr>
        <w:top w:val="none" w:sz="0" w:space="0" w:color="auto"/>
        <w:left w:val="none" w:sz="0" w:space="0" w:color="auto"/>
        <w:bottom w:val="none" w:sz="0" w:space="0" w:color="auto"/>
        <w:right w:val="none" w:sz="0" w:space="0" w:color="auto"/>
      </w:divBdr>
    </w:div>
    <w:div w:id="1346907173">
      <w:bodyDiv w:val="1"/>
      <w:marLeft w:val="0"/>
      <w:marRight w:val="0"/>
      <w:marTop w:val="0"/>
      <w:marBottom w:val="0"/>
      <w:divBdr>
        <w:top w:val="none" w:sz="0" w:space="0" w:color="auto"/>
        <w:left w:val="none" w:sz="0" w:space="0" w:color="auto"/>
        <w:bottom w:val="none" w:sz="0" w:space="0" w:color="auto"/>
        <w:right w:val="none" w:sz="0" w:space="0" w:color="auto"/>
      </w:divBdr>
    </w:div>
    <w:div w:id="1347630015">
      <w:bodyDiv w:val="1"/>
      <w:marLeft w:val="0"/>
      <w:marRight w:val="0"/>
      <w:marTop w:val="0"/>
      <w:marBottom w:val="0"/>
      <w:divBdr>
        <w:top w:val="none" w:sz="0" w:space="0" w:color="auto"/>
        <w:left w:val="none" w:sz="0" w:space="0" w:color="auto"/>
        <w:bottom w:val="none" w:sz="0" w:space="0" w:color="auto"/>
        <w:right w:val="none" w:sz="0" w:space="0" w:color="auto"/>
      </w:divBdr>
    </w:div>
    <w:div w:id="1347824880">
      <w:bodyDiv w:val="1"/>
      <w:marLeft w:val="0"/>
      <w:marRight w:val="0"/>
      <w:marTop w:val="0"/>
      <w:marBottom w:val="0"/>
      <w:divBdr>
        <w:top w:val="none" w:sz="0" w:space="0" w:color="auto"/>
        <w:left w:val="none" w:sz="0" w:space="0" w:color="auto"/>
        <w:bottom w:val="none" w:sz="0" w:space="0" w:color="auto"/>
        <w:right w:val="none" w:sz="0" w:space="0" w:color="auto"/>
      </w:divBdr>
    </w:div>
    <w:div w:id="1350913522">
      <w:bodyDiv w:val="1"/>
      <w:marLeft w:val="0"/>
      <w:marRight w:val="0"/>
      <w:marTop w:val="0"/>
      <w:marBottom w:val="0"/>
      <w:divBdr>
        <w:top w:val="none" w:sz="0" w:space="0" w:color="auto"/>
        <w:left w:val="none" w:sz="0" w:space="0" w:color="auto"/>
        <w:bottom w:val="none" w:sz="0" w:space="0" w:color="auto"/>
        <w:right w:val="none" w:sz="0" w:space="0" w:color="auto"/>
      </w:divBdr>
    </w:div>
    <w:div w:id="1351103089">
      <w:bodyDiv w:val="1"/>
      <w:marLeft w:val="0"/>
      <w:marRight w:val="0"/>
      <w:marTop w:val="0"/>
      <w:marBottom w:val="0"/>
      <w:divBdr>
        <w:top w:val="none" w:sz="0" w:space="0" w:color="auto"/>
        <w:left w:val="none" w:sz="0" w:space="0" w:color="auto"/>
        <w:bottom w:val="none" w:sz="0" w:space="0" w:color="auto"/>
        <w:right w:val="none" w:sz="0" w:space="0" w:color="auto"/>
      </w:divBdr>
    </w:div>
    <w:div w:id="1351225162">
      <w:bodyDiv w:val="1"/>
      <w:marLeft w:val="0"/>
      <w:marRight w:val="0"/>
      <w:marTop w:val="0"/>
      <w:marBottom w:val="0"/>
      <w:divBdr>
        <w:top w:val="none" w:sz="0" w:space="0" w:color="auto"/>
        <w:left w:val="none" w:sz="0" w:space="0" w:color="auto"/>
        <w:bottom w:val="none" w:sz="0" w:space="0" w:color="auto"/>
        <w:right w:val="none" w:sz="0" w:space="0" w:color="auto"/>
      </w:divBdr>
    </w:div>
    <w:div w:id="1351832333">
      <w:bodyDiv w:val="1"/>
      <w:marLeft w:val="0"/>
      <w:marRight w:val="0"/>
      <w:marTop w:val="0"/>
      <w:marBottom w:val="0"/>
      <w:divBdr>
        <w:top w:val="none" w:sz="0" w:space="0" w:color="auto"/>
        <w:left w:val="none" w:sz="0" w:space="0" w:color="auto"/>
        <w:bottom w:val="none" w:sz="0" w:space="0" w:color="auto"/>
        <w:right w:val="none" w:sz="0" w:space="0" w:color="auto"/>
      </w:divBdr>
    </w:div>
    <w:div w:id="1352799713">
      <w:bodyDiv w:val="1"/>
      <w:marLeft w:val="0"/>
      <w:marRight w:val="0"/>
      <w:marTop w:val="0"/>
      <w:marBottom w:val="0"/>
      <w:divBdr>
        <w:top w:val="none" w:sz="0" w:space="0" w:color="auto"/>
        <w:left w:val="none" w:sz="0" w:space="0" w:color="auto"/>
        <w:bottom w:val="none" w:sz="0" w:space="0" w:color="auto"/>
        <w:right w:val="none" w:sz="0" w:space="0" w:color="auto"/>
      </w:divBdr>
    </w:div>
    <w:div w:id="1352947477">
      <w:bodyDiv w:val="1"/>
      <w:marLeft w:val="0"/>
      <w:marRight w:val="0"/>
      <w:marTop w:val="0"/>
      <w:marBottom w:val="0"/>
      <w:divBdr>
        <w:top w:val="none" w:sz="0" w:space="0" w:color="auto"/>
        <w:left w:val="none" w:sz="0" w:space="0" w:color="auto"/>
        <w:bottom w:val="none" w:sz="0" w:space="0" w:color="auto"/>
        <w:right w:val="none" w:sz="0" w:space="0" w:color="auto"/>
      </w:divBdr>
    </w:div>
    <w:div w:id="1352952407">
      <w:bodyDiv w:val="1"/>
      <w:marLeft w:val="0"/>
      <w:marRight w:val="0"/>
      <w:marTop w:val="0"/>
      <w:marBottom w:val="0"/>
      <w:divBdr>
        <w:top w:val="none" w:sz="0" w:space="0" w:color="auto"/>
        <w:left w:val="none" w:sz="0" w:space="0" w:color="auto"/>
        <w:bottom w:val="none" w:sz="0" w:space="0" w:color="auto"/>
        <w:right w:val="none" w:sz="0" w:space="0" w:color="auto"/>
      </w:divBdr>
    </w:div>
    <w:div w:id="1353148693">
      <w:bodyDiv w:val="1"/>
      <w:marLeft w:val="0"/>
      <w:marRight w:val="0"/>
      <w:marTop w:val="0"/>
      <w:marBottom w:val="0"/>
      <w:divBdr>
        <w:top w:val="none" w:sz="0" w:space="0" w:color="auto"/>
        <w:left w:val="none" w:sz="0" w:space="0" w:color="auto"/>
        <w:bottom w:val="none" w:sz="0" w:space="0" w:color="auto"/>
        <w:right w:val="none" w:sz="0" w:space="0" w:color="auto"/>
      </w:divBdr>
    </w:div>
    <w:div w:id="1353721565">
      <w:bodyDiv w:val="1"/>
      <w:marLeft w:val="0"/>
      <w:marRight w:val="0"/>
      <w:marTop w:val="0"/>
      <w:marBottom w:val="0"/>
      <w:divBdr>
        <w:top w:val="none" w:sz="0" w:space="0" w:color="auto"/>
        <w:left w:val="none" w:sz="0" w:space="0" w:color="auto"/>
        <w:bottom w:val="none" w:sz="0" w:space="0" w:color="auto"/>
        <w:right w:val="none" w:sz="0" w:space="0" w:color="auto"/>
      </w:divBdr>
    </w:div>
    <w:div w:id="1354723179">
      <w:bodyDiv w:val="1"/>
      <w:marLeft w:val="0"/>
      <w:marRight w:val="0"/>
      <w:marTop w:val="0"/>
      <w:marBottom w:val="0"/>
      <w:divBdr>
        <w:top w:val="none" w:sz="0" w:space="0" w:color="auto"/>
        <w:left w:val="none" w:sz="0" w:space="0" w:color="auto"/>
        <w:bottom w:val="none" w:sz="0" w:space="0" w:color="auto"/>
        <w:right w:val="none" w:sz="0" w:space="0" w:color="auto"/>
      </w:divBdr>
    </w:div>
    <w:div w:id="1355577951">
      <w:bodyDiv w:val="1"/>
      <w:marLeft w:val="0"/>
      <w:marRight w:val="0"/>
      <w:marTop w:val="0"/>
      <w:marBottom w:val="0"/>
      <w:divBdr>
        <w:top w:val="none" w:sz="0" w:space="0" w:color="auto"/>
        <w:left w:val="none" w:sz="0" w:space="0" w:color="auto"/>
        <w:bottom w:val="none" w:sz="0" w:space="0" w:color="auto"/>
        <w:right w:val="none" w:sz="0" w:space="0" w:color="auto"/>
      </w:divBdr>
    </w:div>
    <w:div w:id="1356693346">
      <w:bodyDiv w:val="1"/>
      <w:marLeft w:val="0"/>
      <w:marRight w:val="0"/>
      <w:marTop w:val="0"/>
      <w:marBottom w:val="0"/>
      <w:divBdr>
        <w:top w:val="none" w:sz="0" w:space="0" w:color="auto"/>
        <w:left w:val="none" w:sz="0" w:space="0" w:color="auto"/>
        <w:bottom w:val="none" w:sz="0" w:space="0" w:color="auto"/>
        <w:right w:val="none" w:sz="0" w:space="0" w:color="auto"/>
      </w:divBdr>
    </w:div>
    <w:div w:id="1356730905">
      <w:bodyDiv w:val="1"/>
      <w:marLeft w:val="0"/>
      <w:marRight w:val="0"/>
      <w:marTop w:val="0"/>
      <w:marBottom w:val="0"/>
      <w:divBdr>
        <w:top w:val="none" w:sz="0" w:space="0" w:color="auto"/>
        <w:left w:val="none" w:sz="0" w:space="0" w:color="auto"/>
        <w:bottom w:val="none" w:sz="0" w:space="0" w:color="auto"/>
        <w:right w:val="none" w:sz="0" w:space="0" w:color="auto"/>
      </w:divBdr>
    </w:div>
    <w:div w:id="1356886245">
      <w:bodyDiv w:val="1"/>
      <w:marLeft w:val="0"/>
      <w:marRight w:val="0"/>
      <w:marTop w:val="0"/>
      <w:marBottom w:val="0"/>
      <w:divBdr>
        <w:top w:val="none" w:sz="0" w:space="0" w:color="auto"/>
        <w:left w:val="none" w:sz="0" w:space="0" w:color="auto"/>
        <w:bottom w:val="none" w:sz="0" w:space="0" w:color="auto"/>
        <w:right w:val="none" w:sz="0" w:space="0" w:color="auto"/>
      </w:divBdr>
    </w:div>
    <w:div w:id="1357659799">
      <w:bodyDiv w:val="1"/>
      <w:marLeft w:val="0"/>
      <w:marRight w:val="0"/>
      <w:marTop w:val="0"/>
      <w:marBottom w:val="0"/>
      <w:divBdr>
        <w:top w:val="none" w:sz="0" w:space="0" w:color="auto"/>
        <w:left w:val="none" w:sz="0" w:space="0" w:color="auto"/>
        <w:bottom w:val="none" w:sz="0" w:space="0" w:color="auto"/>
        <w:right w:val="none" w:sz="0" w:space="0" w:color="auto"/>
      </w:divBdr>
    </w:div>
    <w:div w:id="1358778838">
      <w:bodyDiv w:val="1"/>
      <w:marLeft w:val="0"/>
      <w:marRight w:val="0"/>
      <w:marTop w:val="0"/>
      <w:marBottom w:val="0"/>
      <w:divBdr>
        <w:top w:val="none" w:sz="0" w:space="0" w:color="auto"/>
        <w:left w:val="none" w:sz="0" w:space="0" w:color="auto"/>
        <w:bottom w:val="none" w:sz="0" w:space="0" w:color="auto"/>
        <w:right w:val="none" w:sz="0" w:space="0" w:color="auto"/>
      </w:divBdr>
    </w:div>
    <w:div w:id="1358895830">
      <w:bodyDiv w:val="1"/>
      <w:marLeft w:val="0"/>
      <w:marRight w:val="0"/>
      <w:marTop w:val="0"/>
      <w:marBottom w:val="0"/>
      <w:divBdr>
        <w:top w:val="none" w:sz="0" w:space="0" w:color="auto"/>
        <w:left w:val="none" w:sz="0" w:space="0" w:color="auto"/>
        <w:bottom w:val="none" w:sz="0" w:space="0" w:color="auto"/>
        <w:right w:val="none" w:sz="0" w:space="0" w:color="auto"/>
      </w:divBdr>
    </w:div>
    <w:div w:id="1359040320">
      <w:bodyDiv w:val="1"/>
      <w:marLeft w:val="0"/>
      <w:marRight w:val="0"/>
      <w:marTop w:val="0"/>
      <w:marBottom w:val="0"/>
      <w:divBdr>
        <w:top w:val="none" w:sz="0" w:space="0" w:color="auto"/>
        <w:left w:val="none" w:sz="0" w:space="0" w:color="auto"/>
        <w:bottom w:val="none" w:sz="0" w:space="0" w:color="auto"/>
        <w:right w:val="none" w:sz="0" w:space="0" w:color="auto"/>
      </w:divBdr>
    </w:div>
    <w:div w:id="1359313376">
      <w:bodyDiv w:val="1"/>
      <w:marLeft w:val="0"/>
      <w:marRight w:val="0"/>
      <w:marTop w:val="0"/>
      <w:marBottom w:val="0"/>
      <w:divBdr>
        <w:top w:val="none" w:sz="0" w:space="0" w:color="auto"/>
        <w:left w:val="none" w:sz="0" w:space="0" w:color="auto"/>
        <w:bottom w:val="none" w:sz="0" w:space="0" w:color="auto"/>
        <w:right w:val="none" w:sz="0" w:space="0" w:color="auto"/>
      </w:divBdr>
    </w:div>
    <w:div w:id="1359888172">
      <w:bodyDiv w:val="1"/>
      <w:marLeft w:val="0"/>
      <w:marRight w:val="0"/>
      <w:marTop w:val="0"/>
      <w:marBottom w:val="0"/>
      <w:divBdr>
        <w:top w:val="none" w:sz="0" w:space="0" w:color="auto"/>
        <w:left w:val="none" w:sz="0" w:space="0" w:color="auto"/>
        <w:bottom w:val="none" w:sz="0" w:space="0" w:color="auto"/>
        <w:right w:val="none" w:sz="0" w:space="0" w:color="auto"/>
      </w:divBdr>
    </w:div>
    <w:div w:id="1360161923">
      <w:bodyDiv w:val="1"/>
      <w:marLeft w:val="0"/>
      <w:marRight w:val="0"/>
      <w:marTop w:val="0"/>
      <w:marBottom w:val="0"/>
      <w:divBdr>
        <w:top w:val="none" w:sz="0" w:space="0" w:color="auto"/>
        <w:left w:val="none" w:sz="0" w:space="0" w:color="auto"/>
        <w:bottom w:val="none" w:sz="0" w:space="0" w:color="auto"/>
        <w:right w:val="none" w:sz="0" w:space="0" w:color="auto"/>
      </w:divBdr>
    </w:div>
    <w:div w:id="1361200260">
      <w:bodyDiv w:val="1"/>
      <w:marLeft w:val="0"/>
      <w:marRight w:val="0"/>
      <w:marTop w:val="0"/>
      <w:marBottom w:val="0"/>
      <w:divBdr>
        <w:top w:val="none" w:sz="0" w:space="0" w:color="auto"/>
        <w:left w:val="none" w:sz="0" w:space="0" w:color="auto"/>
        <w:bottom w:val="none" w:sz="0" w:space="0" w:color="auto"/>
        <w:right w:val="none" w:sz="0" w:space="0" w:color="auto"/>
      </w:divBdr>
    </w:div>
    <w:div w:id="1361475520">
      <w:bodyDiv w:val="1"/>
      <w:marLeft w:val="0"/>
      <w:marRight w:val="0"/>
      <w:marTop w:val="0"/>
      <w:marBottom w:val="0"/>
      <w:divBdr>
        <w:top w:val="none" w:sz="0" w:space="0" w:color="auto"/>
        <w:left w:val="none" w:sz="0" w:space="0" w:color="auto"/>
        <w:bottom w:val="none" w:sz="0" w:space="0" w:color="auto"/>
        <w:right w:val="none" w:sz="0" w:space="0" w:color="auto"/>
      </w:divBdr>
    </w:div>
    <w:div w:id="1361587062">
      <w:bodyDiv w:val="1"/>
      <w:marLeft w:val="0"/>
      <w:marRight w:val="0"/>
      <w:marTop w:val="0"/>
      <w:marBottom w:val="0"/>
      <w:divBdr>
        <w:top w:val="none" w:sz="0" w:space="0" w:color="auto"/>
        <w:left w:val="none" w:sz="0" w:space="0" w:color="auto"/>
        <w:bottom w:val="none" w:sz="0" w:space="0" w:color="auto"/>
        <w:right w:val="none" w:sz="0" w:space="0" w:color="auto"/>
      </w:divBdr>
    </w:div>
    <w:div w:id="1361929305">
      <w:bodyDiv w:val="1"/>
      <w:marLeft w:val="0"/>
      <w:marRight w:val="0"/>
      <w:marTop w:val="0"/>
      <w:marBottom w:val="0"/>
      <w:divBdr>
        <w:top w:val="none" w:sz="0" w:space="0" w:color="auto"/>
        <w:left w:val="none" w:sz="0" w:space="0" w:color="auto"/>
        <w:bottom w:val="none" w:sz="0" w:space="0" w:color="auto"/>
        <w:right w:val="none" w:sz="0" w:space="0" w:color="auto"/>
      </w:divBdr>
    </w:div>
    <w:div w:id="1361929377">
      <w:bodyDiv w:val="1"/>
      <w:marLeft w:val="0"/>
      <w:marRight w:val="0"/>
      <w:marTop w:val="0"/>
      <w:marBottom w:val="0"/>
      <w:divBdr>
        <w:top w:val="none" w:sz="0" w:space="0" w:color="auto"/>
        <w:left w:val="none" w:sz="0" w:space="0" w:color="auto"/>
        <w:bottom w:val="none" w:sz="0" w:space="0" w:color="auto"/>
        <w:right w:val="none" w:sz="0" w:space="0" w:color="auto"/>
      </w:divBdr>
    </w:div>
    <w:div w:id="1362169613">
      <w:bodyDiv w:val="1"/>
      <w:marLeft w:val="0"/>
      <w:marRight w:val="0"/>
      <w:marTop w:val="0"/>
      <w:marBottom w:val="0"/>
      <w:divBdr>
        <w:top w:val="none" w:sz="0" w:space="0" w:color="auto"/>
        <w:left w:val="none" w:sz="0" w:space="0" w:color="auto"/>
        <w:bottom w:val="none" w:sz="0" w:space="0" w:color="auto"/>
        <w:right w:val="none" w:sz="0" w:space="0" w:color="auto"/>
      </w:divBdr>
    </w:div>
    <w:div w:id="1362975478">
      <w:bodyDiv w:val="1"/>
      <w:marLeft w:val="0"/>
      <w:marRight w:val="0"/>
      <w:marTop w:val="0"/>
      <w:marBottom w:val="0"/>
      <w:divBdr>
        <w:top w:val="none" w:sz="0" w:space="0" w:color="auto"/>
        <w:left w:val="none" w:sz="0" w:space="0" w:color="auto"/>
        <w:bottom w:val="none" w:sz="0" w:space="0" w:color="auto"/>
        <w:right w:val="none" w:sz="0" w:space="0" w:color="auto"/>
      </w:divBdr>
    </w:div>
    <w:div w:id="1363551743">
      <w:bodyDiv w:val="1"/>
      <w:marLeft w:val="0"/>
      <w:marRight w:val="0"/>
      <w:marTop w:val="0"/>
      <w:marBottom w:val="0"/>
      <w:divBdr>
        <w:top w:val="none" w:sz="0" w:space="0" w:color="auto"/>
        <w:left w:val="none" w:sz="0" w:space="0" w:color="auto"/>
        <w:bottom w:val="none" w:sz="0" w:space="0" w:color="auto"/>
        <w:right w:val="none" w:sz="0" w:space="0" w:color="auto"/>
      </w:divBdr>
    </w:div>
    <w:div w:id="1363554934">
      <w:bodyDiv w:val="1"/>
      <w:marLeft w:val="0"/>
      <w:marRight w:val="0"/>
      <w:marTop w:val="0"/>
      <w:marBottom w:val="0"/>
      <w:divBdr>
        <w:top w:val="none" w:sz="0" w:space="0" w:color="auto"/>
        <w:left w:val="none" w:sz="0" w:space="0" w:color="auto"/>
        <w:bottom w:val="none" w:sz="0" w:space="0" w:color="auto"/>
        <w:right w:val="none" w:sz="0" w:space="0" w:color="auto"/>
      </w:divBdr>
    </w:div>
    <w:div w:id="1363827458">
      <w:bodyDiv w:val="1"/>
      <w:marLeft w:val="0"/>
      <w:marRight w:val="0"/>
      <w:marTop w:val="0"/>
      <w:marBottom w:val="0"/>
      <w:divBdr>
        <w:top w:val="none" w:sz="0" w:space="0" w:color="auto"/>
        <w:left w:val="none" w:sz="0" w:space="0" w:color="auto"/>
        <w:bottom w:val="none" w:sz="0" w:space="0" w:color="auto"/>
        <w:right w:val="none" w:sz="0" w:space="0" w:color="auto"/>
      </w:divBdr>
    </w:div>
    <w:div w:id="1364398672">
      <w:bodyDiv w:val="1"/>
      <w:marLeft w:val="0"/>
      <w:marRight w:val="0"/>
      <w:marTop w:val="0"/>
      <w:marBottom w:val="0"/>
      <w:divBdr>
        <w:top w:val="none" w:sz="0" w:space="0" w:color="auto"/>
        <w:left w:val="none" w:sz="0" w:space="0" w:color="auto"/>
        <w:bottom w:val="none" w:sz="0" w:space="0" w:color="auto"/>
        <w:right w:val="none" w:sz="0" w:space="0" w:color="auto"/>
      </w:divBdr>
    </w:div>
    <w:div w:id="1364790302">
      <w:bodyDiv w:val="1"/>
      <w:marLeft w:val="0"/>
      <w:marRight w:val="0"/>
      <w:marTop w:val="0"/>
      <w:marBottom w:val="0"/>
      <w:divBdr>
        <w:top w:val="none" w:sz="0" w:space="0" w:color="auto"/>
        <w:left w:val="none" w:sz="0" w:space="0" w:color="auto"/>
        <w:bottom w:val="none" w:sz="0" w:space="0" w:color="auto"/>
        <w:right w:val="none" w:sz="0" w:space="0" w:color="auto"/>
      </w:divBdr>
    </w:div>
    <w:div w:id="1365010986">
      <w:bodyDiv w:val="1"/>
      <w:marLeft w:val="0"/>
      <w:marRight w:val="0"/>
      <w:marTop w:val="0"/>
      <w:marBottom w:val="0"/>
      <w:divBdr>
        <w:top w:val="none" w:sz="0" w:space="0" w:color="auto"/>
        <w:left w:val="none" w:sz="0" w:space="0" w:color="auto"/>
        <w:bottom w:val="none" w:sz="0" w:space="0" w:color="auto"/>
        <w:right w:val="none" w:sz="0" w:space="0" w:color="auto"/>
      </w:divBdr>
    </w:div>
    <w:div w:id="1365013440">
      <w:bodyDiv w:val="1"/>
      <w:marLeft w:val="0"/>
      <w:marRight w:val="0"/>
      <w:marTop w:val="0"/>
      <w:marBottom w:val="0"/>
      <w:divBdr>
        <w:top w:val="none" w:sz="0" w:space="0" w:color="auto"/>
        <w:left w:val="none" w:sz="0" w:space="0" w:color="auto"/>
        <w:bottom w:val="none" w:sz="0" w:space="0" w:color="auto"/>
        <w:right w:val="none" w:sz="0" w:space="0" w:color="auto"/>
      </w:divBdr>
    </w:div>
    <w:div w:id="1365670366">
      <w:bodyDiv w:val="1"/>
      <w:marLeft w:val="0"/>
      <w:marRight w:val="0"/>
      <w:marTop w:val="0"/>
      <w:marBottom w:val="0"/>
      <w:divBdr>
        <w:top w:val="none" w:sz="0" w:space="0" w:color="auto"/>
        <w:left w:val="none" w:sz="0" w:space="0" w:color="auto"/>
        <w:bottom w:val="none" w:sz="0" w:space="0" w:color="auto"/>
        <w:right w:val="none" w:sz="0" w:space="0" w:color="auto"/>
      </w:divBdr>
    </w:div>
    <w:div w:id="1365865198">
      <w:bodyDiv w:val="1"/>
      <w:marLeft w:val="0"/>
      <w:marRight w:val="0"/>
      <w:marTop w:val="0"/>
      <w:marBottom w:val="0"/>
      <w:divBdr>
        <w:top w:val="none" w:sz="0" w:space="0" w:color="auto"/>
        <w:left w:val="none" w:sz="0" w:space="0" w:color="auto"/>
        <w:bottom w:val="none" w:sz="0" w:space="0" w:color="auto"/>
        <w:right w:val="none" w:sz="0" w:space="0" w:color="auto"/>
      </w:divBdr>
    </w:div>
    <w:div w:id="1366632962">
      <w:bodyDiv w:val="1"/>
      <w:marLeft w:val="0"/>
      <w:marRight w:val="0"/>
      <w:marTop w:val="0"/>
      <w:marBottom w:val="0"/>
      <w:divBdr>
        <w:top w:val="none" w:sz="0" w:space="0" w:color="auto"/>
        <w:left w:val="none" w:sz="0" w:space="0" w:color="auto"/>
        <w:bottom w:val="none" w:sz="0" w:space="0" w:color="auto"/>
        <w:right w:val="none" w:sz="0" w:space="0" w:color="auto"/>
      </w:divBdr>
    </w:div>
    <w:div w:id="1367363592">
      <w:bodyDiv w:val="1"/>
      <w:marLeft w:val="0"/>
      <w:marRight w:val="0"/>
      <w:marTop w:val="0"/>
      <w:marBottom w:val="0"/>
      <w:divBdr>
        <w:top w:val="none" w:sz="0" w:space="0" w:color="auto"/>
        <w:left w:val="none" w:sz="0" w:space="0" w:color="auto"/>
        <w:bottom w:val="none" w:sz="0" w:space="0" w:color="auto"/>
        <w:right w:val="none" w:sz="0" w:space="0" w:color="auto"/>
      </w:divBdr>
    </w:div>
    <w:div w:id="1367947663">
      <w:bodyDiv w:val="1"/>
      <w:marLeft w:val="0"/>
      <w:marRight w:val="0"/>
      <w:marTop w:val="0"/>
      <w:marBottom w:val="0"/>
      <w:divBdr>
        <w:top w:val="none" w:sz="0" w:space="0" w:color="auto"/>
        <w:left w:val="none" w:sz="0" w:space="0" w:color="auto"/>
        <w:bottom w:val="none" w:sz="0" w:space="0" w:color="auto"/>
        <w:right w:val="none" w:sz="0" w:space="0" w:color="auto"/>
      </w:divBdr>
      <w:divsChild>
        <w:div w:id="832530862">
          <w:marLeft w:val="480"/>
          <w:marRight w:val="0"/>
          <w:marTop w:val="0"/>
          <w:marBottom w:val="0"/>
          <w:divBdr>
            <w:top w:val="none" w:sz="0" w:space="0" w:color="auto"/>
            <w:left w:val="none" w:sz="0" w:space="0" w:color="auto"/>
            <w:bottom w:val="none" w:sz="0" w:space="0" w:color="auto"/>
            <w:right w:val="none" w:sz="0" w:space="0" w:color="auto"/>
          </w:divBdr>
        </w:div>
        <w:div w:id="1617175831">
          <w:marLeft w:val="480"/>
          <w:marRight w:val="0"/>
          <w:marTop w:val="0"/>
          <w:marBottom w:val="0"/>
          <w:divBdr>
            <w:top w:val="none" w:sz="0" w:space="0" w:color="auto"/>
            <w:left w:val="none" w:sz="0" w:space="0" w:color="auto"/>
            <w:bottom w:val="none" w:sz="0" w:space="0" w:color="auto"/>
            <w:right w:val="none" w:sz="0" w:space="0" w:color="auto"/>
          </w:divBdr>
        </w:div>
        <w:div w:id="1291665946">
          <w:marLeft w:val="480"/>
          <w:marRight w:val="0"/>
          <w:marTop w:val="0"/>
          <w:marBottom w:val="0"/>
          <w:divBdr>
            <w:top w:val="none" w:sz="0" w:space="0" w:color="auto"/>
            <w:left w:val="none" w:sz="0" w:space="0" w:color="auto"/>
            <w:bottom w:val="none" w:sz="0" w:space="0" w:color="auto"/>
            <w:right w:val="none" w:sz="0" w:space="0" w:color="auto"/>
          </w:divBdr>
        </w:div>
        <w:div w:id="1734767068">
          <w:marLeft w:val="480"/>
          <w:marRight w:val="0"/>
          <w:marTop w:val="0"/>
          <w:marBottom w:val="0"/>
          <w:divBdr>
            <w:top w:val="none" w:sz="0" w:space="0" w:color="auto"/>
            <w:left w:val="none" w:sz="0" w:space="0" w:color="auto"/>
            <w:bottom w:val="none" w:sz="0" w:space="0" w:color="auto"/>
            <w:right w:val="none" w:sz="0" w:space="0" w:color="auto"/>
          </w:divBdr>
        </w:div>
        <w:div w:id="1763641206">
          <w:marLeft w:val="480"/>
          <w:marRight w:val="0"/>
          <w:marTop w:val="0"/>
          <w:marBottom w:val="0"/>
          <w:divBdr>
            <w:top w:val="none" w:sz="0" w:space="0" w:color="auto"/>
            <w:left w:val="none" w:sz="0" w:space="0" w:color="auto"/>
            <w:bottom w:val="none" w:sz="0" w:space="0" w:color="auto"/>
            <w:right w:val="none" w:sz="0" w:space="0" w:color="auto"/>
          </w:divBdr>
        </w:div>
        <w:div w:id="324212091">
          <w:marLeft w:val="480"/>
          <w:marRight w:val="0"/>
          <w:marTop w:val="0"/>
          <w:marBottom w:val="0"/>
          <w:divBdr>
            <w:top w:val="none" w:sz="0" w:space="0" w:color="auto"/>
            <w:left w:val="none" w:sz="0" w:space="0" w:color="auto"/>
            <w:bottom w:val="none" w:sz="0" w:space="0" w:color="auto"/>
            <w:right w:val="none" w:sz="0" w:space="0" w:color="auto"/>
          </w:divBdr>
        </w:div>
        <w:div w:id="1322470269">
          <w:marLeft w:val="480"/>
          <w:marRight w:val="0"/>
          <w:marTop w:val="0"/>
          <w:marBottom w:val="0"/>
          <w:divBdr>
            <w:top w:val="none" w:sz="0" w:space="0" w:color="auto"/>
            <w:left w:val="none" w:sz="0" w:space="0" w:color="auto"/>
            <w:bottom w:val="none" w:sz="0" w:space="0" w:color="auto"/>
            <w:right w:val="none" w:sz="0" w:space="0" w:color="auto"/>
          </w:divBdr>
        </w:div>
        <w:div w:id="1871798407">
          <w:marLeft w:val="480"/>
          <w:marRight w:val="0"/>
          <w:marTop w:val="0"/>
          <w:marBottom w:val="0"/>
          <w:divBdr>
            <w:top w:val="none" w:sz="0" w:space="0" w:color="auto"/>
            <w:left w:val="none" w:sz="0" w:space="0" w:color="auto"/>
            <w:bottom w:val="none" w:sz="0" w:space="0" w:color="auto"/>
            <w:right w:val="none" w:sz="0" w:space="0" w:color="auto"/>
          </w:divBdr>
        </w:div>
        <w:div w:id="1570850015">
          <w:marLeft w:val="480"/>
          <w:marRight w:val="0"/>
          <w:marTop w:val="0"/>
          <w:marBottom w:val="0"/>
          <w:divBdr>
            <w:top w:val="none" w:sz="0" w:space="0" w:color="auto"/>
            <w:left w:val="none" w:sz="0" w:space="0" w:color="auto"/>
            <w:bottom w:val="none" w:sz="0" w:space="0" w:color="auto"/>
            <w:right w:val="none" w:sz="0" w:space="0" w:color="auto"/>
          </w:divBdr>
        </w:div>
        <w:div w:id="538007504">
          <w:marLeft w:val="480"/>
          <w:marRight w:val="0"/>
          <w:marTop w:val="0"/>
          <w:marBottom w:val="0"/>
          <w:divBdr>
            <w:top w:val="none" w:sz="0" w:space="0" w:color="auto"/>
            <w:left w:val="none" w:sz="0" w:space="0" w:color="auto"/>
            <w:bottom w:val="none" w:sz="0" w:space="0" w:color="auto"/>
            <w:right w:val="none" w:sz="0" w:space="0" w:color="auto"/>
          </w:divBdr>
        </w:div>
        <w:div w:id="847063516">
          <w:marLeft w:val="480"/>
          <w:marRight w:val="0"/>
          <w:marTop w:val="0"/>
          <w:marBottom w:val="0"/>
          <w:divBdr>
            <w:top w:val="none" w:sz="0" w:space="0" w:color="auto"/>
            <w:left w:val="none" w:sz="0" w:space="0" w:color="auto"/>
            <w:bottom w:val="none" w:sz="0" w:space="0" w:color="auto"/>
            <w:right w:val="none" w:sz="0" w:space="0" w:color="auto"/>
          </w:divBdr>
        </w:div>
        <w:div w:id="987631553">
          <w:marLeft w:val="480"/>
          <w:marRight w:val="0"/>
          <w:marTop w:val="0"/>
          <w:marBottom w:val="0"/>
          <w:divBdr>
            <w:top w:val="none" w:sz="0" w:space="0" w:color="auto"/>
            <w:left w:val="none" w:sz="0" w:space="0" w:color="auto"/>
            <w:bottom w:val="none" w:sz="0" w:space="0" w:color="auto"/>
            <w:right w:val="none" w:sz="0" w:space="0" w:color="auto"/>
          </w:divBdr>
        </w:div>
        <w:div w:id="2123842570">
          <w:marLeft w:val="480"/>
          <w:marRight w:val="0"/>
          <w:marTop w:val="0"/>
          <w:marBottom w:val="0"/>
          <w:divBdr>
            <w:top w:val="none" w:sz="0" w:space="0" w:color="auto"/>
            <w:left w:val="none" w:sz="0" w:space="0" w:color="auto"/>
            <w:bottom w:val="none" w:sz="0" w:space="0" w:color="auto"/>
            <w:right w:val="none" w:sz="0" w:space="0" w:color="auto"/>
          </w:divBdr>
        </w:div>
        <w:div w:id="919370217">
          <w:marLeft w:val="480"/>
          <w:marRight w:val="0"/>
          <w:marTop w:val="0"/>
          <w:marBottom w:val="0"/>
          <w:divBdr>
            <w:top w:val="none" w:sz="0" w:space="0" w:color="auto"/>
            <w:left w:val="none" w:sz="0" w:space="0" w:color="auto"/>
            <w:bottom w:val="none" w:sz="0" w:space="0" w:color="auto"/>
            <w:right w:val="none" w:sz="0" w:space="0" w:color="auto"/>
          </w:divBdr>
        </w:div>
        <w:div w:id="1507206638">
          <w:marLeft w:val="480"/>
          <w:marRight w:val="0"/>
          <w:marTop w:val="0"/>
          <w:marBottom w:val="0"/>
          <w:divBdr>
            <w:top w:val="none" w:sz="0" w:space="0" w:color="auto"/>
            <w:left w:val="none" w:sz="0" w:space="0" w:color="auto"/>
            <w:bottom w:val="none" w:sz="0" w:space="0" w:color="auto"/>
            <w:right w:val="none" w:sz="0" w:space="0" w:color="auto"/>
          </w:divBdr>
        </w:div>
        <w:div w:id="2059548069">
          <w:marLeft w:val="480"/>
          <w:marRight w:val="0"/>
          <w:marTop w:val="0"/>
          <w:marBottom w:val="0"/>
          <w:divBdr>
            <w:top w:val="none" w:sz="0" w:space="0" w:color="auto"/>
            <w:left w:val="none" w:sz="0" w:space="0" w:color="auto"/>
            <w:bottom w:val="none" w:sz="0" w:space="0" w:color="auto"/>
            <w:right w:val="none" w:sz="0" w:space="0" w:color="auto"/>
          </w:divBdr>
        </w:div>
        <w:div w:id="1671369514">
          <w:marLeft w:val="480"/>
          <w:marRight w:val="0"/>
          <w:marTop w:val="0"/>
          <w:marBottom w:val="0"/>
          <w:divBdr>
            <w:top w:val="none" w:sz="0" w:space="0" w:color="auto"/>
            <w:left w:val="none" w:sz="0" w:space="0" w:color="auto"/>
            <w:bottom w:val="none" w:sz="0" w:space="0" w:color="auto"/>
            <w:right w:val="none" w:sz="0" w:space="0" w:color="auto"/>
          </w:divBdr>
        </w:div>
        <w:div w:id="343946714">
          <w:marLeft w:val="480"/>
          <w:marRight w:val="0"/>
          <w:marTop w:val="0"/>
          <w:marBottom w:val="0"/>
          <w:divBdr>
            <w:top w:val="none" w:sz="0" w:space="0" w:color="auto"/>
            <w:left w:val="none" w:sz="0" w:space="0" w:color="auto"/>
            <w:bottom w:val="none" w:sz="0" w:space="0" w:color="auto"/>
            <w:right w:val="none" w:sz="0" w:space="0" w:color="auto"/>
          </w:divBdr>
        </w:div>
        <w:div w:id="1669752514">
          <w:marLeft w:val="480"/>
          <w:marRight w:val="0"/>
          <w:marTop w:val="0"/>
          <w:marBottom w:val="0"/>
          <w:divBdr>
            <w:top w:val="none" w:sz="0" w:space="0" w:color="auto"/>
            <w:left w:val="none" w:sz="0" w:space="0" w:color="auto"/>
            <w:bottom w:val="none" w:sz="0" w:space="0" w:color="auto"/>
            <w:right w:val="none" w:sz="0" w:space="0" w:color="auto"/>
          </w:divBdr>
        </w:div>
        <w:div w:id="886987912">
          <w:marLeft w:val="480"/>
          <w:marRight w:val="0"/>
          <w:marTop w:val="0"/>
          <w:marBottom w:val="0"/>
          <w:divBdr>
            <w:top w:val="none" w:sz="0" w:space="0" w:color="auto"/>
            <w:left w:val="none" w:sz="0" w:space="0" w:color="auto"/>
            <w:bottom w:val="none" w:sz="0" w:space="0" w:color="auto"/>
            <w:right w:val="none" w:sz="0" w:space="0" w:color="auto"/>
          </w:divBdr>
        </w:div>
        <w:div w:id="241185644">
          <w:marLeft w:val="480"/>
          <w:marRight w:val="0"/>
          <w:marTop w:val="0"/>
          <w:marBottom w:val="0"/>
          <w:divBdr>
            <w:top w:val="none" w:sz="0" w:space="0" w:color="auto"/>
            <w:left w:val="none" w:sz="0" w:space="0" w:color="auto"/>
            <w:bottom w:val="none" w:sz="0" w:space="0" w:color="auto"/>
            <w:right w:val="none" w:sz="0" w:space="0" w:color="auto"/>
          </w:divBdr>
        </w:div>
        <w:div w:id="1434209966">
          <w:marLeft w:val="480"/>
          <w:marRight w:val="0"/>
          <w:marTop w:val="0"/>
          <w:marBottom w:val="0"/>
          <w:divBdr>
            <w:top w:val="none" w:sz="0" w:space="0" w:color="auto"/>
            <w:left w:val="none" w:sz="0" w:space="0" w:color="auto"/>
            <w:bottom w:val="none" w:sz="0" w:space="0" w:color="auto"/>
            <w:right w:val="none" w:sz="0" w:space="0" w:color="auto"/>
          </w:divBdr>
        </w:div>
        <w:div w:id="469175375">
          <w:marLeft w:val="480"/>
          <w:marRight w:val="0"/>
          <w:marTop w:val="0"/>
          <w:marBottom w:val="0"/>
          <w:divBdr>
            <w:top w:val="none" w:sz="0" w:space="0" w:color="auto"/>
            <w:left w:val="none" w:sz="0" w:space="0" w:color="auto"/>
            <w:bottom w:val="none" w:sz="0" w:space="0" w:color="auto"/>
            <w:right w:val="none" w:sz="0" w:space="0" w:color="auto"/>
          </w:divBdr>
        </w:div>
        <w:div w:id="1416437366">
          <w:marLeft w:val="480"/>
          <w:marRight w:val="0"/>
          <w:marTop w:val="0"/>
          <w:marBottom w:val="0"/>
          <w:divBdr>
            <w:top w:val="none" w:sz="0" w:space="0" w:color="auto"/>
            <w:left w:val="none" w:sz="0" w:space="0" w:color="auto"/>
            <w:bottom w:val="none" w:sz="0" w:space="0" w:color="auto"/>
            <w:right w:val="none" w:sz="0" w:space="0" w:color="auto"/>
          </w:divBdr>
        </w:div>
        <w:div w:id="1638295899">
          <w:marLeft w:val="480"/>
          <w:marRight w:val="0"/>
          <w:marTop w:val="0"/>
          <w:marBottom w:val="0"/>
          <w:divBdr>
            <w:top w:val="none" w:sz="0" w:space="0" w:color="auto"/>
            <w:left w:val="none" w:sz="0" w:space="0" w:color="auto"/>
            <w:bottom w:val="none" w:sz="0" w:space="0" w:color="auto"/>
            <w:right w:val="none" w:sz="0" w:space="0" w:color="auto"/>
          </w:divBdr>
        </w:div>
        <w:div w:id="2063597594">
          <w:marLeft w:val="480"/>
          <w:marRight w:val="0"/>
          <w:marTop w:val="0"/>
          <w:marBottom w:val="0"/>
          <w:divBdr>
            <w:top w:val="none" w:sz="0" w:space="0" w:color="auto"/>
            <w:left w:val="none" w:sz="0" w:space="0" w:color="auto"/>
            <w:bottom w:val="none" w:sz="0" w:space="0" w:color="auto"/>
            <w:right w:val="none" w:sz="0" w:space="0" w:color="auto"/>
          </w:divBdr>
        </w:div>
        <w:div w:id="9766410">
          <w:marLeft w:val="480"/>
          <w:marRight w:val="0"/>
          <w:marTop w:val="0"/>
          <w:marBottom w:val="0"/>
          <w:divBdr>
            <w:top w:val="none" w:sz="0" w:space="0" w:color="auto"/>
            <w:left w:val="none" w:sz="0" w:space="0" w:color="auto"/>
            <w:bottom w:val="none" w:sz="0" w:space="0" w:color="auto"/>
            <w:right w:val="none" w:sz="0" w:space="0" w:color="auto"/>
          </w:divBdr>
        </w:div>
        <w:div w:id="2025470672">
          <w:marLeft w:val="480"/>
          <w:marRight w:val="0"/>
          <w:marTop w:val="0"/>
          <w:marBottom w:val="0"/>
          <w:divBdr>
            <w:top w:val="none" w:sz="0" w:space="0" w:color="auto"/>
            <w:left w:val="none" w:sz="0" w:space="0" w:color="auto"/>
            <w:bottom w:val="none" w:sz="0" w:space="0" w:color="auto"/>
            <w:right w:val="none" w:sz="0" w:space="0" w:color="auto"/>
          </w:divBdr>
        </w:div>
        <w:div w:id="2022123662">
          <w:marLeft w:val="480"/>
          <w:marRight w:val="0"/>
          <w:marTop w:val="0"/>
          <w:marBottom w:val="0"/>
          <w:divBdr>
            <w:top w:val="none" w:sz="0" w:space="0" w:color="auto"/>
            <w:left w:val="none" w:sz="0" w:space="0" w:color="auto"/>
            <w:bottom w:val="none" w:sz="0" w:space="0" w:color="auto"/>
            <w:right w:val="none" w:sz="0" w:space="0" w:color="auto"/>
          </w:divBdr>
        </w:div>
        <w:div w:id="1844978557">
          <w:marLeft w:val="480"/>
          <w:marRight w:val="0"/>
          <w:marTop w:val="0"/>
          <w:marBottom w:val="0"/>
          <w:divBdr>
            <w:top w:val="none" w:sz="0" w:space="0" w:color="auto"/>
            <w:left w:val="none" w:sz="0" w:space="0" w:color="auto"/>
            <w:bottom w:val="none" w:sz="0" w:space="0" w:color="auto"/>
            <w:right w:val="none" w:sz="0" w:space="0" w:color="auto"/>
          </w:divBdr>
        </w:div>
        <w:div w:id="1579560456">
          <w:marLeft w:val="480"/>
          <w:marRight w:val="0"/>
          <w:marTop w:val="0"/>
          <w:marBottom w:val="0"/>
          <w:divBdr>
            <w:top w:val="none" w:sz="0" w:space="0" w:color="auto"/>
            <w:left w:val="none" w:sz="0" w:space="0" w:color="auto"/>
            <w:bottom w:val="none" w:sz="0" w:space="0" w:color="auto"/>
            <w:right w:val="none" w:sz="0" w:space="0" w:color="auto"/>
          </w:divBdr>
        </w:div>
        <w:div w:id="1049458532">
          <w:marLeft w:val="480"/>
          <w:marRight w:val="0"/>
          <w:marTop w:val="0"/>
          <w:marBottom w:val="0"/>
          <w:divBdr>
            <w:top w:val="none" w:sz="0" w:space="0" w:color="auto"/>
            <w:left w:val="none" w:sz="0" w:space="0" w:color="auto"/>
            <w:bottom w:val="none" w:sz="0" w:space="0" w:color="auto"/>
            <w:right w:val="none" w:sz="0" w:space="0" w:color="auto"/>
          </w:divBdr>
        </w:div>
        <w:div w:id="108623683">
          <w:marLeft w:val="480"/>
          <w:marRight w:val="0"/>
          <w:marTop w:val="0"/>
          <w:marBottom w:val="0"/>
          <w:divBdr>
            <w:top w:val="none" w:sz="0" w:space="0" w:color="auto"/>
            <w:left w:val="none" w:sz="0" w:space="0" w:color="auto"/>
            <w:bottom w:val="none" w:sz="0" w:space="0" w:color="auto"/>
            <w:right w:val="none" w:sz="0" w:space="0" w:color="auto"/>
          </w:divBdr>
        </w:div>
        <w:div w:id="1420567085">
          <w:marLeft w:val="480"/>
          <w:marRight w:val="0"/>
          <w:marTop w:val="0"/>
          <w:marBottom w:val="0"/>
          <w:divBdr>
            <w:top w:val="none" w:sz="0" w:space="0" w:color="auto"/>
            <w:left w:val="none" w:sz="0" w:space="0" w:color="auto"/>
            <w:bottom w:val="none" w:sz="0" w:space="0" w:color="auto"/>
            <w:right w:val="none" w:sz="0" w:space="0" w:color="auto"/>
          </w:divBdr>
        </w:div>
        <w:div w:id="948007343">
          <w:marLeft w:val="480"/>
          <w:marRight w:val="0"/>
          <w:marTop w:val="0"/>
          <w:marBottom w:val="0"/>
          <w:divBdr>
            <w:top w:val="none" w:sz="0" w:space="0" w:color="auto"/>
            <w:left w:val="none" w:sz="0" w:space="0" w:color="auto"/>
            <w:bottom w:val="none" w:sz="0" w:space="0" w:color="auto"/>
            <w:right w:val="none" w:sz="0" w:space="0" w:color="auto"/>
          </w:divBdr>
        </w:div>
        <w:div w:id="1236086170">
          <w:marLeft w:val="480"/>
          <w:marRight w:val="0"/>
          <w:marTop w:val="0"/>
          <w:marBottom w:val="0"/>
          <w:divBdr>
            <w:top w:val="none" w:sz="0" w:space="0" w:color="auto"/>
            <w:left w:val="none" w:sz="0" w:space="0" w:color="auto"/>
            <w:bottom w:val="none" w:sz="0" w:space="0" w:color="auto"/>
            <w:right w:val="none" w:sz="0" w:space="0" w:color="auto"/>
          </w:divBdr>
        </w:div>
        <w:div w:id="768086815">
          <w:marLeft w:val="480"/>
          <w:marRight w:val="0"/>
          <w:marTop w:val="0"/>
          <w:marBottom w:val="0"/>
          <w:divBdr>
            <w:top w:val="none" w:sz="0" w:space="0" w:color="auto"/>
            <w:left w:val="none" w:sz="0" w:space="0" w:color="auto"/>
            <w:bottom w:val="none" w:sz="0" w:space="0" w:color="auto"/>
            <w:right w:val="none" w:sz="0" w:space="0" w:color="auto"/>
          </w:divBdr>
        </w:div>
        <w:div w:id="781535562">
          <w:marLeft w:val="480"/>
          <w:marRight w:val="0"/>
          <w:marTop w:val="0"/>
          <w:marBottom w:val="0"/>
          <w:divBdr>
            <w:top w:val="none" w:sz="0" w:space="0" w:color="auto"/>
            <w:left w:val="none" w:sz="0" w:space="0" w:color="auto"/>
            <w:bottom w:val="none" w:sz="0" w:space="0" w:color="auto"/>
            <w:right w:val="none" w:sz="0" w:space="0" w:color="auto"/>
          </w:divBdr>
        </w:div>
        <w:div w:id="1609658796">
          <w:marLeft w:val="480"/>
          <w:marRight w:val="0"/>
          <w:marTop w:val="0"/>
          <w:marBottom w:val="0"/>
          <w:divBdr>
            <w:top w:val="none" w:sz="0" w:space="0" w:color="auto"/>
            <w:left w:val="none" w:sz="0" w:space="0" w:color="auto"/>
            <w:bottom w:val="none" w:sz="0" w:space="0" w:color="auto"/>
            <w:right w:val="none" w:sz="0" w:space="0" w:color="auto"/>
          </w:divBdr>
        </w:div>
        <w:div w:id="1111708697">
          <w:marLeft w:val="480"/>
          <w:marRight w:val="0"/>
          <w:marTop w:val="0"/>
          <w:marBottom w:val="0"/>
          <w:divBdr>
            <w:top w:val="none" w:sz="0" w:space="0" w:color="auto"/>
            <w:left w:val="none" w:sz="0" w:space="0" w:color="auto"/>
            <w:bottom w:val="none" w:sz="0" w:space="0" w:color="auto"/>
            <w:right w:val="none" w:sz="0" w:space="0" w:color="auto"/>
          </w:divBdr>
        </w:div>
        <w:div w:id="91585814">
          <w:marLeft w:val="480"/>
          <w:marRight w:val="0"/>
          <w:marTop w:val="0"/>
          <w:marBottom w:val="0"/>
          <w:divBdr>
            <w:top w:val="none" w:sz="0" w:space="0" w:color="auto"/>
            <w:left w:val="none" w:sz="0" w:space="0" w:color="auto"/>
            <w:bottom w:val="none" w:sz="0" w:space="0" w:color="auto"/>
            <w:right w:val="none" w:sz="0" w:space="0" w:color="auto"/>
          </w:divBdr>
        </w:div>
        <w:div w:id="411240452">
          <w:marLeft w:val="480"/>
          <w:marRight w:val="0"/>
          <w:marTop w:val="0"/>
          <w:marBottom w:val="0"/>
          <w:divBdr>
            <w:top w:val="none" w:sz="0" w:space="0" w:color="auto"/>
            <w:left w:val="none" w:sz="0" w:space="0" w:color="auto"/>
            <w:bottom w:val="none" w:sz="0" w:space="0" w:color="auto"/>
            <w:right w:val="none" w:sz="0" w:space="0" w:color="auto"/>
          </w:divBdr>
        </w:div>
        <w:div w:id="1125004621">
          <w:marLeft w:val="480"/>
          <w:marRight w:val="0"/>
          <w:marTop w:val="0"/>
          <w:marBottom w:val="0"/>
          <w:divBdr>
            <w:top w:val="none" w:sz="0" w:space="0" w:color="auto"/>
            <w:left w:val="none" w:sz="0" w:space="0" w:color="auto"/>
            <w:bottom w:val="none" w:sz="0" w:space="0" w:color="auto"/>
            <w:right w:val="none" w:sz="0" w:space="0" w:color="auto"/>
          </w:divBdr>
        </w:div>
        <w:div w:id="226569826">
          <w:marLeft w:val="480"/>
          <w:marRight w:val="0"/>
          <w:marTop w:val="0"/>
          <w:marBottom w:val="0"/>
          <w:divBdr>
            <w:top w:val="none" w:sz="0" w:space="0" w:color="auto"/>
            <w:left w:val="none" w:sz="0" w:space="0" w:color="auto"/>
            <w:bottom w:val="none" w:sz="0" w:space="0" w:color="auto"/>
            <w:right w:val="none" w:sz="0" w:space="0" w:color="auto"/>
          </w:divBdr>
        </w:div>
        <w:div w:id="918756024">
          <w:marLeft w:val="480"/>
          <w:marRight w:val="0"/>
          <w:marTop w:val="0"/>
          <w:marBottom w:val="0"/>
          <w:divBdr>
            <w:top w:val="none" w:sz="0" w:space="0" w:color="auto"/>
            <w:left w:val="none" w:sz="0" w:space="0" w:color="auto"/>
            <w:bottom w:val="none" w:sz="0" w:space="0" w:color="auto"/>
            <w:right w:val="none" w:sz="0" w:space="0" w:color="auto"/>
          </w:divBdr>
        </w:div>
        <w:div w:id="404648132">
          <w:marLeft w:val="480"/>
          <w:marRight w:val="0"/>
          <w:marTop w:val="0"/>
          <w:marBottom w:val="0"/>
          <w:divBdr>
            <w:top w:val="none" w:sz="0" w:space="0" w:color="auto"/>
            <w:left w:val="none" w:sz="0" w:space="0" w:color="auto"/>
            <w:bottom w:val="none" w:sz="0" w:space="0" w:color="auto"/>
            <w:right w:val="none" w:sz="0" w:space="0" w:color="auto"/>
          </w:divBdr>
        </w:div>
        <w:div w:id="926616049">
          <w:marLeft w:val="480"/>
          <w:marRight w:val="0"/>
          <w:marTop w:val="0"/>
          <w:marBottom w:val="0"/>
          <w:divBdr>
            <w:top w:val="none" w:sz="0" w:space="0" w:color="auto"/>
            <w:left w:val="none" w:sz="0" w:space="0" w:color="auto"/>
            <w:bottom w:val="none" w:sz="0" w:space="0" w:color="auto"/>
            <w:right w:val="none" w:sz="0" w:space="0" w:color="auto"/>
          </w:divBdr>
        </w:div>
        <w:div w:id="192234663">
          <w:marLeft w:val="480"/>
          <w:marRight w:val="0"/>
          <w:marTop w:val="0"/>
          <w:marBottom w:val="0"/>
          <w:divBdr>
            <w:top w:val="none" w:sz="0" w:space="0" w:color="auto"/>
            <w:left w:val="none" w:sz="0" w:space="0" w:color="auto"/>
            <w:bottom w:val="none" w:sz="0" w:space="0" w:color="auto"/>
            <w:right w:val="none" w:sz="0" w:space="0" w:color="auto"/>
          </w:divBdr>
        </w:div>
        <w:div w:id="2102676099">
          <w:marLeft w:val="480"/>
          <w:marRight w:val="0"/>
          <w:marTop w:val="0"/>
          <w:marBottom w:val="0"/>
          <w:divBdr>
            <w:top w:val="none" w:sz="0" w:space="0" w:color="auto"/>
            <w:left w:val="none" w:sz="0" w:space="0" w:color="auto"/>
            <w:bottom w:val="none" w:sz="0" w:space="0" w:color="auto"/>
            <w:right w:val="none" w:sz="0" w:space="0" w:color="auto"/>
          </w:divBdr>
        </w:div>
        <w:div w:id="1889535514">
          <w:marLeft w:val="480"/>
          <w:marRight w:val="0"/>
          <w:marTop w:val="0"/>
          <w:marBottom w:val="0"/>
          <w:divBdr>
            <w:top w:val="none" w:sz="0" w:space="0" w:color="auto"/>
            <w:left w:val="none" w:sz="0" w:space="0" w:color="auto"/>
            <w:bottom w:val="none" w:sz="0" w:space="0" w:color="auto"/>
            <w:right w:val="none" w:sz="0" w:space="0" w:color="auto"/>
          </w:divBdr>
        </w:div>
        <w:div w:id="1371226451">
          <w:marLeft w:val="480"/>
          <w:marRight w:val="0"/>
          <w:marTop w:val="0"/>
          <w:marBottom w:val="0"/>
          <w:divBdr>
            <w:top w:val="none" w:sz="0" w:space="0" w:color="auto"/>
            <w:left w:val="none" w:sz="0" w:space="0" w:color="auto"/>
            <w:bottom w:val="none" w:sz="0" w:space="0" w:color="auto"/>
            <w:right w:val="none" w:sz="0" w:space="0" w:color="auto"/>
          </w:divBdr>
        </w:div>
        <w:div w:id="1569605920">
          <w:marLeft w:val="480"/>
          <w:marRight w:val="0"/>
          <w:marTop w:val="0"/>
          <w:marBottom w:val="0"/>
          <w:divBdr>
            <w:top w:val="none" w:sz="0" w:space="0" w:color="auto"/>
            <w:left w:val="none" w:sz="0" w:space="0" w:color="auto"/>
            <w:bottom w:val="none" w:sz="0" w:space="0" w:color="auto"/>
            <w:right w:val="none" w:sz="0" w:space="0" w:color="auto"/>
          </w:divBdr>
        </w:div>
        <w:div w:id="1718432390">
          <w:marLeft w:val="480"/>
          <w:marRight w:val="0"/>
          <w:marTop w:val="0"/>
          <w:marBottom w:val="0"/>
          <w:divBdr>
            <w:top w:val="none" w:sz="0" w:space="0" w:color="auto"/>
            <w:left w:val="none" w:sz="0" w:space="0" w:color="auto"/>
            <w:bottom w:val="none" w:sz="0" w:space="0" w:color="auto"/>
            <w:right w:val="none" w:sz="0" w:space="0" w:color="auto"/>
          </w:divBdr>
        </w:div>
        <w:div w:id="953318836">
          <w:marLeft w:val="480"/>
          <w:marRight w:val="0"/>
          <w:marTop w:val="0"/>
          <w:marBottom w:val="0"/>
          <w:divBdr>
            <w:top w:val="none" w:sz="0" w:space="0" w:color="auto"/>
            <w:left w:val="none" w:sz="0" w:space="0" w:color="auto"/>
            <w:bottom w:val="none" w:sz="0" w:space="0" w:color="auto"/>
            <w:right w:val="none" w:sz="0" w:space="0" w:color="auto"/>
          </w:divBdr>
        </w:div>
        <w:div w:id="1202092808">
          <w:marLeft w:val="480"/>
          <w:marRight w:val="0"/>
          <w:marTop w:val="0"/>
          <w:marBottom w:val="0"/>
          <w:divBdr>
            <w:top w:val="none" w:sz="0" w:space="0" w:color="auto"/>
            <w:left w:val="none" w:sz="0" w:space="0" w:color="auto"/>
            <w:bottom w:val="none" w:sz="0" w:space="0" w:color="auto"/>
            <w:right w:val="none" w:sz="0" w:space="0" w:color="auto"/>
          </w:divBdr>
        </w:div>
        <w:div w:id="842429222">
          <w:marLeft w:val="480"/>
          <w:marRight w:val="0"/>
          <w:marTop w:val="0"/>
          <w:marBottom w:val="0"/>
          <w:divBdr>
            <w:top w:val="none" w:sz="0" w:space="0" w:color="auto"/>
            <w:left w:val="none" w:sz="0" w:space="0" w:color="auto"/>
            <w:bottom w:val="none" w:sz="0" w:space="0" w:color="auto"/>
            <w:right w:val="none" w:sz="0" w:space="0" w:color="auto"/>
          </w:divBdr>
        </w:div>
        <w:div w:id="952401876">
          <w:marLeft w:val="480"/>
          <w:marRight w:val="0"/>
          <w:marTop w:val="0"/>
          <w:marBottom w:val="0"/>
          <w:divBdr>
            <w:top w:val="none" w:sz="0" w:space="0" w:color="auto"/>
            <w:left w:val="none" w:sz="0" w:space="0" w:color="auto"/>
            <w:bottom w:val="none" w:sz="0" w:space="0" w:color="auto"/>
            <w:right w:val="none" w:sz="0" w:space="0" w:color="auto"/>
          </w:divBdr>
        </w:div>
        <w:div w:id="964583794">
          <w:marLeft w:val="480"/>
          <w:marRight w:val="0"/>
          <w:marTop w:val="0"/>
          <w:marBottom w:val="0"/>
          <w:divBdr>
            <w:top w:val="none" w:sz="0" w:space="0" w:color="auto"/>
            <w:left w:val="none" w:sz="0" w:space="0" w:color="auto"/>
            <w:bottom w:val="none" w:sz="0" w:space="0" w:color="auto"/>
            <w:right w:val="none" w:sz="0" w:space="0" w:color="auto"/>
          </w:divBdr>
        </w:div>
        <w:div w:id="1735616652">
          <w:marLeft w:val="480"/>
          <w:marRight w:val="0"/>
          <w:marTop w:val="0"/>
          <w:marBottom w:val="0"/>
          <w:divBdr>
            <w:top w:val="none" w:sz="0" w:space="0" w:color="auto"/>
            <w:left w:val="none" w:sz="0" w:space="0" w:color="auto"/>
            <w:bottom w:val="none" w:sz="0" w:space="0" w:color="auto"/>
            <w:right w:val="none" w:sz="0" w:space="0" w:color="auto"/>
          </w:divBdr>
        </w:div>
        <w:div w:id="997150504">
          <w:marLeft w:val="480"/>
          <w:marRight w:val="0"/>
          <w:marTop w:val="0"/>
          <w:marBottom w:val="0"/>
          <w:divBdr>
            <w:top w:val="none" w:sz="0" w:space="0" w:color="auto"/>
            <w:left w:val="none" w:sz="0" w:space="0" w:color="auto"/>
            <w:bottom w:val="none" w:sz="0" w:space="0" w:color="auto"/>
            <w:right w:val="none" w:sz="0" w:space="0" w:color="auto"/>
          </w:divBdr>
        </w:div>
        <w:div w:id="399639514">
          <w:marLeft w:val="480"/>
          <w:marRight w:val="0"/>
          <w:marTop w:val="0"/>
          <w:marBottom w:val="0"/>
          <w:divBdr>
            <w:top w:val="none" w:sz="0" w:space="0" w:color="auto"/>
            <w:left w:val="none" w:sz="0" w:space="0" w:color="auto"/>
            <w:bottom w:val="none" w:sz="0" w:space="0" w:color="auto"/>
            <w:right w:val="none" w:sz="0" w:space="0" w:color="auto"/>
          </w:divBdr>
        </w:div>
        <w:div w:id="176503682">
          <w:marLeft w:val="480"/>
          <w:marRight w:val="0"/>
          <w:marTop w:val="0"/>
          <w:marBottom w:val="0"/>
          <w:divBdr>
            <w:top w:val="none" w:sz="0" w:space="0" w:color="auto"/>
            <w:left w:val="none" w:sz="0" w:space="0" w:color="auto"/>
            <w:bottom w:val="none" w:sz="0" w:space="0" w:color="auto"/>
            <w:right w:val="none" w:sz="0" w:space="0" w:color="auto"/>
          </w:divBdr>
        </w:div>
        <w:div w:id="1239829685">
          <w:marLeft w:val="480"/>
          <w:marRight w:val="0"/>
          <w:marTop w:val="0"/>
          <w:marBottom w:val="0"/>
          <w:divBdr>
            <w:top w:val="none" w:sz="0" w:space="0" w:color="auto"/>
            <w:left w:val="none" w:sz="0" w:space="0" w:color="auto"/>
            <w:bottom w:val="none" w:sz="0" w:space="0" w:color="auto"/>
            <w:right w:val="none" w:sz="0" w:space="0" w:color="auto"/>
          </w:divBdr>
        </w:div>
        <w:div w:id="684940131">
          <w:marLeft w:val="480"/>
          <w:marRight w:val="0"/>
          <w:marTop w:val="0"/>
          <w:marBottom w:val="0"/>
          <w:divBdr>
            <w:top w:val="none" w:sz="0" w:space="0" w:color="auto"/>
            <w:left w:val="none" w:sz="0" w:space="0" w:color="auto"/>
            <w:bottom w:val="none" w:sz="0" w:space="0" w:color="auto"/>
            <w:right w:val="none" w:sz="0" w:space="0" w:color="auto"/>
          </w:divBdr>
        </w:div>
        <w:div w:id="289477430">
          <w:marLeft w:val="480"/>
          <w:marRight w:val="0"/>
          <w:marTop w:val="0"/>
          <w:marBottom w:val="0"/>
          <w:divBdr>
            <w:top w:val="none" w:sz="0" w:space="0" w:color="auto"/>
            <w:left w:val="none" w:sz="0" w:space="0" w:color="auto"/>
            <w:bottom w:val="none" w:sz="0" w:space="0" w:color="auto"/>
            <w:right w:val="none" w:sz="0" w:space="0" w:color="auto"/>
          </w:divBdr>
        </w:div>
        <w:div w:id="685401045">
          <w:marLeft w:val="480"/>
          <w:marRight w:val="0"/>
          <w:marTop w:val="0"/>
          <w:marBottom w:val="0"/>
          <w:divBdr>
            <w:top w:val="none" w:sz="0" w:space="0" w:color="auto"/>
            <w:left w:val="none" w:sz="0" w:space="0" w:color="auto"/>
            <w:bottom w:val="none" w:sz="0" w:space="0" w:color="auto"/>
            <w:right w:val="none" w:sz="0" w:space="0" w:color="auto"/>
          </w:divBdr>
        </w:div>
        <w:div w:id="191921164">
          <w:marLeft w:val="480"/>
          <w:marRight w:val="0"/>
          <w:marTop w:val="0"/>
          <w:marBottom w:val="0"/>
          <w:divBdr>
            <w:top w:val="none" w:sz="0" w:space="0" w:color="auto"/>
            <w:left w:val="none" w:sz="0" w:space="0" w:color="auto"/>
            <w:bottom w:val="none" w:sz="0" w:space="0" w:color="auto"/>
            <w:right w:val="none" w:sz="0" w:space="0" w:color="auto"/>
          </w:divBdr>
        </w:div>
        <w:div w:id="467744309">
          <w:marLeft w:val="480"/>
          <w:marRight w:val="0"/>
          <w:marTop w:val="0"/>
          <w:marBottom w:val="0"/>
          <w:divBdr>
            <w:top w:val="none" w:sz="0" w:space="0" w:color="auto"/>
            <w:left w:val="none" w:sz="0" w:space="0" w:color="auto"/>
            <w:bottom w:val="none" w:sz="0" w:space="0" w:color="auto"/>
            <w:right w:val="none" w:sz="0" w:space="0" w:color="auto"/>
          </w:divBdr>
        </w:div>
        <w:div w:id="474640035">
          <w:marLeft w:val="480"/>
          <w:marRight w:val="0"/>
          <w:marTop w:val="0"/>
          <w:marBottom w:val="0"/>
          <w:divBdr>
            <w:top w:val="none" w:sz="0" w:space="0" w:color="auto"/>
            <w:left w:val="none" w:sz="0" w:space="0" w:color="auto"/>
            <w:bottom w:val="none" w:sz="0" w:space="0" w:color="auto"/>
            <w:right w:val="none" w:sz="0" w:space="0" w:color="auto"/>
          </w:divBdr>
        </w:div>
        <w:div w:id="394621197">
          <w:marLeft w:val="480"/>
          <w:marRight w:val="0"/>
          <w:marTop w:val="0"/>
          <w:marBottom w:val="0"/>
          <w:divBdr>
            <w:top w:val="none" w:sz="0" w:space="0" w:color="auto"/>
            <w:left w:val="none" w:sz="0" w:space="0" w:color="auto"/>
            <w:bottom w:val="none" w:sz="0" w:space="0" w:color="auto"/>
            <w:right w:val="none" w:sz="0" w:space="0" w:color="auto"/>
          </w:divBdr>
        </w:div>
        <w:div w:id="902957501">
          <w:marLeft w:val="480"/>
          <w:marRight w:val="0"/>
          <w:marTop w:val="0"/>
          <w:marBottom w:val="0"/>
          <w:divBdr>
            <w:top w:val="none" w:sz="0" w:space="0" w:color="auto"/>
            <w:left w:val="none" w:sz="0" w:space="0" w:color="auto"/>
            <w:bottom w:val="none" w:sz="0" w:space="0" w:color="auto"/>
            <w:right w:val="none" w:sz="0" w:space="0" w:color="auto"/>
          </w:divBdr>
        </w:div>
        <w:div w:id="418987929">
          <w:marLeft w:val="480"/>
          <w:marRight w:val="0"/>
          <w:marTop w:val="0"/>
          <w:marBottom w:val="0"/>
          <w:divBdr>
            <w:top w:val="none" w:sz="0" w:space="0" w:color="auto"/>
            <w:left w:val="none" w:sz="0" w:space="0" w:color="auto"/>
            <w:bottom w:val="none" w:sz="0" w:space="0" w:color="auto"/>
            <w:right w:val="none" w:sz="0" w:space="0" w:color="auto"/>
          </w:divBdr>
        </w:div>
        <w:div w:id="1208302534">
          <w:marLeft w:val="480"/>
          <w:marRight w:val="0"/>
          <w:marTop w:val="0"/>
          <w:marBottom w:val="0"/>
          <w:divBdr>
            <w:top w:val="none" w:sz="0" w:space="0" w:color="auto"/>
            <w:left w:val="none" w:sz="0" w:space="0" w:color="auto"/>
            <w:bottom w:val="none" w:sz="0" w:space="0" w:color="auto"/>
            <w:right w:val="none" w:sz="0" w:space="0" w:color="auto"/>
          </w:divBdr>
        </w:div>
        <w:div w:id="1834644196">
          <w:marLeft w:val="480"/>
          <w:marRight w:val="0"/>
          <w:marTop w:val="0"/>
          <w:marBottom w:val="0"/>
          <w:divBdr>
            <w:top w:val="none" w:sz="0" w:space="0" w:color="auto"/>
            <w:left w:val="none" w:sz="0" w:space="0" w:color="auto"/>
            <w:bottom w:val="none" w:sz="0" w:space="0" w:color="auto"/>
            <w:right w:val="none" w:sz="0" w:space="0" w:color="auto"/>
          </w:divBdr>
        </w:div>
        <w:div w:id="1542547992">
          <w:marLeft w:val="480"/>
          <w:marRight w:val="0"/>
          <w:marTop w:val="0"/>
          <w:marBottom w:val="0"/>
          <w:divBdr>
            <w:top w:val="none" w:sz="0" w:space="0" w:color="auto"/>
            <w:left w:val="none" w:sz="0" w:space="0" w:color="auto"/>
            <w:bottom w:val="none" w:sz="0" w:space="0" w:color="auto"/>
            <w:right w:val="none" w:sz="0" w:space="0" w:color="auto"/>
          </w:divBdr>
        </w:div>
        <w:div w:id="1131823923">
          <w:marLeft w:val="480"/>
          <w:marRight w:val="0"/>
          <w:marTop w:val="0"/>
          <w:marBottom w:val="0"/>
          <w:divBdr>
            <w:top w:val="none" w:sz="0" w:space="0" w:color="auto"/>
            <w:left w:val="none" w:sz="0" w:space="0" w:color="auto"/>
            <w:bottom w:val="none" w:sz="0" w:space="0" w:color="auto"/>
            <w:right w:val="none" w:sz="0" w:space="0" w:color="auto"/>
          </w:divBdr>
        </w:div>
        <w:div w:id="1671446256">
          <w:marLeft w:val="480"/>
          <w:marRight w:val="0"/>
          <w:marTop w:val="0"/>
          <w:marBottom w:val="0"/>
          <w:divBdr>
            <w:top w:val="none" w:sz="0" w:space="0" w:color="auto"/>
            <w:left w:val="none" w:sz="0" w:space="0" w:color="auto"/>
            <w:bottom w:val="none" w:sz="0" w:space="0" w:color="auto"/>
            <w:right w:val="none" w:sz="0" w:space="0" w:color="auto"/>
          </w:divBdr>
        </w:div>
        <w:div w:id="791629647">
          <w:marLeft w:val="480"/>
          <w:marRight w:val="0"/>
          <w:marTop w:val="0"/>
          <w:marBottom w:val="0"/>
          <w:divBdr>
            <w:top w:val="none" w:sz="0" w:space="0" w:color="auto"/>
            <w:left w:val="none" w:sz="0" w:space="0" w:color="auto"/>
            <w:bottom w:val="none" w:sz="0" w:space="0" w:color="auto"/>
            <w:right w:val="none" w:sz="0" w:space="0" w:color="auto"/>
          </w:divBdr>
        </w:div>
        <w:div w:id="1647316527">
          <w:marLeft w:val="480"/>
          <w:marRight w:val="0"/>
          <w:marTop w:val="0"/>
          <w:marBottom w:val="0"/>
          <w:divBdr>
            <w:top w:val="none" w:sz="0" w:space="0" w:color="auto"/>
            <w:left w:val="none" w:sz="0" w:space="0" w:color="auto"/>
            <w:bottom w:val="none" w:sz="0" w:space="0" w:color="auto"/>
            <w:right w:val="none" w:sz="0" w:space="0" w:color="auto"/>
          </w:divBdr>
        </w:div>
        <w:div w:id="1504855102">
          <w:marLeft w:val="480"/>
          <w:marRight w:val="0"/>
          <w:marTop w:val="0"/>
          <w:marBottom w:val="0"/>
          <w:divBdr>
            <w:top w:val="none" w:sz="0" w:space="0" w:color="auto"/>
            <w:left w:val="none" w:sz="0" w:space="0" w:color="auto"/>
            <w:bottom w:val="none" w:sz="0" w:space="0" w:color="auto"/>
            <w:right w:val="none" w:sz="0" w:space="0" w:color="auto"/>
          </w:divBdr>
        </w:div>
        <w:div w:id="1559823868">
          <w:marLeft w:val="480"/>
          <w:marRight w:val="0"/>
          <w:marTop w:val="0"/>
          <w:marBottom w:val="0"/>
          <w:divBdr>
            <w:top w:val="none" w:sz="0" w:space="0" w:color="auto"/>
            <w:left w:val="none" w:sz="0" w:space="0" w:color="auto"/>
            <w:bottom w:val="none" w:sz="0" w:space="0" w:color="auto"/>
            <w:right w:val="none" w:sz="0" w:space="0" w:color="auto"/>
          </w:divBdr>
        </w:div>
        <w:div w:id="1693915422">
          <w:marLeft w:val="480"/>
          <w:marRight w:val="0"/>
          <w:marTop w:val="0"/>
          <w:marBottom w:val="0"/>
          <w:divBdr>
            <w:top w:val="none" w:sz="0" w:space="0" w:color="auto"/>
            <w:left w:val="none" w:sz="0" w:space="0" w:color="auto"/>
            <w:bottom w:val="none" w:sz="0" w:space="0" w:color="auto"/>
            <w:right w:val="none" w:sz="0" w:space="0" w:color="auto"/>
          </w:divBdr>
        </w:div>
        <w:div w:id="1032996162">
          <w:marLeft w:val="480"/>
          <w:marRight w:val="0"/>
          <w:marTop w:val="0"/>
          <w:marBottom w:val="0"/>
          <w:divBdr>
            <w:top w:val="none" w:sz="0" w:space="0" w:color="auto"/>
            <w:left w:val="none" w:sz="0" w:space="0" w:color="auto"/>
            <w:bottom w:val="none" w:sz="0" w:space="0" w:color="auto"/>
            <w:right w:val="none" w:sz="0" w:space="0" w:color="auto"/>
          </w:divBdr>
        </w:div>
        <w:div w:id="1262451817">
          <w:marLeft w:val="480"/>
          <w:marRight w:val="0"/>
          <w:marTop w:val="0"/>
          <w:marBottom w:val="0"/>
          <w:divBdr>
            <w:top w:val="none" w:sz="0" w:space="0" w:color="auto"/>
            <w:left w:val="none" w:sz="0" w:space="0" w:color="auto"/>
            <w:bottom w:val="none" w:sz="0" w:space="0" w:color="auto"/>
            <w:right w:val="none" w:sz="0" w:space="0" w:color="auto"/>
          </w:divBdr>
        </w:div>
        <w:div w:id="1719931120">
          <w:marLeft w:val="480"/>
          <w:marRight w:val="0"/>
          <w:marTop w:val="0"/>
          <w:marBottom w:val="0"/>
          <w:divBdr>
            <w:top w:val="none" w:sz="0" w:space="0" w:color="auto"/>
            <w:left w:val="none" w:sz="0" w:space="0" w:color="auto"/>
            <w:bottom w:val="none" w:sz="0" w:space="0" w:color="auto"/>
            <w:right w:val="none" w:sz="0" w:space="0" w:color="auto"/>
          </w:divBdr>
        </w:div>
        <w:div w:id="310525801">
          <w:marLeft w:val="480"/>
          <w:marRight w:val="0"/>
          <w:marTop w:val="0"/>
          <w:marBottom w:val="0"/>
          <w:divBdr>
            <w:top w:val="none" w:sz="0" w:space="0" w:color="auto"/>
            <w:left w:val="none" w:sz="0" w:space="0" w:color="auto"/>
            <w:bottom w:val="none" w:sz="0" w:space="0" w:color="auto"/>
            <w:right w:val="none" w:sz="0" w:space="0" w:color="auto"/>
          </w:divBdr>
        </w:div>
        <w:div w:id="1079788201">
          <w:marLeft w:val="480"/>
          <w:marRight w:val="0"/>
          <w:marTop w:val="0"/>
          <w:marBottom w:val="0"/>
          <w:divBdr>
            <w:top w:val="none" w:sz="0" w:space="0" w:color="auto"/>
            <w:left w:val="none" w:sz="0" w:space="0" w:color="auto"/>
            <w:bottom w:val="none" w:sz="0" w:space="0" w:color="auto"/>
            <w:right w:val="none" w:sz="0" w:space="0" w:color="auto"/>
          </w:divBdr>
        </w:div>
        <w:div w:id="307780708">
          <w:marLeft w:val="480"/>
          <w:marRight w:val="0"/>
          <w:marTop w:val="0"/>
          <w:marBottom w:val="0"/>
          <w:divBdr>
            <w:top w:val="none" w:sz="0" w:space="0" w:color="auto"/>
            <w:left w:val="none" w:sz="0" w:space="0" w:color="auto"/>
            <w:bottom w:val="none" w:sz="0" w:space="0" w:color="auto"/>
            <w:right w:val="none" w:sz="0" w:space="0" w:color="auto"/>
          </w:divBdr>
        </w:div>
        <w:div w:id="1294292674">
          <w:marLeft w:val="480"/>
          <w:marRight w:val="0"/>
          <w:marTop w:val="0"/>
          <w:marBottom w:val="0"/>
          <w:divBdr>
            <w:top w:val="none" w:sz="0" w:space="0" w:color="auto"/>
            <w:left w:val="none" w:sz="0" w:space="0" w:color="auto"/>
            <w:bottom w:val="none" w:sz="0" w:space="0" w:color="auto"/>
            <w:right w:val="none" w:sz="0" w:space="0" w:color="auto"/>
          </w:divBdr>
        </w:div>
        <w:div w:id="207837792">
          <w:marLeft w:val="480"/>
          <w:marRight w:val="0"/>
          <w:marTop w:val="0"/>
          <w:marBottom w:val="0"/>
          <w:divBdr>
            <w:top w:val="none" w:sz="0" w:space="0" w:color="auto"/>
            <w:left w:val="none" w:sz="0" w:space="0" w:color="auto"/>
            <w:bottom w:val="none" w:sz="0" w:space="0" w:color="auto"/>
            <w:right w:val="none" w:sz="0" w:space="0" w:color="auto"/>
          </w:divBdr>
        </w:div>
        <w:div w:id="2007589917">
          <w:marLeft w:val="480"/>
          <w:marRight w:val="0"/>
          <w:marTop w:val="0"/>
          <w:marBottom w:val="0"/>
          <w:divBdr>
            <w:top w:val="none" w:sz="0" w:space="0" w:color="auto"/>
            <w:left w:val="none" w:sz="0" w:space="0" w:color="auto"/>
            <w:bottom w:val="none" w:sz="0" w:space="0" w:color="auto"/>
            <w:right w:val="none" w:sz="0" w:space="0" w:color="auto"/>
          </w:divBdr>
        </w:div>
        <w:div w:id="425007250">
          <w:marLeft w:val="480"/>
          <w:marRight w:val="0"/>
          <w:marTop w:val="0"/>
          <w:marBottom w:val="0"/>
          <w:divBdr>
            <w:top w:val="none" w:sz="0" w:space="0" w:color="auto"/>
            <w:left w:val="none" w:sz="0" w:space="0" w:color="auto"/>
            <w:bottom w:val="none" w:sz="0" w:space="0" w:color="auto"/>
            <w:right w:val="none" w:sz="0" w:space="0" w:color="auto"/>
          </w:divBdr>
        </w:div>
        <w:div w:id="2119828990">
          <w:marLeft w:val="480"/>
          <w:marRight w:val="0"/>
          <w:marTop w:val="0"/>
          <w:marBottom w:val="0"/>
          <w:divBdr>
            <w:top w:val="none" w:sz="0" w:space="0" w:color="auto"/>
            <w:left w:val="none" w:sz="0" w:space="0" w:color="auto"/>
            <w:bottom w:val="none" w:sz="0" w:space="0" w:color="auto"/>
            <w:right w:val="none" w:sz="0" w:space="0" w:color="auto"/>
          </w:divBdr>
        </w:div>
        <w:div w:id="1468934520">
          <w:marLeft w:val="480"/>
          <w:marRight w:val="0"/>
          <w:marTop w:val="0"/>
          <w:marBottom w:val="0"/>
          <w:divBdr>
            <w:top w:val="none" w:sz="0" w:space="0" w:color="auto"/>
            <w:left w:val="none" w:sz="0" w:space="0" w:color="auto"/>
            <w:bottom w:val="none" w:sz="0" w:space="0" w:color="auto"/>
            <w:right w:val="none" w:sz="0" w:space="0" w:color="auto"/>
          </w:divBdr>
        </w:div>
        <w:div w:id="348718667">
          <w:marLeft w:val="480"/>
          <w:marRight w:val="0"/>
          <w:marTop w:val="0"/>
          <w:marBottom w:val="0"/>
          <w:divBdr>
            <w:top w:val="none" w:sz="0" w:space="0" w:color="auto"/>
            <w:left w:val="none" w:sz="0" w:space="0" w:color="auto"/>
            <w:bottom w:val="none" w:sz="0" w:space="0" w:color="auto"/>
            <w:right w:val="none" w:sz="0" w:space="0" w:color="auto"/>
          </w:divBdr>
        </w:div>
        <w:div w:id="537860606">
          <w:marLeft w:val="480"/>
          <w:marRight w:val="0"/>
          <w:marTop w:val="0"/>
          <w:marBottom w:val="0"/>
          <w:divBdr>
            <w:top w:val="none" w:sz="0" w:space="0" w:color="auto"/>
            <w:left w:val="none" w:sz="0" w:space="0" w:color="auto"/>
            <w:bottom w:val="none" w:sz="0" w:space="0" w:color="auto"/>
            <w:right w:val="none" w:sz="0" w:space="0" w:color="auto"/>
          </w:divBdr>
        </w:div>
        <w:div w:id="1628319181">
          <w:marLeft w:val="480"/>
          <w:marRight w:val="0"/>
          <w:marTop w:val="0"/>
          <w:marBottom w:val="0"/>
          <w:divBdr>
            <w:top w:val="none" w:sz="0" w:space="0" w:color="auto"/>
            <w:left w:val="none" w:sz="0" w:space="0" w:color="auto"/>
            <w:bottom w:val="none" w:sz="0" w:space="0" w:color="auto"/>
            <w:right w:val="none" w:sz="0" w:space="0" w:color="auto"/>
          </w:divBdr>
        </w:div>
        <w:div w:id="632558060">
          <w:marLeft w:val="480"/>
          <w:marRight w:val="0"/>
          <w:marTop w:val="0"/>
          <w:marBottom w:val="0"/>
          <w:divBdr>
            <w:top w:val="none" w:sz="0" w:space="0" w:color="auto"/>
            <w:left w:val="none" w:sz="0" w:space="0" w:color="auto"/>
            <w:bottom w:val="none" w:sz="0" w:space="0" w:color="auto"/>
            <w:right w:val="none" w:sz="0" w:space="0" w:color="auto"/>
          </w:divBdr>
        </w:div>
        <w:div w:id="1859388149">
          <w:marLeft w:val="480"/>
          <w:marRight w:val="0"/>
          <w:marTop w:val="0"/>
          <w:marBottom w:val="0"/>
          <w:divBdr>
            <w:top w:val="none" w:sz="0" w:space="0" w:color="auto"/>
            <w:left w:val="none" w:sz="0" w:space="0" w:color="auto"/>
            <w:bottom w:val="none" w:sz="0" w:space="0" w:color="auto"/>
            <w:right w:val="none" w:sz="0" w:space="0" w:color="auto"/>
          </w:divBdr>
        </w:div>
        <w:div w:id="1883832486">
          <w:marLeft w:val="480"/>
          <w:marRight w:val="0"/>
          <w:marTop w:val="0"/>
          <w:marBottom w:val="0"/>
          <w:divBdr>
            <w:top w:val="none" w:sz="0" w:space="0" w:color="auto"/>
            <w:left w:val="none" w:sz="0" w:space="0" w:color="auto"/>
            <w:bottom w:val="none" w:sz="0" w:space="0" w:color="auto"/>
            <w:right w:val="none" w:sz="0" w:space="0" w:color="auto"/>
          </w:divBdr>
        </w:div>
        <w:div w:id="596331552">
          <w:marLeft w:val="480"/>
          <w:marRight w:val="0"/>
          <w:marTop w:val="0"/>
          <w:marBottom w:val="0"/>
          <w:divBdr>
            <w:top w:val="none" w:sz="0" w:space="0" w:color="auto"/>
            <w:left w:val="none" w:sz="0" w:space="0" w:color="auto"/>
            <w:bottom w:val="none" w:sz="0" w:space="0" w:color="auto"/>
            <w:right w:val="none" w:sz="0" w:space="0" w:color="auto"/>
          </w:divBdr>
        </w:div>
        <w:div w:id="1883249809">
          <w:marLeft w:val="480"/>
          <w:marRight w:val="0"/>
          <w:marTop w:val="0"/>
          <w:marBottom w:val="0"/>
          <w:divBdr>
            <w:top w:val="none" w:sz="0" w:space="0" w:color="auto"/>
            <w:left w:val="none" w:sz="0" w:space="0" w:color="auto"/>
            <w:bottom w:val="none" w:sz="0" w:space="0" w:color="auto"/>
            <w:right w:val="none" w:sz="0" w:space="0" w:color="auto"/>
          </w:divBdr>
        </w:div>
        <w:div w:id="375155865">
          <w:marLeft w:val="480"/>
          <w:marRight w:val="0"/>
          <w:marTop w:val="0"/>
          <w:marBottom w:val="0"/>
          <w:divBdr>
            <w:top w:val="none" w:sz="0" w:space="0" w:color="auto"/>
            <w:left w:val="none" w:sz="0" w:space="0" w:color="auto"/>
            <w:bottom w:val="none" w:sz="0" w:space="0" w:color="auto"/>
            <w:right w:val="none" w:sz="0" w:space="0" w:color="auto"/>
          </w:divBdr>
        </w:div>
        <w:div w:id="150560805">
          <w:marLeft w:val="480"/>
          <w:marRight w:val="0"/>
          <w:marTop w:val="0"/>
          <w:marBottom w:val="0"/>
          <w:divBdr>
            <w:top w:val="none" w:sz="0" w:space="0" w:color="auto"/>
            <w:left w:val="none" w:sz="0" w:space="0" w:color="auto"/>
            <w:bottom w:val="none" w:sz="0" w:space="0" w:color="auto"/>
            <w:right w:val="none" w:sz="0" w:space="0" w:color="auto"/>
          </w:divBdr>
        </w:div>
        <w:div w:id="254361333">
          <w:marLeft w:val="480"/>
          <w:marRight w:val="0"/>
          <w:marTop w:val="0"/>
          <w:marBottom w:val="0"/>
          <w:divBdr>
            <w:top w:val="none" w:sz="0" w:space="0" w:color="auto"/>
            <w:left w:val="none" w:sz="0" w:space="0" w:color="auto"/>
            <w:bottom w:val="none" w:sz="0" w:space="0" w:color="auto"/>
            <w:right w:val="none" w:sz="0" w:space="0" w:color="auto"/>
          </w:divBdr>
        </w:div>
        <w:div w:id="870460781">
          <w:marLeft w:val="480"/>
          <w:marRight w:val="0"/>
          <w:marTop w:val="0"/>
          <w:marBottom w:val="0"/>
          <w:divBdr>
            <w:top w:val="none" w:sz="0" w:space="0" w:color="auto"/>
            <w:left w:val="none" w:sz="0" w:space="0" w:color="auto"/>
            <w:bottom w:val="none" w:sz="0" w:space="0" w:color="auto"/>
            <w:right w:val="none" w:sz="0" w:space="0" w:color="auto"/>
          </w:divBdr>
        </w:div>
        <w:div w:id="233324056">
          <w:marLeft w:val="480"/>
          <w:marRight w:val="0"/>
          <w:marTop w:val="0"/>
          <w:marBottom w:val="0"/>
          <w:divBdr>
            <w:top w:val="none" w:sz="0" w:space="0" w:color="auto"/>
            <w:left w:val="none" w:sz="0" w:space="0" w:color="auto"/>
            <w:bottom w:val="none" w:sz="0" w:space="0" w:color="auto"/>
            <w:right w:val="none" w:sz="0" w:space="0" w:color="auto"/>
          </w:divBdr>
        </w:div>
        <w:div w:id="321932831">
          <w:marLeft w:val="480"/>
          <w:marRight w:val="0"/>
          <w:marTop w:val="0"/>
          <w:marBottom w:val="0"/>
          <w:divBdr>
            <w:top w:val="none" w:sz="0" w:space="0" w:color="auto"/>
            <w:left w:val="none" w:sz="0" w:space="0" w:color="auto"/>
            <w:bottom w:val="none" w:sz="0" w:space="0" w:color="auto"/>
            <w:right w:val="none" w:sz="0" w:space="0" w:color="auto"/>
          </w:divBdr>
        </w:div>
        <w:div w:id="1919049753">
          <w:marLeft w:val="480"/>
          <w:marRight w:val="0"/>
          <w:marTop w:val="0"/>
          <w:marBottom w:val="0"/>
          <w:divBdr>
            <w:top w:val="none" w:sz="0" w:space="0" w:color="auto"/>
            <w:left w:val="none" w:sz="0" w:space="0" w:color="auto"/>
            <w:bottom w:val="none" w:sz="0" w:space="0" w:color="auto"/>
            <w:right w:val="none" w:sz="0" w:space="0" w:color="auto"/>
          </w:divBdr>
        </w:div>
        <w:div w:id="1282498973">
          <w:marLeft w:val="480"/>
          <w:marRight w:val="0"/>
          <w:marTop w:val="0"/>
          <w:marBottom w:val="0"/>
          <w:divBdr>
            <w:top w:val="none" w:sz="0" w:space="0" w:color="auto"/>
            <w:left w:val="none" w:sz="0" w:space="0" w:color="auto"/>
            <w:bottom w:val="none" w:sz="0" w:space="0" w:color="auto"/>
            <w:right w:val="none" w:sz="0" w:space="0" w:color="auto"/>
          </w:divBdr>
        </w:div>
        <w:div w:id="150290767">
          <w:marLeft w:val="480"/>
          <w:marRight w:val="0"/>
          <w:marTop w:val="0"/>
          <w:marBottom w:val="0"/>
          <w:divBdr>
            <w:top w:val="none" w:sz="0" w:space="0" w:color="auto"/>
            <w:left w:val="none" w:sz="0" w:space="0" w:color="auto"/>
            <w:bottom w:val="none" w:sz="0" w:space="0" w:color="auto"/>
            <w:right w:val="none" w:sz="0" w:space="0" w:color="auto"/>
          </w:divBdr>
        </w:div>
        <w:div w:id="1968007045">
          <w:marLeft w:val="480"/>
          <w:marRight w:val="0"/>
          <w:marTop w:val="0"/>
          <w:marBottom w:val="0"/>
          <w:divBdr>
            <w:top w:val="none" w:sz="0" w:space="0" w:color="auto"/>
            <w:left w:val="none" w:sz="0" w:space="0" w:color="auto"/>
            <w:bottom w:val="none" w:sz="0" w:space="0" w:color="auto"/>
            <w:right w:val="none" w:sz="0" w:space="0" w:color="auto"/>
          </w:divBdr>
        </w:div>
        <w:div w:id="105657578">
          <w:marLeft w:val="480"/>
          <w:marRight w:val="0"/>
          <w:marTop w:val="0"/>
          <w:marBottom w:val="0"/>
          <w:divBdr>
            <w:top w:val="none" w:sz="0" w:space="0" w:color="auto"/>
            <w:left w:val="none" w:sz="0" w:space="0" w:color="auto"/>
            <w:bottom w:val="none" w:sz="0" w:space="0" w:color="auto"/>
            <w:right w:val="none" w:sz="0" w:space="0" w:color="auto"/>
          </w:divBdr>
        </w:div>
        <w:div w:id="779102887">
          <w:marLeft w:val="480"/>
          <w:marRight w:val="0"/>
          <w:marTop w:val="0"/>
          <w:marBottom w:val="0"/>
          <w:divBdr>
            <w:top w:val="none" w:sz="0" w:space="0" w:color="auto"/>
            <w:left w:val="none" w:sz="0" w:space="0" w:color="auto"/>
            <w:bottom w:val="none" w:sz="0" w:space="0" w:color="auto"/>
            <w:right w:val="none" w:sz="0" w:space="0" w:color="auto"/>
          </w:divBdr>
        </w:div>
        <w:div w:id="1896547430">
          <w:marLeft w:val="480"/>
          <w:marRight w:val="0"/>
          <w:marTop w:val="0"/>
          <w:marBottom w:val="0"/>
          <w:divBdr>
            <w:top w:val="none" w:sz="0" w:space="0" w:color="auto"/>
            <w:left w:val="none" w:sz="0" w:space="0" w:color="auto"/>
            <w:bottom w:val="none" w:sz="0" w:space="0" w:color="auto"/>
            <w:right w:val="none" w:sz="0" w:space="0" w:color="auto"/>
          </w:divBdr>
        </w:div>
        <w:div w:id="1237327366">
          <w:marLeft w:val="480"/>
          <w:marRight w:val="0"/>
          <w:marTop w:val="0"/>
          <w:marBottom w:val="0"/>
          <w:divBdr>
            <w:top w:val="none" w:sz="0" w:space="0" w:color="auto"/>
            <w:left w:val="none" w:sz="0" w:space="0" w:color="auto"/>
            <w:bottom w:val="none" w:sz="0" w:space="0" w:color="auto"/>
            <w:right w:val="none" w:sz="0" w:space="0" w:color="auto"/>
          </w:divBdr>
        </w:div>
        <w:div w:id="779883181">
          <w:marLeft w:val="480"/>
          <w:marRight w:val="0"/>
          <w:marTop w:val="0"/>
          <w:marBottom w:val="0"/>
          <w:divBdr>
            <w:top w:val="none" w:sz="0" w:space="0" w:color="auto"/>
            <w:left w:val="none" w:sz="0" w:space="0" w:color="auto"/>
            <w:bottom w:val="none" w:sz="0" w:space="0" w:color="auto"/>
            <w:right w:val="none" w:sz="0" w:space="0" w:color="auto"/>
          </w:divBdr>
        </w:div>
        <w:div w:id="1834178982">
          <w:marLeft w:val="480"/>
          <w:marRight w:val="0"/>
          <w:marTop w:val="0"/>
          <w:marBottom w:val="0"/>
          <w:divBdr>
            <w:top w:val="none" w:sz="0" w:space="0" w:color="auto"/>
            <w:left w:val="none" w:sz="0" w:space="0" w:color="auto"/>
            <w:bottom w:val="none" w:sz="0" w:space="0" w:color="auto"/>
            <w:right w:val="none" w:sz="0" w:space="0" w:color="auto"/>
          </w:divBdr>
        </w:div>
        <w:div w:id="1109810314">
          <w:marLeft w:val="480"/>
          <w:marRight w:val="0"/>
          <w:marTop w:val="0"/>
          <w:marBottom w:val="0"/>
          <w:divBdr>
            <w:top w:val="none" w:sz="0" w:space="0" w:color="auto"/>
            <w:left w:val="none" w:sz="0" w:space="0" w:color="auto"/>
            <w:bottom w:val="none" w:sz="0" w:space="0" w:color="auto"/>
            <w:right w:val="none" w:sz="0" w:space="0" w:color="auto"/>
          </w:divBdr>
        </w:div>
        <w:div w:id="964194478">
          <w:marLeft w:val="480"/>
          <w:marRight w:val="0"/>
          <w:marTop w:val="0"/>
          <w:marBottom w:val="0"/>
          <w:divBdr>
            <w:top w:val="none" w:sz="0" w:space="0" w:color="auto"/>
            <w:left w:val="none" w:sz="0" w:space="0" w:color="auto"/>
            <w:bottom w:val="none" w:sz="0" w:space="0" w:color="auto"/>
            <w:right w:val="none" w:sz="0" w:space="0" w:color="auto"/>
          </w:divBdr>
        </w:div>
        <w:div w:id="1139033443">
          <w:marLeft w:val="480"/>
          <w:marRight w:val="0"/>
          <w:marTop w:val="0"/>
          <w:marBottom w:val="0"/>
          <w:divBdr>
            <w:top w:val="none" w:sz="0" w:space="0" w:color="auto"/>
            <w:left w:val="none" w:sz="0" w:space="0" w:color="auto"/>
            <w:bottom w:val="none" w:sz="0" w:space="0" w:color="auto"/>
            <w:right w:val="none" w:sz="0" w:space="0" w:color="auto"/>
          </w:divBdr>
        </w:div>
        <w:div w:id="176045845">
          <w:marLeft w:val="480"/>
          <w:marRight w:val="0"/>
          <w:marTop w:val="0"/>
          <w:marBottom w:val="0"/>
          <w:divBdr>
            <w:top w:val="none" w:sz="0" w:space="0" w:color="auto"/>
            <w:left w:val="none" w:sz="0" w:space="0" w:color="auto"/>
            <w:bottom w:val="none" w:sz="0" w:space="0" w:color="auto"/>
            <w:right w:val="none" w:sz="0" w:space="0" w:color="auto"/>
          </w:divBdr>
        </w:div>
        <w:div w:id="547650355">
          <w:marLeft w:val="480"/>
          <w:marRight w:val="0"/>
          <w:marTop w:val="0"/>
          <w:marBottom w:val="0"/>
          <w:divBdr>
            <w:top w:val="none" w:sz="0" w:space="0" w:color="auto"/>
            <w:left w:val="none" w:sz="0" w:space="0" w:color="auto"/>
            <w:bottom w:val="none" w:sz="0" w:space="0" w:color="auto"/>
            <w:right w:val="none" w:sz="0" w:space="0" w:color="auto"/>
          </w:divBdr>
        </w:div>
        <w:div w:id="2060472767">
          <w:marLeft w:val="480"/>
          <w:marRight w:val="0"/>
          <w:marTop w:val="0"/>
          <w:marBottom w:val="0"/>
          <w:divBdr>
            <w:top w:val="none" w:sz="0" w:space="0" w:color="auto"/>
            <w:left w:val="none" w:sz="0" w:space="0" w:color="auto"/>
            <w:bottom w:val="none" w:sz="0" w:space="0" w:color="auto"/>
            <w:right w:val="none" w:sz="0" w:space="0" w:color="auto"/>
          </w:divBdr>
        </w:div>
        <w:div w:id="1656571148">
          <w:marLeft w:val="480"/>
          <w:marRight w:val="0"/>
          <w:marTop w:val="0"/>
          <w:marBottom w:val="0"/>
          <w:divBdr>
            <w:top w:val="none" w:sz="0" w:space="0" w:color="auto"/>
            <w:left w:val="none" w:sz="0" w:space="0" w:color="auto"/>
            <w:bottom w:val="none" w:sz="0" w:space="0" w:color="auto"/>
            <w:right w:val="none" w:sz="0" w:space="0" w:color="auto"/>
          </w:divBdr>
        </w:div>
        <w:div w:id="1676493662">
          <w:marLeft w:val="480"/>
          <w:marRight w:val="0"/>
          <w:marTop w:val="0"/>
          <w:marBottom w:val="0"/>
          <w:divBdr>
            <w:top w:val="none" w:sz="0" w:space="0" w:color="auto"/>
            <w:left w:val="none" w:sz="0" w:space="0" w:color="auto"/>
            <w:bottom w:val="none" w:sz="0" w:space="0" w:color="auto"/>
            <w:right w:val="none" w:sz="0" w:space="0" w:color="auto"/>
          </w:divBdr>
        </w:div>
        <w:div w:id="802620706">
          <w:marLeft w:val="480"/>
          <w:marRight w:val="0"/>
          <w:marTop w:val="0"/>
          <w:marBottom w:val="0"/>
          <w:divBdr>
            <w:top w:val="none" w:sz="0" w:space="0" w:color="auto"/>
            <w:left w:val="none" w:sz="0" w:space="0" w:color="auto"/>
            <w:bottom w:val="none" w:sz="0" w:space="0" w:color="auto"/>
            <w:right w:val="none" w:sz="0" w:space="0" w:color="auto"/>
          </w:divBdr>
        </w:div>
        <w:div w:id="768936140">
          <w:marLeft w:val="480"/>
          <w:marRight w:val="0"/>
          <w:marTop w:val="0"/>
          <w:marBottom w:val="0"/>
          <w:divBdr>
            <w:top w:val="none" w:sz="0" w:space="0" w:color="auto"/>
            <w:left w:val="none" w:sz="0" w:space="0" w:color="auto"/>
            <w:bottom w:val="none" w:sz="0" w:space="0" w:color="auto"/>
            <w:right w:val="none" w:sz="0" w:space="0" w:color="auto"/>
          </w:divBdr>
        </w:div>
        <w:div w:id="1844975188">
          <w:marLeft w:val="480"/>
          <w:marRight w:val="0"/>
          <w:marTop w:val="0"/>
          <w:marBottom w:val="0"/>
          <w:divBdr>
            <w:top w:val="none" w:sz="0" w:space="0" w:color="auto"/>
            <w:left w:val="none" w:sz="0" w:space="0" w:color="auto"/>
            <w:bottom w:val="none" w:sz="0" w:space="0" w:color="auto"/>
            <w:right w:val="none" w:sz="0" w:space="0" w:color="auto"/>
          </w:divBdr>
        </w:div>
        <w:div w:id="1569074240">
          <w:marLeft w:val="480"/>
          <w:marRight w:val="0"/>
          <w:marTop w:val="0"/>
          <w:marBottom w:val="0"/>
          <w:divBdr>
            <w:top w:val="none" w:sz="0" w:space="0" w:color="auto"/>
            <w:left w:val="none" w:sz="0" w:space="0" w:color="auto"/>
            <w:bottom w:val="none" w:sz="0" w:space="0" w:color="auto"/>
            <w:right w:val="none" w:sz="0" w:space="0" w:color="auto"/>
          </w:divBdr>
        </w:div>
        <w:div w:id="1993361782">
          <w:marLeft w:val="480"/>
          <w:marRight w:val="0"/>
          <w:marTop w:val="0"/>
          <w:marBottom w:val="0"/>
          <w:divBdr>
            <w:top w:val="none" w:sz="0" w:space="0" w:color="auto"/>
            <w:left w:val="none" w:sz="0" w:space="0" w:color="auto"/>
            <w:bottom w:val="none" w:sz="0" w:space="0" w:color="auto"/>
            <w:right w:val="none" w:sz="0" w:space="0" w:color="auto"/>
          </w:divBdr>
        </w:div>
        <w:div w:id="955717879">
          <w:marLeft w:val="480"/>
          <w:marRight w:val="0"/>
          <w:marTop w:val="0"/>
          <w:marBottom w:val="0"/>
          <w:divBdr>
            <w:top w:val="none" w:sz="0" w:space="0" w:color="auto"/>
            <w:left w:val="none" w:sz="0" w:space="0" w:color="auto"/>
            <w:bottom w:val="none" w:sz="0" w:space="0" w:color="auto"/>
            <w:right w:val="none" w:sz="0" w:space="0" w:color="auto"/>
          </w:divBdr>
        </w:div>
        <w:div w:id="1538660131">
          <w:marLeft w:val="480"/>
          <w:marRight w:val="0"/>
          <w:marTop w:val="0"/>
          <w:marBottom w:val="0"/>
          <w:divBdr>
            <w:top w:val="none" w:sz="0" w:space="0" w:color="auto"/>
            <w:left w:val="none" w:sz="0" w:space="0" w:color="auto"/>
            <w:bottom w:val="none" w:sz="0" w:space="0" w:color="auto"/>
            <w:right w:val="none" w:sz="0" w:space="0" w:color="auto"/>
          </w:divBdr>
        </w:div>
        <w:div w:id="513426398">
          <w:marLeft w:val="480"/>
          <w:marRight w:val="0"/>
          <w:marTop w:val="0"/>
          <w:marBottom w:val="0"/>
          <w:divBdr>
            <w:top w:val="none" w:sz="0" w:space="0" w:color="auto"/>
            <w:left w:val="none" w:sz="0" w:space="0" w:color="auto"/>
            <w:bottom w:val="none" w:sz="0" w:space="0" w:color="auto"/>
            <w:right w:val="none" w:sz="0" w:space="0" w:color="auto"/>
          </w:divBdr>
        </w:div>
        <w:div w:id="199127545">
          <w:marLeft w:val="480"/>
          <w:marRight w:val="0"/>
          <w:marTop w:val="0"/>
          <w:marBottom w:val="0"/>
          <w:divBdr>
            <w:top w:val="none" w:sz="0" w:space="0" w:color="auto"/>
            <w:left w:val="none" w:sz="0" w:space="0" w:color="auto"/>
            <w:bottom w:val="none" w:sz="0" w:space="0" w:color="auto"/>
            <w:right w:val="none" w:sz="0" w:space="0" w:color="auto"/>
          </w:divBdr>
        </w:div>
        <w:div w:id="1794329200">
          <w:marLeft w:val="480"/>
          <w:marRight w:val="0"/>
          <w:marTop w:val="0"/>
          <w:marBottom w:val="0"/>
          <w:divBdr>
            <w:top w:val="none" w:sz="0" w:space="0" w:color="auto"/>
            <w:left w:val="none" w:sz="0" w:space="0" w:color="auto"/>
            <w:bottom w:val="none" w:sz="0" w:space="0" w:color="auto"/>
            <w:right w:val="none" w:sz="0" w:space="0" w:color="auto"/>
          </w:divBdr>
        </w:div>
        <w:div w:id="1635216448">
          <w:marLeft w:val="480"/>
          <w:marRight w:val="0"/>
          <w:marTop w:val="0"/>
          <w:marBottom w:val="0"/>
          <w:divBdr>
            <w:top w:val="none" w:sz="0" w:space="0" w:color="auto"/>
            <w:left w:val="none" w:sz="0" w:space="0" w:color="auto"/>
            <w:bottom w:val="none" w:sz="0" w:space="0" w:color="auto"/>
            <w:right w:val="none" w:sz="0" w:space="0" w:color="auto"/>
          </w:divBdr>
        </w:div>
        <w:div w:id="1002046438">
          <w:marLeft w:val="480"/>
          <w:marRight w:val="0"/>
          <w:marTop w:val="0"/>
          <w:marBottom w:val="0"/>
          <w:divBdr>
            <w:top w:val="none" w:sz="0" w:space="0" w:color="auto"/>
            <w:left w:val="none" w:sz="0" w:space="0" w:color="auto"/>
            <w:bottom w:val="none" w:sz="0" w:space="0" w:color="auto"/>
            <w:right w:val="none" w:sz="0" w:space="0" w:color="auto"/>
          </w:divBdr>
        </w:div>
        <w:div w:id="510877600">
          <w:marLeft w:val="480"/>
          <w:marRight w:val="0"/>
          <w:marTop w:val="0"/>
          <w:marBottom w:val="0"/>
          <w:divBdr>
            <w:top w:val="none" w:sz="0" w:space="0" w:color="auto"/>
            <w:left w:val="none" w:sz="0" w:space="0" w:color="auto"/>
            <w:bottom w:val="none" w:sz="0" w:space="0" w:color="auto"/>
            <w:right w:val="none" w:sz="0" w:space="0" w:color="auto"/>
          </w:divBdr>
        </w:div>
        <w:div w:id="1901330951">
          <w:marLeft w:val="480"/>
          <w:marRight w:val="0"/>
          <w:marTop w:val="0"/>
          <w:marBottom w:val="0"/>
          <w:divBdr>
            <w:top w:val="none" w:sz="0" w:space="0" w:color="auto"/>
            <w:left w:val="none" w:sz="0" w:space="0" w:color="auto"/>
            <w:bottom w:val="none" w:sz="0" w:space="0" w:color="auto"/>
            <w:right w:val="none" w:sz="0" w:space="0" w:color="auto"/>
          </w:divBdr>
        </w:div>
        <w:div w:id="1144541333">
          <w:marLeft w:val="480"/>
          <w:marRight w:val="0"/>
          <w:marTop w:val="0"/>
          <w:marBottom w:val="0"/>
          <w:divBdr>
            <w:top w:val="none" w:sz="0" w:space="0" w:color="auto"/>
            <w:left w:val="none" w:sz="0" w:space="0" w:color="auto"/>
            <w:bottom w:val="none" w:sz="0" w:space="0" w:color="auto"/>
            <w:right w:val="none" w:sz="0" w:space="0" w:color="auto"/>
          </w:divBdr>
        </w:div>
      </w:divsChild>
    </w:div>
    <w:div w:id="1368023927">
      <w:bodyDiv w:val="1"/>
      <w:marLeft w:val="0"/>
      <w:marRight w:val="0"/>
      <w:marTop w:val="0"/>
      <w:marBottom w:val="0"/>
      <w:divBdr>
        <w:top w:val="none" w:sz="0" w:space="0" w:color="auto"/>
        <w:left w:val="none" w:sz="0" w:space="0" w:color="auto"/>
        <w:bottom w:val="none" w:sz="0" w:space="0" w:color="auto"/>
        <w:right w:val="none" w:sz="0" w:space="0" w:color="auto"/>
      </w:divBdr>
    </w:div>
    <w:div w:id="1368489860">
      <w:bodyDiv w:val="1"/>
      <w:marLeft w:val="0"/>
      <w:marRight w:val="0"/>
      <w:marTop w:val="0"/>
      <w:marBottom w:val="0"/>
      <w:divBdr>
        <w:top w:val="none" w:sz="0" w:space="0" w:color="auto"/>
        <w:left w:val="none" w:sz="0" w:space="0" w:color="auto"/>
        <w:bottom w:val="none" w:sz="0" w:space="0" w:color="auto"/>
        <w:right w:val="none" w:sz="0" w:space="0" w:color="auto"/>
      </w:divBdr>
    </w:div>
    <w:div w:id="1368529378">
      <w:bodyDiv w:val="1"/>
      <w:marLeft w:val="0"/>
      <w:marRight w:val="0"/>
      <w:marTop w:val="0"/>
      <w:marBottom w:val="0"/>
      <w:divBdr>
        <w:top w:val="none" w:sz="0" w:space="0" w:color="auto"/>
        <w:left w:val="none" w:sz="0" w:space="0" w:color="auto"/>
        <w:bottom w:val="none" w:sz="0" w:space="0" w:color="auto"/>
        <w:right w:val="none" w:sz="0" w:space="0" w:color="auto"/>
      </w:divBdr>
    </w:div>
    <w:div w:id="1369068699">
      <w:bodyDiv w:val="1"/>
      <w:marLeft w:val="0"/>
      <w:marRight w:val="0"/>
      <w:marTop w:val="0"/>
      <w:marBottom w:val="0"/>
      <w:divBdr>
        <w:top w:val="none" w:sz="0" w:space="0" w:color="auto"/>
        <w:left w:val="none" w:sz="0" w:space="0" w:color="auto"/>
        <w:bottom w:val="none" w:sz="0" w:space="0" w:color="auto"/>
        <w:right w:val="none" w:sz="0" w:space="0" w:color="auto"/>
      </w:divBdr>
    </w:div>
    <w:div w:id="1369329805">
      <w:bodyDiv w:val="1"/>
      <w:marLeft w:val="0"/>
      <w:marRight w:val="0"/>
      <w:marTop w:val="0"/>
      <w:marBottom w:val="0"/>
      <w:divBdr>
        <w:top w:val="none" w:sz="0" w:space="0" w:color="auto"/>
        <w:left w:val="none" w:sz="0" w:space="0" w:color="auto"/>
        <w:bottom w:val="none" w:sz="0" w:space="0" w:color="auto"/>
        <w:right w:val="none" w:sz="0" w:space="0" w:color="auto"/>
      </w:divBdr>
    </w:div>
    <w:div w:id="1369602786">
      <w:bodyDiv w:val="1"/>
      <w:marLeft w:val="0"/>
      <w:marRight w:val="0"/>
      <w:marTop w:val="0"/>
      <w:marBottom w:val="0"/>
      <w:divBdr>
        <w:top w:val="none" w:sz="0" w:space="0" w:color="auto"/>
        <w:left w:val="none" w:sz="0" w:space="0" w:color="auto"/>
        <w:bottom w:val="none" w:sz="0" w:space="0" w:color="auto"/>
        <w:right w:val="none" w:sz="0" w:space="0" w:color="auto"/>
      </w:divBdr>
    </w:div>
    <w:div w:id="1369910690">
      <w:bodyDiv w:val="1"/>
      <w:marLeft w:val="0"/>
      <w:marRight w:val="0"/>
      <w:marTop w:val="0"/>
      <w:marBottom w:val="0"/>
      <w:divBdr>
        <w:top w:val="none" w:sz="0" w:space="0" w:color="auto"/>
        <w:left w:val="none" w:sz="0" w:space="0" w:color="auto"/>
        <w:bottom w:val="none" w:sz="0" w:space="0" w:color="auto"/>
        <w:right w:val="none" w:sz="0" w:space="0" w:color="auto"/>
      </w:divBdr>
    </w:div>
    <w:div w:id="1370689196">
      <w:bodyDiv w:val="1"/>
      <w:marLeft w:val="0"/>
      <w:marRight w:val="0"/>
      <w:marTop w:val="0"/>
      <w:marBottom w:val="0"/>
      <w:divBdr>
        <w:top w:val="none" w:sz="0" w:space="0" w:color="auto"/>
        <w:left w:val="none" w:sz="0" w:space="0" w:color="auto"/>
        <w:bottom w:val="none" w:sz="0" w:space="0" w:color="auto"/>
        <w:right w:val="none" w:sz="0" w:space="0" w:color="auto"/>
      </w:divBdr>
    </w:div>
    <w:div w:id="1371611728">
      <w:bodyDiv w:val="1"/>
      <w:marLeft w:val="0"/>
      <w:marRight w:val="0"/>
      <w:marTop w:val="0"/>
      <w:marBottom w:val="0"/>
      <w:divBdr>
        <w:top w:val="none" w:sz="0" w:space="0" w:color="auto"/>
        <w:left w:val="none" w:sz="0" w:space="0" w:color="auto"/>
        <w:bottom w:val="none" w:sz="0" w:space="0" w:color="auto"/>
        <w:right w:val="none" w:sz="0" w:space="0" w:color="auto"/>
      </w:divBdr>
    </w:div>
    <w:div w:id="1372072442">
      <w:bodyDiv w:val="1"/>
      <w:marLeft w:val="0"/>
      <w:marRight w:val="0"/>
      <w:marTop w:val="0"/>
      <w:marBottom w:val="0"/>
      <w:divBdr>
        <w:top w:val="none" w:sz="0" w:space="0" w:color="auto"/>
        <w:left w:val="none" w:sz="0" w:space="0" w:color="auto"/>
        <w:bottom w:val="none" w:sz="0" w:space="0" w:color="auto"/>
        <w:right w:val="none" w:sz="0" w:space="0" w:color="auto"/>
      </w:divBdr>
    </w:div>
    <w:div w:id="1372923101">
      <w:bodyDiv w:val="1"/>
      <w:marLeft w:val="0"/>
      <w:marRight w:val="0"/>
      <w:marTop w:val="0"/>
      <w:marBottom w:val="0"/>
      <w:divBdr>
        <w:top w:val="none" w:sz="0" w:space="0" w:color="auto"/>
        <w:left w:val="none" w:sz="0" w:space="0" w:color="auto"/>
        <w:bottom w:val="none" w:sz="0" w:space="0" w:color="auto"/>
        <w:right w:val="none" w:sz="0" w:space="0" w:color="auto"/>
      </w:divBdr>
    </w:div>
    <w:div w:id="1373535480">
      <w:bodyDiv w:val="1"/>
      <w:marLeft w:val="0"/>
      <w:marRight w:val="0"/>
      <w:marTop w:val="0"/>
      <w:marBottom w:val="0"/>
      <w:divBdr>
        <w:top w:val="none" w:sz="0" w:space="0" w:color="auto"/>
        <w:left w:val="none" w:sz="0" w:space="0" w:color="auto"/>
        <w:bottom w:val="none" w:sz="0" w:space="0" w:color="auto"/>
        <w:right w:val="none" w:sz="0" w:space="0" w:color="auto"/>
      </w:divBdr>
    </w:div>
    <w:div w:id="1373579362">
      <w:bodyDiv w:val="1"/>
      <w:marLeft w:val="0"/>
      <w:marRight w:val="0"/>
      <w:marTop w:val="0"/>
      <w:marBottom w:val="0"/>
      <w:divBdr>
        <w:top w:val="none" w:sz="0" w:space="0" w:color="auto"/>
        <w:left w:val="none" w:sz="0" w:space="0" w:color="auto"/>
        <w:bottom w:val="none" w:sz="0" w:space="0" w:color="auto"/>
        <w:right w:val="none" w:sz="0" w:space="0" w:color="auto"/>
      </w:divBdr>
    </w:div>
    <w:div w:id="1373919518">
      <w:bodyDiv w:val="1"/>
      <w:marLeft w:val="0"/>
      <w:marRight w:val="0"/>
      <w:marTop w:val="0"/>
      <w:marBottom w:val="0"/>
      <w:divBdr>
        <w:top w:val="none" w:sz="0" w:space="0" w:color="auto"/>
        <w:left w:val="none" w:sz="0" w:space="0" w:color="auto"/>
        <w:bottom w:val="none" w:sz="0" w:space="0" w:color="auto"/>
        <w:right w:val="none" w:sz="0" w:space="0" w:color="auto"/>
      </w:divBdr>
    </w:div>
    <w:div w:id="1374039221">
      <w:bodyDiv w:val="1"/>
      <w:marLeft w:val="0"/>
      <w:marRight w:val="0"/>
      <w:marTop w:val="0"/>
      <w:marBottom w:val="0"/>
      <w:divBdr>
        <w:top w:val="none" w:sz="0" w:space="0" w:color="auto"/>
        <w:left w:val="none" w:sz="0" w:space="0" w:color="auto"/>
        <w:bottom w:val="none" w:sz="0" w:space="0" w:color="auto"/>
        <w:right w:val="none" w:sz="0" w:space="0" w:color="auto"/>
      </w:divBdr>
    </w:div>
    <w:div w:id="1375079168">
      <w:bodyDiv w:val="1"/>
      <w:marLeft w:val="0"/>
      <w:marRight w:val="0"/>
      <w:marTop w:val="0"/>
      <w:marBottom w:val="0"/>
      <w:divBdr>
        <w:top w:val="none" w:sz="0" w:space="0" w:color="auto"/>
        <w:left w:val="none" w:sz="0" w:space="0" w:color="auto"/>
        <w:bottom w:val="none" w:sz="0" w:space="0" w:color="auto"/>
        <w:right w:val="none" w:sz="0" w:space="0" w:color="auto"/>
      </w:divBdr>
    </w:div>
    <w:div w:id="1375273093">
      <w:bodyDiv w:val="1"/>
      <w:marLeft w:val="0"/>
      <w:marRight w:val="0"/>
      <w:marTop w:val="0"/>
      <w:marBottom w:val="0"/>
      <w:divBdr>
        <w:top w:val="none" w:sz="0" w:space="0" w:color="auto"/>
        <w:left w:val="none" w:sz="0" w:space="0" w:color="auto"/>
        <w:bottom w:val="none" w:sz="0" w:space="0" w:color="auto"/>
        <w:right w:val="none" w:sz="0" w:space="0" w:color="auto"/>
      </w:divBdr>
      <w:divsChild>
        <w:div w:id="1642728114">
          <w:marLeft w:val="480"/>
          <w:marRight w:val="0"/>
          <w:marTop w:val="0"/>
          <w:marBottom w:val="0"/>
          <w:divBdr>
            <w:top w:val="none" w:sz="0" w:space="0" w:color="auto"/>
            <w:left w:val="none" w:sz="0" w:space="0" w:color="auto"/>
            <w:bottom w:val="none" w:sz="0" w:space="0" w:color="auto"/>
            <w:right w:val="none" w:sz="0" w:space="0" w:color="auto"/>
          </w:divBdr>
        </w:div>
        <w:div w:id="822359118">
          <w:marLeft w:val="480"/>
          <w:marRight w:val="0"/>
          <w:marTop w:val="0"/>
          <w:marBottom w:val="0"/>
          <w:divBdr>
            <w:top w:val="none" w:sz="0" w:space="0" w:color="auto"/>
            <w:left w:val="none" w:sz="0" w:space="0" w:color="auto"/>
            <w:bottom w:val="none" w:sz="0" w:space="0" w:color="auto"/>
            <w:right w:val="none" w:sz="0" w:space="0" w:color="auto"/>
          </w:divBdr>
        </w:div>
        <w:div w:id="2055763392">
          <w:marLeft w:val="480"/>
          <w:marRight w:val="0"/>
          <w:marTop w:val="0"/>
          <w:marBottom w:val="0"/>
          <w:divBdr>
            <w:top w:val="none" w:sz="0" w:space="0" w:color="auto"/>
            <w:left w:val="none" w:sz="0" w:space="0" w:color="auto"/>
            <w:bottom w:val="none" w:sz="0" w:space="0" w:color="auto"/>
            <w:right w:val="none" w:sz="0" w:space="0" w:color="auto"/>
          </w:divBdr>
        </w:div>
        <w:div w:id="1172254543">
          <w:marLeft w:val="480"/>
          <w:marRight w:val="0"/>
          <w:marTop w:val="0"/>
          <w:marBottom w:val="0"/>
          <w:divBdr>
            <w:top w:val="none" w:sz="0" w:space="0" w:color="auto"/>
            <w:left w:val="none" w:sz="0" w:space="0" w:color="auto"/>
            <w:bottom w:val="none" w:sz="0" w:space="0" w:color="auto"/>
            <w:right w:val="none" w:sz="0" w:space="0" w:color="auto"/>
          </w:divBdr>
        </w:div>
        <w:div w:id="1507136893">
          <w:marLeft w:val="480"/>
          <w:marRight w:val="0"/>
          <w:marTop w:val="0"/>
          <w:marBottom w:val="0"/>
          <w:divBdr>
            <w:top w:val="none" w:sz="0" w:space="0" w:color="auto"/>
            <w:left w:val="none" w:sz="0" w:space="0" w:color="auto"/>
            <w:bottom w:val="none" w:sz="0" w:space="0" w:color="auto"/>
            <w:right w:val="none" w:sz="0" w:space="0" w:color="auto"/>
          </w:divBdr>
        </w:div>
        <w:div w:id="842092714">
          <w:marLeft w:val="480"/>
          <w:marRight w:val="0"/>
          <w:marTop w:val="0"/>
          <w:marBottom w:val="0"/>
          <w:divBdr>
            <w:top w:val="none" w:sz="0" w:space="0" w:color="auto"/>
            <w:left w:val="none" w:sz="0" w:space="0" w:color="auto"/>
            <w:bottom w:val="none" w:sz="0" w:space="0" w:color="auto"/>
            <w:right w:val="none" w:sz="0" w:space="0" w:color="auto"/>
          </w:divBdr>
        </w:div>
        <w:div w:id="1333726089">
          <w:marLeft w:val="480"/>
          <w:marRight w:val="0"/>
          <w:marTop w:val="0"/>
          <w:marBottom w:val="0"/>
          <w:divBdr>
            <w:top w:val="none" w:sz="0" w:space="0" w:color="auto"/>
            <w:left w:val="none" w:sz="0" w:space="0" w:color="auto"/>
            <w:bottom w:val="none" w:sz="0" w:space="0" w:color="auto"/>
            <w:right w:val="none" w:sz="0" w:space="0" w:color="auto"/>
          </w:divBdr>
        </w:div>
        <w:div w:id="2065909576">
          <w:marLeft w:val="480"/>
          <w:marRight w:val="0"/>
          <w:marTop w:val="0"/>
          <w:marBottom w:val="0"/>
          <w:divBdr>
            <w:top w:val="none" w:sz="0" w:space="0" w:color="auto"/>
            <w:left w:val="none" w:sz="0" w:space="0" w:color="auto"/>
            <w:bottom w:val="none" w:sz="0" w:space="0" w:color="auto"/>
            <w:right w:val="none" w:sz="0" w:space="0" w:color="auto"/>
          </w:divBdr>
        </w:div>
        <w:div w:id="1204368534">
          <w:marLeft w:val="480"/>
          <w:marRight w:val="0"/>
          <w:marTop w:val="0"/>
          <w:marBottom w:val="0"/>
          <w:divBdr>
            <w:top w:val="none" w:sz="0" w:space="0" w:color="auto"/>
            <w:left w:val="none" w:sz="0" w:space="0" w:color="auto"/>
            <w:bottom w:val="none" w:sz="0" w:space="0" w:color="auto"/>
            <w:right w:val="none" w:sz="0" w:space="0" w:color="auto"/>
          </w:divBdr>
        </w:div>
        <w:div w:id="1357347276">
          <w:marLeft w:val="480"/>
          <w:marRight w:val="0"/>
          <w:marTop w:val="0"/>
          <w:marBottom w:val="0"/>
          <w:divBdr>
            <w:top w:val="none" w:sz="0" w:space="0" w:color="auto"/>
            <w:left w:val="none" w:sz="0" w:space="0" w:color="auto"/>
            <w:bottom w:val="none" w:sz="0" w:space="0" w:color="auto"/>
            <w:right w:val="none" w:sz="0" w:space="0" w:color="auto"/>
          </w:divBdr>
        </w:div>
        <w:div w:id="1545752445">
          <w:marLeft w:val="480"/>
          <w:marRight w:val="0"/>
          <w:marTop w:val="0"/>
          <w:marBottom w:val="0"/>
          <w:divBdr>
            <w:top w:val="none" w:sz="0" w:space="0" w:color="auto"/>
            <w:left w:val="none" w:sz="0" w:space="0" w:color="auto"/>
            <w:bottom w:val="none" w:sz="0" w:space="0" w:color="auto"/>
            <w:right w:val="none" w:sz="0" w:space="0" w:color="auto"/>
          </w:divBdr>
        </w:div>
        <w:div w:id="1824665420">
          <w:marLeft w:val="480"/>
          <w:marRight w:val="0"/>
          <w:marTop w:val="0"/>
          <w:marBottom w:val="0"/>
          <w:divBdr>
            <w:top w:val="none" w:sz="0" w:space="0" w:color="auto"/>
            <w:left w:val="none" w:sz="0" w:space="0" w:color="auto"/>
            <w:bottom w:val="none" w:sz="0" w:space="0" w:color="auto"/>
            <w:right w:val="none" w:sz="0" w:space="0" w:color="auto"/>
          </w:divBdr>
        </w:div>
        <w:div w:id="1182162784">
          <w:marLeft w:val="480"/>
          <w:marRight w:val="0"/>
          <w:marTop w:val="0"/>
          <w:marBottom w:val="0"/>
          <w:divBdr>
            <w:top w:val="none" w:sz="0" w:space="0" w:color="auto"/>
            <w:left w:val="none" w:sz="0" w:space="0" w:color="auto"/>
            <w:bottom w:val="none" w:sz="0" w:space="0" w:color="auto"/>
            <w:right w:val="none" w:sz="0" w:space="0" w:color="auto"/>
          </w:divBdr>
        </w:div>
        <w:div w:id="632833504">
          <w:marLeft w:val="480"/>
          <w:marRight w:val="0"/>
          <w:marTop w:val="0"/>
          <w:marBottom w:val="0"/>
          <w:divBdr>
            <w:top w:val="none" w:sz="0" w:space="0" w:color="auto"/>
            <w:left w:val="none" w:sz="0" w:space="0" w:color="auto"/>
            <w:bottom w:val="none" w:sz="0" w:space="0" w:color="auto"/>
            <w:right w:val="none" w:sz="0" w:space="0" w:color="auto"/>
          </w:divBdr>
        </w:div>
        <w:div w:id="1399937310">
          <w:marLeft w:val="480"/>
          <w:marRight w:val="0"/>
          <w:marTop w:val="0"/>
          <w:marBottom w:val="0"/>
          <w:divBdr>
            <w:top w:val="none" w:sz="0" w:space="0" w:color="auto"/>
            <w:left w:val="none" w:sz="0" w:space="0" w:color="auto"/>
            <w:bottom w:val="none" w:sz="0" w:space="0" w:color="auto"/>
            <w:right w:val="none" w:sz="0" w:space="0" w:color="auto"/>
          </w:divBdr>
        </w:div>
        <w:div w:id="1804537072">
          <w:marLeft w:val="480"/>
          <w:marRight w:val="0"/>
          <w:marTop w:val="0"/>
          <w:marBottom w:val="0"/>
          <w:divBdr>
            <w:top w:val="none" w:sz="0" w:space="0" w:color="auto"/>
            <w:left w:val="none" w:sz="0" w:space="0" w:color="auto"/>
            <w:bottom w:val="none" w:sz="0" w:space="0" w:color="auto"/>
            <w:right w:val="none" w:sz="0" w:space="0" w:color="auto"/>
          </w:divBdr>
        </w:div>
        <w:div w:id="1087995902">
          <w:marLeft w:val="480"/>
          <w:marRight w:val="0"/>
          <w:marTop w:val="0"/>
          <w:marBottom w:val="0"/>
          <w:divBdr>
            <w:top w:val="none" w:sz="0" w:space="0" w:color="auto"/>
            <w:left w:val="none" w:sz="0" w:space="0" w:color="auto"/>
            <w:bottom w:val="none" w:sz="0" w:space="0" w:color="auto"/>
            <w:right w:val="none" w:sz="0" w:space="0" w:color="auto"/>
          </w:divBdr>
        </w:div>
        <w:div w:id="233930115">
          <w:marLeft w:val="480"/>
          <w:marRight w:val="0"/>
          <w:marTop w:val="0"/>
          <w:marBottom w:val="0"/>
          <w:divBdr>
            <w:top w:val="none" w:sz="0" w:space="0" w:color="auto"/>
            <w:left w:val="none" w:sz="0" w:space="0" w:color="auto"/>
            <w:bottom w:val="none" w:sz="0" w:space="0" w:color="auto"/>
            <w:right w:val="none" w:sz="0" w:space="0" w:color="auto"/>
          </w:divBdr>
        </w:div>
        <w:div w:id="1855219572">
          <w:marLeft w:val="480"/>
          <w:marRight w:val="0"/>
          <w:marTop w:val="0"/>
          <w:marBottom w:val="0"/>
          <w:divBdr>
            <w:top w:val="none" w:sz="0" w:space="0" w:color="auto"/>
            <w:left w:val="none" w:sz="0" w:space="0" w:color="auto"/>
            <w:bottom w:val="none" w:sz="0" w:space="0" w:color="auto"/>
            <w:right w:val="none" w:sz="0" w:space="0" w:color="auto"/>
          </w:divBdr>
        </w:div>
        <w:div w:id="184515589">
          <w:marLeft w:val="480"/>
          <w:marRight w:val="0"/>
          <w:marTop w:val="0"/>
          <w:marBottom w:val="0"/>
          <w:divBdr>
            <w:top w:val="none" w:sz="0" w:space="0" w:color="auto"/>
            <w:left w:val="none" w:sz="0" w:space="0" w:color="auto"/>
            <w:bottom w:val="none" w:sz="0" w:space="0" w:color="auto"/>
            <w:right w:val="none" w:sz="0" w:space="0" w:color="auto"/>
          </w:divBdr>
        </w:div>
        <w:div w:id="1321352">
          <w:marLeft w:val="480"/>
          <w:marRight w:val="0"/>
          <w:marTop w:val="0"/>
          <w:marBottom w:val="0"/>
          <w:divBdr>
            <w:top w:val="none" w:sz="0" w:space="0" w:color="auto"/>
            <w:left w:val="none" w:sz="0" w:space="0" w:color="auto"/>
            <w:bottom w:val="none" w:sz="0" w:space="0" w:color="auto"/>
            <w:right w:val="none" w:sz="0" w:space="0" w:color="auto"/>
          </w:divBdr>
        </w:div>
        <w:div w:id="119542007">
          <w:marLeft w:val="480"/>
          <w:marRight w:val="0"/>
          <w:marTop w:val="0"/>
          <w:marBottom w:val="0"/>
          <w:divBdr>
            <w:top w:val="none" w:sz="0" w:space="0" w:color="auto"/>
            <w:left w:val="none" w:sz="0" w:space="0" w:color="auto"/>
            <w:bottom w:val="none" w:sz="0" w:space="0" w:color="auto"/>
            <w:right w:val="none" w:sz="0" w:space="0" w:color="auto"/>
          </w:divBdr>
        </w:div>
        <w:div w:id="999044398">
          <w:marLeft w:val="480"/>
          <w:marRight w:val="0"/>
          <w:marTop w:val="0"/>
          <w:marBottom w:val="0"/>
          <w:divBdr>
            <w:top w:val="none" w:sz="0" w:space="0" w:color="auto"/>
            <w:left w:val="none" w:sz="0" w:space="0" w:color="auto"/>
            <w:bottom w:val="none" w:sz="0" w:space="0" w:color="auto"/>
            <w:right w:val="none" w:sz="0" w:space="0" w:color="auto"/>
          </w:divBdr>
        </w:div>
        <w:div w:id="1720788825">
          <w:marLeft w:val="480"/>
          <w:marRight w:val="0"/>
          <w:marTop w:val="0"/>
          <w:marBottom w:val="0"/>
          <w:divBdr>
            <w:top w:val="none" w:sz="0" w:space="0" w:color="auto"/>
            <w:left w:val="none" w:sz="0" w:space="0" w:color="auto"/>
            <w:bottom w:val="none" w:sz="0" w:space="0" w:color="auto"/>
            <w:right w:val="none" w:sz="0" w:space="0" w:color="auto"/>
          </w:divBdr>
        </w:div>
        <w:div w:id="1736733889">
          <w:marLeft w:val="480"/>
          <w:marRight w:val="0"/>
          <w:marTop w:val="0"/>
          <w:marBottom w:val="0"/>
          <w:divBdr>
            <w:top w:val="none" w:sz="0" w:space="0" w:color="auto"/>
            <w:left w:val="none" w:sz="0" w:space="0" w:color="auto"/>
            <w:bottom w:val="none" w:sz="0" w:space="0" w:color="auto"/>
            <w:right w:val="none" w:sz="0" w:space="0" w:color="auto"/>
          </w:divBdr>
        </w:div>
        <w:div w:id="1925650603">
          <w:marLeft w:val="480"/>
          <w:marRight w:val="0"/>
          <w:marTop w:val="0"/>
          <w:marBottom w:val="0"/>
          <w:divBdr>
            <w:top w:val="none" w:sz="0" w:space="0" w:color="auto"/>
            <w:left w:val="none" w:sz="0" w:space="0" w:color="auto"/>
            <w:bottom w:val="none" w:sz="0" w:space="0" w:color="auto"/>
            <w:right w:val="none" w:sz="0" w:space="0" w:color="auto"/>
          </w:divBdr>
        </w:div>
        <w:div w:id="88351658">
          <w:marLeft w:val="480"/>
          <w:marRight w:val="0"/>
          <w:marTop w:val="0"/>
          <w:marBottom w:val="0"/>
          <w:divBdr>
            <w:top w:val="none" w:sz="0" w:space="0" w:color="auto"/>
            <w:left w:val="none" w:sz="0" w:space="0" w:color="auto"/>
            <w:bottom w:val="none" w:sz="0" w:space="0" w:color="auto"/>
            <w:right w:val="none" w:sz="0" w:space="0" w:color="auto"/>
          </w:divBdr>
        </w:div>
        <w:div w:id="37558057">
          <w:marLeft w:val="480"/>
          <w:marRight w:val="0"/>
          <w:marTop w:val="0"/>
          <w:marBottom w:val="0"/>
          <w:divBdr>
            <w:top w:val="none" w:sz="0" w:space="0" w:color="auto"/>
            <w:left w:val="none" w:sz="0" w:space="0" w:color="auto"/>
            <w:bottom w:val="none" w:sz="0" w:space="0" w:color="auto"/>
            <w:right w:val="none" w:sz="0" w:space="0" w:color="auto"/>
          </w:divBdr>
        </w:div>
        <w:div w:id="568615190">
          <w:marLeft w:val="480"/>
          <w:marRight w:val="0"/>
          <w:marTop w:val="0"/>
          <w:marBottom w:val="0"/>
          <w:divBdr>
            <w:top w:val="none" w:sz="0" w:space="0" w:color="auto"/>
            <w:left w:val="none" w:sz="0" w:space="0" w:color="auto"/>
            <w:bottom w:val="none" w:sz="0" w:space="0" w:color="auto"/>
            <w:right w:val="none" w:sz="0" w:space="0" w:color="auto"/>
          </w:divBdr>
        </w:div>
        <w:div w:id="1738895273">
          <w:marLeft w:val="480"/>
          <w:marRight w:val="0"/>
          <w:marTop w:val="0"/>
          <w:marBottom w:val="0"/>
          <w:divBdr>
            <w:top w:val="none" w:sz="0" w:space="0" w:color="auto"/>
            <w:left w:val="none" w:sz="0" w:space="0" w:color="auto"/>
            <w:bottom w:val="none" w:sz="0" w:space="0" w:color="auto"/>
            <w:right w:val="none" w:sz="0" w:space="0" w:color="auto"/>
          </w:divBdr>
        </w:div>
        <w:div w:id="1552766380">
          <w:marLeft w:val="480"/>
          <w:marRight w:val="0"/>
          <w:marTop w:val="0"/>
          <w:marBottom w:val="0"/>
          <w:divBdr>
            <w:top w:val="none" w:sz="0" w:space="0" w:color="auto"/>
            <w:left w:val="none" w:sz="0" w:space="0" w:color="auto"/>
            <w:bottom w:val="none" w:sz="0" w:space="0" w:color="auto"/>
            <w:right w:val="none" w:sz="0" w:space="0" w:color="auto"/>
          </w:divBdr>
        </w:div>
        <w:div w:id="1388214270">
          <w:marLeft w:val="480"/>
          <w:marRight w:val="0"/>
          <w:marTop w:val="0"/>
          <w:marBottom w:val="0"/>
          <w:divBdr>
            <w:top w:val="none" w:sz="0" w:space="0" w:color="auto"/>
            <w:left w:val="none" w:sz="0" w:space="0" w:color="auto"/>
            <w:bottom w:val="none" w:sz="0" w:space="0" w:color="auto"/>
            <w:right w:val="none" w:sz="0" w:space="0" w:color="auto"/>
          </w:divBdr>
        </w:div>
        <w:div w:id="1177843426">
          <w:marLeft w:val="480"/>
          <w:marRight w:val="0"/>
          <w:marTop w:val="0"/>
          <w:marBottom w:val="0"/>
          <w:divBdr>
            <w:top w:val="none" w:sz="0" w:space="0" w:color="auto"/>
            <w:left w:val="none" w:sz="0" w:space="0" w:color="auto"/>
            <w:bottom w:val="none" w:sz="0" w:space="0" w:color="auto"/>
            <w:right w:val="none" w:sz="0" w:space="0" w:color="auto"/>
          </w:divBdr>
        </w:div>
        <w:div w:id="762144811">
          <w:marLeft w:val="480"/>
          <w:marRight w:val="0"/>
          <w:marTop w:val="0"/>
          <w:marBottom w:val="0"/>
          <w:divBdr>
            <w:top w:val="none" w:sz="0" w:space="0" w:color="auto"/>
            <w:left w:val="none" w:sz="0" w:space="0" w:color="auto"/>
            <w:bottom w:val="none" w:sz="0" w:space="0" w:color="auto"/>
            <w:right w:val="none" w:sz="0" w:space="0" w:color="auto"/>
          </w:divBdr>
        </w:div>
        <w:div w:id="485048540">
          <w:marLeft w:val="480"/>
          <w:marRight w:val="0"/>
          <w:marTop w:val="0"/>
          <w:marBottom w:val="0"/>
          <w:divBdr>
            <w:top w:val="none" w:sz="0" w:space="0" w:color="auto"/>
            <w:left w:val="none" w:sz="0" w:space="0" w:color="auto"/>
            <w:bottom w:val="none" w:sz="0" w:space="0" w:color="auto"/>
            <w:right w:val="none" w:sz="0" w:space="0" w:color="auto"/>
          </w:divBdr>
        </w:div>
        <w:div w:id="1769427534">
          <w:marLeft w:val="480"/>
          <w:marRight w:val="0"/>
          <w:marTop w:val="0"/>
          <w:marBottom w:val="0"/>
          <w:divBdr>
            <w:top w:val="none" w:sz="0" w:space="0" w:color="auto"/>
            <w:left w:val="none" w:sz="0" w:space="0" w:color="auto"/>
            <w:bottom w:val="none" w:sz="0" w:space="0" w:color="auto"/>
            <w:right w:val="none" w:sz="0" w:space="0" w:color="auto"/>
          </w:divBdr>
        </w:div>
        <w:div w:id="2137291885">
          <w:marLeft w:val="480"/>
          <w:marRight w:val="0"/>
          <w:marTop w:val="0"/>
          <w:marBottom w:val="0"/>
          <w:divBdr>
            <w:top w:val="none" w:sz="0" w:space="0" w:color="auto"/>
            <w:left w:val="none" w:sz="0" w:space="0" w:color="auto"/>
            <w:bottom w:val="none" w:sz="0" w:space="0" w:color="auto"/>
            <w:right w:val="none" w:sz="0" w:space="0" w:color="auto"/>
          </w:divBdr>
        </w:div>
        <w:div w:id="648678071">
          <w:marLeft w:val="480"/>
          <w:marRight w:val="0"/>
          <w:marTop w:val="0"/>
          <w:marBottom w:val="0"/>
          <w:divBdr>
            <w:top w:val="none" w:sz="0" w:space="0" w:color="auto"/>
            <w:left w:val="none" w:sz="0" w:space="0" w:color="auto"/>
            <w:bottom w:val="none" w:sz="0" w:space="0" w:color="auto"/>
            <w:right w:val="none" w:sz="0" w:space="0" w:color="auto"/>
          </w:divBdr>
        </w:div>
        <w:div w:id="669530453">
          <w:marLeft w:val="480"/>
          <w:marRight w:val="0"/>
          <w:marTop w:val="0"/>
          <w:marBottom w:val="0"/>
          <w:divBdr>
            <w:top w:val="none" w:sz="0" w:space="0" w:color="auto"/>
            <w:left w:val="none" w:sz="0" w:space="0" w:color="auto"/>
            <w:bottom w:val="none" w:sz="0" w:space="0" w:color="auto"/>
            <w:right w:val="none" w:sz="0" w:space="0" w:color="auto"/>
          </w:divBdr>
        </w:div>
        <w:div w:id="840392029">
          <w:marLeft w:val="480"/>
          <w:marRight w:val="0"/>
          <w:marTop w:val="0"/>
          <w:marBottom w:val="0"/>
          <w:divBdr>
            <w:top w:val="none" w:sz="0" w:space="0" w:color="auto"/>
            <w:left w:val="none" w:sz="0" w:space="0" w:color="auto"/>
            <w:bottom w:val="none" w:sz="0" w:space="0" w:color="auto"/>
            <w:right w:val="none" w:sz="0" w:space="0" w:color="auto"/>
          </w:divBdr>
        </w:div>
        <w:div w:id="1105151412">
          <w:marLeft w:val="480"/>
          <w:marRight w:val="0"/>
          <w:marTop w:val="0"/>
          <w:marBottom w:val="0"/>
          <w:divBdr>
            <w:top w:val="none" w:sz="0" w:space="0" w:color="auto"/>
            <w:left w:val="none" w:sz="0" w:space="0" w:color="auto"/>
            <w:bottom w:val="none" w:sz="0" w:space="0" w:color="auto"/>
            <w:right w:val="none" w:sz="0" w:space="0" w:color="auto"/>
          </w:divBdr>
        </w:div>
        <w:div w:id="1837725118">
          <w:marLeft w:val="480"/>
          <w:marRight w:val="0"/>
          <w:marTop w:val="0"/>
          <w:marBottom w:val="0"/>
          <w:divBdr>
            <w:top w:val="none" w:sz="0" w:space="0" w:color="auto"/>
            <w:left w:val="none" w:sz="0" w:space="0" w:color="auto"/>
            <w:bottom w:val="none" w:sz="0" w:space="0" w:color="auto"/>
            <w:right w:val="none" w:sz="0" w:space="0" w:color="auto"/>
          </w:divBdr>
        </w:div>
        <w:div w:id="2090543348">
          <w:marLeft w:val="480"/>
          <w:marRight w:val="0"/>
          <w:marTop w:val="0"/>
          <w:marBottom w:val="0"/>
          <w:divBdr>
            <w:top w:val="none" w:sz="0" w:space="0" w:color="auto"/>
            <w:left w:val="none" w:sz="0" w:space="0" w:color="auto"/>
            <w:bottom w:val="none" w:sz="0" w:space="0" w:color="auto"/>
            <w:right w:val="none" w:sz="0" w:space="0" w:color="auto"/>
          </w:divBdr>
        </w:div>
        <w:div w:id="769356736">
          <w:marLeft w:val="480"/>
          <w:marRight w:val="0"/>
          <w:marTop w:val="0"/>
          <w:marBottom w:val="0"/>
          <w:divBdr>
            <w:top w:val="none" w:sz="0" w:space="0" w:color="auto"/>
            <w:left w:val="none" w:sz="0" w:space="0" w:color="auto"/>
            <w:bottom w:val="none" w:sz="0" w:space="0" w:color="auto"/>
            <w:right w:val="none" w:sz="0" w:space="0" w:color="auto"/>
          </w:divBdr>
        </w:div>
        <w:div w:id="295526684">
          <w:marLeft w:val="480"/>
          <w:marRight w:val="0"/>
          <w:marTop w:val="0"/>
          <w:marBottom w:val="0"/>
          <w:divBdr>
            <w:top w:val="none" w:sz="0" w:space="0" w:color="auto"/>
            <w:left w:val="none" w:sz="0" w:space="0" w:color="auto"/>
            <w:bottom w:val="none" w:sz="0" w:space="0" w:color="auto"/>
            <w:right w:val="none" w:sz="0" w:space="0" w:color="auto"/>
          </w:divBdr>
        </w:div>
        <w:div w:id="1072310724">
          <w:marLeft w:val="480"/>
          <w:marRight w:val="0"/>
          <w:marTop w:val="0"/>
          <w:marBottom w:val="0"/>
          <w:divBdr>
            <w:top w:val="none" w:sz="0" w:space="0" w:color="auto"/>
            <w:left w:val="none" w:sz="0" w:space="0" w:color="auto"/>
            <w:bottom w:val="none" w:sz="0" w:space="0" w:color="auto"/>
            <w:right w:val="none" w:sz="0" w:space="0" w:color="auto"/>
          </w:divBdr>
        </w:div>
        <w:div w:id="437600512">
          <w:marLeft w:val="480"/>
          <w:marRight w:val="0"/>
          <w:marTop w:val="0"/>
          <w:marBottom w:val="0"/>
          <w:divBdr>
            <w:top w:val="none" w:sz="0" w:space="0" w:color="auto"/>
            <w:left w:val="none" w:sz="0" w:space="0" w:color="auto"/>
            <w:bottom w:val="none" w:sz="0" w:space="0" w:color="auto"/>
            <w:right w:val="none" w:sz="0" w:space="0" w:color="auto"/>
          </w:divBdr>
        </w:div>
        <w:div w:id="954482154">
          <w:marLeft w:val="480"/>
          <w:marRight w:val="0"/>
          <w:marTop w:val="0"/>
          <w:marBottom w:val="0"/>
          <w:divBdr>
            <w:top w:val="none" w:sz="0" w:space="0" w:color="auto"/>
            <w:left w:val="none" w:sz="0" w:space="0" w:color="auto"/>
            <w:bottom w:val="none" w:sz="0" w:space="0" w:color="auto"/>
            <w:right w:val="none" w:sz="0" w:space="0" w:color="auto"/>
          </w:divBdr>
        </w:div>
        <w:div w:id="2017270694">
          <w:marLeft w:val="480"/>
          <w:marRight w:val="0"/>
          <w:marTop w:val="0"/>
          <w:marBottom w:val="0"/>
          <w:divBdr>
            <w:top w:val="none" w:sz="0" w:space="0" w:color="auto"/>
            <w:left w:val="none" w:sz="0" w:space="0" w:color="auto"/>
            <w:bottom w:val="none" w:sz="0" w:space="0" w:color="auto"/>
            <w:right w:val="none" w:sz="0" w:space="0" w:color="auto"/>
          </w:divBdr>
        </w:div>
        <w:div w:id="613905345">
          <w:marLeft w:val="480"/>
          <w:marRight w:val="0"/>
          <w:marTop w:val="0"/>
          <w:marBottom w:val="0"/>
          <w:divBdr>
            <w:top w:val="none" w:sz="0" w:space="0" w:color="auto"/>
            <w:left w:val="none" w:sz="0" w:space="0" w:color="auto"/>
            <w:bottom w:val="none" w:sz="0" w:space="0" w:color="auto"/>
            <w:right w:val="none" w:sz="0" w:space="0" w:color="auto"/>
          </w:divBdr>
        </w:div>
        <w:div w:id="1376806625">
          <w:marLeft w:val="480"/>
          <w:marRight w:val="0"/>
          <w:marTop w:val="0"/>
          <w:marBottom w:val="0"/>
          <w:divBdr>
            <w:top w:val="none" w:sz="0" w:space="0" w:color="auto"/>
            <w:left w:val="none" w:sz="0" w:space="0" w:color="auto"/>
            <w:bottom w:val="none" w:sz="0" w:space="0" w:color="auto"/>
            <w:right w:val="none" w:sz="0" w:space="0" w:color="auto"/>
          </w:divBdr>
        </w:div>
        <w:div w:id="2114474094">
          <w:marLeft w:val="480"/>
          <w:marRight w:val="0"/>
          <w:marTop w:val="0"/>
          <w:marBottom w:val="0"/>
          <w:divBdr>
            <w:top w:val="none" w:sz="0" w:space="0" w:color="auto"/>
            <w:left w:val="none" w:sz="0" w:space="0" w:color="auto"/>
            <w:bottom w:val="none" w:sz="0" w:space="0" w:color="auto"/>
            <w:right w:val="none" w:sz="0" w:space="0" w:color="auto"/>
          </w:divBdr>
        </w:div>
        <w:div w:id="1373185776">
          <w:marLeft w:val="480"/>
          <w:marRight w:val="0"/>
          <w:marTop w:val="0"/>
          <w:marBottom w:val="0"/>
          <w:divBdr>
            <w:top w:val="none" w:sz="0" w:space="0" w:color="auto"/>
            <w:left w:val="none" w:sz="0" w:space="0" w:color="auto"/>
            <w:bottom w:val="none" w:sz="0" w:space="0" w:color="auto"/>
            <w:right w:val="none" w:sz="0" w:space="0" w:color="auto"/>
          </w:divBdr>
        </w:div>
        <w:div w:id="546456909">
          <w:marLeft w:val="480"/>
          <w:marRight w:val="0"/>
          <w:marTop w:val="0"/>
          <w:marBottom w:val="0"/>
          <w:divBdr>
            <w:top w:val="none" w:sz="0" w:space="0" w:color="auto"/>
            <w:left w:val="none" w:sz="0" w:space="0" w:color="auto"/>
            <w:bottom w:val="none" w:sz="0" w:space="0" w:color="auto"/>
            <w:right w:val="none" w:sz="0" w:space="0" w:color="auto"/>
          </w:divBdr>
        </w:div>
        <w:div w:id="402722400">
          <w:marLeft w:val="480"/>
          <w:marRight w:val="0"/>
          <w:marTop w:val="0"/>
          <w:marBottom w:val="0"/>
          <w:divBdr>
            <w:top w:val="none" w:sz="0" w:space="0" w:color="auto"/>
            <w:left w:val="none" w:sz="0" w:space="0" w:color="auto"/>
            <w:bottom w:val="none" w:sz="0" w:space="0" w:color="auto"/>
            <w:right w:val="none" w:sz="0" w:space="0" w:color="auto"/>
          </w:divBdr>
        </w:div>
        <w:div w:id="351414770">
          <w:marLeft w:val="480"/>
          <w:marRight w:val="0"/>
          <w:marTop w:val="0"/>
          <w:marBottom w:val="0"/>
          <w:divBdr>
            <w:top w:val="none" w:sz="0" w:space="0" w:color="auto"/>
            <w:left w:val="none" w:sz="0" w:space="0" w:color="auto"/>
            <w:bottom w:val="none" w:sz="0" w:space="0" w:color="auto"/>
            <w:right w:val="none" w:sz="0" w:space="0" w:color="auto"/>
          </w:divBdr>
        </w:div>
        <w:div w:id="691496765">
          <w:marLeft w:val="480"/>
          <w:marRight w:val="0"/>
          <w:marTop w:val="0"/>
          <w:marBottom w:val="0"/>
          <w:divBdr>
            <w:top w:val="none" w:sz="0" w:space="0" w:color="auto"/>
            <w:left w:val="none" w:sz="0" w:space="0" w:color="auto"/>
            <w:bottom w:val="none" w:sz="0" w:space="0" w:color="auto"/>
            <w:right w:val="none" w:sz="0" w:space="0" w:color="auto"/>
          </w:divBdr>
        </w:div>
        <w:div w:id="2118136328">
          <w:marLeft w:val="480"/>
          <w:marRight w:val="0"/>
          <w:marTop w:val="0"/>
          <w:marBottom w:val="0"/>
          <w:divBdr>
            <w:top w:val="none" w:sz="0" w:space="0" w:color="auto"/>
            <w:left w:val="none" w:sz="0" w:space="0" w:color="auto"/>
            <w:bottom w:val="none" w:sz="0" w:space="0" w:color="auto"/>
            <w:right w:val="none" w:sz="0" w:space="0" w:color="auto"/>
          </w:divBdr>
        </w:div>
        <w:div w:id="1426069638">
          <w:marLeft w:val="480"/>
          <w:marRight w:val="0"/>
          <w:marTop w:val="0"/>
          <w:marBottom w:val="0"/>
          <w:divBdr>
            <w:top w:val="none" w:sz="0" w:space="0" w:color="auto"/>
            <w:left w:val="none" w:sz="0" w:space="0" w:color="auto"/>
            <w:bottom w:val="none" w:sz="0" w:space="0" w:color="auto"/>
            <w:right w:val="none" w:sz="0" w:space="0" w:color="auto"/>
          </w:divBdr>
        </w:div>
        <w:div w:id="848719953">
          <w:marLeft w:val="480"/>
          <w:marRight w:val="0"/>
          <w:marTop w:val="0"/>
          <w:marBottom w:val="0"/>
          <w:divBdr>
            <w:top w:val="none" w:sz="0" w:space="0" w:color="auto"/>
            <w:left w:val="none" w:sz="0" w:space="0" w:color="auto"/>
            <w:bottom w:val="none" w:sz="0" w:space="0" w:color="auto"/>
            <w:right w:val="none" w:sz="0" w:space="0" w:color="auto"/>
          </w:divBdr>
        </w:div>
        <w:div w:id="1293634953">
          <w:marLeft w:val="480"/>
          <w:marRight w:val="0"/>
          <w:marTop w:val="0"/>
          <w:marBottom w:val="0"/>
          <w:divBdr>
            <w:top w:val="none" w:sz="0" w:space="0" w:color="auto"/>
            <w:left w:val="none" w:sz="0" w:space="0" w:color="auto"/>
            <w:bottom w:val="none" w:sz="0" w:space="0" w:color="auto"/>
            <w:right w:val="none" w:sz="0" w:space="0" w:color="auto"/>
          </w:divBdr>
        </w:div>
        <w:div w:id="910311939">
          <w:marLeft w:val="480"/>
          <w:marRight w:val="0"/>
          <w:marTop w:val="0"/>
          <w:marBottom w:val="0"/>
          <w:divBdr>
            <w:top w:val="none" w:sz="0" w:space="0" w:color="auto"/>
            <w:left w:val="none" w:sz="0" w:space="0" w:color="auto"/>
            <w:bottom w:val="none" w:sz="0" w:space="0" w:color="auto"/>
            <w:right w:val="none" w:sz="0" w:space="0" w:color="auto"/>
          </w:divBdr>
        </w:div>
        <w:div w:id="995038934">
          <w:marLeft w:val="480"/>
          <w:marRight w:val="0"/>
          <w:marTop w:val="0"/>
          <w:marBottom w:val="0"/>
          <w:divBdr>
            <w:top w:val="none" w:sz="0" w:space="0" w:color="auto"/>
            <w:left w:val="none" w:sz="0" w:space="0" w:color="auto"/>
            <w:bottom w:val="none" w:sz="0" w:space="0" w:color="auto"/>
            <w:right w:val="none" w:sz="0" w:space="0" w:color="auto"/>
          </w:divBdr>
        </w:div>
        <w:div w:id="1357581535">
          <w:marLeft w:val="480"/>
          <w:marRight w:val="0"/>
          <w:marTop w:val="0"/>
          <w:marBottom w:val="0"/>
          <w:divBdr>
            <w:top w:val="none" w:sz="0" w:space="0" w:color="auto"/>
            <w:left w:val="none" w:sz="0" w:space="0" w:color="auto"/>
            <w:bottom w:val="none" w:sz="0" w:space="0" w:color="auto"/>
            <w:right w:val="none" w:sz="0" w:space="0" w:color="auto"/>
          </w:divBdr>
        </w:div>
        <w:div w:id="125855249">
          <w:marLeft w:val="480"/>
          <w:marRight w:val="0"/>
          <w:marTop w:val="0"/>
          <w:marBottom w:val="0"/>
          <w:divBdr>
            <w:top w:val="none" w:sz="0" w:space="0" w:color="auto"/>
            <w:left w:val="none" w:sz="0" w:space="0" w:color="auto"/>
            <w:bottom w:val="none" w:sz="0" w:space="0" w:color="auto"/>
            <w:right w:val="none" w:sz="0" w:space="0" w:color="auto"/>
          </w:divBdr>
        </w:div>
        <w:div w:id="1263877683">
          <w:marLeft w:val="480"/>
          <w:marRight w:val="0"/>
          <w:marTop w:val="0"/>
          <w:marBottom w:val="0"/>
          <w:divBdr>
            <w:top w:val="none" w:sz="0" w:space="0" w:color="auto"/>
            <w:left w:val="none" w:sz="0" w:space="0" w:color="auto"/>
            <w:bottom w:val="none" w:sz="0" w:space="0" w:color="auto"/>
            <w:right w:val="none" w:sz="0" w:space="0" w:color="auto"/>
          </w:divBdr>
        </w:div>
        <w:div w:id="418021085">
          <w:marLeft w:val="480"/>
          <w:marRight w:val="0"/>
          <w:marTop w:val="0"/>
          <w:marBottom w:val="0"/>
          <w:divBdr>
            <w:top w:val="none" w:sz="0" w:space="0" w:color="auto"/>
            <w:left w:val="none" w:sz="0" w:space="0" w:color="auto"/>
            <w:bottom w:val="none" w:sz="0" w:space="0" w:color="auto"/>
            <w:right w:val="none" w:sz="0" w:space="0" w:color="auto"/>
          </w:divBdr>
        </w:div>
        <w:div w:id="1288509860">
          <w:marLeft w:val="480"/>
          <w:marRight w:val="0"/>
          <w:marTop w:val="0"/>
          <w:marBottom w:val="0"/>
          <w:divBdr>
            <w:top w:val="none" w:sz="0" w:space="0" w:color="auto"/>
            <w:left w:val="none" w:sz="0" w:space="0" w:color="auto"/>
            <w:bottom w:val="none" w:sz="0" w:space="0" w:color="auto"/>
            <w:right w:val="none" w:sz="0" w:space="0" w:color="auto"/>
          </w:divBdr>
        </w:div>
        <w:div w:id="1895508022">
          <w:marLeft w:val="480"/>
          <w:marRight w:val="0"/>
          <w:marTop w:val="0"/>
          <w:marBottom w:val="0"/>
          <w:divBdr>
            <w:top w:val="none" w:sz="0" w:space="0" w:color="auto"/>
            <w:left w:val="none" w:sz="0" w:space="0" w:color="auto"/>
            <w:bottom w:val="none" w:sz="0" w:space="0" w:color="auto"/>
            <w:right w:val="none" w:sz="0" w:space="0" w:color="auto"/>
          </w:divBdr>
        </w:div>
        <w:div w:id="2073774385">
          <w:marLeft w:val="480"/>
          <w:marRight w:val="0"/>
          <w:marTop w:val="0"/>
          <w:marBottom w:val="0"/>
          <w:divBdr>
            <w:top w:val="none" w:sz="0" w:space="0" w:color="auto"/>
            <w:left w:val="none" w:sz="0" w:space="0" w:color="auto"/>
            <w:bottom w:val="none" w:sz="0" w:space="0" w:color="auto"/>
            <w:right w:val="none" w:sz="0" w:space="0" w:color="auto"/>
          </w:divBdr>
        </w:div>
        <w:div w:id="1117872077">
          <w:marLeft w:val="480"/>
          <w:marRight w:val="0"/>
          <w:marTop w:val="0"/>
          <w:marBottom w:val="0"/>
          <w:divBdr>
            <w:top w:val="none" w:sz="0" w:space="0" w:color="auto"/>
            <w:left w:val="none" w:sz="0" w:space="0" w:color="auto"/>
            <w:bottom w:val="none" w:sz="0" w:space="0" w:color="auto"/>
            <w:right w:val="none" w:sz="0" w:space="0" w:color="auto"/>
          </w:divBdr>
        </w:div>
        <w:div w:id="1720782284">
          <w:marLeft w:val="480"/>
          <w:marRight w:val="0"/>
          <w:marTop w:val="0"/>
          <w:marBottom w:val="0"/>
          <w:divBdr>
            <w:top w:val="none" w:sz="0" w:space="0" w:color="auto"/>
            <w:left w:val="none" w:sz="0" w:space="0" w:color="auto"/>
            <w:bottom w:val="none" w:sz="0" w:space="0" w:color="auto"/>
            <w:right w:val="none" w:sz="0" w:space="0" w:color="auto"/>
          </w:divBdr>
        </w:div>
        <w:div w:id="873999835">
          <w:marLeft w:val="480"/>
          <w:marRight w:val="0"/>
          <w:marTop w:val="0"/>
          <w:marBottom w:val="0"/>
          <w:divBdr>
            <w:top w:val="none" w:sz="0" w:space="0" w:color="auto"/>
            <w:left w:val="none" w:sz="0" w:space="0" w:color="auto"/>
            <w:bottom w:val="none" w:sz="0" w:space="0" w:color="auto"/>
            <w:right w:val="none" w:sz="0" w:space="0" w:color="auto"/>
          </w:divBdr>
        </w:div>
        <w:div w:id="2250941">
          <w:marLeft w:val="480"/>
          <w:marRight w:val="0"/>
          <w:marTop w:val="0"/>
          <w:marBottom w:val="0"/>
          <w:divBdr>
            <w:top w:val="none" w:sz="0" w:space="0" w:color="auto"/>
            <w:left w:val="none" w:sz="0" w:space="0" w:color="auto"/>
            <w:bottom w:val="none" w:sz="0" w:space="0" w:color="auto"/>
            <w:right w:val="none" w:sz="0" w:space="0" w:color="auto"/>
          </w:divBdr>
        </w:div>
        <w:div w:id="963972866">
          <w:marLeft w:val="480"/>
          <w:marRight w:val="0"/>
          <w:marTop w:val="0"/>
          <w:marBottom w:val="0"/>
          <w:divBdr>
            <w:top w:val="none" w:sz="0" w:space="0" w:color="auto"/>
            <w:left w:val="none" w:sz="0" w:space="0" w:color="auto"/>
            <w:bottom w:val="none" w:sz="0" w:space="0" w:color="auto"/>
            <w:right w:val="none" w:sz="0" w:space="0" w:color="auto"/>
          </w:divBdr>
        </w:div>
        <w:div w:id="1167401902">
          <w:marLeft w:val="480"/>
          <w:marRight w:val="0"/>
          <w:marTop w:val="0"/>
          <w:marBottom w:val="0"/>
          <w:divBdr>
            <w:top w:val="none" w:sz="0" w:space="0" w:color="auto"/>
            <w:left w:val="none" w:sz="0" w:space="0" w:color="auto"/>
            <w:bottom w:val="none" w:sz="0" w:space="0" w:color="auto"/>
            <w:right w:val="none" w:sz="0" w:space="0" w:color="auto"/>
          </w:divBdr>
        </w:div>
        <w:div w:id="905798513">
          <w:marLeft w:val="480"/>
          <w:marRight w:val="0"/>
          <w:marTop w:val="0"/>
          <w:marBottom w:val="0"/>
          <w:divBdr>
            <w:top w:val="none" w:sz="0" w:space="0" w:color="auto"/>
            <w:left w:val="none" w:sz="0" w:space="0" w:color="auto"/>
            <w:bottom w:val="none" w:sz="0" w:space="0" w:color="auto"/>
            <w:right w:val="none" w:sz="0" w:space="0" w:color="auto"/>
          </w:divBdr>
        </w:div>
        <w:div w:id="1831169882">
          <w:marLeft w:val="480"/>
          <w:marRight w:val="0"/>
          <w:marTop w:val="0"/>
          <w:marBottom w:val="0"/>
          <w:divBdr>
            <w:top w:val="none" w:sz="0" w:space="0" w:color="auto"/>
            <w:left w:val="none" w:sz="0" w:space="0" w:color="auto"/>
            <w:bottom w:val="none" w:sz="0" w:space="0" w:color="auto"/>
            <w:right w:val="none" w:sz="0" w:space="0" w:color="auto"/>
          </w:divBdr>
        </w:div>
        <w:div w:id="1389456091">
          <w:marLeft w:val="480"/>
          <w:marRight w:val="0"/>
          <w:marTop w:val="0"/>
          <w:marBottom w:val="0"/>
          <w:divBdr>
            <w:top w:val="none" w:sz="0" w:space="0" w:color="auto"/>
            <w:left w:val="none" w:sz="0" w:space="0" w:color="auto"/>
            <w:bottom w:val="none" w:sz="0" w:space="0" w:color="auto"/>
            <w:right w:val="none" w:sz="0" w:space="0" w:color="auto"/>
          </w:divBdr>
        </w:div>
        <w:div w:id="1893346773">
          <w:marLeft w:val="480"/>
          <w:marRight w:val="0"/>
          <w:marTop w:val="0"/>
          <w:marBottom w:val="0"/>
          <w:divBdr>
            <w:top w:val="none" w:sz="0" w:space="0" w:color="auto"/>
            <w:left w:val="none" w:sz="0" w:space="0" w:color="auto"/>
            <w:bottom w:val="none" w:sz="0" w:space="0" w:color="auto"/>
            <w:right w:val="none" w:sz="0" w:space="0" w:color="auto"/>
          </w:divBdr>
        </w:div>
        <w:div w:id="1229607430">
          <w:marLeft w:val="480"/>
          <w:marRight w:val="0"/>
          <w:marTop w:val="0"/>
          <w:marBottom w:val="0"/>
          <w:divBdr>
            <w:top w:val="none" w:sz="0" w:space="0" w:color="auto"/>
            <w:left w:val="none" w:sz="0" w:space="0" w:color="auto"/>
            <w:bottom w:val="none" w:sz="0" w:space="0" w:color="auto"/>
            <w:right w:val="none" w:sz="0" w:space="0" w:color="auto"/>
          </w:divBdr>
        </w:div>
        <w:div w:id="265700123">
          <w:marLeft w:val="480"/>
          <w:marRight w:val="0"/>
          <w:marTop w:val="0"/>
          <w:marBottom w:val="0"/>
          <w:divBdr>
            <w:top w:val="none" w:sz="0" w:space="0" w:color="auto"/>
            <w:left w:val="none" w:sz="0" w:space="0" w:color="auto"/>
            <w:bottom w:val="none" w:sz="0" w:space="0" w:color="auto"/>
            <w:right w:val="none" w:sz="0" w:space="0" w:color="auto"/>
          </w:divBdr>
        </w:div>
        <w:div w:id="34014861">
          <w:marLeft w:val="480"/>
          <w:marRight w:val="0"/>
          <w:marTop w:val="0"/>
          <w:marBottom w:val="0"/>
          <w:divBdr>
            <w:top w:val="none" w:sz="0" w:space="0" w:color="auto"/>
            <w:left w:val="none" w:sz="0" w:space="0" w:color="auto"/>
            <w:bottom w:val="none" w:sz="0" w:space="0" w:color="auto"/>
            <w:right w:val="none" w:sz="0" w:space="0" w:color="auto"/>
          </w:divBdr>
        </w:div>
        <w:div w:id="233399538">
          <w:marLeft w:val="480"/>
          <w:marRight w:val="0"/>
          <w:marTop w:val="0"/>
          <w:marBottom w:val="0"/>
          <w:divBdr>
            <w:top w:val="none" w:sz="0" w:space="0" w:color="auto"/>
            <w:left w:val="none" w:sz="0" w:space="0" w:color="auto"/>
            <w:bottom w:val="none" w:sz="0" w:space="0" w:color="auto"/>
            <w:right w:val="none" w:sz="0" w:space="0" w:color="auto"/>
          </w:divBdr>
        </w:div>
        <w:div w:id="1441030206">
          <w:marLeft w:val="480"/>
          <w:marRight w:val="0"/>
          <w:marTop w:val="0"/>
          <w:marBottom w:val="0"/>
          <w:divBdr>
            <w:top w:val="none" w:sz="0" w:space="0" w:color="auto"/>
            <w:left w:val="none" w:sz="0" w:space="0" w:color="auto"/>
            <w:bottom w:val="none" w:sz="0" w:space="0" w:color="auto"/>
            <w:right w:val="none" w:sz="0" w:space="0" w:color="auto"/>
          </w:divBdr>
        </w:div>
        <w:div w:id="660890575">
          <w:marLeft w:val="480"/>
          <w:marRight w:val="0"/>
          <w:marTop w:val="0"/>
          <w:marBottom w:val="0"/>
          <w:divBdr>
            <w:top w:val="none" w:sz="0" w:space="0" w:color="auto"/>
            <w:left w:val="none" w:sz="0" w:space="0" w:color="auto"/>
            <w:bottom w:val="none" w:sz="0" w:space="0" w:color="auto"/>
            <w:right w:val="none" w:sz="0" w:space="0" w:color="auto"/>
          </w:divBdr>
        </w:div>
        <w:div w:id="260798156">
          <w:marLeft w:val="480"/>
          <w:marRight w:val="0"/>
          <w:marTop w:val="0"/>
          <w:marBottom w:val="0"/>
          <w:divBdr>
            <w:top w:val="none" w:sz="0" w:space="0" w:color="auto"/>
            <w:left w:val="none" w:sz="0" w:space="0" w:color="auto"/>
            <w:bottom w:val="none" w:sz="0" w:space="0" w:color="auto"/>
            <w:right w:val="none" w:sz="0" w:space="0" w:color="auto"/>
          </w:divBdr>
        </w:div>
        <w:div w:id="912736471">
          <w:marLeft w:val="480"/>
          <w:marRight w:val="0"/>
          <w:marTop w:val="0"/>
          <w:marBottom w:val="0"/>
          <w:divBdr>
            <w:top w:val="none" w:sz="0" w:space="0" w:color="auto"/>
            <w:left w:val="none" w:sz="0" w:space="0" w:color="auto"/>
            <w:bottom w:val="none" w:sz="0" w:space="0" w:color="auto"/>
            <w:right w:val="none" w:sz="0" w:space="0" w:color="auto"/>
          </w:divBdr>
        </w:div>
        <w:div w:id="1981230419">
          <w:marLeft w:val="480"/>
          <w:marRight w:val="0"/>
          <w:marTop w:val="0"/>
          <w:marBottom w:val="0"/>
          <w:divBdr>
            <w:top w:val="none" w:sz="0" w:space="0" w:color="auto"/>
            <w:left w:val="none" w:sz="0" w:space="0" w:color="auto"/>
            <w:bottom w:val="none" w:sz="0" w:space="0" w:color="auto"/>
            <w:right w:val="none" w:sz="0" w:space="0" w:color="auto"/>
          </w:divBdr>
        </w:div>
        <w:div w:id="1803428165">
          <w:marLeft w:val="480"/>
          <w:marRight w:val="0"/>
          <w:marTop w:val="0"/>
          <w:marBottom w:val="0"/>
          <w:divBdr>
            <w:top w:val="none" w:sz="0" w:space="0" w:color="auto"/>
            <w:left w:val="none" w:sz="0" w:space="0" w:color="auto"/>
            <w:bottom w:val="none" w:sz="0" w:space="0" w:color="auto"/>
            <w:right w:val="none" w:sz="0" w:space="0" w:color="auto"/>
          </w:divBdr>
        </w:div>
        <w:div w:id="2111579448">
          <w:marLeft w:val="480"/>
          <w:marRight w:val="0"/>
          <w:marTop w:val="0"/>
          <w:marBottom w:val="0"/>
          <w:divBdr>
            <w:top w:val="none" w:sz="0" w:space="0" w:color="auto"/>
            <w:left w:val="none" w:sz="0" w:space="0" w:color="auto"/>
            <w:bottom w:val="none" w:sz="0" w:space="0" w:color="auto"/>
            <w:right w:val="none" w:sz="0" w:space="0" w:color="auto"/>
          </w:divBdr>
        </w:div>
        <w:div w:id="909927153">
          <w:marLeft w:val="480"/>
          <w:marRight w:val="0"/>
          <w:marTop w:val="0"/>
          <w:marBottom w:val="0"/>
          <w:divBdr>
            <w:top w:val="none" w:sz="0" w:space="0" w:color="auto"/>
            <w:left w:val="none" w:sz="0" w:space="0" w:color="auto"/>
            <w:bottom w:val="none" w:sz="0" w:space="0" w:color="auto"/>
            <w:right w:val="none" w:sz="0" w:space="0" w:color="auto"/>
          </w:divBdr>
        </w:div>
        <w:div w:id="88086656">
          <w:marLeft w:val="480"/>
          <w:marRight w:val="0"/>
          <w:marTop w:val="0"/>
          <w:marBottom w:val="0"/>
          <w:divBdr>
            <w:top w:val="none" w:sz="0" w:space="0" w:color="auto"/>
            <w:left w:val="none" w:sz="0" w:space="0" w:color="auto"/>
            <w:bottom w:val="none" w:sz="0" w:space="0" w:color="auto"/>
            <w:right w:val="none" w:sz="0" w:space="0" w:color="auto"/>
          </w:divBdr>
        </w:div>
        <w:div w:id="913005245">
          <w:marLeft w:val="480"/>
          <w:marRight w:val="0"/>
          <w:marTop w:val="0"/>
          <w:marBottom w:val="0"/>
          <w:divBdr>
            <w:top w:val="none" w:sz="0" w:space="0" w:color="auto"/>
            <w:left w:val="none" w:sz="0" w:space="0" w:color="auto"/>
            <w:bottom w:val="none" w:sz="0" w:space="0" w:color="auto"/>
            <w:right w:val="none" w:sz="0" w:space="0" w:color="auto"/>
          </w:divBdr>
        </w:div>
        <w:div w:id="531380594">
          <w:marLeft w:val="480"/>
          <w:marRight w:val="0"/>
          <w:marTop w:val="0"/>
          <w:marBottom w:val="0"/>
          <w:divBdr>
            <w:top w:val="none" w:sz="0" w:space="0" w:color="auto"/>
            <w:left w:val="none" w:sz="0" w:space="0" w:color="auto"/>
            <w:bottom w:val="none" w:sz="0" w:space="0" w:color="auto"/>
            <w:right w:val="none" w:sz="0" w:space="0" w:color="auto"/>
          </w:divBdr>
        </w:div>
        <w:div w:id="1659575007">
          <w:marLeft w:val="480"/>
          <w:marRight w:val="0"/>
          <w:marTop w:val="0"/>
          <w:marBottom w:val="0"/>
          <w:divBdr>
            <w:top w:val="none" w:sz="0" w:space="0" w:color="auto"/>
            <w:left w:val="none" w:sz="0" w:space="0" w:color="auto"/>
            <w:bottom w:val="none" w:sz="0" w:space="0" w:color="auto"/>
            <w:right w:val="none" w:sz="0" w:space="0" w:color="auto"/>
          </w:divBdr>
        </w:div>
        <w:div w:id="1173691058">
          <w:marLeft w:val="480"/>
          <w:marRight w:val="0"/>
          <w:marTop w:val="0"/>
          <w:marBottom w:val="0"/>
          <w:divBdr>
            <w:top w:val="none" w:sz="0" w:space="0" w:color="auto"/>
            <w:left w:val="none" w:sz="0" w:space="0" w:color="auto"/>
            <w:bottom w:val="none" w:sz="0" w:space="0" w:color="auto"/>
            <w:right w:val="none" w:sz="0" w:space="0" w:color="auto"/>
          </w:divBdr>
        </w:div>
        <w:div w:id="1839812152">
          <w:marLeft w:val="480"/>
          <w:marRight w:val="0"/>
          <w:marTop w:val="0"/>
          <w:marBottom w:val="0"/>
          <w:divBdr>
            <w:top w:val="none" w:sz="0" w:space="0" w:color="auto"/>
            <w:left w:val="none" w:sz="0" w:space="0" w:color="auto"/>
            <w:bottom w:val="none" w:sz="0" w:space="0" w:color="auto"/>
            <w:right w:val="none" w:sz="0" w:space="0" w:color="auto"/>
          </w:divBdr>
        </w:div>
        <w:div w:id="1941062708">
          <w:marLeft w:val="480"/>
          <w:marRight w:val="0"/>
          <w:marTop w:val="0"/>
          <w:marBottom w:val="0"/>
          <w:divBdr>
            <w:top w:val="none" w:sz="0" w:space="0" w:color="auto"/>
            <w:left w:val="none" w:sz="0" w:space="0" w:color="auto"/>
            <w:bottom w:val="none" w:sz="0" w:space="0" w:color="auto"/>
            <w:right w:val="none" w:sz="0" w:space="0" w:color="auto"/>
          </w:divBdr>
        </w:div>
        <w:div w:id="749935463">
          <w:marLeft w:val="480"/>
          <w:marRight w:val="0"/>
          <w:marTop w:val="0"/>
          <w:marBottom w:val="0"/>
          <w:divBdr>
            <w:top w:val="none" w:sz="0" w:space="0" w:color="auto"/>
            <w:left w:val="none" w:sz="0" w:space="0" w:color="auto"/>
            <w:bottom w:val="none" w:sz="0" w:space="0" w:color="auto"/>
            <w:right w:val="none" w:sz="0" w:space="0" w:color="auto"/>
          </w:divBdr>
        </w:div>
        <w:div w:id="865480724">
          <w:marLeft w:val="480"/>
          <w:marRight w:val="0"/>
          <w:marTop w:val="0"/>
          <w:marBottom w:val="0"/>
          <w:divBdr>
            <w:top w:val="none" w:sz="0" w:space="0" w:color="auto"/>
            <w:left w:val="none" w:sz="0" w:space="0" w:color="auto"/>
            <w:bottom w:val="none" w:sz="0" w:space="0" w:color="auto"/>
            <w:right w:val="none" w:sz="0" w:space="0" w:color="auto"/>
          </w:divBdr>
        </w:div>
        <w:div w:id="689768835">
          <w:marLeft w:val="480"/>
          <w:marRight w:val="0"/>
          <w:marTop w:val="0"/>
          <w:marBottom w:val="0"/>
          <w:divBdr>
            <w:top w:val="none" w:sz="0" w:space="0" w:color="auto"/>
            <w:left w:val="none" w:sz="0" w:space="0" w:color="auto"/>
            <w:bottom w:val="none" w:sz="0" w:space="0" w:color="auto"/>
            <w:right w:val="none" w:sz="0" w:space="0" w:color="auto"/>
          </w:divBdr>
        </w:div>
        <w:div w:id="760375223">
          <w:marLeft w:val="480"/>
          <w:marRight w:val="0"/>
          <w:marTop w:val="0"/>
          <w:marBottom w:val="0"/>
          <w:divBdr>
            <w:top w:val="none" w:sz="0" w:space="0" w:color="auto"/>
            <w:left w:val="none" w:sz="0" w:space="0" w:color="auto"/>
            <w:bottom w:val="none" w:sz="0" w:space="0" w:color="auto"/>
            <w:right w:val="none" w:sz="0" w:space="0" w:color="auto"/>
          </w:divBdr>
        </w:div>
        <w:div w:id="840779647">
          <w:marLeft w:val="480"/>
          <w:marRight w:val="0"/>
          <w:marTop w:val="0"/>
          <w:marBottom w:val="0"/>
          <w:divBdr>
            <w:top w:val="none" w:sz="0" w:space="0" w:color="auto"/>
            <w:left w:val="none" w:sz="0" w:space="0" w:color="auto"/>
            <w:bottom w:val="none" w:sz="0" w:space="0" w:color="auto"/>
            <w:right w:val="none" w:sz="0" w:space="0" w:color="auto"/>
          </w:divBdr>
        </w:div>
        <w:div w:id="452792328">
          <w:marLeft w:val="480"/>
          <w:marRight w:val="0"/>
          <w:marTop w:val="0"/>
          <w:marBottom w:val="0"/>
          <w:divBdr>
            <w:top w:val="none" w:sz="0" w:space="0" w:color="auto"/>
            <w:left w:val="none" w:sz="0" w:space="0" w:color="auto"/>
            <w:bottom w:val="none" w:sz="0" w:space="0" w:color="auto"/>
            <w:right w:val="none" w:sz="0" w:space="0" w:color="auto"/>
          </w:divBdr>
        </w:div>
        <w:div w:id="343745173">
          <w:marLeft w:val="480"/>
          <w:marRight w:val="0"/>
          <w:marTop w:val="0"/>
          <w:marBottom w:val="0"/>
          <w:divBdr>
            <w:top w:val="none" w:sz="0" w:space="0" w:color="auto"/>
            <w:left w:val="none" w:sz="0" w:space="0" w:color="auto"/>
            <w:bottom w:val="none" w:sz="0" w:space="0" w:color="auto"/>
            <w:right w:val="none" w:sz="0" w:space="0" w:color="auto"/>
          </w:divBdr>
        </w:div>
        <w:div w:id="866262696">
          <w:marLeft w:val="480"/>
          <w:marRight w:val="0"/>
          <w:marTop w:val="0"/>
          <w:marBottom w:val="0"/>
          <w:divBdr>
            <w:top w:val="none" w:sz="0" w:space="0" w:color="auto"/>
            <w:left w:val="none" w:sz="0" w:space="0" w:color="auto"/>
            <w:bottom w:val="none" w:sz="0" w:space="0" w:color="auto"/>
            <w:right w:val="none" w:sz="0" w:space="0" w:color="auto"/>
          </w:divBdr>
        </w:div>
        <w:div w:id="1177621999">
          <w:marLeft w:val="480"/>
          <w:marRight w:val="0"/>
          <w:marTop w:val="0"/>
          <w:marBottom w:val="0"/>
          <w:divBdr>
            <w:top w:val="none" w:sz="0" w:space="0" w:color="auto"/>
            <w:left w:val="none" w:sz="0" w:space="0" w:color="auto"/>
            <w:bottom w:val="none" w:sz="0" w:space="0" w:color="auto"/>
            <w:right w:val="none" w:sz="0" w:space="0" w:color="auto"/>
          </w:divBdr>
        </w:div>
        <w:div w:id="644746934">
          <w:marLeft w:val="480"/>
          <w:marRight w:val="0"/>
          <w:marTop w:val="0"/>
          <w:marBottom w:val="0"/>
          <w:divBdr>
            <w:top w:val="none" w:sz="0" w:space="0" w:color="auto"/>
            <w:left w:val="none" w:sz="0" w:space="0" w:color="auto"/>
            <w:bottom w:val="none" w:sz="0" w:space="0" w:color="auto"/>
            <w:right w:val="none" w:sz="0" w:space="0" w:color="auto"/>
          </w:divBdr>
        </w:div>
        <w:div w:id="219486764">
          <w:marLeft w:val="480"/>
          <w:marRight w:val="0"/>
          <w:marTop w:val="0"/>
          <w:marBottom w:val="0"/>
          <w:divBdr>
            <w:top w:val="none" w:sz="0" w:space="0" w:color="auto"/>
            <w:left w:val="none" w:sz="0" w:space="0" w:color="auto"/>
            <w:bottom w:val="none" w:sz="0" w:space="0" w:color="auto"/>
            <w:right w:val="none" w:sz="0" w:space="0" w:color="auto"/>
          </w:divBdr>
        </w:div>
        <w:div w:id="1186480587">
          <w:marLeft w:val="480"/>
          <w:marRight w:val="0"/>
          <w:marTop w:val="0"/>
          <w:marBottom w:val="0"/>
          <w:divBdr>
            <w:top w:val="none" w:sz="0" w:space="0" w:color="auto"/>
            <w:left w:val="none" w:sz="0" w:space="0" w:color="auto"/>
            <w:bottom w:val="none" w:sz="0" w:space="0" w:color="auto"/>
            <w:right w:val="none" w:sz="0" w:space="0" w:color="auto"/>
          </w:divBdr>
        </w:div>
        <w:div w:id="1085569405">
          <w:marLeft w:val="480"/>
          <w:marRight w:val="0"/>
          <w:marTop w:val="0"/>
          <w:marBottom w:val="0"/>
          <w:divBdr>
            <w:top w:val="none" w:sz="0" w:space="0" w:color="auto"/>
            <w:left w:val="none" w:sz="0" w:space="0" w:color="auto"/>
            <w:bottom w:val="none" w:sz="0" w:space="0" w:color="auto"/>
            <w:right w:val="none" w:sz="0" w:space="0" w:color="auto"/>
          </w:divBdr>
        </w:div>
        <w:div w:id="1440757722">
          <w:marLeft w:val="480"/>
          <w:marRight w:val="0"/>
          <w:marTop w:val="0"/>
          <w:marBottom w:val="0"/>
          <w:divBdr>
            <w:top w:val="none" w:sz="0" w:space="0" w:color="auto"/>
            <w:left w:val="none" w:sz="0" w:space="0" w:color="auto"/>
            <w:bottom w:val="none" w:sz="0" w:space="0" w:color="auto"/>
            <w:right w:val="none" w:sz="0" w:space="0" w:color="auto"/>
          </w:divBdr>
        </w:div>
        <w:div w:id="1928725753">
          <w:marLeft w:val="480"/>
          <w:marRight w:val="0"/>
          <w:marTop w:val="0"/>
          <w:marBottom w:val="0"/>
          <w:divBdr>
            <w:top w:val="none" w:sz="0" w:space="0" w:color="auto"/>
            <w:left w:val="none" w:sz="0" w:space="0" w:color="auto"/>
            <w:bottom w:val="none" w:sz="0" w:space="0" w:color="auto"/>
            <w:right w:val="none" w:sz="0" w:space="0" w:color="auto"/>
          </w:divBdr>
        </w:div>
        <w:div w:id="1253666765">
          <w:marLeft w:val="480"/>
          <w:marRight w:val="0"/>
          <w:marTop w:val="0"/>
          <w:marBottom w:val="0"/>
          <w:divBdr>
            <w:top w:val="none" w:sz="0" w:space="0" w:color="auto"/>
            <w:left w:val="none" w:sz="0" w:space="0" w:color="auto"/>
            <w:bottom w:val="none" w:sz="0" w:space="0" w:color="auto"/>
            <w:right w:val="none" w:sz="0" w:space="0" w:color="auto"/>
          </w:divBdr>
        </w:div>
        <w:div w:id="134219919">
          <w:marLeft w:val="480"/>
          <w:marRight w:val="0"/>
          <w:marTop w:val="0"/>
          <w:marBottom w:val="0"/>
          <w:divBdr>
            <w:top w:val="none" w:sz="0" w:space="0" w:color="auto"/>
            <w:left w:val="none" w:sz="0" w:space="0" w:color="auto"/>
            <w:bottom w:val="none" w:sz="0" w:space="0" w:color="auto"/>
            <w:right w:val="none" w:sz="0" w:space="0" w:color="auto"/>
          </w:divBdr>
        </w:div>
        <w:div w:id="70205406">
          <w:marLeft w:val="480"/>
          <w:marRight w:val="0"/>
          <w:marTop w:val="0"/>
          <w:marBottom w:val="0"/>
          <w:divBdr>
            <w:top w:val="none" w:sz="0" w:space="0" w:color="auto"/>
            <w:left w:val="none" w:sz="0" w:space="0" w:color="auto"/>
            <w:bottom w:val="none" w:sz="0" w:space="0" w:color="auto"/>
            <w:right w:val="none" w:sz="0" w:space="0" w:color="auto"/>
          </w:divBdr>
        </w:div>
        <w:div w:id="1894000972">
          <w:marLeft w:val="480"/>
          <w:marRight w:val="0"/>
          <w:marTop w:val="0"/>
          <w:marBottom w:val="0"/>
          <w:divBdr>
            <w:top w:val="none" w:sz="0" w:space="0" w:color="auto"/>
            <w:left w:val="none" w:sz="0" w:space="0" w:color="auto"/>
            <w:bottom w:val="none" w:sz="0" w:space="0" w:color="auto"/>
            <w:right w:val="none" w:sz="0" w:space="0" w:color="auto"/>
          </w:divBdr>
        </w:div>
        <w:div w:id="143788193">
          <w:marLeft w:val="480"/>
          <w:marRight w:val="0"/>
          <w:marTop w:val="0"/>
          <w:marBottom w:val="0"/>
          <w:divBdr>
            <w:top w:val="none" w:sz="0" w:space="0" w:color="auto"/>
            <w:left w:val="none" w:sz="0" w:space="0" w:color="auto"/>
            <w:bottom w:val="none" w:sz="0" w:space="0" w:color="auto"/>
            <w:right w:val="none" w:sz="0" w:space="0" w:color="auto"/>
          </w:divBdr>
        </w:div>
        <w:div w:id="1554345491">
          <w:marLeft w:val="480"/>
          <w:marRight w:val="0"/>
          <w:marTop w:val="0"/>
          <w:marBottom w:val="0"/>
          <w:divBdr>
            <w:top w:val="none" w:sz="0" w:space="0" w:color="auto"/>
            <w:left w:val="none" w:sz="0" w:space="0" w:color="auto"/>
            <w:bottom w:val="none" w:sz="0" w:space="0" w:color="auto"/>
            <w:right w:val="none" w:sz="0" w:space="0" w:color="auto"/>
          </w:divBdr>
        </w:div>
        <w:div w:id="1331836930">
          <w:marLeft w:val="480"/>
          <w:marRight w:val="0"/>
          <w:marTop w:val="0"/>
          <w:marBottom w:val="0"/>
          <w:divBdr>
            <w:top w:val="none" w:sz="0" w:space="0" w:color="auto"/>
            <w:left w:val="none" w:sz="0" w:space="0" w:color="auto"/>
            <w:bottom w:val="none" w:sz="0" w:space="0" w:color="auto"/>
            <w:right w:val="none" w:sz="0" w:space="0" w:color="auto"/>
          </w:divBdr>
        </w:div>
        <w:div w:id="504128439">
          <w:marLeft w:val="480"/>
          <w:marRight w:val="0"/>
          <w:marTop w:val="0"/>
          <w:marBottom w:val="0"/>
          <w:divBdr>
            <w:top w:val="none" w:sz="0" w:space="0" w:color="auto"/>
            <w:left w:val="none" w:sz="0" w:space="0" w:color="auto"/>
            <w:bottom w:val="none" w:sz="0" w:space="0" w:color="auto"/>
            <w:right w:val="none" w:sz="0" w:space="0" w:color="auto"/>
          </w:divBdr>
        </w:div>
        <w:div w:id="770198937">
          <w:marLeft w:val="480"/>
          <w:marRight w:val="0"/>
          <w:marTop w:val="0"/>
          <w:marBottom w:val="0"/>
          <w:divBdr>
            <w:top w:val="none" w:sz="0" w:space="0" w:color="auto"/>
            <w:left w:val="none" w:sz="0" w:space="0" w:color="auto"/>
            <w:bottom w:val="none" w:sz="0" w:space="0" w:color="auto"/>
            <w:right w:val="none" w:sz="0" w:space="0" w:color="auto"/>
          </w:divBdr>
        </w:div>
        <w:div w:id="1986350802">
          <w:marLeft w:val="480"/>
          <w:marRight w:val="0"/>
          <w:marTop w:val="0"/>
          <w:marBottom w:val="0"/>
          <w:divBdr>
            <w:top w:val="none" w:sz="0" w:space="0" w:color="auto"/>
            <w:left w:val="none" w:sz="0" w:space="0" w:color="auto"/>
            <w:bottom w:val="none" w:sz="0" w:space="0" w:color="auto"/>
            <w:right w:val="none" w:sz="0" w:space="0" w:color="auto"/>
          </w:divBdr>
        </w:div>
        <w:div w:id="1120296641">
          <w:marLeft w:val="480"/>
          <w:marRight w:val="0"/>
          <w:marTop w:val="0"/>
          <w:marBottom w:val="0"/>
          <w:divBdr>
            <w:top w:val="none" w:sz="0" w:space="0" w:color="auto"/>
            <w:left w:val="none" w:sz="0" w:space="0" w:color="auto"/>
            <w:bottom w:val="none" w:sz="0" w:space="0" w:color="auto"/>
            <w:right w:val="none" w:sz="0" w:space="0" w:color="auto"/>
          </w:divBdr>
        </w:div>
        <w:div w:id="1948996715">
          <w:marLeft w:val="480"/>
          <w:marRight w:val="0"/>
          <w:marTop w:val="0"/>
          <w:marBottom w:val="0"/>
          <w:divBdr>
            <w:top w:val="none" w:sz="0" w:space="0" w:color="auto"/>
            <w:left w:val="none" w:sz="0" w:space="0" w:color="auto"/>
            <w:bottom w:val="none" w:sz="0" w:space="0" w:color="auto"/>
            <w:right w:val="none" w:sz="0" w:space="0" w:color="auto"/>
          </w:divBdr>
        </w:div>
        <w:div w:id="906692141">
          <w:marLeft w:val="480"/>
          <w:marRight w:val="0"/>
          <w:marTop w:val="0"/>
          <w:marBottom w:val="0"/>
          <w:divBdr>
            <w:top w:val="none" w:sz="0" w:space="0" w:color="auto"/>
            <w:left w:val="none" w:sz="0" w:space="0" w:color="auto"/>
            <w:bottom w:val="none" w:sz="0" w:space="0" w:color="auto"/>
            <w:right w:val="none" w:sz="0" w:space="0" w:color="auto"/>
          </w:divBdr>
        </w:div>
        <w:div w:id="908684895">
          <w:marLeft w:val="480"/>
          <w:marRight w:val="0"/>
          <w:marTop w:val="0"/>
          <w:marBottom w:val="0"/>
          <w:divBdr>
            <w:top w:val="none" w:sz="0" w:space="0" w:color="auto"/>
            <w:left w:val="none" w:sz="0" w:space="0" w:color="auto"/>
            <w:bottom w:val="none" w:sz="0" w:space="0" w:color="auto"/>
            <w:right w:val="none" w:sz="0" w:space="0" w:color="auto"/>
          </w:divBdr>
        </w:div>
        <w:div w:id="869414837">
          <w:marLeft w:val="480"/>
          <w:marRight w:val="0"/>
          <w:marTop w:val="0"/>
          <w:marBottom w:val="0"/>
          <w:divBdr>
            <w:top w:val="none" w:sz="0" w:space="0" w:color="auto"/>
            <w:left w:val="none" w:sz="0" w:space="0" w:color="auto"/>
            <w:bottom w:val="none" w:sz="0" w:space="0" w:color="auto"/>
            <w:right w:val="none" w:sz="0" w:space="0" w:color="auto"/>
          </w:divBdr>
        </w:div>
        <w:div w:id="676886332">
          <w:marLeft w:val="480"/>
          <w:marRight w:val="0"/>
          <w:marTop w:val="0"/>
          <w:marBottom w:val="0"/>
          <w:divBdr>
            <w:top w:val="none" w:sz="0" w:space="0" w:color="auto"/>
            <w:left w:val="none" w:sz="0" w:space="0" w:color="auto"/>
            <w:bottom w:val="none" w:sz="0" w:space="0" w:color="auto"/>
            <w:right w:val="none" w:sz="0" w:space="0" w:color="auto"/>
          </w:divBdr>
        </w:div>
        <w:div w:id="808090499">
          <w:marLeft w:val="480"/>
          <w:marRight w:val="0"/>
          <w:marTop w:val="0"/>
          <w:marBottom w:val="0"/>
          <w:divBdr>
            <w:top w:val="none" w:sz="0" w:space="0" w:color="auto"/>
            <w:left w:val="none" w:sz="0" w:space="0" w:color="auto"/>
            <w:bottom w:val="none" w:sz="0" w:space="0" w:color="auto"/>
            <w:right w:val="none" w:sz="0" w:space="0" w:color="auto"/>
          </w:divBdr>
        </w:div>
        <w:div w:id="1041904637">
          <w:marLeft w:val="480"/>
          <w:marRight w:val="0"/>
          <w:marTop w:val="0"/>
          <w:marBottom w:val="0"/>
          <w:divBdr>
            <w:top w:val="none" w:sz="0" w:space="0" w:color="auto"/>
            <w:left w:val="none" w:sz="0" w:space="0" w:color="auto"/>
            <w:bottom w:val="none" w:sz="0" w:space="0" w:color="auto"/>
            <w:right w:val="none" w:sz="0" w:space="0" w:color="auto"/>
          </w:divBdr>
        </w:div>
        <w:div w:id="1624506857">
          <w:marLeft w:val="480"/>
          <w:marRight w:val="0"/>
          <w:marTop w:val="0"/>
          <w:marBottom w:val="0"/>
          <w:divBdr>
            <w:top w:val="none" w:sz="0" w:space="0" w:color="auto"/>
            <w:left w:val="none" w:sz="0" w:space="0" w:color="auto"/>
            <w:bottom w:val="none" w:sz="0" w:space="0" w:color="auto"/>
            <w:right w:val="none" w:sz="0" w:space="0" w:color="auto"/>
          </w:divBdr>
        </w:div>
        <w:div w:id="880018380">
          <w:marLeft w:val="480"/>
          <w:marRight w:val="0"/>
          <w:marTop w:val="0"/>
          <w:marBottom w:val="0"/>
          <w:divBdr>
            <w:top w:val="none" w:sz="0" w:space="0" w:color="auto"/>
            <w:left w:val="none" w:sz="0" w:space="0" w:color="auto"/>
            <w:bottom w:val="none" w:sz="0" w:space="0" w:color="auto"/>
            <w:right w:val="none" w:sz="0" w:space="0" w:color="auto"/>
          </w:divBdr>
        </w:div>
        <w:div w:id="1763256350">
          <w:marLeft w:val="480"/>
          <w:marRight w:val="0"/>
          <w:marTop w:val="0"/>
          <w:marBottom w:val="0"/>
          <w:divBdr>
            <w:top w:val="none" w:sz="0" w:space="0" w:color="auto"/>
            <w:left w:val="none" w:sz="0" w:space="0" w:color="auto"/>
            <w:bottom w:val="none" w:sz="0" w:space="0" w:color="auto"/>
            <w:right w:val="none" w:sz="0" w:space="0" w:color="auto"/>
          </w:divBdr>
        </w:div>
      </w:divsChild>
    </w:div>
    <w:div w:id="1375274644">
      <w:bodyDiv w:val="1"/>
      <w:marLeft w:val="0"/>
      <w:marRight w:val="0"/>
      <w:marTop w:val="0"/>
      <w:marBottom w:val="0"/>
      <w:divBdr>
        <w:top w:val="none" w:sz="0" w:space="0" w:color="auto"/>
        <w:left w:val="none" w:sz="0" w:space="0" w:color="auto"/>
        <w:bottom w:val="none" w:sz="0" w:space="0" w:color="auto"/>
        <w:right w:val="none" w:sz="0" w:space="0" w:color="auto"/>
      </w:divBdr>
    </w:div>
    <w:div w:id="1375889722">
      <w:bodyDiv w:val="1"/>
      <w:marLeft w:val="0"/>
      <w:marRight w:val="0"/>
      <w:marTop w:val="0"/>
      <w:marBottom w:val="0"/>
      <w:divBdr>
        <w:top w:val="none" w:sz="0" w:space="0" w:color="auto"/>
        <w:left w:val="none" w:sz="0" w:space="0" w:color="auto"/>
        <w:bottom w:val="none" w:sz="0" w:space="0" w:color="auto"/>
        <w:right w:val="none" w:sz="0" w:space="0" w:color="auto"/>
      </w:divBdr>
    </w:div>
    <w:div w:id="1376195802">
      <w:bodyDiv w:val="1"/>
      <w:marLeft w:val="0"/>
      <w:marRight w:val="0"/>
      <w:marTop w:val="0"/>
      <w:marBottom w:val="0"/>
      <w:divBdr>
        <w:top w:val="none" w:sz="0" w:space="0" w:color="auto"/>
        <w:left w:val="none" w:sz="0" w:space="0" w:color="auto"/>
        <w:bottom w:val="none" w:sz="0" w:space="0" w:color="auto"/>
        <w:right w:val="none" w:sz="0" w:space="0" w:color="auto"/>
      </w:divBdr>
    </w:div>
    <w:div w:id="1376352787">
      <w:bodyDiv w:val="1"/>
      <w:marLeft w:val="0"/>
      <w:marRight w:val="0"/>
      <w:marTop w:val="0"/>
      <w:marBottom w:val="0"/>
      <w:divBdr>
        <w:top w:val="none" w:sz="0" w:space="0" w:color="auto"/>
        <w:left w:val="none" w:sz="0" w:space="0" w:color="auto"/>
        <w:bottom w:val="none" w:sz="0" w:space="0" w:color="auto"/>
        <w:right w:val="none" w:sz="0" w:space="0" w:color="auto"/>
      </w:divBdr>
    </w:div>
    <w:div w:id="1376615593">
      <w:bodyDiv w:val="1"/>
      <w:marLeft w:val="0"/>
      <w:marRight w:val="0"/>
      <w:marTop w:val="0"/>
      <w:marBottom w:val="0"/>
      <w:divBdr>
        <w:top w:val="none" w:sz="0" w:space="0" w:color="auto"/>
        <w:left w:val="none" w:sz="0" w:space="0" w:color="auto"/>
        <w:bottom w:val="none" w:sz="0" w:space="0" w:color="auto"/>
        <w:right w:val="none" w:sz="0" w:space="0" w:color="auto"/>
      </w:divBdr>
    </w:div>
    <w:div w:id="1376662823">
      <w:bodyDiv w:val="1"/>
      <w:marLeft w:val="0"/>
      <w:marRight w:val="0"/>
      <w:marTop w:val="0"/>
      <w:marBottom w:val="0"/>
      <w:divBdr>
        <w:top w:val="none" w:sz="0" w:space="0" w:color="auto"/>
        <w:left w:val="none" w:sz="0" w:space="0" w:color="auto"/>
        <w:bottom w:val="none" w:sz="0" w:space="0" w:color="auto"/>
        <w:right w:val="none" w:sz="0" w:space="0" w:color="auto"/>
      </w:divBdr>
    </w:div>
    <w:div w:id="1377122693">
      <w:bodyDiv w:val="1"/>
      <w:marLeft w:val="0"/>
      <w:marRight w:val="0"/>
      <w:marTop w:val="0"/>
      <w:marBottom w:val="0"/>
      <w:divBdr>
        <w:top w:val="none" w:sz="0" w:space="0" w:color="auto"/>
        <w:left w:val="none" w:sz="0" w:space="0" w:color="auto"/>
        <w:bottom w:val="none" w:sz="0" w:space="0" w:color="auto"/>
        <w:right w:val="none" w:sz="0" w:space="0" w:color="auto"/>
      </w:divBdr>
    </w:div>
    <w:div w:id="1377389178">
      <w:bodyDiv w:val="1"/>
      <w:marLeft w:val="0"/>
      <w:marRight w:val="0"/>
      <w:marTop w:val="0"/>
      <w:marBottom w:val="0"/>
      <w:divBdr>
        <w:top w:val="none" w:sz="0" w:space="0" w:color="auto"/>
        <w:left w:val="none" w:sz="0" w:space="0" w:color="auto"/>
        <w:bottom w:val="none" w:sz="0" w:space="0" w:color="auto"/>
        <w:right w:val="none" w:sz="0" w:space="0" w:color="auto"/>
      </w:divBdr>
    </w:div>
    <w:div w:id="1377461838">
      <w:bodyDiv w:val="1"/>
      <w:marLeft w:val="0"/>
      <w:marRight w:val="0"/>
      <w:marTop w:val="0"/>
      <w:marBottom w:val="0"/>
      <w:divBdr>
        <w:top w:val="none" w:sz="0" w:space="0" w:color="auto"/>
        <w:left w:val="none" w:sz="0" w:space="0" w:color="auto"/>
        <w:bottom w:val="none" w:sz="0" w:space="0" w:color="auto"/>
        <w:right w:val="none" w:sz="0" w:space="0" w:color="auto"/>
      </w:divBdr>
    </w:div>
    <w:div w:id="1377587611">
      <w:bodyDiv w:val="1"/>
      <w:marLeft w:val="0"/>
      <w:marRight w:val="0"/>
      <w:marTop w:val="0"/>
      <w:marBottom w:val="0"/>
      <w:divBdr>
        <w:top w:val="none" w:sz="0" w:space="0" w:color="auto"/>
        <w:left w:val="none" w:sz="0" w:space="0" w:color="auto"/>
        <w:bottom w:val="none" w:sz="0" w:space="0" w:color="auto"/>
        <w:right w:val="none" w:sz="0" w:space="0" w:color="auto"/>
      </w:divBdr>
    </w:div>
    <w:div w:id="1378353479">
      <w:bodyDiv w:val="1"/>
      <w:marLeft w:val="0"/>
      <w:marRight w:val="0"/>
      <w:marTop w:val="0"/>
      <w:marBottom w:val="0"/>
      <w:divBdr>
        <w:top w:val="none" w:sz="0" w:space="0" w:color="auto"/>
        <w:left w:val="none" w:sz="0" w:space="0" w:color="auto"/>
        <w:bottom w:val="none" w:sz="0" w:space="0" w:color="auto"/>
        <w:right w:val="none" w:sz="0" w:space="0" w:color="auto"/>
      </w:divBdr>
    </w:div>
    <w:div w:id="1378894468">
      <w:bodyDiv w:val="1"/>
      <w:marLeft w:val="0"/>
      <w:marRight w:val="0"/>
      <w:marTop w:val="0"/>
      <w:marBottom w:val="0"/>
      <w:divBdr>
        <w:top w:val="none" w:sz="0" w:space="0" w:color="auto"/>
        <w:left w:val="none" w:sz="0" w:space="0" w:color="auto"/>
        <w:bottom w:val="none" w:sz="0" w:space="0" w:color="auto"/>
        <w:right w:val="none" w:sz="0" w:space="0" w:color="auto"/>
      </w:divBdr>
    </w:div>
    <w:div w:id="1381440634">
      <w:bodyDiv w:val="1"/>
      <w:marLeft w:val="0"/>
      <w:marRight w:val="0"/>
      <w:marTop w:val="0"/>
      <w:marBottom w:val="0"/>
      <w:divBdr>
        <w:top w:val="none" w:sz="0" w:space="0" w:color="auto"/>
        <w:left w:val="none" w:sz="0" w:space="0" w:color="auto"/>
        <w:bottom w:val="none" w:sz="0" w:space="0" w:color="auto"/>
        <w:right w:val="none" w:sz="0" w:space="0" w:color="auto"/>
      </w:divBdr>
    </w:div>
    <w:div w:id="1381593948">
      <w:bodyDiv w:val="1"/>
      <w:marLeft w:val="0"/>
      <w:marRight w:val="0"/>
      <w:marTop w:val="0"/>
      <w:marBottom w:val="0"/>
      <w:divBdr>
        <w:top w:val="none" w:sz="0" w:space="0" w:color="auto"/>
        <w:left w:val="none" w:sz="0" w:space="0" w:color="auto"/>
        <w:bottom w:val="none" w:sz="0" w:space="0" w:color="auto"/>
        <w:right w:val="none" w:sz="0" w:space="0" w:color="auto"/>
      </w:divBdr>
    </w:div>
    <w:div w:id="1381595459">
      <w:bodyDiv w:val="1"/>
      <w:marLeft w:val="0"/>
      <w:marRight w:val="0"/>
      <w:marTop w:val="0"/>
      <w:marBottom w:val="0"/>
      <w:divBdr>
        <w:top w:val="none" w:sz="0" w:space="0" w:color="auto"/>
        <w:left w:val="none" w:sz="0" w:space="0" w:color="auto"/>
        <w:bottom w:val="none" w:sz="0" w:space="0" w:color="auto"/>
        <w:right w:val="none" w:sz="0" w:space="0" w:color="auto"/>
      </w:divBdr>
    </w:div>
    <w:div w:id="1382055761">
      <w:bodyDiv w:val="1"/>
      <w:marLeft w:val="0"/>
      <w:marRight w:val="0"/>
      <w:marTop w:val="0"/>
      <w:marBottom w:val="0"/>
      <w:divBdr>
        <w:top w:val="none" w:sz="0" w:space="0" w:color="auto"/>
        <w:left w:val="none" w:sz="0" w:space="0" w:color="auto"/>
        <w:bottom w:val="none" w:sz="0" w:space="0" w:color="auto"/>
        <w:right w:val="none" w:sz="0" w:space="0" w:color="auto"/>
      </w:divBdr>
    </w:div>
    <w:div w:id="1383939540">
      <w:bodyDiv w:val="1"/>
      <w:marLeft w:val="0"/>
      <w:marRight w:val="0"/>
      <w:marTop w:val="0"/>
      <w:marBottom w:val="0"/>
      <w:divBdr>
        <w:top w:val="none" w:sz="0" w:space="0" w:color="auto"/>
        <w:left w:val="none" w:sz="0" w:space="0" w:color="auto"/>
        <w:bottom w:val="none" w:sz="0" w:space="0" w:color="auto"/>
        <w:right w:val="none" w:sz="0" w:space="0" w:color="auto"/>
      </w:divBdr>
    </w:div>
    <w:div w:id="1384256092">
      <w:bodyDiv w:val="1"/>
      <w:marLeft w:val="0"/>
      <w:marRight w:val="0"/>
      <w:marTop w:val="0"/>
      <w:marBottom w:val="0"/>
      <w:divBdr>
        <w:top w:val="none" w:sz="0" w:space="0" w:color="auto"/>
        <w:left w:val="none" w:sz="0" w:space="0" w:color="auto"/>
        <w:bottom w:val="none" w:sz="0" w:space="0" w:color="auto"/>
        <w:right w:val="none" w:sz="0" w:space="0" w:color="auto"/>
      </w:divBdr>
    </w:div>
    <w:div w:id="1384677324">
      <w:bodyDiv w:val="1"/>
      <w:marLeft w:val="0"/>
      <w:marRight w:val="0"/>
      <w:marTop w:val="0"/>
      <w:marBottom w:val="0"/>
      <w:divBdr>
        <w:top w:val="none" w:sz="0" w:space="0" w:color="auto"/>
        <w:left w:val="none" w:sz="0" w:space="0" w:color="auto"/>
        <w:bottom w:val="none" w:sz="0" w:space="0" w:color="auto"/>
        <w:right w:val="none" w:sz="0" w:space="0" w:color="auto"/>
      </w:divBdr>
    </w:div>
    <w:div w:id="1384988599">
      <w:bodyDiv w:val="1"/>
      <w:marLeft w:val="0"/>
      <w:marRight w:val="0"/>
      <w:marTop w:val="0"/>
      <w:marBottom w:val="0"/>
      <w:divBdr>
        <w:top w:val="none" w:sz="0" w:space="0" w:color="auto"/>
        <w:left w:val="none" w:sz="0" w:space="0" w:color="auto"/>
        <w:bottom w:val="none" w:sz="0" w:space="0" w:color="auto"/>
        <w:right w:val="none" w:sz="0" w:space="0" w:color="auto"/>
      </w:divBdr>
    </w:div>
    <w:div w:id="1385177967">
      <w:bodyDiv w:val="1"/>
      <w:marLeft w:val="0"/>
      <w:marRight w:val="0"/>
      <w:marTop w:val="0"/>
      <w:marBottom w:val="0"/>
      <w:divBdr>
        <w:top w:val="none" w:sz="0" w:space="0" w:color="auto"/>
        <w:left w:val="none" w:sz="0" w:space="0" w:color="auto"/>
        <w:bottom w:val="none" w:sz="0" w:space="0" w:color="auto"/>
        <w:right w:val="none" w:sz="0" w:space="0" w:color="auto"/>
      </w:divBdr>
    </w:div>
    <w:div w:id="1385445857">
      <w:bodyDiv w:val="1"/>
      <w:marLeft w:val="0"/>
      <w:marRight w:val="0"/>
      <w:marTop w:val="0"/>
      <w:marBottom w:val="0"/>
      <w:divBdr>
        <w:top w:val="none" w:sz="0" w:space="0" w:color="auto"/>
        <w:left w:val="none" w:sz="0" w:space="0" w:color="auto"/>
        <w:bottom w:val="none" w:sz="0" w:space="0" w:color="auto"/>
        <w:right w:val="none" w:sz="0" w:space="0" w:color="auto"/>
      </w:divBdr>
    </w:div>
    <w:div w:id="1385760351">
      <w:bodyDiv w:val="1"/>
      <w:marLeft w:val="0"/>
      <w:marRight w:val="0"/>
      <w:marTop w:val="0"/>
      <w:marBottom w:val="0"/>
      <w:divBdr>
        <w:top w:val="none" w:sz="0" w:space="0" w:color="auto"/>
        <w:left w:val="none" w:sz="0" w:space="0" w:color="auto"/>
        <w:bottom w:val="none" w:sz="0" w:space="0" w:color="auto"/>
        <w:right w:val="none" w:sz="0" w:space="0" w:color="auto"/>
      </w:divBdr>
    </w:div>
    <w:div w:id="1387291111">
      <w:bodyDiv w:val="1"/>
      <w:marLeft w:val="0"/>
      <w:marRight w:val="0"/>
      <w:marTop w:val="0"/>
      <w:marBottom w:val="0"/>
      <w:divBdr>
        <w:top w:val="none" w:sz="0" w:space="0" w:color="auto"/>
        <w:left w:val="none" w:sz="0" w:space="0" w:color="auto"/>
        <w:bottom w:val="none" w:sz="0" w:space="0" w:color="auto"/>
        <w:right w:val="none" w:sz="0" w:space="0" w:color="auto"/>
      </w:divBdr>
    </w:div>
    <w:div w:id="1387602422">
      <w:bodyDiv w:val="1"/>
      <w:marLeft w:val="0"/>
      <w:marRight w:val="0"/>
      <w:marTop w:val="0"/>
      <w:marBottom w:val="0"/>
      <w:divBdr>
        <w:top w:val="none" w:sz="0" w:space="0" w:color="auto"/>
        <w:left w:val="none" w:sz="0" w:space="0" w:color="auto"/>
        <w:bottom w:val="none" w:sz="0" w:space="0" w:color="auto"/>
        <w:right w:val="none" w:sz="0" w:space="0" w:color="auto"/>
      </w:divBdr>
    </w:div>
    <w:div w:id="1387950183">
      <w:bodyDiv w:val="1"/>
      <w:marLeft w:val="0"/>
      <w:marRight w:val="0"/>
      <w:marTop w:val="0"/>
      <w:marBottom w:val="0"/>
      <w:divBdr>
        <w:top w:val="none" w:sz="0" w:space="0" w:color="auto"/>
        <w:left w:val="none" w:sz="0" w:space="0" w:color="auto"/>
        <w:bottom w:val="none" w:sz="0" w:space="0" w:color="auto"/>
        <w:right w:val="none" w:sz="0" w:space="0" w:color="auto"/>
      </w:divBdr>
    </w:div>
    <w:div w:id="1388266165">
      <w:bodyDiv w:val="1"/>
      <w:marLeft w:val="0"/>
      <w:marRight w:val="0"/>
      <w:marTop w:val="0"/>
      <w:marBottom w:val="0"/>
      <w:divBdr>
        <w:top w:val="none" w:sz="0" w:space="0" w:color="auto"/>
        <w:left w:val="none" w:sz="0" w:space="0" w:color="auto"/>
        <w:bottom w:val="none" w:sz="0" w:space="0" w:color="auto"/>
        <w:right w:val="none" w:sz="0" w:space="0" w:color="auto"/>
      </w:divBdr>
    </w:div>
    <w:div w:id="1389302452">
      <w:bodyDiv w:val="1"/>
      <w:marLeft w:val="0"/>
      <w:marRight w:val="0"/>
      <w:marTop w:val="0"/>
      <w:marBottom w:val="0"/>
      <w:divBdr>
        <w:top w:val="none" w:sz="0" w:space="0" w:color="auto"/>
        <w:left w:val="none" w:sz="0" w:space="0" w:color="auto"/>
        <w:bottom w:val="none" w:sz="0" w:space="0" w:color="auto"/>
        <w:right w:val="none" w:sz="0" w:space="0" w:color="auto"/>
      </w:divBdr>
    </w:div>
    <w:div w:id="1389495677">
      <w:bodyDiv w:val="1"/>
      <w:marLeft w:val="0"/>
      <w:marRight w:val="0"/>
      <w:marTop w:val="0"/>
      <w:marBottom w:val="0"/>
      <w:divBdr>
        <w:top w:val="none" w:sz="0" w:space="0" w:color="auto"/>
        <w:left w:val="none" w:sz="0" w:space="0" w:color="auto"/>
        <w:bottom w:val="none" w:sz="0" w:space="0" w:color="auto"/>
        <w:right w:val="none" w:sz="0" w:space="0" w:color="auto"/>
      </w:divBdr>
    </w:div>
    <w:div w:id="1389497046">
      <w:bodyDiv w:val="1"/>
      <w:marLeft w:val="0"/>
      <w:marRight w:val="0"/>
      <w:marTop w:val="0"/>
      <w:marBottom w:val="0"/>
      <w:divBdr>
        <w:top w:val="none" w:sz="0" w:space="0" w:color="auto"/>
        <w:left w:val="none" w:sz="0" w:space="0" w:color="auto"/>
        <w:bottom w:val="none" w:sz="0" w:space="0" w:color="auto"/>
        <w:right w:val="none" w:sz="0" w:space="0" w:color="auto"/>
      </w:divBdr>
    </w:div>
    <w:div w:id="1390301293">
      <w:bodyDiv w:val="1"/>
      <w:marLeft w:val="0"/>
      <w:marRight w:val="0"/>
      <w:marTop w:val="0"/>
      <w:marBottom w:val="0"/>
      <w:divBdr>
        <w:top w:val="none" w:sz="0" w:space="0" w:color="auto"/>
        <w:left w:val="none" w:sz="0" w:space="0" w:color="auto"/>
        <w:bottom w:val="none" w:sz="0" w:space="0" w:color="auto"/>
        <w:right w:val="none" w:sz="0" w:space="0" w:color="auto"/>
      </w:divBdr>
    </w:div>
    <w:div w:id="1390811649">
      <w:bodyDiv w:val="1"/>
      <w:marLeft w:val="0"/>
      <w:marRight w:val="0"/>
      <w:marTop w:val="0"/>
      <w:marBottom w:val="0"/>
      <w:divBdr>
        <w:top w:val="none" w:sz="0" w:space="0" w:color="auto"/>
        <w:left w:val="none" w:sz="0" w:space="0" w:color="auto"/>
        <w:bottom w:val="none" w:sz="0" w:space="0" w:color="auto"/>
        <w:right w:val="none" w:sz="0" w:space="0" w:color="auto"/>
      </w:divBdr>
    </w:div>
    <w:div w:id="1391925134">
      <w:bodyDiv w:val="1"/>
      <w:marLeft w:val="0"/>
      <w:marRight w:val="0"/>
      <w:marTop w:val="0"/>
      <w:marBottom w:val="0"/>
      <w:divBdr>
        <w:top w:val="none" w:sz="0" w:space="0" w:color="auto"/>
        <w:left w:val="none" w:sz="0" w:space="0" w:color="auto"/>
        <w:bottom w:val="none" w:sz="0" w:space="0" w:color="auto"/>
        <w:right w:val="none" w:sz="0" w:space="0" w:color="auto"/>
      </w:divBdr>
    </w:div>
    <w:div w:id="1391928661">
      <w:bodyDiv w:val="1"/>
      <w:marLeft w:val="0"/>
      <w:marRight w:val="0"/>
      <w:marTop w:val="0"/>
      <w:marBottom w:val="0"/>
      <w:divBdr>
        <w:top w:val="none" w:sz="0" w:space="0" w:color="auto"/>
        <w:left w:val="none" w:sz="0" w:space="0" w:color="auto"/>
        <w:bottom w:val="none" w:sz="0" w:space="0" w:color="auto"/>
        <w:right w:val="none" w:sz="0" w:space="0" w:color="auto"/>
      </w:divBdr>
    </w:div>
    <w:div w:id="1393230860">
      <w:bodyDiv w:val="1"/>
      <w:marLeft w:val="0"/>
      <w:marRight w:val="0"/>
      <w:marTop w:val="0"/>
      <w:marBottom w:val="0"/>
      <w:divBdr>
        <w:top w:val="none" w:sz="0" w:space="0" w:color="auto"/>
        <w:left w:val="none" w:sz="0" w:space="0" w:color="auto"/>
        <w:bottom w:val="none" w:sz="0" w:space="0" w:color="auto"/>
        <w:right w:val="none" w:sz="0" w:space="0" w:color="auto"/>
      </w:divBdr>
    </w:div>
    <w:div w:id="1394045850">
      <w:bodyDiv w:val="1"/>
      <w:marLeft w:val="0"/>
      <w:marRight w:val="0"/>
      <w:marTop w:val="0"/>
      <w:marBottom w:val="0"/>
      <w:divBdr>
        <w:top w:val="none" w:sz="0" w:space="0" w:color="auto"/>
        <w:left w:val="none" w:sz="0" w:space="0" w:color="auto"/>
        <w:bottom w:val="none" w:sz="0" w:space="0" w:color="auto"/>
        <w:right w:val="none" w:sz="0" w:space="0" w:color="auto"/>
      </w:divBdr>
    </w:div>
    <w:div w:id="1394083144">
      <w:bodyDiv w:val="1"/>
      <w:marLeft w:val="0"/>
      <w:marRight w:val="0"/>
      <w:marTop w:val="0"/>
      <w:marBottom w:val="0"/>
      <w:divBdr>
        <w:top w:val="none" w:sz="0" w:space="0" w:color="auto"/>
        <w:left w:val="none" w:sz="0" w:space="0" w:color="auto"/>
        <w:bottom w:val="none" w:sz="0" w:space="0" w:color="auto"/>
        <w:right w:val="none" w:sz="0" w:space="0" w:color="auto"/>
      </w:divBdr>
    </w:div>
    <w:div w:id="1394236499">
      <w:bodyDiv w:val="1"/>
      <w:marLeft w:val="0"/>
      <w:marRight w:val="0"/>
      <w:marTop w:val="0"/>
      <w:marBottom w:val="0"/>
      <w:divBdr>
        <w:top w:val="none" w:sz="0" w:space="0" w:color="auto"/>
        <w:left w:val="none" w:sz="0" w:space="0" w:color="auto"/>
        <w:bottom w:val="none" w:sz="0" w:space="0" w:color="auto"/>
        <w:right w:val="none" w:sz="0" w:space="0" w:color="auto"/>
      </w:divBdr>
    </w:div>
    <w:div w:id="1395423199">
      <w:bodyDiv w:val="1"/>
      <w:marLeft w:val="0"/>
      <w:marRight w:val="0"/>
      <w:marTop w:val="0"/>
      <w:marBottom w:val="0"/>
      <w:divBdr>
        <w:top w:val="none" w:sz="0" w:space="0" w:color="auto"/>
        <w:left w:val="none" w:sz="0" w:space="0" w:color="auto"/>
        <w:bottom w:val="none" w:sz="0" w:space="0" w:color="auto"/>
        <w:right w:val="none" w:sz="0" w:space="0" w:color="auto"/>
      </w:divBdr>
    </w:div>
    <w:div w:id="1395658140">
      <w:bodyDiv w:val="1"/>
      <w:marLeft w:val="0"/>
      <w:marRight w:val="0"/>
      <w:marTop w:val="0"/>
      <w:marBottom w:val="0"/>
      <w:divBdr>
        <w:top w:val="none" w:sz="0" w:space="0" w:color="auto"/>
        <w:left w:val="none" w:sz="0" w:space="0" w:color="auto"/>
        <w:bottom w:val="none" w:sz="0" w:space="0" w:color="auto"/>
        <w:right w:val="none" w:sz="0" w:space="0" w:color="auto"/>
      </w:divBdr>
    </w:div>
    <w:div w:id="1395810328">
      <w:bodyDiv w:val="1"/>
      <w:marLeft w:val="0"/>
      <w:marRight w:val="0"/>
      <w:marTop w:val="0"/>
      <w:marBottom w:val="0"/>
      <w:divBdr>
        <w:top w:val="none" w:sz="0" w:space="0" w:color="auto"/>
        <w:left w:val="none" w:sz="0" w:space="0" w:color="auto"/>
        <w:bottom w:val="none" w:sz="0" w:space="0" w:color="auto"/>
        <w:right w:val="none" w:sz="0" w:space="0" w:color="auto"/>
      </w:divBdr>
    </w:div>
    <w:div w:id="1395859080">
      <w:bodyDiv w:val="1"/>
      <w:marLeft w:val="0"/>
      <w:marRight w:val="0"/>
      <w:marTop w:val="0"/>
      <w:marBottom w:val="0"/>
      <w:divBdr>
        <w:top w:val="none" w:sz="0" w:space="0" w:color="auto"/>
        <w:left w:val="none" w:sz="0" w:space="0" w:color="auto"/>
        <w:bottom w:val="none" w:sz="0" w:space="0" w:color="auto"/>
        <w:right w:val="none" w:sz="0" w:space="0" w:color="auto"/>
      </w:divBdr>
    </w:div>
    <w:div w:id="1396273290">
      <w:bodyDiv w:val="1"/>
      <w:marLeft w:val="0"/>
      <w:marRight w:val="0"/>
      <w:marTop w:val="0"/>
      <w:marBottom w:val="0"/>
      <w:divBdr>
        <w:top w:val="none" w:sz="0" w:space="0" w:color="auto"/>
        <w:left w:val="none" w:sz="0" w:space="0" w:color="auto"/>
        <w:bottom w:val="none" w:sz="0" w:space="0" w:color="auto"/>
        <w:right w:val="none" w:sz="0" w:space="0" w:color="auto"/>
      </w:divBdr>
    </w:div>
    <w:div w:id="1396464377">
      <w:bodyDiv w:val="1"/>
      <w:marLeft w:val="0"/>
      <w:marRight w:val="0"/>
      <w:marTop w:val="0"/>
      <w:marBottom w:val="0"/>
      <w:divBdr>
        <w:top w:val="none" w:sz="0" w:space="0" w:color="auto"/>
        <w:left w:val="none" w:sz="0" w:space="0" w:color="auto"/>
        <w:bottom w:val="none" w:sz="0" w:space="0" w:color="auto"/>
        <w:right w:val="none" w:sz="0" w:space="0" w:color="auto"/>
      </w:divBdr>
    </w:div>
    <w:div w:id="1397121887">
      <w:bodyDiv w:val="1"/>
      <w:marLeft w:val="0"/>
      <w:marRight w:val="0"/>
      <w:marTop w:val="0"/>
      <w:marBottom w:val="0"/>
      <w:divBdr>
        <w:top w:val="none" w:sz="0" w:space="0" w:color="auto"/>
        <w:left w:val="none" w:sz="0" w:space="0" w:color="auto"/>
        <w:bottom w:val="none" w:sz="0" w:space="0" w:color="auto"/>
        <w:right w:val="none" w:sz="0" w:space="0" w:color="auto"/>
      </w:divBdr>
    </w:div>
    <w:div w:id="1397167591">
      <w:bodyDiv w:val="1"/>
      <w:marLeft w:val="0"/>
      <w:marRight w:val="0"/>
      <w:marTop w:val="0"/>
      <w:marBottom w:val="0"/>
      <w:divBdr>
        <w:top w:val="none" w:sz="0" w:space="0" w:color="auto"/>
        <w:left w:val="none" w:sz="0" w:space="0" w:color="auto"/>
        <w:bottom w:val="none" w:sz="0" w:space="0" w:color="auto"/>
        <w:right w:val="none" w:sz="0" w:space="0" w:color="auto"/>
      </w:divBdr>
    </w:div>
    <w:div w:id="1397388979">
      <w:bodyDiv w:val="1"/>
      <w:marLeft w:val="0"/>
      <w:marRight w:val="0"/>
      <w:marTop w:val="0"/>
      <w:marBottom w:val="0"/>
      <w:divBdr>
        <w:top w:val="none" w:sz="0" w:space="0" w:color="auto"/>
        <w:left w:val="none" w:sz="0" w:space="0" w:color="auto"/>
        <w:bottom w:val="none" w:sz="0" w:space="0" w:color="auto"/>
        <w:right w:val="none" w:sz="0" w:space="0" w:color="auto"/>
      </w:divBdr>
    </w:div>
    <w:div w:id="1397584383">
      <w:bodyDiv w:val="1"/>
      <w:marLeft w:val="0"/>
      <w:marRight w:val="0"/>
      <w:marTop w:val="0"/>
      <w:marBottom w:val="0"/>
      <w:divBdr>
        <w:top w:val="none" w:sz="0" w:space="0" w:color="auto"/>
        <w:left w:val="none" w:sz="0" w:space="0" w:color="auto"/>
        <w:bottom w:val="none" w:sz="0" w:space="0" w:color="auto"/>
        <w:right w:val="none" w:sz="0" w:space="0" w:color="auto"/>
      </w:divBdr>
    </w:div>
    <w:div w:id="1397780749">
      <w:bodyDiv w:val="1"/>
      <w:marLeft w:val="0"/>
      <w:marRight w:val="0"/>
      <w:marTop w:val="0"/>
      <w:marBottom w:val="0"/>
      <w:divBdr>
        <w:top w:val="none" w:sz="0" w:space="0" w:color="auto"/>
        <w:left w:val="none" w:sz="0" w:space="0" w:color="auto"/>
        <w:bottom w:val="none" w:sz="0" w:space="0" w:color="auto"/>
        <w:right w:val="none" w:sz="0" w:space="0" w:color="auto"/>
      </w:divBdr>
    </w:div>
    <w:div w:id="1398282921">
      <w:bodyDiv w:val="1"/>
      <w:marLeft w:val="0"/>
      <w:marRight w:val="0"/>
      <w:marTop w:val="0"/>
      <w:marBottom w:val="0"/>
      <w:divBdr>
        <w:top w:val="none" w:sz="0" w:space="0" w:color="auto"/>
        <w:left w:val="none" w:sz="0" w:space="0" w:color="auto"/>
        <w:bottom w:val="none" w:sz="0" w:space="0" w:color="auto"/>
        <w:right w:val="none" w:sz="0" w:space="0" w:color="auto"/>
      </w:divBdr>
    </w:div>
    <w:div w:id="1398936987">
      <w:bodyDiv w:val="1"/>
      <w:marLeft w:val="0"/>
      <w:marRight w:val="0"/>
      <w:marTop w:val="0"/>
      <w:marBottom w:val="0"/>
      <w:divBdr>
        <w:top w:val="none" w:sz="0" w:space="0" w:color="auto"/>
        <w:left w:val="none" w:sz="0" w:space="0" w:color="auto"/>
        <w:bottom w:val="none" w:sz="0" w:space="0" w:color="auto"/>
        <w:right w:val="none" w:sz="0" w:space="0" w:color="auto"/>
      </w:divBdr>
    </w:div>
    <w:div w:id="1399330264">
      <w:bodyDiv w:val="1"/>
      <w:marLeft w:val="0"/>
      <w:marRight w:val="0"/>
      <w:marTop w:val="0"/>
      <w:marBottom w:val="0"/>
      <w:divBdr>
        <w:top w:val="none" w:sz="0" w:space="0" w:color="auto"/>
        <w:left w:val="none" w:sz="0" w:space="0" w:color="auto"/>
        <w:bottom w:val="none" w:sz="0" w:space="0" w:color="auto"/>
        <w:right w:val="none" w:sz="0" w:space="0" w:color="auto"/>
      </w:divBdr>
    </w:div>
    <w:div w:id="1399478958">
      <w:bodyDiv w:val="1"/>
      <w:marLeft w:val="0"/>
      <w:marRight w:val="0"/>
      <w:marTop w:val="0"/>
      <w:marBottom w:val="0"/>
      <w:divBdr>
        <w:top w:val="none" w:sz="0" w:space="0" w:color="auto"/>
        <w:left w:val="none" w:sz="0" w:space="0" w:color="auto"/>
        <w:bottom w:val="none" w:sz="0" w:space="0" w:color="auto"/>
        <w:right w:val="none" w:sz="0" w:space="0" w:color="auto"/>
      </w:divBdr>
    </w:div>
    <w:div w:id="1399673006">
      <w:bodyDiv w:val="1"/>
      <w:marLeft w:val="0"/>
      <w:marRight w:val="0"/>
      <w:marTop w:val="0"/>
      <w:marBottom w:val="0"/>
      <w:divBdr>
        <w:top w:val="none" w:sz="0" w:space="0" w:color="auto"/>
        <w:left w:val="none" w:sz="0" w:space="0" w:color="auto"/>
        <w:bottom w:val="none" w:sz="0" w:space="0" w:color="auto"/>
        <w:right w:val="none" w:sz="0" w:space="0" w:color="auto"/>
      </w:divBdr>
    </w:div>
    <w:div w:id="1399785991">
      <w:bodyDiv w:val="1"/>
      <w:marLeft w:val="0"/>
      <w:marRight w:val="0"/>
      <w:marTop w:val="0"/>
      <w:marBottom w:val="0"/>
      <w:divBdr>
        <w:top w:val="none" w:sz="0" w:space="0" w:color="auto"/>
        <w:left w:val="none" w:sz="0" w:space="0" w:color="auto"/>
        <w:bottom w:val="none" w:sz="0" w:space="0" w:color="auto"/>
        <w:right w:val="none" w:sz="0" w:space="0" w:color="auto"/>
      </w:divBdr>
      <w:divsChild>
        <w:div w:id="716198682">
          <w:marLeft w:val="480"/>
          <w:marRight w:val="0"/>
          <w:marTop w:val="0"/>
          <w:marBottom w:val="0"/>
          <w:divBdr>
            <w:top w:val="none" w:sz="0" w:space="0" w:color="auto"/>
            <w:left w:val="none" w:sz="0" w:space="0" w:color="auto"/>
            <w:bottom w:val="none" w:sz="0" w:space="0" w:color="auto"/>
            <w:right w:val="none" w:sz="0" w:space="0" w:color="auto"/>
          </w:divBdr>
        </w:div>
        <w:div w:id="590238754">
          <w:marLeft w:val="480"/>
          <w:marRight w:val="0"/>
          <w:marTop w:val="0"/>
          <w:marBottom w:val="0"/>
          <w:divBdr>
            <w:top w:val="none" w:sz="0" w:space="0" w:color="auto"/>
            <w:left w:val="none" w:sz="0" w:space="0" w:color="auto"/>
            <w:bottom w:val="none" w:sz="0" w:space="0" w:color="auto"/>
            <w:right w:val="none" w:sz="0" w:space="0" w:color="auto"/>
          </w:divBdr>
        </w:div>
        <w:div w:id="806166093">
          <w:marLeft w:val="480"/>
          <w:marRight w:val="0"/>
          <w:marTop w:val="0"/>
          <w:marBottom w:val="0"/>
          <w:divBdr>
            <w:top w:val="none" w:sz="0" w:space="0" w:color="auto"/>
            <w:left w:val="none" w:sz="0" w:space="0" w:color="auto"/>
            <w:bottom w:val="none" w:sz="0" w:space="0" w:color="auto"/>
            <w:right w:val="none" w:sz="0" w:space="0" w:color="auto"/>
          </w:divBdr>
        </w:div>
        <w:div w:id="1189025031">
          <w:marLeft w:val="480"/>
          <w:marRight w:val="0"/>
          <w:marTop w:val="0"/>
          <w:marBottom w:val="0"/>
          <w:divBdr>
            <w:top w:val="none" w:sz="0" w:space="0" w:color="auto"/>
            <w:left w:val="none" w:sz="0" w:space="0" w:color="auto"/>
            <w:bottom w:val="none" w:sz="0" w:space="0" w:color="auto"/>
            <w:right w:val="none" w:sz="0" w:space="0" w:color="auto"/>
          </w:divBdr>
        </w:div>
        <w:div w:id="471749505">
          <w:marLeft w:val="480"/>
          <w:marRight w:val="0"/>
          <w:marTop w:val="0"/>
          <w:marBottom w:val="0"/>
          <w:divBdr>
            <w:top w:val="none" w:sz="0" w:space="0" w:color="auto"/>
            <w:left w:val="none" w:sz="0" w:space="0" w:color="auto"/>
            <w:bottom w:val="none" w:sz="0" w:space="0" w:color="auto"/>
            <w:right w:val="none" w:sz="0" w:space="0" w:color="auto"/>
          </w:divBdr>
        </w:div>
        <w:div w:id="488985055">
          <w:marLeft w:val="480"/>
          <w:marRight w:val="0"/>
          <w:marTop w:val="0"/>
          <w:marBottom w:val="0"/>
          <w:divBdr>
            <w:top w:val="none" w:sz="0" w:space="0" w:color="auto"/>
            <w:left w:val="none" w:sz="0" w:space="0" w:color="auto"/>
            <w:bottom w:val="none" w:sz="0" w:space="0" w:color="auto"/>
            <w:right w:val="none" w:sz="0" w:space="0" w:color="auto"/>
          </w:divBdr>
        </w:div>
        <w:div w:id="37360872">
          <w:marLeft w:val="480"/>
          <w:marRight w:val="0"/>
          <w:marTop w:val="0"/>
          <w:marBottom w:val="0"/>
          <w:divBdr>
            <w:top w:val="none" w:sz="0" w:space="0" w:color="auto"/>
            <w:left w:val="none" w:sz="0" w:space="0" w:color="auto"/>
            <w:bottom w:val="none" w:sz="0" w:space="0" w:color="auto"/>
            <w:right w:val="none" w:sz="0" w:space="0" w:color="auto"/>
          </w:divBdr>
        </w:div>
        <w:div w:id="1402409724">
          <w:marLeft w:val="480"/>
          <w:marRight w:val="0"/>
          <w:marTop w:val="0"/>
          <w:marBottom w:val="0"/>
          <w:divBdr>
            <w:top w:val="none" w:sz="0" w:space="0" w:color="auto"/>
            <w:left w:val="none" w:sz="0" w:space="0" w:color="auto"/>
            <w:bottom w:val="none" w:sz="0" w:space="0" w:color="auto"/>
            <w:right w:val="none" w:sz="0" w:space="0" w:color="auto"/>
          </w:divBdr>
        </w:div>
        <w:div w:id="2018385676">
          <w:marLeft w:val="480"/>
          <w:marRight w:val="0"/>
          <w:marTop w:val="0"/>
          <w:marBottom w:val="0"/>
          <w:divBdr>
            <w:top w:val="none" w:sz="0" w:space="0" w:color="auto"/>
            <w:left w:val="none" w:sz="0" w:space="0" w:color="auto"/>
            <w:bottom w:val="none" w:sz="0" w:space="0" w:color="auto"/>
            <w:right w:val="none" w:sz="0" w:space="0" w:color="auto"/>
          </w:divBdr>
        </w:div>
        <w:div w:id="1901865845">
          <w:marLeft w:val="480"/>
          <w:marRight w:val="0"/>
          <w:marTop w:val="0"/>
          <w:marBottom w:val="0"/>
          <w:divBdr>
            <w:top w:val="none" w:sz="0" w:space="0" w:color="auto"/>
            <w:left w:val="none" w:sz="0" w:space="0" w:color="auto"/>
            <w:bottom w:val="none" w:sz="0" w:space="0" w:color="auto"/>
            <w:right w:val="none" w:sz="0" w:space="0" w:color="auto"/>
          </w:divBdr>
        </w:div>
        <w:div w:id="2101023224">
          <w:marLeft w:val="480"/>
          <w:marRight w:val="0"/>
          <w:marTop w:val="0"/>
          <w:marBottom w:val="0"/>
          <w:divBdr>
            <w:top w:val="none" w:sz="0" w:space="0" w:color="auto"/>
            <w:left w:val="none" w:sz="0" w:space="0" w:color="auto"/>
            <w:bottom w:val="none" w:sz="0" w:space="0" w:color="auto"/>
            <w:right w:val="none" w:sz="0" w:space="0" w:color="auto"/>
          </w:divBdr>
        </w:div>
        <w:div w:id="1048380249">
          <w:marLeft w:val="480"/>
          <w:marRight w:val="0"/>
          <w:marTop w:val="0"/>
          <w:marBottom w:val="0"/>
          <w:divBdr>
            <w:top w:val="none" w:sz="0" w:space="0" w:color="auto"/>
            <w:left w:val="none" w:sz="0" w:space="0" w:color="auto"/>
            <w:bottom w:val="none" w:sz="0" w:space="0" w:color="auto"/>
            <w:right w:val="none" w:sz="0" w:space="0" w:color="auto"/>
          </w:divBdr>
        </w:div>
        <w:div w:id="1914389558">
          <w:marLeft w:val="480"/>
          <w:marRight w:val="0"/>
          <w:marTop w:val="0"/>
          <w:marBottom w:val="0"/>
          <w:divBdr>
            <w:top w:val="none" w:sz="0" w:space="0" w:color="auto"/>
            <w:left w:val="none" w:sz="0" w:space="0" w:color="auto"/>
            <w:bottom w:val="none" w:sz="0" w:space="0" w:color="auto"/>
            <w:right w:val="none" w:sz="0" w:space="0" w:color="auto"/>
          </w:divBdr>
        </w:div>
        <w:div w:id="1357731730">
          <w:marLeft w:val="480"/>
          <w:marRight w:val="0"/>
          <w:marTop w:val="0"/>
          <w:marBottom w:val="0"/>
          <w:divBdr>
            <w:top w:val="none" w:sz="0" w:space="0" w:color="auto"/>
            <w:left w:val="none" w:sz="0" w:space="0" w:color="auto"/>
            <w:bottom w:val="none" w:sz="0" w:space="0" w:color="auto"/>
            <w:right w:val="none" w:sz="0" w:space="0" w:color="auto"/>
          </w:divBdr>
        </w:div>
        <w:div w:id="878124840">
          <w:marLeft w:val="480"/>
          <w:marRight w:val="0"/>
          <w:marTop w:val="0"/>
          <w:marBottom w:val="0"/>
          <w:divBdr>
            <w:top w:val="none" w:sz="0" w:space="0" w:color="auto"/>
            <w:left w:val="none" w:sz="0" w:space="0" w:color="auto"/>
            <w:bottom w:val="none" w:sz="0" w:space="0" w:color="auto"/>
            <w:right w:val="none" w:sz="0" w:space="0" w:color="auto"/>
          </w:divBdr>
        </w:div>
        <w:div w:id="116416788">
          <w:marLeft w:val="480"/>
          <w:marRight w:val="0"/>
          <w:marTop w:val="0"/>
          <w:marBottom w:val="0"/>
          <w:divBdr>
            <w:top w:val="none" w:sz="0" w:space="0" w:color="auto"/>
            <w:left w:val="none" w:sz="0" w:space="0" w:color="auto"/>
            <w:bottom w:val="none" w:sz="0" w:space="0" w:color="auto"/>
            <w:right w:val="none" w:sz="0" w:space="0" w:color="auto"/>
          </w:divBdr>
        </w:div>
        <w:div w:id="792747077">
          <w:marLeft w:val="480"/>
          <w:marRight w:val="0"/>
          <w:marTop w:val="0"/>
          <w:marBottom w:val="0"/>
          <w:divBdr>
            <w:top w:val="none" w:sz="0" w:space="0" w:color="auto"/>
            <w:left w:val="none" w:sz="0" w:space="0" w:color="auto"/>
            <w:bottom w:val="none" w:sz="0" w:space="0" w:color="auto"/>
            <w:right w:val="none" w:sz="0" w:space="0" w:color="auto"/>
          </w:divBdr>
        </w:div>
        <w:div w:id="584532839">
          <w:marLeft w:val="480"/>
          <w:marRight w:val="0"/>
          <w:marTop w:val="0"/>
          <w:marBottom w:val="0"/>
          <w:divBdr>
            <w:top w:val="none" w:sz="0" w:space="0" w:color="auto"/>
            <w:left w:val="none" w:sz="0" w:space="0" w:color="auto"/>
            <w:bottom w:val="none" w:sz="0" w:space="0" w:color="auto"/>
            <w:right w:val="none" w:sz="0" w:space="0" w:color="auto"/>
          </w:divBdr>
        </w:div>
        <w:div w:id="1351101861">
          <w:marLeft w:val="480"/>
          <w:marRight w:val="0"/>
          <w:marTop w:val="0"/>
          <w:marBottom w:val="0"/>
          <w:divBdr>
            <w:top w:val="none" w:sz="0" w:space="0" w:color="auto"/>
            <w:left w:val="none" w:sz="0" w:space="0" w:color="auto"/>
            <w:bottom w:val="none" w:sz="0" w:space="0" w:color="auto"/>
            <w:right w:val="none" w:sz="0" w:space="0" w:color="auto"/>
          </w:divBdr>
        </w:div>
        <w:div w:id="1807773009">
          <w:marLeft w:val="480"/>
          <w:marRight w:val="0"/>
          <w:marTop w:val="0"/>
          <w:marBottom w:val="0"/>
          <w:divBdr>
            <w:top w:val="none" w:sz="0" w:space="0" w:color="auto"/>
            <w:left w:val="none" w:sz="0" w:space="0" w:color="auto"/>
            <w:bottom w:val="none" w:sz="0" w:space="0" w:color="auto"/>
            <w:right w:val="none" w:sz="0" w:space="0" w:color="auto"/>
          </w:divBdr>
        </w:div>
        <w:div w:id="2094815614">
          <w:marLeft w:val="480"/>
          <w:marRight w:val="0"/>
          <w:marTop w:val="0"/>
          <w:marBottom w:val="0"/>
          <w:divBdr>
            <w:top w:val="none" w:sz="0" w:space="0" w:color="auto"/>
            <w:left w:val="none" w:sz="0" w:space="0" w:color="auto"/>
            <w:bottom w:val="none" w:sz="0" w:space="0" w:color="auto"/>
            <w:right w:val="none" w:sz="0" w:space="0" w:color="auto"/>
          </w:divBdr>
        </w:div>
        <w:div w:id="1242906702">
          <w:marLeft w:val="480"/>
          <w:marRight w:val="0"/>
          <w:marTop w:val="0"/>
          <w:marBottom w:val="0"/>
          <w:divBdr>
            <w:top w:val="none" w:sz="0" w:space="0" w:color="auto"/>
            <w:left w:val="none" w:sz="0" w:space="0" w:color="auto"/>
            <w:bottom w:val="none" w:sz="0" w:space="0" w:color="auto"/>
            <w:right w:val="none" w:sz="0" w:space="0" w:color="auto"/>
          </w:divBdr>
        </w:div>
        <w:div w:id="1594780690">
          <w:marLeft w:val="480"/>
          <w:marRight w:val="0"/>
          <w:marTop w:val="0"/>
          <w:marBottom w:val="0"/>
          <w:divBdr>
            <w:top w:val="none" w:sz="0" w:space="0" w:color="auto"/>
            <w:left w:val="none" w:sz="0" w:space="0" w:color="auto"/>
            <w:bottom w:val="none" w:sz="0" w:space="0" w:color="auto"/>
            <w:right w:val="none" w:sz="0" w:space="0" w:color="auto"/>
          </w:divBdr>
        </w:div>
        <w:div w:id="297495402">
          <w:marLeft w:val="480"/>
          <w:marRight w:val="0"/>
          <w:marTop w:val="0"/>
          <w:marBottom w:val="0"/>
          <w:divBdr>
            <w:top w:val="none" w:sz="0" w:space="0" w:color="auto"/>
            <w:left w:val="none" w:sz="0" w:space="0" w:color="auto"/>
            <w:bottom w:val="none" w:sz="0" w:space="0" w:color="auto"/>
            <w:right w:val="none" w:sz="0" w:space="0" w:color="auto"/>
          </w:divBdr>
        </w:div>
        <w:div w:id="1848670416">
          <w:marLeft w:val="480"/>
          <w:marRight w:val="0"/>
          <w:marTop w:val="0"/>
          <w:marBottom w:val="0"/>
          <w:divBdr>
            <w:top w:val="none" w:sz="0" w:space="0" w:color="auto"/>
            <w:left w:val="none" w:sz="0" w:space="0" w:color="auto"/>
            <w:bottom w:val="none" w:sz="0" w:space="0" w:color="auto"/>
            <w:right w:val="none" w:sz="0" w:space="0" w:color="auto"/>
          </w:divBdr>
        </w:div>
        <w:div w:id="1589654852">
          <w:marLeft w:val="480"/>
          <w:marRight w:val="0"/>
          <w:marTop w:val="0"/>
          <w:marBottom w:val="0"/>
          <w:divBdr>
            <w:top w:val="none" w:sz="0" w:space="0" w:color="auto"/>
            <w:left w:val="none" w:sz="0" w:space="0" w:color="auto"/>
            <w:bottom w:val="none" w:sz="0" w:space="0" w:color="auto"/>
            <w:right w:val="none" w:sz="0" w:space="0" w:color="auto"/>
          </w:divBdr>
        </w:div>
        <w:div w:id="1608196969">
          <w:marLeft w:val="480"/>
          <w:marRight w:val="0"/>
          <w:marTop w:val="0"/>
          <w:marBottom w:val="0"/>
          <w:divBdr>
            <w:top w:val="none" w:sz="0" w:space="0" w:color="auto"/>
            <w:left w:val="none" w:sz="0" w:space="0" w:color="auto"/>
            <w:bottom w:val="none" w:sz="0" w:space="0" w:color="auto"/>
            <w:right w:val="none" w:sz="0" w:space="0" w:color="auto"/>
          </w:divBdr>
        </w:div>
        <w:div w:id="2002730515">
          <w:marLeft w:val="480"/>
          <w:marRight w:val="0"/>
          <w:marTop w:val="0"/>
          <w:marBottom w:val="0"/>
          <w:divBdr>
            <w:top w:val="none" w:sz="0" w:space="0" w:color="auto"/>
            <w:left w:val="none" w:sz="0" w:space="0" w:color="auto"/>
            <w:bottom w:val="none" w:sz="0" w:space="0" w:color="auto"/>
            <w:right w:val="none" w:sz="0" w:space="0" w:color="auto"/>
          </w:divBdr>
        </w:div>
        <w:div w:id="1893075702">
          <w:marLeft w:val="480"/>
          <w:marRight w:val="0"/>
          <w:marTop w:val="0"/>
          <w:marBottom w:val="0"/>
          <w:divBdr>
            <w:top w:val="none" w:sz="0" w:space="0" w:color="auto"/>
            <w:left w:val="none" w:sz="0" w:space="0" w:color="auto"/>
            <w:bottom w:val="none" w:sz="0" w:space="0" w:color="auto"/>
            <w:right w:val="none" w:sz="0" w:space="0" w:color="auto"/>
          </w:divBdr>
        </w:div>
        <w:div w:id="923412899">
          <w:marLeft w:val="480"/>
          <w:marRight w:val="0"/>
          <w:marTop w:val="0"/>
          <w:marBottom w:val="0"/>
          <w:divBdr>
            <w:top w:val="none" w:sz="0" w:space="0" w:color="auto"/>
            <w:left w:val="none" w:sz="0" w:space="0" w:color="auto"/>
            <w:bottom w:val="none" w:sz="0" w:space="0" w:color="auto"/>
            <w:right w:val="none" w:sz="0" w:space="0" w:color="auto"/>
          </w:divBdr>
        </w:div>
        <w:div w:id="1773546048">
          <w:marLeft w:val="480"/>
          <w:marRight w:val="0"/>
          <w:marTop w:val="0"/>
          <w:marBottom w:val="0"/>
          <w:divBdr>
            <w:top w:val="none" w:sz="0" w:space="0" w:color="auto"/>
            <w:left w:val="none" w:sz="0" w:space="0" w:color="auto"/>
            <w:bottom w:val="none" w:sz="0" w:space="0" w:color="auto"/>
            <w:right w:val="none" w:sz="0" w:space="0" w:color="auto"/>
          </w:divBdr>
        </w:div>
        <w:div w:id="1393043553">
          <w:marLeft w:val="480"/>
          <w:marRight w:val="0"/>
          <w:marTop w:val="0"/>
          <w:marBottom w:val="0"/>
          <w:divBdr>
            <w:top w:val="none" w:sz="0" w:space="0" w:color="auto"/>
            <w:left w:val="none" w:sz="0" w:space="0" w:color="auto"/>
            <w:bottom w:val="none" w:sz="0" w:space="0" w:color="auto"/>
            <w:right w:val="none" w:sz="0" w:space="0" w:color="auto"/>
          </w:divBdr>
        </w:div>
        <w:div w:id="259727244">
          <w:marLeft w:val="480"/>
          <w:marRight w:val="0"/>
          <w:marTop w:val="0"/>
          <w:marBottom w:val="0"/>
          <w:divBdr>
            <w:top w:val="none" w:sz="0" w:space="0" w:color="auto"/>
            <w:left w:val="none" w:sz="0" w:space="0" w:color="auto"/>
            <w:bottom w:val="none" w:sz="0" w:space="0" w:color="auto"/>
            <w:right w:val="none" w:sz="0" w:space="0" w:color="auto"/>
          </w:divBdr>
        </w:div>
        <w:div w:id="2061979461">
          <w:marLeft w:val="480"/>
          <w:marRight w:val="0"/>
          <w:marTop w:val="0"/>
          <w:marBottom w:val="0"/>
          <w:divBdr>
            <w:top w:val="none" w:sz="0" w:space="0" w:color="auto"/>
            <w:left w:val="none" w:sz="0" w:space="0" w:color="auto"/>
            <w:bottom w:val="none" w:sz="0" w:space="0" w:color="auto"/>
            <w:right w:val="none" w:sz="0" w:space="0" w:color="auto"/>
          </w:divBdr>
        </w:div>
        <w:div w:id="977951383">
          <w:marLeft w:val="480"/>
          <w:marRight w:val="0"/>
          <w:marTop w:val="0"/>
          <w:marBottom w:val="0"/>
          <w:divBdr>
            <w:top w:val="none" w:sz="0" w:space="0" w:color="auto"/>
            <w:left w:val="none" w:sz="0" w:space="0" w:color="auto"/>
            <w:bottom w:val="none" w:sz="0" w:space="0" w:color="auto"/>
            <w:right w:val="none" w:sz="0" w:space="0" w:color="auto"/>
          </w:divBdr>
        </w:div>
        <w:div w:id="2028557387">
          <w:marLeft w:val="480"/>
          <w:marRight w:val="0"/>
          <w:marTop w:val="0"/>
          <w:marBottom w:val="0"/>
          <w:divBdr>
            <w:top w:val="none" w:sz="0" w:space="0" w:color="auto"/>
            <w:left w:val="none" w:sz="0" w:space="0" w:color="auto"/>
            <w:bottom w:val="none" w:sz="0" w:space="0" w:color="auto"/>
            <w:right w:val="none" w:sz="0" w:space="0" w:color="auto"/>
          </w:divBdr>
        </w:div>
        <w:div w:id="1263418543">
          <w:marLeft w:val="480"/>
          <w:marRight w:val="0"/>
          <w:marTop w:val="0"/>
          <w:marBottom w:val="0"/>
          <w:divBdr>
            <w:top w:val="none" w:sz="0" w:space="0" w:color="auto"/>
            <w:left w:val="none" w:sz="0" w:space="0" w:color="auto"/>
            <w:bottom w:val="none" w:sz="0" w:space="0" w:color="auto"/>
            <w:right w:val="none" w:sz="0" w:space="0" w:color="auto"/>
          </w:divBdr>
        </w:div>
        <w:div w:id="965502095">
          <w:marLeft w:val="480"/>
          <w:marRight w:val="0"/>
          <w:marTop w:val="0"/>
          <w:marBottom w:val="0"/>
          <w:divBdr>
            <w:top w:val="none" w:sz="0" w:space="0" w:color="auto"/>
            <w:left w:val="none" w:sz="0" w:space="0" w:color="auto"/>
            <w:bottom w:val="none" w:sz="0" w:space="0" w:color="auto"/>
            <w:right w:val="none" w:sz="0" w:space="0" w:color="auto"/>
          </w:divBdr>
        </w:div>
        <w:div w:id="1984115959">
          <w:marLeft w:val="480"/>
          <w:marRight w:val="0"/>
          <w:marTop w:val="0"/>
          <w:marBottom w:val="0"/>
          <w:divBdr>
            <w:top w:val="none" w:sz="0" w:space="0" w:color="auto"/>
            <w:left w:val="none" w:sz="0" w:space="0" w:color="auto"/>
            <w:bottom w:val="none" w:sz="0" w:space="0" w:color="auto"/>
            <w:right w:val="none" w:sz="0" w:space="0" w:color="auto"/>
          </w:divBdr>
        </w:div>
        <w:div w:id="75788229">
          <w:marLeft w:val="480"/>
          <w:marRight w:val="0"/>
          <w:marTop w:val="0"/>
          <w:marBottom w:val="0"/>
          <w:divBdr>
            <w:top w:val="none" w:sz="0" w:space="0" w:color="auto"/>
            <w:left w:val="none" w:sz="0" w:space="0" w:color="auto"/>
            <w:bottom w:val="none" w:sz="0" w:space="0" w:color="auto"/>
            <w:right w:val="none" w:sz="0" w:space="0" w:color="auto"/>
          </w:divBdr>
        </w:div>
        <w:div w:id="1397163191">
          <w:marLeft w:val="480"/>
          <w:marRight w:val="0"/>
          <w:marTop w:val="0"/>
          <w:marBottom w:val="0"/>
          <w:divBdr>
            <w:top w:val="none" w:sz="0" w:space="0" w:color="auto"/>
            <w:left w:val="none" w:sz="0" w:space="0" w:color="auto"/>
            <w:bottom w:val="none" w:sz="0" w:space="0" w:color="auto"/>
            <w:right w:val="none" w:sz="0" w:space="0" w:color="auto"/>
          </w:divBdr>
        </w:div>
        <w:div w:id="59252321">
          <w:marLeft w:val="480"/>
          <w:marRight w:val="0"/>
          <w:marTop w:val="0"/>
          <w:marBottom w:val="0"/>
          <w:divBdr>
            <w:top w:val="none" w:sz="0" w:space="0" w:color="auto"/>
            <w:left w:val="none" w:sz="0" w:space="0" w:color="auto"/>
            <w:bottom w:val="none" w:sz="0" w:space="0" w:color="auto"/>
            <w:right w:val="none" w:sz="0" w:space="0" w:color="auto"/>
          </w:divBdr>
        </w:div>
        <w:div w:id="1297758997">
          <w:marLeft w:val="480"/>
          <w:marRight w:val="0"/>
          <w:marTop w:val="0"/>
          <w:marBottom w:val="0"/>
          <w:divBdr>
            <w:top w:val="none" w:sz="0" w:space="0" w:color="auto"/>
            <w:left w:val="none" w:sz="0" w:space="0" w:color="auto"/>
            <w:bottom w:val="none" w:sz="0" w:space="0" w:color="auto"/>
            <w:right w:val="none" w:sz="0" w:space="0" w:color="auto"/>
          </w:divBdr>
        </w:div>
        <w:div w:id="1631125916">
          <w:marLeft w:val="480"/>
          <w:marRight w:val="0"/>
          <w:marTop w:val="0"/>
          <w:marBottom w:val="0"/>
          <w:divBdr>
            <w:top w:val="none" w:sz="0" w:space="0" w:color="auto"/>
            <w:left w:val="none" w:sz="0" w:space="0" w:color="auto"/>
            <w:bottom w:val="none" w:sz="0" w:space="0" w:color="auto"/>
            <w:right w:val="none" w:sz="0" w:space="0" w:color="auto"/>
          </w:divBdr>
        </w:div>
        <w:div w:id="539778809">
          <w:marLeft w:val="480"/>
          <w:marRight w:val="0"/>
          <w:marTop w:val="0"/>
          <w:marBottom w:val="0"/>
          <w:divBdr>
            <w:top w:val="none" w:sz="0" w:space="0" w:color="auto"/>
            <w:left w:val="none" w:sz="0" w:space="0" w:color="auto"/>
            <w:bottom w:val="none" w:sz="0" w:space="0" w:color="auto"/>
            <w:right w:val="none" w:sz="0" w:space="0" w:color="auto"/>
          </w:divBdr>
        </w:div>
        <w:div w:id="1550995254">
          <w:marLeft w:val="480"/>
          <w:marRight w:val="0"/>
          <w:marTop w:val="0"/>
          <w:marBottom w:val="0"/>
          <w:divBdr>
            <w:top w:val="none" w:sz="0" w:space="0" w:color="auto"/>
            <w:left w:val="none" w:sz="0" w:space="0" w:color="auto"/>
            <w:bottom w:val="none" w:sz="0" w:space="0" w:color="auto"/>
            <w:right w:val="none" w:sz="0" w:space="0" w:color="auto"/>
          </w:divBdr>
        </w:div>
        <w:div w:id="1877234165">
          <w:marLeft w:val="480"/>
          <w:marRight w:val="0"/>
          <w:marTop w:val="0"/>
          <w:marBottom w:val="0"/>
          <w:divBdr>
            <w:top w:val="none" w:sz="0" w:space="0" w:color="auto"/>
            <w:left w:val="none" w:sz="0" w:space="0" w:color="auto"/>
            <w:bottom w:val="none" w:sz="0" w:space="0" w:color="auto"/>
            <w:right w:val="none" w:sz="0" w:space="0" w:color="auto"/>
          </w:divBdr>
        </w:div>
        <w:div w:id="896623373">
          <w:marLeft w:val="480"/>
          <w:marRight w:val="0"/>
          <w:marTop w:val="0"/>
          <w:marBottom w:val="0"/>
          <w:divBdr>
            <w:top w:val="none" w:sz="0" w:space="0" w:color="auto"/>
            <w:left w:val="none" w:sz="0" w:space="0" w:color="auto"/>
            <w:bottom w:val="none" w:sz="0" w:space="0" w:color="auto"/>
            <w:right w:val="none" w:sz="0" w:space="0" w:color="auto"/>
          </w:divBdr>
        </w:div>
        <w:div w:id="1525902209">
          <w:marLeft w:val="480"/>
          <w:marRight w:val="0"/>
          <w:marTop w:val="0"/>
          <w:marBottom w:val="0"/>
          <w:divBdr>
            <w:top w:val="none" w:sz="0" w:space="0" w:color="auto"/>
            <w:left w:val="none" w:sz="0" w:space="0" w:color="auto"/>
            <w:bottom w:val="none" w:sz="0" w:space="0" w:color="auto"/>
            <w:right w:val="none" w:sz="0" w:space="0" w:color="auto"/>
          </w:divBdr>
        </w:div>
        <w:div w:id="858085938">
          <w:marLeft w:val="480"/>
          <w:marRight w:val="0"/>
          <w:marTop w:val="0"/>
          <w:marBottom w:val="0"/>
          <w:divBdr>
            <w:top w:val="none" w:sz="0" w:space="0" w:color="auto"/>
            <w:left w:val="none" w:sz="0" w:space="0" w:color="auto"/>
            <w:bottom w:val="none" w:sz="0" w:space="0" w:color="auto"/>
            <w:right w:val="none" w:sz="0" w:space="0" w:color="auto"/>
          </w:divBdr>
        </w:div>
        <w:div w:id="297884555">
          <w:marLeft w:val="480"/>
          <w:marRight w:val="0"/>
          <w:marTop w:val="0"/>
          <w:marBottom w:val="0"/>
          <w:divBdr>
            <w:top w:val="none" w:sz="0" w:space="0" w:color="auto"/>
            <w:left w:val="none" w:sz="0" w:space="0" w:color="auto"/>
            <w:bottom w:val="none" w:sz="0" w:space="0" w:color="auto"/>
            <w:right w:val="none" w:sz="0" w:space="0" w:color="auto"/>
          </w:divBdr>
        </w:div>
        <w:div w:id="858279686">
          <w:marLeft w:val="480"/>
          <w:marRight w:val="0"/>
          <w:marTop w:val="0"/>
          <w:marBottom w:val="0"/>
          <w:divBdr>
            <w:top w:val="none" w:sz="0" w:space="0" w:color="auto"/>
            <w:left w:val="none" w:sz="0" w:space="0" w:color="auto"/>
            <w:bottom w:val="none" w:sz="0" w:space="0" w:color="auto"/>
            <w:right w:val="none" w:sz="0" w:space="0" w:color="auto"/>
          </w:divBdr>
        </w:div>
        <w:div w:id="1384520507">
          <w:marLeft w:val="480"/>
          <w:marRight w:val="0"/>
          <w:marTop w:val="0"/>
          <w:marBottom w:val="0"/>
          <w:divBdr>
            <w:top w:val="none" w:sz="0" w:space="0" w:color="auto"/>
            <w:left w:val="none" w:sz="0" w:space="0" w:color="auto"/>
            <w:bottom w:val="none" w:sz="0" w:space="0" w:color="auto"/>
            <w:right w:val="none" w:sz="0" w:space="0" w:color="auto"/>
          </w:divBdr>
        </w:div>
        <w:div w:id="1007634457">
          <w:marLeft w:val="480"/>
          <w:marRight w:val="0"/>
          <w:marTop w:val="0"/>
          <w:marBottom w:val="0"/>
          <w:divBdr>
            <w:top w:val="none" w:sz="0" w:space="0" w:color="auto"/>
            <w:left w:val="none" w:sz="0" w:space="0" w:color="auto"/>
            <w:bottom w:val="none" w:sz="0" w:space="0" w:color="auto"/>
            <w:right w:val="none" w:sz="0" w:space="0" w:color="auto"/>
          </w:divBdr>
        </w:div>
        <w:div w:id="1225066063">
          <w:marLeft w:val="480"/>
          <w:marRight w:val="0"/>
          <w:marTop w:val="0"/>
          <w:marBottom w:val="0"/>
          <w:divBdr>
            <w:top w:val="none" w:sz="0" w:space="0" w:color="auto"/>
            <w:left w:val="none" w:sz="0" w:space="0" w:color="auto"/>
            <w:bottom w:val="none" w:sz="0" w:space="0" w:color="auto"/>
            <w:right w:val="none" w:sz="0" w:space="0" w:color="auto"/>
          </w:divBdr>
        </w:div>
        <w:div w:id="1513685712">
          <w:marLeft w:val="480"/>
          <w:marRight w:val="0"/>
          <w:marTop w:val="0"/>
          <w:marBottom w:val="0"/>
          <w:divBdr>
            <w:top w:val="none" w:sz="0" w:space="0" w:color="auto"/>
            <w:left w:val="none" w:sz="0" w:space="0" w:color="auto"/>
            <w:bottom w:val="none" w:sz="0" w:space="0" w:color="auto"/>
            <w:right w:val="none" w:sz="0" w:space="0" w:color="auto"/>
          </w:divBdr>
        </w:div>
        <w:div w:id="1402828606">
          <w:marLeft w:val="480"/>
          <w:marRight w:val="0"/>
          <w:marTop w:val="0"/>
          <w:marBottom w:val="0"/>
          <w:divBdr>
            <w:top w:val="none" w:sz="0" w:space="0" w:color="auto"/>
            <w:left w:val="none" w:sz="0" w:space="0" w:color="auto"/>
            <w:bottom w:val="none" w:sz="0" w:space="0" w:color="auto"/>
            <w:right w:val="none" w:sz="0" w:space="0" w:color="auto"/>
          </w:divBdr>
        </w:div>
        <w:div w:id="2088183353">
          <w:marLeft w:val="480"/>
          <w:marRight w:val="0"/>
          <w:marTop w:val="0"/>
          <w:marBottom w:val="0"/>
          <w:divBdr>
            <w:top w:val="none" w:sz="0" w:space="0" w:color="auto"/>
            <w:left w:val="none" w:sz="0" w:space="0" w:color="auto"/>
            <w:bottom w:val="none" w:sz="0" w:space="0" w:color="auto"/>
            <w:right w:val="none" w:sz="0" w:space="0" w:color="auto"/>
          </w:divBdr>
        </w:div>
        <w:div w:id="773325103">
          <w:marLeft w:val="480"/>
          <w:marRight w:val="0"/>
          <w:marTop w:val="0"/>
          <w:marBottom w:val="0"/>
          <w:divBdr>
            <w:top w:val="none" w:sz="0" w:space="0" w:color="auto"/>
            <w:left w:val="none" w:sz="0" w:space="0" w:color="auto"/>
            <w:bottom w:val="none" w:sz="0" w:space="0" w:color="auto"/>
            <w:right w:val="none" w:sz="0" w:space="0" w:color="auto"/>
          </w:divBdr>
        </w:div>
        <w:div w:id="724766020">
          <w:marLeft w:val="480"/>
          <w:marRight w:val="0"/>
          <w:marTop w:val="0"/>
          <w:marBottom w:val="0"/>
          <w:divBdr>
            <w:top w:val="none" w:sz="0" w:space="0" w:color="auto"/>
            <w:left w:val="none" w:sz="0" w:space="0" w:color="auto"/>
            <w:bottom w:val="none" w:sz="0" w:space="0" w:color="auto"/>
            <w:right w:val="none" w:sz="0" w:space="0" w:color="auto"/>
          </w:divBdr>
        </w:div>
        <w:div w:id="1599099864">
          <w:marLeft w:val="480"/>
          <w:marRight w:val="0"/>
          <w:marTop w:val="0"/>
          <w:marBottom w:val="0"/>
          <w:divBdr>
            <w:top w:val="none" w:sz="0" w:space="0" w:color="auto"/>
            <w:left w:val="none" w:sz="0" w:space="0" w:color="auto"/>
            <w:bottom w:val="none" w:sz="0" w:space="0" w:color="auto"/>
            <w:right w:val="none" w:sz="0" w:space="0" w:color="auto"/>
          </w:divBdr>
        </w:div>
        <w:div w:id="559092377">
          <w:marLeft w:val="480"/>
          <w:marRight w:val="0"/>
          <w:marTop w:val="0"/>
          <w:marBottom w:val="0"/>
          <w:divBdr>
            <w:top w:val="none" w:sz="0" w:space="0" w:color="auto"/>
            <w:left w:val="none" w:sz="0" w:space="0" w:color="auto"/>
            <w:bottom w:val="none" w:sz="0" w:space="0" w:color="auto"/>
            <w:right w:val="none" w:sz="0" w:space="0" w:color="auto"/>
          </w:divBdr>
        </w:div>
        <w:div w:id="306323042">
          <w:marLeft w:val="480"/>
          <w:marRight w:val="0"/>
          <w:marTop w:val="0"/>
          <w:marBottom w:val="0"/>
          <w:divBdr>
            <w:top w:val="none" w:sz="0" w:space="0" w:color="auto"/>
            <w:left w:val="none" w:sz="0" w:space="0" w:color="auto"/>
            <w:bottom w:val="none" w:sz="0" w:space="0" w:color="auto"/>
            <w:right w:val="none" w:sz="0" w:space="0" w:color="auto"/>
          </w:divBdr>
        </w:div>
        <w:div w:id="447969779">
          <w:marLeft w:val="480"/>
          <w:marRight w:val="0"/>
          <w:marTop w:val="0"/>
          <w:marBottom w:val="0"/>
          <w:divBdr>
            <w:top w:val="none" w:sz="0" w:space="0" w:color="auto"/>
            <w:left w:val="none" w:sz="0" w:space="0" w:color="auto"/>
            <w:bottom w:val="none" w:sz="0" w:space="0" w:color="auto"/>
            <w:right w:val="none" w:sz="0" w:space="0" w:color="auto"/>
          </w:divBdr>
        </w:div>
        <w:div w:id="235289544">
          <w:marLeft w:val="480"/>
          <w:marRight w:val="0"/>
          <w:marTop w:val="0"/>
          <w:marBottom w:val="0"/>
          <w:divBdr>
            <w:top w:val="none" w:sz="0" w:space="0" w:color="auto"/>
            <w:left w:val="none" w:sz="0" w:space="0" w:color="auto"/>
            <w:bottom w:val="none" w:sz="0" w:space="0" w:color="auto"/>
            <w:right w:val="none" w:sz="0" w:space="0" w:color="auto"/>
          </w:divBdr>
        </w:div>
        <w:div w:id="861240927">
          <w:marLeft w:val="480"/>
          <w:marRight w:val="0"/>
          <w:marTop w:val="0"/>
          <w:marBottom w:val="0"/>
          <w:divBdr>
            <w:top w:val="none" w:sz="0" w:space="0" w:color="auto"/>
            <w:left w:val="none" w:sz="0" w:space="0" w:color="auto"/>
            <w:bottom w:val="none" w:sz="0" w:space="0" w:color="auto"/>
            <w:right w:val="none" w:sz="0" w:space="0" w:color="auto"/>
          </w:divBdr>
        </w:div>
        <w:div w:id="1316104327">
          <w:marLeft w:val="480"/>
          <w:marRight w:val="0"/>
          <w:marTop w:val="0"/>
          <w:marBottom w:val="0"/>
          <w:divBdr>
            <w:top w:val="none" w:sz="0" w:space="0" w:color="auto"/>
            <w:left w:val="none" w:sz="0" w:space="0" w:color="auto"/>
            <w:bottom w:val="none" w:sz="0" w:space="0" w:color="auto"/>
            <w:right w:val="none" w:sz="0" w:space="0" w:color="auto"/>
          </w:divBdr>
        </w:div>
        <w:div w:id="1787969246">
          <w:marLeft w:val="480"/>
          <w:marRight w:val="0"/>
          <w:marTop w:val="0"/>
          <w:marBottom w:val="0"/>
          <w:divBdr>
            <w:top w:val="none" w:sz="0" w:space="0" w:color="auto"/>
            <w:left w:val="none" w:sz="0" w:space="0" w:color="auto"/>
            <w:bottom w:val="none" w:sz="0" w:space="0" w:color="auto"/>
            <w:right w:val="none" w:sz="0" w:space="0" w:color="auto"/>
          </w:divBdr>
        </w:div>
        <w:div w:id="585043426">
          <w:marLeft w:val="480"/>
          <w:marRight w:val="0"/>
          <w:marTop w:val="0"/>
          <w:marBottom w:val="0"/>
          <w:divBdr>
            <w:top w:val="none" w:sz="0" w:space="0" w:color="auto"/>
            <w:left w:val="none" w:sz="0" w:space="0" w:color="auto"/>
            <w:bottom w:val="none" w:sz="0" w:space="0" w:color="auto"/>
            <w:right w:val="none" w:sz="0" w:space="0" w:color="auto"/>
          </w:divBdr>
        </w:div>
        <w:div w:id="745765218">
          <w:marLeft w:val="480"/>
          <w:marRight w:val="0"/>
          <w:marTop w:val="0"/>
          <w:marBottom w:val="0"/>
          <w:divBdr>
            <w:top w:val="none" w:sz="0" w:space="0" w:color="auto"/>
            <w:left w:val="none" w:sz="0" w:space="0" w:color="auto"/>
            <w:bottom w:val="none" w:sz="0" w:space="0" w:color="auto"/>
            <w:right w:val="none" w:sz="0" w:space="0" w:color="auto"/>
          </w:divBdr>
        </w:div>
        <w:div w:id="1265919887">
          <w:marLeft w:val="480"/>
          <w:marRight w:val="0"/>
          <w:marTop w:val="0"/>
          <w:marBottom w:val="0"/>
          <w:divBdr>
            <w:top w:val="none" w:sz="0" w:space="0" w:color="auto"/>
            <w:left w:val="none" w:sz="0" w:space="0" w:color="auto"/>
            <w:bottom w:val="none" w:sz="0" w:space="0" w:color="auto"/>
            <w:right w:val="none" w:sz="0" w:space="0" w:color="auto"/>
          </w:divBdr>
        </w:div>
        <w:div w:id="1228490030">
          <w:marLeft w:val="480"/>
          <w:marRight w:val="0"/>
          <w:marTop w:val="0"/>
          <w:marBottom w:val="0"/>
          <w:divBdr>
            <w:top w:val="none" w:sz="0" w:space="0" w:color="auto"/>
            <w:left w:val="none" w:sz="0" w:space="0" w:color="auto"/>
            <w:bottom w:val="none" w:sz="0" w:space="0" w:color="auto"/>
            <w:right w:val="none" w:sz="0" w:space="0" w:color="auto"/>
          </w:divBdr>
        </w:div>
        <w:div w:id="1031878902">
          <w:marLeft w:val="480"/>
          <w:marRight w:val="0"/>
          <w:marTop w:val="0"/>
          <w:marBottom w:val="0"/>
          <w:divBdr>
            <w:top w:val="none" w:sz="0" w:space="0" w:color="auto"/>
            <w:left w:val="none" w:sz="0" w:space="0" w:color="auto"/>
            <w:bottom w:val="none" w:sz="0" w:space="0" w:color="auto"/>
            <w:right w:val="none" w:sz="0" w:space="0" w:color="auto"/>
          </w:divBdr>
        </w:div>
        <w:div w:id="320618363">
          <w:marLeft w:val="480"/>
          <w:marRight w:val="0"/>
          <w:marTop w:val="0"/>
          <w:marBottom w:val="0"/>
          <w:divBdr>
            <w:top w:val="none" w:sz="0" w:space="0" w:color="auto"/>
            <w:left w:val="none" w:sz="0" w:space="0" w:color="auto"/>
            <w:bottom w:val="none" w:sz="0" w:space="0" w:color="auto"/>
            <w:right w:val="none" w:sz="0" w:space="0" w:color="auto"/>
          </w:divBdr>
        </w:div>
        <w:div w:id="939995163">
          <w:marLeft w:val="480"/>
          <w:marRight w:val="0"/>
          <w:marTop w:val="0"/>
          <w:marBottom w:val="0"/>
          <w:divBdr>
            <w:top w:val="none" w:sz="0" w:space="0" w:color="auto"/>
            <w:left w:val="none" w:sz="0" w:space="0" w:color="auto"/>
            <w:bottom w:val="none" w:sz="0" w:space="0" w:color="auto"/>
            <w:right w:val="none" w:sz="0" w:space="0" w:color="auto"/>
          </w:divBdr>
        </w:div>
        <w:div w:id="1280718627">
          <w:marLeft w:val="480"/>
          <w:marRight w:val="0"/>
          <w:marTop w:val="0"/>
          <w:marBottom w:val="0"/>
          <w:divBdr>
            <w:top w:val="none" w:sz="0" w:space="0" w:color="auto"/>
            <w:left w:val="none" w:sz="0" w:space="0" w:color="auto"/>
            <w:bottom w:val="none" w:sz="0" w:space="0" w:color="auto"/>
            <w:right w:val="none" w:sz="0" w:space="0" w:color="auto"/>
          </w:divBdr>
        </w:div>
        <w:div w:id="318770455">
          <w:marLeft w:val="480"/>
          <w:marRight w:val="0"/>
          <w:marTop w:val="0"/>
          <w:marBottom w:val="0"/>
          <w:divBdr>
            <w:top w:val="none" w:sz="0" w:space="0" w:color="auto"/>
            <w:left w:val="none" w:sz="0" w:space="0" w:color="auto"/>
            <w:bottom w:val="none" w:sz="0" w:space="0" w:color="auto"/>
            <w:right w:val="none" w:sz="0" w:space="0" w:color="auto"/>
          </w:divBdr>
        </w:div>
        <w:div w:id="721640752">
          <w:marLeft w:val="480"/>
          <w:marRight w:val="0"/>
          <w:marTop w:val="0"/>
          <w:marBottom w:val="0"/>
          <w:divBdr>
            <w:top w:val="none" w:sz="0" w:space="0" w:color="auto"/>
            <w:left w:val="none" w:sz="0" w:space="0" w:color="auto"/>
            <w:bottom w:val="none" w:sz="0" w:space="0" w:color="auto"/>
            <w:right w:val="none" w:sz="0" w:space="0" w:color="auto"/>
          </w:divBdr>
        </w:div>
        <w:div w:id="995112654">
          <w:marLeft w:val="480"/>
          <w:marRight w:val="0"/>
          <w:marTop w:val="0"/>
          <w:marBottom w:val="0"/>
          <w:divBdr>
            <w:top w:val="none" w:sz="0" w:space="0" w:color="auto"/>
            <w:left w:val="none" w:sz="0" w:space="0" w:color="auto"/>
            <w:bottom w:val="none" w:sz="0" w:space="0" w:color="auto"/>
            <w:right w:val="none" w:sz="0" w:space="0" w:color="auto"/>
          </w:divBdr>
        </w:div>
        <w:div w:id="1666543075">
          <w:marLeft w:val="480"/>
          <w:marRight w:val="0"/>
          <w:marTop w:val="0"/>
          <w:marBottom w:val="0"/>
          <w:divBdr>
            <w:top w:val="none" w:sz="0" w:space="0" w:color="auto"/>
            <w:left w:val="none" w:sz="0" w:space="0" w:color="auto"/>
            <w:bottom w:val="none" w:sz="0" w:space="0" w:color="auto"/>
            <w:right w:val="none" w:sz="0" w:space="0" w:color="auto"/>
          </w:divBdr>
        </w:div>
        <w:div w:id="1877742039">
          <w:marLeft w:val="480"/>
          <w:marRight w:val="0"/>
          <w:marTop w:val="0"/>
          <w:marBottom w:val="0"/>
          <w:divBdr>
            <w:top w:val="none" w:sz="0" w:space="0" w:color="auto"/>
            <w:left w:val="none" w:sz="0" w:space="0" w:color="auto"/>
            <w:bottom w:val="none" w:sz="0" w:space="0" w:color="auto"/>
            <w:right w:val="none" w:sz="0" w:space="0" w:color="auto"/>
          </w:divBdr>
        </w:div>
        <w:div w:id="1188058653">
          <w:marLeft w:val="480"/>
          <w:marRight w:val="0"/>
          <w:marTop w:val="0"/>
          <w:marBottom w:val="0"/>
          <w:divBdr>
            <w:top w:val="none" w:sz="0" w:space="0" w:color="auto"/>
            <w:left w:val="none" w:sz="0" w:space="0" w:color="auto"/>
            <w:bottom w:val="none" w:sz="0" w:space="0" w:color="auto"/>
            <w:right w:val="none" w:sz="0" w:space="0" w:color="auto"/>
          </w:divBdr>
        </w:div>
        <w:div w:id="1826358243">
          <w:marLeft w:val="480"/>
          <w:marRight w:val="0"/>
          <w:marTop w:val="0"/>
          <w:marBottom w:val="0"/>
          <w:divBdr>
            <w:top w:val="none" w:sz="0" w:space="0" w:color="auto"/>
            <w:left w:val="none" w:sz="0" w:space="0" w:color="auto"/>
            <w:bottom w:val="none" w:sz="0" w:space="0" w:color="auto"/>
            <w:right w:val="none" w:sz="0" w:space="0" w:color="auto"/>
          </w:divBdr>
        </w:div>
        <w:div w:id="2013529960">
          <w:marLeft w:val="480"/>
          <w:marRight w:val="0"/>
          <w:marTop w:val="0"/>
          <w:marBottom w:val="0"/>
          <w:divBdr>
            <w:top w:val="none" w:sz="0" w:space="0" w:color="auto"/>
            <w:left w:val="none" w:sz="0" w:space="0" w:color="auto"/>
            <w:bottom w:val="none" w:sz="0" w:space="0" w:color="auto"/>
            <w:right w:val="none" w:sz="0" w:space="0" w:color="auto"/>
          </w:divBdr>
        </w:div>
        <w:div w:id="327289153">
          <w:marLeft w:val="480"/>
          <w:marRight w:val="0"/>
          <w:marTop w:val="0"/>
          <w:marBottom w:val="0"/>
          <w:divBdr>
            <w:top w:val="none" w:sz="0" w:space="0" w:color="auto"/>
            <w:left w:val="none" w:sz="0" w:space="0" w:color="auto"/>
            <w:bottom w:val="none" w:sz="0" w:space="0" w:color="auto"/>
            <w:right w:val="none" w:sz="0" w:space="0" w:color="auto"/>
          </w:divBdr>
        </w:div>
        <w:div w:id="1754355615">
          <w:marLeft w:val="480"/>
          <w:marRight w:val="0"/>
          <w:marTop w:val="0"/>
          <w:marBottom w:val="0"/>
          <w:divBdr>
            <w:top w:val="none" w:sz="0" w:space="0" w:color="auto"/>
            <w:left w:val="none" w:sz="0" w:space="0" w:color="auto"/>
            <w:bottom w:val="none" w:sz="0" w:space="0" w:color="auto"/>
            <w:right w:val="none" w:sz="0" w:space="0" w:color="auto"/>
          </w:divBdr>
        </w:div>
        <w:div w:id="1562980373">
          <w:marLeft w:val="480"/>
          <w:marRight w:val="0"/>
          <w:marTop w:val="0"/>
          <w:marBottom w:val="0"/>
          <w:divBdr>
            <w:top w:val="none" w:sz="0" w:space="0" w:color="auto"/>
            <w:left w:val="none" w:sz="0" w:space="0" w:color="auto"/>
            <w:bottom w:val="none" w:sz="0" w:space="0" w:color="auto"/>
            <w:right w:val="none" w:sz="0" w:space="0" w:color="auto"/>
          </w:divBdr>
        </w:div>
        <w:div w:id="464616258">
          <w:marLeft w:val="480"/>
          <w:marRight w:val="0"/>
          <w:marTop w:val="0"/>
          <w:marBottom w:val="0"/>
          <w:divBdr>
            <w:top w:val="none" w:sz="0" w:space="0" w:color="auto"/>
            <w:left w:val="none" w:sz="0" w:space="0" w:color="auto"/>
            <w:bottom w:val="none" w:sz="0" w:space="0" w:color="auto"/>
            <w:right w:val="none" w:sz="0" w:space="0" w:color="auto"/>
          </w:divBdr>
        </w:div>
        <w:div w:id="1250040689">
          <w:marLeft w:val="480"/>
          <w:marRight w:val="0"/>
          <w:marTop w:val="0"/>
          <w:marBottom w:val="0"/>
          <w:divBdr>
            <w:top w:val="none" w:sz="0" w:space="0" w:color="auto"/>
            <w:left w:val="none" w:sz="0" w:space="0" w:color="auto"/>
            <w:bottom w:val="none" w:sz="0" w:space="0" w:color="auto"/>
            <w:right w:val="none" w:sz="0" w:space="0" w:color="auto"/>
          </w:divBdr>
        </w:div>
        <w:div w:id="2046827877">
          <w:marLeft w:val="480"/>
          <w:marRight w:val="0"/>
          <w:marTop w:val="0"/>
          <w:marBottom w:val="0"/>
          <w:divBdr>
            <w:top w:val="none" w:sz="0" w:space="0" w:color="auto"/>
            <w:left w:val="none" w:sz="0" w:space="0" w:color="auto"/>
            <w:bottom w:val="none" w:sz="0" w:space="0" w:color="auto"/>
            <w:right w:val="none" w:sz="0" w:space="0" w:color="auto"/>
          </w:divBdr>
        </w:div>
        <w:div w:id="1217813009">
          <w:marLeft w:val="480"/>
          <w:marRight w:val="0"/>
          <w:marTop w:val="0"/>
          <w:marBottom w:val="0"/>
          <w:divBdr>
            <w:top w:val="none" w:sz="0" w:space="0" w:color="auto"/>
            <w:left w:val="none" w:sz="0" w:space="0" w:color="auto"/>
            <w:bottom w:val="none" w:sz="0" w:space="0" w:color="auto"/>
            <w:right w:val="none" w:sz="0" w:space="0" w:color="auto"/>
          </w:divBdr>
        </w:div>
        <w:div w:id="1936397410">
          <w:marLeft w:val="480"/>
          <w:marRight w:val="0"/>
          <w:marTop w:val="0"/>
          <w:marBottom w:val="0"/>
          <w:divBdr>
            <w:top w:val="none" w:sz="0" w:space="0" w:color="auto"/>
            <w:left w:val="none" w:sz="0" w:space="0" w:color="auto"/>
            <w:bottom w:val="none" w:sz="0" w:space="0" w:color="auto"/>
            <w:right w:val="none" w:sz="0" w:space="0" w:color="auto"/>
          </w:divBdr>
        </w:div>
        <w:div w:id="173035824">
          <w:marLeft w:val="480"/>
          <w:marRight w:val="0"/>
          <w:marTop w:val="0"/>
          <w:marBottom w:val="0"/>
          <w:divBdr>
            <w:top w:val="none" w:sz="0" w:space="0" w:color="auto"/>
            <w:left w:val="none" w:sz="0" w:space="0" w:color="auto"/>
            <w:bottom w:val="none" w:sz="0" w:space="0" w:color="auto"/>
            <w:right w:val="none" w:sz="0" w:space="0" w:color="auto"/>
          </w:divBdr>
        </w:div>
        <w:div w:id="650452589">
          <w:marLeft w:val="480"/>
          <w:marRight w:val="0"/>
          <w:marTop w:val="0"/>
          <w:marBottom w:val="0"/>
          <w:divBdr>
            <w:top w:val="none" w:sz="0" w:space="0" w:color="auto"/>
            <w:left w:val="none" w:sz="0" w:space="0" w:color="auto"/>
            <w:bottom w:val="none" w:sz="0" w:space="0" w:color="auto"/>
            <w:right w:val="none" w:sz="0" w:space="0" w:color="auto"/>
          </w:divBdr>
        </w:div>
        <w:div w:id="1212812132">
          <w:marLeft w:val="480"/>
          <w:marRight w:val="0"/>
          <w:marTop w:val="0"/>
          <w:marBottom w:val="0"/>
          <w:divBdr>
            <w:top w:val="none" w:sz="0" w:space="0" w:color="auto"/>
            <w:left w:val="none" w:sz="0" w:space="0" w:color="auto"/>
            <w:bottom w:val="none" w:sz="0" w:space="0" w:color="auto"/>
            <w:right w:val="none" w:sz="0" w:space="0" w:color="auto"/>
          </w:divBdr>
        </w:div>
        <w:div w:id="961568370">
          <w:marLeft w:val="480"/>
          <w:marRight w:val="0"/>
          <w:marTop w:val="0"/>
          <w:marBottom w:val="0"/>
          <w:divBdr>
            <w:top w:val="none" w:sz="0" w:space="0" w:color="auto"/>
            <w:left w:val="none" w:sz="0" w:space="0" w:color="auto"/>
            <w:bottom w:val="none" w:sz="0" w:space="0" w:color="auto"/>
            <w:right w:val="none" w:sz="0" w:space="0" w:color="auto"/>
          </w:divBdr>
        </w:div>
        <w:div w:id="688413023">
          <w:marLeft w:val="480"/>
          <w:marRight w:val="0"/>
          <w:marTop w:val="0"/>
          <w:marBottom w:val="0"/>
          <w:divBdr>
            <w:top w:val="none" w:sz="0" w:space="0" w:color="auto"/>
            <w:left w:val="none" w:sz="0" w:space="0" w:color="auto"/>
            <w:bottom w:val="none" w:sz="0" w:space="0" w:color="auto"/>
            <w:right w:val="none" w:sz="0" w:space="0" w:color="auto"/>
          </w:divBdr>
        </w:div>
        <w:div w:id="1571186289">
          <w:marLeft w:val="480"/>
          <w:marRight w:val="0"/>
          <w:marTop w:val="0"/>
          <w:marBottom w:val="0"/>
          <w:divBdr>
            <w:top w:val="none" w:sz="0" w:space="0" w:color="auto"/>
            <w:left w:val="none" w:sz="0" w:space="0" w:color="auto"/>
            <w:bottom w:val="none" w:sz="0" w:space="0" w:color="auto"/>
            <w:right w:val="none" w:sz="0" w:space="0" w:color="auto"/>
          </w:divBdr>
        </w:div>
        <w:div w:id="2038654358">
          <w:marLeft w:val="480"/>
          <w:marRight w:val="0"/>
          <w:marTop w:val="0"/>
          <w:marBottom w:val="0"/>
          <w:divBdr>
            <w:top w:val="none" w:sz="0" w:space="0" w:color="auto"/>
            <w:left w:val="none" w:sz="0" w:space="0" w:color="auto"/>
            <w:bottom w:val="none" w:sz="0" w:space="0" w:color="auto"/>
            <w:right w:val="none" w:sz="0" w:space="0" w:color="auto"/>
          </w:divBdr>
        </w:div>
        <w:div w:id="134564546">
          <w:marLeft w:val="480"/>
          <w:marRight w:val="0"/>
          <w:marTop w:val="0"/>
          <w:marBottom w:val="0"/>
          <w:divBdr>
            <w:top w:val="none" w:sz="0" w:space="0" w:color="auto"/>
            <w:left w:val="none" w:sz="0" w:space="0" w:color="auto"/>
            <w:bottom w:val="none" w:sz="0" w:space="0" w:color="auto"/>
            <w:right w:val="none" w:sz="0" w:space="0" w:color="auto"/>
          </w:divBdr>
        </w:div>
        <w:div w:id="252250472">
          <w:marLeft w:val="480"/>
          <w:marRight w:val="0"/>
          <w:marTop w:val="0"/>
          <w:marBottom w:val="0"/>
          <w:divBdr>
            <w:top w:val="none" w:sz="0" w:space="0" w:color="auto"/>
            <w:left w:val="none" w:sz="0" w:space="0" w:color="auto"/>
            <w:bottom w:val="none" w:sz="0" w:space="0" w:color="auto"/>
            <w:right w:val="none" w:sz="0" w:space="0" w:color="auto"/>
          </w:divBdr>
        </w:div>
        <w:div w:id="1526360057">
          <w:marLeft w:val="480"/>
          <w:marRight w:val="0"/>
          <w:marTop w:val="0"/>
          <w:marBottom w:val="0"/>
          <w:divBdr>
            <w:top w:val="none" w:sz="0" w:space="0" w:color="auto"/>
            <w:left w:val="none" w:sz="0" w:space="0" w:color="auto"/>
            <w:bottom w:val="none" w:sz="0" w:space="0" w:color="auto"/>
            <w:right w:val="none" w:sz="0" w:space="0" w:color="auto"/>
          </w:divBdr>
        </w:div>
        <w:div w:id="426540662">
          <w:marLeft w:val="480"/>
          <w:marRight w:val="0"/>
          <w:marTop w:val="0"/>
          <w:marBottom w:val="0"/>
          <w:divBdr>
            <w:top w:val="none" w:sz="0" w:space="0" w:color="auto"/>
            <w:left w:val="none" w:sz="0" w:space="0" w:color="auto"/>
            <w:bottom w:val="none" w:sz="0" w:space="0" w:color="auto"/>
            <w:right w:val="none" w:sz="0" w:space="0" w:color="auto"/>
          </w:divBdr>
        </w:div>
        <w:div w:id="237907833">
          <w:marLeft w:val="480"/>
          <w:marRight w:val="0"/>
          <w:marTop w:val="0"/>
          <w:marBottom w:val="0"/>
          <w:divBdr>
            <w:top w:val="none" w:sz="0" w:space="0" w:color="auto"/>
            <w:left w:val="none" w:sz="0" w:space="0" w:color="auto"/>
            <w:bottom w:val="none" w:sz="0" w:space="0" w:color="auto"/>
            <w:right w:val="none" w:sz="0" w:space="0" w:color="auto"/>
          </w:divBdr>
        </w:div>
        <w:div w:id="2025932873">
          <w:marLeft w:val="480"/>
          <w:marRight w:val="0"/>
          <w:marTop w:val="0"/>
          <w:marBottom w:val="0"/>
          <w:divBdr>
            <w:top w:val="none" w:sz="0" w:space="0" w:color="auto"/>
            <w:left w:val="none" w:sz="0" w:space="0" w:color="auto"/>
            <w:bottom w:val="none" w:sz="0" w:space="0" w:color="auto"/>
            <w:right w:val="none" w:sz="0" w:space="0" w:color="auto"/>
          </w:divBdr>
        </w:div>
        <w:div w:id="705451893">
          <w:marLeft w:val="480"/>
          <w:marRight w:val="0"/>
          <w:marTop w:val="0"/>
          <w:marBottom w:val="0"/>
          <w:divBdr>
            <w:top w:val="none" w:sz="0" w:space="0" w:color="auto"/>
            <w:left w:val="none" w:sz="0" w:space="0" w:color="auto"/>
            <w:bottom w:val="none" w:sz="0" w:space="0" w:color="auto"/>
            <w:right w:val="none" w:sz="0" w:space="0" w:color="auto"/>
          </w:divBdr>
        </w:div>
        <w:div w:id="984818307">
          <w:marLeft w:val="480"/>
          <w:marRight w:val="0"/>
          <w:marTop w:val="0"/>
          <w:marBottom w:val="0"/>
          <w:divBdr>
            <w:top w:val="none" w:sz="0" w:space="0" w:color="auto"/>
            <w:left w:val="none" w:sz="0" w:space="0" w:color="auto"/>
            <w:bottom w:val="none" w:sz="0" w:space="0" w:color="auto"/>
            <w:right w:val="none" w:sz="0" w:space="0" w:color="auto"/>
          </w:divBdr>
        </w:div>
        <w:div w:id="1992634451">
          <w:marLeft w:val="480"/>
          <w:marRight w:val="0"/>
          <w:marTop w:val="0"/>
          <w:marBottom w:val="0"/>
          <w:divBdr>
            <w:top w:val="none" w:sz="0" w:space="0" w:color="auto"/>
            <w:left w:val="none" w:sz="0" w:space="0" w:color="auto"/>
            <w:bottom w:val="none" w:sz="0" w:space="0" w:color="auto"/>
            <w:right w:val="none" w:sz="0" w:space="0" w:color="auto"/>
          </w:divBdr>
        </w:div>
        <w:div w:id="213003179">
          <w:marLeft w:val="480"/>
          <w:marRight w:val="0"/>
          <w:marTop w:val="0"/>
          <w:marBottom w:val="0"/>
          <w:divBdr>
            <w:top w:val="none" w:sz="0" w:space="0" w:color="auto"/>
            <w:left w:val="none" w:sz="0" w:space="0" w:color="auto"/>
            <w:bottom w:val="none" w:sz="0" w:space="0" w:color="auto"/>
            <w:right w:val="none" w:sz="0" w:space="0" w:color="auto"/>
          </w:divBdr>
        </w:div>
        <w:div w:id="1582788234">
          <w:marLeft w:val="480"/>
          <w:marRight w:val="0"/>
          <w:marTop w:val="0"/>
          <w:marBottom w:val="0"/>
          <w:divBdr>
            <w:top w:val="none" w:sz="0" w:space="0" w:color="auto"/>
            <w:left w:val="none" w:sz="0" w:space="0" w:color="auto"/>
            <w:bottom w:val="none" w:sz="0" w:space="0" w:color="auto"/>
            <w:right w:val="none" w:sz="0" w:space="0" w:color="auto"/>
          </w:divBdr>
        </w:div>
        <w:div w:id="2063171233">
          <w:marLeft w:val="480"/>
          <w:marRight w:val="0"/>
          <w:marTop w:val="0"/>
          <w:marBottom w:val="0"/>
          <w:divBdr>
            <w:top w:val="none" w:sz="0" w:space="0" w:color="auto"/>
            <w:left w:val="none" w:sz="0" w:space="0" w:color="auto"/>
            <w:bottom w:val="none" w:sz="0" w:space="0" w:color="auto"/>
            <w:right w:val="none" w:sz="0" w:space="0" w:color="auto"/>
          </w:divBdr>
        </w:div>
        <w:div w:id="164789105">
          <w:marLeft w:val="480"/>
          <w:marRight w:val="0"/>
          <w:marTop w:val="0"/>
          <w:marBottom w:val="0"/>
          <w:divBdr>
            <w:top w:val="none" w:sz="0" w:space="0" w:color="auto"/>
            <w:left w:val="none" w:sz="0" w:space="0" w:color="auto"/>
            <w:bottom w:val="none" w:sz="0" w:space="0" w:color="auto"/>
            <w:right w:val="none" w:sz="0" w:space="0" w:color="auto"/>
          </w:divBdr>
        </w:div>
        <w:div w:id="757750476">
          <w:marLeft w:val="480"/>
          <w:marRight w:val="0"/>
          <w:marTop w:val="0"/>
          <w:marBottom w:val="0"/>
          <w:divBdr>
            <w:top w:val="none" w:sz="0" w:space="0" w:color="auto"/>
            <w:left w:val="none" w:sz="0" w:space="0" w:color="auto"/>
            <w:bottom w:val="none" w:sz="0" w:space="0" w:color="auto"/>
            <w:right w:val="none" w:sz="0" w:space="0" w:color="auto"/>
          </w:divBdr>
        </w:div>
        <w:div w:id="1298560178">
          <w:marLeft w:val="480"/>
          <w:marRight w:val="0"/>
          <w:marTop w:val="0"/>
          <w:marBottom w:val="0"/>
          <w:divBdr>
            <w:top w:val="none" w:sz="0" w:space="0" w:color="auto"/>
            <w:left w:val="none" w:sz="0" w:space="0" w:color="auto"/>
            <w:bottom w:val="none" w:sz="0" w:space="0" w:color="auto"/>
            <w:right w:val="none" w:sz="0" w:space="0" w:color="auto"/>
          </w:divBdr>
        </w:div>
        <w:div w:id="277225809">
          <w:marLeft w:val="480"/>
          <w:marRight w:val="0"/>
          <w:marTop w:val="0"/>
          <w:marBottom w:val="0"/>
          <w:divBdr>
            <w:top w:val="none" w:sz="0" w:space="0" w:color="auto"/>
            <w:left w:val="none" w:sz="0" w:space="0" w:color="auto"/>
            <w:bottom w:val="none" w:sz="0" w:space="0" w:color="auto"/>
            <w:right w:val="none" w:sz="0" w:space="0" w:color="auto"/>
          </w:divBdr>
        </w:div>
        <w:div w:id="2093816918">
          <w:marLeft w:val="480"/>
          <w:marRight w:val="0"/>
          <w:marTop w:val="0"/>
          <w:marBottom w:val="0"/>
          <w:divBdr>
            <w:top w:val="none" w:sz="0" w:space="0" w:color="auto"/>
            <w:left w:val="none" w:sz="0" w:space="0" w:color="auto"/>
            <w:bottom w:val="none" w:sz="0" w:space="0" w:color="auto"/>
            <w:right w:val="none" w:sz="0" w:space="0" w:color="auto"/>
          </w:divBdr>
        </w:div>
        <w:div w:id="1976568629">
          <w:marLeft w:val="480"/>
          <w:marRight w:val="0"/>
          <w:marTop w:val="0"/>
          <w:marBottom w:val="0"/>
          <w:divBdr>
            <w:top w:val="none" w:sz="0" w:space="0" w:color="auto"/>
            <w:left w:val="none" w:sz="0" w:space="0" w:color="auto"/>
            <w:bottom w:val="none" w:sz="0" w:space="0" w:color="auto"/>
            <w:right w:val="none" w:sz="0" w:space="0" w:color="auto"/>
          </w:divBdr>
        </w:div>
        <w:div w:id="1975061356">
          <w:marLeft w:val="480"/>
          <w:marRight w:val="0"/>
          <w:marTop w:val="0"/>
          <w:marBottom w:val="0"/>
          <w:divBdr>
            <w:top w:val="none" w:sz="0" w:space="0" w:color="auto"/>
            <w:left w:val="none" w:sz="0" w:space="0" w:color="auto"/>
            <w:bottom w:val="none" w:sz="0" w:space="0" w:color="auto"/>
            <w:right w:val="none" w:sz="0" w:space="0" w:color="auto"/>
          </w:divBdr>
        </w:div>
        <w:div w:id="1955939890">
          <w:marLeft w:val="480"/>
          <w:marRight w:val="0"/>
          <w:marTop w:val="0"/>
          <w:marBottom w:val="0"/>
          <w:divBdr>
            <w:top w:val="none" w:sz="0" w:space="0" w:color="auto"/>
            <w:left w:val="none" w:sz="0" w:space="0" w:color="auto"/>
            <w:bottom w:val="none" w:sz="0" w:space="0" w:color="auto"/>
            <w:right w:val="none" w:sz="0" w:space="0" w:color="auto"/>
          </w:divBdr>
        </w:div>
        <w:div w:id="1308969569">
          <w:marLeft w:val="480"/>
          <w:marRight w:val="0"/>
          <w:marTop w:val="0"/>
          <w:marBottom w:val="0"/>
          <w:divBdr>
            <w:top w:val="none" w:sz="0" w:space="0" w:color="auto"/>
            <w:left w:val="none" w:sz="0" w:space="0" w:color="auto"/>
            <w:bottom w:val="none" w:sz="0" w:space="0" w:color="auto"/>
            <w:right w:val="none" w:sz="0" w:space="0" w:color="auto"/>
          </w:divBdr>
        </w:div>
        <w:div w:id="1081222054">
          <w:marLeft w:val="480"/>
          <w:marRight w:val="0"/>
          <w:marTop w:val="0"/>
          <w:marBottom w:val="0"/>
          <w:divBdr>
            <w:top w:val="none" w:sz="0" w:space="0" w:color="auto"/>
            <w:left w:val="none" w:sz="0" w:space="0" w:color="auto"/>
            <w:bottom w:val="none" w:sz="0" w:space="0" w:color="auto"/>
            <w:right w:val="none" w:sz="0" w:space="0" w:color="auto"/>
          </w:divBdr>
        </w:div>
        <w:div w:id="1877152852">
          <w:marLeft w:val="480"/>
          <w:marRight w:val="0"/>
          <w:marTop w:val="0"/>
          <w:marBottom w:val="0"/>
          <w:divBdr>
            <w:top w:val="none" w:sz="0" w:space="0" w:color="auto"/>
            <w:left w:val="none" w:sz="0" w:space="0" w:color="auto"/>
            <w:bottom w:val="none" w:sz="0" w:space="0" w:color="auto"/>
            <w:right w:val="none" w:sz="0" w:space="0" w:color="auto"/>
          </w:divBdr>
        </w:div>
        <w:div w:id="127868460">
          <w:marLeft w:val="480"/>
          <w:marRight w:val="0"/>
          <w:marTop w:val="0"/>
          <w:marBottom w:val="0"/>
          <w:divBdr>
            <w:top w:val="none" w:sz="0" w:space="0" w:color="auto"/>
            <w:left w:val="none" w:sz="0" w:space="0" w:color="auto"/>
            <w:bottom w:val="none" w:sz="0" w:space="0" w:color="auto"/>
            <w:right w:val="none" w:sz="0" w:space="0" w:color="auto"/>
          </w:divBdr>
        </w:div>
        <w:div w:id="1629237387">
          <w:marLeft w:val="480"/>
          <w:marRight w:val="0"/>
          <w:marTop w:val="0"/>
          <w:marBottom w:val="0"/>
          <w:divBdr>
            <w:top w:val="none" w:sz="0" w:space="0" w:color="auto"/>
            <w:left w:val="none" w:sz="0" w:space="0" w:color="auto"/>
            <w:bottom w:val="none" w:sz="0" w:space="0" w:color="auto"/>
            <w:right w:val="none" w:sz="0" w:space="0" w:color="auto"/>
          </w:divBdr>
        </w:div>
        <w:div w:id="1025247398">
          <w:marLeft w:val="480"/>
          <w:marRight w:val="0"/>
          <w:marTop w:val="0"/>
          <w:marBottom w:val="0"/>
          <w:divBdr>
            <w:top w:val="none" w:sz="0" w:space="0" w:color="auto"/>
            <w:left w:val="none" w:sz="0" w:space="0" w:color="auto"/>
            <w:bottom w:val="none" w:sz="0" w:space="0" w:color="auto"/>
            <w:right w:val="none" w:sz="0" w:space="0" w:color="auto"/>
          </w:divBdr>
        </w:div>
        <w:div w:id="1673142667">
          <w:marLeft w:val="480"/>
          <w:marRight w:val="0"/>
          <w:marTop w:val="0"/>
          <w:marBottom w:val="0"/>
          <w:divBdr>
            <w:top w:val="none" w:sz="0" w:space="0" w:color="auto"/>
            <w:left w:val="none" w:sz="0" w:space="0" w:color="auto"/>
            <w:bottom w:val="none" w:sz="0" w:space="0" w:color="auto"/>
            <w:right w:val="none" w:sz="0" w:space="0" w:color="auto"/>
          </w:divBdr>
        </w:div>
        <w:div w:id="842277117">
          <w:marLeft w:val="480"/>
          <w:marRight w:val="0"/>
          <w:marTop w:val="0"/>
          <w:marBottom w:val="0"/>
          <w:divBdr>
            <w:top w:val="none" w:sz="0" w:space="0" w:color="auto"/>
            <w:left w:val="none" w:sz="0" w:space="0" w:color="auto"/>
            <w:bottom w:val="none" w:sz="0" w:space="0" w:color="auto"/>
            <w:right w:val="none" w:sz="0" w:space="0" w:color="auto"/>
          </w:divBdr>
        </w:div>
        <w:div w:id="801995867">
          <w:marLeft w:val="480"/>
          <w:marRight w:val="0"/>
          <w:marTop w:val="0"/>
          <w:marBottom w:val="0"/>
          <w:divBdr>
            <w:top w:val="none" w:sz="0" w:space="0" w:color="auto"/>
            <w:left w:val="none" w:sz="0" w:space="0" w:color="auto"/>
            <w:bottom w:val="none" w:sz="0" w:space="0" w:color="auto"/>
            <w:right w:val="none" w:sz="0" w:space="0" w:color="auto"/>
          </w:divBdr>
        </w:div>
        <w:div w:id="1472552201">
          <w:marLeft w:val="480"/>
          <w:marRight w:val="0"/>
          <w:marTop w:val="0"/>
          <w:marBottom w:val="0"/>
          <w:divBdr>
            <w:top w:val="none" w:sz="0" w:space="0" w:color="auto"/>
            <w:left w:val="none" w:sz="0" w:space="0" w:color="auto"/>
            <w:bottom w:val="none" w:sz="0" w:space="0" w:color="auto"/>
            <w:right w:val="none" w:sz="0" w:space="0" w:color="auto"/>
          </w:divBdr>
        </w:div>
        <w:div w:id="174536587">
          <w:marLeft w:val="480"/>
          <w:marRight w:val="0"/>
          <w:marTop w:val="0"/>
          <w:marBottom w:val="0"/>
          <w:divBdr>
            <w:top w:val="none" w:sz="0" w:space="0" w:color="auto"/>
            <w:left w:val="none" w:sz="0" w:space="0" w:color="auto"/>
            <w:bottom w:val="none" w:sz="0" w:space="0" w:color="auto"/>
            <w:right w:val="none" w:sz="0" w:space="0" w:color="auto"/>
          </w:divBdr>
        </w:div>
        <w:div w:id="1725135871">
          <w:marLeft w:val="480"/>
          <w:marRight w:val="0"/>
          <w:marTop w:val="0"/>
          <w:marBottom w:val="0"/>
          <w:divBdr>
            <w:top w:val="none" w:sz="0" w:space="0" w:color="auto"/>
            <w:left w:val="none" w:sz="0" w:space="0" w:color="auto"/>
            <w:bottom w:val="none" w:sz="0" w:space="0" w:color="auto"/>
            <w:right w:val="none" w:sz="0" w:space="0" w:color="auto"/>
          </w:divBdr>
        </w:div>
        <w:div w:id="1169634036">
          <w:marLeft w:val="480"/>
          <w:marRight w:val="0"/>
          <w:marTop w:val="0"/>
          <w:marBottom w:val="0"/>
          <w:divBdr>
            <w:top w:val="none" w:sz="0" w:space="0" w:color="auto"/>
            <w:left w:val="none" w:sz="0" w:space="0" w:color="auto"/>
            <w:bottom w:val="none" w:sz="0" w:space="0" w:color="auto"/>
            <w:right w:val="none" w:sz="0" w:space="0" w:color="auto"/>
          </w:divBdr>
        </w:div>
        <w:div w:id="886139130">
          <w:marLeft w:val="480"/>
          <w:marRight w:val="0"/>
          <w:marTop w:val="0"/>
          <w:marBottom w:val="0"/>
          <w:divBdr>
            <w:top w:val="none" w:sz="0" w:space="0" w:color="auto"/>
            <w:left w:val="none" w:sz="0" w:space="0" w:color="auto"/>
            <w:bottom w:val="none" w:sz="0" w:space="0" w:color="auto"/>
            <w:right w:val="none" w:sz="0" w:space="0" w:color="auto"/>
          </w:divBdr>
        </w:div>
        <w:div w:id="1533689060">
          <w:marLeft w:val="480"/>
          <w:marRight w:val="0"/>
          <w:marTop w:val="0"/>
          <w:marBottom w:val="0"/>
          <w:divBdr>
            <w:top w:val="none" w:sz="0" w:space="0" w:color="auto"/>
            <w:left w:val="none" w:sz="0" w:space="0" w:color="auto"/>
            <w:bottom w:val="none" w:sz="0" w:space="0" w:color="auto"/>
            <w:right w:val="none" w:sz="0" w:space="0" w:color="auto"/>
          </w:divBdr>
        </w:div>
        <w:div w:id="208685271">
          <w:marLeft w:val="480"/>
          <w:marRight w:val="0"/>
          <w:marTop w:val="0"/>
          <w:marBottom w:val="0"/>
          <w:divBdr>
            <w:top w:val="none" w:sz="0" w:space="0" w:color="auto"/>
            <w:left w:val="none" w:sz="0" w:space="0" w:color="auto"/>
            <w:bottom w:val="none" w:sz="0" w:space="0" w:color="auto"/>
            <w:right w:val="none" w:sz="0" w:space="0" w:color="auto"/>
          </w:divBdr>
        </w:div>
        <w:div w:id="1520005491">
          <w:marLeft w:val="480"/>
          <w:marRight w:val="0"/>
          <w:marTop w:val="0"/>
          <w:marBottom w:val="0"/>
          <w:divBdr>
            <w:top w:val="none" w:sz="0" w:space="0" w:color="auto"/>
            <w:left w:val="none" w:sz="0" w:space="0" w:color="auto"/>
            <w:bottom w:val="none" w:sz="0" w:space="0" w:color="auto"/>
            <w:right w:val="none" w:sz="0" w:space="0" w:color="auto"/>
          </w:divBdr>
        </w:div>
        <w:div w:id="178207247">
          <w:marLeft w:val="480"/>
          <w:marRight w:val="0"/>
          <w:marTop w:val="0"/>
          <w:marBottom w:val="0"/>
          <w:divBdr>
            <w:top w:val="none" w:sz="0" w:space="0" w:color="auto"/>
            <w:left w:val="none" w:sz="0" w:space="0" w:color="auto"/>
            <w:bottom w:val="none" w:sz="0" w:space="0" w:color="auto"/>
            <w:right w:val="none" w:sz="0" w:space="0" w:color="auto"/>
          </w:divBdr>
        </w:div>
        <w:div w:id="115371274">
          <w:marLeft w:val="480"/>
          <w:marRight w:val="0"/>
          <w:marTop w:val="0"/>
          <w:marBottom w:val="0"/>
          <w:divBdr>
            <w:top w:val="none" w:sz="0" w:space="0" w:color="auto"/>
            <w:left w:val="none" w:sz="0" w:space="0" w:color="auto"/>
            <w:bottom w:val="none" w:sz="0" w:space="0" w:color="auto"/>
            <w:right w:val="none" w:sz="0" w:space="0" w:color="auto"/>
          </w:divBdr>
        </w:div>
      </w:divsChild>
    </w:div>
    <w:div w:id="1400400950">
      <w:bodyDiv w:val="1"/>
      <w:marLeft w:val="0"/>
      <w:marRight w:val="0"/>
      <w:marTop w:val="0"/>
      <w:marBottom w:val="0"/>
      <w:divBdr>
        <w:top w:val="none" w:sz="0" w:space="0" w:color="auto"/>
        <w:left w:val="none" w:sz="0" w:space="0" w:color="auto"/>
        <w:bottom w:val="none" w:sz="0" w:space="0" w:color="auto"/>
        <w:right w:val="none" w:sz="0" w:space="0" w:color="auto"/>
      </w:divBdr>
    </w:div>
    <w:div w:id="1400446765">
      <w:bodyDiv w:val="1"/>
      <w:marLeft w:val="0"/>
      <w:marRight w:val="0"/>
      <w:marTop w:val="0"/>
      <w:marBottom w:val="0"/>
      <w:divBdr>
        <w:top w:val="none" w:sz="0" w:space="0" w:color="auto"/>
        <w:left w:val="none" w:sz="0" w:space="0" w:color="auto"/>
        <w:bottom w:val="none" w:sz="0" w:space="0" w:color="auto"/>
        <w:right w:val="none" w:sz="0" w:space="0" w:color="auto"/>
      </w:divBdr>
    </w:div>
    <w:div w:id="1400979630">
      <w:bodyDiv w:val="1"/>
      <w:marLeft w:val="0"/>
      <w:marRight w:val="0"/>
      <w:marTop w:val="0"/>
      <w:marBottom w:val="0"/>
      <w:divBdr>
        <w:top w:val="none" w:sz="0" w:space="0" w:color="auto"/>
        <w:left w:val="none" w:sz="0" w:space="0" w:color="auto"/>
        <w:bottom w:val="none" w:sz="0" w:space="0" w:color="auto"/>
        <w:right w:val="none" w:sz="0" w:space="0" w:color="auto"/>
      </w:divBdr>
    </w:div>
    <w:div w:id="1401171731">
      <w:bodyDiv w:val="1"/>
      <w:marLeft w:val="0"/>
      <w:marRight w:val="0"/>
      <w:marTop w:val="0"/>
      <w:marBottom w:val="0"/>
      <w:divBdr>
        <w:top w:val="none" w:sz="0" w:space="0" w:color="auto"/>
        <w:left w:val="none" w:sz="0" w:space="0" w:color="auto"/>
        <w:bottom w:val="none" w:sz="0" w:space="0" w:color="auto"/>
        <w:right w:val="none" w:sz="0" w:space="0" w:color="auto"/>
      </w:divBdr>
    </w:div>
    <w:div w:id="1401445298">
      <w:bodyDiv w:val="1"/>
      <w:marLeft w:val="0"/>
      <w:marRight w:val="0"/>
      <w:marTop w:val="0"/>
      <w:marBottom w:val="0"/>
      <w:divBdr>
        <w:top w:val="none" w:sz="0" w:space="0" w:color="auto"/>
        <w:left w:val="none" w:sz="0" w:space="0" w:color="auto"/>
        <w:bottom w:val="none" w:sz="0" w:space="0" w:color="auto"/>
        <w:right w:val="none" w:sz="0" w:space="0" w:color="auto"/>
      </w:divBdr>
    </w:div>
    <w:div w:id="1401514750">
      <w:bodyDiv w:val="1"/>
      <w:marLeft w:val="0"/>
      <w:marRight w:val="0"/>
      <w:marTop w:val="0"/>
      <w:marBottom w:val="0"/>
      <w:divBdr>
        <w:top w:val="none" w:sz="0" w:space="0" w:color="auto"/>
        <w:left w:val="none" w:sz="0" w:space="0" w:color="auto"/>
        <w:bottom w:val="none" w:sz="0" w:space="0" w:color="auto"/>
        <w:right w:val="none" w:sz="0" w:space="0" w:color="auto"/>
      </w:divBdr>
    </w:div>
    <w:div w:id="1401951221">
      <w:bodyDiv w:val="1"/>
      <w:marLeft w:val="0"/>
      <w:marRight w:val="0"/>
      <w:marTop w:val="0"/>
      <w:marBottom w:val="0"/>
      <w:divBdr>
        <w:top w:val="none" w:sz="0" w:space="0" w:color="auto"/>
        <w:left w:val="none" w:sz="0" w:space="0" w:color="auto"/>
        <w:bottom w:val="none" w:sz="0" w:space="0" w:color="auto"/>
        <w:right w:val="none" w:sz="0" w:space="0" w:color="auto"/>
      </w:divBdr>
    </w:div>
    <w:div w:id="1401977425">
      <w:bodyDiv w:val="1"/>
      <w:marLeft w:val="0"/>
      <w:marRight w:val="0"/>
      <w:marTop w:val="0"/>
      <w:marBottom w:val="0"/>
      <w:divBdr>
        <w:top w:val="none" w:sz="0" w:space="0" w:color="auto"/>
        <w:left w:val="none" w:sz="0" w:space="0" w:color="auto"/>
        <w:bottom w:val="none" w:sz="0" w:space="0" w:color="auto"/>
        <w:right w:val="none" w:sz="0" w:space="0" w:color="auto"/>
      </w:divBdr>
    </w:div>
    <w:div w:id="1403137042">
      <w:bodyDiv w:val="1"/>
      <w:marLeft w:val="0"/>
      <w:marRight w:val="0"/>
      <w:marTop w:val="0"/>
      <w:marBottom w:val="0"/>
      <w:divBdr>
        <w:top w:val="none" w:sz="0" w:space="0" w:color="auto"/>
        <w:left w:val="none" w:sz="0" w:space="0" w:color="auto"/>
        <w:bottom w:val="none" w:sz="0" w:space="0" w:color="auto"/>
        <w:right w:val="none" w:sz="0" w:space="0" w:color="auto"/>
      </w:divBdr>
    </w:div>
    <w:div w:id="1403218101">
      <w:bodyDiv w:val="1"/>
      <w:marLeft w:val="0"/>
      <w:marRight w:val="0"/>
      <w:marTop w:val="0"/>
      <w:marBottom w:val="0"/>
      <w:divBdr>
        <w:top w:val="none" w:sz="0" w:space="0" w:color="auto"/>
        <w:left w:val="none" w:sz="0" w:space="0" w:color="auto"/>
        <w:bottom w:val="none" w:sz="0" w:space="0" w:color="auto"/>
        <w:right w:val="none" w:sz="0" w:space="0" w:color="auto"/>
      </w:divBdr>
    </w:div>
    <w:div w:id="1404134752">
      <w:bodyDiv w:val="1"/>
      <w:marLeft w:val="0"/>
      <w:marRight w:val="0"/>
      <w:marTop w:val="0"/>
      <w:marBottom w:val="0"/>
      <w:divBdr>
        <w:top w:val="none" w:sz="0" w:space="0" w:color="auto"/>
        <w:left w:val="none" w:sz="0" w:space="0" w:color="auto"/>
        <w:bottom w:val="none" w:sz="0" w:space="0" w:color="auto"/>
        <w:right w:val="none" w:sz="0" w:space="0" w:color="auto"/>
      </w:divBdr>
    </w:div>
    <w:div w:id="1404140020">
      <w:bodyDiv w:val="1"/>
      <w:marLeft w:val="0"/>
      <w:marRight w:val="0"/>
      <w:marTop w:val="0"/>
      <w:marBottom w:val="0"/>
      <w:divBdr>
        <w:top w:val="none" w:sz="0" w:space="0" w:color="auto"/>
        <w:left w:val="none" w:sz="0" w:space="0" w:color="auto"/>
        <w:bottom w:val="none" w:sz="0" w:space="0" w:color="auto"/>
        <w:right w:val="none" w:sz="0" w:space="0" w:color="auto"/>
      </w:divBdr>
    </w:div>
    <w:div w:id="1404253045">
      <w:bodyDiv w:val="1"/>
      <w:marLeft w:val="0"/>
      <w:marRight w:val="0"/>
      <w:marTop w:val="0"/>
      <w:marBottom w:val="0"/>
      <w:divBdr>
        <w:top w:val="none" w:sz="0" w:space="0" w:color="auto"/>
        <w:left w:val="none" w:sz="0" w:space="0" w:color="auto"/>
        <w:bottom w:val="none" w:sz="0" w:space="0" w:color="auto"/>
        <w:right w:val="none" w:sz="0" w:space="0" w:color="auto"/>
      </w:divBdr>
    </w:div>
    <w:div w:id="1404403242">
      <w:bodyDiv w:val="1"/>
      <w:marLeft w:val="0"/>
      <w:marRight w:val="0"/>
      <w:marTop w:val="0"/>
      <w:marBottom w:val="0"/>
      <w:divBdr>
        <w:top w:val="none" w:sz="0" w:space="0" w:color="auto"/>
        <w:left w:val="none" w:sz="0" w:space="0" w:color="auto"/>
        <w:bottom w:val="none" w:sz="0" w:space="0" w:color="auto"/>
        <w:right w:val="none" w:sz="0" w:space="0" w:color="auto"/>
      </w:divBdr>
    </w:div>
    <w:div w:id="1405302220">
      <w:bodyDiv w:val="1"/>
      <w:marLeft w:val="0"/>
      <w:marRight w:val="0"/>
      <w:marTop w:val="0"/>
      <w:marBottom w:val="0"/>
      <w:divBdr>
        <w:top w:val="none" w:sz="0" w:space="0" w:color="auto"/>
        <w:left w:val="none" w:sz="0" w:space="0" w:color="auto"/>
        <w:bottom w:val="none" w:sz="0" w:space="0" w:color="auto"/>
        <w:right w:val="none" w:sz="0" w:space="0" w:color="auto"/>
      </w:divBdr>
    </w:div>
    <w:div w:id="1406418655">
      <w:bodyDiv w:val="1"/>
      <w:marLeft w:val="0"/>
      <w:marRight w:val="0"/>
      <w:marTop w:val="0"/>
      <w:marBottom w:val="0"/>
      <w:divBdr>
        <w:top w:val="none" w:sz="0" w:space="0" w:color="auto"/>
        <w:left w:val="none" w:sz="0" w:space="0" w:color="auto"/>
        <w:bottom w:val="none" w:sz="0" w:space="0" w:color="auto"/>
        <w:right w:val="none" w:sz="0" w:space="0" w:color="auto"/>
      </w:divBdr>
    </w:div>
    <w:div w:id="1406565978">
      <w:bodyDiv w:val="1"/>
      <w:marLeft w:val="0"/>
      <w:marRight w:val="0"/>
      <w:marTop w:val="0"/>
      <w:marBottom w:val="0"/>
      <w:divBdr>
        <w:top w:val="none" w:sz="0" w:space="0" w:color="auto"/>
        <w:left w:val="none" w:sz="0" w:space="0" w:color="auto"/>
        <w:bottom w:val="none" w:sz="0" w:space="0" w:color="auto"/>
        <w:right w:val="none" w:sz="0" w:space="0" w:color="auto"/>
      </w:divBdr>
    </w:div>
    <w:div w:id="1406686038">
      <w:bodyDiv w:val="1"/>
      <w:marLeft w:val="0"/>
      <w:marRight w:val="0"/>
      <w:marTop w:val="0"/>
      <w:marBottom w:val="0"/>
      <w:divBdr>
        <w:top w:val="none" w:sz="0" w:space="0" w:color="auto"/>
        <w:left w:val="none" w:sz="0" w:space="0" w:color="auto"/>
        <w:bottom w:val="none" w:sz="0" w:space="0" w:color="auto"/>
        <w:right w:val="none" w:sz="0" w:space="0" w:color="auto"/>
      </w:divBdr>
    </w:div>
    <w:div w:id="1408763515">
      <w:bodyDiv w:val="1"/>
      <w:marLeft w:val="0"/>
      <w:marRight w:val="0"/>
      <w:marTop w:val="0"/>
      <w:marBottom w:val="0"/>
      <w:divBdr>
        <w:top w:val="none" w:sz="0" w:space="0" w:color="auto"/>
        <w:left w:val="none" w:sz="0" w:space="0" w:color="auto"/>
        <w:bottom w:val="none" w:sz="0" w:space="0" w:color="auto"/>
        <w:right w:val="none" w:sz="0" w:space="0" w:color="auto"/>
      </w:divBdr>
    </w:div>
    <w:div w:id="1410345471">
      <w:bodyDiv w:val="1"/>
      <w:marLeft w:val="0"/>
      <w:marRight w:val="0"/>
      <w:marTop w:val="0"/>
      <w:marBottom w:val="0"/>
      <w:divBdr>
        <w:top w:val="none" w:sz="0" w:space="0" w:color="auto"/>
        <w:left w:val="none" w:sz="0" w:space="0" w:color="auto"/>
        <w:bottom w:val="none" w:sz="0" w:space="0" w:color="auto"/>
        <w:right w:val="none" w:sz="0" w:space="0" w:color="auto"/>
      </w:divBdr>
    </w:div>
    <w:div w:id="1410539525">
      <w:bodyDiv w:val="1"/>
      <w:marLeft w:val="0"/>
      <w:marRight w:val="0"/>
      <w:marTop w:val="0"/>
      <w:marBottom w:val="0"/>
      <w:divBdr>
        <w:top w:val="none" w:sz="0" w:space="0" w:color="auto"/>
        <w:left w:val="none" w:sz="0" w:space="0" w:color="auto"/>
        <w:bottom w:val="none" w:sz="0" w:space="0" w:color="auto"/>
        <w:right w:val="none" w:sz="0" w:space="0" w:color="auto"/>
      </w:divBdr>
    </w:div>
    <w:div w:id="1410925552">
      <w:bodyDiv w:val="1"/>
      <w:marLeft w:val="0"/>
      <w:marRight w:val="0"/>
      <w:marTop w:val="0"/>
      <w:marBottom w:val="0"/>
      <w:divBdr>
        <w:top w:val="none" w:sz="0" w:space="0" w:color="auto"/>
        <w:left w:val="none" w:sz="0" w:space="0" w:color="auto"/>
        <w:bottom w:val="none" w:sz="0" w:space="0" w:color="auto"/>
        <w:right w:val="none" w:sz="0" w:space="0" w:color="auto"/>
      </w:divBdr>
    </w:div>
    <w:div w:id="1412502671">
      <w:bodyDiv w:val="1"/>
      <w:marLeft w:val="0"/>
      <w:marRight w:val="0"/>
      <w:marTop w:val="0"/>
      <w:marBottom w:val="0"/>
      <w:divBdr>
        <w:top w:val="none" w:sz="0" w:space="0" w:color="auto"/>
        <w:left w:val="none" w:sz="0" w:space="0" w:color="auto"/>
        <w:bottom w:val="none" w:sz="0" w:space="0" w:color="auto"/>
        <w:right w:val="none" w:sz="0" w:space="0" w:color="auto"/>
      </w:divBdr>
    </w:div>
    <w:div w:id="1412779937">
      <w:bodyDiv w:val="1"/>
      <w:marLeft w:val="0"/>
      <w:marRight w:val="0"/>
      <w:marTop w:val="0"/>
      <w:marBottom w:val="0"/>
      <w:divBdr>
        <w:top w:val="none" w:sz="0" w:space="0" w:color="auto"/>
        <w:left w:val="none" w:sz="0" w:space="0" w:color="auto"/>
        <w:bottom w:val="none" w:sz="0" w:space="0" w:color="auto"/>
        <w:right w:val="none" w:sz="0" w:space="0" w:color="auto"/>
      </w:divBdr>
    </w:div>
    <w:div w:id="1413432596">
      <w:bodyDiv w:val="1"/>
      <w:marLeft w:val="0"/>
      <w:marRight w:val="0"/>
      <w:marTop w:val="0"/>
      <w:marBottom w:val="0"/>
      <w:divBdr>
        <w:top w:val="none" w:sz="0" w:space="0" w:color="auto"/>
        <w:left w:val="none" w:sz="0" w:space="0" w:color="auto"/>
        <w:bottom w:val="none" w:sz="0" w:space="0" w:color="auto"/>
        <w:right w:val="none" w:sz="0" w:space="0" w:color="auto"/>
      </w:divBdr>
    </w:div>
    <w:div w:id="1413623014">
      <w:bodyDiv w:val="1"/>
      <w:marLeft w:val="0"/>
      <w:marRight w:val="0"/>
      <w:marTop w:val="0"/>
      <w:marBottom w:val="0"/>
      <w:divBdr>
        <w:top w:val="none" w:sz="0" w:space="0" w:color="auto"/>
        <w:left w:val="none" w:sz="0" w:space="0" w:color="auto"/>
        <w:bottom w:val="none" w:sz="0" w:space="0" w:color="auto"/>
        <w:right w:val="none" w:sz="0" w:space="0" w:color="auto"/>
      </w:divBdr>
    </w:div>
    <w:div w:id="1413819792">
      <w:bodyDiv w:val="1"/>
      <w:marLeft w:val="0"/>
      <w:marRight w:val="0"/>
      <w:marTop w:val="0"/>
      <w:marBottom w:val="0"/>
      <w:divBdr>
        <w:top w:val="none" w:sz="0" w:space="0" w:color="auto"/>
        <w:left w:val="none" w:sz="0" w:space="0" w:color="auto"/>
        <w:bottom w:val="none" w:sz="0" w:space="0" w:color="auto"/>
        <w:right w:val="none" w:sz="0" w:space="0" w:color="auto"/>
      </w:divBdr>
    </w:div>
    <w:div w:id="1414620178">
      <w:bodyDiv w:val="1"/>
      <w:marLeft w:val="0"/>
      <w:marRight w:val="0"/>
      <w:marTop w:val="0"/>
      <w:marBottom w:val="0"/>
      <w:divBdr>
        <w:top w:val="none" w:sz="0" w:space="0" w:color="auto"/>
        <w:left w:val="none" w:sz="0" w:space="0" w:color="auto"/>
        <w:bottom w:val="none" w:sz="0" w:space="0" w:color="auto"/>
        <w:right w:val="none" w:sz="0" w:space="0" w:color="auto"/>
      </w:divBdr>
    </w:div>
    <w:div w:id="1415398962">
      <w:bodyDiv w:val="1"/>
      <w:marLeft w:val="0"/>
      <w:marRight w:val="0"/>
      <w:marTop w:val="0"/>
      <w:marBottom w:val="0"/>
      <w:divBdr>
        <w:top w:val="none" w:sz="0" w:space="0" w:color="auto"/>
        <w:left w:val="none" w:sz="0" w:space="0" w:color="auto"/>
        <w:bottom w:val="none" w:sz="0" w:space="0" w:color="auto"/>
        <w:right w:val="none" w:sz="0" w:space="0" w:color="auto"/>
      </w:divBdr>
    </w:div>
    <w:div w:id="1416050395">
      <w:bodyDiv w:val="1"/>
      <w:marLeft w:val="0"/>
      <w:marRight w:val="0"/>
      <w:marTop w:val="0"/>
      <w:marBottom w:val="0"/>
      <w:divBdr>
        <w:top w:val="none" w:sz="0" w:space="0" w:color="auto"/>
        <w:left w:val="none" w:sz="0" w:space="0" w:color="auto"/>
        <w:bottom w:val="none" w:sz="0" w:space="0" w:color="auto"/>
        <w:right w:val="none" w:sz="0" w:space="0" w:color="auto"/>
      </w:divBdr>
    </w:div>
    <w:div w:id="1416977675">
      <w:bodyDiv w:val="1"/>
      <w:marLeft w:val="0"/>
      <w:marRight w:val="0"/>
      <w:marTop w:val="0"/>
      <w:marBottom w:val="0"/>
      <w:divBdr>
        <w:top w:val="none" w:sz="0" w:space="0" w:color="auto"/>
        <w:left w:val="none" w:sz="0" w:space="0" w:color="auto"/>
        <w:bottom w:val="none" w:sz="0" w:space="0" w:color="auto"/>
        <w:right w:val="none" w:sz="0" w:space="0" w:color="auto"/>
      </w:divBdr>
    </w:div>
    <w:div w:id="1417434966">
      <w:bodyDiv w:val="1"/>
      <w:marLeft w:val="0"/>
      <w:marRight w:val="0"/>
      <w:marTop w:val="0"/>
      <w:marBottom w:val="0"/>
      <w:divBdr>
        <w:top w:val="none" w:sz="0" w:space="0" w:color="auto"/>
        <w:left w:val="none" w:sz="0" w:space="0" w:color="auto"/>
        <w:bottom w:val="none" w:sz="0" w:space="0" w:color="auto"/>
        <w:right w:val="none" w:sz="0" w:space="0" w:color="auto"/>
      </w:divBdr>
    </w:div>
    <w:div w:id="1417824659">
      <w:bodyDiv w:val="1"/>
      <w:marLeft w:val="0"/>
      <w:marRight w:val="0"/>
      <w:marTop w:val="0"/>
      <w:marBottom w:val="0"/>
      <w:divBdr>
        <w:top w:val="none" w:sz="0" w:space="0" w:color="auto"/>
        <w:left w:val="none" w:sz="0" w:space="0" w:color="auto"/>
        <w:bottom w:val="none" w:sz="0" w:space="0" w:color="auto"/>
        <w:right w:val="none" w:sz="0" w:space="0" w:color="auto"/>
      </w:divBdr>
    </w:div>
    <w:div w:id="1417939639">
      <w:bodyDiv w:val="1"/>
      <w:marLeft w:val="0"/>
      <w:marRight w:val="0"/>
      <w:marTop w:val="0"/>
      <w:marBottom w:val="0"/>
      <w:divBdr>
        <w:top w:val="none" w:sz="0" w:space="0" w:color="auto"/>
        <w:left w:val="none" w:sz="0" w:space="0" w:color="auto"/>
        <w:bottom w:val="none" w:sz="0" w:space="0" w:color="auto"/>
        <w:right w:val="none" w:sz="0" w:space="0" w:color="auto"/>
      </w:divBdr>
    </w:div>
    <w:div w:id="1418818383">
      <w:bodyDiv w:val="1"/>
      <w:marLeft w:val="0"/>
      <w:marRight w:val="0"/>
      <w:marTop w:val="0"/>
      <w:marBottom w:val="0"/>
      <w:divBdr>
        <w:top w:val="none" w:sz="0" w:space="0" w:color="auto"/>
        <w:left w:val="none" w:sz="0" w:space="0" w:color="auto"/>
        <w:bottom w:val="none" w:sz="0" w:space="0" w:color="auto"/>
        <w:right w:val="none" w:sz="0" w:space="0" w:color="auto"/>
      </w:divBdr>
    </w:div>
    <w:div w:id="1419012141">
      <w:bodyDiv w:val="1"/>
      <w:marLeft w:val="0"/>
      <w:marRight w:val="0"/>
      <w:marTop w:val="0"/>
      <w:marBottom w:val="0"/>
      <w:divBdr>
        <w:top w:val="none" w:sz="0" w:space="0" w:color="auto"/>
        <w:left w:val="none" w:sz="0" w:space="0" w:color="auto"/>
        <w:bottom w:val="none" w:sz="0" w:space="0" w:color="auto"/>
        <w:right w:val="none" w:sz="0" w:space="0" w:color="auto"/>
      </w:divBdr>
    </w:div>
    <w:div w:id="1419135223">
      <w:bodyDiv w:val="1"/>
      <w:marLeft w:val="0"/>
      <w:marRight w:val="0"/>
      <w:marTop w:val="0"/>
      <w:marBottom w:val="0"/>
      <w:divBdr>
        <w:top w:val="none" w:sz="0" w:space="0" w:color="auto"/>
        <w:left w:val="none" w:sz="0" w:space="0" w:color="auto"/>
        <w:bottom w:val="none" w:sz="0" w:space="0" w:color="auto"/>
        <w:right w:val="none" w:sz="0" w:space="0" w:color="auto"/>
      </w:divBdr>
    </w:div>
    <w:div w:id="1419669169">
      <w:bodyDiv w:val="1"/>
      <w:marLeft w:val="0"/>
      <w:marRight w:val="0"/>
      <w:marTop w:val="0"/>
      <w:marBottom w:val="0"/>
      <w:divBdr>
        <w:top w:val="none" w:sz="0" w:space="0" w:color="auto"/>
        <w:left w:val="none" w:sz="0" w:space="0" w:color="auto"/>
        <w:bottom w:val="none" w:sz="0" w:space="0" w:color="auto"/>
        <w:right w:val="none" w:sz="0" w:space="0" w:color="auto"/>
      </w:divBdr>
    </w:div>
    <w:div w:id="1420328190">
      <w:bodyDiv w:val="1"/>
      <w:marLeft w:val="0"/>
      <w:marRight w:val="0"/>
      <w:marTop w:val="0"/>
      <w:marBottom w:val="0"/>
      <w:divBdr>
        <w:top w:val="none" w:sz="0" w:space="0" w:color="auto"/>
        <w:left w:val="none" w:sz="0" w:space="0" w:color="auto"/>
        <w:bottom w:val="none" w:sz="0" w:space="0" w:color="auto"/>
        <w:right w:val="none" w:sz="0" w:space="0" w:color="auto"/>
      </w:divBdr>
    </w:div>
    <w:div w:id="1421292446">
      <w:bodyDiv w:val="1"/>
      <w:marLeft w:val="0"/>
      <w:marRight w:val="0"/>
      <w:marTop w:val="0"/>
      <w:marBottom w:val="0"/>
      <w:divBdr>
        <w:top w:val="none" w:sz="0" w:space="0" w:color="auto"/>
        <w:left w:val="none" w:sz="0" w:space="0" w:color="auto"/>
        <w:bottom w:val="none" w:sz="0" w:space="0" w:color="auto"/>
        <w:right w:val="none" w:sz="0" w:space="0" w:color="auto"/>
      </w:divBdr>
    </w:div>
    <w:div w:id="1421483877">
      <w:bodyDiv w:val="1"/>
      <w:marLeft w:val="0"/>
      <w:marRight w:val="0"/>
      <w:marTop w:val="0"/>
      <w:marBottom w:val="0"/>
      <w:divBdr>
        <w:top w:val="none" w:sz="0" w:space="0" w:color="auto"/>
        <w:left w:val="none" w:sz="0" w:space="0" w:color="auto"/>
        <w:bottom w:val="none" w:sz="0" w:space="0" w:color="auto"/>
        <w:right w:val="none" w:sz="0" w:space="0" w:color="auto"/>
      </w:divBdr>
    </w:div>
    <w:div w:id="1421676434">
      <w:bodyDiv w:val="1"/>
      <w:marLeft w:val="0"/>
      <w:marRight w:val="0"/>
      <w:marTop w:val="0"/>
      <w:marBottom w:val="0"/>
      <w:divBdr>
        <w:top w:val="none" w:sz="0" w:space="0" w:color="auto"/>
        <w:left w:val="none" w:sz="0" w:space="0" w:color="auto"/>
        <w:bottom w:val="none" w:sz="0" w:space="0" w:color="auto"/>
        <w:right w:val="none" w:sz="0" w:space="0" w:color="auto"/>
      </w:divBdr>
    </w:div>
    <w:div w:id="1422490502">
      <w:bodyDiv w:val="1"/>
      <w:marLeft w:val="0"/>
      <w:marRight w:val="0"/>
      <w:marTop w:val="0"/>
      <w:marBottom w:val="0"/>
      <w:divBdr>
        <w:top w:val="none" w:sz="0" w:space="0" w:color="auto"/>
        <w:left w:val="none" w:sz="0" w:space="0" w:color="auto"/>
        <w:bottom w:val="none" w:sz="0" w:space="0" w:color="auto"/>
        <w:right w:val="none" w:sz="0" w:space="0" w:color="auto"/>
      </w:divBdr>
    </w:div>
    <w:div w:id="1422525185">
      <w:bodyDiv w:val="1"/>
      <w:marLeft w:val="0"/>
      <w:marRight w:val="0"/>
      <w:marTop w:val="0"/>
      <w:marBottom w:val="0"/>
      <w:divBdr>
        <w:top w:val="none" w:sz="0" w:space="0" w:color="auto"/>
        <w:left w:val="none" w:sz="0" w:space="0" w:color="auto"/>
        <w:bottom w:val="none" w:sz="0" w:space="0" w:color="auto"/>
        <w:right w:val="none" w:sz="0" w:space="0" w:color="auto"/>
      </w:divBdr>
    </w:div>
    <w:div w:id="1422988028">
      <w:bodyDiv w:val="1"/>
      <w:marLeft w:val="0"/>
      <w:marRight w:val="0"/>
      <w:marTop w:val="0"/>
      <w:marBottom w:val="0"/>
      <w:divBdr>
        <w:top w:val="none" w:sz="0" w:space="0" w:color="auto"/>
        <w:left w:val="none" w:sz="0" w:space="0" w:color="auto"/>
        <w:bottom w:val="none" w:sz="0" w:space="0" w:color="auto"/>
        <w:right w:val="none" w:sz="0" w:space="0" w:color="auto"/>
      </w:divBdr>
    </w:div>
    <w:div w:id="1423138888">
      <w:bodyDiv w:val="1"/>
      <w:marLeft w:val="0"/>
      <w:marRight w:val="0"/>
      <w:marTop w:val="0"/>
      <w:marBottom w:val="0"/>
      <w:divBdr>
        <w:top w:val="none" w:sz="0" w:space="0" w:color="auto"/>
        <w:left w:val="none" w:sz="0" w:space="0" w:color="auto"/>
        <w:bottom w:val="none" w:sz="0" w:space="0" w:color="auto"/>
        <w:right w:val="none" w:sz="0" w:space="0" w:color="auto"/>
      </w:divBdr>
    </w:div>
    <w:div w:id="1423378008">
      <w:bodyDiv w:val="1"/>
      <w:marLeft w:val="0"/>
      <w:marRight w:val="0"/>
      <w:marTop w:val="0"/>
      <w:marBottom w:val="0"/>
      <w:divBdr>
        <w:top w:val="none" w:sz="0" w:space="0" w:color="auto"/>
        <w:left w:val="none" w:sz="0" w:space="0" w:color="auto"/>
        <w:bottom w:val="none" w:sz="0" w:space="0" w:color="auto"/>
        <w:right w:val="none" w:sz="0" w:space="0" w:color="auto"/>
      </w:divBdr>
    </w:div>
    <w:div w:id="1423724091">
      <w:bodyDiv w:val="1"/>
      <w:marLeft w:val="0"/>
      <w:marRight w:val="0"/>
      <w:marTop w:val="0"/>
      <w:marBottom w:val="0"/>
      <w:divBdr>
        <w:top w:val="none" w:sz="0" w:space="0" w:color="auto"/>
        <w:left w:val="none" w:sz="0" w:space="0" w:color="auto"/>
        <w:bottom w:val="none" w:sz="0" w:space="0" w:color="auto"/>
        <w:right w:val="none" w:sz="0" w:space="0" w:color="auto"/>
      </w:divBdr>
    </w:div>
    <w:div w:id="1423793093">
      <w:bodyDiv w:val="1"/>
      <w:marLeft w:val="0"/>
      <w:marRight w:val="0"/>
      <w:marTop w:val="0"/>
      <w:marBottom w:val="0"/>
      <w:divBdr>
        <w:top w:val="none" w:sz="0" w:space="0" w:color="auto"/>
        <w:left w:val="none" w:sz="0" w:space="0" w:color="auto"/>
        <w:bottom w:val="none" w:sz="0" w:space="0" w:color="auto"/>
        <w:right w:val="none" w:sz="0" w:space="0" w:color="auto"/>
      </w:divBdr>
    </w:div>
    <w:div w:id="1423990090">
      <w:bodyDiv w:val="1"/>
      <w:marLeft w:val="0"/>
      <w:marRight w:val="0"/>
      <w:marTop w:val="0"/>
      <w:marBottom w:val="0"/>
      <w:divBdr>
        <w:top w:val="none" w:sz="0" w:space="0" w:color="auto"/>
        <w:left w:val="none" w:sz="0" w:space="0" w:color="auto"/>
        <w:bottom w:val="none" w:sz="0" w:space="0" w:color="auto"/>
        <w:right w:val="none" w:sz="0" w:space="0" w:color="auto"/>
      </w:divBdr>
    </w:div>
    <w:div w:id="1424300201">
      <w:bodyDiv w:val="1"/>
      <w:marLeft w:val="0"/>
      <w:marRight w:val="0"/>
      <w:marTop w:val="0"/>
      <w:marBottom w:val="0"/>
      <w:divBdr>
        <w:top w:val="none" w:sz="0" w:space="0" w:color="auto"/>
        <w:left w:val="none" w:sz="0" w:space="0" w:color="auto"/>
        <w:bottom w:val="none" w:sz="0" w:space="0" w:color="auto"/>
        <w:right w:val="none" w:sz="0" w:space="0" w:color="auto"/>
      </w:divBdr>
    </w:div>
    <w:div w:id="1424454470">
      <w:bodyDiv w:val="1"/>
      <w:marLeft w:val="0"/>
      <w:marRight w:val="0"/>
      <w:marTop w:val="0"/>
      <w:marBottom w:val="0"/>
      <w:divBdr>
        <w:top w:val="none" w:sz="0" w:space="0" w:color="auto"/>
        <w:left w:val="none" w:sz="0" w:space="0" w:color="auto"/>
        <w:bottom w:val="none" w:sz="0" w:space="0" w:color="auto"/>
        <w:right w:val="none" w:sz="0" w:space="0" w:color="auto"/>
      </w:divBdr>
    </w:div>
    <w:div w:id="1425760006">
      <w:bodyDiv w:val="1"/>
      <w:marLeft w:val="0"/>
      <w:marRight w:val="0"/>
      <w:marTop w:val="0"/>
      <w:marBottom w:val="0"/>
      <w:divBdr>
        <w:top w:val="none" w:sz="0" w:space="0" w:color="auto"/>
        <w:left w:val="none" w:sz="0" w:space="0" w:color="auto"/>
        <w:bottom w:val="none" w:sz="0" w:space="0" w:color="auto"/>
        <w:right w:val="none" w:sz="0" w:space="0" w:color="auto"/>
      </w:divBdr>
    </w:div>
    <w:div w:id="1426422125">
      <w:bodyDiv w:val="1"/>
      <w:marLeft w:val="0"/>
      <w:marRight w:val="0"/>
      <w:marTop w:val="0"/>
      <w:marBottom w:val="0"/>
      <w:divBdr>
        <w:top w:val="none" w:sz="0" w:space="0" w:color="auto"/>
        <w:left w:val="none" w:sz="0" w:space="0" w:color="auto"/>
        <w:bottom w:val="none" w:sz="0" w:space="0" w:color="auto"/>
        <w:right w:val="none" w:sz="0" w:space="0" w:color="auto"/>
      </w:divBdr>
    </w:div>
    <w:div w:id="1426805675">
      <w:bodyDiv w:val="1"/>
      <w:marLeft w:val="0"/>
      <w:marRight w:val="0"/>
      <w:marTop w:val="0"/>
      <w:marBottom w:val="0"/>
      <w:divBdr>
        <w:top w:val="none" w:sz="0" w:space="0" w:color="auto"/>
        <w:left w:val="none" w:sz="0" w:space="0" w:color="auto"/>
        <w:bottom w:val="none" w:sz="0" w:space="0" w:color="auto"/>
        <w:right w:val="none" w:sz="0" w:space="0" w:color="auto"/>
      </w:divBdr>
    </w:div>
    <w:div w:id="1427530782">
      <w:bodyDiv w:val="1"/>
      <w:marLeft w:val="0"/>
      <w:marRight w:val="0"/>
      <w:marTop w:val="0"/>
      <w:marBottom w:val="0"/>
      <w:divBdr>
        <w:top w:val="none" w:sz="0" w:space="0" w:color="auto"/>
        <w:left w:val="none" w:sz="0" w:space="0" w:color="auto"/>
        <w:bottom w:val="none" w:sz="0" w:space="0" w:color="auto"/>
        <w:right w:val="none" w:sz="0" w:space="0" w:color="auto"/>
      </w:divBdr>
      <w:divsChild>
        <w:div w:id="1906065874">
          <w:marLeft w:val="480"/>
          <w:marRight w:val="0"/>
          <w:marTop w:val="0"/>
          <w:marBottom w:val="0"/>
          <w:divBdr>
            <w:top w:val="none" w:sz="0" w:space="0" w:color="auto"/>
            <w:left w:val="none" w:sz="0" w:space="0" w:color="auto"/>
            <w:bottom w:val="none" w:sz="0" w:space="0" w:color="auto"/>
            <w:right w:val="none" w:sz="0" w:space="0" w:color="auto"/>
          </w:divBdr>
        </w:div>
        <w:div w:id="1533957046">
          <w:marLeft w:val="480"/>
          <w:marRight w:val="0"/>
          <w:marTop w:val="0"/>
          <w:marBottom w:val="0"/>
          <w:divBdr>
            <w:top w:val="none" w:sz="0" w:space="0" w:color="auto"/>
            <w:left w:val="none" w:sz="0" w:space="0" w:color="auto"/>
            <w:bottom w:val="none" w:sz="0" w:space="0" w:color="auto"/>
            <w:right w:val="none" w:sz="0" w:space="0" w:color="auto"/>
          </w:divBdr>
        </w:div>
        <w:div w:id="7952503">
          <w:marLeft w:val="480"/>
          <w:marRight w:val="0"/>
          <w:marTop w:val="0"/>
          <w:marBottom w:val="0"/>
          <w:divBdr>
            <w:top w:val="none" w:sz="0" w:space="0" w:color="auto"/>
            <w:left w:val="none" w:sz="0" w:space="0" w:color="auto"/>
            <w:bottom w:val="none" w:sz="0" w:space="0" w:color="auto"/>
            <w:right w:val="none" w:sz="0" w:space="0" w:color="auto"/>
          </w:divBdr>
        </w:div>
        <w:div w:id="1013921790">
          <w:marLeft w:val="480"/>
          <w:marRight w:val="0"/>
          <w:marTop w:val="0"/>
          <w:marBottom w:val="0"/>
          <w:divBdr>
            <w:top w:val="none" w:sz="0" w:space="0" w:color="auto"/>
            <w:left w:val="none" w:sz="0" w:space="0" w:color="auto"/>
            <w:bottom w:val="none" w:sz="0" w:space="0" w:color="auto"/>
            <w:right w:val="none" w:sz="0" w:space="0" w:color="auto"/>
          </w:divBdr>
        </w:div>
        <w:div w:id="290593655">
          <w:marLeft w:val="480"/>
          <w:marRight w:val="0"/>
          <w:marTop w:val="0"/>
          <w:marBottom w:val="0"/>
          <w:divBdr>
            <w:top w:val="none" w:sz="0" w:space="0" w:color="auto"/>
            <w:left w:val="none" w:sz="0" w:space="0" w:color="auto"/>
            <w:bottom w:val="none" w:sz="0" w:space="0" w:color="auto"/>
            <w:right w:val="none" w:sz="0" w:space="0" w:color="auto"/>
          </w:divBdr>
        </w:div>
        <w:div w:id="1947686799">
          <w:marLeft w:val="480"/>
          <w:marRight w:val="0"/>
          <w:marTop w:val="0"/>
          <w:marBottom w:val="0"/>
          <w:divBdr>
            <w:top w:val="none" w:sz="0" w:space="0" w:color="auto"/>
            <w:left w:val="none" w:sz="0" w:space="0" w:color="auto"/>
            <w:bottom w:val="none" w:sz="0" w:space="0" w:color="auto"/>
            <w:right w:val="none" w:sz="0" w:space="0" w:color="auto"/>
          </w:divBdr>
        </w:div>
        <w:div w:id="1692680142">
          <w:marLeft w:val="480"/>
          <w:marRight w:val="0"/>
          <w:marTop w:val="0"/>
          <w:marBottom w:val="0"/>
          <w:divBdr>
            <w:top w:val="none" w:sz="0" w:space="0" w:color="auto"/>
            <w:left w:val="none" w:sz="0" w:space="0" w:color="auto"/>
            <w:bottom w:val="none" w:sz="0" w:space="0" w:color="auto"/>
            <w:right w:val="none" w:sz="0" w:space="0" w:color="auto"/>
          </w:divBdr>
        </w:div>
        <w:div w:id="784156581">
          <w:marLeft w:val="480"/>
          <w:marRight w:val="0"/>
          <w:marTop w:val="0"/>
          <w:marBottom w:val="0"/>
          <w:divBdr>
            <w:top w:val="none" w:sz="0" w:space="0" w:color="auto"/>
            <w:left w:val="none" w:sz="0" w:space="0" w:color="auto"/>
            <w:bottom w:val="none" w:sz="0" w:space="0" w:color="auto"/>
            <w:right w:val="none" w:sz="0" w:space="0" w:color="auto"/>
          </w:divBdr>
        </w:div>
        <w:div w:id="710109604">
          <w:marLeft w:val="480"/>
          <w:marRight w:val="0"/>
          <w:marTop w:val="0"/>
          <w:marBottom w:val="0"/>
          <w:divBdr>
            <w:top w:val="none" w:sz="0" w:space="0" w:color="auto"/>
            <w:left w:val="none" w:sz="0" w:space="0" w:color="auto"/>
            <w:bottom w:val="none" w:sz="0" w:space="0" w:color="auto"/>
            <w:right w:val="none" w:sz="0" w:space="0" w:color="auto"/>
          </w:divBdr>
        </w:div>
        <w:div w:id="526453136">
          <w:marLeft w:val="480"/>
          <w:marRight w:val="0"/>
          <w:marTop w:val="0"/>
          <w:marBottom w:val="0"/>
          <w:divBdr>
            <w:top w:val="none" w:sz="0" w:space="0" w:color="auto"/>
            <w:left w:val="none" w:sz="0" w:space="0" w:color="auto"/>
            <w:bottom w:val="none" w:sz="0" w:space="0" w:color="auto"/>
            <w:right w:val="none" w:sz="0" w:space="0" w:color="auto"/>
          </w:divBdr>
        </w:div>
        <w:div w:id="561914926">
          <w:marLeft w:val="480"/>
          <w:marRight w:val="0"/>
          <w:marTop w:val="0"/>
          <w:marBottom w:val="0"/>
          <w:divBdr>
            <w:top w:val="none" w:sz="0" w:space="0" w:color="auto"/>
            <w:left w:val="none" w:sz="0" w:space="0" w:color="auto"/>
            <w:bottom w:val="none" w:sz="0" w:space="0" w:color="auto"/>
            <w:right w:val="none" w:sz="0" w:space="0" w:color="auto"/>
          </w:divBdr>
        </w:div>
        <w:div w:id="1650474961">
          <w:marLeft w:val="480"/>
          <w:marRight w:val="0"/>
          <w:marTop w:val="0"/>
          <w:marBottom w:val="0"/>
          <w:divBdr>
            <w:top w:val="none" w:sz="0" w:space="0" w:color="auto"/>
            <w:left w:val="none" w:sz="0" w:space="0" w:color="auto"/>
            <w:bottom w:val="none" w:sz="0" w:space="0" w:color="auto"/>
            <w:right w:val="none" w:sz="0" w:space="0" w:color="auto"/>
          </w:divBdr>
        </w:div>
        <w:div w:id="871764720">
          <w:marLeft w:val="480"/>
          <w:marRight w:val="0"/>
          <w:marTop w:val="0"/>
          <w:marBottom w:val="0"/>
          <w:divBdr>
            <w:top w:val="none" w:sz="0" w:space="0" w:color="auto"/>
            <w:left w:val="none" w:sz="0" w:space="0" w:color="auto"/>
            <w:bottom w:val="none" w:sz="0" w:space="0" w:color="auto"/>
            <w:right w:val="none" w:sz="0" w:space="0" w:color="auto"/>
          </w:divBdr>
        </w:div>
        <w:div w:id="458887584">
          <w:marLeft w:val="480"/>
          <w:marRight w:val="0"/>
          <w:marTop w:val="0"/>
          <w:marBottom w:val="0"/>
          <w:divBdr>
            <w:top w:val="none" w:sz="0" w:space="0" w:color="auto"/>
            <w:left w:val="none" w:sz="0" w:space="0" w:color="auto"/>
            <w:bottom w:val="none" w:sz="0" w:space="0" w:color="auto"/>
            <w:right w:val="none" w:sz="0" w:space="0" w:color="auto"/>
          </w:divBdr>
        </w:div>
        <w:div w:id="732507634">
          <w:marLeft w:val="480"/>
          <w:marRight w:val="0"/>
          <w:marTop w:val="0"/>
          <w:marBottom w:val="0"/>
          <w:divBdr>
            <w:top w:val="none" w:sz="0" w:space="0" w:color="auto"/>
            <w:left w:val="none" w:sz="0" w:space="0" w:color="auto"/>
            <w:bottom w:val="none" w:sz="0" w:space="0" w:color="auto"/>
            <w:right w:val="none" w:sz="0" w:space="0" w:color="auto"/>
          </w:divBdr>
        </w:div>
        <w:div w:id="1460494153">
          <w:marLeft w:val="480"/>
          <w:marRight w:val="0"/>
          <w:marTop w:val="0"/>
          <w:marBottom w:val="0"/>
          <w:divBdr>
            <w:top w:val="none" w:sz="0" w:space="0" w:color="auto"/>
            <w:left w:val="none" w:sz="0" w:space="0" w:color="auto"/>
            <w:bottom w:val="none" w:sz="0" w:space="0" w:color="auto"/>
            <w:right w:val="none" w:sz="0" w:space="0" w:color="auto"/>
          </w:divBdr>
        </w:div>
        <w:div w:id="811942965">
          <w:marLeft w:val="480"/>
          <w:marRight w:val="0"/>
          <w:marTop w:val="0"/>
          <w:marBottom w:val="0"/>
          <w:divBdr>
            <w:top w:val="none" w:sz="0" w:space="0" w:color="auto"/>
            <w:left w:val="none" w:sz="0" w:space="0" w:color="auto"/>
            <w:bottom w:val="none" w:sz="0" w:space="0" w:color="auto"/>
            <w:right w:val="none" w:sz="0" w:space="0" w:color="auto"/>
          </w:divBdr>
        </w:div>
        <w:div w:id="2048331301">
          <w:marLeft w:val="480"/>
          <w:marRight w:val="0"/>
          <w:marTop w:val="0"/>
          <w:marBottom w:val="0"/>
          <w:divBdr>
            <w:top w:val="none" w:sz="0" w:space="0" w:color="auto"/>
            <w:left w:val="none" w:sz="0" w:space="0" w:color="auto"/>
            <w:bottom w:val="none" w:sz="0" w:space="0" w:color="auto"/>
            <w:right w:val="none" w:sz="0" w:space="0" w:color="auto"/>
          </w:divBdr>
        </w:div>
        <w:div w:id="1167399541">
          <w:marLeft w:val="480"/>
          <w:marRight w:val="0"/>
          <w:marTop w:val="0"/>
          <w:marBottom w:val="0"/>
          <w:divBdr>
            <w:top w:val="none" w:sz="0" w:space="0" w:color="auto"/>
            <w:left w:val="none" w:sz="0" w:space="0" w:color="auto"/>
            <w:bottom w:val="none" w:sz="0" w:space="0" w:color="auto"/>
            <w:right w:val="none" w:sz="0" w:space="0" w:color="auto"/>
          </w:divBdr>
        </w:div>
        <w:div w:id="1092579568">
          <w:marLeft w:val="480"/>
          <w:marRight w:val="0"/>
          <w:marTop w:val="0"/>
          <w:marBottom w:val="0"/>
          <w:divBdr>
            <w:top w:val="none" w:sz="0" w:space="0" w:color="auto"/>
            <w:left w:val="none" w:sz="0" w:space="0" w:color="auto"/>
            <w:bottom w:val="none" w:sz="0" w:space="0" w:color="auto"/>
            <w:right w:val="none" w:sz="0" w:space="0" w:color="auto"/>
          </w:divBdr>
        </w:div>
        <w:div w:id="148056982">
          <w:marLeft w:val="480"/>
          <w:marRight w:val="0"/>
          <w:marTop w:val="0"/>
          <w:marBottom w:val="0"/>
          <w:divBdr>
            <w:top w:val="none" w:sz="0" w:space="0" w:color="auto"/>
            <w:left w:val="none" w:sz="0" w:space="0" w:color="auto"/>
            <w:bottom w:val="none" w:sz="0" w:space="0" w:color="auto"/>
            <w:right w:val="none" w:sz="0" w:space="0" w:color="auto"/>
          </w:divBdr>
        </w:div>
        <w:div w:id="1033925465">
          <w:marLeft w:val="480"/>
          <w:marRight w:val="0"/>
          <w:marTop w:val="0"/>
          <w:marBottom w:val="0"/>
          <w:divBdr>
            <w:top w:val="none" w:sz="0" w:space="0" w:color="auto"/>
            <w:left w:val="none" w:sz="0" w:space="0" w:color="auto"/>
            <w:bottom w:val="none" w:sz="0" w:space="0" w:color="auto"/>
            <w:right w:val="none" w:sz="0" w:space="0" w:color="auto"/>
          </w:divBdr>
        </w:div>
        <w:div w:id="1102917736">
          <w:marLeft w:val="480"/>
          <w:marRight w:val="0"/>
          <w:marTop w:val="0"/>
          <w:marBottom w:val="0"/>
          <w:divBdr>
            <w:top w:val="none" w:sz="0" w:space="0" w:color="auto"/>
            <w:left w:val="none" w:sz="0" w:space="0" w:color="auto"/>
            <w:bottom w:val="none" w:sz="0" w:space="0" w:color="auto"/>
            <w:right w:val="none" w:sz="0" w:space="0" w:color="auto"/>
          </w:divBdr>
        </w:div>
        <w:div w:id="1232236389">
          <w:marLeft w:val="480"/>
          <w:marRight w:val="0"/>
          <w:marTop w:val="0"/>
          <w:marBottom w:val="0"/>
          <w:divBdr>
            <w:top w:val="none" w:sz="0" w:space="0" w:color="auto"/>
            <w:left w:val="none" w:sz="0" w:space="0" w:color="auto"/>
            <w:bottom w:val="none" w:sz="0" w:space="0" w:color="auto"/>
            <w:right w:val="none" w:sz="0" w:space="0" w:color="auto"/>
          </w:divBdr>
        </w:div>
        <w:div w:id="1754739381">
          <w:marLeft w:val="480"/>
          <w:marRight w:val="0"/>
          <w:marTop w:val="0"/>
          <w:marBottom w:val="0"/>
          <w:divBdr>
            <w:top w:val="none" w:sz="0" w:space="0" w:color="auto"/>
            <w:left w:val="none" w:sz="0" w:space="0" w:color="auto"/>
            <w:bottom w:val="none" w:sz="0" w:space="0" w:color="auto"/>
            <w:right w:val="none" w:sz="0" w:space="0" w:color="auto"/>
          </w:divBdr>
        </w:div>
        <w:div w:id="2048219131">
          <w:marLeft w:val="480"/>
          <w:marRight w:val="0"/>
          <w:marTop w:val="0"/>
          <w:marBottom w:val="0"/>
          <w:divBdr>
            <w:top w:val="none" w:sz="0" w:space="0" w:color="auto"/>
            <w:left w:val="none" w:sz="0" w:space="0" w:color="auto"/>
            <w:bottom w:val="none" w:sz="0" w:space="0" w:color="auto"/>
            <w:right w:val="none" w:sz="0" w:space="0" w:color="auto"/>
          </w:divBdr>
        </w:div>
        <w:div w:id="978343808">
          <w:marLeft w:val="480"/>
          <w:marRight w:val="0"/>
          <w:marTop w:val="0"/>
          <w:marBottom w:val="0"/>
          <w:divBdr>
            <w:top w:val="none" w:sz="0" w:space="0" w:color="auto"/>
            <w:left w:val="none" w:sz="0" w:space="0" w:color="auto"/>
            <w:bottom w:val="none" w:sz="0" w:space="0" w:color="auto"/>
            <w:right w:val="none" w:sz="0" w:space="0" w:color="auto"/>
          </w:divBdr>
        </w:div>
        <w:div w:id="1358047401">
          <w:marLeft w:val="480"/>
          <w:marRight w:val="0"/>
          <w:marTop w:val="0"/>
          <w:marBottom w:val="0"/>
          <w:divBdr>
            <w:top w:val="none" w:sz="0" w:space="0" w:color="auto"/>
            <w:left w:val="none" w:sz="0" w:space="0" w:color="auto"/>
            <w:bottom w:val="none" w:sz="0" w:space="0" w:color="auto"/>
            <w:right w:val="none" w:sz="0" w:space="0" w:color="auto"/>
          </w:divBdr>
        </w:div>
        <w:div w:id="1194464645">
          <w:marLeft w:val="480"/>
          <w:marRight w:val="0"/>
          <w:marTop w:val="0"/>
          <w:marBottom w:val="0"/>
          <w:divBdr>
            <w:top w:val="none" w:sz="0" w:space="0" w:color="auto"/>
            <w:left w:val="none" w:sz="0" w:space="0" w:color="auto"/>
            <w:bottom w:val="none" w:sz="0" w:space="0" w:color="auto"/>
            <w:right w:val="none" w:sz="0" w:space="0" w:color="auto"/>
          </w:divBdr>
        </w:div>
        <w:div w:id="137038191">
          <w:marLeft w:val="480"/>
          <w:marRight w:val="0"/>
          <w:marTop w:val="0"/>
          <w:marBottom w:val="0"/>
          <w:divBdr>
            <w:top w:val="none" w:sz="0" w:space="0" w:color="auto"/>
            <w:left w:val="none" w:sz="0" w:space="0" w:color="auto"/>
            <w:bottom w:val="none" w:sz="0" w:space="0" w:color="auto"/>
            <w:right w:val="none" w:sz="0" w:space="0" w:color="auto"/>
          </w:divBdr>
        </w:div>
        <w:div w:id="561328029">
          <w:marLeft w:val="480"/>
          <w:marRight w:val="0"/>
          <w:marTop w:val="0"/>
          <w:marBottom w:val="0"/>
          <w:divBdr>
            <w:top w:val="none" w:sz="0" w:space="0" w:color="auto"/>
            <w:left w:val="none" w:sz="0" w:space="0" w:color="auto"/>
            <w:bottom w:val="none" w:sz="0" w:space="0" w:color="auto"/>
            <w:right w:val="none" w:sz="0" w:space="0" w:color="auto"/>
          </w:divBdr>
        </w:div>
        <w:div w:id="89474529">
          <w:marLeft w:val="480"/>
          <w:marRight w:val="0"/>
          <w:marTop w:val="0"/>
          <w:marBottom w:val="0"/>
          <w:divBdr>
            <w:top w:val="none" w:sz="0" w:space="0" w:color="auto"/>
            <w:left w:val="none" w:sz="0" w:space="0" w:color="auto"/>
            <w:bottom w:val="none" w:sz="0" w:space="0" w:color="auto"/>
            <w:right w:val="none" w:sz="0" w:space="0" w:color="auto"/>
          </w:divBdr>
        </w:div>
        <w:div w:id="2092268449">
          <w:marLeft w:val="480"/>
          <w:marRight w:val="0"/>
          <w:marTop w:val="0"/>
          <w:marBottom w:val="0"/>
          <w:divBdr>
            <w:top w:val="none" w:sz="0" w:space="0" w:color="auto"/>
            <w:left w:val="none" w:sz="0" w:space="0" w:color="auto"/>
            <w:bottom w:val="none" w:sz="0" w:space="0" w:color="auto"/>
            <w:right w:val="none" w:sz="0" w:space="0" w:color="auto"/>
          </w:divBdr>
        </w:div>
        <w:div w:id="274874511">
          <w:marLeft w:val="480"/>
          <w:marRight w:val="0"/>
          <w:marTop w:val="0"/>
          <w:marBottom w:val="0"/>
          <w:divBdr>
            <w:top w:val="none" w:sz="0" w:space="0" w:color="auto"/>
            <w:left w:val="none" w:sz="0" w:space="0" w:color="auto"/>
            <w:bottom w:val="none" w:sz="0" w:space="0" w:color="auto"/>
            <w:right w:val="none" w:sz="0" w:space="0" w:color="auto"/>
          </w:divBdr>
        </w:div>
        <w:div w:id="686755603">
          <w:marLeft w:val="480"/>
          <w:marRight w:val="0"/>
          <w:marTop w:val="0"/>
          <w:marBottom w:val="0"/>
          <w:divBdr>
            <w:top w:val="none" w:sz="0" w:space="0" w:color="auto"/>
            <w:left w:val="none" w:sz="0" w:space="0" w:color="auto"/>
            <w:bottom w:val="none" w:sz="0" w:space="0" w:color="auto"/>
            <w:right w:val="none" w:sz="0" w:space="0" w:color="auto"/>
          </w:divBdr>
        </w:div>
        <w:div w:id="288821938">
          <w:marLeft w:val="480"/>
          <w:marRight w:val="0"/>
          <w:marTop w:val="0"/>
          <w:marBottom w:val="0"/>
          <w:divBdr>
            <w:top w:val="none" w:sz="0" w:space="0" w:color="auto"/>
            <w:left w:val="none" w:sz="0" w:space="0" w:color="auto"/>
            <w:bottom w:val="none" w:sz="0" w:space="0" w:color="auto"/>
            <w:right w:val="none" w:sz="0" w:space="0" w:color="auto"/>
          </w:divBdr>
        </w:div>
        <w:div w:id="65880450">
          <w:marLeft w:val="480"/>
          <w:marRight w:val="0"/>
          <w:marTop w:val="0"/>
          <w:marBottom w:val="0"/>
          <w:divBdr>
            <w:top w:val="none" w:sz="0" w:space="0" w:color="auto"/>
            <w:left w:val="none" w:sz="0" w:space="0" w:color="auto"/>
            <w:bottom w:val="none" w:sz="0" w:space="0" w:color="auto"/>
            <w:right w:val="none" w:sz="0" w:space="0" w:color="auto"/>
          </w:divBdr>
        </w:div>
        <w:div w:id="409234204">
          <w:marLeft w:val="480"/>
          <w:marRight w:val="0"/>
          <w:marTop w:val="0"/>
          <w:marBottom w:val="0"/>
          <w:divBdr>
            <w:top w:val="none" w:sz="0" w:space="0" w:color="auto"/>
            <w:left w:val="none" w:sz="0" w:space="0" w:color="auto"/>
            <w:bottom w:val="none" w:sz="0" w:space="0" w:color="auto"/>
            <w:right w:val="none" w:sz="0" w:space="0" w:color="auto"/>
          </w:divBdr>
        </w:div>
        <w:div w:id="2036039071">
          <w:marLeft w:val="480"/>
          <w:marRight w:val="0"/>
          <w:marTop w:val="0"/>
          <w:marBottom w:val="0"/>
          <w:divBdr>
            <w:top w:val="none" w:sz="0" w:space="0" w:color="auto"/>
            <w:left w:val="none" w:sz="0" w:space="0" w:color="auto"/>
            <w:bottom w:val="none" w:sz="0" w:space="0" w:color="auto"/>
            <w:right w:val="none" w:sz="0" w:space="0" w:color="auto"/>
          </w:divBdr>
        </w:div>
        <w:div w:id="1351569261">
          <w:marLeft w:val="480"/>
          <w:marRight w:val="0"/>
          <w:marTop w:val="0"/>
          <w:marBottom w:val="0"/>
          <w:divBdr>
            <w:top w:val="none" w:sz="0" w:space="0" w:color="auto"/>
            <w:left w:val="none" w:sz="0" w:space="0" w:color="auto"/>
            <w:bottom w:val="none" w:sz="0" w:space="0" w:color="auto"/>
            <w:right w:val="none" w:sz="0" w:space="0" w:color="auto"/>
          </w:divBdr>
        </w:div>
        <w:div w:id="153186001">
          <w:marLeft w:val="480"/>
          <w:marRight w:val="0"/>
          <w:marTop w:val="0"/>
          <w:marBottom w:val="0"/>
          <w:divBdr>
            <w:top w:val="none" w:sz="0" w:space="0" w:color="auto"/>
            <w:left w:val="none" w:sz="0" w:space="0" w:color="auto"/>
            <w:bottom w:val="none" w:sz="0" w:space="0" w:color="auto"/>
            <w:right w:val="none" w:sz="0" w:space="0" w:color="auto"/>
          </w:divBdr>
        </w:div>
        <w:div w:id="1973486481">
          <w:marLeft w:val="480"/>
          <w:marRight w:val="0"/>
          <w:marTop w:val="0"/>
          <w:marBottom w:val="0"/>
          <w:divBdr>
            <w:top w:val="none" w:sz="0" w:space="0" w:color="auto"/>
            <w:left w:val="none" w:sz="0" w:space="0" w:color="auto"/>
            <w:bottom w:val="none" w:sz="0" w:space="0" w:color="auto"/>
            <w:right w:val="none" w:sz="0" w:space="0" w:color="auto"/>
          </w:divBdr>
        </w:div>
        <w:div w:id="1674869466">
          <w:marLeft w:val="480"/>
          <w:marRight w:val="0"/>
          <w:marTop w:val="0"/>
          <w:marBottom w:val="0"/>
          <w:divBdr>
            <w:top w:val="none" w:sz="0" w:space="0" w:color="auto"/>
            <w:left w:val="none" w:sz="0" w:space="0" w:color="auto"/>
            <w:bottom w:val="none" w:sz="0" w:space="0" w:color="auto"/>
            <w:right w:val="none" w:sz="0" w:space="0" w:color="auto"/>
          </w:divBdr>
        </w:div>
        <w:div w:id="831142070">
          <w:marLeft w:val="480"/>
          <w:marRight w:val="0"/>
          <w:marTop w:val="0"/>
          <w:marBottom w:val="0"/>
          <w:divBdr>
            <w:top w:val="none" w:sz="0" w:space="0" w:color="auto"/>
            <w:left w:val="none" w:sz="0" w:space="0" w:color="auto"/>
            <w:bottom w:val="none" w:sz="0" w:space="0" w:color="auto"/>
            <w:right w:val="none" w:sz="0" w:space="0" w:color="auto"/>
          </w:divBdr>
        </w:div>
        <w:div w:id="547108869">
          <w:marLeft w:val="480"/>
          <w:marRight w:val="0"/>
          <w:marTop w:val="0"/>
          <w:marBottom w:val="0"/>
          <w:divBdr>
            <w:top w:val="none" w:sz="0" w:space="0" w:color="auto"/>
            <w:left w:val="none" w:sz="0" w:space="0" w:color="auto"/>
            <w:bottom w:val="none" w:sz="0" w:space="0" w:color="auto"/>
            <w:right w:val="none" w:sz="0" w:space="0" w:color="auto"/>
          </w:divBdr>
        </w:div>
        <w:div w:id="2011903863">
          <w:marLeft w:val="480"/>
          <w:marRight w:val="0"/>
          <w:marTop w:val="0"/>
          <w:marBottom w:val="0"/>
          <w:divBdr>
            <w:top w:val="none" w:sz="0" w:space="0" w:color="auto"/>
            <w:left w:val="none" w:sz="0" w:space="0" w:color="auto"/>
            <w:bottom w:val="none" w:sz="0" w:space="0" w:color="auto"/>
            <w:right w:val="none" w:sz="0" w:space="0" w:color="auto"/>
          </w:divBdr>
        </w:div>
        <w:div w:id="1586067945">
          <w:marLeft w:val="480"/>
          <w:marRight w:val="0"/>
          <w:marTop w:val="0"/>
          <w:marBottom w:val="0"/>
          <w:divBdr>
            <w:top w:val="none" w:sz="0" w:space="0" w:color="auto"/>
            <w:left w:val="none" w:sz="0" w:space="0" w:color="auto"/>
            <w:bottom w:val="none" w:sz="0" w:space="0" w:color="auto"/>
            <w:right w:val="none" w:sz="0" w:space="0" w:color="auto"/>
          </w:divBdr>
        </w:div>
        <w:div w:id="1074669265">
          <w:marLeft w:val="480"/>
          <w:marRight w:val="0"/>
          <w:marTop w:val="0"/>
          <w:marBottom w:val="0"/>
          <w:divBdr>
            <w:top w:val="none" w:sz="0" w:space="0" w:color="auto"/>
            <w:left w:val="none" w:sz="0" w:space="0" w:color="auto"/>
            <w:bottom w:val="none" w:sz="0" w:space="0" w:color="auto"/>
            <w:right w:val="none" w:sz="0" w:space="0" w:color="auto"/>
          </w:divBdr>
        </w:div>
        <w:div w:id="1243175091">
          <w:marLeft w:val="480"/>
          <w:marRight w:val="0"/>
          <w:marTop w:val="0"/>
          <w:marBottom w:val="0"/>
          <w:divBdr>
            <w:top w:val="none" w:sz="0" w:space="0" w:color="auto"/>
            <w:left w:val="none" w:sz="0" w:space="0" w:color="auto"/>
            <w:bottom w:val="none" w:sz="0" w:space="0" w:color="auto"/>
            <w:right w:val="none" w:sz="0" w:space="0" w:color="auto"/>
          </w:divBdr>
        </w:div>
        <w:div w:id="128785888">
          <w:marLeft w:val="480"/>
          <w:marRight w:val="0"/>
          <w:marTop w:val="0"/>
          <w:marBottom w:val="0"/>
          <w:divBdr>
            <w:top w:val="none" w:sz="0" w:space="0" w:color="auto"/>
            <w:left w:val="none" w:sz="0" w:space="0" w:color="auto"/>
            <w:bottom w:val="none" w:sz="0" w:space="0" w:color="auto"/>
            <w:right w:val="none" w:sz="0" w:space="0" w:color="auto"/>
          </w:divBdr>
        </w:div>
        <w:div w:id="1069039545">
          <w:marLeft w:val="480"/>
          <w:marRight w:val="0"/>
          <w:marTop w:val="0"/>
          <w:marBottom w:val="0"/>
          <w:divBdr>
            <w:top w:val="none" w:sz="0" w:space="0" w:color="auto"/>
            <w:left w:val="none" w:sz="0" w:space="0" w:color="auto"/>
            <w:bottom w:val="none" w:sz="0" w:space="0" w:color="auto"/>
            <w:right w:val="none" w:sz="0" w:space="0" w:color="auto"/>
          </w:divBdr>
        </w:div>
        <w:div w:id="1406566178">
          <w:marLeft w:val="480"/>
          <w:marRight w:val="0"/>
          <w:marTop w:val="0"/>
          <w:marBottom w:val="0"/>
          <w:divBdr>
            <w:top w:val="none" w:sz="0" w:space="0" w:color="auto"/>
            <w:left w:val="none" w:sz="0" w:space="0" w:color="auto"/>
            <w:bottom w:val="none" w:sz="0" w:space="0" w:color="auto"/>
            <w:right w:val="none" w:sz="0" w:space="0" w:color="auto"/>
          </w:divBdr>
        </w:div>
        <w:div w:id="702368517">
          <w:marLeft w:val="480"/>
          <w:marRight w:val="0"/>
          <w:marTop w:val="0"/>
          <w:marBottom w:val="0"/>
          <w:divBdr>
            <w:top w:val="none" w:sz="0" w:space="0" w:color="auto"/>
            <w:left w:val="none" w:sz="0" w:space="0" w:color="auto"/>
            <w:bottom w:val="none" w:sz="0" w:space="0" w:color="auto"/>
            <w:right w:val="none" w:sz="0" w:space="0" w:color="auto"/>
          </w:divBdr>
        </w:div>
        <w:div w:id="2099405163">
          <w:marLeft w:val="480"/>
          <w:marRight w:val="0"/>
          <w:marTop w:val="0"/>
          <w:marBottom w:val="0"/>
          <w:divBdr>
            <w:top w:val="none" w:sz="0" w:space="0" w:color="auto"/>
            <w:left w:val="none" w:sz="0" w:space="0" w:color="auto"/>
            <w:bottom w:val="none" w:sz="0" w:space="0" w:color="auto"/>
            <w:right w:val="none" w:sz="0" w:space="0" w:color="auto"/>
          </w:divBdr>
        </w:div>
        <w:div w:id="696392189">
          <w:marLeft w:val="480"/>
          <w:marRight w:val="0"/>
          <w:marTop w:val="0"/>
          <w:marBottom w:val="0"/>
          <w:divBdr>
            <w:top w:val="none" w:sz="0" w:space="0" w:color="auto"/>
            <w:left w:val="none" w:sz="0" w:space="0" w:color="auto"/>
            <w:bottom w:val="none" w:sz="0" w:space="0" w:color="auto"/>
            <w:right w:val="none" w:sz="0" w:space="0" w:color="auto"/>
          </w:divBdr>
        </w:div>
        <w:div w:id="2007588320">
          <w:marLeft w:val="480"/>
          <w:marRight w:val="0"/>
          <w:marTop w:val="0"/>
          <w:marBottom w:val="0"/>
          <w:divBdr>
            <w:top w:val="none" w:sz="0" w:space="0" w:color="auto"/>
            <w:left w:val="none" w:sz="0" w:space="0" w:color="auto"/>
            <w:bottom w:val="none" w:sz="0" w:space="0" w:color="auto"/>
            <w:right w:val="none" w:sz="0" w:space="0" w:color="auto"/>
          </w:divBdr>
        </w:div>
        <w:div w:id="563177942">
          <w:marLeft w:val="480"/>
          <w:marRight w:val="0"/>
          <w:marTop w:val="0"/>
          <w:marBottom w:val="0"/>
          <w:divBdr>
            <w:top w:val="none" w:sz="0" w:space="0" w:color="auto"/>
            <w:left w:val="none" w:sz="0" w:space="0" w:color="auto"/>
            <w:bottom w:val="none" w:sz="0" w:space="0" w:color="auto"/>
            <w:right w:val="none" w:sz="0" w:space="0" w:color="auto"/>
          </w:divBdr>
        </w:div>
        <w:div w:id="525410852">
          <w:marLeft w:val="480"/>
          <w:marRight w:val="0"/>
          <w:marTop w:val="0"/>
          <w:marBottom w:val="0"/>
          <w:divBdr>
            <w:top w:val="none" w:sz="0" w:space="0" w:color="auto"/>
            <w:left w:val="none" w:sz="0" w:space="0" w:color="auto"/>
            <w:bottom w:val="none" w:sz="0" w:space="0" w:color="auto"/>
            <w:right w:val="none" w:sz="0" w:space="0" w:color="auto"/>
          </w:divBdr>
        </w:div>
        <w:div w:id="84350653">
          <w:marLeft w:val="480"/>
          <w:marRight w:val="0"/>
          <w:marTop w:val="0"/>
          <w:marBottom w:val="0"/>
          <w:divBdr>
            <w:top w:val="none" w:sz="0" w:space="0" w:color="auto"/>
            <w:left w:val="none" w:sz="0" w:space="0" w:color="auto"/>
            <w:bottom w:val="none" w:sz="0" w:space="0" w:color="auto"/>
            <w:right w:val="none" w:sz="0" w:space="0" w:color="auto"/>
          </w:divBdr>
        </w:div>
        <w:div w:id="1148522015">
          <w:marLeft w:val="480"/>
          <w:marRight w:val="0"/>
          <w:marTop w:val="0"/>
          <w:marBottom w:val="0"/>
          <w:divBdr>
            <w:top w:val="none" w:sz="0" w:space="0" w:color="auto"/>
            <w:left w:val="none" w:sz="0" w:space="0" w:color="auto"/>
            <w:bottom w:val="none" w:sz="0" w:space="0" w:color="auto"/>
            <w:right w:val="none" w:sz="0" w:space="0" w:color="auto"/>
          </w:divBdr>
        </w:div>
        <w:div w:id="1856265279">
          <w:marLeft w:val="480"/>
          <w:marRight w:val="0"/>
          <w:marTop w:val="0"/>
          <w:marBottom w:val="0"/>
          <w:divBdr>
            <w:top w:val="none" w:sz="0" w:space="0" w:color="auto"/>
            <w:left w:val="none" w:sz="0" w:space="0" w:color="auto"/>
            <w:bottom w:val="none" w:sz="0" w:space="0" w:color="auto"/>
            <w:right w:val="none" w:sz="0" w:space="0" w:color="auto"/>
          </w:divBdr>
        </w:div>
        <w:div w:id="1269241910">
          <w:marLeft w:val="480"/>
          <w:marRight w:val="0"/>
          <w:marTop w:val="0"/>
          <w:marBottom w:val="0"/>
          <w:divBdr>
            <w:top w:val="none" w:sz="0" w:space="0" w:color="auto"/>
            <w:left w:val="none" w:sz="0" w:space="0" w:color="auto"/>
            <w:bottom w:val="none" w:sz="0" w:space="0" w:color="auto"/>
            <w:right w:val="none" w:sz="0" w:space="0" w:color="auto"/>
          </w:divBdr>
        </w:div>
        <w:div w:id="189728086">
          <w:marLeft w:val="480"/>
          <w:marRight w:val="0"/>
          <w:marTop w:val="0"/>
          <w:marBottom w:val="0"/>
          <w:divBdr>
            <w:top w:val="none" w:sz="0" w:space="0" w:color="auto"/>
            <w:left w:val="none" w:sz="0" w:space="0" w:color="auto"/>
            <w:bottom w:val="none" w:sz="0" w:space="0" w:color="auto"/>
            <w:right w:val="none" w:sz="0" w:space="0" w:color="auto"/>
          </w:divBdr>
        </w:div>
        <w:div w:id="1762798867">
          <w:marLeft w:val="480"/>
          <w:marRight w:val="0"/>
          <w:marTop w:val="0"/>
          <w:marBottom w:val="0"/>
          <w:divBdr>
            <w:top w:val="none" w:sz="0" w:space="0" w:color="auto"/>
            <w:left w:val="none" w:sz="0" w:space="0" w:color="auto"/>
            <w:bottom w:val="none" w:sz="0" w:space="0" w:color="auto"/>
            <w:right w:val="none" w:sz="0" w:space="0" w:color="auto"/>
          </w:divBdr>
        </w:div>
        <w:div w:id="1045250777">
          <w:marLeft w:val="480"/>
          <w:marRight w:val="0"/>
          <w:marTop w:val="0"/>
          <w:marBottom w:val="0"/>
          <w:divBdr>
            <w:top w:val="none" w:sz="0" w:space="0" w:color="auto"/>
            <w:left w:val="none" w:sz="0" w:space="0" w:color="auto"/>
            <w:bottom w:val="none" w:sz="0" w:space="0" w:color="auto"/>
            <w:right w:val="none" w:sz="0" w:space="0" w:color="auto"/>
          </w:divBdr>
        </w:div>
        <w:div w:id="1586644783">
          <w:marLeft w:val="480"/>
          <w:marRight w:val="0"/>
          <w:marTop w:val="0"/>
          <w:marBottom w:val="0"/>
          <w:divBdr>
            <w:top w:val="none" w:sz="0" w:space="0" w:color="auto"/>
            <w:left w:val="none" w:sz="0" w:space="0" w:color="auto"/>
            <w:bottom w:val="none" w:sz="0" w:space="0" w:color="auto"/>
            <w:right w:val="none" w:sz="0" w:space="0" w:color="auto"/>
          </w:divBdr>
        </w:div>
        <w:div w:id="494759086">
          <w:marLeft w:val="480"/>
          <w:marRight w:val="0"/>
          <w:marTop w:val="0"/>
          <w:marBottom w:val="0"/>
          <w:divBdr>
            <w:top w:val="none" w:sz="0" w:space="0" w:color="auto"/>
            <w:left w:val="none" w:sz="0" w:space="0" w:color="auto"/>
            <w:bottom w:val="none" w:sz="0" w:space="0" w:color="auto"/>
            <w:right w:val="none" w:sz="0" w:space="0" w:color="auto"/>
          </w:divBdr>
        </w:div>
        <w:div w:id="894436532">
          <w:marLeft w:val="480"/>
          <w:marRight w:val="0"/>
          <w:marTop w:val="0"/>
          <w:marBottom w:val="0"/>
          <w:divBdr>
            <w:top w:val="none" w:sz="0" w:space="0" w:color="auto"/>
            <w:left w:val="none" w:sz="0" w:space="0" w:color="auto"/>
            <w:bottom w:val="none" w:sz="0" w:space="0" w:color="auto"/>
            <w:right w:val="none" w:sz="0" w:space="0" w:color="auto"/>
          </w:divBdr>
        </w:div>
        <w:div w:id="843283069">
          <w:marLeft w:val="480"/>
          <w:marRight w:val="0"/>
          <w:marTop w:val="0"/>
          <w:marBottom w:val="0"/>
          <w:divBdr>
            <w:top w:val="none" w:sz="0" w:space="0" w:color="auto"/>
            <w:left w:val="none" w:sz="0" w:space="0" w:color="auto"/>
            <w:bottom w:val="none" w:sz="0" w:space="0" w:color="auto"/>
            <w:right w:val="none" w:sz="0" w:space="0" w:color="auto"/>
          </w:divBdr>
        </w:div>
        <w:div w:id="1294941691">
          <w:marLeft w:val="480"/>
          <w:marRight w:val="0"/>
          <w:marTop w:val="0"/>
          <w:marBottom w:val="0"/>
          <w:divBdr>
            <w:top w:val="none" w:sz="0" w:space="0" w:color="auto"/>
            <w:left w:val="none" w:sz="0" w:space="0" w:color="auto"/>
            <w:bottom w:val="none" w:sz="0" w:space="0" w:color="auto"/>
            <w:right w:val="none" w:sz="0" w:space="0" w:color="auto"/>
          </w:divBdr>
        </w:div>
        <w:div w:id="1415585999">
          <w:marLeft w:val="480"/>
          <w:marRight w:val="0"/>
          <w:marTop w:val="0"/>
          <w:marBottom w:val="0"/>
          <w:divBdr>
            <w:top w:val="none" w:sz="0" w:space="0" w:color="auto"/>
            <w:left w:val="none" w:sz="0" w:space="0" w:color="auto"/>
            <w:bottom w:val="none" w:sz="0" w:space="0" w:color="auto"/>
            <w:right w:val="none" w:sz="0" w:space="0" w:color="auto"/>
          </w:divBdr>
        </w:div>
        <w:div w:id="1699964896">
          <w:marLeft w:val="480"/>
          <w:marRight w:val="0"/>
          <w:marTop w:val="0"/>
          <w:marBottom w:val="0"/>
          <w:divBdr>
            <w:top w:val="none" w:sz="0" w:space="0" w:color="auto"/>
            <w:left w:val="none" w:sz="0" w:space="0" w:color="auto"/>
            <w:bottom w:val="none" w:sz="0" w:space="0" w:color="auto"/>
            <w:right w:val="none" w:sz="0" w:space="0" w:color="auto"/>
          </w:divBdr>
        </w:div>
        <w:div w:id="1400785944">
          <w:marLeft w:val="480"/>
          <w:marRight w:val="0"/>
          <w:marTop w:val="0"/>
          <w:marBottom w:val="0"/>
          <w:divBdr>
            <w:top w:val="none" w:sz="0" w:space="0" w:color="auto"/>
            <w:left w:val="none" w:sz="0" w:space="0" w:color="auto"/>
            <w:bottom w:val="none" w:sz="0" w:space="0" w:color="auto"/>
            <w:right w:val="none" w:sz="0" w:space="0" w:color="auto"/>
          </w:divBdr>
        </w:div>
        <w:div w:id="1346325728">
          <w:marLeft w:val="480"/>
          <w:marRight w:val="0"/>
          <w:marTop w:val="0"/>
          <w:marBottom w:val="0"/>
          <w:divBdr>
            <w:top w:val="none" w:sz="0" w:space="0" w:color="auto"/>
            <w:left w:val="none" w:sz="0" w:space="0" w:color="auto"/>
            <w:bottom w:val="none" w:sz="0" w:space="0" w:color="auto"/>
            <w:right w:val="none" w:sz="0" w:space="0" w:color="auto"/>
          </w:divBdr>
        </w:div>
        <w:div w:id="1048651896">
          <w:marLeft w:val="480"/>
          <w:marRight w:val="0"/>
          <w:marTop w:val="0"/>
          <w:marBottom w:val="0"/>
          <w:divBdr>
            <w:top w:val="none" w:sz="0" w:space="0" w:color="auto"/>
            <w:left w:val="none" w:sz="0" w:space="0" w:color="auto"/>
            <w:bottom w:val="none" w:sz="0" w:space="0" w:color="auto"/>
            <w:right w:val="none" w:sz="0" w:space="0" w:color="auto"/>
          </w:divBdr>
        </w:div>
        <w:div w:id="1481844657">
          <w:marLeft w:val="480"/>
          <w:marRight w:val="0"/>
          <w:marTop w:val="0"/>
          <w:marBottom w:val="0"/>
          <w:divBdr>
            <w:top w:val="none" w:sz="0" w:space="0" w:color="auto"/>
            <w:left w:val="none" w:sz="0" w:space="0" w:color="auto"/>
            <w:bottom w:val="none" w:sz="0" w:space="0" w:color="auto"/>
            <w:right w:val="none" w:sz="0" w:space="0" w:color="auto"/>
          </w:divBdr>
        </w:div>
        <w:div w:id="1625116417">
          <w:marLeft w:val="480"/>
          <w:marRight w:val="0"/>
          <w:marTop w:val="0"/>
          <w:marBottom w:val="0"/>
          <w:divBdr>
            <w:top w:val="none" w:sz="0" w:space="0" w:color="auto"/>
            <w:left w:val="none" w:sz="0" w:space="0" w:color="auto"/>
            <w:bottom w:val="none" w:sz="0" w:space="0" w:color="auto"/>
            <w:right w:val="none" w:sz="0" w:space="0" w:color="auto"/>
          </w:divBdr>
        </w:div>
        <w:div w:id="74909909">
          <w:marLeft w:val="480"/>
          <w:marRight w:val="0"/>
          <w:marTop w:val="0"/>
          <w:marBottom w:val="0"/>
          <w:divBdr>
            <w:top w:val="none" w:sz="0" w:space="0" w:color="auto"/>
            <w:left w:val="none" w:sz="0" w:space="0" w:color="auto"/>
            <w:bottom w:val="none" w:sz="0" w:space="0" w:color="auto"/>
            <w:right w:val="none" w:sz="0" w:space="0" w:color="auto"/>
          </w:divBdr>
        </w:div>
        <w:div w:id="269051219">
          <w:marLeft w:val="480"/>
          <w:marRight w:val="0"/>
          <w:marTop w:val="0"/>
          <w:marBottom w:val="0"/>
          <w:divBdr>
            <w:top w:val="none" w:sz="0" w:space="0" w:color="auto"/>
            <w:left w:val="none" w:sz="0" w:space="0" w:color="auto"/>
            <w:bottom w:val="none" w:sz="0" w:space="0" w:color="auto"/>
            <w:right w:val="none" w:sz="0" w:space="0" w:color="auto"/>
          </w:divBdr>
        </w:div>
        <w:div w:id="421536225">
          <w:marLeft w:val="480"/>
          <w:marRight w:val="0"/>
          <w:marTop w:val="0"/>
          <w:marBottom w:val="0"/>
          <w:divBdr>
            <w:top w:val="none" w:sz="0" w:space="0" w:color="auto"/>
            <w:left w:val="none" w:sz="0" w:space="0" w:color="auto"/>
            <w:bottom w:val="none" w:sz="0" w:space="0" w:color="auto"/>
            <w:right w:val="none" w:sz="0" w:space="0" w:color="auto"/>
          </w:divBdr>
        </w:div>
        <w:div w:id="1322273128">
          <w:marLeft w:val="480"/>
          <w:marRight w:val="0"/>
          <w:marTop w:val="0"/>
          <w:marBottom w:val="0"/>
          <w:divBdr>
            <w:top w:val="none" w:sz="0" w:space="0" w:color="auto"/>
            <w:left w:val="none" w:sz="0" w:space="0" w:color="auto"/>
            <w:bottom w:val="none" w:sz="0" w:space="0" w:color="auto"/>
            <w:right w:val="none" w:sz="0" w:space="0" w:color="auto"/>
          </w:divBdr>
        </w:div>
        <w:div w:id="168643218">
          <w:marLeft w:val="480"/>
          <w:marRight w:val="0"/>
          <w:marTop w:val="0"/>
          <w:marBottom w:val="0"/>
          <w:divBdr>
            <w:top w:val="none" w:sz="0" w:space="0" w:color="auto"/>
            <w:left w:val="none" w:sz="0" w:space="0" w:color="auto"/>
            <w:bottom w:val="none" w:sz="0" w:space="0" w:color="auto"/>
            <w:right w:val="none" w:sz="0" w:space="0" w:color="auto"/>
          </w:divBdr>
        </w:div>
        <w:div w:id="1660038085">
          <w:marLeft w:val="480"/>
          <w:marRight w:val="0"/>
          <w:marTop w:val="0"/>
          <w:marBottom w:val="0"/>
          <w:divBdr>
            <w:top w:val="none" w:sz="0" w:space="0" w:color="auto"/>
            <w:left w:val="none" w:sz="0" w:space="0" w:color="auto"/>
            <w:bottom w:val="none" w:sz="0" w:space="0" w:color="auto"/>
            <w:right w:val="none" w:sz="0" w:space="0" w:color="auto"/>
          </w:divBdr>
        </w:div>
        <w:div w:id="1682659595">
          <w:marLeft w:val="480"/>
          <w:marRight w:val="0"/>
          <w:marTop w:val="0"/>
          <w:marBottom w:val="0"/>
          <w:divBdr>
            <w:top w:val="none" w:sz="0" w:space="0" w:color="auto"/>
            <w:left w:val="none" w:sz="0" w:space="0" w:color="auto"/>
            <w:bottom w:val="none" w:sz="0" w:space="0" w:color="auto"/>
            <w:right w:val="none" w:sz="0" w:space="0" w:color="auto"/>
          </w:divBdr>
        </w:div>
        <w:div w:id="2083023523">
          <w:marLeft w:val="480"/>
          <w:marRight w:val="0"/>
          <w:marTop w:val="0"/>
          <w:marBottom w:val="0"/>
          <w:divBdr>
            <w:top w:val="none" w:sz="0" w:space="0" w:color="auto"/>
            <w:left w:val="none" w:sz="0" w:space="0" w:color="auto"/>
            <w:bottom w:val="none" w:sz="0" w:space="0" w:color="auto"/>
            <w:right w:val="none" w:sz="0" w:space="0" w:color="auto"/>
          </w:divBdr>
        </w:div>
        <w:div w:id="2011517453">
          <w:marLeft w:val="480"/>
          <w:marRight w:val="0"/>
          <w:marTop w:val="0"/>
          <w:marBottom w:val="0"/>
          <w:divBdr>
            <w:top w:val="none" w:sz="0" w:space="0" w:color="auto"/>
            <w:left w:val="none" w:sz="0" w:space="0" w:color="auto"/>
            <w:bottom w:val="none" w:sz="0" w:space="0" w:color="auto"/>
            <w:right w:val="none" w:sz="0" w:space="0" w:color="auto"/>
          </w:divBdr>
        </w:div>
        <w:div w:id="1759906239">
          <w:marLeft w:val="480"/>
          <w:marRight w:val="0"/>
          <w:marTop w:val="0"/>
          <w:marBottom w:val="0"/>
          <w:divBdr>
            <w:top w:val="none" w:sz="0" w:space="0" w:color="auto"/>
            <w:left w:val="none" w:sz="0" w:space="0" w:color="auto"/>
            <w:bottom w:val="none" w:sz="0" w:space="0" w:color="auto"/>
            <w:right w:val="none" w:sz="0" w:space="0" w:color="auto"/>
          </w:divBdr>
        </w:div>
        <w:div w:id="1575505205">
          <w:marLeft w:val="480"/>
          <w:marRight w:val="0"/>
          <w:marTop w:val="0"/>
          <w:marBottom w:val="0"/>
          <w:divBdr>
            <w:top w:val="none" w:sz="0" w:space="0" w:color="auto"/>
            <w:left w:val="none" w:sz="0" w:space="0" w:color="auto"/>
            <w:bottom w:val="none" w:sz="0" w:space="0" w:color="auto"/>
            <w:right w:val="none" w:sz="0" w:space="0" w:color="auto"/>
          </w:divBdr>
        </w:div>
        <w:div w:id="865217380">
          <w:marLeft w:val="480"/>
          <w:marRight w:val="0"/>
          <w:marTop w:val="0"/>
          <w:marBottom w:val="0"/>
          <w:divBdr>
            <w:top w:val="none" w:sz="0" w:space="0" w:color="auto"/>
            <w:left w:val="none" w:sz="0" w:space="0" w:color="auto"/>
            <w:bottom w:val="none" w:sz="0" w:space="0" w:color="auto"/>
            <w:right w:val="none" w:sz="0" w:space="0" w:color="auto"/>
          </w:divBdr>
        </w:div>
        <w:div w:id="1158964318">
          <w:marLeft w:val="480"/>
          <w:marRight w:val="0"/>
          <w:marTop w:val="0"/>
          <w:marBottom w:val="0"/>
          <w:divBdr>
            <w:top w:val="none" w:sz="0" w:space="0" w:color="auto"/>
            <w:left w:val="none" w:sz="0" w:space="0" w:color="auto"/>
            <w:bottom w:val="none" w:sz="0" w:space="0" w:color="auto"/>
            <w:right w:val="none" w:sz="0" w:space="0" w:color="auto"/>
          </w:divBdr>
        </w:div>
        <w:div w:id="1823765359">
          <w:marLeft w:val="480"/>
          <w:marRight w:val="0"/>
          <w:marTop w:val="0"/>
          <w:marBottom w:val="0"/>
          <w:divBdr>
            <w:top w:val="none" w:sz="0" w:space="0" w:color="auto"/>
            <w:left w:val="none" w:sz="0" w:space="0" w:color="auto"/>
            <w:bottom w:val="none" w:sz="0" w:space="0" w:color="auto"/>
            <w:right w:val="none" w:sz="0" w:space="0" w:color="auto"/>
          </w:divBdr>
        </w:div>
        <w:div w:id="774709839">
          <w:marLeft w:val="480"/>
          <w:marRight w:val="0"/>
          <w:marTop w:val="0"/>
          <w:marBottom w:val="0"/>
          <w:divBdr>
            <w:top w:val="none" w:sz="0" w:space="0" w:color="auto"/>
            <w:left w:val="none" w:sz="0" w:space="0" w:color="auto"/>
            <w:bottom w:val="none" w:sz="0" w:space="0" w:color="auto"/>
            <w:right w:val="none" w:sz="0" w:space="0" w:color="auto"/>
          </w:divBdr>
        </w:div>
        <w:div w:id="799305844">
          <w:marLeft w:val="480"/>
          <w:marRight w:val="0"/>
          <w:marTop w:val="0"/>
          <w:marBottom w:val="0"/>
          <w:divBdr>
            <w:top w:val="none" w:sz="0" w:space="0" w:color="auto"/>
            <w:left w:val="none" w:sz="0" w:space="0" w:color="auto"/>
            <w:bottom w:val="none" w:sz="0" w:space="0" w:color="auto"/>
            <w:right w:val="none" w:sz="0" w:space="0" w:color="auto"/>
          </w:divBdr>
        </w:div>
        <w:div w:id="1239629598">
          <w:marLeft w:val="480"/>
          <w:marRight w:val="0"/>
          <w:marTop w:val="0"/>
          <w:marBottom w:val="0"/>
          <w:divBdr>
            <w:top w:val="none" w:sz="0" w:space="0" w:color="auto"/>
            <w:left w:val="none" w:sz="0" w:space="0" w:color="auto"/>
            <w:bottom w:val="none" w:sz="0" w:space="0" w:color="auto"/>
            <w:right w:val="none" w:sz="0" w:space="0" w:color="auto"/>
          </w:divBdr>
        </w:div>
        <w:div w:id="1188255391">
          <w:marLeft w:val="480"/>
          <w:marRight w:val="0"/>
          <w:marTop w:val="0"/>
          <w:marBottom w:val="0"/>
          <w:divBdr>
            <w:top w:val="none" w:sz="0" w:space="0" w:color="auto"/>
            <w:left w:val="none" w:sz="0" w:space="0" w:color="auto"/>
            <w:bottom w:val="none" w:sz="0" w:space="0" w:color="auto"/>
            <w:right w:val="none" w:sz="0" w:space="0" w:color="auto"/>
          </w:divBdr>
        </w:div>
        <w:div w:id="1155101191">
          <w:marLeft w:val="480"/>
          <w:marRight w:val="0"/>
          <w:marTop w:val="0"/>
          <w:marBottom w:val="0"/>
          <w:divBdr>
            <w:top w:val="none" w:sz="0" w:space="0" w:color="auto"/>
            <w:left w:val="none" w:sz="0" w:space="0" w:color="auto"/>
            <w:bottom w:val="none" w:sz="0" w:space="0" w:color="auto"/>
            <w:right w:val="none" w:sz="0" w:space="0" w:color="auto"/>
          </w:divBdr>
        </w:div>
        <w:div w:id="1939289869">
          <w:marLeft w:val="480"/>
          <w:marRight w:val="0"/>
          <w:marTop w:val="0"/>
          <w:marBottom w:val="0"/>
          <w:divBdr>
            <w:top w:val="none" w:sz="0" w:space="0" w:color="auto"/>
            <w:left w:val="none" w:sz="0" w:space="0" w:color="auto"/>
            <w:bottom w:val="none" w:sz="0" w:space="0" w:color="auto"/>
            <w:right w:val="none" w:sz="0" w:space="0" w:color="auto"/>
          </w:divBdr>
        </w:div>
        <w:div w:id="1815096337">
          <w:marLeft w:val="480"/>
          <w:marRight w:val="0"/>
          <w:marTop w:val="0"/>
          <w:marBottom w:val="0"/>
          <w:divBdr>
            <w:top w:val="none" w:sz="0" w:space="0" w:color="auto"/>
            <w:left w:val="none" w:sz="0" w:space="0" w:color="auto"/>
            <w:bottom w:val="none" w:sz="0" w:space="0" w:color="auto"/>
            <w:right w:val="none" w:sz="0" w:space="0" w:color="auto"/>
          </w:divBdr>
        </w:div>
        <w:div w:id="1932547081">
          <w:marLeft w:val="480"/>
          <w:marRight w:val="0"/>
          <w:marTop w:val="0"/>
          <w:marBottom w:val="0"/>
          <w:divBdr>
            <w:top w:val="none" w:sz="0" w:space="0" w:color="auto"/>
            <w:left w:val="none" w:sz="0" w:space="0" w:color="auto"/>
            <w:bottom w:val="none" w:sz="0" w:space="0" w:color="auto"/>
            <w:right w:val="none" w:sz="0" w:space="0" w:color="auto"/>
          </w:divBdr>
        </w:div>
        <w:div w:id="1794136139">
          <w:marLeft w:val="480"/>
          <w:marRight w:val="0"/>
          <w:marTop w:val="0"/>
          <w:marBottom w:val="0"/>
          <w:divBdr>
            <w:top w:val="none" w:sz="0" w:space="0" w:color="auto"/>
            <w:left w:val="none" w:sz="0" w:space="0" w:color="auto"/>
            <w:bottom w:val="none" w:sz="0" w:space="0" w:color="auto"/>
            <w:right w:val="none" w:sz="0" w:space="0" w:color="auto"/>
          </w:divBdr>
        </w:div>
        <w:div w:id="798694313">
          <w:marLeft w:val="480"/>
          <w:marRight w:val="0"/>
          <w:marTop w:val="0"/>
          <w:marBottom w:val="0"/>
          <w:divBdr>
            <w:top w:val="none" w:sz="0" w:space="0" w:color="auto"/>
            <w:left w:val="none" w:sz="0" w:space="0" w:color="auto"/>
            <w:bottom w:val="none" w:sz="0" w:space="0" w:color="auto"/>
            <w:right w:val="none" w:sz="0" w:space="0" w:color="auto"/>
          </w:divBdr>
        </w:div>
        <w:div w:id="524440025">
          <w:marLeft w:val="480"/>
          <w:marRight w:val="0"/>
          <w:marTop w:val="0"/>
          <w:marBottom w:val="0"/>
          <w:divBdr>
            <w:top w:val="none" w:sz="0" w:space="0" w:color="auto"/>
            <w:left w:val="none" w:sz="0" w:space="0" w:color="auto"/>
            <w:bottom w:val="none" w:sz="0" w:space="0" w:color="auto"/>
            <w:right w:val="none" w:sz="0" w:space="0" w:color="auto"/>
          </w:divBdr>
        </w:div>
        <w:div w:id="295793423">
          <w:marLeft w:val="480"/>
          <w:marRight w:val="0"/>
          <w:marTop w:val="0"/>
          <w:marBottom w:val="0"/>
          <w:divBdr>
            <w:top w:val="none" w:sz="0" w:space="0" w:color="auto"/>
            <w:left w:val="none" w:sz="0" w:space="0" w:color="auto"/>
            <w:bottom w:val="none" w:sz="0" w:space="0" w:color="auto"/>
            <w:right w:val="none" w:sz="0" w:space="0" w:color="auto"/>
          </w:divBdr>
        </w:div>
        <w:div w:id="1183742815">
          <w:marLeft w:val="480"/>
          <w:marRight w:val="0"/>
          <w:marTop w:val="0"/>
          <w:marBottom w:val="0"/>
          <w:divBdr>
            <w:top w:val="none" w:sz="0" w:space="0" w:color="auto"/>
            <w:left w:val="none" w:sz="0" w:space="0" w:color="auto"/>
            <w:bottom w:val="none" w:sz="0" w:space="0" w:color="auto"/>
            <w:right w:val="none" w:sz="0" w:space="0" w:color="auto"/>
          </w:divBdr>
        </w:div>
        <w:div w:id="368913796">
          <w:marLeft w:val="480"/>
          <w:marRight w:val="0"/>
          <w:marTop w:val="0"/>
          <w:marBottom w:val="0"/>
          <w:divBdr>
            <w:top w:val="none" w:sz="0" w:space="0" w:color="auto"/>
            <w:left w:val="none" w:sz="0" w:space="0" w:color="auto"/>
            <w:bottom w:val="none" w:sz="0" w:space="0" w:color="auto"/>
            <w:right w:val="none" w:sz="0" w:space="0" w:color="auto"/>
          </w:divBdr>
        </w:div>
        <w:div w:id="992291463">
          <w:marLeft w:val="480"/>
          <w:marRight w:val="0"/>
          <w:marTop w:val="0"/>
          <w:marBottom w:val="0"/>
          <w:divBdr>
            <w:top w:val="none" w:sz="0" w:space="0" w:color="auto"/>
            <w:left w:val="none" w:sz="0" w:space="0" w:color="auto"/>
            <w:bottom w:val="none" w:sz="0" w:space="0" w:color="auto"/>
            <w:right w:val="none" w:sz="0" w:space="0" w:color="auto"/>
          </w:divBdr>
        </w:div>
        <w:div w:id="1725643815">
          <w:marLeft w:val="480"/>
          <w:marRight w:val="0"/>
          <w:marTop w:val="0"/>
          <w:marBottom w:val="0"/>
          <w:divBdr>
            <w:top w:val="none" w:sz="0" w:space="0" w:color="auto"/>
            <w:left w:val="none" w:sz="0" w:space="0" w:color="auto"/>
            <w:bottom w:val="none" w:sz="0" w:space="0" w:color="auto"/>
            <w:right w:val="none" w:sz="0" w:space="0" w:color="auto"/>
          </w:divBdr>
        </w:div>
        <w:div w:id="2011105160">
          <w:marLeft w:val="480"/>
          <w:marRight w:val="0"/>
          <w:marTop w:val="0"/>
          <w:marBottom w:val="0"/>
          <w:divBdr>
            <w:top w:val="none" w:sz="0" w:space="0" w:color="auto"/>
            <w:left w:val="none" w:sz="0" w:space="0" w:color="auto"/>
            <w:bottom w:val="none" w:sz="0" w:space="0" w:color="auto"/>
            <w:right w:val="none" w:sz="0" w:space="0" w:color="auto"/>
          </w:divBdr>
        </w:div>
        <w:div w:id="848105872">
          <w:marLeft w:val="480"/>
          <w:marRight w:val="0"/>
          <w:marTop w:val="0"/>
          <w:marBottom w:val="0"/>
          <w:divBdr>
            <w:top w:val="none" w:sz="0" w:space="0" w:color="auto"/>
            <w:left w:val="none" w:sz="0" w:space="0" w:color="auto"/>
            <w:bottom w:val="none" w:sz="0" w:space="0" w:color="auto"/>
            <w:right w:val="none" w:sz="0" w:space="0" w:color="auto"/>
          </w:divBdr>
        </w:div>
        <w:div w:id="1956860329">
          <w:marLeft w:val="480"/>
          <w:marRight w:val="0"/>
          <w:marTop w:val="0"/>
          <w:marBottom w:val="0"/>
          <w:divBdr>
            <w:top w:val="none" w:sz="0" w:space="0" w:color="auto"/>
            <w:left w:val="none" w:sz="0" w:space="0" w:color="auto"/>
            <w:bottom w:val="none" w:sz="0" w:space="0" w:color="auto"/>
            <w:right w:val="none" w:sz="0" w:space="0" w:color="auto"/>
          </w:divBdr>
        </w:div>
        <w:div w:id="997460905">
          <w:marLeft w:val="480"/>
          <w:marRight w:val="0"/>
          <w:marTop w:val="0"/>
          <w:marBottom w:val="0"/>
          <w:divBdr>
            <w:top w:val="none" w:sz="0" w:space="0" w:color="auto"/>
            <w:left w:val="none" w:sz="0" w:space="0" w:color="auto"/>
            <w:bottom w:val="none" w:sz="0" w:space="0" w:color="auto"/>
            <w:right w:val="none" w:sz="0" w:space="0" w:color="auto"/>
          </w:divBdr>
        </w:div>
        <w:div w:id="1535802143">
          <w:marLeft w:val="480"/>
          <w:marRight w:val="0"/>
          <w:marTop w:val="0"/>
          <w:marBottom w:val="0"/>
          <w:divBdr>
            <w:top w:val="none" w:sz="0" w:space="0" w:color="auto"/>
            <w:left w:val="none" w:sz="0" w:space="0" w:color="auto"/>
            <w:bottom w:val="none" w:sz="0" w:space="0" w:color="auto"/>
            <w:right w:val="none" w:sz="0" w:space="0" w:color="auto"/>
          </w:divBdr>
        </w:div>
        <w:div w:id="1783257602">
          <w:marLeft w:val="480"/>
          <w:marRight w:val="0"/>
          <w:marTop w:val="0"/>
          <w:marBottom w:val="0"/>
          <w:divBdr>
            <w:top w:val="none" w:sz="0" w:space="0" w:color="auto"/>
            <w:left w:val="none" w:sz="0" w:space="0" w:color="auto"/>
            <w:bottom w:val="none" w:sz="0" w:space="0" w:color="auto"/>
            <w:right w:val="none" w:sz="0" w:space="0" w:color="auto"/>
          </w:divBdr>
        </w:div>
        <w:div w:id="2053185486">
          <w:marLeft w:val="480"/>
          <w:marRight w:val="0"/>
          <w:marTop w:val="0"/>
          <w:marBottom w:val="0"/>
          <w:divBdr>
            <w:top w:val="none" w:sz="0" w:space="0" w:color="auto"/>
            <w:left w:val="none" w:sz="0" w:space="0" w:color="auto"/>
            <w:bottom w:val="none" w:sz="0" w:space="0" w:color="auto"/>
            <w:right w:val="none" w:sz="0" w:space="0" w:color="auto"/>
          </w:divBdr>
        </w:div>
        <w:div w:id="1509978685">
          <w:marLeft w:val="480"/>
          <w:marRight w:val="0"/>
          <w:marTop w:val="0"/>
          <w:marBottom w:val="0"/>
          <w:divBdr>
            <w:top w:val="none" w:sz="0" w:space="0" w:color="auto"/>
            <w:left w:val="none" w:sz="0" w:space="0" w:color="auto"/>
            <w:bottom w:val="none" w:sz="0" w:space="0" w:color="auto"/>
            <w:right w:val="none" w:sz="0" w:space="0" w:color="auto"/>
          </w:divBdr>
        </w:div>
        <w:div w:id="195699896">
          <w:marLeft w:val="480"/>
          <w:marRight w:val="0"/>
          <w:marTop w:val="0"/>
          <w:marBottom w:val="0"/>
          <w:divBdr>
            <w:top w:val="none" w:sz="0" w:space="0" w:color="auto"/>
            <w:left w:val="none" w:sz="0" w:space="0" w:color="auto"/>
            <w:bottom w:val="none" w:sz="0" w:space="0" w:color="auto"/>
            <w:right w:val="none" w:sz="0" w:space="0" w:color="auto"/>
          </w:divBdr>
        </w:div>
        <w:div w:id="2123499062">
          <w:marLeft w:val="480"/>
          <w:marRight w:val="0"/>
          <w:marTop w:val="0"/>
          <w:marBottom w:val="0"/>
          <w:divBdr>
            <w:top w:val="none" w:sz="0" w:space="0" w:color="auto"/>
            <w:left w:val="none" w:sz="0" w:space="0" w:color="auto"/>
            <w:bottom w:val="none" w:sz="0" w:space="0" w:color="auto"/>
            <w:right w:val="none" w:sz="0" w:space="0" w:color="auto"/>
          </w:divBdr>
        </w:div>
        <w:div w:id="1383552451">
          <w:marLeft w:val="480"/>
          <w:marRight w:val="0"/>
          <w:marTop w:val="0"/>
          <w:marBottom w:val="0"/>
          <w:divBdr>
            <w:top w:val="none" w:sz="0" w:space="0" w:color="auto"/>
            <w:left w:val="none" w:sz="0" w:space="0" w:color="auto"/>
            <w:bottom w:val="none" w:sz="0" w:space="0" w:color="auto"/>
            <w:right w:val="none" w:sz="0" w:space="0" w:color="auto"/>
          </w:divBdr>
        </w:div>
        <w:div w:id="785344893">
          <w:marLeft w:val="480"/>
          <w:marRight w:val="0"/>
          <w:marTop w:val="0"/>
          <w:marBottom w:val="0"/>
          <w:divBdr>
            <w:top w:val="none" w:sz="0" w:space="0" w:color="auto"/>
            <w:left w:val="none" w:sz="0" w:space="0" w:color="auto"/>
            <w:bottom w:val="none" w:sz="0" w:space="0" w:color="auto"/>
            <w:right w:val="none" w:sz="0" w:space="0" w:color="auto"/>
          </w:divBdr>
        </w:div>
        <w:div w:id="49618665">
          <w:marLeft w:val="480"/>
          <w:marRight w:val="0"/>
          <w:marTop w:val="0"/>
          <w:marBottom w:val="0"/>
          <w:divBdr>
            <w:top w:val="none" w:sz="0" w:space="0" w:color="auto"/>
            <w:left w:val="none" w:sz="0" w:space="0" w:color="auto"/>
            <w:bottom w:val="none" w:sz="0" w:space="0" w:color="auto"/>
            <w:right w:val="none" w:sz="0" w:space="0" w:color="auto"/>
          </w:divBdr>
        </w:div>
        <w:div w:id="1313677931">
          <w:marLeft w:val="480"/>
          <w:marRight w:val="0"/>
          <w:marTop w:val="0"/>
          <w:marBottom w:val="0"/>
          <w:divBdr>
            <w:top w:val="none" w:sz="0" w:space="0" w:color="auto"/>
            <w:left w:val="none" w:sz="0" w:space="0" w:color="auto"/>
            <w:bottom w:val="none" w:sz="0" w:space="0" w:color="auto"/>
            <w:right w:val="none" w:sz="0" w:space="0" w:color="auto"/>
          </w:divBdr>
        </w:div>
        <w:div w:id="1912500411">
          <w:marLeft w:val="480"/>
          <w:marRight w:val="0"/>
          <w:marTop w:val="0"/>
          <w:marBottom w:val="0"/>
          <w:divBdr>
            <w:top w:val="none" w:sz="0" w:space="0" w:color="auto"/>
            <w:left w:val="none" w:sz="0" w:space="0" w:color="auto"/>
            <w:bottom w:val="none" w:sz="0" w:space="0" w:color="auto"/>
            <w:right w:val="none" w:sz="0" w:space="0" w:color="auto"/>
          </w:divBdr>
        </w:div>
        <w:div w:id="1144470070">
          <w:marLeft w:val="480"/>
          <w:marRight w:val="0"/>
          <w:marTop w:val="0"/>
          <w:marBottom w:val="0"/>
          <w:divBdr>
            <w:top w:val="none" w:sz="0" w:space="0" w:color="auto"/>
            <w:left w:val="none" w:sz="0" w:space="0" w:color="auto"/>
            <w:bottom w:val="none" w:sz="0" w:space="0" w:color="auto"/>
            <w:right w:val="none" w:sz="0" w:space="0" w:color="auto"/>
          </w:divBdr>
        </w:div>
        <w:div w:id="1754815666">
          <w:marLeft w:val="480"/>
          <w:marRight w:val="0"/>
          <w:marTop w:val="0"/>
          <w:marBottom w:val="0"/>
          <w:divBdr>
            <w:top w:val="none" w:sz="0" w:space="0" w:color="auto"/>
            <w:left w:val="none" w:sz="0" w:space="0" w:color="auto"/>
            <w:bottom w:val="none" w:sz="0" w:space="0" w:color="auto"/>
            <w:right w:val="none" w:sz="0" w:space="0" w:color="auto"/>
          </w:divBdr>
        </w:div>
        <w:div w:id="1970620682">
          <w:marLeft w:val="480"/>
          <w:marRight w:val="0"/>
          <w:marTop w:val="0"/>
          <w:marBottom w:val="0"/>
          <w:divBdr>
            <w:top w:val="none" w:sz="0" w:space="0" w:color="auto"/>
            <w:left w:val="none" w:sz="0" w:space="0" w:color="auto"/>
            <w:bottom w:val="none" w:sz="0" w:space="0" w:color="auto"/>
            <w:right w:val="none" w:sz="0" w:space="0" w:color="auto"/>
          </w:divBdr>
        </w:div>
        <w:div w:id="820120004">
          <w:marLeft w:val="480"/>
          <w:marRight w:val="0"/>
          <w:marTop w:val="0"/>
          <w:marBottom w:val="0"/>
          <w:divBdr>
            <w:top w:val="none" w:sz="0" w:space="0" w:color="auto"/>
            <w:left w:val="none" w:sz="0" w:space="0" w:color="auto"/>
            <w:bottom w:val="none" w:sz="0" w:space="0" w:color="auto"/>
            <w:right w:val="none" w:sz="0" w:space="0" w:color="auto"/>
          </w:divBdr>
        </w:div>
        <w:div w:id="1052735672">
          <w:marLeft w:val="480"/>
          <w:marRight w:val="0"/>
          <w:marTop w:val="0"/>
          <w:marBottom w:val="0"/>
          <w:divBdr>
            <w:top w:val="none" w:sz="0" w:space="0" w:color="auto"/>
            <w:left w:val="none" w:sz="0" w:space="0" w:color="auto"/>
            <w:bottom w:val="none" w:sz="0" w:space="0" w:color="auto"/>
            <w:right w:val="none" w:sz="0" w:space="0" w:color="auto"/>
          </w:divBdr>
        </w:div>
        <w:div w:id="168521453">
          <w:marLeft w:val="480"/>
          <w:marRight w:val="0"/>
          <w:marTop w:val="0"/>
          <w:marBottom w:val="0"/>
          <w:divBdr>
            <w:top w:val="none" w:sz="0" w:space="0" w:color="auto"/>
            <w:left w:val="none" w:sz="0" w:space="0" w:color="auto"/>
            <w:bottom w:val="none" w:sz="0" w:space="0" w:color="auto"/>
            <w:right w:val="none" w:sz="0" w:space="0" w:color="auto"/>
          </w:divBdr>
        </w:div>
        <w:div w:id="280190504">
          <w:marLeft w:val="480"/>
          <w:marRight w:val="0"/>
          <w:marTop w:val="0"/>
          <w:marBottom w:val="0"/>
          <w:divBdr>
            <w:top w:val="none" w:sz="0" w:space="0" w:color="auto"/>
            <w:left w:val="none" w:sz="0" w:space="0" w:color="auto"/>
            <w:bottom w:val="none" w:sz="0" w:space="0" w:color="auto"/>
            <w:right w:val="none" w:sz="0" w:space="0" w:color="auto"/>
          </w:divBdr>
        </w:div>
        <w:div w:id="215971855">
          <w:marLeft w:val="480"/>
          <w:marRight w:val="0"/>
          <w:marTop w:val="0"/>
          <w:marBottom w:val="0"/>
          <w:divBdr>
            <w:top w:val="none" w:sz="0" w:space="0" w:color="auto"/>
            <w:left w:val="none" w:sz="0" w:space="0" w:color="auto"/>
            <w:bottom w:val="none" w:sz="0" w:space="0" w:color="auto"/>
            <w:right w:val="none" w:sz="0" w:space="0" w:color="auto"/>
          </w:divBdr>
        </w:div>
        <w:div w:id="858080224">
          <w:marLeft w:val="480"/>
          <w:marRight w:val="0"/>
          <w:marTop w:val="0"/>
          <w:marBottom w:val="0"/>
          <w:divBdr>
            <w:top w:val="none" w:sz="0" w:space="0" w:color="auto"/>
            <w:left w:val="none" w:sz="0" w:space="0" w:color="auto"/>
            <w:bottom w:val="none" w:sz="0" w:space="0" w:color="auto"/>
            <w:right w:val="none" w:sz="0" w:space="0" w:color="auto"/>
          </w:divBdr>
        </w:div>
        <w:div w:id="882517140">
          <w:marLeft w:val="480"/>
          <w:marRight w:val="0"/>
          <w:marTop w:val="0"/>
          <w:marBottom w:val="0"/>
          <w:divBdr>
            <w:top w:val="none" w:sz="0" w:space="0" w:color="auto"/>
            <w:left w:val="none" w:sz="0" w:space="0" w:color="auto"/>
            <w:bottom w:val="none" w:sz="0" w:space="0" w:color="auto"/>
            <w:right w:val="none" w:sz="0" w:space="0" w:color="auto"/>
          </w:divBdr>
        </w:div>
        <w:div w:id="410658313">
          <w:marLeft w:val="480"/>
          <w:marRight w:val="0"/>
          <w:marTop w:val="0"/>
          <w:marBottom w:val="0"/>
          <w:divBdr>
            <w:top w:val="none" w:sz="0" w:space="0" w:color="auto"/>
            <w:left w:val="none" w:sz="0" w:space="0" w:color="auto"/>
            <w:bottom w:val="none" w:sz="0" w:space="0" w:color="auto"/>
            <w:right w:val="none" w:sz="0" w:space="0" w:color="auto"/>
          </w:divBdr>
        </w:div>
        <w:div w:id="1700928531">
          <w:marLeft w:val="480"/>
          <w:marRight w:val="0"/>
          <w:marTop w:val="0"/>
          <w:marBottom w:val="0"/>
          <w:divBdr>
            <w:top w:val="none" w:sz="0" w:space="0" w:color="auto"/>
            <w:left w:val="none" w:sz="0" w:space="0" w:color="auto"/>
            <w:bottom w:val="none" w:sz="0" w:space="0" w:color="auto"/>
            <w:right w:val="none" w:sz="0" w:space="0" w:color="auto"/>
          </w:divBdr>
        </w:div>
        <w:div w:id="1703361484">
          <w:marLeft w:val="480"/>
          <w:marRight w:val="0"/>
          <w:marTop w:val="0"/>
          <w:marBottom w:val="0"/>
          <w:divBdr>
            <w:top w:val="none" w:sz="0" w:space="0" w:color="auto"/>
            <w:left w:val="none" w:sz="0" w:space="0" w:color="auto"/>
            <w:bottom w:val="none" w:sz="0" w:space="0" w:color="auto"/>
            <w:right w:val="none" w:sz="0" w:space="0" w:color="auto"/>
          </w:divBdr>
        </w:div>
        <w:div w:id="390547159">
          <w:marLeft w:val="480"/>
          <w:marRight w:val="0"/>
          <w:marTop w:val="0"/>
          <w:marBottom w:val="0"/>
          <w:divBdr>
            <w:top w:val="none" w:sz="0" w:space="0" w:color="auto"/>
            <w:left w:val="none" w:sz="0" w:space="0" w:color="auto"/>
            <w:bottom w:val="none" w:sz="0" w:space="0" w:color="auto"/>
            <w:right w:val="none" w:sz="0" w:space="0" w:color="auto"/>
          </w:divBdr>
        </w:div>
      </w:divsChild>
    </w:div>
    <w:div w:id="1428237790">
      <w:bodyDiv w:val="1"/>
      <w:marLeft w:val="0"/>
      <w:marRight w:val="0"/>
      <w:marTop w:val="0"/>
      <w:marBottom w:val="0"/>
      <w:divBdr>
        <w:top w:val="none" w:sz="0" w:space="0" w:color="auto"/>
        <w:left w:val="none" w:sz="0" w:space="0" w:color="auto"/>
        <w:bottom w:val="none" w:sz="0" w:space="0" w:color="auto"/>
        <w:right w:val="none" w:sz="0" w:space="0" w:color="auto"/>
      </w:divBdr>
    </w:div>
    <w:div w:id="1428503998">
      <w:bodyDiv w:val="1"/>
      <w:marLeft w:val="0"/>
      <w:marRight w:val="0"/>
      <w:marTop w:val="0"/>
      <w:marBottom w:val="0"/>
      <w:divBdr>
        <w:top w:val="none" w:sz="0" w:space="0" w:color="auto"/>
        <w:left w:val="none" w:sz="0" w:space="0" w:color="auto"/>
        <w:bottom w:val="none" w:sz="0" w:space="0" w:color="auto"/>
        <w:right w:val="none" w:sz="0" w:space="0" w:color="auto"/>
      </w:divBdr>
    </w:div>
    <w:div w:id="1428648491">
      <w:bodyDiv w:val="1"/>
      <w:marLeft w:val="0"/>
      <w:marRight w:val="0"/>
      <w:marTop w:val="0"/>
      <w:marBottom w:val="0"/>
      <w:divBdr>
        <w:top w:val="none" w:sz="0" w:space="0" w:color="auto"/>
        <w:left w:val="none" w:sz="0" w:space="0" w:color="auto"/>
        <w:bottom w:val="none" w:sz="0" w:space="0" w:color="auto"/>
        <w:right w:val="none" w:sz="0" w:space="0" w:color="auto"/>
      </w:divBdr>
    </w:div>
    <w:div w:id="1429304376">
      <w:bodyDiv w:val="1"/>
      <w:marLeft w:val="0"/>
      <w:marRight w:val="0"/>
      <w:marTop w:val="0"/>
      <w:marBottom w:val="0"/>
      <w:divBdr>
        <w:top w:val="none" w:sz="0" w:space="0" w:color="auto"/>
        <w:left w:val="none" w:sz="0" w:space="0" w:color="auto"/>
        <w:bottom w:val="none" w:sz="0" w:space="0" w:color="auto"/>
        <w:right w:val="none" w:sz="0" w:space="0" w:color="auto"/>
      </w:divBdr>
    </w:div>
    <w:div w:id="1429498129">
      <w:bodyDiv w:val="1"/>
      <w:marLeft w:val="0"/>
      <w:marRight w:val="0"/>
      <w:marTop w:val="0"/>
      <w:marBottom w:val="0"/>
      <w:divBdr>
        <w:top w:val="none" w:sz="0" w:space="0" w:color="auto"/>
        <w:left w:val="none" w:sz="0" w:space="0" w:color="auto"/>
        <w:bottom w:val="none" w:sz="0" w:space="0" w:color="auto"/>
        <w:right w:val="none" w:sz="0" w:space="0" w:color="auto"/>
      </w:divBdr>
    </w:div>
    <w:div w:id="1429764861">
      <w:bodyDiv w:val="1"/>
      <w:marLeft w:val="0"/>
      <w:marRight w:val="0"/>
      <w:marTop w:val="0"/>
      <w:marBottom w:val="0"/>
      <w:divBdr>
        <w:top w:val="none" w:sz="0" w:space="0" w:color="auto"/>
        <w:left w:val="none" w:sz="0" w:space="0" w:color="auto"/>
        <w:bottom w:val="none" w:sz="0" w:space="0" w:color="auto"/>
        <w:right w:val="none" w:sz="0" w:space="0" w:color="auto"/>
      </w:divBdr>
    </w:div>
    <w:div w:id="1432890760">
      <w:bodyDiv w:val="1"/>
      <w:marLeft w:val="0"/>
      <w:marRight w:val="0"/>
      <w:marTop w:val="0"/>
      <w:marBottom w:val="0"/>
      <w:divBdr>
        <w:top w:val="none" w:sz="0" w:space="0" w:color="auto"/>
        <w:left w:val="none" w:sz="0" w:space="0" w:color="auto"/>
        <w:bottom w:val="none" w:sz="0" w:space="0" w:color="auto"/>
        <w:right w:val="none" w:sz="0" w:space="0" w:color="auto"/>
      </w:divBdr>
    </w:div>
    <w:div w:id="1432973907">
      <w:bodyDiv w:val="1"/>
      <w:marLeft w:val="0"/>
      <w:marRight w:val="0"/>
      <w:marTop w:val="0"/>
      <w:marBottom w:val="0"/>
      <w:divBdr>
        <w:top w:val="none" w:sz="0" w:space="0" w:color="auto"/>
        <w:left w:val="none" w:sz="0" w:space="0" w:color="auto"/>
        <w:bottom w:val="none" w:sz="0" w:space="0" w:color="auto"/>
        <w:right w:val="none" w:sz="0" w:space="0" w:color="auto"/>
      </w:divBdr>
    </w:div>
    <w:div w:id="1433355303">
      <w:bodyDiv w:val="1"/>
      <w:marLeft w:val="0"/>
      <w:marRight w:val="0"/>
      <w:marTop w:val="0"/>
      <w:marBottom w:val="0"/>
      <w:divBdr>
        <w:top w:val="none" w:sz="0" w:space="0" w:color="auto"/>
        <w:left w:val="none" w:sz="0" w:space="0" w:color="auto"/>
        <w:bottom w:val="none" w:sz="0" w:space="0" w:color="auto"/>
        <w:right w:val="none" w:sz="0" w:space="0" w:color="auto"/>
      </w:divBdr>
    </w:div>
    <w:div w:id="1434519234">
      <w:bodyDiv w:val="1"/>
      <w:marLeft w:val="0"/>
      <w:marRight w:val="0"/>
      <w:marTop w:val="0"/>
      <w:marBottom w:val="0"/>
      <w:divBdr>
        <w:top w:val="none" w:sz="0" w:space="0" w:color="auto"/>
        <w:left w:val="none" w:sz="0" w:space="0" w:color="auto"/>
        <w:bottom w:val="none" w:sz="0" w:space="0" w:color="auto"/>
        <w:right w:val="none" w:sz="0" w:space="0" w:color="auto"/>
      </w:divBdr>
    </w:div>
    <w:div w:id="1434786986">
      <w:bodyDiv w:val="1"/>
      <w:marLeft w:val="0"/>
      <w:marRight w:val="0"/>
      <w:marTop w:val="0"/>
      <w:marBottom w:val="0"/>
      <w:divBdr>
        <w:top w:val="none" w:sz="0" w:space="0" w:color="auto"/>
        <w:left w:val="none" w:sz="0" w:space="0" w:color="auto"/>
        <w:bottom w:val="none" w:sz="0" w:space="0" w:color="auto"/>
        <w:right w:val="none" w:sz="0" w:space="0" w:color="auto"/>
      </w:divBdr>
    </w:div>
    <w:div w:id="1435058454">
      <w:bodyDiv w:val="1"/>
      <w:marLeft w:val="0"/>
      <w:marRight w:val="0"/>
      <w:marTop w:val="0"/>
      <w:marBottom w:val="0"/>
      <w:divBdr>
        <w:top w:val="none" w:sz="0" w:space="0" w:color="auto"/>
        <w:left w:val="none" w:sz="0" w:space="0" w:color="auto"/>
        <w:bottom w:val="none" w:sz="0" w:space="0" w:color="auto"/>
        <w:right w:val="none" w:sz="0" w:space="0" w:color="auto"/>
      </w:divBdr>
    </w:div>
    <w:div w:id="1435129024">
      <w:bodyDiv w:val="1"/>
      <w:marLeft w:val="0"/>
      <w:marRight w:val="0"/>
      <w:marTop w:val="0"/>
      <w:marBottom w:val="0"/>
      <w:divBdr>
        <w:top w:val="none" w:sz="0" w:space="0" w:color="auto"/>
        <w:left w:val="none" w:sz="0" w:space="0" w:color="auto"/>
        <w:bottom w:val="none" w:sz="0" w:space="0" w:color="auto"/>
        <w:right w:val="none" w:sz="0" w:space="0" w:color="auto"/>
      </w:divBdr>
    </w:div>
    <w:div w:id="1435130176">
      <w:bodyDiv w:val="1"/>
      <w:marLeft w:val="0"/>
      <w:marRight w:val="0"/>
      <w:marTop w:val="0"/>
      <w:marBottom w:val="0"/>
      <w:divBdr>
        <w:top w:val="none" w:sz="0" w:space="0" w:color="auto"/>
        <w:left w:val="none" w:sz="0" w:space="0" w:color="auto"/>
        <w:bottom w:val="none" w:sz="0" w:space="0" w:color="auto"/>
        <w:right w:val="none" w:sz="0" w:space="0" w:color="auto"/>
      </w:divBdr>
    </w:div>
    <w:div w:id="1435594041">
      <w:bodyDiv w:val="1"/>
      <w:marLeft w:val="0"/>
      <w:marRight w:val="0"/>
      <w:marTop w:val="0"/>
      <w:marBottom w:val="0"/>
      <w:divBdr>
        <w:top w:val="none" w:sz="0" w:space="0" w:color="auto"/>
        <w:left w:val="none" w:sz="0" w:space="0" w:color="auto"/>
        <w:bottom w:val="none" w:sz="0" w:space="0" w:color="auto"/>
        <w:right w:val="none" w:sz="0" w:space="0" w:color="auto"/>
      </w:divBdr>
    </w:div>
    <w:div w:id="1436826308">
      <w:bodyDiv w:val="1"/>
      <w:marLeft w:val="0"/>
      <w:marRight w:val="0"/>
      <w:marTop w:val="0"/>
      <w:marBottom w:val="0"/>
      <w:divBdr>
        <w:top w:val="none" w:sz="0" w:space="0" w:color="auto"/>
        <w:left w:val="none" w:sz="0" w:space="0" w:color="auto"/>
        <w:bottom w:val="none" w:sz="0" w:space="0" w:color="auto"/>
        <w:right w:val="none" w:sz="0" w:space="0" w:color="auto"/>
      </w:divBdr>
    </w:div>
    <w:div w:id="1437408879">
      <w:bodyDiv w:val="1"/>
      <w:marLeft w:val="0"/>
      <w:marRight w:val="0"/>
      <w:marTop w:val="0"/>
      <w:marBottom w:val="0"/>
      <w:divBdr>
        <w:top w:val="none" w:sz="0" w:space="0" w:color="auto"/>
        <w:left w:val="none" w:sz="0" w:space="0" w:color="auto"/>
        <w:bottom w:val="none" w:sz="0" w:space="0" w:color="auto"/>
        <w:right w:val="none" w:sz="0" w:space="0" w:color="auto"/>
      </w:divBdr>
    </w:div>
    <w:div w:id="1438720583">
      <w:bodyDiv w:val="1"/>
      <w:marLeft w:val="0"/>
      <w:marRight w:val="0"/>
      <w:marTop w:val="0"/>
      <w:marBottom w:val="0"/>
      <w:divBdr>
        <w:top w:val="none" w:sz="0" w:space="0" w:color="auto"/>
        <w:left w:val="none" w:sz="0" w:space="0" w:color="auto"/>
        <w:bottom w:val="none" w:sz="0" w:space="0" w:color="auto"/>
        <w:right w:val="none" w:sz="0" w:space="0" w:color="auto"/>
      </w:divBdr>
    </w:div>
    <w:div w:id="1438793799">
      <w:bodyDiv w:val="1"/>
      <w:marLeft w:val="0"/>
      <w:marRight w:val="0"/>
      <w:marTop w:val="0"/>
      <w:marBottom w:val="0"/>
      <w:divBdr>
        <w:top w:val="none" w:sz="0" w:space="0" w:color="auto"/>
        <w:left w:val="none" w:sz="0" w:space="0" w:color="auto"/>
        <w:bottom w:val="none" w:sz="0" w:space="0" w:color="auto"/>
        <w:right w:val="none" w:sz="0" w:space="0" w:color="auto"/>
      </w:divBdr>
    </w:div>
    <w:div w:id="1439251692">
      <w:bodyDiv w:val="1"/>
      <w:marLeft w:val="0"/>
      <w:marRight w:val="0"/>
      <w:marTop w:val="0"/>
      <w:marBottom w:val="0"/>
      <w:divBdr>
        <w:top w:val="none" w:sz="0" w:space="0" w:color="auto"/>
        <w:left w:val="none" w:sz="0" w:space="0" w:color="auto"/>
        <w:bottom w:val="none" w:sz="0" w:space="0" w:color="auto"/>
        <w:right w:val="none" w:sz="0" w:space="0" w:color="auto"/>
      </w:divBdr>
    </w:div>
    <w:div w:id="1440104607">
      <w:bodyDiv w:val="1"/>
      <w:marLeft w:val="0"/>
      <w:marRight w:val="0"/>
      <w:marTop w:val="0"/>
      <w:marBottom w:val="0"/>
      <w:divBdr>
        <w:top w:val="none" w:sz="0" w:space="0" w:color="auto"/>
        <w:left w:val="none" w:sz="0" w:space="0" w:color="auto"/>
        <w:bottom w:val="none" w:sz="0" w:space="0" w:color="auto"/>
        <w:right w:val="none" w:sz="0" w:space="0" w:color="auto"/>
      </w:divBdr>
    </w:div>
    <w:div w:id="1440878238">
      <w:bodyDiv w:val="1"/>
      <w:marLeft w:val="0"/>
      <w:marRight w:val="0"/>
      <w:marTop w:val="0"/>
      <w:marBottom w:val="0"/>
      <w:divBdr>
        <w:top w:val="none" w:sz="0" w:space="0" w:color="auto"/>
        <w:left w:val="none" w:sz="0" w:space="0" w:color="auto"/>
        <w:bottom w:val="none" w:sz="0" w:space="0" w:color="auto"/>
        <w:right w:val="none" w:sz="0" w:space="0" w:color="auto"/>
      </w:divBdr>
    </w:div>
    <w:div w:id="1441217222">
      <w:bodyDiv w:val="1"/>
      <w:marLeft w:val="0"/>
      <w:marRight w:val="0"/>
      <w:marTop w:val="0"/>
      <w:marBottom w:val="0"/>
      <w:divBdr>
        <w:top w:val="none" w:sz="0" w:space="0" w:color="auto"/>
        <w:left w:val="none" w:sz="0" w:space="0" w:color="auto"/>
        <w:bottom w:val="none" w:sz="0" w:space="0" w:color="auto"/>
        <w:right w:val="none" w:sz="0" w:space="0" w:color="auto"/>
      </w:divBdr>
    </w:div>
    <w:div w:id="1441998325">
      <w:bodyDiv w:val="1"/>
      <w:marLeft w:val="0"/>
      <w:marRight w:val="0"/>
      <w:marTop w:val="0"/>
      <w:marBottom w:val="0"/>
      <w:divBdr>
        <w:top w:val="none" w:sz="0" w:space="0" w:color="auto"/>
        <w:left w:val="none" w:sz="0" w:space="0" w:color="auto"/>
        <w:bottom w:val="none" w:sz="0" w:space="0" w:color="auto"/>
        <w:right w:val="none" w:sz="0" w:space="0" w:color="auto"/>
      </w:divBdr>
    </w:div>
    <w:div w:id="1443187138">
      <w:bodyDiv w:val="1"/>
      <w:marLeft w:val="0"/>
      <w:marRight w:val="0"/>
      <w:marTop w:val="0"/>
      <w:marBottom w:val="0"/>
      <w:divBdr>
        <w:top w:val="none" w:sz="0" w:space="0" w:color="auto"/>
        <w:left w:val="none" w:sz="0" w:space="0" w:color="auto"/>
        <w:bottom w:val="none" w:sz="0" w:space="0" w:color="auto"/>
        <w:right w:val="none" w:sz="0" w:space="0" w:color="auto"/>
      </w:divBdr>
    </w:div>
    <w:div w:id="1443693277">
      <w:bodyDiv w:val="1"/>
      <w:marLeft w:val="0"/>
      <w:marRight w:val="0"/>
      <w:marTop w:val="0"/>
      <w:marBottom w:val="0"/>
      <w:divBdr>
        <w:top w:val="none" w:sz="0" w:space="0" w:color="auto"/>
        <w:left w:val="none" w:sz="0" w:space="0" w:color="auto"/>
        <w:bottom w:val="none" w:sz="0" w:space="0" w:color="auto"/>
        <w:right w:val="none" w:sz="0" w:space="0" w:color="auto"/>
      </w:divBdr>
    </w:div>
    <w:div w:id="1443840086">
      <w:bodyDiv w:val="1"/>
      <w:marLeft w:val="0"/>
      <w:marRight w:val="0"/>
      <w:marTop w:val="0"/>
      <w:marBottom w:val="0"/>
      <w:divBdr>
        <w:top w:val="none" w:sz="0" w:space="0" w:color="auto"/>
        <w:left w:val="none" w:sz="0" w:space="0" w:color="auto"/>
        <w:bottom w:val="none" w:sz="0" w:space="0" w:color="auto"/>
        <w:right w:val="none" w:sz="0" w:space="0" w:color="auto"/>
      </w:divBdr>
    </w:div>
    <w:div w:id="1444379779">
      <w:bodyDiv w:val="1"/>
      <w:marLeft w:val="0"/>
      <w:marRight w:val="0"/>
      <w:marTop w:val="0"/>
      <w:marBottom w:val="0"/>
      <w:divBdr>
        <w:top w:val="none" w:sz="0" w:space="0" w:color="auto"/>
        <w:left w:val="none" w:sz="0" w:space="0" w:color="auto"/>
        <w:bottom w:val="none" w:sz="0" w:space="0" w:color="auto"/>
        <w:right w:val="none" w:sz="0" w:space="0" w:color="auto"/>
      </w:divBdr>
    </w:div>
    <w:div w:id="1444498655">
      <w:bodyDiv w:val="1"/>
      <w:marLeft w:val="0"/>
      <w:marRight w:val="0"/>
      <w:marTop w:val="0"/>
      <w:marBottom w:val="0"/>
      <w:divBdr>
        <w:top w:val="none" w:sz="0" w:space="0" w:color="auto"/>
        <w:left w:val="none" w:sz="0" w:space="0" w:color="auto"/>
        <w:bottom w:val="none" w:sz="0" w:space="0" w:color="auto"/>
        <w:right w:val="none" w:sz="0" w:space="0" w:color="auto"/>
      </w:divBdr>
    </w:div>
    <w:div w:id="1444810240">
      <w:bodyDiv w:val="1"/>
      <w:marLeft w:val="0"/>
      <w:marRight w:val="0"/>
      <w:marTop w:val="0"/>
      <w:marBottom w:val="0"/>
      <w:divBdr>
        <w:top w:val="none" w:sz="0" w:space="0" w:color="auto"/>
        <w:left w:val="none" w:sz="0" w:space="0" w:color="auto"/>
        <w:bottom w:val="none" w:sz="0" w:space="0" w:color="auto"/>
        <w:right w:val="none" w:sz="0" w:space="0" w:color="auto"/>
      </w:divBdr>
    </w:div>
    <w:div w:id="1445731307">
      <w:bodyDiv w:val="1"/>
      <w:marLeft w:val="0"/>
      <w:marRight w:val="0"/>
      <w:marTop w:val="0"/>
      <w:marBottom w:val="0"/>
      <w:divBdr>
        <w:top w:val="none" w:sz="0" w:space="0" w:color="auto"/>
        <w:left w:val="none" w:sz="0" w:space="0" w:color="auto"/>
        <w:bottom w:val="none" w:sz="0" w:space="0" w:color="auto"/>
        <w:right w:val="none" w:sz="0" w:space="0" w:color="auto"/>
      </w:divBdr>
    </w:div>
    <w:div w:id="1446189879">
      <w:bodyDiv w:val="1"/>
      <w:marLeft w:val="0"/>
      <w:marRight w:val="0"/>
      <w:marTop w:val="0"/>
      <w:marBottom w:val="0"/>
      <w:divBdr>
        <w:top w:val="none" w:sz="0" w:space="0" w:color="auto"/>
        <w:left w:val="none" w:sz="0" w:space="0" w:color="auto"/>
        <w:bottom w:val="none" w:sz="0" w:space="0" w:color="auto"/>
        <w:right w:val="none" w:sz="0" w:space="0" w:color="auto"/>
      </w:divBdr>
    </w:div>
    <w:div w:id="1446925406">
      <w:bodyDiv w:val="1"/>
      <w:marLeft w:val="0"/>
      <w:marRight w:val="0"/>
      <w:marTop w:val="0"/>
      <w:marBottom w:val="0"/>
      <w:divBdr>
        <w:top w:val="none" w:sz="0" w:space="0" w:color="auto"/>
        <w:left w:val="none" w:sz="0" w:space="0" w:color="auto"/>
        <w:bottom w:val="none" w:sz="0" w:space="0" w:color="auto"/>
        <w:right w:val="none" w:sz="0" w:space="0" w:color="auto"/>
      </w:divBdr>
    </w:div>
    <w:div w:id="1446927872">
      <w:bodyDiv w:val="1"/>
      <w:marLeft w:val="0"/>
      <w:marRight w:val="0"/>
      <w:marTop w:val="0"/>
      <w:marBottom w:val="0"/>
      <w:divBdr>
        <w:top w:val="none" w:sz="0" w:space="0" w:color="auto"/>
        <w:left w:val="none" w:sz="0" w:space="0" w:color="auto"/>
        <w:bottom w:val="none" w:sz="0" w:space="0" w:color="auto"/>
        <w:right w:val="none" w:sz="0" w:space="0" w:color="auto"/>
      </w:divBdr>
    </w:div>
    <w:div w:id="1447197123">
      <w:bodyDiv w:val="1"/>
      <w:marLeft w:val="0"/>
      <w:marRight w:val="0"/>
      <w:marTop w:val="0"/>
      <w:marBottom w:val="0"/>
      <w:divBdr>
        <w:top w:val="none" w:sz="0" w:space="0" w:color="auto"/>
        <w:left w:val="none" w:sz="0" w:space="0" w:color="auto"/>
        <w:bottom w:val="none" w:sz="0" w:space="0" w:color="auto"/>
        <w:right w:val="none" w:sz="0" w:space="0" w:color="auto"/>
      </w:divBdr>
    </w:div>
    <w:div w:id="1447500557">
      <w:bodyDiv w:val="1"/>
      <w:marLeft w:val="0"/>
      <w:marRight w:val="0"/>
      <w:marTop w:val="0"/>
      <w:marBottom w:val="0"/>
      <w:divBdr>
        <w:top w:val="none" w:sz="0" w:space="0" w:color="auto"/>
        <w:left w:val="none" w:sz="0" w:space="0" w:color="auto"/>
        <w:bottom w:val="none" w:sz="0" w:space="0" w:color="auto"/>
        <w:right w:val="none" w:sz="0" w:space="0" w:color="auto"/>
      </w:divBdr>
    </w:div>
    <w:div w:id="1447655680">
      <w:bodyDiv w:val="1"/>
      <w:marLeft w:val="0"/>
      <w:marRight w:val="0"/>
      <w:marTop w:val="0"/>
      <w:marBottom w:val="0"/>
      <w:divBdr>
        <w:top w:val="none" w:sz="0" w:space="0" w:color="auto"/>
        <w:left w:val="none" w:sz="0" w:space="0" w:color="auto"/>
        <w:bottom w:val="none" w:sz="0" w:space="0" w:color="auto"/>
        <w:right w:val="none" w:sz="0" w:space="0" w:color="auto"/>
      </w:divBdr>
    </w:div>
    <w:div w:id="1448547772">
      <w:bodyDiv w:val="1"/>
      <w:marLeft w:val="0"/>
      <w:marRight w:val="0"/>
      <w:marTop w:val="0"/>
      <w:marBottom w:val="0"/>
      <w:divBdr>
        <w:top w:val="none" w:sz="0" w:space="0" w:color="auto"/>
        <w:left w:val="none" w:sz="0" w:space="0" w:color="auto"/>
        <w:bottom w:val="none" w:sz="0" w:space="0" w:color="auto"/>
        <w:right w:val="none" w:sz="0" w:space="0" w:color="auto"/>
      </w:divBdr>
    </w:div>
    <w:div w:id="1448770556">
      <w:bodyDiv w:val="1"/>
      <w:marLeft w:val="0"/>
      <w:marRight w:val="0"/>
      <w:marTop w:val="0"/>
      <w:marBottom w:val="0"/>
      <w:divBdr>
        <w:top w:val="none" w:sz="0" w:space="0" w:color="auto"/>
        <w:left w:val="none" w:sz="0" w:space="0" w:color="auto"/>
        <w:bottom w:val="none" w:sz="0" w:space="0" w:color="auto"/>
        <w:right w:val="none" w:sz="0" w:space="0" w:color="auto"/>
      </w:divBdr>
    </w:div>
    <w:div w:id="1449079397">
      <w:bodyDiv w:val="1"/>
      <w:marLeft w:val="0"/>
      <w:marRight w:val="0"/>
      <w:marTop w:val="0"/>
      <w:marBottom w:val="0"/>
      <w:divBdr>
        <w:top w:val="none" w:sz="0" w:space="0" w:color="auto"/>
        <w:left w:val="none" w:sz="0" w:space="0" w:color="auto"/>
        <w:bottom w:val="none" w:sz="0" w:space="0" w:color="auto"/>
        <w:right w:val="none" w:sz="0" w:space="0" w:color="auto"/>
      </w:divBdr>
    </w:div>
    <w:div w:id="1449541233">
      <w:bodyDiv w:val="1"/>
      <w:marLeft w:val="0"/>
      <w:marRight w:val="0"/>
      <w:marTop w:val="0"/>
      <w:marBottom w:val="0"/>
      <w:divBdr>
        <w:top w:val="none" w:sz="0" w:space="0" w:color="auto"/>
        <w:left w:val="none" w:sz="0" w:space="0" w:color="auto"/>
        <w:bottom w:val="none" w:sz="0" w:space="0" w:color="auto"/>
        <w:right w:val="none" w:sz="0" w:space="0" w:color="auto"/>
      </w:divBdr>
    </w:div>
    <w:div w:id="1450127843">
      <w:bodyDiv w:val="1"/>
      <w:marLeft w:val="0"/>
      <w:marRight w:val="0"/>
      <w:marTop w:val="0"/>
      <w:marBottom w:val="0"/>
      <w:divBdr>
        <w:top w:val="none" w:sz="0" w:space="0" w:color="auto"/>
        <w:left w:val="none" w:sz="0" w:space="0" w:color="auto"/>
        <w:bottom w:val="none" w:sz="0" w:space="0" w:color="auto"/>
        <w:right w:val="none" w:sz="0" w:space="0" w:color="auto"/>
      </w:divBdr>
    </w:div>
    <w:div w:id="1450203379">
      <w:bodyDiv w:val="1"/>
      <w:marLeft w:val="0"/>
      <w:marRight w:val="0"/>
      <w:marTop w:val="0"/>
      <w:marBottom w:val="0"/>
      <w:divBdr>
        <w:top w:val="none" w:sz="0" w:space="0" w:color="auto"/>
        <w:left w:val="none" w:sz="0" w:space="0" w:color="auto"/>
        <w:bottom w:val="none" w:sz="0" w:space="0" w:color="auto"/>
        <w:right w:val="none" w:sz="0" w:space="0" w:color="auto"/>
      </w:divBdr>
    </w:div>
    <w:div w:id="1450855606">
      <w:bodyDiv w:val="1"/>
      <w:marLeft w:val="0"/>
      <w:marRight w:val="0"/>
      <w:marTop w:val="0"/>
      <w:marBottom w:val="0"/>
      <w:divBdr>
        <w:top w:val="none" w:sz="0" w:space="0" w:color="auto"/>
        <w:left w:val="none" w:sz="0" w:space="0" w:color="auto"/>
        <w:bottom w:val="none" w:sz="0" w:space="0" w:color="auto"/>
        <w:right w:val="none" w:sz="0" w:space="0" w:color="auto"/>
      </w:divBdr>
    </w:div>
    <w:div w:id="1451704540">
      <w:bodyDiv w:val="1"/>
      <w:marLeft w:val="0"/>
      <w:marRight w:val="0"/>
      <w:marTop w:val="0"/>
      <w:marBottom w:val="0"/>
      <w:divBdr>
        <w:top w:val="none" w:sz="0" w:space="0" w:color="auto"/>
        <w:left w:val="none" w:sz="0" w:space="0" w:color="auto"/>
        <w:bottom w:val="none" w:sz="0" w:space="0" w:color="auto"/>
        <w:right w:val="none" w:sz="0" w:space="0" w:color="auto"/>
      </w:divBdr>
    </w:div>
    <w:div w:id="1452019701">
      <w:bodyDiv w:val="1"/>
      <w:marLeft w:val="0"/>
      <w:marRight w:val="0"/>
      <w:marTop w:val="0"/>
      <w:marBottom w:val="0"/>
      <w:divBdr>
        <w:top w:val="none" w:sz="0" w:space="0" w:color="auto"/>
        <w:left w:val="none" w:sz="0" w:space="0" w:color="auto"/>
        <w:bottom w:val="none" w:sz="0" w:space="0" w:color="auto"/>
        <w:right w:val="none" w:sz="0" w:space="0" w:color="auto"/>
      </w:divBdr>
    </w:div>
    <w:div w:id="1453088026">
      <w:bodyDiv w:val="1"/>
      <w:marLeft w:val="0"/>
      <w:marRight w:val="0"/>
      <w:marTop w:val="0"/>
      <w:marBottom w:val="0"/>
      <w:divBdr>
        <w:top w:val="none" w:sz="0" w:space="0" w:color="auto"/>
        <w:left w:val="none" w:sz="0" w:space="0" w:color="auto"/>
        <w:bottom w:val="none" w:sz="0" w:space="0" w:color="auto"/>
        <w:right w:val="none" w:sz="0" w:space="0" w:color="auto"/>
      </w:divBdr>
    </w:div>
    <w:div w:id="1453788859">
      <w:bodyDiv w:val="1"/>
      <w:marLeft w:val="0"/>
      <w:marRight w:val="0"/>
      <w:marTop w:val="0"/>
      <w:marBottom w:val="0"/>
      <w:divBdr>
        <w:top w:val="none" w:sz="0" w:space="0" w:color="auto"/>
        <w:left w:val="none" w:sz="0" w:space="0" w:color="auto"/>
        <w:bottom w:val="none" w:sz="0" w:space="0" w:color="auto"/>
        <w:right w:val="none" w:sz="0" w:space="0" w:color="auto"/>
      </w:divBdr>
    </w:div>
    <w:div w:id="1454132803">
      <w:bodyDiv w:val="1"/>
      <w:marLeft w:val="0"/>
      <w:marRight w:val="0"/>
      <w:marTop w:val="0"/>
      <w:marBottom w:val="0"/>
      <w:divBdr>
        <w:top w:val="none" w:sz="0" w:space="0" w:color="auto"/>
        <w:left w:val="none" w:sz="0" w:space="0" w:color="auto"/>
        <w:bottom w:val="none" w:sz="0" w:space="0" w:color="auto"/>
        <w:right w:val="none" w:sz="0" w:space="0" w:color="auto"/>
      </w:divBdr>
    </w:div>
    <w:div w:id="1454399155">
      <w:bodyDiv w:val="1"/>
      <w:marLeft w:val="0"/>
      <w:marRight w:val="0"/>
      <w:marTop w:val="0"/>
      <w:marBottom w:val="0"/>
      <w:divBdr>
        <w:top w:val="none" w:sz="0" w:space="0" w:color="auto"/>
        <w:left w:val="none" w:sz="0" w:space="0" w:color="auto"/>
        <w:bottom w:val="none" w:sz="0" w:space="0" w:color="auto"/>
        <w:right w:val="none" w:sz="0" w:space="0" w:color="auto"/>
      </w:divBdr>
    </w:div>
    <w:div w:id="1455369702">
      <w:bodyDiv w:val="1"/>
      <w:marLeft w:val="0"/>
      <w:marRight w:val="0"/>
      <w:marTop w:val="0"/>
      <w:marBottom w:val="0"/>
      <w:divBdr>
        <w:top w:val="none" w:sz="0" w:space="0" w:color="auto"/>
        <w:left w:val="none" w:sz="0" w:space="0" w:color="auto"/>
        <w:bottom w:val="none" w:sz="0" w:space="0" w:color="auto"/>
        <w:right w:val="none" w:sz="0" w:space="0" w:color="auto"/>
      </w:divBdr>
    </w:div>
    <w:div w:id="1455556440">
      <w:bodyDiv w:val="1"/>
      <w:marLeft w:val="0"/>
      <w:marRight w:val="0"/>
      <w:marTop w:val="0"/>
      <w:marBottom w:val="0"/>
      <w:divBdr>
        <w:top w:val="none" w:sz="0" w:space="0" w:color="auto"/>
        <w:left w:val="none" w:sz="0" w:space="0" w:color="auto"/>
        <w:bottom w:val="none" w:sz="0" w:space="0" w:color="auto"/>
        <w:right w:val="none" w:sz="0" w:space="0" w:color="auto"/>
      </w:divBdr>
    </w:div>
    <w:div w:id="1456754776">
      <w:bodyDiv w:val="1"/>
      <w:marLeft w:val="0"/>
      <w:marRight w:val="0"/>
      <w:marTop w:val="0"/>
      <w:marBottom w:val="0"/>
      <w:divBdr>
        <w:top w:val="none" w:sz="0" w:space="0" w:color="auto"/>
        <w:left w:val="none" w:sz="0" w:space="0" w:color="auto"/>
        <w:bottom w:val="none" w:sz="0" w:space="0" w:color="auto"/>
        <w:right w:val="none" w:sz="0" w:space="0" w:color="auto"/>
      </w:divBdr>
    </w:div>
    <w:div w:id="1456755104">
      <w:bodyDiv w:val="1"/>
      <w:marLeft w:val="0"/>
      <w:marRight w:val="0"/>
      <w:marTop w:val="0"/>
      <w:marBottom w:val="0"/>
      <w:divBdr>
        <w:top w:val="none" w:sz="0" w:space="0" w:color="auto"/>
        <w:left w:val="none" w:sz="0" w:space="0" w:color="auto"/>
        <w:bottom w:val="none" w:sz="0" w:space="0" w:color="auto"/>
        <w:right w:val="none" w:sz="0" w:space="0" w:color="auto"/>
      </w:divBdr>
    </w:div>
    <w:div w:id="1457407356">
      <w:bodyDiv w:val="1"/>
      <w:marLeft w:val="0"/>
      <w:marRight w:val="0"/>
      <w:marTop w:val="0"/>
      <w:marBottom w:val="0"/>
      <w:divBdr>
        <w:top w:val="none" w:sz="0" w:space="0" w:color="auto"/>
        <w:left w:val="none" w:sz="0" w:space="0" w:color="auto"/>
        <w:bottom w:val="none" w:sz="0" w:space="0" w:color="auto"/>
        <w:right w:val="none" w:sz="0" w:space="0" w:color="auto"/>
      </w:divBdr>
    </w:div>
    <w:div w:id="1457749881">
      <w:bodyDiv w:val="1"/>
      <w:marLeft w:val="0"/>
      <w:marRight w:val="0"/>
      <w:marTop w:val="0"/>
      <w:marBottom w:val="0"/>
      <w:divBdr>
        <w:top w:val="none" w:sz="0" w:space="0" w:color="auto"/>
        <w:left w:val="none" w:sz="0" w:space="0" w:color="auto"/>
        <w:bottom w:val="none" w:sz="0" w:space="0" w:color="auto"/>
        <w:right w:val="none" w:sz="0" w:space="0" w:color="auto"/>
      </w:divBdr>
    </w:div>
    <w:div w:id="1458182966">
      <w:bodyDiv w:val="1"/>
      <w:marLeft w:val="0"/>
      <w:marRight w:val="0"/>
      <w:marTop w:val="0"/>
      <w:marBottom w:val="0"/>
      <w:divBdr>
        <w:top w:val="none" w:sz="0" w:space="0" w:color="auto"/>
        <w:left w:val="none" w:sz="0" w:space="0" w:color="auto"/>
        <w:bottom w:val="none" w:sz="0" w:space="0" w:color="auto"/>
        <w:right w:val="none" w:sz="0" w:space="0" w:color="auto"/>
      </w:divBdr>
    </w:div>
    <w:div w:id="1458257651">
      <w:bodyDiv w:val="1"/>
      <w:marLeft w:val="0"/>
      <w:marRight w:val="0"/>
      <w:marTop w:val="0"/>
      <w:marBottom w:val="0"/>
      <w:divBdr>
        <w:top w:val="none" w:sz="0" w:space="0" w:color="auto"/>
        <w:left w:val="none" w:sz="0" w:space="0" w:color="auto"/>
        <w:bottom w:val="none" w:sz="0" w:space="0" w:color="auto"/>
        <w:right w:val="none" w:sz="0" w:space="0" w:color="auto"/>
      </w:divBdr>
    </w:div>
    <w:div w:id="1458445982">
      <w:bodyDiv w:val="1"/>
      <w:marLeft w:val="0"/>
      <w:marRight w:val="0"/>
      <w:marTop w:val="0"/>
      <w:marBottom w:val="0"/>
      <w:divBdr>
        <w:top w:val="none" w:sz="0" w:space="0" w:color="auto"/>
        <w:left w:val="none" w:sz="0" w:space="0" w:color="auto"/>
        <w:bottom w:val="none" w:sz="0" w:space="0" w:color="auto"/>
        <w:right w:val="none" w:sz="0" w:space="0" w:color="auto"/>
      </w:divBdr>
    </w:div>
    <w:div w:id="1458447056">
      <w:bodyDiv w:val="1"/>
      <w:marLeft w:val="0"/>
      <w:marRight w:val="0"/>
      <w:marTop w:val="0"/>
      <w:marBottom w:val="0"/>
      <w:divBdr>
        <w:top w:val="none" w:sz="0" w:space="0" w:color="auto"/>
        <w:left w:val="none" w:sz="0" w:space="0" w:color="auto"/>
        <w:bottom w:val="none" w:sz="0" w:space="0" w:color="auto"/>
        <w:right w:val="none" w:sz="0" w:space="0" w:color="auto"/>
      </w:divBdr>
    </w:div>
    <w:div w:id="1458716998">
      <w:bodyDiv w:val="1"/>
      <w:marLeft w:val="0"/>
      <w:marRight w:val="0"/>
      <w:marTop w:val="0"/>
      <w:marBottom w:val="0"/>
      <w:divBdr>
        <w:top w:val="none" w:sz="0" w:space="0" w:color="auto"/>
        <w:left w:val="none" w:sz="0" w:space="0" w:color="auto"/>
        <w:bottom w:val="none" w:sz="0" w:space="0" w:color="auto"/>
        <w:right w:val="none" w:sz="0" w:space="0" w:color="auto"/>
      </w:divBdr>
    </w:div>
    <w:div w:id="1458986419">
      <w:bodyDiv w:val="1"/>
      <w:marLeft w:val="0"/>
      <w:marRight w:val="0"/>
      <w:marTop w:val="0"/>
      <w:marBottom w:val="0"/>
      <w:divBdr>
        <w:top w:val="none" w:sz="0" w:space="0" w:color="auto"/>
        <w:left w:val="none" w:sz="0" w:space="0" w:color="auto"/>
        <w:bottom w:val="none" w:sz="0" w:space="0" w:color="auto"/>
        <w:right w:val="none" w:sz="0" w:space="0" w:color="auto"/>
      </w:divBdr>
    </w:div>
    <w:div w:id="1460031001">
      <w:bodyDiv w:val="1"/>
      <w:marLeft w:val="0"/>
      <w:marRight w:val="0"/>
      <w:marTop w:val="0"/>
      <w:marBottom w:val="0"/>
      <w:divBdr>
        <w:top w:val="none" w:sz="0" w:space="0" w:color="auto"/>
        <w:left w:val="none" w:sz="0" w:space="0" w:color="auto"/>
        <w:bottom w:val="none" w:sz="0" w:space="0" w:color="auto"/>
        <w:right w:val="none" w:sz="0" w:space="0" w:color="auto"/>
      </w:divBdr>
    </w:div>
    <w:div w:id="1460417234">
      <w:bodyDiv w:val="1"/>
      <w:marLeft w:val="0"/>
      <w:marRight w:val="0"/>
      <w:marTop w:val="0"/>
      <w:marBottom w:val="0"/>
      <w:divBdr>
        <w:top w:val="none" w:sz="0" w:space="0" w:color="auto"/>
        <w:left w:val="none" w:sz="0" w:space="0" w:color="auto"/>
        <w:bottom w:val="none" w:sz="0" w:space="0" w:color="auto"/>
        <w:right w:val="none" w:sz="0" w:space="0" w:color="auto"/>
      </w:divBdr>
    </w:div>
    <w:div w:id="1460882483">
      <w:bodyDiv w:val="1"/>
      <w:marLeft w:val="0"/>
      <w:marRight w:val="0"/>
      <w:marTop w:val="0"/>
      <w:marBottom w:val="0"/>
      <w:divBdr>
        <w:top w:val="none" w:sz="0" w:space="0" w:color="auto"/>
        <w:left w:val="none" w:sz="0" w:space="0" w:color="auto"/>
        <w:bottom w:val="none" w:sz="0" w:space="0" w:color="auto"/>
        <w:right w:val="none" w:sz="0" w:space="0" w:color="auto"/>
      </w:divBdr>
    </w:div>
    <w:div w:id="1461613026">
      <w:bodyDiv w:val="1"/>
      <w:marLeft w:val="0"/>
      <w:marRight w:val="0"/>
      <w:marTop w:val="0"/>
      <w:marBottom w:val="0"/>
      <w:divBdr>
        <w:top w:val="none" w:sz="0" w:space="0" w:color="auto"/>
        <w:left w:val="none" w:sz="0" w:space="0" w:color="auto"/>
        <w:bottom w:val="none" w:sz="0" w:space="0" w:color="auto"/>
        <w:right w:val="none" w:sz="0" w:space="0" w:color="auto"/>
      </w:divBdr>
    </w:div>
    <w:div w:id="1462184306">
      <w:bodyDiv w:val="1"/>
      <w:marLeft w:val="0"/>
      <w:marRight w:val="0"/>
      <w:marTop w:val="0"/>
      <w:marBottom w:val="0"/>
      <w:divBdr>
        <w:top w:val="none" w:sz="0" w:space="0" w:color="auto"/>
        <w:left w:val="none" w:sz="0" w:space="0" w:color="auto"/>
        <w:bottom w:val="none" w:sz="0" w:space="0" w:color="auto"/>
        <w:right w:val="none" w:sz="0" w:space="0" w:color="auto"/>
      </w:divBdr>
    </w:div>
    <w:div w:id="1462529891">
      <w:bodyDiv w:val="1"/>
      <w:marLeft w:val="0"/>
      <w:marRight w:val="0"/>
      <w:marTop w:val="0"/>
      <w:marBottom w:val="0"/>
      <w:divBdr>
        <w:top w:val="none" w:sz="0" w:space="0" w:color="auto"/>
        <w:left w:val="none" w:sz="0" w:space="0" w:color="auto"/>
        <w:bottom w:val="none" w:sz="0" w:space="0" w:color="auto"/>
        <w:right w:val="none" w:sz="0" w:space="0" w:color="auto"/>
      </w:divBdr>
    </w:div>
    <w:div w:id="1463647509">
      <w:bodyDiv w:val="1"/>
      <w:marLeft w:val="0"/>
      <w:marRight w:val="0"/>
      <w:marTop w:val="0"/>
      <w:marBottom w:val="0"/>
      <w:divBdr>
        <w:top w:val="none" w:sz="0" w:space="0" w:color="auto"/>
        <w:left w:val="none" w:sz="0" w:space="0" w:color="auto"/>
        <w:bottom w:val="none" w:sz="0" w:space="0" w:color="auto"/>
        <w:right w:val="none" w:sz="0" w:space="0" w:color="auto"/>
      </w:divBdr>
    </w:div>
    <w:div w:id="1464077711">
      <w:bodyDiv w:val="1"/>
      <w:marLeft w:val="0"/>
      <w:marRight w:val="0"/>
      <w:marTop w:val="0"/>
      <w:marBottom w:val="0"/>
      <w:divBdr>
        <w:top w:val="none" w:sz="0" w:space="0" w:color="auto"/>
        <w:left w:val="none" w:sz="0" w:space="0" w:color="auto"/>
        <w:bottom w:val="none" w:sz="0" w:space="0" w:color="auto"/>
        <w:right w:val="none" w:sz="0" w:space="0" w:color="auto"/>
      </w:divBdr>
    </w:div>
    <w:div w:id="1465853365">
      <w:bodyDiv w:val="1"/>
      <w:marLeft w:val="0"/>
      <w:marRight w:val="0"/>
      <w:marTop w:val="0"/>
      <w:marBottom w:val="0"/>
      <w:divBdr>
        <w:top w:val="none" w:sz="0" w:space="0" w:color="auto"/>
        <w:left w:val="none" w:sz="0" w:space="0" w:color="auto"/>
        <w:bottom w:val="none" w:sz="0" w:space="0" w:color="auto"/>
        <w:right w:val="none" w:sz="0" w:space="0" w:color="auto"/>
      </w:divBdr>
    </w:div>
    <w:div w:id="1465924693">
      <w:bodyDiv w:val="1"/>
      <w:marLeft w:val="0"/>
      <w:marRight w:val="0"/>
      <w:marTop w:val="0"/>
      <w:marBottom w:val="0"/>
      <w:divBdr>
        <w:top w:val="none" w:sz="0" w:space="0" w:color="auto"/>
        <w:left w:val="none" w:sz="0" w:space="0" w:color="auto"/>
        <w:bottom w:val="none" w:sz="0" w:space="0" w:color="auto"/>
        <w:right w:val="none" w:sz="0" w:space="0" w:color="auto"/>
      </w:divBdr>
    </w:div>
    <w:div w:id="1467238679">
      <w:bodyDiv w:val="1"/>
      <w:marLeft w:val="0"/>
      <w:marRight w:val="0"/>
      <w:marTop w:val="0"/>
      <w:marBottom w:val="0"/>
      <w:divBdr>
        <w:top w:val="none" w:sz="0" w:space="0" w:color="auto"/>
        <w:left w:val="none" w:sz="0" w:space="0" w:color="auto"/>
        <w:bottom w:val="none" w:sz="0" w:space="0" w:color="auto"/>
        <w:right w:val="none" w:sz="0" w:space="0" w:color="auto"/>
      </w:divBdr>
    </w:div>
    <w:div w:id="1467240108">
      <w:bodyDiv w:val="1"/>
      <w:marLeft w:val="0"/>
      <w:marRight w:val="0"/>
      <w:marTop w:val="0"/>
      <w:marBottom w:val="0"/>
      <w:divBdr>
        <w:top w:val="none" w:sz="0" w:space="0" w:color="auto"/>
        <w:left w:val="none" w:sz="0" w:space="0" w:color="auto"/>
        <w:bottom w:val="none" w:sz="0" w:space="0" w:color="auto"/>
        <w:right w:val="none" w:sz="0" w:space="0" w:color="auto"/>
      </w:divBdr>
    </w:div>
    <w:div w:id="1467503737">
      <w:bodyDiv w:val="1"/>
      <w:marLeft w:val="0"/>
      <w:marRight w:val="0"/>
      <w:marTop w:val="0"/>
      <w:marBottom w:val="0"/>
      <w:divBdr>
        <w:top w:val="none" w:sz="0" w:space="0" w:color="auto"/>
        <w:left w:val="none" w:sz="0" w:space="0" w:color="auto"/>
        <w:bottom w:val="none" w:sz="0" w:space="0" w:color="auto"/>
        <w:right w:val="none" w:sz="0" w:space="0" w:color="auto"/>
      </w:divBdr>
    </w:div>
    <w:div w:id="1467696167">
      <w:bodyDiv w:val="1"/>
      <w:marLeft w:val="0"/>
      <w:marRight w:val="0"/>
      <w:marTop w:val="0"/>
      <w:marBottom w:val="0"/>
      <w:divBdr>
        <w:top w:val="none" w:sz="0" w:space="0" w:color="auto"/>
        <w:left w:val="none" w:sz="0" w:space="0" w:color="auto"/>
        <w:bottom w:val="none" w:sz="0" w:space="0" w:color="auto"/>
        <w:right w:val="none" w:sz="0" w:space="0" w:color="auto"/>
      </w:divBdr>
    </w:div>
    <w:div w:id="1468235498">
      <w:bodyDiv w:val="1"/>
      <w:marLeft w:val="0"/>
      <w:marRight w:val="0"/>
      <w:marTop w:val="0"/>
      <w:marBottom w:val="0"/>
      <w:divBdr>
        <w:top w:val="none" w:sz="0" w:space="0" w:color="auto"/>
        <w:left w:val="none" w:sz="0" w:space="0" w:color="auto"/>
        <w:bottom w:val="none" w:sz="0" w:space="0" w:color="auto"/>
        <w:right w:val="none" w:sz="0" w:space="0" w:color="auto"/>
      </w:divBdr>
    </w:div>
    <w:div w:id="1468666382">
      <w:bodyDiv w:val="1"/>
      <w:marLeft w:val="0"/>
      <w:marRight w:val="0"/>
      <w:marTop w:val="0"/>
      <w:marBottom w:val="0"/>
      <w:divBdr>
        <w:top w:val="none" w:sz="0" w:space="0" w:color="auto"/>
        <w:left w:val="none" w:sz="0" w:space="0" w:color="auto"/>
        <w:bottom w:val="none" w:sz="0" w:space="0" w:color="auto"/>
        <w:right w:val="none" w:sz="0" w:space="0" w:color="auto"/>
      </w:divBdr>
    </w:div>
    <w:div w:id="1469739596">
      <w:bodyDiv w:val="1"/>
      <w:marLeft w:val="0"/>
      <w:marRight w:val="0"/>
      <w:marTop w:val="0"/>
      <w:marBottom w:val="0"/>
      <w:divBdr>
        <w:top w:val="none" w:sz="0" w:space="0" w:color="auto"/>
        <w:left w:val="none" w:sz="0" w:space="0" w:color="auto"/>
        <w:bottom w:val="none" w:sz="0" w:space="0" w:color="auto"/>
        <w:right w:val="none" w:sz="0" w:space="0" w:color="auto"/>
      </w:divBdr>
    </w:div>
    <w:div w:id="1469741519">
      <w:bodyDiv w:val="1"/>
      <w:marLeft w:val="0"/>
      <w:marRight w:val="0"/>
      <w:marTop w:val="0"/>
      <w:marBottom w:val="0"/>
      <w:divBdr>
        <w:top w:val="none" w:sz="0" w:space="0" w:color="auto"/>
        <w:left w:val="none" w:sz="0" w:space="0" w:color="auto"/>
        <w:bottom w:val="none" w:sz="0" w:space="0" w:color="auto"/>
        <w:right w:val="none" w:sz="0" w:space="0" w:color="auto"/>
      </w:divBdr>
    </w:div>
    <w:div w:id="1470055218">
      <w:bodyDiv w:val="1"/>
      <w:marLeft w:val="0"/>
      <w:marRight w:val="0"/>
      <w:marTop w:val="0"/>
      <w:marBottom w:val="0"/>
      <w:divBdr>
        <w:top w:val="none" w:sz="0" w:space="0" w:color="auto"/>
        <w:left w:val="none" w:sz="0" w:space="0" w:color="auto"/>
        <w:bottom w:val="none" w:sz="0" w:space="0" w:color="auto"/>
        <w:right w:val="none" w:sz="0" w:space="0" w:color="auto"/>
      </w:divBdr>
    </w:div>
    <w:div w:id="1470325137">
      <w:bodyDiv w:val="1"/>
      <w:marLeft w:val="0"/>
      <w:marRight w:val="0"/>
      <w:marTop w:val="0"/>
      <w:marBottom w:val="0"/>
      <w:divBdr>
        <w:top w:val="none" w:sz="0" w:space="0" w:color="auto"/>
        <w:left w:val="none" w:sz="0" w:space="0" w:color="auto"/>
        <w:bottom w:val="none" w:sz="0" w:space="0" w:color="auto"/>
        <w:right w:val="none" w:sz="0" w:space="0" w:color="auto"/>
      </w:divBdr>
    </w:div>
    <w:div w:id="1471243590">
      <w:bodyDiv w:val="1"/>
      <w:marLeft w:val="0"/>
      <w:marRight w:val="0"/>
      <w:marTop w:val="0"/>
      <w:marBottom w:val="0"/>
      <w:divBdr>
        <w:top w:val="none" w:sz="0" w:space="0" w:color="auto"/>
        <w:left w:val="none" w:sz="0" w:space="0" w:color="auto"/>
        <w:bottom w:val="none" w:sz="0" w:space="0" w:color="auto"/>
        <w:right w:val="none" w:sz="0" w:space="0" w:color="auto"/>
      </w:divBdr>
    </w:div>
    <w:div w:id="1471248626">
      <w:bodyDiv w:val="1"/>
      <w:marLeft w:val="0"/>
      <w:marRight w:val="0"/>
      <w:marTop w:val="0"/>
      <w:marBottom w:val="0"/>
      <w:divBdr>
        <w:top w:val="none" w:sz="0" w:space="0" w:color="auto"/>
        <w:left w:val="none" w:sz="0" w:space="0" w:color="auto"/>
        <w:bottom w:val="none" w:sz="0" w:space="0" w:color="auto"/>
        <w:right w:val="none" w:sz="0" w:space="0" w:color="auto"/>
      </w:divBdr>
    </w:div>
    <w:div w:id="1471938912">
      <w:bodyDiv w:val="1"/>
      <w:marLeft w:val="0"/>
      <w:marRight w:val="0"/>
      <w:marTop w:val="0"/>
      <w:marBottom w:val="0"/>
      <w:divBdr>
        <w:top w:val="none" w:sz="0" w:space="0" w:color="auto"/>
        <w:left w:val="none" w:sz="0" w:space="0" w:color="auto"/>
        <w:bottom w:val="none" w:sz="0" w:space="0" w:color="auto"/>
        <w:right w:val="none" w:sz="0" w:space="0" w:color="auto"/>
      </w:divBdr>
    </w:div>
    <w:div w:id="1473593278">
      <w:bodyDiv w:val="1"/>
      <w:marLeft w:val="0"/>
      <w:marRight w:val="0"/>
      <w:marTop w:val="0"/>
      <w:marBottom w:val="0"/>
      <w:divBdr>
        <w:top w:val="none" w:sz="0" w:space="0" w:color="auto"/>
        <w:left w:val="none" w:sz="0" w:space="0" w:color="auto"/>
        <w:bottom w:val="none" w:sz="0" w:space="0" w:color="auto"/>
        <w:right w:val="none" w:sz="0" w:space="0" w:color="auto"/>
      </w:divBdr>
    </w:div>
    <w:div w:id="1473861061">
      <w:bodyDiv w:val="1"/>
      <w:marLeft w:val="0"/>
      <w:marRight w:val="0"/>
      <w:marTop w:val="0"/>
      <w:marBottom w:val="0"/>
      <w:divBdr>
        <w:top w:val="none" w:sz="0" w:space="0" w:color="auto"/>
        <w:left w:val="none" w:sz="0" w:space="0" w:color="auto"/>
        <w:bottom w:val="none" w:sz="0" w:space="0" w:color="auto"/>
        <w:right w:val="none" w:sz="0" w:space="0" w:color="auto"/>
      </w:divBdr>
      <w:divsChild>
        <w:div w:id="820584532">
          <w:marLeft w:val="480"/>
          <w:marRight w:val="0"/>
          <w:marTop w:val="0"/>
          <w:marBottom w:val="0"/>
          <w:divBdr>
            <w:top w:val="none" w:sz="0" w:space="0" w:color="auto"/>
            <w:left w:val="none" w:sz="0" w:space="0" w:color="auto"/>
            <w:bottom w:val="none" w:sz="0" w:space="0" w:color="auto"/>
            <w:right w:val="none" w:sz="0" w:space="0" w:color="auto"/>
          </w:divBdr>
        </w:div>
        <w:div w:id="736711999">
          <w:marLeft w:val="480"/>
          <w:marRight w:val="0"/>
          <w:marTop w:val="0"/>
          <w:marBottom w:val="0"/>
          <w:divBdr>
            <w:top w:val="none" w:sz="0" w:space="0" w:color="auto"/>
            <w:left w:val="none" w:sz="0" w:space="0" w:color="auto"/>
            <w:bottom w:val="none" w:sz="0" w:space="0" w:color="auto"/>
            <w:right w:val="none" w:sz="0" w:space="0" w:color="auto"/>
          </w:divBdr>
        </w:div>
        <w:div w:id="1810246337">
          <w:marLeft w:val="480"/>
          <w:marRight w:val="0"/>
          <w:marTop w:val="0"/>
          <w:marBottom w:val="0"/>
          <w:divBdr>
            <w:top w:val="none" w:sz="0" w:space="0" w:color="auto"/>
            <w:left w:val="none" w:sz="0" w:space="0" w:color="auto"/>
            <w:bottom w:val="none" w:sz="0" w:space="0" w:color="auto"/>
            <w:right w:val="none" w:sz="0" w:space="0" w:color="auto"/>
          </w:divBdr>
        </w:div>
        <w:div w:id="855390346">
          <w:marLeft w:val="480"/>
          <w:marRight w:val="0"/>
          <w:marTop w:val="0"/>
          <w:marBottom w:val="0"/>
          <w:divBdr>
            <w:top w:val="none" w:sz="0" w:space="0" w:color="auto"/>
            <w:left w:val="none" w:sz="0" w:space="0" w:color="auto"/>
            <w:bottom w:val="none" w:sz="0" w:space="0" w:color="auto"/>
            <w:right w:val="none" w:sz="0" w:space="0" w:color="auto"/>
          </w:divBdr>
        </w:div>
        <w:div w:id="254678728">
          <w:marLeft w:val="480"/>
          <w:marRight w:val="0"/>
          <w:marTop w:val="0"/>
          <w:marBottom w:val="0"/>
          <w:divBdr>
            <w:top w:val="none" w:sz="0" w:space="0" w:color="auto"/>
            <w:left w:val="none" w:sz="0" w:space="0" w:color="auto"/>
            <w:bottom w:val="none" w:sz="0" w:space="0" w:color="auto"/>
            <w:right w:val="none" w:sz="0" w:space="0" w:color="auto"/>
          </w:divBdr>
        </w:div>
        <w:div w:id="1809735844">
          <w:marLeft w:val="480"/>
          <w:marRight w:val="0"/>
          <w:marTop w:val="0"/>
          <w:marBottom w:val="0"/>
          <w:divBdr>
            <w:top w:val="none" w:sz="0" w:space="0" w:color="auto"/>
            <w:left w:val="none" w:sz="0" w:space="0" w:color="auto"/>
            <w:bottom w:val="none" w:sz="0" w:space="0" w:color="auto"/>
            <w:right w:val="none" w:sz="0" w:space="0" w:color="auto"/>
          </w:divBdr>
        </w:div>
        <w:div w:id="1554930047">
          <w:marLeft w:val="480"/>
          <w:marRight w:val="0"/>
          <w:marTop w:val="0"/>
          <w:marBottom w:val="0"/>
          <w:divBdr>
            <w:top w:val="none" w:sz="0" w:space="0" w:color="auto"/>
            <w:left w:val="none" w:sz="0" w:space="0" w:color="auto"/>
            <w:bottom w:val="none" w:sz="0" w:space="0" w:color="auto"/>
            <w:right w:val="none" w:sz="0" w:space="0" w:color="auto"/>
          </w:divBdr>
        </w:div>
        <w:div w:id="1076591239">
          <w:marLeft w:val="480"/>
          <w:marRight w:val="0"/>
          <w:marTop w:val="0"/>
          <w:marBottom w:val="0"/>
          <w:divBdr>
            <w:top w:val="none" w:sz="0" w:space="0" w:color="auto"/>
            <w:left w:val="none" w:sz="0" w:space="0" w:color="auto"/>
            <w:bottom w:val="none" w:sz="0" w:space="0" w:color="auto"/>
            <w:right w:val="none" w:sz="0" w:space="0" w:color="auto"/>
          </w:divBdr>
        </w:div>
        <w:div w:id="712584318">
          <w:marLeft w:val="480"/>
          <w:marRight w:val="0"/>
          <w:marTop w:val="0"/>
          <w:marBottom w:val="0"/>
          <w:divBdr>
            <w:top w:val="none" w:sz="0" w:space="0" w:color="auto"/>
            <w:left w:val="none" w:sz="0" w:space="0" w:color="auto"/>
            <w:bottom w:val="none" w:sz="0" w:space="0" w:color="auto"/>
            <w:right w:val="none" w:sz="0" w:space="0" w:color="auto"/>
          </w:divBdr>
        </w:div>
        <w:div w:id="1098407495">
          <w:marLeft w:val="480"/>
          <w:marRight w:val="0"/>
          <w:marTop w:val="0"/>
          <w:marBottom w:val="0"/>
          <w:divBdr>
            <w:top w:val="none" w:sz="0" w:space="0" w:color="auto"/>
            <w:left w:val="none" w:sz="0" w:space="0" w:color="auto"/>
            <w:bottom w:val="none" w:sz="0" w:space="0" w:color="auto"/>
            <w:right w:val="none" w:sz="0" w:space="0" w:color="auto"/>
          </w:divBdr>
        </w:div>
        <w:div w:id="2086996102">
          <w:marLeft w:val="480"/>
          <w:marRight w:val="0"/>
          <w:marTop w:val="0"/>
          <w:marBottom w:val="0"/>
          <w:divBdr>
            <w:top w:val="none" w:sz="0" w:space="0" w:color="auto"/>
            <w:left w:val="none" w:sz="0" w:space="0" w:color="auto"/>
            <w:bottom w:val="none" w:sz="0" w:space="0" w:color="auto"/>
            <w:right w:val="none" w:sz="0" w:space="0" w:color="auto"/>
          </w:divBdr>
        </w:div>
        <w:div w:id="250895398">
          <w:marLeft w:val="480"/>
          <w:marRight w:val="0"/>
          <w:marTop w:val="0"/>
          <w:marBottom w:val="0"/>
          <w:divBdr>
            <w:top w:val="none" w:sz="0" w:space="0" w:color="auto"/>
            <w:left w:val="none" w:sz="0" w:space="0" w:color="auto"/>
            <w:bottom w:val="none" w:sz="0" w:space="0" w:color="auto"/>
            <w:right w:val="none" w:sz="0" w:space="0" w:color="auto"/>
          </w:divBdr>
        </w:div>
        <w:div w:id="215628715">
          <w:marLeft w:val="480"/>
          <w:marRight w:val="0"/>
          <w:marTop w:val="0"/>
          <w:marBottom w:val="0"/>
          <w:divBdr>
            <w:top w:val="none" w:sz="0" w:space="0" w:color="auto"/>
            <w:left w:val="none" w:sz="0" w:space="0" w:color="auto"/>
            <w:bottom w:val="none" w:sz="0" w:space="0" w:color="auto"/>
            <w:right w:val="none" w:sz="0" w:space="0" w:color="auto"/>
          </w:divBdr>
        </w:div>
        <w:div w:id="625281775">
          <w:marLeft w:val="480"/>
          <w:marRight w:val="0"/>
          <w:marTop w:val="0"/>
          <w:marBottom w:val="0"/>
          <w:divBdr>
            <w:top w:val="none" w:sz="0" w:space="0" w:color="auto"/>
            <w:left w:val="none" w:sz="0" w:space="0" w:color="auto"/>
            <w:bottom w:val="none" w:sz="0" w:space="0" w:color="auto"/>
            <w:right w:val="none" w:sz="0" w:space="0" w:color="auto"/>
          </w:divBdr>
        </w:div>
        <w:div w:id="1838962777">
          <w:marLeft w:val="480"/>
          <w:marRight w:val="0"/>
          <w:marTop w:val="0"/>
          <w:marBottom w:val="0"/>
          <w:divBdr>
            <w:top w:val="none" w:sz="0" w:space="0" w:color="auto"/>
            <w:left w:val="none" w:sz="0" w:space="0" w:color="auto"/>
            <w:bottom w:val="none" w:sz="0" w:space="0" w:color="auto"/>
            <w:right w:val="none" w:sz="0" w:space="0" w:color="auto"/>
          </w:divBdr>
        </w:div>
        <w:div w:id="52431969">
          <w:marLeft w:val="480"/>
          <w:marRight w:val="0"/>
          <w:marTop w:val="0"/>
          <w:marBottom w:val="0"/>
          <w:divBdr>
            <w:top w:val="none" w:sz="0" w:space="0" w:color="auto"/>
            <w:left w:val="none" w:sz="0" w:space="0" w:color="auto"/>
            <w:bottom w:val="none" w:sz="0" w:space="0" w:color="auto"/>
            <w:right w:val="none" w:sz="0" w:space="0" w:color="auto"/>
          </w:divBdr>
        </w:div>
        <w:div w:id="2043359738">
          <w:marLeft w:val="480"/>
          <w:marRight w:val="0"/>
          <w:marTop w:val="0"/>
          <w:marBottom w:val="0"/>
          <w:divBdr>
            <w:top w:val="none" w:sz="0" w:space="0" w:color="auto"/>
            <w:left w:val="none" w:sz="0" w:space="0" w:color="auto"/>
            <w:bottom w:val="none" w:sz="0" w:space="0" w:color="auto"/>
            <w:right w:val="none" w:sz="0" w:space="0" w:color="auto"/>
          </w:divBdr>
        </w:div>
        <w:div w:id="1326545357">
          <w:marLeft w:val="480"/>
          <w:marRight w:val="0"/>
          <w:marTop w:val="0"/>
          <w:marBottom w:val="0"/>
          <w:divBdr>
            <w:top w:val="none" w:sz="0" w:space="0" w:color="auto"/>
            <w:left w:val="none" w:sz="0" w:space="0" w:color="auto"/>
            <w:bottom w:val="none" w:sz="0" w:space="0" w:color="auto"/>
            <w:right w:val="none" w:sz="0" w:space="0" w:color="auto"/>
          </w:divBdr>
        </w:div>
        <w:div w:id="370300596">
          <w:marLeft w:val="480"/>
          <w:marRight w:val="0"/>
          <w:marTop w:val="0"/>
          <w:marBottom w:val="0"/>
          <w:divBdr>
            <w:top w:val="none" w:sz="0" w:space="0" w:color="auto"/>
            <w:left w:val="none" w:sz="0" w:space="0" w:color="auto"/>
            <w:bottom w:val="none" w:sz="0" w:space="0" w:color="auto"/>
            <w:right w:val="none" w:sz="0" w:space="0" w:color="auto"/>
          </w:divBdr>
        </w:div>
        <w:div w:id="1017005311">
          <w:marLeft w:val="480"/>
          <w:marRight w:val="0"/>
          <w:marTop w:val="0"/>
          <w:marBottom w:val="0"/>
          <w:divBdr>
            <w:top w:val="none" w:sz="0" w:space="0" w:color="auto"/>
            <w:left w:val="none" w:sz="0" w:space="0" w:color="auto"/>
            <w:bottom w:val="none" w:sz="0" w:space="0" w:color="auto"/>
            <w:right w:val="none" w:sz="0" w:space="0" w:color="auto"/>
          </w:divBdr>
        </w:div>
        <w:div w:id="453716760">
          <w:marLeft w:val="480"/>
          <w:marRight w:val="0"/>
          <w:marTop w:val="0"/>
          <w:marBottom w:val="0"/>
          <w:divBdr>
            <w:top w:val="none" w:sz="0" w:space="0" w:color="auto"/>
            <w:left w:val="none" w:sz="0" w:space="0" w:color="auto"/>
            <w:bottom w:val="none" w:sz="0" w:space="0" w:color="auto"/>
            <w:right w:val="none" w:sz="0" w:space="0" w:color="auto"/>
          </w:divBdr>
        </w:div>
        <w:div w:id="1833980579">
          <w:marLeft w:val="480"/>
          <w:marRight w:val="0"/>
          <w:marTop w:val="0"/>
          <w:marBottom w:val="0"/>
          <w:divBdr>
            <w:top w:val="none" w:sz="0" w:space="0" w:color="auto"/>
            <w:left w:val="none" w:sz="0" w:space="0" w:color="auto"/>
            <w:bottom w:val="none" w:sz="0" w:space="0" w:color="auto"/>
            <w:right w:val="none" w:sz="0" w:space="0" w:color="auto"/>
          </w:divBdr>
        </w:div>
        <w:div w:id="1294097268">
          <w:marLeft w:val="480"/>
          <w:marRight w:val="0"/>
          <w:marTop w:val="0"/>
          <w:marBottom w:val="0"/>
          <w:divBdr>
            <w:top w:val="none" w:sz="0" w:space="0" w:color="auto"/>
            <w:left w:val="none" w:sz="0" w:space="0" w:color="auto"/>
            <w:bottom w:val="none" w:sz="0" w:space="0" w:color="auto"/>
            <w:right w:val="none" w:sz="0" w:space="0" w:color="auto"/>
          </w:divBdr>
        </w:div>
        <w:div w:id="901017891">
          <w:marLeft w:val="480"/>
          <w:marRight w:val="0"/>
          <w:marTop w:val="0"/>
          <w:marBottom w:val="0"/>
          <w:divBdr>
            <w:top w:val="none" w:sz="0" w:space="0" w:color="auto"/>
            <w:left w:val="none" w:sz="0" w:space="0" w:color="auto"/>
            <w:bottom w:val="none" w:sz="0" w:space="0" w:color="auto"/>
            <w:right w:val="none" w:sz="0" w:space="0" w:color="auto"/>
          </w:divBdr>
        </w:div>
        <w:div w:id="1959021354">
          <w:marLeft w:val="480"/>
          <w:marRight w:val="0"/>
          <w:marTop w:val="0"/>
          <w:marBottom w:val="0"/>
          <w:divBdr>
            <w:top w:val="none" w:sz="0" w:space="0" w:color="auto"/>
            <w:left w:val="none" w:sz="0" w:space="0" w:color="auto"/>
            <w:bottom w:val="none" w:sz="0" w:space="0" w:color="auto"/>
            <w:right w:val="none" w:sz="0" w:space="0" w:color="auto"/>
          </w:divBdr>
        </w:div>
        <w:div w:id="1515993877">
          <w:marLeft w:val="480"/>
          <w:marRight w:val="0"/>
          <w:marTop w:val="0"/>
          <w:marBottom w:val="0"/>
          <w:divBdr>
            <w:top w:val="none" w:sz="0" w:space="0" w:color="auto"/>
            <w:left w:val="none" w:sz="0" w:space="0" w:color="auto"/>
            <w:bottom w:val="none" w:sz="0" w:space="0" w:color="auto"/>
            <w:right w:val="none" w:sz="0" w:space="0" w:color="auto"/>
          </w:divBdr>
        </w:div>
        <w:div w:id="1421364611">
          <w:marLeft w:val="480"/>
          <w:marRight w:val="0"/>
          <w:marTop w:val="0"/>
          <w:marBottom w:val="0"/>
          <w:divBdr>
            <w:top w:val="none" w:sz="0" w:space="0" w:color="auto"/>
            <w:left w:val="none" w:sz="0" w:space="0" w:color="auto"/>
            <w:bottom w:val="none" w:sz="0" w:space="0" w:color="auto"/>
            <w:right w:val="none" w:sz="0" w:space="0" w:color="auto"/>
          </w:divBdr>
        </w:div>
        <w:div w:id="1460029613">
          <w:marLeft w:val="480"/>
          <w:marRight w:val="0"/>
          <w:marTop w:val="0"/>
          <w:marBottom w:val="0"/>
          <w:divBdr>
            <w:top w:val="none" w:sz="0" w:space="0" w:color="auto"/>
            <w:left w:val="none" w:sz="0" w:space="0" w:color="auto"/>
            <w:bottom w:val="none" w:sz="0" w:space="0" w:color="auto"/>
            <w:right w:val="none" w:sz="0" w:space="0" w:color="auto"/>
          </w:divBdr>
        </w:div>
        <w:div w:id="1905334585">
          <w:marLeft w:val="480"/>
          <w:marRight w:val="0"/>
          <w:marTop w:val="0"/>
          <w:marBottom w:val="0"/>
          <w:divBdr>
            <w:top w:val="none" w:sz="0" w:space="0" w:color="auto"/>
            <w:left w:val="none" w:sz="0" w:space="0" w:color="auto"/>
            <w:bottom w:val="none" w:sz="0" w:space="0" w:color="auto"/>
            <w:right w:val="none" w:sz="0" w:space="0" w:color="auto"/>
          </w:divBdr>
        </w:div>
        <w:div w:id="1620604020">
          <w:marLeft w:val="480"/>
          <w:marRight w:val="0"/>
          <w:marTop w:val="0"/>
          <w:marBottom w:val="0"/>
          <w:divBdr>
            <w:top w:val="none" w:sz="0" w:space="0" w:color="auto"/>
            <w:left w:val="none" w:sz="0" w:space="0" w:color="auto"/>
            <w:bottom w:val="none" w:sz="0" w:space="0" w:color="auto"/>
            <w:right w:val="none" w:sz="0" w:space="0" w:color="auto"/>
          </w:divBdr>
        </w:div>
        <w:div w:id="637606737">
          <w:marLeft w:val="480"/>
          <w:marRight w:val="0"/>
          <w:marTop w:val="0"/>
          <w:marBottom w:val="0"/>
          <w:divBdr>
            <w:top w:val="none" w:sz="0" w:space="0" w:color="auto"/>
            <w:left w:val="none" w:sz="0" w:space="0" w:color="auto"/>
            <w:bottom w:val="none" w:sz="0" w:space="0" w:color="auto"/>
            <w:right w:val="none" w:sz="0" w:space="0" w:color="auto"/>
          </w:divBdr>
        </w:div>
        <w:div w:id="706368386">
          <w:marLeft w:val="480"/>
          <w:marRight w:val="0"/>
          <w:marTop w:val="0"/>
          <w:marBottom w:val="0"/>
          <w:divBdr>
            <w:top w:val="none" w:sz="0" w:space="0" w:color="auto"/>
            <w:left w:val="none" w:sz="0" w:space="0" w:color="auto"/>
            <w:bottom w:val="none" w:sz="0" w:space="0" w:color="auto"/>
            <w:right w:val="none" w:sz="0" w:space="0" w:color="auto"/>
          </w:divBdr>
        </w:div>
        <w:div w:id="695692333">
          <w:marLeft w:val="480"/>
          <w:marRight w:val="0"/>
          <w:marTop w:val="0"/>
          <w:marBottom w:val="0"/>
          <w:divBdr>
            <w:top w:val="none" w:sz="0" w:space="0" w:color="auto"/>
            <w:left w:val="none" w:sz="0" w:space="0" w:color="auto"/>
            <w:bottom w:val="none" w:sz="0" w:space="0" w:color="auto"/>
            <w:right w:val="none" w:sz="0" w:space="0" w:color="auto"/>
          </w:divBdr>
        </w:div>
        <w:div w:id="96606876">
          <w:marLeft w:val="480"/>
          <w:marRight w:val="0"/>
          <w:marTop w:val="0"/>
          <w:marBottom w:val="0"/>
          <w:divBdr>
            <w:top w:val="none" w:sz="0" w:space="0" w:color="auto"/>
            <w:left w:val="none" w:sz="0" w:space="0" w:color="auto"/>
            <w:bottom w:val="none" w:sz="0" w:space="0" w:color="auto"/>
            <w:right w:val="none" w:sz="0" w:space="0" w:color="auto"/>
          </w:divBdr>
        </w:div>
        <w:div w:id="1148397915">
          <w:marLeft w:val="480"/>
          <w:marRight w:val="0"/>
          <w:marTop w:val="0"/>
          <w:marBottom w:val="0"/>
          <w:divBdr>
            <w:top w:val="none" w:sz="0" w:space="0" w:color="auto"/>
            <w:left w:val="none" w:sz="0" w:space="0" w:color="auto"/>
            <w:bottom w:val="none" w:sz="0" w:space="0" w:color="auto"/>
            <w:right w:val="none" w:sz="0" w:space="0" w:color="auto"/>
          </w:divBdr>
        </w:div>
        <w:div w:id="1020088171">
          <w:marLeft w:val="480"/>
          <w:marRight w:val="0"/>
          <w:marTop w:val="0"/>
          <w:marBottom w:val="0"/>
          <w:divBdr>
            <w:top w:val="none" w:sz="0" w:space="0" w:color="auto"/>
            <w:left w:val="none" w:sz="0" w:space="0" w:color="auto"/>
            <w:bottom w:val="none" w:sz="0" w:space="0" w:color="auto"/>
            <w:right w:val="none" w:sz="0" w:space="0" w:color="auto"/>
          </w:divBdr>
        </w:div>
        <w:div w:id="457382361">
          <w:marLeft w:val="480"/>
          <w:marRight w:val="0"/>
          <w:marTop w:val="0"/>
          <w:marBottom w:val="0"/>
          <w:divBdr>
            <w:top w:val="none" w:sz="0" w:space="0" w:color="auto"/>
            <w:left w:val="none" w:sz="0" w:space="0" w:color="auto"/>
            <w:bottom w:val="none" w:sz="0" w:space="0" w:color="auto"/>
            <w:right w:val="none" w:sz="0" w:space="0" w:color="auto"/>
          </w:divBdr>
        </w:div>
        <w:div w:id="361440358">
          <w:marLeft w:val="480"/>
          <w:marRight w:val="0"/>
          <w:marTop w:val="0"/>
          <w:marBottom w:val="0"/>
          <w:divBdr>
            <w:top w:val="none" w:sz="0" w:space="0" w:color="auto"/>
            <w:left w:val="none" w:sz="0" w:space="0" w:color="auto"/>
            <w:bottom w:val="none" w:sz="0" w:space="0" w:color="auto"/>
            <w:right w:val="none" w:sz="0" w:space="0" w:color="auto"/>
          </w:divBdr>
        </w:div>
        <w:div w:id="1587108277">
          <w:marLeft w:val="480"/>
          <w:marRight w:val="0"/>
          <w:marTop w:val="0"/>
          <w:marBottom w:val="0"/>
          <w:divBdr>
            <w:top w:val="none" w:sz="0" w:space="0" w:color="auto"/>
            <w:left w:val="none" w:sz="0" w:space="0" w:color="auto"/>
            <w:bottom w:val="none" w:sz="0" w:space="0" w:color="auto"/>
            <w:right w:val="none" w:sz="0" w:space="0" w:color="auto"/>
          </w:divBdr>
        </w:div>
        <w:div w:id="1956517733">
          <w:marLeft w:val="480"/>
          <w:marRight w:val="0"/>
          <w:marTop w:val="0"/>
          <w:marBottom w:val="0"/>
          <w:divBdr>
            <w:top w:val="none" w:sz="0" w:space="0" w:color="auto"/>
            <w:left w:val="none" w:sz="0" w:space="0" w:color="auto"/>
            <w:bottom w:val="none" w:sz="0" w:space="0" w:color="auto"/>
            <w:right w:val="none" w:sz="0" w:space="0" w:color="auto"/>
          </w:divBdr>
        </w:div>
        <w:div w:id="842621965">
          <w:marLeft w:val="480"/>
          <w:marRight w:val="0"/>
          <w:marTop w:val="0"/>
          <w:marBottom w:val="0"/>
          <w:divBdr>
            <w:top w:val="none" w:sz="0" w:space="0" w:color="auto"/>
            <w:left w:val="none" w:sz="0" w:space="0" w:color="auto"/>
            <w:bottom w:val="none" w:sz="0" w:space="0" w:color="auto"/>
            <w:right w:val="none" w:sz="0" w:space="0" w:color="auto"/>
          </w:divBdr>
        </w:div>
        <w:div w:id="217783513">
          <w:marLeft w:val="480"/>
          <w:marRight w:val="0"/>
          <w:marTop w:val="0"/>
          <w:marBottom w:val="0"/>
          <w:divBdr>
            <w:top w:val="none" w:sz="0" w:space="0" w:color="auto"/>
            <w:left w:val="none" w:sz="0" w:space="0" w:color="auto"/>
            <w:bottom w:val="none" w:sz="0" w:space="0" w:color="auto"/>
            <w:right w:val="none" w:sz="0" w:space="0" w:color="auto"/>
          </w:divBdr>
        </w:div>
        <w:div w:id="31152236">
          <w:marLeft w:val="480"/>
          <w:marRight w:val="0"/>
          <w:marTop w:val="0"/>
          <w:marBottom w:val="0"/>
          <w:divBdr>
            <w:top w:val="none" w:sz="0" w:space="0" w:color="auto"/>
            <w:left w:val="none" w:sz="0" w:space="0" w:color="auto"/>
            <w:bottom w:val="none" w:sz="0" w:space="0" w:color="auto"/>
            <w:right w:val="none" w:sz="0" w:space="0" w:color="auto"/>
          </w:divBdr>
        </w:div>
        <w:div w:id="258149213">
          <w:marLeft w:val="480"/>
          <w:marRight w:val="0"/>
          <w:marTop w:val="0"/>
          <w:marBottom w:val="0"/>
          <w:divBdr>
            <w:top w:val="none" w:sz="0" w:space="0" w:color="auto"/>
            <w:left w:val="none" w:sz="0" w:space="0" w:color="auto"/>
            <w:bottom w:val="none" w:sz="0" w:space="0" w:color="auto"/>
            <w:right w:val="none" w:sz="0" w:space="0" w:color="auto"/>
          </w:divBdr>
        </w:div>
        <w:div w:id="2131169702">
          <w:marLeft w:val="480"/>
          <w:marRight w:val="0"/>
          <w:marTop w:val="0"/>
          <w:marBottom w:val="0"/>
          <w:divBdr>
            <w:top w:val="none" w:sz="0" w:space="0" w:color="auto"/>
            <w:left w:val="none" w:sz="0" w:space="0" w:color="auto"/>
            <w:bottom w:val="none" w:sz="0" w:space="0" w:color="auto"/>
            <w:right w:val="none" w:sz="0" w:space="0" w:color="auto"/>
          </w:divBdr>
        </w:div>
        <w:div w:id="540556320">
          <w:marLeft w:val="480"/>
          <w:marRight w:val="0"/>
          <w:marTop w:val="0"/>
          <w:marBottom w:val="0"/>
          <w:divBdr>
            <w:top w:val="none" w:sz="0" w:space="0" w:color="auto"/>
            <w:left w:val="none" w:sz="0" w:space="0" w:color="auto"/>
            <w:bottom w:val="none" w:sz="0" w:space="0" w:color="auto"/>
            <w:right w:val="none" w:sz="0" w:space="0" w:color="auto"/>
          </w:divBdr>
        </w:div>
        <w:div w:id="733236974">
          <w:marLeft w:val="480"/>
          <w:marRight w:val="0"/>
          <w:marTop w:val="0"/>
          <w:marBottom w:val="0"/>
          <w:divBdr>
            <w:top w:val="none" w:sz="0" w:space="0" w:color="auto"/>
            <w:left w:val="none" w:sz="0" w:space="0" w:color="auto"/>
            <w:bottom w:val="none" w:sz="0" w:space="0" w:color="auto"/>
            <w:right w:val="none" w:sz="0" w:space="0" w:color="auto"/>
          </w:divBdr>
        </w:div>
        <w:div w:id="1940989030">
          <w:marLeft w:val="480"/>
          <w:marRight w:val="0"/>
          <w:marTop w:val="0"/>
          <w:marBottom w:val="0"/>
          <w:divBdr>
            <w:top w:val="none" w:sz="0" w:space="0" w:color="auto"/>
            <w:left w:val="none" w:sz="0" w:space="0" w:color="auto"/>
            <w:bottom w:val="none" w:sz="0" w:space="0" w:color="auto"/>
            <w:right w:val="none" w:sz="0" w:space="0" w:color="auto"/>
          </w:divBdr>
        </w:div>
        <w:div w:id="102574011">
          <w:marLeft w:val="480"/>
          <w:marRight w:val="0"/>
          <w:marTop w:val="0"/>
          <w:marBottom w:val="0"/>
          <w:divBdr>
            <w:top w:val="none" w:sz="0" w:space="0" w:color="auto"/>
            <w:left w:val="none" w:sz="0" w:space="0" w:color="auto"/>
            <w:bottom w:val="none" w:sz="0" w:space="0" w:color="auto"/>
            <w:right w:val="none" w:sz="0" w:space="0" w:color="auto"/>
          </w:divBdr>
        </w:div>
        <w:div w:id="2066096483">
          <w:marLeft w:val="480"/>
          <w:marRight w:val="0"/>
          <w:marTop w:val="0"/>
          <w:marBottom w:val="0"/>
          <w:divBdr>
            <w:top w:val="none" w:sz="0" w:space="0" w:color="auto"/>
            <w:left w:val="none" w:sz="0" w:space="0" w:color="auto"/>
            <w:bottom w:val="none" w:sz="0" w:space="0" w:color="auto"/>
            <w:right w:val="none" w:sz="0" w:space="0" w:color="auto"/>
          </w:divBdr>
        </w:div>
        <w:div w:id="787041548">
          <w:marLeft w:val="480"/>
          <w:marRight w:val="0"/>
          <w:marTop w:val="0"/>
          <w:marBottom w:val="0"/>
          <w:divBdr>
            <w:top w:val="none" w:sz="0" w:space="0" w:color="auto"/>
            <w:left w:val="none" w:sz="0" w:space="0" w:color="auto"/>
            <w:bottom w:val="none" w:sz="0" w:space="0" w:color="auto"/>
            <w:right w:val="none" w:sz="0" w:space="0" w:color="auto"/>
          </w:divBdr>
        </w:div>
        <w:div w:id="2051419440">
          <w:marLeft w:val="480"/>
          <w:marRight w:val="0"/>
          <w:marTop w:val="0"/>
          <w:marBottom w:val="0"/>
          <w:divBdr>
            <w:top w:val="none" w:sz="0" w:space="0" w:color="auto"/>
            <w:left w:val="none" w:sz="0" w:space="0" w:color="auto"/>
            <w:bottom w:val="none" w:sz="0" w:space="0" w:color="auto"/>
            <w:right w:val="none" w:sz="0" w:space="0" w:color="auto"/>
          </w:divBdr>
        </w:div>
        <w:div w:id="655110806">
          <w:marLeft w:val="480"/>
          <w:marRight w:val="0"/>
          <w:marTop w:val="0"/>
          <w:marBottom w:val="0"/>
          <w:divBdr>
            <w:top w:val="none" w:sz="0" w:space="0" w:color="auto"/>
            <w:left w:val="none" w:sz="0" w:space="0" w:color="auto"/>
            <w:bottom w:val="none" w:sz="0" w:space="0" w:color="auto"/>
            <w:right w:val="none" w:sz="0" w:space="0" w:color="auto"/>
          </w:divBdr>
        </w:div>
        <w:div w:id="2032222053">
          <w:marLeft w:val="480"/>
          <w:marRight w:val="0"/>
          <w:marTop w:val="0"/>
          <w:marBottom w:val="0"/>
          <w:divBdr>
            <w:top w:val="none" w:sz="0" w:space="0" w:color="auto"/>
            <w:left w:val="none" w:sz="0" w:space="0" w:color="auto"/>
            <w:bottom w:val="none" w:sz="0" w:space="0" w:color="auto"/>
            <w:right w:val="none" w:sz="0" w:space="0" w:color="auto"/>
          </w:divBdr>
        </w:div>
        <w:div w:id="76681565">
          <w:marLeft w:val="480"/>
          <w:marRight w:val="0"/>
          <w:marTop w:val="0"/>
          <w:marBottom w:val="0"/>
          <w:divBdr>
            <w:top w:val="none" w:sz="0" w:space="0" w:color="auto"/>
            <w:left w:val="none" w:sz="0" w:space="0" w:color="auto"/>
            <w:bottom w:val="none" w:sz="0" w:space="0" w:color="auto"/>
            <w:right w:val="none" w:sz="0" w:space="0" w:color="auto"/>
          </w:divBdr>
        </w:div>
        <w:div w:id="1314868879">
          <w:marLeft w:val="480"/>
          <w:marRight w:val="0"/>
          <w:marTop w:val="0"/>
          <w:marBottom w:val="0"/>
          <w:divBdr>
            <w:top w:val="none" w:sz="0" w:space="0" w:color="auto"/>
            <w:left w:val="none" w:sz="0" w:space="0" w:color="auto"/>
            <w:bottom w:val="none" w:sz="0" w:space="0" w:color="auto"/>
            <w:right w:val="none" w:sz="0" w:space="0" w:color="auto"/>
          </w:divBdr>
        </w:div>
        <w:div w:id="919218485">
          <w:marLeft w:val="480"/>
          <w:marRight w:val="0"/>
          <w:marTop w:val="0"/>
          <w:marBottom w:val="0"/>
          <w:divBdr>
            <w:top w:val="none" w:sz="0" w:space="0" w:color="auto"/>
            <w:left w:val="none" w:sz="0" w:space="0" w:color="auto"/>
            <w:bottom w:val="none" w:sz="0" w:space="0" w:color="auto"/>
            <w:right w:val="none" w:sz="0" w:space="0" w:color="auto"/>
          </w:divBdr>
        </w:div>
        <w:div w:id="1971394463">
          <w:marLeft w:val="480"/>
          <w:marRight w:val="0"/>
          <w:marTop w:val="0"/>
          <w:marBottom w:val="0"/>
          <w:divBdr>
            <w:top w:val="none" w:sz="0" w:space="0" w:color="auto"/>
            <w:left w:val="none" w:sz="0" w:space="0" w:color="auto"/>
            <w:bottom w:val="none" w:sz="0" w:space="0" w:color="auto"/>
            <w:right w:val="none" w:sz="0" w:space="0" w:color="auto"/>
          </w:divBdr>
        </w:div>
        <w:div w:id="1579749763">
          <w:marLeft w:val="480"/>
          <w:marRight w:val="0"/>
          <w:marTop w:val="0"/>
          <w:marBottom w:val="0"/>
          <w:divBdr>
            <w:top w:val="none" w:sz="0" w:space="0" w:color="auto"/>
            <w:left w:val="none" w:sz="0" w:space="0" w:color="auto"/>
            <w:bottom w:val="none" w:sz="0" w:space="0" w:color="auto"/>
            <w:right w:val="none" w:sz="0" w:space="0" w:color="auto"/>
          </w:divBdr>
        </w:div>
        <w:div w:id="1016465649">
          <w:marLeft w:val="480"/>
          <w:marRight w:val="0"/>
          <w:marTop w:val="0"/>
          <w:marBottom w:val="0"/>
          <w:divBdr>
            <w:top w:val="none" w:sz="0" w:space="0" w:color="auto"/>
            <w:left w:val="none" w:sz="0" w:space="0" w:color="auto"/>
            <w:bottom w:val="none" w:sz="0" w:space="0" w:color="auto"/>
            <w:right w:val="none" w:sz="0" w:space="0" w:color="auto"/>
          </w:divBdr>
        </w:div>
        <w:div w:id="1253005401">
          <w:marLeft w:val="480"/>
          <w:marRight w:val="0"/>
          <w:marTop w:val="0"/>
          <w:marBottom w:val="0"/>
          <w:divBdr>
            <w:top w:val="none" w:sz="0" w:space="0" w:color="auto"/>
            <w:left w:val="none" w:sz="0" w:space="0" w:color="auto"/>
            <w:bottom w:val="none" w:sz="0" w:space="0" w:color="auto"/>
            <w:right w:val="none" w:sz="0" w:space="0" w:color="auto"/>
          </w:divBdr>
        </w:div>
        <w:div w:id="1269656390">
          <w:marLeft w:val="480"/>
          <w:marRight w:val="0"/>
          <w:marTop w:val="0"/>
          <w:marBottom w:val="0"/>
          <w:divBdr>
            <w:top w:val="none" w:sz="0" w:space="0" w:color="auto"/>
            <w:left w:val="none" w:sz="0" w:space="0" w:color="auto"/>
            <w:bottom w:val="none" w:sz="0" w:space="0" w:color="auto"/>
            <w:right w:val="none" w:sz="0" w:space="0" w:color="auto"/>
          </w:divBdr>
        </w:div>
        <w:div w:id="799151644">
          <w:marLeft w:val="480"/>
          <w:marRight w:val="0"/>
          <w:marTop w:val="0"/>
          <w:marBottom w:val="0"/>
          <w:divBdr>
            <w:top w:val="none" w:sz="0" w:space="0" w:color="auto"/>
            <w:left w:val="none" w:sz="0" w:space="0" w:color="auto"/>
            <w:bottom w:val="none" w:sz="0" w:space="0" w:color="auto"/>
            <w:right w:val="none" w:sz="0" w:space="0" w:color="auto"/>
          </w:divBdr>
        </w:div>
        <w:div w:id="1463882621">
          <w:marLeft w:val="480"/>
          <w:marRight w:val="0"/>
          <w:marTop w:val="0"/>
          <w:marBottom w:val="0"/>
          <w:divBdr>
            <w:top w:val="none" w:sz="0" w:space="0" w:color="auto"/>
            <w:left w:val="none" w:sz="0" w:space="0" w:color="auto"/>
            <w:bottom w:val="none" w:sz="0" w:space="0" w:color="auto"/>
            <w:right w:val="none" w:sz="0" w:space="0" w:color="auto"/>
          </w:divBdr>
        </w:div>
        <w:div w:id="230242228">
          <w:marLeft w:val="480"/>
          <w:marRight w:val="0"/>
          <w:marTop w:val="0"/>
          <w:marBottom w:val="0"/>
          <w:divBdr>
            <w:top w:val="none" w:sz="0" w:space="0" w:color="auto"/>
            <w:left w:val="none" w:sz="0" w:space="0" w:color="auto"/>
            <w:bottom w:val="none" w:sz="0" w:space="0" w:color="auto"/>
            <w:right w:val="none" w:sz="0" w:space="0" w:color="auto"/>
          </w:divBdr>
        </w:div>
        <w:div w:id="1509978174">
          <w:marLeft w:val="480"/>
          <w:marRight w:val="0"/>
          <w:marTop w:val="0"/>
          <w:marBottom w:val="0"/>
          <w:divBdr>
            <w:top w:val="none" w:sz="0" w:space="0" w:color="auto"/>
            <w:left w:val="none" w:sz="0" w:space="0" w:color="auto"/>
            <w:bottom w:val="none" w:sz="0" w:space="0" w:color="auto"/>
            <w:right w:val="none" w:sz="0" w:space="0" w:color="auto"/>
          </w:divBdr>
        </w:div>
        <w:div w:id="1139034647">
          <w:marLeft w:val="480"/>
          <w:marRight w:val="0"/>
          <w:marTop w:val="0"/>
          <w:marBottom w:val="0"/>
          <w:divBdr>
            <w:top w:val="none" w:sz="0" w:space="0" w:color="auto"/>
            <w:left w:val="none" w:sz="0" w:space="0" w:color="auto"/>
            <w:bottom w:val="none" w:sz="0" w:space="0" w:color="auto"/>
            <w:right w:val="none" w:sz="0" w:space="0" w:color="auto"/>
          </w:divBdr>
        </w:div>
        <w:div w:id="987905727">
          <w:marLeft w:val="480"/>
          <w:marRight w:val="0"/>
          <w:marTop w:val="0"/>
          <w:marBottom w:val="0"/>
          <w:divBdr>
            <w:top w:val="none" w:sz="0" w:space="0" w:color="auto"/>
            <w:left w:val="none" w:sz="0" w:space="0" w:color="auto"/>
            <w:bottom w:val="none" w:sz="0" w:space="0" w:color="auto"/>
            <w:right w:val="none" w:sz="0" w:space="0" w:color="auto"/>
          </w:divBdr>
        </w:div>
        <w:div w:id="816458902">
          <w:marLeft w:val="480"/>
          <w:marRight w:val="0"/>
          <w:marTop w:val="0"/>
          <w:marBottom w:val="0"/>
          <w:divBdr>
            <w:top w:val="none" w:sz="0" w:space="0" w:color="auto"/>
            <w:left w:val="none" w:sz="0" w:space="0" w:color="auto"/>
            <w:bottom w:val="none" w:sz="0" w:space="0" w:color="auto"/>
            <w:right w:val="none" w:sz="0" w:space="0" w:color="auto"/>
          </w:divBdr>
        </w:div>
        <w:div w:id="1459569932">
          <w:marLeft w:val="480"/>
          <w:marRight w:val="0"/>
          <w:marTop w:val="0"/>
          <w:marBottom w:val="0"/>
          <w:divBdr>
            <w:top w:val="none" w:sz="0" w:space="0" w:color="auto"/>
            <w:left w:val="none" w:sz="0" w:space="0" w:color="auto"/>
            <w:bottom w:val="none" w:sz="0" w:space="0" w:color="auto"/>
            <w:right w:val="none" w:sz="0" w:space="0" w:color="auto"/>
          </w:divBdr>
        </w:div>
        <w:div w:id="421730317">
          <w:marLeft w:val="480"/>
          <w:marRight w:val="0"/>
          <w:marTop w:val="0"/>
          <w:marBottom w:val="0"/>
          <w:divBdr>
            <w:top w:val="none" w:sz="0" w:space="0" w:color="auto"/>
            <w:left w:val="none" w:sz="0" w:space="0" w:color="auto"/>
            <w:bottom w:val="none" w:sz="0" w:space="0" w:color="auto"/>
            <w:right w:val="none" w:sz="0" w:space="0" w:color="auto"/>
          </w:divBdr>
        </w:div>
        <w:div w:id="757601803">
          <w:marLeft w:val="480"/>
          <w:marRight w:val="0"/>
          <w:marTop w:val="0"/>
          <w:marBottom w:val="0"/>
          <w:divBdr>
            <w:top w:val="none" w:sz="0" w:space="0" w:color="auto"/>
            <w:left w:val="none" w:sz="0" w:space="0" w:color="auto"/>
            <w:bottom w:val="none" w:sz="0" w:space="0" w:color="auto"/>
            <w:right w:val="none" w:sz="0" w:space="0" w:color="auto"/>
          </w:divBdr>
        </w:div>
        <w:div w:id="1829053882">
          <w:marLeft w:val="480"/>
          <w:marRight w:val="0"/>
          <w:marTop w:val="0"/>
          <w:marBottom w:val="0"/>
          <w:divBdr>
            <w:top w:val="none" w:sz="0" w:space="0" w:color="auto"/>
            <w:left w:val="none" w:sz="0" w:space="0" w:color="auto"/>
            <w:bottom w:val="none" w:sz="0" w:space="0" w:color="auto"/>
            <w:right w:val="none" w:sz="0" w:space="0" w:color="auto"/>
          </w:divBdr>
        </w:div>
        <w:div w:id="927424729">
          <w:marLeft w:val="480"/>
          <w:marRight w:val="0"/>
          <w:marTop w:val="0"/>
          <w:marBottom w:val="0"/>
          <w:divBdr>
            <w:top w:val="none" w:sz="0" w:space="0" w:color="auto"/>
            <w:left w:val="none" w:sz="0" w:space="0" w:color="auto"/>
            <w:bottom w:val="none" w:sz="0" w:space="0" w:color="auto"/>
            <w:right w:val="none" w:sz="0" w:space="0" w:color="auto"/>
          </w:divBdr>
        </w:div>
        <w:div w:id="1097871104">
          <w:marLeft w:val="480"/>
          <w:marRight w:val="0"/>
          <w:marTop w:val="0"/>
          <w:marBottom w:val="0"/>
          <w:divBdr>
            <w:top w:val="none" w:sz="0" w:space="0" w:color="auto"/>
            <w:left w:val="none" w:sz="0" w:space="0" w:color="auto"/>
            <w:bottom w:val="none" w:sz="0" w:space="0" w:color="auto"/>
            <w:right w:val="none" w:sz="0" w:space="0" w:color="auto"/>
          </w:divBdr>
        </w:div>
        <w:div w:id="1579439724">
          <w:marLeft w:val="480"/>
          <w:marRight w:val="0"/>
          <w:marTop w:val="0"/>
          <w:marBottom w:val="0"/>
          <w:divBdr>
            <w:top w:val="none" w:sz="0" w:space="0" w:color="auto"/>
            <w:left w:val="none" w:sz="0" w:space="0" w:color="auto"/>
            <w:bottom w:val="none" w:sz="0" w:space="0" w:color="auto"/>
            <w:right w:val="none" w:sz="0" w:space="0" w:color="auto"/>
          </w:divBdr>
        </w:div>
        <w:div w:id="1504004591">
          <w:marLeft w:val="480"/>
          <w:marRight w:val="0"/>
          <w:marTop w:val="0"/>
          <w:marBottom w:val="0"/>
          <w:divBdr>
            <w:top w:val="none" w:sz="0" w:space="0" w:color="auto"/>
            <w:left w:val="none" w:sz="0" w:space="0" w:color="auto"/>
            <w:bottom w:val="none" w:sz="0" w:space="0" w:color="auto"/>
            <w:right w:val="none" w:sz="0" w:space="0" w:color="auto"/>
          </w:divBdr>
        </w:div>
        <w:div w:id="449012282">
          <w:marLeft w:val="480"/>
          <w:marRight w:val="0"/>
          <w:marTop w:val="0"/>
          <w:marBottom w:val="0"/>
          <w:divBdr>
            <w:top w:val="none" w:sz="0" w:space="0" w:color="auto"/>
            <w:left w:val="none" w:sz="0" w:space="0" w:color="auto"/>
            <w:bottom w:val="none" w:sz="0" w:space="0" w:color="auto"/>
            <w:right w:val="none" w:sz="0" w:space="0" w:color="auto"/>
          </w:divBdr>
        </w:div>
        <w:div w:id="700084307">
          <w:marLeft w:val="480"/>
          <w:marRight w:val="0"/>
          <w:marTop w:val="0"/>
          <w:marBottom w:val="0"/>
          <w:divBdr>
            <w:top w:val="none" w:sz="0" w:space="0" w:color="auto"/>
            <w:left w:val="none" w:sz="0" w:space="0" w:color="auto"/>
            <w:bottom w:val="none" w:sz="0" w:space="0" w:color="auto"/>
            <w:right w:val="none" w:sz="0" w:space="0" w:color="auto"/>
          </w:divBdr>
        </w:div>
        <w:div w:id="923605447">
          <w:marLeft w:val="480"/>
          <w:marRight w:val="0"/>
          <w:marTop w:val="0"/>
          <w:marBottom w:val="0"/>
          <w:divBdr>
            <w:top w:val="none" w:sz="0" w:space="0" w:color="auto"/>
            <w:left w:val="none" w:sz="0" w:space="0" w:color="auto"/>
            <w:bottom w:val="none" w:sz="0" w:space="0" w:color="auto"/>
            <w:right w:val="none" w:sz="0" w:space="0" w:color="auto"/>
          </w:divBdr>
        </w:div>
        <w:div w:id="760183896">
          <w:marLeft w:val="480"/>
          <w:marRight w:val="0"/>
          <w:marTop w:val="0"/>
          <w:marBottom w:val="0"/>
          <w:divBdr>
            <w:top w:val="none" w:sz="0" w:space="0" w:color="auto"/>
            <w:left w:val="none" w:sz="0" w:space="0" w:color="auto"/>
            <w:bottom w:val="none" w:sz="0" w:space="0" w:color="auto"/>
            <w:right w:val="none" w:sz="0" w:space="0" w:color="auto"/>
          </w:divBdr>
        </w:div>
        <w:div w:id="1759250679">
          <w:marLeft w:val="480"/>
          <w:marRight w:val="0"/>
          <w:marTop w:val="0"/>
          <w:marBottom w:val="0"/>
          <w:divBdr>
            <w:top w:val="none" w:sz="0" w:space="0" w:color="auto"/>
            <w:left w:val="none" w:sz="0" w:space="0" w:color="auto"/>
            <w:bottom w:val="none" w:sz="0" w:space="0" w:color="auto"/>
            <w:right w:val="none" w:sz="0" w:space="0" w:color="auto"/>
          </w:divBdr>
        </w:div>
        <w:div w:id="2117410122">
          <w:marLeft w:val="480"/>
          <w:marRight w:val="0"/>
          <w:marTop w:val="0"/>
          <w:marBottom w:val="0"/>
          <w:divBdr>
            <w:top w:val="none" w:sz="0" w:space="0" w:color="auto"/>
            <w:left w:val="none" w:sz="0" w:space="0" w:color="auto"/>
            <w:bottom w:val="none" w:sz="0" w:space="0" w:color="auto"/>
            <w:right w:val="none" w:sz="0" w:space="0" w:color="auto"/>
          </w:divBdr>
        </w:div>
        <w:div w:id="1324167327">
          <w:marLeft w:val="480"/>
          <w:marRight w:val="0"/>
          <w:marTop w:val="0"/>
          <w:marBottom w:val="0"/>
          <w:divBdr>
            <w:top w:val="none" w:sz="0" w:space="0" w:color="auto"/>
            <w:left w:val="none" w:sz="0" w:space="0" w:color="auto"/>
            <w:bottom w:val="none" w:sz="0" w:space="0" w:color="auto"/>
            <w:right w:val="none" w:sz="0" w:space="0" w:color="auto"/>
          </w:divBdr>
        </w:div>
        <w:div w:id="139081285">
          <w:marLeft w:val="480"/>
          <w:marRight w:val="0"/>
          <w:marTop w:val="0"/>
          <w:marBottom w:val="0"/>
          <w:divBdr>
            <w:top w:val="none" w:sz="0" w:space="0" w:color="auto"/>
            <w:left w:val="none" w:sz="0" w:space="0" w:color="auto"/>
            <w:bottom w:val="none" w:sz="0" w:space="0" w:color="auto"/>
            <w:right w:val="none" w:sz="0" w:space="0" w:color="auto"/>
          </w:divBdr>
        </w:div>
        <w:div w:id="657921863">
          <w:marLeft w:val="480"/>
          <w:marRight w:val="0"/>
          <w:marTop w:val="0"/>
          <w:marBottom w:val="0"/>
          <w:divBdr>
            <w:top w:val="none" w:sz="0" w:space="0" w:color="auto"/>
            <w:left w:val="none" w:sz="0" w:space="0" w:color="auto"/>
            <w:bottom w:val="none" w:sz="0" w:space="0" w:color="auto"/>
            <w:right w:val="none" w:sz="0" w:space="0" w:color="auto"/>
          </w:divBdr>
        </w:div>
        <w:div w:id="370114186">
          <w:marLeft w:val="480"/>
          <w:marRight w:val="0"/>
          <w:marTop w:val="0"/>
          <w:marBottom w:val="0"/>
          <w:divBdr>
            <w:top w:val="none" w:sz="0" w:space="0" w:color="auto"/>
            <w:left w:val="none" w:sz="0" w:space="0" w:color="auto"/>
            <w:bottom w:val="none" w:sz="0" w:space="0" w:color="auto"/>
            <w:right w:val="none" w:sz="0" w:space="0" w:color="auto"/>
          </w:divBdr>
        </w:div>
        <w:div w:id="558443041">
          <w:marLeft w:val="480"/>
          <w:marRight w:val="0"/>
          <w:marTop w:val="0"/>
          <w:marBottom w:val="0"/>
          <w:divBdr>
            <w:top w:val="none" w:sz="0" w:space="0" w:color="auto"/>
            <w:left w:val="none" w:sz="0" w:space="0" w:color="auto"/>
            <w:bottom w:val="none" w:sz="0" w:space="0" w:color="auto"/>
            <w:right w:val="none" w:sz="0" w:space="0" w:color="auto"/>
          </w:divBdr>
        </w:div>
        <w:div w:id="250551900">
          <w:marLeft w:val="480"/>
          <w:marRight w:val="0"/>
          <w:marTop w:val="0"/>
          <w:marBottom w:val="0"/>
          <w:divBdr>
            <w:top w:val="none" w:sz="0" w:space="0" w:color="auto"/>
            <w:left w:val="none" w:sz="0" w:space="0" w:color="auto"/>
            <w:bottom w:val="none" w:sz="0" w:space="0" w:color="auto"/>
            <w:right w:val="none" w:sz="0" w:space="0" w:color="auto"/>
          </w:divBdr>
        </w:div>
        <w:div w:id="538129373">
          <w:marLeft w:val="480"/>
          <w:marRight w:val="0"/>
          <w:marTop w:val="0"/>
          <w:marBottom w:val="0"/>
          <w:divBdr>
            <w:top w:val="none" w:sz="0" w:space="0" w:color="auto"/>
            <w:left w:val="none" w:sz="0" w:space="0" w:color="auto"/>
            <w:bottom w:val="none" w:sz="0" w:space="0" w:color="auto"/>
            <w:right w:val="none" w:sz="0" w:space="0" w:color="auto"/>
          </w:divBdr>
        </w:div>
        <w:div w:id="505050268">
          <w:marLeft w:val="480"/>
          <w:marRight w:val="0"/>
          <w:marTop w:val="0"/>
          <w:marBottom w:val="0"/>
          <w:divBdr>
            <w:top w:val="none" w:sz="0" w:space="0" w:color="auto"/>
            <w:left w:val="none" w:sz="0" w:space="0" w:color="auto"/>
            <w:bottom w:val="none" w:sz="0" w:space="0" w:color="auto"/>
            <w:right w:val="none" w:sz="0" w:space="0" w:color="auto"/>
          </w:divBdr>
        </w:div>
        <w:div w:id="796030104">
          <w:marLeft w:val="480"/>
          <w:marRight w:val="0"/>
          <w:marTop w:val="0"/>
          <w:marBottom w:val="0"/>
          <w:divBdr>
            <w:top w:val="none" w:sz="0" w:space="0" w:color="auto"/>
            <w:left w:val="none" w:sz="0" w:space="0" w:color="auto"/>
            <w:bottom w:val="none" w:sz="0" w:space="0" w:color="auto"/>
            <w:right w:val="none" w:sz="0" w:space="0" w:color="auto"/>
          </w:divBdr>
        </w:div>
        <w:div w:id="485437869">
          <w:marLeft w:val="480"/>
          <w:marRight w:val="0"/>
          <w:marTop w:val="0"/>
          <w:marBottom w:val="0"/>
          <w:divBdr>
            <w:top w:val="none" w:sz="0" w:space="0" w:color="auto"/>
            <w:left w:val="none" w:sz="0" w:space="0" w:color="auto"/>
            <w:bottom w:val="none" w:sz="0" w:space="0" w:color="auto"/>
            <w:right w:val="none" w:sz="0" w:space="0" w:color="auto"/>
          </w:divBdr>
        </w:div>
        <w:div w:id="296300362">
          <w:marLeft w:val="480"/>
          <w:marRight w:val="0"/>
          <w:marTop w:val="0"/>
          <w:marBottom w:val="0"/>
          <w:divBdr>
            <w:top w:val="none" w:sz="0" w:space="0" w:color="auto"/>
            <w:left w:val="none" w:sz="0" w:space="0" w:color="auto"/>
            <w:bottom w:val="none" w:sz="0" w:space="0" w:color="auto"/>
            <w:right w:val="none" w:sz="0" w:space="0" w:color="auto"/>
          </w:divBdr>
        </w:div>
        <w:div w:id="606742410">
          <w:marLeft w:val="480"/>
          <w:marRight w:val="0"/>
          <w:marTop w:val="0"/>
          <w:marBottom w:val="0"/>
          <w:divBdr>
            <w:top w:val="none" w:sz="0" w:space="0" w:color="auto"/>
            <w:left w:val="none" w:sz="0" w:space="0" w:color="auto"/>
            <w:bottom w:val="none" w:sz="0" w:space="0" w:color="auto"/>
            <w:right w:val="none" w:sz="0" w:space="0" w:color="auto"/>
          </w:divBdr>
        </w:div>
        <w:div w:id="744107330">
          <w:marLeft w:val="480"/>
          <w:marRight w:val="0"/>
          <w:marTop w:val="0"/>
          <w:marBottom w:val="0"/>
          <w:divBdr>
            <w:top w:val="none" w:sz="0" w:space="0" w:color="auto"/>
            <w:left w:val="none" w:sz="0" w:space="0" w:color="auto"/>
            <w:bottom w:val="none" w:sz="0" w:space="0" w:color="auto"/>
            <w:right w:val="none" w:sz="0" w:space="0" w:color="auto"/>
          </w:divBdr>
        </w:div>
        <w:div w:id="2052144445">
          <w:marLeft w:val="480"/>
          <w:marRight w:val="0"/>
          <w:marTop w:val="0"/>
          <w:marBottom w:val="0"/>
          <w:divBdr>
            <w:top w:val="none" w:sz="0" w:space="0" w:color="auto"/>
            <w:left w:val="none" w:sz="0" w:space="0" w:color="auto"/>
            <w:bottom w:val="none" w:sz="0" w:space="0" w:color="auto"/>
            <w:right w:val="none" w:sz="0" w:space="0" w:color="auto"/>
          </w:divBdr>
        </w:div>
        <w:div w:id="60367901">
          <w:marLeft w:val="480"/>
          <w:marRight w:val="0"/>
          <w:marTop w:val="0"/>
          <w:marBottom w:val="0"/>
          <w:divBdr>
            <w:top w:val="none" w:sz="0" w:space="0" w:color="auto"/>
            <w:left w:val="none" w:sz="0" w:space="0" w:color="auto"/>
            <w:bottom w:val="none" w:sz="0" w:space="0" w:color="auto"/>
            <w:right w:val="none" w:sz="0" w:space="0" w:color="auto"/>
          </w:divBdr>
        </w:div>
        <w:div w:id="1660841490">
          <w:marLeft w:val="480"/>
          <w:marRight w:val="0"/>
          <w:marTop w:val="0"/>
          <w:marBottom w:val="0"/>
          <w:divBdr>
            <w:top w:val="none" w:sz="0" w:space="0" w:color="auto"/>
            <w:left w:val="none" w:sz="0" w:space="0" w:color="auto"/>
            <w:bottom w:val="none" w:sz="0" w:space="0" w:color="auto"/>
            <w:right w:val="none" w:sz="0" w:space="0" w:color="auto"/>
          </w:divBdr>
        </w:div>
        <w:div w:id="1902789238">
          <w:marLeft w:val="480"/>
          <w:marRight w:val="0"/>
          <w:marTop w:val="0"/>
          <w:marBottom w:val="0"/>
          <w:divBdr>
            <w:top w:val="none" w:sz="0" w:space="0" w:color="auto"/>
            <w:left w:val="none" w:sz="0" w:space="0" w:color="auto"/>
            <w:bottom w:val="none" w:sz="0" w:space="0" w:color="auto"/>
            <w:right w:val="none" w:sz="0" w:space="0" w:color="auto"/>
          </w:divBdr>
        </w:div>
        <w:div w:id="260842029">
          <w:marLeft w:val="480"/>
          <w:marRight w:val="0"/>
          <w:marTop w:val="0"/>
          <w:marBottom w:val="0"/>
          <w:divBdr>
            <w:top w:val="none" w:sz="0" w:space="0" w:color="auto"/>
            <w:left w:val="none" w:sz="0" w:space="0" w:color="auto"/>
            <w:bottom w:val="none" w:sz="0" w:space="0" w:color="auto"/>
            <w:right w:val="none" w:sz="0" w:space="0" w:color="auto"/>
          </w:divBdr>
        </w:div>
        <w:div w:id="1766808300">
          <w:marLeft w:val="480"/>
          <w:marRight w:val="0"/>
          <w:marTop w:val="0"/>
          <w:marBottom w:val="0"/>
          <w:divBdr>
            <w:top w:val="none" w:sz="0" w:space="0" w:color="auto"/>
            <w:left w:val="none" w:sz="0" w:space="0" w:color="auto"/>
            <w:bottom w:val="none" w:sz="0" w:space="0" w:color="auto"/>
            <w:right w:val="none" w:sz="0" w:space="0" w:color="auto"/>
          </w:divBdr>
        </w:div>
        <w:div w:id="1315648728">
          <w:marLeft w:val="480"/>
          <w:marRight w:val="0"/>
          <w:marTop w:val="0"/>
          <w:marBottom w:val="0"/>
          <w:divBdr>
            <w:top w:val="none" w:sz="0" w:space="0" w:color="auto"/>
            <w:left w:val="none" w:sz="0" w:space="0" w:color="auto"/>
            <w:bottom w:val="none" w:sz="0" w:space="0" w:color="auto"/>
            <w:right w:val="none" w:sz="0" w:space="0" w:color="auto"/>
          </w:divBdr>
        </w:div>
        <w:div w:id="1431855395">
          <w:marLeft w:val="480"/>
          <w:marRight w:val="0"/>
          <w:marTop w:val="0"/>
          <w:marBottom w:val="0"/>
          <w:divBdr>
            <w:top w:val="none" w:sz="0" w:space="0" w:color="auto"/>
            <w:left w:val="none" w:sz="0" w:space="0" w:color="auto"/>
            <w:bottom w:val="none" w:sz="0" w:space="0" w:color="auto"/>
            <w:right w:val="none" w:sz="0" w:space="0" w:color="auto"/>
          </w:divBdr>
        </w:div>
        <w:div w:id="1910119193">
          <w:marLeft w:val="480"/>
          <w:marRight w:val="0"/>
          <w:marTop w:val="0"/>
          <w:marBottom w:val="0"/>
          <w:divBdr>
            <w:top w:val="none" w:sz="0" w:space="0" w:color="auto"/>
            <w:left w:val="none" w:sz="0" w:space="0" w:color="auto"/>
            <w:bottom w:val="none" w:sz="0" w:space="0" w:color="auto"/>
            <w:right w:val="none" w:sz="0" w:space="0" w:color="auto"/>
          </w:divBdr>
        </w:div>
        <w:div w:id="1069381139">
          <w:marLeft w:val="480"/>
          <w:marRight w:val="0"/>
          <w:marTop w:val="0"/>
          <w:marBottom w:val="0"/>
          <w:divBdr>
            <w:top w:val="none" w:sz="0" w:space="0" w:color="auto"/>
            <w:left w:val="none" w:sz="0" w:space="0" w:color="auto"/>
            <w:bottom w:val="none" w:sz="0" w:space="0" w:color="auto"/>
            <w:right w:val="none" w:sz="0" w:space="0" w:color="auto"/>
          </w:divBdr>
        </w:div>
        <w:div w:id="210501861">
          <w:marLeft w:val="480"/>
          <w:marRight w:val="0"/>
          <w:marTop w:val="0"/>
          <w:marBottom w:val="0"/>
          <w:divBdr>
            <w:top w:val="none" w:sz="0" w:space="0" w:color="auto"/>
            <w:left w:val="none" w:sz="0" w:space="0" w:color="auto"/>
            <w:bottom w:val="none" w:sz="0" w:space="0" w:color="auto"/>
            <w:right w:val="none" w:sz="0" w:space="0" w:color="auto"/>
          </w:divBdr>
        </w:div>
        <w:div w:id="2109765139">
          <w:marLeft w:val="480"/>
          <w:marRight w:val="0"/>
          <w:marTop w:val="0"/>
          <w:marBottom w:val="0"/>
          <w:divBdr>
            <w:top w:val="none" w:sz="0" w:space="0" w:color="auto"/>
            <w:left w:val="none" w:sz="0" w:space="0" w:color="auto"/>
            <w:bottom w:val="none" w:sz="0" w:space="0" w:color="auto"/>
            <w:right w:val="none" w:sz="0" w:space="0" w:color="auto"/>
          </w:divBdr>
        </w:div>
        <w:div w:id="1781412016">
          <w:marLeft w:val="480"/>
          <w:marRight w:val="0"/>
          <w:marTop w:val="0"/>
          <w:marBottom w:val="0"/>
          <w:divBdr>
            <w:top w:val="none" w:sz="0" w:space="0" w:color="auto"/>
            <w:left w:val="none" w:sz="0" w:space="0" w:color="auto"/>
            <w:bottom w:val="none" w:sz="0" w:space="0" w:color="auto"/>
            <w:right w:val="none" w:sz="0" w:space="0" w:color="auto"/>
          </w:divBdr>
        </w:div>
        <w:div w:id="223836772">
          <w:marLeft w:val="480"/>
          <w:marRight w:val="0"/>
          <w:marTop w:val="0"/>
          <w:marBottom w:val="0"/>
          <w:divBdr>
            <w:top w:val="none" w:sz="0" w:space="0" w:color="auto"/>
            <w:left w:val="none" w:sz="0" w:space="0" w:color="auto"/>
            <w:bottom w:val="none" w:sz="0" w:space="0" w:color="auto"/>
            <w:right w:val="none" w:sz="0" w:space="0" w:color="auto"/>
          </w:divBdr>
        </w:div>
        <w:div w:id="1312951837">
          <w:marLeft w:val="480"/>
          <w:marRight w:val="0"/>
          <w:marTop w:val="0"/>
          <w:marBottom w:val="0"/>
          <w:divBdr>
            <w:top w:val="none" w:sz="0" w:space="0" w:color="auto"/>
            <w:left w:val="none" w:sz="0" w:space="0" w:color="auto"/>
            <w:bottom w:val="none" w:sz="0" w:space="0" w:color="auto"/>
            <w:right w:val="none" w:sz="0" w:space="0" w:color="auto"/>
          </w:divBdr>
        </w:div>
        <w:div w:id="568656569">
          <w:marLeft w:val="480"/>
          <w:marRight w:val="0"/>
          <w:marTop w:val="0"/>
          <w:marBottom w:val="0"/>
          <w:divBdr>
            <w:top w:val="none" w:sz="0" w:space="0" w:color="auto"/>
            <w:left w:val="none" w:sz="0" w:space="0" w:color="auto"/>
            <w:bottom w:val="none" w:sz="0" w:space="0" w:color="auto"/>
            <w:right w:val="none" w:sz="0" w:space="0" w:color="auto"/>
          </w:divBdr>
        </w:div>
        <w:div w:id="19943169">
          <w:marLeft w:val="480"/>
          <w:marRight w:val="0"/>
          <w:marTop w:val="0"/>
          <w:marBottom w:val="0"/>
          <w:divBdr>
            <w:top w:val="none" w:sz="0" w:space="0" w:color="auto"/>
            <w:left w:val="none" w:sz="0" w:space="0" w:color="auto"/>
            <w:bottom w:val="none" w:sz="0" w:space="0" w:color="auto"/>
            <w:right w:val="none" w:sz="0" w:space="0" w:color="auto"/>
          </w:divBdr>
        </w:div>
        <w:div w:id="321080237">
          <w:marLeft w:val="480"/>
          <w:marRight w:val="0"/>
          <w:marTop w:val="0"/>
          <w:marBottom w:val="0"/>
          <w:divBdr>
            <w:top w:val="none" w:sz="0" w:space="0" w:color="auto"/>
            <w:left w:val="none" w:sz="0" w:space="0" w:color="auto"/>
            <w:bottom w:val="none" w:sz="0" w:space="0" w:color="auto"/>
            <w:right w:val="none" w:sz="0" w:space="0" w:color="auto"/>
          </w:divBdr>
        </w:div>
        <w:div w:id="205147939">
          <w:marLeft w:val="480"/>
          <w:marRight w:val="0"/>
          <w:marTop w:val="0"/>
          <w:marBottom w:val="0"/>
          <w:divBdr>
            <w:top w:val="none" w:sz="0" w:space="0" w:color="auto"/>
            <w:left w:val="none" w:sz="0" w:space="0" w:color="auto"/>
            <w:bottom w:val="none" w:sz="0" w:space="0" w:color="auto"/>
            <w:right w:val="none" w:sz="0" w:space="0" w:color="auto"/>
          </w:divBdr>
        </w:div>
        <w:div w:id="88745710">
          <w:marLeft w:val="480"/>
          <w:marRight w:val="0"/>
          <w:marTop w:val="0"/>
          <w:marBottom w:val="0"/>
          <w:divBdr>
            <w:top w:val="none" w:sz="0" w:space="0" w:color="auto"/>
            <w:left w:val="none" w:sz="0" w:space="0" w:color="auto"/>
            <w:bottom w:val="none" w:sz="0" w:space="0" w:color="auto"/>
            <w:right w:val="none" w:sz="0" w:space="0" w:color="auto"/>
          </w:divBdr>
        </w:div>
        <w:div w:id="1381321770">
          <w:marLeft w:val="480"/>
          <w:marRight w:val="0"/>
          <w:marTop w:val="0"/>
          <w:marBottom w:val="0"/>
          <w:divBdr>
            <w:top w:val="none" w:sz="0" w:space="0" w:color="auto"/>
            <w:left w:val="none" w:sz="0" w:space="0" w:color="auto"/>
            <w:bottom w:val="none" w:sz="0" w:space="0" w:color="auto"/>
            <w:right w:val="none" w:sz="0" w:space="0" w:color="auto"/>
          </w:divBdr>
        </w:div>
        <w:div w:id="881870576">
          <w:marLeft w:val="480"/>
          <w:marRight w:val="0"/>
          <w:marTop w:val="0"/>
          <w:marBottom w:val="0"/>
          <w:divBdr>
            <w:top w:val="none" w:sz="0" w:space="0" w:color="auto"/>
            <w:left w:val="none" w:sz="0" w:space="0" w:color="auto"/>
            <w:bottom w:val="none" w:sz="0" w:space="0" w:color="auto"/>
            <w:right w:val="none" w:sz="0" w:space="0" w:color="auto"/>
          </w:divBdr>
        </w:div>
        <w:div w:id="1311709855">
          <w:marLeft w:val="480"/>
          <w:marRight w:val="0"/>
          <w:marTop w:val="0"/>
          <w:marBottom w:val="0"/>
          <w:divBdr>
            <w:top w:val="none" w:sz="0" w:space="0" w:color="auto"/>
            <w:left w:val="none" w:sz="0" w:space="0" w:color="auto"/>
            <w:bottom w:val="none" w:sz="0" w:space="0" w:color="auto"/>
            <w:right w:val="none" w:sz="0" w:space="0" w:color="auto"/>
          </w:divBdr>
        </w:div>
        <w:div w:id="228080597">
          <w:marLeft w:val="480"/>
          <w:marRight w:val="0"/>
          <w:marTop w:val="0"/>
          <w:marBottom w:val="0"/>
          <w:divBdr>
            <w:top w:val="none" w:sz="0" w:space="0" w:color="auto"/>
            <w:left w:val="none" w:sz="0" w:space="0" w:color="auto"/>
            <w:bottom w:val="none" w:sz="0" w:space="0" w:color="auto"/>
            <w:right w:val="none" w:sz="0" w:space="0" w:color="auto"/>
          </w:divBdr>
        </w:div>
        <w:div w:id="809324883">
          <w:marLeft w:val="480"/>
          <w:marRight w:val="0"/>
          <w:marTop w:val="0"/>
          <w:marBottom w:val="0"/>
          <w:divBdr>
            <w:top w:val="none" w:sz="0" w:space="0" w:color="auto"/>
            <w:left w:val="none" w:sz="0" w:space="0" w:color="auto"/>
            <w:bottom w:val="none" w:sz="0" w:space="0" w:color="auto"/>
            <w:right w:val="none" w:sz="0" w:space="0" w:color="auto"/>
          </w:divBdr>
        </w:div>
        <w:div w:id="1907960050">
          <w:marLeft w:val="480"/>
          <w:marRight w:val="0"/>
          <w:marTop w:val="0"/>
          <w:marBottom w:val="0"/>
          <w:divBdr>
            <w:top w:val="none" w:sz="0" w:space="0" w:color="auto"/>
            <w:left w:val="none" w:sz="0" w:space="0" w:color="auto"/>
            <w:bottom w:val="none" w:sz="0" w:space="0" w:color="auto"/>
            <w:right w:val="none" w:sz="0" w:space="0" w:color="auto"/>
          </w:divBdr>
        </w:div>
        <w:div w:id="672294407">
          <w:marLeft w:val="480"/>
          <w:marRight w:val="0"/>
          <w:marTop w:val="0"/>
          <w:marBottom w:val="0"/>
          <w:divBdr>
            <w:top w:val="none" w:sz="0" w:space="0" w:color="auto"/>
            <w:left w:val="none" w:sz="0" w:space="0" w:color="auto"/>
            <w:bottom w:val="none" w:sz="0" w:space="0" w:color="auto"/>
            <w:right w:val="none" w:sz="0" w:space="0" w:color="auto"/>
          </w:divBdr>
        </w:div>
        <w:div w:id="1297567561">
          <w:marLeft w:val="480"/>
          <w:marRight w:val="0"/>
          <w:marTop w:val="0"/>
          <w:marBottom w:val="0"/>
          <w:divBdr>
            <w:top w:val="none" w:sz="0" w:space="0" w:color="auto"/>
            <w:left w:val="none" w:sz="0" w:space="0" w:color="auto"/>
            <w:bottom w:val="none" w:sz="0" w:space="0" w:color="auto"/>
            <w:right w:val="none" w:sz="0" w:space="0" w:color="auto"/>
          </w:divBdr>
        </w:div>
        <w:div w:id="254214528">
          <w:marLeft w:val="480"/>
          <w:marRight w:val="0"/>
          <w:marTop w:val="0"/>
          <w:marBottom w:val="0"/>
          <w:divBdr>
            <w:top w:val="none" w:sz="0" w:space="0" w:color="auto"/>
            <w:left w:val="none" w:sz="0" w:space="0" w:color="auto"/>
            <w:bottom w:val="none" w:sz="0" w:space="0" w:color="auto"/>
            <w:right w:val="none" w:sz="0" w:space="0" w:color="auto"/>
          </w:divBdr>
        </w:div>
        <w:div w:id="171842917">
          <w:marLeft w:val="480"/>
          <w:marRight w:val="0"/>
          <w:marTop w:val="0"/>
          <w:marBottom w:val="0"/>
          <w:divBdr>
            <w:top w:val="none" w:sz="0" w:space="0" w:color="auto"/>
            <w:left w:val="none" w:sz="0" w:space="0" w:color="auto"/>
            <w:bottom w:val="none" w:sz="0" w:space="0" w:color="auto"/>
            <w:right w:val="none" w:sz="0" w:space="0" w:color="auto"/>
          </w:divBdr>
        </w:div>
        <w:div w:id="1143280319">
          <w:marLeft w:val="480"/>
          <w:marRight w:val="0"/>
          <w:marTop w:val="0"/>
          <w:marBottom w:val="0"/>
          <w:divBdr>
            <w:top w:val="none" w:sz="0" w:space="0" w:color="auto"/>
            <w:left w:val="none" w:sz="0" w:space="0" w:color="auto"/>
            <w:bottom w:val="none" w:sz="0" w:space="0" w:color="auto"/>
            <w:right w:val="none" w:sz="0" w:space="0" w:color="auto"/>
          </w:divBdr>
        </w:div>
        <w:div w:id="978650663">
          <w:marLeft w:val="480"/>
          <w:marRight w:val="0"/>
          <w:marTop w:val="0"/>
          <w:marBottom w:val="0"/>
          <w:divBdr>
            <w:top w:val="none" w:sz="0" w:space="0" w:color="auto"/>
            <w:left w:val="none" w:sz="0" w:space="0" w:color="auto"/>
            <w:bottom w:val="none" w:sz="0" w:space="0" w:color="auto"/>
            <w:right w:val="none" w:sz="0" w:space="0" w:color="auto"/>
          </w:divBdr>
        </w:div>
        <w:div w:id="1869101634">
          <w:marLeft w:val="480"/>
          <w:marRight w:val="0"/>
          <w:marTop w:val="0"/>
          <w:marBottom w:val="0"/>
          <w:divBdr>
            <w:top w:val="none" w:sz="0" w:space="0" w:color="auto"/>
            <w:left w:val="none" w:sz="0" w:space="0" w:color="auto"/>
            <w:bottom w:val="none" w:sz="0" w:space="0" w:color="auto"/>
            <w:right w:val="none" w:sz="0" w:space="0" w:color="auto"/>
          </w:divBdr>
        </w:div>
        <w:div w:id="1937712681">
          <w:marLeft w:val="480"/>
          <w:marRight w:val="0"/>
          <w:marTop w:val="0"/>
          <w:marBottom w:val="0"/>
          <w:divBdr>
            <w:top w:val="none" w:sz="0" w:space="0" w:color="auto"/>
            <w:left w:val="none" w:sz="0" w:space="0" w:color="auto"/>
            <w:bottom w:val="none" w:sz="0" w:space="0" w:color="auto"/>
            <w:right w:val="none" w:sz="0" w:space="0" w:color="auto"/>
          </w:divBdr>
        </w:div>
        <w:div w:id="175274210">
          <w:marLeft w:val="480"/>
          <w:marRight w:val="0"/>
          <w:marTop w:val="0"/>
          <w:marBottom w:val="0"/>
          <w:divBdr>
            <w:top w:val="none" w:sz="0" w:space="0" w:color="auto"/>
            <w:left w:val="none" w:sz="0" w:space="0" w:color="auto"/>
            <w:bottom w:val="none" w:sz="0" w:space="0" w:color="auto"/>
            <w:right w:val="none" w:sz="0" w:space="0" w:color="auto"/>
          </w:divBdr>
        </w:div>
        <w:div w:id="370225938">
          <w:marLeft w:val="480"/>
          <w:marRight w:val="0"/>
          <w:marTop w:val="0"/>
          <w:marBottom w:val="0"/>
          <w:divBdr>
            <w:top w:val="none" w:sz="0" w:space="0" w:color="auto"/>
            <w:left w:val="none" w:sz="0" w:space="0" w:color="auto"/>
            <w:bottom w:val="none" w:sz="0" w:space="0" w:color="auto"/>
            <w:right w:val="none" w:sz="0" w:space="0" w:color="auto"/>
          </w:divBdr>
        </w:div>
        <w:div w:id="1868328455">
          <w:marLeft w:val="480"/>
          <w:marRight w:val="0"/>
          <w:marTop w:val="0"/>
          <w:marBottom w:val="0"/>
          <w:divBdr>
            <w:top w:val="none" w:sz="0" w:space="0" w:color="auto"/>
            <w:left w:val="none" w:sz="0" w:space="0" w:color="auto"/>
            <w:bottom w:val="none" w:sz="0" w:space="0" w:color="auto"/>
            <w:right w:val="none" w:sz="0" w:space="0" w:color="auto"/>
          </w:divBdr>
        </w:div>
        <w:div w:id="1341158000">
          <w:marLeft w:val="480"/>
          <w:marRight w:val="0"/>
          <w:marTop w:val="0"/>
          <w:marBottom w:val="0"/>
          <w:divBdr>
            <w:top w:val="none" w:sz="0" w:space="0" w:color="auto"/>
            <w:left w:val="none" w:sz="0" w:space="0" w:color="auto"/>
            <w:bottom w:val="none" w:sz="0" w:space="0" w:color="auto"/>
            <w:right w:val="none" w:sz="0" w:space="0" w:color="auto"/>
          </w:divBdr>
        </w:div>
        <w:div w:id="431315569">
          <w:marLeft w:val="480"/>
          <w:marRight w:val="0"/>
          <w:marTop w:val="0"/>
          <w:marBottom w:val="0"/>
          <w:divBdr>
            <w:top w:val="none" w:sz="0" w:space="0" w:color="auto"/>
            <w:left w:val="none" w:sz="0" w:space="0" w:color="auto"/>
            <w:bottom w:val="none" w:sz="0" w:space="0" w:color="auto"/>
            <w:right w:val="none" w:sz="0" w:space="0" w:color="auto"/>
          </w:divBdr>
        </w:div>
        <w:div w:id="1117748969">
          <w:marLeft w:val="480"/>
          <w:marRight w:val="0"/>
          <w:marTop w:val="0"/>
          <w:marBottom w:val="0"/>
          <w:divBdr>
            <w:top w:val="none" w:sz="0" w:space="0" w:color="auto"/>
            <w:left w:val="none" w:sz="0" w:space="0" w:color="auto"/>
            <w:bottom w:val="none" w:sz="0" w:space="0" w:color="auto"/>
            <w:right w:val="none" w:sz="0" w:space="0" w:color="auto"/>
          </w:divBdr>
        </w:div>
        <w:div w:id="917180071">
          <w:marLeft w:val="480"/>
          <w:marRight w:val="0"/>
          <w:marTop w:val="0"/>
          <w:marBottom w:val="0"/>
          <w:divBdr>
            <w:top w:val="none" w:sz="0" w:space="0" w:color="auto"/>
            <w:left w:val="none" w:sz="0" w:space="0" w:color="auto"/>
            <w:bottom w:val="none" w:sz="0" w:space="0" w:color="auto"/>
            <w:right w:val="none" w:sz="0" w:space="0" w:color="auto"/>
          </w:divBdr>
        </w:div>
        <w:div w:id="763115579">
          <w:marLeft w:val="480"/>
          <w:marRight w:val="0"/>
          <w:marTop w:val="0"/>
          <w:marBottom w:val="0"/>
          <w:divBdr>
            <w:top w:val="none" w:sz="0" w:space="0" w:color="auto"/>
            <w:left w:val="none" w:sz="0" w:space="0" w:color="auto"/>
            <w:bottom w:val="none" w:sz="0" w:space="0" w:color="auto"/>
            <w:right w:val="none" w:sz="0" w:space="0" w:color="auto"/>
          </w:divBdr>
        </w:div>
        <w:div w:id="39013136">
          <w:marLeft w:val="480"/>
          <w:marRight w:val="0"/>
          <w:marTop w:val="0"/>
          <w:marBottom w:val="0"/>
          <w:divBdr>
            <w:top w:val="none" w:sz="0" w:space="0" w:color="auto"/>
            <w:left w:val="none" w:sz="0" w:space="0" w:color="auto"/>
            <w:bottom w:val="none" w:sz="0" w:space="0" w:color="auto"/>
            <w:right w:val="none" w:sz="0" w:space="0" w:color="auto"/>
          </w:divBdr>
        </w:div>
        <w:div w:id="1096636831">
          <w:marLeft w:val="480"/>
          <w:marRight w:val="0"/>
          <w:marTop w:val="0"/>
          <w:marBottom w:val="0"/>
          <w:divBdr>
            <w:top w:val="none" w:sz="0" w:space="0" w:color="auto"/>
            <w:left w:val="none" w:sz="0" w:space="0" w:color="auto"/>
            <w:bottom w:val="none" w:sz="0" w:space="0" w:color="auto"/>
            <w:right w:val="none" w:sz="0" w:space="0" w:color="auto"/>
          </w:divBdr>
        </w:div>
        <w:div w:id="2107648638">
          <w:marLeft w:val="480"/>
          <w:marRight w:val="0"/>
          <w:marTop w:val="0"/>
          <w:marBottom w:val="0"/>
          <w:divBdr>
            <w:top w:val="none" w:sz="0" w:space="0" w:color="auto"/>
            <w:left w:val="none" w:sz="0" w:space="0" w:color="auto"/>
            <w:bottom w:val="none" w:sz="0" w:space="0" w:color="auto"/>
            <w:right w:val="none" w:sz="0" w:space="0" w:color="auto"/>
          </w:divBdr>
        </w:div>
      </w:divsChild>
    </w:div>
    <w:div w:id="1474174415">
      <w:bodyDiv w:val="1"/>
      <w:marLeft w:val="0"/>
      <w:marRight w:val="0"/>
      <w:marTop w:val="0"/>
      <w:marBottom w:val="0"/>
      <w:divBdr>
        <w:top w:val="none" w:sz="0" w:space="0" w:color="auto"/>
        <w:left w:val="none" w:sz="0" w:space="0" w:color="auto"/>
        <w:bottom w:val="none" w:sz="0" w:space="0" w:color="auto"/>
        <w:right w:val="none" w:sz="0" w:space="0" w:color="auto"/>
      </w:divBdr>
    </w:div>
    <w:div w:id="1475218614">
      <w:bodyDiv w:val="1"/>
      <w:marLeft w:val="0"/>
      <w:marRight w:val="0"/>
      <w:marTop w:val="0"/>
      <w:marBottom w:val="0"/>
      <w:divBdr>
        <w:top w:val="none" w:sz="0" w:space="0" w:color="auto"/>
        <w:left w:val="none" w:sz="0" w:space="0" w:color="auto"/>
        <w:bottom w:val="none" w:sz="0" w:space="0" w:color="auto"/>
        <w:right w:val="none" w:sz="0" w:space="0" w:color="auto"/>
      </w:divBdr>
    </w:div>
    <w:div w:id="1475682308">
      <w:bodyDiv w:val="1"/>
      <w:marLeft w:val="0"/>
      <w:marRight w:val="0"/>
      <w:marTop w:val="0"/>
      <w:marBottom w:val="0"/>
      <w:divBdr>
        <w:top w:val="none" w:sz="0" w:space="0" w:color="auto"/>
        <w:left w:val="none" w:sz="0" w:space="0" w:color="auto"/>
        <w:bottom w:val="none" w:sz="0" w:space="0" w:color="auto"/>
        <w:right w:val="none" w:sz="0" w:space="0" w:color="auto"/>
      </w:divBdr>
    </w:div>
    <w:div w:id="1475683265">
      <w:bodyDiv w:val="1"/>
      <w:marLeft w:val="0"/>
      <w:marRight w:val="0"/>
      <w:marTop w:val="0"/>
      <w:marBottom w:val="0"/>
      <w:divBdr>
        <w:top w:val="none" w:sz="0" w:space="0" w:color="auto"/>
        <w:left w:val="none" w:sz="0" w:space="0" w:color="auto"/>
        <w:bottom w:val="none" w:sz="0" w:space="0" w:color="auto"/>
        <w:right w:val="none" w:sz="0" w:space="0" w:color="auto"/>
      </w:divBdr>
    </w:div>
    <w:div w:id="1476142552">
      <w:bodyDiv w:val="1"/>
      <w:marLeft w:val="0"/>
      <w:marRight w:val="0"/>
      <w:marTop w:val="0"/>
      <w:marBottom w:val="0"/>
      <w:divBdr>
        <w:top w:val="none" w:sz="0" w:space="0" w:color="auto"/>
        <w:left w:val="none" w:sz="0" w:space="0" w:color="auto"/>
        <w:bottom w:val="none" w:sz="0" w:space="0" w:color="auto"/>
        <w:right w:val="none" w:sz="0" w:space="0" w:color="auto"/>
      </w:divBdr>
    </w:div>
    <w:div w:id="1476215693">
      <w:bodyDiv w:val="1"/>
      <w:marLeft w:val="0"/>
      <w:marRight w:val="0"/>
      <w:marTop w:val="0"/>
      <w:marBottom w:val="0"/>
      <w:divBdr>
        <w:top w:val="none" w:sz="0" w:space="0" w:color="auto"/>
        <w:left w:val="none" w:sz="0" w:space="0" w:color="auto"/>
        <w:bottom w:val="none" w:sz="0" w:space="0" w:color="auto"/>
        <w:right w:val="none" w:sz="0" w:space="0" w:color="auto"/>
      </w:divBdr>
    </w:div>
    <w:div w:id="1476296326">
      <w:bodyDiv w:val="1"/>
      <w:marLeft w:val="0"/>
      <w:marRight w:val="0"/>
      <w:marTop w:val="0"/>
      <w:marBottom w:val="0"/>
      <w:divBdr>
        <w:top w:val="none" w:sz="0" w:space="0" w:color="auto"/>
        <w:left w:val="none" w:sz="0" w:space="0" w:color="auto"/>
        <w:bottom w:val="none" w:sz="0" w:space="0" w:color="auto"/>
        <w:right w:val="none" w:sz="0" w:space="0" w:color="auto"/>
      </w:divBdr>
    </w:div>
    <w:div w:id="1476409828">
      <w:bodyDiv w:val="1"/>
      <w:marLeft w:val="0"/>
      <w:marRight w:val="0"/>
      <w:marTop w:val="0"/>
      <w:marBottom w:val="0"/>
      <w:divBdr>
        <w:top w:val="none" w:sz="0" w:space="0" w:color="auto"/>
        <w:left w:val="none" w:sz="0" w:space="0" w:color="auto"/>
        <w:bottom w:val="none" w:sz="0" w:space="0" w:color="auto"/>
        <w:right w:val="none" w:sz="0" w:space="0" w:color="auto"/>
      </w:divBdr>
    </w:div>
    <w:div w:id="1477188758">
      <w:bodyDiv w:val="1"/>
      <w:marLeft w:val="0"/>
      <w:marRight w:val="0"/>
      <w:marTop w:val="0"/>
      <w:marBottom w:val="0"/>
      <w:divBdr>
        <w:top w:val="none" w:sz="0" w:space="0" w:color="auto"/>
        <w:left w:val="none" w:sz="0" w:space="0" w:color="auto"/>
        <w:bottom w:val="none" w:sz="0" w:space="0" w:color="auto"/>
        <w:right w:val="none" w:sz="0" w:space="0" w:color="auto"/>
      </w:divBdr>
    </w:div>
    <w:div w:id="1477255835">
      <w:bodyDiv w:val="1"/>
      <w:marLeft w:val="0"/>
      <w:marRight w:val="0"/>
      <w:marTop w:val="0"/>
      <w:marBottom w:val="0"/>
      <w:divBdr>
        <w:top w:val="none" w:sz="0" w:space="0" w:color="auto"/>
        <w:left w:val="none" w:sz="0" w:space="0" w:color="auto"/>
        <w:bottom w:val="none" w:sz="0" w:space="0" w:color="auto"/>
        <w:right w:val="none" w:sz="0" w:space="0" w:color="auto"/>
      </w:divBdr>
    </w:div>
    <w:div w:id="1477256565">
      <w:bodyDiv w:val="1"/>
      <w:marLeft w:val="0"/>
      <w:marRight w:val="0"/>
      <w:marTop w:val="0"/>
      <w:marBottom w:val="0"/>
      <w:divBdr>
        <w:top w:val="none" w:sz="0" w:space="0" w:color="auto"/>
        <w:left w:val="none" w:sz="0" w:space="0" w:color="auto"/>
        <w:bottom w:val="none" w:sz="0" w:space="0" w:color="auto"/>
        <w:right w:val="none" w:sz="0" w:space="0" w:color="auto"/>
      </w:divBdr>
    </w:div>
    <w:div w:id="1477336084">
      <w:bodyDiv w:val="1"/>
      <w:marLeft w:val="0"/>
      <w:marRight w:val="0"/>
      <w:marTop w:val="0"/>
      <w:marBottom w:val="0"/>
      <w:divBdr>
        <w:top w:val="none" w:sz="0" w:space="0" w:color="auto"/>
        <w:left w:val="none" w:sz="0" w:space="0" w:color="auto"/>
        <w:bottom w:val="none" w:sz="0" w:space="0" w:color="auto"/>
        <w:right w:val="none" w:sz="0" w:space="0" w:color="auto"/>
      </w:divBdr>
      <w:divsChild>
        <w:div w:id="1625035553">
          <w:marLeft w:val="480"/>
          <w:marRight w:val="0"/>
          <w:marTop w:val="0"/>
          <w:marBottom w:val="0"/>
          <w:divBdr>
            <w:top w:val="none" w:sz="0" w:space="0" w:color="auto"/>
            <w:left w:val="none" w:sz="0" w:space="0" w:color="auto"/>
            <w:bottom w:val="none" w:sz="0" w:space="0" w:color="auto"/>
            <w:right w:val="none" w:sz="0" w:space="0" w:color="auto"/>
          </w:divBdr>
        </w:div>
        <w:div w:id="2103792760">
          <w:marLeft w:val="480"/>
          <w:marRight w:val="0"/>
          <w:marTop w:val="0"/>
          <w:marBottom w:val="0"/>
          <w:divBdr>
            <w:top w:val="none" w:sz="0" w:space="0" w:color="auto"/>
            <w:left w:val="none" w:sz="0" w:space="0" w:color="auto"/>
            <w:bottom w:val="none" w:sz="0" w:space="0" w:color="auto"/>
            <w:right w:val="none" w:sz="0" w:space="0" w:color="auto"/>
          </w:divBdr>
        </w:div>
        <w:div w:id="1738164693">
          <w:marLeft w:val="480"/>
          <w:marRight w:val="0"/>
          <w:marTop w:val="0"/>
          <w:marBottom w:val="0"/>
          <w:divBdr>
            <w:top w:val="none" w:sz="0" w:space="0" w:color="auto"/>
            <w:left w:val="none" w:sz="0" w:space="0" w:color="auto"/>
            <w:bottom w:val="none" w:sz="0" w:space="0" w:color="auto"/>
            <w:right w:val="none" w:sz="0" w:space="0" w:color="auto"/>
          </w:divBdr>
        </w:div>
        <w:div w:id="2096896867">
          <w:marLeft w:val="480"/>
          <w:marRight w:val="0"/>
          <w:marTop w:val="0"/>
          <w:marBottom w:val="0"/>
          <w:divBdr>
            <w:top w:val="none" w:sz="0" w:space="0" w:color="auto"/>
            <w:left w:val="none" w:sz="0" w:space="0" w:color="auto"/>
            <w:bottom w:val="none" w:sz="0" w:space="0" w:color="auto"/>
            <w:right w:val="none" w:sz="0" w:space="0" w:color="auto"/>
          </w:divBdr>
        </w:div>
        <w:div w:id="1187906135">
          <w:marLeft w:val="480"/>
          <w:marRight w:val="0"/>
          <w:marTop w:val="0"/>
          <w:marBottom w:val="0"/>
          <w:divBdr>
            <w:top w:val="none" w:sz="0" w:space="0" w:color="auto"/>
            <w:left w:val="none" w:sz="0" w:space="0" w:color="auto"/>
            <w:bottom w:val="none" w:sz="0" w:space="0" w:color="auto"/>
            <w:right w:val="none" w:sz="0" w:space="0" w:color="auto"/>
          </w:divBdr>
        </w:div>
        <w:div w:id="67466818">
          <w:marLeft w:val="480"/>
          <w:marRight w:val="0"/>
          <w:marTop w:val="0"/>
          <w:marBottom w:val="0"/>
          <w:divBdr>
            <w:top w:val="none" w:sz="0" w:space="0" w:color="auto"/>
            <w:left w:val="none" w:sz="0" w:space="0" w:color="auto"/>
            <w:bottom w:val="none" w:sz="0" w:space="0" w:color="auto"/>
            <w:right w:val="none" w:sz="0" w:space="0" w:color="auto"/>
          </w:divBdr>
        </w:div>
        <w:div w:id="100541130">
          <w:marLeft w:val="480"/>
          <w:marRight w:val="0"/>
          <w:marTop w:val="0"/>
          <w:marBottom w:val="0"/>
          <w:divBdr>
            <w:top w:val="none" w:sz="0" w:space="0" w:color="auto"/>
            <w:left w:val="none" w:sz="0" w:space="0" w:color="auto"/>
            <w:bottom w:val="none" w:sz="0" w:space="0" w:color="auto"/>
            <w:right w:val="none" w:sz="0" w:space="0" w:color="auto"/>
          </w:divBdr>
        </w:div>
        <w:div w:id="131798992">
          <w:marLeft w:val="480"/>
          <w:marRight w:val="0"/>
          <w:marTop w:val="0"/>
          <w:marBottom w:val="0"/>
          <w:divBdr>
            <w:top w:val="none" w:sz="0" w:space="0" w:color="auto"/>
            <w:left w:val="none" w:sz="0" w:space="0" w:color="auto"/>
            <w:bottom w:val="none" w:sz="0" w:space="0" w:color="auto"/>
            <w:right w:val="none" w:sz="0" w:space="0" w:color="auto"/>
          </w:divBdr>
        </w:div>
        <w:div w:id="557981458">
          <w:marLeft w:val="480"/>
          <w:marRight w:val="0"/>
          <w:marTop w:val="0"/>
          <w:marBottom w:val="0"/>
          <w:divBdr>
            <w:top w:val="none" w:sz="0" w:space="0" w:color="auto"/>
            <w:left w:val="none" w:sz="0" w:space="0" w:color="auto"/>
            <w:bottom w:val="none" w:sz="0" w:space="0" w:color="auto"/>
            <w:right w:val="none" w:sz="0" w:space="0" w:color="auto"/>
          </w:divBdr>
        </w:div>
        <w:div w:id="2099018029">
          <w:marLeft w:val="480"/>
          <w:marRight w:val="0"/>
          <w:marTop w:val="0"/>
          <w:marBottom w:val="0"/>
          <w:divBdr>
            <w:top w:val="none" w:sz="0" w:space="0" w:color="auto"/>
            <w:left w:val="none" w:sz="0" w:space="0" w:color="auto"/>
            <w:bottom w:val="none" w:sz="0" w:space="0" w:color="auto"/>
            <w:right w:val="none" w:sz="0" w:space="0" w:color="auto"/>
          </w:divBdr>
        </w:div>
        <w:div w:id="755784929">
          <w:marLeft w:val="480"/>
          <w:marRight w:val="0"/>
          <w:marTop w:val="0"/>
          <w:marBottom w:val="0"/>
          <w:divBdr>
            <w:top w:val="none" w:sz="0" w:space="0" w:color="auto"/>
            <w:left w:val="none" w:sz="0" w:space="0" w:color="auto"/>
            <w:bottom w:val="none" w:sz="0" w:space="0" w:color="auto"/>
            <w:right w:val="none" w:sz="0" w:space="0" w:color="auto"/>
          </w:divBdr>
        </w:div>
        <w:div w:id="1626421980">
          <w:marLeft w:val="480"/>
          <w:marRight w:val="0"/>
          <w:marTop w:val="0"/>
          <w:marBottom w:val="0"/>
          <w:divBdr>
            <w:top w:val="none" w:sz="0" w:space="0" w:color="auto"/>
            <w:left w:val="none" w:sz="0" w:space="0" w:color="auto"/>
            <w:bottom w:val="none" w:sz="0" w:space="0" w:color="auto"/>
            <w:right w:val="none" w:sz="0" w:space="0" w:color="auto"/>
          </w:divBdr>
        </w:div>
        <w:div w:id="647787894">
          <w:marLeft w:val="480"/>
          <w:marRight w:val="0"/>
          <w:marTop w:val="0"/>
          <w:marBottom w:val="0"/>
          <w:divBdr>
            <w:top w:val="none" w:sz="0" w:space="0" w:color="auto"/>
            <w:left w:val="none" w:sz="0" w:space="0" w:color="auto"/>
            <w:bottom w:val="none" w:sz="0" w:space="0" w:color="auto"/>
            <w:right w:val="none" w:sz="0" w:space="0" w:color="auto"/>
          </w:divBdr>
        </w:div>
        <w:div w:id="807016919">
          <w:marLeft w:val="480"/>
          <w:marRight w:val="0"/>
          <w:marTop w:val="0"/>
          <w:marBottom w:val="0"/>
          <w:divBdr>
            <w:top w:val="none" w:sz="0" w:space="0" w:color="auto"/>
            <w:left w:val="none" w:sz="0" w:space="0" w:color="auto"/>
            <w:bottom w:val="none" w:sz="0" w:space="0" w:color="auto"/>
            <w:right w:val="none" w:sz="0" w:space="0" w:color="auto"/>
          </w:divBdr>
        </w:div>
        <w:div w:id="1189369317">
          <w:marLeft w:val="480"/>
          <w:marRight w:val="0"/>
          <w:marTop w:val="0"/>
          <w:marBottom w:val="0"/>
          <w:divBdr>
            <w:top w:val="none" w:sz="0" w:space="0" w:color="auto"/>
            <w:left w:val="none" w:sz="0" w:space="0" w:color="auto"/>
            <w:bottom w:val="none" w:sz="0" w:space="0" w:color="auto"/>
            <w:right w:val="none" w:sz="0" w:space="0" w:color="auto"/>
          </w:divBdr>
        </w:div>
        <w:div w:id="1256015066">
          <w:marLeft w:val="480"/>
          <w:marRight w:val="0"/>
          <w:marTop w:val="0"/>
          <w:marBottom w:val="0"/>
          <w:divBdr>
            <w:top w:val="none" w:sz="0" w:space="0" w:color="auto"/>
            <w:left w:val="none" w:sz="0" w:space="0" w:color="auto"/>
            <w:bottom w:val="none" w:sz="0" w:space="0" w:color="auto"/>
            <w:right w:val="none" w:sz="0" w:space="0" w:color="auto"/>
          </w:divBdr>
        </w:div>
        <w:div w:id="1820148125">
          <w:marLeft w:val="480"/>
          <w:marRight w:val="0"/>
          <w:marTop w:val="0"/>
          <w:marBottom w:val="0"/>
          <w:divBdr>
            <w:top w:val="none" w:sz="0" w:space="0" w:color="auto"/>
            <w:left w:val="none" w:sz="0" w:space="0" w:color="auto"/>
            <w:bottom w:val="none" w:sz="0" w:space="0" w:color="auto"/>
            <w:right w:val="none" w:sz="0" w:space="0" w:color="auto"/>
          </w:divBdr>
        </w:div>
        <w:div w:id="1780295818">
          <w:marLeft w:val="480"/>
          <w:marRight w:val="0"/>
          <w:marTop w:val="0"/>
          <w:marBottom w:val="0"/>
          <w:divBdr>
            <w:top w:val="none" w:sz="0" w:space="0" w:color="auto"/>
            <w:left w:val="none" w:sz="0" w:space="0" w:color="auto"/>
            <w:bottom w:val="none" w:sz="0" w:space="0" w:color="auto"/>
            <w:right w:val="none" w:sz="0" w:space="0" w:color="auto"/>
          </w:divBdr>
        </w:div>
        <w:div w:id="346251773">
          <w:marLeft w:val="480"/>
          <w:marRight w:val="0"/>
          <w:marTop w:val="0"/>
          <w:marBottom w:val="0"/>
          <w:divBdr>
            <w:top w:val="none" w:sz="0" w:space="0" w:color="auto"/>
            <w:left w:val="none" w:sz="0" w:space="0" w:color="auto"/>
            <w:bottom w:val="none" w:sz="0" w:space="0" w:color="auto"/>
            <w:right w:val="none" w:sz="0" w:space="0" w:color="auto"/>
          </w:divBdr>
        </w:div>
        <w:div w:id="1564485035">
          <w:marLeft w:val="480"/>
          <w:marRight w:val="0"/>
          <w:marTop w:val="0"/>
          <w:marBottom w:val="0"/>
          <w:divBdr>
            <w:top w:val="none" w:sz="0" w:space="0" w:color="auto"/>
            <w:left w:val="none" w:sz="0" w:space="0" w:color="auto"/>
            <w:bottom w:val="none" w:sz="0" w:space="0" w:color="auto"/>
            <w:right w:val="none" w:sz="0" w:space="0" w:color="auto"/>
          </w:divBdr>
        </w:div>
        <w:div w:id="1181704763">
          <w:marLeft w:val="480"/>
          <w:marRight w:val="0"/>
          <w:marTop w:val="0"/>
          <w:marBottom w:val="0"/>
          <w:divBdr>
            <w:top w:val="none" w:sz="0" w:space="0" w:color="auto"/>
            <w:left w:val="none" w:sz="0" w:space="0" w:color="auto"/>
            <w:bottom w:val="none" w:sz="0" w:space="0" w:color="auto"/>
            <w:right w:val="none" w:sz="0" w:space="0" w:color="auto"/>
          </w:divBdr>
        </w:div>
        <w:div w:id="795029445">
          <w:marLeft w:val="480"/>
          <w:marRight w:val="0"/>
          <w:marTop w:val="0"/>
          <w:marBottom w:val="0"/>
          <w:divBdr>
            <w:top w:val="none" w:sz="0" w:space="0" w:color="auto"/>
            <w:left w:val="none" w:sz="0" w:space="0" w:color="auto"/>
            <w:bottom w:val="none" w:sz="0" w:space="0" w:color="auto"/>
            <w:right w:val="none" w:sz="0" w:space="0" w:color="auto"/>
          </w:divBdr>
        </w:div>
        <w:div w:id="37315084">
          <w:marLeft w:val="480"/>
          <w:marRight w:val="0"/>
          <w:marTop w:val="0"/>
          <w:marBottom w:val="0"/>
          <w:divBdr>
            <w:top w:val="none" w:sz="0" w:space="0" w:color="auto"/>
            <w:left w:val="none" w:sz="0" w:space="0" w:color="auto"/>
            <w:bottom w:val="none" w:sz="0" w:space="0" w:color="auto"/>
            <w:right w:val="none" w:sz="0" w:space="0" w:color="auto"/>
          </w:divBdr>
        </w:div>
        <w:div w:id="1771507254">
          <w:marLeft w:val="480"/>
          <w:marRight w:val="0"/>
          <w:marTop w:val="0"/>
          <w:marBottom w:val="0"/>
          <w:divBdr>
            <w:top w:val="none" w:sz="0" w:space="0" w:color="auto"/>
            <w:left w:val="none" w:sz="0" w:space="0" w:color="auto"/>
            <w:bottom w:val="none" w:sz="0" w:space="0" w:color="auto"/>
            <w:right w:val="none" w:sz="0" w:space="0" w:color="auto"/>
          </w:divBdr>
        </w:div>
        <w:div w:id="401027545">
          <w:marLeft w:val="480"/>
          <w:marRight w:val="0"/>
          <w:marTop w:val="0"/>
          <w:marBottom w:val="0"/>
          <w:divBdr>
            <w:top w:val="none" w:sz="0" w:space="0" w:color="auto"/>
            <w:left w:val="none" w:sz="0" w:space="0" w:color="auto"/>
            <w:bottom w:val="none" w:sz="0" w:space="0" w:color="auto"/>
            <w:right w:val="none" w:sz="0" w:space="0" w:color="auto"/>
          </w:divBdr>
        </w:div>
        <w:div w:id="1536187197">
          <w:marLeft w:val="480"/>
          <w:marRight w:val="0"/>
          <w:marTop w:val="0"/>
          <w:marBottom w:val="0"/>
          <w:divBdr>
            <w:top w:val="none" w:sz="0" w:space="0" w:color="auto"/>
            <w:left w:val="none" w:sz="0" w:space="0" w:color="auto"/>
            <w:bottom w:val="none" w:sz="0" w:space="0" w:color="auto"/>
            <w:right w:val="none" w:sz="0" w:space="0" w:color="auto"/>
          </w:divBdr>
        </w:div>
        <w:div w:id="1452822520">
          <w:marLeft w:val="480"/>
          <w:marRight w:val="0"/>
          <w:marTop w:val="0"/>
          <w:marBottom w:val="0"/>
          <w:divBdr>
            <w:top w:val="none" w:sz="0" w:space="0" w:color="auto"/>
            <w:left w:val="none" w:sz="0" w:space="0" w:color="auto"/>
            <w:bottom w:val="none" w:sz="0" w:space="0" w:color="auto"/>
            <w:right w:val="none" w:sz="0" w:space="0" w:color="auto"/>
          </w:divBdr>
        </w:div>
        <w:div w:id="552931591">
          <w:marLeft w:val="480"/>
          <w:marRight w:val="0"/>
          <w:marTop w:val="0"/>
          <w:marBottom w:val="0"/>
          <w:divBdr>
            <w:top w:val="none" w:sz="0" w:space="0" w:color="auto"/>
            <w:left w:val="none" w:sz="0" w:space="0" w:color="auto"/>
            <w:bottom w:val="none" w:sz="0" w:space="0" w:color="auto"/>
            <w:right w:val="none" w:sz="0" w:space="0" w:color="auto"/>
          </w:divBdr>
        </w:div>
        <w:div w:id="763308729">
          <w:marLeft w:val="480"/>
          <w:marRight w:val="0"/>
          <w:marTop w:val="0"/>
          <w:marBottom w:val="0"/>
          <w:divBdr>
            <w:top w:val="none" w:sz="0" w:space="0" w:color="auto"/>
            <w:left w:val="none" w:sz="0" w:space="0" w:color="auto"/>
            <w:bottom w:val="none" w:sz="0" w:space="0" w:color="auto"/>
            <w:right w:val="none" w:sz="0" w:space="0" w:color="auto"/>
          </w:divBdr>
        </w:div>
        <w:div w:id="553466654">
          <w:marLeft w:val="480"/>
          <w:marRight w:val="0"/>
          <w:marTop w:val="0"/>
          <w:marBottom w:val="0"/>
          <w:divBdr>
            <w:top w:val="none" w:sz="0" w:space="0" w:color="auto"/>
            <w:left w:val="none" w:sz="0" w:space="0" w:color="auto"/>
            <w:bottom w:val="none" w:sz="0" w:space="0" w:color="auto"/>
            <w:right w:val="none" w:sz="0" w:space="0" w:color="auto"/>
          </w:divBdr>
        </w:div>
        <w:div w:id="484588673">
          <w:marLeft w:val="480"/>
          <w:marRight w:val="0"/>
          <w:marTop w:val="0"/>
          <w:marBottom w:val="0"/>
          <w:divBdr>
            <w:top w:val="none" w:sz="0" w:space="0" w:color="auto"/>
            <w:left w:val="none" w:sz="0" w:space="0" w:color="auto"/>
            <w:bottom w:val="none" w:sz="0" w:space="0" w:color="auto"/>
            <w:right w:val="none" w:sz="0" w:space="0" w:color="auto"/>
          </w:divBdr>
        </w:div>
        <w:div w:id="896016845">
          <w:marLeft w:val="480"/>
          <w:marRight w:val="0"/>
          <w:marTop w:val="0"/>
          <w:marBottom w:val="0"/>
          <w:divBdr>
            <w:top w:val="none" w:sz="0" w:space="0" w:color="auto"/>
            <w:left w:val="none" w:sz="0" w:space="0" w:color="auto"/>
            <w:bottom w:val="none" w:sz="0" w:space="0" w:color="auto"/>
            <w:right w:val="none" w:sz="0" w:space="0" w:color="auto"/>
          </w:divBdr>
        </w:div>
        <w:div w:id="849100570">
          <w:marLeft w:val="480"/>
          <w:marRight w:val="0"/>
          <w:marTop w:val="0"/>
          <w:marBottom w:val="0"/>
          <w:divBdr>
            <w:top w:val="none" w:sz="0" w:space="0" w:color="auto"/>
            <w:left w:val="none" w:sz="0" w:space="0" w:color="auto"/>
            <w:bottom w:val="none" w:sz="0" w:space="0" w:color="auto"/>
            <w:right w:val="none" w:sz="0" w:space="0" w:color="auto"/>
          </w:divBdr>
        </w:div>
        <w:div w:id="1880891691">
          <w:marLeft w:val="480"/>
          <w:marRight w:val="0"/>
          <w:marTop w:val="0"/>
          <w:marBottom w:val="0"/>
          <w:divBdr>
            <w:top w:val="none" w:sz="0" w:space="0" w:color="auto"/>
            <w:left w:val="none" w:sz="0" w:space="0" w:color="auto"/>
            <w:bottom w:val="none" w:sz="0" w:space="0" w:color="auto"/>
            <w:right w:val="none" w:sz="0" w:space="0" w:color="auto"/>
          </w:divBdr>
        </w:div>
        <w:div w:id="734863512">
          <w:marLeft w:val="480"/>
          <w:marRight w:val="0"/>
          <w:marTop w:val="0"/>
          <w:marBottom w:val="0"/>
          <w:divBdr>
            <w:top w:val="none" w:sz="0" w:space="0" w:color="auto"/>
            <w:left w:val="none" w:sz="0" w:space="0" w:color="auto"/>
            <w:bottom w:val="none" w:sz="0" w:space="0" w:color="auto"/>
            <w:right w:val="none" w:sz="0" w:space="0" w:color="auto"/>
          </w:divBdr>
        </w:div>
        <w:div w:id="1615013924">
          <w:marLeft w:val="480"/>
          <w:marRight w:val="0"/>
          <w:marTop w:val="0"/>
          <w:marBottom w:val="0"/>
          <w:divBdr>
            <w:top w:val="none" w:sz="0" w:space="0" w:color="auto"/>
            <w:left w:val="none" w:sz="0" w:space="0" w:color="auto"/>
            <w:bottom w:val="none" w:sz="0" w:space="0" w:color="auto"/>
            <w:right w:val="none" w:sz="0" w:space="0" w:color="auto"/>
          </w:divBdr>
        </w:div>
        <w:div w:id="1111706815">
          <w:marLeft w:val="480"/>
          <w:marRight w:val="0"/>
          <w:marTop w:val="0"/>
          <w:marBottom w:val="0"/>
          <w:divBdr>
            <w:top w:val="none" w:sz="0" w:space="0" w:color="auto"/>
            <w:left w:val="none" w:sz="0" w:space="0" w:color="auto"/>
            <w:bottom w:val="none" w:sz="0" w:space="0" w:color="auto"/>
            <w:right w:val="none" w:sz="0" w:space="0" w:color="auto"/>
          </w:divBdr>
        </w:div>
        <w:div w:id="1669678014">
          <w:marLeft w:val="480"/>
          <w:marRight w:val="0"/>
          <w:marTop w:val="0"/>
          <w:marBottom w:val="0"/>
          <w:divBdr>
            <w:top w:val="none" w:sz="0" w:space="0" w:color="auto"/>
            <w:left w:val="none" w:sz="0" w:space="0" w:color="auto"/>
            <w:bottom w:val="none" w:sz="0" w:space="0" w:color="auto"/>
            <w:right w:val="none" w:sz="0" w:space="0" w:color="auto"/>
          </w:divBdr>
        </w:div>
        <w:div w:id="1721368880">
          <w:marLeft w:val="480"/>
          <w:marRight w:val="0"/>
          <w:marTop w:val="0"/>
          <w:marBottom w:val="0"/>
          <w:divBdr>
            <w:top w:val="none" w:sz="0" w:space="0" w:color="auto"/>
            <w:left w:val="none" w:sz="0" w:space="0" w:color="auto"/>
            <w:bottom w:val="none" w:sz="0" w:space="0" w:color="auto"/>
            <w:right w:val="none" w:sz="0" w:space="0" w:color="auto"/>
          </w:divBdr>
        </w:div>
        <w:div w:id="181018029">
          <w:marLeft w:val="480"/>
          <w:marRight w:val="0"/>
          <w:marTop w:val="0"/>
          <w:marBottom w:val="0"/>
          <w:divBdr>
            <w:top w:val="none" w:sz="0" w:space="0" w:color="auto"/>
            <w:left w:val="none" w:sz="0" w:space="0" w:color="auto"/>
            <w:bottom w:val="none" w:sz="0" w:space="0" w:color="auto"/>
            <w:right w:val="none" w:sz="0" w:space="0" w:color="auto"/>
          </w:divBdr>
        </w:div>
        <w:div w:id="2045205682">
          <w:marLeft w:val="480"/>
          <w:marRight w:val="0"/>
          <w:marTop w:val="0"/>
          <w:marBottom w:val="0"/>
          <w:divBdr>
            <w:top w:val="none" w:sz="0" w:space="0" w:color="auto"/>
            <w:left w:val="none" w:sz="0" w:space="0" w:color="auto"/>
            <w:bottom w:val="none" w:sz="0" w:space="0" w:color="auto"/>
            <w:right w:val="none" w:sz="0" w:space="0" w:color="auto"/>
          </w:divBdr>
        </w:div>
        <w:div w:id="1154562219">
          <w:marLeft w:val="480"/>
          <w:marRight w:val="0"/>
          <w:marTop w:val="0"/>
          <w:marBottom w:val="0"/>
          <w:divBdr>
            <w:top w:val="none" w:sz="0" w:space="0" w:color="auto"/>
            <w:left w:val="none" w:sz="0" w:space="0" w:color="auto"/>
            <w:bottom w:val="none" w:sz="0" w:space="0" w:color="auto"/>
            <w:right w:val="none" w:sz="0" w:space="0" w:color="auto"/>
          </w:divBdr>
        </w:div>
        <w:div w:id="1664122676">
          <w:marLeft w:val="480"/>
          <w:marRight w:val="0"/>
          <w:marTop w:val="0"/>
          <w:marBottom w:val="0"/>
          <w:divBdr>
            <w:top w:val="none" w:sz="0" w:space="0" w:color="auto"/>
            <w:left w:val="none" w:sz="0" w:space="0" w:color="auto"/>
            <w:bottom w:val="none" w:sz="0" w:space="0" w:color="auto"/>
            <w:right w:val="none" w:sz="0" w:space="0" w:color="auto"/>
          </w:divBdr>
        </w:div>
        <w:div w:id="1334838990">
          <w:marLeft w:val="480"/>
          <w:marRight w:val="0"/>
          <w:marTop w:val="0"/>
          <w:marBottom w:val="0"/>
          <w:divBdr>
            <w:top w:val="none" w:sz="0" w:space="0" w:color="auto"/>
            <w:left w:val="none" w:sz="0" w:space="0" w:color="auto"/>
            <w:bottom w:val="none" w:sz="0" w:space="0" w:color="auto"/>
            <w:right w:val="none" w:sz="0" w:space="0" w:color="auto"/>
          </w:divBdr>
        </w:div>
        <w:div w:id="128400834">
          <w:marLeft w:val="480"/>
          <w:marRight w:val="0"/>
          <w:marTop w:val="0"/>
          <w:marBottom w:val="0"/>
          <w:divBdr>
            <w:top w:val="none" w:sz="0" w:space="0" w:color="auto"/>
            <w:left w:val="none" w:sz="0" w:space="0" w:color="auto"/>
            <w:bottom w:val="none" w:sz="0" w:space="0" w:color="auto"/>
            <w:right w:val="none" w:sz="0" w:space="0" w:color="auto"/>
          </w:divBdr>
        </w:div>
        <w:div w:id="2073429659">
          <w:marLeft w:val="480"/>
          <w:marRight w:val="0"/>
          <w:marTop w:val="0"/>
          <w:marBottom w:val="0"/>
          <w:divBdr>
            <w:top w:val="none" w:sz="0" w:space="0" w:color="auto"/>
            <w:left w:val="none" w:sz="0" w:space="0" w:color="auto"/>
            <w:bottom w:val="none" w:sz="0" w:space="0" w:color="auto"/>
            <w:right w:val="none" w:sz="0" w:space="0" w:color="auto"/>
          </w:divBdr>
        </w:div>
        <w:div w:id="803236795">
          <w:marLeft w:val="480"/>
          <w:marRight w:val="0"/>
          <w:marTop w:val="0"/>
          <w:marBottom w:val="0"/>
          <w:divBdr>
            <w:top w:val="none" w:sz="0" w:space="0" w:color="auto"/>
            <w:left w:val="none" w:sz="0" w:space="0" w:color="auto"/>
            <w:bottom w:val="none" w:sz="0" w:space="0" w:color="auto"/>
            <w:right w:val="none" w:sz="0" w:space="0" w:color="auto"/>
          </w:divBdr>
        </w:div>
        <w:div w:id="1159033030">
          <w:marLeft w:val="480"/>
          <w:marRight w:val="0"/>
          <w:marTop w:val="0"/>
          <w:marBottom w:val="0"/>
          <w:divBdr>
            <w:top w:val="none" w:sz="0" w:space="0" w:color="auto"/>
            <w:left w:val="none" w:sz="0" w:space="0" w:color="auto"/>
            <w:bottom w:val="none" w:sz="0" w:space="0" w:color="auto"/>
            <w:right w:val="none" w:sz="0" w:space="0" w:color="auto"/>
          </w:divBdr>
        </w:div>
        <w:div w:id="370691278">
          <w:marLeft w:val="480"/>
          <w:marRight w:val="0"/>
          <w:marTop w:val="0"/>
          <w:marBottom w:val="0"/>
          <w:divBdr>
            <w:top w:val="none" w:sz="0" w:space="0" w:color="auto"/>
            <w:left w:val="none" w:sz="0" w:space="0" w:color="auto"/>
            <w:bottom w:val="none" w:sz="0" w:space="0" w:color="auto"/>
            <w:right w:val="none" w:sz="0" w:space="0" w:color="auto"/>
          </w:divBdr>
        </w:div>
        <w:div w:id="828331573">
          <w:marLeft w:val="480"/>
          <w:marRight w:val="0"/>
          <w:marTop w:val="0"/>
          <w:marBottom w:val="0"/>
          <w:divBdr>
            <w:top w:val="none" w:sz="0" w:space="0" w:color="auto"/>
            <w:left w:val="none" w:sz="0" w:space="0" w:color="auto"/>
            <w:bottom w:val="none" w:sz="0" w:space="0" w:color="auto"/>
            <w:right w:val="none" w:sz="0" w:space="0" w:color="auto"/>
          </w:divBdr>
        </w:div>
        <w:div w:id="1342010095">
          <w:marLeft w:val="480"/>
          <w:marRight w:val="0"/>
          <w:marTop w:val="0"/>
          <w:marBottom w:val="0"/>
          <w:divBdr>
            <w:top w:val="none" w:sz="0" w:space="0" w:color="auto"/>
            <w:left w:val="none" w:sz="0" w:space="0" w:color="auto"/>
            <w:bottom w:val="none" w:sz="0" w:space="0" w:color="auto"/>
            <w:right w:val="none" w:sz="0" w:space="0" w:color="auto"/>
          </w:divBdr>
        </w:div>
        <w:div w:id="1521121337">
          <w:marLeft w:val="480"/>
          <w:marRight w:val="0"/>
          <w:marTop w:val="0"/>
          <w:marBottom w:val="0"/>
          <w:divBdr>
            <w:top w:val="none" w:sz="0" w:space="0" w:color="auto"/>
            <w:left w:val="none" w:sz="0" w:space="0" w:color="auto"/>
            <w:bottom w:val="none" w:sz="0" w:space="0" w:color="auto"/>
            <w:right w:val="none" w:sz="0" w:space="0" w:color="auto"/>
          </w:divBdr>
        </w:div>
        <w:div w:id="1422264926">
          <w:marLeft w:val="480"/>
          <w:marRight w:val="0"/>
          <w:marTop w:val="0"/>
          <w:marBottom w:val="0"/>
          <w:divBdr>
            <w:top w:val="none" w:sz="0" w:space="0" w:color="auto"/>
            <w:left w:val="none" w:sz="0" w:space="0" w:color="auto"/>
            <w:bottom w:val="none" w:sz="0" w:space="0" w:color="auto"/>
            <w:right w:val="none" w:sz="0" w:space="0" w:color="auto"/>
          </w:divBdr>
        </w:div>
        <w:div w:id="1295058165">
          <w:marLeft w:val="480"/>
          <w:marRight w:val="0"/>
          <w:marTop w:val="0"/>
          <w:marBottom w:val="0"/>
          <w:divBdr>
            <w:top w:val="none" w:sz="0" w:space="0" w:color="auto"/>
            <w:left w:val="none" w:sz="0" w:space="0" w:color="auto"/>
            <w:bottom w:val="none" w:sz="0" w:space="0" w:color="auto"/>
            <w:right w:val="none" w:sz="0" w:space="0" w:color="auto"/>
          </w:divBdr>
        </w:div>
        <w:div w:id="1992057720">
          <w:marLeft w:val="480"/>
          <w:marRight w:val="0"/>
          <w:marTop w:val="0"/>
          <w:marBottom w:val="0"/>
          <w:divBdr>
            <w:top w:val="none" w:sz="0" w:space="0" w:color="auto"/>
            <w:left w:val="none" w:sz="0" w:space="0" w:color="auto"/>
            <w:bottom w:val="none" w:sz="0" w:space="0" w:color="auto"/>
            <w:right w:val="none" w:sz="0" w:space="0" w:color="auto"/>
          </w:divBdr>
        </w:div>
        <w:div w:id="1138961443">
          <w:marLeft w:val="480"/>
          <w:marRight w:val="0"/>
          <w:marTop w:val="0"/>
          <w:marBottom w:val="0"/>
          <w:divBdr>
            <w:top w:val="none" w:sz="0" w:space="0" w:color="auto"/>
            <w:left w:val="none" w:sz="0" w:space="0" w:color="auto"/>
            <w:bottom w:val="none" w:sz="0" w:space="0" w:color="auto"/>
            <w:right w:val="none" w:sz="0" w:space="0" w:color="auto"/>
          </w:divBdr>
        </w:div>
        <w:div w:id="1351839137">
          <w:marLeft w:val="480"/>
          <w:marRight w:val="0"/>
          <w:marTop w:val="0"/>
          <w:marBottom w:val="0"/>
          <w:divBdr>
            <w:top w:val="none" w:sz="0" w:space="0" w:color="auto"/>
            <w:left w:val="none" w:sz="0" w:space="0" w:color="auto"/>
            <w:bottom w:val="none" w:sz="0" w:space="0" w:color="auto"/>
            <w:right w:val="none" w:sz="0" w:space="0" w:color="auto"/>
          </w:divBdr>
        </w:div>
        <w:div w:id="259870302">
          <w:marLeft w:val="480"/>
          <w:marRight w:val="0"/>
          <w:marTop w:val="0"/>
          <w:marBottom w:val="0"/>
          <w:divBdr>
            <w:top w:val="none" w:sz="0" w:space="0" w:color="auto"/>
            <w:left w:val="none" w:sz="0" w:space="0" w:color="auto"/>
            <w:bottom w:val="none" w:sz="0" w:space="0" w:color="auto"/>
            <w:right w:val="none" w:sz="0" w:space="0" w:color="auto"/>
          </w:divBdr>
        </w:div>
        <w:div w:id="1477912720">
          <w:marLeft w:val="480"/>
          <w:marRight w:val="0"/>
          <w:marTop w:val="0"/>
          <w:marBottom w:val="0"/>
          <w:divBdr>
            <w:top w:val="none" w:sz="0" w:space="0" w:color="auto"/>
            <w:left w:val="none" w:sz="0" w:space="0" w:color="auto"/>
            <w:bottom w:val="none" w:sz="0" w:space="0" w:color="auto"/>
            <w:right w:val="none" w:sz="0" w:space="0" w:color="auto"/>
          </w:divBdr>
        </w:div>
        <w:div w:id="1763721132">
          <w:marLeft w:val="480"/>
          <w:marRight w:val="0"/>
          <w:marTop w:val="0"/>
          <w:marBottom w:val="0"/>
          <w:divBdr>
            <w:top w:val="none" w:sz="0" w:space="0" w:color="auto"/>
            <w:left w:val="none" w:sz="0" w:space="0" w:color="auto"/>
            <w:bottom w:val="none" w:sz="0" w:space="0" w:color="auto"/>
            <w:right w:val="none" w:sz="0" w:space="0" w:color="auto"/>
          </w:divBdr>
        </w:div>
        <w:div w:id="572201634">
          <w:marLeft w:val="480"/>
          <w:marRight w:val="0"/>
          <w:marTop w:val="0"/>
          <w:marBottom w:val="0"/>
          <w:divBdr>
            <w:top w:val="none" w:sz="0" w:space="0" w:color="auto"/>
            <w:left w:val="none" w:sz="0" w:space="0" w:color="auto"/>
            <w:bottom w:val="none" w:sz="0" w:space="0" w:color="auto"/>
            <w:right w:val="none" w:sz="0" w:space="0" w:color="auto"/>
          </w:divBdr>
        </w:div>
        <w:div w:id="899292818">
          <w:marLeft w:val="480"/>
          <w:marRight w:val="0"/>
          <w:marTop w:val="0"/>
          <w:marBottom w:val="0"/>
          <w:divBdr>
            <w:top w:val="none" w:sz="0" w:space="0" w:color="auto"/>
            <w:left w:val="none" w:sz="0" w:space="0" w:color="auto"/>
            <w:bottom w:val="none" w:sz="0" w:space="0" w:color="auto"/>
            <w:right w:val="none" w:sz="0" w:space="0" w:color="auto"/>
          </w:divBdr>
        </w:div>
        <w:div w:id="167136549">
          <w:marLeft w:val="480"/>
          <w:marRight w:val="0"/>
          <w:marTop w:val="0"/>
          <w:marBottom w:val="0"/>
          <w:divBdr>
            <w:top w:val="none" w:sz="0" w:space="0" w:color="auto"/>
            <w:left w:val="none" w:sz="0" w:space="0" w:color="auto"/>
            <w:bottom w:val="none" w:sz="0" w:space="0" w:color="auto"/>
            <w:right w:val="none" w:sz="0" w:space="0" w:color="auto"/>
          </w:divBdr>
        </w:div>
        <w:div w:id="978001962">
          <w:marLeft w:val="480"/>
          <w:marRight w:val="0"/>
          <w:marTop w:val="0"/>
          <w:marBottom w:val="0"/>
          <w:divBdr>
            <w:top w:val="none" w:sz="0" w:space="0" w:color="auto"/>
            <w:left w:val="none" w:sz="0" w:space="0" w:color="auto"/>
            <w:bottom w:val="none" w:sz="0" w:space="0" w:color="auto"/>
            <w:right w:val="none" w:sz="0" w:space="0" w:color="auto"/>
          </w:divBdr>
        </w:div>
        <w:div w:id="1155219997">
          <w:marLeft w:val="480"/>
          <w:marRight w:val="0"/>
          <w:marTop w:val="0"/>
          <w:marBottom w:val="0"/>
          <w:divBdr>
            <w:top w:val="none" w:sz="0" w:space="0" w:color="auto"/>
            <w:left w:val="none" w:sz="0" w:space="0" w:color="auto"/>
            <w:bottom w:val="none" w:sz="0" w:space="0" w:color="auto"/>
            <w:right w:val="none" w:sz="0" w:space="0" w:color="auto"/>
          </w:divBdr>
        </w:div>
        <w:div w:id="1087771380">
          <w:marLeft w:val="480"/>
          <w:marRight w:val="0"/>
          <w:marTop w:val="0"/>
          <w:marBottom w:val="0"/>
          <w:divBdr>
            <w:top w:val="none" w:sz="0" w:space="0" w:color="auto"/>
            <w:left w:val="none" w:sz="0" w:space="0" w:color="auto"/>
            <w:bottom w:val="none" w:sz="0" w:space="0" w:color="auto"/>
            <w:right w:val="none" w:sz="0" w:space="0" w:color="auto"/>
          </w:divBdr>
        </w:div>
        <w:div w:id="1560441494">
          <w:marLeft w:val="480"/>
          <w:marRight w:val="0"/>
          <w:marTop w:val="0"/>
          <w:marBottom w:val="0"/>
          <w:divBdr>
            <w:top w:val="none" w:sz="0" w:space="0" w:color="auto"/>
            <w:left w:val="none" w:sz="0" w:space="0" w:color="auto"/>
            <w:bottom w:val="none" w:sz="0" w:space="0" w:color="auto"/>
            <w:right w:val="none" w:sz="0" w:space="0" w:color="auto"/>
          </w:divBdr>
        </w:div>
        <w:div w:id="950284639">
          <w:marLeft w:val="480"/>
          <w:marRight w:val="0"/>
          <w:marTop w:val="0"/>
          <w:marBottom w:val="0"/>
          <w:divBdr>
            <w:top w:val="none" w:sz="0" w:space="0" w:color="auto"/>
            <w:left w:val="none" w:sz="0" w:space="0" w:color="auto"/>
            <w:bottom w:val="none" w:sz="0" w:space="0" w:color="auto"/>
            <w:right w:val="none" w:sz="0" w:space="0" w:color="auto"/>
          </w:divBdr>
        </w:div>
        <w:div w:id="581378342">
          <w:marLeft w:val="480"/>
          <w:marRight w:val="0"/>
          <w:marTop w:val="0"/>
          <w:marBottom w:val="0"/>
          <w:divBdr>
            <w:top w:val="none" w:sz="0" w:space="0" w:color="auto"/>
            <w:left w:val="none" w:sz="0" w:space="0" w:color="auto"/>
            <w:bottom w:val="none" w:sz="0" w:space="0" w:color="auto"/>
            <w:right w:val="none" w:sz="0" w:space="0" w:color="auto"/>
          </w:divBdr>
        </w:div>
        <w:div w:id="1966304048">
          <w:marLeft w:val="480"/>
          <w:marRight w:val="0"/>
          <w:marTop w:val="0"/>
          <w:marBottom w:val="0"/>
          <w:divBdr>
            <w:top w:val="none" w:sz="0" w:space="0" w:color="auto"/>
            <w:left w:val="none" w:sz="0" w:space="0" w:color="auto"/>
            <w:bottom w:val="none" w:sz="0" w:space="0" w:color="auto"/>
            <w:right w:val="none" w:sz="0" w:space="0" w:color="auto"/>
          </w:divBdr>
        </w:div>
        <w:div w:id="1338966487">
          <w:marLeft w:val="480"/>
          <w:marRight w:val="0"/>
          <w:marTop w:val="0"/>
          <w:marBottom w:val="0"/>
          <w:divBdr>
            <w:top w:val="none" w:sz="0" w:space="0" w:color="auto"/>
            <w:left w:val="none" w:sz="0" w:space="0" w:color="auto"/>
            <w:bottom w:val="none" w:sz="0" w:space="0" w:color="auto"/>
            <w:right w:val="none" w:sz="0" w:space="0" w:color="auto"/>
          </w:divBdr>
        </w:div>
        <w:div w:id="816143117">
          <w:marLeft w:val="480"/>
          <w:marRight w:val="0"/>
          <w:marTop w:val="0"/>
          <w:marBottom w:val="0"/>
          <w:divBdr>
            <w:top w:val="none" w:sz="0" w:space="0" w:color="auto"/>
            <w:left w:val="none" w:sz="0" w:space="0" w:color="auto"/>
            <w:bottom w:val="none" w:sz="0" w:space="0" w:color="auto"/>
            <w:right w:val="none" w:sz="0" w:space="0" w:color="auto"/>
          </w:divBdr>
        </w:div>
        <w:div w:id="1214469190">
          <w:marLeft w:val="480"/>
          <w:marRight w:val="0"/>
          <w:marTop w:val="0"/>
          <w:marBottom w:val="0"/>
          <w:divBdr>
            <w:top w:val="none" w:sz="0" w:space="0" w:color="auto"/>
            <w:left w:val="none" w:sz="0" w:space="0" w:color="auto"/>
            <w:bottom w:val="none" w:sz="0" w:space="0" w:color="auto"/>
            <w:right w:val="none" w:sz="0" w:space="0" w:color="auto"/>
          </w:divBdr>
        </w:div>
        <w:div w:id="1282420236">
          <w:marLeft w:val="480"/>
          <w:marRight w:val="0"/>
          <w:marTop w:val="0"/>
          <w:marBottom w:val="0"/>
          <w:divBdr>
            <w:top w:val="none" w:sz="0" w:space="0" w:color="auto"/>
            <w:left w:val="none" w:sz="0" w:space="0" w:color="auto"/>
            <w:bottom w:val="none" w:sz="0" w:space="0" w:color="auto"/>
            <w:right w:val="none" w:sz="0" w:space="0" w:color="auto"/>
          </w:divBdr>
        </w:div>
        <w:div w:id="369107196">
          <w:marLeft w:val="480"/>
          <w:marRight w:val="0"/>
          <w:marTop w:val="0"/>
          <w:marBottom w:val="0"/>
          <w:divBdr>
            <w:top w:val="none" w:sz="0" w:space="0" w:color="auto"/>
            <w:left w:val="none" w:sz="0" w:space="0" w:color="auto"/>
            <w:bottom w:val="none" w:sz="0" w:space="0" w:color="auto"/>
            <w:right w:val="none" w:sz="0" w:space="0" w:color="auto"/>
          </w:divBdr>
        </w:div>
        <w:div w:id="214007269">
          <w:marLeft w:val="480"/>
          <w:marRight w:val="0"/>
          <w:marTop w:val="0"/>
          <w:marBottom w:val="0"/>
          <w:divBdr>
            <w:top w:val="none" w:sz="0" w:space="0" w:color="auto"/>
            <w:left w:val="none" w:sz="0" w:space="0" w:color="auto"/>
            <w:bottom w:val="none" w:sz="0" w:space="0" w:color="auto"/>
            <w:right w:val="none" w:sz="0" w:space="0" w:color="auto"/>
          </w:divBdr>
        </w:div>
        <w:div w:id="1687366840">
          <w:marLeft w:val="480"/>
          <w:marRight w:val="0"/>
          <w:marTop w:val="0"/>
          <w:marBottom w:val="0"/>
          <w:divBdr>
            <w:top w:val="none" w:sz="0" w:space="0" w:color="auto"/>
            <w:left w:val="none" w:sz="0" w:space="0" w:color="auto"/>
            <w:bottom w:val="none" w:sz="0" w:space="0" w:color="auto"/>
            <w:right w:val="none" w:sz="0" w:space="0" w:color="auto"/>
          </w:divBdr>
        </w:div>
        <w:div w:id="1593975144">
          <w:marLeft w:val="480"/>
          <w:marRight w:val="0"/>
          <w:marTop w:val="0"/>
          <w:marBottom w:val="0"/>
          <w:divBdr>
            <w:top w:val="none" w:sz="0" w:space="0" w:color="auto"/>
            <w:left w:val="none" w:sz="0" w:space="0" w:color="auto"/>
            <w:bottom w:val="none" w:sz="0" w:space="0" w:color="auto"/>
            <w:right w:val="none" w:sz="0" w:space="0" w:color="auto"/>
          </w:divBdr>
        </w:div>
        <w:div w:id="658775067">
          <w:marLeft w:val="480"/>
          <w:marRight w:val="0"/>
          <w:marTop w:val="0"/>
          <w:marBottom w:val="0"/>
          <w:divBdr>
            <w:top w:val="none" w:sz="0" w:space="0" w:color="auto"/>
            <w:left w:val="none" w:sz="0" w:space="0" w:color="auto"/>
            <w:bottom w:val="none" w:sz="0" w:space="0" w:color="auto"/>
            <w:right w:val="none" w:sz="0" w:space="0" w:color="auto"/>
          </w:divBdr>
        </w:div>
        <w:div w:id="1097755775">
          <w:marLeft w:val="480"/>
          <w:marRight w:val="0"/>
          <w:marTop w:val="0"/>
          <w:marBottom w:val="0"/>
          <w:divBdr>
            <w:top w:val="none" w:sz="0" w:space="0" w:color="auto"/>
            <w:left w:val="none" w:sz="0" w:space="0" w:color="auto"/>
            <w:bottom w:val="none" w:sz="0" w:space="0" w:color="auto"/>
            <w:right w:val="none" w:sz="0" w:space="0" w:color="auto"/>
          </w:divBdr>
        </w:div>
        <w:div w:id="1222054214">
          <w:marLeft w:val="480"/>
          <w:marRight w:val="0"/>
          <w:marTop w:val="0"/>
          <w:marBottom w:val="0"/>
          <w:divBdr>
            <w:top w:val="none" w:sz="0" w:space="0" w:color="auto"/>
            <w:left w:val="none" w:sz="0" w:space="0" w:color="auto"/>
            <w:bottom w:val="none" w:sz="0" w:space="0" w:color="auto"/>
            <w:right w:val="none" w:sz="0" w:space="0" w:color="auto"/>
          </w:divBdr>
        </w:div>
        <w:div w:id="1167860330">
          <w:marLeft w:val="480"/>
          <w:marRight w:val="0"/>
          <w:marTop w:val="0"/>
          <w:marBottom w:val="0"/>
          <w:divBdr>
            <w:top w:val="none" w:sz="0" w:space="0" w:color="auto"/>
            <w:left w:val="none" w:sz="0" w:space="0" w:color="auto"/>
            <w:bottom w:val="none" w:sz="0" w:space="0" w:color="auto"/>
            <w:right w:val="none" w:sz="0" w:space="0" w:color="auto"/>
          </w:divBdr>
        </w:div>
        <w:div w:id="16350208">
          <w:marLeft w:val="480"/>
          <w:marRight w:val="0"/>
          <w:marTop w:val="0"/>
          <w:marBottom w:val="0"/>
          <w:divBdr>
            <w:top w:val="none" w:sz="0" w:space="0" w:color="auto"/>
            <w:left w:val="none" w:sz="0" w:space="0" w:color="auto"/>
            <w:bottom w:val="none" w:sz="0" w:space="0" w:color="auto"/>
            <w:right w:val="none" w:sz="0" w:space="0" w:color="auto"/>
          </w:divBdr>
        </w:div>
        <w:div w:id="672345294">
          <w:marLeft w:val="480"/>
          <w:marRight w:val="0"/>
          <w:marTop w:val="0"/>
          <w:marBottom w:val="0"/>
          <w:divBdr>
            <w:top w:val="none" w:sz="0" w:space="0" w:color="auto"/>
            <w:left w:val="none" w:sz="0" w:space="0" w:color="auto"/>
            <w:bottom w:val="none" w:sz="0" w:space="0" w:color="auto"/>
            <w:right w:val="none" w:sz="0" w:space="0" w:color="auto"/>
          </w:divBdr>
        </w:div>
        <w:div w:id="1409764716">
          <w:marLeft w:val="480"/>
          <w:marRight w:val="0"/>
          <w:marTop w:val="0"/>
          <w:marBottom w:val="0"/>
          <w:divBdr>
            <w:top w:val="none" w:sz="0" w:space="0" w:color="auto"/>
            <w:left w:val="none" w:sz="0" w:space="0" w:color="auto"/>
            <w:bottom w:val="none" w:sz="0" w:space="0" w:color="auto"/>
            <w:right w:val="none" w:sz="0" w:space="0" w:color="auto"/>
          </w:divBdr>
        </w:div>
        <w:div w:id="41951539">
          <w:marLeft w:val="480"/>
          <w:marRight w:val="0"/>
          <w:marTop w:val="0"/>
          <w:marBottom w:val="0"/>
          <w:divBdr>
            <w:top w:val="none" w:sz="0" w:space="0" w:color="auto"/>
            <w:left w:val="none" w:sz="0" w:space="0" w:color="auto"/>
            <w:bottom w:val="none" w:sz="0" w:space="0" w:color="auto"/>
            <w:right w:val="none" w:sz="0" w:space="0" w:color="auto"/>
          </w:divBdr>
        </w:div>
        <w:div w:id="1012533056">
          <w:marLeft w:val="480"/>
          <w:marRight w:val="0"/>
          <w:marTop w:val="0"/>
          <w:marBottom w:val="0"/>
          <w:divBdr>
            <w:top w:val="none" w:sz="0" w:space="0" w:color="auto"/>
            <w:left w:val="none" w:sz="0" w:space="0" w:color="auto"/>
            <w:bottom w:val="none" w:sz="0" w:space="0" w:color="auto"/>
            <w:right w:val="none" w:sz="0" w:space="0" w:color="auto"/>
          </w:divBdr>
        </w:div>
        <w:div w:id="289091677">
          <w:marLeft w:val="480"/>
          <w:marRight w:val="0"/>
          <w:marTop w:val="0"/>
          <w:marBottom w:val="0"/>
          <w:divBdr>
            <w:top w:val="none" w:sz="0" w:space="0" w:color="auto"/>
            <w:left w:val="none" w:sz="0" w:space="0" w:color="auto"/>
            <w:bottom w:val="none" w:sz="0" w:space="0" w:color="auto"/>
            <w:right w:val="none" w:sz="0" w:space="0" w:color="auto"/>
          </w:divBdr>
        </w:div>
        <w:div w:id="1336223904">
          <w:marLeft w:val="480"/>
          <w:marRight w:val="0"/>
          <w:marTop w:val="0"/>
          <w:marBottom w:val="0"/>
          <w:divBdr>
            <w:top w:val="none" w:sz="0" w:space="0" w:color="auto"/>
            <w:left w:val="none" w:sz="0" w:space="0" w:color="auto"/>
            <w:bottom w:val="none" w:sz="0" w:space="0" w:color="auto"/>
            <w:right w:val="none" w:sz="0" w:space="0" w:color="auto"/>
          </w:divBdr>
        </w:div>
        <w:div w:id="857889636">
          <w:marLeft w:val="480"/>
          <w:marRight w:val="0"/>
          <w:marTop w:val="0"/>
          <w:marBottom w:val="0"/>
          <w:divBdr>
            <w:top w:val="none" w:sz="0" w:space="0" w:color="auto"/>
            <w:left w:val="none" w:sz="0" w:space="0" w:color="auto"/>
            <w:bottom w:val="none" w:sz="0" w:space="0" w:color="auto"/>
            <w:right w:val="none" w:sz="0" w:space="0" w:color="auto"/>
          </w:divBdr>
        </w:div>
        <w:div w:id="347484948">
          <w:marLeft w:val="480"/>
          <w:marRight w:val="0"/>
          <w:marTop w:val="0"/>
          <w:marBottom w:val="0"/>
          <w:divBdr>
            <w:top w:val="none" w:sz="0" w:space="0" w:color="auto"/>
            <w:left w:val="none" w:sz="0" w:space="0" w:color="auto"/>
            <w:bottom w:val="none" w:sz="0" w:space="0" w:color="auto"/>
            <w:right w:val="none" w:sz="0" w:space="0" w:color="auto"/>
          </w:divBdr>
        </w:div>
        <w:div w:id="1286741174">
          <w:marLeft w:val="480"/>
          <w:marRight w:val="0"/>
          <w:marTop w:val="0"/>
          <w:marBottom w:val="0"/>
          <w:divBdr>
            <w:top w:val="none" w:sz="0" w:space="0" w:color="auto"/>
            <w:left w:val="none" w:sz="0" w:space="0" w:color="auto"/>
            <w:bottom w:val="none" w:sz="0" w:space="0" w:color="auto"/>
            <w:right w:val="none" w:sz="0" w:space="0" w:color="auto"/>
          </w:divBdr>
        </w:div>
        <w:div w:id="595477144">
          <w:marLeft w:val="480"/>
          <w:marRight w:val="0"/>
          <w:marTop w:val="0"/>
          <w:marBottom w:val="0"/>
          <w:divBdr>
            <w:top w:val="none" w:sz="0" w:space="0" w:color="auto"/>
            <w:left w:val="none" w:sz="0" w:space="0" w:color="auto"/>
            <w:bottom w:val="none" w:sz="0" w:space="0" w:color="auto"/>
            <w:right w:val="none" w:sz="0" w:space="0" w:color="auto"/>
          </w:divBdr>
        </w:div>
        <w:div w:id="1682971972">
          <w:marLeft w:val="480"/>
          <w:marRight w:val="0"/>
          <w:marTop w:val="0"/>
          <w:marBottom w:val="0"/>
          <w:divBdr>
            <w:top w:val="none" w:sz="0" w:space="0" w:color="auto"/>
            <w:left w:val="none" w:sz="0" w:space="0" w:color="auto"/>
            <w:bottom w:val="none" w:sz="0" w:space="0" w:color="auto"/>
            <w:right w:val="none" w:sz="0" w:space="0" w:color="auto"/>
          </w:divBdr>
        </w:div>
        <w:div w:id="534000968">
          <w:marLeft w:val="480"/>
          <w:marRight w:val="0"/>
          <w:marTop w:val="0"/>
          <w:marBottom w:val="0"/>
          <w:divBdr>
            <w:top w:val="none" w:sz="0" w:space="0" w:color="auto"/>
            <w:left w:val="none" w:sz="0" w:space="0" w:color="auto"/>
            <w:bottom w:val="none" w:sz="0" w:space="0" w:color="auto"/>
            <w:right w:val="none" w:sz="0" w:space="0" w:color="auto"/>
          </w:divBdr>
        </w:div>
        <w:div w:id="1098795820">
          <w:marLeft w:val="480"/>
          <w:marRight w:val="0"/>
          <w:marTop w:val="0"/>
          <w:marBottom w:val="0"/>
          <w:divBdr>
            <w:top w:val="none" w:sz="0" w:space="0" w:color="auto"/>
            <w:left w:val="none" w:sz="0" w:space="0" w:color="auto"/>
            <w:bottom w:val="none" w:sz="0" w:space="0" w:color="auto"/>
            <w:right w:val="none" w:sz="0" w:space="0" w:color="auto"/>
          </w:divBdr>
        </w:div>
        <w:div w:id="784083129">
          <w:marLeft w:val="480"/>
          <w:marRight w:val="0"/>
          <w:marTop w:val="0"/>
          <w:marBottom w:val="0"/>
          <w:divBdr>
            <w:top w:val="none" w:sz="0" w:space="0" w:color="auto"/>
            <w:left w:val="none" w:sz="0" w:space="0" w:color="auto"/>
            <w:bottom w:val="none" w:sz="0" w:space="0" w:color="auto"/>
            <w:right w:val="none" w:sz="0" w:space="0" w:color="auto"/>
          </w:divBdr>
        </w:div>
        <w:div w:id="1381831084">
          <w:marLeft w:val="480"/>
          <w:marRight w:val="0"/>
          <w:marTop w:val="0"/>
          <w:marBottom w:val="0"/>
          <w:divBdr>
            <w:top w:val="none" w:sz="0" w:space="0" w:color="auto"/>
            <w:left w:val="none" w:sz="0" w:space="0" w:color="auto"/>
            <w:bottom w:val="none" w:sz="0" w:space="0" w:color="auto"/>
            <w:right w:val="none" w:sz="0" w:space="0" w:color="auto"/>
          </w:divBdr>
        </w:div>
        <w:div w:id="315886850">
          <w:marLeft w:val="480"/>
          <w:marRight w:val="0"/>
          <w:marTop w:val="0"/>
          <w:marBottom w:val="0"/>
          <w:divBdr>
            <w:top w:val="none" w:sz="0" w:space="0" w:color="auto"/>
            <w:left w:val="none" w:sz="0" w:space="0" w:color="auto"/>
            <w:bottom w:val="none" w:sz="0" w:space="0" w:color="auto"/>
            <w:right w:val="none" w:sz="0" w:space="0" w:color="auto"/>
          </w:divBdr>
        </w:div>
        <w:div w:id="364329103">
          <w:marLeft w:val="480"/>
          <w:marRight w:val="0"/>
          <w:marTop w:val="0"/>
          <w:marBottom w:val="0"/>
          <w:divBdr>
            <w:top w:val="none" w:sz="0" w:space="0" w:color="auto"/>
            <w:left w:val="none" w:sz="0" w:space="0" w:color="auto"/>
            <w:bottom w:val="none" w:sz="0" w:space="0" w:color="auto"/>
            <w:right w:val="none" w:sz="0" w:space="0" w:color="auto"/>
          </w:divBdr>
        </w:div>
        <w:div w:id="307713058">
          <w:marLeft w:val="480"/>
          <w:marRight w:val="0"/>
          <w:marTop w:val="0"/>
          <w:marBottom w:val="0"/>
          <w:divBdr>
            <w:top w:val="none" w:sz="0" w:space="0" w:color="auto"/>
            <w:left w:val="none" w:sz="0" w:space="0" w:color="auto"/>
            <w:bottom w:val="none" w:sz="0" w:space="0" w:color="auto"/>
            <w:right w:val="none" w:sz="0" w:space="0" w:color="auto"/>
          </w:divBdr>
        </w:div>
        <w:div w:id="275673727">
          <w:marLeft w:val="480"/>
          <w:marRight w:val="0"/>
          <w:marTop w:val="0"/>
          <w:marBottom w:val="0"/>
          <w:divBdr>
            <w:top w:val="none" w:sz="0" w:space="0" w:color="auto"/>
            <w:left w:val="none" w:sz="0" w:space="0" w:color="auto"/>
            <w:bottom w:val="none" w:sz="0" w:space="0" w:color="auto"/>
            <w:right w:val="none" w:sz="0" w:space="0" w:color="auto"/>
          </w:divBdr>
        </w:div>
        <w:div w:id="115414180">
          <w:marLeft w:val="480"/>
          <w:marRight w:val="0"/>
          <w:marTop w:val="0"/>
          <w:marBottom w:val="0"/>
          <w:divBdr>
            <w:top w:val="none" w:sz="0" w:space="0" w:color="auto"/>
            <w:left w:val="none" w:sz="0" w:space="0" w:color="auto"/>
            <w:bottom w:val="none" w:sz="0" w:space="0" w:color="auto"/>
            <w:right w:val="none" w:sz="0" w:space="0" w:color="auto"/>
          </w:divBdr>
        </w:div>
        <w:div w:id="2079748433">
          <w:marLeft w:val="480"/>
          <w:marRight w:val="0"/>
          <w:marTop w:val="0"/>
          <w:marBottom w:val="0"/>
          <w:divBdr>
            <w:top w:val="none" w:sz="0" w:space="0" w:color="auto"/>
            <w:left w:val="none" w:sz="0" w:space="0" w:color="auto"/>
            <w:bottom w:val="none" w:sz="0" w:space="0" w:color="auto"/>
            <w:right w:val="none" w:sz="0" w:space="0" w:color="auto"/>
          </w:divBdr>
        </w:div>
        <w:div w:id="1310475521">
          <w:marLeft w:val="480"/>
          <w:marRight w:val="0"/>
          <w:marTop w:val="0"/>
          <w:marBottom w:val="0"/>
          <w:divBdr>
            <w:top w:val="none" w:sz="0" w:space="0" w:color="auto"/>
            <w:left w:val="none" w:sz="0" w:space="0" w:color="auto"/>
            <w:bottom w:val="none" w:sz="0" w:space="0" w:color="auto"/>
            <w:right w:val="none" w:sz="0" w:space="0" w:color="auto"/>
          </w:divBdr>
        </w:div>
        <w:div w:id="983244241">
          <w:marLeft w:val="480"/>
          <w:marRight w:val="0"/>
          <w:marTop w:val="0"/>
          <w:marBottom w:val="0"/>
          <w:divBdr>
            <w:top w:val="none" w:sz="0" w:space="0" w:color="auto"/>
            <w:left w:val="none" w:sz="0" w:space="0" w:color="auto"/>
            <w:bottom w:val="none" w:sz="0" w:space="0" w:color="auto"/>
            <w:right w:val="none" w:sz="0" w:space="0" w:color="auto"/>
          </w:divBdr>
        </w:div>
        <w:div w:id="1303657632">
          <w:marLeft w:val="480"/>
          <w:marRight w:val="0"/>
          <w:marTop w:val="0"/>
          <w:marBottom w:val="0"/>
          <w:divBdr>
            <w:top w:val="none" w:sz="0" w:space="0" w:color="auto"/>
            <w:left w:val="none" w:sz="0" w:space="0" w:color="auto"/>
            <w:bottom w:val="none" w:sz="0" w:space="0" w:color="auto"/>
            <w:right w:val="none" w:sz="0" w:space="0" w:color="auto"/>
          </w:divBdr>
        </w:div>
        <w:div w:id="1730420890">
          <w:marLeft w:val="480"/>
          <w:marRight w:val="0"/>
          <w:marTop w:val="0"/>
          <w:marBottom w:val="0"/>
          <w:divBdr>
            <w:top w:val="none" w:sz="0" w:space="0" w:color="auto"/>
            <w:left w:val="none" w:sz="0" w:space="0" w:color="auto"/>
            <w:bottom w:val="none" w:sz="0" w:space="0" w:color="auto"/>
            <w:right w:val="none" w:sz="0" w:space="0" w:color="auto"/>
          </w:divBdr>
        </w:div>
        <w:div w:id="955137830">
          <w:marLeft w:val="480"/>
          <w:marRight w:val="0"/>
          <w:marTop w:val="0"/>
          <w:marBottom w:val="0"/>
          <w:divBdr>
            <w:top w:val="none" w:sz="0" w:space="0" w:color="auto"/>
            <w:left w:val="none" w:sz="0" w:space="0" w:color="auto"/>
            <w:bottom w:val="none" w:sz="0" w:space="0" w:color="auto"/>
            <w:right w:val="none" w:sz="0" w:space="0" w:color="auto"/>
          </w:divBdr>
        </w:div>
        <w:div w:id="72362703">
          <w:marLeft w:val="480"/>
          <w:marRight w:val="0"/>
          <w:marTop w:val="0"/>
          <w:marBottom w:val="0"/>
          <w:divBdr>
            <w:top w:val="none" w:sz="0" w:space="0" w:color="auto"/>
            <w:left w:val="none" w:sz="0" w:space="0" w:color="auto"/>
            <w:bottom w:val="none" w:sz="0" w:space="0" w:color="auto"/>
            <w:right w:val="none" w:sz="0" w:space="0" w:color="auto"/>
          </w:divBdr>
        </w:div>
        <w:div w:id="316960126">
          <w:marLeft w:val="480"/>
          <w:marRight w:val="0"/>
          <w:marTop w:val="0"/>
          <w:marBottom w:val="0"/>
          <w:divBdr>
            <w:top w:val="none" w:sz="0" w:space="0" w:color="auto"/>
            <w:left w:val="none" w:sz="0" w:space="0" w:color="auto"/>
            <w:bottom w:val="none" w:sz="0" w:space="0" w:color="auto"/>
            <w:right w:val="none" w:sz="0" w:space="0" w:color="auto"/>
          </w:divBdr>
        </w:div>
        <w:div w:id="2006857227">
          <w:marLeft w:val="480"/>
          <w:marRight w:val="0"/>
          <w:marTop w:val="0"/>
          <w:marBottom w:val="0"/>
          <w:divBdr>
            <w:top w:val="none" w:sz="0" w:space="0" w:color="auto"/>
            <w:left w:val="none" w:sz="0" w:space="0" w:color="auto"/>
            <w:bottom w:val="none" w:sz="0" w:space="0" w:color="auto"/>
            <w:right w:val="none" w:sz="0" w:space="0" w:color="auto"/>
          </w:divBdr>
        </w:div>
        <w:div w:id="488255438">
          <w:marLeft w:val="480"/>
          <w:marRight w:val="0"/>
          <w:marTop w:val="0"/>
          <w:marBottom w:val="0"/>
          <w:divBdr>
            <w:top w:val="none" w:sz="0" w:space="0" w:color="auto"/>
            <w:left w:val="none" w:sz="0" w:space="0" w:color="auto"/>
            <w:bottom w:val="none" w:sz="0" w:space="0" w:color="auto"/>
            <w:right w:val="none" w:sz="0" w:space="0" w:color="auto"/>
          </w:divBdr>
        </w:div>
        <w:div w:id="2086950095">
          <w:marLeft w:val="480"/>
          <w:marRight w:val="0"/>
          <w:marTop w:val="0"/>
          <w:marBottom w:val="0"/>
          <w:divBdr>
            <w:top w:val="none" w:sz="0" w:space="0" w:color="auto"/>
            <w:left w:val="none" w:sz="0" w:space="0" w:color="auto"/>
            <w:bottom w:val="none" w:sz="0" w:space="0" w:color="auto"/>
            <w:right w:val="none" w:sz="0" w:space="0" w:color="auto"/>
          </w:divBdr>
        </w:div>
        <w:div w:id="1048528819">
          <w:marLeft w:val="480"/>
          <w:marRight w:val="0"/>
          <w:marTop w:val="0"/>
          <w:marBottom w:val="0"/>
          <w:divBdr>
            <w:top w:val="none" w:sz="0" w:space="0" w:color="auto"/>
            <w:left w:val="none" w:sz="0" w:space="0" w:color="auto"/>
            <w:bottom w:val="none" w:sz="0" w:space="0" w:color="auto"/>
            <w:right w:val="none" w:sz="0" w:space="0" w:color="auto"/>
          </w:divBdr>
        </w:div>
        <w:div w:id="45301440">
          <w:marLeft w:val="480"/>
          <w:marRight w:val="0"/>
          <w:marTop w:val="0"/>
          <w:marBottom w:val="0"/>
          <w:divBdr>
            <w:top w:val="none" w:sz="0" w:space="0" w:color="auto"/>
            <w:left w:val="none" w:sz="0" w:space="0" w:color="auto"/>
            <w:bottom w:val="none" w:sz="0" w:space="0" w:color="auto"/>
            <w:right w:val="none" w:sz="0" w:space="0" w:color="auto"/>
          </w:divBdr>
        </w:div>
        <w:div w:id="1416318198">
          <w:marLeft w:val="480"/>
          <w:marRight w:val="0"/>
          <w:marTop w:val="0"/>
          <w:marBottom w:val="0"/>
          <w:divBdr>
            <w:top w:val="none" w:sz="0" w:space="0" w:color="auto"/>
            <w:left w:val="none" w:sz="0" w:space="0" w:color="auto"/>
            <w:bottom w:val="none" w:sz="0" w:space="0" w:color="auto"/>
            <w:right w:val="none" w:sz="0" w:space="0" w:color="auto"/>
          </w:divBdr>
        </w:div>
        <w:div w:id="1824394086">
          <w:marLeft w:val="480"/>
          <w:marRight w:val="0"/>
          <w:marTop w:val="0"/>
          <w:marBottom w:val="0"/>
          <w:divBdr>
            <w:top w:val="none" w:sz="0" w:space="0" w:color="auto"/>
            <w:left w:val="none" w:sz="0" w:space="0" w:color="auto"/>
            <w:bottom w:val="none" w:sz="0" w:space="0" w:color="auto"/>
            <w:right w:val="none" w:sz="0" w:space="0" w:color="auto"/>
          </w:divBdr>
        </w:div>
        <w:div w:id="1279603669">
          <w:marLeft w:val="480"/>
          <w:marRight w:val="0"/>
          <w:marTop w:val="0"/>
          <w:marBottom w:val="0"/>
          <w:divBdr>
            <w:top w:val="none" w:sz="0" w:space="0" w:color="auto"/>
            <w:left w:val="none" w:sz="0" w:space="0" w:color="auto"/>
            <w:bottom w:val="none" w:sz="0" w:space="0" w:color="auto"/>
            <w:right w:val="none" w:sz="0" w:space="0" w:color="auto"/>
          </w:divBdr>
        </w:div>
        <w:div w:id="2102410787">
          <w:marLeft w:val="480"/>
          <w:marRight w:val="0"/>
          <w:marTop w:val="0"/>
          <w:marBottom w:val="0"/>
          <w:divBdr>
            <w:top w:val="none" w:sz="0" w:space="0" w:color="auto"/>
            <w:left w:val="none" w:sz="0" w:space="0" w:color="auto"/>
            <w:bottom w:val="none" w:sz="0" w:space="0" w:color="auto"/>
            <w:right w:val="none" w:sz="0" w:space="0" w:color="auto"/>
          </w:divBdr>
        </w:div>
        <w:div w:id="1005330444">
          <w:marLeft w:val="480"/>
          <w:marRight w:val="0"/>
          <w:marTop w:val="0"/>
          <w:marBottom w:val="0"/>
          <w:divBdr>
            <w:top w:val="none" w:sz="0" w:space="0" w:color="auto"/>
            <w:left w:val="none" w:sz="0" w:space="0" w:color="auto"/>
            <w:bottom w:val="none" w:sz="0" w:space="0" w:color="auto"/>
            <w:right w:val="none" w:sz="0" w:space="0" w:color="auto"/>
          </w:divBdr>
        </w:div>
        <w:div w:id="259070663">
          <w:marLeft w:val="480"/>
          <w:marRight w:val="0"/>
          <w:marTop w:val="0"/>
          <w:marBottom w:val="0"/>
          <w:divBdr>
            <w:top w:val="none" w:sz="0" w:space="0" w:color="auto"/>
            <w:left w:val="none" w:sz="0" w:space="0" w:color="auto"/>
            <w:bottom w:val="none" w:sz="0" w:space="0" w:color="auto"/>
            <w:right w:val="none" w:sz="0" w:space="0" w:color="auto"/>
          </w:divBdr>
        </w:div>
        <w:div w:id="1722091001">
          <w:marLeft w:val="480"/>
          <w:marRight w:val="0"/>
          <w:marTop w:val="0"/>
          <w:marBottom w:val="0"/>
          <w:divBdr>
            <w:top w:val="none" w:sz="0" w:space="0" w:color="auto"/>
            <w:left w:val="none" w:sz="0" w:space="0" w:color="auto"/>
            <w:bottom w:val="none" w:sz="0" w:space="0" w:color="auto"/>
            <w:right w:val="none" w:sz="0" w:space="0" w:color="auto"/>
          </w:divBdr>
        </w:div>
        <w:div w:id="1685859004">
          <w:marLeft w:val="480"/>
          <w:marRight w:val="0"/>
          <w:marTop w:val="0"/>
          <w:marBottom w:val="0"/>
          <w:divBdr>
            <w:top w:val="none" w:sz="0" w:space="0" w:color="auto"/>
            <w:left w:val="none" w:sz="0" w:space="0" w:color="auto"/>
            <w:bottom w:val="none" w:sz="0" w:space="0" w:color="auto"/>
            <w:right w:val="none" w:sz="0" w:space="0" w:color="auto"/>
          </w:divBdr>
        </w:div>
        <w:div w:id="332337535">
          <w:marLeft w:val="480"/>
          <w:marRight w:val="0"/>
          <w:marTop w:val="0"/>
          <w:marBottom w:val="0"/>
          <w:divBdr>
            <w:top w:val="none" w:sz="0" w:space="0" w:color="auto"/>
            <w:left w:val="none" w:sz="0" w:space="0" w:color="auto"/>
            <w:bottom w:val="none" w:sz="0" w:space="0" w:color="auto"/>
            <w:right w:val="none" w:sz="0" w:space="0" w:color="auto"/>
          </w:divBdr>
        </w:div>
        <w:div w:id="1694720698">
          <w:marLeft w:val="480"/>
          <w:marRight w:val="0"/>
          <w:marTop w:val="0"/>
          <w:marBottom w:val="0"/>
          <w:divBdr>
            <w:top w:val="none" w:sz="0" w:space="0" w:color="auto"/>
            <w:left w:val="none" w:sz="0" w:space="0" w:color="auto"/>
            <w:bottom w:val="none" w:sz="0" w:space="0" w:color="auto"/>
            <w:right w:val="none" w:sz="0" w:space="0" w:color="auto"/>
          </w:divBdr>
        </w:div>
        <w:div w:id="1968243322">
          <w:marLeft w:val="480"/>
          <w:marRight w:val="0"/>
          <w:marTop w:val="0"/>
          <w:marBottom w:val="0"/>
          <w:divBdr>
            <w:top w:val="none" w:sz="0" w:space="0" w:color="auto"/>
            <w:left w:val="none" w:sz="0" w:space="0" w:color="auto"/>
            <w:bottom w:val="none" w:sz="0" w:space="0" w:color="auto"/>
            <w:right w:val="none" w:sz="0" w:space="0" w:color="auto"/>
          </w:divBdr>
        </w:div>
        <w:div w:id="46148280">
          <w:marLeft w:val="480"/>
          <w:marRight w:val="0"/>
          <w:marTop w:val="0"/>
          <w:marBottom w:val="0"/>
          <w:divBdr>
            <w:top w:val="none" w:sz="0" w:space="0" w:color="auto"/>
            <w:left w:val="none" w:sz="0" w:space="0" w:color="auto"/>
            <w:bottom w:val="none" w:sz="0" w:space="0" w:color="auto"/>
            <w:right w:val="none" w:sz="0" w:space="0" w:color="auto"/>
          </w:divBdr>
        </w:div>
        <w:div w:id="259066765">
          <w:marLeft w:val="480"/>
          <w:marRight w:val="0"/>
          <w:marTop w:val="0"/>
          <w:marBottom w:val="0"/>
          <w:divBdr>
            <w:top w:val="none" w:sz="0" w:space="0" w:color="auto"/>
            <w:left w:val="none" w:sz="0" w:space="0" w:color="auto"/>
            <w:bottom w:val="none" w:sz="0" w:space="0" w:color="auto"/>
            <w:right w:val="none" w:sz="0" w:space="0" w:color="auto"/>
          </w:divBdr>
        </w:div>
        <w:div w:id="522212012">
          <w:marLeft w:val="480"/>
          <w:marRight w:val="0"/>
          <w:marTop w:val="0"/>
          <w:marBottom w:val="0"/>
          <w:divBdr>
            <w:top w:val="none" w:sz="0" w:space="0" w:color="auto"/>
            <w:left w:val="none" w:sz="0" w:space="0" w:color="auto"/>
            <w:bottom w:val="none" w:sz="0" w:space="0" w:color="auto"/>
            <w:right w:val="none" w:sz="0" w:space="0" w:color="auto"/>
          </w:divBdr>
        </w:div>
        <w:div w:id="1603299134">
          <w:marLeft w:val="480"/>
          <w:marRight w:val="0"/>
          <w:marTop w:val="0"/>
          <w:marBottom w:val="0"/>
          <w:divBdr>
            <w:top w:val="none" w:sz="0" w:space="0" w:color="auto"/>
            <w:left w:val="none" w:sz="0" w:space="0" w:color="auto"/>
            <w:bottom w:val="none" w:sz="0" w:space="0" w:color="auto"/>
            <w:right w:val="none" w:sz="0" w:space="0" w:color="auto"/>
          </w:divBdr>
        </w:div>
        <w:div w:id="1433748562">
          <w:marLeft w:val="480"/>
          <w:marRight w:val="0"/>
          <w:marTop w:val="0"/>
          <w:marBottom w:val="0"/>
          <w:divBdr>
            <w:top w:val="none" w:sz="0" w:space="0" w:color="auto"/>
            <w:left w:val="none" w:sz="0" w:space="0" w:color="auto"/>
            <w:bottom w:val="none" w:sz="0" w:space="0" w:color="auto"/>
            <w:right w:val="none" w:sz="0" w:space="0" w:color="auto"/>
          </w:divBdr>
        </w:div>
        <w:div w:id="1752461805">
          <w:marLeft w:val="480"/>
          <w:marRight w:val="0"/>
          <w:marTop w:val="0"/>
          <w:marBottom w:val="0"/>
          <w:divBdr>
            <w:top w:val="none" w:sz="0" w:space="0" w:color="auto"/>
            <w:left w:val="none" w:sz="0" w:space="0" w:color="auto"/>
            <w:bottom w:val="none" w:sz="0" w:space="0" w:color="auto"/>
            <w:right w:val="none" w:sz="0" w:space="0" w:color="auto"/>
          </w:divBdr>
        </w:div>
        <w:div w:id="1277522564">
          <w:marLeft w:val="480"/>
          <w:marRight w:val="0"/>
          <w:marTop w:val="0"/>
          <w:marBottom w:val="0"/>
          <w:divBdr>
            <w:top w:val="none" w:sz="0" w:space="0" w:color="auto"/>
            <w:left w:val="none" w:sz="0" w:space="0" w:color="auto"/>
            <w:bottom w:val="none" w:sz="0" w:space="0" w:color="auto"/>
            <w:right w:val="none" w:sz="0" w:space="0" w:color="auto"/>
          </w:divBdr>
        </w:div>
        <w:div w:id="175853054">
          <w:marLeft w:val="480"/>
          <w:marRight w:val="0"/>
          <w:marTop w:val="0"/>
          <w:marBottom w:val="0"/>
          <w:divBdr>
            <w:top w:val="none" w:sz="0" w:space="0" w:color="auto"/>
            <w:left w:val="none" w:sz="0" w:space="0" w:color="auto"/>
            <w:bottom w:val="none" w:sz="0" w:space="0" w:color="auto"/>
            <w:right w:val="none" w:sz="0" w:space="0" w:color="auto"/>
          </w:divBdr>
        </w:div>
        <w:div w:id="99574679">
          <w:marLeft w:val="480"/>
          <w:marRight w:val="0"/>
          <w:marTop w:val="0"/>
          <w:marBottom w:val="0"/>
          <w:divBdr>
            <w:top w:val="none" w:sz="0" w:space="0" w:color="auto"/>
            <w:left w:val="none" w:sz="0" w:space="0" w:color="auto"/>
            <w:bottom w:val="none" w:sz="0" w:space="0" w:color="auto"/>
            <w:right w:val="none" w:sz="0" w:space="0" w:color="auto"/>
          </w:divBdr>
        </w:div>
        <w:div w:id="1065445189">
          <w:marLeft w:val="480"/>
          <w:marRight w:val="0"/>
          <w:marTop w:val="0"/>
          <w:marBottom w:val="0"/>
          <w:divBdr>
            <w:top w:val="none" w:sz="0" w:space="0" w:color="auto"/>
            <w:left w:val="none" w:sz="0" w:space="0" w:color="auto"/>
            <w:bottom w:val="none" w:sz="0" w:space="0" w:color="auto"/>
            <w:right w:val="none" w:sz="0" w:space="0" w:color="auto"/>
          </w:divBdr>
        </w:div>
        <w:div w:id="372314456">
          <w:marLeft w:val="480"/>
          <w:marRight w:val="0"/>
          <w:marTop w:val="0"/>
          <w:marBottom w:val="0"/>
          <w:divBdr>
            <w:top w:val="none" w:sz="0" w:space="0" w:color="auto"/>
            <w:left w:val="none" w:sz="0" w:space="0" w:color="auto"/>
            <w:bottom w:val="none" w:sz="0" w:space="0" w:color="auto"/>
            <w:right w:val="none" w:sz="0" w:space="0" w:color="auto"/>
          </w:divBdr>
        </w:div>
        <w:div w:id="83383447">
          <w:marLeft w:val="480"/>
          <w:marRight w:val="0"/>
          <w:marTop w:val="0"/>
          <w:marBottom w:val="0"/>
          <w:divBdr>
            <w:top w:val="none" w:sz="0" w:space="0" w:color="auto"/>
            <w:left w:val="none" w:sz="0" w:space="0" w:color="auto"/>
            <w:bottom w:val="none" w:sz="0" w:space="0" w:color="auto"/>
            <w:right w:val="none" w:sz="0" w:space="0" w:color="auto"/>
          </w:divBdr>
        </w:div>
      </w:divsChild>
    </w:div>
    <w:div w:id="1478456633">
      <w:bodyDiv w:val="1"/>
      <w:marLeft w:val="0"/>
      <w:marRight w:val="0"/>
      <w:marTop w:val="0"/>
      <w:marBottom w:val="0"/>
      <w:divBdr>
        <w:top w:val="none" w:sz="0" w:space="0" w:color="auto"/>
        <w:left w:val="none" w:sz="0" w:space="0" w:color="auto"/>
        <w:bottom w:val="none" w:sz="0" w:space="0" w:color="auto"/>
        <w:right w:val="none" w:sz="0" w:space="0" w:color="auto"/>
      </w:divBdr>
    </w:div>
    <w:div w:id="1479571921">
      <w:bodyDiv w:val="1"/>
      <w:marLeft w:val="0"/>
      <w:marRight w:val="0"/>
      <w:marTop w:val="0"/>
      <w:marBottom w:val="0"/>
      <w:divBdr>
        <w:top w:val="none" w:sz="0" w:space="0" w:color="auto"/>
        <w:left w:val="none" w:sz="0" w:space="0" w:color="auto"/>
        <w:bottom w:val="none" w:sz="0" w:space="0" w:color="auto"/>
        <w:right w:val="none" w:sz="0" w:space="0" w:color="auto"/>
      </w:divBdr>
    </w:div>
    <w:div w:id="1479611475">
      <w:bodyDiv w:val="1"/>
      <w:marLeft w:val="0"/>
      <w:marRight w:val="0"/>
      <w:marTop w:val="0"/>
      <w:marBottom w:val="0"/>
      <w:divBdr>
        <w:top w:val="none" w:sz="0" w:space="0" w:color="auto"/>
        <w:left w:val="none" w:sz="0" w:space="0" w:color="auto"/>
        <w:bottom w:val="none" w:sz="0" w:space="0" w:color="auto"/>
        <w:right w:val="none" w:sz="0" w:space="0" w:color="auto"/>
      </w:divBdr>
    </w:div>
    <w:div w:id="1479761928">
      <w:bodyDiv w:val="1"/>
      <w:marLeft w:val="0"/>
      <w:marRight w:val="0"/>
      <w:marTop w:val="0"/>
      <w:marBottom w:val="0"/>
      <w:divBdr>
        <w:top w:val="none" w:sz="0" w:space="0" w:color="auto"/>
        <w:left w:val="none" w:sz="0" w:space="0" w:color="auto"/>
        <w:bottom w:val="none" w:sz="0" w:space="0" w:color="auto"/>
        <w:right w:val="none" w:sz="0" w:space="0" w:color="auto"/>
      </w:divBdr>
    </w:div>
    <w:div w:id="1479880129">
      <w:bodyDiv w:val="1"/>
      <w:marLeft w:val="0"/>
      <w:marRight w:val="0"/>
      <w:marTop w:val="0"/>
      <w:marBottom w:val="0"/>
      <w:divBdr>
        <w:top w:val="none" w:sz="0" w:space="0" w:color="auto"/>
        <w:left w:val="none" w:sz="0" w:space="0" w:color="auto"/>
        <w:bottom w:val="none" w:sz="0" w:space="0" w:color="auto"/>
        <w:right w:val="none" w:sz="0" w:space="0" w:color="auto"/>
      </w:divBdr>
    </w:div>
    <w:div w:id="1479959430">
      <w:bodyDiv w:val="1"/>
      <w:marLeft w:val="0"/>
      <w:marRight w:val="0"/>
      <w:marTop w:val="0"/>
      <w:marBottom w:val="0"/>
      <w:divBdr>
        <w:top w:val="none" w:sz="0" w:space="0" w:color="auto"/>
        <w:left w:val="none" w:sz="0" w:space="0" w:color="auto"/>
        <w:bottom w:val="none" w:sz="0" w:space="0" w:color="auto"/>
        <w:right w:val="none" w:sz="0" w:space="0" w:color="auto"/>
      </w:divBdr>
    </w:div>
    <w:div w:id="1480148309">
      <w:bodyDiv w:val="1"/>
      <w:marLeft w:val="0"/>
      <w:marRight w:val="0"/>
      <w:marTop w:val="0"/>
      <w:marBottom w:val="0"/>
      <w:divBdr>
        <w:top w:val="none" w:sz="0" w:space="0" w:color="auto"/>
        <w:left w:val="none" w:sz="0" w:space="0" w:color="auto"/>
        <w:bottom w:val="none" w:sz="0" w:space="0" w:color="auto"/>
        <w:right w:val="none" w:sz="0" w:space="0" w:color="auto"/>
      </w:divBdr>
    </w:div>
    <w:div w:id="1481850356">
      <w:bodyDiv w:val="1"/>
      <w:marLeft w:val="0"/>
      <w:marRight w:val="0"/>
      <w:marTop w:val="0"/>
      <w:marBottom w:val="0"/>
      <w:divBdr>
        <w:top w:val="none" w:sz="0" w:space="0" w:color="auto"/>
        <w:left w:val="none" w:sz="0" w:space="0" w:color="auto"/>
        <w:bottom w:val="none" w:sz="0" w:space="0" w:color="auto"/>
        <w:right w:val="none" w:sz="0" w:space="0" w:color="auto"/>
      </w:divBdr>
    </w:div>
    <w:div w:id="1483233377">
      <w:bodyDiv w:val="1"/>
      <w:marLeft w:val="0"/>
      <w:marRight w:val="0"/>
      <w:marTop w:val="0"/>
      <w:marBottom w:val="0"/>
      <w:divBdr>
        <w:top w:val="none" w:sz="0" w:space="0" w:color="auto"/>
        <w:left w:val="none" w:sz="0" w:space="0" w:color="auto"/>
        <w:bottom w:val="none" w:sz="0" w:space="0" w:color="auto"/>
        <w:right w:val="none" w:sz="0" w:space="0" w:color="auto"/>
      </w:divBdr>
    </w:div>
    <w:div w:id="1483888725">
      <w:bodyDiv w:val="1"/>
      <w:marLeft w:val="0"/>
      <w:marRight w:val="0"/>
      <w:marTop w:val="0"/>
      <w:marBottom w:val="0"/>
      <w:divBdr>
        <w:top w:val="none" w:sz="0" w:space="0" w:color="auto"/>
        <w:left w:val="none" w:sz="0" w:space="0" w:color="auto"/>
        <w:bottom w:val="none" w:sz="0" w:space="0" w:color="auto"/>
        <w:right w:val="none" w:sz="0" w:space="0" w:color="auto"/>
      </w:divBdr>
    </w:div>
    <w:div w:id="1484009682">
      <w:bodyDiv w:val="1"/>
      <w:marLeft w:val="0"/>
      <w:marRight w:val="0"/>
      <w:marTop w:val="0"/>
      <w:marBottom w:val="0"/>
      <w:divBdr>
        <w:top w:val="none" w:sz="0" w:space="0" w:color="auto"/>
        <w:left w:val="none" w:sz="0" w:space="0" w:color="auto"/>
        <w:bottom w:val="none" w:sz="0" w:space="0" w:color="auto"/>
        <w:right w:val="none" w:sz="0" w:space="0" w:color="auto"/>
      </w:divBdr>
    </w:div>
    <w:div w:id="1486043268">
      <w:bodyDiv w:val="1"/>
      <w:marLeft w:val="0"/>
      <w:marRight w:val="0"/>
      <w:marTop w:val="0"/>
      <w:marBottom w:val="0"/>
      <w:divBdr>
        <w:top w:val="none" w:sz="0" w:space="0" w:color="auto"/>
        <w:left w:val="none" w:sz="0" w:space="0" w:color="auto"/>
        <w:bottom w:val="none" w:sz="0" w:space="0" w:color="auto"/>
        <w:right w:val="none" w:sz="0" w:space="0" w:color="auto"/>
      </w:divBdr>
    </w:div>
    <w:div w:id="1486126985">
      <w:bodyDiv w:val="1"/>
      <w:marLeft w:val="0"/>
      <w:marRight w:val="0"/>
      <w:marTop w:val="0"/>
      <w:marBottom w:val="0"/>
      <w:divBdr>
        <w:top w:val="none" w:sz="0" w:space="0" w:color="auto"/>
        <w:left w:val="none" w:sz="0" w:space="0" w:color="auto"/>
        <w:bottom w:val="none" w:sz="0" w:space="0" w:color="auto"/>
        <w:right w:val="none" w:sz="0" w:space="0" w:color="auto"/>
      </w:divBdr>
    </w:div>
    <w:div w:id="1487238046">
      <w:bodyDiv w:val="1"/>
      <w:marLeft w:val="0"/>
      <w:marRight w:val="0"/>
      <w:marTop w:val="0"/>
      <w:marBottom w:val="0"/>
      <w:divBdr>
        <w:top w:val="none" w:sz="0" w:space="0" w:color="auto"/>
        <w:left w:val="none" w:sz="0" w:space="0" w:color="auto"/>
        <w:bottom w:val="none" w:sz="0" w:space="0" w:color="auto"/>
        <w:right w:val="none" w:sz="0" w:space="0" w:color="auto"/>
      </w:divBdr>
    </w:div>
    <w:div w:id="1487479352">
      <w:bodyDiv w:val="1"/>
      <w:marLeft w:val="0"/>
      <w:marRight w:val="0"/>
      <w:marTop w:val="0"/>
      <w:marBottom w:val="0"/>
      <w:divBdr>
        <w:top w:val="none" w:sz="0" w:space="0" w:color="auto"/>
        <w:left w:val="none" w:sz="0" w:space="0" w:color="auto"/>
        <w:bottom w:val="none" w:sz="0" w:space="0" w:color="auto"/>
        <w:right w:val="none" w:sz="0" w:space="0" w:color="auto"/>
      </w:divBdr>
    </w:div>
    <w:div w:id="1487745073">
      <w:bodyDiv w:val="1"/>
      <w:marLeft w:val="0"/>
      <w:marRight w:val="0"/>
      <w:marTop w:val="0"/>
      <w:marBottom w:val="0"/>
      <w:divBdr>
        <w:top w:val="none" w:sz="0" w:space="0" w:color="auto"/>
        <w:left w:val="none" w:sz="0" w:space="0" w:color="auto"/>
        <w:bottom w:val="none" w:sz="0" w:space="0" w:color="auto"/>
        <w:right w:val="none" w:sz="0" w:space="0" w:color="auto"/>
      </w:divBdr>
    </w:div>
    <w:div w:id="1487818698">
      <w:bodyDiv w:val="1"/>
      <w:marLeft w:val="0"/>
      <w:marRight w:val="0"/>
      <w:marTop w:val="0"/>
      <w:marBottom w:val="0"/>
      <w:divBdr>
        <w:top w:val="none" w:sz="0" w:space="0" w:color="auto"/>
        <w:left w:val="none" w:sz="0" w:space="0" w:color="auto"/>
        <w:bottom w:val="none" w:sz="0" w:space="0" w:color="auto"/>
        <w:right w:val="none" w:sz="0" w:space="0" w:color="auto"/>
      </w:divBdr>
    </w:div>
    <w:div w:id="1487823551">
      <w:bodyDiv w:val="1"/>
      <w:marLeft w:val="0"/>
      <w:marRight w:val="0"/>
      <w:marTop w:val="0"/>
      <w:marBottom w:val="0"/>
      <w:divBdr>
        <w:top w:val="none" w:sz="0" w:space="0" w:color="auto"/>
        <w:left w:val="none" w:sz="0" w:space="0" w:color="auto"/>
        <w:bottom w:val="none" w:sz="0" w:space="0" w:color="auto"/>
        <w:right w:val="none" w:sz="0" w:space="0" w:color="auto"/>
      </w:divBdr>
    </w:div>
    <w:div w:id="1488324857">
      <w:bodyDiv w:val="1"/>
      <w:marLeft w:val="0"/>
      <w:marRight w:val="0"/>
      <w:marTop w:val="0"/>
      <w:marBottom w:val="0"/>
      <w:divBdr>
        <w:top w:val="none" w:sz="0" w:space="0" w:color="auto"/>
        <w:left w:val="none" w:sz="0" w:space="0" w:color="auto"/>
        <w:bottom w:val="none" w:sz="0" w:space="0" w:color="auto"/>
        <w:right w:val="none" w:sz="0" w:space="0" w:color="auto"/>
      </w:divBdr>
    </w:div>
    <w:div w:id="1488590555">
      <w:bodyDiv w:val="1"/>
      <w:marLeft w:val="0"/>
      <w:marRight w:val="0"/>
      <w:marTop w:val="0"/>
      <w:marBottom w:val="0"/>
      <w:divBdr>
        <w:top w:val="none" w:sz="0" w:space="0" w:color="auto"/>
        <w:left w:val="none" w:sz="0" w:space="0" w:color="auto"/>
        <w:bottom w:val="none" w:sz="0" w:space="0" w:color="auto"/>
        <w:right w:val="none" w:sz="0" w:space="0" w:color="auto"/>
      </w:divBdr>
    </w:div>
    <w:div w:id="1488595651">
      <w:bodyDiv w:val="1"/>
      <w:marLeft w:val="0"/>
      <w:marRight w:val="0"/>
      <w:marTop w:val="0"/>
      <w:marBottom w:val="0"/>
      <w:divBdr>
        <w:top w:val="none" w:sz="0" w:space="0" w:color="auto"/>
        <w:left w:val="none" w:sz="0" w:space="0" w:color="auto"/>
        <w:bottom w:val="none" w:sz="0" w:space="0" w:color="auto"/>
        <w:right w:val="none" w:sz="0" w:space="0" w:color="auto"/>
      </w:divBdr>
    </w:div>
    <w:div w:id="1488858257">
      <w:bodyDiv w:val="1"/>
      <w:marLeft w:val="0"/>
      <w:marRight w:val="0"/>
      <w:marTop w:val="0"/>
      <w:marBottom w:val="0"/>
      <w:divBdr>
        <w:top w:val="none" w:sz="0" w:space="0" w:color="auto"/>
        <w:left w:val="none" w:sz="0" w:space="0" w:color="auto"/>
        <w:bottom w:val="none" w:sz="0" w:space="0" w:color="auto"/>
        <w:right w:val="none" w:sz="0" w:space="0" w:color="auto"/>
      </w:divBdr>
    </w:div>
    <w:div w:id="1489204864">
      <w:bodyDiv w:val="1"/>
      <w:marLeft w:val="0"/>
      <w:marRight w:val="0"/>
      <w:marTop w:val="0"/>
      <w:marBottom w:val="0"/>
      <w:divBdr>
        <w:top w:val="none" w:sz="0" w:space="0" w:color="auto"/>
        <w:left w:val="none" w:sz="0" w:space="0" w:color="auto"/>
        <w:bottom w:val="none" w:sz="0" w:space="0" w:color="auto"/>
        <w:right w:val="none" w:sz="0" w:space="0" w:color="auto"/>
      </w:divBdr>
    </w:div>
    <w:div w:id="1490755943">
      <w:bodyDiv w:val="1"/>
      <w:marLeft w:val="0"/>
      <w:marRight w:val="0"/>
      <w:marTop w:val="0"/>
      <w:marBottom w:val="0"/>
      <w:divBdr>
        <w:top w:val="none" w:sz="0" w:space="0" w:color="auto"/>
        <w:left w:val="none" w:sz="0" w:space="0" w:color="auto"/>
        <w:bottom w:val="none" w:sz="0" w:space="0" w:color="auto"/>
        <w:right w:val="none" w:sz="0" w:space="0" w:color="auto"/>
      </w:divBdr>
    </w:div>
    <w:div w:id="1491480048">
      <w:bodyDiv w:val="1"/>
      <w:marLeft w:val="0"/>
      <w:marRight w:val="0"/>
      <w:marTop w:val="0"/>
      <w:marBottom w:val="0"/>
      <w:divBdr>
        <w:top w:val="none" w:sz="0" w:space="0" w:color="auto"/>
        <w:left w:val="none" w:sz="0" w:space="0" w:color="auto"/>
        <w:bottom w:val="none" w:sz="0" w:space="0" w:color="auto"/>
        <w:right w:val="none" w:sz="0" w:space="0" w:color="auto"/>
      </w:divBdr>
    </w:div>
    <w:div w:id="1491676235">
      <w:bodyDiv w:val="1"/>
      <w:marLeft w:val="0"/>
      <w:marRight w:val="0"/>
      <w:marTop w:val="0"/>
      <w:marBottom w:val="0"/>
      <w:divBdr>
        <w:top w:val="none" w:sz="0" w:space="0" w:color="auto"/>
        <w:left w:val="none" w:sz="0" w:space="0" w:color="auto"/>
        <w:bottom w:val="none" w:sz="0" w:space="0" w:color="auto"/>
        <w:right w:val="none" w:sz="0" w:space="0" w:color="auto"/>
      </w:divBdr>
    </w:div>
    <w:div w:id="1491948553">
      <w:bodyDiv w:val="1"/>
      <w:marLeft w:val="0"/>
      <w:marRight w:val="0"/>
      <w:marTop w:val="0"/>
      <w:marBottom w:val="0"/>
      <w:divBdr>
        <w:top w:val="none" w:sz="0" w:space="0" w:color="auto"/>
        <w:left w:val="none" w:sz="0" w:space="0" w:color="auto"/>
        <w:bottom w:val="none" w:sz="0" w:space="0" w:color="auto"/>
        <w:right w:val="none" w:sz="0" w:space="0" w:color="auto"/>
      </w:divBdr>
    </w:div>
    <w:div w:id="1492064652">
      <w:bodyDiv w:val="1"/>
      <w:marLeft w:val="0"/>
      <w:marRight w:val="0"/>
      <w:marTop w:val="0"/>
      <w:marBottom w:val="0"/>
      <w:divBdr>
        <w:top w:val="none" w:sz="0" w:space="0" w:color="auto"/>
        <w:left w:val="none" w:sz="0" w:space="0" w:color="auto"/>
        <w:bottom w:val="none" w:sz="0" w:space="0" w:color="auto"/>
        <w:right w:val="none" w:sz="0" w:space="0" w:color="auto"/>
      </w:divBdr>
    </w:div>
    <w:div w:id="1492713661">
      <w:bodyDiv w:val="1"/>
      <w:marLeft w:val="0"/>
      <w:marRight w:val="0"/>
      <w:marTop w:val="0"/>
      <w:marBottom w:val="0"/>
      <w:divBdr>
        <w:top w:val="none" w:sz="0" w:space="0" w:color="auto"/>
        <w:left w:val="none" w:sz="0" w:space="0" w:color="auto"/>
        <w:bottom w:val="none" w:sz="0" w:space="0" w:color="auto"/>
        <w:right w:val="none" w:sz="0" w:space="0" w:color="auto"/>
      </w:divBdr>
    </w:div>
    <w:div w:id="1493060479">
      <w:bodyDiv w:val="1"/>
      <w:marLeft w:val="0"/>
      <w:marRight w:val="0"/>
      <w:marTop w:val="0"/>
      <w:marBottom w:val="0"/>
      <w:divBdr>
        <w:top w:val="none" w:sz="0" w:space="0" w:color="auto"/>
        <w:left w:val="none" w:sz="0" w:space="0" w:color="auto"/>
        <w:bottom w:val="none" w:sz="0" w:space="0" w:color="auto"/>
        <w:right w:val="none" w:sz="0" w:space="0" w:color="auto"/>
      </w:divBdr>
    </w:div>
    <w:div w:id="1494755079">
      <w:bodyDiv w:val="1"/>
      <w:marLeft w:val="0"/>
      <w:marRight w:val="0"/>
      <w:marTop w:val="0"/>
      <w:marBottom w:val="0"/>
      <w:divBdr>
        <w:top w:val="none" w:sz="0" w:space="0" w:color="auto"/>
        <w:left w:val="none" w:sz="0" w:space="0" w:color="auto"/>
        <w:bottom w:val="none" w:sz="0" w:space="0" w:color="auto"/>
        <w:right w:val="none" w:sz="0" w:space="0" w:color="auto"/>
      </w:divBdr>
    </w:div>
    <w:div w:id="1495484879">
      <w:bodyDiv w:val="1"/>
      <w:marLeft w:val="0"/>
      <w:marRight w:val="0"/>
      <w:marTop w:val="0"/>
      <w:marBottom w:val="0"/>
      <w:divBdr>
        <w:top w:val="none" w:sz="0" w:space="0" w:color="auto"/>
        <w:left w:val="none" w:sz="0" w:space="0" w:color="auto"/>
        <w:bottom w:val="none" w:sz="0" w:space="0" w:color="auto"/>
        <w:right w:val="none" w:sz="0" w:space="0" w:color="auto"/>
      </w:divBdr>
    </w:div>
    <w:div w:id="1495991789">
      <w:bodyDiv w:val="1"/>
      <w:marLeft w:val="0"/>
      <w:marRight w:val="0"/>
      <w:marTop w:val="0"/>
      <w:marBottom w:val="0"/>
      <w:divBdr>
        <w:top w:val="none" w:sz="0" w:space="0" w:color="auto"/>
        <w:left w:val="none" w:sz="0" w:space="0" w:color="auto"/>
        <w:bottom w:val="none" w:sz="0" w:space="0" w:color="auto"/>
        <w:right w:val="none" w:sz="0" w:space="0" w:color="auto"/>
      </w:divBdr>
    </w:div>
    <w:div w:id="1496722403">
      <w:bodyDiv w:val="1"/>
      <w:marLeft w:val="0"/>
      <w:marRight w:val="0"/>
      <w:marTop w:val="0"/>
      <w:marBottom w:val="0"/>
      <w:divBdr>
        <w:top w:val="none" w:sz="0" w:space="0" w:color="auto"/>
        <w:left w:val="none" w:sz="0" w:space="0" w:color="auto"/>
        <w:bottom w:val="none" w:sz="0" w:space="0" w:color="auto"/>
        <w:right w:val="none" w:sz="0" w:space="0" w:color="auto"/>
      </w:divBdr>
    </w:div>
    <w:div w:id="1497110640">
      <w:bodyDiv w:val="1"/>
      <w:marLeft w:val="0"/>
      <w:marRight w:val="0"/>
      <w:marTop w:val="0"/>
      <w:marBottom w:val="0"/>
      <w:divBdr>
        <w:top w:val="none" w:sz="0" w:space="0" w:color="auto"/>
        <w:left w:val="none" w:sz="0" w:space="0" w:color="auto"/>
        <w:bottom w:val="none" w:sz="0" w:space="0" w:color="auto"/>
        <w:right w:val="none" w:sz="0" w:space="0" w:color="auto"/>
      </w:divBdr>
    </w:div>
    <w:div w:id="1499728850">
      <w:bodyDiv w:val="1"/>
      <w:marLeft w:val="0"/>
      <w:marRight w:val="0"/>
      <w:marTop w:val="0"/>
      <w:marBottom w:val="0"/>
      <w:divBdr>
        <w:top w:val="none" w:sz="0" w:space="0" w:color="auto"/>
        <w:left w:val="none" w:sz="0" w:space="0" w:color="auto"/>
        <w:bottom w:val="none" w:sz="0" w:space="0" w:color="auto"/>
        <w:right w:val="none" w:sz="0" w:space="0" w:color="auto"/>
      </w:divBdr>
    </w:div>
    <w:div w:id="1500921246">
      <w:bodyDiv w:val="1"/>
      <w:marLeft w:val="0"/>
      <w:marRight w:val="0"/>
      <w:marTop w:val="0"/>
      <w:marBottom w:val="0"/>
      <w:divBdr>
        <w:top w:val="none" w:sz="0" w:space="0" w:color="auto"/>
        <w:left w:val="none" w:sz="0" w:space="0" w:color="auto"/>
        <w:bottom w:val="none" w:sz="0" w:space="0" w:color="auto"/>
        <w:right w:val="none" w:sz="0" w:space="0" w:color="auto"/>
      </w:divBdr>
    </w:div>
    <w:div w:id="1500972236">
      <w:bodyDiv w:val="1"/>
      <w:marLeft w:val="0"/>
      <w:marRight w:val="0"/>
      <w:marTop w:val="0"/>
      <w:marBottom w:val="0"/>
      <w:divBdr>
        <w:top w:val="none" w:sz="0" w:space="0" w:color="auto"/>
        <w:left w:val="none" w:sz="0" w:space="0" w:color="auto"/>
        <w:bottom w:val="none" w:sz="0" w:space="0" w:color="auto"/>
        <w:right w:val="none" w:sz="0" w:space="0" w:color="auto"/>
      </w:divBdr>
    </w:div>
    <w:div w:id="1501770003">
      <w:bodyDiv w:val="1"/>
      <w:marLeft w:val="0"/>
      <w:marRight w:val="0"/>
      <w:marTop w:val="0"/>
      <w:marBottom w:val="0"/>
      <w:divBdr>
        <w:top w:val="none" w:sz="0" w:space="0" w:color="auto"/>
        <w:left w:val="none" w:sz="0" w:space="0" w:color="auto"/>
        <w:bottom w:val="none" w:sz="0" w:space="0" w:color="auto"/>
        <w:right w:val="none" w:sz="0" w:space="0" w:color="auto"/>
      </w:divBdr>
    </w:div>
    <w:div w:id="1501852508">
      <w:bodyDiv w:val="1"/>
      <w:marLeft w:val="0"/>
      <w:marRight w:val="0"/>
      <w:marTop w:val="0"/>
      <w:marBottom w:val="0"/>
      <w:divBdr>
        <w:top w:val="none" w:sz="0" w:space="0" w:color="auto"/>
        <w:left w:val="none" w:sz="0" w:space="0" w:color="auto"/>
        <w:bottom w:val="none" w:sz="0" w:space="0" w:color="auto"/>
        <w:right w:val="none" w:sz="0" w:space="0" w:color="auto"/>
      </w:divBdr>
    </w:div>
    <w:div w:id="1502544581">
      <w:bodyDiv w:val="1"/>
      <w:marLeft w:val="0"/>
      <w:marRight w:val="0"/>
      <w:marTop w:val="0"/>
      <w:marBottom w:val="0"/>
      <w:divBdr>
        <w:top w:val="none" w:sz="0" w:space="0" w:color="auto"/>
        <w:left w:val="none" w:sz="0" w:space="0" w:color="auto"/>
        <w:bottom w:val="none" w:sz="0" w:space="0" w:color="auto"/>
        <w:right w:val="none" w:sz="0" w:space="0" w:color="auto"/>
      </w:divBdr>
    </w:div>
    <w:div w:id="1503398351">
      <w:bodyDiv w:val="1"/>
      <w:marLeft w:val="0"/>
      <w:marRight w:val="0"/>
      <w:marTop w:val="0"/>
      <w:marBottom w:val="0"/>
      <w:divBdr>
        <w:top w:val="none" w:sz="0" w:space="0" w:color="auto"/>
        <w:left w:val="none" w:sz="0" w:space="0" w:color="auto"/>
        <w:bottom w:val="none" w:sz="0" w:space="0" w:color="auto"/>
        <w:right w:val="none" w:sz="0" w:space="0" w:color="auto"/>
      </w:divBdr>
      <w:divsChild>
        <w:div w:id="1606620973">
          <w:marLeft w:val="480"/>
          <w:marRight w:val="0"/>
          <w:marTop w:val="0"/>
          <w:marBottom w:val="0"/>
          <w:divBdr>
            <w:top w:val="none" w:sz="0" w:space="0" w:color="auto"/>
            <w:left w:val="none" w:sz="0" w:space="0" w:color="auto"/>
            <w:bottom w:val="none" w:sz="0" w:space="0" w:color="auto"/>
            <w:right w:val="none" w:sz="0" w:space="0" w:color="auto"/>
          </w:divBdr>
        </w:div>
        <w:div w:id="918365078">
          <w:marLeft w:val="480"/>
          <w:marRight w:val="0"/>
          <w:marTop w:val="0"/>
          <w:marBottom w:val="0"/>
          <w:divBdr>
            <w:top w:val="none" w:sz="0" w:space="0" w:color="auto"/>
            <w:left w:val="none" w:sz="0" w:space="0" w:color="auto"/>
            <w:bottom w:val="none" w:sz="0" w:space="0" w:color="auto"/>
            <w:right w:val="none" w:sz="0" w:space="0" w:color="auto"/>
          </w:divBdr>
        </w:div>
        <w:div w:id="76295620">
          <w:marLeft w:val="480"/>
          <w:marRight w:val="0"/>
          <w:marTop w:val="0"/>
          <w:marBottom w:val="0"/>
          <w:divBdr>
            <w:top w:val="none" w:sz="0" w:space="0" w:color="auto"/>
            <w:left w:val="none" w:sz="0" w:space="0" w:color="auto"/>
            <w:bottom w:val="none" w:sz="0" w:space="0" w:color="auto"/>
            <w:right w:val="none" w:sz="0" w:space="0" w:color="auto"/>
          </w:divBdr>
        </w:div>
        <w:div w:id="1238053753">
          <w:marLeft w:val="480"/>
          <w:marRight w:val="0"/>
          <w:marTop w:val="0"/>
          <w:marBottom w:val="0"/>
          <w:divBdr>
            <w:top w:val="none" w:sz="0" w:space="0" w:color="auto"/>
            <w:left w:val="none" w:sz="0" w:space="0" w:color="auto"/>
            <w:bottom w:val="none" w:sz="0" w:space="0" w:color="auto"/>
            <w:right w:val="none" w:sz="0" w:space="0" w:color="auto"/>
          </w:divBdr>
        </w:div>
        <w:div w:id="1280642183">
          <w:marLeft w:val="480"/>
          <w:marRight w:val="0"/>
          <w:marTop w:val="0"/>
          <w:marBottom w:val="0"/>
          <w:divBdr>
            <w:top w:val="none" w:sz="0" w:space="0" w:color="auto"/>
            <w:left w:val="none" w:sz="0" w:space="0" w:color="auto"/>
            <w:bottom w:val="none" w:sz="0" w:space="0" w:color="auto"/>
            <w:right w:val="none" w:sz="0" w:space="0" w:color="auto"/>
          </w:divBdr>
        </w:div>
        <w:div w:id="1631664466">
          <w:marLeft w:val="480"/>
          <w:marRight w:val="0"/>
          <w:marTop w:val="0"/>
          <w:marBottom w:val="0"/>
          <w:divBdr>
            <w:top w:val="none" w:sz="0" w:space="0" w:color="auto"/>
            <w:left w:val="none" w:sz="0" w:space="0" w:color="auto"/>
            <w:bottom w:val="none" w:sz="0" w:space="0" w:color="auto"/>
            <w:right w:val="none" w:sz="0" w:space="0" w:color="auto"/>
          </w:divBdr>
        </w:div>
        <w:div w:id="1013529747">
          <w:marLeft w:val="480"/>
          <w:marRight w:val="0"/>
          <w:marTop w:val="0"/>
          <w:marBottom w:val="0"/>
          <w:divBdr>
            <w:top w:val="none" w:sz="0" w:space="0" w:color="auto"/>
            <w:left w:val="none" w:sz="0" w:space="0" w:color="auto"/>
            <w:bottom w:val="none" w:sz="0" w:space="0" w:color="auto"/>
            <w:right w:val="none" w:sz="0" w:space="0" w:color="auto"/>
          </w:divBdr>
        </w:div>
        <w:div w:id="787047248">
          <w:marLeft w:val="480"/>
          <w:marRight w:val="0"/>
          <w:marTop w:val="0"/>
          <w:marBottom w:val="0"/>
          <w:divBdr>
            <w:top w:val="none" w:sz="0" w:space="0" w:color="auto"/>
            <w:left w:val="none" w:sz="0" w:space="0" w:color="auto"/>
            <w:bottom w:val="none" w:sz="0" w:space="0" w:color="auto"/>
            <w:right w:val="none" w:sz="0" w:space="0" w:color="auto"/>
          </w:divBdr>
        </w:div>
        <w:div w:id="911815446">
          <w:marLeft w:val="480"/>
          <w:marRight w:val="0"/>
          <w:marTop w:val="0"/>
          <w:marBottom w:val="0"/>
          <w:divBdr>
            <w:top w:val="none" w:sz="0" w:space="0" w:color="auto"/>
            <w:left w:val="none" w:sz="0" w:space="0" w:color="auto"/>
            <w:bottom w:val="none" w:sz="0" w:space="0" w:color="auto"/>
            <w:right w:val="none" w:sz="0" w:space="0" w:color="auto"/>
          </w:divBdr>
        </w:div>
        <w:div w:id="950235861">
          <w:marLeft w:val="480"/>
          <w:marRight w:val="0"/>
          <w:marTop w:val="0"/>
          <w:marBottom w:val="0"/>
          <w:divBdr>
            <w:top w:val="none" w:sz="0" w:space="0" w:color="auto"/>
            <w:left w:val="none" w:sz="0" w:space="0" w:color="auto"/>
            <w:bottom w:val="none" w:sz="0" w:space="0" w:color="auto"/>
            <w:right w:val="none" w:sz="0" w:space="0" w:color="auto"/>
          </w:divBdr>
        </w:div>
        <w:div w:id="1277786644">
          <w:marLeft w:val="480"/>
          <w:marRight w:val="0"/>
          <w:marTop w:val="0"/>
          <w:marBottom w:val="0"/>
          <w:divBdr>
            <w:top w:val="none" w:sz="0" w:space="0" w:color="auto"/>
            <w:left w:val="none" w:sz="0" w:space="0" w:color="auto"/>
            <w:bottom w:val="none" w:sz="0" w:space="0" w:color="auto"/>
            <w:right w:val="none" w:sz="0" w:space="0" w:color="auto"/>
          </w:divBdr>
        </w:div>
        <w:div w:id="477111068">
          <w:marLeft w:val="480"/>
          <w:marRight w:val="0"/>
          <w:marTop w:val="0"/>
          <w:marBottom w:val="0"/>
          <w:divBdr>
            <w:top w:val="none" w:sz="0" w:space="0" w:color="auto"/>
            <w:left w:val="none" w:sz="0" w:space="0" w:color="auto"/>
            <w:bottom w:val="none" w:sz="0" w:space="0" w:color="auto"/>
            <w:right w:val="none" w:sz="0" w:space="0" w:color="auto"/>
          </w:divBdr>
        </w:div>
        <w:div w:id="45688209">
          <w:marLeft w:val="480"/>
          <w:marRight w:val="0"/>
          <w:marTop w:val="0"/>
          <w:marBottom w:val="0"/>
          <w:divBdr>
            <w:top w:val="none" w:sz="0" w:space="0" w:color="auto"/>
            <w:left w:val="none" w:sz="0" w:space="0" w:color="auto"/>
            <w:bottom w:val="none" w:sz="0" w:space="0" w:color="auto"/>
            <w:right w:val="none" w:sz="0" w:space="0" w:color="auto"/>
          </w:divBdr>
        </w:div>
        <w:div w:id="321783977">
          <w:marLeft w:val="480"/>
          <w:marRight w:val="0"/>
          <w:marTop w:val="0"/>
          <w:marBottom w:val="0"/>
          <w:divBdr>
            <w:top w:val="none" w:sz="0" w:space="0" w:color="auto"/>
            <w:left w:val="none" w:sz="0" w:space="0" w:color="auto"/>
            <w:bottom w:val="none" w:sz="0" w:space="0" w:color="auto"/>
            <w:right w:val="none" w:sz="0" w:space="0" w:color="auto"/>
          </w:divBdr>
        </w:div>
        <w:div w:id="1204290329">
          <w:marLeft w:val="480"/>
          <w:marRight w:val="0"/>
          <w:marTop w:val="0"/>
          <w:marBottom w:val="0"/>
          <w:divBdr>
            <w:top w:val="none" w:sz="0" w:space="0" w:color="auto"/>
            <w:left w:val="none" w:sz="0" w:space="0" w:color="auto"/>
            <w:bottom w:val="none" w:sz="0" w:space="0" w:color="auto"/>
            <w:right w:val="none" w:sz="0" w:space="0" w:color="auto"/>
          </w:divBdr>
        </w:div>
        <w:div w:id="884872981">
          <w:marLeft w:val="480"/>
          <w:marRight w:val="0"/>
          <w:marTop w:val="0"/>
          <w:marBottom w:val="0"/>
          <w:divBdr>
            <w:top w:val="none" w:sz="0" w:space="0" w:color="auto"/>
            <w:left w:val="none" w:sz="0" w:space="0" w:color="auto"/>
            <w:bottom w:val="none" w:sz="0" w:space="0" w:color="auto"/>
            <w:right w:val="none" w:sz="0" w:space="0" w:color="auto"/>
          </w:divBdr>
        </w:div>
        <w:div w:id="1469857819">
          <w:marLeft w:val="480"/>
          <w:marRight w:val="0"/>
          <w:marTop w:val="0"/>
          <w:marBottom w:val="0"/>
          <w:divBdr>
            <w:top w:val="none" w:sz="0" w:space="0" w:color="auto"/>
            <w:left w:val="none" w:sz="0" w:space="0" w:color="auto"/>
            <w:bottom w:val="none" w:sz="0" w:space="0" w:color="auto"/>
            <w:right w:val="none" w:sz="0" w:space="0" w:color="auto"/>
          </w:divBdr>
        </w:div>
        <w:div w:id="2013069740">
          <w:marLeft w:val="480"/>
          <w:marRight w:val="0"/>
          <w:marTop w:val="0"/>
          <w:marBottom w:val="0"/>
          <w:divBdr>
            <w:top w:val="none" w:sz="0" w:space="0" w:color="auto"/>
            <w:left w:val="none" w:sz="0" w:space="0" w:color="auto"/>
            <w:bottom w:val="none" w:sz="0" w:space="0" w:color="auto"/>
            <w:right w:val="none" w:sz="0" w:space="0" w:color="auto"/>
          </w:divBdr>
        </w:div>
        <w:div w:id="1156191564">
          <w:marLeft w:val="480"/>
          <w:marRight w:val="0"/>
          <w:marTop w:val="0"/>
          <w:marBottom w:val="0"/>
          <w:divBdr>
            <w:top w:val="none" w:sz="0" w:space="0" w:color="auto"/>
            <w:left w:val="none" w:sz="0" w:space="0" w:color="auto"/>
            <w:bottom w:val="none" w:sz="0" w:space="0" w:color="auto"/>
            <w:right w:val="none" w:sz="0" w:space="0" w:color="auto"/>
          </w:divBdr>
        </w:div>
        <w:div w:id="1983533567">
          <w:marLeft w:val="480"/>
          <w:marRight w:val="0"/>
          <w:marTop w:val="0"/>
          <w:marBottom w:val="0"/>
          <w:divBdr>
            <w:top w:val="none" w:sz="0" w:space="0" w:color="auto"/>
            <w:left w:val="none" w:sz="0" w:space="0" w:color="auto"/>
            <w:bottom w:val="none" w:sz="0" w:space="0" w:color="auto"/>
            <w:right w:val="none" w:sz="0" w:space="0" w:color="auto"/>
          </w:divBdr>
        </w:div>
        <w:div w:id="90972350">
          <w:marLeft w:val="480"/>
          <w:marRight w:val="0"/>
          <w:marTop w:val="0"/>
          <w:marBottom w:val="0"/>
          <w:divBdr>
            <w:top w:val="none" w:sz="0" w:space="0" w:color="auto"/>
            <w:left w:val="none" w:sz="0" w:space="0" w:color="auto"/>
            <w:bottom w:val="none" w:sz="0" w:space="0" w:color="auto"/>
            <w:right w:val="none" w:sz="0" w:space="0" w:color="auto"/>
          </w:divBdr>
        </w:div>
        <w:div w:id="1437750387">
          <w:marLeft w:val="480"/>
          <w:marRight w:val="0"/>
          <w:marTop w:val="0"/>
          <w:marBottom w:val="0"/>
          <w:divBdr>
            <w:top w:val="none" w:sz="0" w:space="0" w:color="auto"/>
            <w:left w:val="none" w:sz="0" w:space="0" w:color="auto"/>
            <w:bottom w:val="none" w:sz="0" w:space="0" w:color="auto"/>
            <w:right w:val="none" w:sz="0" w:space="0" w:color="auto"/>
          </w:divBdr>
        </w:div>
        <w:div w:id="860977299">
          <w:marLeft w:val="480"/>
          <w:marRight w:val="0"/>
          <w:marTop w:val="0"/>
          <w:marBottom w:val="0"/>
          <w:divBdr>
            <w:top w:val="none" w:sz="0" w:space="0" w:color="auto"/>
            <w:left w:val="none" w:sz="0" w:space="0" w:color="auto"/>
            <w:bottom w:val="none" w:sz="0" w:space="0" w:color="auto"/>
            <w:right w:val="none" w:sz="0" w:space="0" w:color="auto"/>
          </w:divBdr>
        </w:div>
        <w:div w:id="257912784">
          <w:marLeft w:val="480"/>
          <w:marRight w:val="0"/>
          <w:marTop w:val="0"/>
          <w:marBottom w:val="0"/>
          <w:divBdr>
            <w:top w:val="none" w:sz="0" w:space="0" w:color="auto"/>
            <w:left w:val="none" w:sz="0" w:space="0" w:color="auto"/>
            <w:bottom w:val="none" w:sz="0" w:space="0" w:color="auto"/>
            <w:right w:val="none" w:sz="0" w:space="0" w:color="auto"/>
          </w:divBdr>
        </w:div>
        <w:div w:id="475610601">
          <w:marLeft w:val="480"/>
          <w:marRight w:val="0"/>
          <w:marTop w:val="0"/>
          <w:marBottom w:val="0"/>
          <w:divBdr>
            <w:top w:val="none" w:sz="0" w:space="0" w:color="auto"/>
            <w:left w:val="none" w:sz="0" w:space="0" w:color="auto"/>
            <w:bottom w:val="none" w:sz="0" w:space="0" w:color="auto"/>
            <w:right w:val="none" w:sz="0" w:space="0" w:color="auto"/>
          </w:divBdr>
        </w:div>
        <w:div w:id="1105273324">
          <w:marLeft w:val="480"/>
          <w:marRight w:val="0"/>
          <w:marTop w:val="0"/>
          <w:marBottom w:val="0"/>
          <w:divBdr>
            <w:top w:val="none" w:sz="0" w:space="0" w:color="auto"/>
            <w:left w:val="none" w:sz="0" w:space="0" w:color="auto"/>
            <w:bottom w:val="none" w:sz="0" w:space="0" w:color="auto"/>
            <w:right w:val="none" w:sz="0" w:space="0" w:color="auto"/>
          </w:divBdr>
        </w:div>
        <w:div w:id="2027511540">
          <w:marLeft w:val="480"/>
          <w:marRight w:val="0"/>
          <w:marTop w:val="0"/>
          <w:marBottom w:val="0"/>
          <w:divBdr>
            <w:top w:val="none" w:sz="0" w:space="0" w:color="auto"/>
            <w:left w:val="none" w:sz="0" w:space="0" w:color="auto"/>
            <w:bottom w:val="none" w:sz="0" w:space="0" w:color="auto"/>
            <w:right w:val="none" w:sz="0" w:space="0" w:color="auto"/>
          </w:divBdr>
        </w:div>
        <w:div w:id="196159821">
          <w:marLeft w:val="480"/>
          <w:marRight w:val="0"/>
          <w:marTop w:val="0"/>
          <w:marBottom w:val="0"/>
          <w:divBdr>
            <w:top w:val="none" w:sz="0" w:space="0" w:color="auto"/>
            <w:left w:val="none" w:sz="0" w:space="0" w:color="auto"/>
            <w:bottom w:val="none" w:sz="0" w:space="0" w:color="auto"/>
            <w:right w:val="none" w:sz="0" w:space="0" w:color="auto"/>
          </w:divBdr>
        </w:div>
        <w:div w:id="1495416839">
          <w:marLeft w:val="480"/>
          <w:marRight w:val="0"/>
          <w:marTop w:val="0"/>
          <w:marBottom w:val="0"/>
          <w:divBdr>
            <w:top w:val="none" w:sz="0" w:space="0" w:color="auto"/>
            <w:left w:val="none" w:sz="0" w:space="0" w:color="auto"/>
            <w:bottom w:val="none" w:sz="0" w:space="0" w:color="auto"/>
            <w:right w:val="none" w:sz="0" w:space="0" w:color="auto"/>
          </w:divBdr>
        </w:div>
        <w:div w:id="1259754832">
          <w:marLeft w:val="480"/>
          <w:marRight w:val="0"/>
          <w:marTop w:val="0"/>
          <w:marBottom w:val="0"/>
          <w:divBdr>
            <w:top w:val="none" w:sz="0" w:space="0" w:color="auto"/>
            <w:left w:val="none" w:sz="0" w:space="0" w:color="auto"/>
            <w:bottom w:val="none" w:sz="0" w:space="0" w:color="auto"/>
            <w:right w:val="none" w:sz="0" w:space="0" w:color="auto"/>
          </w:divBdr>
        </w:div>
        <w:div w:id="1572352449">
          <w:marLeft w:val="480"/>
          <w:marRight w:val="0"/>
          <w:marTop w:val="0"/>
          <w:marBottom w:val="0"/>
          <w:divBdr>
            <w:top w:val="none" w:sz="0" w:space="0" w:color="auto"/>
            <w:left w:val="none" w:sz="0" w:space="0" w:color="auto"/>
            <w:bottom w:val="none" w:sz="0" w:space="0" w:color="auto"/>
            <w:right w:val="none" w:sz="0" w:space="0" w:color="auto"/>
          </w:divBdr>
        </w:div>
        <w:div w:id="1478572141">
          <w:marLeft w:val="480"/>
          <w:marRight w:val="0"/>
          <w:marTop w:val="0"/>
          <w:marBottom w:val="0"/>
          <w:divBdr>
            <w:top w:val="none" w:sz="0" w:space="0" w:color="auto"/>
            <w:left w:val="none" w:sz="0" w:space="0" w:color="auto"/>
            <w:bottom w:val="none" w:sz="0" w:space="0" w:color="auto"/>
            <w:right w:val="none" w:sz="0" w:space="0" w:color="auto"/>
          </w:divBdr>
        </w:div>
        <w:div w:id="1305235857">
          <w:marLeft w:val="480"/>
          <w:marRight w:val="0"/>
          <w:marTop w:val="0"/>
          <w:marBottom w:val="0"/>
          <w:divBdr>
            <w:top w:val="none" w:sz="0" w:space="0" w:color="auto"/>
            <w:left w:val="none" w:sz="0" w:space="0" w:color="auto"/>
            <w:bottom w:val="none" w:sz="0" w:space="0" w:color="auto"/>
            <w:right w:val="none" w:sz="0" w:space="0" w:color="auto"/>
          </w:divBdr>
        </w:div>
        <w:div w:id="855575633">
          <w:marLeft w:val="480"/>
          <w:marRight w:val="0"/>
          <w:marTop w:val="0"/>
          <w:marBottom w:val="0"/>
          <w:divBdr>
            <w:top w:val="none" w:sz="0" w:space="0" w:color="auto"/>
            <w:left w:val="none" w:sz="0" w:space="0" w:color="auto"/>
            <w:bottom w:val="none" w:sz="0" w:space="0" w:color="auto"/>
            <w:right w:val="none" w:sz="0" w:space="0" w:color="auto"/>
          </w:divBdr>
        </w:div>
        <w:div w:id="11031554">
          <w:marLeft w:val="480"/>
          <w:marRight w:val="0"/>
          <w:marTop w:val="0"/>
          <w:marBottom w:val="0"/>
          <w:divBdr>
            <w:top w:val="none" w:sz="0" w:space="0" w:color="auto"/>
            <w:left w:val="none" w:sz="0" w:space="0" w:color="auto"/>
            <w:bottom w:val="none" w:sz="0" w:space="0" w:color="auto"/>
            <w:right w:val="none" w:sz="0" w:space="0" w:color="auto"/>
          </w:divBdr>
        </w:div>
        <w:div w:id="343015754">
          <w:marLeft w:val="480"/>
          <w:marRight w:val="0"/>
          <w:marTop w:val="0"/>
          <w:marBottom w:val="0"/>
          <w:divBdr>
            <w:top w:val="none" w:sz="0" w:space="0" w:color="auto"/>
            <w:left w:val="none" w:sz="0" w:space="0" w:color="auto"/>
            <w:bottom w:val="none" w:sz="0" w:space="0" w:color="auto"/>
            <w:right w:val="none" w:sz="0" w:space="0" w:color="auto"/>
          </w:divBdr>
        </w:div>
        <w:div w:id="1422950232">
          <w:marLeft w:val="480"/>
          <w:marRight w:val="0"/>
          <w:marTop w:val="0"/>
          <w:marBottom w:val="0"/>
          <w:divBdr>
            <w:top w:val="none" w:sz="0" w:space="0" w:color="auto"/>
            <w:left w:val="none" w:sz="0" w:space="0" w:color="auto"/>
            <w:bottom w:val="none" w:sz="0" w:space="0" w:color="auto"/>
            <w:right w:val="none" w:sz="0" w:space="0" w:color="auto"/>
          </w:divBdr>
        </w:div>
        <w:div w:id="1750927812">
          <w:marLeft w:val="480"/>
          <w:marRight w:val="0"/>
          <w:marTop w:val="0"/>
          <w:marBottom w:val="0"/>
          <w:divBdr>
            <w:top w:val="none" w:sz="0" w:space="0" w:color="auto"/>
            <w:left w:val="none" w:sz="0" w:space="0" w:color="auto"/>
            <w:bottom w:val="none" w:sz="0" w:space="0" w:color="auto"/>
            <w:right w:val="none" w:sz="0" w:space="0" w:color="auto"/>
          </w:divBdr>
        </w:div>
        <w:div w:id="1222862753">
          <w:marLeft w:val="480"/>
          <w:marRight w:val="0"/>
          <w:marTop w:val="0"/>
          <w:marBottom w:val="0"/>
          <w:divBdr>
            <w:top w:val="none" w:sz="0" w:space="0" w:color="auto"/>
            <w:left w:val="none" w:sz="0" w:space="0" w:color="auto"/>
            <w:bottom w:val="none" w:sz="0" w:space="0" w:color="auto"/>
            <w:right w:val="none" w:sz="0" w:space="0" w:color="auto"/>
          </w:divBdr>
        </w:div>
        <w:div w:id="261300764">
          <w:marLeft w:val="480"/>
          <w:marRight w:val="0"/>
          <w:marTop w:val="0"/>
          <w:marBottom w:val="0"/>
          <w:divBdr>
            <w:top w:val="none" w:sz="0" w:space="0" w:color="auto"/>
            <w:left w:val="none" w:sz="0" w:space="0" w:color="auto"/>
            <w:bottom w:val="none" w:sz="0" w:space="0" w:color="auto"/>
            <w:right w:val="none" w:sz="0" w:space="0" w:color="auto"/>
          </w:divBdr>
        </w:div>
        <w:div w:id="1921794306">
          <w:marLeft w:val="480"/>
          <w:marRight w:val="0"/>
          <w:marTop w:val="0"/>
          <w:marBottom w:val="0"/>
          <w:divBdr>
            <w:top w:val="none" w:sz="0" w:space="0" w:color="auto"/>
            <w:left w:val="none" w:sz="0" w:space="0" w:color="auto"/>
            <w:bottom w:val="none" w:sz="0" w:space="0" w:color="auto"/>
            <w:right w:val="none" w:sz="0" w:space="0" w:color="auto"/>
          </w:divBdr>
        </w:div>
        <w:div w:id="1867520378">
          <w:marLeft w:val="480"/>
          <w:marRight w:val="0"/>
          <w:marTop w:val="0"/>
          <w:marBottom w:val="0"/>
          <w:divBdr>
            <w:top w:val="none" w:sz="0" w:space="0" w:color="auto"/>
            <w:left w:val="none" w:sz="0" w:space="0" w:color="auto"/>
            <w:bottom w:val="none" w:sz="0" w:space="0" w:color="auto"/>
            <w:right w:val="none" w:sz="0" w:space="0" w:color="auto"/>
          </w:divBdr>
        </w:div>
        <w:div w:id="1848669610">
          <w:marLeft w:val="480"/>
          <w:marRight w:val="0"/>
          <w:marTop w:val="0"/>
          <w:marBottom w:val="0"/>
          <w:divBdr>
            <w:top w:val="none" w:sz="0" w:space="0" w:color="auto"/>
            <w:left w:val="none" w:sz="0" w:space="0" w:color="auto"/>
            <w:bottom w:val="none" w:sz="0" w:space="0" w:color="auto"/>
            <w:right w:val="none" w:sz="0" w:space="0" w:color="auto"/>
          </w:divBdr>
        </w:div>
        <w:div w:id="2132552731">
          <w:marLeft w:val="480"/>
          <w:marRight w:val="0"/>
          <w:marTop w:val="0"/>
          <w:marBottom w:val="0"/>
          <w:divBdr>
            <w:top w:val="none" w:sz="0" w:space="0" w:color="auto"/>
            <w:left w:val="none" w:sz="0" w:space="0" w:color="auto"/>
            <w:bottom w:val="none" w:sz="0" w:space="0" w:color="auto"/>
            <w:right w:val="none" w:sz="0" w:space="0" w:color="auto"/>
          </w:divBdr>
        </w:div>
        <w:div w:id="348528819">
          <w:marLeft w:val="480"/>
          <w:marRight w:val="0"/>
          <w:marTop w:val="0"/>
          <w:marBottom w:val="0"/>
          <w:divBdr>
            <w:top w:val="none" w:sz="0" w:space="0" w:color="auto"/>
            <w:left w:val="none" w:sz="0" w:space="0" w:color="auto"/>
            <w:bottom w:val="none" w:sz="0" w:space="0" w:color="auto"/>
            <w:right w:val="none" w:sz="0" w:space="0" w:color="auto"/>
          </w:divBdr>
        </w:div>
        <w:div w:id="1451781528">
          <w:marLeft w:val="480"/>
          <w:marRight w:val="0"/>
          <w:marTop w:val="0"/>
          <w:marBottom w:val="0"/>
          <w:divBdr>
            <w:top w:val="none" w:sz="0" w:space="0" w:color="auto"/>
            <w:left w:val="none" w:sz="0" w:space="0" w:color="auto"/>
            <w:bottom w:val="none" w:sz="0" w:space="0" w:color="auto"/>
            <w:right w:val="none" w:sz="0" w:space="0" w:color="auto"/>
          </w:divBdr>
        </w:div>
        <w:div w:id="555244735">
          <w:marLeft w:val="480"/>
          <w:marRight w:val="0"/>
          <w:marTop w:val="0"/>
          <w:marBottom w:val="0"/>
          <w:divBdr>
            <w:top w:val="none" w:sz="0" w:space="0" w:color="auto"/>
            <w:left w:val="none" w:sz="0" w:space="0" w:color="auto"/>
            <w:bottom w:val="none" w:sz="0" w:space="0" w:color="auto"/>
            <w:right w:val="none" w:sz="0" w:space="0" w:color="auto"/>
          </w:divBdr>
        </w:div>
        <w:div w:id="1478257355">
          <w:marLeft w:val="480"/>
          <w:marRight w:val="0"/>
          <w:marTop w:val="0"/>
          <w:marBottom w:val="0"/>
          <w:divBdr>
            <w:top w:val="none" w:sz="0" w:space="0" w:color="auto"/>
            <w:left w:val="none" w:sz="0" w:space="0" w:color="auto"/>
            <w:bottom w:val="none" w:sz="0" w:space="0" w:color="auto"/>
            <w:right w:val="none" w:sz="0" w:space="0" w:color="auto"/>
          </w:divBdr>
        </w:div>
        <w:div w:id="460146713">
          <w:marLeft w:val="480"/>
          <w:marRight w:val="0"/>
          <w:marTop w:val="0"/>
          <w:marBottom w:val="0"/>
          <w:divBdr>
            <w:top w:val="none" w:sz="0" w:space="0" w:color="auto"/>
            <w:left w:val="none" w:sz="0" w:space="0" w:color="auto"/>
            <w:bottom w:val="none" w:sz="0" w:space="0" w:color="auto"/>
            <w:right w:val="none" w:sz="0" w:space="0" w:color="auto"/>
          </w:divBdr>
        </w:div>
        <w:div w:id="1081828916">
          <w:marLeft w:val="480"/>
          <w:marRight w:val="0"/>
          <w:marTop w:val="0"/>
          <w:marBottom w:val="0"/>
          <w:divBdr>
            <w:top w:val="none" w:sz="0" w:space="0" w:color="auto"/>
            <w:left w:val="none" w:sz="0" w:space="0" w:color="auto"/>
            <w:bottom w:val="none" w:sz="0" w:space="0" w:color="auto"/>
            <w:right w:val="none" w:sz="0" w:space="0" w:color="auto"/>
          </w:divBdr>
        </w:div>
        <w:div w:id="1401975189">
          <w:marLeft w:val="480"/>
          <w:marRight w:val="0"/>
          <w:marTop w:val="0"/>
          <w:marBottom w:val="0"/>
          <w:divBdr>
            <w:top w:val="none" w:sz="0" w:space="0" w:color="auto"/>
            <w:left w:val="none" w:sz="0" w:space="0" w:color="auto"/>
            <w:bottom w:val="none" w:sz="0" w:space="0" w:color="auto"/>
            <w:right w:val="none" w:sz="0" w:space="0" w:color="auto"/>
          </w:divBdr>
        </w:div>
        <w:div w:id="1932623684">
          <w:marLeft w:val="480"/>
          <w:marRight w:val="0"/>
          <w:marTop w:val="0"/>
          <w:marBottom w:val="0"/>
          <w:divBdr>
            <w:top w:val="none" w:sz="0" w:space="0" w:color="auto"/>
            <w:left w:val="none" w:sz="0" w:space="0" w:color="auto"/>
            <w:bottom w:val="none" w:sz="0" w:space="0" w:color="auto"/>
            <w:right w:val="none" w:sz="0" w:space="0" w:color="auto"/>
          </w:divBdr>
        </w:div>
        <w:div w:id="1818256938">
          <w:marLeft w:val="480"/>
          <w:marRight w:val="0"/>
          <w:marTop w:val="0"/>
          <w:marBottom w:val="0"/>
          <w:divBdr>
            <w:top w:val="none" w:sz="0" w:space="0" w:color="auto"/>
            <w:left w:val="none" w:sz="0" w:space="0" w:color="auto"/>
            <w:bottom w:val="none" w:sz="0" w:space="0" w:color="auto"/>
            <w:right w:val="none" w:sz="0" w:space="0" w:color="auto"/>
          </w:divBdr>
        </w:div>
        <w:div w:id="1437365359">
          <w:marLeft w:val="480"/>
          <w:marRight w:val="0"/>
          <w:marTop w:val="0"/>
          <w:marBottom w:val="0"/>
          <w:divBdr>
            <w:top w:val="none" w:sz="0" w:space="0" w:color="auto"/>
            <w:left w:val="none" w:sz="0" w:space="0" w:color="auto"/>
            <w:bottom w:val="none" w:sz="0" w:space="0" w:color="auto"/>
            <w:right w:val="none" w:sz="0" w:space="0" w:color="auto"/>
          </w:divBdr>
        </w:div>
        <w:div w:id="471748590">
          <w:marLeft w:val="480"/>
          <w:marRight w:val="0"/>
          <w:marTop w:val="0"/>
          <w:marBottom w:val="0"/>
          <w:divBdr>
            <w:top w:val="none" w:sz="0" w:space="0" w:color="auto"/>
            <w:left w:val="none" w:sz="0" w:space="0" w:color="auto"/>
            <w:bottom w:val="none" w:sz="0" w:space="0" w:color="auto"/>
            <w:right w:val="none" w:sz="0" w:space="0" w:color="auto"/>
          </w:divBdr>
        </w:div>
        <w:div w:id="1186670728">
          <w:marLeft w:val="480"/>
          <w:marRight w:val="0"/>
          <w:marTop w:val="0"/>
          <w:marBottom w:val="0"/>
          <w:divBdr>
            <w:top w:val="none" w:sz="0" w:space="0" w:color="auto"/>
            <w:left w:val="none" w:sz="0" w:space="0" w:color="auto"/>
            <w:bottom w:val="none" w:sz="0" w:space="0" w:color="auto"/>
            <w:right w:val="none" w:sz="0" w:space="0" w:color="auto"/>
          </w:divBdr>
        </w:div>
        <w:div w:id="1824274068">
          <w:marLeft w:val="480"/>
          <w:marRight w:val="0"/>
          <w:marTop w:val="0"/>
          <w:marBottom w:val="0"/>
          <w:divBdr>
            <w:top w:val="none" w:sz="0" w:space="0" w:color="auto"/>
            <w:left w:val="none" w:sz="0" w:space="0" w:color="auto"/>
            <w:bottom w:val="none" w:sz="0" w:space="0" w:color="auto"/>
            <w:right w:val="none" w:sz="0" w:space="0" w:color="auto"/>
          </w:divBdr>
        </w:div>
        <w:div w:id="1383168260">
          <w:marLeft w:val="480"/>
          <w:marRight w:val="0"/>
          <w:marTop w:val="0"/>
          <w:marBottom w:val="0"/>
          <w:divBdr>
            <w:top w:val="none" w:sz="0" w:space="0" w:color="auto"/>
            <w:left w:val="none" w:sz="0" w:space="0" w:color="auto"/>
            <w:bottom w:val="none" w:sz="0" w:space="0" w:color="auto"/>
            <w:right w:val="none" w:sz="0" w:space="0" w:color="auto"/>
          </w:divBdr>
        </w:div>
        <w:div w:id="591200506">
          <w:marLeft w:val="480"/>
          <w:marRight w:val="0"/>
          <w:marTop w:val="0"/>
          <w:marBottom w:val="0"/>
          <w:divBdr>
            <w:top w:val="none" w:sz="0" w:space="0" w:color="auto"/>
            <w:left w:val="none" w:sz="0" w:space="0" w:color="auto"/>
            <w:bottom w:val="none" w:sz="0" w:space="0" w:color="auto"/>
            <w:right w:val="none" w:sz="0" w:space="0" w:color="auto"/>
          </w:divBdr>
        </w:div>
        <w:div w:id="1743599644">
          <w:marLeft w:val="480"/>
          <w:marRight w:val="0"/>
          <w:marTop w:val="0"/>
          <w:marBottom w:val="0"/>
          <w:divBdr>
            <w:top w:val="none" w:sz="0" w:space="0" w:color="auto"/>
            <w:left w:val="none" w:sz="0" w:space="0" w:color="auto"/>
            <w:bottom w:val="none" w:sz="0" w:space="0" w:color="auto"/>
            <w:right w:val="none" w:sz="0" w:space="0" w:color="auto"/>
          </w:divBdr>
        </w:div>
        <w:div w:id="487871070">
          <w:marLeft w:val="480"/>
          <w:marRight w:val="0"/>
          <w:marTop w:val="0"/>
          <w:marBottom w:val="0"/>
          <w:divBdr>
            <w:top w:val="none" w:sz="0" w:space="0" w:color="auto"/>
            <w:left w:val="none" w:sz="0" w:space="0" w:color="auto"/>
            <w:bottom w:val="none" w:sz="0" w:space="0" w:color="auto"/>
            <w:right w:val="none" w:sz="0" w:space="0" w:color="auto"/>
          </w:divBdr>
        </w:div>
        <w:div w:id="972830292">
          <w:marLeft w:val="480"/>
          <w:marRight w:val="0"/>
          <w:marTop w:val="0"/>
          <w:marBottom w:val="0"/>
          <w:divBdr>
            <w:top w:val="none" w:sz="0" w:space="0" w:color="auto"/>
            <w:left w:val="none" w:sz="0" w:space="0" w:color="auto"/>
            <w:bottom w:val="none" w:sz="0" w:space="0" w:color="auto"/>
            <w:right w:val="none" w:sz="0" w:space="0" w:color="auto"/>
          </w:divBdr>
        </w:div>
        <w:div w:id="1789203177">
          <w:marLeft w:val="480"/>
          <w:marRight w:val="0"/>
          <w:marTop w:val="0"/>
          <w:marBottom w:val="0"/>
          <w:divBdr>
            <w:top w:val="none" w:sz="0" w:space="0" w:color="auto"/>
            <w:left w:val="none" w:sz="0" w:space="0" w:color="auto"/>
            <w:bottom w:val="none" w:sz="0" w:space="0" w:color="auto"/>
            <w:right w:val="none" w:sz="0" w:space="0" w:color="auto"/>
          </w:divBdr>
        </w:div>
        <w:div w:id="1129208450">
          <w:marLeft w:val="480"/>
          <w:marRight w:val="0"/>
          <w:marTop w:val="0"/>
          <w:marBottom w:val="0"/>
          <w:divBdr>
            <w:top w:val="none" w:sz="0" w:space="0" w:color="auto"/>
            <w:left w:val="none" w:sz="0" w:space="0" w:color="auto"/>
            <w:bottom w:val="none" w:sz="0" w:space="0" w:color="auto"/>
            <w:right w:val="none" w:sz="0" w:space="0" w:color="auto"/>
          </w:divBdr>
        </w:div>
        <w:div w:id="1955167575">
          <w:marLeft w:val="480"/>
          <w:marRight w:val="0"/>
          <w:marTop w:val="0"/>
          <w:marBottom w:val="0"/>
          <w:divBdr>
            <w:top w:val="none" w:sz="0" w:space="0" w:color="auto"/>
            <w:left w:val="none" w:sz="0" w:space="0" w:color="auto"/>
            <w:bottom w:val="none" w:sz="0" w:space="0" w:color="auto"/>
            <w:right w:val="none" w:sz="0" w:space="0" w:color="auto"/>
          </w:divBdr>
        </w:div>
        <w:div w:id="1913662892">
          <w:marLeft w:val="480"/>
          <w:marRight w:val="0"/>
          <w:marTop w:val="0"/>
          <w:marBottom w:val="0"/>
          <w:divBdr>
            <w:top w:val="none" w:sz="0" w:space="0" w:color="auto"/>
            <w:left w:val="none" w:sz="0" w:space="0" w:color="auto"/>
            <w:bottom w:val="none" w:sz="0" w:space="0" w:color="auto"/>
            <w:right w:val="none" w:sz="0" w:space="0" w:color="auto"/>
          </w:divBdr>
        </w:div>
        <w:div w:id="1997954365">
          <w:marLeft w:val="480"/>
          <w:marRight w:val="0"/>
          <w:marTop w:val="0"/>
          <w:marBottom w:val="0"/>
          <w:divBdr>
            <w:top w:val="none" w:sz="0" w:space="0" w:color="auto"/>
            <w:left w:val="none" w:sz="0" w:space="0" w:color="auto"/>
            <w:bottom w:val="none" w:sz="0" w:space="0" w:color="auto"/>
            <w:right w:val="none" w:sz="0" w:space="0" w:color="auto"/>
          </w:divBdr>
        </w:div>
        <w:div w:id="585263295">
          <w:marLeft w:val="480"/>
          <w:marRight w:val="0"/>
          <w:marTop w:val="0"/>
          <w:marBottom w:val="0"/>
          <w:divBdr>
            <w:top w:val="none" w:sz="0" w:space="0" w:color="auto"/>
            <w:left w:val="none" w:sz="0" w:space="0" w:color="auto"/>
            <w:bottom w:val="none" w:sz="0" w:space="0" w:color="auto"/>
            <w:right w:val="none" w:sz="0" w:space="0" w:color="auto"/>
          </w:divBdr>
        </w:div>
        <w:div w:id="812718001">
          <w:marLeft w:val="480"/>
          <w:marRight w:val="0"/>
          <w:marTop w:val="0"/>
          <w:marBottom w:val="0"/>
          <w:divBdr>
            <w:top w:val="none" w:sz="0" w:space="0" w:color="auto"/>
            <w:left w:val="none" w:sz="0" w:space="0" w:color="auto"/>
            <w:bottom w:val="none" w:sz="0" w:space="0" w:color="auto"/>
            <w:right w:val="none" w:sz="0" w:space="0" w:color="auto"/>
          </w:divBdr>
        </w:div>
        <w:div w:id="305354988">
          <w:marLeft w:val="480"/>
          <w:marRight w:val="0"/>
          <w:marTop w:val="0"/>
          <w:marBottom w:val="0"/>
          <w:divBdr>
            <w:top w:val="none" w:sz="0" w:space="0" w:color="auto"/>
            <w:left w:val="none" w:sz="0" w:space="0" w:color="auto"/>
            <w:bottom w:val="none" w:sz="0" w:space="0" w:color="auto"/>
            <w:right w:val="none" w:sz="0" w:space="0" w:color="auto"/>
          </w:divBdr>
        </w:div>
        <w:div w:id="1933316423">
          <w:marLeft w:val="480"/>
          <w:marRight w:val="0"/>
          <w:marTop w:val="0"/>
          <w:marBottom w:val="0"/>
          <w:divBdr>
            <w:top w:val="none" w:sz="0" w:space="0" w:color="auto"/>
            <w:left w:val="none" w:sz="0" w:space="0" w:color="auto"/>
            <w:bottom w:val="none" w:sz="0" w:space="0" w:color="auto"/>
            <w:right w:val="none" w:sz="0" w:space="0" w:color="auto"/>
          </w:divBdr>
        </w:div>
        <w:div w:id="1309553297">
          <w:marLeft w:val="480"/>
          <w:marRight w:val="0"/>
          <w:marTop w:val="0"/>
          <w:marBottom w:val="0"/>
          <w:divBdr>
            <w:top w:val="none" w:sz="0" w:space="0" w:color="auto"/>
            <w:left w:val="none" w:sz="0" w:space="0" w:color="auto"/>
            <w:bottom w:val="none" w:sz="0" w:space="0" w:color="auto"/>
            <w:right w:val="none" w:sz="0" w:space="0" w:color="auto"/>
          </w:divBdr>
        </w:div>
        <w:div w:id="531959393">
          <w:marLeft w:val="480"/>
          <w:marRight w:val="0"/>
          <w:marTop w:val="0"/>
          <w:marBottom w:val="0"/>
          <w:divBdr>
            <w:top w:val="none" w:sz="0" w:space="0" w:color="auto"/>
            <w:left w:val="none" w:sz="0" w:space="0" w:color="auto"/>
            <w:bottom w:val="none" w:sz="0" w:space="0" w:color="auto"/>
            <w:right w:val="none" w:sz="0" w:space="0" w:color="auto"/>
          </w:divBdr>
        </w:div>
        <w:div w:id="1383024195">
          <w:marLeft w:val="480"/>
          <w:marRight w:val="0"/>
          <w:marTop w:val="0"/>
          <w:marBottom w:val="0"/>
          <w:divBdr>
            <w:top w:val="none" w:sz="0" w:space="0" w:color="auto"/>
            <w:left w:val="none" w:sz="0" w:space="0" w:color="auto"/>
            <w:bottom w:val="none" w:sz="0" w:space="0" w:color="auto"/>
            <w:right w:val="none" w:sz="0" w:space="0" w:color="auto"/>
          </w:divBdr>
        </w:div>
        <w:div w:id="1632520447">
          <w:marLeft w:val="480"/>
          <w:marRight w:val="0"/>
          <w:marTop w:val="0"/>
          <w:marBottom w:val="0"/>
          <w:divBdr>
            <w:top w:val="none" w:sz="0" w:space="0" w:color="auto"/>
            <w:left w:val="none" w:sz="0" w:space="0" w:color="auto"/>
            <w:bottom w:val="none" w:sz="0" w:space="0" w:color="auto"/>
            <w:right w:val="none" w:sz="0" w:space="0" w:color="auto"/>
          </w:divBdr>
        </w:div>
        <w:div w:id="1215578499">
          <w:marLeft w:val="480"/>
          <w:marRight w:val="0"/>
          <w:marTop w:val="0"/>
          <w:marBottom w:val="0"/>
          <w:divBdr>
            <w:top w:val="none" w:sz="0" w:space="0" w:color="auto"/>
            <w:left w:val="none" w:sz="0" w:space="0" w:color="auto"/>
            <w:bottom w:val="none" w:sz="0" w:space="0" w:color="auto"/>
            <w:right w:val="none" w:sz="0" w:space="0" w:color="auto"/>
          </w:divBdr>
        </w:div>
        <w:div w:id="1439253101">
          <w:marLeft w:val="480"/>
          <w:marRight w:val="0"/>
          <w:marTop w:val="0"/>
          <w:marBottom w:val="0"/>
          <w:divBdr>
            <w:top w:val="none" w:sz="0" w:space="0" w:color="auto"/>
            <w:left w:val="none" w:sz="0" w:space="0" w:color="auto"/>
            <w:bottom w:val="none" w:sz="0" w:space="0" w:color="auto"/>
            <w:right w:val="none" w:sz="0" w:space="0" w:color="auto"/>
          </w:divBdr>
        </w:div>
        <w:div w:id="2106221853">
          <w:marLeft w:val="480"/>
          <w:marRight w:val="0"/>
          <w:marTop w:val="0"/>
          <w:marBottom w:val="0"/>
          <w:divBdr>
            <w:top w:val="none" w:sz="0" w:space="0" w:color="auto"/>
            <w:left w:val="none" w:sz="0" w:space="0" w:color="auto"/>
            <w:bottom w:val="none" w:sz="0" w:space="0" w:color="auto"/>
            <w:right w:val="none" w:sz="0" w:space="0" w:color="auto"/>
          </w:divBdr>
        </w:div>
        <w:div w:id="757865755">
          <w:marLeft w:val="480"/>
          <w:marRight w:val="0"/>
          <w:marTop w:val="0"/>
          <w:marBottom w:val="0"/>
          <w:divBdr>
            <w:top w:val="none" w:sz="0" w:space="0" w:color="auto"/>
            <w:left w:val="none" w:sz="0" w:space="0" w:color="auto"/>
            <w:bottom w:val="none" w:sz="0" w:space="0" w:color="auto"/>
            <w:right w:val="none" w:sz="0" w:space="0" w:color="auto"/>
          </w:divBdr>
        </w:div>
        <w:div w:id="806169213">
          <w:marLeft w:val="480"/>
          <w:marRight w:val="0"/>
          <w:marTop w:val="0"/>
          <w:marBottom w:val="0"/>
          <w:divBdr>
            <w:top w:val="none" w:sz="0" w:space="0" w:color="auto"/>
            <w:left w:val="none" w:sz="0" w:space="0" w:color="auto"/>
            <w:bottom w:val="none" w:sz="0" w:space="0" w:color="auto"/>
            <w:right w:val="none" w:sz="0" w:space="0" w:color="auto"/>
          </w:divBdr>
        </w:div>
        <w:div w:id="822164505">
          <w:marLeft w:val="480"/>
          <w:marRight w:val="0"/>
          <w:marTop w:val="0"/>
          <w:marBottom w:val="0"/>
          <w:divBdr>
            <w:top w:val="none" w:sz="0" w:space="0" w:color="auto"/>
            <w:left w:val="none" w:sz="0" w:space="0" w:color="auto"/>
            <w:bottom w:val="none" w:sz="0" w:space="0" w:color="auto"/>
            <w:right w:val="none" w:sz="0" w:space="0" w:color="auto"/>
          </w:divBdr>
        </w:div>
        <w:div w:id="1998419275">
          <w:marLeft w:val="480"/>
          <w:marRight w:val="0"/>
          <w:marTop w:val="0"/>
          <w:marBottom w:val="0"/>
          <w:divBdr>
            <w:top w:val="none" w:sz="0" w:space="0" w:color="auto"/>
            <w:left w:val="none" w:sz="0" w:space="0" w:color="auto"/>
            <w:bottom w:val="none" w:sz="0" w:space="0" w:color="auto"/>
            <w:right w:val="none" w:sz="0" w:space="0" w:color="auto"/>
          </w:divBdr>
        </w:div>
        <w:div w:id="1678461208">
          <w:marLeft w:val="480"/>
          <w:marRight w:val="0"/>
          <w:marTop w:val="0"/>
          <w:marBottom w:val="0"/>
          <w:divBdr>
            <w:top w:val="none" w:sz="0" w:space="0" w:color="auto"/>
            <w:left w:val="none" w:sz="0" w:space="0" w:color="auto"/>
            <w:bottom w:val="none" w:sz="0" w:space="0" w:color="auto"/>
            <w:right w:val="none" w:sz="0" w:space="0" w:color="auto"/>
          </w:divBdr>
        </w:div>
        <w:div w:id="1409425793">
          <w:marLeft w:val="480"/>
          <w:marRight w:val="0"/>
          <w:marTop w:val="0"/>
          <w:marBottom w:val="0"/>
          <w:divBdr>
            <w:top w:val="none" w:sz="0" w:space="0" w:color="auto"/>
            <w:left w:val="none" w:sz="0" w:space="0" w:color="auto"/>
            <w:bottom w:val="none" w:sz="0" w:space="0" w:color="auto"/>
            <w:right w:val="none" w:sz="0" w:space="0" w:color="auto"/>
          </w:divBdr>
        </w:div>
        <w:div w:id="2117481003">
          <w:marLeft w:val="480"/>
          <w:marRight w:val="0"/>
          <w:marTop w:val="0"/>
          <w:marBottom w:val="0"/>
          <w:divBdr>
            <w:top w:val="none" w:sz="0" w:space="0" w:color="auto"/>
            <w:left w:val="none" w:sz="0" w:space="0" w:color="auto"/>
            <w:bottom w:val="none" w:sz="0" w:space="0" w:color="auto"/>
            <w:right w:val="none" w:sz="0" w:space="0" w:color="auto"/>
          </w:divBdr>
        </w:div>
        <w:div w:id="662054107">
          <w:marLeft w:val="480"/>
          <w:marRight w:val="0"/>
          <w:marTop w:val="0"/>
          <w:marBottom w:val="0"/>
          <w:divBdr>
            <w:top w:val="none" w:sz="0" w:space="0" w:color="auto"/>
            <w:left w:val="none" w:sz="0" w:space="0" w:color="auto"/>
            <w:bottom w:val="none" w:sz="0" w:space="0" w:color="auto"/>
            <w:right w:val="none" w:sz="0" w:space="0" w:color="auto"/>
          </w:divBdr>
        </w:div>
        <w:div w:id="1315834168">
          <w:marLeft w:val="480"/>
          <w:marRight w:val="0"/>
          <w:marTop w:val="0"/>
          <w:marBottom w:val="0"/>
          <w:divBdr>
            <w:top w:val="none" w:sz="0" w:space="0" w:color="auto"/>
            <w:left w:val="none" w:sz="0" w:space="0" w:color="auto"/>
            <w:bottom w:val="none" w:sz="0" w:space="0" w:color="auto"/>
            <w:right w:val="none" w:sz="0" w:space="0" w:color="auto"/>
          </w:divBdr>
        </w:div>
        <w:div w:id="1828284659">
          <w:marLeft w:val="480"/>
          <w:marRight w:val="0"/>
          <w:marTop w:val="0"/>
          <w:marBottom w:val="0"/>
          <w:divBdr>
            <w:top w:val="none" w:sz="0" w:space="0" w:color="auto"/>
            <w:left w:val="none" w:sz="0" w:space="0" w:color="auto"/>
            <w:bottom w:val="none" w:sz="0" w:space="0" w:color="auto"/>
            <w:right w:val="none" w:sz="0" w:space="0" w:color="auto"/>
          </w:divBdr>
        </w:div>
        <w:div w:id="2016761939">
          <w:marLeft w:val="480"/>
          <w:marRight w:val="0"/>
          <w:marTop w:val="0"/>
          <w:marBottom w:val="0"/>
          <w:divBdr>
            <w:top w:val="none" w:sz="0" w:space="0" w:color="auto"/>
            <w:left w:val="none" w:sz="0" w:space="0" w:color="auto"/>
            <w:bottom w:val="none" w:sz="0" w:space="0" w:color="auto"/>
            <w:right w:val="none" w:sz="0" w:space="0" w:color="auto"/>
          </w:divBdr>
        </w:div>
        <w:div w:id="710151350">
          <w:marLeft w:val="480"/>
          <w:marRight w:val="0"/>
          <w:marTop w:val="0"/>
          <w:marBottom w:val="0"/>
          <w:divBdr>
            <w:top w:val="none" w:sz="0" w:space="0" w:color="auto"/>
            <w:left w:val="none" w:sz="0" w:space="0" w:color="auto"/>
            <w:bottom w:val="none" w:sz="0" w:space="0" w:color="auto"/>
            <w:right w:val="none" w:sz="0" w:space="0" w:color="auto"/>
          </w:divBdr>
        </w:div>
        <w:div w:id="1615359497">
          <w:marLeft w:val="480"/>
          <w:marRight w:val="0"/>
          <w:marTop w:val="0"/>
          <w:marBottom w:val="0"/>
          <w:divBdr>
            <w:top w:val="none" w:sz="0" w:space="0" w:color="auto"/>
            <w:left w:val="none" w:sz="0" w:space="0" w:color="auto"/>
            <w:bottom w:val="none" w:sz="0" w:space="0" w:color="auto"/>
            <w:right w:val="none" w:sz="0" w:space="0" w:color="auto"/>
          </w:divBdr>
        </w:div>
        <w:div w:id="799150667">
          <w:marLeft w:val="480"/>
          <w:marRight w:val="0"/>
          <w:marTop w:val="0"/>
          <w:marBottom w:val="0"/>
          <w:divBdr>
            <w:top w:val="none" w:sz="0" w:space="0" w:color="auto"/>
            <w:left w:val="none" w:sz="0" w:space="0" w:color="auto"/>
            <w:bottom w:val="none" w:sz="0" w:space="0" w:color="auto"/>
            <w:right w:val="none" w:sz="0" w:space="0" w:color="auto"/>
          </w:divBdr>
        </w:div>
        <w:div w:id="677460410">
          <w:marLeft w:val="480"/>
          <w:marRight w:val="0"/>
          <w:marTop w:val="0"/>
          <w:marBottom w:val="0"/>
          <w:divBdr>
            <w:top w:val="none" w:sz="0" w:space="0" w:color="auto"/>
            <w:left w:val="none" w:sz="0" w:space="0" w:color="auto"/>
            <w:bottom w:val="none" w:sz="0" w:space="0" w:color="auto"/>
            <w:right w:val="none" w:sz="0" w:space="0" w:color="auto"/>
          </w:divBdr>
        </w:div>
        <w:div w:id="340010821">
          <w:marLeft w:val="480"/>
          <w:marRight w:val="0"/>
          <w:marTop w:val="0"/>
          <w:marBottom w:val="0"/>
          <w:divBdr>
            <w:top w:val="none" w:sz="0" w:space="0" w:color="auto"/>
            <w:left w:val="none" w:sz="0" w:space="0" w:color="auto"/>
            <w:bottom w:val="none" w:sz="0" w:space="0" w:color="auto"/>
            <w:right w:val="none" w:sz="0" w:space="0" w:color="auto"/>
          </w:divBdr>
        </w:div>
        <w:div w:id="678123711">
          <w:marLeft w:val="480"/>
          <w:marRight w:val="0"/>
          <w:marTop w:val="0"/>
          <w:marBottom w:val="0"/>
          <w:divBdr>
            <w:top w:val="none" w:sz="0" w:space="0" w:color="auto"/>
            <w:left w:val="none" w:sz="0" w:space="0" w:color="auto"/>
            <w:bottom w:val="none" w:sz="0" w:space="0" w:color="auto"/>
            <w:right w:val="none" w:sz="0" w:space="0" w:color="auto"/>
          </w:divBdr>
        </w:div>
        <w:div w:id="2144344718">
          <w:marLeft w:val="480"/>
          <w:marRight w:val="0"/>
          <w:marTop w:val="0"/>
          <w:marBottom w:val="0"/>
          <w:divBdr>
            <w:top w:val="none" w:sz="0" w:space="0" w:color="auto"/>
            <w:left w:val="none" w:sz="0" w:space="0" w:color="auto"/>
            <w:bottom w:val="none" w:sz="0" w:space="0" w:color="auto"/>
            <w:right w:val="none" w:sz="0" w:space="0" w:color="auto"/>
          </w:divBdr>
        </w:div>
        <w:div w:id="1156605014">
          <w:marLeft w:val="480"/>
          <w:marRight w:val="0"/>
          <w:marTop w:val="0"/>
          <w:marBottom w:val="0"/>
          <w:divBdr>
            <w:top w:val="none" w:sz="0" w:space="0" w:color="auto"/>
            <w:left w:val="none" w:sz="0" w:space="0" w:color="auto"/>
            <w:bottom w:val="none" w:sz="0" w:space="0" w:color="auto"/>
            <w:right w:val="none" w:sz="0" w:space="0" w:color="auto"/>
          </w:divBdr>
        </w:div>
        <w:div w:id="662315064">
          <w:marLeft w:val="480"/>
          <w:marRight w:val="0"/>
          <w:marTop w:val="0"/>
          <w:marBottom w:val="0"/>
          <w:divBdr>
            <w:top w:val="none" w:sz="0" w:space="0" w:color="auto"/>
            <w:left w:val="none" w:sz="0" w:space="0" w:color="auto"/>
            <w:bottom w:val="none" w:sz="0" w:space="0" w:color="auto"/>
            <w:right w:val="none" w:sz="0" w:space="0" w:color="auto"/>
          </w:divBdr>
        </w:div>
        <w:div w:id="1866168849">
          <w:marLeft w:val="480"/>
          <w:marRight w:val="0"/>
          <w:marTop w:val="0"/>
          <w:marBottom w:val="0"/>
          <w:divBdr>
            <w:top w:val="none" w:sz="0" w:space="0" w:color="auto"/>
            <w:left w:val="none" w:sz="0" w:space="0" w:color="auto"/>
            <w:bottom w:val="none" w:sz="0" w:space="0" w:color="auto"/>
            <w:right w:val="none" w:sz="0" w:space="0" w:color="auto"/>
          </w:divBdr>
        </w:div>
        <w:div w:id="1801415704">
          <w:marLeft w:val="480"/>
          <w:marRight w:val="0"/>
          <w:marTop w:val="0"/>
          <w:marBottom w:val="0"/>
          <w:divBdr>
            <w:top w:val="none" w:sz="0" w:space="0" w:color="auto"/>
            <w:left w:val="none" w:sz="0" w:space="0" w:color="auto"/>
            <w:bottom w:val="none" w:sz="0" w:space="0" w:color="auto"/>
            <w:right w:val="none" w:sz="0" w:space="0" w:color="auto"/>
          </w:divBdr>
        </w:div>
        <w:div w:id="302586891">
          <w:marLeft w:val="480"/>
          <w:marRight w:val="0"/>
          <w:marTop w:val="0"/>
          <w:marBottom w:val="0"/>
          <w:divBdr>
            <w:top w:val="none" w:sz="0" w:space="0" w:color="auto"/>
            <w:left w:val="none" w:sz="0" w:space="0" w:color="auto"/>
            <w:bottom w:val="none" w:sz="0" w:space="0" w:color="auto"/>
            <w:right w:val="none" w:sz="0" w:space="0" w:color="auto"/>
          </w:divBdr>
        </w:div>
        <w:div w:id="1443912541">
          <w:marLeft w:val="480"/>
          <w:marRight w:val="0"/>
          <w:marTop w:val="0"/>
          <w:marBottom w:val="0"/>
          <w:divBdr>
            <w:top w:val="none" w:sz="0" w:space="0" w:color="auto"/>
            <w:left w:val="none" w:sz="0" w:space="0" w:color="auto"/>
            <w:bottom w:val="none" w:sz="0" w:space="0" w:color="auto"/>
            <w:right w:val="none" w:sz="0" w:space="0" w:color="auto"/>
          </w:divBdr>
        </w:div>
        <w:div w:id="1643929373">
          <w:marLeft w:val="480"/>
          <w:marRight w:val="0"/>
          <w:marTop w:val="0"/>
          <w:marBottom w:val="0"/>
          <w:divBdr>
            <w:top w:val="none" w:sz="0" w:space="0" w:color="auto"/>
            <w:left w:val="none" w:sz="0" w:space="0" w:color="auto"/>
            <w:bottom w:val="none" w:sz="0" w:space="0" w:color="auto"/>
            <w:right w:val="none" w:sz="0" w:space="0" w:color="auto"/>
          </w:divBdr>
        </w:div>
        <w:div w:id="471332">
          <w:marLeft w:val="480"/>
          <w:marRight w:val="0"/>
          <w:marTop w:val="0"/>
          <w:marBottom w:val="0"/>
          <w:divBdr>
            <w:top w:val="none" w:sz="0" w:space="0" w:color="auto"/>
            <w:left w:val="none" w:sz="0" w:space="0" w:color="auto"/>
            <w:bottom w:val="none" w:sz="0" w:space="0" w:color="auto"/>
            <w:right w:val="none" w:sz="0" w:space="0" w:color="auto"/>
          </w:divBdr>
        </w:div>
        <w:div w:id="1932546113">
          <w:marLeft w:val="480"/>
          <w:marRight w:val="0"/>
          <w:marTop w:val="0"/>
          <w:marBottom w:val="0"/>
          <w:divBdr>
            <w:top w:val="none" w:sz="0" w:space="0" w:color="auto"/>
            <w:left w:val="none" w:sz="0" w:space="0" w:color="auto"/>
            <w:bottom w:val="none" w:sz="0" w:space="0" w:color="auto"/>
            <w:right w:val="none" w:sz="0" w:space="0" w:color="auto"/>
          </w:divBdr>
        </w:div>
        <w:div w:id="718866513">
          <w:marLeft w:val="480"/>
          <w:marRight w:val="0"/>
          <w:marTop w:val="0"/>
          <w:marBottom w:val="0"/>
          <w:divBdr>
            <w:top w:val="none" w:sz="0" w:space="0" w:color="auto"/>
            <w:left w:val="none" w:sz="0" w:space="0" w:color="auto"/>
            <w:bottom w:val="none" w:sz="0" w:space="0" w:color="auto"/>
            <w:right w:val="none" w:sz="0" w:space="0" w:color="auto"/>
          </w:divBdr>
        </w:div>
        <w:div w:id="1828398098">
          <w:marLeft w:val="480"/>
          <w:marRight w:val="0"/>
          <w:marTop w:val="0"/>
          <w:marBottom w:val="0"/>
          <w:divBdr>
            <w:top w:val="none" w:sz="0" w:space="0" w:color="auto"/>
            <w:left w:val="none" w:sz="0" w:space="0" w:color="auto"/>
            <w:bottom w:val="none" w:sz="0" w:space="0" w:color="auto"/>
            <w:right w:val="none" w:sz="0" w:space="0" w:color="auto"/>
          </w:divBdr>
        </w:div>
        <w:div w:id="895629003">
          <w:marLeft w:val="480"/>
          <w:marRight w:val="0"/>
          <w:marTop w:val="0"/>
          <w:marBottom w:val="0"/>
          <w:divBdr>
            <w:top w:val="none" w:sz="0" w:space="0" w:color="auto"/>
            <w:left w:val="none" w:sz="0" w:space="0" w:color="auto"/>
            <w:bottom w:val="none" w:sz="0" w:space="0" w:color="auto"/>
            <w:right w:val="none" w:sz="0" w:space="0" w:color="auto"/>
          </w:divBdr>
        </w:div>
        <w:div w:id="1957787975">
          <w:marLeft w:val="480"/>
          <w:marRight w:val="0"/>
          <w:marTop w:val="0"/>
          <w:marBottom w:val="0"/>
          <w:divBdr>
            <w:top w:val="none" w:sz="0" w:space="0" w:color="auto"/>
            <w:left w:val="none" w:sz="0" w:space="0" w:color="auto"/>
            <w:bottom w:val="none" w:sz="0" w:space="0" w:color="auto"/>
            <w:right w:val="none" w:sz="0" w:space="0" w:color="auto"/>
          </w:divBdr>
        </w:div>
        <w:div w:id="591934392">
          <w:marLeft w:val="480"/>
          <w:marRight w:val="0"/>
          <w:marTop w:val="0"/>
          <w:marBottom w:val="0"/>
          <w:divBdr>
            <w:top w:val="none" w:sz="0" w:space="0" w:color="auto"/>
            <w:left w:val="none" w:sz="0" w:space="0" w:color="auto"/>
            <w:bottom w:val="none" w:sz="0" w:space="0" w:color="auto"/>
            <w:right w:val="none" w:sz="0" w:space="0" w:color="auto"/>
          </w:divBdr>
        </w:div>
        <w:div w:id="1738086726">
          <w:marLeft w:val="480"/>
          <w:marRight w:val="0"/>
          <w:marTop w:val="0"/>
          <w:marBottom w:val="0"/>
          <w:divBdr>
            <w:top w:val="none" w:sz="0" w:space="0" w:color="auto"/>
            <w:left w:val="none" w:sz="0" w:space="0" w:color="auto"/>
            <w:bottom w:val="none" w:sz="0" w:space="0" w:color="auto"/>
            <w:right w:val="none" w:sz="0" w:space="0" w:color="auto"/>
          </w:divBdr>
        </w:div>
        <w:div w:id="583029288">
          <w:marLeft w:val="480"/>
          <w:marRight w:val="0"/>
          <w:marTop w:val="0"/>
          <w:marBottom w:val="0"/>
          <w:divBdr>
            <w:top w:val="none" w:sz="0" w:space="0" w:color="auto"/>
            <w:left w:val="none" w:sz="0" w:space="0" w:color="auto"/>
            <w:bottom w:val="none" w:sz="0" w:space="0" w:color="auto"/>
            <w:right w:val="none" w:sz="0" w:space="0" w:color="auto"/>
          </w:divBdr>
        </w:div>
        <w:div w:id="163710550">
          <w:marLeft w:val="480"/>
          <w:marRight w:val="0"/>
          <w:marTop w:val="0"/>
          <w:marBottom w:val="0"/>
          <w:divBdr>
            <w:top w:val="none" w:sz="0" w:space="0" w:color="auto"/>
            <w:left w:val="none" w:sz="0" w:space="0" w:color="auto"/>
            <w:bottom w:val="none" w:sz="0" w:space="0" w:color="auto"/>
            <w:right w:val="none" w:sz="0" w:space="0" w:color="auto"/>
          </w:divBdr>
        </w:div>
        <w:div w:id="398216265">
          <w:marLeft w:val="480"/>
          <w:marRight w:val="0"/>
          <w:marTop w:val="0"/>
          <w:marBottom w:val="0"/>
          <w:divBdr>
            <w:top w:val="none" w:sz="0" w:space="0" w:color="auto"/>
            <w:left w:val="none" w:sz="0" w:space="0" w:color="auto"/>
            <w:bottom w:val="none" w:sz="0" w:space="0" w:color="auto"/>
            <w:right w:val="none" w:sz="0" w:space="0" w:color="auto"/>
          </w:divBdr>
        </w:div>
        <w:div w:id="976296970">
          <w:marLeft w:val="480"/>
          <w:marRight w:val="0"/>
          <w:marTop w:val="0"/>
          <w:marBottom w:val="0"/>
          <w:divBdr>
            <w:top w:val="none" w:sz="0" w:space="0" w:color="auto"/>
            <w:left w:val="none" w:sz="0" w:space="0" w:color="auto"/>
            <w:bottom w:val="none" w:sz="0" w:space="0" w:color="auto"/>
            <w:right w:val="none" w:sz="0" w:space="0" w:color="auto"/>
          </w:divBdr>
        </w:div>
        <w:div w:id="312680009">
          <w:marLeft w:val="480"/>
          <w:marRight w:val="0"/>
          <w:marTop w:val="0"/>
          <w:marBottom w:val="0"/>
          <w:divBdr>
            <w:top w:val="none" w:sz="0" w:space="0" w:color="auto"/>
            <w:left w:val="none" w:sz="0" w:space="0" w:color="auto"/>
            <w:bottom w:val="none" w:sz="0" w:space="0" w:color="auto"/>
            <w:right w:val="none" w:sz="0" w:space="0" w:color="auto"/>
          </w:divBdr>
        </w:div>
        <w:div w:id="281502459">
          <w:marLeft w:val="480"/>
          <w:marRight w:val="0"/>
          <w:marTop w:val="0"/>
          <w:marBottom w:val="0"/>
          <w:divBdr>
            <w:top w:val="none" w:sz="0" w:space="0" w:color="auto"/>
            <w:left w:val="none" w:sz="0" w:space="0" w:color="auto"/>
            <w:bottom w:val="none" w:sz="0" w:space="0" w:color="auto"/>
            <w:right w:val="none" w:sz="0" w:space="0" w:color="auto"/>
          </w:divBdr>
        </w:div>
        <w:div w:id="935945220">
          <w:marLeft w:val="480"/>
          <w:marRight w:val="0"/>
          <w:marTop w:val="0"/>
          <w:marBottom w:val="0"/>
          <w:divBdr>
            <w:top w:val="none" w:sz="0" w:space="0" w:color="auto"/>
            <w:left w:val="none" w:sz="0" w:space="0" w:color="auto"/>
            <w:bottom w:val="none" w:sz="0" w:space="0" w:color="auto"/>
            <w:right w:val="none" w:sz="0" w:space="0" w:color="auto"/>
          </w:divBdr>
        </w:div>
        <w:div w:id="2104110572">
          <w:marLeft w:val="480"/>
          <w:marRight w:val="0"/>
          <w:marTop w:val="0"/>
          <w:marBottom w:val="0"/>
          <w:divBdr>
            <w:top w:val="none" w:sz="0" w:space="0" w:color="auto"/>
            <w:left w:val="none" w:sz="0" w:space="0" w:color="auto"/>
            <w:bottom w:val="none" w:sz="0" w:space="0" w:color="auto"/>
            <w:right w:val="none" w:sz="0" w:space="0" w:color="auto"/>
          </w:divBdr>
        </w:div>
        <w:div w:id="1784424623">
          <w:marLeft w:val="480"/>
          <w:marRight w:val="0"/>
          <w:marTop w:val="0"/>
          <w:marBottom w:val="0"/>
          <w:divBdr>
            <w:top w:val="none" w:sz="0" w:space="0" w:color="auto"/>
            <w:left w:val="none" w:sz="0" w:space="0" w:color="auto"/>
            <w:bottom w:val="none" w:sz="0" w:space="0" w:color="auto"/>
            <w:right w:val="none" w:sz="0" w:space="0" w:color="auto"/>
          </w:divBdr>
        </w:div>
        <w:div w:id="837159651">
          <w:marLeft w:val="480"/>
          <w:marRight w:val="0"/>
          <w:marTop w:val="0"/>
          <w:marBottom w:val="0"/>
          <w:divBdr>
            <w:top w:val="none" w:sz="0" w:space="0" w:color="auto"/>
            <w:left w:val="none" w:sz="0" w:space="0" w:color="auto"/>
            <w:bottom w:val="none" w:sz="0" w:space="0" w:color="auto"/>
            <w:right w:val="none" w:sz="0" w:space="0" w:color="auto"/>
          </w:divBdr>
        </w:div>
        <w:div w:id="1078751226">
          <w:marLeft w:val="480"/>
          <w:marRight w:val="0"/>
          <w:marTop w:val="0"/>
          <w:marBottom w:val="0"/>
          <w:divBdr>
            <w:top w:val="none" w:sz="0" w:space="0" w:color="auto"/>
            <w:left w:val="none" w:sz="0" w:space="0" w:color="auto"/>
            <w:bottom w:val="none" w:sz="0" w:space="0" w:color="auto"/>
            <w:right w:val="none" w:sz="0" w:space="0" w:color="auto"/>
          </w:divBdr>
        </w:div>
        <w:div w:id="1366710815">
          <w:marLeft w:val="480"/>
          <w:marRight w:val="0"/>
          <w:marTop w:val="0"/>
          <w:marBottom w:val="0"/>
          <w:divBdr>
            <w:top w:val="none" w:sz="0" w:space="0" w:color="auto"/>
            <w:left w:val="none" w:sz="0" w:space="0" w:color="auto"/>
            <w:bottom w:val="none" w:sz="0" w:space="0" w:color="auto"/>
            <w:right w:val="none" w:sz="0" w:space="0" w:color="auto"/>
          </w:divBdr>
        </w:div>
        <w:div w:id="1955091926">
          <w:marLeft w:val="480"/>
          <w:marRight w:val="0"/>
          <w:marTop w:val="0"/>
          <w:marBottom w:val="0"/>
          <w:divBdr>
            <w:top w:val="none" w:sz="0" w:space="0" w:color="auto"/>
            <w:left w:val="none" w:sz="0" w:space="0" w:color="auto"/>
            <w:bottom w:val="none" w:sz="0" w:space="0" w:color="auto"/>
            <w:right w:val="none" w:sz="0" w:space="0" w:color="auto"/>
          </w:divBdr>
        </w:div>
        <w:div w:id="1881549125">
          <w:marLeft w:val="480"/>
          <w:marRight w:val="0"/>
          <w:marTop w:val="0"/>
          <w:marBottom w:val="0"/>
          <w:divBdr>
            <w:top w:val="none" w:sz="0" w:space="0" w:color="auto"/>
            <w:left w:val="none" w:sz="0" w:space="0" w:color="auto"/>
            <w:bottom w:val="none" w:sz="0" w:space="0" w:color="auto"/>
            <w:right w:val="none" w:sz="0" w:space="0" w:color="auto"/>
          </w:divBdr>
        </w:div>
        <w:div w:id="939725968">
          <w:marLeft w:val="480"/>
          <w:marRight w:val="0"/>
          <w:marTop w:val="0"/>
          <w:marBottom w:val="0"/>
          <w:divBdr>
            <w:top w:val="none" w:sz="0" w:space="0" w:color="auto"/>
            <w:left w:val="none" w:sz="0" w:space="0" w:color="auto"/>
            <w:bottom w:val="none" w:sz="0" w:space="0" w:color="auto"/>
            <w:right w:val="none" w:sz="0" w:space="0" w:color="auto"/>
          </w:divBdr>
        </w:div>
        <w:div w:id="1049573594">
          <w:marLeft w:val="480"/>
          <w:marRight w:val="0"/>
          <w:marTop w:val="0"/>
          <w:marBottom w:val="0"/>
          <w:divBdr>
            <w:top w:val="none" w:sz="0" w:space="0" w:color="auto"/>
            <w:left w:val="none" w:sz="0" w:space="0" w:color="auto"/>
            <w:bottom w:val="none" w:sz="0" w:space="0" w:color="auto"/>
            <w:right w:val="none" w:sz="0" w:space="0" w:color="auto"/>
          </w:divBdr>
        </w:div>
        <w:div w:id="1046177919">
          <w:marLeft w:val="480"/>
          <w:marRight w:val="0"/>
          <w:marTop w:val="0"/>
          <w:marBottom w:val="0"/>
          <w:divBdr>
            <w:top w:val="none" w:sz="0" w:space="0" w:color="auto"/>
            <w:left w:val="none" w:sz="0" w:space="0" w:color="auto"/>
            <w:bottom w:val="none" w:sz="0" w:space="0" w:color="auto"/>
            <w:right w:val="none" w:sz="0" w:space="0" w:color="auto"/>
          </w:divBdr>
        </w:div>
        <w:div w:id="1407262178">
          <w:marLeft w:val="480"/>
          <w:marRight w:val="0"/>
          <w:marTop w:val="0"/>
          <w:marBottom w:val="0"/>
          <w:divBdr>
            <w:top w:val="none" w:sz="0" w:space="0" w:color="auto"/>
            <w:left w:val="none" w:sz="0" w:space="0" w:color="auto"/>
            <w:bottom w:val="none" w:sz="0" w:space="0" w:color="auto"/>
            <w:right w:val="none" w:sz="0" w:space="0" w:color="auto"/>
          </w:divBdr>
        </w:div>
        <w:div w:id="744911123">
          <w:marLeft w:val="480"/>
          <w:marRight w:val="0"/>
          <w:marTop w:val="0"/>
          <w:marBottom w:val="0"/>
          <w:divBdr>
            <w:top w:val="none" w:sz="0" w:space="0" w:color="auto"/>
            <w:left w:val="none" w:sz="0" w:space="0" w:color="auto"/>
            <w:bottom w:val="none" w:sz="0" w:space="0" w:color="auto"/>
            <w:right w:val="none" w:sz="0" w:space="0" w:color="auto"/>
          </w:divBdr>
        </w:div>
        <w:div w:id="2039087200">
          <w:marLeft w:val="480"/>
          <w:marRight w:val="0"/>
          <w:marTop w:val="0"/>
          <w:marBottom w:val="0"/>
          <w:divBdr>
            <w:top w:val="none" w:sz="0" w:space="0" w:color="auto"/>
            <w:left w:val="none" w:sz="0" w:space="0" w:color="auto"/>
            <w:bottom w:val="none" w:sz="0" w:space="0" w:color="auto"/>
            <w:right w:val="none" w:sz="0" w:space="0" w:color="auto"/>
          </w:divBdr>
        </w:div>
        <w:div w:id="977994662">
          <w:marLeft w:val="480"/>
          <w:marRight w:val="0"/>
          <w:marTop w:val="0"/>
          <w:marBottom w:val="0"/>
          <w:divBdr>
            <w:top w:val="none" w:sz="0" w:space="0" w:color="auto"/>
            <w:left w:val="none" w:sz="0" w:space="0" w:color="auto"/>
            <w:bottom w:val="none" w:sz="0" w:space="0" w:color="auto"/>
            <w:right w:val="none" w:sz="0" w:space="0" w:color="auto"/>
          </w:divBdr>
        </w:div>
        <w:div w:id="1504585582">
          <w:marLeft w:val="480"/>
          <w:marRight w:val="0"/>
          <w:marTop w:val="0"/>
          <w:marBottom w:val="0"/>
          <w:divBdr>
            <w:top w:val="none" w:sz="0" w:space="0" w:color="auto"/>
            <w:left w:val="none" w:sz="0" w:space="0" w:color="auto"/>
            <w:bottom w:val="none" w:sz="0" w:space="0" w:color="auto"/>
            <w:right w:val="none" w:sz="0" w:space="0" w:color="auto"/>
          </w:divBdr>
        </w:div>
        <w:div w:id="253787010">
          <w:marLeft w:val="480"/>
          <w:marRight w:val="0"/>
          <w:marTop w:val="0"/>
          <w:marBottom w:val="0"/>
          <w:divBdr>
            <w:top w:val="none" w:sz="0" w:space="0" w:color="auto"/>
            <w:left w:val="none" w:sz="0" w:space="0" w:color="auto"/>
            <w:bottom w:val="none" w:sz="0" w:space="0" w:color="auto"/>
            <w:right w:val="none" w:sz="0" w:space="0" w:color="auto"/>
          </w:divBdr>
        </w:div>
        <w:div w:id="94907551">
          <w:marLeft w:val="480"/>
          <w:marRight w:val="0"/>
          <w:marTop w:val="0"/>
          <w:marBottom w:val="0"/>
          <w:divBdr>
            <w:top w:val="none" w:sz="0" w:space="0" w:color="auto"/>
            <w:left w:val="none" w:sz="0" w:space="0" w:color="auto"/>
            <w:bottom w:val="none" w:sz="0" w:space="0" w:color="auto"/>
            <w:right w:val="none" w:sz="0" w:space="0" w:color="auto"/>
          </w:divBdr>
        </w:div>
        <w:div w:id="1795901301">
          <w:marLeft w:val="480"/>
          <w:marRight w:val="0"/>
          <w:marTop w:val="0"/>
          <w:marBottom w:val="0"/>
          <w:divBdr>
            <w:top w:val="none" w:sz="0" w:space="0" w:color="auto"/>
            <w:left w:val="none" w:sz="0" w:space="0" w:color="auto"/>
            <w:bottom w:val="none" w:sz="0" w:space="0" w:color="auto"/>
            <w:right w:val="none" w:sz="0" w:space="0" w:color="auto"/>
          </w:divBdr>
        </w:div>
        <w:div w:id="340744874">
          <w:marLeft w:val="480"/>
          <w:marRight w:val="0"/>
          <w:marTop w:val="0"/>
          <w:marBottom w:val="0"/>
          <w:divBdr>
            <w:top w:val="none" w:sz="0" w:space="0" w:color="auto"/>
            <w:left w:val="none" w:sz="0" w:space="0" w:color="auto"/>
            <w:bottom w:val="none" w:sz="0" w:space="0" w:color="auto"/>
            <w:right w:val="none" w:sz="0" w:space="0" w:color="auto"/>
          </w:divBdr>
        </w:div>
        <w:div w:id="1221988109">
          <w:marLeft w:val="480"/>
          <w:marRight w:val="0"/>
          <w:marTop w:val="0"/>
          <w:marBottom w:val="0"/>
          <w:divBdr>
            <w:top w:val="none" w:sz="0" w:space="0" w:color="auto"/>
            <w:left w:val="none" w:sz="0" w:space="0" w:color="auto"/>
            <w:bottom w:val="none" w:sz="0" w:space="0" w:color="auto"/>
            <w:right w:val="none" w:sz="0" w:space="0" w:color="auto"/>
          </w:divBdr>
        </w:div>
      </w:divsChild>
    </w:div>
    <w:div w:id="1503813441">
      <w:bodyDiv w:val="1"/>
      <w:marLeft w:val="0"/>
      <w:marRight w:val="0"/>
      <w:marTop w:val="0"/>
      <w:marBottom w:val="0"/>
      <w:divBdr>
        <w:top w:val="none" w:sz="0" w:space="0" w:color="auto"/>
        <w:left w:val="none" w:sz="0" w:space="0" w:color="auto"/>
        <w:bottom w:val="none" w:sz="0" w:space="0" w:color="auto"/>
        <w:right w:val="none" w:sz="0" w:space="0" w:color="auto"/>
      </w:divBdr>
    </w:div>
    <w:div w:id="1504128164">
      <w:bodyDiv w:val="1"/>
      <w:marLeft w:val="0"/>
      <w:marRight w:val="0"/>
      <w:marTop w:val="0"/>
      <w:marBottom w:val="0"/>
      <w:divBdr>
        <w:top w:val="none" w:sz="0" w:space="0" w:color="auto"/>
        <w:left w:val="none" w:sz="0" w:space="0" w:color="auto"/>
        <w:bottom w:val="none" w:sz="0" w:space="0" w:color="auto"/>
        <w:right w:val="none" w:sz="0" w:space="0" w:color="auto"/>
      </w:divBdr>
    </w:div>
    <w:div w:id="1504204234">
      <w:bodyDiv w:val="1"/>
      <w:marLeft w:val="0"/>
      <w:marRight w:val="0"/>
      <w:marTop w:val="0"/>
      <w:marBottom w:val="0"/>
      <w:divBdr>
        <w:top w:val="none" w:sz="0" w:space="0" w:color="auto"/>
        <w:left w:val="none" w:sz="0" w:space="0" w:color="auto"/>
        <w:bottom w:val="none" w:sz="0" w:space="0" w:color="auto"/>
        <w:right w:val="none" w:sz="0" w:space="0" w:color="auto"/>
      </w:divBdr>
    </w:div>
    <w:div w:id="1504277514">
      <w:bodyDiv w:val="1"/>
      <w:marLeft w:val="0"/>
      <w:marRight w:val="0"/>
      <w:marTop w:val="0"/>
      <w:marBottom w:val="0"/>
      <w:divBdr>
        <w:top w:val="none" w:sz="0" w:space="0" w:color="auto"/>
        <w:left w:val="none" w:sz="0" w:space="0" w:color="auto"/>
        <w:bottom w:val="none" w:sz="0" w:space="0" w:color="auto"/>
        <w:right w:val="none" w:sz="0" w:space="0" w:color="auto"/>
      </w:divBdr>
    </w:div>
    <w:div w:id="1504392049">
      <w:bodyDiv w:val="1"/>
      <w:marLeft w:val="0"/>
      <w:marRight w:val="0"/>
      <w:marTop w:val="0"/>
      <w:marBottom w:val="0"/>
      <w:divBdr>
        <w:top w:val="none" w:sz="0" w:space="0" w:color="auto"/>
        <w:left w:val="none" w:sz="0" w:space="0" w:color="auto"/>
        <w:bottom w:val="none" w:sz="0" w:space="0" w:color="auto"/>
        <w:right w:val="none" w:sz="0" w:space="0" w:color="auto"/>
      </w:divBdr>
    </w:div>
    <w:div w:id="1504394430">
      <w:bodyDiv w:val="1"/>
      <w:marLeft w:val="0"/>
      <w:marRight w:val="0"/>
      <w:marTop w:val="0"/>
      <w:marBottom w:val="0"/>
      <w:divBdr>
        <w:top w:val="none" w:sz="0" w:space="0" w:color="auto"/>
        <w:left w:val="none" w:sz="0" w:space="0" w:color="auto"/>
        <w:bottom w:val="none" w:sz="0" w:space="0" w:color="auto"/>
        <w:right w:val="none" w:sz="0" w:space="0" w:color="auto"/>
      </w:divBdr>
    </w:div>
    <w:div w:id="1504710892">
      <w:bodyDiv w:val="1"/>
      <w:marLeft w:val="0"/>
      <w:marRight w:val="0"/>
      <w:marTop w:val="0"/>
      <w:marBottom w:val="0"/>
      <w:divBdr>
        <w:top w:val="none" w:sz="0" w:space="0" w:color="auto"/>
        <w:left w:val="none" w:sz="0" w:space="0" w:color="auto"/>
        <w:bottom w:val="none" w:sz="0" w:space="0" w:color="auto"/>
        <w:right w:val="none" w:sz="0" w:space="0" w:color="auto"/>
      </w:divBdr>
    </w:div>
    <w:div w:id="1505126378">
      <w:bodyDiv w:val="1"/>
      <w:marLeft w:val="0"/>
      <w:marRight w:val="0"/>
      <w:marTop w:val="0"/>
      <w:marBottom w:val="0"/>
      <w:divBdr>
        <w:top w:val="none" w:sz="0" w:space="0" w:color="auto"/>
        <w:left w:val="none" w:sz="0" w:space="0" w:color="auto"/>
        <w:bottom w:val="none" w:sz="0" w:space="0" w:color="auto"/>
        <w:right w:val="none" w:sz="0" w:space="0" w:color="auto"/>
      </w:divBdr>
    </w:div>
    <w:div w:id="1505625255">
      <w:bodyDiv w:val="1"/>
      <w:marLeft w:val="0"/>
      <w:marRight w:val="0"/>
      <w:marTop w:val="0"/>
      <w:marBottom w:val="0"/>
      <w:divBdr>
        <w:top w:val="none" w:sz="0" w:space="0" w:color="auto"/>
        <w:left w:val="none" w:sz="0" w:space="0" w:color="auto"/>
        <w:bottom w:val="none" w:sz="0" w:space="0" w:color="auto"/>
        <w:right w:val="none" w:sz="0" w:space="0" w:color="auto"/>
      </w:divBdr>
    </w:div>
    <w:div w:id="1506289110">
      <w:bodyDiv w:val="1"/>
      <w:marLeft w:val="0"/>
      <w:marRight w:val="0"/>
      <w:marTop w:val="0"/>
      <w:marBottom w:val="0"/>
      <w:divBdr>
        <w:top w:val="none" w:sz="0" w:space="0" w:color="auto"/>
        <w:left w:val="none" w:sz="0" w:space="0" w:color="auto"/>
        <w:bottom w:val="none" w:sz="0" w:space="0" w:color="auto"/>
        <w:right w:val="none" w:sz="0" w:space="0" w:color="auto"/>
      </w:divBdr>
    </w:div>
    <w:div w:id="1506624956">
      <w:bodyDiv w:val="1"/>
      <w:marLeft w:val="0"/>
      <w:marRight w:val="0"/>
      <w:marTop w:val="0"/>
      <w:marBottom w:val="0"/>
      <w:divBdr>
        <w:top w:val="none" w:sz="0" w:space="0" w:color="auto"/>
        <w:left w:val="none" w:sz="0" w:space="0" w:color="auto"/>
        <w:bottom w:val="none" w:sz="0" w:space="0" w:color="auto"/>
        <w:right w:val="none" w:sz="0" w:space="0" w:color="auto"/>
      </w:divBdr>
    </w:div>
    <w:div w:id="1506628700">
      <w:bodyDiv w:val="1"/>
      <w:marLeft w:val="0"/>
      <w:marRight w:val="0"/>
      <w:marTop w:val="0"/>
      <w:marBottom w:val="0"/>
      <w:divBdr>
        <w:top w:val="none" w:sz="0" w:space="0" w:color="auto"/>
        <w:left w:val="none" w:sz="0" w:space="0" w:color="auto"/>
        <w:bottom w:val="none" w:sz="0" w:space="0" w:color="auto"/>
        <w:right w:val="none" w:sz="0" w:space="0" w:color="auto"/>
      </w:divBdr>
    </w:div>
    <w:div w:id="1506826413">
      <w:bodyDiv w:val="1"/>
      <w:marLeft w:val="0"/>
      <w:marRight w:val="0"/>
      <w:marTop w:val="0"/>
      <w:marBottom w:val="0"/>
      <w:divBdr>
        <w:top w:val="none" w:sz="0" w:space="0" w:color="auto"/>
        <w:left w:val="none" w:sz="0" w:space="0" w:color="auto"/>
        <w:bottom w:val="none" w:sz="0" w:space="0" w:color="auto"/>
        <w:right w:val="none" w:sz="0" w:space="0" w:color="auto"/>
      </w:divBdr>
    </w:div>
    <w:div w:id="1507012055">
      <w:bodyDiv w:val="1"/>
      <w:marLeft w:val="0"/>
      <w:marRight w:val="0"/>
      <w:marTop w:val="0"/>
      <w:marBottom w:val="0"/>
      <w:divBdr>
        <w:top w:val="none" w:sz="0" w:space="0" w:color="auto"/>
        <w:left w:val="none" w:sz="0" w:space="0" w:color="auto"/>
        <w:bottom w:val="none" w:sz="0" w:space="0" w:color="auto"/>
        <w:right w:val="none" w:sz="0" w:space="0" w:color="auto"/>
      </w:divBdr>
    </w:div>
    <w:div w:id="1507015665">
      <w:bodyDiv w:val="1"/>
      <w:marLeft w:val="0"/>
      <w:marRight w:val="0"/>
      <w:marTop w:val="0"/>
      <w:marBottom w:val="0"/>
      <w:divBdr>
        <w:top w:val="none" w:sz="0" w:space="0" w:color="auto"/>
        <w:left w:val="none" w:sz="0" w:space="0" w:color="auto"/>
        <w:bottom w:val="none" w:sz="0" w:space="0" w:color="auto"/>
        <w:right w:val="none" w:sz="0" w:space="0" w:color="auto"/>
      </w:divBdr>
    </w:div>
    <w:div w:id="1507092808">
      <w:bodyDiv w:val="1"/>
      <w:marLeft w:val="0"/>
      <w:marRight w:val="0"/>
      <w:marTop w:val="0"/>
      <w:marBottom w:val="0"/>
      <w:divBdr>
        <w:top w:val="none" w:sz="0" w:space="0" w:color="auto"/>
        <w:left w:val="none" w:sz="0" w:space="0" w:color="auto"/>
        <w:bottom w:val="none" w:sz="0" w:space="0" w:color="auto"/>
        <w:right w:val="none" w:sz="0" w:space="0" w:color="auto"/>
      </w:divBdr>
    </w:div>
    <w:div w:id="1507209143">
      <w:bodyDiv w:val="1"/>
      <w:marLeft w:val="0"/>
      <w:marRight w:val="0"/>
      <w:marTop w:val="0"/>
      <w:marBottom w:val="0"/>
      <w:divBdr>
        <w:top w:val="none" w:sz="0" w:space="0" w:color="auto"/>
        <w:left w:val="none" w:sz="0" w:space="0" w:color="auto"/>
        <w:bottom w:val="none" w:sz="0" w:space="0" w:color="auto"/>
        <w:right w:val="none" w:sz="0" w:space="0" w:color="auto"/>
      </w:divBdr>
    </w:div>
    <w:div w:id="1507283202">
      <w:bodyDiv w:val="1"/>
      <w:marLeft w:val="0"/>
      <w:marRight w:val="0"/>
      <w:marTop w:val="0"/>
      <w:marBottom w:val="0"/>
      <w:divBdr>
        <w:top w:val="none" w:sz="0" w:space="0" w:color="auto"/>
        <w:left w:val="none" w:sz="0" w:space="0" w:color="auto"/>
        <w:bottom w:val="none" w:sz="0" w:space="0" w:color="auto"/>
        <w:right w:val="none" w:sz="0" w:space="0" w:color="auto"/>
      </w:divBdr>
    </w:div>
    <w:div w:id="1507747450">
      <w:bodyDiv w:val="1"/>
      <w:marLeft w:val="0"/>
      <w:marRight w:val="0"/>
      <w:marTop w:val="0"/>
      <w:marBottom w:val="0"/>
      <w:divBdr>
        <w:top w:val="none" w:sz="0" w:space="0" w:color="auto"/>
        <w:left w:val="none" w:sz="0" w:space="0" w:color="auto"/>
        <w:bottom w:val="none" w:sz="0" w:space="0" w:color="auto"/>
        <w:right w:val="none" w:sz="0" w:space="0" w:color="auto"/>
      </w:divBdr>
    </w:div>
    <w:div w:id="1508902821">
      <w:bodyDiv w:val="1"/>
      <w:marLeft w:val="0"/>
      <w:marRight w:val="0"/>
      <w:marTop w:val="0"/>
      <w:marBottom w:val="0"/>
      <w:divBdr>
        <w:top w:val="none" w:sz="0" w:space="0" w:color="auto"/>
        <w:left w:val="none" w:sz="0" w:space="0" w:color="auto"/>
        <w:bottom w:val="none" w:sz="0" w:space="0" w:color="auto"/>
        <w:right w:val="none" w:sz="0" w:space="0" w:color="auto"/>
      </w:divBdr>
    </w:div>
    <w:div w:id="1509246226">
      <w:bodyDiv w:val="1"/>
      <w:marLeft w:val="0"/>
      <w:marRight w:val="0"/>
      <w:marTop w:val="0"/>
      <w:marBottom w:val="0"/>
      <w:divBdr>
        <w:top w:val="none" w:sz="0" w:space="0" w:color="auto"/>
        <w:left w:val="none" w:sz="0" w:space="0" w:color="auto"/>
        <w:bottom w:val="none" w:sz="0" w:space="0" w:color="auto"/>
        <w:right w:val="none" w:sz="0" w:space="0" w:color="auto"/>
      </w:divBdr>
    </w:div>
    <w:div w:id="1509445317">
      <w:bodyDiv w:val="1"/>
      <w:marLeft w:val="0"/>
      <w:marRight w:val="0"/>
      <w:marTop w:val="0"/>
      <w:marBottom w:val="0"/>
      <w:divBdr>
        <w:top w:val="none" w:sz="0" w:space="0" w:color="auto"/>
        <w:left w:val="none" w:sz="0" w:space="0" w:color="auto"/>
        <w:bottom w:val="none" w:sz="0" w:space="0" w:color="auto"/>
        <w:right w:val="none" w:sz="0" w:space="0" w:color="auto"/>
      </w:divBdr>
    </w:div>
    <w:div w:id="1509640989">
      <w:bodyDiv w:val="1"/>
      <w:marLeft w:val="0"/>
      <w:marRight w:val="0"/>
      <w:marTop w:val="0"/>
      <w:marBottom w:val="0"/>
      <w:divBdr>
        <w:top w:val="none" w:sz="0" w:space="0" w:color="auto"/>
        <w:left w:val="none" w:sz="0" w:space="0" w:color="auto"/>
        <w:bottom w:val="none" w:sz="0" w:space="0" w:color="auto"/>
        <w:right w:val="none" w:sz="0" w:space="0" w:color="auto"/>
      </w:divBdr>
    </w:div>
    <w:div w:id="1509949697">
      <w:bodyDiv w:val="1"/>
      <w:marLeft w:val="0"/>
      <w:marRight w:val="0"/>
      <w:marTop w:val="0"/>
      <w:marBottom w:val="0"/>
      <w:divBdr>
        <w:top w:val="none" w:sz="0" w:space="0" w:color="auto"/>
        <w:left w:val="none" w:sz="0" w:space="0" w:color="auto"/>
        <w:bottom w:val="none" w:sz="0" w:space="0" w:color="auto"/>
        <w:right w:val="none" w:sz="0" w:space="0" w:color="auto"/>
      </w:divBdr>
    </w:div>
    <w:div w:id="1511678819">
      <w:bodyDiv w:val="1"/>
      <w:marLeft w:val="0"/>
      <w:marRight w:val="0"/>
      <w:marTop w:val="0"/>
      <w:marBottom w:val="0"/>
      <w:divBdr>
        <w:top w:val="none" w:sz="0" w:space="0" w:color="auto"/>
        <w:left w:val="none" w:sz="0" w:space="0" w:color="auto"/>
        <w:bottom w:val="none" w:sz="0" w:space="0" w:color="auto"/>
        <w:right w:val="none" w:sz="0" w:space="0" w:color="auto"/>
      </w:divBdr>
    </w:div>
    <w:div w:id="1512066521">
      <w:bodyDiv w:val="1"/>
      <w:marLeft w:val="0"/>
      <w:marRight w:val="0"/>
      <w:marTop w:val="0"/>
      <w:marBottom w:val="0"/>
      <w:divBdr>
        <w:top w:val="none" w:sz="0" w:space="0" w:color="auto"/>
        <w:left w:val="none" w:sz="0" w:space="0" w:color="auto"/>
        <w:bottom w:val="none" w:sz="0" w:space="0" w:color="auto"/>
        <w:right w:val="none" w:sz="0" w:space="0" w:color="auto"/>
      </w:divBdr>
    </w:div>
    <w:div w:id="1512523041">
      <w:bodyDiv w:val="1"/>
      <w:marLeft w:val="0"/>
      <w:marRight w:val="0"/>
      <w:marTop w:val="0"/>
      <w:marBottom w:val="0"/>
      <w:divBdr>
        <w:top w:val="none" w:sz="0" w:space="0" w:color="auto"/>
        <w:left w:val="none" w:sz="0" w:space="0" w:color="auto"/>
        <w:bottom w:val="none" w:sz="0" w:space="0" w:color="auto"/>
        <w:right w:val="none" w:sz="0" w:space="0" w:color="auto"/>
      </w:divBdr>
    </w:div>
    <w:div w:id="1512603179">
      <w:bodyDiv w:val="1"/>
      <w:marLeft w:val="0"/>
      <w:marRight w:val="0"/>
      <w:marTop w:val="0"/>
      <w:marBottom w:val="0"/>
      <w:divBdr>
        <w:top w:val="none" w:sz="0" w:space="0" w:color="auto"/>
        <w:left w:val="none" w:sz="0" w:space="0" w:color="auto"/>
        <w:bottom w:val="none" w:sz="0" w:space="0" w:color="auto"/>
        <w:right w:val="none" w:sz="0" w:space="0" w:color="auto"/>
      </w:divBdr>
    </w:div>
    <w:div w:id="1512647964">
      <w:bodyDiv w:val="1"/>
      <w:marLeft w:val="0"/>
      <w:marRight w:val="0"/>
      <w:marTop w:val="0"/>
      <w:marBottom w:val="0"/>
      <w:divBdr>
        <w:top w:val="none" w:sz="0" w:space="0" w:color="auto"/>
        <w:left w:val="none" w:sz="0" w:space="0" w:color="auto"/>
        <w:bottom w:val="none" w:sz="0" w:space="0" w:color="auto"/>
        <w:right w:val="none" w:sz="0" w:space="0" w:color="auto"/>
      </w:divBdr>
    </w:div>
    <w:div w:id="1512720203">
      <w:bodyDiv w:val="1"/>
      <w:marLeft w:val="0"/>
      <w:marRight w:val="0"/>
      <w:marTop w:val="0"/>
      <w:marBottom w:val="0"/>
      <w:divBdr>
        <w:top w:val="none" w:sz="0" w:space="0" w:color="auto"/>
        <w:left w:val="none" w:sz="0" w:space="0" w:color="auto"/>
        <w:bottom w:val="none" w:sz="0" w:space="0" w:color="auto"/>
        <w:right w:val="none" w:sz="0" w:space="0" w:color="auto"/>
      </w:divBdr>
    </w:div>
    <w:div w:id="1513454112">
      <w:bodyDiv w:val="1"/>
      <w:marLeft w:val="0"/>
      <w:marRight w:val="0"/>
      <w:marTop w:val="0"/>
      <w:marBottom w:val="0"/>
      <w:divBdr>
        <w:top w:val="none" w:sz="0" w:space="0" w:color="auto"/>
        <w:left w:val="none" w:sz="0" w:space="0" w:color="auto"/>
        <w:bottom w:val="none" w:sz="0" w:space="0" w:color="auto"/>
        <w:right w:val="none" w:sz="0" w:space="0" w:color="auto"/>
      </w:divBdr>
    </w:div>
    <w:div w:id="1513569441">
      <w:bodyDiv w:val="1"/>
      <w:marLeft w:val="0"/>
      <w:marRight w:val="0"/>
      <w:marTop w:val="0"/>
      <w:marBottom w:val="0"/>
      <w:divBdr>
        <w:top w:val="none" w:sz="0" w:space="0" w:color="auto"/>
        <w:left w:val="none" w:sz="0" w:space="0" w:color="auto"/>
        <w:bottom w:val="none" w:sz="0" w:space="0" w:color="auto"/>
        <w:right w:val="none" w:sz="0" w:space="0" w:color="auto"/>
      </w:divBdr>
    </w:div>
    <w:div w:id="1514030462">
      <w:bodyDiv w:val="1"/>
      <w:marLeft w:val="0"/>
      <w:marRight w:val="0"/>
      <w:marTop w:val="0"/>
      <w:marBottom w:val="0"/>
      <w:divBdr>
        <w:top w:val="none" w:sz="0" w:space="0" w:color="auto"/>
        <w:left w:val="none" w:sz="0" w:space="0" w:color="auto"/>
        <w:bottom w:val="none" w:sz="0" w:space="0" w:color="auto"/>
        <w:right w:val="none" w:sz="0" w:space="0" w:color="auto"/>
      </w:divBdr>
    </w:div>
    <w:div w:id="1514343587">
      <w:bodyDiv w:val="1"/>
      <w:marLeft w:val="0"/>
      <w:marRight w:val="0"/>
      <w:marTop w:val="0"/>
      <w:marBottom w:val="0"/>
      <w:divBdr>
        <w:top w:val="none" w:sz="0" w:space="0" w:color="auto"/>
        <w:left w:val="none" w:sz="0" w:space="0" w:color="auto"/>
        <w:bottom w:val="none" w:sz="0" w:space="0" w:color="auto"/>
        <w:right w:val="none" w:sz="0" w:space="0" w:color="auto"/>
      </w:divBdr>
    </w:div>
    <w:div w:id="1514567526">
      <w:bodyDiv w:val="1"/>
      <w:marLeft w:val="0"/>
      <w:marRight w:val="0"/>
      <w:marTop w:val="0"/>
      <w:marBottom w:val="0"/>
      <w:divBdr>
        <w:top w:val="none" w:sz="0" w:space="0" w:color="auto"/>
        <w:left w:val="none" w:sz="0" w:space="0" w:color="auto"/>
        <w:bottom w:val="none" w:sz="0" w:space="0" w:color="auto"/>
        <w:right w:val="none" w:sz="0" w:space="0" w:color="auto"/>
      </w:divBdr>
    </w:div>
    <w:div w:id="1514607731">
      <w:bodyDiv w:val="1"/>
      <w:marLeft w:val="0"/>
      <w:marRight w:val="0"/>
      <w:marTop w:val="0"/>
      <w:marBottom w:val="0"/>
      <w:divBdr>
        <w:top w:val="none" w:sz="0" w:space="0" w:color="auto"/>
        <w:left w:val="none" w:sz="0" w:space="0" w:color="auto"/>
        <w:bottom w:val="none" w:sz="0" w:space="0" w:color="auto"/>
        <w:right w:val="none" w:sz="0" w:space="0" w:color="auto"/>
      </w:divBdr>
    </w:div>
    <w:div w:id="1514609498">
      <w:bodyDiv w:val="1"/>
      <w:marLeft w:val="0"/>
      <w:marRight w:val="0"/>
      <w:marTop w:val="0"/>
      <w:marBottom w:val="0"/>
      <w:divBdr>
        <w:top w:val="none" w:sz="0" w:space="0" w:color="auto"/>
        <w:left w:val="none" w:sz="0" w:space="0" w:color="auto"/>
        <w:bottom w:val="none" w:sz="0" w:space="0" w:color="auto"/>
        <w:right w:val="none" w:sz="0" w:space="0" w:color="auto"/>
      </w:divBdr>
    </w:div>
    <w:div w:id="1515151882">
      <w:bodyDiv w:val="1"/>
      <w:marLeft w:val="0"/>
      <w:marRight w:val="0"/>
      <w:marTop w:val="0"/>
      <w:marBottom w:val="0"/>
      <w:divBdr>
        <w:top w:val="none" w:sz="0" w:space="0" w:color="auto"/>
        <w:left w:val="none" w:sz="0" w:space="0" w:color="auto"/>
        <w:bottom w:val="none" w:sz="0" w:space="0" w:color="auto"/>
        <w:right w:val="none" w:sz="0" w:space="0" w:color="auto"/>
      </w:divBdr>
    </w:div>
    <w:div w:id="1515612113">
      <w:bodyDiv w:val="1"/>
      <w:marLeft w:val="0"/>
      <w:marRight w:val="0"/>
      <w:marTop w:val="0"/>
      <w:marBottom w:val="0"/>
      <w:divBdr>
        <w:top w:val="none" w:sz="0" w:space="0" w:color="auto"/>
        <w:left w:val="none" w:sz="0" w:space="0" w:color="auto"/>
        <w:bottom w:val="none" w:sz="0" w:space="0" w:color="auto"/>
        <w:right w:val="none" w:sz="0" w:space="0" w:color="auto"/>
      </w:divBdr>
    </w:div>
    <w:div w:id="1516647019">
      <w:bodyDiv w:val="1"/>
      <w:marLeft w:val="0"/>
      <w:marRight w:val="0"/>
      <w:marTop w:val="0"/>
      <w:marBottom w:val="0"/>
      <w:divBdr>
        <w:top w:val="none" w:sz="0" w:space="0" w:color="auto"/>
        <w:left w:val="none" w:sz="0" w:space="0" w:color="auto"/>
        <w:bottom w:val="none" w:sz="0" w:space="0" w:color="auto"/>
        <w:right w:val="none" w:sz="0" w:space="0" w:color="auto"/>
      </w:divBdr>
    </w:div>
    <w:div w:id="1516847646">
      <w:bodyDiv w:val="1"/>
      <w:marLeft w:val="0"/>
      <w:marRight w:val="0"/>
      <w:marTop w:val="0"/>
      <w:marBottom w:val="0"/>
      <w:divBdr>
        <w:top w:val="none" w:sz="0" w:space="0" w:color="auto"/>
        <w:left w:val="none" w:sz="0" w:space="0" w:color="auto"/>
        <w:bottom w:val="none" w:sz="0" w:space="0" w:color="auto"/>
        <w:right w:val="none" w:sz="0" w:space="0" w:color="auto"/>
      </w:divBdr>
    </w:div>
    <w:div w:id="1518037110">
      <w:bodyDiv w:val="1"/>
      <w:marLeft w:val="0"/>
      <w:marRight w:val="0"/>
      <w:marTop w:val="0"/>
      <w:marBottom w:val="0"/>
      <w:divBdr>
        <w:top w:val="none" w:sz="0" w:space="0" w:color="auto"/>
        <w:left w:val="none" w:sz="0" w:space="0" w:color="auto"/>
        <w:bottom w:val="none" w:sz="0" w:space="0" w:color="auto"/>
        <w:right w:val="none" w:sz="0" w:space="0" w:color="auto"/>
      </w:divBdr>
      <w:divsChild>
        <w:div w:id="894925251">
          <w:marLeft w:val="480"/>
          <w:marRight w:val="0"/>
          <w:marTop w:val="0"/>
          <w:marBottom w:val="0"/>
          <w:divBdr>
            <w:top w:val="none" w:sz="0" w:space="0" w:color="auto"/>
            <w:left w:val="none" w:sz="0" w:space="0" w:color="auto"/>
            <w:bottom w:val="none" w:sz="0" w:space="0" w:color="auto"/>
            <w:right w:val="none" w:sz="0" w:space="0" w:color="auto"/>
          </w:divBdr>
        </w:div>
        <w:div w:id="117337360">
          <w:marLeft w:val="480"/>
          <w:marRight w:val="0"/>
          <w:marTop w:val="0"/>
          <w:marBottom w:val="0"/>
          <w:divBdr>
            <w:top w:val="none" w:sz="0" w:space="0" w:color="auto"/>
            <w:left w:val="none" w:sz="0" w:space="0" w:color="auto"/>
            <w:bottom w:val="none" w:sz="0" w:space="0" w:color="auto"/>
            <w:right w:val="none" w:sz="0" w:space="0" w:color="auto"/>
          </w:divBdr>
        </w:div>
        <w:div w:id="257175345">
          <w:marLeft w:val="480"/>
          <w:marRight w:val="0"/>
          <w:marTop w:val="0"/>
          <w:marBottom w:val="0"/>
          <w:divBdr>
            <w:top w:val="none" w:sz="0" w:space="0" w:color="auto"/>
            <w:left w:val="none" w:sz="0" w:space="0" w:color="auto"/>
            <w:bottom w:val="none" w:sz="0" w:space="0" w:color="auto"/>
            <w:right w:val="none" w:sz="0" w:space="0" w:color="auto"/>
          </w:divBdr>
        </w:div>
        <w:div w:id="1207639866">
          <w:marLeft w:val="480"/>
          <w:marRight w:val="0"/>
          <w:marTop w:val="0"/>
          <w:marBottom w:val="0"/>
          <w:divBdr>
            <w:top w:val="none" w:sz="0" w:space="0" w:color="auto"/>
            <w:left w:val="none" w:sz="0" w:space="0" w:color="auto"/>
            <w:bottom w:val="none" w:sz="0" w:space="0" w:color="auto"/>
            <w:right w:val="none" w:sz="0" w:space="0" w:color="auto"/>
          </w:divBdr>
        </w:div>
        <w:div w:id="263004087">
          <w:marLeft w:val="480"/>
          <w:marRight w:val="0"/>
          <w:marTop w:val="0"/>
          <w:marBottom w:val="0"/>
          <w:divBdr>
            <w:top w:val="none" w:sz="0" w:space="0" w:color="auto"/>
            <w:left w:val="none" w:sz="0" w:space="0" w:color="auto"/>
            <w:bottom w:val="none" w:sz="0" w:space="0" w:color="auto"/>
            <w:right w:val="none" w:sz="0" w:space="0" w:color="auto"/>
          </w:divBdr>
        </w:div>
        <w:div w:id="1258518033">
          <w:marLeft w:val="480"/>
          <w:marRight w:val="0"/>
          <w:marTop w:val="0"/>
          <w:marBottom w:val="0"/>
          <w:divBdr>
            <w:top w:val="none" w:sz="0" w:space="0" w:color="auto"/>
            <w:left w:val="none" w:sz="0" w:space="0" w:color="auto"/>
            <w:bottom w:val="none" w:sz="0" w:space="0" w:color="auto"/>
            <w:right w:val="none" w:sz="0" w:space="0" w:color="auto"/>
          </w:divBdr>
        </w:div>
        <w:div w:id="1559896525">
          <w:marLeft w:val="480"/>
          <w:marRight w:val="0"/>
          <w:marTop w:val="0"/>
          <w:marBottom w:val="0"/>
          <w:divBdr>
            <w:top w:val="none" w:sz="0" w:space="0" w:color="auto"/>
            <w:left w:val="none" w:sz="0" w:space="0" w:color="auto"/>
            <w:bottom w:val="none" w:sz="0" w:space="0" w:color="auto"/>
            <w:right w:val="none" w:sz="0" w:space="0" w:color="auto"/>
          </w:divBdr>
        </w:div>
        <w:div w:id="568348318">
          <w:marLeft w:val="480"/>
          <w:marRight w:val="0"/>
          <w:marTop w:val="0"/>
          <w:marBottom w:val="0"/>
          <w:divBdr>
            <w:top w:val="none" w:sz="0" w:space="0" w:color="auto"/>
            <w:left w:val="none" w:sz="0" w:space="0" w:color="auto"/>
            <w:bottom w:val="none" w:sz="0" w:space="0" w:color="auto"/>
            <w:right w:val="none" w:sz="0" w:space="0" w:color="auto"/>
          </w:divBdr>
        </w:div>
        <w:div w:id="159395422">
          <w:marLeft w:val="480"/>
          <w:marRight w:val="0"/>
          <w:marTop w:val="0"/>
          <w:marBottom w:val="0"/>
          <w:divBdr>
            <w:top w:val="none" w:sz="0" w:space="0" w:color="auto"/>
            <w:left w:val="none" w:sz="0" w:space="0" w:color="auto"/>
            <w:bottom w:val="none" w:sz="0" w:space="0" w:color="auto"/>
            <w:right w:val="none" w:sz="0" w:space="0" w:color="auto"/>
          </w:divBdr>
        </w:div>
        <w:div w:id="1766028435">
          <w:marLeft w:val="480"/>
          <w:marRight w:val="0"/>
          <w:marTop w:val="0"/>
          <w:marBottom w:val="0"/>
          <w:divBdr>
            <w:top w:val="none" w:sz="0" w:space="0" w:color="auto"/>
            <w:left w:val="none" w:sz="0" w:space="0" w:color="auto"/>
            <w:bottom w:val="none" w:sz="0" w:space="0" w:color="auto"/>
            <w:right w:val="none" w:sz="0" w:space="0" w:color="auto"/>
          </w:divBdr>
        </w:div>
        <w:div w:id="242686115">
          <w:marLeft w:val="480"/>
          <w:marRight w:val="0"/>
          <w:marTop w:val="0"/>
          <w:marBottom w:val="0"/>
          <w:divBdr>
            <w:top w:val="none" w:sz="0" w:space="0" w:color="auto"/>
            <w:left w:val="none" w:sz="0" w:space="0" w:color="auto"/>
            <w:bottom w:val="none" w:sz="0" w:space="0" w:color="auto"/>
            <w:right w:val="none" w:sz="0" w:space="0" w:color="auto"/>
          </w:divBdr>
        </w:div>
        <w:div w:id="973482710">
          <w:marLeft w:val="480"/>
          <w:marRight w:val="0"/>
          <w:marTop w:val="0"/>
          <w:marBottom w:val="0"/>
          <w:divBdr>
            <w:top w:val="none" w:sz="0" w:space="0" w:color="auto"/>
            <w:left w:val="none" w:sz="0" w:space="0" w:color="auto"/>
            <w:bottom w:val="none" w:sz="0" w:space="0" w:color="auto"/>
            <w:right w:val="none" w:sz="0" w:space="0" w:color="auto"/>
          </w:divBdr>
        </w:div>
        <w:div w:id="561868526">
          <w:marLeft w:val="480"/>
          <w:marRight w:val="0"/>
          <w:marTop w:val="0"/>
          <w:marBottom w:val="0"/>
          <w:divBdr>
            <w:top w:val="none" w:sz="0" w:space="0" w:color="auto"/>
            <w:left w:val="none" w:sz="0" w:space="0" w:color="auto"/>
            <w:bottom w:val="none" w:sz="0" w:space="0" w:color="auto"/>
            <w:right w:val="none" w:sz="0" w:space="0" w:color="auto"/>
          </w:divBdr>
        </w:div>
        <w:div w:id="978073011">
          <w:marLeft w:val="480"/>
          <w:marRight w:val="0"/>
          <w:marTop w:val="0"/>
          <w:marBottom w:val="0"/>
          <w:divBdr>
            <w:top w:val="none" w:sz="0" w:space="0" w:color="auto"/>
            <w:left w:val="none" w:sz="0" w:space="0" w:color="auto"/>
            <w:bottom w:val="none" w:sz="0" w:space="0" w:color="auto"/>
            <w:right w:val="none" w:sz="0" w:space="0" w:color="auto"/>
          </w:divBdr>
        </w:div>
        <w:div w:id="299849689">
          <w:marLeft w:val="480"/>
          <w:marRight w:val="0"/>
          <w:marTop w:val="0"/>
          <w:marBottom w:val="0"/>
          <w:divBdr>
            <w:top w:val="none" w:sz="0" w:space="0" w:color="auto"/>
            <w:left w:val="none" w:sz="0" w:space="0" w:color="auto"/>
            <w:bottom w:val="none" w:sz="0" w:space="0" w:color="auto"/>
            <w:right w:val="none" w:sz="0" w:space="0" w:color="auto"/>
          </w:divBdr>
        </w:div>
        <w:div w:id="2095737480">
          <w:marLeft w:val="480"/>
          <w:marRight w:val="0"/>
          <w:marTop w:val="0"/>
          <w:marBottom w:val="0"/>
          <w:divBdr>
            <w:top w:val="none" w:sz="0" w:space="0" w:color="auto"/>
            <w:left w:val="none" w:sz="0" w:space="0" w:color="auto"/>
            <w:bottom w:val="none" w:sz="0" w:space="0" w:color="auto"/>
            <w:right w:val="none" w:sz="0" w:space="0" w:color="auto"/>
          </w:divBdr>
        </w:div>
        <w:div w:id="428087205">
          <w:marLeft w:val="480"/>
          <w:marRight w:val="0"/>
          <w:marTop w:val="0"/>
          <w:marBottom w:val="0"/>
          <w:divBdr>
            <w:top w:val="none" w:sz="0" w:space="0" w:color="auto"/>
            <w:left w:val="none" w:sz="0" w:space="0" w:color="auto"/>
            <w:bottom w:val="none" w:sz="0" w:space="0" w:color="auto"/>
            <w:right w:val="none" w:sz="0" w:space="0" w:color="auto"/>
          </w:divBdr>
        </w:div>
        <w:div w:id="976573095">
          <w:marLeft w:val="480"/>
          <w:marRight w:val="0"/>
          <w:marTop w:val="0"/>
          <w:marBottom w:val="0"/>
          <w:divBdr>
            <w:top w:val="none" w:sz="0" w:space="0" w:color="auto"/>
            <w:left w:val="none" w:sz="0" w:space="0" w:color="auto"/>
            <w:bottom w:val="none" w:sz="0" w:space="0" w:color="auto"/>
            <w:right w:val="none" w:sz="0" w:space="0" w:color="auto"/>
          </w:divBdr>
        </w:div>
        <w:div w:id="269623933">
          <w:marLeft w:val="480"/>
          <w:marRight w:val="0"/>
          <w:marTop w:val="0"/>
          <w:marBottom w:val="0"/>
          <w:divBdr>
            <w:top w:val="none" w:sz="0" w:space="0" w:color="auto"/>
            <w:left w:val="none" w:sz="0" w:space="0" w:color="auto"/>
            <w:bottom w:val="none" w:sz="0" w:space="0" w:color="auto"/>
            <w:right w:val="none" w:sz="0" w:space="0" w:color="auto"/>
          </w:divBdr>
        </w:div>
        <w:div w:id="1452435929">
          <w:marLeft w:val="480"/>
          <w:marRight w:val="0"/>
          <w:marTop w:val="0"/>
          <w:marBottom w:val="0"/>
          <w:divBdr>
            <w:top w:val="none" w:sz="0" w:space="0" w:color="auto"/>
            <w:left w:val="none" w:sz="0" w:space="0" w:color="auto"/>
            <w:bottom w:val="none" w:sz="0" w:space="0" w:color="auto"/>
            <w:right w:val="none" w:sz="0" w:space="0" w:color="auto"/>
          </w:divBdr>
        </w:div>
        <w:div w:id="408774165">
          <w:marLeft w:val="480"/>
          <w:marRight w:val="0"/>
          <w:marTop w:val="0"/>
          <w:marBottom w:val="0"/>
          <w:divBdr>
            <w:top w:val="none" w:sz="0" w:space="0" w:color="auto"/>
            <w:left w:val="none" w:sz="0" w:space="0" w:color="auto"/>
            <w:bottom w:val="none" w:sz="0" w:space="0" w:color="auto"/>
            <w:right w:val="none" w:sz="0" w:space="0" w:color="auto"/>
          </w:divBdr>
        </w:div>
        <w:div w:id="1545437093">
          <w:marLeft w:val="480"/>
          <w:marRight w:val="0"/>
          <w:marTop w:val="0"/>
          <w:marBottom w:val="0"/>
          <w:divBdr>
            <w:top w:val="none" w:sz="0" w:space="0" w:color="auto"/>
            <w:left w:val="none" w:sz="0" w:space="0" w:color="auto"/>
            <w:bottom w:val="none" w:sz="0" w:space="0" w:color="auto"/>
            <w:right w:val="none" w:sz="0" w:space="0" w:color="auto"/>
          </w:divBdr>
        </w:div>
        <w:div w:id="1816986621">
          <w:marLeft w:val="480"/>
          <w:marRight w:val="0"/>
          <w:marTop w:val="0"/>
          <w:marBottom w:val="0"/>
          <w:divBdr>
            <w:top w:val="none" w:sz="0" w:space="0" w:color="auto"/>
            <w:left w:val="none" w:sz="0" w:space="0" w:color="auto"/>
            <w:bottom w:val="none" w:sz="0" w:space="0" w:color="auto"/>
            <w:right w:val="none" w:sz="0" w:space="0" w:color="auto"/>
          </w:divBdr>
        </w:div>
        <w:div w:id="1090856970">
          <w:marLeft w:val="480"/>
          <w:marRight w:val="0"/>
          <w:marTop w:val="0"/>
          <w:marBottom w:val="0"/>
          <w:divBdr>
            <w:top w:val="none" w:sz="0" w:space="0" w:color="auto"/>
            <w:left w:val="none" w:sz="0" w:space="0" w:color="auto"/>
            <w:bottom w:val="none" w:sz="0" w:space="0" w:color="auto"/>
            <w:right w:val="none" w:sz="0" w:space="0" w:color="auto"/>
          </w:divBdr>
        </w:div>
        <w:div w:id="763652354">
          <w:marLeft w:val="480"/>
          <w:marRight w:val="0"/>
          <w:marTop w:val="0"/>
          <w:marBottom w:val="0"/>
          <w:divBdr>
            <w:top w:val="none" w:sz="0" w:space="0" w:color="auto"/>
            <w:left w:val="none" w:sz="0" w:space="0" w:color="auto"/>
            <w:bottom w:val="none" w:sz="0" w:space="0" w:color="auto"/>
            <w:right w:val="none" w:sz="0" w:space="0" w:color="auto"/>
          </w:divBdr>
        </w:div>
        <w:div w:id="735326295">
          <w:marLeft w:val="480"/>
          <w:marRight w:val="0"/>
          <w:marTop w:val="0"/>
          <w:marBottom w:val="0"/>
          <w:divBdr>
            <w:top w:val="none" w:sz="0" w:space="0" w:color="auto"/>
            <w:left w:val="none" w:sz="0" w:space="0" w:color="auto"/>
            <w:bottom w:val="none" w:sz="0" w:space="0" w:color="auto"/>
            <w:right w:val="none" w:sz="0" w:space="0" w:color="auto"/>
          </w:divBdr>
        </w:div>
        <w:div w:id="1628507173">
          <w:marLeft w:val="480"/>
          <w:marRight w:val="0"/>
          <w:marTop w:val="0"/>
          <w:marBottom w:val="0"/>
          <w:divBdr>
            <w:top w:val="none" w:sz="0" w:space="0" w:color="auto"/>
            <w:left w:val="none" w:sz="0" w:space="0" w:color="auto"/>
            <w:bottom w:val="none" w:sz="0" w:space="0" w:color="auto"/>
            <w:right w:val="none" w:sz="0" w:space="0" w:color="auto"/>
          </w:divBdr>
        </w:div>
        <w:div w:id="1711951030">
          <w:marLeft w:val="480"/>
          <w:marRight w:val="0"/>
          <w:marTop w:val="0"/>
          <w:marBottom w:val="0"/>
          <w:divBdr>
            <w:top w:val="none" w:sz="0" w:space="0" w:color="auto"/>
            <w:left w:val="none" w:sz="0" w:space="0" w:color="auto"/>
            <w:bottom w:val="none" w:sz="0" w:space="0" w:color="auto"/>
            <w:right w:val="none" w:sz="0" w:space="0" w:color="auto"/>
          </w:divBdr>
        </w:div>
        <w:div w:id="1676229065">
          <w:marLeft w:val="480"/>
          <w:marRight w:val="0"/>
          <w:marTop w:val="0"/>
          <w:marBottom w:val="0"/>
          <w:divBdr>
            <w:top w:val="none" w:sz="0" w:space="0" w:color="auto"/>
            <w:left w:val="none" w:sz="0" w:space="0" w:color="auto"/>
            <w:bottom w:val="none" w:sz="0" w:space="0" w:color="auto"/>
            <w:right w:val="none" w:sz="0" w:space="0" w:color="auto"/>
          </w:divBdr>
        </w:div>
        <w:div w:id="1686328414">
          <w:marLeft w:val="480"/>
          <w:marRight w:val="0"/>
          <w:marTop w:val="0"/>
          <w:marBottom w:val="0"/>
          <w:divBdr>
            <w:top w:val="none" w:sz="0" w:space="0" w:color="auto"/>
            <w:left w:val="none" w:sz="0" w:space="0" w:color="auto"/>
            <w:bottom w:val="none" w:sz="0" w:space="0" w:color="auto"/>
            <w:right w:val="none" w:sz="0" w:space="0" w:color="auto"/>
          </w:divBdr>
        </w:div>
        <w:div w:id="1930189115">
          <w:marLeft w:val="480"/>
          <w:marRight w:val="0"/>
          <w:marTop w:val="0"/>
          <w:marBottom w:val="0"/>
          <w:divBdr>
            <w:top w:val="none" w:sz="0" w:space="0" w:color="auto"/>
            <w:left w:val="none" w:sz="0" w:space="0" w:color="auto"/>
            <w:bottom w:val="none" w:sz="0" w:space="0" w:color="auto"/>
            <w:right w:val="none" w:sz="0" w:space="0" w:color="auto"/>
          </w:divBdr>
        </w:div>
        <w:div w:id="2028824943">
          <w:marLeft w:val="480"/>
          <w:marRight w:val="0"/>
          <w:marTop w:val="0"/>
          <w:marBottom w:val="0"/>
          <w:divBdr>
            <w:top w:val="none" w:sz="0" w:space="0" w:color="auto"/>
            <w:left w:val="none" w:sz="0" w:space="0" w:color="auto"/>
            <w:bottom w:val="none" w:sz="0" w:space="0" w:color="auto"/>
            <w:right w:val="none" w:sz="0" w:space="0" w:color="auto"/>
          </w:divBdr>
        </w:div>
        <w:div w:id="1617176680">
          <w:marLeft w:val="480"/>
          <w:marRight w:val="0"/>
          <w:marTop w:val="0"/>
          <w:marBottom w:val="0"/>
          <w:divBdr>
            <w:top w:val="none" w:sz="0" w:space="0" w:color="auto"/>
            <w:left w:val="none" w:sz="0" w:space="0" w:color="auto"/>
            <w:bottom w:val="none" w:sz="0" w:space="0" w:color="auto"/>
            <w:right w:val="none" w:sz="0" w:space="0" w:color="auto"/>
          </w:divBdr>
        </w:div>
        <w:div w:id="2033724323">
          <w:marLeft w:val="480"/>
          <w:marRight w:val="0"/>
          <w:marTop w:val="0"/>
          <w:marBottom w:val="0"/>
          <w:divBdr>
            <w:top w:val="none" w:sz="0" w:space="0" w:color="auto"/>
            <w:left w:val="none" w:sz="0" w:space="0" w:color="auto"/>
            <w:bottom w:val="none" w:sz="0" w:space="0" w:color="auto"/>
            <w:right w:val="none" w:sz="0" w:space="0" w:color="auto"/>
          </w:divBdr>
        </w:div>
        <w:div w:id="1077633082">
          <w:marLeft w:val="480"/>
          <w:marRight w:val="0"/>
          <w:marTop w:val="0"/>
          <w:marBottom w:val="0"/>
          <w:divBdr>
            <w:top w:val="none" w:sz="0" w:space="0" w:color="auto"/>
            <w:left w:val="none" w:sz="0" w:space="0" w:color="auto"/>
            <w:bottom w:val="none" w:sz="0" w:space="0" w:color="auto"/>
            <w:right w:val="none" w:sz="0" w:space="0" w:color="auto"/>
          </w:divBdr>
        </w:div>
        <w:div w:id="447625392">
          <w:marLeft w:val="480"/>
          <w:marRight w:val="0"/>
          <w:marTop w:val="0"/>
          <w:marBottom w:val="0"/>
          <w:divBdr>
            <w:top w:val="none" w:sz="0" w:space="0" w:color="auto"/>
            <w:left w:val="none" w:sz="0" w:space="0" w:color="auto"/>
            <w:bottom w:val="none" w:sz="0" w:space="0" w:color="auto"/>
            <w:right w:val="none" w:sz="0" w:space="0" w:color="auto"/>
          </w:divBdr>
        </w:div>
        <w:div w:id="560136764">
          <w:marLeft w:val="480"/>
          <w:marRight w:val="0"/>
          <w:marTop w:val="0"/>
          <w:marBottom w:val="0"/>
          <w:divBdr>
            <w:top w:val="none" w:sz="0" w:space="0" w:color="auto"/>
            <w:left w:val="none" w:sz="0" w:space="0" w:color="auto"/>
            <w:bottom w:val="none" w:sz="0" w:space="0" w:color="auto"/>
            <w:right w:val="none" w:sz="0" w:space="0" w:color="auto"/>
          </w:divBdr>
        </w:div>
        <w:div w:id="394813990">
          <w:marLeft w:val="480"/>
          <w:marRight w:val="0"/>
          <w:marTop w:val="0"/>
          <w:marBottom w:val="0"/>
          <w:divBdr>
            <w:top w:val="none" w:sz="0" w:space="0" w:color="auto"/>
            <w:left w:val="none" w:sz="0" w:space="0" w:color="auto"/>
            <w:bottom w:val="none" w:sz="0" w:space="0" w:color="auto"/>
            <w:right w:val="none" w:sz="0" w:space="0" w:color="auto"/>
          </w:divBdr>
        </w:div>
        <w:div w:id="1546680734">
          <w:marLeft w:val="480"/>
          <w:marRight w:val="0"/>
          <w:marTop w:val="0"/>
          <w:marBottom w:val="0"/>
          <w:divBdr>
            <w:top w:val="none" w:sz="0" w:space="0" w:color="auto"/>
            <w:left w:val="none" w:sz="0" w:space="0" w:color="auto"/>
            <w:bottom w:val="none" w:sz="0" w:space="0" w:color="auto"/>
            <w:right w:val="none" w:sz="0" w:space="0" w:color="auto"/>
          </w:divBdr>
        </w:div>
        <w:div w:id="1143546499">
          <w:marLeft w:val="480"/>
          <w:marRight w:val="0"/>
          <w:marTop w:val="0"/>
          <w:marBottom w:val="0"/>
          <w:divBdr>
            <w:top w:val="none" w:sz="0" w:space="0" w:color="auto"/>
            <w:left w:val="none" w:sz="0" w:space="0" w:color="auto"/>
            <w:bottom w:val="none" w:sz="0" w:space="0" w:color="auto"/>
            <w:right w:val="none" w:sz="0" w:space="0" w:color="auto"/>
          </w:divBdr>
        </w:div>
        <w:div w:id="285739856">
          <w:marLeft w:val="480"/>
          <w:marRight w:val="0"/>
          <w:marTop w:val="0"/>
          <w:marBottom w:val="0"/>
          <w:divBdr>
            <w:top w:val="none" w:sz="0" w:space="0" w:color="auto"/>
            <w:left w:val="none" w:sz="0" w:space="0" w:color="auto"/>
            <w:bottom w:val="none" w:sz="0" w:space="0" w:color="auto"/>
            <w:right w:val="none" w:sz="0" w:space="0" w:color="auto"/>
          </w:divBdr>
        </w:div>
        <w:div w:id="1162813776">
          <w:marLeft w:val="480"/>
          <w:marRight w:val="0"/>
          <w:marTop w:val="0"/>
          <w:marBottom w:val="0"/>
          <w:divBdr>
            <w:top w:val="none" w:sz="0" w:space="0" w:color="auto"/>
            <w:left w:val="none" w:sz="0" w:space="0" w:color="auto"/>
            <w:bottom w:val="none" w:sz="0" w:space="0" w:color="auto"/>
            <w:right w:val="none" w:sz="0" w:space="0" w:color="auto"/>
          </w:divBdr>
        </w:div>
        <w:div w:id="2100329191">
          <w:marLeft w:val="480"/>
          <w:marRight w:val="0"/>
          <w:marTop w:val="0"/>
          <w:marBottom w:val="0"/>
          <w:divBdr>
            <w:top w:val="none" w:sz="0" w:space="0" w:color="auto"/>
            <w:left w:val="none" w:sz="0" w:space="0" w:color="auto"/>
            <w:bottom w:val="none" w:sz="0" w:space="0" w:color="auto"/>
            <w:right w:val="none" w:sz="0" w:space="0" w:color="auto"/>
          </w:divBdr>
        </w:div>
        <w:div w:id="2100371844">
          <w:marLeft w:val="480"/>
          <w:marRight w:val="0"/>
          <w:marTop w:val="0"/>
          <w:marBottom w:val="0"/>
          <w:divBdr>
            <w:top w:val="none" w:sz="0" w:space="0" w:color="auto"/>
            <w:left w:val="none" w:sz="0" w:space="0" w:color="auto"/>
            <w:bottom w:val="none" w:sz="0" w:space="0" w:color="auto"/>
            <w:right w:val="none" w:sz="0" w:space="0" w:color="auto"/>
          </w:divBdr>
        </w:div>
        <w:div w:id="1397433206">
          <w:marLeft w:val="480"/>
          <w:marRight w:val="0"/>
          <w:marTop w:val="0"/>
          <w:marBottom w:val="0"/>
          <w:divBdr>
            <w:top w:val="none" w:sz="0" w:space="0" w:color="auto"/>
            <w:left w:val="none" w:sz="0" w:space="0" w:color="auto"/>
            <w:bottom w:val="none" w:sz="0" w:space="0" w:color="auto"/>
            <w:right w:val="none" w:sz="0" w:space="0" w:color="auto"/>
          </w:divBdr>
        </w:div>
        <w:div w:id="1345547792">
          <w:marLeft w:val="480"/>
          <w:marRight w:val="0"/>
          <w:marTop w:val="0"/>
          <w:marBottom w:val="0"/>
          <w:divBdr>
            <w:top w:val="none" w:sz="0" w:space="0" w:color="auto"/>
            <w:left w:val="none" w:sz="0" w:space="0" w:color="auto"/>
            <w:bottom w:val="none" w:sz="0" w:space="0" w:color="auto"/>
            <w:right w:val="none" w:sz="0" w:space="0" w:color="auto"/>
          </w:divBdr>
        </w:div>
        <w:div w:id="248396012">
          <w:marLeft w:val="480"/>
          <w:marRight w:val="0"/>
          <w:marTop w:val="0"/>
          <w:marBottom w:val="0"/>
          <w:divBdr>
            <w:top w:val="none" w:sz="0" w:space="0" w:color="auto"/>
            <w:left w:val="none" w:sz="0" w:space="0" w:color="auto"/>
            <w:bottom w:val="none" w:sz="0" w:space="0" w:color="auto"/>
            <w:right w:val="none" w:sz="0" w:space="0" w:color="auto"/>
          </w:divBdr>
        </w:div>
        <w:div w:id="208344044">
          <w:marLeft w:val="480"/>
          <w:marRight w:val="0"/>
          <w:marTop w:val="0"/>
          <w:marBottom w:val="0"/>
          <w:divBdr>
            <w:top w:val="none" w:sz="0" w:space="0" w:color="auto"/>
            <w:left w:val="none" w:sz="0" w:space="0" w:color="auto"/>
            <w:bottom w:val="none" w:sz="0" w:space="0" w:color="auto"/>
            <w:right w:val="none" w:sz="0" w:space="0" w:color="auto"/>
          </w:divBdr>
        </w:div>
        <w:div w:id="2084793451">
          <w:marLeft w:val="480"/>
          <w:marRight w:val="0"/>
          <w:marTop w:val="0"/>
          <w:marBottom w:val="0"/>
          <w:divBdr>
            <w:top w:val="none" w:sz="0" w:space="0" w:color="auto"/>
            <w:left w:val="none" w:sz="0" w:space="0" w:color="auto"/>
            <w:bottom w:val="none" w:sz="0" w:space="0" w:color="auto"/>
            <w:right w:val="none" w:sz="0" w:space="0" w:color="auto"/>
          </w:divBdr>
        </w:div>
        <w:div w:id="927467525">
          <w:marLeft w:val="480"/>
          <w:marRight w:val="0"/>
          <w:marTop w:val="0"/>
          <w:marBottom w:val="0"/>
          <w:divBdr>
            <w:top w:val="none" w:sz="0" w:space="0" w:color="auto"/>
            <w:left w:val="none" w:sz="0" w:space="0" w:color="auto"/>
            <w:bottom w:val="none" w:sz="0" w:space="0" w:color="auto"/>
            <w:right w:val="none" w:sz="0" w:space="0" w:color="auto"/>
          </w:divBdr>
        </w:div>
        <w:div w:id="1936399178">
          <w:marLeft w:val="480"/>
          <w:marRight w:val="0"/>
          <w:marTop w:val="0"/>
          <w:marBottom w:val="0"/>
          <w:divBdr>
            <w:top w:val="none" w:sz="0" w:space="0" w:color="auto"/>
            <w:left w:val="none" w:sz="0" w:space="0" w:color="auto"/>
            <w:bottom w:val="none" w:sz="0" w:space="0" w:color="auto"/>
            <w:right w:val="none" w:sz="0" w:space="0" w:color="auto"/>
          </w:divBdr>
        </w:div>
        <w:div w:id="772820055">
          <w:marLeft w:val="480"/>
          <w:marRight w:val="0"/>
          <w:marTop w:val="0"/>
          <w:marBottom w:val="0"/>
          <w:divBdr>
            <w:top w:val="none" w:sz="0" w:space="0" w:color="auto"/>
            <w:left w:val="none" w:sz="0" w:space="0" w:color="auto"/>
            <w:bottom w:val="none" w:sz="0" w:space="0" w:color="auto"/>
            <w:right w:val="none" w:sz="0" w:space="0" w:color="auto"/>
          </w:divBdr>
        </w:div>
        <w:div w:id="1269967422">
          <w:marLeft w:val="480"/>
          <w:marRight w:val="0"/>
          <w:marTop w:val="0"/>
          <w:marBottom w:val="0"/>
          <w:divBdr>
            <w:top w:val="none" w:sz="0" w:space="0" w:color="auto"/>
            <w:left w:val="none" w:sz="0" w:space="0" w:color="auto"/>
            <w:bottom w:val="none" w:sz="0" w:space="0" w:color="auto"/>
            <w:right w:val="none" w:sz="0" w:space="0" w:color="auto"/>
          </w:divBdr>
        </w:div>
        <w:div w:id="1736312595">
          <w:marLeft w:val="480"/>
          <w:marRight w:val="0"/>
          <w:marTop w:val="0"/>
          <w:marBottom w:val="0"/>
          <w:divBdr>
            <w:top w:val="none" w:sz="0" w:space="0" w:color="auto"/>
            <w:left w:val="none" w:sz="0" w:space="0" w:color="auto"/>
            <w:bottom w:val="none" w:sz="0" w:space="0" w:color="auto"/>
            <w:right w:val="none" w:sz="0" w:space="0" w:color="auto"/>
          </w:divBdr>
        </w:div>
        <w:div w:id="336924946">
          <w:marLeft w:val="480"/>
          <w:marRight w:val="0"/>
          <w:marTop w:val="0"/>
          <w:marBottom w:val="0"/>
          <w:divBdr>
            <w:top w:val="none" w:sz="0" w:space="0" w:color="auto"/>
            <w:left w:val="none" w:sz="0" w:space="0" w:color="auto"/>
            <w:bottom w:val="none" w:sz="0" w:space="0" w:color="auto"/>
            <w:right w:val="none" w:sz="0" w:space="0" w:color="auto"/>
          </w:divBdr>
        </w:div>
        <w:div w:id="687680014">
          <w:marLeft w:val="480"/>
          <w:marRight w:val="0"/>
          <w:marTop w:val="0"/>
          <w:marBottom w:val="0"/>
          <w:divBdr>
            <w:top w:val="none" w:sz="0" w:space="0" w:color="auto"/>
            <w:left w:val="none" w:sz="0" w:space="0" w:color="auto"/>
            <w:bottom w:val="none" w:sz="0" w:space="0" w:color="auto"/>
            <w:right w:val="none" w:sz="0" w:space="0" w:color="auto"/>
          </w:divBdr>
        </w:div>
        <w:div w:id="1432320119">
          <w:marLeft w:val="480"/>
          <w:marRight w:val="0"/>
          <w:marTop w:val="0"/>
          <w:marBottom w:val="0"/>
          <w:divBdr>
            <w:top w:val="none" w:sz="0" w:space="0" w:color="auto"/>
            <w:left w:val="none" w:sz="0" w:space="0" w:color="auto"/>
            <w:bottom w:val="none" w:sz="0" w:space="0" w:color="auto"/>
            <w:right w:val="none" w:sz="0" w:space="0" w:color="auto"/>
          </w:divBdr>
        </w:div>
        <w:div w:id="1403867586">
          <w:marLeft w:val="480"/>
          <w:marRight w:val="0"/>
          <w:marTop w:val="0"/>
          <w:marBottom w:val="0"/>
          <w:divBdr>
            <w:top w:val="none" w:sz="0" w:space="0" w:color="auto"/>
            <w:left w:val="none" w:sz="0" w:space="0" w:color="auto"/>
            <w:bottom w:val="none" w:sz="0" w:space="0" w:color="auto"/>
            <w:right w:val="none" w:sz="0" w:space="0" w:color="auto"/>
          </w:divBdr>
        </w:div>
        <w:div w:id="602567518">
          <w:marLeft w:val="480"/>
          <w:marRight w:val="0"/>
          <w:marTop w:val="0"/>
          <w:marBottom w:val="0"/>
          <w:divBdr>
            <w:top w:val="none" w:sz="0" w:space="0" w:color="auto"/>
            <w:left w:val="none" w:sz="0" w:space="0" w:color="auto"/>
            <w:bottom w:val="none" w:sz="0" w:space="0" w:color="auto"/>
            <w:right w:val="none" w:sz="0" w:space="0" w:color="auto"/>
          </w:divBdr>
        </w:div>
        <w:div w:id="1471438879">
          <w:marLeft w:val="480"/>
          <w:marRight w:val="0"/>
          <w:marTop w:val="0"/>
          <w:marBottom w:val="0"/>
          <w:divBdr>
            <w:top w:val="none" w:sz="0" w:space="0" w:color="auto"/>
            <w:left w:val="none" w:sz="0" w:space="0" w:color="auto"/>
            <w:bottom w:val="none" w:sz="0" w:space="0" w:color="auto"/>
            <w:right w:val="none" w:sz="0" w:space="0" w:color="auto"/>
          </w:divBdr>
        </w:div>
        <w:div w:id="1846818205">
          <w:marLeft w:val="480"/>
          <w:marRight w:val="0"/>
          <w:marTop w:val="0"/>
          <w:marBottom w:val="0"/>
          <w:divBdr>
            <w:top w:val="none" w:sz="0" w:space="0" w:color="auto"/>
            <w:left w:val="none" w:sz="0" w:space="0" w:color="auto"/>
            <w:bottom w:val="none" w:sz="0" w:space="0" w:color="auto"/>
            <w:right w:val="none" w:sz="0" w:space="0" w:color="auto"/>
          </w:divBdr>
        </w:div>
        <w:div w:id="1230965431">
          <w:marLeft w:val="480"/>
          <w:marRight w:val="0"/>
          <w:marTop w:val="0"/>
          <w:marBottom w:val="0"/>
          <w:divBdr>
            <w:top w:val="none" w:sz="0" w:space="0" w:color="auto"/>
            <w:left w:val="none" w:sz="0" w:space="0" w:color="auto"/>
            <w:bottom w:val="none" w:sz="0" w:space="0" w:color="auto"/>
            <w:right w:val="none" w:sz="0" w:space="0" w:color="auto"/>
          </w:divBdr>
        </w:div>
        <w:div w:id="1710834037">
          <w:marLeft w:val="480"/>
          <w:marRight w:val="0"/>
          <w:marTop w:val="0"/>
          <w:marBottom w:val="0"/>
          <w:divBdr>
            <w:top w:val="none" w:sz="0" w:space="0" w:color="auto"/>
            <w:left w:val="none" w:sz="0" w:space="0" w:color="auto"/>
            <w:bottom w:val="none" w:sz="0" w:space="0" w:color="auto"/>
            <w:right w:val="none" w:sz="0" w:space="0" w:color="auto"/>
          </w:divBdr>
        </w:div>
        <w:div w:id="2005430429">
          <w:marLeft w:val="480"/>
          <w:marRight w:val="0"/>
          <w:marTop w:val="0"/>
          <w:marBottom w:val="0"/>
          <w:divBdr>
            <w:top w:val="none" w:sz="0" w:space="0" w:color="auto"/>
            <w:left w:val="none" w:sz="0" w:space="0" w:color="auto"/>
            <w:bottom w:val="none" w:sz="0" w:space="0" w:color="auto"/>
            <w:right w:val="none" w:sz="0" w:space="0" w:color="auto"/>
          </w:divBdr>
        </w:div>
        <w:div w:id="603224880">
          <w:marLeft w:val="480"/>
          <w:marRight w:val="0"/>
          <w:marTop w:val="0"/>
          <w:marBottom w:val="0"/>
          <w:divBdr>
            <w:top w:val="none" w:sz="0" w:space="0" w:color="auto"/>
            <w:left w:val="none" w:sz="0" w:space="0" w:color="auto"/>
            <w:bottom w:val="none" w:sz="0" w:space="0" w:color="auto"/>
            <w:right w:val="none" w:sz="0" w:space="0" w:color="auto"/>
          </w:divBdr>
        </w:div>
        <w:div w:id="1594314082">
          <w:marLeft w:val="480"/>
          <w:marRight w:val="0"/>
          <w:marTop w:val="0"/>
          <w:marBottom w:val="0"/>
          <w:divBdr>
            <w:top w:val="none" w:sz="0" w:space="0" w:color="auto"/>
            <w:left w:val="none" w:sz="0" w:space="0" w:color="auto"/>
            <w:bottom w:val="none" w:sz="0" w:space="0" w:color="auto"/>
            <w:right w:val="none" w:sz="0" w:space="0" w:color="auto"/>
          </w:divBdr>
        </w:div>
        <w:div w:id="720246665">
          <w:marLeft w:val="480"/>
          <w:marRight w:val="0"/>
          <w:marTop w:val="0"/>
          <w:marBottom w:val="0"/>
          <w:divBdr>
            <w:top w:val="none" w:sz="0" w:space="0" w:color="auto"/>
            <w:left w:val="none" w:sz="0" w:space="0" w:color="auto"/>
            <w:bottom w:val="none" w:sz="0" w:space="0" w:color="auto"/>
            <w:right w:val="none" w:sz="0" w:space="0" w:color="auto"/>
          </w:divBdr>
        </w:div>
        <w:div w:id="38436310">
          <w:marLeft w:val="480"/>
          <w:marRight w:val="0"/>
          <w:marTop w:val="0"/>
          <w:marBottom w:val="0"/>
          <w:divBdr>
            <w:top w:val="none" w:sz="0" w:space="0" w:color="auto"/>
            <w:left w:val="none" w:sz="0" w:space="0" w:color="auto"/>
            <w:bottom w:val="none" w:sz="0" w:space="0" w:color="auto"/>
            <w:right w:val="none" w:sz="0" w:space="0" w:color="auto"/>
          </w:divBdr>
        </w:div>
        <w:div w:id="1986885438">
          <w:marLeft w:val="480"/>
          <w:marRight w:val="0"/>
          <w:marTop w:val="0"/>
          <w:marBottom w:val="0"/>
          <w:divBdr>
            <w:top w:val="none" w:sz="0" w:space="0" w:color="auto"/>
            <w:left w:val="none" w:sz="0" w:space="0" w:color="auto"/>
            <w:bottom w:val="none" w:sz="0" w:space="0" w:color="auto"/>
            <w:right w:val="none" w:sz="0" w:space="0" w:color="auto"/>
          </w:divBdr>
        </w:div>
        <w:div w:id="718936032">
          <w:marLeft w:val="480"/>
          <w:marRight w:val="0"/>
          <w:marTop w:val="0"/>
          <w:marBottom w:val="0"/>
          <w:divBdr>
            <w:top w:val="none" w:sz="0" w:space="0" w:color="auto"/>
            <w:left w:val="none" w:sz="0" w:space="0" w:color="auto"/>
            <w:bottom w:val="none" w:sz="0" w:space="0" w:color="auto"/>
            <w:right w:val="none" w:sz="0" w:space="0" w:color="auto"/>
          </w:divBdr>
        </w:div>
        <w:div w:id="2014141919">
          <w:marLeft w:val="480"/>
          <w:marRight w:val="0"/>
          <w:marTop w:val="0"/>
          <w:marBottom w:val="0"/>
          <w:divBdr>
            <w:top w:val="none" w:sz="0" w:space="0" w:color="auto"/>
            <w:left w:val="none" w:sz="0" w:space="0" w:color="auto"/>
            <w:bottom w:val="none" w:sz="0" w:space="0" w:color="auto"/>
            <w:right w:val="none" w:sz="0" w:space="0" w:color="auto"/>
          </w:divBdr>
        </w:div>
        <w:div w:id="638648996">
          <w:marLeft w:val="480"/>
          <w:marRight w:val="0"/>
          <w:marTop w:val="0"/>
          <w:marBottom w:val="0"/>
          <w:divBdr>
            <w:top w:val="none" w:sz="0" w:space="0" w:color="auto"/>
            <w:left w:val="none" w:sz="0" w:space="0" w:color="auto"/>
            <w:bottom w:val="none" w:sz="0" w:space="0" w:color="auto"/>
            <w:right w:val="none" w:sz="0" w:space="0" w:color="auto"/>
          </w:divBdr>
        </w:div>
        <w:div w:id="2099252876">
          <w:marLeft w:val="480"/>
          <w:marRight w:val="0"/>
          <w:marTop w:val="0"/>
          <w:marBottom w:val="0"/>
          <w:divBdr>
            <w:top w:val="none" w:sz="0" w:space="0" w:color="auto"/>
            <w:left w:val="none" w:sz="0" w:space="0" w:color="auto"/>
            <w:bottom w:val="none" w:sz="0" w:space="0" w:color="auto"/>
            <w:right w:val="none" w:sz="0" w:space="0" w:color="auto"/>
          </w:divBdr>
        </w:div>
        <w:div w:id="517933974">
          <w:marLeft w:val="480"/>
          <w:marRight w:val="0"/>
          <w:marTop w:val="0"/>
          <w:marBottom w:val="0"/>
          <w:divBdr>
            <w:top w:val="none" w:sz="0" w:space="0" w:color="auto"/>
            <w:left w:val="none" w:sz="0" w:space="0" w:color="auto"/>
            <w:bottom w:val="none" w:sz="0" w:space="0" w:color="auto"/>
            <w:right w:val="none" w:sz="0" w:space="0" w:color="auto"/>
          </w:divBdr>
        </w:div>
        <w:div w:id="1843426291">
          <w:marLeft w:val="480"/>
          <w:marRight w:val="0"/>
          <w:marTop w:val="0"/>
          <w:marBottom w:val="0"/>
          <w:divBdr>
            <w:top w:val="none" w:sz="0" w:space="0" w:color="auto"/>
            <w:left w:val="none" w:sz="0" w:space="0" w:color="auto"/>
            <w:bottom w:val="none" w:sz="0" w:space="0" w:color="auto"/>
            <w:right w:val="none" w:sz="0" w:space="0" w:color="auto"/>
          </w:divBdr>
        </w:div>
        <w:div w:id="154762218">
          <w:marLeft w:val="480"/>
          <w:marRight w:val="0"/>
          <w:marTop w:val="0"/>
          <w:marBottom w:val="0"/>
          <w:divBdr>
            <w:top w:val="none" w:sz="0" w:space="0" w:color="auto"/>
            <w:left w:val="none" w:sz="0" w:space="0" w:color="auto"/>
            <w:bottom w:val="none" w:sz="0" w:space="0" w:color="auto"/>
            <w:right w:val="none" w:sz="0" w:space="0" w:color="auto"/>
          </w:divBdr>
        </w:div>
        <w:div w:id="103773855">
          <w:marLeft w:val="480"/>
          <w:marRight w:val="0"/>
          <w:marTop w:val="0"/>
          <w:marBottom w:val="0"/>
          <w:divBdr>
            <w:top w:val="none" w:sz="0" w:space="0" w:color="auto"/>
            <w:left w:val="none" w:sz="0" w:space="0" w:color="auto"/>
            <w:bottom w:val="none" w:sz="0" w:space="0" w:color="auto"/>
            <w:right w:val="none" w:sz="0" w:space="0" w:color="auto"/>
          </w:divBdr>
        </w:div>
        <w:div w:id="1567951741">
          <w:marLeft w:val="480"/>
          <w:marRight w:val="0"/>
          <w:marTop w:val="0"/>
          <w:marBottom w:val="0"/>
          <w:divBdr>
            <w:top w:val="none" w:sz="0" w:space="0" w:color="auto"/>
            <w:left w:val="none" w:sz="0" w:space="0" w:color="auto"/>
            <w:bottom w:val="none" w:sz="0" w:space="0" w:color="auto"/>
            <w:right w:val="none" w:sz="0" w:space="0" w:color="auto"/>
          </w:divBdr>
        </w:div>
        <w:div w:id="78060114">
          <w:marLeft w:val="480"/>
          <w:marRight w:val="0"/>
          <w:marTop w:val="0"/>
          <w:marBottom w:val="0"/>
          <w:divBdr>
            <w:top w:val="none" w:sz="0" w:space="0" w:color="auto"/>
            <w:left w:val="none" w:sz="0" w:space="0" w:color="auto"/>
            <w:bottom w:val="none" w:sz="0" w:space="0" w:color="auto"/>
            <w:right w:val="none" w:sz="0" w:space="0" w:color="auto"/>
          </w:divBdr>
        </w:div>
        <w:div w:id="1279751279">
          <w:marLeft w:val="480"/>
          <w:marRight w:val="0"/>
          <w:marTop w:val="0"/>
          <w:marBottom w:val="0"/>
          <w:divBdr>
            <w:top w:val="none" w:sz="0" w:space="0" w:color="auto"/>
            <w:left w:val="none" w:sz="0" w:space="0" w:color="auto"/>
            <w:bottom w:val="none" w:sz="0" w:space="0" w:color="auto"/>
            <w:right w:val="none" w:sz="0" w:space="0" w:color="auto"/>
          </w:divBdr>
        </w:div>
        <w:div w:id="1446582649">
          <w:marLeft w:val="480"/>
          <w:marRight w:val="0"/>
          <w:marTop w:val="0"/>
          <w:marBottom w:val="0"/>
          <w:divBdr>
            <w:top w:val="none" w:sz="0" w:space="0" w:color="auto"/>
            <w:left w:val="none" w:sz="0" w:space="0" w:color="auto"/>
            <w:bottom w:val="none" w:sz="0" w:space="0" w:color="auto"/>
            <w:right w:val="none" w:sz="0" w:space="0" w:color="auto"/>
          </w:divBdr>
        </w:div>
        <w:div w:id="231550351">
          <w:marLeft w:val="480"/>
          <w:marRight w:val="0"/>
          <w:marTop w:val="0"/>
          <w:marBottom w:val="0"/>
          <w:divBdr>
            <w:top w:val="none" w:sz="0" w:space="0" w:color="auto"/>
            <w:left w:val="none" w:sz="0" w:space="0" w:color="auto"/>
            <w:bottom w:val="none" w:sz="0" w:space="0" w:color="auto"/>
            <w:right w:val="none" w:sz="0" w:space="0" w:color="auto"/>
          </w:divBdr>
        </w:div>
        <w:div w:id="920022945">
          <w:marLeft w:val="480"/>
          <w:marRight w:val="0"/>
          <w:marTop w:val="0"/>
          <w:marBottom w:val="0"/>
          <w:divBdr>
            <w:top w:val="none" w:sz="0" w:space="0" w:color="auto"/>
            <w:left w:val="none" w:sz="0" w:space="0" w:color="auto"/>
            <w:bottom w:val="none" w:sz="0" w:space="0" w:color="auto"/>
            <w:right w:val="none" w:sz="0" w:space="0" w:color="auto"/>
          </w:divBdr>
        </w:div>
        <w:div w:id="2073386735">
          <w:marLeft w:val="480"/>
          <w:marRight w:val="0"/>
          <w:marTop w:val="0"/>
          <w:marBottom w:val="0"/>
          <w:divBdr>
            <w:top w:val="none" w:sz="0" w:space="0" w:color="auto"/>
            <w:left w:val="none" w:sz="0" w:space="0" w:color="auto"/>
            <w:bottom w:val="none" w:sz="0" w:space="0" w:color="auto"/>
            <w:right w:val="none" w:sz="0" w:space="0" w:color="auto"/>
          </w:divBdr>
        </w:div>
        <w:div w:id="1396776034">
          <w:marLeft w:val="480"/>
          <w:marRight w:val="0"/>
          <w:marTop w:val="0"/>
          <w:marBottom w:val="0"/>
          <w:divBdr>
            <w:top w:val="none" w:sz="0" w:space="0" w:color="auto"/>
            <w:left w:val="none" w:sz="0" w:space="0" w:color="auto"/>
            <w:bottom w:val="none" w:sz="0" w:space="0" w:color="auto"/>
            <w:right w:val="none" w:sz="0" w:space="0" w:color="auto"/>
          </w:divBdr>
        </w:div>
        <w:div w:id="734083853">
          <w:marLeft w:val="480"/>
          <w:marRight w:val="0"/>
          <w:marTop w:val="0"/>
          <w:marBottom w:val="0"/>
          <w:divBdr>
            <w:top w:val="none" w:sz="0" w:space="0" w:color="auto"/>
            <w:left w:val="none" w:sz="0" w:space="0" w:color="auto"/>
            <w:bottom w:val="none" w:sz="0" w:space="0" w:color="auto"/>
            <w:right w:val="none" w:sz="0" w:space="0" w:color="auto"/>
          </w:divBdr>
        </w:div>
        <w:div w:id="1457673552">
          <w:marLeft w:val="480"/>
          <w:marRight w:val="0"/>
          <w:marTop w:val="0"/>
          <w:marBottom w:val="0"/>
          <w:divBdr>
            <w:top w:val="none" w:sz="0" w:space="0" w:color="auto"/>
            <w:left w:val="none" w:sz="0" w:space="0" w:color="auto"/>
            <w:bottom w:val="none" w:sz="0" w:space="0" w:color="auto"/>
            <w:right w:val="none" w:sz="0" w:space="0" w:color="auto"/>
          </w:divBdr>
        </w:div>
        <w:div w:id="2045982438">
          <w:marLeft w:val="480"/>
          <w:marRight w:val="0"/>
          <w:marTop w:val="0"/>
          <w:marBottom w:val="0"/>
          <w:divBdr>
            <w:top w:val="none" w:sz="0" w:space="0" w:color="auto"/>
            <w:left w:val="none" w:sz="0" w:space="0" w:color="auto"/>
            <w:bottom w:val="none" w:sz="0" w:space="0" w:color="auto"/>
            <w:right w:val="none" w:sz="0" w:space="0" w:color="auto"/>
          </w:divBdr>
        </w:div>
        <w:div w:id="1409382353">
          <w:marLeft w:val="480"/>
          <w:marRight w:val="0"/>
          <w:marTop w:val="0"/>
          <w:marBottom w:val="0"/>
          <w:divBdr>
            <w:top w:val="none" w:sz="0" w:space="0" w:color="auto"/>
            <w:left w:val="none" w:sz="0" w:space="0" w:color="auto"/>
            <w:bottom w:val="none" w:sz="0" w:space="0" w:color="auto"/>
            <w:right w:val="none" w:sz="0" w:space="0" w:color="auto"/>
          </w:divBdr>
        </w:div>
        <w:div w:id="1500925437">
          <w:marLeft w:val="480"/>
          <w:marRight w:val="0"/>
          <w:marTop w:val="0"/>
          <w:marBottom w:val="0"/>
          <w:divBdr>
            <w:top w:val="none" w:sz="0" w:space="0" w:color="auto"/>
            <w:left w:val="none" w:sz="0" w:space="0" w:color="auto"/>
            <w:bottom w:val="none" w:sz="0" w:space="0" w:color="auto"/>
            <w:right w:val="none" w:sz="0" w:space="0" w:color="auto"/>
          </w:divBdr>
        </w:div>
        <w:div w:id="1419986856">
          <w:marLeft w:val="480"/>
          <w:marRight w:val="0"/>
          <w:marTop w:val="0"/>
          <w:marBottom w:val="0"/>
          <w:divBdr>
            <w:top w:val="none" w:sz="0" w:space="0" w:color="auto"/>
            <w:left w:val="none" w:sz="0" w:space="0" w:color="auto"/>
            <w:bottom w:val="none" w:sz="0" w:space="0" w:color="auto"/>
            <w:right w:val="none" w:sz="0" w:space="0" w:color="auto"/>
          </w:divBdr>
        </w:div>
        <w:div w:id="2041007002">
          <w:marLeft w:val="480"/>
          <w:marRight w:val="0"/>
          <w:marTop w:val="0"/>
          <w:marBottom w:val="0"/>
          <w:divBdr>
            <w:top w:val="none" w:sz="0" w:space="0" w:color="auto"/>
            <w:left w:val="none" w:sz="0" w:space="0" w:color="auto"/>
            <w:bottom w:val="none" w:sz="0" w:space="0" w:color="auto"/>
            <w:right w:val="none" w:sz="0" w:space="0" w:color="auto"/>
          </w:divBdr>
        </w:div>
        <w:div w:id="890264211">
          <w:marLeft w:val="480"/>
          <w:marRight w:val="0"/>
          <w:marTop w:val="0"/>
          <w:marBottom w:val="0"/>
          <w:divBdr>
            <w:top w:val="none" w:sz="0" w:space="0" w:color="auto"/>
            <w:left w:val="none" w:sz="0" w:space="0" w:color="auto"/>
            <w:bottom w:val="none" w:sz="0" w:space="0" w:color="auto"/>
            <w:right w:val="none" w:sz="0" w:space="0" w:color="auto"/>
          </w:divBdr>
        </w:div>
        <w:div w:id="1348367177">
          <w:marLeft w:val="480"/>
          <w:marRight w:val="0"/>
          <w:marTop w:val="0"/>
          <w:marBottom w:val="0"/>
          <w:divBdr>
            <w:top w:val="none" w:sz="0" w:space="0" w:color="auto"/>
            <w:left w:val="none" w:sz="0" w:space="0" w:color="auto"/>
            <w:bottom w:val="none" w:sz="0" w:space="0" w:color="auto"/>
            <w:right w:val="none" w:sz="0" w:space="0" w:color="auto"/>
          </w:divBdr>
        </w:div>
        <w:div w:id="1473601064">
          <w:marLeft w:val="480"/>
          <w:marRight w:val="0"/>
          <w:marTop w:val="0"/>
          <w:marBottom w:val="0"/>
          <w:divBdr>
            <w:top w:val="none" w:sz="0" w:space="0" w:color="auto"/>
            <w:left w:val="none" w:sz="0" w:space="0" w:color="auto"/>
            <w:bottom w:val="none" w:sz="0" w:space="0" w:color="auto"/>
            <w:right w:val="none" w:sz="0" w:space="0" w:color="auto"/>
          </w:divBdr>
        </w:div>
        <w:div w:id="22100008">
          <w:marLeft w:val="480"/>
          <w:marRight w:val="0"/>
          <w:marTop w:val="0"/>
          <w:marBottom w:val="0"/>
          <w:divBdr>
            <w:top w:val="none" w:sz="0" w:space="0" w:color="auto"/>
            <w:left w:val="none" w:sz="0" w:space="0" w:color="auto"/>
            <w:bottom w:val="none" w:sz="0" w:space="0" w:color="auto"/>
            <w:right w:val="none" w:sz="0" w:space="0" w:color="auto"/>
          </w:divBdr>
        </w:div>
        <w:div w:id="1848671414">
          <w:marLeft w:val="480"/>
          <w:marRight w:val="0"/>
          <w:marTop w:val="0"/>
          <w:marBottom w:val="0"/>
          <w:divBdr>
            <w:top w:val="none" w:sz="0" w:space="0" w:color="auto"/>
            <w:left w:val="none" w:sz="0" w:space="0" w:color="auto"/>
            <w:bottom w:val="none" w:sz="0" w:space="0" w:color="auto"/>
            <w:right w:val="none" w:sz="0" w:space="0" w:color="auto"/>
          </w:divBdr>
        </w:div>
        <w:div w:id="722101483">
          <w:marLeft w:val="480"/>
          <w:marRight w:val="0"/>
          <w:marTop w:val="0"/>
          <w:marBottom w:val="0"/>
          <w:divBdr>
            <w:top w:val="none" w:sz="0" w:space="0" w:color="auto"/>
            <w:left w:val="none" w:sz="0" w:space="0" w:color="auto"/>
            <w:bottom w:val="none" w:sz="0" w:space="0" w:color="auto"/>
            <w:right w:val="none" w:sz="0" w:space="0" w:color="auto"/>
          </w:divBdr>
        </w:div>
        <w:div w:id="858349598">
          <w:marLeft w:val="480"/>
          <w:marRight w:val="0"/>
          <w:marTop w:val="0"/>
          <w:marBottom w:val="0"/>
          <w:divBdr>
            <w:top w:val="none" w:sz="0" w:space="0" w:color="auto"/>
            <w:left w:val="none" w:sz="0" w:space="0" w:color="auto"/>
            <w:bottom w:val="none" w:sz="0" w:space="0" w:color="auto"/>
            <w:right w:val="none" w:sz="0" w:space="0" w:color="auto"/>
          </w:divBdr>
        </w:div>
        <w:div w:id="1917203879">
          <w:marLeft w:val="480"/>
          <w:marRight w:val="0"/>
          <w:marTop w:val="0"/>
          <w:marBottom w:val="0"/>
          <w:divBdr>
            <w:top w:val="none" w:sz="0" w:space="0" w:color="auto"/>
            <w:left w:val="none" w:sz="0" w:space="0" w:color="auto"/>
            <w:bottom w:val="none" w:sz="0" w:space="0" w:color="auto"/>
            <w:right w:val="none" w:sz="0" w:space="0" w:color="auto"/>
          </w:divBdr>
        </w:div>
        <w:div w:id="1347558999">
          <w:marLeft w:val="480"/>
          <w:marRight w:val="0"/>
          <w:marTop w:val="0"/>
          <w:marBottom w:val="0"/>
          <w:divBdr>
            <w:top w:val="none" w:sz="0" w:space="0" w:color="auto"/>
            <w:left w:val="none" w:sz="0" w:space="0" w:color="auto"/>
            <w:bottom w:val="none" w:sz="0" w:space="0" w:color="auto"/>
            <w:right w:val="none" w:sz="0" w:space="0" w:color="auto"/>
          </w:divBdr>
        </w:div>
        <w:div w:id="311641650">
          <w:marLeft w:val="480"/>
          <w:marRight w:val="0"/>
          <w:marTop w:val="0"/>
          <w:marBottom w:val="0"/>
          <w:divBdr>
            <w:top w:val="none" w:sz="0" w:space="0" w:color="auto"/>
            <w:left w:val="none" w:sz="0" w:space="0" w:color="auto"/>
            <w:bottom w:val="none" w:sz="0" w:space="0" w:color="auto"/>
            <w:right w:val="none" w:sz="0" w:space="0" w:color="auto"/>
          </w:divBdr>
        </w:div>
        <w:div w:id="1057433498">
          <w:marLeft w:val="480"/>
          <w:marRight w:val="0"/>
          <w:marTop w:val="0"/>
          <w:marBottom w:val="0"/>
          <w:divBdr>
            <w:top w:val="none" w:sz="0" w:space="0" w:color="auto"/>
            <w:left w:val="none" w:sz="0" w:space="0" w:color="auto"/>
            <w:bottom w:val="none" w:sz="0" w:space="0" w:color="auto"/>
            <w:right w:val="none" w:sz="0" w:space="0" w:color="auto"/>
          </w:divBdr>
        </w:div>
        <w:div w:id="745153628">
          <w:marLeft w:val="480"/>
          <w:marRight w:val="0"/>
          <w:marTop w:val="0"/>
          <w:marBottom w:val="0"/>
          <w:divBdr>
            <w:top w:val="none" w:sz="0" w:space="0" w:color="auto"/>
            <w:left w:val="none" w:sz="0" w:space="0" w:color="auto"/>
            <w:bottom w:val="none" w:sz="0" w:space="0" w:color="auto"/>
            <w:right w:val="none" w:sz="0" w:space="0" w:color="auto"/>
          </w:divBdr>
        </w:div>
        <w:div w:id="480391226">
          <w:marLeft w:val="480"/>
          <w:marRight w:val="0"/>
          <w:marTop w:val="0"/>
          <w:marBottom w:val="0"/>
          <w:divBdr>
            <w:top w:val="none" w:sz="0" w:space="0" w:color="auto"/>
            <w:left w:val="none" w:sz="0" w:space="0" w:color="auto"/>
            <w:bottom w:val="none" w:sz="0" w:space="0" w:color="auto"/>
            <w:right w:val="none" w:sz="0" w:space="0" w:color="auto"/>
          </w:divBdr>
        </w:div>
        <w:div w:id="1401056709">
          <w:marLeft w:val="480"/>
          <w:marRight w:val="0"/>
          <w:marTop w:val="0"/>
          <w:marBottom w:val="0"/>
          <w:divBdr>
            <w:top w:val="none" w:sz="0" w:space="0" w:color="auto"/>
            <w:left w:val="none" w:sz="0" w:space="0" w:color="auto"/>
            <w:bottom w:val="none" w:sz="0" w:space="0" w:color="auto"/>
            <w:right w:val="none" w:sz="0" w:space="0" w:color="auto"/>
          </w:divBdr>
        </w:div>
        <w:div w:id="340157755">
          <w:marLeft w:val="480"/>
          <w:marRight w:val="0"/>
          <w:marTop w:val="0"/>
          <w:marBottom w:val="0"/>
          <w:divBdr>
            <w:top w:val="none" w:sz="0" w:space="0" w:color="auto"/>
            <w:left w:val="none" w:sz="0" w:space="0" w:color="auto"/>
            <w:bottom w:val="none" w:sz="0" w:space="0" w:color="auto"/>
            <w:right w:val="none" w:sz="0" w:space="0" w:color="auto"/>
          </w:divBdr>
        </w:div>
        <w:div w:id="108358561">
          <w:marLeft w:val="480"/>
          <w:marRight w:val="0"/>
          <w:marTop w:val="0"/>
          <w:marBottom w:val="0"/>
          <w:divBdr>
            <w:top w:val="none" w:sz="0" w:space="0" w:color="auto"/>
            <w:left w:val="none" w:sz="0" w:space="0" w:color="auto"/>
            <w:bottom w:val="none" w:sz="0" w:space="0" w:color="auto"/>
            <w:right w:val="none" w:sz="0" w:space="0" w:color="auto"/>
          </w:divBdr>
        </w:div>
        <w:div w:id="313727913">
          <w:marLeft w:val="480"/>
          <w:marRight w:val="0"/>
          <w:marTop w:val="0"/>
          <w:marBottom w:val="0"/>
          <w:divBdr>
            <w:top w:val="none" w:sz="0" w:space="0" w:color="auto"/>
            <w:left w:val="none" w:sz="0" w:space="0" w:color="auto"/>
            <w:bottom w:val="none" w:sz="0" w:space="0" w:color="auto"/>
            <w:right w:val="none" w:sz="0" w:space="0" w:color="auto"/>
          </w:divBdr>
        </w:div>
        <w:div w:id="926890650">
          <w:marLeft w:val="480"/>
          <w:marRight w:val="0"/>
          <w:marTop w:val="0"/>
          <w:marBottom w:val="0"/>
          <w:divBdr>
            <w:top w:val="none" w:sz="0" w:space="0" w:color="auto"/>
            <w:left w:val="none" w:sz="0" w:space="0" w:color="auto"/>
            <w:bottom w:val="none" w:sz="0" w:space="0" w:color="auto"/>
            <w:right w:val="none" w:sz="0" w:space="0" w:color="auto"/>
          </w:divBdr>
        </w:div>
        <w:div w:id="75906124">
          <w:marLeft w:val="480"/>
          <w:marRight w:val="0"/>
          <w:marTop w:val="0"/>
          <w:marBottom w:val="0"/>
          <w:divBdr>
            <w:top w:val="none" w:sz="0" w:space="0" w:color="auto"/>
            <w:left w:val="none" w:sz="0" w:space="0" w:color="auto"/>
            <w:bottom w:val="none" w:sz="0" w:space="0" w:color="auto"/>
            <w:right w:val="none" w:sz="0" w:space="0" w:color="auto"/>
          </w:divBdr>
        </w:div>
        <w:div w:id="71977292">
          <w:marLeft w:val="480"/>
          <w:marRight w:val="0"/>
          <w:marTop w:val="0"/>
          <w:marBottom w:val="0"/>
          <w:divBdr>
            <w:top w:val="none" w:sz="0" w:space="0" w:color="auto"/>
            <w:left w:val="none" w:sz="0" w:space="0" w:color="auto"/>
            <w:bottom w:val="none" w:sz="0" w:space="0" w:color="auto"/>
            <w:right w:val="none" w:sz="0" w:space="0" w:color="auto"/>
          </w:divBdr>
        </w:div>
        <w:div w:id="1079057161">
          <w:marLeft w:val="480"/>
          <w:marRight w:val="0"/>
          <w:marTop w:val="0"/>
          <w:marBottom w:val="0"/>
          <w:divBdr>
            <w:top w:val="none" w:sz="0" w:space="0" w:color="auto"/>
            <w:left w:val="none" w:sz="0" w:space="0" w:color="auto"/>
            <w:bottom w:val="none" w:sz="0" w:space="0" w:color="auto"/>
            <w:right w:val="none" w:sz="0" w:space="0" w:color="auto"/>
          </w:divBdr>
        </w:div>
        <w:div w:id="157313364">
          <w:marLeft w:val="480"/>
          <w:marRight w:val="0"/>
          <w:marTop w:val="0"/>
          <w:marBottom w:val="0"/>
          <w:divBdr>
            <w:top w:val="none" w:sz="0" w:space="0" w:color="auto"/>
            <w:left w:val="none" w:sz="0" w:space="0" w:color="auto"/>
            <w:bottom w:val="none" w:sz="0" w:space="0" w:color="auto"/>
            <w:right w:val="none" w:sz="0" w:space="0" w:color="auto"/>
          </w:divBdr>
        </w:div>
        <w:div w:id="2086612742">
          <w:marLeft w:val="480"/>
          <w:marRight w:val="0"/>
          <w:marTop w:val="0"/>
          <w:marBottom w:val="0"/>
          <w:divBdr>
            <w:top w:val="none" w:sz="0" w:space="0" w:color="auto"/>
            <w:left w:val="none" w:sz="0" w:space="0" w:color="auto"/>
            <w:bottom w:val="none" w:sz="0" w:space="0" w:color="auto"/>
            <w:right w:val="none" w:sz="0" w:space="0" w:color="auto"/>
          </w:divBdr>
        </w:div>
        <w:div w:id="1165170230">
          <w:marLeft w:val="480"/>
          <w:marRight w:val="0"/>
          <w:marTop w:val="0"/>
          <w:marBottom w:val="0"/>
          <w:divBdr>
            <w:top w:val="none" w:sz="0" w:space="0" w:color="auto"/>
            <w:left w:val="none" w:sz="0" w:space="0" w:color="auto"/>
            <w:bottom w:val="none" w:sz="0" w:space="0" w:color="auto"/>
            <w:right w:val="none" w:sz="0" w:space="0" w:color="auto"/>
          </w:divBdr>
        </w:div>
        <w:div w:id="615674663">
          <w:marLeft w:val="480"/>
          <w:marRight w:val="0"/>
          <w:marTop w:val="0"/>
          <w:marBottom w:val="0"/>
          <w:divBdr>
            <w:top w:val="none" w:sz="0" w:space="0" w:color="auto"/>
            <w:left w:val="none" w:sz="0" w:space="0" w:color="auto"/>
            <w:bottom w:val="none" w:sz="0" w:space="0" w:color="auto"/>
            <w:right w:val="none" w:sz="0" w:space="0" w:color="auto"/>
          </w:divBdr>
        </w:div>
        <w:div w:id="1142624237">
          <w:marLeft w:val="480"/>
          <w:marRight w:val="0"/>
          <w:marTop w:val="0"/>
          <w:marBottom w:val="0"/>
          <w:divBdr>
            <w:top w:val="none" w:sz="0" w:space="0" w:color="auto"/>
            <w:left w:val="none" w:sz="0" w:space="0" w:color="auto"/>
            <w:bottom w:val="none" w:sz="0" w:space="0" w:color="auto"/>
            <w:right w:val="none" w:sz="0" w:space="0" w:color="auto"/>
          </w:divBdr>
        </w:div>
        <w:div w:id="389351095">
          <w:marLeft w:val="480"/>
          <w:marRight w:val="0"/>
          <w:marTop w:val="0"/>
          <w:marBottom w:val="0"/>
          <w:divBdr>
            <w:top w:val="none" w:sz="0" w:space="0" w:color="auto"/>
            <w:left w:val="none" w:sz="0" w:space="0" w:color="auto"/>
            <w:bottom w:val="none" w:sz="0" w:space="0" w:color="auto"/>
            <w:right w:val="none" w:sz="0" w:space="0" w:color="auto"/>
          </w:divBdr>
        </w:div>
        <w:div w:id="156724452">
          <w:marLeft w:val="480"/>
          <w:marRight w:val="0"/>
          <w:marTop w:val="0"/>
          <w:marBottom w:val="0"/>
          <w:divBdr>
            <w:top w:val="none" w:sz="0" w:space="0" w:color="auto"/>
            <w:left w:val="none" w:sz="0" w:space="0" w:color="auto"/>
            <w:bottom w:val="none" w:sz="0" w:space="0" w:color="auto"/>
            <w:right w:val="none" w:sz="0" w:space="0" w:color="auto"/>
          </w:divBdr>
        </w:div>
        <w:div w:id="814565771">
          <w:marLeft w:val="480"/>
          <w:marRight w:val="0"/>
          <w:marTop w:val="0"/>
          <w:marBottom w:val="0"/>
          <w:divBdr>
            <w:top w:val="none" w:sz="0" w:space="0" w:color="auto"/>
            <w:left w:val="none" w:sz="0" w:space="0" w:color="auto"/>
            <w:bottom w:val="none" w:sz="0" w:space="0" w:color="auto"/>
            <w:right w:val="none" w:sz="0" w:space="0" w:color="auto"/>
          </w:divBdr>
        </w:div>
        <w:div w:id="1466393675">
          <w:marLeft w:val="480"/>
          <w:marRight w:val="0"/>
          <w:marTop w:val="0"/>
          <w:marBottom w:val="0"/>
          <w:divBdr>
            <w:top w:val="none" w:sz="0" w:space="0" w:color="auto"/>
            <w:left w:val="none" w:sz="0" w:space="0" w:color="auto"/>
            <w:bottom w:val="none" w:sz="0" w:space="0" w:color="auto"/>
            <w:right w:val="none" w:sz="0" w:space="0" w:color="auto"/>
          </w:divBdr>
        </w:div>
        <w:div w:id="1655261930">
          <w:marLeft w:val="480"/>
          <w:marRight w:val="0"/>
          <w:marTop w:val="0"/>
          <w:marBottom w:val="0"/>
          <w:divBdr>
            <w:top w:val="none" w:sz="0" w:space="0" w:color="auto"/>
            <w:left w:val="none" w:sz="0" w:space="0" w:color="auto"/>
            <w:bottom w:val="none" w:sz="0" w:space="0" w:color="auto"/>
            <w:right w:val="none" w:sz="0" w:space="0" w:color="auto"/>
          </w:divBdr>
        </w:div>
        <w:div w:id="680550861">
          <w:marLeft w:val="480"/>
          <w:marRight w:val="0"/>
          <w:marTop w:val="0"/>
          <w:marBottom w:val="0"/>
          <w:divBdr>
            <w:top w:val="none" w:sz="0" w:space="0" w:color="auto"/>
            <w:left w:val="none" w:sz="0" w:space="0" w:color="auto"/>
            <w:bottom w:val="none" w:sz="0" w:space="0" w:color="auto"/>
            <w:right w:val="none" w:sz="0" w:space="0" w:color="auto"/>
          </w:divBdr>
        </w:div>
        <w:div w:id="639387513">
          <w:marLeft w:val="480"/>
          <w:marRight w:val="0"/>
          <w:marTop w:val="0"/>
          <w:marBottom w:val="0"/>
          <w:divBdr>
            <w:top w:val="none" w:sz="0" w:space="0" w:color="auto"/>
            <w:left w:val="none" w:sz="0" w:space="0" w:color="auto"/>
            <w:bottom w:val="none" w:sz="0" w:space="0" w:color="auto"/>
            <w:right w:val="none" w:sz="0" w:space="0" w:color="auto"/>
          </w:divBdr>
        </w:div>
        <w:div w:id="679703369">
          <w:marLeft w:val="480"/>
          <w:marRight w:val="0"/>
          <w:marTop w:val="0"/>
          <w:marBottom w:val="0"/>
          <w:divBdr>
            <w:top w:val="none" w:sz="0" w:space="0" w:color="auto"/>
            <w:left w:val="none" w:sz="0" w:space="0" w:color="auto"/>
            <w:bottom w:val="none" w:sz="0" w:space="0" w:color="auto"/>
            <w:right w:val="none" w:sz="0" w:space="0" w:color="auto"/>
          </w:divBdr>
        </w:div>
        <w:div w:id="644243457">
          <w:marLeft w:val="480"/>
          <w:marRight w:val="0"/>
          <w:marTop w:val="0"/>
          <w:marBottom w:val="0"/>
          <w:divBdr>
            <w:top w:val="none" w:sz="0" w:space="0" w:color="auto"/>
            <w:left w:val="none" w:sz="0" w:space="0" w:color="auto"/>
            <w:bottom w:val="none" w:sz="0" w:space="0" w:color="auto"/>
            <w:right w:val="none" w:sz="0" w:space="0" w:color="auto"/>
          </w:divBdr>
        </w:div>
        <w:div w:id="289290570">
          <w:marLeft w:val="480"/>
          <w:marRight w:val="0"/>
          <w:marTop w:val="0"/>
          <w:marBottom w:val="0"/>
          <w:divBdr>
            <w:top w:val="none" w:sz="0" w:space="0" w:color="auto"/>
            <w:left w:val="none" w:sz="0" w:space="0" w:color="auto"/>
            <w:bottom w:val="none" w:sz="0" w:space="0" w:color="auto"/>
            <w:right w:val="none" w:sz="0" w:space="0" w:color="auto"/>
          </w:divBdr>
        </w:div>
        <w:div w:id="522591166">
          <w:marLeft w:val="480"/>
          <w:marRight w:val="0"/>
          <w:marTop w:val="0"/>
          <w:marBottom w:val="0"/>
          <w:divBdr>
            <w:top w:val="none" w:sz="0" w:space="0" w:color="auto"/>
            <w:left w:val="none" w:sz="0" w:space="0" w:color="auto"/>
            <w:bottom w:val="none" w:sz="0" w:space="0" w:color="auto"/>
            <w:right w:val="none" w:sz="0" w:space="0" w:color="auto"/>
          </w:divBdr>
        </w:div>
        <w:div w:id="1236746185">
          <w:marLeft w:val="480"/>
          <w:marRight w:val="0"/>
          <w:marTop w:val="0"/>
          <w:marBottom w:val="0"/>
          <w:divBdr>
            <w:top w:val="none" w:sz="0" w:space="0" w:color="auto"/>
            <w:left w:val="none" w:sz="0" w:space="0" w:color="auto"/>
            <w:bottom w:val="none" w:sz="0" w:space="0" w:color="auto"/>
            <w:right w:val="none" w:sz="0" w:space="0" w:color="auto"/>
          </w:divBdr>
        </w:div>
        <w:div w:id="1642152880">
          <w:marLeft w:val="480"/>
          <w:marRight w:val="0"/>
          <w:marTop w:val="0"/>
          <w:marBottom w:val="0"/>
          <w:divBdr>
            <w:top w:val="none" w:sz="0" w:space="0" w:color="auto"/>
            <w:left w:val="none" w:sz="0" w:space="0" w:color="auto"/>
            <w:bottom w:val="none" w:sz="0" w:space="0" w:color="auto"/>
            <w:right w:val="none" w:sz="0" w:space="0" w:color="auto"/>
          </w:divBdr>
        </w:div>
        <w:div w:id="1514146464">
          <w:marLeft w:val="480"/>
          <w:marRight w:val="0"/>
          <w:marTop w:val="0"/>
          <w:marBottom w:val="0"/>
          <w:divBdr>
            <w:top w:val="none" w:sz="0" w:space="0" w:color="auto"/>
            <w:left w:val="none" w:sz="0" w:space="0" w:color="auto"/>
            <w:bottom w:val="none" w:sz="0" w:space="0" w:color="auto"/>
            <w:right w:val="none" w:sz="0" w:space="0" w:color="auto"/>
          </w:divBdr>
        </w:div>
        <w:div w:id="727532159">
          <w:marLeft w:val="480"/>
          <w:marRight w:val="0"/>
          <w:marTop w:val="0"/>
          <w:marBottom w:val="0"/>
          <w:divBdr>
            <w:top w:val="none" w:sz="0" w:space="0" w:color="auto"/>
            <w:left w:val="none" w:sz="0" w:space="0" w:color="auto"/>
            <w:bottom w:val="none" w:sz="0" w:space="0" w:color="auto"/>
            <w:right w:val="none" w:sz="0" w:space="0" w:color="auto"/>
          </w:divBdr>
        </w:div>
        <w:div w:id="923034346">
          <w:marLeft w:val="480"/>
          <w:marRight w:val="0"/>
          <w:marTop w:val="0"/>
          <w:marBottom w:val="0"/>
          <w:divBdr>
            <w:top w:val="none" w:sz="0" w:space="0" w:color="auto"/>
            <w:left w:val="none" w:sz="0" w:space="0" w:color="auto"/>
            <w:bottom w:val="none" w:sz="0" w:space="0" w:color="auto"/>
            <w:right w:val="none" w:sz="0" w:space="0" w:color="auto"/>
          </w:divBdr>
        </w:div>
        <w:div w:id="93790568">
          <w:marLeft w:val="480"/>
          <w:marRight w:val="0"/>
          <w:marTop w:val="0"/>
          <w:marBottom w:val="0"/>
          <w:divBdr>
            <w:top w:val="none" w:sz="0" w:space="0" w:color="auto"/>
            <w:left w:val="none" w:sz="0" w:space="0" w:color="auto"/>
            <w:bottom w:val="none" w:sz="0" w:space="0" w:color="auto"/>
            <w:right w:val="none" w:sz="0" w:space="0" w:color="auto"/>
          </w:divBdr>
        </w:div>
        <w:div w:id="41487305">
          <w:marLeft w:val="480"/>
          <w:marRight w:val="0"/>
          <w:marTop w:val="0"/>
          <w:marBottom w:val="0"/>
          <w:divBdr>
            <w:top w:val="none" w:sz="0" w:space="0" w:color="auto"/>
            <w:left w:val="none" w:sz="0" w:space="0" w:color="auto"/>
            <w:bottom w:val="none" w:sz="0" w:space="0" w:color="auto"/>
            <w:right w:val="none" w:sz="0" w:space="0" w:color="auto"/>
          </w:divBdr>
        </w:div>
        <w:div w:id="1844470524">
          <w:marLeft w:val="480"/>
          <w:marRight w:val="0"/>
          <w:marTop w:val="0"/>
          <w:marBottom w:val="0"/>
          <w:divBdr>
            <w:top w:val="none" w:sz="0" w:space="0" w:color="auto"/>
            <w:left w:val="none" w:sz="0" w:space="0" w:color="auto"/>
            <w:bottom w:val="none" w:sz="0" w:space="0" w:color="auto"/>
            <w:right w:val="none" w:sz="0" w:space="0" w:color="auto"/>
          </w:divBdr>
        </w:div>
        <w:div w:id="840700217">
          <w:marLeft w:val="480"/>
          <w:marRight w:val="0"/>
          <w:marTop w:val="0"/>
          <w:marBottom w:val="0"/>
          <w:divBdr>
            <w:top w:val="none" w:sz="0" w:space="0" w:color="auto"/>
            <w:left w:val="none" w:sz="0" w:space="0" w:color="auto"/>
            <w:bottom w:val="none" w:sz="0" w:space="0" w:color="auto"/>
            <w:right w:val="none" w:sz="0" w:space="0" w:color="auto"/>
          </w:divBdr>
        </w:div>
        <w:div w:id="1534609992">
          <w:marLeft w:val="480"/>
          <w:marRight w:val="0"/>
          <w:marTop w:val="0"/>
          <w:marBottom w:val="0"/>
          <w:divBdr>
            <w:top w:val="none" w:sz="0" w:space="0" w:color="auto"/>
            <w:left w:val="none" w:sz="0" w:space="0" w:color="auto"/>
            <w:bottom w:val="none" w:sz="0" w:space="0" w:color="auto"/>
            <w:right w:val="none" w:sz="0" w:space="0" w:color="auto"/>
          </w:divBdr>
        </w:div>
        <w:div w:id="1156842425">
          <w:marLeft w:val="480"/>
          <w:marRight w:val="0"/>
          <w:marTop w:val="0"/>
          <w:marBottom w:val="0"/>
          <w:divBdr>
            <w:top w:val="none" w:sz="0" w:space="0" w:color="auto"/>
            <w:left w:val="none" w:sz="0" w:space="0" w:color="auto"/>
            <w:bottom w:val="none" w:sz="0" w:space="0" w:color="auto"/>
            <w:right w:val="none" w:sz="0" w:space="0" w:color="auto"/>
          </w:divBdr>
        </w:div>
      </w:divsChild>
    </w:div>
    <w:div w:id="1518084877">
      <w:bodyDiv w:val="1"/>
      <w:marLeft w:val="0"/>
      <w:marRight w:val="0"/>
      <w:marTop w:val="0"/>
      <w:marBottom w:val="0"/>
      <w:divBdr>
        <w:top w:val="none" w:sz="0" w:space="0" w:color="auto"/>
        <w:left w:val="none" w:sz="0" w:space="0" w:color="auto"/>
        <w:bottom w:val="none" w:sz="0" w:space="0" w:color="auto"/>
        <w:right w:val="none" w:sz="0" w:space="0" w:color="auto"/>
      </w:divBdr>
    </w:div>
    <w:div w:id="1518426398">
      <w:bodyDiv w:val="1"/>
      <w:marLeft w:val="0"/>
      <w:marRight w:val="0"/>
      <w:marTop w:val="0"/>
      <w:marBottom w:val="0"/>
      <w:divBdr>
        <w:top w:val="none" w:sz="0" w:space="0" w:color="auto"/>
        <w:left w:val="none" w:sz="0" w:space="0" w:color="auto"/>
        <w:bottom w:val="none" w:sz="0" w:space="0" w:color="auto"/>
        <w:right w:val="none" w:sz="0" w:space="0" w:color="auto"/>
      </w:divBdr>
    </w:div>
    <w:div w:id="1518808371">
      <w:bodyDiv w:val="1"/>
      <w:marLeft w:val="0"/>
      <w:marRight w:val="0"/>
      <w:marTop w:val="0"/>
      <w:marBottom w:val="0"/>
      <w:divBdr>
        <w:top w:val="none" w:sz="0" w:space="0" w:color="auto"/>
        <w:left w:val="none" w:sz="0" w:space="0" w:color="auto"/>
        <w:bottom w:val="none" w:sz="0" w:space="0" w:color="auto"/>
        <w:right w:val="none" w:sz="0" w:space="0" w:color="auto"/>
      </w:divBdr>
    </w:div>
    <w:div w:id="1519005230">
      <w:bodyDiv w:val="1"/>
      <w:marLeft w:val="0"/>
      <w:marRight w:val="0"/>
      <w:marTop w:val="0"/>
      <w:marBottom w:val="0"/>
      <w:divBdr>
        <w:top w:val="none" w:sz="0" w:space="0" w:color="auto"/>
        <w:left w:val="none" w:sz="0" w:space="0" w:color="auto"/>
        <w:bottom w:val="none" w:sz="0" w:space="0" w:color="auto"/>
        <w:right w:val="none" w:sz="0" w:space="0" w:color="auto"/>
      </w:divBdr>
    </w:div>
    <w:div w:id="1520269743">
      <w:bodyDiv w:val="1"/>
      <w:marLeft w:val="0"/>
      <w:marRight w:val="0"/>
      <w:marTop w:val="0"/>
      <w:marBottom w:val="0"/>
      <w:divBdr>
        <w:top w:val="none" w:sz="0" w:space="0" w:color="auto"/>
        <w:left w:val="none" w:sz="0" w:space="0" w:color="auto"/>
        <w:bottom w:val="none" w:sz="0" w:space="0" w:color="auto"/>
        <w:right w:val="none" w:sz="0" w:space="0" w:color="auto"/>
      </w:divBdr>
    </w:div>
    <w:div w:id="1520773764">
      <w:bodyDiv w:val="1"/>
      <w:marLeft w:val="0"/>
      <w:marRight w:val="0"/>
      <w:marTop w:val="0"/>
      <w:marBottom w:val="0"/>
      <w:divBdr>
        <w:top w:val="none" w:sz="0" w:space="0" w:color="auto"/>
        <w:left w:val="none" w:sz="0" w:space="0" w:color="auto"/>
        <w:bottom w:val="none" w:sz="0" w:space="0" w:color="auto"/>
        <w:right w:val="none" w:sz="0" w:space="0" w:color="auto"/>
      </w:divBdr>
    </w:div>
    <w:div w:id="1521317077">
      <w:bodyDiv w:val="1"/>
      <w:marLeft w:val="0"/>
      <w:marRight w:val="0"/>
      <w:marTop w:val="0"/>
      <w:marBottom w:val="0"/>
      <w:divBdr>
        <w:top w:val="none" w:sz="0" w:space="0" w:color="auto"/>
        <w:left w:val="none" w:sz="0" w:space="0" w:color="auto"/>
        <w:bottom w:val="none" w:sz="0" w:space="0" w:color="auto"/>
        <w:right w:val="none" w:sz="0" w:space="0" w:color="auto"/>
      </w:divBdr>
    </w:div>
    <w:div w:id="1521432194">
      <w:bodyDiv w:val="1"/>
      <w:marLeft w:val="0"/>
      <w:marRight w:val="0"/>
      <w:marTop w:val="0"/>
      <w:marBottom w:val="0"/>
      <w:divBdr>
        <w:top w:val="none" w:sz="0" w:space="0" w:color="auto"/>
        <w:left w:val="none" w:sz="0" w:space="0" w:color="auto"/>
        <w:bottom w:val="none" w:sz="0" w:space="0" w:color="auto"/>
        <w:right w:val="none" w:sz="0" w:space="0" w:color="auto"/>
      </w:divBdr>
    </w:div>
    <w:div w:id="1521814406">
      <w:bodyDiv w:val="1"/>
      <w:marLeft w:val="0"/>
      <w:marRight w:val="0"/>
      <w:marTop w:val="0"/>
      <w:marBottom w:val="0"/>
      <w:divBdr>
        <w:top w:val="none" w:sz="0" w:space="0" w:color="auto"/>
        <w:left w:val="none" w:sz="0" w:space="0" w:color="auto"/>
        <w:bottom w:val="none" w:sz="0" w:space="0" w:color="auto"/>
        <w:right w:val="none" w:sz="0" w:space="0" w:color="auto"/>
      </w:divBdr>
    </w:div>
    <w:div w:id="1524049069">
      <w:bodyDiv w:val="1"/>
      <w:marLeft w:val="0"/>
      <w:marRight w:val="0"/>
      <w:marTop w:val="0"/>
      <w:marBottom w:val="0"/>
      <w:divBdr>
        <w:top w:val="none" w:sz="0" w:space="0" w:color="auto"/>
        <w:left w:val="none" w:sz="0" w:space="0" w:color="auto"/>
        <w:bottom w:val="none" w:sz="0" w:space="0" w:color="auto"/>
        <w:right w:val="none" w:sz="0" w:space="0" w:color="auto"/>
      </w:divBdr>
    </w:div>
    <w:div w:id="1524586415">
      <w:bodyDiv w:val="1"/>
      <w:marLeft w:val="0"/>
      <w:marRight w:val="0"/>
      <w:marTop w:val="0"/>
      <w:marBottom w:val="0"/>
      <w:divBdr>
        <w:top w:val="none" w:sz="0" w:space="0" w:color="auto"/>
        <w:left w:val="none" w:sz="0" w:space="0" w:color="auto"/>
        <w:bottom w:val="none" w:sz="0" w:space="0" w:color="auto"/>
        <w:right w:val="none" w:sz="0" w:space="0" w:color="auto"/>
      </w:divBdr>
    </w:div>
    <w:div w:id="1524905891">
      <w:bodyDiv w:val="1"/>
      <w:marLeft w:val="0"/>
      <w:marRight w:val="0"/>
      <w:marTop w:val="0"/>
      <w:marBottom w:val="0"/>
      <w:divBdr>
        <w:top w:val="none" w:sz="0" w:space="0" w:color="auto"/>
        <w:left w:val="none" w:sz="0" w:space="0" w:color="auto"/>
        <w:bottom w:val="none" w:sz="0" w:space="0" w:color="auto"/>
        <w:right w:val="none" w:sz="0" w:space="0" w:color="auto"/>
      </w:divBdr>
    </w:div>
    <w:div w:id="1525363570">
      <w:bodyDiv w:val="1"/>
      <w:marLeft w:val="0"/>
      <w:marRight w:val="0"/>
      <w:marTop w:val="0"/>
      <w:marBottom w:val="0"/>
      <w:divBdr>
        <w:top w:val="none" w:sz="0" w:space="0" w:color="auto"/>
        <w:left w:val="none" w:sz="0" w:space="0" w:color="auto"/>
        <w:bottom w:val="none" w:sz="0" w:space="0" w:color="auto"/>
        <w:right w:val="none" w:sz="0" w:space="0" w:color="auto"/>
      </w:divBdr>
    </w:div>
    <w:div w:id="1526360430">
      <w:bodyDiv w:val="1"/>
      <w:marLeft w:val="0"/>
      <w:marRight w:val="0"/>
      <w:marTop w:val="0"/>
      <w:marBottom w:val="0"/>
      <w:divBdr>
        <w:top w:val="none" w:sz="0" w:space="0" w:color="auto"/>
        <w:left w:val="none" w:sz="0" w:space="0" w:color="auto"/>
        <w:bottom w:val="none" w:sz="0" w:space="0" w:color="auto"/>
        <w:right w:val="none" w:sz="0" w:space="0" w:color="auto"/>
      </w:divBdr>
    </w:div>
    <w:div w:id="1526401328">
      <w:bodyDiv w:val="1"/>
      <w:marLeft w:val="0"/>
      <w:marRight w:val="0"/>
      <w:marTop w:val="0"/>
      <w:marBottom w:val="0"/>
      <w:divBdr>
        <w:top w:val="none" w:sz="0" w:space="0" w:color="auto"/>
        <w:left w:val="none" w:sz="0" w:space="0" w:color="auto"/>
        <w:bottom w:val="none" w:sz="0" w:space="0" w:color="auto"/>
        <w:right w:val="none" w:sz="0" w:space="0" w:color="auto"/>
      </w:divBdr>
    </w:div>
    <w:div w:id="1526670905">
      <w:bodyDiv w:val="1"/>
      <w:marLeft w:val="0"/>
      <w:marRight w:val="0"/>
      <w:marTop w:val="0"/>
      <w:marBottom w:val="0"/>
      <w:divBdr>
        <w:top w:val="none" w:sz="0" w:space="0" w:color="auto"/>
        <w:left w:val="none" w:sz="0" w:space="0" w:color="auto"/>
        <w:bottom w:val="none" w:sz="0" w:space="0" w:color="auto"/>
        <w:right w:val="none" w:sz="0" w:space="0" w:color="auto"/>
      </w:divBdr>
    </w:div>
    <w:div w:id="1526795729">
      <w:bodyDiv w:val="1"/>
      <w:marLeft w:val="0"/>
      <w:marRight w:val="0"/>
      <w:marTop w:val="0"/>
      <w:marBottom w:val="0"/>
      <w:divBdr>
        <w:top w:val="none" w:sz="0" w:space="0" w:color="auto"/>
        <w:left w:val="none" w:sz="0" w:space="0" w:color="auto"/>
        <w:bottom w:val="none" w:sz="0" w:space="0" w:color="auto"/>
        <w:right w:val="none" w:sz="0" w:space="0" w:color="auto"/>
      </w:divBdr>
    </w:div>
    <w:div w:id="1527137710">
      <w:bodyDiv w:val="1"/>
      <w:marLeft w:val="0"/>
      <w:marRight w:val="0"/>
      <w:marTop w:val="0"/>
      <w:marBottom w:val="0"/>
      <w:divBdr>
        <w:top w:val="none" w:sz="0" w:space="0" w:color="auto"/>
        <w:left w:val="none" w:sz="0" w:space="0" w:color="auto"/>
        <w:bottom w:val="none" w:sz="0" w:space="0" w:color="auto"/>
        <w:right w:val="none" w:sz="0" w:space="0" w:color="auto"/>
      </w:divBdr>
    </w:div>
    <w:div w:id="1527476904">
      <w:bodyDiv w:val="1"/>
      <w:marLeft w:val="0"/>
      <w:marRight w:val="0"/>
      <w:marTop w:val="0"/>
      <w:marBottom w:val="0"/>
      <w:divBdr>
        <w:top w:val="none" w:sz="0" w:space="0" w:color="auto"/>
        <w:left w:val="none" w:sz="0" w:space="0" w:color="auto"/>
        <w:bottom w:val="none" w:sz="0" w:space="0" w:color="auto"/>
        <w:right w:val="none" w:sz="0" w:space="0" w:color="auto"/>
      </w:divBdr>
    </w:div>
    <w:div w:id="1527718295">
      <w:bodyDiv w:val="1"/>
      <w:marLeft w:val="0"/>
      <w:marRight w:val="0"/>
      <w:marTop w:val="0"/>
      <w:marBottom w:val="0"/>
      <w:divBdr>
        <w:top w:val="none" w:sz="0" w:space="0" w:color="auto"/>
        <w:left w:val="none" w:sz="0" w:space="0" w:color="auto"/>
        <w:bottom w:val="none" w:sz="0" w:space="0" w:color="auto"/>
        <w:right w:val="none" w:sz="0" w:space="0" w:color="auto"/>
      </w:divBdr>
    </w:div>
    <w:div w:id="1527795278">
      <w:bodyDiv w:val="1"/>
      <w:marLeft w:val="0"/>
      <w:marRight w:val="0"/>
      <w:marTop w:val="0"/>
      <w:marBottom w:val="0"/>
      <w:divBdr>
        <w:top w:val="none" w:sz="0" w:space="0" w:color="auto"/>
        <w:left w:val="none" w:sz="0" w:space="0" w:color="auto"/>
        <w:bottom w:val="none" w:sz="0" w:space="0" w:color="auto"/>
        <w:right w:val="none" w:sz="0" w:space="0" w:color="auto"/>
      </w:divBdr>
    </w:div>
    <w:div w:id="1528711258">
      <w:bodyDiv w:val="1"/>
      <w:marLeft w:val="0"/>
      <w:marRight w:val="0"/>
      <w:marTop w:val="0"/>
      <w:marBottom w:val="0"/>
      <w:divBdr>
        <w:top w:val="none" w:sz="0" w:space="0" w:color="auto"/>
        <w:left w:val="none" w:sz="0" w:space="0" w:color="auto"/>
        <w:bottom w:val="none" w:sz="0" w:space="0" w:color="auto"/>
        <w:right w:val="none" w:sz="0" w:space="0" w:color="auto"/>
      </w:divBdr>
    </w:div>
    <w:div w:id="1529634379">
      <w:bodyDiv w:val="1"/>
      <w:marLeft w:val="0"/>
      <w:marRight w:val="0"/>
      <w:marTop w:val="0"/>
      <w:marBottom w:val="0"/>
      <w:divBdr>
        <w:top w:val="none" w:sz="0" w:space="0" w:color="auto"/>
        <w:left w:val="none" w:sz="0" w:space="0" w:color="auto"/>
        <w:bottom w:val="none" w:sz="0" w:space="0" w:color="auto"/>
        <w:right w:val="none" w:sz="0" w:space="0" w:color="auto"/>
      </w:divBdr>
    </w:div>
    <w:div w:id="1529755856">
      <w:bodyDiv w:val="1"/>
      <w:marLeft w:val="0"/>
      <w:marRight w:val="0"/>
      <w:marTop w:val="0"/>
      <w:marBottom w:val="0"/>
      <w:divBdr>
        <w:top w:val="none" w:sz="0" w:space="0" w:color="auto"/>
        <w:left w:val="none" w:sz="0" w:space="0" w:color="auto"/>
        <w:bottom w:val="none" w:sz="0" w:space="0" w:color="auto"/>
        <w:right w:val="none" w:sz="0" w:space="0" w:color="auto"/>
      </w:divBdr>
    </w:div>
    <w:div w:id="1530289780">
      <w:bodyDiv w:val="1"/>
      <w:marLeft w:val="0"/>
      <w:marRight w:val="0"/>
      <w:marTop w:val="0"/>
      <w:marBottom w:val="0"/>
      <w:divBdr>
        <w:top w:val="none" w:sz="0" w:space="0" w:color="auto"/>
        <w:left w:val="none" w:sz="0" w:space="0" w:color="auto"/>
        <w:bottom w:val="none" w:sz="0" w:space="0" w:color="auto"/>
        <w:right w:val="none" w:sz="0" w:space="0" w:color="auto"/>
      </w:divBdr>
    </w:div>
    <w:div w:id="1530294741">
      <w:bodyDiv w:val="1"/>
      <w:marLeft w:val="0"/>
      <w:marRight w:val="0"/>
      <w:marTop w:val="0"/>
      <w:marBottom w:val="0"/>
      <w:divBdr>
        <w:top w:val="none" w:sz="0" w:space="0" w:color="auto"/>
        <w:left w:val="none" w:sz="0" w:space="0" w:color="auto"/>
        <w:bottom w:val="none" w:sz="0" w:space="0" w:color="auto"/>
        <w:right w:val="none" w:sz="0" w:space="0" w:color="auto"/>
      </w:divBdr>
    </w:div>
    <w:div w:id="1530333115">
      <w:bodyDiv w:val="1"/>
      <w:marLeft w:val="0"/>
      <w:marRight w:val="0"/>
      <w:marTop w:val="0"/>
      <w:marBottom w:val="0"/>
      <w:divBdr>
        <w:top w:val="none" w:sz="0" w:space="0" w:color="auto"/>
        <w:left w:val="none" w:sz="0" w:space="0" w:color="auto"/>
        <w:bottom w:val="none" w:sz="0" w:space="0" w:color="auto"/>
        <w:right w:val="none" w:sz="0" w:space="0" w:color="auto"/>
      </w:divBdr>
    </w:div>
    <w:div w:id="1530600796">
      <w:bodyDiv w:val="1"/>
      <w:marLeft w:val="0"/>
      <w:marRight w:val="0"/>
      <w:marTop w:val="0"/>
      <w:marBottom w:val="0"/>
      <w:divBdr>
        <w:top w:val="none" w:sz="0" w:space="0" w:color="auto"/>
        <w:left w:val="none" w:sz="0" w:space="0" w:color="auto"/>
        <w:bottom w:val="none" w:sz="0" w:space="0" w:color="auto"/>
        <w:right w:val="none" w:sz="0" w:space="0" w:color="auto"/>
      </w:divBdr>
    </w:div>
    <w:div w:id="1530726145">
      <w:bodyDiv w:val="1"/>
      <w:marLeft w:val="0"/>
      <w:marRight w:val="0"/>
      <w:marTop w:val="0"/>
      <w:marBottom w:val="0"/>
      <w:divBdr>
        <w:top w:val="none" w:sz="0" w:space="0" w:color="auto"/>
        <w:left w:val="none" w:sz="0" w:space="0" w:color="auto"/>
        <w:bottom w:val="none" w:sz="0" w:space="0" w:color="auto"/>
        <w:right w:val="none" w:sz="0" w:space="0" w:color="auto"/>
      </w:divBdr>
    </w:div>
    <w:div w:id="1531141828">
      <w:bodyDiv w:val="1"/>
      <w:marLeft w:val="0"/>
      <w:marRight w:val="0"/>
      <w:marTop w:val="0"/>
      <w:marBottom w:val="0"/>
      <w:divBdr>
        <w:top w:val="none" w:sz="0" w:space="0" w:color="auto"/>
        <w:left w:val="none" w:sz="0" w:space="0" w:color="auto"/>
        <w:bottom w:val="none" w:sz="0" w:space="0" w:color="auto"/>
        <w:right w:val="none" w:sz="0" w:space="0" w:color="auto"/>
      </w:divBdr>
    </w:div>
    <w:div w:id="1531256022">
      <w:bodyDiv w:val="1"/>
      <w:marLeft w:val="0"/>
      <w:marRight w:val="0"/>
      <w:marTop w:val="0"/>
      <w:marBottom w:val="0"/>
      <w:divBdr>
        <w:top w:val="none" w:sz="0" w:space="0" w:color="auto"/>
        <w:left w:val="none" w:sz="0" w:space="0" w:color="auto"/>
        <w:bottom w:val="none" w:sz="0" w:space="0" w:color="auto"/>
        <w:right w:val="none" w:sz="0" w:space="0" w:color="auto"/>
      </w:divBdr>
    </w:div>
    <w:div w:id="1531643003">
      <w:bodyDiv w:val="1"/>
      <w:marLeft w:val="0"/>
      <w:marRight w:val="0"/>
      <w:marTop w:val="0"/>
      <w:marBottom w:val="0"/>
      <w:divBdr>
        <w:top w:val="none" w:sz="0" w:space="0" w:color="auto"/>
        <w:left w:val="none" w:sz="0" w:space="0" w:color="auto"/>
        <w:bottom w:val="none" w:sz="0" w:space="0" w:color="auto"/>
        <w:right w:val="none" w:sz="0" w:space="0" w:color="auto"/>
      </w:divBdr>
    </w:div>
    <w:div w:id="1531802314">
      <w:bodyDiv w:val="1"/>
      <w:marLeft w:val="0"/>
      <w:marRight w:val="0"/>
      <w:marTop w:val="0"/>
      <w:marBottom w:val="0"/>
      <w:divBdr>
        <w:top w:val="none" w:sz="0" w:space="0" w:color="auto"/>
        <w:left w:val="none" w:sz="0" w:space="0" w:color="auto"/>
        <w:bottom w:val="none" w:sz="0" w:space="0" w:color="auto"/>
        <w:right w:val="none" w:sz="0" w:space="0" w:color="auto"/>
      </w:divBdr>
    </w:div>
    <w:div w:id="1532887523">
      <w:bodyDiv w:val="1"/>
      <w:marLeft w:val="0"/>
      <w:marRight w:val="0"/>
      <w:marTop w:val="0"/>
      <w:marBottom w:val="0"/>
      <w:divBdr>
        <w:top w:val="none" w:sz="0" w:space="0" w:color="auto"/>
        <w:left w:val="none" w:sz="0" w:space="0" w:color="auto"/>
        <w:bottom w:val="none" w:sz="0" w:space="0" w:color="auto"/>
        <w:right w:val="none" w:sz="0" w:space="0" w:color="auto"/>
      </w:divBdr>
    </w:div>
    <w:div w:id="1533882786">
      <w:bodyDiv w:val="1"/>
      <w:marLeft w:val="0"/>
      <w:marRight w:val="0"/>
      <w:marTop w:val="0"/>
      <w:marBottom w:val="0"/>
      <w:divBdr>
        <w:top w:val="none" w:sz="0" w:space="0" w:color="auto"/>
        <w:left w:val="none" w:sz="0" w:space="0" w:color="auto"/>
        <w:bottom w:val="none" w:sz="0" w:space="0" w:color="auto"/>
        <w:right w:val="none" w:sz="0" w:space="0" w:color="auto"/>
      </w:divBdr>
    </w:div>
    <w:div w:id="1534071644">
      <w:bodyDiv w:val="1"/>
      <w:marLeft w:val="0"/>
      <w:marRight w:val="0"/>
      <w:marTop w:val="0"/>
      <w:marBottom w:val="0"/>
      <w:divBdr>
        <w:top w:val="none" w:sz="0" w:space="0" w:color="auto"/>
        <w:left w:val="none" w:sz="0" w:space="0" w:color="auto"/>
        <w:bottom w:val="none" w:sz="0" w:space="0" w:color="auto"/>
        <w:right w:val="none" w:sz="0" w:space="0" w:color="auto"/>
      </w:divBdr>
    </w:div>
    <w:div w:id="1534076879">
      <w:bodyDiv w:val="1"/>
      <w:marLeft w:val="0"/>
      <w:marRight w:val="0"/>
      <w:marTop w:val="0"/>
      <w:marBottom w:val="0"/>
      <w:divBdr>
        <w:top w:val="none" w:sz="0" w:space="0" w:color="auto"/>
        <w:left w:val="none" w:sz="0" w:space="0" w:color="auto"/>
        <w:bottom w:val="none" w:sz="0" w:space="0" w:color="auto"/>
        <w:right w:val="none" w:sz="0" w:space="0" w:color="auto"/>
      </w:divBdr>
    </w:div>
    <w:div w:id="1534923497">
      <w:bodyDiv w:val="1"/>
      <w:marLeft w:val="0"/>
      <w:marRight w:val="0"/>
      <w:marTop w:val="0"/>
      <w:marBottom w:val="0"/>
      <w:divBdr>
        <w:top w:val="none" w:sz="0" w:space="0" w:color="auto"/>
        <w:left w:val="none" w:sz="0" w:space="0" w:color="auto"/>
        <w:bottom w:val="none" w:sz="0" w:space="0" w:color="auto"/>
        <w:right w:val="none" w:sz="0" w:space="0" w:color="auto"/>
      </w:divBdr>
    </w:div>
    <w:div w:id="1536192632">
      <w:bodyDiv w:val="1"/>
      <w:marLeft w:val="0"/>
      <w:marRight w:val="0"/>
      <w:marTop w:val="0"/>
      <w:marBottom w:val="0"/>
      <w:divBdr>
        <w:top w:val="none" w:sz="0" w:space="0" w:color="auto"/>
        <w:left w:val="none" w:sz="0" w:space="0" w:color="auto"/>
        <w:bottom w:val="none" w:sz="0" w:space="0" w:color="auto"/>
        <w:right w:val="none" w:sz="0" w:space="0" w:color="auto"/>
      </w:divBdr>
    </w:div>
    <w:div w:id="1536501130">
      <w:bodyDiv w:val="1"/>
      <w:marLeft w:val="0"/>
      <w:marRight w:val="0"/>
      <w:marTop w:val="0"/>
      <w:marBottom w:val="0"/>
      <w:divBdr>
        <w:top w:val="none" w:sz="0" w:space="0" w:color="auto"/>
        <w:left w:val="none" w:sz="0" w:space="0" w:color="auto"/>
        <w:bottom w:val="none" w:sz="0" w:space="0" w:color="auto"/>
        <w:right w:val="none" w:sz="0" w:space="0" w:color="auto"/>
      </w:divBdr>
    </w:div>
    <w:div w:id="1537693736">
      <w:bodyDiv w:val="1"/>
      <w:marLeft w:val="0"/>
      <w:marRight w:val="0"/>
      <w:marTop w:val="0"/>
      <w:marBottom w:val="0"/>
      <w:divBdr>
        <w:top w:val="none" w:sz="0" w:space="0" w:color="auto"/>
        <w:left w:val="none" w:sz="0" w:space="0" w:color="auto"/>
        <w:bottom w:val="none" w:sz="0" w:space="0" w:color="auto"/>
        <w:right w:val="none" w:sz="0" w:space="0" w:color="auto"/>
      </w:divBdr>
    </w:div>
    <w:div w:id="1537812602">
      <w:bodyDiv w:val="1"/>
      <w:marLeft w:val="0"/>
      <w:marRight w:val="0"/>
      <w:marTop w:val="0"/>
      <w:marBottom w:val="0"/>
      <w:divBdr>
        <w:top w:val="none" w:sz="0" w:space="0" w:color="auto"/>
        <w:left w:val="none" w:sz="0" w:space="0" w:color="auto"/>
        <w:bottom w:val="none" w:sz="0" w:space="0" w:color="auto"/>
        <w:right w:val="none" w:sz="0" w:space="0" w:color="auto"/>
      </w:divBdr>
    </w:div>
    <w:div w:id="1538085504">
      <w:bodyDiv w:val="1"/>
      <w:marLeft w:val="0"/>
      <w:marRight w:val="0"/>
      <w:marTop w:val="0"/>
      <w:marBottom w:val="0"/>
      <w:divBdr>
        <w:top w:val="none" w:sz="0" w:space="0" w:color="auto"/>
        <w:left w:val="none" w:sz="0" w:space="0" w:color="auto"/>
        <w:bottom w:val="none" w:sz="0" w:space="0" w:color="auto"/>
        <w:right w:val="none" w:sz="0" w:space="0" w:color="auto"/>
      </w:divBdr>
    </w:div>
    <w:div w:id="1538808194">
      <w:bodyDiv w:val="1"/>
      <w:marLeft w:val="0"/>
      <w:marRight w:val="0"/>
      <w:marTop w:val="0"/>
      <w:marBottom w:val="0"/>
      <w:divBdr>
        <w:top w:val="none" w:sz="0" w:space="0" w:color="auto"/>
        <w:left w:val="none" w:sz="0" w:space="0" w:color="auto"/>
        <w:bottom w:val="none" w:sz="0" w:space="0" w:color="auto"/>
        <w:right w:val="none" w:sz="0" w:space="0" w:color="auto"/>
      </w:divBdr>
    </w:div>
    <w:div w:id="1539004304">
      <w:bodyDiv w:val="1"/>
      <w:marLeft w:val="0"/>
      <w:marRight w:val="0"/>
      <w:marTop w:val="0"/>
      <w:marBottom w:val="0"/>
      <w:divBdr>
        <w:top w:val="none" w:sz="0" w:space="0" w:color="auto"/>
        <w:left w:val="none" w:sz="0" w:space="0" w:color="auto"/>
        <w:bottom w:val="none" w:sz="0" w:space="0" w:color="auto"/>
        <w:right w:val="none" w:sz="0" w:space="0" w:color="auto"/>
      </w:divBdr>
    </w:div>
    <w:div w:id="1539585956">
      <w:bodyDiv w:val="1"/>
      <w:marLeft w:val="0"/>
      <w:marRight w:val="0"/>
      <w:marTop w:val="0"/>
      <w:marBottom w:val="0"/>
      <w:divBdr>
        <w:top w:val="none" w:sz="0" w:space="0" w:color="auto"/>
        <w:left w:val="none" w:sz="0" w:space="0" w:color="auto"/>
        <w:bottom w:val="none" w:sz="0" w:space="0" w:color="auto"/>
        <w:right w:val="none" w:sz="0" w:space="0" w:color="auto"/>
      </w:divBdr>
    </w:div>
    <w:div w:id="1539852121">
      <w:bodyDiv w:val="1"/>
      <w:marLeft w:val="0"/>
      <w:marRight w:val="0"/>
      <w:marTop w:val="0"/>
      <w:marBottom w:val="0"/>
      <w:divBdr>
        <w:top w:val="none" w:sz="0" w:space="0" w:color="auto"/>
        <w:left w:val="none" w:sz="0" w:space="0" w:color="auto"/>
        <w:bottom w:val="none" w:sz="0" w:space="0" w:color="auto"/>
        <w:right w:val="none" w:sz="0" w:space="0" w:color="auto"/>
      </w:divBdr>
    </w:div>
    <w:div w:id="1539856218">
      <w:bodyDiv w:val="1"/>
      <w:marLeft w:val="0"/>
      <w:marRight w:val="0"/>
      <w:marTop w:val="0"/>
      <w:marBottom w:val="0"/>
      <w:divBdr>
        <w:top w:val="none" w:sz="0" w:space="0" w:color="auto"/>
        <w:left w:val="none" w:sz="0" w:space="0" w:color="auto"/>
        <w:bottom w:val="none" w:sz="0" w:space="0" w:color="auto"/>
        <w:right w:val="none" w:sz="0" w:space="0" w:color="auto"/>
      </w:divBdr>
    </w:div>
    <w:div w:id="1543712498">
      <w:bodyDiv w:val="1"/>
      <w:marLeft w:val="0"/>
      <w:marRight w:val="0"/>
      <w:marTop w:val="0"/>
      <w:marBottom w:val="0"/>
      <w:divBdr>
        <w:top w:val="none" w:sz="0" w:space="0" w:color="auto"/>
        <w:left w:val="none" w:sz="0" w:space="0" w:color="auto"/>
        <w:bottom w:val="none" w:sz="0" w:space="0" w:color="auto"/>
        <w:right w:val="none" w:sz="0" w:space="0" w:color="auto"/>
      </w:divBdr>
    </w:div>
    <w:div w:id="1544290377">
      <w:bodyDiv w:val="1"/>
      <w:marLeft w:val="0"/>
      <w:marRight w:val="0"/>
      <w:marTop w:val="0"/>
      <w:marBottom w:val="0"/>
      <w:divBdr>
        <w:top w:val="none" w:sz="0" w:space="0" w:color="auto"/>
        <w:left w:val="none" w:sz="0" w:space="0" w:color="auto"/>
        <w:bottom w:val="none" w:sz="0" w:space="0" w:color="auto"/>
        <w:right w:val="none" w:sz="0" w:space="0" w:color="auto"/>
      </w:divBdr>
    </w:div>
    <w:div w:id="1544366938">
      <w:bodyDiv w:val="1"/>
      <w:marLeft w:val="0"/>
      <w:marRight w:val="0"/>
      <w:marTop w:val="0"/>
      <w:marBottom w:val="0"/>
      <w:divBdr>
        <w:top w:val="none" w:sz="0" w:space="0" w:color="auto"/>
        <w:left w:val="none" w:sz="0" w:space="0" w:color="auto"/>
        <w:bottom w:val="none" w:sz="0" w:space="0" w:color="auto"/>
        <w:right w:val="none" w:sz="0" w:space="0" w:color="auto"/>
      </w:divBdr>
    </w:div>
    <w:div w:id="1544487154">
      <w:bodyDiv w:val="1"/>
      <w:marLeft w:val="0"/>
      <w:marRight w:val="0"/>
      <w:marTop w:val="0"/>
      <w:marBottom w:val="0"/>
      <w:divBdr>
        <w:top w:val="none" w:sz="0" w:space="0" w:color="auto"/>
        <w:left w:val="none" w:sz="0" w:space="0" w:color="auto"/>
        <w:bottom w:val="none" w:sz="0" w:space="0" w:color="auto"/>
        <w:right w:val="none" w:sz="0" w:space="0" w:color="auto"/>
      </w:divBdr>
    </w:div>
    <w:div w:id="1544556102">
      <w:bodyDiv w:val="1"/>
      <w:marLeft w:val="0"/>
      <w:marRight w:val="0"/>
      <w:marTop w:val="0"/>
      <w:marBottom w:val="0"/>
      <w:divBdr>
        <w:top w:val="none" w:sz="0" w:space="0" w:color="auto"/>
        <w:left w:val="none" w:sz="0" w:space="0" w:color="auto"/>
        <w:bottom w:val="none" w:sz="0" w:space="0" w:color="auto"/>
        <w:right w:val="none" w:sz="0" w:space="0" w:color="auto"/>
      </w:divBdr>
    </w:div>
    <w:div w:id="1544907092">
      <w:bodyDiv w:val="1"/>
      <w:marLeft w:val="0"/>
      <w:marRight w:val="0"/>
      <w:marTop w:val="0"/>
      <w:marBottom w:val="0"/>
      <w:divBdr>
        <w:top w:val="none" w:sz="0" w:space="0" w:color="auto"/>
        <w:left w:val="none" w:sz="0" w:space="0" w:color="auto"/>
        <w:bottom w:val="none" w:sz="0" w:space="0" w:color="auto"/>
        <w:right w:val="none" w:sz="0" w:space="0" w:color="auto"/>
      </w:divBdr>
    </w:div>
    <w:div w:id="1545630534">
      <w:bodyDiv w:val="1"/>
      <w:marLeft w:val="0"/>
      <w:marRight w:val="0"/>
      <w:marTop w:val="0"/>
      <w:marBottom w:val="0"/>
      <w:divBdr>
        <w:top w:val="none" w:sz="0" w:space="0" w:color="auto"/>
        <w:left w:val="none" w:sz="0" w:space="0" w:color="auto"/>
        <w:bottom w:val="none" w:sz="0" w:space="0" w:color="auto"/>
        <w:right w:val="none" w:sz="0" w:space="0" w:color="auto"/>
      </w:divBdr>
    </w:div>
    <w:div w:id="1546288269">
      <w:bodyDiv w:val="1"/>
      <w:marLeft w:val="0"/>
      <w:marRight w:val="0"/>
      <w:marTop w:val="0"/>
      <w:marBottom w:val="0"/>
      <w:divBdr>
        <w:top w:val="none" w:sz="0" w:space="0" w:color="auto"/>
        <w:left w:val="none" w:sz="0" w:space="0" w:color="auto"/>
        <w:bottom w:val="none" w:sz="0" w:space="0" w:color="auto"/>
        <w:right w:val="none" w:sz="0" w:space="0" w:color="auto"/>
      </w:divBdr>
    </w:div>
    <w:div w:id="1546333064">
      <w:bodyDiv w:val="1"/>
      <w:marLeft w:val="0"/>
      <w:marRight w:val="0"/>
      <w:marTop w:val="0"/>
      <w:marBottom w:val="0"/>
      <w:divBdr>
        <w:top w:val="none" w:sz="0" w:space="0" w:color="auto"/>
        <w:left w:val="none" w:sz="0" w:space="0" w:color="auto"/>
        <w:bottom w:val="none" w:sz="0" w:space="0" w:color="auto"/>
        <w:right w:val="none" w:sz="0" w:space="0" w:color="auto"/>
      </w:divBdr>
    </w:div>
    <w:div w:id="1546986467">
      <w:bodyDiv w:val="1"/>
      <w:marLeft w:val="0"/>
      <w:marRight w:val="0"/>
      <w:marTop w:val="0"/>
      <w:marBottom w:val="0"/>
      <w:divBdr>
        <w:top w:val="none" w:sz="0" w:space="0" w:color="auto"/>
        <w:left w:val="none" w:sz="0" w:space="0" w:color="auto"/>
        <w:bottom w:val="none" w:sz="0" w:space="0" w:color="auto"/>
        <w:right w:val="none" w:sz="0" w:space="0" w:color="auto"/>
      </w:divBdr>
    </w:div>
    <w:div w:id="1548637258">
      <w:bodyDiv w:val="1"/>
      <w:marLeft w:val="0"/>
      <w:marRight w:val="0"/>
      <w:marTop w:val="0"/>
      <w:marBottom w:val="0"/>
      <w:divBdr>
        <w:top w:val="none" w:sz="0" w:space="0" w:color="auto"/>
        <w:left w:val="none" w:sz="0" w:space="0" w:color="auto"/>
        <w:bottom w:val="none" w:sz="0" w:space="0" w:color="auto"/>
        <w:right w:val="none" w:sz="0" w:space="0" w:color="auto"/>
      </w:divBdr>
    </w:div>
    <w:div w:id="1548957653">
      <w:bodyDiv w:val="1"/>
      <w:marLeft w:val="0"/>
      <w:marRight w:val="0"/>
      <w:marTop w:val="0"/>
      <w:marBottom w:val="0"/>
      <w:divBdr>
        <w:top w:val="none" w:sz="0" w:space="0" w:color="auto"/>
        <w:left w:val="none" w:sz="0" w:space="0" w:color="auto"/>
        <w:bottom w:val="none" w:sz="0" w:space="0" w:color="auto"/>
        <w:right w:val="none" w:sz="0" w:space="0" w:color="auto"/>
      </w:divBdr>
    </w:div>
    <w:div w:id="1549873510">
      <w:bodyDiv w:val="1"/>
      <w:marLeft w:val="0"/>
      <w:marRight w:val="0"/>
      <w:marTop w:val="0"/>
      <w:marBottom w:val="0"/>
      <w:divBdr>
        <w:top w:val="none" w:sz="0" w:space="0" w:color="auto"/>
        <w:left w:val="none" w:sz="0" w:space="0" w:color="auto"/>
        <w:bottom w:val="none" w:sz="0" w:space="0" w:color="auto"/>
        <w:right w:val="none" w:sz="0" w:space="0" w:color="auto"/>
      </w:divBdr>
    </w:div>
    <w:div w:id="1552115849">
      <w:bodyDiv w:val="1"/>
      <w:marLeft w:val="0"/>
      <w:marRight w:val="0"/>
      <w:marTop w:val="0"/>
      <w:marBottom w:val="0"/>
      <w:divBdr>
        <w:top w:val="none" w:sz="0" w:space="0" w:color="auto"/>
        <w:left w:val="none" w:sz="0" w:space="0" w:color="auto"/>
        <w:bottom w:val="none" w:sz="0" w:space="0" w:color="auto"/>
        <w:right w:val="none" w:sz="0" w:space="0" w:color="auto"/>
      </w:divBdr>
    </w:div>
    <w:div w:id="1552226804">
      <w:bodyDiv w:val="1"/>
      <w:marLeft w:val="0"/>
      <w:marRight w:val="0"/>
      <w:marTop w:val="0"/>
      <w:marBottom w:val="0"/>
      <w:divBdr>
        <w:top w:val="none" w:sz="0" w:space="0" w:color="auto"/>
        <w:left w:val="none" w:sz="0" w:space="0" w:color="auto"/>
        <w:bottom w:val="none" w:sz="0" w:space="0" w:color="auto"/>
        <w:right w:val="none" w:sz="0" w:space="0" w:color="auto"/>
      </w:divBdr>
    </w:div>
    <w:div w:id="1552694244">
      <w:bodyDiv w:val="1"/>
      <w:marLeft w:val="0"/>
      <w:marRight w:val="0"/>
      <w:marTop w:val="0"/>
      <w:marBottom w:val="0"/>
      <w:divBdr>
        <w:top w:val="none" w:sz="0" w:space="0" w:color="auto"/>
        <w:left w:val="none" w:sz="0" w:space="0" w:color="auto"/>
        <w:bottom w:val="none" w:sz="0" w:space="0" w:color="auto"/>
        <w:right w:val="none" w:sz="0" w:space="0" w:color="auto"/>
      </w:divBdr>
    </w:div>
    <w:div w:id="1552768704">
      <w:bodyDiv w:val="1"/>
      <w:marLeft w:val="0"/>
      <w:marRight w:val="0"/>
      <w:marTop w:val="0"/>
      <w:marBottom w:val="0"/>
      <w:divBdr>
        <w:top w:val="none" w:sz="0" w:space="0" w:color="auto"/>
        <w:left w:val="none" w:sz="0" w:space="0" w:color="auto"/>
        <w:bottom w:val="none" w:sz="0" w:space="0" w:color="auto"/>
        <w:right w:val="none" w:sz="0" w:space="0" w:color="auto"/>
      </w:divBdr>
    </w:div>
    <w:div w:id="1552886781">
      <w:bodyDiv w:val="1"/>
      <w:marLeft w:val="0"/>
      <w:marRight w:val="0"/>
      <w:marTop w:val="0"/>
      <w:marBottom w:val="0"/>
      <w:divBdr>
        <w:top w:val="none" w:sz="0" w:space="0" w:color="auto"/>
        <w:left w:val="none" w:sz="0" w:space="0" w:color="auto"/>
        <w:bottom w:val="none" w:sz="0" w:space="0" w:color="auto"/>
        <w:right w:val="none" w:sz="0" w:space="0" w:color="auto"/>
      </w:divBdr>
    </w:div>
    <w:div w:id="1553275597">
      <w:bodyDiv w:val="1"/>
      <w:marLeft w:val="0"/>
      <w:marRight w:val="0"/>
      <w:marTop w:val="0"/>
      <w:marBottom w:val="0"/>
      <w:divBdr>
        <w:top w:val="none" w:sz="0" w:space="0" w:color="auto"/>
        <w:left w:val="none" w:sz="0" w:space="0" w:color="auto"/>
        <w:bottom w:val="none" w:sz="0" w:space="0" w:color="auto"/>
        <w:right w:val="none" w:sz="0" w:space="0" w:color="auto"/>
      </w:divBdr>
    </w:div>
    <w:div w:id="1554922618">
      <w:bodyDiv w:val="1"/>
      <w:marLeft w:val="0"/>
      <w:marRight w:val="0"/>
      <w:marTop w:val="0"/>
      <w:marBottom w:val="0"/>
      <w:divBdr>
        <w:top w:val="none" w:sz="0" w:space="0" w:color="auto"/>
        <w:left w:val="none" w:sz="0" w:space="0" w:color="auto"/>
        <w:bottom w:val="none" w:sz="0" w:space="0" w:color="auto"/>
        <w:right w:val="none" w:sz="0" w:space="0" w:color="auto"/>
      </w:divBdr>
    </w:div>
    <w:div w:id="1555309544">
      <w:bodyDiv w:val="1"/>
      <w:marLeft w:val="0"/>
      <w:marRight w:val="0"/>
      <w:marTop w:val="0"/>
      <w:marBottom w:val="0"/>
      <w:divBdr>
        <w:top w:val="none" w:sz="0" w:space="0" w:color="auto"/>
        <w:left w:val="none" w:sz="0" w:space="0" w:color="auto"/>
        <w:bottom w:val="none" w:sz="0" w:space="0" w:color="auto"/>
        <w:right w:val="none" w:sz="0" w:space="0" w:color="auto"/>
      </w:divBdr>
    </w:div>
    <w:div w:id="1555770619">
      <w:bodyDiv w:val="1"/>
      <w:marLeft w:val="0"/>
      <w:marRight w:val="0"/>
      <w:marTop w:val="0"/>
      <w:marBottom w:val="0"/>
      <w:divBdr>
        <w:top w:val="none" w:sz="0" w:space="0" w:color="auto"/>
        <w:left w:val="none" w:sz="0" w:space="0" w:color="auto"/>
        <w:bottom w:val="none" w:sz="0" w:space="0" w:color="auto"/>
        <w:right w:val="none" w:sz="0" w:space="0" w:color="auto"/>
      </w:divBdr>
    </w:div>
    <w:div w:id="1556113762">
      <w:bodyDiv w:val="1"/>
      <w:marLeft w:val="0"/>
      <w:marRight w:val="0"/>
      <w:marTop w:val="0"/>
      <w:marBottom w:val="0"/>
      <w:divBdr>
        <w:top w:val="none" w:sz="0" w:space="0" w:color="auto"/>
        <w:left w:val="none" w:sz="0" w:space="0" w:color="auto"/>
        <w:bottom w:val="none" w:sz="0" w:space="0" w:color="auto"/>
        <w:right w:val="none" w:sz="0" w:space="0" w:color="auto"/>
      </w:divBdr>
    </w:div>
    <w:div w:id="1556507522">
      <w:bodyDiv w:val="1"/>
      <w:marLeft w:val="0"/>
      <w:marRight w:val="0"/>
      <w:marTop w:val="0"/>
      <w:marBottom w:val="0"/>
      <w:divBdr>
        <w:top w:val="none" w:sz="0" w:space="0" w:color="auto"/>
        <w:left w:val="none" w:sz="0" w:space="0" w:color="auto"/>
        <w:bottom w:val="none" w:sz="0" w:space="0" w:color="auto"/>
        <w:right w:val="none" w:sz="0" w:space="0" w:color="auto"/>
      </w:divBdr>
    </w:div>
    <w:div w:id="1557165047">
      <w:bodyDiv w:val="1"/>
      <w:marLeft w:val="0"/>
      <w:marRight w:val="0"/>
      <w:marTop w:val="0"/>
      <w:marBottom w:val="0"/>
      <w:divBdr>
        <w:top w:val="none" w:sz="0" w:space="0" w:color="auto"/>
        <w:left w:val="none" w:sz="0" w:space="0" w:color="auto"/>
        <w:bottom w:val="none" w:sz="0" w:space="0" w:color="auto"/>
        <w:right w:val="none" w:sz="0" w:space="0" w:color="auto"/>
      </w:divBdr>
    </w:div>
    <w:div w:id="1557206055">
      <w:bodyDiv w:val="1"/>
      <w:marLeft w:val="0"/>
      <w:marRight w:val="0"/>
      <w:marTop w:val="0"/>
      <w:marBottom w:val="0"/>
      <w:divBdr>
        <w:top w:val="none" w:sz="0" w:space="0" w:color="auto"/>
        <w:left w:val="none" w:sz="0" w:space="0" w:color="auto"/>
        <w:bottom w:val="none" w:sz="0" w:space="0" w:color="auto"/>
        <w:right w:val="none" w:sz="0" w:space="0" w:color="auto"/>
      </w:divBdr>
    </w:div>
    <w:div w:id="1557279124">
      <w:bodyDiv w:val="1"/>
      <w:marLeft w:val="0"/>
      <w:marRight w:val="0"/>
      <w:marTop w:val="0"/>
      <w:marBottom w:val="0"/>
      <w:divBdr>
        <w:top w:val="none" w:sz="0" w:space="0" w:color="auto"/>
        <w:left w:val="none" w:sz="0" w:space="0" w:color="auto"/>
        <w:bottom w:val="none" w:sz="0" w:space="0" w:color="auto"/>
        <w:right w:val="none" w:sz="0" w:space="0" w:color="auto"/>
      </w:divBdr>
    </w:div>
    <w:div w:id="1558394672">
      <w:bodyDiv w:val="1"/>
      <w:marLeft w:val="0"/>
      <w:marRight w:val="0"/>
      <w:marTop w:val="0"/>
      <w:marBottom w:val="0"/>
      <w:divBdr>
        <w:top w:val="none" w:sz="0" w:space="0" w:color="auto"/>
        <w:left w:val="none" w:sz="0" w:space="0" w:color="auto"/>
        <w:bottom w:val="none" w:sz="0" w:space="0" w:color="auto"/>
        <w:right w:val="none" w:sz="0" w:space="0" w:color="auto"/>
      </w:divBdr>
    </w:div>
    <w:div w:id="1559436647">
      <w:bodyDiv w:val="1"/>
      <w:marLeft w:val="0"/>
      <w:marRight w:val="0"/>
      <w:marTop w:val="0"/>
      <w:marBottom w:val="0"/>
      <w:divBdr>
        <w:top w:val="none" w:sz="0" w:space="0" w:color="auto"/>
        <w:left w:val="none" w:sz="0" w:space="0" w:color="auto"/>
        <w:bottom w:val="none" w:sz="0" w:space="0" w:color="auto"/>
        <w:right w:val="none" w:sz="0" w:space="0" w:color="auto"/>
      </w:divBdr>
    </w:div>
    <w:div w:id="1559709023">
      <w:bodyDiv w:val="1"/>
      <w:marLeft w:val="0"/>
      <w:marRight w:val="0"/>
      <w:marTop w:val="0"/>
      <w:marBottom w:val="0"/>
      <w:divBdr>
        <w:top w:val="none" w:sz="0" w:space="0" w:color="auto"/>
        <w:left w:val="none" w:sz="0" w:space="0" w:color="auto"/>
        <w:bottom w:val="none" w:sz="0" w:space="0" w:color="auto"/>
        <w:right w:val="none" w:sz="0" w:space="0" w:color="auto"/>
      </w:divBdr>
    </w:div>
    <w:div w:id="1560555771">
      <w:bodyDiv w:val="1"/>
      <w:marLeft w:val="0"/>
      <w:marRight w:val="0"/>
      <w:marTop w:val="0"/>
      <w:marBottom w:val="0"/>
      <w:divBdr>
        <w:top w:val="none" w:sz="0" w:space="0" w:color="auto"/>
        <w:left w:val="none" w:sz="0" w:space="0" w:color="auto"/>
        <w:bottom w:val="none" w:sz="0" w:space="0" w:color="auto"/>
        <w:right w:val="none" w:sz="0" w:space="0" w:color="auto"/>
      </w:divBdr>
    </w:div>
    <w:div w:id="1560901609">
      <w:bodyDiv w:val="1"/>
      <w:marLeft w:val="0"/>
      <w:marRight w:val="0"/>
      <w:marTop w:val="0"/>
      <w:marBottom w:val="0"/>
      <w:divBdr>
        <w:top w:val="none" w:sz="0" w:space="0" w:color="auto"/>
        <w:left w:val="none" w:sz="0" w:space="0" w:color="auto"/>
        <w:bottom w:val="none" w:sz="0" w:space="0" w:color="auto"/>
        <w:right w:val="none" w:sz="0" w:space="0" w:color="auto"/>
      </w:divBdr>
    </w:div>
    <w:div w:id="1560939694">
      <w:bodyDiv w:val="1"/>
      <w:marLeft w:val="0"/>
      <w:marRight w:val="0"/>
      <w:marTop w:val="0"/>
      <w:marBottom w:val="0"/>
      <w:divBdr>
        <w:top w:val="none" w:sz="0" w:space="0" w:color="auto"/>
        <w:left w:val="none" w:sz="0" w:space="0" w:color="auto"/>
        <w:bottom w:val="none" w:sz="0" w:space="0" w:color="auto"/>
        <w:right w:val="none" w:sz="0" w:space="0" w:color="auto"/>
      </w:divBdr>
    </w:div>
    <w:div w:id="1561087059">
      <w:bodyDiv w:val="1"/>
      <w:marLeft w:val="0"/>
      <w:marRight w:val="0"/>
      <w:marTop w:val="0"/>
      <w:marBottom w:val="0"/>
      <w:divBdr>
        <w:top w:val="none" w:sz="0" w:space="0" w:color="auto"/>
        <w:left w:val="none" w:sz="0" w:space="0" w:color="auto"/>
        <w:bottom w:val="none" w:sz="0" w:space="0" w:color="auto"/>
        <w:right w:val="none" w:sz="0" w:space="0" w:color="auto"/>
      </w:divBdr>
    </w:div>
    <w:div w:id="1562330630">
      <w:bodyDiv w:val="1"/>
      <w:marLeft w:val="0"/>
      <w:marRight w:val="0"/>
      <w:marTop w:val="0"/>
      <w:marBottom w:val="0"/>
      <w:divBdr>
        <w:top w:val="none" w:sz="0" w:space="0" w:color="auto"/>
        <w:left w:val="none" w:sz="0" w:space="0" w:color="auto"/>
        <w:bottom w:val="none" w:sz="0" w:space="0" w:color="auto"/>
        <w:right w:val="none" w:sz="0" w:space="0" w:color="auto"/>
      </w:divBdr>
    </w:div>
    <w:div w:id="1564170961">
      <w:bodyDiv w:val="1"/>
      <w:marLeft w:val="0"/>
      <w:marRight w:val="0"/>
      <w:marTop w:val="0"/>
      <w:marBottom w:val="0"/>
      <w:divBdr>
        <w:top w:val="none" w:sz="0" w:space="0" w:color="auto"/>
        <w:left w:val="none" w:sz="0" w:space="0" w:color="auto"/>
        <w:bottom w:val="none" w:sz="0" w:space="0" w:color="auto"/>
        <w:right w:val="none" w:sz="0" w:space="0" w:color="auto"/>
      </w:divBdr>
    </w:div>
    <w:div w:id="1564564762">
      <w:bodyDiv w:val="1"/>
      <w:marLeft w:val="0"/>
      <w:marRight w:val="0"/>
      <w:marTop w:val="0"/>
      <w:marBottom w:val="0"/>
      <w:divBdr>
        <w:top w:val="none" w:sz="0" w:space="0" w:color="auto"/>
        <w:left w:val="none" w:sz="0" w:space="0" w:color="auto"/>
        <w:bottom w:val="none" w:sz="0" w:space="0" w:color="auto"/>
        <w:right w:val="none" w:sz="0" w:space="0" w:color="auto"/>
      </w:divBdr>
    </w:div>
    <w:div w:id="1565868482">
      <w:bodyDiv w:val="1"/>
      <w:marLeft w:val="0"/>
      <w:marRight w:val="0"/>
      <w:marTop w:val="0"/>
      <w:marBottom w:val="0"/>
      <w:divBdr>
        <w:top w:val="none" w:sz="0" w:space="0" w:color="auto"/>
        <w:left w:val="none" w:sz="0" w:space="0" w:color="auto"/>
        <w:bottom w:val="none" w:sz="0" w:space="0" w:color="auto"/>
        <w:right w:val="none" w:sz="0" w:space="0" w:color="auto"/>
      </w:divBdr>
    </w:div>
    <w:div w:id="1566062293">
      <w:bodyDiv w:val="1"/>
      <w:marLeft w:val="0"/>
      <w:marRight w:val="0"/>
      <w:marTop w:val="0"/>
      <w:marBottom w:val="0"/>
      <w:divBdr>
        <w:top w:val="none" w:sz="0" w:space="0" w:color="auto"/>
        <w:left w:val="none" w:sz="0" w:space="0" w:color="auto"/>
        <w:bottom w:val="none" w:sz="0" w:space="0" w:color="auto"/>
        <w:right w:val="none" w:sz="0" w:space="0" w:color="auto"/>
      </w:divBdr>
    </w:div>
    <w:div w:id="1566528675">
      <w:bodyDiv w:val="1"/>
      <w:marLeft w:val="0"/>
      <w:marRight w:val="0"/>
      <w:marTop w:val="0"/>
      <w:marBottom w:val="0"/>
      <w:divBdr>
        <w:top w:val="none" w:sz="0" w:space="0" w:color="auto"/>
        <w:left w:val="none" w:sz="0" w:space="0" w:color="auto"/>
        <w:bottom w:val="none" w:sz="0" w:space="0" w:color="auto"/>
        <w:right w:val="none" w:sz="0" w:space="0" w:color="auto"/>
      </w:divBdr>
    </w:div>
    <w:div w:id="1566599495">
      <w:bodyDiv w:val="1"/>
      <w:marLeft w:val="0"/>
      <w:marRight w:val="0"/>
      <w:marTop w:val="0"/>
      <w:marBottom w:val="0"/>
      <w:divBdr>
        <w:top w:val="none" w:sz="0" w:space="0" w:color="auto"/>
        <w:left w:val="none" w:sz="0" w:space="0" w:color="auto"/>
        <w:bottom w:val="none" w:sz="0" w:space="0" w:color="auto"/>
        <w:right w:val="none" w:sz="0" w:space="0" w:color="auto"/>
      </w:divBdr>
    </w:div>
    <w:div w:id="1567491968">
      <w:bodyDiv w:val="1"/>
      <w:marLeft w:val="0"/>
      <w:marRight w:val="0"/>
      <w:marTop w:val="0"/>
      <w:marBottom w:val="0"/>
      <w:divBdr>
        <w:top w:val="none" w:sz="0" w:space="0" w:color="auto"/>
        <w:left w:val="none" w:sz="0" w:space="0" w:color="auto"/>
        <w:bottom w:val="none" w:sz="0" w:space="0" w:color="auto"/>
        <w:right w:val="none" w:sz="0" w:space="0" w:color="auto"/>
      </w:divBdr>
    </w:div>
    <w:div w:id="1567957450">
      <w:bodyDiv w:val="1"/>
      <w:marLeft w:val="0"/>
      <w:marRight w:val="0"/>
      <w:marTop w:val="0"/>
      <w:marBottom w:val="0"/>
      <w:divBdr>
        <w:top w:val="none" w:sz="0" w:space="0" w:color="auto"/>
        <w:left w:val="none" w:sz="0" w:space="0" w:color="auto"/>
        <w:bottom w:val="none" w:sz="0" w:space="0" w:color="auto"/>
        <w:right w:val="none" w:sz="0" w:space="0" w:color="auto"/>
      </w:divBdr>
    </w:div>
    <w:div w:id="1568493041">
      <w:bodyDiv w:val="1"/>
      <w:marLeft w:val="0"/>
      <w:marRight w:val="0"/>
      <w:marTop w:val="0"/>
      <w:marBottom w:val="0"/>
      <w:divBdr>
        <w:top w:val="none" w:sz="0" w:space="0" w:color="auto"/>
        <w:left w:val="none" w:sz="0" w:space="0" w:color="auto"/>
        <w:bottom w:val="none" w:sz="0" w:space="0" w:color="auto"/>
        <w:right w:val="none" w:sz="0" w:space="0" w:color="auto"/>
      </w:divBdr>
    </w:div>
    <w:div w:id="1569074023">
      <w:bodyDiv w:val="1"/>
      <w:marLeft w:val="0"/>
      <w:marRight w:val="0"/>
      <w:marTop w:val="0"/>
      <w:marBottom w:val="0"/>
      <w:divBdr>
        <w:top w:val="none" w:sz="0" w:space="0" w:color="auto"/>
        <w:left w:val="none" w:sz="0" w:space="0" w:color="auto"/>
        <w:bottom w:val="none" w:sz="0" w:space="0" w:color="auto"/>
        <w:right w:val="none" w:sz="0" w:space="0" w:color="auto"/>
      </w:divBdr>
    </w:div>
    <w:div w:id="1569346323">
      <w:bodyDiv w:val="1"/>
      <w:marLeft w:val="0"/>
      <w:marRight w:val="0"/>
      <w:marTop w:val="0"/>
      <w:marBottom w:val="0"/>
      <w:divBdr>
        <w:top w:val="none" w:sz="0" w:space="0" w:color="auto"/>
        <w:left w:val="none" w:sz="0" w:space="0" w:color="auto"/>
        <w:bottom w:val="none" w:sz="0" w:space="0" w:color="auto"/>
        <w:right w:val="none" w:sz="0" w:space="0" w:color="auto"/>
      </w:divBdr>
    </w:div>
    <w:div w:id="1570773195">
      <w:bodyDiv w:val="1"/>
      <w:marLeft w:val="0"/>
      <w:marRight w:val="0"/>
      <w:marTop w:val="0"/>
      <w:marBottom w:val="0"/>
      <w:divBdr>
        <w:top w:val="none" w:sz="0" w:space="0" w:color="auto"/>
        <w:left w:val="none" w:sz="0" w:space="0" w:color="auto"/>
        <w:bottom w:val="none" w:sz="0" w:space="0" w:color="auto"/>
        <w:right w:val="none" w:sz="0" w:space="0" w:color="auto"/>
      </w:divBdr>
    </w:div>
    <w:div w:id="1573150932">
      <w:bodyDiv w:val="1"/>
      <w:marLeft w:val="0"/>
      <w:marRight w:val="0"/>
      <w:marTop w:val="0"/>
      <w:marBottom w:val="0"/>
      <w:divBdr>
        <w:top w:val="none" w:sz="0" w:space="0" w:color="auto"/>
        <w:left w:val="none" w:sz="0" w:space="0" w:color="auto"/>
        <w:bottom w:val="none" w:sz="0" w:space="0" w:color="auto"/>
        <w:right w:val="none" w:sz="0" w:space="0" w:color="auto"/>
      </w:divBdr>
    </w:div>
    <w:div w:id="1573154889">
      <w:bodyDiv w:val="1"/>
      <w:marLeft w:val="0"/>
      <w:marRight w:val="0"/>
      <w:marTop w:val="0"/>
      <w:marBottom w:val="0"/>
      <w:divBdr>
        <w:top w:val="none" w:sz="0" w:space="0" w:color="auto"/>
        <w:left w:val="none" w:sz="0" w:space="0" w:color="auto"/>
        <w:bottom w:val="none" w:sz="0" w:space="0" w:color="auto"/>
        <w:right w:val="none" w:sz="0" w:space="0" w:color="auto"/>
      </w:divBdr>
    </w:div>
    <w:div w:id="1574000354">
      <w:bodyDiv w:val="1"/>
      <w:marLeft w:val="0"/>
      <w:marRight w:val="0"/>
      <w:marTop w:val="0"/>
      <w:marBottom w:val="0"/>
      <w:divBdr>
        <w:top w:val="none" w:sz="0" w:space="0" w:color="auto"/>
        <w:left w:val="none" w:sz="0" w:space="0" w:color="auto"/>
        <w:bottom w:val="none" w:sz="0" w:space="0" w:color="auto"/>
        <w:right w:val="none" w:sz="0" w:space="0" w:color="auto"/>
      </w:divBdr>
    </w:div>
    <w:div w:id="1574043656">
      <w:bodyDiv w:val="1"/>
      <w:marLeft w:val="0"/>
      <w:marRight w:val="0"/>
      <w:marTop w:val="0"/>
      <w:marBottom w:val="0"/>
      <w:divBdr>
        <w:top w:val="none" w:sz="0" w:space="0" w:color="auto"/>
        <w:left w:val="none" w:sz="0" w:space="0" w:color="auto"/>
        <w:bottom w:val="none" w:sz="0" w:space="0" w:color="auto"/>
        <w:right w:val="none" w:sz="0" w:space="0" w:color="auto"/>
      </w:divBdr>
    </w:div>
    <w:div w:id="1574194536">
      <w:bodyDiv w:val="1"/>
      <w:marLeft w:val="0"/>
      <w:marRight w:val="0"/>
      <w:marTop w:val="0"/>
      <w:marBottom w:val="0"/>
      <w:divBdr>
        <w:top w:val="none" w:sz="0" w:space="0" w:color="auto"/>
        <w:left w:val="none" w:sz="0" w:space="0" w:color="auto"/>
        <w:bottom w:val="none" w:sz="0" w:space="0" w:color="auto"/>
        <w:right w:val="none" w:sz="0" w:space="0" w:color="auto"/>
      </w:divBdr>
    </w:div>
    <w:div w:id="1574195471">
      <w:bodyDiv w:val="1"/>
      <w:marLeft w:val="0"/>
      <w:marRight w:val="0"/>
      <w:marTop w:val="0"/>
      <w:marBottom w:val="0"/>
      <w:divBdr>
        <w:top w:val="none" w:sz="0" w:space="0" w:color="auto"/>
        <w:left w:val="none" w:sz="0" w:space="0" w:color="auto"/>
        <w:bottom w:val="none" w:sz="0" w:space="0" w:color="auto"/>
        <w:right w:val="none" w:sz="0" w:space="0" w:color="auto"/>
      </w:divBdr>
    </w:div>
    <w:div w:id="1575164398">
      <w:bodyDiv w:val="1"/>
      <w:marLeft w:val="0"/>
      <w:marRight w:val="0"/>
      <w:marTop w:val="0"/>
      <w:marBottom w:val="0"/>
      <w:divBdr>
        <w:top w:val="none" w:sz="0" w:space="0" w:color="auto"/>
        <w:left w:val="none" w:sz="0" w:space="0" w:color="auto"/>
        <w:bottom w:val="none" w:sz="0" w:space="0" w:color="auto"/>
        <w:right w:val="none" w:sz="0" w:space="0" w:color="auto"/>
      </w:divBdr>
    </w:div>
    <w:div w:id="1575621567">
      <w:bodyDiv w:val="1"/>
      <w:marLeft w:val="0"/>
      <w:marRight w:val="0"/>
      <w:marTop w:val="0"/>
      <w:marBottom w:val="0"/>
      <w:divBdr>
        <w:top w:val="none" w:sz="0" w:space="0" w:color="auto"/>
        <w:left w:val="none" w:sz="0" w:space="0" w:color="auto"/>
        <w:bottom w:val="none" w:sz="0" w:space="0" w:color="auto"/>
        <w:right w:val="none" w:sz="0" w:space="0" w:color="auto"/>
      </w:divBdr>
    </w:div>
    <w:div w:id="1575630161">
      <w:bodyDiv w:val="1"/>
      <w:marLeft w:val="0"/>
      <w:marRight w:val="0"/>
      <w:marTop w:val="0"/>
      <w:marBottom w:val="0"/>
      <w:divBdr>
        <w:top w:val="none" w:sz="0" w:space="0" w:color="auto"/>
        <w:left w:val="none" w:sz="0" w:space="0" w:color="auto"/>
        <w:bottom w:val="none" w:sz="0" w:space="0" w:color="auto"/>
        <w:right w:val="none" w:sz="0" w:space="0" w:color="auto"/>
      </w:divBdr>
    </w:div>
    <w:div w:id="1575698864">
      <w:bodyDiv w:val="1"/>
      <w:marLeft w:val="0"/>
      <w:marRight w:val="0"/>
      <w:marTop w:val="0"/>
      <w:marBottom w:val="0"/>
      <w:divBdr>
        <w:top w:val="none" w:sz="0" w:space="0" w:color="auto"/>
        <w:left w:val="none" w:sz="0" w:space="0" w:color="auto"/>
        <w:bottom w:val="none" w:sz="0" w:space="0" w:color="auto"/>
        <w:right w:val="none" w:sz="0" w:space="0" w:color="auto"/>
      </w:divBdr>
    </w:div>
    <w:div w:id="1576086090">
      <w:bodyDiv w:val="1"/>
      <w:marLeft w:val="0"/>
      <w:marRight w:val="0"/>
      <w:marTop w:val="0"/>
      <w:marBottom w:val="0"/>
      <w:divBdr>
        <w:top w:val="none" w:sz="0" w:space="0" w:color="auto"/>
        <w:left w:val="none" w:sz="0" w:space="0" w:color="auto"/>
        <w:bottom w:val="none" w:sz="0" w:space="0" w:color="auto"/>
        <w:right w:val="none" w:sz="0" w:space="0" w:color="auto"/>
      </w:divBdr>
    </w:div>
    <w:div w:id="1576665725">
      <w:bodyDiv w:val="1"/>
      <w:marLeft w:val="0"/>
      <w:marRight w:val="0"/>
      <w:marTop w:val="0"/>
      <w:marBottom w:val="0"/>
      <w:divBdr>
        <w:top w:val="none" w:sz="0" w:space="0" w:color="auto"/>
        <w:left w:val="none" w:sz="0" w:space="0" w:color="auto"/>
        <w:bottom w:val="none" w:sz="0" w:space="0" w:color="auto"/>
        <w:right w:val="none" w:sz="0" w:space="0" w:color="auto"/>
      </w:divBdr>
    </w:div>
    <w:div w:id="1576747480">
      <w:bodyDiv w:val="1"/>
      <w:marLeft w:val="0"/>
      <w:marRight w:val="0"/>
      <w:marTop w:val="0"/>
      <w:marBottom w:val="0"/>
      <w:divBdr>
        <w:top w:val="none" w:sz="0" w:space="0" w:color="auto"/>
        <w:left w:val="none" w:sz="0" w:space="0" w:color="auto"/>
        <w:bottom w:val="none" w:sz="0" w:space="0" w:color="auto"/>
        <w:right w:val="none" w:sz="0" w:space="0" w:color="auto"/>
      </w:divBdr>
    </w:div>
    <w:div w:id="1577086277">
      <w:bodyDiv w:val="1"/>
      <w:marLeft w:val="0"/>
      <w:marRight w:val="0"/>
      <w:marTop w:val="0"/>
      <w:marBottom w:val="0"/>
      <w:divBdr>
        <w:top w:val="none" w:sz="0" w:space="0" w:color="auto"/>
        <w:left w:val="none" w:sz="0" w:space="0" w:color="auto"/>
        <w:bottom w:val="none" w:sz="0" w:space="0" w:color="auto"/>
        <w:right w:val="none" w:sz="0" w:space="0" w:color="auto"/>
      </w:divBdr>
    </w:div>
    <w:div w:id="1577131286">
      <w:bodyDiv w:val="1"/>
      <w:marLeft w:val="0"/>
      <w:marRight w:val="0"/>
      <w:marTop w:val="0"/>
      <w:marBottom w:val="0"/>
      <w:divBdr>
        <w:top w:val="none" w:sz="0" w:space="0" w:color="auto"/>
        <w:left w:val="none" w:sz="0" w:space="0" w:color="auto"/>
        <w:bottom w:val="none" w:sz="0" w:space="0" w:color="auto"/>
        <w:right w:val="none" w:sz="0" w:space="0" w:color="auto"/>
      </w:divBdr>
    </w:div>
    <w:div w:id="1577862983">
      <w:bodyDiv w:val="1"/>
      <w:marLeft w:val="0"/>
      <w:marRight w:val="0"/>
      <w:marTop w:val="0"/>
      <w:marBottom w:val="0"/>
      <w:divBdr>
        <w:top w:val="none" w:sz="0" w:space="0" w:color="auto"/>
        <w:left w:val="none" w:sz="0" w:space="0" w:color="auto"/>
        <w:bottom w:val="none" w:sz="0" w:space="0" w:color="auto"/>
        <w:right w:val="none" w:sz="0" w:space="0" w:color="auto"/>
      </w:divBdr>
    </w:div>
    <w:div w:id="1578133848">
      <w:bodyDiv w:val="1"/>
      <w:marLeft w:val="0"/>
      <w:marRight w:val="0"/>
      <w:marTop w:val="0"/>
      <w:marBottom w:val="0"/>
      <w:divBdr>
        <w:top w:val="none" w:sz="0" w:space="0" w:color="auto"/>
        <w:left w:val="none" w:sz="0" w:space="0" w:color="auto"/>
        <w:bottom w:val="none" w:sz="0" w:space="0" w:color="auto"/>
        <w:right w:val="none" w:sz="0" w:space="0" w:color="auto"/>
      </w:divBdr>
    </w:div>
    <w:div w:id="1578200350">
      <w:bodyDiv w:val="1"/>
      <w:marLeft w:val="0"/>
      <w:marRight w:val="0"/>
      <w:marTop w:val="0"/>
      <w:marBottom w:val="0"/>
      <w:divBdr>
        <w:top w:val="none" w:sz="0" w:space="0" w:color="auto"/>
        <w:left w:val="none" w:sz="0" w:space="0" w:color="auto"/>
        <w:bottom w:val="none" w:sz="0" w:space="0" w:color="auto"/>
        <w:right w:val="none" w:sz="0" w:space="0" w:color="auto"/>
      </w:divBdr>
    </w:div>
    <w:div w:id="1578318459">
      <w:bodyDiv w:val="1"/>
      <w:marLeft w:val="0"/>
      <w:marRight w:val="0"/>
      <w:marTop w:val="0"/>
      <w:marBottom w:val="0"/>
      <w:divBdr>
        <w:top w:val="none" w:sz="0" w:space="0" w:color="auto"/>
        <w:left w:val="none" w:sz="0" w:space="0" w:color="auto"/>
        <w:bottom w:val="none" w:sz="0" w:space="0" w:color="auto"/>
        <w:right w:val="none" w:sz="0" w:space="0" w:color="auto"/>
      </w:divBdr>
    </w:div>
    <w:div w:id="1578787502">
      <w:bodyDiv w:val="1"/>
      <w:marLeft w:val="0"/>
      <w:marRight w:val="0"/>
      <w:marTop w:val="0"/>
      <w:marBottom w:val="0"/>
      <w:divBdr>
        <w:top w:val="none" w:sz="0" w:space="0" w:color="auto"/>
        <w:left w:val="none" w:sz="0" w:space="0" w:color="auto"/>
        <w:bottom w:val="none" w:sz="0" w:space="0" w:color="auto"/>
        <w:right w:val="none" w:sz="0" w:space="0" w:color="auto"/>
      </w:divBdr>
    </w:div>
    <w:div w:id="1578787883">
      <w:bodyDiv w:val="1"/>
      <w:marLeft w:val="0"/>
      <w:marRight w:val="0"/>
      <w:marTop w:val="0"/>
      <w:marBottom w:val="0"/>
      <w:divBdr>
        <w:top w:val="none" w:sz="0" w:space="0" w:color="auto"/>
        <w:left w:val="none" w:sz="0" w:space="0" w:color="auto"/>
        <w:bottom w:val="none" w:sz="0" w:space="0" w:color="auto"/>
        <w:right w:val="none" w:sz="0" w:space="0" w:color="auto"/>
      </w:divBdr>
    </w:div>
    <w:div w:id="1579636302">
      <w:bodyDiv w:val="1"/>
      <w:marLeft w:val="0"/>
      <w:marRight w:val="0"/>
      <w:marTop w:val="0"/>
      <w:marBottom w:val="0"/>
      <w:divBdr>
        <w:top w:val="none" w:sz="0" w:space="0" w:color="auto"/>
        <w:left w:val="none" w:sz="0" w:space="0" w:color="auto"/>
        <w:bottom w:val="none" w:sz="0" w:space="0" w:color="auto"/>
        <w:right w:val="none" w:sz="0" w:space="0" w:color="auto"/>
      </w:divBdr>
      <w:divsChild>
        <w:div w:id="351424075">
          <w:marLeft w:val="480"/>
          <w:marRight w:val="0"/>
          <w:marTop w:val="0"/>
          <w:marBottom w:val="0"/>
          <w:divBdr>
            <w:top w:val="none" w:sz="0" w:space="0" w:color="auto"/>
            <w:left w:val="none" w:sz="0" w:space="0" w:color="auto"/>
            <w:bottom w:val="none" w:sz="0" w:space="0" w:color="auto"/>
            <w:right w:val="none" w:sz="0" w:space="0" w:color="auto"/>
          </w:divBdr>
        </w:div>
        <w:div w:id="2034765833">
          <w:marLeft w:val="480"/>
          <w:marRight w:val="0"/>
          <w:marTop w:val="0"/>
          <w:marBottom w:val="0"/>
          <w:divBdr>
            <w:top w:val="none" w:sz="0" w:space="0" w:color="auto"/>
            <w:left w:val="none" w:sz="0" w:space="0" w:color="auto"/>
            <w:bottom w:val="none" w:sz="0" w:space="0" w:color="auto"/>
            <w:right w:val="none" w:sz="0" w:space="0" w:color="auto"/>
          </w:divBdr>
        </w:div>
        <w:div w:id="1558779880">
          <w:marLeft w:val="480"/>
          <w:marRight w:val="0"/>
          <w:marTop w:val="0"/>
          <w:marBottom w:val="0"/>
          <w:divBdr>
            <w:top w:val="none" w:sz="0" w:space="0" w:color="auto"/>
            <w:left w:val="none" w:sz="0" w:space="0" w:color="auto"/>
            <w:bottom w:val="none" w:sz="0" w:space="0" w:color="auto"/>
            <w:right w:val="none" w:sz="0" w:space="0" w:color="auto"/>
          </w:divBdr>
        </w:div>
        <w:div w:id="407772105">
          <w:marLeft w:val="480"/>
          <w:marRight w:val="0"/>
          <w:marTop w:val="0"/>
          <w:marBottom w:val="0"/>
          <w:divBdr>
            <w:top w:val="none" w:sz="0" w:space="0" w:color="auto"/>
            <w:left w:val="none" w:sz="0" w:space="0" w:color="auto"/>
            <w:bottom w:val="none" w:sz="0" w:space="0" w:color="auto"/>
            <w:right w:val="none" w:sz="0" w:space="0" w:color="auto"/>
          </w:divBdr>
        </w:div>
        <w:div w:id="303848680">
          <w:marLeft w:val="480"/>
          <w:marRight w:val="0"/>
          <w:marTop w:val="0"/>
          <w:marBottom w:val="0"/>
          <w:divBdr>
            <w:top w:val="none" w:sz="0" w:space="0" w:color="auto"/>
            <w:left w:val="none" w:sz="0" w:space="0" w:color="auto"/>
            <w:bottom w:val="none" w:sz="0" w:space="0" w:color="auto"/>
            <w:right w:val="none" w:sz="0" w:space="0" w:color="auto"/>
          </w:divBdr>
        </w:div>
        <w:div w:id="487207286">
          <w:marLeft w:val="480"/>
          <w:marRight w:val="0"/>
          <w:marTop w:val="0"/>
          <w:marBottom w:val="0"/>
          <w:divBdr>
            <w:top w:val="none" w:sz="0" w:space="0" w:color="auto"/>
            <w:left w:val="none" w:sz="0" w:space="0" w:color="auto"/>
            <w:bottom w:val="none" w:sz="0" w:space="0" w:color="auto"/>
            <w:right w:val="none" w:sz="0" w:space="0" w:color="auto"/>
          </w:divBdr>
        </w:div>
        <w:div w:id="428698744">
          <w:marLeft w:val="480"/>
          <w:marRight w:val="0"/>
          <w:marTop w:val="0"/>
          <w:marBottom w:val="0"/>
          <w:divBdr>
            <w:top w:val="none" w:sz="0" w:space="0" w:color="auto"/>
            <w:left w:val="none" w:sz="0" w:space="0" w:color="auto"/>
            <w:bottom w:val="none" w:sz="0" w:space="0" w:color="auto"/>
            <w:right w:val="none" w:sz="0" w:space="0" w:color="auto"/>
          </w:divBdr>
        </w:div>
        <w:div w:id="714963409">
          <w:marLeft w:val="480"/>
          <w:marRight w:val="0"/>
          <w:marTop w:val="0"/>
          <w:marBottom w:val="0"/>
          <w:divBdr>
            <w:top w:val="none" w:sz="0" w:space="0" w:color="auto"/>
            <w:left w:val="none" w:sz="0" w:space="0" w:color="auto"/>
            <w:bottom w:val="none" w:sz="0" w:space="0" w:color="auto"/>
            <w:right w:val="none" w:sz="0" w:space="0" w:color="auto"/>
          </w:divBdr>
        </w:div>
        <w:div w:id="1006979690">
          <w:marLeft w:val="480"/>
          <w:marRight w:val="0"/>
          <w:marTop w:val="0"/>
          <w:marBottom w:val="0"/>
          <w:divBdr>
            <w:top w:val="none" w:sz="0" w:space="0" w:color="auto"/>
            <w:left w:val="none" w:sz="0" w:space="0" w:color="auto"/>
            <w:bottom w:val="none" w:sz="0" w:space="0" w:color="auto"/>
            <w:right w:val="none" w:sz="0" w:space="0" w:color="auto"/>
          </w:divBdr>
        </w:div>
        <w:div w:id="859244385">
          <w:marLeft w:val="480"/>
          <w:marRight w:val="0"/>
          <w:marTop w:val="0"/>
          <w:marBottom w:val="0"/>
          <w:divBdr>
            <w:top w:val="none" w:sz="0" w:space="0" w:color="auto"/>
            <w:left w:val="none" w:sz="0" w:space="0" w:color="auto"/>
            <w:bottom w:val="none" w:sz="0" w:space="0" w:color="auto"/>
            <w:right w:val="none" w:sz="0" w:space="0" w:color="auto"/>
          </w:divBdr>
        </w:div>
        <w:div w:id="670110253">
          <w:marLeft w:val="480"/>
          <w:marRight w:val="0"/>
          <w:marTop w:val="0"/>
          <w:marBottom w:val="0"/>
          <w:divBdr>
            <w:top w:val="none" w:sz="0" w:space="0" w:color="auto"/>
            <w:left w:val="none" w:sz="0" w:space="0" w:color="auto"/>
            <w:bottom w:val="none" w:sz="0" w:space="0" w:color="auto"/>
            <w:right w:val="none" w:sz="0" w:space="0" w:color="auto"/>
          </w:divBdr>
        </w:div>
        <w:div w:id="1528978894">
          <w:marLeft w:val="480"/>
          <w:marRight w:val="0"/>
          <w:marTop w:val="0"/>
          <w:marBottom w:val="0"/>
          <w:divBdr>
            <w:top w:val="none" w:sz="0" w:space="0" w:color="auto"/>
            <w:left w:val="none" w:sz="0" w:space="0" w:color="auto"/>
            <w:bottom w:val="none" w:sz="0" w:space="0" w:color="auto"/>
            <w:right w:val="none" w:sz="0" w:space="0" w:color="auto"/>
          </w:divBdr>
        </w:div>
        <w:div w:id="396128969">
          <w:marLeft w:val="480"/>
          <w:marRight w:val="0"/>
          <w:marTop w:val="0"/>
          <w:marBottom w:val="0"/>
          <w:divBdr>
            <w:top w:val="none" w:sz="0" w:space="0" w:color="auto"/>
            <w:left w:val="none" w:sz="0" w:space="0" w:color="auto"/>
            <w:bottom w:val="none" w:sz="0" w:space="0" w:color="auto"/>
            <w:right w:val="none" w:sz="0" w:space="0" w:color="auto"/>
          </w:divBdr>
        </w:div>
        <w:div w:id="135346014">
          <w:marLeft w:val="480"/>
          <w:marRight w:val="0"/>
          <w:marTop w:val="0"/>
          <w:marBottom w:val="0"/>
          <w:divBdr>
            <w:top w:val="none" w:sz="0" w:space="0" w:color="auto"/>
            <w:left w:val="none" w:sz="0" w:space="0" w:color="auto"/>
            <w:bottom w:val="none" w:sz="0" w:space="0" w:color="auto"/>
            <w:right w:val="none" w:sz="0" w:space="0" w:color="auto"/>
          </w:divBdr>
        </w:div>
        <w:div w:id="488253982">
          <w:marLeft w:val="480"/>
          <w:marRight w:val="0"/>
          <w:marTop w:val="0"/>
          <w:marBottom w:val="0"/>
          <w:divBdr>
            <w:top w:val="none" w:sz="0" w:space="0" w:color="auto"/>
            <w:left w:val="none" w:sz="0" w:space="0" w:color="auto"/>
            <w:bottom w:val="none" w:sz="0" w:space="0" w:color="auto"/>
            <w:right w:val="none" w:sz="0" w:space="0" w:color="auto"/>
          </w:divBdr>
        </w:div>
        <w:div w:id="1218588876">
          <w:marLeft w:val="480"/>
          <w:marRight w:val="0"/>
          <w:marTop w:val="0"/>
          <w:marBottom w:val="0"/>
          <w:divBdr>
            <w:top w:val="none" w:sz="0" w:space="0" w:color="auto"/>
            <w:left w:val="none" w:sz="0" w:space="0" w:color="auto"/>
            <w:bottom w:val="none" w:sz="0" w:space="0" w:color="auto"/>
            <w:right w:val="none" w:sz="0" w:space="0" w:color="auto"/>
          </w:divBdr>
        </w:div>
        <w:div w:id="2105608702">
          <w:marLeft w:val="480"/>
          <w:marRight w:val="0"/>
          <w:marTop w:val="0"/>
          <w:marBottom w:val="0"/>
          <w:divBdr>
            <w:top w:val="none" w:sz="0" w:space="0" w:color="auto"/>
            <w:left w:val="none" w:sz="0" w:space="0" w:color="auto"/>
            <w:bottom w:val="none" w:sz="0" w:space="0" w:color="auto"/>
            <w:right w:val="none" w:sz="0" w:space="0" w:color="auto"/>
          </w:divBdr>
        </w:div>
        <w:div w:id="1361667328">
          <w:marLeft w:val="480"/>
          <w:marRight w:val="0"/>
          <w:marTop w:val="0"/>
          <w:marBottom w:val="0"/>
          <w:divBdr>
            <w:top w:val="none" w:sz="0" w:space="0" w:color="auto"/>
            <w:left w:val="none" w:sz="0" w:space="0" w:color="auto"/>
            <w:bottom w:val="none" w:sz="0" w:space="0" w:color="auto"/>
            <w:right w:val="none" w:sz="0" w:space="0" w:color="auto"/>
          </w:divBdr>
        </w:div>
        <w:div w:id="1482622932">
          <w:marLeft w:val="480"/>
          <w:marRight w:val="0"/>
          <w:marTop w:val="0"/>
          <w:marBottom w:val="0"/>
          <w:divBdr>
            <w:top w:val="none" w:sz="0" w:space="0" w:color="auto"/>
            <w:left w:val="none" w:sz="0" w:space="0" w:color="auto"/>
            <w:bottom w:val="none" w:sz="0" w:space="0" w:color="auto"/>
            <w:right w:val="none" w:sz="0" w:space="0" w:color="auto"/>
          </w:divBdr>
        </w:div>
        <w:div w:id="1631669509">
          <w:marLeft w:val="480"/>
          <w:marRight w:val="0"/>
          <w:marTop w:val="0"/>
          <w:marBottom w:val="0"/>
          <w:divBdr>
            <w:top w:val="none" w:sz="0" w:space="0" w:color="auto"/>
            <w:left w:val="none" w:sz="0" w:space="0" w:color="auto"/>
            <w:bottom w:val="none" w:sz="0" w:space="0" w:color="auto"/>
            <w:right w:val="none" w:sz="0" w:space="0" w:color="auto"/>
          </w:divBdr>
        </w:div>
        <w:div w:id="1101491264">
          <w:marLeft w:val="480"/>
          <w:marRight w:val="0"/>
          <w:marTop w:val="0"/>
          <w:marBottom w:val="0"/>
          <w:divBdr>
            <w:top w:val="none" w:sz="0" w:space="0" w:color="auto"/>
            <w:left w:val="none" w:sz="0" w:space="0" w:color="auto"/>
            <w:bottom w:val="none" w:sz="0" w:space="0" w:color="auto"/>
            <w:right w:val="none" w:sz="0" w:space="0" w:color="auto"/>
          </w:divBdr>
        </w:div>
        <w:div w:id="404842307">
          <w:marLeft w:val="480"/>
          <w:marRight w:val="0"/>
          <w:marTop w:val="0"/>
          <w:marBottom w:val="0"/>
          <w:divBdr>
            <w:top w:val="none" w:sz="0" w:space="0" w:color="auto"/>
            <w:left w:val="none" w:sz="0" w:space="0" w:color="auto"/>
            <w:bottom w:val="none" w:sz="0" w:space="0" w:color="auto"/>
            <w:right w:val="none" w:sz="0" w:space="0" w:color="auto"/>
          </w:divBdr>
        </w:div>
        <w:div w:id="1888957001">
          <w:marLeft w:val="480"/>
          <w:marRight w:val="0"/>
          <w:marTop w:val="0"/>
          <w:marBottom w:val="0"/>
          <w:divBdr>
            <w:top w:val="none" w:sz="0" w:space="0" w:color="auto"/>
            <w:left w:val="none" w:sz="0" w:space="0" w:color="auto"/>
            <w:bottom w:val="none" w:sz="0" w:space="0" w:color="auto"/>
            <w:right w:val="none" w:sz="0" w:space="0" w:color="auto"/>
          </w:divBdr>
        </w:div>
        <w:div w:id="1569076825">
          <w:marLeft w:val="480"/>
          <w:marRight w:val="0"/>
          <w:marTop w:val="0"/>
          <w:marBottom w:val="0"/>
          <w:divBdr>
            <w:top w:val="none" w:sz="0" w:space="0" w:color="auto"/>
            <w:left w:val="none" w:sz="0" w:space="0" w:color="auto"/>
            <w:bottom w:val="none" w:sz="0" w:space="0" w:color="auto"/>
            <w:right w:val="none" w:sz="0" w:space="0" w:color="auto"/>
          </w:divBdr>
        </w:div>
        <w:div w:id="813330459">
          <w:marLeft w:val="480"/>
          <w:marRight w:val="0"/>
          <w:marTop w:val="0"/>
          <w:marBottom w:val="0"/>
          <w:divBdr>
            <w:top w:val="none" w:sz="0" w:space="0" w:color="auto"/>
            <w:left w:val="none" w:sz="0" w:space="0" w:color="auto"/>
            <w:bottom w:val="none" w:sz="0" w:space="0" w:color="auto"/>
            <w:right w:val="none" w:sz="0" w:space="0" w:color="auto"/>
          </w:divBdr>
        </w:div>
        <w:div w:id="1959800866">
          <w:marLeft w:val="480"/>
          <w:marRight w:val="0"/>
          <w:marTop w:val="0"/>
          <w:marBottom w:val="0"/>
          <w:divBdr>
            <w:top w:val="none" w:sz="0" w:space="0" w:color="auto"/>
            <w:left w:val="none" w:sz="0" w:space="0" w:color="auto"/>
            <w:bottom w:val="none" w:sz="0" w:space="0" w:color="auto"/>
            <w:right w:val="none" w:sz="0" w:space="0" w:color="auto"/>
          </w:divBdr>
        </w:div>
        <w:div w:id="1100487633">
          <w:marLeft w:val="480"/>
          <w:marRight w:val="0"/>
          <w:marTop w:val="0"/>
          <w:marBottom w:val="0"/>
          <w:divBdr>
            <w:top w:val="none" w:sz="0" w:space="0" w:color="auto"/>
            <w:left w:val="none" w:sz="0" w:space="0" w:color="auto"/>
            <w:bottom w:val="none" w:sz="0" w:space="0" w:color="auto"/>
            <w:right w:val="none" w:sz="0" w:space="0" w:color="auto"/>
          </w:divBdr>
        </w:div>
        <w:div w:id="1564943634">
          <w:marLeft w:val="480"/>
          <w:marRight w:val="0"/>
          <w:marTop w:val="0"/>
          <w:marBottom w:val="0"/>
          <w:divBdr>
            <w:top w:val="none" w:sz="0" w:space="0" w:color="auto"/>
            <w:left w:val="none" w:sz="0" w:space="0" w:color="auto"/>
            <w:bottom w:val="none" w:sz="0" w:space="0" w:color="auto"/>
            <w:right w:val="none" w:sz="0" w:space="0" w:color="auto"/>
          </w:divBdr>
        </w:div>
        <w:div w:id="1385104262">
          <w:marLeft w:val="480"/>
          <w:marRight w:val="0"/>
          <w:marTop w:val="0"/>
          <w:marBottom w:val="0"/>
          <w:divBdr>
            <w:top w:val="none" w:sz="0" w:space="0" w:color="auto"/>
            <w:left w:val="none" w:sz="0" w:space="0" w:color="auto"/>
            <w:bottom w:val="none" w:sz="0" w:space="0" w:color="auto"/>
            <w:right w:val="none" w:sz="0" w:space="0" w:color="auto"/>
          </w:divBdr>
        </w:div>
        <w:div w:id="565190548">
          <w:marLeft w:val="480"/>
          <w:marRight w:val="0"/>
          <w:marTop w:val="0"/>
          <w:marBottom w:val="0"/>
          <w:divBdr>
            <w:top w:val="none" w:sz="0" w:space="0" w:color="auto"/>
            <w:left w:val="none" w:sz="0" w:space="0" w:color="auto"/>
            <w:bottom w:val="none" w:sz="0" w:space="0" w:color="auto"/>
            <w:right w:val="none" w:sz="0" w:space="0" w:color="auto"/>
          </w:divBdr>
        </w:div>
        <w:div w:id="1015109095">
          <w:marLeft w:val="480"/>
          <w:marRight w:val="0"/>
          <w:marTop w:val="0"/>
          <w:marBottom w:val="0"/>
          <w:divBdr>
            <w:top w:val="none" w:sz="0" w:space="0" w:color="auto"/>
            <w:left w:val="none" w:sz="0" w:space="0" w:color="auto"/>
            <w:bottom w:val="none" w:sz="0" w:space="0" w:color="auto"/>
            <w:right w:val="none" w:sz="0" w:space="0" w:color="auto"/>
          </w:divBdr>
        </w:div>
        <w:div w:id="862984223">
          <w:marLeft w:val="480"/>
          <w:marRight w:val="0"/>
          <w:marTop w:val="0"/>
          <w:marBottom w:val="0"/>
          <w:divBdr>
            <w:top w:val="none" w:sz="0" w:space="0" w:color="auto"/>
            <w:left w:val="none" w:sz="0" w:space="0" w:color="auto"/>
            <w:bottom w:val="none" w:sz="0" w:space="0" w:color="auto"/>
            <w:right w:val="none" w:sz="0" w:space="0" w:color="auto"/>
          </w:divBdr>
        </w:div>
        <w:div w:id="475342559">
          <w:marLeft w:val="480"/>
          <w:marRight w:val="0"/>
          <w:marTop w:val="0"/>
          <w:marBottom w:val="0"/>
          <w:divBdr>
            <w:top w:val="none" w:sz="0" w:space="0" w:color="auto"/>
            <w:left w:val="none" w:sz="0" w:space="0" w:color="auto"/>
            <w:bottom w:val="none" w:sz="0" w:space="0" w:color="auto"/>
            <w:right w:val="none" w:sz="0" w:space="0" w:color="auto"/>
          </w:divBdr>
        </w:div>
        <w:div w:id="528840346">
          <w:marLeft w:val="480"/>
          <w:marRight w:val="0"/>
          <w:marTop w:val="0"/>
          <w:marBottom w:val="0"/>
          <w:divBdr>
            <w:top w:val="none" w:sz="0" w:space="0" w:color="auto"/>
            <w:left w:val="none" w:sz="0" w:space="0" w:color="auto"/>
            <w:bottom w:val="none" w:sz="0" w:space="0" w:color="auto"/>
            <w:right w:val="none" w:sz="0" w:space="0" w:color="auto"/>
          </w:divBdr>
        </w:div>
        <w:div w:id="994601548">
          <w:marLeft w:val="480"/>
          <w:marRight w:val="0"/>
          <w:marTop w:val="0"/>
          <w:marBottom w:val="0"/>
          <w:divBdr>
            <w:top w:val="none" w:sz="0" w:space="0" w:color="auto"/>
            <w:left w:val="none" w:sz="0" w:space="0" w:color="auto"/>
            <w:bottom w:val="none" w:sz="0" w:space="0" w:color="auto"/>
            <w:right w:val="none" w:sz="0" w:space="0" w:color="auto"/>
          </w:divBdr>
        </w:div>
        <w:div w:id="1589003383">
          <w:marLeft w:val="480"/>
          <w:marRight w:val="0"/>
          <w:marTop w:val="0"/>
          <w:marBottom w:val="0"/>
          <w:divBdr>
            <w:top w:val="none" w:sz="0" w:space="0" w:color="auto"/>
            <w:left w:val="none" w:sz="0" w:space="0" w:color="auto"/>
            <w:bottom w:val="none" w:sz="0" w:space="0" w:color="auto"/>
            <w:right w:val="none" w:sz="0" w:space="0" w:color="auto"/>
          </w:divBdr>
        </w:div>
        <w:div w:id="1036590009">
          <w:marLeft w:val="480"/>
          <w:marRight w:val="0"/>
          <w:marTop w:val="0"/>
          <w:marBottom w:val="0"/>
          <w:divBdr>
            <w:top w:val="none" w:sz="0" w:space="0" w:color="auto"/>
            <w:left w:val="none" w:sz="0" w:space="0" w:color="auto"/>
            <w:bottom w:val="none" w:sz="0" w:space="0" w:color="auto"/>
            <w:right w:val="none" w:sz="0" w:space="0" w:color="auto"/>
          </w:divBdr>
        </w:div>
        <w:div w:id="1079642300">
          <w:marLeft w:val="480"/>
          <w:marRight w:val="0"/>
          <w:marTop w:val="0"/>
          <w:marBottom w:val="0"/>
          <w:divBdr>
            <w:top w:val="none" w:sz="0" w:space="0" w:color="auto"/>
            <w:left w:val="none" w:sz="0" w:space="0" w:color="auto"/>
            <w:bottom w:val="none" w:sz="0" w:space="0" w:color="auto"/>
            <w:right w:val="none" w:sz="0" w:space="0" w:color="auto"/>
          </w:divBdr>
        </w:div>
        <w:div w:id="976108575">
          <w:marLeft w:val="480"/>
          <w:marRight w:val="0"/>
          <w:marTop w:val="0"/>
          <w:marBottom w:val="0"/>
          <w:divBdr>
            <w:top w:val="none" w:sz="0" w:space="0" w:color="auto"/>
            <w:left w:val="none" w:sz="0" w:space="0" w:color="auto"/>
            <w:bottom w:val="none" w:sz="0" w:space="0" w:color="auto"/>
            <w:right w:val="none" w:sz="0" w:space="0" w:color="auto"/>
          </w:divBdr>
        </w:div>
        <w:div w:id="1428959702">
          <w:marLeft w:val="480"/>
          <w:marRight w:val="0"/>
          <w:marTop w:val="0"/>
          <w:marBottom w:val="0"/>
          <w:divBdr>
            <w:top w:val="none" w:sz="0" w:space="0" w:color="auto"/>
            <w:left w:val="none" w:sz="0" w:space="0" w:color="auto"/>
            <w:bottom w:val="none" w:sz="0" w:space="0" w:color="auto"/>
            <w:right w:val="none" w:sz="0" w:space="0" w:color="auto"/>
          </w:divBdr>
        </w:div>
        <w:div w:id="2070414656">
          <w:marLeft w:val="480"/>
          <w:marRight w:val="0"/>
          <w:marTop w:val="0"/>
          <w:marBottom w:val="0"/>
          <w:divBdr>
            <w:top w:val="none" w:sz="0" w:space="0" w:color="auto"/>
            <w:left w:val="none" w:sz="0" w:space="0" w:color="auto"/>
            <w:bottom w:val="none" w:sz="0" w:space="0" w:color="auto"/>
            <w:right w:val="none" w:sz="0" w:space="0" w:color="auto"/>
          </w:divBdr>
        </w:div>
        <w:div w:id="920873524">
          <w:marLeft w:val="480"/>
          <w:marRight w:val="0"/>
          <w:marTop w:val="0"/>
          <w:marBottom w:val="0"/>
          <w:divBdr>
            <w:top w:val="none" w:sz="0" w:space="0" w:color="auto"/>
            <w:left w:val="none" w:sz="0" w:space="0" w:color="auto"/>
            <w:bottom w:val="none" w:sz="0" w:space="0" w:color="auto"/>
            <w:right w:val="none" w:sz="0" w:space="0" w:color="auto"/>
          </w:divBdr>
        </w:div>
        <w:div w:id="1912346904">
          <w:marLeft w:val="480"/>
          <w:marRight w:val="0"/>
          <w:marTop w:val="0"/>
          <w:marBottom w:val="0"/>
          <w:divBdr>
            <w:top w:val="none" w:sz="0" w:space="0" w:color="auto"/>
            <w:left w:val="none" w:sz="0" w:space="0" w:color="auto"/>
            <w:bottom w:val="none" w:sz="0" w:space="0" w:color="auto"/>
            <w:right w:val="none" w:sz="0" w:space="0" w:color="auto"/>
          </w:divBdr>
        </w:div>
        <w:div w:id="1995638559">
          <w:marLeft w:val="480"/>
          <w:marRight w:val="0"/>
          <w:marTop w:val="0"/>
          <w:marBottom w:val="0"/>
          <w:divBdr>
            <w:top w:val="none" w:sz="0" w:space="0" w:color="auto"/>
            <w:left w:val="none" w:sz="0" w:space="0" w:color="auto"/>
            <w:bottom w:val="none" w:sz="0" w:space="0" w:color="auto"/>
            <w:right w:val="none" w:sz="0" w:space="0" w:color="auto"/>
          </w:divBdr>
        </w:div>
        <w:div w:id="1919751901">
          <w:marLeft w:val="480"/>
          <w:marRight w:val="0"/>
          <w:marTop w:val="0"/>
          <w:marBottom w:val="0"/>
          <w:divBdr>
            <w:top w:val="none" w:sz="0" w:space="0" w:color="auto"/>
            <w:left w:val="none" w:sz="0" w:space="0" w:color="auto"/>
            <w:bottom w:val="none" w:sz="0" w:space="0" w:color="auto"/>
            <w:right w:val="none" w:sz="0" w:space="0" w:color="auto"/>
          </w:divBdr>
        </w:div>
        <w:div w:id="694111642">
          <w:marLeft w:val="480"/>
          <w:marRight w:val="0"/>
          <w:marTop w:val="0"/>
          <w:marBottom w:val="0"/>
          <w:divBdr>
            <w:top w:val="none" w:sz="0" w:space="0" w:color="auto"/>
            <w:left w:val="none" w:sz="0" w:space="0" w:color="auto"/>
            <w:bottom w:val="none" w:sz="0" w:space="0" w:color="auto"/>
            <w:right w:val="none" w:sz="0" w:space="0" w:color="auto"/>
          </w:divBdr>
        </w:div>
        <w:div w:id="629242528">
          <w:marLeft w:val="480"/>
          <w:marRight w:val="0"/>
          <w:marTop w:val="0"/>
          <w:marBottom w:val="0"/>
          <w:divBdr>
            <w:top w:val="none" w:sz="0" w:space="0" w:color="auto"/>
            <w:left w:val="none" w:sz="0" w:space="0" w:color="auto"/>
            <w:bottom w:val="none" w:sz="0" w:space="0" w:color="auto"/>
            <w:right w:val="none" w:sz="0" w:space="0" w:color="auto"/>
          </w:divBdr>
        </w:div>
        <w:div w:id="1811828017">
          <w:marLeft w:val="480"/>
          <w:marRight w:val="0"/>
          <w:marTop w:val="0"/>
          <w:marBottom w:val="0"/>
          <w:divBdr>
            <w:top w:val="none" w:sz="0" w:space="0" w:color="auto"/>
            <w:left w:val="none" w:sz="0" w:space="0" w:color="auto"/>
            <w:bottom w:val="none" w:sz="0" w:space="0" w:color="auto"/>
            <w:right w:val="none" w:sz="0" w:space="0" w:color="auto"/>
          </w:divBdr>
        </w:div>
        <w:div w:id="1333026362">
          <w:marLeft w:val="480"/>
          <w:marRight w:val="0"/>
          <w:marTop w:val="0"/>
          <w:marBottom w:val="0"/>
          <w:divBdr>
            <w:top w:val="none" w:sz="0" w:space="0" w:color="auto"/>
            <w:left w:val="none" w:sz="0" w:space="0" w:color="auto"/>
            <w:bottom w:val="none" w:sz="0" w:space="0" w:color="auto"/>
            <w:right w:val="none" w:sz="0" w:space="0" w:color="auto"/>
          </w:divBdr>
        </w:div>
        <w:div w:id="238250264">
          <w:marLeft w:val="480"/>
          <w:marRight w:val="0"/>
          <w:marTop w:val="0"/>
          <w:marBottom w:val="0"/>
          <w:divBdr>
            <w:top w:val="none" w:sz="0" w:space="0" w:color="auto"/>
            <w:left w:val="none" w:sz="0" w:space="0" w:color="auto"/>
            <w:bottom w:val="none" w:sz="0" w:space="0" w:color="auto"/>
            <w:right w:val="none" w:sz="0" w:space="0" w:color="auto"/>
          </w:divBdr>
        </w:div>
        <w:div w:id="1901356700">
          <w:marLeft w:val="480"/>
          <w:marRight w:val="0"/>
          <w:marTop w:val="0"/>
          <w:marBottom w:val="0"/>
          <w:divBdr>
            <w:top w:val="none" w:sz="0" w:space="0" w:color="auto"/>
            <w:left w:val="none" w:sz="0" w:space="0" w:color="auto"/>
            <w:bottom w:val="none" w:sz="0" w:space="0" w:color="auto"/>
            <w:right w:val="none" w:sz="0" w:space="0" w:color="auto"/>
          </w:divBdr>
        </w:div>
        <w:div w:id="128018855">
          <w:marLeft w:val="480"/>
          <w:marRight w:val="0"/>
          <w:marTop w:val="0"/>
          <w:marBottom w:val="0"/>
          <w:divBdr>
            <w:top w:val="none" w:sz="0" w:space="0" w:color="auto"/>
            <w:left w:val="none" w:sz="0" w:space="0" w:color="auto"/>
            <w:bottom w:val="none" w:sz="0" w:space="0" w:color="auto"/>
            <w:right w:val="none" w:sz="0" w:space="0" w:color="auto"/>
          </w:divBdr>
        </w:div>
        <w:div w:id="1769353877">
          <w:marLeft w:val="480"/>
          <w:marRight w:val="0"/>
          <w:marTop w:val="0"/>
          <w:marBottom w:val="0"/>
          <w:divBdr>
            <w:top w:val="none" w:sz="0" w:space="0" w:color="auto"/>
            <w:left w:val="none" w:sz="0" w:space="0" w:color="auto"/>
            <w:bottom w:val="none" w:sz="0" w:space="0" w:color="auto"/>
            <w:right w:val="none" w:sz="0" w:space="0" w:color="auto"/>
          </w:divBdr>
        </w:div>
        <w:div w:id="1589970167">
          <w:marLeft w:val="480"/>
          <w:marRight w:val="0"/>
          <w:marTop w:val="0"/>
          <w:marBottom w:val="0"/>
          <w:divBdr>
            <w:top w:val="none" w:sz="0" w:space="0" w:color="auto"/>
            <w:left w:val="none" w:sz="0" w:space="0" w:color="auto"/>
            <w:bottom w:val="none" w:sz="0" w:space="0" w:color="auto"/>
            <w:right w:val="none" w:sz="0" w:space="0" w:color="auto"/>
          </w:divBdr>
        </w:div>
        <w:div w:id="1039474849">
          <w:marLeft w:val="480"/>
          <w:marRight w:val="0"/>
          <w:marTop w:val="0"/>
          <w:marBottom w:val="0"/>
          <w:divBdr>
            <w:top w:val="none" w:sz="0" w:space="0" w:color="auto"/>
            <w:left w:val="none" w:sz="0" w:space="0" w:color="auto"/>
            <w:bottom w:val="none" w:sz="0" w:space="0" w:color="auto"/>
            <w:right w:val="none" w:sz="0" w:space="0" w:color="auto"/>
          </w:divBdr>
        </w:div>
        <w:div w:id="405033002">
          <w:marLeft w:val="480"/>
          <w:marRight w:val="0"/>
          <w:marTop w:val="0"/>
          <w:marBottom w:val="0"/>
          <w:divBdr>
            <w:top w:val="none" w:sz="0" w:space="0" w:color="auto"/>
            <w:left w:val="none" w:sz="0" w:space="0" w:color="auto"/>
            <w:bottom w:val="none" w:sz="0" w:space="0" w:color="auto"/>
            <w:right w:val="none" w:sz="0" w:space="0" w:color="auto"/>
          </w:divBdr>
        </w:div>
        <w:div w:id="2033149178">
          <w:marLeft w:val="480"/>
          <w:marRight w:val="0"/>
          <w:marTop w:val="0"/>
          <w:marBottom w:val="0"/>
          <w:divBdr>
            <w:top w:val="none" w:sz="0" w:space="0" w:color="auto"/>
            <w:left w:val="none" w:sz="0" w:space="0" w:color="auto"/>
            <w:bottom w:val="none" w:sz="0" w:space="0" w:color="auto"/>
            <w:right w:val="none" w:sz="0" w:space="0" w:color="auto"/>
          </w:divBdr>
        </w:div>
        <w:div w:id="567810391">
          <w:marLeft w:val="480"/>
          <w:marRight w:val="0"/>
          <w:marTop w:val="0"/>
          <w:marBottom w:val="0"/>
          <w:divBdr>
            <w:top w:val="none" w:sz="0" w:space="0" w:color="auto"/>
            <w:left w:val="none" w:sz="0" w:space="0" w:color="auto"/>
            <w:bottom w:val="none" w:sz="0" w:space="0" w:color="auto"/>
            <w:right w:val="none" w:sz="0" w:space="0" w:color="auto"/>
          </w:divBdr>
        </w:div>
        <w:div w:id="161356121">
          <w:marLeft w:val="480"/>
          <w:marRight w:val="0"/>
          <w:marTop w:val="0"/>
          <w:marBottom w:val="0"/>
          <w:divBdr>
            <w:top w:val="none" w:sz="0" w:space="0" w:color="auto"/>
            <w:left w:val="none" w:sz="0" w:space="0" w:color="auto"/>
            <w:bottom w:val="none" w:sz="0" w:space="0" w:color="auto"/>
            <w:right w:val="none" w:sz="0" w:space="0" w:color="auto"/>
          </w:divBdr>
        </w:div>
        <w:div w:id="794370366">
          <w:marLeft w:val="480"/>
          <w:marRight w:val="0"/>
          <w:marTop w:val="0"/>
          <w:marBottom w:val="0"/>
          <w:divBdr>
            <w:top w:val="none" w:sz="0" w:space="0" w:color="auto"/>
            <w:left w:val="none" w:sz="0" w:space="0" w:color="auto"/>
            <w:bottom w:val="none" w:sz="0" w:space="0" w:color="auto"/>
            <w:right w:val="none" w:sz="0" w:space="0" w:color="auto"/>
          </w:divBdr>
        </w:div>
        <w:div w:id="1703359829">
          <w:marLeft w:val="480"/>
          <w:marRight w:val="0"/>
          <w:marTop w:val="0"/>
          <w:marBottom w:val="0"/>
          <w:divBdr>
            <w:top w:val="none" w:sz="0" w:space="0" w:color="auto"/>
            <w:left w:val="none" w:sz="0" w:space="0" w:color="auto"/>
            <w:bottom w:val="none" w:sz="0" w:space="0" w:color="auto"/>
            <w:right w:val="none" w:sz="0" w:space="0" w:color="auto"/>
          </w:divBdr>
        </w:div>
        <w:div w:id="2014841411">
          <w:marLeft w:val="480"/>
          <w:marRight w:val="0"/>
          <w:marTop w:val="0"/>
          <w:marBottom w:val="0"/>
          <w:divBdr>
            <w:top w:val="none" w:sz="0" w:space="0" w:color="auto"/>
            <w:left w:val="none" w:sz="0" w:space="0" w:color="auto"/>
            <w:bottom w:val="none" w:sz="0" w:space="0" w:color="auto"/>
            <w:right w:val="none" w:sz="0" w:space="0" w:color="auto"/>
          </w:divBdr>
        </w:div>
        <w:div w:id="890384127">
          <w:marLeft w:val="480"/>
          <w:marRight w:val="0"/>
          <w:marTop w:val="0"/>
          <w:marBottom w:val="0"/>
          <w:divBdr>
            <w:top w:val="none" w:sz="0" w:space="0" w:color="auto"/>
            <w:left w:val="none" w:sz="0" w:space="0" w:color="auto"/>
            <w:bottom w:val="none" w:sz="0" w:space="0" w:color="auto"/>
            <w:right w:val="none" w:sz="0" w:space="0" w:color="auto"/>
          </w:divBdr>
        </w:div>
        <w:div w:id="2061242790">
          <w:marLeft w:val="480"/>
          <w:marRight w:val="0"/>
          <w:marTop w:val="0"/>
          <w:marBottom w:val="0"/>
          <w:divBdr>
            <w:top w:val="none" w:sz="0" w:space="0" w:color="auto"/>
            <w:left w:val="none" w:sz="0" w:space="0" w:color="auto"/>
            <w:bottom w:val="none" w:sz="0" w:space="0" w:color="auto"/>
            <w:right w:val="none" w:sz="0" w:space="0" w:color="auto"/>
          </w:divBdr>
        </w:div>
        <w:div w:id="11346434">
          <w:marLeft w:val="480"/>
          <w:marRight w:val="0"/>
          <w:marTop w:val="0"/>
          <w:marBottom w:val="0"/>
          <w:divBdr>
            <w:top w:val="none" w:sz="0" w:space="0" w:color="auto"/>
            <w:left w:val="none" w:sz="0" w:space="0" w:color="auto"/>
            <w:bottom w:val="none" w:sz="0" w:space="0" w:color="auto"/>
            <w:right w:val="none" w:sz="0" w:space="0" w:color="auto"/>
          </w:divBdr>
        </w:div>
        <w:div w:id="188954898">
          <w:marLeft w:val="480"/>
          <w:marRight w:val="0"/>
          <w:marTop w:val="0"/>
          <w:marBottom w:val="0"/>
          <w:divBdr>
            <w:top w:val="none" w:sz="0" w:space="0" w:color="auto"/>
            <w:left w:val="none" w:sz="0" w:space="0" w:color="auto"/>
            <w:bottom w:val="none" w:sz="0" w:space="0" w:color="auto"/>
            <w:right w:val="none" w:sz="0" w:space="0" w:color="auto"/>
          </w:divBdr>
        </w:div>
        <w:div w:id="1459564610">
          <w:marLeft w:val="480"/>
          <w:marRight w:val="0"/>
          <w:marTop w:val="0"/>
          <w:marBottom w:val="0"/>
          <w:divBdr>
            <w:top w:val="none" w:sz="0" w:space="0" w:color="auto"/>
            <w:left w:val="none" w:sz="0" w:space="0" w:color="auto"/>
            <w:bottom w:val="none" w:sz="0" w:space="0" w:color="auto"/>
            <w:right w:val="none" w:sz="0" w:space="0" w:color="auto"/>
          </w:divBdr>
        </w:div>
        <w:div w:id="1468164799">
          <w:marLeft w:val="480"/>
          <w:marRight w:val="0"/>
          <w:marTop w:val="0"/>
          <w:marBottom w:val="0"/>
          <w:divBdr>
            <w:top w:val="none" w:sz="0" w:space="0" w:color="auto"/>
            <w:left w:val="none" w:sz="0" w:space="0" w:color="auto"/>
            <w:bottom w:val="none" w:sz="0" w:space="0" w:color="auto"/>
            <w:right w:val="none" w:sz="0" w:space="0" w:color="auto"/>
          </w:divBdr>
        </w:div>
        <w:div w:id="1100570435">
          <w:marLeft w:val="480"/>
          <w:marRight w:val="0"/>
          <w:marTop w:val="0"/>
          <w:marBottom w:val="0"/>
          <w:divBdr>
            <w:top w:val="none" w:sz="0" w:space="0" w:color="auto"/>
            <w:left w:val="none" w:sz="0" w:space="0" w:color="auto"/>
            <w:bottom w:val="none" w:sz="0" w:space="0" w:color="auto"/>
            <w:right w:val="none" w:sz="0" w:space="0" w:color="auto"/>
          </w:divBdr>
        </w:div>
        <w:div w:id="1608461929">
          <w:marLeft w:val="480"/>
          <w:marRight w:val="0"/>
          <w:marTop w:val="0"/>
          <w:marBottom w:val="0"/>
          <w:divBdr>
            <w:top w:val="none" w:sz="0" w:space="0" w:color="auto"/>
            <w:left w:val="none" w:sz="0" w:space="0" w:color="auto"/>
            <w:bottom w:val="none" w:sz="0" w:space="0" w:color="auto"/>
            <w:right w:val="none" w:sz="0" w:space="0" w:color="auto"/>
          </w:divBdr>
        </w:div>
        <w:div w:id="568807034">
          <w:marLeft w:val="480"/>
          <w:marRight w:val="0"/>
          <w:marTop w:val="0"/>
          <w:marBottom w:val="0"/>
          <w:divBdr>
            <w:top w:val="none" w:sz="0" w:space="0" w:color="auto"/>
            <w:left w:val="none" w:sz="0" w:space="0" w:color="auto"/>
            <w:bottom w:val="none" w:sz="0" w:space="0" w:color="auto"/>
            <w:right w:val="none" w:sz="0" w:space="0" w:color="auto"/>
          </w:divBdr>
        </w:div>
        <w:div w:id="438912878">
          <w:marLeft w:val="480"/>
          <w:marRight w:val="0"/>
          <w:marTop w:val="0"/>
          <w:marBottom w:val="0"/>
          <w:divBdr>
            <w:top w:val="none" w:sz="0" w:space="0" w:color="auto"/>
            <w:left w:val="none" w:sz="0" w:space="0" w:color="auto"/>
            <w:bottom w:val="none" w:sz="0" w:space="0" w:color="auto"/>
            <w:right w:val="none" w:sz="0" w:space="0" w:color="auto"/>
          </w:divBdr>
        </w:div>
        <w:div w:id="1303734371">
          <w:marLeft w:val="480"/>
          <w:marRight w:val="0"/>
          <w:marTop w:val="0"/>
          <w:marBottom w:val="0"/>
          <w:divBdr>
            <w:top w:val="none" w:sz="0" w:space="0" w:color="auto"/>
            <w:left w:val="none" w:sz="0" w:space="0" w:color="auto"/>
            <w:bottom w:val="none" w:sz="0" w:space="0" w:color="auto"/>
            <w:right w:val="none" w:sz="0" w:space="0" w:color="auto"/>
          </w:divBdr>
        </w:div>
        <w:div w:id="1315336458">
          <w:marLeft w:val="480"/>
          <w:marRight w:val="0"/>
          <w:marTop w:val="0"/>
          <w:marBottom w:val="0"/>
          <w:divBdr>
            <w:top w:val="none" w:sz="0" w:space="0" w:color="auto"/>
            <w:left w:val="none" w:sz="0" w:space="0" w:color="auto"/>
            <w:bottom w:val="none" w:sz="0" w:space="0" w:color="auto"/>
            <w:right w:val="none" w:sz="0" w:space="0" w:color="auto"/>
          </w:divBdr>
        </w:div>
        <w:div w:id="732462363">
          <w:marLeft w:val="480"/>
          <w:marRight w:val="0"/>
          <w:marTop w:val="0"/>
          <w:marBottom w:val="0"/>
          <w:divBdr>
            <w:top w:val="none" w:sz="0" w:space="0" w:color="auto"/>
            <w:left w:val="none" w:sz="0" w:space="0" w:color="auto"/>
            <w:bottom w:val="none" w:sz="0" w:space="0" w:color="auto"/>
            <w:right w:val="none" w:sz="0" w:space="0" w:color="auto"/>
          </w:divBdr>
        </w:div>
        <w:div w:id="957419335">
          <w:marLeft w:val="480"/>
          <w:marRight w:val="0"/>
          <w:marTop w:val="0"/>
          <w:marBottom w:val="0"/>
          <w:divBdr>
            <w:top w:val="none" w:sz="0" w:space="0" w:color="auto"/>
            <w:left w:val="none" w:sz="0" w:space="0" w:color="auto"/>
            <w:bottom w:val="none" w:sz="0" w:space="0" w:color="auto"/>
            <w:right w:val="none" w:sz="0" w:space="0" w:color="auto"/>
          </w:divBdr>
        </w:div>
        <w:div w:id="727730278">
          <w:marLeft w:val="480"/>
          <w:marRight w:val="0"/>
          <w:marTop w:val="0"/>
          <w:marBottom w:val="0"/>
          <w:divBdr>
            <w:top w:val="none" w:sz="0" w:space="0" w:color="auto"/>
            <w:left w:val="none" w:sz="0" w:space="0" w:color="auto"/>
            <w:bottom w:val="none" w:sz="0" w:space="0" w:color="auto"/>
            <w:right w:val="none" w:sz="0" w:space="0" w:color="auto"/>
          </w:divBdr>
        </w:div>
        <w:div w:id="997147073">
          <w:marLeft w:val="480"/>
          <w:marRight w:val="0"/>
          <w:marTop w:val="0"/>
          <w:marBottom w:val="0"/>
          <w:divBdr>
            <w:top w:val="none" w:sz="0" w:space="0" w:color="auto"/>
            <w:left w:val="none" w:sz="0" w:space="0" w:color="auto"/>
            <w:bottom w:val="none" w:sz="0" w:space="0" w:color="auto"/>
            <w:right w:val="none" w:sz="0" w:space="0" w:color="auto"/>
          </w:divBdr>
        </w:div>
        <w:div w:id="1933780750">
          <w:marLeft w:val="480"/>
          <w:marRight w:val="0"/>
          <w:marTop w:val="0"/>
          <w:marBottom w:val="0"/>
          <w:divBdr>
            <w:top w:val="none" w:sz="0" w:space="0" w:color="auto"/>
            <w:left w:val="none" w:sz="0" w:space="0" w:color="auto"/>
            <w:bottom w:val="none" w:sz="0" w:space="0" w:color="auto"/>
            <w:right w:val="none" w:sz="0" w:space="0" w:color="auto"/>
          </w:divBdr>
        </w:div>
        <w:div w:id="689064071">
          <w:marLeft w:val="480"/>
          <w:marRight w:val="0"/>
          <w:marTop w:val="0"/>
          <w:marBottom w:val="0"/>
          <w:divBdr>
            <w:top w:val="none" w:sz="0" w:space="0" w:color="auto"/>
            <w:left w:val="none" w:sz="0" w:space="0" w:color="auto"/>
            <w:bottom w:val="none" w:sz="0" w:space="0" w:color="auto"/>
            <w:right w:val="none" w:sz="0" w:space="0" w:color="auto"/>
          </w:divBdr>
        </w:div>
        <w:div w:id="1007291939">
          <w:marLeft w:val="480"/>
          <w:marRight w:val="0"/>
          <w:marTop w:val="0"/>
          <w:marBottom w:val="0"/>
          <w:divBdr>
            <w:top w:val="none" w:sz="0" w:space="0" w:color="auto"/>
            <w:left w:val="none" w:sz="0" w:space="0" w:color="auto"/>
            <w:bottom w:val="none" w:sz="0" w:space="0" w:color="auto"/>
            <w:right w:val="none" w:sz="0" w:space="0" w:color="auto"/>
          </w:divBdr>
        </w:div>
        <w:div w:id="1282762688">
          <w:marLeft w:val="480"/>
          <w:marRight w:val="0"/>
          <w:marTop w:val="0"/>
          <w:marBottom w:val="0"/>
          <w:divBdr>
            <w:top w:val="none" w:sz="0" w:space="0" w:color="auto"/>
            <w:left w:val="none" w:sz="0" w:space="0" w:color="auto"/>
            <w:bottom w:val="none" w:sz="0" w:space="0" w:color="auto"/>
            <w:right w:val="none" w:sz="0" w:space="0" w:color="auto"/>
          </w:divBdr>
        </w:div>
        <w:div w:id="1782258716">
          <w:marLeft w:val="480"/>
          <w:marRight w:val="0"/>
          <w:marTop w:val="0"/>
          <w:marBottom w:val="0"/>
          <w:divBdr>
            <w:top w:val="none" w:sz="0" w:space="0" w:color="auto"/>
            <w:left w:val="none" w:sz="0" w:space="0" w:color="auto"/>
            <w:bottom w:val="none" w:sz="0" w:space="0" w:color="auto"/>
            <w:right w:val="none" w:sz="0" w:space="0" w:color="auto"/>
          </w:divBdr>
        </w:div>
        <w:div w:id="2130658234">
          <w:marLeft w:val="480"/>
          <w:marRight w:val="0"/>
          <w:marTop w:val="0"/>
          <w:marBottom w:val="0"/>
          <w:divBdr>
            <w:top w:val="none" w:sz="0" w:space="0" w:color="auto"/>
            <w:left w:val="none" w:sz="0" w:space="0" w:color="auto"/>
            <w:bottom w:val="none" w:sz="0" w:space="0" w:color="auto"/>
            <w:right w:val="none" w:sz="0" w:space="0" w:color="auto"/>
          </w:divBdr>
        </w:div>
        <w:div w:id="1577587045">
          <w:marLeft w:val="480"/>
          <w:marRight w:val="0"/>
          <w:marTop w:val="0"/>
          <w:marBottom w:val="0"/>
          <w:divBdr>
            <w:top w:val="none" w:sz="0" w:space="0" w:color="auto"/>
            <w:left w:val="none" w:sz="0" w:space="0" w:color="auto"/>
            <w:bottom w:val="none" w:sz="0" w:space="0" w:color="auto"/>
            <w:right w:val="none" w:sz="0" w:space="0" w:color="auto"/>
          </w:divBdr>
        </w:div>
        <w:div w:id="965084267">
          <w:marLeft w:val="480"/>
          <w:marRight w:val="0"/>
          <w:marTop w:val="0"/>
          <w:marBottom w:val="0"/>
          <w:divBdr>
            <w:top w:val="none" w:sz="0" w:space="0" w:color="auto"/>
            <w:left w:val="none" w:sz="0" w:space="0" w:color="auto"/>
            <w:bottom w:val="none" w:sz="0" w:space="0" w:color="auto"/>
            <w:right w:val="none" w:sz="0" w:space="0" w:color="auto"/>
          </w:divBdr>
        </w:div>
        <w:div w:id="340741647">
          <w:marLeft w:val="480"/>
          <w:marRight w:val="0"/>
          <w:marTop w:val="0"/>
          <w:marBottom w:val="0"/>
          <w:divBdr>
            <w:top w:val="none" w:sz="0" w:space="0" w:color="auto"/>
            <w:left w:val="none" w:sz="0" w:space="0" w:color="auto"/>
            <w:bottom w:val="none" w:sz="0" w:space="0" w:color="auto"/>
            <w:right w:val="none" w:sz="0" w:space="0" w:color="auto"/>
          </w:divBdr>
        </w:div>
        <w:div w:id="1251622783">
          <w:marLeft w:val="480"/>
          <w:marRight w:val="0"/>
          <w:marTop w:val="0"/>
          <w:marBottom w:val="0"/>
          <w:divBdr>
            <w:top w:val="none" w:sz="0" w:space="0" w:color="auto"/>
            <w:left w:val="none" w:sz="0" w:space="0" w:color="auto"/>
            <w:bottom w:val="none" w:sz="0" w:space="0" w:color="auto"/>
            <w:right w:val="none" w:sz="0" w:space="0" w:color="auto"/>
          </w:divBdr>
        </w:div>
        <w:div w:id="479736336">
          <w:marLeft w:val="480"/>
          <w:marRight w:val="0"/>
          <w:marTop w:val="0"/>
          <w:marBottom w:val="0"/>
          <w:divBdr>
            <w:top w:val="none" w:sz="0" w:space="0" w:color="auto"/>
            <w:left w:val="none" w:sz="0" w:space="0" w:color="auto"/>
            <w:bottom w:val="none" w:sz="0" w:space="0" w:color="auto"/>
            <w:right w:val="none" w:sz="0" w:space="0" w:color="auto"/>
          </w:divBdr>
        </w:div>
        <w:div w:id="455174026">
          <w:marLeft w:val="480"/>
          <w:marRight w:val="0"/>
          <w:marTop w:val="0"/>
          <w:marBottom w:val="0"/>
          <w:divBdr>
            <w:top w:val="none" w:sz="0" w:space="0" w:color="auto"/>
            <w:left w:val="none" w:sz="0" w:space="0" w:color="auto"/>
            <w:bottom w:val="none" w:sz="0" w:space="0" w:color="auto"/>
            <w:right w:val="none" w:sz="0" w:space="0" w:color="auto"/>
          </w:divBdr>
        </w:div>
        <w:div w:id="498736153">
          <w:marLeft w:val="480"/>
          <w:marRight w:val="0"/>
          <w:marTop w:val="0"/>
          <w:marBottom w:val="0"/>
          <w:divBdr>
            <w:top w:val="none" w:sz="0" w:space="0" w:color="auto"/>
            <w:left w:val="none" w:sz="0" w:space="0" w:color="auto"/>
            <w:bottom w:val="none" w:sz="0" w:space="0" w:color="auto"/>
            <w:right w:val="none" w:sz="0" w:space="0" w:color="auto"/>
          </w:divBdr>
        </w:div>
        <w:div w:id="30545284">
          <w:marLeft w:val="480"/>
          <w:marRight w:val="0"/>
          <w:marTop w:val="0"/>
          <w:marBottom w:val="0"/>
          <w:divBdr>
            <w:top w:val="none" w:sz="0" w:space="0" w:color="auto"/>
            <w:left w:val="none" w:sz="0" w:space="0" w:color="auto"/>
            <w:bottom w:val="none" w:sz="0" w:space="0" w:color="auto"/>
            <w:right w:val="none" w:sz="0" w:space="0" w:color="auto"/>
          </w:divBdr>
        </w:div>
        <w:div w:id="977684558">
          <w:marLeft w:val="480"/>
          <w:marRight w:val="0"/>
          <w:marTop w:val="0"/>
          <w:marBottom w:val="0"/>
          <w:divBdr>
            <w:top w:val="none" w:sz="0" w:space="0" w:color="auto"/>
            <w:left w:val="none" w:sz="0" w:space="0" w:color="auto"/>
            <w:bottom w:val="none" w:sz="0" w:space="0" w:color="auto"/>
            <w:right w:val="none" w:sz="0" w:space="0" w:color="auto"/>
          </w:divBdr>
        </w:div>
        <w:div w:id="1977563073">
          <w:marLeft w:val="480"/>
          <w:marRight w:val="0"/>
          <w:marTop w:val="0"/>
          <w:marBottom w:val="0"/>
          <w:divBdr>
            <w:top w:val="none" w:sz="0" w:space="0" w:color="auto"/>
            <w:left w:val="none" w:sz="0" w:space="0" w:color="auto"/>
            <w:bottom w:val="none" w:sz="0" w:space="0" w:color="auto"/>
            <w:right w:val="none" w:sz="0" w:space="0" w:color="auto"/>
          </w:divBdr>
        </w:div>
        <w:div w:id="1303078020">
          <w:marLeft w:val="480"/>
          <w:marRight w:val="0"/>
          <w:marTop w:val="0"/>
          <w:marBottom w:val="0"/>
          <w:divBdr>
            <w:top w:val="none" w:sz="0" w:space="0" w:color="auto"/>
            <w:left w:val="none" w:sz="0" w:space="0" w:color="auto"/>
            <w:bottom w:val="none" w:sz="0" w:space="0" w:color="auto"/>
            <w:right w:val="none" w:sz="0" w:space="0" w:color="auto"/>
          </w:divBdr>
        </w:div>
        <w:div w:id="260383328">
          <w:marLeft w:val="480"/>
          <w:marRight w:val="0"/>
          <w:marTop w:val="0"/>
          <w:marBottom w:val="0"/>
          <w:divBdr>
            <w:top w:val="none" w:sz="0" w:space="0" w:color="auto"/>
            <w:left w:val="none" w:sz="0" w:space="0" w:color="auto"/>
            <w:bottom w:val="none" w:sz="0" w:space="0" w:color="auto"/>
            <w:right w:val="none" w:sz="0" w:space="0" w:color="auto"/>
          </w:divBdr>
        </w:div>
        <w:div w:id="932322949">
          <w:marLeft w:val="480"/>
          <w:marRight w:val="0"/>
          <w:marTop w:val="0"/>
          <w:marBottom w:val="0"/>
          <w:divBdr>
            <w:top w:val="none" w:sz="0" w:space="0" w:color="auto"/>
            <w:left w:val="none" w:sz="0" w:space="0" w:color="auto"/>
            <w:bottom w:val="none" w:sz="0" w:space="0" w:color="auto"/>
            <w:right w:val="none" w:sz="0" w:space="0" w:color="auto"/>
          </w:divBdr>
        </w:div>
        <w:div w:id="918097200">
          <w:marLeft w:val="480"/>
          <w:marRight w:val="0"/>
          <w:marTop w:val="0"/>
          <w:marBottom w:val="0"/>
          <w:divBdr>
            <w:top w:val="none" w:sz="0" w:space="0" w:color="auto"/>
            <w:left w:val="none" w:sz="0" w:space="0" w:color="auto"/>
            <w:bottom w:val="none" w:sz="0" w:space="0" w:color="auto"/>
            <w:right w:val="none" w:sz="0" w:space="0" w:color="auto"/>
          </w:divBdr>
        </w:div>
        <w:div w:id="1782990355">
          <w:marLeft w:val="480"/>
          <w:marRight w:val="0"/>
          <w:marTop w:val="0"/>
          <w:marBottom w:val="0"/>
          <w:divBdr>
            <w:top w:val="none" w:sz="0" w:space="0" w:color="auto"/>
            <w:left w:val="none" w:sz="0" w:space="0" w:color="auto"/>
            <w:bottom w:val="none" w:sz="0" w:space="0" w:color="auto"/>
            <w:right w:val="none" w:sz="0" w:space="0" w:color="auto"/>
          </w:divBdr>
        </w:div>
        <w:div w:id="810633106">
          <w:marLeft w:val="480"/>
          <w:marRight w:val="0"/>
          <w:marTop w:val="0"/>
          <w:marBottom w:val="0"/>
          <w:divBdr>
            <w:top w:val="none" w:sz="0" w:space="0" w:color="auto"/>
            <w:left w:val="none" w:sz="0" w:space="0" w:color="auto"/>
            <w:bottom w:val="none" w:sz="0" w:space="0" w:color="auto"/>
            <w:right w:val="none" w:sz="0" w:space="0" w:color="auto"/>
          </w:divBdr>
        </w:div>
        <w:div w:id="1130055498">
          <w:marLeft w:val="480"/>
          <w:marRight w:val="0"/>
          <w:marTop w:val="0"/>
          <w:marBottom w:val="0"/>
          <w:divBdr>
            <w:top w:val="none" w:sz="0" w:space="0" w:color="auto"/>
            <w:left w:val="none" w:sz="0" w:space="0" w:color="auto"/>
            <w:bottom w:val="none" w:sz="0" w:space="0" w:color="auto"/>
            <w:right w:val="none" w:sz="0" w:space="0" w:color="auto"/>
          </w:divBdr>
        </w:div>
        <w:div w:id="297105230">
          <w:marLeft w:val="480"/>
          <w:marRight w:val="0"/>
          <w:marTop w:val="0"/>
          <w:marBottom w:val="0"/>
          <w:divBdr>
            <w:top w:val="none" w:sz="0" w:space="0" w:color="auto"/>
            <w:left w:val="none" w:sz="0" w:space="0" w:color="auto"/>
            <w:bottom w:val="none" w:sz="0" w:space="0" w:color="auto"/>
            <w:right w:val="none" w:sz="0" w:space="0" w:color="auto"/>
          </w:divBdr>
        </w:div>
        <w:div w:id="349839616">
          <w:marLeft w:val="480"/>
          <w:marRight w:val="0"/>
          <w:marTop w:val="0"/>
          <w:marBottom w:val="0"/>
          <w:divBdr>
            <w:top w:val="none" w:sz="0" w:space="0" w:color="auto"/>
            <w:left w:val="none" w:sz="0" w:space="0" w:color="auto"/>
            <w:bottom w:val="none" w:sz="0" w:space="0" w:color="auto"/>
            <w:right w:val="none" w:sz="0" w:space="0" w:color="auto"/>
          </w:divBdr>
        </w:div>
        <w:div w:id="310869632">
          <w:marLeft w:val="480"/>
          <w:marRight w:val="0"/>
          <w:marTop w:val="0"/>
          <w:marBottom w:val="0"/>
          <w:divBdr>
            <w:top w:val="none" w:sz="0" w:space="0" w:color="auto"/>
            <w:left w:val="none" w:sz="0" w:space="0" w:color="auto"/>
            <w:bottom w:val="none" w:sz="0" w:space="0" w:color="auto"/>
            <w:right w:val="none" w:sz="0" w:space="0" w:color="auto"/>
          </w:divBdr>
        </w:div>
        <w:div w:id="859926819">
          <w:marLeft w:val="480"/>
          <w:marRight w:val="0"/>
          <w:marTop w:val="0"/>
          <w:marBottom w:val="0"/>
          <w:divBdr>
            <w:top w:val="none" w:sz="0" w:space="0" w:color="auto"/>
            <w:left w:val="none" w:sz="0" w:space="0" w:color="auto"/>
            <w:bottom w:val="none" w:sz="0" w:space="0" w:color="auto"/>
            <w:right w:val="none" w:sz="0" w:space="0" w:color="auto"/>
          </w:divBdr>
        </w:div>
        <w:div w:id="2142916914">
          <w:marLeft w:val="480"/>
          <w:marRight w:val="0"/>
          <w:marTop w:val="0"/>
          <w:marBottom w:val="0"/>
          <w:divBdr>
            <w:top w:val="none" w:sz="0" w:space="0" w:color="auto"/>
            <w:left w:val="none" w:sz="0" w:space="0" w:color="auto"/>
            <w:bottom w:val="none" w:sz="0" w:space="0" w:color="auto"/>
            <w:right w:val="none" w:sz="0" w:space="0" w:color="auto"/>
          </w:divBdr>
        </w:div>
        <w:div w:id="1291278774">
          <w:marLeft w:val="480"/>
          <w:marRight w:val="0"/>
          <w:marTop w:val="0"/>
          <w:marBottom w:val="0"/>
          <w:divBdr>
            <w:top w:val="none" w:sz="0" w:space="0" w:color="auto"/>
            <w:left w:val="none" w:sz="0" w:space="0" w:color="auto"/>
            <w:bottom w:val="none" w:sz="0" w:space="0" w:color="auto"/>
            <w:right w:val="none" w:sz="0" w:space="0" w:color="auto"/>
          </w:divBdr>
        </w:div>
        <w:div w:id="227811255">
          <w:marLeft w:val="480"/>
          <w:marRight w:val="0"/>
          <w:marTop w:val="0"/>
          <w:marBottom w:val="0"/>
          <w:divBdr>
            <w:top w:val="none" w:sz="0" w:space="0" w:color="auto"/>
            <w:left w:val="none" w:sz="0" w:space="0" w:color="auto"/>
            <w:bottom w:val="none" w:sz="0" w:space="0" w:color="auto"/>
            <w:right w:val="none" w:sz="0" w:space="0" w:color="auto"/>
          </w:divBdr>
        </w:div>
        <w:div w:id="1246763874">
          <w:marLeft w:val="480"/>
          <w:marRight w:val="0"/>
          <w:marTop w:val="0"/>
          <w:marBottom w:val="0"/>
          <w:divBdr>
            <w:top w:val="none" w:sz="0" w:space="0" w:color="auto"/>
            <w:left w:val="none" w:sz="0" w:space="0" w:color="auto"/>
            <w:bottom w:val="none" w:sz="0" w:space="0" w:color="auto"/>
            <w:right w:val="none" w:sz="0" w:space="0" w:color="auto"/>
          </w:divBdr>
        </w:div>
        <w:div w:id="1093549186">
          <w:marLeft w:val="480"/>
          <w:marRight w:val="0"/>
          <w:marTop w:val="0"/>
          <w:marBottom w:val="0"/>
          <w:divBdr>
            <w:top w:val="none" w:sz="0" w:space="0" w:color="auto"/>
            <w:left w:val="none" w:sz="0" w:space="0" w:color="auto"/>
            <w:bottom w:val="none" w:sz="0" w:space="0" w:color="auto"/>
            <w:right w:val="none" w:sz="0" w:space="0" w:color="auto"/>
          </w:divBdr>
        </w:div>
        <w:div w:id="1020205396">
          <w:marLeft w:val="480"/>
          <w:marRight w:val="0"/>
          <w:marTop w:val="0"/>
          <w:marBottom w:val="0"/>
          <w:divBdr>
            <w:top w:val="none" w:sz="0" w:space="0" w:color="auto"/>
            <w:left w:val="none" w:sz="0" w:space="0" w:color="auto"/>
            <w:bottom w:val="none" w:sz="0" w:space="0" w:color="auto"/>
            <w:right w:val="none" w:sz="0" w:space="0" w:color="auto"/>
          </w:divBdr>
        </w:div>
        <w:div w:id="1770008514">
          <w:marLeft w:val="480"/>
          <w:marRight w:val="0"/>
          <w:marTop w:val="0"/>
          <w:marBottom w:val="0"/>
          <w:divBdr>
            <w:top w:val="none" w:sz="0" w:space="0" w:color="auto"/>
            <w:left w:val="none" w:sz="0" w:space="0" w:color="auto"/>
            <w:bottom w:val="none" w:sz="0" w:space="0" w:color="auto"/>
            <w:right w:val="none" w:sz="0" w:space="0" w:color="auto"/>
          </w:divBdr>
        </w:div>
        <w:div w:id="1831828352">
          <w:marLeft w:val="480"/>
          <w:marRight w:val="0"/>
          <w:marTop w:val="0"/>
          <w:marBottom w:val="0"/>
          <w:divBdr>
            <w:top w:val="none" w:sz="0" w:space="0" w:color="auto"/>
            <w:left w:val="none" w:sz="0" w:space="0" w:color="auto"/>
            <w:bottom w:val="none" w:sz="0" w:space="0" w:color="auto"/>
            <w:right w:val="none" w:sz="0" w:space="0" w:color="auto"/>
          </w:divBdr>
        </w:div>
        <w:div w:id="1408772901">
          <w:marLeft w:val="480"/>
          <w:marRight w:val="0"/>
          <w:marTop w:val="0"/>
          <w:marBottom w:val="0"/>
          <w:divBdr>
            <w:top w:val="none" w:sz="0" w:space="0" w:color="auto"/>
            <w:left w:val="none" w:sz="0" w:space="0" w:color="auto"/>
            <w:bottom w:val="none" w:sz="0" w:space="0" w:color="auto"/>
            <w:right w:val="none" w:sz="0" w:space="0" w:color="auto"/>
          </w:divBdr>
        </w:div>
        <w:div w:id="690255072">
          <w:marLeft w:val="480"/>
          <w:marRight w:val="0"/>
          <w:marTop w:val="0"/>
          <w:marBottom w:val="0"/>
          <w:divBdr>
            <w:top w:val="none" w:sz="0" w:space="0" w:color="auto"/>
            <w:left w:val="none" w:sz="0" w:space="0" w:color="auto"/>
            <w:bottom w:val="none" w:sz="0" w:space="0" w:color="auto"/>
            <w:right w:val="none" w:sz="0" w:space="0" w:color="auto"/>
          </w:divBdr>
        </w:div>
        <w:div w:id="795100360">
          <w:marLeft w:val="480"/>
          <w:marRight w:val="0"/>
          <w:marTop w:val="0"/>
          <w:marBottom w:val="0"/>
          <w:divBdr>
            <w:top w:val="none" w:sz="0" w:space="0" w:color="auto"/>
            <w:left w:val="none" w:sz="0" w:space="0" w:color="auto"/>
            <w:bottom w:val="none" w:sz="0" w:space="0" w:color="auto"/>
            <w:right w:val="none" w:sz="0" w:space="0" w:color="auto"/>
          </w:divBdr>
        </w:div>
        <w:div w:id="1590386145">
          <w:marLeft w:val="480"/>
          <w:marRight w:val="0"/>
          <w:marTop w:val="0"/>
          <w:marBottom w:val="0"/>
          <w:divBdr>
            <w:top w:val="none" w:sz="0" w:space="0" w:color="auto"/>
            <w:left w:val="none" w:sz="0" w:space="0" w:color="auto"/>
            <w:bottom w:val="none" w:sz="0" w:space="0" w:color="auto"/>
            <w:right w:val="none" w:sz="0" w:space="0" w:color="auto"/>
          </w:divBdr>
        </w:div>
        <w:div w:id="882062993">
          <w:marLeft w:val="480"/>
          <w:marRight w:val="0"/>
          <w:marTop w:val="0"/>
          <w:marBottom w:val="0"/>
          <w:divBdr>
            <w:top w:val="none" w:sz="0" w:space="0" w:color="auto"/>
            <w:left w:val="none" w:sz="0" w:space="0" w:color="auto"/>
            <w:bottom w:val="none" w:sz="0" w:space="0" w:color="auto"/>
            <w:right w:val="none" w:sz="0" w:space="0" w:color="auto"/>
          </w:divBdr>
        </w:div>
        <w:div w:id="1367292164">
          <w:marLeft w:val="480"/>
          <w:marRight w:val="0"/>
          <w:marTop w:val="0"/>
          <w:marBottom w:val="0"/>
          <w:divBdr>
            <w:top w:val="none" w:sz="0" w:space="0" w:color="auto"/>
            <w:left w:val="none" w:sz="0" w:space="0" w:color="auto"/>
            <w:bottom w:val="none" w:sz="0" w:space="0" w:color="auto"/>
            <w:right w:val="none" w:sz="0" w:space="0" w:color="auto"/>
          </w:divBdr>
        </w:div>
        <w:div w:id="807825461">
          <w:marLeft w:val="480"/>
          <w:marRight w:val="0"/>
          <w:marTop w:val="0"/>
          <w:marBottom w:val="0"/>
          <w:divBdr>
            <w:top w:val="none" w:sz="0" w:space="0" w:color="auto"/>
            <w:left w:val="none" w:sz="0" w:space="0" w:color="auto"/>
            <w:bottom w:val="none" w:sz="0" w:space="0" w:color="auto"/>
            <w:right w:val="none" w:sz="0" w:space="0" w:color="auto"/>
          </w:divBdr>
        </w:div>
        <w:div w:id="1380084268">
          <w:marLeft w:val="480"/>
          <w:marRight w:val="0"/>
          <w:marTop w:val="0"/>
          <w:marBottom w:val="0"/>
          <w:divBdr>
            <w:top w:val="none" w:sz="0" w:space="0" w:color="auto"/>
            <w:left w:val="none" w:sz="0" w:space="0" w:color="auto"/>
            <w:bottom w:val="none" w:sz="0" w:space="0" w:color="auto"/>
            <w:right w:val="none" w:sz="0" w:space="0" w:color="auto"/>
          </w:divBdr>
        </w:div>
        <w:div w:id="1236286020">
          <w:marLeft w:val="480"/>
          <w:marRight w:val="0"/>
          <w:marTop w:val="0"/>
          <w:marBottom w:val="0"/>
          <w:divBdr>
            <w:top w:val="none" w:sz="0" w:space="0" w:color="auto"/>
            <w:left w:val="none" w:sz="0" w:space="0" w:color="auto"/>
            <w:bottom w:val="none" w:sz="0" w:space="0" w:color="auto"/>
            <w:right w:val="none" w:sz="0" w:space="0" w:color="auto"/>
          </w:divBdr>
        </w:div>
        <w:div w:id="2055153541">
          <w:marLeft w:val="480"/>
          <w:marRight w:val="0"/>
          <w:marTop w:val="0"/>
          <w:marBottom w:val="0"/>
          <w:divBdr>
            <w:top w:val="none" w:sz="0" w:space="0" w:color="auto"/>
            <w:left w:val="none" w:sz="0" w:space="0" w:color="auto"/>
            <w:bottom w:val="none" w:sz="0" w:space="0" w:color="auto"/>
            <w:right w:val="none" w:sz="0" w:space="0" w:color="auto"/>
          </w:divBdr>
        </w:div>
        <w:div w:id="1350059727">
          <w:marLeft w:val="480"/>
          <w:marRight w:val="0"/>
          <w:marTop w:val="0"/>
          <w:marBottom w:val="0"/>
          <w:divBdr>
            <w:top w:val="none" w:sz="0" w:space="0" w:color="auto"/>
            <w:left w:val="none" w:sz="0" w:space="0" w:color="auto"/>
            <w:bottom w:val="none" w:sz="0" w:space="0" w:color="auto"/>
            <w:right w:val="none" w:sz="0" w:space="0" w:color="auto"/>
          </w:divBdr>
        </w:div>
        <w:div w:id="429786050">
          <w:marLeft w:val="480"/>
          <w:marRight w:val="0"/>
          <w:marTop w:val="0"/>
          <w:marBottom w:val="0"/>
          <w:divBdr>
            <w:top w:val="none" w:sz="0" w:space="0" w:color="auto"/>
            <w:left w:val="none" w:sz="0" w:space="0" w:color="auto"/>
            <w:bottom w:val="none" w:sz="0" w:space="0" w:color="auto"/>
            <w:right w:val="none" w:sz="0" w:space="0" w:color="auto"/>
          </w:divBdr>
        </w:div>
        <w:div w:id="829103922">
          <w:marLeft w:val="480"/>
          <w:marRight w:val="0"/>
          <w:marTop w:val="0"/>
          <w:marBottom w:val="0"/>
          <w:divBdr>
            <w:top w:val="none" w:sz="0" w:space="0" w:color="auto"/>
            <w:left w:val="none" w:sz="0" w:space="0" w:color="auto"/>
            <w:bottom w:val="none" w:sz="0" w:space="0" w:color="auto"/>
            <w:right w:val="none" w:sz="0" w:space="0" w:color="auto"/>
          </w:divBdr>
        </w:div>
        <w:div w:id="2005666329">
          <w:marLeft w:val="480"/>
          <w:marRight w:val="0"/>
          <w:marTop w:val="0"/>
          <w:marBottom w:val="0"/>
          <w:divBdr>
            <w:top w:val="none" w:sz="0" w:space="0" w:color="auto"/>
            <w:left w:val="none" w:sz="0" w:space="0" w:color="auto"/>
            <w:bottom w:val="none" w:sz="0" w:space="0" w:color="auto"/>
            <w:right w:val="none" w:sz="0" w:space="0" w:color="auto"/>
          </w:divBdr>
        </w:div>
        <w:div w:id="1178227241">
          <w:marLeft w:val="480"/>
          <w:marRight w:val="0"/>
          <w:marTop w:val="0"/>
          <w:marBottom w:val="0"/>
          <w:divBdr>
            <w:top w:val="none" w:sz="0" w:space="0" w:color="auto"/>
            <w:left w:val="none" w:sz="0" w:space="0" w:color="auto"/>
            <w:bottom w:val="none" w:sz="0" w:space="0" w:color="auto"/>
            <w:right w:val="none" w:sz="0" w:space="0" w:color="auto"/>
          </w:divBdr>
        </w:div>
        <w:div w:id="1965651146">
          <w:marLeft w:val="480"/>
          <w:marRight w:val="0"/>
          <w:marTop w:val="0"/>
          <w:marBottom w:val="0"/>
          <w:divBdr>
            <w:top w:val="none" w:sz="0" w:space="0" w:color="auto"/>
            <w:left w:val="none" w:sz="0" w:space="0" w:color="auto"/>
            <w:bottom w:val="none" w:sz="0" w:space="0" w:color="auto"/>
            <w:right w:val="none" w:sz="0" w:space="0" w:color="auto"/>
          </w:divBdr>
        </w:div>
        <w:div w:id="1702627699">
          <w:marLeft w:val="480"/>
          <w:marRight w:val="0"/>
          <w:marTop w:val="0"/>
          <w:marBottom w:val="0"/>
          <w:divBdr>
            <w:top w:val="none" w:sz="0" w:space="0" w:color="auto"/>
            <w:left w:val="none" w:sz="0" w:space="0" w:color="auto"/>
            <w:bottom w:val="none" w:sz="0" w:space="0" w:color="auto"/>
            <w:right w:val="none" w:sz="0" w:space="0" w:color="auto"/>
          </w:divBdr>
        </w:div>
        <w:div w:id="388191059">
          <w:marLeft w:val="480"/>
          <w:marRight w:val="0"/>
          <w:marTop w:val="0"/>
          <w:marBottom w:val="0"/>
          <w:divBdr>
            <w:top w:val="none" w:sz="0" w:space="0" w:color="auto"/>
            <w:left w:val="none" w:sz="0" w:space="0" w:color="auto"/>
            <w:bottom w:val="none" w:sz="0" w:space="0" w:color="auto"/>
            <w:right w:val="none" w:sz="0" w:space="0" w:color="auto"/>
          </w:divBdr>
        </w:div>
        <w:div w:id="251819425">
          <w:marLeft w:val="480"/>
          <w:marRight w:val="0"/>
          <w:marTop w:val="0"/>
          <w:marBottom w:val="0"/>
          <w:divBdr>
            <w:top w:val="none" w:sz="0" w:space="0" w:color="auto"/>
            <w:left w:val="none" w:sz="0" w:space="0" w:color="auto"/>
            <w:bottom w:val="none" w:sz="0" w:space="0" w:color="auto"/>
            <w:right w:val="none" w:sz="0" w:space="0" w:color="auto"/>
          </w:divBdr>
        </w:div>
        <w:div w:id="990982980">
          <w:marLeft w:val="480"/>
          <w:marRight w:val="0"/>
          <w:marTop w:val="0"/>
          <w:marBottom w:val="0"/>
          <w:divBdr>
            <w:top w:val="none" w:sz="0" w:space="0" w:color="auto"/>
            <w:left w:val="none" w:sz="0" w:space="0" w:color="auto"/>
            <w:bottom w:val="none" w:sz="0" w:space="0" w:color="auto"/>
            <w:right w:val="none" w:sz="0" w:space="0" w:color="auto"/>
          </w:divBdr>
        </w:div>
        <w:div w:id="1623224429">
          <w:marLeft w:val="480"/>
          <w:marRight w:val="0"/>
          <w:marTop w:val="0"/>
          <w:marBottom w:val="0"/>
          <w:divBdr>
            <w:top w:val="none" w:sz="0" w:space="0" w:color="auto"/>
            <w:left w:val="none" w:sz="0" w:space="0" w:color="auto"/>
            <w:bottom w:val="none" w:sz="0" w:space="0" w:color="auto"/>
            <w:right w:val="none" w:sz="0" w:space="0" w:color="auto"/>
          </w:divBdr>
        </w:div>
        <w:div w:id="621498562">
          <w:marLeft w:val="480"/>
          <w:marRight w:val="0"/>
          <w:marTop w:val="0"/>
          <w:marBottom w:val="0"/>
          <w:divBdr>
            <w:top w:val="none" w:sz="0" w:space="0" w:color="auto"/>
            <w:left w:val="none" w:sz="0" w:space="0" w:color="auto"/>
            <w:bottom w:val="none" w:sz="0" w:space="0" w:color="auto"/>
            <w:right w:val="none" w:sz="0" w:space="0" w:color="auto"/>
          </w:divBdr>
        </w:div>
        <w:div w:id="860632207">
          <w:marLeft w:val="480"/>
          <w:marRight w:val="0"/>
          <w:marTop w:val="0"/>
          <w:marBottom w:val="0"/>
          <w:divBdr>
            <w:top w:val="none" w:sz="0" w:space="0" w:color="auto"/>
            <w:left w:val="none" w:sz="0" w:space="0" w:color="auto"/>
            <w:bottom w:val="none" w:sz="0" w:space="0" w:color="auto"/>
            <w:right w:val="none" w:sz="0" w:space="0" w:color="auto"/>
          </w:divBdr>
        </w:div>
        <w:div w:id="1007170988">
          <w:marLeft w:val="480"/>
          <w:marRight w:val="0"/>
          <w:marTop w:val="0"/>
          <w:marBottom w:val="0"/>
          <w:divBdr>
            <w:top w:val="none" w:sz="0" w:space="0" w:color="auto"/>
            <w:left w:val="none" w:sz="0" w:space="0" w:color="auto"/>
            <w:bottom w:val="none" w:sz="0" w:space="0" w:color="auto"/>
            <w:right w:val="none" w:sz="0" w:space="0" w:color="auto"/>
          </w:divBdr>
        </w:div>
        <w:div w:id="881285088">
          <w:marLeft w:val="480"/>
          <w:marRight w:val="0"/>
          <w:marTop w:val="0"/>
          <w:marBottom w:val="0"/>
          <w:divBdr>
            <w:top w:val="none" w:sz="0" w:space="0" w:color="auto"/>
            <w:left w:val="none" w:sz="0" w:space="0" w:color="auto"/>
            <w:bottom w:val="none" w:sz="0" w:space="0" w:color="auto"/>
            <w:right w:val="none" w:sz="0" w:space="0" w:color="auto"/>
          </w:divBdr>
        </w:div>
        <w:div w:id="1357391399">
          <w:marLeft w:val="480"/>
          <w:marRight w:val="0"/>
          <w:marTop w:val="0"/>
          <w:marBottom w:val="0"/>
          <w:divBdr>
            <w:top w:val="none" w:sz="0" w:space="0" w:color="auto"/>
            <w:left w:val="none" w:sz="0" w:space="0" w:color="auto"/>
            <w:bottom w:val="none" w:sz="0" w:space="0" w:color="auto"/>
            <w:right w:val="none" w:sz="0" w:space="0" w:color="auto"/>
          </w:divBdr>
        </w:div>
        <w:div w:id="747921097">
          <w:marLeft w:val="480"/>
          <w:marRight w:val="0"/>
          <w:marTop w:val="0"/>
          <w:marBottom w:val="0"/>
          <w:divBdr>
            <w:top w:val="none" w:sz="0" w:space="0" w:color="auto"/>
            <w:left w:val="none" w:sz="0" w:space="0" w:color="auto"/>
            <w:bottom w:val="none" w:sz="0" w:space="0" w:color="auto"/>
            <w:right w:val="none" w:sz="0" w:space="0" w:color="auto"/>
          </w:divBdr>
        </w:div>
        <w:div w:id="925268423">
          <w:marLeft w:val="480"/>
          <w:marRight w:val="0"/>
          <w:marTop w:val="0"/>
          <w:marBottom w:val="0"/>
          <w:divBdr>
            <w:top w:val="none" w:sz="0" w:space="0" w:color="auto"/>
            <w:left w:val="none" w:sz="0" w:space="0" w:color="auto"/>
            <w:bottom w:val="none" w:sz="0" w:space="0" w:color="auto"/>
            <w:right w:val="none" w:sz="0" w:space="0" w:color="auto"/>
          </w:divBdr>
        </w:div>
        <w:div w:id="1506944810">
          <w:marLeft w:val="480"/>
          <w:marRight w:val="0"/>
          <w:marTop w:val="0"/>
          <w:marBottom w:val="0"/>
          <w:divBdr>
            <w:top w:val="none" w:sz="0" w:space="0" w:color="auto"/>
            <w:left w:val="none" w:sz="0" w:space="0" w:color="auto"/>
            <w:bottom w:val="none" w:sz="0" w:space="0" w:color="auto"/>
            <w:right w:val="none" w:sz="0" w:space="0" w:color="auto"/>
          </w:divBdr>
        </w:div>
        <w:div w:id="1601916521">
          <w:marLeft w:val="480"/>
          <w:marRight w:val="0"/>
          <w:marTop w:val="0"/>
          <w:marBottom w:val="0"/>
          <w:divBdr>
            <w:top w:val="none" w:sz="0" w:space="0" w:color="auto"/>
            <w:left w:val="none" w:sz="0" w:space="0" w:color="auto"/>
            <w:bottom w:val="none" w:sz="0" w:space="0" w:color="auto"/>
            <w:right w:val="none" w:sz="0" w:space="0" w:color="auto"/>
          </w:divBdr>
        </w:div>
        <w:div w:id="509878054">
          <w:marLeft w:val="480"/>
          <w:marRight w:val="0"/>
          <w:marTop w:val="0"/>
          <w:marBottom w:val="0"/>
          <w:divBdr>
            <w:top w:val="none" w:sz="0" w:space="0" w:color="auto"/>
            <w:left w:val="none" w:sz="0" w:space="0" w:color="auto"/>
            <w:bottom w:val="none" w:sz="0" w:space="0" w:color="auto"/>
            <w:right w:val="none" w:sz="0" w:space="0" w:color="auto"/>
          </w:divBdr>
        </w:div>
        <w:div w:id="1390879516">
          <w:marLeft w:val="480"/>
          <w:marRight w:val="0"/>
          <w:marTop w:val="0"/>
          <w:marBottom w:val="0"/>
          <w:divBdr>
            <w:top w:val="none" w:sz="0" w:space="0" w:color="auto"/>
            <w:left w:val="none" w:sz="0" w:space="0" w:color="auto"/>
            <w:bottom w:val="none" w:sz="0" w:space="0" w:color="auto"/>
            <w:right w:val="none" w:sz="0" w:space="0" w:color="auto"/>
          </w:divBdr>
        </w:div>
      </w:divsChild>
    </w:div>
    <w:div w:id="1580363911">
      <w:bodyDiv w:val="1"/>
      <w:marLeft w:val="0"/>
      <w:marRight w:val="0"/>
      <w:marTop w:val="0"/>
      <w:marBottom w:val="0"/>
      <w:divBdr>
        <w:top w:val="none" w:sz="0" w:space="0" w:color="auto"/>
        <w:left w:val="none" w:sz="0" w:space="0" w:color="auto"/>
        <w:bottom w:val="none" w:sz="0" w:space="0" w:color="auto"/>
        <w:right w:val="none" w:sz="0" w:space="0" w:color="auto"/>
      </w:divBdr>
    </w:div>
    <w:div w:id="1580823554">
      <w:bodyDiv w:val="1"/>
      <w:marLeft w:val="0"/>
      <w:marRight w:val="0"/>
      <w:marTop w:val="0"/>
      <w:marBottom w:val="0"/>
      <w:divBdr>
        <w:top w:val="none" w:sz="0" w:space="0" w:color="auto"/>
        <w:left w:val="none" w:sz="0" w:space="0" w:color="auto"/>
        <w:bottom w:val="none" w:sz="0" w:space="0" w:color="auto"/>
        <w:right w:val="none" w:sz="0" w:space="0" w:color="auto"/>
      </w:divBdr>
    </w:div>
    <w:div w:id="1581017768">
      <w:bodyDiv w:val="1"/>
      <w:marLeft w:val="0"/>
      <w:marRight w:val="0"/>
      <w:marTop w:val="0"/>
      <w:marBottom w:val="0"/>
      <w:divBdr>
        <w:top w:val="none" w:sz="0" w:space="0" w:color="auto"/>
        <w:left w:val="none" w:sz="0" w:space="0" w:color="auto"/>
        <w:bottom w:val="none" w:sz="0" w:space="0" w:color="auto"/>
        <w:right w:val="none" w:sz="0" w:space="0" w:color="auto"/>
      </w:divBdr>
    </w:div>
    <w:div w:id="1581062020">
      <w:bodyDiv w:val="1"/>
      <w:marLeft w:val="0"/>
      <w:marRight w:val="0"/>
      <w:marTop w:val="0"/>
      <w:marBottom w:val="0"/>
      <w:divBdr>
        <w:top w:val="none" w:sz="0" w:space="0" w:color="auto"/>
        <w:left w:val="none" w:sz="0" w:space="0" w:color="auto"/>
        <w:bottom w:val="none" w:sz="0" w:space="0" w:color="auto"/>
        <w:right w:val="none" w:sz="0" w:space="0" w:color="auto"/>
      </w:divBdr>
    </w:div>
    <w:div w:id="1581259373">
      <w:bodyDiv w:val="1"/>
      <w:marLeft w:val="0"/>
      <w:marRight w:val="0"/>
      <w:marTop w:val="0"/>
      <w:marBottom w:val="0"/>
      <w:divBdr>
        <w:top w:val="none" w:sz="0" w:space="0" w:color="auto"/>
        <w:left w:val="none" w:sz="0" w:space="0" w:color="auto"/>
        <w:bottom w:val="none" w:sz="0" w:space="0" w:color="auto"/>
        <w:right w:val="none" w:sz="0" w:space="0" w:color="auto"/>
      </w:divBdr>
    </w:div>
    <w:div w:id="1582132416">
      <w:bodyDiv w:val="1"/>
      <w:marLeft w:val="0"/>
      <w:marRight w:val="0"/>
      <w:marTop w:val="0"/>
      <w:marBottom w:val="0"/>
      <w:divBdr>
        <w:top w:val="none" w:sz="0" w:space="0" w:color="auto"/>
        <w:left w:val="none" w:sz="0" w:space="0" w:color="auto"/>
        <w:bottom w:val="none" w:sz="0" w:space="0" w:color="auto"/>
        <w:right w:val="none" w:sz="0" w:space="0" w:color="auto"/>
      </w:divBdr>
    </w:div>
    <w:div w:id="1582372008">
      <w:bodyDiv w:val="1"/>
      <w:marLeft w:val="0"/>
      <w:marRight w:val="0"/>
      <w:marTop w:val="0"/>
      <w:marBottom w:val="0"/>
      <w:divBdr>
        <w:top w:val="none" w:sz="0" w:space="0" w:color="auto"/>
        <w:left w:val="none" w:sz="0" w:space="0" w:color="auto"/>
        <w:bottom w:val="none" w:sz="0" w:space="0" w:color="auto"/>
        <w:right w:val="none" w:sz="0" w:space="0" w:color="auto"/>
      </w:divBdr>
    </w:div>
    <w:div w:id="1582525122">
      <w:bodyDiv w:val="1"/>
      <w:marLeft w:val="0"/>
      <w:marRight w:val="0"/>
      <w:marTop w:val="0"/>
      <w:marBottom w:val="0"/>
      <w:divBdr>
        <w:top w:val="none" w:sz="0" w:space="0" w:color="auto"/>
        <w:left w:val="none" w:sz="0" w:space="0" w:color="auto"/>
        <w:bottom w:val="none" w:sz="0" w:space="0" w:color="auto"/>
        <w:right w:val="none" w:sz="0" w:space="0" w:color="auto"/>
      </w:divBdr>
    </w:div>
    <w:div w:id="1583027189">
      <w:bodyDiv w:val="1"/>
      <w:marLeft w:val="0"/>
      <w:marRight w:val="0"/>
      <w:marTop w:val="0"/>
      <w:marBottom w:val="0"/>
      <w:divBdr>
        <w:top w:val="none" w:sz="0" w:space="0" w:color="auto"/>
        <w:left w:val="none" w:sz="0" w:space="0" w:color="auto"/>
        <w:bottom w:val="none" w:sz="0" w:space="0" w:color="auto"/>
        <w:right w:val="none" w:sz="0" w:space="0" w:color="auto"/>
      </w:divBdr>
    </w:div>
    <w:div w:id="1583103104">
      <w:bodyDiv w:val="1"/>
      <w:marLeft w:val="0"/>
      <w:marRight w:val="0"/>
      <w:marTop w:val="0"/>
      <w:marBottom w:val="0"/>
      <w:divBdr>
        <w:top w:val="none" w:sz="0" w:space="0" w:color="auto"/>
        <w:left w:val="none" w:sz="0" w:space="0" w:color="auto"/>
        <w:bottom w:val="none" w:sz="0" w:space="0" w:color="auto"/>
        <w:right w:val="none" w:sz="0" w:space="0" w:color="auto"/>
      </w:divBdr>
    </w:div>
    <w:div w:id="1584800675">
      <w:bodyDiv w:val="1"/>
      <w:marLeft w:val="0"/>
      <w:marRight w:val="0"/>
      <w:marTop w:val="0"/>
      <w:marBottom w:val="0"/>
      <w:divBdr>
        <w:top w:val="none" w:sz="0" w:space="0" w:color="auto"/>
        <w:left w:val="none" w:sz="0" w:space="0" w:color="auto"/>
        <w:bottom w:val="none" w:sz="0" w:space="0" w:color="auto"/>
        <w:right w:val="none" w:sz="0" w:space="0" w:color="auto"/>
      </w:divBdr>
    </w:div>
    <w:div w:id="1585146389">
      <w:bodyDiv w:val="1"/>
      <w:marLeft w:val="0"/>
      <w:marRight w:val="0"/>
      <w:marTop w:val="0"/>
      <w:marBottom w:val="0"/>
      <w:divBdr>
        <w:top w:val="none" w:sz="0" w:space="0" w:color="auto"/>
        <w:left w:val="none" w:sz="0" w:space="0" w:color="auto"/>
        <w:bottom w:val="none" w:sz="0" w:space="0" w:color="auto"/>
        <w:right w:val="none" w:sz="0" w:space="0" w:color="auto"/>
      </w:divBdr>
    </w:div>
    <w:div w:id="1586039650">
      <w:bodyDiv w:val="1"/>
      <w:marLeft w:val="0"/>
      <w:marRight w:val="0"/>
      <w:marTop w:val="0"/>
      <w:marBottom w:val="0"/>
      <w:divBdr>
        <w:top w:val="none" w:sz="0" w:space="0" w:color="auto"/>
        <w:left w:val="none" w:sz="0" w:space="0" w:color="auto"/>
        <w:bottom w:val="none" w:sz="0" w:space="0" w:color="auto"/>
        <w:right w:val="none" w:sz="0" w:space="0" w:color="auto"/>
      </w:divBdr>
    </w:div>
    <w:div w:id="1586181852">
      <w:bodyDiv w:val="1"/>
      <w:marLeft w:val="0"/>
      <w:marRight w:val="0"/>
      <w:marTop w:val="0"/>
      <w:marBottom w:val="0"/>
      <w:divBdr>
        <w:top w:val="none" w:sz="0" w:space="0" w:color="auto"/>
        <w:left w:val="none" w:sz="0" w:space="0" w:color="auto"/>
        <w:bottom w:val="none" w:sz="0" w:space="0" w:color="auto"/>
        <w:right w:val="none" w:sz="0" w:space="0" w:color="auto"/>
      </w:divBdr>
    </w:div>
    <w:div w:id="1586375903">
      <w:bodyDiv w:val="1"/>
      <w:marLeft w:val="0"/>
      <w:marRight w:val="0"/>
      <w:marTop w:val="0"/>
      <w:marBottom w:val="0"/>
      <w:divBdr>
        <w:top w:val="none" w:sz="0" w:space="0" w:color="auto"/>
        <w:left w:val="none" w:sz="0" w:space="0" w:color="auto"/>
        <w:bottom w:val="none" w:sz="0" w:space="0" w:color="auto"/>
        <w:right w:val="none" w:sz="0" w:space="0" w:color="auto"/>
      </w:divBdr>
      <w:divsChild>
        <w:div w:id="736632221">
          <w:marLeft w:val="480"/>
          <w:marRight w:val="0"/>
          <w:marTop w:val="0"/>
          <w:marBottom w:val="0"/>
          <w:divBdr>
            <w:top w:val="none" w:sz="0" w:space="0" w:color="auto"/>
            <w:left w:val="none" w:sz="0" w:space="0" w:color="auto"/>
            <w:bottom w:val="none" w:sz="0" w:space="0" w:color="auto"/>
            <w:right w:val="none" w:sz="0" w:space="0" w:color="auto"/>
          </w:divBdr>
        </w:div>
        <w:div w:id="2033610159">
          <w:marLeft w:val="480"/>
          <w:marRight w:val="0"/>
          <w:marTop w:val="0"/>
          <w:marBottom w:val="0"/>
          <w:divBdr>
            <w:top w:val="none" w:sz="0" w:space="0" w:color="auto"/>
            <w:left w:val="none" w:sz="0" w:space="0" w:color="auto"/>
            <w:bottom w:val="none" w:sz="0" w:space="0" w:color="auto"/>
            <w:right w:val="none" w:sz="0" w:space="0" w:color="auto"/>
          </w:divBdr>
        </w:div>
        <w:div w:id="370037082">
          <w:marLeft w:val="480"/>
          <w:marRight w:val="0"/>
          <w:marTop w:val="0"/>
          <w:marBottom w:val="0"/>
          <w:divBdr>
            <w:top w:val="none" w:sz="0" w:space="0" w:color="auto"/>
            <w:left w:val="none" w:sz="0" w:space="0" w:color="auto"/>
            <w:bottom w:val="none" w:sz="0" w:space="0" w:color="auto"/>
            <w:right w:val="none" w:sz="0" w:space="0" w:color="auto"/>
          </w:divBdr>
        </w:div>
        <w:div w:id="2058356969">
          <w:marLeft w:val="480"/>
          <w:marRight w:val="0"/>
          <w:marTop w:val="0"/>
          <w:marBottom w:val="0"/>
          <w:divBdr>
            <w:top w:val="none" w:sz="0" w:space="0" w:color="auto"/>
            <w:left w:val="none" w:sz="0" w:space="0" w:color="auto"/>
            <w:bottom w:val="none" w:sz="0" w:space="0" w:color="auto"/>
            <w:right w:val="none" w:sz="0" w:space="0" w:color="auto"/>
          </w:divBdr>
        </w:div>
        <w:div w:id="789860458">
          <w:marLeft w:val="480"/>
          <w:marRight w:val="0"/>
          <w:marTop w:val="0"/>
          <w:marBottom w:val="0"/>
          <w:divBdr>
            <w:top w:val="none" w:sz="0" w:space="0" w:color="auto"/>
            <w:left w:val="none" w:sz="0" w:space="0" w:color="auto"/>
            <w:bottom w:val="none" w:sz="0" w:space="0" w:color="auto"/>
            <w:right w:val="none" w:sz="0" w:space="0" w:color="auto"/>
          </w:divBdr>
        </w:div>
        <w:div w:id="456139806">
          <w:marLeft w:val="480"/>
          <w:marRight w:val="0"/>
          <w:marTop w:val="0"/>
          <w:marBottom w:val="0"/>
          <w:divBdr>
            <w:top w:val="none" w:sz="0" w:space="0" w:color="auto"/>
            <w:left w:val="none" w:sz="0" w:space="0" w:color="auto"/>
            <w:bottom w:val="none" w:sz="0" w:space="0" w:color="auto"/>
            <w:right w:val="none" w:sz="0" w:space="0" w:color="auto"/>
          </w:divBdr>
        </w:div>
        <w:div w:id="270673227">
          <w:marLeft w:val="480"/>
          <w:marRight w:val="0"/>
          <w:marTop w:val="0"/>
          <w:marBottom w:val="0"/>
          <w:divBdr>
            <w:top w:val="none" w:sz="0" w:space="0" w:color="auto"/>
            <w:left w:val="none" w:sz="0" w:space="0" w:color="auto"/>
            <w:bottom w:val="none" w:sz="0" w:space="0" w:color="auto"/>
            <w:right w:val="none" w:sz="0" w:space="0" w:color="auto"/>
          </w:divBdr>
        </w:div>
        <w:div w:id="109446481">
          <w:marLeft w:val="480"/>
          <w:marRight w:val="0"/>
          <w:marTop w:val="0"/>
          <w:marBottom w:val="0"/>
          <w:divBdr>
            <w:top w:val="none" w:sz="0" w:space="0" w:color="auto"/>
            <w:left w:val="none" w:sz="0" w:space="0" w:color="auto"/>
            <w:bottom w:val="none" w:sz="0" w:space="0" w:color="auto"/>
            <w:right w:val="none" w:sz="0" w:space="0" w:color="auto"/>
          </w:divBdr>
        </w:div>
        <w:div w:id="302853054">
          <w:marLeft w:val="480"/>
          <w:marRight w:val="0"/>
          <w:marTop w:val="0"/>
          <w:marBottom w:val="0"/>
          <w:divBdr>
            <w:top w:val="none" w:sz="0" w:space="0" w:color="auto"/>
            <w:left w:val="none" w:sz="0" w:space="0" w:color="auto"/>
            <w:bottom w:val="none" w:sz="0" w:space="0" w:color="auto"/>
            <w:right w:val="none" w:sz="0" w:space="0" w:color="auto"/>
          </w:divBdr>
        </w:div>
        <w:div w:id="826676220">
          <w:marLeft w:val="480"/>
          <w:marRight w:val="0"/>
          <w:marTop w:val="0"/>
          <w:marBottom w:val="0"/>
          <w:divBdr>
            <w:top w:val="none" w:sz="0" w:space="0" w:color="auto"/>
            <w:left w:val="none" w:sz="0" w:space="0" w:color="auto"/>
            <w:bottom w:val="none" w:sz="0" w:space="0" w:color="auto"/>
            <w:right w:val="none" w:sz="0" w:space="0" w:color="auto"/>
          </w:divBdr>
        </w:div>
        <w:div w:id="390273308">
          <w:marLeft w:val="480"/>
          <w:marRight w:val="0"/>
          <w:marTop w:val="0"/>
          <w:marBottom w:val="0"/>
          <w:divBdr>
            <w:top w:val="none" w:sz="0" w:space="0" w:color="auto"/>
            <w:left w:val="none" w:sz="0" w:space="0" w:color="auto"/>
            <w:bottom w:val="none" w:sz="0" w:space="0" w:color="auto"/>
            <w:right w:val="none" w:sz="0" w:space="0" w:color="auto"/>
          </w:divBdr>
        </w:div>
        <w:div w:id="1583760161">
          <w:marLeft w:val="480"/>
          <w:marRight w:val="0"/>
          <w:marTop w:val="0"/>
          <w:marBottom w:val="0"/>
          <w:divBdr>
            <w:top w:val="none" w:sz="0" w:space="0" w:color="auto"/>
            <w:left w:val="none" w:sz="0" w:space="0" w:color="auto"/>
            <w:bottom w:val="none" w:sz="0" w:space="0" w:color="auto"/>
            <w:right w:val="none" w:sz="0" w:space="0" w:color="auto"/>
          </w:divBdr>
        </w:div>
        <w:div w:id="1017539131">
          <w:marLeft w:val="480"/>
          <w:marRight w:val="0"/>
          <w:marTop w:val="0"/>
          <w:marBottom w:val="0"/>
          <w:divBdr>
            <w:top w:val="none" w:sz="0" w:space="0" w:color="auto"/>
            <w:left w:val="none" w:sz="0" w:space="0" w:color="auto"/>
            <w:bottom w:val="none" w:sz="0" w:space="0" w:color="auto"/>
            <w:right w:val="none" w:sz="0" w:space="0" w:color="auto"/>
          </w:divBdr>
        </w:div>
        <w:div w:id="1056054824">
          <w:marLeft w:val="480"/>
          <w:marRight w:val="0"/>
          <w:marTop w:val="0"/>
          <w:marBottom w:val="0"/>
          <w:divBdr>
            <w:top w:val="none" w:sz="0" w:space="0" w:color="auto"/>
            <w:left w:val="none" w:sz="0" w:space="0" w:color="auto"/>
            <w:bottom w:val="none" w:sz="0" w:space="0" w:color="auto"/>
            <w:right w:val="none" w:sz="0" w:space="0" w:color="auto"/>
          </w:divBdr>
        </w:div>
        <w:div w:id="625237979">
          <w:marLeft w:val="480"/>
          <w:marRight w:val="0"/>
          <w:marTop w:val="0"/>
          <w:marBottom w:val="0"/>
          <w:divBdr>
            <w:top w:val="none" w:sz="0" w:space="0" w:color="auto"/>
            <w:left w:val="none" w:sz="0" w:space="0" w:color="auto"/>
            <w:bottom w:val="none" w:sz="0" w:space="0" w:color="auto"/>
            <w:right w:val="none" w:sz="0" w:space="0" w:color="auto"/>
          </w:divBdr>
        </w:div>
        <w:div w:id="71398263">
          <w:marLeft w:val="480"/>
          <w:marRight w:val="0"/>
          <w:marTop w:val="0"/>
          <w:marBottom w:val="0"/>
          <w:divBdr>
            <w:top w:val="none" w:sz="0" w:space="0" w:color="auto"/>
            <w:left w:val="none" w:sz="0" w:space="0" w:color="auto"/>
            <w:bottom w:val="none" w:sz="0" w:space="0" w:color="auto"/>
            <w:right w:val="none" w:sz="0" w:space="0" w:color="auto"/>
          </w:divBdr>
        </w:div>
        <w:div w:id="1076823060">
          <w:marLeft w:val="480"/>
          <w:marRight w:val="0"/>
          <w:marTop w:val="0"/>
          <w:marBottom w:val="0"/>
          <w:divBdr>
            <w:top w:val="none" w:sz="0" w:space="0" w:color="auto"/>
            <w:left w:val="none" w:sz="0" w:space="0" w:color="auto"/>
            <w:bottom w:val="none" w:sz="0" w:space="0" w:color="auto"/>
            <w:right w:val="none" w:sz="0" w:space="0" w:color="auto"/>
          </w:divBdr>
        </w:div>
        <w:div w:id="247161155">
          <w:marLeft w:val="480"/>
          <w:marRight w:val="0"/>
          <w:marTop w:val="0"/>
          <w:marBottom w:val="0"/>
          <w:divBdr>
            <w:top w:val="none" w:sz="0" w:space="0" w:color="auto"/>
            <w:left w:val="none" w:sz="0" w:space="0" w:color="auto"/>
            <w:bottom w:val="none" w:sz="0" w:space="0" w:color="auto"/>
            <w:right w:val="none" w:sz="0" w:space="0" w:color="auto"/>
          </w:divBdr>
        </w:div>
        <w:div w:id="1520313187">
          <w:marLeft w:val="480"/>
          <w:marRight w:val="0"/>
          <w:marTop w:val="0"/>
          <w:marBottom w:val="0"/>
          <w:divBdr>
            <w:top w:val="none" w:sz="0" w:space="0" w:color="auto"/>
            <w:left w:val="none" w:sz="0" w:space="0" w:color="auto"/>
            <w:bottom w:val="none" w:sz="0" w:space="0" w:color="auto"/>
            <w:right w:val="none" w:sz="0" w:space="0" w:color="auto"/>
          </w:divBdr>
        </w:div>
        <w:div w:id="1400901743">
          <w:marLeft w:val="480"/>
          <w:marRight w:val="0"/>
          <w:marTop w:val="0"/>
          <w:marBottom w:val="0"/>
          <w:divBdr>
            <w:top w:val="none" w:sz="0" w:space="0" w:color="auto"/>
            <w:left w:val="none" w:sz="0" w:space="0" w:color="auto"/>
            <w:bottom w:val="none" w:sz="0" w:space="0" w:color="auto"/>
            <w:right w:val="none" w:sz="0" w:space="0" w:color="auto"/>
          </w:divBdr>
        </w:div>
        <w:div w:id="529730416">
          <w:marLeft w:val="480"/>
          <w:marRight w:val="0"/>
          <w:marTop w:val="0"/>
          <w:marBottom w:val="0"/>
          <w:divBdr>
            <w:top w:val="none" w:sz="0" w:space="0" w:color="auto"/>
            <w:left w:val="none" w:sz="0" w:space="0" w:color="auto"/>
            <w:bottom w:val="none" w:sz="0" w:space="0" w:color="auto"/>
            <w:right w:val="none" w:sz="0" w:space="0" w:color="auto"/>
          </w:divBdr>
        </w:div>
        <w:div w:id="247278973">
          <w:marLeft w:val="480"/>
          <w:marRight w:val="0"/>
          <w:marTop w:val="0"/>
          <w:marBottom w:val="0"/>
          <w:divBdr>
            <w:top w:val="none" w:sz="0" w:space="0" w:color="auto"/>
            <w:left w:val="none" w:sz="0" w:space="0" w:color="auto"/>
            <w:bottom w:val="none" w:sz="0" w:space="0" w:color="auto"/>
            <w:right w:val="none" w:sz="0" w:space="0" w:color="auto"/>
          </w:divBdr>
        </w:div>
        <w:div w:id="683631285">
          <w:marLeft w:val="480"/>
          <w:marRight w:val="0"/>
          <w:marTop w:val="0"/>
          <w:marBottom w:val="0"/>
          <w:divBdr>
            <w:top w:val="none" w:sz="0" w:space="0" w:color="auto"/>
            <w:left w:val="none" w:sz="0" w:space="0" w:color="auto"/>
            <w:bottom w:val="none" w:sz="0" w:space="0" w:color="auto"/>
            <w:right w:val="none" w:sz="0" w:space="0" w:color="auto"/>
          </w:divBdr>
        </w:div>
        <w:div w:id="1070347529">
          <w:marLeft w:val="480"/>
          <w:marRight w:val="0"/>
          <w:marTop w:val="0"/>
          <w:marBottom w:val="0"/>
          <w:divBdr>
            <w:top w:val="none" w:sz="0" w:space="0" w:color="auto"/>
            <w:left w:val="none" w:sz="0" w:space="0" w:color="auto"/>
            <w:bottom w:val="none" w:sz="0" w:space="0" w:color="auto"/>
            <w:right w:val="none" w:sz="0" w:space="0" w:color="auto"/>
          </w:divBdr>
        </w:div>
        <w:div w:id="1705472359">
          <w:marLeft w:val="480"/>
          <w:marRight w:val="0"/>
          <w:marTop w:val="0"/>
          <w:marBottom w:val="0"/>
          <w:divBdr>
            <w:top w:val="none" w:sz="0" w:space="0" w:color="auto"/>
            <w:left w:val="none" w:sz="0" w:space="0" w:color="auto"/>
            <w:bottom w:val="none" w:sz="0" w:space="0" w:color="auto"/>
            <w:right w:val="none" w:sz="0" w:space="0" w:color="auto"/>
          </w:divBdr>
        </w:div>
        <w:div w:id="541134172">
          <w:marLeft w:val="480"/>
          <w:marRight w:val="0"/>
          <w:marTop w:val="0"/>
          <w:marBottom w:val="0"/>
          <w:divBdr>
            <w:top w:val="none" w:sz="0" w:space="0" w:color="auto"/>
            <w:left w:val="none" w:sz="0" w:space="0" w:color="auto"/>
            <w:bottom w:val="none" w:sz="0" w:space="0" w:color="auto"/>
            <w:right w:val="none" w:sz="0" w:space="0" w:color="auto"/>
          </w:divBdr>
        </w:div>
        <w:div w:id="639581866">
          <w:marLeft w:val="480"/>
          <w:marRight w:val="0"/>
          <w:marTop w:val="0"/>
          <w:marBottom w:val="0"/>
          <w:divBdr>
            <w:top w:val="none" w:sz="0" w:space="0" w:color="auto"/>
            <w:left w:val="none" w:sz="0" w:space="0" w:color="auto"/>
            <w:bottom w:val="none" w:sz="0" w:space="0" w:color="auto"/>
            <w:right w:val="none" w:sz="0" w:space="0" w:color="auto"/>
          </w:divBdr>
        </w:div>
        <w:div w:id="240722923">
          <w:marLeft w:val="480"/>
          <w:marRight w:val="0"/>
          <w:marTop w:val="0"/>
          <w:marBottom w:val="0"/>
          <w:divBdr>
            <w:top w:val="none" w:sz="0" w:space="0" w:color="auto"/>
            <w:left w:val="none" w:sz="0" w:space="0" w:color="auto"/>
            <w:bottom w:val="none" w:sz="0" w:space="0" w:color="auto"/>
            <w:right w:val="none" w:sz="0" w:space="0" w:color="auto"/>
          </w:divBdr>
        </w:div>
        <w:div w:id="646709440">
          <w:marLeft w:val="480"/>
          <w:marRight w:val="0"/>
          <w:marTop w:val="0"/>
          <w:marBottom w:val="0"/>
          <w:divBdr>
            <w:top w:val="none" w:sz="0" w:space="0" w:color="auto"/>
            <w:left w:val="none" w:sz="0" w:space="0" w:color="auto"/>
            <w:bottom w:val="none" w:sz="0" w:space="0" w:color="auto"/>
            <w:right w:val="none" w:sz="0" w:space="0" w:color="auto"/>
          </w:divBdr>
        </w:div>
        <w:div w:id="1899240216">
          <w:marLeft w:val="480"/>
          <w:marRight w:val="0"/>
          <w:marTop w:val="0"/>
          <w:marBottom w:val="0"/>
          <w:divBdr>
            <w:top w:val="none" w:sz="0" w:space="0" w:color="auto"/>
            <w:left w:val="none" w:sz="0" w:space="0" w:color="auto"/>
            <w:bottom w:val="none" w:sz="0" w:space="0" w:color="auto"/>
            <w:right w:val="none" w:sz="0" w:space="0" w:color="auto"/>
          </w:divBdr>
        </w:div>
        <w:div w:id="825904383">
          <w:marLeft w:val="480"/>
          <w:marRight w:val="0"/>
          <w:marTop w:val="0"/>
          <w:marBottom w:val="0"/>
          <w:divBdr>
            <w:top w:val="none" w:sz="0" w:space="0" w:color="auto"/>
            <w:left w:val="none" w:sz="0" w:space="0" w:color="auto"/>
            <w:bottom w:val="none" w:sz="0" w:space="0" w:color="auto"/>
            <w:right w:val="none" w:sz="0" w:space="0" w:color="auto"/>
          </w:divBdr>
        </w:div>
        <w:div w:id="2146972225">
          <w:marLeft w:val="480"/>
          <w:marRight w:val="0"/>
          <w:marTop w:val="0"/>
          <w:marBottom w:val="0"/>
          <w:divBdr>
            <w:top w:val="none" w:sz="0" w:space="0" w:color="auto"/>
            <w:left w:val="none" w:sz="0" w:space="0" w:color="auto"/>
            <w:bottom w:val="none" w:sz="0" w:space="0" w:color="auto"/>
            <w:right w:val="none" w:sz="0" w:space="0" w:color="auto"/>
          </w:divBdr>
        </w:div>
        <w:div w:id="1946301260">
          <w:marLeft w:val="480"/>
          <w:marRight w:val="0"/>
          <w:marTop w:val="0"/>
          <w:marBottom w:val="0"/>
          <w:divBdr>
            <w:top w:val="none" w:sz="0" w:space="0" w:color="auto"/>
            <w:left w:val="none" w:sz="0" w:space="0" w:color="auto"/>
            <w:bottom w:val="none" w:sz="0" w:space="0" w:color="auto"/>
            <w:right w:val="none" w:sz="0" w:space="0" w:color="auto"/>
          </w:divBdr>
        </w:div>
        <w:div w:id="1538347295">
          <w:marLeft w:val="480"/>
          <w:marRight w:val="0"/>
          <w:marTop w:val="0"/>
          <w:marBottom w:val="0"/>
          <w:divBdr>
            <w:top w:val="none" w:sz="0" w:space="0" w:color="auto"/>
            <w:left w:val="none" w:sz="0" w:space="0" w:color="auto"/>
            <w:bottom w:val="none" w:sz="0" w:space="0" w:color="auto"/>
            <w:right w:val="none" w:sz="0" w:space="0" w:color="auto"/>
          </w:divBdr>
        </w:div>
        <w:div w:id="81686916">
          <w:marLeft w:val="480"/>
          <w:marRight w:val="0"/>
          <w:marTop w:val="0"/>
          <w:marBottom w:val="0"/>
          <w:divBdr>
            <w:top w:val="none" w:sz="0" w:space="0" w:color="auto"/>
            <w:left w:val="none" w:sz="0" w:space="0" w:color="auto"/>
            <w:bottom w:val="none" w:sz="0" w:space="0" w:color="auto"/>
            <w:right w:val="none" w:sz="0" w:space="0" w:color="auto"/>
          </w:divBdr>
        </w:div>
        <w:div w:id="545725254">
          <w:marLeft w:val="480"/>
          <w:marRight w:val="0"/>
          <w:marTop w:val="0"/>
          <w:marBottom w:val="0"/>
          <w:divBdr>
            <w:top w:val="none" w:sz="0" w:space="0" w:color="auto"/>
            <w:left w:val="none" w:sz="0" w:space="0" w:color="auto"/>
            <w:bottom w:val="none" w:sz="0" w:space="0" w:color="auto"/>
            <w:right w:val="none" w:sz="0" w:space="0" w:color="auto"/>
          </w:divBdr>
        </w:div>
        <w:div w:id="1260063951">
          <w:marLeft w:val="480"/>
          <w:marRight w:val="0"/>
          <w:marTop w:val="0"/>
          <w:marBottom w:val="0"/>
          <w:divBdr>
            <w:top w:val="none" w:sz="0" w:space="0" w:color="auto"/>
            <w:left w:val="none" w:sz="0" w:space="0" w:color="auto"/>
            <w:bottom w:val="none" w:sz="0" w:space="0" w:color="auto"/>
            <w:right w:val="none" w:sz="0" w:space="0" w:color="auto"/>
          </w:divBdr>
        </w:div>
        <w:div w:id="258559933">
          <w:marLeft w:val="480"/>
          <w:marRight w:val="0"/>
          <w:marTop w:val="0"/>
          <w:marBottom w:val="0"/>
          <w:divBdr>
            <w:top w:val="none" w:sz="0" w:space="0" w:color="auto"/>
            <w:left w:val="none" w:sz="0" w:space="0" w:color="auto"/>
            <w:bottom w:val="none" w:sz="0" w:space="0" w:color="auto"/>
            <w:right w:val="none" w:sz="0" w:space="0" w:color="auto"/>
          </w:divBdr>
        </w:div>
        <w:div w:id="1569028578">
          <w:marLeft w:val="480"/>
          <w:marRight w:val="0"/>
          <w:marTop w:val="0"/>
          <w:marBottom w:val="0"/>
          <w:divBdr>
            <w:top w:val="none" w:sz="0" w:space="0" w:color="auto"/>
            <w:left w:val="none" w:sz="0" w:space="0" w:color="auto"/>
            <w:bottom w:val="none" w:sz="0" w:space="0" w:color="auto"/>
            <w:right w:val="none" w:sz="0" w:space="0" w:color="auto"/>
          </w:divBdr>
        </w:div>
        <w:div w:id="34282102">
          <w:marLeft w:val="480"/>
          <w:marRight w:val="0"/>
          <w:marTop w:val="0"/>
          <w:marBottom w:val="0"/>
          <w:divBdr>
            <w:top w:val="none" w:sz="0" w:space="0" w:color="auto"/>
            <w:left w:val="none" w:sz="0" w:space="0" w:color="auto"/>
            <w:bottom w:val="none" w:sz="0" w:space="0" w:color="auto"/>
            <w:right w:val="none" w:sz="0" w:space="0" w:color="auto"/>
          </w:divBdr>
        </w:div>
        <w:div w:id="271058170">
          <w:marLeft w:val="480"/>
          <w:marRight w:val="0"/>
          <w:marTop w:val="0"/>
          <w:marBottom w:val="0"/>
          <w:divBdr>
            <w:top w:val="none" w:sz="0" w:space="0" w:color="auto"/>
            <w:left w:val="none" w:sz="0" w:space="0" w:color="auto"/>
            <w:bottom w:val="none" w:sz="0" w:space="0" w:color="auto"/>
            <w:right w:val="none" w:sz="0" w:space="0" w:color="auto"/>
          </w:divBdr>
        </w:div>
        <w:div w:id="1103960117">
          <w:marLeft w:val="480"/>
          <w:marRight w:val="0"/>
          <w:marTop w:val="0"/>
          <w:marBottom w:val="0"/>
          <w:divBdr>
            <w:top w:val="none" w:sz="0" w:space="0" w:color="auto"/>
            <w:left w:val="none" w:sz="0" w:space="0" w:color="auto"/>
            <w:bottom w:val="none" w:sz="0" w:space="0" w:color="auto"/>
            <w:right w:val="none" w:sz="0" w:space="0" w:color="auto"/>
          </w:divBdr>
        </w:div>
        <w:div w:id="1959095249">
          <w:marLeft w:val="480"/>
          <w:marRight w:val="0"/>
          <w:marTop w:val="0"/>
          <w:marBottom w:val="0"/>
          <w:divBdr>
            <w:top w:val="none" w:sz="0" w:space="0" w:color="auto"/>
            <w:left w:val="none" w:sz="0" w:space="0" w:color="auto"/>
            <w:bottom w:val="none" w:sz="0" w:space="0" w:color="auto"/>
            <w:right w:val="none" w:sz="0" w:space="0" w:color="auto"/>
          </w:divBdr>
        </w:div>
        <w:div w:id="1941181502">
          <w:marLeft w:val="480"/>
          <w:marRight w:val="0"/>
          <w:marTop w:val="0"/>
          <w:marBottom w:val="0"/>
          <w:divBdr>
            <w:top w:val="none" w:sz="0" w:space="0" w:color="auto"/>
            <w:left w:val="none" w:sz="0" w:space="0" w:color="auto"/>
            <w:bottom w:val="none" w:sz="0" w:space="0" w:color="auto"/>
            <w:right w:val="none" w:sz="0" w:space="0" w:color="auto"/>
          </w:divBdr>
        </w:div>
        <w:div w:id="691955897">
          <w:marLeft w:val="480"/>
          <w:marRight w:val="0"/>
          <w:marTop w:val="0"/>
          <w:marBottom w:val="0"/>
          <w:divBdr>
            <w:top w:val="none" w:sz="0" w:space="0" w:color="auto"/>
            <w:left w:val="none" w:sz="0" w:space="0" w:color="auto"/>
            <w:bottom w:val="none" w:sz="0" w:space="0" w:color="auto"/>
            <w:right w:val="none" w:sz="0" w:space="0" w:color="auto"/>
          </w:divBdr>
        </w:div>
        <w:div w:id="969284815">
          <w:marLeft w:val="480"/>
          <w:marRight w:val="0"/>
          <w:marTop w:val="0"/>
          <w:marBottom w:val="0"/>
          <w:divBdr>
            <w:top w:val="none" w:sz="0" w:space="0" w:color="auto"/>
            <w:left w:val="none" w:sz="0" w:space="0" w:color="auto"/>
            <w:bottom w:val="none" w:sz="0" w:space="0" w:color="auto"/>
            <w:right w:val="none" w:sz="0" w:space="0" w:color="auto"/>
          </w:divBdr>
        </w:div>
        <w:div w:id="247810803">
          <w:marLeft w:val="480"/>
          <w:marRight w:val="0"/>
          <w:marTop w:val="0"/>
          <w:marBottom w:val="0"/>
          <w:divBdr>
            <w:top w:val="none" w:sz="0" w:space="0" w:color="auto"/>
            <w:left w:val="none" w:sz="0" w:space="0" w:color="auto"/>
            <w:bottom w:val="none" w:sz="0" w:space="0" w:color="auto"/>
            <w:right w:val="none" w:sz="0" w:space="0" w:color="auto"/>
          </w:divBdr>
        </w:div>
        <w:div w:id="90782598">
          <w:marLeft w:val="480"/>
          <w:marRight w:val="0"/>
          <w:marTop w:val="0"/>
          <w:marBottom w:val="0"/>
          <w:divBdr>
            <w:top w:val="none" w:sz="0" w:space="0" w:color="auto"/>
            <w:left w:val="none" w:sz="0" w:space="0" w:color="auto"/>
            <w:bottom w:val="none" w:sz="0" w:space="0" w:color="auto"/>
            <w:right w:val="none" w:sz="0" w:space="0" w:color="auto"/>
          </w:divBdr>
        </w:div>
        <w:div w:id="1778331275">
          <w:marLeft w:val="480"/>
          <w:marRight w:val="0"/>
          <w:marTop w:val="0"/>
          <w:marBottom w:val="0"/>
          <w:divBdr>
            <w:top w:val="none" w:sz="0" w:space="0" w:color="auto"/>
            <w:left w:val="none" w:sz="0" w:space="0" w:color="auto"/>
            <w:bottom w:val="none" w:sz="0" w:space="0" w:color="auto"/>
            <w:right w:val="none" w:sz="0" w:space="0" w:color="auto"/>
          </w:divBdr>
        </w:div>
        <w:div w:id="1089426818">
          <w:marLeft w:val="480"/>
          <w:marRight w:val="0"/>
          <w:marTop w:val="0"/>
          <w:marBottom w:val="0"/>
          <w:divBdr>
            <w:top w:val="none" w:sz="0" w:space="0" w:color="auto"/>
            <w:left w:val="none" w:sz="0" w:space="0" w:color="auto"/>
            <w:bottom w:val="none" w:sz="0" w:space="0" w:color="auto"/>
            <w:right w:val="none" w:sz="0" w:space="0" w:color="auto"/>
          </w:divBdr>
        </w:div>
        <w:div w:id="467481872">
          <w:marLeft w:val="480"/>
          <w:marRight w:val="0"/>
          <w:marTop w:val="0"/>
          <w:marBottom w:val="0"/>
          <w:divBdr>
            <w:top w:val="none" w:sz="0" w:space="0" w:color="auto"/>
            <w:left w:val="none" w:sz="0" w:space="0" w:color="auto"/>
            <w:bottom w:val="none" w:sz="0" w:space="0" w:color="auto"/>
            <w:right w:val="none" w:sz="0" w:space="0" w:color="auto"/>
          </w:divBdr>
        </w:div>
        <w:div w:id="1755318138">
          <w:marLeft w:val="480"/>
          <w:marRight w:val="0"/>
          <w:marTop w:val="0"/>
          <w:marBottom w:val="0"/>
          <w:divBdr>
            <w:top w:val="none" w:sz="0" w:space="0" w:color="auto"/>
            <w:left w:val="none" w:sz="0" w:space="0" w:color="auto"/>
            <w:bottom w:val="none" w:sz="0" w:space="0" w:color="auto"/>
            <w:right w:val="none" w:sz="0" w:space="0" w:color="auto"/>
          </w:divBdr>
        </w:div>
        <w:div w:id="100421924">
          <w:marLeft w:val="480"/>
          <w:marRight w:val="0"/>
          <w:marTop w:val="0"/>
          <w:marBottom w:val="0"/>
          <w:divBdr>
            <w:top w:val="none" w:sz="0" w:space="0" w:color="auto"/>
            <w:left w:val="none" w:sz="0" w:space="0" w:color="auto"/>
            <w:bottom w:val="none" w:sz="0" w:space="0" w:color="auto"/>
            <w:right w:val="none" w:sz="0" w:space="0" w:color="auto"/>
          </w:divBdr>
        </w:div>
        <w:div w:id="273370633">
          <w:marLeft w:val="480"/>
          <w:marRight w:val="0"/>
          <w:marTop w:val="0"/>
          <w:marBottom w:val="0"/>
          <w:divBdr>
            <w:top w:val="none" w:sz="0" w:space="0" w:color="auto"/>
            <w:left w:val="none" w:sz="0" w:space="0" w:color="auto"/>
            <w:bottom w:val="none" w:sz="0" w:space="0" w:color="auto"/>
            <w:right w:val="none" w:sz="0" w:space="0" w:color="auto"/>
          </w:divBdr>
        </w:div>
        <w:div w:id="142813097">
          <w:marLeft w:val="480"/>
          <w:marRight w:val="0"/>
          <w:marTop w:val="0"/>
          <w:marBottom w:val="0"/>
          <w:divBdr>
            <w:top w:val="none" w:sz="0" w:space="0" w:color="auto"/>
            <w:left w:val="none" w:sz="0" w:space="0" w:color="auto"/>
            <w:bottom w:val="none" w:sz="0" w:space="0" w:color="auto"/>
            <w:right w:val="none" w:sz="0" w:space="0" w:color="auto"/>
          </w:divBdr>
        </w:div>
        <w:div w:id="749424233">
          <w:marLeft w:val="480"/>
          <w:marRight w:val="0"/>
          <w:marTop w:val="0"/>
          <w:marBottom w:val="0"/>
          <w:divBdr>
            <w:top w:val="none" w:sz="0" w:space="0" w:color="auto"/>
            <w:left w:val="none" w:sz="0" w:space="0" w:color="auto"/>
            <w:bottom w:val="none" w:sz="0" w:space="0" w:color="auto"/>
            <w:right w:val="none" w:sz="0" w:space="0" w:color="auto"/>
          </w:divBdr>
        </w:div>
        <w:div w:id="163054107">
          <w:marLeft w:val="480"/>
          <w:marRight w:val="0"/>
          <w:marTop w:val="0"/>
          <w:marBottom w:val="0"/>
          <w:divBdr>
            <w:top w:val="none" w:sz="0" w:space="0" w:color="auto"/>
            <w:left w:val="none" w:sz="0" w:space="0" w:color="auto"/>
            <w:bottom w:val="none" w:sz="0" w:space="0" w:color="auto"/>
            <w:right w:val="none" w:sz="0" w:space="0" w:color="auto"/>
          </w:divBdr>
        </w:div>
        <w:div w:id="206525309">
          <w:marLeft w:val="480"/>
          <w:marRight w:val="0"/>
          <w:marTop w:val="0"/>
          <w:marBottom w:val="0"/>
          <w:divBdr>
            <w:top w:val="none" w:sz="0" w:space="0" w:color="auto"/>
            <w:left w:val="none" w:sz="0" w:space="0" w:color="auto"/>
            <w:bottom w:val="none" w:sz="0" w:space="0" w:color="auto"/>
            <w:right w:val="none" w:sz="0" w:space="0" w:color="auto"/>
          </w:divBdr>
        </w:div>
        <w:div w:id="179241015">
          <w:marLeft w:val="480"/>
          <w:marRight w:val="0"/>
          <w:marTop w:val="0"/>
          <w:marBottom w:val="0"/>
          <w:divBdr>
            <w:top w:val="none" w:sz="0" w:space="0" w:color="auto"/>
            <w:left w:val="none" w:sz="0" w:space="0" w:color="auto"/>
            <w:bottom w:val="none" w:sz="0" w:space="0" w:color="auto"/>
            <w:right w:val="none" w:sz="0" w:space="0" w:color="auto"/>
          </w:divBdr>
        </w:div>
        <w:div w:id="430902165">
          <w:marLeft w:val="480"/>
          <w:marRight w:val="0"/>
          <w:marTop w:val="0"/>
          <w:marBottom w:val="0"/>
          <w:divBdr>
            <w:top w:val="none" w:sz="0" w:space="0" w:color="auto"/>
            <w:left w:val="none" w:sz="0" w:space="0" w:color="auto"/>
            <w:bottom w:val="none" w:sz="0" w:space="0" w:color="auto"/>
            <w:right w:val="none" w:sz="0" w:space="0" w:color="auto"/>
          </w:divBdr>
        </w:div>
        <w:div w:id="139077262">
          <w:marLeft w:val="480"/>
          <w:marRight w:val="0"/>
          <w:marTop w:val="0"/>
          <w:marBottom w:val="0"/>
          <w:divBdr>
            <w:top w:val="none" w:sz="0" w:space="0" w:color="auto"/>
            <w:left w:val="none" w:sz="0" w:space="0" w:color="auto"/>
            <w:bottom w:val="none" w:sz="0" w:space="0" w:color="auto"/>
            <w:right w:val="none" w:sz="0" w:space="0" w:color="auto"/>
          </w:divBdr>
        </w:div>
        <w:div w:id="852767601">
          <w:marLeft w:val="480"/>
          <w:marRight w:val="0"/>
          <w:marTop w:val="0"/>
          <w:marBottom w:val="0"/>
          <w:divBdr>
            <w:top w:val="none" w:sz="0" w:space="0" w:color="auto"/>
            <w:left w:val="none" w:sz="0" w:space="0" w:color="auto"/>
            <w:bottom w:val="none" w:sz="0" w:space="0" w:color="auto"/>
            <w:right w:val="none" w:sz="0" w:space="0" w:color="auto"/>
          </w:divBdr>
        </w:div>
        <w:div w:id="1189370658">
          <w:marLeft w:val="480"/>
          <w:marRight w:val="0"/>
          <w:marTop w:val="0"/>
          <w:marBottom w:val="0"/>
          <w:divBdr>
            <w:top w:val="none" w:sz="0" w:space="0" w:color="auto"/>
            <w:left w:val="none" w:sz="0" w:space="0" w:color="auto"/>
            <w:bottom w:val="none" w:sz="0" w:space="0" w:color="auto"/>
            <w:right w:val="none" w:sz="0" w:space="0" w:color="auto"/>
          </w:divBdr>
        </w:div>
        <w:div w:id="2088842084">
          <w:marLeft w:val="480"/>
          <w:marRight w:val="0"/>
          <w:marTop w:val="0"/>
          <w:marBottom w:val="0"/>
          <w:divBdr>
            <w:top w:val="none" w:sz="0" w:space="0" w:color="auto"/>
            <w:left w:val="none" w:sz="0" w:space="0" w:color="auto"/>
            <w:bottom w:val="none" w:sz="0" w:space="0" w:color="auto"/>
            <w:right w:val="none" w:sz="0" w:space="0" w:color="auto"/>
          </w:divBdr>
        </w:div>
        <w:div w:id="745037093">
          <w:marLeft w:val="480"/>
          <w:marRight w:val="0"/>
          <w:marTop w:val="0"/>
          <w:marBottom w:val="0"/>
          <w:divBdr>
            <w:top w:val="none" w:sz="0" w:space="0" w:color="auto"/>
            <w:left w:val="none" w:sz="0" w:space="0" w:color="auto"/>
            <w:bottom w:val="none" w:sz="0" w:space="0" w:color="auto"/>
            <w:right w:val="none" w:sz="0" w:space="0" w:color="auto"/>
          </w:divBdr>
        </w:div>
        <w:div w:id="1929655206">
          <w:marLeft w:val="480"/>
          <w:marRight w:val="0"/>
          <w:marTop w:val="0"/>
          <w:marBottom w:val="0"/>
          <w:divBdr>
            <w:top w:val="none" w:sz="0" w:space="0" w:color="auto"/>
            <w:left w:val="none" w:sz="0" w:space="0" w:color="auto"/>
            <w:bottom w:val="none" w:sz="0" w:space="0" w:color="auto"/>
            <w:right w:val="none" w:sz="0" w:space="0" w:color="auto"/>
          </w:divBdr>
        </w:div>
        <w:div w:id="1964188663">
          <w:marLeft w:val="480"/>
          <w:marRight w:val="0"/>
          <w:marTop w:val="0"/>
          <w:marBottom w:val="0"/>
          <w:divBdr>
            <w:top w:val="none" w:sz="0" w:space="0" w:color="auto"/>
            <w:left w:val="none" w:sz="0" w:space="0" w:color="auto"/>
            <w:bottom w:val="none" w:sz="0" w:space="0" w:color="auto"/>
            <w:right w:val="none" w:sz="0" w:space="0" w:color="auto"/>
          </w:divBdr>
        </w:div>
        <w:div w:id="1526405930">
          <w:marLeft w:val="480"/>
          <w:marRight w:val="0"/>
          <w:marTop w:val="0"/>
          <w:marBottom w:val="0"/>
          <w:divBdr>
            <w:top w:val="none" w:sz="0" w:space="0" w:color="auto"/>
            <w:left w:val="none" w:sz="0" w:space="0" w:color="auto"/>
            <w:bottom w:val="none" w:sz="0" w:space="0" w:color="auto"/>
            <w:right w:val="none" w:sz="0" w:space="0" w:color="auto"/>
          </w:divBdr>
        </w:div>
        <w:div w:id="1906528417">
          <w:marLeft w:val="480"/>
          <w:marRight w:val="0"/>
          <w:marTop w:val="0"/>
          <w:marBottom w:val="0"/>
          <w:divBdr>
            <w:top w:val="none" w:sz="0" w:space="0" w:color="auto"/>
            <w:left w:val="none" w:sz="0" w:space="0" w:color="auto"/>
            <w:bottom w:val="none" w:sz="0" w:space="0" w:color="auto"/>
            <w:right w:val="none" w:sz="0" w:space="0" w:color="auto"/>
          </w:divBdr>
        </w:div>
        <w:div w:id="685331790">
          <w:marLeft w:val="480"/>
          <w:marRight w:val="0"/>
          <w:marTop w:val="0"/>
          <w:marBottom w:val="0"/>
          <w:divBdr>
            <w:top w:val="none" w:sz="0" w:space="0" w:color="auto"/>
            <w:left w:val="none" w:sz="0" w:space="0" w:color="auto"/>
            <w:bottom w:val="none" w:sz="0" w:space="0" w:color="auto"/>
            <w:right w:val="none" w:sz="0" w:space="0" w:color="auto"/>
          </w:divBdr>
        </w:div>
        <w:div w:id="2067338513">
          <w:marLeft w:val="480"/>
          <w:marRight w:val="0"/>
          <w:marTop w:val="0"/>
          <w:marBottom w:val="0"/>
          <w:divBdr>
            <w:top w:val="none" w:sz="0" w:space="0" w:color="auto"/>
            <w:left w:val="none" w:sz="0" w:space="0" w:color="auto"/>
            <w:bottom w:val="none" w:sz="0" w:space="0" w:color="auto"/>
            <w:right w:val="none" w:sz="0" w:space="0" w:color="auto"/>
          </w:divBdr>
        </w:div>
        <w:div w:id="1452898611">
          <w:marLeft w:val="480"/>
          <w:marRight w:val="0"/>
          <w:marTop w:val="0"/>
          <w:marBottom w:val="0"/>
          <w:divBdr>
            <w:top w:val="none" w:sz="0" w:space="0" w:color="auto"/>
            <w:left w:val="none" w:sz="0" w:space="0" w:color="auto"/>
            <w:bottom w:val="none" w:sz="0" w:space="0" w:color="auto"/>
            <w:right w:val="none" w:sz="0" w:space="0" w:color="auto"/>
          </w:divBdr>
        </w:div>
        <w:div w:id="717827285">
          <w:marLeft w:val="480"/>
          <w:marRight w:val="0"/>
          <w:marTop w:val="0"/>
          <w:marBottom w:val="0"/>
          <w:divBdr>
            <w:top w:val="none" w:sz="0" w:space="0" w:color="auto"/>
            <w:left w:val="none" w:sz="0" w:space="0" w:color="auto"/>
            <w:bottom w:val="none" w:sz="0" w:space="0" w:color="auto"/>
            <w:right w:val="none" w:sz="0" w:space="0" w:color="auto"/>
          </w:divBdr>
        </w:div>
        <w:div w:id="1995261119">
          <w:marLeft w:val="480"/>
          <w:marRight w:val="0"/>
          <w:marTop w:val="0"/>
          <w:marBottom w:val="0"/>
          <w:divBdr>
            <w:top w:val="none" w:sz="0" w:space="0" w:color="auto"/>
            <w:left w:val="none" w:sz="0" w:space="0" w:color="auto"/>
            <w:bottom w:val="none" w:sz="0" w:space="0" w:color="auto"/>
            <w:right w:val="none" w:sz="0" w:space="0" w:color="auto"/>
          </w:divBdr>
        </w:div>
        <w:div w:id="2132167081">
          <w:marLeft w:val="480"/>
          <w:marRight w:val="0"/>
          <w:marTop w:val="0"/>
          <w:marBottom w:val="0"/>
          <w:divBdr>
            <w:top w:val="none" w:sz="0" w:space="0" w:color="auto"/>
            <w:left w:val="none" w:sz="0" w:space="0" w:color="auto"/>
            <w:bottom w:val="none" w:sz="0" w:space="0" w:color="auto"/>
            <w:right w:val="none" w:sz="0" w:space="0" w:color="auto"/>
          </w:divBdr>
        </w:div>
        <w:div w:id="7946916">
          <w:marLeft w:val="480"/>
          <w:marRight w:val="0"/>
          <w:marTop w:val="0"/>
          <w:marBottom w:val="0"/>
          <w:divBdr>
            <w:top w:val="none" w:sz="0" w:space="0" w:color="auto"/>
            <w:left w:val="none" w:sz="0" w:space="0" w:color="auto"/>
            <w:bottom w:val="none" w:sz="0" w:space="0" w:color="auto"/>
            <w:right w:val="none" w:sz="0" w:space="0" w:color="auto"/>
          </w:divBdr>
        </w:div>
        <w:div w:id="388654978">
          <w:marLeft w:val="480"/>
          <w:marRight w:val="0"/>
          <w:marTop w:val="0"/>
          <w:marBottom w:val="0"/>
          <w:divBdr>
            <w:top w:val="none" w:sz="0" w:space="0" w:color="auto"/>
            <w:left w:val="none" w:sz="0" w:space="0" w:color="auto"/>
            <w:bottom w:val="none" w:sz="0" w:space="0" w:color="auto"/>
            <w:right w:val="none" w:sz="0" w:space="0" w:color="auto"/>
          </w:divBdr>
        </w:div>
        <w:div w:id="384721590">
          <w:marLeft w:val="480"/>
          <w:marRight w:val="0"/>
          <w:marTop w:val="0"/>
          <w:marBottom w:val="0"/>
          <w:divBdr>
            <w:top w:val="none" w:sz="0" w:space="0" w:color="auto"/>
            <w:left w:val="none" w:sz="0" w:space="0" w:color="auto"/>
            <w:bottom w:val="none" w:sz="0" w:space="0" w:color="auto"/>
            <w:right w:val="none" w:sz="0" w:space="0" w:color="auto"/>
          </w:divBdr>
        </w:div>
        <w:div w:id="1224026569">
          <w:marLeft w:val="480"/>
          <w:marRight w:val="0"/>
          <w:marTop w:val="0"/>
          <w:marBottom w:val="0"/>
          <w:divBdr>
            <w:top w:val="none" w:sz="0" w:space="0" w:color="auto"/>
            <w:left w:val="none" w:sz="0" w:space="0" w:color="auto"/>
            <w:bottom w:val="none" w:sz="0" w:space="0" w:color="auto"/>
            <w:right w:val="none" w:sz="0" w:space="0" w:color="auto"/>
          </w:divBdr>
        </w:div>
        <w:div w:id="1263956001">
          <w:marLeft w:val="480"/>
          <w:marRight w:val="0"/>
          <w:marTop w:val="0"/>
          <w:marBottom w:val="0"/>
          <w:divBdr>
            <w:top w:val="none" w:sz="0" w:space="0" w:color="auto"/>
            <w:left w:val="none" w:sz="0" w:space="0" w:color="auto"/>
            <w:bottom w:val="none" w:sz="0" w:space="0" w:color="auto"/>
            <w:right w:val="none" w:sz="0" w:space="0" w:color="auto"/>
          </w:divBdr>
        </w:div>
        <w:div w:id="1641420268">
          <w:marLeft w:val="480"/>
          <w:marRight w:val="0"/>
          <w:marTop w:val="0"/>
          <w:marBottom w:val="0"/>
          <w:divBdr>
            <w:top w:val="none" w:sz="0" w:space="0" w:color="auto"/>
            <w:left w:val="none" w:sz="0" w:space="0" w:color="auto"/>
            <w:bottom w:val="none" w:sz="0" w:space="0" w:color="auto"/>
            <w:right w:val="none" w:sz="0" w:space="0" w:color="auto"/>
          </w:divBdr>
        </w:div>
        <w:div w:id="772283153">
          <w:marLeft w:val="480"/>
          <w:marRight w:val="0"/>
          <w:marTop w:val="0"/>
          <w:marBottom w:val="0"/>
          <w:divBdr>
            <w:top w:val="none" w:sz="0" w:space="0" w:color="auto"/>
            <w:left w:val="none" w:sz="0" w:space="0" w:color="auto"/>
            <w:bottom w:val="none" w:sz="0" w:space="0" w:color="auto"/>
            <w:right w:val="none" w:sz="0" w:space="0" w:color="auto"/>
          </w:divBdr>
        </w:div>
        <w:div w:id="504977524">
          <w:marLeft w:val="480"/>
          <w:marRight w:val="0"/>
          <w:marTop w:val="0"/>
          <w:marBottom w:val="0"/>
          <w:divBdr>
            <w:top w:val="none" w:sz="0" w:space="0" w:color="auto"/>
            <w:left w:val="none" w:sz="0" w:space="0" w:color="auto"/>
            <w:bottom w:val="none" w:sz="0" w:space="0" w:color="auto"/>
            <w:right w:val="none" w:sz="0" w:space="0" w:color="auto"/>
          </w:divBdr>
        </w:div>
        <w:div w:id="1786344364">
          <w:marLeft w:val="480"/>
          <w:marRight w:val="0"/>
          <w:marTop w:val="0"/>
          <w:marBottom w:val="0"/>
          <w:divBdr>
            <w:top w:val="none" w:sz="0" w:space="0" w:color="auto"/>
            <w:left w:val="none" w:sz="0" w:space="0" w:color="auto"/>
            <w:bottom w:val="none" w:sz="0" w:space="0" w:color="auto"/>
            <w:right w:val="none" w:sz="0" w:space="0" w:color="auto"/>
          </w:divBdr>
        </w:div>
        <w:div w:id="789935257">
          <w:marLeft w:val="480"/>
          <w:marRight w:val="0"/>
          <w:marTop w:val="0"/>
          <w:marBottom w:val="0"/>
          <w:divBdr>
            <w:top w:val="none" w:sz="0" w:space="0" w:color="auto"/>
            <w:left w:val="none" w:sz="0" w:space="0" w:color="auto"/>
            <w:bottom w:val="none" w:sz="0" w:space="0" w:color="auto"/>
            <w:right w:val="none" w:sz="0" w:space="0" w:color="auto"/>
          </w:divBdr>
        </w:div>
        <w:div w:id="1321538377">
          <w:marLeft w:val="480"/>
          <w:marRight w:val="0"/>
          <w:marTop w:val="0"/>
          <w:marBottom w:val="0"/>
          <w:divBdr>
            <w:top w:val="none" w:sz="0" w:space="0" w:color="auto"/>
            <w:left w:val="none" w:sz="0" w:space="0" w:color="auto"/>
            <w:bottom w:val="none" w:sz="0" w:space="0" w:color="auto"/>
            <w:right w:val="none" w:sz="0" w:space="0" w:color="auto"/>
          </w:divBdr>
        </w:div>
        <w:div w:id="2122072468">
          <w:marLeft w:val="480"/>
          <w:marRight w:val="0"/>
          <w:marTop w:val="0"/>
          <w:marBottom w:val="0"/>
          <w:divBdr>
            <w:top w:val="none" w:sz="0" w:space="0" w:color="auto"/>
            <w:left w:val="none" w:sz="0" w:space="0" w:color="auto"/>
            <w:bottom w:val="none" w:sz="0" w:space="0" w:color="auto"/>
            <w:right w:val="none" w:sz="0" w:space="0" w:color="auto"/>
          </w:divBdr>
        </w:div>
        <w:div w:id="648244214">
          <w:marLeft w:val="480"/>
          <w:marRight w:val="0"/>
          <w:marTop w:val="0"/>
          <w:marBottom w:val="0"/>
          <w:divBdr>
            <w:top w:val="none" w:sz="0" w:space="0" w:color="auto"/>
            <w:left w:val="none" w:sz="0" w:space="0" w:color="auto"/>
            <w:bottom w:val="none" w:sz="0" w:space="0" w:color="auto"/>
            <w:right w:val="none" w:sz="0" w:space="0" w:color="auto"/>
          </w:divBdr>
        </w:div>
        <w:div w:id="83770009">
          <w:marLeft w:val="480"/>
          <w:marRight w:val="0"/>
          <w:marTop w:val="0"/>
          <w:marBottom w:val="0"/>
          <w:divBdr>
            <w:top w:val="none" w:sz="0" w:space="0" w:color="auto"/>
            <w:left w:val="none" w:sz="0" w:space="0" w:color="auto"/>
            <w:bottom w:val="none" w:sz="0" w:space="0" w:color="auto"/>
            <w:right w:val="none" w:sz="0" w:space="0" w:color="auto"/>
          </w:divBdr>
        </w:div>
        <w:div w:id="154297228">
          <w:marLeft w:val="480"/>
          <w:marRight w:val="0"/>
          <w:marTop w:val="0"/>
          <w:marBottom w:val="0"/>
          <w:divBdr>
            <w:top w:val="none" w:sz="0" w:space="0" w:color="auto"/>
            <w:left w:val="none" w:sz="0" w:space="0" w:color="auto"/>
            <w:bottom w:val="none" w:sz="0" w:space="0" w:color="auto"/>
            <w:right w:val="none" w:sz="0" w:space="0" w:color="auto"/>
          </w:divBdr>
        </w:div>
        <w:div w:id="665668157">
          <w:marLeft w:val="480"/>
          <w:marRight w:val="0"/>
          <w:marTop w:val="0"/>
          <w:marBottom w:val="0"/>
          <w:divBdr>
            <w:top w:val="none" w:sz="0" w:space="0" w:color="auto"/>
            <w:left w:val="none" w:sz="0" w:space="0" w:color="auto"/>
            <w:bottom w:val="none" w:sz="0" w:space="0" w:color="auto"/>
            <w:right w:val="none" w:sz="0" w:space="0" w:color="auto"/>
          </w:divBdr>
        </w:div>
        <w:div w:id="194773205">
          <w:marLeft w:val="480"/>
          <w:marRight w:val="0"/>
          <w:marTop w:val="0"/>
          <w:marBottom w:val="0"/>
          <w:divBdr>
            <w:top w:val="none" w:sz="0" w:space="0" w:color="auto"/>
            <w:left w:val="none" w:sz="0" w:space="0" w:color="auto"/>
            <w:bottom w:val="none" w:sz="0" w:space="0" w:color="auto"/>
            <w:right w:val="none" w:sz="0" w:space="0" w:color="auto"/>
          </w:divBdr>
        </w:div>
        <w:div w:id="1137064140">
          <w:marLeft w:val="480"/>
          <w:marRight w:val="0"/>
          <w:marTop w:val="0"/>
          <w:marBottom w:val="0"/>
          <w:divBdr>
            <w:top w:val="none" w:sz="0" w:space="0" w:color="auto"/>
            <w:left w:val="none" w:sz="0" w:space="0" w:color="auto"/>
            <w:bottom w:val="none" w:sz="0" w:space="0" w:color="auto"/>
            <w:right w:val="none" w:sz="0" w:space="0" w:color="auto"/>
          </w:divBdr>
        </w:div>
        <w:div w:id="1920482699">
          <w:marLeft w:val="480"/>
          <w:marRight w:val="0"/>
          <w:marTop w:val="0"/>
          <w:marBottom w:val="0"/>
          <w:divBdr>
            <w:top w:val="none" w:sz="0" w:space="0" w:color="auto"/>
            <w:left w:val="none" w:sz="0" w:space="0" w:color="auto"/>
            <w:bottom w:val="none" w:sz="0" w:space="0" w:color="auto"/>
            <w:right w:val="none" w:sz="0" w:space="0" w:color="auto"/>
          </w:divBdr>
        </w:div>
        <w:div w:id="5140506">
          <w:marLeft w:val="480"/>
          <w:marRight w:val="0"/>
          <w:marTop w:val="0"/>
          <w:marBottom w:val="0"/>
          <w:divBdr>
            <w:top w:val="none" w:sz="0" w:space="0" w:color="auto"/>
            <w:left w:val="none" w:sz="0" w:space="0" w:color="auto"/>
            <w:bottom w:val="none" w:sz="0" w:space="0" w:color="auto"/>
            <w:right w:val="none" w:sz="0" w:space="0" w:color="auto"/>
          </w:divBdr>
        </w:div>
        <w:div w:id="1068766824">
          <w:marLeft w:val="480"/>
          <w:marRight w:val="0"/>
          <w:marTop w:val="0"/>
          <w:marBottom w:val="0"/>
          <w:divBdr>
            <w:top w:val="none" w:sz="0" w:space="0" w:color="auto"/>
            <w:left w:val="none" w:sz="0" w:space="0" w:color="auto"/>
            <w:bottom w:val="none" w:sz="0" w:space="0" w:color="auto"/>
            <w:right w:val="none" w:sz="0" w:space="0" w:color="auto"/>
          </w:divBdr>
        </w:div>
        <w:div w:id="1463502089">
          <w:marLeft w:val="480"/>
          <w:marRight w:val="0"/>
          <w:marTop w:val="0"/>
          <w:marBottom w:val="0"/>
          <w:divBdr>
            <w:top w:val="none" w:sz="0" w:space="0" w:color="auto"/>
            <w:left w:val="none" w:sz="0" w:space="0" w:color="auto"/>
            <w:bottom w:val="none" w:sz="0" w:space="0" w:color="auto"/>
            <w:right w:val="none" w:sz="0" w:space="0" w:color="auto"/>
          </w:divBdr>
        </w:div>
        <w:div w:id="187764187">
          <w:marLeft w:val="480"/>
          <w:marRight w:val="0"/>
          <w:marTop w:val="0"/>
          <w:marBottom w:val="0"/>
          <w:divBdr>
            <w:top w:val="none" w:sz="0" w:space="0" w:color="auto"/>
            <w:left w:val="none" w:sz="0" w:space="0" w:color="auto"/>
            <w:bottom w:val="none" w:sz="0" w:space="0" w:color="auto"/>
            <w:right w:val="none" w:sz="0" w:space="0" w:color="auto"/>
          </w:divBdr>
        </w:div>
        <w:div w:id="1624925858">
          <w:marLeft w:val="480"/>
          <w:marRight w:val="0"/>
          <w:marTop w:val="0"/>
          <w:marBottom w:val="0"/>
          <w:divBdr>
            <w:top w:val="none" w:sz="0" w:space="0" w:color="auto"/>
            <w:left w:val="none" w:sz="0" w:space="0" w:color="auto"/>
            <w:bottom w:val="none" w:sz="0" w:space="0" w:color="auto"/>
            <w:right w:val="none" w:sz="0" w:space="0" w:color="auto"/>
          </w:divBdr>
        </w:div>
        <w:div w:id="1665232704">
          <w:marLeft w:val="480"/>
          <w:marRight w:val="0"/>
          <w:marTop w:val="0"/>
          <w:marBottom w:val="0"/>
          <w:divBdr>
            <w:top w:val="none" w:sz="0" w:space="0" w:color="auto"/>
            <w:left w:val="none" w:sz="0" w:space="0" w:color="auto"/>
            <w:bottom w:val="none" w:sz="0" w:space="0" w:color="auto"/>
            <w:right w:val="none" w:sz="0" w:space="0" w:color="auto"/>
          </w:divBdr>
        </w:div>
        <w:div w:id="1704331673">
          <w:marLeft w:val="480"/>
          <w:marRight w:val="0"/>
          <w:marTop w:val="0"/>
          <w:marBottom w:val="0"/>
          <w:divBdr>
            <w:top w:val="none" w:sz="0" w:space="0" w:color="auto"/>
            <w:left w:val="none" w:sz="0" w:space="0" w:color="auto"/>
            <w:bottom w:val="none" w:sz="0" w:space="0" w:color="auto"/>
            <w:right w:val="none" w:sz="0" w:space="0" w:color="auto"/>
          </w:divBdr>
        </w:div>
        <w:div w:id="906722259">
          <w:marLeft w:val="480"/>
          <w:marRight w:val="0"/>
          <w:marTop w:val="0"/>
          <w:marBottom w:val="0"/>
          <w:divBdr>
            <w:top w:val="none" w:sz="0" w:space="0" w:color="auto"/>
            <w:left w:val="none" w:sz="0" w:space="0" w:color="auto"/>
            <w:bottom w:val="none" w:sz="0" w:space="0" w:color="auto"/>
            <w:right w:val="none" w:sz="0" w:space="0" w:color="auto"/>
          </w:divBdr>
        </w:div>
        <w:div w:id="1737705610">
          <w:marLeft w:val="480"/>
          <w:marRight w:val="0"/>
          <w:marTop w:val="0"/>
          <w:marBottom w:val="0"/>
          <w:divBdr>
            <w:top w:val="none" w:sz="0" w:space="0" w:color="auto"/>
            <w:left w:val="none" w:sz="0" w:space="0" w:color="auto"/>
            <w:bottom w:val="none" w:sz="0" w:space="0" w:color="auto"/>
            <w:right w:val="none" w:sz="0" w:space="0" w:color="auto"/>
          </w:divBdr>
        </w:div>
        <w:div w:id="182479428">
          <w:marLeft w:val="480"/>
          <w:marRight w:val="0"/>
          <w:marTop w:val="0"/>
          <w:marBottom w:val="0"/>
          <w:divBdr>
            <w:top w:val="none" w:sz="0" w:space="0" w:color="auto"/>
            <w:left w:val="none" w:sz="0" w:space="0" w:color="auto"/>
            <w:bottom w:val="none" w:sz="0" w:space="0" w:color="auto"/>
            <w:right w:val="none" w:sz="0" w:space="0" w:color="auto"/>
          </w:divBdr>
        </w:div>
        <w:div w:id="1546716685">
          <w:marLeft w:val="480"/>
          <w:marRight w:val="0"/>
          <w:marTop w:val="0"/>
          <w:marBottom w:val="0"/>
          <w:divBdr>
            <w:top w:val="none" w:sz="0" w:space="0" w:color="auto"/>
            <w:left w:val="none" w:sz="0" w:space="0" w:color="auto"/>
            <w:bottom w:val="none" w:sz="0" w:space="0" w:color="auto"/>
            <w:right w:val="none" w:sz="0" w:space="0" w:color="auto"/>
          </w:divBdr>
        </w:div>
        <w:div w:id="1318415547">
          <w:marLeft w:val="480"/>
          <w:marRight w:val="0"/>
          <w:marTop w:val="0"/>
          <w:marBottom w:val="0"/>
          <w:divBdr>
            <w:top w:val="none" w:sz="0" w:space="0" w:color="auto"/>
            <w:left w:val="none" w:sz="0" w:space="0" w:color="auto"/>
            <w:bottom w:val="none" w:sz="0" w:space="0" w:color="auto"/>
            <w:right w:val="none" w:sz="0" w:space="0" w:color="auto"/>
          </w:divBdr>
        </w:div>
        <w:div w:id="2016875851">
          <w:marLeft w:val="480"/>
          <w:marRight w:val="0"/>
          <w:marTop w:val="0"/>
          <w:marBottom w:val="0"/>
          <w:divBdr>
            <w:top w:val="none" w:sz="0" w:space="0" w:color="auto"/>
            <w:left w:val="none" w:sz="0" w:space="0" w:color="auto"/>
            <w:bottom w:val="none" w:sz="0" w:space="0" w:color="auto"/>
            <w:right w:val="none" w:sz="0" w:space="0" w:color="auto"/>
          </w:divBdr>
        </w:div>
        <w:div w:id="752160863">
          <w:marLeft w:val="480"/>
          <w:marRight w:val="0"/>
          <w:marTop w:val="0"/>
          <w:marBottom w:val="0"/>
          <w:divBdr>
            <w:top w:val="none" w:sz="0" w:space="0" w:color="auto"/>
            <w:left w:val="none" w:sz="0" w:space="0" w:color="auto"/>
            <w:bottom w:val="none" w:sz="0" w:space="0" w:color="auto"/>
            <w:right w:val="none" w:sz="0" w:space="0" w:color="auto"/>
          </w:divBdr>
        </w:div>
        <w:div w:id="998507874">
          <w:marLeft w:val="480"/>
          <w:marRight w:val="0"/>
          <w:marTop w:val="0"/>
          <w:marBottom w:val="0"/>
          <w:divBdr>
            <w:top w:val="none" w:sz="0" w:space="0" w:color="auto"/>
            <w:left w:val="none" w:sz="0" w:space="0" w:color="auto"/>
            <w:bottom w:val="none" w:sz="0" w:space="0" w:color="auto"/>
            <w:right w:val="none" w:sz="0" w:space="0" w:color="auto"/>
          </w:divBdr>
        </w:div>
        <w:div w:id="172962681">
          <w:marLeft w:val="480"/>
          <w:marRight w:val="0"/>
          <w:marTop w:val="0"/>
          <w:marBottom w:val="0"/>
          <w:divBdr>
            <w:top w:val="none" w:sz="0" w:space="0" w:color="auto"/>
            <w:left w:val="none" w:sz="0" w:space="0" w:color="auto"/>
            <w:bottom w:val="none" w:sz="0" w:space="0" w:color="auto"/>
            <w:right w:val="none" w:sz="0" w:space="0" w:color="auto"/>
          </w:divBdr>
        </w:div>
        <w:div w:id="394354861">
          <w:marLeft w:val="480"/>
          <w:marRight w:val="0"/>
          <w:marTop w:val="0"/>
          <w:marBottom w:val="0"/>
          <w:divBdr>
            <w:top w:val="none" w:sz="0" w:space="0" w:color="auto"/>
            <w:left w:val="none" w:sz="0" w:space="0" w:color="auto"/>
            <w:bottom w:val="none" w:sz="0" w:space="0" w:color="auto"/>
            <w:right w:val="none" w:sz="0" w:space="0" w:color="auto"/>
          </w:divBdr>
        </w:div>
        <w:div w:id="31351484">
          <w:marLeft w:val="480"/>
          <w:marRight w:val="0"/>
          <w:marTop w:val="0"/>
          <w:marBottom w:val="0"/>
          <w:divBdr>
            <w:top w:val="none" w:sz="0" w:space="0" w:color="auto"/>
            <w:left w:val="none" w:sz="0" w:space="0" w:color="auto"/>
            <w:bottom w:val="none" w:sz="0" w:space="0" w:color="auto"/>
            <w:right w:val="none" w:sz="0" w:space="0" w:color="auto"/>
          </w:divBdr>
        </w:div>
        <w:div w:id="1649088389">
          <w:marLeft w:val="480"/>
          <w:marRight w:val="0"/>
          <w:marTop w:val="0"/>
          <w:marBottom w:val="0"/>
          <w:divBdr>
            <w:top w:val="none" w:sz="0" w:space="0" w:color="auto"/>
            <w:left w:val="none" w:sz="0" w:space="0" w:color="auto"/>
            <w:bottom w:val="none" w:sz="0" w:space="0" w:color="auto"/>
            <w:right w:val="none" w:sz="0" w:space="0" w:color="auto"/>
          </w:divBdr>
        </w:div>
        <w:div w:id="1160999424">
          <w:marLeft w:val="480"/>
          <w:marRight w:val="0"/>
          <w:marTop w:val="0"/>
          <w:marBottom w:val="0"/>
          <w:divBdr>
            <w:top w:val="none" w:sz="0" w:space="0" w:color="auto"/>
            <w:left w:val="none" w:sz="0" w:space="0" w:color="auto"/>
            <w:bottom w:val="none" w:sz="0" w:space="0" w:color="auto"/>
            <w:right w:val="none" w:sz="0" w:space="0" w:color="auto"/>
          </w:divBdr>
        </w:div>
        <w:div w:id="2131435335">
          <w:marLeft w:val="480"/>
          <w:marRight w:val="0"/>
          <w:marTop w:val="0"/>
          <w:marBottom w:val="0"/>
          <w:divBdr>
            <w:top w:val="none" w:sz="0" w:space="0" w:color="auto"/>
            <w:left w:val="none" w:sz="0" w:space="0" w:color="auto"/>
            <w:bottom w:val="none" w:sz="0" w:space="0" w:color="auto"/>
            <w:right w:val="none" w:sz="0" w:space="0" w:color="auto"/>
          </w:divBdr>
        </w:div>
        <w:div w:id="843546062">
          <w:marLeft w:val="480"/>
          <w:marRight w:val="0"/>
          <w:marTop w:val="0"/>
          <w:marBottom w:val="0"/>
          <w:divBdr>
            <w:top w:val="none" w:sz="0" w:space="0" w:color="auto"/>
            <w:left w:val="none" w:sz="0" w:space="0" w:color="auto"/>
            <w:bottom w:val="none" w:sz="0" w:space="0" w:color="auto"/>
            <w:right w:val="none" w:sz="0" w:space="0" w:color="auto"/>
          </w:divBdr>
        </w:div>
        <w:div w:id="1051032139">
          <w:marLeft w:val="480"/>
          <w:marRight w:val="0"/>
          <w:marTop w:val="0"/>
          <w:marBottom w:val="0"/>
          <w:divBdr>
            <w:top w:val="none" w:sz="0" w:space="0" w:color="auto"/>
            <w:left w:val="none" w:sz="0" w:space="0" w:color="auto"/>
            <w:bottom w:val="none" w:sz="0" w:space="0" w:color="auto"/>
            <w:right w:val="none" w:sz="0" w:space="0" w:color="auto"/>
          </w:divBdr>
        </w:div>
        <w:div w:id="2031297331">
          <w:marLeft w:val="480"/>
          <w:marRight w:val="0"/>
          <w:marTop w:val="0"/>
          <w:marBottom w:val="0"/>
          <w:divBdr>
            <w:top w:val="none" w:sz="0" w:space="0" w:color="auto"/>
            <w:left w:val="none" w:sz="0" w:space="0" w:color="auto"/>
            <w:bottom w:val="none" w:sz="0" w:space="0" w:color="auto"/>
            <w:right w:val="none" w:sz="0" w:space="0" w:color="auto"/>
          </w:divBdr>
        </w:div>
        <w:div w:id="416095495">
          <w:marLeft w:val="480"/>
          <w:marRight w:val="0"/>
          <w:marTop w:val="0"/>
          <w:marBottom w:val="0"/>
          <w:divBdr>
            <w:top w:val="none" w:sz="0" w:space="0" w:color="auto"/>
            <w:left w:val="none" w:sz="0" w:space="0" w:color="auto"/>
            <w:bottom w:val="none" w:sz="0" w:space="0" w:color="auto"/>
            <w:right w:val="none" w:sz="0" w:space="0" w:color="auto"/>
          </w:divBdr>
        </w:div>
        <w:div w:id="2104760103">
          <w:marLeft w:val="480"/>
          <w:marRight w:val="0"/>
          <w:marTop w:val="0"/>
          <w:marBottom w:val="0"/>
          <w:divBdr>
            <w:top w:val="none" w:sz="0" w:space="0" w:color="auto"/>
            <w:left w:val="none" w:sz="0" w:space="0" w:color="auto"/>
            <w:bottom w:val="none" w:sz="0" w:space="0" w:color="auto"/>
            <w:right w:val="none" w:sz="0" w:space="0" w:color="auto"/>
          </w:divBdr>
        </w:div>
        <w:div w:id="584920789">
          <w:marLeft w:val="480"/>
          <w:marRight w:val="0"/>
          <w:marTop w:val="0"/>
          <w:marBottom w:val="0"/>
          <w:divBdr>
            <w:top w:val="none" w:sz="0" w:space="0" w:color="auto"/>
            <w:left w:val="none" w:sz="0" w:space="0" w:color="auto"/>
            <w:bottom w:val="none" w:sz="0" w:space="0" w:color="auto"/>
            <w:right w:val="none" w:sz="0" w:space="0" w:color="auto"/>
          </w:divBdr>
        </w:div>
        <w:div w:id="1279415108">
          <w:marLeft w:val="480"/>
          <w:marRight w:val="0"/>
          <w:marTop w:val="0"/>
          <w:marBottom w:val="0"/>
          <w:divBdr>
            <w:top w:val="none" w:sz="0" w:space="0" w:color="auto"/>
            <w:left w:val="none" w:sz="0" w:space="0" w:color="auto"/>
            <w:bottom w:val="none" w:sz="0" w:space="0" w:color="auto"/>
            <w:right w:val="none" w:sz="0" w:space="0" w:color="auto"/>
          </w:divBdr>
        </w:div>
        <w:div w:id="1222597288">
          <w:marLeft w:val="480"/>
          <w:marRight w:val="0"/>
          <w:marTop w:val="0"/>
          <w:marBottom w:val="0"/>
          <w:divBdr>
            <w:top w:val="none" w:sz="0" w:space="0" w:color="auto"/>
            <w:left w:val="none" w:sz="0" w:space="0" w:color="auto"/>
            <w:bottom w:val="none" w:sz="0" w:space="0" w:color="auto"/>
            <w:right w:val="none" w:sz="0" w:space="0" w:color="auto"/>
          </w:divBdr>
        </w:div>
        <w:div w:id="1854103468">
          <w:marLeft w:val="480"/>
          <w:marRight w:val="0"/>
          <w:marTop w:val="0"/>
          <w:marBottom w:val="0"/>
          <w:divBdr>
            <w:top w:val="none" w:sz="0" w:space="0" w:color="auto"/>
            <w:left w:val="none" w:sz="0" w:space="0" w:color="auto"/>
            <w:bottom w:val="none" w:sz="0" w:space="0" w:color="auto"/>
            <w:right w:val="none" w:sz="0" w:space="0" w:color="auto"/>
          </w:divBdr>
        </w:div>
        <w:div w:id="1401754074">
          <w:marLeft w:val="480"/>
          <w:marRight w:val="0"/>
          <w:marTop w:val="0"/>
          <w:marBottom w:val="0"/>
          <w:divBdr>
            <w:top w:val="none" w:sz="0" w:space="0" w:color="auto"/>
            <w:left w:val="none" w:sz="0" w:space="0" w:color="auto"/>
            <w:bottom w:val="none" w:sz="0" w:space="0" w:color="auto"/>
            <w:right w:val="none" w:sz="0" w:space="0" w:color="auto"/>
          </w:divBdr>
        </w:div>
        <w:div w:id="727187997">
          <w:marLeft w:val="480"/>
          <w:marRight w:val="0"/>
          <w:marTop w:val="0"/>
          <w:marBottom w:val="0"/>
          <w:divBdr>
            <w:top w:val="none" w:sz="0" w:space="0" w:color="auto"/>
            <w:left w:val="none" w:sz="0" w:space="0" w:color="auto"/>
            <w:bottom w:val="none" w:sz="0" w:space="0" w:color="auto"/>
            <w:right w:val="none" w:sz="0" w:space="0" w:color="auto"/>
          </w:divBdr>
        </w:div>
        <w:div w:id="1680427293">
          <w:marLeft w:val="480"/>
          <w:marRight w:val="0"/>
          <w:marTop w:val="0"/>
          <w:marBottom w:val="0"/>
          <w:divBdr>
            <w:top w:val="none" w:sz="0" w:space="0" w:color="auto"/>
            <w:left w:val="none" w:sz="0" w:space="0" w:color="auto"/>
            <w:bottom w:val="none" w:sz="0" w:space="0" w:color="auto"/>
            <w:right w:val="none" w:sz="0" w:space="0" w:color="auto"/>
          </w:divBdr>
        </w:div>
        <w:div w:id="228659575">
          <w:marLeft w:val="480"/>
          <w:marRight w:val="0"/>
          <w:marTop w:val="0"/>
          <w:marBottom w:val="0"/>
          <w:divBdr>
            <w:top w:val="none" w:sz="0" w:space="0" w:color="auto"/>
            <w:left w:val="none" w:sz="0" w:space="0" w:color="auto"/>
            <w:bottom w:val="none" w:sz="0" w:space="0" w:color="auto"/>
            <w:right w:val="none" w:sz="0" w:space="0" w:color="auto"/>
          </w:divBdr>
        </w:div>
        <w:div w:id="1024330834">
          <w:marLeft w:val="480"/>
          <w:marRight w:val="0"/>
          <w:marTop w:val="0"/>
          <w:marBottom w:val="0"/>
          <w:divBdr>
            <w:top w:val="none" w:sz="0" w:space="0" w:color="auto"/>
            <w:left w:val="none" w:sz="0" w:space="0" w:color="auto"/>
            <w:bottom w:val="none" w:sz="0" w:space="0" w:color="auto"/>
            <w:right w:val="none" w:sz="0" w:space="0" w:color="auto"/>
          </w:divBdr>
        </w:div>
        <w:div w:id="1969622877">
          <w:marLeft w:val="480"/>
          <w:marRight w:val="0"/>
          <w:marTop w:val="0"/>
          <w:marBottom w:val="0"/>
          <w:divBdr>
            <w:top w:val="none" w:sz="0" w:space="0" w:color="auto"/>
            <w:left w:val="none" w:sz="0" w:space="0" w:color="auto"/>
            <w:bottom w:val="none" w:sz="0" w:space="0" w:color="auto"/>
            <w:right w:val="none" w:sz="0" w:space="0" w:color="auto"/>
          </w:divBdr>
        </w:div>
        <w:div w:id="2051489180">
          <w:marLeft w:val="480"/>
          <w:marRight w:val="0"/>
          <w:marTop w:val="0"/>
          <w:marBottom w:val="0"/>
          <w:divBdr>
            <w:top w:val="none" w:sz="0" w:space="0" w:color="auto"/>
            <w:left w:val="none" w:sz="0" w:space="0" w:color="auto"/>
            <w:bottom w:val="none" w:sz="0" w:space="0" w:color="auto"/>
            <w:right w:val="none" w:sz="0" w:space="0" w:color="auto"/>
          </w:divBdr>
        </w:div>
        <w:div w:id="1931158580">
          <w:marLeft w:val="480"/>
          <w:marRight w:val="0"/>
          <w:marTop w:val="0"/>
          <w:marBottom w:val="0"/>
          <w:divBdr>
            <w:top w:val="none" w:sz="0" w:space="0" w:color="auto"/>
            <w:left w:val="none" w:sz="0" w:space="0" w:color="auto"/>
            <w:bottom w:val="none" w:sz="0" w:space="0" w:color="auto"/>
            <w:right w:val="none" w:sz="0" w:space="0" w:color="auto"/>
          </w:divBdr>
        </w:div>
        <w:div w:id="1079866554">
          <w:marLeft w:val="480"/>
          <w:marRight w:val="0"/>
          <w:marTop w:val="0"/>
          <w:marBottom w:val="0"/>
          <w:divBdr>
            <w:top w:val="none" w:sz="0" w:space="0" w:color="auto"/>
            <w:left w:val="none" w:sz="0" w:space="0" w:color="auto"/>
            <w:bottom w:val="none" w:sz="0" w:space="0" w:color="auto"/>
            <w:right w:val="none" w:sz="0" w:space="0" w:color="auto"/>
          </w:divBdr>
        </w:div>
        <w:div w:id="1348411000">
          <w:marLeft w:val="480"/>
          <w:marRight w:val="0"/>
          <w:marTop w:val="0"/>
          <w:marBottom w:val="0"/>
          <w:divBdr>
            <w:top w:val="none" w:sz="0" w:space="0" w:color="auto"/>
            <w:left w:val="none" w:sz="0" w:space="0" w:color="auto"/>
            <w:bottom w:val="none" w:sz="0" w:space="0" w:color="auto"/>
            <w:right w:val="none" w:sz="0" w:space="0" w:color="auto"/>
          </w:divBdr>
        </w:div>
        <w:div w:id="2074303940">
          <w:marLeft w:val="480"/>
          <w:marRight w:val="0"/>
          <w:marTop w:val="0"/>
          <w:marBottom w:val="0"/>
          <w:divBdr>
            <w:top w:val="none" w:sz="0" w:space="0" w:color="auto"/>
            <w:left w:val="none" w:sz="0" w:space="0" w:color="auto"/>
            <w:bottom w:val="none" w:sz="0" w:space="0" w:color="auto"/>
            <w:right w:val="none" w:sz="0" w:space="0" w:color="auto"/>
          </w:divBdr>
        </w:div>
      </w:divsChild>
    </w:div>
    <w:div w:id="1586525139">
      <w:bodyDiv w:val="1"/>
      <w:marLeft w:val="0"/>
      <w:marRight w:val="0"/>
      <w:marTop w:val="0"/>
      <w:marBottom w:val="0"/>
      <w:divBdr>
        <w:top w:val="none" w:sz="0" w:space="0" w:color="auto"/>
        <w:left w:val="none" w:sz="0" w:space="0" w:color="auto"/>
        <w:bottom w:val="none" w:sz="0" w:space="0" w:color="auto"/>
        <w:right w:val="none" w:sz="0" w:space="0" w:color="auto"/>
      </w:divBdr>
    </w:div>
    <w:div w:id="1587107090">
      <w:bodyDiv w:val="1"/>
      <w:marLeft w:val="0"/>
      <w:marRight w:val="0"/>
      <w:marTop w:val="0"/>
      <w:marBottom w:val="0"/>
      <w:divBdr>
        <w:top w:val="none" w:sz="0" w:space="0" w:color="auto"/>
        <w:left w:val="none" w:sz="0" w:space="0" w:color="auto"/>
        <w:bottom w:val="none" w:sz="0" w:space="0" w:color="auto"/>
        <w:right w:val="none" w:sz="0" w:space="0" w:color="auto"/>
      </w:divBdr>
    </w:div>
    <w:div w:id="1587497732">
      <w:bodyDiv w:val="1"/>
      <w:marLeft w:val="0"/>
      <w:marRight w:val="0"/>
      <w:marTop w:val="0"/>
      <w:marBottom w:val="0"/>
      <w:divBdr>
        <w:top w:val="none" w:sz="0" w:space="0" w:color="auto"/>
        <w:left w:val="none" w:sz="0" w:space="0" w:color="auto"/>
        <w:bottom w:val="none" w:sz="0" w:space="0" w:color="auto"/>
        <w:right w:val="none" w:sz="0" w:space="0" w:color="auto"/>
      </w:divBdr>
    </w:div>
    <w:div w:id="1588996700">
      <w:bodyDiv w:val="1"/>
      <w:marLeft w:val="0"/>
      <w:marRight w:val="0"/>
      <w:marTop w:val="0"/>
      <w:marBottom w:val="0"/>
      <w:divBdr>
        <w:top w:val="none" w:sz="0" w:space="0" w:color="auto"/>
        <w:left w:val="none" w:sz="0" w:space="0" w:color="auto"/>
        <w:bottom w:val="none" w:sz="0" w:space="0" w:color="auto"/>
        <w:right w:val="none" w:sz="0" w:space="0" w:color="auto"/>
      </w:divBdr>
    </w:div>
    <w:div w:id="1589190206">
      <w:bodyDiv w:val="1"/>
      <w:marLeft w:val="0"/>
      <w:marRight w:val="0"/>
      <w:marTop w:val="0"/>
      <w:marBottom w:val="0"/>
      <w:divBdr>
        <w:top w:val="none" w:sz="0" w:space="0" w:color="auto"/>
        <w:left w:val="none" w:sz="0" w:space="0" w:color="auto"/>
        <w:bottom w:val="none" w:sz="0" w:space="0" w:color="auto"/>
        <w:right w:val="none" w:sz="0" w:space="0" w:color="auto"/>
      </w:divBdr>
    </w:div>
    <w:div w:id="1590120357">
      <w:bodyDiv w:val="1"/>
      <w:marLeft w:val="0"/>
      <w:marRight w:val="0"/>
      <w:marTop w:val="0"/>
      <w:marBottom w:val="0"/>
      <w:divBdr>
        <w:top w:val="none" w:sz="0" w:space="0" w:color="auto"/>
        <w:left w:val="none" w:sz="0" w:space="0" w:color="auto"/>
        <w:bottom w:val="none" w:sz="0" w:space="0" w:color="auto"/>
        <w:right w:val="none" w:sz="0" w:space="0" w:color="auto"/>
      </w:divBdr>
    </w:div>
    <w:div w:id="1591239094">
      <w:bodyDiv w:val="1"/>
      <w:marLeft w:val="0"/>
      <w:marRight w:val="0"/>
      <w:marTop w:val="0"/>
      <w:marBottom w:val="0"/>
      <w:divBdr>
        <w:top w:val="none" w:sz="0" w:space="0" w:color="auto"/>
        <w:left w:val="none" w:sz="0" w:space="0" w:color="auto"/>
        <w:bottom w:val="none" w:sz="0" w:space="0" w:color="auto"/>
        <w:right w:val="none" w:sz="0" w:space="0" w:color="auto"/>
      </w:divBdr>
    </w:div>
    <w:div w:id="1592808936">
      <w:bodyDiv w:val="1"/>
      <w:marLeft w:val="0"/>
      <w:marRight w:val="0"/>
      <w:marTop w:val="0"/>
      <w:marBottom w:val="0"/>
      <w:divBdr>
        <w:top w:val="none" w:sz="0" w:space="0" w:color="auto"/>
        <w:left w:val="none" w:sz="0" w:space="0" w:color="auto"/>
        <w:bottom w:val="none" w:sz="0" w:space="0" w:color="auto"/>
        <w:right w:val="none" w:sz="0" w:space="0" w:color="auto"/>
      </w:divBdr>
    </w:div>
    <w:div w:id="1593316135">
      <w:bodyDiv w:val="1"/>
      <w:marLeft w:val="0"/>
      <w:marRight w:val="0"/>
      <w:marTop w:val="0"/>
      <w:marBottom w:val="0"/>
      <w:divBdr>
        <w:top w:val="none" w:sz="0" w:space="0" w:color="auto"/>
        <w:left w:val="none" w:sz="0" w:space="0" w:color="auto"/>
        <w:bottom w:val="none" w:sz="0" w:space="0" w:color="auto"/>
        <w:right w:val="none" w:sz="0" w:space="0" w:color="auto"/>
      </w:divBdr>
    </w:div>
    <w:div w:id="1593783886">
      <w:bodyDiv w:val="1"/>
      <w:marLeft w:val="0"/>
      <w:marRight w:val="0"/>
      <w:marTop w:val="0"/>
      <w:marBottom w:val="0"/>
      <w:divBdr>
        <w:top w:val="none" w:sz="0" w:space="0" w:color="auto"/>
        <w:left w:val="none" w:sz="0" w:space="0" w:color="auto"/>
        <w:bottom w:val="none" w:sz="0" w:space="0" w:color="auto"/>
        <w:right w:val="none" w:sz="0" w:space="0" w:color="auto"/>
      </w:divBdr>
    </w:div>
    <w:div w:id="1594314698">
      <w:bodyDiv w:val="1"/>
      <w:marLeft w:val="0"/>
      <w:marRight w:val="0"/>
      <w:marTop w:val="0"/>
      <w:marBottom w:val="0"/>
      <w:divBdr>
        <w:top w:val="none" w:sz="0" w:space="0" w:color="auto"/>
        <w:left w:val="none" w:sz="0" w:space="0" w:color="auto"/>
        <w:bottom w:val="none" w:sz="0" w:space="0" w:color="auto"/>
        <w:right w:val="none" w:sz="0" w:space="0" w:color="auto"/>
      </w:divBdr>
    </w:div>
    <w:div w:id="1595281087">
      <w:bodyDiv w:val="1"/>
      <w:marLeft w:val="0"/>
      <w:marRight w:val="0"/>
      <w:marTop w:val="0"/>
      <w:marBottom w:val="0"/>
      <w:divBdr>
        <w:top w:val="none" w:sz="0" w:space="0" w:color="auto"/>
        <w:left w:val="none" w:sz="0" w:space="0" w:color="auto"/>
        <w:bottom w:val="none" w:sz="0" w:space="0" w:color="auto"/>
        <w:right w:val="none" w:sz="0" w:space="0" w:color="auto"/>
      </w:divBdr>
    </w:div>
    <w:div w:id="1595282760">
      <w:bodyDiv w:val="1"/>
      <w:marLeft w:val="0"/>
      <w:marRight w:val="0"/>
      <w:marTop w:val="0"/>
      <w:marBottom w:val="0"/>
      <w:divBdr>
        <w:top w:val="none" w:sz="0" w:space="0" w:color="auto"/>
        <w:left w:val="none" w:sz="0" w:space="0" w:color="auto"/>
        <w:bottom w:val="none" w:sz="0" w:space="0" w:color="auto"/>
        <w:right w:val="none" w:sz="0" w:space="0" w:color="auto"/>
      </w:divBdr>
    </w:div>
    <w:div w:id="1595548944">
      <w:bodyDiv w:val="1"/>
      <w:marLeft w:val="0"/>
      <w:marRight w:val="0"/>
      <w:marTop w:val="0"/>
      <w:marBottom w:val="0"/>
      <w:divBdr>
        <w:top w:val="none" w:sz="0" w:space="0" w:color="auto"/>
        <w:left w:val="none" w:sz="0" w:space="0" w:color="auto"/>
        <w:bottom w:val="none" w:sz="0" w:space="0" w:color="auto"/>
        <w:right w:val="none" w:sz="0" w:space="0" w:color="auto"/>
      </w:divBdr>
    </w:div>
    <w:div w:id="1595935967">
      <w:bodyDiv w:val="1"/>
      <w:marLeft w:val="0"/>
      <w:marRight w:val="0"/>
      <w:marTop w:val="0"/>
      <w:marBottom w:val="0"/>
      <w:divBdr>
        <w:top w:val="none" w:sz="0" w:space="0" w:color="auto"/>
        <w:left w:val="none" w:sz="0" w:space="0" w:color="auto"/>
        <w:bottom w:val="none" w:sz="0" w:space="0" w:color="auto"/>
        <w:right w:val="none" w:sz="0" w:space="0" w:color="auto"/>
      </w:divBdr>
    </w:div>
    <w:div w:id="1596209404">
      <w:bodyDiv w:val="1"/>
      <w:marLeft w:val="0"/>
      <w:marRight w:val="0"/>
      <w:marTop w:val="0"/>
      <w:marBottom w:val="0"/>
      <w:divBdr>
        <w:top w:val="none" w:sz="0" w:space="0" w:color="auto"/>
        <w:left w:val="none" w:sz="0" w:space="0" w:color="auto"/>
        <w:bottom w:val="none" w:sz="0" w:space="0" w:color="auto"/>
        <w:right w:val="none" w:sz="0" w:space="0" w:color="auto"/>
      </w:divBdr>
    </w:div>
    <w:div w:id="1596548921">
      <w:bodyDiv w:val="1"/>
      <w:marLeft w:val="0"/>
      <w:marRight w:val="0"/>
      <w:marTop w:val="0"/>
      <w:marBottom w:val="0"/>
      <w:divBdr>
        <w:top w:val="none" w:sz="0" w:space="0" w:color="auto"/>
        <w:left w:val="none" w:sz="0" w:space="0" w:color="auto"/>
        <w:bottom w:val="none" w:sz="0" w:space="0" w:color="auto"/>
        <w:right w:val="none" w:sz="0" w:space="0" w:color="auto"/>
      </w:divBdr>
    </w:div>
    <w:div w:id="1596743529">
      <w:bodyDiv w:val="1"/>
      <w:marLeft w:val="0"/>
      <w:marRight w:val="0"/>
      <w:marTop w:val="0"/>
      <w:marBottom w:val="0"/>
      <w:divBdr>
        <w:top w:val="none" w:sz="0" w:space="0" w:color="auto"/>
        <w:left w:val="none" w:sz="0" w:space="0" w:color="auto"/>
        <w:bottom w:val="none" w:sz="0" w:space="0" w:color="auto"/>
        <w:right w:val="none" w:sz="0" w:space="0" w:color="auto"/>
      </w:divBdr>
    </w:div>
    <w:div w:id="1596941255">
      <w:bodyDiv w:val="1"/>
      <w:marLeft w:val="0"/>
      <w:marRight w:val="0"/>
      <w:marTop w:val="0"/>
      <w:marBottom w:val="0"/>
      <w:divBdr>
        <w:top w:val="none" w:sz="0" w:space="0" w:color="auto"/>
        <w:left w:val="none" w:sz="0" w:space="0" w:color="auto"/>
        <w:bottom w:val="none" w:sz="0" w:space="0" w:color="auto"/>
        <w:right w:val="none" w:sz="0" w:space="0" w:color="auto"/>
      </w:divBdr>
    </w:div>
    <w:div w:id="1597472009">
      <w:bodyDiv w:val="1"/>
      <w:marLeft w:val="0"/>
      <w:marRight w:val="0"/>
      <w:marTop w:val="0"/>
      <w:marBottom w:val="0"/>
      <w:divBdr>
        <w:top w:val="none" w:sz="0" w:space="0" w:color="auto"/>
        <w:left w:val="none" w:sz="0" w:space="0" w:color="auto"/>
        <w:bottom w:val="none" w:sz="0" w:space="0" w:color="auto"/>
        <w:right w:val="none" w:sz="0" w:space="0" w:color="auto"/>
      </w:divBdr>
    </w:div>
    <w:div w:id="1597598237">
      <w:bodyDiv w:val="1"/>
      <w:marLeft w:val="0"/>
      <w:marRight w:val="0"/>
      <w:marTop w:val="0"/>
      <w:marBottom w:val="0"/>
      <w:divBdr>
        <w:top w:val="none" w:sz="0" w:space="0" w:color="auto"/>
        <w:left w:val="none" w:sz="0" w:space="0" w:color="auto"/>
        <w:bottom w:val="none" w:sz="0" w:space="0" w:color="auto"/>
        <w:right w:val="none" w:sz="0" w:space="0" w:color="auto"/>
      </w:divBdr>
    </w:div>
    <w:div w:id="1597789149">
      <w:bodyDiv w:val="1"/>
      <w:marLeft w:val="0"/>
      <w:marRight w:val="0"/>
      <w:marTop w:val="0"/>
      <w:marBottom w:val="0"/>
      <w:divBdr>
        <w:top w:val="none" w:sz="0" w:space="0" w:color="auto"/>
        <w:left w:val="none" w:sz="0" w:space="0" w:color="auto"/>
        <w:bottom w:val="none" w:sz="0" w:space="0" w:color="auto"/>
        <w:right w:val="none" w:sz="0" w:space="0" w:color="auto"/>
      </w:divBdr>
    </w:div>
    <w:div w:id="1597976461">
      <w:bodyDiv w:val="1"/>
      <w:marLeft w:val="0"/>
      <w:marRight w:val="0"/>
      <w:marTop w:val="0"/>
      <w:marBottom w:val="0"/>
      <w:divBdr>
        <w:top w:val="none" w:sz="0" w:space="0" w:color="auto"/>
        <w:left w:val="none" w:sz="0" w:space="0" w:color="auto"/>
        <w:bottom w:val="none" w:sz="0" w:space="0" w:color="auto"/>
        <w:right w:val="none" w:sz="0" w:space="0" w:color="auto"/>
      </w:divBdr>
    </w:div>
    <w:div w:id="1598321884">
      <w:bodyDiv w:val="1"/>
      <w:marLeft w:val="0"/>
      <w:marRight w:val="0"/>
      <w:marTop w:val="0"/>
      <w:marBottom w:val="0"/>
      <w:divBdr>
        <w:top w:val="none" w:sz="0" w:space="0" w:color="auto"/>
        <w:left w:val="none" w:sz="0" w:space="0" w:color="auto"/>
        <w:bottom w:val="none" w:sz="0" w:space="0" w:color="auto"/>
        <w:right w:val="none" w:sz="0" w:space="0" w:color="auto"/>
      </w:divBdr>
    </w:div>
    <w:div w:id="1598977786">
      <w:bodyDiv w:val="1"/>
      <w:marLeft w:val="0"/>
      <w:marRight w:val="0"/>
      <w:marTop w:val="0"/>
      <w:marBottom w:val="0"/>
      <w:divBdr>
        <w:top w:val="none" w:sz="0" w:space="0" w:color="auto"/>
        <w:left w:val="none" w:sz="0" w:space="0" w:color="auto"/>
        <w:bottom w:val="none" w:sz="0" w:space="0" w:color="auto"/>
        <w:right w:val="none" w:sz="0" w:space="0" w:color="auto"/>
      </w:divBdr>
    </w:div>
    <w:div w:id="1599606388">
      <w:bodyDiv w:val="1"/>
      <w:marLeft w:val="0"/>
      <w:marRight w:val="0"/>
      <w:marTop w:val="0"/>
      <w:marBottom w:val="0"/>
      <w:divBdr>
        <w:top w:val="none" w:sz="0" w:space="0" w:color="auto"/>
        <w:left w:val="none" w:sz="0" w:space="0" w:color="auto"/>
        <w:bottom w:val="none" w:sz="0" w:space="0" w:color="auto"/>
        <w:right w:val="none" w:sz="0" w:space="0" w:color="auto"/>
      </w:divBdr>
    </w:div>
    <w:div w:id="1600213629">
      <w:bodyDiv w:val="1"/>
      <w:marLeft w:val="0"/>
      <w:marRight w:val="0"/>
      <w:marTop w:val="0"/>
      <w:marBottom w:val="0"/>
      <w:divBdr>
        <w:top w:val="none" w:sz="0" w:space="0" w:color="auto"/>
        <w:left w:val="none" w:sz="0" w:space="0" w:color="auto"/>
        <w:bottom w:val="none" w:sz="0" w:space="0" w:color="auto"/>
        <w:right w:val="none" w:sz="0" w:space="0" w:color="auto"/>
      </w:divBdr>
    </w:div>
    <w:div w:id="1600335042">
      <w:bodyDiv w:val="1"/>
      <w:marLeft w:val="0"/>
      <w:marRight w:val="0"/>
      <w:marTop w:val="0"/>
      <w:marBottom w:val="0"/>
      <w:divBdr>
        <w:top w:val="none" w:sz="0" w:space="0" w:color="auto"/>
        <w:left w:val="none" w:sz="0" w:space="0" w:color="auto"/>
        <w:bottom w:val="none" w:sz="0" w:space="0" w:color="auto"/>
        <w:right w:val="none" w:sz="0" w:space="0" w:color="auto"/>
      </w:divBdr>
    </w:div>
    <w:div w:id="1600485714">
      <w:bodyDiv w:val="1"/>
      <w:marLeft w:val="0"/>
      <w:marRight w:val="0"/>
      <w:marTop w:val="0"/>
      <w:marBottom w:val="0"/>
      <w:divBdr>
        <w:top w:val="none" w:sz="0" w:space="0" w:color="auto"/>
        <w:left w:val="none" w:sz="0" w:space="0" w:color="auto"/>
        <w:bottom w:val="none" w:sz="0" w:space="0" w:color="auto"/>
        <w:right w:val="none" w:sz="0" w:space="0" w:color="auto"/>
      </w:divBdr>
    </w:div>
    <w:div w:id="1600913944">
      <w:bodyDiv w:val="1"/>
      <w:marLeft w:val="0"/>
      <w:marRight w:val="0"/>
      <w:marTop w:val="0"/>
      <w:marBottom w:val="0"/>
      <w:divBdr>
        <w:top w:val="none" w:sz="0" w:space="0" w:color="auto"/>
        <w:left w:val="none" w:sz="0" w:space="0" w:color="auto"/>
        <w:bottom w:val="none" w:sz="0" w:space="0" w:color="auto"/>
        <w:right w:val="none" w:sz="0" w:space="0" w:color="auto"/>
      </w:divBdr>
    </w:div>
    <w:div w:id="1601331930">
      <w:bodyDiv w:val="1"/>
      <w:marLeft w:val="0"/>
      <w:marRight w:val="0"/>
      <w:marTop w:val="0"/>
      <w:marBottom w:val="0"/>
      <w:divBdr>
        <w:top w:val="none" w:sz="0" w:space="0" w:color="auto"/>
        <w:left w:val="none" w:sz="0" w:space="0" w:color="auto"/>
        <w:bottom w:val="none" w:sz="0" w:space="0" w:color="auto"/>
        <w:right w:val="none" w:sz="0" w:space="0" w:color="auto"/>
      </w:divBdr>
    </w:div>
    <w:div w:id="1601335919">
      <w:bodyDiv w:val="1"/>
      <w:marLeft w:val="0"/>
      <w:marRight w:val="0"/>
      <w:marTop w:val="0"/>
      <w:marBottom w:val="0"/>
      <w:divBdr>
        <w:top w:val="none" w:sz="0" w:space="0" w:color="auto"/>
        <w:left w:val="none" w:sz="0" w:space="0" w:color="auto"/>
        <w:bottom w:val="none" w:sz="0" w:space="0" w:color="auto"/>
        <w:right w:val="none" w:sz="0" w:space="0" w:color="auto"/>
      </w:divBdr>
    </w:div>
    <w:div w:id="1601570355">
      <w:bodyDiv w:val="1"/>
      <w:marLeft w:val="0"/>
      <w:marRight w:val="0"/>
      <w:marTop w:val="0"/>
      <w:marBottom w:val="0"/>
      <w:divBdr>
        <w:top w:val="none" w:sz="0" w:space="0" w:color="auto"/>
        <w:left w:val="none" w:sz="0" w:space="0" w:color="auto"/>
        <w:bottom w:val="none" w:sz="0" w:space="0" w:color="auto"/>
        <w:right w:val="none" w:sz="0" w:space="0" w:color="auto"/>
      </w:divBdr>
    </w:div>
    <w:div w:id="1601991172">
      <w:bodyDiv w:val="1"/>
      <w:marLeft w:val="0"/>
      <w:marRight w:val="0"/>
      <w:marTop w:val="0"/>
      <w:marBottom w:val="0"/>
      <w:divBdr>
        <w:top w:val="none" w:sz="0" w:space="0" w:color="auto"/>
        <w:left w:val="none" w:sz="0" w:space="0" w:color="auto"/>
        <w:bottom w:val="none" w:sz="0" w:space="0" w:color="auto"/>
        <w:right w:val="none" w:sz="0" w:space="0" w:color="auto"/>
      </w:divBdr>
    </w:div>
    <w:div w:id="1602689000">
      <w:bodyDiv w:val="1"/>
      <w:marLeft w:val="0"/>
      <w:marRight w:val="0"/>
      <w:marTop w:val="0"/>
      <w:marBottom w:val="0"/>
      <w:divBdr>
        <w:top w:val="none" w:sz="0" w:space="0" w:color="auto"/>
        <w:left w:val="none" w:sz="0" w:space="0" w:color="auto"/>
        <w:bottom w:val="none" w:sz="0" w:space="0" w:color="auto"/>
        <w:right w:val="none" w:sz="0" w:space="0" w:color="auto"/>
      </w:divBdr>
    </w:div>
    <w:div w:id="1602908035">
      <w:bodyDiv w:val="1"/>
      <w:marLeft w:val="0"/>
      <w:marRight w:val="0"/>
      <w:marTop w:val="0"/>
      <w:marBottom w:val="0"/>
      <w:divBdr>
        <w:top w:val="none" w:sz="0" w:space="0" w:color="auto"/>
        <w:left w:val="none" w:sz="0" w:space="0" w:color="auto"/>
        <w:bottom w:val="none" w:sz="0" w:space="0" w:color="auto"/>
        <w:right w:val="none" w:sz="0" w:space="0" w:color="auto"/>
      </w:divBdr>
    </w:div>
    <w:div w:id="1604453562">
      <w:bodyDiv w:val="1"/>
      <w:marLeft w:val="0"/>
      <w:marRight w:val="0"/>
      <w:marTop w:val="0"/>
      <w:marBottom w:val="0"/>
      <w:divBdr>
        <w:top w:val="none" w:sz="0" w:space="0" w:color="auto"/>
        <w:left w:val="none" w:sz="0" w:space="0" w:color="auto"/>
        <w:bottom w:val="none" w:sz="0" w:space="0" w:color="auto"/>
        <w:right w:val="none" w:sz="0" w:space="0" w:color="auto"/>
      </w:divBdr>
    </w:div>
    <w:div w:id="1604456248">
      <w:bodyDiv w:val="1"/>
      <w:marLeft w:val="0"/>
      <w:marRight w:val="0"/>
      <w:marTop w:val="0"/>
      <w:marBottom w:val="0"/>
      <w:divBdr>
        <w:top w:val="none" w:sz="0" w:space="0" w:color="auto"/>
        <w:left w:val="none" w:sz="0" w:space="0" w:color="auto"/>
        <w:bottom w:val="none" w:sz="0" w:space="0" w:color="auto"/>
        <w:right w:val="none" w:sz="0" w:space="0" w:color="auto"/>
      </w:divBdr>
    </w:div>
    <w:div w:id="1604603946">
      <w:bodyDiv w:val="1"/>
      <w:marLeft w:val="0"/>
      <w:marRight w:val="0"/>
      <w:marTop w:val="0"/>
      <w:marBottom w:val="0"/>
      <w:divBdr>
        <w:top w:val="none" w:sz="0" w:space="0" w:color="auto"/>
        <w:left w:val="none" w:sz="0" w:space="0" w:color="auto"/>
        <w:bottom w:val="none" w:sz="0" w:space="0" w:color="auto"/>
        <w:right w:val="none" w:sz="0" w:space="0" w:color="auto"/>
      </w:divBdr>
    </w:div>
    <w:div w:id="1605570550">
      <w:bodyDiv w:val="1"/>
      <w:marLeft w:val="0"/>
      <w:marRight w:val="0"/>
      <w:marTop w:val="0"/>
      <w:marBottom w:val="0"/>
      <w:divBdr>
        <w:top w:val="none" w:sz="0" w:space="0" w:color="auto"/>
        <w:left w:val="none" w:sz="0" w:space="0" w:color="auto"/>
        <w:bottom w:val="none" w:sz="0" w:space="0" w:color="auto"/>
        <w:right w:val="none" w:sz="0" w:space="0" w:color="auto"/>
      </w:divBdr>
    </w:div>
    <w:div w:id="1605723391">
      <w:bodyDiv w:val="1"/>
      <w:marLeft w:val="0"/>
      <w:marRight w:val="0"/>
      <w:marTop w:val="0"/>
      <w:marBottom w:val="0"/>
      <w:divBdr>
        <w:top w:val="none" w:sz="0" w:space="0" w:color="auto"/>
        <w:left w:val="none" w:sz="0" w:space="0" w:color="auto"/>
        <w:bottom w:val="none" w:sz="0" w:space="0" w:color="auto"/>
        <w:right w:val="none" w:sz="0" w:space="0" w:color="auto"/>
      </w:divBdr>
    </w:div>
    <w:div w:id="1605764364">
      <w:bodyDiv w:val="1"/>
      <w:marLeft w:val="0"/>
      <w:marRight w:val="0"/>
      <w:marTop w:val="0"/>
      <w:marBottom w:val="0"/>
      <w:divBdr>
        <w:top w:val="none" w:sz="0" w:space="0" w:color="auto"/>
        <w:left w:val="none" w:sz="0" w:space="0" w:color="auto"/>
        <w:bottom w:val="none" w:sz="0" w:space="0" w:color="auto"/>
        <w:right w:val="none" w:sz="0" w:space="0" w:color="auto"/>
      </w:divBdr>
    </w:div>
    <w:div w:id="1606381232">
      <w:bodyDiv w:val="1"/>
      <w:marLeft w:val="0"/>
      <w:marRight w:val="0"/>
      <w:marTop w:val="0"/>
      <w:marBottom w:val="0"/>
      <w:divBdr>
        <w:top w:val="none" w:sz="0" w:space="0" w:color="auto"/>
        <w:left w:val="none" w:sz="0" w:space="0" w:color="auto"/>
        <w:bottom w:val="none" w:sz="0" w:space="0" w:color="auto"/>
        <w:right w:val="none" w:sz="0" w:space="0" w:color="auto"/>
      </w:divBdr>
    </w:div>
    <w:div w:id="1607883287">
      <w:bodyDiv w:val="1"/>
      <w:marLeft w:val="0"/>
      <w:marRight w:val="0"/>
      <w:marTop w:val="0"/>
      <w:marBottom w:val="0"/>
      <w:divBdr>
        <w:top w:val="none" w:sz="0" w:space="0" w:color="auto"/>
        <w:left w:val="none" w:sz="0" w:space="0" w:color="auto"/>
        <w:bottom w:val="none" w:sz="0" w:space="0" w:color="auto"/>
        <w:right w:val="none" w:sz="0" w:space="0" w:color="auto"/>
      </w:divBdr>
    </w:div>
    <w:div w:id="1608272156">
      <w:bodyDiv w:val="1"/>
      <w:marLeft w:val="0"/>
      <w:marRight w:val="0"/>
      <w:marTop w:val="0"/>
      <w:marBottom w:val="0"/>
      <w:divBdr>
        <w:top w:val="none" w:sz="0" w:space="0" w:color="auto"/>
        <w:left w:val="none" w:sz="0" w:space="0" w:color="auto"/>
        <w:bottom w:val="none" w:sz="0" w:space="0" w:color="auto"/>
        <w:right w:val="none" w:sz="0" w:space="0" w:color="auto"/>
      </w:divBdr>
    </w:div>
    <w:div w:id="1608350647">
      <w:bodyDiv w:val="1"/>
      <w:marLeft w:val="0"/>
      <w:marRight w:val="0"/>
      <w:marTop w:val="0"/>
      <w:marBottom w:val="0"/>
      <w:divBdr>
        <w:top w:val="none" w:sz="0" w:space="0" w:color="auto"/>
        <w:left w:val="none" w:sz="0" w:space="0" w:color="auto"/>
        <w:bottom w:val="none" w:sz="0" w:space="0" w:color="auto"/>
        <w:right w:val="none" w:sz="0" w:space="0" w:color="auto"/>
      </w:divBdr>
    </w:div>
    <w:div w:id="1609003981">
      <w:bodyDiv w:val="1"/>
      <w:marLeft w:val="0"/>
      <w:marRight w:val="0"/>
      <w:marTop w:val="0"/>
      <w:marBottom w:val="0"/>
      <w:divBdr>
        <w:top w:val="none" w:sz="0" w:space="0" w:color="auto"/>
        <w:left w:val="none" w:sz="0" w:space="0" w:color="auto"/>
        <w:bottom w:val="none" w:sz="0" w:space="0" w:color="auto"/>
        <w:right w:val="none" w:sz="0" w:space="0" w:color="auto"/>
      </w:divBdr>
    </w:div>
    <w:div w:id="1609241072">
      <w:bodyDiv w:val="1"/>
      <w:marLeft w:val="0"/>
      <w:marRight w:val="0"/>
      <w:marTop w:val="0"/>
      <w:marBottom w:val="0"/>
      <w:divBdr>
        <w:top w:val="none" w:sz="0" w:space="0" w:color="auto"/>
        <w:left w:val="none" w:sz="0" w:space="0" w:color="auto"/>
        <w:bottom w:val="none" w:sz="0" w:space="0" w:color="auto"/>
        <w:right w:val="none" w:sz="0" w:space="0" w:color="auto"/>
      </w:divBdr>
    </w:div>
    <w:div w:id="1609893937">
      <w:bodyDiv w:val="1"/>
      <w:marLeft w:val="0"/>
      <w:marRight w:val="0"/>
      <w:marTop w:val="0"/>
      <w:marBottom w:val="0"/>
      <w:divBdr>
        <w:top w:val="none" w:sz="0" w:space="0" w:color="auto"/>
        <w:left w:val="none" w:sz="0" w:space="0" w:color="auto"/>
        <w:bottom w:val="none" w:sz="0" w:space="0" w:color="auto"/>
        <w:right w:val="none" w:sz="0" w:space="0" w:color="auto"/>
      </w:divBdr>
    </w:div>
    <w:div w:id="1611089053">
      <w:bodyDiv w:val="1"/>
      <w:marLeft w:val="0"/>
      <w:marRight w:val="0"/>
      <w:marTop w:val="0"/>
      <w:marBottom w:val="0"/>
      <w:divBdr>
        <w:top w:val="none" w:sz="0" w:space="0" w:color="auto"/>
        <w:left w:val="none" w:sz="0" w:space="0" w:color="auto"/>
        <w:bottom w:val="none" w:sz="0" w:space="0" w:color="auto"/>
        <w:right w:val="none" w:sz="0" w:space="0" w:color="auto"/>
      </w:divBdr>
    </w:div>
    <w:div w:id="1611860302">
      <w:bodyDiv w:val="1"/>
      <w:marLeft w:val="0"/>
      <w:marRight w:val="0"/>
      <w:marTop w:val="0"/>
      <w:marBottom w:val="0"/>
      <w:divBdr>
        <w:top w:val="none" w:sz="0" w:space="0" w:color="auto"/>
        <w:left w:val="none" w:sz="0" w:space="0" w:color="auto"/>
        <w:bottom w:val="none" w:sz="0" w:space="0" w:color="auto"/>
        <w:right w:val="none" w:sz="0" w:space="0" w:color="auto"/>
      </w:divBdr>
    </w:div>
    <w:div w:id="1612935007">
      <w:bodyDiv w:val="1"/>
      <w:marLeft w:val="0"/>
      <w:marRight w:val="0"/>
      <w:marTop w:val="0"/>
      <w:marBottom w:val="0"/>
      <w:divBdr>
        <w:top w:val="none" w:sz="0" w:space="0" w:color="auto"/>
        <w:left w:val="none" w:sz="0" w:space="0" w:color="auto"/>
        <w:bottom w:val="none" w:sz="0" w:space="0" w:color="auto"/>
        <w:right w:val="none" w:sz="0" w:space="0" w:color="auto"/>
      </w:divBdr>
    </w:div>
    <w:div w:id="1612936811">
      <w:bodyDiv w:val="1"/>
      <w:marLeft w:val="0"/>
      <w:marRight w:val="0"/>
      <w:marTop w:val="0"/>
      <w:marBottom w:val="0"/>
      <w:divBdr>
        <w:top w:val="none" w:sz="0" w:space="0" w:color="auto"/>
        <w:left w:val="none" w:sz="0" w:space="0" w:color="auto"/>
        <w:bottom w:val="none" w:sz="0" w:space="0" w:color="auto"/>
        <w:right w:val="none" w:sz="0" w:space="0" w:color="auto"/>
      </w:divBdr>
    </w:div>
    <w:div w:id="1613433913">
      <w:bodyDiv w:val="1"/>
      <w:marLeft w:val="0"/>
      <w:marRight w:val="0"/>
      <w:marTop w:val="0"/>
      <w:marBottom w:val="0"/>
      <w:divBdr>
        <w:top w:val="none" w:sz="0" w:space="0" w:color="auto"/>
        <w:left w:val="none" w:sz="0" w:space="0" w:color="auto"/>
        <w:bottom w:val="none" w:sz="0" w:space="0" w:color="auto"/>
        <w:right w:val="none" w:sz="0" w:space="0" w:color="auto"/>
      </w:divBdr>
    </w:div>
    <w:div w:id="1613587495">
      <w:bodyDiv w:val="1"/>
      <w:marLeft w:val="0"/>
      <w:marRight w:val="0"/>
      <w:marTop w:val="0"/>
      <w:marBottom w:val="0"/>
      <w:divBdr>
        <w:top w:val="none" w:sz="0" w:space="0" w:color="auto"/>
        <w:left w:val="none" w:sz="0" w:space="0" w:color="auto"/>
        <w:bottom w:val="none" w:sz="0" w:space="0" w:color="auto"/>
        <w:right w:val="none" w:sz="0" w:space="0" w:color="auto"/>
      </w:divBdr>
    </w:div>
    <w:div w:id="1613826043">
      <w:bodyDiv w:val="1"/>
      <w:marLeft w:val="0"/>
      <w:marRight w:val="0"/>
      <w:marTop w:val="0"/>
      <w:marBottom w:val="0"/>
      <w:divBdr>
        <w:top w:val="none" w:sz="0" w:space="0" w:color="auto"/>
        <w:left w:val="none" w:sz="0" w:space="0" w:color="auto"/>
        <w:bottom w:val="none" w:sz="0" w:space="0" w:color="auto"/>
        <w:right w:val="none" w:sz="0" w:space="0" w:color="auto"/>
      </w:divBdr>
    </w:div>
    <w:div w:id="1614287117">
      <w:bodyDiv w:val="1"/>
      <w:marLeft w:val="0"/>
      <w:marRight w:val="0"/>
      <w:marTop w:val="0"/>
      <w:marBottom w:val="0"/>
      <w:divBdr>
        <w:top w:val="none" w:sz="0" w:space="0" w:color="auto"/>
        <w:left w:val="none" w:sz="0" w:space="0" w:color="auto"/>
        <w:bottom w:val="none" w:sz="0" w:space="0" w:color="auto"/>
        <w:right w:val="none" w:sz="0" w:space="0" w:color="auto"/>
      </w:divBdr>
    </w:div>
    <w:div w:id="1614553463">
      <w:bodyDiv w:val="1"/>
      <w:marLeft w:val="0"/>
      <w:marRight w:val="0"/>
      <w:marTop w:val="0"/>
      <w:marBottom w:val="0"/>
      <w:divBdr>
        <w:top w:val="none" w:sz="0" w:space="0" w:color="auto"/>
        <w:left w:val="none" w:sz="0" w:space="0" w:color="auto"/>
        <w:bottom w:val="none" w:sz="0" w:space="0" w:color="auto"/>
        <w:right w:val="none" w:sz="0" w:space="0" w:color="auto"/>
      </w:divBdr>
    </w:div>
    <w:div w:id="1614894571">
      <w:bodyDiv w:val="1"/>
      <w:marLeft w:val="0"/>
      <w:marRight w:val="0"/>
      <w:marTop w:val="0"/>
      <w:marBottom w:val="0"/>
      <w:divBdr>
        <w:top w:val="none" w:sz="0" w:space="0" w:color="auto"/>
        <w:left w:val="none" w:sz="0" w:space="0" w:color="auto"/>
        <w:bottom w:val="none" w:sz="0" w:space="0" w:color="auto"/>
        <w:right w:val="none" w:sz="0" w:space="0" w:color="auto"/>
      </w:divBdr>
    </w:div>
    <w:div w:id="1614943262">
      <w:bodyDiv w:val="1"/>
      <w:marLeft w:val="0"/>
      <w:marRight w:val="0"/>
      <w:marTop w:val="0"/>
      <w:marBottom w:val="0"/>
      <w:divBdr>
        <w:top w:val="none" w:sz="0" w:space="0" w:color="auto"/>
        <w:left w:val="none" w:sz="0" w:space="0" w:color="auto"/>
        <w:bottom w:val="none" w:sz="0" w:space="0" w:color="auto"/>
        <w:right w:val="none" w:sz="0" w:space="0" w:color="auto"/>
      </w:divBdr>
    </w:div>
    <w:div w:id="1615210234">
      <w:bodyDiv w:val="1"/>
      <w:marLeft w:val="0"/>
      <w:marRight w:val="0"/>
      <w:marTop w:val="0"/>
      <w:marBottom w:val="0"/>
      <w:divBdr>
        <w:top w:val="none" w:sz="0" w:space="0" w:color="auto"/>
        <w:left w:val="none" w:sz="0" w:space="0" w:color="auto"/>
        <w:bottom w:val="none" w:sz="0" w:space="0" w:color="auto"/>
        <w:right w:val="none" w:sz="0" w:space="0" w:color="auto"/>
      </w:divBdr>
    </w:div>
    <w:div w:id="1615822218">
      <w:bodyDiv w:val="1"/>
      <w:marLeft w:val="0"/>
      <w:marRight w:val="0"/>
      <w:marTop w:val="0"/>
      <w:marBottom w:val="0"/>
      <w:divBdr>
        <w:top w:val="none" w:sz="0" w:space="0" w:color="auto"/>
        <w:left w:val="none" w:sz="0" w:space="0" w:color="auto"/>
        <w:bottom w:val="none" w:sz="0" w:space="0" w:color="auto"/>
        <w:right w:val="none" w:sz="0" w:space="0" w:color="auto"/>
      </w:divBdr>
    </w:div>
    <w:div w:id="1616133052">
      <w:bodyDiv w:val="1"/>
      <w:marLeft w:val="0"/>
      <w:marRight w:val="0"/>
      <w:marTop w:val="0"/>
      <w:marBottom w:val="0"/>
      <w:divBdr>
        <w:top w:val="none" w:sz="0" w:space="0" w:color="auto"/>
        <w:left w:val="none" w:sz="0" w:space="0" w:color="auto"/>
        <w:bottom w:val="none" w:sz="0" w:space="0" w:color="auto"/>
        <w:right w:val="none" w:sz="0" w:space="0" w:color="auto"/>
      </w:divBdr>
    </w:div>
    <w:div w:id="1617635573">
      <w:bodyDiv w:val="1"/>
      <w:marLeft w:val="0"/>
      <w:marRight w:val="0"/>
      <w:marTop w:val="0"/>
      <w:marBottom w:val="0"/>
      <w:divBdr>
        <w:top w:val="none" w:sz="0" w:space="0" w:color="auto"/>
        <w:left w:val="none" w:sz="0" w:space="0" w:color="auto"/>
        <w:bottom w:val="none" w:sz="0" w:space="0" w:color="auto"/>
        <w:right w:val="none" w:sz="0" w:space="0" w:color="auto"/>
      </w:divBdr>
    </w:div>
    <w:div w:id="1618100872">
      <w:bodyDiv w:val="1"/>
      <w:marLeft w:val="0"/>
      <w:marRight w:val="0"/>
      <w:marTop w:val="0"/>
      <w:marBottom w:val="0"/>
      <w:divBdr>
        <w:top w:val="none" w:sz="0" w:space="0" w:color="auto"/>
        <w:left w:val="none" w:sz="0" w:space="0" w:color="auto"/>
        <w:bottom w:val="none" w:sz="0" w:space="0" w:color="auto"/>
        <w:right w:val="none" w:sz="0" w:space="0" w:color="auto"/>
      </w:divBdr>
    </w:div>
    <w:div w:id="1618636108">
      <w:bodyDiv w:val="1"/>
      <w:marLeft w:val="0"/>
      <w:marRight w:val="0"/>
      <w:marTop w:val="0"/>
      <w:marBottom w:val="0"/>
      <w:divBdr>
        <w:top w:val="none" w:sz="0" w:space="0" w:color="auto"/>
        <w:left w:val="none" w:sz="0" w:space="0" w:color="auto"/>
        <w:bottom w:val="none" w:sz="0" w:space="0" w:color="auto"/>
        <w:right w:val="none" w:sz="0" w:space="0" w:color="auto"/>
      </w:divBdr>
    </w:div>
    <w:div w:id="1619027100">
      <w:bodyDiv w:val="1"/>
      <w:marLeft w:val="0"/>
      <w:marRight w:val="0"/>
      <w:marTop w:val="0"/>
      <w:marBottom w:val="0"/>
      <w:divBdr>
        <w:top w:val="none" w:sz="0" w:space="0" w:color="auto"/>
        <w:left w:val="none" w:sz="0" w:space="0" w:color="auto"/>
        <w:bottom w:val="none" w:sz="0" w:space="0" w:color="auto"/>
        <w:right w:val="none" w:sz="0" w:space="0" w:color="auto"/>
      </w:divBdr>
    </w:div>
    <w:div w:id="1619070368">
      <w:bodyDiv w:val="1"/>
      <w:marLeft w:val="0"/>
      <w:marRight w:val="0"/>
      <w:marTop w:val="0"/>
      <w:marBottom w:val="0"/>
      <w:divBdr>
        <w:top w:val="none" w:sz="0" w:space="0" w:color="auto"/>
        <w:left w:val="none" w:sz="0" w:space="0" w:color="auto"/>
        <w:bottom w:val="none" w:sz="0" w:space="0" w:color="auto"/>
        <w:right w:val="none" w:sz="0" w:space="0" w:color="auto"/>
      </w:divBdr>
    </w:div>
    <w:div w:id="1619339562">
      <w:bodyDiv w:val="1"/>
      <w:marLeft w:val="0"/>
      <w:marRight w:val="0"/>
      <w:marTop w:val="0"/>
      <w:marBottom w:val="0"/>
      <w:divBdr>
        <w:top w:val="none" w:sz="0" w:space="0" w:color="auto"/>
        <w:left w:val="none" w:sz="0" w:space="0" w:color="auto"/>
        <w:bottom w:val="none" w:sz="0" w:space="0" w:color="auto"/>
        <w:right w:val="none" w:sz="0" w:space="0" w:color="auto"/>
      </w:divBdr>
    </w:div>
    <w:div w:id="1620377665">
      <w:bodyDiv w:val="1"/>
      <w:marLeft w:val="0"/>
      <w:marRight w:val="0"/>
      <w:marTop w:val="0"/>
      <w:marBottom w:val="0"/>
      <w:divBdr>
        <w:top w:val="none" w:sz="0" w:space="0" w:color="auto"/>
        <w:left w:val="none" w:sz="0" w:space="0" w:color="auto"/>
        <w:bottom w:val="none" w:sz="0" w:space="0" w:color="auto"/>
        <w:right w:val="none" w:sz="0" w:space="0" w:color="auto"/>
      </w:divBdr>
    </w:div>
    <w:div w:id="1620918522">
      <w:bodyDiv w:val="1"/>
      <w:marLeft w:val="0"/>
      <w:marRight w:val="0"/>
      <w:marTop w:val="0"/>
      <w:marBottom w:val="0"/>
      <w:divBdr>
        <w:top w:val="none" w:sz="0" w:space="0" w:color="auto"/>
        <w:left w:val="none" w:sz="0" w:space="0" w:color="auto"/>
        <w:bottom w:val="none" w:sz="0" w:space="0" w:color="auto"/>
        <w:right w:val="none" w:sz="0" w:space="0" w:color="auto"/>
      </w:divBdr>
    </w:div>
    <w:div w:id="1621182653">
      <w:bodyDiv w:val="1"/>
      <w:marLeft w:val="0"/>
      <w:marRight w:val="0"/>
      <w:marTop w:val="0"/>
      <w:marBottom w:val="0"/>
      <w:divBdr>
        <w:top w:val="none" w:sz="0" w:space="0" w:color="auto"/>
        <w:left w:val="none" w:sz="0" w:space="0" w:color="auto"/>
        <w:bottom w:val="none" w:sz="0" w:space="0" w:color="auto"/>
        <w:right w:val="none" w:sz="0" w:space="0" w:color="auto"/>
      </w:divBdr>
    </w:div>
    <w:div w:id="1621759599">
      <w:bodyDiv w:val="1"/>
      <w:marLeft w:val="0"/>
      <w:marRight w:val="0"/>
      <w:marTop w:val="0"/>
      <w:marBottom w:val="0"/>
      <w:divBdr>
        <w:top w:val="none" w:sz="0" w:space="0" w:color="auto"/>
        <w:left w:val="none" w:sz="0" w:space="0" w:color="auto"/>
        <w:bottom w:val="none" w:sz="0" w:space="0" w:color="auto"/>
        <w:right w:val="none" w:sz="0" w:space="0" w:color="auto"/>
      </w:divBdr>
    </w:div>
    <w:div w:id="1622303163">
      <w:bodyDiv w:val="1"/>
      <w:marLeft w:val="0"/>
      <w:marRight w:val="0"/>
      <w:marTop w:val="0"/>
      <w:marBottom w:val="0"/>
      <w:divBdr>
        <w:top w:val="none" w:sz="0" w:space="0" w:color="auto"/>
        <w:left w:val="none" w:sz="0" w:space="0" w:color="auto"/>
        <w:bottom w:val="none" w:sz="0" w:space="0" w:color="auto"/>
        <w:right w:val="none" w:sz="0" w:space="0" w:color="auto"/>
      </w:divBdr>
    </w:div>
    <w:div w:id="1622683124">
      <w:bodyDiv w:val="1"/>
      <w:marLeft w:val="0"/>
      <w:marRight w:val="0"/>
      <w:marTop w:val="0"/>
      <w:marBottom w:val="0"/>
      <w:divBdr>
        <w:top w:val="none" w:sz="0" w:space="0" w:color="auto"/>
        <w:left w:val="none" w:sz="0" w:space="0" w:color="auto"/>
        <w:bottom w:val="none" w:sz="0" w:space="0" w:color="auto"/>
        <w:right w:val="none" w:sz="0" w:space="0" w:color="auto"/>
      </w:divBdr>
    </w:div>
    <w:div w:id="1622686897">
      <w:bodyDiv w:val="1"/>
      <w:marLeft w:val="0"/>
      <w:marRight w:val="0"/>
      <w:marTop w:val="0"/>
      <w:marBottom w:val="0"/>
      <w:divBdr>
        <w:top w:val="none" w:sz="0" w:space="0" w:color="auto"/>
        <w:left w:val="none" w:sz="0" w:space="0" w:color="auto"/>
        <w:bottom w:val="none" w:sz="0" w:space="0" w:color="auto"/>
        <w:right w:val="none" w:sz="0" w:space="0" w:color="auto"/>
      </w:divBdr>
    </w:div>
    <w:div w:id="1623074920">
      <w:bodyDiv w:val="1"/>
      <w:marLeft w:val="0"/>
      <w:marRight w:val="0"/>
      <w:marTop w:val="0"/>
      <w:marBottom w:val="0"/>
      <w:divBdr>
        <w:top w:val="none" w:sz="0" w:space="0" w:color="auto"/>
        <w:left w:val="none" w:sz="0" w:space="0" w:color="auto"/>
        <w:bottom w:val="none" w:sz="0" w:space="0" w:color="auto"/>
        <w:right w:val="none" w:sz="0" w:space="0" w:color="auto"/>
      </w:divBdr>
      <w:divsChild>
        <w:div w:id="916205107">
          <w:marLeft w:val="480"/>
          <w:marRight w:val="0"/>
          <w:marTop w:val="0"/>
          <w:marBottom w:val="0"/>
          <w:divBdr>
            <w:top w:val="none" w:sz="0" w:space="0" w:color="auto"/>
            <w:left w:val="none" w:sz="0" w:space="0" w:color="auto"/>
            <w:bottom w:val="none" w:sz="0" w:space="0" w:color="auto"/>
            <w:right w:val="none" w:sz="0" w:space="0" w:color="auto"/>
          </w:divBdr>
        </w:div>
        <w:div w:id="1239946419">
          <w:marLeft w:val="480"/>
          <w:marRight w:val="0"/>
          <w:marTop w:val="0"/>
          <w:marBottom w:val="0"/>
          <w:divBdr>
            <w:top w:val="none" w:sz="0" w:space="0" w:color="auto"/>
            <w:left w:val="none" w:sz="0" w:space="0" w:color="auto"/>
            <w:bottom w:val="none" w:sz="0" w:space="0" w:color="auto"/>
            <w:right w:val="none" w:sz="0" w:space="0" w:color="auto"/>
          </w:divBdr>
        </w:div>
        <w:div w:id="1595165115">
          <w:marLeft w:val="480"/>
          <w:marRight w:val="0"/>
          <w:marTop w:val="0"/>
          <w:marBottom w:val="0"/>
          <w:divBdr>
            <w:top w:val="none" w:sz="0" w:space="0" w:color="auto"/>
            <w:left w:val="none" w:sz="0" w:space="0" w:color="auto"/>
            <w:bottom w:val="none" w:sz="0" w:space="0" w:color="auto"/>
            <w:right w:val="none" w:sz="0" w:space="0" w:color="auto"/>
          </w:divBdr>
        </w:div>
        <w:div w:id="1931697948">
          <w:marLeft w:val="480"/>
          <w:marRight w:val="0"/>
          <w:marTop w:val="0"/>
          <w:marBottom w:val="0"/>
          <w:divBdr>
            <w:top w:val="none" w:sz="0" w:space="0" w:color="auto"/>
            <w:left w:val="none" w:sz="0" w:space="0" w:color="auto"/>
            <w:bottom w:val="none" w:sz="0" w:space="0" w:color="auto"/>
            <w:right w:val="none" w:sz="0" w:space="0" w:color="auto"/>
          </w:divBdr>
        </w:div>
        <w:div w:id="333261430">
          <w:marLeft w:val="480"/>
          <w:marRight w:val="0"/>
          <w:marTop w:val="0"/>
          <w:marBottom w:val="0"/>
          <w:divBdr>
            <w:top w:val="none" w:sz="0" w:space="0" w:color="auto"/>
            <w:left w:val="none" w:sz="0" w:space="0" w:color="auto"/>
            <w:bottom w:val="none" w:sz="0" w:space="0" w:color="auto"/>
            <w:right w:val="none" w:sz="0" w:space="0" w:color="auto"/>
          </w:divBdr>
        </w:div>
        <w:div w:id="1618218629">
          <w:marLeft w:val="480"/>
          <w:marRight w:val="0"/>
          <w:marTop w:val="0"/>
          <w:marBottom w:val="0"/>
          <w:divBdr>
            <w:top w:val="none" w:sz="0" w:space="0" w:color="auto"/>
            <w:left w:val="none" w:sz="0" w:space="0" w:color="auto"/>
            <w:bottom w:val="none" w:sz="0" w:space="0" w:color="auto"/>
            <w:right w:val="none" w:sz="0" w:space="0" w:color="auto"/>
          </w:divBdr>
        </w:div>
        <w:div w:id="338122900">
          <w:marLeft w:val="480"/>
          <w:marRight w:val="0"/>
          <w:marTop w:val="0"/>
          <w:marBottom w:val="0"/>
          <w:divBdr>
            <w:top w:val="none" w:sz="0" w:space="0" w:color="auto"/>
            <w:left w:val="none" w:sz="0" w:space="0" w:color="auto"/>
            <w:bottom w:val="none" w:sz="0" w:space="0" w:color="auto"/>
            <w:right w:val="none" w:sz="0" w:space="0" w:color="auto"/>
          </w:divBdr>
        </w:div>
        <w:div w:id="1547058146">
          <w:marLeft w:val="480"/>
          <w:marRight w:val="0"/>
          <w:marTop w:val="0"/>
          <w:marBottom w:val="0"/>
          <w:divBdr>
            <w:top w:val="none" w:sz="0" w:space="0" w:color="auto"/>
            <w:left w:val="none" w:sz="0" w:space="0" w:color="auto"/>
            <w:bottom w:val="none" w:sz="0" w:space="0" w:color="auto"/>
            <w:right w:val="none" w:sz="0" w:space="0" w:color="auto"/>
          </w:divBdr>
        </w:div>
        <w:div w:id="298733598">
          <w:marLeft w:val="480"/>
          <w:marRight w:val="0"/>
          <w:marTop w:val="0"/>
          <w:marBottom w:val="0"/>
          <w:divBdr>
            <w:top w:val="none" w:sz="0" w:space="0" w:color="auto"/>
            <w:left w:val="none" w:sz="0" w:space="0" w:color="auto"/>
            <w:bottom w:val="none" w:sz="0" w:space="0" w:color="auto"/>
            <w:right w:val="none" w:sz="0" w:space="0" w:color="auto"/>
          </w:divBdr>
        </w:div>
        <w:div w:id="1478112704">
          <w:marLeft w:val="480"/>
          <w:marRight w:val="0"/>
          <w:marTop w:val="0"/>
          <w:marBottom w:val="0"/>
          <w:divBdr>
            <w:top w:val="none" w:sz="0" w:space="0" w:color="auto"/>
            <w:left w:val="none" w:sz="0" w:space="0" w:color="auto"/>
            <w:bottom w:val="none" w:sz="0" w:space="0" w:color="auto"/>
            <w:right w:val="none" w:sz="0" w:space="0" w:color="auto"/>
          </w:divBdr>
        </w:div>
        <w:div w:id="970675133">
          <w:marLeft w:val="480"/>
          <w:marRight w:val="0"/>
          <w:marTop w:val="0"/>
          <w:marBottom w:val="0"/>
          <w:divBdr>
            <w:top w:val="none" w:sz="0" w:space="0" w:color="auto"/>
            <w:left w:val="none" w:sz="0" w:space="0" w:color="auto"/>
            <w:bottom w:val="none" w:sz="0" w:space="0" w:color="auto"/>
            <w:right w:val="none" w:sz="0" w:space="0" w:color="auto"/>
          </w:divBdr>
        </w:div>
        <w:div w:id="698941713">
          <w:marLeft w:val="480"/>
          <w:marRight w:val="0"/>
          <w:marTop w:val="0"/>
          <w:marBottom w:val="0"/>
          <w:divBdr>
            <w:top w:val="none" w:sz="0" w:space="0" w:color="auto"/>
            <w:left w:val="none" w:sz="0" w:space="0" w:color="auto"/>
            <w:bottom w:val="none" w:sz="0" w:space="0" w:color="auto"/>
            <w:right w:val="none" w:sz="0" w:space="0" w:color="auto"/>
          </w:divBdr>
        </w:div>
        <w:div w:id="1083601498">
          <w:marLeft w:val="480"/>
          <w:marRight w:val="0"/>
          <w:marTop w:val="0"/>
          <w:marBottom w:val="0"/>
          <w:divBdr>
            <w:top w:val="none" w:sz="0" w:space="0" w:color="auto"/>
            <w:left w:val="none" w:sz="0" w:space="0" w:color="auto"/>
            <w:bottom w:val="none" w:sz="0" w:space="0" w:color="auto"/>
            <w:right w:val="none" w:sz="0" w:space="0" w:color="auto"/>
          </w:divBdr>
        </w:div>
        <w:div w:id="1429427133">
          <w:marLeft w:val="480"/>
          <w:marRight w:val="0"/>
          <w:marTop w:val="0"/>
          <w:marBottom w:val="0"/>
          <w:divBdr>
            <w:top w:val="none" w:sz="0" w:space="0" w:color="auto"/>
            <w:left w:val="none" w:sz="0" w:space="0" w:color="auto"/>
            <w:bottom w:val="none" w:sz="0" w:space="0" w:color="auto"/>
            <w:right w:val="none" w:sz="0" w:space="0" w:color="auto"/>
          </w:divBdr>
        </w:div>
        <w:div w:id="633414592">
          <w:marLeft w:val="480"/>
          <w:marRight w:val="0"/>
          <w:marTop w:val="0"/>
          <w:marBottom w:val="0"/>
          <w:divBdr>
            <w:top w:val="none" w:sz="0" w:space="0" w:color="auto"/>
            <w:left w:val="none" w:sz="0" w:space="0" w:color="auto"/>
            <w:bottom w:val="none" w:sz="0" w:space="0" w:color="auto"/>
            <w:right w:val="none" w:sz="0" w:space="0" w:color="auto"/>
          </w:divBdr>
        </w:div>
        <w:div w:id="1223323797">
          <w:marLeft w:val="480"/>
          <w:marRight w:val="0"/>
          <w:marTop w:val="0"/>
          <w:marBottom w:val="0"/>
          <w:divBdr>
            <w:top w:val="none" w:sz="0" w:space="0" w:color="auto"/>
            <w:left w:val="none" w:sz="0" w:space="0" w:color="auto"/>
            <w:bottom w:val="none" w:sz="0" w:space="0" w:color="auto"/>
            <w:right w:val="none" w:sz="0" w:space="0" w:color="auto"/>
          </w:divBdr>
        </w:div>
        <w:div w:id="1169324061">
          <w:marLeft w:val="480"/>
          <w:marRight w:val="0"/>
          <w:marTop w:val="0"/>
          <w:marBottom w:val="0"/>
          <w:divBdr>
            <w:top w:val="none" w:sz="0" w:space="0" w:color="auto"/>
            <w:left w:val="none" w:sz="0" w:space="0" w:color="auto"/>
            <w:bottom w:val="none" w:sz="0" w:space="0" w:color="auto"/>
            <w:right w:val="none" w:sz="0" w:space="0" w:color="auto"/>
          </w:divBdr>
        </w:div>
        <w:div w:id="1957984956">
          <w:marLeft w:val="480"/>
          <w:marRight w:val="0"/>
          <w:marTop w:val="0"/>
          <w:marBottom w:val="0"/>
          <w:divBdr>
            <w:top w:val="none" w:sz="0" w:space="0" w:color="auto"/>
            <w:left w:val="none" w:sz="0" w:space="0" w:color="auto"/>
            <w:bottom w:val="none" w:sz="0" w:space="0" w:color="auto"/>
            <w:right w:val="none" w:sz="0" w:space="0" w:color="auto"/>
          </w:divBdr>
        </w:div>
        <w:div w:id="1419862407">
          <w:marLeft w:val="480"/>
          <w:marRight w:val="0"/>
          <w:marTop w:val="0"/>
          <w:marBottom w:val="0"/>
          <w:divBdr>
            <w:top w:val="none" w:sz="0" w:space="0" w:color="auto"/>
            <w:left w:val="none" w:sz="0" w:space="0" w:color="auto"/>
            <w:bottom w:val="none" w:sz="0" w:space="0" w:color="auto"/>
            <w:right w:val="none" w:sz="0" w:space="0" w:color="auto"/>
          </w:divBdr>
        </w:div>
        <w:div w:id="1582982215">
          <w:marLeft w:val="480"/>
          <w:marRight w:val="0"/>
          <w:marTop w:val="0"/>
          <w:marBottom w:val="0"/>
          <w:divBdr>
            <w:top w:val="none" w:sz="0" w:space="0" w:color="auto"/>
            <w:left w:val="none" w:sz="0" w:space="0" w:color="auto"/>
            <w:bottom w:val="none" w:sz="0" w:space="0" w:color="auto"/>
            <w:right w:val="none" w:sz="0" w:space="0" w:color="auto"/>
          </w:divBdr>
        </w:div>
        <w:div w:id="1649049046">
          <w:marLeft w:val="480"/>
          <w:marRight w:val="0"/>
          <w:marTop w:val="0"/>
          <w:marBottom w:val="0"/>
          <w:divBdr>
            <w:top w:val="none" w:sz="0" w:space="0" w:color="auto"/>
            <w:left w:val="none" w:sz="0" w:space="0" w:color="auto"/>
            <w:bottom w:val="none" w:sz="0" w:space="0" w:color="auto"/>
            <w:right w:val="none" w:sz="0" w:space="0" w:color="auto"/>
          </w:divBdr>
        </w:div>
        <w:div w:id="1610815386">
          <w:marLeft w:val="480"/>
          <w:marRight w:val="0"/>
          <w:marTop w:val="0"/>
          <w:marBottom w:val="0"/>
          <w:divBdr>
            <w:top w:val="none" w:sz="0" w:space="0" w:color="auto"/>
            <w:left w:val="none" w:sz="0" w:space="0" w:color="auto"/>
            <w:bottom w:val="none" w:sz="0" w:space="0" w:color="auto"/>
            <w:right w:val="none" w:sz="0" w:space="0" w:color="auto"/>
          </w:divBdr>
        </w:div>
        <w:div w:id="1570768864">
          <w:marLeft w:val="480"/>
          <w:marRight w:val="0"/>
          <w:marTop w:val="0"/>
          <w:marBottom w:val="0"/>
          <w:divBdr>
            <w:top w:val="none" w:sz="0" w:space="0" w:color="auto"/>
            <w:left w:val="none" w:sz="0" w:space="0" w:color="auto"/>
            <w:bottom w:val="none" w:sz="0" w:space="0" w:color="auto"/>
            <w:right w:val="none" w:sz="0" w:space="0" w:color="auto"/>
          </w:divBdr>
        </w:div>
        <w:div w:id="840392711">
          <w:marLeft w:val="480"/>
          <w:marRight w:val="0"/>
          <w:marTop w:val="0"/>
          <w:marBottom w:val="0"/>
          <w:divBdr>
            <w:top w:val="none" w:sz="0" w:space="0" w:color="auto"/>
            <w:left w:val="none" w:sz="0" w:space="0" w:color="auto"/>
            <w:bottom w:val="none" w:sz="0" w:space="0" w:color="auto"/>
            <w:right w:val="none" w:sz="0" w:space="0" w:color="auto"/>
          </w:divBdr>
        </w:div>
        <w:div w:id="635378678">
          <w:marLeft w:val="480"/>
          <w:marRight w:val="0"/>
          <w:marTop w:val="0"/>
          <w:marBottom w:val="0"/>
          <w:divBdr>
            <w:top w:val="none" w:sz="0" w:space="0" w:color="auto"/>
            <w:left w:val="none" w:sz="0" w:space="0" w:color="auto"/>
            <w:bottom w:val="none" w:sz="0" w:space="0" w:color="auto"/>
            <w:right w:val="none" w:sz="0" w:space="0" w:color="auto"/>
          </w:divBdr>
        </w:div>
        <w:div w:id="337737786">
          <w:marLeft w:val="480"/>
          <w:marRight w:val="0"/>
          <w:marTop w:val="0"/>
          <w:marBottom w:val="0"/>
          <w:divBdr>
            <w:top w:val="none" w:sz="0" w:space="0" w:color="auto"/>
            <w:left w:val="none" w:sz="0" w:space="0" w:color="auto"/>
            <w:bottom w:val="none" w:sz="0" w:space="0" w:color="auto"/>
            <w:right w:val="none" w:sz="0" w:space="0" w:color="auto"/>
          </w:divBdr>
        </w:div>
        <w:div w:id="587423666">
          <w:marLeft w:val="480"/>
          <w:marRight w:val="0"/>
          <w:marTop w:val="0"/>
          <w:marBottom w:val="0"/>
          <w:divBdr>
            <w:top w:val="none" w:sz="0" w:space="0" w:color="auto"/>
            <w:left w:val="none" w:sz="0" w:space="0" w:color="auto"/>
            <w:bottom w:val="none" w:sz="0" w:space="0" w:color="auto"/>
            <w:right w:val="none" w:sz="0" w:space="0" w:color="auto"/>
          </w:divBdr>
        </w:div>
        <w:div w:id="777986206">
          <w:marLeft w:val="480"/>
          <w:marRight w:val="0"/>
          <w:marTop w:val="0"/>
          <w:marBottom w:val="0"/>
          <w:divBdr>
            <w:top w:val="none" w:sz="0" w:space="0" w:color="auto"/>
            <w:left w:val="none" w:sz="0" w:space="0" w:color="auto"/>
            <w:bottom w:val="none" w:sz="0" w:space="0" w:color="auto"/>
            <w:right w:val="none" w:sz="0" w:space="0" w:color="auto"/>
          </w:divBdr>
        </w:div>
        <w:div w:id="610824397">
          <w:marLeft w:val="480"/>
          <w:marRight w:val="0"/>
          <w:marTop w:val="0"/>
          <w:marBottom w:val="0"/>
          <w:divBdr>
            <w:top w:val="none" w:sz="0" w:space="0" w:color="auto"/>
            <w:left w:val="none" w:sz="0" w:space="0" w:color="auto"/>
            <w:bottom w:val="none" w:sz="0" w:space="0" w:color="auto"/>
            <w:right w:val="none" w:sz="0" w:space="0" w:color="auto"/>
          </w:divBdr>
        </w:div>
        <w:div w:id="1337417122">
          <w:marLeft w:val="480"/>
          <w:marRight w:val="0"/>
          <w:marTop w:val="0"/>
          <w:marBottom w:val="0"/>
          <w:divBdr>
            <w:top w:val="none" w:sz="0" w:space="0" w:color="auto"/>
            <w:left w:val="none" w:sz="0" w:space="0" w:color="auto"/>
            <w:bottom w:val="none" w:sz="0" w:space="0" w:color="auto"/>
            <w:right w:val="none" w:sz="0" w:space="0" w:color="auto"/>
          </w:divBdr>
        </w:div>
        <w:div w:id="414597349">
          <w:marLeft w:val="480"/>
          <w:marRight w:val="0"/>
          <w:marTop w:val="0"/>
          <w:marBottom w:val="0"/>
          <w:divBdr>
            <w:top w:val="none" w:sz="0" w:space="0" w:color="auto"/>
            <w:left w:val="none" w:sz="0" w:space="0" w:color="auto"/>
            <w:bottom w:val="none" w:sz="0" w:space="0" w:color="auto"/>
            <w:right w:val="none" w:sz="0" w:space="0" w:color="auto"/>
          </w:divBdr>
        </w:div>
        <w:div w:id="430012147">
          <w:marLeft w:val="480"/>
          <w:marRight w:val="0"/>
          <w:marTop w:val="0"/>
          <w:marBottom w:val="0"/>
          <w:divBdr>
            <w:top w:val="none" w:sz="0" w:space="0" w:color="auto"/>
            <w:left w:val="none" w:sz="0" w:space="0" w:color="auto"/>
            <w:bottom w:val="none" w:sz="0" w:space="0" w:color="auto"/>
            <w:right w:val="none" w:sz="0" w:space="0" w:color="auto"/>
          </w:divBdr>
        </w:div>
        <w:div w:id="983965729">
          <w:marLeft w:val="480"/>
          <w:marRight w:val="0"/>
          <w:marTop w:val="0"/>
          <w:marBottom w:val="0"/>
          <w:divBdr>
            <w:top w:val="none" w:sz="0" w:space="0" w:color="auto"/>
            <w:left w:val="none" w:sz="0" w:space="0" w:color="auto"/>
            <w:bottom w:val="none" w:sz="0" w:space="0" w:color="auto"/>
            <w:right w:val="none" w:sz="0" w:space="0" w:color="auto"/>
          </w:divBdr>
        </w:div>
        <w:div w:id="1114904192">
          <w:marLeft w:val="480"/>
          <w:marRight w:val="0"/>
          <w:marTop w:val="0"/>
          <w:marBottom w:val="0"/>
          <w:divBdr>
            <w:top w:val="none" w:sz="0" w:space="0" w:color="auto"/>
            <w:left w:val="none" w:sz="0" w:space="0" w:color="auto"/>
            <w:bottom w:val="none" w:sz="0" w:space="0" w:color="auto"/>
            <w:right w:val="none" w:sz="0" w:space="0" w:color="auto"/>
          </w:divBdr>
        </w:div>
        <w:div w:id="12074440">
          <w:marLeft w:val="480"/>
          <w:marRight w:val="0"/>
          <w:marTop w:val="0"/>
          <w:marBottom w:val="0"/>
          <w:divBdr>
            <w:top w:val="none" w:sz="0" w:space="0" w:color="auto"/>
            <w:left w:val="none" w:sz="0" w:space="0" w:color="auto"/>
            <w:bottom w:val="none" w:sz="0" w:space="0" w:color="auto"/>
            <w:right w:val="none" w:sz="0" w:space="0" w:color="auto"/>
          </w:divBdr>
        </w:div>
        <w:div w:id="2040423883">
          <w:marLeft w:val="480"/>
          <w:marRight w:val="0"/>
          <w:marTop w:val="0"/>
          <w:marBottom w:val="0"/>
          <w:divBdr>
            <w:top w:val="none" w:sz="0" w:space="0" w:color="auto"/>
            <w:left w:val="none" w:sz="0" w:space="0" w:color="auto"/>
            <w:bottom w:val="none" w:sz="0" w:space="0" w:color="auto"/>
            <w:right w:val="none" w:sz="0" w:space="0" w:color="auto"/>
          </w:divBdr>
        </w:div>
        <w:div w:id="1040400183">
          <w:marLeft w:val="480"/>
          <w:marRight w:val="0"/>
          <w:marTop w:val="0"/>
          <w:marBottom w:val="0"/>
          <w:divBdr>
            <w:top w:val="none" w:sz="0" w:space="0" w:color="auto"/>
            <w:left w:val="none" w:sz="0" w:space="0" w:color="auto"/>
            <w:bottom w:val="none" w:sz="0" w:space="0" w:color="auto"/>
            <w:right w:val="none" w:sz="0" w:space="0" w:color="auto"/>
          </w:divBdr>
        </w:div>
        <w:div w:id="1213464644">
          <w:marLeft w:val="480"/>
          <w:marRight w:val="0"/>
          <w:marTop w:val="0"/>
          <w:marBottom w:val="0"/>
          <w:divBdr>
            <w:top w:val="none" w:sz="0" w:space="0" w:color="auto"/>
            <w:left w:val="none" w:sz="0" w:space="0" w:color="auto"/>
            <w:bottom w:val="none" w:sz="0" w:space="0" w:color="auto"/>
            <w:right w:val="none" w:sz="0" w:space="0" w:color="auto"/>
          </w:divBdr>
        </w:div>
        <w:div w:id="318847397">
          <w:marLeft w:val="480"/>
          <w:marRight w:val="0"/>
          <w:marTop w:val="0"/>
          <w:marBottom w:val="0"/>
          <w:divBdr>
            <w:top w:val="none" w:sz="0" w:space="0" w:color="auto"/>
            <w:left w:val="none" w:sz="0" w:space="0" w:color="auto"/>
            <w:bottom w:val="none" w:sz="0" w:space="0" w:color="auto"/>
            <w:right w:val="none" w:sz="0" w:space="0" w:color="auto"/>
          </w:divBdr>
        </w:div>
        <w:div w:id="687951418">
          <w:marLeft w:val="480"/>
          <w:marRight w:val="0"/>
          <w:marTop w:val="0"/>
          <w:marBottom w:val="0"/>
          <w:divBdr>
            <w:top w:val="none" w:sz="0" w:space="0" w:color="auto"/>
            <w:left w:val="none" w:sz="0" w:space="0" w:color="auto"/>
            <w:bottom w:val="none" w:sz="0" w:space="0" w:color="auto"/>
            <w:right w:val="none" w:sz="0" w:space="0" w:color="auto"/>
          </w:divBdr>
        </w:div>
        <w:div w:id="1304500210">
          <w:marLeft w:val="480"/>
          <w:marRight w:val="0"/>
          <w:marTop w:val="0"/>
          <w:marBottom w:val="0"/>
          <w:divBdr>
            <w:top w:val="none" w:sz="0" w:space="0" w:color="auto"/>
            <w:left w:val="none" w:sz="0" w:space="0" w:color="auto"/>
            <w:bottom w:val="none" w:sz="0" w:space="0" w:color="auto"/>
            <w:right w:val="none" w:sz="0" w:space="0" w:color="auto"/>
          </w:divBdr>
        </w:div>
        <w:div w:id="1797479518">
          <w:marLeft w:val="480"/>
          <w:marRight w:val="0"/>
          <w:marTop w:val="0"/>
          <w:marBottom w:val="0"/>
          <w:divBdr>
            <w:top w:val="none" w:sz="0" w:space="0" w:color="auto"/>
            <w:left w:val="none" w:sz="0" w:space="0" w:color="auto"/>
            <w:bottom w:val="none" w:sz="0" w:space="0" w:color="auto"/>
            <w:right w:val="none" w:sz="0" w:space="0" w:color="auto"/>
          </w:divBdr>
        </w:div>
        <w:div w:id="1835486310">
          <w:marLeft w:val="480"/>
          <w:marRight w:val="0"/>
          <w:marTop w:val="0"/>
          <w:marBottom w:val="0"/>
          <w:divBdr>
            <w:top w:val="none" w:sz="0" w:space="0" w:color="auto"/>
            <w:left w:val="none" w:sz="0" w:space="0" w:color="auto"/>
            <w:bottom w:val="none" w:sz="0" w:space="0" w:color="auto"/>
            <w:right w:val="none" w:sz="0" w:space="0" w:color="auto"/>
          </w:divBdr>
        </w:div>
        <w:div w:id="152991257">
          <w:marLeft w:val="480"/>
          <w:marRight w:val="0"/>
          <w:marTop w:val="0"/>
          <w:marBottom w:val="0"/>
          <w:divBdr>
            <w:top w:val="none" w:sz="0" w:space="0" w:color="auto"/>
            <w:left w:val="none" w:sz="0" w:space="0" w:color="auto"/>
            <w:bottom w:val="none" w:sz="0" w:space="0" w:color="auto"/>
            <w:right w:val="none" w:sz="0" w:space="0" w:color="auto"/>
          </w:divBdr>
        </w:div>
        <w:div w:id="791244223">
          <w:marLeft w:val="480"/>
          <w:marRight w:val="0"/>
          <w:marTop w:val="0"/>
          <w:marBottom w:val="0"/>
          <w:divBdr>
            <w:top w:val="none" w:sz="0" w:space="0" w:color="auto"/>
            <w:left w:val="none" w:sz="0" w:space="0" w:color="auto"/>
            <w:bottom w:val="none" w:sz="0" w:space="0" w:color="auto"/>
            <w:right w:val="none" w:sz="0" w:space="0" w:color="auto"/>
          </w:divBdr>
        </w:div>
        <w:div w:id="5445739">
          <w:marLeft w:val="480"/>
          <w:marRight w:val="0"/>
          <w:marTop w:val="0"/>
          <w:marBottom w:val="0"/>
          <w:divBdr>
            <w:top w:val="none" w:sz="0" w:space="0" w:color="auto"/>
            <w:left w:val="none" w:sz="0" w:space="0" w:color="auto"/>
            <w:bottom w:val="none" w:sz="0" w:space="0" w:color="auto"/>
            <w:right w:val="none" w:sz="0" w:space="0" w:color="auto"/>
          </w:divBdr>
        </w:div>
        <w:div w:id="1172719200">
          <w:marLeft w:val="480"/>
          <w:marRight w:val="0"/>
          <w:marTop w:val="0"/>
          <w:marBottom w:val="0"/>
          <w:divBdr>
            <w:top w:val="none" w:sz="0" w:space="0" w:color="auto"/>
            <w:left w:val="none" w:sz="0" w:space="0" w:color="auto"/>
            <w:bottom w:val="none" w:sz="0" w:space="0" w:color="auto"/>
            <w:right w:val="none" w:sz="0" w:space="0" w:color="auto"/>
          </w:divBdr>
        </w:div>
        <w:div w:id="703673865">
          <w:marLeft w:val="480"/>
          <w:marRight w:val="0"/>
          <w:marTop w:val="0"/>
          <w:marBottom w:val="0"/>
          <w:divBdr>
            <w:top w:val="none" w:sz="0" w:space="0" w:color="auto"/>
            <w:left w:val="none" w:sz="0" w:space="0" w:color="auto"/>
            <w:bottom w:val="none" w:sz="0" w:space="0" w:color="auto"/>
            <w:right w:val="none" w:sz="0" w:space="0" w:color="auto"/>
          </w:divBdr>
        </w:div>
        <w:div w:id="1382485193">
          <w:marLeft w:val="480"/>
          <w:marRight w:val="0"/>
          <w:marTop w:val="0"/>
          <w:marBottom w:val="0"/>
          <w:divBdr>
            <w:top w:val="none" w:sz="0" w:space="0" w:color="auto"/>
            <w:left w:val="none" w:sz="0" w:space="0" w:color="auto"/>
            <w:bottom w:val="none" w:sz="0" w:space="0" w:color="auto"/>
            <w:right w:val="none" w:sz="0" w:space="0" w:color="auto"/>
          </w:divBdr>
        </w:div>
        <w:div w:id="996222512">
          <w:marLeft w:val="480"/>
          <w:marRight w:val="0"/>
          <w:marTop w:val="0"/>
          <w:marBottom w:val="0"/>
          <w:divBdr>
            <w:top w:val="none" w:sz="0" w:space="0" w:color="auto"/>
            <w:left w:val="none" w:sz="0" w:space="0" w:color="auto"/>
            <w:bottom w:val="none" w:sz="0" w:space="0" w:color="auto"/>
            <w:right w:val="none" w:sz="0" w:space="0" w:color="auto"/>
          </w:divBdr>
        </w:div>
        <w:div w:id="1306474276">
          <w:marLeft w:val="480"/>
          <w:marRight w:val="0"/>
          <w:marTop w:val="0"/>
          <w:marBottom w:val="0"/>
          <w:divBdr>
            <w:top w:val="none" w:sz="0" w:space="0" w:color="auto"/>
            <w:left w:val="none" w:sz="0" w:space="0" w:color="auto"/>
            <w:bottom w:val="none" w:sz="0" w:space="0" w:color="auto"/>
            <w:right w:val="none" w:sz="0" w:space="0" w:color="auto"/>
          </w:divBdr>
        </w:div>
        <w:div w:id="861020380">
          <w:marLeft w:val="480"/>
          <w:marRight w:val="0"/>
          <w:marTop w:val="0"/>
          <w:marBottom w:val="0"/>
          <w:divBdr>
            <w:top w:val="none" w:sz="0" w:space="0" w:color="auto"/>
            <w:left w:val="none" w:sz="0" w:space="0" w:color="auto"/>
            <w:bottom w:val="none" w:sz="0" w:space="0" w:color="auto"/>
            <w:right w:val="none" w:sz="0" w:space="0" w:color="auto"/>
          </w:divBdr>
        </w:div>
        <w:div w:id="723287355">
          <w:marLeft w:val="480"/>
          <w:marRight w:val="0"/>
          <w:marTop w:val="0"/>
          <w:marBottom w:val="0"/>
          <w:divBdr>
            <w:top w:val="none" w:sz="0" w:space="0" w:color="auto"/>
            <w:left w:val="none" w:sz="0" w:space="0" w:color="auto"/>
            <w:bottom w:val="none" w:sz="0" w:space="0" w:color="auto"/>
            <w:right w:val="none" w:sz="0" w:space="0" w:color="auto"/>
          </w:divBdr>
        </w:div>
        <w:div w:id="941454126">
          <w:marLeft w:val="480"/>
          <w:marRight w:val="0"/>
          <w:marTop w:val="0"/>
          <w:marBottom w:val="0"/>
          <w:divBdr>
            <w:top w:val="none" w:sz="0" w:space="0" w:color="auto"/>
            <w:left w:val="none" w:sz="0" w:space="0" w:color="auto"/>
            <w:bottom w:val="none" w:sz="0" w:space="0" w:color="auto"/>
            <w:right w:val="none" w:sz="0" w:space="0" w:color="auto"/>
          </w:divBdr>
        </w:div>
        <w:div w:id="66929247">
          <w:marLeft w:val="480"/>
          <w:marRight w:val="0"/>
          <w:marTop w:val="0"/>
          <w:marBottom w:val="0"/>
          <w:divBdr>
            <w:top w:val="none" w:sz="0" w:space="0" w:color="auto"/>
            <w:left w:val="none" w:sz="0" w:space="0" w:color="auto"/>
            <w:bottom w:val="none" w:sz="0" w:space="0" w:color="auto"/>
            <w:right w:val="none" w:sz="0" w:space="0" w:color="auto"/>
          </w:divBdr>
        </w:div>
        <w:div w:id="1158301966">
          <w:marLeft w:val="480"/>
          <w:marRight w:val="0"/>
          <w:marTop w:val="0"/>
          <w:marBottom w:val="0"/>
          <w:divBdr>
            <w:top w:val="none" w:sz="0" w:space="0" w:color="auto"/>
            <w:left w:val="none" w:sz="0" w:space="0" w:color="auto"/>
            <w:bottom w:val="none" w:sz="0" w:space="0" w:color="auto"/>
            <w:right w:val="none" w:sz="0" w:space="0" w:color="auto"/>
          </w:divBdr>
        </w:div>
        <w:div w:id="1747340769">
          <w:marLeft w:val="480"/>
          <w:marRight w:val="0"/>
          <w:marTop w:val="0"/>
          <w:marBottom w:val="0"/>
          <w:divBdr>
            <w:top w:val="none" w:sz="0" w:space="0" w:color="auto"/>
            <w:left w:val="none" w:sz="0" w:space="0" w:color="auto"/>
            <w:bottom w:val="none" w:sz="0" w:space="0" w:color="auto"/>
            <w:right w:val="none" w:sz="0" w:space="0" w:color="auto"/>
          </w:divBdr>
        </w:div>
        <w:div w:id="952319869">
          <w:marLeft w:val="480"/>
          <w:marRight w:val="0"/>
          <w:marTop w:val="0"/>
          <w:marBottom w:val="0"/>
          <w:divBdr>
            <w:top w:val="none" w:sz="0" w:space="0" w:color="auto"/>
            <w:left w:val="none" w:sz="0" w:space="0" w:color="auto"/>
            <w:bottom w:val="none" w:sz="0" w:space="0" w:color="auto"/>
            <w:right w:val="none" w:sz="0" w:space="0" w:color="auto"/>
          </w:divBdr>
        </w:div>
        <w:div w:id="2017884541">
          <w:marLeft w:val="480"/>
          <w:marRight w:val="0"/>
          <w:marTop w:val="0"/>
          <w:marBottom w:val="0"/>
          <w:divBdr>
            <w:top w:val="none" w:sz="0" w:space="0" w:color="auto"/>
            <w:left w:val="none" w:sz="0" w:space="0" w:color="auto"/>
            <w:bottom w:val="none" w:sz="0" w:space="0" w:color="auto"/>
            <w:right w:val="none" w:sz="0" w:space="0" w:color="auto"/>
          </w:divBdr>
        </w:div>
        <w:div w:id="2004895409">
          <w:marLeft w:val="480"/>
          <w:marRight w:val="0"/>
          <w:marTop w:val="0"/>
          <w:marBottom w:val="0"/>
          <w:divBdr>
            <w:top w:val="none" w:sz="0" w:space="0" w:color="auto"/>
            <w:left w:val="none" w:sz="0" w:space="0" w:color="auto"/>
            <w:bottom w:val="none" w:sz="0" w:space="0" w:color="auto"/>
            <w:right w:val="none" w:sz="0" w:space="0" w:color="auto"/>
          </w:divBdr>
        </w:div>
        <w:div w:id="842210996">
          <w:marLeft w:val="480"/>
          <w:marRight w:val="0"/>
          <w:marTop w:val="0"/>
          <w:marBottom w:val="0"/>
          <w:divBdr>
            <w:top w:val="none" w:sz="0" w:space="0" w:color="auto"/>
            <w:left w:val="none" w:sz="0" w:space="0" w:color="auto"/>
            <w:bottom w:val="none" w:sz="0" w:space="0" w:color="auto"/>
            <w:right w:val="none" w:sz="0" w:space="0" w:color="auto"/>
          </w:divBdr>
        </w:div>
        <w:div w:id="1094589493">
          <w:marLeft w:val="480"/>
          <w:marRight w:val="0"/>
          <w:marTop w:val="0"/>
          <w:marBottom w:val="0"/>
          <w:divBdr>
            <w:top w:val="none" w:sz="0" w:space="0" w:color="auto"/>
            <w:left w:val="none" w:sz="0" w:space="0" w:color="auto"/>
            <w:bottom w:val="none" w:sz="0" w:space="0" w:color="auto"/>
            <w:right w:val="none" w:sz="0" w:space="0" w:color="auto"/>
          </w:divBdr>
        </w:div>
        <w:div w:id="400980591">
          <w:marLeft w:val="480"/>
          <w:marRight w:val="0"/>
          <w:marTop w:val="0"/>
          <w:marBottom w:val="0"/>
          <w:divBdr>
            <w:top w:val="none" w:sz="0" w:space="0" w:color="auto"/>
            <w:left w:val="none" w:sz="0" w:space="0" w:color="auto"/>
            <w:bottom w:val="none" w:sz="0" w:space="0" w:color="auto"/>
            <w:right w:val="none" w:sz="0" w:space="0" w:color="auto"/>
          </w:divBdr>
        </w:div>
        <w:div w:id="1827623421">
          <w:marLeft w:val="480"/>
          <w:marRight w:val="0"/>
          <w:marTop w:val="0"/>
          <w:marBottom w:val="0"/>
          <w:divBdr>
            <w:top w:val="none" w:sz="0" w:space="0" w:color="auto"/>
            <w:left w:val="none" w:sz="0" w:space="0" w:color="auto"/>
            <w:bottom w:val="none" w:sz="0" w:space="0" w:color="auto"/>
            <w:right w:val="none" w:sz="0" w:space="0" w:color="auto"/>
          </w:divBdr>
        </w:div>
        <w:div w:id="1962223688">
          <w:marLeft w:val="480"/>
          <w:marRight w:val="0"/>
          <w:marTop w:val="0"/>
          <w:marBottom w:val="0"/>
          <w:divBdr>
            <w:top w:val="none" w:sz="0" w:space="0" w:color="auto"/>
            <w:left w:val="none" w:sz="0" w:space="0" w:color="auto"/>
            <w:bottom w:val="none" w:sz="0" w:space="0" w:color="auto"/>
            <w:right w:val="none" w:sz="0" w:space="0" w:color="auto"/>
          </w:divBdr>
        </w:div>
        <w:div w:id="165369884">
          <w:marLeft w:val="480"/>
          <w:marRight w:val="0"/>
          <w:marTop w:val="0"/>
          <w:marBottom w:val="0"/>
          <w:divBdr>
            <w:top w:val="none" w:sz="0" w:space="0" w:color="auto"/>
            <w:left w:val="none" w:sz="0" w:space="0" w:color="auto"/>
            <w:bottom w:val="none" w:sz="0" w:space="0" w:color="auto"/>
            <w:right w:val="none" w:sz="0" w:space="0" w:color="auto"/>
          </w:divBdr>
        </w:div>
        <w:div w:id="1283683651">
          <w:marLeft w:val="480"/>
          <w:marRight w:val="0"/>
          <w:marTop w:val="0"/>
          <w:marBottom w:val="0"/>
          <w:divBdr>
            <w:top w:val="none" w:sz="0" w:space="0" w:color="auto"/>
            <w:left w:val="none" w:sz="0" w:space="0" w:color="auto"/>
            <w:bottom w:val="none" w:sz="0" w:space="0" w:color="auto"/>
            <w:right w:val="none" w:sz="0" w:space="0" w:color="auto"/>
          </w:divBdr>
        </w:div>
        <w:div w:id="130753683">
          <w:marLeft w:val="480"/>
          <w:marRight w:val="0"/>
          <w:marTop w:val="0"/>
          <w:marBottom w:val="0"/>
          <w:divBdr>
            <w:top w:val="none" w:sz="0" w:space="0" w:color="auto"/>
            <w:left w:val="none" w:sz="0" w:space="0" w:color="auto"/>
            <w:bottom w:val="none" w:sz="0" w:space="0" w:color="auto"/>
            <w:right w:val="none" w:sz="0" w:space="0" w:color="auto"/>
          </w:divBdr>
        </w:div>
        <w:div w:id="1628312895">
          <w:marLeft w:val="480"/>
          <w:marRight w:val="0"/>
          <w:marTop w:val="0"/>
          <w:marBottom w:val="0"/>
          <w:divBdr>
            <w:top w:val="none" w:sz="0" w:space="0" w:color="auto"/>
            <w:left w:val="none" w:sz="0" w:space="0" w:color="auto"/>
            <w:bottom w:val="none" w:sz="0" w:space="0" w:color="auto"/>
            <w:right w:val="none" w:sz="0" w:space="0" w:color="auto"/>
          </w:divBdr>
        </w:div>
        <w:div w:id="802499495">
          <w:marLeft w:val="480"/>
          <w:marRight w:val="0"/>
          <w:marTop w:val="0"/>
          <w:marBottom w:val="0"/>
          <w:divBdr>
            <w:top w:val="none" w:sz="0" w:space="0" w:color="auto"/>
            <w:left w:val="none" w:sz="0" w:space="0" w:color="auto"/>
            <w:bottom w:val="none" w:sz="0" w:space="0" w:color="auto"/>
            <w:right w:val="none" w:sz="0" w:space="0" w:color="auto"/>
          </w:divBdr>
        </w:div>
        <w:div w:id="1703283846">
          <w:marLeft w:val="480"/>
          <w:marRight w:val="0"/>
          <w:marTop w:val="0"/>
          <w:marBottom w:val="0"/>
          <w:divBdr>
            <w:top w:val="none" w:sz="0" w:space="0" w:color="auto"/>
            <w:left w:val="none" w:sz="0" w:space="0" w:color="auto"/>
            <w:bottom w:val="none" w:sz="0" w:space="0" w:color="auto"/>
            <w:right w:val="none" w:sz="0" w:space="0" w:color="auto"/>
          </w:divBdr>
        </w:div>
        <w:div w:id="920337579">
          <w:marLeft w:val="480"/>
          <w:marRight w:val="0"/>
          <w:marTop w:val="0"/>
          <w:marBottom w:val="0"/>
          <w:divBdr>
            <w:top w:val="none" w:sz="0" w:space="0" w:color="auto"/>
            <w:left w:val="none" w:sz="0" w:space="0" w:color="auto"/>
            <w:bottom w:val="none" w:sz="0" w:space="0" w:color="auto"/>
            <w:right w:val="none" w:sz="0" w:space="0" w:color="auto"/>
          </w:divBdr>
        </w:div>
        <w:div w:id="478111722">
          <w:marLeft w:val="480"/>
          <w:marRight w:val="0"/>
          <w:marTop w:val="0"/>
          <w:marBottom w:val="0"/>
          <w:divBdr>
            <w:top w:val="none" w:sz="0" w:space="0" w:color="auto"/>
            <w:left w:val="none" w:sz="0" w:space="0" w:color="auto"/>
            <w:bottom w:val="none" w:sz="0" w:space="0" w:color="auto"/>
            <w:right w:val="none" w:sz="0" w:space="0" w:color="auto"/>
          </w:divBdr>
        </w:div>
        <w:div w:id="1754744970">
          <w:marLeft w:val="480"/>
          <w:marRight w:val="0"/>
          <w:marTop w:val="0"/>
          <w:marBottom w:val="0"/>
          <w:divBdr>
            <w:top w:val="none" w:sz="0" w:space="0" w:color="auto"/>
            <w:left w:val="none" w:sz="0" w:space="0" w:color="auto"/>
            <w:bottom w:val="none" w:sz="0" w:space="0" w:color="auto"/>
            <w:right w:val="none" w:sz="0" w:space="0" w:color="auto"/>
          </w:divBdr>
        </w:div>
        <w:div w:id="1311861763">
          <w:marLeft w:val="480"/>
          <w:marRight w:val="0"/>
          <w:marTop w:val="0"/>
          <w:marBottom w:val="0"/>
          <w:divBdr>
            <w:top w:val="none" w:sz="0" w:space="0" w:color="auto"/>
            <w:left w:val="none" w:sz="0" w:space="0" w:color="auto"/>
            <w:bottom w:val="none" w:sz="0" w:space="0" w:color="auto"/>
            <w:right w:val="none" w:sz="0" w:space="0" w:color="auto"/>
          </w:divBdr>
        </w:div>
        <w:div w:id="382337340">
          <w:marLeft w:val="480"/>
          <w:marRight w:val="0"/>
          <w:marTop w:val="0"/>
          <w:marBottom w:val="0"/>
          <w:divBdr>
            <w:top w:val="none" w:sz="0" w:space="0" w:color="auto"/>
            <w:left w:val="none" w:sz="0" w:space="0" w:color="auto"/>
            <w:bottom w:val="none" w:sz="0" w:space="0" w:color="auto"/>
            <w:right w:val="none" w:sz="0" w:space="0" w:color="auto"/>
          </w:divBdr>
        </w:div>
        <w:div w:id="709495839">
          <w:marLeft w:val="480"/>
          <w:marRight w:val="0"/>
          <w:marTop w:val="0"/>
          <w:marBottom w:val="0"/>
          <w:divBdr>
            <w:top w:val="none" w:sz="0" w:space="0" w:color="auto"/>
            <w:left w:val="none" w:sz="0" w:space="0" w:color="auto"/>
            <w:bottom w:val="none" w:sz="0" w:space="0" w:color="auto"/>
            <w:right w:val="none" w:sz="0" w:space="0" w:color="auto"/>
          </w:divBdr>
        </w:div>
        <w:div w:id="1114322285">
          <w:marLeft w:val="480"/>
          <w:marRight w:val="0"/>
          <w:marTop w:val="0"/>
          <w:marBottom w:val="0"/>
          <w:divBdr>
            <w:top w:val="none" w:sz="0" w:space="0" w:color="auto"/>
            <w:left w:val="none" w:sz="0" w:space="0" w:color="auto"/>
            <w:bottom w:val="none" w:sz="0" w:space="0" w:color="auto"/>
            <w:right w:val="none" w:sz="0" w:space="0" w:color="auto"/>
          </w:divBdr>
        </w:div>
        <w:div w:id="1415399112">
          <w:marLeft w:val="480"/>
          <w:marRight w:val="0"/>
          <w:marTop w:val="0"/>
          <w:marBottom w:val="0"/>
          <w:divBdr>
            <w:top w:val="none" w:sz="0" w:space="0" w:color="auto"/>
            <w:left w:val="none" w:sz="0" w:space="0" w:color="auto"/>
            <w:bottom w:val="none" w:sz="0" w:space="0" w:color="auto"/>
            <w:right w:val="none" w:sz="0" w:space="0" w:color="auto"/>
          </w:divBdr>
        </w:div>
        <w:div w:id="1920091903">
          <w:marLeft w:val="480"/>
          <w:marRight w:val="0"/>
          <w:marTop w:val="0"/>
          <w:marBottom w:val="0"/>
          <w:divBdr>
            <w:top w:val="none" w:sz="0" w:space="0" w:color="auto"/>
            <w:left w:val="none" w:sz="0" w:space="0" w:color="auto"/>
            <w:bottom w:val="none" w:sz="0" w:space="0" w:color="auto"/>
            <w:right w:val="none" w:sz="0" w:space="0" w:color="auto"/>
          </w:divBdr>
        </w:div>
        <w:div w:id="918443979">
          <w:marLeft w:val="480"/>
          <w:marRight w:val="0"/>
          <w:marTop w:val="0"/>
          <w:marBottom w:val="0"/>
          <w:divBdr>
            <w:top w:val="none" w:sz="0" w:space="0" w:color="auto"/>
            <w:left w:val="none" w:sz="0" w:space="0" w:color="auto"/>
            <w:bottom w:val="none" w:sz="0" w:space="0" w:color="auto"/>
            <w:right w:val="none" w:sz="0" w:space="0" w:color="auto"/>
          </w:divBdr>
        </w:div>
        <w:div w:id="2131166614">
          <w:marLeft w:val="480"/>
          <w:marRight w:val="0"/>
          <w:marTop w:val="0"/>
          <w:marBottom w:val="0"/>
          <w:divBdr>
            <w:top w:val="none" w:sz="0" w:space="0" w:color="auto"/>
            <w:left w:val="none" w:sz="0" w:space="0" w:color="auto"/>
            <w:bottom w:val="none" w:sz="0" w:space="0" w:color="auto"/>
            <w:right w:val="none" w:sz="0" w:space="0" w:color="auto"/>
          </w:divBdr>
        </w:div>
        <w:div w:id="770322163">
          <w:marLeft w:val="480"/>
          <w:marRight w:val="0"/>
          <w:marTop w:val="0"/>
          <w:marBottom w:val="0"/>
          <w:divBdr>
            <w:top w:val="none" w:sz="0" w:space="0" w:color="auto"/>
            <w:left w:val="none" w:sz="0" w:space="0" w:color="auto"/>
            <w:bottom w:val="none" w:sz="0" w:space="0" w:color="auto"/>
            <w:right w:val="none" w:sz="0" w:space="0" w:color="auto"/>
          </w:divBdr>
        </w:div>
        <w:div w:id="1821845876">
          <w:marLeft w:val="480"/>
          <w:marRight w:val="0"/>
          <w:marTop w:val="0"/>
          <w:marBottom w:val="0"/>
          <w:divBdr>
            <w:top w:val="none" w:sz="0" w:space="0" w:color="auto"/>
            <w:left w:val="none" w:sz="0" w:space="0" w:color="auto"/>
            <w:bottom w:val="none" w:sz="0" w:space="0" w:color="auto"/>
            <w:right w:val="none" w:sz="0" w:space="0" w:color="auto"/>
          </w:divBdr>
        </w:div>
        <w:div w:id="1123770957">
          <w:marLeft w:val="480"/>
          <w:marRight w:val="0"/>
          <w:marTop w:val="0"/>
          <w:marBottom w:val="0"/>
          <w:divBdr>
            <w:top w:val="none" w:sz="0" w:space="0" w:color="auto"/>
            <w:left w:val="none" w:sz="0" w:space="0" w:color="auto"/>
            <w:bottom w:val="none" w:sz="0" w:space="0" w:color="auto"/>
            <w:right w:val="none" w:sz="0" w:space="0" w:color="auto"/>
          </w:divBdr>
        </w:div>
        <w:div w:id="242178234">
          <w:marLeft w:val="480"/>
          <w:marRight w:val="0"/>
          <w:marTop w:val="0"/>
          <w:marBottom w:val="0"/>
          <w:divBdr>
            <w:top w:val="none" w:sz="0" w:space="0" w:color="auto"/>
            <w:left w:val="none" w:sz="0" w:space="0" w:color="auto"/>
            <w:bottom w:val="none" w:sz="0" w:space="0" w:color="auto"/>
            <w:right w:val="none" w:sz="0" w:space="0" w:color="auto"/>
          </w:divBdr>
        </w:div>
        <w:div w:id="506142519">
          <w:marLeft w:val="480"/>
          <w:marRight w:val="0"/>
          <w:marTop w:val="0"/>
          <w:marBottom w:val="0"/>
          <w:divBdr>
            <w:top w:val="none" w:sz="0" w:space="0" w:color="auto"/>
            <w:left w:val="none" w:sz="0" w:space="0" w:color="auto"/>
            <w:bottom w:val="none" w:sz="0" w:space="0" w:color="auto"/>
            <w:right w:val="none" w:sz="0" w:space="0" w:color="auto"/>
          </w:divBdr>
        </w:div>
        <w:div w:id="322854663">
          <w:marLeft w:val="480"/>
          <w:marRight w:val="0"/>
          <w:marTop w:val="0"/>
          <w:marBottom w:val="0"/>
          <w:divBdr>
            <w:top w:val="none" w:sz="0" w:space="0" w:color="auto"/>
            <w:left w:val="none" w:sz="0" w:space="0" w:color="auto"/>
            <w:bottom w:val="none" w:sz="0" w:space="0" w:color="auto"/>
            <w:right w:val="none" w:sz="0" w:space="0" w:color="auto"/>
          </w:divBdr>
        </w:div>
        <w:div w:id="1366296394">
          <w:marLeft w:val="480"/>
          <w:marRight w:val="0"/>
          <w:marTop w:val="0"/>
          <w:marBottom w:val="0"/>
          <w:divBdr>
            <w:top w:val="none" w:sz="0" w:space="0" w:color="auto"/>
            <w:left w:val="none" w:sz="0" w:space="0" w:color="auto"/>
            <w:bottom w:val="none" w:sz="0" w:space="0" w:color="auto"/>
            <w:right w:val="none" w:sz="0" w:space="0" w:color="auto"/>
          </w:divBdr>
        </w:div>
        <w:div w:id="1271814273">
          <w:marLeft w:val="480"/>
          <w:marRight w:val="0"/>
          <w:marTop w:val="0"/>
          <w:marBottom w:val="0"/>
          <w:divBdr>
            <w:top w:val="none" w:sz="0" w:space="0" w:color="auto"/>
            <w:left w:val="none" w:sz="0" w:space="0" w:color="auto"/>
            <w:bottom w:val="none" w:sz="0" w:space="0" w:color="auto"/>
            <w:right w:val="none" w:sz="0" w:space="0" w:color="auto"/>
          </w:divBdr>
        </w:div>
        <w:div w:id="474878992">
          <w:marLeft w:val="480"/>
          <w:marRight w:val="0"/>
          <w:marTop w:val="0"/>
          <w:marBottom w:val="0"/>
          <w:divBdr>
            <w:top w:val="none" w:sz="0" w:space="0" w:color="auto"/>
            <w:left w:val="none" w:sz="0" w:space="0" w:color="auto"/>
            <w:bottom w:val="none" w:sz="0" w:space="0" w:color="auto"/>
            <w:right w:val="none" w:sz="0" w:space="0" w:color="auto"/>
          </w:divBdr>
        </w:div>
        <w:div w:id="2100446866">
          <w:marLeft w:val="480"/>
          <w:marRight w:val="0"/>
          <w:marTop w:val="0"/>
          <w:marBottom w:val="0"/>
          <w:divBdr>
            <w:top w:val="none" w:sz="0" w:space="0" w:color="auto"/>
            <w:left w:val="none" w:sz="0" w:space="0" w:color="auto"/>
            <w:bottom w:val="none" w:sz="0" w:space="0" w:color="auto"/>
            <w:right w:val="none" w:sz="0" w:space="0" w:color="auto"/>
          </w:divBdr>
        </w:div>
        <w:div w:id="635182916">
          <w:marLeft w:val="480"/>
          <w:marRight w:val="0"/>
          <w:marTop w:val="0"/>
          <w:marBottom w:val="0"/>
          <w:divBdr>
            <w:top w:val="none" w:sz="0" w:space="0" w:color="auto"/>
            <w:left w:val="none" w:sz="0" w:space="0" w:color="auto"/>
            <w:bottom w:val="none" w:sz="0" w:space="0" w:color="auto"/>
            <w:right w:val="none" w:sz="0" w:space="0" w:color="auto"/>
          </w:divBdr>
        </w:div>
        <w:div w:id="1432318741">
          <w:marLeft w:val="480"/>
          <w:marRight w:val="0"/>
          <w:marTop w:val="0"/>
          <w:marBottom w:val="0"/>
          <w:divBdr>
            <w:top w:val="none" w:sz="0" w:space="0" w:color="auto"/>
            <w:left w:val="none" w:sz="0" w:space="0" w:color="auto"/>
            <w:bottom w:val="none" w:sz="0" w:space="0" w:color="auto"/>
            <w:right w:val="none" w:sz="0" w:space="0" w:color="auto"/>
          </w:divBdr>
        </w:div>
        <w:div w:id="1479688846">
          <w:marLeft w:val="480"/>
          <w:marRight w:val="0"/>
          <w:marTop w:val="0"/>
          <w:marBottom w:val="0"/>
          <w:divBdr>
            <w:top w:val="none" w:sz="0" w:space="0" w:color="auto"/>
            <w:left w:val="none" w:sz="0" w:space="0" w:color="auto"/>
            <w:bottom w:val="none" w:sz="0" w:space="0" w:color="auto"/>
            <w:right w:val="none" w:sz="0" w:space="0" w:color="auto"/>
          </w:divBdr>
        </w:div>
        <w:div w:id="1438675164">
          <w:marLeft w:val="480"/>
          <w:marRight w:val="0"/>
          <w:marTop w:val="0"/>
          <w:marBottom w:val="0"/>
          <w:divBdr>
            <w:top w:val="none" w:sz="0" w:space="0" w:color="auto"/>
            <w:left w:val="none" w:sz="0" w:space="0" w:color="auto"/>
            <w:bottom w:val="none" w:sz="0" w:space="0" w:color="auto"/>
            <w:right w:val="none" w:sz="0" w:space="0" w:color="auto"/>
          </w:divBdr>
        </w:div>
        <w:div w:id="440074633">
          <w:marLeft w:val="480"/>
          <w:marRight w:val="0"/>
          <w:marTop w:val="0"/>
          <w:marBottom w:val="0"/>
          <w:divBdr>
            <w:top w:val="none" w:sz="0" w:space="0" w:color="auto"/>
            <w:left w:val="none" w:sz="0" w:space="0" w:color="auto"/>
            <w:bottom w:val="none" w:sz="0" w:space="0" w:color="auto"/>
            <w:right w:val="none" w:sz="0" w:space="0" w:color="auto"/>
          </w:divBdr>
        </w:div>
        <w:div w:id="1179194826">
          <w:marLeft w:val="480"/>
          <w:marRight w:val="0"/>
          <w:marTop w:val="0"/>
          <w:marBottom w:val="0"/>
          <w:divBdr>
            <w:top w:val="none" w:sz="0" w:space="0" w:color="auto"/>
            <w:left w:val="none" w:sz="0" w:space="0" w:color="auto"/>
            <w:bottom w:val="none" w:sz="0" w:space="0" w:color="auto"/>
            <w:right w:val="none" w:sz="0" w:space="0" w:color="auto"/>
          </w:divBdr>
        </w:div>
        <w:div w:id="1430930464">
          <w:marLeft w:val="480"/>
          <w:marRight w:val="0"/>
          <w:marTop w:val="0"/>
          <w:marBottom w:val="0"/>
          <w:divBdr>
            <w:top w:val="none" w:sz="0" w:space="0" w:color="auto"/>
            <w:left w:val="none" w:sz="0" w:space="0" w:color="auto"/>
            <w:bottom w:val="none" w:sz="0" w:space="0" w:color="auto"/>
            <w:right w:val="none" w:sz="0" w:space="0" w:color="auto"/>
          </w:divBdr>
        </w:div>
        <w:div w:id="2051105912">
          <w:marLeft w:val="480"/>
          <w:marRight w:val="0"/>
          <w:marTop w:val="0"/>
          <w:marBottom w:val="0"/>
          <w:divBdr>
            <w:top w:val="none" w:sz="0" w:space="0" w:color="auto"/>
            <w:left w:val="none" w:sz="0" w:space="0" w:color="auto"/>
            <w:bottom w:val="none" w:sz="0" w:space="0" w:color="auto"/>
            <w:right w:val="none" w:sz="0" w:space="0" w:color="auto"/>
          </w:divBdr>
        </w:div>
        <w:div w:id="1619027836">
          <w:marLeft w:val="480"/>
          <w:marRight w:val="0"/>
          <w:marTop w:val="0"/>
          <w:marBottom w:val="0"/>
          <w:divBdr>
            <w:top w:val="none" w:sz="0" w:space="0" w:color="auto"/>
            <w:left w:val="none" w:sz="0" w:space="0" w:color="auto"/>
            <w:bottom w:val="none" w:sz="0" w:space="0" w:color="auto"/>
            <w:right w:val="none" w:sz="0" w:space="0" w:color="auto"/>
          </w:divBdr>
        </w:div>
        <w:div w:id="1296137909">
          <w:marLeft w:val="480"/>
          <w:marRight w:val="0"/>
          <w:marTop w:val="0"/>
          <w:marBottom w:val="0"/>
          <w:divBdr>
            <w:top w:val="none" w:sz="0" w:space="0" w:color="auto"/>
            <w:left w:val="none" w:sz="0" w:space="0" w:color="auto"/>
            <w:bottom w:val="none" w:sz="0" w:space="0" w:color="auto"/>
            <w:right w:val="none" w:sz="0" w:space="0" w:color="auto"/>
          </w:divBdr>
        </w:div>
        <w:div w:id="1964069008">
          <w:marLeft w:val="480"/>
          <w:marRight w:val="0"/>
          <w:marTop w:val="0"/>
          <w:marBottom w:val="0"/>
          <w:divBdr>
            <w:top w:val="none" w:sz="0" w:space="0" w:color="auto"/>
            <w:left w:val="none" w:sz="0" w:space="0" w:color="auto"/>
            <w:bottom w:val="none" w:sz="0" w:space="0" w:color="auto"/>
            <w:right w:val="none" w:sz="0" w:space="0" w:color="auto"/>
          </w:divBdr>
        </w:div>
        <w:div w:id="1405643179">
          <w:marLeft w:val="480"/>
          <w:marRight w:val="0"/>
          <w:marTop w:val="0"/>
          <w:marBottom w:val="0"/>
          <w:divBdr>
            <w:top w:val="none" w:sz="0" w:space="0" w:color="auto"/>
            <w:left w:val="none" w:sz="0" w:space="0" w:color="auto"/>
            <w:bottom w:val="none" w:sz="0" w:space="0" w:color="auto"/>
            <w:right w:val="none" w:sz="0" w:space="0" w:color="auto"/>
          </w:divBdr>
        </w:div>
        <w:div w:id="1433436092">
          <w:marLeft w:val="480"/>
          <w:marRight w:val="0"/>
          <w:marTop w:val="0"/>
          <w:marBottom w:val="0"/>
          <w:divBdr>
            <w:top w:val="none" w:sz="0" w:space="0" w:color="auto"/>
            <w:left w:val="none" w:sz="0" w:space="0" w:color="auto"/>
            <w:bottom w:val="none" w:sz="0" w:space="0" w:color="auto"/>
            <w:right w:val="none" w:sz="0" w:space="0" w:color="auto"/>
          </w:divBdr>
        </w:div>
        <w:div w:id="815603941">
          <w:marLeft w:val="480"/>
          <w:marRight w:val="0"/>
          <w:marTop w:val="0"/>
          <w:marBottom w:val="0"/>
          <w:divBdr>
            <w:top w:val="none" w:sz="0" w:space="0" w:color="auto"/>
            <w:left w:val="none" w:sz="0" w:space="0" w:color="auto"/>
            <w:bottom w:val="none" w:sz="0" w:space="0" w:color="auto"/>
            <w:right w:val="none" w:sz="0" w:space="0" w:color="auto"/>
          </w:divBdr>
        </w:div>
        <w:div w:id="34695043">
          <w:marLeft w:val="480"/>
          <w:marRight w:val="0"/>
          <w:marTop w:val="0"/>
          <w:marBottom w:val="0"/>
          <w:divBdr>
            <w:top w:val="none" w:sz="0" w:space="0" w:color="auto"/>
            <w:left w:val="none" w:sz="0" w:space="0" w:color="auto"/>
            <w:bottom w:val="none" w:sz="0" w:space="0" w:color="auto"/>
            <w:right w:val="none" w:sz="0" w:space="0" w:color="auto"/>
          </w:divBdr>
        </w:div>
        <w:div w:id="1327631604">
          <w:marLeft w:val="480"/>
          <w:marRight w:val="0"/>
          <w:marTop w:val="0"/>
          <w:marBottom w:val="0"/>
          <w:divBdr>
            <w:top w:val="none" w:sz="0" w:space="0" w:color="auto"/>
            <w:left w:val="none" w:sz="0" w:space="0" w:color="auto"/>
            <w:bottom w:val="none" w:sz="0" w:space="0" w:color="auto"/>
            <w:right w:val="none" w:sz="0" w:space="0" w:color="auto"/>
          </w:divBdr>
        </w:div>
        <w:div w:id="1293560358">
          <w:marLeft w:val="480"/>
          <w:marRight w:val="0"/>
          <w:marTop w:val="0"/>
          <w:marBottom w:val="0"/>
          <w:divBdr>
            <w:top w:val="none" w:sz="0" w:space="0" w:color="auto"/>
            <w:left w:val="none" w:sz="0" w:space="0" w:color="auto"/>
            <w:bottom w:val="none" w:sz="0" w:space="0" w:color="auto"/>
            <w:right w:val="none" w:sz="0" w:space="0" w:color="auto"/>
          </w:divBdr>
        </w:div>
        <w:div w:id="584806245">
          <w:marLeft w:val="480"/>
          <w:marRight w:val="0"/>
          <w:marTop w:val="0"/>
          <w:marBottom w:val="0"/>
          <w:divBdr>
            <w:top w:val="none" w:sz="0" w:space="0" w:color="auto"/>
            <w:left w:val="none" w:sz="0" w:space="0" w:color="auto"/>
            <w:bottom w:val="none" w:sz="0" w:space="0" w:color="auto"/>
            <w:right w:val="none" w:sz="0" w:space="0" w:color="auto"/>
          </w:divBdr>
        </w:div>
        <w:div w:id="117452867">
          <w:marLeft w:val="480"/>
          <w:marRight w:val="0"/>
          <w:marTop w:val="0"/>
          <w:marBottom w:val="0"/>
          <w:divBdr>
            <w:top w:val="none" w:sz="0" w:space="0" w:color="auto"/>
            <w:left w:val="none" w:sz="0" w:space="0" w:color="auto"/>
            <w:bottom w:val="none" w:sz="0" w:space="0" w:color="auto"/>
            <w:right w:val="none" w:sz="0" w:space="0" w:color="auto"/>
          </w:divBdr>
        </w:div>
        <w:div w:id="1617325989">
          <w:marLeft w:val="480"/>
          <w:marRight w:val="0"/>
          <w:marTop w:val="0"/>
          <w:marBottom w:val="0"/>
          <w:divBdr>
            <w:top w:val="none" w:sz="0" w:space="0" w:color="auto"/>
            <w:left w:val="none" w:sz="0" w:space="0" w:color="auto"/>
            <w:bottom w:val="none" w:sz="0" w:space="0" w:color="auto"/>
            <w:right w:val="none" w:sz="0" w:space="0" w:color="auto"/>
          </w:divBdr>
        </w:div>
        <w:div w:id="1528448470">
          <w:marLeft w:val="480"/>
          <w:marRight w:val="0"/>
          <w:marTop w:val="0"/>
          <w:marBottom w:val="0"/>
          <w:divBdr>
            <w:top w:val="none" w:sz="0" w:space="0" w:color="auto"/>
            <w:left w:val="none" w:sz="0" w:space="0" w:color="auto"/>
            <w:bottom w:val="none" w:sz="0" w:space="0" w:color="auto"/>
            <w:right w:val="none" w:sz="0" w:space="0" w:color="auto"/>
          </w:divBdr>
        </w:div>
        <w:div w:id="1346519956">
          <w:marLeft w:val="480"/>
          <w:marRight w:val="0"/>
          <w:marTop w:val="0"/>
          <w:marBottom w:val="0"/>
          <w:divBdr>
            <w:top w:val="none" w:sz="0" w:space="0" w:color="auto"/>
            <w:left w:val="none" w:sz="0" w:space="0" w:color="auto"/>
            <w:bottom w:val="none" w:sz="0" w:space="0" w:color="auto"/>
            <w:right w:val="none" w:sz="0" w:space="0" w:color="auto"/>
          </w:divBdr>
        </w:div>
        <w:div w:id="1146166350">
          <w:marLeft w:val="480"/>
          <w:marRight w:val="0"/>
          <w:marTop w:val="0"/>
          <w:marBottom w:val="0"/>
          <w:divBdr>
            <w:top w:val="none" w:sz="0" w:space="0" w:color="auto"/>
            <w:left w:val="none" w:sz="0" w:space="0" w:color="auto"/>
            <w:bottom w:val="none" w:sz="0" w:space="0" w:color="auto"/>
            <w:right w:val="none" w:sz="0" w:space="0" w:color="auto"/>
          </w:divBdr>
        </w:div>
        <w:div w:id="1731492728">
          <w:marLeft w:val="480"/>
          <w:marRight w:val="0"/>
          <w:marTop w:val="0"/>
          <w:marBottom w:val="0"/>
          <w:divBdr>
            <w:top w:val="none" w:sz="0" w:space="0" w:color="auto"/>
            <w:left w:val="none" w:sz="0" w:space="0" w:color="auto"/>
            <w:bottom w:val="none" w:sz="0" w:space="0" w:color="auto"/>
            <w:right w:val="none" w:sz="0" w:space="0" w:color="auto"/>
          </w:divBdr>
        </w:div>
        <w:div w:id="873734065">
          <w:marLeft w:val="480"/>
          <w:marRight w:val="0"/>
          <w:marTop w:val="0"/>
          <w:marBottom w:val="0"/>
          <w:divBdr>
            <w:top w:val="none" w:sz="0" w:space="0" w:color="auto"/>
            <w:left w:val="none" w:sz="0" w:space="0" w:color="auto"/>
            <w:bottom w:val="none" w:sz="0" w:space="0" w:color="auto"/>
            <w:right w:val="none" w:sz="0" w:space="0" w:color="auto"/>
          </w:divBdr>
        </w:div>
        <w:div w:id="379940271">
          <w:marLeft w:val="480"/>
          <w:marRight w:val="0"/>
          <w:marTop w:val="0"/>
          <w:marBottom w:val="0"/>
          <w:divBdr>
            <w:top w:val="none" w:sz="0" w:space="0" w:color="auto"/>
            <w:left w:val="none" w:sz="0" w:space="0" w:color="auto"/>
            <w:bottom w:val="none" w:sz="0" w:space="0" w:color="auto"/>
            <w:right w:val="none" w:sz="0" w:space="0" w:color="auto"/>
          </w:divBdr>
        </w:div>
        <w:div w:id="884678844">
          <w:marLeft w:val="480"/>
          <w:marRight w:val="0"/>
          <w:marTop w:val="0"/>
          <w:marBottom w:val="0"/>
          <w:divBdr>
            <w:top w:val="none" w:sz="0" w:space="0" w:color="auto"/>
            <w:left w:val="none" w:sz="0" w:space="0" w:color="auto"/>
            <w:bottom w:val="none" w:sz="0" w:space="0" w:color="auto"/>
            <w:right w:val="none" w:sz="0" w:space="0" w:color="auto"/>
          </w:divBdr>
        </w:div>
        <w:div w:id="1863860325">
          <w:marLeft w:val="480"/>
          <w:marRight w:val="0"/>
          <w:marTop w:val="0"/>
          <w:marBottom w:val="0"/>
          <w:divBdr>
            <w:top w:val="none" w:sz="0" w:space="0" w:color="auto"/>
            <w:left w:val="none" w:sz="0" w:space="0" w:color="auto"/>
            <w:bottom w:val="none" w:sz="0" w:space="0" w:color="auto"/>
            <w:right w:val="none" w:sz="0" w:space="0" w:color="auto"/>
          </w:divBdr>
        </w:div>
        <w:div w:id="21131904">
          <w:marLeft w:val="480"/>
          <w:marRight w:val="0"/>
          <w:marTop w:val="0"/>
          <w:marBottom w:val="0"/>
          <w:divBdr>
            <w:top w:val="none" w:sz="0" w:space="0" w:color="auto"/>
            <w:left w:val="none" w:sz="0" w:space="0" w:color="auto"/>
            <w:bottom w:val="none" w:sz="0" w:space="0" w:color="auto"/>
            <w:right w:val="none" w:sz="0" w:space="0" w:color="auto"/>
          </w:divBdr>
        </w:div>
        <w:div w:id="1868979600">
          <w:marLeft w:val="480"/>
          <w:marRight w:val="0"/>
          <w:marTop w:val="0"/>
          <w:marBottom w:val="0"/>
          <w:divBdr>
            <w:top w:val="none" w:sz="0" w:space="0" w:color="auto"/>
            <w:left w:val="none" w:sz="0" w:space="0" w:color="auto"/>
            <w:bottom w:val="none" w:sz="0" w:space="0" w:color="auto"/>
            <w:right w:val="none" w:sz="0" w:space="0" w:color="auto"/>
          </w:divBdr>
        </w:div>
        <w:div w:id="973367227">
          <w:marLeft w:val="480"/>
          <w:marRight w:val="0"/>
          <w:marTop w:val="0"/>
          <w:marBottom w:val="0"/>
          <w:divBdr>
            <w:top w:val="none" w:sz="0" w:space="0" w:color="auto"/>
            <w:left w:val="none" w:sz="0" w:space="0" w:color="auto"/>
            <w:bottom w:val="none" w:sz="0" w:space="0" w:color="auto"/>
            <w:right w:val="none" w:sz="0" w:space="0" w:color="auto"/>
          </w:divBdr>
        </w:div>
        <w:div w:id="1724937807">
          <w:marLeft w:val="480"/>
          <w:marRight w:val="0"/>
          <w:marTop w:val="0"/>
          <w:marBottom w:val="0"/>
          <w:divBdr>
            <w:top w:val="none" w:sz="0" w:space="0" w:color="auto"/>
            <w:left w:val="none" w:sz="0" w:space="0" w:color="auto"/>
            <w:bottom w:val="none" w:sz="0" w:space="0" w:color="auto"/>
            <w:right w:val="none" w:sz="0" w:space="0" w:color="auto"/>
          </w:divBdr>
        </w:div>
        <w:div w:id="1714309183">
          <w:marLeft w:val="480"/>
          <w:marRight w:val="0"/>
          <w:marTop w:val="0"/>
          <w:marBottom w:val="0"/>
          <w:divBdr>
            <w:top w:val="none" w:sz="0" w:space="0" w:color="auto"/>
            <w:left w:val="none" w:sz="0" w:space="0" w:color="auto"/>
            <w:bottom w:val="none" w:sz="0" w:space="0" w:color="auto"/>
            <w:right w:val="none" w:sz="0" w:space="0" w:color="auto"/>
          </w:divBdr>
        </w:div>
        <w:div w:id="9919229">
          <w:marLeft w:val="480"/>
          <w:marRight w:val="0"/>
          <w:marTop w:val="0"/>
          <w:marBottom w:val="0"/>
          <w:divBdr>
            <w:top w:val="none" w:sz="0" w:space="0" w:color="auto"/>
            <w:left w:val="none" w:sz="0" w:space="0" w:color="auto"/>
            <w:bottom w:val="none" w:sz="0" w:space="0" w:color="auto"/>
            <w:right w:val="none" w:sz="0" w:space="0" w:color="auto"/>
          </w:divBdr>
        </w:div>
        <w:div w:id="1850943258">
          <w:marLeft w:val="480"/>
          <w:marRight w:val="0"/>
          <w:marTop w:val="0"/>
          <w:marBottom w:val="0"/>
          <w:divBdr>
            <w:top w:val="none" w:sz="0" w:space="0" w:color="auto"/>
            <w:left w:val="none" w:sz="0" w:space="0" w:color="auto"/>
            <w:bottom w:val="none" w:sz="0" w:space="0" w:color="auto"/>
            <w:right w:val="none" w:sz="0" w:space="0" w:color="auto"/>
          </w:divBdr>
        </w:div>
        <w:div w:id="895818052">
          <w:marLeft w:val="480"/>
          <w:marRight w:val="0"/>
          <w:marTop w:val="0"/>
          <w:marBottom w:val="0"/>
          <w:divBdr>
            <w:top w:val="none" w:sz="0" w:space="0" w:color="auto"/>
            <w:left w:val="none" w:sz="0" w:space="0" w:color="auto"/>
            <w:bottom w:val="none" w:sz="0" w:space="0" w:color="auto"/>
            <w:right w:val="none" w:sz="0" w:space="0" w:color="auto"/>
          </w:divBdr>
        </w:div>
        <w:div w:id="1695229693">
          <w:marLeft w:val="480"/>
          <w:marRight w:val="0"/>
          <w:marTop w:val="0"/>
          <w:marBottom w:val="0"/>
          <w:divBdr>
            <w:top w:val="none" w:sz="0" w:space="0" w:color="auto"/>
            <w:left w:val="none" w:sz="0" w:space="0" w:color="auto"/>
            <w:bottom w:val="none" w:sz="0" w:space="0" w:color="auto"/>
            <w:right w:val="none" w:sz="0" w:space="0" w:color="auto"/>
          </w:divBdr>
        </w:div>
        <w:div w:id="1554779797">
          <w:marLeft w:val="480"/>
          <w:marRight w:val="0"/>
          <w:marTop w:val="0"/>
          <w:marBottom w:val="0"/>
          <w:divBdr>
            <w:top w:val="none" w:sz="0" w:space="0" w:color="auto"/>
            <w:left w:val="none" w:sz="0" w:space="0" w:color="auto"/>
            <w:bottom w:val="none" w:sz="0" w:space="0" w:color="auto"/>
            <w:right w:val="none" w:sz="0" w:space="0" w:color="auto"/>
          </w:divBdr>
        </w:div>
        <w:div w:id="44068145">
          <w:marLeft w:val="480"/>
          <w:marRight w:val="0"/>
          <w:marTop w:val="0"/>
          <w:marBottom w:val="0"/>
          <w:divBdr>
            <w:top w:val="none" w:sz="0" w:space="0" w:color="auto"/>
            <w:left w:val="none" w:sz="0" w:space="0" w:color="auto"/>
            <w:bottom w:val="none" w:sz="0" w:space="0" w:color="auto"/>
            <w:right w:val="none" w:sz="0" w:space="0" w:color="auto"/>
          </w:divBdr>
        </w:div>
        <w:div w:id="1283612714">
          <w:marLeft w:val="480"/>
          <w:marRight w:val="0"/>
          <w:marTop w:val="0"/>
          <w:marBottom w:val="0"/>
          <w:divBdr>
            <w:top w:val="none" w:sz="0" w:space="0" w:color="auto"/>
            <w:left w:val="none" w:sz="0" w:space="0" w:color="auto"/>
            <w:bottom w:val="none" w:sz="0" w:space="0" w:color="auto"/>
            <w:right w:val="none" w:sz="0" w:space="0" w:color="auto"/>
          </w:divBdr>
        </w:div>
        <w:div w:id="255359720">
          <w:marLeft w:val="480"/>
          <w:marRight w:val="0"/>
          <w:marTop w:val="0"/>
          <w:marBottom w:val="0"/>
          <w:divBdr>
            <w:top w:val="none" w:sz="0" w:space="0" w:color="auto"/>
            <w:left w:val="none" w:sz="0" w:space="0" w:color="auto"/>
            <w:bottom w:val="none" w:sz="0" w:space="0" w:color="auto"/>
            <w:right w:val="none" w:sz="0" w:space="0" w:color="auto"/>
          </w:divBdr>
        </w:div>
        <w:div w:id="1084912835">
          <w:marLeft w:val="480"/>
          <w:marRight w:val="0"/>
          <w:marTop w:val="0"/>
          <w:marBottom w:val="0"/>
          <w:divBdr>
            <w:top w:val="none" w:sz="0" w:space="0" w:color="auto"/>
            <w:left w:val="none" w:sz="0" w:space="0" w:color="auto"/>
            <w:bottom w:val="none" w:sz="0" w:space="0" w:color="auto"/>
            <w:right w:val="none" w:sz="0" w:space="0" w:color="auto"/>
          </w:divBdr>
        </w:div>
        <w:div w:id="645360565">
          <w:marLeft w:val="480"/>
          <w:marRight w:val="0"/>
          <w:marTop w:val="0"/>
          <w:marBottom w:val="0"/>
          <w:divBdr>
            <w:top w:val="none" w:sz="0" w:space="0" w:color="auto"/>
            <w:left w:val="none" w:sz="0" w:space="0" w:color="auto"/>
            <w:bottom w:val="none" w:sz="0" w:space="0" w:color="auto"/>
            <w:right w:val="none" w:sz="0" w:space="0" w:color="auto"/>
          </w:divBdr>
        </w:div>
        <w:div w:id="563757317">
          <w:marLeft w:val="480"/>
          <w:marRight w:val="0"/>
          <w:marTop w:val="0"/>
          <w:marBottom w:val="0"/>
          <w:divBdr>
            <w:top w:val="none" w:sz="0" w:space="0" w:color="auto"/>
            <w:left w:val="none" w:sz="0" w:space="0" w:color="auto"/>
            <w:bottom w:val="none" w:sz="0" w:space="0" w:color="auto"/>
            <w:right w:val="none" w:sz="0" w:space="0" w:color="auto"/>
          </w:divBdr>
        </w:div>
      </w:divsChild>
    </w:div>
    <w:div w:id="1623420905">
      <w:bodyDiv w:val="1"/>
      <w:marLeft w:val="0"/>
      <w:marRight w:val="0"/>
      <w:marTop w:val="0"/>
      <w:marBottom w:val="0"/>
      <w:divBdr>
        <w:top w:val="none" w:sz="0" w:space="0" w:color="auto"/>
        <w:left w:val="none" w:sz="0" w:space="0" w:color="auto"/>
        <w:bottom w:val="none" w:sz="0" w:space="0" w:color="auto"/>
        <w:right w:val="none" w:sz="0" w:space="0" w:color="auto"/>
      </w:divBdr>
    </w:div>
    <w:div w:id="1623801310">
      <w:bodyDiv w:val="1"/>
      <w:marLeft w:val="0"/>
      <w:marRight w:val="0"/>
      <w:marTop w:val="0"/>
      <w:marBottom w:val="0"/>
      <w:divBdr>
        <w:top w:val="none" w:sz="0" w:space="0" w:color="auto"/>
        <w:left w:val="none" w:sz="0" w:space="0" w:color="auto"/>
        <w:bottom w:val="none" w:sz="0" w:space="0" w:color="auto"/>
        <w:right w:val="none" w:sz="0" w:space="0" w:color="auto"/>
      </w:divBdr>
    </w:div>
    <w:div w:id="1624337483">
      <w:bodyDiv w:val="1"/>
      <w:marLeft w:val="0"/>
      <w:marRight w:val="0"/>
      <w:marTop w:val="0"/>
      <w:marBottom w:val="0"/>
      <w:divBdr>
        <w:top w:val="none" w:sz="0" w:space="0" w:color="auto"/>
        <w:left w:val="none" w:sz="0" w:space="0" w:color="auto"/>
        <w:bottom w:val="none" w:sz="0" w:space="0" w:color="auto"/>
        <w:right w:val="none" w:sz="0" w:space="0" w:color="auto"/>
      </w:divBdr>
    </w:div>
    <w:div w:id="1625623856">
      <w:bodyDiv w:val="1"/>
      <w:marLeft w:val="0"/>
      <w:marRight w:val="0"/>
      <w:marTop w:val="0"/>
      <w:marBottom w:val="0"/>
      <w:divBdr>
        <w:top w:val="none" w:sz="0" w:space="0" w:color="auto"/>
        <w:left w:val="none" w:sz="0" w:space="0" w:color="auto"/>
        <w:bottom w:val="none" w:sz="0" w:space="0" w:color="auto"/>
        <w:right w:val="none" w:sz="0" w:space="0" w:color="auto"/>
      </w:divBdr>
    </w:div>
    <w:div w:id="1625890764">
      <w:bodyDiv w:val="1"/>
      <w:marLeft w:val="0"/>
      <w:marRight w:val="0"/>
      <w:marTop w:val="0"/>
      <w:marBottom w:val="0"/>
      <w:divBdr>
        <w:top w:val="none" w:sz="0" w:space="0" w:color="auto"/>
        <w:left w:val="none" w:sz="0" w:space="0" w:color="auto"/>
        <w:bottom w:val="none" w:sz="0" w:space="0" w:color="auto"/>
        <w:right w:val="none" w:sz="0" w:space="0" w:color="auto"/>
      </w:divBdr>
    </w:div>
    <w:div w:id="1626153266">
      <w:bodyDiv w:val="1"/>
      <w:marLeft w:val="0"/>
      <w:marRight w:val="0"/>
      <w:marTop w:val="0"/>
      <w:marBottom w:val="0"/>
      <w:divBdr>
        <w:top w:val="none" w:sz="0" w:space="0" w:color="auto"/>
        <w:left w:val="none" w:sz="0" w:space="0" w:color="auto"/>
        <w:bottom w:val="none" w:sz="0" w:space="0" w:color="auto"/>
        <w:right w:val="none" w:sz="0" w:space="0" w:color="auto"/>
      </w:divBdr>
    </w:div>
    <w:div w:id="1628201390">
      <w:bodyDiv w:val="1"/>
      <w:marLeft w:val="0"/>
      <w:marRight w:val="0"/>
      <w:marTop w:val="0"/>
      <w:marBottom w:val="0"/>
      <w:divBdr>
        <w:top w:val="none" w:sz="0" w:space="0" w:color="auto"/>
        <w:left w:val="none" w:sz="0" w:space="0" w:color="auto"/>
        <w:bottom w:val="none" w:sz="0" w:space="0" w:color="auto"/>
        <w:right w:val="none" w:sz="0" w:space="0" w:color="auto"/>
      </w:divBdr>
    </w:div>
    <w:div w:id="1628315611">
      <w:bodyDiv w:val="1"/>
      <w:marLeft w:val="0"/>
      <w:marRight w:val="0"/>
      <w:marTop w:val="0"/>
      <w:marBottom w:val="0"/>
      <w:divBdr>
        <w:top w:val="none" w:sz="0" w:space="0" w:color="auto"/>
        <w:left w:val="none" w:sz="0" w:space="0" w:color="auto"/>
        <w:bottom w:val="none" w:sz="0" w:space="0" w:color="auto"/>
        <w:right w:val="none" w:sz="0" w:space="0" w:color="auto"/>
      </w:divBdr>
    </w:div>
    <w:div w:id="1628510758">
      <w:bodyDiv w:val="1"/>
      <w:marLeft w:val="0"/>
      <w:marRight w:val="0"/>
      <w:marTop w:val="0"/>
      <w:marBottom w:val="0"/>
      <w:divBdr>
        <w:top w:val="none" w:sz="0" w:space="0" w:color="auto"/>
        <w:left w:val="none" w:sz="0" w:space="0" w:color="auto"/>
        <w:bottom w:val="none" w:sz="0" w:space="0" w:color="auto"/>
        <w:right w:val="none" w:sz="0" w:space="0" w:color="auto"/>
      </w:divBdr>
    </w:div>
    <w:div w:id="1628731173">
      <w:bodyDiv w:val="1"/>
      <w:marLeft w:val="0"/>
      <w:marRight w:val="0"/>
      <w:marTop w:val="0"/>
      <w:marBottom w:val="0"/>
      <w:divBdr>
        <w:top w:val="none" w:sz="0" w:space="0" w:color="auto"/>
        <w:left w:val="none" w:sz="0" w:space="0" w:color="auto"/>
        <w:bottom w:val="none" w:sz="0" w:space="0" w:color="auto"/>
        <w:right w:val="none" w:sz="0" w:space="0" w:color="auto"/>
      </w:divBdr>
    </w:div>
    <w:div w:id="1629358061">
      <w:bodyDiv w:val="1"/>
      <w:marLeft w:val="0"/>
      <w:marRight w:val="0"/>
      <w:marTop w:val="0"/>
      <w:marBottom w:val="0"/>
      <w:divBdr>
        <w:top w:val="none" w:sz="0" w:space="0" w:color="auto"/>
        <w:left w:val="none" w:sz="0" w:space="0" w:color="auto"/>
        <w:bottom w:val="none" w:sz="0" w:space="0" w:color="auto"/>
        <w:right w:val="none" w:sz="0" w:space="0" w:color="auto"/>
      </w:divBdr>
    </w:div>
    <w:div w:id="1629360035">
      <w:bodyDiv w:val="1"/>
      <w:marLeft w:val="0"/>
      <w:marRight w:val="0"/>
      <w:marTop w:val="0"/>
      <w:marBottom w:val="0"/>
      <w:divBdr>
        <w:top w:val="none" w:sz="0" w:space="0" w:color="auto"/>
        <w:left w:val="none" w:sz="0" w:space="0" w:color="auto"/>
        <w:bottom w:val="none" w:sz="0" w:space="0" w:color="auto"/>
        <w:right w:val="none" w:sz="0" w:space="0" w:color="auto"/>
      </w:divBdr>
    </w:div>
    <w:div w:id="1630011896">
      <w:bodyDiv w:val="1"/>
      <w:marLeft w:val="0"/>
      <w:marRight w:val="0"/>
      <w:marTop w:val="0"/>
      <w:marBottom w:val="0"/>
      <w:divBdr>
        <w:top w:val="none" w:sz="0" w:space="0" w:color="auto"/>
        <w:left w:val="none" w:sz="0" w:space="0" w:color="auto"/>
        <w:bottom w:val="none" w:sz="0" w:space="0" w:color="auto"/>
        <w:right w:val="none" w:sz="0" w:space="0" w:color="auto"/>
      </w:divBdr>
    </w:div>
    <w:div w:id="1630164185">
      <w:bodyDiv w:val="1"/>
      <w:marLeft w:val="0"/>
      <w:marRight w:val="0"/>
      <w:marTop w:val="0"/>
      <w:marBottom w:val="0"/>
      <w:divBdr>
        <w:top w:val="none" w:sz="0" w:space="0" w:color="auto"/>
        <w:left w:val="none" w:sz="0" w:space="0" w:color="auto"/>
        <w:bottom w:val="none" w:sz="0" w:space="0" w:color="auto"/>
        <w:right w:val="none" w:sz="0" w:space="0" w:color="auto"/>
      </w:divBdr>
    </w:div>
    <w:div w:id="1630280270">
      <w:bodyDiv w:val="1"/>
      <w:marLeft w:val="0"/>
      <w:marRight w:val="0"/>
      <w:marTop w:val="0"/>
      <w:marBottom w:val="0"/>
      <w:divBdr>
        <w:top w:val="none" w:sz="0" w:space="0" w:color="auto"/>
        <w:left w:val="none" w:sz="0" w:space="0" w:color="auto"/>
        <w:bottom w:val="none" w:sz="0" w:space="0" w:color="auto"/>
        <w:right w:val="none" w:sz="0" w:space="0" w:color="auto"/>
      </w:divBdr>
    </w:div>
    <w:div w:id="1630286016">
      <w:bodyDiv w:val="1"/>
      <w:marLeft w:val="0"/>
      <w:marRight w:val="0"/>
      <w:marTop w:val="0"/>
      <w:marBottom w:val="0"/>
      <w:divBdr>
        <w:top w:val="none" w:sz="0" w:space="0" w:color="auto"/>
        <w:left w:val="none" w:sz="0" w:space="0" w:color="auto"/>
        <w:bottom w:val="none" w:sz="0" w:space="0" w:color="auto"/>
        <w:right w:val="none" w:sz="0" w:space="0" w:color="auto"/>
      </w:divBdr>
    </w:div>
    <w:div w:id="1630437186">
      <w:bodyDiv w:val="1"/>
      <w:marLeft w:val="0"/>
      <w:marRight w:val="0"/>
      <w:marTop w:val="0"/>
      <w:marBottom w:val="0"/>
      <w:divBdr>
        <w:top w:val="none" w:sz="0" w:space="0" w:color="auto"/>
        <w:left w:val="none" w:sz="0" w:space="0" w:color="auto"/>
        <w:bottom w:val="none" w:sz="0" w:space="0" w:color="auto"/>
        <w:right w:val="none" w:sz="0" w:space="0" w:color="auto"/>
      </w:divBdr>
    </w:div>
    <w:div w:id="1630472668">
      <w:bodyDiv w:val="1"/>
      <w:marLeft w:val="0"/>
      <w:marRight w:val="0"/>
      <w:marTop w:val="0"/>
      <w:marBottom w:val="0"/>
      <w:divBdr>
        <w:top w:val="none" w:sz="0" w:space="0" w:color="auto"/>
        <w:left w:val="none" w:sz="0" w:space="0" w:color="auto"/>
        <w:bottom w:val="none" w:sz="0" w:space="0" w:color="auto"/>
        <w:right w:val="none" w:sz="0" w:space="0" w:color="auto"/>
      </w:divBdr>
    </w:div>
    <w:div w:id="1631397525">
      <w:bodyDiv w:val="1"/>
      <w:marLeft w:val="0"/>
      <w:marRight w:val="0"/>
      <w:marTop w:val="0"/>
      <w:marBottom w:val="0"/>
      <w:divBdr>
        <w:top w:val="none" w:sz="0" w:space="0" w:color="auto"/>
        <w:left w:val="none" w:sz="0" w:space="0" w:color="auto"/>
        <w:bottom w:val="none" w:sz="0" w:space="0" w:color="auto"/>
        <w:right w:val="none" w:sz="0" w:space="0" w:color="auto"/>
      </w:divBdr>
    </w:div>
    <w:div w:id="1631865105">
      <w:bodyDiv w:val="1"/>
      <w:marLeft w:val="0"/>
      <w:marRight w:val="0"/>
      <w:marTop w:val="0"/>
      <w:marBottom w:val="0"/>
      <w:divBdr>
        <w:top w:val="none" w:sz="0" w:space="0" w:color="auto"/>
        <w:left w:val="none" w:sz="0" w:space="0" w:color="auto"/>
        <w:bottom w:val="none" w:sz="0" w:space="0" w:color="auto"/>
        <w:right w:val="none" w:sz="0" w:space="0" w:color="auto"/>
      </w:divBdr>
    </w:div>
    <w:div w:id="1631982165">
      <w:bodyDiv w:val="1"/>
      <w:marLeft w:val="0"/>
      <w:marRight w:val="0"/>
      <w:marTop w:val="0"/>
      <w:marBottom w:val="0"/>
      <w:divBdr>
        <w:top w:val="none" w:sz="0" w:space="0" w:color="auto"/>
        <w:left w:val="none" w:sz="0" w:space="0" w:color="auto"/>
        <w:bottom w:val="none" w:sz="0" w:space="0" w:color="auto"/>
        <w:right w:val="none" w:sz="0" w:space="0" w:color="auto"/>
      </w:divBdr>
    </w:div>
    <w:div w:id="1632397681">
      <w:bodyDiv w:val="1"/>
      <w:marLeft w:val="0"/>
      <w:marRight w:val="0"/>
      <w:marTop w:val="0"/>
      <w:marBottom w:val="0"/>
      <w:divBdr>
        <w:top w:val="none" w:sz="0" w:space="0" w:color="auto"/>
        <w:left w:val="none" w:sz="0" w:space="0" w:color="auto"/>
        <w:bottom w:val="none" w:sz="0" w:space="0" w:color="auto"/>
        <w:right w:val="none" w:sz="0" w:space="0" w:color="auto"/>
      </w:divBdr>
    </w:div>
    <w:div w:id="1632665281">
      <w:bodyDiv w:val="1"/>
      <w:marLeft w:val="0"/>
      <w:marRight w:val="0"/>
      <w:marTop w:val="0"/>
      <w:marBottom w:val="0"/>
      <w:divBdr>
        <w:top w:val="none" w:sz="0" w:space="0" w:color="auto"/>
        <w:left w:val="none" w:sz="0" w:space="0" w:color="auto"/>
        <w:bottom w:val="none" w:sz="0" w:space="0" w:color="auto"/>
        <w:right w:val="none" w:sz="0" w:space="0" w:color="auto"/>
      </w:divBdr>
    </w:div>
    <w:div w:id="1632784853">
      <w:bodyDiv w:val="1"/>
      <w:marLeft w:val="0"/>
      <w:marRight w:val="0"/>
      <w:marTop w:val="0"/>
      <w:marBottom w:val="0"/>
      <w:divBdr>
        <w:top w:val="none" w:sz="0" w:space="0" w:color="auto"/>
        <w:left w:val="none" w:sz="0" w:space="0" w:color="auto"/>
        <w:bottom w:val="none" w:sz="0" w:space="0" w:color="auto"/>
        <w:right w:val="none" w:sz="0" w:space="0" w:color="auto"/>
      </w:divBdr>
    </w:div>
    <w:div w:id="1633443275">
      <w:bodyDiv w:val="1"/>
      <w:marLeft w:val="0"/>
      <w:marRight w:val="0"/>
      <w:marTop w:val="0"/>
      <w:marBottom w:val="0"/>
      <w:divBdr>
        <w:top w:val="none" w:sz="0" w:space="0" w:color="auto"/>
        <w:left w:val="none" w:sz="0" w:space="0" w:color="auto"/>
        <w:bottom w:val="none" w:sz="0" w:space="0" w:color="auto"/>
        <w:right w:val="none" w:sz="0" w:space="0" w:color="auto"/>
      </w:divBdr>
    </w:div>
    <w:div w:id="1633558035">
      <w:bodyDiv w:val="1"/>
      <w:marLeft w:val="0"/>
      <w:marRight w:val="0"/>
      <w:marTop w:val="0"/>
      <w:marBottom w:val="0"/>
      <w:divBdr>
        <w:top w:val="none" w:sz="0" w:space="0" w:color="auto"/>
        <w:left w:val="none" w:sz="0" w:space="0" w:color="auto"/>
        <w:bottom w:val="none" w:sz="0" w:space="0" w:color="auto"/>
        <w:right w:val="none" w:sz="0" w:space="0" w:color="auto"/>
      </w:divBdr>
    </w:div>
    <w:div w:id="1633637562">
      <w:bodyDiv w:val="1"/>
      <w:marLeft w:val="0"/>
      <w:marRight w:val="0"/>
      <w:marTop w:val="0"/>
      <w:marBottom w:val="0"/>
      <w:divBdr>
        <w:top w:val="none" w:sz="0" w:space="0" w:color="auto"/>
        <w:left w:val="none" w:sz="0" w:space="0" w:color="auto"/>
        <w:bottom w:val="none" w:sz="0" w:space="0" w:color="auto"/>
        <w:right w:val="none" w:sz="0" w:space="0" w:color="auto"/>
      </w:divBdr>
    </w:div>
    <w:div w:id="1633751573">
      <w:bodyDiv w:val="1"/>
      <w:marLeft w:val="0"/>
      <w:marRight w:val="0"/>
      <w:marTop w:val="0"/>
      <w:marBottom w:val="0"/>
      <w:divBdr>
        <w:top w:val="none" w:sz="0" w:space="0" w:color="auto"/>
        <w:left w:val="none" w:sz="0" w:space="0" w:color="auto"/>
        <w:bottom w:val="none" w:sz="0" w:space="0" w:color="auto"/>
        <w:right w:val="none" w:sz="0" w:space="0" w:color="auto"/>
      </w:divBdr>
    </w:div>
    <w:div w:id="1633826037">
      <w:bodyDiv w:val="1"/>
      <w:marLeft w:val="0"/>
      <w:marRight w:val="0"/>
      <w:marTop w:val="0"/>
      <w:marBottom w:val="0"/>
      <w:divBdr>
        <w:top w:val="none" w:sz="0" w:space="0" w:color="auto"/>
        <w:left w:val="none" w:sz="0" w:space="0" w:color="auto"/>
        <w:bottom w:val="none" w:sz="0" w:space="0" w:color="auto"/>
        <w:right w:val="none" w:sz="0" w:space="0" w:color="auto"/>
      </w:divBdr>
    </w:div>
    <w:div w:id="1633827118">
      <w:bodyDiv w:val="1"/>
      <w:marLeft w:val="0"/>
      <w:marRight w:val="0"/>
      <w:marTop w:val="0"/>
      <w:marBottom w:val="0"/>
      <w:divBdr>
        <w:top w:val="none" w:sz="0" w:space="0" w:color="auto"/>
        <w:left w:val="none" w:sz="0" w:space="0" w:color="auto"/>
        <w:bottom w:val="none" w:sz="0" w:space="0" w:color="auto"/>
        <w:right w:val="none" w:sz="0" w:space="0" w:color="auto"/>
      </w:divBdr>
    </w:div>
    <w:div w:id="1634213635">
      <w:bodyDiv w:val="1"/>
      <w:marLeft w:val="0"/>
      <w:marRight w:val="0"/>
      <w:marTop w:val="0"/>
      <w:marBottom w:val="0"/>
      <w:divBdr>
        <w:top w:val="none" w:sz="0" w:space="0" w:color="auto"/>
        <w:left w:val="none" w:sz="0" w:space="0" w:color="auto"/>
        <w:bottom w:val="none" w:sz="0" w:space="0" w:color="auto"/>
        <w:right w:val="none" w:sz="0" w:space="0" w:color="auto"/>
      </w:divBdr>
    </w:div>
    <w:div w:id="1634216724">
      <w:bodyDiv w:val="1"/>
      <w:marLeft w:val="0"/>
      <w:marRight w:val="0"/>
      <w:marTop w:val="0"/>
      <w:marBottom w:val="0"/>
      <w:divBdr>
        <w:top w:val="none" w:sz="0" w:space="0" w:color="auto"/>
        <w:left w:val="none" w:sz="0" w:space="0" w:color="auto"/>
        <w:bottom w:val="none" w:sz="0" w:space="0" w:color="auto"/>
        <w:right w:val="none" w:sz="0" w:space="0" w:color="auto"/>
      </w:divBdr>
    </w:div>
    <w:div w:id="1634290013">
      <w:bodyDiv w:val="1"/>
      <w:marLeft w:val="0"/>
      <w:marRight w:val="0"/>
      <w:marTop w:val="0"/>
      <w:marBottom w:val="0"/>
      <w:divBdr>
        <w:top w:val="none" w:sz="0" w:space="0" w:color="auto"/>
        <w:left w:val="none" w:sz="0" w:space="0" w:color="auto"/>
        <w:bottom w:val="none" w:sz="0" w:space="0" w:color="auto"/>
        <w:right w:val="none" w:sz="0" w:space="0" w:color="auto"/>
      </w:divBdr>
    </w:div>
    <w:div w:id="1635713512">
      <w:bodyDiv w:val="1"/>
      <w:marLeft w:val="0"/>
      <w:marRight w:val="0"/>
      <w:marTop w:val="0"/>
      <w:marBottom w:val="0"/>
      <w:divBdr>
        <w:top w:val="none" w:sz="0" w:space="0" w:color="auto"/>
        <w:left w:val="none" w:sz="0" w:space="0" w:color="auto"/>
        <w:bottom w:val="none" w:sz="0" w:space="0" w:color="auto"/>
        <w:right w:val="none" w:sz="0" w:space="0" w:color="auto"/>
      </w:divBdr>
    </w:div>
    <w:div w:id="1636376619">
      <w:bodyDiv w:val="1"/>
      <w:marLeft w:val="0"/>
      <w:marRight w:val="0"/>
      <w:marTop w:val="0"/>
      <w:marBottom w:val="0"/>
      <w:divBdr>
        <w:top w:val="none" w:sz="0" w:space="0" w:color="auto"/>
        <w:left w:val="none" w:sz="0" w:space="0" w:color="auto"/>
        <w:bottom w:val="none" w:sz="0" w:space="0" w:color="auto"/>
        <w:right w:val="none" w:sz="0" w:space="0" w:color="auto"/>
      </w:divBdr>
    </w:div>
    <w:div w:id="1636716537">
      <w:bodyDiv w:val="1"/>
      <w:marLeft w:val="0"/>
      <w:marRight w:val="0"/>
      <w:marTop w:val="0"/>
      <w:marBottom w:val="0"/>
      <w:divBdr>
        <w:top w:val="none" w:sz="0" w:space="0" w:color="auto"/>
        <w:left w:val="none" w:sz="0" w:space="0" w:color="auto"/>
        <w:bottom w:val="none" w:sz="0" w:space="0" w:color="auto"/>
        <w:right w:val="none" w:sz="0" w:space="0" w:color="auto"/>
      </w:divBdr>
    </w:div>
    <w:div w:id="1637367018">
      <w:bodyDiv w:val="1"/>
      <w:marLeft w:val="0"/>
      <w:marRight w:val="0"/>
      <w:marTop w:val="0"/>
      <w:marBottom w:val="0"/>
      <w:divBdr>
        <w:top w:val="none" w:sz="0" w:space="0" w:color="auto"/>
        <w:left w:val="none" w:sz="0" w:space="0" w:color="auto"/>
        <w:bottom w:val="none" w:sz="0" w:space="0" w:color="auto"/>
        <w:right w:val="none" w:sz="0" w:space="0" w:color="auto"/>
      </w:divBdr>
    </w:div>
    <w:div w:id="1637564775">
      <w:bodyDiv w:val="1"/>
      <w:marLeft w:val="0"/>
      <w:marRight w:val="0"/>
      <w:marTop w:val="0"/>
      <w:marBottom w:val="0"/>
      <w:divBdr>
        <w:top w:val="none" w:sz="0" w:space="0" w:color="auto"/>
        <w:left w:val="none" w:sz="0" w:space="0" w:color="auto"/>
        <w:bottom w:val="none" w:sz="0" w:space="0" w:color="auto"/>
        <w:right w:val="none" w:sz="0" w:space="0" w:color="auto"/>
      </w:divBdr>
    </w:div>
    <w:div w:id="1638148031">
      <w:bodyDiv w:val="1"/>
      <w:marLeft w:val="0"/>
      <w:marRight w:val="0"/>
      <w:marTop w:val="0"/>
      <w:marBottom w:val="0"/>
      <w:divBdr>
        <w:top w:val="none" w:sz="0" w:space="0" w:color="auto"/>
        <w:left w:val="none" w:sz="0" w:space="0" w:color="auto"/>
        <w:bottom w:val="none" w:sz="0" w:space="0" w:color="auto"/>
        <w:right w:val="none" w:sz="0" w:space="0" w:color="auto"/>
      </w:divBdr>
    </w:div>
    <w:div w:id="1638219816">
      <w:bodyDiv w:val="1"/>
      <w:marLeft w:val="0"/>
      <w:marRight w:val="0"/>
      <w:marTop w:val="0"/>
      <w:marBottom w:val="0"/>
      <w:divBdr>
        <w:top w:val="none" w:sz="0" w:space="0" w:color="auto"/>
        <w:left w:val="none" w:sz="0" w:space="0" w:color="auto"/>
        <w:bottom w:val="none" w:sz="0" w:space="0" w:color="auto"/>
        <w:right w:val="none" w:sz="0" w:space="0" w:color="auto"/>
      </w:divBdr>
    </w:div>
    <w:div w:id="1639607581">
      <w:bodyDiv w:val="1"/>
      <w:marLeft w:val="0"/>
      <w:marRight w:val="0"/>
      <w:marTop w:val="0"/>
      <w:marBottom w:val="0"/>
      <w:divBdr>
        <w:top w:val="none" w:sz="0" w:space="0" w:color="auto"/>
        <w:left w:val="none" w:sz="0" w:space="0" w:color="auto"/>
        <w:bottom w:val="none" w:sz="0" w:space="0" w:color="auto"/>
        <w:right w:val="none" w:sz="0" w:space="0" w:color="auto"/>
      </w:divBdr>
    </w:div>
    <w:div w:id="1639646979">
      <w:bodyDiv w:val="1"/>
      <w:marLeft w:val="0"/>
      <w:marRight w:val="0"/>
      <w:marTop w:val="0"/>
      <w:marBottom w:val="0"/>
      <w:divBdr>
        <w:top w:val="none" w:sz="0" w:space="0" w:color="auto"/>
        <w:left w:val="none" w:sz="0" w:space="0" w:color="auto"/>
        <w:bottom w:val="none" w:sz="0" w:space="0" w:color="auto"/>
        <w:right w:val="none" w:sz="0" w:space="0" w:color="auto"/>
      </w:divBdr>
    </w:div>
    <w:div w:id="1639722000">
      <w:bodyDiv w:val="1"/>
      <w:marLeft w:val="0"/>
      <w:marRight w:val="0"/>
      <w:marTop w:val="0"/>
      <w:marBottom w:val="0"/>
      <w:divBdr>
        <w:top w:val="none" w:sz="0" w:space="0" w:color="auto"/>
        <w:left w:val="none" w:sz="0" w:space="0" w:color="auto"/>
        <w:bottom w:val="none" w:sz="0" w:space="0" w:color="auto"/>
        <w:right w:val="none" w:sz="0" w:space="0" w:color="auto"/>
      </w:divBdr>
    </w:div>
    <w:div w:id="1639917165">
      <w:bodyDiv w:val="1"/>
      <w:marLeft w:val="0"/>
      <w:marRight w:val="0"/>
      <w:marTop w:val="0"/>
      <w:marBottom w:val="0"/>
      <w:divBdr>
        <w:top w:val="none" w:sz="0" w:space="0" w:color="auto"/>
        <w:left w:val="none" w:sz="0" w:space="0" w:color="auto"/>
        <w:bottom w:val="none" w:sz="0" w:space="0" w:color="auto"/>
        <w:right w:val="none" w:sz="0" w:space="0" w:color="auto"/>
      </w:divBdr>
    </w:div>
    <w:div w:id="1640761495">
      <w:bodyDiv w:val="1"/>
      <w:marLeft w:val="0"/>
      <w:marRight w:val="0"/>
      <w:marTop w:val="0"/>
      <w:marBottom w:val="0"/>
      <w:divBdr>
        <w:top w:val="none" w:sz="0" w:space="0" w:color="auto"/>
        <w:left w:val="none" w:sz="0" w:space="0" w:color="auto"/>
        <w:bottom w:val="none" w:sz="0" w:space="0" w:color="auto"/>
        <w:right w:val="none" w:sz="0" w:space="0" w:color="auto"/>
      </w:divBdr>
    </w:div>
    <w:div w:id="1641307865">
      <w:bodyDiv w:val="1"/>
      <w:marLeft w:val="0"/>
      <w:marRight w:val="0"/>
      <w:marTop w:val="0"/>
      <w:marBottom w:val="0"/>
      <w:divBdr>
        <w:top w:val="none" w:sz="0" w:space="0" w:color="auto"/>
        <w:left w:val="none" w:sz="0" w:space="0" w:color="auto"/>
        <w:bottom w:val="none" w:sz="0" w:space="0" w:color="auto"/>
        <w:right w:val="none" w:sz="0" w:space="0" w:color="auto"/>
      </w:divBdr>
    </w:div>
    <w:div w:id="1641416487">
      <w:bodyDiv w:val="1"/>
      <w:marLeft w:val="0"/>
      <w:marRight w:val="0"/>
      <w:marTop w:val="0"/>
      <w:marBottom w:val="0"/>
      <w:divBdr>
        <w:top w:val="none" w:sz="0" w:space="0" w:color="auto"/>
        <w:left w:val="none" w:sz="0" w:space="0" w:color="auto"/>
        <w:bottom w:val="none" w:sz="0" w:space="0" w:color="auto"/>
        <w:right w:val="none" w:sz="0" w:space="0" w:color="auto"/>
      </w:divBdr>
    </w:div>
    <w:div w:id="1641881757">
      <w:bodyDiv w:val="1"/>
      <w:marLeft w:val="0"/>
      <w:marRight w:val="0"/>
      <w:marTop w:val="0"/>
      <w:marBottom w:val="0"/>
      <w:divBdr>
        <w:top w:val="none" w:sz="0" w:space="0" w:color="auto"/>
        <w:left w:val="none" w:sz="0" w:space="0" w:color="auto"/>
        <w:bottom w:val="none" w:sz="0" w:space="0" w:color="auto"/>
        <w:right w:val="none" w:sz="0" w:space="0" w:color="auto"/>
      </w:divBdr>
    </w:div>
    <w:div w:id="1642074627">
      <w:bodyDiv w:val="1"/>
      <w:marLeft w:val="0"/>
      <w:marRight w:val="0"/>
      <w:marTop w:val="0"/>
      <w:marBottom w:val="0"/>
      <w:divBdr>
        <w:top w:val="none" w:sz="0" w:space="0" w:color="auto"/>
        <w:left w:val="none" w:sz="0" w:space="0" w:color="auto"/>
        <w:bottom w:val="none" w:sz="0" w:space="0" w:color="auto"/>
        <w:right w:val="none" w:sz="0" w:space="0" w:color="auto"/>
      </w:divBdr>
    </w:div>
    <w:div w:id="1642467046">
      <w:bodyDiv w:val="1"/>
      <w:marLeft w:val="0"/>
      <w:marRight w:val="0"/>
      <w:marTop w:val="0"/>
      <w:marBottom w:val="0"/>
      <w:divBdr>
        <w:top w:val="none" w:sz="0" w:space="0" w:color="auto"/>
        <w:left w:val="none" w:sz="0" w:space="0" w:color="auto"/>
        <w:bottom w:val="none" w:sz="0" w:space="0" w:color="auto"/>
        <w:right w:val="none" w:sz="0" w:space="0" w:color="auto"/>
      </w:divBdr>
    </w:div>
    <w:div w:id="1642495427">
      <w:bodyDiv w:val="1"/>
      <w:marLeft w:val="0"/>
      <w:marRight w:val="0"/>
      <w:marTop w:val="0"/>
      <w:marBottom w:val="0"/>
      <w:divBdr>
        <w:top w:val="none" w:sz="0" w:space="0" w:color="auto"/>
        <w:left w:val="none" w:sz="0" w:space="0" w:color="auto"/>
        <w:bottom w:val="none" w:sz="0" w:space="0" w:color="auto"/>
        <w:right w:val="none" w:sz="0" w:space="0" w:color="auto"/>
      </w:divBdr>
    </w:div>
    <w:div w:id="1642879544">
      <w:bodyDiv w:val="1"/>
      <w:marLeft w:val="0"/>
      <w:marRight w:val="0"/>
      <w:marTop w:val="0"/>
      <w:marBottom w:val="0"/>
      <w:divBdr>
        <w:top w:val="none" w:sz="0" w:space="0" w:color="auto"/>
        <w:left w:val="none" w:sz="0" w:space="0" w:color="auto"/>
        <w:bottom w:val="none" w:sz="0" w:space="0" w:color="auto"/>
        <w:right w:val="none" w:sz="0" w:space="0" w:color="auto"/>
      </w:divBdr>
    </w:div>
    <w:div w:id="1644432529">
      <w:bodyDiv w:val="1"/>
      <w:marLeft w:val="0"/>
      <w:marRight w:val="0"/>
      <w:marTop w:val="0"/>
      <w:marBottom w:val="0"/>
      <w:divBdr>
        <w:top w:val="none" w:sz="0" w:space="0" w:color="auto"/>
        <w:left w:val="none" w:sz="0" w:space="0" w:color="auto"/>
        <w:bottom w:val="none" w:sz="0" w:space="0" w:color="auto"/>
        <w:right w:val="none" w:sz="0" w:space="0" w:color="auto"/>
      </w:divBdr>
    </w:div>
    <w:div w:id="1644695050">
      <w:bodyDiv w:val="1"/>
      <w:marLeft w:val="0"/>
      <w:marRight w:val="0"/>
      <w:marTop w:val="0"/>
      <w:marBottom w:val="0"/>
      <w:divBdr>
        <w:top w:val="none" w:sz="0" w:space="0" w:color="auto"/>
        <w:left w:val="none" w:sz="0" w:space="0" w:color="auto"/>
        <w:bottom w:val="none" w:sz="0" w:space="0" w:color="auto"/>
        <w:right w:val="none" w:sz="0" w:space="0" w:color="auto"/>
      </w:divBdr>
    </w:div>
    <w:div w:id="1645042821">
      <w:bodyDiv w:val="1"/>
      <w:marLeft w:val="0"/>
      <w:marRight w:val="0"/>
      <w:marTop w:val="0"/>
      <w:marBottom w:val="0"/>
      <w:divBdr>
        <w:top w:val="none" w:sz="0" w:space="0" w:color="auto"/>
        <w:left w:val="none" w:sz="0" w:space="0" w:color="auto"/>
        <w:bottom w:val="none" w:sz="0" w:space="0" w:color="auto"/>
        <w:right w:val="none" w:sz="0" w:space="0" w:color="auto"/>
      </w:divBdr>
    </w:div>
    <w:div w:id="1645818766">
      <w:bodyDiv w:val="1"/>
      <w:marLeft w:val="0"/>
      <w:marRight w:val="0"/>
      <w:marTop w:val="0"/>
      <w:marBottom w:val="0"/>
      <w:divBdr>
        <w:top w:val="none" w:sz="0" w:space="0" w:color="auto"/>
        <w:left w:val="none" w:sz="0" w:space="0" w:color="auto"/>
        <w:bottom w:val="none" w:sz="0" w:space="0" w:color="auto"/>
        <w:right w:val="none" w:sz="0" w:space="0" w:color="auto"/>
      </w:divBdr>
    </w:div>
    <w:div w:id="1646354629">
      <w:bodyDiv w:val="1"/>
      <w:marLeft w:val="0"/>
      <w:marRight w:val="0"/>
      <w:marTop w:val="0"/>
      <w:marBottom w:val="0"/>
      <w:divBdr>
        <w:top w:val="none" w:sz="0" w:space="0" w:color="auto"/>
        <w:left w:val="none" w:sz="0" w:space="0" w:color="auto"/>
        <w:bottom w:val="none" w:sz="0" w:space="0" w:color="auto"/>
        <w:right w:val="none" w:sz="0" w:space="0" w:color="auto"/>
      </w:divBdr>
    </w:div>
    <w:div w:id="1646665324">
      <w:bodyDiv w:val="1"/>
      <w:marLeft w:val="0"/>
      <w:marRight w:val="0"/>
      <w:marTop w:val="0"/>
      <w:marBottom w:val="0"/>
      <w:divBdr>
        <w:top w:val="none" w:sz="0" w:space="0" w:color="auto"/>
        <w:left w:val="none" w:sz="0" w:space="0" w:color="auto"/>
        <w:bottom w:val="none" w:sz="0" w:space="0" w:color="auto"/>
        <w:right w:val="none" w:sz="0" w:space="0" w:color="auto"/>
      </w:divBdr>
    </w:div>
    <w:div w:id="1647859008">
      <w:bodyDiv w:val="1"/>
      <w:marLeft w:val="0"/>
      <w:marRight w:val="0"/>
      <w:marTop w:val="0"/>
      <w:marBottom w:val="0"/>
      <w:divBdr>
        <w:top w:val="none" w:sz="0" w:space="0" w:color="auto"/>
        <w:left w:val="none" w:sz="0" w:space="0" w:color="auto"/>
        <w:bottom w:val="none" w:sz="0" w:space="0" w:color="auto"/>
        <w:right w:val="none" w:sz="0" w:space="0" w:color="auto"/>
      </w:divBdr>
    </w:div>
    <w:div w:id="1648588691">
      <w:bodyDiv w:val="1"/>
      <w:marLeft w:val="0"/>
      <w:marRight w:val="0"/>
      <w:marTop w:val="0"/>
      <w:marBottom w:val="0"/>
      <w:divBdr>
        <w:top w:val="none" w:sz="0" w:space="0" w:color="auto"/>
        <w:left w:val="none" w:sz="0" w:space="0" w:color="auto"/>
        <w:bottom w:val="none" w:sz="0" w:space="0" w:color="auto"/>
        <w:right w:val="none" w:sz="0" w:space="0" w:color="auto"/>
      </w:divBdr>
    </w:div>
    <w:div w:id="1649433775">
      <w:bodyDiv w:val="1"/>
      <w:marLeft w:val="0"/>
      <w:marRight w:val="0"/>
      <w:marTop w:val="0"/>
      <w:marBottom w:val="0"/>
      <w:divBdr>
        <w:top w:val="none" w:sz="0" w:space="0" w:color="auto"/>
        <w:left w:val="none" w:sz="0" w:space="0" w:color="auto"/>
        <w:bottom w:val="none" w:sz="0" w:space="0" w:color="auto"/>
        <w:right w:val="none" w:sz="0" w:space="0" w:color="auto"/>
      </w:divBdr>
    </w:div>
    <w:div w:id="1650671066">
      <w:bodyDiv w:val="1"/>
      <w:marLeft w:val="0"/>
      <w:marRight w:val="0"/>
      <w:marTop w:val="0"/>
      <w:marBottom w:val="0"/>
      <w:divBdr>
        <w:top w:val="none" w:sz="0" w:space="0" w:color="auto"/>
        <w:left w:val="none" w:sz="0" w:space="0" w:color="auto"/>
        <w:bottom w:val="none" w:sz="0" w:space="0" w:color="auto"/>
        <w:right w:val="none" w:sz="0" w:space="0" w:color="auto"/>
      </w:divBdr>
    </w:div>
    <w:div w:id="1651137349">
      <w:bodyDiv w:val="1"/>
      <w:marLeft w:val="0"/>
      <w:marRight w:val="0"/>
      <w:marTop w:val="0"/>
      <w:marBottom w:val="0"/>
      <w:divBdr>
        <w:top w:val="none" w:sz="0" w:space="0" w:color="auto"/>
        <w:left w:val="none" w:sz="0" w:space="0" w:color="auto"/>
        <w:bottom w:val="none" w:sz="0" w:space="0" w:color="auto"/>
        <w:right w:val="none" w:sz="0" w:space="0" w:color="auto"/>
      </w:divBdr>
    </w:div>
    <w:div w:id="1651518122">
      <w:bodyDiv w:val="1"/>
      <w:marLeft w:val="0"/>
      <w:marRight w:val="0"/>
      <w:marTop w:val="0"/>
      <w:marBottom w:val="0"/>
      <w:divBdr>
        <w:top w:val="none" w:sz="0" w:space="0" w:color="auto"/>
        <w:left w:val="none" w:sz="0" w:space="0" w:color="auto"/>
        <w:bottom w:val="none" w:sz="0" w:space="0" w:color="auto"/>
        <w:right w:val="none" w:sz="0" w:space="0" w:color="auto"/>
      </w:divBdr>
    </w:div>
    <w:div w:id="1651595381">
      <w:bodyDiv w:val="1"/>
      <w:marLeft w:val="0"/>
      <w:marRight w:val="0"/>
      <w:marTop w:val="0"/>
      <w:marBottom w:val="0"/>
      <w:divBdr>
        <w:top w:val="none" w:sz="0" w:space="0" w:color="auto"/>
        <w:left w:val="none" w:sz="0" w:space="0" w:color="auto"/>
        <w:bottom w:val="none" w:sz="0" w:space="0" w:color="auto"/>
        <w:right w:val="none" w:sz="0" w:space="0" w:color="auto"/>
      </w:divBdr>
    </w:div>
    <w:div w:id="1652169813">
      <w:bodyDiv w:val="1"/>
      <w:marLeft w:val="0"/>
      <w:marRight w:val="0"/>
      <w:marTop w:val="0"/>
      <w:marBottom w:val="0"/>
      <w:divBdr>
        <w:top w:val="none" w:sz="0" w:space="0" w:color="auto"/>
        <w:left w:val="none" w:sz="0" w:space="0" w:color="auto"/>
        <w:bottom w:val="none" w:sz="0" w:space="0" w:color="auto"/>
        <w:right w:val="none" w:sz="0" w:space="0" w:color="auto"/>
      </w:divBdr>
    </w:div>
    <w:div w:id="1652326340">
      <w:bodyDiv w:val="1"/>
      <w:marLeft w:val="0"/>
      <w:marRight w:val="0"/>
      <w:marTop w:val="0"/>
      <w:marBottom w:val="0"/>
      <w:divBdr>
        <w:top w:val="none" w:sz="0" w:space="0" w:color="auto"/>
        <w:left w:val="none" w:sz="0" w:space="0" w:color="auto"/>
        <w:bottom w:val="none" w:sz="0" w:space="0" w:color="auto"/>
        <w:right w:val="none" w:sz="0" w:space="0" w:color="auto"/>
      </w:divBdr>
    </w:div>
    <w:div w:id="1652785010">
      <w:bodyDiv w:val="1"/>
      <w:marLeft w:val="0"/>
      <w:marRight w:val="0"/>
      <w:marTop w:val="0"/>
      <w:marBottom w:val="0"/>
      <w:divBdr>
        <w:top w:val="none" w:sz="0" w:space="0" w:color="auto"/>
        <w:left w:val="none" w:sz="0" w:space="0" w:color="auto"/>
        <w:bottom w:val="none" w:sz="0" w:space="0" w:color="auto"/>
        <w:right w:val="none" w:sz="0" w:space="0" w:color="auto"/>
      </w:divBdr>
    </w:div>
    <w:div w:id="1654530550">
      <w:bodyDiv w:val="1"/>
      <w:marLeft w:val="0"/>
      <w:marRight w:val="0"/>
      <w:marTop w:val="0"/>
      <w:marBottom w:val="0"/>
      <w:divBdr>
        <w:top w:val="none" w:sz="0" w:space="0" w:color="auto"/>
        <w:left w:val="none" w:sz="0" w:space="0" w:color="auto"/>
        <w:bottom w:val="none" w:sz="0" w:space="0" w:color="auto"/>
        <w:right w:val="none" w:sz="0" w:space="0" w:color="auto"/>
      </w:divBdr>
    </w:div>
    <w:div w:id="1654797786">
      <w:bodyDiv w:val="1"/>
      <w:marLeft w:val="0"/>
      <w:marRight w:val="0"/>
      <w:marTop w:val="0"/>
      <w:marBottom w:val="0"/>
      <w:divBdr>
        <w:top w:val="none" w:sz="0" w:space="0" w:color="auto"/>
        <w:left w:val="none" w:sz="0" w:space="0" w:color="auto"/>
        <w:bottom w:val="none" w:sz="0" w:space="0" w:color="auto"/>
        <w:right w:val="none" w:sz="0" w:space="0" w:color="auto"/>
      </w:divBdr>
    </w:div>
    <w:div w:id="1655186628">
      <w:bodyDiv w:val="1"/>
      <w:marLeft w:val="0"/>
      <w:marRight w:val="0"/>
      <w:marTop w:val="0"/>
      <w:marBottom w:val="0"/>
      <w:divBdr>
        <w:top w:val="none" w:sz="0" w:space="0" w:color="auto"/>
        <w:left w:val="none" w:sz="0" w:space="0" w:color="auto"/>
        <w:bottom w:val="none" w:sz="0" w:space="0" w:color="auto"/>
        <w:right w:val="none" w:sz="0" w:space="0" w:color="auto"/>
      </w:divBdr>
    </w:div>
    <w:div w:id="1655375936">
      <w:bodyDiv w:val="1"/>
      <w:marLeft w:val="0"/>
      <w:marRight w:val="0"/>
      <w:marTop w:val="0"/>
      <w:marBottom w:val="0"/>
      <w:divBdr>
        <w:top w:val="none" w:sz="0" w:space="0" w:color="auto"/>
        <w:left w:val="none" w:sz="0" w:space="0" w:color="auto"/>
        <w:bottom w:val="none" w:sz="0" w:space="0" w:color="auto"/>
        <w:right w:val="none" w:sz="0" w:space="0" w:color="auto"/>
      </w:divBdr>
    </w:div>
    <w:div w:id="1655792435">
      <w:bodyDiv w:val="1"/>
      <w:marLeft w:val="0"/>
      <w:marRight w:val="0"/>
      <w:marTop w:val="0"/>
      <w:marBottom w:val="0"/>
      <w:divBdr>
        <w:top w:val="none" w:sz="0" w:space="0" w:color="auto"/>
        <w:left w:val="none" w:sz="0" w:space="0" w:color="auto"/>
        <w:bottom w:val="none" w:sz="0" w:space="0" w:color="auto"/>
        <w:right w:val="none" w:sz="0" w:space="0" w:color="auto"/>
      </w:divBdr>
    </w:div>
    <w:div w:id="1656061150">
      <w:bodyDiv w:val="1"/>
      <w:marLeft w:val="0"/>
      <w:marRight w:val="0"/>
      <w:marTop w:val="0"/>
      <w:marBottom w:val="0"/>
      <w:divBdr>
        <w:top w:val="none" w:sz="0" w:space="0" w:color="auto"/>
        <w:left w:val="none" w:sz="0" w:space="0" w:color="auto"/>
        <w:bottom w:val="none" w:sz="0" w:space="0" w:color="auto"/>
        <w:right w:val="none" w:sz="0" w:space="0" w:color="auto"/>
      </w:divBdr>
    </w:div>
    <w:div w:id="1656568970">
      <w:bodyDiv w:val="1"/>
      <w:marLeft w:val="0"/>
      <w:marRight w:val="0"/>
      <w:marTop w:val="0"/>
      <w:marBottom w:val="0"/>
      <w:divBdr>
        <w:top w:val="none" w:sz="0" w:space="0" w:color="auto"/>
        <w:left w:val="none" w:sz="0" w:space="0" w:color="auto"/>
        <w:bottom w:val="none" w:sz="0" w:space="0" w:color="auto"/>
        <w:right w:val="none" w:sz="0" w:space="0" w:color="auto"/>
      </w:divBdr>
    </w:div>
    <w:div w:id="1657878608">
      <w:bodyDiv w:val="1"/>
      <w:marLeft w:val="0"/>
      <w:marRight w:val="0"/>
      <w:marTop w:val="0"/>
      <w:marBottom w:val="0"/>
      <w:divBdr>
        <w:top w:val="none" w:sz="0" w:space="0" w:color="auto"/>
        <w:left w:val="none" w:sz="0" w:space="0" w:color="auto"/>
        <w:bottom w:val="none" w:sz="0" w:space="0" w:color="auto"/>
        <w:right w:val="none" w:sz="0" w:space="0" w:color="auto"/>
      </w:divBdr>
    </w:div>
    <w:div w:id="1658150114">
      <w:bodyDiv w:val="1"/>
      <w:marLeft w:val="0"/>
      <w:marRight w:val="0"/>
      <w:marTop w:val="0"/>
      <w:marBottom w:val="0"/>
      <w:divBdr>
        <w:top w:val="none" w:sz="0" w:space="0" w:color="auto"/>
        <w:left w:val="none" w:sz="0" w:space="0" w:color="auto"/>
        <w:bottom w:val="none" w:sz="0" w:space="0" w:color="auto"/>
        <w:right w:val="none" w:sz="0" w:space="0" w:color="auto"/>
      </w:divBdr>
    </w:div>
    <w:div w:id="1658150618">
      <w:bodyDiv w:val="1"/>
      <w:marLeft w:val="0"/>
      <w:marRight w:val="0"/>
      <w:marTop w:val="0"/>
      <w:marBottom w:val="0"/>
      <w:divBdr>
        <w:top w:val="none" w:sz="0" w:space="0" w:color="auto"/>
        <w:left w:val="none" w:sz="0" w:space="0" w:color="auto"/>
        <w:bottom w:val="none" w:sz="0" w:space="0" w:color="auto"/>
        <w:right w:val="none" w:sz="0" w:space="0" w:color="auto"/>
      </w:divBdr>
    </w:div>
    <w:div w:id="1658462100">
      <w:bodyDiv w:val="1"/>
      <w:marLeft w:val="0"/>
      <w:marRight w:val="0"/>
      <w:marTop w:val="0"/>
      <w:marBottom w:val="0"/>
      <w:divBdr>
        <w:top w:val="none" w:sz="0" w:space="0" w:color="auto"/>
        <w:left w:val="none" w:sz="0" w:space="0" w:color="auto"/>
        <w:bottom w:val="none" w:sz="0" w:space="0" w:color="auto"/>
        <w:right w:val="none" w:sz="0" w:space="0" w:color="auto"/>
      </w:divBdr>
    </w:div>
    <w:div w:id="1658608008">
      <w:bodyDiv w:val="1"/>
      <w:marLeft w:val="0"/>
      <w:marRight w:val="0"/>
      <w:marTop w:val="0"/>
      <w:marBottom w:val="0"/>
      <w:divBdr>
        <w:top w:val="none" w:sz="0" w:space="0" w:color="auto"/>
        <w:left w:val="none" w:sz="0" w:space="0" w:color="auto"/>
        <w:bottom w:val="none" w:sz="0" w:space="0" w:color="auto"/>
        <w:right w:val="none" w:sz="0" w:space="0" w:color="auto"/>
      </w:divBdr>
    </w:div>
    <w:div w:id="1658849519">
      <w:bodyDiv w:val="1"/>
      <w:marLeft w:val="0"/>
      <w:marRight w:val="0"/>
      <w:marTop w:val="0"/>
      <w:marBottom w:val="0"/>
      <w:divBdr>
        <w:top w:val="none" w:sz="0" w:space="0" w:color="auto"/>
        <w:left w:val="none" w:sz="0" w:space="0" w:color="auto"/>
        <w:bottom w:val="none" w:sz="0" w:space="0" w:color="auto"/>
        <w:right w:val="none" w:sz="0" w:space="0" w:color="auto"/>
      </w:divBdr>
    </w:div>
    <w:div w:id="1660234416">
      <w:bodyDiv w:val="1"/>
      <w:marLeft w:val="0"/>
      <w:marRight w:val="0"/>
      <w:marTop w:val="0"/>
      <w:marBottom w:val="0"/>
      <w:divBdr>
        <w:top w:val="none" w:sz="0" w:space="0" w:color="auto"/>
        <w:left w:val="none" w:sz="0" w:space="0" w:color="auto"/>
        <w:bottom w:val="none" w:sz="0" w:space="0" w:color="auto"/>
        <w:right w:val="none" w:sz="0" w:space="0" w:color="auto"/>
      </w:divBdr>
    </w:div>
    <w:div w:id="1660377003">
      <w:bodyDiv w:val="1"/>
      <w:marLeft w:val="0"/>
      <w:marRight w:val="0"/>
      <w:marTop w:val="0"/>
      <w:marBottom w:val="0"/>
      <w:divBdr>
        <w:top w:val="none" w:sz="0" w:space="0" w:color="auto"/>
        <w:left w:val="none" w:sz="0" w:space="0" w:color="auto"/>
        <w:bottom w:val="none" w:sz="0" w:space="0" w:color="auto"/>
        <w:right w:val="none" w:sz="0" w:space="0" w:color="auto"/>
      </w:divBdr>
    </w:div>
    <w:div w:id="1660696352">
      <w:bodyDiv w:val="1"/>
      <w:marLeft w:val="0"/>
      <w:marRight w:val="0"/>
      <w:marTop w:val="0"/>
      <w:marBottom w:val="0"/>
      <w:divBdr>
        <w:top w:val="none" w:sz="0" w:space="0" w:color="auto"/>
        <w:left w:val="none" w:sz="0" w:space="0" w:color="auto"/>
        <w:bottom w:val="none" w:sz="0" w:space="0" w:color="auto"/>
        <w:right w:val="none" w:sz="0" w:space="0" w:color="auto"/>
      </w:divBdr>
    </w:div>
    <w:div w:id="1660845409">
      <w:bodyDiv w:val="1"/>
      <w:marLeft w:val="0"/>
      <w:marRight w:val="0"/>
      <w:marTop w:val="0"/>
      <w:marBottom w:val="0"/>
      <w:divBdr>
        <w:top w:val="none" w:sz="0" w:space="0" w:color="auto"/>
        <w:left w:val="none" w:sz="0" w:space="0" w:color="auto"/>
        <w:bottom w:val="none" w:sz="0" w:space="0" w:color="auto"/>
        <w:right w:val="none" w:sz="0" w:space="0" w:color="auto"/>
      </w:divBdr>
    </w:div>
    <w:div w:id="1660964914">
      <w:bodyDiv w:val="1"/>
      <w:marLeft w:val="0"/>
      <w:marRight w:val="0"/>
      <w:marTop w:val="0"/>
      <w:marBottom w:val="0"/>
      <w:divBdr>
        <w:top w:val="none" w:sz="0" w:space="0" w:color="auto"/>
        <w:left w:val="none" w:sz="0" w:space="0" w:color="auto"/>
        <w:bottom w:val="none" w:sz="0" w:space="0" w:color="auto"/>
        <w:right w:val="none" w:sz="0" w:space="0" w:color="auto"/>
      </w:divBdr>
    </w:div>
    <w:div w:id="1661344612">
      <w:bodyDiv w:val="1"/>
      <w:marLeft w:val="0"/>
      <w:marRight w:val="0"/>
      <w:marTop w:val="0"/>
      <w:marBottom w:val="0"/>
      <w:divBdr>
        <w:top w:val="none" w:sz="0" w:space="0" w:color="auto"/>
        <w:left w:val="none" w:sz="0" w:space="0" w:color="auto"/>
        <w:bottom w:val="none" w:sz="0" w:space="0" w:color="auto"/>
        <w:right w:val="none" w:sz="0" w:space="0" w:color="auto"/>
      </w:divBdr>
    </w:div>
    <w:div w:id="1661426015">
      <w:bodyDiv w:val="1"/>
      <w:marLeft w:val="0"/>
      <w:marRight w:val="0"/>
      <w:marTop w:val="0"/>
      <w:marBottom w:val="0"/>
      <w:divBdr>
        <w:top w:val="none" w:sz="0" w:space="0" w:color="auto"/>
        <w:left w:val="none" w:sz="0" w:space="0" w:color="auto"/>
        <w:bottom w:val="none" w:sz="0" w:space="0" w:color="auto"/>
        <w:right w:val="none" w:sz="0" w:space="0" w:color="auto"/>
      </w:divBdr>
    </w:div>
    <w:div w:id="1661614302">
      <w:bodyDiv w:val="1"/>
      <w:marLeft w:val="0"/>
      <w:marRight w:val="0"/>
      <w:marTop w:val="0"/>
      <w:marBottom w:val="0"/>
      <w:divBdr>
        <w:top w:val="none" w:sz="0" w:space="0" w:color="auto"/>
        <w:left w:val="none" w:sz="0" w:space="0" w:color="auto"/>
        <w:bottom w:val="none" w:sz="0" w:space="0" w:color="auto"/>
        <w:right w:val="none" w:sz="0" w:space="0" w:color="auto"/>
      </w:divBdr>
    </w:div>
    <w:div w:id="1661690767">
      <w:bodyDiv w:val="1"/>
      <w:marLeft w:val="0"/>
      <w:marRight w:val="0"/>
      <w:marTop w:val="0"/>
      <w:marBottom w:val="0"/>
      <w:divBdr>
        <w:top w:val="none" w:sz="0" w:space="0" w:color="auto"/>
        <w:left w:val="none" w:sz="0" w:space="0" w:color="auto"/>
        <w:bottom w:val="none" w:sz="0" w:space="0" w:color="auto"/>
        <w:right w:val="none" w:sz="0" w:space="0" w:color="auto"/>
      </w:divBdr>
    </w:div>
    <w:div w:id="1663311734">
      <w:bodyDiv w:val="1"/>
      <w:marLeft w:val="0"/>
      <w:marRight w:val="0"/>
      <w:marTop w:val="0"/>
      <w:marBottom w:val="0"/>
      <w:divBdr>
        <w:top w:val="none" w:sz="0" w:space="0" w:color="auto"/>
        <w:left w:val="none" w:sz="0" w:space="0" w:color="auto"/>
        <w:bottom w:val="none" w:sz="0" w:space="0" w:color="auto"/>
        <w:right w:val="none" w:sz="0" w:space="0" w:color="auto"/>
      </w:divBdr>
    </w:div>
    <w:div w:id="1663848530">
      <w:bodyDiv w:val="1"/>
      <w:marLeft w:val="0"/>
      <w:marRight w:val="0"/>
      <w:marTop w:val="0"/>
      <w:marBottom w:val="0"/>
      <w:divBdr>
        <w:top w:val="none" w:sz="0" w:space="0" w:color="auto"/>
        <w:left w:val="none" w:sz="0" w:space="0" w:color="auto"/>
        <w:bottom w:val="none" w:sz="0" w:space="0" w:color="auto"/>
        <w:right w:val="none" w:sz="0" w:space="0" w:color="auto"/>
      </w:divBdr>
    </w:div>
    <w:div w:id="1665162338">
      <w:bodyDiv w:val="1"/>
      <w:marLeft w:val="0"/>
      <w:marRight w:val="0"/>
      <w:marTop w:val="0"/>
      <w:marBottom w:val="0"/>
      <w:divBdr>
        <w:top w:val="none" w:sz="0" w:space="0" w:color="auto"/>
        <w:left w:val="none" w:sz="0" w:space="0" w:color="auto"/>
        <w:bottom w:val="none" w:sz="0" w:space="0" w:color="auto"/>
        <w:right w:val="none" w:sz="0" w:space="0" w:color="auto"/>
      </w:divBdr>
    </w:div>
    <w:div w:id="1665209230">
      <w:bodyDiv w:val="1"/>
      <w:marLeft w:val="0"/>
      <w:marRight w:val="0"/>
      <w:marTop w:val="0"/>
      <w:marBottom w:val="0"/>
      <w:divBdr>
        <w:top w:val="none" w:sz="0" w:space="0" w:color="auto"/>
        <w:left w:val="none" w:sz="0" w:space="0" w:color="auto"/>
        <w:bottom w:val="none" w:sz="0" w:space="0" w:color="auto"/>
        <w:right w:val="none" w:sz="0" w:space="0" w:color="auto"/>
      </w:divBdr>
    </w:div>
    <w:div w:id="1665358226">
      <w:bodyDiv w:val="1"/>
      <w:marLeft w:val="0"/>
      <w:marRight w:val="0"/>
      <w:marTop w:val="0"/>
      <w:marBottom w:val="0"/>
      <w:divBdr>
        <w:top w:val="none" w:sz="0" w:space="0" w:color="auto"/>
        <w:left w:val="none" w:sz="0" w:space="0" w:color="auto"/>
        <w:bottom w:val="none" w:sz="0" w:space="0" w:color="auto"/>
        <w:right w:val="none" w:sz="0" w:space="0" w:color="auto"/>
      </w:divBdr>
    </w:div>
    <w:div w:id="1665427069">
      <w:bodyDiv w:val="1"/>
      <w:marLeft w:val="0"/>
      <w:marRight w:val="0"/>
      <w:marTop w:val="0"/>
      <w:marBottom w:val="0"/>
      <w:divBdr>
        <w:top w:val="none" w:sz="0" w:space="0" w:color="auto"/>
        <w:left w:val="none" w:sz="0" w:space="0" w:color="auto"/>
        <w:bottom w:val="none" w:sz="0" w:space="0" w:color="auto"/>
        <w:right w:val="none" w:sz="0" w:space="0" w:color="auto"/>
      </w:divBdr>
    </w:div>
    <w:div w:id="1665667123">
      <w:bodyDiv w:val="1"/>
      <w:marLeft w:val="0"/>
      <w:marRight w:val="0"/>
      <w:marTop w:val="0"/>
      <w:marBottom w:val="0"/>
      <w:divBdr>
        <w:top w:val="none" w:sz="0" w:space="0" w:color="auto"/>
        <w:left w:val="none" w:sz="0" w:space="0" w:color="auto"/>
        <w:bottom w:val="none" w:sz="0" w:space="0" w:color="auto"/>
        <w:right w:val="none" w:sz="0" w:space="0" w:color="auto"/>
      </w:divBdr>
    </w:div>
    <w:div w:id="1666857936">
      <w:bodyDiv w:val="1"/>
      <w:marLeft w:val="0"/>
      <w:marRight w:val="0"/>
      <w:marTop w:val="0"/>
      <w:marBottom w:val="0"/>
      <w:divBdr>
        <w:top w:val="none" w:sz="0" w:space="0" w:color="auto"/>
        <w:left w:val="none" w:sz="0" w:space="0" w:color="auto"/>
        <w:bottom w:val="none" w:sz="0" w:space="0" w:color="auto"/>
        <w:right w:val="none" w:sz="0" w:space="0" w:color="auto"/>
      </w:divBdr>
    </w:div>
    <w:div w:id="1666861301">
      <w:bodyDiv w:val="1"/>
      <w:marLeft w:val="0"/>
      <w:marRight w:val="0"/>
      <w:marTop w:val="0"/>
      <w:marBottom w:val="0"/>
      <w:divBdr>
        <w:top w:val="none" w:sz="0" w:space="0" w:color="auto"/>
        <w:left w:val="none" w:sz="0" w:space="0" w:color="auto"/>
        <w:bottom w:val="none" w:sz="0" w:space="0" w:color="auto"/>
        <w:right w:val="none" w:sz="0" w:space="0" w:color="auto"/>
      </w:divBdr>
    </w:div>
    <w:div w:id="1667971759">
      <w:bodyDiv w:val="1"/>
      <w:marLeft w:val="0"/>
      <w:marRight w:val="0"/>
      <w:marTop w:val="0"/>
      <w:marBottom w:val="0"/>
      <w:divBdr>
        <w:top w:val="none" w:sz="0" w:space="0" w:color="auto"/>
        <w:left w:val="none" w:sz="0" w:space="0" w:color="auto"/>
        <w:bottom w:val="none" w:sz="0" w:space="0" w:color="auto"/>
        <w:right w:val="none" w:sz="0" w:space="0" w:color="auto"/>
      </w:divBdr>
    </w:div>
    <w:div w:id="1668558270">
      <w:bodyDiv w:val="1"/>
      <w:marLeft w:val="0"/>
      <w:marRight w:val="0"/>
      <w:marTop w:val="0"/>
      <w:marBottom w:val="0"/>
      <w:divBdr>
        <w:top w:val="none" w:sz="0" w:space="0" w:color="auto"/>
        <w:left w:val="none" w:sz="0" w:space="0" w:color="auto"/>
        <w:bottom w:val="none" w:sz="0" w:space="0" w:color="auto"/>
        <w:right w:val="none" w:sz="0" w:space="0" w:color="auto"/>
      </w:divBdr>
    </w:div>
    <w:div w:id="1668704851">
      <w:bodyDiv w:val="1"/>
      <w:marLeft w:val="0"/>
      <w:marRight w:val="0"/>
      <w:marTop w:val="0"/>
      <w:marBottom w:val="0"/>
      <w:divBdr>
        <w:top w:val="none" w:sz="0" w:space="0" w:color="auto"/>
        <w:left w:val="none" w:sz="0" w:space="0" w:color="auto"/>
        <w:bottom w:val="none" w:sz="0" w:space="0" w:color="auto"/>
        <w:right w:val="none" w:sz="0" w:space="0" w:color="auto"/>
      </w:divBdr>
    </w:div>
    <w:div w:id="1668828546">
      <w:bodyDiv w:val="1"/>
      <w:marLeft w:val="0"/>
      <w:marRight w:val="0"/>
      <w:marTop w:val="0"/>
      <w:marBottom w:val="0"/>
      <w:divBdr>
        <w:top w:val="none" w:sz="0" w:space="0" w:color="auto"/>
        <w:left w:val="none" w:sz="0" w:space="0" w:color="auto"/>
        <w:bottom w:val="none" w:sz="0" w:space="0" w:color="auto"/>
        <w:right w:val="none" w:sz="0" w:space="0" w:color="auto"/>
      </w:divBdr>
    </w:div>
    <w:div w:id="1670333067">
      <w:bodyDiv w:val="1"/>
      <w:marLeft w:val="0"/>
      <w:marRight w:val="0"/>
      <w:marTop w:val="0"/>
      <w:marBottom w:val="0"/>
      <w:divBdr>
        <w:top w:val="none" w:sz="0" w:space="0" w:color="auto"/>
        <w:left w:val="none" w:sz="0" w:space="0" w:color="auto"/>
        <w:bottom w:val="none" w:sz="0" w:space="0" w:color="auto"/>
        <w:right w:val="none" w:sz="0" w:space="0" w:color="auto"/>
      </w:divBdr>
    </w:div>
    <w:div w:id="1670449780">
      <w:bodyDiv w:val="1"/>
      <w:marLeft w:val="0"/>
      <w:marRight w:val="0"/>
      <w:marTop w:val="0"/>
      <w:marBottom w:val="0"/>
      <w:divBdr>
        <w:top w:val="none" w:sz="0" w:space="0" w:color="auto"/>
        <w:left w:val="none" w:sz="0" w:space="0" w:color="auto"/>
        <w:bottom w:val="none" w:sz="0" w:space="0" w:color="auto"/>
        <w:right w:val="none" w:sz="0" w:space="0" w:color="auto"/>
      </w:divBdr>
    </w:div>
    <w:div w:id="1670592829">
      <w:bodyDiv w:val="1"/>
      <w:marLeft w:val="0"/>
      <w:marRight w:val="0"/>
      <w:marTop w:val="0"/>
      <w:marBottom w:val="0"/>
      <w:divBdr>
        <w:top w:val="none" w:sz="0" w:space="0" w:color="auto"/>
        <w:left w:val="none" w:sz="0" w:space="0" w:color="auto"/>
        <w:bottom w:val="none" w:sz="0" w:space="0" w:color="auto"/>
        <w:right w:val="none" w:sz="0" w:space="0" w:color="auto"/>
      </w:divBdr>
    </w:div>
    <w:div w:id="1670594417">
      <w:bodyDiv w:val="1"/>
      <w:marLeft w:val="0"/>
      <w:marRight w:val="0"/>
      <w:marTop w:val="0"/>
      <w:marBottom w:val="0"/>
      <w:divBdr>
        <w:top w:val="none" w:sz="0" w:space="0" w:color="auto"/>
        <w:left w:val="none" w:sz="0" w:space="0" w:color="auto"/>
        <w:bottom w:val="none" w:sz="0" w:space="0" w:color="auto"/>
        <w:right w:val="none" w:sz="0" w:space="0" w:color="auto"/>
      </w:divBdr>
    </w:div>
    <w:div w:id="1672173063">
      <w:bodyDiv w:val="1"/>
      <w:marLeft w:val="0"/>
      <w:marRight w:val="0"/>
      <w:marTop w:val="0"/>
      <w:marBottom w:val="0"/>
      <w:divBdr>
        <w:top w:val="none" w:sz="0" w:space="0" w:color="auto"/>
        <w:left w:val="none" w:sz="0" w:space="0" w:color="auto"/>
        <w:bottom w:val="none" w:sz="0" w:space="0" w:color="auto"/>
        <w:right w:val="none" w:sz="0" w:space="0" w:color="auto"/>
      </w:divBdr>
    </w:div>
    <w:div w:id="1673412073">
      <w:bodyDiv w:val="1"/>
      <w:marLeft w:val="0"/>
      <w:marRight w:val="0"/>
      <w:marTop w:val="0"/>
      <w:marBottom w:val="0"/>
      <w:divBdr>
        <w:top w:val="none" w:sz="0" w:space="0" w:color="auto"/>
        <w:left w:val="none" w:sz="0" w:space="0" w:color="auto"/>
        <w:bottom w:val="none" w:sz="0" w:space="0" w:color="auto"/>
        <w:right w:val="none" w:sz="0" w:space="0" w:color="auto"/>
      </w:divBdr>
    </w:div>
    <w:div w:id="1673601681">
      <w:bodyDiv w:val="1"/>
      <w:marLeft w:val="0"/>
      <w:marRight w:val="0"/>
      <w:marTop w:val="0"/>
      <w:marBottom w:val="0"/>
      <w:divBdr>
        <w:top w:val="none" w:sz="0" w:space="0" w:color="auto"/>
        <w:left w:val="none" w:sz="0" w:space="0" w:color="auto"/>
        <w:bottom w:val="none" w:sz="0" w:space="0" w:color="auto"/>
        <w:right w:val="none" w:sz="0" w:space="0" w:color="auto"/>
      </w:divBdr>
    </w:div>
    <w:div w:id="1674264670">
      <w:bodyDiv w:val="1"/>
      <w:marLeft w:val="0"/>
      <w:marRight w:val="0"/>
      <w:marTop w:val="0"/>
      <w:marBottom w:val="0"/>
      <w:divBdr>
        <w:top w:val="none" w:sz="0" w:space="0" w:color="auto"/>
        <w:left w:val="none" w:sz="0" w:space="0" w:color="auto"/>
        <w:bottom w:val="none" w:sz="0" w:space="0" w:color="auto"/>
        <w:right w:val="none" w:sz="0" w:space="0" w:color="auto"/>
      </w:divBdr>
    </w:div>
    <w:div w:id="1674532462">
      <w:bodyDiv w:val="1"/>
      <w:marLeft w:val="0"/>
      <w:marRight w:val="0"/>
      <w:marTop w:val="0"/>
      <w:marBottom w:val="0"/>
      <w:divBdr>
        <w:top w:val="none" w:sz="0" w:space="0" w:color="auto"/>
        <w:left w:val="none" w:sz="0" w:space="0" w:color="auto"/>
        <w:bottom w:val="none" w:sz="0" w:space="0" w:color="auto"/>
        <w:right w:val="none" w:sz="0" w:space="0" w:color="auto"/>
      </w:divBdr>
    </w:div>
    <w:div w:id="1674642867">
      <w:bodyDiv w:val="1"/>
      <w:marLeft w:val="0"/>
      <w:marRight w:val="0"/>
      <w:marTop w:val="0"/>
      <w:marBottom w:val="0"/>
      <w:divBdr>
        <w:top w:val="none" w:sz="0" w:space="0" w:color="auto"/>
        <w:left w:val="none" w:sz="0" w:space="0" w:color="auto"/>
        <w:bottom w:val="none" w:sz="0" w:space="0" w:color="auto"/>
        <w:right w:val="none" w:sz="0" w:space="0" w:color="auto"/>
      </w:divBdr>
    </w:div>
    <w:div w:id="1675377634">
      <w:bodyDiv w:val="1"/>
      <w:marLeft w:val="0"/>
      <w:marRight w:val="0"/>
      <w:marTop w:val="0"/>
      <w:marBottom w:val="0"/>
      <w:divBdr>
        <w:top w:val="none" w:sz="0" w:space="0" w:color="auto"/>
        <w:left w:val="none" w:sz="0" w:space="0" w:color="auto"/>
        <w:bottom w:val="none" w:sz="0" w:space="0" w:color="auto"/>
        <w:right w:val="none" w:sz="0" w:space="0" w:color="auto"/>
      </w:divBdr>
      <w:divsChild>
        <w:div w:id="232354813">
          <w:marLeft w:val="480"/>
          <w:marRight w:val="0"/>
          <w:marTop w:val="0"/>
          <w:marBottom w:val="0"/>
          <w:divBdr>
            <w:top w:val="none" w:sz="0" w:space="0" w:color="auto"/>
            <w:left w:val="none" w:sz="0" w:space="0" w:color="auto"/>
            <w:bottom w:val="none" w:sz="0" w:space="0" w:color="auto"/>
            <w:right w:val="none" w:sz="0" w:space="0" w:color="auto"/>
          </w:divBdr>
        </w:div>
        <w:div w:id="1518041930">
          <w:marLeft w:val="480"/>
          <w:marRight w:val="0"/>
          <w:marTop w:val="0"/>
          <w:marBottom w:val="0"/>
          <w:divBdr>
            <w:top w:val="none" w:sz="0" w:space="0" w:color="auto"/>
            <w:left w:val="none" w:sz="0" w:space="0" w:color="auto"/>
            <w:bottom w:val="none" w:sz="0" w:space="0" w:color="auto"/>
            <w:right w:val="none" w:sz="0" w:space="0" w:color="auto"/>
          </w:divBdr>
        </w:div>
        <w:div w:id="60298814">
          <w:marLeft w:val="480"/>
          <w:marRight w:val="0"/>
          <w:marTop w:val="0"/>
          <w:marBottom w:val="0"/>
          <w:divBdr>
            <w:top w:val="none" w:sz="0" w:space="0" w:color="auto"/>
            <w:left w:val="none" w:sz="0" w:space="0" w:color="auto"/>
            <w:bottom w:val="none" w:sz="0" w:space="0" w:color="auto"/>
            <w:right w:val="none" w:sz="0" w:space="0" w:color="auto"/>
          </w:divBdr>
        </w:div>
        <w:div w:id="1902935176">
          <w:marLeft w:val="480"/>
          <w:marRight w:val="0"/>
          <w:marTop w:val="0"/>
          <w:marBottom w:val="0"/>
          <w:divBdr>
            <w:top w:val="none" w:sz="0" w:space="0" w:color="auto"/>
            <w:left w:val="none" w:sz="0" w:space="0" w:color="auto"/>
            <w:bottom w:val="none" w:sz="0" w:space="0" w:color="auto"/>
            <w:right w:val="none" w:sz="0" w:space="0" w:color="auto"/>
          </w:divBdr>
        </w:div>
        <w:div w:id="1691174489">
          <w:marLeft w:val="480"/>
          <w:marRight w:val="0"/>
          <w:marTop w:val="0"/>
          <w:marBottom w:val="0"/>
          <w:divBdr>
            <w:top w:val="none" w:sz="0" w:space="0" w:color="auto"/>
            <w:left w:val="none" w:sz="0" w:space="0" w:color="auto"/>
            <w:bottom w:val="none" w:sz="0" w:space="0" w:color="auto"/>
            <w:right w:val="none" w:sz="0" w:space="0" w:color="auto"/>
          </w:divBdr>
        </w:div>
        <w:div w:id="1972518928">
          <w:marLeft w:val="480"/>
          <w:marRight w:val="0"/>
          <w:marTop w:val="0"/>
          <w:marBottom w:val="0"/>
          <w:divBdr>
            <w:top w:val="none" w:sz="0" w:space="0" w:color="auto"/>
            <w:left w:val="none" w:sz="0" w:space="0" w:color="auto"/>
            <w:bottom w:val="none" w:sz="0" w:space="0" w:color="auto"/>
            <w:right w:val="none" w:sz="0" w:space="0" w:color="auto"/>
          </w:divBdr>
        </w:div>
        <w:div w:id="444693393">
          <w:marLeft w:val="480"/>
          <w:marRight w:val="0"/>
          <w:marTop w:val="0"/>
          <w:marBottom w:val="0"/>
          <w:divBdr>
            <w:top w:val="none" w:sz="0" w:space="0" w:color="auto"/>
            <w:left w:val="none" w:sz="0" w:space="0" w:color="auto"/>
            <w:bottom w:val="none" w:sz="0" w:space="0" w:color="auto"/>
            <w:right w:val="none" w:sz="0" w:space="0" w:color="auto"/>
          </w:divBdr>
        </w:div>
        <w:div w:id="1921253520">
          <w:marLeft w:val="480"/>
          <w:marRight w:val="0"/>
          <w:marTop w:val="0"/>
          <w:marBottom w:val="0"/>
          <w:divBdr>
            <w:top w:val="none" w:sz="0" w:space="0" w:color="auto"/>
            <w:left w:val="none" w:sz="0" w:space="0" w:color="auto"/>
            <w:bottom w:val="none" w:sz="0" w:space="0" w:color="auto"/>
            <w:right w:val="none" w:sz="0" w:space="0" w:color="auto"/>
          </w:divBdr>
        </w:div>
        <w:div w:id="1708215358">
          <w:marLeft w:val="480"/>
          <w:marRight w:val="0"/>
          <w:marTop w:val="0"/>
          <w:marBottom w:val="0"/>
          <w:divBdr>
            <w:top w:val="none" w:sz="0" w:space="0" w:color="auto"/>
            <w:left w:val="none" w:sz="0" w:space="0" w:color="auto"/>
            <w:bottom w:val="none" w:sz="0" w:space="0" w:color="auto"/>
            <w:right w:val="none" w:sz="0" w:space="0" w:color="auto"/>
          </w:divBdr>
        </w:div>
        <w:div w:id="362826739">
          <w:marLeft w:val="480"/>
          <w:marRight w:val="0"/>
          <w:marTop w:val="0"/>
          <w:marBottom w:val="0"/>
          <w:divBdr>
            <w:top w:val="none" w:sz="0" w:space="0" w:color="auto"/>
            <w:left w:val="none" w:sz="0" w:space="0" w:color="auto"/>
            <w:bottom w:val="none" w:sz="0" w:space="0" w:color="auto"/>
            <w:right w:val="none" w:sz="0" w:space="0" w:color="auto"/>
          </w:divBdr>
        </w:div>
        <w:div w:id="734082169">
          <w:marLeft w:val="480"/>
          <w:marRight w:val="0"/>
          <w:marTop w:val="0"/>
          <w:marBottom w:val="0"/>
          <w:divBdr>
            <w:top w:val="none" w:sz="0" w:space="0" w:color="auto"/>
            <w:left w:val="none" w:sz="0" w:space="0" w:color="auto"/>
            <w:bottom w:val="none" w:sz="0" w:space="0" w:color="auto"/>
            <w:right w:val="none" w:sz="0" w:space="0" w:color="auto"/>
          </w:divBdr>
        </w:div>
        <w:div w:id="132913826">
          <w:marLeft w:val="480"/>
          <w:marRight w:val="0"/>
          <w:marTop w:val="0"/>
          <w:marBottom w:val="0"/>
          <w:divBdr>
            <w:top w:val="none" w:sz="0" w:space="0" w:color="auto"/>
            <w:left w:val="none" w:sz="0" w:space="0" w:color="auto"/>
            <w:bottom w:val="none" w:sz="0" w:space="0" w:color="auto"/>
            <w:right w:val="none" w:sz="0" w:space="0" w:color="auto"/>
          </w:divBdr>
        </w:div>
        <w:div w:id="1294870044">
          <w:marLeft w:val="480"/>
          <w:marRight w:val="0"/>
          <w:marTop w:val="0"/>
          <w:marBottom w:val="0"/>
          <w:divBdr>
            <w:top w:val="none" w:sz="0" w:space="0" w:color="auto"/>
            <w:left w:val="none" w:sz="0" w:space="0" w:color="auto"/>
            <w:bottom w:val="none" w:sz="0" w:space="0" w:color="auto"/>
            <w:right w:val="none" w:sz="0" w:space="0" w:color="auto"/>
          </w:divBdr>
        </w:div>
        <w:div w:id="905532126">
          <w:marLeft w:val="480"/>
          <w:marRight w:val="0"/>
          <w:marTop w:val="0"/>
          <w:marBottom w:val="0"/>
          <w:divBdr>
            <w:top w:val="none" w:sz="0" w:space="0" w:color="auto"/>
            <w:left w:val="none" w:sz="0" w:space="0" w:color="auto"/>
            <w:bottom w:val="none" w:sz="0" w:space="0" w:color="auto"/>
            <w:right w:val="none" w:sz="0" w:space="0" w:color="auto"/>
          </w:divBdr>
        </w:div>
        <w:div w:id="1951735718">
          <w:marLeft w:val="480"/>
          <w:marRight w:val="0"/>
          <w:marTop w:val="0"/>
          <w:marBottom w:val="0"/>
          <w:divBdr>
            <w:top w:val="none" w:sz="0" w:space="0" w:color="auto"/>
            <w:left w:val="none" w:sz="0" w:space="0" w:color="auto"/>
            <w:bottom w:val="none" w:sz="0" w:space="0" w:color="auto"/>
            <w:right w:val="none" w:sz="0" w:space="0" w:color="auto"/>
          </w:divBdr>
        </w:div>
        <w:div w:id="255600422">
          <w:marLeft w:val="480"/>
          <w:marRight w:val="0"/>
          <w:marTop w:val="0"/>
          <w:marBottom w:val="0"/>
          <w:divBdr>
            <w:top w:val="none" w:sz="0" w:space="0" w:color="auto"/>
            <w:left w:val="none" w:sz="0" w:space="0" w:color="auto"/>
            <w:bottom w:val="none" w:sz="0" w:space="0" w:color="auto"/>
            <w:right w:val="none" w:sz="0" w:space="0" w:color="auto"/>
          </w:divBdr>
        </w:div>
        <w:div w:id="218395763">
          <w:marLeft w:val="480"/>
          <w:marRight w:val="0"/>
          <w:marTop w:val="0"/>
          <w:marBottom w:val="0"/>
          <w:divBdr>
            <w:top w:val="none" w:sz="0" w:space="0" w:color="auto"/>
            <w:left w:val="none" w:sz="0" w:space="0" w:color="auto"/>
            <w:bottom w:val="none" w:sz="0" w:space="0" w:color="auto"/>
            <w:right w:val="none" w:sz="0" w:space="0" w:color="auto"/>
          </w:divBdr>
        </w:div>
        <w:div w:id="359934767">
          <w:marLeft w:val="480"/>
          <w:marRight w:val="0"/>
          <w:marTop w:val="0"/>
          <w:marBottom w:val="0"/>
          <w:divBdr>
            <w:top w:val="none" w:sz="0" w:space="0" w:color="auto"/>
            <w:left w:val="none" w:sz="0" w:space="0" w:color="auto"/>
            <w:bottom w:val="none" w:sz="0" w:space="0" w:color="auto"/>
            <w:right w:val="none" w:sz="0" w:space="0" w:color="auto"/>
          </w:divBdr>
        </w:div>
        <w:div w:id="471219286">
          <w:marLeft w:val="480"/>
          <w:marRight w:val="0"/>
          <w:marTop w:val="0"/>
          <w:marBottom w:val="0"/>
          <w:divBdr>
            <w:top w:val="none" w:sz="0" w:space="0" w:color="auto"/>
            <w:left w:val="none" w:sz="0" w:space="0" w:color="auto"/>
            <w:bottom w:val="none" w:sz="0" w:space="0" w:color="auto"/>
            <w:right w:val="none" w:sz="0" w:space="0" w:color="auto"/>
          </w:divBdr>
        </w:div>
        <w:div w:id="710542938">
          <w:marLeft w:val="480"/>
          <w:marRight w:val="0"/>
          <w:marTop w:val="0"/>
          <w:marBottom w:val="0"/>
          <w:divBdr>
            <w:top w:val="none" w:sz="0" w:space="0" w:color="auto"/>
            <w:left w:val="none" w:sz="0" w:space="0" w:color="auto"/>
            <w:bottom w:val="none" w:sz="0" w:space="0" w:color="auto"/>
            <w:right w:val="none" w:sz="0" w:space="0" w:color="auto"/>
          </w:divBdr>
        </w:div>
        <w:div w:id="1487669048">
          <w:marLeft w:val="480"/>
          <w:marRight w:val="0"/>
          <w:marTop w:val="0"/>
          <w:marBottom w:val="0"/>
          <w:divBdr>
            <w:top w:val="none" w:sz="0" w:space="0" w:color="auto"/>
            <w:left w:val="none" w:sz="0" w:space="0" w:color="auto"/>
            <w:bottom w:val="none" w:sz="0" w:space="0" w:color="auto"/>
            <w:right w:val="none" w:sz="0" w:space="0" w:color="auto"/>
          </w:divBdr>
        </w:div>
        <w:div w:id="1669090904">
          <w:marLeft w:val="480"/>
          <w:marRight w:val="0"/>
          <w:marTop w:val="0"/>
          <w:marBottom w:val="0"/>
          <w:divBdr>
            <w:top w:val="none" w:sz="0" w:space="0" w:color="auto"/>
            <w:left w:val="none" w:sz="0" w:space="0" w:color="auto"/>
            <w:bottom w:val="none" w:sz="0" w:space="0" w:color="auto"/>
            <w:right w:val="none" w:sz="0" w:space="0" w:color="auto"/>
          </w:divBdr>
        </w:div>
        <w:div w:id="1831555974">
          <w:marLeft w:val="480"/>
          <w:marRight w:val="0"/>
          <w:marTop w:val="0"/>
          <w:marBottom w:val="0"/>
          <w:divBdr>
            <w:top w:val="none" w:sz="0" w:space="0" w:color="auto"/>
            <w:left w:val="none" w:sz="0" w:space="0" w:color="auto"/>
            <w:bottom w:val="none" w:sz="0" w:space="0" w:color="auto"/>
            <w:right w:val="none" w:sz="0" w:space="0" w:color="auto"/>
          </w:divBdr>
        </w:div>
        <w:div w:id="2065173549">
          <w:marLeft w:val="480"/>
          <w:marRight w:val="0"/>
          <w:marTop w:val="0"/>
          <w:marBottom w:val="0"/>
          <w:divBdr>
            <w:top w:val="none" w:sz="0" w:space="0" w:color="auto"/>
            <w:left w:val="none" w:sz="0" w:space="0" w:color="auto"/>
            <w:bottom w:val="none" w:sz="0" w:space="0" w:color="auto"/>
            <w:right w:val="none" w:sz="0" w:space="0" w:color="auto"/>
          </w:divBdr>
        </w:div>
        <w:div w:id="1525292627">
          <w:marLeft w:val="480"/>
          <w:marRight w:val="0"/>
          <w:marTop w:val="0"/>
          <w:marBottom w:val="0"/>
          <w:divBdr>
            <w:top w:val="none" w:sz="0" w:space="0" w:color="auto"/>
            <w:left w:val="none" w:sz="0" w:space="0" w:color="auto"/>
            <w:bottom w:val="none" w:sz="0" w:space="0" w:color="auto"/>
            <w:right w:val="none" w:sz="0" w:space="0" w:color="auto"/>
          </w:divBdr>
        </w:div>
        <w:div w:id="300890652">
          <w:marLeft w:val="480"/>
          <w:marRight w:val="0"/>
          <w:marTop w:val="0"/>
          <w:marBottom w:val="0"/>
          <w:divBdr>
            <w:top w:val="none" w:sz="0" w:space="0" w:color="auto"/>
            <w:left w:val="none" w:sz="0" w:space="0" w:color="auto"/>
            <w:bottom w:val="none" w:sz="0" w:space="0" w:color="auto"/>
            <w:right w:val="none" w:sz="0" w:space="0" w:color="auto"/>
          </w:divBdr>
        </w:div>
        <w:div w:id="1088039926">
          <w:marLeft w:val="480"/>
          <w:marRight w:val="0"/>
          <w:marTop w:val="0"/>
          <w:marBottom w:val="0"/>
          <w:divBdr>
            <w:top w:val="none" w:sz="0" w:space="0" w:color="auto"/>
            <w:left w:val="none" w:sz="0" w:space="0" w:color="auto"/>
            <w:bottom w:val="none" w:sz="0" w:space="0" w:color="auto"/>
            <w:right w:val="none" w:sz="0" w:space="0" w:color="auto"/>
          </w:divBdr>
        </w:div>
        <w:div w:id="1171528776">
          <w:marLeft w:val="480"/>
          <w:marRight w:val="0"/>
          <w:marTop w:val="0"/>
          <w:marBottom w:val="0"/>
          <w:divBdr>
            <w:top w:val="none" w:sz="0" w:space="0" w:color="auto"/>
            <w:left w:val="none" w:sz="0" w:space="0" w:color="auto"/>
            <w:bottom w:val="none" w:sz="0" w:space="0" w:color="auto"/>
            <w:right w:val="none" w:sz="0" w:space="0" w:color="auto"/>
          </w:divBdr>
        </w:div>
        <w:div w:id="1258292483">
          <w:marLeft w:val="480"/>
          <w:marRight w:val="0"/>
          <w:marTop w:val="0"/>
          <w:marBottom w:val="0"/>
          <w:divBdr>
            <w:top w:val="none" w:sz="0" w:space="0" w:color="auto"/>
            <w:left w:val="none" w:sz="0" w:space="0" w:color="auto"/>
            <w:bottom w:val="none" w:sz="0" w:space="0" w:color="auto"/>
            <w:right w:val="none" w:sz="0" w:space="0" w:color="auto"/>
          </w:divBdr>
        </w:div>
        <w:div w:id="280110162">
          <w:marLeft w:val="480"/>
          <w:marRight w:val="0"/>
          <w:marTop w:val="0"/>
          <w:marBottom w:val="0"/>
          <w:divBdr>
            <w:top w:val="none" w:sz="0" w:space="0" w:color="auto"/>
            <w:left w:val="none" w:sz="0" w:space="0" w:color="auto"/>
            <w:bottom w:val="none" w:sz="0" w:space="0" w:color="auto"/>
            <w:right w:val="none" w:sz="0" w:space="0" w:color="auto"/>
          </w:divBdr>
        </w:div>
        <w:div w:id="432359366">
          <w:marLeft w:val="480"/>
          <w:marRight w:val="0"/>
          <w:marTop w:val="0"/>
          <w:marBottom w:val="0"/>
          <w:divBdr>
            <w:top w:val="none" w:sz="0" w:space="0" w:color="auto"/>
            <w:left w:val="none" w:sz="0" w:space="0" w:color="auto"/>
            <w:bottom w:val="none" w:sz="0" w:space="0" w:color="auto"/>
            <w:right w:val="none" w:sz="0" w:space="0" w:color="auto"/>
          </w:divBdr>
        </w:div>
        <w:div w:id="206338949">
          <w:marLeft w:val="480"/>
          <w:marRight w:val="0"/>
          <w:marTop w:val="0"/>
          <w:marBottom w:val="0"/>
          <w:divBdr>
            <w:top w:val="none" w:sz="0" w:space="0" w:color="auto"/>
            <w:left w:val="none" w:sz="0" w:space="0" w:color="auto"/>
            <w:bottom w:val="none" w:sz="0" w:space="0" w:color="auto"/>
            <w:right w:val="none" w:sz="0" w:space="0" w:color="auto"/>
          </w:divBdr>
        </w:div>
        <w:div w:id="2125611005">
          <w:marLeft w:val="480"/>
          <w:marRight w:val="0"/>
          <w:marTop w:val="0"/>
          <w:marBottom w:val="0"/>
          <w:divBdr>
            <w:top w:val="none" w:sz="0" w:space="0" w:color="auto"/>
            <w:left w:val="none" w:sz="0" w:space="0" w:color="auto"/>
            <w:bottom w:val="none" w:sz="0" w:space="0" w:color="auto"/>
            <w:right w:val="none" w:sz="0" w:space="0" w:color="auto"/>
          </w:divBdr>
        </w:div>
        <w:div w:id="245841681">
          <w:marLeft w:val="480"/>
          <w:marRight w:val="0"/>
          <w:marTop w:val="0"/>
          <w:marBottom w:val="0"/>
          <w:divBdr>
            <w:top w:val="none" w:sz="0" w:space="0" w:color="auto"/>
            <w:left w:val="none" w:sz="0" w:space="0" w:color="auto"/>
            <w:bottom w:val="none" w:sz="0" w:space="0" w:color="auto"/>
            <w:right w:val="none" w:sz="0" w:space="0" w:color="auto"/>
          </w:divBdr>
        </w:div>
        <w:div w:id="1411464149">
          <w:marLeft w:val="480"/>
          <w:marRight w:val="0"/>
          <w:marTop w:val="0"/>
          <w:marBottom w:val="0"/>
          <w:divBdr>
            <w:top w:val="none" w:sz="0" w:space="0" w:color="auto"/>
            <w:left w:val="none" w:sz="0" w:space="0" w:color="auto"/>
            <w:bottom w:val="none" w:sz="0" w:space="0" w:color="auto"/>
            <w:right w:val="none" w:sz="0" w:space="0" w:color="auto"/>
          </w:divBdr>
        </w:div>
        <w:div w:id="1589774063">
          <w:marLeft w:val="480"/>
          <w:marRight w:val="0"/>
          <w:marTop w:val="0"/>
          <w:marBottom w:val="0"/>
          <w:divBdr>
            <w:top w:val="none" w:sz="0" w:space="0" w:color="auto"/>
            <w:left w:val="none" w:sz="0" w:space="0" w:color="auto"/>
            <w:bottom w:val="none" w:sz="0" w:space="0" w:color="auto"/>
            <w:right w:val="none" w:sz="0" w:space="0" w:color="auto"/>
          </w:divBdr>
        </w:div>
        <w:div w:id="1194491745">
          <w:marLeft w:val="480"/>
          <w:marRight w:val="0"/>
          <w:marTop w:val="0"/>
          <w:marBottom w:val="0"/>
          <w:divBdr>
            <w:top w:val="none" w:sz="0" w:space="0" w:color="auto"/>
            <w:left w:val="none" w:sz="0" w:space="0" w:color="auto"/>
            <w:bottom w:val="none" w:sz="0" w:space="0" w:color="auto"/>
            <w:right w:val="none" w:sz="0" w:space="0" w:color="auto"/>
          </w:divBdr>
        </w:div>
        <w:div w:id="116991266">
          <w:marLeft w:val="480"/>
          <w:marRight w:val="0"/>
          <w:marTop w:val="0"/>
          <w:marBottom w:val="0"/>
          <w:divBdr>
            <w:top w:val="none" w:sz="0" w:space="0" w:color="auto"/>
            <w:left w:val="none" w:sz="0" w:space="0" w:color="auto"/>
            <w:bottom w:val="none" w:sz="0" w:space="0" w:color="auto"/>
            <w:right w:val="none" w:sz="0" w:space="0" w:color="auto"/>
          </w:divBdr>
        </w:div>
        <w:div w:id="1465389881">
          <w:marLeft w:val="480"/>
          <w:marRight w:val="0"/>
          <w:marTop w:val="0"/>
          <w:marBottom w:val="0"/>
          <w:divBdr>
            <w:top w:val="none" w:sz="0" w:space="0" w:color="auto"/>
            <w:left w:val="none" w:sz="0" w:space="0" w:color="auto"/>
            <w:bottom w:val="none" w:sz="0" w:space="0" w:color="auto"/>
            <w:right w:val="none" w:sz="0" w:space="0" w:color="auto"/>
          </w:divBdr>
        </w:div>
        <w:div w:id="412705268">
          <w:marLeft w:val="480"/>
          <w:marRight w:val="0"/>
          <w:marTop w:val="0"/>
          <w:marBottom w:val="0"/>
          <w:divBdr>
            <w:top w:val="none" w:sz="0" w:space="0" w:color="auto"/>
            <w:left w:val="none" w:sz="0" w:space="0" w:color="auto"/>
            <w:bottom w:val="none" w:sz="0" w:space="0" w:color="auto"/>
            <w:right w:val="none" w:sz="0" w:space="0" w:color="auto"/>
          </w:divBdr>
        </w:div>
        <w:div w:id="937492631">
          <w:marLeft w:val="480"/>
          <w:marRight w:val="0"/>
          <w:marTop w:val="0"/>
          <w:marBottom w:val="0"/>
          <w:divBdr>
            <w:top w:val="none" w:sz="0" w:space="0" w:color="auto"/>
            <w:left w:val="none" w:sz="0" w:space="0" w:color="auto"/>
            <w:bottom w:val="none" w:sz="0" w:space="0" w:color="auto"/>
            <w:right w:val="none" w:sz="0" w:space="0" w:color="auto"/>
          </w:divBdr>
        </w:div>
        <w:div w:id="1861892012">
          <w:marLeft w:val="480"/>
          <w:marRight w:val="0"/>
          <w:marTop w:val="0"/>
          <w:marBottom w:val="0"/>
          <w:divBdr>
            <w:top w:val="none" w:sz="0" w:space="0" w:color="auto"/>
            <w:left w:val="none" w:sz="0" w:space="0" w:color="auto"/>
            <w:bottom w:val="none" w:sz="0" w:space="0" w:color="auto"/>
            <w:right w:val="none" w:sz="0" w:space="0" w:color="auto"/>
          </w:divBdr>
        </w:div>
        <w:div w:id="749355818">
          <w:marLeft w:val="480"/>
          <w:marRight w:val="0"/>
          <w:marTop w:val="0"/>
          <w:marBottom w:val="0"/>
          <w:divBdr>
            <w:top w:val="none" w:sz="0" w:space="0" w:color="auto"/>
            <w:left w:val="none" w:sz="0" w:space="0" w:color="auto"/>
            <w:bottom w:val="none" w:sz="0" w:space="0" w:color="auto"/>
            <w:right w:val="none" w:sz="0" w:space="0" w:color="auto"/>
          </w:divBdr>
        </w:div>
        <w:div w:id="1411780242">
          <w:marLeft w:val="480"/>
          <w:marRight w:val="0"/>
          <w:marTop w:val="0"/>
          <w:marBottom w:val="0"/>
          <w:divBdr>
            <w:top w:val="none" w:sz="0" w:space="0" w:color="auto"/>
            <w:left w:val="none" w:sz="0" w:space="0" w:color="auto"/>
            <w:bottom w:val="none" w:sz="0" w:space="0" w:color="auto"/>
            <w:right w:val="none" w:sz="0" w:space="0" w:color="auto"/>
          </w:divBdr>
        </w:div>
        <w:div w:id="1453016828">
          <w:marLeft w:val="480"/>
          <w:marRight w:val="0"/>
          <w:marTop w:val="0"/>
          <w:marBottom w:val="0"/>
          <w:divBdr>
            <w:top w:val="none" w:sz="0" w:space="0" w:color="auto"/>
            <w:left w:val="none" w:sz="0" w:space="0" w:color="auto"/>
            <w:bottom w:val="none" w:sz="0" w:space="0" w:color="auto"/>
            <w:right w:val="none" w:sz="0" w:space="0" w:color="auto"/>
          </w:divBdr>
        </w:div>
        <w:div w:id="345599441">
          <w:marLeft w:val="480"/>
          <w:marRight w:val="0"/>
          <w:marTop w:val="0"/>
          <w:marBottom w:val="0"/>
          <w:divBdr>
            <w:top w:val="none" w:sz="0" w:space="0" w:color="auto"/>
            <w:left w:val="none" w:sz="0" w:space="0" w:color="auto"/>
            <w:bottom w:val="none" w:sz="0" w:space="0" w:color="auto"/>
            <w:right w:val="none" w:sz="0" w:space="0" w:color="auto"/>
          </w:divBdr>
        </w:div>
        <w:div w:id="1943953653">
          <w:marLeft w:val="480"/>
          <w:marRight w:val="0"/>
          <w:marTop w:val="0"/>
          <w:marBottom w:val="0"/>
          <w:divBdr>
            <w:top w:val="none" w:sz="0" w:space="0" w:color="auto"/>
            <w:left w:val="none" w:sz="0" w:space="0" w:color="auto"/>
            <w:bottom w:val="none" w:sz="0" w:space="0" w:color="auto"/>
            <w:right w:val="none" w:sz="0" w:space="0" w:color="auto"/>
          </w:divBdr>
        </w:div>
        <w:div w:id="1096634279">
          <w:marLeft w:val="480"/>
          <w:marRight w:val="0"/>
          <w:marTop w:val="0"/>
          <w:marBottom w:val="0"/>
          <w:divBdr>
            <w:top w:val="none" w:sz="0" w:space="0" w:color="auto"/>
            <w:left w:val="none" w:sz="0" w:space="0" w:color="auto"/>
            <w:bottom w:val="none" w:sz="0" w:space="0" w:color="auto"/>
            <w:right w:val="none" w:sz="0" w:space="0" w:color="auto"/>
          </w:divBdr>
        </w:div>
        <w:div w:id="180166199">
          <w:marLeft w:val="480"/>
          <w:marRight w:val="0"/>
          <w:marTop w:val="0"/>
          <w:marBottom w:val="0"/>
          <w:divBdr>
            <w:top w:val="none" w:sz="0" w:space="0" w:color="auto"/>
            <w:left w:val="none" w:sz="0" w:space="0" w:color="auto"/>
            <w:bottom w:val="none" w:sz="0" w:space="0" w:color="auto"/>
            <w:right w:val="none" w:sz="0" w:space="0" w:color="auto"/>
          </w:divBdr>
        </w:div>
        <w:div w:id="829489320">
          <w:marLeft w:val="480"/>
          <w:marRight w:val="0"/>
          <w:marTop w:val="0"/>
          <w:marBottom w:val="0"/>
          <w:divBdr>
            <w:top w:val="none" w:sz="0" w:space="0" w:color="auto"/>
            <w:left w:val="none" w:sz="0" w:space="0" w:color="auto"/>
            <w:bottom w:val="none" w:sz="0" w:space="0" w:color="auto"/>
            <w:right w:val="none" w:sz="0" w:space="0" w:color="auto"/>
          </w:divBdr>
        </w:div>
        <w:div w:id="313871379">
          <w:marLeft w:val="480"/>
          <w:marRight w:val="0"/>
          <w:marTop w:val="0"/>
          <w:marBottom w:val="0"/>
          <w:divBdr>
            <w:top w:val="none" w:sz="0" w:space="0" w:color="auto"/>
            <w:left w:val="none" w:sz="0" w:space="0" w:color="auto"/>
            <w:bottom w:val="none" w:sz="0" w:space="0" w:color="auto"/>
            <w:right w:val="none" w:sz="0" w:space="0" w:color="auto"/>
          </w:divBdr>
        </w:div>
        <w:div w:id="546990424">
          <w:marLeft w:val="480"/>
          <w:marRight w:val="0"/>
          <w:marTop w:val="0"/>
          <w:marBottom w:val="0"/>
          <w:divBdr>
            <w:top w:val="none" w:sz="0" w:space="0" w:color="auto"/>
            <w:left w:val="none" w:sz="0" w:space="0" w:color="auto"/>
            <w:bottom w:val="none" w:sz="0" w:space="0" w:color="auto"/>
            <w:right w:val="none" w:sz="0" w:space="0" w:color="auto"/>
          </w:divBdr>
        </w:div>
        <w:div w:id="681510676">
          <w:marLeft w:val="480"/>
          <w:marRight w:val="0"/>
          <w:marTop w:val="0"/>
          <w:marBottom w:val="0"/>
          <w:divBdr>
            <w:top w:val="none" w:sz="0" w:space="0" w:color="auto"/>
            <w:left w:val="none" w:sz="0" w:space="0" w:color="auto"/>
            <w:bottom w:val="none" w:sz="0" w:space="0" w:color="auto"/>
            <w:right w:val="none" w:sz="0" w:space="0" w:color="auto"/>
          </w:divBdr>
        </w:div>
        <w:div w:id="1621646325">
          <w:marLeft w:val="480"/>
          <w:marRight w:val="0"/>
          <w:marTop w:val="0"/>
          <w:marBottom w:val="0"/>
          <w:divBdr>
            <w:top w:val="none" w:sz="0" w:space="0" w:color="auto"/>
            <w:left w:val="none" w:sz="0" w:space="0" w:color="auto"/>
            <w:bottom w:val="none" w:sz="0" w:space="0" w:color="auto"/>
            <w:right w:val="none" w:sz="0" w:space="0" w:color="auto"/>
          </w:divBdr>
        </w:div>
        <w:div w:id="270474405">
          <w:marLeft w:val="480"/>
          <w:marRight w:val="0"/>
          <w:marTop w:val="0"/>
          <w:marBottom w:val="0"/>
          <w:divBdr>
            <w:top w:val="none" w:sz="0" w:space="0" w:color="auto"/>
            <w:left w:val="none" w:sz="0" w:space="0" w:color="auto"/>
            <w:bottom w:val="none" w:sz="0" w:space="0" w:color="auto"/>
            <w:right w:val="none" w:sz="0" w:space="0" w:color="auto"/>
          </w:divBdr>
        </w:div>
        <w:div w:id="82074139">
          <w:marLeft w:val="480"/>
          <w:marRight w:val="0"/>
          <w:marTop w:val="0"/>
          <w:marBottom w:val="0"/>
          <w:divBdr>
            <w:top w:val="none" w:sz="0" w:space="0" w:color="auto"/>
            <w:left w:val="none" w:sz="0" w:space="0" w:color="auto"/>
            <w:bottom w:val="none" w:sz="0" w:space="0" w:color="auto"/>
            <w:right w:val="none" w:sz="0" w:space="0" w:color="auto"/>
          </w:divBdr>
        </w:div>
        <w:div w:id="1563445295">
          <w:marLeft w:val="480"/>
          <w:marRight w:val="0"/>
          <w:marTop w:val="0"/>
          <w:marBottom w:val="0"/>
          <w:divBdr>
            <w:top w:val="none" w:sz="0" w:space="0" w:color="auto"/>
            <w:left w:val="none" w:sz="0" w:space="0" w:color="auto"/>
            <w:bottom w:val="none" w:sz="0" w:space="0" w:color="auto"/>
            <w:right w:val="none" w:sz="0" w:space="0" w:color="auto"/>
          </w:divBdr>
        </w:div>
        <w:div w:id="1847479947">
          <w:marLeft w:val="480"/>
          <w:marRight w:val="0"/>
          <w:marTop w:val="0"/>
          <w:marBottom w:val="0"/>
          <w:divBdr>
            <w:top w:val="none" w:sz="0" w:space="0" w:color="auto"/>
            <w:left w:val="none" w:sz="0" w:space="0" w:color="auto"/>
            <w:bottom w:val="none" w:sz="0" w:space="0" w:color="auto"/>
            <w:right w:val="none" w:sz="0" w:space="0" w:color="auto"/>
          </w:divBdr>
        </w:div>
        <w:div w:id="1514686575">
          <w:marLeft w:val="480"/>
          <w:marRight w:val="0"/>
          <w:marTop w:val="0"/>
          <w:marBottom w:val="0"/>
          <w:divBdr>
            <w:top w:val="none" w:sz="0" w:space="0" w:color="auto"/>
            <w:left w:val="none" w:sz="0" w:space="0" w:color="auto"/>
            <w:bottom w:val="none" w:sz="0" w:space="0" w:color="auto"/>
            <w:right w:val="none" w:sz="0" w:space="0" w:color="auto"/>
          </w:divBdr>
        </w:div>
        <w:div w:id="1790004276">
          <w:marLeft w:val="480"/>
          <w:marRight w:val="0"/>
          <w:marTop w:val="0"/>
          <w:marBottom w:val="0"/>
          <w:divBdr>
            <w:top w:val="none" w:sz="0" w:space="0" w:color="auto"/>
            <w:left w:val="none" w:sz="0" w:space="0" w:color="auto"/>
            <w:bottom w:val="none" w:sz="0" w:space="0" w:color="auto"/>
            <w:right w:val="none" w:sz="0" w:space="0" w:color="auto"/>
          </w:divBdr>
        </w:div>
        <w:div w:id="1982687202">
          <w:marLeft w:val="480"/>
          <w:marRight w:val="0"/>
          <w:marTop w:val="0"/>
          <w:marBottom w:val="0"/>
          <w:divBdr>
            <w:top w:val="none" w:sz="0" w:space="0" w:color="auto"/>
            <w:left w:val="none" w:sz="0" w:space="0" w:color="auto"/>
            <w:bottom w:val="none" w:sz="0" w:space="0" w:color="auto"/>
            <w:right w:val="none" w:sz="0" w:space="0" w:color="auto"/>
          </w:divBdr>
        </w:div>
        <w:div w:id="448283028">
          <w:marLeft w:val="480"/>
          <w:marRight w:val="0"/>
          <w:marTop w:val="0"/>
          <w:marBottom w:val="0"/>
          <w:divBdr>
            <w:top w:val="none" w:sz="0" w:space="0" w:color="auto"/>
            <w:left w:val="none" w:sz="0" w:space="0" w:color="auto"/>
            <w:bottom w:val="none" w:sz="0" w:space="0" w:color="auto"/>
            <w:right w:val="none" w:sz="0" w:space="0" w:color="auto"/>
          </w:divBdr>
        </w:div>
        <w:div w:id="892427923">
          <w:marLeft w:val="480"/>
          <w:marRight w:val="0"/>
          <w:marTop w:val="0"/>
          <w:marBottom w:val="0"/>
          <w:divBdr>
            <w:top w:val="none" w:sz="0" w:space="0" w:color="auto"/>
            <w:left w:val="none" w:sz="0" w:space="0" w:color="auto"/>
            <w:bottom w:val="none" w:sz="0" w:space="0" w:color="auto"/>
            <w:right w:val="none" w:sz="0" w:space="0" w:color="auto"/>
          </w:divBdr>
        </w:div>
        <w:div w:id="758062647">
          <w:marLeft w:val="480"/>
          <w:marRight w:val="0"/>
          <w:marTop w:val="0"/>
          <w:marBottom w:val="0"/>
          <w:divBdr>
            <w:top w:val="none" w:sz="0" w:space="0" w:color="auto"/>
            <w:left w:val="none" w:sz="0" w:space="0" w:color="auto"/>
            <w:bottom w:val="none" w:sz="0" w:space="0" w:color="auto"/>
            <w:right w:val="none" w:sz="0" w:space="0" w:color="auto"/>
          </w:divBdr>
        </w:div>
        <w:div w:id="404375600">
          <w:marLeft w:val="480"/>
          <w:marRight w:val="0"/>
          <w:marTop w:val="0"/>
          <w:marBottom w:val="0"/>
          <w:divBdr>
            <w:top w:val="none" w:sz="0" w:space="0" w:color="auto"/>
            <w:left w:val="none" w:sz="0" w:space="0" w:color="auto"/>
            <w:bottom w:val="none" w:sz="0" w:space="0" w:color="auto"/>
            <w:right w:val="none" w:sz="0" w:space="0" w:color="auto"/>
          </w:divBdr>
        </w:div>
        <w:div w:id="391077784">
          <w:marLeft w:val="480"/>
          <w:marRight w:val="0"/>
          <w:marTop w:val="0"/>
          <w:marBottom w:val="0"/>
          <w:divBdr>
            <w:top w:val="none" w:sz="0" w:space="0" w:color="auto"/>
            <w:left w:val="none" w:sz="0" w:space="0" w:color="auto"/>
            <w:bottom w:val="none" w:sz="0" w:space="0" w:color="auto"/>
            <w:right w:val="none" w:sz="0" w:space="0" w:color="auto"/>
          </w:divBdr>
        </w:div>
        <w:div w:id="568273991">
          <w:marLeft w:val="480"/>
          <w:marRight w:val="0"/>
          <w:marTop w:val="0"/>
          <w:marBottom w:val="0"/>
          <w:divBdr>
            <w:top w:val="none" w:sz="0" w:space="0" w:color="auto"/>
            <w:left w:val="none" w:sz="0" w:space="0" w:color="auto"/>
            <w:bottom w:val="none" w:sz="0" w:space="0" w:color="auto"/>
            <w:right w:val="none" w:sz="0" w:space="0" w:color="auto"/>
          </w:divBdr>
        </w:div>
        <w:div w:id="2092968810">
          <w:marLeft w:val="480"/>
          <w:marRight w:val="0"/>
          <w:marTop w:val="0"/>
          <w:marBottom w:val="0"/>
          <w:divBdr>
            <w:top w:val="none" w:sz="0" w:space="0" w:color="auto"/>
            <w:left w:val="none" w:sz="0" w:space="0" w:color="auto"/>
            <w:bottom w:val="none" w:sz="0" w:space="0" w:color="auto"/>
            <w:right w:val="none" w:sz="0" w:space="0" w:color="auto"/>
          </w:divBdr>
        </w:div>
        <w:div w:id="1535926718">
          <w:marLeft w:val="480"/>
          <w:marRight w:val="0"/>
          <w:marTop w:val="0"/>
          <w:marBottom w:val="0"/>
          <w:divBdr>
            <w:top w:val="none" w:sz="0" w:space="0" w:color="auto"/>
            <w:left w:val="none" w:sz="0" w:space="0" w:color="auto"/>
            <w:bottom w:val="none" w:sz="0" w:space="0" w:color="auto"/>
            <w:right w:val="none" w:sz="0" w:space="0" w:color="auto"/>
          </w:divBdr>
        </w:div>
        <w:div w:id="73672571">
          <w:marLeft w:val="480"/>
          <w:marRight w:val="0"/>
          <w:marTop w:val="0"/>
          <w:marBottom w:val="0"/>
          <w:divBdr>
            <w:top w:val="none" w:sz="0" w:space="0" w:color="auto"/>
            <w:left w:val="none" w:sz="0" w:space="0" w:color="auto"/>
            <w:bottom w:val="none" w:sz="0" w:space="0" w:color="auto"/>
            <w:right w:val="none" w:sz="0" w:space="0" w:color="auto"/>
          </w:divBdr>
        </w:div>
        <w:div w:id="1513033316">
          <w:marLeft w:val="480"/>
          <w:marRight w:val="0"/>
          <w:marTop w:val="0"/>
          <w:marBottom w:val="0"/>
          <w:divBdr>
            <w:top w:val="none" w:sz="0" w:space="0" w:color="auto"/>
            <w:left w:val="none" w:sz="0" w:space="0" w:color="auto"/>
            <w:bottom w:val="none" w:sz="0" w:space="0" w:color="auto"/>
            <w:right w:val="none" w:sz="0" w:space="0" w:color="auto"/>
          </w:divBdr>
        </w:div>
        <w:div w:id="1106117052">
          <w:marLeft w:val="480"/>
          <w:marRight w:val="0"/>
          <w:marTop w:val="0"/>
          <w:marBottom w:val="0"/>
          <w:divBdr>
            <w:top w:val="none" w:sz="0" w:space="0" w:color="auto"/>
            <w:left w:val="none" w:sz="0" w:space="0" w:color="auto"/>
            <w:bottom w:val="none" w:sz="0" w:space="0" w:color="auto"/>
            <w:right w:val="none" w:sz="0" w:space="0" w:color="auto"/>
          </w:divBdr>
        </w:div>
        <w:div w:id="615599029">
          <w:marLeft w:val="480"/>
          <w:marRight w:val="0"/>
          <w:marTop w:val="0"/>
          <w:marBottom w:val="0"/>
          <w:divBdr>
            <w:top w:val="none" w:sz="0" w:space="0" w:color="auto"/>
            <w:left w:val="none" w:sz="0" w:space="0" w:color="auto"/>
            <w:bottom w:val="none" w:sz="0" w:space="0" w:color="auto"/>
            <w:right w:val="none" w:sz="0" w:space="0" w:color="auto"/>
          </w:divBdr>
        </w:div>
        <w:div w:id="1356231669">
          <w:marLeft w:val="480"/>
          <w:marRight w:val="0"/>
          <w:marTop w:val="0"/>
          <w:marBottom w:val="0"/>
          <w:divBdr>
            <w:top w:val="none" w:sz="0" w:space="0" w:color="auto"/>
            <w:left w:val="none" w:sz="0" w:space="0" w:color="auto"/>
            <w:bottom w:val="none" w:sz="0" w:space="0" w:color="auto"/>
            <w:right w:val="none" w:sz="0" w:space="0" w:color="auto"/>
          </w:divBdr>
        </w:div>
        <w:div w:id="1544561795">
          <w:marLeft w:val="480"/>
          <w:marRight w:val="0"/>
          <w:marTop w:val="0"/>
          <w:marBottom w:val="0"/>
          <w:divBdr>
            <w:top w:val="none" w:sz="0" w:space="0" w:color="auto"/>
            <w:left w:val="none" w:sz="0" w:space="0" w:color="auto"/>
            <w:bottom w:val="none" w:sz="0" w:space="0" w:color="auto"/>
            <w:right w:val="none" w:sz="0" w:space="0" w:color="auto"/>
          </w:divBdr>
        </w:div>
        <w:div w:id="547494917">
          <w:marLeft w:val="480"/>
          <w:marRight w:val="0"/>
          <w:marTop w:val="0"/>
          <w:marBottom w:val="0"/>
          <w:divBdr>
            <w:top w:val="none" w:sz="0" w:space="0" w:color="auto"/>
            <w:left w:val="none" w:sz="0" w:space="0" w:color="auto"/>
            <w:bottom w:val="none" w:sz="0" w:space="0" w:color="auto"/>
            <w:right w:val="none" w:sz="0" w:space="0" w:color="auto"/>
          </w:divBdr>
        </w:div>
        <w:div w:id="643774815">
          <w:marLeft w:val="480"/>
          <w:marRight w:val="0"/>
          <w:marTop w:val="0"/>
          <w:marBottom w:val="0"/>
          <w:divBdr>
            <w:top w:val="none" w:sz="0" w:space="0" w:color="auto"/>
            <w:left w:val="none" w:sz="0" w:space="0" w:color="auto"/>
            <w:bottom w:val="none" w:sz="0" w:space="0" w:color="auto"/>
            <w:right w:val="none" w:sz="0" w:space="0" w:color="auto"/>
          </w:divBdr>
        </w:div>
        <w:div w:id="623847037">
          <w:marLeft w:val="480"/>
          <w:marRight w:val="0"/>
          <w:marTop w:val="0"/>
          <w:marBottom w:val="0"/>
          <w:divBdr>
            <w:top w:val="none" w:sz="0" w:space="0" w:color="auto"/>
            <w:left w:val="none" w:sz="0" w:space="0" w:color="auto"/>
            <w:bottom w:val="none" w:sz="0" w:space="0" w:color="auto"/>
            <w:right w:val="none" w:sz="0" w:space="0" w:color="auto"/>
          </w:divBdr>
        </w:div>
        <w:div w:id="1573463216">
          <w:marLeft w:val="480"/>
          <w:marRight w:val="0"/>
          <w:marTop w:val="0"/>
          <w:marBottom w:val="0"/>
          <w:divBdr>
            <w:top w:val="none" w:sz="0" w:space="0" w:color="auto"/>
            <w:left w:val="none" w:sz="0" w:space="0" w:color="auto"/>
            <w:bottom w:val="none" w:sz="0" w:space="0" w:color="auto"/>
            <w:right w:val="none" w:sz="0" w:space="0" w:color="auto"/>
          </w:divBdr>
        </w:div>
        <w:div w:id="515922549">
          <w:marLeft w:val="480"/>
          <w:marRight w:val="0"/>
          <w:marTop w:val="0"/>
          <w:marBottom w:val="0"/>
          <w:divBdr>
            <w:top w:val="none" w:sz="0" w:space="0" w:color="auto"/>
            <w:left w:val="none" w:sz="0" w:space="0" w:color="auto"/>
            <w:bottom w:val="none" w:sz="0" w:space="0" w:color="auto"/>
            <w:right w:val="none" w:sz="0" w:space="0" w:color="auto"/>
          </w:divBdr>
        </w:div>
        <w:div w:id="1242790065">
          <w:marLeft w:val="480"/>
          <w:marRight w:val="0"/>
          <w:marTop w:val="0"/>
          <w:marBottom w:val="0"/>
          <w:divBdr>
            <w:top w:val="none" w:sz="0" w:space="0" w:color="auto"/>
            <w:left w:val="none" w:sz="0" w:space="0" w:color="auto"/>
            <w:bottom w:val="none" w:sz="0" w:space="0" w:color="auto"/>
            <w:right w:val="none" w:sz="0" w:space="0" w:color="auto"/>
          </w:divBdr>
        </w:div>
        <w:div w:id="2055153268">
          <w:marLeft w:val="480"/>
          <w:marRight w:val="0"/>
          <w:marTop w:val="0"/>
          <w:marBottom w:val="0"/>
          <w:divBdr>
            <w:top w:val="none" w:sz="0" w:space="0" w:color="auto"/>
            <w:left w:val="none" w:sz="0" w:space="0" w:color="auto"/>
            <w:bottom w:val="none" w:sz="0" w:space="0" w:color="auto"/>
            <w:right w:val="none" w:sz="0" w:space="0" w:color="auto"/>
          </w:divBdr>
        </w:div>
        <w:div w:id="151529884">
          <w:marLeft w:val="480"/>
          <w:marRight w:val="0"/>
          <w:marTop w:val="0"/>
          <w:marBottom w:val="0"/>
          <w:divBdr>
            <w:top w:val="none" w:sz="0" w:space="0" w:color="auto"/>
            <w:left w:val="none" w:sz="0" w:space="0" w:color="auto"/>
            <w:bottom w:val="none" w:sz="0" w:space="0" w:color="auto"/>
            <w:right w:val="none" w:sz="0" w:space="0" w:color="auto"/>
          </w:divBdr>
        </w:div>
        <w:div w:id="1407531270">
          <w:marLeft w:val="480"/>
          <w:marRight w:val="0"/>
          <w:marTop w:val="0"/>
          <w:marBottom w:val="0"/>
          <w:divBdr>
            <w:top w:val="none" w:sz="0" w:space="0" w:color="auto"/>
            <w:left w:val="none" w:sz="0" w:space="0" w:color="auto"/>
            <w:bottom w:val="none" w:sz="0" w:space="0" w:color="auto"/>
            <w:right w:val="none" w:sz="0" w:space="0" w:color="auto"/>
          </w:divBdr>
        </w:div>
        <w:div w:id="1653870404">
          <w:marLeft w:val="480"/>
          <w:marRight w:val="0"/>
          <w:marTop w:val="0"/>
          <w:marBottom w:val="0"/>
          <w:divBdr>
            <w:top w:val="none" w:sz="0" w:space="0" w:color="auto"/>
            <w:left w:val="none" w:sz="0" w:space="0" w:color="auto"/>
            <w:bottom w:val="none" w:sz="0" w:space="0" w:color="auto"/>
            <w:right w:val="none" w:sz="0" w:space="0" w:color="auto"/>
          </w:divBdr>
        </w:div>
        <w:div w:id="1057626996">
          <w:marLeft w:val="480"/>
          <w:marRight w:val="0"/>
          <w:marTop w:val="0"/>
          <w:marBottom w:val="0"/>
          <w:divBdr>
            <w:top w:val="none" w:sz="0" w:space="0" w:color="auto"/>
            <w:left w:val="none" w:sz="0" w:space="0" w:color="auto"/>
            <w:bottom w:val="none" w:sz="0" w:space="0" w:color="auto"/>
            <w:right w:val="none" w:sz="0" w:space="0" w:color="auto"/>
          </w:divBdr>
        </w:div>
        <w:div w:id="1871842592">
          <w:marLeft w:val="480"/>
          <w:marRight w:val="0"/>
          <w:marTop w:val="0"/>
          <w:marBottom w:val="0"/>
          <w:divBdr>
            <w:top w:val="none" w:sz="0" w:space="0" w:color="auto"/>
            <w:left w:val="none" w:sz="0" w:space="0" w:color="auto"/>
            <w:bottom w:val="none" w:sz="0" w:space="0" w:color="auto"/>
            <w:right w:val="none" w:sz="0" w:space="0" w:color="auto"/>
          </w:divBdr>
        </w:div>
        <w:div w:id="587154166">
          <w:marLeft w:val="480"/>
          <w:marRight w:val="0"/>
          <w:marTop w:val="0"/>
          <w:marBottom w:val="0"/>
          <w:divBdr>
            <w:top w:val="none" w:sz="0" w:space="0" w:color="auto"/>
            <w:left w:val="none" w:sz="0" w:space="0" w:color="auto"/>
            <w:bottom w:val="none" w:sz="0" w:space="0" w:color="auto"/>
            <w:right w:val="none" w:sz="0" w:space="0" w:color="auto"/>
          </w:divBdr>
        </w:div>
        <w:div w:id="1907257524">
          <w:marLeft w:val="480"/>
          <w:marRight w:val="0"/>
          <w:marTop w:val="0"/>
          <w:marBottom w:val="0"/>
          <w:divBdr>
            <w:top w:val="none" w:sz="0" w:space="0" w:color="auto"/>
            <w:left w:val="none" w:sz="0" w:space="0" w:color="auto"/>
            <w:bottom w:val="none" w:sz="0" w:space="0" w:color="auto"/>
            <w:right w:val="none" w:sz="0" w:space="0" w:color="auto"/>
          </w:divBdr>
        </w:div>
        <w:div w:id="517890718">
          <w:marLeft w:val="480"/>
          <w:marRight w:val="0"/>
          <w:marTop w:val="0"/>
          <w:marBottom w:val="0"/>
          <w:divBdr>
            <w:top w:val="none" w:sz="0" w:space="0" w:color="auto"/>
            <w:left w:val="none" w:sz="0" w:space="0" w:color="auto"/>
            <w:bottom w:val="none" w:sz="0" w:space="0" w:color="auto"/>
            <w:right w:val="none" w:sz="0" w:space="0" w:color="auto"/>
          </w:divBdr>
        </w:div>
        <w:div w:id="1180772618">
          <w:marLeft w:val="480"/>
          <w:marRight w:val="0"/>
          <w:marTop w:val="0"/>
          <w:marBottom w:val="0"/>
          <w:divBdr>
            <w:top w:val="none" w:sz="0" w:space="0" w:color="auto"/>
            <w:left w:val="none" w:sz="0" w:space="0" w:color="auto"/>
            <w:bottom w:val="none" w:sz="0" w:space="0" w:color="auto"/>
            <w:right w:val="none" w:sz="0" w:space="0" w:color="auto"/>
          </w:divBdr>
        </w:div>
        <w:div w:id="551691840">
          <w:marLeft w:val="480"/>
          <w:marRight w:val="0"/>
          <w:marTop w:val="0"/>
          <w:marBottom w:val="0"/>
          <w:divBdr>
            <w:top w:val="none" w:sz="0" w:space="0" w:color="auto"/>
            <w:left w:val="none" w:sz="0" w:space="0" w:color="auto"/>
            <w:bottom w:val="none" w:sz="0" w:space="0" w:color="auto"/>
            <w:right w:val="none" w:sz="0" w:space="0" w:color="auto"/>
          </w:divBdr>
        </w:div>
        <w:div w:id="1467242254">
          <w:marLeft w:val="480"/>
          <w:marRight w:val="0"/>
          <w:marTop w:val="0"/>
          <w:marBottom w:val="0"/>
          <w:divBdr>
            <w:top w:val="none" w:sz="0" w:space="0" w:color="auto"/>
            <w:left w:val="none" w:sz="0" w:space="0" w:color="auto"/>
            <w:bottom w:val="none" w:sz="0" w:space="0" w:color="auto"/>
            <w:right w:val="none" w:sz="0" w:space="0" w:color="auto"/>
          </w:divBdr>
        </w:div>
        <w:div w:id="1362166603">
          <w:marLeft w:val="480"/>
          <w:marRight w:val="0"/>
          <w:marTop w:val="0"/>
          <w:marBottom w:val="0"/>
          <w:divBdr>
            <w:top w:val="none" w:sz="0" w:space="0" w:color="auto"/>
            <w:left w:val="none" w:sz="0" w:space="0" w:color="auto"/>
            <w:bottom w:val="none" w:sz="0" w:space="0" w:color="auto"/>
            <w:right w:val="none" w:sz="0" w:space="0" w:color="auto"/>
          </w:divBdr>
        </w:div>
        <w:div w:id="1760784040">
          <w:marLeft w:val="480"/>
          <w:marRight w:val="0"/>
          <w:marTop w:val="0"/>
          <w:marBottom w:val="0"/>
          <w:divBdr>
            <w:top w:val="none" w:sz="0" w:space="0" w:color="auto"/>
            <w:left w:val="none" w:sz="0" w:space="0" w:color="auto"/>
            <w:bottom w:val="none" w:sz="0" w:space="0" w:color="auto"/>
            <w:right w:val="none" w:sz="0" w:space="0" w:color="auto"/>
          </w:divBdr>
        </w:div>
        <w:div w:id="1141655198">
          <w:marLeft w:val="480"/>
          <w:marRight w:val="0"/>
          <w:marTop w:val="0"/>
          <w:marBottom w:val="0"/>
          <w:divBdr>
            <w:top w:val="none" w:sz="0" w:space="0" w:color="auto"/>
            <w:left w:val="none" w:sz="0" w:space="0" w:color="auto"/>
            <w:bottom w:val="none" w:sz="0" w:space="0" w:color="auto"/>
            <w:right w:val="none" w:sz="0" w:space="0" w:color="auto"/>
          </w:divBdr>
        </w:div>
        <w:div w:id="844630014">
          <w:marLeft w:val="480"/>
          <w:marRight w:val="0"/>
          <w:marTop w:val="0"/>
          <w:marBottom w:val="0"/>
          <w:divBdr>
            <w:top w:val="none" w:sz="0" w:space="0" w:color="auto"/>
            <w:left w:val="none" w:sz="0" w:space="0" w:color="auto"/>
            <w:bottom w:val="none" w:sz="0" w:space="0" w:color="auto"/>
            <w:right w:val="none" w:sz="0" w:space="0" w:color="auto"/>
          </w:divBdr>
        </w:div>
        <w:div w:id="493378273">
          <w:marLeft w:val="480"/>
          <w:marRight w:val="0"/>
          <w:marTop w:val="0"/>
          <w:marBottom w:val="0"/>
          <w:divBdr>
            <w:top w:val="none" w:sz="0" w:space="0" w:color="auto"/>
            <w:left w:val="none" w:sz="0" w:space="0" w:color="auto"/>
            <w:bottom w:val="none" w:sz="0" w:space="0" w:color="auto"/>
            <w:right w:val="none" w:sz="0" w:space="0" w:color="auto"/>
          </w:divBdr>
        </w:div>
        <w:div w:id="293558653">
          <w:marLeft w:val="480"/>
          <w:marRight w:val="0"/>
          <w:marTop w:val="0"/>
          <w:marBottom w:val="0"/>
          <w:divBdr>
            <w:top w:val="none" w:sz="0" w:space="0" w:color="auto"/>
            <w:left w:val="none" w:sz="0" w:space="0" w:color="auto"/>
            <w:bottom w:val="none" w:sz="0" w:space="0" w:color="auto"/>
            <w:right w:val="none" w:sz="0" w:space="0" w:color="auto"/>
          </w:divBdr>
        </w:div>
        <w:div w:id="1758137769">
          <w:marLeft w:val="480"/>
          <w:marRight w:val="0"/>
          <w:marTop w:val="0"/>
          <w:marBottom w:val="0"/>
          <w:divBdr>
            <w:top w:val="none" w:sz="0" w:space="0" w:color="auto"/>
            <w:left w:val="none" w:sz="0" w:space="0" w:color="auto"/>
            <w:bottom w:val="none" w:sz="0" w:space="0" w:color="auto"/>
            <w:right w:val="none" w:sz="0" w:space="0" w:color="auto"/>
          </w:divBdr>
        </w:div>
        <w:div w:id="1502506980">
          <w:marLeft w:val="480"/>
          <w:marRight w:val="0"/>
          <w:marTop w:val="0"/>
          <w:marBottom w:val="0"/>
          <w:divBdr>
            <w:top w:val="none" w:sz="0" w:space="0" w:color="auto"/>
            <w:left w:val="none" w:sz="0" w:space="0" w:color="auto"/>
            <w:bottom w:val="none" w:sz="0" w:space="0" w:color="auto"/>
            <w:right w:val="none" w:sz="0" w:space="0" w:color="auto"/>
          </w:divBdr>
        </w:div>
        <w:div w:id="399645484">
          <w:marLeft w:val="480"/>
          <w:marRight w:val="0"/>
          <w:marTop w:val="0"/>
          <w:marBottom w:val="0"/>
          <w:divBdr>
            <w:top w:val="none" w:sz="0" w:space="0" w:color="auto"/>
            <w:left w:val="none" w:sz="0" w:space="0" w:color="auto"/>
            <w:bottom w:val="none" w:sz="0" w:space="0" w:color="auto"/>
            <w:right w:val="none" w:sz="0" w:space="0" w:color="auto"/>
          </w:divBdr>
        </w:div>
        <w:div w:id="1120227126">
          <w:marLeft w:val="480"/>
          <w:marRight w:val="0"/>
          <w:marTop w:val="0"/>
          <w:marBottom w:val="0"/>
          <w:divBdr>
            <w:top w:val="none" w:sz="0" w:space="0" w:color="auto"/>
            <w:left w:val="none" w:sz="0" w:space="0" w:color="auto"/>
            <w:bottom w:val="none" w:sz="0" w:space="0" w:color="auto"/>
            <w:right w:val="none" w:sz="0" w:space="0" w:color="auto"/>
          </w:divBdr>
        </w:div>
        <w:div w:id="391659436">
          <w:marLeft w:val="480"/>
          <w:marRight w:val="0"/>
          <w:marTop w:val="0"/>
          <w:marBottom w:val="0"/>
          <w:divBdr>
            <w:top w:val="none" w:sz="0" w:space="0" w:color="auto"/>
            <w:left w:val="none" w:sz="0" w:space="0" w:color="auto"/>
            <w:bottom w:val="none" w:sz="0" w:space="0" w:color="auto"/>
            <w:right w:val="none" w:sz="0" w:space="0" w:color="auto"/>
          </w:divBdr>
        </w:div>
        <w:div w:id="1358846491">
          <w:marLeft w:val="480"/>
          <w:marRight w:val="0"/>
          <w:marTop w:val="0"/>
          <w:marBottom w:val="0"/>
          <w:divBdr>
            <w:top w:val="none" w:sz="0" w:space="0" w:color="auto"/>
            <w:left w:val="none" w:sz="0" w:space="0" w:color="auto"/>
            <w:bottom w:val="none" w:sz="0" w:space="0" w:color="auto"/>
            <w:right w:val="none" w:sz="0" w:space="0" w:color="auto"/>
          </w:divBdr>
        </w:div>
        <w:div w:id="1696730714">
          <w:marLeft w:val="480"/>
          <w:marRight w:val="0"/>
          <w:marTop w:val="0"/>
          <w:marBottom w:val="0"/>
          <w:divBdr>
            <w:top w:val="none" w:sz="0" w:space="0" w:color="auto"/>
            <w:left w:val="none" w:sz="0" w:space="0" w:color="auto"/>
            <w:bottom w:val="none" w:sz="0" w:space="0" w:color="auto"/>
            <w:right w:val="none" w:sz="0" w:space="0" w:color="auto"/>
          </w:divBdr>
        </w:div>
        <w:div w:id="975179716">
          <w:marLeft w:val="480"/>
          <w:marRight w:val="0"/>
          <w:marTop w:val="0"/>
          <w:marBottom w:val="0"/>
          <w:divBdr>
            <w:top w:val="none" w:sz="0" w:space="0" w:color="auto"/>
            <w:left w:val="none" w:sz="0" w:space="0" w:color="auto"/>
            <w:bottom w:val="none" w:sz="0" w:space="0" w:color="auto"/>
            <w:right w:val="none" w:sz="0" w:space="0" w:color="auto"/>
          </w:divBdr>
        </w:div>
        <w:div w:id="1860118184">
          <w:marLeft w:val="480"/>
          <w:marRight w:val="0"/>
          <w:marTop w:val="0"/>
          <w:marBottom w:val="0"/>
          <w:divBdr>
            <w:top w:val="none" w:sz="0" w:space="0" w:color="auto"/>
            <w:left w:val="none" w:sz="0" w:space="0" w:color="auto"/>
            <w:bottom w:val="none" w:sz="0" w:space="0" w:color="auto"/>
            <w:right w:val="none" w:sz="0" w:space="0" w:color="auto"/>
          </w:divBdr>
        </w:div>
        <w:div w:id="112359550">
          <w:marLeft w:val="480"/>
          <w:marRight w:val="0"/>
          <w:marTop w:val="0"/>
          <w:marBottom w:val="0"/>
          <w:divBdr>
            <w:top w:val="none" w:sz="0" w:space="0" w:color="auto"/>
            <w:left w:val="none" w:sz="0" w:space="0" w:color="auto"/>
            <w:bottom w:val="none" w:sz="0" w:space="0" w:color="auto"/>
            <w:right w:val="none" w:sz="0" w:space="0" w:color="auto"/>
          </w:divBdr>
        </w:div>
        <w:div w:id="60711173">
          <w:marLeft w:val="480"/>
          <w:marRight w:val="0"/>
          <w:marTop w:val="0"/>
          <w:marBottom w:val="0"/>
          <w:divBdr>
            <w:top w:val="none" w:sz="0" w:space="0" w:color="auto"/>
            <w:left w:val="none" w:sz="0" w:space="0" w:color="auto"/>
            <w:bottom w:val="none" w:sz="0" w:space="0" w:color="auto"/>
            <w:right w:val="none" w:sz="0" w:space="0" w:color="auto"/>
          </w:divBdr>
        </w:div>
        <w:div w:id="396439202">
          <w:marLeft w:val="480"/>
          <w:marRight w:val="0"/>
          <w:marTop w:val="0"/>
          <w:marBottom w:val="0"/>
          <w:divBdr>
            <w:top w:val="none" w:sz="0" w:space="0" w:color="auto"/>
            <w:left w:val="none" w:sz="0" w:space="0" w:color="auto"/>
            <w:bottom w:val="none" w:sz="0" w:space="0" w:color="auto"/>
            <w:right w:val="none" w:sz="0" w:space="0" w:color="auto"/>
          </w:divBdr>
        </w:div>
        <w:div w:id="482546418">
          <w:marLeft w:val="480"/>
          <w:marRight w:val="0"/>
          <w:marTop w:val="0"/>
          <w:marBottom w:val="0"/>
          <w:divBdr>
            <w:top w:val="none" w:sz="0" w:space="0" w:color="auto"/>
            <w:left w:val="none" w:sz="0" w:space="0" w:color="auto"/>
            <w:bottom w:val="none" w:sz="0" w:space="0" w:color="auto"/>
            <w:right w:val="none" w:sz="0" w:space="0" w:color="auto"/>
          </w:divBdr>
        </w:div>
        <w:div w:id="181747209">
          <w:marLeft w:val="480"/>
          <w:marRight w:val="0"/>
          <w:marTop w:val="0"/>
          <w:marBottom w:val="0"/>
          <w:divBdr>
            <w:top w:val="none" w:sz="0" w:space="0" w:color="auto"/>
            <w:left w:val="none" w:sz="0" w:space="0" w:color="auto"/>
            <w:bottom w:val="none" w:sz="0" w:space="0" w:color="auto"/>
            <w:right w:val="none" w:sz="0" w:space="0" w:color="auto"/>
          </w:divBdr>
        </w:div>
        <w:div w:id="1824544239">
          <w:marLeft w:val="480"/>
          <w:marRight w:val="0"/>
          <w:marTop w:val="0"/>
          <w:marBottom w:val="0"/>
          <w:divBdr>
            <w:top w:val="none" w:sz="0" w:space="0" w:color="auto"/>
            <w:left w:val="none" w:sz="0" w:space="0" w:color="auto"/>
            <w:bottom w:val="none" w:sz="0" w:space="0" w:color="auto"/>
            <w:right w:val="none" w:sz="0" w:space="0" w:color="auto"/>
          </w:divBdr>
        </w:div>
        <w:div w:id="1909226615">
          <w:marLeft w:val="480"/>
          <w:marRight w:val="0"/>
          <w:marTop w:val="0"/>
          <w:marBottom w:val="0"/>
          <w:divBdr>
            <w:top w:val="none" w:sz="0" w:space="0" w:color="auto"/>
            <w:left w:val="none" w:sz="0" w:space="0" w:color="auto"/>
            <w:bottom w:val="none" w:sz="0" w:space="0" w:color="auto"/>
            <w:right w:val="none" w:sz="0" w:space="0" w:color="auto"/>
          </w:divBdr>
        </w:div>
        <w:div w:id="1939828136">
          <w:marLeft w:val="480"/>
          <w:marRight w:val="0"/>
          <w:marTop w:val="0"/>
          <w:marBottom w:val="0"/>
          <w:divBdr>
            <w:top w:val="none" w:sz="0" w:space="0" w:color="auto"/>
            <w:left w:val="none" w:sz="0" w:space="0" w:color="auto"/>
            <w:bottom w:val="none" w:sz="0" w:space="0" w:color="auto"/>
            <w:right w:val="none" w:sz="0" w:space="0" w:color="auto"/>
          </w:divBdr>
        </w:div>
        <w:div w:id="2064402695">
          <w:marLeft w:val="480"/>
          <w:marRight w:val="0"/>
          <w:marTop w:val="0"/>
          <w:marBottom w:val="0"/>
          <w:divBdr>
            <w:top w:val="none" w:sz="0" w:space="0" w:color="auto"/>
            <w:left w:val="none" w:sz="0" w:space="0" w:color="auto"/>
            <w:bottom w:val="none" w:sz="0" w:space="0" w:color="auto"/>
            <w:right w:val="none" w:sz="0" w:space="0" w:color="auto"/>
          </w:divBdr>
        </w:div>
        <w:div w:id="1587693161">
          <w:marLeft w:val="480"/>
          <w:marRight w:val="0"/>
          <w:marTop w:val="0"/>
          <w:marBottom w:val="0"/>
          <w:divBdr>
            <w:top w:val="none" w:sz="0" w:space="0" w:color="auto"/>
            <w:left w:val="none" w:sz="0" w:space="0" w:color="auto"/>
            <w:bottom w:val="none" w:sz="0" w:space="0" w:color="auto"/>
            <w:right w:val="none" w:sz="0" w:space="0" w:color="auto"/>
          </w:divBdr>
        </w:div>
        <w:div w:id="686443386">
          <w:marLeft w:val="480"/>
          <w:marRight w:val="0"/>
          <w:marTop w:val="0"/>
          <w:marBottom w:val="0"/>
          <w:divBdr>
            <w:top w:val="none" w:sz="0" w:space="0" w:color="auto"/>
            <w:left w:val="none" w:sz="0" w:space="0" w:color="auto"/>
            <w:bottom w:val="none" w:sz="0" w:space="0" w:color="auto"/>
            <w:right w:val="none" w:sz="0" w:space="0" w:color="auto"/>
          </w:divBdr>
        </w:div>
        <w:div w:id="1239750109">
          <w:marLeft w:val="480"/>
          <w:marRight w:val="0"/>
          <w:marTop w:val="0"/>
          <w:marBottom w:val="0"/>
          <w:divBdr>
            <w:top w:val="none" w:sz="0" w:space="0" w:color="auto"/>
            <w:left w:val="none" w:sz="0" w:space="0" w:color="auto"/>
            <w:bottom w:val="none" w:sz="0" w:space="0" w:color="auto"/>
            <w:right w:val="none" w:sz="0" w:space="0" w:color="auto"/>
          </w:divBdr>
        </w:div>
        <w:div w:id="867061165">
          <w:marLeft w:val="480"/>
          <w:marRight w:val="0"/>
          <w:marTop w:val="0"/>
          <w:marBottom w:val="0"/>
          <w:divBdr>
            <w:top w:val="none" w:sz="0" w:space="0" w:color="auto"/>
            <w:left w:val="none" w:sz="0" w:space="0" w:color="auto"/>
            <w:bottom w:val="none" w:sz="0" w:space="0" w:color="auto"/>
            <w:right w:val="none" w:sz="0" w:space="0" w:color="auto"/>
          </w:divBdr>
        </w:div>
        <w:div w:id="1301225987">
          <w:marLeft w:val="480"/>
          <w:marRight w:val="0"/>
          <w:marTop w:val="0"/>
          <w:marBottom w:val="0"/>
          <w:divBdr>
            <w:top w:val="none" w:sz="0" w:space="0" w:color="auto"/>
            <w:left w:val="none" w:sz="0" w:space="0" w:color="auto"/>
            <w:bottom w:val="none" w:sz="0" w:space="0" w:color="auto"/>
            <w:right w:val="none" w:sz="0" w:space="0" w:color="auto"/>
          </w:divBdr>
        </w:div>
        <w:div w:id="940645775">
          <w:marLeft w:val="480"/>
          <w:marRight w:val="0"/>
          <w:marTop w:val="0"/>
          <w:marBottom w:val="0"/>
          <w:divBdr>
            <w:top w:val="none" w:sz="0" w:space="0" w:color="auto"/>
            <w:left w:val="none" w:sz="0" w:space="0" w:color="auto"/>
            <w:bottom w:val="none" w:sz="0" w:space="0" w:color="auto"/>
            <w:right w:val="none" w:sz="0" w:space="0" w:color="auto"/>
          </w:divBdr>
        </w:div>
        <w:div w:id="2020304936">
          <w:marLeft w:val="480"/>
          <w:marRight w:val="0"/>
          <w:marTop w:val="0"/>
          <w:marBottom w:val="0"/>
          <w:divBdr>
            <w:top w:val="none" w:sz="0" w:space="0" w:color="auto"/>
            <w:left w:val="none" w:sz="0" w:space="0" w:color="auto"/>
            <w:bottom w:val="none" w:sz="0" w:space="0" w:color="auto"/>
            <w:right w:val="none" w:sz="0" w:space="0" w:color="auto"/>
          </w:divBdr>
        </w:div>
        <w:div w:id="211039741">
          <w:marLeft w:val="480"/>
          <w:marRight w:val="0"/>
          <w:marTop w:val="0"/>
          <w:marBottom w:val="0"/>
          <w:divBdr>
            <w:top w:val="none" w:sz="0" w:space="0" w:color="auto"/>
            <w:left w:val="none" w:sz="0" w:space="0" w:color="auto"/>
            <w:bottom w:val="none" w:sz="0" w:space="0" w:color="auto"/>
            <w:right w:val="none" w:sz="0" w:space="0" w:color="auto"/>
          </w:divBdr>
        </w:div>
        <w:div w:id="1640568689">
          <w:marLeft w:val="480"/>
          <w:marRight w:val="0"/>
          <w:marTop w:val="0"/>
          <w:marBottom w:val="0"/>
          <w:divBdr>
            <w:top w:val="none" w:sz="0" w:space="0" w:color="auto"/>
            <w:left w:val="none" w:sz="0" w:space="0" w:color="auto"/>
            <w:bottom w:val="none" w:sz="0" w:space="0" w:color="auto"/>
            <w:right w:val="none" w:sz="0" w:space="0" w:color="auto"/>
          </w:divBdr>
        </w:div>
        <w:div w:id="681278636">
          <w:marLeft w:val="480"/>
          <w:marRight w:val="0"/>
          <w:marTop w:val="0"/>
          <w:marBottom w:val="0"/>
          <w:divBdr>
            <w:top w:val="none" w:sz="0" w:space="0" w:color="auto"/>
            <w:left w:val="none" w:sz="0" w:space="0" w:color="auto"/>
            <w:bottom w:val="none" w:sz="0" w:space="0" w:color="auto"/>
            <w:right w:val="none" w:sz="0" w:space="0" w:color="auto"/>
          </w:divBdr>
        </w:div>
        <w:div w:id="1048838595">
          <w:marLeft w:val="480"/>
          <w:marRight w:val="0"/>
          <w:marTop w:val="0"/>
          <w:marBottom w:val="0"/>
          <w:divBdr>
            <w:top w:val="none" w:sz="0" w:space="0" w:color="auto"/>
            <w:left w:val="none" w:sz="0" w:space="0" w:color="auto"/>
            <w:bottom w:val="none" w:sz="0" w:space="0" w:color="auto"/>
            <w:right w:val="none" w:sz="0" w:space="0" w:color="auto"/>
          </w:divBdr>
        </w:div>
        <w:div w:id="951936289">
          <w:marLeft w:val="480"/>
          <w:marRight w:val="0"/>
          <w:marTop w:val="0"/>
          <w:marBottom w:val="0"/>
          <w:divBdr>
            <w:top w:val="none" w:sz="0" w:space="0" w:color="auto"/>
            <w:left w:val="none" w:sz="0" w:space="0" w:color="auto"/>
            <w:bottom w:val="none" w:sz="0" w:space="0" w:color="auto"/>
            <w:right w:val="none" w:sz="0" w:space="0" w:color="auto"/>
          </w:divBdr>
        </w:div>
        <w:div w:id="1880629682">
          <w:marLeft w:val="480"/>
          <w:marRight w:val="0"/>
          <w:marTop w:val="0"/>
          <w:marBottom w:val="0"/>
          <w:divBdr>
            <w:top w:val="none" w:sz="0" w:space="0" w:color="auto"/>
            <w:left w:val="none" w:sz="0" w:space="0" w:color="auto"/>
            <w:bottom w:val="none" w:sz="0" w:space="0" w:color="auto"/>
            <w:right w:val="none" w:sz="0" w:space="0" w:color="auto"/>
          </w:divBdr>
        </w:div>
        <w:div w:id="1281952826">
          <w:marLeft w:val="480"/>
          <w:marRight w:val="0"/>
          <w:marTop w:val="0"/>
          <w:marBottom w:val="0"/>
          <w:divBdr>
            <w:top w:val="none" w:sz="0" w:space="0" w:color="auto"/>
            <w:left w:val="none" w:sz="0" w:space="0" w:color="auto"/>
            <w:bottom w:val="none" w:sz="0" w:space="0" w:color="auto"/>
            <w:right w:val="none" w:sz="0" w:space="0" w:color="auto"/>
          </w:divBdr>
        </w:div>
        <w:div w:id="649528651">
          <w:marLeft w:val="480"/>
          <w:marRight w:val="0"/>
          <w:marTop w:val="0"/>
          <w:marBottom w:val="0"/>
          <w:divBdr>
            <w:top w:val="none" w:sz="0" w:space="0" w:color="auto"/>
            <w:left w:val="none" w:sz="0" w:space="0" w:color="auto"/>
            <w:bottom w:val="none" w:sz="0" w:space="0" w:color="auto"/>
            <w:right w:val="none" w:sz="0" w:space="0" w:color="auto"/>
          </w:divBdr>
        </w:div>
        <w:div w:id="881096824">
          <w:marLeft w:val="480"/>
          <w:marRight w:val="0"/>
          <w:marTop w:val="0"/>
          <w:marBottom w:val="0"/>
          <w:divBdr>
            <w:top w:val="none" w:sz="0" w:space="0" w:color="auto"/>
            <w:left w:val="none" w:sz="0" w:space="0" w:color="auto"/>
            <w:bottom w:val="none" w:sz="0" w:space="0" w:color="auto"/>
            <w:right w:val="none" w:sz="0" w:space="0" w:color="auto"/>
          </w:divBdr>
        </w:div>
        <w:div w:id="1236554916">
          <w:marLeft w:val="480"/>
          <w:marRight w:val="0"/>
          <w:marTop w:val="0"/>
          <w:marBottom w:val="0"/>
          <w:divBdr>
            <w:top w:val="none" w:sz="0" w:space="0" w:color="auto"/>
            <w:left w:val="none" w:sz="0" w:space="0" w:color="auto"/>
            <w:bottom w:val="none" w:sz="0" w:space="0" w:color="auto"/>
            <w:right w:val="none" w:sz="0" w:space="0" w:color="auto"/>
          </w:divBdr>
        </w:div>
        <w:div w:id="158468071">
          <w:marLeft w:val="480"/>
          <w:marRight w:val="0"/>
          <w:marTop w:val="0"/>
          <w:marBottom w:val="0"/>
          <w:divBdr>
            <w:top w:val="none" w:sz="0" w:space="0" w:color="auto"/>
            <w:left w:val="none" w:sz="0" w:space="0" w:color="auto"/>
            <w:bottom w:val="none" w:sz="0" w:space="0" w:color="auto"/>
            <w:right w:val="none" w:sz="0" w:space="0" w:color="auto"/>
          </w:divBdr>
        </w:div>
        <w:div w:id="1630937475">
          <w:marLeft w:val="480"/>
          <w:marRight w:val="0"/>
          <w:marTop w:val="0"/>
          <w:marBottom w:val="0"/>
          <w:divBdr>
            <w:top w:val="none" w:sz="0" w:space="0" w:color="auto"/>
            <w:left w:val="none" w:sz="0" w:space="0" w:color="auto"/>
            <w:bottom w:val="none" w:sz="0" w:space="0" w:color="auto"/>
            <w:right w:val="none" w:sz="0" w:space="0" w:color="auto"/>
          </w:divBdr>
        </w:div>
        <w:div w:id="539782325">
          <w:marLeft w:val="480"/>
          <w:marRight w:val="0"/>
          <w:marTop w:val="0"/>
          <w:marBottom w:val="0"/>
          <w:divBdr>
            <w:top w:val="none" w:sz="0" w:space="0" w:color="auto"/>
            <w:left w:val="none" w:sz="0" w:space="0" w:color="auto"/>
            <w:bottom w:val="none" w:sz="0" w:space="0" w:color="auto"/>
            <w:right w:val="none" w:sz="0" w:space="0" w:color="auto"/>
          </w:divBdr>
        </w:div>
      </w:divsChild>
    </w:div>
    <w:div w:id="1675917975">
      <w:bodyDiv w:val="1"/>
      <w:marLeft w:val="0"/>
      <w:marRight w:val="0"/>
      <w:marTop w:val="0"/>
      <w:marBottom w:val="0"/>
      <w:divBdr>
        <w:top w:val="none" w:sz="0" w:space="0" w:color="auto"/>
        <w:left w:val="none" w:sz="0" w:space="0" w:color="auto"/>
        <w:bottom w:val="none" w:sz="0" w:space="0" w:color="auto"/>
        <w:right w:val="none" w:sz="0" w:space="0" w:color="auto"/>
      </w:divBdr>
    </w:div>
    <w:div w:id="1676610159">
      <w:bodyDiv w:val="1"/>
      <w:marLeft w:val="0"/>
      <w:marRight w:val="0"/>
      <w:marTop w:val="0"/>
      <w:marBottom w:val="0"/>
      <w:divBdr>
        <w:top w:val="none" w:sz="0" w:space="0" w:color="auto"/>
        <w:left w:val="none" w:sz="0" w:space="0" w:color="auto"/>
        <w:bottom w:val="none" w:sz="0" w:space="0" w:color="auto"/>
        <w:right w:val="none" w:sz="0" w:space="0" w:color="auto"/>
      </w:divBdr>
    </w:div>
    <w:div w:id="1677078231">
      <w:bodyDiv w:val="1"/>
      <w:marLeft w:val="0"/>
      <w:marRight w:val="0"/>
      <w:marTop w:val="0"/>
      <w:marBottom w:val="0"/>
      <w:divBdr>
        <w:top w:val="none" w:sz="0" w:space="0" w:color="auto"/>
        <w:left w:val="none" w:sz="0" w:space="0" w:color="auto"/>
        <w:bottom w:val="none" w:sz="0" w:space="0" w:color="auto"/>
        <w:right w:val="none" w:sz="0" w:space="0" w:color="auto"/>
      </w:divBdr>
    </w:div>
    <w:div w:id="1677414473">
      <w:bodyDiv w:val="1"/>
      <w:marLeft w:val="0"/>
      <w:marRight w:val="0"/>
      <w:marTop w:val="0"/>
      <w:marBottom w:val="0"/>
      <w:divBdr>
        <w:top w:val="none" w:sz="0" w:space="0" w:color="auto"/>
        <w:left w:val="none" w:sz="0" w:space="0" w:color="auto"/>
        <w:bottom w:val="none" w:sz="0" w:space="0" w:color="auto"/>
        <w:right w:val="none" w:sz="0" w:space="0" w:color="auto"/>
      </w:divBdr>
    </w:div>
    <w:div w:id="1677418275">
      <w:bodyDiv w:val="1"/>
      <w:marLeft w:val="0"/>
      <w:marRight w:val="0"/>
      <w:marTop w:val="0"/>
      <w:marBottom w:val="0"/>
      <w:divBdr>
        <w:top w:val="none" w:sz="0" w:space="0" w:color="auto"/>
        <w:left w:val="none" w:sz="0" w:space="0" w:color="auto"/>
        <w:bottom w:val="none" w:sz="0" w:space="0" w:color="auto"/>
        <w:right w:val="none" w:sz="0" w:space="0" w:color="auto"/>
      </w:divBdr>
    </w:div>
    <w:div w:id="1677540432">
      <w:bodyDiv w:val="1"/>
      <w:marLeft w:val="0"/>
      <w:marRight w:val="0"/>
      <w:marTop w:val="0"/>
      <w:marBottom w:val="0"/>
      <w:divBdr>
        <w:top w:val="none" w:sz="0" w:space="0" w:color="auto"/>
        <w:left w:val="none" w:sz="0" w:space="0" w:color="auto"/>
        <w:bottom w:val="none" w:sz="0" w:space="0" w:color="auto"/>
        <w:right w:val="none" w:sz="0" w:space="0" w:color="auto"/>
      </w:divBdr>
    </w:div>
    <w:div w:id="1678144367">
      <w:bodyDiv w:val="1"/>
      <w:marLeft w:val="0"/>
      <w:marRight w:val="0"/>
      <w:marTop w:val="0"/>
      <w:marBottom w:val="0"/>
      <w:divBdr>
        <w:top w:val="none" w:sz="0" w:space="0" w:color="auto"/>
        <w:left w:val="none" w:sz="0" w:space="0" w:color="auto"/>
        <w:bottom w:val="none" w:sz="0" w:space="0" w:color="auto"/>
        <w:right w:val="none" w:sz="0" w:space="0" w:color="auto"/>
      </w:divBdr>
    </w:div>
    <w:div w:id="1678968885">
      <w:bodyDiv w:val="1"/>
      <w:marLeft w:val="0"/>
      <w:marRight w:val="0"/>
      <w:marTop w:val="0"/>
      <w:marBottom w:val="0"/>
      <w:divBdr>
        <w:top w:val="none" w:sz="0" w:space="0" w:color="auto"/>
        <w:left w:val="none" w:sz="0" w:space="0" w:color="auto"/>
        <w:bottom w:val="none" w:sz="0" w:space="0" w:color="auto"/>
        <w:right w:val="none" w:sz="0" w:space="0" w:color="auto"/>
      </w:divBdr>
    </w:div>
    <w:div w:id="1679844902">
      <w:bodyDiv w:val="1"/>
      <w:marLeft w:val="0"/>
      <w:marRight w:val="0"/>
      <w:marTop w:val="0"/>
      <w:marBottom w:val="0"/>
      <w:divBdr>
        <w:top w:val="none" w:sz="0" w:space="0" w:color="auto"/>
        <w:left w:val="none" w:sz="0" w:space="0" w:color="auto"/>
        <w:bottom w:val="none" w:sz="0" w:space="0" w:color="auto"/>
        <w:right w:val="none" w:sz="0" w:space="0" w:color="auto"/>
      </w:divBdr>
    </w:div>
    <w:div w:id="1679892888">
      <w:bodyDiv w:val="1"/>
      <w:marLeft w:val="0"/>
      <w:marRight w:val="0"/>
      <w:marTop w:val="0"/>
      <w:marBottom w:val="0"/>
      <w:divBdr>
        <w:top w:val="none" w:sz="0" w:space="0" w:color="auto"/>
        <w:left w:val="none" w:sz="0" w:space="0" w:color="auto"/>
        <w:bottom w:val="none" w:sz="0" w:space="0" w:color="auto"/>
        <w:right w:val="none" w:sz="0" w:space="0" w:color="auto"/>
      </w:divBdr>
    </w:div>
    <w:div w:id="1680501131">
      <w:bodyDiv w:val="1"/>
      <w:marLeft w:val="0"/>
      <w:marRight w:val="0"/>
      <w:marTop w:val="0"/>
      <w:marBottom w:val="0"/>
      <w:divBdr>
        <w:top w:val="none" w:sz="0" w:space="0" w:color="auto"/>
        <w:left w:val="none" w:sz="0" w:space="0" w:color="auto"/>
        <w:bottom w:val="none" w:sz="0" w:space="0" w:color="auto"/>
        <w:right w:val="none" w:sz="0" w:space="0" w:color="auto"/>
      </w:divBdr>
    </w:div>
    <w:div w:id="1680618024">
      <w:bodyDiv w:val="1"/>
      <w:marLeft w:val="0"/>
      <w:marRight w:val="0"/>
      <w:marTop w:val="0"/>
      <w:marBottom w:val="0"/>
      <w:divBdr>
        <w:top w:val="none" w:sz="0" w:space="0" w:color="auto"/>
        <w:left w:val="none" w:sz="0" w:space="0" w:color="auto"/>
        <w:bottom w:val="none" w:sz="0" w:space="0" w:color="auto"/>
        <w:right w:val="none" w:sz="0" w:space="0" w:color="auto"/>
      </w:divBdr>
    </w:div>
    <w:div w:id="1680738024">
      <w:bodyDiv w:val="1"/>
      <w:marLeft w:val="0"/>
      <w:marRight w:val="0"/>
      <w:marTop w:val="0"/>
      <w:marBottom w:val="0"/>
      <w:divBdr>
        <w:top w:val="none" w:sz="0" w:space="0" w:color="auto"/>
        <w:left w:val="none" w:sz="0" w:space="0" w:color="auto"/>
        <w:bottom w:val="none" w:sz="0" w:space="0" w:color="auto"/>
        <w:right w:val="none" w:sz="0" w:space="0" w:color="auto"/>
      </w:divBdr>
    </w:div>
    <w:div w:id="1680814558">
      <w:bodyDiv w:val="1"/>
      <w:marLeft w:val="0"/>
      <w:marRight w:val="0"/>
      <w:marTop w:val="0"/>
      <w:marBottom w:val="0"/>
      <w:divBdr>
        <w:top w:val="none" w:sz="0" w:space="0" w:color="auto"/>
        <w:left w:val="none" w:sz="0" w:space="0" w:color="auto"/>
        <w:bottom w:val="none" w:sz="0" w:space="0" w:color="auto"/>
        <w:right w:val="none" w:sz="0" w:space="0" w:color="auto"/>
      </w:divBdr>
    </w:div>
    <w:div w:id="1682317070">
      <w:bodyDiv w:val="1"/>
      <w:marLeft w:val="0"/>
      <w:marRight w:val="0"/>
      <w:marTop w:val="0"/>
      <w:marBottom w:val="0"/>
      <w:divBdr>
        <w:top w:val="none" w:sz="0" w:space="0" w:color="auto"/>
        <w:left w:val="none" w:sz="0" w:space="0" w:color="auto"/>
        <w:bottom w:val="none" w:sz="0" w:space="0" w:color="auto"/>
        <w:right w:val="none" w:sz="0" w:space="0" w:color="auto"/>
      </w:divBdr>
    </w:div>
    <w:div w:id="1682706770">
      <w:bodyDiv w:val="1"/>
      <w:marLeft w:val="0"/>
      <w:marRight w:val="0"/>
      <w:marTop w:val="0"/>
      <w:marBottom w:val="0"/>
      <w:divBdr>
        <w:top w:val="none" w:sz="0" w:space="0" w:color="auto"/>
        <w:left w:val="none" w:sz="0" w:space="0" w:color="auto"/>
        <w:bottom w:val="none" w:sz="0" w:space="0" w:color="auto"/>
        <w:right w:val="none" w:sz="0" w:space="0" w:color="auto"/>
      </w:divBdr>
    </w:div>
    <w:div w:id="1682779303">
      <w:bodyDiv w:val="1"/>
      <w:marLeft w:val="0"/>
      <w:marRight w:val="0"/>
      <w:marTop w:val="0"/>
      <w:marBottom w:val="0"/>
      <w:divBdr>
        <w:top w:val="none" w:sz="0" w:space="0" w:color="auto"/>
        <w:left w:val="none" w:sz="0" w:space="0" w:color="auto"/>
        <w:bottom w:val="none" w:sz="0" w:space="0" w:color="auto"/>
        <w:right w:val="none" w:sz="0" w:space="0" w:color="auto"/>
      </w:divBdr>
    </w:div>
    <w:div w:id="1683048167">
      <w:bodyDiv w:val="1"/>
      <w:marLeft w:val="0"/>
      <w:marRight w:val="0"/>
      <w:marTop w:val="0"/>
      <w:marBottom w:val="0"/>
      <w:divBdr>
        <w:top w:val="none" w:sz="0" w:space="0" w:color="auto"/>
        <w:left w:val="none" w:sz="0" w:space="0" w:color="auto"/>
        <w:bottom w:val="none" w:sz="0" w:space="0" w:color="auto"/>
        <w:right w:val="none" w:sz="0" w:space="0" w:color="auto"/>
      </w:divBdr>
    </w:div>
    <w:div w:id="1683164372">
      <w:bodyDiv w:val="1"/>
      <w:marLeft w:val="0"/>
      <w:marRight w:val="0"/>
      <w:marTop w:val="0"/>
      <w:marBottom w:val="0"/>
      <w:divBdr>
        <w:top w:val="none" w:sz="0" w:space="0" w:color="auto"/>
        <w:left w:val="none" w:sz="0" w:space="0" w:color="auto"/>
        <w:bottom w:val="none" w:sz="0" w:space="0" w:color="auto"/>
        <w:right w:val="none" w:sz="0" w:space="0" w:color="auto"/>
      </w:divBdr>
    </w:div>
    <w:div w:id="1683436722">
      <w:bodyDiv w:val="1"/>
      <w:marLeft w:val="0"/>
      <w:marRight w:val="0"/>
      <w:marTop w:val="0"/>
      <w:marBottom w:val="0"/>
      <w:divBdr>
        <w:top w:val="none" w:sz="0" w:space="0" w:color="auto"/>
        <w:left w:val="none" w:sz="0" w:space="0" w:color="auto"/>
        <w:bottom w:val="none" w:sz="0" w:space="0" w:color="auto"/>
        <w:right w:val="none" w:sz="0" w:space="0" w:color="auto"/>
      </w:divBdr>
    </w:div>
    <w:div w:id="1684086326">
      <w:bodyDiv w:val="1"/>
      <w:marLeft w:val="0"/>
      <w:marRight w:val="0"/>
      <w:marTop w:val="0"/>
      <w:marBottom w:val="0"/>
      <w:divBdr>
        <w:top w:val="none" w:sz="0" w:space="0" w:color="auto"/>
        <w:left w:val="none" w:sz="0" w:space="0" w:color="auto"/>
        <w:bottom w:val="none" w:sz="0" w:space="0" w:color="auto"/>
        <w:right w:val="none" w:sz="0" w:space="0" w:color="auto"/>
      </w:divBdr>
    </w:div>
    <w:div w:id="1684285042">
      <w:bodyDiv w:val="1"/>
      <w:marLeft w:val="0"/>
      <w:marRight w:val="0"/>
      <w:marTop w:val="0"/>
      <w:marBottom w:val="0"/>
      <w:divBdr>
        <w:top w:val="none" w:sz="0" w:space="0" w:color="auto"/>
        <w:left w:val="none" w:sz="0" w:space="0" w:color="auto"/>
        <w:bottom w:val="none" w:sz="0" w:space="0" w:color="auto"/>
        <w:right w:val="none" w:sz="0" w:space="0" w:color="auto"/>
      </w:divBdr>
    </w:div>
    <w:div w:id="1684671517">
      <w:bodyDiv w:val="1"/>
      <w:marLeft w:val="0"/>
      <w:marRight w:val="0"/>
      <w:marTop w:val="0"/>
      <w:marBottom w:val="0"/>
      <w:divBdr>
        <w:top w:val="none" w:sz="0" w:space="0" w:color="auto"/>
        <w:left w:val="none" w:sz="0" w:space="0" w:color="auto"/>
        <w:bottom w:val="none" w:sz="0" w:space="0" w:color="auto"/>
        <w:right w:val="none" w:sz="0" w:space="0" w:color="auto"/>
      </w:divBdr>
    </w:div>
    <w:div w:id="1684867063">
      <w:bodyDiv w:val="1"/>
      <w:marLeft w:val="0"/>
      <w:marRight w:val="0"/>
      <w:marTop w:val="0"/>
      <w:marBottom w:val="0"/>
      <w:divBdr>
        <w:top w:val="none" w:sz="0" w:space="0" w:color="auto"/>
        <w:left w:val="none" w:sz="0" w:space="0" w:color="auto"/>
        <w:bottom w:val="none" w:sz="0" w:space="0" w:color="auto"/>
        <w:right w:val="none" w:sz="0" w:space="0" w:color="auto"/>
      </w:divBdr>
    </w:div>
    <w:div w:id="1685133259">
      <w:bodyDiv w:val="1"/>
      <w:marLeft w:val="0"/>
      <w:marRight w:val="0"/>
      <w:marTop w:val="0"/>
      <w:marBottom w:val="0"/>
      <w:divBdr>
        <w:top w:val="none" w:sz="0" w:space="0" w:color="auto"/>
        <w:left w:val="none" w:sz="0" w:space="0" w:color="auto"/>
        <w:bottom w:val="none" w:sz="0" w:space="0" w:color="auto"/>
        <w:right w:val="none" w:sz="0" w:space="0" w:color="auto"/>
      </w:divBdr>
    </w:div>
    <w:div w:id="1685286486">
      <w:bodyDiv w:val="1"/>
      <w:marLeft w:val="0"/>
      <w:marRight w:val="0"/>
      <w:marTop w:val="0"/>
      <w:marBottom w:val="0"/>
      <w:divBdr>
        <w:top w:val="none" w:sz="0" w:space="0" w:color="auto"/>
        <w:left w:val="none" w:sz="0" w:space="0" w:color="auto"/>
        <w:bottom w:val="none" w:sz="0" w:space="0" w:color="auto"/>
        <w:right w:val="none" w:sz="0" w:space="0" w:color="auto"/>
      </w:divBdr>
    </w:div>
    <w:div w:id="1686327893">
      <w:bodyDiv w:val="1"/>
      <w:marLeft w:val="0"/>
      <w:marRight w:val="0"/>
      <w:marTop w:val="0"/>
      <w:marBottom w:val="0"/>
      <w:divBdr>
        <w:top w:val="none" w:sz="0" w:space="0" w:color="auto"/>
        <w:left w:val="none" w:sz="0" w:space="0" w:color="auto"/>
        <w:bottom w:val="none" w:sz="0" w:space="0" w:color="auto"/>
        <w:right w:val="none" w:sz="0" w:space="0" w:color="auto"/>
      </w:divBdr>
    </w:div>
    <w:div w:id="1686592724">
      <w:bodyDiv w:val="1"/>
      <w:marLeft w:val="0"/>
      <w:marRight w:val="0"/>
      <w:marTop w:val="0"/>
      <w:marBottom w:val="0"/>
      <w:divBdr>
        <w:top w:val="none" w:sz="0" w:space="0" w:color="auto"/>
        <w:left w:val="none" w:sz="0" w:space="0" w:color="auto"/>
        <w:bottom w:val="none" w:sz="0" w:space="0" w:color="auto"/>
        <w:right w:val="none" w:sz="0" w:space="0" w:color="auto"/>
      </w:divBdr>
    </w:div>
    <w:div w:id="1687438330">
      <w:bodyDiv w:val="1"/>
      <w:marLeft w:val="0"/>
      <w:marRight w:val="0"/>
      <w:marTop w:val="0"/>
      <w:marBottom w:val="0"/>
      <w:divBdr>
        <w:top w:val="none" w:sz="0" w:space="0" w:color="auto"/>
        <w:left w:val="none" w:sz="0" w:space="0" w:color="auto"/>
        <w:bottom w:val="none" w:sz="0" w:space="0" w:color="auto"/>
        <w:right w:val="none" w:sz="0" w:space="0" w:color="auto"/>
      </w:divBdr>
    </w:div>
    <w:div w:id="1688562225">
      <w:bodyDiv w:val="1"/>
      <w:marLeft w:val="0"/>
      <w:marRight w:val="0"/>
      <w:marTop w:val="0"/>
      <w:marBottom w:val="0"/>
      <w:divBdr>
        <w:top w:val="none" w:sz="0" w:space="0" w:color="auto"/>
        <w:left w:val="none" w:sz="0" w:space="0" w:color="auto"/>
        <w:bottom w:val="none" w:sz="0" w:space="0" w:color="auto"/>
        <w:right w:val="none" w:sz="0" w:space="0" w:color="auto"/>
      </w:divBdr>
    </w:div>
    <w:div w:id="1688746586">
      <w:bodyDiv w:val="1"/>
      <w:marLeft w:val="0"/>
      <w:marRight w:val="0"/>
      <w:marTop w:val="0"/>
      <w:marBottom w:val="0"/>
      <w:divBdr>
        <w:top w:val="none" w:sz="0" w:space="0" w:color="auto"/>
        <w:left w:val="none" w:sz="0" w:space="0" w:color="auto"/>
        <w:bottom w:val="none" w:sz="0" w:space="0" w:color="auto"/>
        <w:right w:val="none" w:sz="0" w:space="0" w:color="auto"/>
      </w:divBdr>
    </w:div>
    <w:div w:id="1688798686">
      <w:bodyDiv w:val="1"/>
      <w:marLeft w:val="0"/>
      <w:marRight w:val="0"/>
      <w:marTop w:val="0"/>
      <w:marBottom w:val="0"/>
      <w:divBdr>
        <w:top w:val="none" w:sz="0" w:space="0" w:color="auto"/>
        <w:left w:val="none" w:sz="0" w:space="0" w:color="auto"/>
        <w:bottom w:val="none" w:sz="0" w:space="0" w:color="auto"/>
        <w:right w:val="none" w:sz="0" w:space="0" w:color="auto"/>
      </w:divBdr>
    </w:div>
    <w:div w:id="1689481182">
      <w:bodyDiv w:val="1"/>
      <w:marLeft w:val="0"/>
      <w:marRight w:val="0"/>
      <w:marTop w:val="0"/>
      <w:marBottom w:val="0"/>
      <w:divBdr>
        <w:top w:val="none" w:sz="0" w:space="0" w:color="auto"/>
        <w:left w:val="none" w:sz="0" w:space="0" w:color="auto"/>
        <w:bottom w:val="none" w:sz="0" w:space="0" w:color="auto"/>
        <w:right w:val="none" w:sz="0" w:space="0" w:color="auto"/>
      </w:divBdr>
    </w:div>
    <w:div w:id="1689870598">
      <w:bodyDiv w:val="1"/>
      <w:marLeft w:val="0"/>
      <w:marRight w:val="0"/>
      <w:marTop w:val="0"/>
      <w:marBottom w:val="0"/>
      <w:divBdr>
        <w:top w:val="none" w:sz="0" w:space="0" w:color="auto"/>
        <w:left w:val="none" w:sz="0" w:space="0" w:color="auto"/>
        <w:bottom w:val="none" w:sz="0" w:space="0" w:color="auto"/>
        <w:right w:val="none" w:sz="0" w:space="0" w:color="auto"/>
      </w:divBdr>
    </w:div>
    <w:div w:id="1690326505">
      <w:bodyDiv w:val="1"/>
      <w:marLeft w:val="0"/>
      <w:marRight w:val="0"/>
      <w:marTop w:val="0"/>
      <w:marBottom w:val="0"/>
      <w:divBdr>
        <w:top w:val="none" w:sz="0" w:space="0" w:color="auto"/>
        <w:left w:val="none" w:sz="0" w:space="0" w:color="auto"/>
        <w:bottom w:val="none" w:sz="0" w:space="0" w:color="auto"/>
        <w:right w:val="none" w:sz="0" w:space="0" w:color="auto"/>
      </w:divBdr>
    </w:div>
    <w:div w:id="1690985957">
      <w:bodyDiv w:val="1"/>
      <w:marLeft w:val="0"/>
      <w:marRight w:val="0"/>
      <w:marTop w:val="0"/>
      <w:marBottom w:val="0"/>
      <w:divBdr>
        <w:top w:val="none" w:sz="0" w:space="0" w:color="auto"/>
        <w:left w:val="none" w:sz="0" w:space="0" w:color="auto"/>
        <w:bottom w:val="none" w:sz="0" w:space="0" w:color="auto"/>
        <w:right w:val="none" w:sz="0" w:space="0" w:color="auto"/>
      </w:divBdr>
    </w:div>
    <w:div w:id="1691299827">
      <w:bodyDiv w:val="1"/>
      <w:marLeft w:val="0"/>
      <w:marRight w:val="0"/>
      <w:marTop w:val="0"/>
      <w:marBottom w:val="0"/>
      <w:divBdr>
        <w:top w:val="none" w:sz="0" w:space="0" w:color="auto"/>
        <w:left w:val="none" w:sz="0" w:space="0" w:color="auto"/>
        <w:bottom w:val="none" w:sz="0" w:space="0" w:color="auto"/>
        <w:right w:val="none" w:sz="0" w:space="0" w:color="auto"/>
      </w:divBdr>
    </w:div>
    <w:div w:id="1691372058">
      <w:bodyDiv w:val="1"/>
      <w:marLeft w:val="0"/>
      <w:marRight w:val="0"/>
      <w:marTop w:val="0"/>
      <w:marBottom w:val="0"/>
      <w:divBdr>
        <w:top w:val="none" w:sz="0" w:space="0" w:color="auto"/>
        <w:left w:val="none" w:sz="0" w:space="0" w:color="auto"/>
        <w:bottom w:val="none" w:sz="0" w:space="0" w:color="auto"/>
        <w:right w:val="none" w:sz="0" w:space="0" w:color="auto"/>
      </w:divBdr>
    </w:div>
    <w:div w:id="1691881089">
      <w:bodyDiv w:val="1"/>
      <w:marLeft w:val="0"/>
      <w:marRight w:val="0"/>
      <w:marTop w:val="0"/>
      <w:marBottom w:val="0"/>
      <w:divBdr>
        <w:top w:val="none" w:sz="0" w:space="0" w:color="auto"/>
        <w:left w:val="none" w:sz="0" w:space="0" w:color="auto"/>
        <w:bottom w:val="none" w:sz="0" w:space="0" w:color="auto"/>
        <w:right w:val="none" w:sz="0" w:space="0" w:color="auto"/>
      </w:divBdr>
    </w:div>
    <w:div w:id="1692221143">
      <w:bodyDiv w:val="1"/>
      <w:marLeft w:val="0"/>
      <w:marRight w:val="0"/>
      <w:marTop w:val="0"/>
      <w:marBottom w:val="0"/>
      <w:divBdr>
        <w:top w:val="none" w:sz="0" w:space="0" w:color="auto"/>
        <w:left w:val="none" w:sz="0" w:space="0" w:color="auto"/>
        <w:bottom w:val="none" w:sz="0" w:space="0" w:color="auto"/>
        <w:right w:val="none" w:sz="0" w:space="0" w:color="auto"/>
      </w:divBdr>
    </w:div>
    <w:div w:id="1692294070">
      <w:bodyDiv w:val="1"/>
      <w:marLeft w:val="0"/>
      <w:marRight w:val="0"/>
      <w:marTop w:val="0"/>
      <w:marBottom w:val="0"/>
      <w:divBdr>
        <w:top w:val="none" w:sz="0" w:space="0" w:color="auto"/>
        <w:left w:val="none" w:sz="0" w:space="0" w:color="auto"/>
        <w:bottom w:val="none" w:sz="0" w:space="0" w:color="auto"/>
        <w:right w:val="none" w:sz="0" w:space="0" w:color="auto"/>
      </w:divBdr>
    </w:div>
    <w:div w:id="1692955339">
      <w:bodyDiv w:val="1"/>
      <w:marLeft w:val="0"/>
      <w:marRight w:val="0"/>
      <w:marTop w:val="0"/>
      <w:marBottom w:val="0"/>
      <w:divBdr>
        <w:top w:val="none" w:sz="0" w:space="0" w:color="auto"/>
        <w:left w:val="none" w:sz="0" w:space="0" w:color="auto"/>
        <w:bottom w:val="none" w:sz="0" w:space="0" w:color="auto"/>
        <w:right w:val="none" w:sz="0" w:space="0" w:color="auto"/>
      </w:divBdr>
    </w:div>
    <w:div w:id="1693531773">
      <w:bodyDiv w:val="1"/>
      <w:marLeft w:val="0"/>
      <w:marRight w:val="0"/>
      <w:marTop w:val="0"/>
      <w:marBottom w:val="0"/>
      <w:divBdr>
        <w:top w:val="none" w:sz="0" w:space="0" w:color="auto"/>
        <w:left w:val="none" w:sz="0" w:space="0" w:color="auto"/>
        <w:bottom w:val="none" w:sz="0" w:space="0" w:color="auto"/>
        <w:right w:val="none" w:sz="0" w:space="0" w:color="auto"/>
      </w:divBdr>
    </w:div>
    <w:div w:id="1694040356">
      <w:bodyDiv w:val="1"/>
      <w:marLeft w:val="0"/>
      <w:marRight w:val="0"/>
      <w:marTop w:val="0"/>
      <w:marBottom w:val="0"/>
      <w:divBdr>
        <w:top w:val="none" w:sz="0" w:space="0" w:color="auto"/>
        <w:left w:val="none" w:sz="0" w:space="0" w:color="auto"/>
        <w:bottom w:val="none" w:sz="0" w:space="0" w:color="auto"/>
        <w:right w:val="none" w:sz="0" w:space="0" w:color="auto"/>
      </w:divBdr>
    </w:div>
    <w:div w:id="1694259765">
      <w:bodyDiv w:val="1"/>
      <w:marLeft w:val="0"/>
      <w:marRight w:val="0"/>
      <w:marTop w:val="0"/>
      <w:marBottom w:val="0"/>
      <w:divBdr>
        <w:top w:val="none" w:sz="0" w:space="0" w:color="auto"/>
        <w:left w:val="none" w:sz="0" w:space="0" w:color="auto"/>
        <w:bottom w:val="none" w:sz="0" w:space="0" w:color="auto"/>
        <w:right w:val="none" w:sz="0" w:space="0" w:color="auto"/>
      </w:divBdr>
    </w:div>
    <w:div w:id="1695644801">
      <w:bodyDiv w:val="1"/>
      <w:marLeft w:val="0"/>
      <w:marRight w:val="0"/>
      <w:marTop w:val="0"/>
      <w:marBottom w:val="0"/>
      <w:divBdr>
        <w:top w:val="none" w:sz="0" w:space="0" w:color="auto"/>
        <w:left w:val="none" w:sz="0" w:space="0" w:color="auto"/>
        <w:bottom w:val="none" w:sz="0" w:space="0" w:color="auto"/>
        <w:right w:val="none" w:sz="0" w:space="0" w:color="auto"/>
      </w:divBdr>
    </w:div>
    <w:div w:id="1696036449">
      <w:bodyDiv w:val="1"/>
      <w:marLeft w:val="0"/>
      <w:marRight w:val="0"/>
      <w:marTop w:val="0"/>
      <w:marBottom w:val="0"/>
      <w:divBdr>
        <w:top w:val="none" w:sz="0" w:space="0" w:color="auto"/>
        <w:left w:val="none" w:sz="0" w:space="0" w:color="auto"/>
        <w:bottom w:val="none" w:sz="0" w:space="0" w:color="auto"/>
        <w:right w:val="none" w:sz="0" w:space="0" w:color="auto"/>
      </w:divBdr>
    </w:div>
    <w:div w:id="1696275022">
      <w:bodyDiv w:val="1"/>
      <w:marLeft w:val="0"/>
      <w:marRight w:val="0"/>
      <w:marTop w:val="0"/>
      <w:marBottom w:val="0"/>
      <w:divBdr>
        <w:top w:val="none" w:sz="0" w:space="0" w:color="auto"/>
        <w:left w:val="none" w:sz="0" w:space="0" w:color="auto"/>
        <w:bottom w:val="none" w:sz="0" w:space="0" w:color="auto"/>
        <w:right w:val="none" w:sz="0" w:space="0" w:color="auto"/>
      </w:divBdr>
    </w:div>
    <w:div w:id="1696346865">
      <w:bodyDiv w:val="1"/>
      <w:marLeft w:val="0"/>
      <w:marRight w:val="0"/>
      <w:marTop w:val="0"/>
      <w:marBottom w:val="0"/>
      <w:divBdr>
        <w:top w:val="none" w:sz="0" w:space="0" w:color="auto"/>
        <w:left w:val="none" w:sz="0" w:space="0" w:color="auto"/>
        <w:bottom w:val="none" w:sz="0" w:space="0" w:color="auto"/>
        <w:right w:val="none" w:sz="0" w:space="0" w:color="auto"/>
      </w:divBdr>
    </w:div>
    <w:div w:id="1696691332">
      <w:bodyDiv w:val="1"/>
      <w:marLeft w:val="0"/>
      <w:marRight w:val="0"/>
      <w:marTop w:val="0"/>
      <w:marBottom w:val="0"/>
      <w:divBdr>
        <w:top w:val="none" w:sz="0" w:space="0" w:color="auto"/>
        <w:left w:val="none" w:sz="0" w:space="0" w:color="auto"/>
        <w:bottom w:val="none" w:sz="0" w:space="0" w:color="auto"/>
        <w:right w:val="none" w:sz="0" w:space="0" w:color="auto"/>
      </w:divBdr>
    </w:div>
    <w:div w:id="1696693605">
      <w:bodyDiv w:val="1"/>
      <w:marLeft w:val="0"/>
      <w:marRight w:val="0"/>
      <w:marTop w:val="0"/>
      <w:marBottom w:val="0"/>
      <w:divBdr>
        <w:top w:val="none" w:sz="0" w:space="0" w:color="auto"/>
        <w:left w:val="none" w:sz="0" w:space="0" w:color="auto"/>
        <w:bottom w:val="none" w:sz="0" w:space="0" w:color="auto"/>
        <w:right w:val="none" w:sz="0" w:space="0" w:color="auto"/>
      </w:divBdr>
    </w:div>
    <w:div w:id="1696954501">
      <w:bodyDiv w:val="1"/>
      <w:marLeft w:val="0"/>
      <w:marRight w:val="0"/>
      <w:marTop w:val="0"/>
      <w:marBottom w:val="0"/>
      <w:divBdr>
        <w:top w:val="none" w:sz="0" w:space="0" w:color="auto"/>
        <w:left w:val="none" w:sz="0" w:space="0" w:color="auto"/>
        <w:bottom w:val="none" w:sz="0" w:space="0" w:color="auto"/>
        <w:right w:val="none" w:sz="0" w:space="0" w:color="auto"/>
      </w:divBdr>
    </w:div>
    <w:div w:id="1697191573">
      <w:bodyDiv w:val="1"/>
      <w:marLeft w:val="0"/>
      <w:marRight w:val="0"/>
      <w:marTop w:val="0"/>
      <w:marBottom w:val="0"/>
      <w:divBdr>
        <w:top w:val="none" w:sz="0" w:space="0" w:color="auto"/>
        <w:left w:val="none" w:sz="0" w:space="0" w:color="auto"/>
        <w:bottom w:val="none" w:sz="0" w:space="0" w:color="auto"/>
        <w:right w:val="none" w:sz="0" w:space="0" w:color="auto"/>
      </w:divBdr>
    </w:div>
    <w:div w:id="1698391107">
      <w:bodyDiv w:val="1"/>
      <w:marLeft w:val="0"/>
      <w:marRight w:val="0"/>
      <w:marTop w:val="0"/>
      <w:marBottom w:val="0"/>
      <w:divBdr>
        <w:top w:val="none" w:sz="0" w:space="0" w:color="auto"/>
        <w:left w:val="none" w:sz="0" w:space="0" w:color="auto"/>
        <w:bottom w:val="none" w:sz="0" w:space="0" w:color="auto"/>
        <w:right w:val="none" w:sz="0" w:space="0" w:color="auto"/>
      </w:divBdr>
    </w:div>
    <w:div w:id="1698698086">
      <w:bodyDiv w:val="1"/>
      <w:marLeft w:val="0"/>
      <w:marRight w:val="0"/>
      <w:marTop w:val="0"/>
      <w:marBottom w:val="0"/>
      <w:divBdr>
        <w:top w:val="none" w:sz="0" w:space="0" w:color="auto"/>
        <w:left w:val="none" w:sz="0" w:space="0" w:color="auto"/>
        <w:bottom w:val="none" w:sz="0" w:space="0" w:color="auto"/>
        <w:right w:val="none" w:sz="0" w:space="0" w:color="auto"/>
      </w:divBdr>
    </w:div>
    <w:div w:id="1699308288">
      <w:bodyDiv w:val="1"/>
      <w:marLeft w:val="0"/>
      <w:marRight w:val="0"/>
      <w:marTop w:val="0"/>
      <w:marBottom w:val="0"/>
      <w:divBdr>
        <w:top w:val="none" w:sz="0" w:space="0" w:color="auto"/>
        <w:left w:val="none" w:sz="0" w:space="0" w:color="auto"/>
        <w:bottom w:val="none" w:sz="0" w:space="0" w:color="auto"/>
        <w:right w:val="none" w:sz="0" w:space="0" w:color="auto"/>
      </w:divBdr>
    </w:div>
    <w:div w:id="1699619144">
      <w:bodyDiv w:val="1"/>
      <w:marLeft w:val="0"/>
      <w:marRight w:val="0"/>
      <w:marTop w:val="0"/>
      <w:marBottom w:val="0"/>
      <w:divBdr>
        <w:top w:val="none" w:sz="0" w:space="0" w:color="auto"/>
        <w:left w:val="none" w:sz="0" w:space="0" w:color="auto"/>
        <w:bottom w:val="none" w:sz="0" w:space="0" w:color="auto"/>
        <w:right w:val="none" w:sz="0" w:space="0" w:color="auto"/>
      </w:divBdr>
    </w:div>
    <w:div w:id="1700856504">
      <w:bodyDiv w:val="1"/>
      <w:marLeft w:val="0"/>
      <w:marRight w:val="0"/>
      <w:marTop w:val="0"/>
      <w:marBottom w:val="0"/>
      <w:divBdr>
        <w:top w:val="none" w:sz="0" w:space="0" w:color="auto"/>
        <w:left w:val="none" w:sz="0" w:space="0" w:color="auto"/>
        <w:bottom w:val="none" w:sz="0" w:space="0" w:color="auto"/>
        <w:right w:val="none" w:sz="0" w:space="0" w:color="auto"/>
      </w:divBdr>
    </w:div>
    <w:div w:id="1701007984">
      <w:bodyDiv w:val="1"/>
      <w:marLeft w:val="0"/>
      <w:marRight w:val="0"/>
      <w:marTop w:val="0"/>
      <w:marBottom w:val="0"/>
      <w:divBdr>
        <w:top w:val="none" w:sz="0" w:space="0" w:color="auto"/>
        <w:left w:val="none" w:sz="0" w:space="0" w:color="auto"/>
        <w:bottom w:val="none" w:sz="0" w:space="0" w:color="auto"/>
        <w:right w:val="none" w:sz="0" w:space="0" w:color="auto"/>
      </w:divBdr>
    </w:div>
    <w:div w:id="1701083557">
      <w:bodyDiv w:val="1"/>
      <w:marLeft w:val="0"/>
      <w:marRight w:val="0"/>
      <w:marTop w:val="0"/>
      <w:marBottom w:val="0"/>
      <w:divBdr>
        <w:top w:val="none" w:sz="0" w:space="0" w:color="auto"/>
        <w:left w:val="none" w:sz="0" w:space="0" w:color="auto"/>
        <w:bottom w:val="none" w:sz="0" w:space="0" w:color="auto"/>
        <w:right w:val="none" w:sz="0" w:space="0" w:color="auto"/>
      </w:divBdr>
    </w:div>
    <w:div w:id="1701513424">
      <w:bodyDiv w:val="1"/>
      <w:marLeft w:val="0"/>
      <w:marRight w:val="0"/>
      <w:marTop w:val="0"/>
      <w:marBottom w:val="0"/>
      <w:divBdr>
        <w:top w:val="none" w:sz="0" w:space="0" w:color="auto"/>
        <w:left w:val="none" w:sz="0" w:space="0" w:color="auto"/>
        <w:bottom w:val="none" w:sz="0" w:space="0" w:color="auto"/>
        <w:right w:val="none" w:sz="0" w:space="0" w:color="auto"/>
      </w:divBdr>
    </w:div>
    <w:div w:id="1701586559">
      <w:bodyDiv w:val="1"/>
      <w:marLeft w:val="0"/>
      <w:marRight w:val="0"/>
      <w:marTop w:val="0"/>
      <w:marBottom w:val="0"/>
      <w:divBdr>
        <w:top w:val="none" w:sz="0" w:space="0" w:color="auto"/>
        <w:left w:val="none" w:sz="0" w:space="0" w:color="auto"/>
        <w:bottom w:val="none" w:sz="0" w:space="0" w:color="auto"/>
        <w:right w:val="none" w:sz="0" w:space="0" w:color="auto"/>
      </w:divBdr>
    </w:div>
    <w:div w:id="1702049709">
      <w:bodyDiv w:val="1"/>
      <w:marLeft w:val="0"/>
      <w:marRight w:val="0"/>
      <w:marTop w:val="0"/>
      <w:marBottom w:val="0"/>
      <w:divBdr>
        <w:top w:val="none" w:sz="0" w:space="0" w:color="auto"/>
        <w:left w:val="none" w:sz="0" w:space="0" w:color="auto"/>
        <w:bottom w:val="none" w:sz="0" w:space="0" w:color="auto"/>
        <w:right w:val="none" w:sz="0" w:space="0" w:color="auto"/>
      </w:divBdr>
    </w:div>
    <w:div w:id="1703821357">
      <w:bodyDiv w:val="1"/>
      <w:marLeft w:val="0"/>
      <w:marRight w:val="0"/>
      <w:marTop w:val="0"/>
      <w:marBottom w:val="0"/>
      <w:divBdr>
        <w:top w:val="none" w:sz="0" w:space="0" w:color="auto"/>
        <w:left w:val="none" w:sz="0" w:space="0" w:color="auto"/>
        <w:bottom w:val="none" w:sz="0" w:space="0" w:color="auto"/>
        <w:right w:val="none" w:sz="0" w:space="0" w:color="auto"/>
      </w:divBdr>
    </w:div>
    <w:div w:id="1705054745">
      <w:bodyDiv w:val="1"/>
      <w:marLeft w:val="0"/>
      <w:marRight w:val="0"/>
      <w:marTop w:val="0"/>
      <w:marBottom w:val="0"/>
      <w:divBdr>
        <w:top w:val="none" w:sz="0" w:space="0" w:color="auto"/>
        <w:left w:val="none" w:sz="0" w:space="0" w:color="auto"/>
        <w:bottom w:val="none" w:sz="0" w:space="0" w:color="auto"/>
        <w:right w:val="none" w:sz="0" w:space="0" w:color="auto"/>
      </w:divBdr>
    </w:div>
    <w:div w:id="1705642471">
      <w:bodyDiv w:val="1"/>
      <w:marLeft w:val="0"/>
      <w:marRight w:val="0"/>
      <w:marTop w:val="0"/>
      <w:marBottom w:val="0"/>
      <w:divBdr>
        <w:top w:val="none" w:sz="0" w:space="0" w:color="auto"/>
        <w:left w:val="none" w:sz="0" w:space="0" w:color="auto"/>
        <w:bottom w:val="none" w:sz="0" w:space="0" w:color="auto"/>
        <w:right w:val="none" w:sz="0" w:space="0" w:color="auto"/>
      </w:divBdr>
    </w:div>
    <w:div w:id="1705904602">
      <w:bodyDiv w:val="1"/>
      <w:marLeft w:val="0"/>
      <w:marRight w:val="0"/>
      <w:marTop w:val="0"/>
      <w:marBottom w:val="0"/>
      <w:divBdr>
        <w:top w:val="none" w:sz="0" w:space="0" w:color="auto"/>
        <w:left w:val="none" w:sz="0" w:space="0" w:color="auto"/>
        <w:bottom w:val="none" w:sz="0" w:space="0" w:color="auto"/>
        <w:right w:val="none" w:sz="0" w:space="0" w:color="auto"/>
      </w:divBdr>
    </w:div>
    <w:div w:id="1706177907">
      <w:bodyDiv w:val="1"/>
      <w:marLeft w:val="0"/>
      <w:marRight w:val="0"/>
      <w:marTop w:val="0"/>
      <w:marBottom w:val="0"/>
      <w:divBdr>
        <w:top w:val="none" w:sz="0" w:space="0" w:color="auto"/>
        <w:left w:val="none" w:sz="0" w:space="0" w:color="auto"/>
        <w:bottom w:val="none" w:sz="0" w:space="0" w:color="auto"/>
        <w:right w:val="none" w:sz="0" w:space="0" w:color="auto"/>
      </w:divBdr>
    </w:div>
    <w:div w:id="1706636365">
      <w:bodyDiv w:val="1"/>
      <w:marLeft w:val="0"/>
      <w:marRight w:val="0"/>
      <w:marTop w:val="0"/>
      <w:marBottom w:val="0"/>
      <w:divBdr>
        <w:top w:val="none" w:sz="0" w:space="0" w:color="auto"/>
        <w:left w:val="none" w:sz="0" w:space="0" w:color="auto"/>
        <w:bottom w:val="none" w:sz="0" w:space="0" w:color="auto"/>
        <w:right w:val="none" w:sz="0" w:space="0" w:color="auto"/>
      </w:divBdr>
    </w:div>
    <w:div w:id="1707634323">
      <w:bodyDiv w:val="1"/>
      <w:marLeft w:val="0"/>
      <w:marRight w:val="0"/>
      <w:marTop w:val="0"/>
      <w:marBottom w:val="0"/>
      <w:divBdr>
        <w:top w:val="none" w:sz="0" w:space="0" w:color="auto"/>
        <w:left w:val="none" w:sz="0" w:space="0" w:color="auto"/>
        <w:bottom w:val="none" w:sz="0" w:space="0" w:color="auto"/>
        <w:right w:val="none" w:sz="0" w:space="0" w:color="auto"/>
      </w:divBdr>
    </w:div>
    <w:div w:id="1708140240">
      <w:bodyDiv w:val="1"/>
      <w:marLeft w:val="0"/>
      <w:marRight w:val="0"/>
      <w:marTop w:val="0"/>
      <w:marBottom w:val="0"/>
      <w:divBdr>
        <w:top w:val="none" w:sz="0" w:space="0" w:color="auto"/>
        <w:left w:val="none" w:sz="0" w:space="0" w:color="auto"/>
        <w:bottom w:val="none" w:sz="0" w:space="0" w:color="auto"/>
        <w:right w:val="none" w:sz="0" w:space="0" w:color="auto"/>
      </w:divBdr>
    </w:div>
    <w:div w:id="1708673674">
      <w:bodyDiv w:val="1"/>
      <w:marLeft w:val="0"/>
      <w:marRight w:val="0"/>
      <w:marTop w:val="0"/>
      <w:marBottom w:val="0"/>
      <w:divBdr>
        <w:top w:val="none" w:sz="0" w:space="0" w:color="auto"/>
        <w:left w:val="none" w:sz="0" w:space="0" w:color="auto"/>
        <w:bottom w:val="none" w:sz="0" w:space="0" w:color="auto"/>
        <w:right w:val="none" w:sz="0" w:space="0" w:color="auto"/>
      </w:divBdr>
    </w:div>
    <w:div w:id="1708948786">
      <w:bodyDiv w:val="1"/>
      <w:marLeft w:val="0"/>
      <w:marRight w:val="0"/>
      <w:marTop w:val="0"/>
      <w:marBottom w:val="0"/>
      <w:divBdr>
        <w:top w:val="none" w:sz="0" w:space="0" w:color="auto"/>
        <w:left w:val="none" w:sz="0" w:space="0" w:color="auto"/>
        <w:bottom w:val="none" w:sz="0" w:space="0" w:color="auto"/>
        <w:right w:val="none" w:sz="0" w:space="0" w:color="auto"/>
      </w:divBdr>
    </w:div>
    <w:div w:id="1709451376">
      <w:bodyDiv w:val="1"/>
      <w:marLeft w:val="0"/>
      <w:marRight w:val="0"/>
      <w:marTop w:val="0"/>
      <w:marBottom w:val="0"/>
      <w:divBdr>
        <w:top w:val="none" w:sz="0" w:space="0" w:color="auto"/>
        <w:left w:val="none" w:sz="0" w:space="0" w:color="auto"/>
        <w:bottom w:val="none" w:sz="0" w:space="0" w:color="auto"/>
        <w:right w:val="none" w:sz="0" w:space="0" w:color="auto"/>
      </w:divBdr>
    </w:div>
    <w:div w:id="1709641242">
      <w:bodyDiv w:val="1"/>
      <w:marLeft w:val="0"/>
      <w:marRight w:val="0"/>
      <w:marTop w:val="0"/>
      <w:marBottom w:val="0"/>
      <w:divBdr>
        <w:top w:val="none" w:sz="0" w:space="0" w:color="auto"/>
        <w:left w:val="none" w:sz="0" w:space="0" w:color="auto"/>
        <w:bottom w:val="none" w:sz="0" w:space="0" w:color="auto"/>
        <w:right w:val="none" w:sz="0" w:space="0" w:color="auto"/>
      </w:divBdr>
    </w:div>
    <w:div w:id="1709799821">
      <w:bodyDiv w:val="1"/>
      <w:marLeft w:val="0"/>
      <w:marRight w:val="0"/>
      <w:marTop w:val="0"/>
      <w:marBottom w:val="0"/>
      <w:divBdr>
        <w:top w:val="none" w:sz="0" w:space="0" w:color="auto"/>
        <w:left w:val="none" w:sz="0" w:space="0" w:color="auto"/>
        <w:bottom w:val="none" w:sz="0" w:space="0" w:color="auto"/>
        <w:right w:val="none" w:sz="0" w:space="0" w:color="auto"/>
      </w:divBdr>
    </w:div>
    <w:div w:id="1710227624">
      <w:bodyDiv w:val="1"/>
      <w:marLeft w:val="0"/>
      <w:marRight w:val="0"/>
      <w:marTop w:val="0"/>
      <w:marBottom w:val="0"/>
      <w:divBdr>
        <w:top w:val="none" w:sz="0" w:space="0" w:color="auto"/>
        <w:left w:val="none" w:sz="0" w:space="0" w:color="auto"/>
        <w:bottom w:val="none" w:sz="0" w:space="0" w:color="auto"/>
        <w:right w:val="none" w:sz="0" w:space="0" w:color="auto"/>
      </w:divBdr>
    </w:div>
    <w:div w:id="1710908058">
      <w:bodyDiv w:val="1"/>
      <w:marLeft w:val="0"/>
      <w:marRight w:val="0"/>
      <w:marTop w:val="0"/>
      <w:marBottom w:val="0"/>
      <w:divBdr>
        <w:top w:val="none" w:sz="0" w:space="0" w:color="auto"/>
        <w:left w:val="none" w:sz="0" w:space="0" w:color="auto"/>
        <w:bottom w:val="none" w:sz="0" w:space="0" w:color="auto"/>
        <w:right w:val="none" w:sz="0" w:space="0" w:color="auto"/>
      </w:divBdr>
    </w:div>
    <w:div w:id="1712342768">
      <w:bodyDiv w:val="1"/>
      <w:marLeft w:val="0"/>
      <w:marRight w:val="0"/>
      <w:marTop w:val="0"/>
      <w:marBottom w:val="0"/>
      <w:divBdr>
        <w:top w:val="none" w:sz="0" w:space="0" w:color="auto"/>
        <w:left w:val="none" w:sz="0" w:space="0" w:color="auto"/>
        <w:bottom w:val="none" w:sz="0" w:space="0" w:color="auto"/>
        <w:right w:val="none" w:sz="0" w:space="0" w:color="auto"/>
      </w:divBdr>
    </w:div>
    <w:div w:id="1712532627">
      <w:bodyDiv w:val="1"/>
      <w:marLeft w:val="0"/>
      <w:marRight w:val="0"/>
      <w:marTop w:val="0"/>
      <w:marBottom w:val="0"/>
      <w:divBdr>
        <w:top w:val="none" w:sz="0" w:space="0" w:color="auto"/>
        <w:left w:val="none" w:sz="0" w:space="0" w:color="auto"/>
        <w:bottom w:val="none" w:sz="0" w:space="0" w:color="auto"/>
        <w:right w:val="none" w:sz="0" w:space="0" w:color="auto"/>
      </w:divBdr>
    </w:div>
    <w:div w:id="1712613602">
      <w:bodyDiv w:val="1"/>
      <w:marLeft w:val="0"/>
      <w:marRight w:val="0"/>
      <w:marTop w:val="0"/>
      <w:marBottom w:val="0"/>
      <w:divBdr>
        <w:top w:val="none" w:sz="0" w:space="0" w:color="auto"/>
        <w:left w:val="none" w:sz="0" w:space="0" w:color="auto"/>
        <w:bottom w:val="none" w:sz="0" w:space="0" w:color="auto"/>
        <w:right w:val="none" w:sz="0" w:space="0" w:color="auto"/>
      </w:divBdr>
    </w:div>
    <w:div w:id="1712921959">
      <w:bodyDiv w:val="1"/>
      <w:marLeft w:val="0"/>
      <w:marRight w:val="0"/>
      <w:marTop w:val="0"/>
      <w:marBottom w:val="0"/>
      <w:divBdr>
        <w:top w:val="none" w:sz="0" w:space="0" w:color="auto"/>
        <w:left w:val="none" w:sz="0" w:space="0" w:color="auto"/>
        <w:bottom w:val="none" w:sz="0" w:space="0" w:color="auto"/>
        <w:right w:val="none" w:sz="0" w:space="0" w:color="auto"/>
      </w:divBdr>
    </w:div>
    <w:div w:id="1713532496">
      <w:bodyDiv w:val="1"/>
      <w:marLeft w:val="0"/>
      <w:marRight w:val="0"/>
      <w:marTop w:val="0"/>
      <w:marBottom w:val="0"/>
      <w:divBdr>
        <w:top w:val="none" w:sz="0" w:space="0" w:color="auto"/>
        <w:left w:val="none" w:sz="0" w:space="0" w:color="auto"/>
        <w:bottom w:val="none" w:sz="0" w:space="0" w:color="auto"/>
        <w:right w:val="none" w:sz="0" w:space="0" w:color="auto"/>
      </w:divBdr>
    </w:div>
    <w:div w:id="1715688730">
      <w:bodyDiv w:val="1"/>
      <w:marLeft w:val="0"/>
      <w:marRight w:val="0"/>
      <w:marTop w:val="0"/>
      <w:marBottom w:val="0"/>
      <w:divBdr>
        <w:top w:val="none" w:sz="0" w:space="0" w:color="auto"/>
        <w:left w:val="none" w:sz="0" w:space="0" w:color="auto"/>
        <w:bottom w:val="none" w:sz="0" w:space="0" w:color="auto"/>
        <w:right w:val="none" w:sz="0" w:space="0" w:color="auto"/>
      </w:divBdr>
    </w:div>
    <w:div w:id="1715885818">
      <w:bodyDiv w:val="1"/>
      <w:marLeft w:val="0"/>
      <w:marRight w:val="0"/>
      <w:marTop w:val="0"/>
      <w:marBottom w:val="0"/>
      <w:divBdr>
        <w:top w:val="none" w:sz="0" w:space="0" w:color="auto"/>
        <w:left w:val="none" w:sz="0" w:space="0" w:color="auto"/>
        <w:bottom w:val="none" w:sz="0" w:space="0" w:color="auto"/>
        <w:right w:val="none" w:sz="0" w:space="0" w:color="auto"/>
      </w:divBdr>
    </w:div>
    <w:div w:id="1716083489">
      <w:bodyDiv w:val="1"/>
      <w:marLeft w:val="0"/>
      <w:marRight w:val="0"/>
      <w:marTop w:val="0"/>
      <w:marBottom w:val="0"/>
      <w:divBdr>
        <w:top w:val="none" w:sz="0" w:space="0" w:color="auto"/>
        <w:left w:val="none" w:sz="0" w:space="0" w:color="auto"/>
        <w:bottom w:val="none" w:sz="0" w:space="0" w:color="auto"/>
        <w:right w:val="none" w:sz="0" w:space="0" w:color="auto"/>
      </w:divBdr>
    </w:div>
    <w:div w:id="1716587715">
      <w:bodyDiv w:val="1"/>
      <w:marLeft w:val="0"/>
      <w:marRight w:val="0"/>
      <w:marTop w:val="0"/>
      <w:marBottom w:val="0"/>
      <w:divBdr>
        <w:top w:val="none" w:sz="0" w:space="0" w:color="auto"/>
        <w:left w:val="none" w:sz="0" w:space="0" w:color="auto"/>
        <w:bottom w:val="none" w:sz="0" w:space="0" w:color="auto"/>
        <w:right w:val="none" w:sz="0" w:space="0" w:color="auto"/>
      </w:divBdr>
    </w:div>
    <w:div w:id="1716923396">
      <w:bodyDiv w:val="1"/>
      <w:marLeft w:val="0"/>
      <w:marRight w:val="0"/>
      <w:marTop w:val="0"/>
      <w:marBottom w:val="0"/>
      <w:divBdr>
        <w:top w:val="none" w:sz="0" w:space="0" w:color="auto"/>
        <w:left w:val="none" w:sz="0" w:space="0" w:color="auto"/>
        <w:bottom w:val="none" w:sz="0" w:space="0" w:color="auto"/>
        <w:right w:val="none" w:sz="0" w:space="0" w:color="auto"/>
      </w:divBdr>
    </w:div>
    <w:div w:id="1717850918">
      <w:bodyDiv w:val="1"/>
      <w:marLeft w:val="0"/>
      <w:marRight w:val="0"/>
      <w:marTop w:val="0"/>
      <w:marBottom w:val="0"/>
      <w:divBdr>
        <w:top w:val="none" w:sz="0" w:space="0" w:color="auto"/>
        <w:left w:val="none" w:sz="0" w:space="0" w:color="auto"/>
        <w:bottom w:val="none" w:sz="0" w:space="0" w:color="auto"/>
        <w:right w:val="none" w:sz="0" w:space="0" w:color="auto"/>
      </w:divBdr>
    </w:div>
    <w:div w:id="1718629285">
      <w:bodyDiv w:val="1"/>
      <w:marLeft w:val="0"/>
      <w:marRight w:val="0"/>
      <w:marTop w:val="0"/>
      <w:marBottom w:val="0"/>
      <w:divBdr>
        <w:top w:val="none" w:sz="0" w:space="0" w:color="auto"/>
        <w:left w:val="none" w:sz="0" w:space="0" w:color="auto"/>
        <w:bottom w:val="none" w:sz="0" w:space="0" w:color="auto"/>
        <w:right w:val="none" w:sz="0" w:space="0" w:color="auto"/>
      </w:divBdr>
    </w:div>
    <w:div w:id="1718697399">
      <w:bodyDiv w:val="1"/>
      <w:marLeft w:val="0"/>
      <w:marRight w:val="0"/>
      <w:marTop w:val="0"/>
      <w:marBottom w:val="0"/>
      <w:divBdr>
        <w:top w:val="none" w:sz="0" w:space="0" w:color="auto"/>
        <w:left w:val="none" w:sz="0" w:space="0" w:color="auto"/>
        <w:bottom w:val="none" w:sz="0" w:space="0" w:color="auto"/>
        <w:right w:val="none" w:sz="0" w:space="0" w:color="auto"/>
      </w:divBdr>
    </w:div>
    <w:div w:id="1718698919">
      <w:bodyDiv w:val="1"/>
      <w:marLeft w:val="0"/>
      <w:marRight w:val="0"/>
      <w:marTop w:val="0"/>
      <w:marBottom w:val="0"/>
      <w:divBdr>
        <w:top w:val="none" w:sz="0" w:space="0" w:color="auto"/>
        <w:left w:val="none" w:sz="0" w:space="0" w:color="auto"/>
        <w:bottom w:val="none" w:sz="0" w:space="0" w:color="auto"/>
        <w:right w:val="none" w:sz="0" w:space="0" w:color="auto"/>
      </w:divBdr>
    </w:div>
    <w:div w:id="1718814491">
      <w:bodyDiv w:val="1"/>
      <w:marLeft w:val="0"/>
      <w:marRight w:val="0"/>
      <w:marTop w:val="0"/>
      <w:marBottom w:val="0"/>
      <w:divBdr>
        <w:top w:val="none" w:sz="0" w:space="0" w:color="auto"/>
        <w:left w:val="none" w:sz="0" w:space="0" w:color="auto"/>
        <w:bottom w:val="none" w:sz="0" w:space="0" w:color="auto"/>
        <w:right w:val="none" w:sz="0" w:space="0" w:color="auto"/>
      </w:divBdr>
    </w:div>
    <w:div w:id="1718816061">
      <w:bodyDiv w:val="1"/>
      <w:marLeft w:val="0"/>
      <w:marRight w:val="0"/>
      <w:marTop w:val="0"/>
      <w:marBottom w:val="0"/>
      <w:divBdr>
        <w:top w:val="none" w:sz="0" w:space="0" w:color="auto"/>
        <w:left w:val="none" w:sz="0" w:space="0" w:color="auto"/>
        <w:bottom w:val="none" w:sz="0" w:space="0" w:color="auto"/>
        <w:right w:val="none" w:sz="0" w:space="0" w:color="auto"/>
      </w:divBdr>
    </w:div>
    <w:div w:id="1719282490">
      <w:bodyDiv w:val="1"/>
      <w:marLeft w:val="0"/>
      <w:marRight w:val="0"/>
      <w:marTop w:val="0"/>
      <w:marBottom w:val="0"/>
      <w:divBdr>
        <w:top w:val="none" w:sz="0" w:space="0" w:color="auto"/>
        <w:left w:val="none" w:sz="0" w:space="0" w:color="auto"/>
        <w:bottom w:val="none" w:sz="0" w:space="0" w:color="auto"/>
        <w:right w:val="none" w:sz="0" w:space="0" w:color="auto"/>
      </w:divBdr>
    </w:div>
    <w:div w:id="1720284441">
      <w:bodyDiv w:val="1"/>
      <w:marLeft w:val="0"/>
      <w:marRight w:val="0"/>
      <w:marTop w:val="0"/>
      <w:marBottom w:val="0"/>
      <w:divBdr>
        <w:top w:val="none" w:sz="0" w:space="0" w:color="auto"/>
        <w:left w:val="none" w:sz="0" w:space="0" w:color="auto"/>
        <w:bottom w:val="none" w:sz="0" w:space="0" w:color="auto"/>
        <w:right w:val="none" w:sz="0" w:space="0" w:color="auto"/>
      </w:divBdr>
    </w:div>
    <w:div w:id="1720661692">
      <w:bodyDiv w:val="1"/>
      <w:marLeft w:val="0"/>
      <w:marRight w:val="0"/>
      <w:marTop w:val="0"/>
      <w:marBottom w:val="0"/>
      <w:divBdr>
        <w:top w:val="none" w:sz="0" w:space="0" w:color="auto"/>
        <w:left w:val="none" w:sz="0" w:space="0" w:color="auto"/>
        <w:bottom w:val="none" w:sz="0" w:space="0" w:color="auto"/>
        <w:right w:val="none" w:sz="0" w:space="0" w:color="auto"/>
      </w:divBdr>
    </w:div>
    <w:div w:id="1722554107">
      <w:bodyDiv w:val="1"/>
      <w:marLeft w:val="0"/>
      <w:marRight w:val="0"/>
      <w:marTop w:val="0"/>
      <w:marBottom w:val="0"/>
      <w:divBdr>
        <w:top w:val="none" w:sz="0" w:space="0" w:color="auto"/>
        <w:left w:val="none" w:sz="0" w:space="0" w:color="auto"/>
        <w:bottom w:val="none" w:sz="0" w:space="0" w:color="auto"/>
        <w:right w:val="none" w:sz="0" w:space="0" w:color="auto"/>
      </w:divBdr>
    </w:div>
    <w:div w:id="1722710912">
      <w:bodyDiv w:val="1"/>
      <w:marLeft w:val="0"/>
      <w:marRight w:val="0"/>
      <w:marTop w:val="0"/>
      <w:marBottom w:val="0"/>
      <w:divBdr>
        <w:top w:val="none" w:sz="0" w:space="0" w:color="auto"/>
        <w:left w:val="none" w:sz="0" w:space="0" w:color="auto"/>
        <w:bottom w:val="none" w:sz="0" w:space="0" w:color="auto"/>
        <w:right w:val="none" w:sz="0" w:space="0" w:color="auto"/>
      </w:divBdr>
    </w:div>
    <w:div w:id="1723166419">
      <w:bodyDiv w:val="1"/>
      <w:marLeft w:val="0"/>
      <w:marRight w:val="0"/>
      <w:marTop w:val="0"/>
      <w:marBottom w:val="0"/>
      <w:divBdr>
        <w:top w:val="none" w:sz="0" w:space="0" w:color="auto"/>
        <w:left w:val="none" w:sz="0" w:space="0" w:color="auto"/>
        <w:bottom w:val="none" w:sz="0" w:space="0" w:color="auto"/>
        <w:right w:val="none" w:sz="0" w:space="0" w:color="auto"/>
      </w:divBdr>
    </w:div>
    <w:div w:id="1723291331">
      <w:bodyDiv w:val="1"/>
      <w:marLeft w:val="0"/>
      <w:marRight w:val="0"/>
      <w:marTop w:val="0"/>
      <w:marBottom w:val="0"/>
      <w:divBdr>
        <w:top w:val="none" w:sz="0" w:space="0" w:color="auto"/>
        <w:left w:val="none" w:sz="0" w:space="0" w:color="auto"/>
        <w:bottom w:val="none" w:sz="0" w:space="0" w:color="auto"/>
        <w:right w:val="none" w:sz="0" w:space="0" w:color="auto"/>
      </w:divBdr>
    </w:div>
    <w:div w:id="1724284520">
      <w:bodyDiv w:val="1"/>
      <w:marLeft w:val="0"/>
      <w:marRight w:val="0"/>
      <w:marTop w:val="0"/>
      <w:marBottom w:val="0"/>
      <w:divBdr>
        <w:top w:val="none" w:sz="0" w:space="0" w:color="auto"/>
        <w:left w:val="none" w:sz="0" w:space="0" w:color="auto"/>
        <w:bottom w:val="none" w:sz="0" w:space="0" w:color="auto"/>
        <w:right w:val="none" w:sz="0" w:space="0" w:color="auto"/>
      </w:divBdr>
    </w:div>
    <w:div w:id="1724327894">
      <w:bodyDiv w:val="1"/>
      <w:marLeft w:val="0"/>
      <w:marRight w:val="0"/>
      <w:marTop w:val="0"/>
      <w:marBottom w:val="0"/>
      <w:divBdr>
        <w:top w:val="none" w:sz="0" w:space="0" w:color="auto"/>
        <w:left w:val="none" w:sz="0" w:space="0" w:color="auto"/>
        <w:bottom w:val="none" w:sz="0" w:space="0" w:color="auto"/>
        <w:right w:val="none" w:sz="0" w:space="0" w:color="auto"/>
      </w:divBdr>
      <w:divsChild>
        <w:div w:id="775565050">
          <w:marLeft w:val="480"/>
          <w:marRight w:val="0"/>
          <w:marTop w:val="0"/>
          <w:marBottom w:val="0"/>
          <w:divBdr>
            <w:top w:val="none" w:sz="0" w:space="0" w:color="auto"/>
            <w:left w:val="none" w:sz="0" w:space="0" w:color="auto"/>
            <w:bottom w:val="none" w:sz="0" w:space="0" w:color="auto"/>
            <w:right w:val="none" w:sz="0" w:space="0" w:color="auto"/>
          </w:divBdr>
        </w:div>
        <w:div w:id="2066642462">
          <w:marLeft w:val="480"/>
          <w:marRight w:val="0"/>
          <w:marTop w:val="0"/>
          <w:marBottom w:val="0"/>
          <w:divBdr>
            <w:top w:val="none" w:sz="0" w:space="0" w:color="auto"/>
            <w:left w:val="none" w:sz="0" w:space="0" w:color="auto"/>
            <w:bottom w:val="none" w:sz="0" w:space="0" w:color="auto"/>
            <w:right w:val="none" w:sz="0" w:space="0" w:color="auto"/>
          </w:divBdr>
        </w:div>
        <w:div w:id="858468747">
          <w:marLeft w:val="480"/>
          <w:marRight w:val="0"/>
          <w:marTop w:val="0"/>
          <w:marBottom w:val="0"/>
          <w:divBdr>
            <w:top w:val="none" w:sz="0" w:space="0" w:color="auto"/>
            <w:left w:val="none" w:sz="0" w:space="0" w:color="auto"/>
            <w:bottom w:val="none" w:sz="0" w:space="0" w:color="auto"/>
            <w:right w:val="none" w:sz="0" w:space="0" w:color="auto"/>
          </w:divBdr>
        </w:div>
        <w:div w:id="1968658776">
          <w:marLeft w:val="480"/>
          <w:marRight w:val="0"/>
          <w:marTop w:val="0"/>
          <w:marBottom w:val="0"/>
          <w:divBdr>
            <w:top w:val="none" w:sz="0" w:space="0" w:color="auto"/>
            <w:left w:val="none" w:sz="0" w:space="0" w:color="auto"/>
            <w:bottom w:val="none" w:sz="0" w:space="0" w:color="auto"/>
            <w:right w:val="none" w:sz="0" w:space="0" w:color="auto"/>
          </w:divBdr>
        </w:div>
        <w:div w:id="794258001">
          <w:marLeft w:val="480"/>
          <w:marRight w:val="0"/>
          <w:marTop w:val="0"/>
          <w:marBottom w:val="0"/>
          <w:divBdr>
            <w:top w:val="none" w:sz="0" w:space="0" w:color="auto"/>
            <w:left w:val="none" w:sz="0" w:space="0" w:color="auto"/>
            <w:bottom w:val="none" w:sz="0" w:space="0" w:color="auto"/>
            <w:right w:val="none" w:sz="0" w:space="0" w:color="auto"/>
          </w:divBdr>
        </w:div>
        <w:div w:id="364788978">
          <w:marLeft w:val="480"/>
          <w:marRight w:val="0"/>
          <w:marTop w:val="0"/>
          <w:marBottom w:val="0"/>
          <w:divBdr>
            <w:top w:val="none" w:sz="0" w:space="0" w:color="auto"/>
            <w:left w:val="none" w:sz="0" w:space="0" w:color="auto"/>
            <w:bottom w:val="none" w:sz="0" w:space="0" w:color="auto"/>
            <w:right w:val="none" w:sz="0" w:space="0" w:color="auto"/>
          </w:divBdr>
        </w:div>
        <w:div w:id="299652342">
          <w:marLeft w:val="480"/>
          <w:marRight w:val="0"/>
          <w:marTop w:val="0"/>
          <w:marBottom w:val="0"/>
          <w:divBdr>
            <w:top w:val="none" w:sz="0" w:space="0" w:color="auto"/>
            <w:left w:val="none" w:sz="0" w:space="0" w:color="auto"/>
            <w:bottom w:val="none" w:sz="0" w:space="0" w:color="auto"/>
            <w:right w:val="none" w:sz="0" w:space="0" w:color="auto"/>
          </w:divBdr>
        </w:div>
        <w:div w:id="724180036">
          <w:marLeft w:val="480"/>
          <w:marRight w:val="0"/>
          <w:marTop w:val="0"/>
          <w:marBottom w:val="0"/>
          <w:divBdr>
            <w:top w:val="none" w:sz="0" w:space="0" w:color="auto"/>
            <w:left w:val="none" w:sz="0" w:space="0" w:color="auto"/>
            <w:bottom w:val="none" w:sz="0" w:space="0" w:color="auto"/>
            <w:right w:val="none" w:sz="0" w:space="0" w:color="auto"/>
          </w:divBdr>
        </w:div>
        <w:div w:id="1969238739">
          <w:marLeft w:val="480"/>
          <w:marRight w:val="0"/>
          <w:marTop w:val="0"/>
          <w:marBottom w:val="0"/>
          <w:divBdr>
            <w:top w:val="none" w:sz="0" w:space="0" w:color="auto"/>
            <w:left w:val="none" w:sz="0" w:space="0" w:color="auto"/>
            <w:bottom w:val="none" w:sz="0" w:space="0" w:color="auto"/>
            <w:right w:val="none" w:sz="0" w:space="0" w:color="auto"/>
          </w:divBdr>
        </w:div>
        <w:div w:id="282545496">
          <w:marLeft w:val="480"/>
          <w:marRight w:val="0"/>
          <w:marTop w:val="0"/>
          <w:marBottom w:val="0"/>
          <w:divBdr>
            <w:top w:val="none" w:sz="0" w:space="0" w:color="auto"/>
            <w:left w:val="none" w:sz="0" w:space="0" w:color="auto"/>
            <w:bottom w:val="none" w:sz="0" w:space="0" w:color="auto"/>
            <w:right w:val="none" w:sz="0" w:space="0" w:color="auto"/>
          </w:divBdr>
        </w:div>
        <w:div w:id="160707930">
          <w:marLeft w:val="480"/>
          <w:marRight w:val="0"/>
          <w:marTop w:val="0"/>
          <w:marBottom w:val="0"/>
          <w:divBdr>
            <w:top w:val="none" w:sz="0" w:space="0" w:color="auto"/>
            <w:left w:val="none" w:sz="0" w:space="0" w:color="auto"/>
            <w:bottom w:val="none" w:sz="0" w:space="0" w:color="auto"/>
            <w:right w:val="none" w:sz="0" w:space="0" w:color="auto"/>
          </w:divBdr>
        </w:div>
        <w:div w:id="1342388490">
          <w:marLeft w:val="480"/>
          <w:marRight w:val="0"/>
          <w:marTop w:val="0"/>
          <w:marBottom w:val="0"/>
          <w:divBdr>
            <w:top w:val="none" w:sz="0" w:space="0" w:color="auto"/>
            <w:left w:val="none" w:sz="0" w:space="0" w:color="auto"/>
            <w:bottom w:val="none" w:sz="0" w:space="0" w:color="auto"/>
            <w:right w:val="none" w:sz="0" w:space="0" w:color="auto"/>
          </w:divBdr>
        </w:div>
        <w:div w:id="1690796009">
          <w:marLeft w:val="480"/>
          <w:marRight w:val="0"/>
          <w:marTop w:val="0"/>
          <w:marBottom w:val="0"/>
          <w:divBdr>
            <w:top w:val="none" w:sz="0" w:space="0" w:color="auto"/>
            <w:left w:val="none" w:sz="0" w:space="0" w:color="auto"/>
            <w:bottom w:val="none" w:sz="0" w:space="0" w:color="auto"/>
            <w:right w:val="none" w:sz="0" w:space="0" w:color="auto"/>
          </w:divBdr>
        </w:div>
        <w:div w:id="1433285131">
          <w:marLeft w:val="480"/>
          <w:marRight w:val="0"/>
          <w:marTop w:val="0"/>
          <w:marBottom w:val="0"/>
          <w:divBdr>
            <w:top w:val="none" w:sz="0" w:space="0" w:color="auto"/>
            <w:left w:val="none" w:sz="0" w:space="0" w:color="auto"/>
            <w:bottom w:val="none" w:sz="0" w:space="0" w:color="auto"/>
            <w:right w:val="none" w:sz="0" w:space="0" w:color="auto"/>
          </w:divBdr>
        </w:div>
        <w:div w:id="1584607615">
          <w:marLeft w:val="480"/>
          <w:marRight w:val="0"/>
          <w:marTop w:val="0"/>
          <w:marBottom w:val="0"/>
          <w:divBdr>
            <w:top w:val="none" w:sz="0" w:space="0" w:color="auto"/>
            <w:left w:val="none" w:sz="0" w:space="0" w:color="auto"/>
            <w:bottom w:val="none" w:sz="0" w:space="0" w:color="auto"/>
            <w:right w:val="none" w:sz="0" w:space="0" w:color="auto"/>
          </w:divBdr>
        </w:div>
        <w:div w:id="506872820">
          <w:marLeft w:val="480"/>
          <w:marRight w:val="0"/>
          <w:marTop w:val="0"/>
          <w:marBottom w:val="0"/>
          <w:divBdr>
            <w:top w:val="none" w:sz="0" w:space="0" w:color="auto"/>
            <w:left w:val="none" w:sz="0" w:space="0" w:color="auto"/>
            <w:bottom w:val="none" w:sz="0" w:space="0" w:color="auto"/>
            <w:right w:val="none" w:sz="0" w:space="0" w:color="auto"/>
          </w:divBdr>
        </w:div>
        <w:div w:id="1476530742">
          <w:marLeft w:val="480"/>
          <w:marRight w:val="0"/>
          <w:marTop w:val="0"/>
          <w:marBottom w:val="0"/>
          <w:divBdr>
            <w:top w:val="none" w:sz="0" w:space="0" w:color="auto"/>
            <w:left w:val="none" w:sz="0" w:space="0" w:color="auto"/>
            <w:bottom w:val="none" w:sz="0" w:space="0" w:color="auto"/>
            <w:right w:val="none" w:sz="0" w:space="0" w:color="auto"/>
          </w:divBdr>
        </w:div>
        <w:div w:id="811870055">
          <w:marLeft w:val="480"/>
          <w:marRight w:val="0"/>
          <w:marTop w:val="0"/>
          <w:marBottom w:val="0"/>
          <w:divBdr>
            <w:top w:val="none" w:sz="0" w:space="0" w:color="auto"/>
            <w:left w:val="none" w:sz="0" w:space="0" w:color="auto"/>
            <w:bottom w:val="none" w:sz="0" w:space="0" w:color="auto"/>
            <w:right w:val="none" w:sz="0" w:space="0" w:color="auto"/>
          </w:divBdr>
        </w:div>
        <w:div w:id="391318370">
          <w:marLeft w:val="480"/>
          <w:marRight w:val="0"/>
          <w:marTop w:val="0"/>
          <w:marBottom w:val="0"/>
          <w:divBdr>
            <w:top w:val="none" w:sz="0" w:space="0" w:color="auto"/>
            <w:left w:val="none" w:sz="0" w:space="0" w:color="auto"/>
            <w:bottom w:val="none" w:sz="0" w:space="0" w:color="auto"/>
            <w:right w:val="none" w:sz="0" w:space="0" w:color="auto"/>
          </w:divBdr>
        </w:div>
        <w:div w:id="937911373">
          <w:marLeft w:val="480"/>
          <w:marRight w:val="0"/>
          <w:marTop w:val="0"/>
          <w:marBottom w:val="0"/>
          <w:divBdr>
            <w:top w:val="none" w:sz="0" w:space="0" w:color="auto"/>
            <w:left w:val="none" w:sz="0" w:space="0" w:color="auto"/>
            <w:bottom w:val="none" w:sz="0" w:space="0" w:color="auto"/>
            <w:right w:val="none" w:sz="0" w:space="0" w:color="auto"/>
          </w:divBdr>
        </w:div>
        <w:div w:id="346443579">
          <w:marLeft w:val="480"/>
          <w:marRight w:val="0"/>
          <w:marTop w:val="0"/>
          <w:marBottom w:val="0"/>
          <w:divBdr>
            <w:top w:val="none" w:sz="0" w:space="0" w:color="auto"/>
            <w:left w:val="none" w:sz="0" w:space="0" w:color="auto"/>
            <w:bottom w:val="none" w:sz="0" w:space="0" w:color="auto"/>
            <w:right w:val="none" w:sz="0" w:space="0" w:color="auto"/>
          </w:divBdr>
        </w:div>
        <w:div w:id="280579816">
          <w:marLeft w:val="480"/>
          <w:marRight w:val="0"/>
          <w:marTop w:val="0"/>
          <w:marBottom w:val="0"/>
          <w:divBdr>
            <w:top w:val="none" w:sz="0" w:space="0" w:color="auto"/>
            <w:left w:val="none" w:sz="0" w:space="0" w:color="auto"/>
            <w:bottom w:val="none" w:sz="0" w:space="0" w:color="auto"/>
            <w:right w:val="none" w:sz="0" w:space="0" w:color="auto"/>
          </w:divBdr>
        </w:div>
        <w:div w:id="1308052239">
          <w:marLeft w:val="480"/>
          <w:marRight w:val="0"/>
          <w:marTop w:val="0"/>
          <w:marBottom w:val="0"/>
          <w:divBdr>
            <w:top w:val="none" w:sz="0" w:space="0" w:color="auto"/>
            <w:left w:val="none" w:sz="0" w:space="0" w:color="auto"/>
            <w:bottom w:val="none" w:sz="0" w:space="0" w:color="auto"/>
            <w:right w:val="none" w:sz="0" w:space="0" w:color="auto"/>
          </w:divBdr>
        </w:div>
        <w:div w:id="302541165">
          <w:marLeft w:val="480"/>
          <w:marRight w:val="0"/>
          <w:marTop w:val="0"/>
          <w:marBottom w:val="0"/>
          <w:divBdr>
            <w:top w:val="none" w:sz="0" w:space="0" w:color="auto"/>
            <w:left w:val="none" w:sz="0" w:space="0" w:color="auto"/>
            <w:bottom w:val="none" w:sz="0" w:space="0" w:color="auto"/>
            <w:right w:val="none" w:sz="0" w:space="0" w:color="auto"/>
          </w:divBdr>
        </w:div>
        <w:div w:id="1994330230">
          <w:marLeft w:val="480"/>
          <w:marRight w:val="0"/>
          <w:marTop w:val="0"/>
          <w:marBottom w:val="0"/>
          <w:divBdr>
            <w:top w:val="none" w:sz="0" w:space="0" w:color="auto"/>
            <w:left w:val="none" w:sz="0" w:space="0" w:color="auto"/>
            <w:bottom w:val="none" w:sz="0" w:space="0" w:color="auto"/>
            <w:right w:val="none" w:sz="0" w:space="0" w:color="auto"/>
          </w:divBdr>
        </w:div>
        <w:div w:id="686058644">
          <w:marLeft w:val="480"/>
          <w:marRight w:val="0"/>
          <w:marTop w:val="0"/>
          <w:marBottom w:val="0"/>
          <w:divBdr>
            <w:top w:val="none" w:sz="0" w:space="0" w:color="auto"/>
            <w:left w:val="none" w:sz="0" w:space="0" w:color="auto"/>
            <w:bottom w:val="none" w:sz="0" w:space="0" w:color="auto"/>
            <w:right w:val="none" w:sz="0" w:space="0" w:color="auto"/>
          </w:divBdr>
        </w:div>
        <w:div w:id="445080429">
          <w:marLeft w:val="480"/>
          <w:marRight w:val="0"/>
          <w:marTop w:val="0"/>
          <w:marBottom w:val="0"/>
          <w:divBdr>
            <w:top w:val="none" w:sz="0" w:space="0" w:color="auto"/>
            <w:left w:val="none" w:sz="0" w:space="0" w:color="auto"/>
            <w:bottom w:val="none" w:sz="0" w:space="0" w:color="auto"/>
            <w:right w:val="none" w:sz="0" w:space="0" w:color="auto"/>
          </w:divBdr>
        </w:div>
        <w:div w:id="787242568">
          <w:marLeft w:val="480"/>
          <w:marRight w:val="0"/>
          <w:marTop w:val="0"/>
          <w:marBottom w:val="0"/>
          <w:divBdr>
            <w:top w:val="none" w:sz="0" w:space="0" w:color="auto"/>
            <w:left w:val="none" w:sz="0" w:space="0" w:color="auto"/>
            <w:bottom w:val="none" w:sz="0" w:space="0" w:color="auto"/>
            <w:right w:val="none" w:sz="0" w:space="0" w:color="auto"/>
          </w:divBdr>
        </w:div>
        <w:div w:id="1925336863">
          <w:marLeft w:val="480"/>
          <w:marRight w:val="0"/>
          <w:marTop w:val="0"/>
          <w:marBottom w:val="0"/>
          <w:divBdr>
            <w:top w:val="none" w:sz="0" w:space="0" w:color="auto"/>
            <w:left w:val="none" w:sz="0" w:space="0" w:color="auto"/>
            <w:bottom w:val="none" w:sz="0" w:space="0" w:color="auto"/>
            <w:right w:val="none" w:sz="0" w:space="0" w:color="auto"/>
          </w:divBdr>
        </w:div>
        <w:div w:id="1539706980">
          <w:marLeft w:val="480"/>
          <w:marRight w:val="0"/>
          <w:marTop w:val="0"/>
          <w:marBottom w:val="0"/>
          <w:divBdr>
            <w:top w:val="none" w:sz="0" w:space="0" w:color="auto"/>
            <w:left w:val="none" w:sz="0" w:space="0" w:color="auto"/>
            <w:bottom w:val="none" w:sz="0" w:space="0" w:color="auto"/>
            <w:right w:val="none" w:sz="0" w:space="0" w:color="auto"/>
          </w:divBdr>
        </w:div>
        <w:div w:id="989020968">
          <w:marLeft w:val="480"/>
          <w:marRight w:val="0"/>
          <w:marTop w:val="0"/>
          <w:marBottom w:val="0"/>
          <w:divBdr>
            <w:top w:val="none" w:sz="0" w:space="0" w:color="auto"/>
            <w:left w:val="none" w:sz="0" w:space="0" w:color="auto"/>
            <w:bottom w:val="none" w:sz="0" w:space="0" w:color="auto"/>
            <w:right w:val="none" w:sz="0" w:space="0" w:color="auto"/>
          </w:divBdr>
        </w:div>
        <w:div w:id="324742872">
          <w:marLeft w:val="480"/>
          <w:marRight w:val="0"/>
          <w:marTop w:val="0"/>
          <w:marBottom w:val="0"/>
          <w:divBdr>
            <w:top w:val="none" w:sz="0" w:space="0" w:color="auto"/>
            <w:left w:val="none" w:sz="0" w:space="0" w:color="auto"/>
            <w:bottom w:val="none" w:sz="0" w:space="0" w:color="auto"/>
            <w:right w:val="none" w:sz="0" w:space="0" w:color="auto"/>
          </w:divBdr>
        </w:div>
        <w:div w:id="1597517436">
          <w:marLeft w:val="480"/>
          <w:marRight w:val="0"/>
          <w:marTop w:val="0"/>
          <w:marBottom w:val="0"/>
          <w:divBdr>
            <w:top w:val="none" w:sz="0" w:space="0" w:color="auto"/>
            <w:left w:val="none" w:sz="0" w:space="0" w:color="auto"/>
            <w:bottom w:val="none" w:sz="0" w:space="0" w:color="auto"/>
            <w:right w:val="none" w:sz="0" w:space="0" w:color="auto"/>
          </w:divBdr>
        </w:div>
        <w:div w:id="2069572347">
          <w:marLeft w:val="480"/>
          <w:marRight w:val="0"/>
          <w:marTop w:val="0"/>
          <w:marBottom w:val="0"/>
          <w:divBdr>
            <w:top w:val="none" w:sz="0" w:space="0" w:color="auto"/>
            <w:left w:val="none" w:sz="0" w:space="0" w:color="auto"/>
            <w:bottom w:val="none" w:sz="0" w:space="0" w:color="auto"/>
            <w:right w:val="none" w:sz="0" w:space="0" w:color="auto"/>
          </w:divBdr>
        </w:div>
        <w:div w:id="1083986491">
          <w:marLeft w:val="480"/>
          <w:marRight w:val="0"/>
          <w:marTop w:val="0"/>
          <w:marBottom w:val="0"/>
          <w:divBdr>
            <w:top w:val="none" w:sz="0" w:space="0" w:color="auto"/>
            <w:left w:val="none" w:sz="0" w:space="0" w:color="auto"/>
            <w:bottom w:val="none" w:sz="0" w:space="0" w:color="auto"/>
            <w:right w:val="none" w:sz="0" w:space="0" w:color="auto"/>
          </w:divBdr>
        </w:div>
        <w:div w:id="435563956">
          <w:marLeft w:val="480"/>
          <w:marRight w:val="0"/>
          <w:marTop w:val="0"/>
          <w:marBottom w:val="0"/>
          <w:divBdr>
            <w:top w:val="none" w:sz="0" w:space="0" w:color="auto"/>
            <w:left w:val="none" w:sz="0" w:space="0" w:color="auto"/>
            <w:bottom w:val="none" w:sz="0" w:space="0" w:color="auto"/>
            <w:right w:val="none" w:sz="0" w:space="0" w:color="auto"/>
          </w:divBdr>
        </w:div>
        <w:div w:id="273245196">
          <w:marLeft w:val="480"/>
          <w:marRight w:val="0"/>
          <w:marTop w:val="0"/>
          <w:marBottom w:val="0"/>
          <w:divBdr>
            <w:top w:val="none" w:sz="0" w:space="0" w:color="auto"/>
            <w:left w:val="none" w:sz="0" w:space="0" w:color="auto"/>
            <w:bottom w:val="none" w:sz="0" w:space="0" w:color="auto"/>
            <w:right w:val="none" w:sz="0" w:space="0" w:color="auto"/>
          </w:divBdr>
        </w:div>
        <w:div w:id="734856601">
          <w:marLeft w:val="480"/>
          <w:marRight w:val="0"/>
          <w:marTop w:val="0"/>
          <w:marBottom w:val="0"/>
          <w:divBdr>
            <w:top w:val="none" w:sz="0" w:space="0" w:color="auto"/>
            <w:left w:val="none" w:sz="0" w:space="0" w:color="auto"/>
            <w:bottom w:val="none" w:sz="0" w:space="0" w:color="auto"/>
            <w:right w:val="none" w:sz="0" w:space="0" w:color="auto"/>
          </w:divBdr>
        </w:div>
        <w:div w:id="259682271">
          <w:marLeft w:val="480"/>
          <w:marRight w:val="0"/>
          <w:marTop w:val="0"/>
          <w:marBottom w:val="0"/>
          <w:divBdr>
            <w:top w:val="none" w:sz="0" w:space="0" w:color="auto"/>
            <w:left w:val="none" w:sz="0" w:space="0" w:color="auto"/>
            <w:bottom w:val="none" w:sz="0" w:space="0" w:color="auto"/>
            <w:right w:val="none" w:sz="0" w:space="0" w:color="auto"/>
          </w:divBdr>
        </w:div>
        <w:div w:id="598372002">
          <w:marLeft w:val="480"/>
          <w:marRight w:val="0"/>
          <w:marTop w:val="0"/>
          <w:marBottom w:val="0"/>
          <w:divBdr>
            <w:top w:val="none" w:sz="0" w:space="0" w:color="auto"/>
            <w:left w:val="none" w:sz="0" w:space="0" w:color="auto"/>
            <w:bottom w:val="none" w:sz="0" w:space="0" w:color="auto"/>
            <w:right w:val="none" w:sz="0" w:space="0" w:color="auto"/>
          </w:divBdr>
        </w:div>
        <w:div w:id="276371621">
          <w:marLeft w:val="480"/>
          <w:marRight w:val="0"/>
          <w:marTop w:val="0"/>
          <w:marBottom w:val="0"/>
          <w:divBdr>
            <w:top w:val="none" w:sz="0" w:space="0" w:color="auto"/>
            <w:left w:val="none" w:sz="0" w:space="0" w:color="auto"/>
            <w:bottom w:val="none" w:sz="0" w:space="0" w:color="auto"/>
            <w:right w:val="none" w:sz="0" w:space="0" w:color="auto"/>
          </w:divBdr>
        </w:div>
        <w:div w:id="1737505198">
          <w:marLeft w:val="480"/>
          <w:marRight w:val="0"/>
          <w:marTop w:val="0"/>
          <w:marBottom w:val="0"/>
          <w:divBdr>
            <w:top w:val="none" w:sz="0" w:space="0" w:color="auto"/>
            <w:left w:val="none" w:sz="0" w:space="0" w:color="auto"/>
            <w:bottom w:val="none" w:sz="0" w:space="0" w:color="auto"/>
            <w:right w:val="none" w:sz="0" w:space="0" w:color="auto"/>
          </w:divBdr>
        </w:div>
        <w:div w:id="1651013180">
          <w:marLeft w:val="480"/>
          <w:marRight w:val="0"/>
          <w:marTop w:val="0"/>
          <w:marBottom w:val="0"/>
          <w:divBdr>
            <w:top w:val="none" w:sz="0" w:space="0" w:color="auto"/>
            <w:left w:val="none" w:sz="0" w:space="0" w:color="auto"/>
            <w:bottom w:val="none" w:sz="0" w:space="0" w:color="auto"/>
            <w:right w:val="none" w:sz="0" w:space="0" w:color="auto"/>
          </w:divBdr>
        </w:div>
        <w:div w:id="1709449255">
          <w:marLeft w:val="480"/>
          <w:marRight w:val="0"/>
          <w:marTop w:val="0"/>
          <w:marBottom w:val="0"/>
          <w:divBdr>
            <w:top w:val="none" w:sz="0" w:space="0" w:color="auto"/>
            <w:left w:val="none" w:sz="0" w:space="0" w:color="auto"/>
            <w:bottom w:val="none" w:sz="0" w:space="0" w:color="auto"/>
            <w:right w:val="none" w:sz="0" w:space="0" w:color="auto"/>
          </w:divBdr>
        </w:div>
        <w:div w:id="739252630">
          <w:marLeft w:val="480"/>
          <w:marRight w:val="0"/>
          <w:marTop w:val="0"/>
          <w:marBottom w:val="0"/>
          <w:divBdr>
            <w:top w:val="none" w:sz="0" w:space="0" w:color="auto"/>
            <w:left w:val="none" w:sz="0" w:space="0" w:color="auto"/>
            <w:bottom w:val="none" w:sz="0" w:space="0" w:color="auto"/>
            <w:right w:val="none" w:sz="0" w:space="0" w:color="auto"/>
          </w:divBdr>
        </w:div>
        <w:div w:id="1702316956">
          <w:marLeft w:val="480"/>
          <w:marRight w:val="0"/>
          <w:marTop w:val="0"/>
          <w:marBottom w:val="0"/>
          <w:divBdr>
            <w:top w:val="none" w:sz="0" w:space="0" w:color="auto"/>
            <w:left w:val="none" w:sz="0" w:space="0" w:color="auto"/>
            <w:bottom w:val="none" w:sz="0" w:space="0" w:color="auto"/>
            <w:right w:val="none" w:sz="0" w:space="0" w:color="auto"/>
          </w:divBdr>
        </w:div>
        <w:div w:id="1856260203">
          <w:marLeft w:val="480"/>
          <w:marRight w:val="0"/>
          <w:marTop w:val="0"/>
          <w:marBottom w:val="0"/>
          <w:divBdr>
            <w:top w:val="none" w:sz="0" w:space="0" w:color="auto"/>
            <w:left w:val="none" w:sz="0" w:space="0" w:color="auto"/>
            <w:bottom w:val="none" w:sz="0" w:space="0" w:color="auto"/>
            <w:right w:val="none" w:sz="0" w:space="0" w:color="auto"/>
          </w:divBdr>
        </w:div>
        <w:div w:id="2015104849">
          <w:marLeft w:val="480"/>
          <w:marRight w:val="0"/>
          <w:marTop w:val="0"/>
          <w:marBottom w:val="0"/>
          <w:divBdr>
            <w:top w:val="none" w:sz="0" w:space="0" w:color="auto"/>
            <w:left w:val="none" w:sz="0" w:space="0" w:color="auto"/>
            <w:bottom w:val="none" w:sz="0" w:space="0" w:color="auto"/>
            <w:right w:val="none" w:sz="0" w:space="0" w:color="auto"/>
          </w:divBdr>
        </w:div>
        <w:div w:id="1565723726">
          <w:marLeft w:val="480"/>
          <w:marRight w:val="0"/>
          <w:marTop w:val="0"/>
          <w:marBottom w:val="0"/>
          <w:divBdr>
            <w:top w:val="none" w:sz="0" w:space="0" w:color="auto"/>
            <w:left w:val="none" w:sz="0" w:space="0" w:color="auto"/>
            <w:bottom w:val="none" w:sz="0" w:space="0" w:color="auto"/>
            <w:right w:val="none" w:sz="0" w:space="0" w:color="auto"/>
          </w:divBdr>
        </w:div>
        <w:div w:id="1019618909">
          <w:marLeft w:val="480"/>
          <w:marRight w:val="0"/>
          <w:marTop w:val="0"/>
          <w:marBottom w:val="0"/>
          <w:divBdr>
            <w:top w:val="none" w:sz="0" w:space="0" w:color="auto"/>
            <w:left w:val="none" w:sz="0" w:space="0" w:color="auto"/>
            <w:bottom w:val="none" w:sz="0" w:space="0" w:color="auto"/>
            <w:right w:val="none" w:sz="0" w:space="0" w:color="auto"/>
          </w:divBdr>
        </w:div>
        <w:div w:id="214898384">
          <w:marLeft w:val="480"/>
          <w:marRight w:val="0"/>
          <w:marTop w:val="0"/>
          <w:marBottom w:val="0"/>
          <w:divBdr>
            <w:top w:val="none" w:sz="0" w:space="0" w:color="auto"/>
            <w:left w:val="none" w:sz="0" w:space="0" w:color="auto"/>
            <w:bottom w:val="none" w:sz="0" w:space="0" w:color="auto"/>
            <w:right w:val="none" w:sz="0" w:space="0" w:color="auto"/>
          </w:divBdr>
        </w:div>
        <w:div w:id="1280798879">
          <w:marLeft w:val="480"/>
          <w:marRight w:val="0"/>
          <w:marTop w:val="0"/>
          <w:marBottom w:val="0"/>
          <w:divBdr>
            <w:top w:val="none" w:sz="0" w:space="0" w:color="auto"/>
            <w:left w:val="none" w:sz="0" w:space="0" w:color="auto"/>
            <w:bottom w:val="none" w:sz="0" w:space="0" w:color="auto"/>
            <w:right w:val="none" w:sz="0" w:space="0" w:color="auto"/>
          </w:divBdr>
        </w:div>
        <w:div w:id="991372996">
          <w:marLeft w:val="480"/>
          <w:marRight w:val="0"/>
          <w:marTop w:val="0"/>
          <w:marBottom w:val="0"/>
          <w:divBdr>
            <w:top w:val="none" w:sz="0" w:space="0" w:color="auto"/>
            <w:left w:val="none" w:sz="0" w:space="0" w:color="auto"/>
            <w:bottom w:val="none" w:sz="0" w:space="0" w:color="auto"/>
            <w:right w:val="none" w:sz="0" w:space="0" w:color="auto"/>
          </w:divBdr>
        </w:div>
        <w:div w:id="188881769">
          <w:marLeft w:val="480"/>
          <w:marRight w:val="0"/>
          <w:marTop w:val="0"/>
          <w:marBottom w:val="0"/>
          <w:divBdr>
            <w:top w:val="none" w:sz="0" w:space="0" w:color="auto"/>
            <w:left w:val="none" w:sz="0" w:space="0" w:color="auto"/>
            <w:bottom w:val="none" w:sz="0" w:space="0" w:color="auto"/>
            <w:right w:val="none" w:sz="0" w:space="0" w:color="auto"/>
          </w:divBdr>
        </w:div>
        <w:div w:id="101581093">
          <w:marLeft w:val="480"/>
          <w:marRight w:val="0"/>
          <w:marTop w:val="0"/>
          <w:marBottom w:val="0"/>
          <w:divBdr>
            <w:top w:val="none" w:sz="0" w:space="0" w:color="auto"/>
            <w:left w:val="none" w:sz="0" w:space="0" w:color="auto"/>
            <w:bottom w:val="none" w:sz="0" w:space="0" w:color="auto"/>
            <w:right w:val="none" w:sz="0" w:space="0" w:color="auto"/>
          </w:divBdr>
        </w:div>
        <w:div w:id="1910190903">
          <w:marLeft w:val="480"/>
          <w:marRight w:val="0"/>
          <w:marTop w:val="0"/>
          <w:marBottom w:val="0"/>
          <w:divBdr>
            <w:top w:val="none" w:sz="0" w:space="0" w:color="auto"/>
            <w:left w:val="none" w:sz="0" w:space="0" w:color="auto"/>
            <w:bottom w:val="none" w:sz="0" w:space="0" w:color="auto"/>
            <w:right w:val="none" w:sz="0" w:space="0" w:color="auto"/>
          </w:divBdr>
        </w:div>
        <w:div w:id="400979218">
          <w:marLeft w:val="480"/>
          <w:marRight w:val="0"/>
          <w:marTop w:val="0"/>
          <w:marBottom w:val="0"/>
          <w:divBdr>
            <w:top w:val="none" w:sz="0" w:space="0" w:color="auto"/>
            <w:left w:val="none" w:sz="0" w:space="0" w:color="auto"/>
            <w:bottom w:val="none" w:sz="0" w:space="0" w:color="auto"/>
            <w:right w:val="none" w:sz="0" w:space="0" w:color="auto"/>
          </w:divBdr>
        </w:div>
        <w:div w:id="2147357175">
          <w:marLeft w:val="480"/>
          <w:marRight w:val="0"/>
          <w:marTop w:val="0"/>
          <w:marBottom w:val="0"/>
          <w:divBdr>
            <w:top w:val="none" w:sz="0" w:space="0" w:color="auto"/>
            <w:left w:val="none" w:sz="0" w:space="0" w:color="auto"/>
            <w:bottom w:val="none" w:sz="0" w:space="0" w:color="auto"/>
            <w:right w:val="none" w:sz="0" w:space="0" w:color="auto"/>
          </w:divBdr>
        </w:div>
        <w:div w:id="353461803">
          <w:marLeft w:val="480"/>
          <w:marRight w:val="0"/>
          <w:marTop w:val="0"/>
          <w:marBottom w:val="0"/>
          <w:divBdr>
            <w:top w:val="none" w:sz="0" w:space="0" w:color="auto"/>
            <w:left w:val="none" w:sz="0" w:space="0" w:color="auto"/>
            <w:bottom w:val="none" w:sz="0" w:space="0" w:color="auto"/>
            <w:right w:val="none" w:sz="0" w:space="0" w:color="auto"/>
          </w:divBdr>
        </w:div>
        <w:div w:id="998074094">
          <w:marLeft w:val="480"/>
          <w:marRight w:val="0"/>
          <w:marTop w:val="0"/>
          <w:marBottom w:val="0"/>
          <w:divBdr>
            <w:top w:val="none" w:sz="0" w:space="0" w:color="auto"/>
            <w:left w:val="none" w:sz="0" w:space="0" w:color="auto"/>
            <w:bottom w:val="none" w:sz="0" w:space="0" w:color="auto"/>
            <w:right w:val="none" w:sz="0" w:space="0" w:color="auto"/>
          </w:divBdr>
        </w:div>
        <w:div w:id="864295667">
          <w:marLeft w:val="480"/>
          <w:marRight w:val="0"/>
          <w:marTop w:val="0"/>
          <w:marBottom w:val="0"/>
          <w:divBdr>
            <w:top w:val="none" w:sz="0" w:space="0" w:color="auto"/>
            <w:left w:val="none" w:sz="0" w:space="0" w:color="auto"/>
            <w:bottom w:val="none" w:sz="0" w:space="0" w:color="auto"/>
            <w:right w:val="none" w:sz="0" w:space="0" w:color="auto"/>
          </w:divBdr>
        </w:div>
        <w:div w:id="1865898180">
          <w:marLeft w:val="480"/>
          <w:marRight w:val="0"/>
          <w:marTop w:val="0"/>
          <w:marBottom w:val="0"/>
          <w:divBdr>
            <w:top w:val="none" w:sz="0" w:space="0" w:color="auto"/>
            <w:left w:val="none" w:sz="0" w:space="0" w:color="auto"/>
            <w:bottom w:val="none" w:sz="0" w:space="0" w:color="auto"/>
            <w:right w:val="none" w:sz="0" w:space="0" w:color="auto"/>
          </w:divBdr>
        </w:div>
        <w:div w:id="1626039476">
          <w:marLeft w:val="480"/>
          <w:marRight w:val="0"/>
          <w:marTop w:val="0"/>
          <w:marBottom w:val="0"/>
          <w:divBdr>
            <w:top w:val="none" w:sz="0" w:space="0" w:color="auto"/>
            <w:left w:val="none" w:sz="0" w:space="0" w:color="auto"/>
            <w:bottom w:val="none" w:sz="0" w:space="0" w:color="auto"/>
            <w:right w:val="none" w:sz="0" w:space="0" w:color="auto"/>
          </w:divBdr>
        </w:div>
        <w:div w:id="1607033049">
          <w:marLeft w:val="480"/>
          <w:marRight w:val="0"/>
          <w:marTop w:val="0"/>
          <w:marBottom w:val="0"/>
          <w:divBdr>
            <w:top w:val="none" w:sz="0" w:space="0" w:color="auto"/>
            <w:left w:val="none" w:sz="0" w:space="0" w:color="auto"/>
            <w:bottom w:val="none" w:sz="0" w:space="0" w:color="auto"/>
            <w:right w:val="none" w:sz="0" w:space="0" w:color="auto"/>
          </w:divBdr>
        </w:div>
        <w:div w:id="176893011">
          <w:marLeft w:val="480"/>
          <w:marRight w:val="0"/>
          <w:marTop w:val="0"/>
          <w:marBottom w:val="0"/>
          <w:divBdr>
            <w:top w:val="none" w:sz="0" w:space="0" w:color="auto"/>
            <w:left w:val="none" w:sz="0" w:space="0" w:color="auto"/>
            <w:bottom w:val="none" w:sz="0" w:space="0" w:color="auto"/>
            <w:right w:val="none" w:sz="0" w:space="0" w:color="auto"/>
          </w:divBdr>
        </w:div>
        <w:div w:id="37363983">
          <w:marLeft w:val="480"/>
          <w:marRight w:val="0"/>
          <w:marTop w:val="0"/>
          <w:marBottom w:val="0"/>
          <w:divBdr>
            <w:top w:val="none" w:sz="0" w:space="0" w:color="auto"/>
            <w:left w:val="none" w:sz="0" w:space="0" w:color="auto"/>
            <w:bottom w:val="none" w:sz="0" w:space="0" w:color="auto"/>
            <w:right w:val="none" w:sz="0" w:space="0" w:color="auto"/>
          </w:divBdr>
        </w:div>
        <w:div w:id="1225678270">
          <w:marLeft w:val="480"/>
          <w:marRight w:val="0"/>
          <w:marTop w:val="0"/>
          <w:marBottom w:val="0"/>
          <w:divBdr>
            <w:top w:val="none" w:sz="0" w:space="0" w:color="auto"/>
            <w:left w:val="none" w:sz="0" w:space="0" w:color="auto"/>
            <w:bottom w:val="none" w:sz="0" w:space="0" w:color="auto"/>
            <w:right w:val="none" w:sz="0" w:space="0" w:color="auto"/>
          </w:divBdr>
        </w:div>
        <w:div w:id="97797214">
          <w:marLeft w:val="480"/>
          <w:marRight w:val="0"/>
          <w:marTop w:val="0"/>
          <w:marBottom w:val="0"/>
          <w:divBdr>
            <w:top w:val="none" w:sz="0" w:space="0" w:color="auto"/>
            <w:left w:val="none" w:sz="0" w:space="0" w:color="auto"/>
            <w:bottom w:val="none" w:sz="0" w:space="0" w:color="auto"/>
            <w:right w:val="none" w:sz="0" w:space="0" w:color="auto"/>
          </w:divBdr>
        </w:div>
        <w:div w:id="1602683805">
          <w:marLeft w:val="480"/>
          <w:marRight w:val="0"/>
          <w:marTop w:val="0"/>
          <w:marBottom w:val="0"/>
          <w:divBdr>
            <w:top w:val="none" w:sz="0" w:space="0" w:color="auto"/>
            <w:left w:val="none" w:sz="0" w:space="0" w:color="auto"/>
            <w:bottom w:val="none" w:sz="0" w:space="0" w:color="auto"/>
            <w:right w:val="none" w:sz="0" w:space="0" w:color="auto"/>
          </w:divBdr>
        </w:div>
        <w:div w:id="795951085">
          <w:marLeft w:val="480"/>
          <w:marRight w:val="0"/>
          <w:marTop w:val="0"/>
          <w:marBottom w:val="0"/>
          <w:divBdr>
            <w:top w:val="none" w:sz="0" w:space="0" w:color="auto"/>
            <w:left w:val="none" w:sz="0" w:space="0" w:color="auto"/>
            <w:bottom w:val="none" w:sz="0" w:space="0" w:color="auto"/>
            <w:right w:val="none" w:sz="0" w:space="0" w:color="auto"/>
          </w:divBdr>
        </w:div>
        <w:div w:id="512574924">
          <w:marLeft w:val="480"/>
          <w:marRight w:val="0"/>
          <w:marTop w:val="0"/>
          <w:marBottom w:val="0"/>
          <w:divBdr>
            <w:top w:val="none" w:sz="0" w:space="0" w:color="auto"/>
            <w:left w:val="none" w:sz="0" w:space="0" w:color="auto"/>
            <w:bottom w:val="none" w:sz="0" w:space="0" w:color="auto"/>
            <w:right w:val="none" w:sz="0" w:space="0" w:color="auto"/>
          </w:divBdr>
        </w:div>
        <w:div w:id="1476413952">
          <w:marLeft w:val="480"/>
          <w:marRight w:val="0"/>
          <w:marTop w:val="0"/>
          <w:marBottom w:val="0"/>
          <w:divBdr>
            <w:top w:val="none" w:sz="0" w:space="0" w:color="auto"/>
            <w:left w:val="none" w:sz="0" w:space="0" w:color="auto"/>
            <w:bottom w:val="none" w:sz="0" w:space="0" w:color="auto"/>
            <w:right w:val="none" w:sz="0" w:space="0" w:color="auto"/>
          </w:divBdr>
        </w:div>
        <w:div w:id="1743402738">
          <w:marLeft w:val="480"/>
          <w:marRight w:val="0"/>
          <w:marTop w:val="0"/>
          <w:marBottom w:val="0"/>
          <w:divBdr>
            <w:top w:val="none" w:sz="0" w:space="0" w:color="auto"/>
            <w:left w:val="none" w:sz="0" w:space="0" w:color="auto"/>
            <w:bottom w:val="none" w:sz="0" w:space="0" w:color="auto"/>
            <w:right w:val="none" w:sz="0" w:space="0" w:color="auto"/>
          </w:divBdr>
        </w:div>
        <w:div w:id="1910996883">
          <w:marLeft w:val="480"/>
          <w:marRight w:val="0"/>
          <w:marTop w:val="0"/>
          <w:marBottom w:val="0"/>
          <w:divBdr>
            <w:top w:val="none" w:sz="0" w:space="0" w:color="auto"/>
            <w:left w:val="none" w:sz="0" w:space="0" w:color="auto"/>
            <w:bottom w:val="none" w:sz="0" w:space="0" w:color="auto"/>
            <w:right w:val="none" w:sz="0" w:space="0" w:color="auto"/>
          </w:divBdr>
        </w:div>
        <w:div w:id="1262295031">
          <w:marLeft w:val="480"/>
          <w:marRight w:val="0"/>
          <w:marTop w:val="0"/>
          <w:marBottom w:val="0"/>
          <w:divBdr>
            <w:top w:val="none" w:sz="0" w:space="0" w:color="auto"/>
            <w:left w:val="none" w:sz="0" w:space="0" w:color="auto"/>
            <w:bottom w:val="none" w:sz="0" w:space="0" w:color="auto"/>
            <w:right w:val="none" w:sz="0" w:space="0" w:color="auto"/>
          </w:divBdr>
        </w:div>
        <w:div w:id="1945336866">
          <w:marLeft w:val="480"/>
          <w:marRight w:val="0"/>
          <w:marTop w:val="0"/>
          <w:marBottom w:val="0"/>
          <w:divBdr>
            <w:top w:val="none" w:sz="0" w:space="0" w:color="auto"/>
            <w:left w:val="none" w:sz="0" w:space="0" w:color="auto"/>
            <w:bottom w:val="none" w:sz="0" w:space="0" w:color="auto"/>
            <w:right w:val="none" w:sz="0" w:space="0" w:color="auto"/>
          </w:divBdr>
        </w:div>
        <w:div w:id="139854049">
          <w:marLeft w:val="480"/>
          <w:marRight w:val="0"/>
          <w:marTop w:val="0"/>
          <w:marBottom w:val="0"/>
          <w:divBdr>
            <w:top w:val="none" w:sz="0" w:space="0" w:color="auto"/>
            <w:left w:val="none" w:sz="0" w:space="0" w:color="auto"/>
            <w:bottom w:val="none" w:sz="0" w:space="0" w:color="auto"/>
            <w:right w:val="none" w:sz="0" w:space="0" w:color="auto"/>
          </w:divBdr>
        </w:div>
        <w:div w:id="203518686">
          <w:marLeft w:val="480"/>
          <w:marRight w:val="0"/>
          <w:marTop w:val="0"/>
          <w:marBottom w:val="0"/>
          <w:divBdr>
            <w:top w:val="none" w:sz="0" w:space="0" w:color="auto"/>
            <w:left w:val="none" w:sz="0" w:space="0" w:color="auto"/>
            <w:bottom w:val="none" w:sz="0" w:space="0" w:color="auto"/>
            <w:right w:val="none" w:sz="0" w:space="0" w:color="auto"/>
          </w:divBdr>
        </w:div>
        <w:div w:id="1856842695">
          <w:marLeft w:val="480"/>
          <w:marRight w:val="0"/>
          <w:marTop w:val="0"/>
          <w:marBottom w:val="0"/>
          <w:divBdr>
            <w:top w:val="none" w:sz="0" w:space="0" w:color="auto"/>
            <w:left w:val="none" w:sz="0" w:space="0" w:color="auto"/>
            <w:bottom w:val="none" w:sz="0" w:space="0" w:color="auto"/>
            <w:right w:val="none" w:sz="0" w:space="0" w:color="auto"/>
          </w:divBdr>
        </w:div>
        <w:div w:id="271283049">
          <w:marLeft w:val="480"/>
          <w:marRight w:val="0"/>
          <w:marTop w:val="0"/>
          <w:marBottom w:val="0"/>
          <w:divBdr>
            <w:top w:val="none" w:sz="0" w:space="0" w:color="auto"/>
            <w:left w:val="none" w:sz="0" w:space="0" w:color="auto"/>
            <w:bottom w:val="none" w:sz="0" w:space="0" w:color="auto"/>
            <w:right w:val="none" w:sz="0" w:space="0" w:color="auto"/>
          </w:divBdr>
        </w:div>
        <w:div w:id="200558856">
          <w:marLeft w:val="480"/>
          <w:marRight w:val="0"/>
          <w:marTop w:val="0"/>
          <w:marBottom w:val="0"/>
          <w:divBdr>
            <w:top w:val="none" w:sz="0" w:space="0" w:color="auto"/>
            <w:left w:val="none" w:sz="0" w:space="0" w:color="auto"/>
            <w:bottom w:val="none" w:sz="0" w:space="0" w:color="auto"/>
            <w:right w:val="none" w:sz="0" w:space="0" w:color="auto"/>
          </w:divBdr>
        </w:div>
        <w:div w:id="2019380348">
          <w:marLeft w:val="480"/>
          <w:marRight w:val="0"/>
          <w:marTop w:val="0"/>
          <w:marBottom w:val="0"/>
          <w:divBdr>
            <w:top w:val="none" w:sz="0" w:space="0" w:color="auto"/>
            <w:left w:val="none" w:sz="0" w:space="0" w:color="auto"/>
            <w:bottom w:val="none" w:sz="0" w:space="0" w:color="auto"/>
            <w:right w:val="none" w:sz="0" w:space="0" w:color="auto"/>
          </w:divBdr>
        </w:div>
        <w:div w:id="2109037761">
          <w:marLeft w:val="480"/>
          <w:marRight w:val="0"/>
          <w:marTop w:val="0"/>
          <w:marBottom w:val="0"/>
          <w:divBdr>
            <w:top w:val="none" w:sz="0" w:space="0" w:color="auto"/>
            <w:left w:val="none" w:sz="0" w:space="0" w:color="auto"/>
            <w:bottom w:val="none" w:sz="0" w:space="0" w:color="auto"/>
            <w:right w:val="none" w:sz="0" w:space="0" w:color="auto"/>
          </w:divBdr>
        </w:div>
        <w:div w:id="186215230">
          <w:marLeft w:val="480"/>
          <w:marRight w:val="0"/>
          <w:marTop w:val="0"/>
          <w:marBottom w:val="0"/>
          <w:divBdr>
            <w:top w:val="none" w:sz="0" w:space="0" w:color="auto"/>
            <w:left w:val="none" w:sz="0" w:space="0" w:color="auto"/>
            <w:bottom w:val="none" w:sz="0" w:space="0" w:color="auto"/>
            <w:right w:val="none" w:sz="0" w:space="0" w:color="auto"/>
          </w:divBdr>
        </w:div>
        <w:div w:id="1361542635">
          <w:marLeft w:val="480"/>
          <w:marRight w:val="0"/>
          <w:marTop w:val="0"/>
          <w:marBottom w:val="0"/>
          <w:divBdr>
            <w:top w:val="none" w:sz="0" w:space="0" w:color="auto"/>
            <w:left w:val="none" w:sz="0" w:space="0" w:color="auto"/>
            <w:bottom w:val="none" w:sz="0" w:space="0" w:color="auto"/>
            <w:right w:val="none" w:sz="0" w:space="0" w:color="auto"/>
          </w:divBdr>
        </w:div>
        <w:div w:id="1979920733">
          <w:marLeft w:val="480"/>
          <w:marRight w:val="0"/>
          <w:marTop w:val="0"/>
          <w:marBottom w:val="0"/>
          <w:divBdr>
            <w:top w:val="none" w:sz="0" w:space="0" w:color="auto"/>
            <w:left w:val="none" w:sz="0" w:space="0" w:color="auto"/>
            <w:bottom w:val="none" w:sz="0" w:space="0" w:color="auto"/>
            <w:right w:val="none" w:sz="0" w:space="0" w:color="auto"/>
          </w:divBdr>
        </w:div>
        <w:div w:id="1016467363">
          <w:marLeft w:val="480"/>
          <w:marRight w:val="0"/>
          <w:marTop w:val="0"/>
          <w:marBottom w:val="0"/>
          <w:divBdr>
            <w:top w:val="none" w:sz="0" w:space="0" w:color="auto"/>
            <w:left w:val="none" w:sz="0" w:space="0" w:color="auto"/>
            <w:bottom w:val="none" w:sz="0" w:space="0" w:color="auto"/>
            <w:right w:val="none" w:sz="0" w:space="0" w:color="auto"/>
          </w:divBdr>
        </w:div>
        <w:div w:id="1874151061">
          <w:marLeft w:val="480"/>
          <w:marRight w:val="0"/>
          <w:marTop w:val="0"/>
          <w:marBottom w:val="0"/>
          <w:divBdr>
            <w:top w:val="none" w:sz="0" w:space="0" w:color="auto"/>
            <w:left w:val="none" w:sz="0" w:space="0" w:color="auto"/>
            <w:bottom w:val="none" w:sz="0" w:space="0" w:color="auto"/>
            <w:right w:val="none" w:sz="0" w:space="0" w:color="auto"/>
          </w:divBdr>
        </w:div>
        <w:div w:id="1622223528">
          <w:marLeft w:val="480"/>
          <w:marRight w:val="0"/>
          <w:marTop w:val="0"/>
          <w:marBottom w:val="0"/>
          <w:divBdr>
            <w:top w:val="none" w:sz="0" w:space="0" w:color="auto"/>
            <w:left w:val="none" w:sz="0" w:space="0" w:color="auto"/>
            <w:bottom w:val="none" w:sz="0" w:space="0" w:color="auto"/>
            <w:right w:val="none" w:sz="0" w:space="0" w:color="auto"/>
          </w:divBdr>
        </w:div>
        <w:div w:id="430978184">
          <w:marLeft w:val="480"/>
          <w:marRight w:val="0"/>
          <w:marTop w:val="0"/>
          <w:marBottom w:val="0"/>
          <w:divBdr>
            <w:top w:val="none" w:sz="0" w:space="0" w:color="auto"/>
            <w:left w:val="none" w:sz="0" w:space="0" w:color="auto"/>
            <w:bottom w:val="none" w:sz="0" w:space="0" w:color="auto"/>
            <w:right w:val="none" w:sz="0" w:space="0" w:color="auto"/>
          </w:divBdr>
        </w:div>
        <w:div w:id="5332212">
          <w:marLeft w:val="480"/>
          <w:marRight w:val="0"/>
          <w:marTop w:val="0"/>
          <w:marBottom w:val="0"/>
          <w:divBdr>
            <w:top w:val="none" w:sz="0" w:space="0" w:color="auto"/>
            <w:left w:val="none" w:sz="0" w:space="0" w:color="auto"/>
            <w:bottom w:val="none" w:sz="0" w:space="0" w:color="auto"/>
            <w:right w:val="none" w:sz="0" w:space="0" w:color="auto"/>
          </w:divBdr>
        </w:div>
        <w:div w:id="738599813">
          <w:marLeft w:val="480"/>
          <w:marRight w:val="0"/>
          <w:marTop w:val="0"/>
          <w:marBottom w:val="0"/>
          <w:divBdr>
            <w:top w:val="none" w:sz="0" w:space="0" w:color="auto"/>
            <w:left w:val="none" w:sz="0" w:space="0" w:color="auto"/>
            <w:bottom w:val="none" w:sz="0" w:space="0" w:color="auto"/>
            <w:right w:val="none" w:sz="0" w:space="0" w:color="auto"/>
          </w:divBdr>
        </w:div>
        <w:div w:id="14231567">
          <w:marLeft w:val="480"/>
          <w:marRight w:val="0"/>
          <w:marTop w:val="0"/>
          <w:marBottom w:val="0"/>
          <w:divBdr>
            <w:top w:val="none" w:sz="0" w:space="0" w:color="auto"/>
            <w:left w:val="none" w:sz="0" w:space="0" w:color="auto"/>
            <w:bottom w:val="none" w:sz="0" w:space="0" w:color="auto"/>
            <w:right w:val="none" w:sz="0" w:space="0" w:color="auto"/>
          </w:divBdr>
        </w:div>
        <w:div w:id="406803421">
          <w:marLeft w:val="480"/>
          <w:marRight w:val="0"/>
          <w:marTop w:val="0"/>
          <w:marBottom w:val="0"/>
          <w:divBdr>
            <w:top w:val="none" w:sz="0" w:space="0" w:color="auto"/>
            <w:left w:val="none" w:sz="0" w:space="0" w:color="auto"/>
            <w:bottom w:val="none" w:sz="0" w:space="0" w:color="auto"/>
            <w:right w:val="none" w:sz="0" w:space="0" w:color="auto"/>
          </w:divBdr>
        </w:div>
        <w:div w:id="569779115">
          <w:marLeft w:val="480"/>
          <w:marRight w:val="0"/>
          <w:marTop w:val="0"/>
          <w:marBottom w:val="0"/>
          <w:divBdr>
            <w:top w:val="none" w:sz="0" w:space="0" w:color="auto"/>
            <w:left w:val="none" w:sz="0" w:space="0" w:color="auto"/>
            <w:bottom w:val="none" w:sz="0" w:space="0" w:color="auto"/>
            <w:right w:val="none" w:sz="0" w:space="0" w:color="auto"/>
          </w:divBdr>
        </w:div>
        <w:div w:id="1539126519">
          <w:marLeft w:val="480"/>
          <w:marRight w:val="0"/>
          <w:marTop w:val="0"/>
          <w:marBottom w:val="0"/>
          <w:divBdr>
            <w:top w:val="none" w:sz="0" w:space="0" w:color="auto"/>
            <w:left w:val="none" w:sz="0" w:space="0" w:color="auto"/>
            <w:bottom w:val="none" w:sz="0" w:space="0" w:color="auto"/>
            <w:right w:val="none" w:sz="0" w:space="0" w:color="auto"/>
          </w:divBdr>
        </w:div>
        <w:div w:id="955066140">
          <w:marLeft w:val="480"/>
          <w:marRight w:val="0"/>
          <w:marTop w:val="0"/>
          <w:marBottom w:val="0"/>
          <w:divBdr>
            <w:top w:val="none" w:sz="0" w:space="0" w:color="auto"/>
            <w:left w:val="none" w:sz="0" w:space="0" w:color="auto"/>
            <w:bottom w:val="none" w:sz="0" w:space="0" w:color="auto"/>
            <w:right w:val="none" w:sz="0" w:space="0" w:color="auto"/>
          </w:divBdr>
        </w:div>
        <w:div w:id="1063796887">
          <w:marLeft w:val="480"/>
          <w:marRight w:val="0"/>
          <w:marTop w:val="0"/>
          <w:marBottom w:val="0"/>
          <w:divBdr>
            <w:top w:val="none" w:sz="0" w:space="0" w:color="auto"/>
            <w:left w:val="none" w:sz="0" w:space="0" w:color="auto"/>
            <w:bottom w:val="none" w:sz="0" w:space="0" w:color="auto"/>
            <w:right w:val="none" w:sz="0" w:space="0" w:color="auto"/>
          </w:divBdr>
        </w:div>
        <w:div w:id="131138656">
          <w:marLeft w:val="480"/>
          <w:marRight w:val="0"/>
          <w:marTop w:val="0"/>
          <w:marBottom w:val="0"/>
          <w:divBdr>
            <w:top w:val="none" w:sz="0" w:space="0" w:color="auto"/>
            <w:left w:val="none" w:sz="0" w:space="0" w:color="auto"/>
            <w:bottom w:val="none" w:sz="0" w:space="0" w:color="auto"/>
            <w:right w:val="none" w:sz="0" w:space="0" w:color="auto"/>
          </w:divBdr>
        </w:div>
        <w:div w:id="1001855479">
          <w:marLeft w:val="480"/>
          <w:marRight w:val="0"/>
          <w:marTop w:val="0"/>
          <w:marBottom w:val="0"/>
          <w:divBdr>
            <w:top w:val="none" w:sz="0" w:space="0" w:color="auto"/>
            <w:left w:val="none" w:sz="0" w:space="0" w:color="auto"/>
            <w:bottom w:val="none" w:sz="0" w:space="0" w:color="auto"/>
            <w:right w:val="none" w:sz="0" w:space="0" w:color="auto"/>
          </w:divBdr>
        </w:div>
        <w:div w:id="1227640620">
          <w:marLeft w:val="480"/>
          <w:marRight w:val="0"/>
          <w:marTop w:val="0"/>
          <w:marBottom w:val="0"/>
          <w:divBdr>
            <w:top w:val="none" w:sz="0" w:space="0" w:color="auto"/>
            <w:left w:val="none" w:sz="0" w:space="0" w:color="auto"/>
            <w:bottom w:val="none" w:sz="0" w:space="0" w:color="auto"/>
            <w:right w:val="none" w:sz="0" w:space="0" w:color="auto"/>
          </w:divBdr>
        </w:div>
        <w:div w:id="1369142633">
          <w:marLeft w:val="480"/>
          <w:marRight w:val="0"/>
          <w:marTop w:val="0"/>
          <w:marBottom w:val="0"/>
          <w:divBdr>
            <w:top w:val="none" w:sz="0" w:space="0" w:color="auto"/>
            <w:left w:val="none" w:sz="0" w:space="0" w:color="auto"/>
            <w:bottom w:val="none" w:sz="0" w:space="0" w:color="auto"/>
            <w:right w:val="none" w:sz="0" w:space="0" w:color="auto"/>
          </w:divBdr>
        </w:div>
        <w:div w:id="223874751">
          <w:marLeft w:val="480"/>
          <w:marRight w:val="0"/>
          <w:marTop w:val="0"/>
          <w:marBottom w:val="0"/>
          <w:divBdr>
            <w:top w:val="none" w:sz="0" w:space="0" w:color="auto"/>
            <w:left w:val="none" w:sz="0" w:space="0" w:color="auto"/>
            <w:bottom w:val="none" w:sz="0" w:space="0" w:color="auto"/>
            <w:right w:val="none" w:sz="0" w:space="0" w:color="auto"/>
          </w:divBdr>
        </w:div>
        <w:div w:id="799111156">
          <w:marLeft w:val="480"/>
          <w:marRight w:val="0"/>
          <w:marTop w:val="0"/>
          <w:marBottom w:val="0"/>
          <w:divBdr>
            <w:top w:val="none" w:sz="0" w:space="0" w:color="auto"/>
            <w:left w:val="none" w:sz="0" w:space="0" w:color="auto"/>
            <w:bottom w:val="none" w:sz="0" w:space="0" w:color="auto"/>
            <w:right w:val="none" w:sz="0" w:space="0" w:color="auto"/>
          </w:divBdr>
        </w:div>
        <w:div w:id="119422247">
          <w:marLeft w:val="480"/>
          <w:marRight w:val="0"/>
          <w:marTop w:val="0"/>
          <w:marBottom w:val="0"/>
          <w:divBdr>
            <w:top w:val="none" w:sz="0" w:space="0" w:color="auto"/>
            <w:left w:val="none" w:sz="0" w:space="0" w:color="auto"/>
            <w:bottom w:val="none" w:sz="0" w:space="0" w:color="auto"/>
            <w:right w:val="none" w:sz="0" w:space="0" w:color="auto"/>
          </w:divBdr>
        </w:div>
        <w:div w:id="1048846608">
          <w:marLeft w:val="480"/>
          <w:marRight w:val="0"/>
          <w:marTop w:val="0"/>
          <w:marBottom w:val="0"/>
          <w:divBdr>
            <w:top w:val="none" w:sz="0" w:space="0" w:color="auto"/>
            <w:left w:val="none" w:sz="0" w:space="0" w:color="auto"/>
            <w:bottom w:val="none" w:sz="0" w:space="0" w:color="auto"/>
            <w:right w:val="none" w:sz="0" w:space="0" w:color="auto"/>
          </w:divBdr>
        </w:div>
        <w:div w:id="2020622681">
          <w:marLeft w:val="480"/>
          <w:marRight w:val="0"/>
          <w:marTop w:val="0"/>
          <w:marBottom w:val="0"/>
          <w:divBdr>
            <w:top w:val="none" w:sz="0" w:space="0" w:color="auto"/>
            <w:left w:val="none" w:sz="0" w:space="0" w:color="auto"/>
            <w:bottom w:val="none" w:sz="0" w:space="0" w:color="auto"/>
            <w:right w:val="none" w:sz="0" w:space="0" w:color="auto"/>
          </w:divBdr>
        </w:div>
        <w:div w:id="882058764">
          <w:marLeft w:val="480"/>
          <w:marRight w:val="0"/>
          <w:marTop w:val="0"/>
          <w:marBottom w:val="0"/>
          <w:divBdr>
            <w:top w:val="none" w:sz="0" w:space="0" w:color="auto"/>
            <w:left w:val="none" w:sz="0" w:space="0" w:color="auto"/>
            <w:bottom w:val="none" w:sz="0" w:space="0" w:color="auto"/>
            <w:right w:val="none" w:sz="0" w:space="0" w:color="auto"/>
          </w:divBdr>
        </w:div>
        <w:div w:id="2141994423">
          <w:marLeft w:val="480"/>
          <w:marRight w:val="0"/>
          <w:marTop w:val="0"/>
          <w:marBottom w:val="0"/>
          <w:divBdr>
            <w:top w:val="none" w:sz="0" w:space="0" w:color="auto"/>
            <w:left w:val="none" w:sz="0" w:space="0" w:color="auto"/>
            <w:bottom w:val="none" w:sz="0" w:space="0" w:color="auto"/>
            <w:right w:val="none" w:sz="0" w:space="0" w:color="auto"/>
          </w:divBdr>
        </w:div>
        <w:div w:id="1823502105">
          <w:marLeft w:val="480"/>
          <w:marRight w:val="0"/>
          <w:marTop w:val="0"/>
          <w:marBottom w:val="0"/>
          <w:divBdr>
            <w:top w:val="none" w:sz="0" w:space="0" w:color="auto"/>
            <w:left w:val="none" w:sz="0" w:space="0" w:color="auto"/>
            <w:bottom w:val="none" w:sz="0" w:space="0" w:color="auto"/>
            <w:right w:val="none" w:sz="0" w:space="0" w:color="auto"/>
          </w:divBdr>
        </w:div>
        <w:div w:id="176310775">
          <w:marLeft w:val="480"/>
          <w:marRight w:val="0"/>
          <w:marTop w:val="0"/>
          <w:marBottom w:val="0"/>
          <w:divBdr>
            <w:top w:val="none" w:sz="0" w:space="0" w:color="auto"/>
            <w:left w:val="none" w:sz="0" w:space="0" w:color="auto"/>
            <w:bottom w:val="none" w:sz="0" w:space="0" w:color="auto"/>
            <w:right w:val="none" w:sz="0" w:space="0" w:color="auto"/>
          </w:divBdr>
        </w:div>
        <w:div w:id="1608348658">
          <w:marLeft w:val="480"/>
          <w:marRight w:val="0"/>
          <w:marTop w:val="0"/>
          <w:marBottom w:val="0"/>
          <w:divBdr>
            <w:top w:val="none" w:sz="0" w:space="0" w:color="auto"/>
            <w:left w:val="none" w:sz="0" w:space="0" w:color="auto"/>
            <w:bottom w:val="none" w:sz="0" w:space="0" w:color="auto"/>
            <w:right w:val="none" w:sz="0" w:space="0" w:color="auto"/>
          </w:divBdr>
        </w:div>
        <w:div w:id="139926581">
          <w:marLeft w:val="480"/>
          <w:marRight w:val="0"/>
          <w:marTop w:val="0"/>
          <w:marBottom w:val="0"/>
          <w:divBdr>
            <w:top w:val="none" w:sz="0" w:space="0" w:color="auto"/>
            <w:left w:val="none" w:sz="0" w:space="0" w:color="auto"/>
            <w:bottom w:val="none" w:sz="0" w:space="0" w:color="auto"/>
            <w:right w:val="none" w:sz="0" w:space="0" w:color="auto"/>
          </w:divBdr>
        </w:div>
        <w:div w:id="171142004">
          <w:marLeft w:val="480"/>
          <w:marRight w:val="0"/>
          <w:marTop w:val="0"/>
          <w:marBottom w:val="0"/>
          <w:divBdr>
            <w:top w:val="none" w:sz="0" w:space="0" w:color="auto"/>
            <w:left w:val="none" w:sz="0" w:space="0" w:color="auto"/>
            <w:bottom w:val="none" w:sz="0" w:space="0" w:color="auto"/>
            <w:right w:val="none" w:sz="0" w:space="0" w:color="auto"/>
          </w:divBdr>
        </w:div>
        <w:div w:id="481313929">
          <w:marLeft w:val="480"/>
          <w:marRight w:val="0"/>
          <w:marTop w:val="0"/>
          <w:marBottom w:val="0"/>
          <w:divBdr>
            <w:top w:val="none" w:sz="0" w:space="0" w:color="auto"/>
            <w:left w:val="none" w:sz="0" w:space="0" w:color="auto"/>
            <w:bottom w:val="none" w:sz="0" w:space="0" w:color="auto"/>
            <w:right w:val="none" w:sz="0" w:space="0" w:color="auto"/>
          </w:divBdr>
        </w:div>
        <w:div w:id="102305103">
          <w:marLeft w:val="480"/>
          <w:marRight w:val="0"/>
          <w:marTop w:val="0"/>
          <w:marBottom w:val="0"/>
          <w:divBdr>
            <w:top w:val="none" w:sz="0" w:space="0" w:color="auto"/>
            <w:left w:val="none" w:sz="0" w:space="0" w:color="auto"/>
            <w:bottom w:val="none" w:sz="0" w:space="0" w:color="auto"/>
            <w:right w:val="none" w:sz="0" w:space="0" w:color="auto"/>
          </w:divBdr>
        </w:div>
        <w:div w:id="500698625">
          <w:marLeft w:val="480"/>
          <w:marRight w:val="0"/>
          <w:marTop w:val="0"/>
          <w:marBottom w:val="0"/>
          <w:divBdr>
            <w:top w:val="none" w:sz="0" w:space="0" w:color="auto"/>
            <w:left w:val="none" w:sz="0" w:space="0" w:color="auto"/>
            <w:bottom w:val="none" w:sz="0" w:space="0" w:color="auto"/>
            <w:right w:val="none" w:sz="0" w:space="0" w:color="auto"/>
          </w:divBdr>
        </w:div>
        <w:div w:id="672993825">
          <w:marLeft w:val="480"/>
          <w:marRight w:val="0"/>
          <w:marTop w:val="0"/>
          <w:marBottom w:val="0"/>
          <w:divBdr>
            <w:top w:val="none" w:sz="0" w:space="0" w:color="auto"/>
            <w:left w:val="none" w:sz="0" w:space="0" w:color="auto"/>
            <w:bottom w:val="none" w:sz="0" w:space="0" w:color="auto"/>
            <w:right w:val="none" w:sz="0" w:space="0" w:color="auto"/>
          </w:divBdr>
        </w:div>
        <w:div w:id="1064722522">
          <w:marLeft w:val="480"/>
          <w:marRight w:val="0"/>
          <w:marTop w:val="0"/>
          <w:marBottom w:val="0"/>
          <w:divBdr>
            <w:top w:val="none" w:sz="0" w:space="0" w:color="auto"/>
            <w:left w:val="none" w:sz="0" w:space="0" w:color="auto"/>
            <w:bottom w:val="none" w:sz="0" w:space="0" w:color="auto"/>
            <w:right w:val="none" w:sz="0" w:space="0" w:color="auto"/>
          </w:divBdr>
        </w:div>
        <w:div w:id="1275863047">
          <w:marLeft w:val="480"/>
          <w:marRight w:val="0"/>
          <w:marTop w:val="0"/>
          <w:marBottom w:val="0"/>
          <w:divBdr>
            <w:top w:val="none" w:sz="0" w:space="0" w:color="auto"/>
            <w:left w:val="none" w:sz="0" w:space="0" w:color="auto"/>
            <w:bottom w:val="none" w:sz="0" w:space="0" w:color="auto"/>
            <w:right w:val="none" w:sz="0" w:space="0" w:color="auto"/>
          </w:divBdr>
        </w:div>
        <w:div w:id="723214342">
          <w:marLeft w:val="480"/>
          <w:marRight w:val="0"/>
          <w:marTop w:val="0"/>
          <w:marBottom w:val="0"/>
          <w:divBdr>
            <w:top w:val="none" w:sz="0" w:space="0" w:color="auto"/>
            <w:left w:val="none" w:sz="0" w:space="0" w:color="auto"/>
            <w:bottom w:val="none" w:sz="0" w:space="0" w:color="auto"/>
            <w:right w:val="none" w:sz="0" w:space="0" w:color="auto"/>
          </w:divBdr>
        </w:div>
        <w:div w:id="301927762">
          <w:marLeft w:val="480"/>
          <w:marRight w:val="0"/>
          <w:marTop w:val="0"/>
          <w:marBottom w:val="0"/>
          <w:divBdr>
            <w:top w:val="none" w:sz="0" w:space="0" w:color="auto"/>
            <w:left w:val="none" w:sz="0" w:space="0" w:color="auto"/>
            <w:bottom w:val="none" w:sz="0" w:space="0" w:color="auto"/>
            <w:right w:val="none" w:sz="0" w:space="0" w:color="auto"/>
          </w:divBdr>
        </w:div>
        <w:div w:id="1786078604">
          <w:marLeft w:val="480"/>
          <w:marRight w:val="0"/>
          <w:marTop w:val="0"/>
          <w:marBottom w:val="0"/>
          <w:divBdr>
            <w:top w:val="none" w:sz="0" w:space="0" w:color="auto"/>
            <w:left w:val="none" w:sz="0" w:space="0" w:color="auto"/>
            <w:bottom w:val="none" w:sz="0" w:space="0" w:color="auto"/>
            <w:right w:val="none" w:sz="0" w:space="0" w:color="auto"/>
          </w:divBdr>
        </w:div>
        <w:div w:id="888957405">
          <w:marLeft w:val="480"/>
          <w:marRight w:val="0"/>
          <w:marTop w:val="0"/>
          <w:marBottom w:val="0"/>
          <w:divBdr>
            <w:top w:val="none" w:sz="0" w:space="0" w:color="auto"/>
            <w:left w:val="none" w:sz="0" w:space="0" w:color="auto"/>
            <w:bottom w:val="none" w:sz="0" w:space="0" w:color="auto"/>
            <w:right w:val="none" w:sz="0" w:space="0" w:color="auto"/>
          </w:divBdr>
        </w:div>
        <w:div w:id="1147623627">
          <w:marLeft w:val="480"/>
          <w:marRight w:val="0"/>
          <w:marTop w:val="0"/>
          <w:marBottom w:val="0"/>
          <w:divBdr>
            <w:top w:val="none" w:sz="0" w:space="0" w:color="auto"/>
            <w:left w:val="none" w:sz="0" w:space="0" w:color="auto"/>
            <w:bottom w:val="none" w:sz="0" w:space="0" w:color="auto"/>
            <w:right w:val="none" w:sz="0" w:space="0" w:color="auto"/>
          </w:divBdr>
        </w:div>
        <w:div w:id="286282199">
          <w:marLeft w:val="480"/>
          <w:marRight w:val="0"/>
          <w:marTop w:val="0"/>
          <w:marBottom w:val="0"/>
          <w:divBdr>
            <w:top w:val="none" w:sz="0" w:space="0" w:color="auto"/>
            <w:left w:val="none" w:sz="0" w:space="0" w:color="auto"/>
            <w:bottom w:val="none" w:sz="0" w:space="0" w:color="auto"/>
            <w:right w:val="none" w:sz="0" w:space="0" w:color="auto"/>
          </w:divBdr>
        </w:div>
        <w:div w:id="1316690986">
          <w:marLeft w:val="480"/>
          <w:marRight w:val="0"/>
          <w:marTop w:val="0"/>
          <w:marBottom w:val="0"/>
          <w:divBdr>
            <w:top w:val="none" w:sz="0" w:space="0" w:color="auto"/>
            <w:left w:val="none" w:sz="0" w:space="0" w:color="auto"/>
            <w:bottom w:val="none" w:sz="0" w:space="0" w:color="auto"/>
            <w:right w:val="none" w:sz="0" w:space="0" w:color="auto"/>
          </w:divBdr>
        </w:div>
        <w:div w:id="1751122435">
          <w:marLeft w:val="480"/>
          <w:marRight w:val="0"/>
          <w:marTop w:val="0"/>
          <w:marBottom w:val="0"/>
          <w:divBdr>
            <w:top w:val="none" w:sz="0" w:space="0" w:color="auto"/>
            <w:left w:val="none" w:sz="0" w:space="0" w:color="auto"/>
            <w:bottom w:val="none" w:sz="0" w:space="0" w:color="auto"/>
            <w:right w:val="none" w:sz="0" w:space="0" w:color="auto"/>
          </w:divBdr>
        </w:div>
        <w:div w:id="418869400">
          <w:marLeft w:val="480"/>
          <w:marRight w:val="0"/>
          <w:marTop w:val="0"/>
          <w:marBottom w:val="0"/>
          <w:divBdr>
            <w:top w:val="none" w:sz="0" w:space="0" w:color="auto"/>
            <w:left w:val="none" w:sz="0" w:space="0" w:color="auto"/>
            <w:bottom w:val="none" w:sz="0" w:space="0" w:color="auto"/>
            <w:right w:val="none" w:sz="0" w:space="0" w:color="auto"/>
          </w:divBdr>
        </w:div>
        <w:div w:id="951131727">
          <w:marLeft w:val="480"/>
          <w:marRight w:val="0"/>
          <w:marTop w:val="0"/>
          <w:marBottom w:val="0"/>
          <w:divBdr>
            <w:top w:val="none" w:sz="0" w:space="0" w:color="auto"/>
            <w:left w:val="none" w:sz="0" w:space="0" w:color="auto"/>
            <w:bottom w:val="none" w:sz="0" w:space="0" w:color="auto"/>
            <w:right w:val="none" w:sz="0" w:space="0" w:color="auto"/>
          </w:divBdr>
        </w:div>
        <w:div w:id="500395908">
          <w:marLeft w:val="480"/>
          <w:marRight w:val="0"/>
          <w:marTop w:val="0"/>
          <w:marBottom w:val="0"/>
          <w:divBdr>
            <w:top w:val="none" w:sz="0" w:space="0" w:color="auto"/>
            <w:left w:val="none" w:sz="0" w:space="0" w:color="auto"/>
            <w:bottom w:val="none" w:sz="0" w:space="0" w:color="auto"/>
            <w:right w:val="none" w:sz="0" w:space="0" w:color="auto"/>
          </w:divBdr>
        </w:div>
        <w:div w:id="1317417524">
          <w:marLeft w:val="480"/>
          <w:marRight w:val="0"/>
          <w:marTop w:val="0"/>
          <w:marBottom w:val="0"/>
          <w:divBdr>
            <w:top w:val="none" w:sz="0" w:space="0" w:color="auto"/>
            <w:left w:val="none" w:sz="0" w:space="0" w:color="auto"/>
            <w:bottom w:val="none" w:sz="0" w:space="0" w:color="auto"/>
            <w:right w:val="none" w:sz="0" w:space="0" w:color="auto"/>
          </w:divBdr>
        </w:div>
        <w:div w:id="717900377">
          <w:marLeft w:val="480"/>
          <w:marRight w:val="0"/>
          <w:marTop w:val="0"/>
          <w:marBottom w:val="0"/>
          <w:divBdr>
            <w:top w:val="none" w:sz="0" w:space="0" w:color="auto"/>
            <w:left w:val="none" w:sz="0" w:space="0" w:color="auto"/>
            <w:bottom w:val="none" w:sz="0" w:space="0" w:color="auto"/>
            <w:right w:val="none" w:sz="0" w:space="0" w:color="auto"/>
          </w:divBdr>
        </w:div>
        <w:div w:id="1083532731">
          <w:marLeft w:val="480"/>
          <w:marRight w:val="0"/>
          <w:marTop w:val="0"/>
          <w:marBottom w:val="0"/>
          <w:divBdr>
            <w:top w:val="none" w:sz="0" w:space="0" w:color="auto"/>
            <w:left w:val="none" w:sz="0" w:space="0" w:color="auto"/>
            <w:bottom w:val="none" w:sz="0" w:space="0" w:color="auto"/>
            <w:right w:val="none" w:sz="0" w:space="0" w:color="auto"/>
          </w:divBdr>
        </w:div>
        <w:div w:id="1321427924">
          <w:marLeft w:val="480"/>
          <w:marRight w:val="0"/>
          <w:marTop w:val="0"/>
          <w:marBottom w:val="0"/>
          <w:divBdr>
            <w:top w:val="none" w:sz="0" w:space="0" w:color="auto"/>
            <w:left w:val="none" w:sz="0" w:space="0" w:color="auto"/>
            <w:bottom w:val="none" w:sz="0" w:space="0" w:color="auto"/>
            <w:right w:val="none" w:sz="0" w:space="0" w:color="auto"/>
          </w:divBdr>
        </w:div>
        <w:div w:id="1291015741">
          <w:marLeft w:val="480"/>
          <w:marRight w:val="0"/>
          <w:marTop w:val="0"/>
          <w:marBottom w:val="0"/>
          <w:divBdr>
            <w:top w:val="none" w:sz="0" w:space="0" w:color="auto"/>
            <w:left w:val="none" w:sz="0" w:space="0" w:color="auto"/>
            <w:bottom w:val="none" w:sz="0" w:space="0" w:color="auto"/>
            <w:right w:val="none" w:sz="0" w:space="0" w:color="auto"/>
          </w:divBdr>
        </w:div>
      </w:divsChild>
    </w:div>
    <w:div w:id="1724793198">
      <w:bodyDiv w:val="1"/>
      <w:marLeft w:val="0"/>
      <w:marRight w:val="0"/>
      <w:marTop w:val="0"/>
      <w:marBottom w:val="0"/>
      <w:divBdr>
        <w:top w:val="none" w:sz="0" w:space="0" w:color="auto"/>
        <w:left w:val="none" w:sz="0" w:space="0" w:color="auto"/>
        <w:bottom w:val="none" w:sz="0" w:space="0" w:color="auto"/>
        <w:right w:val="none" w:sz="0" w:space="0" w:color="auto"/>
      </w:divBdr>
    </w:div>
    <w:div w:id="1725061052">
      <w:bodyDiv w:val="1"/>
      <w:marLeft w:val="0"/>
      <w:marRight w:val="0"/>
      <w:marTop w:val="0"/>
      <w:marBottom w:val="0"/>
      <w:divBdr>
        <w:top w:val="none" w:sz="0" w:space="0" w:color="auto"/>
        <w:left w:val="none" w:sz="0" w:space="0" w:color="auto"/>
        <w:bottom w:val="none" w:sz="0" w:space="0" w:color="auto"/>
        <w:right w:val="none" w:sz="0" w:space="0" w:color="auto"/>
      </w:divBdr>
    </w:div>
    <w:div w:id="1725375688">
      <w:bodyDiv w:val="1"/>
      <w:marLeft w:val="0"/>
      <w:marRight w:val="0"/>
      <w:marTop w:val="0"/>
      <w:marBottom w:val="0"/>
      <w:divBdr>
        <w:top w:val="none" w:sz="0" w:space="0" w:color="auto"/>
        <w:left w:val="none" w:sz="0" w:space="0" w:color="auto"/>
        <w:bottom w:val="none" w:sz="0" w:space="0" w:color="auto"/>
        <w:right w:val="none" w:sz="0" w:space="0" w:color="auto"/>
      </w:divBdr>
    </w:div>
    <w:div w:id="1726443798">
      <w:bodyDiv w:val="1"/>
      <w:marLeft w:val="0"/>
      <w:marRight w:val="0"/>
      <w:marTop w:val="0"/>
      <w:marBottom w:val="0"/>
      <w:divBdr>
        <w:top w:val="none" w:sz="0" w:space="0" w:color="auto"/>
        <w:left w:val="none" w:sz="0" w:space="0" w:color="auto"/>
        <w:bottom w:val="none" w:sz="0" w:space="0" w:color="auto"/>
        <w:right w:val="none" w:sz="0" w:space="0" w:color="auto"/>
      </w:divBdr>
    </w:div>
    <w:div w:id="1727757611">
      <w:bodyDiv w:val="1"/>
      <w:marLeft w:val="0"/>
      <w:marRight w:val="0"/>
      <w:marTop w:val="0"/>
      <w:marBottom w:val="0"/>
      <w:divBdr>
        <w:top w:val="none" w:sz="0" w:space="0" w:color="auto"/>
        <w:left w:val="none" w:sz="0" w:space="0" w:color="auto"/>
        <w:bottom w:val="none" w:sz="0" w:space="0" w:color="auto"/>
        <w:right w:val="none" w:sz="0" w:space="0" w:color="auto"/>
      </w:divBdr>
    </w:div>
    <w:div w:id="1728797164">
      <w:bodyDiv w:val="1"/>
      <w:marLeft w:val="0"/>
      <w:marRight w:val="0"/>
      <w:marTop w:val="0"/>
      <w:marBottom w:val="0"/>
      <w:divBdr>
        <w:top w:val="none" w:sz="0" w:space="0" w:color="auto"/>
        <w:left w:val="none" w:sz="0" w:space="0" w:color="auto"/>
        <w:bottom w:val="none" w:sz="0" w:space="0" w:color="auto"/>
        <w:right w:val="none" w:sz="0" w:space="0" w:color="auto"/>
      </w:divBdr>
    </w:div>
    <w:div w:id="1730878084">
      <w:bodyDiv w:val="1"/>
      <w:marLeft w:val="0"/>
      <w:marRight w:val="0"/>
      <w:marTop w:val="0"/>
      <w:marBottom w:val="0"/>
      <w:divBdr>
        <w:top w:val="none" w:sz="0" w:space="0" w:color="auto"/>
        <w:left w:val="none" w:sz="0" w:space="0" w:color="auto"/>
        <w:bottom w:val="none" w:sz="0" w:space="0" w:color="auto"/>
        <w:right w:val="none" w:sz="0" w:space="0" w:color="auto"/>
      </w:divBdr>
    </w:div>
    <w:div w:id="1732073646">
      <w:bodyDiv w:val="1"/>
      <w:marLeft w:val="0"/>
      <w:marRight w:val="0"/>
      <w:marTop w:val="0"/>
      <w:marBottom w:val="0"/>
      <w:divBdr>
        <w:top w:val="none" w:sz="0" w:space="0" w:color="auto"/>
        <w:left w:val="none" w:sz="0" w:space="0" w:color="auto"/>
        <w:bottom w:val="none" w:sz="0" w:space="0" w:color="auto"/>
        <w:right w:val="none" w:sz="0" w:space="0" w:color="auto"/>
      </w:divBdr>
    </w:div>
    <w:div w:id="1732118922">
      <w:bodyDiv w:val="1"/>
      <w:marLeft w:val="0"/>
      <w:marRight w:val="0"/>
      <w:marTop w:val="0"/>
      <w:marBottom w:val="0"/>
      <w:divBdr>
        <w:top w:val="none" w:sz="0" w:space="0" w:color="auto"/>
        <w:left w:val="none" w:sz="0" w:space="0" w:color="auto"/>
        <w:bottom w:val="none" w:sz="0" w:space="0" w:color="auto"/>
        <w:right w:val="none" w:sz="0" w:space="0" w:color="auto"/>
      </w:divBdr>
    </w:div>
    <w:div w:id="1732268584">
      <w:bodyDiv w:val="1"/>
      <w:marLeft w:val="0"/>
      <w:marRight w:val="0"/>
      <w:marTop w:val="0"/>
      <w:marBottom w:val="0"/>
      <w:divBdr>
        <w:top w:val="none" w:sz="0" w:space="0" w:color="auto"/>
        <w:left w:val="none" w:sz="0" w:space="0" w:color="auto"/>
        <w:bottom w:val="none" w:sz="0" w:space="0" w:color="auto"/>
        <w:right w:val="none" w:sz="0" w:space="0" w:color="auto"/>
      </w:divBdr>
    </w:div>
    <w:div w:id="1732384480">
      <w:bodyDiv w:val="1"/>
      <w:marLeft w:val="0"/>
      <w:marRight w:val="0"/>
      <w:marTop w:val="0"/>
      <w:marBottom w:val="0"/>
      <w:divBdr>
        <w:top w:val="none" w:sz="0" w:space="0" w:color="auto"/>
        <w:left w:val="none" w:sz="0" w:space="0" w:color="auto"/>
        <w:bottom w:val="none" w:sz="0" w:space="0" w:color="auto"/>
        <w:right w:val="none" w:sz="0" w:space="0" w:color="auto"/>
      </w:divBdr>
    </w:div>
    <w:div w:id="1732582638">
      <w:bodyDiv w:val="1"/>
      <w:marLeft w:val="0"/>
      <w:marRight w:val="0"/>
      <w:marTop w:val="0"/>
      <w:marBottom w:val="0"/>
      <w:divBdr>
        <w:top w:val="none" w:sz="0" w:space="0" w:color="auto"/>
        <w:left w:val="none" w:sz="0" w:space="0" w:color="auto"/>
        <w:bottom w:val="none" w:sz="0" w:space="0" w:color="auto"/>
        <w:right w:val="none" w:sz="0" w:space="0" w:color="auto"/>
      </w:divBdr>
    </w:div>
    <w:div w:id="1732725626">
      <w:bodyDiv w:val="1"/>
      <w:marLeft w:val="0"/>
      <w:marRight w:val="0"/>
      <w:marTop w:val="0"/>
      <w:marBottom w:val="0"/>
      <w:divBdr>
        <w:top w:val="none" w:sz="0" w:space="0" w:color="auto"/>
        <w:left w:val="none" w:sz="0" w:space="0" w:color="auto"/>
        <w:bottom w:val="none" w:sz="0" w:space="0" w:color="auto"/>
        <w:right w:val="none" w:sz="0" w:space="0" w:color="auto"/>
      </w:divBdr>
    </w:div>
    <w:div w:id="1733193002">
      <w:bodyDiv w:val="1"/>
      <w:marLeft w:val="0"/>
      <w:marRight w:val="0"/>
      <w:marTop w:val="0"/>
      <w:marBottom w:val="0"/>
      <w:divBdr>
        <w:top w:val="none" w:sz="0" w:space="0" w:color="auto"/>
        <w:left w:val="none" w:sz="0" w:space="0" w:color="auto"/>
        <w:bottom w:val="none" w:sz="0" w:space="0" w:color="auto"/>
        <w:right w:val="none" w:sz="0" w:space="0" w:color="auto"/>
      </w:divBdr>
    </w:div>
    <w:div w:id="1733230593">
      <w:bodyDiv w:val="1"/>
      <w:marLeft w:val="0"/>
      <w:marRight w:val="0"/>
      <w:marTop w:val="0"/>
      <w:marBottom w:val="0"/>
      <w:divBdr>
        <w:top w:val="none" w:sz="0" w:space="0" w:color="auto"/>
        <w:left w:val="none" w:sz="0" w:space="0" w:color="auto"/>
        <w:bottom w:val="none" w:sz="0" w:space="0" w:color="auto"/>
        <w:right w:val="none" w:sz="0" w:space="0" w:color="auto"/>
      </w:divBdr>
    </w:div>
    <w:div w:id="1734693150">
      <w:bodyDiv w:val="1"/>
      <w:marLeft w:val="0"/>
      <w:marRight w:val="0"/>
      <w:marTop w:val="0"/>
      <w:marBottom w:val="0"/>
      <w:divBdr>
        <w:top w:val="none" w:sz="0" w:space="0" w:color="auto"/>
        <w:left w:val="none" w:sz="0" w:space="0" w:color="auto"/>
        <w:bottom w:val="none" w:sz="0" w:space="0" w:color="auto"/>
        <w:right w:val="none" w:sz="0" w:space="0" w:color="auto"/>
      </w:divBdr>
    </w:div>
    <w:div w:id="1735160045">
      <w:bodyDiv w:val="1"/>
      <w:marLeft w:val="0"/>
      <w:marRight w:val="0"/>
      <w:marTop w:val="0"/>
      <w:marBottom w:val="0"/>
      <w:divBdr>
        <w:top w:val="none" w:sz="0" w:space="0" w:color="auto"/>
        <w:left w:val="none" w:sz="0" w:space="0" w:color="auto"/>
        <w:bottom w:val="none" w:sz="0" w:space="0" w:color="auto"/>
        <w:right w:val="none" w:sz="0" w:space="0" w:color="auto"/>
      </w:divBdr>
    </w:div>
    <w:div w:id="1735662644">
      <w:bodyDiv w:val="1"/>
      <w:marLeft w:val="0"/>
      <w:marRight w:val="0"/>
      <w:marTop w:val="0"/>
      <w:marBottom w:val="0"/>
      <w:divBdr>
        <w:top w:val="none" w:sz="0" w:space="0" w:color="auto"/>
        <w:left w:val="none" w:sz="0" w:space="0" w:color="auto"/>
        <w:bottom w:val="none" w:sz="0" w:space="0" w:color="auto"/>
        <w:right w:val="none" w:sz="0" w:space="0" w:color="auto"/>
      </w:divBdr>
    </w:div>
    <w:div w:id="1736006828">
      <w:bodyDiv w:val="1"/>
      <w:marLeft w:val="0"/>
      <w:marRight w:val="0"/>
      <w:marTop w:val="0"/>
      <w:marBottom w:val="0"/>
      <w:divBdr>
        <w:top w:val="none" w:sz="0" w:space="0" w:color="auto"/>
        <w:left w:val="none" w:sz="0" w:space="0" w:color="auto"/>
        <w:bottom w:val="none" w:sz="0" w:space="0" w:color="auto"/>
        <w:right w:val="none" w:sz="0" w:space="0" w:color="auto"/>
      </w:divBdr>
    </w:div>
    <w:div w:id="1736511758">
      <w:bodyDiv w:val="1"/>
      <w:marLeft w:val="0"/>
      <w:marRight w:val="0"/>
      <w:marTop w:val="0"/>
      <w:marBottom w:val="0"/>
      <w:divBdr>
        <w:top w:val="none" w:sz="0" w:space="0" w:color="auto"/>
        <w:left w:val="none" w:sz="0" w:space="0" w:color="auto"/>
        <w:bottom w:val="none" w:sz="0" w:space="0" w:color="auto"/>
        <w:right w:val="none" w:sz="0" w:space="0" w:color="auto"/>
      </w:divBdr>
    </w:div>
    <w:div w:id="1737126262">
      <w:bodyDiv w:val="1"/>
      <w:marLeft w:val="0"/>
      <w:marRight w:val="0"/>
      <w:marTop w:val="0"/>
      <w:marBottom w:val="0"/>
      <w:divBdr>
        <w:top w:val="none" w:sz="0" w:space="0" w:color="auto"/>
        <w:left w:val="none" w:sz="0" w:space="0" w:color="auto"/>
        <w:bottom w:val="none" w:sz="0" w:space="0" w:color="auto"/>
        <w:right w:val="none" w:sz="0" w:space="0" w:color="auto"/>
      </w:divBdr>
    </w:div>
    <w:div w:id="1738433927">
      <w:bodyDiv w:val="1"/>
      <w:marLeft w:val="0"/>
      <w:marRight w:val="0"/>
      <w:marTop w:val="0"/>
      <w:marBottom w:val="0"/>
      <w:divBdr>
        <w:top w:val="none" w:sz="0" w:space="0" w:color="auto"/>
        <w:left w:val="none" w:sz="0" w:space="0" w:color="auto"/>
        <w:bottom w:val="none" w:sz="0" w:space="0" w:color="auto"/>
        <w:right w:val="none" w:sz="0" w:space="0" w:color="auto"/>
      </w:divBdr>
    </w:div>
    <w:div w:id="1738867951">
      <w:bodyDiv w:val="1"/>
      <w:marLeft w:val="0"/>
      <w:marRight w:val="0"/>
      <w:marTop w:val="0"/>
      <w:marBottom w:val="0"/>
      <w:divBdr>
        <w:top w:val="none" w:sz="0" w:space="0" w:color="auto"/>
        <w:left w:val="none" w:sz="0" w:space="0" w:color="auto"/>
        <w:bottom w:val="none" w:sz="0" w:space="0" w:color="auto"/>
        <w:right w:val="none" w:sz="0" w:space="0" w:color="auto"/>
      </w:divBdr>
    </w:div>
    <w:div w:id="1739132460">
      <w:bodyDiv w:val="1"/>
      <w:marLeft w:val="0"/>
      <w:marRight w:val="0"/>
      <w:marTop w:val="0"/>
      <w:marBottom w:val="0"/>
      <w:divBdr>
        <w:top w:val="none" w:sz="0" w:space="0" w:color="auto"/>
        <w:left w:val="none" w:sz="0" w:space="0" w:color="auto"/>
        <w:bottom w:val="none" w:sz="0" w:space="0" w:color="auto"/>
        <w:right w:val="none" w:sz="0" w:space="0" w:color="auto"/>
      </w:divBdr>
    </w:div>
    <w:div w:id="1739277842">
      <w:bodyDiv w:val="1"/>
      <w:marLeft w:val="0"/>
      <w:marRight w:val="0"/>
      <w:marTop w:val="0"/>
      <w:marBottom w:val="0"/>
      <w:divBdr>
        <w:top w:val="none" w:sz="0" w:space="0" w:color="auto"/>
        <w:left w:val="none" w:sz="0" w:space="0" w:color="auto"/>
        <w:bottom w:val="none" w:sz="0" w:space="0" w:color="auto"/>
        <w:right w:val="none" w:sz="0" w:space="0" w:color="auto"/>
      </w:divBdr>
    </w:div>
    <w:div w:id="1739786523">
      <w:bodyDiv w:val="1"/>
      <w:marLeft w:val="0"/>
      <w:marRight w:val="0"/>
      <w:marTop w:val="0"/>
      <w:marBottom w:val="0"/>
      <w:divBdr>
        <w:top w:val="none" w:sz="0" w:space="0" w:color="auto"/>
        <w:left w:val="none" w:sz="0" w:space="0" w:color="auto"/>
        <w:bottom w:val="none" w:sz="0" w:space="0" w:color="auto"/>
        <w:right w:val="none" w:sz="0" w:space="0" w:color="auto"/>
      </w:divBdr>
    </w:div>
    <w:div w:id="1740715821">
      <w:bodyDiv w:val="1"/>
      <w:marLeft w:val="0"/>
      <w:marRight w:val="0"/>
      <w:marTop w:val="0"/>
      <w:marBottom w:val="0"/>
      <w:divBdr>
        <w:top w:val="none" w:sz="0" w:space="0" w:color="auto"/>
        <w:left w:val="none" w:sz="0" w:space="0" w:color="auto"/>
        <w:bottom w:val="none" w:sz="0" w:space="0" w:color="auto"/>
        <w:right w:val="none" w:sz="0" w:space="0" w:color="auto"/>
      </w:divBdr>
    </w:div>
    <w:div w:id="1741320028">
      <w:bodyDiv w:val="1"/>
      <w:marLeft w:val="0"/>
      <w:marRight w:val="0"/>
      <w:marTop w:val="0"/>
      <w:marBottom w:val="0"/>
      <w:divBdr>
        <w:top w:val="none" w:sz="0" w:space="0" w:color="auto"/>
        <w:left w:val="none" w:sz="0" w:space="0" w:color="auto"/>
        <w:bottom w:val="none" w:sz="0" w:space="0" w:color="auto"/>
        <w:right w:val="none" w:sz="0" w:space="0" w:color="auto"/>
      </w:divBdr>
    </w:div>
    <w:div w:id="1741559962">
      <w:bodyDiv w:val="1"/>
      <w:marLeft w:val="0"/>
      <w:marRight w:val="0"/>
      <w:marTop w:val="0"/>
      <w:marBottom w:val="0"/>
      <w:divBdr>
        <w:top w:val="none" w:sz="0" w:space="0" w:color="auto"/>
        <w:left w:val="none" w:sz="0" w:space="0" w:color="auto"/>
        <w:bottom w:val="none" w:sz="0" w:space="0" w:color="auto"/>
        <w:right w:val="none" w:sz="0" w:space="0" w:color="auto"/>
      </w:divBdr>
    </w:div>
    <w:div w:id="1742213105">
      <w:bodyDiv w:val="1"/>
      <w:marLeft w:val="0"/>
      <w:marRight w:val="0"/>
      <w:marTop w:val="0"/>
      <w:marBottom w:val="0"/>
      <w:divBdr>
        <w:top w:val="none" w:sz="0" w:space="0" w:color="auto"/>
        <w:left w:val="none" w:sz="0" w:space="0" w:color="auto"/>
        <w:bottom w:val="none" w:sz="0" w:space="0" w:color="auto"/>
        <w:right w:val="none" w:sz="0" w:space="0" w:color="auto"/>
      </w:divBdr>
    </w:div>
    <w:div w:id="1742215898">
      <w:bodyDiv w:val="1"/>
      <w:marLeft w:val="0"/>
      <w:marRight w:val="0"/>
      <w:marTop w:val="0"/>
      <w:marBottom w:val="0"/>
      <w:divBdr>
        <w:top w:val="none" w:sz="0" w:space="0" w:color="auto"/>
        <w:left w:val="none" w:sz="0" w:space="0" w:color="auto"/>
        <w:bottom w:val="none" w:sz="0" w:space="0" w:color="auto"/>
        <w:right w:val="none" w:sz="0" w:space="0" w:color="auto"/>
      </w:divBdr>
    </w:div>
    <w:div w:id="1742681379">
      <w:bodyDiv w:val="1"/>
      <w:marLeft w:val="0"/>
      <w:marRight w:val="0"/>
      <w:marTop w:val="0"/>
      <w:marBottom w:val="0"/>
      <w:divBdr>
        <w:top w:val="none" w:sz="0" w:space="0" w:color="auto"/>
        <w:left w:val="none" w:sz="0" w:space="0" w:color="auto"/>
        <w:bottom w:val="none" w:sz="0" w:space="0" w:color="auto"/>
        <w:right w:val="none" w:sz="0" w:space="0" w:color="auto"/>
      </w:divBdr>
    </w:div>
    <w:div w:id="1743016736">
      <w:bodyDiv w:val="1"/>
      <w:marLeft w:val="0"/>
      <w:marRight w:val="0"/>
      <w:marTop w:val="0"/>
      <w:marBottom w:val="0"/>
      <w:divBdr>
        <w:top w:val="none" w:sz="0" w:space="0" w:color="auto"/>
        <w:left w:val="none" w:sz="0" w:space="0" w:color="auto"/>
        <w:bottom w:val="none" w:sz="0" w:space="0" w:color="auto"/>
        <w:right w:val="none" w:sz="0" w:space="0" w:color="auto"/>
      </w:divBdr>
    </w:div>
    <w:div w:id="1743288801">
      <w:bodyDiv w:val="1"/>
      <w:marLeft w:val="0"/>
      <w:marRight w:val="0"/>
      <w:marTop w:val="0"/>
      <w:marBottom w:val="0"/>
      <w:divBdr>
        <w:top w:val="none" w:sz="0" w:space="0" w:color="auto"/>
        <w:left w:val="none" w:sz="0" w:space="0" w:color="auto"/>
        <w:bottom w:val="none" w:sz="0" w:space="0" w:color="auto"/>
        <w:right w:val="none" w:sz="0" w:space="0" w:color="auto"/>
      </w:divBdr>
    </w:div>
    <w:div w:id="1743987685">
      <w:bodyDiv w:val="1"/>
      <w:marLeft w:val="0"/>
      <w:marRight w:val="0"/>
      <w:marTop w:val="0"/>
      <w:marBottom w:val="0"/>
      <w:divBdr>
        <w:top w:val="none" w:sz="0" w:space="0" w:color="auto"/>
        <w:left w:val="none" w:sz="0" w:space="0" w:color="auto"/>
        <w:bottom w:val="none" w:sz="0" w:space="0" w:color="auto"/>
        <w:right w:val="none" w:sz="0" w:space="0" w:color="auto"/>
      </w:divBdr>
    </w:div>
    <w:div w:id="1744719138">
      <w:bodyDiv w:val="1"/>
      <w:marLeft w:val="0"/>
      <w:marRight w:val="0"/>
      <w:marTop w:val="0"/>
      <w:marBottom w:val="0"/>
      <w:divBdr>
        <w:top w:val="none" w:sz="0" w:space="0" w:color="auto"/>
        <w:left w:val="none" w:sz="0" w:space="0" w:color="auto"/>
        <w:bottom w:val="none" w:sz="0" w:space="0" w:color="auto"/>
        <w:right w:val="none" w:sz="0" w:space="0" w:color="auto"/>
      </w:divBdr>
    </w:div>
    <w:div w:id="1744988050">
      <w:bodyDiv w:val="1"/>
      <w:marLeft w:val="0"/>
      <w:marRight w:val="0"/>
      <w:marTop w:val="0"/>
      <w:marBottom w:val="0"/>
      <w:divBdr>
        <w:top w:val="none" w:sz="0" w:space="0" w:color="auto"/>
        <w:left w:val="none" w:sz="0" w:space="0" w:color="auto"/>
        <w:bottom w:val="none" w:sz="0" w:space="0" w:color="auto"/>
        <w:right w:val="none" w:sz="0" w:space="0" w:color="auto"/>
      </w:divBdr>
      <w:divsChild>
        <w:div w:id="1740442107">
          <w:marLeft w:val="480"/>
          <w:marRight w:val="0"/>
          <w:marTop w:val="0"/>
          <w:marBottom w:val="0"/>
          <w:divBdr>
            <w:top w:val="none" w:sz="0" w:space="0" w:color="auto"/>
            <w:left w:val="none" w:sz="0" w:space="0" w:color="auto"/>
            <w:bottom w:val="none" w:sz="0" w:space="0" w:color="auto"/>
            <w:right w:val="none" w:sz="0" w:space="0" w:color="auto"/>
          </w:divBdr>
        </w:div>
        <w:div w:id="1836994598">
          <w:marLeft w:val="480"/>
          <w:marRight w:val="0"/>
          <w:marTop w:val="0"/>
          <w:marBottom w:val="0"/>
          <w:divBdr>
            <w:top w:val="none" w:sz="0" w:space="0" w:color="auto"/>
            <w:left w:val="none" w:sz="0" w:space="0" w:color="auto"/>
            <w:bottom w:val="none" w:sz="0" w:space="0" w:color="auto"/>
            <w:right w:val="none" w:sz="0" w:space="0" w:color="auto"/>
          </w:divBdr>
        </w:div>
        <w:div w:id="178084658">
          <w:marLeft w:val="480"/>
          <w:marRight w:val="0"/>
          <w:marTop w:val="0"/>
          <w:marBottom w:val="0"/>
          <w:divBdr>
            <w:top w:val="none" w:sz="0" w:space="0" w:color="auto"/>
            <w:left w:val="none" w:sz="0" w:space="0" w:color="auto"/>
            <w:bottom w:val="none" w:sz="0" w:space="0" w:color="auto"/>
            <w:right w:val="none" w:sz="0" w:space="0" w:color="auto"/>
          </w:divBdr>
        </w:div>
        <w:div w:id="1001663504">
          <w:marLeft w:val="480"/>
          <w:marRight w:val="0"/>
          <w:marTop w:val="0"/>
          <w:marBottom w:val="0"/>
          <w:divBdr>
            <w:top w:val="none" w:sz="0" w:space="0" w:color="auto"/>
            <w:left w:val="none" w:sz="0" w:space="0" w:color="auto"/>
            <w:bottom w:val="none" w:sz="0" w:space="0" w:color="auto"/>
            <w:right w:val="none" w:sz="0" w:space="0" w:color="auto"/>
          </w:divBdr>
        </w:div>
        <w:div w:id="1200240739">
          <w:marLeft w:val="480"/>
          <w:marRight w:val="0"/>
          <w:marTop w:val="0"/>
          <w:marBottom w:val="0"/>
          <w:divBdr>
            <w:top w:val="none" w:sz="0" w:space="0" w:color="auto"/>
            <w:left w:val="none" w:sz="0" w:space="0" w:color="auto"/>
            <w:bottom w:val="none" w:sz="0" w:space="0" w:color="auto"/>
            <w:right w:val="none" w:sz="0" w:space="0" w:color="auto"/>
          </w:divBdr>
        </w:div>
        <w:div w:id="1747073806">
          <w:marLeft w:val="480"/>
          <w:marRight w:val="0"/>
          <w:marTop w:val="0"/>
          <w:marBottom w:val="0"/>
          <w:divBdr>
            <w:top w:val="none" w:sz="0" w:space="0" w:color="auto"/>
            <w:left w:val="none" w:sz="0" w:space="0" w:color="auto"/>
            <w:bottom w:val="none" w:sz="0" w:space="0" w:color="auto"/>
            <w:right w:val="none" w:sz="0" w:space="0" w:color="auto"/>
          </w:divBdr>
        </w:div>
        <w:div w:id="1507549501">
          <w:marLeft w:val="480"/>
          <w:marRight w:val="0"/>
          <w:marTop w:val="0"/>
          <w:marBottom w:val="0"/>
          <w:divBdr>
            <w:top w:val="none" w:sz="0" w:space="0" w:color="auto"/>
            <w:left w:val="none" w:sz="0" w:space="0" w:color="auto"/>
            <w:bottom w:val="none" w:sz="0" w:space="0" w:color="auto"/>
            <w:right w:val="none" w:sz="0" w:space="0" w:color="auto"/>
          </w:divBdr>
        </w:div>
        <w:div w:id="1380546077">
          <w:marLeft w:val="480"/>
          <w:marRight w:val="0"/>
          <w:marTop w:val="0"/>
          <w:marBottom w:val="0"/>
          <w:divBdr>
            <w:top w:val="none" w:sz="0" w:space="0" w:color="auto"/>
            <w:left w:val="none" w:sz="0" w:space="0" w:color="auto"/>
            <w:bottom w:val="none" w:sz="0" w:space="0" w:color="auto"/>
            <w:right w:val="none" w:sz="0" w:space="0" w:color="auto"/>
          </w:divBdr>
        </w:div>
        <w:div w:id="1854028271">
          <w:marLeft w:val="480"/>
          <w:marRight w:val="0"/>
          <w:marTop w:val="0"/>
          <w:marBottom w:val="0"/>
          <w:divBdr>
            <w:top w:val="none" w:sz="0" w:space="0" w:color="auto"/>
            <w:left w:val="none" w:sz="0" w:space="0" w:color="auto"/>
            <w:bottom w:val="none" w:sz="0" w:space="0" w:color="auto"/>
            <w:right w:val="none" w:sz="0" w:space="0" w:color="auto"/>
          </w:divBdr>
        </w:div>
        <w:div w:id="1298534389">
          <w:marLeft w:val="480"/>
          <w:marRight w:val="0"/>
          <w:marTop w:val="0"/>
          <w:marBottom w:val="0"/>
          <w:divBdr>
            <w:top w:val="none" w:sz="0" w:space="0" w:color="auto"/>
            <w:left w:val="none" w:sz="0" w:space="0" w:color="auto"/>
            <w:bottom w:val="none" w:sz="0" w:space="0" w:color="auto"/>
            <w:right w:val="none" w:sz="0" w:space="0" w:color="auto"/>
          </w:divBdr>
        </w:div>
        <w:div w:id="147600927">
          <w:marLeft w:val="480"/>
          <w:marRight w:val="0"/>
          <w:marTop w:val="0"/>
          <w:marBottom w:val="0"/>
          <w:divBdr>
            <w:top w:val="none" w:sz="0" w:space="0" w:color="auto"/>
            <w:left w:val="none" w:sz="0" w:space="0" w:color="auto"/>
            <w:bottom w:val="none" w:sz="0" w:space="0" w:color="auto"/>
            <w:right w:val="none" w:sz="0" w:space="0" w:color="auto"/>
          </w:divBdr>
        </w:div>
        <w:div w:id="954021055">
          <w:marLeft w:val="480"/>
          <w:marRight w:val="0"/>
          <w:marTop w:val="0"/>
          <w:marBottom w:val="0"/>
          <w:divBdr>
            <w:top w:val="none" w:sz="0" w:space="0" w:color="auto"/>
            <w:left w:val="none" w:sz="0" w:space="0" w:color="auto"/>
            <w:bottom w:val="none" w:sz="0" w:space="0" w:color="auto"/>
            <w:right w:val="none" w:sz="0" w:space="0" w:color="auto"/>
          </w:divBdr>
        </w:div>
        <w:div w:id="2001226232">
          <w:marLeft w:val="480"/>
          <w:marRight w:val="0"/>
          <w:marTop w:val="0"/>
          <w:marBottom w:val="0"/>
          <w:divBdr>
            <w:top w:val="none" w:sz="0" w:space="0" w:color="auto"/>
            <w:left w:val="none" w:sz="0" w:space="0" w:color="auto"/>
            <w:bottom w:val="none" w:sz="0" w:space="0" w:color="auto"/>
            <w:right w:val="none" w:sz="0" w:space="0" w:color="auto"/>
          </w:divBdr>
        </w:div>
        <w:div w:id="1026710062">
          <w:marLeft w:val="480"/>
          <w:marRight w:val="0"/>
          <w:marTop w:val="0"/>
          <w:marBottom w:val="0"/>
          <w:divBdr>
            <w:top w:val="none" w:sz="0" w:space="0" w:color="auto"/>
            <w:left w:val="none" w:sz="0" w:space="0" w:color="auto"/>
            <w:bottom w:val="none" w:sz="0" w:space="0" w:color="auto"/>
            <w:right w:val="none" w:sz="0" w:space="0" w:color="auto"/>
          </w:divBdr>
        </w:div>
        <w:div w:id="134295181">
          <w:marLeft w:val="480"/>
          <w:marRight w:val="0"/>
          <w:marTop w:val="0"/>
          <w:marBottom w:val="0"/>
          <w:divBdr>
            <w:top w:val="none" w:sz="0" w:space="0" w:color="auto"/>
            <w:left w:val="none" w:sz="0" w:space="0" w:color="auto"/>
            <w:bottom w:val="none" w:sz="0" w:space="0" w:color="auto"/>
            <w:right w:val="none" w:sz="0" w:space="0" w:color="auto"/>
          </w:divBdr>
        </w:div>
        <w:div w:id="593787028">
          <w:marLeft w:val="480"/>
          <w:marRight w:val="0"/>
          <w:marTop w:val="0"/>
          <w:marBottom w:val="0"/>
          <w:divBdr>
            <w:top w:val="none" w:sz="0" w:space="0" w:color="auto"/>
            <w:left w:val="none" w:sz="0" w:space="0" w:color="auto"/>
            <w:bottom w:val="none" w:sz="0" w:space="0" w:color="auto"/>
            <w:right w:val="none" w:sz="0" w:space="0" w:color="auto"/>
          </w:divBdr>
        </w:div>
        <w:div w:id="1901549656">
          <w:marLeft w:val="480"/>
          <w:marRight w:val="0"/>
          <w:marTop w:val="0"/>
          <w:marBottom w:val="0"/>
          <w:divBdr>
            <w:top w:val="none" w:sz="0" w:space="0" w:color="auto"/>
            <w:left w:val="none" w:sz="0" w:space="0" w:color="auto"/>
            <w:bottom w:val="none" w:sz="0" w:space="0" w:color="auto"/>
            <w:right w:val="none" w:sz="0" w:space="0" w:color="auto"/>
          </w:divBdr>
        </w:div>
        <w:div w:id="1348025706">
          <w:marLeft w:val="480"/>
          <w:marRight w:val="0"/>
          <w:marTop w:val="0"/>
          <w:marBottom w:val="0"/>
          <w:divBdr>
            <w:top w:val="none" w:sz="0" w:space="0" w:color="auto"/>
            <w:left w:val="none" w:sz="0" w:space="0" w:color="auto"/>
            <w:bottom w:val="none" w:sz="0" w:space="0" w:color="auto"/>
            <w:right w:val="none" w:sz="0" w:space="0" w:color="auto"/>
          </w:divBdr>
        </w:div>
        <w:div w:id="355933969">
          <w:marLeft w:val="480"/>
          <w:marRight w:val="0"/>
          <w:marTop w:val="0"/>
          <w:marBottom w:val="0"/>
          <w:divBdr>
            <w:top w:val="none" w:sz="0" w:space="0" w:color="auto"/>
            <w:left w:val="none" w:sz="0" w:space="0" w:color="auto"/>
            <w:bottom w:val="none" w:sz="0" w:space="0" w:color="auto"/>
            <w:right w:val="none" w:sz="0" w:space="0" w:color="auto"/>
          </w:divBdr>
        </w:div>
        <w:div w:id="1624725963">
          <w:marLeft w:val="480"/>
          <w:marRight w:val="0"/>
          <w:marTop w:val="0"/>
          <w:marBottom w:val="0"/>
          <w:divBdr>
            <w:top w:val="none" w:sz="0" w:space="0" w:color="auto"/>
            <w:left w:val="none" w:sz="0" w:space="0" w:color="auto"/>
            <w:bottom w:val="none" w:sz="0" w:space="0" w:color="auto"/>
            <w:right w:val="none" w:sz="0" w:space="0" w:color="auto"/>
          </w:divBdr>
        </w:div>
        <w:div w:id="891816861">
          <w:marLeft w:val="480"/>
          <w:marRight w:val="0"/>
          <w:marTop w:val="0"/>
          <w:marBottom w:val="0"/>
          <w:divBdr>
            <w:top w:val="none" w:sz="0" w:space="0" w:color="auto"/>
            <w:left w:val="none" w:sz="0" w:space="0" w:color="auto"/>
            <w:bottom w:val="none" w:sz="0" w:space="0" w:color="auto"/>
            <w:right w:val="none" w:sz="0" w:space="0" w:color="auto"/>
          </w:divBdr>
        </w:div>
        <w:div w:id="1429932230">
          <w:marLeft w:val="480"/>
          <w:marRight w:val="0"/>
          <w:marTop w:val="0"/>
          <w:marBottom w:val="0"/>
          <w:divBdr>
            <w:top w:val="none" w:sz="0" w:space="0" w:color="auto"/>
            <w:left w:val="none" w:sz="0" w:space="0" w:color="auto"/>
            <w:bottom w:val="none" w:sz="0" w:space="0" w:color="auto"/>
            <w:right w:val="none" w:sz="0" w:space="0" w:color="auto"/>
          </w:divBdr>
        </w:div>
        <w:div w:id="768433656">
          <w:marLeft w:val="480"/>
          <w:marRight w:val="0"/>
          <w:marTop w:val="0"/>
          <w:marBottom w:val="0"/>
          <w:divBdr>
            <w:top w:val="none" w:sz="0" w:space="0" w:color="auto"/>
            <w:left w:val="none" w:sz="0" w:space="0" w:color="auto"/>
            <w:bottom w:val="none" w:sz="0" w:space="0" w:color="auto"/>
            <w:right w:val="none" w:sz="0" w:space="0" w:color="auto"/>
          </w:divBdr>
        </w:div>
        <w:div w:id="171261682">
          <w:marLeft w:val="480"/>
          <w:marRight w:val="0"/>
          <w:marTop w:val="0"/>
          <w:marBottom w:val="0"/>
          <w:divBdr>
            <w:top w:val="none" w:sz="0" w:space="0" w:color="auto"/>
            <w:left w:val="none" w:sz="0" w:space="0" w:color="auto"/>
            <w:bottom w:val="none" w:sz="0" w:space="0" w:color="auto"/>
            <w:right w:val="none" w:sz="0" w:space="0" w:color="auto"/>
          </w:divBdr>
        </w:div>
        <w:div w:id="973757741">
          <w:marLeft w:val="480"/>
          <w:marRight w:val="0"/>
          <w:marTop w:val="0"/>
          <w:marBottom w:val="0"/>
          <w:divBdr>
            <w:top w:val="none" w:sz="0" w:space="0" w:color="auto"/>
            <w:left w:val="none" w:sz="0" w:space="0" w:color="auto"/>
            <w:bottom w:val="none" w:sz="0" w:space="0" w:color="auto"/>
            <w:right w:val="none" w:sz="0" w:space="0" w:color="auto"/>
          </w:divBdr>
        </w:div>
        <w:div w:id="2025589023">
          <w:marLeft w:val="480"/>
          <w:marRight w:val="0"/>
          <w:marTop w:val="0"/>
          <w:marBottom w:val="0"/>
          <w:divBdr>
            <w:top w:val="none" w:sz="0" w:space="0" w:color="auto"/>
            <w:left w:val="none" w:sz="0" w:space="0" w:color="auto"/>
            <w:bottom w:val="none" w:sz="0" w:space="0" w:color="auto"/>
            <w:right w:val="none" w:sz="0" w:space="0" w:color="auto"/>
          </w:divBdr>
        </w:div>
        <w:div w:id="952059080">
          <w:marLeft w:val="480"/>
          <w:marRight w:val="0"/>
          <w:marTop w:val="0"/>
          <w:marBottom w:val="0"/>
          <w:divBdr>
            <w:top w:val="none" w:sz="0" w:space="0" w:color="auto"/>
            <w:left w:val="none" w:sz="0" w:space="0" w:color="auto"/>
            <w:bottom w:val="none" w:sz="0" w:space="0" w:color="auto"/>
            <w:right w:val="none" w:sz="0" w:space="0" w:color="auto"/>
          </w:divBdr>
        </w:div>
        <w:div w:id="1539315436">
          <w:marLeft w:val="480"/>
          <w:marRight w:val="0"/>
          <w:marTop w:val="0"/>
          <w:marBottom w:val="0"/>
          <w:divBdr>
            <w:top w:val="none" w:sz="0" w:space="0" w:color="auto"/>
            <w:left w:val="none" w:sz="0" w:space="0" w:color="auto"/>
            <w:bottom w:val="none" w:sz="0" w:space="0" w:color="auto"/>
            <w:right w:val="none" w:sz="0" w:space="0" w:color="auto"/>
          </w:divBdr>
        </w:div>
        <w:div w:id="1480882468">
          <w:marLeft w:val="480"/>
          <w:marRight w:val="0"/>
          <w:marTop w:val="0"/>
          <w:marBottom w:val="0"/>
          <w:divBdr>
            <w:top w:val="none" w:sz="0" w:space="0" w:color="auto"/>
            <w:left w:val="none" w:sz="0" w:space="0" w:color="auto"/>
            <w:bottom w:val="none" w:sz="0" w:space="0" w:color="auto"/>
            <w:right w:val="none" w:sz="0" w:space="0" w:color="auto"/>
          </w:divBdr>
        </w:div>
        <w:div w:id="60640698">
          <w:marLeft w:val="480"/>
          <w:marRight w:val="0"/>
          <w:marTop w:val="0"/>
          <w:marBottom w:val="0"/>
          <w:divBdr>
            <w:top w:val="none" w:sz="0" w:space="0" w:color="auto"/>
            <w:left w:val="none" w:sz="0" w:space="0" w:color="auto"/>
            <w:bottom w:val="none" w:sz="0" w:space="0" w:color="auto"/>
            <w:right w:val="none" w:sz="0" w:space="0" w:color="auto"/>
          </w:divBdr>
        </w:div>
        <w:div w:id="1674455314">
          <w:marLeft w:val="480"/>
          <w:marRight w:val="0"/>
          <w:marTop w:val="0"/>
          <w:marBottom w:val="0"/>
          <w:divBdr>
            <w:top w:val="none" w:sz="0" w:space="0" w:color="auto"/>
            <w:left w:val="none" w:sz="0" w:space="0" w:color="auto"/>
            <w:bottom w:val="none" w:sz="0" w:space="0" w:color="auto"/>
            <w:right w:val="none" w:sz="0" w:space="0" w:color="auto"/>
          </w:divBdr>
        </w:div>
        <w:div w:id="226961672">
          <w:marLeft w:val="480"/>
          <w:marRight w:val="0"/>
          <w:marTop w:val="0"/>
          <w:marBottom w:val="0"/>
          <w:divBdr>
            <w:top w:val="none" w:sz="0" w:space="0" w:color="auto"/>
            <w:left w:val="none" w:sz="0" w:space="0" w:color="auto"/>
            <w:bottom w:val="none" w:sz="0" w:space="0" w:color="auto"/>
            <w:right w:val="none" w:sz="0" w:space="0" w:color="auto"/>
          </w:divBdr>
        </w:div>
        <w:div w:id="1050348633">
          <w:marLeft w:val="480"/>
          <w:marRight w:val="0"/>
          <w:marTop w:val="0"/>
          <w:marBottom w:val="0"/>
          <w:divBdr>
            <w:top w:val="none" w:sz="0" w:space="0" w:color="auto"/>
            <w:left w:val="none" w:sz="0" w:space="0" w:color="auto"/>
            <w:bottom w:val="none" w:sz="0" w:space="0" w:color="auto"/>
            <w:right w:val="none" w:sz="0" w:space="0" w:color="auto"/>
          </w:divBdr>
        </w:div>
        <w:div w:id="1789540123">
          <w:marLeft w:val="480"/>
          <w:marRight w:val="0"/>
          <w:marTop w:val="0"/>
          <w:marBottom w:val="0"/>
          <w:divBdr>
            <w:top w:val="none" w:sz="0" w:space="0" w:color="auto"/>
            <w:left w:val="none" w:sz="0" w:space="0" w:color="auto"/>
            <w:bottom w:val="none" w:sz="0" w:space="0" w:color="auto"/>
            <w:right w:val="none" w:sz="0" w:space="0" w:color="auto"/>
          </w:divBdr>
        </w:div>
        <w:div w:id="483160099">
          <w:marLeft w:val="480"/>
          <w:marRight w:val="0"/>
          <w:marTop w:val="0"/>
          <w:marBottom w:val="0"/>
          <w:divBdr>
            <w:top w:val="none" w:sz="0" w:space="0" w:color="auto"/>
            <w:left w:val="none" w:sz="0" w:space="0" w:color="auto"/>
            <w:bottom w:val="none" w:sz="0" w:space="0" w:color="auto"/>
            <w:right w:val="none" w:sz="0" w:space="0" w:color="auto"/>
          </w:divBdr>
        </w:div>
        <w:div w:id="467237499">
          <w:marLeft w:val="480"/>
          <w:marRight w:val="0"/>
          <w:marTop w:val="0"/>
          <w:marBottom w:val="0"/>
          <w:divBdr>
            <w:top w:val="none" w:sz="0" w:space="0" w:color="auto"/>
            <w:left w:val="none" w:sz="0" w:space="0" w:color="auto"/>
            <w:bottom w:val="none" w:sz="0" w:space="0" w:color="auto"/>
            <w:right w:val="none" w:sz="0" w:space="0" w:color="auto"/>
          </w:divBdr>
        </w:div>
        <w:div w:id="869992116">
          <w:marLeft w:val="480"/>
          <w:marRight w:val="0"/>
          <w:marTop w:val="0"/>
          <w:marBottom w:val="0"/>
          <w:divBdr>
            <w:top w:val="none" w:sz="0" w:space="0" w:color="auto"/>
            <w:left w:val="none" w:sz="0" w:space="0" w:color="auto"/>
            <w:bottom w:val="none" w:sz="0" w:space="0" w:color="auto"/>
            <w:right w:val="none" w:sz="0" w:space="0" w:color="auto"/>
          </w:divBdr>
        </w:div>
        <w:div w:id="1828281178">
          <w:marLeft w:val="480"/>
          <w:marRight w:val="0"/>
          <w:marTop w:val="0"/>
          <w:marBottom w:val="0"/>
          <w:divBdr>
            <w:top w:val="none" w:sz="0" w:space="0" w:color="auto"/>
            <w:left w:val="none" w:sz="0" w:space="0" w:color="auto"/>
            <w:bottom w:val="none" w:sz="0" w:space="0" w:color="auto"/>
            <w:right w:val="none" w:sz="0" w:space="0" w:color="auto"/>
          </w:divBdr>
        </w:div>
        <w:div w:id="790394700">
          <w:marLeft w:val="480"/>
          <w:marRight w:val="0"/>
          <w:marTop w:val="0"/>
          <w:marBottom w:val="0"/>
          <w:divBdr>
            <w:top w:val="none" w:sz="0" w:space="0" w:color="auto"/>
            <w:left w:val="none" w:sz="0" w:space="0" w:color="auto"/>
            <w:bottom w:val="none" w:sz="0" w:space="0" w:color="auto"/>
            <w:right w:val="none" w:sz="0" w:space="0" w:color="auto"/>
          </w:divBdr>
        </w:div>
        <w:div w:id="1506357978">
          <w:marLeft w:val="480"/>
          <w:marRight w:val="0"/>
          <w:marTop w:val="0"/>
          <w:marBottom w:val="0"/>
          <w:divBdr>
            <w:top w:val="none" w:sz="0" w:space="0" w:color="auto"/>
            <w:left w:val="none" w:sz="0" w:space="0" w:color="auto"/>
            <w:bottom w:val="none" w:sz="0" w:space="0" w:color="auto"/>
            <w:right w:val="none" w:sz="0" w:space="0" w:color="auto"/>
          </w:divBdr>
        </w:div>
        <w:div w:id="952786508">
          <w:marLeft w:val="480"/>
          <w:marRight w:val="0"/>
          <w:marTop w:val="0"/>
          <w:marBottom w:val="0"/>
          <w:divBdr>
            <w:top w:val="none" w:sz="0" w:space="0" w:color="auto"/>
            <w:left w:val="none" w:sz="0" w:space="0" w:color="auto"/>
            <w:bottom w:val="none" w:sz="0" w:space="0" w:color="auto"/>
            <w:right w:val="none" w:sz="0" w:space="0" w:color="auto"/>
          </w:divBdr>
        </w:div>
        <w:div w:id="575550631">
          <w:marLeft w:val="480"/>
          <w:marRight w:val="0"/>
          <w:marTop w:val="0"/>
          <w:marBottom w:val="0"/>
          <w:divBdr>
            <w:top w:val="none" w:sz="0" w:space="0" w:color="auto"/>
            <w:left w:val="none" w:sz="0" w:space="0" w:color="auto"/>
            <w:bottom w:val="none" w:sz="0" w:space="0" w:color="auto"/>
            <w:right w:val="none" w:sz="0" w:space="0" w:color="auto"/>
          </w:divBdr>
        </w:div>
        <w:div w:id="565265433">
          <w:marLeft w:val="480"/>
          <w:marRight w:val="0"/>
          <w:marTop w:val="0"/>
          <w:marBottom w:val="0"/>
          <w:divBdr>
            <w:top w:val="none" w:sz="0" w:space="0" w:color="auto"/>
            <w:left w:val="none" w:sz="0" w:space="0" w:color="auto"/>
            <w:bottom w:val="none" w:sz="0" w:space="0" w:color="auto"/>
            <w:right w:val="none" w:sz="0" w:space="0" w:color="auto"/>
          </w:divBdr>
        </w:div>
        <w:div w:id="1135562438">
          <w:marLeft w:val="480"/>
          <w:marRight w:val="0"/>
          <w:marTop w:val="0"/>
          <w:marBottom w:val="0"/>
          <w:divBdr>
            <w:top w:val="none" w:sz="0" w:space="0" w:color="auto"/>
            <w:left w:val="none" w:sz="0" w:space="0" w:color="auto"/>
            <w:bottom w:val="none" w:sz="0" w:space="0" w:color="auto"/>
            <w:right w:val="none" w:sz="0" w:space="0" w:color="auto"/>
          </w:divBdr>
        </w:div>
        <w:div w:id="1228154016">
          <w:marLeft w:val="480"/>
          <w:marRight w:val="0"/>
          <w:marTop w:val="0"/>
          <w:marBottom w:val="0"/>
          <w:divBdr>
            <w:top w:val="none" w:sz="0" w:space="0" w:color="auto"/>
            <w:left w:val="none" w:sz="0" w:space="0" w:color="auto"/>
            <w:bottom w:val="none" w:sz="0" w:space="0" w:color="auto"/>
            <w:right w:val="none" w:sz="0" w:space="0" w:color="auto"/>
          </w:divBdr>
        </w:div>
        <w:div w:id="1438870360">
          <w:marLeft w:val="480"/>
          <w:marRight w:val="0"/>
          <w:marTop w:val="0"/>
          <w:marBottom w:val="0"/>
          <w:divBdr>
            <w:top w:val="none" w:sz="0" w:space="0" w:color="auto"/>
            <w:left w:val="none" w:sz="0" w:space="0" w:color="auto"/>
            <w:bottom w:val="none" w:sz="0" w:space="0" w:color="auto"/>
            <w:right w:val="none" w:sz="0" w:space="0" w:color="auto"/>
          </w:divBdr>
        </w:div>
        <w:div w:id="1103377617">
          <w:marLeft w:val="480"/>
          <w:marRight w:val="0"/>
          <w:marTop w:val="0"/>
          <w:marBottom w:val="0"/>
          <w:divBdr>
            <w:top w:val="none" w:sz="0" w:space="0" w:color="auto"/>
            <w:left w:val="none" w:sz="0" w:space="0" w:color="auto"/>
            <w:bottom w:val="none" w:sz="0" w:space="0" w:color="auto"/>
            <w:right w:val="none" w:sz="0" w:space="0" w:color="auto"/>
          </w:divBdr>
        </w:div>
        <w:div w:id="872304767">
          <w:marLeft w:val="480"/>
          <w:marRight w:val="0"/>
          <w:marTop w:val="0"/>
          <w:marBottom w:val="0"/>
          <w:divBdr>
            <w:top w:val="none" w:sz="0" w:space="0" w:color="auto"/>
            <w:left w:val="none" w:sz="0" w:space="0" w:color="auto"/>
            <w:bottom w:val="none" w:sz="0" w:space="0" w:color="auto"/>
            <w:right w:val="none" w:sz="0" w:space="0" w:color="auto"/>
          </w:divBdr>
        </w:div>
        <w:div w:id="1664309517">
          <w:marLeft w:val="480"/>
          <w:marRight w:val="0"/>
          <w:marTop w:val="0"/>
          <w:marBottom w:val="0"/>
          <w:divBdr>
            <w:top w:val="none" w:sz="0" w:space="0" w:color="auto"/>
            <w:left w:val="none" w:sz="0" w:space="0" w:color="auto"/>
            <w:bottom w:val="none" w:sz="0" w:space="0" w:color="auto"/>
            <w:right w:val="none" w:sz="0" w:space="0" w:color="auto"/>
          </w:divBdr>
        </w:div>
        <w:div w:id="2002274953">
          <w:marLeft w:val="480"/>
          <w:marRight w:val="0"/>
          <w:marTop w:val="0"/>
          <w:marBottom w:val="0"/>
          <w:divBdr>
            <w:top w:val="none" w:sz="0" w:space="0" w:color="auto"/>
            <w:left w:val="none" w:sz="0" w:space="0" w:color="auto"/>
            <w:bottom w:val="none" w:sz="0" w:space="0" w:color="auto"/>
            <w:right w:val="none" w:sz="0" w:space="0" w:color="auto"/>
          </w:divBdr>
        </w:div>
        <w:div w:id="1851722012">
          <w:marLeft w:val="480"/>
          <w:marRight w:val="0"/>
          <w:marTop w:val="0"/>
          <w:marBottom w:val="0"/>
          <w:divBdr>
            <w:top w:val="none" w:sz="0" w:space="0" w:color="auto"/>
            <w:left w:val="none" w:sz="0" w:space="0" w:color="auto"/>
            <w:bottom w:val="none" w:sz="0" w:space="0" w:color="auto"/>
            <w:right w:val="none" w:sz="0" w:space="0" w:color="auto"/>
          </w:divBdr>
        </w:div>
        <w:div w:id="435291347">
          <w:marLeft w:val="480"/>
          <w:marRight w:val="0"/>
          <w:marTop w:val="0"/>
          <w:marBottom w:val="0"/>
          <w:divBdr>
            <w:top w:val="none" w:sz="0" w:space="0" w:color="auto"/>
            <w:left w:val="none" w:sz="0" w:space="0" w:color="auto"/>
            <w:bottom w:val="none" w:sz="0" w:space="0" w:color="auto"/>
            <w:right w:val="none" w:sz="0" w:space="0" w:color="auto"/>
          </w:divBdr>
        </w:div>
        <w:div w:id="986402899">
          <w:marLeft w:val="480"/>
          <w:marRight w:val="0"/>
          <w:marTop w:val="0"/>
          <w:marBottom w:val="0"/>
          <w:divBdr>
            <w:top w:val="none" w:sz="0" w:space="0" w:color="auto"/>
            <w:left w:val="none" w:sz="0" w:space="0" w:color="auto"/>
            <w:bottom w:val="none" w:sz="0" w:space="0" w:color="auto"/>
            <w:right w:val="none" w:sz="0" w:space="0" w:color="auto"/>
          </w:divBdr>
        </w:div>
        <w:div w:id="2057243273">
          <w:marLeft w:val="480"/>
          <w:marRight w:val="0"/>
          <w:marTop w:val="0"/>
          <w:marBottom w:val="0"/>
          <w:divBdr>
            <w:top w:val="none" w:sz="0" w:space="0" w:color="auto"/>
            <w:left w:val="none" w:sz="0" w:space="0" w:color="auto"/>
            <w:bottom w:val="none" w:sz="0" w:space="0" w:color="auto"/>
            <w:right w:val="none" w:sz="0" w:space="0" w:color="auto"/>
          </w:divBdr>
        </w:div>
        <w:div w:id="1439370734">
          <w:marLeft w:val="480"/>
          <w:marRight w:val="0"/>
          <w:marTop w:val="0"/>
          <w:marBottom w:val="0"/>
          <w:divBdr>
            <w:top w:val="none" w:sz="0" w:space="0" w:color="auto"/>
            <w:left w:val="none" w:sz="0" w:space="0" w:color="auto"/>
            <w:bottom w:val="none" w:sz="0" w:space="0" w:color="auto"/>
            <w:right w:val="none" w:sz="0" w:space="0" w:color="auto"/>
          </w:divBdr>
        </w:div>
        <w:div w:id="808981431">
          <w:marLeft w:val="480"/>
          <w:marRight w:val="0"/>
          <w:marTop w:val="0"/>
          <w:marBottom w:val="0"/>
          <w:divBdr>
            <w:top w:val="none" w:sz="0" w:space="0" w:color="auto"/>
            <w:left w:val="none" w:sz="0" w:space="0" w:color="auto"/>
            <w:bottom w:val="none" w:sz="0" w:space="0" w:color="auto"/>
            <w:right w:val="none" w:sz="0" w:space="0" w:color="auto"/>
          </w:divBdr>
        </w:div>
        <w:div w:id="948657141">
          <w:marLeft w:val="480"/>
          <w:marRight w:val="0"/>
          <w:marTop w:val="0"/>
          <w:marBottom w:val="0"/>
          <w:divBdr>
            <w:top w:val="none" w:sz="0" w:space="0" w:color="auto"/>
            <w:left w:val="none" w:sz="0" w:space="0" w:color="auto"/>
            <w:bottom w:val="none" w:sz="0" w:space="0" w:color="auto"/>
            <w:right w:val="none" w:sz="0" w:space="0" w:color="auto"/>
          </w:divBdr>
        </w:div>
        <w:div w:id="1861700546">
          <w:marLeft w:val="480"/>
          <w:marRight w:val="0"/>
          <w:marTop w:val="0"/>
          <w:marBottom w:val="0"/>
          <w:divBdr>
            <w:top w:val="none" w:sz="0" w:space="0" w:color="auto"/>
            <w:left w:val="none" w:sz="0" w:space="0" w:color="auto"/>
            <w:bottom w:val="none" w:sz="0" w:space="0" w:color="auto"/>
            <w:right w:val="none" w:sz="0" w:space="0" w:color="auto"/>
          </w:divBdr>
        </w:div>
        <w:div w:id="76904629">
          <w:marLeft w:val="480"/>
          <w:marRight w:val="0"/>
          <w:marTop w:val="0"/>
          <w:marBottom w:val="0"/>
          <w:divBdr>
            <w:top w:val="none" w:sz="0" w:space="0" w:color="auto"/>
            <w:left w:val="none" w:sz="0" w:space="0" w:color="auto"/>
            <w:bottom w:val="none" w:sz="0" w:space="0" w:color="auto"/>
            <w:right w:val="none" w:sz="0" w:space="0" w:color="auto"/>
          </w:divBdr>
        </w:div>
        <w:div w:id="20211616">
          <w:marLeft w:val="480"/>
          <w:marRight w:val="0"/>
          <w:marTop w:val="0"/>
          <w:marBottom w:val="0"/>
          <w:divBdr>
            <w:top w:val="none" w:sz="0" w:space="0" w:color="auto"/>
            <w:left w:val="none" w:sz="0" w:space="0" w:color="auto"/>
            <w:bottom w:val="none" w:sz="0" w:space="0" w:color="auto"/>
            <w:right w:val="none" w:sz="0" w:space="0" w:color="auto"/>
          </w:divBdr>
        </w:div>
        <w:div w:id="1772702407">
          <w:marLeft w:val="480"/>
          <w:marRight w:val="0"/>
          <w:marTop w:val="0"/>
          <w:marBottom w:val="0"/>
          <w:divBdr>
            <w:top w:val="none" w:sz="0" w:space="0" w:color="auto"/>
            <w:left w:val="none" w:sz="0" w:space="0" w:color="auto"/>
            <w:bottom w:val="none" w:sz="0" w:space="0" w:color="auto"/>
            <w:right w:val="none" w:sz="0" w:space="0" w:color="auto"/>
          </w:divBdr>
        </w:div>
        <w:div w:id="1115171736">
          <w:marLeft w:val="480"/>
          <w:marRight w:val="0"/>
          <w:marTop w:val="0"/>
          <w:marBottom w:val="0"/>
          <w:divBdr>
            <w:top w:val="none" w:sz="0" w:space="0" w:color="auto"/>
            <w:left w:val="none" w:sz="0" w:space="0" w:color="auto"/>
            <w:bottom w:val="none" w:sz="0" w:space="0" w:color="auto"/>
            <w:right w:val="none" w:sz="0" w:space="0" w:color="auto"/>
          </w:divBdr>
        </w:div>
        <w:div w:id="313485779">
          <w:marLeft w:val="480"/>
          <w:marRight w:val="0"/>
          <w:marTop w:val="0"/>
          <w:marBottom w:val="0"/>
          <w:divBdr>
            <w:top w:val="none" w:sz="0" w:space="0" w:color="auto"/>
            <w:left w:val="none" w:sz="0" w:space="0" w:color="auto"/>
            <w:bottom w:val="none" w:sz="0" w:space="0" w:color="auto"/>
            <w:right w:val="none" w:sz="0" w:space="0" w:color="auto"/>
          </w:divBdr>
        </w:div>
        <w:div w:id="952059289">
          <w:marLeft w:val="480"/>
          <w:marRight w:val="0"/>
          <w:marTop w:val="0"/>
          <w:marBottom w:val="0"/>
          <w:divBdr>
            <w:top w:val="none" w:sz="0" w:space="0" w:color="auto"/>
            <w:left w:val="none" w:sz="0" w:space="0" w:color="auto"/>
            <w:bottom w:val="none" w:sz="0" w:space="0" w:color="auto"/>
            <w:right w:val="none" w:sz="0" w:space="0" w:color="auto"/>
          </w:divBdr>
        </w:div>
        <w:div w:id="2136636259">
          <w:marLeft w:val="480"/>
          <w:marRight w:val="0"/>
          <w:marTop w:val="0"/>
          <w:marBottom w:val="0"/>
          <w:divBdr>
            <w:top w:val="none" w:sz="0" w:space="0" w:color="auto"/>
            <w:left w:val="none" w:sz="0" w:space="0" w:color="auto"/>
            <w:bottom w:val="none" w:sz="0" w:space="0" w:color="auto"/>
            <w:right w:val="none" w:sz="0" w:space="0" w:color="auto"/>
          </w:divBdr>
        </w:div>
        <w:div w:id="1368486789">
          <w:marLeft w:val="480"/>
          <w:marRight w:val="0"/>
          <w:marTop w:val="0"/>
          <w:marBottom w:val="0"/>
          <w:divBdr>
            <w:top w:val="none" w:sz="0" w:space="0" w:color="auto"/>
            <w:left w:val="none" w:sz="0" w:space="0" w:color="auto"/>
            <w:bottom w:val="none" w:sz="0" w:space="0" w:color="auto"/>
            <w:right w:val="none" w:sz="0" w:space="0" w:color="auto"/>
          </w:divBdr>
        </w:div>
        <w:div w:id="2030449703">
          <w:marLeft w:val="480"/>
          <w:marRight w:val="0"/>
          <w:marTop w:val="0"/>
          <w:marBottom w:val="0"/>
          <w:divBdr>
            <w:top w:val="none" w:sz="0" w:space="0" w:color="auto"/>
            <w:left w:val="none" w:sz="0" w:space="0" w:color="auto"/>
            <w:bottom w:val="none" w:sz="0" w:space="0" w:color="auto"/>
            <w:right w:val="none" w:sz="0" w:space="0" w:color="auto"/>
          </w:divBdr>
        </w:div>
        <w:div w:id="1867215444">
          <w:marLeft w:val="480"/>
          <w:marRight w:val="0"/>
          <w:marTop w:val="0"/>
          <w:marBottom w:val="0"/>
          <w:divBdr>
            <w:top w:val="none" w:sz="0" w:space="0" w:color="auto"/>
            <w:left w:val="none" w:sz="0" w:space="0" w:color="auto"/>
            <w:bottom w:val="none" w:sz="0" w:space="0" w:color="auto"/>
            <w:right w:val="none" w:sz="0" w:space="0" w:color="auto"/>
          </w:divBdr>
        </w:div>
        <w:div w:id="1325090694">
          <w:marLeft w:val="480"/>
          <w:marRight w:val="0"/>
          <w:marTop w:val="0"/>
          <w:marBottom w:val="0"/>
          <w:divBdr>
            <w:top w:val="none" w:sz="0" w:space="0" w:color="auto"/>
            <w:left w:val="none" w:sz="0" w:space="0" w:color="auto"/>
            <w:bottom w:val="none" w:sz="0" w:space="0" w:color="auto"/>
            <w:right w:val="none" w:sz="0" w:space="0" w:color="auto"/>
          </w:divBdr>
        </w:div>
        <w:div w:id="321855514">
          <w:marLeft w:val="480"/>
          <w:marRight w:val="0"/>
          <w:marTop w:val="0"/>
          <w:marBottom w:val="0"/>
          <w:divBdr>
            <w:top w:val="none" w:sz="0" w:space="0" w:color="auto"/>
            <w:left w:val="none" w:sz="0" w:space="0" w:color="auto"/>
            <w:bottom w:val="none" w:sz="0" w:space="0" w:color="auto"/>
            <w:right w:val="none" w:sz="0" w:space="0" w:color="auto"/>
          </w:divBdr>
        </w:div>
        <w:div w:id="1586572789">
          <w:marLeft w:val="480"/>
          <w:marRight w:val="0"/>
          <w:marTop w:val="0"/>
          <w:marBottom w:val="0"/>
          <w:divBdr>
            <w:top w:val="none" w:sz="0" w:space="0" w:color="auto"/>
            <w:left w:val="none" w:sz="0" w:space="0" w:color="auto"/>
            <w:bottom w:val="none" w:sz="0" w:space="0" w:color="auto"/>
            <w:right w:val="none" w:sz="0" w:space="0" w:color="auto"/>
          </w:divBdr>
        </w:div>
        <w:div w:id="193664974">
          <w:marLeft w:val="480"/>
          <w:marRight w:val="0"/>
          <w:marTop w:val="0"/>
          <w:marBottom w:val="0"/>
          <w:divBdr>
            <w:top w:val="none" w:sz="0" w:space="0" w:color="auto"/>
            <w:left w:val="none" w:sz="0" w:space="0" w:color="auto"/>
            <w:bottom w:val="none" w:sz="0" w:space="0" w:color="auto"/>
            <w:right w:val="none" w:sz="0" w:space="0" w:color="auto"/>
          </w:divBdr>
        </w:div>
        <w:div w:id="1299187192">
          <w:marLeft w:val="480"/>
          <w:marRight w:val="0"/>
          <w:marTop w:val="0"/>
          <w:marBottom w:val="0"/>
          <w:divBdr>
            <w:top w:val="none" w:sz="0" w:space="0" w:color="auto"/>
            <w:left w:val="none" w:sz="0" w:space="0" w:color="auto"/>
            <w:bottom w:val="none" w:sz="0" w:space="0" w:color="auto"/>
            <w:right w:val="none" w:sz="0" w:space="0" w:color="auto"/>
          </w:divBdr>
        </w:div>
        <w:div w:id="1906409016">
          <w:marLeft w:val="480"/>
          <w:marRight w:val="0"/>
          <w:marTop w:val="0"/>
          <w:marBottom w:val="0"/>
          <w:divBdr>
            <w:top w:val="none" w:sz="0" w:space="0" w:color="auto"/>
            <w:left w:val="none" w:sz="0" w:space="0" w:color="auto"/>
            <w:bottom w:val="none" w:sz="0" w:space="0" w:color="auto"/>
            <w:right w:val="none" w:sz="0" w:space="0" w:color="auto"/>
          </w:divBdr>
        </w:div>
        <w:div w:id="35473775">
          <w:marLeft w:val="480"/>
          <w:marRight w:val="0"/>
          <w:marTop w:val="0"/>
          <w:marBottom w:val="0"/>
          <w:divBdr>
            <w:top w:val="none" w:sz="0" w:space="0" w:color="auto"/>
            <w:left w:val="none" w:sz="0" w:space="0" w:color="auto"/>
            <w:bottom w:val="none" w:sz="0" w:space="0" w:color="auto"/>
            <w:right w:val="none" w:sz="0" w:space="0" w:color="auto"/>
          </w:divBdr>
        </w:div>
        <w:div w:id="155196831">
          <w:marLeft w:val="480"/>
          <w:marRight w:val="0"/>
          <w:marTop w:val="0"/>
          <w:marBottom w:val="0"/>
          <w:divBdr>
            <w:top w:val="none" w:sz="0" w:space="0" w:color="auto"/>
            <w:left w:val="none" w:sz="0" w:space="0" w:color="auto"/>
            <w:bottom w:val="none" w:sz="0" w:space="0" w:color="auto"/>
            <w:right w:val="none" w:sz="0" w:space="0" w:color="auto"/>
          </w:divBdr>
        </w:div>
        <w:div w:id="1035231204">
          <w:marLeft w:val="480"/>
          <w:marRight w:val="0"/>
          <w:marTop w:val="0"/>
          <w:marBottom w:val="0"/>
          <w:divBdr>
            <w:top w:val="none" w:sz="0" w:space="0" w:color="auto"/>
            <w:left w:val="none" w:sz="0" w:space="0" w:color="auto"/>
            <w:bottom w:val="none" w:sz="0" w:space="0" w:color="auto"/>
            <w:right w:val="none" w:sz="0" w:space="0" w:color="auto"/>
          </w:divBdr>
        </w:div>
        <w:div w:id="1279333321">
          <w:marLeft w:val="480"/>
          <w:marRight w:val="0"/>
          <w:marTop w:val="0"/>
          <w:marBottom w:val="0"/>
          <w:divBdr>
            <w:top w:val="none" w:sz="0" w:space="0" w:color="auto"/>
            <w:left w:val="none" w:sz="0" w:space="0" w:color="auto"/>
            <w:bottom w:val="none" w:sz="0" w:space="0" w:color="auto"/>
            <w:right w:val="none" w:sz="0" w:space="0" w:color="auto"/>
          </w:divBdr>
        </w:div>
        <w:div w:id="844634443">
          <w:marLeft w:val="480"/>
          <w:marRight w:val="0"/>
          <w:marTop w:val="0"/>
          <w:marBottom w:val="0"/>
          <w:divBdr>
            <w:top w:val="none" w:sz="0" w:space="0" w:color="auto"/>
            <w:left w:val="none" w:sz="0" w:space="0" w:color="auto"/>
            <w:bottom w:val="none" w:sz="0" w:space="0" w:color="auto"/>
            <w:right w:val="none" w:sz="0" w:space="0" w:color="auto"/>
          </w:divBdr>
        </w:div>
        <w:div w:id="1066075147">
          <w:marLeft w:val="480"/>
          <w:marRight w:val="0"/>
          <w:marTop w:val="0"/>
          <w:marBottom w:val="0"/>
          <w:divBdr>
            <w:top w:val="none" w:sz="0" w:space="0" w:color="auto"/>
            <w:left w:val="none" w:sz="0" w:space="0" w:color="auto"/>
            <w:bottom w:val="none" w:sz="0" w:space="0" w:color="auto"/>
            <w:right w:val="none" w:sz="0" w:space="0" w:color="auto"/>
          </w:divBdr>
        </w:div>
        <w:div w:id="1150711845">
          <w:marLeft w:val="480"/>
          <w:marRight w:val="0"/>
          <w:marTop w:val="0"/>
          <w:marBottom w:val="0"/>
          <w:divBdr>
            <w:top w:val="none" w:sz="0" w:space="0" w:color="auto"/>
            <w:left w:val="none" w:sz="0" w:space="0" w:color="auto"/>
            <w:bottom w:val="none" w:sz="0" w:space="0" w:color="auto"/>
            <w:right w:val="none" w:sz="0" w:space="0" w:color="auto"/>
          </w:divBdr>
        </w:div>
        <w:div w:id="644892184">
          <w:marLeft w:val="480"/>
          <w:marRight w:val="0"/>
          <w:marTop w:val="0"/>
          <w:marBottom w:val="0"/>
          <w:divBdr>
            <w:top w:val="none" w:sz="0" w:space="0" w:color="auto"/>
            <w:left w:val="none" w:sz="0" w:space="0" w:color="auto"/>
            <w:bottom w:val="none" w:sz="0" w:space="0" w:color="auto"/>
            <w:right w:val="none" w:sz="0" w:space="0" w:color="auto"/>
          </w:divBdr>
        </w:div>
        <w:div w:id="1422486467">
          <w:marLeft w:val="480"/>
          <w:marRight w:val="0"/>
          <w:marTop w:val="0"/>
          <w:marBottom w:val="0"/>
          <w:divBdr>
            <w:top w:val="none" w:sz="0" w:space="0" w:color="auto"/>
            <w:left w:val="none" w:sz="0" w:space="0" w:color="auto"/>
            <w:bottom w:val="none" w:sz="0" w:space="0" w:color="auto"/>
            <w:right w:val="none" w:sz="0" w:space="0" w:color="auto"/>
          </w:divBdr>
        </w:div>
        <w:div w:id="1890650591">
          <w:marLeft w:val="480"/>
          <w:marRight w:val="0"/>
          <w:marTop w:val="0"/>
          <w:marBottom w:val="0"/>
          <w:divBdr>
            <w:top w:val="none" w:sz="0" w:space="0" w:color="auto"/>
            <w:left w:val="none" w:sz="0" w:space="0" w:color="auto"/>
            <w:bottom w:val="none" w:sz="0" w:space="0" w:color="auto"/>
            <w:right w:val="none" w:sz="0" w:space="0" w:color="auto"/>
          </w:divBdr>
        </w:div>
        <w:div w:id="230848496">
          <w:marLeft w:val="480"/>
          <w:marRight w:val="0"/>
          <w:marTop w:val="0"/>
          <w:marBottom w:val="0"/>
          <w:divBdr>
            <w:top w:val="none" w:sz="0" w:space="0" w:color="auto"/>
            <w:left w:val="none" w:sz="0" w:space="0" w:color="auto"/>
            <w:bottom w:val="none" w:sz="0" w:space="0" w:color="auto"/>
            <w:right w:val="none" w:sz="0" w:space="0" w:color="auto"/>
          </w:divBdr>
        </w:div>
        <w:div w:id="1869945526">
          <w:marLeft w:val="480"/>
          <w:marRight w:val="0"/>
          <w:marTop w:val="0"/>
          <w:marBottom w:val="0"/>
          <w:divBdr>
            <w:top w:val="none" w:sz="0" w:space="0" w:color="auto"/>
            <w:left w:val="none" w:sz="0" w:space="0" w:color="auto"/>
            <w:bottom w:val="none" w:sz="0" w:space="0" w:color="auto"/>
            <w:right w:val="none" w:sz="0" w:space="0" w:color="auto"/>
          </w:divBdr>
        </w:div>
        <w:div w:id="1347902049">
          <w:marLeft w:val="480"/>
          <w:marRight w:val="0"/>
          <w:marTop w:val="0"/>
          <w:marBottom w:val="0"/>
          <w:divBdr>
            <w:top w:val="none" w:sz="0" w:space="0" w:color="auto"/>
            <w:left w:val="none" w:sz="0" w:space="0" w:color="auto"/>
            <w:bottom w:val="none" w:sz="0" w:space="0" w:color="auto"/>
            <w:right w:val="none" w:sz="0" w:space="0" w:color="auto"/>
          </w:divBdr>
        </w:div>
        <w:div w:id="1428619288">
          <w:marLeft w:val="480"/>
          <w:marRight w:val="0"/>
          <w:marTop w:val="0"/>
          <w:marBottom w:val="0"/>
          <w:divBdr>
            <w:top w:val="none" w:sz="0" w:space="0" w:color="auto"/>
            <w:left w:val="none" w:sz="0" w:space="0" w:color="auto"/>
            <w:bottom w:val="none" w:sz="0" w:space="0" w:color="auto"/>
            <w:right w:val="none" w:sz="0" w:space="0" w:color="auto"/>
          </w:divBdr>
        </w:div>
        <w:div w:id="1882284298">
          <w:marLeft w:val="480"/>
          <w:marRight w:val="0"/>
          <w:marTop w:val="0"/>
          <w:marBottom w:val="0"/>
          <w:divBdr>
            <w:top w:val="none" w:sz="0" w:space="0" w:color="auto"/>
            <w:left w:val="none" w:sz="0" w:space="0" w:color="auto"/>
            <w:bottom w:val="none" w:sz="0" w:space="0" w:color="auto"/>
            <w:right w:val="none" w:sz="0" w:space="0" w:color="auto"/>
          </w:divBdr>
        </w:div>
        <w:div w:id="1240674201">
          <w:marLeft w:val="480"/>
          <w:marRight w:val="0"/>
          <w:marTop w:val="0"/>
          <w:marBottom w:val="0"/>
          <w:divBdr>
            <w:top w:val="none" w:sz="0" w:space="0" w:color="auto"/>
            <w:left w:val="none" w:sz="0" w:space="0" w:color="auto"/>
            <w:bottom w:val="none" w:sz="0" w:space="0" w:color="auto"/>
            <w:right w:val="none" w:sz="0" w:space="0" w:color="auto"/>
          </w:divBdr>
        </w:div>
        <w:div w:id="850799273">
          <w:marLeft w:val="480"/>
          <w:marRight w:val="0"/>
          <w:marTop w:val="0"/>
          <w:marBottom w:val="0"/>
          <w:divBdr>
            <w:top w:val="none" w:sz="0" w:space="0" w:color="auto"/>
            <w:left w:val="none" w:sz="0" w:space="0" w:color="auto"/>
            <w:bottom w:val="none" w:sz="0" w:space="0" w:color="auto"/>
            <w:right w:val="none" w:sz="0" w:space="0" w:color="auto"/>
          </w:divBdr>
        </w:div>
        <w:div w:id="136461906">
          <w:marLeft w:val="480"/>
          <w:marRight w:val="0"/>
          <w:marTop w:val="0"/>
          <w:marBottom w:val="0"/>
          <w:divBdr>
            <w:top w:val="none" w:sz="0" w:space="0" w:color="auto"/>
            <w:left w:val="none" w:sz="0" w:space="0" w:color="auto"/>
            <w:bottom w:val="none" w:sz="0" w:space="0" w:color="auto"/>
            <w:right w:val="none" w:sz="0" w:space="0" w:color="auto"/>
          </w:divBdr>
        </w:div>
        <w:div w:id="2107378804">
          <w:marLeft w:val="480"/>
          <w:marRight w:val="0"/>
          <w:marTop w:val="0"/>
          <w:marBottom w:val="0"/>
          <w:divBdr>
            <w:top w:val="none" w:sz="0" w:space="0" w:color="auto"/>
            <w:left w:val="none" w:sz="0" w:space="0" w:color="auto"/>
            <w:bottom w:val="none" w:sz="0" w:space="0" w:color="auto"/>
            <w:right w:val="none" w:sz="0" w:space="0" w:color="auto"/>
          </w:divBdr>
        </w:div>
        <w:div w:id="336543137">
          <w:marLeft w:val="480"/>
          <w:marRight w:val="0"/>
          <w:marTop w:val="0"/>
          <w:marBottom w:val="0"/>
          <w:divBdr>
            <w:top w:val="none" w:sz="0" w:space="0" w:color="auto"/>
            <w:left w:val="none" w:sz="0" w:space="0" w:color="auto"/>
            <w:bottom w:val="none" w:sz="0" w:space="0" w:color="auto"/>
            <w:right w:val="none" w:sz="0" w:space="0" w:color="auto"/>
          </w:divBdr>
        </w:div>
        <w:div w:id="1758943188">
          <w:marLeft w:val="480"/>
          <w:marRight w:val="0"/>
          <w:marTop w:val="0"/>
          <w:marBottom w:val="0"/>
          <w:divBdr>
            <w:top w:val="none" w:sz="0" w:space="0" w:color="auto"/>
            <w:left w:val="none" w:sz="0" w:space="0" w:color="auto"/>
            <w:bottom w:val="none" w:sz="0" w:space="0" w:color="auto"/>
            <w:right w:val="none" w:sz="0" w:space="0" w:color="auto"/>
          </w:divBdr>
        </w:div>
        <w:div w:id="473911424">
          <w:marLeft w:val="480"/>
          <w:marRight w:val="0"/>
          <w:marTop w:val="0"/>
          <w:marBottom w:val="0"/>
          <w:divBdr>
            <w:top w:val="none" w:sz="0" w:space="0" w:color="auto"/>
            <w:left w:val="none" w:sz="0" w:space="0" w:color="auto"/>
            <w:bottom w:val="none" w:sz="0" w:space="0" w:color="auto"/>
            <w:right w:val="none" w:sz="0" w:space="0" w:color="auto"/>
          </w:divBdr>
        </w:div>
        <w:div w:id="1264728211">
          <w:marLeft w:val="480"/>
          <w:marRight w:val="0"/>
          <w:marTop w:val="0"/>
          <w:marBottom w:val="0"/>
          <w:divBdr>
            <w:top w:val="none" w:sz="0" w:space="0" w:color="auto"/>
            <w:left w:val="none" w:sz="0" w:space="0" w:color="auto"/>
            <w:bottom w:val="none" w:sz="0" w:space="0" w:color="auto"/>
            <w:right w:val="none" w:sz="0" w:space="0" w:color="auto"/>
          </w:divBdr>
        </w:div>
        <w:div w:id="605308162">
          <w:marLeft w:val="480"/>
          <w:marRight w:val="0"/>
          <w:marTop w:val="0"/>
          <w:marBottom w:val="0"/>
          <w:divBdr>
            <w:top w:val="none" w:sz="0" w:space="0" w:color="auto"/>
            <w:left w:val="none" w:sz="0" w:space="0" w:color="auto"/>
            <w:bottom w:val="none" w:sz="0" w:space="0" w:color="auto"/>
            <w:right w:val="none" w:sz="0" w:space="0" w:color="auto"/>
          </w:divBdr>
        </w:div>
        <w:div w:id="1048719930">
          <w:marLeft w:val="480"/>
          <w:marRight w:val="0"/>
          <w:marTop w:val="0"/>
          <w:marBottom w:val="0"/>
          <w:divBdr>
            <w:top w:val="none" w:sz="0" w:space="0" w:color="auto"/>
            <w:left w:val="none" w:sz="0" w:space="0" w:color="auto"/>
            <w:bottom w:val="none" w:sz="0" w:space="0" w:color="auto"/>
            <w:right w:val="none" w:sz="0" w:space="0" w:color="auto"/>
          </w:divBdr>
        </w:div>
        <w:div w:id="792672733">
          <w:marLeft w:val="480"/>
          <w:marRight w:val="0"/>
          <w:marTop w:val="0"/>
          <w:marBottom w:val="0"/>
          <w:divBdr>
            <w:top w:val="none" w:sz="0" w:space="0" w:color="auto"/>
            <w:left w:val="none" w:sz="0" w:space="0" w:color="auto"/>
            <w:bottom w:val="none" w:sz="0" w:space="0" w:color="auto"/>
            <w:right w:val="none" w:sz="0" w:space="0" w:color="auto"/>
          </w:divBdr>
        </w:div>
        <w:div w:id="277295988">
          <w:marLeft w:val="480"/>
          <w:marRight w:val="0"/>
          <w:marTop w:val="0"/>
          <w:marBottom w:val="0"/>
          <w:divBdr>
            <w:top w:val="none" w:sz="0" w:space="0" w:color="auto"/>
            <w:left w:val="none" w:sz="0" w:space="0" w:color="auto"/>
            <w:bottom w:val="none" w:sz="0" w:space="0" w:color="auto"/>
            <w:right w:val="none" w:sz="0" w:space="0" w:color="auto"/>
          </w:divBdr>
        </w:div>
        <w:div w:id="1149901861">
          <w:marLeft w:val="480"/>
          <w:marRight w:val="0"/>
          <w:marTop w:val="0"/>
          <w:marBottom w:val="0"/>
          <w:divBdr>
            <w:top w:val="none" w:sz="0" w:space="0" w:color="auto"/>
            <w:left w:val="none" w:sz="0" w:space="0" w:color="auto"/>
            <w:bottom w:val="none" w:sz="0" w:space="0" w:color="auto"/>
            <w:right w:val="none" w:sz="0" w:space="0" w:color="auto"/>
          </w:divBdr>
        </w:div>
        <w:div w:id="2091194554">
          <w:marLeft w:val="480"/>
          <w:marRight w:val="0"/>
          <w:marTop w:val="0"/>
          <w:marBottom w:val="0"/>
          <w:divBdr>
            <w:top w:val="none" w:sz="0" w:space="0" w:color="auto"/>
            <w:left w:val="none" w:sz="0" w:space="0" w:color="auto"/>
            <w:bottom w:val="none" w:sz="0" w:space="0" w:color="auto"/>
            <w:right w:val="none" w:sz="0" w:space="0" w:color="auto"/>
          </w:divBdr>
        </w:div>
        <w:div w:id="27999488">
          <w:marLeft w:val="480"/>
          <w:marRight w:val="0"/>
          <w:marTop w:val="0"/>
          <w:marBottom w:val="0"/>
          <w:divBdr>
            <w:top w:val="none" w:sz="0" w:space="0" w:color="auto"/>
            <w:left w:val="none" w:sz="0" w:space="0" w:color="auto"/>
            <w:bottom w:val="none" w:sz="0" w:space="0" w:color="auto"/>
            <w:right w:val="none" w:sz="0" w:space="0" w:color="auto"/>
          </w:divBdr>
        </w:div>
        <w:div w:id="1890725900">
          <w:marLeft w:val="480"/>
          <w:marRight w:val="0"/>
          <w:marTop w:val="0"/>
          <w:marBottom w:val="0"/>
          <w:divBdr>
            <w:top w:val="none" w:sz="0" w:space="0" w:color="auto"/>
            <w:left w:val="none" w:sz="0" w:space="0" w:color="auto"/>
            <w:bottom w:val="none" w:sz="0" w:space="0" w:color="auto"/>
            <w:right w:val="none" w:sz="0" w:space="0" w:color="auto"/>
          </w:divBdr>
        </w:div>
        <w:div w:id="549266481">
          <w:marLeft w:val="480"/>
          <w:marRight w:val="0"/>
          <w:marTop w:val="0"/>
          <w:marBottom w:val="0"/>
          <w:divBdr>
            <w:top w:val="none" w:sz="0" w:space="0" w:color="auto"/>
            <w:left w:val="none" w:sz="0" w:space="0" w:color="auto"/>
            <w:bottom w:val="none" w:sz="0" w:space="0" w:color="auto"/>
            <w:right w:val="none" w:sz="0" w:space="0" w:color="auto"/>
          </w:divBdr>
        </w:div>
        <w:div w:id="901257065">
          <w:marLeft w:val="480"/>
          <w:marRight w:val="0"/>
          <w:marTop w:val="0"/>
          <w:marBottom w:val="0"/>
          <w:divBdr>
            <w:top w:val="none" w:sz="0" w:space="0" w:color="auto"/>
            <w:left w:val="none" w:sz="0" w:space="0" w:color="auto"/>
            <w:bottom w:val="none" w:sz="0" w:space="0" w:color="auto"/>
            <w:right w:val="none" w:sz="0" w:space="0" w:color="auto"/>
          </w:divBdr>
        </w:div>
        <w:div w:id="1218856044">
          <w:marLeft w:val="480"/>
          <w:marRight w:val="0"/>
          <w:marTop w:val="0"/>
          <w:marBottom w:val="0"/>
          <w:divBdr>
            <w:top w:val="none" w:sz="0" w:space="0" w:color="auto"/>
            <w:left w:val="none" w:sz="0" w:space="0" w:color="auto"/>
            <w:bottom w:val="none" w:sz="0" w:space="0" w:color="auto"/>
            <w:right w:val="none" w:sz="0" w:space="0" w:color="auto"/>
          </w:divBdr>
        </w:div>
        <w:div w:id="1511095508">
          <w:marLeft w:val="480"/>
          <w:marRight w:val="0"/>
          <w:marTop w:val="0"/>
          <w:marBottom w:val="0"/>
          <w:divBdr>
            <w:top w:val="none" w:sz="0" w:space="0" w:color="auto"/>
            <w:left w:val="none" w:sz="0" w:space="0" w:color="auto"/>
            <w:bottom w:val="none" w:sz="0" w:space="0" w:color="auto"/>
            <w:right w:val="none" w:sz="0" w:space="0" w:color="auto"/>
          </w:divBdr>
        </w:div>
        <w:div w:id="1067341159">
          <w:marLeft w:val="480"/>
          <w:marRight w:val="0"/>
          <w:marTop w:val="0"/>
          <w:marBottom w:val="0"/>
          <w:divBdr>
            <w:top w:val="none" w:sz="0" w:space="0" w:color="auto"/>
            <w:left w:val="none" w:sz="0" w:space="0" w:color="auto"/>
            <w:bottom w:val="none" w:sz="0" w:space="0" w:color="auto"/>
            <w:right w:val="none" w:sz="0" w:space="0" w:color="auto"/>
          </w:divBdr>
        </w:div>
        <w:div w:id="2134445410">
          <w:marLeft w:val="480"/>
          <w:marRight w:val="0"/>
          <w:marTop w:val="0"/>
          <w:marBottom w:val="0"/>
          <w:divBdr>
            <w:top w:val="none" w:sz="0" w:space="0" w:color="auto"/>
            <w:left w:val="none" w:sz="0" w:space="0" w:color="auto"/>
            <w:bottom w:val="none" w:sz="0" w:space="0" w:color="auto"/>
            <w:right w:val="none" w:sz="0" w:space="0" w:color="auto"/>
          </w:divBdr>
        </w:div>
        <w:div w:id="629214556">
          <w:marLeft w:val="480"/>
          <w:marRight w:val="0"/>
          <w:marTop w:val="0"/>
          <w:marBottom w:val="0"/>
          <w:divBdr>
            <w:top w:val="none" w:sz="0" w:space="0" w:color="auto"/>
            <w:left w:val="none" w:sz="0" w:space="0" w:color="auto"/>
            <w:bottom w:val="none" w:sz="0" w:space="0" w:color="auto"/>
            <w:right w:val="none" w:sz="0" w:space="0" w:color="auto"/>
          </w:divBdr>
        </w:div>
        <w:div w:id="716245922">
          <w:marLeft w:val="480"/>
          <w:marRight w:val="0"/>
          <w:marTop w:val="0"/>
          <w:marBottom w:val="0"/>
          <w:divBdr>
            <w:top w:val="none" w:sz="0" w:space="0" w:color="auto"/>
            <w:left w:val="none" w:sz="0" w:space="0" w:color="auto"/>
            <w:bottom w:val="none" w:sz="0" w:space="0" w:color="auto"/>
            <w:right w:val="none" w:sz="0" w:space="0" w:color="auto"/>
          </w:divBdr>
        </w:div>
        <w:div w:id="789202658">
          <w:marLeft w:val="480"/>
          <w:marRight w:val="0"/>
          <w:marTop w:val="0"/>
          <w:marBottom w:val="0"/>
          <w:divBdr>
            <w:top w:val="none" w:sz="0" w:space="0" w:color="auto"/>
            <w:left w:val="none" w:sz="0" w:space="0" w:color="auto"/>
            <w:bottom w:val="none" w:sz="0" w:space="0" w:color="auto"/>
            <w:right w:val="none" w:sz="0" w:space="0" w:color="auto"/>
          </w:divBdr>
        </w:div>
        <w:div w:id="688678887">
          <w:marLeft w:val="480"/>
          <w:marRight w:val="0"/>
          <w:marTop w:val="0"/>
          <w:marBottom w:val="0"/>
          <w:divBdr>
            <w:top w:val="none" w:sz="0" w:space="0" w:color="auto"/>
            <w:left w:val="none" w:sz="0" w:space="0" w:color="auto"/>
            <w:bottom w:val="none" w:sz="0" w:space="0" w:color="auto"/>
            <w:right w:val="none" w:sz="0" w:space="0" w:color="auto"/>
          </w:divBdr>
        </w:div>
        <w:div w:id="214977380">
          <w:marLeft w:val="480"/>
          <w:marRight w:val="0"/>
          <w:marTop w:val="0"/>
          <w:marBottom w:val="0"/>
          <w:divBdr>
            <w:top w:val="none" w:sz="0" w:space="0" w:color="auto"/>
            <w:left w:val="none" w:sz="0" w:space="0" w:color="auto"/>
            <w:bottom w:val="none" w:sz="0" w:space="0" w:color="auto"/>
            <w:right w:val="none" w:sz="0" w:space="0" w:color="auto"/>
          </w:divBdr>
        </w:div>
        <w:div w:id="1769156914">
          <w:marLeft w:val="480"/>
          <w:marRight w:val="0"/>
          <w:marTop w:val="0"/>
          <w:marBottom w:val="0"/>
          <w:divBdr>
            <w:top w:val="none" w:sz="0" w:space="0" w:color="auto"/>
            <w:left w:val="none" w:sz="0" w:space="0" w:color="auto"/>
            <w:bottom w:val="none" w:sz="0" w:space="0" w:color="auto"/>
            <w:right w:val="none" w:sz="0" w:space="0" w:color="auto"/>
          </w:divBdr>
        </w:div>
        <w:div w:id="512458612">
          <w:marLeft w:val="480"/>
          <w:marRight w:val="0"/>
          <w:marTop w:val="0"/>
          <w:marBottom w:val="0"/>
          <w:divBdr>
            <w:top w:val="none" w:sz="0" w:space="0" w:color="auto"/>
            <w:left w:val="none" w:sz="0" w:space="0" w:color="auto"/>
            <w:bottom w:val="none" w:sz="0" w:space="0" w:color="auto"/>
            <w:right w:val="none" w:sz="0" w:space="0" w:color="auto"/>
          </w:divBdr>
        </w:div>
        <w:div w:id="1952010224">
          <w:marLeft w:val="480"/>
          <w:marRight w:val="0"/>
          <w:marTop w:val="0"/>
          <w:marBottom w:val="0"/>
          <w:divBdr>
            <w:top w:val="none" w:sz="0" w:space="0" w:color="auto"/>
            <w:left w:val="none" w:sz="0" w:space="0" w:color="auto"/>
            <w:bottom w:val="none" w:sz="0" w:space="0" w:color="auto"/>
            <w:right w:val="none" w:sz="0" w:space="0" w:color="auto"/>
          </w:divBdr>
        </w:div>
        <w:div w:id="1086654169">
          <w:marLeft w:val="480"/>
          <w:marRight w:val="0"/>
          <w:marTop w:val="0"/>
          <w:marBottom w:val="0"/>
          <w:divBdr>
            <w:top w:val="none" w:sz="0" w:space="0" w:color="auto"/>
            <w:left w:val="none" w:sz="0" w:space="0" w:color="auto"/>
            <w:bottom w:val="none" w:sz="0" w:space="0" w:color="auto"/>
            <w:right w:val="none" w:sz="0" w:space="0" w:color="auto"/>
          </w:divBdr>
        </w:div>
        <w:div w:id="1617564984">
          <w:marLeft w:val="480"/>
          <w:marRight w:val="0"/>
          <w:marTop w:val="0"/>
          <w:marBottom w:val="0"/>
          <w:divBdr>
            <w:top w:val="none" w:sz="0" w:space="0" w:color="auto"/>
            <w:left w:val="none" w:sz="0" w:space="0" w:color="auto"/>
            <w:bottom w:val="none" w:sz="0" w:space="0" w:color="auto"/>
            <w:right w:val="none" w:sz="0" w:space="0" w:color="auto"/>
          </w:divBdr>
        </w:div>
        <w:div w:id="1106537416">
          <w:marLeft w:val="480"/>
          <w:marRight w:val="0"/>
          <w:marTop w:val="0"/>
          <w:marBottom w:val="0"/>
          <w:divBdr>
            <w:top w:val="none" w:sz="0" w:space="0" w:color="auto"/>
            <w:left w:val="none" w:sz="0" w:space="0" w:color="auto"/>
            <w:bottom w:val="none" w:sz="0" w:space="0" w:color="auto"/>
            <w:right w:val="none" w:sz="0" w:space="0" w:color="auto"/>
          </w:divBdr>
        </w:div>
        <w:div w:id="1527138800">
          <w:marLeft w:val="480"/>
          <w:marRight w:val="0"/>
          <w:marTop w:val="0"/>
          <w:marBottom w:val="0"/>
          <w:divBdr>
            <w:top w:val="none" w:sz="0" w:space="0" w:color="auto"/>
            <w:left w:val="none" w:sz="0" w:space="0" w:color="auto"/>
            <w:bottom w:val="none" w:sz="0" w:space="0" w:color="auto"/>
            <w:right w:val="none" w:sz="0" w:space="0" w:color="auto"/>
          </w:divBdr>
        </w:div>
        <w:div w:id="974213747">
          <w:marLeft w:val="480"/>
          <w:marRight w:val="0"/>
          <w:marTop w:val="0"/>
          <w:marBottom w:val="0"/>
          <w:divBdr>
            <w:top w:val="none" w:sz="0" w:space="0" w:color="auto"/>
            <w:left w:val="none" w:sz="0" w:space="0" w:color="auto"/>
            <w:bottom w:val="none" w:sz="0" w:space="0" w:color="auto"/>
            <w:right w:val="none" w:sz="0" w:space="0" w:color="auto"/>
          </w:divBdr>
        </w:div>
        <w:div w:id="160313265">
          <w:marLeft w:val="480"/>
          <w:marRight w:val="0"/>
          <w:marTop w:val="0"/>
          <w:marBottom w:val="0"/>
          <w:divBdr>
            <w:top w:val="none" w:sz="0" w:space="0" w:color="auto"/>
            <w:left w:val="none" w:sz="0" w:space="0" w:color="auto"/>
            <w:bottom w:val="none" w:sz="0" w:space="0" w:color="auto"/>
            <w:right w:val="none" w:sz="0" w:space="0" w:color="auto"/>
          </w:divBdr>
        </w:div>
        <w:div w:id="972712935">
          <w:marLeft w:val="480"/>
          <w:marRight w:val="0"/>
          <w:marTop w:val="0"/>
          <w:marBottom w:val="0"/>
          <w:divBdr>
            <w:top w:val="none" w:sz="0" w:space="0" w:color="auto"/>
            <w:left w:val="none" w:sz="0" w:space="0" w:color="auto"/>
            <w:bottom w:val="none" w:sz="0" w:space="0" w:color="auto"/>
            <w:right w:val="none" w:sz="0" w:space="0" w:color="auto"/>
          </w:divBdr>
        </w:div>
        <w:div w:id="1446729815">
          <w:marLeft w:val="480"/>
          <w:marRight w:val="0"/>
          <w:marTop w:val="0"/>
          <w:marBottom w:val="0"/>
          <w:divBdr>
            <w:top w:val="none" w:sz="0" w:space="0" w:color="auto"/>
            <w:left w:val="none" w:sz="0" w:space="0" w:color="auto"/>
            <w:bottom w:val="none" w:sz="0" w:space="0" w:color="auto"/>
            <w:right w:val="none" w:sz="0" w:space="0" w:color="auto"/>
          </w:divBdr>
        </w:div>
        <w:div w:id="2084640474">
          <w:marLeft w:val="480"/>
          <w:marRight w:val="0"/>
          <w:marTop w:val="0"/>
          <w:marBottom w:val="0"/>
          <w:divBdr>
            <w:top w:val="none" w:sz="0" w:space="0" w:color="auto"/>
            <w:left w:val="none" w:sz="0" w:space="0" w:color="auto"/>
            <w:bottom w:val="none" w:sz="0" w:space="0" w:color="auto"/>
            <w:right w:val="none" w:sz="0" w:space="0" w:color="auto"/>
          </w:divBdr>
        </w:div>
        <w:div w:id="394546141">
          <w:marLeft w:val="480"/>
          <w:marRight w:val="0"/>
          <w:marTop w:val="0"/>
          <w:marBottom w:val="0"/>
          <w:divBdr>
            <w:top w:val="none" w:sz="0" w:space="0" w:color="auto"/>
            <w:left w:val="none" w:sz="0" w:space="0" w:color="auto"/>
            <w:bottom w:val="none" w:sz="0" w:space="0" w:color="auto"/>
            <w:right w:val="none" w:sz="0" w:space="0" w:color="auto"/>
          </w:divBdr>
        </w:div>
        <w:div w:id="1816559605">
          <w:marLeft w:val="480"/>
          <w:marRight w:val="0"/>
          <w:marTop w:val="0"/>
          <w:marBottom w:val="0"/>
          <w:divBdr>
            <w:top w:val="none" w:sz="0" w:space="0" w:color="auto"/>
            <w:left w:val="none" w:sz="0" w:space="0" w:color="auto"/>
            <w:bottom w:val="none" w:sz="0" w:space="0" w:color="auto"/>
            <w:right w:val="none" w:sz="0" w:space="0" w:color="auto"/>
          </w:divBdr>
        </w:div>
        <w:div w:id="1518540400">
          <w:marLeft w:val="480"/>
          <w:marRight w:val="0"/>
          <w:marTop w:val="0"/>
          <w:marBottom w:val="0"/>
          <w:divBdr>
            <w:top w:val="none" w:sz="0" w:space="0" w:color="auto"/>
            <w:left w:val="none" w:sz="0" w:space="0" w:color="auto"/>
            <w:bottom w:val="none" w:sz="0" w:space="0" w:color="auto"/>
            <w:right w:val="none" w:sz="0" w:space="0" w:color="auto"/>
          </w:divBdr>
        </w:div>
        <w:div w:id="425613956">
          <w:marLeft w:val="480"/>
          <w:marRight w:val="0"/>
          <w:marTop w:val="0"/>
          <w:marBottom w:val="0"/>
          <w:divBdr>
            <w:top w:val="none" w:sz="0" w:space="0" w:color="auto"/>
            <w:left w:val="none" w:sz="0" w:space="0" w:color="auto"/>
            <w:bottom w:val="none" w:sz="0" w:space="0" w:color="auto"/>
            <w:right w:val="none" w:sz="0" w:space="0" w:color="auto"/>
          </w:divBdr>
        </w:div>
        <w:div w:id="1426682009">
          <w:marLeft w:val="480"/>
          <w:marRight w:val="0"/>
          <w:marTop w:val="0"/>
          <w:marBottom w:val="0"/>
          <w:divBdr>
            <w:top w:val="none" w:sz="0" w:space="0" w:color="auto"/>
            <w:left w:val="none" w:sz="0" w:space="0" w:color="auto"/>
            <w:bottom w:val="none" w:sz="0" w:space="0" w:color="auto"/>
            <w:right w:val="none" w:sz="0" w:space="0" w:color="auto"/>
          </w:divBdr>
        </w:div>
        <w:div w:id="2002076540">
          <w:marLeft w:val="480"/>
          <w:marRight w:val="0"/>
          <w:marTop w:val="0"/>
          <w:marBottom w:val="0"/>
          <w:divBdr>
            <w:top w:val="none" w:sz="0" w:space="0" w:color="auto"/>
            <w:left w:val="none" w:sz="0" w:space="0" w:color="auto"/>
            <w:bottom w:val="none" w:sz="0" w:space="0" w:color="auto"/>
            <w:right w:val="none" w:sz="0" w:space="0" w:color="auto"/>
          </w:divBdr>
        </w:div>
        <w:div w:id="1618096783">
          <w:marLeft w:val="480"/>
          <w:marRight w:val="0"/>
          <w:marTop w:val="0"/>
          <w:marBottom w:val="0"/>
          <w:divBdr>
            <w:top w:val="none" w:sz="0" w:space="0" w:color="auto"/>
            <w:left w:val="none" w:sz="0" w:space="0" w:color="auto"/>
            <w:bottom w:val="none" w:sz="0" w:space="0" w:color="auto"/>
            <w:right w:val="none" w:sz="0" w:space="0" w:color="auto"/>
          </w:divBdr>
        </w:div>
      </w:divsChild>
    </w:div>
    <w:div w:id="1745449238">
      <w:bodyDiv w:val="1"/>
      <w:marLeft w:val="0"/>
      <w:marRight w:val="0"/>
      <w:marTop w:val="0"/>
      <w:marBottom w:val="0"/>
      <w:divBdr>
        <w:top w:val="none" w:sz="0" w:space="0" w:color="auto"/>
        <w:left w:val="none" w:sz="0" w:space="0" w:color="auto"/>
        <w:bottom w:val="none" w:sz="0" w:space="0" w:color="auto"/>
        <w:right w:val="none" w:sz="0" w:space="0" w:color="auto"/>
      </w:divBdr>
    </w:div>
    <w:div w:id="1746797266">
      <w:bodyDiv w:val="1"/>
      <w:marLeft w:val="0"/>
      <w:marRight w:val="0"/>
      <w:marTop w:val="0"/>
      <w:marBottom w:val="0"/>
      <w:divBdr>
        <w:top w:val="none" w:sz="0" w:space="0" w:color="auto"/>
        <w:left w:val="none" w:sz="0" w:space="0" w:color="auto"/>
        <w:bottom w:val="none" w:sz="0" w:space="0" w:color="auto"/>
        <w:right w:val="none" w:sz="0" w:space="0" w:color="auto"/>
      </w:divBdr>
    </w:div>
    <w:div w:id="1746949021">
      <w:bodyDiv w:val="1"/>
      <w:marLeft w:val="0"/>
      <w:marRight w:val="0"/>
      <w:marTop w:val="0"/>
      <w:marBottom w:val="0"/>
      <w:divBdr>
        <w:top w:val="none" w:sz="0" w:space="0" w:color="auto"/>
        <w:left w:val="none" w:sz="0" w:space="0" w:color="auto"/>
        <w:bottom w:val="none" w:sz="0" w:space="0" w:color="auto"/>
        <w:right w:val="none" w:sz="0" w:space="0" w:color="auto"/>
      </w:divBdr>
    </w:div>
    <w:div w:id="1747413664">
      <w:bodyDiv w:val="1"/>
      <w:marLeft w:val="0"/>
      <w:marRight w:val="0"/>
      <w:marTop w:val="0"/>
      <w:marBottom w:val="0"/>
      <w:divBdr>
        <w:top w:val="none" w:sz="0" w:space="0" w:color="auto"/>
        <w:left w:val="none" w:sz="0" w:space="0" w:color="auto"/>
        <w:bottom w:val="none" w:sz="0" w:space="0" w:color="auto"/>
        <w:right w:val="none" w:sz="0" w:space="0" w:color="auto"/>
      </w:divBdr>
    </w:div>
    <w:div w:id="1747609184">
      <w:bodyDiv w:val="1"/>
      <w:marLeft w:val="0"/>
      <w:marRight w:val="0"/>
      <w:marTop w:val="0"/>
      <w:marBottom w:val="0"/>
      <w:divBdr>
        <w:top w:val="none" w:sz="0" w:space="0" w:color="auto"/>
        <w:left w:val="none" w:sz="0" w:space="0" w:color="auto"/>
        <w:bottom w:val="none" w:sz="0" w:space="0" w:color="auto"/>
        <w:right w:val="none" w:sz="0" w:space="0" w:color="auto"/>
      </w:divBdr>
    </w:div>
    <w:div w:id="1747804469">
      <w:bodyDiv w:val="1"/>
      <w:marLeft w:val="0"/>
      <w:marRight w:val="0"/>
      <w:marTop w:val="0"/>
      <w:marBottom w:val="0"/>
      <w:divBdr>
        <w:top w:val="none" w:sz="0" w:space="0" w:color="auto"/>
        <w:left w:val="none" w:sz="0" w:space="0" w:color="auto"/>
        <w:bottom w:val="none" w:sz="0" w:space="0" w:color="auto"/>
        <w:right w:val="none" w:sz="0" w:space="0" w:color="auto"/>
      </w:divBdr>
    </w:div>
    <w:div w:id="1747921619">
      <w:bodyDiv w:val="1"/>
      <w:marLeft w:val="0"/>
      <w:marRight w:val="0"/>
      <w:marTop w:val="0"/>
      <w:marBottom w:val="0"/>
      <w:divBdr>
        <w:top w:val="none" w:sz="0" w:space="0" w:color="auto"/>
        <w:left w:val="none" w:sz="0" w:space="0" w:color="auto"/>
        <w:bottom w:val="none" w:sz="0" w:space="0" w:color="auto"/>
        <w:right w:val="none" w:sz="0" w:space="0" w:color="auto"/>
      </w:divBdr>
    </w:div>
    <w:div w:id="1747997137">
      <w:bodyDiv w:val="1"/>
      <w:marLeft w:val="0"/>
      <w:marRight w:val="0"/>
      <w:marTop w:val="0"/>
      <w:marBottom w:val="0"/>
      <w:divBdr>
        <w:top w:val="none" w:sz="0" w:space="0" w:color="auto"/>
        <w:left w:val="none" w:sz="0" w:space="0" w:color="auto"/>
        <w:bottom w:val="none" w:sz="0" w:space="0" w:color="auto"/>
        <w:right w:val="none" w:sz="0" w:space="0" w:color="auto"/>
      </w:divBdr>
    </w:div>
    <w:div w:id="1748267639">
      <w:bodyDiv w:val="1"/>
      <w:marLeft w:val="0"/>
      <w:marRight w:val="0"/>
      <w:marTop w:val="0"/>
      <w:marBottom w:val="0"/>
      <w:divBdr>
        <w:top w:val="none" w:sz="0" w:space="0" w:color="auto"/>
        <w:left w:val="none" w:sz="0" w:space="0" w:color="auto"/>
        <w:bottom w:val="none" w:sz="0" w:space="0" w:color="auto"/>
        <w:right w:val="none" w:sz="0" w:space="0" w:color="auto"/>
      </w:divBdr>
    </w:div>
    <w:div w:id="1749381941">
      <w:bodyDiv w:val="1"/>
      <w:marLeft w:val="0"/>
      <w:marRight w:val="0"/>
      <w:marTop w:val="0"/>
      <w:marBottom w:val="0"/>
      <w:divBdr>
        <w:top w:val="none" w:sz="0" w:space="0" w:color="auto"/>
        <w:left w:val="none" w:sz="0" w:space="0" w:color="auto"/>
        <w:bottom w:val="none" w:sz="0" w:space="0" w:color="auto"/>
        <w:right w:val="none" w:sz="0" w:space="0" w:color="auto"/>
      </w:divBdr>
    </w:div>
    <w:div w:id="1749695140">
      <w:bodyDiv w:val="1"/>
      <w:marLeft w:val="0"/>
      <w:marRight w:val="0"/>
      <w:marTop w:val="0"/>
      <w:marBottom w:val="0"/>
      <w:divBdr>
        <w:top w:val="none" w:sz="0" w:space="0" w:color="auto"/>
        <w:left w:val="none" w:sz="0" w:space="0" w:color="auto"/>
        <w:bottom w:val="none" w:sz="0" w:space="0" w:color="auto"/>
        <w:right w:val="none" w:sz="0" w:space="0" w:color="auto"/>
      </w:divBdr>
    </w:div>
    <w:div w:id="1750036919">
      <w:bodyDiv w:val="1"/>
      <w:marLeft w:val="0"/>
      <w:marRight w:val="0"/>
      <w:marTop w:val="0"/>
      <w:marBottom w:val="0"/>
      <w:divBdr>
        <w:top w:val="none" w:sz="0" w:space="0" w:color="auto"/>
        <w:left w:val="none" w:sz="0" w:space="0" w:color="auto"/>
        <w:bottom w:val="none" w:sz="0" w:space="0" w:color="auto"/>
        <w:right w:val="none" w:sz="0" w:space="0" w:color="auto"/>
      </w:divBdr>
    </w:div>
    <w:div w:id="1750148817">
      <w:bodyDiv w:val="1"/>
      <w:marLeft w:val="0"/>
      <w:marRight w:val="0"/>
      <w:marTop w:val="0"/>
      <w:marBottom w:val="0"/>
      <w:divBdr>
        <w:top w:val="none" w:sz="0" w:space="0" w:color="auto"/>
        <w:left w:val="none" w:sz="0" w:space="0" w:color="auto"/>
        <w:bottom w:val="none" w:sz="0" w:space="0" w:color="auto"/>
        <w:right w:val="none" w:sz="0" w:space="0" w:color="auto"/>
      </w:divBdr>
    </w:div>
    <w:div w:id="1750535833">
      <w:bodyDiv w:val="1"/>
      <w:marLeft w:val="0"/>
      <w:marRight w:val="0"/>
      <w:marTop w:val="0"/>
      <w:marBottom w:val="0"/>
      <w:divBdr>
        <w:top w:val="none" w:sz="0" w:space="0" w:color="auto"/>
        <w:left w:val="none" w:sz="0" w:space="0" w:color="auto"/>
        <w:bottom w:val="none" w:sz="0" w:space="0" w:color="auto"/>
        <w:right w:val="none" w:sz="0" w:space="0" w:color="auto"/>
      </w:divBdr>
    </w:div>
    <w:div w:id="1750886124">
      <w:bodyDiv w:val="1"/>
      <w:marLeft w:val="0"/>
      <w:marRight w:val="0"/>
      <w:marTop w:val="0"/>
      <w:marBottom w:val="0"/>
      <w:divBdr>
        <w:top w:val="none" w:sz="0" w:space="0" w:color="auto"/>
        <w:left w:val="none" w:sz="0" w:space="0" w:color="auto"/>
        <w:bottom w:val="none" w:sz="0" w:space="0" w:color="auto"/>
        <w:right w:val="none" w:sz="0" w:space="0" w:color="auto"/>
      </w:divBdr>
    </w:div>
    <w:div w:id="1751853712">
      <w:bodyDiv w:val="1"/>
      <w:marLeft w:val="0"/>
      <w:marRight w:val="0"/>
      <w:marTop w:val="0"/>
      <w:marBottom w:val="0"/>
      <w:divBdr>
        <w:top w:val="none" w:sz="0" w:space="0" w:color="auto"/>
        <w:left w:val="none" w:sz="0" w:space="0" w:color="auto"/>
        <w:bottom w:val="none" w:sz="0" w:space="0" w:color="auto"/>
        <w:right w:val="none" w:sz="0" w:space="0" w:color="auto"/>
      </w:divBdr>
    </w:div>
    <w:div w:id="1752388340">
      <w:bodyDiv w:val="1"/>
      <w:marLeft w:val="0"/>
      <w:marRight w:val="0"/>
      <w:marTop w:val="0"/>
      <w:marBottom w:val="0"/>
      <w:divBdr>
        <w:top w:val="none" w:sz="0" w:space="0" w:color="auto"/>
        <w:left w:val="none" w:sz="0" w:space="0" w:color="auto"/>
        <w:bottom w:val="none" w:sz="0" w:space="0" w:color="auto"/>
        <w:right w:val="none" w:sz="0" w:space="0" w:color="auto"/>
      </w:divBdr>
    </w:div>
    <w:div w:id="1752433514">
      <w:bodyDiv w:val="1"/>
      <w:marLeft w:val="0"/>
      <w:marRight w:val="0"/>
      <w:marTop w:val="0"/>
      <w:marBottom w:val="0"/>
      <w:divBdr>
        <w:top w:val="none" w:sz="0" w:space="0" w:color="auto"/>
        <w:left w:val="none" w:sz="0" w:space="0" w:color="auto"/>
        <w:bottom w:val="none" w:sz="0" w:space="0" w:color="auto"/>
        <w:right w:val="none" w:sz="0" w:space="0" w:color="auto"/>
      </w:divBdr>
    </w:div>
    <w:div w:id="1753774112">
      <w:bodyDiv w:val="1"/>
      <w:marLeft w:val="0"/>
      <w:marRight w:val="0"/>
      <w:marTop w:val="0"/>
      <w:marBottom w:val="0"/>
      <w:divBdr>
        <w:top w:val="none" w:sz="0" w:space="0" w:color="auto"/>
        <w:left w:val="none" w:sz="0" w:space="0" w:color="auto"/>
        <w:bottom w:val="none" w:sz="0" w:space="0" w:color="auto"/>
        <w:right w:val="none" w:sz="0" w:space="0" w:color="auto"/>
      </w:divBdr>
    </w:div>
    <w:div w:id="1754012078">
      <w:bodyDiv w:val="1"/>
      <w:marLeft w:val="0"/>
      <w:marRight w:val="0"/>
      <w:marTop w:val="0"/>
      <w:marBottom w:val="0"/>
      <w:divBdr>
        <w:top w:val="none" w:sz="0" w:space="0" w:color="auto"/>
        <w:left w:val="none" w:sz="0" w:space="0" w:color="auto"/>
        <w:bottom w:val="none" w:sz="0" w:space="0" w:color="auto"/>
        <w:right w:val="none" w:sz="0" w:space="0" w:color="auto"/>
      </w:divBdr>
    </w:div>
    <w:div w:id="1754664450">
      <w:bodyDiv w:val="1"/>
      <w:marLeft w:val="0"/>
      <w:marRight w:val="0"/>
      <w:marTop w:val="0"/>
      <w:marBottom w:val="0"/>
      <w:divBdr>
        <w:top w:val="none" w:sz="0" w:space="0" w:color="auto"/>
        <w:left w:val="none" w:sz="0" w:space="0" w:color="auto"/>
        <w:bottom w:val="none" w:sz="0" w:space="0" w:color="auto"/>
        <w:right w:val="none" w:sz="0" w:space="0" w:color="auto"/>
      </w:divBdr>
    </w:div>
    <w:div w:id="1754818309">
      <w:bodyDiv w:val="1"/>
      <w:marLeft w:val="0"/>
      <w:marRight w:val="0"/>
      <w:marTop w:val="0"/>
      <w:marBottom w:val="0"/>
      <w:divBdr>
        <w:top w:val="none" w:sz="0" w:space="0" w:color="auto"/>
        <w:left w:val="none" w:sz="0" w:space="0" w:color="auto"/>
        <w:bottom w:val="none" w:sz="0" w:space="0" w:color="auto"/>
        <w:right w:val="none" w:sz="0" w:space="0" w:color="auto"/>
      </w:divBdr>
    </w:div>
    <w:div w:id="1754928970">
      <w:bodyDiv w:val="1"/>
      <w:marLeft w:val="0"/>
      <w:marRight w:val="0"/>
      <w:marTop w:val="0"/>
      <w:marBottom w:val="0"/>
      <w:divBdr>
        <w:top w:val="none" w:sz="0" w:space="0" w:color="auto"/>
        <w:left w:val="none" w:sz="0" w:space="0" w:color="auto"/>
        <w:bottom w:val="none" w:sz="0" w:space="0" w:color="auto"/>
        <w:right w:val="none" w:sz="0" w:space="0" w:color="auto"/>
      </w:divBdr>
    </w:div>
    <w:div w:id="1755391076">
      <w:bodyDiv w:val="1"/>
      <w:marLeft w:val="0"/>
      <w:marRight w:val="0"/>
      <w:marTop w:val="0"/>
      <w:marBottom w:val="0"/>
      <w:divBdr>
        <w:top w:val="none" w:sz="0" w:space="0" w:color="auto"/>
        <w:left w:val="none" w:sz="0" w:space="0" w:color="auto"/>
        <w:bottom w:val="none" w:sz="0" w:space="0" w:color="auto"/>
        <w:right w:val="none" w:sz="0" w:space="0" w:color="auto"/>
      </w:divBdr>
    </w:div>
    <w:div w:id="1755472382">
      <w:bodyDiv w:val="1"/>
      <w:marLeft w:val="0"/>
      <w:marRight w:val="0"/>
      <w:marTop w:val="0"/>
      <w:marBottom w:val="0"/>
      <w:divBdr>
        <w:top w:val="none" w:sz="0" w:space="0" w:color="auto"/>
        <w:left w:val="none" w:sz="0" w:space="0" w:color="auto"/>
        <w:bottom w:val="none" w:sz="0" w:space="0" w:color="auto"/>
        <w:right w:val="none" w:sz="0" w:space="0" w:color="auto"/>
      </w:divBdr>
    </w:div>
    <w:div w:id="1755663985">
      <w:bodyDiv w:val="1"/>
      <w:marLeft w:val="0"/>
      <w:marRight w:val="0"/>
      <w:marTop w:val="0"/>
      <w:marBottom w:val="0"/>
      <w:divBdr>
        <w:top w:val="none" w:sz="0" w:space="0" w:color="auto"/>
        <w:left w:val="none" w:sz="0" w:space="0" w:color="auto"/>
        <w:bottom w:val="none" w:sz="0" w:space="0" w:color="auto"/>
        <w:right w:val="none" w:sz="0" w:space="0" w:color="auto"/>
      </w:divBdr>
    </w:div>
    <w:div w:id="1756170064">
      <w:bodyDiv w:val="1"/>
      <w:marLeft w:val="0"/>
      <w:marRight w:val="0"/>
      <w:marTop w:val="0"/>
      <w:marBottom w:val="0"/>
      <w:divBdr>
        <w:top w:val="none" w:sz="0" w:space="0" w:color="auto"/>
        <w:left w:val="none" w:sz="0" w:space="0" w:color="auto"/>
        <w:bottom w:val="none" w:sz="0" w:space="0" w:color="auto"/>
        <w:right w:val="none" w:sz="0" w:space="0" w:color="auto"/>
      </w:divBdr>
    </w:div>
    <w:div w:id="1756248571">
      <w:bodyDiv w:val="1"/>
      <w:marLeft w:val="0"/>
      <w:marRight w:val="0"/>
      <w:marTop w:val="0"/>
      <w:marBottom w:val="0"/>
      <w:divBdr>
        <w:top w:val="none" w:sz="0" w:space="0" w:color="auto"/>
        <w:left w:val="none" w:sz="0" w:space="0" w:color="auto"/>
        <w:bottom w:val="none" w:sz="0" w:space="0" w:color="auto"/>
        <w:right w:val="none" w:sz="0" w:space="0" w:color="auto"/>
      </w:divBdr>
    </w:div>
    <w:div w:id="1757286219">
      <w:bodyDiv w:val="1"/>
      <w:marLeft w:val="0"/>
      <w:marRight w:val="0"/>
      <w:marTop w:val="0"/>
      <w:marBottom w:val="0"/>
      <w:divBdr>
        <w:top w:val="none" w:sz="0" w:space="0" w:color="auto"/>
        <w:left w:val="none" w:sz="0" w:space="0" w:color="auto"/>
        <w:bottom w:val="none" w:sz="0" w:space="0" w:color="auto"/>
        <w:right w:val="none" w:sz="0" w:space="0" w:color="auto"/>
      </w:divBdr>
    </w:div>
    <w:div w:id="1757439378">
      <w:bodyDiv w:val="1"/>
      <w:marLeft w:val="0"/>
      <w:marRight w:val="0"/>
      <w:marTop w:val="0"/>
      <w:marBottom w:val="0"/>
      <w:divBdr>
        <w:top w:val="none" w:sz="0" w:space="0" w:color="auto"/>
        <w:left w:val="none" w:sz="0" w:space="0" w:color="auto"/>
        <w:bottom w:val="none" w:sz="0" w:space="0" w:color="auto"/>
        <w:right w:val="none" w:sz="0" w:space="0" w:color="auto"/>
      </w:divBdr>
    </w:div>
    <w:div w:id="1757746431">
      <w:bodyDiv w:val="1"/>
      <w:marLeft w:val="0"/>
      <w:marRight w:val="0"/>
      <w:marTop w:val="0"/>
      <w:marBottom w:val="0"/>
      <w:divBdr>
        <w:top w:val="none" w:sz="0" w:space="0" w:color="auto"/>
        <w:left w:val="none" w:sz="0" w:space="0" w:color="auto"/>
        <w:bottom w:val="none" w:sz="0" w:space="0" w:color="auto"/>
        <w:right w:val="none" w:sz="0" w:space="0" w:color="auto"/>
      </w:divBdr>
    </w:div>
    <w:div w:id="1757900647">
      <w:bodyDiv w:val="1"/>
      <w:marLeft w:val="0"/>
      <w:marRight w:val="0"/>
      <w:marTop w:val="0"/>
      <w:marBottom w:val="0"/>
      <w:divBdr>
        <w:top w:val="none" w:sz="0" w:space="0" w:color="auto"/>
        <w:left w:val="none" w:sz="0" w:space="0" w:color="auto"/>
        <w:bottom w:val="none" w:sz="0" w:space="0" w:color="auto"/>
        <w:right w:val="none" w:sz="0" w:space="0" w:color="auto"/>
      </w:divBdr>
    </w:div>
    <w:div w:id="1759211340">
      <w:bodyDiv w:val="1"/>
      <w:marLeft w:val="0"/>
      <w:marRight w:val="0"/>
      <w:marTop w:val="0"/>
      <w:marBottom w:val="0"/>
      <w:divBdr>
        <w:top w:val="none" w:sz="0" w:space="0" w:color="auto"/>
        <w:left w:val="none" w:sz="0" w:space="0" w:color="auto"/>
        <w:bottom w:val="none" w:sz="0" w:space="0" w:color="auto"/>
        <w:right w:val="none" w:sz="0" w:space="0" w:color="auto"/>
      </w:divBdr>
    </w:div>
    <w:div w:id="1759712966">
      <w:bodyDiv w:val="1"/>
      <w:marLeft w:val="0"/>
      <w:marRight w:val="0"/>
      <w:marTop w:val="0"/>
      <w:marBottom w:val="0"/>
      <w:divBdr>
        <w:top w:val="none" w:sz="0" w:space="0" w:color="auto"/>
        <w:left w:val="none" w:sz="0" w:space="0" w:color="auto"/>
        <w:bottom w:val="none" w:sz="0" w:space="0" w:color="auto"/>
        <w:right w:val="none" w:sz="0" w:space="0" w:color="auto"/>
      </w:divBdr>
      <w:divsChild>
        <w:div w:id="1030036789">
          <w:marLeft w:val="480"/>
          <w:marRight w:val="0"/>
          <w:marTop w:val="0"/>
          <w:marBottom w:val="0"/>
          <w:divBdr>
            <w:top w:val="none" w:sz="0" w:space="0" w:color="auto"/>
            <w:left w:val="none" w:sz="0" w:space="0" w:color="auto"/>
            <w:bottom w:val="none" w:sz="0" w:space="0" w:color="auto"/>
            <w:right w:val="none" w:sz="0" w:space="0" w:color="auto"/>
          </w:divBdr>
        </w:div>
        <w:div w:id="597444613">
          <w:marLeft w:val="480"/>
          <w:marRight w:val="0"/>
          <w:marTop w:val="0"/>
          <w:marBottom w:val="0"/>
          <w:divBdr>
            <w:top w:val="none" w:sz="0" w:space="0" w:color="auto"/>
            <w:left w:val="none" w:sz="0" w:space="0" w:color="auto"/>
            <w:bottom w:val="none" w:sz="0" w:space="0" w:color="auto"/>
            <w:right w:val="none" w:sz="0" w:space="0" w:color="auto"/>
          </w:divBdr>
        </w:div>
        <w:div w:id="56780939">
          <w:marLeft w:val="480"/>
          <w:marRight w:val="0"/>
          <w:marTop w:val="0"/>
          <w:marBottom w:val="0"/>
          <w:divBdr>
            <w:top w:val="none" w:sz="0" w:space="0" w:color="auto"/>
            <w:left w:val="none" w:sz="0" w:space="0" w:color="auto"/>
            <w:bottom w:val="none" w:sz="0" w:space="0" w:color="auto"/>
            <w:right w:val="none" w:sz="0" w:space="0" w:color="auto"/>
          </w:divBdr>
        </w:div>
        <w:div w:id="266080903">
          <w:marLeft w:val="480"/>
          <w:marRight w:val="0"/>
          <w:marTop w:val="0"/>
          <w:marBottom w:val="0"/>
          <w:divBdr>
            <w:top w:val="none" w:sz="0" w:space="0" w:color="auto"/>
            <w:left w:val="none" w:sz="0" w:space="0" w:color="auto"/>
            <w:bottom w:val="none" w:sz="0" w:space="0" w:color="auto"/>
            <w:right w:val="none" w:sz="0" w:space="0" w:color="auto"/>
          </w:divBdr>
        </w:div>
        <w:div w:id="1334720238">
          <w:marLeft w:val="480"/>
          <w:marRight w:val="0"/>
          <w:marTop w:val="0"/>
          <w:marBottom w:val="0"/>
          <w:divBdr>
            <w:top w:val="none" w:sz="0" w:space="0" w:color="auto"/>
            <w:left w:val="none" w:sz="0" w:space="0" w:color="auto"/>
            <w:bottom w:val="none" w:sz="0" w:space="0" w:color="auto"/>
            <w:right w:val="none" w:sz="0" w:space="0" w:color="auto"/>
          </w:divBdr>
        </w:div>
        <w:div w:id="1752847624">
          <w:marLeft w:val="480"/>
          <w:marRight w:val="0"/>
          <w:marTop w:val="0"/>
          <w:marBottom w:val="0"/>
          <w:divBdr>
            <w:top w:val="none" w:sz="0" w:space="0" w:color="auto"/>
            <w:left w:val="none" w:sz="0" w:space="0" w:color="auto"/>
            <w:bottom w:val="none" w:sz="0" w:space="0" w:color="auto"/>
            <w:right w:val="none" w:sz="0" w:space="0" w:color="auto"/>
          </w:divBdr>
        </w:div>
        <w:div w:id="329674305">
          <w:marLeft w:val="480"/>
          <w:marRight w:val="0"/>
          <w:marTop w:val="0"/>
          <w:marBottom w:val="0"/>
          <w:divBdr>
            <w:top w:val="none" w:sz="0" w:space="0" w:color="auto"/>
            <w:left w:val="none" w:sz="0" w:space="0" w:color="auto"/>
            <w:bottom w:val="none" w:sz="0" w:space="0" w:color="auto"/>
            <w:right w:val="none" w:sz="0" w:space="0" w:color="auto"/>
          </w:divBdr>
        </w:div>
        <w:div w:id="1283075332">
          <w:marLeft w:val="480"/>
          <w:marRight w:val="0"/>
          <w:marTop w:val="0"/>
          <w:marBottom w:val="0"/>
          <w:divBdr>
            <w:top w:val="none" w:sz="0" w:space="0" w:color="auto"/>
            <w:left w:val="none" w:sz="0" w:space="0" w:color="auto"/>
            <w:bottom w:val="none" w:sz="0" w:space="0" w:color="auto"/>
            <w:right w:val="none" w:sz="0" w:space="0" w:color="auto"/>
          </w:divBdr>
        </w:div>
        <w:div w:id="613633422">
          <w:marLeft w:val="480"/>
          <w:marRight w:val="0"/>
          <w:marTop w:val="0"/>
          <w:marBottom w:val="0"/>
          <w:divBdr>
            <w:top w:val="none" w:sz="0" w:space="0" w:color="auto"/>
            <w:left w:val="none" w:sz="0" w:space="0" w:color="auto"/>
            <w:bottom w:val="none" w:sz="0" w:space="0" w:color="auto"/>
            <w:right w:val="none" w:sz="0" w:space="0" w:color="auto"/>
          </w:divBdr>
        </w:div>
        <w:div w:id="1689671203">
          <w:marLeft w:val="480"/>
          <w:marRight w:val="0"/>
          <w:marTop w:val="0"/>
          <w:marBottom w:val="0"/>
          <w:divBdr>
            <w:top w:val="none" w:sz="0" w:space="0" w:color="auto"/>
            <w:left w:val="none" w:sz="0" w:space="0" w:color="auto"/>
            <w:bottom w:val="none" w:sz="0" w:space="0" w:color="auto"/>
            <w:right w:val="none" w:sz="0" w:space="0" w:color="auto"/>
          </w:divBdr>
        </w:div>
        <w:div w:id="1739401725">
          <w:marLeft w:val="480"/>
          <w:marRight w:val="0"/>
          <w:marTop w:val="0"/>
          <w:marBottom w:val="0"/>
          <w:divBdr>
            <w:top w:val="none" w:sz="0" w:space="0" w:color="auto"/>
            <w:left w:val="none" w:sz="0" w:space="0" w:color="auto"/>
            <w:bottom w:val="none" w:sz="0" w:space="0" w:color="auto"/>
            <w:right w:val="none" w:sz="0" w:space="0" w:color="auto"/>
          </w:divBdr>
        </w:div>
        <w:div w:id="666129440">
          <w:marLeft w:val="480"/>
          <w:marRight w:val="0"/>
          <w:marTop w:val="0"/>
          <w:marBottom w:val="0"/>
          <w:divBdr>
            <w:top w:val="none" w:sz="0" w:space="0" w:color="auto"/>
            <w:left w:val="none" w:sz="0" w:space="0" w:color="auto"/>
            <w:bottom w:val="none" w:sz="0" w:space="0" w:color="auto"/>
            <w:right w:val="none" w:sz="0" w:space="0" w:color="auto"/>
          </w:divBdr>
        </w:div>
        <w:div w:id="1341929083">
          <w:marLeft w:val="480"/>
          <w:marRight w:val="0"/>
          <w:marTop w:val="0"/>
          <w:marBottom w:val="0"/>
          <w:divBdr>
            <w:top w:val="none" w:sz="0" w:space="0" w:color="auto"/>
            <w:left w:val="none" w:sz="0" w:space="0" w:color="auto"/>
            <w:bottom w:val="none" w:sz="0" w:space="0" w:color="auto"/>
            <w:right w:val="none" w:sz="0" w:space="0" w:color="auto"/>
          </w:divBdr>
        </w:div>
        <w:div w:id="362554335">
          <w:marLeft w:val="480"/>
          <w:marRight w:val="0"/>
          <w:marTop w:val="0"/>
          <w:marBottom w:val="0"/>
          <w:divBdr>
            <w:top w:val="none" w:sz="0" w:space="0" w:color="auto"/>
            <w:left w:val="none" w:sz="0" w:space="0" w:color="auto"/>
            <w:bottom w:val="none" w:sz="0" w:space="0" w:color="auto"/>
            <w:right w:val="none" w:sz="0" w:space="0" w:color="auto"/>
          </w:divBdr>
        </w:div>
        <w:div w:id="208151488">
          <w:marLeft w:val="480"/>
          <w:marRight w:val="0"/>
          <w:marTop w:val="0"/>
          <w:marBottom w:val="0"/>
          <w:divBdr>
            <w:top w:val="none" w:sz="0" w:space="0" w:color="auto"/>
            <w:left w:val="none" w:sz="0" w:space="0" w:color="auto"/>
            <w:bottom w:val="none" w:sz="0" w:space="0" w:color="auto"/>
            <w:right w:val="none" w:sz="0" w:space="0" w:color="auto"/>
          </w:divBdr>
        </w:div>
        <w:div w:id="750738515">
          <w:marLeft w:val="480"/>
          <w:marRight w:val="0"/>
          <w:marTop w:val="0"/>
          <w:marBottom w:val="0"/>
          <w:divBdr>
            <w:top w:val="none" w:sz="0" w:space="0" w:color="auto"/>
            <w:left w:val="none" w:sz="0" w:space="0" w:color="auto"/>
            <w:bottom w:val="none" w:sz="0" w:space="0" w:color="auto"/>
            <w:right w:val="none" w:sz="0" w:space="0" w:color="auto"/>
          </w:divBdr>
        </w:div>
        <w:div w:id="1110665759">
          <w:marLeft w:val="480"/>
          <w:marRight w:val="0"/>
          <w:marTop w:val="0"/>
          <w:marBottom w:val="0"/>
          <w:divBdr>
            <w:top w:val="none" w:sz="0" w:space="0" w:color="auto"/>
            <w:left w:val="none" w:sz="0" w:space="0" w:color="auto"/>
            <w:bottom w:val="none" w:sz="0" w:space="0" w:color="auto"/>
            <w:right w:val="none" w:sz="0" w:space="0" w:color="auto"/>
          </w:divBdr>
        </w:div>
        <w:div w:id="187448113">
          <w:marLeft w:val="480"/>
          <w:marRight w:val="0"/>
          <w:marTop w:val="0"/>
          <w:marBottom w:val="0"/>
          <w:divBdr>
            <w:top w:val="none" w:sz="0" w:space="0" w:color="auto"/>
            <w:left w:val="none" w:sz="0" w:space="0" w:color="auto"/>
            <w:bottom w:val="none" w:sz="0" w:space="0" w:color="auto"/>
            <w:right w:val="none" w:sz="0" w:space="0" w:color="auto"/>
          </w:divBdr>
        </w:div>
        <w:div w:id="940065749">
          <w:marLeft w:val="480"/>
          <w:marRight w:val="0"/>
          <w:marTop w:val="0"/>
          <w:marBottom w:val="0"/>
          <w:divBdr>
            <w:top w:val="none" w:sz="0" w:space="0" w:color="auto"/>
            <w:left w:val="none" w:sz="0" w:space="0" w:color="auto"/>
            <w:bottom w:val="none" w:sz="0" w:space="0" w:color="auto"/>
            <w:right w:val="none" w:sz="0" w:space="0" w:color="auto"/>
          </w:divBdr>
        </w:div>
        <w:div w:id="1681203756">
          <w:marLeft w:val="480"/>
          <w:marRight w:val="0"/>
          <w:marTop w:val="0"/>
          <w:marBottom w:val="0"/>
          <w:divBdr>
            <w:top w:val="none" w:sz="0" w:space="0" w:color="auto"/>
            <w:left w:val="none" w:sz="0" w:space="0" w:color="auto"/>
            <w:bottom w:val="none" w:sz="0" w:space="0" w:color="auto"/>
            <w:right w:val="none" w:sz="0" w:space="0" w:color="auto"/>
          </w:divBdr>
        </w:div>
        <w:div w:id="1696272504">
          <w:marLeft w:val="480"/>
          <w:marRight w:val="0"/>
          <w:marTop w:val="0"/>
          <w:marBottom w:val="0"/>
          <w:divBdr>
            <w:top w:val="none" w:sz="0" w:space="0" w:color="auto"/>
            <w:left w:val="none" w:sz="0" w:space="0" w:color="auto"/>
            <w:bottom w:val="none" w:sz="0" w:space="0" w:color="auto"/>
            <w:right w:val="none" w:sz="0" w:space="0" w:color="auto"/>
          </w:divBdr>
        </w:div>
        <w:div w:id="458453033">
          <w:marLeft w:val="480"/>
          <w:marRight w:val="0"/>
          <w:marTop w:val="0"/>
          <w:marBottom w:val="0"/>
          <w:divBdr>
            <w:top w:val="none" w:sz="0" w:space="0" w:color="auto"/>
            <w:left w:val="none" w:sz="0" w:space="0" w:color="auto"/>
            <w:bottom w:val="none" w:sz="0" w:space="0" w:color="auto"/>
            <w:right w:val="none" w:sz="0" w:space="0" w:color="auto"/>
          </w:divBdr>
        </w:div>
        <w:div w:id="380251678">
          <w:marLeft w:val="480"/>
          <w:marRight w:val="0"/>
          <w:marTop w:val="0"/>
          <w:marBottom w:val="0"/>
          <w:divBdr>
            <w:top w:val="none" w:sz="0" w:space="0" w:color="auto"/>
            <w:left w:val="none" w:sz="0" w:space="0" w:color="auto"/>
            <w:bottom w:val="none" w:sz="0" w:space="0" w:color="auto"/>
            <w:right w:val="none" w:sz="0" w:space="0" w:color="auto"/>
          </w:divBdr>
        </w:div>
        <w:div w:id="1812477535">
          <w:marLeft w:val="480"/>
          <w:marRight w:val="0"/>
          <w:marTop w:val="0"/>
          <w:marBottom w:val="0"/>
          <w:divBdr>
            <w:top w:val="none" w:sz="0" w:space="0" w:color="auto"/>
            <w:left w:val="none" w:sz="0" w:space="0" w:color="auto"/>
            <w:bottom w:val="none" w:sz="0" w:space="0" w:color="auto"/>
            <w:right w:val="none" w:sz="0" w:space="0" w:color="auto"/>
          </w:divBdr>
        </w:div>
        <w:div w:id="218057651">
          <w:marLeft w:val="480"/>
          <w:marRight w:val="0"/>
          <w:marTop w:val="0"/>
          <w:marBottom w:val="0"/>
          <w:divBdr>
            <w:top w:val="none" w:sz="0" w:space="0" w:color="auto"/>
            <w:left w:val="none" w:sz="0" w:space="0" w:color="auto"/>
            <w:bottom w:val="none" w:sz="0" w:space="0" w:color="auto"/>
            <w:right w:val="none" w:sz="0" w:space="0" w:color="auto"/>
          </w:divBdr>
        </w:div>
        <w:div w:id="724793502">
          <w:marLeft w:val="480"/>
          <w:marRight w:val="0"/>
          <w:marTop w:val="0"/>
          <w:marBottom w:val="0"/>
          <w:divBdr>
            <w:top w:val="none" w:sz="0" w:space="0" w:color="auto"/>
            <w:left w:val="none" w:sz="0" w:space="0" w:color="auto"/>
            <w:bottom w:val="none" w:sz="0" w:space="0" w:color="auto"/>
            <w:right w:val="none" w:sz="0" w:space="0" w:color="auto"/>
          </w:divBdr>
        </w:div>
        <w:div w:id="1016733002">
          <w:marLeft w:val="480"/>
          <w:marRight w:val="0"/>
          <w:marTop w:val="0"/>
          <w:marBottom w:val="0"/>
          <w:divBdr>
            <w:top w:val="none" w:sz="0" w:space="0" w:color="auto"/>
            <w:left w:val="none" w:sz="0" w:space="0" w:color="auto"/>
            <w:bottom w:val="none" w:sz="0" w:space="0" w:color="auto"/>
            <w:right w:val="none" w:sz="0" w:space="0" w:color="auto"/>
          </w:divBdr>
        </w:div>
        <w:div w:id="1420829232">
          <w:marLeft w:val="480"/>
          <w:marRight w:val="0"/>
          <w:marTop w:val="0"/>
          <w:marBottom w:val="0"/>
          <w:divBdr>
            <w:top w:val="none" w:sz="0" w:space="0" w:color="auto"/>
            <w:left w:val="none" w:sz="0" w:space="0" w:color="auto"/>
            <w:bottom w:val="none" w:sz="0" w:space="0" w:color="auto"/>
            <w:right w:val="none" w:sz="0" w:space="0" w:color="auto"/>
          </w:divBdr>
        </w:div>
        <w:div w:id="466435074">
          <w:marLeft w:val="480"/>
          <w:marRight w:val="0"/>
          <w:marTop w:val="0"/>
          <w:marBottom w:val="0"/>
          <w:divBdr>
            <w:top w:val="none" w:sz="0" w:space="0" w:color="auto"/>
            <w:left w:val="none" w:sz="0" w:space="0" w:color="auto"/>
            <w:bottom w:val="none" w:sz="0" w:space="0" w:color="auto"/>
            <w:right w:val="none" w:sz="0" w:space="0" w:color="auto"/>
          </w:divBdr>
        </w:div>
        <w:div w:id="1118910321">
          <w:marLeft w:val="480"/>
          <w:marRight w:val="0"/>
          <w:marTop w:val="0"/>
          <w:marBottom w:val="0"/>
          <w:divBdr>
            <w:top w:val="none" w:sz="0" w:space="0" w:color="auto"/>
            <w:left w:val="none" w:sz="0" w:space="0" w:color="auto"/>
            <w:bottom w:val="none" w:sz="0" w:space="0" w:color="auto"/>
            <w:right w:val="none" w:sz="0" w:space="0" w:color="auto"/>
          </w:divBdr>
        </w:div>
        <w:div w:id="597517910">
          <w:marLeft w:val="480"/>
          <w:marRight w:val="0"/>
          <w:marTop w:val="0"/>
          <w:marBottom w:val="0"/>
          <w:divBdr>
            <w:top w:val="none" w:sz="0" w:space="0" w:color="auto"/>
            <w:left w:val="none" w:sz="0" w:space="0" w:color="auto"/>
            <w:bottom w:val="none" w:sz="0" w:space="0" w:color="auto"/>
            <w:right w:val="none" w:sz="0" w:space="0" w:color="auto"/>
          </w:divBdr>
        </w:div>
        <w:div w:id="1760517903">
          <w:marLeft w:val="480"/>
          <w:marRight w:val="0"/>
          <w:marTop w:val="0"/>
          <w:marBottom w:val="0"/>
          <w:divBdr>
            <w:top w:val="none" w:sz="0" w:space="0" w:color="auto"/>
            <w:left w:val="none" w:sz="0" w:space="0" w:color="auto"/>
            <w:bottom w:val="none" w:sz="0" w:space="0" w:color="auto"/>
            <w:right w:val="none" w:sz="0" w:space="0" w:color="auto"/>
          </w:divBdr>
        </w:div>
        <w:div w:id="2083525579">
          <w:marLeft w:val="480"/>
          <w:marRight w:val="0"/>
          <w:marTop w:val="0"/>
          <w:marBottom w:val="0"/>
          <w:divBdr>
            <w:top w:val="none" w:sz="0" w:space="0" w:color="auto"/>
            <w:left w:val="none" w:sz="0" w:space="0" w:color="auto"/>
            <w:bottom w:val="none" w:sz="0" w:space="0" w:color="auto"/>
            <w:right w:val="none" w:sz="0" w:space="0" w:color="auto"/>
          </w:divBdr>
        </w:div>
        <w:div w:id="1776056726">
          <w:marLeft w:val="480"/>
          <w:marRight w:val="0"/>
          <w:marTop w:val="0"/>
          <w:marBottom w:val="0"/>
          <w:divBdr>
            <w:top w:val="none" w:sz="0" w:space="0" w:color="auto"/>
            <w:left w:val="none" w:sz="0" w:space="0" w:color="auto"/>
            <w:bottom w:val="none" w:sz="0" w:space="0" w:color="auto"/>
            <w:right w:val="none" w:sz="0" w:space="0" w:color="auto"/>
          </w:divBdr>
        </w:div>
        <w:div w:id="1982614515">
          <w:marLeft w:val="480"/>
          <w:marRight w:val="0"/>
          <w:marTop w:val="0"/>
          <w:marBottom w:val="0"/>
          <w:divBdr>
            <w:top w:val="none" w:sz="0" w:space="0" w:color="auto"/>
            <w:left w:val="none" w:sz="0" w:space="0" w:color="auto"/>
            <w:bottom w:val="none" w:sz="0" w:space="0" w:color="auto"/>
            <w:right w:val="none" w:sz="0" w:space="0" w:color="auto"/>
          </w:divBdr>
        </w:div>
        <w:div w:id="833305551">
          <w:marLeft w:val="480"/>
          <w:marRight w:val="0"/>
          <w:marTop w:val="0"/>
          <w:marBottom w:val="0"/>
          <w:divBdr>
            <w:top w:val="none" w:sz="0" w:space="0" w:color="auto"/>
            <w:left w:val="none" w:sz="0" w:space="0" w:color="auto"/>
            <w:bottom w:val="none" w:sz="0" w:space="0" w:color="auto"/>
            <w:right w:val="none" w:sz="0" w:space="0" w:color="auto"/>
          </w:divBdr>
        </w:div>
        <w:div w:id="806120849">
          <w:marLeft w:val="480"/>
          <w:marRight w:val="0"/>
          <w:marTop w:val="0"/>
          <w:marBottom w:val="0"/>
          <w:divBdr>
            <w:top w:val="none" w:sz="0" w:space="0" w:color="auto"/>
            <w:left w:val="none" w:sz="0" w:space="0" w:color="auto"/>
            <w:bottom w:val="none" w:sz="0" w:space="0" w:color="auto"/>
            <w:right w:val="none" w:sz="0" w:space="0" w:color="auto"/>
          </w:divBdr>
        </w:div>
        <w:div w:id="1876381147">
          <w:marLeft w:val="480"/>
          <w:marRight w:val="0"/>
          <w:marTop w:val="0"/>
          <w:marBottom w:val="0"/>
          <w:divBdr>
            <w:top w:val="none" w:sz="0" w:space="0" w:color="auto"/>
            <w:left w:val="none" w:sz="0" w:space="0" w:color="auto"/>
            <w:bottom w:val="none" w:sz="0" w:space="0" w:color="auto"/>
            <w:right w:val="none" w:sz="0" w:space="0" w:color="auto"/>
          </w:divBdr>
        </w:div>
        <w:div w:id="1685085076">
          <w:marLeft w:val="480"/>
          <w:marRight w:val="0"/>
          <w:marTop w:val="0"/>
          <w:marBottom w:val="0"/>
          <w:divBdr>
            <w:top w:val="none" w:sz="0" w:space="0" w:color="auto"/>
            <w:left w:val="none" w:sz="0" w:space="0" w:color="auto"/>
            <w:bottom w:val="none" w:sz="0" w:space="0" w:color="auto"/>
            <w:right w:val="none" w:sz="0" w:space="0" w:color="auto"/>
          </w:divBdr>
        </w:div>
        <w:div w:id="1711032043">
          <w:marLeft w:val="480"/>
          <w:marRight w:val="0"/>
          <w:marTop w:val="0"/>
          <w:marBottom w:val="0"/>
          <w:divBdr>
            <w:top w:val="none" w:sz="0" w:space="0" w:color="auto"/>
            <w:left w:val="none" w:sz="0" w:space="0" w:color="auto"/>
            <w:bottom w:val="none" w:sz="0" w:space="0" w:color="auto"/>
            <w:right w:val="none" w:sz="0" w:space="0" w:color="auto"/>
          </w:divBdr>
        </w:div>
        <w:div w:id="1275479245">
          <w:marLeft w:val="480"/>
          <w:marRight w:val="0"/>
          <w:marTop w:val="0"/>
          <w:marBottom w:val="0"/>
          <w:divBdr>
            <w:top w:val="none" w:sz="0" w:space="0" w:color="auto"/>
            <w:left w:val="none" w:sz="0" w:space="0" w:color="auto"/>
            <w:bottom w:val="none" w:sz="0" w:space="0" w:color="auto"/>
            <w:right w:val="none" w:sz="0" w:space="0" w:color="auto"/>
          </w:divBdr>
        </w:div>
        <w:div w:id="1731728192">
          <w:marLeft w:val="480"/>
          <w:marRight w:val="0"/>
          <w:marTop w:val="0"/>
          <w:marBottom w:val="0"/>
          <w:divBdr>
            <w:top w:val="none" w:sz="0" w:space="0" w:color="auto"/>
            <w:left w:val="none" w:sz="0" w:space="0" w:color="auto"/>
            <w:bottom w:val="none" w:sz="0" w:space="0" w:color="auto"/>
            <w:right w:val="none" w:sz="0" w:space="0" w:color="auto"/>
          </w:divBdr>
        </w:div>
        <w:div w:id="1890994132">
          <w:marLeft w:val="480"/>
          <w:marRight w:val="0"/>
          <w:marTop w:val="0"/>
          <w:marBottom w:val="0"/>
          <w:divBdr>
            <w:top w:val="none" w:sz="0" w:space="0" w:color="auto"/>
            <w:left w:val="none" w:sz="0" w:space="0" w:color="auto"/>
            <w:bottom w:val="none" w:sz="0" w:space="0" w:color="auto"/>
            <w:right w:val="none" w:sz="0" w:space="0" w:color="auto"/>
          </w:divBdr>
        </w:div>
        <w:div w:id="1840581806">
          <w:marLeft w:val="480"/>
          <w:marRight w:val="0"/>
          <w:marTop w:val="0"/>
          <w:marBottom w:val="0"/>
          <w:divBdr>
            <w:top w:val="none" w:sz="0" w:space="0" w:color="auto"/>
            <w:left w:val="none" w:sz="0" w:space="0" w:color="auto"/>
            <w:bottom w:val="none" w:sz="0" w:space="0" w:color="auto"/>
            <w:right w:val="none" w:sz="0" w:space="0" w:color="auto"/>
          </w:divBdr>
        </w:div>
        <w:div w:id="102267296">
          <w:marLeft w:val="480"/>
          <w:marRight w:val="0"/>
          <w:marTop w:val="0"/>
          <w:marBottom w:val="0"/>
          <w:divBdr>
            <w:top w:val="none" w:sz="0" w:space="0" w:color="auto"/>
            <w:left w:val="none" w:sz="0" w:space="0" w:color="auto"/>
            <w:bottom w:val="none" w:sz="0" w:space="0" w:color="auto"/>
            <w:right w:val="none" w:sz="0" w:space="0" w:color="auto"/>
          </w:divBdr>
        </w:div>
        <w:div w:id="1215389034">
          <w:marLeft w:val="480"/>
          <w:marRight w:val="0"/>
          <w:marTop w:val="0"/>
          <w:marBottom w:val="0"/>
          <w:divBdr>
            <w:top w:val="none" w:sz="0" w:space="0" w:color="auto"/>
            <w:left w:val="none" w:sz="0" w:space="0" w:color="auto"/>
            <w:bottom w:val="none" w:sz="0" w:space="0" w:color="auto"/>
            <w:right w:val="none" w:sz="0" w:space="0" w:color="auto"/>
          </w:divBdr>
        </w:div>
        <w:div w:id="1275597568">
          <w:marLeft w:val="480"/>
          <w:marRight w:val="0"/>
          <w:marTop w:val="0"/>
          <w:marBottom w:val="0"/>
          <w:divBdr>
            <w:top w:val="none" w:sz="0" w:space="0" w:color="auto"/>
            <w:left w:val="none" w:sz="0" w:space="0" w:color="auto"/>
            <w:bottom w:val="none" w:sz="0" w:space="0" w:color="auto"/>
            <w:right w:val="none" w:sz="0" w:space="0" w:color="auto"/>
          </w:divBdr>
        </w:div>
        <w:div w:id="164781143">
          <w:marLeft w:val="480"/>
          <w:marRight w:val="0"/>
          <w:marTop w:val="0"/>
          <w:marBottom w:val="0"/>
          <w:divBdr>
            <w:top w:val="none" w:sz="0" w:space="0" w:color="auto"/>
            <w:left w:val="none" w:sz="0" w:space="0" w:color="auto"/>
            <w:bottom w:val="none" w:sz="0" w:space="0" w:color="auto"/>
            <w:right w:val="none" w:sz="0" w:space="0" w:color="auto"/>
          </w:divBdr>
        </w:div>
        <w:div w:id="2146582411">
          <w:marLeft w:val="480"/>
          <w:marRight w:val="0"/>
          <w:marTop w:val="0"/>
          <w:marBottom w:val="0"/>
          <w:divBdr>
            <w:top w:val="none" w:sz="0" w:space="0" w:color="auto"/>
            <w:left w:val="none" w:sz="0" w:space="0" w:color="auto"/>
            <w:bottom w:val="none" w:sz="0" w:space="0" w:color="auto"/>
            <w:right w:val="none" w:sz="0" w:space="0" w:color="auto"/>
          </w:divBdr>
        </w:div>
        <w:div w:id="2084601705">
          <w:marLeft w:val="480"/>
          <w:marRight w:val="0"/>
          <w:marTop w:val="0"/>
          <w:marBottom w:val="0"/>
          <w:divBdr>
            <w:top w:val="none" w:sz="0" w:space="0" w:color="auto"/>
            <w:left w:val="none" w:sz="0" w:space="0" w:color="auto"/>
            <w:bottom w:val="none" w:sz="0" w:space="0" w:color="auto"/>
            <w:right w:val="none" w:sz="0" w:space="0" w:color="auto"/>
          </w:divBdr>
        </w:div>
        <w:div w:id="993754465">
          <w:marLeft w:val="480"/>
          <w:marRight w:val="0"/>
          <w:marTop w:val="0"/>
          <w:marBottom w:val="0"/>
          <w:divBdr>
            <w:top w:val="none" w:sz="0" w:space="0" w:color="auto"/>
            <w:left w:val="none" w:sz="0" w:space="0" w:color="auto"/>
            <w:bottom w:val="none" w:sz="0" w:space="0" w:color="auto"/>
            <w:right w:val="none" w:sz="0" w:space="0" w:color="auto"/>
          </w:divBdr>
        </w:div>
        <w:div w:id="42027127">
          <w:marLeft w:val="480"/>
          <w:marRight w:val="0"/>
          <w:marTop w:val="0"/>
          <w:marBottom w:val="0"/>
          <w:divBdr>
            <w:top w:val="none" w:sz="0" w:space="0" w:color="auto"/>
            <w:left w:val="none" w:sz="0" w:space="0" w:color="auto"/>
            <w:bottom w:val="none" w:sz="0" w:space="0" w:color="auto"/>
            <w:right w:val="none" w:sz="0" w:space="0" w:color="auto"/>
          </w:divBdr>
        </w:div>
        <w:div w:id="1939099873">
          <w:marLeft w:val="480"/>
          <w:marRight w:val="0"/>
          <w:marTop w:val="0"/>
          <w:marBottom w:val="0"/>
          <w:divBdr>
            <w:top w:val="none" w:sz="0" w:space="0" w:color="auto"/>
            <w:left w:val="none" w:sz="0" w:space="0" w:color="auto"/>
            <w:bottom w:val="none" w:sz="0" w:space="0" w:color="auto"/>
            <w:right w:val="none" w:sz="0" w:space="0" w:color="auto"/>
          </w:divBdr>
        </w:div>
        <w:div w:id="1175850863">
          <w:marLeft w:val="480"/>
          <w:marRight w:val="0"/>
          <w:marTop w:val="0"/>
          <w:marBottom w:val="0"/>
          <w:divBdr>
            <w:top w:val="none" w:sz="0" w:space="0" w:color="auto"/>
            <w:left w:val="none" w:sz="0" w:space="0" w:color="auto"/>
            <w:bottom w:val="none" w:sz="0" w:space="0" w:color="auto"/>
            <w:right w:val="none" w:sz="0" w:space="0" w:color="auto"/>
          </w:divBdr>
        </w:div>
        <w:div w:id="919875339">
          <w:marLeft w:val="480"/>
          <w:marRight w:val="0"/>
          <w:marTop w:val="0"/>
          <w:marBottom w:val="0"/>
          <w:divBdr>
            <w:top w:val="none" w:sz="0" w:space="0" w:color="auto"/>
            <w:left w:val="none" w:sz="0" w:space="0" w:color="auto"/>
            <w:bottom w:val="none" w:sz="0" w:space="0" w:color="auto"/>
            <w:right w:val="none" w:sz="0" w:space="0" w:color="auto"/>
          </w:divBdr>
        </w:div>
        <w:div w:id="256207388">
          <w:marLeft w:val="480"/>
          <w:marRight w:val="0"/>
          <w:marTop w:val="0"/>
          <w:marBottom w:val="0"/>
          <w:divBdr>
            <w:top w:val="none" w:sz="0" w:space="0" w:color="auto"/>
            <w:left w:val="none" w:sz="0" w:space="0" w:color="auto"/>
            <w:bottom w:val="none" w:sz="0" w:space="0" w:color="auto"/>
            <w:right w:val="none" w:sz="0" w:space="0" w:color="auto"/>
          </w:divBdr>
        </w:div>
        <w:div w:id="174804100">
          <w:marLeft w:val="480"/>
          <w:marRight w:val="0"/>
          <w:marTop w:val="0"/>
          <w:marBottom w:val="0"/>
          <w:divBdr>
            <w:top w:val="none" w:sz="0" w:space="0" w:color="auto"/>
            <w:left w:val="none" w:sz="0" w:space="0" w:color="auto"/>
            <w:bottom w:val="none" w:sz="0" w:space="0" w:color="auto"/>
            <w:right w:val="none" w:sz="0" w:space="0" w:color="auto"/>
          </w:divBdr>
        </w:div>
        <w:div w:id="670186008">
          <w:marLeft w:val="480"/>
          <w:marRight w:val="0"/>
          <w:marTop w:val="0"/>
          <w:marBottom w:val="0"/>
          <w:divBdr>
            <w:top w:val="none" w:sz="0" w:space="0" w:color="auto"/>
            <w:left w:val="none" w:sz="0" w:space="0" w:color="auto"/>
            <w:bottom w:val="none" w:sz="0" w:space="0" w:color="auto"/>
            <w:right w:val="none" w:sz="0" w:space="0" w:color="auto"/>
          </w:divBdr>
        </w:div>
        <w:div w:id="1479304068">
          <w:marLeft w:val="480"/>
          <w:marRight w:val="0"/>
          <w:marTop w:val="0"/>
          <w:marBottom w:val="0"/>
          <w:divBdr>
            <w:top w:val="none" w:sz="0" w:space="0" w:color="auto"/>
            <w:left w:val="none" w:sz="0" w:space="0" w:color="auto"/>
            <w:bottom w:val="none" w:sz="0" w:space="0" w:color="auto"/>
            <w:right w:val="none" w:sz="0" w:space="0" w:color="auto"/>
          </w:divBdr>
        </w:div>
        <w:div w:id="1648048327">
          <w:marLeft w:val="480"/>
          <w:marRight w:val="0"/>
          <w:marTop w:val="0"/>
          <w:marBottom w:val="0"/>
          <w:divBdr>
            <w:top w:val="none" w:sz="0" w:space="0" w:color="auto"/>
            <w:left w:val="none" w:sz="0" w:space="0" w:color="auto"/>
            <w:bottom w:val="none" w:sz="0" w:space="0" w:color="auto"/>
            <w:right w:val="none" w:sz="0" w:space="0" w:color="auto"/>
          </w:divBdr>
        </w:div>
        <w:div w:id="111168834">
          <w:marLeft w:val="480"/>
          <w:marRight w:val="0"/>
          <w:marTop w:val="0"/>
          <w:marBottom w:val="0"/>
          <w:divBdr>
            <w:top w:val="none" w:sz="0" w:space="0" w:color="auto"/>
            <w:left w:val="none" w:sz="0" w:space="0" w:color="auto"/>
            <w:bottom w:val="none" w:sz="0" w:space="0" w:color="auto"/>
            <w:right w:val="none" w:sz="0" w:space="0" w:color="auto"/>
          </w:divBdr>
        </w:div>
        <w:div w:id="18623271">
          <w:marLeft w:val="480"/>
          <w:marRight w:val="0"/>
          <w:marTop w:val="0"/>
          <w:marBottom w:val="0"/>
          <w:divBdr>
            <w:top w:val="none" w:sz="0" w:space="0" w:color="auto"/>
            <w:left w:val="none" w:sz="0" w:space="0" w:color="auto"/>
            <w:bottom w:val="none" w:sz="0" w:space="0" w:color="auto"/>
            <w:right w:val="none" w:sz="0" w:space="0" w:color="auto"/>
          </w:divBdr>
        </w:div>
        <w:div w:id="1784836151">
          <w:marLeft w:val="480"/>
          <w:marRight w:val="0"/>
          <w:marTop w:val="0"/>
          <w:marBottom w:val="0"/>
          <w:divBdr>
            <w:top w:val="none" w:sz="0" w:space="0" w:color="auto"/>
            <w:left w:val="none" w:sz="0" w:space="0" w:color="auto"/>
            <w:bottom w:val="none" w:sz="0" w:space="0" w:color="auto"/>
            <w:right w:val="none" w:sz="0" w:space="0" w:color="auto"/>
          </w:divBdr>
        </w:div>
        <w:div w:id="1803305631">
          <w:marLeft w:val="480"/>
          <w:marRight w:val="0"/>
          <w:marTop w:val="0"/>
          <w:marBottom w:val="0"/>
          <w:divBdr>
            <w:top w:val="none" w:sz="0" w:space="0" w:color="auto"/>
            <w:left w:val="none" w:sz="0" w:space="0" w:color="auto"/>
            <w:bottom w:val="none" w:sz="0" w:space="0" w:color="auto"/>
            <w:right w:val="none" w:sz="0" w:space="0" w:color="auto"/>
          </w:divBdr>
        </w:div>
        <w:div w:id="1571042125">
          <w:marLeft w:val="480"/>
          <w:marRight w:val="0"/>
          <w:marTop w:val="0"/>
          <w:marBottom w:val="0"/>
          <w:divBdr>
            <w:top w:val="none" w:sz="0" w:space="0" w:color="auto"/>
            <w:left w:val="none" w:sz="0" w:space="0" w:color="auto"/>
            <w:bottom w:val="none" w:sz="0" w:space="0" w:color="auto"/>
            <w:right w:val="none" w:sz="0" w:space="0" w:color="auto"/>
          </w:divBdr>
        </w:div>
        <w:div w:id="1507668652">
          <w:marLeft w:val="480"/>
          <w:marRight w:val="0"/>
          <w:marTop w:val="0"/>
          <w:marBottom w:val="0"/>
          <w:divBdr>
            <w:top w:val="none" w:sz="0" w:space="0" w:color="auto"/>
            <w:left w:val="none" w:sz="0" w:space="0" w:color="auto"/>
            <w:bottom w:val="none" w:sz="0" w:space="0" w:color="auto"/>
            <w:right w:val="none" w:sz="0" w:space="0" w:color="auto"/>
          </w:divBdr>
        </w:div>
        <w:div w:id="5180494">
          <w:marLeft w:val="480"/>
          <w:marRight w:val="0"/>
          <w:marTop w:val="0"/>
          <w:marBottom w:val="0"/>
          <w:divBdr>
            <w:top w:val="none" w:sz="0" w:space="0" w:color="auto"/>
            <w:left w:val="none" w:sz="0" w:space="0" w:color="auto"/>
            <w:bottom w:val="none" w:sz="0" w:space="0" w:color="auto"/>
            <w:right w:val="none" w:sz="0" w:space="0" w:color="auto"/>
          </w:divBdr>
        </w:div>
        <w:div w:id="33969216">
          <w:marLeft w:val="480"/>
          <w:marRight w:val="0"/>
          <w:marTop w:val="0"/>
          <w:marBottom w:val="0"/>
          <w:divBdr>
            <w:top w:val="none" w:sz="0" w:space="0" w:color="auto"/>
            <w:left w:val="none" w:sz="0" w:space="0" w:color="auto"/>
            <w:bottom w:val="none" w:sz="0" w:space="0" w:color="auto"/>
            <w:right w:val="none" w:sz="0" w:space="0" w:color="auto"/>
          </w:divBdr>
        </w:div>
        <w:div w:id="1190878982">
          <w:marLeft w:val="480"/>
          <w:marRight w:val="0"/>
          <w:marTop w:val="0"/>
          <w:marBottom w:val="0"/>
          <w:divBdr>
            <w:top w:val="none" w:sz="0" w:space="0" w:color="auto"/>
            <w:left w:val="none" w:sz="0" w:space="0" w:color="auto"/>
            <w:bottom w:val="none" w:sz="0" w:space="0" w:color="auto"/>
            <w:right w:val="none" w:sz="0" w:space="0" w:color="auto"/>
          </w:divBdr>
        </w:div>
        <w:div w:id="55321898">
          <w:marLeft w:val="480"/>
          <w:marRight w:val="0"/>
          <w:marTop w:val="0"/>
          <w:marBottom w:val="0"/>
          <w:divBdr>
            <w:top w:val="none" w:sz="0" w:space="0" w:color="auto"/>
            <w:left w:val="none" w:sz="0" w:space="0" w:color="auto"/>
            <w:bottom w:val="none" w:sz="0" w:space="0" w:color="auto"/>
            <w:right w:val="none" w:sz="0" w:space="0" w:color="auto"/>
          </w:divBdr>
        </w:div>
        <w:div w:id="1589925312">
          <w:marLeft w:val="480"/>
          <w:marRight w:val="0"/>
          <w:marTop w:val="0"/>
          <w:marBottom w:val="0"/>
          <w:divBdr>
            <w:top w:val="none" w:sz="0" w:space="0" w:color="auto"/>
            <w:left w:val="none" w:sz="0" w:space="0" w:color="auto"/>
            <w:bottom w:val="none" w:sz="0" w:space="0" w:color="auto"/>
            <w:right w:val="none" w:sz="0" w:space="0" w:color="auto"/>
          </w:divBdr>
        </w:div>
        <w:div w:id="759445573">
          <w:marLeft w:val="480"/>
          <w:marRight w:val="0"/>
          <w:marTop w:val="0"/>
          <w:marBottom w:val="0"/>
          <w:divBdr>
            <w:top w:val="none" w:sz="0" w:space="0" w:color="auto"/>
            <w:left w:val="none" w:sz="0" w:space="0" w:color="auto"/>
            <w:bottom w:val="none" w:sz="0" w:space="0" w:color="auto"/>
            <w:right w:val="none" w:sz="0" w:space="0" w:color="auto"/>
          </w:divBdr>
        </w:div>
        <w:div w:id="226890098">
          <w:marLeft w:val="480"/>
          <w:marRight w:val="0"/>
          <w:marTop w:val="0"/>
          <w:marBottom w:val="0"/>
          <w:divBdr>
            <w:top w:val="none" w:sz="0" w:space="0" w:color="auto"/>
            <w:left w:val="none" w:sz="0" w:space="0" w:color="auto"/>
            <w:bottom w:val="none" w:sz="0" w:space="0" w:color="auto"/>
            <w:right w:val="none" w:sz="0" w:space="0" w:color="auto"/>
          </w:divBdr>
        </w:div>
        <w:div w:id="487092401">
          <w:marLeft w:val="480"/>
          <w:marRight w:val="0"/>
          <w:marTop w:val="0"/>
          <w:marBottom w:val="0"/>
          <w:divBdr>
            <w:top w:val="none" w:sz="0" w:space="0" w:color="auto"/>
            <w:left w:val="none" w:sz="0" w:space="0" w:color="auto"/>
            <w:bottom w:val="none" w:sz="0" w:space="0" w:color="auto"/>
            <w:right w:val="none" w:sz="0" w:space="0" w:color="auto"/>
          </w:divBdr>
        </w:div>
        <w:div w:id="623537694">
          <w:marLeft w:val="480"/>
          <w:marRight w:val="0"/>
          <w:marTop w:val="0"/>
          <w:marBottom w:val="0"/>
          <w:divBdr>
            <w:top w:val="none" w:sz="0" w:space="0" w:color="auto"/>
            <w:left w:val="none" w:sz="0" w:space="0" w:color="auto"/>
            <w:bottom w:val="none" w:sz="0" w:space="0" w:color="auto"/>
            <w:right w:val="none" w:sz="0" w:space="0" w:color="auto"/>
          </w:divBdr>
        </w:div>
        <w:div w:id="976760098">
          <w:marLeft w:val="480"/>
          <w:marRight w:val="0"/>
          <w:marTop w:val="0"/>
          <w:marBottom w:val="0"/>
          <w:divBdr>
            <w:top w:val="none" w:sz="0" w:space="0" w:color="auto"/>
            <w:left w:val="none" w:sz="0" w:space="0" w:color="auto"/>
            <w:bottom w:val="none" w:sz="0" w:space="0" w:color="auto"/>
            <w:right w:val="none" w:sz="0" w:space="0" w:color="auto"/>
          </w:divBdr>
        </w:div>
        <w:div w:id="2044088070">
          <w:marLeft w:val="480"/>
          <w:marRight w:val="0"/>
          <w:marTop w:val="0"/>
          <w:marBottom w:val="0"/>
          <w:divBdr>
            <w:top w:val="none" w:sz="0" w:space="0" w:color="auto"/>
            <w:left w:val="none" w:sz="0" w:space="0" w:color="auto"/>
            <w:bottom w:val="none" w:sz="0" w:space="0" w:color="auto"/>
            <w:right w:val="none" w:sz="0" w:space="0" w:color="auto"/>
          </w:divBdr>
        </w:div>
        <w:div w:id="585841837">
          <w:marLeft w:val="480"/>
          <w:marRight w:val="0"/>
          <w:marTop w:val="0"/>
          <w:marBottom w:val="0"/>
          <w:divBdr>
            <w:top w:val="none" w:sz="0" w:space="0" w:color="auto"/>
            <w:left w:val="none" w:sz="0" w:space="0" w:color="auto"/>
            <w:bottom w:val="none" w:sz="0" w:space="0" w:color="auto"/>
            <w:right w:val="none" w:sz="0" w:space="0" w:color="auto"/>
          </w:divBdr>
        </w:div>
        <w:div w:id="1201279734">
          <w:marLeft w:val="480"/>
          <w:marRight w:val="0"/>
          <w:marTop w:val="0"/>
          <w:marBottom w:val="0"/>
          <w:divBdr>
            <w:top w:val="none" w:sz="0" w:space="0" w:color="auto"/>
            <w:left w:val="none" w:sz="0" w:space="0" w:color="auto"/>
            <w:bottom w:val="none" w:sz="0" w:space="0" w:color="auto"/>
            <w:right w:val="none" w:sz="0" w:space="0" w:color="auto"/>
          </w:divBdr>
        </w:div>
        <w:div w:id="528952096">
          <w:marLeft w:val="480"/>
          <w:marRight w:val="0"/>
          <w:marTop w:val="0"/>
          <w:marBottom w:val="0"/>
          <w:divBdr>
            <w:top w:val="none" w:sz="0" w:space="0" w:color="auto"/>
            <w:left w:val="none" w:sz="0" w:space="0" w:color="auto"/>
            <w:bottom w:val="none" w:sz="0" w:space="0" w:color="auto"/>
            <w:right w:val="none" w:sz="0" w:space="0" w:color="auto"/>
          </w:divBdr>
        </w:div>
        <w:div w:id="2004812662">
          <w:marLeft w:val="480"/>
          <w:marRight w:val="0"/>
          <w:marTop w:val="0"/>
          <w:marBottom w:val="0"/>
          <w:divBdr>
            <w:top w:val="none" w:sz="0" w:space="0" w:color="auto"/>
            <w:left w:val="none" w:sz="0" w:space="0" w:color="auto"/>
            <w:bottom w:val="none" w:sz="0" w:space="0" w:color="auto"/>
            <w:right w:val="none" w:sz="0" w:space="0" w:color="auto"/>
          </w:divBdr>
        </w:div>
        <w:div w:id="792408852">
          <w:marLeft w:val="480"/>
          <w:marRight w:val="0"/>
          <w:marTop w:val="0"/>
          <w:marBottom w:val="0"/>
          <w:divBdr>
            <w:top w:val="none" w:sz="0" w:space="0" w:color="auto"/>
            <w:left w:val="none" w:sz="0" w:space="0" w:color="auto"/>
            <w:bottom w:val="none" w:sz="0" w:space="0" w:color="auto"/>
            <w:right w:val="none" w:sz="0" w:space="0" w:color="auto"/>
          </w:divBdr>
        </w:div>
        <w:div w:id="772674079">
          <w:marLeft w:val="480"/>
          <w:marRight w:val="0"/>
          <w:marTop w:val="0"/>
          <w:marBottom w:val="0"/>
          <w:divBdr>
            <w:top w:val="none" w:sz="0" w:space="0" w:color="auto"/>
            <w:left w:val="none" w:sz="0" w:space="0" w:color="auto"/>
            <w:bottom w:val="none" w:sz="0" w:space="0" w:color="auto"/>
            <w:right w:val="none" w:sz="0" w:space="0" w:color="auto"/>
          </w:divBdr>
        </w:div>
        <w:div w:id="381179619">
          <w:marLeft w:val="480"/>
          <w:marRight w:val="0"/>
          <w:marTop w:val="0"/>
          <w:marBottom w:val="0"/>
          <w:divBdr>
            <w:top w:val="none" w:sz="0" w:space="0" w:color="auto"/>
            <w:left w:val="none" w:sz="0" w:space="0" w:color="auto"/>
            <w:bottom w:val="none" w:sz="0" w:space="0" w:color="auto"/>
            <w:right w:val="none" w:sz="0" w:space="0" w:color="auto"/>
          </w:divBdr>
        </w:div>
        <w:div w:id="344795126">
          <w:marLeft w:val="480"/>
          <w:marRight w:val="0"/>
          <w:marTop w:val="0"/>
          <w:marBottom w:val="0"/>
          <w:divBdr>
            <w:top w:val="none" w:sz="0" w:space="0" w:color="auto"/>
            <w:left w:val="none" w:sz="0" w:space="0" w:color="auto"/>
            <w:bottom w:val="none" w:sz="0" w:space="0" w:color="auto"/>
            <w:right w:val="none" w:sz="0" w:space="0" w:color="auto"/>
          </w:divBdr>
        </w:div>
        <w:div w:id="1075399099">
          <w:marLeft w:val="480"/>
          <w:marRight w:val="0"/>
          <w:marTop w:val="0"/>
          <w:marBottom w:val="0"/>
          <w:divBdr>
            <w:top w:val="none" w:sz="0" w:space="0" w:color="auto"/>
            <w:left w:val="none" w:sz="0" w:space="0" w:color="auto"/>
            <w:bottom w:val="none" w:sz="0" w:space="0" w:color="auto"/>
            <w:right w:val="none" w:sz="0" w:space="0" w:color="auto"/>
          </w:divBdr>
        </w:div>
        <w:div w:id="498153647">
          <w:marLeft w:val="480"/>
          <w:marRight w:val="0"/>
          <w:marTop w:val="0"/>
          <w:marBottom w:val="0"/>
          <w:divBdr>
            <w:top w:val="none" w:sz="0" w:space="0" w:color="auto"/>
            <w:left w:val="none" w:sz="0" w:space="0" w:color="auto"/>
            <w:bottom w:val="none" w:sz="0" w:space="0" w:color="auto"/>
            <w:right w:val="none" w:sz="0" w:space="0" w:color="auto"/>
          </w:divBdr>
        </w:div>
        <w:div w:id="63336394">
          <w:marLeft w:val="480"/>
          <w:marRight w:val="0"/>
          <w:marTop w:val="0"/>
          <w:marBottom w:val="0"/>
          <w:divBdr>
            <w:top w:val="none" w:sz="0" w:space="0" w:color="auto"/>
            <w:left w:val="none" w:sz="0" w:space="0" w:color="auto"/>
            <w:bottom w:val="none" w:sz="0" w:space="0" w:color="auto"/>
            <w:right w:val="none" w:sz="0" w:space="0" w:color="auto"/>
          </w:divBdr>
        </w:div>
        <w:div w:id="316539195">
          <w:marLeft w:val="480"/>
          <w:marRight w:val="0"/>
          <w:marTop w:val="0"/>
          <w:marBottom w:val="0"/>
          <w:divBdr>
            <w:top w:val="none" w:sz="0" w:space="0" w:color="auto"/>
            <w:left w:val="none" w:sz="0" w:space="0" w:color="auto"/>
            <w:bottom w:val="none" w:sz="0" w:space="0" w:color="auto"/>
            <w:right w:val="none" w:sz="0" w:space="0" w:color="auto"/>
          </w:divBdr>
        </w:div>
        <w:div w:id="1942637179">
          <w:marLeft w:val="480"/>
          <w:marRight w:val="0"/>
          <w:marTop w:val="0"/>
          <w:marBottom w:val="0"/>
          <w:divBdr>
            <w:top w:val="none" w:sz="0" w:space="0" w:color="auto"/>
            <w:left w:val="none" w:sz="0" w:space="0" w:color="auto"/>
            <w:bottom w:val="none" w:sz="0" w:space="0" w:color="auto"/>
            <w:right w:val="none" w:sz="0" w:space="0" w:color="auto"/>
          </w:divBdr>
        </w:div>
        <w:div w:id="1411922255">
          <w:marLeft w:val="480"/>
          <w:marRight w:val="0"/>
          <w:marTop w:val="0"/>
          <w:marBottom w:val="0"/>
          <w:divBdr>
            <w:top w:val="none" w:sz="0" w:space="0" w:color="auto"/>
            <w:left w:val="none" w:sz="0" w:space="0" w:color="auto"/>
            <w:bottom w:val="none" w:sz="0" w:space="0" w:color="auto"/>
            <w:right w:val="none" w:sz="0" w:space="0" w:color="auto"/>
          </w:divBdr>
        </w:div>
        <w:div w:id="45178620">
          <w:marLeft w:val="480"/>
          <w:marRight w:val="0"/>
          <w:marTop w:val="0"/>
          <w:marBottom w:val="0"/>
          <w:divBdr>
            <w:top w:val="none" w:sz="0" w:space="0" w:color="auto"/>
            <w:left w:val="none" w:sz="0" w:space="0" w:color="auto"/>
            <w:bottom w:val="none" w:sz="0" w:space="0" w:color="auto"/>
            <w:right w:val="none" w:sz="0" w:space="0" w:color="auto"/>
          </w:divBdr>
        </w:div>
        <w:div w:id="699474296">
          <w:marLeft w:val="480"/>
          <w:marRight w:val="0"/>
          <w:marTop w:val="0"/>
          <w:marBottom w:val="0"/>
          <w:divBdr>
            <w:top w:val="none" w:sz="0" w:space="0" w:color="auto"/>
            <w:left w:val="none" w:sz="0" w:space="0" w:color="auto"/>
            <w:bottom w:val="none" w:sz="0" w:space="0" w:color="auto"/>
            <w:right w:val="none" w:sz="0" w:space="0" w:color="auto"/>
          </w:divBdr>
        </w:div>
        <w:div w:id="467093509">
          <w:marLeft w:val="480"/>
          <w:marRight w:val="0"/>
          <w:marTop w:val="0"/>
          <w:marBottom w:val="0"/>
          <w:divBdr>
            <w:top w:val="none" w:sz="0" w:space="0" w:color="auto"/>
            <w:left w:val="none" w:sz="0" w:space="0" w:color="auto"/>
            <w:bottom w:val="none" w:sz="0" w:space="0" w:color="auto"/>
            <w:right w:val="none" w:sz="0" w:space="0" w:color="auto"/>
          </w:divBdr>
        </w:div>
        <w:div w:id="581766306">
          <w:marLeft w:val="480"/>
          <w:marRight w:val="0"/>
          <w:marTop w:val="0"/>
          <w:marBottom w:val="0"/>
          <w:divBdr>
            <w:top w:val="none" w:sz="0" w:space="0" w:color="auto"/>
            <w:left w:val="none" w:sz="0" w:space="0" w:color="auto"/>
            <w:bottom w:val="none" w:sz="0" w:space="0" w:color="auto"/>
            <w:right w:val="none" w:sz="0" w:space="0" w:color="auto"/>
          </w:divBdr>
        </w:div>
        <w:div w:id="650476635">
          <w:marLeft w:val="480"/>
          <w:marRight w:val="0"/>
          <w:marTop w:val="0"/>
          <w:marBottom w:val="0"/>
          <w:divBdr>
            <w:top w:val="none" w:sz="0" w:space="0" w:color="auto"/>
            <w:left w:val="none" w:sz="0" w:space="0" w:color="auto"/>
            <w:bottom w:val="none" w:sz="0" w:space="0" w:color="auto"/>
            <w:right w:val="none" w:sz="0" w:space="0" w:color="auto"/>
          </w:divBdr>
        </w:div>
        <w:div w:id="1163350470">
          <w:marLeft w:val="480"/>
          <w:marRight w:val="0"/>
          <w:marTop w:val="0"/>
          <w:marBottom w:val="0"/>
          <w:divBdr>
            <w:top w:val="none" w:sz="0" w:space="0" w:color="auto"/>
            <w:left w:val="none" w:sz="0" w:space="0" w:color="auto"/>
            <w:bottom w:val="none" w:sz="0" w:space="0" w:color="auto"/>
            <w:right w:val="none" w:sz="0" w:space="0" w:color="auto"/>
          </w:divBdr>
        </w:div>
        <w:div w:id="1545677484">
          <w:marLeft w:val="480"/>
          <w:marRight w:val="0"/>
          <w:marTop w:val="0"/>
          <w:marBottom w:val="0"/>
          <w:divBdr>
            <w:top w:val="none" w:sz="0" w:space="0" w:color="auto"/>
            <w:left w:val="none" w:sz="0" w:space="0" w:color="auto"/>
            <w:bottom w:val="none" w:sz="0" w:space="0" w:color="auto"/>
            <w:right w:val="none" w:sz="0" w:space="0" w:color="auto"/>
          </w:divBdr>
        </w:div>
        <w:div w:id="1691299984">
          <w:marLeft w:val="480"/>
          <w:marRight w:val="0"/>
          <w:marTop w:val="0"/>
          <w:marBottom w:val="0"/>
          <w:divBdr>
            <w:top w:val="none" w:sz="0" w:space="0" w:color="auto"/>
            <w:left w:val="none" w:sz="0" w:space="0" w:color="auto"/>
            <w:bottom w:val="none" w:sz="0" w:space="0" w:color="auto"/>
            <w:right w:val="none" w:sz="0" w:space="0" w:color="auto"/>
          </w:divBdr>
        </w:div>
        <w:div w:id="1358852555">
          <w:marLeft w:val="480"/>
          <w:marRight w:val="0"/>
          <w:marTop w:val="0"/>
          <w:marBottom w:val="0"/>
          <w:divBdr>
            <w:top w:val="none" w:sz="0" w:space="0" w:color="auto"/>
            <w:left w:val="none" w:sz="0" w:space="0" w:color="auto"/>
            <w:bottom w:val="none" w:sz="0" w:space="0" w:color="auto"/>
            <w:right w:val="none" w:sz="0" w:space="0" w:color="auto"/>
          </w:divBdr>
        </w:div>
        <w:div w:id="2034960888">
          <w:marLeft w:val="480"/>
          <w:marRight w:val="0"/>
          <w:marTop w:val="0"/>
          <w:marBottom w:val="0"/>
          <w:divBdr>
            <w:top w:val="none" w:sz="0" w:space="0" w:color="auto"/>
            <w:left w:val="none" w:sz="0" w:space="0" w:color="auto"/>
            <w:bottom w:val="none" w:sz="0" w:space="0" w:color="auto"/>
            <w:right w:val="none" w:sz="0" w:space="0" w:color="auto"/>
          </w:divBdr>
        </w:div>
        <w:div w:id="324862810">
          <w:marLeft w:val="480"/>
          <w:marRight w:val="0"/>
          <w:marTop w:val="0"/>
          <w:marBottom w:val="0"/>
          <w:divBdr>
            <w:top w:val="none" w:sz="0" w:space="0" w:color="auto"/>
            <w:left w:val="none" w:sz="0" w:space="0" w:color="auto"/>
            <w:bottom w:val="none" w:sz="0" w:space="0" w:color="auto"/>
            <w:right w:val="none" w:sz="0" w:space="0" w:color="auto"/>
          </w:divBdr>
        </w:div>
        <w:div w:id="1410424369">
          <w:marLeft w:val="480"/>
          <w:marRight w:val="0"/>
          <w:marTop w:val="0"/>
          <w:marBottom w:val="0"/>
          <w:divBdr>
            <w:top w:val="none" w:sz="0" w:space="0" w:color="auto"/>
            <w:left w:val="none" w:sz="0" w:space="0" w:color="auto"/>
            <w:bottom w:val="none" w:sz="0" w:space="0" w:color="auto"/>
            <w:right w:val="none" w:sz="0" w:space="0" w:color="auto"/>
          </w:divBdr>
        </w:div>
        <w:div w:id="2063866340">
          <w:marLeft w:val="480"/>
          <w:marRight w:val="0"/>
          <w:marTop w:val="0"/>
          <w:marBottom w:val="0"/>
          <w:divBdr>
            <w:top w:val="none" w:sz="0" w:space="0" w:color="auto"/>
            <w:left w:val="none" w:sz="0" w:space="0" w:color="auto"/>
            <w:bottom w:val="none" w:sz="0" w:space="0" w:color="auto"/>
            <w:right w:val="none" w:sz="0" w:space="0" w:color="auto"/>
          </w:divBdr>
        </w:div>
        <w:div w:id="224493268">
          <w:marLeft w:val="480"/>
          <w:marRight w:val="0"/>
          <w:marTop w:val="0"/>
          <w:marBottom w:val="0"/>
          <w:divBdr>
            <w:top w:val="none" w:sz="0" w:space="0" w:color="auto"/>
            <w:left w:val="none" w:sz="0" w:space="0" w:color="auto"/>
            <w:bottom w:val="none" w:sz="0" w:space="0" w:color="auto"/>
            <w:right w:val="none" w:sz="0" w:space="0" w:color="auto"/>
          </w:divBdr>
        </w:div>
        <w:div w:id="1768429102">
          <w:marLeft w:val="480"/>
          <w:marRight w:val="0"/>
          <w:marTop w:val="0"/>
          <w:marBottom w:val="0"/>
          <w:divBdr>
            <w:top w:val="none" w:sz="0" w:space="0" w:color="auto"/>
            <w:left w:val="none" w:sz="0" w:space="0" w:color="auto"/>
            <w:bottom w:val="none" w:sz="0" w:space="0" w:color="auto"/>
            <w:right w:val="none" w:sz="0" w:space="0" w:color="auto"/>
          </w:divBdr>
        </w:div>
        <w:div w:id="1976787992">
          <w:marLeft w:val="480"/>
          <w:marRight w:val="0"/>
          <w:marTop w:val="0"/>
          <w:marBottom w:val="0"/>
          <w:divBdr>
            <w:top w:val="none" w:sz="0" w:space="0" w:color="auto"/>
            <w:left w:val="none" w:sz="0" w:space="0" w:color="auto"/>
            <w:bottom w:val="none" w:sz="0" w:space="0" w:color="auto"/>
            <w:right w:val="none" w:sz="0" w:space="0" w:color="auto"/>
          </w:divBdr>
        </w:div>
        <w:div w:id="347832202">
          <w:marLeft w:val="480"/>
          <w:marRight w:val="0"/>
          <w:marTop w:val="0"/>
          <w:marBottom w:val="0"/>
          <w:divBdr>
            <w:top w:val="none" w:sz="0" w:space="0" w:color="auto"/>
            <w:left w:val="none" w:sz="0" w:space="0" w:color="auto"/>
            <w:bottom w:val="none" w:sz="0" w:space="0" w:color="auto"/>
            <w:right w:val="none" w:sz="0" w:space="0" w:color="auto"/>
          </w:divBdr>
        </w:div>
        <w:div w:id="1279873144">
          <w:marLeft w:val="480"/>
          <w:marRight w:val="0"/>
          <w:marTop w:val="0"/>
          <w:marBottom w:val="0"/>
          <w:divBdr>
            <w:top w:val="none" w:sz="0" w:space="0" w:color="auto"/>
            <w:left w:val="none" w:sz="0" w:space="0" w:color="auto"/>
            <w:bottom w:val="none" w:sz="0" w:space="0" w:color="auto"/>
            <w:right w:val="none" w:sz="0" w:space="0" w:color="auto"/>
          </w:divBdr>
        </w:div>
        <w:div w:id="963119832">
          <w:marLeft w:val="480"/>
          <w:marRight w:val="0"/>
          <w:marTop w:val="0"/>
          <w:marBottom w:val="0"/>
          <w:divBdr>
            <w:top w:val="none" w:sz="0" w:space="0" w:color="auto"/>
            <w:left w:val="none" w:sz="0" w:space="0" w:color="auto"/>
            <w:bottom w:val="none" w:sz="0" w:space="0" w:color="auto"/>
            <w:right w:val="none" w:sz="0" w:space="0" w:color="auto"/>
          </w:divBdr>
        </w:div>
        <w:div w:id="102457477">
          <w:marLeft w:val="480"/>
          <w:marRight w:val="0"/>
          <w:marTop w:val="0"/>
          <w:marBottom w:val="0"/>
          <w:divBdr>
            <w:top w:val="none" w:sz="0" w:space="0" w:color="auto"/>
            <w:left w:val="none" w:sz="0" w:space="0" w:color="auto"/>
            <w:bottom w:val="none" w:sz="0" w:space="0" w:color="auto"/>
            <w:right w:val="none" w:sz="0" w:space="0" w:color="auto"/>
          </w:divBdr>
        </w:div>
        <w:div w:id="132601114">
          <w:marLeft w:val="480"/>
          <w:marRight w:val="0"/>
          <w:marTop w:val="0"/>
          <w:marBottom w:val="0"/>
          <w:divBdr>
            <w:top w:val="none" w:sz="0" w:space="0" w:color="auto"/>
            <w:left w:val="none" w:sz="0" w:space="0" w:color="auto"/>
            <w:bottom w:val="none" w:sz="0" w:space="0" w:color="auto"/>
            <w:right w:val="none" w:sz="0" w:space="0" w:color="auto"/>
          </w:divBdr>
        </w:div>
        <w:div w:id="1933198282">
          <w:marLeft w:val="480"/>
          <w:marRight w:val="0"/>
          <w:marTop w:val="0"/>
          <w:marBottom w:val="0"/>
          <w:divBdr>
            <w:top w:val="none" w:sz="0" w:space="0" w:color="auto"/>
            <w:left w:val="none" w:sz="0" w:space="0" w:color="auto"/>
            <w:bottom w:val="none" w:sz="0" w:space="0" w:color="auto"/>
            <w:right w:val="none" w:sz="0" w:space="0" w:color="auto"/>
          </w:divBdr>
        </w:div>
        <w:div w:id="542405221">
          <w:marLeft w:val="480"/>
          <w:marRight w:val="0"/>
          <w:marTop w:val="0"/>
          <w:marBottom w:val="0"/>
          <w:divBdr>
            <w:top w:val="none" w:sz="0" w:space="0" w:color="auto"/>
            <w:left w:val="none" w:sz="0" w:space="0" w:color="auto"/>
            <w:bottom w:val="none" w:sz="0" w:space="0" w:color="auto"/>
            <w:right w:val="none" w:sz="0" w:space="0" w:color="auto"/>
          </w:divBdr>
        </w:div>
        <w:div w:id="648553054">
          <w:marLeft w:val="480"/>
          <w:marRight w:val="0"/>
          <w:marTop w:val="0"/>
          <w:marBottom w:val="0"/>
          <w:divBdr>
            <w:top w:val="none" w:sz="0" w:space="0" w:color="auto"/>
            <w:left w:val="none" w:sz="0" w:space="0" w:color="auto"/>
            <w:bottom w:val="none" w:sz="0" w:space="0" w:color="auto"/>
            <w:right w:val="none" w:sz="0" w:space="0" w:color="auto"/>
          </w:divBdr>
        </w:div>
        <w:div w:id="1243031750">
          <w:marLeft w:val="480"/>
          <w:marRight w:val="0"/>
          <w:marTop w:val="0"/>
          <w:marBottom w:val="0"/>
          <w:divBdr>
            <w:top w:val="none" w:sz="0" w:space="0" w:color="auto"/>
            <w:left w:val="none" w:sz="0" w:space="0" w:color="auto"/>
            <w:bottom w:val="none" w:sz="0" w:space="0" w:color="auto"/>
            <w:right w:val="none" w:sz="0" w:space="0" w:color="auto"/>
          </w:divBdr>
        </w:div>
        <w:div w:id="68777237">
          <w:marLeft w:val="480"/>
          <w:marRight w:val="0"/>
          <w:marTop w:val="0"/>
          <w:marBottom w:val="0"/>
          <w:divBdr>
            <w:top w:val="none" w:sz="0" w:space="0" w:color="auto"/>
            <w:left w:val="none" w:sz="0" w:space="0" w:color="auto"/>
            <w:bottom w:val="none" w:sz="0" w:space="0" w:color="auto"/>
            <w:right w:val="none" w:sz="0" w:space="0" w:color="auto"/>
          </w:divBdr>
        </w:div>
        <w:div w:id="1284457295">
          <w:marLeft w:val="480"/>
          <w:marRight w:val="0"/>
          <w:marTop w:val="0"/>
          <w:marBottom w:val="0"/>
          <w:divBdr>
            <w:top w:val="none" w:sz="0" w:space="0" w:color="auto"/>
            <w:left w:val="none" w:sz="0" w:space="0" w:color="auto"/>
            <w:bottom w:val="none" w:sz="0" w:space="0" w:color="auto"/>
            <w:right w:val="none" w:sz="0" w:space="0" w:color="auto"/>
          </w:divBdr>
        </w:div>
        <w:div w:id="51540160">
          <w:marLeft w:val="480"/>
          <w:marRight w:val="0"/>
          <w:marTop w:val="0"/>
          <w:marBottom w:val="0"/>
          <w:divBdr>
            <w:top w:val="none" w:sz="0" w:space="0" w:color="auto"/>
            <w:left w:val="none" w:sz="0" w:space="0" w:color="auto"/>
            <w:bottom w:val="none" w:sz="0" w:space="0" w:color="auto"/>
            <w:right w:val="none" w:sz="0" w:space="0" w:color="auto"/>
          </w:divBdr>
        </w:div>
        <w:div w:id="1820726480">
          <w:marLeft w:val="480"/>
          <w:marRight w:val="0"/>
          <w:marTop w:val="0"/>
          <w:marBottom w:val="0"/>
          <w:divBdr>
            <w:top w:val="none" w:sz="0" w:space="0" w:color="auto"/>
            <w:left w:val="none" w:sz="0" w:space="0" w:color="auto"/>
            <w:bottom w:val="none" w:sz="0" w:space="0" w:color="auto"/>
            <w:right w:val="none" w:sz="0" w:space="0" w:color="auto"/>
          </w:divBdr>
        </w:div>
        <w:div w:id="2142843286">
          <w:marLeft w:val="480"/>
          <w:marRight w:val="0"/>
          <w:marTop w:val="0"/>
          <w:marBottom w:val="0"/>
          <w:divBdr>
            <w:top w:val="none" w:sz="0" w:space="0" w:color="auto"/>
            <w:left w:val="none" w:sz="0" w:space="0" w:color="auto"/>
            <w:bottom w:val="none" w:sz="0" w:space="0" w:color="auto"/>
            <w:right w:val="none" w:sz="0" w:space="0" w:color="auto"/>
          </w:divBdr>
        </w:div>
        <w:div w:id="95175527">
          <w:marLeft w:val="480"/>
          <w:marRight w:val="0"/>
          <w:marTop w:val="0"/>
          <w:marBottom w:val="0"/>
          <w:divBdr>
            <w:top w:val="none" w:sz="0" w:space="0" w:color="auto"/>
            <w:left w:val="none" w:sz="0" w:space="0" w:color="auto"/>
            <w:bottom w:val="none" w:sz="0" w:space="0" w:color="auto"/>
            <w:right w:val="none" w:sz="0" w:space="0" w:color="auto"/>
          </w:divBdr>
        </w:div>
        <w:div w:id="2027441388">
          <w:marLeft w:val="480"/>
          <w:marRight w:val="0"/>
          <w:marTop w:val="0"/>
          <w:marBottom w:val="0"/>
          <w:divBdr>
            <w:top w:val="none" w:sz="0" w:space="0" w:color="auto"/>
            <w:left w:val="none" w:sz="0" w:space="0" w:color="auto"/>
            <w:bottom w:val="none" w:sz="0" w:space="0" w:color="auto"/>
            <w:right w:val="none" w:sz="0" w:space="0" w:color="auto"/>
          </w:divBdr>
        </w:div>
        <w:div w:id="2133858169">
          <w:marLeft w:val="480"/>
          <w:marRight w:val="0"/>
          <w:marTop w:val="0"/>
          <w:marBottom w:val="0"/>
          <w:divBdr>
            <w:top w:val="none" w:sz="0" w:space="0" w:color="auto"/>
            <w:left w:val="none" w:sz="0" w:space="0" w:color="auto"/>
            <w:bottom w:val="none" w:sz="0" w:space="0" w:color="auto"/>
            <w:right w:val="none" w:sz="0" w:space="0" w:color="auto"/>
          </w:divBdr>
        </w:div>
        <w:div w:id="1070037705">
          <w:marLeft w:val="480"/>
          <w:marRight w:val="0"/>
          <w:marTop w:val="0"/>
          <w:marBottom w:val="0"/>
          <w:divBdr>
            <w:top w:val="none" w:sz="0" w:space="0" w:color="auto"/>
            <w:left w:val="none" w:sz="0" w:space="0" w:color="auto"/>
            <w:bottom w:val="none" w:sz="0" w:space="0" w:color="auto"/>
            <w:right w:val="none" w:sz="0" w:space="0" w:color="auto"/>
          </w:divBdr>
        </w:div>
        <w:div w:id="1943830143">
          <w:marLeft w:val="480"/>
          <w:marRight w:val="0"/>
          <w:marTop w:val="0"/>
          <w:marBottom w:val="0"/>
          <w:divBdr>
            <w:top w:val="none" w:sz="0" w:space="0" w:color="auto"/>
            <w:left w:val="none" w:sz="0" w:space="0" w:color="auto"/>
            <w:bottom w:val="none" w:sz="0" w:space="0" w:color="auto"/>
            <w:right w:val="none" w:sz="0" w:space="0" w:color="auto"/>
          </w:divBdr>
        </w:div>
        <w:div w:id="358504658">
          <w:marLeft w:val="480"/>
          <w:marRight w:val="0"/>
          <w:marTop w:val="0"/>
          <w:marBottom w:val="0"/>
          <w:divBdr>
            <w:top w:val="none" w:sz="0" w:space="0" w:color="auto"/>
            <w:left w:val="none" w:sz="0" w:space="0" w:color="auto"/>
            <w:bottom w:val="none" w:sz="0" w:space="0" w:color="auto"/>
            <w:right w:val="none" w:sz="0" w:space="0" w:color="auto"/>
          </w:divBdr>
        </w:div>
        <w:div w:id="39785077">
          <w:marLeft w:val="480"/>
          <w:marRight w:val="0"/>
          <w:marTop w:val="0"/>
          <w:marBottom w:val="0"/>
          <w:divBdr>
            <w:top w:val="none" w:sz="0" w:space="0" w:color="auto"/>
            <w:left w:val="none" w:sz="0" w:space="0" w:color="auto"/>
            <w:bottom w:val="none" w:sz="0" w:space="0" w:color="auto"/>
            <w:right w:val="none" w:sz="0" w:space="0" w:color="auto"/>
          </w:divBdr>
        </w:div>
        <w:div w:id="1219434921">
          <w:marLeft w:val="480"/>
          <w:marRight w:val="0"/>
          <w:marTop w:val="0"/>
          <w:marBottom w:val="0"/>
          <w:divBdr>
            <w:top w:val="none" w:sz="0" w:space="0" w:color="auto"/>
            <w:left w:val="none" w:sz="0" w:space="0" w:color="auto"/>
            <w:bottom w:val="none" w:sz="0" w:space="0" w:color="auto"/>
            <w:right w:val="none" w:sz="0" w:space="0" w:color="auto"/>
          </w:divBdr>
        </w:div>
        <w:div w:id="1807503875">
          <w:marLeft w:val="480"/>
          <w:marRight w:val="0"/>
          <w:marTop w:val="0"/>
          <w:marBottom w:val="0"/>
          <w:divBdr>
            <w:top w:val="none" w:sz="0" w:space="0" w:color="auto"/>
            <w:left w:val="none" w:sz="0" w:space="0" w:color="auto"/>
            <w:bottom w:val="none" w:sz="0" w:space="0" w:color="auto"/>
            <w:right w:val="none" w:sz="0" w:space="0" w:color="auto"/>
          </w:divBdr>
        </w:div>
        <w:div w:id="1600675365">
          <w:marLeft w:val="480"/>
          <w:marRight w:val="0"/>
          <w:marTop w:val="0"/>
          <w:marBottom w:val="0"/>
          <w:divBdr>
            <w:top w:val="none" w:sz="0" w:space="0" w:color="auto"/>
            <w:left w:val="none" w:sz="0" w:space="0" w:color="auto"/>
            <w:bottom w:val="none" w:sz="0" w:space="0" w:color="auto"/>
            <w:right w:val="none" w:sz="0" w:space="0" w:color="auto"/>
          </w:divBdr>
        </w:div>
        <w:div w:id="1237087204">
          <w:marLeft w:val="480"/>
          <w:marRight w:val="0"/>
          <w:marTop w:val="0"/>
          <w:marBottom w:val="0"/>
          <w:divBdr>
            <w:top w:val="none" w:sz="0" w:space="0" w:color="auto"/>
            <w:left w:val="none" w:sz="0" w:space="0" w:color="auto"/>
            <w:bottom w:val="none" w:sz="0" w:space="0" w:color="auto"/>
            <w:right w:val="none" w:sz="0" w:space="0" w:color="auto"/>
          </w:divBdr>
        </w:div>
        <w:div w:id="1066146392">
          <w:marLeft w:val="480"/>
          <w:marRight w:val="0"/>
          <w:marTop w:val="0"/>
          <w:marBottom w:val="0"/>
          <w:divBdr>
            <w:top w:val="none" w:sz="0" w:space="0" w:color="auto"/>
            <w:left w:val="none" w:sz="0" w:space="0" w:color="auto"/>
            <w:bottom w:val="none" w:sz="0" w:space="0" w:color="auto"/>
            <w:right w:val="none" w:sz="0" w:space="0" w:color="auto"/>
          </w:divBdr>
        </w:div>
        <w:div w:id="1985768784">
          <w:marLeft w:val="480"/>
          <w:marRight w:val="0"/>
          <w:marTop w:val="0"/>
          <w:marBottom w:val="0"/>
          <w:divBdr>
            <w:top w:val="none" w:sz="0" w:space="0" w:color="auto"/>
            <w:left w:val="none" w:sz="0" w:space="0" w:color="auto"/>
            <w:bottom w:val="none" w:sz="0" w:space="0" w:color="auto"/>
            <w:right w:val="none" w:sz="0" w:space="0" w:color="auto"/>
          </w:divBdr>
        </w:div>
        <w:div w:id="1488670997">
          <w:marLeft w:val="480"/>
          <w:marRight w:val="0"/>
          <w:marTop w:val="0"/>
          <w:marBottom w:val="0"/>
          <w:divBdr>
            <w:top w:val="none" w:sz="0" w:space="0" w:color="auto"/>
            <w:left w:val="none" w:sz="0" w:space="0" w:color="auto"/>
            <w:bottom w:val="none" w:sz="0" w:space="0" w:color="auto"/>
            <w:right w:val="none" w:sz="0" w:space="0" w:color="auto"/>
          </w:divBdr>
        </w:div>
        <w:div w:id="698899950">
          <w:marLeft w:val="480"/>
          <w:marRight w:val="0"/>
          <w:marTop w:val="0"/>
          <w:marBottom w:val="0"/>
          <w:divBdr>
            <w:top w:val="none" w:sz="0" w:space="0" w:color="auto"/>
            <w:left w:val="none" w:sz="0" w:space="0" w:color="auto"/>
            <w:bottom w:val="none" w:sz="0" w:space="0" w:color="auto"/>
            <w:right w:val="none" w:sz="0" w:space="0" w:color="auto"/>
          </w:divBdr>
        </w:div>
        <w:div w:id="822089318">
          <w:marLeft w:val="480"/>
          <w:marRight w:val="0"/>
          <w:marTop w:val="0"/>
          <w:marBottom w:val="0"/>
          <w:divBdr>
            <w:top w:val="none" w:sz="0" w:space="0" w:color="auto"/>
            <w:left w:val="none" w:sz="0" w:space="0" w:color="auto"/>
            <w:bottom w:val="none" w:sz="0" w:space="0" w:color="auto"/>
            <w:right w:val="none" w:sz="0" w:space="0" w:color="auto"/>
          </w:divBdr>
        </w:div>
        <w:div w:id="117259497">
          <w:marLeft w:val="480"/>
          <w:marRight w:val="0"/>
          <w:marTop w:val="0"/>
          <w:marBottom w:val="0"/>
          <w:divBdr>
            <w:top w:val="none" w:sz="0" w:space="0" w:color="auto"/>
            <w:left w:val="none" w:sz="0" w:space="0" w:color="auto"/>
            <w:bottom w:val="none" w:sz="0" w:space="0" w:color="auto"/>
            <w:right w:val="none" w:sz="0" w:space="0" w:color="auto"/>
          </w:divBdr>
        </w:div>
        <w:div w:id="646780551">
          <w:marLeft w:val="480"/>
          <w:marRight w:val="0"/>
          <w:marTop w:val="0"/>
          <w:marBottom w:val="0"/>
          <w:divBdr>
            <w:top w:val="none" w:sz="0" w:space="0" w:color="auto"/>
            <w:left w:val="none" w:sz="0" w:space="0" w:color="auto"/>
            <w:bottom w:val="none" w:sz="0" w:space="0" w:color="auto"/>
            <w:right w:val="none" w:sz="0" w:space="0" w:color="auto"/>
          </w:divBdr>
        </w:div>
        <w:div w:id="1092051964">
          <w:marLeft w:val="480"/>
          <w:marRight w:val="0"/>
          <w:marTop w:val="0"/>
          <w:marBottom w:val="0"/>
          <w:divBdr>
            <w:top w:val="none" w:sz="0" w:space="0" w:color="auto"/>
            <w:left w:val="none" w:sz="0" w:space="0" w:color="auto"/>
            <w:bottom w:val="none" w:sz="0" w:space="0" w:color="auto"/>
            <w:right w:val="none" w:sz="0" w:space="0" w:color="auto"/>
          </w:divBdr>
        </w:div>
        <w:div w:id="864757237">
          <w:marLeft w:val="480"/>
          <w:marRight w:val="0"/>
          <w:marTop w:val="0"/>
          <w:marBottom w:val="0"/>
          <w:divBdr>
            <w:top w:val="none" w:sz="0" w:space="0" w:color="auto"/>
            <w:left w:val="none" w:sz="0" w:space="0" w:color="auto"/>
            <w:bottom w:val="none" w:sz="0" w:space="0" w:color="auto"/>
            <w:right w:val="none" w:sz="0" w:space="0" w:color="auto"/>
          </w:divBdr>
        </w:div>
        <w:div w:id="2079940662">
          <w:marLeft w:val="480"/>
          <w:marRight w:val="0"/>
          <w:marTop w:val="0"/>
          <w:marBottom w:val="0"/>
          <w:divBdr>
            <w:top w:val="none" w:sz="0" w:space="0" w:color="auto"/>
            <w:left w:val="none" w:sz="0" w:space="0" w:color="auto"/>
            <w:bottom w:val="none" w:sz="0" w:space="0" w:color="auto"/>
            <w:right w:val="none" w:sz="0" w:space="0" w:color="auto"/>
          </w:divBdr>
        </w:div>
        <w:div w:id="96603321">
          <w:marLeft w:val="480"/>
          <w:marRight w:val="0"/>
          <w:marTop w:val="0"/>
          <w:marBottom w:val="0"/>
          <w:divBdr>
            <w:top w:val="none" w:sz="0" w:space="0" w:color="auto"/>
            <w:left w:val="none" w:sz="0" w:space="0" w:color="auto"/>
            <w:bottom w:val="none" w:sz="0" w:space="0" w:color="auto"/>
            <w:right w:val="none" w:sz="0" w:space="0" w:color="auto"/>
          </w:divBdr>
        </w:div>
        <w:div w:id="1843931420">
          <w:marLeft w:val="480"/>
          <w:marRight w:val="0"/>
          <w:marTop w:val="0"/>
          <w:marBottom w:val="0"/>
          <w:divBdr>
            <w:top w:val="none" w:sz="0" w:space="0" w:color="auto"/>
            <w:left w:val="none" w:sz="0" w:space="0" w:color="auto"/>
            <w:bottom w:val="none" w:sz="0" w:space="0" w:color="auto"/>
            <w:right w:val="none" w:sz="0" w:space="0" w:color="auto"/>
          </w:divBdr>
        </w:div>
        <w:div w:id="965508481">
          <w:marLeft w:val="480"/>
          <w:marRight w:val="0"/>
          <w:marTop w:val="0"/>
          <w:marBottom w:val="0"/>
          <w:divBdr>
            <w:top w:val="none" w:sz="0" w:space="0" w:color="auto"/>
            <w:left w:val="none" w:sz="0" w:space="0" w:color="auto"/>
            <w:bottom w:val="none" w:sz="0" w:space="0" w:color="auto"/>
            <w:right w:val="none" w:sz="0" w:space="0" w:color="auto"/>
          </w:divBdr>
        </w:div>
        <w:div w:id="1319845706">
          <w:marLeft w:val="480"/>
          <w:marRight w:val="0"/>
          <w:marTop w:val="0"/>
          <w:marBottom w:val="0"/>
          <w:divBdr>
            <w:top w:val="none" w:sz="0" w:space="0" w:color="auto"/>
            <w:left w:val="none" w:sz="0" w:space="0" w:color="auto"/>
            <w:bottom w:val="none" w:sz="0" w:space="0" w:color="auto"/>
            <w:right w:val="none" w:sz="0" w:space="0" w:color="auto"/>
          </w:divBdr>
        </w:div>
        <w:div w:id="1372338152">
          <w:marLeft w:val="480"/>
          <w:marRight w:val="0"/>
          <w:marTop w:val="0"/>
          <w:marBottom w:val="0"/>
          <w:divBdr>
            <w:top w:val="none" w:sz="0" w:space="0" w:color="auto"/>
            <w:left w:val="none" w:sz="0" w:space="0" w:color="auto"/>
            <w:bottom w:val="none" w:sz="0" w:space="0" w:color="auto"/>
            <w:right w:val="none" w:sz="0" w:space="0" w:color="auto"/>
          </w:divBdr>
        </w:div>
      </w:divsChild>
    </w:div>
    <w:div w:id="1760441064">
      <w:bodyDiv w:val="1"/>
      <w:marLeft w:val="0"/>
      <w:marRight w:val="0"/>
      <w:marTop w:val="0"/>
      <w:marBottom w:val="0"/>
      <w:divBdr>
        <w:top w:val="none" w:sz="0" w:space="0" w:color="auto"/>
        <w:left w:val="none" w:sz="0" w:space="0" w:color="auto"/>
        <w:bottom w:val="none" w:sz="0" w:space="0" w:color="auto"/>
        <w:right w:val="none" w:sz="0" w:space="0" w:color="auto"/>
      </w:divBdr>
    </w:div>
    <w:div w:id="1761288911">
      <w:bodyDiv w:val="1"/>
      <w:marLeft w:val="0"/>
      <w:marRight w:val="0"/>
      <w:marTop w:val="0"/>
      <w:marBottom w:val="0"/>
      <w:divBdr>
        <w:top w:val="none" w:sz="0" w:space="0" w:color="auto"/>
        <w:left w:val="none" w:sz="0" w:space="0" w:color="auto"/>
        <w:bottom w:val="none" w:sz="0" w:space="0" w:color="auto"/>
        <w:right w:val="none" w:sz="0" w:space="0" w:color="auto"/>
      </w:divBdr>
    </w:div>
    <w:div w:id="1761297460">
      <w:bodyDiv w:val="1"/>
      <w:marLeft w:val="0"/>
      <w:marRight w:val="0"/>
      <w:marTop w:val="0"/>
      <w:marBottom w:val="0"/>
      <w:divBdr>
        <w:top w:val="none" w:sz="0" w:space="0" w:color="auto"/>
        <w:left w:val="none" w:sz="0" w:space="0" w:color="auto"/>
        <w:bottom w:val="none" w:sz="0" w:space="0" w:color="auto"/>
        <w:right w:val="none" w:sz="0" w:space="0" w:color="auto"/>
      </w:divBdr>
    </w:div>
    <w:div w:id="1761363833">
      <w:bodyDiv w:val="1"/>
      <w:marLeft w:val="0"/>
      <w:marRight w:val="0"/>
      <w:marTop w:val="0"/>
      <w:marBottom w:val="0"/>
      <w:divBdr>
        <w:top w:val="none" w:sz="0" w:space="0" w:color="auto"/>
        <w:left w:val="none" w:sz="0" w:space="0" w:color="auto"/>
        <w:bottom w:val="none" w:sz="0" w:space="0" w:color="auto"/>
        <w:right w:val="none" w:sz="0" w:space="0" w:color="auto"/>
      </w:divBdr>
    </w:div>
    <w:div w:id="1762598667">
      <w:bodyDiv w:val="1"/>
      <w:marLeft w:val="0"/>
      <w:marRight w:val="0"/>
      <w:marTop w:val="0"/>
      <w:marBottom w:val="0"/>
      <w:divBdr>
        <w:top w:val="none" w:sz="0" w:space="0" w:color="auto"/>
        <w:left w:val="none" w:sz="0" w:space="0" w:color="auto"/>
        <w:bottom w:val="none" w:sz="0" w:space="0" w:color="auto"/>
        <w:right w:val="none" w:sz="0" w:space="0" w:color="auto"/>
      </w:divBdr>
    </w:div>
    <w:div w:id="1762872363">
      <w:bodyDiv w:val="1"/>
      <w:marLeft w:val="0"/>
      <w:marRight w:val="0"/>
      <w:marTop w:val="0"/>
      <w:marBottom w:val="0"/>
      <w:divBdr>
        <w:top w:val="none" w:sz="0" w:space="0" w:color="auto"/>
        <w:left w:val="none" w:sz="0" w:space="0" w:color="auto"/>
        <w:bottom w:val="none" w:sz="0" w:space="0" w:color="auto"/>
        <w:right w:val="none" w:sz="0" w:space="0" w:color="auto"/>
      </w:divBdr>
    </w:div>
    <w:div w:id="1763185898">
      <w:bodyDiv w:val="1"/>
      <w:marLeft w:val="0"/>
      <w:marRight w:val="0"/>
      <w:marTop w:val="0"/>
      <w:marBottom w:val="0"/>
      <w:divBdr>
        <w:top w:val="none" w:sz="0" w:space="0" w:color="auto"/>
        <w:left w:val="none" w:sz="0" w:space="0" w:color="auto"/>
        <w:bottom w:val="none" w:sz="0" w:space="0" w:color="auto"/>
        <w:right w:val="none" w:sz="0" w:space="0" w:color="auto"/>
      </w:divBdr>
    </w:div>
    <w:div w:id="1764186857">
      <w:bodyDiv w:val="1"/>
      <w:marLeft w:val="0"/>
      <w:marRight w:val="0"/>
      <w:marTop w:val="0"/>
      <w:marBottom w:val="0"/>
      <w:divBdr>
        <w:top w:val="none" w:sz="0" w:space="0" w:color="auto"/>
        <w:left w:val="none" w:sz="0" w:space="0" w:color="auto"/>
        <w:bottom w:val="none" w:sz="0" w:space="0" w:color="auto"/>
        <w:right w:val="none" w:sz="0" w:space="0" w:color="auto"/>
      </w:divBdr>
    </w:div>
    <w:div w:id="1764304956">
      <w:bodyDiv w:val="1"/>
      <w:marLeft w:val="0"/>
      <w:marRight w:val="0"/>
      <w:marTop w:val="0"/>
      <w:marBottom w:val="0"/>
      <w:divBdr>
        <w:top w:val="none" w:sz="0" w:space="0" w:color="auto"/>
        <w:left w:val="none" w:sz="0" w:space="0" w:color="auto"/>
        <w:bottom w:val="none" w:sz="0" w:space="0" w:color="auto"/>
        <w:right w:val="none" w:sz="0" w:space="0" w:color="auto"/>
      </w:divBdr>
    </w:div>
    <w:div w:id="1764761115">
      <w:bodyDiv w:val="1"/>
      <w:marLeft w:val="0"/>
      <w:marRight w:val="0"/>
      <w:marTop w:val="0"/>
      <w:marBottom w:val="0"/>
      <w:divBdr>
        <w:top w:val="none" w:sz="0" w:space="0" w:color="auto"/>
        <w:left w:val="none" w:sz="0" w:space="0" w:color="auto"/>
        <w:bottom w:val="none" w:sz="0" w:space="0" w:color="auto"/>
        <w:right w:val="none" w:sz="0" w:space="0" w:color="auto"/>
      </w:divBdr>
    </w:div>
    <w:div w:id="1765102492">
      <w:bodyDiv w:val="1"/>
      <w:marLeft w:val="0"/>
      <w:marRight w:val="0"/>
      <w:marTop w:val="0"/>
      <w:marBottom w:val="0"/>
      <w:divBdr>
        <w:top w:val="none" w:sz="0" w:space="0" w:color="auto"/>
        <w:left w:val="none" w:sz="0" w:space="0" w:color="auto"/>
        <w:bottom w:val="none" w:sz="0" w:space="0" w:color="auto"/>
        <w:right w:val="none" w:sz="0" w:space="0" w:color="auto"/>
      </w:divBdr>
    </w:div>
    <w:div w:id="1765417903">
      <w:bodyDiv w:val="1"/>
      <w:marLeft w:val="0"/>
      <w:marRight w:val="0"/>
      <w:marTop w:val="0"/>
      <w:marBottom w:val="0"/>
      <w:divBdr>
        <w:top w:val="none" w:sz="0" w:space="0" w:color="auto"/>
        <w:left w:val="none" w:sz="0" w:space="0" w:color="auto"/>
        <w:bottom w:val="none" w:sz="0" w:space="0" w:color="auto"/>
        <w:right w:val="none" w:sz="0" w:space="0" w:color="auto"/>
      </w:divBdr>
    </w:div>
    <w:div w:id="1765493001">
      <w:bodyDiv w:val="1"/>
      <w:marLeft w:val="0"/>
      <w:marRight w:val="0"/>
      <w:marTop w:val="0"/>
      <w:marBottom w:val="0"/>
      <w:divBdr>
        <w:top w:val="none" w:sz="0" w:space="0" w:color="auto"/>
        <w:left w:val="none" w:sz="0" w:space="0" w:color="auto"/>
        <w:bottom w:val="none" w:sz="0" w:space="0" w:color="auto"/>
        <w:right w:val="none" w:sz="0" w:space="0" w:color="auto"/>
      </w:divBdr>
    </w:div>
    <w:div w:id="1765956606">
      <w:bodyDiv w:val="1"/>
      <w:marLeft w:val="0"/>
      <w:marRight w:val="0"/>
      <w:marTop w:val="0"/>
      <w:marBottom w:val="0"/>
      <w:divBdr>
        <w:top w:val="none" w:sz="0" w:space="0" w:color="auto"/>
        <w:left w:val="none" w:sz="0" w:space="0" w:color="auto"/>
        <w:bottom w:val="none" w:sz="0" w:space="0" w:color="auto"/>
        <w:right w:val="none" w:sz="0" w:space="0" w:color="auto"/>
      </w:divBdr>
    </w:div>
    <w:div w:id="1766338229">
      <w:bodyDiv w:val="1"/>
      <w:marLeft w:val="0"/>
      <w:marRight w:val="0"/>
      <w:marTop w:val="0"/>
      <w:marBottom w:val="0"/>
      <w:divBdr>
        <w:top w:val="none" w:sz="0" w:space="0" w:color="auto"/>
        <w:left w:val="none" w:sz="0" w:space="0" w:color="auto"/>
        <w:bottom w:val="none" w:sz="0" w:space="0" w:color="auto"/>
        <w:right w:val="none" w:sz="0" w:space="0" w:color="auto"/>
      </w:divBdr>
    </w:div>
    <w:div w:id="1766611624">
      <w:bodyDiv w:val="1"/>
      <w:marLeft w:val="0"/>
      <w:marRight w:val="0"/>
      <w:marTop w:val="0"/>
      <w:marBottom w:val="0"/>
      <w:divBdr>
        <w:top w:val="none" w:sz="0" w:space="0" w:color="auto"/>
        <w:left w:val="none" w:sz="0" w:space="0" w:color="auto"/>
        <w:bottom w:val="none" w:sz="0" w:space="0" w:color="auto"/>
        <w:right w:val="none" w:sz="0" w:space="0" w:color="auto"/>
      </w:divBdr>
    </w:div>
    <w:div w:id="1766874664">
      <w:bodyDiv w:val="1"/>
      <w:marLeft w:val="0"/>
      <w:marRight w:val="0"/>
      <w:marTop w:val="0"/>
      <w:marBottom w:val="0"/>
      <w:divBdr>
        <w:top w:val="none" w:sz="0" w:space="0" w:color="auto"/>
        <w:left w:val="none" w:sz="0" w:space="0" w:color="auto"/>
        <w:bottom w:val="none" w:sz="0" w:space="0" w:color="auto"/>
        <w:right w:val="none" w:sz="0" w:space="0" w:color="auto"/>
      </w:divBdr>
    </w:div>
    <w:div w:id="1766881354">
      <w:bodyDiv w:val="1"/>
      <w:marLeft w:val="0"/>
      <w:marRight w:val="0"/>
      <w:marTop w:val="0"/>
      <w:marBottom w:val="0"/>
      <w:divBdr>
        <w:top w:val="none" w:sz="0" w:space="0" w:color="auto"/>
        <w:left w:val="none" w:sz="0" w:space="0" w:color="auto"/>
        <w:bottom w:val="none" w:sz="0" w:space="0" w:color="auto"/>
        <w:right w:val="none" w:sz="0" w:space="0" w:color="auto"/>
      </w:divBdr>
    </w:div>
    <w:div w:id="1767339279">
      <w:bodyDiv w:val="1"/>
      <w:marLeft w:val="0"/>
      <w:marRight w:val="0"/>
      <w:marTop w:val="0"/>
      <w:marBottom w:val="0"/>
      <w:divBdr>
        <w:top w:val="none" w:sz="0" w:space="0" w:color="auto"/>
        <w:left w:val="none" w:sz="0" w:space="0" w:color="auto"/>
        <w:bottom w:val="none" w:sz="0" w:space="0" w:color="auto"/>
        <w:right w:val="none" w:sz="0" w:space="0" w:color="auto"/>
      </w:divBdr>
    </w:div>
    <w:div w:id="1767652171">
      <w:bodyDiv w:val="1"/>
      <w:marLeft w:val="0"/>
      <w:marRight w:val="0"/>
      <w:marTop w:val="0"/>
      <w:marBottom w:val="0"/>
      <w:divBdr>
        <w:top w:val="none" w:sz="0" w:space="0" w:color="auto"/>
        <w:left w:val="none" w:sz="0" w:space="0" w:color="auto"/>
        <w:bottom w:val="none" w:sz="0" w:space="0" w:color="auto"/>
        <w:right w:val="none" w:sz="0" w:space="0" w:color="auto"/>
      </w:divBdr>
    </w:div>
    <w:div w:id="1769348288">
      <w:bodyDiv w:val="1"/>
      <w:marLeft w:val="0"/>
      <w:marRight w:val="0"/>
      <w:marTop w:val="0"/>
      <w:marBottom w:val="0"/>
      <w:divBdr>
        <w:top w:val="none" w:sz="0" w:space="0" w:color="auto"/>
        <w:left w:val="none" w:sz="0" w:space="0" w:color="auto"/>
        <w:bottom w:val="none" w:sz="0" w:space="0" w:color="auto"/>
        <w:right w:val="none" w:sz="0" w:space="0" w:color="auto"/>
      </w:divBdr>
    </w:div>
    <w:div w:id="1769766079">
      <w:bodyDiv w:val="1"/>
      <w:marLeft w:val="0"/>
      <w:marRight w:val="0"/>
      <w:marTop w:val="0"/>
      <w:marBottom w:val="0"/>
      <w:divBdr>
        <w:top w:val="none" w:sz="0" w:space="0" w:color="auto"/>
        <w:left w:val="none" w:sz="0" w:space="0" w:color="auto"/>
        <w:bottom w:val="none" w:sz="0" w:space="0" w:color="auto"/>
        <w:right w:val="none" w:sz="0" w:space="0" w:color="auto"/>
      </w:divBdr>
    </w:div>
    <w:div w:id="1769885161">
      <w:bodyDiv w:val="1"/>
      <w:marLeft w:val="0"/>
      <w:marRight w:val="0"/>
      <w:marTop w:val="0"/>
      <w:marBottom w:val="0"/>
      <w:divBdr>
        <w:top w:val="none" w:sz="0" w:space="0" w:color="auto"/>
        <w:left w:val="none" w:sz="0" w:space="0" w:color="auto"/>
        <w:bottom w:val="none" w:sz="0" w:space="0" w:color="auto"/>
        <w:right w:val="none" w:sz="0" w:space="0" w:color="auto"/>
      </w:divBdr>
    </w:div>
    <w:div w:id="1770656785">
      <w:bodyDiv w:val="1"/>
      <w:marLeft w:val="0"/>
      <w:marRight w:val="0"/>
      <w:marTop w:val="0"/>
      <w:marBottom w:val="0"/>
      <w:divBdr>
        <w:top w:val="none" w:sz="0" w:space="0" w:color="auto"/>
        <w:left w:val="none" w:sz="0" w:space="0" w:color="auto"/>
        <w:bottom w:val="none" w:sz="0" w:space="0" w:color="auto"/>
        <w:right w:val="none" w:sz="0" w:space="0" w:color="auto"/>
      </w:divBdr>
    </w:div>
    <w:div w:id="1771197764">
      <w:bodyDiv w:val="1"/>
      <w:marLeft w:val="0"/>
      <w:marRight w:val="0"/>
      <w:marTop w:val="0"/>
      <w:marBottom w:val="0"/>
      <w:divBdr>
        <w:top w:val="none" w:sz="0" w:space="0" w:color="auto"/>
        <w:left w:val="none" w:sz="0" w:space="0" w:color="auto"/>
        <w:bottom w:val="none" w:sz="0" w:space="0" w:color="auto"/>
        <w:right w:val="none" w:sz="0" w:space="0" w:color="auto"/>
      </w:divBdr>
    </w:div>
    <w:div w:id="1772311556">
      <w:bodyDiv w:val="1"/>
      <w:marLeft w:val="0"/>
      <w:marRight w:val="0"/>
      <w:marTop w:val="0"/>
      <w:marBottom w:val="0"/>
      <w:divBdr>
        <w:top w:val="none" w:sz="0" w:space="0" w:color="auto"/>
        <w:left w:val="none" w:sz="0" w:space="0" w:color="auto"/>
        <w:bottom w:val="none" w:sz="0" w:space="0" w:color="auto"/>
        <w:right w:val="none" w:sz="0" w:space="0" w:color="auto"/>
      </w:divBdr>
    </w:div>
    <w:div w:id="1772435727">
      <w:bodyDiv w:val="1"/>
      <w:marLeft w:val="0"/>
      <w:marRight w:val="0"/>
      <w:marTop w:val="0"/>
      <w:marBottom w:val="0"/>
      <w:divBdr>
        <w:top w:val="none" w:sz="0" w:space="0" w:color="auto"/>
        <w:left w:val="none" w:sz="0" w:space="0" w:color="auto"/>
        <w:bottom w:val="none" w:sz="0" w:space="0" w:color="auto"/>
        <w:right w:val="none" w:sz="0" w:space="0" w:color="auto"/>
      </w:divBdr>
    </w:div>
    <w:div w:id="1772696526">
      <w:bodyDiv w:val="1"/>
      <w:marLeft w:val="0"/>
      <w:marRight w:val="0"/>
      <w:marTop w:val="0"/>
      <w:marBottom w:val="0"/>
      <w:divBdr>
        <w:top w:val="none" w:sz="0" w:space="0" w:color="auto"/>
        <w:left w:val="none" w:sz="0" w:space="0" w:color="auto"/>
        <w:bottom w:val="none" w:sz="0" w:space="0" w:color="auto"/>
        <w:right w:val="none" w:sz="0" w:space="0" w:color="auto"/>
      </w:divBdr>
    </w:div>
    <w:div w:id="1773280164">
      <w:bodyDiv w:val="1"/>
      <w:marLeft w:val="0"/>
      <w:marRight w:val="0"/>
      <w:marTop w:val="0"/>
      <w:marBottom w:val="0"/>
      <w:divBdr>
        <w:top w:val="none" w:sz="0" w:space="0" w:color="auto"/>
        <w:left w:val="none" w:sz="0" w:space="0" w:color="auto"/>
        <w:bottom w:val="none" w:sz="0" w:space="0" w:color="auto"/>
        <w:right w:val="none" w:sz="0" w:space="0" w:color="auto"/>
      </w:divBdr>
    </w:div>
    <w:div w:id="1773357387">
      <w:bodyDiv w:val="1"/>
      <w:marLeft w:val="0"/>
      <w:marRight w:val="0"/>
      <w:marTop w:val="0"/>
      <w:marBottom w:val="0"/>
      <w:divBdr>
        <w:top w:val="none" w:sz="0" w:space="0" w:color="auto"/>
        <w:left w:val="none" w:sz="0" w:space="0" w:color="auto"/>
        <w:bottom w:val="none" w:sz="0" w:space="0" w:color="auto"/>
        <w:right w:val="none" w:sz="0" w:space="0" w:color="auto"/>
      </w:divBdr>
    </w:div>
    <w:div w:id="1773432981">
      <w:bodyDiv w:val="1"/>
      <w:marLeft w:val="0"/>
      <w:marRight w:val="0"/>
      <w:marTop w:val="0"/>
      <w:marBottom w:val="0"/>
      <w:divBdr>
        <w:top w:val="none" w:sz="0" w:space="0" w:color="auto"/>
        <w:left w:val="none" w:sz="0" w:space="0" w:color="auto"/>
        <w:bottom w:val="none" w:sz="0" w:space="0" w:color="auto"/>
        <w:right w:val="none" w:sz="0" w:space="0" w:color="auto"/>
      </w:divBdr>
    </w:div>
    <w:div w:id="1774327017">
      <w:bodyDiv w:val="1"/>
      <w:marLeft w:val="0"/>
      <w:marRight w:val="0"/>
      <w:marTop w:val="0"/>
      <w:marBottom w:val="0"/>
      <w:divBdr>
        <w:top w:val="none" w:sz="0" w:space="0" w:color="auto"/>
        <w:left w:val="none" w:sz="0" w:space="0" w:color="auto"/>
        <w:bottom w:val="none" w:sz="0" w:space="0" w:color="auto"/>
        <w:right w:val="none" w:sz="0" w:space="0" w:color="auto"/>
      </w:divBdr>
    </w:div>
    <w:div w:id="1774544871">
      <w:bodyDiv w:val="1"/>
      <w:marLeft w:val="0"/>
      <w:marRight w:val="0"/>
      <w:marTop w:val="0"/>
      <w:marBottom w:val="0"/>
      <w:divBdr>
        <w:top w:val="none" w:sz="0" w:space="0" w:color="auto"/>
        <w:left w:val="none" w:sz="0" w:space="0" w:color="auto"/>
        <w:bottom w:val="none" w:sz="0" w:space="0" w:color="auto"/>
        <w:right w:val="none" w:sz="0" w:space="0" w:color="auto"/>
      </w:divBdr>
    </w:div>
    <w:div w:id="1776167058">
      <w:bodyDiv w:val="1"/>
      <w:marLeft w:val="0"/>
      <w:marRight w:val="0"/>
      <w:marTop w:val="0"/>
      <w:marBottom w:val="0"/>
      <w:divBdr>
        <w:top w:val="none" w:sz="0" w:space="0" w:color="auto"/>
        <w:left w:val="none" w:sz="0" w:space="0" w:color="auto"/>
        <w:bottom w:val="none" w:sz="0" w:space="0" w:color="auto"/>
        <w:right w:val="none" w:sz="0" w:space="0" w:color="auto"/>
      </w:divBdr>
    </w:div>
    <w:div w:id="1776249318">
      <w:bodyDiv w:val="1"/>
      <w:marLeft w:val="0"/>
      <w:marRight w:val="0"/>
      <w:marTop w:val="0"/>
      <w:marBottom w:val="0"/>
      <w:divBdr>
        <w:top w:val="none" w:sz="0" w:space="0" w:color="auto"/>
        <w:left w:val="none" w:sz="0" w:space="0" w:color="auto"/>
        <w:bottom w:val="none" w:sz="0" w:space="0" w:color="auto"/>
        <w:right w:val="none" w:sz="0" w:space="0" w:color="auto"/>
      </w:divBdr>
    </w:div>
    <w:div w:id="1776558071">
      <w:bodyDiv w:val="1"/>
      <w:marLeft w:val="0"/>
      <w:marRight w:val="0"/>
      <w:marTop w:val="0"/>
      <w:marBottom w:val="0"/>
      <w:divBdr>
        <w:top w:val="none" w:sz="0" w:space="0" w:color="auto"/>
        <w:left w:val="none" w:sz="0" w:space="0" w:color="auto"/>
        <w:bottom w:val="none" w:sz="0" w:space="0" w:color="auto"/>
        <w:right w:val="none" w:sz="0" w:space="0" w:color="auto"/>
      </w:divBdr>
    </w:div>
    <w:div w:id="1776825003">
      <w:bodyDiv w:val="1"/>
      <w:marLeft w:val="0"/>
      <w:marRight w:val="0"/>
      <w:marTop w:val="0"/>
      <w:marBottom w:val="0"/>
      <w:divBdr>
        <w:top w:val="none" w:sz="0" w:space="0" w:color="auto"/>
        <w:left w:val="none" w:sz="0" w:space="0" w:color="auto"/>
        <w:bottom w:val="none" w:sz="0" w:space="0" w:color="auto"/>
        <w:right w:val="none" w:sz="0" w:space="0" w:color="auto"/>
      </w:divBdr>
    </w:div>
    <w:div w:id="1777749174">
      <w:bodyDiv w:val="1"/>
      <w:marLeft w:val="0"/>
      <w:marRight w:val="0"/>
      <w:marTop w:val="0"/>
      <w:marBottom w:val="0"/>
      <w:divBdr>
        <w:top w:val="none" w:sz="0" w:space="0" w:color="auto"/>
        <w:left w:val="none" w:sz="0" w:space="0" w:color="auto"/>
        <w:bottom w:val="none" w:sz="0" w:space="0" w:color="auto"/>
        <w:right w:val="none" w:sz="0" w:space="0" w:color="auto"/>
      </w:divBdr>
    </w:div>
    <w:div w:id="1777795734">
      <w:bodyDiv w:val="1"/>
      <w:marLeft w:val="0"/>
      <w:marRight w:val="0"/>
      <w:marTop w:val="0"/>
      <w:marBottom w:val="0"/>
      <w:divBdr>
        <w:top w:val="none" w:sz="0" w:space="0" w:color="auto"/>
        <w:left w:val="none" w:sz="0" w:space="0" w:color="auto"/>
        <w:bottom w:val="none" w:sz="0" w:space="0" w:color="auto"/>
        <w:right w:val="none" w:sz="0" w:space="0" w:color="auto"/>
      </w:divBdr>
    </w:div>
    <w:div w:id="1779372144">
      <w:bodyDiv w:val="1"/>
      <w:marLeft w:val="0"/>
      <w:marRight w:val="0"/>
      <w:marTop w:val="0"/>
      <w:marBottom w:val="0"/>
      <w:divBdr>
        <w:top w:val="none" w:sz="0" w:space="0" w:color="auto"/>
        <w:left w:val="none" w:sz="0" w:space="0" w:color="auto"/>
        <w:bottom w:val="none" w:sz="0" w:space="0" w:color="auto"/>
        <w:right w:val="none" w:sz="0" w:space="0" w:color="auto"/>
      </w:divBdr>
    </w:div>
    <w:div w:id="1780176866">
      <w:bodyDiv w:val="1"/>
      <w:marLeft w:val="0"/>
      <w:marRight w:val="0"/>
      <w:marTop w:val="0"/>
      <w:marBottom w:val="0"/>
      <w:divBdr>
        <w:top w:val="none" w:sz="0" w:space="0" w:color="auto"/>
        <w:left w:val="none" w:sz="0" w:space="0" w:color="auto"/>
        <w:bottom w:val="none" w:sz="0" w:space="0" w:color="auto"/>
        <w:right w:val="none" w:sz="0" w:space="0" w:color="auto"/>
      </w:divBdr>
    </w:div>
    <w:div w:id="1781217829">
      <w:bodyDiv w:val="1"/>
      <w:marLeft w:val="0"/>
      <w:marRight w:val="0"/>
      <w:marTop w:val="0"/>
      <w:marBottom w:val="0"/>
      <w:divBdr>
        <w:top w:val="none" w:sz="0" w:space="0" w:color="auto"/>
        <w:left w:val="none" w:sz="0" w:space="0" w:color="auto"/>
        <w:bottom w:val="none" w:sz="0" w:space="0" w:color="auto"/>
        <w:right w:val="none" w:sz="0" w:space="0" w:color="auto"/>
      </w:divBdr>
    </w:div>
    <w:div w:id="1781220546">
      <w:bodyDiv w:val="1"/>
      <w:marLeft w:val="0"/>
      <w:marRight w:val="0"/>
      <w:marTop w:val="0"/>
      <w:marBottom w:val="0"/>
      <w:divBdr>
        <w:top w:val="none" w:sz="0" w:space="0" w:color="auto"/>
        <w:left w:val="none" w:sz="0" w:space="0" w:color="auto"/>
        <w:bottom w:val="none" w:sz="0" w:space="0" w:color="auto"/>
        <w:right w:val="none" w:sz="0" w:space="0" w:color="auto"/>
      </w:divBdr>
    </w:div>
    <w:div w:id="1784228480">
      <w:bodyDiv w:val="1"/>
      <w:marLeft w:val="0"/>
      <w:marRight w:val="0"/>
      <w:marTop w:val="0"/>
      <w:marBottom w:val="0"/>
      <w:divBdr>
        <w:top w:val="none" w:sz="0" w:space="0" w:color="auto"/>
        <w:left w:val="none" w:sz="0" w:space="0" w:color="auto"/>
        <w:bottom w:val="none" w:sz="0" w:space="0" w:color="auto"/>
        <w:right w:val="none" w:sz="0" w:space="0" w:color="auto"/>
      </w:divBdr>
    </w:div>
    <w:div w:id="1784375098">
      <w:bodyDiv w:val="1"/>
      <w:marLeft w:val="0"/>
      <w:marRight w:val="0"/>
      <w:marTop w:val="0"/>
      <w:marBottom w:val="0"/>
      <w:divBdr>
        <w:top w:val="none" w:sz="0" w:space="0" w:color="auto"/>
        <w:left w:val="none" w:sz="0" w:space="0" w:color="auto"/>
        <w:bottom w:val="none" w:sz="0" w:space="0" w:color="auto"/>
        <w:right w:val="none" w:sz="0" w:space="0" w:color="auto"/>
      </w:divBdr>
    </w:div>
    <w:div w:id="1784424234">
      <w:bodyDiv w:val="1"/>
      <w:marLeft w:val="0"/>
      <w:marRight w:val="0"/>
      <w:marTop w:val="0"/>
      <w:marBottom w:val="0"/>
      <w:divBdr>
        <w:top w:val="none" w:sz="0" w:space="0" w:color="auto"/>
        <w:left w:val="none" w:sz="0" w:space="0" w:color="auto"/>
        <w:bottom w:val="none" w:sz="0" w:space="0" w:color="auto"/>
        <w:right w:val="none" w:sz="0" w:space="0" w:color="auto"/>
      </w:divBdr>
    </w:div>
    <w:div w:id="1785036075">
      <w:bodyDiv w:val="1"/>
      <w:marLeft w:val="0"/>
      <w:marRight w:val="0"/>
      <w:marTop w:val="0"/>
      <w:marBottom w:val="0"/>
      <w:divBdr>
        <w:top w:val="none" w:sz="0" w:space="0" w:color="auto"/>
        <w:left w:val="none" w:sz="0" w:space="0" w:color="auto"/>
        <w:bottom w:val="none" w:sz="0" w:space="0" w:color="auto"/>
        <w:right w:val="none" w:sz="0" w:space="0" w:color="auto"/>
      </w:divBdr>
    </w:div>
    <w:div w:id="1785271490">
      <w:bodyDiv w:val="1"/>
      <w:marLeft w:val="0"/>
      <w:marRight w:val="0"/>
      <w:marTop w:val="0"/>
      <w:marBottom w:val="0"/>
      <w:divBdr>
        <w:top w:val="none" w:sz="0" w:space="0" w:color="auto"/>
        <w:left w:val="none" w:sz="0" w:space="0" w:color="auto"/>
        <w:bottom w:val="none" w:sz="0" w:space="0" w:color="auto"/>
        <w:right w:val="none" w:sz="0" w:space="0" w:color="auto"/>
      </w:divBdr>
    </w:div>
    <w:div w:id="1785272480">
      <w:bodyDiv w:val="1"/>
      <w:marLeft w:val="0"/>
      <w:marRight w:val="0"/>
      <w:marTop w:val="0"/>
      <w:marBottom w:val="0"/>
      <w:divBdr>
        <w:top w:val="none" w:sz="0" w:space="0" w:color="auto"/>
        <w:left w:val="none" w:sz="0" w:space="0" w:color="auto"/>
        <w:bottom w:val="none" w:sz="0" w:space="0" w:color="auto"/>
        <w:right w:val="none" w:sz="0" w:space="0" w:color="auto"/>
      </w:divBdr>
    </w:div>
    <w:div w:id="1785684182">
      <w:bodyDiv w:val="1"/>
      <w:marLeft w:val="0"/>
      <w:marRight w:val="0"/>
      <w:marTop w:val="0"/>
      <w:marBottom w:val="0"/>
      <w:divBdr>
        <w:top w:val="none" w:sz="0" w:space="0" w:color="auto"/>
        <w:left w:val="none" w:sz="0" w:space="0" w:color="auto"/>
        <w:bottom w:val="none" w:sz="0" w:space="0" w:color="auto"/>
        <w:right w:val="none" w:sz="0" w:space="0" w:color="auto"/>
      </w:divBdr>
    </w:div>
    <w:div w:id="1785690309">
      <w:bodyDiv w:val="1"/>
      <w:marLeft w:val="0"/>
      <w:marRight w:val="0"/>
      <w:marTop w:val="0"/>
      <w:marBottom w:val="0"/>
      <w:divBdr>
        <w:top w:val="none" w:sz="0" w:space="0" w:color="auto"/>
        <w:left w:val="none" w:sz="0" w:space="0" w:color="auto"/>
        <w:bottom w:val="none" w:sz="0" w:space="0" w:color="auto"/>
        <w:right w:val="none" w:sz="0" w:space="0" w:color="auto"/>
      </w:divBdr>
    </w:div>
    <w:div w:id="1786119802">
      <w:bodyDiv w:val="1"/>
      <w:marLeft w:val="0"/>
      <w:marRight w:val="0"/>
      <w:marTop w:val="0"/>
      <w:marBottom w:val="0"/>
      <w:divBdr>
        <w:top w:val="none" w:sz="0" w:space="0" w:color="auto"/>
        <w:left w:val="none" w:sz="0" w:space="0" w:color="auto"/>
        <w:bottom w:val="none" w:sz="0" w:space="0" w:color="auto"/>
        <w:right w:val="none" w:sz="0" w:space="0" w:color="auto"/>
      </w:divBdr>
    </w:div>
    <w:div w:id="1786340855">
      <w:bodyDiv w:val="1"/>
      <w:marLeft w:val="0"/>
      <w:marRight w:val="0"/>
      <w:marTop w:val="0"/>
      <w:marBottom w:val="0"/>
      <w:divBdr>
        <w:top w:val="none" w:sz="0" w:space="0" w:color="auto"/>
        <w:left w:val="none" w:sz="0" w:space="0" w:color="auto"/>
        <w:bottom w:val="none" w:sz="0" w:space="0" w:color="auto"/>
        <w:right w:val="none" w:sz="0" w:space="0" w:color="auto"/>
      </w:divBdr>
    </w:div>
    <w:div w:id="1786609307">
      <w:bodyDiv w:val="1"/>
      <w:marLeft w:val="0"/>
      <w:marRight w:val="0"/>
      <w:marTop w:val="0"/>
      <w:marBottom w:val="0"/>
      <w:divBdr>
        <w:top w:val="none" w:sz="0" w:space="0" w:color="auto"/>
        <w:left w:val="none" w:sz="0" w:space="0" w:color="auto"/>
        <w:bottom w:val="none" w:sz="0" w:space="0" w:color="auto"/>
        <w:right w:val="none" w:sz="0" w:space="0" w:color="auto"/>
      </w:divBdr>
    </w:div>
    <w:div w:id="1787461121">
      <w:bodyDiv w:val="1"/>
      <w:marLeft w:val="0"/>
      <w:marRight w:val="0"/>
      <w:marTop w:val="0"/>
      <w:marBottom w:val="0"/>
      <w:divBdr>
        <w:top w:val="none" w:sz="0" w:space="0" w:color="auto"/>
        <w:left w:val="none" w:sz="0" w:space="0" w:color="auto"/>
        <w:bottom w:val="none" w:sz="0" w:space="0" w:color="auto"/>
        <w:right w:val="none" w:sz="0" w:space="0" w:color="auto"/>
      </w:divBdr>
    </w:div>
    <w:div w:id="1787654062">
      <w:bodyDiv w:val="1"/>
      <w:marLeft w:val="0"/>
      <w:marRight w:val="0"/>
      <w:marTop w:val="0"/>
      <w:marBottom w:val="0"/>
      <w:divBdr>
        <w:top w:val="none" w:sz="0" w:space="0" w:color="auto"/>
        <w:left w:val="none" w:sz="0" w:space="0" w:color="auto"/>
        <w:bottom w:val="none" w:sz="0" w:space="0" w:color="auto"/>
        <w:right w:val="none" w:sz="0" w:space="0" w:color="auto"/>
      </w:divBdr>
    </w:div>
    <w:div w:id="1788351684">
      <w:bodyDiv w:val="1"/>
      <w:marLeft w:val="0"/>
      <w:marRight w:val="0"/>
      <w:marTop w:val="0"/>
      <w:marBottom w:val="0"/>
      <w:divBdr>
        <w:top w:val="none" w:sz="0" w:space="0" w:color="auto"/>
        <w:left w:val="none" w:sz="0" w:space="0" w:color="auto"/>
        <w:bottom w:val="none" w:sz="0" w:space="0" w:color="auto"/>
        <w:right w:val="none" w:sz="0" w:space="0" w:color="auto"/>
      </w:divBdr>
    </w:div>
    <w:div w:id="1788624757">
      <w:bodyDiv w:val="1"/>
      <w:marLeft w:val="0"/>
      <w:marRight w:val="0"/>
      <w:marTop w:val="0"/>
      <w:marBottom w:val="0"/>
      <w:divBdr>
        <w:top w:val="none" w:sz="0" w:space="0" w:color="auto"/>
        <w:left w:val="none" w:sz="0" w:space="0" w:color="auto"/>
        <w:bottom w:val="none" w:sz="0" w:space="0" w:color="auto"/>
        <w:right w:val="none" w:sz="0" w:space="0" w:color="auto"/>
      </w:divBdr>
    </w:div>
    <w:div w:id="1789155788">
      <w:bodyDiv w:val="1"/>
      <w:marLeft w:val="0"/>
      <w:marRight w:val="0"/>
      <w:marTop w:val="0"/>
      <w:marBottom w:val="0"/>
      <w:divBdr>
        <w:top w:val="none" w:sz="0" w:space="0" w:color="auto"/>
        <w:left w:val="none" w:sz="0" w:space="0" w:color="auto"/>
        <w:bottom w:val="none" w:sz="0" w:space="0" w:color="auto"/>
        <w:right w:val="none" w:sz="0" w:space="0" w:color="auto"/>
      </w:divBdr>
    </w:div>
    <w:div w:id="1790008460">
      <w:bodyDiv w:val="1"/>
      <w:marLeft w:val="0"/>
      <w:marRight w:val="0"/>
      <w:marTop w:val="0"/>
      <w:marBottom w:val="0"/>
      <w:divBdr>
        <w:top w:val="none" w:sz="0" w:space="0" w:color="auto"/>
        <w:left w:val="none" w:sz="0" w:space="0" w:color="auto"/>
        <w:bottom w:val="none" w:sz="0" w:space="0" w:color="auto"/>
        <w:right w:val="none" w:sz="0" w:space="0" w:color="auto"/>
      </w:divBdr>
    </w:div>
    <w:div w:id="1790855545">
      <w:bodyDiv w:val="1"/>
      <w:marLeft w:val="0"/>
      <w:marRight w:val="0"/>
      <w:marTop w:val="0"/>
      <w:marBottom w:val="0"/>
      <w:divBdr>
        <w:top w:val="none" w:sz="0" w:space="0" w:color="auto"/>
        <w:left w:val="none" w:sz="0" w:space="0" w:color="auto"/>
        <w:bottom w:val="none" w:sz="0" w:space="0" w:color="auto"/>
        <w:right w:val="none" w:sz="0" w:space="0" w:color="auto"/>
      </w:divBdr>
    </w:div>
    <w:div w:id="1791048757">
      <w:bodyDiv w:val="1"/>
      <w:marLeft w:val="0"/>
      <w:marRight w:val="0"/>
      <w:marTop w:val="0"/>
      <w:marBottom w:val="0"/>
      <w:divBdr>
        <w:top w:val="none" w:sz="0" w:space="0" w:color="auto"/>
        <w:left w:val="none" w:sz="0" w:space="0" w:color="auto"/>
        <w:bottom w:val="none" w:sz="0" w:space="0" w:color="auto"/>
        <w:right w:val="none" w:sz="0" w:space="0" w:color="auto"/>
      </w:divBdr>
    </w:div>
    <w:div w:id="1791318909">
      <w:bodyDiv w:val="1"/>
      <w:marLeft w:val="0"/>
      <w:marRight w:val="0"/>
      <w:marTop w:val="0"/>
      <w:marBottom w:val="0"/>
      <w:divBdr>
        <w:top w:val="none" w:sz="0" w:space="0" w:color="auto"/>
        <w:left w:val="none" w:sz="0" w:space="0" w:color="auto"/>
        <w:bottom w:val="none" w:sz="0" w:space="0" w:color="auto"/>
        <w:right w:val="none" w:sz="0" w:space="0" w:color="auto"/>
      </w:divBdr>
    </w:div>
    <w:div w:id="1791507049">
      <w:bodyDiv w:val="1"/>
      <w:marLeft w:val="0"/>
      <w:marRight w:val="0"/>
      <w:marTop w:val="0"/>
      <w:marBottom w:val="0"/>
      <w:divBdr>
        <w:top w:val="none" w:sz="0" w:space="0" w:color="auto"/>
        <w:left w:val="none" w:sz="0" w:space="0" w:color="auto"/>
        <w:bottom w:val="none" w:sz="0" w:space="0" w:color="auto"/>
        <w:right w:val="none" w:sz="0" w:space="0" w:color="auto"/>
      </w:divBdr>
    </w:div>
    <w:div w:id="1791902253">
      <w:bodyDiv w:val="1"/>
      <w:marLeft w:val="0"/>
      <w:marRight w:val="0"/>
      <w:marTop w:val="0"/>
      <w:marBottom w:val="0"/>
      <w:divBdr>
        <w:top w:val="none" w:sz="0" w:space="0" w:color="auto"/>
        <w:left w:val="none" w:sz="0" w:space="0" w:color="auto"/>
        <w:bottom w:val="none" w:sz="0" w:space="0" w:color="auto"/>
        <w:right w:val="none" w:sz="0" w:space="0" w:color="auto"/>
      </w:divBdr>
    </w:div>
    <w:div w:id="1793939401">
      <w:bodyDiv w:val="1"/>
      <w:marLeft w:val="0"/>
      <w:marRight w:val="0"/>
      <w:marTop w:val="0"/>
      <w:marBottom w:val="0"/>
      <w:divBdr>
        <w:top w:val="none" w:sz="0" w:space="0" w:color="auto"/>
        <w:left w:val="none" w:sz="0" w:space="0" w:color="auto"/>
        <w:bottom w:val="none" w:sz="0" w:space="0" w:color="auto"/>
        <w:right w:val="none" w:sz="0" w:space="0" w:color="auto"/>
      </w:divBdr>
    </w:div>
    <w:div w:id="1794202631">
      <w:bodyDiv w:val="1"/>
      <w:marLeft w:val="0"/>
      <w:marRight w:val="0"/>
      <w:marTop w:val="0"/>
      <w:marBottom w:val="0"/>
      <w:divBdr>
        <w:top w:val="none" w:sz="0" w:space="0" w:color="auto"/>
        <w:left w:val="none" w:sz="0" w:space="0" w:color="auto"/>
        <w:bottom w:val="none" w:sz="0" w:space="0" w:color="auto"/>
        <w:right w:val="none" w:sz="0" w:space="0" w:color="auto"/>
      </w:divBdr>
    </w:div>
    <w:div w:id="1794206141">
      <w:bodyDiv w:val="1"/>
      <w:marLeft w:val="0"/>
      <w:marRight w:val="0"/>
      <w:marTop w:val="0"/>
      <w:marBottom w:val="0"/>
      <w:divBdr>
        <w:top w:val="none" w:sz="0" w:space="0" w:color="auto"/>
        <w:left w:val="none" w:sz="0" w:space="0" w:color="auto"/>
        <w:bottom w:val="none" w:sz="0" w:space="0" w:color="auto"/>
        <w:right w:val="none" w:sz="0" w:space="0" w:color="auto"/>
      </w:divBdr>
    </w:div>
    <w:div w:id="1795177943">
      <w:bodyDiv w:val="1"/>
      <w:marLeft w:val="0"/>
      <w:marRight w:val="0"/>
      <w:marTop w:val="0"/>
      <w:marBottom w:val="0"/>
      <w:divBdr>
        <w:top w:val="none" w:sz="0" w:space="0" w:color="auto"/>
        <w:left w:val="none" w:sz="0" w:space="0" w:color="auto"/>
        <w:bottom w:val="none" w:sz="0" w:space="0" w:color="auto"/>
        <w:right w:val="none" w:sz="0" w:space="0" w:color="auto"/>
      </w:divBdr>
    </w:div>
    <w:div w:id="1795322516">
      <w:bodyDiv w:val="1"/>
      <w:marLeft w:val="0"/>
      <w:marRight w:val="0"/>
      <w:marTop w:val="0"/>
      <w:marBottom w:val="0"/>
      <w:divBdr>
        <w:top w:val="none" w:sz="0" w:space="0" w:color="auto"/>
        <w:left w:val="none" w:sz="0" w:space="0" w:color="auto"/>
        <w:bottom w:val="none" w:sz="0" w:space="0" w:color="auto"/>
        <w:right w:val="none" w:sz="0" w:space="0" w:color="auto"/>
      </w:divBdr>
    </w:div>
    <w:div w:id="1795635895">
      <w:bodyDiv w:val="1"/>
      <w:marLeft w:val="0"/>
      <w:marRight w:val="0"/>
      <w:marTop w:val="0"/>
      <w:marBottom w:val="0"/>
      <w:divBdr>
        <w:top w:val="none" w:sz="0" w:space="0" w:color="auto"/>
        <w:left w:val="none" w:sz="0" w:space="0" w:color="auto"/>
        <w:bottom w:val="none" w:sz="0" w:space="0" w:color="auto"/>
        <w:right w:val="none" w:sz="0" w:space="0" w:color="auto"/>
      </w:divBdr>
    </w:div>
    <w:div w:id="1795974928">
      <w:bodyDiv w:val="1"/>
      <w:marLeft w:val="0"/>
      <w:marRight w:val="0"/>
      <w:marTop w:val="0"/>
      <w:marBottom w:val="0"/>
      <w:divBdr>
        <w:top w:val="none" w:sz="0" w:space="0" w:color="auto"/>
        <w:left w:val="none" w:sz="0" w:space="0" w:color="auto"/>
        <w:bottom w:val="none" w:sz="0" w:space="0" w:color="auto"/>
        <w:right w:val="none" w:sz="0" w:space="0" w:color="auto"/>
      </w:divBdr>
    </w:div>
    <w:div w:id="1796679031">
      <w:bodyDiv w:val="1"/>
      <w:marLeft w:val="0"/>
      <w:marRight w:val="0"/>
      <w:marTop w:val="0"/>
      <w:marBottom w:val="0"/>
      <w:divBdr>
        <w:top w:val="none" w:sz="0" w:space="0" w:color="auto"/>
        <w:left w:val="none" w:sz="0" w:space="0" w:color="auto"/>
        <w:bottom w:val="none" w:sz="0" w:space="0" w:color="auto"/>
        <w:right w:val="none" w:sz="0" w:space="0" w:color="auto"/>
      </w:divBdr>
    </w:div>
    <w:div w:id="1796827084">
      <w:bodyDiv w:val="1"/>
      <w:marLeft w:val="0"/>
      <w:marRight w:val="0"/>
      <w:marTop w:val="0"/>
      <w:marBottom w:val="0"/>
      <w:divBdr>
        <w:top w:val="none" w:sz="0" w:space="0" w:color="auto"/>
        <w:left w:val="none" w:sz="0" w:space="0" w:color="auto"/>
        <w:bottom w:val="none" w:sz="0" w:space="0" w:color="auto"/>
        <w:right w:val="none" w:sz="0" w:space="0" w:color="auto"/>
      </w:divBdr>
    </w:div>
    <w:div w:id="1797672296">
      <w:bodyDiv w:val="1"/>
      <w:marLeft w:val="0"/>
      <w:marRight w:val="0"/>
      <w:marTop w:val="0"/>
      <w:marBottom w:val="0"/>
      <w:divBdr>
        <w:top w:val="none" w:sz="0" w:space="0" w:color="auto"/>
        <w:left w:val="none" w:sz="0" w:space="0" w:color="auto"/>
        <w:bottom w:val="none" w:sz="0" w:space="0" w:color="auto"/>
        <w:right w:val="none" w:sz="0" w:space="0" w:color="auto"/>
      </w:divBdr>
    </w:div>
    <w:div w:id="1797749501">
      <w:bodyDiv w:val="1"/>
      <w:marLeft w:val="0"/>
      <w:marRight w:val="0"/>
      <w:marTop w:val="0"/>
      <w:marBottom w:val="0"/>
      <w:divBdr>
        <w:top w:val="none" w:sz="0" w:space="0" w:color="auto"/>
        <w:left w:val="none" w:sz="0" w:space="0" w:color="auto"/>
        <w:bottom w:val="none" w:sz="0" w:space="0" w:color="auto"/>
        <w:right w:val="none" w:sz="0" w:space="0" w:color="auto"/>
      </w:divBdr>
    </w:div>
    <w:div w:id="1798255533">
      <w:bodyDiv w:val="1"/>
      <w:marLeft w:val="0"/>
      <w:marRight w:val="0"/>
      <w:marTop w:val="0"/>
      <w:marBottom w:val="0"/>
      <w:divBdr>
        <w:top w:val="none" w:sz="0" w:space="0" w:color="auto"/>
        <w:left w:val="none" w:sz="0" w:space="0" w:color="auto"/>
        <w:bottom w:val="none" w:sz="0" w:space="0" w:color="auto"/>
        <w:right w:val="none" w:sz="0" w:space="0" w:color="auto"/>
      </w:divBdr>
    </w:div>
    <w:div w:id="1799835711">
      <w:bodyDiv w:val="1"/>
      <w:marLeft w:val="0"/>
      <w:marRight w:val="0"/>
      <w:marTop w:val="0"/>
      <w:marBottom w:val="0"/>
      <w:divBdr>
        <w:top w:val="none" w:sz="0" w:space="0" w:color="auto"/>
        <w:left w:val="none" w:sz="0" w:space="0" w:color="auto"/>
        <w:bottom w:val="none" w:sz="0" w:space="0" w:color="auto"/>
        <w:right w:val="none" w:sz="0" w:space="0" w:color="auto"/>
      </w:divBdr>
    </w:div>
    <w:div w:id="1801066898">
      <w:bodyDiv w:val="1"/>
      <w:marLeft w:val="0"/>
      <w:marRight w:val="0"/>
      <w:marTop w:val="0"/>
      <w:marBottom w:val="0"/>
      <w:divBdr>
        <w:top w:val="none" w:sz="0" w:space="0" w:color="auto"/>
        <w:left w:val="none" w:sz="0" w:space="0" w:color="auto"/>
        <w:bottom w:val="none" w:sz="0" w:space="0" w:color="auto"/>
        <w:right w:val="none" w:sz="0" w:space="0" w:color="auto"/>
      </w:divBdr>
    </w:div>
    <w:div w:id="1801144849">
      <w:bodyDiv w:val="1"/>
      <w:marLeft w:val="0"/>
      <w:marRight w:val="0"/>
      <w:marTop w:val="0"/>
      <w:marBottom w:val="0"/>
      <w:divBdr>
        <w:top w:val="none" w:sz="0" w:space="0" w:color="auto"/>
        <w:left w:val="none" w:sz="0" w:space="0" w:color="auto"/>
        <w:bottom w:val="none" w:sz="0" w:space="0" w:color="auto"/>
        <w:right w:val="none" w:sz="0" w:space="0" w:color="auto"/>
      </w:divBdr>
    </w:div>
    <w:div w:id="1801609956">
      <w:bodyDiv w:val="1"/>
      <w:marLeft w:val="0"/>
      <w:marRight w:val="0"/>
      <w:marTop w:val="0"/>
      <w:marBottom w:val="0"/>
      <w:divBdr>
        <w:top w:val="none" w:sz="0" w:space="0" w:color="auto"/>
        <w:left w:val="none" w:sz="0" w:space="0" w:color="auto"/>
        <w:bottom w:val="none" w:sz="0" w:space="0" w:color="auto"/>
        <w:right w:val="none" w:sz="0" w:space="0" w:color="auto"/>
      </w:divBdr>
    </w:div>
    <w:div w:id="1801877973">
      <w:bodyDiv w:val="1"/>
      <w:marLeft w:val="0"/>
      <w:marRight w:val="0"/>
      <w:marTop w:val="0"/>
      <w:marBottom w:val="0"/>
      <w:divBdr>
        <w:top w:val="none" w:sz="0" w:space="0" w:color="auto"/>
        <w:left w:val="none" w:sz="0" w:space="0" w:color="auto"/>
        <w:bottom w:val="none" w:sz="0" w:space="0" w:color="auto"/>
        <w:right w:val="none" w:sz="0" w:space="0" w:color="auto"/>
      </w:divBdr>
    </w:div>
    <w:div w:id="1802067403">
      <w:bodyDiv w:val="1"/>
      <w:marLeft w:val="0"/>
      <w:marRight w:val="0"/>
      <w:marTop w:val="0"/>
      <w:marBottom w:val="0"/>
      <w:divBdr>
        <w:top w:val="none" w:sz="0" w:space="0" w:color="auto"/>
        <w:left w:val="none" w:sz="0" w:space="0" w:color="auto"/>
        <w:bottom w:val="none" w:sz="0" w:space="0" w:color="auto"/>
        <w:right w:val="none" w:sz="0" w:space="0" w:color="auto"/>
      </w:divBdr>
    </w:div>
    <w:div w:id="1802335352">
      <w:bodyDiv w:val="1"/>
      <w:marLeft w:val="0"/>
      <w:marRight w:val="0"/>
      <w:marTop w:val="0"/>
      <w:marBottom w:val="0"/>
      <w:divBdr>
        <w:top w:val="none" w:sz="0" w:space="0" w:color="auto"/>
        <w:left w:val="none" w:sz="0" w:space="0" w:color="auto"/>
        <w:bottom w:val="none" w:sz="0" w:space="0" w:color="auto"/>
        <w:right w:val="none" w:sz="0" w:space="0" w:color="auto"/>
      </w:divBdr>
    </w:div>
    <w:div w:id="1802453382">
      <w:bodyDiv w:val="1"/>
      <w:marLeft w:val="0"/>
      <w:marRight w:val="0"/>
      <w:marTop w:val="0"/>
      <w:marBottom w:val="0"/>
      <w:divBdr>
        <w:top w:val="none" w:sz="0" w:space="0" w:color="auto"/>
        <w:left w:val="none" w:sz="0" w:space="0" w:color="auto"/>
        <w:bottom w:val="none" w:sz="0" w:space="0" w:color="auto"/>
        <w:right w:val="none" w:sz="0" w:space="0" w:color="auto"/>
      </w:divBdr>
    </w:div>
    <w:div w:id="1805005519">
      <w:bodyDiv w:val="1"/>
      <w:marLeft w:val="0"/>
      <w:marRight w:val="0"/>
      <w:marTop w:val="0"/>
      <w:marBottom w:val="0"/>
      <w:divBdr>
        <w:top w:val="none" w:sz="0" w:space="0" w:color="auto"/>
        <w:left w:val="none" w:sz="0" w:space="0" w:color="auto"/>
        <w:bottom w:val="none" w:sz="0" w:space="0" w:color="auto"/>
        <w:right w:val="none" w:sz="0" w:space="0" w:color="auto"/>
      </w:divBdr>
    </w:div>
    <w:div w:id="1806042897">
      <w:bodyDiv w:val="1"/>
      <w:marLeft w:val="0"/>
      <w:marRight w:val="0"/>
      <w:marTop w:val="0"/>
      <w:marBottom w:val="0"/>
      <w:divBdr>
        <w:top w:val="none" w:sz="0" w:space="0" w:color="auto"/>
        <w:left w:val="none" w:sz="0" w:space="0" w:color="auto"/>
        <w:bottom w:val="none" w:sz="0" w:space="0" w:color="auto"/>
        <w:right w:val="none" w:sz="0" w:space="0" w:color="auto"/>
      </w:divBdr>
    </w:div>
    <w:div w:id="1807122177">
      <w:bodyDiv w:val="1"/>
      <w:marLeft w:val="0"/>
      <w:marRight w:val="0"/>
      <w:marTop w:val="0"/>
      <w:marBottom w:val="0"/>
      <w:divBdr>
        <w:top w:val="none" w:sz="0" w:space="0" w:color="auto"/>
        <w:left w:val="none" w:sz="0" w:space="0" w:color="auto"/>
        <w:bottom w:val="none" w:sz="0" w:space="0" w:color="auto"/>
        <w:right w:val="none" w:sz="0" w:space="0" w:color="auto"/>
      </w:divBdr>
    </w:div>
    <w:div w:id="1808357065">
      <w:bodyDiv w:val="1"/>
      <w:marLeft w:val="0"/>
      <w:marRight w:val="0"/>
      <w:marTop w:val="0"/>
      <w:marBottom w:val="0"/>
      <w:divBdr>
        <w:top w:val="none" w:sz="0" w:space="0" w:color="auto"/>
        <w:left w:val="none" w:sz="0" w:space="0" w:color="auto"/>
        <w:bottom w:val="none" w:sz="0" w:space="0" w:color="auto"/>
        <w:right w:val="none" w:sz="0" w:space="0" w:color="auto"/>
      </w:divBdr>
    </w:div>
    <w:div w:id="1808888212">
      <w:bodyDiv w:val="1"/>
      <w:marLeft w:val="0"/>
      <w:marRight w:val="0"/>
      <w:marTop w:val="0"/>
      <w:marBottom w:val="0"/>
      <w:divBdr>
        <w:top w:val="none" w:sz="0" w:space="0" w:color="auto"/>
        <w:left w:val="none" w:sz="0" w:space="0" w:color="auto"/>
        <w:bottom w:val="none" w:sz="0" w:space="0" w:color="auto"/>
        <w:right w:val="none" w:sz="0" w:space="0" w:color="auto"/>
      </w:divBdr>
    </w:div>
    <w:div w:id="1810171654">
      <w:bodyDiv w:val="1"/>
      <w:marLeft w:val="0"/>
      <w:marRight w:val="0"/>
      <w:marTop w:val="0"/>
      <w:marBottom w:val="0"/>
      <w:divBdr>
        <w:top w:val="none" w:sz="0" w:space="0" w:color="auto"/>
        <w:left w:val="none" w:sz="0" w:space="0" w:color="auto"/>
        <w:bottom w:val="none" w:sz="0" w:space="0" w:color="auto"/>
        <w:right w:val="none" w:sz="0" w:space="0" w:color="auto"/>
      </w:divBdr>
    </w:div>
    <w:div w:id="1810243223">
      <w:bodyDiv w:val="1"/>
      <w:marLeft w:val="0"/>
      <w:marRight w:val="0"/>
      <w:marTop w:val="0"/>
      <w:marBottom w:val="0"/>
      <w:divBdr>
        <w:top w:val="none" w:sz="0" w:space="0" w:color="auto"/>
        <w:left w:val="none" w:sz="0" w:space="0" w:color="auto"/>
        <w:bottom w:val="none" w:sz="0" w:space="0" w:color="auto"/>
        <w:right w:val="none" w:sz="0" w:space="0" w:color="auto"/>
      </w:divBdr>
      <w:divsChild>
        <w:div w:id="424303107">
          <w:marLeft w:val="480"/>
          <w:marRight w:val="0"/>
          <w:marTop w:val="0"/>
          <w:marBottom w:val="0"/>
          <w:divBdr>
            <w:top w:val="none" w:sz="0" w:space="0" w:color="auto"/>
            <w:left w:val="none" w:sz="0" w:space="0" w:color="auto"/>
            <w:bottom w:val="none" w:sz="0" w:space="0" w:color="auto"/>
            <w:right w:val="none" w:sz="0" w:space="0" w:color="auto"/>
          </w:divBdr>
        </w:div>
        <w:div w:id="526524126">
          <w:marLeft w:val="480"/>
          <w:marRight w:val="0"/>
          <w:marTop w:val="0"/>
          <w:marBottom w:val="0"/>
          <w:divBdr>
            <w:top w:val="none" w:sz="0" w:space="0" w:color="auto"/>
            <w:left w:val="none" w:sz="0" w:space="0" w:color="auto"/>
            <w:bottom w:val="none" w:sz="0" w:space="0" w:color="auto"/>
            <w:right w:val="none" w:sz="0" w:space="0" w:color="auto"/>
          </w:divBdr>
        </w:div>
        <w:div w:id="1980501076">
          <w:marLeft w:val="480"/>
          <w:marRight w:val="0"/>
          <w:marTop w:val="0"/>
          <w:marBottom w:val="0"/>
          <w:divBdr>
            <w:top w:val="none" w:sz="0" w:space="0" w:color="auto"/>
            <w:left w:val="none" w:sz="0" w:space="0" w:color="auto"/>
            <w:bottom w:val="none" w:sz="0" w:space="0" w:color="auto"/>
            <w:right w:val="none" w:sz="0" w:space="0" w:color="auto"/>
          </w:divBdr>
        </w:div>
        <w:div w:id="912736679">
          <w:marLeft w:val="480"/>
          <w:marRight w:val="0"/>
          <w:marTop w:val="0"/>
          <w:marBottom w:val="0"/>
          <w:divBdr>
            <w:top w:val="none" w:sz="0" w:space="0" w:color="auto"/>
            <w:left w:val="none" w:sz="0" w:space="0" w:color="auto"/>
            <w:bottom w:val="none" w:sz="0" w:space="0" w:color="auto"/>
            <w:right w:val="none" w:sz="0" w:space="0" w:color="auto"/>
          </w:divBdr>
        </w:div>
        <w:div w:id="1157185343">
          <w:marLeft w:val="480"/>
          <w:marRight w:val="0"/>
          <w:marTop w:val="0"/>
          <w:marBottom w:val="0"/>
          <w:divBdr>
            <w:top w:val="none" w:sz="0" w:space="0" w:color="auto"/>
            <w:left w:val="none" w:sz="0" w:space="0" w:color="auto"/>
            <w:bottom w:val="none" w:sz="0" w:space="0" w:color="auto"/>
            <w:right w:val="none" w:sz="0" w:space="0" w:color="auto"/>
          </w:divBdr>
        </w:div>
        <w:div w:id="1397239946">
          <w:marLeft w:val="480"/>
          <w:marRight w:val="0"/>
          <w:marTop w:val="0"/>
          <w:marBottom w:val="0"/>
          <w:divBdr>
            <w:top w:val="none" w:sz="0" w:space="0" w:color="auto"/>
            <w:left w:val="none" w:sz="0" w:space="0" w:color="auto"/>
            <w:bottom w:val="none" w:sz="0" w:space="0" w:color="auto"/>
            <w:right w:val="none" w:sz="0" w:space="0" w:color="auto"/>
          </w:divBdr>
        </w:div>
        <w:div w:id="766392428">
          <w:marLeft w:val="480"/>
          <w:marRight w:val="0"/>
          <w:marTop w:val="0"/>
          <w:marBottom w:val="0"/>
          <w:divBdr>
            <w:top w:val="none" w:sz="0" w:space="0" w:color="auto"/>
            <w:left w:val="none" w:sz="0" w:space="0" w:color="auto"/>
            <w:bottom w:val="none" w:sz="0" w:space="0" w:color="auto"/>
            <w:right w:val="none" w:sz="0" w:space="0" w:color="auto"/>
          </w:divBdr>
        </w:div>
        <w:div w:id="841899499">
          <w:marLeft w:val="480"/>
          <w:marRight w:val="0"/>
          <w:marTop w:val="0"/>
          <w:marBottom w:val="0"/>
          <w:divBdr>
            <w:top w:val="none" w:sz="0" w:space="0" w:color="auto"/>
            <w:left w:val="none" w:sz="0" w:space="0" w:color="auto"/>
            <w:bottom w:val="none" w:sz="0" w:space="0" w:color="auto"/>
            <w:right w:val="none" w:sz="0" w:space="0" w:color="auto"/>
          </w:divBdr>
        </w:div>
        <w:div w:id="844781738">
          <w:marLeft w:val="480"/>
          <w:marRight w:val="0"/>
          <w:marTop w:val="0"/>
          <w:marBottom w:val="0"/>
          <w:divBdr>
            <w:top w:val="none" w:sz="0" w:space="0" w:color="auto"/>
            <w:left w:val="none" w:sz="0" w:space="0" w:color="auto"/>
            <w:bottom w:val="none" w:sz="0" w:space="0" w:color="auto"/>
            <w:right w:val="none" w:sz="0" w:space="0" w:color="auto"/>
          </w:divBdr>
        </w:div>
        <w:div w:id="2106263577">
          <w:marLeft w:val="480"/>
          <w:marRight w:val="0"/>
          <w:marTop w:val="0"/>
          <w:marBottom w:val="0"/>
          <w:divBdr>
            <w:top w:val="none" w:sz="0" w:space="0" w:color="auto"/>
            <w:left w:val="none" w:sz="0" w:space="0" w:color="auto"/>
            <w:bottom w:val="none" w:sz="0" w:space="0" w:color="auto"/>
            <w:right w:val="none" w:sz="0" w:space="0" w:color="auto"/>
          </w:divBdr>
        </w:div>
        <w:div w:id="1422213656">
          <w:marLeft w:val="480"/>
          <w:marRight w:val="0"/>
          <w:marTop w:val="0"/>
          <w:marBottom w:val="0"/>
          <w:divBdr>
            <w:top w:val="none" w:sz="0" w:space="0" w:color="auto"/>
            <w:left w:val="none" w:sz="0" w:space="0" w:color="auto"/>
            <w:bottom w:val="none" w:sz="0" w:space="0" w:color="auto"/>
            <w:right w:val="none" w:sz="0" w:space="0" w:color="auto"/>
          </w:divBdr>
        </w:div>
        <w:div w:id="1424494521">
          <w:marLeft w:val="480"/>
          <w:marRight w:val="0"/>
          <w:marTop w:val="0"/>
          <w:marBottom w:val="0"/>
          <w:divBdr>
            <w:top w:val="none" w:sz="0" w:space="0" w:color="auto"/>
            <w:left w:val="none" w:sz="0" w:space="0" w:color="auto"/>
            <w:bottom w:val="none" w:sz="0" w:space="0" w:color="auto"/>
            <w:right w:val="none" w:sz="0" w:space="0" w:color="auto"/>
          </w:divBdr>
        </w:div>
        <w:div w:id="1773356931">
          <w:marLeft w:val="480"/>
          <w:marRight w:val="0"/>
          <w:marTop w:val="0"/>
          <w:marBottom w:val="0"/>
          <w:divBdr>
            <w:top w:val="none" w:sz="0" w:space="0" w:color="auto"/>
            <w:left w:val="none" w:sz="0" w:space="0" w:color="auto"/>
            <w:bottom w:val="none" w:sz="0" w:space="0" w:color="auto"/>
            <w:right w:val="none" w:sz="0" w:space="0" w:color="auto"/>
          </w:divBdr>
        </w:div>
        <w:div w:id="101609605">
          <w:marLeft w:val="480"/>
          <w:marRight w:val="0"/>
          <w:marTop w:val="0"/>
          <w:marBottom w:val="0"/>
          <w:divBdr>
            <w:top w:val="none" w:sz="0" w:space="0" w:color="auto"/>
            <w:left w:val="none" w:sz="0" w:space="0" w:color="auto"/>
            <w:bottom w:val="none" w:sz="0" w:space="0" w:color="auto"/>
            <w:right w:val="none" w:sz="0" w:space="0" w:color="auto"/>
          </w:divBdr>
        </w:div>
        <w:div w:id="2056540467">
          <w:marLeft w:val="480"/>
          <w:marRight w:val="0"/>
          <w:marTop w:val="0"/>
          <w:marBottom w:val="0"/>
          <w:divBdr>
            <w:top w:val="none" w:sz="0" w:space="0" w:color="auto"/>
            <w:left w:val="none" w:sz="0" w:space="0" w:color="auto"/>
            <w:bottom w:val="none" w:sz="0" w:space="0" w:color="auto"/>
            <w:right w:val="none" w:sz="0" w:space="0" w:color="auto"/>
          </w:divBdr>
        </w:div>
        <w:div w:id="1983806365">
          <w:marLeft w:val="480"/>
          <w:marRight w:val="0"/>
          <w:marTop w:val="0"/>
          <w:marBottom w:val="0"/>
          <w:divBdr>
            <w:top w:val="none" w:sz="0" w:space="0" w:color="auto"/>
            <w:left w:val="none" w:sz="0" w:space="0" w:color="auto"/>
            <w:bottom w:val="none" w:sz="0" w:space="0" w:color="auto"/>
            <w:right w:val="none" w:sz="0" w:space="0" w:color="auto"/>
          </w:divBdr>
        </w:div>
        <w:div w:id="566495931">
          <w:marLeft w:val="480"/>
          <w:marRight w:val="0"/>
          <w:marTop w:val="0"/>
          <w:marBottom w:val="0"/>
          <w:divBdr>
            <w:top w:val="none" w:sz="0" w:space="0" w:color="auto"/>
            <w:left w:val="none" w:sz="0" w:space="0" w:color="auto"/>
            <w:bottom w:val="none" w:sz="0" w:space="0" w:color="auto"/>
            <w:right w:val="none" w:sz="0" w:space="0" w:color="auto"/>
          </w:divBdr>
        </w:div>
        <w:div w:id="97482026">
          <w:marLeft w:val="480"/>
          <w:marRight w:val="0"/>
          <w:marTop w:val="0"/>
          <w:marBottom w:val="0"/>
          <w:divBdr>
            <w:top w:val="none" w:sz="0" w:space="0" w:color="auto"/>
            <w:left w:val="none" w:sz="0" w:space="0" w:color="auto"/>
            <w:bottom w:val="none" w:sz="0" w:space="0" w:color="auto"/>
            <w:right w:val="none" w:sz="0" w:space="0" w:color="auto"/>
          </w:divBdr>
        </w:div>
        <w:div w:id="2065836652">
          <w:marLeft w:val="480"/>
          <w:marRight w:val="0"/>
          <w:marTop w:val="0"/>
          <w:marBottom w:val="0"/>
          <w:divBdr>
            <w:top w:val="none" w:sz="0" w:space="0" w:color="auto"/>
            <w:left w:val="none" w:sz="0" w:space="0" w:color="auto"/>
            <w:bottom w:val="none" w:sz="0" w:space="0" w:color="auto"/>
            <w:right w:val="none" w:sz="0" w:space="0" w:color="auto"/>
          </w:divBdr>
        </w:div>
        <w:div w:id="799877737">
          <w:marLeft w:val="480"/>
          <w:marRight w:val="0"/>
          <w:marTop w:val="0"/>
          <w:marBottom w:val="0"/>
          <w:divBdr>
            <w:top w:val="none" w:sz="0" w:space="0" w:color="auto"/>
            <w:left w:val="none" w:sz="0" w:space="0" w:color="auto"/>
            <w:bottom w:val="none" w:sz="0" w:space="0" w:color="auto"/>
            <w:right w:val="none" w:sz="0" w:space="0" w:color="auto"/>
          </w:divBdr>
        </w:div>
        <w:div w:id="165901036">
          <w:marLeft w:val="480"/>
          <w:marRight w:val="0"/>
          <w:marTop w:val="0"/>
          <w:marBottom w:val="0"/>
          <w:divBdr>
            <w:top w:val="none" w:sz="0" w:space="0" w:color="auto"/>
            <w:left w:val="none" w:sz="0" w:space="0" w:color="auto"/>
            <w:bottom w:val="none" w:sz="0" w:space="0" w:color="auto"/>
            <w:right w:val="none" w:sz="0" w:space="0" w:color="auto"/>
          </w:divBdr>
        </w:div>
        <w:div w:id="588932692">
          <w:marLeft w:val="480"/>
          <w:marRight w:val="0"/>
          <w:marTop w:val="0"/>
          <w:marBottom w:val="0"/>
          <w:divBdr>
            <w:top w:val="none" w:sz="0" w:space="0" w:color="auto"/>
            <w:left w:val="none" w:sz="0" w:space="0" w:color="auto"/>
            <w:bottom w:val="none" w:sz="0" w:space="0" w:color="auto"/>
            <w:right w:val="none" w:sz="0" w:space="0" w:color="auto"/>
          </w:divBdr>
        </w:div>
        <w:div w:id="270550815">
          <w:marLeft w:val="480"/>
          <w:marRight w:val="0"/>
          <w:marTop w:val="0"/>
          <w:marBottom w:val="0"/>
          <w:divBdr>
            <w:top w:val="none" w:sz="0" w:space="0" w:color="auto"/>
            <w:left w:val="none" w:sz="0" w:space="0" w:color="auto"/>
            <w:bottom w:val="none" w:sz="0" w:space="0" w:color="auto"/>
            <w:right w:val="none" w:sz="0" w:space="0" w:color="auto"/>
          </w:divBdr>
        </w:div>
        <w:div w:id="42877436">
          <w:marLeft w:val="480"/>
          <w:marRight w:val="0"/>
          <w:marTop w:val="0"/>
          <w:marBottom w:val="0"/>
          <w:divBdr>
            <w:top w:val="none" w:sz="0" w:space="0" w:color="auto"/>
            <w:left w:val="none" w:sz="0" w:space="0" w:color="auto"/>
            <w:bottom w:val="none" w:sz="0" w:space="0" w:color="auto"/>
            <w:right w:val="none" w:sz="0" w:space="0" w:color="auto"/>
          </w:divBdr>
        </w:div>
        <w:div w:id="312415901">
          <w:marLeft w:val="480"/>
          <w:marRight w:val="0"/>
          <w:marTop w:val="0"/>
          <w:marBottom w:val="0"/>
          <w:divBdr>
            <w:top w:val="none" w:sz="0" w:space="0" w:color="auto"/>
            <w:left w:val="none" w:sz="0" w:space="0" w:color="auto"/>
            <w:bottom w:val="none" w:sz="0" w:space="0" w:color="auto"/>
            <w:right w:val="none" w:sz="0" w:space="0" w:color="auto"/>
          </w:divBdr>
        </w:div>
        <w:div w:id="2001039778">
          <w:marLeft w:val="480"/>
          <w:marRight w:val="0"/>
          <w:marTop w:val="0"/>
          <w:marBottom w:val="0"/>
          <w:divBdr>
            <w:top w:val="none" w:sz="0" w:space="0" w:color="auto"/>
            <w:left w:val="none" w:sz="0" w:space="0" w:color="auto"/>
            <w:bottom w:val="none" w:sz="0" w:space="0" w:color="auto"/>
            <w:right w:val="none" w:sz="0" w:space="0" w:color="auto"/>
          </w:divBdr>
        </w:div>
        <w:div w:id="826172475">
          <w:marLeft w:val="480"/>
          <w:marRight w:val="0"/>
          <w:marTop w:val="0"/>
          <w:marBottom w:val="0"/>
          <w:divBdr>
            <w:top w:val="none" w:sz="0" w:space="0" w:color="auto"/>
            <w:left w:val="none" w:sz="0" w:space="0" w:color="auto"/>
            <w:bottom w:val="none" w:sz="0" w:space="0" w:color="auto"/>
            <w:right w:val="none" w:sz="0" w:space="0" w:color="auto"/>
          </w:divBdr>
        </w:div>
        <w:div w:id="1973636303">
          <w:marLeft w:val="480"/>
          <w:marRight w:val="0"/>
          <w:marTop w:val="0"/>
          <w:marBottom w:val="0"/>
          <w:divBdr>
            <w:top w:val="none" w:sz="0" w:space="0" w:color="auto"/>
            <w:left w:val="none" w:sz="0" w:space="0" w:color="auto"/>
            <w:bottom w:val="none" w:sz="0" w:space="0" w:color="auto"/>
            <w:right w:val="none" w:sz="0" w:space="0" w:color="auto"/>
          </w:divBdr>
        </w:div>
        <w:div w:id="1491484924">
          <w:marLeft w:val="480"/>
          <w:marRight w:val="0"/>
          <w:marTop w:val="0"/>
          <w:marBottom w:val="0"/>
          <w:divBdr>
            <w:top w:val="none" w:sz="0" w:space="0" w:color="auto"/>
            <w:left w:val="none" w:sz="0" w:space="0" w:color="auto"/>
            <w:bottom w:val="none" w:sz="0" w:space="0" w:color="auto"/>
            <w:right w:val="none" w:sz="0" w:space="0" w:color="auto"/>
          </w:divBdr>
        </w:div>
        <w:div w:id="882208391">
          <w:marLeft w:val="480"/>
          <w:marRight w:val="0"/>
          <w:marTop w:val="0"/>
          <w:marBottom w:val="0"/>
          <w:divBdr>
            <w:top w:val="none" w:sz="0" w:space="0" w:color="auto"/>
            <w:left w:val="none" w:sz="0" w:space="0" w:color="auto"/>
            <w:bottom w:val="none" w:sz="0" w:space="0" w:color="auto"/>
            <w:right w:val="none" w:sz="0" w:space="0" w:color="auto"/>
          </w:divBdr>
        </w:div>
        <w:div w:id="1954092533">
          <w:marLeft w:val="480"/>
          <w:marRight w:val="0"/>
          <w:marTop w:val="0"/>
          <w:marBottom w:val="0"/>
          <w:divBdr>
            <w:top w:val="none" w:sz="0" w:space="0" w:color="auto"/>
            <w:left w:val="none" w:sz="0" w:space="0" w:color="auto"/>
            <w:bottom w:val="none" w:sz="0" w:space="0" w:color="auto"/>
            <w:right w:val="none" w:sz="0" w:space="0" w:color="auto"/>
          </w:divBdr>
        </w:div>
        <w:div w:id="584727823">
          <w:marLeft w:val="480"/>
          <w:marRight w:val="0"/>
          <w:marTop w:val="0"/>
          <w:marBottom w:val="0"/>
          <w:divBdr>
            <w:top w:val="none" w:sz="0" w:space="0" w:color="auto"/>
            <w:left w:val="none" w:sz="0" w:space="0" w:color="auto"/>
            <w:bottom w:val="none" w:sz="0" w:space="0" w:color="auto"/>
            <w:right w:val="none" w:sz="0" w:space="0" w:color="auto"/>
          </w:divBdr>
        </w:div>
        <w:div w:id="917715224">
          <w:marLeft w:val="480"/>
          <w:marRight w:val="0"/>
          <w:marTop w:val="0"/>
          <w:marBottom w:val="0"/>
          <w:divBdr>
            <w:top w:val="none" w:sz="0" w:space="0" w:color="auto"/>
            <w:left w:val="none" w:sz="0" w:space="0" w:color="auto"/>
            <w:bottom w:val="none" w:sz="0" w:space="0" w:color="auto"/>
            <w:right w:val="none" w:sz="0" w:space="0" w:color="auto"/>
          </w:divBdr>
        </w:div>
        <w:div w:id="417213111">
          <w:marLeft w:val="480"/>
          <w:marRight w:val="0"/>
          <w:marTop w:val="0"/>
          <w:marBottom w:val="0"/>
          <w:divBdr>
            <w:top w:val="none" w:sz="0" w:space="0" w:color="auto"/>
            <w:left w:val="none" w:sz="0" w:space="0" w:color="auto"/>
            <w:bottom w:val="none" w:sz="0" w:space="0" w:color="auto"/>
            <w:right w:val="none" w:sz="0" w:space="0" w:color="auto"/>
          </w:divBdr>
        </w:div>
        <w:div w:id="148836426">
          <w:marLeft w:val="480"/>
          <w:marRight w:val="0"/>
          <w:marTop w:val="0"/>
          <w:marBottom w:val="0"/>
          <w:divBdr>
            <w:top w:val="none" w:sz="0" w:space="0" w:color="auto"/>
            <w:left w:val="none" w:sz="0" w:space="0" w:color="auto"/>
            <w:bottom w:val="none" w:sz="0" w:space="0" w:color="auto"/>
            <w:right w:val="none" w:sz="0" w:space="0" w:color="auto"/>
          </w:divBdr>
        </w:div>
        <w:div w:id="15934683">
          <w:marLeft w:val="480"/>
          <w:marRight w:val="0"/>
          <w:marTop w:val="0"/>
          <w:marBottom w:val="0"/>
          <w:divBdr>
            <w:top w:val="none" w:sz="0" w:space="0" w:color="auto"/>
            <w:left w:val="none" w:sz="0" w:space="0" w:color="auto"/>
            <w:bottom w:val="none" w:sz="0" w:space="0" w:color="auto"/>
            <w:right w:val="none" w:sz="0" w:space="0" w:color="auto"/>
          </w:divBdr>
        </w:div>
        <w:div w:id="69472912">
          <w:marLeft w:val="480"/>
          <w:marRight w:val="0"/>
          <w:marTop w:val="0"/>
          <w:marBottom w:val="0"/>
          <w:divBdr>
            <w:top w:val="none" w:sz="0" w:space="0" w:color="auto"/>
            <w:left w:val="none" w:sz="0" w:space="0" w:color="auto"/>
            <w:bottom w:val="none" w:sz="0" w:space="0" w:color="auto"/>
            <w:right w:val="none" w:sz="0" w:space="0" w:color="auto"/>
          </w:divBdr>
        </w:div>
        <w:div w:id="1003818522">
          <w:marLeft w:val="480"/>
          <w:marRight w:val="0"/>
          <w:marTop w:val="0"/>
          <w:marBottom w:val="0"/>
          <w:divBdr>
            <w:top w:val="none" w:sz="0" w:space="0" w:color="auto"/>
            <w:left w:val="none" w:sz="0" w:space="0" w:color="auto"/>
            <w:bottom w:val="none" w:sz="0" w:space="0" w:color="auto"/>
            <w:right w:val="none" w:sz="0" w:space="0" w:color="auto"/>
          </w:divBdr>
        </w:div>
        <w:div w:id="1288314946">
          <w:marLeft w:val="480"/>
          <w:marRight w:val="0"/>
          <w:marTop w:val="0"/>
          <w:marBottom w:val="0"/>
          <w:divBdr>
            <w:top w:val="none" w:sz="0" w:space="0" w:color="auto"/>
            <w:left w:val="none" w:sz="0" w:space="0" w:color="auto"/>
            <w:bottom w:val="none" w:sz="0" w:space="0" w:color="auto"/>
            <w:right w:val="none" w:sz="0" w:space="0" w:color="auto"/>
          </w:divBdr>
        </w:div>
        <w:div w:id="946348251">
          <w:marLeft w:val="480"/>
          <w:marRight w:val="0"/>
          <w:marTop w:val="0"/>
          <w:marBottom w:val="0"/>
          <w:divBdr>
            <w:top w:val="none" w:sz="0" w:space="0" w:color="auto"/>
            <w:left w:val="none" w:sz="0" w:space="0" w:color="auto"/>
            <w:bottom w:val="none" w:sz="0" w:space="0" w:color="auto"/>
            <w:right w:val="none" w:sz="0" w:space="0" w:color="auto"/>
          </w:divBdr>
        </w:div>
        <w:div w:id="1217007812">
          <w:marLeft w:val="480"/>
          <w:marRight w:val="0"/>
          <w:marTop w:val="0"/>
          <w:marBottom w:val="0"/>
          <w:divBdr>
            <w:top w:val="none" w:sz="0" w:space="0" w:color="auto"/>
            <w:left w:val="none" w:sz="0" w:space="0" w:color="auto"/>
            <w:bottom w:val="none" w:sz="0" w:space="0" w:color="auto"/>
            <w:right w:val="none" w:sz="0" w:space="0" w:color="auto"/>
          </w:divBdr>
        </w:div>
        <w:div w:id="806824100">
          <w:marLeft w:val="480"/>
          <w:marRight w:val="0"/>
          <w:marTop w:val="0"/>
          <w:marBottom w:val="0"/>
          <w:divBdr>
            <w:top w:val="none" w:sz="0" w:space="0" w:color="auto"/>
            <w:left w:val="none" w:sz="0" w:space="0" w:color="auto"/>
            <w:bottom w:val="none" w:sz="0" w:space="0" w:color="auto"/>
            <w:right w:val="none" w:sz="0" w:space="0" w:color="auto"/>
          </w:divBdr>
        </w:div>
        <w:div w:id="1218130183">
          <w:marLeft w:val="480"/>
          <w:marRight w:val="0"/>
          <w:marTop w:val="0"/>
          <w:marBottom w:val="0"/>
          <w:divBdr>
            <w:top w:val="none" w:sz="0" w:space="0" w:color="auto"/>
            <w:left w:val="none" w:sz="0" w:space="0" w:color="auto"/>
            <w:bottom w:val="none" w:sz="0" w:space="0" w:color="auto"/>
            <w:right w:val="none" w:sz="0" w:space="0" w:color="auto"/>
          </w:divBdr>
        </w:div>
        <w:div w:id="1037125623">
          <w:marLeft w:val="480"/>
          <w:marRight w:val="0"/>
          <w:marTop w:val="0"/>
          <w:marBottom w:val="0"/>
          <w:divBdr>
            <w:top w:val="none" w:sz="0" w:space="0" w:color="auto"/>
            <w:left w:val="none" w:sz="0" w:space="0" w:color="auto"/>
            <w:bottom w:val="none" w:sz="0" w:space="0" w:color="auto"/>
            <w:right w:val="none" w:sz="0" w:space="0" w:color="auto"/>
          </w:divBdr>
        </w:div>
        <w:div w:id="1783959718">
          <w:marLeft w:val="480"/>
          <w:marRight w:val="0"/>
          <w:marTop w:val="0"/>
          <w:marBottom w:val="0"/>
          <w:divBdr>
            <w:top w:val="none" w:sz="0" w:space="0" w:color="auto"/>
            <w:left w:val="none" w:sz="0" w:space="0" w:color="auto"/>
            <w:bottom w:val="none" w:sz="0" w:space="0" w:color="auto"/>
            <w:right w:val="none" w:sz="0" w:space="0" w:color="auto"/>
          </w:divBdr>
        </w:div>
        <w:div w:id="1691641576">
          <w:marLeft w:val="480"/>
          <w:marRight w:val="0"/>
          <w:marTop w:val="0"/>
          <w:marBottom w:val="0"/>
          <w:divBdr>
            <w:top w:val="none" w:sz="0" w:space="0" w:color="auto"/>
            <w:left w:val="none" w:sz="0" w:space="0" w:color="auto"/>
            <w:bottom w:val="none" w:sz="0" w:space="0" w:color="auto"/>
            <w:right w:val="none" w:sz="0" w:space="0" w:color="auto"/>
          </w:divBdr>
        </w:div>
        <w:div w:id="1788965712">
          <w:marLeft w:val="480"/>
          <w:marRight w:val="0"/>
          <w:marTop w:val="0"/>
          <w:marBottom w:val="0"/>
          <w:divBdr>
            <w:top w:val="none" w:sz="0" w:space="0" w:color="auto"/>
            <w:left w:val="none" w:sz="0" w:space="0" w:color="auto"/>
            <w:bottom w:val="none" w:sz="0" w:space="0" w:color="auto"/>
            <w:right w:val="none" w:sz="0" w:space="0" w:color="auto"/>
          </w:divBdr>
        </w:div>
        <w:div w:id="1104573857">
          <w:marLeft w:val="480"/>
          <w:marRight w:val="0"/>
          <w:marTop w:val="0"/>
          <w:marBottom w:val="0"/>
          <w:divBdr>
            <w:top w:val="none" w:sz="0" w:space="0" w:color="auto"/>
            <w:left w:val="none" w:sz="0" w:space="0" w:color="auto"/>
            <w:bottom w:val="none" w:sz="0" w:space="0" w:color="auto"/>
            <w:right w:val="none" w:sz="0" w:space="0" w:color="auto"/>
          </w:divBdr>
        </w:div>
        <w:div w:id="2018995815">
          <w:marLeft w:val="480"/>
          <w:marRight w:val="0"/>
          <w:marTop w:val="0"/>
          <w:marBottom w:val="0"/>
          <w:divBdr>
            <w:top w:val="none" w:sz="0" w:space="0" w:color="auto"/>
            <w:left w:val="none" w:sz="0" w:space="0" w:color="auto"/>
            <w:bottom w:val="none" w:sz="0" w:space="0" w:color="auto"/>
            <w:right w:val="none" w:sz="0" w:space="0" w:color="auto"/>
          </w:divBdr>
        </w:div>
        <w:div w:id="1168667824">
          <w:marLeft w:val="480"/>
          <w:marRight w:val="0"/>
          <w:marTop w:val="0"/>
          <w:marBottom w:val="0"/>
          <w:divBdr>
            <w:top w:val="none" w:sz="0" w:space="0" w:color="auto"/>
            <w:left w:val="none" w:sz="0" w:space="0" w:color="auto"/>
            <w:bottom w:val="none" w:sz="0" w:space="0" w:color="auto"/>
            <w:right w:val="none" w:sz="0" w:space="0" w:color="auto"/>
          </w:divBdr>
        </w:div>
        <w:div w:id="2038500022">
          <w:marLeft w:val="480"/>
          <w:marRight w:val="0"/>
          <w:marTop w:val="0"/>
          <w:marBottom w:val="0"/>
          <w:divBdr>
            <w:top w:val="none" w:sz="0" w:space="0" w:color="auto"/>
            <w:left w:val="none" w:sz="0" w:space="0" w:color="auto"/>
            <w:bottom w:val="none" w:sz="0" w:space="0" w:color="auto"/>
            <w:right w:val="none" w:sz="0" w:space="0" w:color="auto"/>
          </w:divBdr>
        </w:div>
        <w:div w:id="600913794">
          <w:marLeft w:val="480"/>
          <w:marRight w:val="0"/>
          <w:marTop w:val="0"/>
          <w:marBottom w:val="0"/>
          <w:divBdr>
            <w:top w:val="none" w:sz="0" w:space="0" w:color="auto"/>
            <w:left w:val="none" w:sz="0" w:space="0" w:color="auto"/>
            <w:bottom w:val="none" w:sz="0" w:space="0" w:color="auto"/>
            <w:right w:val="none" w:sz="0" w:space="0" w:color="auto"/>
          </w:divBdr>
        </w:div>
        <w:div w:id="24408665">
          <w:marLeft w:val="480"/>
          <w:marRight w:val="0"/>
          <w:marTop w:val="0"/>
          <w:marBottom w:val="0"/>
          <w:divBdr>
            <w:top w:val="none" w:sz="0" w:space="0" w:color="auto"/>
            <w:left w:val="none" w:sz="0" w:space="0" w:color="auto"/>
            <w:bottom w:val="none" w:sz="0" w:space="0" w:color="auto"/>
            <w:right w:val="none" w:sz="0" w:space="0" w:color="auto"/>
          </w:divBdr>
        </w:div>
        <w:div w:id="1752577765">
          <w:marLeft w:val="480"/>
          <w:marRight w:val="0"/>
          <w:marTop w:val="0"/>
          <w:marBottom w:val="0"/>
          <w:divBdr>
            <w:top w:val="none" w:sz="0" w:space="0" w:color="auto"/>
            <w:left w:val="none" w:sz="0" w:space="0" w:color="auto"/>
            <w:bottom w:val="none" w:sz="0" w:space="0" w:color="auto"/>
            <w:right w:val="none" w:sz="0" w:space="0" w:color="auto"/>
          </w:divBdr>
        </w:div>
        <w:div w:id="1543980380">
          <w:marLeft w:val="480"/>
          <w:marRight w:val="0"/>
          <w:marTop w:val="0"/>
          <w:marBottom w:val="0"/>
          <w:divBdr>
            <w:top w:val="none" w:sz="0" w:space="0" w:color="auto"/>
            <w:left w:val="none" w:sz="0" w:space="0" w:color="auto"/>
            <w:bottom w:val="none" w:sz="0" w:space="0" w:color="auto"/>
            <w:right w:val="none" w:sz="0" w:space="0" w:color="auto"/>
          </w:divBdr>
        </w:div>
        <w:div w:id="608507200">
          <w:marLeft w:val="480"/>
          <w:marRight w:val="0"/>
          <w:marTop w:val="0"/>
          <w:marBottom w:val="0"/>
          <w:divBdr>
            <w:top w:val="none" w:sz="0" w:space="0" w:color="auto"/>
            <w:left w:val="none" w:sz="0" w:space="0" w:color="auto"/>
            <w:bottom w:val="none" w:sz="0" w:space="0" w:color="auto"/>
            <w:right w:val="none" w:sz="0" w:space="0" w:color="auto"/>
          </w:divBdr>
        </w:div>
        <w:div w:id="1094282730">
          <w:marLeft w:val="480"/>
          <w:marRight w:val="0"/>
          <w:marTop w:val="0"/>
          <w:marBottom w:val="0"/>
          <w:divBdr>
            <w:top w:val="none" w:sz="0" w:space="0" w:color="auto"/>
            <w:left w:val="none" w:sz="0" w:space="0" w:color="auto"/>
            <w:bottom w:val="none" w:sz="0" w:space="0" w:color="auto"/>
            <w:right w:val="none" w:sz="0" w:space="0" w:color="auto"/>
          </w:divBdr>
        </w:div>
        <w:div w:id="108162440">
          <w:marLeft w:val="480"/>
          <w:marRight w:val="0"/>
          <w:marTop w:val="0"/>
          <w:marBottom w:val="0"/>
          <w:divBdr>
            <w:top w:val="none" w:sz="0" w:space="0" w:color="auto"/>
            <w:left w:val="none" w:sz="0" w:space="0" w:color="auto"/>
            <w:bottom w:val="none" w:sz="0" w:space="0" w:color="auto"/>
            <w:right w:val="none" w:sz="0" w:space="0" w:color="auto"/>
          </w:divBdr>
        </w:div>
        <w:div w:id="1764839733">
          <w:marLeft w:val="480"/>
          <w:marRight w:val="0"/>
          <w:marTop w:val="0"/>
          <w:marBottom w:val="0"/>
          <w:divBdr>
            <w:top w:val="none" w:sz="0" w:space="0" w:color="auto"/>
            <w:left w:val="none" w:sz="0" w:space="0" w:color="auto"/>
            <w:bottom w:val="none" w:sz="0" w:space="0" w:color="auto"/>
            <w:right w:val="none" w:sz="0" w:space="0" w:color="auto"/>
          </w:divBdr>
        </w:div>
        <w:div w:id="838538327">
          <w:marLeft w:val="480"/>
          <w:marRight w:val="0"/>
          <w:marTop w:val="0"/>
          <w:marBottom w:val="0"/>
          <w:divBdr>
            <w:top w:val="none" w:sz="0" w:space="0" w:color="auto"/>
            <w:left w:val="none" w:sz="0" w:space="0" w:color="auto"/>
            <w:bottom w:val="none" w:sz="0" w:space="0" w:color="auto"/>
            <w:right w:val="none" w:sz="0" w:space="0" w:color="auto"/>
          </w:divBdr>
        </w:div>
        <w:div w:id="1592156610">
          <w:marLeft w:val="480"/>
          <w:marRight w:val="0"/>
          <w:marTop w:val="0"/>
          <w:marBottom w:val="0"/>
          <w:divBdr>
            <w:top w:val="none" w:sz="0" w:space="0" w:color="auto"/>
            <w:left w:val="none" w:sz="0" w:space="0" w:color="auto"/>
            <w:bottom w:val="none" w:sz="0" w:space="0" w:color="auto"/>
            <w:right w:val="none" w:sz="0" w:space="0" w:color="auto"/>
          </w:divBdr>
        </w:div>
        <w:div w:id="1268542475">
          <w:marLeft w:val="480"/>
          <w:marRight w:val="0"/>
          <w:marTop w:val="0"/>
          <w:marBottom w:val="0"/>
          <w:divBdr>
            <w:top w:val="none" w:sz="0" w:space="0" w:color="auto"/>
            <w:left w:val="none" w:sz="0" w:space="0" w:color="auto"/>
            <w:bottom w:val="none" w:sz="0" w:space="0" w:color="auto"/>
            <w:right w:val="none" w:sz="0" w:space="0" w:color="auto"/>
          </w:divBdr>
        </w:div>
        <w:div w:id="1422792861">
          <w:marLeft w:val="480"/>
          <w:marRight w:val="0"/>
          <w:marTop w:val="0"/>
          <w:marBottom w:val="0"/>
          <w:divBdr>
            <w:top w:val="none" w:sz="0" w:space="0" w:color="auto"/>
            <w:left w:val="none" w:sz="0" w:space="0" w:color="auto"/>
            <w:bottom w:val="none" w:sz="0" w:space="0" w:color="auto"/>
            <w:right w:val="none" w:sz="0" w:space="0" w:color="auto"/>
          </w:divBdr>
        </w:div>
        <w:div w:id="1640262897">
          <w:marLeft w:val="480"/>
          <w:marRight w:val="0"/>
          <w:marTop w:val="0"/>
          <w:marBottom w:val="0"/>
          <w:divBdr>
            <w:top w:val="none" w:sz="0" w:space="0" w:color="auto"/>
            <w:left w:val="none" w:sz="0" w:space="0" w:color="auto"/>
            <w:bottom w:val="none" w:sz="0" w:space="0" w:color="auto"/>
            <w:right w:val="none" w:sz="0" w:space="0" w:color="auto"/>
          </w:divBdr>
        </w:div>
        <w:div w:id="1716467045">
          <w:marLeft w:val="480"/>
          <w:marRight w:val="0"/>
          <w:marTop w:val="0"/>
          <w:marBottom w:val="0"/>
          <w:divBdr>
            <w:top w:val="none" w:sz="0" w:space="0" w:color="auto"/>
            <w:left w:val="none" w:sz="0" w:space="0" w:color="auto"/>
            <w:bottom w:val="none" w:sz="0" w:space="0" w:color="auto"/>
            <w:right w:val="none" w:sz="0" w:space="0" w:color="auto"/>
          </w:divBdr>
        </w:div>
        <w:div w:id="1420758341">
          <w:marLeft w:val="480"/>
          <w:marRight w:val="0"/>
          <w:marTop w:val="0"/>
          <w:marBottom w:val="0"/>
          <w:divBdr>
            <w:top w:val="none" w:sz="0" w:space="0" w:color="auto"/>
            <w:left w:val="none" w:sz="0" w:space="0" w:color="auto"/>
            <w:bottom w:val="none" w:sz="0" w:space="0" w:color="auto"/>
            <w:right w:val="none" w:sz="0" w:space="0" w:color="auto"/>
          </w:divBdr>
        </w:div>
        <w:div w:id="272782951">
          <w:marLeft w:val="480"/>
          <w:marRight w:val="0"/>
          <w:marTop w:val="0"/>
          <w:marBottom w:val="0"/>
          <w:divBdr>
            <w:top w:val="none" w:sz="0" w:space="0" w:color="auto"/>
            <w:left w:val="none" w:sz="0" w:space="0" w:color="auto"/>
            <w:bottom w:val="none" w:sz="0" w:space="0" w:color="auto"/>
            <w:right w:val="none" w:sz="0" w:space="0" w:color="auto"/>
          </w:divBdr>
        </w:div>
        <w:div w:id="1845590388">
          <w:marLeft w:val="480"/>
          <w:marRight w:val="0"/>
          <w:marTop w:val="0"/>
          <w:marBottom w:val="0"/>
          <w:divBdr>
            <w:top w:val="none" w:sz="0" w:space="0" w:color="auto"/>
            <w:left w:val="none" w:sz="0" w:space="0" w:color="auto"/>
            <w:bottom w:val="none" w:sz="0" w:space="0" w:color="auto"/>
            <w:right w:val="none" w:sz="0" w:space="0" w:color="auto"/>
          </w:divBdr>
        </w:div>
        <w:div w:id="809051454">
          <w:marLeft w:val="480"/>
          <w:marRight w:val="0"/>
          <w:marTop w:val="0"/>
          <w:marBottom w:val="0"/>
          <w:divBdr>
            <w:top w:val="none" w:sz="0" w:space="0" w:color="auto"/>
            <w:left w:val="none" w:sz="0" w:space="0" w:color="auto"/>
            <w:bottom w:val="none" w:sz="0" w:space="0" w:color="auto"/>
            <w:right w:val="none" w:sz="0" w:space="0" w:color="auto"/>
          </w:divBdr>
        </w:div>
        <w:div w:id="1573854727">
          <w:marLeft w:val="480"/>
          <w:marRight w:val="0"/>
          <w:marTop w:val="0"/>
          <w:marBottom w:val="0"/>
          <w:divBdr>
            <w:top w:val="none" w:sz="0" w:space="0" w:color="auto"/>
            <w:left w:val="none" w:sz="0" w:space="0" w:color="auto"/>
            <w:bottom w:val="none" w:sz="0" w:space="0" w:color="auto"/>
            <w:right w:val="none" w:sz="0" w:space="0" w:color="auto"/>
          </w:divBdr>
        </w:div>
        <w:div w:id="799152720">
          <w:marLeft w:val="480"/>
          <w:marRight w:val="0"/>
          <w:marTop w:val="0"/>
          <w:marBottom w:val="0"/>
          <w:divBdr>
            <w:top w:val="none" w:sz="0" w:space="0" w:color="auto"/>
            <w:left w:val="none" w:sz="0" w:space="0" w:color="auto"/>
            <w:bottom w:val="none" w:sz="0" w:space="0" w:color="auto"/>
            <w:right w:val="none" w:sz="0" w:space="0" w:color="auto"/>
          </w:divBdr>
        </w:div>
        <w:div w:id="1102260677">
          <w:marLeft w:val="480"/>
          <w:marRight w:val="0"/>
          <w:marTop w:val="0"/>
          <w:marBottom w:val="0"/>
          <w:divBdr>
            <w:top w:val="none" w:sz="0" w:space="0" w:color="auto"/>
            <w:left w:val="none" w:sz="0" w:space="0" w:color="auto"/>
            <w:bottom w:val="none" w:sz="0" w:space="0" w:color="auto"/>
            <w:right w:val="none" w:sz="0" w:space="0" w:color="auto"/>
          </w:divBdr>
        </w:div>
        <w:div w:id="1170604625">
          <w:marLeft w:val="480"/>
          <w:marRight w:val="0"/>
          <w:marTop w:val="0"/>
          <w:marBottom w:val="0"/>
          <w:divBdr>
            <w:top w:val="none" w:sz="0" w:space="0" w:color="auto"/>
            <w:left w:val="none" w:sz="0" w:space="0" w:color="auto"/>
            <w:bottom w:val="none" w:sz="0" w:space="0" w:color="auto"/>
            <w:right w:val="none" w:sz="0" w:space="0" w:color="auto"/>
          </w:divBdr>
        </w:div>
        <w:div w:id="1871720569">
          <w:marLeft w:val="480"/>
          <w:marRight w:val="0"/>
          <w:marTop w:val="0"/>
          <w:marBottom w:val="0"/>
          <w:divBdr>
            <w:top w:val="none" w:sz="0" w:space="0" w:color="auto"/>
            <w:left w:val="none" w:sz="0" w:space="0" w:color="auto"/>
            <w:bottom w:val="none" w:sz="0" w:space="0" w:color="auto"/>
            <w:right w:val="none" w:sz="0" w:space="0" w:color="auto"/>
          </w:divBdr>
        </w:div>
        <w:div w:id="151341204">
          <w:marLeft w:val="480"/>
          <w:marRight w:val="0"/>
          <w:marTop w:val="0"/>
          <w:marBottom w:val="0"/>
          <w:divBdr>
            <w:top w:val="none" w:sz="0" w:space="0" w:color="auto"/>
            <w:left w:val="none" w:sz="0" w:space="0" w:color="auto"/>
            <w:bottom w:val="none" w:sz="0" w:space="0" w:color="auto"/>
            <w:right w:val="none" w:sz="0" w:space="0" w:color="auto"/>
          </w:divBdr>
        </w:div>
        <w:div w:id="1234776303">
          <w:marLeft w:val="480"/>
          <w:marRight w:val="0"/>
          <w:marTop w:val="0"/>
          <w:marBottom w:val="0"/>
          <w:divBdr>
            <w:top w:val="none" w:sz="0" w:space="0" w:color="auto"/>
            <w:left w:val="none" w:sz="0" w:space="0" w:color="auto"/>
            <w:bottom w:val="none" w:sz="0" w:space="0" w:color="auto"/>
            <w:right w:val="none" w:sz="0" w:space="0" w:color="auto"/>
          </w:divBdr>
        </w:div>
        <w:div w:id="1670524358">
          <w:marLeft w:val="480"/>
          <w:marRight w:val="0"/>
          <w:marTop w:val="0"/>
          <w:marBottom w:val="0"/>
          <w:divBdr>
            <w:top w:val="none" w:sz="0" w:space="0" w:color="auto"/>
            <w:left w:val="none" w:sz="0" w:space="0" w:color="auto"/>
            <w:bottom w:val="none" w:sz="0" w:space="0" w:color="auto"/>
            <w:right w:val="none" w:sz="0" w:space="0" w:color="auto"/>
          </w:divBdr>
        </w:div>
        <w:div w:id="338119087">
          <w:marLeft w:val="480"/>
          <w:marRight w:val="0"/>
          <w:marTop w:val="0"/>
          <w:marBottom w:val="0"/>
          <w:divBdr>
            <w:top w:val="none" w:sz="0" w:space="0" w:color="auto"/>
            <w:left w:val="none" w:sz="0" w:space="0" w:color="auto"/>
            <w:bottom w:val="none" w:sz="0" w:space="0" w:color="auto"/>
            <w:right w:val="none" w:sz="0" w:space="0" w:color="auto"/>
          </w:divBdr>
        </w:div>
        <w:div w:id="754478332">
          <w:marLeft w:val="480"/>
          <w:marRight w:val="0"/>
          <w:marTop w:val="0"/>
          <w:marBottom w:val="0"/>
          <w:divBdr>
            <w:top w:val="none" w:sz="0" w:space="0" w:color="auto"/>
            <w:left w:val="none" w:sz="0" w:space="0" w:color="auto"/>
            <w:bottom w:val="none" w:sz="0" w:space="0" w:color="auto"/>
            <w:right w:val="none" w:sz="0" w:space="0" w:color="auto"/>
          </w:divBdr>
        </w:div>
        <w:div w:id="81224902">
          <w:marLeft w:val="480"/>
          <w:marRight w:val="0"/>
          <w:marTop w:val="0"/>
          <w:marBottom w:val="0"/>
          <w:divBdr>
            <w:top w:val="none" w:sz="0" w:space="0" w:color="auto"/>
            <w:left w:val="none" w:sz="0" w:space="0" w:color="auto"/>
            <w:bottom w:val="none" w:sz="0" w:space="0" w:color="auto"/>
            <w:right w:val="none" w:sz="0" w:space="0" w:color="auto"/>
          </w:divBdr>
        </w:div>
        <w:div w:id="46609615">
          <w:marLeft w:val="480"/>
          <w:marRight w:val="0"/>
          <w:marTop w:val="0"/>
          <w:marBottom w:val="0"/>
          <w:divBdr>
            <w:top w:val="none" w:sz="0" w:space="0" w:color="auto"/>
            <w:left w:val="none" w:sz="0" w:space="0" w:color="auto"/>
            <w:bottom w:val="none" w:sz="0" w:space="0" w:color="auto"/>
            <w:right w:val="none" w:sz="0" w:space="0" w:color="auto"/>
          </w:divBdr>
        </w:div>
        <w:div w:id="181750867">
          <w:marLeft w:val="480"/>
          <w:marRight w:val="0"/>
          <w:marTop w:val="0"/>
          <w:marBottom w:val="0"/>
          <w:divBdr>
            <w:top w:val="none" w:sz="0" w:space="0" w:color="auto"/>
            <w:left w:val="none" w:sz="0" w:space="0" w:color="auto"/>
            <w:bottom w:val="none" w:sz="0" w:space="0" w:color="auto"/>
            <w:right w:val="none" w:sz="0" w:space="0" w:color="auto"/>
          </w:divBdr>
        </w:div>
        <w:div w:id="886526564">
          <w:marLeft w:val="480"/>
          <w:marRight w:val="0"/>
          <w:marTop w:val="0"/>
          <w:marBottom w:val="0"/>
          <w:divBdr>
            <w:top w:val="none" w:sz="0" w:space="0" w:color="auto"/>
            <w:left w:val="none" w:sz="0" w:space="0" w:color="auto"/>
            <w:bottom w:val="none" w:sz="0" w:space="0" w:color="auto"/>
            <w:right w:val="none" w:sz="0" w:space="0" w:color="auto"/>
          </w:divBdr>
        </w:div>
        <w:div w:id="828180044">
          <w:marLeft w:val="480"/>
          <w:marRight w:val="0"/>
          <w:marTop w:val="0"/>
          <w:marBottom w:val="0"/>
          <w:divBdr>
            <w:top w:val="none" w:sz="0" w:space="0" w:color="auto"/>
            <w:left w:val="none" w:sz="0" w:space="0" w:color="auto"/>
            <w:bottom w:val="none" w:sz="0" w:space="0" w:color="auto"/>
            <w:right w:val="none" w:sz="0" w:space="0" w:color="auto"/>
          </w:divBdr>
        </w:div>
        <w:div w:id="1352101777">
          <w:marLeft w:val="480"/>
          <w:marRight w:val="0"/>
          <w:marTop w:val="0"/>
          <w:marBottom w:val="0"/>
          <w:divBdr>
            <w:top w:val="none" w:sz="0" w:space="0" w:color="auto"/>
            <w:left w:val="none" w:sz="0" w:space="0" w:color="auto"/>
            <w:bottom w:val="none" w:sz="0" w:space="0" w:color="auto"/>
            <w:right w:val="none" w:sz="0" w:space="0" w:color="auto"/>
          </w:divBdr>
        </w:div>
        <w:div w:id="2136560113">
          <w:marLeft w:val="480"/>
          <w:marRight w:val="0"/>
          <w:marTop w:val="0"/>
          <w:marBottom w:val="0"/>
          <w:divBdr>
            <w:top w:val="none" w:sz="0" w:space="0" w:color="auto"/>
            <w:left w:val="none" w:sz="0" w:space="0" w:color="auto"/>
            <w:bottom w:val="none" w:sz="0" w:space="0" w:color="auto"/>
            <w:right w:val="none" w:sz="0" w:space="0" w:color="auto"/>
          </w:divBdr>
        </w:div>
        <w:div w:id="1583031417">
          <w:marLeft w:val="480"/>
          <w:marRight w:val="0"/>
          <w:marTop w:val="0"/>
          <w:marBottom w:val="0"/>
          <w:divBdr>
            <w:top w:val="none" w:sz="0" w:space="0" w:color="auto"/>
            <w:left w:val="none" w:sz="0" w:space="0" w:color="auto"/>
            <w:bottom w:val="none" w:sz="0" w:space="0" w:color="auto"/>
            <w:right w:val="none" w:sz="0" w:space="0" w:color="auto"/>
          </w:divBdr>
        </w:div>
        <w:div w:id="1448886779">
          <w:marLeft w:val="480"/>
          <w:marRight w:val="0"/>
          <w:marTop w:val="0"/>
          <w:marBottom w:val="0"/>
          <w:divBdr>
            <w:top w:val="none" w:sz="0" w:space="0" w:color="auto"/>
            <w:left w:val="none" w:sz="0" w:space="0" w:color="auto"/>
            <w:bottom w:val="none" w:sz="0" w:space="0" w:color="auto"/>
            <w:right w:val="none" w:sz="0" w:space="0" w:color="auto"/>
          </w:divBdr>
        </w:div>
        <w:div w:id="186136603">
          <w:marLeft w:val="480"/>
          <w:marRight w:val="0"/>
          <w:marTop w:val="0"/>
          <w:marBottom w:val="0"/>
          <w:divBdr>
            <w:top w:val="none" w:sz="0" w:space="0" w:color="auto"/>
            <w:left w:val="none" w:sz="0" w:space="0" w:color="auto"/>
            <w:bottom w:val="none" w:sz="0" w:space="0" w:color="auto"/>
            <w:right w:val="none" w:sz="0" w:space="0" w:color="auto"/>
          </w:divBdr>
        </w:div>
        <w:div w:id="2069375875">
          <w:marLeft w:val="480"/>
          <w:marRight w:val="0"/>
          <w:marTop w:val="0"/>
          <w:marBottom w:val="0"/>
          <w:divBdr>
            <w:top w:val="none" w:sz="0" w:space="0" w:color="auto"/>
            <w:left w:val="none" w:sz="0" w:space="0" w:color="auto"/>
            <w:bottom w:val="none" w:sz="0" w:space="0" w:color="auto"/>
            <w:right w:val="none" w:sz="0" w:space="0" w:color="auto"/>
          </w:divBdr>
        </w:div>
        <w:div w:id="1368070257">
          <w:marLeft w:val="480"/>
          <w:marRight w:val="0"/>
          <w:marTop w:val="0"/>
          <w:marBottom w:val="0"/>
          <w:divBdr>
            <w:top w:val="none" w:sz="0" w:space="0" w:color="auto"/>
            <w:left w:val="none" w:sz="0" w:space="0" w:color="auto"/>
            <w:bottom w:val="none" w:sz="0" w:space="0" w:color="auto"/>
            <w:right w:val="none" w:sz="0" w:space="0" w:color="auto"/>
          </w:divBdr>
        </w:div>
        <w:div w:id="2087534479">
          <w:marLeft w:val="480"/>
          <w:marRight w:val="0"/>
          <w:marTop w:val="0"/>
          <w:marBottom w:val="0"/>
          <w:divBdr>
            <w:top w:val="none" w:sz="0" w:space="0" w:color="auto"/>
            <w:left w:val="none" w:sz="0" w:space="0" w:color="auto"/>
            <w:bottom w:val="none" w:sz="0" w:space="0" w:color="auto"/>
            <w:right w:val="none" w:sz="0" w:space="0" w:color="auto"/>
          </w:divBdr>
        </w:div>
        <w:div w:id="47800894">
          <w:marLeft w:val="480"/>
          <w:marRight w:val="0"/>
          <w:marTop w:val="0"/>
          <w:marBottom w:val="0"/>
          <w:divBdr>
            <w:top w:val="none" w:sz="0" w:space="0" w:color="auto"/>
            <w:left w:val="none" w:sz="0" w:space="0" w:color="auto"/>
            <w:bottom w:val="none" w:sz="0" w:space="0" w:color="auto"/>
            <w:right w:val="none" w:sz="0" w:space="0" w:color="auto"/>
          </w:divBdr>
        </w:div>
        <w:div w:id="1906724564">
          <w:marLeft w:val="480"/>
          <w:marRight w:val="0"/>
          <w:marTop w:val="0"/>
          <w:marBottom w:val="0"/>
          <w:divBdr>
            <w:top w:val="none" w:sz="0" w:space="0" w:color="auto"/>
            <w:left w:val="none" w:sz="0" w:space="0" w:color="auto"/>
            <w:bottom w:val="none" w:sz="0" w:space="0" w:color="auto"/>
            <w:right w:val="none" w:sz="0" w:space="0" w:color="auto"/>
          </w:divBdr>
        </w:div>
        <w:div w:id="289675163">
          <w:marLeft w:val="480"/>
          <w:marRight w:val="0"/>
          <w:marTop w:val="0"/>
          <w:marBottom w:val="0"/>
          <w:divBdr>
            <w:top w:val="none" w:sz="0" w:space="0" w:color="auto"/>
            <w:left w:val="none" w:sz="0" w:space="0" w:color="auto"/>
            <w:bottom w:val="none" w:sz="0" w:space="0" w:color="auto"/>
            <w:right w:val="none" w:sz="0" w:space="0" w:color="auto"/>
          </w:divBdr>
        </w:div>
        <w:div w:id="1237940576">
          <w:marLeft w:val="480"/>
          <w:marRight w:val="0"/>
          <w:marTop w:val="0"/>
          <w:marBottom w:val="0"/>
          <w:divBdr>
            <w:top w:val="none" w:sz="0" w:space="0" w:color="auto"/>
            <w:left w:val="none" w:sz="0" w:space="0" w:color="auto"/>
            <w:bottom w:val="none" w:sz="0" w:space="0" w:color="auto"/>
            <w:right w:val="none" w:sz="0" w:space="0" w:color="auto"/>
          </w:divBdr>
        </w:div>
        <w:div w:id="478772586">
          <w:marLeft w:val="480"/>
          <w:marRight w:val="0"/>
          <w:marTop w:val="0"/>
          <w:marBottom w:val="0"/>
          <w:divBdr>
            <w:top w:val="none" w:sz="0" w:space="0" w:color="auto"/>
            <w:left w:val="none" w:sz="0" w:space="0" w:color="auto"/>
            <w:bottom w:val="none" w:sz="0" w:space="0" w:color="auto"/>
            <w:right w:val="none" w:sz="0" w:space="0" w:color="auto"/>
          </w:divBdr>
        </w:div>
        <w:div w:id="1874533972">
          <w:marLeft w:val="480"/>
          <w:marRight w:val="0"/>
          <w:marTop w:val="0"/>
          <w:marBottom w:val="0"/>
          <w:divBdr>
            <w:top w:val="none" w:sz="0" w:space="0" w:color="auto"/>
            <w:left w:val="none" w:sz="0" w:space="0" w:color="auto"/>
            <w:bottom w:val="none" w:sz="0" w:space="0" w:color="auto"/>
            <w:right w:val="none" w:sz="0" w:space="0" w:color="auto"/>
          </w:divBdr>
        </w:div>
        <w:div w:id="1968385933">
          <w:marLeft w:val="480"/>
          <w:marRight w:val="0"/>
          <w:marTop w:val="0"/>
          <w:marBottom w:val="0"/>
          <w:divBdr>
            <w:top w:val="none" w:sz="0" w:space="0" w:color="auto"/>
            <w:left w:val="none" w:sz="0" w:space="0" w:color="auto"/>
            <w:bottom w:val="none" w:sz="0" w:space="0" w:color="auto"/>
            <w:right w:val="none" w:sz="0" w:space="0" w:color="auto"/>
          </w:divBdr>
        </w:div>
        <w:div w:id="297028699">
          <w:marLeft w:val="480"/>
          <w:marRight w:val="0"/>
          <w:marTop w:val="0"/>
          <w:marBottom w:val="0"/>
          <w:divBdr>
            <w:top w:val="none" w:sz="0" w:space="0" w:color="auto"/>
            <w:left w:val="none" w:sz="0" w:space="0" w:color="auto"/>
            <w:bottom w:val="none" w:sz="0" w:space="0" w:color="auto"/>
            <w:right w:val="none" w:sz="0" w:space="0" w:color="auto"/>
          </w:divBdr>
        </w:div>
        <w:div w:id="1640988062">
          <w:marLeft w:val="480"/>
          <w:marRight w:val="0"/>
          <w:marTop w:val="0"/>
          <w:marBottom w:val="0"/>
          <w:divBdr>
            <w:top w:val="none" w:sz="0" w:space="0" w:color="auto"/>
            <w:left w:val="none" w:sz="0" w:space="0" w:color="auto"/>
            <w:bottom w:val="none" w:sz="0" w:space="0" w:color="auto"/>
            <w:right w:val="none" w:sz="0" w:space="0" w:color="auto"/>
          </w:divBdr>
        </w:div>
        <w:div w:id="421679162">
          <w:marLeft w:val="480"/>
          <w:marRight w:val="0"/>
          <w:marTop w:val="0"/>
          <w:marBottom w:val="0"/>
          <w:divBdr>
            <w:top w:val="none" w:sz="0" w:space="0" w:color="auto"/>
            <w:left w:val="none" w:sz="0" w:space="0" w:color="auto"/>
            <w:bottom w:val="none" w:sz="0" w:space="0" w:color="auto"/>
            <w:right w:val="none" w:sz="0" w:space="0" w:color="auto"/>
          </w:divBdr>
        </w:div>
        <w:div w:id="74474037">
          <w:marLeft w:val="480"/>
          <w:marRight w:val="0"/>
          <w:marTop w:val="0"/>
          <w:marBottom w:val="0"/>
          <w:divBdr>
            <w:top w:val="none" w:sz="0" w:space="0" w:color="auto"/>
            <w:left w:val="none" w:sz="0" w:space="0" w:color="auto"/>
            <w:bottom w:val="none" w:sz="0" w:space="0" w:color="auto"/>
            <w:right w:val="none" w:sz="0" w:space="0" w:color="auto"/>
          </w:divBdr>
        </w:div>
        <w:div w:id="516388379">
          <w:marLeft w:val="480"/>
          <w:marRight w:val="0"/>
          <w:marTop w:val="0"/>
          <w:marBottom w:val="0"/>
          <w:divBdr>
            <w:top w:val="none" w:sz="0" w:space="0" w:color="auto"/>
            <w:left w:val="none" w:sz="0" w:space="0" w:color="auto"/>
            <w:bottom w:val="none" w:sz="0" w:space="0" w:color="auto"/>
            <w:right w:val="none" w:sz="0" w:space="0" w:color="auto"/>
          </w:divBdr>
        </w:div>
        <w:div w:id="739793298">
          <w:marLeft w:val="480"/>
          <w:marRight w:val="0"/>
          <w:marTop w:val="0"/>
          <w:marBottom w:val="0"/>
          <w:divBdr>
            <w:top w:val="none" w:sz="0" w:space="0" w:color="auto"/>
            <w:left w:val="none" w:sz="0" w:space="0" w:color="auto"/>
            <w:bottom w:val="none" w:sz="0" w:space="0" w:color="auto"/>
            <w:right w:val="none" w:sz="0" w:space="0" w:color="auto"/>
          </w:divBdr>
        </w:div>
        <w:div w:id="1104610850">
          <w:marLeft w:val="480"/>
          <w:marRight w:val="0"/>
          <w:marTop w:val="0"/>
          <w:marBottom w:val="0"/>
          <w:divBdr>
            <w:top w:val="none" w:sz="0" w:space="0" w:color="auto"/>
            <w:left w:val="none" w:sz="0" w:space="0" w:color="auto"/>
            <w:bottom w:val="none" w:sz="0" w:space="0" w:color="auto"/>
            <w:right w:val="none" w:sz="0" w:space="0" w:color="auto"/>
          </w:divBdr>
        </w:div>
        <w:div w:id="2092698480">
          <w:marLeft w:val="480"/>
          <w:marRight w:val="0"/>
          <w:marTop w:val="0"/>
          <w:marBottom w:val="0"/>
          <w:divBdr>
            <w:top w:val="none" w:sz="0" w:space="0" w:color="auto"/>
            <w:left w:val="none" w:sz="0" w:space="0" w:color="auto"/>
            <w:bottom w:val="none" w:sz="0" w:space="0" w:color="auto"/>
            <w:right w:val="none" w:sz="0" w:space="0" w:color="auto"/>
          </w:divBdr>
        </w:div>
        <w:div w:id="1554657335">
          <w:marLeft w:val="480"/>
          <w:marRight w:val="0"/>
          <w:marTop w:val="0"/>
          <w:marBottom w:val="0"/>
          <w:divBdr>
            <w:top w:val="none" w:sz="0" w:space="0" w:color="auto"/>
            <w:left w:val="none" w:sz="0" w:space="0" w:color="auto"/>
            <w:bottom w:val="none" w:sz="0" w:space="0" w:color="auto"/>
            <w:right w:val="none" w:sz="0" w:space="0" w:color="auto"/>
          </w:divBdr>
        </w:div>
        <w:div w:id="364596327">
          <w:marLeft w:val="480"/>
          <w:marRight w:val="0"/>
          <w:marTop w:val="0"/>
          <w:marBottom w:val="0"/>
          <w:divBdr>
            <w:top w:val="none" w:sz="0" w:space="0" w:color="auto"/>
            <w:left w:val="none" w:sz="0" w:space="0" w:color="auto"/>
            <w:bottom w:val="none" w:sz="0" w:space="0" w:color="auto"/>
            <w:right w:val="none" w:sz="0" w:space="0" w:color="auto"/>
          </w:divBdr>
        </w:div>
        <w:div w:id="274869282">
          <w:marLeft w:val="480"/>
          <w:marRight w:val="0"/>
          <w:marTop w:val="0"/>
          <w:marBottom w:val="0"/>
          <w:divBdr>
            <w:top w:val="none" w:sz="0" w:space="0" w:color="auto"/>
            <w:left w:val="none" w:sz="0" w:space="0" w:color="auto"/>
            <w:bottom w:val="none" w:sz="0" w:space="0" w:color="auto"/>
            <w:right w:val="none" w:sz="0" w:space="0" w:color="auto"/>
          </w:divBdr>
        </w:div>
        <w:div w:id="1924992474">
          <w:marLeft w:val="480"/>
          <w:marRight w:val="0"/>
          <w:marTop w:val="0"/>
          <w:marBottom w:val="0"/>
          <w:divBdr>
            <w:top w:val="none" w:sz="0" w:space="0" w:color="auto"/>
            <w:left w:val="none" w:sz="0" w:space="0" w:color="auto"/>
            <w:bottom w:val="none" w:sz="0" w:space="0" w:color="auto"/>
            <w:right w:val="none" w:sz="0" w:space="0" w:color="auto"/>
          </w:divBdr>
        </w:div>
        <w:div w:id="1546525810">
          <w:marLeft w:val="480"/>
          <w:marRight w:val="0"/>
          <w:marTop w:val="0"/>
          <w:marBottom w:val="0"/>
          <w:divBdr>
            <w:top w:val="none" w:sz="0" w:space="0" w:color="auto"/>
            <w:left w:val="none" w:sz="0" w:space="0" w:color="auto"/>
            <w:bottom w:val="none" w:sz="0" w:space="0" w:color="auto"/>
            <w:right w:val="none" w:sz="0" w:space="0" w:color="auto"/>
          </w:divBdr>
        </w:div>
        <w:div w:id="1774935607">
          <w:marLeft w:val="480"/>
          <w:marRight w:val="0"/>
          <w:marTop w:val="0"/>
          <w:marBottom w:val="0"/>
          <w:divBdr>
            <w:top w:val="none" w:sz="0" w:space="0" w:color="auto"/>
            <w:left w:val="none" w:sz="0" w:space="0" w:color="auto"/>
            <w:bottom w:val="none" w:sz="0" w:space="0" w:color="auto"/>
            <w:right w:val="none" w:sz="0" w:space="0" w:color="auto"/>
          </w:divBdr>
        </w:div>
        <w:div w:id="730664241">
          <w:marLeft w:val="480"/>
          <w:marRight w:val="0"/>
          <w:marTop w:val="0"/>
          <w:marBottom w:val="0"/>
          <w:divBdr>
            <w:top w:val="none" w:sz="0" w:space="0" w:color="auto"/>
            <w:left w:val="none" w:sz="0" w:space="0" w:color="auto"/>
            <w:bottom w:val="none" w:sz="0" w:space="0" w:color="auto"/>
            <w:right w:val="none" w:sz="0" w:space="0" w:color="auto"/>
          </w:divBdr>
        </w:div>
        <w:div w:id="594870479">
          <w:marLeft w:val="480"/>
          <w:marRight w:val="0"/>
          <w:marTop w:val="0"/>
          <w:marBottom w:val="0"/>
          <w:divBdr>
            <w:top w:val="none" w:sz="0" w:space="0" w:color="auto"/>
            <w:left w:val="none" w:sz="0" w:space="0" w:color="auto"/>
            <w:bottom w:val="none" w:sz="0" w:space="0" w:color="auto"/>
            <w:right w:val="none" w:sz="0" w:space="0" w:color="auto"/>
          </w:divBdr>
        </w:div>
        <w:div w:id="1945990857">
          <w:marLeft w:val="480"/>
          <w:marRight w:val="0"/>
          <w:marTop w:val="0"/>
          <w:marBottom w:val="0"/>
          <w:divBdr>
            <w:top w:val="none" w:sz="0" w:space="0" w:color="auto"/>
            <w:left w:val="none" w:sz="0" w:space="0" w:color="auto"/>
            <w:bottom w:val="none" w:sz="0" w:space="0" w:color="auto"/>
            <w:right w:val="none" w:sz="0" w:space="0" w:color="auto"/>
          </w:divBdr>
        </w:div>
        <w:div w:id="1171487652">
          <w:marLeft w:val="480"/>
          <w:marRight w:val="0"/>
          <w:marTop w:val="0"/>
          <w:marBottom w:val="0"/>
          <w:divBdr>
            <w:top w:val="none" w:sz="0" w:space="0" w:color="auto"/>
            <w:left w:val="none" w:sz="0" w:space="0" w:color="auto"/>
            <w:bottom w:val="none" w:sz="0" w:space="0" w:color="auto"/>
            <w:right w:val="none" w:sz="0" w:space="0" w:color="auto"/>
          </w:divBdr>
        </w:div>
        <w:div w:id="473840282">
          <w:marLeft w:val="480"/>
          <w:marRight w:val="0"/>
          <w:marTop w:val="0"/>
          <w:marBottom w:val="0"/>
          <w:divBdr>
            <w:top w:val="none" w:sz="0" w:space="0" w:color="auto"/>
            <w:left w:val="none" w:sz="0" w:space="0" w:color="auto"/>
            <w:bottom w:val="none" w:sz="0" w:space="0" w:color="auto"/>
            <w:right w:val="none" w:sz="0" w:space="0" w:color="auto"/>
          </w:divBdr>
        </w:div>
        <w:div w:id="214244156">
          <w:marLeft w:val="480"/>
          <w:marRight w:val="0"/>
          <w:marTop w:val="0"/>
          <w:marBottom w:val="0"/>
          <w:divBdr>
            <w:top w:val="none" w:sz="0" w:space="0" w:color="auto"/>
            <w:left w:val="none" w:sz="0" w:space="0" w:color="auto"/>
            <w:bottom w:val="none" w:sz="0" w:space="0" w:color="auto"/>
            <w:right w:val="none" w:sz="0" w:space="0" w:color="auto"/>
          </w:divBdr>
        </w:div>
        <w:div w:id="2049336039">
          <w:marLeft w:val="480"/>
          <w:marRight w:val="0"/>
          <w:marTop w:val="0"/>
          <w:marBottom w:val="0"/>
          <w:divBdr>
            <w:top w:val="none" w:sz="0" w:space="0" w:color="auto"/>
            <w:left w:val="none" w:sz="0" w:space="0" w:color="auto"/>
            <w:bottom w:val="none" w:sz="0" w:space="0" w:color="auto"/>
            <w:right w:val="none" w:sz="0" w:space="0" w:color="auto"/>
          </w:divBdr>
        </w:div>
        <w:div w:id="1786970750">
          <w:marLeft w:val="480"/>
          <w:marRight w:val="0"/>
          <w:marTop w:val="0"/>
          <w:marBottom w:val="0"/>
          <w:divBdr>
            <w:top w:val="none" w:sz="0" w:space="0" w:color="auto"/>
            <w:left w:val="none" w:sz="0" w:space="0" w:color="auto"/>
            <w:bottom w:val="none" w:sz="0" w:space="0" w:color="auto"/>
            <w:right w:val="none" w:sz="0" w:space="0" w:color="auto"/>
          </w:divBdr>
        </w:div>
        <w:div w:id="530607678">
          <w:marLeft w:val="480"/>
          <w:marRight w:val="0"/>
          <w:marTop w:val="0"/>
          <w:marBottom w:val="0"/>
          <w:divBdr>
            <w:top w:val="none" w:sz="0" w:space="0" w:color="auto"/>
            <w:left w:val="none" w:sz="0" w:space="0" w:color="auto"/>
            <w:bottom w:val="none" w:sz="0" w:space="0" w:color="auto"/>
            <w:right w:val="none" w:sz="0" w:space="0" w:color="auto"/>
          </w:divBdr>
        </w:div>
        <w:div w:id="397095543">
          <w:marLeft w:val="480"/>
          <w:marRight w:val="0"/>
          <w:marTop w:val="0"/>
          <w:marBottom w:val="0"/>
          <w:divBdr>
            <w:top w:val="none" w:sz="0" w:space="0" w:color="auto"/>
            <w:left w:val="none" w:sz="0" w:space="0" w:color="auto"/>
            <w:bottom w:val="none" w:sz="0" w:space="0" w:color="auto"/>
            <w:right w:val="none" w:sz="0" w:space="0" w:color="auto"/>
          </w:divBdr>
        </w:div>
        <w:div w:id="793252345">
          <w:marLeft w:val="480"/>
          <w:marRight w:val="0"/>
          <w:marTop w:val="0"/>
          <w:marBottom w:val="0"/>
          <w:divBdr>
            <w:top w:val="none" w:sz="0" w:space="0" w:color="auto"/>
            <w:left w:val="none" w:sz="0" w:space="0" w:color="auto"/>
            <w:bottom w:val="none" w:sz="0" w:space="0" w:color="auto"/>
            <w:right w:val="none" w:sz="0" w:space="0" w:color="auto"/>
          </w:divBdr>
        </w:div>
        <w:div w:id="1471745123">
          <w:marLeft w:val="480"/>
          <w:marRight w:val="0"/>
          <w:marTop w:val="0"/>
          <w:marBottom w:val="0"/>
          <w:divBdr>
            <w:top w:val="none" w:sz="0" w:space="0" w:color="auto"/>
            <w:left w:val="none" w:sz="0" w:space="0" w:color="auto"/>
            <w:bottom w:val="none" w:sz="0" w:space="0" w:color="auto"/>
            <w:right w:val="none" w:sz="0" w:space="0" w:color="auto"/>
          </w:divBdr>
        </w:div>
        <w:div w:id="495414514">
          <w:marLeft w:val="480"/>
          <w:marRight w:val="0"/>
          <w:marTop w:val="0"/>
          <w:marBottom w:val="0"/>
          <w:divBdr>
            <w:top w:val="none" w:sz="0" w:space="0" w:color="auto"/>
            <w:left w:val="none" w:sz="0" w:space="0" w:color="auto"/>
            <w:bottom w:val="none" w:sz="0" w:space="0" w:color="auto"/>
            <w:right w:val="none" w:sz="0" w:space="0" w:color="auto"/>
          </w:divBdr>
        </w:div>
        <w:div w:id="1881435579">
          <w:marLeft w:val="480"/>
          <w:marRight w:val="0"/>
          <w:marTop w:val="0"/>
          <w:marBottom w:val="0"/>
          <w:divBdr>
            <w:top w:val="none" w:sz="0" w:space="0" w:color="auto"/>
            <w:left w:val="none" w:sz="0" w:space="0" w:color="auto"/>
            <w:bottom w:val="none" w:sz="0" w:space="0" w:color="auto"/>
            <w:right w:val="none" w:sz="0" w:space="0" w:color="auto"/>
          </w:divBdr>
        </w:div>
        <w:div w:id="784076499">
          <w:marLeft w:val="480"/>
          <w:marRight w:val="0"/>
          <w:marTop w:val="0"/>
          <w:marBottom w:val="0"/>
          <w:divBdr>
            <w:top w:val="none" w:sz="0" w:space="0" w:color="auto"/>
            <w:left w:val="none" w:sz="0" w:space="0" w:color="auto"/>
            <w:bottom w:val="none" w:sz="0" w:space="0" w:color="auto"/>
            <w:right w:val="none" w:sz="0" w:space="0" w:color="auto"/>
          </w:divBdr>
        </w:div>
        <w:div w:id="989747404">
          <w:marLeft w:val="480"/>
          <w:marRight w:val="0"/>
          <w:marTop w:val="0"/>
          <w:marBottom w:val="0"/>
          <w:divBdr>
            <w:top w:val="none" w:sz="0" w:space="0" w:color="auto"/>
            <w:left w:val="none" w:sz="0" w:space="0" w:color="auto"/>
            <w:bottom w:val="none" w:sz="0" w:space="0" w:color="auto"/>
            <w:right w:val="none" w:sz="0" w:space="0" w:color="auto"/>
          </w:divBdr>
        </w:div>
        <w:div w:id="925990506">
          <w:marLeft w:val="480"/>
          <w:marRight w:val="0"/>
          <w:marTop w:val="0"/>
          <w:marBottom w:val="0"/>
          <w:divBdr>
            <w:top w:val="none" w:sz="0" w:space="0" w:color="auto"/>
            <w:left w:val="none" w:sz="0" w:space="0" w:color="auto"/>
            <w:bottom w:val="none" w:sz="0" w:space="0" w:color="auto"/>
            <w:right w:val="none" w:sz="0" w:space="0" w:color="auto"/>
          </w:divBdr>
        </w:div>
        <w:div w:id="1043481168">
          <w:marLeft w:val="480"/>
          <w:marRight w:val="0"/>
          <w:marTop w:val="0"/>
          <w:marBottom w:val="0"/>
          <w:divBdr>
            <w:top w:val="none" w:sz="0" w:space="0" w:color="auto"/>
            <w:left w:val="none" w:sz="0" w:space="0" w:color="auto"/>
            <w:bottom w:val="none" w:sz="0" w:space="0" w:color="auto"/>
            <w:right w:val="none" w:sz="0" w:space="0" w:color="auto"/>
          </w:divBdr>
        </w:div>
        <w:div w:id="1968581529">
          <w:marLeft w:val="480"/>
          <w:marRight w:val="0"/>
          <w:marTop w:val="0"/>
          <w:marBottom w:val="0"/>
          <w:divBdr>
            <w:top w:val="none" w:sz="0" w:space="0" w:color="auto"/>
            <w:left w:val="none" w:sz="0" w:space="0" w:color="auto"/>
            <w:bottom w:val="none" w:sz="0" w:space="0" w:color="auto"/>
            <w:right w:val="none" w:sz="0" w:space="0" w:color="auto"/>
          </w:divBdr>
        </w:div>
        <w:div w:id="1629705806">
          <w:marLeft w:val="480"/>
          <w:marRight w:val="0"/>
          <w:marTop w:val="0"/>
          <w:marBottom w:val="0"/>
          <w:divBdr>
            <w:top w:val="none" w:sz="0" w:space="0" w:color="auto"/>
            <w:left w:val="none" w:sz="0" w:space="0" w:color="auto"/>
            <w:bottom w:val="none" w:sz="0" w:space="0" w:color="auto"/>
            <w:right w:val="none" w:sz="0" w:space="0" w:color="auto"/>
          </w:divBdr>
        </w:div>
        <w:div w:id="1433551834">
          <w:marLeft w:val="480"/>
          <w:marRight w:val="0"/>
          <w:marTop w:val="0"/>
          <w:marBottom w:val="0"/>
          <w:divBdr>
            <w:top w:val="none" w:sz="0" w:space="0" w:color="auto"/>
            <w:left w:val="none" w:sz="0" w:space="0" w:color="auto"/>
            <w:bottom w:val="none" w:sz="0" w:space="0" w:color="auto"/>
            <w:right w:val="none" w:sz="0" w:space="0" w:color="auto"/>
          </w:divBdr>
        </w:div>
        <w:div w:id="737477547">
          <w:marLeft w:val="480"/>
          <w:marRight w:val="0"/>
          <w:marTop w:val="0"/>
          <w:marBottom w:val="0"/>
          <w:divBdr>
            <w:top w:val="none" w:sz="0" w:space="0" w:color="auto"/>
            <w:left w:val="none" w:sz="0" w:space="0" w:color="auto"/>
            <w:bottom w:val="none" w:sz="0" w:space="0" w:color="auto"/>
            <w:right w:val="none" w:sz="0" w:space="0" w:color="auto"/>
          </w:divBdr>
        </w:div>
        <w:div w:id="2005010431">
          <w:marLeft w:val="480"/>
          <w:marRight w:val="0"/>
          <w:marTop w:val="0"/>
          <w:marBottom w:val="0"/>
          <w:divBdr>
            <w:top w:val="none" w:sz="0" w:space="0" w:color="auto"/>
            <w:left w:val="none" w:sz="0" w:space="0" w:color="auto"/>
            <w:bottom w:val="none" w:sz="0" w:space="0" w:color="auto"/>
            <w:right w:val="none" w:sz="0" w:space="0" w:color="auto"/>
          </w:divBdr>
        </w:div>
        <w:div w:id="1831168922">
          <w:marLeft w:val="480"/>
          <w:marRight w:val="0"/>
          <w:marTop w:val="0"/>
          <w:marBottom w:val="0"/>
          <w:divBdr>
            <w:top w:val="none" w:sz="0" w:space="0" w:color="auto"/>
            <w:left w:val="none" w:sz="0" w:space="0" w:color="auto"/>
            <w:bottom w:val="none" w:sz="0" w:space="0" w:color="auto"/>
            <w:right w:val="none" w:sz="0" w:space="0" w:color="auto"/>
          </w:divBdr>
        </w:div>
        <w:div w:id="1853835375">
          <w:marLeft w:val="480"/>
          <w:marRight w:val="0"/>
          <w:marTop w:val="0"/>
          <w:marBottom w:val="0"/>
          <w:divBdr>
            <w:top w:val="none" w:sz="0" w:space="0" w:color="auto"/>
            <w:left w:val="none" w:sz="0" w:space="0" w:color="auto"/>
            <w:bottom w:val="none" w:sz="0" w:space="0" w:color="auto"/>
            <w:right w:val="none" w:sz="0" w:space="0" w:color="auto"/>
          </w:divBdr>
        </w:div>
        <w:div w:id="1553037028">
          <w:marLeft w:val="480"/>
          <w:marRight w:val="0"/>
          <w:marTop w:val="0"/>
          <w:marBottom w:val="0"/>
          <w:divBdr>
            <w:top w:val="none" w:sz="0" w:space="0" w:color="auto"/>
            <w:left w:val="none" w:sz="0" w:space="0" w:color="auto"/>
            <w:bottom w:val="none" w:sz="0" w:space="0" w:color="auto"/>
            <w:right w:val="none" w:sz="0" w:space="0" w:color="auto"/>
          </w:divBdr>
        </w:div>
        <w:div w:id="172885947">
          <w:marLeft w:val="480"/>
          <w:marRight w:val="0"/>
          <w:marTop w:val="0"/>
          <w:marBottom w:val="0"/>
          <w:divBdr>
            <w:top w:val="none" w:sz="0" w:space="0" w:color="auto"/>
            <w:left w:val="none" w:sz="0" w:space="0" w:color="auto"/>
            <w:bottom w:val="none" w:sz="0" w:space="0" w:color="auto"/>
            <w:right w:val="none" w:sz="0" w:space="0" w:color="auto"/>
          </w:divBdr>
        </w:div>
        <w:div w:id="487671674">
          <w:marLeft w:val="480"/>
          <w:marRight w:val="0"/>
          <w:marTop w:val="0"/>
          <w:marBottom w:val="0"/>
          <w:divBdr>
            <w:top w:val="none" w:sz="0" w:space="0" w:color="auto"/>
            <w:left w:val="none" w:sz="0" w:space="0" w:color="auto"/>
            <w:bottom w:val="none" w:sz="0" w:space="0" w:color="auto"/>
            <w:right w:val="none" w:sz="0" w:space="0" w:color="auto"/>
          </w:divBdr>
        </w:div>
        <w:div w:id="2072656605">
          <w:marLeft w:val="480"/>
          <w:marRight w:val="0"/>
          <w:marTop w:val="0"/>
          <w:marBottom w:val="0"/>
          <w:divBdr>
            <w:top w:val="none" w:sz="0" w:space="0" w:color="auto"/>
            <w:left w:val="none" w:sz="0" w:space="0" w:color="auto"/>
            <w:bottom w:val="none" w:sz="0" w:space="0" w:color="auto"/>
            <w:right w:val="none" w:sz="0" w:space="0" w:color="auto"/>
          </w:divBdr>
        </w:div>
        <w:div w:id="720397111">
          <w:marLeft w:val="480"/>
          <w:marRight w:val="0"/>
          <w:marTop w:val="0"/>
          <w:marBottom w:val="0"/>
          <w:divBdr>
            <w:top w:val="none" w:sz="0" w:space="0" w:color="auto"/>
            <w:left w:val="none" w:sz="0" w:space="0" w:color="auto"/>
            <w:bottom w:val="none" w:sz="0" w:space="0" w:color="auto"/>
            <w:right w:val="none" w:sz="0" w:space="0" w:color="auto"/>
          </w:divBdr>
        </w:div>
        <w:div w:id="309095944">
          <w:marLeft w:val="480"/>
          <w:marRight w:val="0"/>
          <w:marTop w:val="0"/>
          <w:marBottom w:val="0"/>
          <w:divBdr>
            <w:top w:val="none" w:sz="0" w:space="0" w:color="auto"/>
            <w:left w:val="none" w:sz="0" w:space="0" w:color="auto"/>
            <w:bottom w:val="none" w:sz="0" w:space="0" w:color="auto"/>
            <w:right w:val="none" w:sz="0" w:space="0" w:color="auto"/>
          </w:divBdr>
        </w:div>
        <w:div w:id="913005408">
          <w:marLeft w:val="480"/>
          <w:marRight w:val="0"/>
          <w:marTop w:val="0"/>
          <w:marBottom w:val="0"/>
          <w:divBdr>
            <w:top w:val="none" w:sz="0" w:space="0" w:color="auto"/>
            <w:left w:val="none" w:sz="0" w:space="0" w:color="auto"/>
            <w:bottom w:val="none" w:sz="0" w:space="0" w:color="auto"/>
            <w:right w:val="none" w:sz="0" w:space="0" w:color="auto"/>
          </w:divBdr>
        </w:div>
        <w:div w:id="446004861">
          <w:marLeft w:val="480"/>
          <w:marRight w:val="0"/>
          <w:marTop w:val="0"/>
          <w:marBottom w:val="0"/>
          <w:divBdr>
            <w:top w:val="none" w:sz="0" w:space="0" w:color="auto"/>
            <w:left w:val="none" w:sz="0" w:space="0" w:color="auto"/>
            <w:bottom w:val="none" w:sz="0" w:space="0" w:color="auto"/>
            <w:right w:val="none" w:sz="0" w:space="0" w:color="auto"/>
          </w:divBdr>
        </w:div>
      </w:divsChild>
    </w:div>
    <w:div w:id="1810710045">
      <w:bodyDiv w:val="1"/>
      <w:marLeft w:val="0"/>
      <w:marRight w:val="0"/>
      <w:marTop w:val="0"/>
      <w:marBottom w:val="0"/>
      <w:divBdr>
        <w:top w:val="none" w:sz="0" w:space="0" w:color="auto"/>
        <w:left w:val="none" w:sz="0" w:space="0" w:color="auto"/>
        <w:bottom w:val="none" w:sz="0" w:space="0" w:color="auto"/>
        <w:right w:val="none" w:sz="0" w:space="0" w:color="auto"/>
      </w:divBdr>
    </w:div>
    <w:div w:id="1810784283">
      <w:bodyDiv w:val="1"/>
      <w:marLeft w:val="0"/>
      <w:marRight w:val="0"/>
      <w:marTop w:val="0"/>
      <w:marBottom w:val="0"/>
      <w:divBdr>
        <w:top w:val="none" w:sz="0" w:space="0" w:color="auto"/>
        <w:left w:val="none" w:sz="0" w:space="0" w:color="auto"/>
        <w:bottom w:val="none" w:sz="0" w:space="0" w:color="auto"/>
        <w:right w:val="none" w:sz="0" w:space="0" w:color="auto"/>
      </w:divBdr>
    </w:div>
    <w:div w:id="1811702372">
      <w:bodyDiv w:val="1"/>
      <w:marLeft w:val="0"/>
      <w:marRight w:val="0"/>
      <w:marTop w:val="0"/>
      <w:marBottom w:val="0"/>
      <w:divBdr>
        <w:top w:val="none" w:sz="0" w:space="0" w:color="auto"/>
        <w:left w:val="none" w:sz="0" w:space="0" w:color="auto"/>
        <w:bottom w:val="none" w:sz="0" w:space="0" w:color="auto"/>
        <w:right w:val="none" w:sz="0" w:space="0" w:color="auto"/>
      </w:divBdr>
    </w:div>
    <w:div w:id="1812136733">
      <w:bodyDiv w:val="1"/>
      <w:marLeft w:val="0"/>
      <w:marRight w:val="0"/>
      <w:marTop w:val="0"/>
      <w:marBottom w:val="0"/>
      <w:divBdr>
        <w:top w:val="none" w:sz="0" w:space="0" w:color="auto"/>
        <w:left w:val="none" w:sz="0" w:space="0" w:color="auto"/>
        <w:bottom w:val="none" w:sz="0" w:space="0" w:color="auto"/>
        <w:right w:val="none" w:sz="0" w:space="0" w:color="auto"/>
      </w:divBdr>
    </w:div>
    <w:div w:id="1812601417">
      <w:bodyDiv w:val="1"/>
      <w:marLeft w:val="0"/>
      <w:marRight w:val="0"/>
      <w:marTop w:val="0"/>
      <w:marBottom w:val="0"/>
      <w:divBdr>
        <w:top w:val="none" w:sz="0" w:space="0" w:color="auto"/>
        <w:left w:val="none" w:sz="0" w:space="0" w:color="auto"/>
        <w:bottom w:val="none" w:sz="0" w:space="0" w:color="auto"/>
        <w:right w:val="none" w:sz="0" w:space="0" w:color="auto"/>
      </w:divBdr>
    </w:div>
    <w:div w:id="1812865329">
      <w:bodyDiv w:val="1"/>
      <w:marLeft w:val="0"/>
      <w:marRight w:val="0"/>
      <w:marTop w:val="0"/>
      <w:marBottom w:val="0"/>
      <w:divBdr>
        <w:top w:val="none" w:sz="0" w:space="0" w:color="auto"/>
        <w:left w:val="none" w:sz="0" w:space="0" w:color="auto"/>
        <w:bottom w:val="none" w:sz="0" w:space="0" w:color="auto"/>
        <w:right w:val="none" w:sz="0" w:space="0" w:color="auto"/>
      </w:divBdr>
    </w:div>
    <w:div w:id="1812988755">
      <w:bodyDiv w:val="1"/>
      <w:marLeft w:val="0"/>
      <w:marRight w:val="0"/>
      <w:marTop w:val="0"/>
      <w:marBottom w:val="0"/>
      <w:divBdr>
        <w:top w:val="none" w:sz="0" w:space="0" w:color="auto"/>
        <w:left w:val="none" w:sz="0" w:space="0" w:color="auto"/>
        <w:bottom w:val="none" w:sz="0" w:space="0" w:color="auto"/>
        <w:right w:val="none" w:sz="0" w:space="0" w:color="auto"/>
      </w:divBdr>
    </w:div>
    <w:div w:id="1813448264">
      <w:bodyDiv w:val="1"/>
      <w:marLeft w:val="0"/>
      <w:marRight w:val="0"/>
      <w:marTop w:val="0"/>
      <w:marBottom w:val="0"/>
      <w:divBdr>
        <w:top w:val="none" w:sz="0" w:space="0" w:color="auto"/>
        <w:left w:val="none" w:sz="0" w:space="0" w:color="auto"/>
        <w:bottom w:val="none" w:sz="0" w:space="0" w:color="auto"/>
        <w:right w:val="none" w:sz="0" w:space="0" w:color="auto"/>
      </w:divBdr>
    </w:div>
    <w:div w:id="1813863738">
      <w:bodyDiv w:val="1"/>
      <w:marLeft w:val="0"/>
      <w:marRight w:val="0"/>
      <w:marTop w:val="0"/>
      <w:marBottom w:val="0"/>
      <w:divBdr>
        <w:top w:val="none" w:sz="0" w:space="0" w:color="auto"/>
        <w:left w:val="none" w:sz="0" w:space="0" w:color="auto"/>
        <w:bottom w:val="none" w:sz="0" w:space="0" w:color="auto"/>
        <w:right w:val="none" w:sz="0" w:space="0" w:color="auto"/>
      </w:divBdr>
    </w:div>
    <w:div w:id="1814834043">
      <w:bodyDiv w:val="1"/>
      <w:marLeft w:val="0"/>
      <w:marRight w:val="0"/>
      <w:marTop w:val="0"/>
      <w:marBottom w:val="0"/>
      <w:divBdr>
        <w:top w:val="none" w:sz="0" w:space="0" w:color="auto"/>
        <w:left w:val="none" w:sz="0" w:space="0" w:color="auto"/>
        <w:bottom w:val="none" w:sz="0" w:space="0" w:color="auto"/>
        <w:right w:val="none" w:sz="0" w:space="0" w:color="auto"/>
      </w:divBdr>
    </w:div>
    <w:div w:id="1814985024">
      <w:bodyDiv w:val="1"/>
      <w:marLeft w:val="0"/>
      <w:marRight w:val="0"/>
      <w:marTop w:val="0"/>
      <w:marBottom w:val="0"/>
      <w:divBdr>
        <w:top w:val="none" w:sz="0" w:space="0" w:color="auto"/>
        <w:left w:val="none" w:sz="0" w:space="0" w:color="auto"/>
        <w:bottom w:val="none" w:sz="0" w:space="0" w:color="auto"/>
        <w:right w:val="none" w:sz="0" w:space="0" w:color="auto"/>
      </w:divBdr>
    </w:div>
    <w:div w:id="1815216409">
      <w:bodyDiv w:val="1"/>
      <w:marLeft w:val="0"/>
      <w:marRight w:val="0"/>
      <w:marTop w:val="0"/>
      <w:marBottom w:val="0"/>
      <w:divBdr>
        <w:top w:val="none" w:sz="0" w:space="0" w:color="auto"/>
        <w:left w:val="none" w:sz="0" w:space="0" w:color="auto"/>
        <w:bottom w:val="none" w:sz="0" w:space="0" w:color="auto"/>
        <w:right w:val="none" w:sz="0" w:space="0" w:color="auto"/>
      </w:divBdr>
    </w:div>
    <w:div w:id="1816529643">
      <w:bodyDiv w:val="1"/>
      <w:marLeft w:val="0"/>
      <w:marRight w:val="0"/>
      <w:marTop w:val="0"/>
      <w:marBottom w:val="0"/>
      <w:divBdr>
        <w:top w:val="none" w:sz="0" w:space="0" w:color="auto"/>
        <w:left w:val="none" w:sz="0" w:space="0" w:color="auto"/>
        <w:bottom w:val="none" w:sz="0" w:space="0" w:color="auto"/>
        <w:right w:val="none" w:sz="0" w:space="0" w:color="auto"/>
      </w:divBdr>
    </w:div>
    <w:div w:id="1816870524">
      <w:bodyDiv w:val="1"/>
      <w:marLeft w:val="0"/>
      <w:marRight w:val="0"/>
      <w:marTop w:val="0"/>
      <w:marBottom w:val="0"/>
      <w:divBdr>
        <w:top w:val="none" w:sz="0" w:space="0" w:color="auto"/>
        <w:left w:val="none" w:sz="0" w:space="0" w:color="auto"/>
        <w:bottom w:val="none" w:sz="0" w:space="0" w:color="auto"/>
        <w:right w:val="none" w:sz="0" w:space="0" w:color="auto"/>
      </w:divBdr>
    </w:div>
    <w:div w:id="1817062430">
      <w:bodyDiv w:val="1"/>
      <w:marLeft w:val="0"/>
      <w:marRight w:val="0"/>
      <w:marTop w:val="0"/>
      <w:marBottom w:val="0"/>
      <w:divBdr>
        <w:top w:val="none" w:sz="0" w:space="0" w:color="auto"/>
        <w:left w:val="none" w:sz="0" w:space="0" w:color="auto"/>
        <w:bottom w:val="none" w:sz="0" w:space="0" w:color="auto"/>
        <w:right w:val="none" w:sz="0" w:space="0" w:color="auto"/>
      </w:divBdr>
    </w:div>
    <w:div w:id="1817137609">
      <w:bodyDiv w:val="1"/>
      <w:marLeft w:val="0"/>
      <w:marRight w:val="0"/>
      <w:marTop w:val="0"/>
      <w:marBottom w:val="0"/>
      <w:divBdr>
        <w:top w:val="none" w:sz="0" w:space="0" w:color="auto"/>
        <w:left w:val="none" w:sz="0" w:space="0" w:color="auto"/>
        <w:bottom w:val="none" w:sz="0" w:space="0" w:color="auto"/>
        <w:right w:val="none" w:sz="0" w:space="0" w:color="auto"/>
      </w:divBdr>
    </w:div>
    <w:div w:id="1817645134">
      <w:bodyDiv w:val="1"/>
      <w:marLeft w:val="0"/>
      <w:marRight w:val="0"/>
      <w:marTop w:val="0"/>
      <w:marBottom w:val="0"/>
      <w:divBdr>
        <w:top w:val="none" w:sz="0" w:space="0" w:color="auto"/>
        <w:left w:val="none" w:sz="0" w:space="0" w:color="auto"/>
        <w:bottom w:val="none" w:sz="0" w:space="0" w:color="auto"/>
        <w:right w:val="none" w:sz="0" w:space="0" w:color="auto"/>
      </w:divBdr>
    </w:div>
    <w:div w:id="1818640623">
      <w:bodyDiv w:val="1"/>
      <w:marLeft w:val="0"/>
      <w:marRight w:val="0"/>
      <w:marTop w:val="0"/>
      <w:marBottom w:val="0"/>
      <w:divBdr>
        <w:top w:val="none" w:sz="0" w:space="0" w:color="auto"/>
        <w:left w:val="none" w:sz="0" w:space="0" w:color="auto"/>
        <w:bottom w:val="none" w:sz="0" w:space="0" w:color="auto"/>
        <w:right w:val="none" w:sz="0" w:space="0" w:color="auto"/>
      </w:divBdr>
    </w:div>
    <w:div w:id="1820144915">
      <w:bodyDiv w:val="1"/>
      <w:marLeft w:val="0"/>
      <w:marRight w:val="0"/>
      <w:marTop w:val="0"/>
      <w:marBottom w:val="0"/>
      <w:divBdr>
        <w:top w:val="none" w:sz="0" w:space="0" w:color="auto"/>
        <w:left w:val="none" w:sz="0" w:space="0" w:color="auto"/>
        <w:bottom w:val="none" w:sz="0" w:space="0" w:color="auto"/>
        <w:right w:val="none" w:sz="0" w:space="0" w:color="auto"/>
      </w:divBdr>
    </w:div>
    <w:div w:id="1820263293">
      <w:bodyDiv w:val="1"/>
      <w:marLeft w:val="0"/>
      <w:marRight w:val="0"/>
      <w:marTop w:val="0"/>
      <w:marBottom w:val="0"/>
      <w:divBdr>
        <w:top w:val="none" w:sz="0" w:space="0" w:color="auto"/>
        <w:left w:val="none" w:sz="0" w:space="0" w:color="auto"/>
        <w:bottom w:val="none" w:sz="0" w:space="0" w:color="auto"/>
        <w:right w:val="none" w:sz="0" w:space="0" w:color="auto"/>
      </w:divBdr>
    </w:div>
    <w:div w:id="1821187277">
      <w:bodyDiv w:val="1"/>
      <w:marLeft w:val="0"/>
      <w:marRight w:val="0"/>
      <w:marTop w:val="0"/>
      <w:marBottom w:val="0"/>
      <w:divBdr>
        <w:top w:val="none" w:sz="0" w:space="0" w:color="auto"/>
        <w:left w:val="none" w:sz="0" w:space="0" w:color="auto"/>
        <w:bottom w:val="none" w:sz="0" w:space="0" w:color="auto"/>
        <w:right w:val="none" w:sz="0" w:space="0" w:color="auto"/>
      </w:divBdr>
    </w:div>
    <w:div w:id="1821187589">
      <w:bodyDiv w:val="1"/>
      <w:marLeft w:val="0"/>
      <w:marRight w:val="0"/>
      <w:marTop w:val="0"/>
      <w:marBottom w:val="0"/>
      <w:divBdr>
        <w:top w:val="none" w:sz="0" w:space="0" w:color="auto"/>
        <w:left w:val="none" w:sz="0" w:space="0" w:color="auto"/>
        <w:bottom w:val="none" w:sz="0" w:space="0" w:color="auto"/>
        <w:right w:val="none" w:sz="0" w:space="0" w:color="auto"/>
      </w:divBdr>
    </w:div>
    <w:div w:id="1821312748">
      <w:bodyDiv w:val="1"/>
      <w:marLeft w:val="0"/>
      <w:marRight w:val="0"/>
      <w:marTop w:val="0"/>
      <w:marBottom w:val="0"/>
      <w:divBdr>
        <w:top w:val="none" w:sz="0" w:space="0" w:color="auto"/>
        <w:left w:val="none" w:sz="0" w:space="0" w:color="auto"/>
        <w:bottom w:val="none" w:sz="0" w:space="0" w:color="auto"/>
        <w:right w:val="none" w:sz="0" w:space="0" w:color="auto"/>
      </w:divBdr>
    </w:div>
    <w:div w:id="1821343538">
      <w:bodyDiv w:val="1"/>
      <w:marLeft w:val="0"/>
      <w:marRight w:val="0"/>
      <w:marTop w:val="0"/>
      <w:marBottom w:val="0"/>
      <w:divBdr>
        <w:top w:val="none" w:sz="0" w:space="0" w:color="auto"/>
        <w:left w:val="none" w:sz="0" w:space="0" w:color="auto"/>
        <w:bottom w:val="none" w:sz="0" w:space="0" w:color="auto"/>
        <w:right w:val="none" w:sz="0" w:space="0" w:color="auto"/>
      </w:divBdr>
    </w:div>
    <w:div w:id="1821969092">
      <w:bodyDiv w:val="1"/>
      <w:marLeft w:val="0"/>
      <w:marRight w:val="0"/>
      <w:marTop w:val="0"/>
      <w:marBottom w:val="0"/>
      <w:divBdr>
        <w:top w:val="none" w:sz="0" w:space="0" w:color="auto"/>
        <w:left w:val="none" w:sz="0" w:space="0" w:color="auto"/>
        <w:bottom w:val="none" w:sz="0" w:space="0" w:color="auto"/>
        <w:right w:val="none" w:sz="0" w:space="0" w:color="auto"/>
      </w:divBdr>
    </w:div>
    <w:div w:id="1822192452">
      <w:bodyDiv w:val="1"/>
      <w:marLeft w:val="0"/>
      <w:marRight w:val="0"/>
      <w:marTop w:val="0"/>
      <w:marBottom w:val="0"/>
      <w:divBdr>
        <w:top w:val="none" w:sz="0" w:space="0" w:color="auto"/>
        <w:left w:val="none" w:sz="0" w:space="0" w:color="auto"/>
        <w:bottom w:val="none" w:sz="0" w:space="0" w:color="auto"/>
        <w:right w:val="none" w:sz="0" w:space="0" w:color="auto"/>
      </w:divBdr>
    </w:div>
    <w:div w:id="1823153682">
      <w:bodyDiv w:val="1"/>
      <w:marLeft w:val="0"/>
      <w:marRight w:val="0"/>
      <w:marTop w:val="0"/>
      <w:marBottom w:val="0"/>
      <w:divBdr>
        <w:top w:val="none" w:sz="0" w:space="0" w:color="auto"/>
        <w:left w:val="none" w:sz="0" w:space="0" w:color="auto"/>
        <w:bottom w:val="none" w:sz="0" w:space="0" w:color="auto"/>
        <w:right w:val="none" w:sz="0" w:space="0" w:color="auto"/>
      </w:divBdr>
    </w:div>
    <w:div w:id="1823504122">
      <w:bodyDiv w:val="1"/>
      <w:marLeft w:val="0"/>
      <w:marRight w:val="0"/>
      <w:marTop w:val="0"/>
      <w:marBottom w:val="0"/>
      <w:divBdr>
        <w:top w:val="none" w:sz="0" w:space="0" w:color="auto"/>
        <w:left w:val="none" w:sz="0" w:space="0" w:color="auto"/>
        <w:bottom w:val="none" w:sz="0" w:space="0" w:color="auto"/>
        <w:right w:val="none" w:sz="0" w:space="0" w:color="auto"/>
      </w:divBdr>
    </w:div>
    <w:div w:id="1823543743">
      <w:bodyDiv w:val="1"/>
      <w:marLeft w:val="0"/>
      <w:marRight w:val="0"/>
      <w:marTop w:val="0"/>
      <w:marBottom w:val="0"/>
      <w:divBdr>
        <w:top w:val="none" w:sz="0" w:space="0" w:color="auto"/>
        <w:left w:val="none" w:sz="0" w:space="0" w:color="auto"/>
        <w:bottom w:val="none" w:sz="0" w:space="0" w:color="auto"/>
        <w:right w:val="none" w:sz="0" w:space="0" w:color="auto"/>
      </w:divBdr>
    </w:div>
    <w:div w:id="1825657037">
      <w:bodyDiv w:val="1"/>
      <w:marLeft w:val="0"/>
      <w:marRight w:val="0"/>
      <w:marTop w:val="0"/>
      <w:marBottom w:val="0"/>
      <w:divBdr>
        <w:top w:val="none" w:sz="0" w:space="0" w:color="auto"/>
        <w:left w:val="none" w:sz="0" w:space="0" w:color="auto"/>
        <w:bottom w:val="none" w:sz="0" w:space="0" w:color="auto"/>
        <w:right w:val="none" w:sz="0" w:space="0" w:color="auto"/>
      </w:divBdr>
    </w:div>
    <w:div w:id="1825899803">
      <w:bodyDiv w:val="1"/>
      <w:marLeft w:val="0"/>
      <w:marRight w:val="0"/>
      <w:marTop w:val="0"/>
      <w:marBottom w:val="0"/>
      <w:divBdr>
        <w:top w:val="none" w:sz="0" w:space="0" w:color="auto"/>
        <w:left w:val="none" w:sz="0" w:space="0" w:color="auto"/>
        <w:bottom w:val="none" w:sz="0" w:space="0" w:color="auto"/>
        <w:right w:val="none" w:sz="0" w:space="0" w:color="auto"/>
      </w:divBdr>
    </w:div>
    <w:div w:id="1825975564">
      <w:bodyDiv w:val="1"/>
      <w:marLeft w:val="0"/>
      <w:marRight w:val="0"/>
      <w:marTop w:val="0"/>
      <w:marBottom w:val="0"/>
      <w:divBdr>
        <w:top w:val="none" w:sz="0" w:space="0" w:color="auto"/>
        <w:left w:val="none" w:sz="0" w:space="0" w:color="auto"/>
        <w:bottom w:val="none" w:sz="0" w:space="0" w:color="auto"/>
        <w:right w:val="none" w:sz="0" w:space="0" w:color="auto"/>
      </w:divBdr>
    </w:div>
    <w:div w:id="1826240722">
      <w:bodyDiv w:val="1"/>
      <w:marLeft w:val="0"/>
      <w:marRight w:val="0"/>
      <w:marTop w:val="0"/>
      <w:marBottom w:val="0"/>
      <w:divBdr>
        <w:top w:val="none" w:sz="0" w:space="0" w:color="auto"/>
        <w:left w:val="none" w:sz="0" w:space="0" w:color="auto"/>
        <w:bottom w:val="none" w:sz="0" w:space="0" w:color="auto"/>
        <w:right w:val="none" w:sz="0" w:space="0" w:color="auto"/>
      </w:divBdr>
    </w:div>
    <w:div w:id="1826698996">
      <w:bodyDiv w:val="1"/>
      <w:marLeft w:val="0"/>
      <w:marRight w:val="0"/>
      <w:marTop w:val="0"/>
      <w:marBottom w:val="0"/>
      <w:divBdr>
        <w:top w:val="none" w:sz="0" w:space="0" w:color="auto"/>
        <w:left w:val="none" w:sz="0" w:space="0" w:color="auto"/>
        <w:bottom w:val="none" w:sz="0" w:space="0" w:color="auto"/>
        <w:right w:val="none" w:sz="0" w:space="0" w:color="auto"/>
      </w:divBdr>
    </w:div>
    <w:div w:id="1826817355">
      <w:bodyDiv w:val="1"/>
      <w:marLeft w:val="0"/>
      <w:marRight w:val="0"/>
      <w:marTop w:val="0"/>
      <w:marBottom w:val="0"/>
      <w:divBdr>
        <w:top w:val="none" w:sz="0" w:space="0" w:color="auto"/>
        <w:left w:val="none" w:sz="0" w:space="0" w:color="auto"/>
        <w:bottom w:val="none" w:sz="0" w:space="0" w:color="auto"/>
        <w:right w:val="none" w:sz="0" w:space="0" w:color="auto"/>
      </w:divBdr>
    </w:div>
    <w:div w:id="1826824759">
      <w:bodyDiv w:val="1"/>
      <w:marLeft w:val="0"/>
      <w:marRight w:val="0"/>
      <w:marTop w:val="0"/>
      <w:marBottom w:val="0"/>
      <w:divBdr>
        <w:top w:val="none" w:sz="0" w:space="0" w:color="auto"/>
        <w:left w:val="none" w:sz="0" w:space="0" w:color="auto"/>
        <w:bottom w:val="none" w:sz="0" w:space="0" w:color="auto"/>
        <w:right w:val="none" w:sz="0" w:space="0" w:color="auto"/>
      </w:divBdr>
    </w:div>
    <w:div w:id="1826966110">
      <w:bodyDiv w:val="1"/>
      <w:marLeft w:val="0"/>
      <w:marRight w:val="0"/>
      <w:marTop w:val="0"/>
      <w:marBottom w:val="0"/>
      <w:divBdr>
        <w:top w:val="none" w:sz="0" w:space="0" w:color="auto"/>
        <w:left w:val="none" w:sz="0" w:space="0" w:color="auto"/>
        <w:bottom w:val="none" w:sz="0" w:space="0" w:color="auto"/>
        <w:right w:val="none" w:sz="0" w:space="0" w:color="auto"/>
      </w:divBdr>
    </w:div>
    <w:div w:id="1827165790">
      <w:bodyDiv w:val="1"/>
      <w:marLeft w:val="0"/>
      <w:marRight w:val="0"/>
      <w:marTop w:val="0"/>
      <w:marBottom w:val="0"/>
      <w:divBdr>
        <w:top w:val="none" w:sz="0" w:space="0" w:color="auto"/>
        <w:left w:val="none" w:sz="0" w:space="0" w:color="auto"/>
        <w:bottom w:val="none" w:sz="0" w:space="0" w:color="auto"/>
        <w:right w:val="none" w:sz="0" w:space="0" w:color="auto"/>
      </w:divBdr>
    </w:div>
    <w:div w:id="1827240647">
      <w:bodyDiv w:val="1"/>
      <w:marLeft w:val="0"/>
      <w:marRight w:val="0"/>
      <w:marTop w:val="0"/>
      <w:marBottom w:val="0"/>
      <w:divBdr>
        <w:top w:val="none" w:sz="0" w:space="0" w:color="auto"/>
        <w:left w:val="none" w:sz="0" w:space="0" w:color="auto"/>
        <w:bottom w:val="none" w:sz="0" w:space="0" w:color="auto"/>
        <w:right w:val="none" w:sz="0" w:space="0" w:color="auto"/>
      </w:divBdr>
    </w:div>
    <w:div w:id="1828403293">
      <w:bodyDiv w:val="1"/>
      <w:marLeft w:val="0"/>
      <w:marRight w:val="0"/>
      <w:marTop w:val="0"/>
      <w:marBottom w:val="0"/>
      <w:divBdr>
        <w:top w:val="none" w:sz="0" w:space="0" w:color="auto"/>
        <w:left w:val="none" w:sz="0" w:space="0" w:color="auto"/>
        <w:bottom w:val="none" w:sz="0" w:space="0" w:color="auto"/>
        <w:right w:val="none" w:sz="0" w:space="0" w:color="auto"/>
      </w:divBdr>
    </w:div>
    <w:div w:id="1828862083">
      <w:bodyDiv w:val="1"/>
      <w:marLeft w:val="0"/>
      <w:marRight w:val="0"/>
      <w:marTop w:val="0"/>
      <w:marBottom w:val="0"/>
      <w:divBdr>
        <w:top w:val="none" w:sz="0" w:space="0" w:color="auto"/>
        <w:left w:val="none" w:sz="0" w:space="0" w:color="auto"/>
        <w:bottom w:val="none" w:sz="0" w:space="0" w:color="auto"/>
        <w:right w:val="none" w:sz="0" w:space="0" w:color="auto"/>
      </w:divBdr>
    </w:div>
    <w:div w:id="1829589238">
      <w:bodyDiv w:val="1"/>
      <w:marLeft w:val="0"/>
      <w:marRight w:val="0"/>
      <w:marTop w:val="0"/>
      <w:marBottom w:val="0"/>
      <w:divBdr>
        <w:top w:val="none" w:sz="0" w:space="0" w:color="auto"/>
        <w:left w:val="none" w:sz="0" w:space="0" w:color="auto"/>
        <w:bottom w:val="none" w:sz="0" w:space="0" w:color="auto"/>
        <w:right w:val="none" w:sz="0" w:space="0" w:color="auto"/>
      </w:divBdr>
    </w:div>
    <w:div w:id="1829903302">
      <w:bodyDiv w:val="1"/>
      <w:marLeft w:val="0"/>
      <w:marRight w:val="0"/>
      <w:marTop w:val="0"/>
      <w:marBottom w:val="0"/>
      <w:divBdr>
        <w:top w:val="none" w:sz="0" w:space="0" w:color="auto"/>
        <w:left w:val="none" w:sz="0" w:space="0" w:color="auto"/>
        <w:bottom w:val="none" w:sz="0" w:space="0" w:color="auto"/>
        <w:right w:val="none" w:sz="0" w:space="0" w:color="auto"/>
      </w:divBdr>
    </w:div>
    <w:div w:id="1830250283">
      <w:bodyDiv w:val="1"/>
      <w:marLeft w:val="0"/>
      <w:marRight w:val="0"/>
      <w:marTop w:val="0"/>
      <w:marBottom w:val="0"/>
      <w:divBdr>
        <w:top w:val="none" w:sz="0" w:space="0" w:color="auto"/>
        <w:left w:val="none" w:sz="0" w:space="0" w:color="auto"/>
        <w:bottom w:val="none" w:sz="0" w:space="0" w:color="auto"/>
        <w:right w:val="none" w:sz="0" w:space="0" w:color="auto"/>
      </w:divBdr>
    </w:div>
    <w:div w:id="1830486551">
      <w:bodyDiv w:val="1"/>
      <w:marLeft w:val="0"/>
      <w:marRight w:val="0"/>
      <w:marTop w:val="0"/>
      <w:marBottom w:val="0"/>
      <w:divBdr>
        <w:top w:val="none" w:sz="0" w:space="0" w:color="auto"/>
        <w:left w:val="none" w:sz="0" w:space="0" w:color="auto"/>
        <w:bottom w:val="none" w:sz="0" w:space="0" w:color="auto"/>
        <w:right w:val="none" w:sz="0" w:space="0" w:color="auto"/>
      </w:divBdr>
    </w:div>
    <w:div w:id="1831142186">
      <w:bodyDiv w:val="1"/>
      <w:marLeft w:val="0"/>
      <w:marRight w:val="0"/>
      <w:marTop w:val="0"/>
      <w:marBottom w:val="0"/>
      <w:divBdr>
        <w:top w:val="none" w:sz="0" w:space="0" w:color="auto"/>
        <w:left w:val="none" w:sz="0" w:space="0" w:color="auto"/>
        <w:bottom w:val="none" w:sz="0" w:space="0" w:color="auto"/>
        <w:right w:val="none" w:sz="0" w:space="0" w:color="auto"/>
      </w:divBdr>
    </w:div>
    <w:div w:id="1831215034">
      <w:bodyDiv w:val="1"/>
      <w:marLeft w:val="0"/>
      <w:marRight w:val="0"/>
      <w:marTop w:val="0"/>
      <w:marBottom w:val="0"/>
      <w:divBdr>
        <w:top w:val="none" w:sz="0" w:space="0" w:color="auto"/>
        <w:left w:val="none" w:sz="0" w:space="0" w:color="auto"/>
        <w:bottom w:val="none" w:sz="0" w:space="0" w:color="auto"/>
        <w:right w:val="none" w:sz="0" w:space="0" w:color="auto"/>
      </w:divBdr>
    </w:div>
    <w:div w:id="1832481398">
      <w:bodyDiv w:val="1"/>
      <w:marLeft w:val="0"/>
      <w:marRight w:val="0"/>
      <w:marTop w:val="0"/>
      <w:marBottom w:val="0"/>
      <w:divBdr>
        <w:top w:val="none" w:sz="0" w:space="0" w:color="auto"/>
        <w:left w:val="none" w:sz="0" w:space="0" w:color="auto"/>
        <w:bottom w:val="none" w:sz="0" w:space="0" w:color="auto"/>
        <w:right w:val="none" w:sz="0" w:space="0" w:color="auto"/>
      </w:divBdr>
    </w:div>
    <w:div w:id="1832790610">
      <w:bodyDiv w:val="1"/>
      <w:marLeft w:val="0"/>
      <w:marRight w:val="0"/>
      <w:marTop w:val="0"/>
      <w:marBottom w:val="0"/>
      <w:divBdr>
        <w:top w:val="none" w:sz="0" w:space="0" w:color="auto"/>
        <w:left w:val="none" w:sz="0" w:space="0" w:color="auto"/>
        <w:bottom w:val="none" w:sz="0" w:space="0" w:color="auto"/>
        <w:right w:val="none" w:sz="0" w:space="0" w:color="auto"/>
      </w:divBdr>
    </w:div>
    <w:div w:id="1833983786">
      <w:bodyDiv w:val="1"/>
      <w:marLeft w:val="0"/>
      <w:marRight w:val="0"/>
      <w:marTop w:val="0"/>
      <w:marBottom w:val="0"/>
      <w:divBdr>
        <w:top w:val="none" w:sz="0" w:space="0" w:color="auto"/>
        <w:left w:val="none" w:sz="0" w:space="0" w:color="auto"/>
        <w:bottom w:val="none" w:sz="0" w:space="0" w:color="auto"/>
        <w:right w:val="none" w:sz="0" w:space="0" w:color="auto"/>
      </w:divBdr>
    </w:div>
    <w:div w:id="1834031803">
      <w:bodyDiv w:val="1"/>
      <w:marLeft w:val="0"/>
      <w:marRight w:val="0"/>
      <w:marTop w:val="0"/>
      <w:marBottom w:val="0"/>
      <w:divBdr>
        <w:top w:val="none" w:sz="0" w:space="0" w:color="auto"/>
        <w:left w:val="none" w:sz="0" w:space="0" w:color="auto"/>
        <w:bottom w:val="none" w:sz="0" w:space="0" w:color="auto"/>
        <w:right w:val="none" w:sz="0" w:space="0" w:color="auto"/>
      </w:divBdr>
    </w:div>
    <w:div w:id="1834683340">
      <w:bodyDiv w:val="1"/>
      <w:marLeft w:val="0"/>
      <w:marRight w:val="0"/>
      <w:marTop w:val="0"/>
      <w:marBottom w:val="0"/>
      <w:divBdr>
        <w:top w:val="none" w:sz="0" w:space="0" w:color="auto"/>
        <w:left w:val="none" w:sz="0" w:space="0" w:color="auto"/>
        <w:bottom w:val="none" w:sz="0" w:space="0" w:color="auto"/>
        <w:right w:val="none" w:sz="0" w:space="0" w:color="auto"/>
      </w:divBdr>
    </w:div>
    <w:div w:id="1835343229">
      <w:bodyDiv w:val="1"/>
      <w:marLeft w:val="0"/>
      <w:marRight w:val="0"/>
      <w:marTop w:val="0"/>
      <w:marBottom w:val="0"/>
      <w:divBdr>
        <w:top w:val="none" w:sz="0" w:space="0" w:color="auto"/>
        <w:left w:val="none" w:sz="0" w:space="0" w:color="auto"/>
        <w:bottom w:val="none" w:sz="0" w:space="0" w:color="auto"/>
        <w:right w:val="none" w:sz="0" w:space="0" w:color="auto"/>
      </w:divBdr>
    </w:div>
    <w:div w:id="1836141834">
      <w:bodyDiv w:val="1"/>
      <w:marLeft w:val="0"/>
      <w:marRight w:val="0"/>
      <w:marTop w:val="0"/>
      <w:marBottom w:val="0"/>
      <w:divBdr>
        <w:top w:val="none" w:sz="0" w:space="0" w:color="auto"/>
        <w:left w:val="none" w:sz="0" w:space="0" w:color="auto"/>
        <w:bottom w:val="none" w:sz="0" w:space="0" w:color="auto"/>
        <w:right w:val="none" w:sz="0" w:space="0" w:color="auto"/>
      </w:divBdr>
    </w:div>
    <w:div w:id="1837064944">
      <w:bodyDiv w:val="1"/>
      <w:marLeft w:val="0"/>
      <w:marRight w:val="0"/>
      <w:marTop w:val="0"/>
      <w:marBottom w:val="0"/>
      <w:divBdr>
        <w:top w:val="none" w:sz="0" w:space="0" w:color="auto"/>
        <w:left w:val="none" w:sz="0" w:space="0" w:color="auto"/>
        <w:bottom w:val="none" w:sz="0" w:space="0" w:color="auto"/>
        <w:right w:val="none" w:sz="0" w:space="0" w:color="auto"/>
      </w:divBdr>
    </w:div>
    <w:div w:id="1837262180">
      <w:bodyDiv w:val="1"/>
      <w:marLeft w:val="0"/>
      <w:marRight w:val="0"/>
      <w:marTop w:val="0"/>
      <w:marBottom w:val="0"/>
      <w:divBdr>
        <w:top w:val="none" w:sz="0" w:space="0" w:color="auto"/>
        <w:left w:val="none" w:sz="0" w:space="0" w:color="auto"/>
        <w:bottom w:val="none" w:sz="0" w:space="0" w:color="auto"/>
        <w:right w:val="none" w:sz="0" w:space="0" w:color="auto"/>
      </w:divBdr>
    </w:div>
    <w:div w:id="1837530877">
      <w:bodyDiv w:val="1"/>
      <w:marLeft w:val="0"/>
      <w:marRight w:val="0"/>
      <w:marTop w:val="0"/>
      <w:marBottom w:val="0"/>
      <w:divBdr>
        <w:top w:val="none" w:sz="0" w:space="0" w:color="auto"/>
        <w:left w:val="none" w:sz="0" w:space="0" w:color="auto"/>
        <w:bottom w:val="none" w:sz="0" w:space="0" w:color="auto"/>
        <w:right w:val="none" w:sz="0" w:space="0" w:color="auto"/>
      </w:divBdr>
    </w:div>
    <w:div w:id="1837649317">
      <w:bodyDiv w:val="1"/>
      <w:marLeft w:val="0"/>
      <w:marRight w:val="0"/>
      <w:marTop w:val="0"/>
      <w:marBottom w:val="0"/>
      <w:divBdr>
        <w:top w:val="none" w:sz="0" w:space="0" w:color="auto"/>
        <w:left w:val="none" w:sz="0" w:space="0" w:color="auto"/>
        <w:bottom w:val="none" w:sz="0" w:space="0" w:color="auto"/>
        <w:right w:val="none" w:sz="0" w:space="0" w:color="auto"/>
      </w:divBdr>
    </w:div>
    <w:div w:id="1837765565">
      <w:bodyDiv w:val="1"/>
      <w:marLeft w:val="0"/>
      <w:marRight w:val="0"/>
      <w:marTop w:val="0"/>
      <w:marBottom w:val="0"/>
      <w:divBdr>
        <w:top w:val="none" w:sz="0" w:space="0" w:color="auto"/>
        <w:left w:val="none" w:sz="0" w:space="0" w:color="auto"/>
        <w:bottom w:val="none" w:sz="0" w:space="0" w:color="auto"/>
        <w:right w:val="none" w:sz="0" w:space="0" w:color="auto"/>
      </w:divBdr>
    </w:div>
    <w:div w:id="1837957229">
      <w:bodyDiv w:val="1"/>
      <w:marLeft w:val="0"/>
      <w:marRight w:val="0"/>
      <w:marTop w:val="0"/>
      <w:marBottom w:val="0"/>
      <w:divBdr>
        <w:top w:val="none" w:sz="0" w:space="0" w:color="auto"/>
        <w:left w:val="none" w:sz="0" w:space="0" w:color="auto"/>
        <w:bottom w:val="none" w:sz="0" w:space="0" w:color="auto"/>
        <w:right w:val="none" w:sz="0" w:space="0" w:color="auto"/>
      </w:divBdr>
    </w:div>
    <w:div w:id="1838033043">
      <w:bodyDiv w:val="1"/>
      <w:marLeft w:val="0"/>
      <w:marRight w:val="0"/>
      <w:marTop w:val="0"/>
      <w:marBottom w:val="0"/>
      <w:divBdr>
        <w:top w:val="none" w:sz="0" w:space="0" w:color="auto"/>
        <w:left w:val="none" w:sz="0" w:space="0" w:color="auto"/>
        <w:bottom w:val="none" w:sz="0" w:space="0" w:color="auto"/>
        <w:right w:val="none" w:sz="0" w:space="0" w:color="auto"/>
      </w:divBdr>
    </w:div>
    <w:div w:id="1838693045">
      <w:bodyDiv w:val="1"/>
      <w:marLeft w:val="0"/>
      <w:marRight w:val="0"/>
      <w:marTop w:val="0"/>
      <w:marBottom w:val="0"/>
      <w:divBdr>
        <w:top w:val="none" w:sz="0" w:space="0" w:color="auto"/>
        <w:left w:val="none" w:sz="0" w:space="0" w:color="auto"/>
        <w:bottom w:val="none" w:sz="0" w:space="0" w:color="auto"/>
        <w:right w:val="none" w:sz="0" w:space="0" w:color="auto"/>
      </w:divBdr>
    </w:div>
    <w:div w:id="1840076051">
      <w:bodyDiv w:val="1"/>
      <w:marLeft w:val="0"/>
      <w:marRight w:val="0"/>
      <w:marTop w:val="0"/>
      <w:marBottom w:val="0"/>
      <w:divBdr>
        <w:top w:val="none" w:sz="0" w:space="0" w:color="auto"/>
        <w:left w:val="none" w:sz="0" w:space="0" w:color="auto"/>
        <w:bottom w:val="none" w:sz="0" w:space="0" w:color="auto"/>
        <w:right w:val="none" w:sz="0" w:space="0" w:color="auto"/>
      </w:divBdr>
    </w:div>
    <w:div w:id="1840461006">
      <w:bodyDiv w:val="1"/>
      <w:marLeft w:val="0"/>
      <w:marRight w:val="0"/>
      <w:marTop w:val="0"/>
      <w:marBottom w:val="0"/>
      <w:divBdr>
        <w:top w:val="none" w:sz="0" w:space="0" w:color="auto"/>
        <w:left w:val="none" w:sz="0" w:space="0" w:color="auto"/>
        <w:bottom w:val="none" w:sz="0" w:space="0" w:color="auto"/>
        <w:right w:val="none" w:sz="0" w:space="0" w:color="auto"/>
      </w:divBdr>
    </w:div>
    <w:div w:id="1841195961">
      <w:bodyDiv w:val="1"/>
      <w:marLeft w:val="0"/>
      <w:marRight w:val="0"/>
      <w:marTop w:val="0"/>
      <w:marBottom w:val="0"/>
      <w:divBdr>
        <w:top w:val="none" w:sz="0" w:space="0" w:color="auto"/>
        <w:left w:val="none" w:sz="0" w:space="0" w:color="auto"/>
        <w:bottom w:val="none" w:sz="0" w:space="0" w:color="auto"/>
        <w:right w:val="none" w:sz="0" w:space="0" w:color="auto"/>
      </w:divBdr>
    </w:div>
    <w:div w:id="1841310524">
      <w:bodyDiv w:val="1"/>
      <w:marLeft w:val="0"/>
      <w:marRight w:val="0"/>
      <w:marTop w:val="0"/>
      <w:marBottom w:val="0"/>
      <w:divBdr>
        <w:top w:val="none" w:sz="0" w:space="0" w:color="auto"/>
        <w:left w:val="none" w:sz="0" w:space="0" w:color="auto"/>
        <w:bottom w:val="none" w:sz="0" w:space="0" w:color="auto"/>
        <w:right w:val="none" w:sz="0" w:space="0" w:color="auto"/>
      </w:divBdr>
    </w:div>
    <w:div w:id="1841919607">
      <w:bodyDiv w:val="1"/>
      <w:marLeft w:val="0"/>
      <w:marRight w:val="0"/>
      <w:marTop w:val="0"/>
      <w:marBottom w:val="0"/>
      <w:divBdr>
        <w:top w:val="none" w:sz="0" w:space="0" w:color="auto"/>
        <w:left w:val="none" w:sz="0" w:space="0" w:color="auto"/>
        <w:bottom w:val="none" w:sz="0" w:space="0" w:color="auto"/>
        <w:right w:val="none" w:sz="0" w:space="0" w:color="auto"/>
      </w:divBdr>
    </w:div>
    <w:div w:id="1841919931">
      <w:bodyDiv w:val="1"/>
      <w:marLeft w:val="0"/>
      <w:marRight w:val="0"/>
      <w:marTop w:val="0"/>
      <w:marBottom w:val="0"/>
      <w:divBdr>
        <w:top w:val="none" w:sz="0" w:space="0" w:color="auto"/>
        <w:left w:val="none" w:sz="0" w:space="0" w:color="auto"/>
        <w:bottom w:val="none" w:sz="0" w:space="0" w:color="auto"/>
        <w:right w:val="none" w:sz="0" w:space="0" w:color="auto"/>
      </w:divBdr>
    </w:div>
    <w:div w:id="1841963510">
      <w:bodyDiv w:val="1"/>
      <w:marLeft w:val="0"/>
      <w:marRight w:val="0"/>
      <w:marTop w:val="0"/>
      <w:marBottom w:val="0"/>
      <w:divBdr>
        <w:top w:val="none" w:sz="0" w:space="0" w:color="auto"/>
        <w:left w:val="none" w:sz="0" w:space="0" w:color="auto"/>
        <w:bottom w:val="none" w:sz="0" w:space="0" w:color="auto"/>
        <w:right w:val="none" w:sz="0" w:space="0" w:color="auto"/>
      </w:divBdr>
    </w:div>
    <w:div w:id="1843156421">
      <w:bodyDiv w:val="1"/>
      <w:marLeft w:val="0"/>
      <w:marRight w:val="0"/>
      <w:marTop w:val="0"/>
      <w:marBottom w:val="0"/>
      <w:divBdr>
        <w:top w:val="none" w:sz="0" w:space="0" w:color="auto"/>
        <w:left w:val="none" w:sz="0" w:space="0" w:color="auto"/>
        <w:bottom w:val="none" w:sz="0" w:space="0" w:color="auto"/>
        <w:right w:val="none" w:sz="0" w:space="0" w:color="auto"/>
      </w:divBdr>
    </w:div>
    <w:div w:id="1843201855">
      <w:bodyDiv w:val="1"/>
      <w:marLeft w:val="0"/>
      <w:marRight w:val="0"/>
      <w:marTop w:val="0"/>
      <w:marBottom w:val="0"/>
      <w:divBdr>
        <w:top w:val="none" w:sz="0" w:space="0" w:color="auto"/>
        <w:left w:val="none" w:sz="0" w:space="0" w:color="auto"/>
        <w:bottom w:val="none" w:sz="0" w:space="0" w:color="auto"/>
        <w:right w:val="none" w:sz="0" w:space="0" w:color="auto"/>
      </w:divBdr>
    </w:div>
    <w:div w:id="1844009466">
      <w:bodyDiv w:val="1"/>
      <w:marLeft w:val="0"/>
      <w:marRight w:val="0"/>
      <w:marTop w:val="0"/>
      <w:marBottom w:val="0"/>
      <w:divBdr>
        <w:top w:val="none" w:sz="0" w:space="0" w:color="auto"/>
        <w:left w:val="none" w:sz="0" w:space="0" w:color="auto"/>
        <w:bottom w:val="none" w:sz="0" w:space="0" w:color="auto"/>
        <w:right w:val="none" w:sz="0" w:space="0" w:color="auto"/>
      </w:divBdr>
    </w:div>
    <w:div w:id="1844735392">
      <w:bodyDiv w:val="1"/>
      <w:marLeft w:val="0"/>
      <w:marRight w:val="0"/>
      <w:marTop w:val="0"/>
      <w:marBottom w:val="0"/>
      <w:divBdr>
        <w:top w:val="none" w:sz="0" w:space="0" w:color="auto"/>
        <w:left w:val="none" w:sz="0" w:space="0" w:color="auto"/>
        <w:bottom w:val="none" w:sz="0" w:space="0" w:color="auto"/>
        <w:right w:val="none" w:sz="0" w:space="0" w:color="auto"/>
      </w:divBdr>
    </w:div>
    <w:div w:id="1845902260">
      <w:bodyDiv w:val="1"/>
      <w:marLeft w:val="0"/>
      <w:marRight w:val="0"/>
      <w:marTop w:val="0"/>
      <w:marBottom w:val="0"/>
      <w:divBdr>
        <w:top w:val="none" w:sz="0" w:space="0" w:color="auto"/>
        <w:left w:val="none" w:sz="0" w:space="0" w:color="auto"/>
        <w:bottom w:val="none" w:sz="0" w:space="0" w:color="auto"/>
        <w:right w:val="none" w:sz="0" w:space="0" w:color="auto"/>
      </w:divBdr>
    </w:div>
    <w:div w:id="1846439870">
      <w:bodyDiv w:val="1"/>
      <w:marLeft w:val="0"/>
      <w:marRight w:val="0"/>
      <w:marTop w:val="0"/>
      <w:marBottom w:val="0"/>
      <w:divBdr>
        <w:top w:val="none" w:sz="0" w:space="0" w:color="auto"/>
        <w:left w:val="none" w:sz="0" w:space="0" w:color="auto"/>
        <w:bottom w:val="none" w:sz="0" w:space="0" w:color="auto"/>
        <w:right w:val="none" w:sz="0" w:space="0" w:color="auto"/>
      </w:divBdr>
    </w:div>
    <w:div w:id="1846556598">
      <w:bodyDiv w:val="1"/>
      <w:marLeft w:val="0"/>
      <w:marRight w:val="0"/>
      <w:marTop w:val="0"/>
      <w:marBottom w:val="0"/>
      <w:divBdr>
        <w:top w:val="none" w:sz="0" w:space="0" w:color="auto"/>
        <w:left w:val="none" w:sz="0" w:space="0" w:color="auto"/>
        <w:bottom w:val="none" w:sz="0" w:space="0" w:color="auto"/>
        <w:right w:val="none" w:sz="0" w:space="0" w:color="auto"/>
      </w:divBdr>
    </w:div>
    <w:div w:id="1846625920">
      <w:bodyDiv w:val="1"/>
      <w:marLeft w:val="0"/>
      <w:marRight w:val="0"/>
      <w:marTop w:val="0"/>
      <w:marBottom w:val="0"/>
      <w:divBdr>
        <w:top w:val="none" w:sz="0" w:space="0" w:color="auto"/>
        <w:left w:val="none" w:sz="0" w:space="0" w:color="auto"/>
        <w:bottom w:val="none" w:sz="0" w:space="0" w:color="auto"/>
        <w:right w:val="none" w:sz="0" w:space="0" w:color="auto"/>
      </w:divBdr>
    </w:div>
    <w:div w:id="1847163495">
      <w:bodyDiv w:val="1"/>
      <w:marLeft w:val="0"/>
      <w:marRight w:val="0"/>
      <w:marTop w:val="0"/>
      <w:marBottom w:val="0"/>
      <w:divBdr>
        <w:top w:val="none" w:sz="0" w:space="0" w:color="auto"/>
        <w:left w:val="none" w:sz="0" w:space="0" w:color="auto"/>
        <w:bottom w:val="none" w:sz="0" w:space="0" w:color="auto"/>
        <w:right w:val="none" w:sz="0" w:space="0" w:color="auto"/>
      </w:divBdr>
    </w:div>
    <w:div w:id="1847279423">
      <w:bodyDiv w:val="1"/>
      <w:marLeft w:val="0"/>
      <w:marRight w:val="0"/>
      <w:marTop w:val="0"/>
      <w:marBottom w:val="0"/>
      <w:divBdr>
        <w:top w:val="none" w:sz="0" w:space="0" w:color="auto"/>
        <w:left w:val="none" w:sz="0" w:space="0" w:color="auto"/>
        <w:bottom w:val="none" w:sz="0" w:space="0" w:color="auto"/>
        <w:right w:val="none" w:sz="0" w:space="0" w:color="auto"/>
      </w:divBdr>
    </w:div>
    <w:div w:id="1847282461">
      <w:bodyDiv w:val="1"/>
      <w:marLeft w:val="0"/>
      <w:marRight w:val="0"/>
      <w:marTop w:val="0"/>
      <w:marBottom w:val="0"/>
      <w:divBdr>
        <w:top w:val="none" w:sz="0" w:space="0" w:color="auto"/>
        <w:left w:val="none" w:sz="0" w:space="0" w:color="auto"/>
        <w:bottom w:val="none" w:sz="0" w:space="0" w:color="auto"/>
        <w:right w:val="none" w:sz="0" w:space="0" w:color="auto"/>
      </w:divBdr>
      <w:divsChild>
        <w:div w:id="1909992389">
          <w:marLeft w:val="480"/>
          <w:marRight w:val="0"/>
          <w:marTop w:val="0"/>
          <w:marBottom w:val="0"/>
          <w:divBdr>
            <w:top w:val="none" w:sz="0" w:space="0" w:color="auto"/>
            <w:left w:val="none" w:sz="0" w:space="0" w:color="auto"/>
            <w:bottom w:val="none" w:sz="0" w:space="0" w:color="auto"/>
            <w:right w:val="none" w:sz="0" w:space="0" w:color="auto"/>
          </w:divBdr>
        </w:div>
        <w:div w:id="1634141842">
          <w:marLeft w:val="480"/>
          <w:marRight w:val="0"/>
          <w:marTop w:val="0"/>
          <w:marBottom w:val="0"/>
          <w:divBdr>
            <w:top w:val="none" w:sz="0" w:space="0" w:color="auto"/>
            <w:left w:val="none" w:sz="0" w:space="0" w:color="auto"/>
            <w:bottom w:val="none" w:sz="0" w:space="0" w:color="auto"/>
            <w:right w:val="none" w:sz="0" w:space="0" w:color="auto"/>
          </w:divBdr>
        </w:div>
        <w:div w:id="104813862">
          <w:marLeft w:val="480"/>
          <w:marRight w:val="0"/>
          <w:marTop w:val="0"/>
          <w:marBottom w:val="0"/>
          <w:divBdr>
            <w:top w:val="none" w:sz="0" w:space="0" w:color="auto"/>
            <w:left w:val="none" w:sz="0" w:space="0" w:color="auto"/>
            <w:bottom w:val="none" w:sz="0" w:space="0" w:color="auto"/>
            <w:right w:val="none" w:sz="0" w:space="0" w:color="auto"/>
          </w:divBdr>
        </w:div>
        <w:div w:id="547566434">
          <w:marLeft w:val="480"/>
          <w:marRight w:val="0"/>
          <w:marTop w:val="0"/>
          <w:marBottom w:val="0"/>
          <w:divBdr>
            <w:top w:val="none" w:sz="0" w:space="0" w:color="auto"/>
            <w:left w:val="none" w:sz="0" w:space="0" w:color="auto"/>
            <w:bottom w:val="none" w:sz="0" w:space="0" w:color="auto"/>
            <w:right w:val="none" w:sz="0" w:space="0" w:color="auto"/>
          </w:divBdr>
        </w:div>
        <w:div w:id="739912953">
          <w:marLeft w:val="480"/>
          <w:marRight w:val="0"/>
          <w:marTop w:val="0"/>
          <w:marBottom w:val="0"/>
          <w:divBdr>
            <w:top w:val="none" w:sz="0" w:space="0" w:color="auto"/>
            <w:left w:val="none" w:sz="0" w:space="0" w:color="auto"/>
            <w:bottom w:val="none" w:sz="0" w:space="0" w:color="auto"/>
            <w:right w:val="none" w:sz="0" w:space="0" w:color="auto"/>
          </w:divBdr>
        </w:div>
        <w:div w:id="1522622925">
          <w:marLeft w:val="480"/>
          <w:marRight w:val="0"/>
          <w:marTop w:val="0"/>
          <w:marBottom w:val="0"/>
          <w:divBdr>
            <w:top w:val="none" w:sz="0" w:space="0" w:color="auto"/>
            <w:left w:val="none" w:sz="0" w:space="0" w:color="auto"/>
            <w:bottom w:val="none" w:sz="0" w:space="0" w:color="auto"/>
            <w:right w:val="none" w:sz="0" w:space="0" w:color="auto"/>
          </w:divBdr>
        </w:div>
        <w:div w:id="1916091201">
          <w:marLeft w:val="480"/>
          <w:marRight w:val="0"/>
          <w:marTop w:val="0"/>
          <w:marBottom w:val="0"/>
          <w:divBdr>
            <w:top w:val="none" w:sz="0" w:space="0" w:color="auto"/>
            <w:left w:val="none" w:sz="0" w:space="0" w:color="auto"/>
            <w:bottom w:val="none" w:sz="0" w:space="0" w:color="auto"/>
            <w:right w:val="none" w:sz="0" w:space="0" w:color="auto"/>
          </w:divBdr>
        </w:div>
        <w:div w:id="785544052">
          <w:marLeft w:val="480"/>
          <w:marRight w:val="0"/>
          <w:marTop w:val="0"/>
          <w:marBottom w:val="0"/>
          <w:divBdr>
            <w:top w:val="none" w:sz="0" w:space="0" w:color="auto"/>
            <w:left w:val="none" w:sz="0" w:space="0" w:color="auto"/>
            <w:bottom w:val="none" w:sz="0" w:space="0" w:color="auto"/>
            <w:right w:val="none" w:sz="0" w:space="0" w:color="auto"/>
          </w:divBdr>
        </w:div>
        <w:div w:id="2036999850">
          <w:marLeft w:val="480"/>
          <w:marRight w:val="0"/>
          <w:marTop w:val="0"/>
          <w:marBottom w:val="0"/>
          <w:divBdr>
            <w:top w:val="none" w:sz="0" w:space="0" w:color="auto"/>
            <w:left w:val="none" w:sz="0" w:space="0" w:color="auto"/>
            <w:bottom w:val="none" w:sz="0" w:space="0" w:color="auto"/>
            <w:right w:val="none" w:sz="0" w:space="0" w:color="auto"/>
          </w:divBdr>
        </w:div>
        <w:div w:id="1316180174">
          <w:marLeft w:val="480"/>
          <w:marRight w:val="0"/>
          <w:marTop w:val="0"/>
          <w:marBottom w:val="0"/>
          <w:divBdr>
            <w:top w:val="none" w:sz="0" w:space="0" w:color="auto"/>
            <w:left w:val="none" w:sz="0" w:space="0" w:color="auto"/>
            <w:bottom w:val="none" w:sz="0" w:space="0" w:color="auto"/>
            <w:right w:val="none" w:sz="0" w:space="0" w:color="auto"/>
          </w:divBdr>
        </w:div>
        <w:div w:id="510338306">
          <w:marLeft w:val="480"/>
          <w:marRight w:val="0"/>
          <w:marTop w:val="0"/>
          <w:marBottom w:val="0"/>
          <w:divBdr>
            <w:top w:val="none" w:sz="0" w:space="0" w:color="auto"/>
            <w:left w:val="none" w:sz="0" w:space="0" w:color="auto"/>
            <w:bottom w:val="none" w:sz="0" w:space="0" w:color="auto"/>
            <w:right w:val="none" w:sz="0" w:space="0" w:color="auto"/>
          </w:divBdr>
        </w:div>
        <w:div w:id="396057628">
          <w:marLeft w:val="480"/>
          <w:marRight w:val="0"/>
          <w:marTop w:val="0"/>
          <w:marBottom w:val="0"/>
          <w:divBdr>
            <w:top w:val="none" w:sz="0" w:space="0" w:color="auto"/>
            <w:left w:val="none" w:sz="0" w:space="0" w:color="auto"/>
            <w:bottom w:val="none" w:sz="0" w:space="0" w:color="auto"/>
            <w:right w:val="none" w:sz="0" w:space="0" w:color="auto"/>
          </w:divBdr>
        </w:div>
        <w:div w:id="502017298">
          <w:marLeft w:val="480"/>
          <w:marRight w:val="0"/>
          <w:marTop w:val="0"/>
          <w:marBottom w:val="0"/>
          <w:divBdr>
            <w:top w:val="none" w:sz="0" w:space="0" w:color="auto"/>
            <w:left w:val="none" w:sz="0" w:space="0" w:color="auto"/>
            <w:bottom w:val="none" w:sz="0" w:space="0" w:color="auto"/>
            <w:right w:val="none" w:sz="0" w:space="0" w:color="auto"/>
          </w:divBdr>
        </w:div>
        <w:div w:id="2083749195">
          <w:marLeft w:val="480"/>
          <w:marRight w:val="0"/>
          <w:marTop w:val="0"/>
          <w:marBottom w:val="0"/>
          <w:divBdr>
            <w:top w:val="none" w:sz="0" w:space="0" w:color="auto"/>
            <w:left w:val="none" w:sz="0" w:space="0" w:color="auto"/>
            <w:bottom w:val="none" w:sz="0" w:space="0" w:color="auto"/>
            <w:right w:val="none" w:sz="0" w:space="0" w:color="auto"/>
          </w:divBdr>
        </w:div>
        <w:div w:id="83113540">
          <w:marLeft w:val="480"/>
          <w:marRight w:val="0"/>
          <w:marTop w:val="0"/>
          <w:marBottom w:val="0"/>
          <w:divBdr>
            <w:top w:val="none" w:sz="0" w:space="0" w:color="auto"/>
            <w:left w:val="none" w:sz="0" w:space="0" w:color="auto"/>
            <w:bottom w:val="none" w:sz="0" w:space="0" w:color="auto"/>
            <w:right w:val="none" w:sz="0" w:space="0" w:color="auto"/>
          </w:divBdr>
        </w:div>
        <w:div w:id="169804047">
          <w:marLeft w:val="480"/>
          <w:marRight w:val="0"/>
          <w:marTop w:val="0"/>
          <w:marBottom w:val="0"/>
          <w:divBdr>
            <w:top w:val="none" w:sz="0" w:space="0" w:color="auto"/>
            <w:left w:val="none" w:sz="0" w:space="0" w:color="auto"/>
            <w:bottom w:val="none" w:sz="0" w:space="0" w:color="auto"/>
            <w:right w:val="none" w:sz="0" w:space="0" w:color="auto"/>
          </w:divBdr>
        </w:div>
        <w:div w:id="972717055">
          <w:marLeft w:val="480"/>
          <w:marRight w:val="0"/>
          <w:marTop w:val="0"/>
          <w:marBottom w:val="0"/>
          <w:divBdr>
            <w:top w:val="none" w:sz="0" w:space="0" w:color="auto"/>
            <w:left w:val="none" w:sz="0" w:space="0" w:color="auto"/>
            <w:bottom w:val="none" w:sz="0" w:space="0" w:color="auto"/>
            <w:right w:val="none" w:sz="0" w:space="0" w:color="auto"/>
          </w:divBdr>
        </w:div>
        <w:div w:id="25911425">
          <w:marLeft w:val="480"/>
          <w:marRight w:val="0"/>
          <w:marTop w:val="0"/>
          <w:marBottom w:val="0"/>
          <w:divBdr>
            <w:top w:val="none" w:sz="0" w:space="0" w:color="auto"/>
            <w:left w:val="none" w:sz="0" w:space="0" w:color="auto"/>
            <w:bottom w:val="none" w:sz="0" w:space="0" w:color="auto"/>
            <w:right w:val="none" w:sz="0" w:space="0" w:color="auto"/>
          </w:divBdr>
        </w:div>
        <w:div w:id="1267076333">
          <w:marLeft w:val="480"/>
          <w:marRight w:val="0"/>
          <w:marTop w:val="0"/>
          <w:marBottom w:val="0"/>
          <w:divBdr>
            <w:top w:val="none" w:sz="0" w:space="0" w:color="auto"/>
            <w:left w:val="none" w:sz="0" w:space="0" w:color="auto"/>
            <w:bottom w:val="none" w:sz="0" w:space="0" w:color="auto"/>
            <w:right w:val="none" w:sz="0" w:space="0" w:color="auto"/>
          </w:divBdr>
        </w:div>
        <w:div w:id="34433057">
          <w:marLeft w:val="480"/>
          <w:marRight w:val="0"/>
          <w:marTop w:val="0"/>
          <w:marBottom w:val="0"/>
          <w:divBdr>
            <w:top w:val="none" w:sz="0" w:space="0" w:color="auto"/>
            <w:left w:val="none" w:sz="0" w:space="0" w:color="auto"/>
            <w:bottom w:val="none" w:sz="0" w:space="0" w:color="auto"/>
            <w:right w:val="none" w:sz="0" w:space="0" w:color="auto"/>
          </w:divBdr>
        </w:div>
        <w:div w:id="808860132">
          <w:marLeft w:val="480"/>
          <w:marRight w:val="0"/>
          <w:marTop w:val="0"/>
          <w:marBottom w:val="0"/>
          <w:divBdr>
            <w:top w:val="none" w:sz="0" w:space="0" w:color="auto"/>
            <w:left w:val="none" w:sz="0" w:space="0" w:color="auto"/>
            <w:bottom w:val="none" w:sz="0" w:space="0" w:color="auto"/>
            <w:right w:val="none" w:sz="0" w:space="0" w:color="auto"/>
          </w:divBdr>
        </w:div>
        <w:div w:id="1229343822">
          <w:marLeft w:val="480"/>
          <w:marRight w:val="0"/>
          <w:marTop w:val="0"/>
          <w:marBottom w:val="0"/>
          <w:divBdr>
            <w:top w:val="none" w:sz="0" w:space="0" w:color="auto"/>
            <w:left w:val="none" w:sz="0" w:space="0" w:color="auto"/>
            <w:bottom w:val="none" w:sz="0" w:space="0" w:color="auto"/>
            <w:right w:val="none" w:sz="0" w:space="0" w:color="auto"/>
          </w:divBdr>
        </w:div>
        <w:div w:id="984579685">
          <w:marLeft w:val="480"/>
          <w:marRight w:val="0"/>
          <w:marTop w:val="0"/>
          <w:marBottom w:val="0"/>
          <w:divBdr>
            <w:top w:val="none" w:sz="0" w:space="0" w:color="auto"/>
            <w:left w:val="none" w:sz="0" w:space="0" w:color="auto"/>
            <w:bottom w:val="none" w:sz="0" w:space="0" w:color="auto"/>
            <w:right w:val="none" w:sz="0" w:space="0" w:color="auto"/>
          </w:divBdr>
        </w:div>
        <w:div w:id="696463161">
          <w:marLeft w:val="480"/>
          <w:marRight w:val="0"/>
          <w:marTop w:val="0"/>
          <w:marBottom w:val="0"/>
          <w:divBdr>
            <w:top w:val="none" w:sz="0" w:space="0" w:color="auto"/>
            <w:left w:val="none" w:sz="0" w:space="0" w:color="auto"/>
            <w:bottom w:val="none" w:sz="0" w:space="0" w:color="auto"/>
            <w:right w:val="none" w:sz="0" w:space="0" w:color="auto"/>
          </w:divBdr>
        </w:div>
        <w:div w:id="654144394">
          <w:marLeft w:val="480"/>
          <w:marRight w:val="0"/>
          <w:marTop w:val="0"/>
          <w:marBottom w:val="0"/>
          <w:divBdr>
            <w:top w:val="none" w:sz="0" w:space="0" w:color="auto"/>
            <w:left w:val="none" w:sz="0" w:space="0" w:color="auto"/>
            <w:bottom w:val="none" w:sz="0" w:space="0" w:color="auto"/>
            <w:right w:val="none" w:sz="0" w:space="0" w:color="auto"/>
          </w:divBdr>
        </w:div>
        <w:div w:id="1078018322">
          <w:marLeft w:val="480"/>
          <w:marRight w:val="0"/>
          <w:marTop w:val="0"/>
          <w:marBottom w:val="0"/>
          <w:divBdr>
            <w:top w:val="none" w:sz="0" w:space="0" w:color="auto"/>
            <w:left w:val="none" w:sz="0" w:space="0" w:color="auto"/>
            <w:bottom w:val="none" w:sz="0" w:space="0" w:color="auto"/>
            <w:right w:val="none" w:sz="0" w:space="0" w:color="auto"/>
          </w:divBdr>
        </w:div>
        <w:div w:id="1582763111">
          <w:marLeft w:val="480"/>
          <w:marRight w:val="0"/>
          <w:marTop w:val="0"/>
          <w:marBottom w:val="0"/>
          <w:divBdr>
            <w:top w:val="none" w:sz="0" w:space="0" w:color="auto"/>
            <w:left w:val="none" w:sz="0" w:space="0" w:color="auto"/>
            <w:bottom w:val="none" w:sz="0" w:space="0" w:color="auto"/>
            <w:right w:val="none" w:sz="0" w:space="0" w:color="auto"/>
          </w:divBdr>
        </w:div>
        <w:div w:id="423499532">
          <w:marLeft w:val="480"/>
          <w:marRight w:val="0"/>
          <w:marTop w:val="0"/>
          <w:marBottom w:val="0"/>
          <w:divBdr>
            <w:top w:val="none" w:sz="0" w:space="0" w:color="auto"/>
            <w:left w:val="none" w:sz="0" w:space="0" w:color="auto"/>
            <w:bottom w:val="none" w:sz="0" w:space="0" w:color="auto"/>
            <w:right w:val="none" w:sz="0" w:space="0" w:color="auto"/>
          </w:divBdr>
        </w:div>
        <w:div w:id="2045323191">
          <w:marLeft w:val="480"/>
          <w:marRight w:val="0"/>
          <w:marTop w:val="0"/>
          <w:marBottom w:val="0"/>
          <w:divBdr>
            <w:top w:val="none" w:sz="0" w:space="0" w:color="auto"/>
            <w:left w:val="none" w:sz="0" w:space="0" w:color="auto"/>
            <w:bottom w:val="none" w:sz="0" w:space="0" w:color="auto"/>
            <w:right w:val="none" w:sz="0" w:space="0" w:color="auto"/>
          </w:divBdr>
        </w:div>
        <w:div w:id="168762732">
          <w:marLeft w:val="480"/>
          <w:marRight w:val="0"/>
          <w:marTop w:val="0"/>
          <w:marBottom w:val="0"/>
          <w:divBdr>
            <w:top w:val="none" w:sz="0" w:space="0" w:color="auto"/>
            <w:left w:val="none" w:sz="0" w:space="0" w:color="auto"/>
            <w:bottom w:val="none" w:sz="0" w:space="0" w:color="auto"/>
            <w:right w:val="none" w:sz="0" w:space="0" w:color="auto"/>
          </w:divBdr>
        </w:div>
        <w:div w:id="1341857925">
          <w:marLeft w:val="480"/>
          <w:marRight w:val="0"/>
          <w:marTop w:val="0"/>
          <w:marBottom w:val="0"/>
          <w:divBdr>
            <w:top w:val="none" w:sz="0" w:space="0" w:color="auto"/>
            <w:left w:val="none" w:sz="0" w:space="0" w:color="auto"/>
            <w:bottom w:val="none" w:sz="0" w:space="0" w:color="auto"/>
            <w:right w:val="none" w:sz="0" w:space="0" w:color="auto"/>
          </w:divBdr>
        </w:div>
        <w:div w:id="428357774">
          <w:marLeft w:val="480"/>
          <w:marRight w:val="0"/>
          <w:marTop w:val="0"/>
          <w:marBottom w:val="0"/>
          <w:divBdr>
            <w:top w:val="none" w:sz="0" w:space="0" w:color="auto"/>
            <w:left w:val="none" w:sz="0" w:space="0" w:color="auto"/>
            <w:bottom w:val="none" w:sz="0" w:space="0" w:color="auto"/>
            <w:right w:val="none" w:sz="0" w:space="0" w:color="auto"/>
          </w:divBdr>
        </w:div>
        <w:div w:id="797066390">
          <w:marLeft w:val="480"/>
          <w:marRight w:val="0"/>
          <w:marTop w:val="0"/>
          <w:marBottom w:val="0"/>
          <w:divBdr>
            <w:top w:val="none" w:sz="0" w:space="0" w:color="auto"/>
            <w:left w:val="none" w:sz="0" w:space="0" w:color="auto"/>
            <w:bottom w:val="none" w:sz="0" w:space="0" w:color="auto"/>
            <w:right w:val="none" w:sz="0" w:space="0" w:color="auto"/>
          </w:divBdr>
        </w:div>
        <w:div w:id="1932275708">
          <w:marLeft w:val="480"/>
          <w:marRight w:val="0"/>
          <w:marTop w:val="0"/>
          <w:marBottom w:val="0"/>
          <w:divBdr>
            <w:top w:val="none" w:sz="0" w:space="0" w:color="auto"/>
            <w:left w:val="none" w:sz="0" w:space="0" w:color="auto"/>
            <w:bottom w:val="none" w:sz="0" w:space="0" w:color="auto"/>
            <w:right w:val="none" w:sz="0" w:space="0" w:color="auto"/>
          </w:divBdr>
        </w:div>
        <w:div w:id="561260053">
          <w:marLeft w:val="480"/>
          <w:marRight w:val="0"/>
          <w:marTop w:val="0"/>
          <w:marBottom w:val="0"/>
          <w:divBdr>
            <w:top w:val="none" w:sz="0" w:space="0" w:color="auto"/>
            <w:left w:val="none" w:sz="0" w:space="0" w:color="auto"/>
            <w:bottom w:val="none" w:sz="0" w:space="0" w:color="auto"/>
            <w:right w:val="none" w:sz="0" w:space="0" w:color="auto"/>
          </w:divBdr>
        </w:div>
        <w:div w:id="1274021712">
          <w:marLeft w:val="480"/>
          <w:marRight w:val="0"/>
          <w:marTop w:val="0"/>
          <w:marBottom w:val="0"/>
          <w:divBdr>
            <w:top w:val="none" w:sz="0" w:space="0" w:color="auto"/>
            <w:left w:val="none" w:sz="0" w:space="0" w:color="auto"/>
            <w:bottom w:val="none" w:sz="0" w:space="0" w:color="auto"/>
            <w:right w:val="none" w:sz="0" w:space="0" w:color="auto"/>
          </w:divBdr>
        </w:div>
        <w:div w:id="1790927885">
          <w:marLeft w:val="480"/>
          <w:marRight w:val="0"/>
          <w:marTop w:val="0"/>
          <w:marBottom w:val="0"/>
          <w:divBdr>
            <w:top w:val="none" w:sz="0" w:space="0" w:color="auto"/>
            <w:left w:val="none" w:sz="0" w:space="0" w:color="auto"/>
            <w:bottom w:val="none" w:sz="0" w:space="0" w:color="auto"/>
            <w:right w:val="none" w:sz="0" w:space="0" w:color="auto"/>
          </w:divBdr>
        </w:div>
        <w:div w:id="488181594">
          <w:marLeft w:val="480"/>
          <w:marRight w:val="0"/>
          <w:marTop w:val="0"/>
          <w:marBottom w:val="0"/>
          <w:divBdr>
            <w:top w:val="none" w:sz="0" w:space="0" w:color="auto"/>
            <w:left w:val="none" w:sz="0" w:space="0" w:color="auto"/>
            <w:bottom w:val="none" w:sz="0" w:space="0" w:color="auto"/>
            <w:right w:val="none" w:sz="0" w:space="0" w:color="auto"/>
          </w:divBdr>
        </w:div>
        <w:div w:id="709190743">
          <w:marLeft w:val="480"/>
          <w:marRight w:val="0"/>
          <w:marTop w:val="0"/>
          <w:marBottom w:val="0"/>
          <w:divBdr>
            <w:top w:val="none" w:sz="0" w:space="0" w:color="auto"/>
            <w:left w:val="none" w:sz="0" w:space="0" w:color="auto"/>
            <w:bottom w:val="none" w:sz="0" w:space="0" w:color="auto"/>
            <w:right w:val="none" w:sz="0" w:space="0" w:color="auto"/>
          </w:divBdr>
        </w:div>
        <w:div w:id="243998489">
          <w:marLeft w:val="480"/>
          <w:marRight w:val="0"/>
          <w:marTop w:val="0"/>
          <w:marBottom w:val="0"/>
          <w:divBdr>
            <w:top w:val="none" w:sz="0" w:space="0" w:color="auto"/>
            <w:left w:val="none" w:sz="0" w:space="0" w:color="auto"/>
            <w:bottom w:val="none" w:sz="0" w:space="0" w:color="auto"/>
            <w:right w:val="none" w:sz="0" w:space="0" w:color="auto"/>
          </w:divBdr>
        </w:div>
        <w:div w:id="2071152054">
          <w:marLeft w:val="480"/>
          <w:marRight w:val="0"/>
          <w:marTop w:val="0"/>
          <w:marBottom w:val="0"/>
          <w:divBdr>
            <w:top w:val="none" w:sz="0" w:space="0" w:color="auto"/>
            <w:left w:val="none" w:sz="0" w:space="0" w:color="auto"/>
            <w:bottom w:val="none" w:sz="0" w:space="0" w:color="auto"/>
            <w:right w:val="none" w:sz="0" w:space="0" w:color="auto"/>
          </w:divBdr>
        </w:div>
        <w:div w:id="1227453739">
          <w:marLeft w:val="480"/>
          <w:marRight w:val="0"/>
          <w:marTop w:val="0"/>
          <w:marBottom w:val="0"/>
          <w:divBdr>
            <w:top w:val="none" w:sz="0" w:space="0" w:color="auto"/>
            <w:left w:val="none" w:sz="0" w:space="0" w:color="auto"/>
            <w:bottom w:val="none" w:sz="0" w:space="0" w:color="auto"/>
            <w:right w:val="none" w:sz="0" w:space="0" w:color="auto"/>
          </w:divBdr>
        </w:div>
        <w:div w:id="1236286224">
          <w:marLeft w:val="480"/>
          <w:marRight w:val="0"/>
          <w:marTop w:val="0"/>
          <w:marBottom w:val="0"/>
          <w:divBdr>
            <w:top w:val="none" w:sz="0" w:space="0" w:color="auto"/>
            <w:left w:val="none" w:sz="0" w:space="0" w:color="auto"/>
            <w:bottom w:val="none" w:sz="0" w:space="0" w:color="auto"/>
            <w:right w:val="none" w:sz="0" w:space="0" w:color="auto"/>
          </w:divBdr>
        </w:div>
        <w:div w:id="2084719057">
          <w:marLeft w:val="480"/>
          <w:marRight w:val="0"/>
          <w:marTop w:val="0"/>
          <w:marBottom w:val="0"/>
          <w:divBdr>
            <w:top w:val="none" w:sz="0" w:space="0" w:color="auto"/>
            <w:left w:val="none" w:sz="0" w:space="0" w:color="auto"/>
            <w:bottom w:val="none" w:sz="0" w:space="0" w:color="auto"/>
            <w:right w:val="none" w:sz="0" w:space="0" w:color="auto"/>
          </w:divBdr>
        </w:div>
        <w:div w:id="916791779">
          <w:marLeft w:val="480"/>
          <w:marRight w:val="0"/>
          <w:marTop w:val="0"/>
          <w:marBottom w:val="0"/>
          <w:divBdr>
            <w:top w:val="none" w:sz="0" w:space="0" w:color="auto"/>
            <w:left w:val="none" w:sz="0" w:space="0" w:color="auto"/>
            <w:bottom w:val="none" w:sz="0" w:space="0" w:color="auto"/>
            <w:right w:val="none" w:sz="0" w:space="0" w:color="auto"/>
          </w:divBdr>
        </w:div>
        <w:div w:id="1701778577">
          <w:marLeft w:val="480"/>
          <w:marRight w:val="0"/>
          <w:marTop w:val="0"/>
          <w:marBottom w:val="0"/>
          <w:divBdr>
            <w:top w:val="none" w:sz="0" w:space="0" w:color="auto"/>
            <w:left w:val="none" w:sz="0" w:space="0" w:color="auto"/>
            <w:bottom w:val="none" w:sz="0" w:space="0" w:color="auto"/>
            <w:right w:val="none" w:sz="0" w:space="0" w:color="auto"/>
          </w:divBdr>
        </w:div>
        <w:div w:id="1854762781">
          <w:marLeft w:val="480"/>
          <w:marRight w:val="0"/>
          <w:marTop w:val="0"/>
          <w:marBottom w:val="0"/>
          <w:divBdr>
            <w:top w:val="none" w:sz="0" w:space="0" w:color="auto"/>
            <w:left w:val="none" w:sz="0" w:space="0" w:color="auto"/>
            <w:bottom w:val="none" w:sz="0" w:space="0" w:color="auto"/>
            <w:right w:val="none" w:sz="0" w:space="0" w:color="auto"/>
          </w:divBdr>
        </w:div>
        <w:div w:id="1158619713">
          <w:marLeft w:val="480"/>
          <w:marRight w:val="0"/>
          <w:marTop w:val="0"/>
          <w:marBottom w:val="0"/>
          <w:divBdr>
            <w:top w:val="none" w:sz="0" w:space="0" w:color="auto"/>
            <w:left w:val="none" w:sz="0" w:space="0" w:color="auto"/>
            <w:bottom w:val="none" w:sz="0" w:space="0" w:color="auto"/>
            <w:right w:val="none" w:sz="0" w:space="0" w:color="auto"/>
          </w:divBdr>
        </w:div>
        <w:div w:id="1881090493">
          <w:marLeft w:val="480"/>
          <w:marRight w:val="0"/>
          <w:marTop w:val="0"/>
          <w:marBottom w:val="0"/>
          <w:divBdr>
            <w:top w:val="none" w:sz="0" w:space="0" w:color="auto"/>
            <w:left w:val="none" w:sz="0" w:space="0" w:color="auto"/>
            <w:bottom w:val="none" w:sz="0" w:space="0" w:color="auto"/>
            <w:right w:val="none" w:sz="0" w:space="0" w:color="auto"/>
          </w:divBdr>
        </w:div>
        <w:div w:id="1745294570">
          <w:marLeft w:val="480"/>
          <w:marRight w:val="0"/>
          <w:marTop w:val="0"/>
          <w:marBottom w:val="0"/>
          <w:divBdr>
            <w:top w:val="none" w:sz="0" w:space="0" w:color="auto"/>
            <w:left w:val="none" w:sz="0" w:space="0" w:color="auto"/>
            <w:bottom w:val="none" w:sz="0" w:space="0" w:color="auto"/>
            <w:right w:val="none" w:sz="0" w:space="0" w:color="auto"/>
          </w:divBdr>
        </w:div>
        <w:div w:id="1949657990">
          <w:marLeft w:val="480"/>
          <w:marRight w:val="0"/>
          <w:marTop w:val="0"/>
          <w:marBottom w:val="0"/>
          <w:divBdr>
            <w:top w:val="none" w:sz="0" w:space="0" w:color="auto"/>
            <w:left w:val="none" w:sz="0" w:space="0" w:color="auto"/>
            <w:bottom w:val="none" w:sz="0" w:space="0" w:color="auto"/>
            <w:right w:val="none" w:sz="0" w:space="0" w:color="auto"/>
          </w:divBdr>
        </w:div>
        <w:div w:id="1290670133">
          <w:marLeft w:val="480"/>
          <w:marRight w:val="0"/>
          <w:marTop w:val="0"/>
          <w:marBottom w:val="0"/>
          <w:divBdr>
            <w:top w:val="none" w:sz="0" w:space="0" w:color="auto"/>
            <w:left w:val="none" w:sz="0" w:space="0" w:color="auto"/>
            <w:bottom w:val="none" w:sz="0" w:space="0" w:color="auto"/>
            <w:right w:val="none" w:sz="0" w:space="0" w:color="auto"/>
          </w:divBdr>
        </w:div>
        <w:div w:id="1631352351">
          <w:marLeft w:val="480"/>
          <w:marRight w:val="0"/>
          <w:marTop w:val="0"/>
          <w:marBottom w:val="0"/>
          <w:divBdr>
            <w:top w:val="none" w:sz="0" w:space="0" w:color="auto"/>
            <w:left w:val="none" w:sz="0" w:space="0" w:color="auto"/>
            <w:bottom w:val="none" w:sz="0" w:space="0" w:color="auto"/>
            <w:right w:val="none" w:sz="0" w:space="0" w:color="auto"/>
          </w:divBdr>
        </w:div>
        <w:div w:id="1866861907">
          <w:marLeft w:val="480"/>
          <w:marRight w:val="0"/>
          <w:marTop w:val="0"/>
          <w:marBottom w:val="0"/>
          <w:divBdr>
            <w:top w:val="none" w:sz="0" w:space="0" w:color="auto"/>
            <w:left w:val="none" w:sz="0" w:space="0" w:color="auto"/>
            <w:bottom w:val="none" w:sz="0" w:space="0" w:color="auto"/>
            <w:right w:val="none" w:sz="0" w:space="0" w:color="auto"/>
          </w:divBdr>
        </w:div>
        <w:div w:id="682168648">
          <w:marLeft w:val="480"/>
          <w:marRight w:val="0"/>
          <w:marTop w:val="0"/>
          <w:marBottom w:val="0"/>
          <w:divBdr>
            <w:top w:val="none" w:sz="0" w:space="0" w:color="auto"/>
            <w:left w:val="none" w:sz="0" w:space="0" w:color="auto"/>
            <w:bottom w:val="none" w:sz="0" w:space="0" w:color="auto"/>
            <w:right w:val="none" w:sz="0" w:space="0" w:color="auto"/>
          </w:divBdr>
        </w:div>
        <w:div w:id="795295858">
          <w:marLeft w:val="480"/>
          <w:marRight w:val="0"/>
          <w:marTop w:val="0"/>
          <w:marBottom w:val="0"/>
          <w:divBdr>
            <w:top w:val="none" w:sz="0" w:space="0" w:color="auto"/>
            <w:left w:val="none" w:sz="0" w:space="0" w:color="auto"/>
            <w:bottom w:val="none" w:sz="0" w:space="0" w:color="auto"/>
            <w:right w:val="none" w:sz="0" w:space="0" w:color="auto"/>
          </w:divBdr>
        </w:div>
        <w:div w:id="1530685203">
          <w:marLeft w:val="480"/>
          <w:marRight w:val="0"/>
          <w:marTop w:val="0"/>
          <w:marBottom w:val="0"/>
          <w:divBdr>
            <w:top w:val="none" w:sz="0" w:space="0" w:color="auto"/>
            <w:left w:val="none" w:sz="0" w:space="0" w:color="auto"/>
            <w:bottom w:val="none" w:sz="0" w:space="0" w:color="auto"/>
            <w:right w:val="none" w:sz="0" w:space="0" w:color="auto"/>
          </w:divBdr>
        </w:div>
        <w:div w:id="2063360052">
          <w:marLeft w:val="480"/>
          <w:marRight w:val="0"/>
          <w:marTop w:val="0"/>
          <w:marBottom w:val="0"/>
          <w:divBdr>
            <w:top w:val="none" w:sz="0" w:space="0" w:color="auto"/>
            <w:left w:val="none" w:sz="0" w:space="0" w:color="auto"/>
            <w:bottom w:val="none" w:sz="0" w:space="0" w:color="auto"/>
            <w:right w:val="none" w:sz="0" w:space="0" w:color="auto"/>
          </w:divBdr>
        </w:div>
        <w:div w:id="1926307370">
          <w:marLeft w:val="480"/>
          <w:marRight w:val="0"/>
          <w:marTop w:val="0"/>
          <w:marBottom w:val="0"/>
          <w:divBdr>
            <w:top w:val="none" w:sz="0" w:space="0" w:color="auto"/>
            <w:left w:val="none" w:sz="0" w:space="0" w:color="auto"/>
            <w:bottom w:val="none" w:sz="0" w:space="0" w:color="auto"/>
            <w:right w:val="none" w:sz="0" w:space="0" w:color="auto"/>
          </w:divBdr>
        </w:div>
        <w:div w:id="450056701">
          <w:marLeft w:val="480"/>
          <w:marRight w:val="0"/>
          <w:marTop w:val="0"/>
          <w:marBottom w:val="0"/>
          <w:divBdr>
            <w:top w:val="none" w:sz="0" w:space="0" w:color="auto"/>
            <w:left w:val="none" w:sz="0" w:space="0" w:color="auto"/>
            <w:bottom w:val="none" w:sz="0" w:space="0" w:color="auto"/>
            <w:right w:val="none" w:sz="0" w:space="0" w:color="auto"/>
          </w:divBdr>
        </w:div>
        <w:div w:id="1833986208">
          <w:marLeft w:val="480"/>
          <w:marRight w:val="0"/>
          <w:marTop w:val="0"/>
          <w:marBottom w:val="0"/>
          <w:divBdr>
            <w:top w:val="none" w:sz="0" w:space="0" w:color="auto"/>
            <w:left w:val="none" w:sz="0" w:space="0" w:color="auto"/>
            <w:bottom w:val="none" w:sz="0" w:space="0" w:color="auto"/>
            <w:right w:val="none" w:sz="0" w:space="0" w:color="auto"/>
          </w:divBdr>
        </w:div>
        <w:div w:id="1649823639">
          <w:marLeft w:val="480"/>
          <w:marRight w:val="0"/>
          <w:marTop w:val="0"/>
          <w:marBottom w:val="0"/>
          <w:divBdr>
            <w:top w:val="none" w:sz="0" w:space="0" w:color="auto"/>
            <w:left w:val="none" w:sz="0" w:space="0" w:color="auto"/>
            <w:bottom w:val="none" w:sz="0" w:space="0" w:color="auto"/>
            <w:right w:val="none" w:sz="0" w:space="0" w:color="auto"/>
          </w:divBdr>
        </w:div>
        <w:div w:id="533736619">
          <w:marLeft w:val="480"/>
          <w:marRight w:val="0"/>
          <w:marTop w:val="0"/>
          <w:marBottom w:val="0"/>
          <w:divBdr>
            <w:top w:val="none" w:sz="0" w:space="0" w:color="auto"/>
            <w:left w:val="none" w:sz="0" w:space="0" w:color="auto"/>
            <w:bottom w:val="none" w:sz="0" w:space="0" w:color="auto"/>
            <w:right w:val="none" w:sz="0" w:space="0" w:color="auto"/>
          </w:divBdr>
        </w:div>
        <w:div w:id="948127259">
          <w:marLeft w:val="480"/>
          <w:marRight w:val="0"/>
          <w:marTop w:val="0"/>
          <w:marBottom w:val="0"/>
          <w:divBdr>
            <w:top w:val="none" w:sz="0" w:space="0" w:color="auto"/>
            <w:left w:val="none" w:sz="0" w:space="0" w:color="auto"/>
            <w:bottom w:val="none" w:sz="0" w:space="0" w:color="auto"/>
            <w:right w:val="none" w:sz="0" w:space="0" w:color="auto"/>
          </w:divBdr>
        </w:div>
        <w:div w:id="736249349">
          <w:marLeft w:val="480"/>
          <w:marRight w:val="0"/>
          <w:marTop w:val="0"/>
          <w:marBottom w:val="0"/>
          <w:divBdr>
            <w:top w:val="none" w:sz="0" w:space="0" w:color="auto"/>
            <w:left w:val="none" w:sz="0" w:space="0" w:color="auto"/>
            <w:bottom w:val="none" w:sz="0" w:space="0" w:color="auto"/>
            <w:right w:val="none" w:sz="0" w:space="0" w:color="auto"/>
          </w:divBdr>
        </w:div>
        <w:div w:id="852189498">
          <w:marLeft w:val="480"/>
          <w:marRight w:val="0"/>
          <w:marTop w:val="0"/>
          <w:marBottom w:val="0"/>
          <w:divBdr>
            <w:top w:val="none" w:sz="0" w:space="0" w:color="auto"/>
            <w:left w:val="none" w:sz="0" w:space="0" w:color="auto"/>
            <w:bottom w:val="none" w:sz="0" w:space="0" w:color="auto"/>
            <w:right w:val="none" w:sz="0" w:space="0" w:color="auto"/>
          </w:divBdr>
        </w:div>
        <w:div w:id="1638801091">
          <w:marLeft w:val="480"/>
          <w:marRight w:val="0"/>
          <w:marTop w:val="0"/>
          <w:marBottom w:val="0"/>
          <w:divBdr>
            <w:top w:val="none" w:sz="0" w:space="0" w:color="auto"/>
            <w:left w:val="none" w:sz="0" w:space="0" w:color="auto"/>
            <w:bottom w:val="none" w:sz="0" w:space="0" w:color="auto"/>
            <w:right w:val="none" w:sz="0" w:space="0" w:color="auto"/>
          </w:divBdr>
        </w:div>
        <w:div w:id="1634288155">
          <w:marLeft w:val="480"/>
          <w:marRight w:val="0"/>
          <w:marTop w:val="0"/>
          <w:marBottom w:val="0"/>
          <w:divBdr>
            <w:top w:val="none" w:sz="0" w:space="0" w:color="auto"/>
            <w:left w:val="none" w:sz="0" w:space="0" w:color="auto"/>
            <w:bottom w:val="none" w:sz="0" w:space="0" w:color="auto"/>
            <w:right w:val="none" w:sz="0" w:space="0" w:color="auto"/>
          </w:divBdr>
        </w:div>
        <w:div w:id="488207142">
          <w:marLeft w:val="480"/>
          <w:marRight w:val="0"/>
          <w:marTop w:val="0"/>
          <w:marBottom w:val="0"/>
          <w:divBdr>
            <w:top w:val="none" w:sz="0" w:space="0" w:color="auto"/>
            <w:left w:val="none" w:sz="0" w:space="0" w:color="auto"/>
            <w:bottom w:val="none" w:sz="0" w:space="0" w:color="auto"/>
            <w:right w:val="none" w:sz="0" w:space="0" w:color="auto"/>
          </w:divBdr>
        </w:div>
        <w:div w:id="1816217402">
          <w:marLeft w:val="480"/>
          <w:marRight w:val="0"/>
          <w:marTop w:val="0"/>
          <w:marBottom w:val="0"/>
          <w:divBdr>
            <w:top w:val="none" w:sz="0" w:space="0" w:color="auto"/>
            <w:left w:val="none" w:sz="0" w:space="0" w:color="auto"/>
            <w:bottom w:val="none" w:sz="0" w:space="0" w:color="auto"/>
            <w:right w:val="none" w:sz="0" w:space="0" w:color="auto"/>
          </w:divBdr>
        </w:div>
        <w:div w:id="1933321615">
          <w:marLeft w:val="480"/>
          <w:marRight w:val="0"/>
          <w:marTop w:val="0"/>
          <w:marBottom w:val="0"/>
          <w:divBdr>
            <w:top w:val="none" w:sz="0" w:space="0" w:color="auto"/>
            <w:left w:val="none" w:sz="0" w:space="0" w:color="auto"/>
            <w:bottom w:val="none" w:sz="0" w:space="0" w:color="auto"/>
            <w:right w:val="none" w:sz="0" w:space="0" w:color="auto"/>
          </w:divBdr>
        </w:div>
        <w:div w:id="223368721">
          <w:marLeft w:val="480"/>
          <w:marRight w:val="0"/>
          <w:marTop w:val="0"/>
          <w:marBottom w:val="0"/>
          <w:divBdr>
            <w:top w:val="none" w:sz="0" w:space="0" w:color="auto"/>
            <w:left w:val="none" w:sz="0" w:space="0" w:color="auto"/>
            <w:bottom w:val="none" w:sz="0" w:space="0" w:color="auto"/>
            <w:right w:val="none" w:sz="0" w:space="0" w:color="auto"/>
          </w:divBdr>
        </w:div>
        <w:div w:id="731390818">
          <w:marLeft w:val="480"/>
          <w:marRight w:val="0"/>
          <w:marTop w:val="0"/>
          <w:marBottom w:val="0"/>
          <w:divBdr>
            <w:top w:val="none" w:sz="0" w:space="0" w:color="auto"/>
            <w:left w:val="none" w:sz="0" w:space="0" w:color="auto"/>
            <w:bottom w:val="none" w:sz="0" w:space="0" w:color="auto"/>
            <w:right w:val="none" w:sz="0" w:space="0" w:color="auto"/>
          </w:divBdr>
        </w:div>
        <w:div w:id="694380682">
          <w:marLeft w:val="480"/>
          <w:marRight w:val="0"/>
          <w:marTop w:val="0"/>
          <w:marBottom w:val="0"/>
          <w:divBdr>
            <w:top w:val="none" w:sz="0" w:space="0" w:color="auto"/>
            <w:left w:val="none" w:sz="0" w:space="0" w:color="auto"/>
            <w:bottom w:val="none" w:sz="0" w:space="0" w:color="auto"/>
            <w:right w:val="none" w:sz="0" w:space="0" w:color="auto"/>
          </w:divBdr>
        </w:div>
        <w:div w:id="1031078458">
          <w:marLeft w:val="480"/>
          <w:marRight w:val="0"/>
          <w:marTop w:val="0"/>
          <w:marBottom w:val="0"/>
          <w:divBdr>
            <w:top w:val="none" w:sz="0" w:space="0" w:color="auto"/>
            <w:left w:val="none" w:sz="0" w:space="0" w:color="auto"/>
            <w:bottom w:val="none" w:sz="0" w:space="0" w:color="auto"/>
            <w:right w:val="none" w:sz="0" w:space="0" w:color="auto"/>
          </w:divBdr>
        </w:div>
        <w:div w:id="346564755">
          <w:marLeft w:val="480"/>
          <w:marRight w:val="0"/>
          <w:marTop w:val="0"/>
          <w:marBottom w:val="0"/>
          <w:divBdr>
            <w:top w:val="none" w:sz="0" w:space="0" w:color="auto"/>
            <w:left w:val="none" w:sz="0" w:space="0" w:color="auto"/>
            <w:bottom w:val="none" w:sz="0" w:space="0" w:color="auto"/>
            <w:right w:val="none" w:sz="0" w:space="0" w:color="auto"/>
          </w:divBdr>
        </w:div>
        <w:div w:id="944650225">
          <w:marLeft w:val="480"/>
          <w:marRight w:val="0"/>
          <w:marTop w:val="0"/>
          <w:marBottom w:val="0"/>
          <w:divBdr>
            <w:top w:val="none" w:sz="0" w:space="0" w:color="auto"/>
            <w:left w:val="none" w:sz="0" w:space="0" w:color="auto"/>
            <w:bottom w:val="none" w:sz="0" w:space="0" w:color="auto"/>
            <w:right w:val="none" w:sz="0" w:space="0" w:color="auto"/>
          </w:divBdr>
        </w:div>
        <w:div w:id="594478587">
          <w:marLeft w:val="480"/>
          <w:marRight w:val="0"/>
          <w:marTop w:val="0"/>
          <w:marBottom w:val="0"/>
          <w:divBdr>
            <w:top w:val="none" w:sz="0" w:space="0" w:color="auto"/>
            <w:left w:val="none" w:sz="0" w:space="0" w:color="auto"/>
            <w:bottom w:val="none" w:sz="0" w:space="0" w:color="auto"/>
            <w:right w:val="none" w:sz="0" w:space="0" w:color="auto"/>
          </w:divBdr>
        </w:div>
        <w:div w:id="509222316">
          <w:marLeft w:val="480"/>
          <w:marRight w:val="0"/>
          <w:marTop w:val="0"/>
          <w:marBottom w:val="0"/>
          <w:divBdr>
            <w:top w:val="none" w:sz="0" w:space="0" w:color="auto"/>
            <w:left w:val="none" w:sz="0" w:space="0" w:color="auto"/>
            <w:bottom w:val="none" w:sz="0" w:space="0" w:color="auto"/>
            <w:right w:val="none" w:sz="0" w:space="0" w:color="auto"/>
          </w:divBdr>
        </w:div>
        <w:div w:id="1046027647">
          <w:marLeft w:val="480"/>
          <w:marRight w:val="0"/>
          <w:marTop w:val="0"/>
          <w:marBottom w:val="0"/>
          <w:divBdr>
            <w:top w:val="none" w:sz="0" w:space="0" w:color="auto"/>
            <w:left w:val="none" w:sz="0" w:space="0" w:color="auto"/>
            <w:bottom w:val="none" w:sz="0" w:space="0" w:color="auto"/>
            <w:right w:val="none" w:sz="0" w:space="0" w:color="auto"/>
          </w:divBdr>
        </w:div>
        <w:div w:id="542906610">
          <w:marLeft w:val="480"/>
          <w:marRight w:val="0"/>
          <w:marTop w:val="0"/>
          <w:marBottom w:val="0"/>
          <w:divBdr>
            <w:top w:val="none" w:sz="0" w:space="0" w:color="auto"/>
            <w:left w:val="none" w:sz="0" w:space="0" w:color="auto"/>
            <w:bottom w:val="none" w:sz="0" w:space="0" w:color="auto"/>
            <w:right w:val="none" w:sz="0" w:space="0" w:color="auto"/>
          </w:divBdr>
        </w:div>
        <w:div w:id="424498428">
          <w:marLeft w:val="480"/>
          <w:marRight w:val="0"/>
          <w:marTop w:val="0"/>
          <w:marBottom w:val="0"/>
          <w:divBdr>
            <w:top w:val="none" w:sz="0" w:space="0" w:color="auto"/>
            <w:left w:val="none" w:sz="0" w:space="0" w:color="auto"/>
            <w:bottom w:val="none" w:sz="0" w:space="0" w:color="auto"/>
            <w:right w:val="none" w:sz="0" w:space="0" w:color="auto"/>
          </w:divBdr>
        </w:div>
        <w:div w:id="1921216164">
          <w:marLeft w:val="480"/>
          <w:marRight w:val="0"/>
          <w:marTop w:val="0"/>
          <w:marBottom w:val="0"/>
          <w:divBdr>
            <w:top w:val="none" w:sz="0" w:space="0" w:color="auto"/>
            <w:left w:val="none" w:sz="0" w:space="0" w:color="auto"/>
            <w:bottom w:val="none" w:sz="0" w:space="0" w:color="auto"/>
            <w:right w:val="none" w:sz="0" w:space="0" w:color="auto"/>
          </w:divBdr>
        </w:div>
        <w:div w:id="880630020">
          <w:marLeft w:val="480"/>
          <w:marRight w:val="0"/>
          <w:marTop w:val="0"/>
          <w:marBottom w:val="0"/>
          <w:divBdr>
            <w:top w:val="none" w:sz="0" w:space="0" w:color="auto"/>
            <w:left w:val="none" w:sz="0" w:space="0" w:color="auto"/>
            <w:bottom w:val="none" w:sz="0" w:space="0" w:color="auto"/>
            <w:right w:val="none" w:sz="0" w:space="0" w:color="auto"/>
          </w:divBdr>
        </w:div>
        <w:div w:id="931745932">
          <w:marLeft w:val="480"/>
          <w:marRight w:val="0"/>
          <w:marTop w:val="0"/>
          <w:marBottom w:val="0"/>
          <w:divBdr>
            <w:top w:val="none" w:sz="0" w:space="0" w:color="auto"/>
            <w:left w:val="none" w:sz="0" w:space="0" w:color="auto"/>
            <w:bottom w:val="none" w:sz="0" w:space="0" w:color="auto"/>
            <w:right w:val="none" w:sz="0" w:space="0" w:color="auto"/>
          </w:divBdr>
        </w:div>
        <w:div w:id="1010183106">
          <w:marLeft w:val="480"/>
          <w:marRight w:val="0"/>
          <w:marTop w:val="0"/>
          <w:marBottom w:val="0"/>
          <w:divBdr>
            <w:top w:val="none" w:sz="0" w:space="0" w:color="auto"/>
            <w:left w:val="none" w:sz="0" w:space="0" w:color="auto"/>
            <w:bottom w:val="none" w:sz="0" w:space="0" w:color="auto"/>
            <w:right w:val="none" w:sz="0" w:space="0" w:color="auto"/>
          </w:divBdr>
        </w:div>
        <w:div w:id="1600093342">
          <w:marLeft w:val="480"/>
          <w:marRight w:val="0"/>
          <w:marTop w:val="0"/>
          <w:marBottom w:val="0"/>
          <w:divBdr>
            <w:top w:val="none" w:sz="0" w:space="0" w:color="auto"/>
            <w:left w:val="none" w:sz="0" w:space="0" w:color="auto"/>
            <w:bottom w:val="none" w:sz="0" w:space="0" w:color="auto"/>
            <w:right w:val="none" w:sz="0" w:space="0" w:color="auto"/>
          </w:divBdr>
        </w:div>
        <w:div w:id="723453204">
          <w:marLeft w:val="480"/>
          <w:marRight w:val="0"/>
          <w:marTop w:val="0"/>
          <w:marBottom w:val="0"/>
          <w:divBdr>
            <w:top w:val="none" w:sz="0" w:space="0" w:color="auto"/>
            <w:left w:val="none" w:sz="0" w:space="0" w:color="auto"/>
            <w:bottom w:val="none" w:sz="0" w:space="0" w:color="auto"/>
            <w:right w:val="none" w:sz="0" w:space="0" w:color="auto"/>
          </w:divBdr>
        </w:div>
        <w:div w:id="593248469">
          <w:marLeft w:val="480"/>
          <w:marRight w:val="0"/>
          <w:marTop w:val="0"/>
          <w:marBottom w:val="0"/>
          <w:divBdr>
            <w:top w:val="none" w:sz="0" w:space="0" w:color="auto"/>
            <w:left w:val="none" w:sz="0" w:space="0" w:color="auto"/>
            <w:bottom w:val="none" w:sz="0" w:space="0" w:color="auto"/>
            <w:right w:val="none" w:sz="0" w:space="0" w:color="auto"/>
          </w:divBdr>
        </w:div>
        <w:div w:id="1158493153">
          <w:marLeft w:val="480"/>
          <w:marRight w:val="0"/>
          <w:marTop w:val="0"/>
          <w:marBottom w:val="0"/>
          <w:divBdr>
            <w:top w:val="none" w:sz="0" w:space="0" w:color="auto"/>
            <w:left w:val="none" w:sz="0" w:space="0" w:color="auto"/>
            <w:bottom w:val="none" w:sz="0" w:space="0" w:color="auto"/>
            <w:right w:val="none" w:sz="0" w:space="0" w:color="auto"/>
          </w:divBdr>
        </w:div>
        <w:div w:id="1906909913">
          <w:marLeft w:val="480"/>
          <w:marRight w:val="0"/>
          <w:marTop w:val="0"/>
          <w:marBottom w:val="0"/>
          <w:divBdr>
            <w:top w:val="none" w:sz="0" w:space="0" w:color="auto"/>
            <w:left w:val="none" w:sz="0" w:space="0" w:color="auto"/>
            <w:bottom w:val="none" w:sz="0" w:space="0" w:color="auto"/>
            <w:right w:val="none" w:sz="0" w:space="0" w:color="auto"/>
          </w:divBdr>
        </w:div>
        <w:div w:id="485971626">
          <w:marLeft w:val="480"/>
          <w:marRight w:val="0"/>
          <w:marTop w:val="0"/>
          <w:marBottom w:val="0"/>
          <w:divBdr>
            <w:top w:val="none" w:sz="0" w:space="0" w:color="auto"/>
            <w:left w:val="none" w:sz="0" w:space="0" w:color="auto"/>
            <w:bottom w:val="none" w:sz="0" w:space="0" w:color="auto"/>
            <w:right w:val="none" w:sz="0" w:space="0" w:color="auto"/>
          </w:divBdr>
        </w:div>
        <w:div w:id="910770021">
          <w:marLeft w:val="480"/>
          <w:marRight w:val="0"/>
          <w:marTop w:val="0"/>
          <w:marBottom w:val="0"/>
          <w:divBdr>
            <w:top w:val="none" w:sz="0" w:space="0" w:color="auto"/>
            <w:left w:val="none" w:sz="0" w:space="0" w:color="auto"/>
            <w:bottom w:val="none" w:sz="0" w:space="0" w:color="auto"/>
            <w:right w:val="none" w:sz="0" w:space="0" w:color="auto"/>
          </w:divBdr>
        </w:div>
        <w:div w:id="699161780">
          <w:marLeft w:val="480"/>
          <w:marRight w:val="0"/>
          <w:marTop w:val="0"/>
          <w:marBottom w:val="0"/>
          <w:divBdr>
            <w:top w:val="none" w:sz="0" w:space="0" w:color="auto"/>
            <w:left w:val="none" w:sz="0" w:space="0" w:color="auto"/>
            <w:bottom w:val="none" w:sz="0" w:space="0" w:color="auto"/>
            <w:right w:val="none" w:sz="0" w:space="0" w:color="auto"/>
          </w:divBdr>
        </w:div>
        <w:div w:id="830144779">
          <w:marLeft w:val="480"/>
          <w:marRight w:val="0"/>
          <w:marTop w:val="0"/>
          <w:marBottom w:val="0"/>
          <w:divBdr>
            <w:top w:val="none" w:sz="0" w:space="0" w:color="auto"/>
            <w:left w:val="none" w:sz="0" w:space="0" w:color="auto"/>
            <w:bottom w:val="none" w:sz="0" w:space="0" w:color="auto"/>
            <w:right w:val="none" w:sz="0" w:space="0" w:color="auto"/>
          </w:divBdr>
        </w:div>
        <w:div w:id="224224067">
          <w:marLeft w:val="480"/>
          <w:marRight w:val="0"/>
          <w:marTop w:val="0"/>
          <w:marBottom w:val="0"/>
          <w:divBdr>
            <w:top w:val="none" w:sz="0" w:space="0" w:color="auto"/>
            <w:left w:val="none" w:sz="0" w:space="0" w:color="auto"/>
            <w:bottom w:val="none" w:sz="0" w:space="0" w:color="auto"/>
            <w:right w:val="none" w:sz="0" w:space="0" w:color="auto"/>
          </w:divBdr>
        </w:div>
        <w:div w:id="334963913">
          <w:marLeft w:val="480"/>
          <w:marRight w:val="0"/>
          <w:marTop w:val="0"/>
          <w:marBottom w:val="0"/>
          <w:divBdr>
            <w:top w:val="none" w:sz="0" w:space="0" w:color="auto"/>
            <w:left w:val="none" w:sz="0" w:space="0" w:color="auto"/>
            <w:bottom w:val="none" w:sz="0" w:space="0" w:color="auto"/>
            <w:right w:val="none" w:sz="0" w:space="0" w:color="auto"/>
          </w:divBdr>
        </w:div>
        <w:div w:id="613753811">
          <w:marLeft w:val="480"/>
          <w:marRight w:val="0"/>
          <w:marTop w:val="0"/>
          <w:marBottom w:val="0"/>
          <w:divBdr>
            <w:top w:val="none" w:sz="0" w:space="0" w:color="auto"/>
            <w:left w:val="none" w:sz="0" w:space="0" w:color="auto"/>
            <w:bottom w:val="none" w:sz="0" w:space="0" w:color="auto"/>
            <w:right w:val="none" w:sz="0" w:space="0" w:color="auto"/>
          </w:divBdr>
        </w:div>
        <w:div w:id="790589494">
          <w:marLeft w:val="480"/>
          <w:marRight w:val="0"/>
          <w:marTop w:val="0"/>
          <w:marBottom w:val="0"/>
          <w:divBdr>
            <w:top w:val="none" w:sz="0" w:space="0" w:color="auto"/>
            <w:left w:val="none" w:sz="0" w:space="0" w:color="auto"/>
            <w:bottom w:val="none" w:sz="0" w:space="0" w:color="auto"/>
            <w:right w:val="none" w:sz="0" w:space="0" w:color="auto"/>
          </w:divBdr>
        </w:div>
        <w:div w:id="1698770318">
          <w:marLeft w:val="480"/>
          <w:marRight w:val="0"/>
          <w:marTop w:val="0"/>
          <w:marBottom w:val="0"/>
          <w:divBdr>
            <w:top w:val="none" w:sz="0" w:space="0" w:color="auto"/>
            <w:left w:val="none" w:sz="0" w:space="0" w:color="auto"/>
            <w:bottom w:val="none" w:sz="0" w:space="0" w:color="auto"/>
            <w:right w:val="none" w:sz="0" w:space="0" w:color="auto"/>
          </w:divBdr>
        </w:div>
        <w:div w:id="414592544">
          <w:marLeft w:val="480"/>
          <w:marRight w:val="0"/>
          <w:marTop w:val="0"/>
          <w:marBottom w:val="0"/>
          <w:divBdr>
            <w:top w:val="none" w:sz="0" w:space="0" w:color="auto"/>
            <w:left w:val="none" w:sz="0" w:space="0" w:color="auto"/>
            <w:bottom w:val="none" w:sz="0" w:space="0" w:color="auto"/>
            <w:right w:val="none" w:sz="0" w:space="0" w:color="auto"/>
          </w:divBdr>
        </w:div>
        <w:div w:id="488525278">
          <w:marLeft w:val="480"/>
          <w:marRight w:val="0"/>
          <w:marTop w:val="0"/>
          <w:marBottom w:val="0"/>
          <w:divBdr>
            <w:top w:val="none" w:sz="0" w:space="0" w:color="auto"/>
            <w:left w:val="none" w:sz="0" w:space="0" w:color="auto"/>
            <w:bottom w:val="none" w:sz="0" w:space="0" w:color="auto"/>
            <w:right w:val="none" w:sz="0" w:space="0" w:color="auto"/>
          </w:divBdr>
        </w:div>
        <w:div w:id="1960532122">
          <w:marLeft w:val="480"/>
          <w:marRight w:val="0"/>
          <w:marTop w:val="0"/>
          <w:marBottom w:val="0"/>
          <w:divBdr>
            <w:top w:val="none" w:sz="0" w:space="0" w:color="auto"/>
            <w:left w:val="none" w:sz="0" w:space="0" w:color="auto"/>
            <w:bottom w:val="none" w:sz="0" w:space="0" w:color="auto"/>
            <w:right w:val="none" w:sz="0" w:space="0" w:color="auto"/>
          </w:divBdr>
        </w:div>
        <w:div w:id="1757676743">
          <w:marLeft w:val="480"/>
          <w:marRight w:val="0"/>
          <w:marTop w:val="0"/>
          <w:marBottom w:val="0"/>
          <w:divBdr>
            <w:top w:val="none" w:sz="0" w:space="0" w:color="auto"/>
            <w:left w:val="none" w:sz="0" w:space="0" w:color="auto"/>
            <w:bottom w:val="none" w:sz="0" w:space="0" w:color="auto"/>
            <w:right w:val="none" w:sz="0" w:space="0" w:color="auto"/>
          </w:divBdr>
        </w:div>
        <w:div w:id="83188204">
          <w:marLeft w:val="480"/>
          <w:marRight w:val="0"/>
          <w:marTop w:val="0"/>
          <w:marBottom w:val="0"/>
          <w:divBdr>
            <w:top w:val="none" w:sz="0" w:space="0" w:color="auto"/>
            <w:left w:val="none" w:sz="0" w:space="0" w:color="auto"/>
            <w:bottom w:val="none" w:sz="0" w:space="0" w:color="auto"/>
            <w:right w:val="none" w:sz="0" w:space="0" w:color="auto"/>
          </w:divBdr>
        </w:div>
        <w:div w:id="1136533781">
          <w:marLeft w:val="480"/>
          <w:marRight w:val="0"/>
          <w:marTop w:val="0"/>
          <w:marBottom w:val="0"/>
          <w:divBdr>
            <w:top w:val="none" w:sz="0" w:space="0" w:color="auto"/>
            <w:left w:val="none" w:sz="0" w:space="0" w:color="auto"/>
            <w:bottom w:val="none" w:sz="0" w:space="0" w:color="auto"/>
            <w:right w:val="none" w:sz="0" w:space="0" w:color="auto"/>
          </w:divBdr>
        </w:div>
        <w:div w:id="1895463931">
          <w:marLeft w:val="480"/>
          <w:marRight w:val="0"/>
          <w:marTop w:val="0"/>
          <w:marBottom w:val="0"/>
          <w:divBdr>
            <w:top w:val="none" w:sz="0" w:space="0" w:color="auto"/>
            <w:left w:val="none" w:sz="0" w:space="0" w:color="auto"/>
            <w:bottom w:val="none" w:sz="0" w:space="0" w:color="auto"/>
            <w:right w:val="none" w:sz="0" w:space="0" w:color="auto"/>
          </w:divBdr>
        </w:div>
        <w:div w:id="1067535672">
          <w:marLeft w:val="480"/>
          <w:marRight w:val="0"/>
          <w:marTop w:val="0"/>
          <w:marBottom w:val="0"/>
          <w:divBdr>
            <w:top w:val="none" w:sz="0" w:space="0" w:color="auto"/>
            <w:left w:val="none" w:sz="0" w:space="0" w:color="auto"/>
            <w:bottom w:val="none" w:sz="0" w:space="0" w:color="auto"/>
            <w:right w:val="none" w:sz="0" w:space="0" w:color="auto"/>
          </w:divBdr>
        </w:div>
        <w:div w:id="56559706">
          <w:marLeft w:val="480"/>
          <w:marRight w:val="0"/>
          <w:marTop w:val="0"/>
          <w:marBottom w:val="0"/>
          <w:divBdr>
            <w:top w:val="none" w:sz="0" w:space="0" w:color="auto"/>
            <w:left w:val="none" w:sz="0" w:space="0" w:color="auto"/>
            <w:bottom w:val="none" w:sz="0" w:space="0" w:color="auto"/>
            <w:right w:val="none" w:sz="0" w:space="0" w:color="auto"/>
          </w:divBdr>
        </w:div>
        <w:div w:id="1951544028">
          <w:marLeft w:val="480"/>
          <w:marRight w:val="0"/>
          <w:marTop w:val="0"/>
          <w:marBottom w:val="0"/>
          <w:divBdr>
            <w:top w:val="none" w:sz="0" w:space="0" w:color="auto"/>
            <w:left w:val="none" w:sz="0" w:space="0" w:color="auto"/>
            <w:bottom w:val="none" w:sz="0" w:space="0" w:color="auto"/>
            <w:right w:val="none" w:sz="0" w:space="0" w:color="auto"/>
          </w:divBdr>
        </w:div>
        <w:div w:id="881289308">
          <w:marLeft w:val="480"/>
          <w:marRight w:val="0"/>
          <w:marTop w:val="0"/>
          <w:marBottom w:val="0"/>
          <w:divBdr>
            <w:top w:val="none" w:sz="0" w:space="0" w:color="auto"/>
            <w:left w:val="none" w:sz="0" w:space="0" w:color="auto"/>
            <w:bottom w:val="none" w:sz="0" w:space="0" w:color="auto"/>
            <w:right w:val="none" w:sz="0" w:space="0" w:color="auto"/>
          </w:divBdr>
        </w:div>
        <w:div w:id="1779058763">
          <w:marLeft w:val="480"/>
          <w:marRight w:val="0"/>
          <w:marTop w:val="0"/>
          <w:marBottom w:val="0"/>
          <w:divBdr>
            <w:top w:val="none" w:sz="0" w:space="0" w:color="auto"/>
            <w:left w:val="none" w:sz="0" w:space="0" w:color="auto"/>
            <w:bottom w:val="none" w:sz="0" w:space="0" w:color="auto"/>
            <w:right w:val="none" w:sz="0" w:space="0" w:color="auto"/>
          </w:divBdr>
        </w:div>
        <w:div w:id="2049647698">
          <w:marLeft w:val="480"/>
          <w:marRight w:val="0"/>
          <w:marTop w:val="0"/>
          <w:marBottom w:val="0"/>
          <w:divBdr>
            <w:top w:val="none" w:sz="0" w:space="0" w:color="auto"/>
            <w:left w:val="none" w:sz="0" w:space="0" w:color="auto"/>
            <w:bottom w:val="none" w:sz="0" w:space="0" w:color="auto"/>
            <w:right w:val="none" w:sz="0" w:space="0" w:color="auto"/>
          </w:divBdr>
        </w:div>
        <w:div w:id="1517692358">
          <w:marLeft w:val="480"/>
          <w:marRight w:val="0"/>
          <w:marTop w:val="0"/>
          <w:marBottom w:val="0"/>
          <w:divBdr>
            <w:top w:val="none" w:sz="0" w:space="0" w:color="auto"/>
            <w:left w:val="none" w:sz="0" w:space="0" w:color="auto"/>
            <w:bottom w:val="none" w:sz="0" w:space="0" w:color="auto"/>
            <w:right w:val="none" w:sz="0" w:space="0" w:color="auto"/>
          </w:divBdr>
        </w:div>
        <w:div w:id="1491020365">
          <w:marLeft w:val="480"/>
          <w:marRight w:val="0"/>
          <w:marTop w:val="0"/>
          <w:marBottom w:val="0"/>
          <w:divBdr>
            <w:top w:val="none" w:sz="0" w:space="0" w:color="auto"/>
            <w:left w:val="none" w:sz="0" w:space="0" w:color="auto"/>
            <w:bottom w:val="none" w:sz="0" w:space="0" w:color="auto"/>
            <w:right w:val="none" w:sz="0" w:space="0" w:color="auto"/>
          </w:divBdr>
        </w:div>
        <w:div w:id="650713832">
          <w:marLeft w:val="480"/>
          <w:marRight w:val="0"/>
          <w:marTop w:val="0"/>
          <w:marBottom w:val="0"/>
          <w:divBdr>
            <w:top w:val="none" w:sz="0" w:space="0" w:color="auto"/>
            <w:left w:val="none" w:sz="0" w:space="0" w:color="auto"/>
            <w:bottom w:val="none" w:sz="0" w:space="0" w:color="auto"/>
            <w:right w:val="none" w:sz="0" w:space="0" w:color="auto"/>
          </w:divBdr>
        </w:div>
        <w:div w:id="1909146559">
          <w:marLeft w:val="480"/>
          <w:marRight w:val="0"/>
          <w:marTop w:val="0"/>
          <w:marBottom w:val="0"/>
          <w:divBdr>
            <w:top w:val="none" w:sz="0" w:space="0" w:color="auto"/>
            <w:left w:val="none" w:sz="0" w:space="0" w:color="auto"/>
            <w:bottom w:val="none" w:sz="0" w:space="0" w:color="auto"/>
            <w:right w:val="none" w:sz="0" w:space="0" w:color="auto"/>
          </w:divBdr>
        </w:div>
        <w:div w:id="674456608">
          <w:marLeft w:val="480"/>
          <w:marRight w:val="0"/>
          <w:marTop w:val="0"/>
          <w:marBottom w:val="0"/>
          <w:divBdr>
            <w:top w:val="none" w:sz="0" w:space="0" w:color="auto"/>
            <w:left w:val="none" w:sz="0" w:space="0" w:color="auto"/>
            <w:bottom w:val="none" w:sz="0" w:space="0" w:color="auto"/>
            <w:right w:val="none" w:sz="0" w:space="0" w:color="auto"/>
          </w:divBdr>
        </w:div>
        <w:div w:id="1258706981">
          <w:marLeft w:val="480"/>
          <w:marRight w:val="0"/>
          <w:marTop w:val="0"/>
          <w:marBottom w:val="0"/>
          <w:divBdr>
            <w:top w:val="none" w:sz="0" w:space="0" w:color="auto"/>
            <w:left w:val="none" w:sz="0" w:space="0" w:color="auto"/>
            <w:bottom w:val="none" w:sz="0" w:space="0" w:color="auto"/>
            <w:right w:val="none" w:sz="0" w:space="0" w:color="auto"/>
          </w:divBdr>
        </w:div>
        <w:div w:id="2050378575">
          <w:marLeft w:val="480"/>
          <w:marRight w:val="0"/>
          <w:marTop w:val="0"/>
          <w:marBottom w:val="0"/>
          <w:divBdr>
            <w:top w:val="none" w:sz="0" w:space="0" w:color="auto"/>
            <w:left w:val="none" w:sz="0" w:space="0" w:color="auto"/>
            <w:bottom w:val="none" w:sz="0" w:space="0" w:color="auto"/>
            <w:right w:val="none" w:sz="0" w:space="0" w:color="auto"/>
          </w:divBdr>
        </w:div>
        <w:div w:id="1763915195">
          <w:marLeft w:val="480"/>
          <w:marRight w:val="0"/>
          <w:marTop w:val="0"/>
          <w:marBottom w:val="0"/>
          <w:divBdr>
            <w:top w:val="none" w:sz="0" w:space="0" w:color="auto"/>
            <w:left w:val="none" w:sz="0" w:space="0" w:color="auto"/>
            <w:bottom w:val="none" w:sz="0" w:space="0" w:color="auto"/>
            <w:right w:val="none" w:sz="0" w:space="0" w:color="auto"/>
          </w:divBdr>
        </w:div>
        <w:div w:id="236978433">
          <w:marLeft w:val="480"/>
          <w:marRight w:val="0"/>
          <w:marTop w:val="0"/>
          <w:marBottom w:val="0"/>
          <w:divBdr>
            <w:top w:val="none" w:sz="0" w:space="0" w:color="auto"/>
            <w:left w:val="none" w:sz="0" w:space="0" w:color="auto"/>
            <w:bottom w:val="none" w:sz="0" w:space="0" w:color="auto"/>
            <w:right w:val="none" w:sz="0" w:space="0" w:color="auto"/>
          </w:divBdr>
        </w:div>
        <w:div w:id="1424061316">
          <w:marLeft w:val="480"/>
          <w:marRight w:val="0"/>
          <w:marTop w:val="0"/>
          <w:marBottom w:val="0"/>
          <w:divBdr>
            <w:top w:val="none" w:sz="0" w:space="0" w:color="auto"/>
            <w:left w:val="none" w:sz="0" w:space="0" w:color="auto"/>
            <w:bottom w:val="none" w:sz="0" w:space="0" w:color="auto"/>
            <w:right w:val="none" w:sz="0" w:space="0" w:color="auto"/>
          </w:divBdr>
        </w:div>
        <w:div w:id="315376902">
          <w:marLeft w:val="480"/>
          <w:marRight w:val="0"/>
          <w:marTop w:val="0"/>
          <w:marBottom w:val="0"/>
          <w:divBdr>
            <w:top w:val="none" w:sz="0" w:space="0" w:color="auto"/>
            <w:left w:val="none" w:sz="0" w:space="0" w:color="auto"/>
            <w:bottom w:val="none" w:sz="0" w:space="0" w:color="auto"/>
            <w:right w:val="none" w:sz="0" w:space="0" w:color="auto"/>
          </w:divBdr>
        </w:div>
        <w:div w:id="312874483">
          <w:marLeft w:val="480"/>
          <w:marRight w:val="0"/>
          <w:marTop w:val="0"/>
          <w:marBottom w:val="0"/>
          <w:divBdr>
            <w:top w:val="none" w:sz="0" w:space="0" w:color="auto"/>
            <w:left w:val="none" w:sz="0" w:space="0" w:color="auto"/>
            <w:bottom w:val="none" w:sz="0" w:space="0" w:color="auto"/>
            <w:right w:val="none" w:sz="0" w:space="0" w:color="auto"/>
          </w:divBdr>
        </w:div>
        <w:div w:id="163786832">
          <w:marLeft w:val="480"/>
          <w:marRight w:val="0"/>
          <w:marTop w:val="0"/>
          <w:marBottom w:val="0"/>
          <w:divBdr>
            <w:top w:val="none" w:sz="0" w:space="0" w:color="auto"/>
            <w:left w:val="none" w:sz="0" w:space="0" w:color="auto"/>
            <w:bottom w:val="none" w:sz="0" w:space="0" w:color="auto"/>
            <w:right w:val="none" w:sz="0" w:space="0" w:color="auto"/>
          </w:divBdr>
        </w:div>
        <w:div w:id="1552618257">
          <w:marLeft w:val="480"/>
          <w:marRight w:val="0"/>
          <w:marTop w:val="0"/>
          <w:marBottom w:val="0"/>
          <w:divBdr>
            <w:top w:val="none" w:sz="0" w:space="0" w:color="auto"/>
            <w:left w:val="none" w:sz="0" w:space="0" w:color="auto"/>
            <w:bottom w:val="none" w:sz="0" w:space="0" w:color="auto"/>
            <w:right w:val="none" w:sz="0" w:space="0" w:color="auto"/>
          </w:divBdr>
        </w:div>
        <w:div w:id="659845317">
          <w:marLeft w:val="480"/>
          <w:marRight w:val="0"/>
          <w:marTop w:val="0"/>
          <w:marBottom w:val="0"/>
          <w:divBdr>
            <w:top w:val="none" w:sz="0" w:space="0" w:color="auto"/>
            <w:left w:val="none" w:sz="0" w:space="0" w:color="auto"/>
            <w:bottom w:val="none" w:sz="0" w:space="0" w:color="auto"/>
            <w:right w:val="none" w:sz="0" w:space="0" w:color="auto"/>
          </w:divBdr>
        </w:div>
        <w:div w:id="1881357284">
          <w:marLeft w:val="480"/>
          <w:marRight w:val="0"/>
          <w:marTop w:val="0"/>
          <w:marBottom w:val="0"/>
          <w:divBdr>
            <w:top w:val="none" w:sz="0" w:space="0" w:color="auto"/>
            <w:left w:val="none" w:sz="0" w:space="0" w:color="auto"/>
            <w:bottom w:val="none" w:sz="0" w:space="0" w:color="auto"/>
            <w:right w:val="none" w:sz="0" w:space="0" w:color="auto"/>
          </w:divBdr>
        </w:div>
        <w:div w:id="1603369985">
          <w:marLeft w:val="480"/>
          <w:marRight w:val="0"/>
          <w:marTop w:val="0"/>
          <w:marBottom w:val="0"/>
          <w:divBdr>
            <w:top w:val="none" w:sz="0" w:space="0" w:color="auto"/>
            <w:left w:val="none" w:sz="0" w:space="0" w:color="auto"/>
            <w:bottom w:val="none" w:sz="0" w:space="0" w:color="auto"/>
            <w:right w:val="none" w:sz="0" w:space="0" w:color="auto"/>
          </w:divBdr>
        </w:div>
        <w:div w:id="896088540">
          <w:marLeft w:val="480"/>
          <w:marRight w:val="0"/>
          <w:marTop w:val="0"/>
          <w:marBottom w:val="0"/>
          <w:divBdr>
            <w:top w:val="none" w:sz="0" w:space="0" w:color="auto"/>
            <w:left w:val="none" w:sz="0" w:space="0" w:color="auto"/>
            <w:bottom w:val="none" w:sz="0" w:space="0" w:color="auto"/>
            <w:right w:val="none" w:sz="0" w:space="0" w:color="auto"/>
          </w:divBdr>
        </w:div>
        <w:div w:id="560405362">
          <w:marLeft w:val="480"/>
          <w:marRight w:val="0"/>
          <w:marTop w:val="0"/>
          <w:marBottom w:val="0"/>
          <w:divBdr>
            <w:top w:val="none" w:sz="0" w:space="0" w:color="auto"/>
            <w:left w:val="none" w:sz="0" w:space="0" w:color="auto"/>
            <w:bottom w:val="none" w:sz="0" w:space="0" w:color="auto"/>
            <w:right w:val="none" w:sz="0" w:space="0" w:color="auto"/>
          </w:divBdr>
        </w:div>
        <w:div w:id="239488212">
          <w:marLeft w:val="480"/>
          <w:marRight w:val="0"/>
          <w:marTop w:val="0"/>
          <w:marBottom w:val="0"/>
          <w:divBdr>
            <w:top w:val="none" w:sz="0" w:space="0" w:color="auto"/>
            <w:left w:val="none" w:sz="0" w:space="0" w:color="auto"/>
            <w:bottom w:val="none" w:sz="0" w:space="0" w:color="auto"/>
            <w:right w:val="none" w:sz="0" w:space="0" w:color="auto"/>
          </w:divBdr>
        </w:div>
        <w:div w:id="2051221083">
          <w:marLeft w:val="480"/>
          <w:marRight w:val="0"/>
          <w:marTop w:val="0"/>
          <w:marBottom w:val="0"/>
          <w:divBdr>
            <w:top w:val="none" w:sz="0" w:space="0" w:color="auto"/>
            <w:left w:val="none" w:sz="0" w:space="0" w:color="auto"/>
            <w:bottom w:val="none" w:sz="0" w:space="0" w:color="auto"/>
            <w:right w:val="none" w:sz="0" w:space="0" w:color="auto"/>
          </w:divBdr>
        </w:div>
        <w:div w:id="1294940156">
          <w:marLeft w:val="480"/>
          <w:marRight w:val="0"/>
          <w:marTop w:val="0"/>
          <w:marBottom w:val="0"/>
          <w:divBdr>
            <w:top w:val="none" w:sz="0" w:space="0" w:color="auto"/>
            <w:left w:val="none" w:sz="0" w:space="0" w:color="auto"/>
            <w:bottom w:val="none" w:sz="0" w:space="0" w:color="auto"/>
            <w:right w:val="none" w:sz="0" w:space="0" w:color="auto"/>
          </w:divBdr>
        </w:div>
        <w:div w:id="1065178876">
          <w:marLeft w:val="480"/>
          <w:marRight w:val="0"/>
          <w:marTop w:val="0"/>
          <w:marBottom w:val="0"/>
          <w:divBdr>
            <w:top w:val="none" w:sz="0" w:space="0" w:color="auto"/>
            <w:left w:val="none" w:sz="0" w:space="0" w:color="auto"/>
            <w:bottom w:val="none" w:sz="0" w:space="0" w:color="auto"/>
            <w:right w:val="none" w:sz="0" w:space="0" w:color="auto"/>
          </w:divBdr>
        </w:div>
      </w:divsChild>
    </w:div>
    <w:div w:id="1849247099">
      <w:bodyDiv w:val="1"/>
      <w:marLeft w:val="0"/>
      <w:marRight w:val="0"/>
      <w:marTop w:val="0"/>
      <w:marBottom w:val="0"/>
      <w:divBdr>
        <w:top w:val="none" w:sz="0" w:space="0" w:color="auto"/>
        <w:left w:val="none" w:sz="0" w:space="0" w:color="auto"/>
        <w:bottom w:val="none" w:sz="0" w:space="0" w:color="auto"/>
        <w:right w:val="none" w:sz="0" w:space="0" w:color="auto"/>
      </w:divBdr>
    </w:div>
    <w:div w:id="1849367120">
      <w:bodyDiv w:val="1"/>
      <w:marLeft w:val="0"/>
      <w:marRight w:val="0"/>
      <w:marTop w:val="0"/>
      <w:marBottom w:val="0"/>
      <w:divBdr>
        <w:top w:val="none" w:sz="0" w:space="0" w:color="auto"/>
        <w:left w:val="none" w:sz="0" w:space="0" w:color="auto"/>
        <w:bottom w:val="none" w:sz="0" w:space="0" w:color="auto"/>
        <w:right w:val="none" w:sz="0" w:space="0" w:color="auto"/>
      </w:divBdr>
    </w:div>
    <w:div w:id="1851679185">
      <w:bodyDiv w:val="1"/>
      <w:marLeft w:val="0"/>
      <w:marRight w:val="0"/>
      <w:marTop w:val="0"/>
      <w:marBottom w:val="0"/>
      <w:divBdr>
        <w:top w:val="none" w:sz="0" w:space="0" w:color="auto"/>
        <w:left w:val="none" w:sz="0" w:space="0" w:color="auto"/>
        <w:bottom w:val="none" w:sz="0" w:space="0" w:color="auto"/>
        <w:right w:val="none" w:sz="0" w:space="0" w:color="auto"/>
      </w:divBdr>
    </w:div>
    <w:div w:id="1852335520">
      <w:bodyDiv w:val="1"/>
      <w:marLeft w:val="0"/>
      <w:marRight w:val="0"/>
      <w:marTop w:val="0"/>
      <w:marBottom w:val="0"/>
      <w:divBdr>
        <w:top w:val="none" w:sz="0" w:space="0" w:color="auto"/>
        <w:left w:val="none" w:sz="0" w:space="0" w:color="auto"/>
        <w:bottom w:val="none" w:sz="0" w:space="0" w:color="auto"/>
        <w:right w:val="none" w:sz="0" w:space="0" w:color="auto"/>
      </w:divBdr>
    </w:div>
    <w:div w:id="1852835613">
      <w:bodyDiv w:val="1"/>
      <w:marLeft w:val="0"/>
      <w:marRight w:val="0"/>
      <w:marTop w:val="0"/>
      <w:marBottom w:val="0"/>
      <w:divBdr>
        <w:top w:val="none" w:sz="0" w:space="0" w:color="auto"/>
        <w:left w:val="none" w:sz="0" w:space="0" w:color="auto"/>
        <w:bottom w:val="none" w:sz="0" w:space="0" w:color="auto"/>
        <w:right w:val="none" w:sz="0" w:space="0" w:color="auto"/>
      </w:divBdr>
    </w:div>
    <w:div w:id="1853104301">
      <w:bodyDiv w:val="1"/>
      <w:marLeft w:val="0"/>
      <w:marRight w:val="0"/>
      <w:marTop w:val="0"/>
      <w:marBottom w:val="0"/>
      <w:divBdr>
        <w:top w:val="none" w:sz="0" w:space="0" w:color="auto"/>
        <w:left w:val="none" w:sz="0" w:space="0" w:color="auto"/>
        <w:bottom w:val="none" w:sz="0" w:space="0" w:color="auto"/>
        <w:right w:val="none" w:sz="0" w:space="0" w:color="auto"/>
      </w:divBdr>
    </w:div>
    <w:div w:id="1853185282">
      <w:bodyDiv w:val="1"/>
      <w:marLeft w:val="0"/>
      <w:marRight w:val="0"/>
      <w:marTop w:val="0"/>
      <w:marBottom w:val="0"/>
      <w:divBdr>
        <w:top w:val="none" w:sz="0" w:space="0" w:color="auto"/>
        <w:left w:val="none" w:sz="0" w:space="0" w:color="auto"/>
        <w:bottom w:val="none" w:sz="0" w:space="0" w:color="auto"/>
        <w:right w:val="none" w:sz="0" w:space="0" w:color="auto"/>
      </w:divBdr>
    </w:div>
    <w:div w:id="1854683047">
      <w:bodyDiv w:val="1"/>
      <w:marLeft w:val="0"/>
      <w:marRight w:val="0"/>
      <w:marTop w:val="0"/>
      <w:marBottom w:val="0"/>
      <w:divBdr>
        <w:top w:val="none" w:sz="0" w:space="0" w:color="auto"/>
        <w:left w:val="none" w:sz="0" w:space="0" w:color="auto"/>
        <w:bottom w:val="none" w:sz="0" w:space="0" w:color="auto"/>
        <w:right w:val="none" w:sz="0" w:space="0" w:color="auto"/>
      </w:divBdr>
    </w:div>
    <w:div w:id="1854806521">
      <w:bodyDiv w:val="1"/>
      <w:marLeft w:val="0"/>
      <w:marRight w:val="0"/>
      <w:marTop w:val="0"/>
      <w:marBottom w:val="0"/>
      <w:divBdr>
        <w:top w:val="none" w:sz="0" w:space="0" w:color="auto"/>
        <w:left w:val="none" w:sz="0" w:space="0" w:color="auto"/>
        <w:bottom w:val="none" w:sz="0" w:space="0" w:color="auto"/>
        <w:right w:val="none" w:sz="0" w:space="0" w:color="auto"/>
      </w:divBdr>
    </w:div>
    <w:div w:id="1855342996">
      <w:bodyDiv w:val="1"/>
      <w:marLeft w:val="0"/>
      <w:marRight w:val="0"/>
      <w:marTop w:val="0"/>
      <w:marBottom w:val="0"/>
      <w:divBdr>
        <w:top w:val="none" w:sz="0" w:space="0" w:color="auto"/>
        <w:left w:val="none" w:sz="0" w:space="0" w:color="auto"/>
        <w:bottom w:val="none" w:sz="0" w:space="0" w:color="auto"/>
        <w:right w:val="none" w:sz="0" w:space="0" w:color="auto"/>
      </w:divBdr>
    </w:div>
    <w:div w:id="1855458898">
      <w:bodyDiv w:val="1"/>
      <w:marLeft w:val="0"/>
      <w:marRight w:val="0"/>
      <w:marTop w:val="0"/>
      <w:marBottom w:val="0"/>
      <w:divBdr>
        <w:top w:val="none" w:sz="0" w:space="0" w:color="auto"/>
        <w:left w:val="none" w:sz="0" w:space="0" w:color="auto"/>
        <w:bottom w:val="none" w:sz="0" w:space="0" w:color="auto"/>
        <w:right w:val="none" w:sz="0" w:space="0" w:color="auto"/>
      </w:divBdr>
    </w:div>
    <w:div w:id="1855995911">
      <w:bodyDiv w:val="1"/>
      <w:marLeft w:val="0"/>
      <w:marRight w:val="0"/>
      <w:marTop w:val="0"/>
      <w:marBottom w:val="0"/>
      <w:divBdr>
        <w:top w:val="none" w:sz="0" w:space="0" w:color="auto"/>
        <w:left w:val="none" w:sz="0" w:space="0" w:color="auto"/>
        <w:bottom w:val="none" w:sz="0" w:space="0" w:color="auto"/>
        <w:right w:val="none" w:sz="0" w:space="0" w:color="auto"/>
      </w:divBdr>
    </w:div>
    <w:div w:id="1856307986">
      <w:bodyDiv w:val="1"/>
      <w:marLeft w:val="0"/>
      <w:marRight w:val="0"/>
      <w:marTop w:val="0"/>
      <w:marBottom w:val="0"/>
      <w:divBdr>
        <w:top w:val="none" w:sz="0" w:space="0" w:color="auto"/>
        <w:left w:val="none" w:sz="0" w:space="0" w:color="auto"/>
        <w:bottom w:val="none" w:sz="0" w:space="0" w:color="auto"/>
        <w:right w:val="none" w:sz="0" w:space="0" w:color="auto"/>
      </w:divBdr>
    </w:div>
    <w:div w:id="1856573311">
      <w:bodyDiv w:val="1"/>
      <w:marLeft w:val="0"/>
      <w:marRight w:val="0"/>
      <w:marTop w:val="0"/>
      <w:marBottom w:val="0"/>
      <w:divBdr>
        <w:top w:val="none" w:sz="0" w:space="0" w:color="auto"/>
        <w:left w:val="none" w:sz="0" w:space="0" w:color="auto"/>
        <w:bottom w:val="none" w:sz="0" w:space="0" w:color="auto"/>
        <w:right w:val="none" w:sz="0" w:space="0" w:color="auto"/>
      </w:divBdr>
    </w:div>
    <w:div w:id="1857187827">
      <w:bodyDiv w:val="1"/>
      <w:marLeft w:val="0"/>
      <w:marRight w:val="0"/>
      <w:marTop w:val="0"/>
      <w:marBottom w:val="0"/>
      <w:divBdr>
        <w:top w:val="none" w:sz="0" w:space="0" w:color="auto"/>
        <w:left w:val="none" w:sz="0" w:space="0" w:color="auto"/>
        <w:bottom w:val="none" w:sz="0" w:space="0" w:color="auto"/>
        <w:right w:val="none" w:sz="0" w:space="0" w:color="auto"/>
      </w:divBdr>
    </w:div>
    <w:div w:id="1857769182">
      <w:bodyDiv w:val="1"/>
      <w:marLeft w:val="0"/>
      <w:marRight w:val="0"/>
      <w:marTop w:val="0"/>
      <w:marBottom w:val="0"/>
      <w:divBdr>
        <w:top w:val="none" w:sz="0" w:space="0" w:color="auto"/>
        <w:left w:val="none" w:sz="0" w:space="0" w:color="auto"/>
        <w:bottom w:val="none" w:sz="0" w:space="0" w:color="auto"/>
        <w:right w:val="none" w:sz="0" w:space="0" w:color="auto"/>
      </w:divBdr>
    </w:div>
    <w:div w:id="1857886765">
      <w:bodyDiv w:val="1"/>
      <w:marLeft w:val="0"/>
      <w:marRight w:val="0"/>
      <w:marTop w:val="0"/>
      <w:marBottom w:val="0"/>
      <w:divBdr>
        <w:top w:val="none" w:sz="0" w:space="0" w:color="auto"/>
        <w:left w:val="none" w:sz="0" w:space="0" w:color="auto"/>
        <w:bottom w:val="none" w:sz="0" w:space="0" w:color="auto"/>
        <w:right w:val="none" w:sz="0" w:space="0" w:color="auto"/>
      </w:divBdr>
    </w:div>
    <w:div w:id="1858426606">
      <w:bodyDiv w:val="1"/>
      <w:marLeft w:val="0"/>
      <w:marRight w:val="0"/>
      <w:marTop w:val="0"/>
      <w:marBottom w:val="0"/>
      <w:divBdr>
        <w:top w:val="none" w:sz="0" w:space="0" w:color="auto"/>
        <w:left w:val="none" w:sz="0" w:space="0" w:color="auto"/>
        <w:bottom w:val="none" w:sz="0" w:space="0" w:color="auto"/>
        <w:right w:val="none" w:sz="0" w:space="0" w:color="auto"/>
      </w:divBdr>
    </w:div>
    <w:div w:id="1858693591">
      <w:bodyDiv w:val="1"/>
      <w:marLeft w:val="0"/>
      <w:marRight w:val="0"/>
      <w:marTop w:val="0"/>
      <w:marBottom w:val="0"/>
      <w:divBdr>
        <w:top w:val="none" w:sz="0" w:space="0" w:color="auto"/>
        <w:left w:val="none" w:sz="0" w:space="0" w:color="auto"/>
        <w:bottom w:val="none" w:sz="0" w:space="0" w:color="auto"/>
        <w:right w:val="none" w:sz="0" w:space="0" w:color="auto"/>
      </w:divBdr>
    </w:div>
    <w:div w:id="1858810140">
      <w:bodyDiv w:val="1"/>
      <w:marLeft w:val="0"/>
      <w:marRight w:val="0"/>
      <w:marTop w:val="0"/>
      <w:marBottom w:val="0"/>
      <w:divBdr>
        <w:top w:val="none" w:sz="0" w:space="0" w:color="auto"/>
        <w:left w:val="none" w:sz="0" w:space="0" w:color="auto"/>
        <w:bottom w:val="none" w:sz="0" w:space="0" w:color="auto"/>
        <w:right w:val="none" w:sz="0" w:space="0" w:color="auto"/>
      </w:divBdr>
    </w:div>
    <w:div w:id="1859200398">
      <w:bodyDiv w:val="1"/>
      <w:marLeft w:val="0"/>
      <w:marRight w:val="0"/>
      <w:marTop w:val="0"/>
      <w:marBottom w:val="0"/>
      <w:divBdr>
        <w:top w:val="none" w:sz="0" w:space="0" w:color="auto"/>
        <w:left w:val="none" w:sz="0" w:space="0" w:color="auto"/>
        <w:bottom w:val="none" w:sz="0" w:space="0" w:color="auto"/>
        <w:right w:val="none" w:sz="0" w:space="0" w:color="auto"/>
      </w:divBdr>
    </w:div>
    <w:div w:id="1859737781">
      <w:bodyDiv w:val="1"/>
      <w:marLeft w:val="0"/>
      <w:marRight w:val="0"/>
      <w:marTop w:val="0"/>
      <w:marBottom w:val="0"/>
      <w:divBdr>
        <w:top w:val="none" w:sz="0" w:space="0" w:color="auto"/>
        <w:left w:val="none" w:sz="0" w:space="0" w:color="auto"/>
        <w:bottom w:val="none" w:sz="0" w:space="0" w:color="auto"/>
        <w:right w:val="none" w:sz="0" w:space="0" w:color="auto"/>
      </w:divBdr>
    </w:div>
    <w:div w:id="1859810967">
      <w:bodyDiv w:val="1"/>
      <w:marLeft w:val="0"/>
      <w:marRight w:val="0"/>
      <w:marTop w:val="0"/>
      <w:marBottom w:val="0"/>
      <w:divBdr>
        <w:top w:val="none" w:sz="0" w:space="0" w:color="auto"/>
        <w:left w:val="none" w:sz="0" w:space="0" w:color="auto"/>
        <w:bottom w:val="none" w:sz="0" w:space="0" w:color="auto"/>
        <w:right w:val="none" w:sz="0" w:space="0" w:color="auto"/>
      </w:divBdr>
    </w:div>
    <w:div w:id="1861578860">
      <w:bodyDiv w:val="1"/>
      <w:marLeft w:val="0"/>
      <w:marRight w:val="0"/>
      <w:marTop w:val="0"/>
      <w:marBottom w:val="0"/>
      <w:divBdr>
        <w:top w:val="none" w:sz="0" w:space="0" w:color="auto"/>
        <w:left w:val="none" w:sz="0" w:space="0" w:color="auto"/>
        <w:bottom w:val="none" w:sz="0" w:space="0" w:color="auto"/>
        <w:right w:val="none" w:sz="0" w:space="0" w:color="auto"/>
      </w:divBdr>
    </w:div>
    <w:div w:id="1861821162">
      <w:bodyDiv w:val="1"/>
      <w:marLeft w:val="0"/>
      <w:marRight w:val="0"/>
      <w:marTop w:val="0"/>
      <w:marBottom w:val="0"/>
      <w:divBdr>
        <w:top w:val="none" w:sz="0" w:space="0" w:color="auto"/>
        <w:left w:val="none" w:sz="0" w:space="0" w:color="auto"/>
        <w:bottom w:val="none" w:sz="0" w:space="0" w:color="auto"/>
        <w:right w:val="none" w:sz="0" w:space="0" w:color="auto"/>
      </w:divBdr>
    </w:div>
    <w:div w:id="1862551670">
      <w:bodyDiv w:val="1"/>
      <w:marLeft w:val="0"/>
      <w:marRight w:val="0"/>
      <w:marTop w:val="0"/>
      <w:marBottom w:val="0"/>
      <w:divBdr>
        <w:top w:val="none" w:sz="0" w:space="0" w:color="auto"/>
        <w:left w:val="none" w:sz="0" w:space="0" w:color="auto"/>
        <w:bottom w:val="none" w:sz="0" w:space="0" w:color="auto"/>
        <w:right w:val="none" w:sz="0" w:space="0" w:color="auto"/>
      </w:divBdr>
    </w:div>
    <w:div w:id="1862939212">
      <w:bodyDiv w:val="1"/>
      <w:marLeft w:val="0"/>
      <w:marRight w:val="0"/>
      <w:marTop w:val="0"/>
      <w:marBottom w:val="0"/>
      <w:divBdr>
        <w:top w:val="none" w:sz="0" w:space="0" w:color="auto"/>
        <w:left w:val="none" w:sz="0" w:space="0" w:color="auto"/>
        <w:bottom w:val="none" w:sz="0" w:space="0" w:color="auto"/>
        <w:right w:val="none" w:sz="0" w:space="0" w:color="auto"/>
      </w:divBdr>
    </w:div>
    <w:div w:id="1863086387">
      <w:bodyDiv w:val="1"/>
      <w:marLeft w:val="0"/>
      <w:marRight w:val="0"/>
      <w:marTop w:val="0"/>
      <w:marBottom w:val="0"/>
      <w:divBdr>
        <w:top w:val="none" w:sz="0" w:space="0" w:color="auto"/>
        <w:left w:val="none" w:sz="0" w:space="0" w:color="auto"/>
        <w:bottom w:val="none" w:sz="0" w:space="0" w:color="auto"/>
        <w:right w:val="none" w:sz="0" w:space="0" w:color="auto"/>
      </w:divBdr>
    </w:div>
    <w:div w:id="1863474384">
      <w:bodyDiv w:val="1"/>
      <w:marLeft w:val="0"/>
      <w:marRight w:val="0"/>
      <w:marTop w:val="0"/>
      <w:marBottom w:val="0"/>
      <w:divBdr>
        <w:top w:val="none" w:sz="0" w:space="0" w:color="auto"/>
        <w:left w:val="none" w:sz="0" w:space="0" w:color="auto"/>
        <w:bottom w:val="none" w:sz="0" w:space="0" w:color="auto"/>
        <w:right w:val="none" w:sz="0" w:space="0" w:color="auto"/>
      </w:divBdr>
    </w:div>
    <w:div w:id="1864127053">
      <w:bodyDiv w:val="1"/>
      <w:marLeft w:val="0"/>
      <w:marRight w:val="0"/>
      <w:marTop w:val="0"/>
      <w:marBottom w:val="0"/>
      <w:divBdr>
        <w:top w:val="none" w:sz="0" w:space="0" w:color="auto"/>
        <w:left w:val="none" w:sz="0" w:space="0" w:color="auto"/>
        <w:bottom w:val="none" w:sz="0" w:space="0" w:color="auto"/>
        <w:right w:val="none" w:sz="0" w:space="0" w:color="auto"/>
      </w:divBdr>
    </w:div>
    <w:div w:id="1864132530">
      <w:bodyDiv w:val="1"/>
      <w:marLeft w:val="0"/>
      <w:marRight w:val="0"/>
      <w:marTop w:val="0"/>
      <w:marBottom w:val="0"/>
      <w:divBdr>
        <w:top w:val="none" w:sz="0" w:space="0" w:color="auto"/>
        <w:left w:val="none" w:sz="0" w:space="0" w:color="auto"/>
        <w:bottom w:val="none" w:sz="0" w:space="0" w:color="auto"/>
        <w:right w:val="none" w:sz="0" w:space="0" w:color="auto"/>
      </w:divBdr>
    </w:div>
    <w:div w:id="1864434770">
      <w:bodyDiv w:val="1"/>
      <w:marLeft w:val="0"/>
      <w:marRight w:val="0"/>
      <w:marTop w:val="0"/>
      <w:marBottom w:val="0"/>
      <w:divBdr>
        <w:top w:val="none" w:sz="0" w:space="0" w:color="auto"/>
        <w:left w:val="none" w:sz="0" w:space="0" w:color="auto"/>
        <w:bottom w:val="none" w:sz="0" w:space="0" w:color="auto"/>
        <w:right w:val="none" w:sz="0" w:space="0" w:color="auto"/>
      </w:divBdr>
    </w:div>
    <w:div w:id="1864512707">
      <w:bodyDiv w:val="1"/>
      <w:marLeft w:val="0"/>
      <w:marRight w:val="0"/>
      <w:marTop w:val="0"/>
      <w:marBottom w:val="0"/>
      <w:divBdr>
        <w:top w:val="none" w:sz="0" w:space="0" w:color="auto"/>
        <w:left w:val="none" w:sz="0" w:space="0" w:color="auto"/>
        <w:bottom w:val="none" w:sz="0" w:space="0" w:color="auto"/>
        <w:right w:val="none" w:sz="0" w:space="0" w:color="auto"/>
      </w:divBdr>
    </w:div>
    <w:div w:id="1864975478">
      <w:bodyDiv w:val="1"/>
      <w:marLeft w:val="0"/>
      <w:marRight w:val="0"/>
      <w:marTop w:val="0"/>
      <w:marBottom w:val="0"/>
      <w:divBdr>
        <w:top w:val="none" w:sz="0" w:space="0" w:color="auto"/>
        <w:left w:val="none" w:sz="0" w:space="0" w:color="auto"/>
        <w:bottom w:val="none" w:sz="0" w:space="0" w:color="auto"/>
        <w:right w:val="none" w:sz="0" w:space="0" w:color="auto"/>
      </w:divBdr>
    </w:div>
    <w:div w:id="1865709626">
      <w:bodyDiv w:val="1"/>
      <w:marLeft w:val="0"/>
      <w:marRight w:val="0"/>
      <w:marTop w:val="0"/>
      <w:marBottom w:val="0"/>
      <w:divBdr>
        <w:top w:val="none" w:sz="0" w:space="0" w:color="auto"/>
        <w:left w:val="none" w:sz="0" w:space="0" w:color="auto"/>
        <w:bottom w:val="none" w:sz="0" w:space="0" w:color="auto"/>
        <w:right w:val="none" w:sz="0" w:space="0" w:color="auto"/>
      </w:divBdr>
    </w:div>
    <w:div w:id="1866361347">
      <w:bodyDiv w:val="1"/>
      <w:marLeft w:val="0"/>
      <w:marRight w:val="0"/>
      <w:marTop w:val="0"/>
      <w:marBottom w:val="0"/>
      <w:divBdr>
        <w:top w:val="none" w:sz="0" w:space="0" w:color="auto"/>
        <w:left w:val="none" w:sz="0" w:space="0" w:color="auto"/>
        <w:bottom w:val="none" w:sz="0" w:space="0" w:color="auto"/>
        <w:right w:val="none" w:sz="0" w:space="0" w:color="auto"/>
      </w:divBdr>
    </w:div>
    <w:div w:id="1868328988">
      <w:bodyDiv w:val="1"/>
      <w:marLeft w:val="0"/>
      <w:marRight w:val="0"/>
      <w:marTop w:val="0"/>
      <w:marBottom w:val="0"/>
      <w:divBdr>
        <w:top w:val="none" w:sz="0" w:space="0" w:color="auto"/>
        <w:left w:val="none" w:sz="0" w:space="0" w:color="auto"/>
        <w:bottom w:val="none" w:sz="0" w:space="0" w:color="auto"/>
        <w:right w:val="none" w:sz="0" w:space="0" w:color="auto"/>
      </w:divBdr>
    </w:div>
    <w:div w:id="1868368360">
      <w:bodyDiv w:val="1"/>
      <w:marLeft w:val="0"/>
      <w:marRight w:val="0"/>
      <w:marTop w:val="0"/>
      <w:marBottom w:val="0"/>
      <w:divBdr>
        <w:top w:val="none" w:sz="0" w:space="0" w:color="auto"/>
        <w:left w:val="none" w:sz="0" w:space="0" w:color="auto"/>
        <w:bottom w:val="none" w:sz="0" w:space="0" w:color="auto"/>
        <w:right w:val="none" w:sz="0" w:space="0" w:color="auto"/>
      </w:divBdr>
    </w:div>
    <w:div w:id="1869248855">
      <w:bodyDiv w:val="1"/>
      <w:marLeft w:val="0"/>
      <w:marRight w:val="0"/>
      <w:marTop w:val="0"/>
      <w:marBottom w:val="0"/>
      <w:divBdr>
        <w:top w:val="none" w:sz="0" w:space="0" w:color="auto"/>
        <w:left w:val="none" w:sz="0" w:space="0" w:color="auto"/>
        <w:bottom w:val="none" w:sz="0" w:space="0" w:color="auto"/>
        <w:right w:val="none" w:sz="0" w:space="0" w:color="auto"/>
      </w:divBdr>
    </w:div>
    <w:div w:id="1869442492">
      <w:bodyDiv w:val="1"/>
      <w:marLeft w:val="0"/>
      <w:marRight w:val="0"/>
      <w:marTop w:val="0"/>
      <w:marBottom w:val="0"/>
      <w:divBdr>
        <w:top w:val="none" w:sz="0" w:space="0" w:color="auto"/>
        <w:left w:val="none" w:sz="0" w:space="0" w:color="auto"/>
        <w:bottom w:val="none" w:sz="0" w:space="0" w:color="auto"/>
        <w:right w:val="none" w:sz="0" w:space="0" w:color="auto"/>
      </w:divBdr>
    </w:div>
    <w:div w:id="1869639919">
      <w:bodyDiv w:val="1"/>
      <w:marLeft w:val="0"/>
      <w:marRight w:val="0"/>
      <w:marTop w:val="0"/>
      <w:marBottom w:val="0"/>
      <w:divBdr>
        <w:top w:val="none" w:sz="0" w:space="0" w:color="auto"/>
        <w:left w:val="none" w:sz="0" w:space="0" w:color="auto"/>
        <w:bottom w:val="none" w:sz="0" w:space="0" w:color="auto"/>
        <w:right w:val="none" w:sz="0" w:space="0" w:color="auto"/>
      </w:divBdr>
    </w:div>
    <w:div w:id="1870095593">
      <w:bodyDiv w:val="1"/>
      <w:marLeft w:val="0"/>
      <w:marRight w:val="0"/>
      <w:marTop w:val="0"/>
      <w:marBottom w:val="0"/>
      <w:divBdr>
        <w:top w:val="none" w:sz="0" w:space="0" w:color="auto"/>
        <w:left w:val="none" w:sz="0" w:space="0" w:color="auto"/>
        <w:bottom w:val="none" w:sz="0" w:space="0" w:color="auto"/>
        <w:right w:val="none" w:sz="0" w:space="0" w:color="auto"/>
      </w:divBdr>
    </w:div>
    <w:div w:id="1870100630">
      <w:bodyDiv w:val="1"/>
      <w:marLeft w:val="0"/>
      <w:marRight w:val="0"/>
      <w:marTop w:val="0"/>
      <w:marBottom w:val="0"/>
      <w:divBdr>
        <w:top w:val="none" w:sz="0" w:space="0" w:color="auto"/>
        <w:left w:val="none" w:sz="0" w:space="0" w:color="auto"/>
        <w:bottom w:val="none" w:sz="0" w:space="0" w:color="auto"/>
        <w:right w:val="none" w:sz="0" w:space="0" w:color="auto"/>
      </w:divBdr>
    </w:div>
    <w:div w:id="1870872255">
      <w:bodyDiv w:val="1"/>
      <w:marLeft w:val="0"/>
      <w:marRight w:val="0"/>
      <w:marTop w:val="0"/>
      <w:marBottom w:val="0"/>
      <w:divBdr>
        <w:top w:val="none" w:sz="0" w:space="0" w:color="auto"/>
        <w:left w:val="none" w:sz="0" w:space="0" w:color="auto"/>
        <w:bottom w:val="none" w:sz="0" w:space="0" w:color="auto"/>
        <w:right w:val="none" w:sz="0" w:space="0" w:color="auto"/>
      </w:divBdr>
    </w:div>
    <w:div w:id="1873181721">
      <w:bodyDiv w:val="1"/>
      <w:marLeft w:val="0"/>
      <w:marRight w:val="0"/>
      <w:marTop w:val="0"/>
      <w:marBottom w:val="0"/>
      <w:divBdr>
        <w:top w:val="none" w:sz="0" w:space="0" w:color="auto"/>
        <w:left w:val="none" w:sz="0" w:space="0" w:color="auto"/>
        <w:bottom w:val="none" w:sz="0" w:space="0" w:color="auto"/>
        <w:right w:val="none" w:sz="0" w:space="0" w:color="auto"/>
      </w:divBdr>
    </w:div>
    <w:div w:id="1874225455">
      <w:bodyDiv w:val="1"/>
      <w:marLeft w:val="0"/>
      <w:marRight w:val="0"/>
      <w:marTop w:val="0"/>
      <w:marBottom w:val="0"/>
      <w:divBdr>
        <w:top w:val="none" w:sz="0" w:space="0" w:color="auto"/>
        <w:left w:val="none" w:sz="0" w:space="0" w:color="auto"/>
        <w:bottom w:val="none" w:sz="0" w:space="0" w:color="auto"/>
        <w:right w:val="none" w:sz="0" w:space="0" w:color="auto"/>
      </w:divBdr>
    </w:div>
    <w:div w:id="1874535570">
      <w:bodyDiv w:val="1"/>
      <w:marLeft w:val="0"/>
      <w:marRight w:val="0"/>
      <w:marTop w:val="0"/>
      <w:marBottom w:val="0"/>
      <w:divBdr>
        <w:top w:val="none" w:sz="0" w:space="0" w:color="auto"/>
        <w:left w:val="none" w:sz="0" w:space="0" w:color="auto"/>
        <w:bottom w:val="none" w:sz="0" w:space="0" w:color="auto"/>
        <w:right w:val="none" w:sz="0" w:space="0" w:color="auto"/>
      </w:divBdr>
      <w:divsChild>
        <w:div w:id="340932830">
          <w:marLeft w:val="480"/>
          <w:marRight w:val="0"/>
          <w:marTop w:val="0"/>
          <w:marBottom w:val="0"/>
          <w:divBdr>
            <w:top w:val="none" w:sz="0" w:space="0" w:color="auto"/>
            <w:left w:val="none" w:sz="0" w:space="0" w:color="auto"/>
            <w:bottom w:val="none" w:sz="0" w:space="0" w:color="auto"/>
            <w:right w:val="none" w:sz="0" w:space="0" w:color="auto"/>
          </w:divBdr>
        </w:div>
        <w:div w:id="412361134">
          <w:marLeft w:val="480"/>
          <w:marRight w:val="0"/>
          <w:marTop w:val="0"/>
          <w:marBottom w:val="0"/>
          <w:divBdr>
            <w:top w:val="none" w:sz="0" w:space="0" w:color="auto"/>
            <w:left w:val="none" w:sz="0" w:space="0" w:color="auto"/>
            <w:bottom w:val="none" w:sz="0" w:space="0" w:color="auto"/>
            <w:right w:val="none" w:sz="0" w:space="0" w:color="auto"/>
          </w:divBdr>
        </w:div>
        <w:div w:id="1439525138">
          <w:marLeft w:val="480"/>
          <w:marRight w:val="0"/>
          <w:marTop w:val="0"/>
          <w:marBottom w:val="0"/>
          <w:divBdr>
            <w:top w:val="none" w:sz="0" w:space="0" w:color="auto"/>
            <w:left w:val="none" w:sz="0" w:space="0" w:color="auto"/>
            <w:bottom w:val="none" w:sz="0" w:space="0" w:color="auto"/>
            <w:right w:val="none" w:sz="0" w:space="0" w:color="auto"/>
          </w:divBdr>
        </w:div>
        <w:div w:id="1724594572">
          <w:marLeft w:val="480"/>
          <w:marRight w:val="0"/>
          <w:marTop w:val="0"/>
          <w:marBottom w:val="0"/>
          <w:divBdr>
            <w:top w:val="none" w:sz="0" w:space="0" w:color="auto"/>
            <w:left w:val="none" w:sz="0" w:space="0" w:color="auto"/>
            <w:bottom w:val="none" w:sz="0" w:space="0" w:color="auto"/>
            <w:right w:val="none" w:sz="0" w:space="0" w:color="auto"/>
          </w:divBdr>
        </w:div>
        <w:div w:id="1853762468">
          <w:marLeft w:val="480"/>
          <w:marRight w:val="0"/>
          <w:marTop w:val="0"/>
          <w:marBottom w:val="0"/>
          <w:divBdr>
            <w:top w:val="none" w:sz="0" w:space="0" w:color="auto"/>
            <w:left w:val="none" w:sz="0" w:space="0" w:color="auto"/>
            <w:bottom w:val="none" w:sz="0" w:space="0" w:color="auto"/>
            <w:right w:val="none" w:sz="0" w:space="0" w:color="auto"/>
          </w:divBdr>
        </w:div>
        <w:div w:id="902526291">
          <w:marLeft w:val="480"/>
          <w:marRight w:val="0"/>
          <w:marTop w:val="0"/>
          <w:marBottom w:val="0"/>
          <w:divBdr>
            <w:top w:val="none" w:sz="0" w:space="0" w:color="auto"/>
            <w:left w:val="none" w:sz="0" w:space="0" w:color="auto"/>
            <w:bottom w:val="none" w:sz="0" w:space="0" w:color="auto"/>
            <w:right w:val="none" w:sz="0" w:space="0" w:color="auto"/>
          </w:divBdr>
        </w:div>
        <w:div w:id="1739092030">
          <w:marLeft w:val="480"/>
          <w:marRight w:val="0"/>
          <w:marTop w:val="0"/>
          <w:marBottom w:val="0"/>
          <w:divBdr>
            <w:top w:val="none" w:sz="0" w:space="0" w:color="auto"/>
            <w:left w:val="none" w:sz="0" w:space="0" w:color="auto"/>
            <w:bottom w:val="none" w:sz="0" w:space="0" w:color="auto"/>
            <w:right w:val="none" w:sz="0" w:space="0" w:color="auto"/>
          </w:divBdr>
        </w:div>
        <w:div w:id="1410226710">
          <w:marLeft w:val="480"/>
          <w:marRight w:val="0"/>
          <w:marTop w:val="0"/>
          <w:marBottom w:val="0"/>
          <w:divBdr>
            <w:top w:val="none" w:sz="0" w:space="0" w:color="auto"/>
            <w:left w:val="none" w:sz="0" w:space="0" w:color="auto"/>
            <w:bottom w:val="none" w:sz="0" w:space="0" w:color="auto"/>
            <w:right w:val="none" w:sz="0" w:space="0" w:color="auto"/>
          </w:divBdr>
        </w:div>
        <w:div w:id="405809914">
          <w:marLeft w:val="480"/>
          <w:marRight w:val="0"/>
          <w:marTop w:val="0"/>
          <w:marBottom w:val="0"/>
          <w:divBdr>
            <w:top w:val="none" w:sz="0" w:space="0" w:color="auto"/>
            <w:left w:val="none" w:sz="0" w:space="0" w:color="auto"/>
            <w:bottom w:val="none" w:sz="0" w:space="0" w:color="auto"/>
            <w:right w:val="none" w:sz="0" w:space="0" w:color="auto"/>
          </w:divBdr>
        </w:div>
        <w:div w:id="2041588553">
          <w:marLeft w:val="480"/>
          <w:marRight w:val="0"/>
          <w:marTop w:val="0"/>
          <w:marBottom w:val="0"/>
          <w:divBdr>
            <w:top w:val="none" w:sz="0" w:space="0" w:color="auto"/>
            <w:left w:val="none" w:sz="0" w:space="0" w:color="auto"/>
            <w:bottom w:val="none" w:sz="0" w:space="0" w:color="auto"/>
            <w:right w:val="none" w:sz="0" w:space="0" w:color="auto"/>
          </w:divBdr>
        </w:div>
        <w:div w:id="1068500936">
          <w:marLeft w:val="480"/>
          <w:marRight w:val="0"/>
          <w:marTop w:val="0"/>
          <w:marBottom w:val="0"/>
          <w:divBdr>
            <w:top w:val="none" w:sz="0" w:space="0" w:color="auto"/>
            <w:left w:val="none" w:sz="0" w:space="0" w:color="auto"/>
            <w:bottom w:val="none" w:sz="0" w:space="0" w:color="auto"/>
            <w:right w:val="none" w:sz="0" w:space="0" w:color="auto"/>
          </w:divBdr>
        </w:div>
        <w:div w:id="1738624379">
          <w:marLeft w:val="480"/>
          <w:marRight w:val="0"/>
          <w:marTop w:val="0"/>
          <w:marBottom w:val="0"/>
          <w:divBdr>
            <w:top w:val="none" w:sz="0" w:space="0" w:color="auto"/>
            <w:left w:val="none" w:sz="0" w:space="0" w:color="auto"/>
            <w:bottom w:val="none" w:sz="0" w:space="0" w:color="auto"/>
            <w:right w:val="none" w:sz="0" w:space="0" w:color="auto"/>
          </w:divBdr>
        </w:div>
        <w:div w:id="2098480518">
          <w:marLeft w:val="480"/>
          <w:marRight w:val="0"/>
          <w:marTop w:val="0"/>
          <w:marBottom w:val="0"/>
          <w:divBdr>
            <w:top w:val="none" w:sz="0" w:space="0" w:color="auto"/>
            <w:left w:val="none" w:sz="0" w:space="0" w:color="auto"/>
            <w:bottom w:val="none" w:sz="0" w:space="0" w:color="auto"/>
            <w:right w:val="none" w:sz="0" w:space="0" w:color="auto"/>
          </w:divBdr>
        </w:div>
        <w:div w:id="2137796761">
          <w:marLeft w:val="480"/>
          <w:marRight w:val="0"/>
          <w:marTop w:val="0"/>
          <w:marBottom w:val="0"/>
          <w:divBdr>
            <w:top w:val="none" w:sz="0" w:space="0" w:color="auto"/>
            <w:left w:val="none" w:sz="0" w:space="0" w:color="auto"/>
            <w:bottom w:val="none" w:sz="0" w:space="0" w:color="auto"/>
            <w:right w:val="none" w:sz="0" w:space="0" w:color="auto"/>
          </w:divBdr>
        </w:div>
        <w:div w:id="1609310975">
          <w:marLeft w:val="480"/>
          <w:marRight w:val="0"/>
          <w:marTop w:val="0"/>
          <w:marBottom w:val="0"/>
          <w:divBdr>
            <w:top w:val="none" w:sz="0" w:space="0" w:color="auto"/>
            <w:left w:val="none" w:sz="0" w:space="0" w:color="auto"/>
            <w:bottom w:val="none" w:sz="0" w:space="0" w:color="auto"/>
            <w:right w:val="none" w:sz="0" w:space="0" w:color="auto"/>
          </w:divBdr>
        </w:div>
        <w:div w:id="1014649580">
          <w:marLeft w:val="480"/>
          <w:marRight w:val="0"/>
          <w:marTop w:val="0"/>
          <w:marBottom w:val="0"/>
          <w:divBdr>
            <w:top w:val="none" w:sz="0" w:space="0" w:color="auto"/>
            <w:left w:val="none" w:sz="0" w:space="0" w:color="auto"/>
            <w:bottom w:val="none" w:sz="0" w:space="0" w:color="auto"/>
            <w:right w:val="none" w:sz="0" w:space="0" w:color="auto"/>
          </w:divBdr>
        </w:div>
        <w:div w:id="1258247291">
          <w:marLeft w:val="480"/>
          <w:marRight w:val="0"/>
          <w:marTop w:val="0"/>
          <w:marBottom w:val="0"/>
          <w:divBdr>
            <w:top w:val="none" w:sz="0" w:space="0" w:color="auto"/>
            <w:left w:val="none" w:sz="0" w:space="0" w:color="auto"/>
            <w:bottom w:val="none" w:sz="0" w:space="0" w:color="auto"/>
            <w:right w:val="none" w:sz="0" w:space="0" w:color="auto"/>
          </w:divBdr>
        </w:div>
        <w:div w:id="861631103">
          <w:marLeft w:val="480"/>
          <w:marRight w:val="0"/>
          <w:marTop w:val="0"/>
          <w:marBottom w:val="0"/>
          <w:divBdr>
            <w:top w:val="none" w:sz="0" w:space="0" w:color="auto"/>
            <w:left w:val="none" w:sz="0" w:space="0" w:color="auto"/>
            <w:bottom w:val="none" w:sz="0" w:space="0" w:color="auto"/>
            <w:right w:val="none" w:sz="0" w:space="0" w:color="auto"/>
          </w:divBdr>
        </w:div>
        <w:div w:id="246889903">
          <w:marLeft w:val="480"/>
          <w:marRight w:val="0"/>
          <w:marTop w:val="0"/>
          <w:marBottom w:val="0"/>
          <w:divBdr>
            <w:top w:val="none" w:sz="0" w:space="0" w:color="auto"/>
            <w:left w:val="none" w:sz="0" w:space="0" w:color="auto"/>
            <w:bottom w:val="none" w:sz="0" w:space="0" w:color="auto"/>
            <w:right w:val="none" w:sz="0" w:space="0" w:color="auto"/>
          </w:divBdr>
        </w:div>
        <w:div w:id="1477379529">
          <w:marLeft w:val="480"/>
          <w:marRight w:val="0"/>
          <w:marTop w:val="0"/>
          <w:marBottom w:val="0"/>
          <w:divBdr>
            <w:top w:val="none" w:sz="0" w:space="0" w:color="auto"/>
            <w:left w:val="none" w:sz="0" w:space="0" w:color="auto"/>
            <w:bottom w:val="none" w:sz="0" w:space="0" w:color="auto"/>
            <w:right w:val="none" w:sz="0" w:space="0" w:color="auto"/>
          </w:divBdr>
        </w:div>
        <w:div w:id="112479147">
          <w:marLeft w:val="480"/>
          <w:marRight w:val="0"/>
          <w:marTop w:val="0"/>
          <w:marBottom w:val="0"/>
          <w:divBdr>
            <w:top w:val="none" w:sz="0" w:space="0" w:color="auto"/>
            <w:left w:val="none" w:sz="0" w:space="0" w:color="auto"/>
            <w:bottom w:val="none" w:sz="0" w:space="0" w:color="auto"/>
            <w:right w:val="none" w:sz="0" w:space="0" w:color="auto"/>
          </w:divBdr>
        </w:div>
        <w:div w:id="601955907">
          <w:marLeft w:val="480"/>
          <w:marRight w:val="0"/>
          <w:marTop w:val="0"/>
          <w:marBottom w:val="0"/>
          <w:divBdr>
            <w:top w:val="none" w:sz="0" w:space="0" w:color="auto"/>
            <w:left w:val="none" w:sz="0" w:space="0" w:color="auto"/>
            <w:bottom w:val="none" w:sz="0" w:space="0" w:color="auto"/>
            <w:right w:val="none" w:sz="0" w:space="0" w:color="auto"/>
          </w:divBdr>
        </w:div>
        <w:div w:id="209996694">
          <w:marLeft w:val="480"/>
          <w:marRight w:val="0"/>
          <w:marTop w:val="0"/>
          <w:marBottom w:val="0"/>
          <w:divBdr>
            <w:top w:val="none" w:sz="0" w:space="0" w:color="auto"/>
            <w:left w:val="none" w:sz="0" w:space="0" w:color="auto"/>
            <w:bottom w:val="none" w:sz="0" w:space="0" w:color="auto"/>
            <w:right w:val="none" w:sz="0" w:space="0" w:color="auto"/>
          </w:divBdr>
        </w:div>
        <w:div w:id="1416055192">
          <w:marLeft w:val="480"/>
          <w:marRight w:val="0"/>
          <w:marTop w:val="0"/>
          <w:marBottom w:val="0"/>
          <w:divBdr>
            <w:top w:val="none" w:sz="0" w:space="0" w:color="auto"/>
            <w:left w:val="none" w:sz="0" w:space="0" w:color="auto"/>
            <w:bottom w:val="none" w:sz="0" w:space="0" w:color="auto"/>
            <w:right w:val="none" w:sz="0" w:space="0" w:color="auto"/>
          </w:divBdr>
        </w:div>
        <w:div w:id="1168904601">
          <w:marLeft w:val="480"/>
          <w:marRight w:val="0"/>
          <w:marTop w:val="0"/>
          <w:marBottom w:val="0"/>
          <w:divBdr>
            <w:top w:val="none" w:sz="0" w:space="0" w:color="auto"/>
            <w:left w:val="none" w:sz="0" w:space="0" w:color="auto"/>
            <w:bottom w:val="none" w:sz="0" w:space="0" w:color="auto"/>
            <w:right w:val="none" w:sz="0" w:space="0" w:color="auto"/>
          </w:divBdr>
        </w:div>
        <w:div w:id="1716781711">
          <w:marLeft w:val="480"/>
          <w:marRight w:val="0"/>
          <w:marTop w:val="0"/>
          <w:marBottom w:val="0"/>
          <w:divBdr>
            <w:top w:val="none" w:sz="0" w:space="0" w:color="auto"/>
            <w:left w:val="none" w:sz="0" w:space="0" w:color="auto"/>
            <w:bottom w:val="none" w:sz="0" w:space="0" w:color="auto"/>
            <w:right w:val="none" w:sz="0" w:space="0" w:color="auto"/>
          </w:divBdr>
        </w:div>
        <w:div w:id="1348752588">
          <w:marLeft w:val="480"/>
          <w:marRight w:val="0"/>
          <w:marTop w:val="0"/>
          <w:marBottom w:val="0"/>
          <w:divBdr>
            <w:top w:val="none" w:sz="0" w:space="0" w:color="auto"/>
            <w:left w:val="none" w:sz="0" w:space="0" w:color="auto"/>
            <w:bottom w:val="none" w:sz="0" w:space="0" w:color="auto"/>
            <w:right w:val="none" w:sz="0" w:space="0" w:color="auto"/>
          </w:divBdr>
        </w:div>
        <w:div w:id="1016998966">
          <w:marLeft w:val="480"/>
          <w:marRight w:val="0"/>
          <w:marTop w:val="0"/>
          <w:marBottom w:val="0"/>
          <w:divBdr>
            <w:top w:val="none" w:sz="0" w:space="0" w:color="auto"/>
            <w:left w:val="none" w:sz="0" w:space="0" w:color="auto"/>
            <w:bottom w:val="none" w:sz="0" w:space="0" w:color="auto"/>
            <w:right w:val="none" w:sz="0" w:space="0" w:color="auto"/>
          </w:divBdr>
        </w:div>
        <w:div w:id="799424338">
          <w:marLeft w:val="480"/>
          <w:marRight w:val="0"/>
          <w:marTop w:val="0"/>
          <w:marBottom w:val="0"/>
          <w:divBdr>
            <w:top w:val="none" w:sz="0" w:space="0" w:color="auto"/>
            <w:left w:val="none" w:sz="0" w:space="0" w:color="auto"/>
            <w:bottom w:val="none" w:sz="0" w:space="0" w:color="auto"/>
            <w:right w:val="none" w:sz="0" w:space="0" w:color="auto"/>
          </w:divBdr>
        </w:div>
        <w:div w:id="105346404">
          <w:marLeft w:val="480"/>
          <w:marRight w:val="0"/>
          <w:marTop w:val="0"/>
          <w:marBottom w:val="0"/>
          <w:divBdr>
            <w:top w:val="none" w:sz="0" w:space="0" w:color="auto"/>
            <w:left w:val="none" w:sz="0" w:space="0" w:color="auto"/>
            <w:bottom w:val="none" w:sz="0" w:space="0" w:color="auto"/>
            <w:right w:val="none" w:sz="0" w:space="0" w:color="auto"/>
          </w:divBdr>
        </w:div>
        <w:div w:id="1200557532">
          <w:marLeft w:val="480"/>
          <w:marRight w:val="0"/>
          <w:marTop w:val="0"/>
          <w:marBottom w:val="0"/>
          <w:divBdr>
            <w:top w:val="none" w:sz="0" w:space="0" w:color="auto"/>
            <w:left w:val="none" w:sz="0" w:space="0" w:color="auto"/>
            <w:bottom w:val="none" w:sz="0" w:space="0" w:color="auto"/>
            <w:right w:val="none" w:sz="0" w:space="0" w:color="auto"/>
          </w:divBdr>
        </w:div>
        <w:div w:id="80807916">
          <w:marLeft w:val="480"/>
          <w:marRight w:val="0"/>
          <w:marTop w:val="0"/>
          <w:marBottom w:val="0"/>
          <w:divBdr>
            <w:top w:val="none" w:sz="0" w:space="0" w:color="auto"/>
            <w:left w:val="none" w:sz="0" w:space="0" w:color="auto"/>
            <w:bottom w:val="none" w:sz="0" w:space="0" w:color="auto"/>
            <w:right w:val="none" w:sz="0" w:space="0" w:color="auto"/>
          </w:divBdr>
        </w:div>
        <w:div w:id="1875195216">
          <w:marLeft w:val="480"/>
          <w:marRight w:val="0"/>
          <w:marTop w:val="0"/>
          <w:marBottom w:val="0"/>
          <w:divBdr>
            <w:top w:val="none" w:sz="0" w:space="0" w:color="auto"/>
            <w:left w:val="none" w:sz="0" w:space="0" w:color="auto"/>
            <w:bottom w:val="none" w:sz="0" w:space="0" w:color="auto"/>
            <w:right w:val="none" w:sz="0" w:space="0" w:color="auto"/>
          </w:divBdr>
        </w:div>
        <w:div w:id="1488781793">
          <w:marLeft w:val="480"/>
          <w:marRight w:val="0"/>
          <w:marTop w:val="0"/>
          <w:marBottom w:val="0"/>
          <w:divBdr>
            <w:top w:val="none" w:sz="0" w:space="0" w:color="auto"/>
            <w:left w:val="none" w:sz="0" w:space="0" w:color="auto"/>
            <w:bottom w:val="none" w:sz="0" w:space="0" w:color="auto"/>
            <w:right w:val="none" w:sz="0" w:space="0" w:color="auto"/>
          </w:divBdr>
        </w:div>
        <w:div w:id="620065854">
          <w:marLeft w:val="480"/>
          <w:marRight w:val="0"/>
          <w:marTop w:val="0"/>
          <w:marBottom w:val="0"/>
          <w:divBdr>
            <w:top w:val="none" w:sz="0" w:space="0" w:color="auto"/>
            <w:left w:val="none" w:sz="0" w:space="0" w:color="auto"/>
            <w:bottom w:val="none" w:sz="0" w:space="0" w:color="auto"/>
            <w:right w:val="none" w:sz="0" w:space="0" w:color="auto"/>
          </w:divBdr>
        </w:div>
        <w:div w:id="1964385130">
          <w:marLeft w:val="480"/>
          <w:marRight w:val="0"/>
          <w:marTop w:val="0"/>
          <w:marBottom w:val="0"/>
          <w:divBdr>
            <w:top w:val="none" w:sz="0" w:space="0" w:color="auto"/>
            <w:left w:val="none" w:sz="0" w:space="0" w:color="auto"/>
            <w:bottom w:val="none" w:sz="0" w:space="0" w:color="auto"/>
            <w:right w:val="none" w:sz="0" w:space="0" w:color="auto"/>
          </w:divBdr>
        </w:div>
        <w:div w:id="729227193">
          <w:marLeft w:val="480"/>
          <w:marRight w:val="0"/>
          <w:marTop w:val="0"/>
          <w:marBottom w:val="0"/>
          <w:divBdr>
            <w:top w:val="none" w:sz="0" w:space="0" w:color="auto"/>
            <w:left w:val="none" w:sz="0" w:space="0" w:color="auto"/>
            <w:bottom w:val="none" w:sz="0" w:space="0" w:color="auto"/>
            <w:right w:val="none" w:sz="0" w:space="0" w:color="auto"/>
          </w:divBdr>
        </w:div>
        <w:div w:id="1705910695">
          <w:marLeft w:val="480"/>
          <w:marRight w:val="0"/>
          <w:marTop w:val="0"/>
          <w:marBottom w:val="0"/>
          <w:divBdr>
            <w:top w:val="none" w:sz="0" w:space="0" w:color="auto"/>
            <w:left w:val="none" w:sz="0" w:space="0" w:color="auto"/>
            <w:bottom w:val="none" w:sz="0" w:space="0" w:color="auto"/>
            <w:right w:val="none" w:sz="0" w:space="0" w:color="auto"/>
          </w:divBdr>
        </w:div>
        <w:div w:id="693769811">
          <w:marLeft w:val="480"/>
          <w:marRight w:val="0"/>
          <w:marTop w:val="0"/>
          <w:marBottom w:val="0"/>
          <w:divBdr>
            <w:top w:val="none" w:sz="0" w:space="0" w:color="auto"/>
            <w:left w:val="none" w:sz="0" w:space="0" w:color="auto"/>
            <w:bottom w:val="none" w:sz="0" w:space="0" w:color="auto"/>
            <w:right w:val="none" w:sz="0" w:space="0" w:color="auto"/>
          </w:divBdr>
        </w:div>
        <w:div w:id="1458596708">
          <w:marLeft w:val="480"/>
          <w:marRight w:val="0"/>
          <w:marTop w:val="0"/>
          <w:marBottom w:val="0"/>
          <w:divBdr>
            <w:top w:val="none" w:sz="0" w:space="0" w:color="auto"/>
            <w:left w:val="none" w:sz="0" w:space="0" w:color="auto"/>
            <w:bottom w:val="none" w:sz="0" w:space="0" w:color="auto"/>
            <w:right w:val="none" w:sz="0" w:space="0" w:color="auto"/>
          </w:divBdr>
        </w:div>
        <w:div w:id="2083136920">
          <w:marLeft w:val="480"/>
          <w:marRight w:val="0"/>
          <w:marTop w:val="0"/>
          <w:marBottom w:val="0"/>
          <w:divBdr>
            <w:top w:val="none" w:sz="0" w:space="0" w:color="auto"/>
            <w:left w:val="none" w:sz="0" w:space="0" w:color="auto"/>
            <w:bottom w:val="none" w:sz="0" w:space="0" w:color="auto"/>
            <w:right w:val="none" w:sz="0" w:space="0" w:color="auto"/>
          </w:divBdr>
        </w:div>
        <w:div w:id="966546278">
          <w:marLeft w:val="480"/>
          <w:marRight w:val="0"/>
          <w:marTop w:val="0"/>
          <w:marBottom w:val="0"/>
          <w:divBdr>
            <w:top w:val="none" w:sz="0" w:space="0" w:color="auto"/>
            <w:left w:val="none" w:sz="0" w:space="0" w:color="auto"/>
            <w:bottom w:val="none" w:sz="0" w:space="0" w:color="auto"/>
            <w:right w:val="none" w:sz="0" w:space="0" w:color="auto"/>
          </w:divBdr>
        </w:div>
        <w:div w:id="1349454391">
          <w:marLeft w:val="480"/>
          <w:marRight w:val="0"/>
          <w:marTop w:val="0"/>
          <w:marBottom w:val="0"/>
          <w:divBdr>
            <w:top w:val="none" w:sz="0" w:space="0" w:color="auto"/>
            <w:left w:val="none" w:sz="0" w:space="0" w:color="auto"/>
            <w:bottom w:val="none" w:sz="0" w:space="0" w:color="auto"/>
            <w:right w:val="none" w:sz="0" w:space="0" w:color="auto"/>
          </w:divBdr>
        </w:div>
        <w:div w:id="1750930862">
          <w:marLeft w:val="480"/>
          <w:marRight w:val="0"/>
          <w:marTop w:val="0"/>
          <w:marBottom w:val="0"/>
          <w:divBdr>
            <w:top w:val="none" w:sz="0" w:space="0" w:color="auto"/>
            <w:left w:val="none" w:sz="0" w:space="0" w:color="auto"/>
            <w:bottom w:val="none" w:sz="0" w:space="0" w:color="auto"/>
            <w:right w:val="none" w:sz="0" w:space="0" w:color="auto"/>
          </w:divBdr>
        </w:div>
        <w:div w:id="472716746">
          <w:marLeft w:val="480"/>
          <w:marRight w:val="0"/>
          <w:marTop w:val="0"/>
          <w:marBottom w:val="0"/>
          <w:divBdr>
            <w:top w:val="none" w:sz="0" w:space="0" w:color="auto"/>
            <w:left w:val="none" w:sz="0" w:space="0" w:color="auto"/>
            <w:bottom w:val="none" w:sz="0" w:space="0" w:color="auto"/>
            <w:right w:val="none" w:sz="0" w:space="0" w:color="auto"/>
          </w:divBdr>
        </w:div>
        <w:div w:id="954099381">
          <w:marLeft w:val="480"/>
          <w:marRight w:val="0"/>
          <w:marTop w:val="0"/>
          <w:marBottom w:val="0"/>
          <w:divBdr>
            <w:top w:val="none" w:sz="0" w:space="0" w:color="auto"/>
            <w:left w:val="none" w:sz="0" w:space="0" w:color="auto"/>
            <w:bottom w:val="none" w:sz="0" w:space="0" w:color="auto"/>
            <w:right w:val="none" w:sz="0" w:space="0" w:color="auto"/>
          </w:divBdr>
        </w:div>
        <w:div w:id="1287661441">
          <w:marLeft w:val="480"/>
          <w:marRight w:val="0"/>
          <w:marTop w:val="0"/>
          <w:marBottom w:val="0"/>
          <w:divBdr>
            <w:top w:val="none" w:sz="0" w:space="0" w:color="auto"/>
            <w:left w:val="none" w:sz="0" w:space="0" w:color="auto"/>
            <w:bottom w:val="none" w:sz="0" w:space="0" w:color="auto"/>
            <w:right w:val="none" w:sz="0" w:space="0" w:color="auto"/>
          </w:divBdr>
        </w:div>
        <w:div w:id="1563952201">
          <w:marLeft w:val="480"/>
          <w:marRight w:val="0"/>
          <w:marTop w:val="0"/>
          <w:marBottom w:val="0"/>
          <w:divBdr>
            <w:top w:val="none" w:sz="0" w:space="0" w:color="auto"/>
            <w:left w:val="none" w:sz="0" w:space="0" w:color="auto"/>
            <w:bottom w:val="none" w:sz="0" w:space="0" w:color="auto"/>
            <w:right w:val="none" w:sz="0" w:space="0" w:color="auto"/>
          </w:divBdr>
        </w:div>
        <w:div w:id="466121732">
          <w:marLeft w:val="480"/>
          <w:marRight w:val="0"/>
          <w:marTop w:val="0"/>
          <w:marBottom w:val="0"/>
          <w:divBdr>
            <w:top w:val="none" w:sz="0" w:space="0" w:color="auto"/>
            <w:left w:val="none" w:sz="0" w:space="0" w:color="auto"/>
            <w:bottom w:val="none" w:sz="0" w:space="0" w:color="auto"/>
            <w:right w:val="none" w:sz="0" w:space="0" w:color="auto"/>
          </w:divBdr>
        </w:div>
        <w:div w:id="572593244">
          <w:marLeft w:val="480"/>
          <w:marRight w:val="0"/>
          <w:marTop w:val="0"/>
          <w:marBottom w:val="0"/>
          <w:divBdr>
            <w:top w:val="none" w:sz="0" w:space="0" w:color="auto"/>
            <w:left w:val="none" w:sz="0" w:space="0" w:color="auto"/>
            <w:bottom w:val="none" w:sz="0" w:space="0" w:color="auto"/>
            <w:right w:val="none" w:sz="0" w:space="0" w:color="auto"/>
          </w:divBdr>
        </w:div>
        <w:div w:id="695426974">
          <w:marLeft w:val="480"/>
          <w:marRight w:val="0"/>
          <w:marTop w:val="0"/>
          <w:marBottom w:val="0"/>
          <w:divBdr>
            <w:top w:val="none" w:sz="0" w:space="0" w:color="auto"/>
            <w:left w:val="none" w:sz="0" w:space="0" w:color="auto"/>
            <w:bottom w:val="none" w:sz="0" w:space="0" w:color="auto"/>
            <w:right w:val="none" w:sz="0" w:space="0" w:color="auto"/>
          </w:divBdr>
        </w:div>
        <w:div w:id="826097488">
          <w:marLeft w:val="480"/>
          <w:marRight w:val="0"/>
          <w:marTop w:val="0"/>
          <w:marBottom w:val="0"/>
          <w:divBdr>
            <w:top w:val="none" w:sz="0" w:space="0" w:color="auto"/>
            <w:left w:val="none" w:sz="0" w:space="0" w:color="auto"/>
            <w:bottom w:val="none" w:sz="0" w:space="0" w:color="auto"/>
            <w:right w:val="none" w:sz="0" w:space="0" w:color="auto"/>
          </w:divBdr>
        </w:div>
        <w:div w:id="823277188">
          <w:marLeft w:val="480"/>
          <w:marRight w:val="0"/>
          <w:marTop w:val="0"/>
          <w:marBottom w:val="0"/>
          <w:divBdr>
            <w:top w:val="none" w:sz="0" w:space="0" w:color="auto"/>
            <w:left w:val="none" w:sz="0" w:space="0" w:color="auto"/>
            <w:bottom w:val="none" w:sz="0" w:space="0" w:color="auto"/>
            <w:right w:val="none" w:sz="0" w:space="0" w:color="auto"/>
          </w:divBdr>
        </w:div>
        <w:div w:id="669253778">
          <w:marLeft w:val="480"/>
          <w:marRight w:val="0"/>
          <w:marTop w:val="0"/>
          <w:marBottom w:val="0"/>
          <w:divBdr>
            <w:top w:val="none" w:sz="0" w:space="0" w:color="auto"/>
            <w:left w:val="none" w:sz="0" w:space="0" w:color="auto"/>
            <w:bottom w:val="none" w:sz="0" w:space="0" w:color="auto"/>
            <w:right w:val="none" w:sz="0" w:space="0" w:color="auto"/>
          </w:divBdr>
        </w:div>
        <w:div w:id="1850439300">
          <w:marLeft w:val="480"/>
          <w:marRight w:val="0"/>
          <w:marTop w:val="0"/>
          <w:marBottom w:val="0"/>
          <w:divBdr>
            <w:top w:val="none" w:sz="0" w:space="0" w:color="auto"/>
            <w:left w:val="none" w:sz="0" w:space="0" w:color="auto"/>
            <w:bottom w:val="none" w:sz="0" w:space="0" w:color="auto"/>
            <w:right w:val="none" w:sz="0" w:space="0" w:color="auto"/>
          </w:divBdr>
        </w:div>
        <w:div w:id="382870652">
          <w:marLeft w:val="480"/>
          <w:marRight w:val="0"/>
          <w:marTop w:val="0"/>
          <w:marBottom w:val="0"/>
          <w:divBdr>
            <w:top w:val="none" w:sz="0" w:space="0" w:color="auto"/>
            <w:left w:val="none" w:sz="0" w:space="0" w:color="auto"/>
            <w:bottom w:val="none" w:sz="0" w:space="0" w:color="auto"/>
            <w:right w:val="none" w:sz="0" w:space="0" w:color="auto"/>
          </w:divBdr>
        </w:div>
        <w:div w:id="367334917">
          <w:marLeft w:val="480"/>
          <w:marRight w:val="0"/>
          <w:marTop w:val="0"/>
          <w:marBottom w:val="0"/>
          <w:divBdr>
            <w:top w:val="none" w:sz="0" w:space="0" w:color="auto"/>
            <w:left w:val="none" w:sz="0" w:space="0" w:color="auto"/>
            <w:bottom w:val="none" w:sz="0" w:space="0" w:color="auto"/>
            <w:right w:val="none" w:sz="0" w:space="0" w:color="auto"/>
          </w:divBdr>
        </w:div>
        <w:div w:id="454561584">
          <w:marLeft w:val="480"/>
          <w:marRight w:val="0"/>
          <w:marTop w:val="0"/>
          <w:marBottom w:val="0"/>
          <w:divBdr>
            <w:top w:val="none" w:sz="0" w:space="0" w:color="auto"/>
            <w:left w:val="none" w:sz="0" w:space="0" w:color="auto"/>
            <w:bottom w:val="none" w:sz="0" w:space="0" w:color="auto"/>
            <w:right w:val="none" w:sz="0" w:space="0" w:color="auto"/>
          </w:divBdr>
        </w:div>
        <w:div w:id="1800106155">
          <w:marLeft w:val="480"/>
          <w:marRight w:val="0"/>
          <w:marTop w:val="0"/>
          <w:marBottom w:val="0"/>
          <w:divBdr>
            <w:top w:val="none" w:sz="0" w:space="0" w:color="auto"/>
            <w:left w:val="none" w:sz="0" w:space="0" w:color="auto"/>
            <w:bottom w:val="none" w:sz="0" w:space="0" w:color="auto"/>
            <w:right w:val="none" w:sz="0" w:space="0" w:color="auto"/>
          </w:divBdr>
        </w:div>
        <w:div w:id="1307777391">
          <w:marLeft w:val="480"/>
          <w:marRight w:val="0"/>
          <w:marTop w:val="0"/>
          <w:marBottom w:val="0"/>
          <w:divBdr>
            <w:top w:val="none" w:sz="0" w:space="0" w:color="auto"/>
            <w:left w:val="none" w:sz="0" w:space="0" w:color="auto"/>
            <w:bottom w:val="none" w:sz="0" w:space="0" w:color="auto"/>
            <w:right w:val="none" w:sz="0" w:space="0" w:color="auto"/>
          </w:divBdr>
        </w:div>
        <w:div w:id="45489417">
          <w:marLeft w:val="480"/>
          <w:marRight w:val="0"/>
          <w:marTop w:val="0"/>
          <w:marBottom w:val="0"/>
          <w:divBdr>
            <w:top w:val="none" w:sz="0" w:space="0" w:color="auto"/>
            <w:left w:val="none" w:sz="0" w:space="0" w:color="auto"/>
            <w:bottom w:val="none" w:sz="0" w:space="0" w:color="auto"/>
            <w:right w:val="none" w:sz="0" w:space="0" w:color="auto"/>
          </w:divBdr>
        </w:div>
        <w:div w:id="1627005913">
          <w:marLeft w:val="480"/>
          <w:marRight w:val="0"/>
          <w:marTop w:val="0"/>
          <w:marBottom w:val="0"/>
          <w:divBdr>
            <w:top w:val="none" w:sz="0" w:space="0" w:color="auto"/>
            <w:left w:val="none" w:sz="0" w:space="0" w:color="auto"/>
            <w:bottom w:val="none" w:sz="0" w:space="0" w:color="auto"/>
            <w:right w:val="none" w:sz="0" w:space="0" w:color="auto"/>
          </w:divBdr>
        </w:div>
        <w:div w:id="218369995">
          <w:marLeft w:val="480"/>
          <w:marRight w:val="0"/>
          <w:marTop w:val="0"/>
          <w:marBottom w:val="0"/>
          <w:divBdr>
            <w:top w:val="none" w:sz="0" w:space="0" w:color="auto"/>
            <w:left w:val="none" w:sz="0" w:space="0" w:color="auto"/>
            <w:bottom w:val="none" w:sz="0" w:space="0" w:color="auto"/>
            <w:right w:val="none" w:sz="0" w:space="0" w:color="auto"/>
          </w:divBdr>
        </w:div>
        <w:div w:id="196430684">
          <w:marLeft w:val="480"/>
          <w:marRight w:val="0"/>
          <w:marTop w:val="0"/>
          <w:marBottom w:val="0"/>
          <w:divBdr>
            <w:top w:val="none" w:sz="0" w:space="0" w:color="auto"/>
            <w:left w:val="none" w:sz="0" w:space="0" w:color="auto"/>
            <w:bottom w:val="none" w:sz="0" w:space="0" w:color="auto"/>
            <w:right w:val="none" w:sz="0" w:space="0" w:color="auto"/>
          </w:divBdr>
        </w:div>
        <w:div w:id="1464151909">
          <w:marLeft w:val="480"/>
          <w:marRight w:val="0"/>
          <w:marTop w:val="0"/>
          <w:marBottom w:val="0"/>
          <w:divBdr>
            <w:top w:val="none" w:sz="0" w:space="0" w:color="auto"/>
            <w:left w:val="none" w:sz="0" w:space="0" w:color="auto"/>
            <w:bottom w:val="none" w:sz="0" w:space="0" w:color="auto"/>
            <w:right w:val="none" w:sz="0" w:space="0" w:color="auto"/>
          </w:divBdr>
        </w:div>
        <w:div w:id="1322004592">
          <w:marLeft w:val="480"/>
          <w:marRight w:val="0"/>
          <w:marTop w:val="0"/>
          <w:marBottom w:val="0"/>
          <w:divBdr>
            <w:top w:val="none" w:sz="0" w:space="0" w:color="auto"/>
            <w:left w:val="none" w:sz="0" w:space="0" w:color="auto"/>
            <w:bottom w:val="none" w:sz="0" w:space="0" w:color="auto"/>
            <w:right w:val="none" w:sz="0" w:space="0" w:color="auto"/>
          </w:divBdr>
        </w:div>
        <w:div w:id="1236621430">
          <w:marLeft w:val="480"/>
          <w:marRight w:val="0"/>
          <w:marTop w:val="0"/>
          <w:marBottom w:val="0"/>
          <w:divBdr>
            <w:top w:val="none" w:sz="0" w:space="0" w:color="auto"/>
            <w:left w:val="none" w:sz="0" w:space="0" w:color="auto"/>
            <w:bottom w:val="none" w:sz="0" w:space="0" w:color="auto"/>
            <w:right w:val="none" w:sz="0" w:space="0" w:color="auto"/>
          </w:divBdr>
        </w:div>
        <w:div w:id="1245804242">
          <w:marLeft w:val="480"/>
          <w:marRight w:val="0"/>
          <w:marTop w:val="0"/>
          <w:marBottom w:val="0"/>
          <w:divBdr>
            <w:top w:val="none" w:sz="0" w:space="0" w:color="auto"/>
            <w:left w:val="none" w:sz="0" w:space="0" w:color="auto"/>
            <w:bottom w:val="none" w:sz="0" w:space="0" w:color="auto"/>
            <w:right w:val="none" w:sz="0" w:space="0" w:color="auto"/>
          </w:divBdr>
        </w:div>
        <w:div w:id="1572810479">
          <w:marLeft w:val="480"/>
          <w:marRight w:val="0"/>
          <w:marTop w:val="0"/>
          <w:marBottom w:val="0"/>
          <w:divBdr>
            <w:top w:val="none" w:sz="0" w:space="0" w:color="auto"/>
            <w:left w:val="none" w:sz="0" w:space="0" w:color="auto"/>
            <w:bottom w:val="none" w:sz="0" w:space="0" w:color="auto"/>
            <w:right w:val="none" w:sz="0" w:space="0" w:color="auto"/>
          </w:divBdr>
        </w:div>
        <w:div w:id="1926568796">
          <w:marLeft w:val="480"/>
          <w:marRight w:val="0"/>
          <w:marTop w:val="0"/>
          <w:marBottom w:val="0"/>
          <w:divBdr>
            <w:top w:val="none" w:sz="0" w:space="0" w:color="auto"/>
            <w:left w:val="none" w:sz="0" w:space="0" w:color="auto"/>
            <w:bottom w:val="none" w:sz="0" w:space="0" w:color="auto"/>
            <w:right w:val="none" w:sz="0" w:space="0" w:color="auto"/>
          </w:divBdr>
        </w:div>
        <w:div w:id="1633048748">
          <w:marLeft w:val="480"/>
          <w:marRight w:val="0"/>
          <w:marTop w:val="0"/>
          <w:marBottom w:val="0"/>
          <w:divBdr>
            <w:top w:val="none" w:sz="0" w:space="0" w:color="auto"/>
            <w:left w:val="none" w:sz="0" w:space="0" w:color="auto"/>
            <w:bottom w:val="none" w:sz="0" w:space="0" w:color="auto"/>
            <w:right w:val="none" w:sz="0" w:space="0" w:color="auto"/>
          </w:divBdr>
        </w:div>
        <w:div w:id="418449377">
          <w:marLeft w:val="480"/>
          <w:marRight w:val="0"/>
          <w:marTop w:val="0"/>
          <w:marBottom w:val="0"/>
          <w:divBdr>
            <w:top w:val="none" w:sz="0" w:space="0" w:color="auto"/>
            <w:left w:val="none" w:sz="0" w:space="0" w:color="auto"/>
            <w:bottom w:val="none" w:sz="0" w:space="0" w:color="auto"/>
            <w:right w:val="none" w:sz="0" w:space="0" w:color="auto"/>
          </w:divBdr>
        </w:div>
        <w:div w:id="1064723132">
          <w:marLeft w:val="480"/>
          <w:marRight w:val="0"/>
          <w:marTop w:val="0"/>
          <w:marBottom w:val="0"/>
          <w:divBdr>
            <w:top w:val="none" w:sz="0" w:space="0" w:color="auto"/>
            <w:left w:val="none" w:sz="0" w:space="0" w:color="auto"/>
            <w:bottom w:val="none" w:sz="0" w:space="0" w:color="auto"/>
            <w:right w:val="none" w:sz="0" w:space="0" w:color="auto"/>
          </w:divBdr>
        </w:div>
        <w:div w:id="1971670056">
          <w:marLeft w:val="480"/>
          <w:marRight w:val="0"/>
          <w:marTop w:val="0"/>
          <w:marBottom w:val="0"/>
          <w:divBdr>
            <w:top w:val="none" w:sz="0" w:space="0" w:color="auto"/>
            <w:left w:val="none" w:sz="0" w:space="0" w:color="auto"/>
            <w:bottom w:val="none" w:sz="0" w:space="0" w:color="auto"/>
            <w:right w:val="none" w:sz="0" w:space="0" w:color="auto"/>
          </w:divBdr>
        </w:div>
        <w:div w:id="1751809093">
          <w:marLeft w:val="480"/>
          <w:marRight w:val="0"/>
          <w:marTop w:val="0"/>
          <w:marBottom w:val="0"/>
          <w:divBdr>
            <w:top w:val="none" w:sz="0" w:space="0" w:color="auto"/>
            <w:left w:val="none" w:sz="0" w:space="0" w:color="auto"/>
            <w:bottom w:val="none" w:sz="0" w:space="0" w:color="auto"/>
            <w:right w:val="none" w:sz="0" w:space="0" w:color="auto"/>
          </w:divBdr>
        </w:div>
        <w:div w:id="21369837">
          <w:marLeft w:val="480"/>
          <w:marRight w:val="0"/>
          <w:marTop w:val="0"/>
          <w:marBottom w:val="0"/>
          <w:divBdr>
            <w:top w:val="none" w:sz="0" w:space="0" w:color="auto"/>
            <w:left w:val="none" w:sz="0" w:space="0" w:color="auto"/>
            <w:bottom w:val="none" w:sz="0" w:space="0" w:color="auto"/>
            <w:right w:val="none" w:sz="0" w:space="0" w:color="auto"/>
          </w:divBdr>
        </w:div>
        <w:div w:id="1854227362">
          <w:marLeft w:val="480"/>
          <w:marRight w:val="0"/>
          <w:marTop w:val="0"/>
          <w:marBottom w:val="0"/>
          <w:divBdr>
            <w:top w:val="none" w:sz="0" w:space="0" w:color="auto"/>
            <w:left w:val="none" w:sz="0" w:space="0" w:color="auto"/>
            <w:bottom w:val="none" w:sz="0" w:space="0" w:color="auto"/>
            <w:right w:val="none" w:sz="0" w:space="0" w:color="auto"/>
          </w:divBdr>
        </w:div>
        <w:div w:id="936324174">
          <w:marLeft w:val="480"/>
          <w:marRight w:val="0"/>
          <w:marTop w:val="0"/>
          <w:marBottom w:val="0"/>
          <w:divBdr>
            <w:top w:val="none" w:sz="0" w:space="0" w:color="auto"/>
            <w:left w:val="none" w:sz="0" w:space="0" w:color="auto"/>
            <w:bottom w:val="none" w:sz="0" w:space="0" w:color="auto"/>
            <w:right w:val="none" w:sz="0" w:space="0" w:color="auto"/>
          </w:divBdr>
        </w:div>
        <w:div w:id="1390694108">
          <w:marLeft w:val="480"/>
          <w:marRight w:val="0"/>
          <w:marTop w:val="0"/>
          <w:marBottom w:val="0"/>
          <w:divBdr>
            <w:top w:val="none" w:sz="0" w:space="0" w:color="auto"/>
            <w:left w:val="none" w:sz="0" w:space="0" w:color="auto"/>
            <w:bottom w:val="none" w:sz="0" w:space="0" w:color="auto"/>
            <w:right w:val="none" w:sz="0" w:space="0" w:color="auto"/>
          </w:divBdr>
        </w:div>
        <w:div w:id="1628778711">
          <w:marLeft w:val="480"/>
          <w:marRight w:val="0"/>
          <w:marTop w:val="0"/>
          <w:marBottom w:val="0"/>
          <w:divBdr>
            <w:top w:val="none" w:sz="0" w:space="0" w:color="auto"/>
            <w:left w:val="none" w:sz="0" w:space="0" w:color="auto"/>
            <w:bottom w:val="none" w:sz="0" w:space="0" w:color="auto"/>
            <w:right w:val="none" w:sz="0" w:space="0" w:color="auto"/>
          </w:divBdr>
        </w:div>
        <w:div w:id="102698998">
          <w:marLeft w:val="480"/>
          <w:marRight w:val="0"/>
          <w:marTop w:val="0"/>
          <w:marBottom w:val="0"/>
          <w:divBdr>
            <w:top w:val="none" w:sz="0" w:space="0" w:color="auto"/>
            <w:left w:val="none" w:sz="0" w:space="0" w:color="auto"/>
            <w:bottom w:val="none" w:sz="0" w:space="0" w:color="auto"/>
            <w:right w:val="none" w:sz="0" w:space="0" w:color="auto"/>
          </w:divBdr>
        </w:div>
        <w:div w:id="342055192">
          <w:marLeft w:val="480"/>
          <w:marRight w:val="0"/>
          <w:marTop w:val="0"/>
          <w:marBottom w:val="0"/>
          <w:divBdr>
            <w:top w:val="none" w:sz="0" w:space="0" w:color="auto"/>
            <w:left w:val="none" w:sz="0" w:space="0" w:color="auto"/>
            <w:bottom w:val="none" w:sz="0" w:space="0" w:color="auto"/>
            <w:right w:val="none" w:sz="0" w:space="0" w:color="auto"/>
          </w:divBdr>
        </w:div>
        <w:div w:id="1373648609">
          <w:marLeft w:val="480"/>
          <w:marRight w:val="0"/>
          <w:marTop w:val="0"/>
          <w:marBottom w:val="0"/>
          <w:divBdr>
            <w:top w:val="none" w:sz="0" w:space="0" w:color="auto"/>
            <w:left w:val="none" w:sz="0" w:space="0" w:color="auto"/>
            <w:bottom w:val="none" w:sz="0" w:space="0" w:color="auto"/>
            <w:right w:val="none" w:sz="0" w:space="0" w:color="auto"/>
          </w:divBdr>
        </w:div>
        <w:div w:id="566378883">
          <w:marLeft w:val="480"/>
          <w:marRight w:val="0"/>
          <w:marTop w:val="0"/>
          <w:marBottom w:val="0"/>
          <w:divBdr>
            <w:top w:val="none" w:sz="0" w:space="0" w:color="auto"/>
            <w:left w:val="none" w:sz="0" w:space="0" w:color="auto"/>
            <w:bottom w:val="none" w:sz="0" w:space="0" w:color="auto"/>
            <w:right w:val="none" w:sz="0" w:space="0" w:color="auto"/>
          </w:divBdr>
        </w:div>
        <w:div w:id="570845859">
          <w:marLeft w:val="480"/>
          <w:marRight w:val="0"/>
          <w:marTop w:val="0"/>
          <w:marBottom w:val="0"/>
          <w:divBdr>
            <w:top w:val="none" w:sz="0" w:space="0" w:color="auto"/>
            <w:left w:val="none" w:sz="0" w:space="0" w:color="auto"/>
            <w:bottom w:val="none" w:sz="0" w:space="0" w:color="auto"/>
            <w:right w:val="none" w:sz="0" w:space="0" w:color="auto"/>
          </w:divBdr>
        </w:div>
        <w:div w:id="1474831002">
          <w:marLeft w:val="480"/>
          <w:marRight w:val="0"/>
          <w:marTop w:val="0"/>
          <w:marBottom w:val="0"/>
          <w:divBdr>
            <w:top w:val="none" w:sz="0" w:space="0" w:color="auto"/>
            <w:left w:val="none" w:sz="0" w:space="0" w:color="auto"/>
            <w:bottom w:val="none" w:sz="0" w:space="0" w:color="auto"/>
            <w:right w:val="none" w:sz="0" w:space="0" w:color="auto"/>
          </w:divBdr>
        </w:div>
        <w:div w:id="243729045">
          <w:marLeft w:val="480"/>
          <w:marRight w:val="0"/>
          <w:marTop w:val="0"/>
          <w:marBottom w:val="0"/>
          <w:divBdr>
            <w:top w:val="none" w:sz="0" w:space="0" w:color="auto"/>
            <w:left w:val="none" w:sz="0" w:space="0" w:color="auto"/>
            <w:bottom w:val="none" w:sz="0" w:space="0" w:color="auto"/>
            <w:right w:val="none" w:sz="0" w:space="0" w:color="auto"/>
          </w:divBdr>
        </w:div>
        <w:div w:id="29384222">
          <w:marLeft w:val="480"/>
          <w:marRight w:val="0"/>
          <w:marTop w:val="0"/>
          <w:marBottom w:val="0"/>
          <w:divBdr>
            <w:top w:val="none" w:sz="0" w:space="0" w:color="auto"/>
            <w:left w:val="none" w:sz="0" w:space="0" w:color="auto"/>
            <w:bottom w:val="none" w:sz="0" w:space="0" w:color="auto"/>
            <w:right w:val="none" w:sz="0" w:space="0" w:color="auto"/>
          </w:divBdr>
        </w:div>
        <w:div w:id="206379235">
          <w:marLeft w:val="480"/>
          <w:marRight w:val="0"/>
          <w:marTop w:val="0"/>
          <w:marBottom w:val="0"/>
          <w:divBdr>
            <w:top w:val="none" w:sz="0" w:space="0" w:color="auto"/>
            <w:left w:val="none" w:sz="0" w:space="0" w:color="auto"/>
            <w:bottom w:val="none" w:sz="0" w:space="0" w:color="auto"/>
            <w:right w:val="none" w:sz="0" w:space="0" w:color="auto"/>
          </w:divBdr>
        </w:div>
        <w:div w:id="311637193">
          <w:marLeft w:val="480"/>
          <w:marRight w:val="0"/>
          <w:marTop w:val="0"/>
          <w:marBottom w:val="0"/>
          <w:divBdr>
            <w:top w:val="none" w:sz="0" w:space="0" w:color="auto"/>
            <w:left w:val="none" w:sz="0" w:space="0" w:color="auto"/>
            <w:bottom w:val="none" w:sz="0" w:space="0" w:color="auto"/>
            <w:right w:val="none" w:sz="0" w:space="0" w:color="auto"/>
          </w:divBdr>
        </w:div>
        <w:div w:id="146020743">
          <w:marLeft w:val="480"/>
          <w:marRight w:val="0"/>
          <w:marTop w:val="0"/>
          <w:marBottom w:val="0"/>
          <w:divBdr>
            <w:top w:val="none" w:sz="0" w:space="0" w:color="auto"/>
            <w:left w:val="none" w:sz="0" w:space="0" w:color="auto"/>
            <w:bottom w:val="none" w:sz="0" w:space="0" w:color="auto"/>
            <w:right w:val="none" w:sz="0" w:space="0" w:color="auto"/>
          </w:divBdr>
        </w:div>
        <w:div w:id="166791645">
          <w:marLeft w:val="480"/>
          <w:marRight w:val="0"/>
          <w:marTop w:val="0"/>
          <w:marBottom w:val="0"/>
          <w:divBdr>
            <w:top w:val="none" w:sz="0" w:space="0" w:color="auto"/>
            <w:left w:val="none" w:sz="0" w:space="0" w:color="auto"/>
            <w:bottom w:val="none" w:sz="0" w:space="0" w:color="auto"/>
            <w:right w:val="none" w:sz="0" w:space="0" w:color="auto"/>
          </w:divBdr>
        </w:div>
        <w:div w:id="2021468873">
          <w:marLeft w:val="480"/>
          <w:marRight w:val="0"/>
          <w:marTop w:val="0"/>
          <w:marBottom w:val="0"/>
          <w:divBdr>
            <w:top w:val="none" w:sz="0" w:space="0" w:color="auto"/>
            <w:left w:val="none" w:sz="0" w:space="0" w:color="auto"/>
            <w:bottom w:val="none" w:sz="0" w:space="0" w:color="auto"/>
            <w:right w:val="none" w:sz="0" w:space="0" w:color="auto"/>
          </w:divBdr>
        </w:div>
        <w:div w:id="1789859524">
          <w:marLeft w:val="480"/>
          <w:marRight w:val="0"/>
          <w:marTop w:val="0"/>
          <w:marBottom w:val="0"/>
          <w:divBdr>
            <w:top w:val="none" w:sz="0" w:space="0" w:color="auto"/>
            <w:left w:val="none" w:sz="0" w:space="0" w:color="auto"/>
            <w:bottom w:val="none" w:sz="0" w:space="0" w:color="auto"/>
            <w:right w:val="none" w:sz="0" w:space="0" w:color="auto"/>
          </w:divBdr>
        </w:div>
        <w:div w:id="843470383">
          <w:marLeft w:val="480"/>
          <w:marRight w:val="0"/>
          <w:marTop w:val="0"/>
          <w:marBottom w:val="0"/>
          <w:divBdr>
            <w:top w:val="none" w:sz="0" w:space="0" w:color="auto"/>
            <w:left w:val="none" w:sz="0" w:space="0" w:color="auto"/>
            <w:bottom w:val="none" w:sz="0" w:space="0" w:color="auto"/>
            <w:right w:val="none" w:sz="0" w:space="0" w:color="auto"/>
          </w:divBdr>
        </w:div>
        <w:div w:id="275598645">
          <w:marLeft w:val="480"/>
          <w:marRight w:val="0"/>
          <w:marTop w:val="0"/>
          <w:marBottom w:val="0"/>
          <w:divBdr>
            <w:top w:val="none" w:sz="0" w:space="0" w:color="auto"/>
            <w:left w:val="none" w:sz="0" w:space="0" w:color="auto"/>
            <w:bottom w:val="none" w:sz="0" w:space="0" w:color="auto"/>
            <w:right w:val="none" w:sz="0" w:space="0" w:color="auto"/>
          </w:divBdr>
        </w:div>
        <w:div w:id="747308261">
          <w:marLeft w:val="480"/>
          <w:marRight w:val="0"/>
          <w:marTop w:val="0"/>
          <w:marBottom w:val="0"/>
          <w:divBdr>
            <w:top w:val="none" w:sz="0" w:space="0" w:color="auto"/>
            <w:left w:val="none" w:sz="0" w:space="0" w:color="auto"/>
            <w:bottom w:val="none" w:sz="0" w:space="0" w:color="auto"/>
            <w:right w:val="none" w:sz="0" w:space="0" w:color="auto"/>
          </w:divBdr>
        </w:div>
        <w:div w:id="1500149029">
          <w:marLeft w:val="480"/>
          <w:marRight w:val="0"/>
          <w:marTop w:val="0"/>
          <w:marBottom w:val="0"/>
          <w:divBdr>
            <w:top w:val="none" w:sz="0" w:space="0" w:color="auto"/>
            <w:left w:val="none" w:sz="0" w:space="0" w:color="auto"/>
            <w:bottom w:val="none" w:sz="0" w:space="0" w:color="auto"/>
            <w:right w:val="none" w:sz="0" w:space="0" w:color="auto"/>
          </w:divBdr>
        </w:div>
        <w:div w:id="1695417225">
          <w:marLeft w:val="480"/>
          <w:marRight w:val="0"/>
          <w:marTop w:val="0"/>
          <w:marBottom w:val="0"/>
          <w:divBdr>
            <w:top w:val="none" w:sz="0" w:space="0" w:color="auto"/>
            <w:left w:val="none" w:sz="0" w:space="0" w:color="auto"/>
            <w:bottom w:val="none" w:sz="0" w:space="0" w:color="auto"/>
            <w:right w:val="none" w:sz="0" w:space="0" w:color="auto"/>
          </w:divBdr>
        </w:div>
        <w:div w:id="1410345084">
          <w:marLeft w:val="480"/>
          <w:marRight w:val="0"/>
          <w:marTop w:val="0"/>
          <w:marBottom w:val="0"/>
          <w:divBdr>
            <w:top w:val="none" w:sz="0" w:space="0" w:color="auto"/>
            <w:left w:val="none" w:sz="0" w:space="0" w:color="auto"/>
            <w:bottom w:val="none" w:sz="0" w:space="0" w:color="auto"/>
            <w:right w:val="none" w:sz="0" w:space="0" w:color="auto"/>
          </w:divBdr>
        </w:div>
        <w:div w:id="937060612">
          <w:marLeft w:val="480"/>
          <w:marRight w:val="0"/>
          <w:marTop w:val="0"/>
          <w:marBottom w:val="0"/>
          <w:divBdr>
            <w:top w:val="none" w:sz="0" w:space="0" w:color="auto"/>
            <w:left w:val="none" w:sz="0" w:space="0" w:color="auto"/>
            <w:bottom w:val="none" w:sz="0" w:space="0" w:color="auto"/>
            <w:right w:val="none" w:sz="0" w:space="0" w:color="auto"/>
          </w:divBdr>
        </w:div>
        <w:div w:id="1740129668">
          <w:marLeft w:val="480"/>
          <w:marRight w:val="0"/>
          <w:marTop w:val="0"/>
          <w:marBottom w:val="0"/>
          <w:divBdr>
            <w:top w:val="none" w:sz="0" w:space="0" w:color="auto"/>
            <w:left w:val="none" w:sz="0" w:space="0" w:color="auto"/>
            <w:bottom w:val="none" w:sz="0" w:space="0" w:color="auto"/>
            <w:right w:val="none" w:sz="0" w:space="0" w:color="auto"/>
          </w:divBdr>
        </w:div>
        <w:div w:id="932084995">
          <w:marLeft w:val="480"/>
          <w:marRight w:val="0"/>
          <w:marTop w:val="0"/>
          <w:marBottom w:val="0"/>
          <w:divBdr>
            <w:top w:val="none" w:sz="0" w:space="0" w:color="auto"/>
            <w:left w:val="none" w:sz="0" w:space="0" w:color="auto"/>
            <w:bottom w:val="none" w:sz="0" w:space="0" w:color="auto"/>
            <w:right w:val="none" w:sz="0" w:space="0" w:color="auto"/>
          </w:divBdr>
        </w:div>
        <w:div w:id="1705980178">
          <w:marLeft w:val="480"/>
          <w:marRight w:val="0"/>
          <w:marTop w:val="0"/>
          <w:marBottom w:val="0"/>
          <w:divBdr>
            <w:top w:val="none" w:sz="0" w:space="0" w:color="auto"/>
            <w:left w:val="none" w:sz="0" w:space="0" w:color="auto"/>
            <w:bottom w:val="none" w:sz="0" w:space="0" w:color="auto"/>
            <w:right w:val="none" w:sz="0" w:space="0" w:color="auto"/>
          </w:divBdr>
        </w:div>
        <w:div w:id="1578124799">
          <w:marLeft w:val="480"/>
          <w:marRight w:val="0"/>
          <w:marTop w:val="0"/>
          <w:marBottom w:val="0"/>
          <w:divBdr>
            <w:top w:val="none" w:sz="0" w:space="0" w:color="auto"/>
            <w:left w:val="none" w:sz="0" w:space="0" w:color="auto"/>
            <w:bottom w:val="none" w:sz="0" w:space="0" w:color="auto"/>
            <w:right w:val="none" w:sz="0" w:space="0" w:color="auto"/>
          </w:divBdr>
        </w:div>
        <w:div w:id="1595212019">
          <w:marLeft w:val="480"/>
          <w:marRight w:val="0"/>
          <w:marTop w:val="0"/>
          <w:marBottom w:val="0"/>
          <w:divBdr>
            <w:top w:val="none" w:sz="0" w:space="0" w:color="auto"/>
            <w:left w:val="none" w:sz="0" w:space="0" w:color="auto"/>
            <w:bottom w:val="none" w:sz="0" w:space="0" w:color="auto"/>
            <w:right w:val="none" w:sz="0" w:space="0" w:color="auto"/>
          </w:divBdr>
        </w:div>
        <w:div w:id="361325105">
          <w:marLeft w:val="480"/>
          <w:marRight w:val="0"/>
          <w:marTop w:val="0"/>
          <w:marBottom w:val="0"/>
          <w:divBdr>
            <w:top w:val="none" w:sz="0" w:space="0" w:color="auto"/>
            <w:left w:val="none" w:sz="0" w:space="0" w:color="auto"/>
            <w:bottom w:val="none" w:sz="0" w:space="0" w:color="auto"/>
            <w:right w:val="none" w:sz="0" w:space="0" w:color="auto"/>
          </w:divBdr>
        </w:div>
        <w:div w:id="1532839244">
          <w:marLeft w:val="480"/>
          <w:marRight w:val="0"/>
          <w:marTop w:val="0"/>
          <w:marBottom w:val="0"/>
          <w:divBdr>
            <w:top w:val="none" w:sz="0" w:space="0" w:color="auto"/>
            <w:left w:val="none" w:sz="0" w:space="0" w:color="auto"/>
            <w:bottom w:val="none" w:sz="0" w:space="0" w:color="auto"/>
            <w:right w:val="none" w:sz="0" w:space="0" w:color="auto"/>
          </w:divBdr>
        </w:div>
        <w:div w:id="460148656">
          <w:marLeft w:val="480"/>
          <w:marRight w:val="0"/>
          <w:marTop w:val="0"/>
          <w:marBottom w:val="0"/>
          <w:divBdr>
            <w:top w:val="none" w:sz="0" w:space="0" w:color="auto"/>
            <w:left w:val="none" w:sz="0" w:space="0" w:color="auto"/>
            <w:bottom w:val="none" w:sz="0" w:space="0" w:color="auto"/>
            <w:right w:val="none" w:sz="0" w:space="0" w:color="auto"/>
          </w:divBdr>
        </w:div>
        <w:div w:id="706179853">
          <w:marLeft w:val="480"/>
          <w:marRight w:val="0"/>
          <w:marTop w:val="0"/>
          <w:marBottom w:val="0"/>
          <w:divBdr>
            <w:top w:val="none" w:sz="0" w:space="0" w:color="auto"/>
            <w:left w:val="none" w:sz="0" w:space="0" w:color="auto"/>
            <w:bottom w:val="none" w:sz="0" w:space="0" w:color="auto"/>
            <w:right w:val="none" w:sz="0" w:space="0" w:color="auto"/>
          </w:divBdr>
        </w:div>
        <w:div w:id="92092592">
          <w:marLeft w:val="480"/>
          <w:marRight w:val="0"/>
          <w:marTop w:val="0"/>
          <w:marBottom w:val="0"/>
          <w:divBdr>
            <w:top w:val="none" w:sz="0" w:space="0" w:color="auto"/>
            <w:left w:val="none" w:sz="0" w:space="0" w:color="auto"/>
            <w:bottom w:val="none" w:sz="0" w:space="0" w:color="auto"/>
            <w:right w:val="none" w:sz="0" w:space="0" w:color="auto"/>
          </w:divBdr>
        </w:div>
        <w:div w:id="2060473751">
          <w:marLeft w:val="480"/>
          <w:marRight w:val="0"/>
          <w:marTop w:val="0"/>
          <w:marBottom w:val="0"/>
          <w:divBdr>
            <w:top w:val="none" w:sz="0" w:space="0" w:color="auto"/>
            <w:left w:val="none" w:sz="0" w:space="0" w:color="auto"/>
            <w:bottom w:val="none" w:sz="0" w:space="0" w:color="auto"/>
            <w:right w:val="none" w:sz="0" w:space="0" w:color="auto"/>
          </w:divBdr>
        </w:div>
        <w:div w:id="602224260">
          <w:marLeft w:val="480"/>
          <w:marRight w:val="0"/>
          <w:marTop w:val="0"/>
          <w:marBottom w:val="0"/>
          <w:divBdr>
            <w:top w:val="none" w:sz="0" w:space="0" w:color="auto"/>
            <w:left w:val="none" w:sz="0" w:space="0" w:color="auto"/>
            <w:bottom w:val="none" w:sz="0" w:space="0" w:color="auto"/>
            <w:right w:val="none" w:sz="0" w:space="0" w:color="auto"/>
          </w:divBdr>
        </w:div>
        <w:div w:id="180094344">
          <w:marLeft w:val="480"/>
          <w:marRight w:val="0"/>
          <w:marTop w:val="0"/>
          <w:marBottom w:val="0"/>
          <w:divBdr>
            <w:top w:val="none" w:sz="0" w:space="0" w:color="auto"/>
            <w:left w:val="none" w:sz="0" w:space="0" w:color="auto"/>
            <w:bottom w:val="none" w:sz="0" w:space="0" w:color="auto"/>
            <w:right w:val="none" w:sz="0" w:space="0" w:color="auto"/>
          </w:divBdr>
        </w:div>
        <w:div w:id="2089647899">
          <w:marLeft w:val="480"/>
          <w:marRight w:val="0"/>
          <w:marTop w:val="0"/>
          <w:marBottom w:val="0"/>
          <w:divBdr>
            <w:top w:val="none" w:sz="0" w:space="0" w:color="auto"/>
            <w:left w:val="none" w:sz="0" w:space="0" w:color="auto"/>
            <w:bottom w:val="none" w:sz="0" w:space="0" w:color="auto"/>
            <w:right w:val="none" w:sz="0" w:space="0" w:color="auto"/>
          </w:divBdr>
        </w:div>
        <w:div w:id="2127580130">
          <w:marLeft w:val="480"/>
          <w:marRight w:val="0"/>
          <w:marTop w:val="0"/>
          <w:marBottom w:val="0"/>
          <w:divBdr>
            <w:top w:val="none" w:sz="0" w:space="0" w:color="auto"/>
            <w:left w:val="none" w:sz="0" w:space="0" w:color="auto"/>
            <w:bottom w:val="none" w:sz="0" w:space="0" w:color="auto"/>
            <w:right w:val="none" w:sz="0" w:space="0" w:color="auto"/>
          </w:divBdr>
        </w:div>
        <w:div w:id="2076974661">
          <w:marLeft w:val="480"/>
          <w:marRight w:val="0"/>
          <w:marTop w:val="0"/>
          <w:marBottom w:val="0"/>
          <w:divBdr>
            <w:top w:val="none" w:sz="0" w:space="0" w:color="auto"/>
            <w:left w:val="none" w:sz="0" w:space="0" w:color="auto"/>
            <w:bottom w:val="none" w:sz="0" w:space="0" w:color="auto"/>
            <w:right w:val="none" w:sz="0" w:space="0" w:color="auto"/>
          </w:divBdr>
        </w:div>
        <w:div w:id="959917584">
          <w:marLeft w:val="480"/>
          <w:marRight w:val="0"/>
          <w:marTop w:val="0"/>
          <w:marBottom w:val="0"/>
          <w:divBdr>
            <w:top w:val="none" w:sz="0" w:space="0" w:color="auto"/>
            <w:left w:val="none" w:sz="0" w:space="0" w:color="auto"/>
            <w:bottom w:val="none" w:sz="0" w:space="0" w:color="auto"/>
            <w:right w:val="none" w:sz="0" w:space="0" w:color="auto"/>
          </w:divBdr>
        </w:div>
        <w:div w:id="1092507240">
          <w:marLeft w:val="480"/>
          <w:marRight w:val="0"/>
          <w:marTop w:val="0"/>
          <w:marBottom w:val="0"/>
          <w:divBdr>
            <w:top w:val="none" w:sz="0" w:space="0" w:color="auto"/>
            <w:left w:val="none" w:sz="0" w:space="0" w:color="auto"/>
            <w:bottom w:val="none" w:sz="0" w:space="0" w:color="auto"/>
            <w:right w:val="none" w:sz="0" w:space="0" w:color="auto"/>
          </w:divBdr>
        </w:div>
        <w:div w:id="2007324481">
          <w:marLeft w:val="480"/>
          <w:marRight w:val="0"/>
          <w:marTop w:val="0"/>
          <w:marBottom w:val="0"/>
          <w:divBdr>
            <w:top w:val="none" w:sz="0" w:space="0" w:color="auto"/>
            <w:left w:val="none" w:sz="0" w:space="0" w:color="auto"/>
            <w:bottom w:val="none" w:sz="0" w:space="0" w:color="auto"/>
            <w:right w:val="none" w:sz="0" w:space="0" w:color="auto"/>
          </w:divBdr>
        </w:div>
        <w:div w:id="627320095">
          <w:marLeft w:val="480"/>
          <w:marRight w:val="0"/>
          <w:marTop w:val="0"/>
          <w:marBottom w:val="0"/>
          <w:divBdr>
            <w:top w:val="none" w:sz="0" w:space="0" w:color="auto"/>
            <w:left w:val="none" w:sz="0" w:space="0" w:color="auto"/>
            <w:bottom w:val="none" w:sz="0" w:space="0" w:color="auto"/>
            <w:right w:val="none" w:sz="0" w:space="0" w:color="auto"/>
          </w:divBdr>
        </w:div>
        <w:div w:id="293410522">
          <w:marLeft w:val="480"/>
          <w:marRight w:val="0"/>
          <w:marTop w:val="0"/>
          <w:marBottom w:val="0"/>
          <w:divBdr>
            <w:top w:val="none" w:sz="0" w:space="0" w:color="auto"/>
            <w:left w:val="none" w:sz="0" w:space="0" w:color="auto"/>
            <w:bottom w:val="none" w:sz="0" w:space="0" w:color="auto"/>
            <w:right w:val="none" w:sz="0" w:space="0" w:color="auto"/>
          </w:divBdr>
        </w:div>
        <w:div w:id="467863919">
          <w:marLeft w:val="480"/>
          <w:marRight w:val="0"/>
          <w:marTop w:val="0"/>
          <w:marBottom w:val="0"/>
          <w:divBdr>
            <w:top w:val="none" w:sz="0" w:space="0" w:color="auto"/>
            <w:left w:val="none" w:sz="0" w:space="0" w:color="auto"/>
            <w:bottom w:val="none" w:sz="0" w:space="0" w:color="auto"/>
            <w:right w:val="none" w:sz="0" w:space="0" w:color="auto"/>
          </w:divBdr>
        </w:div>
        <w:div w:id="1216509487">
          <w:marLeft w:val="480"/>
          <w:marRight w:val="0"/>
          <w:marTop w:val="0"/>
          <w:marBottom w:val="0"/>
          <w:divBdr>
            <w:top w:val="none" w:sz="0" w:space="0" w:color="auto"/>
            <w:left w:val="none" w:sz="0" w:space="0" w:color="auto"/>
            <w:bottom w:val="none" w:sz="0" w:space="0" w:color="auto"/>
            <w:right w:val="none" w:sz="0" w:space="0" w:color="auto"/>
          </w:divBdr>
        </w:div>
        <w:div w:id="253053039">
          <w:marLeft w:val="480"/>
          <w:marRight w:val="0"/>
          <w:marTop w:val="0"/>
          <w:marBottom w:val="0"/>
          <w:divBdr>
            <w:top w:val="none" w:sz="0" w:space="0" w:color="auto"/>
            <w:left w:val="none" w:sz="0" w:space="0" w:color="auto"/>
            <w:bottom w:val="none" w:sz="0" w:space="0" w:color="auto"/>
            <w:right w:val="none" w:sz="0" w:space="0" w:color="auto"/>
          </w:divBdr>
        </w:div>
        <w:div w:id="1249386585">
          <w:marLeft w:val="480"/>
          <w:marRight w:val="0"/>
          <w:marTop w:val="0"/>
          <w:marBottom w:val="0"/>
          <w:divBdr>
            <w:top w:val="none" w:sz="0" w:space="0" w:color="auto"/>
            <w:left w:val="none" w:sz="0" w:space="0" w:color="auto"/>
            <w:bottom w:val="none" w:sz="0" w:space="0" w:color="auto"/>
            <w:right w:val="none" w:sz="0" w:space="0" w:color="auto"/>
          </w:divBdr>
        </w:div>
        <w:div w:id="1821531206">
          <w:marLeft w:val="480"/>
          <w:marRight w:val="0"/>
          <w:marTop w:val="0"/>
          <w:marBottom w:val="0"/>
          <w:divBdr>
            <w:top w:val="none" w:sz="0" w:space="0" w:color="auto"/>
            <w:left w:val="none" w:sz="0" w:space="0" w:color="auto"/>
            <w:bottom w:val="none" w:sz="0" w:space="0" w:color="auto"/>
            <w:right w:val="none" w:sz="0" w:space="0" w:color="auto"/>
          </w:divBdr>
        </w:div>
        <w:div w:id="2086107500">
          <w:marLeft w:val="480"/>
          <w:marRight w:val="0"/>
          <w:marTop w:val="0"/>
          <w:marBottom w:val="0"/>
          <w:divBdr>
            <w:top w:val="none" w:sz="0" w:space="0" w:color="auto"/>
            <w:left w:val="none" w:sz="0" w:space="0" w:color="auto"/>
            <w:bottom w:val="none" w:sz="0" w:space="0" w:color="auto"/>
            <w:right w:val="none" w:sz="0" w:space="0" w:color="auto"/>
          </w:divBdr>
        </w:div>
        <w:div w:id="1800415962">
          <w:marLeft w:val="480"/>
          <w:marRight w:val="0"/>
          <w:marTop w:val="0"/>
          <w:marBottom w:val="0"/>
          <w:divBdr>
            <w:top w:val="none" w:sz="0" w:space="0" w:color="auto"/>
            <w:left w:val="none" w:sz="0" w:space="0" w:color="auto"/>
            <w:bottom w:val="none" w:sz="0" w:space="0" w:color="auto"/>
            <w:right w:val="none" w:sz="0" w:space="0" w:color="auto"/>
          </w:divBdr>
        </w:div>
        <w:div w:id="250314001">
          <w:marLeft w:val="480"/>
          <w:marRight w:val="0"/>
          <w:marTop w:val="0"/>
          <w:marBottom w:val="0"/>
          <w:divBdr>
            <w:top w:val="none" w:sz="0" w:space="0" w:color="auto"/>
            <w:left w:val="none" w:sz="0" w:space="0" w:color="auto"/>
            <w:bottom w:val="none" w:sz="0" w:space="0" w:color="auto"/>
            <w:right w:val="none" w:sz="0" w:space="0" w:color="auto"/>
          </w:divBdr>
        </w:div>
        <w:div w:id="776945254">
          <w:marLeft w:val="480"/>
          <w:marRight w:val="0"/>
          <w:marTop w:val="0"/>
          <w:marBottom w:val="0"/>
          <w:divBdr>
            <w:top w:val="none" w:sz="0" w:space="0" w:color="auto"/>
            <w:left w:val="none" w:sz="0" w:space="0" w:color="auto"/>
            <w:bottom w:val="none" w:sz="0" w:space="0" w:color="auto"/>
            <w:right w:val="none" w:sz="0" w:space="0" w:color="auto"/>
          </w:divBdr>
        </w:div>
        <w:div w:id="1396271309">
          <w:marLeft w:val="480"/>
          <w:marRight w:val="0"/>
          <w:marTop w:val="0"/>
          <w:marBottom w:val="0"/>
          <w:divBdr>
            <w:top w:val="none" w:sz="0" w:space="0" w:color="auto"/>
            <w:left w:val="none" w:sz="0" w:space="0" w:color="auto"/>
            <w:bottom w:val="none" w:sz="0" w:space="0" w:color="auto"/>
            <w:right w:val="none" w:sz="0" w:space="0" w:color="auto"/>
          </w:divBdr>
        </w:div>
        <w:div w:id="1938097660">
          <w:marLeft w:val="480"/>
          <w:marRight w:val="0"/>
          <w:marTop w:val="0"/>
          <w:marBottom w:val="0"/>
          <w:divBdr>
            <w:top w:val="none" w:sz="0" w:space="0" w:color="auto"/>
            <w:left w:val="none" w:sz="0" w:space="0" w:color="auto"/>
            <w:bottom w:val="none" w:sz="0" w:space="0" w:color="auto"/>
            <w:right w:val="none" w:sz="0" w:space="0" w:color="auto"/>
          </w:divBdr>
        </w:div>
        <w:div w:id="520894751">
          <w:marLeft w:val="480"/>
          <w:marRight w:val="0"/>
          <w:marTop w:val="0"/>
          <w:marBottom w:val="0"/>
          <w:divBdr>
            <w:top w:val="none" w:sz="0" w:space="0" w:color="auto"/>
            <w:left w:val="none" w:sz="0" w:space="0" w:color="auto"/>
            <w:bottom w:val="none" w:sz="0" w:space="0" w:color="auto"/>
            <w:right w:val="none" w:sz="0" w:space="0" w:color="auto"/>
          </w:divBdr>
        </w:div>
        <w:div w:id="458648207">
          <w:marLeft w:val="480"/>
          <w:marRight w:val="0"/>
          <w:marTop w:val="0"/>
          <w:marBottom w:val="0"/>
          <w:divBdr>
            <w:top w:val="none" w:sz="0" w:space="0" w:color="auto"/>
            <w:left w:val="none" w:sz="0" w:space="0" w:color="auto"/>
            <w:bottom w:val="none" w:sz="0" w:space="0" w:color="auto"/>
            <w:right w:val="none" w:sz="0" w:space="0" w:color="auto"/>
          </w:divBdr>
        </w:div>
      </w:divsChild>
    </w:div>
    <w:div w:id="1875189490">
      <w:bodyDiv w:val="1"/>
      <w:marLeft w:val="0"/>
      <w:marRight w:val="0"/>
      <w:marTop w:val="0"/>
      <w:marBottom w:val="0"/>
      <w:divBdr>
        <w:top w:val="none" w:sz="0" w:space="0" w:color="auto"/>
        <w:left w:val="none" w:sz="0" w:space="0" w:color="auto"/>
        <w:bottom w:val="none" w:sz="0" w:space="0" w:color="auto"/>
        <w:right w:val="none" w:sz="0" w:space="0" w:color="auto"/>
      </w:divBdr>
    </w:div>
    <w:div w:id="1875263984">
      <w:bodyDiv w:val="1"/>
      <w:marLeft w:val="0"/>
      <w:marRight w:val="0"/>
      <w:marTop w:val="0"/>
      <w:marBottom w:val="0"/>
      <w:divBdr>
        <w:top w:val="none" w:sz="0" w:space="0" w:color="auto"/>
        <w:left w:val="none" w:sz="0" w:space="0" w:color="auto"/>
        <w:bottom w:val="none" w:sz="0" w:space="0" w:color="auto"/>
        <w:right w:val="none" w:sz="0" w:space="0" w:color="auto"/>
      </w:divBdr>
    </w:div>
    <w:div w:id="1876306246">
      <w:bodyDiv w:val="1"/>
      <w:marLeft w:val="0"/>
      <w:marRight w:val="0"/>
      <w:marTop w:val="0"/>
      <w:marBottom w:val="0"/>
      <w:divBdr>
        <w:top w:val="none" w:sz="0" w:space="0" w:color="auto"/>
        <w:left w:val="none" w:sz="0" w:space="0" w:color="auto"/>
        <w:bottom w:val="none" w:sz="0" w:space="0" w:color="auto"/>
        <w:right w:val="none" w:sz="0" w:space="0" w:color="auto"/>
      </w:divBdr>
    </w:div>
    <w:div w:id="1876387639">
      <w:bodyDiv w:val="1"/>
      <w:marLeft w:val="0"/>
      <w:marRight w:val="0"/>
      <w:marTop w:val="0"/>
      <w:marBottom w:val="0"/>
      <w:divBdr>
        <w:top w:val="none" w:sz="0" w:space="0" w:color="auto"/>
        <w:left w:val="none" w:sz="0" w:space="0" w:color="auto"/>
        <w:bottom w:val="none" w:sz="0" w:space="0" w:color="auto"/>
        <w:right w:val="none" w:sz="0" w:space="0" w:color="auto"/>
      </w:divBdr>
    </w:div>
    <w:div w:id="1876431475">
      <w:bodyDiv w:val="1"/>
      <w:marLeft w:val="0"/>
      <w:marRight w:val="0"/>
      <w:marTop w:val="0"/>
      <w:marBottom w:val="0"/>
      <w:divBdr>
        <w:top w:val="none" w:sz="0" w:space="0" w:color="auto"/>
        <w:left w:val="none" w:sz="0" w:space="0" w:color="auto"/>
        <w:bottom w:val="none" w:sz="0" w:space="0" w:color="auto"/>
        <w:right w:val="none" w:sz="0" w:space="0" w:color="auto"/>
      </w:divBdr>
    </w:div>
    <w:div w:id="1878661605">
      <w:bodyDiv w:val="1"/>
      <w:marLeft w:val="0"/>
      <w:marRight w:val="0"/>
      <w:marTop w:val="0"/>
      <w:marBottom w:val="0"/>
      <w:divBdr>
        <w:top w:val="none" w:sz="0" w:space="0" w:color="auto"/>
        <w:left w:val="none" w:sz="0" w:space="0" w:color="auto"/>
        <w:bottom w:val="none" w:sz="0" w:space="0" w:color="auto"/>
        <w:right w:val="none" w:sz="0" w:space="0" w:color="auto"/>
      </w:divBdr>
    </w:div>
    <w:div w:id="1878856982">
      <w:bodyDiv w:val="1"/>
      <w:marLeft w:val="0"/>
      <w:marRight w:val="0"/>
      <w:marTop w:val="0"/>
      <w:marBottom w:val="0"/>
      <w:divBdr>
        <w:top w:val="none" w:sz="0" w:space="0" w:color="auto"/>
        <w:left w:val="none" w:sz="0" w:space="0" w:color="auto"/>
        <w:bottom w:val="none" w:sz="0" w:space="0" w:color="auto"/>
        <w:right w:val="none" w:sz="0" w:space="0" w:color="auto"/>
      </w:divBdr>
    </w:div>
    <w:div w:id="1879122939">
      <w:bodyDiv w:val="1"/>
      <w:marLeft w:val="0"/>
      <w:marRight w:val="0"/>
      <w:marTop w:val="0"/>
      <w:marBottom w:val="0"/>
      <w:divBdr>
        <w:top w:val="none" w:sz="0" w:space="0" w:color="auto"/>
        <w:left w:val="none" w:sz="0" w:space="0" w:color="auto"/>
        <w:bottom w:val="none" w:sz="0" w:space="0" w:color="auto"/>
        <w:right w:val="none" w:sz="0" w:space="0" w:color="auto"/>
      </w:divBdr>
    </w:div>
    <w:div w:id="1880244263">
      <w:bodyDiv w:val="1"/>
      <w:marLeft w:val="0"/>
      <w:marRight w:val="0"/>
      <w:marTop w:val="0"/>
      <w:marBottom w:val="0"/>
      <w:divBdr>
        <w:top w:val="none" w:sz="0" w:space="0" w:color="auto"/>
        <w:left w:val="none" w:sz="0" w:space="0" w:color="auto"/>
        <w:bottom w:val="none" w:sz="0" w:space="0" w:color="auto"/>
        <w:right w:val="none" w:sz="0" w:space="0" w:color="auto"/>
      </w:divBdr>
    </w:div>
    <w:div w:id="1880505447">
      <w:bodyDiv w:val="1"/>
      <w:marLeft w:val="0"/>
      <w:marRight w:val="0"/>
      <w:marTop w:val="0"/>
      <w:marBottom w:val="0"/>
      <w:divBdr>
        <w:top w:val="none" w:sz="0" w:space="0" w:color="auto"/>
        <w:left w:val="none" w:sz="0" w:space="0" w:color="auto"/>
        <w:bottom w:val="none" w:sz="0" w:space="0" w:color="auto"/>
        <w:right w:val="none" w:sz="0" w:space="0" w:color="auto"/>
      </w:divBdr>
    </w:div>
    <w:div w:id="1880632190">
      <w:bodyDiv w:val="1"/>
      <w:marLeft w:val="0"/>
      <w:marRight w:val="0"/>
      <w:marTop w:val="0"/>
      <w:marBottom w:val="0"/>
      <w:divBdr>
        <w:top w:val="none" w:sz="0" w:space="0" w:color="auto"/>
        <w:left w:val="none" w:sz="0" w:space="0" w:color="auto"/>
        <w:bottom w:val="none" w:sz="0" w:space="0" w:color="auto"/>
        <w:right w:val="none" w:sz="0" w:space="0" w:color="auto"/>
      </w:divBdr>
    </w:div>
    <w:div w:id="1881503932">
      <w:bodyDiv w:val="1"/>
      <w:marLeft w:val="0"/>
      <w:marRight w:val="0"/>
      <w:marTop w:val="0"/>
      <w:marBottom w:val="0"/>
      <w:divBdr>
        <w:top w:val="none" w:sz="0" w:space="0" w:color="auto"/>
        <w:left w:val="none" w:sz="0" w:space="0" w:color="auto"/>
        <w:bottom w:val="none" w:sz="0" w:space="0" w:color="auto"/>
        <w:right w:val="none" w:sz="0" w:space="0" w:color="auto"/>
      </w:divBdr>
    </w:div>
    <w:div w:id="1881553446">
      <w:bodyDiv w:val="1"/>
      <w:marLeft w:val="0"/>
      <w:marRight w:val="0"/>
      <w:marTop w:val="0"/>
      <w:marBottom w:val="0"/>
      <w:divBdr>
        <w:top w:val="none" w:sz="0" w:space="0" w:color="auto"/>
        <w:left w:val="none" w:sz="0" w:space="0" w:color="auto"/>
        <w:bottom w:val="none" w:sz="0" w:space="0" w:color="auto"/>
        <w:right w:val="none" w:sz="0" w:space="0" w:color="auto"/>
      </w:divBdr>
    </w:div>
    <w:div w:id="1883052363">
      <w:bodyDiv w:val="1"/>
      <w:marLeft w:val="0"/>
      <w:marRight w:val="0"/>
      <w:marTop w:val="0"/>
      <w:marBottom w:val="0"/>
      <w:divBdr>
        <w:top w:val="none" w:sz="0" w:space="0" w:color="auto"/>
        <w:left w:val="none" w:sz="0" w:space="0" w:color="auto"/>
        <w:bottom w:val="none" w:sz="0" w:space="0" w:color="auto"/>
        <w:right w:val="none" w:sz="0" w:space="0" w:color="auto"/>
      </w:divBdr>
    </w:div>
    <w:div w:id="1883441617">
      <w:bodyDiv w:val="1"/>
      <w:marLeft w:val="0"/>
      <w:marRight w:val="0"/>
      <w:marTop w:val="0"/>
      <w:marBottom w:val="0"/>
      <w:divBdr>
        <w:top w:val="none" w:sz="0" w:space="0" w:color="auto"/>
        <w:left w:val="none" w:sz="0" w:space="0" w:color="auto"/>
        <w:bottom w:val="none" w:sz="0" w:space="0" w:color="auto"/>
        <w:right w:val="none" w:sz="0" w:space="0" w:color="auto"/>
      </w:divBdr>
    </w:div>
    <w:div w:id="1884125832">
      <w:bodyDiv w:val="1"/>
      <w:marLeft w:val="0"/>
      <w:marRight w:val="0"/>
      <w:marTop w:val="0"/>
      <w:marBottom w:val="0"/>
      <w:divBdr>
        <w:top w:val="none" w:sz="0" w:space="0" w:color="auto"/>
        <w:left w:val="none" w:sz="0" w:space="0" w:color="auto"/>
        <w:bottom w:val="none" w:sz="0" w:space="0" w:color="auto"/>
        <w:right w:val="none" w:sz="0" w:space="0" w:color="auto"/>
      </w:divBdr>
    </w:div>
    <w:div w:id="1885288568">
      <w:bodyDiv w:val="1"/>
      <w:marLeft w:val="0"/>
      <w:marRight w:val="0"/>
      <w:marTop w:val="0"/>
      <w:marBottom w:val="0"/>
      <w:divBdr>
        <w:top w:val="none" w:sz="0" w:space="0" w:color="auto"/>
        <w:left w:val="none" w:sz="0" w:space="0" w:color="auto"/>
        <w:bottom w:val="none" w:sz="0" w:space="0" w:color="auto"/>
        <w:right w:val="none" w:sz="0" w:space="0" w:color="auto"/>
      </w:divBdr>
    </w:div>
    <w:div w:id="1885364894">
      <w:bodyDiv w:val="1"/>
      <w:marLeft w:val="0"/>
      <w:marRight w:val="0"/>
      <w:marTop w:val="0"/>
      <w:marBottom w:val="0"/>
      <w:divBdr>
        <w:top w:val="none" w:sz="0" w:space="0" w:color="auto"/>
        <w:left w:val="none" w:sz="0" w:space="0" w:color="auto"/>
        <w:bottom w:val="none" w:sz="0" w:space="0" w:color="auto"/>
        <w:right w:val="none" w:sz="0" w:space="0" w:color="auto"/>
      </w:divBdr>
    </w:div>
    <w:div w:id="1885368625">
      <w:bodyDiv w:val="1"/>
      <w:marLeft w:val="0"/>
      <w:marRight w:val="0"/>
      <w:marTop w:val="0"/>
      <w:marBottom w:val="0"/>
      <w:divBdr>
        <w:top w:val="none" w:sz="0" w:space="0" w:color="auto"/>
        <w:left w:val="none" w:sz="0" w:space="0" w:color="auto"/>
        <w:bottom w:val="none" w:sz="0" w:space="0" w:color="auto"/>
        <w:right w:val="none" w:sz="0" w:space="0" w:color="auto"/>
      </w:divBdr>
    </w:div>
    <w:div w:id="1885872549">
      <w:bodyDiv w:val="1"/>
      <w:marLeft w:val="0"/>
      <w:marRight w:val="0"/>
      <w:marTop w:val="0"/>
      <w:marBottom w:val="0"/>
      <w:divBdr>
        <w:top w:val="none" w:sz="0" w:space="0" w:color="auto"/>
        <w:left w:val="none" w:sz="0" w:space="0" w:color="auto"/>
        <w:bottom w:val="none" w:sz="0" w:space="0" w:color="auto"/>
        <w:right w:val="none" w:sz="0" w:space="0" w:color="auto"/>
      </w:divBdr>
    </w:div>
    <w:div w:id="1886334155">
      <w:bodyDiv w:val="1"/>
      <w:marLeft w:val="0"/>
      <w:marRight w:val="0"/>
      <w:marTop w:val="0"/>
      <w:marBottom w:val="0"/>
      <w:divBdr>
        <w:top w:val="none" w:sz="0" w:space="0" w:color="auto"/>
        <w:left w:val="none" w:sz="0" w:space="0" w:color="auto"/>
        <w:bottom w:val="none" w:sz="0" w:space="0" w:color="auto"/>
        <w:right w:val="none" w:sz="0" w:space="0" w:color="auto"/>
      </w:divBdr>
    </w:div>
    <w:div w:id="1886454286">
      <w:bodyDiv w:val="1"/>
      <w:marLeft w:val="0"/>
      <w:marRight w:val="0"/>
      <w:marTop w:val="0"/>
      <w:marBottom w:val="0"/>
      <w:divBdr>
        <w:top w:val="none" w:sz="0" w:space="0" w:color="auto"/>
        <w:left w:val="none" w:sz="0" w:space="0" w:color="auto"/>
        <w:bottom w:val="none" w:sz="0" w:space="0" w:color="auto"/>
        <w:right w:val="none" w:sz="0" w:space="0" w:color="auto"/>
      </w:divBdr>
    </w:div>
    <w:div w:id="1886676167">
      <w:bodyDiv w:val="1"/>
      <w:marLeft w:val="0"/>
      <w:marRight w:val="0"/>
      <w:marTop w:val="0"/>
      <w:marBottom w:val="0"/>
      <w:divBdr>
        <w:top w:val="none" w:sz="0" w:space="0" w:color="auto"/>
        <w:left w:val="none" w:sz="0" w:space="0" w:color="auto"/>
        <w:bottom w:val="none" w:sz="0" w:space="0" w:color="auto"/>
        <w:right w:val="none" w:sz="0" w:space="0" w:color="auto"/>
      </w:divBdr>
    </w:div>
    <w:div w:id="1889147511">
      <w:bodyDiv w:val="1"/>
      <w:marLeft w:val="0"/>
      <w:marRight w:val="0"/>
      <w:marTop w:val="0"/>
      <w:marBottom w:val="0"/>
      <w:divBdr>
        <w:top w:val="none" w:sz="0" w:space="0" w:color="auto"/>
        <w:left w:val="none" w:sz="0" w:space="0" w:color="auto"/>
        <w:bottom w:val="none" w:sz="0" w:space="0" w:color="auto"/>
        <w:right w:val="none" w:sz="0" w:space="0" w:color="auto"/>
      </w:divBdr>
    </w:div>
    <w:div w:id="1889953961">
      <w:bodyDiv w:val="1"/>
      <w:marLeft w:val="0"/>
      <w:marRight w:val="0"/>
      <w:marTop w:val="0"/>
      <w:marBottom w:val="0"/>
      <w:divBdr>
        <w:top w:val="none" w:sz="0" w:space="0" w:color="auto"/>
        <w:left w:val="none" w:sz="0" w:space="0" w:color="auto"/>
        <w:bottom w:val="none" w:sz="0" w:space="0" w:color="auto"/>
        <w:right w:val="none" w:sz="0" w:space="0" w:color="auto"/>
      </w:divBdr>
    </w:div>
    <w:div w:id="1891727819">
      <w:bodyDiv w:val="1"/>
      <w:marLeft w:val="0"/>
      <w:marRight w:val="0"/>
      <w:marTop w:val="0"/>
      <w:marBottom w:val="0"/>
      <w:divBdr>
        <w:top w:val="none" w:sz="0" w:space="0" w:color="auto"/>
        <w:left w:val="none" w:sz="0" w:space="0" w:color="auto"/>
        <w:bottom w:val="none" w:sz="0" w:space="0" w:color="auto"/>
        <w:right w:val="none" w:sz="0" w:space="0" w:color="auto"/>
      </w:divBdr>
    </w:div>
    <w:div w:id="1891845535">
      <w:bodyDiv w:val="1"/>
      <w:marLeft w:val="0"/>
      <w:marRight w:val="0"/>
      <w:marTop w:val="0"/>
      <w:marBottom w:val="0"/>
      <w:divBdr>
        <w:top w:val="none" w:sz="0" w:space="0" w:color="auto"/>
        <w:left w:val="none" w:sz="0" w:space="0" w:color="auto"/>
        <w:bottom w:val="none" w:sz="0" w:space="0" w:color="auto"/>
        <w:right w:val="none" w:sz="0" w:space="0" w:color="auto"/>
      </w:divBdr>
    </w:div>
    <w:div w:id="1891988820">
      <w:bodyDiv w:val="1"/>
      <w:marLeft w:val="0"/>
      <w:marRight w:val="0"/>
      <w:marTop w:val="0"/>
      <w:marBottom w:val="0"/>
      <w:divBdr>
        <w:top w:val="none" w:sz="0" w:space="0" w:color="auto"/>
        <w:left w:val="none" w:sz="0" w:space="0" w:color="auto"/>
        <w:bottom w:val="none" w:sz="0" w:space="0" w:color="auto"/>
        <w:right w:val="none" w:sz="0" w:space="0" w:color="auto"/>
      </w:divBdr>
    </w:div>
    <w:div w:id="1892229401">
      <w:bodyDiv w:val="1"/>
      <w:marLeft w:val="0"/>
      <w:marRight w:val="0"/>
      <w:marTop w:val="0"/>
      <w:marBottom w:val="0"/>
      <w:divBdr>
        <w:top w:val="none" w:sz="0" w:space="0" w:color="auto"/>
        <w:left w:val="none" w:sz="0" w:space="0" w:color="auto"/>
        <w:bottom w:val="none" w:sz="0" w:space="0" w:color="auto"/>
        <w:right w:val="none" w:sz="0" w:space="0" w:color="auto"/>
      </w:divBdr>
    </w:div>
    <w:div w:id="1893032134">
      <w:bodyDiv w:val="1"/>
      <w:marLeft w:val="0"/>
      <w:marRight w:val="0"/>
      <w:marTop w:val="0"/>
      <w:marBottom w:val="0"/>
      <w:divBdr>
        <w:top w:val="none" w:sz="0" w:space="0" w:color="auto"/>
        <w:left w:val="none" w:sz="0" w:space="0" w:color="auto"/>
        <w:bottom w:val="none" w:sz="0" w:space="0" w:color="auto"/>
        <w:right w:val="none" w:sz="0" w:space="0" w:color="auto"/>
      </w:divBdr>
    </w:div>
    <w:div w:id="1893420394">
      <w:bodyDiv w:val="1"/>
      <w:marLeft w:val="0"/>
      <w:marRight w:val="0"/>
      <w:marTop w:val="0"/>
      <w:marBottom w:val="0"/>
      <w:divBdr>
        <w:top w:val="none" w:sz="0" w:space="0" w:color="auto"/>
        <w:left w:val="none" w:sz="0" w:space="0" w:color="auto"/>
        <w:bottom w:val="none" w:sz="0" w:space="0" w:color="auto"/>
        <w:right w:val="none" w:sz="0" w:space="0" w:color="auto"/>
      </w:divBdr>
    </w:div>
    <w:div w:id="1893421385">
      <w:bodyDiv w:val="1"/>
      <w:marLeft w:val="0"/>
      <w:marRight w:val="0"/>
      <w:marTop w:val="0"/>
      <w:marBottom w:val="0"/>
      <w:divBdr>
        <w:top w:val="none" w:sz="0" w:space="0" w:color="auto"/>
        <w:left w:val="none" w:sz="0" w:space="0" w:color="auto"/>
        <w:bottom w:val="none" w:sz="0" w:space="0" w:color="auto"/>
        <w:right w:val="none" w:sz="0" w:space="0" w:color="auto"/>
      </w:divBdr>
    </w:div>
    <w:div w:id="1895003152">
      <w:bodyDiv w:val="1"/>
      <w:marLeft w:val="0"/>
      <w:marRight w:val="0"/>
      <w:marTop w:val="0"/>
      <w:marBottom w:val="0"/>
      <w:divBdr>
        <w:top w:val="none" w:sz="0" w:space="0" w:color="auto"/>
        <w:left w:val="none" w:sz="0" w:space="0" w:color="auto"/>
        <w:bottom w:val="none" w:sz="0" w:space="0" w:color="auto"/>
        <w:right w:val="none" w:sz="0" w:space="0" w:color="auto"/>
      </w:divBdr>
    </w:div>
    <w:div w:id="1895502711">
      <w:bodyDiv w:val="1"/>
      <w:marLeft w:val="0"/>
      <w:marRight w:val="0"/>
      <w:marTop w:val="0"/>
      <w:marBottom w:val="0"/>
      <w:divBdr>
        <w:top w:val="none" w:sz="0" w:space="0" w:color="auto"/>
        <w:left w:val="none" w:sz="0" w:space="0" w:color="auto"/>
        <w:bottom w:val="none" w:sz="0" w:space="0" w:color="auto"/>
        <w:right w:val="none" w:sz="0" w:space="0" w:color="auto"/>
      </w:divBdr>
    </w:div>
    <w:div w:id="1895701128">
      <w:bodyDiv w:val="1"/>
      <w:marLeft w:val="0"/>
      <w:marRight w:val="0"/>
      <w:marTop w:val="0"/>
      <w:marBottom w:val="0"/>
      <w:divBdr>
        <w:top w:val="none" w:sz="0" w:space="0" w:color="auto"/>
        <w:left w:val="none" w:sz="0" w:space="0" w:color="auto"/>
        <w:bottom w:val="none" w:sz="0" w:space="0" w:color="auto"/>
        <w:right w:val="none" w:sz="0" w:space="0" w:color="auto"/>
      </w:divBdr>
    </w:div>
    <w:div w:id="1896038881">
      <w:bodyDiv w:val="1"/>
      <w:marLeft w:val="0"/>
      <w:marRight w:val="0"/>
      <w:marTop w:val="0"/>
      <w:marBottom w:val="0"/>
      <w:divBdr>
        <w:top w:val="none" w:sz="0" w:space="0" w:color="auto"/>
        <w:left w:val="none" w:sz="0" w:space="0" w:color="auto"/>
        <w:bottom w:val="none" w:sz="0" w:space="0" w:color="auto"/>
        <w:right w:val="none" w:sz="0" w:space="0" w:color="auto"/>
      </w:divBdr>
    </w:div>
    <w:div w:id="1896158982">
      <w:bodyDiv w:val="1"/>
      <w:marLeft w:val="0"/>
      <w:marRight w:val="0"/>
      <w:marTop w:val="0"/>
      <w:marBottom w:val="0"/>
      <w:divBdr>
        <w:top w:val="none" w:sz="0" w:space="0" w:color="auto"/>
        <w:left w:val="none" w:sz="0" w:space="0" w:color="auto"/>
        <w:bottom w:val="none" w:sz="0" w:space="0" w:color="auto"/>
        <w:right w:val="none" w:sz="0" w:space="0" w:color="auto"/>
      </w:divBdr>
    </w:div>
    <w:div w:id="1896161282">
      <w:bodyDiv w:val="1"/>
      <w:marLeft w:val="0"/>
      <w:marRight w:val="0"/>
      <w:marTop w:val="0"/>
      <w:marBottom w:val="0"/>
      <w:divBdr>
        <w:top w:val="none" w:sz="0" w:space="0" w:color="auto"/>
        <w:left w:val="none" w:sz="0" w:space="0" w:color="auto"/>
        <w:bottom w:val="none" w:sz="0" w:space="0" w:color="auto"/>
        <w:right w:val="none" w:sz="0" w:space="0" w:color="auto"/>
      </w:divBdr>
    </w:div>
    <w:div w:id="1896963572">
      <w:bodyDiv w:val="1"/>
      <w:marLeft w:val="0"/>
      <w:marRight w:val="0"/>
      <w:marTop w:val="0"/>
      <w:marBottom w:val="0"/>
      <w:divBdr>
        <w:top w:val="none" w:sz="0" w:space="0" w:color="auto"/>
        <w:left w:val="none" w:sz="0" w:space="0" w:color="auto"/>
        <w:bottom w:val="none" w:sz="0" w:space="0" w:color="auto"/>
        <w:right w:val="none" w:sz="0" w:space="0" w:color="auto"/>
      </w:divBdr>
    </w:div>
    <w:div w:id="1897351480">
      <w:bodyDiv w:val="1"/>
      <w:marLeft w:val="0"/>
      <w:marRight w:val="0"/>
      <w:marTop w:val="0"/>
      <w:marBottom w:val="0"/>
      <w:divBdr>
        <w:top w:val="none" w:sz="0" w:space="0" w:color="auto"/>
        <w:left w:val="none" w:sz="0" w:space="0" w:color="auto"/>
        <w:bottom w:val="none" w:sz="0" w:space="0" w:color="auto"/>
        <w:right w:val="none" w:sz="0" w:space="0" w:color="auto"/>
      </w:divBdr>
    </w:div>
    <w:div w:id="1897355591">
      <w:bodyDiv w:val="1"/>
      <w:marLeft w:val="0"/>
      <w:marRight w:val="0"/>
      <w:marTop w:val="0"/>
      <w:marBottom w:val="0"/>
      <w:divBdr>
        <w:top w:val="none" w:sz="0" w:space="0" w:color="auto"/>
        <w:left w:val="none" w:sz="0" w:space="0" w:color="auto"/>
        <w:bottom w:val="none" w:sz="0" w:space="0" w:color="auto"/>
        <w:right w:val="none" w:sz="0" w:space="0" w:color="auto"/>
      </w:divBdr>
    </w:div>
    <w:div w:id="1897470453">
      <w:bodyDiv w:val="1"/>
      <w:marLeft w:val="0"/>
      <w:marRight w:val="0"/>
      <w:marTop w:val="0"/>
      <w:marBottom w:val="0"/>
      <w:divBdr>
        <w:top w:val="none" w:sz="0" w:space="0" w:color="auto"/>
        <w:left w:val="none" w:sz="0" w:space="0" w:color="auto"/>
        <w:bottom w:val="none" w:sz="0" w:space="0" w:color="auto"/>
        <w:right w:val="none" w:sz="0" w:space="0" w:color="auto"/>
      </w:divBdr>
    </w:div>
    <w:div w:id="1897546550">
      <w:bodyDiv w:val="1"/>
      <w:marLeft w:val="0"/>
      <w:marRight w:val="0"/>
      <w:marTop w:val="0"/>
      <w:marBottom w:val="0"/>
      <w:divBdr>
        <w:top w:val="none" w:sz="0" w:space="0" w:color="auto"/>
        <w:left w:val="none" w:sz="0" w:space="0" w:color="auto"/>
        <w:bottom w:val="none" w:sz="0" w:space="0" w:color="auto"/>
        <w:right w:val="none" w:sz="0" w:space="0" w:color="auto"/>
      </w:divBdr>
    </w:div>
    <w:div w:id="1898392533">
      <w:bodyDiv w:val="1"/>
      <w:marLeft w:val="0"/>
      <w:marRight w:val="0"/>
      <w:marTop w:val="0"/>
      <w:marBottom w:val="0"/>
      <w:divBdr>
        <w:top w:val="none" w:sz="0" w:space="0" w:color="auto"/>
        <w:left w:val="none" w:sz="0" w:space="0" w:color="auto"/>
        <w:bottom w:val="none" w:sz="0" w:space="0" w:color="auto"/>
        <w:right w:val="none" w:sz="0" w:space="0" w:color="auto"/>
      </w:divBdr>
    </w:div>
    <w:div w:id="1898515370">
      <w:bodyDiv w:val="1"/>
      <w:marLeft w:val="0"/>
      <w:marRight w:val="0"/>
      <w:marTop w:val="0"/>
      <w:marBottom w:val="0"/>
      <w:divBdr>
        <w:top w:val="none" w:sz="0" w:space="0" w:color="auto"/>
        <w:left w:val="none" w:sz="0" w:space="0" w:color="auto"/>
        <w:bottom w:val="none" w:sz="0" w:space="0" w:color="auto"/>
        <w:right w:val="none" w:sz="0" w:space="0" w:color="auto"/>
      </w:divBdr>
    </w:div>
    <w:div w:id="1899709723">
      <w:bodyDiv w:val="1"/>
      <w:marLeft w:val="0"/>
      <w:marRight w:val="0"/>
      <w:marTop w:val="0"/>
      <w:marBottom w:val="0"/>
      <w:divBdr>
        <w:top w:val="none" w:sz="0" w:space="0" w:color="auto"/>
        <w:left w:val="none" w:sz="0" w:space="0" w:color="auto"/>
        <w:bottom w:val="none" w:sz="0" w:space="0" w:color="auto"/>
        <w:right w:val="none" w:sz="0" w:space="0" w:color="auto"/>
      </w:divBdr>
    </w:div>
    <w:div w:id="1900241637">
      <w:bodyDiv w:val="1"/>
      <w:marLeft w:val="0"/>
      <w:marRight w:val="0"/>
      <w:marTop w:val="0"/>
      <w:marBottom w:val="0"/>
      <w:divBdr>
        <w:top w:val="none" w:sz="0" w:space="0" w:color="auto"/>
        <w:left w:val="none" w:sz="0" w:space="0" w:color="auto"/>
        <w:bottom w:val="none" w:sz="0" w:space="0" w:color="auto"/>
        <w:right w:val="none" w:sz="0" w:space="0" w:color="auto"/>
      </w:divBdr>
    </w:div>
    <w:div w:id="1900940946">
      <w:bodyDiv w:val="1"/>
      <w:marLeft w:val="0"/>
      <w:marRight w:val="0"/>
      <w:marTop w:val="0"/>
      <w:marBottom w:val="0"/>
      <w:divBdr>
        <w:top w:val="none" w:sz="0" w:space="0" w:color="auto"/>
        <w:left w:val="none" w:sz="0" w:space="0" w:color="auto"/>
        <w:bottom w:val="none" w:sz="0" w:space="0" w:color="auto"/>
        <w:right w:val="none" w:sz="0" w:space="0" w:color="auto"/>
      </w:divBdr>
    </w:div>
    <w:div w:id="1901094693">
      <w:bodyDiv w:val="1"/>
      <w:marLeft w:val="0"/>
      <w:marRight w:val="0"/>
      <w:marTop w:val="0"/>
      <w:marBottom w:val="0"/>
      <w:divBdr>
        <w:top w:val="none" w:sz="0" w:space="0" w:color="auto"/>
        <w:left w:val="none" w:sz="0" w:space="0" w:color="auto"/>
        <w:bottom w:val="none" w:sz="0" w:space="0" w:color="auto"/>
        <w:right w:val="none" w:sz="0" w:space="0" w:color="auto"/>
      </w:divBdr>
    </w:div>
    <w:div w:id="1901556023">
      <w:bodyDiv w:val="1"/>
      <w:marLeft w:val="0"/>
      <w:marRight w:val="0"/>
      <w:marTop w:val="0"/>
      <w:marBottom w:val="0"/>
      <w:divBdr>
        <w:top w:val="none" w:sz="0" w:space="0" w:color="auto"/>
        <w:left w:val="none" w:sz="0" w:space="0" w:color="auto"/>
        <w:bottom w:val="none" w:sz="0" w:space="0" w:color="auto"/>
        <w:right w:val="none" w:sz="0" w:space="0" w:color="auto"/>
      </w:divBdr>
    </w:div>
    <w:div w:id="1902132212">
      <w:bodyDiv w:val="1"/>
      <w:marLeft w:val="0"/>
      <w:marRight w:val="0"/>
      <w:marTop w:val="0"/>
      <w:marBottom w:val="0"/>
      <w:divBdr>
        <w:top w:val="none" w:sz="0" w:space="0" w:color="auto"/>
        <w:left w:val="none" w:sz="0" w:space="0" w:color="auto"/>
        <w:bottom w:val="none" w:sz="0" w:space="0" w:color="auto"/>
        <w:right w:val="none" w:sz="0" w:space="0" w:color="auto"/>
      </w:divBdr>
    </w:div>
    <w:div w:id="1902519197">
      <w:bodyDiv w:val="1"/>
      <w:marLeft w:val="0"/>
      <w:marRight w:val="0"/>
      <w:marTop w:val="0"/>
      <w:marBottom w:val="0"/>
      <w:divBdr>
        <w:top w:val="none" w:sz="0" w:space="0" w:color="auto"/>
        <w:left w:val="none" w:sz="0" w:space="0" w:color="auto"/>
        <w:bottom w:val="none" w:sz="0" w:space="0" w:color="auto"/>
        <w:right w:val="none" w:sz="0" w:space="0" w:color="auto"/>
      </w:divBdr>
    </w:div>
    <w:div w:id="1903977583">
      <w:bodyDiv w:val="1"/>
      <w:marLeft w:val="0"/>
      <w:marRight w:val="0"/>
      <w:marTop w:val="0"/>
      <w:marBottom w:val="0"/>
      <w:divBdr>
        <w:top w:val="none" w:sz="0" w:space="0" w:color="auto"/>
        <w:left w:val="none" w:sz="0" w:space="0" w:color="auto"/>
        <w:bottom w:val="none" w:sz="0" w:space="0" w:color="auto"/>
        <w:right w:val="none" w:sz="0" w:space="0" w:color="auto"/>
      </w:divBdr>
    </w:div>
    <w:div w:id="1904413628">
      <w:bodyDiv w:val="1"/>
      <w:marLeft w:val="0"/>
      <w:marRight w:val="0"/>
      <w:marTop w:val="0"/>
      <w:marBottom w:val="0"/>
      <w:divBdr>
        <w:top w:val="none" w:sz="0" w:space="0" w:color="auto"/>
        <w:left w:val="none" w:sz="0" w:space="0" w:color="auto"/>
        <w:bottom w:val="none" w:sz="0" w:space="0" w:color="auto"/>
        <w:right w:val="none" w:sz="0" w:space="0" w:color="auto"/>
      </w:divBdr>
    </w:div>
    <w:div w:id="1904480852">
      <w:bodyDiv w:val="1"/>
      <w:marLeft w:val="0"/>
      <w:marRight w:val="0"/>
      <w:marTop w:val="0"/>
      <w:marBottom w:val="0"/>
      <w:divBdr>
        <w:top w:val="none" w:sz="0" w:space="0" w:color="auto"/>
        <w:left w:val="none" w:sz="0" w:space="0" w:color="auto"/>
        <w:bottom w:val="none" w:sz="0" w:space="0" w:color="auto"/>
        <w:right w:val="none" w:sz="0" w:space="0" w:color="auto"/>
      </w:divBdr>
    </w:div>
    <w:div w:id="1906141892">
      <w:bodyDiv w:val="1"/>
      <w:marLeft w:val="0"/>
      <w:marRight w:val="0"/>
      <w:marTop w:val="0"/>
      <w:marBottom w:val="0"/>
      <w:divBdr>
        <w:top w:val="none" w:sz="0" w:space="0" w:color="auto"/>
        <w:left w:val="none" w:sz="0" w:space="0" w:color="auto"/>
        <w:bottom w:val="none" w:sz="0" w:space="0" w:color="auto"/>
        <w:right w:val="none" w:sz="0" w:space="0" w:color="auto"/>
      </w:divBdr>
    </w:div>
    <w:div w:id="1906643391">
      <w:bodyDiv w:val="1"/>
      <w:marLeft w:val="0"/>
      <w:marRight w:val="0"/>
      <w:marTop w:val="0"/>
      <w:marBottom w:val="0"/>
      <w:divBdr>
        <w:top w:val="none" w:sz="0" w:space="0" w:color="auto"/>
        <w:left w:val="none" w:sz="0" w:space="0" w:color="auto"/>
        <w:bottom w:val="none" w:sz="0" w:space="0" w:color="auto"/>
        <w:right w:val="none" w:sz="0" w:space="0" w:color="auto"/>
      </w:divBdr>
      <w:divsChild>
        <w:div w:id="1687173377">
          <w:marLeft w:val="480"/>
          <w:marRight w:val="0"/>
          <w:marTop w:val="0"/>
          <w:marBottom w:val="0"/>
          <w:divBdr>
            <w:top w:val="none" w:sz="0" w:space="0" w:color="auto"/>
            <w:left w:val="none" w:sz="0" w:space="0" w:color="auto"/>
            <w:bottom w:val="none" w:sz="0" w:space="0" w:color="auto"/>
            <w:right w:val="none" w:sz="0" w:space="0" w:color="auto"/>
          </w:divBdr>
        </w:div>
        <w:div w:id="106506499">
          <w:marLeft w:val="480"/>
          <w:marRight w:val="0"/>
          <w:marTop w:val="0"/>
          <w:marBottom w:val="0"/>
          <w:divBdr>
            <w:top w:val="none" w:sz="0" w:space="0" w:color="auto"/>
            <w:left w:val="none" w:sz="0" w:space="0" w:color="auto"/>
            <w:bottom w:val="none" w:sz="0" w:space="0" w:color="auto"/>
            <w:right w:val="none" w:sz="0" w:space="0" w:color="auto"/>
          </w:divBdr>
        </w:div>
        <w:div w:id="70779225">
          <w:marLeft w:val="480"/>
          <w:marRight w:val="0"/>
          <w:marTop w:val="0"/>
          <w:marBottom w:val="0"/>
          <w:divBdr>
            <w:top w:val="none" w:sz="0" w:space="0" w:color="auto"/>
            <w:left w:val="none" w:sz="0" w:space="0" w:color="auto"/>
            <w:bottom w:val="none" w:sz="0" w:space="0" w:color="auto"/>
            <w:right w:val="none" w:sz="0" w:space="0" w:color="auto"/>
          </w:divBdr>
        </w:div>
        <w:div w:id="20937851">
          <w:marLeft w:val="480"/>
          <w:marRight w:val="0"/>
          <w:marTop w:val="0"/>
          <w:marBottom w:val="0"/>
          <w:divBdr>
            <w:top w:val="none" w:sz="0" w:space="0" w:color="auto"/>
            <w:left w:val="none" w:sz="0" w:space="0" w:color="auto"/>
            <w:bottom w:val="none" w:sz="0" w:space="0" w:color="auto"/>
            <w:right w:val="none" w:sz="0" w:space="0" w:color="auto"/>
          </w:divBdr>
        </w:div>
        <w:div w:id="476455130">
          <w:marLeft w:val="480"/>
          <w:marRight w:val="0"/>
          <w:marTop w:val="0"/>
          <w:marBottom w:val="0"/>
          <w:divBdr>
            <w:top w:val="none" w:sz="0" w:space="0" w:color="auto"/>
            <w:left w:val="none" w:sz="0" w:space="0" w:color="auto"/>
            <w:bottom w:val="none" w:sz="0" w:space="0" w:color="auto"/>
            <w:right w:val="none" w:sz="0" w:space="0" w:color="auto"/>
          </w:divBdr>
        </w:div>
        <w:div w:id="30420261">
          <w:marLeft w:val="480"/>
          <w:marRight w:val="0"/>
          <w:marTop w:val="0"/>
          <w:marBottom w:val="0"/>
          <w:divBdr>
            <w:top w:val="none" w:sz="0" w:space="0" w:color="auto"/>
            <w:left w:val="none" w:sz="0" w:space="0" w:color="auto"/>
            <w:bottom w:val="none" w:sz="0" w:space="0" w:color="auto"/>
            <w:right w:val="none" w:sz="0" w:space="0" w:color="auto"/>
          </w:divBdr>
        </w:div>
        <w:div w:id="257523549">
          <w:marLeft w:val="480"/>
          <w:marRight w:val="0"/>
          <w:marTop w:val="0"/>
          <w:marBottom w:val="0"/>
          <w:divBdr>
            <w:top w:val="none" w:sz="0" w:space="0" w:color="auto"/>
            <w:left w:val="none" w:sz="0" w:space="0" w:color="auto"/>
            <w:bottom w:val="none" w:sz="0" w:space="0" w:color="auto"/>
            <w:right w:val="none" w:sz="0" w:space="0" w:color="auto"/>
          </w:divBdr>
        </w:div>
        <w:div w:id="909266567">
          <w:marLeft w:val="480"/>
          <w:marRight w:val="0"/>
          <w:marTop w:val="0"/>
          <w:marBottom w:val="0"/>
          <w:divBdr>
            <w:top w:val="none" w:sz="0" w:space="0" w:color="auto"/>
            <w:left w:val="none" w:sz="0" w:space="0" w:color="auto"/>
            <w:bottom w:val="none" w:sz="0" w:space="0" w:color="auto"/>
            <w:right w:val="none" w:sz="0" w:space="0" w:color="auto"/>
          </w:divBdr>
        </w:div>
        <w:div w:id="710888118">
          <w:marLeft w:val="480"/>
          <w:marRight w:val="0"/>
          <w:marTop w:val="0"/>
          <w:marBottom w:val="0"/>
          <w:divBdr>
            <w:top w:val="none" w:sz="0" w:space="0" w:color="auto"/>
            <w:left w:val="none" w:sz="0" w:space="0" w:color="auto"/>
            <w:bottom w:val="none" w:sz="0" w:space="0" w:color="auto"/>
            <w:right w:val="none" w:sz="0" w:space="0" w:color="auto"/>
          </w:divBdr>
        </w:div>
        <w:div w:id="1682049956">
          <w:marLeft w:val="480"/>
          <w:marRight w:val="0"/>
          <w:marTop w:val="0"/>
          <w:marBottom w:val="0"/>
          <w:divBdr>
            <w:top w:val="none" w:sz="0" w:space="0" w:color="auto"/>
            <w:left w:val="none" w:sz="0" w:space="0" w:color="auto"/>
            <w:bottom w:val="none" w:sz="0" w:space="0" w:color="auto"/>
            <w:right w:val="none" w:sz="0" w:space="0" w:color="auto"/>
          </w:divBdr>
        </w:div>
        <w:div w:id="856970778">
          <w:marLeft w:val="480"/>
          <w:marRight w:val="0"/>
          <w:marTop w:val="0"/>
          <w:marBottom w:val="0"/>
          <w:divBdr>
            <w:top w:val="none" w:sz="0" w:space="0" w:color="auto"/>
            <w:left w:val="none" w:sz="0" w:space="0" w:color="auto"/>
            <w:bottom w:val="none" w:sz="0" w:space="0" w:color="auto"/>
            <w:right w:val="none" w:sz="0" w:space="0" w:color="auto"/>
          </w:divBdr>
        </w:div>
        <w:div w:id="960771759">
          <w:marLeft w:val="480"/>
          <w:marRight w:val="0"/>
          <w:marTop w:val="0"/>
          <w:marBottom w:val="0"/>
          <w:divBdr>
            <w:top w:val="none" w:sz="0" w:space="0" w:color="auto"/>
            <w:left w:val="none" w:sz="0" w:space="0" w:color="auto"/>
            <w:bottom w:val="none" w:sz="0" w:space="0" w:color="auto"/>
            <w:right w:val="none" w:sz="0" w:space="0" w:color="auto"/>
          </w:divBdr>
        </w:div>
        <w:div w:id="395320548">
          <w:marLeft w:val="480"/>
          <w:marRight w:val="0"/>
          <w:marTop w:val="0"/>
          <w:marBottom w:val="0"/>
          <w:divBdr>
            <w:top w:val="none" w:sz="0" w:space="0" w:color="auto"/>
            <w:left w:val="none" w:sz="0" w:space="0" w:color="auto"/>
            <w:bottom w:val="none" w:sz="0" w:space="0" w:color="auto"/>
            <w:right w:val="none" w:sz="0" w:space="0" w:color="auto"/>
          </w:divBdr>
        </w:div>
        <w:div w:id="614099871">
          <w:marLeft w:val="480"/>
          <w:marRight w:val="0"/>
          <w:marTop w:val="0"/>
          <w:marBottom w:val="0"/>
          <w:divBdr>
            <w:top w:val="none" w:sz="0" w:space="0" w:color="auto"/>
            <w:left w:val="none" w:sz="0" w:space="0" w:color="auto"/>
            <w:bottom w:val="none" w:sz="0" w:space="0" w:color="auto"/>
            <w:right w:val="none" w:sz="0" w:space="0" w:color="auto"/>
          </w:divBdr>
        </w:div>
        <w:div w:id="1901331058">
          <w:marLeft w:val="480"/>
          <w:marRight w:val="0"/>
          <w:marTop w:val="0"/>
          <w:marBottom w:val="0"/>
          <w:divBdr>
            <w:top w:val="none" w:sz="0" w:space="0" w:color="auto"/>
            <w:left w:val="none" w:sz="0" w:space="0" w:color="auto"/>
            <w:bottom w:val="none" w:sz="0" w:space="0" w:color="auto"/>
            <w:right w:val="none" w:sz="0" w:space="0" w:color="auto"/>
          </w:divBdr>
        </w:div>
        <w:div w:id="573662591">
          <w:marLeft w:val="480"/>
          <w:marRight w:val="0"/>
          <w:marTop w:val="0"/>
          <w:marBottom w:val="0"/>
          <w:divBdr>
            <w:top w:val="none" w:sz="0" w:space="0" w:color="auto"/>
            <w:left w:val="none" w:sz="0" w:space="0" w:color="auto"/>
            <w:bottom w:val="none" w:sz="0" w:space="0" w:color="auto"/>
            <w:right w:val="none" w:sz="0" w:space="0" w:color="auto"/>
          </w:divBdr>
        </w:div>
        <w:div w:id="1734742457">
          <w:marLeft w:val="480"/>
          <w:marRight w:val="0"/>
          <w:marTop w:val="0"/>
          <w:marBottom w:val="0"/>
          <w:divBdr>
            <w:top w:val="none" w:sz="0" w:space="0" w:color="auto"/>
            <w:left w:val="none" w:sz="0" w:space="0" w:color="auto"/>
            <w:bottom w:val="none" w:sz="0" w:space="0" w:color="auto"/>
            <w:right w:val="none" w:sz="0" w:space="0" w:color="auto"/>
          </w:divBdr>
        </w:div>
        <w:div w:id="115756821">
          <w:marLeft w:val="480"/>
          <w:marRight w:val="0"/>
          <w:marTop w:val="0"/>
          <w:marBottom w:val="0"/>
          <w:divBdr>
            <w:top w:val="none" w:sz="0" w:space="0" w:color="auto"/>
            <w:left w:val="none" w:sz="0" w:space="0" w:color="auto"/>
            <w:bottom w:val="none" w:sz="0" w:space="0" w:color="auto"/>
            <w:right w:val="none" w:sz="0" w:space="0" w:color="auto"/>
          </w:divBdr>
        </w:div>
        <w:div w:id="885331513">
          <w:marLeft w:val="480"/>
          <w:marRight w:val="0"/>
          <w:marTop w:val="0"/>
          <w:marBottom w:val="0"/>
          <w:divBdr>
            <w:top w:val="none" w:sz="0" w:space="0" w:color="auto"/>
            <w:left w:val="none" w:sz="0" w:space="0" w:color="auto"/>
            <w:bottom w:val="none" w:sz="0" w:space="0" w:color="auto"/>
            <w:right w:val="none" w:sz="0" w:space="0" w:color="auto"/>
          </w:divBdr>
        </w:div>
        <w:div w:id="1709185497">
          <w:marLeft w:val="480"/>
          <w:marRight w:val="0"/>
          <w:marTop w:val="0"/>
          <w:marBottom w:val="0"/>
          <w:divBdr>
            <w:top w:val="none" w:sz="0" w:space="0" w:color="auto"/>
            <w:left w:val="none" w:sz="0" w:space="0" w:color="auto"/>
            <w:bottom w:val="none" w:sz="0" w:space="0" w:color="auto"/>
            <w:right w:val="none" w:sz="0" w:space="0" w:color="auto"/>
          </w:divBdr>
        </w:div>
        <w:div w:id="1829907353">
          <w:marLeft w:val="480"/>
          <w:marRight w:val="0"/>
          <w:marTop w:val="0"/>
          <w:marBottom w:val="0"/>
          <w:divBdr>
            <w:top w:val="none" w:sz="0" w:space="0" w:color="auto"/>
            <w:left w:val="none" w:sz="0" w:space="0" w:color="auto"/>
            <w:bottom w:val="none" w:sz="0" w:space="0" w:color="auto"/>
            <w:right w:val="none" w:sz="0" w:space="0" w:color="auto"/>
          </w:divBdr>
        </w:div>
        <w:div w:id="1113283738">
          <w:marLeft w:val="480"/>
          <w:marRight w:val="0"/>
          <w:marTop w:val="0"/>
          <w:marBottom w:val="0"/>
          <w:divBdr>
            <w:top w:val="none" w:sz="0" w:space="0" w:color="auto"/>
            <w:left w:val="none" w:sz="0" w:space="0" w:color="auto"/>
            <w:bottom w:val="none" w:sz="0" w:space="0" w:color="auto"/>
            <w:right w:val="none" w:sz="0" w:space="0" w:color="auto"/>
          </w:divBdr>
        </w:div>
        <w:div w:id="1154570015">
          <w:marLeft w:val="480"/>
          <w:marRight w:val="0"/>
          <w:marTop w:val="0"/>
          <w:marBottom w:val="0"/>
          <w:divBdr>
            <w:top w:val="none" w:sz="0" w:space="0" w:color="auto"/>
            <w:left w:val="none" w:sz="0" w:space="0" w:color="auto"/>
            <w:bottom w:val="none" w:sz="0" w:space="0" w:color="auto"/>
            <w:right w:val="none" w:sz="0" w:space="0" w:color="auto"/>
          </w:divBdr>
        </w:div>
        <w:div w:id="834876385">
          <w:marLeft w:val="480"/>
          <w:marRight w:val="0"/>
          <w:marTop w:val="0"/>
          <w:marBottom w:val="0"/>
          <w:divBdr>
            <w:top w:val="none" w:sz="0" w:space="0" w:color="auto"/>
            <w:left w:val="none" w:sz="0" w:space="0" w:color="auto"/>
            <w:bottom w:val="none" w:sz="0" w:space="0" w:color="auto"/>
            <w:right w:val="none" w:sz="0" w:space="0" w:color="auto"/>
          </w:divBdr>
        </w:div>
        <w:div w:id="838927305">
          <w:marLeft w:val="480"/>
          <w:marRight w:val="0"/>
          <w:marTop w:val="0"/>
          <w:marBottom w:val="0"/>
          <w:divBdr>
            <w:top w:val="none" w:sz="0" w:space="0" w:color="auto"/>
            <w:left w:val="none" w:sz="0" w:space="0" w:color="auto"/>
            <w:bottom w:val="none" w:sz="0" w:space="0" w:color="auto"/>
            <w:right w:val="none" w:sz="0" w:space="0" w:color="auto"/>
          </w:divBdr>
        </w:div>
        <w:div w:id="1176725858">
          <w:marLeft w:val="480"/>
          <w:marRight w:val="0"/>
          <w:marTop w:val="0"/>
          <w:marBottom w:val="0"/>
          <w:divBdr>
            <w:top w:val="none" w:sz="0" w:space="0" w:color="auto"/>
            <w:left w:val="none" w:sz="0" w:space="0" w:color="auto"/>
            <w:bottom w:val="none" w:sz="0" w:space="0" w:color="auto"/>
            <w:right w:val="none" w:sz="0" w:space="0" w:color="auto"/>
          </w:divBdr>
        </w:div>
        <w:div w:id="612633355">
          <w:marLeft w:val="480"/>
          <w:marRight w:val="0"/>
          <w:marTop w:val="0"/>
          <w:marBottom w:val="0"/>
          <w:divBdr>
            <w:top w:val="none" w:sz="0" w:space="0" w:color="auto"/>
            <w:left w:val="none" w:sz="0" w:space="0" w:color="auto"/>
            <w:bottom w:val="none" w:sz="0" w:space="0" w:color="auto"/>
            <w:right w:val="none" w:sz="0" w:space="0" w:color="auto"/>
          </w:divBdr>
        </w:div>
        <w:div w:id="277879346">
          <w:marLeft w:val="480"/>
          <w:marRight w:val="0"/>
          <w:marTop w:val="0"/>
          <w:marBottom w:val="0"/>
          <w:divBdr>
            <w:top w:val="none" w:sz="0" w:space="0" w:color="auto"/>
            <w:left w:val="none" w:sz="0" w:space="0" w:color="auto"/>
            <w:bottom w:val="none" w:sz="0" w:space="0" w:color="auto"/>
            <w:right w:val="none" w:sz="0" w:space="0" w:color="auto"/>
          </w:divBdr>
        </w:div>
        <w:div w:id="486243104">
          <w:marLeft w:val="480"/>
          <w:marRight w:val="0"/>
          <w:marTop w:val="0"/>
          <w:marBottom w:val="0"/>
          <w:divBdr>
            <w:top w:val="none" w:sz="0" w:space="0" w:color="auto"/>
            <w:left w:val="none" w:sz="0" w:space="0" w:color="auto"/>
            <w:bottom w:val="none" w:sz="0" w:space="0" w:color="auto"/>
            <w:right w:val="none" w:sz="0" w:space="0" w:color="auto"/>
          </w:divBdr>
        </w:div>
        <w:div w:id="495267064">
          <w:marLeft w:val="480"/>
          <w:marRight w:val="0"/>
          <w:marTop w:val="0"/>
          <w:marBottom w:val="0"/>
          <w:divBdr>
            <w:top w:val="none" w:sz="0" w:space="0" w:color="auto"/>
            <w:left w:val="none" w:sz="0" w:space="0" w:color="auto"/>
            <w:bottom w:val="none" w:sz="0" w:space="0" w:color="auto"/>
            <w:right w:val="none" w:sz="0" w:space="0" w:color="auto"/>
          </w:divBdr>
        </w:div>
        <w:div w:id="82190076">
          <w:marLeft w:val="480"/>
          <w:marRight w:val="0"/>
          <w:marTop w:val="0"/>
          <w:marBottom w:val="0"/>
          <w:divBdr>
            <w:top w:val="none" w:sz="0" w:space="0" w:color="auto"/>
            <w:left w:val="none" w:sz="0" w:space="0" w:color="auto"/>
            <w:bottom w:val="none" w:sz="0" w:space="0" w:color="auto"/>
            <w:right w:val="none" w:sz="0" w:space="0" w:color="auto"/>
          </w:divBdr>
        </w:div>
        <w:div w:id="1056901334">
          <w:marLeft w:val="480"/>
          <w:marRight w:val="0"/>
          <w:marTop w:val="0"/>
          <w:marBottom w:val="0"/>
          <w:divBdr>
            <w:top w:val="none" w:sz="0" w:space="0" w:color="auto"/>
            <w:left w:val="none" w:sz="0" w:space="0" w:color="auto"/>
            <w:bottom w:val="none" w:sz="0" w:space="0" w:color="auto"/>
            <w:right w:val="none" w:sz="0" w:space="0" w:color="auto"/>
          </w:divBdr>
        </w:div>
        <w:div w:id="110051101">
          <w:marLeft w:val="480"/>
          <w:marRight w:val="0"/>
          <w:marTop w:val="0"/>
          <w:marBottom w:val="0"/>
          <w:divBdr>
            <w:top w:val="none" w:sz="0" w:space="0" w:color="auto"/>
            <w:left w:val="none" w:sz="0" w:space="0" w:color="auto"/>
            <w:bottom w:val="none" w:sz="0" w:space="0" w:color="auto"/>
            <w:right w:val="none" w:sz="0" w:space="0" w:color="auto"/>
          </w:divBdr>
        </w:div>
        <w:div w:id="1600986180">
          <w:marLeft w:val="480"/>
          <w:marRight w:val="0"/>
          <w:marTop w:val="0"/>
          <w:marBottom w:val="0"/>
          <w:divBdr>
            <w:top w:val="none" w:sz="0" w:space="0" w:color="auto"/>
            <w:left w:val="none" w:sz="0" w:space="0" w:color="auto"/>
            <w:bottom w:val="none" w:sz="0" w:space="0" w:color="auto"/>
            <w:right w:val="none" w:sz="0" w:space="0" w:color="auto"/>
          </w:divBdr>
        </w:div>
        <w:div w:id="1877812753">
          <w:marLeft w:val="480"/>
          <w:marRight w:val="0"/>
          <w:marTop w:val="0"/>
          <w:marBottom w:val="0"/>
          <w:divBdr>
            <w:top w:val="none" w:sz="0" w:space="0" w:color="auto"/>
            <w:left w:val="none" w:sz="0" w:space="0" w:color="auto"/>
            <w:bottom w:val="none" w:sz="0" w:space="0" w:color="auto"/>
            <w:right w:val="none" w:sz="0" w:space="0" w:color="auto"/>
          </w:divBdr>
        </w:div>
        <w:div w:id="1968389478">
          <w:marLeft w:val="480"/>
          <w:marRight w:val="0"/>
          <w:marTop w:val="0"/>
          <w:marBottom w:val="0"/>
          <w:divBdr>
            <w:top w:val="none" w:sz="0" w:space="0" w:color="auto"/>
            <w:left w:val="none" w:sz="0" w:space="0" w:color="auto"/>
            <w:bottom w:val="none" w:sz="0" w:space="0" w:color="auto"/>
            <w:right w:val="none" w:sz="0" w:space="0" w:color="auto"/>
          </w:divBdr>
        </w:div>
        <w:div w:id="1604680891">
          <w:marLeft w:val="480"/>
          <w:marRight w:val="0"/>
          <w:marTop w:val="0"/>
          <w:marBottom w:val="0"/>
          <w:divBdr>
            <w:top w:val="none" w:sz="0" w:space="0" w:color="auto"/>
            <w:left w:val="none" w:sz="0" w:space="0" w:color="auto"/>
            <w:bottom w:val="none" w:sz="0" w:space="0" w:color="auto"/>
            <w:right w:val="none" w:sz="0" w:space="0" w:color="auto"/>
          </w:divBdr>
        </w:div>
        <w:div w:id="1295019873">
          <w:marLeft w:val="480"/>
          <w:marRight w:val="0"/>
          <w:marTop w:val="0"/>
          <w:marBottom w:val="0"/>
          <w:divBdr>
            <w:top w:val="none" w:sz="0" w:space="0" w:color="auto"/>
            <w:left w:val="none" w:sz="0" w:space="0" w:color="auto"/>
            <w:bottom w:val="none" w:sz="0" w:space="0" w:color="auto"/>
            <w:right w:val="none" w:sz="0" w:space="0" w:color="auto"/>
          </w:divBdr>
        </w:div>
        <w:div w:id="1940678547">
          <w:marLeft w:val="480"/>
          <w:marRight w:val="0"/>
          <w:marTop w:val="0"/>
          <w:marBottom w:val="0"/>
          <w:divBdr>
            <w:top w:val="none" w:sz="0" w:space="0" w:color="auto"/>
            <w:left w:val="none" w:sz="0" w:space="0" w:color="auto"/>
            <w:bottom w:val="none" w:sz="0" w:space="0" w:color="auto"/>
            <w:right w:val="none" w:sz="0" w:space="0" w:color="auto"/>
          </w:divBdr>
        </w:div>
        <w:div w:id="1840608662">
          <w:marLeft w:val="480"/>
          <w:marRight w:val="0"/>
          <w:marTop w:val="0"/>
          <w:marBottom w:val="0"/>
          <w:divBdr>
            <w:top w:val="none" w:sz="0" w:space="0" w:color="auto"/>
            <w:left w:val="none" w:sz="0" w:space="0" w:color="auto"/>
            <w:bottom w:val="none" w:sz="0" w:space="0" w:color="auto"/>
            <w:right w:val="none" w:sz="0" w:space="0" w:color="auto"/>
          </w:divBdr>
        </w:div>
        <w:div w:id="26688792">
          <w:marLeft w:val="480"/>
          <w:marRight w:val="0"/>
          <w:marTop w:val="0"/>
          <w:marBottom w:val="0"/>
          <w:divBdr>
            <w:top w:val="none" w:sz="0" w:space="0" w:color="auto"/>
            <w:left w:val="none" w:sz="0" w:space="0" w:color="auto"/>
            <w:bottom w:val="none" w:sz="0" w:space="0" w:color="auto"/>
            <w:right w:val="none" w:sz="0" w:space="0" w:color="auto"/>
          </w:divBdr>
        </w:div>
        <w:div w:id="1177768639">
          <w:marLeft w:val="480"/>
          <w:marRight w:val="0"/>
          <w:marTop w:val="0"/>
          <w:marBottom w:val="0"/>
          <w:divBdr>
            <w:top w:val="none" w:sz="0" w:space="0" w:color="auto"/>
            <w:left w:val="none" w:sz="0" w:space="0" w:color="auto"/>
            <w:bottom w:val="none" w:sz="0" w:space="0" w:color="auto"/>
            <w:right w:val="none" w:sz="0" w:space="0" w:color="auto"/>
          </w:divBdr>
        </w:div>
        <w:div w:id="280458402">
          <w:marLeft w:val="480"/>
          <w:marRight w:val="0"/>
          <w:marTop w:val="0"/>
          <w:marBottom w:val="0"/>
          <w:divBdr>
            <w:top w:val="none" w:sz="0" w:space="0" w:color="auto"/>
            <w:left w:val="none" w:sz="0" w:space="0" w:color="auto"/>
            <w:bottom w:val="none" w:sz="0" w:space="0" w:color="auto"/>
            <w:right w:val="none" w:sz="0" w:space="0" w:color="auto"/>
          </w:divBdr>
        </w:div>
        <w:div w:id="330911740">
          <w:marLeft w:val="480"/>
          <w:marRight w:val="0"/>
          <w:marTop w:val="0"/>
          <w:marBottom w:val="0"/>
          <w:divBdr>
            <w:top w:val="none" w:sz="0" w:space="0" w:color="auto"/>
            <w:left w:val="none" w:sz="0" w:space="0" w:color="auto"/>
            <w:bottom w:val="none" w:sz="0" w:space="0" w:color="auto"/>
            <w:right w:val="none" w:sz="0" w:space="0" w:color="auto"/>
          </w:divBdr>
        </w:div>
        <w:div w:id="1926332006">
          <w:marLeft w:val="480"/>
          <w:marRight w:val="0"/>
          <w:marTop w:val="0"/>
          <w:marBottom w:val="0"/>
          <w:divBdr>
            <w:top w:val="none" w:sz="0" w:space="0" w:color="auto"/>
            <w:left w:val="none" w:sz="0" w:space="0" w:color="auto"/>
            <w:bottom w:val="none" w:sz="0" w:space="0" w:color="auto"/>
            <w:right w:val="none" w:sz="0" w:space="0" w:color="auto"/>
          </w:divBdr>
        </w:div>
        <w:div w:id="1614901241">
          <w:marLeft w:val="480"/>
          <w:marRight w:val="0"/>
          <w:marTop w:val="0"/>
          <w:marBottom w:val="0"/>
          <w:divBdr>
            <w:top w:val="none" w:sz="0" w:space="0" w:color="auto"/>
            <w:left w:val="none" w:sz="0" w:space="0" w:color="auto"/>
            <w:bottom w:val="none" w:sz="0" w:space="0" w:color="auto"/>
            <w:right w:val="none" w:sz="0" w:space="0" w:color="auto"/>
          </w:divBdr>
        </w:div>
        <w:div w:id="349766429">
          <w:marLeft w:val="480"/>
          <w:marRight w:val="0"/>
          <w:marTop w:val="0"/>
          <w:marBottom w:val="0"/>
          <w:divBdr>
            <w:top w:val="none" w:sz="0" w:space="0" w:color="auto"/>
            <w:left w:val="none" w:sz="0" w:space="0" w:color="auto"/>
            <w:bottom w:val="none" w:sz="0" w:space="0" w:color="auto"/>
            <w:right w:val="none" w:sz="0" w:space="0" w:color="auto"/>
          </w:divBdr>
        </w:div>
        <w:div w:id="471287687">
          <w:marLeft w:val="480"/>
          <w:marRight w:val="0"/>
          <w:marTop w:val="0"/>
          <w:marBottom w:val="0"/>
          <w:divBdr>
            <w:top w:val="none" w:sz="0" w:space="0" w:color="auto"/>
            <w:left w:val="none" w:sz="0" w:space="0" w:color="auto"/>
            <w:bottom w:val="none" w:sz="0" w:space="0" w:color="auto"/>
            <w:right w:val="none" w:sz="0" w:space="0" w:color="auto"/>
          </w:divBdr>
        </w:div>
        <w:div w:id="1497724979">
          <w:marLeft w:val="480"/>
          <w:marRight w:val="0"/>
          <w:marTop w:val="0"/>
          <w:marBottom w:val="0"/>
          <w:divBdr>
            <w:top w:val="none" w:sz="0" w:space="0" w:color="auto"/>
            <w:left w:val="none" w:sz="0" w:space="0" w:color="auto"/>
            <w:bottom w:val="none" w:sz="0" w:space="0" w:color="auto"/>
            <w:right w:val="none" w:sz="0" w:space="0" w:color="auto"/>
          </w:divBdr>
        </w:div>
        <w:div w:id="282342731">
          <w:marLeft w:val="480"/>
          <w:marRight w:val="0"/>
          <w:marTop w:val="0"/>
          <w:marBottom w:val="0"/>
          <w:divBdr>
            <w:top w:val="none" w:sz="0" w:space="0" w:color="auto"/>
            <w:left w:val="none" w:sz="0" w:space="0" w:color="auto"/>
            <w:bottom w:val="none" w:sz="0" w:space="0" w:color="auto"/>
            <w:right w:val="none" w:sz="0" w:space="0" w:color="auto"/>
          </w:divBdr>
        </w:div>
        <w:div w:id="1327826744">
          <w:marLeft w:val="480"/>
          <w:marRight w:val="0"/>
          <w:marTop w:val="0"/>
          <w:marBottom w:val="0"/>
          <w:divBdr>
            <w:top w:val="none" w:sz="0" w:space="0" w:color="auto"/>
            <w:left w:val="none" w:sz="0" w:space="0" w:color="auto"/>
            <w:bottom w:val="none" w:sz="0" w:space="0" w:color="auto"/>
            <w:right w:val="none" w:sz="0" w:space="0" w:color="auto"/>
          </w:divBdr>
        </w:div>
        <w:div w:id="641810997">
          <w:marLeft w:val="480"/>
          <w:marRight w:val="0"/>
          <w:marTop w:val="0"/>
          <w:marBottom w:val="0"/>
          <w:divBdr>
            <w:top w:val="none" w:sz="0" w:space="0" w:color="auto"/>
            <w:left w:val="none" w:sz="0" w:space="0" w:color="auto"/>
            <w:bottom w:val="none" w:sz="0" w:space="0" w:color="auto"/>
            <w:right w:val="none" w:sz="0" w:space="0" w:color="auto"/>
          </w:divBdr>
        </w:div>
        <w:div w:id="1349716881">
          <w:marLeft w:val="480"/>
          <w:marRight w:val="0"/>
          <w:marTop w:val="0"/>
          <w:marBottom w:val="0"/>
          <w:divBdr>
            <w:top w:val="none" w:sz="0" w:space="0" w:color="auto"/>
            <w:left w:val="none" w:sz="0" w:space="0" w:color="auto"/>
            <w:bottom w:val="none" w:sz="0" w:space="0" w:color="auto"/>
            <w:right w:val="none" w:sz="0" w:space="0" w:color="auto"/>
          </w:divBdr>
        </w:div>
        <w:div w:id="653611163">
          <w:marLeft w:val="480"/>
          <w:marRight w:val="0"/>
          <w:marTop w:val="0"/>
          <w:marBottom w:val="0"/>
          <w:divBdr>
            <w:top w:val="none" w:sz="0" w:space="0" w:color="auto"/>
            <w:left w:val="none" w:sz="0" w:space="0" w:color="auto"/>
            <w:bottom w:val="none" w:sz="0" w:space="0" w:color="auto"/>
            <w:right w:val="none" w:sz="0" w:space="0" w:color="auto"/>
          </w:divBdr>
        </w:div>
        <w:div w:id="864371780">
          <w:marLeft w:val="480"/>
          <w:marRight w:val="0"/>
          <w:marTop w:val="0"/>
          <w:marBottom w:val="0"/>
          <w:divBdr>
            <w:top w:val="none" w:sz="0" w:space="0" w:color="auto"/>
            <w:left w:val="none" w:sz="0" w:space="0" w:color="auto"/>
            <w:bottom w:val="none" w:sz="0" w:space="0" w:color="auto"/>
            <w:right w:val="none" w:sz="0" w:space="0" w:color="auto"/>
          </w:divBdr>
        </w:div>
        <w:div w:id="1357610923">
          <w:marLeft w:val="480"/>
          <w:marRight w:val="0"/>
          <w:marTop w:val="0"/>
          <w:marBottom w:val="0"/>
          <w:divBdr>
            <w:top w:val="none" w:sz="0" w:space="0" w:color="auto"/>
            <w:left w:val="none" w:sz="0" w:space="0" w:color="auto"/>
            <w:bottom w:val="none" w:sz="0" w:space="0" w:color="auto"/>
            <w:right w:val="none" w:sz="0" w:space="0" w:color="auto"/>
          </w:divBdr>
        </w:div>
        <w:div w:id="675839039">
          <w:marLeft w:val="480"/>
          <w:marRight w:val="0"/>
          <w:marTop w:val="0"/>
          <w:marBottom w:val="0"/>
          <w:divBdr>
            <w:top w:val="none" w:sz="0" w:space="0" w:color="auto"/>
            <w:left w:val="none" w:sz="0" w:space="0" w:color="auto"/>
            <w:bottom w:val="none" w:sz="0" w:space="0" w:color="auto"/>
            <w:right w:val="none" w:sz="0" w:space="0" w:color="auto"/>
          </w:divBdr>
        </w:div>
        <w:div w:id="815532967">
          <w:marLeft w:val="480"/>
          <w:marRight w:val="0"/>
          <w:marTop w:val="0"/>
          <w:marBottom w:val="0"/>
          <w:divBdr>
            <w:top w:val="none" w:sz="0" w:space="0" w:color="auto"/>
            <w:left w:val="none" w:sz="0" w:space="0" w:color="auto"/>
            <w:bottom w:val="none" w:sz="0" w:space="0" w:color="auto"/>
            <w:right w:val="none" w:sz="0" w:space="0" w:color="auto"/>
          </w:divBdr>
        </w:div>
        <w:div w:id="909267927">
          <w:marLeft w:val="480"/>
          <w:marRight w:val="0"/>
          <w:marTop w:val="0"/>
          <w:marBottom w:val="0"/>
          <w:divBdr>
            <w:top w:val="none" w:sz="0" w:space="0" w:color="auto"/>
            <w:left w:val="none" w:sz="0" w:space="0" w:color="auto"/>
            <w:bottom w:val="none" w:sz="0" w:space="0" w:color="auto"/>
            <w:right w:val="none" w:sz="0" w:space="0" w:color="auto"/>
          </w:divBdr>
        </w:div>
        <w:div w:id="712003355">
          <w:marLeft w:val="480"/>
          <w:marRight w:val="0"/>
          <w:marTop w:val="0"/>
          <w:marBottom w:val="0"/>
          <w:divBdr>
            <w:top w:val="none" w:sz="0" w:space="0" w:color="auto"/>
            <w:left w:val="none" w:sz="0" w:space="0" w:color="auto"/>
            <w:bottom w:val="none" w:sz="0" w:space="0" w:color="auto"/>
            <w:right w:val="none" w:sz="0" w:space="0" w:color="auto"/>
          </w:divBdr>
        </w:div>
        <w:div w:id="284429443">
          <w:marLeft w:val="480"/>
          <w:marRight w:val="0"/>
          <w:marTop w:val="0"/>
          <w:marBottom w:val="0"/>
          <w:divBdr>
            <w:top w:val="none" w:sz="0" w:space="0" w:color="auto"/>
            <w:left w:val="none" w:sz="0" w:space="0" w:color="auto"/>
            <w:bottom w:val="none" w:sz="0" w:space="0" w:color="auto"/>
            <w:right w:val="none" w:sz="0" w:space="0" w:color="auto"/>
          </w:divBdr>
        </w:div>
        <w:div w:id="1633749917">
          <w:marLeft w:val="480"/>
          <w:marRight w:val="0"/>
          <w:marTop w:val="0"/>
          <w:marBottom w:val="0"/>
          <w:divBdr>
            <w:top w:val="none" w:sz="0" w:space="0" w:color="auto"/>
            <w:left w:val="none" w:sz="0" w:space="0" w:color="auto"/>
            <w:bottom w:val="none" w:sz="0" w:space="0" w:color="auto"/>
            <w:right w:val="none" w:sz="0" w:space="0" w:color="auto"/>
          </w:divBdr>
        </w:div>
        <w:div w:id="602998146">
          <w:marLeft w:val="480"/>
          <w:marRight w:val="0"/>
          <w:marTop w:val="0"/>
          <w:marBottom w:val="0"/>
          <w:divBdr>
            <w:top w:val="none" w:sz="0" w:space="0" w:color="auto"/>
            <w:left w:val="none" w:sz="0" w:space="0" w:color="auto"/>
            <w:bottom w:val="none" w:sz="0" w:space="0" w:color="auto"/>
            <w:right w:val="none" w:sz="0" w:space="0" w:color="auto"/>
          </w:divBdr>
        </w:div>
        <w:div w:id="1309935705">
          <w:marLeft w:val="480"/>
          <w:marRight w:val="0"/>
          <w:marTop w:val="0"/>
          <w:marBottom w:val="0"/>
          <w:divBdr>
            <w:top w:val="none" w:sz="0" w:space="0" w:color="auto"/>
            <w:left w:val="none" w:sz="0" w:space="0" w:color="auto"/>
            <w:bottom w:val="none" w:sz="0" w:space="0" w:color="auto"/>
            <w:right w:val="none" w:sz="0" w:space="0" w:color="auto"/>
          </w:divBdr>
        </w:div>
        <w:div w:id="2111388582">
          <w:marLeft w:val="480"/>
          <w:marRight w:val="0"/>
          <w:marTop w:val="0"/>
          <w:marBottom w:val="0"/>
          <w:divBdr>
            <w:top w:val="none" w:sz="0" w:space="0" w:color="auto"/>
            <w:left w:val="none" w:sz="0" w:space="0" w:color="auto"/>
            <w:bottom w:val="none" w:sz="0" w:space="0" w:color="auto"/>
            <w:right w:val="none" w:sz="0" w:space="0" w:color="auto"/>
          </w:divBdr>
        </w:div>
        <w:div w:id="1362627921">
          <w:marLeft w:val="480"/>
          <w:marRight w:val="0"/>
          <w:marTop w:val="0"/>
          <w:marBottom w:val="0"/>
          <w:divBdr>
            <w:top w:val="none" w:sz="0" w:space="0" w:color="auto"/>
            <w:left w:val="none" w:sz="0" w:space="0" w:color="auto"/>
            <w:bottom w:val="none" w:sz="0" w:space="0" w:color="auto"/>
            <w:right w:val="none" w:sz="0" w:space="0" w:color="auto"/>
          </w:divBdr>
        </w:div>
        <w:div w:id="1286499218">
          <w:marLeft w:val="480"/>
          <w:marRight w:val="0"/>
          <w:marTop w:val="0"/>
          <w:marBottom w:val="0"/>
          <w:divBdr>
            <w:top w:val="none" w:sz="0" w:space="0" w:color="auto"/>
            <w:left w:val="none" w:sz="0" w:space="0" w:color="auto"/>
            <w:bottom w:val="none" w:sz="0" w:space="0" w:color="auto"/>
            <w:right w:val="none" w:sz="0" w:space="0" w:color="auto"/>
          </w:divBdr>
        </w:div>
        <w:div w:id="1390422598">
          <w:marLeft w:val="480"/>
          <w:marRight w:val="0"/>
          <w:marTop w:val="0"/>
          <w:marBottom w:val="0"/>
          <w:divBdr>
            <w:top w:val="none" w:sz="0" w:space="0" w:color="auto"/>
            <w:left w:val="none" w:sz="0" w:space="0" w:color="auto"/>
            <w:bottom w:val="none" w:sz="0" w:space="0" w:color="auto"/>
            <w:right w:val="none" w:sz="0" w:space="0" w:color="auto"/>
          </w:divBdr>
        </w:div>
        <w:div w:id="1051491620">
          <w:marLeft w:val="480"/>
          <w:marRight w:val="0"/>
          <w:marTop w:val="0"/>
          <w:marBottom w:val="0"/>
          <w:divBdr>
            <w:top w:val="none" w:sz="0" w:space="0" w:color="auto"/>
            <w:left w:val="none" w:sz="0" w:space="0" w:color="auto"/>
            <w:bottom w:val="none" w:sz="0" w:space="0" w:color="auto"/>
            <w:right w:val="none" w:sz="0" w:space="0" w:color="auto"/>
          </w:divBdr>
        </w:div>
        <w:div w:id="1208418571">
          <w:marLeft w:val="480"/>
          <w:marRight w:val="0"/>
          <w:marTop w:val="0"/>
          <w:marBottom w:val="0"/>
          <w:divBdr>
            <w:top w:val="none" w:sz="0" w:space="0" w:color="auto"/>
            <w:left w:val="none" w:sz="0" w:space="0" w:color="auto"/>
            <w:bottom w:val="none" w:sz="0" w:space="0" w:color="auto"/>
            <w:right w:val="none" w:sz="0" w:space="0" w:color="auto"/>
          </w:divBdr>
        </w:div>
        <w:div w:id="928779878">
          <w:marLeft w:val="480"/>
          <w:marRight w:val="0"/>
          <w:marTop w:val="0"/>
          <w:marBottom w:val="0"/>
          <w:divBdr>
            <w:top w:val="none" w:sz="0" w:space="0" w:color="auto"/>
            <w:left w:val="none" w:sz="0" w:space="0" w:color="auto"/>
            <w:bottom w:val="none" w:sz="0" w:space="0" w:color="auto"/>
            <w:right w:val="none" w:sz="0" w:space="0" w:color="auto"/>
          </w:divBdr>
        </w:div>
        <w:div w:id="1224220173">
          <w:marLeft w:val="480"/>
          <w:marRight w:val="0"/>
          <w:marTop w:val="0"/>
          <w:marBottom w:val="0"/>
          <w:divBdr>
            <w:top w:val="none" w:sz="0" w:space="0" w:color="auto"/>
            <w:left w:val="none" w:sz="0" w:space="0" w:color="auto"/>
            <w:bottom w:val="none" w:sz="0" w:space="0" w:color="auto"/>
            <w:right w:val="none" w:sz="0" w:space="0" w:color="auto"/>
          </w:divBdr>
        </w:div>
        <w:div w:id="669675679">
          <w:marLeft w:val="480"/>
          <w:marRight w:val="0"/>
          <w:marTop w:val="0"/>
          <w:marBottom w:val="0"/>
          <w:divBdr>
            <w:top w:val="none" w:sz="0" w:space="0" w:color="auto"/>
            <w:left w:val="none" w:sz="0" w:space="0" w:color="auto"/>
            <w:bottom w:val="none" w:sz="0" w:space="0" w:color="auto"/>
            <w:right w:val="none" w:sz="0" w:space="0" w:color="auto"/>
          </w:divBdr>
        </w:div>
        <w:div w:id="970987632">
          <w:marLeft w:val="480"/>
          <w:marRight w:val="0"/>
          <w:marTop w:val="0"/>
          <w:marBottom w:val="0"/>
          <w:divBdr>
            <w:top w:val="none" w:sz="0" w:space="0" w:color="auto"/>
            <w:left w:val="none" w:sz="0" w:space="0" w:color="auto"/>
            <w:bottom w:val="none" w:sz="0" w:space="0" w:color="auto"/>
            <w:right w:val="none" w:sz="0" w:space="0" w:color="auto"/>
          </w:divBdr>
        </w:div>
        <w:div w:id="1188525953">
          <w:marLeft w:val="480"/>
          <w:marRight w:val="0"/>
          <w:marTop w:val="0"/>
          <w:marBottom w:val="0"/>
          <w:divBdr>
            <w:top w:val="none" w:sz="0" w:space="0" w:color="auto"/>
            <w:left w:val="none" w:sz="0" w:space="0" w:color="auto"/>
            <w:bottom w:val="none" w:sz="0" w:space="0" w:color="auto"/>
            <w:right w:val="none" w:sz="0" w:space="0" w:color="auto"/>
          </w:divBdr>
        </w:div>
        <w:div w:id="1997029448">
          <w:marLeft w:val="480"/>
          <w:marRight w:val="0"/>
          <w:marTop w:val="0"/>
          <w:marBottom w:val="0"/>
          <w:divBdr>
            <w:top w:val="none" w:sz="0" w:space="0" w:color="auto"/>
            <w:left w:val="none" w:sz="0" w:space="0" w:color="auto"/>
            <w:bottom w:val="none" w:sz="0" w:space="0" w:color="auto"/>
            <w:right w:val="none" w:sz="0" w:space="0" w:color="auto"/>
          </w:divBdr>
        </w:div>
        <w:div w:id="291138244">
          <w:marLeft w:val="480"/>
          <w:marRight w:val="0"/>
          <w:marTop w:val="0"/>
          <w:marBottom w:val="0"/>
          <w:divBdr>
            <w:top w:val="none" w:sz="0" w:space="0" w:color="auto"/>
            <w:left w:val="none" w:sz="0" w:space="0" w:color="auto"/>
            <w:bottom w:val="none" w:sz="0" w:space="0" w:color="auto"/>
            <w:right w:val="none" w:sz="0" w:space="0" w:color="auto"/>
          </w:divBdr>
        </w:div>
        <w:div w:id="750810546">
          <w:marLeft w:val="480"/>
          <w:marRight w:val="0"/>
          <w:marTop w:val="0"/>
          <w:marBottom w:val="0"/>
          <w:divBdr>
            <w:top w:val="none" w:sz="0" w:space="0" w:color="auto"/>
            <w:left w:val="none" w:sz="0" w:space="0" w:color="auto"/>
            <w:bottom w:val="none" w:sz="0" w:space="0" w:color="auto"/>
            <w:right w:val="none" w:sz="0" w:space="0" w:color="auto"/>
          </w:divBdr>
        </w:div>
        <w:div w:id="1349596241">
          <w:marLeft w:val="480"/>
          <w:marRight w:val="0"/>
          <w:marTop w:val="0"/>
          <w:marBottom w:val="0"/>
          <w:divBdr>
            <w:top w:val="none" w:sz="0" w:space="0" w:color="auto"/>
            <w:left w:val="none" w:sz="0" w:space="0" w:color="auto"/>
            <w:bottom w:val="none" w:sz="0" w:space="0" w:color="auto"/>
            <w:right w:val="none" w:sz="0" w:space="0" w:color="auto"/>
          </w:divBdr>
        </w:div>
        <w:div w:id="23135996">
          <w:marLeft w:val="480"/>
          <w:marRight w:val="0"/>
          <w:marTop w:val="0"/>
          <w:marBottom w:val="0"/>
          <w:divBdr>
            <w:top w:val="none" w:sz="0" w:space="0" w:color="auto"/>
            <w:left w:val="none" w:sz="0" w:space="0" w:color="auto"/>
            <w:bottom w:val="none" w:sz="0" w:space="0" w:color="auto"/>
            <w:right w:val="none" w:sz="0" w:space="0" w:color="auto"/>
          </w:divBdr>
        </w:div>
        <w:div w:id="126438425">
          <w:marLeft w:val="480"/>
          <w:marRight w:val="0"/>
          <w:marTop w:val="0"/>
          <w:marBottom w:val="0"/>
          <w:divBdr>
            <w:top w:val="none" w:sz="0" w:space="0" w:color="auto"/>
            <w:left w:val="none" w:sz="0" w:space="0" w:color="auto"/>
            <w:bottom w:val="none" w:sz="0" w:space="0" w:color="auto"/>
            <w:right w:val="none" w:sz="0" w:space="0" w:color="auto"/>
          </w:divBdr>
        </w:div>
        <w:div w:id="1526477598">
          <w:marLeft w:val="480"/>
          <w:marRight w:val="0"/>
          <w:marTop w:val="0"/>
          <w:marBottom w:val="0"/>
          <w:divBdr>
            <w:top w:val="none" w:sz="0" w:space="0" w:color="auto"/>
            <w:left w:val="none" w:sz="0" w:space="0" w:color="auto"/>
            <w:bottom w:val="none" w:sz="0" w:space="0" w:color="auto"/>
            <w:right w:val="none" w:sz="0" w:space="0" w:color="auto"/>
          </w:divBdr>
        </w:div>
        <w:div w:id="519323603">
          <w:marLeft w:val="480"/>
          <w:marRight w:val="0"/>
          <w:marTop w:val="0"/>
          <w:marBottom w:val="0"/>
          <w:divBdr>
            <w:top w:val="none" w:sz="0" w:space="0" w:color="auto"/>
            <w:left w:val="none" w:sz="0" w:space="0" w:color="auto"/>
            <w:bottom w:val="none" w:sz="0" w:space="0" w:color="auto"/>
            <w:right w:val="none" w:sz="0" w:space="0" w:color="auto"/>
          </w:divBdr>
        </w:div>
        <w:div w:id="1656647707">
          <w:marLeft w:val="480"/>
          <w:marRight w:val="0"/>
          <w:marTop w:val="0"/>
          <w:marBottom w:val="0"/>
          <w:divBdr>
            <w:top w:val="none" w:sz="0" w:space="0" w:color="auto"/>
            <w:left w:val="none" w:sz="0" w:space="0" w:color="auto"/>
            <w:bottom w:val="none" w:sz="0" w:space="0" w:color="auto"/>
            <w:right w:val="none" w:sz="0" w:space="0" w:color="auto"/>
          </w:divBdr>
        </w:div>
        <w:div w:id="274021014">
          <w:marLeft w:val="480"/>
          <w:marRight w:val="0"/>
          <w:marTop w:val="0"/>
          <w:marBottom w:val="0"/>
          <w:divBdr>
            <w:top w:val="none" w:sz="0" w:space="0" w:color="auto"/>
            <w:left w:val="none" w:sz="0" w:space="0" w:color="auto"/>
            <w:bottom w:val="none" w:sz="0" w:space="0" w:color="auto"/>
            <w:right w:val="none" w:sz="0" w:space="0" w:color="auto"/>
          </w:divBdr>
        </w:div>
        <w:div w:id="1644000322">
          <w:marLeft w:val="480"/>
          <w:marRight w:val="0"/>
          <w:marTop w:val="0"/>
          <w:marBottom w:val="0"/>
          <w:divBdr>
            <w:top w:val="none" w:sz="0" w:space="0" w:color="auto"/>
            <w:left w:val="none" w:sz="0" w:space="0" w:color="auto"/>
            <w:bottom w:val="none" w:sz="0" w:space="0" w:color="auto"/>
            <w:right w:val="none" w:sz="0" w:space="0" w:color="auto"/>
          </w:divBdr>
        </w:div>
        <w:div w:id="1024479060">
          <w:marLeft w:val="480"/>
          <w:marRight w:val="0"/>
          <w:marTop w:val="0"/>
          <w:marBottom w:val="0"/>
          <w:divBdr>
            <w:top w:val="none" w:sz="0" w:space="0" w:color="auto"/>
            <w:left w:val="none" w:sz="0" w:space="0" w:color="auto"/>
            <w:bottom w:val="none" w:sz="0" w:space="0" w:color="auto"/>
            <w:right w:val="none" w:sz="0" w:space="0" w:color="auto"/>
          </w:divBdr>
        </w:div>
        <w:div w:id="224225893">
          <w:marLeft w:val="480"/>
          <w:marRight w:val="0"/>
          <w:marTop w:val="0"/>
          <w:marBottom w:val="0"/>
          <w:divBdr>
            <w:top w:val="none" w:sz="0" w:space="0" w:color="auto"/>
            <w:left w:val="none" w:sz="0" w:space="0" w:color="auto"/>
            <w:bottom w:val="none" w:sz="0" w:space="0" w:color="auto"/>
            <w:right w:val="none" w:sz="0" w:space="0" w:color="auto"/>
          </w:divBdr>
        </w:div>
        <w:div w:id="2063165045">
          <w:marLeft w:val="480"/>
          <w:marRight w:val="0"/>
          <w:marTop w:val="0"/>
          <w:marBottom w:val="0"/>
          <w:divBdr>
            <w:top w:val="none" w:sz="0" w:space="0" w:color="auto"/>
            <w:left w:val="none" w:sz="0" w:space="0" w:color="auto"/>
            <w:bottom w:val="none" w:sz="0" w:space="0" w:color="auto"/>
            <w:right w:val="none" w:sz="0" w:space="0" w:color="auto"/>
          </w:divBdr>
        </w:div>
        <w:div w:id="680200624">
          <w:marLeft w:val="480"/>
          <w:marRight w:val="0"/>
          <w:marTop w:val="0"/>
          <w:marBottom w:val="0"/>
          <w:divBdr>
            <w:top w:val="none" w:sz="0" w:space="0" w:color="auto"/>
            <w:left w:val="none" w:sz="0" w:space="0" w:color="auto"/>
            <w:bottom w:val="none" w:sz="0" w:space="0" w:color="auto"/>
            <w:right w:val="none" w:sz="0" w:space="0" w:color="auto"/>
          </w:divBdr>
        </w:div>
        <w:div w:id="1750619714">
          <w:marLeft w:val="480"/>
          <w:marRight w:val="0"/>
          <w:marTop w:val="0"/>
          <w:marBottom w:val="0"/>
          <w:divBdr>
            <w:top w:val="none" w:sz="0" w:space="0" w:color="auto"/>
            <w:left w:val="none" w:sz="0" w:space="0" w:color="auto"/>
            <w:bottom w:val="none" w:sz="0" w:space="0" w:color="auto"/>
            <w:right w:val="none" w:sz="0" w:space="0" w:color="auto"/>
          </w:divBdr>
        </w:div>
        <w:div w:id="2052920962">
          <w:marLeft w:val="480"/>
          <w:marRight w:val="0"/>
          <w:marTop w:val="0"/>
          <w:marBottom w:val="0"/>
          <w:divBdr>
            <w:top w:val="none" w:sz="0" w:space="0" w:color="auto"/>
            <w:left w:val="none" w:sz="0" w:space="0" w:color="auto"/>
            <w:bottom w:val="none" w:sz="0" w:space="0" w:color="auto"/>
            <w:right w:val="none" w:sz="0" w:space="0" w:color="auto"/>
          </w:divBdr>
        </w:div>
        <w:div w:id="2144735019">
          <w:marLeft w:val="480"/>
          <w:marRight w:val="0"/>
          <w:marTop w:val="0"/>
          <w:marBottom w:val="0"/>
          <w:divBdr>
            <w:top w:val="none" w:sz="0" w:space="0" w:color="auto"/>
            <w:left w:val="none" w:sz="0" w:space="0" w:color="auto"/>
            <w:bottom w:val="none" w:sz="0" w:space="0" w:color="auto"/>
            <w:right w:val="none" w:sz="0" w:space="0" w:color="auto"/>
          </w:divBdr>
        </w:div>
        <w:div w:id="152768908">
          <w:marLeft w:val="480"/>
          <w:marRight w:val="0"/>
          <w:marTop w:val="0"/>
          <w:marBottom w:val="0"/>
          <w:divBdr>
            <w:top w:val="none" w:sz="0" w:space="0" w:color="auto"/>
            <w:left w:val="none" w:sz="0" w:space="0" w:color="auto"/>
            <w:bottom w:val="none" w:sz="0" w:space="0" w:color="auto"/>
            <w:right w:val="none" w:sz="0" w:space="0" w:color="auto"/>
          </w:divBdr>
        </w:div>
        <w:div w:id="1964459173">
          <w:marLeft w:val="480"/>
          <w:marRight w:val="0"/>
          <w:marTop w:val="0"/>
          <w:marBottom w:val="0"/>
          <w:divBdr>
            <w:top w:val="none" w:sz="0" w:space="0" w:color="auto"/>
            <w:left w:val="none" w:sz="0" w:space="0" w:color="auto"/>
            <w:bottom w:val="none" w:sz="0" w:space="0" w:color="auto"/>
            <w:right w:val="none" w:sz="0" w:space="0" w:color="auto"/>
          </w:divBdr>
        </w:div>
        <w:div w:id="1936789521">
          <w:marLeft w:val="480"/>
          <w:marRight w:val="0"/>
          <w:marTop w:val="0"/>
          <w:marBottom w:val="0"/>
          <w:divBdr>
            <w:top w:val="none" w:sz="0" w:space="0" w:color="auto"/>
            <w:left w:val="none" w:sz="0" w:space="0" w:color="auto"/>
            <w:bottom w:val="none" w:sz="0" w:space="0" w:color="auto"/>
            <w:right w:val="none" w:sz="0" w:space="0" w:color="auto"/>
          </w:divBdr>
        </w:div>
        <w:div w:id="1044986984">
          <w:marLeft w:val="480"/>
          <w:marRight w:val="0"/>
          <w:marTop w:val="0"/>
          <w:marBottom w:val="0"/>
          <w:divBdr>
            <w:top w:val="none" w:sz="0" w:space="0" w:color="auto"/>
            <w:left w:val="none" w:sz="0" w:space="0" w:color="auto"/>
            <w:bottom w:val="none" w:sz="0" w:space="0" w:color="auto"/>
            <w:right w:val="none" w:sz="0" w:space="0" w:color="auto"/>
          </w:divBdr>
        </w:div>
        <w:div w:id="1375615977">
          <w:marLeft w:val="480"/>
          <w:marRight w:val="0"/>
          <w:marTop w:val="0"/>
          <w:marBottom w:val="0"/>
          <w:divBdr>
            <w:top w:val="none" w:sz="0" w:space="0" w:color="auto"/>
            <w:left w:val="none" w:sz="0" w:space="0" w:color="auto"/>
            <w:bottom w:val="none" w:sz="0" w:space="0" w:color="auto"/>
            <w:right w:val="none" w:sz="0" w:space="0" w:color="auto"/>
          </w:divBdr>
        </w:div>
        <w:div w:id="319625474">
          <w:marLeft w:val="480"/>
          <w:marRight w:val="0"/>
          <w:marTop w:val="0"/>
          <w:marBottom w:val="0"/>
          <w:divBdr>
            <w:top w:val="none" w:sz="0" w:space="0" w:color="auto"/>
            <w:left w:val="none" w:sz="0" w:space="0" w:color="auto"/>
            <w:bottom w:val="none" w:sz="0" w:space="0" w:color="auto"/>
            <w:right w:val="none" w:sz="0" w:space="0" w:color="auto"/>
          </w:divBdr>
        </w:div>
        <w:div w:id="1455170847">
          <w:marLeft w:val="480"/>
          <w:marRight w:val="0"/>
          <w:marTop w:val="0"/>
          <w:marBottom w:val="0"/>
          <w:divBdr>
            <w:top w:val="none" w:sz="0" w:space="0" w:color="auto"/>
            <w:left w:val="none" w:sz="0" w:space="0" w:color="auto"/>
            <w:bottom w:val="none" w:sz="0" w:space="0" w:color="auto"/>
            <w:right w:val="none" w:sz="0" w:space="0" w:color="auto"/>
          </w:divBdr>
        </w:div>
        <w:div w:id="1478720915">
          <w:marLeft w:val="480"/>
          <w:marRight w:val="0"/>
          <w:marTop w:val="0"/>
          <w:marBottom w:val="0"/>
          <w:divBdr>
            <w:top w:val="none" w:sz="0" w:space="0" w:color="auto"/>
            <w:left w:val="none" w:sz="0" w:space="0" w:color="auto"/>
            <w:bottom w:val="none" w:sz="0" w:space="0" w:color="auto"/>
            <w:right w:val="none" w:sz="0" w:space="0" w:color="auto"/>
          </w:divBdr>
        </w:div>
        <w:div w:id="1429157191">
          <w:marLeft w:val="480"/>
          <w:marRight w:val="0"/>
          <w:marTop w:val="0"/>
          <w:marBottom w:val="0"/>
          <w:divBdr>
            <w:top w:val="none" w:sz="0" w:space="0" w:color="auto"/>
            <w:left w:val="none" w:sz="0" w:space="0" w:color="auto"/>
            <w:bottom w:val="none" w:sz="0" w:space="0" w:color="auto"/>
            <w:right w:val="none" w:sz="0" w:space="0" w:color="auto"/>
          </w:divBdr>
        </w:div>
        <w:div w:id="2040082061">
          <w:marLeft w:val="480"/>
          <w:marRight w:val="0"/>
          <w:marTop w:val="0"/>
          <w:marBottom w:val="0"/>
          <w:divBdr>
            <w:top w:val="none" w:sz="0" w:space="0" w:color="auto"/>
            <w:left w:val="none" w:sz="0" w:space="0" w:color="auto"/>
            <w:bottom w:val="none" w:sz="0" w:space="0" w:color="auto"/>
            <w:right w:val="none" w:sz="0" w:space="0" w:color="auto"/>
          </w:divBdr>
        </w:div>
        <w:div w:id="259995943">
          <w:marLeft w:val="480"/>
          <w:marRight w:val="0"/>
          <w:marTop w:val="0"/>
          <w:marBottom w:val="0"/>
          <w:divBdr>
            <w:top w:val="none" w:sz="0" w:space="0" w:color="auto"/>
            <w:left w:val="none" w:sz="0" w:space="0" w:color="auto"/>
            <w:bottom w:val="none" w:sz="0" w:space="0" w:color="auto"/>
            <w:right w:val="none" w:sz="0" w:space="0" w:color="auto"/>
          </w:divBdr>
        </w:div>
        <w:div w:id="746810262">
          <w:marLeft w:val="480"/>
          <w:marRight w:val="0"/>
          <w:marTop w:val="0"/>
          <w:marBottom w:val="0"/>
          <w:divBdr>
            <w:top w:val="none" w:sz="0" w:space="0" w:color="auto"/>
            <w:left w:val="none" w:sz="0" w:space="0" w:color="auto"/>
            <w:bottom w:val="none" w:sz="0" w:space="0" w:color="auto"/>
            <w:right w:val="none" w:sz="0" w:space="0" w:color="auto"/>
          </w:divBdr>
        </w:div>
        <w:div w:id="1474172315">
          <w:marLeft w:val="480"/>
          <w:marRight w:val="0"/>
          <w:marTop w:val="0"/>
          <w:marBottom w:val="0"/>
          <w:divBdr>
            <w:top w:val="none" w:sz="0" w:space="0" w:color="auto"/>
            <w:left w:val="none" w:sz="0" w:space="0" w:color="auto"/>
            <w:bottom w:val="none" w:sz="0" w:space="0" w:color="auto"/>
            <w:right w:val="none" w:sz="0" w:space="0" w:color="auto"/>
          </w:divBdr>
        </w:div>
        <w:div w:id="1861162574">
          <w:marLeft w:val="480"/>
          <w:marRight w:val="0"/>
          <w:marTop w:val="0"/>
          <w:marBottom w:val="0"/>
          <w:divBdr>
            <w:top w:val="none" w:sz="0" w:space="0" w:color="auto"/>
            <w:left w:val="none" w:sz="0" w:space="0" w:color="auto"/>
            <w:bottom w:val="none" w:sz="0" w:space="0" w:color="auto"/>
            <w:right w:val="none" w:sz="0" w:space="0" w:color="auto"/>
          </w:divBdr>
        </w:div>
        <w:div w:id="2081562293">
          <w:marLeft w:val="480"/>
          <w:marRight w:val="0"/>
          <w:marTop w:val="0"/>
          <w:marBottom w:val="0"/>
          <w:divBdr>
            <w:top w:val="none" w:sz="0" w:space="0" w:color="auto"/>
            <w:left w:val="none" w:sz="0" w:space="0" w:color="auto"/>
            <w:bottom w:val="none" w:sz="0" w:space="0" w:color="auto"/>
            <w:right w:val="none" w:sz="0" w:space="0" w:color="auto"/>
          </w:divBdr>
        </w:div>
        <w:div w:id="1079642810">
          <w:marLeft w:val="480"/>
          <w:marRight w:val="0"/>
          <w:marTop w:val="0"/>
          <w:marBottom w:val="0"/>
          <w:divBdr>
            <w:top w:val="none" w:sz="0" w:space="0" w:color="auto"/>
            <w:left w:val="none" w:sz="0" w:space="0" w:color="auto"/>
            <w:bottom w:val="none" w:sz="0" w:space="0" w:color="auto"/>
            <w:right w:val="none" w:sz="0" w:space="0" w:color="auto"/>
          </w:divBdr>
        </w:div>
        <w:div w:id="34232369">
          <w:marLeft w:val="480"/>
          <w:marRight w:val="0"/>
          <w:marTop w:val="0"/>
          <w:marBottom w:val="0"/>
          <w:divBdr>
            <w:top w:val="none" w:sz="0" w:space="0" w:color="auto"/>
            <w:left w:val="none" w:sz="0" w:space="0" w:color="auto"/>
            <w:bottom w:val="none" w:sz="0" w:space="0" w:color="auto"/>
            <w:right w:val="none" w:sz="0" w:space="0" w:color="auto"/>
          </w:divBdr>
        </w:div>
        <w:div w:id="1107624535">
          <w:marLeft w:val="480"/>
          <w:marRight w:val="0"/>
          <w:marTop w:val="0"/>
          <w:marBottom w:val="0"/>
          <w:divBdr>
            <w:top w:val="none" w:sz="0" w:space="0" w:color="auto"/>
            <w:left w:val="none" w:sz="0" w:space="0" w:color="auto"/>
            <w:bottom w:val="none" w:sz="0" w:space="0" w:color="auto"/>
            <w:right w:val="none" w:sz="0" w:space="0" w:color="auto"/>
          </w:divBdr>
        </w:div>
        <w:div w:id="1652906175">
          <w:marLeft w:val="480"/>
          <w:marRight w:val="0"/>
          <w:marTop w:val="0"/>
          <w:marBottom w:val="0"/>
          <w:divBdr>
            <w:top w:val="none" w:sz="0" w:space="0" w:color="auto"/>
            <w:left w:val="none" w:sz="0" w:space="0" w:color="auto"/>
            <w:bottom w:val="none" w:sz="0" w:space="0" w:color="auto"/>
            <w:right w:val="none" w:sz="0" w:space="0" w:color="auto"/>
          </w:divBdr>
        </w:div>
        <w:div w:id="1713458501">
          <w:marLeft w:val="480"/>
          <w:marRight w:val="0"/>
          <w:marTop w:val="0"/>
          <w:marBottom w:val="0"/>
          <w:divBdr>
            <w:top w:val="none" w:sz="0" w:space="0" w:color="auto"/>
            <w:left w:val="none" w:sz="0" w:space="0" w:color="auto"/>
            <w:bottom w:val="none" w:sz="0" w:space="0" w:color="auto"/>
            <w:right w:val="none" w:sz="0" w:space="0" w:color="auto"/>
          </w:divBdr>
        </w:div>
        <w:div w:id="1041200152">
          <w:marLeft w:val="480"/>
          <w:marRight w:val="0"/>
          <w:marTop w:val="0"/>
          <w:marBottom w:val="0"/>
          <w:divBdr>
            <w:top w:val="none" w:sz="0" w:space="0" w:color="auto"/>
            <w:left w:val="none" w:sz="0" w:space="0" w:color="auto"/>
            <w:bottom w:val="none" w:sz="0" w:space="0" w:color="auto"/>
            <w:right w:val="none" w:sz="0" w:space="0" w:color="auto"/>
          </w:divBdr>
        </w:div>
        <w:div w:id="1881741536">
          <w:marLeft w:val="480"/>
          <w:marRight w:val="0"/>
          <w:marTop w:val="0"/>
          <w:marBottom w:val="0"/>
          <w:divBdr>
            <w:top w:val="none" w:sz="0" w:space="0" w:color="auto"/>
            <w:left w:val="none" w:sz="0" w:space="0" w:color="auto"/>
            <w:bottom w:val="none" w:sz="0" w:space="0" w:color="auto"/>
            <w:right w:val="none" w:sz="0" w:space="0" w:color="auto"/>
          </w:divBdr>
        </w:div>
        <w:div w:id="735855837">
          <w:marLeft w:val="480"/>
          <w:marRight w:val="0"/>
          <w:marTop w:val="0"/>
          <w:marBottom w:val="0"/>
          <w:divBdr>
            <w:top w:val="none" w:sz="0" w:space="0" w:color="auto"/>
            <w:left w:val="none" w:sz="0" w:space="0" w:color="auto"/>
            <w:bottom w:val="none" w:sz="0" w:space="0" w:color="auto"/>
            <w:right w:val="none" w:sz="0" w:space="0" w:color="auto"/>
          </w:divBdr>
        </w:div>
        <w:div w:id="555816127">
          <w:marLeft w:val="480"/>
          <w:marRight w:val="0"/>
          <w:marTop w:val="0"/>
          <w:marBottom w:val="0"/>
          <w:divBdr>
            <w:top w:val="none" w:sz="0" w:space="0" w:color="auto"/>
            <w:left w:val="none" w:sz="0" w:space="0" w:color="auto"/>
            <w:bottom w:val="none" w:sz="0" w:space="0" w:color="auto"/>
            <w:right w:val="none" w:sz="0" w:space="0" w:color="auto"/>
          </w:divBdr>
        </w:div>
        <w:div w:id="743835984">
          <w:marLeft w:val="480"/>
          <w:marRight w:val="0"/>
          <w:marTop w:val="0"/>
          <w:marBottom w:val="0"/>
          <w:divBdr>
            <w:top w:val="none" w:sz="0" w:space="0" w:color="auto"/>
            <w:left w:val="none" w:sz="0" w:space="0" w:color="auto"/>
            <w:bottom w:val="none" w:sz="0" w:space="0" w:color="auto"/>
            <w:right w:val="none" w:sz="0" w:space="0" w:color="auto"/>
          </w:divBdr>
        </w:div>
        <w:div w:id="1334383501">
          <w:marLeft w:val="480"/>
          <w:marRight w:val="0"/>
          <w:marTop w:val="0"/>
          <w:marBottom w:val="0"/>
          <w:divBdr>
            <w:top w:val="none" w:sz="0" w:space="0" w:color="auto"/>
            <w:left w:val="none" w:sz="0" w:space="0" w:color="auto"/>
            <w:bottom w:val="none" w:sz="0" w:space="0" w:color="auto"/>
            <w:right w:val="none" w:sz="0" w:space="0" w:color="auto"/>
          </w:divBdr>
        </w:div>
        <w:div w:id="369378060">
          <w:marLeft w:val="480"/>
          <w:marRight w:val="0"/>
          <w:marTop w:val="0"/>
          <w:marBottom w:val="0"/>
          <w:divBdr>
            <w:top w:val="none" w:sz="0" w:space="0" w:color="auto"/>
            <w:left w:val="none" w:sz="0" w:space="0" w:color="auto"/>
            <w:bottom w:val="none" w:sz="0" w:space="0" w:color="auto"/>
            <w:right w:val="none" w:sz="0" w:space="0" w:color="auto"/>
          </w:divBdr>
        </w:div>
        <w:div w:id="1679431171">
          <w:marLeft w:val="480"/>
          <w:marRight w:val="0"/>
          <w:marTop w:val="0"/>
          <w:marBottom w:val="0"/>
          <w:divBdr>
            <w:top w:val="none" w:sz="0" w:space="0" w:color="auto"/>
            <w:left w:val="none" w:sz="0" w:space="0" w:color="auto"/>
            <w:bottom w:val="none" w:sz="0" w:space="0" w:color="auto"/>
            <w:right w:val="none" w:sz="0" w:space="0" w:color="auto"/>
          </w:divBdr>
        </w:div>
        <w:div w:id="86317279">
          <w:marLeft w:val="480"/>
          <w:marRight w:val="0"/>
          <w:marTop w:val="0"/>
          <w:marBottom w:val="0"/>
          <w:divBdr>
            <w:top w:val="none" w:sz="0" w:space="0" w:color="auto"/>
            <w:left w:val="none" w:sz="0" w:space="0" w:color="auto"/>
            <w:bottom w:val="none" w:sz="0" w:space="0" w:color="auto"/>
            <w:right w:val="none" w:sz="0" w:space="0" w:color="auto"/>
          </w:divBdr>
        </w:div>
        <w:div w:id="860701189">
          <w:marLeft w:val="480"/>
          <w:marRight w:val="0"/>
          <w:marTop w:val="0"/>
          <w:marBottom w:val="0"/>
          <w:divBdr>
            <w:top w:val="none" w:sz="0" w:space="0" w:color="auto"/>
            <w:left w:val="none" w:sz="0" w:space="0" w:color="auto"/>
            <w:bottom w:val="none" w:sz="0" w:space="0" w:color="auto"/>
            <w:right w:val="none" w:sz="0" w:space="0" w:color="auto"/>
          </w:divBdr>
        </w:div>
        <w:div w:id="1297445803">
          <w:marLeft w:val="480"/>
          <w:marRight w:val="0"/>
          <w:marTop w:val="0"/>
          <w:marBottom w:val="0"/>
          <w:divBdr>
            <w:top w:val="none" w:sz="0" w:space="0" w:color="auto"/>
            <w:left w:val="none" w:sz="0" w:space="0" w:color="auto"/>
            <w:bottom w:val="none" w:sz="0" w:space="0" w:color="auto"/>
            <w:right w:val="none" w:sz="0" w:space="0" w:color="auto"/>
          </w:divBdr>
        </w:div>
        <w:div w:id="802582652">
          <w:marLeft w:val="480"/>
          <w:marRight w:val="0"/>
          <w:marTop w:val="0"/>
          <w:marBottom w:val="0"/>
          <w:divBdr>
            <w:top w:val="none" w:sz="0" w:space="0" w:color="auto"/>
            <w:left w:val="none" w:sz="0" w:space="0" w:color="auto"/>
            <w:bottom w:val="none" w:sz="0" w:space="0" w:color="auto"/>
            <w:right w:val="none" w:sz="0" w:space="0" w:color="auto"/>
          </w:divBdr>
        </w:div>
        <w:div w:id="1067341624">
          <w:marLeft w:val="480"/>
          <w:marRight w:val="0"/>
          <w:marTop w:val="0"/>
          <w:marBottom w:val="0"/>
          <w:divBdr>
            <w:top w:val="none" w:sz="0" w:space="0" w:color="auto"/>
            <w:left w:val="none" w:sz="0" w:space="0" w:color="auto"/>
            <w:bottom w:val="none" w:sz="0" w:space="0" w:color="auto"/>
            <w:right w:val="none" w:sz="0" w:space="0" w:color="auto"/>
          </w:divBdr>
        </w:div>
        <w:div w:id="454716398">
          <w:marLeft w:val="480"/>
          <w:marRight w:val="0"/>
          <w:marTop w:val="0"/>
          <w:marBottom w:val="0"/>
          <w:divBdr>
            <w:top w:val="none" w:sz="0" w:space="0" w:color="auto"/>
            <w:left w:val="none" w:sz="0" w:space="0" w:color="auto"/>
            <w:bottom w:val="none" w:sz="0" w:space="0" w:color="auto"/>
            <w:right w:val="none" w:sz="0" w:space="0" w:color="auto"/>
          </w:divBdr>
        </w:div>
        <w:div w:id="1627076238">
          <w:marLeft w:val="480"/>
          <w:marRight w:val="0"/>
          <w:marTop w:val="0"/>
          <w:marBottom w:val="0"/>
          <w:divBdr>
            <w:top w:val="none" w:sz="0" w:space="0" w:color="auto"/>
            <w:left w:val="none" w:sz="0" w:space="0" w:color="auto"/>
            <w:bottom w:val="none" w:sz="0" w:space="0" w:color="auto"/>
            <w:right w:val="none" w:sz="0" w:space="0" w:color="auto"/>
          </w:divBdr>
        </w:div>
        <w:div w:id="986855345">
          <w:marLeft w:val="480"/>
          <w:marRight w:val="0"/>
          <w:marTop w:val="0"/>
          <w:marBottom w:val="0"/>
          <w:divBdr>
            <w:top w:val="none" w:sz="0" w:space="0" w:color="auto"/>
            <w:left w:val="none" w:sz="0" w:space="0" w:color="auto"/>
            <w:bottom w:val="none" w:sz="0" w:space="0" w:color="auto"/>
            <w:right w:val="none" w:sz="0" w:space="0" w:color="auto"/>
          </w:divBdr>
        </w:div>
        <w:div w:id="2090685940">
          <w:marLeft w:val="480"/>
          <w:marRight w:val="0"/>
          <w:marTop w:val="0"/>
          <w:marBottom w:val="0"/>
          <w:divBdr>
            <w:top w:val="none" w:sz="0" w:space="0" w:color="auto"/>
            <w:left w:val="none" w:sz="0" w:space="0" w:color="auto"/>
            <w:bottom w:val="none" w:sz="0" w:space="0" w:color="auto"/>
            <w:right w:val="none" w:sz="0" w:space="0" w:color="auto"/>
          </w:divBdr>
        </w:div>
        <w:div w:id="1133401640">
          <w:marLeft w:val="480"/>
          <w:marRight w:val="0"/>
          <w:marTop w:val="0"/>
          <w:marBottom w:val="0"/>
          <w:divBdr>
            <w:top w:val="none" w:sz="0" w:space="0" w:color="auto"/>
            <w:left w:val="none" w:sz="0" w:space="0" w:color="auto"/>
            <w:bottom w:val="none" w:sz="0" w:space="0" w:color="auto"/>
            <w:right w:val="none" w:sz="0" w:space="0" w:color="auto"/>
          </w:divBdr>
        </w:div>
        <w:div w:id="435561060">
          <w:marLeft w:val="480"/>
          <w:marRight w:val="0"/>
          <w:marTop w:val="0"/>
          <w:marBottom w:val="0"/>
          <w:divBdr>
            <w:top w:val="none" w:sz="0" w:space="0" w:color="auto"/>
            <w:left w:val="none" w:sz="0" w:space="0" w:color="auto"/>
            <w:bottom w:val="none" w:sz="0" w:space="0" w:color="auto"/>
            <w:right w:val="none" w:sz="0" w:space="0" w:color="auto"/>
          </w:divBdr>
        </w:div>
        <w:div w:id="1121268482">
          <w:marLeft w:val="480"/>
          <w:marRight w:val="0"/>
          <w:marTop w:val="0"/>
          <w:marBottom w:val="0"/>
          <w:divBdr>
            <w:top w:val="none" w:sz="0" w:space="0" w:color="auto"/>
            <w:left w:val="none" w:sz="0" w:space="0" w:color="auto"/>
            <w:bottom w:val="none" w:sz="0" w:space="0" w:color="auto"/>
            <w:right w:val="none" w:sz="0" w:space="0" w:color="auto"/>
          </w:divBdr>
        </w:div>
        <w:div w:id="830754052">
          <w:marLeft w:val="480"/>
          <w:marRight w:val="0"/>
          <w:marTop w:val="0"/>
          <w:marBottom w:val="0"/>
          <w:divBdr>
            <w:top w:val="none" w:sz="0" w:space="0" w:color="auto"/>
            <w:left w:val="none" w:sz="0" w:space="0" w:color="auto"/>
            <w:bottom w:val="none" w:sz="0" w:space="0" w:color="auto"/>
            <w:right w:val="none" w:sz="0" w:space="0" w:color="auto"/>
          </w:divBdr>
        </w:div>
        <w:div w:id="777257644">
          <w:marLeft w:val="480"/>
          <w:marRight w:val="0"/>
          <w:marTop w:val="0"/>
          <w:marBottom w:val="0"/>
          <w:divBdr>
            <w:top w:val="none" w:sz="0" w:space="0" w:color="auto"/>
            <w:left w:val="none" w:sz="0" w:space="0" w:color="auto"/>
            <w:bottom w:val="none" w:sz="0" w:space="0" w:color="auto"/>
            <w:right w:val="none" w:sz="0" w:space="0" w:color="auto"/>
          </w:divBdr>
        </w:div>
        <w:div w:id="1424957986">
          <w:marLeft w:val="480"/>
          <w:marRight w:val="0"/>
          <w:marTop w:val="0"/>
          <w:marBottom w:val="0"/>
          <w:divBdr>
            <w:top w:val="none" w:sz="0" w:space="0" w:color="auto"/>
            <w:left w:val="none" w:sz="0" w:space="0" w:color="auto"/>
            <w:bottom w:val="none" w:sz="0" w:space="0" w:color="auto"/>
            <w:right w:val="none" w:sz="0" w:space="0" w:color="auto"/>
          </w:divBdr>
        </w:div>
        <w:div w:id="742944852">
          <w:marLeft w:val="480"/>
          <w:marRight w:val="0"/>
          <w:marTop w:val="0"/>
          <w:marBottom w:val="0"/>
          <w:divBdr>
            <w:top w:val="none" w:sz="0" w:space="0" w:color="auto"/>
            <w:left w:val="none" w:sz="0" w:space="0" w:color="auto"/>
            <w:bottom w:val="none" w:sz="0" w:space="0" w:color="auto"/>
            <w:right w:val="none" w:sz="0" w:space="0" w:color="auto"/>
          </w:divBdr>
        </w:div>
        <w:div w:id="405304068">
          <w:marLeft w:val="480"/>
          <w:marRight w:val="0"/>
          <w:marTop w:val="0"/>
          <w:marBottom w:val="0"/>
          <w:divBdr>
            <w:top w:val="none" w:sz="0" w:space="0" w:color="auto"/>
            <w:left w:val="none" w:sz="0" w:space="0" w:color="auto"/>
            <w:bottom w:val="none" w:sz="0" w:space="0" w:color="auto"/>
            <w:right w:val="none" w:sz="0" w:space="0" w:color="auto"/>
          </w:divBdr>
        </w:div>
        <w:div w:id="1290553838">
          <w:marLeft w:val="480"/>
          <w:marRight w:val="0"/>
          <w:marTop w:val="0"/>
          <w:marBottom w:val="0"/>
          <w:divBdr>
            <w:top w:val="none" w:sz="0" w:space="0" w:color="auto"/>
            <w:left w:val="none" w:sz="0" w:space="0" w:color="auto"/>
            <w:bottom w:val="none" w:sz="0" w:space="0" w:color="auto"/>
            <w:right w:val="none" w:sz="0" w:space="0" w:color="auto"/>
          </w:divBdr>
        </w:div>
        <w:div w:id="1648976682">
          <w:marLeft w:val="480"/>
          <w:marRight w:val="0"/>
          <w:marTop w:val="0"/>
          <w:marBottom w:val="0"/>
          <w:divBdr>
            <w:top w:val="none" w:sz="0" w:space="0" w:color="auto"/>
            <w:left w:val="none" w:sz="0" w:space="0" w:color="auto"/>
            <w:bottom w:val="none" w:sz="0" w:space="0" w:color="auto"/>
            <w:right w:val="none" w:sz="0" w:space="0" w:color="auto"/>
          </w:divBdr>
        </w:div>
        <w:div w:id="2120834064">
          <w:marLeft w:val="480"/>
          <w:marRight w:val="0"/>
          <w:marTop w:val="0"/>
          <w:marBottom w:val="0"/>
          <w:divBdr>
            <w:top w:val="none" w:sz="0" w:space="0" w:color="auto"/>
            <w:left w:val="none" w:sz="0" w:space="0" w:color="auto"/>
            <w:bottom w:val="none" w:sz="0" w:space="0" w:color="auto"/>
            <w:right w:val="none" w:sz="0" w:space="0" w:color="auto"/>
          </w:divBdr>
        </w:div>
        <w:div w:id="1405299422">
          <w:marLeft w:val="480"/>
          <w:marRight w:val="0"/>
          <w:marTop w:val="0"/>
          <w:marBottom w:val="0"/>
          <w:divBdr>
            <w:top w:val="none" w:sz="0" w:space="0" w:color="auto"/>
            <w:left w:val="none" w:sz="0" w:space="0" w:color="auto"/>
            <w:bottom w:val="none" w:sz="0" w:space="0" w:color="auto"/>
            <w:right w:val="none" w:sz="0" w:space="0" w:color="auto"/>
          </w:divBdr>
        </w:div>
        <w:div w:id="1038899270">
          <w:marLeft w:val="480"/>
          <w:marRight w:val="0"/>
          <w:marTop w:val="0"/>
          <w:marBottom w:val="0"/>
          <w:divBdr>
            <w:top w:val="none" w:sz="0" w:space="0" w:color="auto"/>
            <w:left w:val="none" w:sz="0" w:space="0" w:color="auto"/>
            <w:bottom w:val="none" w:sz="0" w:space="0" w:color="auto"/>
            <w:right w:val="none" w:sz="0" w:space="0" w:color="auto"/>
          </w:divBdr>
        </w:div>
        <w:div w:id="513766556">
          <w:marLeft w:val="480"/>
          <w:marRight w:val="0"/>
          <w:marTop w:val="0"/>
          <w:marBottom w:val="0"/>
          <w:divBdr>
            <w:top w:val="none" w:sz="0" w:space="0" w:color="auto"/>
            <w:left w:val="none" w:sz="0" w:space="0" w:color="auto"/>
            <w:bottom w:val="none" w:sz="0" w:space="0" w:color="auto"/>
            <w:right w:val="none" w:sz="0" w:space="0" w:color="auto"/>
          </w:divBdr>
        </w:div>
        <w:div w:id="998725404">
          <w:marLeft w:val="480"/>
          <w:marRight w:val="0"/>
          <w:marTop w:val="0"/>
          <w:marBottom w:val="0"/>
          <w:divBdr>
            <w:top w:val="none" w:sz="0" w:space="0" w:color="auto"/>
            <w:left w:val="none" w:sz="0" w:space="0" w:color="auto"/>
            <w:bottom w:val="none" w:sz="0" w:space="0" w:color="auto"/>
            <w:right w:val="none" w:sz="0" w:space="0" w:color="auto"/>
          </w:divBdr>
        </w:div>
        <w:div w:id="2140759869">
          <w:marLeft w:val="480"/>
          <w:marRight w:val="0"/>
          <w:marTop w:val="0"/>
          <w:marBottom w:val="0"/>
          <w:divBdr>
            <w:top w:val="none" w:sz="0" w:space="0" w:color="auto"/>
            <w:left w:val="none" w:sz="0" w:space="0" w:color="auto"/>
            <w:bottom w:val="none" w:sz="0" w:space="0" w:color="auto"/>
            <w:right w:val="none" w:sz="0" w:space="0" w:color="auto"/>
          </w:divBdr>
        </w:div>
      </w:divsChild>
    </w:div>
    <w:div w:id="1906837647">
      <w:bodyDiv w:val="1"/>
      <w:marLeft w:val="0"/>
      <w:marRight w:val="0"/>
      <w:marTop w:val="0"/>
      <w:marBottom w:val="0"/>
      <w:divBdr>
        <w:top w:val="none" w:sz="0" w:space="0" w:color="auto"/>
        <w:left w:val="none" w:sz="0" w:space="0" w:color="auto"/>
        <w:bottom w:val="none" w:sz="0" w:space="0" w:color="auto"/>
        <w:right w:val="none" w:sz="0" w:space="0" w:color="auto"/>
      </w:divBdr>
      <w:divsChild>
        <w:div w:id="517353980">
          <w:marLeft w:val="480"/>
          <w:marRight w:val="0"/>
          <w:marTop w:val="0"/>
          <w:marBottom w:val="0"/>
          <w:divBdr>
            <w:top w:val="none" w:sz="0" w:space="0" w:color="auto"/>
            <w:left w:val="none" w:sz="0" w:space="0" w:color="auto"/>
            <w:bottom w:val="none" w:sz="0" w:space="0" w:color="auto"/>
            <w:right w:val="none" w:sz="0" w:space="0" w:color="auto"/>
          </w:divBdr>
        </w:div>
        <w:div w:id="488793304">
          <w:marLeft w:val="480"/>
          <w:marRight w:val="0"/>
          <w:marTop w:val="0"/>
          <w:marBottom w:val="0"/>
          <w:divBdr>
            <w:top w:val="none" w:sz="0" w:space="0" w:color="auto"/>
            <w:left w:val="none" w:sz="0" w:space="0" w:color="auto"/>
            <w:bottom w:val="none" w:sz="0" w:space="0" w:color="auto"/>
            <w:right w:val="none" w:sz="0" w:space="0" w:color="auto"/>
          </w:divBdr>
        </w:div>
        <w:div w:id="303245462">
          <w:marLeft w:val="480"/>
          <w:marRight w:val="0"/>
          <w:marTop w:val="0"/>
          <w:marBottom w:val="0"/>
          <w:divBdr>
            <w:top w:val="none" w:sz="0" w:space="0" w:color="auto"/>
            <w:left w:val="none" w:sz="0" w:space="0" w:color="auto"/>
            <w:bottom w:val="none" w:sz="0" w:space="0" w:color="auto"/>
            <w:right w:val="none" w:sz="0" w:space="0" w:color="auto"/>
          </w:divBdr>
        </w:div>
        <w:div w:id="1515342911">
          <w:marLeft w:val="480"/>
          <w:marRight w:val="0"/>
          <w:marTop w:val="0"/>
          <w:marBottom w:val="0"/>
          <w:divBdr>
            <w:top w:val="none" w:sz="0" w:space="0" w:color="auto"/>
            <w:left w:val="none" w:sz="0" w:space="0" w:color="auto"/>
            <w:bottom w:val="none" w:sz="0" w:space="0" w:color="auto"/>
            <w:right w:val="none" w:sz="0" w:space="0" w:color="auto"/>
          </w:divBdr>
        </w:div>
        <w:div w:id="1811827434">
          <w:marLeft w:val="480"/>
          <w:marRight w:val="0"/>
          <w:marTop w:val="0"/>
          <w:marBottom w:val="0"/>
          <w:divBdr>
            <w:top w:val="none" w:sz="0" w:space="0" w:color="auto"/>
            <w:left w:val="none" w:sz="0" w:space="0" w:color="auto"/>
            <w:bottom w:val="none" w:sz="0" w:space="0" w:color="auto"/>
            <w:right w:val="none" w:sz="0" w:space="0" w:color="auto"/>
          </w:divBdr>
        </w:div>
        <w:div w:id="545525977">
          <w:marLeft w:val="480"/>
          <w:marRight w:val="0"/>
          <w:marTop w:val="0"/>
          <w:marBottom w:val="0"/>
          <w:divBdr>
            <w:top w:val="none" w:sz="0" w:space="0" w:color="auto"/>
            <w:left w:val="none" w:sz="0" w:space="0" w:color="auto"/>
            <w:bottom w:val="none" w:sz="0" w:space="0" w:color="auto"/>
            <w:right w:val="none" w:sz="0" w:space="0" w:color="auto"/>
          </w:divBdr>
        </w:div>
        <w:div w:id="1073352940">
          <w:marLeft w:val="480"/>
          <w:marRight w:val="0"/>
          <w:marTop w:val="0"/>
          <w:marBottom w:val="0"/>
          <w:divBdr>
            <w:top w:val="none" w:sz="0" w:space="0" w:color="auto"/>
            <w:left w:val="none" w:sz="0" w:space="0" w:color="auto"/>
            <w:bottom w:val="none" w:sz="0" w:space="0" w:color="auto"/>
            <w:right w:val="none" w:sz="0" w:space="0" w:color="auto"/>
          </w:divBdr>
        </w:div>
        <w:div w:id="1296957931">
          <w:marLeft w:val="480"/>
          <w:marRight w:val="0"/>
          <w:marTop w:val="0"/>
          <w:marBottom w:val="0"/>
          <w:divBdr>
            <w:top w:val="none" w:sz="0" w:space="0" w:color="auto"/>
            <w:left w:val="none" w:sz="0" w:space="0" w:color="auto"/>
            <w:bottom w:val="none" w:sz="0" w:space="0" w:color="auto"/>
            <w:right w:val="none" w:sz="0" w:space="0" w:color="auto"/>
          </w:divBdr>
        </w:div>
        <w:div w:id="1482966260">
          <w:marLeft w:val="480"/>
          <w:marRight w:val="0"/>
          <w:marTop w:val="0"/>
          <w:marBottom w:val="0"/>
          <w:divBdr>
            <w:top w:val="none" w:sz="0" w:space="0" w:color="auto"/>
            <w:left w:val="none" w:sz="0" w:space="0" w:color="auto"/>
            <w:bottom w:val="none" w:sz="0" w:space="0" w:color="auto"/>
            <w:right w:val="none" w:sz="0" w:space="0" w:color="auto"/>
          </w:divBdr>
        </w:div>
        <w:div w:id="2011322465">
          <w:marLeft w:val="480"/>
          <w:marRight w:val="0"/>
          <w:marTop w:val="0"/>
          <w:marBottom w:val="0"/>
          <w:divBdr>
            <w:top w:val="none" w:sz="0" w:space="0" w:color="auto"/>
            <w:left w:val="none" w:sz="0" w:space="0" w:color="auto"/>
            <w:bottom w:val="none" w:sz="0" w:space="0" w:color="auto"/>
            <w:right w:val="none" w:sz="0" w:space="0" w:color="auto"/>
          </w:divBdr>
        </w:div>
        <w:div w:id="1579095056">
          <w:marLeft w:val="480"/>
          <w:marRight w:val="0"/>
          <w:marTop w:val="0"/>
          <w:marBottom w:val="0"/>
          <w:divBdr>
            <w:top w:val="none" w:sz="0" w:space="0" w:color="auto"/>
            <w:left w:val="none" w:sz="0" w:space="0" w:color="auto"/>
            <w:bottom w:val="none" w:sz="0" w:space="0" w:color="auto"/>
            <w:right w:val="none" w:sz="0" w:space="0" w:color="auto"/>
          </w:divBdr>
        </w:div>
        <w:div w:id="1919559844">
          <w:marLeft w:val="480"/>
          <w:marRight w:val="0"/>
          <w:marTop w:val="0"/>
          <w:marBottom w:val="0"/>
          <w:divBdr>
            <w:top w:val="none" w:sz="0" w:space="0" w:color="auto"/>
            <w:left w:val="none" w:sz="0" w:space="0" w:color="auto"/>
            <w:bottom w:val="none" w:sz="0" w:space="0" w:color="auto"/>
            <w:right w:val="none" w:sz="0" w:space="0" w:color="auto"/>
          </w:divBdr>
        </w:div>
        <w:div w:id="188104908">
          <w:marLeft w:val="480"/>
          <w:marRight w:val="0"/>
          <w:marTop w:val="0"/>
          <w:marBottom w:val="0"/>
          <w:divBdr>
            <w:top w:val="none" w:sz="0" w:space="0" w:color="auto"/>
            <w:left w:val="none" w:sz="0" w:space="0" w:color="auto"/>
            <w:bottom w:val="none" w:sz="0" w:space="0" w:color="auto"/>
            <w:right w:val="none" w:sz="0" w:space="0" w:color="auto"/>
          </w:divBdr>
        </w:div>
        <w:div w:id="2103261441">
          <w:marLeft w:val="480"/>
          <w:marRight w:val="0"/>
          <w:marTop w:val="0"/>
          <w:marBottom w:val="0"/>
          <w:divBdr>
            <w:top w:val="none" w:sz="0" w:space="0" w:color="auto"/>
            <w:left w:val="none" w:sz="0" w:space="0" w:color="auto"/>
            <w:bottom w:val="none" w:sz="0" w:space="0" w:color="auto"/>
            <w:right w:val="none" w:sz="0" w:space="0" w:color="auto"/>
          </w:divBdr>
        </w:div>
        <w:div w:id="1426464865">
          <w:marLeft w:val="480"/>
          <w:marRight w:val="0"/>
          <w:marTop w:val="0"/>
          <w:marBottom w:val="0"/>
          <w:divBdr>
            <w:top w:val="none" w:sz="0" w:space="0" w:color="auto"/>
            <w:left w:val="none" w:sz="0" w:space="0" w:color="auto"/>
            <w:bottom w:val="none" w:sz="0" w:space="0" w:color="auto"/>
            <w:right w:val="none" w:sz="0" w:space="0" w:color="auto"/>
          </w:divBdr>
        </w:div>
        <w:div w:id="222258920">
          <w:marLeft w:val="480"/>
          <w:marRight w:val="0"/>
          <w:marTop w:val="0"/>
          <w:marBottom w:val="0"/>
          <w:divBdr>
            <w:top w:val="none" w:sz="0" w:space="0" w:color="auto"/>
            <w:left w:val="none" w:sz="0" w:space="0" w:color="auto"/>
            <w:bottom w:val="none" w:sz="0" w:space="0" w:color="auto"/>
            <w:right w:val="none" w:sz="0" w:space="0" w:color="auto"/>
          </w:divBdr>
        </w:div>
        <w:div w:id="1327123522">
          <w:marLeft w:val="480"/>
          <w:marRight w:val="0"/>
          <w:marTop w:val="0"/>
          <w:marBottom w:val="0"/>
          <w:divBdr>
            <w:top w:val="none" w:sz="0" w:space="0" w:color="auto"/>
            <w:left w:val="none" w:sz="0" w:space="0" w:color="auto"/>
            <w:bottom w:val="none" w:sz="0" w:space="0" w:color="auto"/>
            <w:right w:val="none" w:sz="0" w:space="0" w:color="auto"/>
          </w:divBdr>
        </w:div>
        <w:div w:id="1068724553">
          <w:marLeft w:val="480"/>
          <w:marRight w:val="0"/>
          <w:marTop w:val="0"/>
          <w:marBottom w:val="0"/>
          <w:divBdr>
            <w:top w:val="none" w:sz="0" w:space="0" w:color="auto"/>
            <w:left w:val="none" w:sz="0" w:space="0" w:color="auto"/>
            <w:bottom w:val="none" w:sz="0" w:space="0" w:color="auto"/>
            <w:right w:val="none" w:sz="0" w:space="0" w:color="auto"/>
          </w:divBdr>
        </w:div>
        <w:div w:id="1511211438">
          <w:marLeft w:val="480"/>
          <w:marRight w:val="0"/>
          <w:marTop w:val="0"/>
          <w:marBottom w:val="0"/>
          <w:divBdr>
            <w:top w:val="none" w:sz="0" w:space="0" w:color="auto"/>
            <w:left w:val="none" w:sz="0" w:space="0" w:color="auto"/>
            <w:bottom w:val="none" w:sz="0" w:space="0" w:color="auto"/>
            <w:right w:val="none" w:sz="0" w:space="0" w:color="auto"/>
          </w:divBdr>
        </w:div>
        <w:div w:id="1166827525">
          <w:marLeft w:val="480"/>
          <w:marRight w:val="0"/>
          <w:marTop w:val="0"/>
          <w:marBottom w:val="0"/>
          <w:divBdr>
            <w:top w:val="none" w:sz="0" w:space="0" w:color="auto"/>
            <w:left w:val="none" w:sz="0" w:space="0" w:color="auto"/>
            <w:bottom w:val="none" w:sz="0" w:space="0" w:color="auto"/>
            <w:right w:val="none" w:sz="0" w:space="0" w:color="auto"/>
          </w:divBdr>
        </w:div>
        <w:div w:id="1966933204">
          <w:marLeft w:val="480"/>
          <w:marRight w:val="0"/>
          <w:marTop w:val="0"/>
          <w:marBottom w:val="0"/>
          <w:divBdr>
            <w:top w:val="none" w:sz="0" w:space="0" w:color="auto"/>
            <w:left w:val="none" w:sz="0" w:space="0" w:color="auto"/>
            <w:bottom w:val="none" w:sz="0" w:space="0" w:color="auto"/>
            <w:right w:val="none" w:sz="0" w:space="0" w:color="auto"/>
          </w:divBdr>
        </w:div>
        <w:div w:id="604117223">
          <w:marLeft w:val="480"/>
          <w:marRight w:val="0"/>
          <w:marTop w:val="0"/>
          <w:marBottom w:val="0"/>
          <w:divBdr>
            <w:top w:val="none" w:sz="0" w:space="0" w:color="auto"/>
            <w:left w:val="none" w:sz="0" w:space="0" w:color="auto"/>
            <w:bottom w:val="none" w:sz="0" w:space="0" w:color="auto"/>
            <w:right w:val="none" w:sz="0" w:space="0" w:color="auto"/>
          </w:divBdr>
        </w:div>
        <w:div w:id="650254003">
          <w:marLeft w:val="480"/>
          <w:marRight w:val="0"/>
          <w:marTop w:val="0"/>
          <w:marBottom w:val="0"/>
          <w:divBdr>
            <w:top w:val="none" w:sz="0" w:space="0" w:color="auto"/>
            <w:left w:val="none" w:sz="0" w:space="0" w:color="auto"/>
            <w:bottom w:val="none" w:sz="0" w:space="0" w:color="auto"/>
            <w:right w:val="none" w:sz="0" w:space="0" w:color="auto"/>
          </w:divBdr>
        </w:div>
        <w:div w:id="987977296">
          <w:marLeft w:val="480"/>
          <w:marRight w:val="0"/>
          <w:marTop w:val="0"/>
          <w:marBottom w:val="0"/>
          <w:divBdr>
            <w:top w:val="none" w:sz="0" w:space="0" w:color="auto"/>
            <w:left w:val="none" w:sz="0" w:space="0" w:color="auto"/>
            <w:bottom w:val="none" w:sz="0" w:space="0" w:color="auto"/>
            <w:right w:val="none" w:sz="0" w:space="0" w:color="auto"/>
          </w:divBdr>
        </w:div>
        <w:div w:id="1875538050">
          <w:marLeft w:val="480"/>
          <w:marRight w:val="0"/>
          <w:marTop w:val="0"/>
          <w:marBottom w:val="0"/>
          <w:divBdr>
            <w:top w:val="none" w:sz="0" w:space="0" w:color="auto"/>
            <w:left w:val="none" w:sz="0" w:space="0" w:color="auto"/>
            <w:bottom w:val="none" w:sz="0" w:space="0" w:color="auto"/>
            <w:right w:val="none" w:sz="0" w:space="0" w:color="auto"/>
          </w:divBdr>
        </w:div>
        <w:div w:id="923682524">
          <w:marLeft w:val="480"/>
          <w:marRight w:val="0"/>
          <w:marTop w:val="0"/>
          <w:marBottom w:val="0"/>
          <w:divBdr>
            <w:top w:val="none" w:sz="0" w:space="0" w:color="auto"/>
            <w:left w:val="none" w:sz="0" w:space="0" w:color="auto"/>
            <w:bottom w:val="none" w:sz="0" w:space="0" w:color="auto"/>
            <w:right w:val="none" w:sz="0" w:space="0" w:color="auto"/>
          </w:divBdr>
        </w:div>
        <w:div w:id="83574172">
          <w:marLeft w:val="480"/>
          <w:marRight w:val="0"/>
          <w:marTop w:val="0"/>
          <w:marBottom w:val="0"/>
          <w:divBdr>
            <w:top w:val="none" w:sz="0" w:space="0" w:color="auto"/>
            <w:left w:val="none" w:sz="0" w:space="0" w:color="auto"/>
            <w:bottom w:val="none" w:sz="0" w:space="0" w:color="auto"/>
            <w:right w:val="none" w:sz="0" w:space="0" w:color="auto"/>
          </w:divBdr>
        </w:div>
        <w:div w:id="2017030931">
          <w:marLeft w:val="480"/>
          <w:marRight w:val="0"/>
          <w:marTop w:val="0"/>
          <w:marBottom w:val="0"/>
          <w:divBdr>
            <w:top w:val="none" w:sz="0" w:space="0" w:color="auto"/>
            <w:left w:val="none" w:sz="0" w:space="0" w:color="auto"/>
            <w:bottom w:val="none" w:sz="0" w:space="0" w:color="auto"/>
            <w:right w:val="none" w:sz="0" w:space="0" w:color="auto"/>
          </w:divBdr>
        </w:div>
        <w:div w:id="1686515023">
          <w:marLeft w:val="480"/>
          <w:marRight w:val="0"/>
          <w:marTop w:val="0"/>
          <w:marBottom w:val="0"/>
          <w:divBdr>
            <w:top w:val="none" w:sz="0" w:space="0" w:color="auto"/>
            <w:left w:val="none" w:sz="0" w:space="0" w:color="auto"/>
            <w:bottom w:val="none" w:sz="0" w:space="0" w:color="auto"/>
            <w:right w:val="none" w:sz="0" w:space="0" w:color="auto"/>
          </w:divBdr>
        </w:div>
        <w:div w:id="1915502619">
          <w:marLeft w:val="480"/>
          <w:marRight w:val="0"/>
          <w:marTop w:val="0"/>
          <w:marBottom w:val="0"/>
          <w:divBdr>
            <w:top w:val="none" w:sz="0" w:space="0" w:color="auto"/>
            <w:left w:val="none" w:sz="0" w:space="0" w:color="auto"/>
            <w:bottom w:val="none" w:sz="0" w:space="0" w:color="auto"/>
            <w:right w:val="none" w:sz="0" w:space="0" w:color="auto"/>
          </w:divBdr>
        </w:div>
        <w:div w:id="813640006">
          <w:marLeft w:val="480"/>
          <w:marRight w:val="0"/>
          <w:marTop w:val="0"/>
          <w:marBottom w:val="0"/>
          <w:divBdr>
            <w:top w:val="none" w:sz="0" w:space="0" w:color="auto"/>
            <w:left w:val="none" w:sz="0" w:space="0" w:color="auto"/>
            <w:bottom w:val="none" w:sz="0" w:space="0" w:color="auto"/>
            <w:right w:val="none" w:sz="0" w:space="0" w:color="auto"/>
          </w:divBdr>
        </w:div>
        <w:div w:id="1042438045">
          <w:marLeft w:val="480"/>
          <w:marRight w:val="0"/>
          <w:marTop w:val="0"/>
          <w:marBottom w:val="0"/>
          <w:divBdr>
            <w:top w:val="none" w:sz="0" w:space="0" w:color="auto"/>
            <w:left w:val="none" w:sz="0" w:space="0" w:color="auto"/>
            <w:bottom w:val="none" w:sz="0" w:space="0" w:color="auto"/>
            <w:right w:val="none" w:sz="0" w:space="0" w:color="auto"/>
          </w:divBdr>
        </w:div>
        <w:div w:id="1355957275">
          <w:marLeft w:val="480"/>
          <w:marRight w:val="0"/>
          <w:marTop w:val="0"/>
          <w:marBottom w:val="0"/>
          <w:divBdr>
            <w:top w:val="none" w:sz="0" w:space="0" w:color="auto"/>
            <w:left w:val="none" w:sz="0" w:space="0" w:color="auto"/>
            <w:bottom w:val="none" w:sz="0" w:space="0" w:color="auto"/>
            <w:right w:val="none" w:sz="0" w:space="0" w:color="auto"/>
          </w:divBdr>
        </w:div>
        <w:div w:id="784730913">
          <w:marLeft w:val="480"/>
          <w:marRight w:val="0"/>
          <w:marTop w:val="0"/>
          <w:marBottom w:val="0"/>
          <w:divBdr>
            <w:top w:val="none" w:sz="0" w:space="0" w:color="auto"/>
            <w:left w:val="none" w:sz="0" w:space="0" w:color="auto"/>
            <w:bottom w:val="none" w:sz="0" w:space="0" w:color="auto"/>
            <w:right w:val="none" w:sz="0" w:space="0" w:color="auto"/>
          </w:divBdr>
        </w:div>
        <w:div w:id="514731936">
          <w:marLeft w:val="480"/>
          <w:marRight w:val="0"/>
          <w:marTop w:val="0"/>
          <w:marBottom w:val="0"/>
          <w:divBdr>
            <w:top w:val="none" w:sz="0" w:space="0" w:color="auto"/>
            <w:left w:val="none" w:sz="0" w:space="0" w:color="auto"/>
            <w:bottom w:val="none" w:sz="0" w:space="0" w:color="auto"/>
            <w:right w:val="none" w:sz="0" w:space="0" w:color="auto"/>
          </w:divBdr>
        </w:div>
        <w:div w:id="1778787581">
          <w:marLeft w:val="480"/>
          <w:marRight w:val="0"/>
          <w:marTop w:val="0"/>
          <w:marBottom w:val="0"/>
          <w:divBdr>
            <w:top w:val="none" w:sz="0" w:space="0" w:color="auto"/>
            <w:left w:val="none" w:sz="0" w:space="0" w:color="auto"/>
            <w:bottom w:val="none" w:sz="0" w:space="0" w:color="auto"/>
            <w:right w:val="none" w:sz="0" w:space="0" w:color="auto"/>
          </w:divBdr>
        </w:div>
        <w:div w:id="1294630322">
          <w:marLeft w:val="480"/>
          <w:marRight w:val="0"/>
          <w:marTop w:val="0"/>
          <w:marBottom w:val="0"/>
          <w:divBdr>
            <w:top w:val="none" w:sz="0" w:space="0" w:color="auto"/>
            <w:left w:val="none" w:sz="0" w:space="0" w:color="auto"/>
            <w:bottom w:val="none" w:sz="0" w:space="0" w:color="auto"/>
            <w:right w:val="none" w:sz="0" w:space="0" w:color="auto"/>
          </w:divBdr>
        </w:div>
        <w:div w:id="1981836427">
          <w:marLeft w:val="480"/>
          <w:marRight w:val="0"/>
          <w:marTop w:val="0"/>
          <w:marBottom w:val="0"/>
          <w:divBdr>
            <w:top w:val="none" w:sz="0" w:space="0" w:color="auto"/>
            <w:left w:val="none" w:sz="0" w:space="0" w:color="auto"/>
            <w:bottom w:val="none" w:sz="0" w:space="0" w:color="auto"/>
            <w:right w:val="none" w:sz="0" w:space="0" w:color="auto"/>
          </w:divBdr>
        </w:div>
        <w:div w:id="1022784708">
          <w:marLeft w:val="480"/>
          <w:marRight w:val="0"/>
          <w:marTop w:val="0"/>
          <w:marBottom w:val="0"/>
          <w:divBdr>
            <w:top w:val="none" w:sz="0" w:space="0" w:color="auto"/>
            <w:left w:val="none" w:sz="0" w:space="0" w:color="auto"/>
            <w:bottom w:val="none" w:sz="0" w:space="0" w:color="auto"/>
            <w:right w:val="none" w:sz="0" w:space="0" w:color="auto"/>
          </w:divBdr>
        </w:div>
        <w:div w:id="45417330">
          <w:marLeft w:val="480"/>
          <w:marRight w:val="0"/>
          <w:marTop w:val="0"/>
          <w:marBottom w:val="0"/>
          <w:divBdr>
            <w:top w:val="none" w:sz="0" w:space="0" w:color="auto"/>
            <w:left w:val="none" w:sz="0" w:space="0" w:color="auto"/>
            <w:bottom w:val="none" w:sz="0" w:space="0" w:color="auto"/>
            <w:right w:val="none" w:sz="0" w:space="0" w:color="auto"/>
          </w:divBdr>
        </w:div>
        <w:div w:id="1934705333">
          <w:marLeft w:val="480"/>
          <w:marRight w:val="0"/>
          <w:marTop w:val="0"/>
          <w:marBottom w:val="0"/>
          <w:divBdr>
            <w:top w:val="none" w:sz="0" w:space="0" w:color="auto"/>
            <w:left w:val="none" w:sz="0" w:space="0" w:color="auto"/>
            <w:bottom w:val="none" w:sz="0" w:space="0" w:color="auto"/>
            <w:right w:val="none" w:sz="0" w:space="0" w:color="auto"/>
          </w:divBdr>
        </w:div>
        <w:div w:id="928738440">
          <w:marLeft w:val="480"/>
          <w:marRight w:val="0"/>
          <w:marTop w:val="0"/>
          <w:marBottom w:val="0"/>
          <w:divBdr>
            <w:top w:val="none" w:sz="0" w:space="0" w:color="auto"/>
            <w:left w:val="none" w:sz="0" w:space="0" w:color="auto"/>
            <w:bottom w:val="none" w:sz="0" w:space="0" w:color="auto"/>
            <w:right w:val="none" w:sz="0" w:space="0" w:color="auto"/>
          </w:divBdr>
        </w:div>
        <w:div w:id="1224877101">
          <w:marLeft w:val="480"/>
          <w:marRight w:val="0"/>
          <w:marTop w:val="0"/>
          <w:marBottom w:val="0"/>
          <w:divBdr>
            <w:top w:val="none" w:sz="0" w:space="0" w:color="auto"/>
            <w:left w:val="none" w:sz="0" w:space="0" w:color="auto"/>
            <w:bottom w:val="none" w:sz="0" w:space="0" w:color="auto"/>
            <w:right w:val="none" w:sz="0" w:space="0" w:color="auto"/>
          </w:divBdr>
        </w:div>
        <w:div w:id="653729038">
          <w:marLeft w:val="480"/>
          <w:marRight w:val="0"/>
          <w:marTop w:val="0"/>
          <w:marBottom w:val="0"/>
          <w:divBdr>
            <w:top w:val="none" w:sz="0" w:space="0" w:color="auto"/>
            <w:left w:val="none" w:sz="0" w:space="0" w:color="auto"/>
            <w:bottom w:val="none" w:sz="0" w:space="0" w:color="auto"/>
            <w:right w:val="none" w:sz="0" w:space="0" w:color="auto"/>
          </w:divBdr>
        </w:div>
        <w:div w:id="918052717">
          <w:marLeft w:val="480"/>
          <w:marRight w:val="0"/>
          <w:marTop w:val="0"/>
          <w:marBottom w:val="0"/>
          <w:divBdr>
            <w:top w:val="none" w:sz="0" w:space="0" w:color="auto"/>
            <w:left w:val="none" w:sz="0" w:space="0" w:color="auto"/>
            <w:bottom w:val="none" w:sz="0" w:space="0" w:color="auto"/>
            <w:right w:val="none" w:sz="0" w:space="0" w:color="auto"/>
          </w:divBdr>
        </w:div>
        <w:div w:id="584529950">
          <w:marLeft w:val="480"/>
          <w:marRight w:val="0"/>
          <w:marTop w:val="0"/>
          <w:marBottom w:val="0"/>
          <w:divBdr>
            <w:top w:val="none" w:sz="0" w:space="0" w:color="auto"/>
            <w:left w:val="none" w:sz="0" w:space="0" w:color="auto"/>
            <w:bottom w:val="none" w:sz="0" w:space="0" w:color="auto"/>
            <w:right w:val="none" w:sz="0" w:space="0" w:color="auto"/>
          </w:divBdr>
        </w:div>
        <w:div w:id="122969626">
          <w:marLeft w:val="480"/>
          <w:marRight w:val="0"/>
          <w:marTop w:val="0"/>
          <w:marBottom w:val="0"/>
          <w:divBdr>
            <w:top w:val="none" w:sz="0" w:space="0" w:color="auto"/>
            <w:left w:val="none" w:sz="0" w:space="0" w:color="auto"/>
            <w:bottom w:val="none" w:sz="0" w:space="0" w:color="auto"/>
            <w:right w:val="none" w:sz="0" w:space="0" w:color="auto"/>
          </w:divBdr>
        </w:div>
        <w:div w:id="1470632240">
          <w:marLeft w:val="480"/>
          <w:marRight w:val="0"/>
          <w:marTop w:val="0"/>
          <w:marBottom w:val="0"/>
          <w:divBdr>
            <w:top w:val="none" w:sz="0" w:space="0" w:color="auto"/>
            <w:left w:val="none" w:sz="0" w:space="0" w:color="auto"/>
            <w:bottom w:val="none" w:sz="0" w:space="0" w:color="auto"/>
            <w:right w:val="none" w:sz="0" w:space="0" w:color="auto"/>
          </w:divBdr>
        </w:div>
        <w:div w:id="749623713">
          <w:marLeft w:val="480"/>
          <w:marRight w:val="0"/>
          <w:marTop w:val="0"/>
          <w:marBottom w:val="0"/>
          <w:divBdr>
            <w:top w:val="none" w:sz="0" w:space="0" w:color="auto"/>
            <w:left w:val="none" w:sz="0" w:space="0" w:color="auto"/>
            <w:bottom w:val="none" w:sz="0" w:space="0" w:color="auto"/>
            <w:right w:val="none" w:sz="0" w:space="0" w:color="auto"/>
          </w:divBdr>
        </w:div>
        <w:div w:id="752163048">
          <w:marLeft w:val="480"/>
          <w:marRight w:val="0"/>
          <w:marTop w:val="0"/>
          <w:marBottom w:val="0"/>
          <w:divBdr>
            <w:top w:val="none" w:sz="0" w:space="0" w:color="auto"/>
            <w:left w:val="none" w:sz="0" w:space="0" w:color="auto"/>
            <w:bottom w:val="none" w:sz="0" w:space="0" w:color="auto"/>
            <w:right w:val="none" w:sz="0" w:space="0" w:color="auto"/>
          </w:divBdr>
        </w:div>
        <w:div w:id="1088650838">
          <w:marLeft w:val="480"/>
          <w:marRight w:val="0"/>
          <w:marTop w:val="0"/>
          <w:marBottom w:val="0"/>
          <w:divBdr>
            <w:top w:val="none" w:sz="0" w:space="0" w:color="auto"/>
            <w:left w:val="none" w:sz="0" w:space="0" w:color="auto"/>
            <w:bottom w:val="none" w:sz="0" w:space="0" w:color="auto"/>
            <w:right w:val="none" w:sz="0" w:space="0" w:color="auto"/>
          </w:divBdr>
        </w:div>
        <w:div w:id="1355229130">
          <w:marLeft w:val="480"/>
          <w:marRight w:val="0"/>
          <w:marTop w:val="0"/>
          <w:marBottom w:val="0"/>
          <w:divBdr>
            <w:top w:val="none" w:sz="0" w:space="0" w:color="auto"/>
            <w:left w:val="none" w:sz="0" w:space="0" w:color="auto"/>
            <w:bottom w:val="none" w:sz="0" w:space="0" w:color="auto"/>
            <w:right w:val="none" w:sz="0" w:space="0" w:color="auto"/>
          </w:divBdr>
        </w:div>
        <w:div w:id="1139418672">
          <w:marLeft w:val="480"/>
          <w:marRight w:val="0"/>
          <w:marTop w:val="0"/>
          <w:marBottom w:val="0"/>
          <w:divBdr>
            <w:top w:val="none" w:sz="0" w:space="0" w:color="auto"/>
            <w:left w:val="none" w:sz="0" w:space="0" w:color="auto"/>
            <w:bottom w:val="none" w:sz="0" w:space="0" w:color="auto"/>
            <w:right w:val="none" w:sz="0" w:space="0" w:color="auto"/>
          </w:divBdr>
        </w:div>
        <w:div w:id="2053993230">
          <w:marLeft w:val="480"/>
          <w:marRight w:val="0"/>
          <w:marTop w:val="0"/>
          <w:marBottom w:val="0"/>
          <w:divBdr>
            <w:top w:val="none" w:sz="0" w:space="0" w:color="auto"/>
            <w:left w:val="none" w:sz="0" w:space="0" w:color="auto"/>
            <w:bottom w:val="none" w:sz="0" w:space="0" w:color="auto"/>
            <w:right w:val="none" w:sz="0" w:space="0" w:color="auto"/>
          </w:divBdr>
        </w:div>
        <w:div w:id="31467818">
          <w:marLeft w:val="480"/>
          <w:marRight w:val="0"/>
          <w:marTop w:val="0"/>
          <w:marBottom w:val="0"/>
          <w:divBdr>
            <w:top w:val="none" w:sz="0" w:space="0" w:color="auto"/>
            <w:left w:val="none" w:sz="0" w:space="0" w:color="auto"/>
            <w:bottom w:val="none" w:sz="0" w:space="0" w:color="auto"/>
            <w:right w:val="none" w:sz="0" w:space="0" w:color="auto"/>
          </w:divBdr>
        </w:div>
        <w:div w:id="475994366">
          <w:marLeft w:val="480"/>
          <w:marRight w:val="0"/>
          <w:marTop w:val="0"/>
          <w:marBottom w:val="0"/>
          <w:divBdr>
            <w:top w:val="none" w:sz="0" w:space="0" w:color="auto"/>
            <w:left w:val="none" w:sz="0" w:space="0" w:color="auto"/>
            <w:bottom w:val="none" w:sz="0" w:space="0" w:color="auto"/>
            <w:right w:val="none" w:sz="0" w:space="0" w:color="auto"/>
          </w:divBdr>
        </w:div>
        <w:div w:id="397553403">
          <w:marLeft w:val="480"/>
          <w:marRight w:val="0"/>
          <w:marTop w:val="0"/>
          <w:marBottom w:val="0"/>
          <w:divBdr>
            <w:top w:val="none" w:sz="0" w:space="0" w:color="auto"/>
            <w:left w:val="none" w:sz="0" w:space="0" w:color="auto"/>
            <w:bottom w:val="none" w:sz="0" w:space="0" w:color="auto"/>
            <w:right w:val="none" w:sz="0" w:space="0" w:color="auto"/>
          </w:divBdr>
        </w:div>
        <w:div w:id="488595748">
          <w:marLeft w:val="480"/>
          <w:marRight w:val="0"/>
          <w:marTop w:val="0"/>
          <w:marBottom w:val="0"/>
          <w:divBdr>
            <w:top w:val="none" w:sz="0" w:space="0" w:color="auto"/>
            <w:left w:val="none" w:sz="0" w:space="0" w:color="auto"/>
            <w:bottom w:val="none" w:sz="0" w:space="0" w:color="auto"/>
            <w:right w:val="none" w:sz="0" w:space="0" w:color="auto"/>
          </w:divBdr>
        </w:div>
        <w:div w:id="1085688398">
          <w:marLeft w:val="480"/>
          <w:marRight w:val="0"/>
          <w:marTop w:val="0"/>
          <w:marBottom w:val="0"/>
          <w:divBdr>
            <w:top w:val="none" w:sz="0" w:space="0" w:color="auto"/>
            <w:left w:val="none" w:sz="0" w:space="0" w:color="auto"/>
            <w:bottom w:val="none" w:sz="0" w:space="0" w:color="auto"/>
            <w:right w:val="none" w:sz="0" w:space="0" w:color="auto"/>
          </w:divBdr>
        </w:div>
        <w:div w:id="1909653543">
          <w:marLeft w:val="480"/>
          <w:marRight w:val="0"/>
          <w:marTop w:val="0"/>
          <w:marBottom w:val="0"/>
          <w:divBdr>
            <w:top w:val="none" w:sz="0" w:space="0" w:color="auto"/>
            <w:left w:val="none" w:sz="0" w:space="0" w:color="auto"/>
            <w:bottom w:val="none" w:sz="0" w:space="0" w:color="auto"/>
            <w:right w:val="none" w:sz="0" w:space="0" w:color="auto"/>
          </w:divBdr>
        </w:div>
        <w:div w:id="2131505708">
          <w:marLeft w:val="480"/>
          <w:marRight w:val="0"/>
          <w:marTop w:val="0"/>
          <w:marBottom w:val="0"/>
          <w:divBdr>
            <w:top w:val="none" w:sz="0" w:space="0" w:color="auto"/>
            <w:left w:val="none" w:sz="0" w:space="0" w:color="auto"/>
            <w:bottom w:val="none" w:sz="0" w:space="0" w:color="auto"/>
            <w:right w:val="none" w:sz="0" w:space="0" w:color="auto"/>
          </w:divBdr>
        </w:div>
        <w:div w:id="1190408998">
          <w:marLeft w:val="480"/>
          <w:marRight w:val="0"/>
          <w:marTop w:val="0"/>
          <w:marBottom w:val="0"/>
          <w:divBdr>
            <w:top w:val="none" w:sz="0" w:space="0" w:color="auto"/>
            <w:left w:val="none" w:sz="0" w:space="0" w:color="auto"/>
            <w:bottom w:val="none" w:sz="0" w:space="0" w:color="auto"/>
            <w:right w:val="none" w:sz="0" w:space="0" w:color="auto"/>
          </w:divBdr>
        </w:div>
        <w:div w:id="269048343">
          <w:marLeft w:val="480"/>
          <w:marRight w:val="0"/>
          <w:marTop w:val="0"/>
          <w:marBottom w:val="0"/>
          <w:divBdr>
            <w:top w:val="none" w:sz="0" w:space="0" w:color="auto"/>
            <w:left w:val="none" w:sz="0" w:space="0" w:color="auto"/>
            <w:bottom w:val="none" w:sz="0" w:space="0" w:color="auto"/>
            <w:right w:val="none" w:sz="0" w:space="0" w:color="auto"/>
          </w:divBdr>
        </w:div>
        <w:div w:id="1812478222">
          <w:marLeft w:val="480"/>
          <w:marRight w:val="0"/>
          <w:marTop w:val="0"/>
          <w:marBottom w:val="0"/>
          <w:divBdr>
            <w:top w:val="none" w:sz="0" w:space="0" w:color="auto"/>
            <w:left w:val="none" w:sz="0" w:space="0" w:color="auto"/>
            <w:bottom w:val="none" w:sz="0" w:space="0" w:color="auto"/>
            <w:right w:val="none" w:sz="0" w:space="0" w:color="auto"/>
          </w:divBdr>
        </w:div>
        <w:div w:id="1750613090">
          <w:marLeft w:val="480"/>
          <w:marRight w:val="0"/>
          <w:marTop w:val="0"/>
          <w:marBottom w:val="0"/>
          <w:divBdr>
            <w:top w:val="none" w:sz="0" w:space="0" w:color="auto"/>
            <w:left w:val="none" w:sz="0" w:space="0" w:color="auto"/>
            <w:bottom w:val="none" w:sz="0" w:space="0" w:color="auto"/>
            <w:right w:val="none" w:sz="0" w:space="0" w:color="auto"/>
          </w:divBdr>
        </w:div>
        <w:div w:id="579949239">
          <w:marLeft w:val="480"/>
          <w:marRight w:val="0"/>
          <w:marTop w:val="0"/>
          <w:marBottom w:val="0"/>
          <w:divBdr>
            <w:top w:val="none" w:sz="0" w:space="0" w:color="auto"/>
            <w:left w:val="none" w:sz="0" w:space="0" w:color="auto"/>
            <w:bottom w:val="none" w:sz="0" w:space="0" w:color="auto"/>
            <w:right w:val="none" w:sz="0" w:space="0" w:color="auto"/>
          </w:divBdr>
        </w:div>
        <w:div w:id="382297397">
          <w:marLeft w:val="480"/>
          <w:marRight w:val="0"/>
          <w:marTop w:val="0"/>
          <w:marBottom w:val="0"/>
          <w:divBdr>
            <w:top w:val="none" w:sz="0" w:space="0" w:color="auto"/>
            <w:left w:val="none" w:sz="0" w:space="0" w:color="auto"/>
            <w:bottom w:val="none" w:sz="0" w:space="0" w:color="auto"/>
            <w:right w:val="none" w:sz="0" w:space="0" w:color="auto"/>
          </w:divBdr>
        </w:div>
        <w:div w:id="654915965">
          <w:marLeft w:val="480"/>
          <w:marRight w:val="0"/>
          <w:marTop w:val="0"/>
          <w:marBottom w:val="0"/>
          <w:divBdr>
            <w:top w:val="none" w:sz="0" w:space="0" w:color="auto"/>
            <w:left w:val="none" w:sz="0" w:space="0" w:color="auto"/>
            <w:bottom w:val="none" w:sz="0" w:space="0" w:color="auto"/>
            <w:right w:val="none" w:sz="0" w:space="0" w:color="auto"/>
          </w:divBdr>
        </w:div>
        <w:div w:id="101802500">
          <w:marLeft w:val="480"/>
          <w:marRight w:val="0"/>
          <w:marTop w:val="0"/>
          <w:marBottom w:val="0"/>
          <w:divBdr>
            <w:top w:val="none" w:sz="0" w:space="0" w:color="auto"/>
            <w:left w:val="none" w:sz="0" w:space="0" w:color="auto"/>
            <w:bottom w:val="none" w:sz="0" w:space="0" w:color="auto"/>
            <w:right w:val="none" w:sz="0" w:space="0" w:color="auto"/>
          </w:divBdr>
        </w:div>
        <w:div w:id="1678071537">
          <w:marLeft w:val="480"/>
          <w:marRight w:val="0"/>
          <w:marTop w:val="0"/>
          <w:marBottom w:val="0"/>
          <w:divBdr>
            <w:top w:val="none" w:sz="0" w:space="0" w:color="auto"/>
            <w:left w:val="none" w:sz="0" w:space="0" w:color="auto"/>
            <w:bottom w:val="none" w:sz="0" w:space="0" w:color="auto"/>
            <w:right w:val="none" w:sz="0" w:space="0" w:color="auto"/>
          </w:divBdr>
        </w:div>
        <w:div w:id="1156646942">
          <w:marLeft w:val="480"/>
          <w:marRight w:val="0"/>
          <w:marTop w:val="0"/>
          <w:marBottom w:val="0"/>
          <w:divBdr>
            <w:top w:val="none" w:sz="0" w:space="0" w:color="auto"/>
            <w:left w:val="none" w:sz="0" w:space="0" w:color="auto"/>
            <w:bottom w:val="none" w:sz="0" w:space="0" w:color="auto"/>
            <w:right w:val="none" w:sz="0" w:space="0" w:color="auto"/>
          </w:divBdr>
        </w:div>
        <w:div w:id="912935712">
          <w:marLeft w:val="480"/>
          <w:marRight w:val="0"/>
          <w:marTop w:val="0"/>
          <w:marBottom w:val="0"/>
          <w:divBdr>
            <w:top w:val="none" w:sz="0" w:space="0" w:color="auto"/>
            <w:left w:val="none" w:sz="0" w:space="0" w:color="auto"/>
            <w:bottom w:val="none" w:sz="0" w:space="0" w:color="auto"/>
            <w:right w:val="none" w:sz="0" w:space="0" w:color="auto"/>
          </w:divBdr>
        </w:div>
        <w:div w:id="635985974">
          <w:marLeft w:val="480"/>
          <w:marRight w:val="0"/>
          <w:marTop w:val="0"/>
          <w:marBottom w:val="0"/>
          <w:divBdr>
            <w:top w:val="none" w:sz="0" w:space="0" w:color="auto"/>
            <w:left w:val="none" w:sz="0" w:space="0" w:color="auto"/>
            <w:bottom w:val="none" w:sz="0" w:space="0" w:color="auto"/>
            <w:right w:val="none" w:sz="0" w:space="0" w:color="auto"/>
          </w:divBdr>
        </w:div>
        <w:div w:id="1238247090">
          <w:marLeft w:val="480"/>
          <w:marRight w:val="0"/>
          <w:marTop w:val="0"/>
          <w:marBottom w:val="0"/>
          <w:divBdr>
            <w:top w:val="none" w:sz="0" w:space="0" w:color="auto"/>
            <w:left w:val="none" w:sz="0" w:space="0" w:color="auto"/>
            <w:bottom w:val="none" w:sz="0" w:space="0" w:color="auto"/>
            <w:right w:val="none" w:sz="0" w:space="0" w:color="auto"/>
          </w:divBdr>
        </w:div>
        <w:div w:id="1243182355">
          <w:marLeft w:val="480"/>
          <w:marRight w:val="0"/>
          <w:marTop w:val="0"/>
          <w:marBottom w:val="0"/>
          <w:divBdr>
            <w:top w:val="none" w:sz="0" w:space="0" w:color="auto"/>
            <w:left w:val="none" w:sz="0" w:space="0" w:color="auto"/>
            <w:bottom w:val="none" w:sz="0" w:space="0" w:color="auto"/>
            <w:right w:val="none" w:sz="0" w:space="0" w:color="auto"/>
          </w:divBdr>
        </w:div>
        <w:div w:id="382800647">
          <w:marLeft w:val="480"/>
          <w:marRight w:val="0"/>
          <w:marTop w:val="0"/>
          <w:marBottom w:val="0"/>
          <w:divBdr>
            <w:top w:val="none" w:sz="0" w:space="0" w:color="auto"/>
            <w:left w:val="none" w:sz="0" w:space="0" w:color="auto"/>
            <w:bottom w:val="none" w:sz="0" w:space="0" w:color="auto"/>
            <w:right w:val="none" w:sz="0" w:space="0" w:color="auto"/>
          </w:divBdr>
        </w:div>
        <w:div w:id="1246264390">
          <w:marLeft w:val="480"/>
          <w:marRight w:val="0"/>
          <w:marTop w:val="0"/>
          <w:marBottom w:val="0"/>
          <w:divBdr>
            <w:top w:val="none" w:sz="0" w:space="0" w:color="auto"/>
            <w:left w:val="none" w:sz="0" w:space="0" w:color="auto"/>
            <w:bottom w:val="none" w:sz="0" w:space="0" w:color="auto"/>
            <w:right w:val="none" w:sz="0" w:space="0" w:color="auto"/>
          </w:divBdr>
        </w:div>
        <w:div w:id="1153839653">
          <w:marLeft w:val="480"/>
          <w:marRight w:val="0"/>
          <w:marTop w:val="0"/>
          <w:marBottom w:val="0"/>
          <w:divBdr>
            <w:top w:val="none" w:sz="0" w:space="0" w:color="auto"/>
            <w:left w:val="none" w:sz="0" w:space="0" w:color="auto"/>
            <w:bottom w:val="none" w:sz="0" w:space="0" w:color="auto"/>
            <w:right w:val="none" w:sz="0" w:space="0" w:color="auto"/>
          </w:divBdr>
        </w:div>
        <w:div w:id="433867868">
          <w:marLeft w:val="480"/>
          <w:marRight w:val="0"/>
          <w:marTop w:val="0"/>
          <w:marBottom w:val="0"/>
          <w:divBdr>
            <w:top w:val="none" w:sz="0" w:space="0" w:color="auto"/>
            <w:left w:val="none" w:sz="0" w:space="0" w:color="auto"/>
            <w:bottom w:val="none" w:sz="0" w:space="0" w:color="auto"/>
            <w:right w:val="none" w:sz="0" w:space="0" w:color="auto"/>
          </w:divBdr>
        </w:div>
        <w:div w:id="749275882">
          <w:marLeft w:val="480"/>
          <w:marRight w:val="0"/>
          <w:marTop w:val="0"/>
          <w:marBottom w:val="0"/>
          <w:divBdr>
            <w:top w:val="none" w:sz="0" w:space="0" w:color="auto"/>
            <w:left w:val="none" w:sz="0" w:space="0" w:color="auto"/>
            <w:bottom w:val="none" w:sz="0" w:space="0" w:color="auto"/>
            <w:right w:val="none" w:sz="0" w:space="0" w:color="auto"/>
          </w:divBdr>
        </w:div>
        <w:div w:id="1841969788">
          <w:marLeft w:val="480"/>
          <w:marRight w:val="0"/>
          <w:marTop w:val="0"/>
          <w:marBottom w:val="0"/>
          <w:divBdr>
            <w:top w:val="none" w:sz="0" w:space="0" w:color="auto"/>
            <w:left w:val="none" w:sz="0" w:space="0" w:color="auto"/>
            <w:bottom w:val="none" w:sz="0" w:space="0" w:color="auto"/>
            <w:right w:val="none" w:sz="0" w:space="0" w:color="auto"/>
          </w:divBdr>
        </w:div>
        <w:div w:id="673190819">
          <w:marLeft w:val="480"/>
          <w:marRight w:val="0"/>
          <w:marTop w:val="0"/>
          <w:marBottom w:val="0"/>
          <w:divBdr>
            <w:top w:val="none" w:sz="0" w:space="0" w:color="auto"/>
            <w:left w:val="none" w:sz="0" w:space="0" w:color="auto"/>
            <w:bottom w:val="none" w:sz="0" w:space="0" w:color="auto"/>
            <w:right w:val="none" w:sz="0" w:space="0" w:color="auto"/>
          </w:divBdr>
        </w:div>
        <w:div w:id="1468661866">
          <w:marLeft w:val="480"/>
          <w:marRight w:val="0"/>
          <w:marTop w:val="0"/>
          <w:marBottom w:val="0"/>
          <w:divBdr>
            <w:top w:val="none" w:sz="0" w:space="0" w:color="auto"/>
            <w:left w:val="none" w:sz="0" w:space="0" w:color="auto"/>
            <w:bottom w:val="none" w:sz="0" w:space="0" w:color="auto"/>
            <w:right w:val="none" w:sz="0" w:space="0" w:color="auto"/>
          </w:divBdr>
        </w:div>
        <w:div w:id="1594851016">
          <w:marLeft w:val="480"/>
          <w:marRight w:val="0"/>
          <w:marTop w:val="0"/>
          <w:marBottom w:val="0"/>
          <w:divBdr>
            <w:top w:val="none" w:sz="0" w:space="0" w:color="auto"/>
            <w:left w:val="none" w:sz="0" w:space="0" w:color="auto"/>
            <w:bottom w:val="none" w:sz="0" w:space="0" w:color="auto"/>
            <w:right w:val="none" w:sz="0" w:space="0" w:color="auto"/>
          </w:divBdr>
        </w:div>
        <w:div w:id="1607730078">
          <w:marLeft w:val="480"/>
          <w:marRight w:val="0"/>
          <w:marTop w:val="0"/>
          <w:marBottom w:val="0"/>
          <w:divBdr>
            <w:top w:val="none" w:sz="0" w:space="0" w:color="auto"/>
            <w:left w:val="none" w:sz="0" w:space="0" w:color="auto"/>
            <w:bottom w:val="none" w:sz="0" w:space="0" w:color="auto"/>
            <w:right w:val="none" w:sz="0" w:space="0" w:color="auto"/>
          </w:divBdr>
        </w:div>
        <w:div w:id="2146315565">
          <w:marLeft w:val="480"/>
          <w:marRight w:val="0"/>
          <w:marTop w:val="0"/>
          <w:marBottom w:val="0"/>
          <w:divBdr>
            <w:top w:val="none" w:sz="0" w:space="0" w:color="auto"/>
            <w:left w:val="none" w:sz="0" w:space="0" w:color="auto"/>
            <w:bottom w:val="none" w:sz="0" w:space="0" w:color="auto"/>
            <w:right w:val="none" w:sz="0" w:space="0" w:color="auto"/>
          </w:divBdr>
        </w:div>
        <w:div w:id="1113331738">
          <w:marLeft w:val="480"/>
          <w:marRight w:val="0"/>
          <w:marTop w:val="0"/>
          <w:marBottom w:val="0"/>
          <w:divBdr>
            <w:top w:val="none" w:sz="0" w:space="0" w:color="auto"/>
            <w:left w:val="none" w:sz="0" w:space="0" w:color="auto"/>
            <w:bottom w:val="none" w:sz="0" w:space="0" w:color="auto"/>
            <w:right w:val="none" w:sz="0" w:space="0" w:color="auto"/>
          </w:divBdr>
        </w:div>
        <w:div w:id="123160573">
          <w:marLeft w:val="480"/>
          <w:marRight w:val="0"/>
          <w:marTop w:val="0"/>
          <w:marBottom w:val="0"/>
          <w:divBdr>
            <w:top w:val="none" w:sz="0" w:space="0" w:color="auto"/>
            <w:left w:val="none" w:sz="0" w:space="0" w:color="auto"/>
            <w:bottom w:val="none" w:sz="0" w:space="0" w:color="auto"/>
            <w:right w:val="none" w:sz="0" w:space="0" w:color="auto"/>
          </w:divBdr>
        </w:div>
        <w:div w:id="158562">
          <w:marLeft w:val="480"/>
          <w:marRight w:val="0"/>
          <w:marTop w:val="0"/>
          <w:marBottom w:val="0"/>
          <w:divBdr>
            <w:top w:val="none" w:sz="0" w:space="0" w:color="auto"/>
            <w:left w:val="none" w:sz="0" w:space="0" w:color="auto"/>
            <w:bottom w:val="none" w:sz="0" w:space="0" w:color="auto"/>
            <w:right w:val="none" w:sz="0" w:space="0" w:color="auto"/>
          </w:divBdr>
        </w:div>
        <w:div w:id="1966345962">
          <w:marLeft w:val="480"/>
          <w:marRight w:val="0"/>
          <w:marTop w:val="0"/>
          <w:marBottom w:val="0"/>
          <w:divBdr>
            <w:top w:val="none" w:sz="0" w:space="0" w:color="auto"/>
            <w:left w:val="none" w:sz="0" w:space="0" w:color="auto"/>
            <w:bottom w:val="none" w:sz="0" w:space="0" w:color="auto"/>
            <w:right w:val="none" w:sz="0" w:space="0" w:color="auto"/>
          </w:divBdr>
        </w:div>
        <w:div w:id="1861816323">
          <w:marLeft w:val="480"/>
          <w:marRight w:val="0"/>
          <w:marTop w:val="0"/>
          <w:marBottom w:val="0"/>
          <w:divBdr>
            <w:top w:val="none" w:sz="0" w:space="0" w:color="auto"/>
            <w:left w:val="none" w:sz="0" w:space="0" w:color="auto"/>
            <w:bottom w:val="none" w:sz="0" w:space="0" w:color="auto"/>
            <w:right w:val="none" w:sz="0" w:space="0" w:color="auto"/>
          </w:divBdr>
        </w:div>
        <w:div w:id="280379347">
          <w:marLeft w:val="480"/>
          <w:marRight w:val="0"/>
          <w:marTop w:val="0"/>
          <w:marBottom w:val="0"/>
          <w:divBdr>
            <w:top w:val="none" w:sz="0" w:space="0" w:color="auto"/>
            <w:left w:val="none" w:sz="0" w:space="0" w:color="auto"/>
            <w:bottom w:val="none" w:sz="0" w:space="0" w:color="auto"/>
            <w:right w:val="none" w:sz="0" w:space="0" w:color="auto"/>
          </w:divBdr>
        </w:div>
        <w:div w:id="1047410660">
          <w:marLeft w:val="480"/>
          <w:marRight w:val="0"/>
          <w:marTop w:val="0"/>
          <w:marBottom w:val="0"/>
          <w:divBdr>
            <w:top w:val="none" w:sz="0" w:space="0" w:color="auto"/>
            <w:left w:val="none" w:sz="0" w:space="0" w:color="auto"/>
            <w:bottom w:val="none" w:sz="0" w:space="0" w:color="auto"/>
            <w:right w:val="none" w:sz="0" w:space="0" w:color="auto"/>
          </w:divBdr>
        </w:div>
        <w:div w:id="213739353">
          <w:marLeft w:val="480"/>
          <w:marRight w:val="0"/>
          <w:marTop w:val="0"/>
          <w:marBottom w:val="0"/>
          <w:divBdr>
            <w:top w:val="none" w:sz="0" w:space="0" w:color="auto"/>
            <w:left w:val="none" w:sz="0" w:space="0" w:color="auto"/>
            <w:bottom w:val="none" w:sz="0" w:space="0" w:color="auto"/>
            <w:right w:val="none" w:sz="0" w:space="0" w:color="auto"/>
          </w:divBdr>
        </w:div>
        <w:div w:id="1789085713">
          <w:marLeft w:val="480"/>
          <w:marRight w:val="0"/>
          <w:marTop w:val="0"/>
          <w:marBottom w:val="0"/>
          <w:divBdr>
            <w:top w:val="none" w:sz="0" w:space="0" w:color="auto"/>
            <w:left w:val="none" w:sz="0" w:space="0" w:color="auto"/>
            <w:bottom w:val="none" w:sz="0" w:space="0" w:color="auto"/>
            <w:right w:val="none" w:sz="0" w:space="0" w:color="auto"/>
          </w:divBdr>
        </w:div>
        <w:div w:id="1796636143">
          <w:marLeft w:val="480"/>
          <w:marRight w:val="0"/>
          <w:marTop w:val="0"/>
          <w:marBottom w:val="0"/>
          <w:divBdr>
            <w:top w:val="none" w:sz="0" w:space="0" w:color="auto"/>
            <w:left w:val="none" w:sz="0" w:space="0" w:color="auto"/>
            <w:bottom w:val="none" w:sz="0" w:space="0" w:color="auto"/>
            <w:right w:val="none" w:sz="0" w:space="0" w:color="auto"/>
          </w:divBdr>
        </w:div>
        <w:div w:id="1117524411">
          <w:marLeft w:val="480"/>
          <w:marRight w:val="0"/>
          <w:marTop w:val="0"/>
          <w:marBottom w:val="0"/>
          <w:divBdr>
            <w:top w:val="none" w:sz="0" w:space="0" w:color="auto"/>
            <w:left w:val="none" w:sz="0" w:space="0" w:color="auto"/>
            <w:bottom w:val="none" w:sz="0" w:space="0" w:color="auto"/>
            <w:right w:val="none" w:sz="0" w:space="0" w:color="auto"/>
          </w:divBdr>
        </w:div>
        <w:div w:id="1599101853">
          <w:marLeft w:val="480"/>
          <w:marRight w:val="0"/>
          <w:marTop w:val="0"/>
          <w:marBottom w:val="0"/>
          <w:divBdr>
            <w:top w:val="none" w:sz="0" w:space="0" w:color="auto"/>
            <w:left w:val="none" w:sz="0" w:space="0" w:color="auto"/>
            <w:bottom w:val="none" w:sz="0" w:space="0" w:color="auto"/>
            <w:right w:val="none" w:sz="0" w:space="0" w:color="auto"/>
          </w:divBdr>
        </w:div>
        <w:div w:id="1147472799">
          <w:marLeft w:val="480"/>
          <w:marRight w:val="0"/>
          <w:marTop w:val="0"/>
          <w:marBottom w:val="0"/>
          <w:divBdr>
            <w:top w:val="none" w:sz="0" w:space="0" w:color="auto"/>
            <w:left w:val="none" w:sz="0" w:space="0" w:color="auto"/>
            <w:bottom w:val="none" w:sz="0" w:space="0" w:color="auto"/>
            <w:right w:val="none" w:sz="0" w:space="0" w:color="auto"/>
          </w:divBdr>
        </w:div>
        <w:div w:id="889921659">
          <w:marLeft w:val="480"/>
          <w:marRight w:val="0"/>
          <w:marTop w:val="0"/>
          <w:marBottom w:val="0"/>
          <w:divBdr>
            <w:top w:val="none" w:sz="0" w:space="0" w:color="auto"/>
            <w:left w:val="none" w:sz="0" w:space="0" w:color="auto"/>
            <w:bottom w:val="none" w:sz="0" w:space="0" w:color="auto"/>
            <w:right w:val="none" w:sz="0" w:space="0" w:color="auto"/>
          </w:divBdr>
        </w:div>
        <w:div w:id="1749384327">
          <w:marLeft w:val="480"/>
          <w:marRight w:val="0"/>
          <w:marTop w:val="0"/>
          <w:marBottom w:val="0"/>
          <w:divBdr>
            <w:top w:val="none" w:sz="0" w:space="0" w:color="auto"/>
            <w:left w:val="none" w:sz="0" w:space="0" w:color="auto"/>
            <w:bottom w:val="none" w:sz="0" w:space="0" w:color="auto"/>
            <w:right w:val="none" w:sz="0" w:space="0" w:color="auto"/>
          </w:divBdr>
        </w:div>
        <w:div w:id="1585606568">
          <w:marLeft w:val="480"/>
          <w:marRight w:val="0"/>
          <w:marTop w:val="0"/>
          <w:marBottom w:val="0"/>
          <w:divBdr>
            <w:top w:val="none" w:sz="0" w:space="0" w:color="auto"/>
            <w:left w:val="none" w:sz="0" w:space="0" w:color="auto"/>
            <w:bottom w:val="none" w:sz="0" w:space="0" w:color="auto"/>
            <w:right w:val="none" w:sz="0" w:space="0" w:color="auto"/>
          </w:divBdr>
        </w:div>
        <w:div w:id="1808280221">
          <w:marLeft w:val="480"/>
          <w:marRight w:val="0"/>
          <w:marTop w:val="0"/>
          <w:marBottom w:val="0"/>
          <w:divBdr>
            <w:top w:val="none" w:sz="0" w:space="0" w:color="auto"/>
            <w:left w:val="none" w:sz="0" w:space="0" w:color="auto"/>
            <w:bottom w:val="none" w:sz="0" w:space="0" w:color="auto"/>
            <w:right w:val="none" w:sz="0" w:space="0" w:color="auto"/>
          </w:divBdr>
        </w:div>
        <w:div w:id="1747612629">
          <w:marLeft w:val="480"/>
          <w:marRight w:val="0"/>
          <w:marTop w:val="0"/>
          <w:marBottom w:val="0"/>
          <w:divBdr>
            <w:top w:val="none" w:sz="0" w:space="0" w:color="auto"/>
            <w:left w:val="none" w:sz="0" w:space="0" w:color="auto"/>
            <w:bottom w:val="none" w:sz="0" w:space="0" w:color="auto"/>
            <w:right w:val="none" w:sz="0" w:space="0" w:color="auto"/>
          </w:divBdr>
        </w:div>
        <w:div w:id="1568954561">
          <w:marLeft w:val="480"/>
          <w:marRight w:val="0"/>
          <w:marTop w:val="0"/>
          <w:marBottom w:val="0"/>
          <w:divBdr>
            <w:top w:val="none" w:sz="0" w:space="0" w:color="auto"/>
            <w:left w:val="none" w:sz="0" w:space="0" w:color="auto"/>
            <w:bottom w:val="none" w:sz="0" w:space="0" w:color="auto"/>
            <w:right w:val="none" w:sz="0" w:space="0" w:color="auto"/>
          </w:divBdr>
        </w:div>
        <w:div w:id="201745593">
          <w:marLeft w:val="480"/>
          <w:marRight w:val="0"/>
          <w:marTop w:val="0"/>
          <w:marBottom w:val="0"/>
          <w:divBdr>
            <w:top w:val="none" w:sz="0" w:space="0" w:color="auto"/>
            <w:left w:val="none" w:sz="0" w:space="0" w:color="auto"/>
            <w:bottom w:val="none" w:sz="0" w:space="0" w:color="auto"/>
            <w:right w:val="none" w:sz="0" w:space="0" w:color="auto"/>
          </w:divBdr>
        </w:div>
        <w:div w:id="1816139313">
          <w:marLeft w:val="480"/>
          <w:marRight w:val="0"/>
          <w:marTop w:val="0"/>
          <w:marBottom w:val="0"/>
          <w:divBdr>
            <w:top w:val="none" w:sz="0" w:space="0" w:color="auto"/>
            <w:left w:val="none" w:sz="0" w:space="0" w:color="auto"/>
            <w:bottom w:val="none" w:sz="0" w:space="0" w:color="auto"/>
            <w:right w:val="none" w:sz="0" w:space="0" w:color="auto"/>
          </w:divBdr>
        </w:div>
        <w:div w:id="858355301">
          <w:marLeft w:val="480"/>
          <w:marRight w:val="0"/>
          <w:marTop w:val="0"/>
          <w:marBottom w:val="0"/>
          <w:divBdr>
            <w:top w:val="none" w:sz="0" w:space="0" w:color="auto"/>
            <w:left w:val="none" w:sz="0" w:space="0" w:color="auto"/>
            <w:bottom w:val="none" w:sz="0" w:space="0" w:color="auto"/>
            <w:right w:val="none" w:sz="0" w:space="0" w:color="auto"/>
          </w:divBdr>
        </w:div>
        <w:div w:id="1726417052">
          <w:marLeft w:val="480"/>
          <w:marRight w:val="0"/>
          <w:marTop w:val="0"/>
          <w:marBottom w:val="0"/>
          <w:divBdr>
            <w:top w:val="none" w:sz="0" w:space="0" w:color="auto"/>
            <w:left w:val="none" w:sz="0" w:space="0" w:color="auto"/>
            <w:bottom w:val="none" w:sz="0" w:space="0" w:color="auto"/>
            <w:right w:val="none" w:sz="0" w:space="0" w:color="auto"/>
          </w:divBdr>
        </w:div>
        <w:div w:id="484971671">
          <w:marLeft w:val="480"/>
          <w:marRight w:val="0"/>
          <w:marTop w:val="0"/>
          <w:marBottom w:val="0"/>
          <w:divBdr>
            <w:top w:val="none" w:sz="0" w:space="0" w:color="auto"/>
            <w:left w:val="none" w:sz="0" w:space="0" w:color="auto"/>
            <w:bottom w:val="none" w:sz="0" w:space="0" w:color="auto"/>
            <w:right w:val="none" w:sz="0" w:space="0" w:color="auto"/>
          </w:divBdr>
        </w:div>
        <w:div w:id="1587958117">
          <w:marLeft w:val="480"/>
          <w:marRight w:val="0"/>
          <w:marTop w:val="0"/>
          <w:marBottom w:val="0"/>
          <w:divBdr>
            <w:top w:val="none" w:sz="0" w:space="0" w:color="auto"/>
            <w:left w:val="none" w:sz="0" w:space="0" w:color="auto"/>
            <w:bottom w:val="none" w:sz="0" w:space="0" w:color="auto"/>
            <w:right w:val="none" w:sz="0" w:space="0" w:color="auto"/>
          </w:divBdr>
        </w:div>
        <w:div w:id="2001426299">
          <w:marLeft w:val="480"/>
          <w:marRight w:val="0"/>
          <w:marTop w:val="0"/>
          <w:marBottom w:val="0"/>
          <w:divBdr>
            <w:top w:val="none" w:sz="0" w:space="0" w:color="auto"/>
            <w:left w:val="none" w:sz="0" w:space="0" w:color="auto"/>
            <w:bottom w:val="none" w:sz="0" w:space="0" w:color="auto"/>
            <w:right w:val="none" w:sz="0" w:space="0" w:color="auto"/>
          </w:divBdr>
        </w:div>
        <w:div w:id="220139558">
          <w:marLeft w:val="480"/>
          <w:marRight w:val="0"/>
          <w:marTop w:val="0"/>
          <w:marBottom w:val="0"/>
          <w:divBdr>
            <w:top w:val="none" w:sz="0" w:space="0" w:color="auto"/>
            <w:left w:val="none" w:sz="0" w:space="0" w:color="auto"/>
            <w:bottom w:val="none" w:sz="0" w:space="0" w:color="auto"/>
            <w:right w:val="none" w:sz="0" w:space="0" w:color="auto"/>
          </w:divBdr>
        </w:div>
        <w:div w:id="1983150833">
          <w:marLeft w:val="480"/>
          <w:marRight w:val="0"/>
          <w:marTop w:val="0"/>
          <w:marBottom w:val="0"/>
          <w:divBdr>
            <w:top w:val="none" w:sz="0" w:space="0" w:color="auto"/>
            <w:left w:val="none" w:sz="0" w:space="0" w:color="auto"/>
            <w:bottom w:val="none" w:sz="0" w:space="0" w:color="auto"/>
            <w:right w:val="none" w:sz="0" w:space="0" w:color="auto"/>
          </w:divBdr>
        </w:div>
        <w:div w:id="1298295575">
          <w:marLeft w:val="480"/>
          <w:marRight w:val="0"/>
          <w:marTop w:val="0"/>
          <w:marBottom w:val="0"/>
          <w:divBdr>
            <w:top w:val="none" w:sz="0" w:space="0" w:color="auto"/>
            <w:left w:val="none" w:sz="0" w:space="0" w:color="auto"/>
            <w:bottom w:val="none" w:sz="0" w:space="0" w:color="auto"/>
            <w:right w:val="none" w:sz="0" w:space="0" w:color="auto"/>
          </w:divBdr>
        </w:div>
        <w:div w:id="1141074711">
          <w:marLeft w:val="480"/>
          <w:marRight w:val="0"/>
          <w:marTop w:val="0"/>
          <w:marBottom w:val="0"/>
          <w:divBdr>
            <w:top w:val="none" w:sz="0" w:space="0" w:color="auto"/>
            <w:left w:val="none" w:sz="0" w:space="0" w:color="auto"/>
            <w:bottom w:val="none" w:sz="0" w:space="0" w:color="auto"/>
            <w:right w:val="none" w:sz="0" w:space="0" w:color="auto"/>
          </w:divBdr>
        </w:div>
        <w:div w:id="266472499">
          <w:marLeft w:val="480"/>
          <w:marRight w:val="0"/>
          <w:marTop w:val="0"/>
          <w:marBottom w:val="0"/>
          <w:divBdr>
            <w:top w:val="none" w:sz="0" w:space="0" w:color="auto"/>
            <w:left w:val="none" w:sz="0" w:space="0" w:color="auto"/>
            <w:bottom w:val="none" w:sz="0" w:space="0" w:color="auto"/>
            <w:right w:val="none" w:sz="0" w:space="0" w:color="auto"/>
          </w:divBdr>
        </w:div>
        <w:div w:id="1103109754">
          <w:marLeft w:val="480"/>
          <w:marRight w:val="0"/>
          <w:marTop w:val="0"/>
          <w:marBottom w:val="0"/>
          <w:divBdr>
            <w:top w:val="none" w:sz="0" w:space="0" w:color="auto"/>
            <w:left w:val="none" w:sz="0" w:space="0" w:color="auto"/>
            <w:bottom w:val="none" w:sz="0" w:space="0" w:color="auto"/>
            <w:right w:val="none" w:sz="0" w:space="0" w:color="auto"/>
          </w:divBdr>
        </w:div>
        <w:div w:id="1107385353">
          <w:marLeft w:val="480"/>
          <w:marRight w:val="0"/>
          <w:marTop w:val="0"/>
          <w:marBottom w:val="0"/>
          <w:divBdr>
            <w:top w:val="none" w:sz="0" w:space="0" w:color="auto"/>
            <w:left w:val="none" w:sz="0" w:space="0" w:color="auto"/>
            <w:bottom w:val="none" w:sz="0" w:space="0" w:color="auto"/>
            <w:right w:val="none" w:sz="0" w:space="0" w:color="auto"/>
          </w:divBdr>
        </w:div>
        <w:div w:id="1053386109">
          <w:marLeft w:val="480"/>
          <w:marRight w:val="0"/>
          <w:marTop w:val="0"/>
          <w:marBottom w:val="0"/>
          <w:divBdr>
            <w:top w:val="none" w:sz="0" w:space="0" w:color="auto"/>
            <w:left w:val="none" w:sz="0" w:space="0" w:color="auto"/>
            <w:bottom w:val="none" w:sz="0" w:space="0" w:color="auto"/>
            <w:right w:val="none" w:sz="0" w:space="0" w:color="auto"/>
          </w:divBdr>
        </w:div>
        <w:div w:id="859659533">
          <w:marLeft w:val="480"/>
          <w:marRight w:val="0"/>
          <w:marTop w:val="0"/>
          <w:marBottom w:val="0"/>
          <w:divBdr>
            <w:top w:val="none" w:sz="0" w:space="0" w:color="auto"/>
            <w:left w:val="none" w:sz="0" w:space="0" w:color="auto"/>
            <w:bottom w:val="none" w:sz="0" w:space="0" w:color="auto"/>
            <w:right w:val="none" w:sz="0" w:space="0" w:color="auto"/>
          </w:divBdr>
        </w:div>
        <w:div w:id="1844976394">
          <w:marLeft w:val="480"/>
          <w:marRight w:val="0"/>
          <w:marTop w:val="0"/>
          <w:marBottom w:val="0"/>
          <w:divBdr>
            <w:top w:val="none" w:sz="0" w:space="0" w:color="auto"/>
            <w:left w:val="none" w:sz="0" w:space="0" w:color="auto"/>
            <w:bottom w:val="none" w:sz="0" w:space="0" w:color="auto"/>
            <w:right w:val="none" w:sz="0" w:space="0" w:color="auto"/>
          </w:divBdr>
        </w:div>
        <w:div w:id="1289579868">
          <w:marLeft w:val="480"/>
          <w:marRight w:val="0"/>
          <w:marTop w:val="0"/>
          <w:marBottom w:val="0"/>
          <w:divBdr>
            <w:top w:val="none" w:sz="0" w:space="0" w:color="auto"/>
            <w:left w:val="none" w:sz="0" w:space="0" w:color="auto"/>
            <w:bottom w:val="none" w:sz="0" w:space="0" w:color="auto"/>
            <w:right w:val="none" w:sz="0" w:space="0" w:color="auto"/>
          </w:divBdr>
        </w:div>
        <w:div w:id="507796039">
          <w:marLeft w:val="480"/>
          <w:marRight w:val="0"/>
          <w:marTop w:val="0"/>
          <w:marBottom w:val="0"/>
          <w:divBdr>
            <w:top w:val="none" w:sz="0" w:space="0" w:color="auto"/>
            <w:left w:val="none" w:sz="0" w:space="0" w:color="auto"/>
            <w:bottom w:val="none" w:sz="0" w:space="0" w:color="auto"/>
            <w:right w:val="none" w:sz="0" w:space="0" w:color="auto"/>
          </w:divBdr>
        </w:div>
        <w:div w:id="1519924233">
          <w:marLeft w:val="480"/>
          <w:marRight w:val="0"/>
          <w:marTop w:val="0"/>
          <w:marBottom w:val="0"/>
          <w:divBdr>
            <w:top w:val="none" w:sz="0" w:space="0" w:color="auto"/>
            <w:left w:val="none" w:sz="0" w:space="0" w:color="auto"/>
            <w:bottom w:val="none" w:sz="0" w:space="0" w:color="auto"/>
            <w:right w:val="none" w:sz="0" w:space="0" w:color="auto"/>
          </w:divBdr>
        </w:div>
        <w:div w:id="1425612381">
          <w:marLeft w:val="480"/>
          <w:marRight w:val="0"/>
          <w:marTop w:val="0"/>
          <w:marBottom w:val="0"/>
          <w:divBdr>
            <w:top w:val="none" w:sz="0" w:space="0" w:color="auto"/>
            <w:left w:val="none" w:sz="0" w:space="0" w:color="auto"/>
            <w:bottom w:val="none" w:sz="0" w:space="0" w:color="auto"/>
            <w:right w:val="none" w:sz="0" w:space="0" w:color="auto"/>
          </w:divBdr>
        </w:div>
        <w:div w:id="912398131">
          <w:marLeft w:val="480"/>
          <w:marRight w:val="0"/>
          <w:marTop w:val="0"/>
          <w:marBottom w:val="0"/>
          <w:divBdr>
            <w:top w:val="none" w:sz="0" w:space="0" w:color="auto"/>
            <w:left w:val="none" w:sz="0" w:space="0" w:color="auto"/>
            <w:bottom w:val="none" w:sz="0" w:space="0" w:color="auto"/>
            <w:right w:val="none" w:sz="0" w:space="0" w:color="auto"/>
          </w:divBdr>
        </w:div>
        <w:div w:id="48454428">
          <w:marLeft w:val="480"/>
          <w:marRight w:val="0"/>
          <w:marTop w:val="0"/>
          <w:marBottom w:val="0"/>
          <w:divBdr>
            <w:top w:val="none" w:sz="0" w:space="0" w:color="auto"/>
            <w:left w:val="none" w:sz="0" w:space="0" w:color="auto"/>
            <w:bottom w:val="none" w:sz="0" w:space="0" w:color="auto"/>
            <w:right w:val="none" w:sz="0" w:space="0" w:color="auto"/>
          </w:divBdr>
        </w:div>
        <w:div w:id="22248881">
          <w:marLeft w:val="480"/>
          <w:marRight w:val="0"/>
          <w:marTop w:val="0"/>
          <w:marBottom w:val="0"/>
          <w:divBdr>
            <w:top w:val="none" w:sz="0" w:space="0" w:color="auto"/>
            <w:left w:val="none" w:sz="0" w:space="0" w:color="auto"/>
            <w:bottom w:val="none" w:sz="0" w:space="0" w:color="auto"/>
            <w:right w:val="none" w:sz="0" w:space="0" w:color="auto"/>
          </w:divBdr>
        </w:div>
        <w:div w:id="157426127">
          <w:marLeft w:val="480"/>
          <w:marRight w:val="0"/>
          <w:marTop w:val="0"/>
          <w:marBottom w:val="0"/>
          <w:divBdr>
            <w:top w:val="none" w:sz="0" w:space="0" w:color="auto"/>
            <w:left w:val="none" w:sz="0" w:space="0" w:color="auto"/>
            <w:bottom w:val="none" w:sz="0" w:space="0" w:color="auto"/>
            <w:right w:val="none" w:sz="0" w:space="0" w:color="auto"/>
          </w:divBdr>
        </w:div>
        <w:div w:id="1290285514">
          <w:marLeft w:val="480"/>
          <w:marRight w:val="0"/>
          <w:marTop w:val="0"/>
          <w:marBottom w:val="0"/>
          <w:divBdr>
            <w:top w:val="none" w:sz="0" w:space="0" w:color="auto"/>
            <w:left w:val="none" w:sz="0" w:space="0" w:color="auto"/>
            <w:bottom w:val="none" w:sz="0" w:space="0" w:color="auto"/>
            <w:right w:val="none" w:sz="0" w:space="0" w:color="auto"/>
          </w:divBdr>
        </w:div>
        <w:div w:id="927736484">
          <w:marLeft w:val="480"/>
          <w:marRight w:val="0"/>
          <w:marTop w:val="0"/>
          <w:marBottom w:val="0"/>
          <w:divBdr>
            <w:top w:val="none" w:sz="0" w:space="0" w:color="auto"/>
            <w:left w:val="none" w:sz="0" w:space="0" w:color="auto"/>
            <w:bottom w:val="none" w:sz="0" w:space="0" w:color="auto"/>
            <w:right w:val="none" w:sz="0" w:space="0" w:color="auto"/>
          </w:divBdr>
        </w:div>
        <w:div w:id="1092816182">
          <w:marLeft w:val="480"/>
          <w:marRight w:val="0"/>
          <w:marTop w:val="0"/>
          <w:marBottom w:val="0"/>
          <w:divBdr>
            <w:top w:val="none" w:sz="0" w:space="0" w:color="auto"/>
            <w:left w:val="none" w:sz="0" w:space="0" w:color="auto"/>
            <w:bottom w:val="none" w:sz="0" w:space="0" w:color="auto"/>
            <w:right w:val="none" w:sz="0" w:space="0" w:color="auto"/>
          </w:divBdr>
        </w:div>
        <w:div w:id="657854177">
          <w:marLeft w:val="480"/>
          <w:marRight w:val="0"/>
          <w:marTop w:val="0"/>
          <w:marBottom w:val="0"/>
          <w:divBdr>
            <w:top w:val="none" w:sz="0" w:space="0" w:color="auto"/>
            <w:left w:val="none" w:sz="0" w:space="0" w:color="auto"/>
            <w:bottom w:val="none" w:sz="0" w:space="0" w:color="auto"/>
            <w:right w:val="none" w:sz="0" w:space="0" w:color="auto"/>
          </w:divBdr>
        </w:div>
        <w:div w:id="333345113">
          <w:marLeft w:val="480"/>
          <w:marRight w:val="0"/>
          <w:marTop w:val="0"/>
          <w:marBottom w:val="0"/>
          <w:divBdr>
            <w:top w:val="none" w:sz="0" w:space="0" w:color="auto"/>
            <w:left w:val="none" w:sz="0" w:space="0" w:color="auto"/>
            <w:bottom w:val="none" w:sz="0" w:space="0" w:color="auto"/>
            <w:right w:val="none" w:sz="0" w:space="0" w:color="auto"/>
          </w:divBdr>
        </w:div>
        <w:div w:id="2120637130">
          <w:marLeft w:val="480"/>
          <w:marRight w:val="0"/>
          <w:marTop w:val="0"/>
          <w:marBottom w:val="0"/>
          <w:divBdr>
            <w:top w:val="none" w:sz="0" w:space="0" w:color="auto"/>
            <w:left w:val="none" w:sz="0" w:space="0" w:color="auto"/>
            <w:bottom w:val="none" w:sz="0" w:space="0" w:color="auto"/>
            <w:right w:val="none" w:sz="0" w:space="0" w:color="auto"/>
          </w:divBdr>
        </w:div>
        <w:div w:id="1980842551">
          <w:marLeft w:val="480"/>
          <w:marRight w:val="0"/>
          <w:marTop w:val="0"/>
          <w:marBottom w:val="0"/>
          <w:divBdr>
            <w:top w:val="none" w:sz="0" w:space="0" w:color="auto"/>
            <w:left w:val="none" w:sz="0" w:space="0" w:color="auto"/>
            <w:bottom w:val="none" w:sz="0" w:space="0" w:color="auto"/>
            <w:right w:val="none" w:sz="0" w:space="0" w:color="auto"/>
          </w:divBdr>
        </w:div>
      </w:divsChild>
    </w:div>
    <w:div w:id="1907641881">
      <w:bodyDiv w:val="1"/>
      <w:marLeft w:val="0"/>
      <w:marRight w:val="0"/>
      <w:marTop w:val="0"/>
      <w:marBottom w:val="0"/>
      <w:divBdr>
        <w:top w:val="none" w:sz="0" w:space="0" w:color="auto"/>
        <w:left w:val="none" w:sz="0" w:space="0" w:color="auto"/>
        <w:bottom w:val="none" w:sz="0" w:space="0" w:color="auto"/>
        <w:right w:val="none" w:sz="0" w:space="0" w:color="auto"/>
      </w:divBdr>
    </w:div>
    <w:div w:id="1907718640">
      <w:bodyDiv w:val="1"/>
      <w:marLeft w:val="0"/>
      <w:marRight w:val="0"/>
      <w:marTop w:val="0"/>
      <w:marBottom w:val="0"/>
      <w:divBdr>
        <w:top w:val="none" w:sz="0" w:space="0" w:color="auto"/>
        <w:left w:val="none" w:sz="0" w:space="0" w:color="auto"/>
        <w:bottom w:val="none" w:sz="0" w:space="0" w:color="auto"/>
        <w:right w:val="none" w:sz="0" w:space="0" w:color="auto"/>
      </w:divBdr>
    </w:div>
    <w:div w:id="1907832725">
      <w:bodyDiv w:val="1"/>
      <w:marLeft w:val="0"/>
      <w:marRight w:val="0"/>
      <w:marTop w:val="0"/>
      <w:marBottom w:val="0"/>
      <w:divBdr>
        <w:top w:val="none" w:sz="0" w:space="0" w:color="auto"/>
        <w:left w:val="none" w:sz="0" w:space="0" w:color="auto"/>
        <w:bottom w:val="none" w:sz="0" w:space="0" w:color="auto"/>
        <w:right w:val="none" w:sz="0" w:space="0" w:color="auto"/>
      </w:divBdr>
    </w:div>
    <w:div w:id="1907951459">
      <w:bodyDiv w:val="1"/>
      <w:marLeft w:val="0"/>
      <w:marRight w:val="0"/>
      <w:marTop w:val="0"/>
      <w:marBottom w:val="0"/>
      <w:divBdr>
        <w:top w:val="none" w:sz="0" w:space="0" w:color="auto"/>
        <w:left w:val="none" w:sz="0" w:space="0" w:color="auto"/>
        <w:bottom w:val="none" w:sz="0" w:space="0" w:color="auto"/>
        <w:right w:val="none" w:sz="0" w:space="0" w:color="auto"/>
      </w:divBdr>
    </w:div>
    <w:div w:id="1908607372">
      <w:bodyDiv w:val="1"/>
      <w:marLeft w:val="0"/>
      <w:marRight w:val="0"/>
      <w:marTop w:val="0"/>
      <w:marBottom w:val="0"/>
      <w:divBdr>
        <w:top w:val="none" w:sz="0" w:space="0" w:color="auto"/>
        <w:left w:val="none" w:sz="0" w:space="0" w:color="auto"/>
        <w:bottom w:val="none" w:sz="0" w:space="0" w:color="auto"/>
        <w:right w:val="none" w:sz="0" w:space="0" w:color="auto"/>
      </w:divBdr>
    </w:div>
    <w:div w:id="1908952600">
      <w:bodyDiv w:val="1"/>
      <w:marLeft w:val="0"/>
      <w:marRight w:val="0"/>
      <w:marTop w:val="0"/>
      <w:marBottom w:val="0"/>
      <w:divBdr>
        <w:top w:val="none" w:sz="0" w:space="0" w:color="auto"/>
        <w:left w:val="none" w:sz="0" w:space="0" w:color="auto"/>
        <w:bottom w:val="none" w:sz="0" w:space="0" w:color="auto"/>
        <w:right w:val="none" w:sz="0" w:space="0" w:color="auto"/>
      </w:divBdr>
    </w:div>
    <w:div w:id="1909850288">
      <w:bodyDiv w:val="1"/>
      <w:marLeft w:val="0"/>
      <w:marRight w:val="0"/>
      <w:marTop w:val="0"/>
      <w:marBottom w:val="0"/>
      <w:divBdr>
        <w:top w:val="none" w:sz="0" w:space="0" w:color="auto"/>
        <w:left w:val="none" w:sz="0" w:space="0" w:color="auto"/>
        <w:bottom w:val="none" w:sz="0" w:space="0" w:color="auto"/>
        <w:right w:val="none" w:sz="0" w:space="0" w:color="auto"/>
      </w:divBdr>
    </w:div>
    <w:div w:id="1910336148">
      <w:bodyDiv w:val="1"/>
      <w:marLeft w:val="0"/>
      <w:marRight w:val="0"/>
      <w:marTop w:val="0"/>
      <w:marBottom w:val="0"/>
      <w:divBdr>
        <w:top w:val="none" w:sz="0" w:space="0" w:color="auto"/>
        <w:left w:val="none" w:sz="0" w:space="0" w:color="auto"/>
        <w:bottom w:val="none" w:sz="0" w:space="0" w:color="auto"/>
        <w:right w:val="none" w:sz="0" w:space="0" w:color="auto"/>
      </w:divBdr>
    </w:div>
    <w:div w:id="1911041974">
      <w:bodyDiv w:val="1"/>
      <w:marLeft w:val="0"/>
      <w:marRight w:val="0"/>
      <w:marTop w:val="0"/>
      <w:marBottom w:val="0"/>
      <w:divBdr>
        <w:top w:val="none" w:sz="0" w:space="0" w:color="auto"/>
        <w:left w:val="none" w:sz="0" w:space="0" w:color="auto"/>
        <w:bottom w:val="none" w:sz="0" w:space="0" w:color="auto"/>
        <w:right w:val="none" w:sz="0" w:space="0" w:color="auto"/>
      </w:divBdr>
    </w:div>
    <w:div w:id="1911234080">
      <w:bodyDiv w:val="1"/>
      <w:marLeft w:val="0"/>
      <w:marRight w:val="0"/>
      <w:marTop w:val="0"/>
      <w:marBottom w:val="0"/>
      <w:divBdr>
        <w:top w:val="none" w:sz="0" w:space="0" w:color="auto"/>
        <w:left w:val="none" w:sz="0" w:space="0" w:color="auto"/>
        <w:bottom w:val="none" w:sz="0" w:space="0" w:color="auto"/>
        <w:right w:val="none" w:sz="0" w:space="0" w:color="auto"/>
      </w:divBdr>
    </w:div>
    <w:div w:id="1912154141">
      <w:bodyDiv w:val="1"/>
      <w:marLeft w:val="0"/>
      <w:marRight w:val="0"/>
      <w:marTop w:val="0"/>
      <w:marBottom w:val="0"/>
      <w:divBdr>
        <w:top w:val="none" w:sz="0" w:space="0" w:color="auto"/>
        <w:left w:val="none" w:sz="0" w:space="0" w:color="auto"/>
        <w:bottom w:val="none" w:sz="0" w:space="0" w:color="auto"/>
        <w:right w:val="none" w:sz="0" w:space="0" w:color="auto"/>
      </w:divBdr>
    </w:div>
    <w:div w:id="1912544688">
      <w:bodyDiv w:val="1"/>
      <w:marLeft w:val="0"/>
      <w:marRight w:val="0"/>
      <w:marTop w:val="0"/>
      <w:marBottom w:val="0"/>
      <w:divBdr>
        <w:top w:val="none" w:sz="0" w:space="0" w:color="auto"/>
        <w:left w:val="none" w:sz="0" w:space="0" w:color="auto"/>
        <w:bottom w:val="none" w:sz="0" w:space="0" w:color="auto"/>
        <w:right w:val="none" w:sz="0" w:space="0" w:color="auto"/>
      </w:divBdr>
    </w:div>
    <w:div w:id="1912616223">
      <w:bodyDiv w:val="1"/>
      <w:marLeft w:val="0"/>
      <w:marRight w:val="0"/>
      <w:marTop w:val="0"/>
      <w:marBottom w:val="0"/>
      <w:divBdr>
        <w:top w:val="none" w:sz="0" w:space="0" w:color="auto"/>
        <w:left w:val="none" w:sz="0" w:space="0" w:color="auto"/>
        <w:bottom w:val="none" w:sz="0" w:space="0" w:color="auto"/>
        <w:right w:val="none" w:sz="0" w:space="0" w:color="auto"/>
      </w:divBdr>
    </w:div>
    <w:div w:id="1912735529">
      <w:bodyDiv w:val="1"/>
      <w:marLeft w:val="0"/>
      <w:marRight w:val="0"/>
      <w:marTop w:val="0"/>
      <w:marBottom w:val="0"/>
      <w:divBdr>
        <w:top w:val="none" w:sz="0" w:space="0" w:color="auto"/>
        <w:left w:val="none" w:sz="0" w:space="0" w:color="auto"/>
        <w:bottom w:val="none" w:sz="0" w:space="0" w:color="auto"/>
        <w:right w:val="none" w:sz="0" w:space="0" w:color="auto"/>
      </w:divBdr>
    </w:div>
    <w:div w:id="1914044943">
      <w:bodyDiv w:val="1"/>
      <w:marLeft w:val="0"/>
      <w:marRight w:val="0"/>
      <w:marTop w:val="0"/>
      <w:marBottom w:val="0"/>
      <w:divBdr>
        <w:top w:val="none" w:sz="0" w:space="0" w:color="auto"/>
        <w:left w:val="none" w:sz="0" w:space="0" w:color="auto"/>
        <w:bottom w:val="none" w:sz="0" w:space="0" w:color="auto"/>
        <w:right w:val="none" w:sz="0" w:space="0" w:color="auto"/>
      </w:divBdr>
    </w:div>
    <w:div w:id="1914047827">
      <w:bodyDiv w:val="1"/>
      <w:marLeft w:val="0"/>
      <w:marRight w:val="0"/>
      <w:marTop w:val="0"/>
      <w:marBottom w:val="0"/>
      <w:divBdr>
        <w:top w:val="none" w:sz="0" w:space="0" w:color="auto"/>
        <w:left w:val="none" w:sz="0" w:space="0" w:color="auto"/>
        <w:bottom w:val="none" w:sz="0" w:space="0" w:color="auto"/>
        <w:right w:val="none" w:sz="0" w:space="0" w:color="auto"/>
      </w:divBdr>
    </w:div>
    <w:div w:id="1915238831">
      <w:bodyDiv w:val="1"/>
      <w:marLeft w:val="0"/>
      <w:marRight w:val="0"/>
      <w:marTop w:val="0"/>
      <w:marBottom w:val="0"/>
      <w:divBdr>
        <w:top w:val="none" w:sz="0" w:space="0" w:color="auto"/>
        <w:left w:val="none" w:sz="0" w:space="0" w:color="auto"/>
        <w:bottom w:val="none" w:sz="0" w:space="0" w:color="auto"/>
        <w:right w:val="none" w:sz="0" w:space="0" w:color="auto"/>
      </w:divBdr>
    </w:div>
    <w:div w:id="1915970380">
      <w:bodyDiv w:val="1"/>
      <w:marLeft w:val="0"/>
      <w:marRight w:val="0"/>
      <w:marTop w:val="0"/>
      <w:marBottom w:val="0"/>
      <w:divBdr>
        <w:top w:val="none" w:sz="0" w:space="0" w:color="auto"/>
        <w:left w:val="none" w:sz="0" w:space="0" w:color="auto"/>
        <w:bottom w:val="none" w:sz="0" w:space="0" w:color="auto"/>
        <w:right w:val="none" w:sz="0" w:space="0" w:color="auto"/>
      </w:divBdr>
    </w:div>
    <w:div w:id="1915973953">
      <w:bodyDiv w:val="1"/>
      <w:marLeft w:val="0"/>
      <w:marRight w:val="0"/>
      <w:marTop w:val="0"/>
      <w:marBottom w:val="0"/>
      <w:divBdr>
        <w:top w:val="none" w:sz="0" w:space="0" w:color="auto"/>
        <w:left w:val="none" w:sz="0" w:space="0" w:color="auto"/>
        <w:bottom w:val="none" w:sz="0" w:space="0" w:color="auto"/>
        <w:right w:val="none" w:sz="0" w:space="0" w:color="auto"/>
      </w:divBdr>
    </w:div>
    <w:div w:id="1916471390">
      <w:bodyDiv w:val="1"/>
      <w:marLeft w:val="0"/>
      <w:marRight w:val="0"/>
      <w:marTop w:val="0"/>
      <w:marBottom w:val="0"/>
      <w:divBdr>
        <w:top w:val="none" w:sz="0" w:space="0" w:color="auto"/>
        <w:left w:val="none" w:sz="0" w:space="0" w:color="auto"/>
        <w:bottom w:val="none" w:sz="0" w:space="0" w:color="auto"/>
        <w:right w:val="none" w:sz="0" w:space="0" w:color="auto"/>
      </w:divBdr>
      <w:divsChild>
        <w:div w:id="36123063">
          <w:marLeft w:val="480"/>
          <w:marRight w:val="0"/>
          <w:marTop w:val="0"/>
          <w:marBottom w:val="0"/>
          <w:divBdr>
            <w:top w:val="none" w:sz="0" w:space="0" w:color="auto"/>
            <w:left w:val="none" w:sz="0" w:space="0" w:color="auto"/>
            <w:bottom w:val="none" w:sz="0" w:space="0" w:color="auto"/>
            <w:right w:val="none" w:sz="0" w:space="0" w:color="auto"/>
          </w:divBdr>
        </w:div>
        <w:div w:id="372966859">
          <w:marLeft w:val="480"/>
          <w:marRight w:val="0"/>
          <w:marTop w:val="0"/>
          <w:marBottom w:val="0"/>
          <w:divBdr>
            <w:top w:val="none" w:sz="0" w:space="0" w:color="auto"/>
            <w:left w:val="none" w:sz="0" w:space="0" w:color="auto"/>
            <w:bottom w:val="none" w:sz="0" w:space="0" w:color="auto"/>
            <w:right w:val="none" w:sz="0" w:space="0" w:color="auto"/>
          </w:divBdr>
        </w:div>
        <w:div w:id="402262765">
          <w:marLeft w:val="480"/>
          <w:marRight w:val="0"/>
          <w:marTop w:val="0"/>
          <w:marBottom w:val="0"/>
          <w:divBdr>
            <w:top w:val="none" w:sz="0" w:space="0" w:color="auto"/>
            <w:left w:val="none" w:sz="0" w:space="0" w:color="auto"/>
            <w:bottom w:val="none" w:sz="0" w:space="0" w:color="auto"/>
            <w:right w:val="none" w:sz="0" w:space="0" w:color="auto"/>
          </w:divBdr>
        </w:div>
        <w:div w:id="907618265">
          <w:marLeft w:val="480"/>
          <w:marRight w:val="0"/>
          <w:marTop w:val="0"/>
          <w:marBottom w:val="0"/>
          <w:divBdr>
            <w:top w:val="none" w:sz="0" w:space="0" w:color="auto"/>
            <w:left w:val="none" w:sz="0" w:space="0" w:color="auto"/>
            <w:bottom w:val="none" w:sz="0" w:space="0" w:color="auto"/>
            <w:right w:val="none" w:sz="0" w:space="0" w:color="auto"/>
          </w:divBdr>
        </w:div>
        <w:div w:id="1738243317">
          <w:marLeft w:val="480"/>
          <w:marRight w:val="0"/>
          <w:marTop w:val="0"/>
          <w:marBottom w:val="0"/>
          <w:divBdr>
            <w:top w:val="none" w:sz="0" w:space="0" w:color="auto"/>
            <w:left w:val="none" w:sz="0" w:space="0" w:color="auto"/>
            <w:bottom w:val="none" w:sz="0" w:space="0" w:color="auto"/>
            <w:right w:val="none" w:sz="0" w:space="0" w:color="auto"/>
          </w:divBdr>
        </w:div>
        <w:div w:id="265381835">
          <w:marLeft w:val="480"/>
          <w:marRight w:val="0"/>
          <w:marTop w:val="0"/>
          <w:marBottom w:val="0"/>
          <w:divBdr>
            <w:top w:val="none" w:sz="0" w:space="0" w:color="auto"/>
            <w:left w:val="none" w:sz="0" w:space="0" w:color="auto"/>
            <w:bottom w:val="none" w:sz="0" w:space="0" w:color="auto"/>
            <w:right w:val="none" w:sz="0" w:space="0" w:color="auto"/>
          </w:divBdr>
        </w:div>
        <w:div w:id="1462580393">
          <w:marLeft w:val="480"/>
          <w:marRight w:val="0"/>
          <w:marTop w:val="0"/>
          <w:marBottom w:val="0"/>
          <w:divBdr>
            <w:top w:val="none" w:sz="0" w:space="0" w:color="auto"/>
            <w:left w:val="none" w:sz="0" w:space="0" w:color="auto"/>
            <w:bottom w:val="none" w:sz="0" w:space="0" w:color="auto"/>
            <w:right w:val="none" w:sz="0" w:space="0" w:color="auto"/>
          </w:divBdr>
        </w:div>
        <w:div w:id="779226147">
          <w:marLeft w:val="480"/>
          <w:marRight w:val="0"/>
          <w:marTop w:val="0"/>
          <w:marBottom w:val="0"/>
          <w:divBdr>
            <w:top w:val="none" w:sz="0" w:space="0" w:color="auto"/>
            <w:left w:val="none" w:sz="0" w:space="0" w:color="auto"/>
            <w:bottom w:val="none" w:sz="0" w:space="0" w:color="auto"/>
            <w:right w:val="none" w:sz="0" w:space="0" w:color="auto"/>
          </w:divBdr>
        </w:div>
        <w:div w:id="1406608824">
          <w:marLeft w:val="480"/>
          <w:marRight w:val="0"/>
          <w:marTop w:val="0"/>
          <w:marBottom w:val="0"/>
          <w:divBdr>
            <w:top w:val="none" w:sz="0" w:space="0" w:color="auto"/>
            <w:left w:val="none" w:sz="0" w:space="0" w:color="auto"/>
            <w:bottom w:val="none" w:sz="0" w:space="0" w:color="auto"/>
            <w:right w:val="none" w:sz="0" w:space="0" w:color="auto"/>
          </w:divBdr>
        </w:div>
        <w:div w:id="894395332">
          <w:marLeft w:val="480"/>
          <w:marRight w:val="0"/>
          <w:marTop w:val="0"/>
          <w:marBottom w:val="0"/>
          <w:divBdr>
            <w:top w:val="none" w:sz="0" w:space="0" w:color="auto"/>
            <w:left w:val="none" w:sz="0" w:space="0" w:color="auto"/>
            <w:bottom w:val="none" w:sz="0" w:space="0" w:color="auto"/>
            <w:right w:val="none" w:sz="0" w:space="0" w:color="auto"/>
          </w:divBdr>
        </w:div>
        <w:div w:id="1349671181">
          <w:marLeft w:val="480"/>
          <w:marRight w:val="0"/>
          <w:marTop w:val="0"/>
          <w:marBottom w:val="0"/>
          <w:divBdr>
            <w:top w:val="none" w:sz="0" w:space="0" w:color="auto"/>
            <w:left w:val="none" w:sz="0" w:space="0" w:color="auto"/>
            <w:bottom w:val="none" w:sz="0" w:space="0" w:color="auto"/>
            <w:right w:val="none" w:sz="0" w:space="0" w:color="auto"/>
          </w:divBdr>
        </w:div>
        <w:div w:id="14811926">
          <w:marLeft w:val="480"/>
          <w:marRight w:val="0"/>
          <w:marTop w:val="0"/>
          <w:marBottom w:val="0"/>
          <w:divBdr>
            <w:top w:val="none" w:sz="0" w:space="0" w:color="auto"/>
            <w:left w:val="none" w:sz="0" w:space="0" w:color="auto"/>
            <w:bottom w:val="none" w:sz="0" w:space="0" w:color="auto"/>
            <w:right w:val="none" w:sz="0" w:space="0" w:color="auto"/>
          </w:divBdr>
        </w:div>
        <w:div w:id="1769303327">
          <w:marLeft w:val="480"/>
          <w:marRight w:val="0"/>
          <w:marTop w:val="0"/>
          <w:marBottom w:val="0"/>
          <w:divBdr>
            <w:top w:val="none" w:sz="0" w:space="0" w:color="auto"/>
            <w:left w:val="none" w:sz="0" w:space="0" w:color="auto"/>
            <w:bottom w:val="none" w:sz="0" w:space="0" w:color="auto"/>
            <w:right w:val="none" w:sz="0" w:space="0" w:color="auto"/>
          </w:divBdr>
        </w:div>
        <w:div w:id="118686207">
          <w:marLeft w:val="480"/>
          <w:marRight w:val="0"/>
          <w:marTop w:val="0"/>
          <w:marBottom w:val="0"/>
          <w:divBdr>
            <w:top w:val="none" w:sz="0" w:space="0" w:color="auto"/>
            <w:left w:val="none" w:sz="0" w:space="0" w:color="auto"/>
            <w:bottom w:val="none" w:sz="0" w:space="0" w:color="auto"/>
            <w:right w:val="none" w:sz="0" w:space="0" w:color="auto"/>
          </w:divBdr>
        </w:div>
        <w:div w:id="813646921">
          <w:marLeft w:val="480"/>
          <w:marRight w:val="0"/>
          <w:marTop w:val="0"/>
          <w:marBottom w:val="0"/>
          <w:divBdr>
            <w:top w:val="none" w:sz="0" w:space="0" w:color="auto"/>
            <w:left w:val="none" w:sz="0" w:space="0" w:color="auto"/>
            <w:bottom w:val="none" w:sz="0" w:space="0" w:color="auto"/>
            <w:right w:val="none" w:sz="0" w:space="0" w:color="auto"/>
          </w:divBdr>
        </w:div>
        <w:div w:id="1480220535">
          <w:marLeft w:val="480"/>
          <w:marRight w:val="0"/>
          <w:marTop w:val="0"/>
          <w:marBottom w:val="0"/>
          <w:divBdr>
            <w:top w:val="none" w:sz="0" w:space="0" w:color="auto"/>
            <w:left w:val="none" w:sz="0" w:space="0" w:color="auto"/>
            <w:bottom w:val="none" w:sz="0" w:space="0" w:color="auto"/>
            <w:right w:val="none" w:sz="0" w:space="0" w:color="auto"/>
          </w:divBdr>
        </w:div>
        <w:div w:id="287706775">
          <w:marLeft w:val="480"/>
          <w:marRight w:val="0"/>
          <w:marTop w:val="0"/>
          <w:marBottom w:val="0"/>
          <w:divBdr>
            <w:top w:val="none" w:sz="0" w:space="0" w:color="auto"/>
            <w:left w:val="none" w:sz="0" w:space="0" w:color="auto"/>
            <w:bottom w:val="none" w:sz="0" w:space="0" w:color="auto"/>
            <w:right w:val="none" w:sz="0" w:space="0" w:color="auto"/>
          </w:divBdr>
        </w:div>
        <w:div w:id="1461924350">
          <w:marLeft w:val="480"/>
          <w:marRight w:val="0"/>
          <w:marTop w:val="0"/>
          <w:marBottom w:val="0"/>
          <w:divBdr>
            <w:top w:val="none" w:sz="0" w:space="0" w:color="auto"/>
            <w:left w:val="none" w:sz="0" w:space="0" w:color="auto"/>
            <w:bottom w:val="none" w:sz="0" w:space="0" w:color="auto"/>
            <w:right w:val="none" w:sz="0" w:space="0" w:color="auto"/>
          </w:divBdr>
        </w:div>
        <w:div w:id="1487818417">
          <w:marLeft w:val="480"/>
          <w:marRight w:val="0"/>
          <w:marTop w:val="0"/>
          <w:marBottom w:val="0"/>
          <w:divBdr>
            <w:top w:val="none" w:sz="0" w:space="0" w:color="auto"/>
            <w:left w:val="none" w:sz="0" w:space="0" w:color="auto"/>
            <w:bottom w:val="none" w:sz="0" w:space="0" w:color="auto"/>
            <w:right w:val="none" w:sz="0" w:space="0" w:color="auto"/>
          </w:divBdr>
        </w:div>
        <w:div w:id="924143895">
          <w:marLeft w:val="480"/>
          <w:marRight w:val="0"/>
          <w:marTop w:val="0"/>
          <w:marBottom w:val="0"/>
          <w:divBdr>
            <w:top w:val="none" w:sz="0" w:space="0" w:color="auto"/>
            <w:left w:val="none" w:sz="0" w:space="0" w:color="auto"/>
            <w:bottom w:val="none" w:sz="0" w:space="0" w:color="auto"/>
            <w:right w:val="none" w:sz="0" w:space="0" w:color="auto"/>
          </w:divBdr>
        </w:div>
        <w:div w:id="1809348916">
          <w:marLeft w:val="480"/>
          <w:marRight w:val="0"/>
          <w:marTop w:val="0"/>
          <w:marBottom w:val="0"/>
          <w:divBdr>
            <w:top w:val="none" w:sz="0" w:space="0" w:color="auto"/>
            <w:left w:val="none" w:sz="0" w:space="0" w:color="auto"/>
            <w:bottom w:val="none" w:sz="0" w:space="0" w:color="auto"/>
            <w:right w:val="none" w:sz="0" w:space="0" w:color="auto"/>
          </w:divBdr>
        </w:div>
        <w:div w:id="1009527186">
          <w:marLeft w:val="480"/>
          <w:marRight w:val="0"/>
          <w:marTop w:val="0"/>
          <w:marBottom w:val="0"/>
          <w:divBdr>
            <w:top w:val="none" w:sz="0" w:space="0" w:color="auto"/>
            <w:left w:val="none" w:sz="0" w:space="0" w:color="auto"/>
            <w:bottom w:val="none" w:sz="0" w:space="0" w:color="auto"/>
            <w:right w:val="none" w:sz="0" w:space="0" w:color="auto"/>
          </w:divBdr>
        </w:div>
        <w:div w:id="570578750">
          <w:marLeft w:val="480"/>
          <w:marRight w:val="0"/>
          <w:marTop w:val="0"/>
          <w:marBottom w:val="0"/>
          <w:divBdr>
            <w:top w:val="none" w:sz="0" w:space="0" w:color="auto"/>
            <w:left w:val="none" w:sz="0" w:space="0" w:color="auto"/>
            <w:bottom w:val="none" w:sz="0" w:space="0" w:color="auto"/>
            <w:right w:val="none" w:sz="0" w:space="0" w:color="auto"/>
          </w:divBdr>
        </w:div>
        <w:div w:id="1774740338">
          <w:marLeft w:val="480"/>
          <w:marRight w:val="0"/>
          <w:marTop w:val="0"/>
          <w:marBottom w:val="0"/>
          <w:divBdr>
            <w:top w:val="none" w:sz="0" w:space="0" w:color="auto"/>
            <w:left w:val="none" w:sz="0" w:space="0" w:color="auto"/>
            <w:bottom w:val="none" w:sz="0" w:space="0" w:color="auto"/>
            <w:right w:val="none" w:sz="0" w:space="0" w:color="auto"/>
          </w:divBdr>
        </w:div>
        <w:div w:id="260143253">
          <w:marLeft w:val="480"/>
          <w:marRight w:val="0"/>
          <w:marTop w:val="0"/>
          <w:marBottom w:val="0"/>
          <w:divBdr>
            <w:top w:val="none" w:sz="0" w:space="0" w:color="auto"/>
            <w:left w:val="none" w:sz="0" w:space="0" w:color="auto"/>
            <w:bottom w:val="none" w:sz="0" w:space="0" w:color="auto"/>
            <w:right w:val="none" w:sz="0" w:space="0" w:color="auto"/>
          </w:divBdr>
        </w:div>
        <w:div w:id="1809935393">
          <w:marLeft w:val="480"/>
          <w:marRight w:val="0"/>
          <w:marTop w:val="0"/>
          <w:marBottom w:val="0"/>
          <w:divBdr>
            <w:top w:val="none" w:sz="0" w:space="0" w:color="auto"/>
            <w:left w:val="none" w:sz="0" w:space="0" w:color="auto"/>
            <w:bottom w:val="none" w:sz="0" w:space="0" w:color="auto"/>
            <w:right w:val="none" w:sz="0" w:space="0" w:color="auto"/>
          </w:divBdr>
        </w:div>
        <w:div w:id="137113690">
          <w:marLeft w:val="480"/>
          <w:marRight w:val="0"/>
          <w:marTop w:val="0"/>
          <w:marBottom w:val="0"/>
          <w:divBdr>
            <w:top w:val="none" w:sz="0" w:space="0" w:color="auto"/>
            <w:left w:val="none" w:sz="0" w:space="0" w:color="auto"/>
            <w:bottom w:val="none" w:sz="0" w:space="0" w:color="auto"/>
            <w:right w:val="none" w:sz="0" w:space="0" w:color="auto"/>
          </w:divBdr>
        </w:div>
        <w:div w:id="677852920">
          <w:marLeft w:val="480"/>
          <w:marRight w:val="0"/>
          <w:marTop w:val="0"/>
          <w:marBottom w:val="0"/>
          <w:divBdr>
            <w:top w:val="none" w:sz="0" w:space="0" w:color="auto"/>
            <w:left w:val="none" w:sz="0" w:space="0" w:color="auto"/>
            <w:bottom w:val="none" w:sz="0" w:space="0" w:color="auto"/>
            <w:right w:val="none" w:sz="0" w:space="0" w:color="auto"/>
          </w:divBdr>
        </w:div>
        <w:div w:id="1735197113">
          <w:marLeft w:val="480"/>
          <w:marRight w:val="0"/>
          <w:marTop w:val="0"/>
          <w:marBottom w:val="0"/>
          <w:divBdr>
            <w:top w:val="none" w:sz="0" w:space="0" w:color="auto"/>
            <w:left w:val="none" w:sz="0" w:space="0" w:color="auto"/>
            <w:bottom w:val="none" w:sz="0" w:space="0" w:color="auto"/>
            <w:right w:val="none" w:sz="0" w:space="0" w:color="auto"/>
          </w:divBdr>
        </w:div>
        <w:div w:id="502624208">
          <w:marLeft w:val="480"/>
          <w:marRight w:val="0"/>
          <w:marTop w:val="0"/>
          <w:marBottom w:val="0"/>
          <w:divBdr>
            <w:top w:val="none" w:sz="0" w:space="0" w:color="auto"/>
            <w:left w:val="none" w:sz="0" w:space="0" w:color="auto"/>
            <w:bottom w:val="none" w:sz="0" w:space="0" w:color="auto"/>
            <w:right w:val="none" w:sz="0" w:space="0" w:color="auto"/>
          </w:divBdr>
        </w:div>
        <w:div w:id="230388975">
          <w:marLeft w:val="480"/>
          <w:marRight w:val="0"/>
          <w:marTop w:val="0"/>
          <w:marBottom w:val="0"/>
          <w:divBdr>
            <w:top w:val="none" w:sz="0" w:space="0" w:color="auto"/>
            <w:left w:val="none" w:sz="0" w:space="0" w:color="auto"/>
            <w:bottom w:val="none" w:sz="0" w:space="0" w:color="auto"/>
            <w:right w:val="none" w:sz="0" w:space="0" w:color="auto"/>
          </w:divBdr>
        </w:div>
        <w:div w:id="1102143076">
          <w:marLeft w:val="480"/>
          <w:marRight w:val="0"/>
          <w:marTop w:val="0"/>
          <w:marBottom w:val="0"/>
          <w:divBdr>
            <w:top w:val="none" w:sz="0" w:space="0" w:color="auto"/>
            <w:left w:val="none" w:sz="0" w:space="0" w:color="auto"/>
            <w:bottom w:val="none" w:sz="0" w:space="0" w:color="auto"/>
            <w:right w:val="none" w:sz="0" w:space="0" w:color="auto"/>
          </w:divBdr>
        </w:div>
        <w:div w:id="1345088577">
          <w:marLeft w:val="480"/>
          <w:marRight w:val="0"/>
          <w:marTop w:val="0"/>
          <w:marBottom w:val="0"/>
          <w:divBdr>
            <w:top w:val="none" w:sz="0" w:space="0" w:color="auto"/>
            <w:left w:val="none" w:sz="0" w:space="0" w:color="auto"/>
            <w:bottom w:val="none" w:sz="0" w:space="0" w:color="auto"/>
            <w:right w:val="none" w:sz="0" w:space="0" w:color="auto"/>
          </w:divBdr>
        </w:div>
        <w:div w:id="928198701">
          <w:marLeft w:val="480"/>
          <w:marRight w:val="0"/>
          <w:marTop w:val="0"/>
          <w:marBottom w:val="0"/>
          <w:divBdr>
            <w:top w:val="none" w:sz="0" w:space="0" w:color="auto"/>
            <w:left w:val="none" w:sz="0" w:space="0" w:color="auto"/>
            <w:bottom w:val="none" w:sz="0" w:space="0" w:color="auto"/>
            <w:right w:val="none" w:sz="0" w:space="0" w:color="auto"/>
          </w:divBdr>
        </w:div>
        <w:div w:id="1391882500">
          <w:marLeft w:val="480"/>
          <w:marRight w:val="0"/>
          <w:marTop w:val="0"/>
          <w:marBottom w:val="0"/>
          <w:divBdr>
            <w:top w:val="none" w:sz="0" w:space="0" w:color="auto"/>
            <w:left w:val="none" w:sz="0" w:space="0" w:color="auto"/>
            <w:bottom w:val="none" w:sz="0" w:space="0" w:color="auto"/>
            <w:right w:val="none" w:sz="0" w:space="0" w:color="auto"/>
          </w:divBdr>
        </w:div>
        <w:div w:id="1601445802">
          <w:marLeft w:val="480"/>
          <w:marRight w:val="0"/>
          <w:marTop w:val="0"/>
          <w:marBottom w:val="0"/>
          <w:divBdr>
            <w:top w:val="none" w:sz="0" w:space="0" w:color="auto"/>
            <w:left w:val="none" w:sz="0" w:space="0" w:color="auto"/>
            <w:bottom w:val="none" w:sz="0" w:space="0" w:color="auto"/>
            <w:right w:val="none" w:sz="0" w:space="0" w:color="auto"/>
          </w:divBdr>
        </w:div>
        <w:div w:id="1001087173">
          <w:marLeft w:val="480"/>
          <w:marRight w:val="0"/>
          <w:marTop w:val="0"/>
          <w:marBottom w:val="0"/>
          <w:divBdr>
            <w:top w:val="none" w:sz="0" w:space="0" w:color="auto"/>
            <w:left w:val="none" w:sz="0" w:space="0" w:color="auto"/>
            <w:bottom w:val="none" w:sz="0" w:space="0" w:color="auto"/>
            <w:right w:val="none" w:sz="0" w:space="0" w:color="auto"/>
          </w:divBdr>
        </w:div>
        <w:div w:id="1005325536">
          <w:marLeft w:val="480"/>
          <w:marRight w:val="0"/>
          <w:marTop w:val="0"/>
          <w:marBottom w:val="0"/>
          <w:divBdr>
            <w:top w:val="none" w:sz="0" w:space="0" w:color="auto"/>
            <w:left w:val="none" w:sz="0" w:space="0" w:color="auto"/>
            <w:bottom w:val="none" w:sz="0" w:space="0" w:color="auto"/>
            <w:right w:val="none" w:sz="0" w:space="0" w:color="auto"/>
          </w:divBdr>
        </w:div>
        <w:div w:id="1521890290">
          <w:marLeft w:val="480"/>
          <w:marRight w:val="0"/>
          <w:marTop w:val="0"/>
          <w:marBottom w:val="0"/>
          <w:divBdr>
            <w:top w:val="none" w:sz="0" w:space="0" w:color="auto"/>
            <w:left w:val="none" w:sz="0" w:space="0" w:color="auto"/>
            <w:bottom w:val="none" w:sz="0" w:space="0" w:color="auto"/>
            <w:right w:val="none" w:sz="0" w:space="0" w:color="auto"/>
          </w:divBdr>
        </w:div>
        <w:div w:id="786780028">
          <w:marLeft w:val="480"/>
          <w:marRight w:val="0"/>
          <w:marTop w:val="0"/>
          <w:marBottom w:val="0"/>
          <w:divBdr>
            <w:top w:val="none" w:sz="0" w:space="0" w:color="auto"/>
            <w:left w:val="none" w:sz="0" w:space="0" w:color="auto"/>
            <w:bottom w:val="none" w:sz="0" w:space="0" w:color="auto"/>
            <w:right w:val="none" w:sz="0" w:space="0" w:color="auto"/>
          </w:divBdr>
        </w:div>
        <w:div w:id="1303583225">
          <w:marLeft w:val="480"/>
          <w:marRight w:val="0"/>
          <w:marTop w:val="0"/>
          <w:marBottom w:val="0"/>
          <w:divBdr>
            <w:top w:val="none" w:sz="0" w:space="0" w:color="auto"/>
            <w:left w:val="none" w:sz="0" w:space="0" w:color="auto"/>
            <w:bottom w:val="none" w:sz="0" w:space="0" w:color="auto"/>
            <w:right w:val="none" w:sz="0" w:space="0" w:color="auto"/>
          </w:divBdr>
        </w:div>
        <w:div w:id="1058357326">
          <w:marLeft w:val="480"/>
          <w:marRight w:val="0"/>
          <w:marTop w:val="0"/>
          <w:marBottom w:val="0"/>
          <w:divBdr>
            <w:top w:val="none" w:sz="0" w:space="0" w:color="auto"/>
            <w:left w:val="none" w:sz="0" w:space="0" w:color="auto"/>
            <w:bottom w:val="none" w:sz="0" w:space="0" w:color="auto"/>
            <w:right w:val="none" w:sz="0" w:space="0" w:color="auto"/>
          </w:divBdr>
        </w:div>
        <w:div w:id="635062829">
          <w:marLeft w:val="480"/>
          <w:marRight w:val="0"/>
          <w:marTop w:val="0"/>
          <w:marBottom w:val="0"/>
          <w:divBdr>
            <w:top w:val="none" w:sz="0" w:space="0" w:color="auto"/>
            <w:left w:val="none" w:sz="0" w:space="0" w:color="auto"/>
            <w:bottom w:val="none" w:sz="0" w:space="0" w:color="auto"/>
            <w:right w:val="none" w:sz="0" w:space="0" w:color="auto"/>
          </w:divBdr>
        </w:div>
        <w:div w:id="133840140">
          <w:marLeft w:val="480"/>
          <w:marRight w:val="0"/>
          <w:marTop w:val="0"/>
          <w:marBottom w:val="0"/>
          <w:divBdr>
            <w:top w:val="none" w:sz="0" w:space="0" w:color="auto"/>
            <w:left w:val="none" w:sz="0" w:space="0" w:color="auto"/>
            <w:bottom w:val="none" w:sz="0" w:space="0" w:color="auto"/>
            <w:right w:val="none" w:sz="0" w:space="0" w:color="auto"/>
          </w:divBdr>
        </w:div>
        <w:div w:id="1931160299">
          <w:marLeft w:val="480"/>
          <w:marRight w:val="0"/>
          <w:marTop w:val="0"/>
          <w:marBottom w:val="0"/>
          <w:divBdr>
            <w:top w:val="none" w:sz="0" w:space="0" w:color="auto"/>
            <w:left w:val="none" w:sz="0" w:space="0" w:color="auto"/>
            <w:bottom w:val="none" w:sz="0" w:space="0" w:color="auto"/>
            <w:right w:val="none" w:sz="0" w:space="0" w:color="auto"/>
          </w:divBdr>
        </w:div>
        <w:div w:id="1629510599">
          <w:marLeft w:val="480"/>
          <w:marRight w:val="0"/>
          <w:marTop w:val="0"/>
          <w:marBottom w:val="0"/>
          <w:divBdr>
            <w:top w:val="none" w:sz="0" w:space="0" w:color="auto"/>
            <w:left w:val="none" w:sz="0" w:space="0" w:color="auto"/>
            <w:bottom w:val="none" w:sz="0" w:space="0" w:color="auto"/>
            <w:right w:val="none" w:sz="0" w:space="0" w:color="auto"/>
          </w:divBdr>
        </w:div>
        <w:div w:id="1571771301">
          <w:marLeft w:val="480"/>
          <w:marRight w:val="0"/>
          <w:marTop w:val="0"/>
          <w:marBottom w:val="0"/>
          <w:divBdr>
            <w:top w:val="none" w:sz="0" w:space="0" w:color="auto"/>
            <w:left w:val="none" w:sz="0" w:space="0" w:color="auto"/>
            <w:bottom w:val="none" w:sz="0" w:space="0" w:color="auto"/>
            <w:right w:val="none" w:sz="0" w:space="0" w:color="auto"/>
          </w:divBdr>
        </w:div>
        <w:div w:id="1036660468">
          <w:marLeft w:val="480"/>
          <w:marRight w:val="0"/>
          <w:marTop w:val="0"/>
          <w:marBottom w:val="0"/>
          <w:divBdr>
            <w:top w:val="none" w:sz="0" w:space="0" w:color="auto"/>
            <w:left w:val="none" w:sz="0" w:space="0" w:color="auto"/>
            <w:bottom w:val="none" w:sz="0" w:space="0" w:color="auto"/>
            <w:right w:val="none" w:sz="0" w:space="0" w:color="auto"/>
          </w:divBdr>
        </w:div>
        <w:div w:id="1339039768">
          <w:marLeft w:val="480"/>
          <w:marRight w:val="0"/>
          <w:marTop w:val="0"/>
          <w:marBottom w:val="0"/>
          <w:divBdr>
            <w:top w:val="none" w:sz="0" w:space="0" w:color="auto"/>
            <w:left w:val="none" w:sz="0" w:space="0" w:color="auto"/>
            <w:bottom w:val="none" w:sz="0" w:space="0" w:color="auto"/>
            <w:right w:val="none" w:sz="0" w:space="0" w:color="auto"/>
          </w:divBdr>
        </w:div>
        <w:div w:id="1114980740">
          <w:marLeft w:val="480"/>
          <w:marRight w:val="0"/>
          <w:marTop w:val="0"/>
          <w:marBottom w:val="0"/>
          <w:divBdr>
            <w:top w:val="none" w:sz="0" w:space="0" w:color="auto"/>
            <w:left w:val="none" w:sz="0" w:space="0" w:color="auto"/>
            <w:bottom w:val="none" w:sz="0" w:space="0" w:color="auto"/>
            <w:right w:val="none" w:sz="0" w:space="0" w:color="auto"/>
          </w:divBdr>
        </w:div>
        <w:div w:id="860975828">
          <w:marLeft w:val="480"/>
          <w:marRight w:val="0"/>
          <w:marTop w:val="0"/>
          <w:marBottom w:val="0"/>
          <w:divBdr>
            <w:top w:val="none" w:sz="0" w:space="0" w:color="auto"/>
            <w:left w:val="none" w:sz="0" w:space="0" w:color="auto"/>
            <w:bottom w:val="none" w:sz="0" w:space="0" w:color="auto"/>
            <w:right w:val="none" w:sz="0" w:space="0" w:color="auto"/>
          </w:divBdr>
        </w:div>
        <w:div w:id="1317495447">
          <w:marLeft w:val="480"/>
          <w:marRight w:val="0"/>
          <w:marTop w:val="0"/>
          <w:marBottom w:val="0"/>
          <w:divBdr>
            <w:top w:val="none" w:sz="0" w:space="0" w:color="auto"/>
            <w:left w:val="none" w:sz="0" w:space="0" w:color="auto"/>
            <w:bottom w:val="none" w:sz="0" w:space="0" w:color="auto"/>
            <w:right w:val="none" w:sz="0" w:space="0" w:color="auto"/>
          </w:divBdr>
        </w:div>
        <w:div w:id="782725868">
          <w:marLeft w:val="480"/>
          <w:marRight w:val="0"/>
          <w:marTop w:val="0"/>
          <w:marBottom w:val="0"/>
          <w:divBdr>
            <w:top w:val="none" w:sz="0" w:space="0" w:color="auto"/>
            <w:left w:val="none" w:sz="0" w:space="0" w:color="auto"/>
            <w:bottom w:val="none" w:sz="0" w:space="0" w:color="auto"/>
            <w:right w:val="none" w:sz="0" w:space="0" w:color="auto"/>
          </w:divBdr>
        </w:div>
        <w:div w:id="887454925">
          <w:marLeft w:val="480"/>
          <w:marRight w:val="0"/>
          <w:marTop w:val="0"/>
          <w:marBottom w:val="0"/>
          <w:divBdr>
            <w:top w:val="none" w:sz="0" w:space="0" w:color="auto"/>
            <w:left w:val="none" w:sz="0" w:space="0" w:color="auto"/>
            <w:bottom w:val="none" w:sz="0" w:space="0" w:color="auto"/>
            <w:right w:val="none" w:sz="0" w:space="0" w:color="auto"/>
          </w:divBdr>
        </w:div>
        <w:div w:id="1885827207">
          <w:marLeft w:val="480"/>
          <w:marRight w:val="0"/>
          <w:marTop w:val="0"/>
          <w:marBottom w:val="0"/>
          <w:divBdr>
            <w:top w:val="none" w:sz="0" w:space="0" w:color="auto"/>
            <w:left w:val="none" w:sz="0" w:space="0" w:color="auto"/>
            <w:bottom w:val="none" w:sz="0" w:space="0" w:color="auto"/>
            <w:right w:val="none" w:sz="0" w:space="0" w:color="auto"/>
          </w:divBdr>
        </w:div>
        <w:div w:id="1521503066">
          <w:marLeft w:val="480"/>
          <w:marRight w:val="0"/>
          <w:marTop w:val="0"/>
          <w:marBottom w:val="0"/>
          <w:divBdr>
            <w:top w:val="none" w:sz="0" w:space="0" w:color="auto"/>
            <w:left w:val="none" w:sz="0" w:space="0" w:color="auto"/>
            <w:bottom w:val="none" w:sz="0" w:space="0" w:color="auto"/>
            <w:right w:val="none" w:sz="0" w:space="0" w:color="auto"/>
          </w:divBdr>
        </w:div>
        <w:div w:id="883638031">
          <w:marLeft w:val="480"/>
          <w:marRight w:val="0"/>
          <w:marTop w:val="0"/>
          <w:marBottom w:val="0"/>
          <w:divBdr>
            <w:top w:val="none" w:sz="0" w:space="0" w:color="auto"/>
            <w:left w:val="none" w:sz="0" w:space="0" w:color="auto"/>
            <w:bottom w:val="none" w:sz="0" w:space="0" w:color="auto"/>
            <w:right w:val="none" w:sz="0" w:space="0" w:color="auto"/>
          </w:divBdr>
        </w:div>
        <w:div w:id="1212841325">
          <w:marLeft w:val="480"/>
          <w:marRight w:val="0"/>
          <w:marTop w:val="0"/>
          <w:marBottom w:val="0"/>
          <w:divBdr>
            <w:top w:val="none" w:sz="0" w:space="0" w:color="auto"/>
            <w:left w:val="none" w:sz="0" w:space="0" w:color="auto"/>
            <w:bottom w:val="none" w:sz="0" w:space="0" w:color="auto"/>
            <w:right w:val="none" w:sz="0" w:space="0" w:color="auto"/>
          </w:divBdr>
        </w:div>
        <w:div w:id="518473361">
          <w:marLeft w:val="480"/>
          <w:marRight w:val="0"/>
          <w:marTop w:val="0"/>
          <w:marBottom w:val="0"/>
          <w:divBdr>
            <w:top w:val="none" w:sz="0" w:space="0" w:color="auto"/>
            <w:left w:val="none" w:sz="0" w:space="0" w:color="auto"/>
            <w:bottom w:val="none" w:sz="0" w:space="0" w:color="auto"/>
            <w:right w:val="none" w:sz="0" w:space="0" w:color="auto"/>
          </w:divBdr>
        </w:div>
        <w:div w:id="393504805">
          <w:marLeft w:val="480"/>
          <w:marRight w:val="0"/>
          <w:marTop w:val="0"/>
          <w:marBottom w:val="0"/>
          <w:divBdr>
            <w:top w:val="none" w:sz="0" w:space="0" w:color="auto"/>
            <w:left w:val="none" w:sz="0" w:space="0" w:color="auto"/>
            <w:bottom w:val="none" w:sz="0" w:space="0" w:color="auto"/>
            <w:right w:val="none" w:sz="0" w:space="0" w:color="auto"/>
          </w:divBdr>
        </w:div>
        <w:div w:id="1227103114">
          <w:marLeft w:val="480"/>
          <w:marRight w:val="0"/>
          <w:marTop w:val="0"/>
          <w:marBottom w:val="0"/>
          <w:divBdr>
            <w:top w:val="none" w:sz="0" w:space="0" w:color="auto"/>
            <w:left w:val="none" w:sz="0" w:space="0" w:color="auto"/>
            <w:bottom w:val="none" w:sz="0" w:space="0" w:color="auto"/>
            <w:right w:val="none" w:sz="0" w:space="0" w:color="auto"/>
          </w:divBdr>
        </w:div>
        <w:div w:id="1296450260">
          <w:marLeft w:val="480"/>
          <w:marRight w:val="0"/>
          <w:marTop w:val="0"/>
          <w:marBottom w:val="0"/>
          <w:divBdr>
            <w:top w:val="none" w:sz="0" w:space="0" w:color="auto"/>
            <w:left w:val="none" w:sz="0" w:space="0" w:color="auto"/>
            <w:bottom w:val="none" w:sz="0" w:space="0" w:color="auto"/>
            <w:right w:val="none" w:sz="0" w:space="0" w:color="auto"/>
          </w:divBdr>
        </w:div>
        <w:div w:id="2051606240">
          <w:marLeft w:val="480"/>
          <w:marRight w:val="0"/>
          <w:marTop w:val="0"/>
          <w:marBottom w:val="0"/>
          <w:divBdr>
            <w:top w:val="none" w:sz="0" w:space="0" w:color="auto"/>
            <w:left w:val="none" w:sz="0" w:space="0" w:color="auto"/>
            <w:bottom w:val="none" w:sz="0" w:space="0" w:color="auto"/>
            <w:right w:val="none" w:sz="0" w:space="0" w:color="auto"/>
          </w:divBdr>
        </w:div>
        <w:div w:id="1149975554">
          <w:marLeft w:val="480"/>
          <w:marRight w:val="0"/>
          <w:marTop w:val="0"/>
          <w:marBottom w:val="0"/>
          <w:divBdr>
            <w:top w:val="none" w:sz="0" w:space="0" w:color="auto"/>
            <w:left w:val="none" w:sz="0" w:space="0" w:color="auto"/>
            <w:bottom w:val="none" w:sz="0" w:space="0" w:color="auto"/>
            <w:right w:val="none" w:sz="0" w:space="0" w:color="auto"/>
          </w:divBdr>
        </w:div>
        <w:div w:id="1238975993">
          <w:marLeft w:val="480"/>
          <w:marRight w:val="0"/>
          <w:marTop w:val="0"/>
          <w:marBottom w:val="0"/>
          <w:divBdr>
            <w:top w:val="none" w:sz="0" w:space="0" w:color="auto"/>
            <w:left w:val="none" w:sz="0" w:space="0" w:color="auto"/>
            <w:bottom w:val="none" w:sz="0" w:space="0" w:color="auto"/>
            <w:right w:val="none" w:sz="0" w:space="0" w:color="auto"/>
          </w:divBdr>
        </w:div>
        <w:div w:id="1640770361">
          <w:marLeft w:val="480"/>
          <w:marRight w:val="0"/>
          <w:marTop w:val="0"/>
          <w:marBottom w:val="0"/>
          <w:divBdr>
            <w:top w:val="none" w:sz="0" w:space="0" w:color="auto"/>
            <w:left w:val="none" w:sz="0" w:space="0" w:color="auto"/>
            <w:bottom w:val="none" w:sz="0" w:space="0" w:color="auto"/>
            <w:right w:val="none" w:sz="0" w:space="0" w:color="auto"/>
          </w:divBdr>
        </w:div>
        <w:div w:id="1945260851">
          <w:marLeft w:val="480"/>
          <w:marRight w:val="0"/>
          <w:marTop w:val="0"/>
          <w:marBottom w:val="0"/>
          <w:divBdr>
            <w:top w:val="none" w:sz="0" w:space="0" w:color="auto"/>
            <w:left w:val="none" w:sz="0" w:space="0" w:color="auto"/>
            <w:bottom w:val="none" w:sz="0" w:space="0" w:color="auto"/>
            <w:right w:val="none" w:sz="0" w:space="0" w:color="auto"/>
          </w:divBdr>
        </w:div>
        <w:div w:id="2030326519">
          <w:marLeft w:val="480"/>
          <w:marRight w:val="0"/>
          <w:marTop w:val="0"/>
          <w:marBottom w:val="0"/>
          <w:divBdr>
            <w:top w:val="none" w:sz="0" w:space="0" w:color="auto"/>
            <w:left w:val="none" w:sz="0" w:space="0" w:color="auto"/>
            <w:bottom w:val="none" w:sz="0" w:space="0" w:color="auto"/>
            <w:right w:val="none" w:sz="0" w:space="0" w:color="auto"/>
          </w:divBdr>
        </w:div>
        <w:div w:id="1756633557">
          <w:marLeft w:val="480"/>
          <w:marRight w:val="0"/>
          <w:marTop w:val="0"/>
          <w:marBottom w:val="0"/>
          <w:divBdr>
            <w:top w:val="none" w:sz="0" w:space="0" w:color="auto"/>
            <w:left w:val="none" w:sz="0" w:space="0" w:color="auto"/>
            <w:bottom w:val="none" w:sz="0" w:space="0" w:color="auto"/>
            <w:right w:val="none" w:sz="0" w:space="0" w:color="auto"/>
          </w:divBdr>
        </w:div>
        <w:div w:id="1471629473">
          <w:marLeft w:val="480"/>
          <w:marRight w:val="0"/>
          <w:marTop w:val="0"/>
          <w:marBottom w:val="0"/>
          <w:divBdr>
            <w:top w:val="none" w:sz="0" w:space="0" w:color="auto"/>
            <w:left w:val="none" w:sz="0" w:space="0" w:color="auto"/>
            <w:bottom w:val="none" w:sz="0" w:space="0" w:color="auto"/>
            <w:right w:val="none" w:sz="0" w:space="0" w:color="auto"/>
          </w:divBdr>
        </w:div>
        <w:div w:id="712771625">
          <w:marLeft w:val="480"/>
          <w:marRight w:val="0"/>
          <w:marTop w:val="0"/>
          <w:marBottom w:val="0"/>
          <w:divBdr>
            <w:top w:val="none" w:sz="0" w:space="0" w:color="auto"/>
            <w:left w:val="none" w:sz="0" w:space="0" w:color="auto"/>
            <w:bottom w:val="none" w:sz="0" w:space="0" w:color="auto"/>
            <w:right w:val="none" w:sz="0" w:space="0" w:color="auto"/>
          </w:divBdr>
        </w:div>
        <w:div w:id="569198327">
          <w:marLeft w:val="480"/>
          <w:marRight w:val="0"/>
          <w:marTop w:val="0"/>
          <w:marBottom w:val="0"/>
          <w:divBdr>
            <w:top w:val="none" w:sz="0" w:space="0" w:color="auto"/>
            <w:left w:val="none" w:sz="0" w:space="0" w:color="auto"/>
            <w:bottom w:val="none" w:sz="0" w:space="0" w:color="auto"/>
            <w:right w:val="none" w:sz="0" w:space="0" w:color="auto"/>
          </w:divBdr>
        </w:div>
        <w:div w:id="750349481">
          <w:marLeft w:val="480"/>
          <w:marRight w:val="0"/>
          <w:marTop w:val="0"/>
          <w:marBottom w:val="0"/>
          <w:divBdr>
            <w:top w:val="none" w:sz="0" w:space="0" w:color="auto"/>
            <w:left w:val="none" w:sz="0" w:space="0" w:color="auto"/>
            <w:bottom w:val="none" w:sz="0" w:space="0" w:color="auto"/>
            <w:right w:val="none" w:sz="0" w:space="0" w:color="auto"/>
          </w:divBdr>
        </w:div>
        <w:div w:id="1674525928">
          <w:marLeft w:val="480"/>
          <w:marRight w:val="0"/>
          <w:marTop w:val="0"/>
          <w:marBottom w:val="0"/>
          <w:divBdr>
            <w:top w:val="none" w:sz="0" w:space="0" w:color="auto"/>
            <w:left w:val="none" w:sz="0" w:space="0" w:color="auto"/>
            <w:bottom w:val="none" w:sz="0" w:space="0" w:color="auto"/>
            <w:right w:val="none" w:sz="0" w:space="0" w:color="auto"/>
          </w:divBdr>
        </w:div>
        <w:div w:id="1744251872">
          <w:marLeft w:val="480"/>
          <w:marRight w:val="0"/>
          <w:marTop w:val="0"/>
          <w:marBottom w:val="0"/>
          <w:divBdr>
            <w:top w:val="none" w:sz="0" w:space="0" w:color="auto"/>
            <w:left w:val="none" w:sz="0" w:space="0" w:color="auto"/>
            <w:bottom w:val="none" w:sz="0" w:space="0" w:color="auto"/>
            <w:right w:val="none" w:sz="0" w:space="0" w:color="auto"/>
          </w:divBdr>
        </w:div>
        <w:div w:id="1936789016">
          <w:marLeft w:val="480"/>
          <w:marRight w:val="0"/>
          <w:marTop w:val="0"/>
          <w:marBottom w:val="0"/>
          <w:divBdr>
            <w:top w:val="none" w:sz="0" w:space="0" w:color="auto"/>
            <w:left w:val="none" w:sz="0" w:space="0" w:color="auto"/>
            <w:bottom w:val="none" w:sz="0" w:space="0" w:color="auto"/>
            <w:right w:val="none" w:sz="0" w:space="0" w:color="auto"/>
          </w:divBdr>
        </w:div>
        <w:div w:id="83114205">
          <w:marLeft w:val="480"/>
          <w:marRight w:val="0"/>
          <w:marTop w:val="0"/>
          <w:marBottom w:val="0"/>
          <w:divBdr>
            <w:top w:val="none" w:sz="0" w:space="0" w:color="auto"/>
            <w:left w:val="none" w:sz="0" w:space="0" w:color="auto"/>
            <w:bottom w:val="none" w:sz="0" w:space="0" w:color="auto"/>
            <w:right w:val="none" w:sz="0" w:space="0" w:color="auto"/>
          </w:divBdr>
        </w:div>
        <w:div w:id="556550077">
          <w:marLeft w:val="480"/>
          <w:marRight w:val="0"/>
          <w:marTop w:val="0"/>
          <w:marBottom w:val="0"/>
          <w:divBdr>
            <w:top w:val="none" w:sz="0" w:space="0" w:color="auto"/>
            <w:left w:val="none" w:sz="0" w:space="0" w:color="auto"/>
            <w:bottom w:val="none" w:sz="0" w:space="0" w:color="auto"/>
            <w:right w:val="none" w:sz="0" w:space="0" w:color="auto"/>
          </w:divBdr>
        </w:div>
        <w:div w:id="1129477075">
          <w:marLeft w:val="480"/>
          <w:marRight w:val="0"/>
          <w:marTop w:val="0"/>
          <w:marBottom w:val="0"/>
          <w:divBdr>
            <w:top w:val="none" w:sz="0" w:space="0" w:color="auto"/>
            <w:left w:val="none" w:sz="0" w:space="0" w:color="auto"/>
            <w:bottom w:val="none" w:sz="0" w:space="0" w:color="auto"/>
            <w:right w:val="none" w:sz="0" w:space="0" w:color="auto"/>
          </w:divBdr>
        </w:div>
        <w:div w:id="1310790661">
          <w:marLeft w:val="480"/>
          <w:marRight w:val="0"/>
          <w:marTop w:val="0"/>
          <w:marBottom w:val="0"/>
          <w:divBdr>
            <w:top w:val="none" w:sz="0" w:space="0" w:color="auto"/>
            <w:left w:val="none" w:sz="0" w:space="0" w:color="auto"/>
            <w:bottom w:val="none" w:sz="0" w:space="0" w:color="auto"/>
            <w:right w:val="none" w:sz="0" w:space="0" w:color="auto"/>
          </w:divBdr>
        </w:div>
        <w:div w:id="1668094459">
          <w:marLeft w:val="480"/>
          <w:marRight w:val="0"/>
          <w:marTop w:val="0"/>
          <w:marBottom w:val="0"/>
          <w:divBdr>
            <w:top w:val="none" w:sz="0" w:space="0" w:color="auto"/>
            <w:left w:val="none" w:sz="0" w:space="0" w:color="auto"/>
            <w:bottom w:val="none" w:sz="0" w:space="0" w:color="auto"/>
            <w:right w:val="none" w:sz="0" w:space="0" w:color="auto"/>
          </w:divBdr>
        </w:div>
        <w:div w:id="1247619409">
          <w:marLeft w:val="480"/>
          <w:marRight w:val="0"/>
          <w:marTop w:val="0"/>
          <w:marBottom w:val="0"/>
          <w:divBdr>
            <w:top w:val="none" w:sz="0" w:space="0" w:color="auto"/>
            <w:left w:val="none" w:sz="0" w:space="0" w:color="auto"/>
            <w:bottom w:val="none" w:sz="0" w:space="0" w:color="auto"/>
            <w:right w:val="none" w:sz="0" w:space="0" w:color="auto"/>
          </w:divBdr>
        </w:div>
        <w:div w:id="1270117932">
          <w:marLeft w:val="480"/>
          <w:marRight w:val="0"/>
          <w:marTop w:val="0"/>
          <w:marBottom w:val="0"/>
          <w:divBdr>
            <w:top w:val="none" w:sz="0" w:space="0" w:color="auto"/>
            <w:left w:val="none" w:sz="0" w:space="0" w:color="auto"/>
            <w:bottom w:val="none" w:sz="0" w:space="0" w:color="auto"/>
            <w:right w:val="none" w:sz="0" w:space="0" w:color="auto"/>
          </w:divBdr>
        </w:div>
        <w:div w:id="518356829">
          <w:marLeft w:val="480"/>
          <w:marRight w:val="0"/>
          <w:marTop w:val="0"/>
          <w:marBottom w:val="0"/>
          <w:divBdr>
            <w:top w:val="none" w:sz="0" w:space="0" w:color="auto"/>
            <w:left w:val="none" w:sz="0" w:space="0" w:color="auto"/>
            <w:bottom w:val="none" w:sz="0" w:space="0" w:color="auto"/>
            <w:right w:val="none" w:sz="0" w:space="0" w:color="auto"/>
          </w:divBdr>
        </w:div>
        <w:div w:id="2096171407">
          <w:marLeft w:val="480"/>
          <w:marRight w:val="0"/>
          <w:marTop w:val="0"/>
          <w:marBottom w:val="0"/>
          <w:divBdr>
            <w:top w:val="none" w:sz="0" w:space="0" w:color="auto"/>
            <w:left w:val="none" w:sz="0" w:space="0" w:color="auto"/>
            <w:bottom w:val="none" w:sz="0" w:space="0" w:color="auto"/>
            <w:right w:val="none" w:sz="0" w:space="0" w:color="auto"/>
          </w:divBdr>
        </w:div>
        <w:div w:id="537008862">
          <w:marLeft w:val="480"/>
          <w:marRight w:val="0"/>
          <w:marTop w:val="0"/>
          <w:marBottom w:val="0"/>
          <w:divBdr>
            <w:top w:val="none" w:sz="0" w:space="0" w:color="auto"/>
            <w:left w:val="none" w:sz="0" w:space="0" w:color="auto"/>
            <w:bottom w:val="none" w:sz="0" w:space="0" w:color="auto"/>
            <w:right w:val="none" w:sz="0" w:space="0" w:color="auto"/>
          </w:divBdr>
        </w:div>
        <w:div w:id="1232347802">
          <w:marLeft w:val="480"/>
          <w:marRight w:val="0"/>
          <w:marTop w:val="0"/>
          <w:marBottom w:val="0"/>
          <w:divBdr>
            <w:top w:val="none" w:sz="0" w:space="0" w:color="auto"/>
            <w:left w:val="none" w:sz="0" w:space="0" w:color="auto"/>
            <w:bottom w:val="none" w:sz="0" w:space="0" w:color="auto"/>
            <w:right w:val="none" w:sz="0" w:space="0" w:color="auto"/>
          </w:divBdr>
        </w:div>
        <w:div w:id="783885796">
          <w:marLeft w:val="480"/>
          <w:marRight w:val="0"/>
          <w:marTop w:val="0"/>
          <w:marBottom w:val="0"/>
          <w:divBdr>
            <w:top w:val="none" w:sz="0" w:space="0" w:color="auto"/>
            <w:left w:val="none" w:sz="0" w:space="0" w:color="auto"/>
            <w:bottom w:val="none" w:sz="0" w:space="0" w:color="auto"/>
            <w:right w:val="none" w:sz="0" w:space="0" w:color="auto"/>
          </w:divBdr>
        </w:div>
        <w:div w:id="424884026">
          <w:marLeft w:val="480"/>
          <w:marRight w:val="0"/>
          <w:marTop w:val="0"/>
          <w:marBottom w:val="0"/>
          <w:divBdr>
            <w:top w:val="none" w:sz="0" w:space="0" w:color="auto"/>
            <w:left w:val="none" w:sz="0" w:space="0" w:color="auto"/>
            <w:bottom w:val="none" w:sz="0" w:space="0" w:color="auto"/>
            <w:right w:val="none" w:sz="0" w:space="0" w:color="auto"/>
          </w:divBdr>
        </w:div>
        <w:div w:id="2141728119">
          <w:marLeft w:val="480"/>
          <w:marRight w:val="0"/>
          <w:marTop w:val="0"/>
          <w:marBottom w:val="0"/>
          <w:divBdr>
            <w:top w:val="none" w:sz="0" w:space="0" w:color="auto"/>
            <w:left w:val="none" w:sz="0" w:space="0" w:color="auto"/>
            <w:bottom w:val="none" w:sz="0" w:space="0" w:color="auto"/>
            <w:right w:val="none" w:sz="0" w:space="0" w:color="auto"/>
          </w:divBdr>
        </w:div>
        <w:div w:id="1070611646">
          <w:marLeft w:val="480"/>
          <w:marRight w:val="0"/>
          <w:marTop w:val="0"/>
          <w:marBottom w:val="0"/>
          <w:divBdr>
            <w:top w:val="none" w:sz="0" w:space="0" w:color="auto"/>
            <w:left w:val="none" w:sz="0" w:space="0" w:color="auto"/>
            <w:bottom w:val="none" w:sz="0" w:space="0" w:color="auto"/>
            <w:right w:val="none" w:sz="0" w:space="0" w:color="auto"/>
          </w:divBdr>
        </w:div>
        <w:div w:id="296255080">
          <w:marLeft w:val="480"/>
          <w:marRight w:val="0"/>
          <w:marTop w:val="0"/>
          <w:marBottom w:val="0"/>
          <w:divBdr>
            <w:top w:val="none" w:sz="0" w:space="0" w:color="auto"/>
            <w:left w:val="none" w:sz="0" w:space="0" w:color="auto"/>
            <w:bottom w:val="none" w:sz="0" w:space="0" w:color="auto"/>
            <w:right w:val="none" w:sz="0" w:space="0" w:color="auto"/>
          </w:divBdr>
        </w:div>
        <w:div w:id="1295135610">
          <w:marLeft w:val="480"/>
          <w:marRight w:val="0"/>
          <w:marTop w:val="0"/>
          <w:marBottom w:val="0"/>
          <w:divBdr>
            <w:top w:val="none" w:sz="0" w:space="0" w:color="auto"/>
            <w:left w:val="none" w:sz="0" w:space="0" w:color="auto"/>
            <w:bottom w:val="none" w:sz="0" w:space="0" w:color="auto"/>
            <w:right w:val="none" w:sz="0" w:space="0" w:color="auto"/>
          </w:divBdr>
        </w:div>
        <w:div w:id="516583790">
          <w:marLeft w:val="480"/>
          <w:marRight w:val="0"/>
          <w:marTop w:val="0"/>
          <w:marBottom w:val="0"/>
          <w:divBdr>
            <w:top w:val="none" w:sz="0" w:space="0" w:color="auto"/>
            <w:left w:val="none" w:sz="0" w:space="0" w:color="auto"/>
            <w:bottom w:val="none" w:sz="0" w:space="0" w:color="auto"/>
            <w:right w:val="none" w:sz="0" w:space="0" w:color="auto"/>
          </w:divBdr>
        </w:div>
        <w:div w:id="1701856767">
          <w:marLeft w:val="480"/>
          <w:marRight w:val="0"/>
          <w:marTop w:val="0"/>
          <w:marBottom w:val="0"/>
          <w:divBdr>
            <w:top w:val="none" w:sz="0" w:space="0" w:color="auto"/>
            <w:left w:val="none" w:sz="0" w:space="0" w:color="auto"/>
            <w:bottom w:val="none" w:sz="0" w:space="0" w:color="auto"/>
            <w:right w:val="none" w:sz="0" w:space="0" w:color="auto"/>
          </w:divBdr>
        </w:div>
        <w:div w:id="1548447404">
          <w:marLeft w:val="480"/>
          <w:marRight w:val="0"/>
          <w:marTop w:val="0"/>
          <w:marBottom w:val="0"/>
          <w:divBdr>
            <w:top w:val="none" w:sz="0" w:space="0" w:color="auto"/>
            <w:left w:val="none" w:sz="0" w:space="0" w:color="auto"/>
            <w:bottom w:val="none" w:sz="0" w:space="0" w:color="auto"/>
            <w:right w:val="none" w:sz="0" w:space="0" w:color="auto"/>
          </w:divBdr>
        </w:div>
        <w:div w:id="218636409">
          <w:marLeft w:val="480"/>
          <w:marRight w:val="0"/>
          <w:marTop w:val="0"/>
          <w:marBottom w:val="0"/>
          <w:divBdr>
            <w:top w:val="none" w:sz="0" w:space="0" w:color="auto"/>
            <w:left w:val="none" w:sz="0" w:space="0" w:color="auto"/>
            <w:bottom w:val="none" w:sz="0" w:space="0" w:color="auto"/>
            <w:right w:val="none" w:sz="0" w:space="0" w:color="auto"/>
          </w:divBdr>
        </w:div>
        <w:div w:id="1668896057">
          <w:marLeft w:val="480"/>
          <w:marRight w:val="0"/>
          <w:marTop w:val="0"/>
          <w:marBottom w:val="0"/>
          <w:divBdr>
            <w:top w:val="none" w:sz="0" w:space="0" w:color="auto"/>
            <w:left w:val="none" w:sz="0" w:space="0" w:color="auto"/>
            <w:bottom w:val="none" w:sz="0" w:space="0" w:color="auto"/>
            <w:right w:val="none" w:sz="0" w:space="0" w:color="auto"/>
          </w:divBdr>
        </w:div>
        <w:div w:id="824975018">
          <w:marLeft w:val="480"/>
          <w:marRight w:val="0"/>
          <w:marTop w:val="0"/>
          <w:marBottom w:val="0"/>
          <w:divBdr>
            <w:top w:val="none" w:sz="0" w:space="0" w:color="auto"/>
            <w:left w:val="none" w:sz="0" w:space="0" w:color="auto"/>
            <w:bottom w:val="none" w:sz="0" w:space="0" w:color="auto"/>
            <w:right w:val="none" w:sz="0" w:space="0" w:color="auto"/>
          </w:divBdr>
        </w:div>
        <w:div w:id="1016227925">
          <w:marLeft w:val="480"/>
          <w:marRight w:val="0"/>
          <w:marTop w:val="0"/>
          <w:marBottom w:val="0"/>
          <w:divBdr>
            <w:top w:val="none" w:sz="0" w:space="0" w:color="auto"/>
            <w:left w:val="none" w:sz="0" w:space="0" w:color="auto"/>
            <w:bottom w:val="none" w:sz="0" w:space="0" w:color="auto"/>
            <w:right w:val="none" w:sz="0" w:space="0" w:color="auto"/>
          </w:divBdr>
        </w:div>
        <w:div w:id="530802331">
          <w:marLeft w:val="480"/>
          <w:marRight w:val="0"/>
          <w:marTop w:val="0"/>
          <w:marBottom w:val="0"/>
          <w:divBdr>
            <w:top w:val="none" w:sz="0" w:space="0" w:color="auto"/>
            <w:left w:val="none" w:sz="0" w:space="0" w:color="auto"/>
            <w:bottom w:val="none" w:sz="0" w:space="0" w:color="auto"/>
            <w:right w:val="none" w:sz="0" w:space="0" w:color="auto"/>
          </w:divBdr>
        </w:div>
        <w:div w:id="1412046192">
          <w:marLeft w:val="480"/>
          <w:marRight w:val="0"/>
          <w:marTop w:val="0"/>
          <w:marBottom w:val="0"/>
          <w:divBdr>
            <w:top w:val="none" w:sz="0" w:space="0" w:color="auto"/>
            <w:left w:val="none" w:sz="0" w:space="0" w:color="auto"/>
            <w:bottom w:val="none" w:sz="0" w:space="0" w:color="auto"/>
            <w:right w:val="none" w:sz="0" w:space="0" w:color="auto"/>
          </w:divBdr>
        </w:div>
        <w:div w:id="185487755">
          <w:marLeft w:val="480"/>
          <w:marRight w:val="0"/>
          <w:marTop w:val="0"/>
          <w:marBottom w:val="0"/>
          <w:divBdr>
            <w:top w:val="none" w:sz="0" w:space="0" w:color="auto"/>
            <w:left w:val="none" w:sz="0" w:space="0" w:color="auto"/>
            <w:bottom w:val="none" w:sz="0" w:space="0" w:color="auto"/>
            <w:right w:val="none" w:sz="0" w:space="0" w:color="auto"/>
          </w:divBdr>
        </w:div>
        <w:div w:id="1241796390">
          <w:marLeft w:val="480"/>
          <w:marRight w:val="0"/>
          <w:marTop w:val="0"/>
          <w:marBottom w:val="0"/>
          <w:divBdr>
            <w:top w:val="none" w:sz="0" w:space="0" w:color="auto"/>
            <w:left w:val="none" w:sz="0" w:space="0" w:color="auto"/>
            <w:bottom w:val="none" w:sz="0" w:space="0" w:color="auto"/>
            <w:right w:val="none" w:sz="0" w:space="0" w:color="auto"/>
          </w:divBdr>
        </w:div>
        <w:div w:id="579405869">
          <w:marLeft w:val="480"/>
          <w:marRight w:val="0"/>
          <w:marTop w:val="0"/>
          <w:marBottom w:val="0"/>
          <w:divBdr>
            <w:top w:val="none" w:sz="0" w:space="0" w:color="auto"/>
            <w:left w:val="none" w:sz="0" w:space="0" w:color="auto"/>
            <w:bottom w:val="none" w:sz="0" w:space="0" w:color="auto"/>
            <w:right w:val="none" w:sz="0" w:space="0" w:color="auto"/>
          </w:divBdr>
        </w:div>
        <w:div w:id="638724734">
          <w:marLeft w:val="480"/>
          <w:marRight w:val="0"/>
          <w:marTop w:val="0"/>
          <w:marBottom w:val="0"/>
          <w:divBdr>
            <w:top w:val="none" w:sz="0" w:space="0" w:color="auto"/>
            <w:left w:val="none" w:sz="0" w:space="0" w:color="auto"/>
            <w:bottom w:val="none" w:sz="0" w:space="0" w:color="auto"/>
            <w:right w:val="none" w:sz="0" w:space="0" w:color="auto"/>
          </w:divBdr>
        </w:div>
        <w:div w:id="2131389437">
          <w:marLeft w:val="480"/>
          <w:marRight w:val="0"/>
          <w:marTop w:val="0"/>
          <w:marBottom w:val="0"/>
          <w:divBdr>
            <w:top w:val="none" w:sz="0" w:space="0" w:color="auto"/>
            <w:left w:val="none" w:sz="0" w:space="0" w:color="auto"/>
            <w:bottom w:val="none" w:sz="0" w:space="0" w:color="auto"/>
            <w:right w:val="none" w:sz="0" w:space="0" w:color="auto"/>
          </w:divBdr>
        </w:div>
        <w:div w:id="1289892516">
          <w:marLeft w:val="480"/>
          <w:marRight w:val="0"/>
          <w:marTop w:val="0"/>
          <w:marBottom w:val="0"/>
          <w:divBdr>
            <w:top w:val="none" w:sz="0" w:space="0" w:color="auto"/>
            <w:left w:val="none" w:sz="0" w:space="0" w:color="auto"/>
            <w:bottom w:val="none" w:sz="0" w:space="0" w:color="auto"/>
            <w:right w:val="none" w:sz="0" w:space="0" w:color="auto"/>
          </w:divBdr>
        </w:div>
        <w:div w:id="1900088975">
          <w:marLeft w:val="480"/>
          <w:marRight w:val="0"/>
          <w:marTop w:val="0"/>
          <w:marBottom w:val="0"/>
          <w:divBdr>
            <w:top w:val="none" w:sz="0" w:space="0" w:color="auto"/>
            <w:left w:val="none" w:sz="0" w:space="0" w:color="auto"/>
            <w:bottom w:val="none" w:sz="0" w:space="0" w:color="auto"/>
            <w:right w:val="none" w:sz="0" w:space="0" w:color="auto"/>
          </w:divBdr>
        </w:div>
        <w:div w:id="1157182545">
          <w:marLeft w:val="480"/>
          <w:marRight w:val="0"/>
          <w:marTop w:val="0"/>
          <w:marBottom w:val="0"/>
          <w:divBdr>
            <w:top w:val="none" w:sz="0" w:space="0" w:color="auto"/>
            <w:left w:val="none" w:sz="0" w:space="0" w:color="auto"/>
            <w:bottom w:val="none" w:sz="0" w:space="0" w:color="auto"/>
            <w:right w:val="none" w:sz="0" w:space="0" w:color="auto"/>
          </w:divBdr>
        </w:div>
        <w:div w:id="1693609657">
          <w:marLeft w:val="480"/>
          <w:marRight w:val="0"/>
          <w:marTop w:val="0"/>
          <w:marBottom w:val="0"/>
          <w:divBdr>
            <w:top w:val="none" w:sz="0" w:space="0" w:color="auto"/>
            <w:left w:val="none" w:sz="0" w:space="0" w:color="auto"/>
            <w:bottom w:val="none" w:sz="0" w:space="0" w:color="auto"/>
            <w:right w:val="none" w:sz="0" w:space="0" w:color="auto"/>
          </w:divBdr>
        </w:div>
        <w:div w:id="925502401">
          <w:marLeft w:val="480"/>
          <w:marRight w:val="0"/>
          <w:marTop w:val="0"/>
          <w:marBottom w:val="0"/>
          <w:divBdr>
            <w:top w:val="none" w:sz="0" w:space="0" w:color="auto"/>
            <w:left w:val="none" w:sz="0" w:space="0" w:color="auto"/>
            <w:bottom w:val="none" w:sz="0" w:space="0" w:color="auto"/>
            <w:right w:val="none" w:sz="0" w:space="0" w:color="auto"/>
          </w:divBdr>
        </w:div>
        <w:div w:id="1040931380">
          <w:marLeft w:val="480"/>
          <w:marRight w:val="0"/>
          <w:marTop w:val="0"/>
          <w:marBottom w:val="0"/>
          <w:divBdr>
            <w:top w:val="none" w:sz="0" w:space="0" w:color="auto"/>
            <w:left w:val="none" w:sz="0" w:space="0" w:color="auto"/>
            <w:bottom w:val="none" w:sz="0" w:space="0" w:color="auto"/>
            <w:right w:val="none" w:sz="0" w:space="0" w:color="auto"/>
          </w:divBdr>
        </w:div>
        <w:div w:id="256211457">
          <w:marLeft w:val="480"/>
          <w:marRight w:val="0"/>
          <w:marTop w:val="0"/>
          <w:marBottom w:val="0"/>
          <w:divBdr>
            <w:top w:val="none" w:sz="0" w:space="0" w:color="auto"/>
            <w:left w:val="none" w:sz="0" w:space="0" w:color="auto"/>
            <w:bottom w:val="none" w:sz="0" w:space="0" w:color="auto"/>
            <w:right w:val="none" w:sz="0" w:space="0" w:color="auto"/>
          </w:divBdr>
        </w:div>
        <w:div w:id="2098400121">
          <w:marLeft w:val="480"/>
          <w:marRight w:val="0"/>
          <w:marTop w:val="0"/>
          <w:marBottom w:val="0"/>
          <w:divBdr>
            <w:top w:val="none" w:sz="0" w:space="0" w:color="auto"/>
            <w:left w:val="none" w:sz="0" w:space="0" w:color="auto"/>
            <w:bottom w:val="none" w:sz="0" w:space="0" w:color="auto"/>
            <w:right w:val="none" w:sz="0" w:space="0" w:color="auto"/>
          </w:divBdr>
        </w:div>
        <w:div w:id="1617981963">
          <w:marLeft w:val="480"/>
          <w:marRight w:val="0"/>
          <w:marTop w:val="0"/>
          <w:marBottom w:val="0"/>
          <w:divBdr>
            <w:top w:val="none" w:sz="0" w:space="0" w:color="auto"/>
            <w:left w:val="none" w:sz="0" w:space="0" w:color="auto"/>
            <w:bottom w:val="none" w:sz="0" w:space="0" w:color="auto"/>
            <w:right w:val="none" w:sz="0" w:space="0" w:color="auto"/>
          </w:divBdr>
        </w:div>
        <w:div w:id="451824170">
          <w:marLeft w:val="480"/>
          <w:marRight w:val="0"/>
          <w:marTop w:val="0"/>
          <w:marBottom w:val="0"/>
          <w:divBdr>
            <w:top w:val="none" w:sz="0" w:space="0" w:color="auto"/>
            <w:left w:val="none" w:sz="0" w:space="0" w:color="auto"/>
            <w:bottom w:val="none" w:sz="0" w:space="0" w:color="auto"/>
            <w:right w:val="none" w:sz="0" w:space="0" w:color="auto"/>
          </w:divBdr>
        </w:div>
        <w:div w:id="1349140995">
          <w:marLeft w:val="480"/>
          <w:marRight w:val="0"/>
          <w:marTop w:val="0"/>
          <w:marBottom w:val="0"/>
          <w:divBdr>
            <w:top w:val="none" w:sz="0" w:space="0" w:color="auto"/>
            <w:left w:val="none" w:sz="0" w:space="0" w:color="auto"/>
            <w:bottom w:val="none" w:sz="0" w:space="0" w:color="auto"/>
            <w:right w:val="none" w:sz="0" w:space="0" w:color="auto"/>
          </w:divBdr>
        </w:div>
        <w:div w:id="120197371">
          <w:marLeft w:val="480"/>
          <w:marRight w:val="0"/>
          <w:marTop w:val="0"/>
          <w:marBottom w:val="0"/>
          <w:divBdr>
            <w:top w:val="none" w:sz="0" w:space="0" w:color="auto"/>
            <w:left w:val="none" w:sz="0" w:space="0" w:color="auto"/>
            <w:bottom w:val="none" w:sz="0" w:space="0" w:color="auto"/>
            <w:right w:val="none" w:sz="0" w:space="0" w:color="auto"/>
          </w:divBdr>
        </w:div>
        <w:div w:id="1748528260">
          <w:marLeft w:val="480"/>
          <w:marRight w:val="0"/>
          <w:marTop w:val="0"/>
          <w:marBottom w:val="0"/>
          <w:divBdr>
            <w:top w:val="none" w:sz="0" w:space="0" w:color="auto"/>
            <w:left w:val="none" w:sz="0" w:space="0" w:color="auto"/>
            <w:bottom w:val="none" w:sz="0" w:space="0" w:color="auto"/>
            <w:right w:val="none" w:sz="0" w:space="0" w:color="auto"/>
          </w:divBdr>
        </w:div>
        <w:div w:id="1575314492">
          <w:marLeft w:val="480"/>
          <w:marRight w:val="0"/>
          <w:marTop w:val="0"/>
          <w:marBottom w:val="0"/>
          <w:divBdr>
            <w:top w:val="none" w:sz="0" w:space="0" w:color="auto"/>
            <w:left w:val="none" w:sz="0" w:space="0" w:color="auto"/>
            <w:bottom w:val="none" w:sz="0" w:space="0" w:color="auto"/>
            <w:right w:val="none" w:sz="0" w:space="0" w:color="auto"/>
          </w:divBdr>
        </w:div>
        <w:div w:id="1548102029">
          <w:marLeft w:val="480"/>
          <w:marRight w:val="0"/>
          <w:marTop w:val="0"/>
          <w:marBottom w:val="0"/>
          <w:divBdr>
            <w:top w:val="none" w:sz="0" w:space="0" w:color="auto"/>
            <w:left w:val="none" w:sz="0" w:space="0" w:color="auto"/>
            <w:bottom w:val="none" w:sz="0" w:space="0" w:color="auto"/>
            <w:right w:val="none" w:sz="0" w:space="0" w:color="auto"/>
          </w:divBdr>
        </w:div>
        <w:div w:id="1506897990">
          <w:marLeft w:val="480"/>
          <w:marRight w:val="0"/>
          <w:marTop w:val="0"/>
          <w:marBottom w:val="0"/>
          <w:divBdr>
            <w:top w:val="none" w:sz="0" w:space="0" w:color="auto"/>
            <w:left w:val="none" w:sz="0" w:space="0" w:color="auto"/>
            <w:bottom w:val="none" w:sz="0" w:space="0" w:color="auto"/>
            <w:right w:val="none" w:sz="0" w:space="0" w:color="auto"/>
          </w:divBdr>
        </w:div>
        <w:div w:id="272372679">
          <w:marLeft w:val="480"/>
          <w:marRight w:val="0"/>
          <w:marTop w:val="0"/>
          <w:marBottom w:val="0"/>
          <w:divBdr>
            <w:top w:val="none" w:sz="0" w:space="0" w:color="auto"/>
            <w:left w:val="none" w:sz="0" w:space="0" w:color="auto"/>
            <w:bottom w:val="none" w:sz="0" w:space="0" w:color="auto"/>
            <w:right w:val="none" w:sz="0" w:space="0" w:color="auto"/>
          </w:divBdr>
        </w:div>
        <w:div w:id="1023702628">
          <w:marLeft w:val="480"/>
          <w:marRight w:val="0"/>
          <w:marTop w:val="0"/>
          <w:marBottom w:val="0"/>
          <w:divBdr>
            <w:top w:val="none" w:sz="0" w:space="0" w:color="auto"/>
            <w:left w:val="none" w:sz="0" w:space="0" w:color="auto"/>
            <w:bottom w:val="none" w:sz="0" w:space="0" w:color="auto"/>
            <w:right w:val="none" w:sz="0" w:space="0" w:color="auto"/>
          </w:divBdr>
        </w:div>
        <w:div w:id="413354850">
          <w:marLeft w:val="480"/>
          <w:marRight w:val="0"/>
          <w:marTop w:val="0"/>
          <w:marBottom w:val="0"/>
          <w:divBdr>
            <w:top w:val="none" w:sz="0" w:space="0" w:color="auto"/>
            <w:left w:val="none" w:sz="0" w:space="0" w:color="auto"/>
            <w:bottom w:val="none" w:sz="0" w:space="0" w:color="auto"/>
            <w:right w:val="none" w:sz="0" w:space="0" w:color="auto"/>
          </w:divBdr>
        </w:div>
        <w:div w:id="1473403150">
          <w:marLeft w:val="480"/>
          <w:marRight w:val="0"/>
          <w:marTop w:val="0"/>
          <w:marBottom w:val="0"/>
          <w:divBdr>
            <w:top w:val="none" w:sz="0" w:space="0" w:color="auto"/>
            <w:left w:val="none" w:sz="0" w:space="0" w:color="auto"/>
            <w:bottom w:val="none" w:sz="0" w:space="0" w:color="auto"/>
            <w:right w:val="none" w:sz="0" w:space="0" w:color="auto"/>
          </w:divBdr>
        </w:div>
        <w:div w:id="1927378413">
          <w:marLeft w:val="480"/>
          <w:marRight w:val="0"/>
          <w:marTop w:val="0"/>
          <w:marBottom w:val="0"/>
          <w:divBdr>
            <w:top w:val="none" w:sz="0" w:space="0" w:color="auto"/>
            <w:left w:val="none" w:sz="0" w:space="0" w:color="auto"/>
            <w:bottom w:val="none" w:sz="0" w:space="0" w:color="auto"/>
            <w:right w:val="none" w:sz="0" w:space="0" w:color="auto"/>
          </w:divBdr>
        </w:div>
        <w:div w:id="643312369">
          <w:marLeft w:val="480"/>
          <w:marRight w:val="0"/>
          <w:marTop w:val="0"/>
          <w:marBottom w:val="0"/>
          <w:divBdr>
            <w:top w:val="none" w:sz="0" w:space="0" w:color="auto"/>
            <w:left w:val="none" w:sz="0" w:space="0" w:color="auto"/>
            <w:bottom w:val="none" w:sz="0" w:space="0" w:color="auto"/>
            <w:right w:val="none" w:sz="0" w:space="0" w:color="auto"/>
          </w:divBdr>
        </w:div>
        <w:div w:id="2023506076">
          <w:marLeft w:val="480"/>
          <w:marRight w:val="0"/>
          <w:marTop w:val="0"/>
          <w:marBottom w:val="0"/>
          <w:divBdr>
            <w:top w:val="none" w:sz="0" w:space="0" w:color="auto"/>
            <w:left w:val="none" w:sz="0" w:space="0" w:color="auto"/>
            <w:bottom w:val="none" w:sz="0" w:space="0" w:color="auto"/>
            <w:right w:val="none" w:sz="0" w:space="0" w:color="auto"/>
          </w:divBdr>
        </w:div>
        <w:div w:id="868689694">
          <w:marLeft w:val="480"/>
          <w:marRight w:val="0"/>
          <w:marTop w:val="0"/>
          <w:marBottom w:val="0"/>
          <w:divBdr>
            <w:top w:val="none" w:sz="0" w:space="0" w:color="auto"/>
            <w:left w:val="none" w:sz="0" w:space="0" w:color="auto"/>
            <w:bottom w:val="none" w:sz="0" w:space="0" w:color="auto"/>
            <w:right w:val="none" w:sz="0" w:space="0" w:color="auto"/>
          </w:divBdr>
        </w:div>
        <w:div w:id="1818494929">
          <w:marLeft w:val="480"/>
          <w:marRight w:val="0"/>
          <w:marTop w:val="0"/>
          <w:marBottom w:val="0"/>
          <w:divBdr>
            <w:top w:val="none" w:sz="0" w:space="0" w:color="auto"/>
            <w:left w:val="none" w:sz="0" w:space="0" w:color="auto"/>
            <w:bottom w:val="none" w:sz="0" w:space="0" w:color="auto"/>
            <w:right w:val="none" w:sz="0" w:space="0" w:color="auto"/>
          </w:divBdr>
        </w:div>
        <w:div w:id="369186791">
          <w:marLeft w:val="480"/>
          <w:marRight w:val="0"/>
          <w:marTop w:val="0"/>
          <w:marBottom w:val="0"/>
          <w:divBdr>
            <w:top w:val="none" w:sz="0" w:space="0" w:color="auto"/>
            <w:left w:val="none" w:sz="0" w:space="0" w:color="auto"/>
            <w:bottom w:val="none" w:sz="0" w:space="0" w:color="auto"/>
            <w:right w:val="none" w:sz="0" w:space="0" w:color="auto"/>
          </w:divBdr>
        </w:div>
        <w:div w:id="384721727">
          <w:marLeft w:val="480"/>
          <w:marRight w:val="0"/>
          <w:marTop w:val="0"/>
          <w:marBottom w:val="0"/>
          <w:divBdr>
            <w:top w:val="none" w:sz="0" w:space="0" w:color="auto"/>
            <w:left w:val="none" w:sz="0" w:space="0" w:color="auto"/>
            <w:bottom w:val="none" w:sz="0" w:space="0" w:color="auto"/>
            <w:right w:val="none" w:sz="0" w:space="0" w:color="auto"/>
          </w:divBdr>
        </w:div>
        <w:div w:id="2043895915">
          <w:marLeft w:val="480"/>
          <w:marRight w:val="0"/>
          <w:marTop w:val="0"/>
          <w:marBottom w:val="0"/>
          <w:divBdr>
            <w:top w:val="none" w:sz="0" w:space="0" w:color="auto"/>
            <w:left w:val="none" w:sz="0" w:space="0" w:color="auto"/>
            <w:bottom w:val="none" w:sz="0" w:space="0" w:color="auto"/>
            <w:right w:val="none" w:sz="0" w:space="0" w:color="auto"/>
          </w:divBdr>
        </w:div>
        <w:div w:id="1187714934">
          <w:marLeft w:val="480"/>
          <w:marRight w:val="0"/>
          <w:marTop w:val="0"/>
          <w:marBottom w:val="0"/>
          <w:divBdr>
            <w:top w:val="none" w:sz="0" w:space="0" w:color="auto"/>
            <w:left w:val="none" w:sz="0" w:space="0" w:color="auto"/>
            <w:bottom w:val="none" w:sz="0" w:space="0" w:color="auto"/>
            <w:right w:val="none" w:sz="0" w:space="0" w:color="auto"/>
          </w:divBdr>
        </w:div>
      </w:divsChild>
    </w:div>
    <w:div w:id="1917015337">
      <w:bodyDiv w:val="1"/>
      <w:marLeft w:val="0"/>
      <w:marRight w:val="0"/>
      <w:marTop w:val="0"/>
      <w:marBottom w:val="0"/>
      <w:divBdr>
        <w:top w:val="none" w:sz="0" w:space="0" w:color="auto"/>
        <w:left w:val="none" w:sz="0" w:space="0" w:color="auto"/>
        <w:bottom w:val="none" w:sz="0" w:space="0" w:color="auto"/>
        <w:right w:val="none" w:sz="0" w:space="0" w:color="auto"/>
      </w:divBdr>
    </w:div>
    <w:div w:id="1917862532">
      <w:bodyDiv w:val="1"/>
      <w:marLeft w:val="0"/>
      <w:marRight w:val="0"/>
      <w:marTop w:val="0"/>
      <w:marBottom w:val="0"/>
      <w:divBdr>
        <w:top w:val="none" w:sz="0" w:space="0" w:color="auto"/>
        <w:left w:val="none" w:sz="0" w:space="0" w:color="auto"/>
        <w:bottom w:val="none" w:sz="0" w:space="0" w:color="auto"/>
        <w:right w:val="none" w:sz="0" w:space="0" w:color="auto"/>
      </w:divBdr>
    </w:div>
    <w:div w:id="1918202764">
      <w:bodyDiv w:val="1"/>
      <w:marLeft w:val="0"/>
      <w:marRight w:val="0"/>
      <w:marTop w:val="0"/>
      <w:marBottom w:val="0"/>
      <w:divBdr>
        <w:top w:val="none" w:sz="0" w:space="0" w:color="auto"/>
        <w:left w:val="none" w:sz="0" w:space="0" w:color="auto"/>
        <w:bottom w:val="none" w:sz="0" w:space="0" w:color="auto"/>
        <w:right w:val="none" w:sz="0" w:space="0" w:color="auto"/>
      </w:divBdr>
    </w:div>
    <w:div w:id="1918662892">
      <w:bodyDiv w:val="1"/>
      <w:marLeft w:val="0"/>
      <w:marRight w:val="0"/>
      <w:marTop w:val="0"/>
      <w:marBottom w:val="0"/>
      <w:divBdr>
        <w:top w:val="none" w:sz="0" w:space="0" w:color="auto"/>
        <w:left w:val="none" w:sz="0" w:space="0" w:color="auto"/>
        <w:bottom w:val="none" w:sz="0" w:space="0" w:color="auto"/>
        <w:right w:val="none" w:sz="0" w:space="0" w:color="auto"/>
      </w:divBdr>
    </w:div>
    <w:div w:id="1919511193">
      <w:bodyDiv w:val="1"/>
      <w:marLeft w:val="0"/>
      <w:marRight w:val="0"/>
      <w:marTop w:val="0"/>
      <w:marBottom w:val="0"/>
      <w:divBdr>
        <w:top w:val="none" w:sz="0" w:space="0" w:color="auto"/>
        <w:left w:val="none" w:sz="0" w:space="0" w:color="auto"/>
        <w:bottom w:val="none" w:sz="0" w:space="0" w:color="auto"/>
        <w:right w:val="none" w:sz="0" w:space="0" w:color="auto"/>
      </w:divBdr>
    </w:div>
    <w:div w:id="1922057454">
      <w:bodyDiv w:val="1"/>
      <w:marLeft w:val="0"/>
      <w:marRight w:val="0"/>
      <w:marTop w:val="0"/>
      <w:marBottom w:val="0"/>
      <w:divBdr>
        <w:top w:val="none" w:sz="0" w:space="0" w:color="auto"/>
        <w:left w:val="none" w:sz="0" w:space="0" w:color="auto"/>
        <w:bottom w:val="none" w:sz="0" w:space="0" w:color="auto"/>
        <w:right w:val="none" w:sz="0" w:space="0" w:color="auto"/>
      </w:divBdr>
    </w:div>
    <w:div w:id="1922249969">
      <w:bodyDiv w:val="1"/>
      <w:marLeft w:val="0"/>
      <w:marRight w:val="0"/>
      <w:marTop w:val="0"/>
      <w:marBottom w:val="0"/>
      <w:divBdr>
        <w:top w:val="none" w:sz="0" w:space="0" w:color="auto"/>
        <w:left w:val="none" w:sz="0" w:space="0" w:color="auto"/>
        <w:bottom w:val="none" w:sz="0" w:space="0" w:color="auto"/>
        <w:right w:val="none" w:sz="0" w:space="0" w:color="auto"/>
      </w:divBdr>
    </w:div>
    <w:div w:id="1923175822">
      <w:bodyDiv w:val="1"/>
      <w:marLeft w:val="0"/>
      <w:marRight w:val="0"/>
      <w:marTop w:val="0"/>
      <w:marBottom w:val="0"/>
      <w:divBdr>
        <w:top w:val="none" w:sz="0" w:space="0" w:color="auto"/>
        <w:left w:val="none" w:sz="0" w:space="0" w:color="auto"/>
        <w:bottom w:val="none" w:sz="0" w:space="0" w:color="auto"/>
        <w:right w:val="none" w:sz="0" w:space="0" w:color="auto"/>
      </w:divBdr>
    </w:div>
    <w:div w:id="1923291858">
      <w:bodyDiv w:val="1"/>
      <w:marLeft w:val="0"/>
      <w:marRight w:val="0"/>
      <w:marTop w:val="0"/>
      <w:marBottom w:val="0"/>
      <w:divBdr>
        <w:top w:val="none" w:sz="0" w:space="0" w:color="auto"/>
        <w:left w:val="none" w:sz="0" w:space="0" w:color="auto"/>
        <w:bottom w:val="none" w:sz="0" w:space="0" w:color="auto"/>
        <w:right w:val="none" w:sz="0" w:space="0" w:color="auto"/>
      </w:divBdr>
    </w:div>
    <w:div w:id="1923372864">
      <w:bodyDiv w:val="1"/>
      <w:marLeft w:val="0"/>
      <w:marRight w:val="0"/>
      <w:marTop w:val="0"/>
      <w:marBottom w:val="0"/>
      <w:divBdr>
        <w:top w:val="none" w:sz="0" w:space="0" w:color="auto"/>
        <w:left w:val="none" w:sz="0" w:space="0" w:color="auto"/>
        <w:bottom w:val="none" w:sz="0" w:space="0" w:color="auto"/>
        <w:right w:val="none" w:sz="0" w:space="0" w:color="auto"/>
      </w:divBdr>
    </w:div>
    <w:div w:id="1923445826">
      <w:bodyDiv w:val="1"/>
      <w:marLeft w:val="0"/>
      <w:marRight w:val="0"/>
      <w:marTop w:val="0"/>
      <w:marBottom w:val="0"/>
      <w:divBdr>
        <w:top w:val="none" w:sz="0" w:space="0" w:color="auto"/>
        <w:left w:val="none" w:sz="0" w:space="0" w:color="auto"/>
        <w:bottom w:val="none" w:sz="0" w:space="0" w:color="auto"/>
        <w:right w:val="none" w:sz="0" w:space="0" w:color="auto"/>
      </w:divBdr>
    </w:div>
    <w:div w:id="1923637623">
      <w:bodyDiv w:val="1"/>
      <w:marLeft w:val="0"/>
      <w:marRight w:val="0"/>
      <w:marTop w:val="0"/>
      <w:marBottom w:val="0"/>
      <w:divBdr>
        <w:top w:val="none" w:sz="0" w:space="0" w:color="auto"/>
        <w:left w:val="none" w:sz="0" w:space="0" w:color="auto"/>
        <w:bottom w:val="none" w:sz="0" w:space="0" w:color="auto"/>
        <w:right w:val="none" w:sz="0" w:space="0" w:color="auto"/>
      </w:divBdr>
    </w:div>
    <w:div w:id="1925383560">
      <w:bodyDiv w:val="1"/>
      <w:marLeft w:val="0"/>
      <w:marRight w:val="0"/>
      <w:marTop w:val="0"/>
      <w:marBottom w:val="0"/>
      <w:divBdr>
        <w:top w:val="none" w:sz="0" w:space="0" w:color="auto"/>
        <w:left w:val="none" w:sz="0" w:space="0" w:color="auto"/>
        <w:bottom w:val="none" w:sz="0" w:space="0" w:color="auto"/>
        <w:right w:val="none" w:sz="0" w:space="0" w:color="auto"/>
      </w:divBdr>
    </w:div>
    <w:div w:id="1925532638">
      <w:bodyDiv w:val="1"/>
      <w:marLeft w:val="0"/>
      <w:marRight w:val="0"/>
      <w:marTop w:val="0"/>
      <w:marBottom w:val="0"/>
      <w:divBdr>
        <w:top w:val="none" w:sz="0" w:space="0" w:color="auto"/>
        <w:left w:val="none" w:sz="0" w:space="0" w:color="auto"/>
        <w:bottom w:val="none" w:sz="0" w:space="0" w:color="auto"/>
        <w:right w:val="none" w:sz="0" w:space="0" w:color="auto"/>
      </w:divBdr>
    </w:div>
    <w:div w:id="1925841717">
      <w:bodyDiv w:val="1"/>
      <w:marLeft w:val="0"/>
      <w:marRight w:val="0"/>
      <w:marTop w:val="0"/>
      <w:marBottom w:val="0"/>
      <w:divBdr>
        <w:top w:val="none" w:sz="0" w:space="0" w:color="auto"/>
        <w:left w:val="none" w:sz="0" w:space="0" w:color="auto"/>
        <w:bottom w:val="none" w:sz="0" w:space="0" w:color="auto"/>
        <w:right w:val="none" w:sz="0" w:space="0" w:color="auto"/>
      </w:divBdr>
    </w:div>
    <w:div w:id="1926911601">
      <w:bodyDiv w:val="1"/>
      <w:marLeft w:val="0"/>
      <w:marRight w:val="0"/>
      <w:marTop w:val="0"/>
      <w:marBottom w:val="0"/>
      <w:divBdr>
        <w:top w:val="none" w:sz="0" w:space="0" w:color="auto"/>
        <w:left w:val="none" w:sz="0" w:space="0" w:color="auto"/>
        <w:bottom w:val="none" w:sz="0" w:space="0" w:color="auto"/>
        <w:right w:val="none" w:sz="0" w:space="0" w:color="auto"/>
      </w:divBdr>
    </w:div>
    <w:div w:id="1927612402">
      <w:bodyDiv w:val="1"/>
      <w:marLeft w:val="0"/>
      <w:marRight w:val="0"/>
      <w:marTop w:val="0"/>
      <w:marBottom w:val="0"/>
      <w:divBdr>
        <w:top w:val="none" w:sz="0" w:space="0" w:color="auto"/>
        <w:left w:val="none" w:sz="0" w:space="0" w:color="auto"/>
        <w:bottom w:val="none" w:sz="0" w:space="0" w:color="auto"/>
        <w:right w:val="none" w:sz="0" w:space="0" w:color="auto"/>
      </w:divBdr>
    </w:div>
    <w:div w:id="1927685093">
      <w:bodyDiv w:val="1"/>
      <w:marLeft w:val="0"/>
      <w:marRight w:val="0"/>
      <w:marTop w:val="0"/>
      <w:marBottom w:val="0"/>
      <w:divBdr>
        <w:top w:val="none" w:sz="0" w:space="0" w:color="auto"/>
        <w:left w:val="none" w:sz="0" w:space="0" w:color="auto"/>
        <w:bottom w:val="none" w:sz="0" w:space="0" w:color="auto"/>
        <w:right w:val="none" w:sz="0" w:space="0" w:color="auto"/>
      </w:divBdr>
    </w:div>
    <w:div w:id="1928420107">
      <w:bodyDiv w:val="1"/>
      <w:marLeft w:val="0"/>
      <w:marRight w:val="0"/>
      <w:marTop w:val="0"/>
      <w:marBottom w:val="0"/>
      <w:divBdr>
        <w:top w:val="none" w:sz="0" w:space="0" w:color="auto"/>
        <w:left w:val="none" w:sz="0" w:space="0" w:color="auto"/>
        <w:bottom w:val="none" w:sz="0" w:space="0" w:color="auto"/>
        <w:right w:val="none" w:sz="0" w:space="0" w:color="auto"/>
      </w:divBdr>
    </w:div>
    <w:div w:id="1928880496">
      <w:bodyDiv w:val="1"/>
      <w:marLeft w:val="0"/>
      <w:marRight w:val="0"/>
      <w:marTop w:val="0"/>
      <w:marBottom w:val="0"/>
      <w:divBdr>
        <w:top w:val="none" w:sz="0" w:space="0" w:color="auto"/>
        <w:left w:val="none" w:sz="0" w:space="0" w:color="auto"/>
        <w:bottom w:val="none" w:sz="0" w:space="0" w:color="auto"/>
        <w:right w:val="none" w:sz="0" w:space="0" w:color="auto"/>
      </w:divBdr>
    </w:div>
    <w:div w:id="1929463403">
      <w:bodyDiv w:val="1"/>
      <w:marLeft w:val="0"/>
      <w:marRight w:val="0"/>
      <w:marTop w:val="0"/>
      <w:marBottom w:val="0"/>
      <w:divBdr>
        <w:top w:val="none" w:sz="0" w:space="0" w:color="auto"/>
        <w:left w:val="none" w:sz="0" w:space="0" w:color="auto"/>
        <w:bottom w:val="none" w:sz="0" w:space="0" w:color="auto"/>
        <w:right w:val="none" w:sz="0" w:space="0" w:color="auto"/>
      </w:divBdr>
    </w:div>
    <w:div w:id="1929656063">
      <w:bodyDiv w:val="1"/>
      <w:marLeft w:val="0"/>
      <w:marRight w:val="0"/>
      <w:marTop w:val="0"/>
      <w:marBottom w:val="0"/>
      <w:divBdr>
        <w:top w:val="none" w:sz="0" w:space="0" w:color="auto"/>
        <w:left w:val="none" w:sz="0" w:space="0" w:color="auto"/>
        <w:bottom w:val="none" w:sz="0" w:space="0" w:color="auto"/>
        <w:right w:val="none" w:sz="0" w:space="0" w:color="auto"/>
      </w:divBdr>
    </w:div>
    <w:div w:id="1930188833">
      <w:bodyDiv w:val="1"/>
      <w:marLeft w:val="0"/>
      <w:marRight w:val="0"/>
      <w:marTop w:val="0"/>
      <w:marBottom w:val="0"/>
      <w:divBdr>
        <w:top w:val="none" w:sz="0" w:space="0" w:color="auto"/>
        <w:left w:val="none" w:sz="0" w:space="0" w:color="auto"/>
        <w:bottom w:val="none" w:sz="0" w:space="0" w:color="auto"/>
        <w:right w:val="none" w:sz="0" w:space="0" w:color="auto"/>
      </w:divBdr>
    </w:div>
    <w:div w:id="1931114859">
      <w:bodyDiv w:val="1"/>
      <w:marLeft w:val="0"/>
      <w:marRight w:val="0"/>
      <w:marTop w:val="0"/>
      <w:marBottom w:val="0"/>
      <w:divBdr>
        <w:top w:val="none" w:sz="0" w:space="0" w:color="auto"/>
        <w:left w:val="none" w:sz="0" w:space="0" w:color="auto"/>
        <w:bottom w:val="none" w:sz="0" w:space="0" w:color="auto"/>
        <w:right w:val="none" w:sz="0" w:space="0" w:color="auto"/>
      </w:divBdr>
    </w:div>
    <w:div w:id="1932154961">
      <w:bodyDiv w:val="1"/>
      <w:marLeft w:val="0"/>
      <w:marRight w:val="0"/>
      <w:marTop w:val="0"/>
      <w:marBottom w:val="0"/>
      <w:divBdr>
        <w:top w:val="none" w:sz="0" w:space="0" w:color="auto"/>
        <w:left w:val="none" w:sz="0" w:space="0" w:color="auto"/>
        <w:bottom w:val="none" w:sz="0" w:space="0" w:color="auto"/>
        <w:right w:val="none" w:sz="0" w:space="0" w:color="auto"/>
      </w:divBdr>
    </w:div>
    <w:div w:id="1932198112">
      <w:bodyDiv w:val="1"/>
      <w:marLeft w:val="0"/>
      <w:marRight w:val="0"/>
      <w:marTop w:val="0"/>
      <w:marBottom w:val="0"/>
      <w:divBdr>
        <w:top w:val="none" w:sz="0" w:space="0" w:color="auto"/>
        <w:left w:val="none" w:sz="0" w:space="0" w:color="auto"/>
        <w:bottom w:val="none" w:sz="0" w:space="0" w:color="auto"/>
        <w:right w:val="none" w:sz="0" w:space="0" w:color="auto"/>
      </w:divBdr>
    </w:div>
    <w:div w:id="1932737824">
      <w:bodyDiv w:val="1"/>
      <w:marLeft w:val="0"/>
      <w:marRight w:val="0"/>
      <w:marTop w:val="0"/>
      <w:marBottom w:val="0"/>
      <w:divBdr>
        <w:top w:val="none" w:sz="0" w:space="0" w:color="auto"/>
        <w:left w:val="none" w:sz="0" w:space="0" w:color="auto"/>
        <w:bottom w:val="none" w:sz="0" w:space="0" w:color="auto"/>
        <w:right w:val="none" w:sz="0" w:space="0" w:color="auto"/>
      </w:divBdr>
    </w:div>
    <w:div w:id="1932740027">
      <w:bodyDiv w:val="1"/>
      <w:marLeft w:val="0"/>
      <w:marRight w:val="0"/>
      <w:marTop w:val="0"/>
      <w:marBottom w:val="0"/>
      <w:divBdr>
        <w:top w:val="none" w:sz="0" w:space="0" w:color="auto"/>
        <w:left w:val="none" w:sz="0" w:space="0" w:color="auto"/>
        <w:bottom w:val="none" w:sz="0" w:space="0" w:color="auto"/>
        <w:right w:val="none" w:sz="0" w:space="0" w:color="auto"/>
      </w:divBdr>
    </w:div>
    <w:div w:id="1932928225">
      <w:bodyDiv w:val="1"/>
      <w:marLeft w:val="0"/>
      <w:marRight w:val="0"/>
      <w:marTop w:val="0"/>
      <w:marBottom w:val="0"/>
      <w:divBdr>
        <w:top w:val="none" w:sz="0" w:space="0" w:color="auto"/>
        <w:left w:val="none" w:sz="0" w:space="0" w:color="auto"/>
        <w:bottom w:val="none" w:sz="0" w:space="0" w:color="auto"/>
        <w:right w:val="none" w:sz="0" w:space="0" w:color="auto"/>
      </w:divBdr>
    </w:div>
    <w:div w:id="1933318907">
      <w:bodyDiv w:val="1"/>
      <w:marLeft w:val="0"/>
      <w:marRight w:val="0"/>
      <w:marTop w:val="0"/>
      <w:marBottom w:val="0"/>
      <w:divBdr>
        <w:top w:val="none" w:sz="0" w:space="0" w:color="auto"/>
        <w:left w:val="none" w:sz="0" w:space="0" w:color="auto"/>
        <w:bottom w:val="none" w:sz="0" w:space="0" w:color="auto"/>
        <w:right w:val="none" w:sz="0" w:space="0" w:color="auto"/>
      </w:divBdr>
    </w:div>
    <w:div w:id="1933588384">
      <w:bodyDiv w:val="1"/>
      <w:marLeft w:val="0"/>
      <w:marRight w:val="0"/>
      <w:marTop w:val="0"/>
      <w:marBottom w:val="0"/>
      <w:divBdr>
        <w:top w:val="none" w:sz="0" w:space="0" w:color="auto"/>
        <w:left w:val="none" w:sz="0" w:space="0" w:color="auto"/>
        <w:bottom w:val="none" w:sz="0" w:space="0" w:color="auto"/>
        <w:right w:val="none" w:sz="0" w:space="0" w:color="auto"/>
      </w:divBdr>
    </w:div>
    <w:div w:id="1934121618">
      <w:bodyDiv w:val="1"/>
      <w:marLeft w:val="0"/>
      <w:marRight w:val="0"/>
      <w:marTop w:val="0"/>
      <w:marBottom w:val="0"/>
      <w:divBdr>
        <w:top w:val="none" w:sz="0" w:space="0" w:color="auto"/>
        <w:left w:val="none" w:sz="0" w:space="0" w:color="auto"/>
        <w:bottom w:val="none" w:sz="0" w:space="0" w:color="auto"/>
        <w:right w:val="none" w:sz="0" w:space="0" w:color="auto"/>
      </w:divBdr>
    </w:div>
    <w:div w:id="1934701319">
      <w:bodyDiv w:val="1"/>
      <w:marLeft w:val="0"/>
      <w:marRight w:val="0"/>
      <w:marTop w:val="0"/>
      <w:marBottom w:val="0"/>
      <w:divBdr>
        <w:top w:val="none" w:sz="0" w:space="0" w:color="auto"/>
        <w:left w:val="none" w:sz="0" w:space="0" w:color="auto"/>
        <w:bottom w:val="none" w:sz="0" w:space="0" w:color="auto"/>
        <w:right w:val="none" w:sz="0" w:space="0" w:color="auto"/>
      </w:divBdr>
    </w:div>
    <w:div w:id="1934780833">
      <w:bodyDiv w:val="1"/>
      <w:marLeft w:val="0"/>
      <w:marRight w:val="0"/>
      <w:marTop w:val="0"/>
      <w:marBottom w:val="0"/>
      <w:divBdr>
        <w:top w:val="none" w:sz="0" w:space="0" w:color="auto"/>
        <w:left w:val="none" w:sz="0" w:space="0" w:color="auto"/>
        <w:bottom w:val="none" w:sz="0" w:space="0" w:color="auto"/>
        <w:right w:val="none" w:sz="0" w:space="0" w:color="auto"/>
      </w:divBdr>
    </w:div>
    <w:div w:id="1934897488">
      <w:bodyDiv w:val="1"/>
      <w:marLeft w:val="0"/>
      <w:marRight w:val="0"/>
      <w:marTop w:val="0"/>
      <w:marBottom w:val="0"/>
      <w:divBdr>
        <w:top w:val="none" w:sz="0" w:space="0" w:color="auto"/>
        <w:left w:val="none" w:sz="0" w:space="0" w:color="auto"/>
        <w:bottom w:val="none" w:sz="0" w:space="0" w:color="auto"/>
        <w:right w:val="none" w:sz="0" w:space="0" w:color="auto"/>
      </w:divBdr>
    </w:div>
    <w:div w:id="1934972604">
      <w:bodyDiv w:val="1"/>
      <w:marLeft w:val="0"/>
      <w:marRight w:val="0"/>
      <w:marTop w:val="0"/>
      <w:marBottom w:val="0"/>
      <w:divBdr>
        <w:top w:val="none" w:sz="0" w:space="0" w:color="auto"/>
        <w:left w:val="none" w:sz="0" w:space="0" w:color="auto"/>
        <w:bottom w:val="none" w:sz="0" w:space="0" w:color="auto"/>
        <w:right w:val="none" w:sz="0" w:space="0" w:color="auto"/>
      </w:divBdr>
    </w:div>
    <w:div w:id="1935285040">
      <w:bodyDiv w:val="1"/>
      <w:marLeft w:val="0"/>
      <w:marRight w:val="0"/>
      <w:marTop w:val="0"/>
      <w:marBottom w:val="0"/>
      <w:divBdr>
        <w:top w:val="none" w:sz="0" w:space="0" w:color="auto"/>
        <w:left w:val="none" w:sz="0" w:space="0" w:color="auto"/>
        <w:bottom w:val="none" w:sz="0" w:space="0" w:color="auto"/>
        <w:right w:val="none" w:sz="0" w:space="0" w:color="auto"/>
      </w:divBdr>
    </w:div>
    <w:div w:id="1936354248">
      <w:bodyDiv w:val="1"/>
      <w:marLeft w:val="0"/>
      <w:marRight w:val="0"/>
      <w:marTop w:val="0"/>
      <w:marBottom w:val="0"/>
      <w:divBdr>
        <w:top w:val="none" w:sz="0" w:space="0" w:color="auto"/>
        <w:left w:val="none" w:sz="0" w:space="0" w:color="auto"/>
        <w:bottom w:val="none" w:sz="0" w:space="0" w:color="auto"/>
        <w:right w:val="none" w:sz="0" w:space="0" w:color="auto"/>
      </w:divBdr>
    </w:div>
    <w:div w:id="1936477302">
      <w:bodyDiv w:val="1"/>
      <w:marLeft w:val="0"/>
      <w:marRight w:val="0"/>
      <w:marTop w:val="0"/>
      <w:marBottom w:val="0"/>
      <w:divBdr>
        <w:top w:val="none" w:sz="0" w:space="0" w:color="auto"/>
        <w:left w:val="none" w:sz="0" w:space="0" w:color="auto"/>
        <w:bottom w:val="none" w:sz="0" w:space="0" w:color="auto"/>
        <w:right w:val="none" w:sz="0" w:space="0" w:color="auto"/>
      </w:divBdr>
    </w:div>
    <w:div w:id="1937057383">
      <w:bodyDiv w:val="1"/>
      <w:marLeft w:val="0"/>
      <w:marRight w:val="0"/>
      <w:marTop w:val="0"/>
      <w:marBottom w:val="0"/>
      <w:divBdr>
        <w:top w:val="none" w:sz="0" w:space="0" w:color="auto"/>
        <w:left w:val="none" w:sz="0" w:space="0" w:color="auto"/>
        <w:bottom w:val="none" w:sz="0" w:space="0" w:color="auto"/>
        <w:right w:val="none" w:sz="0" w:space="0" w:color="auto"/>
      </w:divBdr>
    </w:div>
    <w:div w:id="1937210556">
      <w:bodyDiv w:val="1"/>
      <w:marLeft w:val="0"/>
      <w:marRight w:val="0"/>
      <w:marTop w:val="0"/>
      <w:marBottom w:val="0"/>
      <w:divBdr>
        <w:top w:val="none" w:sz="0" w:space="0" w:color="auto"/>
        <w:left w:val="none" w:sz="0" w:space="0" w:color="auto"/>
        <w:bottom w:val="none" w:sz="0" w:space="0" w:color="auto"/>
        <w:right w:val="none" w:sz="0" w:space="0" w:color="auto"/>
      </w:divBdr>
    </w:div>
    <w:div w:id="1938362460">
      <w:bodyDiv w:val="1"/>
      <w:marLeft w:val="0"/>
      <w:marRight w:val="0"/>
      <w:marTop w:val="0"/>
      <w:marBottom w:val="0"/>
      <w:divBdr>
        <w:top w:val="none" w:sz="0" w:space="0" w:color="auto"/>
        <w:left w:val="none" w:sz="0" w:space="0" w:color="auto"/>
        <w:bottom w:val="none" w:sz="0" w:space="0" w:color="auto"/>
        <w:right w:val="none" w:sz="0" w:space="0" w:color="auto"/>
      </w:divBdr>
    </w:div>
    <w:div w:id="1938632651">
      <w:bodyDiv w:val="1"/>
      <w:marLeft w:val="0"/>
      <w:marRight w:val="0"/>
      <w:marTop w:val="0"/>
      <w:marBottom w:val="0"/>
      <w:divBdr>
        <w:top w:val="none" w:sz="0" w:space="0" w:color="auto"/>
        <w:left w:val="none" w:sz="0" w:space="0" w:color="auto"/>
        <w:bottom w:val="none" w:sz="0" w:space="0" w:color="auto"/>
        <w:right w:val="none" w:sz="0" w:space="0" w:color="auto"/>
      </w:divBdr>
    </w:div>
    <w:div w:id="1939017929">
      <w:bodyDiv w:val="1"/>
      <w:marLeft w:val="0"/>
      <w:marRight w:val="0"/>
      <w:marTop w:val="0"/>
      <w:marBottom w:val="0"/>
      <w:divBdr>
        <w:top w:val="none" w:sz="0" w:space="0" w:color="auto"/>
        <w:left w:val="none" w:sz="0" w:space="0" w:color="auto"/>
        <w:bottom w:val="none" w:sz="0" w:space="0" w:color="auto"/>
        <w:right w:val="none" w:sz="0" w:space="0" w:color="auto"/>
      </w:divBdr>
    </w:div>
    <w:div w:id="1939094751">
      <w:bodyDiv w:val="1"/>
      <w:marLeft w:val="0"/>
      <w:marRight w:val="0"/>
      <w:marTop w:val="0"/>
      <w:marBottom w:val="0"/>
      <w:divBdr>
        <w:top w:val="none" w:sz="0" w:space="0" w:color="auto"/>
        <w:left w:val="none" w:sz="0" w:space="0" w:color="auto"/>
        <w:bottom w:val="none" w:sz="0" w:space="0" w:color="auto"/>
        <w:right w:val="none" w:sz="0" w:space="0" w:color="auto"/>
      </w:divBdr>
    </w:div>
    <w:div w:id="1939482622">
      <w:bodyDiv w:val="1"/>
      <w:marLeft w:val="0"/>
      <w:marRight w:val="0"/>
      <w:marTop w:val="0"/>
      <w:marBottom w:val="0"/>
      <w:divBdr>
        <w:top w:val="none" w:sz="0" w:space="0" w:color="auto"/>
        <w:left w:val="none" w:sz="0" w:space="0" w:color="auto"/>
        <w:bottom w:val="none" w:sz="0" w:space="0" w:color="auto"/>
        <w:right w:val="none" w:sz="0" w:space="0" w:color="auto"/>
      </w:divBdr>
    </w:div>
    <w:div w:id="1939635334">
      <w:bodyDiv w:val="1"/>
      <w:marLeft w:val="0"/>
      <w:marRight w:val="0"/>
      <w:marTop w:val="0"/>
      <w:marBottom w:val="0"/>
      <w:divBdr>
        <w:top w:val="none" w:sz="0" w:space="0" w:color="auto"/>
        <w:left w:val="none" w:sz="0" w:space="0" w:color="auto"/>
        <w:bottom w:val="none" w:sz="0" w:space="0" w:color="auto"/>
        <w:right w:val="none" w:sz="0" w:space="0" w:color="auto"/>
      </w:divBdr>
    </w:div>
    <w:div w:id="1939868127">
      <w:bodyDiv w:val="1"/>
      <w:marLeft w:val="0"/>
      <w:marRight w:val="0"/>
      <w:marTop w:val="0"/>
      <w:marBottom w:val="0"/>
      <w:divBdr>
        <w:top w:val="none" w:sz="0" w:space="0" w:color="auto"/>
        <w:left w:val="none" w:sz="0" w:space="0" w:color="auto"/>
        <w:bottom w:val="none" w:sz="0" w:space="0" w:color="auto"/>
        <w:right w:val="none" w:sz="0" w:space="0" w:color="auto"/>
      </w:divBdr>
    </w:div>
    <w:div w:id="1939944386">
      <w:bodyDiv w:val="1"/>
      <w:marLeft w:val="0"/>
      <w:marRight w:val="0"/>
      <w:marTop w:val="0"/>
      <w:marBottom w:val="0"/>
      <w:divBdr>
        <w:top w:val="none" w:sz="0" w:space="0" w:color="auto"/>
        <w:left w:val="none" w:sz="0" w:space="0" w:color="auto"/>
        <w:bottom w:val="none" w:sz="0" w:space="0" w:color="auto"/>
        <w:right w:val="none" w:sz="0" w:space="0" w:color="auto"/>
      </w:divBdr>
    </w:div>
    <w:div w:id="1940062579">
      <w:bodyDiv w:val="1"/>
      <w:marLeft w:val="0"/>
      <w:marRight w:val="0"/>
      <w:marTop w:val="0"/>
      <w:marBottom w:val="0"/>
      <w:divBdr>
        <w:top w:val="none" w:sz="0" w:space="0" w:color="auto"/>
        <w:left w:val="none" w:sz="0" w:space="0" w:color="auto"/>
        <w:bottom w:val="none" w:sz="0" w:space="0" w:color="auto"/>
        <w:right w:val="none" w:sz="0" w:space="0" w:color="auto"/>
      </w:divBdr>
    </w:div>
    <w:div w:id="1940286741">
      <w:bodyDiv w:val="1"/>
      <w:marLeft w:val="0"/>
      <w:marRight w:val="0"/>
      <w:marTop w:val="0"/>
      <w:marBottom w:val="0"/>
      <w:divBdr>
        <w:top w:val="none" w:sz="0" w:space="0" w:color="auto"/>
        <w:left w:val="none" w:sz="0" w:space="0" w:color="auto"/>
        <w:bottom w:val="none" w:sz="0" w:space="0" w:color="auto"/>
        <w:right w:val="none" w:sz="0" w:space="0" w:color="auto"/>
      </w:divBdr>
    </w:div>
    <w:div w:id="1940528069">
      <w:bodyDiv w:val="1"/>
      <w:marLeft w:val="0"/>
      <w:marRight w:val="0"/>
      <w:marTop w:val="0"/>
      <w:marBottom w:val="0"/>
      <w:divBdr>
        <w:top w:val="none" w:sz="0" w:space="0" w:color="auto"/>
        <w:left w:val="none" w:sz="0" w:space="0" w:color="auto"/>
        <w:bottom w:val="none" w:sz="0" w:space="0" w:color="auto"/>
        <w:right w:val="none" w:sz="0" w:space="0" w:color="auto"/>
      </w:divBdr>
    </w:div>
    <w:div w:id="1941208948">
      <w:bodyDiv w:val="1"/>
      <w:marLeft w:val="0"/>
      <w:marRight w:val="0"/>
      <w:marTop w:val="0"/>
      <w:marBottom w:val="0"/>
      <w:divBdr>
        <w:top w:val="none" w:sz="0" w:space="0" w:color="auto"/>
        <w:left w:val="none" w:sz="0" w:space="0" w:color="auto"/>
        <w:bottom w:val="none" w:sz="0" w:space="0" w:color="auto"/>
        <w:right w:val="none" w:sz="0" w:space="0" w:color="auto"/>
      </w:divBdr>
    </w:div>
    <w:div w:id="1941328748">
      <w:bodyDiv w:val="1"/>
      <w:marLeft w:val="0"/>
      <w:marRight w:val="0"/>
      <w:marTop w:val="0"/>
      <w:marBottom w:val="0"/>
      <w:divBdr>
        <w:top w:val="none" w:sz="0" w:space="0" w:color="auto"/>
        <w:left w:val="none" w:sz="0" w:space="0" w:color="auto"/>
        <w:bottom w:val="none" w:sz="0" w:space="0" w:color="auto"/>
        <w:right w:val="none" w:sz="0" w:space="0" w:color="auto"/>
      </w:divBdr>
    </w:div>
    <w:div w:id="1943298273">
      <w:bodyDiv w:val="1"/>
      <w:marLeft w:val="0"/>
      <w:marRight w:val="0"/>
      <w:marTop w:val="0"/>
      <w:marBottom w:val="0"/>
      <w:divBdr>
        <w:top w:val="none" w:sz="0" w:space="0" w:color="auto"/>
        <w:left w:val="none" w:sz="0" w:space="0" w:color="auto"/>
        <w:bottom w:val="none" w:sz="0" w:space="0" w:color="auto"/>
        <w:right w:val="none" w:sz="0" w:space="0" w:color="auto"/>
      </w:divBdr>
    </w:div>
    <w:div w:id="1943417717">
      <w:bodyDiv w:val="1"/>
      <w:marLeft w:val="0"/>
      <w:marRight w:val="0"/>
      <w:marTop w:val="0"/>
      <w:marBottom w:val="0"/>
      <w:divBdr>
        <w:top w:val="none" w:sz="0" w:space="0" w:color="auto"/>
        <w:left w:val="none" w:sz="0" w:space="0" w:color="auto"/>
        <w:bottom w:val="none" w:sz="0" w:space="0" w:color="auto"/>
        <w:right w:val="none" w:sz="0" w:space="0" w:color="auto"/>
      </w:divBdr>
    </w:div>
    <w:div w:id="1943419633">
      <w:bodyDiv w:val="1"/>
      <w:marLeft w:val="0"/>
      <w:marRight w:val="0"/>
      <w:marTop w:val="0"/>
      <w:marBottom w:val="0"/>
      <w:divBdr>
        <w:top w:val="none" w:sz="0" w:space="0" w:color="auto"/>
        <w:left w:val="none" w:sz="0" w:space="0" w:color="auto"/>
        <w:bottom w:val="none" w:sz="0" w:space="0" w:color="auto"/>
        <w:right w:val="none" w:sz="0" w:space="0" w:color="auto"/>
      </w:divBdr>
    </w:div>
    <w:div w:id="1943879786">
      <w:bodyDiv w:val="1"/>
      <w:marLeft w:val="0"/>
      <w:marRight w:val="0"/>
      <w:marTop w:val="0"/>
      <w:marBottom w:val="0"/>
      <w:divBdr>
        <w:top w:val="none" w:sz="0" w:space="0" w:color="auto"/>
        <w:left w:val="none" w:sz="0" w:space="0" w:color="auto"/>
        <w:bottom w:val="none" w:sz="0" w:space="0" w:color="auto"/>
        <w:right w:val="none" w:sz="0" w:space="0" w:color="auto"/>
      </w:divBdr>
    </w:div>
    <w:div w:id="1944419151">
      <w:bodyDiv w:val="1"/>
      <w:marLeft w:val="0"/>
      <w:marRight w:val="0"/>
      <w:marTop w:val="0"/>
      <w:marBottom w:val="0"/>
      <w:divBdr>
        <w:top w:val="none" w:sz="0" w:space="0" w:color="auto"/>
        <w:left w:val="none" w:sz="0" w:space="0" w:color="auto"/>
        <w:bottom w:val="none" w:sz="0" w:space="0" w:color="auto"/>
        <w:right w:val="none" w:sz="0" w:space="0" w:color="auto"/>
      </w:divBdr>
    </w:div>
    <w:div w:id="1944609654">
      <w:bodyDiv w:val="1"/>
      <w:marLeft w:val="0"/>
      <w:marRight w:val="0"/>
      <w:marTop w:val="0"/>
      <w:marBottom w:val="0"/>
      <w:divBdr>
        <w:top w:val="none" w:sz="0" w:space="0" w:color="auto"/>
        <w:left w:val="none" w:sz="0" w:space="0" w:color="auto"/>
        <w:bottom w:val="none" w:sz="0" w:space="0" w:color="auto"/>
        <w:right w:val="none" w:sz="0" w:space="0" w:color="auto"/>
      </w:divBdr>
    </w:div>
    <w:div w:id="1944680775">
      <w:bodyDiv w:val="1"/>
      <w:marLeft w:val="0"/>
      <w:marRight w:val="0"/>
      <w:marTop w:val="0"/>
      <w:marBottom w:val="0"/>
      <w:divBdr>
        <w:top w:val="none" w:sz="0" w:space="0" w:color="auto"/>
        <w:left w:val="none" w:sz="0" w:space="0" w:color="auto"/>
        <w:bottom w:val="none" w:sz="0" w:space="0" w:color="auto"/>
        <w:right w:val="none" w:sz="0" w:space="0" w:color="auto"/>
      </w:divBdr>
    </w:div>
    <w:div w:id="1944915581">
      <w:bodyDiv w:val="1"/>
      <w:marLeft w:val="0"/>
      <w:marRight w:val="0"/>
      <w:marTop w:val="0"/>
      <w:marBottom w:val="0"/>
      <w:divBdr>
        <w:top w:val="none" w:sz="0" w:space="0" w:color="auto"/>
        <w:left w:val="none" w:sz="0" w:space="0" w:color="auto"/>
        <w:bottom w:val="none" w:sz="0" w:space="0" w:color="auto"/>
        <w:right w:val="none" w:sz="0" w:space="0" w:color="auto"/>
      </w:divBdr>
    </w:div>
    <w:div w:id="1945765120">
      <w:bodyDiv w:val="1"/>
      <w:marLeft w:val="0"/>
      <w:marRight w:val="0"/>
      <w:marTop w:val="0"/>
      <w:marBottom w:val="0"/>
      <w:divBdr>
        <w:top w:val="none" w:sz="0" w:space="0" w:color="auto"/>
        <w:left w:val="none" w:sz="0" w:space="0" w:color="auto"/>
        <w:bottom w:val="none" w:sz="0" w:space="0" w:color="auto"/>
        <w:right w:val="none" w:sz="0" w:space="0" w:color="auto"/>
      </w:divBdr>
    </w:div>
    <w:div w:id="1946033379">
      <w:bodyDiv w:val="1"/>
      <w:marLeft w:val="0"/>
      <w:marRight w:val="0"/>
      <w:marTop w:val="0"/>
      <w:marBottom w:val="0"/>
      <w:divBdr>
        <w:top w:val="none" w:sz="0" w:space="0" w:color="auto"/>
        <w:left w:val="none" w:sz="0" w:space="0" w:color="auto"/>
        <w:bottom w:val="none" w:sz="0" w:space="0" w:color="auto"/>
        <w:right w:val="none" w:sz="0" w:space="0" w:color="auto"/>
      </w:divBdr>
    </w:div>
    <w:div w:id="1946187480">
      <w:bodyDiv w:val="1"/>
      <w:marLeft w:val="0"/>
      <w:marRight w:val="0"/>
      <w:marTop w:val="0"/>
      <w:marBottom w:val="0"/>
      <w:divBdr>
        <w:top w:val="none" w:sz="0" w:space="0" w:color="auto"/>
        <w:left w:val="none" w:sz="0" w:space="0" w:color="auto"/>
        <w:bottom w:val="none" w:sz="0" w:space="0" w:color="auto"/>
        <w:right w:val="none" w:sz="0" w:space="0" w:color="auto"/>
      </w:divBdr>
    </w:div>
    <w:div w:id="1946304804">
      <w:bodyDiv w:val="1"/>
      <w:marLeft w:val="0"/>
      <w:marRight w:val="0"/>
      <w:marTop w:val="0"/>
      <w:marBottom w:val="0"/>
      <w:divBdr>
        <w:top w:val="none" w:sz="0" w:space="0" w:color="auto"/>
        <w:left w:val="none" w:sz="0" w:space="0" w:color="auto"/>
        <w:bottom w:val="none" w:sz="0" w:space="0" w:color="auto"/>
        <w:right w:val="none" w:sz="0" w:space="0" w:color="auto"/>
      </w:divBdr>
    </w:div>
    <w:div w:id="1946958719">
      <w:bodyDiv w:val="1"/>
      <w:marLeft w:val="0"/>
      <w:marRight w:val="0"/>
      <w:marTop w:val="0"/>
      <w:marBottom w:val="0"/>
      <w:divBdr>
        <w:top w:val="none" w:sz="0" w:space="0" w:color="auto"/>
        <w:left w:val="none" w:sz="0" w:space="0" w:color="auto"/>
        <w:bottom w:val="none" w:sz="0" w:space="0" w:color="auto"/>
        <w:right w:val="none" w:sz="0" w:space="0" w:color="auto"/>
      </w:divBdr>
    </w:div>
    <w:div w:id="1947419349">
      <w:bodyDiv w:val="1"/>
      <w:marLeft w:val="0"/>
      <w:marRight w:val="0"/>
      <w:marTop w:val="0"/>
      <w:marBottom w:val="0"/>
      <w:divBdr>
        <w:top w:val="none" w:sz="0" w:space="0" w:color="auto"/>
        <w:left w:val="none" w:sz="0" w:space="0" w:color="auto"/>
        <w:bottom w:val="none" w:sz="0" w:space="0" w:color="auto"/>
        <w:right w:val="none" w:sz="0" w:space="0" w:color="auto"/>
      </w:divBdr>
    </w:div>
    <w:div w:id="1948149916">
      <w:bodyDiv w:val="1"/>
      <w:marLeft w:val="0"/>
      <w:marRight w:val="0"/>
      <w:marTop w:val="0"/>
      <w:marBottom w:val="0"/>
      <w:divBdr>
        <w:top w:val="none" w:sz="0" w:space="0" w:color="auto"/>
        <w:left w:val="none" w:sz="0" w:space="0" w:color="auto"/>
        <w:bottom w:val="none" w:sz="0" w:space="0" w:color="auto"/>
        <w:right w:val="none" w:sz="0" w:space="0" w:color="auto"/>
      </w:divBdr>
    </w:div>
    <w:div w:id="1948460571">
      <w:bodyDiv w:val="1"/>
      <w:marLeft w:val="0"/>
      <w:marRight w:val="0"/>
      <w:marTop w:val="0"/>
      <w:marBottom w:val="0"/>
      <w:divBdr>
        <w:top w:val="none" w:sz="0" w:space="0" w:color="auto"/>
        <w:left w:val="none" w:sz="0" w:space="0" w:color="auto"/>
        <w:bottom w:val="none" w:sz="0" w:space="0" w:color="auto"/>
        <w:right w:val="none" w:sz="0" w:space="0" w:color="auto"/>
      </w:divBdr>
    </w:div>
    <w:div w:id="1949004709">
      <w:bodyDiv w:val="1"/>
      <w:marLeft w:val="0"/>
      <w:marRight w:val="0"/>
      <w:marTop w:val="0"/>
      <w:marBottom w:val="0"/>
      <w:divBdr>
        <w:top w:val="none" w:sz="0" w:space="0" w:color="auto"/>
        <w:left w:val="none" w:sz="0" w:space="0" w:color="auto"/>
        <w:bottom w:val="none" w:sz="0" w:space="0" w:color="auto"/>
        <w:right w:val="none" w:sz="0" w:space="0" w:color="auto"/>
      </w:divBdr>
    </w:div>
    <w:div w:id="1949389378">
      <w:bodyDiv w:val="1"/>
      <w:marLeft w:val="0"/>
      <w:marRight w:val="0"/>
      <w:marTop w:val="0"/>
      <w:marBottom w:val="0"/>
      <w:divBdr>
        <w:top w:val="none" w:sz="0" w:space="0" w:color="auto"/>
        <w:left w:val="none" w:sz="0" w:space="0" w:color="auto"/>
        <w:bottom w:val="none" w:sz="0" w:space="0" w:color="auto"/>
        <w:right w:val="none" w:sz="0" w:space="0" w:color="auto"/>
      </w:divBdr>
    </w:div>
    <w:div w:id="1949699646">
      <w:bodyDiv w:val="1"/>
      <w:marLeft w:val="0"/>
      <w:marRight w:val="0"/>
      <w:marTop w:val="0"/>
      <w:marBottom w:val="0"/>
      <w:divBdr>
        <w:top w:val="none" w:sz="0" w:space="0" w:color="auto"/>
        <w:left w:val="none" w:sz="0" w:space="0" w:color="auto"/>
        <w:bottom w:val="none" w:sz="0" w:space="0" w:color="auto"/>
        <w:right w:val="none" w:sz="0" w:space="0" w:color="auto"/>
      </w:divBdr>
    </w:div>
    <w:div w:id="1950090402">
      <w:bodyDiv w:val="1"/>
      <w:marLeft w:val="0"/>
      <w:marRight w:val="0"/>
      <w:marTop w:val="0"/>
      <w:marBottom w:val="0"/>
      <w:divBdr>
        <w:top w:val="none" w:sz="0" w:space="0" w:color="auto"/>
        <w:left w:val="none" w:sz="0" w:space="0" w:color="auto"/>
        <w:bottom w:val="none" w:sz="0" w:space="0" w:color="auto"/>
        <w:right w:val="none" w:sz="0" w:space="0" w:color="auto"/>
      </w:divBdr>
      <w:divsChild>
        <w:div w:id="643704619">
          <w:marLeft w:val="480"/>
          <w:marRight w:val="0"/>
          <w:marTop w:val="0"/>
          <w:marBottom w:val="0"/>
          <w:divBdr>
            <w:top w:val="none" w:sz="0" w:space="0" w:color="auto"/>
            <w:left w:val="none" w:sz="0" w:space="0" w:color="auto"/>
            <w:bottom w:val="none" w:sz="0" w:space="0" w:color="auto"/>
            <w:right w:val="none" w:sz="0" w:space="0" w:color="auto"/>
          </w:divBdr>
        </w:div>
        <w:div w:id="40372158">
          <w:marLeft w:val="480"/>
          <w:marRight w:val="0"/>
          <w:marTop w:val="0"/>
          <w:marBottom w:val="0"/>
          <w:divBdr>
            <w:top w:val="none" w:sz="0" w:space="0" w:color="auto"/>
            <w:left w:val="none" w:sz="0" w:space="0" w:color="auto"/>
            <w:bottom w:val="none" w:sz="0" w:space="0" w:color="auto"/>
            <w:right w:val="none" w:sz="0" w:space="0" w:color="auto"/>
          </w:divBdr>
        </w:div>
        <w:div w:id="957833500">
          <w:marLeft w:val="480"/>
          <w:marRight w:val="0"/>
          <w:marTop w:val="0"/>
          <w:marBottom w:val="0"/>
          <w:divBdr>
            <w:top w:val="none" w:sz="0" w:space="0" w:color="auto"/>
            <w:left w:val="none" w:sz="0" w:space="0" w:color="auto"/>
            <w:bottom w:val="none" w:sz="0" w:space="0" w:color="auto"/>
            <w:right w:val="none" w:sz="0" w:space="0" w:color="auto"/>
          </w:divBdr>
        </w:div>
        <w:div w:id="220755645">
          <w:marLeft w:val="480"/>
          <w:marRight w:val="0"/>
          <w:marTop w:val="0"/>
          <w:marBottom w:val="0"/>
          <w:divBdr>
            <w:top w:val="none" w:sz="0" w:space="0" w:color="auto"/>
            <w:left w:val="none" w:sz="0" w:space="0" w:color="auto"/>
            <w:bottom w:val="none" w:sz="0" w:space="0" w:color="auto"/>
            <w:right w:val="none" w:sz="0" w:space="0" w:color="auto"/>
          </w:divBdr>
        </w:div>
        <w:div w:id="379980947">
          <w:marLeft w:val="480"/>
          <w:marRight w:val="0"/>
          <w:marTop w:val="0"/>
          <w:marBottom w:val="0"/>
          <w:divBdr>
            <w:top w:val="none" w:sz="0" w:space="0" w:color="auto"/>
            <w:left w:val="none" w:sz="0" w:space="0" w:color="auto"/>
            <w:bottom w:val="none" w:sz="0" w:space="0" w:color="auto"/>
            <w:right w:val="none" w:sz="0" w:space="0" w:color="auto"/>
          </w:divBdr>
        </w:div>
        <w:div w:id="1333724373">
          <w:marLeft w:val="480"/>
          <w:marRight w:val="0"/>
          <w:marTop w:val="0"/>
          <w:marBottom w:val="0"/>
          <w:divBdr>
            <w:top w:val="none" w:sz="0" w:space="0" w:color="auto"/>
            <w:left w:val="none" w:sz="0" w:space="0" w:color="auto"/>
            <w:bottom w:val="none" w:sz="0" w:space="0" w:color="auto"/>
            <w:right w:val="none" w:sz="0" w:space="0" w:color="auto"/>
          </w:divBdr>
        </w:div>
        <w:div w:id="590551556">
          <w:marLeft w:val="480"/>
          <w:marRight w:val="0"/>
          <w:marTop w:val="0"/>
          <w:marBottom w:val="0"/>
          <w:divBdr>
            <w:top w:val="none" w:sz="0" w:space="0" w:color="auto"/>
            <w:left w:val="none" w:sz="0" w:space="0" w:color="auto"/>
            <w:bottom w:val="none" w:sz="0" w:space="0" w:color="auto"/>
            <w:right w:val="none" w:sz="0" w:space="0" w:color="auto"/>
          </w:divBdr>
        </w:div>
        <w:div w:id="748774504">
          <w:marLeft w:val="480"/>
          <w:marRight w:val="0"/>
          <w:marTop w:val="0"/>
          <w:marBottom w:val="0"/>
          <w:divBdr>
            <w:top w:val="none" w:sz="0" w:space="0" w:color="auto"/>
            <w:left w:val="none" w:sz="0" w:space="0" w:color="auto"/>
            <w:bottom w:val="none" w:sz="0" w:space="0" w:color="auto"/>
            <w:right w:val="none" w:sz="0" w:space="0" w:color="auto"/>
          </w:divBdr>
        </w:div>
        <w:div w:id="821699005">
          <w:marLeft w:val="480"/>
          <w:marRight w:val="0"/>
          <w:marTop w:val="0"/>
          <w:marBottom w:val="0"/>
          <w:divBdr>
            <w:top w:val="none" w:sz="0" w:space="0" w:color="auto"/>
            <w:left w:val="none" w:sz="0" w:space="0" w:color="auto"/>
            <w:bottom w:val="none" w:sz="0" w:space="0" w:color="auto"/>
            <w:right w:val="none" w:sz="0" w:space="0" w:color="auto"/>
          </w:divBdr>
        </w:div>
        <w:div w:id="1952936680">
          <w:marLeft w:val="480"/>
          <w:marRight w:val="0"/>
          <w:marTop w:val="0"/>
          <w:marBottom w:val="0"/>
          <w:divBdr>
            <w:top w:val="none" w:sz="0" w:space="0" w:color="auto"/>
            <w:left w:val="none" w:sz="0" w:space="0" w:color="auto"/>
            <w:bottom w:val="none" w:sz="0" w:space="0" w:color="auto"/>
            <w:right w:val="none" w:sz="0" w:space="0" w:color="auto"/>
          </w:divBdr>
        </w:div>
        <w:div w:id="963997530">
          <w:marLeft w:val="480"/>
          <w:marRight w:val="0"/>
          <w:marTop w:val="0"/>
          <w:marBottom w:val="0"/>
          <w:divBdr>
            <w:top w:val="none" w:sz="0" w:space="0" w:color="auto"/>
            <w:left w:val="none" w:sz="0" w:space="0" w:color="auto"/>
            <w:bottom w:val="none" w:sz="0" w:space="0" w:color="auto"/>
            <w:right w:val="none" w:sz="0" w:space="0" w:color="auto"/>
          </w:divBdr>
        </w:div>
        <w:div w:id="808329699">
          <w:marLeft w:val="480"/>
          <w:marRight w:val="0"/>
          <w:marTop w:val="0"/>
          <w:marBottom w:val="0"/>
          <w:divBdr>
            <w:top w:val="none" w:sz="0" w:space="0" w:color="auto"/>
            <w:left w:val="none" w:sz="0" w:space="0" w:color="auto"/>
            <w:bottom w:val="none" w:sz="0" w:space="0" w:color="auto"/>
            <w:right w:val="none" w:sz="0" w:space="0" w:color="auto"/>
          </w:divBdr>
        </w:div>
        <w:div w:id="744835707">
          <w:marLeft w:val="480"/>
          <w:marRight w:val="0"/>
          <w:marTop w:val="0"/>
          <w:marBottom w:val="0"/>
          <w:divBdr>
            <w:top w:val="none" w:sz="0" w:space="0" w:color="auto"/>
            <w:left w:val="none" w:sz="0" w:space="0" w:color="auto"/>
            <w:bottom w:val="none" w:sz="0" w:space="0" w:color="auto"/>
            <w:right w:val="none" w:sz="0" w:space="0" w:color="auto"/>
          </w:divBdr>
        </w:div>
        <w:div w:id="932276643">
          <w:marLeft w:val="480"/>
          <w:marRight w:val="0"/>
          <w:marTop w:val="0"/>
          <w:marBottom w:val="0"/>
          <w:divBdr>
            <w:top w:val="none" w:sz="0" w:space="0" w:color="auto"/>
            <w:left w:val="none" w:sz="0" w:space="0" w:color="auto"/>
            <w:bottom w:val="none" w:sz="0" w:space="0" w:color="auto"/>
            <w:right w:val="none" w:sz="0" w:space="0" w:color="auto"/>
          </w:divBdr>
        </w:div>
        <w:div w:id="518468276">
          <w:marLeft w:val="480"/>
          <w:marRight w:val="0"/>
          <w:marTop w:val="0"/>
          <w:marBottom w:val="0"/>
          <w:divBdr>
            <w:top w:val="none" w:sz="0" w:space="0" w:color="auto"/>
            <w:left w:val="none" w:sz="0" w:space="0" w:color="auto"/>
            <w:bottom w:val="none" w:sz="0" w:space="0" w:color="auto"/>
            <w:right w:val="none" w:sz="0" w:space="0" w:color="auto"/>
          </w:divBdr>
        </w:div>
        <w:div w:id="398789230">
          <w:marLeft w:val="480"/>
          <w:marRight w:val="0"/>
          <w:marTop w:val="0"/>
          <w:marBottom w:val="0"/>
          <w:divBdr>
            <w:top w:val="none" w:sz="0" w:space="0" w:color="auto"/>
            <w:left w:val="none" w:sz="0" w:space="0" w:color="auto"/>
            <w:bottom w:val="none" w:sz="0" w:space="0" w:color="auto"/>
            <w:right w:val="none" w:sz="0" w:space="0" w:color="auto"/>
          </w:divBdr>
        </w:div>
        <w:div w:id="664866112">
          <w:marLeft w:val="480"/>
          <w:marRight w:val="0"/>
          <w:marTop w:val="0"/>
          <w:marBottom w:val="0"/>
          <w:divBdr>
            <w:top w:val="none" w:sz="0" w:space="0" w:color="auto"/>
            <w:left w:val="none" w:sz="0" w:space="0" w:color="auto"/>
            <w:bottom w:val="none" w:sz="0" w:space="0" w:color="auto"/>
            <w:right w:val="none" w:sz="0" w:space="0" w:color="auto"/>
          </w:divBdr>
        </w:div>
        <w:div w:id="572932883">
          <w:marLeft w:val="480"/>
          <w:marRight w:val="0"/>
          <w:marTop w:val="0"/>
          <w:marBottom w:val="0"/>
          <w:divBdr>
            <w:top w:val="none" w:sz="0" w:space="0" w:color="auto"/>
            <w:left w:val="none" w:sz="0" w:space="0" w:color="auto"/>
            <w:bottom w:val="none" w:sz="0" w:space="0" w:color="auto"/>
            <w:right w:val="none" w:sz="0" w:space="0" w:color="auto"/>
          </w:divBdr>
        </w:div>
        <w:div w:id="222719056">
          <w:marLeft w:val="480"/>
          <w:marRight w:val="0"/>
          <w:marTop w:val="0"/>
          <w:marBottom w:val="0"/>
          <w:divBdr>
            <w:top w:val="none" w:sz="0" w:space="0" w:color="auto"/>
            <w:left w:val="none" w:sz="0" w:space="0" w:color="auto"/>
            <w:bottom w:val="none" w:sz="0" w:space="0" w:color="auto"/>
            <w:right w:val="none" w:sz="0" w:space="0" w:color="auto"/>
          </w:divBdr>
        </w:div>
        <w:div w:id="613827295">
          <w:marLeft w:val="480"/>
          <w:marRight w:val="0"/>
          <w:marTop w:val="0"/>
          <w:marBottom w:val="0"/>
          <w:divBdr>
            <w:top w:val="none" w:sz="0" w:space="0" w:color="auto"/>
            <w:left w:val="none" w:sz="0" w:space="0" w:color="auto"/>
            <w:bottom w:val="none" w:sz="0" w:space="0" w:color="auto"/>
            <w:right w:val="none" w:sz="0" w:space="0" w:color="auto"/>
          </w:divBdr>
        </w:div>
        <w:div w:id="935600903">
          <w:marLeft w:val="480"/>
          <w:marRight w:val="0"/>
          <w:marTop w:val="0"/>
          <w:marBottom w:val="0"/>
          <w:divBdr>
            <w:top w:val="none" w:sz="0" w:space="0" w:color="auto"/>
            <w:left w:val="none" w:sz="0" w:space="0" w:color="auto"/>
            <w:bottom w:val="none" w:sz="0" w:space="0" w:color="auto"/>
            <w:right w:val="none" w:sz="0" w:space="0" w:color="auto"/>
          </w:divBdr>
        </w:div>
        <w:div w:id="1823617066">
          <w:marLeft w:val="480"/>
          <w:marRight w:val="0"/>
          <w:marTop w:val="0"/>
          <w:marBottom w:val="0"/>
          <w:divBdr>
            <w:top w:val="none" w:sz="0" w:space="0" w:color="auto"/>
            <w:left w:val="none" w:sz="0" w:space="0" w:color="auto"/>
            <w:bottom w:val="none" w:sz="0" w:space="0" w:color="auto"/>
            <w:right w:val="none" w:sz="0" w:space="0" w:color="auto"/>
          </w:divBdr>
        </w:div>
        <w:div w:id="2068213148">
          <w:marLeft w:val="480"/>
          <w:marRight w:val="0"/>
          <w:marTop w:val="0"/>
          <w:marBottom w:val="0"/>
          <w:divBdr>
            <w:top w:val="none" w:sz="0" w:space="0" w:color="auto"/>
            <w:left w:val="none" w:sz="0" w:space="0" w:color="auto"/>
            <w:bottom w:val="none" w:sz="0" w:space="0" w:color="auto"/>
            <w:right w:val="none" w:sz="0" w:space="0" w:color="auto"/>
          </w:divBdr>
        </w:div>
        <w:div w:id="2095659868">
          <w:marLeft w:val="480"/>
          <w:marRight w:val="0"/>
          <w:marTop w:val="0"/>
          <w:marBottom w:val="0"/>
          <w:divBdr>
            <w:top w:val="none" w:sz="0" w:space="0" w:color="auto"/>
            <w:left w:val="none" w:sz="0" w:space="0" w:color="auto"/>
            <w:bottom w:val="none" w:sz="0" w:space="0" w:color="auto"/>
            <w:right w:val="none" w:sz="0" w:space="0" w:color="auto"/>
          </w:divBdr>
        </w:div>
        <w:div w:id="1237664976">
          <w:marLeft w:val="480"/>
          <w:marRight w:val="0"/>
          <w:marTop w:val="0"/>
          <w:marBottom w:val="0"/>
          <w:divBdr>
            <w:top w:val="none" w:sz="0" w:space="0" w:color="auto"/>
            <w:left w:val="none" w:sz="0" w:space="0" w:color="auto"/>
            <w:bottom w:val="none" w:sz="0" w:space="0" w:color="auto"/>
            <w:right w:val="none" w:sz="0" w:space="0" w:color="auto"/>
          </w:divBdr>
        </w:div>
        <w:div w:id="1922714463">
          <w:marLeft w:val="480"/>
          <w:marRight w:val="0"/>
          <w:marTop w:val="0"/>
          <w:marBottom w:val="0"/>
          <w:divBdr>
            <w:top w:val="none" w:sz="0" w:space="0" w:color="auto"/>
            <w:left w:val="none" w:sz="0" w:space="0" w:color="auto"/>
            <w:bottom w:val="none" w:sz="0" w:space="0" w:color="auto"/>
            <w:right w:val="none" w:sz="0" w:space="0" w:color="auto"/>
          </w:divBdr>
        </w:div>
        <w:div w:id="2074574795">
          <w:marLeft w:val="480"/>
          <w:marRight w:val="0"/>
          <w:marTop w:val="0"/>
          <w:marBottom w:val="0"/>
          <w:divBdr>
            <w:top w:val="none" w:sz="0" w:space="0" w:color="auto"/>
            <w:left w:val="none" w:sz="0" w:space="0" w:color="auto"/>
            <w:bottom w:val="none" w:sz="0" w:space="0" w:color="auto"/>
            <w:right w:val="none" w:sz="0" w:space="0" w:color="auto"/>
          </w:divBdr>
        </w:div>
        <w:div w:id="1968929885">
          <w:marLeft w:val="480"/>
          <w:marRight w:val="0"/>
          <w:marTop w:val="0"/>
          <w:marBottom w:val="0"/>
          <w:divBdr>
            <w:top w:val="none" w:sz="0" w:space="0" w:color="auto"/>
            <w:left w:val="none" w:sz="0" w:space="0" w:color="auto"/>
            <w:bottom w:val="none" w:sz="0" w:space="0" w:color="auto"/>
            <w:right w:val="none" w:sz="0" w:space="0" w:color="auto"/>
          </w:divBdr>
        </w:div>
        <w:div w:id="1977368276">
          <w:marLeft w:val="480"/>
          <w:marRight w:val="0"/>
          <w:marTop w:val="0"/>
          <w:marBottom w:val="0"/>
          <w:divBdr>
            <w:top w:val="none" w:sz="0" w:space="0" w:color="auto"/>
            <w:left w:val="none" w:sz="0" w:space="0" w:color="auto"/>
            <w:bottom w:val="none" w:sz="0" w:space="0" w:color="auto"/>
            <w:right w:val="none" w:sz="0" w:space="0" w:color="auto"/>
          </w:divBdr>
        </w:div>
        <w:div w:id="1434009039">
          <w:marLeft w:val="480"/>
          <w:marRight w:val="0"/>
          <w:marTop w:val="0"/>
          <w:marBottom w:val="0"/>
          <w:divBdr>
            <w:top w:val="none" w:sz="0" w:space="0" w:color="auto"/>
            <w:left w:val="none" w:sz="0" w:space="0" w:color="auto"/>
            <w:bottom w:val="none" w:sz="0" w:space="0" w:color="auto"/>
            <w:right w:val="none" w:sz="0" w:space="0" w:color="auto"/>
          </w:divBdr>
        </w:div>
        <w:div w:id="341471667">
          <w:marLeft w:val="480"/>
          <w:marRight w:val="0"/>
          <w:marTop w:val="0"/>
          <w:marBottom w:val="0"/>
          <w:divBdr>
            <w:top w:val="none" w:sz="0" w:space="0" w:color="auto"/>
            <w:left w:val="none" w:sz="0" w:space="0" w:color="auto"/>
            <w:bottom w:val="none" w:sz="0" w:space="0" w:color="auto"/>
            <w:right w:val="none" w:sz="0" w:space="0" w:color="auto"/>
          </w:divBdr>
        </w:div>
        <w:div w:id="340015747">
          <w:marLeft w:val="480"/>
          <w:marRight w:val="0"/>
          <w:marTop w:val="0"/>
          <w:marBottom w:val="0"/>
          <w:divBdr>
            <w:top w:val="none" w:sz="0" w:space="0" w:color="auto"/>
            <w:left w:val="none" w:sz="0" w:space="0" w:color="auto"/>
            <w:bottom w:val="none" w:sz="0" w:space="0" w:color="auto"/>
            <w:right w:val="none" w:sz="0" w:space="0" w:color="auto"/>
          </w:divBdr>
        </w:div>
        <w:div w:id="514803194">
          <w:marLeft w:val="480"/>
          <w:marRight w:val="0"/>
          <w:marTop w:val="0"/>
          <w:marBottom w:val="0"/>
          <w:divBdr>
            <w:top w:val="none" w:sz="0" w:space="0" w:color="auto"/>
            <w:left w:val="none" w:sz="0" w:space="0" w:color="auto"/>
            <w:bottom w:val="none" w:sz="0" w:space="0" w:color="auto"/>
            <w:right w:val="none" w:sz="0" w:space="0" w:color="auto"/>
          </w:divBdr>
        </w:div>
        <w:div w:id="1920630663">
          <w:marLeft w:val="480"/>
          <w:marRight w:val="0"/>
          <w:marTop w:val="0"/>
          <w:marBottom w:val="0"/>
          <w:divBdr>
            <w:top w:val="none" w:sz="0" w:space="0" w:color="auto"/>
            <w:left w:val="none" w:sz="0" w:space="0" w:color="auto"/>
            <w:bottom w:val="none" w:sz="0" w:space="0" w:color="auto"/>
            <w:right w:val="none" w:sz="0" w:space="0" w:color="auto"/>
          </w:divBdr>
        </w:div>
        <w:div w:id="20084862">
          <w:marLeft w:val="480"/>
          <w:marRight w:val="0"/>
          <w:marTop w:val="0"/>
          <w:marBottom w:val="0"/>
          <w:divBdr>
            <w:top w:val="none" w:sz="0" w:space="0" w:color="auto"/>
            <w:left w:val="none" w:sz="0" w:space="0" w:color="auto"/>
            <w:bottom w:val="none" w:sz="0" w:space="0" w:color="auto"/>
            <w:right w:val="none" w:sz="0" w:space="0" w:color="auto"/>
          </w:divBdr>
        </w:div>
        <w:div w:id="1633944558">
          <w:marLeft w:val="480"/>
          <w:marRight w:val="0"/>
          <w:marTop w:val="0"/>
          <w:marBottom w:val="0"/>
          <w:divBdr>
            <w:top w:val="none" w:sz="0" w:space="0" w:color="auto"/>
            <w:left w:val="none" w:sz="0" w:space="0" w:color="auto"/>
            <w:bottom w:val="none" w:sz="0" w:space="0" w:color="auto"/>
            <w:right w:val="none" w:sz="0" w:space="0" w:color="auto"/>
          </w:divBdr>
        </w:div>
        <w:div w:id="1445617638">
          <w:marLeft w:val="480"/>
          <w:marRight w:val="0"/>
          <w:marTop w:val="0"/>
          <w:marBottom w:val="0"/>
          <w:divBdr>
            <w:top w:val="none" w:sz="0" w:space="0" w:color="auto"/>
            <w:left w:val="none" w:sz="0" w:space="0" w:color="auto"/>
            <w:bottom w:val="none" w:sz="0" w:space="0" w:color="auto"/>
            <w:right w:val="none" w:sz="0" w:space="0" w:color="auto"/>
          </w:divBdr>
        </w:div>
        <w:div w:id="252862588">
          <w:marLeft w:val="480"/>
          <w:marRight w:val="0"/>
          <w:marTop w:val="0"/>
          <w:marBottom w:val="0"/>
          <w:divBdr>
            <w:top w:val="none" w:sz="0" w:space="0" w:color="auto"/>
            <w:left w:val="none" w:sz="0" w:space="0" w:color="auto"/>
            <w:bottom w:val="none" w:sz="0" w:space="0" w:color="auto"/>
            <w:right w:val="none" w:sz="0" w:space="0" w:color="auto"/>
          </w:divBdr>
        </w:div>
        <w:div w:id="362092309">
          <w:marLeft w:val="480"/>
          <w:marRight w:val="0"/>
          <w:marTop w:val="0"/>
          <w:marBottom w:val="0"/>
          <w:divBdr>
            <w:top w:val="none" w:sz="0" w:space="0" w:color="auto"/>
            <w:left w:val="none" w:sz="0" w:space="0" w:color="auto"/>
            <w:bottom w:val="none" w:sz="0" w:space="0" w:color="auto"/>
            <w:right w:val="none" w:sz="0" w:space="0" w:color="auto"/>
          </w:divBdr>
        </w:div>
        <w:div w:id="1097091207">
          <w:marLeft w:val="480"/>
          <w:marRight w:val="0"/>
          <w:marTop w:val="0"/>
          <w:marBottom w:val="0"/>
          <w:divBdr>
            <w:top w:val="none" w:sz="0" w:space="0" w:color="auto"/>
            <w:left w:val="none" w:sz="0" w:space="0" w:color="auto"/>
            <w:bottom w:val="none" w:sz="0" w:space="0" w:color="auto"/>
            <w:right w:val="none" w:sz="0" w:space="0" w:color="auto"/>
          </w:divBdr>
        </w:div>
        <w:div w:id="191771489">
          <w:marLeft w:val="480"/>
          <w:marRight w:val="0"/>
          <w:marTop w:val="0"/>
          <w:marBottom w:val="0"/>
          <w:divBdr>
            <w:top w:val="none" w:sz="0" w:space="0" w:color="auto"/>
            <w:left w:val="none" w:sz="0" w:space="0" w:color="auto"/>
            <w:bottom w:val="none" w:sz="0" w:space="0" w:color="auto"/>
            <w:right w:val="none" w:sz="0" w:space="0" w:color="auto"/>
          </w:divBdr>
        </w:div>
        <w:div w:id="831721771">
          <w:marLeft w:val="480"/>
          <w:marRight w:val="0"/>
          <w:marTop w:val="0"/>
          <w:marBottom w:val="0"/>
          <w:divBdr>
            <w:top w:val="none" w:sz="0" w:space="0" w:color="auto"/>
            <w:left w:val="none" w:sz="0" w:space="0" w:color="auto"/>
            <w:bottom w:val="none" w:sz="0" w:space="0" w:color="auto"/>
            <w:right w:val="none" w:sz="0" w:space="0" w:color="auto"/>
          </w:divBdr>
        </w:div>
        <w:div w:id="1017195677">
          <w:marLeft w:val="480"/>
          <w:marRight w:val="0"/>
          <w:marTop w:val="0"/>
          <w:marBottom w:val="0"/>
          <w:divBdr>
            <w:top w:val="none" w:sz="0" w:space="0" w:color="auto"/>
            <w:left w:val="none" w:sz="0" w:space="0" w:color="auto"/>
            <w:bottom w:val="none" w:sz="0" w:space="0" w:color="auto"/>
            <w:right w:val="none" w:sz="0" w:space="0" w:color="auto"/>
          </w:divBdr>
        </w:div>
        <w:div w:id="441000205">
          <w:marLeft w:val="480"/>
          <w:marRight w:val="0"/>
          <w:marTop w:val="0"/>
          <w:marBottom w:val="0"/>
          <w:divBdr>
            <w:top w:val="none" w:sz="0" w:space="0" w:color="auto"/>
            <w:left w:val="none" w:sz="0" w:space="0" w:color="auto"/>
            <w:bottom w:val="none" w:sz="0" w:space="0" w:color="auto"/>
            <w:right w:val="none" w:sz="0" w:space="0" w:color="auto"/>
          </w:divBdr>
        </w:div>
        <w:div w:id="947614992">
          <w:marLeft w:val="480"/>
          <w:marRight w:val="0"/>
          <w:marTop w:val="0"/>
          <w:marBottom w:val="0"/>
          <w:divBdr>
            <w:top w:val="none" w:sz="0" w:space="0" w:color="auto"/>
            <w:left w:val="none" w:sz="0" w:space="0" w:color="auto"/>
            <w:bottom w:val="none" w:sz="0" w:space="0" w:color="auto"/>
            <w:right w:val="none" w:sz="0" w:space="0" w:color="auto"/>
          </w:divBdr>
        </w:div>
        <w:div w:id="758718635">
          <w:marLeft w:val="480"/>
          <w:marRight w:val="0"/>
          <w:marTop w:val="0"/>
          <w:marBottom w:val="0"/>
          <w:divBdr>
            <w:top w:val="none" w:sz="0" w:space="0" w:color="auto"/>
            <w:left w:val="none" w:sz="0" w:space="0" w:color="auto"/>
            <w:bottom w:val="none" w:sz="0" w:space="0" w:color="auto"/>
            <w:right w:val="none" w:sz="0" w:space="0" w:color="auto"/>
          </w:divBdr>
        </w:div>
        <w:div w:id="178545485">
          <w:marLeft w:val="480"/>
          <w:marRight w:val="0"/>
          <w:marTop w:val="0"/>
          <w:marBottom w:val="0"/>
          <w:divBdr>
            <w:top w:val="none" w:sz="0" w:space="0" w:color="auto"/>
            <w:left w:val="none" w:sz="0" w:space="0" w:color="auto"/>
            <w:bottom w:val="none" w:sz="0" w:space="0" w:color="auto"/>
            <w:right w:val="none" w:sz="0" w:space="0" w:color="auto"/>
          </w:divBdr>
        </w:div>
        <w:div w:id="1243760438">
          <w:marLeft w:val="480"/>
          <w:marRight w:val="0"/>
          <w:marTop w:val="0"/>
          <w:marBottom w:val="0"/>
          <w:divBdr>
            <w:top w:val="none" w:sz="0" w:space="0" w:color="auto"/>
            <w:left w:val="none" w:sz="0" w:space="0" w:color="auto"/>
            <w:bottom w:val="none" w:sz="0" w:space="0" w:color="auto"/>
            <w:right w:val="none" w:sz="0" w:space="0" w:color="auto"/>
          </w:divBdr>
        </w:div>
        <w:div w:id="903759537">
          <w:marLeft w:val="480"/>
          <w:marRight w:val="0"/>
          <w:marTop w:val="0"/>
          <w:marBottom w:val="0"/>
          <w:divBdr>
            <w:top w:val="none" w:sz="0" w:space="0" w:color="auto"/>
            <w:left w:val="none" w:sz="0" w:space="0" w:color="auto"/>
            <w:bottom w:val="none" w:sz="0" w:space="0" w:color="auto"/>
            <w:right w:val="none" w:sz="0" w:space="0" w:color="auto"/>
          </w:divBdr>
        </w:div>
        <w:div w:id="1246649186">
          <w:marLeft w:val="480"/>
          <w:marRight w:val="0"/>
          <w:marTop w:val="0"/>
          <w:marBottom w:val="0"/>
          <w:divBdr>
            <w:top w:val="none" w:sz="0" w:space="0" w:color="auto"/>
            <w:left w:val="none" w:sz="0" w:space="0" w:color="auto"/>
            <w:bottom w:val="none" w:sz="0" w:space="0" w:color="auto"/>
            <w:right w:val="none" w:sz="0" w:space="0" w:color="auto"/>
          </w:divBdr>
        </w:div>
        <w:div w:id="1407992746">
          <w:marLeft w:val="480"/>
          <w:marRight w:val="0"/>
          <w:marTop w:val="0"/>
          <w:marBottom w:val="0"/>
          <w:divBdr>
            <w:top w:val="none" w:sz="0" w:space="0" w:color="auto"/>
            <w:left w:val="none" w:sz="0" w:space="0" w:color="auto"/>
            <w:bottom w:val="none" w:sz="0" w:space="0" w:color="auto"/>
            <w:right w:val="none" w:sz="0" w:space="0" w:color="auto"/>
          </w:divBdr>
        </w:div>
        <w:div w:id="1231696624">
          <w:marLeft w:val="480"/>
          <w:marRight w:val="0"/>
          <w:marTop w:val="0"/>
          <w:marBottom w:val="0"/>
          <w:divBdr>
            <w:top w:val="none" w:sz="0" w:space="0" w:color="auto"/>
            <w:left w:val="none" w:sz="0" w:space="0" w:color="auto"/>
            <w:bottom w:val="none" w:sz="0" w:space="0" w:color="auto"/>
            <w:right w:val="none" w:sz="0" w:space="0" w:color="auto"/>
          </w:divBdr>
        </w:div>
        <w:div w:id="1527139131">
          <w:marLeft w:val="480"/>
          <w:marRight w:val="0"/>
          <w:marTop w:val="0"/>
          <w:marBottom w:val="0"/>
          <w:divBdr>
            <w:top w:val="none" w:sz="0" w:space="0" w:color="auto"/>
            <w:left w:val="none" w:sz="0" w:space="0" w:color="auto"/>
            <w:bottom w:val="none" w:sz="0" w:space="0" w:color="auto"/>
            <w:right w:val="none" w:sz="0" w:space="0" w:color="auto"/>
          </w:divBdr>
        </w:div>
        <w:div w:id="158081964">
          <w:marLeft w:val="480"/>
          <w:marRight w:val="0"/>
          <w:marTop w:val="0"/>
          <w:marBottom w:val="0"/>
          <w:divBdr>
            <w:top w:val="none" w:sz="0" w:space="0" w:color="auto"/>
            <w:left w:val="none" w:sz="0" w:space="0" w:color="auto"/>
            <w:bottom w:val="none" w:sz="0" w:space="0" w:color="auto"/>
            <w:right w:val="none" w:sz="0" w:space="0" w:color="auto"/>
          </w:divBdr>
        </w:div>
        <w:div w:id="441386243">
          <w:marLeft w:val="480"/>
          <w:marRight w:val="0"/>
          <w:marTop w:val="0"/>
          <w:marBottom w:val="0"/>
          <w:divBdr>
            <w:top w:val="none" w:sz="0" w:space="0" w:color="auto"/>
            <w:left w:val="none" w:sz="0" w:space="0" w:color="auto"/>
            <w:bottom w:val="none" w:sz="0" w:space="0" w:color="auto"/>
            <w:right w:val="none" w:sz="0" w:space="0" w:color="auto"/>
          </w:divBdr>
        </w:div>
        <w:div w:id="1400136329">
          <w:marLeft w:val="480"/>
          <w:marRight w:val="0"/>
          <w:marTop w:val="0"/>
          <w:marBottom w:val="0"/>
          <w:divBdr>
            <w:top w:val="none" w:sz="0" w:space="0" w:color="auto"/>
            <w:left w:val="none" w:sz="0" w:space="0" w:color="auto"/>
            <w:bottom w:val="none" w:sz="0" w:space="0" w:color="auto"/>
            <w:right w:val="none" w:sz="0" w:space="0" w:color="auto"/>
          </w:divBdr>
        </w:div>
        <w:div w:id="1423602777">
          <w:marLeft w:val="480"/>
          <w:marRight w:val="0"/>
          <w:marTop w:val="0"/>
          <w:marBottom w:val="0"/>
          <w:divBdr>
            <w:top w:val="none" w:sz="0" w:space="0" w:color="auto"/>
            <w:left w:val="none" w:sz="0" w:space="0" w:color="auto"/>
            <w:bottom w:val="none" w:sz="0" w:space="0" w:color="auto"/>
            <w:right w:val="none" w:sz="0" w:space="0" w:color="auto"/>
          </w:divBdr>
        </w:div>
        <w:div w:id="1138499775">
          <w:marLeft w:val="480"/>
          <w:marRight w:val="0"/>
          <w:marTop w:val="0"/>
          <w:marBottom w:val="0"/>
          <w:divBdr>
            <w:top w:val="none" w:sz="0" w:space="0" w:color="auto"/>
            <w:left w:val="none" w:sz="0" w:space="0" w:color="auto"/>
            <w:bottom w:val="none" w:sz="0" w:space="0" w:color="auto"/>
            <w:right w:val="none" w:sz="0" w:space="0" w:color="auto"/>
          </w:divBdr>
        </w:div>
        <w:div w:id="834228513">
          <w:marLeft w:val="480"/>
          <w:marRight w:val="0"/>
          <w:marTop w:val="0"/>
          <w:marBottom w:val="0"/>
          <w:divBdr>
            <w:top w:val="none" w:sz="0" w:space="0" w:color="auto"/>
            <w:left w:val="none" w:sz="0" w:space="0" w:color="auto"/>
            <w:bottom w:val="none" w:sz="0" w:space="0" w:color="auto"/>
            <w:right w:val="none" w:sz="0" w:space="0" w:color="auto"/>
          </w:divBdr>
        </w:div>
        <w:div w:id="908350243">
          <w:marLeft w:val="480"/>
          <w:marRight w:val="0"/>
          <w:marTop w:val="0"/>
          <w:marBottom w:val="0"/>
          <w:divBdr>
            <w:top w:val="none" w:sz="0" w:space="0" w:color="auto"/>
            <w:left w:val="none" w:sz="0" w:space="0" w:color="auto"/>
            <w:bottom w:val="none" w:sz="0" w:space="0" w:color="auto"/>
            <w:right w:val="none" w:sz="0" w:space="0" w:color="auto"/>
          </w:divBdr>
        </w:div>
        <w:div w:id="548036166">
          <w:marLeft w:val="480"/>
          <w:marRight w:val="0"/>
          <w:marTop w:val="0"/>
          <w:marBottom w:val="0"/>
          <w:divBdr>
            <w:top w:val="none" w:sz="0" w:space="0" w:color="auto"/>
            <w:left w:val="none" w:sz="0" w:space="0" w:color="auto"/>
            <w:bottom w:val="none" w:sz="0" w:space="0" w:color="auto"/>
            <w:right w:val="none" w:sz="0" w:space="0" w:color="auto"/>
          </w:divBdr>
        </w:div>
        <w:div w:id="492255939">
          <w:marLeft w:val="480"/>
          <w:marRight w:val="0"/>
          <w:marTop w:val="0"/>
          <w:marBottom w:val="0"/>
          <w:divBdr>
            <w:top w:val="none" w:sz="0" w:space="0" w:color="auto"/>
            <w:left w:val="none" w:sz="0" w:space="0" w:color="auto"/>
            <w:bottom w:val="none" w:sz="0" w:space="0" w:color="auto"/>
            <w:right w:val="none" w:sz="0" w:space="0" w:color="auto"/>
          </w:divBdr>
        </w:div>
        <w:div w:id="1879469312">
          <w:marLeft w:val="480"/>
          <w:marRight w:val="0"/>
          <w:marTop w:val="0"/>
          <w:marBottom w:val="0"/>
          <w:divBdr>
            <w:top w:val="none" w:sz="0" w:space="0" w:color="auto"/>
            <w:left w:val="none" w:sz="0" w:space="0" w:color="auto"/>
            <w:bottom w:val="none" w:sz="0" w:space="0" w:color="auto"/>
            <w:right w:val="none" w:sz="0" w:space="0" w:color="auto"/>
          </w:divBdr>
        </w:div>
        <w:div w:id="723598411">
          <w:marLeft w:val="480"/>
          <w:marRight w:val="0"/>
          <w:marTop w:val="0"/>
          <w:marBottom w:val="0"/>
          <w:divBdr>
            <w:top w:val="none" w:sz="0" w:space="0" w:color="auto"/>
            <w:left w:val="none" w:sz="0" w:space="0" w:color="auto"/>
            <w:bottom w:val="none" w:sz="0" w:space="0" w:color="auto"/>
            <w:right w:val="none" w:sz="0" w:space="0" w:color="auto"/>
          </w:divBdr>
        </w:div>
        <w:div w:id="1408459674">
          <w:marLeft w:val="480"/>
          <w:marRight w:val="0"/>
          <w:marTop w:val="0"/>
          <w:marBottom w:val="0"/>
          <w:divBdr>
            <w:top w:val="none" w:sz="0" w:space="0" w:color="auto"/>
            <w:left w:val="none" w:sz="0" w:space="0" w:color="auto"/>
            <w:bottom w:val="none" w:sz="0" w:space="0" w:color="auto"/>
            <w:right w:val="none" w:sz="0" w:space="0" w:color="auto"/>
          </w:divBdr>
        </w:div>
        <w:div w:id="1259634416">
          <w:marLeft w:val="480"/>
          <w:marRight w:val="0"/>
          <w:marTop w:val="0"/>
          <w:marBottom w:val="0"/>
          <w:divBdr>
            <w:top w:val="none" w:sz="0" w:space="0" w:color="auto"/>
            <w:left w:val="none" w:sz="0" w:space="0" w:color="auto"/>
            <w:bottom w:val="none" w:sz="0" w:space="0" w:color="auto"/>
            <w:right w:val="none" w:sz="0" w:space="0" w:color="auto"/>
          </w:divBdr>
        </w:div>
        <w:div w:id="1394546542">
          <w:marLeft w:val="480"/>
          <w:marRight w:val="0"/>
          <w:marTop w:val="0"/>
          <w:marBottom w:val="0"/>
          <w:divBdr>
            <w:top w:val="none" w:sz="0" w:space="0" w:color="auto"/>
            <w:left w:val="none" w:sz="0" w:space="0" w:color="auto"/>
            <w:bottom w:val="none" w:sz="0" w:space="0" w:color="auto"/>
            <w:right w:val="none" w:sz="0" w:space="0" w:color="auto"/>
          </w:divBdr>
        </w:div>
        <w:div w:id="364214060">
          <w:marLeft w:val="480"/>
          <w:marRight w:val="0"/>
          <w:marTop w:val="0"/>
          <w:marBottom w:val="0"/>
          <w:divBdr>
            <w:top w:val="none" w:sz="0" w:space="0" w:color="auto"/>
            <w:left w:val="none" w:sz="0" w:space="0" w:color="auto"/>
            <w:bottom w:val="none" w:sz="0" w:space="0" w:color="auto"/>
            <w:right w:val="none" w:sz="0" w:space="0" w:color="auto"/>
          </w:divBdr>
        </w:div>
        <w:div w:id="1126853924">
          <w:marLeft w:val="480"/>
          <w:marRight w:val="0"/>
          <w:marTop w:val="0"/>
          <w:marBottom w:val="0"/>
          <w:divBdr>
            <w:top w:val="none" w:sz="0" w:space="0" w:color="auto"/>
            <w:left w:val="none" w:sz="0" w:space="0" w:color="auto"/>
            <w:bottom w:val="none" w:sz="0" w:space="0" w:color="auto"/>
            <w:right w:val="none" w:sz="0" w:space="0" w:color="auto"/>
          </w:divBdr>
        </w:div>
        <w:div w:id="1624848439">
          <w:marLeft w:val="480"/>
          <w:marRight w:val="0"/>
          <w:marTop w:val="0"/>
          <w:marBottom w:val="0"/>
          <w:divBdr>
            <w:top w:val="none" w:sz="0" w:space="0" w:color="auto"/>
            <w:left w:val="none" w:sz="0" w:space="0" w:color="auto"/>
            <w:bottom w:val="none" w:sz="0" w:space="0" w:color="auto"/>
            <w:right w:val="none" w:sz="0" w:space="0" w:color="auto"/>
          </w:divBdr>
        </w:div>
        <w:div w:id="665479871">
          <w:marLeft w:val="480"/>
          <w:marRight w:val="0"/>
          <w:marTop w:val="0"/>
          <w:marBottom w:val="0"/>
          <w:divBdr>
            <w:top w:val="none" w:sz="0" w:space="0" w:color="auto"/>
            <w:left w:val="none" w:sz="0" w:space="0" w:color="auto"/>
            <w:bottom w:val="none" w:sz="0" w:space="0" w:color="auto"/>
            <w:right w:val="none" w:sz="0" w:space="0" w:color="auto"/>
          </w:divBdr>
        </w:div>
        <w:div w:id="1478840843">
          <w:marLeft w:val="480"/>
          <w:marRight w:val="0"/>
          <w:marTop w:val="0"/>
          <w:marBottom w:val="0"/>
          <w:divBdr>
            <w:top w:val="none" w:sz="0" w:space="0" w:color="auto"/>
            <w:left w:val="none" w:sz="0" w:space="0" w:color="auto"/>
            <w:bottom w:val="none" w:sz="0" w:space="0" w:color="auto"/>
            <w:right w:val="none" w:sz="0" w:space="0" w:color="auto"/>
          </w:divBdr>
        </w:div>
        <w:div w:id="1920946005">
          <w:marLeft w:val="480"/>
          <w:marRight w:val="0"/>
          <w:marTop w:val="0"/>
          <w:marBottom w:val="0"/>
          <w:divBdr>
            <w:top w:val="none" w:sz="0" w:space="0" w:color="auto"/>
            <w:left w:val="none" w:sz="0" w:space="0" w:color="auto"/>
            <w:bottom w:val="none" w:sz="0" w:space="0" w:color="auto"/>
            <w:right w:val="none" w:sz="0" w:space="0" w:color="auto"/>
          </w:divBdr>
        </w:div>
        <w:div w:id="1826316607">
          <w:marLeft w:val="480"/>
          <w:marRight w:val="0"/>
          <w:marTop w:val="0"/>
          <w:marBottom w:val="0"/>
          <w:divBdr>
            <w:top w:val="none" w:sz="0" w:space="0" w:color="auto"/>
            <w:left w:val="none" w:sz="0" w:space="0" w:color="auto"/>
            <w:bottom w:val="none" w:sz="0" w:space="0" w:color="auto"/>
            <w:right w:val="none" w:sz="0" w:space="0" w:color="auto"/>
          </w:divBdr>
        </w:div>
        <w:div w:id="803474526">
          <w:marLeft w:val="480"/>
          <w:marRight w:val="0"/>
          <w:marTop w:val="0"/>
          <w:marBottom w:val="0"/>
          <w:divBdr>
            <w:top w:val="none" w:sz="0" w:space="0" w:color="auto"/>
            <w:left w:val="none" w:sz="0" w:space="0" w:color="auto"/>
            <w:bottom w:val="none" w:sz="0" w:space="0" w:color="auto"/>
            <w:right w:val="none" w:sz="0" w:space="0" w:color="auto"/>
          </w:divBdr>
        </w:div>
        <w:div w:id="715466187">
          <w:marLeft w:val="480"/>
          <w:marRight w:val="0"/>
          <w:marTop w:val="0"/>
          <w:marBottom w:val="0"/>
          <w:divBdr>
            <w:top w:val="none" w:sz="0" w:space="0" w:color="auto"/>
            <w:left w:val="none" w:sz="0" w:space="0" w:color="auto"/>
            <w:bottom w:val="none" w:sz="0" w:space="0" w:color="auto"/>
            <w:right w:val="none" w:sz="0" w:space="0" w:color="auto"/>
          </w:divBdr>
        </w:div>
        <w:div w:id="2089423045">
          <w:marLeft w:val="480"/>
          <w:marRight w:val="0"/>
          <w:marTop w:val="0"/>
          <w:marBottom w:val="0"/>
          <w:divBdr>
            <w:top w:val="none" w:sz="0" w:space="0" w:color="auto"/>
            <w:left w:val="none" w:sz="0" w:space="0" w:color="auto"/>
            <w:bottom w:val="none" w:sz="0" w:space="0" w:color="auto"/>
            <w:right w:val="none" w:sz="0" w:space="0" w:color="auto"/>
          </w:divBdr>
        </w:div>
        <w:div w:id="2103719667">
          <w:marLeft w:val="480"/>
          <w:marRight w:val="0"/>
          <w:marTop w:val="0"/>
          <w:marBottom w:val="0"/>
          <w:divBdr>
            <w:top w:val="none" w:sz="0" w:space="0" w:color="auto"/>
            <w:left w:val="none" w:sz="0" w:space="0" w:color="auto"/>
            <w:bottom w:val="none" w:sz="0" w:space="0" w:color="auto"/>
            <w:right w:val="none" w:sz="0" w:space="0" w:color="auto"/>
          </w:divBdr>
        </w:div>
        <w:div w:id="359209541">
          <w:marLeft w:val="480"/>
          <w:marRight w:val="0"/>
          <w:marTop w:val="0"/>
          <w:marBottom w:val="0"/>
          <w:divBdr>
            <w:top w:val="none" w:sz="0" w:space="0" w:color="auto"/>
            <w:left w:val="none" w:sz="0" w:space="0" w:color="auto"/>
            <w:bottom w:val="none" w:sz="0" w:space="0" w:color="auto"/>
            <w:right w:val="none" w:sz="0" w:space="0" w:color="auto"/>
          </w:divBdr>
        </w:div>
        <w:div w:id="1904631632">
          <w:marLeft w:val="480"/>
          <w:marRight w:val="0"/>
          <w:marTop w:val="0"/>
          <w:marBottom w:val="0"/>
          <w:divBdr>
            <w:top w:val="none" w:sz="0" w:space="0" w:color="auto"/>
            <w:left w:val="none" w:sz="0" w:space="0" w:color="auto"/>
            <w:bottom w:val="none" w:sz="0" w:space="0" w:color="auto"/>
            <w:right w:val="none" w:sz="0" w:space="0" w:color="auto"/>
          </w:divBdr>
        </w:div>
        <w:div w:id="332923784">
          <w:marLeft w:val="480"/>
          <w:marRight w:val="0"/>
          <w:marTop w:val="0"/>
          <w:marBottom w:val="0"/>
          <w:divBdr>
            <w:top w:val="none" w:sz="0" w:space="0" w:color="auto"/>
            <w:left w:val="none" w:sz="0" w:space="0" w:color="auto"/>
            <w:bottom w:val="none" w:sz="0" w:space="0" w:color="auto"/>
            <w:right w:val="none" w:sz="0" w:space="0" w:color="auto"/>
          </w:divBdr>
        </w:div>
        <w:div w:id="1155759372">
          <w:marLeft w:val="480"/>
          <w:marRight w:val="0"/>
          <w:marTop w:val="0"/>
          <w:marBottom w:val="0"/>
          <w:divBdr>
            <w:top w:val="none" w:sz="0" w:space="0" w:color="auto"/>
            <w:left w:val="none" w:sz="0" w:space="0" w:color="auto"/>
            <w:bottom w:val="none" w:sz="0" w:space="0" w:color="auto"/>
            <w:right w:val="none" w:sz="0" w:space="0" w:color="auto"/>
          </w:divBdr>
        </w:div>
        <w:div w:id="1567640077">
          <w:marLeft w:val="480"/>
          <w:marRight w:val="0"/>
          <w:marTop w:val="0"/>
          <w:marBottom w:val="0"/>
          <w:divBdr>
            <w:top w:val="none" w:sz="0" w:space="0" w:color="auto"/>
            <w:left w:val="none" w:sz="0" w:space="0" w:color="auto"/>
            <w:bottom w:val="none" w:sz="0" w:space="0" w:color="auto"/>
            <w:right w:val="none" w:sz="0" w:space="0" w:color="auto"/>
          </w:divBdr>
        </w:div>
        <w:div w:id="1310014133">
          <w:marLeft w:val="480"/>
          <w:marRight w:val="0"/>
          <w:marTop w:val="0"/>
          <w:marBottom w:val="0"/>
          <w:divBdr>
            <w:top w:val="none" w:sz="0" w:space="0" w:color="auto"/>
            <w:left w:val="none" w:sz="0" w:space="0" w:color="auto"/>
            <w:bottom w:val="none" w:sz="0" w:space="0" w:color="auto"/>
            <w:right w:val="none" w:sz="0" w:space="0" w:color="auto"/>
          </w:divBdr>
        </w:div>
        <w:div w:id="921373738">
          <w:marLeft w:val="480"/>
          <w:marRight w:val="0"/>
          <w:marTop w:val="0"/>
          <w:marBottom w:val="0"/>
          <w:divBdr>
            <w:top w:val="none" w:sz="0" w:space="0" w:color="auto"/>
            <w:left w:val="none" w:sz="0" w:space="0" w:color="auto"/>
            <w:bottom w:val="none" w:sz="0" w:space="0" w:color="auto"/>
            <w:right w:val="none" w:sz="0" w:space="0" w:color="auto"/>
          </w:divBdr>
        </w:div>
        <w:div w:id="121194825">
          <w:marLeft w:val="480"/>
          <w:marRight w:val="0"/>
          <w:marTop w:val="0"/>
          <w:marBottom w:val="0"/>
          <w:divBdr>
            <w:top w:val="none" w:sz="0" w:space="0" w:color="auto"/>
            <w:left w:val="none" w:sz="0" w:space="0" w:color="auto"/>
            <w:bottom w:val="none" w:sz="0" w:space="0" w:color="auto"/>
            <w:right w:val="none" w:sz="0" w:space="0" w:color="auto"/>
          </w:divBdr>
        </w:div>
        <w:div w:id="1919628614">
          <w:marLeft w:val="480"/>
          <w:marRight w:val="0"/>
          <w:marTop w:val="0"/>
          <w:marBottom w:val="0"/>
          <w:divBdr>
            <w:top w:val="none" w:sz="0" w:space="0" w:color="auto"/>
            <w:left w:val="none" w:sz="0" w:space="0" w:color="auto"/>
            <w:bottom w:val="none" w:sz="0" w:space="0" w:color="auto"/>
            <w:right w:val="none" w:sz="0" w:space="0" w:color="auto"/>
          </w:divBdr>
        </w:div>
        <w:div w:id="984898748">
          <w:marLeft w:val="480"/>
          <w:marRight w:val="0"/>
          <w:marTop w:val="0"/>
          <w:marBottom w:val="0"/>
          <w:divBdr>
            <w:top w:val="none" w:sz="0" w:space="0" w:color="auto"/>
            <w:left w:val="none" w:sz="0" w:space="0" w:color="auto"/>
            <w:bottom w:val="none" w:sz="0" w:space="0" w:color="auto"/>
            <w:right w:val="none" w:sz="0" w:space="0" w:color="auto"/>
          </w:divBdr>
        </w:div>
        <w:div w:id="1023364100">
          <w:marLeft w:val="480"/>
          <w:marRight w:val="0"/>
          <w:marTop w:val="0"/>
          <w:marBottom w:val="0"/>
          <w:divBdr>
            <w:top w:val="none" w:sz="0" w:space="0" w:color="auto"/>
            <w:left w:val="none" w:sz="0" w:space="0" w:color="auto"/>
            <w:bottom w:val="none" w:sz="0" w:space="0" w:color="auto"/>
            <w:right w:val="none" w:sz="0" w:space="0" w:color="auto"/>
          </w:divBdr>
        </w:div>
        <w:div w:id="285082155">
          <w:marLeft w:val="480"/>
          <w:marRight w:val="0"/>
          <w:marTop w:val="0"/>
          <w:marBottom w:val="0"/>
          <w:divBdr>
            <w:top w:val="none" w:sz="0" w:space="0" w:color="auto"/>
            <w:left w:val="none" w:sz="0" w:space="0" w:color="auto"/>
            <w:bottom w:val="none" w:sz="0" w:space="0" w:color="auto"/>
            <w:right w:val="none" w:sz="0" w:space="0" w:color="auto"/>
          </w:divBdr>
        </w:div>
        <w:div w:id="454296391">
          <w:marLeft w:val="480"/>
          <w:marRight w:val="0"/>
          <w:marTop w:val="0"/>
          <w:marBottom w:val="0"/>
          <w:divBdr>
            <w:top w:val="none" w:sz="0" w:space="0" w:color="auto"/>
            <w:left w:val="none" w:sz="0" w:space="0" w:color="auto"/>
            <w:bottom w:val="none" w:sz="0" w:space="0" w:color="auto"/>
            <w:right w:val="none" w:sz="0" w:space="0" w:color="auto"/>
          </w:divBdr>
        </w:div>
        <w:div w:id="1161191025">
          <w:marLeft w:val="480"/>
          <w:marRight w:val="0"/>
          <w:marTop w:val="0"/>
          <w:marBottom w:val="0"/>
          <w:divBdr>
            <w:top w:val="none" w:sz="0" w:space="0" w:color="auto"/>
            <w:left w:val="none" w:sz="0" w:space="0" w:color="auto"/>
            <w:bottom w:val="none" w:sz="0" w:space="0" w:color="auto"/>
            <w:right w:val="none" w:sz="0" w:space="0" w:color="auto"/>
          </w:divBdr>
        </w:div>
        <w:div w:id="983503817">
          <w:marLeft w:val="480"/>
          <w:marRight w:val="0"/>
          <w:marTop w:val="0"/>
          <w:marBottom w:val="0"/>
          <w:divBdr>
            <w:top w:val="none" w:sz="0" w:space="0" w:color="auto"/>
            <w:left w:val="none" w:sz="0" w:space="0" w:color="auto"/>
            <w:bottom w:val="none" w:sz="0" w:space="0" w:color="auto"/>
            <w:right w:val="none" w:sz="0" w:space="0" w:color="auto"/>
          </w:divBdr>
        </w:div>
        <w:div w:id="971859972">
          <w:marLeft w:val="480"/>
          <w:marRight w:val="0"/>
          <w:marTop w:val="0"/>
          <w:marBottom w:val="0"/>
          <w:divBdr>
            <w:top w:val="none" w:sz="0" w:space="0" w:color="auto"/>
            <w:left w:val="none" w:sz="0" w:space="0" w:color="auto"/>
            <w:bottom w:val="none" w:sz="0" w:space="0" w:color="auto"/>
            <w:right w:val="none" w:sz="0" w:space="0" w:color="auto"/>
          </w:divBdr>
        </w:div>
        <w:div w:id="428352665">
          <w:marLeft w:val="480"/>
          <w:marRight w:val="0"/>
          <w:marTop w:val="0"/>
          <w:marBottom w:val="0"/>
          <w:divBdr>
            <w:top w:val="none" w:sz="0" w:space="0" w:color="auto"/>
            <w:left w:val="none" w:sz="0" w:space="0" w:color="auto"/>
            <w:bottom w:val="none" w:sz="0" w:space="0" w:color="auto"/>
            <w:right w:val="none" w:sz="0" w:space="0" w:color="auto"/>
          </w:divBdr>
        </w:div>
        <w:div w:id="1396006868">
          <w:marLeft w:val="480"/>
          <w:marRight w:val="0"/>
          <w:marTop w:val="0"/>
          <w:marBottom w:val="0"/>
          <w:divBdr>
            <w:top w:val="none" w:sz="0" w:space="0" w:color="auto"/>
            <w:left w:val="none" w:sz="0" w:space="0" w:color="auto"/>
            <w:bottom w:val="none" w:sz="0" w:space="0" w:color="auto"/>
            <w:right w:val="none" w:sz="0" w:space="0" w:color="auto"/>
          </w:divBdr>
        </w:div>
        <w:div w:id="489829192">
          <w:marLeft w:val="480"/>
          <w:marRight w:val="0"/>
          <w:marTop w:val="0"/>
          <w:marBottom w:val="0"/>
          <w:divBdr>
            <w:top w:val="none" w:sz="0" w:space="0" w:color="auto"/>
            <w:left w:val="none" w:sz="0" w:space="0" w:color="auto"/>
            <w:bottom w:val="none" w:sz="0" w:space="0" w:color="auto"/>
            <w:right w:val="none" w:sz="0" w:space="0" w:color="auto"/>
          </w:divBdr>
        </w:div>
        <w:div w:id="745222819">
          <w:marLeft w:val="480"/>
          <w:marRight w:val="0"/>
          <w:marTop w:val="0"/>
          <w:marBottom w:val="0"/>
          <w:divBdr>
            <w:top w:val="none" w:sz="0" w:space="0" w:color="auto"/>
            <w:left w:val="none" w:sz="0" w:space="0" w:color="auto"/>
            <w:bottom w:val="none" w:sz="0" w:space="0" w:color="auto"/>
            <w:right w:val="none" w:sz="0" w:space="0" w:color="auto"/>
          </w:divBdr>
        </w:div>
        <w:div w:id="1718817467">
          <w:marLeft w:val="480"/>
          <w:marRight w:val="0"/>
          <w:marTop w:val="0"/>
          <w:marBottom w:val="0"/>
          <w:divBdr>
            <w:top w:val="none" w:sz="0" w:space="0" w:color="auto"/>
            <w:left w:val="none" w:sz="0" w:space="0" w:color="auto"/>
            <w:bottom w:val="none" w:sz="0" w:space="0" w:color="auto"/>
            <w:right w:val="none" w:sz="0" w:space="0" w:color="auto"/>
          </w:divBdr>
        </w:div>
        <w:div w:id="648948922">
          <w:marLeft w:val="480"/>
          <w:marRight w:val="0"/>
          <w:marTop w:val="0"/>
          <w:marBottom w:val="0"/>
          <w:divBdr>
            <w:top w:val="none" w:sz="0" w:space="0" w:color="auto"/>
            <w:left w:val="none" w:sz="0" w:space="0" w:color="auto"/>
            <w:bottom w:val="none" w:sz="0" w:space="0" w:color="auto"/>
            <w:right w:val="none" w:sz="0" w:space="0" w:color="auto"/>
          </w:divBdr>
        </w:div>
        <w:div w:id="2064794491">
          <w:marLeft w:val="480"/>
          <w:marRight w:val="0"/>
          <w:marTop w:val="0"/>
          <w:marBottom w:val="0"/>
          <w:divBdr>
            <w:top w:val="none" w:sz="0" w:space="0" w:color="auto"/>
            <w:left w:val="none" w:sz="0" w:space="0" w:color="auto"/>
            <w:bottom w:val="none" w:sz="0" w:space="0" w:color="auto"/>
            <w:right w:val="none" w:sz="0" w:space="0" w:color="auto"/>
          </w:divBdr>
        </w:div>
        <w:div w:id="1710765800">
          <w:marLeft w:val="480"/>
          <w:marRight w:val="0"/>
          <w:marTop w:val="0"/>
          <w:marBottom w:val="0"/>
          <w:divBdr>
            <w:top w:val="none" w:sz="0" w:space="0" w:color="auto"/>
            <w:left w:val="none" w:sz="0" w:space="0" w:color="auto"/>
            <w:bottom w:val="none" w:sz="0" w:space="0" w:color="auto"/>
            <w:right w:val="none" w:sz="0" w:space="0" w:color="auto"/>
          </w:divBdr>
        </w:div>
        <w:div w:id="2135055390">
          <w:marLeft w:val="480"/>
          <w:marRight w:val="0"/>
          <w:marTop w:val="0"/>
          <w:marBottom w:val="0"/>
          <w:divBdr>
            <w:top w:val="none" w:sz="0" w:space="0" w:color="auto"/>
            <w:left w:val="none" w:sz="0" w:space="0" w:color="auto"/>
            <w:bottom w:val="none" w:sz="0" w:space="0" w:color="auto"/>
            <w:right w:val="none" w:sz="0" w:space="0" w:color="auto"/>
          </w:divBdr>
        </w:div>
        <w:div w:id="1654219456">
          <w:marLeft w:val="480"/>
          <w:marRight w:val="0"/>
          <w:marTop w:val="0"/>
          <w:marBottom w:val="0"/>
          <w:divBdr>
            <w:top w:val="none" w:sz="0" w:space="0" w:color="auto"/>
            <w:left w:val="none" w:sz="0" w:space="0" w:color="auto"/>
            <w:bottom w:val="none" w:sz="0" w:space="0" w:color="auto"/>
            <w:right w:val="none" w:sz="0" w:space="0" w:color="auto"/>
          </w:divBdr>
        </w:div>
        <w:div w:id="511995312">
          <w:marLeft w:val="480"/>
          <w:marRight w:val="0"/>
          <w:marTop w:val="0"/>
          <w:marBottom w:val="0"/>
          <w:divBdr>
            <w:top w:val="none" w:sz="0" w:space="0" w:color="auto"/>
            <w:left w:val="none" w:sz="0" w:space="0" w:color="auto"/>
            <w:bottom w:val="none" w:sz="0" w:space="0" w:color="auto"/>
            <w:right w:val="none" w:sz="0" w:space="0" w:color="auto"/>
          </w:divBdr>
        </w:div>
        <w:div w:id="173809980">
          <w:marLeft w:val="480"/>
          <w:marRight w:val="0"/>
          <w:marTop w:val="0"/>
          <w:marBottom w:val="0"/>
          <w:divBdr>
            <w:top w:val="none" w:sz="0" w:space="0" w:color="auto"/>
            <w:left w:val="none" w:sz="0" w:space="0" w:color="auto"/>
            <w:bottom w:val="none" w:sz="0" w:space="0" w:color="auto"/>
            <w:right w:val="none" w:sz="0" w:space="0" w:color="auto"/>
          </w:divBdr>
        </w:div>
        <w:div w:id="1537810217">
          <w:marLeft w:val="480"/>
          <w:marRight w:val="0"/>
          <w:marTop w:val="0"/>
          <w:marBottom w:val="0"/>
          <w:divBdr>
            <w:top w:val="none" w:sz="0" w:space="0" w:color="auto"/>
            <w:left w:val="none" w:sz="0" w:space="0" w:color="auto"/>
            <w:bottom w:val="none" w:sz="0" w:space="0" w:color="auto"/>
            <w:right w:val="none" w:sz="0" w:space="0" w:color="auto"/>
          </w:divBdr>
        </w:div>
        <w:div w:id="821504067">
          <w:marLeft w:val="480"/>
          <w:marRight w:val="0"/>
          <w:marTop w:val="0"/>
          <w:marBottom w:val="0"/>
          <w:divBdr>
            <w:top w:val="none" w:sz="0" w:space="0" w:color="auto"/>
            <w:left w:val="none" w:sz="0" w:space="0" w:color="auto"/>
            <w:bottom w:val="none" w:sz="0" w:space="0" w:color="auto"/>
            <w:right w:val="none" w:sz="0" w:space="0" w:color="auto"/>
          </w:divBdr>
        </w:div>
        <w:div w:id="1066759513">
          <w:marLeft w:val="480"/>
          <w:marRight w:val="0"/>
          <w:marTop w:val="0"/>
          <w:marBottom w:val="0"/>
          <w:divBdr>
            <w:top w:val="none" w:sz="0" w:space="0" w:color="auto"/>
            <w:left w:val="none" w:sz="0" w:space="0" w:color="auto"/>
            <w:bottom w:val="none" w:sz="0" w:space="0" w:color="auto"/>
            <w:right w:val="none" w:sz="0" w:space="0" w:color="auto"/>
          </w:divBdr>
        </w:div>
        <w:div w:id="985620592">
          <w:marLeft w:val="480"/>
          <w:marRight w:val="0"/>
          <w:marTop w:val="0"/>
          <w:marBottom w:val="0"/>
          <w:divBdr>
            <w:top w:val="none" w:sz="0" w:space="0" w:color="auto"/>
            <w:left w:val="none" w:sz="0" w:space="0" w:color="auto"/>
            <w:bottom w:val="none" w:sz="0" w:space="0" w:color="auto"/>
            <w:right w:val="none" w:sz="0" w:space="0" w:color="auto"/>
          </w:divBdr>
        </w:div>
        <w:div w:id="775447959">
          <w:marLeft w:val="480"/>
          <w:marRight w:val="0"/>
          <w:marTop w:val="0"/>
          <w:marBottom w:val="0"/>
          <w:divBdr>
            <w:top w:val="none" w:sz="0" w:space="0" w:color="auto"/>
            <w:left w:val="none" w:sz="0" w:space="0" w:color="auto"/>
            <w:bottom w:val="none" w:sz="0" w:space="0" w:color="auto"/>
            <w:right w:val="none" w:sz="0" w:space="0" w:color="auto"/>
          </w:divBdr>
        </w:div>
        <w:div w:id="1335063017">
          <w:marLeft w:val="480"/>
          <w:marRight w:val="0"/>
          <w:marTop w:val="0"/>
          <w:marBottom w:val="0"/>
          <w:divBdr>
            <w:top w:val="none" w:sz="0" w:space="0" w:color="auto"/>
            <w:left w:val="none" w:sz="0" w:space="0" w:color="auto"/>
            <w:bottom w:val="none" w:sz="0" w:space="0" w:color="auto"/>
            <w:right w:val="none" w:sz="0" w:space="0" w:color="auto"/>
          </w:divBdr>
        </w:div>
        <w:div w:id="1031564967">
          <w:marLeft w:val="480"/>
          <w:marRight w:val="0"/>
          <w:marTop w:val="0"/>
          <w:marBottom w:val="0"/>
          <w:divBdr>
            <w:top w:val="none" w:sz="0" w:space="0" w:color="auto"/>
            <w:left w:val="none" w:sz="0" w:space="0" w:color="auto"/>
            <w:bottom w:val="none" w:sz="0" w:space="0" w:color="auto"/>
            <w:right w:val="none" w:sz="0" w:space="0" w:color="auto"/>
          </w:divBdr>
        </w:div>
        <w:div w:id="465271581">
          <w:marLeft w:val="480"/>
          <w:marRight w:val="0"/>
          <w:marTop w:val="0"/>
          <w:marBottom w:val="0"/>
          <w:divBdr>
            <w:top w:val="none" w:sz="0" w:space="0" w:color="auto"/>
            <w:left w:val="none" w:sz="0" w:space="0" w:color="auto"/>
            <w:bottom w:val="none" w:sz="0" w:space="0" w:color="auto"/>
            <w:right w:val="none" w:sz="0" w:space="0" w:color="auto"/>
          </w:divBdr>
        </w:div>
        <w:div w:id="160045336">
          <w:marLeft w:val="480"/>
          <w:marRight w:val="0"/>
          <w:marTop w:val="0"/>
          <w:marBottom w:val="0"/>
          <w:divBdr>
            <w:top w:val="none" w:sz="0" w:space="0" w:color="auto"/>
            <w:left w:val="none" w:sz="0" w:space="0" w:color="auto"/>
            <w:bottom w:val="none" w:sz="0" w:space="0" w:color="auto"/>
            <w:right w:val="none" w:sz="0" w:space="0" w:color="auto"/>
          </w:divBdr>
        </w:div>
        <w:div w:id="5905176">
          <w:marLeft w:val="480"/>
          <w:marRight w:val="0"/>
          <w:marTop w:val="0"/>
          <w:marBottom w:val="0"/>
          <w:divBdr>
            <w:top w:val="none" w:sz="0" w:space="0" w:color="auto"/>
            <w:left w:val="none" w:sz="0" w:space="0" w:color="auto"/>
            <w:bottom w:val="none" w:sz="0" w:space="0" w:color="auto"/>
            <w:right w:val="none" w:sz="0" w:space="0" w:color="auto"/>
          </w:divBdr>
        </w:div>
        <w:div w:id="709960726">
          <w:marLeft w:val="480"/>
          <w:marRight w:val="0"/>
          <w:marTop w:val="0"/>
          <w:marBottom w:val="0"/>
          <w:divBdr>
            <w:top w:val="none" w:sz="0" w:space="0" w:color="auto"/>
            <w:left w:val="none" w:sz="0" w:space="0" w:color="auto"/>
            <w:bottom w:val="none" w:sz="0" w:space="0" w:color="auto"/>
            <w:right w:val="none" w:sz="0" w:space="0" w:color="auto"/>
          </w:divBdr>
        </w:div>
        <w:div w:id="1547451970">
          <w:marLeft w:val="480"/>
          <w:marRight w:val="0"/>
          <w:marTop w:val="0"/>
          <w:marBottom w:val="0"/>
          <w:divBdr>
            <w:top w:val="none" w:sz="0" w:space="0" w:color="auto"/>
            <w:left w:val="none" w:sz="0" w:space="0" w:color="auto"/>
            <w:bottom w:val="none" w:sz="0" w:space="0" w:color="auto"/>
            <w:right w:val="none" w:sz="0" w:space="0" w:color="auto"/>
          </w:divBdr>
        </w:div>
        <w:div w:id="523204370">
          <w:marLeft w:val="480"/>
          <w:marRight w:val="0"/>
          <w:marTop w:val="0"/>
          <w:marBottom w:val="0"/>
          <w:divBdr>
            <w:top w:val="none" w:sz="0" w:space="0" w:color="auto"/>
            <w:left w:val="none" w:sz="0" w:space="0" w:color="auto"/>
            <w:bottom w:val="none" w:sz="0" w:space="0" w:color="auto"/>
            <w:right w:val="none" w:sz="0" w:space="0" w:color="auto"/>
          </w:divBdr>
        </w:div>
        <w:div w:id="1511526660">
          <w:marLeft w:val="480"/>
          <w:marRight w:val="0"/>
          <w:marTop w:val="0"/>
          <w:marBottom w:val="0"/>
          <w:divBdr>
            <w:top w:val="none" w:sz="0" w:space="0" w:color="auto"/>
            <w:left w:val="none" w:sz="0" w:space="0" w:color="auto"/>
            <w:bottom w:val="none" w:sz="0" w:space="0" w:color="auto"/>
            <w:right w:val="none" w:sz="0" w:space="0" w:color="auto"/>
          </w:divBdr>
        </w:div>
        <w:div w:id="710306404">
          <w:marLeft w:val="480"/>
          <w:marRight w:val="0"/>
          <w:marTop w:val="0"/>
          <w:marBottom w:val="0"/>
          <w:divBdr>
            <w:top w:val="none" w:sz="0" w:space="0" w:color="auto"/>
            <w:left w:val="none" w:sz="0" w:space="0" w:color="auto"/>
            <w:bottom w:val="none" w:sz="0" w:space="0" w:color="auto"/>
            <w:right w:val="none" w:sz="0" w:space="0" w:color="auto"/>
          </w:divBdr>
        </w:div>
        <w:div w:id="1520778133">
          <w:marLeft w:val="480"/>
          <w:marRight w:val="0"/>
          <w:marTop w:val="0"/>
          <w:marBottom w:val="0"/>
          <w:divBdr>
            <w:top w:val="none" w:sz="0" w:space="0" w:color="auto"/>
            <w:left w:val="none" w:sz="0" w:space="0" w:color="auto"/>
            <w:bottom w:val="none" w:sz="0" w:space="0" w:color="auto"/>
            <w:right w:val="none" w:sz="0" w:space="0" w:color="auto"/>
          </w:divBdr>
        </w:div>
        <w:div w:id="222101734">
          <w:marLeft w:val="480"/>
          <w:marRight w:val="0"/>
          <w:marTop w:val="0"/>
          <w:marBottom w:val="0"/>
          <w:divBdr>
            <w:top w:val="none" w:sz="0" w:space="0" w:color="auto"/>
            <w:left w:val="none" w:sz="0" w:space="0" w:color="auto"/>
            <w:bottom w:val="none" w:sz="0" w:space="0" w:color="auto"/>
            <w:right w:val="none" w:sz="0" w:space="0" w:color="auto"/>
          </w:divBdr>
        </w:div>
        <w:div w:id="1993292729">
          <w:marLeft w:val="480"/>
          <w:marRight w:val="0"/>
          <w:marTop w:val="0"/>
          <w:marBottom w:val="0"/>
          <w:divBdr>
            <w:top w:val="none" w:sz="0" w:space="0" w:color="auto"/>
            <w:left w:val="none" w:sz="0" w:space="0" w:color="auto"/>
            <w:bottom w:val="none" w:sz="0" w:space="0" w:color="auto"/>
            <w:right w:val="none" w:sz="0" w:space="0" w:color="auto"/>
          </w:divBdr>
        </w:div>
        <w:div w:id="499200918">
          <w:marLeft w:val="480"/>
          <w:marRight w:val="0"/>
          <w:marTop w:val="0"/>
          <w:marBottom w:val="0"/>
          <w:divBdr>
            <w:top w:val="none" w:sz="0" w:space="0" w:color="auto"/>
            <w:left w:val="none" w:sz="0" w:space="0" w:color="auto"/>
            <w:bottom w:val="none" w:sz="0" w:space="0" w:color="auto"/>
            <w:right w:val="none" w:sz="0" w:space="0" w:color="auto"/>
          </w:divBdr>
        </w:div>
        <w:div w:id="555818501">
          <w:marLeft w:val="480"/>
          <w:marRight w:val="0"/>
          <w:marTop w:val="0"/>
          <w:marBottom w:val="0"/>
          <w:divBdr>
            <w:top w:val="none" w:sz="0" w:space="0" w:color="auto"/>
            <w:left w:val="none" w:sz="0" w:space="0" w:color="auto"/>
            <w:bottom w:val="none" w:sz="0" w:space="0" w:color="auto"/>
            <w:right w:val="none" w:sz="0" w:space="0" w:color="auto"/>
          </w:divBdr>
        </w:div>
        <w:div w:id="848444595">
          <w:marLeft w:val="480"/>
          <w:marRight w:val="0"/>
          <w:marTop w:val="0"/>
          <w:marBottom w:val="0"/>
          <w:divBdr>
            <w:top w:val="none" w:sz="0" w:space="0" w:color="auto"/>
            <w:left w:val="none" w:sz="0" w:space="0" w:color="auto"/>
            <w:bottom w:val="none" w:sz="0" w:space="0" w:color="auto"/>
            <w:right w:val="none" w:sz="0" w:space="0" w:color="auto"/>
          </w:divBdr>
        </w:div>
        <w:div w:id="707144640">
          <w:marLeft w:val="480"/>
          <w:marRight w:val="0"/>
          <w:marTop w:val="0"/>
          <w:marBottom w:val="0"/>
          <w:divBdr>
            <w:top w:val="none" w:sz="0" w:space="0" w:color="auto"/>
            <w:left w:val="none" w:sz="0" w:space="0" w:color="auto"/>
            <w:bottom w:val="none" w:sz="0" w:space="0" w:color="auto"/>
            <w:right w:val="none" w:sz="0" w:space="0" w:color="auto"/>
          </w:divBdr>
        </w:div>
        <w:div w:id="1185904839">
          <w:marLeft w:val="480"/>
          <w:marRight w:val="0"/>
          <w:marTop w:val="0"/>
          <w:marBottom w:val="0"/>
          <w:divBdr>
            <w:top w:val="none" w:sz="0" w:space="0" w:color="auto"/>
            <w:left w:val="none" w:sz="0" w:space="0" w:color="auto"/>
            <w:bottom w:val="none" w:sz="0" w:space="0" w:color="auto"/>
            <w:right w:val="none" w:sz="0" w:space="0" w:color="auto"/>
          </w:divBdr>
        </w:div>
        <w:div w:id="1740711266">
          <w:marLeft w:val="480"/>
          <w:marRight w:val="0"/>
          <w:marTop w:val="0"/>
          <w:marBottom w:val="0"/>
          <w:divBdr>
            <w:top w:val="none" w:sz="0" w:space="0" w:color="auto"/>
            <w:left w:val="none" w:sz="0" w:space="0" w:color="auto"/>
            <w:bottom w:val="none" w:sz="0" w:space="0" w:color="auto"/>
            <w:right w:val="none" w:sz="0" w:space="0" w:color="auto"/>
          </w:divBdr>
        </w:div>
        <w:div w:id="2135784119">
          <w:marLeft w:val="480"/>
          <w:marRight w:val="0"/>
          <w:marTop w:val="0"/>
          <w:marBottom w:val="0"/>
          <w:divBdr>
            <w:top w:val="none" w:sz="0" w:space="0" w:color="auto"/>
            <w:left w:val="none" w:sz="0" w:space="0" w:color="auto"/>
            <w:bottom w:val="none" w:sz="0" w:space="0" w:color="auto"/>
            <w:right w:val="none" w:sz="0" w:space="0" w:color="auto"/>
          </w:divBdr>
        </w:div>
        <w:div w:id="263735444">
          <w:marLeft w:val="480"/>
          <w:marRight w:val="0"/>
          <w:marTop w:val="0"/>
          <w:marBottom w:val="0"/>
          <w:divBdr>
            <w:top w:val="none" w:sz="0" w:space="0" w:color="auto"/>
            <w:left w:val="none" w:sz="0" w:space="0" w:color="auto"/>
            <w:bottom w:val="none" w:sz="0" w:space="0" w:color="auto"/>
            <w:right w:val="none" w:sz="0" w:space="0" w:color="auto"/>
          </w:divBdr>
        </w:div>
        <w:div w:id="576481192">
          <w:marLeft w:val="480"/>
          <w:marRight w:val="0"/>
          <w:marTop w:val="0"/>
          <w:marBottom w:val="0"/>
          <w:divBdr>
            <w:top w:val="none" w:sz="0" w:space="0" w:color="auto"/>
            <w:left w:val="none" w:sz="0" w:space="0" w:color="auto"/>
            <w:bottom w:val="none" w:sz="0" w:space="0" w:color="auto"/>
            <w:right w:val="none" w:sz="0" w:space="0" w:color="auto"/>
          </w:divBdr>
        </w:div>
        <w:div w:id="1565531584">
          <w:marLeft w:val="480"/>
          <w:marRight w:val="0"/>
          <w:marTop w:val="0"/>
          <w:marBottom w:val="0"/>
          <w:divBdr>
            <w:top w:val="none" w:sz="0" w:space="0" w:color="auto"/>
            <w:left w:val="none" w:sz="0" w:space="0" w:color="auto"/>
            <w:bottom w:val="none" w:sz="0" w:space="0" w:color="auto"/>
            <w:right w:val="none" w:sz="0" w:space="0" w:color="auto"/>
          </w:divBdr>
        </w:div>
        <w:div w:id="1148597265">
          <w:marLeft w:val="480"/>
          <w:marRight w:val="0"/>
          <w:marTop w:val="0"/>
          <w:marBottom w:val="0"/>
          <w:divBdr>
            <w:top w:val="none" w:sz="0" w:space="0" w:color="auto"/>
            <w:left w:val="none" w:sz="0" w:space="0" w:color="auto"/>
            <w:bottom w:val="none" w:sz="0" w:space="0" w:color="auto"/>
            <w:right w:val="none" w:sz="0" w:space="0" w:color="auto"/>
          </w:divBdr>
        </w:div>
        <w:div w:id="257520094">
          <w:marLeft w:val="480"/>
          <w:marRight w:val="0"/>
          <w:marTop w:val="0"/>
          <w:marBottom w:val="0"/>
          <w:divBdr>
            <w:top w:val="none" w:sz="0" w:space="0" w:color="auto"/>
            <w:left w:val="none" w:sz="0" w:space="0" w:color="auto"/>
            <w:bottom w:val="none" w:sz="0" w:space="0" w:color="auto"/>
            <w:right w:val="none" w:sz="0" w:space="0" w:color="auto"/>
          </w:divBdr>
        </w:div>
        <w:div w:id="685861319">
          <w:marLeft w:val="480"/>
          <w:marRight w:val="0"/>
          <w:marTop w:val="0"/>
          <w:marBottom w:val="0"/>
          <w:divBdr>
            <w:top w:val="none" w:sz="0" w:space="0" w:color="auto"/>
            <w:left w:val="none" w:sz="0" w:space="0" w:color="auto"/>
            <w:bottom w:val="none" w:sz="0" w:space="0" w:color="auto"/>
            <w:right w:val="none" w:sz="0" w:space="0" w:color="auto"/>
          </w:divBdr>
        </w:div>
        <w:div w:id="1032611764">
          <w:marLeft w:val="480"/>
          <w:marRight w:val="0"/>
          <w:marTop w:val="0"/>
          <w:marBottom w:val="0"/>
          <w:divBdr>
            <w:top w:val="none" w:sz="0" w:space="0" w:color="auto"/>
            <w:left w:val="none" w:sz="0" w:space="0" w:color="auto"/>
            <w:bottom w:val="none" w:sz="0" w:space="0" w:color="auto"/>
            <w:right w:val="none" w:sz="0" w:space="0" w:color="auto"/>
          </w:divBdr>
        </w:div>
        <w:div w:id="1572231172">
          <w:marLeft w:val="480"/>
          <w:marRight w:val="0"/>
          <w:marTop w:val="0"/>
          <w:marBottom w:val="0"/>
          <w:divBdr>
            <w:top w:val="none" w:sz="0" w:space="0" w:color="auto"/>
            <w:left w:val="none" w:sz="0" w:space="0" w:color="auto"/>
            <w:bottom w:val="none" w:sz="0" w:space="0" w:color="auto"/>
            <w:right w:val="none" w:sz="0" w:space="0" w:color="auto"/>
          </w:divBdr>
        </w:div>
        <w:div w:id="1396079576">
          <w:marLeft w:val="480"/>
          <w:marRight w:val="0"/>
          <w:marTop w:val="0"/>
          <w:marBottom w:val="0"/>
          <w:divBdr>
            <w:top w:val="none" w:sz="0" w:space="0" w:color="auto"/>
            <w:left w:val="none" w:sz="0" w:space="0" w:color="auto"/>
            <w:bottom w:val="none" w:sz="0" w:space="0" w:color="auto"/>
            <w:right w:val="none" w:sz="0" w:space="0" w:color="auto"/>
          </w:divBdr>
        </w:div>
        <w:div w:id="2003585082">
          <w:marLeft w:val="480"/>
          <w:marRight w:val="0"/>
          <w:marTop w:val="0"/>
          <w:marBottom w:val="0"/>
          <w:divBdr>
            <w:top w:val="none" w:sz="0" w:space="0" w:color="auto"/>
            <w:left w:val="none" w:sz="0" w:space="0" w:color="auto"/>
            <w:bottom w:val="none" w:sz="0" w:space="0" w:color="auto"/>
            <w:right w:val="none" w:sz="0" w:space="0" w:color="auto"/>
          </w:divBdr>
        </w:div>
        <w:div w:id="1974746434">
          <w:marLeft w:val="480"/>
          <w:marRight w:val="0"/>
          <w:marTop w:val="0"/>
          <w:marBottom w:val="0"/>
          <w:divBdr>
            <w:top w:val="none" w:sz="0" w:space="0" w:color="auto"/>
            <w:left w:val="none" w:sz="0" w:space="0" w:color="auto"/>
            <w:bottom w:val="none" w:sz="0" w:space="0" w:color="auto"/>
            <w:right w:val="none" w:sz="0" w:space="0" w:color="auto"/>
          </w:divBdr>
        </w:div>
        <w:div w:id="1059203642">
          <w:marLeft w:val="480"/>
          <w:marRight w:val="0"/>
          <w:marTop w:val="0"/>
          <w:marBottom w:val="0"/>
          <w:divBdr>
            <w:top w:val="none" w:sz="0" w:space="0" w:color="auto"/>
            <w:left w:val="none" w:sz="0" w:space="0" w:color="auto"/>
            <w:bottom w:val="none" w:sz="0" w:space="0" w:color="auto"/>
            <w:right w:val="none" w:sz="0" w:space="0" w:color="auto"/>
          </w:divBdr>
        </w:div>
      </w:divsChild>
    </w:div>
    <w:div w:id="1950696474">
      <w:bodyDiv w:val="1"/>
      <w:marLeft w:val="0"/>
      <w:marRight w:val="0"/>
      <w:marTop w:val="0"/>
      <w:marBottom w:val="0"/>
      <w:divBdr>
        <w:top w:val="none" w:sz="0" w:space="0" w:color="auto"/>
        <w:left w:val="none" w:sz="0" w:space="0" w:color="auto"/>
        <w:bottom w:val="none" w:sz="0" w:space="0" w:color="auto"/>
        <w:right w:val="none" w:sz="0" w:space="0" w:color="auto"/>
      </w:divBdr>
    </w:div>
    <w:div w:id="1951011873">
      <w:bodyDiv w:val="1"/>
      <w:marLeft w:val="0"/>
      <w:marRight w:val="0"/>
      <w:marTop w:val="0"/>
      <w:marBottom w:val="0"/>
      <w:divBdr>
        <w:top w:val="none" w:sz="0" w:space="0" w:color="auto"/>
        <w:left w:val="none" w:sz="0" w:space="0" w:color="auto"/>
        <w:bottom w:val="none" w:sz="0" w:space="0" w:color="auto"/>
        <w:right w:val="none" w:sz="0" w:space="0" w:color="auto"/>
      </w:divBdr>
    </w:div>
    <w:div w:id="1951206127">
      <w:bodyDiv w:val="1"/>
      <w:marLeft w:val="0"/>
      <w:marRight w:val="0"/>
      <w:marTop w:val="0"/>
      <w:marBottom w:val="0"/>
      <w:divBdr>
        <w:top w:val="none" w:sz="0" w:space="0" w:color="auto"/>
        <w:left w:val="none" w:sz="0" w:space="0" w:color="auto"/>
        <w:bottom w:val="none" w:sz="0" w:space="0" w:color="auto"/>
        <w:right w:val="none" w:sz="0" w:space="0" w:color="auto"/>
      </w:divBdr>
    </w:div>
    <w:div w:id="1951427299">
      <w:bodyDiv w:val="1"/>
      <w:marLeft w:val="0"/>
      <w:marRight w:val="0"/>
      <w:marTop w:val="0"/>
      <w:marBottom w:val="0"/>
      <w:divBdr>
        <w:top w:val="none" w:sz="0" w:space="0" w:color="auto"/>
        <w:left w:val="none" w:sz="0" w:space="0" w:color="auto"/>
        <w:bottom w:val="none" w:sz="0" w:space="0" w:color="auto"/>
        <w:right w:val="none" w:sz="0" w:space="0" w:color="auto"/>
      </w:divBdr>
    </w:div>
    <w:div w:id="1952279891">
      <w:bodyDiv w:val="1"/>
      <w:marLeft w:val="0"/>
      <w:marRight w:val="0"/>
      <w:marTop w:val="0"/>
      <w:marBottom w:val="0"/>
      <w:divBdr>
        <w:top w:val="none" w:sz="0" w:space="0" w:color="auto"/>
        <w:left w:val="none" w:sz="0" w:space="0" w:color="auto"/>
        <w:bottom w:val="none" w:sz="0" w:space="0" w:color="auto"/>
        <w:right w:val="none" w:sz="0" w:space="0" w:color="auto"/>
      </w:divBdr>
    </w:div>
    <w:div w:id="1952321821">
      <w:bodyDiv w:val="1"/>
      <w:marLeft w:val="0"/>
      <w:marRight w:val="0"/>
      <w:marTop w:val="0"/>
      <w:marBottom w:val="0"/>
      <w:divBdr>
        <w:top w:val="none" w:sz="0" w:space="0" w:color="auto"/>
        <w:left w:val="none" w:sz="0" w:space="0" w:color="auto"/>
        <w:bottom w:val="none" w:sz="0" w:space="0" w:color="auto"/>
        <w:right w:val="none" w:sz="0" w:space="0" w:color="auto"/>
      </w:divBdr>
    </w:div>
    <w:div w:id="1952937780">
      <w:bodyDiv w:val="1"/>
      <w:marLeft w:val="0"/>
      <w:marRight w:val="0"/>
      <w:marTop w:val="0"/>
      <w:marBottom w:val="0"/>
      <w:divBdr>
        <w:top w:val="none" w:sz="0" w:space="0" w:color="auto"/>
        <w:left w:val="none" w:sz="0" w:space="0" w:color="auto"/>
        <w:bottom w:val="none" w:sz="0" w:space="0" w:color="auto"/>
        <w:right w:val="none" w:sz="0" w:space="0" w:color="auto"/>
      </w:divBdr>
    </w:div>
    <w:div w:id="1953004430">
      <w:bodyDiv w:val="1"/>
      <w:marLeft w:val="0"/>
      <w:marRight w:val="0"/>
      <w:marTop w:val="0"/>
      <w:marBottom w:val="0"/>
      <w:divBdr>
        <w:top w:val="none" w:sz="0" w:space="0" w:color="auto"/>
        <w:left w:val="none" w:sz="0" w:space="0" w:color="auto"/>
        <w:bottom w:val="none" w:sz="0" w:space="0" w:color="auto"/>
        <w:right w:val="none" w:sz="0" w:space="0" w:color="auto"/>
      </w:divBdr>
    </w:div>
    <w:div w:id="1953125779">
      <w:bodyDiv w:val="1"/>
      <w:marLeft w:val="0"/>
      <w:marRight w:val="0"/>
      <w:marTop w:val="0"/>
      <w:marBottom w:val="0"/>
      <w:divBdr>
        <w:top w:val="none" w:sz="0" w:space="0" w:color="auto"/>
        <w:left w:val="none" w:sz="0" w:space="0" w:color="auto"/>
        <w:bottom w:val="none" w:sz="0" w:space="0" w:color="auto"/>
        <w:right w:val="none" w:sz="0" w:space="0" w:color="auto"/>
      </w:divBdr>
    </w:div>
    <w:div w:id="1953318977">
      <w:bodyDiv w:val="1"/>
      <w:marLeft w:val="0"/>
      <w:marRight w:val="0"/>
      <w:marTop w:val="0"/>
      <w:marBottom w:val="0"/>
      <w:divBdr>
        <w:top w:val="none" w:sz="0" w:space="0" w:color="auto"/>
        <w:left w:val="none" w:sz="0" w:space="0" w:color="auto"/>
        <w:bottom w:val="none" w:sz="0" w:space="0" w:color="auto"/>
        <w:right w:val="none" w:sz="0" w:space="0" w:color="auto"/>
      </w:divBdr>
    </w:div>
    <w:div w:id="1953781949">
      <w:bodyDiv w:val="1"/>
      <w:marLeft w:val="0"/>
      <w:marRight w:val="0"/>
      <w:marTop w:val="0"/>
      <w:marBottom w:val="0"/>
      <w:divBdr>
        <w:top w:val="none" w:sz="0" w:space="0" w:color="auto"/>
        <w:left w:val="none" w:sz="0" w:space="0" w:color="auto"/>
        <w:bottom w:val="none" w:sz="0" w:space="0" w:color="auto"/>
        <w:right w:val="none" w:sz="0" w:space="0" w:color="auto"/>
      </w:divBdr>
    </w:div>
    <w:div w:id="1953785535">
      <w:bodyDiv w:val="1"/>
      <w:marLeft w:val="0"/>
      <w:marRight w:val="0"/>
      <w:marTop w:val="0"/>
      <w:marBottom w:val="0"/>
      <w:divBdr>
        <w:top w:val="none" w:sz="0" w:space="0" w:color="auto"/>
        <w:left w:val="none" w:sz="0" w:space="0" w:color="auto"/>
        <w:bottom w:val="none" w:sz="0" w:space="0" w:color="auto"/>
        <w:right w:val="none" w:sz="0" w:space="0" w:color="auto"/>
      </w:divBdr>
    </w:div>
    <w:div w:id="1953973978">
      <w:bodyDiv w:val="1"/>
      <w:marLeft w:val="0"/>
      <w:marRight w:val="0"/>
      <w:marTop w:val="0"/>
      <w:marBottom w:val="0"/>
      <w:divBdr>
        <w:top w:val="none" w:sz="0" w:space="0" w:color="auto"/>
        <w:left w:val="none" w:sz="0" w:space="0" w:color="auto"/>
        <w:bottom w:val="none" w:sz="0" w:space="0" w:color="auto"/>
        <w:right w:val="none" w:sz="0" w:space="0" w:color="auto"/>
      </w:divBdr>
    </w:div>
    <w:div w:id="1954240559">
      <w:bodyDiv w:val="1"/>
      <w:marLeft w:val="0"/>
      <w:marRight w:val="0"/>
      <w:marTop w:val="0"/>
      <w:marBottom w:val="0"/>
      <w:divBdr>
        <w:top w:val="none" w:sz="0" w:space="0" w:color="auto"/>
        <w:left w:val="none" w:sz="0" w:space="0" w:color="auto"/>
        <w:bottom w:val="none" w:sz="0" w:space="0" w:color="auto"/>
        <w:right w:val="none" w:sz="0" w:space="0" w:color="auto"/>
      </w:divBdr>
    </w:div>
    <w:div w:id="1954246306">
      <w:bodyDiv w:val="1"/>
      <w:marLeft w:val="0"/>
      <w:marRight w:val="0"/>
      <w:marTop w:val="0"/>
      <w:marBottom w:val="0"/>
      <w:divBdr>
        <w:top w:val="none" w:sz="0" w:space="0" w:color="auto"/>
        <w:left w:val="none" w:sz="0" w:space="0" w:color="auto"/>
        <w:bottom w:val="none" w:sz="0" w:space="0" w:color="auto"/>
        <w:right w:val="none" w:sz="0" w:space="0" w:color="auto"/>
      </w:divBdr>
    </w:div>
    <w:div w:id="1954554102">
      <w:bodyDiv w:val="1"/>
      <w:marLeft w:val="0"/>
      <w:marRight w:val="0"/>
      <w:marTop w:val="0"/>
      <w:marBottom w:val="0"/>
      <w:divBdr>
        <w:top w:val="none" w:sz="0" w:space="0" w:color="auto"/>
        <w:left w:val="none" w:sz="0" w:space="0" w:color="auto"/>
        <w:bottom w:val="none" w:sz="0" w:space="0" w:color="auto"/>
        <w:right w:val="none" w:sz="0" w:space="0" w:color="auto"/>
      </w:divBdr>
    </w:div>
    <w:div w:id="1954631725">
      <w:bodyDiv w:val="1"/>
      <w:marLeft w:val="0"/>
      <w:marRight w:val="0"/>
      <w:marTop w:val="0"/>
      <w:marBottom w:val="0"/>
      <w:divBdr>
        <w:top w:val="none" w:sz="0" w:space="0" w:color="auto"/>
        <w:left w:val="none" w:sz="0" w:space="0" w:color="auto"/>
        <w:bottom w:val="none" w:sz="0" w:space="0" w:color="auto"/>
        <w:right w:val="none" w:sz="0" w:space="0" w:color="auto"/>
      </w:divBdr>
    </w:div>
    <w:div w:id="1955214507">
      <w:bodyDiv w:val="1"/>
      <w:marLeft w:val="0"/>
      <w:marRight w:val="0"/>
      <w:marTop w:val="0"/>
      <w:marBottom w:val="0"/>
      <w:divBdr>
        <w:top w:val="none" w:sz="0" w:space="0" w:color="auto"/>
        <w:left w:val="none" w:sz="0" w:space="0" w:color="auto"/>
        <w:bottom w:val="none" w:sz="0" w:space="0" w:color="auto"/>
        <w:right w:val="none" w:sz="0" w:space="0" w:color="auto"/>
      </w:divBdr>
      <w:divsChild>
        <w:div w:id="858350345">
          <w:marLeft w:val="480"/>
          <w:marRight w:val="0"/>
          <w:marTop w:val="0"/>
          <w:marBottom w:val="0"/>
          <w:divBdr>
            <w:top w:val="none" w:sz="0" w:space="0" w:color="auto"/>
            <w:left w:val="none" w:sz="0" w:space="0" w:color="auto"/>
            <w:bottom w:val="none" w:sz="0" w:space="0" w:color="auto"/>
            <w:right w:val="none" w:sz="0" w:space="0" w:color="auto"/>
          </w:divBdr>
        </w:div>
        <w:div w:id="40518750">
          <w:marLeft w:val="480"/>
          <w:marRight w:val="0"/>
          <w:marTop w:val="0"/>
          <w:marBottom w:val="0"/>
          <w:divBdr>
            <w:top w:val="none" w:sz="0" w:space="0" w:color="auto"/>
            <w:left w:val="none" w:sz="0" w:space="0" w:color="auto"/>
            <w:bottom w:val="none" w:sz="0" w:space="0" w:color="auto"/>
            <w:right w:val="none" w:sz="0" w:space="0" w:color="auto"/>
          </w:divBdr>
        </w:div>
        <w:div w:id="660082731">
          <w:marLeft w:val="480"/>
          <w:marRight w:val="0"/>
          <w:marTop w:val="0"/>
          <w:marBottom w:val="0"/>
          <w:divBdr>
            <w:top w:val="none" w:sz="0" w:space="0" w:color="auto"/>
            <w:left w:val="none" w:sz="0" w:space="0" w:color="auto"/>
            <w:bottom w:val="none" w:sz="0" w:space="0" w:color="auto"/>
            <w:right w:val="none" w:sz="0" w:space="0" w:color="auto"/>
          </w:divBdr>
        </w:div>
        <w:div w:id="1294482301">
          <w:marLeft w:val="480"/>
          <w:marRight w:val="0"/>
          <w:marTop w:val="0"/>
          <w:marBottom w:val="0"/>
          <w:divBdr>
            <w:top w:val="none" w:sz="0" w:space="0" w:color="auto"/>
            <w:left w:val="none" w:sz="0" w:space="0" w:color="auto"/>
            <w:bottom w:val="none" w:sz="0" w:space="0" w:color="auto"/>
            <w:right w:val="none" w:sz="0" w:space="0" w:color="auto"/>
          </w:divBdr>
        </w:div>
        <w:div w:id="1644576176">
          <w:marLeft w:val="480"/>
          <w:marRight w:val="0"/>
          <w:marTop w:val="0"/>
          <w:marBottom w:val="0"/>
          <w:divBdr>
            <w:top w:val="none" w:sz="0" w:space="0" w:color="auto"/>
            <w:left w:val="none" w:sz="0" w:space="0" w:color="auto"/>
            <w:bottom w:val="none" w:sz="0" w:space="0" w:color="auto"/>
            <w:right w:val="none" w:sz="0" w:space="0" w:color="auto"/>
          </w:divBdr>
        </w:div>
        <w:div w:id="1712727403">
          <w:marLeft w:val="480"/>
          <w:marRight w:val="0"/>
          <w:marTop w:val="0"/>
          <w:marBottom w:val="0"/>
          <w:divBdr>
            <w:top w:val="none" w:sz="0" w:space="0" w:color="auto"/>
            <w:left w:val="none" w:sz="0" w:space="0" w:color="auto"/>
            <w:bottom w:val="none" w:sz="0" w:space="0" w:color="auto"/>
            <w:right w:val="none" w:sz="0" w:space="0" w:color="auto"/>
          </w:divBdr>
        </w:div>
        <w:div w:id="2039770707">
          <w:marLeft w:val="480"/>
          <w:marRight w:val="0"/>
          <w:marTop w:val="0"/>
          <w:marBottom w:val="0"/>
          <w:divBdr>
            <w:top w:val="none" w:sz="0" w:space="0" w:color="auto"/>
            <w:left w:val="none" w:sz="0" w:space="0" w:color="auto"/>
            <w:bottom w:val="none" w:sz="0" w:space="0" w:color="auto"/>
            <w:right w:val="none" w:sz="0" w:space="0" w:color="auto"/>
          </w:divBdr>
        </w:div>
        <w:div w:id="1963614725">
          <w:marLeft w:val="480"/>
          <w:marRight w:val="0"/>
          <w:marTop w:val="0"/>
          <w:marBottom w:val="0"/>
          <w:divBdr>
            <w:top w:val="none" w:sz="0" w:space="0" w:color="auto"/>
            <w:left w:val="none" w:sz="0" w:space="0" w:color="auto"/>
            <w:bottom w:val="none" w:sz="0" w:space="0" w:color="auto"/>
            <w:right w:val="none" w:sz="0" w:space="0" w:color="auto"/>
          </w:divBdr>
        </w:div>
        <w:div w:id="763496818">
          <w:marLeft w:val="480"/>
          <w:marRight w:val="0"/>
          <w:marTop w:val="0"/>
          <w:marBottom w:val="0"/>
          <w:divBdr>
            <w:top w:val="none" w:sz="0" w:space="0" w:color="auto"/>
            <w:left w:val="none" w:sz="0" w:space="0" w:color="auto"/>
            <w:bottom w:val="none" w:sz="0" w:space="0" w:color="auto"/>
            <w:right w:val="none" w:sz="0" w:space="0" w:color="auto"/>
          </w:divBdr>
        </w:div>
        <w:div w:id="820658942">
          <w:marLeft w:val="480"/>
          <w:marRight w:val="0"/>
          <w:marTop w:val="0"/>
          <w:marBottom w:val="0"/>
          <w:divBdr>
            <w:top w:val="none" w:sz="0" w:space="0" w:color="auto"/>
            <w:left w:val="none" w:sz="0" w:space="0" w:color="auto"/>
            <w:bottom w:val="none" w:sz="0" w:space="0" w:color="auto"/>
            <w:right w:val="none" w:sz="0" w:space="0" w:color="auto"/>
          </w:divBdr>
        </w:div>
        <w:div w:id="659845504">
          <w:marLeft w:val="480"/>
          <w:marRight w:val="0"/>
          <w:marTop w:val="0"/>
          <w:marBottom w:val="0"/>
          <w:divBdr>
            <w:top w:val="none" w:sz="0" w:space="0" w:color="auto"/>
            <w:left w:val="none" w:sz="0" w:space="0" w:color="auto"/>
            <w:bottom w:val="none" w:sz="0" w:space="0" w:color="auto"/>
            <w:right w:val="none" w:sz="0" w:space="0" w:color="auto"/>
          </w:divBdr>
        </w:div>
        <w:div w:id="322702055">
          <w:marLeft w:val="480"/>
          <w:marRight w:val="0"/>
          <w:marTop w:val="0"/>
          <w:marBottom w:val="0"/>
          <w:divBdr>
            <w:top w:val="none" w:sz="0" w:space="0" w:color="auto"/>
            <w:left w:val="none" w:sz="0" w:space="0" w:color="auto"/>
            <w:bottom w:val="none" w:sz="0" w:space="0" w:color="auto"/>
            <w:right w:val="none" w:sz="0" w:space="0" w:color="auto"/>
          </w:divBdr>
        </w:div>
        <w:div w:id="1603882377">
          <w:marLeft w:val="480"/>
          <w:marRight w:val="0"/>
          <w:marTop w:val="0"/>
          <w:marBottom w:val="0"/>
          <w:divBdr>
            <w:top w:val="none" w:sz="0" w:space="0" w:color="auto"/>
            <w:left w:val="none" w:sz="0" w:space="0" w:color="auto"/>
            <w:bottom w:val="none" w:sz="0" w:space="0" w:color="auto"/>
            <w:right w:val="none" w:sz="0" w:space="0" w:color="auto"/>
          </w:divBdr>
        </w:div>
        <w:div w:id="1016885268">
          <w:marLeft w:val="480"/>
          <w:marRight w:val="0"/>
          <w:marTop w:val="0"/>
          <w:marBottom w:val="0"/>
          <w:divBdr>
            <w:top w:val="none" w:sz="0" w:space="0" w:color="auto"/>
            <w:left w:val="none" w:sz="0" w:space="0" w:color="auto"/>
            <w:bottom w:val="none" w:sz="0" w:space="0" w:color="auto"/>
            <w:right w:val="none" w:sz="0" w:space="0" w:color="auto"/>
          </w:divBdr>
        </w:div>
        <w:div w:id="921059741">
          <w:marLeft w:val="480"/>
          <w:marRight w:val="0"/>
          <w:marTop w:val="0"/>
          <w:marBottom w:val="0"/>
          <w:divBdr>
            <w:top w:val="none" w:sz="0" w:space="0" w:color="auto"/>
            <w:left w:val="none" w:sz="0" w:space="0" w:color="auto"/>
            <w:bottom w:val="none" w:sz="0" w:space="0" w:color="auto"/>
            <w:right w:val="none" w:sz="0" w:space="0" w:color="auto"/>
          </w:divBdr>
        </w:div>
        <w:div w:id="1805852273">
          <w:marLeft w:val="480"/>
          <w:marRight w:val="0"/>
          <w:marTop w:val="0"/>
          <w:marBottom w:val="0"/>
          <w:divBdr>
            <w:top w:val="none" w:sz="0" w:space="0" w:color="auto"/>
            <w:left w:val="none" w:sz="0" w:space="0" w:color="auto"/>
            <w:bottom w:val="none" w:sz="0" w:space="0" w:color="auto"/>
            <w:right w:val="none" w:sz="0" w:space="0" w:color="auto"/>
          </w:divBdr>
        </w:div>
        <w:div w:id="1952084066">
          <w:marLeft w:val="480"/>
          <w:marRight w:val="0"/>
          <w:marTop w:val="0"/>
          <w:marBottom w:val="0"/>
          <w:divBdr>
            <w:top w:val="none" w:sz="0" w:space="0" w:color="auto"/>
            <w:left w:val="none" w:sz="0" w:space="0" w:color="auto"/>
            <w:bottom w:val="none" w:sz="0" w:space="0" w:color="auto"/>
            <w:right w:val="none" w:sz="0" w:space="0" w:color="auto"/>
          </w:divBdr>
        </w:div>
        <w:div w:id="338774664">
          <w:marLeft w:val="480"/>
          <w:marRight w:val="0"/>
          <w:marTop w:val="0"/>
          <w:marBottom w:val="0"/>
          <w:divBdr>
            <w:top w:val="none" w:sz="0" w:space="0" w:color="auto"/>
            <w:left w:val="none" w:sz="0" w:space="0" w:color="auto"/>
            <w:bottom w:val="none" w:sz="0" w:space="0" w:color="auto"/>
            <w:right w:val="none" w:sz="0" w:space="0" w:color="auto"/>
          </w:divBdr>
        </w:div>
        <w:div w:id="1815441911">
          <w:marLeft w:val="480"/>
          <w:marRight w:val="0"/>
          <w:marTop w:val="0"/>
          <w:marBottom w:val="0"/>
          <w:divBdr>
            <w:top w:val="none" w:sz="0" w:space="0" w:color="auto"/>
            <w:left w:val="none" w:sz="0" w:space="0" w:color="auto"/>
            <w:bottom w:val="none" w:sz="0" w:space="0" w:color="auto"/>
            <w:right w:val="none" w:sz="0" w:space="0" w:color="auto"/>
          </w:divBdr>
        </w:div>
        <w:div w:id="1062943800">
          <w:marLeft w:val="480"/>
          <w:marRight w:val="0"/>
          <w:marTop w:val="0"/>
          <w:marBottom w:val="0"/>
          <w:divBdr>
            <w:top w:val="none" w:sz="0" w:space="0" w:color="auto"/>
            <w:left w:val="none" w:sz="0" w:space="0" w:color="auto"/>
            <w:bottom w:val="none" w:sz="0" w:space="0" w:color="auto"/>
            <w:right w:val="none" w:sz="0" w:space="0" w:color="auto"/>
          </w:divBdr>
        </w:div>
        <w:div w:id="373846658">
          <w:marLeft w:val="480"/>
          <w:marRight w:val="0"/>
          <w:marTop w:val="0"/>
          <w:marBottom w:val="0"/>
          <w:divBdr>
            <w:top w:val="none" w:sz="0" w:space="0" w:color="auto"/>
            <w:left w:val="none" w:sz="0" w:space="0" w:color="auto"/>
            <w:bottom w:val="none" w:sz="0" w:space="0" w:color="auto"/>
            <w:right w:val="none" w:sz="0" w:space="0" w:color="auto"/>
          </w:divBdr>
        </w:div>
        <w:div w:id="1466241343">
          <w:marLeft w:val="480"/>
          <w:marRight w:val="0"/>
          <w:marTop w:val="0"/>
          <w:marBottom w:val="0"/>
          <w:divBdr>
            <w:top w:val="none" w:sz="0" w:space="0" w:color="auto"/>
            <w:left w:val="none" w:sz="0" w:space="0" w:color="auto"/>
            <w:bottom w:val="none" w:sz="0" w:space="0" w:color="auto"/>
            <w:right w:val="none" w:sz="0" w:space="0" w:color="auto"/>
          </w:divBdr>
        </w:div>
        <w:div w:id="2019306746">
          <w:marLeft w:val="480"/>
          <w:marRight w:val="0"/>
          <w:marTop w:val="0"/>
          <w:marBottom w:val="0"/>
          <w:divBdr>
            <w:top w:val="none" w:sz="0" w:space="0" w:color="auto"/>
            <w:left w:val="none" w:sz="0" w:space="0" w:color="auto"/>
            <w:bottom w:val="none" w:sz="0" w:space="0" w:color="auto"/>
            <w:right w:val="none" w:sz="0" w:space="0" w:color="auto"/>
          </w:divBdr>
        </w:div>
        <w:div w:id="486440104">
          <w:marLeft w:val="480"/>
          <w:marRight w:val="0"/>
          <w:marTop w:val="0"/>
          <w:marBottom w:val="0"/>
          <w:divBdr>
            <w:top w:val="none" w:sz="0" w:space="0" w:color="auto"/>
            <w:left w:val="none" w:sz="0" w:space="0" w:color="auto"/>
            <w:bottom w:val="none" w:sz="0" w:space="0" w:color="auto"/>
            <w:right w:val="none" w:sz="0" w:space="0" w:color="auto"/>
          </w:divBdr>
        </w:div>
        <w:div w:id="489518485">
          <w:marLeft w:val="480"/>
          <w:marRight w:val="0"/>
          <w:marTop w:val="0"/>
          <w:marBottom w:val="0"/>
          <w:divBdr>
            <w:top w:val="none" w:sz="0" w:space="0" w:color="auto"/>
            <w:left w:val="none" w:sz="0" w:space="0" w:color="auto"/>
            <w:bottom w:val="none" w:sz="0" w:space="0" w:color="auto"/>
            <w:right w:val="none" w:sz="0" w:space="0" w:color="auto"/>
          </w:divBdr>
        </w:div>
        <w:div w:id="852377421">
          <w:marLeft w:val="480"/>
          <w:marRight w:val="0"/>
          <w:marTop w:val="0"/>
          <w:marBottom w:val="0"/>
          <w:divBdr>
            <w:top w:val="none" w:sz="0" w:space="0" w:color="auto"/>
            <w:left w:val="none" w:sz="0" w:space="0" w:color="auto"/>
            <w:bottom w:val="none" w:sz="0" w:space="0" w:color="auto"/>
            <w:right w:val="none" w:sz="0" w:space="0" w:color="auto"/>
          </w:divBdr>
        </w:div>
        <w:div w:id="1019703298">
          <w:marLeft w:val="480"/>
          <w:marRight w:val="0"/>
          <w:marTop w:val="0"/>
          <w:marBottom w:val="0"/>
          <w:divBdr>
            <w:top w:val="none" w:sz="0" w:space="0" w:color="auto"/>
            <w:left w:val="none" w:sz="0" w:space="0" w:color="auto"/>
            <w:bottom w:val="none" w:sz="0" w:space="0" w:color="auto"/>
            <w:right w:val="none" w:sz="0" w:space="0" w:color="auto"/>
          </w:divBdr>
        </w:div>
        <w:div w:id="39482977">
          <w:marLeft w:val="480"/>
          <w:marRight w:val="0"/>
          <w:marTop w:val="0"/>
          <w:marBottom w:val="0"/>
          <w:divBdr>
            <w:top w:val="none" w:sz="0" w:space="0" w:color="auto"/>
            <w:left w:val="none" w:sz="0" w:space="0" w:color="auto"/>
            <w:bottom w:val="none" w:sz="0" w:space="0" w:color="auto"/>
            <w:right w:val="none" w:sz="0" w:space="0" w:color="auto"/>
          </w:divBdr>
        </w:div>
        <w:div w:id="340275874">
          <w:marLeft w:val="480"/>
          <w:marRight w:val="0"/>
          <w:marTop w:val="0"/>
          <w:marBottom w:val="0"/>
          <w:divBdr>
            <w:top w:val="none" w:sz="0" w:space="0" w:color="auto"/>
            <w:left w:val="none" w:sz="0" w:space="0" w:color="auto"/>
            <w:bottom w:val="none" w:sz="0" w:space="0" w:color="auto"/>
            <w:right w:val="none" w:sz="0" w:space="0" w:color="auto"/>
          </w:divBdr>
        </w:div>
        <w:div w:id="1657685805">
          <w:marLeft w:val="480"/>
          <w:marRight w:val="0"/>
          <w:marTop w:val="0"/>
          <w:marBottom w:val="0"/>
          <w:divBdr>
            <w:top w:val="none" w:sz="0" w:space="0" w:color="auto"/>
            <w:left w:val="none" w:sz="0" w:space="0" w:color="auto"/>
            <w:bottom w:val="none" w:sz="0" w:space="0" w:color="auto"/>
            <w:right w:val="none" w:sz="0" w:space="0" w:color="auto"/>
          </w:divBdr>
        </w:div>
        <w:div w:id="361443821">
          <w:marLeft w:val="480"/>
          <w:marRight w:val="0"/>
          <w:marTop w:val="0"/>
          <w:marBottom w:val="0"/>
          <w:divBdr>
            <w:top w:val="none" w:sz="0" w:space="0" w:color="auto"/>
            <w:left w:val="none" w:sz="0" w:space="0" w:color="auto"/>
            <w:bottom w:val="none" w:sz="0" w:space="0" w:color="auto"/>
            <w:right w:val="none" w:sz="0" w:space="0" w:color="auto"/>
          </w:divBdr>
        </w:div>
        <w:div w:id="1483693478">
          <w:marLeft w:val="480"/>
          <w:marRight w:val="0"/>
          <w:marTop w:val="0"/>
          <w:marBottom w:val="0"/>
          <w:divBdr>
            <w:top w:val="none" w:sz="0" w:space="0" w:color="auto"/>
            <w:left w:val="none" w:sz="0" w:space="0" w:color="auto"/>
            <w:bottom w:val="none" w:sz="0" w:space="0" w:color="auto"/>
            <w:right w:val="none" w:sz="0" w:space="0" w:color="auto"/>
          </w:divBdr>
        </w:div>
        <w:div w:id="1122382675">
          <w:marLeft w:val="480"/>
          <w:marRight w:val="0"/>
          <w:marTop w:val="0"/>
          <w:marBottom w:val="0"/>
          <w:divBdr>
            <w:top w:val="none" w:sz="0" w:space="0" w:color="auto"/>
            <w:left w:val="none" w:sz="0" w:space="0" w:color="auto"/>
            <w:bottom w:val="none" w:sz="0" w:space="0" w:color="auto"/>
            <w:right w:val="none" w:sz="0" w:space="0" w:color="auto"/>
          </w:divBdr>
        </w:div>
        <w:div w:id="2080596626">
          <w:marLeft w:val="480"/>
          <w:marRight w:val="0"/>
          <w:marTop w:val="0"/>
          <w:marBottom w:val="0"/>
          <w:divBdr>
            <w:top w:val="none" w:sz="0" w:space="0" w:color="auto"/>
            <w:left w:val="none" w:sz="0" w:space="0" w:color="auto"/>
            <w:bottom w:val="none" w:sz="0" w:space="0" w:color="auto"/>
            <w:right w:val="none" w:sz="0" w:space="0" w:color="auto"/>
          </w:divBdr>
        </w:div>
        <w:div w:id="1455978356">
          <w:marLeft w:val="480"/>
          <w:marRight w:val="0"/>
          <w:marTop w:val="0"/>
          <w:marBottom w:val="0"/>
          <w:divBdr>
            <w:top w:val="none" w:sz="0" w:space="0" w:color="auto"/>
            <w:left w:val="none" w:sz="0" w:space="0" w:color="auto"/>
            <w:bottom w:val="none" w:sz="0" w:space="0" w:color="auto"/>
            <w:right w:val="none" w:sz="0" w:space="0" w:color="auto"/>
          </w:divBdr>
        </w:div>
        <w:div w:id="1026633900">
          <w:marLeft w:val="480"/>
          <w:marRight w:val="0"/>
          <w:marTop w:val="0"/>
          <w:marBottom w:val="0"/>
          <w:divBdr>
            <w:top w:val="none" w:sz="0" w:space="0" w:color="auto"/>
            <w:left w:val="none" w:sz="0" w:space="0" w:color="auto"/>
            <w:bottom w:val="none" w:sz="0" w:space="0" w:color="auto"/>
            <w:right w:val="none" w:sz="0" w:space="0" w:color="auto"/>
          </w:divBdr>
        </w:div>
        <w:div w:id="2071154520">
          <w:marLeft w:val="480"/>
          <w:marRight w:val="0"/>
          <w:marTop w:val="0"/>
          <w:marBottom w:val="0"/>
          <w:divBdr>
            <w:top w:val="none" w:sz="0" w:space="0" w:color="auto"/>
            <w:left w:val="none" w:sz="0" w:space="0" w:color="auto"/>
            <w:bottom w:val="none" w:sz="0" w:space="0" w:color="auto"/>
            <w:right w:val="none" w:sz="0" w:space="0" w:color="auto"/>
          </w:divBdr>
        </w:div>
        <w:div w:id="2016417488">
          <w:marLeft w:val="480"/>
          <w:marRight w:val="0"/>
          <w:marTop w:val="0"/>
          <w:marBottom w:val="0"/>
          <w:divBdr>
            <w:top w:val="none" w:sz="0" w:space="0" w:color="auto"/>
            <w:left w:val="none" w:sz="0" w:space="0" w:color="auto"/>
            <w:bottom w:val="none" w:sz="0" w:space="0" w:color="auto"/>
            <w:right w:val="none" w:sz="0" w:space="0" w:color="auto"/>
          </w:divBdr>
        </w:div>
        <w:div w:id="797258989">
          <w:marLeft w:val="480"/>
          <w:marRight w:val="0"/>
          <w:marTop w:val="0"/>
          <w:marBottom w:val="0"/>
          <w:divBdr>
            <w:top w:val="none" w:sz="0" w:space="0" w:color="auto"/>
            <w:left w:val="none" w:sz="0" w:space="0" w:color="auto"/>
            <w:bottom w:val="none" w:sz="0" w:space="0" w:color="auto"/>
            <w:right w:val="none" w:sz="0" w:space="0" w:color="auto"/>
          </w:divBdr>
        </w:div>
        <w:div w:id="795296459">
          <w:marLeft w:val="480"/>
          <w:marRight w:val="0"/>
          <w:marTop w:val="0"/>
          <w:marBottom w:val="0"/>
          <w:divBdr>
            <w:top w:val="none" w:sz="0" w:space="0" w:color="auto"/>
            <w:left w:val="none" w:sz="0" w:space="0" w:color="auto"/>
            <w:bottom w:val="none" w:sz="0" w:space="0" w:color="auto"/>
            <w:right w:val="none" w:sz="0" w:space="0" w:color="auto"/>
          </w:divBdr>
        </w:div>
        <w:div w:id="1058478570">
          <w:marLeft w:val="480"/>
          <w:marRight w:val="0"/>
          <w:marTop w:val="0"/>
          <w:marBottom w:val="0"/>
          <w:divBdr>
            <w:top w:val="none" w:sz="0" w:space="0" w:color="auto"/>
            <w:left w:val="none" w:sz="0" w:space="0" w:color="auto"/>
            <w:bottom w:val="none" w:sz="0" w:space="0" w:color="auto"/>
            <w:right w:val="none" w:sz="0" w:space="0" w:color="auto"/>
          </w:divBdr>
        </w:div>
        <w:div w:id="833377438">
          <w:marLeft w:val="480"/>
          <w:marRight w:val="0"/>
          <w:marTop w:val="0"/>
          <w:marBottom w:val="0"/>
          <w:divBdr>
            <w:top w:val="none" w:sz="0" w:space="0" w:color="auto"/>
            <w:left w:val="none" w:sz="0" w:space="0" w:color="auto"/>
            <w:bottom w:val="none" w:sz="0" w:space="0" w:color="auto"/>
            <w:right w:val="none" w:sz="0" w:space="0" w:color="auto"/>
          </w:divBdr>
        </w:div>
        <w:div w:id="1605459717">
          <w:marLeft w:val="480"/>
          <w:marRight w:val="0"/>
          <w:marTop w:val="0"/>
          <w:marBottom w:val="0"/>
          <w:divBdr>
            <w:top w:val="none" w:sz="0" w:space="0" w:color="auto"/>
            <w:left w:val="none" w:sz="0" w:space="0" w:color="auto"/>
            <w:bottom w:val="none" w:sz="0" w:space="0" w:color="auto"/>
            <w:right w:val="none" w:sz="0" w:space="0" w:color="auto"/>
          </w:divBdr>
        </w:div>
        <w:div w:id="1403060646">
          <w:marLeft w:val="480"/>
          <w:marRight w:val="0"/>
          <w:marTop w:val="0"/>
          <w:marBottom w:val="0"/>
          <w:divBdr>
            <w:top w:val="none" w:sz="0" w:space="0" w:color="auto"/>
            <w:left w:val="none" w:sz="0" w:space="0" w:color="auto"/>
            <w:bottom w:val="none" w:sz="0" w:space="0" w:color="auto"/>
            <w:right w:val="none" w:sz="0" w:space="0" w:color="auto"/>
          </w:divBdr>
        </w:div>
        <w:div w:id="24671583">
          <w:marLeft w:val="480"/>
          <w:marRight w:val="0"/>
          <w:marTop w:val="0"/>
          <w:marBottom w:val="0"/>
          <w:divBdr>
            <w:top w:val="none" w:sz="0" w:space="0" w:color="auto"/>
            <w:left w:val="none" w:sz="0" w:space="0" w:color="auto"/>
            <w:bottom w:val="none" w:sz="0" w:space="0" w:color="auto"/>
            <w:right w:val="none" w:sz="0" w:space="0" w:color="auto"/>
          </w:divBdr>
        </w:div>
        <w:div w:id="521018387">
          <w:marLeft w:val="480"/>
          <w:marRight w:val="0"/>
          <w:marTop w:val="0"/>
          <w:marBottom w:val="0"/>
          <w:divBdr>
            <w:top w:val="none" w:sz="0" w:space="0" w:color="auto"/>
            <w:left w:val="none" w:sz="0" w:space="0" w:color="auto"/>
            <w:bottom w:val="none" w:sz="0" w:space="0" w:color="auto"/>
            <w:right w:val="none" w:sz="0" w:space="0" w:color="auto"/>
          </w:divBdr>
        </w:div>
        <w:div w:id="755828298">
          <w:marLeft w:val="480"/>
          <w:marRight w:val="0"/>
          <w:marTop w:val="0"/>
          <w:marBottom w:val="0"/>
          <w:divBdr>
            <w:top w:val="none" w:sz="0" w:space="0" w:color="auto"/>
            <w:left w:val="none" w:sz="0" w:space="0" w:color="auto"/>
            <w:bottom w:val="none" w:sz="0" w:space="0" w:color="auto"/>
            <w:right w:val="none" w:sz="0" w:space="0" w:color="auto"/>
          </w:divBdr>
        </w:div>
        <w:div w:id="323552241">
          <w:marLeft w:val="480"/>
          <w:marRight w:val="0"/>
          <w:marTop w:val="0"/>
          <w:marBottom w:val="0"/>
          <w:divBdr>
            <w:top w:val="none" w:sz="0" w:space="0" w:color="auto"/>
            <w:left w:val="none" w:sz="0" w:space="0" w:color="auto"/>
            <w:bottom w:val="none" w:sz="0" w:space="0" w:color="auto"/>
            <w:right w:val="none" w:sz="0" w:space="0" w:color="auto"/>
          </w:divBdr>
        </w:div>
        <w:div w:id="1824929838">
          <w:marLeft w:val="480"/>
          <w:marRight w:val="0"/>
          <w:marTop w:val="0"/>
          <w:marBottom w:val="0"/>
          <w:divBdr>
            <w:top w:val="none" w:sz="0" w:space="0" w:color="auto"/>
            <w:left w:val="none" w:sz="0" w:space="0" w:color="auto"/>
            <w:bottom w:val="none" w:sz="0" w:space="0" w:color="auto"/>
            <w:right w:val="none" w:sz="0" w:space="0" w:color="auto"/>
          </w:divBdr>
        </w:div>
        <w:div w:id="980815769">
          <w:marLeft w:val="480"/>
          <w:marRight w:val="0"/>
          <w:marTop w:val="0"/>
          <w:marBottom w:val="0"/>
          <w:divBdr>
            <w:top w:val="none" w:sz="0" w:space="0" w:color="auto"/>
            <w:left w:val="none" w:sz="0" w:space="0" w:color="auto"/>
            <w:bottom w:val="none" w:sz="0" w:space="0" w:color="auto"/>
            <w:right w:val="none" w:sz="0" w:space="0" w:color="auto"/>
          </w:divBdr>
        </w:div>
        <w:div w:id="1403985978">
          <w:marLeft w:val="480"/>
          <w:marRight w:val="0"/>
          <w:marTop w:val="0"/>
          <w:marBottom w:val="0"/>
          <w:divBdr>
            <w:top w:val="none" w:sz="0" w:space="0" w:color="auto"/>
            <w:left w:val="none" w:sz="0" w:space="0" w:color="auto"/>
            <w:bottom w:val="none" w:sz="0" w:space="0" w:color="auto"/>
            <w:right w:val="none" w:sz="0" w:space="0" w:color="auto"/>
          </w:divBdr>
        </w:div>
        <w:div w:id="1406223729">
          <w:marLeft w:val="480"/>
          <w:marRight w:val="0"/>
          <w:marTop w:val="0"/>
          <w:marBottom w:val="0"/>
          <w:divBdr>
            <w:top w:val="none" w:sz="0" w:space="0" w:color="auto"/>
            <w:left w:val="none" w:sz="0" w:space="0" w:color="auto"/>
            <w:bottom w:val="none" w:sz="0" w:space="0" w:color="auto"/>
            <w:right w:val="none" w:sz="0" w:space="0" w:color="auto"/>
          </w:divBdr>
        </w:div>
        <w:div w:id="679622354">
          <w:marLeft w:val="480"/>
          <w:marRight w:val="0"/>
          <w:marTop w:val="0"/>
          <w:marBottom w:val="0"/>
          <w:divBdr>
            <w:top w:val="none" w:sz="0" w:space="0" w:color="auto"/>
            <w:left w:val="none" w:sz="0" w:space="0" w:color="auto"/>
            <w:bottom w:val="none" w:sz="0" w:space="0" w:color="auto"/>
            <w:right w:val="none" w:sz="0" w:space="0" w:color="auto"/>
          </w:divBdr>
        </w:div>
        <w:div w:id="1331564340">
          <w:marLeft w:val="480"/>
          <w:marRight w:val="0"/>
          <w:marTop w:val="0"/>
          <w:marBottom w:val="0"/>
          <w:divBdr>
            <w:top w:val="none" w:sz="0" w:space="0" w:color="auto"/>
            <w:left w:val="none" w:sz="0" w:space="0" w:color="auto"/>
            <w:bottom w:val="none" w:sz="0" w:space="0" w:color="auto"/>
            <w:right w:val="none" w:sz="0" w:space="0" w:color="auto"/>
          </w:divBdr>
        </w:div>
        <w:div w:id="916128803">
          <w:marLeft w:val="480"/>
          <w:marRight w:val="0"/>
          <w:marTop w:val="0"/>
          <w:marBottom w:val="0"/>
          <w:divBdr>
            <w:top w:val="none" w:sz="0" w:space="0" w:color="auto"/>
            <w:left w:val="none" w:sz="0" w:space="0" w:color="auto"/>
            <w:bottom w:val="none" w:sz="0" w:space="0" w:color="auto"/>
            <w:right w:val="none" w:sz="0" w:space="0" w:color="auto"/>
          </w:divBdr>
        </w:div>
        <w:div w:id="1194153366">
          <w:marLeft w:val="480"/>
          <w:marRight w:val="0"/>
          <w:marTop w:val="0"/>
          <w:marBottom w:val="0"/>
          <w:divBdr>
            <w:top w:val="none" w:sz="0" w:space="0" w:color="auto"/>
            <w:left w:val="none" w:sz="0" w:space="0" w:color="auto"/>
            <w:bottom w:val="none" w:sz="0" w:space="0" w:color="auto"/>
            <w:right w:val="none" w:sz="0" w:space="0" w:color="auto"/>
          </w:divBdr>
        </w:div>
        <w:div w:id="2135757846">
          <w:marLeft w:val="480"/>
          <w:marRight w:val="0"/>
          <w:marTop w:val="0"/>
          <w:marBottom w:val="0"/>
          <w:divBdr>
            <w:top w:val="none" w:sz="0" w:space="0" w:color="auto"/>
            <w:left w:val="none" w:sz="0" w:space="0" w:color="auto"/>
            <w:bottom w:val="none" w:sz="0" w:space="0" w:color="auto"/>
            <w:right w:val="none" w:sz="0" w:space="0" w:color="auto"/>
          </w:divBdr>
        </w:div>
        <w:div w:id="899285240">
          <w:marLeft w:val="480"/>
          <w:marRight w:val="0"/>
          <w:marTop w:val="0"/>
          <w:marBottom w:val="0"/>
          <w:divBdr>
            <w:top w:val="none" w:sz="0" w:space="0" w:color="auto"/>
            <w:left w:val="none" w:sz="0" w:space="0" w:color="auto"/>
            <w:bottom w:val="none" w:sz="0" w:space="0" w:color="auto"/>
            <w:right w:val="none" w:sz="0" w:space="0" w:color="auto"/>
          </w:divBdr>
        </w:div>
        <w:div w:id="738483453">
          <w:marLeft w:val="480"/>
          <w:marRight w:val="0"/>
          <w:marTop w:val="0"/>
          <w:marBottom w:val="0"/>
          <w:divBdr>
            <w:top w:val="none" w:sz="0" w:space="0" w:color="auto"/>
            <w:left w:val="none" w:sz="0" w:space="0" w:color="auto"/>
            <w:bottom w:val="none" w:sz="0" w:space="0" w:color="auto"/>
            <w:right w:val="none" w:sz="0" w:space="0" w:color="auto"/>
          </w:divBdr>
        </w:div>
        <w:div w:id="955335177">
          <w:marLeft w:val="480"/>
          <w:marRight w:val="0"/>
          <w:marTop w:val="0"/>
          <w:marBottom w:val="0"/>
          <w:divBdr>
            <w:top w:val="none" w:sz="0" w:space="0" w:color="auto"/>
            <w:left w:val="none" w:sz="0" w:space="0" w:color="auto"/>
            <w:bottom w:val="none" w:sz="0" w:space="0" w:color="auto"/>
            <w:right w:val="none" w:sz="0" w:space="0" w:color="auto"/>
          </w:divBdr>
        </w:div>
        <w:div w:id="1148328947">
          <w:marLeft w:val="480"/>
          <w:marRight w:val="0"/>
          <w:marTop w:val="0"/>
          <w:marBottom w:val="0"/>
          <w:divBdr>
            <w:top w:val="none" w:sz="0" w:space="0" w:color="auto"/>
            <w:left w:val="none" w:sz="0" w:space="0" w:color="auto"/>
            <w:bottom w:val="none" w:sz="0" w:space="0" w:color="auto"/>
            <w:right w:val="none" w:sz="0" w:space="0" w:color="auto"/>
          </w:divBdr>
        </w:div>
        <w:div w:id="1272784251">
          <w:marLeft w:val="480"/>
          <w:marRight w:val="0"/>
          <w:marTop w:val="0"/>
          <w:marBottom w:val="0"/>
          <w:divBdr>
            <w:top w:val="none" w:sz="0" w:space="0" w:color="auto"/>
            <w:left w:val="none" w:sz="0" w:space="0" w:color="auto"/>
            <w:bottom w:val="none" w:sz="0" w:space="0" w:color="auto"/>
            <w:right w:val="none" w:sz="0" w:space="0" w:color="auto"/>
          </w:divBdr>
        </w:div>
        <w:div w:id="1146776025">
          <w:marLeft w:val="480"/>
          <w:marRight w:val="0"/>
          <w:marTop w:val="0"/>
          <w:marBottom w:val="0"/>
          <w:divBdr>
            <w:top w:val="none" w:sz="0" w:space="0" w:color="auto"/>
            <w:left w:val="none" w:sz="0" w:space="0" w:color="auto"/>
            <w:bottom w:val="none" w:sz="0" w:space="0" w:color="auto"/>
            <w:right w:val="none" w:sz="0" w:space="0" w:color="auto"/>
          </w:divBdr>
        </w:div>
        <w:div w:id="1832677129">
          <w:marLeft w:val="480"/>
          <w:marRight w:val="0"/>
          <w:marTop w:val="0"/>
          <w:marBottom w:val="0"/>
          <w:divBdr>
            <w:top w:val="none" w:sz="0" w:space="0" w:color="auto"/>
            <w:left w:val="none" w:sz="0" w:space="0" w:color="auto"/>
            <w:bottom w:val="none" w:sz="0" w:space="0" w:color="auto"/>
            <w:right w:val="none" w:sz="0" w:space="0" w:color="auto"/>
          </w:divBdr>
        </w:div>
        <w:div w:id="145784264">
          <w:marLeft w:val="480"/>
          <w:marRight w:val="0"/>
          <w:marTop w:val="0"/>
          <w:marBottom w:val="0"/>
          <w:divBdr>
            <w:top w:val="none" w:sz="0" w:space="0" w:color="auto"/>
            <w:left w:val="none" w:sz="0" w:space="0" w:color="auto"/>
            <w:bottom w:val="none" w:sz="0" w:space="0" w:color="auto"/>
            <w:right w:val="none" w:sz="0" w:space="0" w:color="auto"/>
          </w:divBdr>
        </w:div>
        <w:div w:id="946082596">
          <w:marLeft w:val="480"/>
          <w:marRight w:val="0"/>
          <w:marTop w:val="0"/>
          <w:marBottom w:val="0"/>
          <w:divBdr>
            <w:top w:val="none" w:sz="0" w:space="0" w:color="auto"/>
            <w:left w:val="none" w:sz="0" w:space="0" w:color="auto"/>
            <w:bottom w:val="none" w:sz="0" w:space="0" w:color="auto"/>
            <w:right w:val="none" w:sz="0" w:space="0" w:color="auto"/>
          </w:divBdr>
        </w:div>
        <w:div w:id="1115172245">
          <w:marLeft w:val="480"/>
          <w:marRight w:val="0"/>
          <w:marTop w:val="0"/>
          <w:marBottom w:val="0"/>
          <w:divBdr>
            <w:top w:val="none" w:sz="0" w:space="0" w:color="auto"/>
            <w:left w:val="none" w:sz="0" w:space="0" w:color="auto"/>
            <w:bottom w:val="none" w:sz="0" w:space="0" w:color="auto"/>
            <w:right w:val="none" w:sz="0" w:space="0" w:color="auto"/>
          </w:divBdr>
        </w:div>
        <w:div w:id="972712763">
          <w:marLeft w:val="480"/>
          <w:marRight w:val="0"/>
          <w:marTop w:val="0"/>
          <w:marBottom w:val="0"/>
          <w:divBdr>
            <w:top w:val="none" w:sz="0" w:space="0" w:color="auto"/>
            <w:left w:val="none" w:sz="0" w:space="0" w:color="auto"/>
            <w:bottom w:val="none" w:sz="0" w:space="0" w:color="auto"/>
            <w:right w:val="none" w:sz="0" w:space="0" w:color="auto"/>
          </w:divBdr>
        </w:div>
        <w:div w:id="267659624">
          <w:marLeft w:val="480"/>
          <w:marRight w:val="0"/>
          <w:marTop w:val="0"/>
          <w:marBottom w:val="0"/>
          <w:divBdr>
            <w:top w:val="none" w:sz="0" w:space="0" w:color="auto"/>
            <w:left w:val="none" w:sz="0" w:space="0" w:color="auto"/>
            <w:bottom w:val="none" w:sz="0" w:space="0" w:color="auto"/>
            <w:right w:val="none" w:sz="0" w:space="0" w:color="auto"/>
          </w:divBdr>
        </w:div>
        <w:div w:id="844782232">
          <w:marLeft w:val="480"/>
          <w:marRight w:val="0"/>
          <w:marTop w:val="0"/>
          <w:marBottom w:val="0"/>
          <w:divBdr>
            <w:top w:val="none" w:sz="0" w:space="0" w:color="auto"/>
            <w:left w:val="none" w:sz="0" w:space="0" w:color="auto"/>
            <w:bottom w:val="none" w:sz="0" w:space="0" w:color="auto"/>
            <w:right w:val="none" w:sz="0" w:space="0" w:color="auto"/>
          </w:divBdr>
        </w:div>
        <w:div w:id="489176594">
          <w:marLeft w:val="480"/>
          <w:marRight w:val="0"/>
          <w:marTop w:val="0"/>
          <w:marBottom w:val="0"/>
          <w:divBdr>
            <w:top w:val="none" w:sz="0" w:space="0" w:color="auto"/>
            <w:left w:val="none" w:sz="0" w:space="0" w:color="auto"/>
            <w:bottom w:val="none" w:sz="0" w:space="0" w:color="auto"/>
            <w:right w:val="none" w:sz="0" w:space="0" w:color="auto"/>
          </w:divBdr>
        </w:div>
        <w:div w:id="535046692">
          <w:marLeft w:val="480"/>
          <w:marRight w:val="0"/>
          <w:marTop w:val="0"/>
          <w:marBottom w:val="0"/>
          <w:divBdr>
            <w:top w:val="none" w:sz="0" w:space="0" w:color="auto"/>
            <w:left w:val="none" w:sz="0" w:space="0" w:color="auto"/>
            <w:bottom w:val="none" w:sz="0" w:space="0" w:color="auto"/>
            <w:right w:val="none" w:sz="0" w:space="0" w:color="auto"/>
          </w:divBdr>
        </w:div>
        <w:div w:id="805783874">
          <w:marLeft w:val="480"/>
          <w:marRight w:val="0"/>
          <w:marTop w:val="0"/>
          <w:marBottom w:val="0"/>
          <w:divBdr>
            <w:top w:val="none" w:sz="0" w:space="0" w:color="auto"/>
            <w:left w:val="none" w:sz="0" w:space="0" w:color="auto"/>
            <w:bottom w:val="none" w:sz="0" w:space="0" w:color="auto"/>
            <w:right w:val="none" w:sz="0" w:space="0" w:color="auto"/>
          </w:divBdr>
        </w:div>
        <w:div w:id="1596326843">
          <w:marLeft w:val="480"/>
          <w:marRight w:val="0"/>
          <w:marTop w:val="0"/>
          <w:marBottom w:val="0"/>
          <w:divBdr>
            <w:top w:val="none" w:sz="0" w:space="0" w:color="auto"/>
            <w:left w:val="none" w:sz="0" w:space="0" w:color="auto"/>
            <w:bottom w:val="none" w:sz="0" w:space="0" w:color="auto"/>
            <w:right w:val="none" w:sz="0" w:space="0" w:color="auto"/>
          </w:divBdr>
        </w:div>
        <w:div w:id="610405496">
          <w:marLeft w:val="480"/>
          <w:marRight w:val="0"/>
          <w:marTop w:val="0"/>
          <w:marBottom w:val="0"/>
          <w:divBdr>
            <w:top w:val="none" w:sz="0" w:space="0" w:color="auto"/>
            <w:left w:val="none" w:sz="0" w:space="0" w:color="auto"/>
            <w:bottom w:val="none" w:sz="0" w:space="0" w:color="auto"/>
            <w:right w:val="none" w:sz="0" w:space="0" w:color="auto"/>
          </w:divBdr>
        </w:div>
        <w:div w:id="1408966193">
          <w:marLeft w:val="480"/>
          <w:marRight w:val="0"/>
          <w:marTop w:val="0"/>
          <w:marBottom w:val="0"/>
          <w:divBdr>
            <w:top w:val="none" w:sz="0" w:space="0" w:color="auto"/>
            <w:left w:val="none" w:sz="0" w:space="0" w:color="auto"/>
            <w:bottom w:val="none" w:sz="0" w:space="0" w:color="auto"/>
            <w:right w:val="none" w:sz="0" w:space="0" w:color="auto"/>
          </w:divBdr>
        </w:div>
        <w:div w:id="1506093175">
          <w:marLeft w:val="480"/>
          <w:marRight w:val="0"/>
          <w:marTop w:val="0"/>
          <w:marBottom w:val="0"/>
          <w:divBdr>
            <w:top w:val="none" w:sz="0" w:space="0" w:color="auto"/>
            <w:left w:val="none" w:sz="0" w:space="0" w:color="auto"/>
            <w:bottom w:val="none" w:sz="0" w:space="0" w:color="auto"/>
            <w:right w:val="none" w:sz="0" w:space="0" w:color="auto"/>
          </w:divBdr>
        </w:div>
        <w:div w:id="1971550390">
          <w:marLeft w:val="480"/>
          <w:marRight w:val="0"/>
          <w:marTop w:val="0"/>
          <w:marBottom w:val="0"/>
          <w:divBdr>
            <w:top w:val="none" w:sz="0" w:space="0" w:color="auto"/>
            <w:left w:val="none" w:sz="0" w:space="0" w:color="auto"/>
            <w:bottom w:val="none" w:sz="0" w:space="0" w:color="auto"/>
            <w:right w:val="none" w:sz="0" w:space="0" w:color="auto"/>
          </w:divBdr>
        </w:div>
        <w:div w:id="1076130061">
          <w:marLeft w:val="480"/>
          <w:marRight w:val="0"/>
          <w:marTop w:val="0"/>
          <w:marBottom w:val="0"/>
          <w:divBdr>
            <w:top w:val="none" w:sz="0" w:space="0" w:color="auto"/>
            <w:left w:val="none" w:sz="0" w:space="0" w:color="auto"/>
            <w:bottom w:val="none" w:sz="0" w:space="0" w:color="auto"/>
            <w:right w:val="none" w:sz="0" w:space="0" w:color="auto"/>
          </w:divBdr>
        </w:div>
        <w:div w:id="78452391">
          <w:marLeft w:val="480"/>
          <w:marRight w:val="0"/>
          <w:marTop w:val="0"/>
          <w:marBottom w:val="0"/>
          <w:divBdr>
            <w:top w:val="none" w:sz="0" w:space="0" w:color="auto"/>
            <w:left w:val="none" w:sz="0" w:space="0" w:color="auto"/>
            <w:bottom w:val="none" w:sz="0" w:space="0" w:color="auto"/>
            <w:right w:val="none" w:sz="0" w:space="0" w:color="auto"/>
          </w:divBdr>
        </w:div>
        <w:div w:id="2020740573">
          <w:marLeft w:val="480"/>
          <w:marRight w:val="0"/>
          <w:marTop w:val="0"/>
          <w:marBottom w:val="0"/>
          <w:divBdr>
            <w:top w:val="none" w:sz="0" w:space="0" w:color="auto"/>
            <w:left w:val="none" w:sz="0" w:space="0" w:color="auto"/>
            <w:bottom w:val="none" w:sz="0" w:space="0" w:color="auto"/>
            <w:right w:val="none" w:sz="0" w:space="0" w:color="auto"/>
          </w:divBdr>
        </w:div>
        <w:div w:id="759447171">
          <w:marLeft w:val="480"/>
          <w:marRight w:val="0"/>
          <w:marTop w:val="0"/>
          <w:marBottom w:val="0"/>
          <w:divBdr>
            <w:top w:val="none" w:sz="0" w:space="0" w:color="auto"/>
            <w:left w:val="none" w:sz="0" w:space="0" w:color="auto"/>
            <w:bottom w:val="none" w:sz="0" w:space="0" w:color="auto"/>
            <w:right w:val="none" w:sz="0" w:space="0" w:color="auto"/>
          </w:divBdr>
        </w:div>
        <w:div w:id="212159387">
          <w:marLeft w:val="480"/>
          <w:marRight w:val="0"/>
          <w:marTop w:val="0"/>
          <w:marBottom w:val="0"/>
          <w:divBdr>
            <w:top w:val="none" w:sz="0" w:space="0" w:color="auto"/>
            <w:left w:val="none" w:sz="0" w:space="0" w:color="auto"/>
            <w:bottom w:val="none" w:sz="0" w:space="0" w:color="auto"/>
            <w:right w:val="none" w:sz="0" w:space="0" w:color="auto"/>
          </w:divBdr>
        </w:div>
        <w:div w:id="1280453503">
          <w:marLeft w:val="480"/>
          <w:marRight w:val="0"/>
          <w:marTop w:val="0"/>
          <w:marBottom w:val="0"/>
          <w:divBdr>
            <w:top w:val="none" w:sz="0" w:space="0" w:color="auto"/>
            <w:left w:val="none" w:sz="0" w:space="0" w:color="auto"/>
            <w:bottom w:val="none" w:sz="0" w:space="0" w:color="auto"/>
            <w:right w:val="none" w:sz="0" w:space="0" w:color="auto"/>
          </w:divBdr>
        </w:div>
        <w:div w:id="482041801">
          <w:marLeft w:val="480"/>
          <w:marRight w:val="0"/>
          <w:marTop w:val="0"/>
          <w:marBottom w:val="0"/>
          <w:divBdr>
            <w:top w:val="none" w:sz="0" w:space="0" w:color="auto"/>
            <w:left w:val="none" w:sz="0" w:space="0" w:color="auto"/>
            <w:bottom w:val="none" w:sz="0" w:space="0" w:color="auto"/>
            <w:right w:val="none" w:sz="0" w:space="0" w:color="auto"/>
          </w:divBdr>
        </w:div>
        <w:div w:id="165749733">
          <w:marLeft w:val="480"/>
          <w:marRight w:val="0"/>
          <w:marTop w:val="0"/>
          <w:marBottom w:val="0"/>
          <w:divBdr>
            <w:top w:val="none" w:sz="0" w:space="0" w:color="auto"/>
            <w:left w:val="none" w:sz="0" w:space="0" w:color="auto"/>
            <w:bottom w:val="none" w:sz="0" w:space="0" w:color="auto"/>
            <w:right w:val="none" w:sz="0" w:space="0" w:color="auto"/>
          </w:divBdr>
        </w:div>
        <w:div w:id="406659050">
          <w:marLeft w:val="480"/>
          <w:marRight w:val="0"/>
          <w:marTop w:val="0"/>
          <w:marBottom w:val="0"/>
          <w:divBdr>
            <w:top w:val="none" w:sz="0" w:space="0" w:color="auto"/>
            <w:left w:val="none" w:sz="0" w:space="0" w:color="auto"/>
            <w:bottom w:val="none" w:sz="0" w:space="0" w:color="auto"/>
            <w:right w:val="none" w:sz="0" w:space="0" w:color="auto"/>
          </w:divBdr>
        </w:div>
        <w:div w:id="352416304">
          <w:marLeft w:val="480"/>
          <w:marRight w:val="0"/>
          <w:marTop w:val="0"/>
          <w:marBottom w:val="0"/>
          <w:divBdr>
            <w:top w:val="none" w:sz="0" w:space="0" w:color="auto"/>
            <w:left w:val="none" w:sz="0" w:space="0" w:color="auto"/>
            <w:bottom w:val="none" w:sz="0" w:space="0" w:color="auto"/>
            <w:right w:val="none" w:sz="0" w:space="0" w:color="auto"/>
          </w:divBdr>
        </w:div>
        <w:div w:id="908612701">
          <w:marLeft w:val="480"/>
          <w:marRight w:val="0"/>
          <w:marTop w:val="0"/>
          <w:marBottom w:val="0"/>
          <w:divBdr>
            <w:top w:val="none" w:sz="0" w:space="0" w:color="auto"/>
            <w:left w:val="none" w:sz="0" w:space="0" w:color="auto"/>
            <w:bottom w:val="none" w:sz="0" w:space="0" w:color="auto"/>
            <w:right w:val="none" w:sz="0" w:space="0" w:color="auto"/>
          </w:divBdr>
        </w:div>
        <w:div w:id="1557549228">
          <w:marLeft w:val="480"/>
          <w:marRight w:val="0"/>
          <w:marTop w:val="0"/>
          <w:marBottom w:val="0"/>
          <w:divBdr>
            <w:top w:val="none" w:sz="0" w:space="0" w:color="auto"/>
            <w:left w:val="none" w:sz="0" w:space="0" w:color="auto"/>
            <w:bottom w:val="none" w:sz="0" w:space="0" w:color="auto"/>
            <w:right w:val="none" w:sz="0" w:space="0" w:color="auto"/>
          </w:divBdr>
        </w:div>
        <w:div w:id="1946882017">
          <w:marLeft w:val="480"/>
          <w:marRight w:val="0"/>
          <w:marTop w:val="0"/>
          <w:marBottom w:val="0"/>
          <w:divBdr>
            <w:top w:val="none" w:sz="0" w:space="0" w:color="auto"/>
            <w:left w:val="none" w:sz="0" w:space="0" w:color="auto"/>
            <w:bottom w:val="none" w:sz="0" w:space="0" w:color="auto"/>
            <w:right w:val="none" w:sz="0" w:space="0" w:color="auto"/>
          </w:divBdr>
        </w:div>
        <w:div w:id="668021952">
          <w:marLeft w:val="480"/>
          <w:marRight w:val="0"/>
          <w:marTop w:val="0"/>
          <w:marBottom w:val="0"/>
          <w:divBdr>
            <w:top w:val="none" w:sz="0" w:space="0" w:color="auto"/>
            <w:left w:val="none" w:sz="0" w:space="0" w:color="auto"/>
            <w:bottom w:val="none" w:sz="0" w:space="0" w:color="auto"/>
            <w:right w:val="none" w:sz="0" w:space="0" w:color="auto"/>
          </w:divBdr>
        </w:div>
        <w:div w:id="1214581152">
          <w:marLeft w:val="480"/>
          <w:marRight w:val="0"/>
          <w:marTop w:val="0"/>
          <w:marBottom w:val="0"/>
          <w:divBdr>
            <w:top w:val="none" w:sz="0" w:space="0" w:color="auto"/>
            <w:left w:val="none" w:sz="0" w:space="0" w:color="auto"/>
            <w:bottom w:val="none" w:sz="0" w:space="0" w:color="auto"/>
            <w:right w:val="none" w:sz="0" w:space="0" w:color="auto"/>
          </w:divBdr>
        </w:div>
        <w:div w:id="351499663">
          <w:marLeft w:val="480"/>
          <w:marRight w:val="0"/>
          <w:marTop w:val="0"/>
          <w:marBottom w:val="0"/>
          <w:divBdr>
            <w:top w:val="none" w:sz="0" w:space="0" w:color="auto"/>
            <w:left w:val="none" w:sz="0" w:space="0" w:color="auto"/>
            <w:bottom w:val="none" w:sz="0" w:space="0" w:color="auto"/>
            <w:right w:val="none" w:sz="0" w:space="0" w:color="auto"/>
          </w:divBdr>
        </w:div>
        <w:div w:id="790442729">
          <w:marLeft w:val="480"/>
          <w:marRight w:val="0"/>
          <w:marTop w:val="0"/>
          <w:marBottom w:val="0"/>
          <w:divBdr>
            <w:top w:val="none" w:sz="0" w:space="0" w:color="auto"/>
            <w:left w:val="none" w:sz="0" w:space="0" w:color="auto"/>
            <w:bottom w:val="none" w:sz="0" w:space="0" w:color="auto"/>
            <w:right w:val="none" w:sz="0" w:space="0" w:color="auto"/>
          </w:divBdr>
        </w:div>
        <w:div w:id="653219761">
          <w:marLeft w:val="480"/>
          <w:marRight w:val="0"/>
          <w:marTop w:val="0"/>
          <w:marBottom w:val="0"/>
          <w:divBdr>
            <w:top w:val="none" w:sz="0" w:space="0" w:color="auto"/>
            <w:left w:val="none" w:sz="0" w:space="0" w:color="auto"/>
            <w:bottom w:val="none" w:sz="0" w:space="0" w:color="auto"/>
            <w:right w:val="none" w:sz="0" w:space="0" w:color="auto"/>
          </w:divBdr>
        </w:div>
        <w:div w:id="701638363">
          <w:marLeft w:val="480"/>
          <w:marRight w:val="0"/>
          <w:marTop w:val="0"/>
          <w:marBottom w:val="0"/>
          <w:divBdr>
            <w:top w:val="none" w:sz="0" w:space="0" w:color="auto"/>
            <w:left w:val="none" w:sz="0" w:space="0" w:color="auto"/>
            <w:bottom w:val="none" w:sz="0" w:space="0" w:color="auto"/>
            <w:right w:val="none" w:sz="0" w:space="0" w:color="auto"/>
          </w:divBdr>
        </w:div>
        <w:div w:id="2005863785">
          <w:marLeft w:val="480"/>
          <w:marRight w:val="0"/>
          <w:marTop w:val="0"/>
          <w:marBottom w:val="0"/>
          <w:divBdr>
            <w:top w:val="none" w:sz="0" w:space="0" w:color="auto"/>
            <w:left w:val="none" w:sz="0" w:space="0" w:color="auto"/>
            <w:bottom w:val="none" w:sz="0" w:space="0" w:color="auto"/>
            <w:right w:val="none" w:sz="0" w:space="0" w:color="auto"/>
          </w:divBdr>
        </w:div>
        <w:div w:id="1535145560">
          <w:marLeft w:val="480"/>
          <w:marRight w:val="0"/>
          <w:marTop w:val="0"/>
          <w:marBottom w:val="0"/>
          <w:divBdr>
            <w:top w:val="none" w:sz="0" w:space="0" w:color="auto"/>
            <w:left w:val="none" w:sz="0" w:space="0" w:color="auto"/>
            <w:bottom w:val="none" w:sz="0" w:space="0" w:color="auto"/>
            <w:right w:val="none" w:sz="0" w:space="0" w:color="auto"/>
          </w:divBdr>
        </w:div>
        <w:div w:id="1825076553">
          <w:marLeft w:val="480"/>
          <w:marRight w:val="0"/>
          <w:marTop w:val="0"/>
          <w:marBottom w:val="0"/>
          <w:divBdr>
            <w:top w:val="none" w:sz="0" w:space="0" w:color="auto"/>
            <w:left w:val="none" w:sz="0" w:space="0" w:color="auto"/>
            <w:bottom w:val="none" w:sz="0" w:space="0" w:color="auto"/>
            <w:right w:val="none" w:sz="0" w:space="0" w:color="auto"/>
          </w:divBdr>
        </w:div>
        <w:div w:id="1305937585">
          <w:marLeft w:val="480"/>
          <w:marRight w:val="0"/>
          <w:marTop w:val="0"/>
          <w:marBottom w:val="0"/>
          <w:divBdr>
            <w:top w:val="none" w:sz="0" w:space="0" w:color="auto"/>
            <w:left w:val="none" w:sz="0" w:space="0" w:color="auto"/>
            <w:bottom w:val="none" w:sz="0" w:space="0" w:color="auto"/>
            <w:right w:val="none" w:sz="0" w:space="0" w:color="auto"/>
          </w:divBdr>
        </w:div>
        <w:div w:id="1459883527">
          <w:marLeft w:val="480"/>
          <w:marRight w:val="0"/>
          <w:marTop w:val="0"/>
          <w:marBottom w:val="0"/>
          <w:divBdr>
            <w:top w:val="none" w:sz="0" w:space="0" w:color="auto"/>
            <w:left w:val="none" w:sz="0" w:space="0" w:color="auto"/>
            <w:bottom w:val="none" w:sz="0" w:space="0" w:color="auto"/>
            <w:right w:val="none" w:sz="0" w:space="0" w:color="auto"/>
          </w:divBdr>
        </w:div>
        <w:div w:id="940256772">
          <w:marLeft w:val="480"/>
          <w:marRight w:val="0"/>
          <w:marTop w:val="0"/>
          <w:marBottom w:val="0"/>
          <w:divBdr>
            <w:top w:val="none" w:sz="0" w:space="0" w:color="auto"/>
            <w:left w:val="none" w:sz="0" w:space="0" w:color="auto"/>
            <w:bottom w:val="none" w:sz="0" w:space="0" w:color="auto"/>
            <w:right w:val="none" w:sz="0" w:space="0" w:color="auto"/>
          </w:divBdr>
        </w:div>
        <w:div w:id="792404809">
          <w:marLeft w:val="480"/>
          <w:marRight w:val="0"/>
          <w:marTop w:val="0"/>
          <w:marBottom w:val="0"/>
          <w:divBdr>
            <w:top w:val="none" w:sz="0" w:space="0" w:color="auto"/>
            <w:left w:val="none" w:sz="0" w:space="0" w:color="auto"/>
            <w:bottom w:val="none" w:sz="0" w:space="0" w:color="auto"/>
            <w:right w:val="none" w:sz="0" w:space="0" w:color="auto"/>
          </w:divBdr>
        </w:div>
        <w:div w:id="313923115">
          <w:marLeft w:val="480"/>
          <w:marRight w:val="0"/>
          <w:marTop w:val="0"/>
          <w:marBottom w:val="0"/>
          <w:divBdr>
            <w:top w:val="none" w:sz="0" w:space="0" w:color="auto"/>
            <w:left w:val="none" w:sz="0" w:space="0" w:color="auto"/>
            <w:bottom w:val="none" w:sz="0" w:space="0" w:color="auto"/>
            <w:right w:val="none" w:sz="0" w:space="0" w:color="auto"/>
          </w:divBdr>
        </w:div>
        <w:div w:id="1886987415">
          <w:marLeft w:val="480"/>
          <w:marRight w:val="0"/>
          <w:marTop w:val="0"/>
          <w:marBottom w:val="0"/>
          <w:divBdr>
            <w:top w:val="none" w:sz="0" w:space="0" w:color="auto"/>
            <w:left w:val="none" w:sz="0" w:space="0" w:color="auto"/>
            <w:bottom w:val="none" w:sz="0" w:space="0" w:color="auto"/>
            <w:right w:val="none" w:sz="0" w:space="0" w:color="auto"/>
          </w:divBdr>
        </w:div>
        <w:div w:id="1508399556">
          <w:marLeft w:val="480"/>
          <w:marRight w:val="0"/>
          <w:marTop w:val="0"/>
          <w:marBottom w:val="0"/>
          <w:divBdr>
            <w:top w:val="none" w:sz="0" w:space="0" w:color="auto"/>
            <w:left w:val="none" w:sz="0" w:space="0" w:color="auto"/>
            <w:bottom w:val="none" w:sz="0" w:space="0" w:color="auto"/>
            <w:right w:val="none" w:sz="0" w:space="0" w:color="auto"/>
          </w:divBdr>
        </w:div>
        <w:div w:id="1966229699">
          <w:marLeft w:val="480"/>
          <w:marRight w:val="0"/>
          <w:marTop w:val="0"/>
          <w:marBottom w:val="0"/>
          <w:divBdr>
            <w:top w:val="none" w:sz="0" w:space="0" w:color="auto"/>
            <w:left w:val="none" w:sz="0" w:space="0" w:color="auto"/>
            <w:bottom w:val="none" w:sz="0" w:space="0" w:color="auto"/>
            <w:right w:val="none" w:sz="0" w:space="0" w:color="auto"/>
          </w:divBdr>
        </w:div>
        <w:div w:id="1975331083">
          <w:marLeft w:val="480"/>
          <w:marRight w:val="0"/>
          <w:marTop w:val="0"/>
          <w:marBottom w:val="0"/>
          <w:divBdr>
            <w:top w:val="none" w:sz="0" w:space="0" w:color="auto"/>
            <w:left w:val="none" w:sz="0" w:space="0" w:color="auto"/>
            <w:bottom w:val="none" w:sz="0" w:space="0" w:color="auto"/>
            <w:right w:val="none" w:sz="0" w:space="0" w:color="auto"/>
          </w:divBdr>
        </w:div>
        <w:div w:id="1509633673">
          <w:marLeft w:val="480"/>
          <w:marRight w:val="0"/>
          <w:marTop w:val="0"/>
          <w:marBottom w:val="0"/>
          <w:divBdr>
            <w:top w:val="none" w:sz="0" w:space="0" w:color="auto"/>
            <w:left w:val="none" w:sz="0" w:space="0" w:color="auto"/>
            <w:bottom w:val="none" w:sz="0" w:space="0" w:color="auto"/>
            <w:right w:val="none" w:sz="0" w:space="0" w:color="auto"/>
          </w:divBdr>
        </w:div>
        <w:div w:id="780803915">
          <w:marLeft w:val="480"/>
          <w:marRight w:val="0"/>
          <w:marTop w:val="0"/>
          <w:marBottom w:val="0"/>
          <w:divBdr>
            <w:top w:val="none" w:sz="0" w:space="0" w:color="auto"/>
            <w:left w:val="none" w:sz="0" w:space="0" w:color="auto"/>
            <w:bottom w:val="none" w:sz="0" w:space="0" w:color="auto"/>
            <w:right w:val="none" w:sz="0" w:space="0" w:color="auto"/>
          </w:divBdr>
        </w:div>
        <w:div w:id="19093520">
          <w:marLeft w:val="480"/>
          <w:marRight w:val="0"/>
          <w:marTop w:val="0"/>
          <w:marBottom w:val="0"/>
          <w:divBdr>
            <w:top w:val="none" w:sz="0" w:space="0" w:color="auto"/>
            <w:left w:val="none" w:sz="0" w:space="0" w:color="auto"/>
            <w:bottom w:val="none" w:sz="0" w:space="0" w:color="auto"/>
            <w:right w:val="none" w:sz="0" w:space="0" w:color="auto"/>
          </w:divBdr>
        </w:div>
        <w:div w:id="1550452883">
          <w:marLeft w:val="480"/>
          <w:marRight w:val="0"/>
          <w:marTop w:val="0"/>
          <w:marBottom w:val="0"/>
          <w:divBdr>
            <w:top w:val="none" w:sz="0" w:space="0" w:color="auto"/>
            <w:left w:val="none" w:sz="0" w:space="0" w:color="auto"/>
            <w:bottom w:val="none" w:sz="0" w:space="0" w:color="auto"/>
            <w:right w:val="none" w:sz="0" w:space="0" w:color="auto"/>
          </w:divBdr>
        </w:div>
        <w:div w:id="1250650999">
          <w:marLeft w:val="480"/>
          <w:marRight w:val="0"/>
          <w:marTop w:val="0"/>
          <w:marBottom w:val="0"/>
          <w:divBdr>
            <w:top w:val="none" w:sz="0" w:space="0" w:color="auto"/>
            <w:left w:val="none" w:sz="0" w:space="0" w:color="auto"/>
            <w:bottom w:val="none" w:sz="0" w:space="0" w:color="auto"/>
            <w:right w:val="none" w:sz="0" w:space="0" w:color="auto"/>
          </w:divBdr>
        </w:div>
        <w:div w:id="2025981493">
          <w:marLeft w:val="480"/>
          <w:marRight w:val="0"/>
          <w:marTop w:val="0"/>
          <w:marBottom w:val="0"/>
          <w:divBdr>
            <w:top w:val="none" w:sz="0" w:space="0" w:color="auto"/>
            <w:left w:val="none" w:sz="0" w:space="0" w:color="auto"/>
            <w:bottom w:val="none" w:sz="0" w:space="0" w:color="auto"/>
            <w:right w:val="none" w:sz="0" w:space="0" w:color="auto"/>
          </w:divBdr>
        </w:div>
        <w:div w:id="1200584978">
          <w:marLeft w:val="480"/>
          <w:marRight w:val="0"/>
          <w:marTop w:val="0"/>
          <w:marBottom w:val="0"/>
          <w:divBdr>
            <w:top w:val="none" w:sz="0" w:space="0" w:color="auto"/>
            <w:left w:val="none" w:sz="0" w:space="0" w:color="auto"/>
            <w:bottom w:val="none" w:sz="0" w:space="0" w:color="auto"/>
            <w:right w:val="none" w:sz="0" w:space="0" w:color="auto"/>
          </w:divBdr>
        </w:div>
        <w:div w:id="958072593">
          <w:marLeft w:val="480"/>
          <w:marRight w:val="0"/>
          <w:marTop w:val="0"/>
          <w:marBottom w:val="0"/>
          <w:divBdr>
            <w:top w:val="none" w:sz="0" w:space="0" w:color="auto"/>
            <w:left w:val="none" w:sz="0" w:space="0" w:color="auto"/>
            <w:bottom w:val="none" w:sz="0" w:space="0" w:color="auto"/>
            <w:right w:val="none" w:sz="0" w:space="0" w:color="auto"/>
          </w:divBdr>
        </w:div>
        <w:div w:id="953291625">
          <w:marLeft w:val="480"/>
          <w:marRight w:val="0"/>
          <w:marTop w:val="0"/>
          <w:marBottom w:val="0"/>
          <w:divBdr>
            <w:top w:val="none" w:sz="0" w:space="0" w:color="auto"/>
            <w:left w:val="none" w:sz="0" w:space="0" w:color="auto"/>
            <w:bottom w:val="none" w:sz="0" w:space="0" w:color="auto"/>
            <w:right w:val="none" w:sz="0" w:space="0" w:color="auto"/>
          </w:divBdr>
        </w:div>
        <w:div w:id="449127033">
          <w:marLeft w:val="480"/>
          <w:marRight w:val="0"/>
          <w:marTop w:val="0"/>
          <w:marBottom w:val="0"/>
          <w:divBdr>
            <w:top w:val="none" w:sz="0" w:space="0" w:color="auto"/>
            <w:left w:val="none" w:sz="0" w:space="0" w:color="auto"/>
            <w:bottom w:val="none" w:sz="0" w:space="0" w:color="auto"/>
            <w:right w:val="none" w:sz="0" w:space="0" w:color="auto"/>
          </w:divBdr>
        </w:div>
        <w:div w:id="1350061975">
          <w:marLeft w:val="480"/>
          <w:marRight w:val="0"/>
          <w:marTop w:val="0"/>
          <w:marBottom w:val="0"/>
          <w:divBdr>
            <w:top w:val="none" w:sz="0" w:space="0" w:color="auto"/>
            <w:left w:val="none" w:sz="0" w:space="0" w:color="auto"/>
            <w:bottom w:val="none" w:sz="0" w:space="0" w:color="auto"/>
            <w:right w:val="none" w:sz="0" w:space="0" w:color="auto"/>
          </w:divBdr>
        </w:div>
        <w:div w:id="1147747988">
          <w:marLeft w:val="480"/>
          <w:marRight w:val="0"/>
          <w:marTop w:val="0"/>
          <w:marBottom w:val="0"/>
          <w:divBdr>
            <w:top w:val="none" w:sz="0" w:space="0" w:color="auto"/>
            <w:left w:val="none" w:sz="0" w:space="0" w:color="auto"/>
            <w:bottom w:val="none" w:sz="0" w:space="0" w:color="auto"/>
            <w:right w:val="none" w:sz="0" w:space="0" w:color="auto"/>
          </w:divBdr>
        </w:div>
        <w:div w:id="1559435551">
          <w:marLeft w:val="480"/>
          <w:marRight w:val="0"/>
          <w:marTop w:val="0"/>
          <w:marBottom w:val="0"/>
          <w:divBdr>
            <w:top w:val="none" w:sz="0" w:space="0" w:color="auto"/>
            <w:left w:val="none" w:sz="0" w:space="0" w:color="auto"/>
            <w:bottom w:val="none" w:sz="0" w:space="0" w:color="auto"/>
            <w:right w:val="none" w:sz="0" w:space="0" w:color="auto"/>
          </w:divBdr>
        </w:div>
        <w:div w:id="1549563870">
          <w:marLeft w:val="480"/>
          <w:marRight w:val="0"/>
          <w:marTop w:val="0"/>
          <w:marBottom w:val="0"/>
          <w:divBdr>
            <w:top w:val="none" w:sz="0" w:space="0" w:color="auto"/>
            <w:left w:val="none" w:sz="0" w:space="0" w:color="auto"/>
            <w:bottom w:val="none" w:sz="0" w:space="0" w:color="auto"/>
            <w:right w:val="none" w:sz="0" w:space="0" w:color="auto"/>
          </w:divBdr>
        </w:div>
        <w:div w:id="1998143941">
          <w:marLeft w:val="480"/>
          <w:marRight w:val="0"/>
          <w:marTop w:val="0"/>
          <w:marBottom w:val="0"/>
          <w:divBdr>
            <w:top w:val="none" w:sz="0" w:space="0" w:color="auto"/>
            <w:left w:val="none" w:sz="0" w:space="0" w:color="auto"/>
            <w:bottom w:val="none" w:sz="0" w:space="0" w:color="auto"/>
            <w:right w:val="none" w:sz="0" w:space="0" w:color="auto"/>
          </w:divBdr>
        </w:div>
        <w:div w:id="1849901034">
          <w:marLeft w:val="480"/>
          <w:marRight w:val="0"/>
          <w:marTop w:val="0"/>
          <w:marBottom w:val="0"/>
          <w:divBdr>
            <w:top w:val="none" w:sz="0" w:space="0" w:color="auto"/>
            <w:left w:val="none" w:sz="0" w:space="0" w:color="auto"/>
            <w:bottom w:val="none" w:sz="0" w:space="0" w:color="auto"/>
            <w:right w:val="none" w:sz="0" w:space="0" w:color="auto"/>
          </w:divBdr>
        </w:div>
        <w:div w:id="1738361267">
          <w:marLeft w:val="480"/>
          <w:marRight w:val="0"/>
          <w:marTop w:val="0"/>
          <w:marBottom w:val="0"/>
          <w:divBdr>
            <w:top w:val="none" w:sz="0" w:space="0" w:color="auto"/>
            <w:left w:val="none" w:sz="0" w:space="0" w:color="auto"/>
            <w:bottom w:val="none" w:sz="0" w:space="0" w:color="auto"/>
            <w:right w:val="none" w:sz="0" w:space="0" w:color="auto"/>
          </w:divBdr>
        </w:div>
        <w:div w:id="1794517562">
          <w:marLeft w:val="480"/>
          <w:marRight w:val="0"/>
          <w:marTop w:val="0"/>
          <w:marBottom w:val="0"/>
          <w:divBdr>
            <w:top w:val="none" w:sz="0" w:space="0" w:color="auto"/>
            <w:left w:val="none" w:sz="0" w:space="0" w:color="auto"/>
            <w:bottom w:val="none" w:sz="0" w:space="0" w:color="auto"/>
            <w:right w:val="none" w:sz="0" w:space="0" w:color="auto"/>
          </w:divBdr>
        </w:div>
        <w:div w:id="1833176454">
          <w:marLeft w:val="480"/>
          <w:marRight w:val="0"/>
          <w:marTop w:val="0"/>
          <w:marBottom w:val="0"/>
          <w:divBdr>
            <w:top w:val="none" w:sz="0" w:space="0" w:color="auto"/>
            <w:left w:val="none" w:sz="0" w:space="0" w:color="auto"/>
            <w:bottom w:val="none" w:sz="0" w:space="0" w:color="auto"/>
            <w:right w:val="none" w:sz="0" w:space="0" w:color="auto"/>
          </w:divBdr>
        </w:div>
        <w:div w:id="718239229">
          <w:marLeft w:val="480"/>
          <w:marRight w:val="0"/>
          <w:marTop w:val="0"/>
          <w:marBottom w:val="0"/>
          <w:divBdr>
            <w:top w:val="none" w:sz="0" w:space="0" w:color="auto"/>
            <w:left w:val="none" w:sz="0" w:space="0" w:color="auto"/>
            <w:bottom w:val="none" w:sz="0" w:space="0" w:color="auto"/>
            <w:right w:val="none" w:sz="0" w:space="0" w:color="auto"/>
          </w:divBdr>
        </w:div>
        <w:div w:id="1012075646">
          <w:marLeft w:val="480"/>
          <w:marRight w:val="0"/>
          <w:marTop w:val="0"/>
          <w:marBottom w:val="0"/>
          <w:divBdr>
            <w:top w:val="none" w:sz="0" w:space="0" w:color="auto"/>
            <w:left w:val="none" w:sz="0" w:space="0" w:color="auto"/>
            <w:bottom w:val="none" w:sz="0" w:space="0" w:color="auto"/>
            <w:right w:val="none" w:sz="0" w:space="0" w:color="auto"/>
          </w:divBdr>
        </w:div>
        <w:div w:id="1247885984">
          <w:marLeft w:val="480"/>
          <w:marRight w:val="0"/>
          <w:marTop w:val="0"/>
          <w:marBottom w:val="0"/>
          <w:divBdr>
            <w:top w:val="none" w:sz="0" w:space="0" w:color="auto"/>
            <w:left w:val="none" w:sz="0" w:space="0" w:color="auto"/>
            <w:bottom w:val="none" w:sz="0" w:space="0" w:color="auto"/>
            <w:right w:val="none" w:sz="0" w:space="0" w:color="auto"/>
          </w:divBdr>
        </w:div>
        <w:div w:id="972058742">
          <w:marLeft w:val="480"/>
          <w:marRight w:val="0"/>
          <w:marTop w:val="0"/>
          <w:marBottom w:val="0"/>
          <w:divBdr>
            <w:top w:val="none" w:sz="0" w:space="0" w:color="auto"/>
            <w:left w:val="none" w:sz="0" w:space="0" w:color="auto"/>
            <w:bottom w:val="none" w:sz="0" w:space="0" w:color="auto"/>
            <w:right w:val="none" w:sz="0" w:space="0" w:color="auto"/>
          </w:divBdr>
        </w:div>
        <w:div w:id="1572274392">
          <w:marLeft w:val="480"/>
          <w:marRight w:val="0"/>
          <w:marTop w:val="0"/>
          <w:marBottom w:val="0"/>
          <w:divBdr>
            <w:top w:val="none" w:sz="0" w:space="0" w:color="auto"/>
            <w:left w:val="none" w:sz="0" w:space="0" w:color="auto"/>
            <w:bottom w:val="none" w:sz="0" w:space="0" w:color="auto"/>
            <w:right w:val="none" w:sz="0" w:space="0" w:color="auto"/>
          </w:divBdr>
        </w:div>
        <w:div w:id="289476292">
          <w:marLeft w:val="480"/>
          <w:marRight w:val="0"/>
          <w:marTop w:val="0"/>
          <w:marBottom w:val="0"/>
          <w:divBdr>
            <w:top w:val="none" w:sz="0" w:space="0" w:color="auto"/>
            <w:left w:val="none" w:sz="0" w:space="0" w:color="auto"/>
            <w:bottom w:val="none" w:sz="0" w:space="0" w:color="auto"/>
            <w:right w:val="none" w:sz="0" w:space="0" w:color="auto"/>
          </w:divBdr>
        </w:div>
        <w:div w:id="1893732313">
          <w:marLeft w:val="480"/>
          <w:marRight w:val="0"/>
          <w:marTop w:val="0"/>
          <w:marBottom w:val="0"/>
          <w:divBdr>
            <w:top w:val="none" w:sz="0" w:space="0" w:color="auto"/>
            <w:left w:val="none" w:sz="0" w:space="0" w:color="auto"/>
            <w:bottom w:val="none" w:sz="0" w:space="0" w:color="auto"/>
            <w:right w:val="none" w:sz="0" w:space="0" w:color="auto"/>
          </w:divBdr>
        </w:div>
      </w:divsChild>
    </w:div>
    <w:div w:id="1955281979">
      <w:bodyDiv w:val="1"/>
      <w:marLeft w:val="0"/>
      <w:marRight w:val="0"/>
      <w:marTop w:val="0"/>
      <w:marBottom w:val="0"/>
      <w:divBdr>
        <w:top w:val="none" w:sz="0" w:space="0" w:color="auto"/>
        <w:left w:val="none" w:sz="0" w:space="0" w:color="auto"/>
        <w:bottom w:val="none" w:sz="0" w:space="0" w:color="auto"/>
        <w:right w:val="none" w:sz="0" w:space="0" w:color="auto"/>
      </w:divBdr>
    </w:div>
    <w:div w:id="1958875750">
      <w:bodyDiv w:val="1"/>
      <w:marLeft w:val="0"/>
      <w:marRight w:val="0"/>
      <w:marTop w:val="0"/>
      <w:marBottom w:val="0"/>
      <w:divBdr>
        <w:top w:val="none" w:sz="0" w:space="0" w:color="auto"/>
        <w:left w:val="none" w:sz="0" w:space="0" w:color="auto"/>
        <w:bottom w:val="none" w:sz="0" w:space="0" w:color="auto"/>
        <w:right w:val="none" w:sz="0" w:space="0" w:color="auto"/>
      </w:divBdr>
    </w:div>
    <w:div w:id="1959411682">
      <w:bodyDiv w:val="1"/>
      <w:marLeft w:val="0"/>
      <w:marRight w:val="0"/>
      <w:marTop w:val="0"/>
      <w:marBottom w:val="0"/>
      <w:divBdr>
        <w:top w:val="none" w:sz="0" w:space="0" w:color="auto"/>
        <w:left w:val="none" w:sz="0" w:space="0" w:color="auto"/>
        <w:bottom w:val="none" w:sz="0" w:space="0" w:color="auto"/>
        <w:right w:val="none" w:sz="0" w:space="0" w:color="auto"/>
      </w:divBdr>
    </w:div>
    <w:div w:id="1959948816">
      <w:bodyDiv w:val="1"/>
      <w:marLeft w:val="0"/>
      <w:marRight w:val="0"/>
      <w:marTop w:val="0"/>
      <w:marBottom w:val="0"/>
      <w:divBdr>
        <w:top w:val="none" w:sz="0" w:space="0" w:color="auto"/>
        <w:left w:val="none" w:sz="0" w:space="0" w:color="auto"/>
        <w:bottom w:val="none" w:sz="0" w:space="0" w:color="auto"/>
        <w:right w:val="none" w:sz="0" w:space="0" w:color="auto"/>
      </w:divBdr>
    </w:div>
    <w:div w:id="1959988000">
      <w:bodyDiv w:val="1"/>
      <w:marLeft w:val="0"/>
      <w:marRight w:val="0"/>
      <w:marTop w:val="0"/>
      <w:marBottom w:val="0"/>
      <w:divBdr>
        <w:top w:val="none" w:sz="0" w:space="0" w:color="auto"/>
        <w:left w:val="none" w:sz="0" w:space="0" w:color="auto"/>
        <w:bottom w:val="none" w:sz="0" w:space="0" w:color="auto"/>
        <w:right w:val="none" w:sz="0" w:space="0" w:color="auto"/>
      </w:divBdr>
    </w:div>
    <w:div w:id="1960255845">
      <w:bodyDiv w:val="1"/>
      <w:marLeft w:val="0"/>
      <w:marRight w:val="0"/>
      <w:marTop w:val="0"/>
      <w:marBottom w:val="0"/>
      <w:divBdr>
        <w:top w:val="none" w:sz="0" w:space="0" w:color="auto"/>
        <w:left w:val="none" w:sz="0" w:space="0" w:color="auto"/>
        <w:bottom w:val="none" w:sz="0" w:space="0" w:color="auto"/>
        <w:right w:val="none" w:sz="0" w:space="0" w:color="auto"/>
      </w:divBdr>
    </w:div>
    <w:div w:id="1960530701">
      <w:bodyDiv w:val="1"/>
      <w:marLeft w:val="0"/>
      <w:marRight w:val="0"/>
      <w:marTop w:val="0"/>
      <w:marBottom w:val="0"/>
      <w:divBdr>
        <w:top w:val="none" w:sz="0" w:space="0" w:color="auto"/>
        <w:left w:val="none" w:sz="0" w:space="0" w:color="auto"/>
        <w:bottom w:val="none" w:sz="0" w:space="0" w:color="auto"/>
        <w:right w:val="none" w:sz="0" w:space="0" w:color="auto"/>
      </w:divBdr>
    </w:div>
    <w:div w:id="1961061601">
      <w:bodyDiv w:val="1"/>
      <w:marLeft w:val="0"/>
      <w:marRight w:val="0"/>
      <w:marTop w:val="0"/>
      <w:marBottom w:val="0"/>
      <w:divBdr>
        <w:top w:val="none" w:sz="0" w:space="0" w:color="auto"/>
        <w:left w:val="none" w:sz="0" w:space="0" w:color="auto"/>
        <w:bottom w:val="none" w:sz="0" w:space="0" w:color="auto"/>
        <w:right w:val="none" w:sz="0" w:space="0" w:color="auto"/>
      </w:divBdr>
    </w:div>
    <w:div w:id="1961719437">
      <w:bodyDiv w:val="1"/>
      <w:marLeft w:val="0"/>
      <w:marRight w:val="0"/>
      <w:marTop w:val="0"/>
      <w:marBottom w:val="0"/>
      <w:divBdr>
        <w:top w:val="none" w:sz="0" w:space="0" w:color="auto"/>
        <w:left w:val="none" w:sz="0" w:space="0" w:color="auto"/>
        <w:bottom w:val="none" w:sz="0" w:space="0" w:color="auto"/>
        <w:right w:val="none" w:sz="0" w:space="0" w:color="auto"/>
      </w:divBdr>
    </w:div>
    <w:div w:id="1961952398">
      <w:bodyDiv w:val="1"/>
      <w:marLeft w:val="0"/>
      <w:marRight w:val="0"/>
      <w:marTop w:val="0"/>
      <w:marBottom w:val="0"/>
      <w:divBdr>
        <w:top w:val="none" w:sz="0" w:space="0" w:color="auto"/>
        <w:left w:val="none" w:sz="0" w:space="0" w:color="auto"/>
        <w:bottom w:val="none" w:sz="0" w:space="0" w:color="auto"/>
        <w:right w:val="none" w:sz="0" w:space="0" w:color="auto"/>
      </w:divBdr>
    </w:div>
    <w:div w:id="1962687798">
      <w:bodyDiv w:val="1"/>
      <w:marLeft w:val="0"/>
      <w:marRight w:val="0"/>
      <w:marTop w:val="0"/>
      <w:marBottom w:val="0"/>
      <w:divBdr>
        <w:top w:val="none" w:sz="0" w:space="0" w:color="auto"/>
        <w:left w:val="none" w:sz="0" w:space="0" w:color="auto"/>
        <w:bottom w:val="none" w:sz="0" w:space="0" w:color="auto"/>
        <w:right w:val="none" w:sz="0" w:space="0" w:color="auto"/>
      </w:divBdr>
    </w:div>
    <w:div w:id="1962835531">
      <w:bodyDiv w:val="1"/>
      <w:marLeft w:val="0"/>
      <w:marRight w:val="0"/>
      <w:marTop w:val="0"/>
      <w:marBottom w:val="0"/>
      <w:divBdr>
        <w:top w:val="none" w:sz="0" w:space="0" w:color="auto"/>
        <w:left w:val="none" w:sz="0" w:space="0" w:color="auto"/>
        <w:bottom w:val="none" w:sz="0" w:space="0" w:color="auto"/>
        <w:right w:val="none" w:sz="0" w:space="0" w:color="auto"/>
      </w:divBdr>
    </w:div>
    <w:div w:id="1962950863">
      <w:bodyDiv w:val="1"/>
      <w:marLeft w:val="0"/>
      <w:marRight w:val="0"/>
      <w:marTop w:val="0"/>
      <w:marBottom w:val="0"/>
      <w:divBdr>
        <w:top w:val="none" w:sz="0" w:space="0" w:color="auto"/>
        <w:left w:val="none" w:sz="0" w:space="0" w:color="auto"/>
        <w:bottom w:val="none" w:sz="0" w:space="0" w:color="auto"/>
        <w:right w:val="none" w:sz="0" w:space="0" w:color="auto"/>
      </w:divBdr>
    </w:div>
    <w:div w:id="1963028285">
      <w:bodyDiv w:val="1"/>
      <w:marLeft w:val="0"/>
      <w:marRight w:val="0"/>
      <w:marTop w:val="0"/>
      <w:marBottom w:val="0"/>
      <w:divBdr>
        <w:top w:val="none" w:sz="0" w:space="0" w:color="auto"/>
        <w:left w:val="none" w:sz="0" w:space="0" w:color="auto"/>
        <w:bottom w:val="none" w:sz="0" w:space="0" w:color="auto"/>
        <w:right w:val="none" w:sz="0" w:space="0" w:color="auto"/>
      </w:divBdr>
    </w:div>
    <w:div w:id="1963070786">
      <w:bodyDiv w:val="1"/>
      <w:marLeft w:val="0"/>
      <w:marRight w:val="0"/>
      <w:marTop w:val="0"/>
      <w:marBottom w:val="0"/>
      <w:divBdr>
        <w:top w:val="none" w:sz="0" w:space="0" w:color="auto"/>
        <w:left w:val="none" w:sz="0" w:space="0" w:color="auto"/>
        <w:bottom w:val="none" w:sz="0" w:space="0" w:color="auto"/>
        <w:right w:val="none" w:sz="0" w:space="0" w:color="auto"/>
      </w:divBdr>
    </w:div>
    <w:div w:id="1964724854">
      <w:bodyDiv w:val="1"/>
      <w:marLeft w:val="0"/>
      <w:marRight w:val="0"/>
      <w:marTop w:val="0"/>
      <w:marBottom w:val="0"/>
      <w:divBdr>
        <w:top w:val="none" w:sz="0" w:space="0" w:color="auto"/>
        <w:left w:val="none" w:sz="0" w:space="0" w:color="auto"/>
        <w:bottom w:val="none" w:sz="0" w:space="0" w:color="auto"/>
        <w:right w:val="none" w:sz="0" w:space="0" w:color="auto"/>
      </w:divBdr>
    </w:div>
    <w:div w:id="1965774337">
      <w:bodyDiv w:val="1"/>
      <w:marLeft w:val="0"/>
      <w:marRight w:val="0"/>
      <w:marTop w:val="0"/>
      <w:marBottom w:val="0"/>
      <w:divBdr>
        <w:top w:val="none" w:sz="0" w:space="0" w:color="auto"/>
        <w:left w:val="none" w:sz="0" w:space="0" w:color="auto"/>
        <w:bottom w:val="none" w:sz="0" w:space="0" w:color="auto"/>
        <w:right w:val="none" w:sz="0" w:space="0" w:color="auto"/>
      </w:divBdr>
    </w:div>
    <w:div w:id="1966544026">
      <w:bodyDiv w:val="1"/>
      <w:marLeft w:val="0"/>
      <w:marRight w:val="0"/>
      <w:marTop w:val="0"/>
      <w:marBottom w:val="0"/>
      <w:divBdr>
        <w:top w:val="none" w:sz="0" w:space="0" w:color="auto"/>
        <w:left w:val="none" w:sz="0" w:space="0" w:color="auto"/>
        <w:bottom w:val="none" w:sz="0" w:space="0" w:color="auto"/>
        <w:right w:val="none" w:sz="0" w:space="0" w:color="auto"/>
      </w:divBdr>
    </w:div>
    <w:div w:id="1966890690">
      <w:bodyDiv w:val="1"/>
      <w:marLeft w:val="0"/>
      <w:marRight w:val="0"/>
      <w:marTop w:val="0"/>
      <w:marBottom w:val="0"/>
      <w:divBdr>
        <w:top w:val="none" w:sz="0" w:space="0" w:color="auto"/>
        <w:left w:val="none" w:sz="0" w:space="0" w:color="auto"/>
        <w:bottom w:val="none" w:sz="0" w:space="0" w:color="auto"/>
        <w:right w:val="none" w:sz="0" w:space="0" w:color="auto"/>
      </w:divBdr>
    </w:div>
    <w:div w:id="1967083047">
      <w:bodyDiv w:val="1"/>
      <w:marLeft w:val="0"/>
      <w:marRight w:val="0"/>
      <w:marTop w:val="0"/>
      <w:marBottom w:val="0"/>
      <w:divBdr>
        <w:top w:val="none" w:sz="0" w:space="0" w:color="auto"/>
        <w:left w:val="none" w:sz="0" w:space="0" w:color="auto"/>
        <w:bottom w:val="none" w:sz="0" w:space="0" w:color="auto"/>
        <w:right w:val="none" w:sz="0" w:space="0" w:color="auto"/>
      </w:divBdr>
    </w:div>
    <w:div w:id="1968465244">
      <w:bodyDiv w:val="1"/>
      <w:marLeft w:val="0"/>
      <w:marRight w:val="0"/>
      <w:marTop w:val="0"/>
      <w:marBottom w:val="0"/>
      <w:divBdr>
        <w:top w:val="none" w:sz="0" w:space="0" w:color="auto"/>
        <w:left w:val="none" w:sz="0" w:space="0" w:color="auto"/>
        <w:bottom w:val="none" w:sz="0" w:space="0" w:color="auto"/>
        <w:right w:val="none" w:sz="0" w:space="0" w:color="auto"/>
      </w:divBdr>
    </w:div>
    <w:div w:id="1969121543">
      <w:bodyDiv w:val="1"/>
      <w:marLeft w:val="0"/>
      <w:marRight w:val="0"/>
      <w:marTop w:val="0"/>
      <w:marBottom w:val="0"/>
      <w:divBdr>
        <w:top w:val="none" w:sz="0" w:space="0" w:color="auto"/>
        <w:left w:val="none" w:sz="0" w:space="0" w:color="auto"/>
        <w:bottom w:val="none" w:sz="0" w:space="0" w:color="auto"/>
        <w:right w:val="none" w:sz="0" w:space="0" w:color="auto"/>
      </w:divBdr>
    </w:div>
    <w:div w:id="1969164129">
      <w:bodyDiv w:val="1"/>
      <w:marLeft w:val="0"/>
      <w:marRight w:val="0"/>
      <w:marTop w:val="0"/>
      <w:marBottom w:val="0"/>
      <w:divBdr>
        <w:top w:val="none" w:sz="0" w:space="0" w:color="auto"/>
        <w:left w:val="none" w:sz="0" w:space="0" w:color="auto"/>
        <w:bottom w:val="none" w:sz="0" w:space="0" w:color="auto"/>
        <w:right w:val="none" w:sz="0" w:space="0" w:color="auto"/>
      </w:divBdr>
    </w:div>
    <w:div w:id="1969318922">
      <w:bodyDiv w:val="1"/>
      <w:marLeft w:val="0"/>
      <w:marRight w:val="0"/>
      <w:marTop w:val="0"/>
      <w:marBottom w:val="0"/>
      <w:divBdr>
        <w:top w:val="none" w:sz="0" w:space="0" w:color="auto"/>
        <w:left w:val="none" w:sz="0" w:space="0" w:color="auto"/>
        <w:bottom w:val="none" w:sz="0" w:space="0" w:color="auto"/>
        <w:right w:val="none" w:sz="0" w:space="0" w:color="auto"/>
      </w:divBdr>
    </w:div>
    <w:div w:id="1970090798">
      <w:bodyDiv w:val="1"/>
      <w:marLeft w:val="0"/>
      <w:marRight w:val="0"/>
      <w:marTop w:val="0"/>
      <w:marBottom w:val="0"/>
      <w:divBdr>
        <w:top w:val="none" w:sz="0" w:space="0" w:color="auto"/>
        <w:left w:val="none" w:sz="0" w:space="0" w:color="auto"/>
        <w:bottom w:val="none" w:sz="0" w:space="0" w:color="auto"/>
        <w:right w:val="none" w:sz="0" w:space="0" w:color="auto"/>
      </w:divBdr>
    </w:div>
    <w:div w:id="1970545975">
      <w:bodyDiv w:val="1"/>
      <w:marLeft w:val="0"/>
      <w:marRight w:val="0"/>
      <w:marTop w:val="0"/>
      <w:marBottom w:val="0"/>
      <w:divBdr>
        <w:top w:val="none" w:sz="0" w:space="0" w:color="auto"/>
        <w:left w:val="none" w:sz="0" w:space="0" w:color="auto"/>
        <w:bottom w:val="none" w:sz="0" w:space="0" w:color="auto"/>
        <w:right w:val="none" w:sz="0" w:space="0" w:color="auto"/>
      </w:divBdr>
    </w:div>
    <w:div w:id="1970626115">
      <w:bodyDiv w:val="1"/>
      <w:marLeft w:val="0"/>
      <w:marRight w:val="0"/>
      <w:marTop w:val="0"/>
      <w:marBottom w:val="0"/>
      <w:divBdr>
        <w:top w:val="none" w:sz="0" w:space="0" w:color="auto"/>
        <w:left w:val="none" w:sz="0" w:space="0" w:color="auto"/>
        <w:bottom w:val="none" w:sz="0" w:space="0" w:color="auto"/>
        <w:right w:val="none" w:sz="0" w:space="0" w:color="auto"/>
      </w:divBdr>
    </w:div>
    <w:div w:id="1970815476">
      <w:bodyDiv w:val="1"/>
      <w:marLeft w:val="0"/>
      <w:marRight w:val="0"/>
      <w:marTop w:val="0"/>
      <w:marBottom w:val="0"/>
      <w:divBdr>
        <w:top w:val="none" w:sz="0" w:space="0" w:color="auto"/>
        <w:left w:val="none" w:sz="0" w:space="0" w:color="auto"/>
        <w:bottom w:val="none" w:sz="0" w:space="0" w:color="auto"/>
        <w:right w:val="none" w:sz="0" w:space="0" w:color="auto"/>
      </w:divBdr>
    </w:div>
    <w:div w:id="1970820325">
      <w:bodyDiv w:val="1"/>
      <w:marLeft w:val="0"/>
      <w:marRight w:val="0"/>
      <w:marTop w:val="0"/>
      <w:marBottom w:val="0"/>
      <w:divBdr>
        <w:top w:val="none" w:sz="0" w:space="0" w:color="auto"/>
        <w:left w:val="none" w:sz="0" w:space="0" w:color="auto"/>
        <w:bottom w:val="none" w:sz="0" w:space="0" w:color="auto"/>
        <w:right w:val="none" w:sz="0" w:space="0" w:color="auto"/>
      </w:divBdr>
    </w:div>
    <w:div w:id="1970893397">
      <w:bodyDiv w:val="1"/>
      <w:marLeft w:val="0"/>
      <w:marRight w:val="0"/>
      <w:marTop w:val="0"/>
      <w:marBottom w:val="0"/>
      <w:divBdr>
        <w:top w:val="none" w:sz="0" w:space="0" w:color="auto"/>
        <w:left w:val="none" w:sz="0" w:space="0" w:color="auto"/>
        <w:bottom w:val="none" w:sz="0" w:space="0" w:color="auto"/>
        <w:right w:val="none" w:sz="0" w:space="0" w:color="auto"/>
      </w:divBdr>
    </w:div>
    <w:div w:id="1971591145">
      <w:bodyDiv w:val="1"/>
      <w:marLeft w:val="0"/>
      <w:marRight w:val="0"/>
      <w:marTop w:val="0"/>
      <w:marBottom w:val="0"/>
      <w:divBdr>
        <w:top w:val="none" w:sz="0" w:space="0" w:color="auto"/>
        <w:left w:val="none" w:sz="0" w:space="0" w:color="auto"/>
        <w:bottom w:val="none" w:sz="0" w:space="0" w:color="auto"/>
        <w:right w:val="none" w:sz="0" w:space="0" w:color="auto"/>
      </w:divBdr>
    </w:div>
    <w:div w:id="1972132877">
      <w:bodyDiv w:val="1"/>
      <w:marLeft w:val="0"/>
      <w:marRight w:val="0"/>
      <w:marTop w:val="0"/>
      <w:marBottom w:val="0"/>
      <w:divBdr>
        <w:top w:val="none" w:sz="0" w:space="0" w:color="auto"/>
        <w:left w:val="none" w:sz="0" w:space="0" w:color="auto"/>
        <w:bottom w:val="none" w:sz="0" w:space="0" w:color="auto"/>
        <w:right w:val="none" w:sz="0" w:space="0" w:color="auto"/>
      </w:divBdr>
    </w:div>
    <w:div w:id="1972326485">
      <w:bodyDiv w:val="1"/>
      <w:marLeft w:val="0"/>
      <w:marRight w:val="0"/>
      <w:marTop w:val="0"/>
      <w:marBottom w:val="0"/>
      <w:divBdr>
        <w:top w:val="none" w:sz="0" w:space="0" w:color="auto"/>
        <w:left w:val="none" w:sz="0" w:space="0" w:color="auto"/>
        <w:bottom w:val="none" w:sz="0" w:space="0" w:color="auto"/>
        <w:right w:val="none" w:sz="0" w:space="0" w:color="auto"/>
      </w:divBdr>
    </w:div>
    <w:div w:id="1972516527">
      <w:bodyDiv w:val="1"/>
      <w:marLeft w:val="0"/>
      <w:marRight w:val="0"/>
      <w:marTop w:val="0"/>
      <w:marBottom w:val="0"/>
      <w:divBdr>
        <w:top w:val="none" w:sz="0" w:space="0" w:color="auto"/>
        <w:left w:val="none" w:sz="0" w:space="0" w:color="auto"/>
        <w:bottom w:val="none" w:sz="0" w:space="0" w:color="auto"/>
        <w:right w:val="none" w:sz="0" w:space="0" w:color="auto"/>
      </w:divBdr>
    </w:div>
    <w:div w:id="1972860866">
      <w:bodyDiv w:val="1"/>
      <w:marLeft w:val="0"/>
      <w:marRight w:val="0"/>
      <w:marTop w:val="0"/>
      <w:marBottom w:val="0"/>
      <w:divBdr>
        <w:top w:val="none" w:sz="0" w:space="0" w:color="auto"/>
        <w:left w:val="none" w:sz="0" w:space="0" w:color="auto"/>
        <w:bottom w:val="none" w:sz="0" w:space="0" w:color="auto"/>
        <w:right w:val="none" w:sz="0" w:space="0" w:color="auto"/>
      </w:divBdr>
    </w:div>
    <w:div w:id="1973485612">
      <w:bodyDiv w:val="1"/>
      <w:marLeft w:val="0"/>
      <w:marRight w:val="0"/>
      <w:marTop w:val="0"/>
      <w:marBottom w:val="0"/>
      <w:divBdr>
        <w:top w:val="none" w:sz="0" w:space="0" w:color="auto"/>
        <w:left w:val="none" w:sz="0" w:space="0" w:color="auto"/>
        <w:bottom w:val="none" w:sz="0" w:space="0" w:color="auto"/>
        <w:right w:val="none" w:sz="0" w:space="0" w:color="auto"/>
      </w:divBdr>
    </w:div>
    <w:div w:id="1973558958">
      <w:bodyDiv w:val="1"/>
      <w:marLeft w:val="0"/>
      <w:marRight w:val="0"/>
      <w:marTop w:val="0"/>
      <w:marBottom w:val="0"/>
      <w:divBdr>
        <w:top w:val="none" w:sz="0" w:space="0" w:color="auto"/>
        <w:left w:val="none" w:sz="0" w:space="0" w:color="auto"/>
        <w:bottom w:val="none" w:sz="0" w:space="0" w:color="auto"/>
        <w:right w:val="none" w:sz="0" w:space="0" w:color="auto"/>
      </w:divBdr>
    </w:div>
    <w:div w:id="1974677521">
      <w:bodyDiv w:val="1"/>
      <w:marLeft w:val="0"/>
      <w:marRight w:val="0"/>
      <w:marTop w:val="0"/>
      <w:marBottom w:val="0"/>
      <w:divBdr>
        <w:top w:val="none" w:sz="0" w:space="0" w:color="auto"/>
        <w:left w:val="none" w:sz="0" w:space="0" w:color="auto"/>
        <w:bottom w:val="none" w:sz="0" w:space="0" w:color="auto"/>
        <w:right w:val="none" w:sz="0" w:space="0" w:color="auto"/>
      </w:divBdr>
    </w:div>
    <w:div w:id="1975715502">
      <w:bodyDiv w:val="1"/>
      <w:marLeft w:val="0"/>
      <w:marRight w:val="0"/>
      <w:marTop w:val="0"/>
      <w:marBottom w:val="0"/>
      <w:divBdr>
        <w:top w:val="none" w:sz="0" w:space="0" w:color="auto"/>
        <w:left w:val="none" w:sz="0" w:space="0" w:color="auto"/>
        <w:bottom w:val="none" w:sz="0" w:space="0" w:color="auto"/>
        <w:right w:val="none" w:sz="0" w:space="0" w:color="auto"/>
      </w:divBdr>
    </w:div>
    <w:div w:id="1975871371">
      <w:bodyDiv w:val="1"/>
      <w:marLeft w:val="0"/>
      <w:marRight w:val="0"/>
      <w:marTop w:val="0"/>
      <w:marBottom w:val="0"/>
      <w:divBdr>
        <w:top w:val="none" w:sz="0" w:space="0" w:color="auto"/>
        <w:left w:val="none" w:sz="0" w:space="0" w:color="auto"/>
        <w:bottom w:val="none" w:sz="0" w:space="0" w:color="auto"/>
        <w:right w:val="none" w:sz="0" w:space="0" w:color="auto"/>
      </w:divBdr>
    </w:div>
    <w:div w:id="1975941794">
      <w:bodyDiv w:val="1"/>
      <w:marLeft w:val="0"/>
      <w:marRight w:val="0"/>
      <w:marTop w:val="0"/>
      <w:marBottom w:val="0"/>
      <w:divBdr>
        <w:top w:val="none" w:sz="0" w:space="0" w:color="auto"/>
        <w:left w:val="none" w:sz="0" w:space="0" w:color="auto"/>
        <w:bottom w:val="none" w:sz="0" w:space="0" w:color="auto"/>
        <w:right w:val="none" w:sz="0" w:space="0" w:color="auto"/>
      </w:divBdr>
    </w:div>
    <w:div w:id="1976135256">
      <w:bodyDiv w:val="1"/>
      <w:marLeft w:val="0"/>
      <w:marRight w:val="0"/>
      <w:marTop w:val="0"/>
      <w:marBottom w:val="0"/>
      <w:divBdr>
        <w:top w:val="none" w:sz="0" w:space="0" w:color="auto"/>
        <w:left w:val="none" w:sz="0" w:space="0" w:color="auto"/>
        <w:bottom w:val="none" w:sz="0" w:space="0" w:color="auto"/>
        <w:right w:val="none" w:sz="0" w:space="0" w:color="auto"/>
      </w:divBdr>
    </w:div>
    <w:div w:id="1976369782">
      <w:bodyDiv w:val="1"/>
      <w:marLeft w:val="0"/>
      <w:marRight w:val="0"/>
      <w:marTop w:val="0"/>
      <w:marBottom w:val="0"/>
      <w:divBdr>
        <w:top w:val="none" w:sz="0" w:space="0" w:color="auto"/>
        <w:left w:val="none" w:sz="0" w:space="0" w:color="auto"/>
        <w:bottom w:val="none" w:sz="0" w:space="0" w:color="auto"/>
        <w:right w:val="none" w:sz="0" w:space="0" w:color="auto"/>
      </w:divBdr>
    </w:div>
    <w:div w:id="1976566499">
      <w:bodyDiv w:val="1"/>
      <w:marLeft w:val="0"/>
      <w:marRight w:val="0"/>
      <w:marTop w:val="0"/>
      <w:marBottom w:val="0"/>
      <w:divBdr>
        <w:top w:val="none" w:sz="0" w:space="0" w:color="auto"/>
        <w:left w:val="none" w:sz="0" w:space="0" w:color="auto"/>
        <w:bottom w:val="none" w:sz="0" w:space="0" w:color="auto"/>
        <w:right w:val="none" w:sz="0" w:space="0" w:color="auto"/>
      </w:divBdr>
    </w:div>
    <w:div w:id="1976833446">
      <w:bodyDiv w:val="1"/>
      <w:marLeft w:val="0"/>
      <w:marRight w:val="0"/>
      <w:marTop w:val="0"/>
      <w:marBottom w:val="0"/>
      <w:divBdr>
        <w:top w:val="none" w:sz="0" w:space="0" w:color="auto"/>
        <w:left w:val="none" w:sz="0" w:space="0" w:color="auto"/>
        <w:bottom w:val="none" w:sz="0" w:space="0" w:color="auto"/>
        <w:right w:val="none" w:sz="0" w:space="0" w:color="auto"/>
      </w:divBdr>
    </w:div>
    <w:div w:id="1977445820">
      <w:bodyDiv w:val="1"/>
      <w:marLeft w:val="0"/>
      <w:marRight w:val="0"/>
      <w:marTop w:val="0"/>
      <w:marBottom w:val="0"/>
      <w:divBdr>
        <w:top w:val="none" w:sz="0" w:space="0" w:color="auto"/>
        <w:left w:val="none" w:sz="0" w:space="0" w:color="auto"/>
        <w:bottom w:val="none" w:sz="0" w:space="0" w:color="auto"/>
        <w:right w:val="none" w:sz="0" w:space="0" w:color="auto"/>
      </w:divBdr>
    </w:div>
    <w:div w:id="1977486240">
      <w:bodyDiv w:val="1"/>
      <w:marLeft w:val="0"/>
      <w:marRight w:val="0"/>
      <w:marTop w:val="0"/>
      <w:marBottom w:val="0"/>
      <w:divBdr>
        <w:top w:val="none" w:sz="0" w:space="0" w:color="auto"/>
        <w:left w:val="none" w:sz="0" w:space="0" w:color="auto"/>
        <w:bottom w:val="none" w:sz="0" w:space="0" w:color="auto"/>
        <w:right w:val="none" w:sz="0" w:space="0" w:color="auto"/>
      </w:divBdr>
    </w:div>
    <w:div w:id="1978098111">
      <w:bodyDiv w:val="1"/>
      <w:marLeft w:val="0"/>
      <w:marRight w:val="0"/>
      <w:marTop w:val="0"/>
      <w:marBottom w:val="0"/>
      <w:divBdr>
        <w:top w:val="none" w:sz="0" w:space="0" w:color="auto"/>
        <w:left w:val="none" w:sz="0" w:space="0" w:color="auto"/>
        <w:bottom w:val="none" w:sz="0" w:space="0" w:color="auto"/>
        <w:right w:val="none" w:sz="0" w:space="0" w:color="auto"/>
      </w:divBdr>
    </w:div>
    <w:div w:id="1978366131">
      <w:bodyDiv w:val="1"/>
      <w:marLeft w:val="0"/>
      <w:marRight w:val="0"/>
      <w:marTop w:val="0"/>
      <w:marBottom w:val="0"/>
      <w:divBdr>
        <w:top w:val="none" w:sz="0" w:space="0" w:color="auto"/>
        <w:left w:val="none" w:sz="0" w:space="0" w:color="auto"/>
        <w:bottom w:val="none" w:sz="0" w:space="0" w:color="auto"/>
        <w:right w:val="none" w:sz="0" w:space="0" w:color="auto"/>
      </w:divBdr>
    </w:div>
    <w:div w:id="1978488746">
      <w:bodyDiv w:val="1"/>
      <w:marLeft w:val="0"/>
      <w:marRight w:val="0"/>
      <w:marTop w:val="0"/>
      <w:marBottom w:val="0"/>
      <w:divBdr>
        <w:top w:val="none" w:sz="0" w:space="0" w:color="auto"/>
        <w:left w:val="none" w:sz="0" w:space="0" w:color="auto"/>
        <w:bottom w:val="none" w:sz="0" w:space="0" w:color="auto"/>
        <w:right w:val="none" w:sz="0" w:space="0" w:color="auto"/>
      </w:divBdr>
    </w:div>
    <w:div w:id="1978605307">
      <w:bodyDiv w:val="1"/>
      <w:marLeft w:val="0"/>
      <w:marRight w:val="0"/>
      <w:marTop w:val="0"/>
      <w:marBottom w:val="0"/>
      <w:divBdr>
        <w:top w:val="none" w:sz="0" w:space="0" w:color="auto"/>
        <w:left w:val="none" w:sz="0" w:space="0" w:color="auto"/>
        <w:bottom w:val="none" w:sz="0" w:space="0" w:color="auto"/>
        <w:right w:val="none" w:sz="0" w:space="0" w:color="auto"/>
      </w:divBdr>
    </w:div>
    <w:div w:id="1978804313">
      <w:bodyDiv w:val="1"/>
      <w:marLeft w:val="0"/>
      <w:marRight w:val="0"/>
      <w:marTop w:val="0"/>
      <w:marBottom w:val="0"/>
      <w:divBdr>
        <w:top w:val="none" w:sz="0" w:space="0" w:color="auto"/>
        <w:left w:val="none" w:sz="0" w:space="0" w:color="auto"/>
        <w:bottom w:val="none" w:sz="0" w:space="0" w:color="auto"/>
        <w:right w:val="none" w:sz="0" w:space="0" w:color="auto"/>
      </w:divBdr>
    </w:div>
    <w:div w:id="1978947947">
      <w:bodyDiv w:val="1"/>
      <w:marLeft w:val="0"/>
      <w:marRight w:val="0"/>
      <w:marTop w:val="0"/>
      <w:marBottom w:val="0"/>
      <w:divBdr>
        <w:top w:val="none" w:sz="0" w:space="0" w:color="auto"/>
        <w:left w:val="none" w:sz="0" w:space="0" w:color="auto"/>
        <w:bottom w:val="none" w:sz="0" w:space="0" w:color="auto"/>
        <w:right w:val="none" w:sz="0" w:space="0" w:color="auto"/>
      </w:divBdr>
    </w:div>
    <w:div w:id="1979988668">
      <w:bodyDiv w:val="1"/>
      <w:marLeft w:val="0"/>
      <w:marRight w:val="0"/>
      <w:marTop w:val="0"/>
      <w:marBottom w:val="0"/>
      <w:divBdr>
        <w:top w:val="none" w:sz="0" w:space="0" w:color="auto"/>
        <w:left w:val="none" w:sz="0" w:space="0" w:color="auto"/>
        <w:bottom w:val="none" w:sz="0" w:space="0" w:color="auto"/>
        <w:right w:val="none" w:sz="0" w:space="0" w:color="auto"/>
      </w:divBdr>
    </w:div>
    <w:div w:id="1980650444">
      <w:bodyDiv w:val="1"/>
      <w:marLeft w:val="0"/>
      <w:marRight w:val="0"/>
      <w:marTop w:val="0"/>
      <w:marBottom w:val="0"/>
      <w:divBdr>
        <w:top w:val="none" w:sz="0" w:space="0" w:color="auto"/>
        <w:left w:val="none" w:sz="0" w:space="0" w:color="auto"/>
        <w:bottom w:val="none" w:sz="0" w:space="0" w:color="auto"/>
        <w:right w:val="none" w:sz="0" w:space="0" w:color="auto"/>
      </w:divBdr>
    </w:div>
    <w:div w:id="1982032998">
      <w:bodyDiv w:val="1"/>
      <w:marLeft w:val="0"/>
      <w:marRight w:val="0"/>
      <w:marTop w:val="0"/>
      <w:marBottom w:val="0"/>
      <w:divBdr>
        <w:top w:val="none" w:sz="0" w:space="0" w:color="auto"/>
        <w:left w:val="none" w:sz="0" w:space="0" w:color="auto"/>
        <w:bottom w:val="none" w:sz="0" w:space="0" w:color="auto"/>
        <w:right w:val="none" w:sz="0" w:space="0" w:color="auto"/>
      </w:divBdr>
    </w:div>
    <w:div w:id="1982229744">
      <w:bodyDiv w:val="1"/>
      <w:marLeft w:val="0"/>
      <w:marRight w:val="0"/>
      <w:marTop w:val="0"/>
      <w:marBottom w:val="0"/>
      <w:divBdr>
        <w:top w:val="none" w:sz="0" w:space="0" w:color="auto"/>
        <w:left w:val="none" w:sz="0" w:space="0" w:color="auto"/>
        <w:bottom w:val="none" w:sz="0" w:space="0" w:color="auto"/>
        <w:right w:val="none" w:sz="0" w:space="0" w:color="auto"/>
      </w:divBdr>
    </w:div>
    <w:div w:id="1982341515">
      <w:bodyDiv w:val="1"/>
      <w:marLeft w:val="0"/>
      <w:marRight w:val="0"/>
      <w:marTop w:val="0"/>
      <w:marBottom w:val="0"/>
      <w:divBdr>
        <w:top w:val="none" w:sz="0" w:space="0" w:color="auto"/>
        <w:left w:val="none" w:sz="0" w:space="0" w:color="auto"/>
        <w:bottom w:val="none" w:sz="0" w:space="0" w:color="auto"/>
        <w:right w:val="none" w:sz="0" w:space="0" w:color="auto"/>
      </w:divBdr>
    </w:div>
    <w:div w:id="1982540901">
      <w:bodyDiv w:val="1"/>
      <w:marLeft w:val="0"/>
      <w:marRight w:val="0"/>
      <w:marTop w:val="0"/>
      <w:marBottom w:val="0"/>
      <w:divBdr>
        <w:top w:val="none" w:sz="0" w:space="0" w:color="auto"/>
        <w:left w:val="none" w:sz="0" w:space="0" w:color="auto"/>
        <w:bottom w:val="none" w:sz="0" w:space="0" w:color="auto"/>
        <w:right w:val="none" w:sz="0" w:space="0" w:color="auto"/>
      </w:divBdr>
    </w:div>
    <w:div w:id="1982728329">
      <w:bodyDiv w:val="1"/>
      <w:marLeft w:val="0"/>
      <w:marRight w:val="0"/>
      <w:marTop w:val="0"/>
      <w:marBottom w:val="0"/>
      <w:divBdr>
        <w:top w:val="none" w:sz="0" w:space="0" w:color="auto"/>
        <w:left w:val="none" w:sz="0" w:space="0" w:color="auto"/>
        <w:bottom w:val="none" w:sz="0" w:space="0" w:color="auto"/>
        <w:right w:val="none" w:sz="0" w:space="0" w:color="auto"/>
      </w:divBdr>
    </w:div>
    <w:div w:id="1983071600">
      <w:bodyDiv w:val="1"/>
      <w:marLeft w:val="0"/>
      <w:marRight w:val="0"/>
      <w:marTop w:val="0"/>
      <w:marBottom w:val="0"/>
      <w:divBdr>
        <w:top w:val="none" w:sz="0" w:space="0" w:color="auto"/>
        <w:left w:val="none" w:sz="0" w:space="0" w:color="auto"/>
        <w:bottom w:val="none" w:sz="0" w:space="0" w:color="auto"/>
        <w:right w:val="none" w:sz="0" w:space="0" w:color="auto"/>
      </w:divBdr>
    </w:div>
    <w:div w:id="1983119474">
      <w:bodyDiv w:val="1"/>
      <w:marLeft w:val="0"/>
      <w:marRight w:val="0"/>
      <w:marTop w:val="0"/>
      <w:marBottom w:val="0"/>
      <w:divBdr>
        <w:top w:val="none" w:sz="0" w:space="0" w:color="auto"/>
        <w:left w:val="none" w:sz="0" w:space="0" w:color="auto"/>
        <w:bottom w:val="none" w:sz="0" w:space="0" w:color="auto"/>
        <w:right w:val="none" w:sz="0" w:space="0" w:color="auto"/>
      </w:divBdr>
      <w:divsChild>
        <w:div w:id="708335326">
          <w:marLeft w:val="480"/>
          <w:marRight w:val="0"/>
          <w:marTop w:val="0"/>
          <w:marBottom w:val="0"/>
          <w:divBdr>
            <w:top w:val="none" w:sz="0" w:space="0" w:color="auto"/>
            <w:left w:val="none" w:sz="0" w:space="0" w:color="auto"/>
            <w:bottom w:val="none" w:sz="0" w:space="0" w:color="auto"/>
            <w:right w:val="none" w:sz="0" w:space="0" w:color="auto"/>
          </w:divBdr>
        </w:div>
        <w:div w:id="1776755597">
          <w:marLeft w:val="480"/>
          <w:marRight w:val="0"/>
          <w:marTop w:val="0"/>
          <w:marBottom w:val="0"/>
          <w:divBdr>
            <w:top w:val="none" w:sz="0" w:space="0" w:color="auto"/>
            <w:left w:val="none" w:sz="0" w:space="0" w:color="auto"/>
            <w:bottom w:val="none" w:sz="0" w:space="0" w:color="auto"/>
            <w:right w:val="none" w:sz="0" w:space="0" w:color="auto"/>
          </w:divBdr>
        </w:div>
        <w:div w:id="1960137861">
          <w:marLeft w:val="480"/>
          <w:marRight w:val="0"/>
          <w:marTop w:val="0"/>
          <w:marBottom w:val="0"/>
          <w:divBdr>
            <w:top w:val="none" w:sz="0" w:space="0" w:color="auto"/>
            <w:left w:val="none" w:sz="0" w:space="0" w:color="auto"/>
            <w:bottom w:val="none" w:sz="0" w:space="0" w:color="auto"/>
            <w:right w:val="none" w:sz="0" w:space="0" w:color="auto"/>
          </w:divBdr>
        </w:div>
        <w:div w:id="1154495802">
          <w:marLeft w:val="480"/>
          <w:marRight w:val="0"/>
          <w:marTop w:val="0"/>
          <w:marBottom w:val="0"/>
          <w:divBdr>
            <w:top w:val="none" w:sz="0" w:space="0" w:color="auto"/>
            <w:left w:val="none" w:sz="0" w:space="0" w:color="auto"/>
            <w:bottom w:val="none" w:sz="0" w:space="0" w:color="auto"/>
            <w:right w:val="none" w:sz="0" w:space="0" w:color="auto"/>
          </w:divBdr>
        </w:div>
        <w:div w:id="909655924">
          <w:marLeft w:val="480"/>
          <w:marRight w:val="0"/>
          <w:marTop w:val="0"/>
          <w:marBottom w:val="0"/>
          <w:divBdr>
            <w:top w:val="none" w:sz="0" w:space="0" w:color="auto"/>
            <w:left w:val="none" w:sz="0" w:space="0" w:color="auto"/>
            <w:bottom w:val="none" w:sz="0" w:space="0" w:color="auto"/>
            <w:right w:val="none" w:sz="0" w:space="0" w:color="auto"/>
          </w:divBdr>
        </w:div>
        <w:div w:id="661852912">
          <w:marLeft w:val="480"/>
          <w:marRight w:val="0"/>
          <w:marTop w:val="0"/>
          <w:marBottom w:val="0"/>
          <w:divBdr>
            <w:top w:val="none" w:sz="0" w:space="0" w:color="auto"/>
            <w:left w:val="none" w:sz="0" w:space="0" w:color="auto"/>
            <w:bottom w:val="none" w:sz="0" w:space="0" w:color="auto"/>
            <w:right w:val="none" w:sz="0" w:space="0" w:color="auto"/>
          </w:divBdr>
        </w:div>
        <w:div w:id="2042395413">
          <w:marLeft w:val="480"/>
          <w:marRight w:val="0"/>
          <w:marTop w:val="0"/>
          <w:marBottom w:val="0"/>
          <w:divBdr>
            <w:top w:val="none" w:sz="0" w:space="0" w:color="auto"/>
            <w:left w:val="none" w:sz="0" w:space="0" w:color="auto"/>
            <w:bottom w:val="none" w:sz="0" w:space="0" w:color="auto"/>
            <w:right w:val="none" w:sz="0" w:space="0" w:color="auto"/>
          </w:divBdr>
        </w:div>
        <w:div w:id="632751772">
          <w:marLeft w:val="480"/>
          <w:marRight w:val="0"/>
          <w:marTop w:val="0"/>
          <w:marBottom w:val="0"/>
          <w:divBdr>
            <w:top w:val="none" w:sz="0" w:space="0" w:color="auto"/>
            <w:left w:val="none" w:sz="0" w:space="0" w:color="auto"/>
            <w:bottom w:val="none" w:sz="0" w:space="0" w:color="auto"/>
            <w:right w:val="none" w:sz="0" w:space="0" w:color="auto"/>
          </w:divBdr>
        </w:div>
        <w:div w:id="1422139381">
          <w:marLeft w:val="480"/>
          <w:marRight w:val="0"/>
          <w:marTop w:val="0"/>
          <w:marBottom w:val="0"/>
          <w:divBdr>
            <w:top w:val="none" w:sz="0" w:space="0" w:color="auto"/>
            <w:left w:val="none" w:sz="0" w:space="0" w:color="auto"/>
            <w:bottom w:val="none" w:sz="0" w:space="0" w:color="auto"/>
            <w:right w:val="none" w:sz="0" w:space="0" w:color="auto"/>
          </w:divBdr>
        </w:div>
        <w:div w:id="1313173927">
          <w:marLeft w:val="480"/>
          <w:marRight w:val="0"/>
          <w:marTop w:val="0"/>
          <w:marBottom w:val="0"/>
          <w:divBdr>
            <w:top w:val="none" w:sz="0" w:space="0" w:color="auto"/>
            <w:left w:val="none" w:sz="0" w:space="0" w:color="auto"/>
            <w:bottom w:val="none" w:sz="0" w:space="0" w:color="auto"/>
            <w:right w:val="none" w:sz="0" w:space="0" w:color="auto"/>
          </w:divBdr>
        </w:div>
        <w:div w:id="1878809328">
          <w:marLeft w:val="480"/>
          <w:marRight w:val="0"/>
          <w:marTop w:val="0"/>
          <w:marBottom w:val="0"/>
          <w:divBdr>
            <w:top w:val="none" w:sz="0" w:space="0" w:color="auto"/>
            <w:left w:val="none" w:sz="0" w:space="0" w:color="auto"/>
            <w:bottom w:val="none" w:sz="0" w:space="0" w:color="auto"/>
            <w:right w:val="none" w:sz="0" w:space="0" w:color="auto"/>
          </w:divBdr>
        </w:div>
        <w:div w:id="1728456901">
          <w:marLeft w:val="480"/>
          <w:marRight w:val="0"/>
          <w:marTop w:val="0"/>
          <w:marBottom w:val="0"/>
          <w:divBdr>
            <w:top w:val="none" w:sz="0" w:space="0" w:color="auto"/>
            <w:left w:val="none" w:sz="0" w:space="0" w:color="auto"/>
            <w:bottom w:val="none" w:sz="0" w:space="0" w:color="auto"/>
            <w:right w:val="none" w:sz="0" w:space="0" w:color="auto"/>
          </w:divBdr>
        </w:div>
        <w:div w:id="1355420461">
          <w:marLeft w:val="480"/>
          <w:marRight w:val="0"/>
          <w:marTop w:val="0"/>
          <w:marBottom w:val="0"/>
          <w:divBdr>
            <w:top w:val="none" w:sz="0" w:space="0" w:color="auto"/>
            <w:left w:val="none" w:sz="0" w:space="0" w:color="auto"/>
            <w:bottom w:val="none" w:sz="0" w:space="0" w:color="auto"/>
            <w:right w:val="none" w:sz="0" w:space="0" w:color="auto"/>
          </w:divBdr>
        </w:div>
        <w:div w:id="2031569881">
          <w:marLeft w:val="480"/>
          <w:marRight w:val="0"/>
          <w:marTop w:val="0"/>
          <w:marBottom w:val="0"/>
          <w:divBdr>
            <w:top w:val="none" w:sz="0" w:space="0" w:color="auto"/>
            <w:left w:val="none" w:sz="0" w:space="0" w:color="auto"/>
            <w:bottom w:val="none" w:sz="0" w:space="0" w:color="auto"/>
            <w:right w:val="none" w:sz="0" w:space="0" w:color="auto"/>
          </w:divBdr>
        </w:div>
        <w:div w:id="913855564">
          <w:marLeft w:val="480"/>
          <w:marRight w:val="0"/>
          <w:marTop w:val="0"/>
          <w:marBottom w:val="0"/>
          <w:divBdr>
            <w:top w:val="none" w:sz="0" w:space="0" w:color="auto"/>
            <w:left w:val="none" w:sz="0" w:space="0" w:color="auto"/>
            <w:bottom w:val="none" w:sz="0" w:space="0" w:color="auto"/>
            <w:right w:val="none" w:sz="0" w:space="0" w:color="auto"/>
          </w:divBdr>
        </w:div>
        <w:div w:id="2068607516">
          <w:marLeft w:val="480"/>
          <w:marRight w:val="0"/>
          <w:marTop w:val="0"/>
          <w:marBottom w:val="0"/>
          <w:divBdr>
            <w:top w:val="none" w:sz="0" w:space="0" w:color="auto"/>
            <w:left w:val="none" w:sz="0" w:space="0" w:color="auto"/>
            <w:bottom w:val="none" w:sz="0" w:space="0" w:color="auto"/>
            <w:right w:val="none" w:sz="0" w:space="0" w:color="auto"/>
          </w:divBdr>
        </w:div>
        <w:div w:id="494149918">
          <w:marLeft w:val="480"/>
          <w:marRight w:val="0"/>
          <w:marTop w:val="0"/>
          <w:marBottom w:val="0"/>
          <w:divBdr>
            <w:top w:val="none" w:sz="0" w:space="0" w:color="auto"/>
            <w:left w:val="none" w:sz="0" w:space="0" w:color="auto"/>
            <w:bottom w:val="none" w:sz="0" w:space="0" w:color="auto"/>
            <w:right w:val="none" w:sz="0" w:space="0" w:color="auto"/>
          </w:divBdr>
        </w:div>
        <w:div w:id="1480659171">
          <w:marLeft w:val="480"/>
          <w:marRight w:val="0"/>
          <w:marTop w:val="0"/>
          <w:marBottom w:val="0"/>
          <w:divBdr>
            <w:top w:val="none" w:sz="0" w:space="0" w:color="auto"/>
            <w:left w:val="none" w:sz="0" w:space="0" w:color="auto"/>
            <w:bottom w:val="none" w:sz="0" w:space="0" w:color="auto"/>
            <w:right w:val="none" w:sz="0" w:space="0" w:color="auto"/>
          </w:divBdr>
        </w:div>
        <w:div w:id="1130437555">
          <w:marLeft w:val="480"/>
          <w:marRight w:val="0"/>
          <w:marTop w:val="0"/>
          <w:marBottom w:val="0"/>
          <w:divBdr>
            <w:top w:val="none" w:sz="0" w:space="0" w:color="auto"/>
            <w:left w:val="none" w:sz="0" w:space="0" w:color="auto"/>
            <w:bottom w:val="none" w:sz="0" w:space="0" w:color="auto"/>
            <w:right w:val="none" w:sz="0" w:space="0" w:color="auto"/>
          </w:divBdr>
        </w:div>
        <w:div w:id="1748334761">
          <w:marLeft w:val="480"/>
          <w:marRight w:val="0"/>
          <w:marTop w:val="0"/>
          <w:marBottom w:val="0"/>
          <w:divBdr>
            <w:top w:val="none" w:sz="0" w:space="0" w:color="auto"/>
            <w:left w:val="none" w:sz="0" w:space="0" w:color="auto"/>
            <w:bottom w:val="none" w:sz="0" w:space="0" w:color="auto"/>
            <w:right w:val="none" w:sz="0" w:space="0" w:color="auto"/>
          </w:divBdr>
        </w:div>
        <w:div w:id="1285767343">
          <w:marLeft w:val="480"/>
          <w:marRight w:val="0"/>
          <w:marTop w:val="0"/>
          <w:marBottom w:val="0"/>
          <w:divBdr>
            <w:top w:val="none" w:sz="0" w:space="0" w:color="auto"/>
            <w:left w:val="none" w:sz="0" w:space="0" w:color="auto"/>
            <w:bottom w:val="none" w:sz="0" w:space="0" w:color="auto"/>
            <w:right w:val="none" w:sz="0" w:space="0" w:color="auto"/>
          </w:divBdr>
        </w:div>
        <w:div w:id="343823028">
          <w:marLeft w:val="480"/>
          <w:marRight w:val="0"/>
          <w:marTop w:val="0"/>
          <w:marBottom w:val="0"/>
          <w:divBdr>
            <w:top w:val="none" w:sz="0" w:space="0" w:color="auto"/>
            <w:left w:val="none" w:sz="0" w:space="0" w:color="auto"/>
            <w:bottom w:val="none" w:sz="0" w:space="0" w:color="auto"/>
            <w:right w:val="none" w:sz="0" w:space="0" w:color="auto"/>
          </w:divBdr>
        </w:div>
        <w:div w:id="1597977483">
          <w:marLeft w:val="480"/>
          <w:marRight w:val="0"/>
          <w:marTop w:val="0"/>
          <w:marBottom w:val="0"/>
          <w:divBdr>
            <w:top w:val="none" w:sz="0" w:space="0" w:color="auto"/>
            <w:left w:val="none" w:sz="0" w:space="0" w:color="auto"/>
            <w:bottom w:val="none" w:sz="0" w:space="0" w:color="auto"/>
            <w:right w:val="none" w:sz="0" w:space="0" w:color="auto"/>
          </w:divBdr>
        </w:div>
        <w:div w:id="1237935935">
          <w:marLeft w:val="480"/>
          <w:marRight w:val="0"/>
          <w:marTop w:val="0"/>
          <w:marBottom w:val="0"/>
          <w:divBdr>
            <w:top w:val="none" w:sz="0" w:space="0" w:color="auto"/>
            <w:left w:val="none" w:sz="0" w:space="0" w:color="auto"/>
            <w:bottom w:val="none" w:sz="0" w:space="0" w:color="auto"/>
            <w:right w:val="none" w:sz="0" w:space="0" w:color="auto"/>
          </w:divBdr>
        </w:div>
        <w:div w:id="569075506">
          <w:marLeft w:val="480"/>
          <w:marRight w:val="0"/>
          <w:marTop w:val="0"/>
          <w:marBottom w:val="0"/>
          <w:divBdr>
            <w:top w:val="none" w:sz="0" w:space="0" w:color="auto"/>
            <w:left w:val="none" w:sz="0" w:space="0" w:color="auto"/>
            <w:bottom w:val="none" w:sz="0" w:space="0" w:color="auto"/>
            <w:right w:val="none" w:sz="0" w:space="0" w:color="auto"/>
          </w:divBdr>
        </w:div>
        <w:div w:id="140998780">
          <w:marLeft w:val="480"/>
          <w:marRight w:val="0"/>
          <w:marTop w:val="0"/>
          <w:marBottom w:val="0"/>
          <w:divBdr>
            <w:top w:val="none" w:sz="0" w:space="0" w:color="auto"/>
            <w:left w:val="none" w:sz="0" w:space="0" w:color="auto"/>
            <w:bottom w:val="none" w:sz="0" w:space="0" w:color="auto"/>
            <w:right w:val="none" w:sz="0" w:space="0" w:color="auto"/>
          </w:divBdr>
        </w:div>
        <w:div w:id="2023043727">
          <w:marLeft w:val="480"/>
          <w:marRight w:val="0"/>
          <w:marTop w:val="0"/>
          <w:marBottom w:val="0"/>
          <w:divBdr>
            <w:top w:val="none" w:sz="0" w:space="0" w:color="auto"/>
            <w:left w:val="none" w:sz="0" w:space="0" w:color="auto"/>
            <w:bottom w:val="none" w:sz="0" w:space="0" w:color="auto"/>
            <w:right w:val="none" w:sz="0" w:space="0" w:color="auto"/>
          </w:divBdr>
        </w:div>
        <w:div w:id="28801390">
          <w:marLeft w:val="480"/>
          <w:marRight w:val="0"/>
          <w:marTop w:val="0"/>
          <w:marBottom w:val="0"/>
          <w:divBdr>
            <w:top w:val="none" w:sz="0" w:space="0" w:color="auto"/>
            <w:left w:val="none" w:sz="0" w:space="0" w:color="auto"/>
            <w:bottom w:val="none" w:sz="0" w:space="0" w:color="auto"/>
            <w:right w:val="none" w:sz="0" w:space="0" w:color="auto"/>
          </w:divBdr>
        </w:div>
        <w:div w:id="1402488998">
          <w:marLeft w:val="480"/>
          <w:marRight w:val="0"/>
          <w:marTop w:val="0"/>
          <w:marBottom w:val="0"/>
          <w:divBdr>
            <w:top w:val="none" w:sz="0" w:space="0" w:color="auto"/>
            <w:left w:val="none" w:sz="0" w:space="0" w:color="auto"/>
            <w:bottom w:val="none" w:sz="0" w:space="0" w:color="auto"/>
            <w:right w:val="none" w:sz="0" w:space="0" w:color="auto"/>
          </w:divBdr>
        </w:div>
        <w:div w:id="642194686">
          <w:marLeft w:val="480"/>
          <w:marRight w:val="0"/>
          <w:marTop w:val="0"/>
          <w:marBottom w:val="0"/>
          <w:divBdr>
            <w:top w:val="none" w:sz="0" w:space="0" w:color="auto"/>
            <w:left w:val="none" w:sz="0" w:space="0" w:color="auto"/>
            <w:bottom w:val="none" w:sz="0" w:space="0" w:color="auto"/>
            <w:right w:val="none" w:sz="0" w:space="0" w:color="auto"/>
          </w:divBdr>
        </w:div>
        <w:div w:id="854073473">
          <w:marLeft w:val="480"/>
          <w:marRight w:val="0"/>
          <w:marTop w:val="0"/>
          <w:marBottom w:val="0"/>
          <w:divBdr>
            <w:top w:val="none" w:sz="0" w:space="0" w:color="auto"/>
            <w:left w:val="none" w:sz="0" w:space="0" w:color="auto"/>
            <w:bottom w:val="none" w:sz="0" w:space="0" w:color="auto"/>
            <w:right w:val="none" w:sz="0" w:space="0" w:color="auto"/>
          </w:divBdr>
        </w:div>
        <w:div w:id="477186125">
          <w:marLeft w:val="480"/>
          <w:marRight w:val="0"/>
          <w:marTop w:val="0"/>
          <w:marBottom w:val="0"/>
          <w:divBdr>
            <w:top w:val="none" w:sz="0" w:space="0" w:color="auto"/>
            <w:left w:val="none" w:sz="0" w:space="0" w:color="auto"/>
            <w:bottom w:val="none" w:sz="0" w:space="0" w:color="auto"/>
            <w:right w:val="none" w:sz="0" w:space="0" w:color="auto"/>
          </w:divBdr>
        </w:div>
        <w:div w:id="1013343107">
          <w:marLeft w:val="480"/>
          <w:marRight w:val="0"/>
          <w:marTop w:val="0"/>
          <w:marBottom w:val="0"/>
          <w:divBdr>
            <w:top w:val="none" w:sz="0" w:space="0" w:color="auto"/>
            <w:left w:val="none" w:sz="0" w:space="0" w:color="auto"/>
            <w:bottom w:val="none" w:sz="0" w:space="0" w:color="auto"/>
            <w:right w:val="none" w:sz="0" w:space="0" w:color="auto"/>
          </w:divBdr>
        </w:div>
        <w:div w:id="1071732294">
          <w:marLeft w:val="480"/>
          <w:marRight w:val="0"/>
          <w:marTop w:val="0"/>
          <w:marBottom w:val="0"/>
          <w:divBdr>
            <w:top w:val="none" w:sz="0" w:space="0" w:color="auto"/>
            <w:left w:val="none" w:sz="0" w:space="0" w:color="auto"/>
            <w:bottom w:val="none" w:sz="0" w:space="0" w:color="auto"/>
            <w:right w:val="none" w:sz="0" w:space="0" w:color="auto"/>
          </w:divBdr>
        </w:div>
        <w:div w:id="1080130655">
          <w:marLeft w:val="480"/>
          <w:marRight w:val="0"/>
          <w:marTop w:val="0"/>
          <w:marBottom w:val="0"/>
          <w:divBdr>
            <w:top w:val="none" w:sz="0" w:space="0" w:color="auto"/>
            <w:left w:val="none" w:sz="0" w:space="0" w:color="auto"/>
            <w:bottom w:val="none" w:sz="0" w:space="0" w:color="auto"/>
            <w:right w:val="none" w:sz="0" w:space="0" w:color="auto"/>
          </w:divBdr>
        </w:div>
        <w:div w:id="1180002865">
          <w:marLeft w:val="480"/>
          <w:marRight w:val="0"/>
          <w:marTop w:val="0"/>
          <w:marBottom w:val="0"/>
          <w:divBdr>
            <w:top w:val="none" w:sz="0" w:space="0" w:color="auto"/>
            <w:left w:val="none" w:sz="0" w:space="0" w:color="auto"/>
            <w:bottom w:val="none" w:sz="0" w:space="0" w:color="auto"/>
            <w:right w:val="none" w:sz="0" w:space="0" w:color="auto"/>
          </w:divBdr>
        </w:div>
        <w:div w:id="1150559794">
          <w:marLeft w:val="480"/>
          <w:marRight w:val="0"/>
          <w:marTop w:val="0"/>
          <w:marBottom w:val="0"/>
          <w:divBdr>
            <w:top w:val="none" w:sz="0" w:space="0" w:color="auto"/>
            <w:left w:val="none" w:sz="0" w:space="0" w:color="auto"/>
            <w:bottom w:val="none" w:sz="0" w:space="0" w:color="auto"/>
            <w:right w:val="none" w:sz="0" w:space="0" w:color="auto"/>
          </w:divBdr>
        </w:div>
        <w:div w:id="771782560">
          <w:marLeft w:val="480"/>
          <w:marRight w:val="0"/>
          <w:marTop w:val="0"/>
          <w:marBottom w:val="0"/>
          <w:divBdr>
            <w:top w:val="none" w:sz="0" w:space="0" w:color="auto"/>
            <w:left w:val="none" w:sz="0" w:space="0" w:color="auto"/>
            <w:bottom w:val="none" w:sz="0" w:space="0" w:color="auto"/>
            <w:right w:val="none" w:sz="0" w:space="0" w:color="auto"/>
          </w:divBdr>
        </w:div>
        <w:div w:id="813176503">
          <w:marLeft w:val="480"/>
          <w:marRight w:val="0"/>
          <w:marTop w:val="0"/>
          <w:marBottom w:val="0"/>
          <w:divBdr>
            <w:top w:val="none" w:sz="0" w:space="0" w:color="auto"/>
            <w:left w:val="none" w:sz="0" w:space="0" w:color="auto"/>
            <w:bottom w:val="none" w:sz="0" w:space="0" w:color="auto"/>
            <w:right w:val="none" w:sz="0" w:space="0" w:color="auto"/>
          </w:divBdr>
        </w:div>
        <w:div w:id="136194419">
          <w:marLeft w:val="480"/>
          <w:marRight w:val="0"/>
          <w:marTop w:val="0"/>
          <w:marBottom w:val="0"/>
          <w:divBdr>
            <w:top w:val="none" w:sz="0" w:space="0" w:color="auto"/>
            <w:left w:val="none" w:sz="0" w:space="0" w:color="auto"/>
            <w:bottom w:val="none" w:sz="0" w:space="0" w:color="auto"/>
            <w:right w:val="none" w:sz="0" w:space="0" w:color="auto"/>
          </w:divBdr>
        </w:div>
        <w:div w:id="1496721257">
          <w:marLeft w:val="480"/>
          <w:marRight w:val="0"/>
          <w:marTop w:val="0"/>
          <w:marBottom w:val="0"/>
          <w:divBdr>
            <w:top w:val="none" w:sz="0" w:space="0" w:color="auto"/>
            <w:left w:val="none" w:sz="0" w:space="0" w:color="auto"/>
            <w:bottom w:val="none" w:sz="0" w:space="0" w:color="auto"/>
            <w:right w:val="none" w:sz="0" w:space="0" w:color="auto"/>
          </w:divBdr>
        </w:div>
        <w:div w:id="1653943819">
          <w:marLeft w:val="480"/>
          <w:marRight w:val="0"/>
          <w:marTop w:val="0"/>
          <w:marBottom w:val="0"/>
          <w:divBdr>
            <w:top w:val="none" w:sz="0" w:space="0" w:color="auto"/>
            <w:left w:val="none" w:sz="0" w:space="0" w:color="auto"/>
            <w:bottom w:val="none" w:sz="0" w:space="0" w:color="auto"/>
            <w:right w:val="none" w:sz="0" w:space="0" w:color="auto"/>
          </w:divBdr>
        </w:div>
        <w:div w:id="1444037729">
          <w:marLeft w:val="480"/>
          <w:marRight w:val="0"/>
          <w:marTop w:val="0"/>
          <w:marBottom w:val="0"/>
          <w:divBdr>
            <w:top w:val="none" w:sz="0" w:space="0" w:color="auto"/>
            <w:left w:val="none" w:sz="0" w:space="0" w:color="auto"/>
            <w:bottom w:val="none" w:sz="0" w:space="0" w:color="auto"/>
            <w:right w:val="none" w:sz="0" w:space="0" w:color="auto"/>
          </w:divBdr>
        </w:div>
        <w:div w:id="1057975652">
          <w:marLeft w:val="480"/>
          <w:marRight w:val="0"/>
          <w:marTop w:val="0"/>
          <w:marBottom w:val="0"/>
          <w:divBdr>
            <w:top w:val="none" w:sz="0" w:space="0" w:color="auto"/>
            <w:left w:val="none" w:sz="0" w:space="0" w:color="auto"/>
            <w:bottom w:val="none" w:sz="0" w:space="0" w:color="auto"/>
            <w:right w:val="none" w:sz="0" w:space="0" w:color="auto"/>
          </w:divBdr>
        </w:div>
        <w:div w:id="1464884990">
          <w:marLeft w:val="480"/>
          <w:marRight w:val="0"/>
          <w:marTop w:val="0"/>
          <w:marBottom w:val="0"/>
          <w:divBdr>
            <w:top w:val="none" w:sz="0" w:space="0" w:color="auto"/>
            <w:left w:val="none" w:sz="0" w:space="0" w:color="auto"/>
            <w:bottom w:val="none" w:sz="0" w:space="0" w:color="auto"/>
            <w:right w:val="none" w:sz="0" w:space="0" w:color="auto"/>
          </w:divBdr>
        </w:div>
        <w:div w:id="534083100">
          <w:marLeft w:val="480"/>
          <w:marRight w:val="0"/>
          <w:marTop w:val="0"/>
          <w:marBottom w:val="0"/>
          <w:divBdr>
            <w:top w:val="none" w:sz="0" w:space="0" w:color="auto"/>
            <w:left w:val="none" w:sz="0" w:space="0" w:color="auto"/>
            <w:bottom w:val="none" w:sz="0" w:space="0" w:color="auto"/>
            <w:right w:val="none" w:sz="0" w:space="0" w:color="auto"/>
          </w:divBdr>
        </w:div>
        <w:div w:id="1711102275">
          <w:marLeft w:val="480"/>
          <w:marRight w:val="0"/>
          <w:marTop w:val="0"/>
          <w:marBottom w:val="0"/>
          <w:divBdr>
            <w:top w:val="none" w:sz="0" w:space="0" w:color="auto"/>
            <w:left w:val="none" w:sz="0" w:space="0" w:color="auto"/>
            <w:bottom w:val="none" w:sz="0" w:space="0" w:color="auto"/>
            <w:right w:val="none" w:sz="0" w:space="0" w:color="auto"/>
          </w:divBdr>
        </w:div>
        <w:div w:id="424691095">
          <w:marLeft w:val="480"/>
          <w:marRight w:val="0"/>
          <w:marTop w:val="0"/>
          <w:marBottom w:val="0"/>
          <w:divBdr>
            <w:top w:val="none" w:sz="0" w:space="0" w:color="auto"/>
            <w:left w:val="none" w:sz="0" w:space="0" w:color="auto"/>
            <w:bottom w:val="none" w:sz="0" w:space="0" w:color="auto"/>
            <w:right w:val="none" w:sz="0" w:space="0" w:color="auto"/>
          </w:divBdr>
        </w:div>
        <w:div w:id="362442897">
          <w:marLeft w:val="480"/>
          <w:marRight w:val="0"/>
          <w:marTop w:val="0"/>
          <w:marBottom w:val="0"/>
          <w:divBdr>
            <w:top w:val="none" w:sz="0" w:space="0" w:color="auto"/>
            <w:left w:val="none" w:sz="0" w:space="0" w:color="auto"/>
            <w:bottom w:val="none" w:sz="0" w:space="0" w:color="auto"/>
            <w:right w:val="none" w:sz="0" w:space="0" w:color="auto"/>
          </w:divBdr>
        </w:div>
        <w:div w:id="1417941864">
          <w:marLeft w:val="480"/>
          <w:marRight w:val="0"/>
          <w:marTop w:val="0"/>
          <w:marBottom w:val="0"/>
          <w:divBdr>
            <w:top w:val="none" w:sz="0" w:space="0" w:color="auto"/>
            <w:left w:val="none" w:sz="0" w:space="0" w:color="auto"/>
            <w:bottom w:val="none" w:sz="0" w:space="0" w:color="auto"/>
            <w:right w:val="none" w:sz="0" w:space="0" w:color="auto"/>
          </w:divBdr>
        </w:div>
        <w:div w:id="1761026476">
          <w:marLeft w:val="480"/>
          <w:marRight w:val="0"/>
          <w:marTop w:val="0"/>
          <w:marBottom w:val="0"/>
          <w:divBdr>
            <w:top w:val="none" w:sz="0" w:space="0" w:color="auto"/>
            <w:left w:val="none" w:sz="0" w:space="0" w:color="auto"/>
            <w:bottom w:val="none" w:sz="0" w:space="0" w:color="auto"/>
            <w:right w:val="none" w:sz="0" w:space="0" w:color="auto"/>
          </w:divBdr>
        </w:div>
        <w:div w:id="529270070">
          <w:marLeft w:val="480"/>
          <w:marRight w:val="0"/>
          <w:marTop w:val="0"/>
          <w:marBottom w:val="0"/>
          <w:divBdr>
            <w:top w:val="none" w:sz="0" w:space="0" w:color="auto"/>
            <w:left w:val="none" w:sz="0" w:space="0" w:color="auto"/>
            <w:bottom w:val="none" w:sz="0" w:space="0" w:color="auto"/>
            <w:right w:val="none" w:sz="0" w:space="0" w:color="auto"/>
          </w:divBdr>
        </w:div>
        <w:div w:id="1399090179">
          <w:marLeft w:val="480"/>
          <w:marRight w:val="0"/>
          <w:marTop w:val="0"/>
          <w:marBottom w:val="0"/>
          <w:divBdr>
            <w:top w:val="none" w:sz="0" w:space="0" w:color="auto"/>
            <w:left w:val="none" w:sz="0" w:space="0" w:color="auto"/>
            <w:bottom w:val="none" w:sz="0" w:space="0" w:color="auto"/>
            <w:right w:val="none" w:sz="0" w:space="0" w:color="auto"/>
          </w:divBdr>
        </w:div>
        <w:div w:id="1659723627">
          <w:marLeft w:val="480"/>
          <w:marRight w:val="0"/>
          <w:marTop w:val="0"/>
          <w:marBottom w:val="0"/>
          <w:divBdr>
            <w:top w:val="none" w:sz="0" w:space="0" w:color="auto"/>
            <w:left w:val="none" w:sz="0" w:space="0" w:color="auto"/>
            <w:bottom w:val="none" w:sz="0" w:space="0" w:color="auto"/>
            <w:right w:val="none" w:sz="0" w:space="0" w:color="auto"/>
          </w:divBdr>
        </w:div>
        <w:div w:id="1955941732">
          <w:marLeft w:val="480"/>
          <w:marRight w:val="0"/>
          <w:marTop w:val="0"/>
          <w:marBottom w:val="0"/>
          <w:divBdr>
            <w:top w:val="none" w:sz="0" w:space="0" w:color="auto"/>
            <w:left w:val="none" w:sz="0" w:space="0" w:color="auto"/>
            <w:bottom w:val="none" w:sz="0" w:space="0" w:color="auto"/>
            <w:right w:val="none" w:sz="0" w:space="0" w:color="auto"/>
          </w:divBdr>
        </w:div>
        <w:div w:id="2055351290">
          <w:marLeft w:val="480"/>
          <w:marRight w:val="0"/>
          <w:marTop w:val="0"/>
          <w:marBottom w:val="0"/>
          <w:divBdr>
            <w:top w:val="none" w:sz="0" w:space="0" w:color="auto"/>
            <w:left w:val="none" w:sz="0" w:space="0" w:color="auto"/>
            <w:bottom w:val="none" w:sz="0" w:space="0" w:color="auto"/>
            <w:right w:val="none" w:sz="0" w:space="0" w:color="auto"/>
          </w:divBdr>
        </w:div>
        <w:div w:id="1560478367">
          <w:marLeft w:val="480"/>
          <w:marRight w:val="0"/>
          <w:marTop w:val="0"/>
          <w:marBottom w:val="0"/>
          <w:divBdr>
            <w:top w:val="none" w:sz="0" w:space="0" w:color="auto"/>
            <w:left w:val="none" w:sz="0" w:space="0" w:color="auto"/>
            <w:bottom w:val="none" w:sz="0" w:space="0" w:color="auto"/>
            <w:right w:val="none" w:sz="0" w:space="0" w:color="auto"/>
          </w:divBdr>
        </w:div>
        <w:div w:id="2017420538">
          <w:marLeft w:val="480"/>
          <w:marRight w:val="0"/>
          <w:marTop w:val="0"/>
          <w:marBottom w:val="0"/>
          <w:divBdr>
            <w:top w:val="none" w:sz="0" w:space="0" w:color="auto"/>
            <w:left w:val="none" w:sz="0" w:space="0" w:color="auto"/>
            <w:bottom w:val="none" w:sz="0" w:space="0" w:color="auto"/>
            <w:right w:val="none" w:sz="0" w:space="0" w:color="auto"/>
          </w:divBdr>
        </w:div>
        <w:div w:id="324014745">
          <w:marLeft w:val="480"/>
          <w:marRight w:val="0"/>
          <w:marTop w:val="0"/>
          <w:marBottom w:val="0"/>
          <w:divBdr>
            <w:top w:val="none" w:sz="0" w:space="0" w:color="auto"/>
            <w:left w:val="none" w:sz="0" w:space="0" w:color="auto"/>
            <w:bottom w:val="none" w:sz="0" w:space="0" w:color="auto"/>
            <w:right w:val="none" w:sz="0" w:space="0" w:color="auto"/>
          </w:divBdr>
        </w:div>
        <w:div w:id="340470527">
          <w:marLeft w:val="480"/>
          <w:marRight w:val="0"/>
          <w:marTop w:val="0"/>
          <w:marBottom w:val="0"/>
          <w:divBdr>
            <w:top w:val="none" w:sz="0" w:space="0" w:color="auto"/>
            <w:left w:val="none" w:sz="0" w:space="0" w:color="auto"/>
            <w:bottom w:val="none" w:sz="0" w:space="0" w:color="auto"/>
            <w:right w:val="none" w:sz="0" w:space="0" w:color="auto"/>
          </w:divBdr>
        </w:div>
        <w:div w:id="1528056166">
          <w:marLeft w:val="480"/>
          <w:marRight w:val="0"/>
          <w:marTop w:val="0"/>
          <w:marBottom w:val="0"/>
          <w:divBdr>
            <w:top w:val="none" w:sz="0" w:space="0" w:color="auto"/>
            <w:left w:val="none" w:sz="0" w:space="0" w:color="auto"/>
            <w:bottom w:val="none" w:sz="0" w:space="0" w:color="auto"/>
            <w:right w:val="none" w:sz="0" w:space="0" w:color="auto"/>
          </w:divBdr>
        </w:div>
        <w:div w:id="1963531492">
          <w:marLeft w:val="480"/>
          <w:marRight w:val="0"/>
          <w:marTop w:val="0"/>
          <w:marBottom w:val="0"/>
          <w:divBdr>
            <w:top w:val="none" w:sz="0" w:space="0" w:color="auto"/>
            <w:left w:val="none" w:sz="0" w:space="0" w:color="auto"/>
            <w:bottom w:val="none" w:sz="0" w:space="0" w:color="auto"/>
            <w:right w:val="none" w:sz="0" w:space="0" w:color="auto"/>
          </w:divBdr>
        </w:div>
        <w:div w:id="342830024">
          <w:marLeft w:val="480"/>
          <w:marRight w:val="0"/>
          <w:marTop w:val="0"/>
          <w:marBottom w:val="0"/>
          <w:divBdr>
            <w:top w:val="none" w:sz="0" w:space="0" w:color="auto"/>
            <w:left w:val="none" w:sz="0" w:space="0" w:color="auto"/>
            <w:bottom w:val="none" w:sz="0" w:space="0" w:color="auto"/>
            <w:right w:val="none" w:sz="0" w:space="0" w:color="auto"/>
          </w:divBdr>
        </w:div>
        <w:div w:id="1533955746">
          <w:marLeft w:val="480"/>
          <w:marRight w:val="0"/>
          <w:marTop w:val="0"/>
          <w:marBottom w:val="0"/>
          <w:divBdr>
            <w:top w:val="none" w:sz="0" w:space="0" w:color="auto"/>
            <w:left w:val="none" w:sz="0" w:space="0" w:color="auto"/>
            <w:bottom w:val="none" w:sz="0" w:space="0" w:color="auto"/>
            <w:right w:val="none" w:sz="0" w:space="0" w:color="auto"/>
          </w:divBdr>
        </w:div>
        <w:div w:id="515996716">
          <w:marLeft w:val="480"/>
          <w:marRight w:val="0"/>
          <w:marTop w:val="0"/>
          <w:marBottom w:val="0"/>
          <w:divBdr>
            <w:top w:val="none" w:sz="0" w:space="0" w:color="auto"/>
            <w:left w:val="none" w:sz="0" w:space="0" w:color="auto"/>
            <w:bottom w:val="none" w:sz="0" w:space="0" w:color="auto"/>
            <w:right w:val="none" w:sz="0" w:space="0" w:color="auto"/>
          </w:divBdr>
        </w:div>
        <w:div w:id="1434979945">
          <w:marLeft w:val="480"/>
          <w:marRight w:val="0"/>
          <w:marTop w:val="0"/>
          <w:marBottom w:val="0"/>
          <w:divBdr>
            <w:top w:val="none" w:sz="0" w:space="0" w:color="auto"/>
            <w:left w:val="none" w:sz="0" w:space="0" w:color="auto"/>
            <w:bottom w:val="none" w:sz="0" w:space="0" w:color="auto"/>
            <w:right w:val="none" w:sz="0" w:space="0" w:color="auto"/>
          </w:divBdr>
        </w:div>
        <w:div w:id="403455344">
          <w:marLeft w:val="480"/>
          <w:marRight w:val="0"/>
          <w:marTop w:val="0"/>
          <w:marBottom w:val="0"/>
          <w:divBdr>
            <w:top w:val="none" w:sz="0" w:space="0" w:color="auto"/>
            <w:left w:val="none" w:sz="0" w:space="0" w:color="auto"/>
            <w:bottom w:val="none" w:sz="0" w:space="0" w:color="auto"/>
            <w:right w:val="none" w:sz="0" w:space="0" w:color="auto"/>
          </w:divBdr>
        </w:div>
        <w:div w:id="292370254">
          <w:marLeft w:val="480"/>
          <w:marRight w:val="0"/>
          <w:marTop w:val="0"/>
          <w:marBottom w:val="0"/>
          <w:divBdr>
            <w:top w:val="none" w:sz="0" w:space="0" w:color="auto"/>
            <w:left w:val="none" w:sz="0" w:space="0" w:color="auto"/>
            <w:bottom w:val="none" w:sz="0" w:space="0" w:color="auto"/>
            <w:right w:val="none" w:sz="0" w:space="0" w:color="auto"/>
          </w:divBdr>
        </w:div>
        <w:div w:id="1919636546">
          <w:marLeft w:val="480"/>
          <w:marRight w:val="0"/>
          <w:marTop w:val="0"/>
          <w:marBottom w:val="0"/>
          <w:divBdr>
            <w:top w:val="none" w:sz="0" w:space="0" w:color="auto"/>
            <w:left w:val="none" w:sz="0" w:space="0" w:color="auto"/>
            <w:bottom w:val="none" w:sz="0" w:space="0" w:color="auto"/>
            <w:right w:val="none" w:sz="0" w:space="0" w:color="auto"/>
          </w:divBdr>
        </w:div>
        <w:div w:id="738672067">
          <w:marLeft w:val="480"/>
          <w:marRight w:val="0"/>
          <w:marTop w:val="0"/>
          <w:marBottom w:val="0"/>
          <w:divBdr>
            <w:top w:val="none" w:sz="0" w:space="0" w:color="auto"/>
            <w:left w:val="none" w:sz="0" w:space="0" w:color="auto"/>
            <w:bottom w:val="none" w:sz="0" w:space="0" w:color="auto"/>
            <w:right w:val="none" w:sz="0" w:space="0" w:color="auto"/>
          </w:divBdr>
        </w:div>
        <w:div w:id="42411745">
          <w:marLeft w:val="480"/>
          <w:marRight w:val="0"/>
          <w:marTop w:val="0"/>
          <w:marBottom w:val="0"/>
          <w:divBdr>
            <w:top w:val="none" w:sz="0" w:space="0" w:color="auto"/>
            <w:left w:val="none" w:sz="0" w:space="0" w:color="auto"/>
            <w:bottom w:val="none" w:sz="0" w:space="0" w:color="auto"/>
            <w:right w:val="none" w:sz="0" w:space="0" w:color="auto"/>
          </w:divBdr>
        </w:div>
        <w:div w:id="931622317">
          <w:marLeft w:val="480"/>
          <w:marRight w:val="0"/>
          <w:marTop w:val="0"/>
          <w:marBottom w:val="0"/>
          <w:divBdr>
            <w:top w:val="none" w:sz="0" w:space="0" w:color="auto"/>
            <w:left w:val="none" w:sz="0" w:space="0" w:color="auto"/>
            <w:bottom w:val="none" w:sz="0" w:space="0" w:color="auto"/>
            <w:right w:val="none" w:sz="0" w:space="0" w:color="auto"/>
          </w:divBdr>
        </w:div>
        <w:div w:id="1442645390">
          <w:marLeft w:val="480"/>
          <w:marRight w:val="0"/>
          <w:marTop w:val="0"/>
          <w:marBottom w:val="0"/>
          <w:divBdr>
            <w:top w:val="none" w:sz="0" w:space="0" w:color="auto"/>
            <w:left w:val="none" w:sz="0" w:space="0" w:color="auto"/>
            <w:bottom w:val="none" w:sz="0" w:space="0" w:color="auto"/>
            <w:right w:val="none" w:sz="0" w:space="0" w:color="auto"/>
          </w:divBdr>
        </w:div>
        <w:div w:id="240451623">
          <w:marLeft w:val="480"/>
          <w:marRight w:val="0"/>
          <w:marTop w:val="0"/>
          <w:marBottom w:val="0"/>
          <w:divBdr>
            <w:top w:val="none" w:sz="0" w:space="0" w:color="auto"/>
            <w:left w:val="none" w:sz="0" w:space="0" w:color="auto"/>
            <w:bottom w:val="none" w:sz="0" w:space="0" w:color="auto"/>
            <w:right w:val="none" w:sz="0" w:space="0" w:color="auto"/>
          </w:divBdr>
        </w:div>
        <w:div w:id="841972140">
          <w:marLeft w:val="480"/>
          <w:marRight w:val="0"/>
          <w:marTop w:val="0"/>
          <w:marBottom w:val="0"/>
          <w:divBdr>
            <w:top w:val="none" w:sz="0" w:space="0" w:color="auto"/>
            <w:left w:val="none" w:sz="0" w:space="0" w:color="auto"/>
            <w:bottom w:val="none" w:sz="0" w:space="0" w:color="auto"/>
            <w:right w:val="none" w:sz="0" w:space="0" w:color="auto"/>
          </w:divBdr>
        </w:div>
        <w:div w:id="848569409">
          <w:marLeft w:val="480"/>
          <w:marRight w:val="0"/>
          <w:marTop w:val="0"/>
          <w:marBottom w:val="0"/>
          <w:divBdr>
            <w:top w:val="none" w:sz="0" w:space="0" w:color="auto"/>
            <w:left w:val="none" w:sz="0" w:space="0" w:color="auto"/>
            <w:bottom w:val="none" w:sz="0" w:space="0" w:color="auto"/>
            <w:right w:val="none" w:sz="0" w:space="0" w:color="auto"/>
          </w:divBdr>
        </w:div>
        <w:div w:id="1130244510">
          <w:marLeft w:val="480"/>
          <w:marRight w:val="0"/>
          <w:marTop w:val="0"/>
          <w:marBottom w:val="0"/>
          <w:divBdr>
            <w:top w:val="none" w:sz="0" w:space="0" w:color="auto"/>
            <w:left w:val="none" w:sz="0" w:space="0" w:color="auto"/>
            <w:bottom w:val="none" w:sz="0" w:space="0" w:color="auto"/>
            <w:right w:val="none" w:sz="0" w:space="0" w:color="auto"/>
          </w:divBdr>
        </w:div>
        <w:div w:id="1690060197">
          <w:marLeft w:val="480"/>
          <w:marRight w:val="0"/>
          <w:marTop w:val="0"/>
          <w:marBottom w:val="0"/>
          <w:divBdr>
            <w:top w:val="none" w:sz="0" w:space="0" w:color="auto"/>
            <w:left w:val="none" w:sz="0" w:space="0" w:color="auto"/>
            <w:bottom w:val="none" w:sz="0" w:space="0" w:color="auto"/>
            <w:right w:val="none" w:sz="0" w:space="0" w:color="auto"/>
          </w:divBdr>
        </w:div>
        <w:div w:id="1100295279">
          <w:marLeft w:val="480"/>
          <w:marRight w:val="0"/>
          <w:marTop w:val="0"/>
          <w:marBottom w:val="0"/>
          <w:divBdr>
            <w:top w:val="none" w:sz="0" w:space="0" w:color="auto"/>
            <w:left w:val="none" w:sz="0" w:space="0" w:color="auto"/>
            <w:bottom w:val="none" w:sz="0" w:space="0" w:color="auto"/>
            <w:right w:val="none" w:sz="0" w:space="0" w:color="auto"/>
          </w:divBdr>
        </w:div>
        <w:div w:id="1871338586">
          <w:marLeft w:val="480"/>
          <w:marRight w:val="0"/>
          <w:marTop w:val="0"/>
          <w:marBottom w:val="0"/>
          <w:divBdr>
            <w:top w:val="none" w:sz="0" w:space="0" w:color="auto"/>
            <w:left w:val="none" w:sz="0" w:space="0" w:color="auto"/>
            <w:bottom w:val="none" w:sz="0" w:space="0" w:color="auto"/>
            <w:right w:val="none" w:sz="0" w:space="0" w:color="auto"/>
          </w:divBdr>
        </w:div>
        <w:div w:id="1160543359">
          <w:marLeft w:val="480"/>
          <w:marRight w:val="0"/>
          <w:marTop w:val="0"/>
          <w:marBottom w:val="0"/>
          <w:divBdr>
            <w:top w:val="none" w:sz="0" w:space="0" w:color="auto"/>
            <w:left w:val="none" w:sz="0" w:space="0" w:color="auto"/>
            <w:bottom w:val="none" w:sz="0" w:space="0" w:color="auto"/>
            <w:right w:val="none" w:sz="0" w:space="0" w:color="auto"/>
          </w:divBdr>
        </w:div>
        <w:div w:id="415979464">
          <w:marLeft w:val="480"/>
          <w:marRight w:val="0"/>
          <w:marTop w:val="0"/>
          <w:marBottom w:val="0"/>
          <w:divBdr>
            <w:top w:val="none" w:sz="0" w:space="0" w:color="auto"/>
            <w:left w:val="none" w:sz="0" w:space="0" w:color="auto"/>
            <w:bottom w:val="none" w:sz="0" w:space="0" w:color="auto"/>
            <w:right w:val="none" w:sz="0" w:space="0" w:color="auto"/>
          </w:divBdr>
        </w:div>
        <w:div w:id="2037536163">
          <w:marLeft w:val="480"/>
          <w:marRight w:val="0"/>
          <w:marTop w:val="0"/>
          <w:marBottom w:val="0"/>
          <w:divBdr>
            <w:top w:val="none" w:sz="0" w:space="0" w:color="auto"/>
            <w:left w:val="none" w:sz="0" w:space="0" w:color="auto"/>
            <w:bottom w:val="none" w:sz="0" w:space="0" w:color="auto"/>
            <w:right w:val="none" w:sz="0" w:space="0" w:color="auto"/>
          </w:divBdr>
        </w:div>
        <w:div w:id="253325725">
          <w:marLeft w:val="480"/>
          <w:marRight w:val="0"/>
          <w:marTop w:val="0"/>
          <w:marBottom w:val="0"/>
          <w:divBdr>
            <w:top w:val="none" w:sz="0" w:space="0" w:color="auto"/>
            <w:left w:val="none" w:sz="0" w:space="0" w:color="auto"/>
            <w:bottom w:val="none" w:sz="0" w:space="0" w:color="auto"/>
            <w:right w:val="none" w:sz="0" w:space="0" w:color="auto"/>
          </w:divBdr>
        </w:div>
        <w:div w:id="144010525">
          <w:marLeft w:val="480"/>
          <w:marRight w:val="0"/>
          <w:marTop w:val="0"/>
          <w:marBottom w:val="0"/>
          <w:divBdr>
            <w:top w:val="none" w:sz="0" w:space="0" w:color="auto"/>
            <w:left w:val="none" w:sz="0" w:space="0" w:color="auto"/>
            <w:bottom w:val="none" w:sz="0" w:space="0" w:color="auto"/>
            <w:right w:val="none" w:sz="0" w:space="0" w:color="auto"/>
          </w:divBdr>
        </w:div>
        <w:div w:id="1851337338">
          <w:marLeft w:val="480"/>
          <w:marRight w:val="0"/>
          <w:marTop w:val="0"/>
          <w:marBottom w:val="0"/>
          <w:divBdr>
            <w:top w:val="none" w:sz="0" w:space="0" w:color="auto"/>
            <w:left w:val="none" w:sz="0" w:space="0" w:color="auto"/>
            <w:bottom w:val="none" w:sz="0" w:space="0" w:color="auto"/>
            <w:right w:val="none" w:sz="0" w:space="0" w:color="auto"/>
          </w:divBdr>
        </w:div>
        <w:div w:id="571474991">
          <w:marLeft w:val="480"/>
          <w:marRight w:val="0"/>
          <w:marTop w:val="0"/>
          <w:marBottom w:val="0"/>
          <w:divBdr>
            <w:top w:val="none" w:sz="0" w:space="0" w:color="auto"/>
            <w:left w:val="none" w:sz="0" w:space="0" w:color="auto"/>
            <w:bottom w:val="none" w:sz="0" w:space="0" w:color="auto"/>
            <w:right w:val="none" w:sz="0" w:space="0" w:color="auto"/>
          </w:divBdr>
        </w:div>
        <w:div w:id="1568689370">
          <w:marLeft w:val="480"/>
          <w:marRight w:val="0"/>
          <w:marTop w:val="0"/>
          <w:marBottom w:val="0"/>
          <w:divBdr>
            <w:top w:val="none" w:sz="0" w:space="0" w:color="auto"/>
            <w:left w:val="none" w:sz="0" w:space="0" w:color="auto"/>
            <w:bottom w:val="none" w:sz="0" w:space="0" w:color="auto"/>
            <w:right w:val="none" w:sz="0" w:space="0" w:color="auto"/>
          </w:divBdr>
        </w:div>
        <w:div w:id="1490945678">
          <w:marLeft w:val="480"/>
          <w:marRight w:val="0"/>
          <w:marTop w:val="0"/>
          <w:marBottom w:val="0"/>
          <w:divBdr>
            <w:top w:val="none" w:sz="0" w:space="0" w:color="auto"/>
            <w:left w:val="none" w:sz="0" w:space="0" w:color="auto"/>
            <w:bottom w:val="none" w:sz="0" w:space="0" w:color="auto"/>
            <w:right w:val="none" w:sz="0" w:space="0" w:color="auto"/>
          </w:divBdr>
        </w:div>
        <w:div w:id="1707634477">
          <w:marLeft w:val="480"/>
          <w:marRight w:val="0"/>
          <w:marTop w:val="0"/>
          <w:marBottom w:val="0"/>
          <w:divBdr>
            <w:top w:val="none" w:sz="0" w:space="0" w:color="auto"/>
            <w:left w:val="none" w:sz="0" w:space="0" w:color="auto"/>
            <w:bottom w:val="none" w:sz="0" w:space="0" w:color="auto"/>
            <w:right w:val="none" w:sz="0" w:space="0" w:color="auto"/>
          </w:divBdr>
        </w:div>
        <w:div w:id="1340814439">
          <w:marLeft w:val="480"/>
          <w:marRight w:val="0"/>
          <w:marTop w:val="0"/>
          <w:marBottom w:val="0"/>
          <w:divBdr>
            <w:top w:val="none" w:sz="0" w:space="0" w:color="auto"/>
            <w:left w:val="none" w:sz="0" w:space="0" w:color="auto"/>
            <w:bottom w:val="none" w:sz="0" w:space="0" w:color="auto"/>
            <w:right w:val="none" w:sz="0" w:space="0" w:color="auto"/>
          </w:divBdr>
        </w:div>
        <w:div w:id="1078017680">
          <w:marLeft w:val="480"/>
          <w:marRight w:val="0"/>
          <w:marTop w:val="0"/>
          <w:marBottom w:val="0"/>
          <w:divBdr>
            <w:top w:val="none" w:sz="0" w:space="0" w:color="auto"/>
            <w:left w:val="none" w:sz="0" w:space="0" w:color="auto"/>
            <w:bottom w:val="none" w:sz="0" w:space="0" w:color="auto"/>
            <w:right w:val="none" w:sz="0" w:space="0" w:color="auto"/>
          </w:divBdr>
        </w:div>
        <w:div w:id="1762221257">
          <w:marLeft w:val="480"/>
          <w:marRight w:val="0"/>
          <w:marTop w:val="0"/>
          <w:marBottom w:val="0"/>
          <w:divBdr>
            <w:top w:val="none" w:sz="0" w:space="0" w:color="auto"/>
            <w:left w:val="none" w:sz="0" w:space="0" w:color="auto"/>
            <w:bottom w:val="none" w:sz="0" w:space="0" w:color="auto"/>
            <w:right w:val="none" w:sz="0" w:space="0" w:color="auto"/>
          </w:divBdr>
        </w:div>
        <w:div w:id="149294871">
          <w:marLeft w:val="480"/>
          <w:marRight w:val="0"/>
          <w:marTop w:val="0"/>
          <w:marBottom w:val="0"/>
          <w:divBdr>
            <w:top w:val="none" w:sz="0" w:space="0" w:color="auto"/>
            <w:left w:val="none" w:sz="0" w:space="0" w:color="auto"/>
            <w:bottom w:val="none" w:sz="0" w:space="0" w:color="auto"/>
            <w:right w:val="none" w:sz="0" w:space="0" w:color="auto"/>
          </w:divBdr>
        </w:div>
        <w:div w:id="570820101">
          <w:marLeft w:val="480"/>
          <w:marRight w:val="0"/>
          <w:marTop w:val="0"/>
          <w:marBottom w:val="0"/>
          <w:divBdr>
            <w:top w:val="none" w:sz="0" w:space="0" w:color="auto"/>
            <w:left w:val="none" w:sz="0" w:space="0" w:color="auto"/>
            <w:bottom w:val="none" w:sz="0" w:space="0" w:color="auto"/>
            <w:right w:val="none" w:sz="0" w:space="0" w:color="auto"/>
          </w:divBdr>
        </w:div>
        <w:div w:id="1369793287">
          <w:marLeft w:val="480"/>
          <w:marRight w:val="0"/>
          <w:marTop w:val="0"/>
          <w:marBottom w:val="0"/>
          <w:divBdr>
            <w:top w:val="none" w:sz="0" w:space="0" w:color="auto"/>
            <w:left w:val="none" w:sz="0" w:space="0" w:color="auto"/>
            <w:bottom w:val="none" w:sz="0" w:space="0" w:color="auto"/>
            <w:right w:val="none" w:sz="0" w:space="0" w:color="auto"/>
          </w:divBdr>
        </w:div>
        <w:div w:id="1622152908">
          <w:marLeft w:val="480"/>
          <w:marRight w:val="0"/>
          <w:marTop w:val="0"/>
          <w:marBottom w:val="0"/>
          <w:divBdr>
            <w:top w:val="none" w:sz="0" w:space="0" w:color="auto"/>
            <w:left w:val="none" w:sz="0" w:space="0" w:color="auto"/>
            <w:bottom w:val="none" w:sz="0" w:space="0" w:color="auto"/>
            <w:right w:val="none" w:sz="0" w:space="0" w:color="auto"/>
          </w:divBdr>
        </w:div>
        <w:div w:id="892305399">
          <w:marLeft w:val="480"/>
          <w:marRight w:val="0"/>
          <w:marTop w:val="0"/>
          <w:marBottom w:val="0"/>
          <w:divBdr>
            <w:top w:val="none" w:sz="0" w:space="0" w:color="auto"/>
            <w:left w:val="none" w:sz="0" w:space="0" w:color="auto"/>
            <w:bottom w:val="none" w:sz="0" w:space="0" w:color="auto"/>
            <w:right w:val="none" w:sz="0" w:space="0" w:color="auto"/>
          </w:divBdr>
        </w:div>
        <w:div w:id="416243993">
          <w:marLeft w:val="480"/>
          <w:marRight w:val="0"/>
          <w:marTop w:val="0"/>
          <w:marBottom w:val="0"/>
          <w:divBdr>
            <w:top w:val="none" w:sz="0" w:space="0" w:color="auto"/>
            <w:left w:val="none" w:sz="0" w:space="0" w:color="auto"/>
            <w:bottom w:val="none" w:sz="0" w:space="0" w:color="auto"/>
            <w:right w:val="none" w:sz="0" w:space="0" w:color="auto"/>
          </w:divBdr>
        </w:div>
        <w:div w:id="1685981499">
          <w:marLeft w:val="480"/>
          <w:marRight w:val="0"/>
          <w:marTop w:val="0"/>
          <w:marBottom w:val="0"/>
          <w:divBdr>
            <w:top w:val="none" w:sz="0" w:space="0" w:color="auto"/>
            <w:left w:val="none" w:sz="0" w:space="0" w:color="auto"/>
            <w:bottom w:val="none" w:sz="0" w:space="0" w:color="auto"/>
            <w:right w:val="none" w:sz="0" w:space="0" w:color="auto"/>
          </w:divBdr>
        </w:div>
        <w:div w:id="818695898">
          <w:marLeft w:val="480"/>
          <w:marRight w:val="0"/>
          <w:marTop w:val="0"/>
          <w:marBottom w:val="0"/>
          <w:divBdr>
            <w:top w:val="none" w:sz="0" w:space="0" w:color="auto"/>
            <w:left w:val="none" w:sz="0" w:space="0" w:color="auto"/>
            <w:bottom w:val="none" w:sz="0" w:space="0" w:color="auto"/>
            <w:right w:val="none" w:sz="0" w:space="0" w:color="auto"/>
          </w:divBdr>
        </w:div>
        <w:div w:id="40176048">
          <w:marLeft w:val="480"/>
          <w:marRight w:val="0"/>
          <w:marTop w:val="0"/>
          <w:marBottom w:val="0"/>
          <w:divBdr>
            <w:top w:val="none" w:sz="0" w:space="0" w:color="auto"/>
            <w:left w:val="none" w:sz="0" w:space="0" w:color="auto"/>
            <w:bottom w:val="none" w:sz="0" w:space="0" w:color="auto"/>
            <w:right w:val="none" w:sz="0" w:space="0" w:color="auto"/>
          </w:divBdr>
        </w:div>
        <w:div w:id="492718723">
          <w:marLeft w:val="480"/>
          <w:marRight w:val="0"/>
          <w:marTop w:val="0"/>
          <w:marBottom w:val="0"/>
          <w:divBdr>
            <w:top w:val="none" w:sz="0" w:space="0" w:color="auto"/>
            <w:left w:val="none" w:sz="0" w:space="0" w:color="auto"/>
            <w:bottom w:val="none" w:sz="0" w:space="0" w:color="auto"/>
            <w:right w:val="none" w:sz="0" w:space="0" w:color="auto"/>
          </w:divBdr>
        </w:div>
        <w:div w:id="487597920">
          <w:marLeft w:val="480"/>
          <w:marRight w:val="0"/>
          <w:marTop w:val="0"/>
          <w:marBottom w:val="0"/>
          <w:divBdr>
            <w:top w:val="none" w:sz="0" w:space="0" w:color="auto"/>
            <w:left w:val="none" w:sz="0" w:space="0" w:color="auto"/>
            <w:bottom w:val="none" w:sz="0" w:space="0" w:color="auto"/>
            <w:right w:val="none" w:sz="0" w:space="0" w:color="auto"/>
          </w:divBdr>
        </w:div>
        <w:div w:id="1510021298">
          <w:marLeft w:val="480"/>
          <w:marRight w:val="0"/>
          <w:marTop w:val="0"/>
          <w:marBottom w:val="0"/>
          <w:divBdr>
            <w:top w:val="none" w:sz="0" w:space="0" w:color="auto"/>
            <w:left w:val="none" w:sz="0" w:space="0" w:color="auto"/>
            <w:bottom w:val="none" w:sz="0" w:space="0" w:color="auto"/>
            <w:right w:val="none" w:sz="0" w:space="0" w:color="auto"/>
          </w:divBdr>
        </w:div>
        <w:div w:id="1327902803">
          <w:marLeft w:val="480"/>
          <w:marRight w:val="0"/>
          <w:marTop w:val="0"/>
          <w:marBottom w:val="0"/>
          <w:divBdr>
            <w:top w:val="none" w:sz="0" w:space="0" w:color="auto"/>
            <w:left w:val="none" w:sz="0" w:space="0" w:color="auto"/>
            <w:bottom w:val="none" w:sz="0" w:space="0" w:color="auto"/>
            <w:right w:val="none" w:sz="0" w:space="0" w:color="auto"/>
          </w:divBdr>
        </w:div>
        <w:div w:id="1431705407">
          <w:marLeft w:val="480"/>
          <w:marRight w:val="0"/>
          <w:marTop w:val="0"/>
          <w:marBottom w:val="0"/>
          <w:divBdr>
            <w:top w:val="none" w:sz="0" w:space="0" w:color="auto"/>
            <w:left w:val="none" w:sz="0" w:space="0" w:color="auto"/>
            <w:bottom w:val="none" w:sz="0" w:space="0" w:color="auto"/>
            <w:right w:val="none" w:sz="0" w:space="0" w:color="auto"/>
          </w:divBdr>
        </w:div>
        <w:div w:id="443882880">
          <w:marLeft w:val="480"/>
          <w:marRight w:val="0"/>
          <w:marTop w:val="0"/>
          <w:marBottom w:val="0"/>
          <w:divBdr>
            <w:top w:val="none" w:sz="0" w:space="0" w:color="auto"/>
            <w:left w:val="none" w:sz="0" w:space="0" w:color="auto"/>
            <w:bottom w:val="none" w:sz="0" w:space="0" w:color="auto"/>
            <w:right w:val="none" w:sz="0" w:space="0" w:color="auto"/>
          </w:divBdr>
        </w:div>
        <w:div w:id="1696075926">
          <w:marLeft w:val="480"/>
          <w:marRight w:val="0"/>
          <w:marTop w:val="0"/>
          <w:marBottom w:val="0"/>
          <w:divBdr>
            <w:top w:val="none" w:sz="0" w:space="0" w:color="auto"/>
            <w:left w:val="none" w:sz="0" w:space="0" w:color="auto"/>
            <w:bottom w:val="none" w:sz="0" w:space="0" w:color="auto"/>
            <w:right w:val="none" w:sz="0" w:space="0" w:color="auto"/>
          </w:divBdr>
        </w:div>
        <w:div w:id="79251967">
          <w:marLeft w:val="480"/>
          <w:marRight w:val="0"/>
          <w:marTop w:val="0"/>
          <w:marBottom w:val="0"/>
          <w:divBdr>
            <w:top w:val="none" w:sz="0" w:space="0" w:color="auto"/>
            <w:left w:val="none" w:sz="0" w:space="0" w:color="auto"/>
            <w:bottom w:val="none" w:sz="0" w:space="0" w:color="auto"/>
            <w:right w:val="none" w:sz="0" w:space="0" w:color="auto"/>
          </w:divBdr>
        </w:div>
        <w:div w:id="1072002381">
          <w:marLeft w:val="480"/>
          <w:marRight w:val="0"/>
          <w:marTop w:val="0"/>
          <w:marBottom w:val="0"/>
          <w:divBdr>
            <w:top w:val="none" w:sz="0" w:space="0" w:color="auto"/>
            <w:left w:val="none" w:sz="0" w:space="0" w:color="auto"/>
            <w:bottom w:val="none" w:sz="0" w:space="0" w:color="auto"/>
            <w:right w:val="none" w:sz="0" w:space="0" w:color="auto"/>
          </w:divBdr>
        </w:div>
        <w:div w:id="721561394">
          <w:marLeft w:val="480"/>
          <w:marRight w:val="0"/>
          <w:marTop w:val="0"/>
          <w:marBottom w:val="0"/>
          <w:divBdr>
            <w:top w:val="none" w:sz="0" w:space="0" w:color="auto"/>
            <w:left w:val="none" w:sz="0" w:space="0" w:color="auto"/>
            <w:bottom w:val="none" w:sz="0" w:space="0" w:color="auto"/>
            <w:right w:val="none" w:sz="0" w:space="0" w:color="auto"/>
          </w:divBdr>
        </w:div>
        <w:div w:id="48653418">
          <w:marLeft w:val="480"/>
          <w:marRight w:val="0"/>
          <w:marTop w:val="0"/>
          <w:marBottom w:val="0"/>
          <w:divBdr>
            <w:top w:val="none" w:sz="0" w:space="0" w:color="auto"/>
            <w:left w:val="none" w:sz="0" w:space="0" w:color="auto"/>
            <w:bottom w:val="none" w:sz="0" w:space="0" w:color="auto"/>
            <w:right w:val="none" w:sz="0" w:space="0" w:color="auto"/>
          </w:divBdr>
        </w:div>
        <w:div w:id="1508901791">
          <w:marLeft w:val="480"/>
          <w:marRight w:val="0"/>
          <w:marTop w:val="0"/>
          <w:marBottom w:val="0"/>
          <w:divBdr>
            <w:top w:val="none" w:sz="0" w:space="0" w:color="auto"/>
            <w:left w:val="none" w:sz="0" w:space="0" w:color="auto"/>
            <w:bottom w:val="none" w:sz="0" w:space="0" w:color="auto"/>
            <w:right w:val="none" w:sz="0" w:space="0" w:color="auto"/>
          </w:divBdr>
        </w:div>
        <w:div w:id="1942755388">
          <w:marLeft w:val="480"/>
          <w:marRight w:val="0"/>
          <w:marTop w:val="0"/>
          <w:marBottom w:val="0"/>
          <w:divBdr>
            <w:top w:val="none" w:sz="0" w:space="0" w:color="auto"/>
            <w:left w:val="none" w:sz="0" w:space="0" w:color="auto"/>
            <w:bottom w:val="none" w:sz="0" w:space="0" w:color="auto"/>
            <w:right w:val="none" w:sz="0" w:space="0" w:color="auto"/>
          </w:divBdr>
        </w:div>
        <w:div w:id="248320985">
          <w:marLeft w:val="480"/>
          <w:marRight w:val="0"/>
          <w:marTop w:val="0"/>
          <w:marBottom w:val="0"/>
          <w:divBdr>
            <w:top w:val="none" w:sz="0" w:space="0" w:color="auto"/>
            <w:left w:val="none" w:sz="0" w:space="0" w:color="auto"/>
            <w:bottom w:val="none" w:sz="0" w:space="0" w:color="auto"/>
            <w:right w:val="none" w:sz="0" w:space="0" w:color="auto"/>
          </w:divBdr>
        </w:div>
        <w:div w:id="338510002">
          <w:marLeft w:val="480"/>
          <w:marRight w:val="0"/>
          <w:marTop w:val="0"/>
          <w:marBottom w:val="0"/>
          <w:divBdr>
            <w:top w:val="none" w:sz="0" w:space="0" w:color="auto"/>
            <w:left w:val="none" w:sz="0" w:space="0" w:color="auto"/>
            <w:bottom w:val="none" w:sz="0" w:space="0" w:color="auto"/>
            <w:right w:val="none" w:sz="0" w:space="0" w:color="auto"/>
          </w:divBdr>
        </w:div>
        <w:div w:id="764955895">
          <w:marLeft w:val="480"/>
          <w:marRight w:val="0"/>
          <w:marTop w:val="0"/>
          <w:marBottom w:val="0"/>
          <w:divBdr>
            <w:top w:val="none" w:sz="0" w:space="0" w:color="auto"/>
            <w:left w:val="none" w:sz="0" w:space="0" w:color="auto"/>
            <w:bottom w:val="none" w:sz="0" w:space="0" w:color="auto"/>
            <w:right w:val="none" w:sz="0" w:space="0" w:color="auto"/>
          </w:divBdr>
        </w:div>
        <w:div w:id="1569656755">
          <w:marLeft w:val="480"/>
          <w:marRight w:val="0"/>
          <w:marTop w:val="0"/>
          <w:marBottom w:val="0"/>
          <w:divBdr>
            <w:top w:val="none" w:sz="0" w:space="0" w:color="auto"/>
            <w:left w:val="none" w:sz="0" w:space="0" w:color="auto"/>
            <w:bottom w:val="none" w:sz="0" w:space="0" w:color="auto"/>
            <w:right w:val="none" w:sz="0" w:space="0" w:color="auto"/>
          </w:divBdr>
        </w:div>
        <w:div w:id="764151777">
          <w:marLeft w:val="480"/>
          <w:marRight w:val="0"/>
          <w:marTop w:val="0"/>
          <w:marBottom w:val="0"/>
          <w:divBdr>
            <w:top w:val="none" w:sz="0" w:space="0" w:color="auto"/>
            <w:left w:val="none" w:sz="0" w:space="0" w:color="auto"/>
            <w:bottom w:val="none" w:sz="0" w:space="0" w:color="auto"/>
            <w:right w:val="none" w:sz="0" w:space="0" w:color="auto"/>
          </w:divBdr>
        </w:div>
        <w:div w:id="567300830">
          <w:marLeft w:val="480"/>
          <w:marRight w:val="0"/>
          <w:marTop w:val="0"/>
          <w:marBottom w:val="0"/>
          <w:divBdr>
            <w:top w:val="none" w:sz="0" w:space="0" w:color="auto"/>
            <w:left w:val="none" w:sz="0" w:space="0" w:color="auto"/>
            <w:bottom w:val="none" w:sz="0" w:space="0" w:color="auto"/>
            <w:right w:val="none" w:sz="0" w:space="0" w:color="auto"/>
          </w:divBdr>
        </w:div>
        <w:div w:id="564099854">
          <w:marLeft w:val="480"/>
          <w:marRight w:val="0"/>
          <w:marTop w:val="0"/>
          <w:marBottom w:val="0"/>
          <w:divBdr>
            <w:top w:val="none" w:sz="0" w:space="0" w:color="auto"/>
            <w:left w:val="none" w:sz="0" w:space="0" w:color="auto"/>
            <w:bottom w:val="none" w:sz="0" w:space="0" w:color="auto"/>
            <w:right w:val="none" w:sz="0" w:space="0" w:color="auto"/>
          </w:divBdr>
        </w:div>
        <w:div w:id="1108740445">
          <w:marLeft w:val="480"/>
          <w:marRight w:val="0"/>
          <w:marTop w:val="0"/>
          <w:marBottom w:val="0"/>
          <w:divBdr>
            <w:top w:val="none" w:sz="0" w:space="0" w:color="auto"/>
            <w:left w:val="none" w:sz="0" w:space="0" w:color="auto"/>
            <w:bottom w:val="none" w:sz="0" w:space="0" w:color="auto"/>
            <w:right w:val="none" w:sz="0" w:space="0" w:color="auto"/>
          </w:divBdr>
        </w:div>
        <w:div w:id="47144899">
          <w:marLeft w:val="480"/>
          <w:marRight w:val="0"/>
          <w:marTop w:val="0"/>
          <w:marBottom w:val="0"/>
          <w:divBdr>
            <w:top w:val="none" w:sz="0" w:space="0" w:color="auto"/>
            <w:left w:val="none" w:sz="0" w:space="0" w:color="auto"/>
            <w:bottom w:val="none" w:sz="0" w:space="0" w:color="auto"/>
            <w:right w:val="none" w:sz="0" w:space="0" w:color="auto"/>
          </w:divBdr>
        </w:div>
        <w:div w:id="77141411">
          <w:marLeft w:val="480"/>
          <w:marRight w:val="0"/>
          <w:marTop w:val="0"/>
          <w:marBottom w:val="0"/>
          <w:divBdr>
            <w:top w:val="none" w:sz="0" w:space="0" w:color="auto"/>
            <w:left w:val="none" w:sz="0" w:space="0" w:color="auto"/>
            <w:bottom w:val="none" w:sz="0" w:space="0" w:color="auto"/>
            <w:right w:val="none" w:sz="0" w:space="0" w:color="auto"/>
          </w:divBdr>
        </w:div>
        <w:div w:id="1963027901">
          <w:marLeft w:val="480"/>
          <w:marRight w:val="0"/>
          <w:marTop w:val="0"/>
          <w:marBottom w:val="0"/>
          <w:divBdr>
            <w:top w:val="none" w:sz="0" w:space="0" w:color="auto"/>
            <w:left w:val="none" w:sz="0" w:space="0" w:color="auto"/>
            <w:bottom w:val="none" w:sz="0" w:space="0" w:color="auto"/>
            <w:right w:val="none" w:sz="0" w:space="0" w:color="auto"/>
          </w:divBdr>
        </w:div>
        <w:div w:id="82721767">
          <w:marLeft w:val="480"/>
          <w:marRight w:val="0"/>
          <w:marTop w:val="0"/>
          <w:marBottom w:val="0"/>
          <w:divBdr>
            <w:top w:val="none" w:sz="0" w:space="0" w:color="auto"/>
            <w:left w:val="none" w:sz="0" w:space="0" w:color="auto"/>
            <w:bottom w:val="none" w:sz="0" w:space="0" w:color="auto"/>
            <w:right w:val="none" w:sz="0" w:space="0" w:color="auto"/>
          </w:divBdr>
        </w:div>
        <w:div w:id="1203397412">
          <w:marLeft w:val="480"/>
          <w:marRight w:val="0"/>
          <w:marTop w:val="0"/>
          <w:marBottom w:val="0"/>
          <w:divBdr>
            <w:top w:val="none" w:sz="0" w:space="0" w:color="auto"/>
            <w:left w:val="none" w:sz="0" w:space="0" w:color="auto"/>
            <w:bottom w:val="none" w:sz="0" w:space="0" w:color="auto"/>
            <w:right w:val="none" w:sz="0" w:space="0" w:color="auto"/>
          </w:divBdr>
        </w:div>
        <w:div w:id="1631015600">
          <w:marLeft w:val="480"/>
          <w:marRight w:val="0"/>
          <w:marTop w:val="0"/>
          <w:marBottom w:val="0"/>
          <w:divBdr>
            <w:top w:val="none" w:sz="0" w:space="0" w:color="auto"/>
            <w:left w:val="none" w:sz="0" w:space="0" w:color="auto"/>
            <w:bottom w:val="none" w:sz="0" w:space="0" w:color="auto"/>
            <w:right w:val="none" w:sz="0" w:space="0" w:color="auto"/>
          </w:divBdr>
        </w:div>
        <w:div w:id="1835140293">
          <w:marLeft w:val="480"/>
          <w:marRight w:val="0"/>
          <w:marTop w:val="0"/>
          <w:marBottom w:val="0"/>
          <w:divBdr>
            <w:top w:val="none" w:sz="0" w:space="0" w:color="auto"/>
            <w:left w:val="none" w:sz="0" w:space="0" w:color="auto"/>
            <w:bottom w:val="none" w:sz="0" w:space="0" w:color="auto"/>
            <w:right w:val="none" w:sz="0" w:space="0" w:color="auto"/>
          </w:divBdr>
        </w:div>
        <w:div w:id="528496310">
          <w:marLeft w:val="480"/>
          <w:marRight w:val="0"/>
          <w:marTop w:val="0"/>
          <w:marBottom w:val="0"/>
          <w:divBdr>
            <w:top w:val="none" w:sz="0" w:space="0" w:color="auto"/>
            <w:left w:val="none" w:sz="0" w:space="0" w:color="auto"/>
            <w:bottom w:val="none" w:sz="0" w:space="0" w:color="auto"/>
            <w:right w:val="none" w:sz="0" w:space="0" w:color="auto"/>
          </w:divBdr>
        </w:div>
        <w:div w:id="1004279432">
          <w:marLeft w:val="480"/>
          <w:marRight w:val="0"/>
          <w:marTop w:val="0"/>
          <w:marBottom w:val="0"/>
          <w:divBdr>
            <w:top w:val="none" w:sz="0" w:space="0" w:color="auto"/>
            <w:left w:val="none" w:sz="0" w:space="0" w:color="auto"/>
            <w:bottom w:val="none" w:sz="0" w:space="0" w:color="auto"/>
            <w:right w:val="none" w:sz="0" w:space="0" w:color="auto"/>
          </w:divBdr>
        </w:div>
        <w:div w:id="628315663">
          <w:marLeft w:val="480"/>
          <w:marRight w:val="0"/>
          <w:marTop w:val="0"/>
          <w:marBottom w:val="0"/>
          <w:divBdr>
            <w:top w:val="none" w:sz="0" w:space="0" w:color="auto"/>
            <w:left w:val="none" w:sz="0" w:space="0" w:color="auto"/>
            <w:bottom w:val="none" w:sz="0" w:space="0" w:color="auto"/>
            <w:right w:val="none" w:sz="0" w:space="0" w:color="auto"/>
          </w:divBdr>
        </w:div>
        <w:div w:id="697778064">
          <w:marLeft w:val="480"/>
          <w:marRight w:val="0"/>
          <w:marTop w:val="0"/>
          <w:marBottom w:val="0"/>
          <w:divBdr>
            <w:top w:val="none" w:sz="0" w:space="0" w:color="auto"/>
            <w:left w:val="none" w:sz="0" w:space="0" w:color="auto"/>
            <w:bottom w:val="none" w:sz="0" w:space="0" w:color="auto"/>
            <w:right w:val="none" w:sz="0" w:space="0" w:color="auto"/>
          </w:divBdr>
        </w:div>
        <w:div w:id="1572152706">
          <w:marLeft w:val="480"/>
          <w:marRight w:val="0"/>
          <w:marTop w:val="0"/>
          <w:marBottom w:val="0"/>
          <w:divBdr>
            <w:top w:val="none" w:sz="0" w:space="0" w:color="auto"/>
            <w:left w:val="none" w:sz="0" w:space="0" w:color="auto"/>
            <w:bottom w:val="none" w:sz="0" w:space="0" w:color="auto"/>
            <w:right w:val="none" w:sz="0" w:space="0" w:color="auto"/>
          </w:divBdr>
        </w:div>
        <w:div w:id="968628936">
          <w:marLeft w:val="480"/>
          <w:marRight w:val="0"/>
          <w:marTop w:val="0"/>
          <w:marBottom w:val="0"/>
          <w:divBdr>
            <w:top w:val="none" w:sz="0" w:space="0" w:color="auto"/>
            <w:left w:val="none" w:sz="0" w:space="0" w:color="auto"/>
            <w:bottom w:val="none" w:sz="0" w:space="0" w:color="auto"/>
            <w:right w:val="none" w:sz="0" w:space="0" w:color="auto"/>
          </w:divBdr>
        </w:div>
        <w:div w:id="1878394072">
          <w:marLeft w:val="480"/>
          <w:marRight w:val="0"/>
          <w:marTop w:val="0"/>
          <w:marBottom w:val="0"/>
          <w:divBdr>
            <w:top w:val="none" w:sz="0" w:space="0" w:color="auto"/>
            <w:left w:val="none" w:sz="0" w:space="0" w:color="auto"/>
            <w:bottom w:val="none" w:sz="0" w:space="0" w:color="auto"/>
            <w:right w:val="none" w:sz="0" w:space="0" w:color="auto"/>
          </w:divBdr>
        </w:div>
        <w:div w:id="418723548">
          <w:marLeft w:val="480"/>
          <w:marRight w:val="0"/>
          <w:marTop w:val="0"/>
          <w:marBottom w:val="0"/>
          <w:divBdr>
            <w:top w:val="none" w:sz="0" w:space="0" w:color="auto"/>
            <w:left w:val="none" w:sz="0" w:space="0" w:color="auto"/>
            <w:bottom w:val="none" w:sz="0" w:space="0" w:color="auto"/>
            <w:right w:val="none" w:sz="0" w:space="0" w:color="auto"/>
          </w:divBdr>
        </w:div>
      </w:divsChild>
    </w:div>
    <w:div w:id="1983150285">
      <w:bodyDiv w:val="1"/>
      <w:marLeft w:val="0"/>
      <w:marRight w:val="0"/>
      <w:marTop w:val="0"/>
      <w:marBottom w:val="0"/>
      <w:divBdr>
        <w:top w:val="none" w:sz="0" w:space="0" w:color="auto"/>
        <w:left w:val="none" w:sz="0" w:space="0" w:color="auto"/>
        <w:bottom w:val="none" w:sz="0" w:space="0" w:color="auto"/>
        <w:right w:val="none" w:sz="0" w:space="0" w:color="auto"/>
      </w:divBdr>
    </w:div>
    <w:div w:id="1983579289">
      <w:bodyDiv w:val="1"/>
      <w:marLeft w:val="0"/>
      <w:marRight w:val="0"/>
      <w:marTop w:val="0"/>
      <w:marBottom w:val="0"/>
      <w:divBdr>
        <w:top w:val="none" w:sz="0" w:space="0" w:color="auto"/>
        <w:left w:val="none" w:sz="0" w:space="0" w:color="auto"/>
        <w:bottom w:val="none" w:sz="0" w:space="0" w:color="auto"/>
        <w:right w:val="none" w:sz="0" w:space="0" w:color="auto"/>
      </w:divBdr>
    </w:div>
    <w:div w:id="1983729709">
      <w:bodyDiv w:val="1"/>
      <w:marLeft w:val="0"/>
      <w:marRight w:val="0"/>
      <w:marTop w:val="0"/>
      <w:marBottom w:val="0"/>
      <w:divBdr>
        <w:top w:val="none" w:sz="0" w:space="0" w:color="auto"/>
        <w:left w:val="none" w:sz="0" w:space="0" w:color="auto"/>
        <w:bottom w:val="none" w:sz="0" w:space="0" w:color="auto"/>
        <w:right w:val="none" w:sz="0" w:space="0" w:color="auto"/>
      </w:divBdr>
    </w:div>
    <w:div w:id="1984119735">
      <w:bodyDiv w:val="1"/>
      <w:marLeft w:val="0"/>
      <w:marRight w:val="0"/>
      <w:marTop w:val="0"/>
      <w:marBottom w:val="0"/>
      <w:divBdr>
        <w:top w:val="none" w:sz="0" w:space="0" w:color="auto"/>
        <w:left w:val="none" w:sz="0" w:space="0" w:color="auto"/>
        <w:bottom w:val="none" w:sz="0" w:space="0" w:color="auto"/>
        <w:right w:val="none" w:sz="0" w:space="0" w:color="auto"/>
      </w:divBdr>
    </w:div>
    <w:div w:id="1984191600">
      <w:bodyDiv w:val="1"/>
      <w:marLeft w:val="0"/>
      <w:marRight w:val="0"/>
      <w:marTop w:val="0"/>
      <w:marBottom w:val="0"/>
      <w:divBdr>
        <w:top w:val="none" w:sz="0" w:space="0" w:color="auto"/>
        <w:left w:val="none" w:sz="0" w:space="0" w:color="auto"/>
        <w:bottom w:val="none" w:sz="0" w:space="0" w:color="auto"/>
        <w:right w:val="none" w:sz="0" w:space="0" w:color="auto"/>
      </w:divBdr>
    </w:div>
    <w:div w:id="1984235604">
      <w:bodyDiv w:val="1"/>
      <w:marLeft w:val="0"/>
      <w:marRight w:val="0"/>
      <w:marTop w:val="0"/>
      <w:marBottom w:val="0"/>
      <w:divBdr>
        <w:top w:val="none" w:sz="0" w:space="0" w:color="auto"/>
        <w:left w:val="none" w:sz="0" w:space="0" w:color="auto"/>
        <w:bottom w:val="none" w:sz="0" w:space="0" w:color="auto"/>
        <w:right w:val="none" w:sz="0" w:space="0" w:color="auto"/>
      </w:divBdr>
    </w:div>
    <w:div w:id="1985354083">
      <w:bodyDiv w:val="1"/>
      <w:marLeft w:val="0"/>
      <w:marRight w:val="0"/>
      <w:marTop w:val="0"/>
      <w:marBottom w:val="0"/>
      <w:divBdr>
        <w:top w:val="none" w:sz="0" w:space="0" w:color="auto"/>
        <w:left w:val="none" w:sz="0" w:space="0" w:color="auto"/>
        <w:bottom w:val="none" w:sz="0" w:space="0" w:color="auto"/>
        <w:right w:val="none" w:sz="0" w:space="0" w:color="auto"/>
      </w:divBdr>
    </w:div>
    <w:div w:id="1985507583">
      <w:bodyDiv w:val="1"/>
      <w:marLeft w:val="0"/>
      <w:marRight w:val="0"/>
      <w:marTop w:val="0"/>
      <w:marBottom w:val="0"/>
      <w:divBdr>
        <w:top w:val="none" w:sz="0" w:space="0" w:color="auto"/>
        <w:left w:val="none" w:sz="0" w:space="0" w:color="auto"/>
        <w:bottom w:val="none" w:sz="0" w:space="0" w:color="auto"/>
        <w:right w:val="none" w:sz="0" w:space="0" w:color="auto"/>
      </w:divBdr>
    </w:div>
    <w:div w:id="1985889935">
      <w:bodyDiv w:val="1"/>
      <w:marLeft w:val="0"/>
      <w:marRight w:val="0"/>
      <w:marTop w:val="0"/>
      <w:marBottom w:val="0"/>
      <w:divBdr>
        <w:top w:val="none" w:sz="0" w:space="0" w:color="auto"/>
        <w:left w:val="none" w:sz="0" w:space="0" w:color="auto"/>
        <w:bottom w:val="none" w:sz="0" w:space="0" w:color="auto"/>
        <w:right w:val="none" w:sz="0" w:space="0" w:color="auto"/>
      </w:divBdr>
    </w:div>
    <w:div w:id="1986932758">
      <w:bodyDiv w:val="1"/>
      <w:marLeft w:val="0"/>
      <w:marRight w:val="0"/>
      <w:marTop w:val="0"/>
      <w:marBottom w:val="0"/>
      <w:divBdr>
        <w:top w:val="none" w:sz="0" w:space="0" w:color="auto"/>
        <w:left w:val="none" w:sz="0" w:space="0" w:color="auto"/>
        <w:bottom w:val="none" w:sz="0" w:space="0" w:color="auto"/>
        <w:right w:val="none" w:sz="0" w:space="0" w:color="auto"/>
      </w:divBdr>
    </w:div>
    <w:div w:id="1988166141">
      <w:bodyDiv w:val="1"/>
      <w:marLeft w:val="0"/>
      <w:marRight w:val="0"/>
      <w:marTop w:val="0"/>
      <w:marBottom w:val="0"/>
      <w:divBdr>
        <w:top w:val="none" w:sz="0" w:space="0" w:color="auto"/>
        <w:left w:val="none" w:sz="0" w:space="0" w:color="auto"/>
        <w:bottom w:val="none" w:sz="0" w:space="0" w:color="auto"/>
        <w:right w:val="none" w:sz="0" w:space="0" w:color="auto"/>
      </w:divBdr>
    </w:div>
    <w:div w:id="1988440164">
      <w:bodyDiv w:val="1"/>
      <w:marLeft w:val="0"/>
      <w:marRight w:val="0"/>
      <w:marTop w:val="0"/>
      <w:marBottom w:val="0"/>
      <w:divBdr>
        <w:top w:val="none" w:sz="0" w:space="0" w:color="auto"/>
        <w:left w:val="none" w:sz="0" w:space="0" w:color="auto"/>
        <w:bottom w:val="none" w:sz="0" w:space="0" w:color="auto"/>
        <w:right w:val="none" w:sz="0" w:space="0" w:color="auto"/>
      </w:divBdr>
    </w:div>
    <w:div w:id="1989045083">
      <w:bodyDiv w:val="1"/>
      <w:marLeft w:val="0"/>
      <w:marRight w:val="0"/>
      <w:marTop w:val="0"/>
      <w:marBottom w:val="0"/>
      <w:divBdr>
        <w:top w:val="none" w:sz="0" w:space="0" w:color="auto"/>
        <w:left w:val="none" w:sz="0" w:space="0" w:color="auto"/>
        <w:bottom w:val="none" w:sz="0" w:space="0" w:color="auto"/>
        <w:right w:val="none" w:sz="0" w:space="0" w:color="auto"/>
      </w:divBdr>
    </w:div>
    <w:div w:id="1989508314">
      <w:bodyDiv w:val="1"/>
      <w:marLeft w:val="0"/>
      <w:marRight w:val="0"/>
      <w:marTop w:val="0"/>
      <w:marBottom w:val="0"/>
      <w:divBdr>
        <w:top w:val="none" w:sz="0" w:space="0" w:color="auto"/>
        <w:left w:val="none" w:sz="0" w:space="0" w:color="auto"/>
        <w:bottom w:val="none" w:sz="0" w:space="0" w:color="auto"/>
        <w:right w:val="none" w:sz="0" w:space="0" w:color="auto"/>
      </w:divBdr>
    </w:div>
    <w:div w:id="1989554904">
      <w:bodyDiv w:val="1"/>
      <w:marLeft w:val="0"/>
      <w:marRight w:val="0"/>
      <w:marTop w:val="0"/>
      <w:marBottom w:val="0"/>
      <w:divBdr>
        <w:top w:val="none" w:sz="0" w:space="0" w:color="auto"/>
        <w:left w:val="none" w:sz="0" w:space="0" w:color="auto"/>
        <w:bottom w:val="none" w:sz="0" w:space="0" w:color="auto"/>
        <w:right w:val="none" w:sz="0" w:space="0" w:color="auto"/>
      </w:divBdr>
    </w:div>
    <w:div w:id="1990092304">
      <w:bodyDiv w:val="1"/>
      <w:marLeft w:val="0"/>
      <w:marRight w:val="0"/>
      <w:marTop w:val="0"/>
      <w:marBottom w:val="0"/>
      <w:divBdr>
        <w:top w:val="none" w:sz="0" w:space="0" w:color="auto"/>
        <w:left w:val="none" w:sz="0" w:space="0" w:color="auto"/>
        <w:bottom w:val="none" w:sz="0" w:space="0" w:color="auto"/>
        <w:right w:val="none" w:sz="0" w:space="0" w:color="auto"/>
      </w:divBdr>
    </w:div>
    <w:div w:id="1990093432">
      <w:bodyDiv w:val="1"/>
      <w:marLeft w:val="0"/>
      <w:marRight w:val="0"/>
      <w:marTop w:val="0"/>
      <w:marBottom w:val="0"/>
      <w:divBdr>
        <w:top w:val="none" w:sz="0" w:space="0" w:color="auto"/>
        <w:left w:val="none" w:sz="0" w:space="0" w:color="auto"/>
        <w:bottom w:val="none" w:sz="0" w:space="0" w:color="auto"/>
        <w:right w:val="none" w:sz="0" w:space="0" w:color="auto"/>
      </w:divBdr>
    </w:div>
    <w:div w:id="1990406063">
      <w:bodyDiv w:val="1"/>
      <w:marLeft w:val="0"/>
      <w:marRight w:val="0"/>
      <w:marTop w:val="0"/>
      <w:marBottom w:val="0"/>
      <w:divBdr>
        <w:top w:val="none" w:sz="0" w:space="0" w:color="auto"/>
        <w:left w:val="none" w:sz="0" w:space="0" w:color="auto"/>
        <w:bottom w:val="none" w:sz="0" w:space="0" w:color="auto"/>
        <w:right w:val="none" w:sz="0" w:space="0" w:color="auto"/>
      </w:divBdr>
    </w:div>
    <w:div w:id="1990480601">
      <w:bodyDiv w:val="1"/>
      <w:marLeft w:val="0"/>
      <w:marRight w:val="0"/>
      <w:marTop w:val="0"/>
      <w:marBottom w:val="0"/>
      <w:divBdr>
        <w:top w:val="none" w:sz="0" w:space="0" w:color="auto"/>
        <w:left w:val="none" w:sz="0" w:space="0" w:color="auto"/>
        <w:bottom w:val="none" w:sz="0" w:space="0" w:color="auto"/>
        <w:right w:val="none" w:sz="0" w:space="0" w:color="auto"/>
      </w:divBdr>
    </w:div>
    <w:div w:id="1991053565">
      <w:bodyDiv w:val="1"/>
      <w:marLeft w:val="0"/>
      <w:marRight w:val="0"/>
      <w:marTop w:val="0"/>
      <w:marBottom w:val="0"/>
      <w:divBdr>
        <w:top w:val="none" w:sz="0" w:space="0" w:color="auto"/>
        <w:left w:val="none" w:sz="0" w:space="0" w:color="auto"/>
        <w:bottom w:val="none" w:sz="0" w:space="0" w:color="auto"/>
        <w:right w:val="none" w:sz="0" w:space="0" w:color="auto"/>
      </w:divBdr>
    </w:div>
    <w:div w:id="1991054435">
      <w:bodyDiv w:val="1"/>
      <w:marLeft w:val="0"/>
      <w:marRight w:val="0"/>
      <w:marTop w:val="0"/>
      <w:marBottom w:val="0"/>
      <w:divBdr>
        <w:top w:val="none" w:sz="0" w:space="0" w:color="auto"/>
        <w:left w:val="none" w:sz="0" w:space="0" w:color="auto"/>
        <w:bottom w:val="none" w:sz="0" w:space="0" w:color="auto"/>
        <w:right w:val="none" w:sz="0" w:space="0" w:color="auto"/>
      </w:divBdr>
    </w:div>
    <w:div w:id="1991320386">
      <w:bodyDiv w:val="1"/>
      <w:marLeft w:val="0"/>
      <w:marRight w:val="0"/>
      <w:marTop w:val="0"/>
      <w:marBottom w:val="0"/>
      <w:divBdr>
        <w:top w:val="none" w:sz="0" w:space="0" w:color="auto"/>
        <w:left w:val="none" w:sz="0" w:space="0" w:color="auto"/>
        <w:bottom w:val="none" w:sz="0" w:space="0" w:color="auto"/>
        <w:right w:val="none" w:sz="0" w:space="0" w:color="auto"/>
      </w:divBdr>
    </w:div>
    <w:div w:id="1991516762">
      <w:bodyDiv w:val="1"/>
      <w:marLeft w:val="0"/>
      <w:marRight w:val="0"/>
      <w:marTop w:val="0"/>
      <w:marBottom w:val="0"/>
      <w:divBdr>
        <w:top w:val="none" w:sz="0" w:space="0" w:color="auto"/>
        <w:left w:val="none" w:sz="0" w:space="0" w:color="auto"/>
        <w:bottom w:val="none" w:sz="0" w:space="0" w:color="auto"/>
        <w:right w:val="none" w:sz="0" w:space="0" w:color="auto"/>
      </w:divBdr>
    </w:div>
    <w:div w:id="1992129188">
      <w:bodyDiv w:val="1"/>
      <w:marLeft w:val="0"/>
      <w:marRight w:val="0"/>
      <w:marTop w:val="0"/>
      <w:marBottom w:val="0"/>
      <w:divBdr>
        <w:top w:val="none" w:sz="0" w:space="0" w:color="auto"/>
        <w:left w:val="none" w:sz="0" w:space="0" w:color="auto"/>
        <w:bottom w:val="none" w:sz="0" w:space="0" w:color="auto"/>
        <w:right w:val="none" w:sz="0" w:space="0" w:color="auto"/>
      </w:divBdr>
    </w:div>
    <w:div w:id="1992440592">
      <w:bodyDiv w:val="1"/>
      <w:marLeft w:val="0"/>
      <w:marRight w:val="0"/>
      <w:marTop w:val="0"/>
      <w:marBottom w:val="0"/>
      <w:divBdr>
        <w:top w:val="none" w:sz="0" w:space="0" w:color="auto"/>
        <w:left w:val="none" w:sz="0" w:space="0" w:color="auto"/>
        <w:bottom w:val="none" w:sz="0" w:space="0" w:color="auto"/>
        <w:right w:val="none" w:sz="0" w:space="0" w:color="auto"/>
      </w:divBdr>
    </w:div>
    <w:div w:id="1992558320">
      <w:bodyDiv w:val="1"/>
      <w:marLeft w:val="0"/>
      <w:marRight w:val="0"/>
      <w:marTop w:val="0"/>
      <w:marBottom w:val="0"/>
      <w:divBdr>
        <w:top w:val="none" w:sz="0" w:space="0" w:color="auto"/>
        <w:left w:val="none" w:sz="0" w:space="0" w:color="auto"/>
        <w:bottom w:val="none" w:sz="0" w:space="0" w:color="auto"/>
        <w:right w:val="none" w:sz="0" w:space="0" w:color="auto"/>
      </w:divBdr>
    </w:div>
    <w:div w:id="1992826836">
      <w:bodyDiv w:val="1"/>
      <w:marLeft w:val="0"/>
      <w:marRight w:val="0"/>
      <w:marTop w:val="0"/>
      <w:marBottom w:val="0"/>
      <w:divBdr>
        <w:top w:val="none" w:sz="0" w:space="0" w:color="auto"/>
        <w:left w:val="none" w:sz="0" w:space="0" w:color="auto"/>
        <w:bottom w:val="none" w:sz="0" w:space="0" w:color="auto"/>
        <w:right w:val="none" w:sz="0" w:space="0" w:color="auto"/>
      </w:divBdr>
    </w:div>
    <w:div w:id="1992904176">
      <w:bodyDiv w:val="1"/>
      <w:marLeft w:val="0"/>
      <w:marRight w:val="0"/>
      <w:marTop w:val="0"/>
      <w:marBottom w:val="0"/>
      <w:divBdr>
        <w:top w:val="none" w:sz="0" w:space="0" w:color="auto"/>
        <w:left w:val="none" w:sz="0" w:space="0" w:color="auto"/>
        <w:bottom w:val="none" w:sz="0" w:space="0" w:color="auto"/>
        <w:right w:val="none" w:sz="0" w:space="0" w:color="auto"/>
      </w:divBdr>
    </w:div>
    <w:div w:id="1993175705">
      <w:bodyDiv w:val="1"/>
      <w:marLeft w:val="0"/>
      <w:marRight w:val="0"/>
      <w:marTop w:val="0"/>
      <w:marBottom w:val="0"/>
      <w:divBdr>
        <w:top w:val="none" w:sz="0" w:space="0" w:color="auto"/>
        <w:left w:val="none" w:sz="0" w:space="0" w:color="auto"/>
        <w:bottom w:val="none" w:sz="0" w:space="0" w:color="auto"/>
        <w:right w:val="none" w:sz="0" w:space="0" w:color="auto"/>
      </w:divBdr>
    </w:div>
    <w:div w:id="1994989471">
      <w:bodyDiv w:val="1"/>
      <w:marLeft w:val="0"/>
      <w:marRight w:val="0"/>
      <w:marTop w:val="0"/>
      <w:marBottom w:val="0"/>
      <w:divBdr>
        <w:top w:val="none" w:sz="0" w:space="0" w:color="auto"/>
        <w:left w:val="none" w:sz="0" w:space="0" w:color="auto"/>
        <w:bottom w:val="none" w:sz="0" w:space="0" w:color="auto"/>
        <w:right w:val="none" w:sz="0" w:space="0" w:color="auto"/>
      </w:divBdr>
    </w:div>
    <w:div w:id="1995379445">
      <w:bodyDiv w:val="1"/>
      <w:marLeft w:val="0"/>
      <w:marRight w:val="0"/>
      <w:marTop w:val="0"/>
      <w:marBottom w:val="0"/>
      <w:divBdr>
        <w:top w:val="none" w:sz="0" w:space="0" w:color="auto"/>
        <w:left w:val="none" w:sz="0" w:space="0" w:color="auto"/>
        <w:bottom w:val="none" w:sz="0" w:space="0" w:color="auto"/>
        <w:right w:val="none" w:sz="0" w:space="0" w:color="auto"/>
      </w:divBdr>
    </w:div>
    <w:div w:id="1995984922">
      <w:bodyDiv w:val="1"/>
      <w:marLeft w:val="0"/>
      <w:marRight w:val="0"/>
      <w:marTop w:val="0"/>
      <w:marBottom w:val="0"/>
      <w:divBdr>
        <w:top w:val="none" w:sz="0" w:space="0" w:color="auto"/>
        <w:left w:val="none" w:sz="0" w:space="0" w:color="auto"/>
        <w:bottom w:val="none" w:sz="0" w:space="0" w:color="auto"/>
        <w:right w:val="none" w:sz="0" w:space="0" w:color="auto"/>
      </w:divBdr>
    </w:div>
    <w:div w:id="1996109871">
      <w:bodyDiv w:val="1"/>
      <w:marLeft w:val="0"/>
      <w:marRight w:val="0"/>
      <w:marTop w:val="0"/>
      <w:marBottom w:val="0"/>
      <w:divBdr>
        <w:top w:val="none" w:sz="0" w:space="0" w:color="auto"/>
        <w:left w:val="none" w:sz="0" w:space="0" w:color="auto"/>
        <w:bottom w:val="none" w:sz="0" w:space="0" w:color="auto"/>
        <w:right w:val="none" w:sz="0" w:space="0" w:color="auto"/>
      </w:divBdr>
    </w:div>
    <w:div w:id="1996690201">
      <w:bodyDiv w:val="1"/>
      <w:marLeft w:val="0"/>
      <w:marRight w:val="0"/>
      <w:marTop w:val="0"/>
      <w:marBottom w:val="0"/>
      <w:divBdr>
        <w:top w:val="none" w:sz="0" w:space="0" w:color="auto"/>
        <w:left w:val="none" w:sz="0" w:space="0" w:color="auto"/>
        <w:bottom w:val="none" w:sz="0" w:space="0" w:color="auto"/>
        <w:right w:val="none" w:sz="0" w:space="0" w:color="auto"/>
      </w:divBdr>
    </w:div>
    <w:div w:id="1998679755">
      <w:bodyDiv w:val="1"/>
      <w:marLeft w:val="0"/>
      <w:marRight w:val="0"/>
      <w:marTop w:val="0"/>
      <w:marBottom w:val="0"/>
      <w:divBdr>
        <w:top w:val="none" w:sz="0" w:space="0" w:color="auto"/>
        <w:left w:val="none" w:sz="0" w:space="0" w:color="auto"/>
        <w:bottom w:val="none" w:sz="0" w:space="0" w:color="auto"/>
        <w:right w:val="none" w:sz="0" w:space="0" w:color="auto"/>
      </w:divBdr>
    </w:div>
    <w:div w:id="1999530623">
      <w:bodyDiv w:val="1"/>
      <w:marLeft w:val="0"/>
      <w:marRight w:val="0"/>
      <w:marTop w:val="0"/>
      <w:marBottom w:val="0"/>
      <w:divBdr>
        <w:top w:val="none" w:sz="0" w:space="0" w:color="auto"/>
        <w:left w:val="none" w:sz="0" w:space="0" w:color="auto"/>
        <w:bottom w:val="none" w:sz="0" w:space="0" w:color="auto"/>
        <w:right w:val="none" w:sz="0" w:space="0" w:color="auto"/>
      </w:divBdr>
    </w:div>
    <w:div w:id="1999575906">
      <w:bodyDiv w:val="1"/>
      <w:marLeft w:val="0"/>
      <w:marRight w:val="0"/>
      <w:marTop w:val="0"/>
      <w:marBottom w:val="0"/>
      <w:divBdr>
        <w:top w:val="none" w:sz="0" w:space="0" w:color="auto"/>
        <w:left w:val="none" w:sz="0" w:space="0" w:color="auto"/>
        <w:bottom w:val="none" w:sz="0" w:space="0" w:color="auto"/>
        <w:right w:val="none" w:sz="0" w:space="0" w:color="auto"/>
      </w:divBdr>
    </w:div>
    <w:div w:id="1999839758">
      <w:bodyDiv w:val="1"/>
      <w:marLeft w:val="0"/>
      <w:marRight w:val="0"/>
      <w:marTop w:val="0"/>
      <w:marBottom w:val="0"/>
      <w:divBdr>
        <w:top w:val="none" w:sz="0" w:space="0" w:color="auto"/>
        <w:left w:val="none" w:sz="0" w:space="0" w:color="auto"/>
        <w:bottom w:val="none" w:sz="0" w:space="0" w:color="auto"/>
        <w:right w:val="none" w:sz="0" w:space="0" w:color="auto"/>
      </w:divBdr>
    </w:div>
    <w:div w:id="2000111615">
      <w:bodyDiv w:val="1"/>
      <w:marLeft w:val="0"/>
      <w:marRight w:val="0"/>
      <w:marTop w:val="0"/>
      <w:marBottom w:val="0"/>
      <w:divBdr>
        <w:top w:val="none" w:sz="0" w:space="0" w:color="auto"/>
        <w:left w:val="none" w:sz="0" w:space="0" w:color="auto"/>
        <w:bottom w:val="none" w:sz="0" w:space="0" w:color="auto"/>
        <w:right w:val="none" w:sz="0" w:space="0" w:color="auto"/>
      </w:divBdr>
    </w:div>
    <w:div w:id="2002005884">
      <w:bodyDiv w:val="1"/>
      <w:marLeft w:val="0"/>
      <w:marRight w:val="0"/>
      <w:marTop w:val="0"/>
      <w:marBottom w:val="0"/>
      <w:divBdr>
        <w:top w:val="none" w:sz="0" w:space="0" w:color="auto"/>
        <w:left w:val="none" w:sz="0" w:space="0" w:color="auto"/>
        <w:bottom w:val="none" w:sz="0" w:space="0" w:color="auto"/>
        <w:right w:val="none" w:sz="0" w:space="0" w:color="auto"/>
      </w:divBdr>
    </w:div>
    <w:div w:id="2003312480">
      <w:bodyDiv w:val="1"/>
      <w:marLeft w:val="0"/>
      <w:marRight w:val="0"/>
      <w:marTop w:val="0"/>
      <w:marBottom w:val="0"/>
      <w:divBdr>
        <w:top w:val="none" w:sz="0" w:space="0" w:color="auto"/>
        <w:left w:val="none" w:sz="0" w:space="0" w:color="auto"/>
        <w:bottom w:val="none" w:sz="0" w:space="0" w:color="auto"/>
        <w:right w:val="none" w:sz="0" w:space="0" w:color="auto"/>
      </w:divBdr>
    </w:div>
    <w:div w:id="2003657215">
      <w:bodyDiv w:val="1"/>
      <w:marLeft w:val="0"/>
      <w:marRight w:val="0"/>
      <w:marTop w:val="0"/>
      <w:marBottom w:val="0"/>
      <w:divBdr>
        <w:top w:val="none" w:sz="0" w:space="0" w:color="auto"/>
        <w:left w:val="none" w:sz="0" w:space="0" w:color="auto"/>
        <w:bottom w:val="none" w:sz="0" w:space="0" w:color="auto"/>
        <w:right w:val="none" w:sz="0" w:space="0" w:color="auto"/>
      </w:divBdr>
    </w:div>
    <w:div w:id="2004044528">
      <w:bodyDiv w:val="1"/>
      <w:marLeft w:val="0"/>
      <w:marRight w:val="0"/>
      <w:marTop w:val="0"/>
      <w:marBottom w:val="0"/>
      <w:divBdr>
        <w:top w:val="none" w:sz="0" w:space="0" w:color="auto"/>
        <w:left w:val="none" w:sz="0" w:space="0" w:color="auto"/>
        <w:bottom w:val="none" w:sz="0" w:space="0" w:color="auto"/>
        <w:right w:val="none" w:sz="0" w:space="0" w:color="auto"/>
      </w:divBdr>
    </w:div>
    <w:div w:id="2004235068">
      <w:bodyDiv w:val="1"/>
      <w:marLeft w:val="0"/>
      <w:marRight w:val="0"/>
      <w:marTop w:val="0"/>
      <w:marBottom w:val="0"/>
      <w:divBdr>
        <w:top w:val="none" w:sz="0" w:space="0" w:color="auto"/>
        <w:left w:val="none" w:sz="0" w:space="0" w:color="auto"/>
        <w:bottom w:val="none" w:sz="0" w:space="0" w:color="auto"/>
        <w:right w:val="none" w:sz="0" w:space="0" w:color="auto"/>
      </w:divBdr>
    </w:div>
    <w:div w:id="2004310830">
      <w:bodyDiv w:val="1"/>
      <w:marLeft w:val="0"/>
      <w:marRight w:val="0"/>
      <w:marTop w:val="0"/>
      <w:marBottom w:val="0"/>
      <w:divBdr>
        <w:top w:val="none" w:sz="0" w:space="0" w:color="auto"/>
        <w:left w:val="none" w:sz="0" w:space="0" w:color="auto"/>
        <w:bottom w:val="none" w:sz="0" w:space="0" w:color="auto"/>
        <w:right w:val="none" w:sz="0" w:space="0" w:color="auto"/>
      </w:divBdr>
    </w:div>
    <w:div w:id="2004503729">
      <w:bodyDiv w:val="1"/>
      <w:marLeft w:val="0"/>
      <w:marRight w:val="0"/>
      <w:marTop w:val="0"/>
      <w:marBottom w:val="0"/>
      <w:divBdr>
        <w:top w:val="none" w:sz="0" w:space="0" w:color="auto"/>
        <w:left w:val="none" w:sz="0" w:space="0" w:color="auto"/>
        <w:bottom w:val="none" w:sz="0" w:space="0" w:color="auto"/>
        <w:right w:val="none" w:sz="0" w:space="0" w:color="auto"/>
      </w:divBdr>
    </w:div>
    <w:div w:id="2004890616">
      <w:bodyDiv w:val="1"/>
      <w:marLeft w:val="0"/>
      <w:marRight w:val="0"/>
      <w:marTop w:val="0"/>
      <w:marBottom w:val="0"/>
      <w:divBdr>
        <w:top w:val="none" w:sz="0" w:space="0" w:color="auto"/>
        <w:left w:val="none" w:sz="0" w:space="0" w:color="auto"/>
        <w:bottom w:val="none" w:sz="0" w:space="0" w:color="auto"/>
        <w:right w:val="none" w:sz="0" w:space="0" w:color="auto"/>
      </w:divBdr>
    </w:div>
    <w:div w:id="2005090428">
      <w:bodyDiv w:val="1"/>
      <w:marLeft w:val="0"/>
      <w:marRight w:val="0"/>
      <w:marTop w:val="0"/>
      <w:marBottom w:val="0"/>
      <w:divBdr>
        <w:top w:val="none" w:sz="0" w:space="0" w:color="auto"/>
        <w:left w:val="none" w:sz="0" w:space="0" w:color="auto"/>
        <w:bottom w:val="none" w:sz="0" w:space="0" w:color="auto"/>
        <w:right w:val="none" w:sz="0" w:space="0" w:color="auto"/>
      </w:divBdr>
    </w:div>
    <w:div w:id="2005235360">
      <w:bodyDiv w:val="1"/>
      <w:marLeft w:val="0"/>
      <w:marRight w:val="0"/>
      <w:marTop w:val="0"/>
      <w:marBottom w:val="0"/>
      <w:divBdr>
        <w:top w:val="none" w:sz="0" w:space="0" w:color="auto"/>
        <w:left w:val="none" w:sz="0" w:space="0" w:color="auto"/>
        <w:bottom w:val="none" w:sz="0" w:space="0" w:color="auto"/>
        <w:right w:val="none" w:sz="0" w:space="0" w:color="auto"/>
      </w:divBdr>
    </w:div>
    <w:div w:id="2005470874">
      <w:bodyDiv w:val="1"/>
      <w:marLeft w:val="0"/>
      <w:marRight w:val="0"/>
      <w:marTop w:val="0"/>
      <w:marBottom w:val="0"/>
      <w:divBdr>
        <w:top w:val="none" w:sz="0" w:space="0" w:color="auto"/>
        <w:left w:val="none" w:sz="0" w:space="0" w:color="auto"/>
        <w:bottom w:val="none" w:sz="0" w:space="0" w:color="auto"/>
        <w:right w:val="none" w:sz="0" w:space="0" w:color="auto"/>
      </w:divBdr>
    </w:div>
    <w:div w:id="2005619410">
      <w:bodyDiv w:val="1"/>
      <w:marLeft w:val="0"/>
      <w:marRight w:val="0"/>
      <w:marTop w:val="0"/>
      <w:marBottom w:val="0"/>
      <w:divBdr>
        <w:top w:val="none" w:sz="0" w:space="0" w:color="auto"/>
        <w:left w:val="none" w:sz="0" w:space="0" w:color="auto"/>
        <w:bottom w:val="none" w:sz="0" w:space="0" w:color="auto"/>
        <w:right w:val="none" w:sz="0" w:space="0" w:color="auto"/>
      </w:divBdr>
    </w:div>
    <w:div w:id="2005627866">
      <w:bodyDiv w:val="1"/>
      <w:marLeft w:val="0"/>
      <w:marRight w:val="0"/>
      <w:marTop w:val="0"/>
      <w:marBottom w:val="0"/>
      <w:divBdr>
        <w:top w:val="none" w:sz="0" w:space="0" w:color="auto"/>
        <w:left w:val="none" w:sz="0" w:space="0" w:color="auto"/>
        <w:bottom w:val="none" w:sz="0" w:space="0" w:color="auto"/>
        <w:right w:val="none" w:sz="0" w:space="0" w:color="auto"/>
      </w:divBdr>
    </w:div>
    <w:div w:id="2006395951">
      <w:bodyDiv w:val="1"/>
      <w:marLeft w:val="0"/>
      <w:marRight w:val="0"/>
      <w:marTop w:val="0"/>
      <w:marBottom w:val="0"/>
      <w:divBdr>
        <w:top w:val="none" w:sz="0" w:space="0" w:color="auto"/>
        <w:left w:val="none" w:sz="0" w:space="0" w:color="auto"/>
        <w:bottom w:val="none" w:sz="0" w:space="0" w:color="auto"/>
        <w:right w:val="none" w:sz="0" w:space="0" w:color="auto"/>
      </w:divBdr>
    </w:div>
    <w:div w:id="2006468948">
      <w:bodyDiv w:val="1"/>
      <w:marLeft w:val="0"/>
      <w:marRight w:val="0"/>
      <w:marTop w:val="0"/>
      <w:marBottom w:val="0"/>
      <w:divBdr>
        <w:top w:val="none" w:sz="0" w:space="0" w:color="auto"/>
        <w:left w:val="none" w:sz="0" w:space="0" w:color="auto"/>
        <w:bottom w:val="none" w:sz="0" w:space="0" w:color="auto"/>
        <w:right w:val="none" w:sz="0" w:space="0" w:color="auto"/>
      </w:divBdr>
    </w:div>
    <w:div w:id="2006783613">
      <w:bodyDiv w:val="1"/>
      <w:marLeft w:val="0"/>
      <w:marRight w:val="0"/>
      <w:marTop w:val="0"/>
      <w:marBottom w:val="0"/>
      <w:divBdr>
        <w:top w:val="none" w:sz="0" w:space="0" w:color="auto"/>
        <w:left w:val="none" w:sz="0" w:space="0" w:color="auto"/>
        <w:bottom w:val="none" w:sz="0" w:space="0" w:color="auto"/>
        <w:right w:val="none" w:sz="0" w:space="0" w:color="auto"/>
      </w:divBdr>
    </w:div>
    <w:div w:id="2007316847">
      <w:bodyDiv w:val="1"/>
      <w:marLeft w:val="0"/>
      <w:marRight w:val="0"/>
      <w:marTop w:val="0"/>
      <w:marBottom w:val="0"/>
      <w:divBdr>
        <w:top w:val="none" w:sz="0" w:space="0" w:color="auto"/>
        <w:left w:val="none" w:sz="0" w:space="0" w:color="auto"/>
        <w:bottom w:val="none" w:sz="0" w:space="0" w:color="auto"/>
        <w:right w:val="none" w:sz="0" w:space="0" w:color="auto"/>
      </w:divBdr>
    </w:div>
    <w:div w:id="2007635211">
      <w:bodyDiv w:val="1"/>
      <w:marLeft w:val="0"/>
      <w:marRight w:val="0"/>
      <w:marTop w:val="0"/>
      <w:marBottom w:val="0"/>
      <w:divBdr>
        <w:top w:val="none" w:sz="0" w:space="0" w:color="auto"/>
        <w:left w:val="none" w:sz="0" w:space="0" w:color="auto"/>
        <w:bottom w:val="none" w:sz="0" w:space="0" w:color="auto"/>
        <w:right w:val="none" w:sz="0" w:space="0" w:color="auto"/>
      </w:divBdr>
    </w:div>
    <w:div w:id="2007708964">
      <w:bodyDiv w:val="1"/>
      <w:marLeft w:val="0"/>
      <w:marRight w:val="0"/>
      <w:marTop w:val="0"/>
      <w:marBottom w:val="0"/>
      <w:divBdr>
        <w:top w:val="none" w:sz="0" w:space="0" w:color="auto"/>
        <w:left w:val="none" w:sz="0" w:space="0" w:color="auto"/>
        <w:bottom w:val="none" w:sz="0" w:space="0" w:color="auto"/>
        <w:right w:val="none" w:sz="0" w:space="0" w:color="auto"/>
      </w:divBdr>
    </w:div>
    <w:div w:id="2008286673">
      <w:bodyDiv w:val="1"/>
      <w:marLeft w:val="0"/>
      <w:marRight w:val="0"/>
      <w:marTop w:val="0"/>
      <w:marBottom w:val="0"/>
      <w:divBdr>
        <w:top w:val="none" w:sz="0" w:space="0" w:color="auto"/>
        <w:left w:val="none" w:sz="0" w:space="0" w:color="auto"/>
        <w:bottom w:val="none" w:sz="0" w:space="0" w:color="auto"/>
        <w:right w:val="none" w:sz="0" w:space="0" w:color="auto"/>
      </w:divBdr>
    </w:div>
    <w:div w:id="2008746865">
      <w:bodyDiv w:val="1"/>
      <w:marLeft w:val="0"/>
      <w:marRight w:val="0"/>
      <w:marTop w:val="0"/>
      <w:marBottom w:val="0"/>
      <w:divBdr>
        <w:top w:val="none" w:sz="0" w:space="0" w:color="auto"/>
        <w:left w:val="none" w:sz="0" w:space="0" w:color="auto"/>
        <w:bottom w:val="none" w:sz="0" w:space="0" w:color="auto"/>
        <w:right w:val="none" w:sz="0" w:space="0" w:color="auto"/>
      </w:divBdr>
    </w:div>
    <w:div w:id="2010016350">
      <w:bodyDiv w:val="1"/>
      <w:marLeft w:val="0"/>
      <w:marRight w:val="0"/>
      <w:marTop w:val="0"/>
      <w:marBottom w:val="0"/>
      <w:divBdr>
        <w:top w:val="none" w:sz="0" w:space="0" w:color="auto"/>
        <w:left w:val="none" w:sz="0" w:space="0" w:color="auto"/>
        <w:bottom w:val="none" w:sz="0" w:space="0" w:color="auto"/>
        <w:right w:val="none" w:sz="0" w:space="0" w:color="auto"/>
      </w:divBdr>
    </w:div>
    <w:div w:id="2010057466">
      <w:bodyDiv w:val="1"/>
      <w:marLeft w:val="0"/>
      <w:marRight w:val="0"/>
      <w:marTop w:val="0"/>
      <w:marBottom w:val="0"/>
      <w:divBdr>
        <w:top w:val="none" w:sz="0" w:space="0" w:color="auto"/>
        <w:left w:val="none" w:sz="0" w:space="0" w:color="auto"/>
        <w:bottom w:val="none" w:sz="0" w:space="0" w:color="auto"/>
        <w:right w:val="none" w:sz="0" w:space="0" w:color="auto"/>
      </w:divBdr>
    </w:div>
    <w:div w:id="2010060380">
      <w:bodyDiv w:val="1"/>
      <w:marLeft w:val="0"/>
      <w:marRight w:val="0"/>
      <w:marTop w:val="0"/>
      <w:marBottom w:val="0"/>
      <w:divBdr>
        <w:top w:val="none" w:sz="0" w:space="0" w:color="auto"/>
        <w:left w:val="none" w:sz="0" w:space="0" w:color="auto"/>
        <w:bottom w:val="none" w:sz="0" w:space="0" w:color="auto"/>
        <w:right w:val="none" w:sz="0" w:space="0" w:color="auto"/>
      </w:divBdr>
    </w:div>
    <w:div w:id="2010403359">
      <w:bodyDiv w:val="1"/>
      <w:marLeft w:val="0"/>
      <w:marRight w:val="0"/>
      <w:marTop w:val="0"/>
      <w:marBottom w:val="0"/>
      <w:divBdr>
        <w:top w:val="none" w:sz="0" w:space="0" w:color="auto"/>
        <w:left w:val="none" w:sz="0" w:space="0" w:color="auto"/>
        <w:bottom w:val="none" w:sz="0" w:space="0" w:color="auto"/>
        <w:right w:val="none" w:sz="0" w:space="0" w:color="auto"/>
      </w:divBdr>
    </w:div>
    <w:div w:id="2010519772">
      <w:bodyDiv w:val="1"/>
      <w:marLeft w:val="0"/>
      <w:marRight w:val="0"/>
      <w:marTop w:val="0"/>
      <w:marBottom w:val="0"/>
      <w:divBdr>
        <w:top w:val="none" w:sz="0" w:space="0" w:color="auto"/>
        <w:left w:val="none" w:sz="0" w:space="0" w:color="auto"/>
        <w:bottom w:val="none" w:sz="0" w:space="0" w:color="auto"/>
        <w:right w:val="none" w:sz="0" w:space="0" w:color="auto"/>
      </w:divBdr>
    </w:div>
    <w:div w:id="2010794706">
      <w:bodyDiv w:val="1"/>
      <w:marLeft w:val="0"/>
      <w:marRight w:val="0"/>
      <w:marTop w:val="0"/>
      <w:marBottom w:val="0"/>
      <w:divBdr>
        <w:top w:val="none" w:sz="0" w:space="0" w:color="auto"/>
        <w:left w:val="none" w:sz="0" w:space="0" w:color="auto"/>
        <w:bottom w:val="none" w:sz="0" w:space="0" w:color="auto"/>
        <w:right w:val="none" w:sz="0" w:space="0" w:color="auto"/>
      </w:divBdr>
    </w:div>
    <w:div w:id="2010862522">
      <w:bodyDiv w:val="1"/>
      <w:marLeft w:val="0"/>
      <w:marRight w:val="0"/>
      <w:marTop w:val="0"/>
      <w:marBottom w:val="0"/>
      <w:divBdr>
        <w:top w:val="none" w:sz="0" w:space="0" w:color="auto"/>
        <w:left w:val="none" w:sz="0" w:space="0" w:color="auto"/>
        <w:bottom w:val="none" w:sz="0" w:space="0" w:color="auto"/>
        <w:right w:val="none" w:sz="0" w:space="0" w:color="auto"/>
      </w:divBdr>
    </w:div>
    <w:div w:id="2011369681">
      <w:bodyDiv w:val="1"/>
      <w:marLeft w:val="0"/>
      <w:marRight w:val="0"/>
      <w:marTop w:val="0"/>
      <w:marBottom w:val="0"/>
      <w:divBdr>
        <w:top w:val="none" w:sz="0" w:space="0" w:color="auto"/>
        <w:left w:val="none" w:sz="0" w:space="0" w:color="auto"/>
        <w:bottom w:val="none" w:sz="0" w:space="0" w:color="auto"/>
        <w:right w:val="none" w:sz="0" w:space="0" w:color="auto"/>
      </w:divBdr>
    </w:div>
    <w:div w:id="2011524649">
      <w:bodyDiv w:val="1"/>
      <w:marLeft w:val="0"/>
      <w:marRight w:val="0"/>
      <w:marTop w:val="0"/>
      <w:marBottom w:val="0"/>
      <w:divBdr>
        <w:top w:val="none" w:sz="0" w:space="0" w:color="auto"/>
        <w:left w:val="none" w:sz="0" w:space="0" w:color="auto"/>
        <w:bottom w:val="none" w:sz="0" w:space="0" w:color="auto"/>
        <w:right w:val="none" w:sz="0" w:space="0" w:color="auto"/>
      </w:divBdr>
    </w:div>
    <w:div w:id="2011980016">
      <w:bodyDiv w:val="1"/>
      <w:marLeft w:val="0"/>
      <w:marRight w:val="0"/>
      <w:marTop w:val="0"/>
      <w:marBottom w:val="0"/>
      <w:divBdr>
        <w:top w:val="none" w:sz="0" w:space="0" w:color="auto"/>
        <w:left w:val="none" w:sz="0" w:space="0" w:color="auto"/>
        <w:bottom w:val="none" w:sz="0" w:space="0" w:color="auto"/>
        <w:right w:val="none" w:sz="0" w:space="0" w:color="auto"/>
      </w:divBdr>
    </w:div>
    <w:div w:id="2012945111">
      <w:bodyDiv w:val="1"/>
      <w:marLeft w:val="0"/>
      <w:marRight w:val="0"/>
      <w:marTop w:val="0"/>
      <w:marBottom w:val="0"/>
      <w:divBdr>
        <w:top w:val="none" w:sz="0" w:space="0" w:color="auto"/>
        <w:left w:val="none" w:sz="0" w:space="0" w:color="auto"/>
        <w:bottom w:val="none" w:sz="0" w:space="0" w:color="auto"/>
        <w:right w:val="none" w:sz="0" w:space="0" w:color="auto"/>
      </w:divBdr>
    </w:div>
    <w:div w:id="2013802551">
      <w:bodyDiv w:val="1"/>
      <w:marLeft w:val="0"/>
      <w:marRight w:val="0"/>
      <w:marTop w:val="0"/>
      <w:marBottom w:val="0"/>
      <w:divBdr>
        <w:top w:val="none" w:sz="0" w:space="0" w:color="auto"/>
        <w:left w:val="none" w:sz="0" w:space="0" w:color="auto"/>
        <w:bottom w:val="none" w:sz="0" w:space="0" w:color="auto"/>
        <w:right w:val="none" w:sz="0" w:space="0" w:color="auto"/>
      </w:divBdr>
    </w:div>
    <w:div w:id="2014189144">
      <w:bodyDiv w:val="1"/>
      <w:marLeft w:val="0"/>
      <w:marRight w:val="0"/>
      <w:marTop w:val="0"/>
      <w:marBottom w:val="0"/>
      <w:divBdr>
        <w:top w:val="none" w:sz="0" w:space="0" w:color="auto"/>
        <w:left w:val="none" w:sz="0" w:space="0" w:color="auto"/>
        <w:bottom w:val="none" w:sz="0" w:space="0" w:color="auto"/>
        <w:right w:val="none" w:sz="0" w:space="0" w:color="auto"/>
      </w:divBdr>
    </w:div>
    <w:div w:id="2014450891">
      <w:bodyDiv w:val="1"/>
      <w:marLeft w:val="0"/>
      <w:marRight w:val="0"/>
      <w:marTop w:val="0"/>
      <w:marBottom w:val="0"/>
      <w:divBdr>
        <w:top w:val="none" w:sz="0" w:space="0" w:color="auto"/>
        <w:left w:val="none" w:sz="0" w:space="0" w:color="auto"/>
        <w:bottom w:val="none" w:sz="0" w:space="0" w:color="auto"/>
        <w:right w:val="none" w:sz="0" w:space="0" w:color="auto"/>
      </w:divBdr>
    </w:div>
    <w:div w:id="2014994994">
      <w:bodyDiv w:val="1"/>
      <w:marLeft w:val="0"/>
      <w:marRight w:val="0"/>
      <w:marTop w:val="0"/>
      <w:marBottom w:val="0"/>
      <w:divBdr>
        <w:top w:val="none" w:sz="0" w:space="0" w:color="auto"/>
        <w:left w:val="none" w:sz="0" w:space="0" w:color="auto"/>
        <w:bottom w:val="none" w:sz="0" w:space="0" w:color="auto"/>
        <w:right w:val="none" w:sz="0" w:space="0" w:color="auto"/>
      </w:divBdr>
    </w:div>
    <w:div w:id="2016227425">
      <w:bodyDiv w:val="1"/>
      <w:marLeft w:val="0"/>
      <w:marRight w:val="0"/>
      <w:marTop w:val="0"/>
      <w:marBottom w:val="0"/>
      <w:divBdr>
        <w:top w:val="none" w:sz="0" w:space="0" w:color="auto"/>
        <w:left w:val="none" w:sz="0" w:space="0" w:color="auto"/>
        <w:bottom w:val="none" w:sz="0" w:space="0" w:color="auto"/>
        <w:right w:val="none" w:sz="0" w:space="0" w:color="auto"/>
      </w:divBdr>
    </w:div>
    <w:div w:id="2016762661">
      <w:bodyDiv w:val="1"/>
      <w:marLeft w:val="0"/>
      <w:marRight w:val="0"/>
      <w:marTop w:val="0"/>
      <w:marBottom w:val="0"/>
      <w:divBdr>
        <w:top w:val="none" w:sz="0" w:space="0" w:color="auto"/>
        <w:left w:val="none" w:sz="0" w:space="0" w:color="auto"/>
        <w:bottom w:val="none" w:sz="0" w:space="0" w:color="auto"/>
        <w:right w:val="none" w:sz="0" w:space="0" w:color="auto"/>
      </w:divBdr>
    </w:div>
    <w:div w:id="2016764148">
      <w:bodyDiv w:val="1"/>
      <w:marLeft w:val="0"/>
      <w:marRight w:val="0"/>
      <w:marTop w:val="0"/>
      <w:marBottom w:val="0"/>
      <w:divBdr>
        <w:top w:val="none" w:sz="0" w:space="0" w:color="auto"/>
        <w:left w:val="none" w:sz="0" w:space="0" w:color="auto"/>
        <w:bottom w:val="none" w:sz="0" w:space="0" w:color="auto"/>
        <w:right w:val="none" w:sz="0" w:space="0" w:color="auto"/>
      </w:divBdr>
    </w:div>
    <w:div w:id="2017807072">
      <w:bodyDiv w:val="1"/>
      <w:marLeft w:val="0"/>
      <w:marRight w:val="0"/>
      <w:marTop w:val="0"/>
      <w:marBottom w:val="0"/>
      <w:divBdr>
        <w:top w:val="none" w:sz="0" w:space="0" w:color="auto"/>
        <w:left w:val="none" w:sz="0" w:space="0" w:color="auto"/>
        <w:bottom w:val="none" w:sz="0" w:space="0" w:color="auto"/>
        <w:right w:val="none" w:sz="0" w:space="0" w:color="auto"/>
      </w:divBdr>
    </w:div>
    <w:div w:id="2018534149">
      <w:bodyDiv w:val="1"/>
      <w:marLeft w:val="0"/>
      <w:marRight w:val="0"/>
      <w:marTop w:val="0"/>
      <w:marBottom w:val="0"/>
      <w:divBdr>
        <w:top w:val="none" w:sz="0" w:space="0" w:color="auto"/>
        <w:left w:val="none" w:sz="0" w:space="0" w:color="auto"/>
        <w:bottom w:val="none" w:sz="0" w:space="0" w:color="auto"/>
        <w:right w:val="none" w:sz="0" w:space="0" w:color="auto"/>
      </w:divBdr>
    </w:div>
    <w:div w:id="2018732692">
      <w:bodyDiv w:val="1"/>
      <w:marLeft w:val="0"/>
      <w:marRight w:val="0"/>
      <w:marTop w:val="0"/>
      <w:marBottom w:val="0"/>
      <w:divBdr>
        <w:top w:val="none" w:sz="0" w:space="0" w:color="auto"/>
        <w:left w:val="none" w:sz="0" w:space="0" w:color="auto"/>
        <w:bottom w:val="none" w:sz="0" w:space="0" w:color="auto"/>
        <w:right w:val="none" w:sz="0" w:space="0" w:color="auto"/>
      </w:divBdr>
    </w:div>
    <w:div w:id="2018774966">
      <w:bodyDiv w:val="1"/>
      <w:marLeft w:val="0"/>
      <w:marRight w:val="0"/>
      <w:marTop w:val="0"/>
      <w:marBottom w:val="0"/>
      <w:divBdr>
        <w:top w:val="none" w:sz="0" w:space="0" w:color="auto"/>
        <w:left w:val="none" w:sz="0" w:space="0" w:color="auto"/>
        <w:bottom w:val="none" w:sz="0" w:space="0" w:color="auto"/>
        <w:right w:val="none" w:sz="0" w:space="0" w:color="auto"/>
      </w:divBdr>
    </w:div>
    <w:div w:id="2019696907">
      <w:bodyDiv w:val="1"/>
      <w:marLeft w:val="0"/>
      <w:marRight w:val="0"/>
      <w:marTop w:val="0"/>
      <w:marBottom w:val="0"/>
      <w:divBdr>
        <w:top w:val="none" w:sz="0" w:space="0" w:color="auto"/>
        <w:left w:val="none" w:sz="0" w:space="0" w:color="auto"/>
        <w:bottom w:val="none" w:sz="0" w:space="0" w:color="auto"/>
        <w:right w:val="none" w:sz="0" w:space="0" w:color="auto"/>
      </w:divBdr>
    </w:div>
    <w:div w:id="2019967469">
      <w:bodyDiv w:val="1"/>
      <w:marLeft w:val="0"/>
      <w:marRight w:val="0"/>
      <w:marTop w:val="0"/>
      <w:marBottom w:val="0"/>
      <w:divBdr>
        <w:top w:val="none" w:sz="0" w:space="0" w:color="auto"/>
        <w:left w:val="none" w:sz="0" w:space="0" w:color="auto"/>
        <w:bottom w:val="none" w:sz="0" w:space="0" w:color="auto"/>
        <w:right w:val="none" w:sz="0" w:space="0" w:color="auto"/>
      </w:divBdr>
    </w:div>
    <w:div w:id="2020235305">
      <w:bodyDiv w:val="1"/>
      <w:marLeft w:val="0"/>
      <w:marRight w:val="0"/>
      <w:marTop w:val="0"/>
      <w:marBottom w:val="0"/>
      <w:divBdr>
        <w:top w:val="none" w:sz="0" w:space="0" w:color="auto"/>
        <w:left w:val="none" w:sz="0" w:space="0" w:color="auto"/>
        <w:bottom w:val="none" w:sz="0" w:space="0" w:color="auto"/>
        <w:right w:val="none" w:sz="0" w:space="0" w:color="auto"/>
      </w:divBdr>
    </w:div>
    <w:div w:id="2021079839">
      <w:bodyDiv w:val="1"/>
      <w:marLeft w:val="0"/>
      <w:marRight w:val="0"/>
      <w:marTop w:val="0"/>
      <w:marBottom w:val="0"/>
      <w:divBdr>
        <w:top w:val="none" w:sz="0" w:space="0" w:color="auto"/>
        <w:left w:val="none" w:sz="0" w:space="0" w:color="auto"/>
        <w:bottom w:val="none" w:sz="0" w:space="0" w:color="auto"/>
        <w:right w:val="none" w:sz="0" w:space="0" w:color="auto"/>
      </w:divBdr>
    </w:div>
    <w:div w:id="2021085427">
      <w:bodyDiv w:val="1"/>
      <w:marLeft w:val="0"/>
      <w:marRight w:val="0"/>
      <w:marTop w:val="0"/>
      <w:marBottom w:val="0"/>
      <w:divBdr>
        <w:top w:val="none" w:sz="0" w:space="0" w:color="auto"/>
        <w:left w:val="none" w:sz="0" w:space="0" w:color="auto"/>
        <w:bottom w:val="none" w:sz="0" w:space="0" w:color="auto"/>
        <w:right w:val="none" w:sz="0" w:space="0" w:color="auto"/>
      </w:divBdr>
    </w:div>
    <w:div w:id="2022396033">
      <w:bodyDiv w:val="1"/>
      <w:marLeft w:val="0"/>
      <w:marRight w:val="0"/>
      <w:marTop w:val="0"/>
      <w:marBottom w:val="0"/>
      <w:divBdr>
        <w:top w:val="none" w:sz="0" w:space="0" w:color="auto"/>
        <w:left w:val="none" w:sz="0" w:space="0" w:color="auto"/>
        <w:bottom w:val="none" w:sz="0" w:space="0" w:color="auto"/>
        <w:right w:val="none" w:sz="0" w:space="0" w:color="auto"/>
      </w:divBdr>
    </w:div>
    <w:div w:id="2023044745">
      <w:bodyDiv w:val="1"/>
      <w:marLeft w:val="0"/>
      <w:marRight w:val="0"/>
      <w:marTop w:val="0"/>
      <w:marBottom w:val="0"/>
      <w:divBdr>
        <w:top w:val="none" w:sz="0" w:space="0" w:color="auto"/>
        <w:left w:val="none" w:sz="0" w:space="0" w:color="auto"/>
        <w:bottom w:val="none" w:sz="0" w:space="0" w:color="auto"/>
        <w:right w:val="none" w:sz="0" w:space="0" w:color="auto"/>
      </w:divBdr>
    </w:div>
    <w:div w:id="2023972744">
      <w:bodyDiv w:val="1"/>
      <w:marLeft w:val="0"/>
      <w:marRight w:val="0"/>
      <w:marTop w:val="0"/>
      <w:marBottom w:val="0"/>
      <w:divBdr>
        <w:top w:val="none" w:sz="0" w:space="0" w:color="auto"/>
        <w:left w:val="none" w:sz="0" w:space="0" w:color="auto"/>
        <w:bottom w:val="none" w:sz="0" w:space="0" w:color="auto"/>
        <w:right w:val="none" w:sz="0" w:space="0" w:color="auto"/>
      </w:divBdr>
    </w:div>
    <w:div w:id="2025473708">
      <w:bodyDiv w:val="1"/>
      <w:marLeft w:val="0"/>
      <w:marRight w:val="0"/>
      <w:marTop w:val="0"/>
      <w:marBottom w:val="0"/>
      <w:divBdr>
        <w:top w:val="none" w:sz="0" w:space="0" w:color="auto"/>
        <w:left w:val="none" w:sz="0" w:space="0" w:color="auto"/>
        <w:bottom w:val="none" w:sz="0" w:space="0" w:color="auto"/>
        <w:right w:val="none" w:sz="0" w:space="0" w:color="auto"/>
      </w:divBdr>
    </w:div>
    <w:div w:id="2026134386">
      <w:bodyDiv w:val="1"/>
      <w:marLeft w:val="0"/>
      <w:marRight w:val="0"/>
      <w:marTop w:val="0"/>
      <w:marBottom w:val="0"/>
      <w:divBdr>
        <w:top w:val="none" w:sz="0" w:space="0" w:color="auto"/>
        <w:left w:val="none" w:sz="0" w:space="0" w:color="auto"/>
        <w:bottom w:val="none" w:sz="0" w:space="0" w:color="auto"/>
        <w:right w:val="none" w:sz="0" w:space="0" w:color="auto"/>
      </w:divBdr>
    </w:div>
    <w:div w:id="2026589175">
      <w:bodyDiv w:val="1"/>
      <w:marLeft w:val="0"/>
      <w:marRight w:val="0"/>
      <w:marTop w:val="0"/>
      <w:marBottom w:val="0"/>
      <w:divBdr>
        <w:top w:val="none" w:sz="0" w:space="0" w:color="auto"/>
        <w:left w:val="none" w:sz="0" w:space="0" w:color="auto"/>
        <w:bottom w:val="none" w:sz="0" w:space="0" w:color="auto"/>
        <w:right w:val="none" w:sz="0" w:space="0" w:color="auto"/>
      </w:divBdr>
    </w:div>
    <w:div w:id="2026706108">
      <w:bodyDiv w:val="1"/>
      <w:marLeft w:val="0"/>
      <w:marRight w:val="0"/>
      <w:marTop w:val="0"/>
      <w:marBottom w:val="0"/>
      <w:divBdr>
        <w:top w:val="none" w:sz="0" w:space="0" w:color="auto"/>
        <w:left w:val="none" w:sz="0" w:space="0" w:color="auto"/>
        <w:bottom w:val="none" w:sz="0" w:space="0" w:color="auto"/>
        <w:right w:val="none" w:sz="0" w:space="0" w:color="auto"/>
      </w:divBdr>
    </w:div>
    <w:div w:id="2026975111">
      <w:bodyDiv w:val="1"/>
      <w:marLeft w:val="0"/>
      <w:marRight w:val="0"/>
      <w:marTop w:val="0"/>
      <w:marBottom w:val="0"/>
      <w:divBdr>
        <w:top w:val="none" w:sz="0" w:space="0" w:color="auto"/>
        <w:left w:val="none" w:sz="0" w:space="0" w:color="auto"/>
        <w:bottom w:val="none" w:sz="0" w:space="0" w:color="auto"/>
        <w:right w:val="none" w:sz="0" w:space="0" w:color="auto"/>
      </w:divBdr>
    </w:div>
    <w:div w:id="2027173214">
      <w:bodyDiv w:val="1"/>
      <w:marLeft w:val="0"/>
      <w:marRight w:val="0"/>
      <w:marTop w:val="0"/>
      <w:marBottom w:val="0"/>
      <w:divBdr>
        <w:top w:val="none" w:sz="0" w:space="0" w:color="auto"/>
        <w:left w:val="none" w:sz="0" w:space="0" w:color="auto"/>
        <w:bottom w:val="none" w:sz="0" w:space="0" w:color="auto"/>
        <w:right w:val="none" w:sz="0" w:space="0" w:color="auto"/>
      </w:divBdr>
    </w:div>
    <w:div w:id="2028631729">
      <w:bodyDiv w:val="1"/>
      <w:marLeft w:val="0"/>
      <w:marRight w:val="0"/>
      <w:marTop w:val="0"/>
      <w:marBottom w:val="0"/>
      <w:divBdr>
        <w:top w:val="none" w:sz="0" w:space="0" w:color="auto"/>
        <w:left w:val="none" w:sz="0" w:space="0" w:color="auto"/>
        <w:bottom w:val="none" w:sz="0" w:space="0" w:color="auto"/>
        <w:right w:val="none" w:sz="0" w:space="0" w:color="auto"/>
      </w:divBdr>
    </w:div>
    <w:div w:id="2028867852">
      <w:bodyDiv w:val="1"/>
      <w:marLeft w:val="0"/>
      <w:marRight w:val="0"/>
      <w:marTop w:val="0"/>
      <w:marBottom w:val="0"/>
      <w:divBdr>
        <w:top w:val="none" w:sz="0" w:space="0" w:color="auto"/>
        <w:left w:val="none" w:sz="0" w:space="0" w:color="auto"/>
        <w:bottom w:val="none" w:sz="0" w:space="0" w:color="auto"/>
        <w:right w:val="none" w:sz="0" w:space="0" w:color="auto"/>
      </w:divBdr>
    </w:div>
    <w:div w:id="2028942290">
      <w:bodyDiv w:val="1"/>
      <w:marLeft w:val="0"/>
      <w:marRight w:val="0"/>
      <w:marTop w:val="0"/>
      <w:marBottom w:val="0"/>
      <w:divBdr>
        <w:top w:val="none" w:sz="0" w:space="0" w:color="auto"/>
        <w:left w:val="none" w:sz="0" w:space="0" w:color="auto"/>
        <w:bottom w:val="none" w:sz="0" w:space="0" w:color="auto"/>
        <w:right w:val="none" w:sz="0" w:space="0" w:color="auto"/>
      </w:divBdr>
    </w:div>
    <w:div w:id="2028943843">
      <w:bodyDiv w:val="1"/>
      <w:marLeft w:val="0"/>
      <w:marRight w:val="0"/>
      <w:marTop w:val="0"/>
      <w:marBottom w:val="0"/>
      <w:divBdr>
        <w:top w:val="none" w:sz="0" w:space="0" w:color="auto"/>
        <w:left w:val="none" w:sz="0" w:space="0" w:color="auto"/>
        <w:bottom w:val="none" w:sz="0" w:space="0" w:color="auto"/>
        <w:right w:val="none" w:sz="0" w:space="0" w:color="auto"/>
      </w:divBdr>
    </w:div>
    <w:div w:id="2029064170">
      <w:bodyDiv w:val="1"/>
      <w:marLeft w:val="0"/>
      <w:marRight w:val="0"/>
      <w:marTop w:val="0"/>
      <w:marBottom w:val="0"/>
      <w:divBdr>
        <w:top w:val="none" w:sz="0" w:space="0" w:color="auto"/>
        <w:left w:val="none" w:sz="0" w:space="0" w:color="auto"/>
        <w:bottom w:val="none" w:sz="0" w:space="0" w:color="auto"/>
        <w:right w:val="none" w:sz="0" w:space="0" w:color="auto"/>
      </w:divBdr>
    </w:div>
    <w:div w:id="2029603369">
      <w:bodyDiv w:val="1"/>
      <w:marLeft w:val="0"/>
      <w:marRight w:val="0"/>
      <w:marTop w:val="0"/>
      <w:marBottom w:val="0"/>
      <w:divBdr>
        <w:top w:val="none" w:sz="0" w:space="0" w:color="auto"/>
        <w:left w:val="none" w:sz="0" w:space="0" w:color="auto"/>
        <w:bottom w:val="none" w:sz="0" w:space="0" w:color="auto"/>
        <w:right w:val="none" w:sz="0" w:space="0" w:color="auto"/>
      </w:divBdr>
      <w:divsChild>
        <w:div w:id="1530416857">
          <w:marLeft w:val="480"/>
          <w:marRight w:val="0"/>
          <w:marTop w:val="0"/>
          <w:marBottom w:val="0"/>
          <w:divBdr>
            <w:top w:val="none" w:sz="0" w:space="0" w:color="auto"/>
            <w:left w:val="none" w:sz="0" w:space="0" w:color="auto"/>
            <w:bottom w:val="none" w:sz="0" w:space="0" w:color="auto"/>
            <w:right w:val="none" w:sz="0" w:space="0" w:color="auto"/>
          </w:divBdr>
        </w:div>
        <w:div w:id="2003003360">
          <w:marLeft w:val="480"/>
          <w:marRight w:val="0"/>
          <w:marTop w:val="0"/>
          <w:marBottom w:val="0"/>
          <w:divBdr>
            <w:top w:val="none" w:sz="0" w:space="0" w:color="auto"/>
            <w:left w:val="none" w:sz="0" w:space="0" w:color="auto"/>
            <w:bottom w:val="none" w:sz="0" w:space="0" w:color="auto"/>
            <w:right w:val="none" w:sz="0" w:space="0" w:color="auto"/>
          </w:divBdr>
        </w:div>
        <w:div w:id="1221474464">
          <w:marLeft w:val="480"/>
          <w:marRight w:val="0"/>
          <w:marTop w:val="0"/>
          <w:marBottom w:val="0"/>
          <w:divBdr>
            <w:top w:val="none" w:sz="0" w:space="0" w:color="auto"/>
            <w:left w:val="none" w:sz="0" w:space="0" w:color="auto"/>
            <w:bottom w:val="none" w:sz="0" w:space="0" w:color="auto"/>
            <w:right w:val="none" w:sz="0" w:space="0" w:color="auto"/>
          </w:divBdr>
        </w:div>
        <w:div w:id="866411738">
          <w:marLeft w:val="480"/>
          <w:marRight w:val="0"/>
          <w:marTop w:val="0"/>
          <w:marBottom w:val="0"/>
          <w:divBdr>
            <w:top w:val="none" w:sz="0" w:space="0" w:color="auto"/>
            <w:left w:val="none" w:sz="0" w:space="0" w:color="auto"/>
            <w:bottom w:val="none" w:sz="0" w:space="0" w:color="auto"/>
            <w:right w:val="none" w:sz="0" w:space="0" w:color="auto"/>
          </w:divBdr>
        </w:div>
        <w:div w:id="1326200903">
          <w:marLeft w:val="480"/>
          <w:marRight w:val="0"/>
          <w:marTop w:val="0"/>
          <w:marBottom w:val="0"/>
          <w:divBdr>
            <w:top w:val="none" w:sz="0" w:space="0" w:color="auto"/>
            <w:left w:val="none" w:sz="0" w:space="0" w:color="auto"/>
            <w:bottom w:val="none" w:sz="0" w:space="0" w:color="auto"/>
            <w:right w:val="none" w:sz="0" w:space="0" w:color="auto"/>
          </w:divBdr>
        </w:div>
        <w:div w:id="2117747025">
          <w:marLeft w:val="480"/>
          <w:marRight w:val="0"/>
          <w:marTop w:val="0"/>
          <w:marBottom w:val="0"/>
          <w:divBdr>
            <w:top w:val="none" w:sz="0" w:space="0" w:color="auto"/>
            <w:left w:val="none" w:sz="0" w:space="0" w:color="auto"/>
            <w:bottom w:val="none" w:sz="0" w:space="0" w:color="auto"/>
            <w:right w:val="none" w:sz="0" w:space="0" w:color="auto"/>
          </w:divBdr>
        </w:div>
        <w:div w:id="1552813711">
          <w:marLeft w:val="480"/>
          <w:marRight w:val="0"/>
          <w:marTop w:val="0"/>
          <w:marBottom w:val="0"/>
          <w:divBdr>
            <w:top w:val="none" w:sz="0" w:space="0" w:color="auto"/>
            <w:left w:val="none" w:sz="0" w:space="0" w:color="auto"/>
            <w:bottom w:val="none" w:sz="0" w:space="0" w:color="auto"/>
            <w:right w:val="none" w:sz="0" w:space="0" w:color="auto"/>
          </w:divBdr>
        </w:div>
        <w:div w:id="2090493597">
          <w:marLeft w:val="480"/>
          <w:marRight w:val="0"/>
          <w:marTop w:val="0"/>
          <w:marBottom w:val="0"/>
          <w:divBdr>
            <w:top w:val="none" w:sz="0" w:space="0" w:color="auto"/>
            <w:left w:val="none" w:sz="0" w:space="0" w:color="auto"/>
            <w:bottom w:val="none" w:sz="0" w:space="0" w:color="auto"/>
            <w:right w:val="none" w:sz="0" w:space="0" w:color="auto"/>
          </w:divBdr>
        </w:div>
        <w:div w:id="478811615">
          <w:marLeft w:val="480"/>
          <w:marRight w:val="0"/>
          <w:marTop w:val="0"/>
          <w:marBottom w:val="0"/>
          <w:divBdr>
            <w:top w:val="none" w:sz="0" w:space="0" w:color="auto"/>
            <w:left w:val="none" w:sz="0" w:space="0" w:color="auto"/>
            <w:bottom w:val="none" w:sz="0" w:space="0" w:color="auto"/>
            <w:right w:val="none" w:sz="0" w:space="0" w:color="auto"/>
          </w:divBdr>
        </w:div>
        <w:div w:id="549919661">
          <w:marLeft w:val="480"/>
          <w:marRight w:val="0"/>
          <w:marTop w:val="0"/>
          <w:marBottom w:val="0"/>
          <w:divBdr>
            <w:top w:val="none" w:sz="0" w:space="0" w:color="auto"/>
            <w:left w:val="none" w:sz="0" w:space="0" w:color="auto"/>
            <w:bottom w:val="none" w:sz="0" w:space="0" w:color="auto"/>
            <w:right w:val="none" w:sz="0" w:space="0" w:color="auto"/>
          </w:divBdr>
        </w:div>
        <w:div w:id="1794203759">
          <w:marLeft w:val="480"/>
          <w:marRight w:val="0"/>
          <w:marTop w:val="0"/>
          <w:marBottom w:val="0"/>
          <w:divBdr>
            <w:top w:val="none" w:sz="0" w:space="0" w:color="auto"/>
            <w:left w:val="none" w:sz="0" w:space="0" w:color="auto"/>
            <w:bottom w:val="none" w:sz="0" w:space="0" w:color="auto"/>
            <w:right w:val="none" w:sz="0" w:space="0" w:color="auto"/>
          </w:divBdr>
        </w:div>
        <w:div w:id="114715469">
          <w:marLeft w:val="480"/>
          <w:marRight w:val="0"/>
          <w:marTop w:val="0"/>
          <w:marBottom w:val="0"/>
          <w:divBdr>
            <w:top w:val="none" w:sz="0" w:space="0" w:color="auto"/>
            <w:left w:val="none" w:sz="0" w:space="0" w:color="auto"/>
            <w:bottom w:val="none" w:sz="0" w:space="0" w:color="auto"/>
            <w:right w:val="none" w:sz="0" w:space="0" w:color="auto"/>
          </w:divBdr>
        </w:div>
        <w:div w:id="951321033">
          <w:marLeft w:val="480"/>
          <w:marRight w:val="0"/>
          <w:marTop w:val="0"/>
          <w:marBottom w:val="0"/>
          <w:divBdr>
            <w:top w:val="none" w:sz="0" w:space="0" w:color="auto"/>
            <w:left w:val="none" w:sz="0" w:space="0" w:color="auto"/>
            <w:bottom w:val="none" w:sz="0" w:space="0" w:color="auto"/>
            <w:right w:val="none" w:sz="0" w:space="0" w:color="auto"/>
          </w:divBdr>
        </w:div>
        <w:div w:id="1047996058">
          <w:marLeft w:val="480"/>
          <w:marRight w:val="0"/>
          <w:marTop w:val="0"/>
          <w:marBottom w:val="0"/>
          <w:divBdr>
            <w:top w:val="none" w:sz="0" w:space="0" w:color="auto"/>
            <w:left w:val="none" w:sz="0" w:space="0" w:color="auto"/>
            <w:bottom w:val="none" w:sz="0" w:space="0" w:color="auto"/>
            <w:right w:val="none" w:sz="0" w:space="0" w:color="auto"/>
          </w:divBdr>
        </w:div>
        <w:div w:id="1552231852">
          <w:marLeft w:val="480"/>
          <w:marRight w:val="0"/>
          <w:marTop w:val="0"/>
          <w:marBottom w:val="0"/>
          <w:divBdr>
            <w:top w:val="none" w:sz="0" w:space="0" w:color="auto"/>
            <w:left w:val="none" w:sz="0" w:space="0" w:color="auto"/>
            <w:bottom w:val="none" w:sz="0" w:space="0" w:color="auto"/>
            <w:right w:val="none" w:sz="0" w:space="0" w:color="auto"/>
          </w:divBdr>
        </w:div>
        <w:div w:id="1607496609">
          <w:marLeft w:val="480"/>
          <w:marRight w:val="0"/>
          <w:marTop w:val="0"/>
          <w:marBottom w:val="0"/>
          <w:divBdr>
            <w:top w:val="none" w:sz="0" w:space="0" w:color="auto"/>
            <w:left w:val="none" w:sz="0" w:space="0" w:color="auto"/>
            <w:bottom w:val="none" w:sz="0" w:space="0" w:color="auto"/>
            <w:right w:val="none" w:sz="0" w:space="0" w:color="auto"/>
          </w:divBdr>
        </w:div>
        <w:div w:id="1262489669">
          <w:marLeft w:val="480"/>
          <w:marRight w:val="0"/>
          <w:marTop w:val="0"/>
          <w:marBottom w:val="0"/>
          <w:divBdr>
            <w:top w:val="none" w:sz="0" w:space="0" w:color="auto"/>
            <w:left w:val="none" w:sz="0" w:space="0" w:color="auto"/>
            <w:bottom w:val="none" w:sz="0" w:space="0" w:color="auto"/>
            <w:right w:val="none" w:sz="0" w:space="0" w:color="auto"/>
          </w:divBdr>
        </w:div>
        <w:div w:id="360395796">
          <w:marLeft w:val="480"/>
          <w:marRight w:val="0"/>
          <w:marTop w:val="0"/>
          <w:marBottom w:val="0"/>
          <w:divBdr>
            <w:top w:val="none" w:sz="0" w:space="0" w:color="auto"/>
            <w:left w:val="none" w:sz="0" w:space="0" w:color="auto"/>
            <w:bottom w:val="none" w:sz="0" w:space="0" w:color="auto"/>
            <w:right w:val="none" w:sz="0" w:space="0" w:color="auto"/>
          </w:divBdr>
        </w:div>
        <w:div w:id="516188941">
          <w:marLeft w:val="480"/>
          <w:marRight w:val="0"/>
          <w:marTop w:val="0"/>
          <w:marBottom w:val="0"/>
          <w:divBdr>
            <w:top w:val="none" w:sz="0" w:space="0" w:color="auto"/>
            <w:left w:val="none" w:sz="0" w:space="0" w:color="auto"/>
            <w:bottom w:val="none" w:sz="0" w:space="0" w:color="auto"/>
            <w:right w:val="none" w:sz="0" w:space="0" w:color="auto"/>
          </w:divBdr>
        </w:div>
        <w:div w:id="2135100452">
          <w:marLeft w:val="480"/>
          <w:marRight w:val="0"/>
          <w:marTop w:val="0"/>
          <w:marBottom w:val="0"/>
          <w:divBdr>
            <w:top w:val="none" w:sz="0" w:space="0" w:color="auto"/>
            <w:left w:val="none" w:sz="0" w:space="0" w:color="auto"/>
            <w:bottom w:val="none" w:sz="0" w:space="0" w:color="auto"/>
            <w:right w:val="none" w:sz="0" w:space="0" w:color="auto"/>
          </w:divBdr>
        </w:div>
        <w:div w:id="324086601">
          <w:marLeft w:val="480"/>
          <w:marRight w:val="0"/>
          <w:marTop w:val="0"/>
          <w:marBottom w:val="0"/>
          <w:divBdr>
            <w:top w:val="none" w:sz="0" w:space="0" w:color="auto"/>
            <w:left w:val="none" w:sz="0" w:space="0" w:color="auto"/>
            <w:bottom w:val="none" w:sz="0" w:space="0" w:color="auto"/>
            <w:right w:val="none" w:sz="0" w:space="0" w:color="auto"/>
          </w:divBdr>
        </w:div>
        <w:div w:id="1672827568">
          <w:marLeft w:val="480"/>
          <w:marRight w:val="0"/>
          <w:marTop w:val="0"/>
          <w:marBottom w:val="0"/>
          <w:divBdr>
            <w:top w:val="none" w:sz="0" w:space="0" w:color="auto"/>
            <w:left w:val="none" w:sz="0" w:space="0" w:color="auto"/>
            <w:bottom w:val="none" w:sz="0" w:space="0" w:color="auto"/>
            <w:right w:val="none" w:sz="0" w:space="0" w:color="auto"/>
          </w:divBdr>
        </w:div>
        <w:div w:id="1565022434">
          <w:marLeft w:val="480"/>
          <w:marRight w:val="0"/>
          <w:marTop w:val="0"/>
          <w:marBottom w:val="0"/>
          <w:divBdr>
            <w:top w:val="none" w:sz="0" w:space="0" w:color="auto"/>
            <w:left w:val="none" w:sz="0" w:space="0" w:color="auto"/>
            <w:bottom w:val="none" w:sz="0" w:space="0" w:color="auto"/>
            <w:right w:val="none" w:sz="0" w:space="0" w:color="auto"/>
          </w:divBdr>
        </w:div>
        <w:div w:id="399327429">
          <w:marLeft w:val="480"/>
          <w:marRight w:val="0"/>
          <w:marTop w:val="0"/>
          <w:marBottom w:val="0"/>
          <w:divBdr>
            <w:top w:val="none" w:sz="0" w:space="0" w:color="auto"/>
            <w:left w:val="none" w:sz="0" w:space="0" w:color="auto"/>
            <w:bottom w:val="none" w:sz="0" w:space="0" w:color="auto"/>
            <w:right w:val="none" w:sz="0" w:space="0" w:color="auto"/>
          </w:divBdr>
        </w:div>
        <w:div w:id="1905600980">
          <w:marLeft w:val="480"/>
          <w:marRight w:val="0"/>
          <w:marTop w:val="0"/>
          <w:marBottom w:val="0"/>
          <w:divBdr>
            <w:top w:val="none" w:sz="0" w:space="0" w:color="auto"/>
            <w:left w:val="none" w:sz="0" w:space="0" w:color="auto"/>
            <w:bottom w:val="none" w:sz="0" w:space="0" w:color="auto"/>
            <w:right w:val="none" w:sz="0" w:space="0" w:color="auto"/>
          </w:divBdr>
        </w:div>
        <w:div w:id="1406219872">
          <w:marLeft w:val="480"/>
          <w:marRight w:val="0"/>
          <w:marTop w:val="0"/>
          <w:marBottom w:val="0"/>
          <w:divBdr>
            <w:top w:val="none" w:sz="0" w:space="0" w:color="auto"/>
            <w:left w:val="none" w:sz="0" w:space="0" w:color="auto"/>
            <w:bottom w:val="none" w:sz="0" w:space="0" w:color="auto"/>
            <w:right w:val="none" w:sz="0" w:space="0" w:color="auto"/>
          </w:divBdr>
        </w:div>
        <w:div w:id="2109232530">
          <w:marLeft w:val="480"/>
          <w:marRight w:val="0"/>
          <w:marTop w:val="0"/>
          <w:marBottom w:val="0"/>
          <w:divBdr>
            <w:top w:val="none" w:sz="0" w:space="0" w:color="auto"/>
            <w:left w:val="none" w:sz="0" w:space="0" w:color="auto"/>
            <w:bottom w:val="none" w:sz="0" w:space="0" w:color="auto"/>
            <w:right w:val="none" w:sz="0" w:space="0" w:color="auto"/>
          </w:divBdr>
        </w:div>
        <w:div w:id="734428472">
          <w:marLeft w:val="480"/>
          <w:marRight w:val="0"/>
          <w:marTop w:val="0"/>
          <w:marBottom w:val="0"/>
          <w:divBdr>
            <w:top w:val="none" w:sz="0" w:space="0" w:color="auto"/>
            <w:left w:val="none" w:sz="0" w:space="0" w:color="auto"/>
            <w:bottom w:val="none" w:sz="0" w:space="0" w:color="auto"/>
            <w:right w:val="none" w:sz="0" w:space="0" w:color="auto"/>
          </w:divBdr>
        </w:div>
        <w:div w:id="1102998219">
          <w:marLeft w:val="480"/>
          <w:marRight w:val="0"/>
          <w:marTop w:val="0"/>
          <w:marBottom w:val="0"/>
          <w:divBdr>
            <w:top w:val="none" w:sz="0" w:space="0" w:color="auto"/>
            <w:left w:val="none" w:sz="0" w:space="0" w:color="auto"/>
            <w:bottom w:val="none" w:sz="0" w:space="0" w:color="auto"/>
            <w:right w:val="none" w:sz="0" w:space="0" w:color="auto"/>
          </w:divBdr>
        </w:div>
        <w:div w:id="1333676879">
          <w:marLeft w:val="480"/>
          <w:marRight w:val="0"/>
          <w:marTop w:val="0"/>
          <w:marBottom w:val="0"/>
          <w:divBdr>
            <w:top w:val="none" w:sz="0" w:space="0" w:color="auto"/>
            <w:left w:val="none" w:sz="0" w:space="0" w:color="auto"/>
            <w:bottom w:val="none" w:sz="0" w:space="0" w:color="auto"/>
            <w:right w:val="none" w:sz="0" w:space="0" w:color="auto"/>
          </w:divBdr>
        </w:div>
        <w:div w:id="1428111617">
          <w:marLeft w:val="480"/>
          <w:marRight w:val="0"/>
          <w:marTop w:val="0"/>
          <w:marBottom w:val="0"/>
          <w:divBdr>
            <w:top w:val="none" w:sz="0" w:space="0" w:color="auto"/>
            <w:left w:val="none" w:sz="0" w:space="0" w:color="auto"/>
            <w:bottom w:val="none" w:sz="0" w:space="0" w:color="auto"/>
            <w:right w:val="none" w:sz="0" w:space="0" w:color="auto"/>
          </w:divBdr>
        </w:div>
        <w:div w:id="163859148">
          <w:marLeft w:val="480"/>
          <w:marRight w:val="0"/>
          <w:marTop w:val="0"/>
          <w:marBottom w:val="0"/>
          <w:divBdr>
            <w:top w:val="none" w:sz="0" w:space="0" w:color="auto"/>
            <w:left w:val="none" w:sz="0" w:space="0" w:color="auto"/>
            <w:bottom w:val="none" w:sz="0" w:space="0" w:color="auto"/>
            <w:right w:val="none" w:sz="0" w:space="0" w:color="auto"/>
          </w:divBdr>
        </w:div>
        <w:div w:id="728454711">
          <w:marLeft w:val="480"/>
          <w:marRight w:val="0"/>
          <w:marTop w:val="0"/>
          <w:marBottom w:val="0"/>
          <w:divBdr>
            <w:top w:val="none" w:sz="0" w:space="0" w:color="auto"/>
            <w:left w:val="none" w:sz="0" w:space="0" w:color="auto"/>
            <w:bottom w:val="none" w:sz="0" w:space="0" w:color="auto"/>
            <w:right w:val="none" w:sz="0" w:space="0" w:color="auto"/>
          </w:divBdr>
        </w:div>
        <w:div w:id="917709197">
          <w:marLeft w:val="480"/>
          <w:marRight w:val="0"/>
          <w:marTop w:val="0"/>
          <w:marBottom w:val="0"/>
          <w:divBdr>
            <w:top w:val="none" w:sz="0" w:space="0" w:color="auto"/>
            <w:left w:val="none" w:sz="0" w:space="0" w:color="auto"/>
            <w:bottom w:val="none" w:sz="0" w:space="0" w:color="auto"/>
            <w:right w:val="none" w:sz="0" w:space="0" w:color="auto"/>
          </w:divBdr>
        </w:div>
        <w:div w:id="1430545974">
          <w:marLeft w:val="480"/>
          <w:marRight w:val="0"/>
          <w:marTop w:val="0"/>
          <w:marBottom w:val="0"/>
          <w:divBdr>
            <w:top w:val="none" w:sz="0" w:space="0" w:color="auto"/>
            <w:left w:val="none" w:sz="0" w:space="0" w:color="auto"/>
            <w:bottom w:val="none" w:sz="0" w:space="0" w:color="auto"/>
            <w:right w:val="none" w:sz="0" w:space="0" w:color="auto"/>
          </w:divBdr>
        </w:div>
        <w:div w:id="719673936">
          <w:marLeft w:val="480"/>
          <w:marRight w:val="0"/>
          <w:marTop w:val="0"/>
          <w:marBottom w:val="0"/>
          <w:divBdr>
            <w:top w:val="none" w:sz="0" w:space="0" w:color="auto"/>
            <w:left w:val="none" w:sz="0" w:space="0" w:color="auto"/>
            <w:bottom w:val="none" w:sz="0" w:space="0" w:color="auto"/>
            <w:right w:val="none" w:sz="0" w:space="0" w:color="auto"/>
          </w:divBdr>
        </w:div>
        <w:div w:id="257451206">
          <w:marLeft w:val="480"/>
          <w:marRight w:val="0"/>
          <w:marTop w:val="0"/>
          <w:marBottom w:val="0"/>
          <w:divBdr>
            <w:top w:val="none" w:sz="0" w:space="0" w:color="auto"/>
            <w:left w:val="none" w:sz="0" w:space="0" w:color="auto"/>
            <w:bottom w:val="none" w:sz="0" w:space="0" w:color="auto"/>
            <w:right w:val="none" w:sz="0" w:space="0" w:color="auto"/>
          </w:divBdr>
        </w:div>
        <w:div w:id="955600277">
          <w:marLeft w:val="480"/>
          <w:marRight w:val="0"/>
          <w:marTop w:val="0"/>
          <w:marBottom w:val="0"/>
          <w:divBdr>
            <w:top w:val="none" w:sz="0" w:space="0" w:color="auto"/>
            <w:left w:val="none" w:sz="0" w:space="0" w:color="auto"/>
            <w:bottom w:val="none" w:sz="0" w:space="0" w:color="auto"/>
            <w:right w:val="none" w:sz="0" w:space="0" w:color="auto"/>
          </w:divBdr>
        </w:div>
        <w:div w:id="1300958320">
          <w:marLeft w:val="480"/>
          <w:marRight w:val="0"/>
          <w:marTop w:val="0"/>
          <w:marBottom w:val="0"/>
          <w:divBdr>
            <w:top w:val="none" w:sz="0" w:space="0" w:color="auto"/>
            <w:left w:val="none" w:sz="0" w:space="0" w:color="auto"/>
            <w:bottom w:val="none" w:sz="0" w:space="0" w:color="auto"/>
            <w:right w:val="none" w:sz="0" w:space="0" w:color="auto"/>
          </w:divBdr>
        </w:div>
        <w:div w:id="426385272">
          <w:marLeft w:val="480"/>
          <w:marRight w:val="0"/>
          <w:marTop w:val="0"/>
          <w:marBottom w:val="0"/>
          <w:divBdr>
            <w:top w:val="none" w:sz="0" w:space="0" w:color="auto"/>
            <w:left w:val="none" w:sz="0" w:space="0" w:color="auto"/>
            <w:bottom w:val="none" w:sz="0" w:space="0" w:color="auto"/>
            <w:right w:val="none" w:sz="0" w:space="0" w:color="auto"/>
          </w:divBdr>
        </w:div>
        <w:div w:id="1537229907">
          <w:marLeft w:val="480"/>
          <w:marRight w:val="0"/>
          <w:marTop w:val="0"/>
          <w:marBottom w:val="0"/>
          <w:divBdr>
            <w:top w:val="none" w:sz="0" w:space="0" w:color="auto"/>
            <w:left w:val="none" w:sz="0" w:space="0" w:color="auto"/>
            <w:bottom w:val="none" w:sz="0" w:space="0" w:color="auto"/>
            <w:right w:val="none" w:sz="0" w:space="0" w:color="auto"/>
          </w:divBdr>
        </w:div>
        <w:div w:id="1789160833">
          <w:marLeft w:val="480"/>
          <w:marRight w:val="0"/>
          <w:marTop w:val="0"/>
          <w:marBottom w:val="0"/>
          <w:divBdr>
            <w:top w:val="none" w:sz="0" w:space="0" w:color="auto"/>
            <w:left w:val="none" w:sz="0" w:space="0" w:color="auto"/>
            <w:bottom w:val="none" w:sz="0" w:space="0" w:color="auto"/>
            <w:right w:val="none" w:sz="0" w:space="0" w:color="auto"/>
          </w:divBdr>
        </w:div>
        <w:div w:id="733086556">
          <w:marLeft w:val="480"/>
          <w:marRight w:val="0"/>
          <w:marTop w:val="0"/>
          <w:marBottom w:val="0"/>
          <w:divBdr>
            <w:top w:val="none" w:sz="0" w:space="0" w:color="auto"/>
            <w:left w:val="none" w:sz="0" w:space="0" w:color="auto"/>
            <w:bottom w:val="none" w:sz="0" w:space="0" w:color="auto"/>
            <w:right w:val="none" w:sz="0" w:space="0" w:color="auto"/>
          </w:divBdr>
        </w:div>
        <w:div w:id="1163277224">
          <w:marLeft w:val="480"/>
          <w:marRight w:val="0"/>
          <w:marTop w:val="0"/>
          <w:marBottom w:val="0"/>
          <w:divBdr>
            <w:top w:val="none" w:sz="0" w:space="0" w:color="auto"/>
            <w:left w:val="none" w:sz="0" w:space="0" w:color="auto"/>
            <w:bottom w:val="none" w:sz="0" w:space="0" w:color="auto"/>
            <w:right w:val="none" w:sz="0" w:space="0" w:color="auto"/>
          </w:divBdr>
        </w:div>
        <w:div w:id="456989676">
          <w:marLeft w:val="480"/>
          <w:marRight w:val="0"/>
          <w:marTop w:val="0"/>
          <w:marBottom w:val="0"/>
          <w:divBdr>
            <w:top w:val="none" w:sz="0" w:space="0" w:color="auto"/>
            <w:left w:val="none" w:sz="0" w:space="0" w:color="auto"/>
            <w:bottom w:val="none" w:sz="0" w:space="0" w:color="auto"/>
            <w:right w:val="none" w:sz="0" w:space="0" w:color="auto"/>
          </w:divBdr>
        </w:div>
        <w:div w:id="2088728069">
          <w:marLeft w:val="480"/>
          <w:marRight w:val="0"/>
          <w:marTop w:val="0"/>
          <w:marBottom w:val="0"/>
          <w:divBdr>
            <w:top w:val="none" w:sz="0" w:space="0" w:color="auto"/>
            <w:left w:val="none" w:sz="0" w:space="0" w:color="auto"/>
            <w:bottom w:val="none" w:sz="0" w:space="0" w:color="auto"/>
            <w:right w:val="none" w:sz="0" w:space="0" w:color="auto"/>
          </w:divBdr>
        </w:div>
        <w:div w:id="1312297701">
          <w:marLeft w:val="480"/>
          <w:marRight w:val="0"/>
          <w:marTop w:val="0"/>
          <w:marBottom w:val="0"/>
          <w:divBdr>
            <w:top w:val="none" w:sz="0" w:space="0" w:color="auto"/>
            <w:left w:val="none" w:sz="0" w:space="0" w:color="auto"/>
            <w:bottom w:val="none" w:sz="0" w:space="0" w:color="auto"/>
            <w:right w:val="none" w:sz="0" w:space="0" w:color="auto"/>
          </w:divBdr>
        </w:div>
        <w:div w:id="1132138207">
          <w:marLeft w:val="480"/>
          <w:marRight w:val="0"/>
          <w:marTop w:val="0"/>
          <w:marBottom w:val="0"/>
          <w:divBdr>
            <w:top w:val="none" w:sz="0" w:space="0" w:color="auto"/>
            <w:left w:val="none" w:sz="0" w:space="0" w:color="auto"/>
            <w:bottom w:val="none" w:sz="0" w:space="0" w:color="auto"/>
            <w:right w:val="none" w:sz="0" w:space="0" w:color="auto"/>
          </w:divBdr>
        </w:div>
        <w:div w:id="943730291">
          <w:marLeft w:val="480"/>
          <w:marRight w:val="0"/>
          <w:marTop w:val="0"/>
          <w:marBottom w:val="0"/>
          <w:divBdr>
            <w:top w:val="none" w:sz="0" w:space="0" w:color="auto"/>
            <w:left w:val="none" w:sz="0" w:space="0" w:color="auto"/>
            <w:bottom w:val="none" w:sz="0" w:space="0" w:color="auto"/>
            <w:right w:val="none" w:sz="0" w:space="0" w:color="auto"/>
          </w:divBdr>
        </w:div>
        <w:div w:id="2077587771">
          <w:marLeft w:val="480"/>
          <w:marRight w:val="0"/>
          <w:marTop w:val="0"/>
          <w:marBottom w:val="0"/>
          <w:divBdr>
            <w:top w:val="none" w:sz="0" w:space="0" w:color="auto"/>
            <w:left w:val="none" w:sz="0" w:space="0" w:color="auto"/>
            <w:bottom w:val="none" w:sz="0" w:space="0" w:color="auto"/>
            <w:right w:val="none" w:sz="0" w:space="0" w:color="auto"/>
          </w:divBdr>
        </w:div>
        <w:div w:id="1802963898">
          <w:marLeft w:val="480"/>
          <w:marRight w:val="0"/>
          <w:marTop w:val="0"/>
          <w:marBottom w:val="0"/>
          <w:divBdr>
            <w:top w:val="none" w:sz="0" w:space="0" w:color="auto"/>
            <w:left w:val="none" w:sz="0" w:space="0" w:color="auto"/>
            <w:bottom w:val="none" w:sz="0" w:space="0" w:color="auto"/>
            <w:right w:val="none" w:sz="0" w:space="0" w:color="auto"/>
          </w:divBdr>
        </w:div>
        <w:div w:id="1407805081">
          <w:marLeft w:val="480"/>
          <w:marRight w:val="0"/>
          <w:marTop w:val="0"/>
          <w:marBottom w:val="0"/>
          <w:divBdr>
            <w:top w:val="none" w:sz="0" w:space="0" w:color="auto"/>
            <w:left w:val="none" w:sz="0" w:space="0" w:color="auto"/>
            <w:bottom w:val="none" w:sz="0" w:space="0" w:color="auto"/>
            <w:right w:val="none" w:sz="0" w:space="0" w:color="auto"/>
          </w:divBdr>
        </w:div>
        <w:div w:id="2014524371">
          <w:marLeft w:val="480"/>
          <w:marRight w:val="0"/>
          <w:marTop w:val="0"/>
          <w:marBottom w:val="0"/>
          <w:divBdr>
            <w:top w:val="none" w:sz="0" w:space="0" w:color="auto"/>
            <w:left w:val="none" w:sz="0" w:space="0" w:color="auto"/>
            <w:bottom w:val="none" w:sz="0" w:space="0" w:color="auto"/>
            <w:right w:val="none" w:sz="0" w:space="0" w:color="auto"/>
          </w:divBdr>
        </w:div>
        <w:div w:id="956376199">
          <w:marLeft w:val="480"/>
          <w:marRight w:val="0"/>
          <w:marTop w:val="0"/>
          <w:marBottom w:val="0"/>
          <w:divBdr>
            <w:top w:val="none" w:sz="0" w:space="0" w:color="auto"/>
            <w:left w:val="none" w:sz="0" w:space="0" w:color="auto"/>
            <w:bottom w:val="none" w:sz="0" w:space="0" w:color="auto"/>
            <w:right w:val="none" w:sz="0" w:space="0" w:color="auto"/>
          </w:divBdr>
        </w:div>
        <w:div w:id="1508210863">
          <w:marLeft w:val="480"/>
          <w:marRight w:val="0"/>
          <w:marTop w:val="0"/>
          <w:marBottom w:val="0"/>
          <w:divBdr>
            <w:top w:val="none" w:sz="0" w:space="0" w:color="auto"/>
            <w:left w:val="none" w:sz="0" w:space="0" w:color="auto"/>
            <w:bottom w:val="none" w:sz="0" w:space="0" w:color="auto"/>
            <w:right w:val="none" w:sz="0" w:space="0" w:color="auto"/>
          </w:divBdr>
        </w:div>
        <w:div w:id="1157917582">
          <w:marLeft w:val="480"/>
          <w:marRight w:val="0"/>
          <w:marTop w:val="0"/>
          <w:marBottom w:val="0"/>
          <w:divBdr>
            <w:top w:val="none" w:sz="0" w:space="0" w:color="auto"/>
            <w:left w:val="none" w:sz="0" w:space="0" w:color="auto"/>
            <w:bottom w:val="none" w:sz="0" w:space="0" w:color="auto"/>
            <w:right w:val="none" w:sz="0" w:space="0" w:color="auto"/>
          </w:divBdr>
        </w:div>
        <w:div w:id="1818766225">
          <w:marLeft w:val="480"/>
          <w:marRight w:val="0"/>
          <w:marTop w:val="0"/>
          <w:marBottom w:val="0"/>
          <w:divBdr>
            <w:top w:val="none" w:sz="0" w:space="0" w:color="auto"/>
            <w:left w:val="none" w:sz="0" w:space="0" w:color="auto"/>
            <w:bottom w:val="none" w:sz="0" w:space="0" w:color="auto"/>
            <w:right w:val="none" w:sz="0" w:space="0" w:color="auto"/>
          </w:divBdr>
        </w:div>
        <w:div w:id="1777365564">
          <w:marLeft w:val="480"/>
          <w:marRight w:val="0"/>
          <w:marTop w:val="0"/>
          <w:marBottom w:val="0"/>
          <w:divBdr>
            <w:top w:val="none" w:sz="0" w:space="0" w:color="auto"/>
            <w:left w:val="none" w:sz="0" w:space="0" w:color="auto"/>
            <w:bottom w:val="none" w:sz="0" w:space="0" w:color="auto"/>
            <w:right w:val="none" w:sz="0" w:space="0" w:color="auto"/>
          </w:divBdr>
        </w:div>
        <w:div w:id="214659843">
          <w:marLeft w:val="480"/>
          <w:marRight w:val="0"/>
          <w:marTop w:val="0"/>
          <w:marBottom w:val="0"/>
          <w:divBdr>
            <w:top w:val="none" w:sz="0" w:space="0" w:color="auto"/>
            <w:left w:val="none" w:sz="0" w:space="0" w:color="auto"/>
            <w:bottom w:val="none" w:sz="0" w:space="0" w:color="auto"/>
            <w:right w:val="none" w:sz="0" w:space="0" w:color="auto"/>
          </w:divBdr>
        </w:div>
        <w:div w:id="698509549">
          <w:marLeft w:val="480"/>
          <w:marRight w:val="0"/>
          <w:marTop w:val="0"/>
          <w:marBottom w:val="0"/>
          <w:divBdr>
            <w:top w:val="none" w:sz="0" w:space="0" w:color="auto"/>
            <w:left w:val="none" w:sz="0" w:space="0" w:color="auto"/>
            <w:bottom w:val="none" w:sz="0" w:space="0" w:color="auto"/>
            <w:right w:val="none" w:sz="0" w:space="0" w:color="auto"/>
          </w:divBdr>
        </w:div>
        <w:div w:id="1492529519">
          <w:marLeft w:val="480"/>
          <w:marRight w:val="0"/>
          <w:marTop w:val="0"/>
          <w:marBottom w:val="0"/>
          <w:divBdr>
            <w:top w:val="none" w:sz="0" w:space="0" w:color="auto"/>
            <w:left w:val="none" w:sz="0" w:space="0" w:color="auto"/>
            <w:bottom w:val="none" w:sz="0" w:space="0" w:color="auto"/>
            <w:right w:val="none" w:sz="0" w:space="0" w:color="auto"/>
          </w:divBdr>
        </w:div>
        <w:div w:id="198201780">
          <w:marLeft w:val="480"/>
          <w:marRight w:val="0"/>
          <w:marTop w:val="0"/>
          <w:marBottom w:val="0"/>
          <w:divBdr>
            <w:top w:val="none" w:sz="0" w:space="0" w:color="auto"/>
            <w:left w:val="none" w:sz="0" w:space="0" w:color="auto"/>
            <w:bottom w:val="none" w:sz="0" w:space="0" w:color="auto"/>
            <w:right w:val="none" w:sz="0" w:space="0" w:color="auto"/>
          </w:divBdr>
        </w:div>
        <w:div w:id="1971785894">
          <w:marLeft w:val="480"/>
          <w:marRight w:val="0"/>
          <w:marTop w:val="0"/>
          <w:marBottom w:val="0"/>
          <w:divBdr>
            <w:top w:val="none" w:sz="0" w:space="0" w:color="auto"/>
            <w:left w:val="none" w:sz="0" w:space="0" w:color="auto"/>
            <w:bottom w:val="none" w:sz="0" w:space="0" w:color="auto"/>
            <w:right w:val="none" w:sz="0" w:space="0" w:color="auto"/>
          </w:divBdr>
        </w:div>
        <w:div w:id="405804624">
          <w:marLeft w:val="480"/>
          <w:marRight w:val="0"/>
          <w:marTop w:val="0"/>
          <w:marBottom w:val="0"/>
          <w:divBdr>
            <w:top w:val="none" w:sz="0" w:space="0" w:color="auto"/>
            <w:left w:val="none" w:sz="0" w:space="0" w:color="auto"/>
            <w:bottom w:val="none" w:sz="0" w:space="0" w:color="auto"/>
            <w:right w:val="none" w:sz="0" w:space="0" w:color="auto"/>
          </w:divBdr>
        </w:div>
        <w:div w:id="1301426696">
          <w:marLeft w:val="480"/>
          <w:marRight w:val="0"/>
          <w:marTop w:val="0"/>
          <w:marBottom w:val="0"/>
          <w:divBdr>
            <w:top w:val="none" w:sz="0" w:space="0" w:color="auto"/>
            <w:left w:val="none" w:sz="0" w:space="0" w:color="auto"/>
            <w:bottom w:val="none" w:sz="0" w:space="0" w:color="auto"/>
            <w:right w:val="none" w:sz="0" w:space="0" w:color="auto"/>
          </w:divBdr>
        </w:div>
        <w:div w:id="444544443">
          <w:marLeft w:val="480"/>
          <w:marRight w:val="0"/>
          <w:marTop w:val="0"/>
          <w:marBottom w:val="0"/>
          <w:divBdr>
            <w:top w:val="none" w:sz="0" w:space="0" w:color="auto"/>
            <w:left w:val="none" w:sz="0" w:space="0" w:color="auto"/>
            <w:bottom w:val="none" w:sz="0" w:space="0" w:color="auto"/>
            <w:right w:val="none" w:sz="0" w:space="0" w:color="auto"/>
          </w:divBdr>
        </w:div>
        <w:div w:id="1125655622">
          <w:marLeft w:val="480"/>
          <w:marRight w:val="0"/>
          <w:marTop w:val="0"/>
          <w:marBottom w:val="0"/>
          <w:divBdr>
            <w:top w:val="none" w:sz="0" w:space="0" w:color="auto"/>
            <w:left w:val="none" w:sz="0" w:space="0" w:color="auto"/>
            <w:bottom w:val="none" w:sz="0" w:space="0" w:color="auto"/>
            <w:right w:val="none" w:sz="0" w:space="0" w:color="auto"/>
          </w:divBdr>
        </w:div>
        <w:div w:id="1745183759">
          <w:marLeft w:val="480"/>
          <w:marRight w:val="0"/>
          <w:marTop w:val="0"/>
          <w:marBottom w:val="0"/>
          <w:divBdr>
            <w:top w:val="none" w:sz="0" w:space="0" w:color="auto"/>
            <w:left w:val="none" w:sz="0" w:space="0" w:color="auto"/>
            <w:bottom w:val="none" w:sz="0" w:space="0" w:color="auto"/>
            <w:right w:val="none" w:sz="0" w:space="0" w:color="auto"/>
          </w:divBdr>
        </w:div>
        <w:div w:id="1235621588">
          <w:marLeft w:val="480"/>
          <w:marRight w:val="0"/>
          <w:marTop w:val="0"/>
          <w:marBottom w:val="0"/>
          <w:divBdr>
            <w:top w:val="none" w:sz="0" w:space="0" w:color="auto"/>
            <w:left w:val="none" w:sz="0" w:space="0" w:color="auto"/>
            <w:bottom w:val="none" w:sz="0" w:space="0" w:color="auto"/>
            <w:right w:val="none" w:sz="0" w:space="0" w:color="auto"/>
          </w:divBdr>
        </w:div>
        <w:div w:id="1013142234">
          <w:marLeft w:val="480"/>
          <w:marRight w:val="0"/>
          <w:marTop w:val="0"/>
          <w:marBottom w:val="0"/>
          <w:divBdr>
            <w:top w:val="none" w:sz="0" w:space="0" w:color="auto"/>
            <w:left w:val="none" w:sz="0" w:space="0" w:color="auto"/>
            <w:bottom w:val="none" w:sz="0" w:space="0" w:color="auto"/>
            <w:right w:val="none" w:sz="0" w:space="0" w:color="auto"/>
          </w:divBdr>
        </w:div>
        <w:div w:id="899486165">
          <w:marLeft w:val="480"/>
          <w:marRight w:val="0"/>
          <w:marTop w:val="0"/>
          <w:marBottom w:val="0"/>
          <w:divBdr>
            <w:top w:val="none" w:sz="0" w:space="0" w:color="auto"/>
            <w:left w:val="none" w:sz="0" w:space="0" w:color="auto"/>
            <w:bottom w:val="none" w:sz="0" w:space="0" w:color="auto"/>
            <w:right w:val="none" w:sz="0" w:space="0" w:color="auto"/>
          </w:divBdr>
        </w:div>
        <w:div w:id="1259830186">
          <w:marLeft w:val="480"/>
          <w:marRight w:val="0"/>
          <w:marTop w:val="0"/>
          <w:marBottom w:val="0"/>
          <w:divBdr>
            <w:top w:val="none" w:sz="0" w:space="0" w:color="auto"/>
            <w:left w:val="none" w:sz="0" w:space="0" w:color="auto"/>
            <w:bottom w:val="none" w:sz="0" w:space="0" w:color="auto"/>
            <w:right w:val="none" w:sz="0" w:space="0" w:color="auto"/>
          </w:divBdr>
        </w:div>
        <w:div w:id="1814979916">
          <w:marLeft w:val="480"/>
          <w:marRight w:val="0"/>
          <w:marTop w:val="0"/>
          <w:marBottom w:val="0"/>
          <w:divBdr>
            <w:top w:val="none" w:sz="0" w:space="0" w:color="auto"/>
            <w:left w:val="none" w:sz="0" w:space="0" w:color="auto"/>
            <w:bottom w:val="none" w:sz="0" w:space="0" w:color="auto"/>
            <w:right w:val="none" w:sz="0" w:space="0" w:color="auto"/>
          </w:divBdr>
        </w:div>
        <w:div w:id="502858757">
          <w:marLeft w:val="480"/>
          <w:marRight w:val="0"/>
          <w:marTop w:val="0"/>
          <w:marBottom w:val="0"/>
          <w:divBdr>
            <w:top w:val="none" w:sz="0" w:space="0" w:color="auto"/>
            <w:left w:val="none" w:sz="0" w:space="0" w:color="auto"/>
            <w:bottom w:val="none" w:sz="0" w:space="0" w:color="auto"/>
            <w:right w:val="none" w:sz="0" w:space="0" w:color="auto"/>
          </w:divBdr>
        </w:div>
        <w:div w:id="688796330">
          <w:marLeft w:val="480"/>
          <w:marRight w:val="0"/>
          <w:marTop w:val="0"/>
          <w:marBottom w:val="0"/>
          <w:divBdr>
            <w:top w:val="none" w:sz="0" w:space="0" w:color="auto"/>
            <w:left w:val="none" w:sz="0" w:space="0" w:color="auto"/>
            <w:bottom w:val="none" w:sz="0" w:space="0" w:color="auto"/>
            <w:right w:val="none" w:sz="0" w:space="0" w:color="auto"/>
          </w:divBdr>
        </w:div>
        <w:div w:id="1180773964">
          <w:marLeft w:val="480"/>
          <w:marRight w:val="0"/>
          <w:marTop w:val="0"/>
          <w:marBottom w:val="0"/>
          <w:divBdr>
            <w:top w:val="none" w:sz="0" w:space="0" w:color="auto"/>
            <w:left w:val="none" w:sz="0" w:space="0" w:color="auto"/>
            <w:bottom w:val="none" w:sz="0" w:space="0" w:color="auto"/>
            <w:right w:val="none" w:sz="0" w:space="0" w:color="auto"/>
          </w:divBdr>
        </w:div>
        <w:div w:id="562833807">
          <w:marLeft w:val="480"/>
          <w:marRight w:val="0"/>
          <w:marTop w:val="0"/>
          <w:marBottom w:val="0"/>
          <w:divBdr>
            <w:top w:val="none" w:sz="0" w:space="0" w:color="auto"/>
            <w:left w:val="none" w:sz="0" w:space="0" w:color="auto"/>
            <w:bottom w:val="none" w:sz="0" w:space="0" w:color="auto"/>
            <w:right w:val="none" w:sz="0" w:space="0" w:color="auto"/>
          </w:divBdr>
        </w:div>
        <w:div w:id="1369068598">
          <w:marLeft w:val="480"/>
          <w:marRight w:val="0"/>
          <w:marTop w:val="0"/>
          <w:marBottom w:val="0"/>
          <w:divBdr>
            <w:top w:val="none" w:sz="0" w:space="0" w:color="auto"/>
            <w:left w:val="none" w:sz="0" w:space="0" w:color="auto"/>
            <w:bottom w:val="none" w:sz="0" w:space="0" w:color="auto"/>
            <w:right w:val="none" w:sz="0" w:space="0" w:color="auto"/>
          </w:divBdr>
        </w:div>
        <w:div w:id="770904530">
          <w:marLeft w:val="480"/>
          <w:marRight w:val="0"/>
          <w:marTop w:val="0"/>
          <w:marBottom w:val="0"/>
          <w:divBdr>
            <w:top w:val="none" w:sz="0" w:space="0" w:color="auto"/>
            <w:left w:val="none" w:sz="0" w:space="0" w:color="auto"/>
            <w:bottom w:val="none" w:sz="0" w:space="0" w:color="auto"/>
            <w:right w:val="none" w:sz="0" w:space="0" w:color="auto"/>
          </w:divBdr>
        </w:div>
        <w:div w:id="1577663105">
          <w:marLeft w:val="480"/>
          <w:marRight w:val="0"/>
          <w:marTop w:val="0"/>
          <w:marBottom w:val="0"/>
          <w:divBdr>
            <w:top w:val="none" w:sz="0" w:space="0" w:color="auto"/>
            <w:left w:val="none" w:sz="0" w:space="0" w:color="auto"/>
            <w:bottom w:val="none" w:sz="0" w:space="0" w:color="auto"/>
            <w:right w:val="none" w:sz="0" w:space="0" w:color="auto"/>
          </w:divBdr>
        </w:div>
        <w:div w:id="515772635">
          <w:marLeft w:val="480"/>
          <w:marRight w:val="0"/>
          <w:marTop w:val="0"/>
          <w:marBottom w:val="0"/>
          <w:divBdr>
            <w:top w:val="none" w:sz="0" w:space="0" w:color="auto"/>
            <w:left w:val="none" w:sz="0" w:space="0" w:color="auto"/>
            <w:bottom w:val="none" w:sz="0" w:space="0" w:color="auto"/>
            <w:right w:val="none" w:sz="0" w:space="0" w:color="auto"/>
          </w:divBdr>
        </w:div>
        <w:div w:id="1961839418">
          <w:marLeft w:val="480"/>
          <w:marRight w:val="0"/>
          <w:marTop w:val="0"/>
          <w:marBottom w:val="0"/>
          <w:divBdr>
            <w:top w:val="none" w:sz="0" w:space="0" w:color="auto"/>
            <w:left w:val="none" w:sz="0" w:space="0" w:color="auto"/>
            <w:bottom w:val="none" w:sz="0" w:space="0" w:color="auto"/>
            <w:right w:val="none" w:sz="0" w:space="0" w:color="auto"/>
          </w:divBdr>
        </w:div>
        <w:div w:id="698120857">
          <w:marLeft w:val="480"/>
          <w:marRight w:val="0"/>
          <w:marTop w:val="0"/>
          <w:marBottom w:val="0"/>
          <w:divBdr>
            <w:top w:val="none" w:sz="0" w:space="0" w:color="auto"/>
            <w:left w:val="none" w:sz="0" w:space="0" w:color="auto"/>
            <w:bottom w:val="none" w:sz="0" w:space="0" w:color="auto"/>
            <w:right w:val="none" w:sz="0" w:space="0" w:color="auto"/>
          </w:divBdr>
        </w:div>
        <w:div w:id="1488398676">
          <w:marLeft w:val="480"/>
          <w:marRight w:val="0"/>
          <w:marTop w:val="0"/>
          <w:marBottom w:val="0"/>
          <w:divBdr>
            <w:top w:val="none" w:sz="0" w:space="0" w:color="auto"/>
            <w:left w:val="none" w:sz="0" w:space="0" w:color="auto"/>
            <w:bottom w:val="none" w:sz="0" w:space="0" w:color="auto"/>
            <w:right w:val="none" w:sz="0" w:space="0" w:color="auto"/>
          </w:divBdr>
        </w:div>
        <w:div w:id="708380258">
          <w:marLeft w:val="480"/>
          <w:marRight w:val="0"/>
          <w:marTop w:val="0"/>
          <w:marBottom w:val="0"/>
          <w:divBdr>
            <w:top w:val="none" w:sz="0" w:space="0" w:color="auto"/>
            <w:left w:val="none" w:sz="0" w:space="0" w:color="auto"/>
            <w:bottom w:val="none" w:sz="0" w:space="0" w:color="auto"/>
            <w:right w:val="none" w:sz="0" w:space="0" w:color="auto"/>
          </w:divBdr>
        </w:div>
        <w:div w:id="1166558139">
          <w:marLeft w:val="480"/>
          <w:marRight w:val="0"/>
          <w:marTop w:val="0"/>
          <w:marBottom w:val="0"/>
          <w:divBdr>
            <w:top w:val="none" w:sz="0" w:space="0" w:color="auto"/>
            <w:left w:val="none" w:sz="0" w:space="0" w:color="auto"/>
            <w:bottom w:val="none" w:sz="0" w:space="0" w:color="auto"/>
            <w:right w:val="none" w:sz="0" w:space="0" w:color="auto"/>
          </w:divBdr>
        </w:div>
        <w:div w:id="2140292598">
          <w:marLeft w:val="480"/>
          <w:marRight w:val="0"/>
          <w:marTop w:val="0"/>
          <w:marBottom w:val="0"/>
          <w:divBdr>
            <w:top w:val="none" w:sz="0" w:space="0" w:color="auto"/>
            <w:left w:val="none" w:sz="0" w:space="0" w:color="auto"/>
            <w:bottom w:val="none" w:sz="0" w:space="0" w:color="auto"/>
            <w:right w:val="none" w:sz="0" w:space="0" w:color="auto"/>
          </w:divBdr>
        </w:div>
        <w:div w:id="575212691">
          <w:marLeft w:val="480"/>
          <w:marRight w:val="0"/>
          <w:marTop w:val="0"/>
          <w:marBottom w:val="0"/>
          <w:divBdr>
            <w:top w:val="none" w:sz="0" w:space="0" w:color="auto"/>
            <w:left w:val="none" w:sz="0" w:space="0" w:color="auto"/>
            <w:bottom w:val="none" w:sz="0" w:space="0" w:color="auto"/>
            <w:right w:val="none" w:sz="0" w:space="0" w:color="auto"/>
          </w:divBdr>
        </w:div>
        <w:div w:id="1516726894">
          <w:marLeft w:val="480"/>
          <w:marRight w:val="0"/>
          <w:marTop w:val="0"/>
          <w:marBottom w:val="0"/>
          <w:divBdr>
            <w:top w:val="none" w:sz="0" w:space="0" w:color="auto"/>
            <w:left w:val="none" w:sz="0" w:space="0" w:color="auto"/>
            <w:bottom w:val="none" w:sz="0" w:space="0" w:color="auto"/>
            <w:right w:val="none" w:sz="0" w:space="0" w:color="auto"/>
          </w:divBdr>
        </w:div>
        <w:div w:id="65492424">
          <w:marLeft w:val="480"/>
          <w:marRight w:val="0"/>
          <w:marTop w:val="0"/>
          <w:marBottom w:val="0"/>
          <w:divBdr>
            <w:top w:val="none" w:sz="0" w:space="0" w:color="auto"/>
            <w:left w:val="none" w:sz="0" w:space="0" w:color="auto"/>
            <w:bottom w:val="none" w:sz="0" w:space="0" w:color="auto"/>
            <w:right w:val="none" w:sz="0" w:space="0" w:color="auto"/>
          </w:divBdr>
        </w:div>
        <w:div w:id="94060934">
          <w:marLeft w:val="480"/>
          <w:marRight w:val="0"/>
          <w:marTop w:val="0"/>
          <w:marBottom w:val="0"/>
          <w:divBdr>
            <w:top w:val="none" w:sz="0" w:space="0" w:color="auto"/>
            <w:left w:val="none" w:sz="0" w:space="0" w:color="auto"/>
            <w:bottom w:val="none" w:sz="0" w:space="0" w:color="auto"/>
            <w:right w:val="none" w:sz="0" w:space="0" w:color="auto"/>
          </w:divBdr>
        </w:div>
        <w:div w:id="1866481031">
          <w:marLeft w:val="480"/>
          <w:marRight w:val="0"/>
          <w:marTop w:val="0"/>
          <w:marBottom w:val="0"/>
          <w:divBdr>
            <w:top w:val="none" w:sz="0" w:space="0" w:color="auto"/>
            <w:left w:val="none" w:sz="0" w:space="0" w:color="auto"/>
            <w:bottom w:val="none" w:sz="0" w:space="0" w:color="auto"/>
            <w:right w:val="none" w:sz="0" w:space="0" w:color="auto"/>
          </w:divBdr>
        </w:div>
        <w:div w:id="290017075">
          <w:marLeft w:val="480"/>
          <w:marRight w:val="0"/>
          <w:marTop w:val="0"/>
          <w:marBottom w:val="0"/>
          <w:divBdr>
            <w:top w:val="none" w:sz="0" w:space="0" w:color="auto"/>
            <w:left w:val="none" w:sz="0" w:space="0" w:color="auto"/>
            <w:bottom w:val="none" w:sz="0" w:space="0" w:color="auto"/>
            <w:right w:val="none" w:sz="0" w:space="0" w:color="auto"/>
          </w:divBdr>
        </w:div>
        <w:div w:id="327097064">
          <w:marLeft w:val="480"/>
          <w:marRight w:val="0"/>
          <w:marTop w:val="0"/>
          <w:marBottom w:val="0"/>
          <w:divBdr>
            <w:top w:val="none" w:sz="0" w:space="0" w:color="auto"/>
            <w:left w:val="none" w:sz="0" w:space="0" w:color="auto"/>
            <w:bottom w:val="none" w:sz="0" w:space="0" w:color="auto"/>
            <w:right w:val="none" w:sz="0" w:space="0" w:color="auto"/>
          </w:divBdr>
        </w:div>
        <w:div w:id="242297451">
          <w:marLeft w:val="480"/>
          <w:marRight w:val="0"/>
          <w:marTop w:val="0"/>
          <w:marBottom w:val="0"/>
          <w:divBdr>
            <w:top w:val="none" w:sz="0" w:space="0" w:color="auto"/>
            <w:left w:val="none" w:sz="0" w:space="0" w:color="auto"/>
            <w:bottom w:val="none" w:sz="0" w:space="0" w:color="auto"/>
            <w:right w:val="none" w:sz="0" w:space="0" w:color="auto"/>
          </w:divBdr>
        </w:div>
        <w:div w:id="1160848512">
          <w:marLeft w:val="480"/>
          <w:marRight w:val="0"/>
          <w:marTop w:val="0"/>
          <w:marBottom w:val="0"/>
          <w:divBdr>
            <w:top w:val="none" w:sz="0" w:space="0" w:color="auto"/>
            <w:left w:val="none" w:sz="0" w:space="0" w:color="auto"/>
            <w:bottom w:val="none" w:sz="0" w:space="0" w:color="auto"/>
            <w:right w:val="none" w:sz="0" w:space="0" w:color="auto"/>
          </w:divBdr>
        </w:div>
        <w:div w:id="817381708">
          <w:marLeft w:val="480"/>
          <w:marRight w:val="0"/>
          <w:marTop w:val="0"/>
          <w:marBottom w:val="0"/>
          <w:divBdr>
            <w:top w:val="none" w:sz="0" w:space="0" w:color="auto"/>
            <w:left w:val="none" w:sz="0" w:space="0" w:color="auto"/>
            <w:bottom w:val="none" w:sz="0" w:space="0" w:color="auto"/>
            <w:right w:val="none" w:sz="0" w:space="0" w:color="auto"/>
          </w:divBdr>
        </w:div>
        <w:div w:id="333651717">
          <w:marLeft w:val="480"/>
          <w:marRight w:val="0"/>
          <w:marTop w:val="0"/>
          <w:marBottom w:val="0"/>
          <w:divBdr>
            <w:top w:val="none" w:sz="0" w:space="0" w:color="auto"/>
            <w:left w:val="none" w:sz="0" w:space="0" w:color="auto"/>
            <w:bottom w:val="none" w:sz="0" w:space="0" w:color="auto"/>
            <w:right w:val="none" w:sz="0" w:space="0" w:color="auto"/>
          </w:divBdr>
        </w:div>
        <w:div w:id="52503974">
          <w:marLeft w:val="480"/>
          <w:marRight w:val="0"/>
          <w:marTop w:val="0"/>
          <w:marBottom w:val="0"/>
          <w:divBdr>
            <w:top w:val="none" w:sz="0" w:space="0" w:color="auto"/>
            <w:left w:val="none" w:sz="0" w:space="0" w:color="auto"/>
            <w:bottom w:val="none" w:sz="0" w:space="0" w:color="auto"/>
            <w:right w:val="none" w:sz="0" w:space="0" w:color="auto"/>
          </w:divBdr>
        </w:div>
        <w:div w:id="2099859781">
          <w:marLeft w:val="480"/>
          <w:marRight w:val="0"/>
          <w:marTop w:val="0"/>
          <w:marBottom w:val="0"/>
          <w:divBdr>
            <w:top w:val="none" w:sz="0" w:space="0" w:color="auto"/>
            <w:left w:val="none" w:sz="0" w:space="0" w:color="auto"/>
            <w:bottom w:val="none" w:sz="0" w:space="0" w:color="auto"/>
            <w:right w:val="none" w:sz="0" w:space="0" w:color="auto"/>
          </w:divBdr>
        </w:div>
        <w:div w:id="931861522">
          <w:marLeft w:val="480"/>
          <w:marRight w:val="0"/>
          <w:marTop w:val="0"/>
          <w:marBottom w:val="0"/>
          <w:divBdr>
            <w:top w:val="none" w:sz="0" w:space="0" w:color="auto"/>
            <w:left w:val="none" w:sz="0" w:space="0" w:color="auto"/>
            <w:bottom w:val="none" w:sz="0" w:space="0" w:color="auto"/>
            <w:right w:val="none" w:sz="0" w:space="0" w:color="auto"/>
          </w:divBdr>
        </w:div>
        <w:div w:id="514657320">
          <w:marLeft w:val="480"/>
          <w:marRight w:val="0"/>
          <w:marTop w:val="0"/>
          <w:marBottom w:val="0"/>
          <w:divBdr>
            <w:top w:val="none" w:sz="0" w:space="0" w:color="auto"/>
            <w:left w:val="none" w:sz="0" w:space="0" w:color="auto"/>
            <w:bottom w:val="none" w:sz="0" w:space="0" w:color="auto"/>
            <w:right w:val="none" w:sz="0" w:space="0" w:color="auto"/>
          </w:divBdr>
        </w:div>
        <w:div w:id="505172656">
          <w:marLeft w:val="480"/>
          <w:marRight w:val="0"/>
          <w:marTop w:val="0"/>
          <w:marBottom w:val="0"/>
          <w:divBdr>
            <w:top w:val="none" w:sz="0" w:space="0" w:color="auto"/>
            <w:left w:val="none" w:sz="0" w:space="0" w:color="auto"/>
            <w:bottom w:val="none" w:sz="0" w:space="0" w:color="auto"/>
            <w:right w:val="none" w:sz="0" w:space="0" w:color="auto"/>
          </w:divBdr>
        </w:div>
        <w:div w:id="2083406408">
          <w:marLeft w:val="480"/>
          <w:marRight w:val="0"/>
          <w:marTop w:val="0"/>
          <w:marBottom w:val="0"/>
          <w:divBdr>
            <w:top w:val="none" w:sz="0" w:space="0" w:color="auto"/>
            <w:left w:val="none" w:sz="0" w:space="0" w:color="auto"/>
            <w:bottom w:val="none" w:sz="0" w:space="0" w:color="auto"/>
            <w:right w:val="none" w:sz="0" w:space="0" w:color="auto"/>
          </w:divBdr>
        </w:div>
        <w:div w:id="170536678">
          <w:marLeft w:val="480"/>
          <w:marRight w:val="0"/>
          <w:marTop w:val="0"/>
          <w:marBottom w:val="0"/>
          <w:divBdr>
            <w:top w:val="none" w:sz="0" w:space="0" w:color="auto"/>
            <w:left w:val="none" w:sz="0" w:space="0" w:color="auto"/>
            <w:bottom w:val="none" w:sz="0" w:space="0" w:color="auto"/>
            <w:right w:val="none" w:sz="0" w:space="0" w:color="auto"/>
          </w:divBdr>
        </w:div>
        <w:div w:id="113181967">
          <w:marLeft w:val="480"/>
          <w:marRight w:val="0"/>
          <w:marTop w:val="0"/>
          <w:marBottom w:val="0"/>
          <w:divBdr>
            <w:top w:val="none" w:sz="0" w:space="0" w:color="auto"/>
            <w:left w:val="none" w:sz="0" w:space="0" w:color="auto"/>
            <w:bottom w:val="none" w:sz="0" w:space="0" w:color="auto"/>
            <w:right w:val="none" w:sz="0" w:space="0" w:color="auto"/>
          </w:divBdr>
        </w:div>
        <w:div w:id="989137435">
          <w:marLeft w:val="480"/>
          <w:marRight w:val="0"/>
          <w:marTop w:val="0"/>
          <w:marBottom w:val="0"/>
          <w:divBdr>
            <w:top w:val="none" w:sz="0" w:space="0" w:color="auto"/>
            <w:left w:val="none" w:sz="0" w:space="0" w:color="auto"/>
            <w:bottom w:val="none" w:sz="0" w:space="0" w:color="auto"/>
            <w:right w:val="none" w:sz="0" w:space="0" w:color="auto"/>
          </w:divBdr>
        </w:div>
        <w:div w:id="1303192347">
          <w:marLeft w:val="480"/>
          <w:marRight w:val="0"/>
          <w:marTop w:val="0"/>
          <w:marBottom w:val="0"/>
          <w:divBdr>
            <w:top w:val="none" w:sz="0" w:space="0" w:color="auto"/>
            <w:left w:val="none" w:sz="0" w:space="0" w:color="auto"/>
            <w:bottom w:val="none" w:sz="0" w:space="0" w:color="auto"/>
            <w:right w:val="none" w:sz="0" w:space="0" w:color="auto"/>
          </w:divBdr>
        </w:div>
        <w:div w:id="509836696">
          <w:marLeft w:val="480"/>
          <w:marRight w:val="0"/>
          <w:marTop w:val="0"/>
          <w:marBottom w:val="0"/>
          <w:divBdr>
            <w:top w:val="none" w:sz="0" w:space="0" w:color="auto"/>
            <w:left w:val="none" w:sz="0" w:space="0" w:color="auto"/>
            <w:bottom w:val="none" w:sz="0" w:space="0" w:color="auto"/>
            <w:right w:val="none" w:sz="0" w:space="0" w:color="auto"/>
          </w:divBdr>
        </w:div>
        <w:div w:id="1503203160">
          <w:marLeft w:val="480"/>
          <w:marRight w:val="0"/>
          <w:marTop w:val="0"/>
          <w:marBottom w:val="0"/>
          <w:divBdr>
            <w:top w:val="none" w:sz="0" w:space="0" w:color="auto"/>
            <w:left w:val="none" w:sz="0" w:space="0" w:color="auto"/>
            <w:bottom w:val="none" w:sz="0" w:space="0" w:color="auto"/>
            <w:right w:val="none" w:sz="0" w:space="0" w:color="auto"/>
          </w:divBdr>
        </w:div>
        <w:div w:id="1987589760">
          <w:marLeft w:val="480"/>
          <w:marRight w:val="0"/>
          <w:marTop w:val="0"/>
          <w:marBottom w:val="0"/>
          <w:divBdr>
            <w:top w:val="none" w:sz="0" w:space="0" w:color="auto"/>
            <w:left w:val="none" w:sz="0" w:space="0" w:color="auto"/>
            <w:bottom w:val="none" w:sz="0" w:space="0" w:color="auto"/>
            <w:right w:val="none" w:sz="0" w:space="0" w:color="auto"/>
          </w:divBdr>
        </w:div>
        <w:div w:id="1366297446">
          <w:marLeft w:val="480"/>
          <w:marRight w:val="0"/>
          <w:marTop w:val="0"/>
          <w:marBottom w:val="0"/>
          <w:divBdr>
            <w:top w:val="none" w:sz="0" w:space="0" w:color="auto"/>
            <w:left w:val="none" w:sz="0" w:space="0" w:color="auto"/>
            <w:bottom w:val="none" w:sz="0" w:space="0" w:color="auto"/>
            <w:right w:val="none" w:sz="0" w:space="0" w:color="auto"/>
          </w:divBdr>
        </w:div>
        <w:div w:id="1081878317">
          <w:marLeft w:val="480"/>
          <w:marRight w:val="0"/>
          <w:marTop w:val="0"/>
          <w:marBottom w:val="0"/>
          <w:divBdr>
            <w:top w:val="none" w:sz="0" w:space="0" w:color="auto"/>
            <w:left w:val="none" w:sz="0" w:space="0" w:color="auto"/>
            <w:bottom w:val="none" w:sz="0" w:space="0" w:color="auto"/>
            <w:right w:val="none" w:sz="0" w:space="0" w:color="auto"/>
          </w:divBdr>
        </w:div>
        <w:div w:id="30543623">
          <w:marLeft w:val="480"/>
          <w:marRight w:val="0"/>
          <w:marTop w:val="0"/>
          <w:marBottom w:val="0"/>
          <w:divBdr>
            <w:top w:val="none" w:sz="0" w:space="0" w:color="auto"/>
            <w:left w:val="none" w:sz="0" w:space="0" w:color="auto"/>
            <w:bottom w:val="none" w:sz="0" w:space="0" w:color="auto"/>
            <w:right w:val="none" w:sz="0" w:space="0" w:color="auto"/>
          </w:divBdr>
        </w:div>
        <w:div w:id="1741323698">
          <w:marLeft w:val="480"/>
          <w:marRight w:val="0"/>
          <w:marTop w:val="0"/>
          <w:marBottom w:val="0"/>
          <w:divBdr>
            <w:top w:val="none" w:sz="0" w:space="0" w:color="auto"/>
            <w:left w:val="none" w:sz="0" w:space="0" w:color="auto"/>
            <w:bottom w:val="none" w:sz="0" w:space="0" w:color="auto"/>
            <w:right w:val="none" w:sz="0" w:space="0" w:color="auto"/>
          </w:divBdr>
        </w:div>
        <w:div w:id="306201223">
          <w:marLeft w:val="480"/>
          <w:marRight w:val="0"/>
          <w:marTop w:val="0"/>
          <w:marBottom w:val="0"/>
          <w:divBdr>
            <w:top w:val="none" w:sz="0" w:space="0" w:color="auto"/>
            <w:left w:val="none" w:sz="0" w:space="0" w:color="auto"/>
            <w:bottom w:val="none" w:sz="0" w:space="0" w:color="auto"/>
            <w:right w:val="none" w:sz="0" w:space="0" w:color="auto"/>
          </w:divBdr>
        </w:div>
        <w:div w:id="1266427190">
          <w:marLeft w:val="480"/>
          <w:marRight w:val="0"/>
          <w:marTop w:val="0"/>
          <w:marBottom w:val="0"/>
          <w:divBdr>
            <w:top w:val="none" w:sz="0" w:space="0" w:color="auto"/>
            <w:left w:val="none" w:sz="0" w:space="0" w:color="auto"/>
            <w:bottom w:val="none" w:sz="0" w:space="0" w:color="auto"/>
            <w:right w:val="none" w:sz="0" w:space="0" w:color="auto"/>
          </w:divBdr>
        </w:div>
        <w:div w:id="1860316071">
          <w:marLeft w:val="480"/>
          <w:marRight w:val="0"/>
          <w:marTop w:val="0"/>
          <w:marBottom w:val="0"/>
          <w:divBdr>
            <w:top w:val="none" w:sz="0" w:space="0" w:color="auto"/>
            <w:left w:val="none" w:sz="0" w:space="0" w:color="auto"/>
            <w:bottom w:val="none" w:sz="0" w:space="0" w:color="auto"/>
            <w:right w:val="none" w:sz="0" w:space="0" w:color="auto"/>
          </w:divBdr>
        </w:div>
        <w:div w:id="161815975">
          <w:marLeft w:val="480"/>
          <w:marRight w:val="0"/>
          <w:marTop w:val="0"/>
          <w:marBottom w:val="0"/>
          <w:divBdr>
            <w:top w:val="none" w:sz="0" w:space="0" w:color="auto"/>
            <w:left w:val="none" w:sz="0" w:space="0" w:color="auto"/>
            <w:bottom w:val="none" w:sz="0" w:space="0" w:color="auto"/>
            <w:right w:val="none" w:sz="0" w:space="0" w:color="auto"/>
          </w:divBdr>
        </w:div>
        <w:div w:id="1759448899">
          <w:marLeft w:val="480"/>
          <w:marRight w:val="0"/>
          <w:marTop w:val="0"/>
          <w:marBottom w:val="0"/>
          <w:divBdr>
            <w:top w:val="none" w:sz="0" w:space="0" w:color="auto"/>
            <w:left w:val="none" w:sz="0" w:space="0" w:color="auto"/>
            <w:bottom w:val="none" w:sz="0" w:space="0" w:color="auto"/>
            <w:right w:val="none" w:sz="0" w:space="0" w:color="auto"/>
          </w:divBdr>
        </w:div>
        <w:div w:id="1075854516">
          <w:marLeft w:val="480"/>
          <w:marRight w:val="0"/>
          <w:marTop w:val="0"/>
          <w:marBottom w:val="0"/>
          <w:divBdr>
            <w:top w:val="none" w:sz="0" w:space="0" w:color="auto"/>
            <w:left w:val="none" w:sz="0" w:space="0" w:color="auto"/>
            <w:bottom w:val="none" w:sz="0" w:space="0" w:color="auto"/>
            <w:right w:val="none" w:sz="0" w:space="0" w:color="auto"/>
          </w:divBdr>
        </w:div>
        <w:div w:id="1487934218">
          <w:marLeft w:val="480"/>
          <w:marRight w:val="0"/>
          <w:marTop w:val="0"/>
          <w:marBottom w:val="0"/>
          <w:divBdr>
            <w:top w:val="none" w:sz="0" w:space="0" w:color="auto"/>
            <w:left w:val="none" w:sz="0" w:space="0" w:color="auto"/>
            <w:bottom w:val="none" w:sz="0" w:space="0" w:color="auto"/>
            <w:right w:val="none" w:sz="0" w:space="0" w:color="auto"/>
          </w:divBdr>
        </w:div>
        <w:div w:id="1299652054">
          <w:marLeft w:val="480"/>
          <w:marRight w:val="0"/>
          <w:marTop w:val="0"/>
          <w:marBottom w:val="0"/>
          <w:divBdr>
            <w:top w:val="none" w:sz="0" w:space="0" w:color="auto"/>
            <w:left w:val="none" w:sz="0" w:space="0" w:color="auto"/>
            <w:bottom w:val="none" w:sz="0" w:space="0" w:color="auto"/>
            <w:right w:val="none" w:sz="0" w:space="0" w:color="auto"/>
          </w:divBdr>
        </w:div>
        <w:div w:id="1397893082">
          <w:marLeft w:val="480"/>
          <w:marRight w:val="0"/>
          <w:marTop w:val="0"/>
          <w:marBottom w:val="0"/>
          <w:divBdr>
            <w:top w:val="none" w:sz="0" w:space="0" w:color="auto"/>
            <w:left w:val="none" w:sz="0" w:space="0" w:color="auto"/>
            <w:bottom w:val="none" w:sz="0" w:space="0" w:color="auto"/>
            <w:right w:val="none" w:sz="0" w:space="0" w:color="auto"/>
          </w:divBdr>
        </w:div>
        <w:div w:id="1769547539">
          <w:marLeft w:val="480"/>
          <w:marRight w:val="0"/>
          <w:marTop w:val="0"/>
          <w:marBottom w:val="0"/>
          <w:divBdr>
            <w:top w:val="none" w:sz="0" w:space="0" w:color="auto"/>
            <w:left w:val="none" w:sz="0" w:space="0" w:color="auto"/>
            <w:bottom w:val="none" w:sz="0" w:space="0" w:color="auto"/>
            <w:right w:val="none" w:sz="0" w:space="0" w:color="auto"/>
          </w:divBdr>
        </w:div>
        <w:div w:id="207843804">
          <w:marLeft w:val="480"/>
          <w:marRight w:val="0"/>
          <w:marTop w:val="0"/>
          <w:marBottom w:val="0"/>
          <w:divBdr>
            <w:top w:val="none" w:sz="0" w:space="0" w:color="auto"/>
            <w:left w:val="none" w:sz="0" w:space="0" w:color="auto"/>
            <w:bottom w:val="none" w:sz="0" w:space="0" w:color="auto"/>
            <w:right w:val="none" w:sz="0" w:space="0" w:color="auto"/>
          </w:divBdr>
        </w:div>
        <w:div w:id="302002653">
          <w:marLeft w:val="480"/>
          <w:marRight w:val="0"/>
          <w:marTop w:val="0"/>
          <w:marBottom w:val="0"/>
          <w:divBdr>
            <w:top w:val="none" w:sz="0" w:space="0" w:color="auto"/>
            <w:left w:val="none" w:sz="0" w:space="0" w:color="auto"/>
            <w:bottom w:val="none" w:sz="0" w:space="0" w:color="auto"/>
            <w:right w:val="none" w:sz="0" w:space="0" w:color="auto"/>
          </w:divBdr>
        </w:div>
        <w:div w:id="717247802">
          <w:marLeft w:val="480"/>
          <w:marRight w:val="0"/>
          <w:marTop w:val="0"/>
          <w:marBottom w:val="0"/>
          <w:divBdr>
            <w:top w:val="none" w:sz="0" w:space="0" w:color="auto"/>
            <w:left w:val="none" w:sz="0" w:space="0" w:color="auto"/>
            <w:bottom w:val="none" w:sz="0" w:space="0" w:color="auto"/>
            <w:right w:val="none" w:sz="0" w:space="0" w:color="auto"/>
          </w:divBdr>
        </w:div>
        <w:div w:id="1668286121">
          <w:marLeft w:val="480"/>
          <w:marRight w:val="0"/>
          <w:marTop w:val="0"/>
          <w:marBottom w:val="0"/>
          <w:divBdr>
            <w:top w:val="none" w:sz="0" w:space="0" w:color="auto"/>
            <w:left w:val="none" w:sz="0" w:space="0" w:color="auto"/>
            <w:bottom w:val="none" w:sz="0" w:space="0" w:color="auto"/>
            <w:right w:val="none" w:sz="0" w:space="0" w:color="auto"/>
          </w:divBdr>
        </w:div>
        <w:div w:id="2056805007">
          <w:marLeft w:val="480"/>
          <w:marRight w:val="0"/>
          <w:marTop w:val="0"/>
          <w:marBottom w:val="0"/>
          <w:divBdr>
            <w:top w:val="none" w:sz="0" w:space="0" w:color="auto"/>
            <w:left w:val="none" w:sz="0" w:space="0" w:color="auto"/>
            <w:bottom w:val="none" w:sz="0" w:space="0" w:color="auto"/>
            <w:right w:val="none" w:sz="0" w:space="0" w:color="auto"/>
          </w:divBdr>
        </w:div>
        <w:div w:id="1286304219">
          <w:marLeft w:val="480"/>
          <w:marRight w:val="0"/>
          <w:marTop w:val="0"/>
          <w:marBottom w:val="0"/>
          <w:divBdr>
            <w:top w:val="none" w:sz="0" w:space="0" w:color="auto"/>
            <w:left w:val="none" w:sz="0" w:space="0" w:color="auto"/>
            <w:bottom w:val="none" w:sz="0" w:space="0" w:color="auto"/>
            <w:right w:val="none" w:sz="0" w:space="0" w:color="auto"/>
          </w:divBdr>
        </w:div>
        <w:div w:id="663894941">
          <w:marLeft w:val="480"/>
          <w:marRight w:val="0"/>
          <w:marTop w:val="0"/>
          <w:marBottom w:val="0"/>
          <w:divBdr>
            <w:top w:val="none" w:sz="0" w:space="0" w:color="auto"/>
            <w:left w:val="none" w:sz="0" w:space="0" w:color="auto"/>
            <w:bottom w:val="none" w:sz="0" w:space="0" w:color="auto"/>
            <w:right w:val="none" w:sz="0" w:space="0" w:color="auto"/>
          </w:divBdr>
        </w:div>
        <w:div w:id="504251684">
          <w:marLeft w:val="480"/>
          <w:marRight w:val="0"/>
          <w:marTop w:val="0"/>
          <w:marBottom w:val="0"/>
          <w:divBdr>
            <w:top w:val="none" w:sz="0" w:space="0" w:color="auto"/>
            <w:left w:val="none" w:sz="0" w:space="0" w:color="auto"/>
            <w:bottom w:val="none" w:sz="0" w:space="0" w:color="auto"/>
            <w:right w:val="none" w:sz="0" w:space="0" w:color="auto"/>
          </w:divBdr>
        </w:div>
        <w:div w:id="117915741">
          <w:marLeft w:val="480"/>
          <w:marRight w:val="0"/>
          <w:marTop w:val="0"/>
          <w:marBottom w:val="0"/>
          <w:divBdr>
            <w:top w:val="none" w:sz="0" w:space="0" w:color="auto"/>
            <w:left w:val="none" w:sz="0" w:space="0" w:color="auto"/>
            <w:bottom w:val="none" w:sz="0" w:space="0" w:color="auto"/>
            <w:right w:val="none" w:sz="0" w:space="0" w:color="auto"/>
          </w:divBdr>
        </w:div>
        <w:div w:id="1246039985">
          <w:marLeft w:val="480"/>
          <w:marRight w:val="0"/>
          <w:marTop w:val="0"/>
          <w:marBottom w:val="0"/>
          <w:divBdr>
            <w:top w:val="none" w:sz="0" w:space="0" w:color="auto"/>
            <w:left w:val="none" w:sz="0" w:space="0" w:color="auto"/>
            <w:bottom w:val="none" w:sz="0" w:space="0" w:color="auto"/>
            <w:right w:val="none" w:sz="0" w:space="0" w:color="auto"/>
          </w:divBdr>
        </w:div>
      </w:divsChild>
    </w:div>
    <w:div w:id="2030642728">
      <w:bodyDiv w:val="1"/>
      <w:marLeft w:val="0"/>
      <w:marRight w:val="0"/>
      <w:marTop w:val="0"/>
      <w:marBottom w:val="0"/>
      <w:divBdr>
        <w:top w:val="none" w:sz="0" w:space="0" w:color="auto"/>
        <w:left w:val="none" w:sz="0" w:space="0" w:color="auto"/>
        <w:bottom w:val="none" w:sz="0" w:space="0" w:color="auto"/>
        <w:right w:val="none" w:sz="0" w:space="0" w:color="auto"/>
      </w:divBdr>
    </w:div>
    <w:div w:id="2031107122">
      <w:bodyDiv w:val="1"/>
      <w:marLeft w:val="0"/>
      <w:marRight w:val="0"/>
      <w:marTop w:val="0"/>
      <w:marBottom w:val="0"/>
      <w:divBdr>
        <w:top w:val="none" w:sz="0" w:space="0" w:color="auto"/>
        <w:left w:val="none" w:sz="0" w:space="0" w:color="auto"/>
        <w:bottom w:val="none" w:sz="0" w:space="0" w:color="auto"/>
        <w:right w:val="none" w:sz="0" w:space="0" w:color="auto"/>
      </w:divBdr>
    </w:div>
    <w:div w:id="2031368082">
      <w:bodyDiv w:val="1"/>
      <w:marLeft w:val="0"/>
      <w:marRight w:val="0"/>
      <w:marTop w:val="0"/>
      <w:marBottom w:val="0"/>
      <w:divBdr>
        <w:top w:val="none" w:sz="0" w:space="0" w:color="auto"/>
        <w:left w:val="none" w:sz="0" w:space="0" w:color="auto"/>
        <w:bottom w:val="none" w:sz="0" w:space="0" w:color="auto"/>
        <w:right w:val="none" w:sz="0" w:space="0" w:color="auto"/>
      </w:divBdr>
    </w:div>
    <w:div w:id="2031830496">
      <w:bodyDiv w:val="1"/>
      <w:marLeft w:val="0"/>
      <w:marRight w:val="0"/>
      <w:marTop w:val="0"/>
      <w:marBottom w:val="0"/>
      <w:divBdr>
        <w:top w:val="none" w:sz="0" w:space="0" w:color="auto"/>
        <w:left w:val="none" w:sz="0" w:space="0" w:color="auto"/>
        <w:bottom w:val="none" w:sz="0" w:space="0" w:color="auto"/>
        <w:right w:val="none" w:sz="0" w:space="0" w:color="auto"/>
      </w:divBdr>
    </w:div>
    <w:div w:id="2032029963">
      <w:bodyDiv w:val="1"/>
      <w:marLeft w:val="0"/>
      <w:marRight w:val="0"/>
      <w:marTop w:val="0"/>
      <w:marBottom w:val="0"/>
      <w:divBdr>
        <w:top w:val="none" w:sz="0" w:space="0" w:color="auto"/>
        <w:left w:val="none" w:sz="0" w:space="0" w:color="auto"/>
        <w:bottom w:val="none" w:sz="0" w:space="0" w:color="auto"/>
        <w:right w:val="none" w:sz="0" w:space="0" w:color="auto"/>
      </w:divBdr>
    </w:div>
    <w:div w:id="2032953687">
      <w:bodyDiv w:val="1"/>
      <w:marLeft w:val="0"/>
      <w:marRight w:val="0"/>
      <w:marTop w:val="0"/>
      <w:marBottom w:val="0"/>
      <w:divBdr>
        <w:top w:val="none" w:sz="0" w:space="0" w:color="auto"/>
        <w:left w:val="none" w:sz="0" w:space="0" w:color="auto"/>
        <w:bottom w:val="none" w:sz="0" w:space="0" w:color="auto"/>
        <w:right w:val="none" w:sz="0" w:space="0" w:color="auto"/>
      </w:divBdr>
    </w:div>
    <w:div w:id="2033148250">
      <w:bodyDiv w:val="1"/>
      <w:marLeft w:val="0"/>
      <w:marRight w:val="0"/>
      <w:marTop w:val="0"/>
      <w:marBottom w:val="0"/>
      <w:divBdr>
        <w:top w:val="none" w:sz="0" w:space="0" w:color="auto"/>
        <w:left w:val="none" w:sz="0" w:space="0" w:color="auto"/>
        <w:bottom w:val="none" w:sz="0" w:space="0" w:color="auto"/>
        <w:right w:val="none" w:sz="0" w:space="0" w:color="auto"/>
      </w:divBdr>
    </w:div>
    <w:div w:id="2033604692">
      <w:bodyDiv w:val="1"/>
      <w:marLeft w:val="0"/>
      <w:marRight w:val="0"/>
      <w:marTop w:val="0"/>
      <w:marBottom w:val="0"/>
      <w:divBdr>
        <w:top w:val="none" w:sz="0" w:space="0" w:color="auto"/>
        <w:left w:val="none" w:sz="0" w:space="0" w:color="auto"/>
        <w:bottom w:val="none" w:sz="0" w:space="0" w:color="auto"/>
        <w:right w:val="none" w:sz="0" w:space="0" w:color="auto"/>
      </w:divBdr>
    </w:div>
    <w:div w:id="2033723213">
      <w:bodyDiv w:val="1"/>
      <w:marLeft w:val="0"/>
      <w:marRight w:val="0"/>
      <w:marTop w:val="0"/>
      <w:marBottom w:val="0"/>
      <w:divBdr>
        <w:top w:val="none" w:sz="0" w:space="0" w:color="auto"/>
        <w:left w:val="none" w:sz="0" w:space="0" w:color="auto"/>
        <w:bottom w:val="none" w:sz="0" w:space="0" w:color="auto"/>
        <w:right w:val="none" w:sz="0" w:space="0" w:color="auto"/>
      </w:divBdr>
    </w:div>
    <w:div w:id="2034188709">
      <w:bodyDiv w:val="1"/>
      <w:marLeft w:val="0"/>
      <w:marRight w:val="0"/>
      <w:marTop w:val="0"/>
      <w:marBottom w:val="0"/>
      <w:divBdr>
        <w:top w:val="none" w:sz="0" w:space="0" w:color="auto"/>
        <w:left w:val="none" w:sz="0" w:space="0" w:color="auto"/>
        <w:bottom w:val="none" w:sz="0" w:space="0" w:color="auto"/>
        <w:right w:val="none" w:sz="0" w:space="0" w:color="auto"/>
      </w:divBdr>
    </w:div>
    <w:div w:id="2034379365">
      <w:bodyDiv w:val="1"/>
      <w:marLeft w:val="0"/>
      <w:marRight w:val="0"/>
      <w:marTop w:val="0"/>
      <w:marBottom w:val="0"/>
      <w:divBdr>
        <w:top w:val="none" w:sz="0" w:space="0" w:color="auto"/>
        <w:left w:val="none" w:sz="0" w:space="0" w:color="auto"/>
        <w:bottom w:val="none" w:sz="0" w:space="0" w:color="auto"/>
        <w:right w:val="none" w:sz="0" w:space="0" w:color="auto"/>
      </w:divBdr>
    </w:div>
    <w:div w:id="2034917228">
      <w:bodyDiv w:val="1"/>
      <w:marLeft w:val="0"/>
      <w:marRight w:val="0"/>
      <w:marTop w:val="0"/>
      <w:marBottom w:val="0"/>
      <w:divBdr>
        <w:top w:val="none" w:sz="0" w:space="0" w:color="auto"/>
        <w:left w:val="none" w:sz="0" w:space="0" w:color="auto"/>
        <w:bottom w:val="none" w:sz="0" w:space="0" w:color="auto"/>
        <w:right w:val="none" w:sz="0" w:space="0" w:color="auto"/>
      </w:divBdr>
    </w:div>
    <w:div w:id="2035421540">
      <w:bodyDiv w:val="1"/>
      <w:marLeft w:val="0"/>
      <w:marRight w:val="0"/>
      <w:marTop w:val="0"/>
      <w:marBottom w:val="0"/>
      <w:divBdr>
        <w:top w:val="none" w:sz="0" w:space="0" w:color="auto"/>
        <w:left w:val="none" w:sz="0" w:space="0" w:color="auto"/>
        <w:bottom w:val="none" w:sz="0" w:space="0" w:color="auto"/>
        <w:right w:val="none" w:sz="0" w:space="0" w:color="auto"/>
      </w:divBdr>
    </w:div>
    <w:div w:id="2036535155">
      <w:bodyDiv w:val="1"/>
      <w:marLeft w:val="0"/>
      <w:marRight w:val="0"/>
      <w:marTop w:val="0"/>
      <w:marBottom w:val="0"/>
      <w:divBdr>
        <w:top w:val="none" w:sz="0" w:space="0" w:color="auto"/>
        <w:left w:val="none" w:sz="0" w:space="0" w:color="auto"/>
        <w:bottom w:val="none" w:sz="0" w:space="0" w:color="auto"/>
        <w:right w:val="none" w:sz="0" w:space="0" w:color="auto"/>
      </w:divBdr>
    </w:div>
    <w:div w:id="2036999138">
      <w:bodyDiv w:val="1"/>
      <w:marLeft w:val="0"/>
      <w:marRight w:val="0"/>
      <w:marTop w:val="0"/>
      <w:marBottom w:val="0"/>
      <w:divBdr>
        <w:top w:val="none" w:sz="0" w:space="0" w:color="auto"/>
        <w:left w:val="none" w:sz="0" w:space="0" w:color="auto"/>
        <w:bottom w:val="none" w:sz="0" w:space="0" w:color="auto"/>
        <w:right w:val="none" w:sz="0" w:space="0" w:color="auto"/>
      </w:divBdr>
    </w:div>
    <w:div w:id="2037386040">
      <w:bodyDiv w:val="1"/>
      <w:marLeft w:val="0"/>
      <w:marRight w:val="0"/>
      <w:marTop w:val="0"/>
      <w:marBottom w:val="0"/>
      <w:divBdr>
        <w:top w:val="none" w:sz="0" w:space="0" w:color="auto"/>
        <w:left w:val="none" w:sz="0" w:space="0" w:color="auto"/>
        <w:bottom w:val="none" w:sz="0" w:space="0" w:color="auto"/>
        <w:right w:val="none" w:sz="0" w:space="0" w:color="auto"/>
      </w:divBdr>
    </w:div>
    <w:div w:id="2037776589">
      <w:bodyDiv w:val="1"/>
      <w:marLeft w:val="0"/>
      <w:marRight w:val="0"/>
      <w:marTop w:val="0"/>
      <w:marBottom w:val="0"/>
      <w:divBdr>
        <w:top w:val="none" w:sz="0" w:space="0" w:color="auto"/>
        <w:left w:val="none" w:sz="0" w:space="0" w:color="auto"/>
        <w:bottom w:val="none" w:sz="0" w:space="0" w:color="auto"/>
        <w:right w:val="none" w:sz="0" w:space="0" w:color="auto"/>
      </w:divBdr>
    </w:div>
    <w:div w:id="2038114758">
      <w:bodyDiv w:val="1"/>
      <w:marLeft w:val="0"/>
      <w:marRight w:val="0"/>
      <w:marTop w:val="0"/>
      <w:marBottom w:val="0"/>
      <w:divBdr>
        <w:top w:val="none" w:sz="0" w:space="0" w:color="auto"/>
        <w:left w:val="none" w:sz="0" w:space="0" w:color="auto"/>
        <w:bottom w:val="none" w:sz="0" w:space="0" w:color="auto"/>
        <w:right w:val="none" w:sz="0" w:space="0" w:color="auto"/>
      </w:divBdr>
    </w:div>
    <w:div w:id="2038238584">
      <w:bodyDiv w:val="1"/>
      <w:marLeft w:val="0"/>
      <w:marRight w:val="0"/>
      <w:marTop w:val="0"/>
      <w:marBottom w:val="0"/>
      <w:divBdr>
        <w:top w:val="none" w:sz="0" w:space="0" w:color="auto"/>
        <w:left w:val="none" w:sz="0" w:space="0" w:color="auto"/>
        <w:bottom w:val="none" w:sz="0" w:space="0" w:color="auto"/>
        <w:right w:val="none" w:sz="0" w:space="0" w:color="auto"/>
      </w:divBdr>
    </w:div>
    <w:div w:id="2038434076">
      <w:bodyDiv w:val="1"/>
      <w:marLeft w:val="0"/>
      <w:marRight w:val="0"/>
      <w:marTop w:val="0"/>
      <w:marBottom w:val="0"/>
      <w:divBdr>
        <w:top w:val="none" w:sz="0" w:space="0" w:color="auto"/>
        <w:left w:val="none" w:sz="0" w:space="0" w:color="auto"/>
        <w:bottom w:val="none" w:sz="0" w:space="0" w:color="auto"/>
        <w:right w:val="none" w:sz="0" w:space="0" w:color="auto"/>
      </w:divBdr>
    </w:div>
    <w:div w:id="2038457525">
      <w:bodyDiv w:val="1"/>
      <w:marLeft w:val="0"/>
      <w:marRight w:val="0"/>
      <w:marTop w:val="0"/>
      <w:marBottom w:val="0"/>
      <w:divBdr>
        <w:top w:val="none" w:sz="0" w:space="0" w:color="auto"/>
        <w:left w:val="none" w:sz="0" w:space="0" w:color="auto"/>
        <w:bottom w:val="none" w:sz="0" w:space="0" w:color="auto"/>
        <w:right w:val="none" w:sz="0" w:space="0" w:color="auto"/>
      </w:divBdr>
    </w:div>
    <w:div w:id="2038845417">
      <w:bodyDiv w:val="1"/>
      <w:marLeft w:val="0"/>
      <w:marRight w:val="0"/>
      <w:marTop w:val="0"/>
      <w:marBottom w:val="0"/>
      <w:divBdr>
        <w:top w:val="none" w:sz="0" w:space="0" w:color="auto"/>
        <w:left w:val="none" w:sz="0" w:space="0" w:color="auto"/>
        <w:bottom w:val="none" w:sz="0" w:space="0" w:color="auto"/>
        <w:right w:val="none" w:sz="0" w:space="0" w:color="auto"/>
      </w:divBdr>
    </w:div>
    <w:div w:id="2039088512">
      <w:bodyDiv w:val="1"/>
      <w:marLeft w:val="0"/>
      <w:marRight w:val="0"/>
      <w:marTop w:val="0"/>
      <w:marBottom w:val="0"/>
      <w:divBdr>
        <w:top w:val="none" w:sz="0" w:space="0" w:color="auto"/>
        <w:left w:val="none" w:sz="0" w:space="0" w:color="auto"/>
        <w:bottom w:val="none" w:sz="0" w:space="0" w:color="auto"/>
        <w:right w:val="none" w:sz="0" w:space="0" w:color="auto"/>
      </w:divBdr>
    </w:div>
    <w:div w:id="2039352999">
      <w:bodyDiv w:val="1"/>
      <w:marLeft w:val="0"/>
      <w:marRight w:val="0"/>
      <w:marTop w:val="0"/>
      <w:marBottom w:val="0"/>
      <w:divBdr>
        <w:top w:val="none" w:sz="0" w:space="0" w:color="auto"/>
        <w:left w:val="none" w:sz="0" w:space="0" w:color="auto"/>
        <w:bottom w:val="none" w:sz="0" w:space="0" w:color="auto"/>
        <w:right w:val="none" w:sz="0" w:space="0" w:color="auto"/>
      </w:divBdr>
    </w:div>
    <w:div w:id="2039694655">
      <w:bodyDiv w:val="1"/>
      <w:marLeft w:val="0"/>
      <w:marRight w:val="0"/>
      <w:marTop w:val="0"/>
      <w:marBottom w:val="0"/>
      <w:divBdr>
        <w:top w:val="none" w:sz="0" w:space="0" w:color="auto"/>
        <w:left w:val="none" w:sz="0" w:space="0" w:color="auto"/>
        <w:bottom w:val="none" w:sz="0" w:space="0" w:color="auto"/>
        <w:right w:val="none" w:sz="0" w:space="0" w:color="auto"/>
      </w:divBdr>
    </w:div>
    <w:div w:id="2039962135">
      <w:bodyDiv w:val="1"/>
      <w:marLeft w:val="0"/>
      <w:marRight w:val="0"/>
      <w:marTop w:val="0"/>
      <w:marBottom w:val="0"/>
      <w:divBdr>
        <w:top w:val="none" w:sz="0" w:space="0" w:color="auto"/>
        <w:left w:val="none" w:sz="0" w:space="0" w:color="auto"/>
        <w:bottom w:val="none" w:sz="0" w:space="0" w:color="auto"/>
        <w:right w:val="none" w:sz="0" w:space="0" w:color="auto"/>
      </w:divBdr>
    </w:div>
    <w:div w:id="2041007207">
      <w:bodyDiv w:val="1"/>
      <w:marLeft w:val="0"/>
      <w:marRight w:val="0"/>
      <w:marTop w:val="0"/>
      <w:marBottom w:val="0"/>
      <w:divBdr>
        <w:top w:val="none" w:sz="0" w:space="0" w:color="auto"/>
        <w:left w:val="none" w:sz="0" w:space="0" w:color="auto"/>
        <w:bottom w:val="none" w:sz="0" w:space="0" w:color="auto"/>
        <w:right w:val="none" w:sz="0" w:space="0" w:color="auto"/>
      </w:divBdr>
    </w:div>
    <w:div w:id="2041203836">
      <w:bodyDiv w:val="1"/>
      <w:marLeft w:val="0"/>
      <w:marRight w:val="0"/>
      <w:marTop w:val="0"/>
      <w:marBottom w:val="0"/>
      <w:divBdr>
        <w:top w:val="none" w:sz="0" w:space="0" w:color="auto"/>
        <w:left w:val="none" w:sz="0" w:space="0" w:color="auto"/>
        <w:bottom w:val="none" w:sz="0" w:space="0" w:color="auto"/>
        <w:right w:val="none" w:sz="0" w:space="0" w:color="auto"/>
      </w:divBdr>
    </w:div>
    <w:div w:id="2041392165">
      <w:bodyDiv w:val="1"/>
      <w:marLeft w:val="0"/>
      <w:marRight w:val="0"/>
      <w:marTop w:val="0"/>
      <w:marBottom w:val="0"/>
      <w:divBdr>
        <w:top w:val="none" w:sz="0" w:space="0" w:color="auto"/>
        <w:left w:val="none" w:sz="0" w:space="0" w:color="auto"/>
        <w:bottom w:val="none" w:sz="0" w:space="0" w:color="auto"/>
        <w:right w:val="none" w:sz="0" w:space="0" w:color="auto"/>
      </w:divBdr>
    </w:div>
    <w:div w:id="2041663268">
      <w:bodyDiv w:val="1"/>
      <w:marLeft w:val="0"/>
      <w:marRight w:val="0"/>
      <w:marTop w:val="0"/>
      <w:marBottom w:val="0"/>
      <w:divBdr>
        <w:top w:val="none" w:sz="0" w:space="0" w:color="auto"/>
        <w:left w:val="none" w:sz="0" w:space="0" w:color="auto"/>
        <w:bottom w:val="none" w:sz="0" w:space="0" w:color="auto"/>
        <w:right w:val="none" w:sz="0" w:space="0" w:color="auto"/>
      </w:divBdr>
    </w:div>
    <w:div w:id="2042128970">
      <w:bodyDiv w:val="1"/>
      <w:marLeft w:val="0"/>
      <w:marRight w:val="0"/>
      <w:marTop w:val="0"/>
      <w:marBottom w:val="0"/>
      <w:divBdr>
        <w:top w:val="none" w:sz="0" w:space="0" w:color="auto"/>
        <w:left w:val="none" w:sz="0" w:space="0" w:color="auto"/>
        <w:bottom w:val="none" w:sz="0" w:space="0" w:color="auto"/>
        <w:right w:val="none" w:sz="0" w:space="0" w:color="auto"/>
      </w:divBdr>
    </w:div>
    <w:div w:id="2042241913">
      <w:bodyDiv w:val="1"/>
      <w:marLeft w:val="0"/>
      <w:marRight w:val="0"/>
      <w:marTop w:val="0"/>
      <w:marBottom w:val="0"/>
      <w:divBdr>
        <w:top w:val="none" w:sz="0" w:space="0" w:color="auto"/>
        <w:left w:val="none" w:sz="0" w:space="0" w:color="auto"/>
        <w:bottom w:val="none" w:sz="0" w:space="0" w:color="auto"/>
        <w:right w:val="none" w:sz="0" w:space="0" w:color="auto"/>
      </w:divBdr>
    </w:div>
    <w:div w:id="2042632806">
      <w:bodyDiv w:val="1"/>
      <w:marLeft w:val="0"/>
      <w:marRight w:val="0"/>
      <w:marTop w:val="0"/>
      <w:marBottom w:val="0"/>
      <w:divBdr>
        <w:top w:val="none" w:sz="0" w:space="0" w:color="auto"/>
        <w:left w:val="none" w:sz="0" w:space="0" w:color="auto"/>
        <w:bottom w:val="none" w:sz="0" w:space="0" w:color="auto"/>
        <w:right w:val="none" w:sz="0" w:space="0" w:color="auto"/>
      </w:divBdr>
    </w:div>
    <w:div w:id="2042775524">
      <w:bodyDiv w:val="1"/>
      <w:marLeft w:val="0"/>
      <w:marRight w:val="0"/>
      <w:marTop w:val="0"/>
      <w:marBottom w:val="0"/>
      <w:divBdr>
        <w:top w:val="none" w:sz="0" w:space="0" w:color="auto"/>
        <w:left w:val="none" w:sz="0" w:space="0" w:color="auto"/>
        <w:bottom w:val="none" w:sz="0" w:space="0" w:color="auto"/>
        <w:right w:val="none" w:sz="0" w:space="0" w:color="auto"/>
      </w:divBdr>
    </w:div>
    <w:div w:id="2043165243">
      <w:bodyDiv w:val="1"/>
      <w:marLeft w:val="0"/>
      <w:marRight w:val="0"/>
      <w:marTop w:val="0"/>
      <w:marBottom w:val="0"/>
      <w:divBdr>
        <w:top w:val="none" w:sz="0" w:space="0" w:color="auto"/>
        <w:left w:val="none" w:sz="0" w:space="0" w:color="auto"/>
        <w:bottom w:val="none" w:sz="0" w:space="0" w:color="auto"/>
        <w:right w:val="none" w:sz="0" w:space="0" w:color="auto"/>
      </w:divBdr>
    </w:div>
    <w:div w:id="2044741196">
      <w:bodyDiv w:val="1"/>
      <w:marLeft w:val="0"/>
      <w:marRight w:val="0"/>
      <w:marTop w:val="0"/>
      <w:marBottom w:val="0"/>
      <w:divBdr>
        <w:top w:val="none" w:sz="0" w:space="0" w:color="auto"/>
        <w:left w:val="none" w:sz="0" w:space="0" w:color="auto"/>
        <w:bottom w:val="none" w:sz="0" w:space="0" w:color="auto"/>
        <w:right w:val="none" w:sz="0" w:space="0" w:color="auto"/>
      </w:divBdr>
    </w:div>
    <w:div w:id="2045448762">
      <w:bodyDiv w:val="1"/>
      <w:marLeft w:val="0"/>
      <w:marRight w:val="0"/>
      <w:marTop w:val="0"/>
      <w:marBottom w:val="0"/>
      <w:divBdr>
        <w:top w:val="none" w:sz="0" w:space="0" w:color="auto"/>
        <w:left w:val="none" w:sz="0" w:space="0" w:color="auto"/>
        <w:bottom w:val="none" w:sz="0" w:space="0" w:color="auto"/>
        <w:right w:val="none" w:sz="0" w:space="0" w:color="auto"/>
      </w:divBdr>
    </w:div>
    <w:div w:id="2045521024">
      <w:bodyDiv w:val="1"/>
      <w:marLeft w:val="0"/>
      <w:marRight w:val="0"/>
      <w:marTop w:val="0"/>
      <w:marBottom w:val="0"/>
      <w:divBdr>
        <w:top w:val="none" w:sz="0" w:space="0" w:color="auto"/>
        <w:left w:val="none" w:sz="0" w:space="0" w:color="auto"/>
        <w:bottom w:val="none" w:sz="0" w:space="0" w:color="auto"/>
        <w:right w:val="none" w:sz="0" w:space="0" w:color="auto"/>
      </w:divBdr>
    </w:div>
    <w:div w:id="2046132146">
      <w:bodyDiv w:val="1"/>
      <w:marLeft w:val="0"/>
      <w:marRight w:val="0"/>
      <w:marTop w:val="0"/>
      <w:marBottom w:val="0"/>
      <w:divBdr>
        <w:top w:val="none" w:sz="0" w:space="0" w:color="auto"/>
        <w:left w:val="none" w:sz="0" w:space="0" w:color="auto"/>
        <w:bottom w:val="none" w:sz="0" w:space="0" w:color="auto"/>
        <w:right w:val="none" w:sz="0" w:space="0" w:color="auto"/>
      </w:divBdr>
    </w:div>
    <w:div w:id="2046363725">
      <w:bodyDiv w:val="1"/>
      <w:marLeft w:val="0"/>
      <w:marRight w:val="0"/>
      <w:marTop w:val="0"/>
      <w:marBottom w:val="0"/>
      <w:divBdr>
        <w:top w:val="none" w:sz="0" w:space="0" w:color="auto"/>
        <w:left w:val="none" w:sz="0" w:space="0" w:color="auto"/>
        <w:bottom w:val="none" w:sz="0" w:space="0" w:color="auto"/>
        <w:right w:val="none" w:sz="0" w:space="0" w:color="auto"/>
      </w:divBdr>
    </w:div>
    <w:div w:id="2047365958">
      <w:bodyDiv w:val="1"/>
      <w:marLeft w:val="0"/>
      <w:marRight w:val="0"/>
      <w:marTop w:val="0"/>
      <w:marBottom w:val="0"/>
      <w:divBdr>
        <w:top w:val="none" w:sz="0" w:space="0" w:color="auto"/>
        <w:left w:val="none" w:sz="0" w:space="0" w:color="auto"/>
        <w:bottom w:val="none" w:sz="0" w:space="0" w:color="auto"/>
        <w:right w:val="none" w:sz="0" w:space="0" w:color="auto"/>
      </w:divBdr>
    </w:div>
    <w:div w:id="2047482751">
      <w:bodyDiv w:val="1"/>
      <w:marLeft w:val="0"/>
      <w:marRight w:val="0"/>
      <w:marTop w:val="0"/>
      <w:marBottom w:val="0"/>
      <w:divBdr>
        <w:top w:val="none" w:sz="0" w:space="0" w:color="auto"/>
        <w:left w:val="none" w:sz="0" w:space="0" w:color="auto"/>
        <w:bottom w:val="none" w:sz="0" w:space="0" w:color="auto"/>
        <w:right w:val="none" w:sz="0" w:space="0" w:color="auto"/>
      </w:divBdr>
    </w:div>
    <w:div w:id="2047677266">
      <w:bodyDiv w:val="1"/>
      <w:marLeft w:val="0"/>
      <w:marRight w:val="0"/>
      <w:marTop w:val="0"/>
      <w:marBottom w:val="0"/>
      <w:divBdr>
        <w:top w:val="none" w:sz="0" w:space="0" w:color="auto"/>
        <w:left w:val="none" w:sz="0" w:space="0" w:color="auto"/>
        <w:bottom w:val="none" w:sz="0" w:space="0" w:color="auto"/>
        <w:right w:val="none" w:sz="0" w:space="0" w:color="auto"/>
      </w:divBdr>
    </w:div>
    <w:div w:id="2048094006">
      <w:bodyDiv w:val="1"/>
      <w:marLeft w:val="0"/>
      <w:marRight w:val="0"/>
      <w:marTop w:val="0"/>
      <w:marBottom w:val="0"/>
      <w:divBdr>
        <w:top w:val="none" w:sz="0" w:space="0" w:color="auto"/>
        <w:left w:val="none" w:sz="0" w:space="0" w:color="auto"/>
        <w:bottom w:val="none" w:sz="0" w:space="0" w:color="auto"/>
        <w:right w:val="none" w:sz="0" w:space="0" w:color="auto"/>
      </w:divBdr>
    </w:div>
    <w:div w:id="2048793718">
      <w:bodyDiv w:val="1"/>
      <w:marLeft w:val="0"/>
      <w:marRight w:val="0"/>
      <w:marTop w:val="0"/>
      <w:marBottom w:val="0"/>
      <w:divBdr>
        <w:top w:val="none" w:sz="0" w:space="0" w:color="auto"/>
        <w:left w:val="none" w:sz="0" w:space="0" w:color="auto"/>
        <w:bottom w:val="none" w:sz="0" w:space="0" w:color="auto"/>
        <w:right w:val="none" w:sz="0" w:space="0" w:color="auto"/>
      </w:divBdr>
      <w:divsChild>
        <w:div w:id="1273709883">
          <w:marLeft w:val="480"/>
          <w:marRight w:val="0"/>
          <w:marTop w:val="0"/>
          <w:marBottom w:val="0"/>
          <w:divBdr>
            <w:top w:val="none" w:sz="0" w:space="0" w:color="auto"/>
            <w:left w:val="none" w:sz="0" w:space="0" w:color="auto"/>
            <w:bottom w:val="none" w:sz="0" w:space="0" w:color="auto"/>
            <w:right w:val="none" w:sz="0" w:space="0" w:color="auto"/>
          </w:divBdr>
        </w:div>
        <w:div w:id="944389200">
          <w:marLeft w:val="480"/>
          <w:marRight w:val="0"/>
          <w:marTop w:val="0"/>
          <w:marBottom w:val="0"/>
          <w:divBdr>
            <w:top w:val="none" w:sz="0" w:space="0" w:color="auto"/>
            <w:left w:val="none" w:sz="0" w:space="0" w:color="auto"/>
            <w:bottom w:val="none" w:sz="0" w:space="0" w:color="auto"/>
            <w:right w:val="none" w:sz="0" w:space="0" w:color="auto"/>
          </w:divBdr>
        </w:div>
        <w:div w:id="1426420741">
          <w:marLeft w:val="480"/>
          <w:marRight w:val="0"/>
          <w:marTop w:val="0"/>
          <w:marBottom w:val="0"/>
          <w:divBdr>
            <w:top w:val="none" w:sz="0" w:space="0" w:color="auto"/>
            <w:left w:val="none" w:sz="0" w:space="0" w:color="auto"/>
            <w:bottom w:val="none" w:sz="0" w:space="0" w:color="auto"/>
            <w:right w:val="none" w:sz="0" w:space="0" w:color="auto"/>
          </w:divBdr>
        </w:div>
        <w:div w:id="131796395">
          <w:marLeft w:val="480"/>
          <w:marRight w:val="0"/>
          <w:marTop w:val="0"/>
          <w:marBottom w:val="0"/>
          <w:divBdr>
            <w:top w:val="none" w:sz="0" w:space="0" w:color="auto"/>
            <w:left w:val="none" w:sz="0" w:space="0" w:color="auto"/>
            <w:bottom w:val="none" w:sz="0" w:space="0" w:color="auto"/>
            <w:right w:val="none" w:sz="0" w:space="0" w:color="auto"/>
          </w:divBdr>
        </w:div>
        <w:div w:id="933634950">
          <w:marLeft w:val="480"/>
          <w:marRight w:val="0"/>
          <w:marTop w:val="0"/>
          <w:marBottom w:val="0"/>
          <w:divBdr>
            <w:top w:val="none" w:sz="0" w:space="0" w:color="auto"/>
            <w:left w:val="none" w:sz="0" w:space="0" w:color="auto"/>
            <w:bottom w:val="none" w:sz="0" w:space="0" w:color="auto"/>
            <w:right w:val="none" w:sz="0" w:space="0" w:color="auto"/>
          </w:divBdr>
        </w:div>
        <w:div w:id="856500195">
          <w:marLeft w:val="480"/>
          <w:marRight w:val="0"/>
          <w:marTop w:val="0"/>
          <w:marBottom w:val="0"/>
          <w:divBdr>
            <w:top w:val="none" w:sz="0" w:space="0" w:color="auto"/>
            <w:left w:val="none" w:sz="0" w:space="0" w:color="auto"/>
            <w:bottom w:val="none" w:sz="0" w:space="0" w:color="auto"/>
            <w:right w:val="none" w:sz="0" w:space="0" w:color="auto"/>
          </w:divBdr>
        </w:div>
        <w:div w:id="910700606">
          <w:marLeft w:val="480"/>
          <w:marRight w:val="0"/>
          <w:marTop w:val="0"/>
          <w:marBottom w:val="0"/>
          <w:divBdr>
            <w:top w:val="none" w:sz="0" w:space="0" w:color="auto"/>
            <w:left w:val="none" w:sz="0" w:space="0" w:color="auto"/>
            <w:bottom w:val="none" w:sz="0" w:space="0" w:color="auto"/>
            <w:right w:val="none" w:sz="0" w:space="0" w:color="auto"/>
          </w:divBdr>
        </w:div>
        <w:div w:id="1464426185">
          <w:marLeft w:val="480"/>
          <w:marRight w:val="0"/>
          <w:marTop w:val="0"/>
          <w:marBottom w:val="0"/>
          <w:divBdr>
            <w:top w:val="none" w:sz="0" w:space="0" w:color="auto"/>
            <w:left w:val="none" w:sz="0" w:space="0" w:color="auto"/>
            <w:bottom w:val="none" w:sz="0" w:space="0" w:color="auto"/>
            <w:right w:val="none" w:sz="0" w:space="0" w:color="auto"/>
          </w:divBdr>
        </w:div>
        <w:div w:id="1191457607">
          <w:marLeft w:val="480"/>
          <w:marRight w:val="0"/>
          <w:marTop w:val="0"/>
          <w:marBottom w:val="0"/>
          <w:divBdr>
            <w:top w:val="none" w:sz="0" w:space="0" w:color="auto"/>
            <w:left w:val="none" w:sz="0" w:space="0" w:color="auto"/>
            <w:bottom w:val="none" w:sz="0" w:space="0" w:color="auto"/>
            <w:right w:val="none" w:sz="0" w:space="0" w:color="auto"/>
          </w:divBdr>
        </w:div>
        <w:div w:id="1364861131">
          <w:marLeft w:val="480"/>
          <w:marRight w:val="0"/>
          <w:marTop w:val="0"/>
          <w:marBottom w:val="0"/>
          <w:divBdr>
            <w:top w:val="none" w:sz="0" w:space="0" w:color="auto"/>
            <w:left w:val="none" w:sz="0" w:space="0" w:color="auto"/>
            <w:bottom w:val="none" w:sz="0" w:space="0" w:color="auto"/>
            <w:right w:val="none" w:sz="0" w:space="0" w:color="auto"/>
          </w:divBdr>
        </w:div>
        <w:div w:id="2110157241">
          <w:marLeft w:val="480"/>
          <w:marRight w:val="0"/>
          <w:marTop w:val="0"/>
          <w:marBottom w:val="0"/>
          <w:divBdr>
            <w:top w:val="none" w:sz="0" w:space="0" w:color="auto"/>
            <w:left w:val="none" w:sz="0" w:space="0" w:color="auto"/>
            <w:bottom w:val="none" w:sz="0" w:space="0" w:color="auto"/>
            <w:right w:val="none" w:sz="0" w:space="0" w:color="auto"/>
          </w:divBdr>
        </w:div>
        <w:div w:id="1562399191">
          <w:marLeft w:val="480"/>
          <w:marRight w:val="0"/>
          <w:marTop w:val="0"/>
          <w:marBottom w:val="0"/>
          <w:divBdr>
            <w:top w:val="none" w:sz="0" w:space="0" w:color="auto"/>
            <w:left w:val="none" w:sz="0" w:space="0" w:color="auto"/>
            <w:bottom w:val="none" w:sz="0" w:space="0" w:color="auto"/>
            <w:right w:val="none" w:sz="0" w:space="0" w:color="auto"/>
          </w:divBdr>
        </w:div>
        <w:div w:id="204410691">
          <w:marLeft w:val="480"/>
          <w:marRight w:val="0"/>
          <w:marTop w:val="0"/>
          <w:marBottom w:val="0"/>
          <w:divBdr>
            <w:top w:val="none" w:sz="0" w:space="0" w:color="auto"/>
            <w:left w:val="none" w:sz="0" w:space="0" w:color="auto"/>
            <w:bottom w:val="none" w:sz="0" w:space="0" w:color="auto"/>
            <w:right w:val="none" w:sz="0" w:space="0" w:color="auto"/>
          </w:divBdr>
        </w:div>
        <w:div w:id="1647004153">
          <w:marLeft w:val="480"/>
          <w:marRight w:val="0"/>
          <w:marTop w:val="0"/>
          <w:marBottom w:val="0"/>
          <w:divBdr>
            <w:top w:val="none" w:sz="0" w:space="0" w:color="auto"/>
            <w:left w:val="none" w:sz="0" w:space="0" w:color="auto"/>
            <w:bottom w:val="none" w:sz="0" w:space="0" w:color="auto"/>
            <w:right w:val="none" w:sz="0" w:space="0" w:color="auto"/>
          </w:divBdr>
        </w:div>
        <w:div w:id="983580139">
          <w:marLeft w:val="480"/>
          <w:marRight w:val="0"/>
          <w:marTop w:val="0"/>
          <w:marBottom w:val="0"/>
          <w:divBdr>
            <w:top w:val="none" w:sz="0" w:space="0" w:color="auto"/>
            <w:left w:val="none" w:sz="0" w:space="0" w:color="auto"/>
            <w:bottom w:val="none" w:sz="0" w:space="0" w:color="auto"/>
            <w:right w:val="none" w:sz="0" w:space="0" w:color="auto"/>
          </w:divBdr>
        </w:div>
        <w:div w:id="126555962">
          <w:marLeft w:val="480"/>
          <w:marRight w:val="0"/>
          <w:marTop w:val="0"/>
          <w:marBottom w:val="0"/>
          <w:divBdr>
            <w:top w:val="none" w:sz="0" w:space="0" w:color="auto"/>
            <w:left w:val="none" w:sz="0" w:space="0" w:color="auto"/>
            <w:bottom w:val="none" w:sz="0" w:space="0" w:color="auto"/>
            <w:right w:val="none" w:sz="0" w:space="0" w:color="auto"/>
          </w:divBdr>
        </w:div>
        <w:div w:id="839202344">
          <w:marLeft w:val="480"/>
          <w:marRight w:val="0"/>
          <w:marTop w:val="0"/>
          <w:marBottom w:val="0"/>
          <w:divBdr>
            <w:top w:val="none" w:sz="0" w:space="0" w:color="auto"/>
            <w:left w:val="none" w:sz="0" w:space="0" w:color="auto"/>
            <w:bottom w:val="none" w:sz="0" w:space="0" w:color="auto"/>
            <w:right w:val="none" w:sz="0" w:space="0" w:color="auto"/>
          </w:divBdr>
        </w:div>
        <w:div w:id="2104262095">
          <w:marLeft w:val="480"/>
          <w:marRight w:val="0"/>
          <w:marTop w:val="0"/>
          <w:marBottom w:val="0"/>
          <w:divBdr>
            <w:top w:val="none" w:sz="0" w:space="0" w:color="auto"/>
            <w:left w:val="none" w:sz="0" w:space="0" w:color="auto"/>
            <w:bottom w:val="none" w:sz="0" w:space="0" w:color="auto"/>
            <w:right w:val="none" w:sz="0" w:space="0" w:color="auto"/>
          </w:divBdr>
        </w:div>
        <w:div w:id="254704828">
          <w:marLeft w:val="480"/>
          <w:marRight w:val="0"/>
          <w:marTop w:val="0"/>
          <w:marBottom w:val="0"/>
          <w:divBdr>
            <w:top w:val="none" w:sz="0" w:space="0" w:color="auto"/>
            <w:left w:val="none" w:sz="0" w:space="0" w:color="auto"/>
            <w:bottom w:val="none" w:sz="0" w:space="0" w:color="auto"/>
            <w:right w:val="none" w:sz="0" w:space="0" w:color="auto"/>
          </w:divBdr>
        </w:div>
        <w:div w:id="125005343">
          <w:marLeft w:val="480"/>
          <w:marRight w:val="0"/>
          <w:marTop w:val="0"/>
          <w:marBottom w:val="0"/>
          <w:divBdr>
            <w:top w:val="none" w:sz="0" w:space="0" w:color="auto"/>
            <w:left w:val="none" w:sz="0" w:space="0" w:color="auto"/>
            <w:bottom w:val="none" w:sz="0" w:space="0" w:color="auto"/>
            <w:right w:val="none" w:sz="0" w:space="0" w:color="auto"/>
          </w:divBdr>
        </w:div>
        <w:div w:id="828135410">
          <w:marLeft w:val="480"/>
          <w:marRight w:val="0"/>
          <w:marTop w:val="0"/>
          <w:marBottom w:val="0"/>
          <w:divBdr>
            <w:top w:val="none" w:sz="0" w:space="0" w:color="auto"/>
            <w:left w:val="none" w:sz="0" w:space="0" w:color="auto"/>
            <w:bottom w:val="none" w:sz="0" w:space="0" w:color="auto"/>
            <w:right w:val="none" w:sz="0" w:space="0" w:color="auto"/>
          </w:divBdr>
        </w:div>
        <w:div w:id="1288660758">
          <w:marLeft w:val="480"/>
          <w:marRight w:val="0"/>
          <w:marTop w:val="0"/>
          <w:marBottom w:val="0"/>
          <w:divBdr>
            <w:top w:val="none" w:sz="0" w:space="0" w:color="auto"/>
            <w:left w:val="none" w:sz="0" w:space="0" w:color="auto"/>
            <w:bottom w:val="none" w:sz="0" w:space="0" w:color="auto"/>
            <w:right w:val="none" w:sz="0" w:space="0" w:color="auto"/>
          </w:divBdr>
        </w:div>
        <w:div w:id="849953260">
          <w:marLeft w:val="480"/>
          <w:marRight w:val="0"/>
          <w:marTop w:val="0"/>
          <w:marBottom w:val="0"/>
          <w:divBdr>
            <w:top w:val="none" w:sz="0" w:space="0" w:color="auto"/>
            <w:left w:val="none" w:sz="0" w:space="0" w:color="auto"/>
            <w:bottom w:val="none" w:sz="0" w:space="0" w:color="auto"/>
            <w:right w:val="none" w:sz="0" w:space="0" w:color="auto"/>
          </w:divBdr>
        </w:div>
        <w:div w:id="374426267">
          <w:marLeft w:val="480"/>
          <w:marRight w:val="0"/>
          <w:marTop w:val="0"/>
          <w:marBottom w:val="0"/>
          <w:divBdr>
            <w:top w:val="none" w:sz="0" w:space="0" w:color="auto"/>
            <w:left w:val="none" w:sz="0" w:space="0" w:color="auto"/>
            <w:bottom w:val="none" w:sz="0" w:space="0" w:color="auto"/>
            <w:right w:val="none" w:sz="0" w:space="0" w:color="auto"/>
          </w:divBdr>
        </w:div>
        <w:div w:id="192117228">
          <w:marLeft w:val="480"/>
          <w:marRight w:val="0"/>
          <w:marTop w:val="0"/>
          <w:marBottom w:val="0"/>
          <w:divBdr>
            <w:top w:val="none" w:sz="0" w:space="0" w:color="auto"/>
            <w:left w:val="none" w:sz="0" w:space="0" w:color="auto"/>
            <w:bottom w:val="none" w:sz="0" w:space="0" w:color="auto"/>
            <w:right w:val="none" w:sz="0" w:space="0" w:color="auto"/>
          </w:divBdr>
        </w:div>
        <w:div w:id="1766149515">
          <w:marLeft w:val="480"/>
          <w:marRight w:val="0"/>
          <w:marTop w:val="0"/>
          <w:marBottom w:val="0"/>
          <w:divBdr>
            <w:top w:val="none" w:sz="0" w:space="0" w:color="auto"/>
            <w:left w:val="none" w:sz="0" w:space="0" w:color="auto"/>
            <w:bottom w:val="none" w:sz="0" w:space="0" w:color="auto"/>
            <w:right w:val="none" w:sz="0" w:space="0" w:color="auto"/>
          </w:divBdr>
        </w:div>
        <w:div w:id="1077751358">
          <w:marLeft w:val="480"/>
          <w:marRight w:val="0"/>
          <w:marTop w:val="0"/>
          <w:marBottom w:val="0"/>
          <w:divBdr>
            <w:top w:val="none" w:sz="0" w:space="0" w:color="auto"/>
            <w:left w:val="none" w:sz="0" w:space="0" w:color="auto"/>
            <w:bottom w:val="none" w:sz="0" w:space="0" w:color="auto"/>
            <w:right w:val="none" w:sz="0" w:space="0" w:color="auto"/>
          </w:divBdr>
        </w:div>
        <w:div w:id="1296372227">
          <w:marLeft w:val="480"/>
          <w:marRight w:val="0"/>
          <w:marTop w:val="0"/>
          <w:marBottom w:val="0"/>
          <w:divBdr>
            <w:top w:val="none" w:sz="0" w:space="0" w:color="auto"/>
            <w:left w:val="none" w:sz="0" w:space="0" w:color="auto"/>
            <w:bottom w:val="none" w:sz="0" w:space="0" w:color="auto"/>
            <w:right w:val="none" w:sz="0" w:space="0" w:color="auto"/>
          </w:divBdr>
        </w:div>
        <w:div w:id="673652067">
          <w:marLeft w:val="480"/>
          <w:marRight w:val="0"/>
          <w:marTop w:val="0"/>
          <w:marBottom w:val="0"/>
          <w:divBdr>
            <w:top w:val="none" w:sz="0" w:space="0" w:color="auto"/>
            <w:left w:val="none" w:sz="0" w:space="0" w:color="auto"/>
            <w:bottom w:val="none" w:sz="0" w:space="0" w:color="auto"/>
            <w:right w:val="none" w:sz="0" w:space="0" w:color="auto"/>
          </w:divBdr>
        </w:div>
        <w:div w:id="1202356191">
          <w:marLeft w:val="480"/>
          <w:marRight w:val="0"/>
          <w:marTop w:val="0"/>
          <w:marBottom w:val="0"/>
          <w:divBdr>
            <w:top w:val="none" w:sz="0" w:space="0" w:color="auto"/>
            <w:left w:val="none" w:sz="0" w:space="0" w:color="auto"/>
            <w:bottom w:val="none" w:sz="0" w:space="0" w:color="auto"/>
            <w:right w:val="none" w:sz="0" w:space="0" w:color="auto"/>
          </w:divBdr>
        </w:div>
        <w:div w:id="1989673171">
          <w:marLeft w:val="480"/>
          <w:marRight w:val="0"/>
          <w:marTop w:val="0"/>
          <w:marBottom w:val="0"/>
          <w:divBdr>
            <w:top w:val="none" w:sz="0" w:space="0" w:color="auto"/>
            <w:left w:val="none" w:sz="0" w:space="0" w:color="auto"/>
            <w:bottom w:val="none" w:sz="0" w:space="0" w:color="auto"/>
            <w:right w:val="none" w:sz="0" w:space="0" w:color="auto"/>
          </w:divBdr>
        </w:div>
        <w:div w:id="750126464">
          <w:marLeft w:val="480"/>
          <w:marRight w:val="0"/>
          <w:marTop w:val="0"/>
          <w:marBottom w:val="0"/>
          <w:divBdr>
            <w:top w:val="none" w:sz="0" w:space="0" w:color="auto"/>
            <w:left w:val="none" w:sz="0" w:space="0" w:color="auto"/>
            <w:bottom w:val="none" w:sz="0" w:space="0" w:color="auto"/>
            <w:right w:val="none" w:sz="0" w:space="0" w:color="auto"/>
          </w:divBdr>
        </w:div>
        <w:div w:id="2130782193">
          <w:marLeft w:val="480"/>
          <w:marRight w:val="0"/>
          <w:marTop w:val="0"/>
          <w:marBottom w:val="0"/>
          <w:divBdr>
            <w:top w:val="none" w:sz="0" w:space="0" w:color="auto"/>
            <w:left w:val="none" w:sz="0" w:space="0" w:color="auto"/>
            <w:bottom w:val="none" w:sz="0" w:space="0" w:color="auto"/>
            <w:right w:val="none" w:sz="0" w:space="0" w:color="auto"/>
          </w:divBdr>
        </w:div>
        <w:div w:id="1466777770">
          <w:marLeft w:val="480"/>
          <w:marRight w:val="0"/>
          <w:marTop w:val="0"/>
          <w:marBottom w:val="0"/>
          <w:divBdr>
            <w:top w:val="none" w:sz="0" w:space="0" w:color="auto"/>
            <w:left w:val="none" w:sz="0" w:space="0" w:color="auto"/>
            <w:bottom w:val="none" w:sz="0" w:space="0" w:color="auto"/>
            <w:right w:val="none" w:sz="0" w:space="0" w:color="auto"/>
          </w:divBdr>
        </w:div>
        <w:div w:id="120001094">
          <w:marLeft w:val="480"/>
          <w:marRight w:val="0"/>
          <w:marTop w:val="0"/>
          <w:marBottom w:val="0"/>
          <w:divBdr>
            <w:top w:val="none" w:sz="0" w:space="0" w:color="auto"/>
            <w:left w:val="none" w:sz="0" w:space="0" w:color="auto"/>
            <w:bottom w:val="none" w:sz="0" w:space="0" w:color="auto"/>
            <w:right w:val="none" w:sz="0" w:space="0" w:color="auto"/>
          </w:divBdr>
        </w:div>
        <w:div w:id="194931978">
          <w:marLeft w:val="480"/>
          <w:marRight w:val="0"/>
          <w:marTop w:val="0"/>
          <w:marBottom w:val="0"/>
          <w:divBdr>
            <w:top w:val="none" w:sz="0" w:space="0" w:color="auto"/>
            <w:left w:val="none" w:sz="0" w:space="0" w:color="auto"/>
            <w:bottom w:val="none" w:sz="0" w:space="0" w:color="auto"/>
            <w:right w:val="none" w:sz="0" w:space="0" w:color="auto"/>
          </w:divBdr>
        </w:div>
        <w:div w:id="151720065">
          <w:marLeft w:val="480"/>
          <w:marRight w:val="0"/>
          <w:marTop w:val="0"/>
          <w:marBottom w:val="0"/>
          <w:divBdr>
            <w:top w:val="none" w:sz="0" w:space="0" w:color="auto"/>
            <w:left w:val="none" w:sz="0" w:space="0" w:color="auto"/>
            <w:bottom w:val="none" w:sz="0" w:space="0" w:color="auto"/>
            <w:right w:val="none" w:sz="0" w:space="0" w:color="auto"/>
          </w:divBdr>
        </w:div>
        <w:div w:id="414936867">
          <w:marLeft w:val="480"/>
          <w:marRight w:val="0"/>
          <w:marTop w:val="0"/>
          <w:marBottom w:val="0"/>
          <w:divBdr>
            <w:top w:val="none" w:sz="0" w:space="0" w:color="auto"/>
            <w:left w:val="none" w:sz="0" w:space="0" w:color="auto"/>
            <w:bottom w:val="none" w:sz="0" w:space="0" w:color="auto"/>
            <w:right w:val="none" w:sz="0" w:space="0" w:color="auto"/>
          </w:divBdr>
        </w:div>
        <w:div w:id="1497726428">
          <w:marLeft w:val="480"/>
          <w:marRight w:val="0"/>
          <w:marTop w:val="0"/>
          <w:marBottom w:val="0"/>
          <w:divBdr>
            <w:top w:val="none" w:sz="0" w:space="0" w:color="auto"/>
            <w:left w:val="none" w:sz="0" w:space="0" w:color="auto"/>
            <w:bottom w:val="none" w:sz="0" w:space="0" w:color="auto"/>
            <w:right w:val="none" w:sz="0" w:space="0" w:color="auto"/>
          </w:divBdr>
        </w:div>
        <w:div w:id="207114258">
          <w:marLeft w:val="480"/>
          <w:marRight w:val="0"/>
          <w:marTop w:val="0"/>
          <w:marBottom w:val="0"/>
          <w:divBdr>
            <w:top w:val="none" w:sz="0" w:space="0" w:color="auto"/>
            <w:left w:val="none" w:sz="0" w:space="0" w:color="auto"/>
            <w:bottom w:val="none" w:sz="0" w:space="0" w:color="auto"/>
            <w:right w:val="none" w:sz="0" w:space="0" w:color="auto"/>
          </w:divBdr>
        </w:div>
        <w:div w:id="806439778">
          <w:marLeft w:val="480"/>
          <w:marRight w:val="0"/>
          <w:marTop w:val="0"/>
          <w:marBottom w:val="0"/>
          <w:divBdr>
            <w:top w:val="none" w:sz="0" w:space="0" w:color="auto"/>
            <w:left w:val="none" w:sz="0" w:space="0" w:color="auto"/>
            <w:bottom w:val="none" w:sz="0" w:space="0" w:color="auto"/>
            <w:right w:val="none" w:sz="0" w:space="0" w:color="auto"/>
          </w:divBdr>
        </w:div>
        <w:div w:id="798063820">
          <w:marLeft w:val="480"/>
          <w:marRight w:val="0"/>
          <w:marTop w:val="0"/>
          <w:marBottom w:val="0"/>
          <w:divBdr>
            <w:top w:val="none" w:sz="0" w:space="0" w:color="auto"/>
            <w:left w:val="none" w:sz="0" w:space="0" w:color="auto"/>
            <w:bottom w:val="none" w:sz="0" w:space="0" w:color="auto"/>
            <w:right w:val="none" w:sz="0" w:space="0" w:color="auto"/>
          </w:divBdr>
        </w:div>
        <w:div w:id="446201645">
          <w:marLeft w:val="480"/>
          <w:marRight w:val="0"/>
          <w:marTop w:val="0"/>
          <w:marBottom w:val="0"/>
          <w:divBdr>
            <w:top w:val="none" w:sz="0" w:space="0" w:color="auto"/>
            <w:left w:val="none" w:sz="0" w:space="0" w:color="auto"/>
            <w:bottom w:val="none" w:sz="0" w:space="0" w:color="auto"/>
            <w:right w:val="none" w:sz="0" w:space="0" w:color="auto"/>
          </w:divBdr>
        </w:div>
        <w:div w:id="1978802931">
          <w:marLeft w:val="480"/>
          <w:marRight w:val="0"/>
          <w:marTop w:val="0"/>
          <w:marBottom w:val="0"/>
          <w:divBdr>
            <w:top w:val="none" w:sz="0" w:space="0" w:color="auto"/>
            <w:left w:val="none" w:sz="0" w:space="0" w:color="auto"/>
            <w:bottom w:val="none" w:sz="0" w:space="0" w:color="auto"/>
            <w:right w:val="none" w:sz="0" w:space="0" w:color="auto"/>
          </w:divBdr>
        </w:div>
        <w:div w:id="1082918168">
          <w:marLeft w:val="480"/>
          <w:marRight w:val="0"/>
          <w:marTop w:val="0"/>
          <w:marBottom w:val="0"/>
          <w:divBdr>
            <w:top w:val="none" w:sz="0" w:space="0" w:color="auto"/>
            <w:left w:val="none" w:sz="0" w:space="0" w:color="auto"/>
            <w:bottom w:val="none" w:sz="0" w:space="0" w:color="auto"/>
            <w:right w:val="none" w:sz="0" w:space="0" w:color="auto"/>
          </w:divBdr>
        </w:div>
        <w:div w:id="61488253">
          <w:marLeft w:val="480"/>
          <w:marRight w:val="0"/>
          <w:marTop w:val="0"/>
          <w:marBottom w:val="0"/>
          <w:divBdr>
            <w:top w:val="none" w:sz="0" w:space="0" w:color="auto"/>
            <w:left w:val="none" w:sz="0" w:space="0" w:color="auto"/>
            <w:bottom w:val="none" w:sz="0" w:space="0" w:color="auto"/>
            <w:right w:val="none" w:sz="0" w:space="0" w:color="auto"/>
          </w:divBdr>
        </w:div>
        <w:div w:id="198124602">
          <w:marLeft w:val="480"/>
          <w:marRight w:val="0"/>
          <w:marTop w:val="0"/>
          <w:marBottom w:val="0"/>
          <w:divBdr>
            <w:top w:val="none" w:sz="0" w:space="0" w:color="auto"/>
            <w:left w:val="none" w:sz="0" w:space="0" w:color="auto"/>
            <w:bottom w:val="none" w:sz="0" w:space="0" w:color="auto"/>
            <w:right w:val="none" w:sz="0" w:space="0" w:color="auto"/>
          </w:divBdr>
        </w:div>
        <w:div w:id="2016298052">
          <w:marLeft w:val="480"/>
          <w:marRight w:val="0"/>
          <w:marTop w:val="0"/>
          <w:marBottom w:val="0"/>
          <w:divBdr>
            <w:top w:val="none" w:sz="0" w:space="0" w:color="auto"/>
            <w:left w:val="none" w:sz="0" w:space="0" w:color="auto"/>
            <w:bottom w:val="none" w:sz="0" w:space="0" w:color="auto"/>
            <w:right w:val="none" w:sz="0" w:space="0" w:color="auto"/>
          </w:divBdr>
        </w:div>
        <w:div w:id="2092465256">
          <w:marLeft w:val="480"/>
          <w:marRight w:val="0"/>
          <w:marTop w:val="0"/>
          <w:marBottom w:val="0"/>
          <w:divBdr>
            <w:top w:val="none" w:sz="0" w:space="0" w:color="auto"/>
            <w:left w:val="none" w:sz="0" w:space="0" w:color="auto"/>
            <w:bottom w:val="none" w:sz="0" w:space="0" w:color="auto"/>
            <w:right w:val="none" w:sz="0" w:space="0" w:color="auto"/>
          </w:divBdr>
        </w:div>
        <w:div w:id="369230226">
          <w:marLeft w:val="480"/>
          <w:marRight w:val="0"/>
          <w:marTop w:val="0"/>
          <w:marBottom w:val="0"/>
          <w:divBdr>
            <w:top w:val="none" w:sz="0" w:space="0" w:color="auto"/>
            <w:left w:val="none" w:sz="0" w:space="0" w:color="auto"/>
            <w:bottom w:val="none" w:sz="0" w:space="0" w:color="auto"/>
            <w:right w:val="none" w:sz="0" w:space="0" w:color="auto"/>
          </w:divBdr>
        </w:div>
        <w:div w:id="1737975660">
          <w:marLeft w:val="480"/>
          <w:marRight w:val="0"/>
          <w:marTop w:val="0"/>
          <w:marBottom w:val="0"/>
          <w:divBdr>
            <w:top w:val="none" w:sz="0" w:space="0" w:color="auto"/>
            <w:left w:val="none" w:sz="0" w:space="0" w:color="auto"/>
            <w:bottom w:val="none" w:sz="0" w:space="0" w:color="auto"/>
            <w:right w:val="none" w:sz="0" w:space="0" w:color="auto"/>
          </w:divBdr>
        </w:div>
        <w:div w:id="363293459">
          <w:marLeft w:val="480"/>
          <w:marRight w:val="0"/>
          <w:marTop w:val="0"/>
          <w:marBottom w:val="0"/>
          <w:divBdr>
            <w:top w:val="none" w:sz="0" w:space="0" w:color="auto"/>
            <w:left w:val="none" w:sz="0" w:space="0" w:color="auto"/>
            <w:bottom w:val="none" w:sz="0" w:space="0" w:color="auto"/>
            <w:right w:val="none" w:sz="0" w:space="0" w:color="auto"/>
          </w:divBdr>
        </w:div>
        <w:div w:id="483477375">
          <w:marLeft w:val="480"/>
          <w:marRight w:val="0"/>
          <w:marTop w:val="0"/>
          <w:marBottom w:val="0"/>
          <w:divBdr>
            <w:top w:val="none" w:sz="0" w:space="0" w:color="auto"/>
            <w:left w:val="none" w:sz="0" w:space="0" w:color="auto"/>
            <w:bottom w:val="none" w:sz="0" w:space="0" w:color="auto"/>
            <w:right w:val="none" w:sz="0" w:space="0" w:color="auto"/>
          </w:divBdr>
        </w:div>
        <w:div w:id="2116559397">
          <w:marLeft w:val="480"/>
          <w:marRight w:val="0"/>
          <w:marTop w:val="0"/>
          <w:marBottom w:val="0"/>
          <w:divBdr>
            <w:top w:val="none" w:sz="0" w:space="0" w:color="auto"/>
            <w:left w:val="none" w:sz="0" w:space="0" w:color="auto"/>
            <w:bottom w:val="none" w:sz="0" w:space="0" w:color="auto"/>
            <w:right w:val="none" w:sz="0" w:space="0" w:color="auto"/>
          </w:divBdr>
        </w:div>
        <w:div w:id="1746566604">
          <w:marLeft w:val="480"/>
          <w:marRight w:val="0"/>
          <w:marTop w:val="0"/>
          <w:marBottom w:val="0"/>
          <w:divBdr>
            <w:top w:val="none" w:sz="0" w:space="0" w:color="auto"/>
            <w:left w:val="none" w:sz="0" w:space="0" w:color="auto"/>
            <w:bottom w:val="none" w:sz="0" w:space="0" w:color="auto"/>
            <w:right w:val="none" w:sz="0" w:space="0" w:color="auto"/>
          </w:divBdr>
        </w:div>
        <w:div w:id="590241838">
          <w:marLeft w:val="480"/>
          <w:marRight w:val="0"/>
          <w:marTop w:val="0"/>
          <w:marBottom w:val="0"/>
          <w:divBdr>
            <w:top w:val="none" w:sz="0" w:space="0" w:color="auto"/>
            <w:left w:val="none" w:sz="0" w:space="0" w:color="auto"/>
            <w:bottom w:val="none" w:sz="0" w:space="0" w:color="auto"/>
            <w:right w:val="none" w:sz="0" w:space="0" w:color="auto"/>
          </w:divBdr>
        </w:div>
        <w:div w:id="717318148">
          <w:marLeft w:val="480"/>
          <w:marRight w:val="0"/>
          <w:marTop w:val="0"/>
          <w:marBottom w:val="0"/>
          <w:divBdr>
            <w:top w:val="none" w:sz="0" w:space="0" w:color="auto"/>
            <w:left w:val="none" w:sz="0" w:space="0" w:color="auto"/>
            <w:bottom w:val="none" w:sz="0" w:space="0" w:color="auto"/>
            <w:right w:val="none" w:sz="0" w:space="0" w:color="auto"/>
          </w:divBdr>
        </w:div>
        <w:div w:id="543714600">
          <w:marLeft w:val="480"/>
          <w:marRight w:val="0"/>
          <w:marTop w:val="0"/>
          <w:marBottom w:val="0"/>
          <w:divBdr>
            <w:top w:val="none" w:sz="0" w:space="0" w:color="auto"/>
            <w:left w:val="none" w:sz="0" w:space="0" w:color="auto"/>
            <w:bottom w:val="none" w:sz="0" w:space="0" w:color="auto"/>
            <w:right w:val="none" w:sz="0" w:space="0" w:color="auto"/>
          </w:divBdr>
        </w:div>
        <w:div w:id="812911837">
          <w:marLeft w:val="480"/>
          <w:marRight w:val="0"/>
          <w:marTop w:val="0"/>
          <w:marBottom w:val="0"/>
          <w:divBdr>
            <w:top w:val="none" w:sz="0" w:space="0" w:color="auto"/>
            <w:left w:val="none" w:sz="0" w:space="0" w:color="auto"/>
            <w:bottom w:val="none" w:sz="0" w:space="0" w:color="auto"/>
            <w:right w:val="none" w:sz="0" w:space="0" w:color="auto"/>
          </w:divBdr>
        </w:div>
        <w:div w:id="1806194798">
          <w:marLeft w:val="480"/>
          <w:marRight w:val="0"/>
          <w:marTop w:val="0"/>
          <w:marBottom w:val="0"/>
          <w:divBdr>
            <w:top w:val="none" w:sz="0" w:space="0" w:color="auto"/>
            <w:left w:val="none" w:sz="0" w:space="0" w:color="auto"/>
            <w:bottom w:val="none" w:sz="0" w:space="0" w:color="auto"/>
            <w:right w:val="none" w:sz="0" w:space="0" w:color="auto"/>
          </w:divBdr>
        </w:div>
        <w:div w:id="638531250">
          <w:marLeft w:val="480"/>
          <w:marRight w:val="0"/>
          <w:marTop w:val="0"/>
          <w:marBottom w:val="0"/>
          <w:divBdr>
            <w:top w:val="none" w:sz="0" w:space="0" w:color="auto"/>
            <w:left w:val="none" w:sz="0" w:space="0" w:color="auto"/>
            <w:bottom w:val="none" w:sz="0" w:space="0" w:color="auto"/>
            <w:right w:val="none" w:sz="0" w:space="0" w:color="auto"/>
          </w:divBdr>
        </w:div>
        <w:div w:id="689179565">
          <w:marLeft w:val="480"/>
          <w:marRight w:val="0"/>
          <w:marTop w:val="0"/>
          <w:marBottom w:val="0"/>
          <w:divBdr>
            <w:top w:val="none" w:sz="0" w:space="0" w:color="auto"/>
            <w:left w:val="none" w:sz="0" w:space="0" w:color="auto"/>
            <w:bottom w:val="none" w:sz="0" w:space="0" w:color="auto"/>
            <w:right w:val="none" w:sz="0" w:space="0" w:color="auto"/>
          </w:divBdr>
        </w:div>
        <w:div w:id="180242313">
          <w:marLeft w:val="480"/>
          <w:marRight w:val="0"/>
          <w:marTop w:val="0"/>
          <w:marBottom w:val="0"/>
          <w:divBdr>
            <w:top w:val="none" w:sz="0" w:space="0" w:color="auto"/>
            <w:left w:val="none" w:sz="0" w:space="0" w:color="auto"/>
            <w:bottom w:val="none" w:sz="0" w:space="0" w:color="auto"/>
            <w:right w:val="none" w:sz="0" w:space="0" w:color="auto"/>
          </w:divBdr>
        </w:div>
        <w:div w:id="1275553658">
          <w:marLeft w:val="480"/>
          <w:marRight w:val="0"/>
          <w:marTop w:val="0"/>
          <w:marBottom w:val="0"/>
          <w:divBdr>
            <w:top w:val="none" w:sz="0" w:space="0" w:color="auto"/>
            <w:left w:val="none" w:sz="0" w:space="0" w:color="auto"/>
            <w:bottom w:val="none" w:sz="0" w:space="0" w:color="auto"/>
            <w:right w:val="none" w:sz="0" w:space="0" w:color="auto"/>
          </w:divBdr>
        </w:div>
        <w:div w:id="761688202">
          <w:marLeft w:val="480"/>
          <w:marRight w:val="0"/>
          <w:marTop w:val="0"/>
          <w:marBottom w:val="0"/>
          <w:divBdr>
            <w:top w:val="none" w:sz="0" w:space="0" w:color="auto"/>
            <w:left w:val="none" w:sz="0" w:space="0" w:color="auto"/>
            <w:bottom w:val="none" w:sz="0" w:space="0" w:color="auto"/>
            <w:right w:val="none" w:sz="0" w:space="0" w:color="auto"/>
          </w:divBdr>
        </w:div>
        <w:div w:id="75984078">
          <w:marLeft w:val="480"/>
          <w:marRight w:val="0"/>
          <w:marTop w:val="0"/>
          <w:marBottom w:val="0"/>
          <w:divBdr>
            <w:top w:val="none" w:sz="0" w:space="0" w:color="auto"/>
            <w:left w:val="none" w:sz="0" w:space="0" w:color="auto"/>
            <w:bottom w:val="none" w:sz="0" w:space="0" w:color="auto"/>
            <w:right w:val="none" w:sz="0" w:space="0" w:color="auto"/>
          </w:divBdr>
        </w:div>
        <w:div w:id="633876485">
          <w:marLeft w:val="480"/>
          <w:marRight w:val="0"/>
          <w:marTop w:val="0"/>
          <w:marBottom w:val="0"/>
          <w:divBdr>
            <w:top w:val="none" w:sz="0" w:space="0" w:color="auto"/>
            <w:left w:val="none" w:sz="0" w:space="0" w:color="auto"/>
            <w:bottom w:val="none" w:sz="0" w:space="0" w:color="auto"/>
            <w:right w:val="none" w:sz="0" w:space="0" w:color="auto"/>
          </w:divBdr>
        </w:div>
        <w:div w:id="1748724501">
          <w:marLeft w:val="480"/>
          <w:marRight w:val="0"/>
          <w:marTop w:val="0"/>
          <w:marBottom w:val="0"/>
          <w:divBdr>
            <w:top w:val="none" w:sz="0" w:space="0" w:color="auto"/>
            <w:left w:val="none" w:sz="0" w:space="0" w:color="auto"/>
            <w:bottom w:val="none" w:sz="0" w:space="0" w:color="auto"/>
            <w:right w:val="none" w:sz="0" w:space="0" w:color="auto"/>
          </w:divBdr>
        </w:div>
        <w:div w:id="1600873528">
          <w:marLeft w:val="480"/>
          <w:marRight w:val="0"/>
          <w:marTop w:val="0"/>
          <w:marBottom w:val="0"/>
          <w:divBdr>
            <w:top w:val="none" w:sz="0" w:space="0" w:color="auto"/>
            <w:left w:val="none" w:sz="0" w:space="0" w:color="auto"/>
            <w:bottom w:val="none" w:sz="0" w:space="0" w:color="auto"/>
            <w:right w:val="none" w:sz="0" w:space="0" w:color="auto"/>
          </w:divBdr>
        </w:div>
        <w:div w:id="881210544">
          <w:marLeft w:val="480"/>
          <w:marRight w:val="0"/>
          <w:marTop w:val="0"/>
          <w:marBottom w:val="0"/>
          <w:divBdr>
            <w:top w:val="none" w:sz="0" w:space="0" w:color="auto"/>
            <w:left w:val="none" w:sz="0" w:space="0" w:color="auto"/>
            <w:bottom w:val="none" w:sz="0" w:space="0" w:color="auto"/>
            <w:right w:val="none" w:sz="0" w:space="0" w:color="auto"/>
          </w:divBdr>
        </w:div>
        <w:div w:id="673725607">
          <w:marLeft w:val="480"/>
          <w:marRight w:val="0"/>
          <w:marTop w:val="0"/>
          <w:marBottom w:val="0"/>
          <w:divBdr>
            <w:top w:val="none" w:sz="0" w:space="0" w:color="auto"/>
            <w:left w:val="none" w:sz="0" w:space="0" w:color="auto"/>
            <w:bottom w:val="none" w:sz="0" w:space="0" w:color="auto"/>
            <w:right w:val="none" w:sz="0" w:space="0" w:color="auto"/>
          </w:divBdr>
        </w:div>
        <w:div w:id="744884839">
          <w:marLeft w:val="480"/>
          <w:marRight w:val="0"/>
          <w:marTop w:val="0"/>
          <w:marBottom w:val="0"/>
          <w:divBdr>
            <w:top w:val="none" w:sz="0" w:space="0" w:color="auto"/>
            <w:left w:val="none" w:sz="0" w:space="0" w:color="auto"/>
            <w:bottom w:val="none" w:sz="0" w:space="0" w:color="auto"/>
            <w:right w:val="none" w:sz="0" w:space="0" w:color="auto"/>
          </w:divBdr>
        </w:div>
        <w:div w:id="321399363">
          <w:marLeft w:val="480"/>
          <w:marRight w:val="0"/>
          <w:marTop w:val="0"/>
          <w:marBottom w:val="0"/>
          <w:divBdr>
            <w:top w:val="none" w:sz="0" w:space="0" w:color="auto"/>
            <w:left w:val="none" w:sz="0" w:space="0" w:color="auto"/>
            <w:bottom w:val="none" w:sz="0" w:space="0" w:color="auto"/>
            <w:right w:val="none" w:sz="0" w:space="0" w:color="auto"/>
          </w:divBdr>
        </w:div>
        <w:div w:id="1903245682">
          <w:marLeft w:val="480"/>
          <w:marRight w:val="0"/>
          <w:marTop w:val="0"/>
          <w:marBottom w:val="0"/>
          <w:divBdr>
            <w:top w:val="none" w:sz="0" w:space="0" w:color="auto"/>
            <w:left w:val="none" w:sz="0" w:space="0" w:color="auto"/>
            <w:bottom w:val="none" w:sz="0" w:space="0" w:color="auto"/>
            <w:right w:val="none" w:sz="0" w:space="0" w:color="auto"/>
          </w:divBdr>
        </w:div>
        <w:div w:id="1339237119">
          <w:marLeft w:val="480"/>
          <w:marRight w:val="0"/>
          <w:marTop w:val="0"/>
          <w:marBottom w:val="0"/>
          <w:divBdr>
            <w:top w:val="none" w:sz="0" w:space="0" w:color="auto"/>
            <w:left w:val="none" w:sz="0" w:space="0" w:color="auto"/>
            <w:bottom w:val="none" w:sz="0" w:space="0" w:color="auto"/>
            <w:right w:val="none" w:sz="0" w:space="0" w:color="auto"/>
          </w:divBdr>
        </w:div>
        <w:div w:id="2077362619">
          <w:marLeft w:val="480"/>
          <w:marRight w:val="0"/>
          <w:marTop w:val="0"/>
          <w:marBottom w:val="0"/>
          <w:divBdr>
            <w:top w:val="none" w:sz="0" w:space="0" w:color="auto"/>
            <w:left w:val="none" w:sz="0" w:space="0" w:color="auto"/>
            <w:bottom w:val="none" w:sz="0" w:space="0" w:color="auto"/>
            <w:right w:val="none" w:sz="0" w:space="0" w:color="auto"/>
          </w:divBdr>
        </w:div>
        <w:div w:id="266085173">
          <w:marLeft w:val="480"/>
          <w:marRight w:val="0"/>
          <w:marTop w:val="0"/>
          <w:marBottom w:val="0"/>
          <w:divBdr>
            <w:top w:val="none" w:sz="0" w:space="0" w:color="auto"/>
            <w:left w:val="none" w:sz="0" w:space="0" w:color="auto"/>
            <w:bottom w:val="none" w:sz="0" w:space="0" w:color="auto"/>
            <w:right w:val="none" w:sz="0" w:space="0" w:color="auto"/>
          </w:divBdr>
        </w:div>
        <w:div w:id="548802823">
          <w:marLeft w:val="480"/>
          <w:marRight w:val="0"/>
          <w:marTop w:val="0"/>
          <w:marBottom w:val="0"/>
          <w:divBdr>
            <w:top w:val="none" w:sz="0" w:space="0" w:color="auto"/>
            <w:left w:val="none" w:sz="0" w:space="0" w:color="auto"/>
            <w:bottom w:val="none" w:sz="0" w:space="0" w:color="auto"/>
            <w:right w:val="none" w:sz="0" w:space="0" w:color="auto"/>
          </w:divBdr>
        </w:div>
        <w:div w:id="789276412">
          <w:marLeft w:val="480"/>
          <w:marRight w:val="0"/>
          <w:marTop w:val="0"/>
          <w:marBottom w:val="0"/>
          <w:divBdr>
            <w:top w:val="none" w:sz="0" w:space="0" w:color="auto"/>
            <w:left w:val="none" w:sz="0" w:space="0" w:color="auto"/>
            <w:bottom w:val="none" w:sz="0" w:space="0" w:color="auto"/>
            <w:right w:val="none" w:sz="0" w:space="0" w:color="auto"/>
          </w:divBdr>
        </w:div>
        <w:div w:id="134953982">
          <w:marLeft w:val="480"/>
          <w:marRight w:val="0"/>
          <w:marTop w:val="0"/>
          <w:marBottom w:val="0"/>
          <w:divBdr>
            <w:top w:val="none" w:sz="0" w:space="0" w:color="auto"/>
            <w:left w:val="none" w:sz="0" w:space="0" w:color="auto"/>
            <w:bottom w:val="none" w:sz="0" w:space="0" w:color="auto"/>
            <w:right w:val="none" w:sz="0" w:space="0" w:color="auto"/>
          </w:divBdr>
        </w:div>
        <w:div w:id="1807965870">
          <w:marLeft w:val="480"/>
          <w:marRight w:val="0"/>
          <w:marTop w:val="0"/>
          <w:marBottom w:val="0"/>
          <w:divBdr>
            <w:top w:val="none" w:sz="0" w:space="0" w:color="auto"/>
            <w:left w:val="none" w:sz="0" w:space="0" w:color="auto"/>
            <w:bottom w:val="none" w:sz="0" w:space="0" w:color="auto"/>
            <w:right w:val="none" w:sz="0" w:space="0" w:color="auto"/>
          </w:divBdr>
        </w:div>
        <w:div w:id="1853179342">
          <w:marLeft w:val="480"/>
          <w:marRight w:val="0"/>
          <w:marTop w:val="0"/>
          <w:marBottom w:val="0"/>
          <w:divBdr>
            <w:top w:val="none" w:sz="0" w:space="0" w:color="auto"/>
            <w:left w:val="none" w:sz="0" w:space="0" w:color="auto"/>
            <w:bottom w:val="none" w:sz="0" w:space="0" w:color="auto"/>
            <w:right w:val="none" w:sz="0" w:space="0" w:color="auto"/>
          </w:divBdr>
        </w:div>
        <w:div w:id="1989046354">
          <w:marLeft w:val="480"/>
          <w:marRight w:val="0"/>
          <w:marTop w:val="0"/>
          <w:marBottom w:val="0"/>
          <w:divBdr>
            <w:top w:val="none" w:sz="0" w:space="0" w:color="auto"/>
            <w:left w:val="none" w:sz="0" w:space="0" w:color="auto"/>
            <w:bottom w:val="none" w:sz="0" w:space="0" w:color="auto"/>
            <w:right w:val="none" w:sz="0" w:space="0" w:color="auto"/>
          </w:divBdr>
        </w:div>
        <w:div w:id="1760521573">
          <w:marLeft w:val="480"/>
          <w:marRight w:val="0"/>
          <w:marTop w:val="0"/>
          <w:marBottom w:val="0"/>
          <w:divBdr>
            <w:top w:val="none" w:sz="0" w:space="0" w:color="auto"/>
            <w:left w:val="none" w:sz="0" w:space="0" w:color="auto"/>
            <w:bottom w:val="none" w:sz="0" w:space="0" w:color="auto"/>
            <w:right w:val="none" w:sz="0" w:space="0" w:color="auto"/>
          </w:divBdr>
        </w:div>
        <w:div w:id="698551872">
          <w:marLeft w:val="480"/>
          <w:marRight w:val="0"/>
          <w:marTop w:val="0"/>
          <w:marBottom w:val="0"/>
          <w:divBdr>
            <w:top w:val="none" w:sz="0" w:space="0" w:color="auto"/>
            <w:left w:val="none" w:sz="0" w:space="0" w:color="auto"/>
            <w:bottom w:val="none" w:sz="0" w:space="0" w:color="auto"/>
            <w:right w:val="none" w:sz="0" w:space="0" w:color="auto"/>
          </w:divBdr>
        </w:div>
        <w:div w:id="1563053646">
          <w:marLeft w:val="480"/>
          <w:marRight w:val="0"/>
          <w:marTop w:val="0"/>
          <w:marBottom w:val="0"/>
          <w:divBdr>
            <w:top w:val="none" w:sz="0" w:space="0" w:color="auto"/>
            <w:left w:val="none" w:sz="0" w:space="0" w:color="auto"/>
            <w:bottom w:val="none" w:sz="0" w:space="0" w:color="auto"/>
            <w:right w:val="none" w:sz="0" w:space="0" w:color="auto"/>
          </w:divBdr>
        </w:div>
        <w:div w:id="526215213">
          <w:marLeft w:val="480"/>
          <w:marRight w:val="0"/>
          <w:marTop w:val="0"/>
          <w:marBottom w:val="0"/>
          <w:divBdr>
            <w:top w:val="none" w:sz="0" w:space="0" w:color="auto"/>
            <w:left w:val="none" w:sz="0" w:space="0" w:color="auto"/>
            <w:bottom w:val="none" w:sz="0" w:space="0" w:color="auto"/>
            <w:right w:val="none" w:sz="0" w:space="0" w:color="auto"/>
          </w:divBdr>
        </w:div>
        <w:div w:id="821384404">
          <w:marLeft w:val="480"/>
          <w:marRight w:val="0"/>
          <w:marTop w:val="0"/>
          <w:marBottom w:val="0"/>
          <w:divBdr>
            <w:top w:val="none" w:sz="0" w:space="0" w:color="auto"/>
            <w:left w:val="none" w:sz="0" w:space="0" w:color="auto"/>
            <w:bottom w:val="none" w:sz="0" w:space="0" w:color="auto"/>
            <w:right w:val="none" w:sz="0" w:space="0" w:color="auto"/>
          </w:divBdr>
        </w:div>
        <w:div w:id="1451314844">
          <w:marLeft w:val="480"/>
          <w:marRight w:val="0"/>
          <w:marTop w:val="0"/>
          <w:marBottom w:val="0"/>
          <w:divBdr>
            <w:top w:val="none" w:sz="0" w:space="0" w:color="auto"/>
            <w:left w:val="none" w:sz="0" w:space="0" w:color="auto"/>
            <w:bottom w:val="none" w:sz="0" w:space="0" w:color="auto"/>
            <w:right w:val="none" w:sz="0" w:space="0" w:color="auto"/>
          </w:divBdr>
        </w:div>
        <w:div w:id="538706788">
          <w:marLeft w:val="480"/>
          <w:marRight w:val="0"/>
          <w:marTop w:val="0"/>
          <w:marBottom w:val="0"/>
          <w:divBdr>
            <w:top w:val="none" w:sz="0" w:space="0" w:color="auto"/>
            <w:left w:val="none" w:sz="0" w:space="0" w:color="auto"/>
            <w:bottom w:val="none" w:sz="0" w:space="0" w:color="auto"/>
            <w:right w:val="none" w:sz="0" w:space="0" w:color="auto"/>
          </w:divBdr>
        </w:div>
        <w:div w:id="1571574658">
          <w:marLeft w:val="480"/>
          <w:marRight w:val="0"/>
          <w:marTop w:val="0"/>
          <w:marBottom w:val="0"/>
          <w:divBdr>
            <w:top w:val="none" w:sz="0" w:space="0" w:color="auto"/>
            <w:left w:val="none" w:sz="0" w:space="0" w:color="auto"/>
            <w:bottom w:val="none" w:sz="0" w:space="0" w:color="auto"/>
            <w:right w:val="none" w:sz="0" w:space="0" w:color="auto"/>
          </w:divBdr>
        </w:div>
        <w:div w:id="488130504">
          <w:marLeft w:val="480"/>
          <w:marRight w:val="0"/>
          <w:marTop w:val="0"/>
          <w:marBottom w:val="0"/>
          <w:divBdr>
            <w:top w:val="none" w:sz="0" w:space="0" w:color="auto"/>
            <w:left w:val="none" w:sz="0" w:space="0" w:color="auto"/>
            <w:bottom w:val="none" w:sz="0" w:space="0" w:color="auto"/>
            <w:right w:val="none" w:sz="0" w:space="0" w:color="auto"/>
          </w:divBdr>
        </w:div>
        <w:div w:id="1550728635">
          <w:marLeft w:val="480"/>
          <w:marRight w:val="0"/>
          <w:marTop w:val="0"/>
          <w:marBottom w:val="0"/>
          <w:divBdr>
            <w:top w:val="none" w:sz="0" w:space="0" w:color="auto"/>
            <w:left w:val="none" w:sz="0" w:space="0" w:color="auto"/>
            <w:bottom w:val="none" w:sz="0" w:space="0" w:color="auto"/>
            <w:right w:val="none" w:sz="0" w:space="0" w:color="auto"/>
          </w:divBdr>
        </w:div>
        <w:div w:id="757290015">
          <w:marLeft w:val="480"/>
          <w:marRight w:val="0"/>
          <w:marTop w:val="0"/>
          <w:marBottom w:val="0"/>
          <w:divBdr>
            <w:top w:val="none" w:sz="0" w:space="0" w:color="auto"/>
            <w:left w:val="none" w:sz="0" w:space="0" w:color="auto"/>
            <w:bottom w:val="none" w:sz="0" w:space="0" w:color="auto"/>
            <w:right w:val="none" w:sz="0" w:space="0" w:color="auto"/>
          </w:divBdr>
        </w:div>
        <w:div w:id="969630524">
          <w:marLeft w:val="480"/>
          <w:marRight w:val="0"/>
          <w:marTop w:val="0"/>
          <w:marBottom w:val="0"/>
          <w:divBdr>
            <w:top w:val="none" w:sz="0" w:space="0" w:color="auto"/>
            <w:left w:val="none" w:sz="0" w:space="0" w:color="auto"/>
            <w:bottom w:val="none" w:sz="0" w:space="0" w:color="auto"/>
            <w:right w:val="none" w:sz="0" w:space="0" w:color="auto"/>
          </w:divBdr>
        </w:div>
        <w:div w:id="1676689295">
          <w:marLeft w:val="480"/>
          <w:marRight w:val="0"/>
          <w:marTop w:val="0"/>
          <w:marBottom w:val="0"/>
          <w:divBdr>
            <w:top w:val="none" w:sz="0" w:space="0" w:color="auto"/>
            <w:left w:val="none" w:sz="0" w:space="0" w:color="auto"/>
            <w:bottom w:val="none" w:sz="0" w:space="0" w:color="auto"/>
            <w:right w:val="none" w:sz="0" w:space="0" w:color="auto"/>
          </w:divBdr>
        </w:div>
        <w:div w:id="96216198">
          <w:marLeft w:val="480"/>
          <w:marRight w:val="0"/>
          <w:marTop w:val="0"/>
          <w:marBottom w:val="0"/>
          <w:divBdr>
            <w:top w:val="none" w:sz="0" w:space="0" w:color="auto"/>
            <w:left w:val="none" w:sz="0" w:space="0" w:color="auto"/>
            <w:bottom w:val="none" w:sz="0" w:space="0" w:color="auto"/>
            <w:right w:val="none" w:sz="0" w:space="0" w:color="auto"/>
          </w:divBdr>
        </w:div>
        <w:div w:id="1949967739">
          <w:marLeft w:val="480"/>
          <w:marRight w:val="0"/>
          <w:marTop w:val="0"/>
          <w:marBottom w:val="0"/>
          <w:divBdr>
            <w:top w:val="none" w:sz="0" w:space="0" w:color="auto"/>
            <w:left w:val="none" w:sz="0" w:space="0" w:color="auto"/>
            <w:bottom w:val="none" w:sz="0" w:space="0" w:color="auto"/>
            <w:right w:val="none" w:sz="0" w:space="0" w:color="auto"/>
          </w:divBdr>
        </w:div>
        <w:div w:id="1167402955">
          <w:marLeft w:val="480"/>
          <w:marRight w:val="0"/>
          <w:marTop w:val="0"/>
          <w:marBottom w:val="0"/>
          <w:divBdr>
            <w:top w:val="none" w:sz="0" w:space="0" w:color="auto"/>
            <w:left w:val="none" w:sz="0" w:space="0" w:color="auto"/>
            <w:bottom w:val="none" w:sz="0" w:space="0" w:color="auto"/>
            <w:right w:val="none" w:sz="0" w:space="0" w:color="auto"/>
          </w:divBdr>
        </w:div>
        <w:div w:id="322662976">
          <w:marLeft w:val="480"/>
          <w:marRight w:val="0"/>
          <w:marTop w:val="0"/>
          <w:marBottom w:val="0"/>
          <w:divBdr>
            <w:top w:val="none" w:sz="0" w:space="0" w:color="auto"/>
            <w:left w:val="none" w:sz="0" w:space="0" w:color="auto"/>
            <w:bottom w:val="none" w:sz="0" w:space="0" w:color="auto"/>
            <w:right w:val="none" w:sz="0" w:space="0" w:color="auto"/>
          </w:divBdr>
        </w:div>
        <w:div w:id="1712223848">
          <w:marLeft w:val="480"/>
          <w:marRight w:val="0"/>
          <w:marTop w:val="0"/>
          <w:marBottom w:val="0"/>
          <w:divBdr>
            <w:top w:val="none" w:sz="0" w:space="0" w:color="auto"/>
            <w:left w:val="none" w:sz="0" w:space="0" w:color="auto"/>
            <w:bottom w:val="none" w:sz="0" w:space="0" w:color="auto"/>
            <w:right w:val="none" w:sz="0" w:space="0" w:color="auto"/>
          </w:divBdr>
        </w:div>
        <w:div w:id="2109159481">
          <w:marLeft w:val="480"/>
          <w:marRight w:val="0"/>
          <w:marTop w:val="0"/>
          <w:marBottom w:val="0"/>
          <w:divBdr>
            <w:top w:val="none" w:sz="0" w:space="0" w:color="auto"/>
            <w:left w:val="none" w:sz="0" w:space="0" w:color="auto"/>
            <w:bottom w:val="none" w:sz="0" w:space="0" w:color="auto"/>
            <w:right w:val="none" w:sz="0" w:space="0" w:color="auto"/>
          </w:divBdr>
        </w:div>
        <w:div w:id="2138910652">
          <w:marLeft w:val="480"/>
          <w:marRight w:val="0"/>
          <w:marTop w:val="0"/>
          <w:marBottom w:val="0"/>
          <w:divBdr>
            <w:top w:val="none" w:sz="0" w:space="0" w:color="auto"/>
            <w:left w:val="none" w:sz="0" w:space="0" w:color="auto"/>
            <w:bottom w:val="none" w:sz="0" w:space="0" w:color="auto"/>
            <w:right w:val="none" w:sz="0" w:space="0" w:color="auto"/>
          </w:divBdr>
        </w:div>
        <w:div w:id="1429229103">
          <w:marLeft w:val="480"/>
          <w:marRight w:val="0"/>
          <w:marTop w:val="0"/>
          <w:marBottom w:val="0"/>
          <w:divBdr>
            <w:top w:val="none" w:sz="0" w:space="0" w:color="auto"/>
            <w:left w:val="none" w:sz="0" w:space="0" w:color="auto"/>
            <w:bottom w:val="none" w:sz="0" w:space="0" w:color="auto"/>
            <w:right w:val="none" w:sz="0" w:space="0" w:color="auto"/>
          </w:divBdr>
        </w:div>
        <w:div w:id="907374947">
          <w:marLeft w:val="480"/>
          <w:marRight w:val="0"/>
          <w:marTop w:val="0"/>
          <w:marBottom w:val="0"/>
          <w:divBdr>
            <w:top w:val="none" w:sz="0" w:space="0" w:color="auto"/>
            <w:left w:val="none" w:sz="0" w:space="0" w:color="auto"/>
            <w:bottom w:val="none" w:sz="0" w:space="0" w:color="auto"/>
            <w:right w:val="none" w:sz="0" w:space="0" w:color="auto"/>
          </w:divBdr>
        </w:div>
        <w:div w:id="1308828019">
          <w:marLeft w:val="480"/>
          <w:marRight w:val="0"/>
          <w:marTop w:val="0"/>
          <w:marBottom w:val="0"/>
          <w:divBdr>
            <w:top w:val="none" w:sz="0" w:space="0" w:color="auto"/>
            <w:left w:val="none" w:sz="0" w:space="0" w:color="auto"/>
            <w:bottom w:val="none" w:sz="0" w:space="0" w:color="auto"/>
            <w:right w:val="none" w:sz="0" w:space="0" w:color="auto"/>
          </w:divBdr>
        </w:div>
        <w:div w:id="901528803">
          <w:marLeft w:val="480"/>
          <w:marRight w:val="0"/>
          <w:marTop w:val="0"/>
          <w:marBottom w:val="0"/>
          <w:divBdr>
            <w:top w:val="none" w:sz="0" w:space="0" w:color="auto"/>
            <w:left w:val="none" w:sz="0" w:space="0" w:color="auto"/>
            <w:bottom w:val="none" w:sz="0" w:space="0" w:color="auto"/>
            <w:right w:val="none" w:sz="0" w:space="0" w:color="auto"/>
          </w:divBdr>
        </w:div>
        <w:div w:id="269122651">
          <w:marLeft w:val="480"/>
          <w:marRight w:val="0"/>
          <w:marTop w:val="0"/>
          <w:marBottom w:val="0"/>
          <w:divBdr>
            <w:top w:val="none" w:sz="0" w:space="0" w:color="auto"/>
            <w:left w:val="none" w:sz="0" w:space="0" w:color="auto"/>
            <w:bottom w:val="none" w:sz="0" w:space="0" w:color="auto"/>
            <w:right w:val="none" w:sz="0" w:space="0" w:color="auto"/>
          </w:divBdr>
        </w:div>
        <w:div w:id="1942452359">
          <w:marLeft w:val="480"/>
          <w:marRight w:val="0"/>
          <w:marTop w:val="0"/>
          <w:marBottom w:val="0"/>
          <w:divBdr>
            <w:top w:val="none" w:sz="0" w:space="0" w:color="auto"/>
            <w:left w:val="none" w:sz="0" w:space="0" w:color="auto"/>
            <w:bottom w:val="none" w:sz="0" w:space="0" w:color="auto"/>
            <w:right w:val="none" w:sz="0" w:space="0" w:color="auto"/>
          </w:divBdr>
        </w:div>
        <w:div w:id="9112535">
          <w:marLeft w:val="480"/>
          <w:marRight w:val="0"/>
          <w:marTop w:val="0"/>
          <w:marBottom w:val="0"/>
          <w:divBdr>
            <w:top w:val="none" w:sz="0" w:space="0" w:color="auto"/>
            <w:left w:val="none" w:sz="0" w:space="0" w:color="auto"/>
            <w:bottom w:val="none" w:sz="0" w:space="0" w:color="auto"/>
            <w:right w:val="none" w:sz="0" w:space="0" w:color="auto"/>
          </w:divBdr>
        </w:div>
        <w:div w:id="48115532">
          <w:marLeft w:val="480"/>
          <w:marRight w:val="0"/>
          <w:marTop w:val="0"/>
          <w:marBottom w:val="0"/>
          <w:divBdr>
            <w:top w:val="none" w:sz="0" w:space="0" w:color="auto"/>
            <w:left w:val="none" w:sz="0" w:space="0" w:color="auto"/>
            <w:bottom w:val="none" w:sz="0" w:space="0" w:color="auto"/>
            <w:right w:val="none" w:sz="0" w:space="0" w:color="auto"/>
          </w:divBdr>
        </w:div>
        <w:div w:id="191773496">
          <w:marLeft w:val="480"/>
          <w:marRight w:val="0"/>
          <w:marTop w:val="0"/>
          <w:marBottom w:val="0"/>
          <w:divBdr>
            <w:top w:val="none" w:sz="0" w:space="0" w:color="auto"/>
            <w:left w:val="none" w:sz="0" w:space="0" w:color="auto"/>
            <w:bottom w:val="none" w:sz="0" w:space="0" w:color="auto"/>
            <w:right w:val="none" w:sz="0" w:space="0" w:color="auto"/>
          </w:divBdr>
        </w:div>
        <w:div w:id="1487357974">
          <w:marLeft w:val="480"/>
          <w:marRight w:val="0"/>
          <w:marTop w:val="0"/>
          <w:marBottom w:val="0"/>
          <w:divBdr>
            <w:top w:val="none" w:sz="0" w:space="0" w:color="auto"/>
            <w:left w:val="none" w:sz="0" w:space="0" w:color="auto"/>
            <w:bottom w:val="none" w:sz="0" w:space="0" w:color="auto"/>
            <w:right w:val="none" w:sz="0" w:space="0" w:color="auto"/>
          </w:divBdr>
        </w:div>
        <w:div w:id="100492737">
          <w:marLeft w:val="480"/>
          <w:marRight w:val="0"/>
          <w:marTop w:val="0"/>
          <w:marBottom w:val="0"/>
          <w:divBdr>
            <w:top w:val="none" w:sz="0" w:space="0" w:color="auto"/>
            <w:left w:val="none" w:sz="0" w:space="0" w:color="auto"/>
            <w:bottom w:val="none" w:sz="0" w:space="0" w:color="auto"/>
            <w:right w:val="none" w:sz="0" w:space="0" w:color="auto"/>
          </w:divBdr>
        </w:div>
        <w:div w:id="103311994">
          <w:marLeft w:val="480"/>
          <w:marRight w:val="0"/>
          <w:marTop w:val="0"/>
          <w:marBottom w:val="0"/>
          <w:divBdr>
            <w:top w:val="none" w:sz="0" w:space="0" w:color="auto"/>
            <w:left w:val="none" w:sz="0" w:space="0" w:color="auto"/>
            <w:bottom w:val="none" w:sz="0" w:space="0" w:color="auto"/>
            <w:right w:val="none" w:sz="0" w:space="0" w:color="auto"/>
          </w:divBdr>
        </w:div>
        <w:div w:id="2057390596">
          <w:marLeft w:val="480"/>
          <w:marRight w:val="0"/>
          <w:marTop w:val="0"/>
          <w:marBottom w:val="0"/>
          <w:divBdr>
            <w:top w:val="none" w:sz="0" w:space="0" w:color="auto"/>
            <w:left w:val="none" w:sz="0" w:space="0" w:color="auto"/>
            <w:bottom w:val="none" w:sz="0" w:space="0" w:color="auto"/>
            <w:right w:val="none" w:sz="0" w:space="0" w:color="auto"/>
          </w:divBdr>
        </w:div>
        <w:div w:id="1426151722">
          <w:marLeft w:val="480"/>
          <w:marRight w:val="0"/>
          <w:marTop w:val="0"/>
          <w:marBottom w:val="0"/>
          <w:divBdr>
            <w:top w:val="none" w:sz="0" w:space="0" w:color="auto"/>
            <w:left w:val="none" w:sz="0" w:space="0" w:color="auto"/>
            <w:bottom w:val="none" w:sz="0" w:space="0" w:color="auto"/>
            <w:right w:val="none" w:sz="0" w:space="0" w:color="auto"/>
          </w:divBdr>
        </w:div>
        <w:div w:id="979923561">
          <w:marLeft w:val="480"/>
          <w:marRight w:val="0"/>
          <w:marTop w:val="0"/>
          <w:marBottom w:val="0"/>
          <w:divBdr>
            <w:top w:val="none" w:sz="0" w:space="0" w:color="auto"/>
            <w:left w:val="none" w:sz="0" w:space="0" w:color="auto"/>
            <w:bottom w:val="none" w:sz="0" w:space="0" w:color="auto"/>
            <w:right w:val="none" w:sz="0" w:space="0" w:color="auto"/>
          </w:divBdr>
        </w:div>
        <w:div w:id="835730575">
          <w:marLeft w:val="480"/>
          <w:marRight w:val="0"/>
          <w:marTop w:val="0"/>
          <w:marBottom w:val="0"/>
          <w:divBdr>
            <w:top w:val="none" w:sz="0" w:space="0" w:color="auto"/>
            <w:left w:val="none" w:sz="0" w:space="0" w:color="auto"/>
            <w:bottom w:val="none" w:sz="0" w:space="0" w:color="auto"/>
            <w:right w:val="none" w:sz="0" w:space="0" w:color="auto"/>
          </w:divBdr>
        </w:div>
        <w:div w:id="1561482726">
          <w:marLeft w:val="480"/>
          <w:marRight w:val="0"/>
          <w:marTop w:val="0"/>
          <w:marBottom w:val="0"/>
          <w:divBdr>
            <w:top w:val="none" w:sz="0" w:space="0" w:color="auto"/>
            <w:left w:val="none" w:sz="0" w:space="0" w:color="auto"/>
            <w:bottom w:val="none" w:sz="0" w:space="0" w:color="auto"/>
            <w:right w:val="none" w:sz="0" w:space="0" w:color="auto"/>
          </w:divBdr>
        </w:div>
        <w:div w:id="1264534401">
          <w:marLeft w:val="480"/>
          <w:marRight w:val="0"/>
          <w:marTop w:val="0"/>
          <w:marBottom w:val="0"/>
          <w:divBdr>
            <w:top w:val="none" w:sz="0" w:space="0" w:color="auto"/>
            <w:left w:val="none" w:sz="0" w:space="0" w:color="auto"/>
            <w:bottom w:val="none" w:sz="0" w:space="0" w:color="auto"/>
            <w:right w:val="none" w:sz="0" w:space="0" w:color="auto"/>
          </w:divBdr>
        </w:div>
        <w:div w:id="653879501">
          <w:marLeft w:val="480"/>
          <w:marRight w:val="0"/>
          <w:marTop w:val="0"/>
          <w:marBottom w:val="0"/>
          <w:divBdr>
            <w:top w:val="none" w:sz="0" w:space="0" w:color="auto"/>
            <w:left w:val="none" w:sz="0" w:space="0" w:color="auto"/>
            <w:bottom w:val="none" w:sz="0" w:space="0" w:color="auto"/>
            <w:right w:val="none" w:sz="0" w:space="0" w:color="auto"/>
          </w:divBdr>
        </w:div>
        <w:div w:id="163713606">
          <w:marLeft w:val="480"/>
          <w:marRight w:val="0"/>
          <w:marTop w:val="0"/>
          <w:marBottom w:val="0"/>
          <w:divBdr>
            <w:top w:val="none" w:sz="0" w:space="0" w:color="auto"/>
            <w:left w:val="none" w:sz="0" w:space="0" w:color="auto"/>
            <w:bottom w:val="none" w:sz="0" w:space="0" w:color="auto"/>
            <w:right w:val="none" w:sz="0" w:space="0" w:color="auto"/>
          </w:divBdr>
        </w:div>
        <w:div w:id="425275089">
          <w:marLeft w:val="480"/>
          <w:marRight w:val="0"/>
          <w:marTop w:val="0"/>
          <w:marBottom w:val="0"/>
          <w:divBdr>
            <w:top w:val="none" w:sz="0" w:space="0" w:color="auto"/>
            <w:left w:val="none" w:sz="0" w:space="0" w:color="auto"/>
            <w:bottom w:val="none" w:sz="0" w:space="0" w:color="auto"/>
            <w:right w:val="none" w:sz="0" w:space="0" w:color="auto"/>
          </w:divBdr>
        </w:div>
        <w:div w:id="1659504267">
          <w:marLeft w:val="480"/>
          <w:marRight w:val="0"/>
          <w:marTop w:val="0"/>
          <w:marBottom w:val="0"/>
          <w:divBdr>
            <w:top w:val="none" w:sz="0" w:space="0" w:color="auto"/>
            <w:left w:val="none" w:sz="0" w:space="0" w:color="auto"/>
            <w:bottom w:val="none" w:sz="0" w:space="0" w:color="auto"/>
            <w:right w:val="none" w:sz="0" w:space="0" w:color="auto"/>
          </w:divBdr>
        </w:div>
        <w:div w:id="1315641980">
          <w:marLeft w:val="480"/>
          <w:marRight w:val="0"/>
          <w:marTop w:val="0"/>
          <w:marBottom w:val="0"/>
          <w:divBdr>
            <w:top w:val="none" w:sz="0" w:space="0" w:color="auto"/>
            <w:left w:val="none" w:sz="0" w:space="0" w:color="auto"/>
            <w:bottom w:val="none" w:sz="0" w:space="0" w:color="auto"/>
            <w:right w:val="none" w:sz="0" w:space="0" w:color="auto"/>
          </w:divBdr>
        </w:div>
        <w:div w:id="1382749529">
          <w:marLeft w:val="480"/>
          <w:marRight w:val="0"/>
          <w:marTop w:val="0"/>
          <w:marBottom w:val="0"/>
          <w:divBdr>
            <w:top w:val="none" w:sz="0" w:space="0" w:color="auto"/>
            <w:left w:val="none" w:sz="0" w:space="0" w:color="auto"/>
            <w:bottom w:val="none" w:sz="0" w:space="0" w:color="auto"/>
            <w:right w:val="none" w:sz="0" w:space="0" w:color="auto"/>
          </w:divBdr>
        </w:div>
        <w:div w:id="157038134">
          <w:marLeft w:val="480"/>
          <w:marRight w:val="0"/>
          <w:marTop w:val="0"/>
          <w:marBottom w:val="0"/>
          <w:divBdr>
            <w:top w:val="none" w:sz="0" w:space="0" w:color="auto"/>
            <w:left w:val="none" w:sz="0" w:space="0" w:color="auto"/>
            <w:bottom w:val="none" w:sz="0" w:space="0" w:color="auto"/>
            <w:right w:val="none" w:sz="0" w:space="0" w:color="auto"/>
          </w:divBdr>
        </w:div>
        <w:div w:id="450393025">
          <w:marLeft w:val="480"/>
          <w:marRight w:val="0"/>
          <w:marTop w:val="0"/>
          <w:marBottom w:val="0"/>
          <w:divBdr>
            <w:top w:val="none" w:sz="0" w:space="0" w:color="auto"/>
            <w:left w:val="none" w:sz="0" w:space="0" w:color="auto"/>
            <w:bottom w:val="none" w:sz="0" w:space="0" w:color="auto"/>
            <w:right w:val="none" w:sz="0" w:space="0" w:color="auto"/>
          </w:divBdr>
        </w:div>
        <w:div w:id="58284576">
          <w:marLeft w:val="480"/>
          <w:marRight w:val="0"/>
          <w:marTop w:val="0"/>
          <w:marBottom w:val="0"/>
          <w:divBdr>
            <w:top w:val="none" w:sz="0" w:space="0" w:color="auto"/>
            <w:left w:val="none" w:sz="0" w:space="0" w:color="auto"/>
            <w:bottom w:val="none" w:sz="0" w:space="0" w:color="auto"/>
            <w:right w:val="none" w:sz="0" w:space="0" w:color="auto"/>
          </w:divBdr>
        </w:div>
        <w:div w:id="1846626935">
          <w:marLeft w:val="480"/>
          <w:marRight w:val="0"/>
          <w:marTop w:val="0"/>
          <w:marBottom w:val="0"/>
          <w:divBdr>
            <w:top w:val="none" w:sz="0" w:space="0" w:color="auto"/>
            <w:left w:val="none" w:sz="0" w:space="0" w:color="auto"/>
            <w:bottom w:val="none" w:sz="0" w:space="0" w:color="auto"/>
            <w:right w:val="none" w:sz="0" w:space="0" w:color="auto"/>
          </w:divBdr>
        </w:div>
        <w:div w:id="787578570">
          <w:marLeft w:val="480"/>
          <w:marRight w:val="0"/>
          <w:marTop w:val="0"/>
          <w:marBottom w:val="0"/>
          <w:divBdr>
            <w:top w:val="none" w:sz="0" w:space="0" w:color="auto"/>
            <w:left w:val="none" w:sz="0" w:space="0" w:color="auto"/>
            <w:bottom w:val="none" w:sz="0" w:space="0" w:color="auto"/>
            <w:right w:val="none" w:sz="0" w:space="0" w:color="auto"/>
          </w:divBdr>
        </w:div>
        <w:div w:id="1837958881">
          <w:marLeft w:val="480"/>
          <w:marRight w:val="0"/>
          <w:marTop w:val="0"/>
          <w:marBottom w:val="0"/>
          <w:divBdr>
            <w:top w:val="none" w:sz="0" w:space="0" w:color="auto"/>
            <w:left w:val="none" w:sz="0" w:space="0" w:color="auto"/>
            <w:bottom w:val="none" w:sz="0" w:space="0" w:color="auto"/>
            <w:right w:val="none" w:sz="0" w:space="0" w:color="auto"/>
          </w:divBdr>
        </w:div>
        <w:div w:id="741294758">
          <w:marLeft w:val="480"/>
          <w:marRight w:val="0"/>
          <w:marTop w:val="0"/>
          <w:marBottom w:val="0"/>
          <w:divBdr>
            <w:top w:val="none" w:sz="0" w:space="0" w:color="auto"/>
            <w:left w:val="none" w:sz="0" w:space="0" w:color="auto"/>
            <w:bottom w:val="none" w:sz="0" w:space="0" w:color="auto"/>
            <w:right w:val="none" w:sz="0" w:space="0" w:color="auto"/>
          </w:divBdr>
        </w:div>
        <w:div w:id="1047339091">
          <w:marLeft w:val="480"/>
          <w:marRight w:val="0"/>
          <w:marTop w:val="0"/>
          <w:marBottom w:val="0"/>
          <w:divBdr>
            <w:top w:val="none" w:sz="0" w:space="0" w:color="auto"/>
            <w:left w:val="none" w:sz="0" w:space="0" w:color="auto"/>
            <w:bottom w:val="none" w:sz="0" w:space="0" w:color="auto"/>
            <w:right w:val="none" w:sz="0" w:space="0" w:color="auto"/>
          </w:divBdr>
        </w:div>
        <w:div w:id="698550408">
          <w:marLeft w:val="480"/>
          <w:marRight w:val="0"/>
          <w:marTop w:val="0"/>
          <w:marBottom w:val="0"/>
          <w:divBdr>
            <w:top w:val="none" w:sz="0" w:space="0" w:color="auto"/>
            <w:left w:val="none" w:sz="0" w:space="0" w:color="auto"/>
            <w:bottom w:val="none" w:sz="0" w:space="0" w:color="auto"/>
            <w:right w:val="none" w:sz="0" w:space="0" w:color="auto"/>
          </w:divBdr>
        </w:div>
        <w:div w:id="1812136861">
          <w:marLeft w:val="480"/>
          <w:marRight w:val="0"/>
          <w:marTop w:val="0"/>
          <w:marBottom w:val="0"/>
          <w:divBdr>
            <w:top w:val="none" w:sz="0" w:space="0" w:color="auto"/>
            <w:left w:val="none" w:sz="0" w:space="0" w:color="auto"/>
            <w:bottom w:val="none" w:sz="0" w:space="0" w:color="auto"/>
            <w:right w:val="none" w:sz="0" w:space="0" w:color="auto"/>
          </w:divBdr>
        </w:div>
        <w:div w:id="1181435137">
          <w:marLeft w:val="480"/>
          <w:marRight w:val="0"/>
          <w:marTop w:val="0"/>
          <w:marBottom w:val="0"/>
          <w:divBdr>
            <w:top w:val="none" w:sz="0" w:space="0" w:color="auto"/>
            <w:left w:val="none" w:sz="0" w:space="0" w:color="auto"/>
            <w:bottom w:val="none" w:sz="0" w:space="0" w:color="auto"/>
            <w:right w:val="none" w:sz="0" w:space="0" w:color="auto"/>
          </w:divBdr>
        </w:div>
        <w:div w:id="287668785">
          <w:marLeft w:val="480"/>
          <w:marRight w:val="0"/>
          <w:marTop w:val="0"/>
          <w:marBottom w:val="0"/>
          <w:divBdr>
            <w:top w:val="none" w:sz="0" w:space="0" w:color="auto"/>
            <w:left w:val="none" w:sz="0" w:space="0" w:color="auto"/>
            <w:bottom w:val="none" w:sz="0" w:space="0" w:color="auto"/>
            <w:right w:val="none" w:sz="0" w:space="0" w:color="auto"/>
          </w:divBdr>
        </w:div>
        <w:div w:id="785857489">
          <w:marLeft w:val="480"/>
          <w:marRight w:val="0"/>
          <w:marTop w:val="0"/>
          <w:marBottom w:val="0"/>
          <w:divBdr>
            <w:top w:val="none" w:sz="0" w:space="0" w:color="auto"/>
            <w:left w:val="none" w:sz="0" w:space="0" w:color="auto"/>
            <w:bottom w:val="none" w:sz="0" w:space="0" w:color="auto"/>
            <w:right w:val="none" w:sz="0" w:space="0" w:color="auto"/>
          </w:divBdr>
        </w:div>
        <w:div w:id="720372877">
          <w:marLeft w:val="480"/>
          <w:marRight w:val="0"/>
          <w:marTop w:val="0"/>
          <w:marBottom w:val="0"/>
          <w:divBdr>
            <w:top w:val="none" w:sz="0" w:space="0" w:color="auto"/>
            <w:left w:val="none" w:sz="0" w:space="0" w:color="auto"/>
            <w:bottom w:val="none" w:sz="0" w:space="0" w:color="auto"/>
            <w:right w:val="none" w:sz="0" w:space="0" w:color="auto"/>
          </w:divBdr>
        </w:div>
        <w:div w:id="1136949653">
          <w:marLeft w:val="480"/>
          <w:marRight w:val="0"/>
          <w:marTop w:val="0"/>
          <w:marBottom w:val="0"/>
          <w:divBdr>
            <w:top w:val="none" w:sz="0" w:space="0" w:color="auto"/>
            <w:left w:val="none" w:sz="0" w:space="0" w:color="auto"/>
            <w:bottom w:val="none" w:sz="0" w:space="0" w:color="auto"/>
            <w:right w:val="none" w:sz="0" w:space="0" w:color="auto"/>
          </w:divBdr>
        </w:div>
        <w:div w:id="380248272">
          <w:marLeft w:val="480"/>
          <w:marRight w:val="0"/>
          <w:marTop w:val="0"/>
          <w:marBottom w:val="0"/>
          <w:divBdr>
            <w:top w:val="none" w:sz="0" w:space="0" w:color="auto"/>
            <w:left w:val="none" w:sz="0" w:space="0" w:color="auto"/>
            <w:bottom w:val="none" w:sz="0" w:space="0" w:color="auto"/>
            <w:right w:val="none" w:sz="0" w:space="0" w:color="auto"/>
          </w:divBdr>
        </w:div>
        <w:div w:id="873231827">
          <w:marLeft w:val="480"/>
          <w:marRight w:val="0"/>
          <w:marTop w:val="0"/>
          <w:marBottom w:val="0"/>
          <w:divBdr>
            <w:top w:val="none" w:sz="0" w:space="0" w:color="auto"/>
            <w:left w:val="none" w:sz="0" w:space="0" w:color="auto"/>
            <w:bottom w:val="none" w:sz="0" w:space="0" w:color="auto"/>
            <w:right w:val="none" w:sz="0" w:space="0" w:color="auto"/>
          </w:divBdr>
        </w:div>
        <w:div w:id="878709403">
          <w:marLeft w:val="480"/>
          <w:marRight w:val="0"/>
          <w:marTop w:val="0"/>
          <w:marBottom w:val="0"/>
          <w:divBdr>
            <w:top w:val="none" w:sz="0" w:space="0" w:color="auto"/>
            <w:left w:val="none" w:sz="0" w:space="0" w:color="auto"/>
            <w:bottom w:val="none" w:sz="0" w:space="0" w:color="auto"/>
            <w:right w:val="none" w:sz="0" w:space="0" w:color="auto"/>
          </w:divBdr>
        </w:div>
        <w:div w:id="2058699398">
          <w:marLeft w:val="480"/>
          <w:marRight w:val="0"/>
          <w:marTop w:val="0"/>
          <w:marBottom w:val="0"/>
          <w:divBdr>
            <w:top w:val="none" w:sz="0" w:space="0" w:color="auto"/>
            <w:left w:val="none" w:sz="0" w:space="0" w:color="auto"/>
            <w:bottom w:val="none" w:sz="0" w:space="0" w:color="auto"/>
            <w:right w:val="none" w:sz="0" w:space="0" w:color="auto"/>
          </w:divBdr>
        </w:div>
      </w:divsChild>
    </w:div>
    <w:div w:id="2049062949">
      <w:bodyDiv w:val="1"/>
      <w:marLeft w:val="0"/>
      <w:marRight w:val="0"/>
      <w:marTop w:val="0"/>
      <w:marBottom w:val="0"/>
      <w:divBdr>
        <w:top w:val="none" w:sz="0" w:space="0" w:color="auto"/>
        <w:left w:val="none" w:sz="0" w:space="0" w:color="auto"/>
        <w:bottom w:val="none" w:sz="0" w:space="0" w:color="auto"/>
        <w:right w:val="none" w:sz="0" w:space="0" w:color="auto"/>
      </w:divBdr>
    </w:div>
    <w:div w:id="2049984697">
      <w:bodyDiv w:val="1"/>
      <w:marLeft w:val="0"/>
      <w:marRight w:val="0"/>
      <w:marTop w:val="0"/>
      <w:marBottom w:val="0"/>
      <w:divBdr>
        <w:top w:val="none" w:sz="0" w:space="0" w:color="auto"/>
        <w:left w:val="none" w:sz="0" w:space="0" w:color="auto"/>
        <w:bottom w:val="none" w:sz="0" w:space="0" w:color="auto"/>
        <w:right w:val="none" w:sz="0" w:space="0" w:color="auto"/>
      </w:divBdr>
    </w:div>
    <w:div w:id="2050178678">
      <w:bodyDiv w:val="1"/>
      <w:marLeft w:val="0"/>
      <w:marRight w:val="0"/>
      <w:marTop w:val="0"/>
      <w:marBottom w:val="0"/>
      <w:divBdr>
        <w:top w:val="none" w:sz="0" w:space="0" w:color="auto"/>
        <w:left w:val="none" w:sz="0" w:space="0" w:color="auto"/>
        <w:bottom w:val="none" w:sz="0" w:space="0" w:color="auto"/>
        <w:right w:val="none" w:sz="0" w:space="0" w:color="auto"/>
      </w:divBdr>
    </w:div>
    <w:div w:id="2050688636">
      <w:bodyDiv w:val="1"/>
      <w:marLeft w:val="0"/>
      <w:marRight w:val="0"/>
      <w:marTop w:val="0"/>
      <w:marBottom w:val="0"/>
      <w:divBdr>
        <w:top w:val="none" w:sz="0" w:space="0" w:color="auto"/>
        <w:left w:val="none" w:sz="0" w:space="0" w:color="auto"/>
        <w:bottom w:val="none" w:sz="0" w:space="0" w:color="auto"/>
        <w:right w:val="none" w:sz="0" w:space="0" w:color="auto"/>
      </w:divBdr>
    </w:div>
    <w:div w:id="2050715099">
      <w:bodyDiv w:val="1"/>
      <w:marLeft w:val="0"/>
      <w:marRight w:val="0"/>
      <w:marTop w:val="0"/>
      <w:marBottom w:val="0"/>
      <w:divBdr>
        <w:top w:val="none" w:sz="0" w:space="0" w:color="auto"/>
        <w:left w:val="none" w:sz="0" w:space="0" w:color="auto"/>
        <w:bottom w:val="none" w:sz="0" w:space="0" w:color="auto"/>
        <w:right w:val="none" w:sz="0" w:space="0" w:color="auto"/>
      </w:divBdr>
    </w:div>
    <w:div w:id="2051219728">
      <w:bodyDiv w:val="1"/>
      <w:marLeft w:val="0"/>
      <w:marRight w:val="0"/>
      <w:marTop w:val="0"/>
      <w:marBottom w:val="0"/>
      <w:divBdr>
        <w:top w:val="none" w:sz="0" w:space="0" w:color="auto"/>
        <w:left w:val="none" w:sz="0" w:space="0" w:color="auto"/>
        <w:bottom w:val="none" w:sz="0" w:space="0" w:color="auto"/>
        <w:right w:val="none" w:sz="0" w:space="0" w:color="auto"/>
      </w:divBdr>
    </w:div>
    <w:div w:id="2051220412">
      <w:bodyDiv w:val="1"/>
      <w:marLeft w:val="0"/>
      <w:marRight w:val="0"/>
      <w:marTop w:val="0"/>
      <w:marBottom w:val="0"/>
      <w:divBdr>
        <w:top w:val="none" w:sz="0" w:space="0" w:color="auto"/>
        <w:left w:val="none" w:sz="0" w:space="0" w:color="auto"/>
        <w:bottom w:val="none" w:sz="0" w:space="0" w:color="auto"/>
        <w:right w:val="none" w:sz="0" w:space="0" w:color="auto"/>
      </w:divBdr>
    </w:div>
    <w:div w:id="2051563974">
      <w:bodyDiv w:val="1"/>
      <w:marLeft w:val="0"/>
      <w:marRight w:val="0"/>
      <w:marTop w:val="0"/>
      <w:marBottom w:val="0"/>
      <w:divBdr>
        <w:top w:val="none" w:sz="0" w:space="0" w:color="auto"/>
        <w:left w:val="none" w:sz="0" w:space="0" w:color="auto"/>
        <w:bottom w:val="none" w:sz="0" w:space="0" w:color="auto"/>
        <w:right w:val="none" w:sz="0" w:space="0" w:color="auto"/>
      </w:divBdr>
    </w:div>
    <w:div w:id="2052029405">
      <w:bodyDiv w:val="1"/>
      <w:marLeft w:val="0"/>
      <w:marRight w:val="0"/>
      <w:marTop w:val="0"/>
      <w:marBottom w:val="0"/>
      <w:divBdr>
        <w:top w:val="none" w:sz="0" w:space="0" w:color="auto"/>
        <w:left w:val="none" w:sz="0" w:space="0" w:color="auto"/>
        <w:bottom w:val="none" w:sz="0" w:space="0" w:color="auto"/>
        <w:right w:val="none" w:sz="0" w:space="0" w:color="auto"/>
      </w:divBdr>
    </w:div>
    <w:div w:id="2052918073">
      <w:bodyDiv w:val="1"/>
      <w:marLeft w:val="0"/>
      <w:marRight w:val="0"/>
      <w:marTop w:val="0"/>
      <w:marBottom w:val="0"/>
      <w:divBdr>
        <w:top w:val="none" w:sz="0" w:space="0" w:color="auto"/>
        <w:left w:val="none" w:sz="0" w:space="0" w:color="auto"/>
        <w:bottom w:val="none" w:sz="0" w:space="0" w:color="auto"/>
        <w:right w:val="none" w:sz="0" w:space="0" w:color="auto"/>
      </w:divBdr>
    </w:div>
    <w:div w:id="2053112437">
      <w:bodyDiv w:val="1"/>
      <w:marLeft w:val="0"/>
      <w:marRight w:val="0"/>
      <w:marTop w:val="0"/>
      <w:marBottom w:val="0"/>
      <w:divBdr>
        <w:top w:val="none" w:sz="0" w:space="0" w:color="auto"/>
        <w:left w:val="none" w:sz="0" w:space="0" w:color="auto"/>
        <w:bottom w:val="none" w:sz="0" w:space="0" w:color="auto"/>
        <w:right w:val="none" w:sz="0" w:space="0" w:color="auto"/>
      </w:divBdr>
    </w:div>
    <w:div w:id="2053725546">
      <w:bodyDiv w:val="1"/>
      <w:marLeft w:val="0"/>
      <w:marRight w:val="0"/>
      <w:marTop w:val="0"/>
      <w:marBottom w:val="0"/>
      <w:divBdr>
        <w:top w:val="none" w:sz="0" w:space="0" w:color="auto"/>
        <w:left w:val="none" w:sz="0" w:space="0" w:color="auto"/>
        <w:bottom w:val="none" w:sz="0" w:space="0" w:color="auto"/>
        <w:right w:val="none" w:sz="0" w:space="0" w:color="auto"/>
      </w:divBdr>
    </w:div>
    <w:div w:id="2054112848">
      <w:bodyDiv w:val="1"/>
      <w:marLeft w:val="0"/>
      <w:marRight w:val="0"/>
      <w:marTop w:val="0"/>
      <w:marBottom w:val="0"/>
      <w:divBdr>
        <w:top w:val="none" w:sz="0" w:space="0" w:color="auto"/>
        <w:left w:val="none" w:sz="0" w:space="0" w:color="auto"/>
        <w:bottom w:val="none" w:sz="0" w:space="0" w:color="auto"/>
        <w:right w:val="none" w:sz="0" w:space="0" w:color="auto"/>
      </w:divBdr>
    </w:div>
    <w:div w:id="2054688182">
      <w:bodyDiv w:val="1"/>
      <w:marLeft w:val="0"/>
      <w:marRight w:val="0"/>
      <w:marTop w:val="0"/>
      <w:marBottom w:val="0"/>
      <w:divBdr>
        <w:top w:val="none" w:sz="0" w:space="0" w:color="auto"/>
        <w:left w:val="none" w:sz="0" w:space="0" w:color="auto"/>
        <w:bottom w:val="none" w:sz="0" w:space="0" w:color="auto"/>
        <w:right w:val="none" w:sz="0" w:space="0" w:color="auto"/>
      </w:divBdr>
    </w:div>
    <w:div w:id="2055814593">
      <w:bodyDiv w:val="1"/>
      <w:marLeft w:val="0"/>
      <w:marRight w:val="0"/>
      <w:marTop w:val="0"/>
      <w:marBottom w:val="0"/>
      <w:divBdr>
        <w:top w:val="none" w:sz="0" w:space="0" w:color="auto"/>
        <w:left w:val="none" w:sz="0" w:space="0" w:color="auto"/>
        <w:bottom w:val="none" w:sz="0" w:space="0" w:color="auto"/>
        <w:right w:val="none" w:sz="0" w:space="0" w:color="auto"/>
      </w:divBdr>
    </w:div>
    <w:div w:id="2056923382">
      <w:bodyDiv w:val="1"/>
      <w:marLeft w:val="0"/>
      <w:marRight w:val="0"/>
      <w:marTop w:val="0"/>
      <w:marBottom w:val="0"/>
      <w:divBdr>
        <w:top w:val="none" w:sz="0" w:space="0" w:color="auto"/>
        <w:left w:val="none" w:sz="0" w:space="0" w:color="auto"/>
        <w:bottom w:val="none" w:sz="0" w:space="0" w:color="auto"/>
        <w:right w:val="none" w:sz="0" w:space="0" w:color="auto"/>
      </w:divBdr>
    </w:div>
    <w:div w:id="2057118290">
      <w:bodyDiv w:val="1"/>
      <w:marLeft w:val="0"/>
      <w:marRight w:val="0"/>
      <w:marTop w:val="0"/>
      <w:marBottom w:val="0"/>
      <w:divBdr>
        <w:top w:val="none" w:sz="0" w:space="0" w:color="auto"/>
        <w:left w:val="none" w:sz="0" w:space="0" w:color="auto"/>
        <w:bottom w:val="none" w:sz="0" w:space="0" w:color="auto"/>
        <w:right w:val="none" w:sz="0" w:space="0" w:color="auto"/>
      </w:divBdr>
    </w:div>
    <w:div w:id="2057587257">
      <w:bodyDiv w:val="1"/>
      <w:marLeft w:val="0"/>
      <w:marRight w:val="0"/>
      <w:marTop w:val="0"/>
      <w:marBottom w:val="0"/>
      <w:divBdr>
        <w:top w:val="none" w:sz="0" w:space="0" w:color="auto"/>
        <w:left w:val="none" w:sz="0" w:space="0" w:color="auto"/>
        <w:bottom w:val="none" w:sz="0" w:space="0" w:color="auto"/>
        <w:right w:val="none" w:sz="0" w:space="0" w:color="auto"/>
      </w:divBdr>
    </w:div>
    <w:div w:id="2058429497">
      <w:bodyDiv w:val="1"/>
      <w:marLeft w:val="0"/>
      <w:marRight w:val="0"/>
      <w:marTop w:val="0"/>
      <w:marBottom w:val="0"/>
      <w:divBdr>
        <w:top w:val="none" w:sz="0" w:space="0" w:color="auto"/>
        <w:left w:val="none" w:sz="0" w:space="0" w:color="auto"/>
        <w:bottom w:val="none" w:sz="0" w:space="0" w:color="auto"/>
        <w:right w:val="none" w:sz="0" w:space="0" w:color="auto"/>
      </w:divBdr>
    </w:div>
    <w:div w:id="2058507001">
      <w:bodyDiv w:val="1"/>
      <w:marLeft w:val="0"/>
      <w:marRight w:val="0"/>
      <w:marTop w:val="0"/>
      <w:marBottom w:val="0"/>
      <w:divBdr>
        <w:top w:val="none" w:sz="0" w:space="0" w:color="auto"/>
        <w:left w:val="none" w:sz="0" w:space="0" w:color="auto"/>
        <w:bottom w:val="none" w:sz="0" w:space="0" w:color="auto"/>
        <w:right w:val="none" w:sz="0" w:space="0" w:color="auto"/>
      </w:divBdr>
    </w:div>
    <w:div w:id="2058553206">
      <w:bodyDiv w:val="1"/>
      <w:marLeft w:val="0"/>
      <w:marRight w:val="0"/>
      <w:marTop w:val="0"/>
      <w:marBottom w:val="0"/>
      <w:divBdr>
        <w:top w:val="none" w:sz="0" w:space="0" w:color="auto"/>
        <w:left w:val="none" w:sz="0" w:space="0" w:color="auto"/>
        <w:bottom w:val="none" w:sz="0" w:space="0" w:color="auto"/>
        <w:right w:val="none" w:sz="0" w:space="0" w:color="auto"/>
      </w:divBdr>
    </w:div>
    <w:div w:id="2058813681">
      <w:bodyDiv w:val="1"/>
      <w:marLeft w:val="0"/>
      <w:marRight w:val="0"/>
      <w:marTop w:val="0"/>
      <w:marBottom w:val="0"/>
      <w:divBdr>
        <w:top w:val="none" w:sz="0" w:space="0" w:color="auto"/>
        <w:left w:val="none" w:sz="0" w:space="0" w:color="auto"/>
        <w:bottom w:val="none" w:sz="0" w:space="0" w:color="auto"/>
        <w:right w:val="none" w:sz="0" w:space="0" w:color="auto"/>
      </w:divBdr>
    </w:div>
    <w:div w:id="2058818634">
      <w:bodyDiv w:val="1"/>
      <w:marLeft w:val="0"/>
      <w:marRight w:val="0"/>
      <w:marTop w:val="0"/>
      <w:marBottom w:val="0"/>
      <w:divBdr>
        <w:top w:val="none" w:sz="0" w:space="0" w:color="auto"/>
        <w:left w:val="none" w:sz="0" w:space="0" w:color="auto"/>
        <w:bottom w:val="none" w:sz="0" w:space="0" w:color="auto"/>
        <w:right w:val="none" w:sz="0" w:space="0" w:color="auto"/>
      </w:divBdr>
    </w:div>
    <w:div w:id="2059938338">
      <w:bodyDiv w:val="1"/>
      <w:marLeft w:val="0"/>
      <w:marRight w:val="0"/>
      <w:marTop w:val="0"/>
      <w:marBottom w:val="0"/>
      <w:divBdr>
        <w:top w:val="none" w:sz="0" w:space="0" w:color="auto"/>
        <w:left w:val="none" w:sz="0" w:space="0" w:color="auto"/>
        <w:bottom w:val="none" w:sz="0" w:space="0" w:color="auto"/>
        <w:right w:val="none" w:sz="0" w:space="0" w:color="auto"/>
      </w:divBdr>
    </w:div>
    <w:div w:id="2060206247">
      <w:bodyDiv w:val="1"/>
      <w:marLeft w:val="0"/>
      <w:marRight w:val="0"/>
      <w:marTop w:val="0"/>
      <w:marBottom w:val="0"/>
      <w:divBdr>
        <w:top w:val="none" w:sz="0" w:space="0" w:color="auto"/>
        <w:left w:val="none" w:sz="0" w:space="0" w:color="auto"/>
        <w:bottom w:val="none" w:sz="0" w:space="0" w:color="auto"/>
        <w:right w:val="none" w:sz="0" w:space="0" w:color="auto"/>
      </w:divBdr>
    </w:div>
    <w:div w:id="2060283160">
      <w:bodyDiv w:val="1"/>
      <w:marLeft w:val="0"/>
      <w:marRight w:val="0"/>
      <w:marTop w:val="0"/>
      <w:marBottom w:val="0"/>
      <w:divBdr>
        <w:top w:val="none" w:sz="0" w:space="0" w:color="auto"/>
        <w:left w:val="none" w:sz="0" w:space="0" w:color="auto"/>
        <w:bottom w:val="none" w:sz="0" w:space="0" w:color="auto"/>
        <w:right w:val="none" w:sz="0" w:space="0" w:color="auto"/>
      </w:divBdr>
    </w:div>
    <w:div w:id="2061008863">
      <w:bodyDiv w:val="1"/>
      <w:marLeft w:val="0"/>
      <w:marRight w:val="0"/>
      <w:marTop w:val="0"/>
      <w:marBottom w:val="0"/>
      <w:divBdr>
        <w:top w:val="none" w:sz="0" w:space="0" w:color="auto"/>
        <w:left w:val="none" w:sz="0" w:space="0" w:color="auto"/>
        <w:bottom w:val="none" w:sz="0" w:space="0" w:color="auto"/>
        <w:right w:val="none" w:sz="0" w:space="0" w:color="auto"/>
      </w:divBdr>
    </w:div>
    <w:div w:id="2061516547">
      <w:bodyDiv w:val="1"/>
      <w:marLeft w:val="0"/>
      <w:marRight w:val="0"/>
      <w:marTop w:val="0"/>
      <w:marBottom w:val="0"/>
      <w:divBdr>
        <w:top w:val="none" w:sz="0" w:space="0" w:color="auto"/>
        <w:left w:val="none" w:sz="0" w:space="0" w:color="auto"/>
        <w:bottom w:val="none" w:sz="0" w:space="0" w:color="auto"/>
        <w:right w:val="none" w:sz="0" w:space="0" w:color="auto"/>
      </w:divBdr>
    </w:div>
    <w:div w:id="2062511083">
      <w:bodyDiv w:val="1"/>
      <w:marLeft w:val="0"/>
      <w:marRight w:val="0"/>
      <w:marTop w:val="0"/>
      <w:marBottom w:val="0"/>
      <w:divBdr>
        <w:top w:val="none" w:sz="0" w:space="0" w:color="auto"/>
        <w:left w:val="none" w:sz="0" w:space="0" w:color="auto"/>
        <w:bottom w:val="none" w:sz="0" w:space="0" w:color="auto"/>
        <w:right w:val="none" w:sz="0" w:space="0" w:color="auto"/>
      </w:divBdr>
    </w:div>
    <w:div w:id="2062702815">
      <w:bodyDiv w:val="1"/>
      <w:marLeft w:val="0"/>
      <w:marRight w:val="0"/>
      <w:marTop w:val="0"/>
      <w:marBottom w:val="0"/>
      <w:divBdr>
        <w:top w:val="none" w:sz="0" w:space="0" w:color="auto"/>
        <w:left w:val="none" w:sz="0" w:space="0" w:color="auto"/>
        <w:bottom w:val="none" w:sz="0" w:space="0" w:color="auto"/>
        <w:right w:val="none" w:sz="0" w:space="0" w:color="auto"/>
      </w:divBdr>
    </w:div>
    <w:div w:id="2065792879">
      <w:bodyDiv w:val="1"/>
      <w:marLeft w:val="0"/>
      <w:marRight w:val="0"/>
      <w:marTop w:val="0"/>
      <w:marBottom w:val="0"/>
      <w:divBdr>
        <w:top w:val="none" w:sz="0" w:space="0" w:color="auto"/>
        <w:left w:val="none" w:sz="0" w:space="0" w:color="auto"/>
        <w:bottom w:val="none" w:sz="0" w:space="0" w:color="auto"/>
        <w:right w:val="none" w:sz="0" w:space="0" w:color="auto"/>
      </w:divBdr>
    </w:div>
    <w:div w:id="2066029614">
      <w:bodyDiv w:val="1"/>
      <w:marLeft w:val="0"/>
      <w:marRight w:val="0"/>
      <w:marTop w:val="0"/>
      <w:marBottom w:val="0"/>
      <w:divBdr>
        <w:top w:val="none" w:sz="0" w:space="0" w:color="auto"/>
        <w:left w:val="none" w:sz="0" w:space="0" w:color="auto"/>
        <w:bottom w:val="none" w:sz="0" w:space="0" w:color="auto"/>
        <w:right w:val="none" w:sz="0" w:space="0" w:color="auto"/>
      </w:divBdr>
      <w:divsChild>
        <w:div w:id="168913318">
          <w:marLeft w:val="480"/>
          <w:marRight w:val="0"/>
          <w:marTop w:val="0"/>
          <w:marBottom w:val="0"/>
          <w:divBdr>
            <w:top w:val="none" w:sz="0" w:space="0" w:color="auto"/>
            <w:left w:val="none" w:sz="0" w:space="0" w:color="auto"/>
            <w:bottom w:val="none" w:sz="0" w:space="0" w:color="auto"/>
            <w:right w:val="none" w:sz="0" w:space="0" w:color="auto"/>
          </w:divBdr>
        </w:div>
        <w:div w:id="1760903056">
          <w:marLeft w:val="480"/>
          <w:marRight w:val="0"/>
          <w:marTop w:val="0"/>
          <w:marBottom w:val="0"/>
          <w:divBdr>
            <w:top w:val="none" w:sz="0" w:space="0" w:color="auto"/>
            <w:left w:val="none" w:sz="0" w:space="0" w:color="auto"/>
            <w:bottom w:val="none" w:sz="0" w:space="0" w:color="auto"/>
            <w:right w:val="none" w:sz="0" w:space="0" w:color="auto"/>
          </w:divBdr>
        </w:div>
        <w:div w:id="1652903432">
          <w:marLeft w:val="480"/>
          <w:marRight w:val="0"/>
          <w:marTop w:val="0"/>
          <w:marBottom w:val="0"/>
          <w:divBdr>
            <w:top w:val="none" w:sz="0" w:space="0" w:color="auto"/>
            <w:left w:val="none" w:sz="0" w:space="0" w:color="auto"/>
            <w:bottom w:val="none" w:sz="0" w:space="0" w:color="auto"/>
            <w:right w:val="none" w:sz="0" w:space="0" w:color="auto"/>
          </w:divBdr>
        </w:div>
        <w:div w:id="38553094">
          <w:marLeft w:val="480"/>
          <w:marRight w:val="0"/>
          <w:marTop w:val="0"/>
          <w:marBottom w:val="0"/>
          <w:divBdr>
            <w:top w:val="none" w:sz="0" w:space="0" w:color="auto"/>
            <w:left w:val="none" w:sz="0" w:space="0" w:color="auto"/>
            <w:bottom w:val="none" w:sz="0" w:space="0" w:color="auto"/>
            <w:right w:val="none" w:sz="0" w:space="0" w:color="auto"/>
          </w:divBdr>
        </w:div>
        <w:div w:id="222645981">
          <w:marLeft w:val="480"/>
          <w:marRight w:val="0"/>
          <w:marTop w:val="0"/>
          <w:marBottom w:val="0"/>
          <w:divBdr>
            <w:top w:val="none" w:sz="0" w:space="0" w:color="auto"/>
            <w:left w:val="none" w:sz="0" w:space="0" w:color="auto"/>
            <w:bottom w:val="none" w:sz="0" w:space="0" w:color="auto"/>
            <w:right w:val="none" w:sz="0" w:space="0" w:color="auto"/>
          </w:divBdr>
        </w:div>
        <w:div w:id="279344462">
          <w:marLeft w:val="480"/>
          <w:marRight w:val="0"/>
          <w:marTop w:val="0"/>
          <w:marBottom w:val="0"/>
          <w:divBdr>
            <w:top w:val="none" w:sz="0" w:space="0" w:color="auto"/>
            <w:left w:val="none" w:sz="0" w:space="0" w:color="auto"/>
            <w:bottom w:val="none" w:sz="0" w:space="0" w:color="auto"/>
            <w:right w:val="none" w:sz="0" w:space="0" w:color="auto"/>
          </w:divBdr>
        </w:div>
        <w:div w:id="1812745654">
          <w:marLeft w:val="480"/>
          <w:marRight w:val="0"/>
          <w:marTop w:val="0"/>
          <w:marBottom w:val="0"/>
          <w:divBdr>
            <w:top w:val="none" w:sz="0" w:space="0" w:color="auto"/>
            <w:left w:val="none" w:sz="0" w:space="0" w:color="auto"/>
            <w:bottom w:val="none" w:sz="0" w:space="0" w:color="auto"/>
            <w:right w:val="none" w:sz="0" w:space="0" w:color="auto"/>
          </w:divBdr>
        </w:div>
        <w:div w:id="245119387">
          <w:marLeft w:val="480"/>
          <w:marRight w:val="0"/>
          <w:marTop w:val="0"/>
          <w:marBottom w:val="0"/>
          <w:divBdr>
            <w:top w:val="none" w:sz="0" w:space="0" w:color="auto"/>
            <w:left w:val="none" w:sz="0" w:space="0" w:color="auto"/>
            <w:bottom w:val="none" w:sz="0" w:space="0" w:color="auto"/>
            <w:right w:val="none" w:sz="0" w:space="0" w:color="auto"/>
          </w:divBdr>
        </w:div>
        <w:div w:id="216012468">
          <w:marLeft w:val="480"/>
          <w:marRight w:val="0"/>
          <w:marTop w:val="0"/>
          <w:marBottom w:val="0"/>
          <w:divBdr>
            <w:top w:val="none" w:sz="0" w:space="0" w:color="auto"/>
            <w:left w:val="none" w:sz="0" w:space="0" w:color="auto"/>
            <w:bottom w:val="none" w:sz="0" w:space="0" w:color="auto"/>
            <w:right w:val="none" w:sz="0" w:space="0" w:color="auto"/>
          </w:divBdr>
        </w:div>
        <w:div w:id="108403175">
          <w:marLeft w:val="480"/>
          <w:marRight w:val="0"/>
          <w:marTop w:val="0"/>
          <w:marBottom w:val="0"/>
          <w:divBdr>
            <w:top w:val="none" w:sz="0" w:space="0" w:color="auto"/>
            <w:left w:val="none" w:sz="0" w:space="0" w:color="auto"/>
            <w:bottom w:val="none" w:sz="0" w:space="0" w:color="auto"/>
            <w:right w:val="none" w:sz="0" w:space="0" w:color="auto"/>
          </w:divBdr>
        </w:div>
        <w:div w:id="1950815238">
          <w:marLeft w:val="480"/>
          <w:marRight w:val="0"/>
          <w:marTop w:val="0"/>
          <w:marBottom w:val="0"/>
          <w:divBdr>
            <w:top w:val="none" w:sz="0" w:space="0" w:color="auto"/>
            <w:left w:val="none" w:sz="0" w:space="0" w:color="auto"/>
            <w:bottom w:val="none" w:sz="0" w:space="0" w:color="auto"/>
            <w:right w:val="none" w:sz="0" w:space="0" w:color="auto"/>
          </w:divBdr>
        </w:div>
        <w:div w:id="386034474">
          <w:marLeft w:val="480"/>
          <w:marRight w:val="0"/>
          <w:marTop w:val="0"/>
          <w:marBottom w:val="0"/>
          <w:divBdr>
            <w:top w:val="none" w:sz="0" w:space="0" w:color="auto"/>
            <w:left w:val="none" w:sz="0" w:space="0" w:color="auto"/>
            <w:bottom w:val="none" w:sz="0" w:space="0" w:color="auto"/>
            <w:right w:val="none" w:sz="0" w:space="0" w:color="auto"/>
          </w:divBdr>
        </w:div>
        <w:div w:id="1287001544">
          <w:marLeft w:val="480"/>
          <w:marRight w:val="0"/>
          <w:marTop w:val="0"/>
          <w:marBottom w:val="0"/>
          <w:divBdr>
            <w:top w:val="none" w:sz="0" w:space="0" w:color="auto"/>
            <w:left w:val="none" w:sz="0" w:space="0" w:color="auto"/>
            <w:bottom w:val="none" w:sz="0" w:space="0" w:color="auto"/>
            <w:right w:val="none" w:sz="0" w:space="0" w:color="auto"/>
          </w:divBdr>
        </w:div>
        <w:div w:id="2014523944">
          <w:marLeft w:val="480"/>
          <w:marRight w:val="0"/>
          <w:marTop w:val="0"/>
          <w:marBottom w:val="0"/>
          <w:divBdr>
            <w:top w:val="none" w:sz="0" w:space="0" w:color="auto"/>
            <w:left w:val="none" w:sz="0" w:space="0" w:color="auto"/>
            <w:bottom w:val="none" w:sz="0" w:space="0" w:color="auto"/>
            <w:right w:val="none" w:sz="0" w:space="0" w:color="auto"/>
          </w:divBdr>
        </w:div>
        <w:div w:id="1940259088">
          <w:marLeft w:val="480"/>
          <w:marRight w:val="0"/>
          <w:marTop w:val="0"/>
          <w:marBottom w:val="0"/>
          <w:divBdr>
            <w:top w:val="none" w:sz="0" w:space="0" w:color="auto"/>
            <w:left w:val="none" w:sz="0" w:space="0" w:color="auto"/>
            <w:bottom w:val="none" w:sz="0" w:space="0" w:color="auto"/>
            <w:right w:val="none" w:sz="0" w:space="0" w:color="auto"/>
          </w:divBdr>
        </w:div>
        <w:div w:id="1397120178">
          <w:marLeft w:val="480"/>
          <w:marRight w:val="0"/>
          <w:marTop w:val="0"/>
          <w:marBottom w:val="0"/>
          <w:divBdr>
            <w:top w:val="none" w:sz="0" w:space="0" w:color="auto"/>
            <w:left w:val="none" w:sz="0" w:space="0" w:color="auto"/>
            <w:bottom w:val="none" w:sz="0" w:space="0" w:color="auto"/>
            <w:right w:val="none" w:sz="0" w:space="0" w:color="auto"/>
          </w:divBdr>
        </w:div>
        <w:div w:id="1960837488">
          <w:marLeft w:val="480"/>
          <w:marRight w:val="0"/>
          <w:marTop w:val="0"/>
          <w:marBottom w:val="0"/>
          <w:divBdr>
            <w:top w:val="none" w:sz="0" w:space="0" w:color="auto"/>
            <w:left w:val="none" w:sz="0" w:space="0" w:color="auto"/>
            <w:bottom w:val="none" w:sz="0" w:space="0" w:color="auto"/>
            <w:right w:val="none" w:sz="0" w:space="0" w:color="auto"/>
          </w:divBdr>
        </w:div>
        <w:div w:id="1875001395">
          <w:marLeft w:val="480"/>
          <w:marRight w:val="0"/>
          <w:marTop w:val="0"/>
          <w:marBottom w:val="0"/>
          <w:divBdr>
            <w:top w:val="none" w:sz="0" w:space="0" w:color="auto"/>
            <w:left w:val="none" w:sz="0" w:space="0" w:color="auto"/>
            <w:bottom w:val="none" w:sz="0" w:space="0" w:color="auto"/>
            <w:right w:val="none" w:sz="0" w:space="0" w:color="auto"/>
          </w:divBdr>
        </w:div>
        <w:div w:id="120848851">
          <w:marLeft w:val="480"/>
          <w:marRight w:val="0"/>
          <w:marTop w:val="0"/>
          <w:marBottom w:val="0"/>
          <w:divBdr>
            <w:top w:val="none" w:sz="0" w:space="0" w:color="auto"/>
            <w:left w:val="none" w:sz="0" w:space="0" w:color="auto"/>
            <w:bottom w:val="none" w:sz="0" w:space="0" w:color="auto"/>
            <w:right w:val="none" w:sz="0" w:space="0" w:color="auto"/>
          </w:divBdr>
        </w:div>
        <w:div w:id="1952011864">
          <w:marLeft w:val="480"/>
          <w:marRight w:val="0"/>
          <w:marTop w:val="0"/>
          <w:marBottom w:val="0"/>
          <w:divBdr>
            <w:top w:val="none" w:sz="0" w:space="0" w:color="auto"/>
            <w:left w:val="none" w:sz="0" w:space="0" w:color="auto"/>
            <w:bottom w:val="none" w:sz="0" w:space="0" w:color="auto"/>
            <w:right w:val="none" w:sz="0" w:space="0" w:color="auto"/>
          </w:divBdr>
        </w:div>
        <w:div w:id="1327519297">
          <w:marLeft w:val="480"/>
          <w:marRight w:val="0"/>
          <w:marTop w:val="0"/>
          <w:marBottom w:val="0"/>
          <w:divBdr>
            <w:top w:val="none" w:sz="0" w:space="0" w:color="auto"/>
            <w:left w:val="none" w:sz="0" w:space="0" w:color="auto"/>
            <w:bottom w:val="none" w:sz="0" w:space="0" w:color="auto"/>
            <w:right w:val="none" w:sz="0" w:space="0" w:color="auto"/>
          </w:divBdr>
        </w:div>
        <w:div w:id="91828502">
          <w:marLeft w:val="480"/>
          <w:marRight w:val="0"/>
          <w:marTop w:val="0"/>
          <w:marBottom w:val="0"/>
          <w:divBdr>
            <w:top w:val="none" w:sz="0" w:space="0" w:color="auto"/>
            <w:left w:val="none" w:sz="0" w:space="0" w:color="auto"/>
            <w:bottom w:val="none" w:sz="0" w:space="0" w:color="auto"/>
            <w:right w:val="none" w:sz="0" w:space="0" w:color="auto"/>
          </w:divBdr>
        </w:div>
        <w:div w:id="1580628156">
          <w:marLeft w:val="480"/>
          <w:marRight w:val="0"/>
          <w:marTop w:val="0"/>
          <w:marBottom w:val="0"/>
          <w:divBdr>
            <w:top w:val="none" w:sz="0" w:space="0" w:color="auto"/>
            <w:left w:val="none" w:sz="0" w:space="0" w:color="auto"/>
            <w:bottom w:val="none" w:sz="0" w:space="0" w:color="auto"/>
            <w:right w:val="none" w:sz="0" w:space="0" w:color="auto"/>
          </w:divBdr>
        </w:div>
        <w:div w:id="404298823">
          <w:marLeft w:val="480"/>
          <w:marRight w:val="0"/>
          <w:marTop w:val="0"/>
          <w:marBottom w:val="0"/>
          <w:divBdr>
            <w:top w:val="none" w:sz="0" w:space="0" w:color="auto"/>
            <w:left w:val="none" w:sz="0" w:space="0" w:color="auto"/>
            <w:bottom w:val="none" w:sz="0" w:space="0" w:color="auto"/>
            <w:right w:val="none" w:sz="0" w:space="0" w:color="auto"/>
          </w:divBdr>
        </w:div>
        <w:div w:id="468010568">
          <w:marLeft w:val="480"/>
          <w:marRight w:val="0"/>
          <w:marTop w:val="0"/>
          <w:marBottom w:val="0"/>
          <w:divBdr>
            <w:top w:val="none" w:sz="0" w:space="0" w:color="auto"/>
            <w:left w:val="none" w:sz="0" w:space="0" w:color="auto"/>
            <w:bottom w:val="none" w:sz="0" w:space="0" w:color="auto"/>
            <w:right w:val="none" w:sz="0" w:space="0" w:color="auto"/>
          </w:divBdr>
        </w:div>
        <w:div w:id="763379435">
          <w:marLeft w:val="480"/>
          <w:marRight w:val="0"/>
          <w:marTop w:val="0"/>
          <w:marBottom w:val="0"/>
          <w:divBdr>
            <w:top w:val="none" w:sz="0" w:space="0" w:color="auto"/>
            <w:left w:val="none" w:sz="0" w:space="0" w:color="auto"/>
            <w:bottom w:val="none" w:sz="0" w:space="0" w:color="auto"/>
            <w:right w:val="none" w:sz="0" w:space="0" w:color="auto"/>
          </w:divBdr>
        </w:div>
        <w:div w:id="1899239091">
          <w:marLeft w:val="480"/>
          <w:marRight w:val="0"/>
          <w:marTop w:val="0"/>
          <w:marBottom w:val="0"/>
          <w:divBdr>
            <w:top w:val="none" w:sz="0" w:space="0" w:color="auto"/>
            <w:left w:val="none" w:sz="0" w:space="0" w:color="auto"/>
            <w:bottom w:val="none" w:sz="0" w:space="0" w:color="auto"/>
            <w:right w:val="none" w:sz="0" w:space="0" w:color="auto"/>
          </w:divBdr>
        </w:div>
        <w:div w:id="2003775637">
          <w:marLeft w:val="480"/>
          <w:marRight w:val="0"/>
          <w:marTop w:val="0"/>
          <w:marBottom w:val="0"/>
          <w:divBdr>
            <w:top w:val="none" w:sz="0" w:space="0" w:color="auto"/>
            <w:left w:val="none" w:sz="0" w:space="0" w:color="auto"/>
            <w:bottom w:val="none" w:sz="0" w:space="0" w:color="auto"/>
            <w:right w:val="none" w:sz="0" w:space="0" w:color="auto"/>
          </w:divBdr>
        </w:div>
        <w:div w:id="846946913">
          <w:marLeft w:val="480"/>
          <w:marRight w:val="0"/>
          <w:marTop w:val="0"/>
          <w:marBottom w:val="0"/>
          <w:divBdr>
            <w:top w:val="none" w:sz="0" w:space="0" w:color="auto"/>
            <w:left w:val="none" w:sz="0" w:space="0" w:color="auto"/>
            <w:bottom w:val="none" w:sz="0" w:space="0" w:color="auto"/>
            <w:right w:val="none" w:sz="0" w:space="0" w:color="auto"/>
          </w:divBdr>
        </w:div>
        <w:div w:id="1496218299">
          <w:marLeft w:val="480"/>
          <w:marRight w:val="0"/>
          <w:marTop w:val="0"/>
          <w:marBottom w:val="0"/>
          <w:divBdr>
            <w:top w:val="none" w:sz="0" w:space="0" w:color="auto"/>
            <w:left w:val="none" w:sz="0" w:space="0" w:color="auto"/>
            <w:bottom w:val="none" w:sz="0" w:space="0" w:color="auto"/>
            <w:right w:val="none" w:sz="0" w:space="0" w:color="auto"/>
          </w:divBdr>
        </w:div>
        <w:div w:id="1694383550">
          <w:marLeft w:val="480"/>
          <w:marRight w:val="0"/>
          <w:marTop w:val="0"/>
          <w:marBottom w:val="0"/>
          <w:divBdr>
            <w:top w:val="none" w:sz="0" w:space="0" w:color="auto"/>
            <w:left w:val="none" w:sz="0" w:space="0" w:color="auto"/>
            <w:bottom w:val="none" w:sz="0" w:space="0" w:color="auto"/>
            <w:right w:val="none" w:sz="0" w:space="0" w:color="auto"/>
          </w:divBdr>
        </w:div>
        <w:div w:id="2143300655">
          <w:marLeft w:val="480"/>
          <w:marRight w:val="0"/>
          <w:marTop w:val="0"/>
          <w:marBottom w:val="0"/>
          <w:divBdr>
            <w:top w:val="none" w:sz="0" w:space="0" w:color="auto"/>
            <w:left w:val="none" w:sz="0" w:space="0" w:color="auto"/>
            <w:bottom w:val="none" w:sz="0" w:space="0" w:color="auto"/>
            <w:right w:val="none" w:sz="0" w:space="0" w:color="auto"/>
          </w:divBdr>
        </w:div>
        <w:div w:id="2006474945">
          <w:marLeft w:val="480"/>
          <w:marRight w:val="0"/>
          <w:marTop w:val="0"/>
          <w:marBottom w:val="0"/>
          <w:divBdr>
            <w:top w:val="none" w:sz="0" w:space="0" w:color="auto"/>
            <w:left w:val="none" w:sz="0" w:space="0" w:color="auto"/>
            <w:bottom w:val="none" w:sz="0" w:space="0" w:color="auto"/>
            <w:right w:val="none" w:sz="0" w:space="0" w:color="auto"/>
          </w:divBdr>
        </w:div>
        <w:div w:id="416558750">
          <w:marLeft w:val="480"/>
          <w:marRight w:val="0"/>
          <w:marTop w:val="0"/>
          <w:marBottom w:val="0"/>
          <w:divBdr>
            <w:top w:val="none" w:sz="0" w:space="0" w:color="auto"/>
            <w:left w:val="none" w:sz="0" w:space="0" w:color="auto"/>
            <w:bottom w:val="none" w:sz="0" w:space="0" w:color="auto"/>
            <w:right w:val="none" w:sz="0" w:space="0" w:color="auto"/>
          </w:divBdr>
        </w:div>
        <w:div w:id="250745167">
          <w:marLeft w:val="480"/>
          <w:marRight w:val="0"/>
          <w:marTop w:val="0"/>
          <w:marBottom w:val="0"/>
          <w:divBdr>
            <w:top w:val="none" w:sz="0" w:space="0" w:color="auto"/>
            <w:left w:val="none" w:sz="0" w:space="0" w:color="auto"/>
            <w:bottom w:val="none" w:sz="0" w:space="0" w:color="auto"/>
            <w:right w:val="none" w:sz="0" w:space="0" w:color="auto"/>
          </w:divBdr>
        </w:div>
        <w:div w:id="781926213">
          <w:marLeft w:val="480"/>
          <w:marRight w:val="0"/>
          <w:marTop w:val="0"/>
          <w:marBottom w:val="0"/>
          <w:divBdr>
            <w:top w:val="none" w:sz="0" w:space="0" w:color="auto"/>
            <w:left w:val="none" w:sz="0" w:space="0" w:color="auto"/>
            <w:bottom w:val="none" w:sz="0" w:space="0" w:color="auto"/>
            <w:right w:val="none" w:sz="0" w:space="0" w:color="auto"/>
          </w:divBdr>
        </w:div>
        <w:div w:id="704059309">
          <w:marLeft w:val="480"/>
          <w:marRight w:val="0"/>
          <w:marTop w:val="0"/>
          <w:marBottom w:val="0"/>
          <w:divBdr>
            <w:top w:val="none" w:sz="0" w:space="0" w:color="auto"/>
            <w:left w:val="none" w:sz="0" w:space="0" w:color="auto"/>
            <w:bottom w:val="none" w:sz="0" w:space="0" w:color="auto"/>
            <w:right w:val="none" w:sz="0" w:space="0" w:color="auto"/>
          </w:divBdr>
        </w:div>
        <w:div w:id="1197620548">
          <w:marLeft w:val="480"/>
          <w:marRight w:val="0"/>
          <w:marTop w:val="0"/>
          <w:marBottom w:val="0"/>
          <w:divBdr>
            <w:top w:val="none" w:sz="0" w:space="0" w:color="auto"/>
            <w:left w:val="none" w:sz="0" w:space="0" w:color="auto"/>
            <w:bottom w:val="none" w:sz="0" w:space="0" w:color="auto"/>
            <w:right w:val="none" w:sz="0" w:space="0" w:color="auto"/>
          </w:divBdr>
        </w:div>
        <w:div w:id="1230844607">
          <w:marLeft w:val="480"/>
          <w:marRight w:val="0"/>
          <w:marTop w:val="0"/>
          <w:marBottom w:val="0"/>
          <w:divBdr>
            <w:top w:val="none" w:sz="0" w:space="0" w:color="auto"/>
            <w:left w:val="none" w:sz="0" w:space="0" w:color="auto"/>
            <w:bottom w:val="none" w:sz="0" w:space="0" w:color="auto"/>
            <w:right w:val="none" w:sz="0" w:space="0" w:color="auto"/>
          </w:divBdr>
        </w:div>
        <w:div w:id="102845144">
          <w:marLeft w:val="480"/>
          <w:marRight w:val="0"/>
          <w:marTop w:val="0"/>
          <w:marBottom w:val="0"/>
          <w:divBdr>
            <w:top w:val="none" w:sz="0" w:space="0" w:color="auto"/>
            <w:left w:val="none" w:sz="0" w:space="0" w:color="auto"/>
            <w:bottom w:val="none" w:sz="0" w:space="0" w:color="auto"/>
            <w:right w:val="none" w:sz="0" w:space="0" w:color="auto"/>
          </w:divBdr>
        </w:div>
        <w:div w:id="205525675">
          <w:marLeft w:val="480"/>
          <w:marRight w:val="0"/>
          <w:marTop w:val="0"/>
          <w:marBottom w:val="0"/>
          <w:divBdr>
            <w:top w:val="none" w:sz="0" w:space="0" w:color="auto"/>
            <w:left w:val="none" w:sz="0" w:space="0" w:color="auto"/>
            <w:bottom w:val="none" w:sz="0" w:space="0" w:color="auto"/>
            <w:right w:val="none" w:sz="0" w:space="0" w:color="auto"/>
          </w:divBdr>
        </w:div>
        <w:div w:id="362481096">
          <w:marLeft w:val="480"/>
          <w:marRight w:val="0"/>
          <w:marTop w:val="0"/>
          <w:marBottom w:val="0"/>
          <w:divBdr>
            <w:top w:val="none" w:sz="0" w:space="0" w:color="auto"/>
            <w:left w:val="none" w:sz="0" w:space="0" w:color="auto"/>
            <w:bottom w:val="none" w:sz="0" w:space="0" w:color="auto"/>
            <w:right w:val="none" w:sz="0" w:space="0" w:color="auto"/>
          </w:divBdr>
        </w:div>
        <w:div w:id="227543298">
          <w:marLeft w:val="480"/>
          <w:marRight w:val="0"/>
          <w:marTop w:val="0"/>
          <w:marBottom w:val="0"/>
          <w:divBdr>
            <w:top w:val="none" w:sz="0" w:space="0" w:color="auto"/>
            <w:left w:val="none" w:sz="0" w:space="0" w:color="auto"/>
            <w:bottom w:val="none" w:sz="0" w:space="0" w:color="auto"/>
            <w:right w:val="none" w:sz="0" w:space="0" w:color="auto"/>
          </w:divBdr>
        </w:div>
        <w:div w:id="490218158">
          <w:marLeft w:val="480"/>
          <w:marRight w:val="0"/>
          <w:marTop w:val="0"/>
          <w:marBottom w:val="0"/>
          <w:divBdr>
            <w:top w:val="none" w:sz="0" w:space="0" w:color="auto"/>
            <w:left w:val="none" w:sz="0" w:space="0" w:color="auto"/>
            <w:bottom w:val="none" w:sz="0" w:space="0" w:color="auto"/>
            <w:right w:val="none" w:sz="0" w:space="0" w:color="auto"/>
          </w:divBdr>
        </w:div>
        <w:div w:id="1416515296">
          <w:marLeft w:val="480"/>
          <w:marRight w:val="0"/>
          <w:marTop w:val="0"/>
          <w:marBottom w:val="0"/>
          <w:divBdr>
            <w:top w:val="none" w:sz="0" w:space="0" w:color="auto"/>
            <w:left w:val="none" w:sz="0" w:space="0" w:color="auto"/>
            <w:bottom w:val="none" w:sz="0" w:space="0" w:color="auto"/>
            <w:right w:val="none" w:sz="0" w:space="0" w:color="auto"/>
          </w:divBdr>
        </w:div>
        <w:div w:id="1799255847">
          <w:marLeft w:val="480"/>
          <w:marRight w:val="0"/>
          <w:marTop w:val="0"/>
          <w:marBottom w:val="0"/>
          <w:divBdr>
            <w:top w:val="none" w:sz="0" w:space="0" w:color="auto"/>
            <w:left w:val="none" w:sz="0" w:space="0" w:color="auto"/>
            <w:bottom w:val="none" w:sz="0" w:space="0" w:color="auto"/>
            <w:right w:val="none" w:sz="0" w:space="0" w:color="auto"/>
          </w:divBdr>
        </w:div>
        <w:div w:id="1588534685">
          <w:marLeft w:val="480"/>
          <w:marRight w:val="0"/>
          <w:marTop w:val="0"/>
          <w:marBottom w:val="0"/>
          <w:divBdr>
            <w:top w:val="none" w:sz="0" w:space="0" w:color="auto"/>
            <w:left w:val="none" w:sz="0" w:space="0" w:color="auto"/>
            <w:bottom w:val="none" w:sz="0" w:space="0" w:color="auto"/>
            <w:right w:val="none" w:sz="0" w:space="0" w:color="auto"/>
          </w:divBdr>
        </w:div>
        <w:div w:id="693265167">
          <w:marLeft w:val="480"/>
          <w:marRight w:val="0"/>
          <w:marTop w:val="0"/>
          <w:marBottom w:val="0"/>
          <w:divBdr>
            <w:top w:val="none" w:sz="0" w:space="0" w:color="auto"/>
            <w:left w:val="none" w:sz="0" w:space="0" w:color="auto"/>
            <w:bottom w:val="none" w:sz="0" w:space="0" w:color="auto"/>
            <w:right w:val="none" w:sz="0" w:space="0" w:color="auto"/>
          </w:divBdr>
        </w:div>
        <w:div w:id="512648796">
          <w:marLeft w:val="480"/>
          <w:marRight w:val="0"/>
          <w:marTop w:val="0"/>
          <w:marBottom w:val="0"/>
          <w:divBdr>
            <w:top w:val="none" w:sz="0" w:space="0" w:color="auto"/>
            <w:left w:val="none" w:sz="0" w:space="0" w:color="auto"/>
            <w:bottom w:val="none" w:sz="0" w:space="0" w:color="auto"/>
            <w:right w:val="none" w:sz="0" w:space="0" w:color="auto"/>
          </w:divBdr>
        </w:div>
        <w:div w:id="1787308607">
          <w:marLeft w:val="480"/>
          <w:marRight w:val="0"/>
          <w:marTop w:val="0"/>
          <w:marBottom w:val="0"/>
          <w:divBdr>
            <w:top w:val="none" w:sz="0" w:space="0" w:color="auto"/>
            <w:left w:val="none" w:sz="0" w:space="0" w:color="auto"/>
            <w:bottom w:val="none" w:sz="0" w:space="0" w:color="auto"/>
            <w:right w:val="none" w:sz="0" w:space="0" w:color="auto"/>
          </w:divBdr>
        </w:div>
        <w:div w:id="679700694">
          <w:marLeft w:val="480"/>
          <w:marRight w:val="0"/>
          <w:marTop w:val="0"/>
          <w:marBottom w:val="0"/>
          <w:divBdr>
            <w:top w:val="none" w:sz="0" w:space="0" w:color="auto"/>
            <w:left w:val="none" w:sz="0" w:space="0" w:color="auto"/>
            <w:bottom w:val="none" w:sz="0" w:space="0" w:color="auto"/>
            <w:right w:val="none" w:sz="0" w:space="0" w:color="auto"/>
          </w:divBdr>
        </w:div>
        <w:div w:id="318770128">
          <w:marLeft w:val="480"/>
          <w:marRight w:val="0"/>
          <w:marTop w:val="0"/>
          <w:marBottom w:val="0"/>
          <w:divBdr>
            <w:top w:val="none" w:sz="0" w:space="0" w:color="auto"/>
            <w:left w:val="none" w:sz="0" w:space="0" w:color="auto"/>
            <w:bottom w:val="none" w:sz="0" w:space="0" w:color="auto"/>
            <w:right w:val="none" w:sz="0" w:space="0" w:color="auto"/>
          </w:divBdr>
        </w:div>
        <w:div w:id="1544052453">
          <w:marLeft w:val="480"/>
          <w:marRight w:val="0"/>
          <w:marTop w:val="0"/>
          <w:marBottom w:val="0"/>
          <w:divBdr>
            <w:top w:val="none" w:sz="0" w:space="0" w:color="auto"/>
            <w:left w:val="none" w:sz="0" w:space="0" w:color="auto"/>
            <w:bottom w:val="none" w:sz="0" w:space="0" w:color="auto"/>
            <w:right w:val="none" w:sz="0" w:space="0" w:color="auto"/>
          </w:divBdr>
        </w:div>
        <w:div w:id="302387999">
          <w:marLeft w:val="480"/>
          <w:marRight w:val="0"/>
          <w:marTop w:val="0"/>
          <w:marBottom w:val="0"/>
          <w:divBdr>
            <w:top w:val="none" w:sz="0" w:space="0" w:color="auto"/>
            <w:left w:val="none" w:sz="0" w:space="0" w:color="auto"/>
            <w:bottom w:val="none" w:sz="0" w:space="0" w:color="auto"/>
            <w:right w:val="none" w:sz="0" w:space="0" w:color="auto"/>
          </w:divBdr>
        </w:div>
        <w:div w:id="548298170">
          <w:marLeft w:val="480"/>
          <w:marRight w:val="0"/>
          <w:marTop w:val="0"/>
          <w:marBottom w:val="0"/>
          <w:divBdr>
            <w:top w:val="none" w:sz="0" w:space="0" w:color="auto"/>
            <w:left w:val="none" w:sz="0" w:space="0" w:color="auto"/>
            <w:bottom w:val="none" w:sz="0" w:space="0" w:color="auto"/>
            <w:right w:val="none" w:sz="0" w:space="0" w:color="auto"/>
          </w:divBdr>
        </w:div>
        <w:div w:id="1209760055">
          <w:marLeft w:val="480"/>
          <w:marRight w:val="0"/>
          <w:marTop w:val="0"/>
          <w:marBottom w:val="0"/>
          <w:divBdr>
            <w:top w:val="none" w:sz="0" w:space="0" w:color="auto"/>
            <w:left w:val="none" w:sz="0" w:space="0" w:color="auto"/>
            <w:bottom w:val="none" w:sz="0" w:space="0" w:color="auto"/>
            <w:right w:val="none" w:sz="0" w:space="0" w:color="auto"/>
          </w:divBdr>
        </w:div>
        <w:div w:id="1470708517">
          <w:marLeft w:val="480"/>
          <w:marRight w:val="0"/>
          <w:marTop w:val="0"/>
          <w:marBottom w:val="0"/>
          <w:divBdr>
            <w:top w:val="none" w:sz="0" w:space="0" w:color="auto"/>
            <w:left w:val="none" w:sz="0" w:space="0" w:color="auto"/>
            <w:bottom w:val="none" w:sz="0" w:space="0" w:color="auto"/>
            <w:right w:val="none" w:sz="0" w:space="0" w:color="auto"/>
          </w:divBdr>
        </w:div>
        <w:div w:id="1601179873">
          <w:marLeft w:val="480"/>
          <w:marRight w:val="0"/>
          <w:marTop w:val="0"/>
          <w:marBottom w:val="0"/>
          <w:divBdr>
            <w:top w:val="none" w:sz="0" w:space="0" w:color="auto"/>
            <w:left w:val="none" w:sz="0" w:space="0" w:color="auto"/>
            <w:bottom w:val="none" w:sz="0" w:space="0" w:color="auto"/>
            <w:right w:val="none" w:sz="0" w:space="0" w:color="auto"/>
          </w:divBdr>
        </w:div>
        <w:div w:id="1233272966">
          <w:marLeft w:val="480"/>
          <w:marRight w:val="0"/>
          <w:marTop w:val="0"/>
          <w:marBottom w:val="0"/>
          <w:divBdr>
            <w:top w:val="none" w:sz="0" w:space="0" w:color="auto"/>
            <w:left w:val="none" w:sz="0" w:space="0" w:color="auto"/>
            <w:bottom w:val="none" w:sz="0" w:space="0" w:color="auto"/>
            <w:right w:val="none" w:sz="0" w:space="0" w:color="auto"/>
          </w:divBdr>
        </w:div>
        <w:div w:id="252663827">
          <w:marLeft w:val="480"/>
          <w:marRight w:val="0"/>
          <w:marTop w:val="0"/>
          <w:marBottom w:val="0"/>
          <w:divBdr>
            <w:top w:val="none" w:sz="0" w:space="0" w:color="auto"/>
            <w:left w:val="none" w:sz="0" w:space="0" w:color="auto"/>
            <w:bottom w:val="none" w:sz="0" w:space="0" w:color="auto"/>
            <w:right w:val="none" w:sz="0" w:space="0" w:color="auto"/>
          </w:divBdr>
        </w:div>
        <w:div w:id="1152679692">
          <w:marLeft w:val="480"/>
          <w:marRight w:val="0"/>
          <w:marTop w:val="0"/>
          <w:marBottom w:val="0"/>
          <w:divBdr>
            <w:top w:val="none" w:sz="0" w:space="0" w:color="auto"/>
            <w:left w:val="none" w:sz="0" w:space="0" w:color="auto"/>
            <w:bottom w:val="none" w:sz="0" w:space="0" w:color="auto"/>
            <w:right w:val="none" w:sz="0" w:space="0" w:color="auto"/>
          </w:divBdr>
        </w:div>
        <w:div w:id="1655184619">
          <w:marLeft w:val="480"/>
          <w:marRight w:val="0"/>
          <w:marTop w:val="0"/>
          <w:marBottom w:val="0"/>
          <w:divBdr>
            <w:top w:val="none" w:sz="0" w:space="0" w:color="auto"/>
            <w:left w:val="none" w:sz="0" w:space="0" w:color="auto"/>
            <w:bottom w:val="none" w:sz="0" w:space="0" w:color="auto"/>
            <w:right w:val="none" w:sz="0" w:space="0" w:color="auto"/>
          </w:divBdr>
        </w:div>
        <w:div w:id="1334449396">
          <w:marLeft w:val="480"/>
          <w:marRight w:val="0"/>
          <w:marTop w:val="0"/>
          <w:marBottom w:val="0"/>
          <w:divBdr>
            <w:top w:val="none" w:sz="0" w:space="0" w:color="auto"/>
            <w:left w:val="none" w:sz="0" w:space="0" w:color="auto"/>
            <w:bottom w:val="none" w:sz="0" w:space="0" w:color="auto"/>
            <w:right w:val="none" w:sz="0" w:space="0" w:color="auto"/>
          </w:divBdr>
        </w:div>
        <w:div w:id="93401303">
          <w:marLeft w:val="480"/>
          <w:marRight w:val="0"/>
          <w:marTop w:val="0"/>
          <w:marBottom w:val="0"/>
          <w:divBdr>
            <w:top w:val="none" w:sz="0" w:space="0" w:color="auto"/>
            <w:left w:val="none" w:sz="0" w:space="0" w:color="auto"/>
            <w:bottom w:val="none" w:sz="0" w:space="0" w:color="auto"/>
            <w:right w:val="none" w:sz="0" w:space="0" w:color="auto"/>
          </w:divBdr>
        </w:div>
        <w:div w:id="1699089446">
          <w:marLeft w:val="480"/>
          <w:marRight w:val="0"/>
          <w:marTop w:val="0"/>
          <w:marBottom w:val="0"/>
          <w:divBdr>
            <w:top w:val="none" w:sz="0" w:space="0" w:color="auto"/>
            <w:left w:val="none" w:sz="0" w:space="0" w:color="auto"/>
            <w:bottom w:val="none" w:sz="0" w:space="0" w:color="auto"/>
            <w:right w:val="none" w:sz="0" w:space="0" w:color="auto"/>
          </w:divBdr>
        </w:div>
        <w:div w:id="87777842">
          <w:marLeft w:val="480"/>
          <w:marRight w:val="0"/>
          <w:marTop w:val="0"/>
          <w:marBottom w:val="0"/>
          <w:divBdr>
            <w:top w:val="none" w:sz="0" w:space="0" w:color="auto"/>
            <w:left w:val="none" w:sz="0" w:space="0" w:color="auto"/>
            <w:bottom w:val="none" w:sz="0" w:space="0" w:color="auto"/>
            <w:right w:val="none" w:sz="0" w:space="0" w:color="auto"/>
          </w:divBdr>
        </w:div>
        <w:div w:id="1765111026">
          <w:marLeft w:val="480"/>
          <w:marRight w:val="0"/>
          <w:marTop w:val="0"/>
          <w:marBottom w:val="0"/>
          <w:divBdr>
            <w:top w:val="none" w:sz="0" w:space="0" w:color="auto"/>
            <w:left w:val="none" w:sz="0" w:space="0" w:color="auto"/>
            <w:bottom w:val="none" w:sz="0" w:space="0" w:color="auto"/>
            <w:right w:val="none" w:sz="0" w:space="0" w:color="auto"/>
          </w:divBdr>
        </w:div>
        <w:div w:id="2083990889">
          <w:marLeft w:val="480"/>
          <w:marRight w:val="0"/>
          <w:marTop w:val="0"/>
          <w:marBottom w:val="0"/>
          <w:divBdr>
            <w:top w:val="none" w:sz="0" w:space="0" w:color="auto"/>
            <w:left w:val="none" w:sz="0" w:space="0" w:color="auto"/>
            <w:bottom w:val="none" w:sz="0" w:space="0" w:color="auto"/>
            <w:right w:val="none" w:sz="0" w:space="0" w:color="auto"/>
          </w:divBdr>
        </w:div>
        <w:div w:id="1918712957">
          <w:marLeft w:val="480"/>
          <w:marRight w:val="0"/>
          <w:marTop w:val="0"/>
          <w:marBottom w:val="0"/>
          <w:divBdr>
            <w:top w:val="none" w:sz="0" w:space="0" w:color="auto"/>
            <w:left w:val="none" w:sz="0" w:space="0" w:color="auto"/>
            <w:bottom w:val="none" w:sz="0" w:space="0" w:color="auto"/>
            <w:right w:val="none" w:sz="0" w:space="0" w:color="auto"/>
          </w:divBdr>
        </w:div>
        <w:div w:id="1671710975">
          <w:marLeft w:val="480"/>
          <w:marRight w:val="0"/>
          <w:marTop w:val="0"/>
          <w:marBottom w:val="0"/>
          <w:divBdr>
            <w:top w:val="none" w:sz="0" w:space="0" w:color="auto"/>
            <w:left w:val="none" w:sz="0" w:space="0" w:color="auto"/>
            <w:bottom w:val="none" w:sz="0" w:space="0" w:color="auto"/>
            <w:right w:val="none" w:sz="0" w:space="0" w:color="auto"/>
          </w:divBdr>
        </w:div>
        <w:div w:id="2035765167">
          <w:marLeft w:val="480"/>
          <w:marRight w:val="0"/>
          <w:marTop w:val="0"/>
          <w:marBottom w:val="0"/>
          <w:divBdr>
            <w:top w:val="none" w:sz="0" w:space="0" w:color="auto"/>
            <w:left w:val="none" w:sz="0" w:space="0" w:color="auto"/>
            <w:bottom w:val="none" w:sz="0" w:space="0" w:color="auto"/>
            <w:right w:val="none" w:sz="0" w:space="0" w:color="auto"/>
          </w:divBdr>
        </w:div>
        <w:div w:id="648633165">
          <w:marLeft w:val="480"/>
          <w:marRight w:val="0"/>
          <w:marTop w:val="0"/>
          <w:marBottom w:val="0"/>
          <w:divBdr>
            <w:top w:val="none" w:sz="0" w:space="0" w:color="auto"/>
            <w:left w:val="none" w:sz="0" w:space="0" w:color="auto"/>
            <w:bottom w:val="none" w:sz="0" w:space="0" w:color="auto"/>
            <w:right w:val="none" w:sz="0" w:space="0" w:color="auto"/>
          </w:divBdr>
        </w:div>
        <w:div w:id="871575086">
          <w:marLeft w:val="480"/>
          <w:marRight w:val="0"/>
          <w:marTop w:val="0"/>
          <w:marBottom w:val="0"/>
          <w:divBdr>
            <w:top w:val="none" w:sz="0" w:space="0" w:color="auto"/>
            <w:left w:val="none" w:sz="0" w:space="0" w:color="auto"/>
            <w:bottom w:val="none" w:sz="0" w:space="0" w:color="auto"/>
            <w:right w:val="none" w:sz="0" w:space="0" w:color="auto"/>
          </w:divBdr>
        </w:div>
        <w:div w:id="2044209450">
          <w:marLeft w:val="480"/>
          <w:marRight w:val="0"/>
          <w:marTop w:val="0"/>
          <w:marBottom w:val="0"/>
          <w:divBdr>
            <w:top w:val="none" w:sz="0" w:space="0" w:color="auto"/>
            <w:left w:val="none" w:sz="0" w:space="0" w:color="auto"/>
            <w:bottom w:val="none" w:sz="0" w:space="0" w:color="auto"/>
            <w:right w:val="none" w:sz="0" w:space="0" w:color="auto"/>
          </w:divBdr>
        </w:div>
        <w:div w:id="1195389195">
          <w:marLeft w:val="480"/>
          <w:marRight w:val="0"/>
          <w:marTop w:val="0"/>
          <w:marBottom w:val="0"/>
          <w:divBdr>
            <w:top w:val="none" w:sz="0" w:space="0" w:color="auto"/>
            <w:left w:val="none" w:sz="0" w:space="0" w:color="auto"/>
            <w:bottom w:val="none" w:sz="0" w:space="0" w:color="auto"/>
            <w:right w:val="none" w:sz="0" w:space="0" w:color="auto"/>
          </w:divBdr>
        </w:div>
        <w:div w:id="1356544465">
          <w:marLeft w:val="480"/>
          <w:marRight w:val="0"/>
          <w:marTop w:val="0"/>
          <w:marBottom w:val="0"/>
          <w:divBdr>
            <w:top w:val="none" w:sz="0" w:space="0" w:color="auto"/>
            <w:left w:val="none" w:sz="0" w:space="0" w:color="auto"/>
            <w:bottom w:val="none" w:sz="0" w:space="0" w:color="auto"/>
            <w:right w:val="none" w:sz="0" w:space="0" w:color="auto"/>
          </w:divBdr>
        </w:div>
        <w:div w:id="1102191100">
          <w:marLeft w:val="480"/>
          <w:marRight w:val="0"/>
          <w:marTop w:val="0"/>
          <w:marBottom w:val="0"/>
          <w:divBdr>
            <w:top w:val="none" w:sz="0" w:space="0" w:color="auto"/>
            <w:left w:val="none" w:sz="0" w:space="0" w:color="auto"/>
            <w:bottom w:val="none" w:sz="0" w:space="0" w:color="auto"/>
            <w:right w:val="none" w:sz="0" w:space="0" w:color="auto"/>
          </w:divBdr>
        </w:div>
        <w:div w:id="1573732567">
          <w:marLeft w:val="480"/>
          <w:marRight w:val="0"/>
          <w:marTop w:val="0"/>
          <w:marBottom w:val="0"/>
          <w:divBdr>
            <w:top w:val="none" w:sz="0" w:space="0" w:color="auto"/>
            <w:left w:val="none" w:sz="0" w:space="0" w:color="auto"/>
            <w:bottom w:val="none" w:sz="0" w:space="0" w:color="auto"/>
            <w:right w:val="none" w:sz="0" w:space="0" w:color="auto"/>
          </w:divBdr>
        </w:div>
        <w:div w:id="1769888707">
          <w:marLeft w:val="480"/>
          <w:marRight w:val="0"/>
          <w:marTop w:val="0"/>
          <w:marBottom w:val="0"/>
          <w:divBdr>
            <w:top w:val="none" w:sz="0" w:space="0" w:color="auto"/>
            <w:left w:val="none" w:sz="0" w:space="0" w:color="auto"/>
            <w:bottom w:val="none" w:sz="0" w:space="0" w:color="auto"/>
            <w:right w:val="none" w:sz="0" w:space="0" w:color="auto"/>
          </w:divBdr>
        </w:div>
        <w:div w:id="1816098007">
          <w:marLeft w:val="480"/>
          <w:marRight w:val="0"/>
          <w:marTop w:val="0"/>
          <w:marBottom w:val="0"/>
          <w:divBdr>
            <w:top w:val="none" w:sz="0" w:space="0" w:color="auto"/>
            <w:left w:val="none" w:sz="0" w:space="0" w:color="auto"/>
            <w:bottom w:val="none" w:sz="0" w:space="0" w:color="auto"/>
            <w:right w:val="none" w:sz="0" w:space="0" w:color="auto"/>
          </w:divBdr>
        </w:div>
        <w:div w:id="1461337347">
          <w:marLeft w:val="480"/>
          <w:marRight w:val="0"/>
          <w:marTop w:val="0"/>
          <w:marBottom w:val="0"/>
          <w:divBdr>
            <w:top w:val="none" w:sz="0" w:space="0" w:color="auto"/>
            <w:left w:val="none" w:sz="0" w:space="0" w:color="auto"/>
            <w:bottom w:val="none" w:sz="0" w:space="0" w:color="auto"/>
            <w:right w:val="none" w:sz="0" w:space="0" w:color="auto"/>
          </w:divBdr>
        </w:div>
        <w:div w:id="1572079147">
          <w:marLeft w:val="480"/>
          <w:marRight w:val="0"/>
          <w:marTop w:val="0"/>
          <w:marBottom w:val="0"/>
          <w:divBdr>
            <w:top w:val="none" w:sz="0" w:space="0" w:color="auto"/>
            <w:left w:val="none" w:sz="0" w:space="0" w:color="auto"/>
            <w:bottom w:val="none" w:sz="0" w:space="0" w:color="auto"/>
            <w:right w:val="none" w:sz="0" w:space="0" w:color="auto"/>
          </w:divBdr>
        </w:div>
        <w:div w:id="719591643">
          <w:marLeft w:val="480"/>
          <w:marRight w:val="0"/>
          <w:marTop w:val="0"/>
          <w:marBottom w:val="0"/>
          <w:divBdr>
            <w:top w:val="none" w:sz="0" w:space="0" w:color="auto"/>
            <w:left w:val="none" w:sz="0" w:space="0" w:color="auto"/>
            <w:bottom w:val="none" w:sz="0" w:space="0" w:color="auto"/>
            <w:right w:val="none" w:sz="0" w:space="0" w:color="auto"/>
          </w:divBdr>
        </w:div>
        <w:div w:id="1421217418">
          <w:marLeft w:val="480"/>
          <w:marRight w:val="0"/>
          <w:marTop w:val="0"/>
          <w:marBottom w:val="0"/>
          <w:divBdr>
            <w:top w:val="none" w:sz="0" w:space="0" w:color="auto"/>
            <w:left w:val="none" w:sz="0" w:space="0" w:color="auto"/>
            <w:bottom w:val="none" w:sz="0" w:space="0" w:color="auto"/>
            <w:right w:val="none" w:sz="0" w:space="0" w:color="auto"/>
          </w:divBdr>
        </w:div>
        <w:div w:id="321737573">
          <w:marLeft w:val="480"/>
          <w:marRight w:val="0"/>
          <w:marTop w:val="0"/>
          <w:marBottom w:val="0"/>
          <w:divBdr>
            <w:top w:val="none" w:sz="0" w:space="0" w:color="auto"/>
            <w:left w:val="none" w:sz="0" w:space="0" w:color="auto"/>
            <w:bottom w:val="none" w:sz="0" w:space="0" w:color="auto"/>
            <w:right w:val="none" w:sz="0" w:space="0" w:color="auto"/>
          </w:divBdr>
        </w:div>
        <w:div w:id="482088723">
          <w:marLeft w:val="480"/>
          <w:marRight w:val="0"/>
          <w:marTop w:val="0"/>
          <w:marBottom w:val="0"/>
          <w:divBdr>
            <w:top w:val="none" w:sz="0" w:space="0" w:color="auto"/>
            <w:left w:val="none" w:sz="0" w:space="0" w:color="auto"/>
            <w:bottom w:val="none" w:sz="0" w:space="0" w:color="auto"/>
            <w:right w:val="none" w:sz="0" w:space="0" w:color="auto"/>
          </w:divBdr>
        </w:div>
        <w:div w:id="97219949">
          <w:marLeft w:val="480"/>
          <w:marRight w:val="0"/>
          <w:marTop w:val="0"/>
          <w:marBottom w:val="0"/>
          <w:divBdr>
            <w:top w:val="none" w:sz="0" w:space="0" w:color="auto"/>
            <w:left w:val="none" w:sz="0" w:space="0" w:color="auto"/>
            <w:bottom w:val="none" w:sz="0" w:space="0" w:color="auto"/>
            <w:right w:val="none" w:sz="0" w:space="0" w:color="auto"/>
          </w:divBdr>
        </w:div>
        <w:div w:id="188296034">
          <w:marLeft w:val="480"/>
          <w:marRight w:val="0"/>
          <w:marTop w:val="0"/>
          <w:marBottom w:val="0"/>
          <w:divBdr>
            <w:top w:val="none" w:sz="0" w:space="0" w:color="auto"/>
            <w:left w:val="none" w:sz="0" w:space="0" w:color="auto"/>
            <w:bottom w:val="none" w:sz="0" w:space="0" w:color="auto"/>
            <w:right w:val="none" w:sz="0" w:space="0" w:color="auto"/>
          </w:divBdr>
        </w:div>
        <w:div w:id="973557134">
          <w:marLeft w:val="480"/>
          <w:marRight w:val="0"/>
          <w:marTop w:val="0"/>
          <w:marBottom w:val="0"/>
          <w:divBdr>
            <w:top w:val="none" w:sz="0" w:space="0" w:color="auto"/>
            <w:left w:val="none" w:sz="0" w:space="0" w:color="auto"/>
            <w:bottom w:val="none" w:sz="0" w:space="0" w:color="auto"/>
            <w:right w:val="none" w:sz="0" w:space="0" w:color="auto"/>
          </w:divBdr>
        </w:div>
        <w:div w:id="2145613341">
          <w:marLeft w:val="480"/>
          <w:marRight w:val="0"/>
          <w:marTop w:val="0"/>
          <w:marBottom w:val="0"/>
          <w:divBdr>
            <w:top w:val="none" w:sz="0" w:space="0" w:color="auto"/>
            <w:left w:val="none" w:sz="0" w:space="0" w:color="auto"/>
            <w:bottom w:val="none" w:sz="0" w:space="0" w:color="auto"/>
            <w:right w:val="none" w:sz="0" w:space="0" w:color="auto"/>
          </w:divBdr>
        </w:div>
        <w:div w:id="845705562">
          <w:marLeft w:val="480"/>
          <w:marRight w:val="0"/>
          <w:marTop w:val="0"/>
          <w:marBottom w:val="0"/>
          <w:divBdr>
            <w:top w:val="none" w:sz="0" w:space="0" w:color="auto"/>
            <w:left w:val="none" w:sz="0" w:space="0" w:color="auto"/>
            <w:bottom w:val="none" w:sz="0" w:space="0" w:color="auto"/>
            <w:right w:val="none" w:sz="0" w:space="0" w:color="auto"/>
          </w:divBdr>
        </w:div>
        <w:div w:id="283077748">
          <w:marLeft w:val="480"/>
          <w:marRight w:val="0"/>
          <w:marTop w:val="0"/>
          <w:marBottom w:val="0"/>
          <w:divBdr>
            <w:top w:val="none" w:sz="0" w:space="0" w:color="auto"/>
            <w:left w:val="none" w:sz="0" w:space="0" w:color="auto"/>
            <w:bottom w:val="none" w:sz="0" w:space="0" w:color="auto"/>
            <w:right w:val="none" w:sz="0" w:space="0" w:color="auto"/>
          </w:divBdr>
        </w:div>
        <w:div w:id="2051296301">
          <w:marLeft w:val="480"/>
          <w:marRight w:val="0"/>
          <w:marTop w:val="0"/>
          <w:marBottom w:val="0"/>
          <w:divBdr>
            <w:top w:val="none" w:sz="0" w:space="0" w:color="auto"/>
            <w:left w:val="none" w:sz="0" w:space="0" w:color="auto"/>
            <w:bottom w:val="none" w:sz="0" w:space="0" w:color="auto"/>
            <w:right w:val="none" w:sz="0" w:space="0" w:color="auto"/>
          </w:divBdr>
        </w:div>
        <w:div w:id="1814638460">
          <w:marLeft w:val="480"/>
          <w:marRight w:val="0"/>
          <w:marTop w:val="0"/>
          <w:marBottom w:val="0"/>
          <w:divBdr>
            <w:top w:val="none" w:sz="0" w:space="0" w:color="auto"/>
            <w:left w:val="none" w:sz="0" w:space="0" w:color="auto"/>
            <w:bottom w:val="none" w:sz="0" w:space="0" w:color="auto"/>
            <w:right w:val="none" w:sz="0" w:space="0" w:color="auto"/>
          </w:divBdr>
        </w:div>
        <w:div w:id="1914774486">
          <w:marLeft w:val="480"/>
          <w:marRight w:val="0"/>
          <w:marTop w:val="0"/>
          <w:marBottom w:val="0"/>
          <w:divBdr>
            <w:top w:val="none" w:sz="0" w:space="0" w:color="auto"/>
            <w:left w:val="none" w:sz="0" w:space="0" w:color="auto"/>
            <w:bottom w:val="none" w:sz="0" w:space="0" w:color="auto"/>
            <w:right w:val="none" w:sz="0" w:space="0" w:color="auto"/>
          </w:divBdr>
        </w:div>
        <w:div w:id="3410426">
          <w:marLeft w:val="480"/>
          <w:marRight w:val="0"/>
          <w:marTop w:val="0"/>
          <w:marBottom w:val="0"/>
          <w:divBdr>
            <w:top w:val="none" w:sz="0" w:space="0" w:color="auto"/>
            <w:left w:val="none" w:sz="0" w:space="0" w:color="auto"/>
            <w:bottom w:val="none" w:sz="0" w:space="0" w:color="auto"/>
            <w:right w:val="none" w:sz="0" w:space="0" w:color="auto"/>
          </w:divBdr>
        </w:div>
        <w:div w:id="1310785680">
          <w:marLeft w:val="480"/>
          <w:marRight w:val="0"/>
          <w:marTop w:val="0"/>
          <w:marBottom w:val="0"/>
          <w:divBdr>
            <w:top w:val="none" w:sz="0" w:space="0" w:color="auto"/>
            <w:left w:val="none" w:sz="0" w:space="0" w:color="auto"/>
            <w:bottom w:val="none" w:sz="0" w:space="0" w:color="auto"/>
            <w:right w:val="none" w:sz="0" w:space="0" w:color="auto"/>
          </w:divBdr>
        </w:div>
        <w:div w:id="452479820">
          <w:marLeft w:val="480"/>
          <w:marRight w:val="0"/>
          <w:marTop w:val="0"/>
          <w:marBottom w:val="0"/>
          <w:divBdr>
            <w:top w:val="none" w:sz="0" w:space="0" w:color="auto"/>
            <w:left w:val="none" w:sz="0" w:space="0" w:color="auto"/>
            <w:bottom w:val="none" w:sz="0" w:space="0" w:color="auto"/>
            <w:right w:val="none" w:sz="0" w:space="0" w:color="auto"/>
          </w:divBdr>
        </w:div>
        <w:div w:id="2107187551">
          <w:marLeft w:val="480"/>
          <w:marRight w:val="0"/>
          <w:marTop w:val="0"/>
          <w:marBottom w:val="0"/>
          <w:divBdr>
            <w:top w:val="none" w:sz="0" w:space="0" w:color="auto"/>
            <w:left w:val="none" w:sz="0" w:space="0" w:color="auto"/>
            <w:bottom w:val="none" w:sz="0" w:space="0" w:color="auto"/>
            <w:right w:val="none" w:sz="0" w:space="0" w:color="auto"/>
          </w:divBdr>
        </w:div>
        <w:div w:id="1153450700">
          <w:marLeft w:val="480"/>
          <w:marRight w:val="0"/>
          <w:marTop w:val="0"/>
          <w:marBottom w:val="0"/>
          <w:divBdr>
            <w:top w:val="none" w:sz="0" w:space="0" w:color="auto"/>
            <w:left w:val="none" w:sz="0" w:space="0" w:color="auto"/>
            <w:bottom w:val="none" w:sz="0" w:space="0" w:color="auto"/>
            <w:right w:val="none" w:sz="0" w:space="0" w:color="auto"/>
          </w:divBdr>
        </w:div>
        <w:div w:id="837697950">
          <w:marLeft w:val="480"/>
          <w:marRight w:val="0"/>
          <w:marTop w:val="0"/>
          <w:marBottom w:val="0"/>
          <w:divBdr>
            <w:top w:val="none" w:sz="0" w:space="0" w:color="auto"/>
            <w:left w:val="none" w:sz="0" w:space="0" w:color="auto"/>
            <w:bottom w:val="none" w:sz="0" w:space="0" w:color="auto"/>
            <w:right w:val="none" w:sz="0" w:space="0" w:color="auto"/>
          </w:divBdr>
        </w:div>
        <w:div w:id="1867329142">
          <w:marLeft w:val="480"/>
          <w:marRight w:val="0"/>
          <w:marTop w:val="0"/>
          <w:marBottom w:val="0"/>
          <w:divBdr>
            <w:top w:val="none" w:sz="0" w:space="0" w:color="auto"/>
            <w:left w:val="none" w:sz="0" w:space="0" w:color="auto"/>
            <w:bottom w:val="none" w:sz="0" w:space="0" w:color="auto"/>
            <w:right w:val="none" w:sz="0" w:space="0" w:color="auto"/>
          </w:divBdr>
        </w:div>
        <w:div w:id="293097509">
          <w:marLeft w:val="480"/>
          <w:marRight w:val="0"/>
          <w:marTop w:val="0"/>
          <w:marBottom w:val="0"/>
          <w:divBdr>
            <w:top w:val="none" w:sz="0" w:space="0" w:color="auto"/>
            <w:left w:val="none" w:sz="0" w:space="0" w:color="auto"/>
            <w:bottom w:val="none" w:sz="0" w:space="0" w:color="auto"/>
            <w:right w:val="none" w:sz="0" w:space="0" w:color="auto"/>
          </w:divBdr>
        </w:div>
        <w:div w:id="1759132537">
          <w:marLeft w:val="480"/>
          <w:marRight w:val="0"/>
          <w:marTop w:val="0"/>
          <w:marBottom w:val="0"/>
          <w:divBdr>
            <w:top w:val="none" w:sz="0" w:space="0" w:color="auto"/>
            <w:left w:val="none" w:sz="0" w:space="0" w:color="auto"/>
            <w:bottom w:val="none" w:sz="0" w:space="0" w:color="auto"/>
            <w:right w:val="none" w:sz="0" w:space="0" w:color="auto"/>
          </w:divBdr>
        </w:div>
        <w:div w:id="224535163">
          <w:marLeft w:val="480"/>
          <w:marRight w:val="0"/>
          <w:marTop w:val="0"/>
          <w:marBottom w:val="0"/>
          <w:divBdr>
            <w:top w:val="none" w:sz="0" w:space="0" w:color="auto"/>
            <w:left w:val="none" w:sz="0" w:space="0" w:color="auto"/>
            <w:bottom w:val="none" w:sz="0" w:space="0" w:color="auto"/>
            <w:right w:val="none" w:sz="0" w:space="0" w:color="auto"/>
          </w:divBdr>
        </w:div>
        <w:div w:id="1015231209">
          <w:marLeft w:val="480"/>
          <w:marRight w:val="0"/>
          <w:marTop w:val="0"/>
          <w:marBottom w:val="0"/>
          <w:divBdr>
            <w:top w:val="none" w:sz="0" w:space="0" w:color="auto"/>
            <w:left w:val="none" w:sz="0" w:space="0" w:color="auto"/>
            <w:bottom w:val="none" w:sz="0" w:space="0" w:color="auto"/>
            <w:right w:val="none" w:sz="0" w:space="0" w:color="auto"/>
          </w:divBdr>
        </w:div>
        <w:div w:id="1045521249">
          <w:marLeft w:val="480"/>
          <w:marRight w:val="0"/>
          <w:marTop w:val="0"/>
          <w:marBottom w:val="0"/>
          <w:divBdr>
            <w:top w:val="none" w:sz="0" w:space="0" w:color="auto"/>
            <w:left w:val="none" w:sz="0" w:space="0" w:color="auto"/>
            <w:bottom w:val="none" w:sz="0" w:space="0" w:color="auto"/>
            <w:right w:val="none" w:sz="0" w:space="0" w:color="auto"/>
          </w:divBdr>
        </w:div>
        <w:div w:id="620645">
          <w:marLeft w:val="480"/>
          <w:marRight w:val="0"/>
          <w:marTop w:val="0"/>
          <w:marBottom w:val="0"/>
          <w:divBdr>
            <w:top w:val="none" w:sz="0" w:space="0" w:color="auto"/>
            <w:left w:val="none" w:sz="0" w:space="0" w:color="auto"/>
            <w:bottom w:val="none" w:sz="0" w:space="0" w:color="auto"/>
            <w:right w:val="none" w:sz="0" w:space="0" w:color="auto"/>
          </w:divBdr>
        </w:div>
        <w:div w:id="1748112842">
          <w:marLeft w:val="480"/>
          <w:marRight w:val="0"/>
          <w:marTop w:val="0"/>
          <w:marBottom w:val="0"/>
          <w:divBdr>
            <w:top w:val="none" w:sz="0" w:space="0" w:color="auto"/>
            <w:left w:val="none" w:sz="0" w:space="0" w:color="auto"/>
            <w:bottom w:val="none" w:sz="0" w:space="0" w:color="auto"/>
            <w:right w:val="none" w:sz="0" w:space="0" w:color="auto"/>
          </w:divBdr>
        </w:div>
        <w:div w:id="1071387714">
          <w:marLeft w:val="480"/>
          <w:marRight w:val="0"/>
          <w:marTop w:val="0"/>
          <w:marBottom w:val="0"/>
          <w:divBdr>
            <w:top w:val="none" w:sz="0" w:space="0" w:color="auto"/>
            <w:left w:val="none" w:sz="0" w:space="0" w:color="auto"/>
            <w:bottom w:val="none" w:sz="0" w:space="0" w:color="auto"/>
            <w:right w:val="none" w:sz="0" w:space="0" w:color="auto"/>
          </w:divBdr>
        </w:div>
        <w:div w:id="2094622004">
          <w:marLeft w:val="480"/>
          <w:marRight w:val="0"/>
          <w:marTop w:val="0"/>
          <w:marBottom w:val="0"/>
          <w:divBdr>
            <w:top w:val="none" w:sz="0" w:space="0" w:color="auto"/>
            <w:left w:val="none" w:sz="0" w:space="0" w:color="auto"/>
            <w:bottom w:val="none" w:sz="0" w:space="0" w:color="auto"/>
            <w:right w:val="none" w:sz="0" w:space="0" w:color="auto"/>
          </w:divBdr>
        </w:div>
        <w:div w:id="223293297">
          <w:marLeft w:val="480"/>
          <w:marRight w:val="0"/>
          <w:marTop w:val="0"/>
          <w:marBottom w:val="0"/>
          <w:divBdr>
            <w:top w:val="none" w:sz="0" w:space="0" w:color="auto"/>
            <w:left w:val="none" w:sz="0" w:space="0" w:color="auto"/>
            <w:bottom w:val="none" w:sz="0" w:space="0" w:color="auto"/>
            <w:right w:val="none" w:sz="0" w:space="0" w:color="auto"/>
          </w:divBdr>
        </w:div>
        <w:div w:id="302543412">
          <w:marLeft w:val="480"/>
          <w:marRight w:val="0"/>
          <w:marTop w:val="0"/>
          <w:marBottom w:val="0"/>
          <w:divBdr>
            <w:top w:val="none" w:sz="0" w:space="0" w:color="auto"/>
            <w:left w:val="none" w:sz="0" w:space="0" w:color="auto"/>
            <w:bottom w:val="none" w:sz="0" w:space="0" w:color="auto"/>
            <w:right w:val="none" w:sz="0" w:space="0" w:color="auto"/>
          </w:divBdr>
        </w:div>
        <w:div w:id="1328635898">
          <w:marLeft w:val="480"/>
          <w:marRight w:val="0"/>
          <w:marTop w:val="0"/>
          <w:marBottom w:val="0"/>
          <w:divBdr>
            <w:top w:val="none" w:sz="0" w:space="0" w:color="auto"/>
            <w:left w:val="none" w:sz="0" w:space="0" w:color="auto"/>
            <w:bottom w:val="none" w:sz="0" w:space="0" w:color="auto"/>
            <w:right w:val="none" w:sz="0" w:space="0" w:color="auto"/>
          </w:divBdr>
        </w:div>
        <w:div w:id="286548981">
          <w:marLeft w:val="480"/>
          <w:marRight w:val="0"/>
          <w:marTop w:val="0"/>
          <w:marBottom w:val="0"/>
          <w:divBdr>
            <w:top w:val="none" w:sz="0" w:space="0" w:color="auto"/>
            <w:left w:val="none" w:sz="0" w:space="0" w:color="auto"/>
            <w:bottom w:val="none" w:sz="0" w:space="0" w:color="auto"/>
            <w:right w:val="none" w:sz="0" w:space="0" w:color="auto"/>
          </w:divBdr>
        </w:div>
        <w:div w:id="1186750749">
          <w:marLeft w:val="480"/>
          <w:marRight w:val="0"/>
          <w:marTop w:val="0"/>
          <w:marBottom w:val="0"/>
          <w:divBdr>
            <w:top w:val="none" w:sz="0" w:space="0" w:color="auto"/>
            <w:left w:val="none" w:sz="0" w:space="0" w:color="auto"/>
            <w:bottom w:val="none" w:sz="0" w:space="0" w:color="auto"/>
            <w:right w:val="none" w:sz="0" w:space="0" w:color="auto"/>
          </w:divBdr>
        </w:div>
        <w:div w:id="1576941098">
          <w:marLeft w:val="480"/>
          <w:marRight w:val="0"/>
          <w:marTop w:val="0"/>
          <w:marBottom w:val="0"/>
          <w:divBdr>
            <w:top w:val="none" w:sz="0" w:space="0" w:color="auto"/>
            <w:left w:val="none" w:sz="0" w:space="0" w:color="auto"/>
            <w:bottom w:val="none" w:sz="0" w:space="0" w:color="auto"/>
            <w:right w:val="none" w:sz="0" w:space="0" w:color="auto"/>
          </w:divBdr>
        </w:div>
        <w:div w:id="1767535985">
          <w:marLeft w:val="480"/>
          <w:marRight w:val="0"/>
          <w:marTop w:val="0"/>
          <w:marBottom w:val="0"/>
          <w:divBdr>
            <w:top w:val="none" w:sz="0" w:space="0" w:color="auto"/>
            <w:left w:val="none" w:sz="0" w:space="0" w:color="auto"/>
            <w:bottom w:val="none" w:sz="0" w:space="0" w:color="auto"/>
            <w:right w:val="none" w:sz="0" w:space="0" w:color="auto"/>
          </w:divBdr>
        </w:div>
        <w:div w:id="1115565121">
          <w:marLeft w:val="480"/>
          <w:marRight w:val="0"/>
          <w:marTop w:val="0"/>
          <w:marBottom w:val="0"/>
          <w:divBdr>
            <w:top w:val="none" w:sz="0" w:space="0" w:color="auto"/>
            <w:left w:val="none" w:sz="0" w:space="0" w:color="auto"/>
            <w:bottom w:val="none" w:sz="0" w:space="0" w:color="auto"/>
            <w:right w:val="none" w:sz="0" w:space="0" w:color="auto"/>
          </w:divBdr>
        </w:div>
        <w:div w:id="1781141909">
          <w:marLeft w:val="480"/>
          <w:marRight w:val="0"/>
          <w:marTop w:val="0"/>
          <w:marBottom w:val="0"/>
          <w:divBdr>
            <w:top w:val="none" w:sz="0" w:space="0" w:color="auto"/>
            <w:left w:val="none" w:sz="0" w:space="0" w:color="auto"/>
            <w:bottom w:val="none" w:sz="0" w:space="0" w:color="auto"/>
            <w:right w:val="none" w:sz="0" w:space="0" w:color="auto"/>
          </w:divBdr>
        </w:div>
        <w:div w:id="2006281831">
          <w:marLeft w:val="480"/>
          <w:marRight w:val="0"/>
          <w:marTop w:val="0"/>
          <w:marBottom w:val="0"/>
          <w:divBdr>
            <w:top w:val="none" w:sz="0" w:space="0" w:color="auto"/>
            <w:left w:val="none" w:sz="0" w:space="0" w:color="auto"/>
            <w:bottom w:val="none" w:sz="0" w:space="0" w:color="auto"/>
            <w:right w:val="none" w:sz="0" w:space="0" w:color="auto"/>
          </w:divBdr>
        </w:div>
        <w:div w:id="885411806">
          <w:marLeft w:val="480"/>
          <w:marRight w:val="0"/>
          <w:marTop w:val="0"/>
          <w:marBottom w:val="0"/>
          <w:divBdr>
            <w:top w:val="none" w:sz="0" w:space="0" w:color="auto"/>
            <w:left w:val="none" w:sz="0" w:space="0" w:color="auto"/>
            <w:bottom w:val="none" w:sz="0" w:space="0" w:color="auto"/>
            <w:right w:val="none" w:sz="0" w:space="0" w:color="auto"/>
          </w:divBdr>
        </w:div>
        <w:div w:id="210776304">
          <w:marLeft w:val="480"/>
          <w:marRight w:val="0"/>
          <w:marTop w:val="0"/>
          <w:marBottom w:val="0"/>
          <w:divBdr>
            <w:top w:val="none" w:sz="0" w:space="0" w:color="auto"/>
            <w:left w:val="none" w:sz="0" w:space="0" w:color="auto"/>
            <w:bottom w:val="none" w:sz="0" w:space="0" w:color="auto"/>
            <w:right w:val="none" w:sz="0" w:space="0" w:color="auto"/>
          </w:divBdr>
        </w:div>
        <w:div w:id="401293676">
          <w:marLeft w:val="480"/>
          <w:marRight w:val="0"/>
          <w:marTop w:val="0"/>
          <w:marBottom w:val="0"/>
          <w:divBdr>
            <w:top w:val="none" w:sz="0" w:space="0" w:color="auto"/>
            <w:left w:val="none" w:sz="0" w:space="0" w:color="auto"/>
            <w:bottom w:val="none" w:sz="0" w:space="0" w:color="auto"/>
            <w:right w:val="none" w:sz="0" w:space="0" w:color="auto"/>
          </w:divBdr>
        </w:div>
        <w:div w:id="235163915">
          <w:marLeft w:val="480"/>
          <w:marRight w:val="0"/>
          <w:marTop w:val="0"/>
          <w:marBottom w:val="0"/>
          <w:divBdr>
            <w:top w:val="none" w:sz="0" w:space="0" w:color="auto"/>
            <w:left w:val="none" w:sz="0" w:space="0" w:color="auto"/>
            <w:bottom w:val="none" w:sz="0" w:space="0" w:color="auto"/>
            <w:right w:val="none" w:sz="0" w:space="0" w:color="auto"/>
          </w:divBdr>
        </w:div>
        <w:div w:id="1681273962">
          <w:marLeft w:val="480"/>
          <w:marRight w:val="0"/>
          <w:marTop w:val="0"/>
          <w:marBottom w:val="0"/>
          <w:divBdr>
            <w:top w:val="none" w:sz="0" w:space="0" w:color="auto"/>
            <w:left w:val="none" w:sz="0" w:space="0" w:color="auto"/>
            <w:bottom w:val="none" w:sz="0" w:space="0" w:color="auto"/>
            <w:right w:val="none" w:sz="0" w:space="0" w:color="auto"/>
          </w:divBdr>
        </w:div>
        <w:div w:id="1555775059">
          <w:marLeft w:val="480"/>
          <w:marRight w:val="0"/>
          <w:marTop w:val="0"/>
          <w:marBottom w:val="0"/>
          <w:divBdr>
            <w:top w:val="none" w:sz="0" w:space="0" w:color="auto"/>
            <w:left w:val="none" w:sz="0" w:space="0" w:color="auto"/>
            <w:bottom w:val="none" w:sz="0" w:space="0" w:color="auto"/>
            <w:right w:val="none" w:sz="0" w:space="0" w:color="auto"/>
          </w:divBdr>
        </w:div>
        <w:div w:id="532379784">
          <w:marLeft w:val="480"/>
          <w:marRight w:val="0"/>
          <w:marTop w:val="0"/>
          <w:marBottom w:val="0"/>
          <w:divBdr>
            <w:top w:val="none" w:sz="0" w:space="0" w:color="auto"/>
            <w:left w:val="none" w:sz="0" w:space="0" w:color="auto"/>
            <w:bottom w:val="none" w:sz="0" w:space="0" w:color="auto"/>
            <w:right w:val="none" w:sz="0" w:space="0" w:color="auto"/>
          </w:divBdr>
        </w:div>
        <w:div w:id="1525710599">
          <w:marLeft w:val="480"/>
          <w:marRight w:val="0"/>
          <w:marTop w:val="0"/>
          <w:marBottom w:val="0"/>
          <w:divBdr>
            <w:top w:val="none" w:sz="0" w:space="0" w:color="auto"/>
            <w:left w:val="none" w:sz="0" w:space="0" w:color="auto"/>
            <w:bottom w:val="none" w:sz="0" w:space="0" w:color="auto"/>
            <w:right w:val="none" w:sz="0" w:space="0" w:color="auto"/>
          </w:divBdr>
        </w:div>
        <w:div w:id="1609199336">
          <w:marLeft w:val="480"/>
          <w:marRight w:val="0"/>
          <w:marTop w:val="0"/>
          <w:marBottom w:val="0"/>
          <w:divBdr>
            <w:top w:val="none" w:sz="0" w:space="0" w:color="auto"/>
            <w:left w:val="none" w:sz="0" w:space="0" w:color="auto"/>
            <w:bottom w:val="none" w:sz="0" w:space="0" w:color="auto"/>
            <w:right w:val="none" w:sz="0" w:space="0" w:color="auto"/>
          </w:divBdr>
        </w:div>
        <w:div w:id="1239947186">
          <w:marLeft w:val="480"/>
          <w:marRight w:val="0"/>
          <w:marTop w:val="0"/>
          <w:marBottom w:val="0"/>
          <w:divBdr>
            <w:top w:val="none" w:sz="0" w:space="0" w:color="auto"/>
            <w:left w:val="none" w:sz="0" w:space="0" w:color="auto"/>
            <w:bottom w:val="none" w:sz="0" w:space="0" w:color="auto"/>
            <w:right w:val="none" w:sz="0" w:space="0" w:color="auto"/>
          </w:divBdr>
        </w:div>
        <w:div w:id="627900529">
          <w:marLeft w:val="480"/>
          <w:marRight w:val="0"/>
          <w:marTop w:val="0"/>
          <w:marBottom w:val="0"/>
          <w:divBdr>
            <w:top w:val="none" w:sz="0" w:space="0" w:color="auto"/>
            <w:left w:val="none" w:sz="0" w:space="0" w:color="auto"/>
            <w:bottom w:val="none" w:sz="0" w:space="0" w:color="auto"/>
            <w:right w:val="none" w:sz="0" w:space="0" w:color="auto"/>
          </w:divBdr>
        </w:div>
        <w:div w:id="2044864476">
          <w:marLeft w:val="480"/>
          <w:marRight w:val="0"/>
          <w:marTop w:val="0"/>
          <w:marBottom w:val="0"/>
          <w:divBdr>
            <w:top w:val="none" w:sz="0" w:space="0" w:color="auto"/>
            <w:left w:val="none" w:sz="0" w:space="0" w:color="auto"/>
            <w:bottom w:val="none" w:sz="0" w:space="0" w:color="auto"/>
            <w:right w:val="none" w:sz="0" w:space="0" w:color="auto"/>
          </w:divBdr>
        </w:div>
        <w:div w:id="1368680601">
          <w:marLeft w:val="480"/>
          <w:marRight w:val="0"/>
          <w:marTop w:val="0"/>
          <w:marBottom w:val="0"/>
          <w:divBdr>
            <w:top w:val="none" w:sz="0" w:space="0" w:color="auto"/>
            <w:left w:val="none" w:sz="0" w:space="0" w:color="auto"/>
            <w:bottom w:val="none" w:sz="0" w:space="0" w:color="auto"/>
            <w:right w:val="none" w:sz="0" w:space="0" w:color="auto"/>
          </w:divBdr>
        </w:div>
        <w:div w:id="2128770903">
          <w:marLeft w:val="480"/>
          <w:marRight w:val="0"/>
          <w:marTop w:val="0"/>
          <w:marBottom w:val="0"/>
          <w:divBdr>
            <w:top w:val="none" w:sz="0" w:space="0" w:color="auto"/>
            <w:left w:val="none" w:sz="0" w:space="0" w:color="auto"/>
            <w:bottom w:val="none" w:sz="0" w:space="0" w:color="auto"/>
            <w:right w:val="none" w:sz="0" w:space="0" w:color="auto"/>
          </w:divBdr>
        </w:div>
        <w:div w:id="113253870">
          <w:marLeft w:val="480"/>
          <w:marRight w:val="0"/>
          <w:marTop w:val="0"/>
          <w:marBottom w:val="0"/>
          <w:divBdr>
            <w:top w:val="none" w:sz="0" w:space="0" w:color="auto"/>
            <w:left w:val="none" w:sz="0" w:space="0" w:color="auto"/>
            <w:bottom w:val="none" w:sz="0" w:space="0" w:color="auto"/>
            <w:right w:val="none" w:sz="0" w:space="0" w:color="auto"/>
          </w:divBdr>
        </w:div>
      </w:divsChild>
    </w:div>
    <w:div w:id="2068407739">
      <w:bodyDiv w:val="1"/>
      <w:marLeft w:val="0"/>
      <w:marRight w:val="0"/>
      <w:marTop w:val="0"/>
      <w:marBottom w:val="0"/>
      <w:divBdr>
        <w:top w:val="none" w:sz="0" w:space="0" w:color="auto"/>
        <w:left w:val="none" w:sz="0" w:space="0" w:color="auto"/>
        <w:bottom w:val="none" w:sz="0" w:space="0" w:color="auto"/>
        <w:right w:val="none" w:sz="0" w:space="0" w:color="auto"/>
      </w:divBdr>
    </w:div>
    <w:div w:id="2068607472">
      <w:bodyDiv w:val="1"/>
      <w:marLeft w:val="0"/>
      <w:marRight w:val="0"/>
      <w:marTop w:val="0"/>
      <w:marBottom w:val="0"/>
      <w:divBdr>
        <w:top w:val="none" w:sz="0" w:space="0" w:color="auto"/>
        <w:left w:val="none" w:sz="0" w:space="0" w:color="auto"/>
        <w:bottom w:val="none" w:sz="0" w:space="0" w:color="auto"/>
        <w:right w:val="none" w:sz="0" w:space="0" w:color="auto"/>
      </w:divBdr>
    </w:div>
    <w:div w:id="2069645497">
      <w:bodyDiv w:val="1"/>
      <w:marLeft w:val="0"/>
      <w:marRight w:val="0"/>
      <w:marTop w:val="0"/>
      <w:marBottom w:val="0"/>
      <w:divBdr>
        <w:top w:val="none" w:sz="0" w:space="0" w:color="auto"/>
        <w:left w:val="none" w:sz="0" w:space="0" w:color="auto"/>
        <w:bottom w:val="none" w:sz="0" w:space="0" w:color="auto"/>
        <w:right w:val="none" w:sz="0" w:space="0" w:color="auto"/>
      </w:divBdr>
    </w:div>
    <w:div w:id="2070375594">
      <w:bodyDiv w:val="1"/>
      <w:marLeft w:val="0"/>
      <w:marRight w:val="0"/>
      <w:marTop w:val="0"/>
      <w:marBottom w:val="0"/>
      <w:divBdr>
        <w:top w:val="none" w:sz="0" w:space="0" w:color="auto"/>
        <w:left w:val="none" w:sz="0" w:space="0" w:color="auto"/>
        <w:bottom w:val="none" w:sz="0" w:space="0" w:color="auto"/>
        <w:right w:val="none" w:sz="0" w:space="0" w:color="auto"/>
      </w:divBdr>
    </w:div>
    <w:div w:id="2070612295">
      <w:bodyDiv w:val="1"/>
      <w:marLeft w:val="0"/>
      <w:marRight w:val="0"/>
      <w:marTop w:val="0"/>
      <w:marBottom w:val="0"/>
      <w:divBdr>
        <w:top w:val="none" w:sz="0" w:space="0" w:color="auto"/>
        <w:left w:val="none" w:sz="0" w:space="0" w:color="auto"/>
        <w:bottom w:val="none" w:sz="0" w:space="0" w:color="auto"/>
        <w:right w:val="none" w:sz="0" w:space="0" w:color="auto"/>
      </w:divBdr>
    </w:div>
    <w:div w:id="2071222528">
      <w:bodyDiv w:val="1"/>
      <w:marLeft w:val="0"/>
      <w:marRight w:val="0"/>
      <w:marTop w:val="0"/>
      <w:marBottom w:val="0"/>
      <w:divBdr>
        <w:top w:val="none" w:sz="0" w:space="0" w:color="auto"/>
        <w:left w:val="none" w:sz="0" w:space="0" w:color="auto"/>
        <w:bottom w:val="none" w:sz="0" w:space="0" w:color="auto"/>
        <w:right w:val="none" w:sz="0" w:space="0" w:color="auto"/>
      </w:divBdr>
    </w:div>
    <w:div w:id="2072191512">
      <w:bodyDiv w:val="1"/>
      <w:marLeft w:val="0"/>
      <w:marRight w:val="0"/>
      <w:marTop w:val="0"/>
      <w:marBottom w:val="0"/>
      <w:divBdr>
        <w:top w:val="none" w:sz="0" w:space="0" w:color="auto"/>
        <w:left w:val="none" w:sz="0" w:space="0" w:color="auto"/>
        <w:bottom w:val="none" w:sz="0" w:space="0" w:color="auto"/>
        <w:right w:val="none" w:sz="0" w:space="0" w:color="auto"/>
      </w:divBdr>
    </w:div>
    <w:div w:id="2072578757">
      <w:bodyDiv w:val="1"/>
      <w:marLeft w:val="0"/>
      <w:marRight w:val="0"/>
      <w:marTop w:val="0"/>
      <w:marBottom w:val="0"/>
      <w:divBdr>
        <w:top w:val="none" w:sz="0" w:space="0" w:color="auto"/>
        <w:left w:val="none" w:sz="0" w:space="0" w:color="auto"/>
        <w:bottom w:val="none" w:sz="0" w:space="0" w:color="auto"/>
        <w:right w:val="none" w:sz="0" w:space="0" w:color="auto"/>
      </w:divBdr>
    </w:div>
    <w:div w:id="2072581159">
      <w:bodyDiv w:val="1"/>
      <w:marLeft w:val="0"/>
      <w:marRight w:val="0"/>
      <w:marTop w:val="0"/>
      <w:marBottom w:val="0"/>
      <w:divBdr>
        <w:top w:val="none" w:sz="0" w:space="0" w:color="auto"/>
        <w:left w:val="none" w:sz="0" w:space="0" w:color="auto"/>
        <w:bottom w:val="none" w:sz="0" w:space="0" w:color="auto"/>
        <w:right w:val="none" w:sz="0" w:space="0" w:color="auto"/>
      </w:divBdr>
    </w:div>
    <w:div w:id="2073431800">
      <w:bodyDiv w:val="1"/>
      <w:marLeft w:val="0"/>
      <w:marRight w:val="0"/>
      <w:marTop w:val="0"/>
      <w:marBottom w:val="0"/>
      <w:divBdr>
        <w:top w:val="none" w:sz="0" w:space="0" w:color="auto"/>
        <w:left w:val="none" w:sz="0" w:space="0" w:color="auto"/>
        <w:bottom w:val="none" w:sz="0" w:space="0" w:color="auto"/>
        <w:right w:val="none" w:sz="0" w:space="0" w:color="auto"/>
      </w:divBdr>
    </w:div>
    <w:div w:id="2073501278">
      <w:bodyDiv w:val="1"/>
      <w:marLeft w:val="0"/>
      <w:marRight w:val="0"/>
      <w:marTop w:val="0"/>
      <w:marBottom w:val="0"/>
      <w:divBdr>
        <w:top w:val="none" w:sz="0" w:space="0" w:color="auto"/>
        <w:left w:val="none" w:sz="0" w:space="0" w:color="auto"/>
        <w:bottom w:val="none" w:sz="0" w:space="0" w:color="auto"/>
        <w:right w:val="none" w:sz="0" w:space="0" w:color="auto"/>
      </w:divBdr>
    </w:div>
    <w:div w:id="2073575105">
      <w:bodyDiv w:val="1"/>
      <w:marLeft w:val="0"/>
      <w:marRight w:val="0"/>
      <w:marTop w:val="0"/>
      <w:marBottom w:val="0"/>
      <w:divBdr>
        <w:top w:val="none" w:sz="0" w:space="0" w:color="auto"/>
        <w:left w:val="none" w:sz="0" w:space="0" w:color="auto"/>
        <w:bottom w:val="none" w:sz="0" w:space="0" w:color="auto"/>
        <w:right w:val="none" w:sz="0" w:space="0" w:color="auto"/>
      </w:divBdr>
    </w:div>
    <w:div w:id="2073648402">
      <w:bodyDiv w:val="1"/>
      <w:marLeft w:val="0"/>
      <w:marRight w:val="0"/>
      <w:marTop w:val="0"/>
      <w:marBottom w:val="0"/>
      <w:divBdr>
        <w:top w:val="none" w:sz="0" w:space="0" w:color="auto"/>
        <w:left w:val="none" w:sz="0" w:space="0" w:color="auto"/>
        <w:bottom w:val="none" w:sz="0" w:space="0" w:color="auto"/>
        <w:right w:val="none" w:sz="0" w:space="0" w:color="auto"/>
      </w:divBdr>
    </w:div>
    <w:div w:id="2074159802">
      <w:bodyDiv w:val="1"/>
      <w:marLeft w:val="0"/>
      <w:marRight w:val="0"/>
      <w:marTop w:val="0"/>
      <w:marBottom w:val="0"/>
      <w:divBdr>
        <w:top w:val="none" w:sz="0" w:space="0" w:color="auto"/>
        <w:left w:val="none" w:sz="0" w:space="0" w:color="auto"/>
        <w:bottom w:val="none" w:sz="0" w:space="0" w:color="auto"/>
        <w:right w:val="none" w:sz="0" w:space="0" w:color="auto"/>
      </w:divBdr>
    </w:div>
    <w:div w:id="2074234213">
      <w:bodyDiv w:val="1"/>
      <w:marLeft w:val="0"/>
      <w:marRight w:val="0"/>
      <w:marTop w:val="0"/>
      <w:marBottom w:val="0"/>
      <w:divBdr>
        <w:top w:val="none" w:sz="0" w:space="0" w:color="auto"/>
        <w:left w:val="none" w:sz="0" w:space="0" w:color="auto"/>
        <w:bottom w:val="none" w:sz="0" w:space="0" w:color="auto"/>
        <w:right w:val="none" w:sz="0" w:space="0" w:color="auto"/>
      </w:divBdr>
    </w:div>
    <w:div w:id="2074544205">
      <w:bodyDiv w:val="1"/>
      <w:marLeft w:val="0"/>
      <w:marRight w:val="0"/>
      <w:marTop w:val="0"/>
      <w:marBottom w:val="0"/>
      <w:divBdr>
        <w:top w:val="none" w:sz="0" w:space="0" w:color="auto"/>
        <w:left w:val="none" w:sz="0" w:space="0" w:color="auto"/>
        <w:bottom w:val="none" w:sz="0" w:space="0" w:color="auto"/>
        <w:right w:val="none" w:sz="0" w:space="0" w:color="auto"/>
      </w:divBdr>
    </w:div>
    <w:div w:id="2075278653">
      <w:bodyDiv w:val="1"/>
      <w:marLeft w:val="0"/>
      <w:marRight w:val="0"/>
      <w:marTop w:val="0"/>
      <w:marBottom w:val="0"/>
      <w:divBdr>
        <w:top w:val="none" w:sz="0" w:space="0" w:color="auto"/>
        <w:left w:val="none" w:sz="0" w:space="0" w:color="auto"/>
        <w:bottom w:val="none" w:sz="0" w:space="0" w:color="auto"/>
        <w:right w:val="none" w:sz="0" w:space="0" w:color="auto"/>
      </w:divBdr>
    </w:div>
    <w:div w:id="2075858120">
      <w:bodyDiv w:val="1"/>
      <w:marLeft w:val="0"/>
      <w:marRight w:val="0"/>
      <w:marTop w:val="0"/>
      <w:marBottom w:val="0"/>
      <w:divBdr>
        <w:top w:val="none" w:sz="0" w:space="0" w:color="auto"/>
        <w:left w:val="none" w:sz="0" w:space="0" w:color="auto"/>
        <w:bottom w:val="none" w:sz="0" w:space="0" w:color="auto"/>
        <w:right w:val="none" w:sz="0" w:space="0" w:color="auto"/>
      </w:divBdr>
    </w:div>
    <w:div w:id="2076511735">
      <w:bodyDiv w:val="1"/>
      <w:marLeft w:val="0"/>
      <w:marRight w:val="0"/>
      <w:marTop w:val="0"/>
      <w:marBottom w:val="0"/>
      <w:divBdr>
        <w:top w:val="none" w:sz="0" w:space="0" w:color="auto"/>
        <w:left w:val="none" w:sz="0" w:space="0" w:color="auto"/>
        <w:bottom w:val="none" w:sz="0" w:space="0" w:color="auto"/>
        <w:right w:val="none" w:sz="0" w:space="0" w:color="auto"/>
      </w:divBdr>
    </w:div>
    <w:div w:id="2076731744">
      <w:bodyDiv w:val="1"/>
      <w:marLeft w:val="0"/>
      <w:marRight w:val="0"/>
      <w:marTop w:val="0"/>
      <w:marBottom w:val="0"/>
      <w:divBdr>
        <w:top w:val="none" w:sz="0" w:space="0" w:color="auto"/>
        <w:left w:val="none" w:sz="0" w:space="0" w:color="auto"/>
        <w:bottom w:val="none" w:sz="0" w:space="0" w:color="auto"/>
        <w:right w:val="none" w:sz="0" w:space="0" w:color="auto"/>
      </w:divBdr>
    </w:div>
    <w:div w:id="2076852691">
      <w:bodyDiv w:val="1"/>
      <w:marLeft w:val="0"/>
      <w:marRight w:val="0"/>
      <w:marTop w:val="0"/>
      <w:marBottom w:val="0"/>
      <w:divBdr>
        <w:top w:val="none" w:sz="0" w:space="0" w:color="auto"/>
        <w:left w:val="none" w:sz="0" w:space="0" w:color="auto"/>
        <w:bottom w:val="none" w:sz="0" w:space="0" w:color="auto"/>
        <w:right w:val="none" w:sz="0" w:space="0" w:color="auto"/>
      </w:divBdr>
    </w:div>
    <w:div w:id="2076930291">
      <w:bodyDiv w:val="1"/>
      <w:marLeft w:val="0"/>
      <w:marRight w:val="0"/>
      <w:marTop w:val="0"/>
      <w:marBottom w:val="0"/>
      <w:divBdr>
        <w:top w:val="none" w:sz="0" w:space="0" w:color="auto"/>
        <w:left w:val="none" w:sz="0" w:space="0" w:color="auto"/>
        <w:bottom w:val="none" w:sz="0" w:space="0" w:color="auto"/>
        <w:right w:val="none" w:sz="0" w:space="0" w:color="auto"/>
      </w:divBdr>
    </w:div>
    <w:div w:id="2076968088">
      <w:bodyDiv w:val="1"/>
      <w:marLeft w:val="0"/>
      <w:marRight w:val="0"/>
      <w:marTop w:val="0"/>
      <w:marBottom w:val="0"/>
      <w:divBdr>
        <w:top w:val="none" w:sz="0" w:space="0" w:color="auto"/>
        <w:left w:val="none" w:sz="0" w:space="0" w:color="auto"/>
        <w:bottom w:val="none" w:sz="0" w:space="0" w:color="auto"/>
        <w:right w:val="none" w:sz="0" w:space="0" w:color="auto"/>
      </w:divBdr>
    </w:div>
    <w:div w:id="2077625710">
      <w:bodyDiv w:val="1"/>
      <w:marLeft w:val="0"/>
      <w:marRight w:val="0"/>
      <w:marTop w:val="0"/>
      <w:marBottom w:val="0"/>
      <w:divBdr>
        <w:top w:val="none" w:sz="0" w:space="0" w:color="auto"/>
        <w:left w:val="none" w:sz="0" w:space="0" w:color="auto"/>
        <w:bottom w:val="none" w:sz="0" w:space="0" w:color="auto"/>
        <w:right w:val="none" w:sz="0" w:space="0" w:color="auto"/>
      </w:divBdr>
    </w:div>
    <w:div w:id="2077821620">
      <w:bodyDiv w:val="1"/>
      <w:marLeft w:val="0"/>
      <w:marRight w:val="0"/>
      <w:marTop w:val="0"/>
      <w:marBottom w:val="0"/>
      <w:divBdr>
        <w:top w:val="none" w:sz="0" w:space="0" w:color="auto"/>
        <w:left w:val="none" w:sz="0" w:space="0" w:color="auto"/>
        <w:bottom w:val="none" w:sz="0" w:space="0" w:color="auto"/>
        <w:right w:val="none" w:sz="0" w:space="0" w:color="auto"/>
      </w:divBdr>
    </w:div>
    <w:div w:id="2077899118">
      <w:bodyDiv w:val="1"/>
      <w:marLeft w:val="0"/>
      <w:marRight w:val="0"/>
      <w:marTop w:val="0"/>
      <w:marBottom w:val="0"/>
      <w:divBdr>
        <w:top w:val="none" w:sz="0" w:space="0" w:color="auto"/>
        <w:left w:val="none" w:sz="0" w:space="0" w:color="auto"/>
        <w:bottom w:val="none" w:sz="0" w:space="0" w:color="auto"/>
        <w:right w:val="none" w:sz="0" w:space="0" w:color="auto"/>
      </w:divBdr>
    </w:div>
    <w:div w:id="2077973130">
      <w:bodyDiv w:val="1"/>
      <w:marLeft w:val="0"/>
      <w:marRight w:val="0"/>
      <w:marTop w:val="0"/>
      <w:marBottom w:val="0"/>
      <w:divBdr>
        <w:top w:val="none" w:sz="0" w:space="0" w:color="auto"/>
        <w:left w:val="none" w:sz="0" w:space="0" w:color="auto"/>
        <w:bottom w:val="none" w:sz="0" w:space="0" w:color="auto"/>
        <w:right w:val="none" w:sz="0" w:space="0" w:color="auto"/>
      </w:divBdr>
    </w:div>
    <w:div w:id="2079400438">
      <w:bodyDiv w:val="1"/>
      <w:marLeft w:val="0"/>
      <w:marRight w:val="0"/>
      <w:marTop w:val="0"/>
      <w:marBottom w:val="0"/>
      <w:divBdr>
        <w:top w:val="none" w:sz="0" w:space="0" w:color="auto"/>
        <w:left w:val="none" w:sz="0" w:space="0" w:color="auto"/>
        <w:bottom w:val="none" w:sz="0" w:space="0" w:color="auto"/>
        <w:right w:val="none" w:sz="0" w:space="0" w:color="auto"/>
      </w:divBdr>
    </w:div>
    <w:div w:id="2079592258">
      <w:bodyDiv w:val="1"/>
      <w:marLeft w:val="0"/>
      <w:marRight w:val="0"/>
      <w:marTop w:val="0"/>
      <w:marBottom w:val="0"/>
      <w:divBdr>
        <w:top w:val="none" w:sz="0" w:space="0" w:color="auto"/>
        <w:left w:val="none" w:sz="0" w:space="0" w:color="auto"/>
        <w:bottom w:val="none" w:sz="0" w:space="0" w:color="auto"/>
        <w:right w:val="none" w:sz="0" w:space="0" w:color="auto"/>
      </w:divBdr>
    </w:div>
    <w:div w:id="2079595773">
      <w:bodyDiv w:val="1"/>
      <w:marLeft w:val="0"/>
      <w:marRight w:val="0"/>
      <w:marTop w:val="0"/>
      <w:marBottom w:val="0"/>
      <w:divBdr>
        <w:top w:val="none" w:sz="0" w:space="0" w:color="auto"/>
        <w:left w:val="none" w:sz="0" w:space="0" w:color="auto"/>
        <w:bottom w:val="none" w:sz="0" w:space="0" w:color="auto"/>
        <w:right w:val="none" w:sz="0" w:space="0" w:color="auto"/>
      </w:divBdr>
    </w:div>
    <w:div w:id="2079936920">
      <w:bodyDiv w:val="1"/>
      <w:marLeft w:val="0"/>
      <w:marRight w:val="0"/>
      <w:marTop w:val="0"/>
      <w:marBottom w:val="0"/>
      <w:divBdr>
        <w:top w:val="none" w:sz="0" w:space="0" w:color="auto"/>
        <w:left w:val="none" w:sz="0" w:space="0" w:color="auto"/>
        <w:bottom w:val="none" w:sz="0" w:space="0" w:color="auto"/>
        <w:right w:val="none" w:sz="0" w:space="0" w:color="auto"/>
      </w:divBdr>
    </w:div>
    <w:div w:id="2081176499">
      <w:bodyDiv w:val="1"/>
      <w:marLeft w:val="0"/>
      <w:marRight w:val="0"/>
      <w:marTop w:val="0"/>
      <w:marBottom w:val="0"/>
      <w:divBdr>
        <w:top w:val="none" w:sz="0" w:space="0" w:color="auto"/>
        <w:left w:val="none" w:sz="0" w:space="0" w:color="auto"/>
        <w:bottom w:val="none" w:sz="0" w:space="0" w:color="auto"/>
        <w:right w:val="none" w:sz="0" w:space="0" w:color="auto"/>
      </w:divBdr>
    </w:div>
    <w:div w:id="2081827879">
      <w:bodyDiv w:val="1"/>
      <w:marLeft w:val="0"/>
      <w:marRight w:val="0"/>
      <w:marTop w:val="0"/>
      <w:marBottom w:val="0"/>
      <w:divBdr>
        <w:top w:val="none" w:sz="0" w:space="0" w:color="auto"/>
        <w:left w:val="none" w:sz="0" w:space="0" w:color="auto"/>
        <w:bottom w:val="none" w:sz="0" w:space="0" w:color="auto"/>
        <w:right w:val="none" w:sz="0" w:space="0" w:color="auto"/>
      </w:divBdr>
    </w:div>
    <w:div w:id="2082021567">
      <w:bodyDiv w:val="1"/>
      <w:marLeft w:val="0"/>
      <w:marRight w:val="0"/>
      <w:marTop w:val="0"/>
      <w:marBottom w:val="0"/>
      <w:divBdr>
        <w:top w:val="none" w:sz="0" w:space="0" w:color="auto"/>
        <w:left w:val="none" w:sz="0" w:space="0" w:color="auto"/>
        <w:bottom w:val="none" w:sz="0" w:space="0" w:color="auto"/>
        <w:right w:val="none" w:sz="0" w:space="0" w:color="auto"/>
      </w:divBdr>
    </w:div>
    <w:div w:id="2083092770">
      <w:bodyDiv w:val="1"/>
      <w:marLeft w:val="0"/>
      <w:marRight w:val="0"/>
      <w:marTop w:val="0"/>
      <w:marBottom w:val="0"/>
      <w:divBdr>
        <w:top w:val="none" w:sz="0" w:space="0" w:color="auto"/>
        <w:left w:val="none" w:sz="0" w:space="0" w:color="auto"/>
        <w:bottom w:val="none" w:sz="0" w:space="0" w:color="auto"/>
        <w:right w:val="none" w:sz="0" w:space="0" w:color="auto"/>
      </w:divBdr>
    </w:div>
    <w:div w:id="2083217563">
      <w:bodyDiv w:val="1"/>
      <w:marLeft w:val="0"/>
      <w:marRight w:val="0"/>
      <w:marTop w:val="0"/>
      <w:marBottom w:val="0"/>
      <w:divBdr>
        <w:top w:val="none" w:sz="0" w:space="0" w:color="auto"/>
        <w:left w:val="none" w:sz="0" w:space="0" w:color="auto"/>
        <w:bottom w:val="none" w:sz="0" w:space="0" w:color="auto"/>
        <w:right w:val="none" w:sz="0" w:space="0" w:color="auto"/>
      </w:divBdr>
    </w:div>
    <w:div w:id="2083327643">
      <w:bodyDiv w:val="1"/>
      <w:marLeft w:val="0"/>
      <w:marRight w:val="0"/>
      <w:marTop w:val="0"/>
      <w:marBottom w:val="0"/>
      <w:divBdr>
        <w:top w:val="none" w:sz="0" w:space="0" w:color="auto"/>
        <w:left w:val="none" w:sz="0" w:space="0" w:color="auto"/>
        <w:bottom w:val="none" w:sz="0" w:space="0" w:color="auto"/>
        <w:right w:val="none" w:sz="0" w:space="0" w:color="auto"/>
      </w:divBdr>
    </w:div>
    <w:div w:id="2083983360">
      <w:bodyDiv w:val="1"/>
      <w:marLeft w:val="0"/>
      <w:marRight w:val="0"/>
      <w:marTop w:val="0"/>
      <w:marBottom w:val="0"/>
      <w:divBdr>
        <w:top w:val="none" w:sz="0" w:space="0" w:color="auto"/>
        <w:left w:val="none" w:sz="0" w:space="0" w:color="auto"/>
        <w:bottom w:val="none" w:sz="0" w:space="0" w:color="auto"/>
        <w:right w:val="none" w:sz="0" w:space="0" w:color="auto"/>
      </w:divBdr>
    </w:div>
    <w:div w:id="2084133219">
      <w:bodyDiv w:val="1"/>
      <w:marLeft w:val="0"/>
      <w:marRight w:val="0"/>
      <w:marTop w:val="0"/>
      <w:marBottom w:val="0"/>
      <w:divBdr>
        <w:top w:val="none" w:sz="0" w:space="0" w:color="auto"/>
        <w:left w:val="none" w:sz="0" w:space="0" w:color="auto"/>
        <w:bottom w:val="none" w:sz="0" w:space="0" w:color="auto"/>
        <w:right w:val="none" w:sz="0" w:space="0" w:color="auto"/>
      </w:divBdr>
    </w:div>
    <w:div w:id="2084326832">
      <w:bodyDiv w:val="1"/>
      <w:marLeft w:val="0"/>
      <w:marRight w:val="0"/>
      <w:marTop w:val="0"/>
      <w:marBottom w:val="0"/>
      <w:divBdr>
        <w:top w:val="none" w:sz="0" w:space="0" w:color="auto"/>
        <w:left w:val="none" w:sz="0" w:space="0" w:color="auto"/>
        <w:bottom w:val="none" w:sz="0" w:space="0" w:color="auto"/>
        <w:right w:val="none" w:sz="0" w:space="0" w:color="auto"/>
      </w:divBdr>
    </w:div>
    <w:div w:id="2084642042">
      <w:bodyDiv w:val="1"/>
      <w:marLeft w:val="0"/>
      <w:marRight w:val="0"/>
      <w:marTop w:val="0"/>
      <w:marBottom w:val="0"/>
      <w:divBdr>
        <w:top w:val="none" w:sz="0" w:space="0" w:color="auto"/>
        <w:left w:val="none" w:sz="0" w:space="0" w:color="auto"/>
        <w:bottom w:val="none" w:sz="0" w:space="0" w:color="auto"/>
        <w:right w:val="none" w:sz="0" w:space="0" w:color="auto"/>
      </w:divBdr>
    </w:div>
    <w:div w:id="2085256954">
      <w:bodyDiv w:val="1"/>
      <w:marLeft w:val="0"/>
      <w:marRight w:val="0"/>
      <w:marTop w:val="0"/>
      <w:marBottom w:val="0"/>
      <w:divBdr>
        <w:top w:val="none" w:sz="0" w:space="0" w:color="auto"/>
        <w:left w:val="none" w:sz="0" w:space="0" w:color="auto"/>
        <w:bottom w:val="none" w:sz="0" w:space="0" w:color="auto"/>
        <w:right w:val="none" w:sz="0" w:space="0" w:color="auto"/>
      </w:divBdr>
    </w:div>
    <w:div w:id="2085374725">
      <w:bodyDiv w:val="1"/>
      <w:marLeft w:val="0"/>
      <w:marRight w:val="0"/>
      <w:marTop w:val="0"/>
      <w:marBottom w:val="0"/>
      <w:divBdr>
        <w:top w:val="none" w:sz="0" w:space="0" w:color="auto"/>
        <w:left w:val="none" w:sz="0" w:space="0" w:color="auto"/>
        <w:bottom w:val="none" w:sz="0" w:space="0" w:color="auto"/>
        <w:right w:val="none" w:sz="0" w:space="0" w:color="auto"/>
      </w:divBdr>
    </w:div>
    <w:div w:id="2085376433">
      <w:bodyDiv w:val="1"/>
      <w:marLeft w:val="0"/>
      <w:marRight w:val="0"/>
      <w:marTop w:val="0"/>
      <w:marBottom w:val="0"/>
      <w:divBdr>
        <w:top w:val="none" w:sz="0" w:space="0" w:color="auto"/>
        <w:left w:val="none" w:sz="0" w:space="0" w:color="auto"/>
        <w:bottom w:val="none" w:sz="0" w:space="0" w:color="auto"/>
        <w:right w:val="none" w:sz="0" w:space="0" w:color="auto"/>
      </w:divBdr>
    </w:div>
    <w:div w:id="2085759114">
      <w:bodyDiv w:val="1"/>
      <w:marLeft w:val="0"/>
      <w:marRight w:val="0"/>
      <w:marTop w:val="0"/>
      <w:marBottom w:val="0"/>
      <w:divBdr>
        <w:top w:val="none" w:sz="0" w:space="0" w:color="auto"/>
        <w:left w:val="none" w:sz="0" w:space="0" w:color="auto"/>
        <w:bottom w:val="none" w:sz="0" w:space="0" w:color="auto"/>
        <w:right w:val="none" w:sz="0" w:space="0" w:color="auto"/>
      </w:divBdr>
    </w:div>
    <w:div w:id="2086603052">
      <w:bodyDiv w:val="1"/>
      <w:marLeft w:val="0"/>
      <w:marRight w:val="0"/>
      <w:marTop w:val="0"/>
      <w:marBottom w:val="0"/>
      <w:divBdr>
        <w:top w:val="none" w:sz="0" w:space="0" w:color="auto"/>
        <w:left w:val="none" w:sz="0" w:space="0" w:color="auto"/>
        <w:bottom w:val="none" w:sz="0" w:space="0" w:color="auto"/>
        <w:right w:val="none" w:sz="0" w:space="0" w:color="auto"/>
      </w:divBdr>
    </w:div>
    <w:div w:id="2087072630">
      <w:bodyDiv w:val="1"/>
      <w:marLeft w:val="0"/>
      <w:marRight w:val="0"/>
      <w:marTop w:val="0"/>
      <w:marBottom w:val="0"/>
      <w:divBdr>
        <w:top w:val="none" w:sz="0" w:space="0" w:color="auto"/>
        <w:left w:val="none" w:sz="0" w:space="0" w:color="auto"/>
        <w:bottom w:val="none" w:sz="0" w:space="0" w:color="auto"/>
        <w:right w:val="none" w:sz="0" w:space="0" w:color="auto"/>
      </w:divBdr>
    </w:div>
    <w:div w:id="2087334994">
      <w:bodyDiv w:val="1"/>
      <w:marLeft w:val="0"/>
      <w:marRight w:val="0"/>
      <w:marTop w:val="0"/>
      <w:marBottom w:val="0"/>
      <w:divBdr>
        <w:top w:val="none" w:sz="0" w:space="0" w:color="auto"/>
        <w:left w:val="none" w:sz="0" w:space="0" w:color="auto"/>
        <w:bottom w:val="none" w:sz="0" w:space="0" w:color="auto"/>
        <w:right w:val="none" w:sz="0" w:space="0" w:color="auto"/>
      </w:divBdr>
    </w:div>
    <w:div w:id="2087875190">
      <w:bodyDiv w:val="1"/>
      <w:marLeft w:val="0"/>
      <w:marRight w:val="0"/>
      <w:marTop w:val="0"/>
      <w:marBottom w:val="0"/>
      <w:divBdr>
        <w:top w:val="none" w:sz="0" w:space="0" w:color="auto"/>
        <w:left w:val="none" w:sz="0" w:space="0" w:color="auto"/>
        <w:bottom w:val="none" w:sz="0" w:space="0" w:color="auto"/>
        <w:right w:val="none" w:sz="0" w:space="0" w:color="auto"/>
      </w:divBdr>
    </w:div>
    <w:div w:id="2087921487">
      <w:bodyDiv w:val="1"/>
      <w:marLeft w:val="0"/>
      <w:marRight w:val="0"/>
      <w:marTop w:val="0"/>
      <w:marBottom w:val="0"/>
      <w:divBdr>
        <w:top w:val="none" w:sz="0" w:space="0" w:color="auto"/>
        <w:left w:val="none" w:sz="0" w:space="0" w:color="auto"/>
        <w:bottom w:val="none" w:sz="0" w:space="0" w:color="auto"/>
        <w:right w:val="none" w:sz="0" w:space="0" w:color="auto"/>
      </w:divBdr>
    </w:div>
    <w:div w:id="2088915822">
      <w:bodyDiv w:val="1"/>
      <w:marLeft w:val="0"/>
      <w:marRight w:val="0"/>
      <w:marTop w:val="0"/>
      <w:marBottom w:val="0"/>
      <w:divBdr>
        <w:top w:val="none" w:sz="0" w:space="0" w:color="auto"/>
        <w:left w:val="none" w:sz="0" w:space="0" w:color="auto"/>
        <w:bottom w:val="none" w:sz="0" w:space="0" w:color="auto"/>
        <w:right w:val="none" w:sz="0" w:space="0" w:color="auto"/>
      </w:divBdr>
    </w:div>
    <w:div w:id="2089115334">
      <w:bodyDiv w:val="1"/>
      <w:marLeft w:val="0"/>
      <w:marRight w:val="0"/>
      <w:marTop w:val="0"/>
      <w:marBottom w:val="0"/>
      <w:divBdr>
        <w:top w:val="none" w:sz="0" w:space="0" w:color="auto"/>
        <w:left w:val="none" w:sz="0" w:space="0" w:color="auto"/>
        <w:bottom w:val="none" w:sz="0" w:space="0" w:color="auto"/>
        <w:right w:val="none" w:sz="0" w:space="0" w:color="auto"/>
      </w:divBdr>
    </w:div>
    <w:div w:id="2090613032">
      <w:bodyDiv w:val="1"/>
      <w:marLeft w:val="0"/>
      <w:marRight w:val="0"/>
      <w:marTop w:val="0"/>
      <w:marBottom w:val="0"/>
      <w:divBdr>
        <w:top w:val="none" w:sz="0" w:space="0" w:color="auto"/>
        <w:left w:val="none" w:sz="0" w:space="0" w:color="auto"/>
        <w:bottom w:val="none" w:sz="0" w:space="0" w:color="auto"/>
        <w:right w:val="none" w:sz="0" w:space="0" w:color="auto"/>
      </w:divBdr>
    </w:div>
    <w:div w:id="2091387973">
      <w:bodyDiv w:val="1"/>
      <w:marLeft w:val="0"/>
      <w:marRight w:val="0"/>
      <w:marTop w:val="0"/>
      <w:marBottom w:val="0"/>
      <w:divBdr>
        <w:top w:val="none" w:sz="0" w:space="0" w:color="auto"/>
        <w:left w:val="none" w:sz="0" w:space="0" w:color="auto"/>
        <w:bottom w:val="none" w:sz="0" w:space="0" w:color="auto"/>
        <w:right w:val="none" w:sz="0" w:space="0" w:color="auto"/>
      </w:divBdr>
    </w:div>
    <w:div w:id="2091998739">
      <w:bodyDiv w:val="1"/>
      <w:marLeft w:val="0"/>
      <w:marRight w:val="0"/>
      <w:marTop w:val="0"/>
      <w:marBottom w:val="0"/>
      <w:divBdr>
        <w:top w:val="none" w:sz="0" w:space="0" w:color="auto"/>
        <w:left w:val="none" w:sz="0" w:space="0" w:color="auto"/>
        <w:bottom w:val="none" w:sz="0" w:space="0" w:color="auto"/>
        <w:right w:val="none" w:sz="0" w:space="0" w:color="auto"/>
      </w:divBdr>
    </w:div>
    <w:div w:id="2092114938">
      <w:bodyDiv w:val="1"/>
      <w:marLeft w:val="0"/>
      <w:marRight w:val="0"/>
      <w:marTop w:val="0"/>
      <w:marBottom w:val="0"/>
      <w:divBdr>
        <w:top w:val="none" w:sz="0" w:space="0" w:color="auto"/>
        <w:left w:val="none" w:sz="0" w:space="0" w:color="auto"/>
        <w:bottom w:val="none" w:sz="0" w:space="0" w:color="auto"/>
        <w:right w:val="none" w:sz="0" w:space="0" w:color="auto"/>
      </w:divBdr>
    </w:div>
    <w:div w:id="2092461393">
      <w:bodyDiv w:val="1"/>
      <w:marLeft w:val="0"/>
      <w:marRight w:val="0"/>
      <w:marTop w:val="0"/>
      <w:marBottom w:val="0"/>
      <w:divBdr>
        <w:top w:val="none" w:sz="0" w:space="0" w:color="auto"/>
        <w:left w:val="none" w:sz="0" w:space="0" w:color="auto"/>
        <w:bottom w:val="none" w:sz="0" w:space="0" w:color="auto"/>
        <w:right w:val="none" w:sz="0" w:space="0" w:color="auto"/>
      </w:divBdr>
    </w:div>
    <w:div w:id="2092658999">
      <w:bodyDiv w:val="1"/>
      <w:marLeft w:val="0"/>
      <w:marRight w:val="0"/>
      <w:marTop w:val="0"/>
      <w:marBottom w:val="0"/>
      <w:divBdr>
        <w:top w:val="none" w:sz="0" w:space="0" w:color="auto"/>
        <w:left w:val="none" w:sz="0" w:space="0" w:color="auto"/>
        <w:bottom w:val="none" w:sz="0" w:space="0" w:color="auto"/>
        <w:right w:val="none" w:sz="0" w:space="0" w:color="auto"/>
      </w:divBdr>
    </w:div>
    <w:div w:id="2093047483">
      <w:bodyDiv w:val="1"/>
      <w:marLeft w:val="0"/>
      <w:marRight w:val="0"/>
      <w:marTop w:val="0"/>
      <w:marBottom w:val="0"/>
      <w:divBdr>
        <w:top w:val="none" w:sz="0" w:space="0" w:color="auto"/>
        <w:left w:val="none" w:sz="0" w:space="0" w:color="auto"/>
        <w:bottom w:val="none" w:sz="0" w:space="0" w:color="auto"/>
        <w:right w:val="none" w:sz="0" w:space="0" w:color="auto"/>
      </w:divBdr>
      <w:divsChild>
        <w:div w:id="1832985286">
          <w:marLeft w:val="480"/>
          <w:marRight w:val="0"/>
          <w:marTop w:val="0"/>
          <w:marBottom w:val="0"/>
          <w:divBdr>
            <w:top w:val="none" w:sz="0" w:space="0" w:color="auto"/>
            <w:left w:val="none" w:sz="0" w:space="0" w:color="auto"/>
            <w:bottom w:val="none" w:sz="0" w:space="0" w:color="auto"/>
            <w:right w:val="none" w:sz="0" w:space="0" w:color="auto"/>
          </w:divBdr>
        </w:div>
        <w:div w:id="144397936">
          <w:marLeft w:val="480"/>
          <w:marRight w:val="0"/>
          <w:marTop w:val="0"/>
          <w:marBottom w:val="0"/>
          <w:divBdr>
            <w:top w:val="none" w:sz="0" w:space="0" w:color="auto"/>
            <w:left w:val="none" w:sz="0" w:space="0" w:color="auto"/>
            <w:bottom w:val="none" w:sz="0" w:space="0" w:color="auto"/>
            <w:right w:val="none" w:sz="0" w:space="0" w:color="auto"/>
          </w:divBdr>
        </w:div>
        <w:div w:id="1280992246">
          <w:marLeft w:val="480"/>
          <w:marRight w:val="0"/>
          <w:marTop w:val="0"/>
          <w:marBottom w:val="0"/>
          <w:divBdr>
            <w:top w:val="none" w:sz="0" w:space="0" w:color="auto"/>
            <w:left w:val="none" w:sz="0" w:space="0" w:color="auto"/>
            <w:bottom w:val="none" w:sz="0" w:space="0" w:color="auto"/>
            <w:right w:val="none" w:sz="0" w:space="0" w:color="auto"/>
          </w:divBdr>
        </w:div>
        <w:div w:id="1561863376">
          <w:marLeft w:val="480"/>
          <w:marRight w:val="0"/>
          <w:marTop w:val="0"/>
          <w:marBottom w:val="0"/>
          <w:divBdr>
            <w:top w:val="none" w:sz="0" w:space="0" w:color="auto"/>
            <w:left w:val="none" w:sz="0" w:space="0" w:color="auto"/>
            <w:bottom w:val="none" w:sz="0" w:space="0" w:color="auto"/>
            <w:right w:val="none" w:sz="0" w:space="0" w:color="auto"/>
          </w:divBdr>
        </w:div>
        <w:div w:id="2044667723">
          <w:marLeft w:val="480"/>
          <w:marRight w:val="0"/>
          <w:marTop w:val="0"/>
          <w:marBottom w:val="0"/>
          <w:divBdr>
            <w:top w:val="none" w:sz="0" w:space="0" w:color="auto"/>
            <w:left w:val="none" w:sz="0" w:space="0" w:color="auto"/>
            <w:bottom w:val="none" w:sz="0" w:space="0" w:color="auto"/>
            <w:right w:val="none" w:sz="0" w:space="0" w:color="auto"/>
          </w:divBdr>
        </w:div>
        <w:div w:id="2082562152">
          <w:marLeft w:val="480"/>
          <w:marRight w:val="0"/>
          <w:marTop w:val="0"/>
          <w:marBottom w:val="0"/>
          <w:divBdr>
            <w:top w:val="none" w:sz="0" w:space="0" w:color="auto"/>
            <w:left w:val="none" w:sz="0" w:space="0" w:color="auto"/>
            <w:bottom w:val="none" w:sz="0" w:space="0" w:color="auto"/>
            <w:right w:val="none" w:sz="0" w:space="0" w:color="auto"/>
          </w:divBdr>
        </w:div>
        <w:div w:id="913899943">
          <w:marLeft w:val="480"/>
          <w:marRight w:val="0"/>
          <w:marTop w:val="0"/>
          <w:marBottom w:val="0"/>
          <w:divBdr>
            <w:top w:val="none" w:sz="0" w:space="0" w:color="auto"/>
            <w:left w:val="none" w:sz="0" w:space="0" w:color="auto"/>
            <w:bottom w:val="none" w:sz="0" w:space="0" w:color="auto"/>
            <w:right w:val="none" w:sz="0" w:space="0" w:color="auto"/>
          </w:divBdr>
        </w:div>
        <w:div w:id="177936313">
          <w:marLeft w:val="480"/>
          <w:marRight w:val="0"/>
          <w:marTop w:val="0"/>
          <w:marBottom w:val="0"/>
          <w:divBdr>
            <w:top w:val="none" w:sz="0" w:space="0" w:color="auto"/>
            <w:left w:val="none" w:sz="0" w:space="0" w:color="auto"/>
            <w:bottom w:val="none" w:sz="0" w:space="0" w:color="auto"/>
            <w:right w:val="none" w:sz="0" w:space="0" w:color="auto"/>
          </w:divBdr>
        </w:div>
        <w:div w:id="742605524">
          <w:marLeft w:val="480"/>
          <w:marRight w:val="0"/>
          <w:marTop w:val="0"/>
          <w:marBottom w:val="0"/>
          <w:divBdr>
            <w:top w:val="none" w:sz="0" w:space="0" w:color="auto"/>
            <w:left w:val="none" w:sz="0" w:space="0" w:color="auto"/>
            <w:bottom w:val="none" w:sz="0" w:space="0" w:color="auto"/>
            <w:right w:val="none" w:sz="0" w:space="0" w:color="auto"/>
          </w:divBdr>
        </w:div>
        <w:div w:id="360713770">
          <w:marLeft w:val="480"/>
          <w:marRight w:val="0"/>
          <w:marTop w:val="0"/>
          <w:marBottom w:val="0"/>
          <w:divBdr>
            <w:top w:val="none" w:sz="0" w:space="0" w:color="auto"/>
            <w:left w:val="none" w:sz="0" w:space="0" w:color="auto"/>
            <w:bottom w:val="none" w:sz="0" w:space="0" w:color="auto"/>
            <w:right w:val="none" w:sz="0" w:space="0" w:color="auto"/>
          </w:divBdr>
        </w:div>
        <w:div w:id="1628006520">
          <w:marLeft w:val="480"/>
          <w:marRight w:val="0"/>
          <w:marTop w:val="0"/>
          <w:marBottom w:val="0"/>
          <w:divBdr>
            <w:top w:val="none" w:sz="0" w:space="0" w:color="auto"/>
            <w:left w:val="none" w:sz="0" w:space="0" w:color="auto"/>
            <w:bottom w:val="none" w:sz="0" w:space="0" w:color="auto"/>
            <w:right w:val="none" w:sz="0" w:space="0" w:color="auto"/>
          </w:divBdr>
        </w:div>
        <w:div w:id="1070537932">
          <w:marLeft w:val="480"/>
          <w:marRight w:val="0"/>
          <w:marTop w:val="0"/>
          <w:marBottom w:val="0"/>
          <w:divBdr>
            <w:top w:val="none" w:sz="0" w:space="0" w:color="auto"/>
            <w:left w:val="none" w:sz="0" w:space="0" w:color="auto"/>
            <w:bottom w:val="none" w:sz="0" w:space="0" w:color="auto"/>
            <w:right w:val="none" w:sz="0" w:space="0" w:color="auto"/>
          </w:divBdr>
        </w:div>
        <w:div w:id="450132996">
          <w:marLeft w:val="480"/>
          <w:marRight w:val="0"/>
          <w:marTop w:val="0"/>
          <w:marBottom w:val="0"/>
          <w:divBdr>
            <w:top w:val="none" w:sz="0" w:space="0" w:color="auto"/>
            <w:left w:val="none" w:sz="0" w:space="0" w:color="auto"/>
            <w:bottom w:val="none" w:sz="0" w:space="0" w:color="auto"/>
            <w:right w:val="none" w:sz="0" w:space="0" w:color="auto"/>
          </w:divBdr>
        </w:div>
        <w:div w:id="329718239">
          <w:marLeft w:val="480"/>
          <w:marRight w:val="0"/>
          <w:marTop w:val="0"/>
          <w:marBottom w:val="0"/>
          <w:divBdr>
            <w:top w:val="none" w:sz="0" w:space="0" w:color="auto"/>
            <w:left w:val="none" w:sz="0" w:space="0" w:color="auto"/>
            <w:bottom w:val="none" w:sz="0" w:space="0" w:color="auto"/>
            <w:right w:val="none" w:sz="0" w:space="0" w:color="auto"/>
          </w:divBdr>
        </w:div>
        <w:div w:id="1046300493">
          <w:marLeft w:val="480"/>
          <w:marRight w:val="0"/>
          <w:marTop w:val="0"/>
          <w:marBottom w:val="0"/>
          <w:divBdr>
            <w:top w:val="none" w:sz="0" w:space="0" w:color="auto"/>
            <w:left w:val="none" w:sz="0" w:space="0" w:color="auto"/>
            <w:bottom w:val="none" w:sz="0" w:space="0" w:color="auto"/>
            <w:right w:val="none" w:sz="0" w:space="0" w:color="auto"/>
          </w:divBdr>
        </w:div>
        <w:div w:id="1052535498">
          <w:marLeft w:val="480"/>
          <w:marRight w:val="0"/>
          <w:marTop w:val="0"/>
          <w:marBottom w:val="0"/>
          <w:divBdr>
            <w:top w:val="none" w:sz="0" w:space="0" w:color="auto"/>
            <w:left w:val="none" w:sz="0" w:space="0" w:color="auto"/>
            <w:bottom w:val="none" w:sz="0" w:space="0" w:color="auto"/>
            <w:right w:val="none" w:sz="0" w:space="0" w:color="auto"/>
          </w:divBdr>
        </w:div>
        <w:div w:id="1172912730">
          <w:marLeft w:val="480"/>
          <w:marRight w:val="0"/>
          <w:marTop w:val="0"/>
          <w:marBottom w:val="0"/>
          <w:divBdr>
            <w:top w:val="none" w:sz="0" w:space="0" w:color="auto"/>
            <w:left w:val="none" w:sz="0" w:space="0" w:color="auto"/>
            <w:bottom w:val="none" w:sz="0" w:space="0" w:color="auto"/>
            <w:right w:val="none" w:sz="0" w:space="0" w:color="auto"/>
          </w:divBdr>
        </w:div>
        <w:div w:id="1052926205">
          <w:marLeft w:val="480"/>
          <w:marRight w:val="0"/>
          <w:marTop w:val="0"/>
          <w:marBottom w:val="0"/>
          <w:divBdr>
            <w:top w:val="none" w:sz="0" w:space="0" w:color="auto"/>
            <w:left w:val="none" w:sz="0" w:space="0" w:color="auto"/>
            <w:bottom w:val="none" w:sz="0" w:space="0" w:color="auto"/>
            <w:right w:val="none" w:sz="0" w:space="0" w:color="auto"/>
          </w:divBdr>
        </w:div>
        <w:div w:id="707608293">
          <w:marLeft w:val="480"/>
          <w:marRight w:val="0"/>
          <w:marTop w:val="0"/>
          <w:marBottom w:val="0"/>
          <w:divBdr>
            <w:top w:val="none" w:sz="0" w:space="0" w:color="auto"/>
            <w:left w:val="none" w:sz="0" w:space="0" w:color="auto"/>
            <w:bottom w:val="none" w:sz="0" w:space="0" w:color="auto"/>
            <w:right w:val="none" w:sz="0" w:space="0" w:color="auto"/>
          </w:divBdr>
        </w:div>
        <w:div w:id="738359452">
          <w:marLeft w:val="480"/>
          <w:marRight w:val="0"/>
          <w:marTop w:val="0"/>
          <w:marBottom w:val="0"/>
          <w:divBdr>
            <w:top w:val="none" w:sz="0" w:space="0" w:color="auto"/>
            <w:left w:val="none" w:sz="0" w:space="0" w:color="auto"/>
            <w:bottom w:val="none" w:sz="0" w:space="0" w:color="auto"/>
            <w:right w:val="none" w:sz="0" w:space="0" w:color="auto"/>
          </w:divBdr>
        </w:div>
        <w:div w:id="382218094">
          <w:marLeft w:val="480"/>
          <w:marRight w:val="0"/>
          <w:marTop w:val="0"/>
          <w:marBottom w:val="0"/>
          <w:divBdr>
            <w:top w:val="none" w:sz="0" w:space="0" w:color="auto"/>
            <w:left w:val="none" w:sz="0" w:space="0" w:color="auto"/>
            <w:bottom w:val="none" w:sz="0" w:space="0" w:color="auto"/>
            <w:right w:val="none" w:sz="0" w:space="0" w:color="auto"/>
          </w:divBdr>
        </w:div>
        <w:div w:id="247159938">
          <w:marLeft w:val="480"/>
          <w:marRight w:val="0"/>
          <w:marTop w:val="0"/>
          <w:marBottom w:val="0"/>
          <w:divBdr>
            <w:top w:val="none" w:sz="0" w:space="0" w:color="auto"/>
            <w:left w:val="none" w:sz="0" w:space="0" w:color="auto"/>
            <w:bottom w:val="none" w:sz="0" w:space="0" w:color="auto"/>
            <w:right w:val="none" w:sz="0" w:space="0" w:color="auto"/>
          </w:divBdr>
        </w:div>
        <w:div w:id="948321382">
          <w:marLeft w:val="480"/>
          <w:marRight w:val="0"/>
          <w:marTop w:val="0"/>
          <w:marBottom w:val="0"/>
          <w:divBdr>
            <w:top w:val="none" w:sz="0" w:space="0" w:color="auto"/>
            <w:left w:val="none" w:sz="0" w:space="0" w:color="auto"/>
            <w:bottom w:val="none" w:sz="0" w:space="0" w:color="auto"/>
            <w:right w:val="none" w:sz="0" w:space="0" w:color="auto"/>
          </w:divBdr>
        </w:div>
        <w:div w:id="654840980">
          <w:marLeft w:val="480"/>
          <w:marRight w:val="0"/>
          <w:marTop w:val="0"/>
          <w:marBottom w:val="0"/>
          <w:divBdr>
            <w:top w:val="none" w:sz="0" w:space="0" w:color="auto"/>
            <w:left w:val="none" w:sz="0" w:space="0" w:color="auto"/>
            <w:bottom w:val="none" w:sz="0" w:space="0" w:color="auto"/>
            <w:right w:val="none" w:sz="0" w:space="0" w:color="auto"/>
          </w:divBdr>
        </w:div>
        <w:div w:id="845945221">
          <w:marLeft w:val="480"/>
          <w:marRight w:val="0"/>
          <w:marTop w:val="0"/>
          <w:marBottom w:val="0"/>
          <w:divBdr>
            <w:top w:val="none" w:sz="0" w:space="0" w:color="auto"/>
            <w:left w:val="none" w:sz="0" w:space="0" w:color="auto"/>
            <w:bottom w:val="none" w:sz="0" w:space="0" w:color="auto"/>
            <w:right w:val="none" w:sz="0" w:space="0" w:color="auto"/>
          </w:divBdr>
        </w:div>
        <w:div w:id="541670822">
          <w:marLeft w:val="480"/>
          <w:marRight w:val="0"/>
          <w:marTop w:val="0"/>
          <w:marBottom w:val="0"/>
          <w:divBdr>
            <w:top w:val="none" w:sz="0" w:space="0" w:color="auto"/>
            <w:left w:val="none" w:sz="0" w:space="0" w:color="auto"/>
            <w:bottom w:val="none" w:sz="0" w:space="0" w:color="auto"/>
            <w:right w:val="none" w:sz="0" w:space="0" w:color="auto"/>
          </w:divBdr>
        </w:div>
        <w:div w:id="342706029">
          <w:marLeft w:val="480"/>
          <w:marRight w:val="0"/>
          <w:marTop w:val="0"/>
          <w:marBottom w:val="0"/>
          <w:divBdr>
            <w:top w:val="none" w:sz="0" w:space="0" w:color="auto"/>
            <w:left w:val="none" w:sz="0" w:space="0" w:color="auto"/>
            <w:bottom w:val="none" w:sz="0" w:space="0" w:color="auto"/>
            <w:right w:val="none" w:sz="0" w:space="0" w:color="auto"/>
          </w:divBdr>
        </w:div>
        <w:div w:id="625740019">
          <w:marLeft w:val="480"/>
          <w:marRight w:val="0"/>
          <w:marTop w:val="0"/>
          <w:marBottom w:val="0"/>
          <w:divBdr>
            <w:top w:val="none" w:sz="0" w:space="0" w:color="auto"/>
            <w:left w:val="none" w:sz="0" w:space="0" w:color="auto"/>
            <w:bottom w:val="none" w:sz="0" w:space="0" w:color="auto"/>
            <w:right w:val="none" w:sz="0" w:space="0" w:color="auto"/>
          </w:divBdr>
        </w:div>
        <w:div w:id="166556261">
          <w:marLeft w:val="480"/>
          <w:marRight w:val="0"/>
          <w:marTop w:val="0"/>
          <w:marBottom w:val="0"/>
          <w:divBdr>
            <w:top w:val="none" w:sz="0" w:space="0" w:color="auto"/>
            <w:left w:val="none" w:sz="0" w:space="0" w:color="auto"/>
            <w:bottom w:val="none" w:sz="0" w:space="0" w:color="auto"/>
            <w:right w:val="none" w:sz="0" w:space="0" w:color="auto"/>
          </w:divBdr>
        </w:div>
        <w:div w:id="1448429969">
          <w:marLeft w:val="480"/>
          <w:marRight w:val="0"/>
          <w:marTop w:val="0"/>
          <w:marBottom w:val="0"/>
          <w:divBdr>
            <w:top w:val="none" w:sz="0" w:space="0" w:color="auto"/>
            <w:left w:val="none" w:sz="0" w:space="0" w:color="auto"/>
            <w:bottom w:val="none" w:sz="0" w:space="0" w:color="auto"/>
            <w:right w:val="none" w:sz="0" w:space="0" w:color="auto"/>
          </w:divBdr>
        </w:div>
        <w:div w:id="236207414">
          <w:marLeft w:val="480"/>
          <w:marRight w:val="0"/>
          <w:marTop w:val="0"/>
          <w:marBottom w:val="0"/>
          <w:divBdr>
            <w:top w:val="none" w:sz="0" w:space="0" w:color="auto"/>
            <w:left w:val="none" w:sz="0" w:space="0" w:color="auto"/>
            <w:bottom w:val="none" w:sz="0" w:space="0" w:color="auto"/>
            <w:right w:val="none" w:sz="0" w:space="0" w:color="auto"/>
          </w:divBdr>
        </w:div>
        <w:div w:id="2053537418">
          <w:marLeft w:val="480"/>
          <w:marRight w:val="0"/>
          <w:marTop w:val="0"/>
          <w:marBottom w:val="0"/>
          <w:divBdr>
            <w:top w:val="none" w:sz="0" w:space="0" w:color="auto"/>
            <w:left w:val="none" w:sz="0" w:space="0" w:color="auto"/>
            <w:bottom w:val="none" w:sz="0" w:space="0" w:color="auto"/>
            <w:right w:val="none" w:sz="0" w:space="0" w:color="auto"/>
          </w:divBdr>
        </w:div>
        <w:div w:id="975835696">
          <w:marLeft w:val="480"/>
          <w:marRight w:val="0"/>
          <w:marTop w:val="0"/>
          <w:marBottom w:val="0"/>
          <w:divBdr>
            <w:top w:val="none" w:sz="0" w:space="0" w:color="auto"/>
            <w:left w:val="none" w:sz="0" w:space="0" w:color="auto"/>
            <w:bottom w:val="none" w:sz="0" w:space="0" w:color="auto"/>
            <w:right w:val="none" w:sz="0" w:space="0" w:color="auto"/>
          </w:divBdr>
        </w:div>
        <w:div w:id="670983285">
          <w:marLeft w:val="480"/>
          <w:marRight w:val="0"/>
          <w:marTop w:val="0"/>
          <w:marBottom w:val="0"/>
          <w:divBdr>
            <w:top w:val="none" w:sz="0" w:space="0" w:color="auto"/>
            <w:left w:val="none" w:sz="0" w:space="0" w:color="auto"/>
            <w:bottom w:val="none" w:sz="0" w:space="0" w:color="auto"/>
            <w:right w:val="none" w:sz="0" w:space="0" w:color="auto"/>
          </w:divBdr>
        </w:div>
        <w:div w:id="109977964">
          <w:marLeft w:val="480"/>
          <w:marRight w:val="0"/>
          <w:marTop w:val="0"/>
          <w:marBottom w:val="0"/>
          <w:divBdr>
            <w:top w:val="none" w:sz="0" w:space="0" w:color="auto"/>
            <w:left w:val="none" w:sz="0" w:space="0" w:color="auto"/>
            <w:bottom w:val="none" w:sz="0" w:space="0" w:color="auto"/>
            <w:right w:val="none" w:sz="0" w:space="0" w:color="auto"/>
          </w:divBdr>
        </w:div>
        <w:div w:id="98912008">
          <w:marLeft w:val="480"/>
          <w:marRight w:val="0"/>
          <w:marTop w:val="0"/>
          <w:marBottom w:val="0"/>
          <w:divBdr>
            <w:top w:val="none" w:sz="0" w:space="0" w:color="auto"/>
            <w:left w:val="none" w:sz="0" w:space="0" w:color="auto"/>
            <w:bottom w:val="none" w:sz="0" w:space="0" w:color="auto"/>
            <w:right w:val="none" w:sz="0" w:space="0" w:color="auto"/>
          </w:divBdr>
        </w:div>
        <w:div w:id="764231997">
          <w:marLeft w:val="480"/>
          <w:marRight w:val="0"/>
          <w:marTop w:val="0"/>
          <w:marBottom w:val="0"/>
          <w:divBdr>
            <w:top w:val="none" w:sz="0" w:space="0" w:color="auto"/>
            <w:left w:val="none" w:sz="0" w:space="0" w:color="auto"/>
            <w:bottom w:val="none" w:sz="0" w:space="0" w:color="auto"/>
            <w:right w:val="none" w:sz="0" w:space="0" w:color="auto"/>
          </w:divBdr>
        </w:div>
        <w:div w:id="377242539">
          <w:marLeft w:val="480"/>
          <w:marRight w:val="0"/>
          <w:marTop w:val="0"/>
          <w:marBottom w:val="0"/>
          <w:divBdr>
            <w:top w:val="none" w:sz="0" w:space="0" w:color="auto"/>
            <w:left w:val="none" w:sz="0" w:space="0" w:color="auto"/>
            <w:bottom w:val="none" w:sz="0" w:space="0" w:color="auto"/>
            <w:right w:val="none" w:sz="0" w:space="0" w:color="auto"/>
          </w:divBdr>
        </w:div>
        <w:div w:id="1929846926">
          <w:marLeft w:val="480"/>
          <w:marRight w:val="0"/>
          <w:marTop w:val="0"/>
          <w:marBottom w:val="0"/>
          <w:divBdr>
            <w:top w:val="none" w:sz="0" w:space="0" w:color="auto"/>
            <w:left w:val="none" w:sz="0" w:space="0" w:color="auto"/>
            <w:bottom w:val="none" w:sz="0" w:space="0" w:color="auto"/>
            <w:right w:val="none" w:sz="0" w:space="0" w:color="auto"/>
          </w:divBdr>
        </w:div>
        <w:div w:id="636835998">
          <w:marLeft w:val="480"/>
          <w:marRight w:val="0"/>
          <w:marTop w:val="0"/>
          <w:marBottom w:val="0"/>
          <w:divBdr>
            <w:top w:val="none" w:sz="0" w:space="0" w:color="auto"/>
            <w:left w:val="none" w:sz="0" w:space="0" w:color="auto"/>
            <w:bottom w:val="none" w:sz="0" w:space="0" w:color="auto"/>
            <w:right w:val="none" w:sz="0" w:space="0" w:color="auto"/>
          </w:divBdr>
        </w:div>
        <w:div w:id="432631613">
          <w:marLeft w:val="480"/>
          <w:marRight w:val="0"/>
          <w:marTop w:val="0"/>
          <w:marBottom w:val="0"/>
          <w:divBdr>
            <w:top w:val="none" w:sz="0" w:space="0" w:color="auto"/>
            <w:left w:val="none" w:sz="0" w:space="0" w:color="auto"/>
            <w:bottom w:val="none" w:sz="0" w:space="0" w:color="auto"/>
            <w:right w:val="none" w:sz="0" w:space="0" w:color="auto"/>
          </w:divBdr>
        </w:div>
        <w:div w:id="1105416642">
          <w:marLeft w:val="480"/>
          <w:marRight w:val="0"/>
          <w:marTop w:val="0"/>
          <w:marBottom w:val="0"/>
          <w:divBdr>
            <w:top w:val="none" w:sz="0" w:space="0" w:color="auto"/>
            <w:left w:val="none" w:sz="0" w:space="0" w:color="auto"/>
            <w:bottom w:val="none" w:sz="0" w:space="0" w:color="auto"/>
            <w:right w:val="none" w:sz="0" w:space="0" w:color="auto"/>
          </w:divBdr>
        </w:div>
        <w:div w:id="333801594">
          <w:marLeft w:val="480"/>
          <w:marRight w:val="0"/>
          <w:marTop w:val="0"/>
          <w:marBottom w:val="0"/>
          <w:divBdr>
            <w:top w:val="none" w:sz="0" w:space="0" w:color="auto"/>
            <w:left w:val="none" w:sz="0" w:space="0" w:color="auto"/>
            <w:bottom w:val="none" w:sz="0" w:space="0" w:color="auto"/>
            <w:right w:val="none" w:sz="0" w:space="0" w:color="auto"/>
          </w:divBdr>
        </w:div>
        <w:div w:id="1985885731">
          <w:marLeft w:val="480"/>
          <w:marRight w:val="0"/>
          <w:marTop w:val="0"/>
          <w:marBottom w:val="0"/>
          <w:divBdr>
            <w:top w:val="none" w:sz="0" w:space="0" w:color="auto"/>
            <w:left w:val="none" w:sz="0" w:space="0" w:color="auto"/>
            <w:bottom w:val="none" w:sz="0" w:space="0" w:color="auto"/>
            <w:right w:val="none" w:sz="0" w:space="0" w:color="auto"/>
          </w:divBdr>
        </w:div>
        <w:div w:id="1272935391">
          <w:marLeft w:val="480"/>
          <w:marRight w:val="0"/>
          <w:marTop w:val="0"/>
          <w:marBottom w:val="0"/>
          <w:divBdr>
            <w:top w:val="none" w:sz="0" w:space="0" w:color="auto"/>
            <w:left w:val="none" w:sz="0" w:space="0" w:color="auto"/>
            <w:bottom w:val="none" w:sz="0" w:space="0" w:color="auto"/>
            <w:right w:val="none" w:sz="0" w:space="0" w:color="auto"/>
          </w:divBdr>
        </w:div>
        <w:div w:id="806706011">
          <w:marLeft w:val="480"/>
          <w:marRight w:val="0"/>
          <w:marTop w:val="0"/>
          <w:marBottom w:val="0"/>
          <w:divBdr>
            <w:top w:val="none" w:sz="0" w:space="0" w:color="auto"/>
            <w:left w:val="none" w:sz="0" w:space="0" w:color="auto"/>
            <w:bottom w:val="none" w:sz="0" w:space="0" w:color="auto"/>
            <w:right w:val="none" w:sz="0" w:space="0" w:color="auto"/>
          </w:divBdr>
        </w:div>
        <w:div w:id="1603954474">
          <w:marLeft w:val="480"/>
          <w:marRight w:val="0"/>
          <w:marTop w:val="0"/>
          <w:marBottom w:val="0"/>
          <w:divBdr>
            <w:top w:val="none" w:sz="0" w:space="0" w:color="auto"/>
            <w:left w:val="none" w:sz="0" w:space="0" w:color="auto"/>
            <w:bottom w:val="none" w:sz="0" w:space="0" w:color="auto"/>
            <w:right w:val="none" w:sz="0" w:space="0" w:color="auto"/>
          </w:divBdr>
        </w:div>
        <w:div w:id="1133794592">
          <w:marLeft w:val="480"/>
          <w:marRight w:val="0"/>
          <w:marTop w:val="0"/>
          <w:marBottom w:val="0"/>
          <w:divBdr>
            <w:top w:val="none" w:sz="0" w:space="0" w:color="auto"/>
            <w:left w:val="none" w:sz="0" w:space="0" w:color="auto"/>
            <w:bottom w:val="none" w:sz="0" w:space="0" w:color="auto"/>
            <w:right w:val="none" w:sz="0" w:space="0" w:color="auto"/>
          </w:divBdr>
        </w:div>
        <w:div w:id="1666400656">
          <w:marLeft w:val="480"/>
          <w:marRight w:val="0"/>
          <w:marTop w:val="0"/>
          <w:marBottom w:val="0"/>
          <w:divBdr>
            <w:top w:val="none" w:sz="0" w:space="0" w:color="auto"/>
            <w:left w:val="none" w:sz="0" w:space="0" w:color="auto"/>
            <w:bottom w:val="none" w:sz="0" w:space="0" w:color="auto"/>
            <w:right w:val="none" w:sz="0" w:space="0" w:color="auto"/>
          </w:divBdr>
        </w:div>
        <w:div w:id="569580537">
          <w:marLeft w:val="480"/>
          <w:marRight w:val="0"/>
          <w:marTop w:val="0"/>
          <w:marBottom w:val="0"/>
          <w:divBdr>
            <w:top w:val="none" w:sz="0" w:space="0" w:color="auto"/>
            <w:left w:val="none" w:sz="0" w:space="0" w:color="auto"/>
            <w:bottom w:val="none" w:sz="0" w:space="0" w:color="auto"/>
            <w:right w:val="none" w:sz="0" w:space="0" w:color="auto"/>
          </w:divBdr>
        </w:div>
        <w:div w:id="862666858">
          <w:marLeft w:val="480"/>
          <w:marRight w:val="0"/>
          <w:marTop w:val="0"/>
          <w:marBottom w:val="0"/>
          <w:divBdr>
            <w:top w:val="none" w:sz="0" w:space="0" w:color="auto"/>
            <w:left w:val="none" w:sz="0" w:space="0" w:color="auto"/>
            <w:bottom w:val="none" w:sz="0" w:space="0" w:color="auto"/>
            <w:right w:val="none" w:sz="0" w:space="0" w:color="auto"/>
          </w:divBdr>
        </w:div>
        <w:div w:id="482157711">
          <w:marLeft w:val="480"/>
          <w:marRight w:val="0"/>
          <w:marTop w:val="0"/>
          <w:marBottom w:val="0"/>
          <w:divBdr>
            <w:top w:val="none" w:sz="0" w:space="0" w:color="auto"/>
            <w:left w:val="none" w:sz="0" w:space="0" w:color="auto"/>
            <w:bottom w:val="none" w:sz="0" w:space="0" w:color="auto"/>
            <w:right w:val="none" w:sz="0" w:space="0" w:color="auto"/>
          </w:divBdr>
        </w:div>
        <w:div w:id="1020425555">
          <w:marLeft w:val="480"/>
          <w:marRight w:val="0"/>
          <w:marTop w:val="0"/>
          <w:marBottom w:val="0"/>
          <w:divBdr>
            <w:top w:val="none" w:sz="0" w:space="0" w:color="auto"/>
            <w:left w:val="none" w:sz="0" w:space="0" w:color="auto"/>
            <w:bottom w:val="none" w:sz="0" w:space="0" w:color="auto"/>
            <w:right w:val="none" w:sz="0" w:space="0" w:color="auto"/>
          </w:divBdr>
        </w:div>
        <w:div w:id="1479767176">
          <w:marLeft w:val="480"/>
          <w:marRight w:val="0"/>
          <w:marTop w:val="0"/>
          <w:marBottom w:val="0"/>
          <w:divBdr>
            <w:top w:val="none" w:sz="0" w:space="0" w:color="auto"/>
            <w:left w:val="none" w:sz="0" w:space="0" w:color="auto"/>
            <w:bottom w:val="none" w:sz="0" w:space="0" w:color="auto"/>
            <w:right w:val="none" w:sz="0" w:space="0" w:color="auto"/>
          </w:divBdr>
        </w:div>
        <w:div w:id="615329784">
          <w:marLeft w:val="480"/>
          <w:marRight w:val="0"/>
          <w:marTop w:val="0"/>
          <w:marBottom w:val="0"/>
          <w:divBdr>
            <w:top w:val="none" w:sz="0" w:space="0" w:color="auto"/>
            <w:left w:val="none" w:sz="0" w:space="0" w:color="auto"/>
            <w:bottom w:val="none" w:sz="0" w:space="0" w:color="auto"/>
            <w:right w:val="none" w:sz="0" w:space="0" w:color="auto"/>
          </w:divBdr>
        </w:div>
        <w:div w:id="569004121">
          <w:marLeft w:val="480"/>
          <w:marRight w:val="0"/>
          <w:marTop w:val="0"/>
          <w:marBottom w:val="0"/>
          <w:divBdr>
            <w:top w:val="none" w:sz="0" w:space="0" w:color="auto"/>
            <w:left w:val="none" w:sz="0" w:space="0" w:color="auto"/>
            <w:bottom w:val="none" w:sz="0" w:space="0" w:color="auto"/>
            <w:right w:val="none" w:sz="0" w:space="0" w:color="auto"/>
          </w:divBdr>
        </w:div>
        <w:div w:id="464735733">
          <w:marLeft w:val="480"/>
          <w:marRight w:val="0"/>
          <w:marTop w:val="0"/>
          <w:marBottom w:val="0"/>
          <w:divBdr>
            <w:top w:val="none" w:sz="0" w:space="0" w:color="auto"/>
            <w:left w:val="none" w:sz="0" w:space="0" w:color="auto"/>
            <w:bottom w:val="none" w:sz="0" w:space="0" w:color="auto"/>
            <w:right w:val="none" w:sz="0" w:space="0" w:color="auto"/>
          </w:divBdr>
        </w:div>
        <w:div w:id="1471895307">
          <w:marLeft w:val="480"/>
          <w:marRight w:val="0"/>
          <w:marTop w:val="0"/>
          <w:marBottom w:val="0"/>
          <w:divBdr>
            <w:top w:val="none" w:sz="0" w:space="0" w:color="auto"/>
            <w:left w:val="none" w:sz="0" w:space="0" w:color="auto"/>
            <w:bottom w:val="none" w:sz="0" w:space="0" w:color="auto"/>
            <w:right w:val="none" w:sz="0" w:space="0" w:color="auto"/>
          </w:divBdr>
        </w:div>
        <w:div w:id="751705759">
          <w:marLeft w:val="480"/>
          <w:marRight w:val="0"/>
          <w:marTop w:val="0"/>
          <w:marBottom w:val="0"/>
          <w:divBdr>
            <w:top w:val="none" w:sz="0" w:space="0" w:color="auto"/>
            <w:left w:val="none" w:sz="0" w:space="0" w:color="auto"/>
            <w:bottom w:val="none" w:sz="0" w:space="0" w:color="auto"/>
            <w:right w:val="none" w:sz="0" w:space="0" w:color="auto"/>
          </w:divBdr>
        </w:div>
        <w:div w:id="610478313">
          <w:marLeft w:val="480"/>
          <w:marRight w:val="0"/>
          <w:marTop w:val="0"/>
          <w:marBottom w:val="0"/>
          <w:divBdr>
            <w:top w:val="none" w:sz="0" w:space="0" w:color="auto"/>
            <w:left w:val="none" w:sz="0" w:space="0" w:color="auto"/>
            <w:bottom w:val="none" w:sz="0" w:space="0" w:color="auto"/>
            <w:right w:val="none" w:sz="0" w:space="0" w:color="auto"/>
          </w:divBdr>
        </w:div>
        <w:div w:id="990140681">
          <w:marLeft w:val="480"/>
          <w:marRight w:val="0"/>
          <w:marTop w:val="0"/>
          <w:marBottom w:val="0"/>
          <w:divBdr>
            <w:top w:val="none" w:sz="0" w:space="0" w:color="auto"/>
            <w:left w:val="none" w:sz="0" w:space="0" w:color="auto"/>
            <w:bottom w:val="none" w:sz="0" w:space="0" w:color="auto"/>
            <w:right w:val="none" w:sz="0" w:space="0" w:color="auto"/>
          </w:divBdr>
        </w:div>
        <w:div w:id="807630365">
          <w:marLeft w:val="480"/>
          <w:marRight w:val="0"/>
          <w:marTop w:val="0"/>
          <w:marBottom w:val="0"/>
          <w:divBdr>
            <w:top w:val="none" w:sz="0" w:space="0" w:color="auto"/>
            <w:left w:val="none" w:sz="0" w:space="0" w:color="auto"/>
            <w:bottom w:val="none" w:sz="0" w:space="0" w:color="auto"/>
            <w:right w:val="none" w:sz="0" w:space="0" w:color="auto"/>
          </w:divBdr>
        </w:div>
        <w:div w:id="1751080840">
          <w:marLeft w:val="480"/>
          <w:marRight w:val="0"/>
          <w:marTop w:val="0"/>
          <w:marBottom w:val="0"/>
          <w:divBdr>
            <w:top w:val="none" w:sz="0" w:space="0" w:color="auto"/>
            <w:left w:val="none" w:sz="0" w:space="0" w:color="auto"/>
            <w:bottom w:val="none" w:sz="0" w:space="0" w:color="auto"/>
            <w:right w:val="none" w:sz="0" w:space="0" w:color="auto"/>
          </w:divBdr>
        </w:div>
        <w:div w:id="2058115382">
          <w:marLeft w:val="480"/>
          <w:marRight w:val="0"/>
          <w:marTop w:val="0"/>
          <w:marBottom w:val="0"/>
          <w:divBdr>
            <w:top w:val="none" w:sz="0" w:space="0" w:color="auto"/>
            <w:left w:val="none" w:sz="0" w:space="0" w:color="auto"/>
            <w:bottom w:val="none" w:sz="0" w:space="0" w:color="auto"/>
            <w:right w:val="none" w:sz="0" w:space="0" w:color="auto"/>
          </w:divBdr>
        </w:div>
        <w:div w:id="1264610973">
          <w:marLeft w:val="480"/>
          <w:marRight w:val="0"/>
          <w:marTop w:val="0"/>
          <w:marBottom w:val="0"/>
          <w:divBdr>
            <w:top w:val="none" w:sz="0" w:space="0" w:color="auto"/>
            <w:left w:val="none" w:sz="0" w:space="0" w:color="auto"/>
            <w:bottom w:val="none" w:sz="0" w:space="0" w:color="auto"/>
            <w:right w:val="none" w:sz="0" w:space="0" w:color="auto"/>
          </w:divBdr>
        </w:div>
        <w:div w:id="634681083">
          <w:marLeft w:val="480"/>
          <w:marRight w:val="0"/>
          <w:marTop w:val="0"/>
          <w:marBottom w:val="0"/>
          <w:divBdr>
            <w:top w:val="none" w:sz="0" w:space="0" w:color="auto"/>
            <w:left w:val="none" w:sz="0" w:space="0" w:color="auto"/>
            <w:bottom w:val="none" w:sz="0" w:space="0" w:color="auto"/>
            <w:right w:val="none" w:sz="0" w:space="0" w:color="auto"/>
          </w:divBdr>
        </w:div>
        <w:div w:id="947810253">
          <w:marLeft w:val="480"/>
          <w:marRight w:val="0"/>
          <w:marTop w:val="0"/>
          <w:marBottom w:val="0"/>
          <w:divBdr>
            <w:top w:val="none" w:sz="0" w:space="0" w:color="auto"/>
            <w:left w:val="none" w:sz="0" w:space="0" w:color="auto"/>
            <w:bottom w:val="none" w:sz="0" w:space="0" w:color="auto"/>
            <w:right w:val="none" w:sz="0" w:space="0" w:color="auto"/>
          </w:divBdr>
        </w:div>
        <w:div w:id="7097539">
          <w:marLeft w:val="480"/>
          <w:marRight w:val="0"/>
          <w:marTop w:val="0"/>
          <w:marBottom w:val="0"/>
          <w:divBdr>
            <w:top w:val="none" w:sz="0" w:space="0" w:color="auto"/>
            <w:left w:val="none" w:sz="0" w:space="0" w:color="auto"/>
            <w:bottom w:val="none" w:sz="0" w:space="0" w:color="auto"/>
            <w:right w:val="none" w:sz="0" w:space="0" w:color="auto"/>
          </w:divBdr>
        </w:div>
        <w:div w:id="752360422">
          <w:marLeft w:val="480"/>
          <w:marRight w:val="0"/>
          <w:marTop w:val="0"/>
          <w:marBottom w:val="0"/>
          <w:divBdr>
            <w:top w:val="none" w:sz="0" w:space="0" w:color="auto"/>
            <w:left w:val="none" w:sz="0" w:space="0" w:color="auto"/>
            <w:bottom w:val="none" w:sz="0" w:space="0" w:color="auto"/>
            <w:right w:val="none" w:sz="0" w:space="0" w:color="auto"/>
          </w:divBdr>
        </w:div>
        <w:div w:id="871917713">
          <w:marLeft w:val="480"/>
          <w:marRight w:val="0"/>
          <w:marTop w:val="0"/>
          <w:marBottom w:val="0"/>
          <w:divBdr>
            <w:top w:val="none" w:sz="0" w:space="0" w:color="auto"/>
            <w:left w:val="none" w:sz="0" w:space="0" w:color="auto"/>
            <w:bottom w:val="none" w:sz="0" w:space="0" w:color="auto"/>
            <w:right w:val="none" w:sz="0" w:space="0" w:color="auto"/>
          </w:divBdr>
        </w:div>
        <w:div w:id="1585722242">
          <w:marLeft w:val="480"/>
          <w:marRight w:val="0"/>
          <w:marTop w:val="0"/>
          <w:marBottom w:val="0"/>
          <w:divBdr>
            <w:top w:val="none" w:sz="0" w:space="0" w:color="auto"/>
            <w:left w:val="none" w:sz="0" w:space="0" w:color="auto"/>
            <w:bottom w:val="none" w:sz="0" w:space="0" w:color="auto"/>
            <w:right w:val="none" w:sz="0" w:space="0" w:color="auto"/>
          </w:divBdr>
        </w:div>
        <w:div w:id="1100492537">
          <w:marLeft w:val="480"/>
          <w:marRight w:val="0"/>
          <w:marTop w:val="0"/>
          <w:marBottom w:val="0"/>
          <w:divBdr>
            <w:top w:val="none" w:sz="0" w:space="0" w:color="auto"/>
            <w:left w:val="none" w:sz="0" w:space="0" w:color="auto"/>
            <w:bottom w:val="none" w:sz="0" w:space="0" w:color="auto"/>
            <w:right w:val="none" w:sz="0" w:space="0" w:color="auto"/>
          </w:divBdr>
        </w:div>
        <w:div w:id="1726485541">
          <w:marLeft w:val="480"/>
          <w:marRight w:val="0"/>
          <w:marTop w:val="0"/>
          <w:marBottom w:val="0"/>
          <w:divBdr>
            <w:top w:val="none" w:sz="0" w:space="0" w:color="auto"/>
            <w:left w:val="none" w:sz="0" w:space="0" w:color="auto"/>
            <w:bottom w:val="none" w:sz="0" w:space="0" w:color="auto"/>
            <w:right w:val="none" w:sz="0" w:space="0" w:color="auto"/>
          </w:divBdr>
        </w:div>
        <w:div w:id="1602371593">
          <w:marLeft w:val="480"/>
          <w:marRight w:val="0"/>
          <w:marTop w:val="0"/>
          <w:marBottom w:val="0"/>
          <w:divBdr>
            <w:top w:val="none" w:sz="0" w:space="0" w:color="auto"/>
            <w:left w:val="none" w:sz="0" w:space="0" w:color="auto"/>
            <w:bottom w:val="none" w:sz="0" w:space="0" w:color="auto"/>
            <w:right w:val="none" w:sz="0" w:space="0" w:color="auto"/>
          </w:divBdr>
        </w:div>
        <w:div w:id="1876625042">
          <w:marLeft w:val="480"/>
          <w:marRight w:val="0"/>
          <w:marTop w:val="0"/>
          <w:marBottom w:val="0"/>
          <w:divBdr>
            <w:top w:val="none" w:sz="0" w:space="0" w:color="auto"/>
            <w:left w:val="none" w:sz="0" w:space="0" w:color="auto"/>
            <w:bottom w:val="none" w:sz="0" w:space="0" w:color="auto"/>
            <w:right w:val="none" w:sz="0" w:space="0" w:color="auto"/>
          </w:divBdr>
        </w:div>
        <w:div w:id="1163161380">
          <w:marLeft w:val="480"/>
          <w:marRight w:val="0"/>
          <w:marTop w:val="0"/>
          <w:marBottom w:val="0"/>
          <w:divBdr>
            <w:top w:val="none" w:sz="0" w:space="0" w:color="auto"/>
            <w:left w:val="none" w:sz="0" w:space="0" w:color="auto"/>
            <w:bottom w:val="none" w:sz="0" w:space="0" w:color="auto"/>
            <w:right w:val="none" w:sz="0" w:space="0" w:color="auto"/>
          </w:divBdr>
        </w:div>
        <w:div w:id="867832351">
          <w:marLeft w:val="480"/>
          <w:marRight w:val="0"/>
          <w:marTop w:val="0"/>
          <w:marBottom w:val="0"/>
          <w:divBdr>
            <w:top w:val="none" w:sz="0" w:space="0" w:color="auto"/>
            <w:left w:val="none" w:sz="0" w:space="0" w:color="auto"/>
            <w:bottom w:val="none" w:sz="0" w:space="0" w:color="auto"/>
            <w:right w:val="none" w:sz="0" w:space="0" w:color="auto"/>
          </w:divBdr>
        </w:div>
        <w:div w:id="752091686">
          <w:marLeft w:val="480"/>
          <w:marRight w:val="0"/>
          <w:marTop w:val="0"/>
          <w:marBottom w:val="0"/>
          <w:divBdr>
            <w:top w:val="none" w:sz="0" w:space="0" w:color="auto"/>
            <w:left w:val="none" w:sz="0" w:space="0" w:color="auto"/>
            <w:bottom w:val="none" w:sz="0" w:space="0" w:color="auto"/>
            <w:right w:val="none" w:sz="0" w:space="0" w:color="auto"/>
          </w:divBdr>
        </w:div>
        <w:div w:id="1497577235">
          <w:marLeft w:val="480"/>
          <w:marRight w:val="0"/>
          <w:marTop w:val="0"/>
          <w:marBottom w:val="0"/>
          <w:divBdr>
            <w:top w:val="none" w:sz="0" w:space="0" w:color="auto"/>
            <w:left w:val="none" w:sz="0" w:space="0" w:color="auto"/>
            <w:bottom w:val="none" w:sz="0" w:space="0" w:color="auto"/>
            <w:right w:val="none" w:sz="0" w:space="0" w:color="auto"/>
          </w:divBdr>
        </w:div>
        <w:div w:id="1744254880">
          <w:marLeft w:val="480"/>
          <w:marRight w:val="0"/>
          <w:marTop w:val="0"/>
          <w:marBottom w:val="0"/>
          <w:divBdr>
            <w:top w:val="none" w:sz="0" w:space="0" w:color="auto"/>
            <w:left w:val="none" w:sz="0" w:space="0" w:color="auto"/>
            <w:bottom w:val="none" w:sz="0" w:space="0" w:color="auto"/>
            <w:right w:val="none" w:sz="0" w:space="0" w:color="auto"/>
          </w:divBdr>
        </w:div>
        <w:div w:id="925501475">
          <w:marLeft w:val="480"/>
          <w:marRight w:val="0"/>
          <w:marTop w:val="0"/>
          <w:marBottom w:val="0"/>
          <w:divBdr>
            <w:top w:val="none" w:sz="0" w:space="0" w:color="auto"/>
            <w:left w:val="none" w:sz="0" w:space="0" w:color="auto"/>
            <w:bottom w:val="none" w:sz="0" w:space="0" w:color="auto"/>
            <w:right w:val="none" w:sz="0" w:space="0" w:color="auto"/>
          </w:divBdr>
        </w:div>
        <w:div w:id="1863670001">
          <w:marLeft w:val="480"/>
          <w:marRight w:val="0"/>
          <w:marTop w:val="0"/>
          <w:marBottom w:val="0"/>
          <w:divBdr>
            <w:top w:val="none" w:sz="0" w:space="0" w:color="auto"/>
            <w:left w:val="none" w:sz="0" w:space="0" w:color="auto"/>
            <w:bottom w:val="none" w:sz="0" w:space="0" w:color="auto"/>
            <w:right w:val="none" w:sz="0" w:space="0" w:color="auto"/>
          </w:divBdr>
        </w:div>
        <w:div w:id="898783781">
          <w:marLeft w:val="480"/>
          <w:marRight w:val="0"/>
          <w:marTop w:val="0"/>
          <w:marBottom w:val="0"/>
          <w:divBdr>
            <w:top w:val="none" w:sz="0" w:space="0" w:color="auto"/>
            <w:left w:val="none" w:sz="0" w:space="0" w:color="auto"/>
            <w:bottom w:val="none" w:sz="0" w:space="0" w:color="auto"/>
            <w:right w:val="none" w:sz="0" w:space="0" w:color="auto"/>
          </w:divBdr>
        </w:div>
        <w:div w:id="914823016">
          <w:marLeft w:val="480"/>
          <w:marRight w:val="0"/>
          <w:marTop w:val="0"/>
          <w:marBottom w:val="0"/>
          <w:divBdr>
            <w:top w:val="none" w:sz="0" w:space="0" w:color="auto"/>
            <w:left w:val="none" w:sz="0" w:space="0" w:color="auto"/>
            <w:bottom w:val="none" w:sz="0" w:space="0" w:color="auto"/>
            <w:right w:val="none" w:sz="0" w:space="0" w:color="auto"/>
          </w:divBdr>
        </w:div>
        <w:div w:id="938948538">
          <w:marLeft w:val="480"/>
          <w:marRight w:val="0"/>
          <w:marTop w:val="0"/>
          <w:marBottom w:val="0"/>
          <w:divBdr>
            <w:top w:val="none" w:sz="0" w:space="0" w:color="auto"/>
            <w:left w:val="none" w:sz="0" w:space="0" w:color="auto"/>
            <w:bottom w:val="none" w:sz="0" w:space="0" w:color="auto"/>
            <w:right w:val="none" w:sz="0" w:space="0" w:color="auto"/>
          </w:divBdr>
        </w:div>
        <w:div w:id="1413431300">
          <w:marLeft w:val="480"/>
          <w:marRight w:val="0"/>
          <w:marTop w:val="0"/>
          <w:marBottom w:val="0"/>
          <w:divBdr>
            <w:top w:val="none" w:sz="0" w:space="0" w:color="auto"/>
            <w:left w:val="none" w:sz="0" w:space="0" w:color="auto"/>
            <w:bottom w:val="none" w:sz="0" w:space="0" w:color="auto"/>
            <w:right w:val="none" w:sz="0" w:space="0" w:color="auto"/>
          </w:divBdr>
        </w:div>
        <w:div w:id="70928344">
          <w:marLeft w:val="480"/>
          <w:marRight w:val="0"/>
          <w:marTop w:val="0"/>
          <w:marBottom w:val="0"/>
          <w:divBdr>
            <w:top w:val="none" w:sz="0" w:space="0" w:color="auto"/>
            <w:left w:val="none" w:sz="0" w:space="0" w:color="auto"/>
            <w:bottom w:val="none" w:sz="0" w:space="0" w:color="auto"/>
            <w:right w:val="none" w:sz="0" w:space="0" w:color="auto"/>
          </w:divBdr>
        </w:div>
        <w:div w:id="451092682">
          <w:marLeft w:val="480"/>
          <w:marRight w:val="0"/>
          <w:marTop w:val="0"/>
          <w:marBottom w:val="0"/>
          <w:divBdr>
            <w:top w:val="none" w:sz="0" w:space="0" w:color="auto"/>
            <w:left w:val="none" w:sz="0" w:space="0" w:color="auto"/>
            <w:bottom w:val="none" w:sz="0" w:space="0" w:color="auto"/>
            <w:right w:val="none" w:sz="0" w:space="0" w:color="auto"/>
          </w:divBdr>
        </w:div>
        <w:div w:id="691760448">
          <w:marLeft w:val="480"/>
          <w:marRight w:val="0"/>
          <w:marTop w:val="0"/>
          <w:marBottom w:val="0"/>
          <w:divBdr>
            <w:top w:val="none" w:sz="0" w:space="0" w:color="auto"/>
            <w:left w:val="none" w:sz="0" w:space="0" w:color="auto"/>
            <w:bottom w:val="none" w:sz="0" w:space="0" w:color="auto"/>
            <w:right w:val="none" w:sz="0" w:space="0" w:color="auto"/>
          </w:divBdr>
        </w:div>
        <w:div w:id="611596372">
          <w:marLeft w:val="480"/>
          <w:marRight w:val="0"/>
          <w:marTop w:val="0"/>
          <w:marBottom w:val="0"/>
          <w:divBdr>
            <w:top w:val="none" w:sz="0" w:space="0" w:color="auto"/>
            <w:left w:val="none" w:sz="0" w:space="0" w:color="auto"/>
            <w:bottom w:val="none" w:sz="0" w:space="0" w:color="auto"/>
            <w:right w:val="none" w:sz="0" w:space="0" w:color="auto"/>
          </w:divBdr>
        </w:div>
        <w:div w:id="2031488955">
          <w:marLeft w:val="480"/>
          <w:marRight w:val="0"/>
          <w:marTop w:val="0"/>
          <w:marBottom w:val="0"/>
          <w:divBdr>
            <w:top w:val="none" w:sz="0" w:space="0" w:color="auto"/>
            <w:left w:val="none" w:sz="0" w:space="0" w:color="auto"/>
            <w:bottom w:val="none" w:sz="0" w:space="0" w:color="auto"/>
            <w:right w:val="none" w:sz="0" w:space="0" w:color="auto"/>
          </w:divBdr>
        </w:div>
        <w:div w:id="1773042361">
          <w:marLeft w:val="480"/>
          <w:marRight w:val="0"/>
          <w:marTop w:val="0"/>
          <w:marBottom w:val="0"/>
          <w:divBdr>
            <w:top w:val="none" w:sz="0" w:space="0" w:color="auto"/>
            <w:left w:val="none" w:sz="0" w:space="0" w:color="auto"/>
            <w:bottom w:val="none" w:sz="0" w:space="0" w:color="auto"/>
            <w:right w:val="none" w:sz="0" w:space="0" w:color="auto"/>
          </w:divBdr>
        </w:div>
        <w:div w:id="1471243738">
          <w:marLeft w:val="480"/>
          <w:marRight w:val="0"/>
          <w:marTop w:val="0"/>
          <w:marBottom w:val="0"/>
          <w:divBdr>
            <w:top w:val="none" w:sz="0" w:space="0" w:color="auto"/>
            <w:left w:val="none" w:sz="0" w:space="0" w:color="auto"/>
            <w:bottom w:val="none" w:sz="0" w:space="0" w:color="auto"/>
            <w:right w:val="none" w:sz="0" w:space="0" w:color="auto"/>
          </w:divBdr>
        </w:div>
        <w:div w:id="2130197874">
          <w:marLeft w:val="480"/>
          <w:marRight w:val="0"/>
          <w:marTop w:val="0"/>
          <w:marBottom w:val="0"/>
          <w:divBdr>
            <w:top w:val="none" w:sz="0" w:space="0" w:color="auto"/>
            <w:left w:val="none" w:sz="0" w:space="0" w:color="auto"/>
            <w:bottom w:val="none" w:sz="0" w:space="0" w:color="auto"/>
            <w:right w:val="none" w:sz="0" w:space="0" w:color="auto"/>
          </w:divBdr>
        </w:div>
        <w:div w:id="1981493733">
          <w:marLeft w:val="480"/>
          <w:marRight w:val="0"/>
          <w:marTop w:val="0"/>
          <w:marBottom w:val="0"/>
          <w:divBdr>
            <w:top w:val="none" w:sz="0" w:space="0" w:color="auto"/>
            <w:left w:val="none" w:sz="0" w:space="0" w:color="auto"/>
            <w:bottom w:val="none" w:sz="0" w:space="0" w:color="auto"/>
            <w:right w:val="none" w:sz="0" w:space="0" w:color="auto"/>
          </w:divBdr>
        </w:div>
        <w:div w:id="283578205">
          <w:marLeft w:val="480"/>
          <w:marRight w:val="0"/>
          <w:marTop w:val="0"/>
          <w:marBottom w:val="0"/>
          <w:divBdr>
            <w:top w:val="none" w:sz="0" w:space="0" w:color="auto"/>
            <w:left w:val="none" w:sz="0" w:space="0" w:color="auto"/>
            <w:bottom w:val="none" w:sz="0" w:space="0" w:color="auto"/>
            <w:right w:val="none" w:sz="0" w:space="0" w:color="auto"/>
          </w:divBdr>
        </w:div>
        <w:div w:id="1988784281">
          <w:marLeft w:val="480"/>
          <w:marRight w:val="0"/>
          <w:marTop w:val="0"/>
          <w:marBottom w:val="0"/>
          <w:divBdr>
            <w:top w:val="none" w:sz="0" w:space="0" w:color="auto"/>
            <w:left w:val="none" w:sz="0" w:space="0" w:color="auto"/>
            <w:bottom w:val="none" w:sz="0" w:space="0" w:color="auto"/>
            <w:right w:val="none" w:sz="0" w:space="0" w:color="auto"/>
          </w:divBdr>
        </w:div>
        <w:div w:id="1721440348">
          <w:marLeft w:val="480"/>
          <w:marRight w:val="0"/>
          <w:marTop w:val="0"/>
          <w:marBottom w:val="0"/>
          <w:divBdr>
            <w:top w:val="none" w:sz="0" w:space="0" w:color="auto"/>
            <w:left w:val="none" w:sz="0" w:space="0" w:color="auto"/>
            <w:bottom w:val="none" w:sz="0" w:space="0" w:color="auto"/>
            <w:right w:val="none" w:sz="0" w:space="0" w:color="auto"/>
          </w:divBdr>
        </w:div>
        <w:div w:id="656692891">
          <w:marLeft w:val="480"/>
          <w:marRight w:val="0"/>
          <w:marTop w:val="0"/>
          <w:marBottom w:val="0"/>
          <w:divBdr>
            <w:top w:val="none" w:sz="0" w:space="0" w:color="auto"/>
            <w:left w:val="none" w:sz="0" w:space="0" w:color="auto"/>
            <w:bottom w:val="none" w:sz="0" w:space="0" w:color="auto"/>
            <w:right w:val="none" w:sz="0" w:space="0" w:color="auto"/>
          </w:divBdr>
        </w:div>
        <w:div w:id="707800164">
          <w:marLeft w:val="480"/>
          <w:marRight w:val="0"/>
          <w:marTop w:val="0"/>
          <w:marBottom w:val="0"/>
          <w:divBdr>
            <w:top w:val="none" w:sz="0" w:space="0" w:color="auto"/>
            <w:left w:val="none" w:sz="0" w:space="0" w:color="auto"/>
            <w:bottom w:val="none" w:sz="0" w:space="0" w:color="auto"/>
            <w:right w:val="none" w:sz="0" w:space="0" w:color="auto"/>
          </w:divBdr>
        </w:div>
        <w:div w:id="287903080">
          <w:marLeft w:val="480"/>
          <w:marRight w:val="0"/>
          <w:marTop w:val="0"/>
          <w:marBottom w:val="0"/>
          <w:divBdr>
            <w:top w:val="none" w:sz="0" w:space="0" w:color="auto"/>
            <w:left w:val="none" w:sz="0" w:space="0" w:color="auto"/>
            <w:bottom w:val="none" w:sz="0" w:space="0" w:color="auto"/>
            <w:right w:val="none" w:sz="0" w:space="0" w:color="auto"/>
          </w:divBdr>
        </w:div>
        <w:div w:id="489948593">
          <w:marLeft w:val="480"/>
          <w:marRight w:val="0"/>
          <w:marTop w:val="0"/>
          <w:marBottom w:val="0"/>
          <w:divBdr>
            <w:top w:val="none" w:sz="0" w:space="0" w:color="auto"/>
            <w:left w:val="none" w:sz="0" w:space="0" w:color="auto"/>
            <w:bottom w:val="none" w:sz="0" w:space="0" w:color="auto"/>
            <w:right w:val="none" w:sz="0" w:space="0" w:color="auto"/>
          </w:divBdr>
        </w:div>
        <w:div w:id="1617058114">
          <w:marLeft w:val="480"/>
          <w:marRight w:val="0"/>
          <w:marTop w:val="0"/>
          <w:marBottom w:val="0"/>
          <w:divBdr>
            <w:top w:val="none" w:sz="0" w:space="0" w:color="auto"/>
            <w:left w:val="none" w:sz="0" w:space="0" w:color="auto"/>
            <w:bottom w:val="none" w:sz="0" w:space="0" w:color="auto"/>
            <w:right w:val="none" w:sz="0" w:space="0" w:color="auto"/>
          </w:divBdr>
        </w:div>
        <w:div w:id="301617213">
          <w:marLeft w:val="480"/>
          <w:marRight w:val="0"/>
          <w:marTop w:val="0"/>
          <w:marBottom w:val="0"/>
          <w:divBdr>
            <w:top w:val="none" w:sz="0" w:space="0" w:color="auto"/>
            <w:left w:val="none" w:sz="0" w:space="0" w:color="auto"/>
            <w:bottom w:val="none" w:sz="0" w:space="0" w:color="auto"/>
            <w:right w:val="none" w:sz="0" w:space="0" w:color="auto"/>
          </w:divBdr>
        </w:div>
        <w:div w:id="36509845">
          <w:marLeft w:val="480"/>
          <w:marRight w:val="0"/>
          <w:marTop w:val="0"/>
          <w:marBottom w:val="0"/>
          <w:divBdr>
            <w:top w:val="none" w:sz="0" w:space="0" w:color="auto"/>
            <w:left w:val="none" w:sz="0" w:space="0" w:color="auto"/>
            <w:bottom w:val="none" w:sz="0" w:space="0" w:color="auto"/>
            <w:right w:val="none" w:sz="0" w:space="0" w:color="auto"/>
          </w:divBdr>
        </w:div>
        <w:div w:id="1271357542">
          <w:marLeft w:val="480"/>
          <w:marRight w:val="0"/>
          <w:marTop w:val="0"/>
          <w:marBottom w:val="0"/>
          <w:divBdr>
            <w:top w:val="none" w:sz="0" w:space="0" w:color="auto"/>
            <w:left w:val="none" w:sz="0" w:space="0" w:color="auto"/>
            <w:bottom w:val="none" w:sz="0" w:space="0" w:color="auto"/>
            <w:right w:val="none" w:sz="0" w:space="0" w:color="auto"/>
          </w:divBdr>
        </w:div>
        <w:div w:id="638921731">
          <w:marLeft w:val="480"/>
          <w:marRight w:val="0"/>
          <w:marTop w:val="0"/>
          <w:marBottom w:val="0"/>
          <w:divBdr>
            <w:top w:val="none" w:sz="0" w:space="0" w:color="auto"/>
            <w:left w:val="none" w:sz="0" w:space="0" w:color="auto"/>
            <w:bottom w:val="none" w:sz="0" w:space="0" w:color="auto"/>
            <w:right w:val="none" w:sz="0" w:space="0" w:color="auto"/>
          </w:divBdr>
        </w:div>
        <w:div w:id="1519855042">
          <w:marLeft w:val="480"/>
          <w:marRight w:val="0"/>
          <w:marTop w:val="0"/>
          <w:marBottom w:val="0"/>
          <w:divBdr>
            <w:top w:val="none" w:sz="0" w:space="0" w:color="auto"/>
            <w:left w:val="none" w:sz="0" w:space="0" w:color="auto"/>
            <w:bottom w:val="none" w:sz="0" w:space="0" w:color="auto"/>
            <w:right w:val="none" w:sz="0" w:space="0" w:color="auto"/>
          </w:divBdr>
        </w:div>
        <w:div w:id="864248440">
          <w:marLeft w:val="480"/>
          <w:marRight w:val="0"/>
          <w:marTop w:val="0"/>
          <w:marBottom w:val="0"/>
          <w:divBdr>
            <w:top w:val="none" w:sz="0" w:space="0" w:color="auto"/>
            <w:left w:val="none" w:sz="0" w:space="0" w:color="auto"/>
            <w:bottom w:val="none" w:sz="0" w:space="0" w:color="auto"/>
            <w:right w:val="none" w:sz="0" w:space="0" w:color="auto"/>
          </w:divBdr>
        </w:div>
        <w:div w:id="897589084">
          <w:marLeft w:val="480"/>
          <w:marRight w:val="0"/>
          <w:marTop w:val="0"/>
          <w:marBottom w:val="0"/>
          <w:divBdr>
            <w:top w:val="none" w:sz="0" w:space="0" w:color="auto"/>
            <w:left w:val="none" w:sz="0" w:space="0" w:color="auto"/>
            <w:bottom w:val="none" w:sz="0" w:space="0" w:color="auto"/>
            <w:right w:val="none" w:sz="0" w:space="0" w:color="auto"/>
          </w:divBdr>
        </w:div>
        <w:div w:id="1444229179">
          <w:marLeft w:val="480"/>
          <w:marRight w:val="0"/>
          <w:marTop w:val="0"/>
          <w:marBottom w:val="0"/>
          <w:divBdr>
            <w:top w:val="none" w:sz="0" w:space="0" w:color="auto"/>
            <w:left w:val="none" w:sz="0" w:space="0" w:color="auto"/>
            <w:bottom w:val="none" w:sz="0" w:space="0" w:color="auto"/>
            <w:right w:val="none" w:sz="0" w:space="0" w:color="auto"/>
          </w:divBdr>
        </w:div>
        <w:div w:id="1307734757">
          <w:marLeft w:val="480"/>
          <w:marRight w:val="0"/>
          <w:marTop w:val="0"/>
          <w:marBottom w:val="0"/>
          <w:divBdr>
            <w:top w:val="none" w:sz="0" w:space="0" w:color="auto"/>
            <w:left w:val="none" w:sz="0" w:space="0" w:color="auto"/>
            <w:bottom w:val="none" w:sz="0" w:space="0" w:color="auto"/>
            <w:right w:val="none" w:sz="0" w:space="0" w:color="auto"/>
          </w:divBdr>
        </w:div>
        <w:div w:id="301472446">
          <w:marLeft w:val="480"/>
          <w:marRight w:val="0"/>
          <w:marTop w:val="0"/>
          <w:marBottom w:val="0"/>
          <w:divBdr>
            <w:top w:val="none" w:sz="0" w:space="0" w:color="auto"/>
            <w:left w:val="none" w:sz="0" w:space="0" w:color="auto"/>
            <w:bottom w:val="none" w:sz="0" w:space="0" w:color="auto"/>
            <w:right w:val="none" w:sz="0" w:space="0" w:color="auto"/>
          </w:divBdr>
        </w:div>
        <w:div w:id="1455716325">
          <w:marLeft w:val="480"/>
          <w:marRight w:val="0"/>
          <w:marTop w:val="0"/>
          <w:marBottom w:val="0"/>
          <w:divBdr>
            <w:top w:val="none" w:sz="0" w:space="0" w:color="auto"/>
            <w:left w:val="none" w:sz="0" w:space="0" w:color="auto"/>
            <w:bottom w:val="none" w:sz="0" w:space="0" w:color="auto"/>
            <w:right w:val="none" w:sz="0" w:space="0" w:color="auto"/>
          </w:divBdr>
        </w:div>
        <w:div w:id="29039496">
          <w:marLeft w:val="480"/>
          <w:marRight w:val="0"/>
          <w:marTop w:val="0"/>
          <w:marBottom w:val="0"/>
          <w:divBdr>
            <w:top w:val="none" w:sz="0" w:space="0" w:color="auto"/>
            <w:left w:val="none" w:sz="0" w:space="0" w:color="auto"/>
            <w:bottom w:val="none" w:sz="0" w:space="0" w:color="auto"/>
            <w:right w:val="none" w:sz="0" w:space="0" w:color="auto"/>
          </w:divBdr>
        </w:div>
        <w:div w:id="303124362">
          <w:marLeft w:val="480"/>
          <w:marRight w:val="0"/>
          <w:marTop w:val="0"/>
          <w:marBottom w:val="0"/>
          <w:divBdr>
            <w:top w:val="none" w:sz="0" w:space="0" w:color="auto"/>
            <w:left w:val="none" w:sz="0" w:space="0" w:color="auto"/>
            <w:bottom w:val="none" w:sz="0" w:space="0" w:color="auto"/>
            <w:right w:val="none" w:sz="0" w:space="0" w:color="auto"/>
          </w:divBdr>
        </w:div>
        <w:div w:id="746999310">
          <w:marLeft w:val="480"/>
          <w:marRight w:val="0"/>
          <w:marTop w:val="0"/>
          <w:marBottom w:val="0"/>
          <w:divBdr>
            <w:top w:val="none" w:sz="0" w:space="0" w:color="auto"/>
            <w:left w:val="none" w:sz="0" w:space="0" w:color="auto"/>
            <w:bottom w:val="none" w:sz="0" w:space="0" w:color="auto"/>
            <w:right w:val="none" w:sz="0" w:space="0" w:color="auto"/>
          </w:divBdr>
        </w:div>
        <w:div w:id="1525248377">
          <w:marLeft w:val="480"/>
          <w:marRight w:val="0"/>
          <w:marTop w:val="0"/>
          <w:marBottom w:val="0"/>
          <w:divBdr>
            <w:top w:val="none" w:sz="0" w:space="0" w:color="auto"/>
            <w:left w:val="none" w:sz="0" w:space="0" w:color="auto"/>
            <w:bottom w:val="none" w:sz="0" w:space="0" w:color="auto"/>
            <w:right w:val="none" w:sz="0" w:space="0" w:color="auto"/>
          </w:divBdr>
        </w:div>
        <w:div w:id="2046445748">
          <w:marLeft w:val="480"/>
          <w:marRight w:val="0"/>
          <w:marTop w:val="0"/>
          <w:marBottom w:val="0"/>
          <w:divBdr>
            <w:top w:val="none" w:sz="0" w:space="0" w:color="auto"/>
            <w:left w:val="none" w:sz="0" w:space="0" w:color="auto"/>
            <w:bottom w:val="none" w:sz="0" w:space="0" w:color="auto"/>
            <w:right w:val="none" w:sz="0" w:space="0" w:color="auto"/>
          </w:divBdr>
        </w:div>
        <w:div w:id="1447315627">
          <w:marLeft w:val="480"/>
          <w:marRight w:val="0"/>
          <w:marTop w:val="0"/>
          <w:marBottom w:val="0"/>
          <w:divBdr>
            <w:top w:val="none" w:sz="0" w:space="0" w:color="auto"/>
            <w:left w:val="none" w:sz="0" w:space="0" w:color="auto"/>
            <w:bottom w:val="none" w:sz="0" w:space="0" w:color="auto"/>
            <w:right w:val="none" w:sz="0" w:space="0" w:color="auto"/>
          </w:divBdr>
        </w:div>
        <w:div w:id="1783497604">
          <w:marLeft w:val="480"/>
          <w:marRight w:val="0"/>
          <w:marTop w:val="0"/>
          <w:marBottom w:val="0"/>
          <w:divBdr>
            <w:top w:val="none" w:sz="0" w:space="0" w:color="auto"/>
            <w:left w:val="none" w:sz="0" w:space="0" w:color="auto"/>
            <w:bottom w:val="none" w:sz="0" w:space="0" w:color="auto"/>
            <w:right w:val="none" w:sz="0" w:space="0" w:color="auto"/>
          </w:divBdr>
        </w:div>
        <w:div w:id="1361124996">
          <w:marLeft w:val="480"/>
          <w:marRight w:val="0"/>
          <w:marTop w:val="0"/>
          <w:marBottom w:val="0"/>
          <w:divBdr>
            <w:top w:val="none" w:sz="0" w:space="0" w:color="auto"/>
            <w:left w:val="none" w:sz="0" w:space="0" w:color="auto"/>
            <w:bottom w:val="none" w:sz="0" w:space="0" w:color="auto"/>
            <w:right w:val="none" w:sz="0" w:space="0" w:color="auto"/>
          </w:divBdr>
        </w:div>
        <w:div w:id="217252516">
          <w:marLeft w:val="480"/>
          <w:marRight w:val="0"/>
          <w:marTop w:val="0"/>
          <w:marBottom w:val="0"/>
          <w:divBdr>
            <w:top w:val="none" w:sz="0" w:space="0" w:color="auto"/>
            <w:left w:val="none" w:sz="0" w:space="0" w:color="auto"/>
            <w:bottom w:val="none" w:sz="0" w:space="0" w:color="auto"/>
            <w:right w:val="none" w:sz="0" w:space="0" w:color="auto"/>
          </w:divBdr>
        </w:div>
        <w:div w:id="45377876">
          <w:marLeft w:val="480"/>
          <w:marRight w:val="0"/>
          <w:marTop w:val="0"/>
          <w:marBottom w:val="0"/>
          <w:divBdr>
            <w:top w:val="none" w:sz="0" w:space="0" w:color="auto"/>
            <w:left w:val="none" w:sz="0" w:space="0" w:color="auto"/>
            <w:bottom w:val="none" w:sz="0" w:space="0" w:color="auto"/>
            <w:right w:val="none" w:sz="0" w:space="0" w:color="auto"/>
          </w:divBdr>
        </w:div>
        <w:div w:id="915284791">
          <w:marLeft w:val="480"/>
          <w:marRight w:val="0"/>
          <w:marTop w:val="0"/>
          <w:marBottom w:val="0"/>
          <w:divBdr>
            <w:top w:val="none" w:sz="0" w:space="0" w:color="auto"/>
            <w:left w:val="none" w:sz="0" w:space="0" w:color="auto"/>
            <w:bottom w:val="none" w:sz="0" w:space="0" w:color="auto"/>
            <w:right w:val="none" w:sz="0" w:space="0" w:color="auto"/>
          </w:divBdr>
        </w:div>
        <w:div w:id="337657019">
          <w:marLeft w:val="480"/>
          <w:marRight w:val="0"/>
          <w:marTop w:val="0"/>
          <w:marBottom w:val="0"/>
          <w:divBdr>
            <w:top w:val="none" w:sz="0" w:space="0" w:color="auto"/>
            <w:left w:val="none" w:sz="0" w:space="0" w:color="auto"/>
            <w:bottom w:val="none" w:sz="0" w:space="0" w:color="auto"/>
            <w:right w:val="none" w:sz="0" w:space="0" w:color="auto"/>
          </w:divBdr>
        </w:div>
        <w:div w:id="523909952">
          <w:marLeft w:val="480"/>
          <w:marRight w:val="0"/>
          <w:marTop w:val="0"/>
          <w:marBottom w:val="0"/>
          <w:divBdr>
            <w:top w:val="none" w:sz="0" w:space="0" w:color="auto"/>
            <w:left w:val="none" w:sz="0" w:space="0" w:color="auto"/>
            <w:bottom w:val="none" w:sz="0" w:space="0" w:color="auto"/>
            <w:right w:val="none" w:sz="0" w:space="0" w:color="auto"/>
          </w:divBdr>
        </w:div>
        <w:div w:id="1383479717">
          <w:marLeft w:val="480"/>
          <w:marRight w:val="0"/>
          <w:marTop w:val="0"/>
          <w:marBottom w:val="0"/>
          <w:divBdr>
            <w:top w:val="none" w:sz="0" w:space="0" w:color="auto"/>
            <w:left w:val="none" w:sz="0" w:space="0" w:color="auto"/>
            <w:bottom w:val="none" w:sz="0" w:space="0" w:color="auto"/>
            <w:right w:val="none" w:sz="0" w:space="0" w:color="auto"/>
          </w:divBdr>
        </w:div>
        <w:div w:id="1148980316">
          <w:marLeft w:val="480"/>
          <w:marRight w:val="0"/>
          <w:marTop w:val="0"/>
          <w:marBottom w:val="0"/>
          <w:divBdr>
            <w:top w:val="none" w:sz="0" w:space="0" w:color="auto"/>
            <w:left w:val="none" w:sz="0" w:space="0" w:color="auto"/>
            <w:bottom w:val="none" w:sz="0" w:space="0" w:color="auto"/>
            <w:right w:val="none" w:sz="0" w:space="0" w:color="auto"/>
          </w:divBdr>
        </w:div>
        <w:div w:id="863321095">
          <w:marLeft w:val="480"/>
          <w:marRight w:val="0"/>
          <w:marTop w:val="0"/>
          <w:marBottom w:val="0"/>
          <w:divBdr>
            <w:top w:val="none" w:sz="0" w:space="0" w:color="auto"/>
            <w:left w:val="none" w:sz="0" w:space="0" w:color="auto"/>
            <w:bottom w:val="none" w:sz="0" w:space="0" w:color="auto"/>
            <w:right w:val="none" w:sz="0" w:space="0" w:color="auto"/>
          </w:divBdr>
        </w:div>
        <w:div w:id="1552230230">
          <w:marLeft w:val="480"/>
          <w:marRight w:val="0"/>
          <w:marTop w:val="0"/>
          <w:marBottom w:val="0"/>
          <w:divBdr>
            <w:top w:val="none" w:sz="0" w:space="0" w:color="auto"/>
            <w:left w:val="none" w:sz="0" w:space="0" w:color="auto"/>
            <w:bottom w:val="none" w:sz="0" w:space="0" w:color="auto"/>
            <w:right w:val="none" w:sz="0" w:space="0" w:color="auto"/>
          </w:divBdr>
        </w:div>
        <w:div w:id="842932424">
          <w:marLeft w:val="480"/>
          <w:marRight w:val="0"/>
          <w:marTop w:val="0"/>
          <w:marBottom w:val="0"/>
          <w:divBdr>
            <w:top w:val="none" w:sz="0" w:space="0" w:color="auto"/>
            <w:left w:val="none" w:sz="0" w:space="0" w:color="auto"/>
            <w:bottom w:val="none" w:sz="0" w:space="0" w:color="auto"/>
            <w:right w:val="none" w:sz="0" w:space="0" w:color="auto"/>
          </w:divBdr>
        </w:div>
        <w:div w:id="882600356">
          <w:marLeft w:val="480"/>
          <w:marRight w:val="0"/>
          <w:marTop w:val="0"/>
          <w:marBottom w:val="0"/>
          <w:divBdr>
            <w:top w:val="none" w:sz="0" w:space="0" w:color="auto"/>
            <w:left w:val="none" w:sz="0" w:space="0" w:color="auto"/>
            <w:bottom w:val="none" w:sz="0" w:space="0" w:color="auto"/>
            <w:right w:val="none" w:sz="0" w:space="0" w:color="auto"/>
          </w:divBdr>
        </w:div>
        <w:div w:id="530411687">
          <w:marLeft w:val="480"/>
          <w:marRight w:val="0"/>
          <w:marTop w:val="0"/>
          <w:marBottom w:val="0"/>
          <w:divBdr>
            <w:top w:val="none" w:sz="0" w:space="0" w:color="auto"/>
            <w:left w:val="none" w:sz="0" w:space="0" w:color="auto"/>
            <w:bottom w:val="none" w:sz="0" w:space="0" w:color="auto"/>
            <w:right w:val="none" w:sz="0" w:space="0" w:color="auto"/>
          </w:divBdr>
        </w:div>
        <w:div w:id="1561674760">
          <w:marLeft w:val="480"/>
          <w:marRight w:val="0"/>
          <w:marTop w:val="0"/>
          <w:marBottom w:val="0"/>
          <w:divBdr>
            <w:top w:val="none" w:sz="0" w:space="0" w:color="auto"/>
            <w:left w:val="none" w:sz="0" w:space="0" w:color="auto"/>
            <w:bottom w:val="none" w:sz="0" w:space="0" w:color="auto"/>
            <w:right w:val="none" w:sz="0" w:space="0" w:color="auto"/>
          </w:divBdr>
        </w:div>
        <w:div w:id="1654793533">
          <w:marLeft w:val="480"/>
          <w:marRight w:val="0"/>
          <w:marTop w:val="0"/>
          <w:marBottom w:val="0"/>
          <w:divBdr>
            <w:top w:val="none" w:sz="0" w:space="0" w:color="auto"/>
            <w:left w:val="none" w:sz="0" w:space="0" w:color="auto"/>
            <w:bottom w:val="none" w:sz="0" w:space="0" w:color="auto"/>
            <w:right w:val="none" w:sz="0" w:space="0" w:color="auto"/>
          </w:divBdr>
        </w:div>
        <w:div w:id="245918458">
          <w:marLeft w:val="480"/>
          <w:marRight w:val="0"/>
          <w:marTop w:val="0"/>
          <w:marBottom w:val="0"/>
          <w:divBdr>
            <w:top w:val="none" w:sz="0" w:space="0" w:color="auto"/>
            <w:left w:val="none" w:sz="0" w:space="0" w:color="auto"/>
            <w:bottom w:val="none" w:sz="0" w:space="0" w:color="auto"/>
            <w:right w:val="none" w:sz="0" w:space="0" w:color="auto"/>
          </w:divBdr>
        </w:div>
        <w:div w:id="1677421498">
          <w:marLeft w:val="480"/>
          <w:marRight w:val="0"/>
          <w:marTop w:val="0"/>
          <w:marBottom w:val="0"/>
          <w:divBdr>
            <w:top w:val="none" w:sz="0" w:space="0" w:color="auto"/>
            <w:left w:val="none" w:sz="0" w:space="0" w:color="auto"/>
            <w:bottom w:val="none" w:sz="0" w:space="0" w:color="auto"/>
            <w:right w:val="none" w:sz="0" w:space="0" w:color="auto"/>
          </w:divBdr>
        </w:div>
      </w:divsChild>
    </w:div>
    <w:div w:id="2093116066">
      <w:bodyDiv w:val="1"/>
      <w:marLeft w:val="0"/>
      <w:marRight w:val="0"/>
      <w:marTop w:val="0"/>
      <w:marBottom w:val="0"/>
      <w:divBdr>
        <w:top w:val="none" w:sz="0" w:space="0" w:color="auto"/>
        <w:left w:val="none" w:sz="0" w:space="0" w:color="auto"/>
        <w:bottom w:val="none" w:sz="0" w:space="0" w:color="auto"/>
        <w:right w:val="none" w:sz="0" w:space="0" w:color="auto"/>
      </w:divBdr>
    </w:div>
    <w:div w:id="2093119815">
      <w:bodyDiv w:val="1"/>
      <w:marLeft w:val="0"/>
      <w:marRight w:val="0"/>
      <w:marTop w:val="0"/>
      <w:marBottom w:val="0"/>
      <w:divBdr>
        <w:top w:val="none" w:sz="0" w:space="0" w:color="auto"/>
        <w:left w:val="none" w:sz="0" w:space="0" w:color="auto"/>
        <w:bottom w:val="none" w:sz="0" w:space="0" w:color="auto"/>
        <w:right w:val="none" w:sz="0" w:space="0" w:color="auto"/>
      </w:divBdr>
    </w:div>
    <w:div w:id="2093162890">
      <w:bodyDiv w:val="1"/>
      <w:marLeft w:val="0"/>
      <w:marRight w:val="0"/>
      <w:marTop w:val="0"/>
      <w:marBottom w:val="0"/>
      <w:divBdr>
        <w:top w:val="none" w:sz="0" w:space="0" w:color="auto"/>
        <w:left w:val="none" w:sz="0" w:space="0" w:color="auto"/>
        <w:bottom w:val="none" w:sz="0" w:space="0" w:color="auto"/>
        <w:right w:val="none" w:sz="0" w:space="0" w:color="auto"/>
      </w:divBdr>
    </w:div>
    <w:div w:id="2093620955">
      <w:bodyDiv w:val="1"/>
      <w:marLeft w:val="0"/>
      <w:marRight w:val="0"/>
      <w:marTop w:val="0"/>
      <w:marBottom w:val="0"/>
      <w:divBdr>
        <w:top w:val="none" w:sz="0" w:space="0" w:color="auto"/>
        <w:left w:val="none" w:sz="0" w:space="0" w:color="auto"/>
        <w:bottom w:val="none" w:sz="0" w:space="0" w:color="auto"/>
        <w:right w:val="none" w:sz="0" w:space="0" w:color="auto"/>
      </w:divBdr>
    </w:div>
    <w:div w:id="2094156934">
      <w:bodyDiv w:val="1"/>
      <w:marLeft w:val="0"/>
      <w:marRight w:val="0"/>
      <w:marTop w:val="0"/>
      <w:marBottom w:val="0"/>
      <w:divBdr>
        <w:top w:val="none" w:sz="0" w:space="0" w:color="auto"/>
        <w:left w:val="none" w:sz="0" w:space="0" w:color="auto"/>
        <w:bottom w:val="none" w:sz="0" w:space="0" w:color="auto"/>
        <w:right w:val="none" w:sz="0" w:space="0" w:color="auto"/>
      </w:divBdr>
    </w:div>
    <w:div w:id="2094280032">
      <w:bodyDiv w:val="1"/>
      <w:marLeft w:val="0"/>
      <w:marRight w:val="0"/>
      <w:marTop w:val="0"/>
      <w:marBottom w:val="0"/>
      <w:divBdr>
        <w:top w:val="none" w:sz="0" w:space="0" w:color="auto"/>
        <w:left w:val="none" w:sz="0" w:space="0" w:color="auto"/>
        <w:bottom w:val="none" w:sz="0" w:space="0" w:color="auto"/>
        <w:right w:val="none" w:sz="0" w:space="0" w:color="auto"/>
      </w:divBdr>
    </w:div>
    <w:div w:id="2094813000">
      <w:bodyDiv w:val="1"/>
      <w:marLeft w:val="0"/>
      <w:marRight w:val="0"/>
      <w:marTop w:val="0"/>
      <w:marBottom w:val="0"/>
      <w:divBdr>
        <w:top w:val="none" w:sz="0" w:space="0" w:color="auto"/>
        <w:left w:val="none" w:sz="0" w:space="0" w:color="auto"/>
        <w:bottom w:val="none" w:sz="0" w:space="0" w:color="auto"/>
        <w:right w:val="none" w:sz="0" w:space="0" w:color="auto"/>
      </w:divBdr>
    </w:div>
    <w:div w:id="2095589168">
      <w:bodyDiv w:val="1"/>
      <w:marLeft w:val="0"/>
      <w:marRight w:val="0"/>
      <w:marTop w:val="0"/>
      <w:marBottom w:val="0"/>
      <w:divBdr>
        <w:top w:val="none" w:sz="0" w:space="0" w:color="auto"/>
        <w:left w:val="none" w:sz="0" w:space="0" w:color="auto"/>
        <w:bottom w:val="none" w:sz="0" w:space="0" w:color="auto"/>
        <w:right w:val="none" w:sz="0" w:space="0" w:color="auto"/>
      </w:divBdr>
      <w:divsChild>
        <w:div w:id="2078281242">
          <w:marLeft w:val="480"/>
          <w:marRight w:val="0"/>
          <w:marTop w:val="0"/>
          <w:marBottom w:val="0"/>
          <w:divBdr>
            <w:top w:val="none" w:sz="0" w:space="0" w:color="auto"/>
            <w:left w:val="none" w:sz="0" w:space="0" w:color="auto"/>
            <w:bottom w:val="none" w:sz="0" w:space="0" w:color="auto"/>
            <w:right w:val="none" w:sz="0" w:space="0" w:color="auto"/>
          </w:divBdr>
        </w:div>
        <w:div w:id="958486788">
          <w:marLeft w:val="480"/>
          <w:marRight w:val="0"/>
          <w:marTop w:val="0"/>
          <w:marBottom w:val="0"/>
          <w:divBdr>
            <w:top w:val="none" w:sz="0" w:space="0" w:color="auto"/>
            <w:left w:val="none" w:sz="0" w:space="0" w:color="auto"/>
            <w:bottom w:val="none" w:sz="0" w:space="0" w:color="auto"/>
            <w:right w:val="none" w:sz="0" w:space="0" w:color="auto"/>
          </w:divBdr>
        </w:div>
        <w:div w:id="580139459">
          <w:marLeft w:val="480"/>
          <w:marRight w:val="0"/>
          <w:marTop w:val="0"/>
          <w:marBottom w:val="0"/>
          <w:divBdr>
            <w:top w:val="none" w:sz="0" w:space="0" w:color="auto"/>
            <w:left w:val="none" w:sz="0" w:space="0" w:color="auto"/>
            <w:bottom w:val="none" w:sz="0" w:space="0" w:color="auto"/>
            <w:right w:val="none" w:sz="0" w:space="0" w:color="auto"/>
          </w:divBdr>
        </w:div>
        <w:div w:id="1987318439">
          <w:marLeft w:val="480"/>
          <w:marRight w:val="0"/>
          <w:marTop w:val="0"/>
          <w:marBottom w:val="0"/>
          <w:divBdr>
            <w:top w:val="none" w:sz="0" w:space="0" w:color="auto"/>
            <w:left w:val="none" w:sz="0" w:space="0" w:color="auto"/>
            <w:bottom w:val="none" w:sz="0" w:space="0" w:color="auto"/>
            <w:right w:val="none" w:sz="0" w:space="0" w:color="auto"/>
          </w:divBdr>
        </w:div>
        <w:div w:id="2033141530">
          <w:marLeft w:val="480"/>
          <w:marRight w:val="0"/>
          <w:marTop w:val="0"/>
          <w:marBottom w:val="0"/>
          <w:divBdr>
            <w:top w:val="none" w:sz="0" w:space="0" w:color="auto"/>
            <w:left w:val="none" w:sz="0" w:space="0" w:color="auto"/>
            <w:bottom w:val="none" w:sz="0" w:space="0" w:color="auto"/>
            <w:right w:val="none" w:sz="0" w:space="0" w:color="auto"/>
          </w:divBdr>
        </w:div>
        <w:div w:id="1314988112">
          <w:marLeft w:val="480"/>
          <w:marRight w:val="0"/>
          <w:marTop w:val="0"/>
          <w:marBottom w:val="0"/>
          <w:divBdr>
            <w:top w:val="none" w:sz="0" w:space="0" w:color="auto"/>
            <w:left w:val="none" w:sz="0" w:space="0" w:color="auto"/>
            <w:bottom w:val="none" w:sz="0" w:space="0" w:color="auto"/>
            <w:right w:val="none" w:sz="0" w:space="0" w:color="auto"/>
          </w:divBdr>
        </w:div>
        <w:div w:id="1036663959">
          <w:marLeft w:val="480"/>
          <w:marRight w:val="0"/>
          <w:marTop w:val="0"/>
          <w:marBottom w:val="0"/>
          <w:divBdr>
            <w:top w:val="none" w:sz="0" w:space="0" w:color="auto"/>
            <w:left w:val="none" w:sz="0" w:space="0" w:color="auto"/>
            <w:bottom w:val="none" w:sz="0" w:space="0" w:color="auto"/>
            <w:right w:val="none" w:sz="0" w:space="0" w:color="auto"/>
          </w:divBdr>
        </w:div>
        <w:div w:id="1609510835">
          <w:marLeft w:val="480"/>
          <w:marRight w:val="0"/>
          <w:marTop w:val="0"/>
          <w:marBottom w:val="0"/>
          <w:divBdr>
            <w:top w:val="none" w:sz="0" w:space="0" w:color="auto"/>
            <w:left w:val="none" w:sz="0" w:space="0" w:color="auto"/>
            <w:bottom w:val="none" w:sz="0" w:space="0" w:color="auto"/>
            <w:right w:val="none" w:sz="0" w:space="0" w:color="auto"/>
          </w:divBdr>
        </w:div>
        <w:div w:id="2076468396">
          <w:marLeft w:val="480"/>
          <w:marRight w:val="0"/>
          <w:marTop w:val="0"/>
          <w:marBottom w:val="0"/>
          <w:divBdr>
            <w:top w:val="none" w:sz="0" w:space="0" w:color="auto"/>
            <w:left w:val="none" w:sz="0" w:space="0" w:color="auto"/>
            <w:bottom w:val="none" w:sz="0" w:space="0" w:color="auto"/>
            <w:right w:val="none" w:sz="0" w:space="0" w:color="auto"/>
          </w:divBdr>
        </w:div>
        <w:div w:id="219631649">
          <w:marLeft w:val="480"/>
          <w:marRight w:val="0"/>
          <w:marTop w:val="0"/>
          <w:marBottom w:val="0"/>
          <w:divBdr>
            <w:top w:val="none" w:sz="0" w:space="0" w:color="auto"/>
            <w:left w:val="none" w:sz="0" w:space="0" w:color="auto"/>
            <w:bottom w:val="none" w:sz="0" w:space="0" w:color="auto"/>
            <w:right w:val="none" w:sz="0" w:space="0" w:color="auto"/>
          </w:divBdr>
        </w:div>
        <w:div w:id="1496846188">
          <w:marLeft w:val="480"/>
          <w:marRight w:val="0"/>
          <w:marTop w:val="0"/>
          <w:marBottom w:val="0"/>
          <w:divBdr>
            <w:top w:val="none" w:sz="0" w:space="0" w:color="auto"/>
            <w:left w:val="none" w:sz="0" w:space="0" w:color="auto"/>
            <w:bottom w:val="none" w:sz="0" w:space="0" w:color="auto"/>
            <w:right w:val="none" w:sz="0" w:space="0" w:color="auto"/>
          </w:divBdr>
        </w:div>
        <w:div w:id="1863129272">
          <w:marLeft w:val="480"/>
          <w:marRight w:val="0"/>
          <w:marTop w:val="0"/>
          <w:marBottom w:val="0"/>
          <w:divBdr>
            <w:top w:val="none" w:sz="0" w:space="0" w:color="auto"/>
            <w:left w:val="none" w:sz="0" w:space="0" w:color="auto"/>
            <w:bottom w:val="none" w:sz="0" w:space="0" w:color="auto"/>
            <w:right w:val="none" w:sz="0" w:space="0" w:color="auto"/>
          </w:divBdr>
        </w:div>
        <w:div w:id="1480422419">
          <w:marLeft w:val="480"/>
          <w:marRight w:val="0"/>
          <w:marTop w:val="0"/>
          <w:marBottom w:val="0"/>
          <w:divBdr>
            <w:top w:val="none" w:sz="0" w:space="0" w:color="auto"/>
            <w:left w:val="none" w:sz="0" w:space="0" w:color="auto"/>
            <w:bottom w:val="none" w:sz="0" w:space="0" w:color="auto"/>
            <w:right w:val="none" w:sz="0" w:space="0" w:color="auto"/>
          </w:divBdr>
        </w:div>
        <w:div w:id="71897192">
          <w:marLeft w:val="480"/>
          <w:marRight w:val="0"/>
          <w:marTop w:val="0"/>
          <w:marBottom w:val="0"/>
          <w:divBdr>
            <w:top w:val="none" w:sz="0" w:space="0" w:color="auto"/>
            <w:left w:val="none" w:sz="0" w:space="0" w:color="auto"/>
            <w:bottom w:val="none" w:sz="0" w:space="0" w:color="auto"/>
            <w:right w:val="none" w:sz="0" w:space="0" w:color="auto"/>
          </w:divBdr>
        </w:div>
        <w:div w:id="2087074348">
          <w:marLeft w:val="480"/>
          <w:marRight w:val="0"/>
          <w:marTop w:val="0"/>
          <w:marBottom w:val="0"/>
          <w:divBdr>
            <w:top w:val="none" w:sz="0" w:space="0" w:color="auto"/>
            <w:left w:val="none" w:sz="0" w:space="0" w:color="auto"/>
            <w:bottom w:val="none" w:sz="0" w:space="0" w:color="auto"/>
            <w:right w:val="none" w:sz="0" w:space="0" w:color="auto"/>
          </w:divBdr>
        </w:div>
        <w:div w:id="1939409723">
          <w:marLeft w:val="480"/>
          <w:marRight w:val="0"/>
          <w:marTop w:val="0"/>
          <w:marBottom w:val="0"/>
          <w:divBdr>
            <w:top w:val="none" w:sz="0" w:space="0" w:color="auto"/>
            <w:left w:val="none" w:sz="0" w:space="0" w:color="auto"/>
            <w:bottom w:val="none" w:sz="0" w:space="0" w:color="auto"/>
            <w:right w:val="none" w:sz="0" w:space="0" w:color="auto"/>
          </w:divBdr>
        </w:div>
        <w:div w:id="702562492">
          <w:marLeft w:val="480"/>
          <w:marRight w:val="0"/>
          <w:marTop w:val="0"/>
          <w:marBottom w:val="0"/>
          <w:divBdr>
            <w:top w:val="none" w:sz="0" w:space="0" w:color="auto"/>
            <w:left w:val="none" w:sz="0" w:space="0" w:color="auto"/>
            <w:bottom w:val="none" w:sz="0" w:space="0" w:color="auto"/>
            <w:right w:val="none" w:sz="0" w:space="0" w:color="auto"/>
          </w:divBdr>
        </w:div>
        <w:div w:id="626934870">
          <w:marLeft w:val="480"/>
          <w:marRight w:val="0"/>
          <w:marTop w:val="0"/>
          <w:marBottom w:val="0"/>
          <w:divBdr>
            <w:top w:val="none" w:sz="0" w:space="0" w:color="auto"/>
            <w:left w:val="none" w:sz="0" w:space="0" w:color="auto"/>
            <w:bottom w:val="none" w:sz="0" w:space="0" w:color="auto"/>
            <w:right w:val="none" w:sz="0" w:space="0" w:color="auto"/>
          </w:divBdr>
        </w:div>
        <w:div w:id="1330400643">
          <w:marLeft w:val="480"/>
          <w:marRight w:val="0"/>
          <w:marTop w:val="0"/>
          <w:marBottom w:val="0"/>
          <w:divBdr>
            <w:top w:val="none" w:sz="0" w:space="0" w:color="auto"/>
            <w:left w:val="none" w:sz="0" w:space="0" w:color="auto"/>
            <w:bottom w:val="none" w:sz="0" w:space="0" w:color="auto"/>
            <w:right w:val="none" w:sz="0" w:space="0" w:color="auto"/>
          </w:divBdr>
        </w:div>
        <w:div w:id="480923497">
          <w:marLeft w:val="480"/>
          <w:marRight w:val="0"/>
          <w:marTop w:val="0"/>
          <w:marBottom w:val="0"/>
          <w:divBdr>
            <w:top w:val="none" w:sz="0" w:space="0" w:color="auto"/>
            <w:left w:val="none" w:sz="0" w:space="0" w:color="auto"/>
            <w:bottom w:val="none" w:sz="0" w:space="0" w:color="auto"/>
            <w:right w:val="none" w:sz="0" w:space="0" w:color="auto"/>
          </w:divBdr>
        </w:div>
        <w:div w:id="2089690767">
          <w:marLeft w:val="480"/>
          <w:marRight w:val="0"/>
          <w:marTop w:val="0"/>
          <w:marBottom w:val="0"/>
          <w:divBdr>
            <w:top w:val="none" w:sz="0" w:space="0" w:color="auto"/>
            <w:left w:val="none" w:sz="0" w:space="0" w:color="auto"/>
            <w:bottom w:val="none" w:sz="0" w:space="0" w:color="auto"/>
            <w:right w:val="none" w:sz="0" w:space="0" w:color="auto"/>
          </w:divBdr>
        </w:div>
        <w:div w:id="1445540180">
          <w:marLeft w:val="480"/>
          <w:marRight w:val="0"/>
          <w:marTop w:val="0"/>
          <w:marBottom w:val="0"/>
          <w:divBdr>
            <w:top w:val="none" w:sz="0" w:space="0" w:color="auto"/>
            <w:left w:val="none" w:sz="0" w:space="0" w:color="auto"/>
            <w:bottom w:val="none" w:sz="0" w:space="0" w:color="auto"/>
            <w:right w:val="none" w:sz="0" w:space="0" w:color="auto"/>
          </w:divBdr>
        </w:div>
        <w:div w:id="675890366">
          <w:marLeft w:val="480"/>
          <w:marRight w:val="0"/>
          <w:marTop w:val="0"/>
          <w:marBottom w:val="0"/>
          <w:divBdr>
            <w:top w:val="none" w:sz="0" w:space="0" w:color="auto"/>
            <w:left w:val="none" w:sz="0" w:space="0" w:color="auto"/>
            <w:bottom w:val="none" w:sz="0" w:space="0" w:color="auto"/>
            <w:right w:val="none" w:sz="0" w:space="0" w:color="auto"/>
          </w:divBdr>
        </w:div>
        <w:div w:id="1033002350">
          <w:marLeft w:val="480"/>
          <w:marRight w:val="0"/>
          <w:marTop w:val="0"/>
          <w:marBottom w:val="0"/>
          <w:divBdr>
            <w:top w:val="none" w:sz="0" w:space="0" w:color="auto"/>
            <w:left w:val="none" w:sz="0" w:space="0" w:color="auto"/>
            <w:bottom w:val="none" w:sz="0" w:space="0" w:color="auto"/>
            <w:right w:val="none" w:sz="0" w:space="0" w:color="auto"/>
          </w:divBdr>
        </w:div>
        <w:div w:id="202638212">
          <w:marLeft w:val="480"/>
          <w:marRight w:val="0"/>
          <w:marTop w:val="0"/>
          <w:marBottom w:val="0"/>
          <w:divBdr>
            <w:top w:val="none" w:sz="0" w:space="0" w:color="auto"/>
            <w:left w:val="none" w:sz="0" w:space="0" w:color="auto"/>
            <w:bottom w:val="none" w:sz="0" w:space="0" w:color="auto"/>
            <w:right w:val="none" w:sz="0" w:space="0" w:color="auto"/>
          </w:divBdr>
        </w:div>
        <w:div w:id="1964313356">
          <w:marLeft w:val="480"/>
          <w:marRight w:val="0"/>
          <w:marTop w:val="0"/>
          <w:marBottom w:val="0"/>
          <w:divBdr>
            <w:top w:val="none" w:sz="0" w:space="0" w:color="auto"/>
            <w:left w:val="none" w:sz="0" w:space="0" w:color="auto"/>
            <w:bottom w:val="none" w:sz="0" w:space="0" w:color="auto"/>
            <w:right w:val="none" w:sz="0" w:space="0" w:color="auto"/>
          </w:divBdr>
        </w:div>
        <w:div w:id="1457407464">
          <w:marLeft w:val="480"/>
          <w:marRight w:val="0"/>
          <w:marTop w:val="0"/>
          <w:marBottom w:val="0"/>
          <w:divBdr>
            <w:top w:val="none" w:sz="0" w:space="0" w:color="auto"/>
            <w:left w:val="none" w:sz="0" w:space="0" w:color="auto"/>
            <w:bottom w:val="none" w:sz="0" w:space="0" w:color="auto"/>
            <w:right w:val="none" w:sz="0" w:space="0" w:color="auto"/>
          </w:divBdr>
        </w:div>
        <w:div w:id="546262196">
          <w:marLeft w:val="480"/>
          <w:marRight w:val="0"/>
          <w:marTop w:val="0"/>
          <w:marBottom w:val="0"/>
          <w:divBdr>
            <w:top w:val="none" w:sz="0" w:space="0" w:color="auto"/>
            <w:left w:val="none" w:sz="0" w:space="0" w:color="auto"/>
            <w:bottom w:val="none" w:sz="0" w:space="0" w:color="auto"/>
            <w:right w:val="none" w:sz="0" w:space="0" w:color="auto"/>
          </w:divBdr>
        </w:div>
        <w:div w:id="2109151166">
          <w:marLeft w:val="480"/>
          <w:marRight w:val="0"/>
          <w:marTop w:val="0"/>
          <w:marBottom w:val="0"/>
          <w:divBdr>
            <w:top w:val="none" w:sz="0" w:space="0" w:color="auto"/>
            <w:left w:val="none" w:sz="0" w:space="0" w:color="auto"/>
            <w:bottom w:val="none" w:sz="0" w:space="0" w:color="auto"/>
            <w:right w:val="none" w:sz="0" w:space="0" w:color="auto"/>
          </w:divBdr>
        </w:div>
        <w:div w:id="2084447325">
          <w:marLeft w:val="480"/>
          <w:marRight w:val="0"/>
          <w:marTop w:val="0"/>
          <w:marBottom w:val="0"/>
          <w:divBdr>
            <w:top w:val="none" w:sz="0" w:space="0" w:color="auto"/>
            <w:left w:val="none" w:sz="0" w:space="0" w:color="auto"/>
            <w:bottom w:val="none" w:sz="0" w:space="0" w:color="auto"/>
            <w:right w:val="none" w:sz="0" w:space="0" w:color="auto"/>
          </w:divBdr>
        </w:div>
        <w:div w:id="2029062628">
          <w:marLeft w:val="480"/>
          <w:marRight w:val="0"/>
          <w:marTop w:val="0"/>
          <w:marBottom w:val="0"/>
          <w:divBdr>
            <w:top w:val="none" w:sz="0" w:space="0" w:color="auto"/>
            <w:left w:val="none" w:sz="0" w:space="0" w:color="auto"/>
            <w:bottom w:val="none" w:sz="0" w:space="0" w:color="auto"/>
            <w:right w:val="none" w:sz="0" w:space="0" w:color="auto"/>
          </w:divBdr>
        </w:div>
        <w:div w:id="489292564">
          <w:marLeft w:val="480"/>
          <w:marRight w:val="0"/>
          <w:marTop w:val="0"/>
          <w:marBottom w:val="0"/>
          <w:divBdr>
            <w:top w:val="none" w:sz="0" w:space="0" w:color="auto"/>
            <w:left w:val="none" w:sz="0" w:space="0" w:color="auto"/>
            <w:bottom w:val="none" w:sz="0" w:space="0" w:color="auto"/>
            <w:right w:val="none" w:sz="0" w:space="0" w:color="auto"/>
          </w:divBdr>
        </w:div>
        <w:div w:id="1064371461">
          <w:marLeft w:val="480"/>
          <w:marRight w:val="0"/>
          <w:marTop w:val="0"/>
          <w:marBottom w:val="0"/>
          <w:divBdr>
            <w:top w:val="none" w:sz="0" w:space="0" w:color="auto"/>
            <w:left w:val="none" w:sz="0" w:space="0" w:color="auto"/>
            <w:bottom w:val="none" w:sz="0" w:space="0" w:color="auto"/>
            <w:right w:val="none" w:sz="0" w:space="0" w:color="auto"/>
          </w:divBdr>
        </w:div>
        <w:div w:id="1208448304">
          <w:marLeft w:val="480"/>
          <w:marRight w:val="0"/>
          <w:marTop w:val="0"/>
          <w:marBottom w:val="0"/>
          <w:divBdr>
            <w:top w:val="none" w:sz="0" w:space="0" w:color="auto"/>
            <w:left w:val="none" w:sz="0" w:space="0" w:color="auto"/>
            <w:bottom w:val="none" w:sz="0" w:space="0" w:color="auto"/>
            <w:right w:val="none" w:sz="0" w:space="0" w:color="auto"/>
          </w:divBdr>
        </w:div>
        <w:div w:id="804277005">
          <w:marLeft w:val="480"/>
          <w:marRight w:val="0"/>
          <w:marTop w:val="0"/>
          <w:marBottom w:val="0"/>
          <w:divBdr>
            <w:top w:val="none" w:sz="0" w:space="0" w:color="auto"/>
            <w:left w:val="none" w:sz="0" w:space="0" w:color="auto"/>
            <w:bottom w:val="none" w:sz="0" w:space="0" w:color="auto"/>
            <w:right w:val="none" w:sz="0" w:space="0" w:color="auto"/>
          </w:divBdr>
        </w:div>
        <w:div w:id="1441293716">
          <w:marLeft w:val="480"/>
          <w:marRight w:val="0"/>
          <w:marTop w:val="0"/>
          <w:marBottom w:val="0"/>
          <w:divBdr>
            <w:top w:val="none" w:sz="0" w:space="0" w:color="auto"/>
            <w:left w:val="none" w:sz="0" w:space="0" w:color="auto"/>
            <w:bottom w:val="none" w:sz="0" w:space="0" w:color="auto"/>
            <w:right w:val="none" w:sz="0" w:space="0" w:color="auto"/>
          </w:divBdr>
        </w:div>
        <w:div w:id="998077621">
          <w:marLeft w:val="480"/>
          <w:marRight w:val="0"/>
          <w:marTop w:val="0"/>
          <w:marBottom w:val="0"/>
          <w:divBdr>
            <w:top w:val="none" w:sz="0" w:space="0" w:color="auto"/>
            <w:left w:val="none" w:sz="0" w:space="0" w:color="auto"/>
            <w:bottom w:val="none" w:sz="0" w:space="0" w:color="auto"/>
            <w:right w:val="none" w:sz="0" w:space="0" w:color="auto"/>
          </w:divBdr>
        </w:div>
        <w:div w:id="1870413768">
          <w:marLeft w:val="480"/>
          <w:marRight w:val="0"/>
          <w:marTop w:val="0"/>
          <w:marBottom w:val="0"/>
          <w:divBdr>
            <w:top w:val="none" w:sz="0" w:space="0" w:color="auto"/>
            <w:left w:val="none" w:sz="0" w:space="0" w:color="auto"/>
            <w:bottom w:val="none" w:sz="0" w:space="0" w:color="auto"/>
            <w:right w:val="none" w:sz="0" w:space="0" w:color="auto"/>
          </w:divBdr>
        </w:div>
        <w:div w:id="325061860">
          <w:marLeft w:val="480"/>
          <w:marRight w:val="0"/>
          <w:marTop w:val="0"/>
          <w:marBottom w:val="0"/>
          <w:divBdr>
            <w:top w:val="none" w:sz="0" w:space="0" w:color="auto"/>
            <w:left w:val="none" w:sz="0" w:space="0" w:color="auto"/>
            <w:bottom w:val="none" w:sz="0" w:space="0" w:color="auto"/>
            <w:right w:val="none" w:sz="0" w:space="0" w:color="auto"/>
          </w:divBdr>
        </w:div>
        <w:div w:id="1425414496">
          <w:marLeft w:val="480"/>
          <w:marRight w:val="0"/>
          <w:marTop w:val="0"/>
          <w:marBottom w:val="0"/>
          <w:divBdr>
            <w:top w:val="none" w:sz="0" w:space="0" w:color="auto"/>
            <w:left w:val="none" w:sz="0" w:space="0" w:color="auto"/>
            <w:bottom w:val="none" w:sz="0" w:space="0" w:color="auto"/>
            <w:right w:val="none" w:sz="0" w:space="0" w:color="auto"/>
          </w:divBdr>
        </w:div>
        <w:div w:id="1238050590">
          <w:marLeft w:val="480"/>
          <w:marRight w:val="0"/>
          <w:marTop w:val="0"/>
          <w:marBottom w:val="0"/>
          <w:divBdr>
            <w:top w:val="none" w:sz="0" w:space="0" w:color="auto"/>
            <w:left w:val="none" w:sz="0" w:space="0" w:color="auto"/>
            <w:bottom w:val="none" w:sz="0" w:space="0" w:color="auto"/>
            <w:right w:val="none" w:sz="0" w:space="0" w:color="auto"/>
          </w:divBdr>
        </w:div>
        <w:div w:id="1560047570">
          <w:marLeft w:val="480"/>
          <w:marRight w:val="0"/>
          <w:marTop w:val="0"/>
          <w:marBottom w:val="0"/>
          <w:divBdr>
            <w:top w:val="none" w:sz="0" w:space="0" w:color="auto"/>
            <w:left w:val="none" w:sz="0" w:space="0" w:color="auto"/>
            <w:bottom w:val="none" w:sz="0" w:space="0" w:color="auto"/>
            <w:right w:val="none" w:sz="0" w:space="0" w:color="auto"/>
          </w:divBdr>
        </w:div>
        <w:div w:id="1007564193">
          <w:marLeft w:val="480"/>
          <w:marRight w:val="0"/>
          <w:marTop w:val="0"/>
          <w:marBottom w:val="0"/>
          <w:divBdr>
            <w:top w:val="none" w:sz="0" w:space="0" w:color="auto"/>
            <w:left w:val="none" w:sz="0" w:space="0" w:color="auto"/>
            <w:bottom w:val="none" w:sz="0" w:space="0" w:color="auto"/>
            <w:right w:val="none" w:sz="0" w:space="0" w:color="auto"/>
          </w:divBdr>
        </w:div>
        <w:div w:id="1747143369">
          <w:marLeft w:val="480"/>
          <w:marRight w:val="0"/>
          <w:marTop w:val="0"/>
          <w:marBottom w:val="0"/>
          <w:divBdr>
            <w:top w:val="none" w:sz="0" w:space="0" w:color="auto"/>
            <w:left w:val="none" w:sz="0" w:space="0" w:color="auto"/>
            <w:bottom w:val="none" w:sz="0" w:space="0" w:color="auto"/>
            <w:right w:val="none" w:sz="0" w:space="0" w:color="auto"/>
          </w:divBdr>
        </w:div>
        <w:div w:id="2092700580">
          <w:marLeft w:val="480"/>
          <w:marRight w:val="0"/>
          <w:marTop w:val="0"/>
          <w:marBottom w:val="0"/>
          <w:divBdr>
            <w:top w:val="none" w:sz="0" w:space="0" w:color="auto"/>
            <w:left w:val="none" w:sz="0" w:space="0" w:color="auto"/>
            <w:bottom w:val="none" w:sz="0" w:space="0" w:color="auto"/>
            <w:right w:val="none" w:sz="0" w:space="0" w:color="auto"/>
          </w:divBdr>
        </w:div>
        <w:div w:id="1677154547">
          <w:marLeft w:val="480"/>
          <w:marRight w:val="0"/>
          <w:marTop w:val="0"/>
          <w:marBottom w:val="0"/>
          <w:divBdr>
            <w:top w:val="none" w:sz="0" w:space="0" w:color="auto"/>
            <w:left w:val="none" w:sz="0" w:space="0" w:color="auto"/>
            <w:bottom w:val="none" w:sz="0" w:space="0" w:color="auto"/>
            <w:right w:val="none" w:sz="0" w:space="0" w:color="auto"/>
          </w:divBdr>
        </w:div>
        <w:div w:id="368341309">
          <w:marLeft w:val="480"/>
          <w:marRight w:val="0"/>
          <w:marTop w:val="0"/>
          <w:marBottom w:val="0"/>
          <w:divBdr>
            <w:top w:val="none" w:sz="0" w:space="0" w:color="auto"/>
            <w:left w:val="none" w:sz="0" w:space="0" w:color="auto"/>
            <w:bottom w:val="none" w:sz="0" w:space="0" w:color="auto"/>
            <w:right w:val="none" w:sz="0" w:space="0" w:color="auto"/>
          </w:divBdr>
        </w:div>
        <w:div w:id="1290815581">
          <w:marLeft w:val="480"/>
          <w:marRight w:val="0"/>
          <w:marTop w:val="0"/>
          <w:marBottom w:val="0"/>
          <w:divBdr>
            <w:top w:val="none" w:sz="0" w:space="0" w:color="auto"/>
            <w:left w:val="none" w:sz="0" w:space="0" w:color="auto"/>
            <w:bottom w:val="none" w:sz="0" w:space="0" w:color="auto"/>
            <w:right w:val="none" w:sz="0" w:space="0" w:color="auto"/>
          </w:divBdr>
        </w:div>
        <w:div w:id="1762531120">
          <w:marLeft w:val="480"/>
          <w:marRight w:val="0"/>
          <w:marTop w:val="0"/>
          <w:marBottom w:val="0"/>
          <w:divBdr>
            <w:top w:val="none" w:sz="0" w:space="0" w:color="auto"/>
            <w:left w:val="none" w:sz="0" w:space="0" w:color="auto"/>
            <w:bottom w:val="none" w:sz="0" w:space="0" w:color="auto"/>
            <w:right w:val="none" w:sz="0" w:space="0" w:color="auto"/>
          </w:divBdr>
        </w:div>
        <w:div w:id="1500580654">
          <w:marLeft w:val="480"/>
          <w:marRight w:val="0"/>
          <w:marTop w:val="0"/>
          <w:marBottom w:val="0"/>
          <w:divBdr>
            <w:top w:val="none" w:sz="0" w:space="0" w:color="auto"/>
            <w:left w:val="none" w:sz="0" w:space="0" w:color="auto"/>
            <w:bottom w:val="none" w:sz="0" w:space="0" w:color="auto"/>
            <w:right w:val="none" w:sz="0" w:space="0" w:color="auto"/>
          </w:divBdr>
        </w:div>
        <w:div w:id="902181455">
          <w:marLeft w:val="480"/>
          <w:marRight w:val="0"/>
          <w:marTop w:val="0"/>
          <w:marBottom w:val="0"/>
          <w:divBdr>
            <w:top w:val="none" w:sz="0" w:space="0" w:color="auto"/>
            <w:left w:val="none" w:sz="0" w:space="0" w:color="auto"/>
            <w:bottom w:val="none" w:sz="0" w:space="0" w:color="auto"/>
            <w:right w:val="none" w:sz="0" w:space="0" w:color="auto"/>
          </w:divBdr>
        </w:div>
        <w:div w:id="1913005294">
          <w:marLeft w:val="480"/>
          <w:marRight w:val="0"/>
          <w:marTop w:val="0"/>
          <w:marBottom w:val="0"/>
          <w:divBdr>
            <w:top w:val="none" w:sz="0" w:space="0" w:color="auto"/>
            <w:left w:val="none" w:sz="0" w:space="0" w:color="auto"/>
            <w:bottom w:val="none" w:sz="0" w:space="0" w:color="auto"/>
            <w:right w:val="none" w:sz="0" w:space="0" w:color="auto"/>
          </w:divBdr>
        </w:div>
        <w:div w:id="1656493212">
          <w:marLeft w:val="480"/>
          <w:marRight w:val="0"/>
          <w:marTop w:val="0"/>
          <w:marBottom w:val="0"/>
          <w:divBdr>
            <w:top w:val="none" w:sz="0" w:space="0" w:color="auto"/>
            <w:left w:val="none" w:sz="0" w:space="0" w:color="auto"/>
            <w:bottom w:val="none" w:sz="0" w:space="0" w:color="auto"/>
            <w:right w:val="none" w:sz="0" w:space="0" w:color="auto"/>
          </w:divBdr>
        </w:div>
        <w:div w:id="1123113910">
          <w:marLeft w:val="480"/>
          <w:marRight w:val="0"/>
          <w:marTop w:val="0"/>
          <w:marBottom w:val="0"/>
          <w:divBdr>
            <w:top w:val="none" w:sz="0" w:space="0" w:color="auto"/>
            <w:left w:val="none" w:sz="0" w:space="0" w:color="auto"/>
            <w:bottom w:val="none" w:sz="0" w:space="0" w:color="auto"/>
            <w:right w:val="none" w:sz="0" w:space="0" w:color="auto"/>
          </w:divBdr>
        </w:div>
        <w:div w:id="364674478">
          <w:marLeft w:val="480"/>
          <w:marRight w:val="0"/>
          <w:marTop w:val="0"/>
          <w:marBottom w:val="0"/>
          <w:divBdr>
            <w:top w:val="none" w:sz="0" w:space="0" w:color="auto"/>
            <w:left w:val="none" w:sz="0" w:space="0" w:color="auto"/>
            <w:bottom w:val="none" w:sz="0" w:space="0" w:color="auto"/>
            <w:right w:val="none" w:sz="0" w:space="0" w:color="auto"/>
          </w:divBdr>
        </w:div>
        <w:div w:id="484010776">
          <w:marLeft w:val="480"/>
          <w:marRight w:val="0"/>
          <w:marTop w:val="0"/>
          <w:marBottom w:val="0"/>
          <w:divBdr>
            <w:top w:val="none" w:sz="0" w:space="0" w:color="auto"/>
            <w:left w:val="none" w:sz="0" w:space="0" w:color="auto"/>
            <w:bottom w:val="none" w:sz="0" w:space="0" w:color="auto"/>
            <w:right w:val="none" w:sz="0" w:space="0" w:color="auto"/>
          </w:divBdr>
        </w:div>
        <w:div w:id="201328248">
          <w:marLeft w:val="480"/>
          <w:marRight w:val="0"/>
          <w:marTop w:val="0"/>
          <w:marBottom w:val="0"/>
          <w:divBdr>
            <w:top w:val="none" w:sz="0" w:space="0" w:color="auto"/>
            <w:left w:val="none" w:sz="0" w:space="0" w:color="auto"/>
            <w:bottom w:val="none" w:sz="0" w:space="0" w:color="auto"/>
            <w:right w:val="none" w:sz="0" w:space="0" w:color="auto"/>
          </w:divBdr>
        </w:div>
        <w:div w:id="1428236625">
          <w:marLeft w:val="480"/>
          <w:marRight w:val="0"/>
          <w:marTop w:val="0"/>
          <w:marBottom w:val="0"/>
          <w:divBdr>
            <w:top w:val="none" w:sz="0" w:space="0" w:color="auto"/>
            <w:left w:val="none" w:sz="0" w:space="0" w:color="auto"/>
            <w:bottom w:val="none" w:sz="0" w:space="0" w:color="auto"/>
            <w:right w:val="none" w:sz="0" w:space="0" w:color="auto"/>
          </w:divBdr>
        </w:div>
        <w:div w:id="1675262646">
          <w:marLeft w:val="480"/>
          <w:marRight w:val="0"/>
          <w:marTop w:val="0"/>
          <w:marBottom w:val="0"/>
          <w:divBdr>
            <w:top w:val="none" w:sz="0" w:space="0" w:color="auto"/>
            <w:left w:val="none" w:sz="0" w:space="0" w:color="auto"/>
            <w:bottom w:val="none" w:sz="0" w:space="0" w:color="auto"/>
            <w:right w:val="none" w:sz="0" w:space="0" w:color="auto"/>
          </w:divBdr>
        </w:div>
        <w:div w:id="596062982">
          <w:marLeft w:val="480"/>
          <w:marRight w:val="0"/>
          <w:marTop w:val="0"/>
          <w:marBottom w:val="0"/>
          <w:divBdr>
            <w:top w:val="none" w:sz="0" w:space="0" w:color="auto"/>
            <w:left w:val="none" w:sz="0" w:space="0" w:color="auto"/>
            <w:bottom w:val="none" w:sz="0" w:space="0" w:color="auto"/>
            <w:right w:val="none" w:sz="0" w:space="0" w:color="auto"/>
          </w:divBdr>
        </w:div>
        <w:div w:id="568929439">
          <w:marLeft w:val="480"/>
          <w:marRight w:val="0"/>
          <w:marTop w:val="0"/>
          <w:marBottom w:val="0"/>
          <w:divBdr>
            <w:top w:val="none" w:sz="0" w:space="0" w:color="auto"/>
            <w:left w:val="none" w:sz="0" w:space="0" w:color="auto"/>
            <w:bottom w:val="none" w:sz="0" w:space="0" w:color="auto"/>
            <w:right w:val="none" w:sz="0" w:space="0" w:color="auto"/>
          </w:divBdr>
        </w:div>
        <w:div w:id="1491213483">
          <w:marLeft w:val="480"/>
          <w:marRight w:val="0"/>
          <w:marTop w:val="0"/>
          <w:marBottom w:val="0"/>
          <w:divBdr>
            <w:top w:val="none" w:sz="0" w:space="0" w:color="auto"/>
            <w:left w:val="none" w:sz="0" w:space="0" w:color="auto"/>
            <w:bottom w:val="none" w:sz="0" w:space="0" w:color="auto"/>
            <w:right w:val="none" w:sz="0" w:space="0" w:color="auto"/>
          </w:divBdr>
        </w:div>
        <w:div w:id="1730416776">
          <w:marLeft w:val="480"/>
          <w:marRight w:val="0"/>
          <w:marTop w:val="0"/>
          <w:marBottom w:val="0"/>
          <w:divBdr>
            <w:top w:val="none" w:sz="0" w:space="0" w:color="auto"/>
            <w:left w:val="none" w:sz="0" w:space="0" w:color="auto"/>
            <w:bottom w:val="none" w:sz="0" w:space="0" w:color="auto"/>
            <w:right w:val="none" w:sz="0" w:space="0" w:color="auto"/>
          </w:divBdr>
        </w:div>
        <w:div w:id="448621645">
          <w:marLeft w:val="480"/>
          <w:marRight w:val="0"/>
          <w:marTop w:val="0"/>
          <w:marBottom w:val="0"/>
          <w:divBdr>
            <w:top w:val="none" w:sz="0" w:space="0" w:color="auto"/>
            <w:left w:val="none" w:sz="0" w:space="0" w:color="auto"/>
            <w:bottom w:val="none" w:sz="0" w:space="0" w:color="auto"/>
            <w:right w:val="none" w:sz="0" w:space="0" w:color="auto"/>
          </w:divBdr>
        </w:div>
        <w:div w:id="1125999660">
          <w:marLeft w:val="480"/>
          <w:marRight w:val="0"/>
          <w:marTop w:val="0"/>
          <w:marBottom w:val="0"/>
          <w:divBdr>
            <w:top w:val="none" w:sz="0" w:space="0" w:color="auto"/>
            <w:left w:val="none" w:sz="0" w:space="0" w:color="auto"/>
            <w:bottom w:val="none" w:sz="0" w:space="0" w:color="auto"/>
            <w:right w:val="none" w:sz="0" w:space="0" w:color="auto"/>
          </w:divBdr>
        </w:div>
        <w:div w:id="1738622767">
          <w:marLeft w:val="480"/>
          <w:marRight w:val="0"/>
          <w:marTop w:val="0"/>
          <w:marBottom w:val="0"/>
          <w:divBdr>
            <w:top w:val="none" w:sz="0" w:space="0" w:color="auto"/>
            <w:left w:val="none" w:sz="0" w:space="0" w:color="auto"/>
            <w:bottom w:val="none" w:sz="0" w:space="0" w:color="auto"/>
            <w:right w:val="none" w:sz="0" w:space="0" w:color="auto"/>
          </w:divBdr>
        </w:div>
        <w:div w:id="363598764">
          <w:marLeft w:val="480"/>
          <w:marRight w:val="0"/>
          <w:marTop w:val="0"/>
          <w:marBottom w:val="0"/>
          <w:divBdr>
            <w:top w:val="none" w:sz="0" w:space="0" w:color="auto"/>
            <w:left w:val="none" w:sz="0" w:space="0" w:color="auto"/>
            <w:bottom w:val="none" w:sz="0" w:space="0" w:color="auto"/>
            <w:right w:val="none" w:sz="0" w:space="0" w:color="auto"/>
          </w:divBdr>
        </w:div>
        <w:div w:id="1125539973">
          <w:marLeft w:val="480"/>
          <w:marRight w:val="0"/>
          <w:marTop w:val="0"/>
          <w:marBottom w:val="0"/>
          <w:divBdr>
            <w:top w:val="none" w:sz="0" w:space="0" w:color="auto"/>
            <w:left w:val="none" w:sz="0" w:space="0" w:color="auto"/>
            <w:bottom w:val="none" w:sz="0" w:space="0" w:color="auto"/>
            <w:right w:val="none" w:sz="0" w:space="0" w:color="auto"/>
          </w:divBdr>
        </w:div>
        <w:div w:id="497309079">
          <w:marLeft w:val="480"/>
          <w:marRight w:val="0"/>
          <w:marTop w:val="0"/>
          <w:marBottom w:val="0"/>
          <w:divBdr>
            <w:top w:val="none" w:sz="0" w:space="0" w:color="auto"/>
            <w:left w:val="none" w:sz="0" w:space="0" w:color="auto"/>
            <w:bottom w:val="none" w:sz="0" w:space="0" w:color="auto"/>
            <w:right w:val="none" w:sz="0" w:space="0" w:color="auto"/>
          </w:divBdr>
        </w:div>
        <w:div w:id="848371389">
          <w:marLeft w:val="480"/>
          <w:marRight w:val="0"/>
          <w:marTop w:val="0"/>
          <w:marBottom w:val="0"/>
          <w:divBdr>
            <w:top w:val="none" w:sz="0" w:space="0" w:color="auto"/>
            <w:left w:val="none" w:sz="0" w:space="0" w:color="auto"/>
            <w:bottom w:val="none" w:sz="0" w:space="0" w:color="auto"/>
            <w:right w:val="none" w:sz="0" w:space="0" w:color="auto"/>
          </w:divBdr>
        </w:div>
        <w:div w:id="542593115">
          <w:marLeft w:val="480"/>
          <w:marRight w:val="0"/>
          <w:marTop w:val="0"/>
          <w:marBottom w:val="0"/>
          <w:divBdr>
            <w:top w:val="none" w:sz="0" w:space="0" w:color="auto"/>
            <w:left w:val="none" w:sz="0" w:space="0" w:color="auto"/>
            <w:bottom w:val="none" w:sz="0" w:space="0" w:color="auto"/>
            <w:right w:val="none" w:sz="0" w:space="0" w:color="auto"/>
          </w:divBdr>
        </w:div>
        <w:div w:id="38630800">
          <w:marLeft w:val="480"/>
          <w:marRight w:val="0"/>
          <w:marTop w:val="0"/>
          <w:marBottom w:val="0"/>
          <w:divBdr>
            <w:top w:val="none" w:sz="0" w:space="0" w:color="auto"/>
            <w:left w:val="none" w:sz="0" w:space="0" w:color="auto"/>
            <w:bottom w:val="none" w:sz="0" w:space="0" w:color="auto"/>
            <w:right w:val="none" w:sz="0" w:space="0" w:color="auto"/>
          </w:divBdr>
        </w:div>
        <w:div w:id="1209221904">
          <w:marLeft w:val="480"/>
          <w:marRight w:val="0"/>
          <w:marTop w:val="0"/>
          <w:marBottom w:val="0"/>
          <w:divBdr>
            <w:top w:val="none" w:sz="0" w:space="0" w:color="auto"/>
            <w:left w:val="none" w:sz="0" w:space="0" w:color="auto"/>
            <w:bottom w:val="none" w:sz="0" w:space="0" w:color="auto"/>
            <w:right w:val="none" w:sz="0" w:space="0" w:color="auto"/>
          </w:divBdr>
        </w:div>
        <w:div w:id="516582389">
          <w:marLeft w:val="480"/>
          <w:marRight w:val="0"/>
          <w:marTop w:val="0"/>
          <w:marBottom w:val="0"/>
          <w:divBdr>
            <w:top w:val="none" w:sz="0" w:space="0" w:color="auto"/>
            <w:left w:val="none" w:sz="0" w:space="0" w:color="auto"/>
            <w:bottom w:val="none" w:sz="0" w:space="0" w:color="auto"/>
            <w:right w:val="none" w:sz="0" w:space="0" w:color="auto"/>
          </w:divBdr>
        </w:div>
        <w:div w:id="2078933547">
          <w:marLeft w:val="480"/>
          <w:marRight w:val="0"/>
          <w:marTop w:val="0"/>
          <w:marBottom w:val="0"/>
          <w:divBdr>
            <w:top w:val="none" w:sz="0" w:space="0" w:color="auto"/>
            <w:left w:val="none" w:sz="0" w:space="0" w:color="auto"/>
            <w:bottom w:val="none" w:sz="0" w:space="0" w:color="auto"/>
            <w:right w:val="none" w:sz="0" w:space="0" w:color="auto"/>
          </w:divBdr>
        </w:div>
        <w:div w:id="1176579121">
          <w:marLeft w:val="480"/>
          <w:marRight w:val="0"/>
          <w:marTop w:val="0"/>
          <w:marBottom w:val="0"/>
          <w:divBdr>
            <w:top w:val="none" w:sz="0" w:space="0" w:color="auto"/>
            <w:left w:val="none" w:sz="0" w:space="0" w:color="auto"/>
            <w:bottom w:val="none" w:sz="0" w:space="0" w:color="auto"/>
            <w:right w:val="none" w:sz="0" w:space="0" w:color="auto"/>
          </w:divBdr>
        </w:div>
        <w:div w:id="1705447508">
          <w:marLeft w:val="480"/>
          <w:marRight w:val="0"/>
          <w:marTop w:val="0"/>
          <w:marBottom w:val="0"/>
          <w:divBdr>
            <w:top w:val="none" w:sz="0" w:space="0" w:color="auto"/>
            <w:left w:val="none" w:sz="0" w:space="0" w:color="auto"/>
            <w:bottom w:val="none" w:sz="0" w:space="0" w:color="auto"/>
            <w:right w:val="none" w:sz="0" w:space="0" w:color="auto"/>
          </w:divBdr>
        </w:div>
        <w:div w:id="946617917">
          <w:marLeft w:val="480"/>
          <w:marRight w:val="0"/>
          <w:marTop w:val="0"/>
          <w:marBottom w:val="0"/>
          <w:divBdr>
            <w:top w:val="none" w:sz="0" w:space="0" w:color="auto"/>
            <w:left w:val="none" w:sz="0" w:space="0" w:color="auto"/>
            <w:bottom w:val="none" w:sz="0" w:space="0" w:color="auto"/>
            <w:right w:val="none" w:sz="0" w:space="0" w:color="auto"/>
          </w:divBdr>
        </w:div>
        <w:div w:id="531461627">
          <w:marLeft w:val="480"/>
          <w:marRight w:val="0"/>
          <w:marTop w:val="0"/>
          <w:marBottom w:val="0"/>
          <w:divBdr>
            <w:top w:val="none" w:sz="0" w:space="0" w:color="auto"/>
            <w:left w:val="none" w:sz="0" w:space="0" w:color="auto"/>
            <w:bottom w:val="none" w:sz="0" w:space="0" w:color="auto"/>
            <w:right w:val="none" w:sz="0" w:space="0" w:color="auto"/>
          </w:divBdr>
        </w:div>
        <w:div w:id="1824925593">
          <w:marLeft w:val="480"/>
          <w:marRight w:val="0"/>
          <w:marTop w:val="0"/>
          <w:marBottom w:val="0"/>
          <w:divBdr>
            <w:top w:val="none" w:sz="0" w:space="0" w:color="auto"/>
            <w:left w:val="none" w:sz="0" w:space="0" w:color="auto"/>
            <w:bottom w:val="none" w:sz="0" w:space="0" w:color="auto"/>
            <w:right w:val="none" w:sz="0" w:space="0" w:color="auto"/>
          </w:divBdr>
        </w:div>
        <w:div w:id="1928074932">
          <w:marLeft w:val="480"/>
          <w:marRight w:val="0"/>
          <w:marTop w:val="0"/>
          <w:marBottom w:val="0"/>
          <w:divBdr>
            <w:top w:val="none" w:sz="0" w:space="0" w:color="auto"/>
            <w:left w:val="none" w:sz="0" w:space="0" w:color="auto"/>
            <w:bottom w:val="none" w:sz="0" w:space="0" w:color="auto"/>
            <w:right w:val="none" w:sz="0" w:space="0" w:color="auto"/>
          </w:divBdr>
        </w:div>
        <w:div w:id="1863781036">
          <w:marLeft w:val="480"/>
          <w:marRight w:val="0"/>
          <w:marTop w:val="0"/>
          <w:marBottom w:val="0"/>
          <w:divBdr>
            <w:top w:val="none" w:sz="0" w:space="0" w:color="auto"/>
            <w:left w:val="none" w:sz="0" w:space="0" w:color="auto"/>
            <w:bottom w:val="none" w:sz="0" w:space="0" w:color="auto"/>
            <w:right w:val="none" w:sz="0" w:space="0" w:color="auto"/>
          </w:divBdr>
        </w:div>
        <w:div w:id="429005737">
          <w:marLeft w:val="480"/>
          <w:marRight w:val="0"/>
          <w:marTop w:val="0"/>
          <w:marBottom w:val="0"/>
          <w:divBdr>
            <w:top w:val="none" w:sz="0" w:space="0" w:color="auto"/>
            <w:left w:val="none" w:sz="0" w:space="0" w:color="auto"/>
            <w:bottom w:val="none" w:sz="0" w:space="0" w:color="auto"/>
            <w:right w:val="none" w:sz="0" w:space="0" w:color="auto"/>
          </w:divBdr>
        </w:div>
        <w:div w:id="403645935">
          <w:marLeft w:val="480"/>
          <w:marRight w:val="0"/>
          <w:marTop w:val="0"/>
          <w:marBottom w:val="0"/>
          <w:divBdr>
            <w:top w:val="none" w:sz="0" w:space="0" w:color="auto"/>
            <w:left w:val="none" w:sz="0" w:space="0" w:color="auto"/>
            <w:bottom w:val="none" w:sz="0" w:space="0" w:color="auto"/>
            <w:right w:val="none" w:sz="0" w:space="0" w:color="auto"/>
          </w:divBdr>
        </w:div>
        <w:div w:id="2128038364">
          <w:marLeft w:val="480"/>
          <w:marRight w:val="0"/>
          <w:marTop w:val="0"/>
          <w:marBottom w:val="0"/>
          <w:divBdr>
            <w:top w:val="none" w:sz="0" w:space="0" w:color="auto"/>
            <w:left w:val="none" w:sz="0" w:space="0" w:color="auto"/>
            <w:bottom w:val="none" w:sz="0" w:space="0" w:color="auto"/>
            <w:right w:val="none" w:sz="0" w:space="0" w:color="auto"/>
          </w:divBdr>
        </w:div>
        <w:div w:id="1769617959">
          <w:marLeft w:val="480"/>
          <w:marRight w:val="0"/>
          <w:marTop w:val="0"/>
          <w:marBottom w:val="0"/>
          <w:divBdr>
            <w:top w:val="none" w:sz="0" w:space="0" w:color="auto"/>
            <w:left w:val="none" w:sz="0" w:space="0" w:color="auto"/>
            <w:bottom w:val="none" w:sz="0" w:space="0" w:color="auto"/>
            <w:right w:val="none" w:sz="0" w:space="0" w:color="auto"/>
          </w:divBdr>
        </w:div>
        <w:div w:id="222260492">
          <w:marLeft w:val="480"/>
          <w:marRight w:val="0"/>
          <w:marTop w:val="0"/>
          <w:marBottom w:val="0"/>
          <w:divBdr>
            <w:top w:val="none" w:sz="0" w:space="0" w:color="auto"/>
            <w:left w:val="none" w:sz="0" w:space="0" w:color="auto"/>
            <w:bottom w:val="none" w:sz="0" w:space="0" w:color="auto"/>
            <w:right w:val="none" w:sz="0" w:space="0" w:color="auto"/>
          </w:divBdr>
        </w:div>
        <w:div w:id="1871648663">
          <w:marLeft w:val="480"/>
          <w:marRight w:val="0"/>
          <w:marTop w:val="0"/>
          <w:marBottom w:val="0"/>
          <w:divBdr>
            <w:top w:val="none" w:sz="0" w:space="0" w:color="auto"/>
            <w:left w:val="none" w:sz="0" w:space="0" w:color="auto"/>
            <w:bottom w:val="none" w:sz="0" w:space="0" w:color="auto"/>
            <w:right w:val="none" w:sz="0" w:space="0" w:color="auto"/>
          </w:divBdr>
        </w:div>
        <w:div w:id="280039976">
          <w:marLeft w:val="480"/>
          <w:marRight w:val="0"/>
          <w:marTop w:val="0"/>
          <w:marBottom w:val="0"/>
          <w:divBdr>
            <w:top w:val="none" w:sz="0" w:space="0" w:color="auto"/>
            <w:left w:val="none" w:sz="0" w:space="0" w:color="auto"/>
            <w:bottom w:val="none" w:sz="0" w:space="0" w:color="auto"/>
            <w:right w:val="none" w:sz="0" w:space="0" w:color="auto"/>
          </w:divBdr>
        </w:div>
        <w:div w:id="767584484">
          <w:marLeft w:val="480"/>
          <w:marRight w:val="0"/>
          <w:marTop w:val="0"/>
          <w:marBottom w:val="0"/>
          <w:divBdr>
            <w:top w:val="none" w:sz="0" w:space="0" w:color="auto"/>
            <w:left w:val="none" w:sz="0" w:space="0" w:color="auto"/>
            <w:bottom w:val="none" w:sz="0" w:space="0" w:color="auto"/>
            <w:right w:val="none" w:sz="0" w:space="0" w:color="auto"/>
          </w:divBdr>
        </w:div>
        <w:div w:id="7872957">
          <w:marLeft w:val="480"/>
          <w:marRight w:val="0"/>
          <w:marTop w:val="0"/>
          <w:marBottom w:val="0"/>
          <w:divBdr>
            <w:top w:val="none" w:sz="0" w:space="0" w:color="auto"/>
            <w:left w:val="none" w:sz="0" w:space="0" w:color="auto"/>
            <w:bottom w:val="none" w:sz="0" w:space="0" w:color="auto"/>
            <w:right w:val="none" w:sz="0" w:space="0" w:color="auto"/>
          </w:divBdr>
        </w:div>
        <w:div w:id="358048661">
          <w:marLeft w:val="480"/>
          <w:marRight w:val="0"/>
          <w:marTop w:val="0"/>
          <w:marBottom w:val="0"/>
          <w:divBdr>
            <w:top w:val="none" w:sz="0" w:space="0" w:color="auto"/>
            <w:left w:val="none" w:sz="0" w:space="0" w:color="auto"/>
            <w:bottom w:val="none" w:sz="0" w:space="0" w:color="auto"/>
            <w:right w:val="none" w:sz="0" w:space="0" w:color="auto"/>
          </w:divBdr>
        </w:div>
        <w:div w:id="1433819243">
          <w:marLeft w:val="480"/>
          <w:marRight w:val="0"/>
          <w:marTop w:val="0"/>
          <w:marBottom w:val="0"/>
          <w:divBdr>
            <w:top w:val="none" w:sz="0" w:space="0" w:color="auto"/>
            <w:left w:val="none" w:sz="0" w:space="0" w:color="auto"/>
            <w:bottom w:val="none" w:sz="0" w:space="0" w:color="auto"/>
            <w:right w:val="none" w:sz="0" w:space="0" w:color="auto"/>
          </w:divBdr>
        </w:div>
        <w:div w:id="107897710">
          <w:marLeft w:val="480"/>
          <w:marRight w:val="0"/>
          <w:marTop w:val="0"/>
          <w:marBottom w:val="0"/>
          <w:divBdr>
            <w:top w:val="none" w:sz="0" w:space="0" w:color="auto"/>
            <w:left w:val="none" w:sz="0" w:space="0" w:color="auto"/>
            <w:bottom w:val="none" w:sz="0" w:space="0" w:color="auto"/>
            <w:right w:val="none" w:sz="0" w:space="0" w:color="auto"/>
          </w:divBdr>
        </w:div>
        <w:div w:id="1602683960">
          <w:marLeft w:val="480"/>
          <w:marRight w:val="0"/>
          <w:marTop w:val="0"/>
          <w:marBottom w:val="0"/>
          <w:divBdr>
            <w:top w:val="none" w:sz="0" w:space="0" w:color="auto"/>
            <w:left w:val="none" w:sz="0" w:space="0" w:color="auto"/>
            <w:bottom w:val="none" w:sz="0" w:space="0" w:color="auto"/>
            <w:right w:val="none" w:sz="0" w:space="0" w:color="auto"/>
          </w:divBdr>
        </w:div>
        <w:div w:id="1609314223">
          <w:marLeft w:val="480"/>
          <w:marRight w:val="0"/>
          <w:marTop w:val="0"/>
          <w:marBottom w:val="0"/>
          <w:divBdr>
            <w:top w:val="none" w:sz="0" w:space="0" w:color="auto"/>
            <w:left w:val="none" w:sz="0" w:space="0" w:color="auto"/>
            <w:bottom w:val="none" w:sz="0" w:space="0" w:color="auto"/>
            <w:right w:val="none" w:sz="0" w:space="0" w:color="auto"/>
          </w:divBdr>
        </w:div>
        <w:div w:id="1540816910">
          <w:marLeft w:val="480"/>
          <w:marRight w:val="0"/>
          <w:marTop w:val="0"/>
          <w:marBottom w:val="0"/>
          <w:divBdr>
            <w:top w:val="none" w:sz="0" w:space="0" w:color="auto"/>
            <w:left w:val="none" w:sz="0" w:space="0" w:color="auto"/>
            <w:bottom w:val="none" w:sz="0" w:space="0" w:color="auto"/>
            <w:right w:val="none" w:sz="0" w:space="0" w:color="auto"/>
          </w:divBdr>
        </w:div>
        <w:div w:id="657879441">
          <w:marLeft w:val="480"/>
          <w:marRight w:val="0"/>
          <w:marTop w:val="0"/>
          <w:marBottom w:val="0"/>
          <w:divBdr>
            <w:top w:val="none" w:sz="0" w:space="0" w:color="auto"/>
            <w:left w:val="none" w:sz="0" w:space="0" w:color="auto"/>
            <w:bottom w:val="none" w:sz="0" w:space="0" w:color="auto"/>
            <w:right w:val="none" w:sz="0" w:space="0" w:color="auto"/>
          </w:divBdr>
        </w:div>
        <w:div w:id="1135758272">
          <w:marLeft w:val="480"/>
          <w:marRight w:val="0"/>
          <w:marTop w:val="0"/>
          <w:marBottom w:val="0"/>
          <w:divBdr>
            <w:top w:val="none" w:sz="0" w:space="0" w:color="auto"/>
            <w:left w:val="none" w:sz="0" w:space="0" w:color="auto"/>
            <w:bottom w:val="none" w:sz="0" w:space="0" w:color="auto"/>
            <w:right w:val="none" w:sz="0" w:space="0" w:color="auto"/>
          </w:divBdr>
        </w:div>
        <w:div w:id="929508087">
          <w:marLeft w:val="480"/>
          <w:marRight w:val="0"/>
          <w:marTop w:val="0"/>
          <w:marBottom w:val="0"/>
          <w:divBdr>
            <w:top w:val="none" w:sz="0" w:space="0" w:color="auto"/>
            <w:left w:val="none" w:sz="0" w:space="0" w:color="auto"/>
            <w:bottom w:val="none" w:sz="0" w:space="0" w:color="auto"/>
            <w:right w:val="none" w:sz="0" w:space="0" w:color="auto"/>
          </w:divBdr>
        </w:div>
        <w:div w:id="1360929589">
          <w:marLeft w:val="480"/>
          <w:marRight w:val="0"/>
          <w:marTop w:val="0"/>
          <w:marBottom w:val="0"/>
          <w:divBdr>
            <w:top w:val="none" w:sz="0" w:space="0" w:color="auto"/>
            <w:left w:val="none" w:sz="0" w:space="0" w:color="auto"/>
            <w:bottom w:val="none" w:sz="0" w:space="0" w:color="auto"/>
            <w:right w:val="none" w:sz="0" w:space="0" w:color="auto"/>
          </w:divBdr>
        </w:div>
        <w:div w:id="1093283582">
          <w:marLeft w:val="480"/>
          <w:marRight w:val="0"/>
          <w:marTop w:val="0"/>
          <w:marBottom w:val="0"/>
          <w:divBdr>
            <w:top w:val="none" w:sz="0" w:space="0" w:color="auto"/>
            <w:left w:val="none" w:sz="0" w:space="0" w:color="auto"/>
            <w:bottom w:val="none" w:sz="0" w:space="0" w:color="auto"/>
            <w:right w:val="none" w:sz="0" w:space="0" w:color="auto"/>
          </w:divBdr>
        </w:div>
        <w:div w:id="27949689">
          <w:marLeft w:val="480"/>
          <w:marRight w:val="0"/>
          <w:marTop w:val="0"/>
          <w:marBottom w:val="0"/>
          <w:divBdr>
            <w:top w:val="none" w:sz="0" w:space="0" w:color="auto"/>
            <w:left w:val="none" w:sz="0" w:space="0" w:color="auto"/>
            <w:bottom w:val="none" w:sz="0" w:space="0" w:color="auto"/>
            <w:right w:val="none" w:sz="0" w:space="0" w:color="auto"/>
          </w:divBdr>
        </w:div>
        <w:div w:id="2115783809">
          <w:marLeft w:val="480"/>
          <w:marRight w:val="0"/>
          <w:marTop w:val="0"/>
          <w:marBottom w:val="0"/>
          <w:divBdr>
            <w:top w:val="none" w:sz="0" w:space="0" w:color="auto"/>
            <w:left w:val="none" w:sz="0" w:space="0" w:color="auto"/>
            <w:bottom w:val="none" w:sz="0" w:space="0" w:color="auto"/>
            <w:right w:val="none" w:sz="0" w:space="0" w:color="auto"/>
          </w:divBdr>
        </w:div>
        <w:div w:id="1716346787">
          <w:marLeft w:val="480"/>
          <w:marRight w:val="0"/>
          <w:marTop w:val="0"/>
          <w:marBottom w:val="0"/>
          <w:divBdr>
            <w:top w:val="none" w:sz="0" w:space="0" w:color="auto"/>
            <w:left w:val="none" w:sz="0" w:space="0" w:color="auto"/>
            <w:bottom w:val="none" w:sz="0" w:space="0" w:color="auto"/>
            <w:right w:val="none" w:sz="0" w:space="0" w:color="auto"/>
          </w:divBdr>
        </w:div>
        <w:div w:id="1704555244">
          <w:marLeft w:val="480"/>
          <w:marRight w:val="0"/>
          <w:marTop w:val="0"/>
          <w:marBottom w:val="0"/>
          <w:divBdr>
            <w:top w:val="none" w:sz="0" w:space="0" w:color="auto"/>
            <w:left w:val="none" w:sz="0" w:space="0" w:color="auto"/>
            <w:bottom w:val="none" w:sz="0" w:space="0" w:color="auto"/>
            <w:right w:val="none" w:sz="0" w:space="0" w:color="auto"/>
          </w:divBdr>
        </w:div>
        <w:div w:id="1424256237">
          <w:marLeft w:val="480"/>
          <w:marRight w:val="0"/>
          <w:marTop w:val="0"/>
          <w:marBottom w:val="0"/>
          <w:divBdr>
            <w:top w:val="none" w:sz="0" w:space="0" w:color="auto"/>
            <w:left w:val="none" w:sz="0" w:space="0" w:color="auto"/>
            <w:bottom w:val="none" w:sz="0" w:space="0" w:color="auto"/>
            <w:right w:val="none" w:sz="0" w:space="0" w:color="auto"/>
          </w:divBdr>
        </w:div>
        <w:div w:id="732198706">
          <w:marLeft w:val="480"/>
          <w:marRight w:val="0"/>
          <w:marTop w:val="0"/>
          <w:marBottom w:val="0"/>
          <w:divBdr>
            <w:top w:val="none" w:sz="0" w:space="0" w:color="auto"/>
            <w:left w:val="none" w:sz="0" w:space="0" w:color="auto"/>
            <w:bottom w:val="none" w:sz="0" w:space="0" w:color="auto"/>
            <w:right w:val="none" w:sz="0" w:space="0" w:color="auto"/>
          </w:divBdr>
        </w:div>
        <w:div w:id="1883248938">
          <w:marLeft w:val="480"/>
          <w:marRight w:val="0"/>
          <w:marTop w:val="0"/>
          <w:marBottom w:val="0"/>
          <w:divBdr>
            <w:top w:val="none" w:sz="0" w:space="0" w:color="auto"/>
            <w:left w:val="none" w:sz="0" w:space="0" w:color="auto"/>
            <w:bottom w:val="none" w:sz="0" w:space="0" w:color="auto"/>
            <w:right w:val="none" w:sz="0" w:space="0" w:color="auto"/>
          </w:divBdr>
        </w:div>
        <w:div w:id="1825852846">
          <w:marLeft w:val="480"/>
          <w:marRight w:val="0"/>
          <w:marTop w:val="0"/>
          <w:marBottom w:val="0"/>
          <w:divBdr>
            <w:top w:val="none" w:sz="0" w:space="0" w:color="auto"/>
            <w:left w:val="none" w:sz="0" w:space="0" w:color="auto"/>
            <w:bottom w:val="none" w:sz="0" w:space="0" w:color="auto"/>
            <w:right w:val="none" w:sz="0" w:space="0" w:color="auto"/>
          </w:divBdr>
        </w:div>
        <w:div w:id="58524193">
          <w:marLeft w:val="480"/>
          <w:marRight w:val="0"/>
          <w:marTop w:val="0"/>
          <w:marBottom w:val="0"/>
          <w:divBdr>
            <w:top w:val="none" w:sz="0" w:space="0" w:color="auto"/>
            <w:left w:val="none" w:sz="0" w:space="0" w:color="auto"/>
            <w:bottom w:val="none" w:sz="0" w:space="0" w:color="auto"/>
            <w:right w:val="none" w:sz="0" w:space="0" w:color="auto"/>
          </w:divBdr>
        </w:div>
        <w:div w:id="151261414">
          <w:marLeft w:val="480"/>
          <w:marRight w:val="0"/>
          <w:marTop w:val="0"/>
          <w:marBottom w:val="0"/>
          <w:divBdr>
            <w:top w:val="none" w:sz="0" w:space="0" w:color="auto"/>
            <w:left w:val="none" w:sz="0" w:space="0" w:color="auto"/>
            <w:bottom w:val="none" w:sz="0" w:space="0" w:color="auto"/>
            <w:right w:val="none" w:sz="0" w:space="0" w:color="auto"/>
          </w:divBdr>
        </w:div>
        <w:div w:id="1467626942">
          <w:marLeft w:val="480"/>
          <w:marRight w:val="0"/>
          <w:marTop w:val="0"/>
          <w:marBottom w:val="0"/>
          <w:divBdr>
            <w:top w:val="none" w:sz="0" w:space="0" w:color="auto"/>
            <w:left w:val="none" w:sz="0" w:space="0" w:color="auto"/>
            <w:bottom w:val="none" w:sz="0" w:space="0" w:color="auto"/>
            <w:right w:val="none" w:sz="0" w:space="0" w:color="auto"/>
          </w:divBdr>
        </w:div>
        <w:div w:id="775054601">
          <w:marLeft w:val="480"/>
          <w:marRight w:val="0"/>
          <w:marTop w:val="0"/>
          <w:marBottom w:val="0"/>
          <w:divBdr>
            <w:top w:val="none" w:sz="0" w:space="0" w:color="auto"/>
            <w:left w:val="none" w:sz="0" w:space="0" w:color="auto"/>
            <w:bottom w:val="none" w:sz="0" w:space="0" w:color="auto"/>
            <w:right w:val="none" w:sz="0" w:space="0" w:color="auto"/>
          </w:divBdr>
        </w:div>
        <w:div w:id="503590489">
          <w:marLeft w:val="480"/>
          <w:marRight w:val="0"/>
          <w:marTop w:val="0"/>
          <w:marBottom w:val="0"/>
          <w:divBdr>
            <w:top w:val="none" w:sz="0" w:space="0" w:color="auto"/>
            <w:left w:val="none" w:sz="0" w:space="0" w:color="auto"/>
            <w:bottom w:val="none" w:sz="0" w:space="0" w:color="auto"/>
            <w:right w:val="none" w:sz="0" w:space="0" w:color="auto"/>
          </w:divBdr>
        </w:div>
        <w:div w:id="534781145">
          <w:marLeft w:val="480"/>
          <w:marRight w:val="0"/>
          <w:marTop w:val="0"/>
          <w:marBottom w:val="0"/>
          <w:divBdr>
            <w:top w:val="none" w:sz="0" w:space="0" w:color="auto"/>
            <w:left w:val="none" w:sz="0" w:space="0" w:color="auto"/>
            <w:bottom w:val="none" w:sz="0" w:space="0" w:color="auto"/>
            <w:right w:val="none" w:sz="0" w:space="0" w:color="auto"/>
          </w:divBdr>
        </w:div>
        <w:div w:id="1031536668">
          <w:marLeft w:val="480"/>
          <w:marRight w:val="0"/>
          <w:marTop w:val="0"/>
          <w:marBottom w:val="0"/>
          <w:divBdr>
            <w:top w:val="none" w:sz="0" w:space="0" w:color="auto"/>
            <w:left w:val="none" w:sz="0" w:space="0" w:color="auto"/>
            <w:bottom w:val="none" w:sz="0" w:space="0" w:color="auto"/>
            <w:right w:val="none" w:sz="0" w:space="0" w:color="auto"/>
          </w:divBdr>
        </w:div>
        <w:div w:id="1917780963">
          <w:marLeft w:val="480"/>
          <w:marRight w:val="0"/>
          <w:marTop w:val="0"/>
          <w:marBottom w:val="0"/>
          <w:divBdr>
            <w:top w:val="none" w:sz="0" w:space="0" w:color="auto"/>
            <w:left w:val="none" w:sz="0" w:space="0" w:color="auto"/>
            <w:bottom w:val="none" w:sz="0" w:space="0" w:color="auto"/>
            <w:right w:val="none" w:sz="0" w:space="0" w:color="auto"/>
          </w:divBdr>
        </w:div>
        <w:div w:id="1973436543">
          <w:marLeft w:val="480"/>
          <w:marRight w:val="0"/>
          <w:marTop w:val="0"/>
          <w:marBottom w:val="0"/>
          <w:divBdr>
            <w:top w:val="none" w:sz="0" w:space="0" w:color="auto"/>
            <w:left w:val="none" w:sz="0" w:space="0" w:color="auto"/>
            <w:bottom w:val="none" w:sz="0" w:space="0" w:color="auto"/>
            <w:right w:val="none" w:sz="0" w:space="0" w:color="auto"/>
          </w:divBdr>
        </w:div>
        <w:div w:id="457258021">
          <w:marLeft w:val="480"/>
          <w:marRight w:val="0"/>
          <w:marTop w:val="0"/>
          <w:marBottom w:val="0"/>
          <w:divBdr>
            <w:top w:val="none" w:sz="0" w:space="0" w:color="auto"/>
            <w:left w:val="none" w:sz="0" w:space="0" w:color="auto"/>
            <w:bottom w:val="none" w:sz="0" w:space="0" w:color="auto"/>
            <w:right w:val="none" w:sz="0" w:space="0" w:color="auto"/>
          </w:divBdr>
        </w:div>
        <w:div w:id="1060009635">
          <w:marLeft w:val="480"/>
          <w:marRight w:val="0"/>
          <w:marTop w:val="0"/>
          <w:marBottom w:val="0"/>
          <w:divBdr>
            <w:top w:val="none" w:sz="0" w:space="0" w:color="auto"/>
            <w:left w:val="none" w:sz="0" w:space="0" w:color="auto"/>
            <w:bottom w:val="none" w:sz="0" w:space="0" w:color="auto"/>
            <w:right w:val="none" w:sz="0" w:space="0" w:color="auto"/>
          </w:divBdr>
        </w:div>
        <w:div w:id="1000039677">
          <w:marLeft w:val="480"/>
          <w:marRight w:val="0"/>
          <w:marTop w:val="0"/>
          <w:marBottom w:val="0"/>
          <w:divBdr>
            <w:top w:val="none" w:sz="0" w:space="0" w:color="auto"/>
            <w:left w:val="none" w:sz="0" w:space="0" w:color="auto"/>
            <w:bottom w:val="none" w:sz="0" w:space="0" w:color="auto"/>
            <w:right w:val="none" w:sz="0" w:space="0" w:color="auto"/>
          </w:divBdr>
        </w:div>
        <w:div w:id="185289509">
          <w:marLeft w:val="480"/>
          <w:marRight w:val="0"/>
          <w:marTop w:val="0"/>
          <w:marBottom w:val="0"/>
          <w:divBdr>
            <w:top w:val="none" w:sz="0" w:space="0" w:color="auto"/>
            <w:left w:val="none" w:sz="0" w:space="0" w:color="auto"/>
            <w:bottom w:val="none" w:sz="0" w:space="0" w:color="auto"/>
            <w:right w:val="none" w:sz="0" w:space="0" w:color="auto"/>
          </w:divBdr>
        </w:div>
        <w:div w:id="47537959">
          <w:marLeft w:val="480"/>
          <w:marRight w:val="0"/>
          <w:marTop w:val="0"/>
          <w:marBottom w:val="0"/>
          <w:divBdr>
            <w:top w:val="none" w:sz="0" w:space="0" w:color="auto"/>
            <w:left w:val="none" w:sz="0" w:space="0" w:color="auto"/>
            <w:bottom w:val="none" w:sz="0" w:space="0" w:color="auto"/>
            <w:right w:val="none" w:sz="0" w:space="0" w:color="auto"/>
          </w:divBdr>
        </w:div>
        <w:div w:id="1457286529">
          <w:marLeft w:val="480"/>
          <w:marRight w:val="0"/>
          <w:marTop w:val="0"/>
          <w:marBottom w:val="0"/>
          <w:divBdr>
            <w:top w:val="none" w:sz="0" w:space="0" w:color="auto"/>
            <w:left w:val="none" w:sz="0" w:space="0" w:color="auto"/>
            <w:bottom w:val="none" w:sz="0" w:space="0" w:color="auto"/>
            <w:right w:val="none" w:sz="0" w:space="0" w:color="auto"/>
          </w:divBdr>
        </w:div>
        <w:div w:id="2110195962">
          <w:marLeft w:val="480"/>
          <w:marRight w:val="0"/>
          <w:marTop w:val="0"/>
          <w:marBottom w:val="0"/>
          <w:divBdr>
            <w:top w:val="none" w:sz="0" w:space="0" w:color="auto"/>
            <w:left w:val="none" w:sz="0" w:space="0" w:color="auto"/>
            <w:bottom w:val="none" w:sz="0" w:space="0" w:color="auto"/>
            <w:right w:val="none" w:sz="0" w:space="0" w:color="auto"/>
          </w:divBdr>
        </w:div>
        <w:div w:id="635993828">
          <w:marLeft w:val="480"/>
          <w:marRight w:val="0"/>
          <w:marTop w:val="0"/>
          <w:marBottom w:val="0"/>
          <w:divBdr>
            <w:top w:val="none" w:sz="0" w:space="0" w:color="auto"/>
            <w:left w:val="none" w:sz="0" w:space="0" w:color="auto"/>
            <w:bottom w:val="none" w:sz="0" w:space="0" w:color="auto"/>
            <w:right w:val="none" w:sz="0" w:space="0" w:color="auto"/>
          </w:divBdr>
        </w:div>
        <w:div w:id="1489206979">
          <w:marLeft w:val="480"/>
          <w:marRight w:val="0"/>
          <w:marTop w:val="0"/>
          <w:marBottom w:val="0"/>
          <w:divBdr>
            <w:top w:val="none" w:sz="0" w:space="0" w:color="auto"/>
            <w:left w:val="none" w:sz="0" w:space="0" w:color="auto"/>
            <w:bottom w:val="none" w:sz="0" w:space="0" w:color="auto"/>
            <w:right w:val="none" w:sz="0" w:space="0" w:color="auto"/>
          </w:divBdr>
        </w:div>
        <w:div w:id="1201357917">
          <w:marLeft w:val="480"/>
          <w:marRight w:val="0"/>
          <w:marTop w:val="0"/>
          <w:marBottom w:val="0"/>
          <w:divBdr>
            <w:top w:val="none" w:sz="0" w:space="0" w:color="auto"/>
            <w:left w:val="none" w:sz="0" w:space="0" w:color="auto"/>
            <w:bottom w:val="none" w:sz="0" w:space="0" w:color="auto"/>
            <w:right w:val="none" w:sz="0" w:space="0" w:color="auto"/>
          </w:divBdr>
        </w:div>
        <w:div w:id="656879442">
          <w:marLeft w:val="480"/>
          <w:marRight w:val="0"/>
          <w:marTop w:val="0"/>
          <w:marBottom w:val="0"/>
          <w:divBdr>
            <w:top w:val="none" w:sz="0" w:space="0" w:color="auto"/>
            <w:left w:val="none" w:sz="0" w:space="0" w:color="auto"/>
            <w:bottom w:val="none" w:sz="0" w:space="0" w:color="auto"/>
            <w:right w:val="none" w:sz="0" w:space="0" w:color="auto"/>
          </w:divBdr>
        </w:div>
        <w:div w:id="101145384">
          <w:marLeft w:val="480"/>
          <w:marRight w:val="0"/>
          <w:marTop w:val="0"/>
          <w:marBottom w:val="0"/>
          <w:divBdr>
            <w:top w:val="none" w:sz="0" w:space="0" w:color="auto"/>
            <w:left w:val="none" w:sz="0" w:space="0" w:color="auto"/>
            <w:bottom w:val="none" w:sz="0" w:space="0" w:color="auto"/>
            <w:right w:val="none" w:sz="0" w:space="0" w:color="auto"/>
          </w:divBdr>
        </w:div>
        <w:div w:id="1091854074">
          <w:marLeft w:val="480"/>
          <w:marRight w:val="0"/>
          <w:marTop w:val="0"/>
          <w:marBottom w:val="0"/>
          <w:divBdr>
            <w:top w:val="none" w:sz="0" w:space="0" w:color="auto"/>
            <w:left w:val="none" w:sz="0" w:space="0" w:color="auto"/>
            <w:bottom w:val="none" w:sz="0" w:space="0" w:color="auto"/>
            <w:right w:val="none" w:sz="0" w:space="0" w:color="auto"/>
          </w:divBdr>
        </w:div>
        <w:div w:id="1344209445">
          <w:marLeft w:val="480"/>
          <w:marRight w:val="0"/>
          <w:marTop w:val="0"/>
          <w:marBottom w:val="0"/>
          <w:divBdr>
            <w:top w:val="none" w:sz="0" w:space="0" w:color="auto"/>
            <w:left w:val="none" w:sz="0" w:space="0" w:color="auto"/>
            <w:bottom w:val="none" w:sz="0" w:space="0" w:color="auto"/>
            <w:right w:val="none" w:sz="0" w:space="0" w:color="auto"/>
          </w:divBdr>
        </w:div>
        <w:div w:id="143203416">
          <w:marLeft w:val="480"/>
          <w:marRight w:val="0"/>
          <w:marTop w:val="0"/>
          <w:marBottom w:val="0"/>
          <w:divBdr>
            <w:top w:val="none" w:sz="0" w:space="0" w:color="auto"/>
            <w:left w:val="none" w:sz="0" w:space="0" w:color="auto"/>
            <w:bottom w:val="none" w:sz="0" w:space="0" w:color="auto"/>
            <w:right w:val="none" w:sz="0" w:space="0" w:color="auto"/>
          </w:divBdr>
        </w:div>
        <w:div w:id="1259870398">
          <w:marLeft w:val="480"/>
          <w:marRight w:val="0"/>
          <w:marTop w:val="0"/>
          <w:marBottom w:val="0"/>
          <w:divBdr>
            <w:top w:val="none" w:sz="0" w:space="0" w:color="auto"/>
            <w:left w:val="none" w:sz="0" w:space="0" w:color="auto"/>
            <w:bottom w:val="none" w:sz="0" w:space="0" w:color="auto"/>
            <w:right w:val="none" w:sz="0" w:space="0" w:color="auto"/>
          </w:divBdr>
        </w:div>
        <w:div w:id="1071124206">
          <w:marLeft w:val="480"/>
          <w:marRight w:val="0"/>
          <w:marTop w:val="0"/>
          <w:marBottom w:val="0"/>
          <w:divBdr>
            <w:top w:val="none" w:sz="0" w:space="0" w:color="auto"/>
            <w:left w:val="none" w:sz="0" w:space="0" w:color="auto"/>
            <w:bottom w:val="none" w:sz="0" w:space="0" w:color="auto"/>
            <w:right w:val="none" w:sz="0" w:space="0" w:color="auto"/>
          </w:divBdr>
        </w:div>
      </w:divsChild>
    </w:div>
    <w:div w:id="2096706506">
      <w:bodyDiv w:val="1"/>
      <w:marLeft w:val="0"/>
      <w:marRight w:val="0"/>
      <w:marTop w:val="0"/>
      <w:marBottom w:val="0"/>
      <w:divBdr>
        <w:top w:val="none" w:sz="0" w:space="0" w:color="auto"/>
        <w:left w:val="none" w:sz="0" w:space="0" w:color="auto"/>
        <w:bottom w:val="none" w:sz="0" w:space="0" w:color="auto"/>
        <w:right w:val="none" w:sz="0" w:space="0" w:color="auto"/>
      </w:divBdr>
    </w:div>
    <w:div w:id="2096707682">
      <w:bodyDiv w:val="1"/>
      <w:marLeft w:val="0"/>
      <w:marRight w:val="0"/>
      <w:marTop w:val="0"/>
      <w:marBottom w:val="0"/>
      <w:divBdr>
        <w:top w:val="none" w:sz="0" w:space="0" w:color="auto"/>
        <w:left w:val="none" w:sz="0" w:space="0" w:color="auto"/>
        <w:bottom w:val="none" w:sz="0" w:space="0" w:color="auto"/>
        <w:right w:val="none" w:sz="0" w:space="0" w:color="auto"/>
      </w:divBdr>
    </w:div>
    <w:div w:id="2096824872">
      <w:bodyDiv w:val="1"/>
      <w:marLeft w:val="0"/>
      <w:marRight w:val="0"/>
      <w:marTop w:val="0"/>
      <w:marBottom w:val="0"/>
      <w:divBdr>
        <w:top w:val="none" w:sz="0" w:space="0" w:color="auto"/>
        <w:left w:val="none" w:sz="0" w:space="0" w:color="auto"/>
        <w:bottom w:val="none" w:sz="0" w:space="0" w:color="auto"/>
        <w:right w:val="none" w:sz="0" w:space="0" w:color="auto"/>
      </w:divBdr>
    </w:div>
    <w:div w:id="2097440131">
      <w:bodyDiv w:val="1"/>
      <w:marLeft w:val="0"/>
      <w:marRight w:val="0"/>
      <w:marTop w:val="0"/>
      <w:marBottom w:val="0"/>
      <w:divBdr>
        <w:top w:val="none" w:sz="0" w:space="0" w:color="auto"/>
        <w:left w:val="none" w:sz="0" w:space="0" w:color="auto"/>
        <w:bottom w:val="none" w:sz="0" w:space="0" w:color="auto"/>
        <w:right w:val="none" w:sz="0" w:space="0" w:color="auto"/>
      </w:divBdr>
    </w:div>
    <w:div w:id="2097482796">
      <w:bodyDiv w:val="1"/>
      <w:marLeft w:val="0"/>
      <w:marRight w:val="0"/>
      <w:marTop w:val="0"/>
      <w:marBottom w:val="0"/>
      <w:divBdr>
        <w:top w:val="none" w:sz="0" w:space="0" w:color="auto"/>
        <w:left w:val="none" w:sz="0" w:space="0" w:color="auto"/>
        <w:bottom w:val="none" w:sz="0" w:space="0" w:color="auto"/>
        <w:right w:val="none" w:sz="0" w:space="0" w:color="auto"/>
      </w:divBdr>
    </w:div>
    <w:div w:id="2098283040">
      <w:bodyDiv w:val="1"/>
      <w:marLeft w:val="0"/>
      <w:marRight w:val="0"/>
      <w:marTop w:val="0"/>
      <w:marBottom w:val="0"/>
      <w:divBdr>
        <w:top w:val="none" w:sz="0" w:space="0" w:color="auto"/>
        <w:left w:val="none" w:sz="0" w:space="0" w:color="auto"/>
        <w:bottom w:val="none" w:sz="0" w:space="0" w:color="auto"/>
        <w:right w:val="none" w:sz="0" w:space="0" w:color="auto"/>
      </w:divBdr>
    </w:div>
    <w:div w:id="2100592460">
      <w:bodyDiv w:val="1"/>
      <w:marLeft w:val="0"/>
      <w:marRight w:val="0"/>
      <w:marTop w:val="0"/>
      <w:marBottom w:val="0"/>
      <w:divBdr>
        <w:top w:val="none" w:sz="0" w:space="0" w:color="auto"/>
        <w:left w:val="none" w:sz="0" w:space="0" w:color="auto"/>
        <w:bottom w:val="none" w:sz="0" w:space="0" w:color="auto"/>
        <w:right w:val="none" w:sz="0" w:space="0" w:color="auto"/>
      </w:divBdr>
    </w:div>
    <w:div w:id="2101368254">
      <w:bodyDiv w:val="1"/>
      <w:marLeft w:val="0"/>
      <w:marRight w:val="0"/>
      <w:marTop w:val="0"/>
      <w:marBottom w:val="0"/>
      <w:divBdr>
        <w:top w:val="none" w:sz="0" w:space="0" w:color="auto"/>
        <w:left w:val="none" w:sz="0" w:space="0" w:color="auto"/>
        <w:bottom w:val="none" w:sz="0" w:space="0" w:color="auto"/>
        <w:right w:val="none" w:sz="0" w:space="0" w:color="auto"/>
      </w:divBdr>
    </w:div>
    <w:div w:id="2101757858">
      <w:bodyDiv w:val="1"/>
      <w:marLeft w:val="0"/>
      <w:marRight w:val="0"/>
      <w:marTop w:val="0"/>
      <w:marBottom w:val="0"/>
      <w:divBdr>
        <w:top w:val="none" w:sz="0" w:space="0" w:color="auto"/>
        <w:left w:val="none" w:sz="0" w:space="0" w:color="auto"/>
        <w:bottom w:val="none" w:sz="0" w:space="0" w:color="auto"/>
        <w:right w:val="none" w:sz="0" w:space="0" w:color="auto"/>
      </w:divBdr>
    </w:div>
    <w:div w:id="2101832750">
      <w:bodyDiv w:val="1"/>
      <w:marLeft w:val="0"/>
      <w:marRight w:val="0"/>
      <w:marTop w:val="0"/>
      <w:marBottom w:val="0"/>
      <w:divBdr>
        <w:top w:val="none" w:sz="0" w:space="0" w:color="auto"/>
        <w:left w:val="none" w:sz="0" w:space="0" w:color="auto"/>
        <w:bottom w:val="none" w:sz="0" w:space="0" w:color="auto"/>
        <w:right w:val="none" w:sz="0" w:space="0" w:color="auto"/>
      </w:divBdr>
    </w:div>
    <w:div w:id="2102096882">
      <w:bodyDiv w:val="1"/>
      <w:marLeft w:val="0"/>
      <w:marRight w:val="0"/>
      <w:marTop w:val="0"/>
      <w:marBottom w:val="0"/>
      <w:divBdr>
        <w:top w:val="none" w:sz="0" w:space="0" w:color="auto"/>
        <w:left w:val="none" w:sz="0" w:space="0" w:color="auto"/>
        <w:bottom w:val="none" w:sz="0" w:space="0" w:color="auto"/>
        <w:right w:val="none" w:sz="0" w:space="0" w:color="auto"/>
      </w:divBdr>
    </w:div>
    <w:div w:id="2102867705">
      <w:bodyDiv w:val="1"/>
      <w:marLeft w:val="0"/>
      <w:marRight w:val="0"/>
      <w:marTop w:val="0"/>
      <w:marBottom w:val="0"/>
      <w:divBdr>
        <w:top w:val="none" w:sz="0" w:space="0" w:color="auto"/>
        <w:left w:val="none" w:sz="0" w:space="0" w:color="auto"/>
        <w:bottom w:val="none" w:sz="0" w:space="0" w:color="auto"/>
        <w:right w:val="none" w:sz="0" w:space="0" w:color="auto"/>
      </w:divBdr>
    </w:div>
    <w:div w:id="2102945238">
      <w:bodyDiv w:val="1"/>
      <w:marLeft w:val="0"/>
      <w:marRight w:val="0"/>
      <w:marTop w:val="0"/>
      <w:marBottom w:val="0"/>
      <w:divBdr>
        <w:top w:val="none" w:sz="0" w:space="0" w:color="auto"/>
        <w:left w:val="none" w:sz="0" w:space="0" w:color="auto"/>
        <w:bottom w:val="none" w:sz="0" w:space="0" w:color="auto"/>
        <w:right w:val="none" w:sz="0" w:space="0" w:color="auto"/>
      </w:divBdr>
    </w:div>
    <w:div w:id="2103378457">
      <w:bodyDiv w:val="1"/>
      <w:marLeft w:val="0"/>
      <w:marRight w:val="0"/>
      <w:marTop w:val="0"/>
      <w:marBottom w:val="0"/>
      <w:divBdr>
        <w:top w:val="none" w:sz="0" w:space="0" w:color="auto"/>
        <w:left w:val="none" w:sz="0" w:space="0" w:color="auto"/>
        <w:bottom w:val="none" w:sz="0" w:space="0" w:color="auto"/>
        <w:right w:val="none" w:sz="0" w:space="0" w:color="auto"/>
      </w:divBdr>
    </w:div>
    <w:div w:id="2103456430">
      <w:bodyDiv w:val="1"/>
      <w:marLeft w:val="0"/>
      <w:marRight w:val="0"/>
      <w:marTop w:val="0"/>
      <w:marBottom w:val="0"/>
      <w:divBdr>
        <w:top w:val="none" w:sz="0" w:space="0" w:color="auto"/>
        <w:left w:val="none" w:sz="0" w:space="0" w:color="auto"/>
        <w:bottom w:val="none" w:sz="0" w:space="0" w:color="auto"/>
        <w:right w:val="none" w:sz="0" w:space="0" w:color="auto"/>
      </w:divBdr>
    </w:div>
    <w:div w:id="2103840432">
      <w:bodyDiv w:val="1"/>
      <w:marLeft w:val="0"/>
      <w:marRight w:val="0"/>
      <w:marTop w:val="0"/>
      <w:marBottom w:val="0"/>
      <w:divBdr>
        <w:top w:val="none" w:sz="0" w:space="0" w:color="auto"/>
        <w:left w:val="none" w:sz="0" w:space="0" w:color="auto"/>
        <w:bottom w:val="none" w:sz="0" w:space="0" w:color="auto"/>
        <w:right w:val="none" w:sz="0" w:space="0" w:color="auto"/>
      </w:divBdr>
    </w:div>
    <w:div w:id="2106001772">
      <w:bodyDiv w:val="1"/>
      <w:marLeft w:val="0"/>
      <w:marRight w:val="0"/>
      <w:marTop w:val="0"/>
      <w:marBottom w:val="0"/>
      <w:divBdr>
        <w:top w:val="none" w:sz="0" w:space="0" w:color="auto"/>
        <w:left w:val="none" w:sz="0" w:space="0" w:color="auto"/>
        <w:bottom w:val="none" w:sz="0" w:space="0" w:color="auto"/>
        <w:right w:val="none" w:sz="0" w:space="0" w:color="auto"/>
      </w:divBdr>
    </w:div>
    <w:div w:id="2106149300">
      <w:bodyDiv w:val="1"/>
      <w:marLeft w:val="0"/>
      <w:marRight w:val="0"/>
      <w:marTop w:val="0"/>
      <w:marBottom w:val="0"/>
      <w:divBdr>
        <w:top w:val="none" w:sz="0" w:space="0" w:color="auto"/>
        <w:left w:val="none" w:sz="0" w:space="0" w:color="auto"/>
        <w:bottom w:val="none" w:sz="0" w:space="0" w:color="auto"/>
        <w:right w:val="none" w:sz="0" w:space="0" w:color="auto"/>
      </w:divBdr>
    </w:div>
    <w:div w:id="2106609988">
      <w:bodyDiv w:val="1"/>
      <w:marLeft w:val="0"/>
      <w:marRight w:val="0"/>
      <w:marTop w:val="0"/>
      <w:marBottom w:val="0"/>
      <w:divBdr>
        <w:top w:val="none" w:sz="0" w:space="0" w:color="auto"/>
        <w:left w:val="none" w:sz="0" w:space="0" w:color="auto"/>
        <w:bottom w:val="none" w:sz="0" w:space="0" w:color="auto"/>
        <w:right w:val="none" w:sz="0" w:space="0" w:color="auto"/>
      </w:divBdr>
    </w:div>
    <w:div w:id="2106802238">
      <w:bodyDiv w:val="1"/>
      <w:marLeft w:val="0"/>
      <w:marRight w:val="0"/>
      <w:marTop w:val="0"/>
      <w:marBottom w:val="0"/>
      <w:divBdr>
        <w:top w:val="none" w:sz="0" w:space="0" w:color="auto"/>
        <w:left w:val="none" w:sz="0" w:space="0" w:color="auto"/>
        <w:bottom w:val="none" w:sz="0" w:space="0" w:color="auto"/>
        <w:right w:val="none" w:sz="0" w:space="0" w:color="auto"/>
      </w:divBdr>
    </w:div>
    <w:div w:id="2108112524">
      <w:bodyDiv w:val="1"/>
      <w:marLeft w:val="0"/>
      <w:marRight w:val="0"/>
      <w:marTop w:val="0"/>
      <w:marBottom w:val="0"/>
      <w:divBdr>
        <w:top w:val="none" w:sz="0" w:space="0" w:color="auto"/>
        <w:left w:val="none" w:sz="0" w:space="0" w:color="auto"/>
        <w:bottom w:val="none" w:sz="0" w:space="0" w:color="auto"/>
        <w:right w:val="none" w:sz="0" w:space="0" w:color="auto"/>
      </w:divBdr>
    </w:div>
    <w:div w:id="2108380537">
      <w:bodyDiv w:val="1"/>
      <w:marLeft w:val="0"/>
      <w:marRight w:val="0"/>
      <w:marTop w:val="0"/>
      <w:marBottom w:val="0"/>
      <w:divBdr>
        <w:top w:val="none" w:sz="0" w:space="0" w:color="auto"/>
        <w:left w:val="none" w:sz="0" w:space="0" w:color="auto"/>
        <w:bottom w:val="none" w:sz="0" w:space="0" w:color="auto"/>
        <w:right w:val="none" w:sz="0" w:space="0" w:color="auto"/>
      </w:divBdr>
    </w:div>
    <w:div w:id="2109545025">
      <w:bodyDiv w:val="1"/>
      <w:marLeft w:val="0"/>
      <w:marRight w:val="0"/>
      <w:marTop w:val="0"/>
      <w:marBottom w:val="0"/>
      <w:divBdr>
        <w:top w:val="none" w:sz="0" w:space="0" w:color="auto"/>
        <w:left w:val="none" w:sz="0" w:space="0" w:color="auto"/>
        <w:bottom w:val="none" w:sz="0" w:space="0" w:color="auto"/>
        <w:right w:val="none" w:sz="0" w:space="0" w:color="auto"/>
      </w:divBdr>
    </w:div>
    <w:div w:id="2109615180">
      <w:bodyDiv w:val="1"/>
      <w:marLeft w:val="0"/>
      <w:marRight w:val="0"/>
      <w:marTop w:val="0"/>
      <w:marBottom w:val="0"/>
      <w:divBdr>
        <w:top w:val="none" w:sz="0" w:space="0" w:color="auto"/>
        <w:left w:val="none" w:sz="0" w:space="0" w:color="auto"/>
        <w:bottom w:val="none" w:sz="0" w:space="0" w:color="auto"/>
        <w:right w:val="none" w:sz="0" w:space="0" w:color="auto"/>
      </w:divBdr>
    </w:div>
    <w:div w:id="2110277205">
      <w:bodyDiv w:val="1"/>
      <w:marLeft w:val="0"/>
      <w:marRight w:val="0"/>
      <w:marTop w:val="0"/>
      <w:marBottom w:val="0"/>
      <w:divBdr>
        <w:top w:val="none" w:sz="0" w:space="0" w:color="auto"/>
        <w:left w:val="none" w:sz="0" w:space="0" w:color="auto"/>
        <w:bottom w:val="none" w:sz="0" w:space="0" w:color="auto"/>
        <w:right w:val="none" w:sz="0" w:space="0" w:color="auto"/>
      </w:divBdr>
    </w:div>
    <w:div w:id="2110345932">
      <w:bodyDiv w:val="1"/>
      <w:marLeft w:val="0"/>
      <w:marRight w:val="0"/>
      <w:marTop w:val="0"/>
      <w:marBottom w:val="0"/>
      <w:divBdr>
        <w:top w:val="none" w:sz="0" w:space="0" w:color="auto"/>
        <w:left w:val="none" w:sz="0" w:space="0" w:color="auto"/>
        <w:bottom w:val="none" w:sz="0" w:space="0" w:color="auto"/>
        <w:right w:val="none" w:sz="0" w:space="0" w:color="auto"/>
      </w:divBdr>
    </w:div>
    <w:div w:id="2110462216">
      <w:bodyDiv w:val="1"/>
      <w:marLeft w:val="0"/>
      <w:marRight w:val="0"/>
      <w:marTop w:val="0"/>
      <w:marBottom w:val="0"/>
      <w:divBdr>
        <w:top w:val="none" w:sz="0" w:space="0" w:color="auto"/>
        <w:left w:val="none" w:sz="0" w:space="0" w:color="auto"/>
        <w:bottom w:val="none" w:sz="0" w:space="0" w:color="auto"/>
        <w:right w:val="none" w:sz="0" w:space="0" w:color="auto"/>
      </w:divBdr>
    </w:div>
    <w:div w:id="2110810642">
      <w:bodyDiv w:val="1"/>
      <w:marLeft w:val="0"/>
      <w:marRight w:val="0"/>
      <w:marTop w:val="0"/>
      <w:marBottom w:val="0"/>
      <w:divBdr>
        <w:top w:val="none" w:sz="0" w:space="0" w:color="auto"/>
        <w:left w:val="none" w:sz="0" w:space="0" w:color="auto"/>
        <w:bottom w:val="none" w:sz="0" w:space="0" w:color="auto"/>
        <w:right w:val="none" w:sz="0" w:space="0" w:color="auto"/>
      </w:divBdr>
    </w:div>
    <w:div w:id="2111194904">
      <w:bodyDiv w:val="1"/>
      <w:marLeft w:val="0"/>
      <w:marRight w:val="0"/>
      <w:marTop w:val="0"/>
      <w:marBottom w:val="0"/>
      <w:divBdr>
        <w:top w:val="none" w:sz="0" w:space="0" w:color="auto"/>
        <w:left w:val="none" w:sz="0" w:space="0" w:color="auto"/>
        <w:bottom w:val="none" w:sz="0" w:space="0" w:color="auto"/>
        <w:right w:val="none" w:sz="0" w:space="0" w:color="auto"/>
      </w:divBdr>
    </w:div>
    <w:div w:id="2111507085">
      <w:bodyDiv w:val="1"/>
      <w:marLeft w:val="0"/>
      <w:marRight w:val="0"/>
      <w:marTop w:val="0"/>
      <w:marBottom w:val="0"/>
      <w:divBdr>
        <w:top w:val="none" w:sz="0" w:space="0" w:color="auto"/>
        <w:left w:val="none" w:sz="0" w:space="0" w:color="auto"/>
        <w:bottom w:val="none" w:sz="0" w:space="0" w:color="auto"/>
        <w:right w:val="none" w:sz="0" w:space="0" w:color="auto"/>
      </w:divBdr>
    </w:div>
    <w:div w:id="2112243268">
      <w:bodyDiv w:val="1"/>
      <w:marLeft w:val="0"/>
      <w:marRight w:val="0"/>
      <w:marTop w:val="0"/>
      <w:marBottom w:val="0"/>
      <w:divBdr>
        <w:top w:val="none" w:sz="0" w:space="0" w:color="auto"/>
        <w:left w:val="none" w:sz="0" w:space="0" w:color="auto"/>
        <w:bottom w:val="none" w:sz="0" w:space="0" w:color="auto"/>
        <w:right w:val="none" w:sz="0" w:space="0" w:color="auto"/>
      </w:divBdr>
    </w:div>
    <w:div w:id="2113084310">
      <w:bodyDiv w:val="1"/>
      <w:marLeft w:val="0"/>
      <w:marRight w:val="0"/>
      <w:marTop w:val="0"/>
      <w:marBottom w:val="0"/>
      <w:divBdr>
        <w:top w:val="none" w:sz="0" w:space="0" w:color="auto"/>
        <w:left w:val="none" w:sz="0" w:space="0" w:color="auto"/>
        <w:bottom w:val="none" w:sz="0" w:space="0" w:color="auto"/>
        <w:right w:val="none" w:sz="0" w:space="0" w:color="auto"/>
      </w:divBdr>
    </w:div>
    <w:div w:id="2115126620">
      <w:bodyDiv w:val="1"/>
      <w:marLeft w:val="0"/>
      <w:marRight w:val="0"/>
      <w:marTop w:val="0"/>
      <w:marBottom w:val="0"/>
      <w:divBdr>
        <w:top w:val="none" w:sz="0" w:space="0" w:color="auto"/>
        <w:left w:val="none" w:sz="0" w:space="0" w:color="auto"/>
        <w:bottom w:val="none" w:sz="0" w:space="0" w:color="auto"/>
        <w:right w:val="none" w:sz="0" w:space="0" w:color="auto"/>
      </w:divBdr>
    </w:div>
    <w:div w:id="2115905364">
      <w:bodyDiv w:val="1"/>
      <w:marLeft w:val="0"/>
      <w:marRight w:val="0"/>
      <w:marTop w:val="0"/>
      <w:marBottom w:val="0"/>
      <w:divBdr>
        <w:top w:val="none" w:sz="0" w:space="0" w:color="auto"/>
        <w:left w:val="none" w:sz="0" w:space="0" w:color="auto"/>
        <w:bottom w:val="none" w:sz="0" w:space="0" w:color="auto"/>
        <w:right w:val="none" w:sz="0" w:space="0" w:color="auto"/>
      </w:divBdr>
    </w:div>
    <w:div w:id="2115973146">
      <w:bodyDiv w:val="1"/>
      <w:marLeft w:val="0"/>
      <w:marRight w:val="0"/>
      <w:marTop w:val="0"/>
      <w:marBottom w:val="0"/>
      <w:divBdr>
        <w:top w:val="none" w:sz="0" w:space="0" w:color="auto"/>
        <w:left w:val="none" w:sz="0" w:space="0" w:color="auto"/>
        <w:bottom w:val="none" w:sz="0" w:space="0" w:color="auto"/>
        <w:right w:val="none" w:sz="0" w:space="0" w:color="auto"/>
      </w:divBdr>
    </w:div>
    <w:div w:id="2117287277">
      <w:bodyDiv w:val="1"/>
      <w:marLeft w:val="0"/>
      <w:marRight w:val="0"/>
      <w:marTop w:val="0"/>
      <w:marBottom w:val="0"/>
      <w:divBdr>
        <w:top w:val="none" w:sz="0" w:space="0" w:color="auto"/>
        <w:left w:val="none" w:sz="0" w:space="0" w:color="auto"/>
        <w:bottom w:val="none" w:sz="0" w:space="0" w:color="auto"/>
        <w:right w:val="none" w:sz="0" w:space="0" w:color="auto"/>
      </w:divBdr>
    </w:div>
    <w:div w:id="2117555488">
      <w:bodyDiv w:val="1"/>
      <w:marLeft w:val="0"/>
      <w:marRight w:val="0"/>
      <w:marTop w:val="0"/>
      <w:marBottom w:val="0"/>
      <w:divBdr>
        <w:top w:val="none" w:sz="0" w:space="0" w:color="auto"/>
        <w:left w:val="none" w:sz="0" w:space="0" w:color="auto"/>
        <w:bottom w:val="none" w:sz="0" w:space="0" w:color="auto"/>
        <w:right w:val="none" w:sz="0" w:space="0" w:color="auto"/>
      </w:divBdr>
    </w:div>
    <w:div w:id="2117820439">
      <w:bodyDiv w:val="1"/>
      <w:marLeft w:val="0"/>
      <w:marRight w:val="0"/>
      <w:marTop w:val="0"/>
      <w:marBottom w:val="0"/>
      <w:divBdr>
        <w:top w:val="none" w:sz="0" w:space="0" w:color="auto"/>
        <w:left w:val="none" w:sz="0" w:space="0" w:color="auto"/>
        <w:bottom w:val="none" w:sz="0" w:space="0" w:color="auto"/>
        <w:right w:val="none" w:sz="0" w:space="0" w:color="auto"/>
      </w:divBdr>
    </w:div>
    <w:div w:id="2118982292">
      <w:bodyDiv w:val="1"/>
      <w:marLeft w:val="0"/>
      <w:marRight w:val="0"/>
      <w:marTop w:val="0"/>
      <w:marBottom w:val="0"/>
      <w:divBdr>
        <w:top w:val="none" w:sz="0" w:space="0" w:color="auto"/>
        <w:left w:val="none" w:sz="0" w:space="0" w:color="auto"/>
        <w:bottom w:val="none" w:sz="0" w:space="0" w:color="auto"/>
        <w:right w:val="none" w:sz="0" w:space="0" w:color="auto"/>
      </w:divBdr>
    </w:div>
    <w:div w:id="2120559805">
      <w:bodyDiv w:val="1"/>
      <w:marLeft w:val="0"/>
      <w:marRight w:val="0"/>
      <w:marTop w:val="0"/>
      <w:marBottom w:val="0"/>
      <w:divBdr>
        <w:top w:val="none" w:sz="0" w:space="0" w:color="auto"/>
        <w:left w:val="none" w:sz="0" w:space="0" w:color="auto"/>
        <w:bottom w:val="none" w:sz="0" w:space="0" w:color="auto"/>
        <w:right w:val="none" w:sz="0" w:space="0" w:color="auto"/>
      </w:divBdr>
    </w:div>
    <w:div w:id="2120683696">
      <w:bodyDiv w:val="1"/>
      <w:marLeft w:val="0"/>
      <w:marRight w:val="0"/>
      <w:marTop w:val="0"/>
      <w:marBottom w:val="0"/>
      <w:divBdr>
        <w:top w:val="none" w:sz="0" w:space="0" w:color="auto"/>
        <w:left w:val="none" w:sz="0" w:space="0" w:color="auto"/>
        <w:bottom w:val="none" w:sz="0" w:space="0" w:color="auto"/>
        <w:right w:val="none" w:sz="0" w:space="0" w:color="auto"/>
      </w:divBdr>
    </w:div>
    <w:div w:id="2122873639">
      <w:bodyDiv w:val="1"/>
      <w:marLeft w:val="0"/>
      <w:marRight w:val="0"/>
      <w:marTop w:val="0"/>
      <w:marBottom w:val="0"/>
      <w:divBdr>
        <w:top w:val="none" w:sz="0" w:space="0" w:color="auto"/>
        <w:left w:val="none" w:sz="0" w:space="0" w:color="auto"/>
        <w:bottom w:val="none" w:sz="0" w:space="0" w:color="auto"/>
        <w:right w:val="none" w:sz="0" w:space="0" w:color="auto"/>
      </w:divBdr>
    </w:div>
    <w:div w:id="2123376527">
      <w:bodyDiv w:val="1"/>
      <w:marLeft w:val="0"/>
      <w:marRight w:val="0"/>
      <w:marTop w:val="0"/>
      <w:marBottom w:val="0"/>
      <w:divBdr>
        <w:top w:val="none" w:sz="0" w:space="0" w:color="auto"/>
        <w:left w:val="none" w:sz="0" w:space="0" w:color="auto"/>
        <w:bottom w:val="none" w:sz="0" w:space="0" w:color="auto"/>
        <w:right w:val="none" w:sz="0" w:space="0" w:color="auto"/>
      </w:divBdr>
    </w:div>
    <w:div w:id="2123451703">
      <w:bodyDiv w:val="1"/>
      <w:marLeft w:val="0"/>
      <w:marRight w:val="0"/>
      <w:marTop w:val="0"/>
      <w:marBottom w:val="0"/>
      <w:divBdr>
        <w:top w:val="none" w:sz="0" w:space="0" w:color="auto"/>
        <w:left w:val="none" w:sz="0" w:space="0" w:color="auto"/>
        <w:bottom w:val="none" w:sz="0" w:space="0" w:color="auto"/>
        <w:right w:val="none" w:sz="0" w:space="0" w:color="auto"/>
      </w:divBdr>
    </w:div>
    <w:div w:id="2123842357">
      <w:bodyDiv w:val="1"/>
      <w:marLeft w:val="0"/>
      <w:marRight w:val="0"/>
      <w:marTop w:val="0"/>
      <w:marBottom w:val="0"/>
      <w:divBdr>
        <w:top w:val="none" w:sz="0" w:space="0" w:color="auto"/>
        <w:left w:val="none" w:sz="0" w:space="0" w:color="auto"/>
        <w:bottom w:val="none" w:sz="0" w:space="0" w:color="auto"/>
        <w:right w:val="none" w:sz="0" w:space="0" w:color="auto"/>
      </w:divBdr>
    </w:div>
    <w:div w:id="2124111105">
      <w:bodyDiv w:val="1"/>
      <w:marLeft w:val="0"/>
      <w:marRight w:val="0"/>
      <w:marTop w:val="0"/>
      <w:marBottom w:val="0"/>
      <w:divBdr>
        <w:top w:val="none" w:sz="0" w:space="0" w:color="auto"/>
        <w:left w:val="none" w:sz="0" w:space="0" w:color="auto"/>
        <w:bottom w:val="none" w:sz="0" w:space="0" w:color="auto"/>
        <w:right w:val="none" w:sz="0" w:space="0" w:color="auto"/>
      </w:divBdr>
    </w:div>
    <w:div w:id="2124381596">
      <w:bodyDiv w:val="1"/>
      <w:marLeft w:val="0"/>
      <w:marRight w:val="0"/>
      <w:marTop w:val="0"/>
      <w:marBottom w:val="0"/>
      <w:divBdr>
        <w:top w:val="none" w:sz="0" w:space="0" w:color="auto"/>
        <w:left w:val="none" w:sz="0" w:space="0" w:color="auto"/>
        <w:bottom w:val="none" w:sz="0" w:space="0" w:color="auto"/>
        <w:right w:val="none" w:sz="0" w:space="0" w:color="auto"/>
      </w:divBdr>
    </w:div>
    <w:div w:id="2125029519">
      <w:bodyDiv w:val="1"/>
      <w:marLeft w:val="0"/>
      <w:marRight w:val="0"/>
      <w:marTop w:val="0"/>
      <w:marBottom w:val="0"/>
      <w:divBdr>
        <w:top w:val="none" w:sz="0" w:space="0" w:color="auto"/>
        <w:left w:val="none" w:sz="0" w:space="0" w:color="auto"/>
        <w:bottom w:val="none" w:sz="0" w:space="0" w:color="auto"/>
        <w:right w:val="none" w:sz="0" w:space="0" w:color="auto"/>
      </w:divBdr>
    </w:div>
    <w:div w:id="2125226766">
      <w:bodyDiv w:val="1"/>
      <w:marLeft w:val="0"/>
      <w:marRight w:val="0"/>
      <w:marTop w:val="0"/>
      <w:marBottom w:val="0"/>
      <w:divBdr>
        <w:top w:val="none" w:sz="0" w:space="0" w:color="auto"/>
        <w:left w:val="none" w:sz="0" w:space="0" w:color="auto"/>
        <w:bottom w:val="none" w:sz="0" w:space="0" w:color="auto"/>
        <w:right w:val="none" w:sz="0" w:space="0" w:color="auto"/>
      </w:divBdr>
    </w:div>
    <w:div w:id="2125494541">
      <w:bodyDiv w:val="1"/>
      <w:marLeft w:val="0"/>
      <w:marRight w:val="0"/>
      <w:marTop w:val="0"/>
      <w:marBottom w:val="0"/>
      <w:divBdr>
        <w:top w:val="none" w:sz="0" w:space="0" w:color="auto"/>
        <w:left w:val="none" w:sz="0" w:space="0" w:color="auto"/>
        <w:bottom w:val="none" w:sz="0" w:space="0" w:color="auto"/>
        <w:right w:val="none" w:sz="0" w:space="0" w:color="auto"/>
      </w:divBdr>
    </w:div>
    <w:div w:id="2127390055">
      <w:bodyDiv w:val="1"/>
      <w:marLeft w:val="0"/>
      <w:marRight w:val="0"/>
      <w:marTop w:val="0"/>
      <w:marBottom w:val="0"/>
      <w:divBdr>
        <w:top w:val="none" w:sz="0" w:space="0" w:color="auto"/>
        <w:left w:val="none" w:sz="0" w:space="0" w:color="auto"/>
        <w:bottom w:val="none" w:sz="0" w:space="0" w:color="auto"/>
        <w:right w:val="none" w:sz="0" w:space="0" w:color="auto"/>
      </w:divBdr>
    </w:div>
    <w:div w:id="2127774801">
      <w:bodyDiv w:val="1"/>
      <w:marLeft w:val="0"/>
      <w:marRight w:val="0"/>
      <w:marTop w:val="0"/>
      <w:marBottom w:val="0"/>
      <w:divBdr>
        <w:top w:val="none" w:sz="0" w:space="0" w:color="auto"/>
        <w:left w:val="none" w:sz="0" w:space="0" w:color="auto"/>
        <w:bottom w:val="none" w:sz="0" w:space="0" w:color="auto"/>
        <w:right w:val="none" w:sz="0" w:space="0" w:color="auto"/>
      </w:divBdr>
    </w:div>
    <w:div w:id="2128546778">
      <w:bodyDiv w:val="1"/>
      <w:marLeft w:val="0"/>
      <w:marRight w:val="0"/>
      <w:marTop w:val="0"/>
      <w:marBottom w:val="0"/>
      <w:divBdr>
        <w:top w:val="none" w:sz="0" w:space="0" w:color="auto"/>
        <w:left w:val="none" w:sz="0" w:space="0" w:color="auto"/>
        <w:bottom w:val="none" w:sz="0" w:space="0" w:color="auto"/>
        <w:right w:val="none" w:sz="0" w:space="0" w:color="auto"/>
      </w:divBdr>
    </w:div>
    <w:div w:id="2129886995">
      <w:bodyDiv w:val="1"/>
      <w:marLeft w:val="0"/>
      <w:marRight w:val="0"/>
      <w:marTop w:val="0"/>
      <w:marBottom w:val="0"/>
      <w:divBdr>
        <w:top w:val="none" w:sz="0" w:space="0" w:color="auto"/>
        <w:left w:val="none" w:sz="0" w:space="0" w:color="auto"/>
        <w:bottom w:val="none" w:sz="0" w:space="0" w:color="auto"/>
        <w:right w:val="none" w:sz="0" w:space="0" w:color="auto"/>
      </w:divBdr>
    </w:div>
    <w:div w:id="2130202770">
      <w:bodyDiv w:val="1"/>
      <w:marLeft w:val="0"/>
      <w:marRight w:val="0"/>
      <w:marTop w:val="0"/>
      <w:marBottom w:val="0"/>
      <w:divBdr>
        <w:top w:val="none" w:sz="0" w:space="0" w:color="auto"/>
        <w:left w:val="none" w:sz="0" w:space="0" w:color="auto"/>
        <w:bottom w:val="none" w:sz="0" w:space="0" w:color="auto"/>
        <w:right w:val="none" w:sz="0" w:space="0" w:color="auto"/>
      </w:divBdr>
    </w:div>
    <w:div w:id="2130782502">
      <w:bodyDiv w:val="1"/>
      <w:marLeft w:val="0"/>
      <w:marRight w:val="0"/>
      <w:marTop w:val="0"/>
      <w:marBottom w:val="0"/>
      <w:divBdr>
        <w:top w:val="none" w:sz="0" w:space="0" w:color="auto"/>
        <w:left w:val="none" w:sz="0" w:space="0" w:color="auto"/>
        <w:bottom w:val="none" w:sz="0" w:space="0" w:color="auto"/>
        <w:right w:val="none" w:sz="0" w:space="0" w:color="auto"/>
      </w:divBdr>
    </w:div>
    <w:div w:id="2131165206">
      <w:bodyDiv w:val="1"/>
      <w:marLeft w:val="0"/>
      <w:marRight w:val="0"/>
      <w:marTop w:val="0"/>
      <w:marBottom w:val="0"/>
      <w:divBdr>
        <w:top w:val="none" w:sz="0" w:space="0" w:color="auto"/>
        <w:left w:val="none" w:sz="0" w:space="0" w:color="auto"/>
        <w:bottom w:val="none" w:sz="0" w:space="0" w:color="auto"/>
        <w:right w:val="none" w:sz="0" w:space="0" w:color="auto"/>
      </w:divBdr>
    </w:div>
    <w:div w:id="2131315972">
      <w:bodyDiv w:val="1"/>
      <w:marLeft w:val="0"/>
      <w:marRight w:val="0"/>
      <w:marTop w:val="0"/>
      <w:marBottom w:val="0"/>
      <w:divBdr>
        <w:top w:val="none" w:sz="0" w:space="0" w:color="auto"/>
        <w:left w:val="none" w:sz="0" w:space="0" w:color="auto"/>
        <w:bottom w:val="none" w:sz="0" w:space="0" w:color="auto"/>
        <w:right w:val="none" w:sz="0" w:space="0" w:color="auto"/>
      </w:divBdr>
    </w:div>
    <w:div w:id="2131780841">
      <w:bodyDiv w:val="1"/>
      <w:marLeft w:val="0"/>
      <w:marRight w:val="0"/>
      <w:marTop w:val="0"/>
      <w:marBottom w:val="0"/>
      <w:divBdr>
        <w:top w:val="none" w:sz="0" w:space="0" w:color="auto"/>
        <w:left w:val="none" w:sz="0" w:space="0" w:color="auto"/>
        <w:bottom w:val="none" w:sz="0" w:space="0" w:color="auto"/>
        <w:right w:val="none" w:sz="0" w:space="0" w:color="auto"/>
      </w:divBdr>
    </w:div>
    <w:div w:id="2132362616">
      <w:bodyDiv w:val="1"/>
      <w:marLeft w:val="0"/>
      <w:marRight w:val="0"/>
      <w:marTop w:val="0"/>
      <w:marBottom w:val="0"/>
      <w:divBdr>
        <w:top w:val="none" w:sz="0" w:space="0" w:color="auto"/>
        <w:left w:val="none" w:sz="0" w:space="0" w:color="auto"/>
        <w:bottom w:val="none" w:sz="0" w:space="0" w:color="auto"/>
        <w:right w:val="none" w:sz="0" w:space="0" w:color="auto"/>
      </w:divBdr>
    </w:div>
    <w:div w:id="2132749124">
      <w:bodyDiv w:val="1"/>
      <w:marLeft w:val="0"/>
      <w:marRight w:val="0"/>
      <w:marTop w:val="0"/>
      <w:marBottom w:val="0"/>
      <w:divBdr>
        <w:top w:val="none" w:sz="0" w:space="0" w:color="auto"/>
        <w:left w:val="none" w:sz="0" w:space="0" w:color="auto"/>
        <w:bottom w:val="none" w:sz="0" w:space="0" w:color="auto"/>
        <w:right w:val="none" w:sz="0" w:space="0" w:color="auto"/>
      </w:divBdr>
    </w:div>
    <w:div w:id="2133865996">
      <w:bodyDiv w:val="1"/>
      <w:marLeft w:val="0"/>
      <w:marRight w:val="0"/>
      <w:marTop w:val="0"/>
      <w:marBottom w:val="0"/>
      <w:divBdr>
        <w:top w:val="none" w:sz="0" w:space="0" w:color="auto"/>
        <w:left w:val="none" w:sz="0" w:space="0" w:color="auto"/>
        <w:bottom w:val="none" w:sz="0" w:space="0" w:color="auto"/>
        <w:right w:val="none" w:sz="0" w:space="0" w:color="auto"/>
      </w:divBdr>
    </w:div>
    <w:div w:id="2134013261">
      <w:bodyDiv w:val="1"/>
      <w:marLeft w:val="0"/>
      <w:marRight w:val="0"/>
      <w:marTop w:val="0"/>
      <w:marBottom w:val="0"/>
      <w:divBdr>
        <w:top w:val="none" w:sz="0" w:space="0" w:color="auto"/>
        <w:left w:val="none" w:sz="0" w:space="0" w:color="auto"/>
        <w:bottom w:val="none" w:sz="0" w:space="0" w:color="auto"/>
        <w:right w:val="none" w:sz="0" w:space="0" w:color="auto"/>
      </w:divBdr>
    </w:div>
    <w:div w:id="2134445143">
      <w:bodyDiv w:val="1"/>
      <w:marLeft w:val="0"/>
      <w:marRight w:val="0"/>
      <w:marTop w:val="0"/>
      <w:marBottom w:val="0"/>
      <w:divBdr>
        <w:top w:val="none" w:sz="0" w:space="0" w:color="auto"/>
        <w:left w:val="none" w:sz="0" w:space="0" w:color="auto"/>
        <w:bottom w:val="none" w:sz="0" w:space="0" w:color="auto"/>
        <w:right w:val="none" w:sz="0" w:space="0" w:color="auto"/>
      </w:divBdr>
    </w:div>
    <w:div w:id="2135128690">
      <w:bodyDiv w:val="1"/>
      <w:marLeft w:val="0"/>
      <w:marRight w:val="0"/>
      <w:marTop w:val="0"/>
      <w:marBottom w:val="0"/>
      <w:divBdr>
        <w:top w:val="none" w:sz="0" w:space="0" w:color="auto"/>
        <w:left w:val="none" w:sz="0" w:space="0" w:color="auto"/>
        <w:bottom w:val="none" w:sz="0" w:space="0" w:color="auto"/>
        <w:right w:val="none" w:sz="0" w:space="0" w:color="auto"/>
      </w:divBdr>
    </w:div>
    <w:div w:id="2137019743">
      <w:bodyDiv w:val="1"/>
      <w:marLeft w:val="0"/>
      <w:marRight w:val="0"/>
      <w:marTop w:val="0"/>
      <w:marBottom w:val="0"/>
      <w:divBdr>
        <w:top w:val="none" w:sz="0" w:space="0" w:color="auto"/>
        <w:left w:val="none" w:sz="0" w:space="0" w:color="auto"/>
        <w:bottom w:val="none" w:sz="0" w:space="0" w:color="auto"/>
        <w:right w:val="none" w:sz="0" w:space="0" w:color="auto"/>
      </w:divBdr>
    </w:div>
    <w:div w:id="2137134490">
      <w:bodyDiv w:val="1"/>
      <w:marLeft w:val="0"/>
      <w:marRight w:val="0"/>
      <w:marTop w:val="0"/>
      <w:marBottom w:val="0"/>
      <w:divBdr>
        <w:top w:val="none" w:sz="0" w:space="0" w:color="auto"/>
        <w:left w:val="none" w:sz="0" w:space="0" w:color="auto"/>
        <w:bottom w:val="none" w:sz="0" w:space="0" w:color="auto"/>
        <w:right w:val="none" w:sz="0" w:space="0" w:color="auto"/>
      </w:divBdr>
    </w:div>
    <w:div w:id="2137286568">
      <w:bodyDiv w:val="1"/>
      <w:marLeft w:val="0"/>
      <w:marRight w:val="0"/>
      <w:marTop w:val="0"/>
      <w:marBottom w:val="0"/>
      <w:divBdr>
        <w:top w:val="none" w:sz="0" w:space="0" w:color="auto"/>
        <w:left w:val="none" w:sz="0" w:space="0" w:color="auto"/>
        <w:bottom w:val="none" w:sz="0" w:space="0" w:color="auto"/>
        <w:right w:val="none" w:sz="0" w:space="0" w:color="auto"/>
      </w:divBdr>
    </w:div>
    <w:div w:id="2138642644">
      <w:bodyDiv w:val="1"/>
      <w:marLeft w:val="0"/>
      <w:marRight w:val="0"/>
      <w:marTop w:val="0"/>
      <w:marBottom w:val="0"/>
      <w:divBdr>
        <w:top w:val="none" w:sz="0" w:space="0" w:color="auto"/>
        <w:left w:val="none" w:sz="0" w:space="0" w:color="auto"/>
        <w:bottom w:val="none" w:sz="0" w:space="0" w:color="auto"/>
        <w:right w:val="none" w:sz="0" w:space="0" w:color="auto"/>
      </w:divBdr>
    </w:div>
    <w:div w:id="2139686397">
      <w:bodyDiv w:val="1"/>
      <w:marLeft w:val="0"/>
      <w:marRight w:val="0"/>
      <w:marTop w:val="0"/>
      <w:marBottom w:val="0"/>
      <w:divBdr>
        <w:top w:val="none" w:sz="0" w:space="0" w:color="auto"/>
        <w:left w:val="none" w:sz="0" w:space="0" w:color="auto"/>
        <w:bottom w:val="none" w:sz="0" w:space="0" w:color="auto"/>
        <w:right w:val="none" w:sz="0" w:space="0" w:color="auto"/>
      </w:divBdr>
    </w:div>
    <w:div w:id="2139689438">
      <w:bodyDiv w:val="1"/>
      <w:marLeft w:val="0"/>
      <w:marRight w:val="0"/>
      <w:marTop w:val="0"/>
      <w:marBottom w:val="0"/>
      <w:divBdr>
        <w:top w:val="none" w:sz="0" w:space="0" w:color="auto"/>
        <w:left w:val="none" w:sz="0" w:space="0" w:color="auto"/>
        <w:bottom w:val="none" w:sz="0" w:space="0" w:color="auto"/>
        <w:right w:val="none" w:sz="0" w:space="0" w:color="auto"/>
      </w:divBdr>
    </w:div>
    <w:div w:id="2139882056">
      <w:bodyDiv w:val="1"/>
      <w:marLeft w:val="0"/>
      <w:marRight w:val="0"/>
      <w:marTop w:val="0"/>
      <w:marBottom w:val="0"/>
      <w:divBdr>
        <w:top w:val="none" w:sz="0" w:space="0" w:color="auto"/>
        <w:left w:val="none" w:sz="0" w:space="0" w:color="auto"/>
        <w:bottom w:val="none" w:sz="0" w:space="0" w:color="auto"/>
        <w:right w:val="none" w:sz="0" w:space="0" w:color="auto"/>
      </w:divBdr>
    </w:div>
    <w:div w:id="2140144876">
      <w:bodyDiv w:val="1"/>
      <w:marLeft w:val="0"/>
      <w:marRight w:val="0"/>
      <w:marTop w:val="0"/>
      <w:marBottom w:val="0"/>
      <w:divBdr>
        <w:top w:val="none" w:sz="0" w:space="0" w:color="auto"/>
        <w:left w:val="none" w:sz="0" w:space="0" w:color="auto"/>
        <w:bottom w:val="none" w:sz="0" w:space="0" w:color="auto"/>
        <w:right w:val="none" w:sz="0" w:space="0" w:color="auto"/>
      </w:divBdr>
    </w:div>
    <w:div w:id="2140149584">
      <w:bodyDiv w:val="1"/>
      <w:marLeft w:val="0"/>
      <w:marRight w:val="0"/>
      <w:marTop w:val="0"/>
      <w:marBottom w:val="0"/>
      <w:divBdr>
        <w:top w:val="none" w:sz="0" w:space="0" w:color="auto"/>
        <w:left w:val="none" w:sz="0" w:space="0" w:color="auto"/>
        <w:bottom w:val="none" w:sz="0" w:space="0" w:color="auto"/>
        <w:right w:val="none" w:sz="0" w:space="0" w:color="auto"/>
      </w:divBdr>
    </w:div>
    <w:div w:id="2140806509">
      <w:bodyDiv w:val="1"/>
      <w:marLeft w:val="0"/>
      <w:marRight w:val="0"/>
      <w:marTop w:val="0"/>
      <w:marBottom w:val="0"/>
      <w:divBdr>
        <w:top w:val="none" w:sz="0" w:space="0" w:color="auto"/>
        <w:left w:val="none" w:sz="0" w:space="0" w:color="auto"/>
        <w:bottom w:val="none" w:sz="0" w:space="0" w:color="auto"/>
        <w:right w:val="none" w:sz="0" w:space="0" w:color="auto"/>
      </w:divBdr>
    </w:div>
    <w:div w:id="2140879869">
      <w:bodyDiv w:val="1"/>
      <w:marLeft w:val="0"/>
      <w:marRight w:val="0"/>
      <w:marTop w:val="0"/>
      <w:marBottom w:val="0"/>
      <w:divBdr>
        <w:top w:val="none" w:sz="0" w:space="0" w:color="auto"/>
        <w:left w:val="none" w:sz="0" w:space="0" w:color="auto"/>
        <w:bottom w:val="none" w:sz="0" w:space="0" w:color="auto"/>
        <w:right w:val="none" w:sz="0" w:space="0" w:color="auto"/>
      </w:divBdr>
    </w:div>
    <w:div w:id="2141144633">
      <w:bodyDiv w:val="1"/>
      <w:marLeft w:val="0"/>
      <w:marRight w:val="0"/>
      <w:marTop w:val="0"/>
      <w:marBottom w:val="0"/>
      <w:divBdr>
        <w:top w:val="none" w:sz="0" w:space="0" w:color="auto"/>
        <w:left w:val="none" w:sz="0" w:space="0" w:color="auto"/>
        <w:bottom w:val="none" w:sz="0" w:space="0" w:color="auto"/>
        <w:right w:val="none" w:sz="0" w:space="0" w:color="auto"/>
      </w:divBdr>
    </w:div>
    <w:div w:id="2141222024">
      <w:bodyDiv w:val="1"/>
      <w:marLeft w:val="0"/>
      <w:marRight w:val="0"/>
      <w:marTop w:val="0"/>
      <w:marBottom w:val="0"/>
      <w:divBdr>
        <w:top w:val="none" w:sz="0" w:space="0" w:color="auto"/>
        <w:left w:val="none" w:sz="0" w:space="0" w:color="auto"/>
        <w:bottom w:val="none" w:sz="0" w:space="0" w:color="auto"/>
        <w:right w:val="none" w:sz="0" w:space="0" w:color="auto"/>
      </w:divBdr>
    </w:div>
    <w:div w:id="2141533075">
      <w:bodyDiv w:val="1"/>
      <w:marLeft w:val="0"/>
      <w:marRight w:val="0"/>
      <w:marTop w:val="0"/>
      <w:marBottom w:val="0"/>
      <w:divBdr>
        <w:top w:val="none" w:sz="0" w:space="0" w:color="auto"/>
        <w:left w:val="none" w:sz="0" w:space="0" w:color="auto"/>
        <w:bottom w:val="none" w:sz="0" w:space="0" w:color="auto"/>
        <w:right w:val="none" w:sz="0" w:space="0" w:color="auto"/>
      </w:divBdr>
    </w:div>
    <w:div w:id="2141607267">
      <w:bodyDiv w:val="1"/>
      <w:marLeft w:val="0"/>
      <w:marRight w:val="0"/>
      <w:marTop w:val="0"/>
      <w:marBottom w:val="0"/>
      <w:divBdr>
        <w:top w:val="none" w:sz="0" w:space="0" w:color="auto"/>
        <w:left w:val="none" w:sz="0" w:space="0" w:color="auto"/>
        <w:bottom w:val="none" w:sz="0" w:space="0" w:color="auto"/>
        <w:right w:val="none" w:sz="0" w:space="0" w:color="auto"/>
      </w:divBdr>
    </w:div>
    <w:div w:id="2141996516">
      <w:bodyDiv w:val="1"/>
      <w:marLeft w:val="0"/>
      <w:marRight w:val="0"/>
      <w:marTop w:val="0"/>
      <w:marBottom w:val="0"/>
      <w:divBdr>
        <w:top w:val="none" w:sz="0" w:space="0" w:color="auto"/>
        <w:left w:val="none" w:sz="0" w:space="0" w:color="auto"/>
        <w:bottom w:val="none" w:sz="0" w:space="0" w:color="auto"/>
        <w:right w:val="none" w:sz="0" w:space="0" w:color="auto"/>
      </w:divBdr>
    </w:div>
    <w:div w:id="2142460266">
      <w:bodyDiv w:val="1"/>
      <w:marLeft w:val="0"/>
      <w:marRight w:val="0"/>
      <w:marTop w:val="0"/>
      <w:marBottom w:val="0"/>
      <w:divBdr>
        <w:top w:val="none" w:sz="0" w:space="0" w:color="auto"/>
        <w:left w:val="none" w:sz="0" w:space="0" w:color="auto"/>
        <w:bottom w:val="none" w:sz="0" w:space="0" w:color="auto"/>
        <w:right w:val="none" w:sz="0" w:space="0" w:color="auto"/>
      </w:divBdr>
    </w:div>
    <w:div w:id="2143493977">
      <w:bodyDiv w:val="1"/>
      <w:marLeft w:val="0"/>
      <w:marRight w:val="0"/>
      <w:marTop w:val="0"/>
      <w:marBottom w:val="0"/>
      <w:divBdr>
        <w:top w:val="none" w:sz="0" w:space="0" w:color="auto"/>
        <w:left w:val="none" w:sz="0" w:space="0" w:color="auto"/>
        <w:bottom w:val="none" w:sz="0" w:space="0" w:color="auto"/>
        <w:right w:val="none" w:sz="0" w:space="0" w:color="auto"/>
      </w:divBdr>
    </w:div>
    <w:div w:id="2143572861">
      <w:bodyDiv w:val="1"/>
      <w:marLeft w:val="0"/>
      <w:marRight w:val="0"/>
      <w:marTop w:val="0"/>
      <w:marBottom w:val="0"/>
      <w:divBdr>
        <w:top w:val="none" w:sz="0" w:space="0" w:color="auto"/>
        <w:left w:val="none" w:sz="0" w:space="0" w:color="auto"/>
        <w:bottom w:val="none" w:sz="0" w:space="0" w:color="auto"/>
        <w:right w:val="none" w:sz="0" w:space="0" w:color="auto"/>
      </w:divBdr>
    </w:div>
    <w:div w:id="2143573224">
      <w:bodyDiv w:val="1"/>
      <w:marLeft w:val="0"/>
      <w:marRight w:val="0"/>
      <w:marTop w:val="0"/>
      <w:marBottom w:val="0"/>
      <w:divBdr>
        <w:top w:val="none" w:sz="0" w:space="0" w:color="auto"/>
        <w:left w:val="none" w:sz="0" w:space="0" w:color="auto"/>
        <w:bottom w:val="none" w:sz="0" w:space="0" w:color="auto"/>
        <w:right w:val="none" w:sz="0" w:space="0" w:color="auto"/>
      </w:divBdr>
    </w:div>
    <w:div w:id="2143690024">
      <w:bodyDiv w:val="1"/>
      <w:marLeft w:val="0"/>
      <w:marRight w:val="0"/>
      <w:marTop w:val="0"/>
      <w:marBottom w:val="0"/>
      <w:divBdr>
        <w:top w:val="none" w:sz="0" w:space="0" w:color="auto"/>
        <w:left w:val="none" w:sz="0" w:space="0" w:color="auto"/>
        <w:bottom w:val="none" w:sz="0" w:space="0" w:color="auto"/>
        <w:right w:val="none" w:sz="0" w:space="0" w:color="auto"/>
      </w:divBdr>
    </w:div>
    <w:div w:id="2143694137">
      <w:bodyDiv w:val="1"/>
      <w:marLeft w:val="0"/>
      <w:marRight w:val="0"/>
      <w:marTop w:val="0"/>
      <w:marBottom w:val="0"/>
      <w:divBdr>
        <w:top w:val="none" w:sz="0" w:space="0" w:color="auto"/>
        <w:left w:val="none" w:sz="0" w:space="0" w:color="auto"/>
        <w:bottom w:val="none" w:sz="0" w:space="0" w:color="auto"/>
        <w:right w:val="none" w:sz="0" w:space="0" w:color="auto"/>
      </w:divBdr>
    </w:div>
    <w:div w:id="2143885148">
      <w:bodyDiv w:val="1"/>
      <w:marLeft w:val="0"/>
      <w:marRight w:val="0"/>
      <w:marTop w:val="0"/>
      <w:marBottom w:val="0"/>
      <w:divBdr>
        <w:top w:val="none" w:sz="0" w:space="0" w:color="auto"/>
        <w:left w:val="none" w:sz="0" w:space="0" w:color="auto"/>
        <w:bottom w:val="none" w:sz="0" w:space="0" w:color="auto"/>
        <w:right w:val="none" w:sz="0" w:space="0" w:color="auto"/>
      </w:divBdr>
    </w:div>
    <w:div w:id="2144763245">
      <w:bodyDiv w:val="1"/>
      <w:marLeft w:val="0"/>
      <w:marRight w:val="0"/>
      <w:marTop w:val="0"/>
      <w:marBottom w:val="0"/>
      <w:divBdr>
        <w:top w:val="none" w:sz="0" w:space="0" w:color="auto"/>
        <w:left w:val="none" w:sz="0" w:space="0" w:color="auto"/>
        <w:bottom w:val="none" w:sz="0" w:space="0" w:color="auto"/>
        <w:right w:val="none" w:sz="0" w:space="0" w:color="auto"/>
      </w:divBdr>
    </w:div>
    <w:div w:id="2145463064">
      <w:bodyDiv w:val="1"/>
      <w:marLeft w:val="0"/>
      <w:marRight w:val="0"/>
      <w:marTop w:val="0"/>
      <w:marBottom w:val="0"/>
      <w:divBdr>
        <w:top w:val="none" w:sz="0" w:space="0" w:color="auto"/>
        <w:left w:val="none" w:sz="0" w:space="0" w:color="auto"/>
        <w:bottom w:val="none" w:sz="0" w:space="0" w:color="auto"/>
        <w:right w:val="none" w:sz="0" w:space="0" w:color="auto"/>
      </w:divBdr>
    </w:div>
    <w:div w:id="2145733897">
      <w:bodyDiv w:val="1"/>
      <w:marLeft w:val="0"/>
      <w:marRight w:val="0"/>
      <w:marTop w:val="0"/>
      <w:marBottom w:val="0"/>
      <w:divBdr>
        <w:top w:val="none" w:sz="0" w:space="0" w:color="auto"/>
        <w:left w:val="none" w:sz="0" w:space="0" w:color="auto"/>
        <w:bottom w:val="none" w:sz="0" w:space="0" w:color="auto"/>
        <w:right w:val="none" w:sz="0" w:space="0" w:color="auto"/>
      </w:divBdr>
    </w:div>
    <w:div w:id="2145928440">
      <w:bodyDiv w:val="1"/>
      <w:marLeft w:val="0"/>
      <w:marRight w:val="0"/>
      <w:marTop w:val="0"/>
      <w:marBottom w:val="0"/>
      <w:divBdr>
        <w:top w:val="none" w:sz="0" w:space="0" w:color="auto"/>
        <w:left w:val="none" w:sz="0" w:space="0" w:color="auto"/>
        <w:bottom w:val="none" w:sz="0" w:space="0" w:color="auto"/>
        <w:right w:val="none" w:sz="0" w:space="0" w:color="auto"/>
      </w:divBdr>
    </w:div>
    <w:div w:id="2145999569">
      <w:bodyDiv w:val="1"/>
      <w:marLeft w:val="0"/>
      <w:marRight w:val="0"/>
      <w:marTop w:val="0"/>
      <w:marBottom w:val="0"/>
      <w:divBdr>
        <w:top w:val="none" w:sz="0" w:space="0" w:color="auto"/>
        <w:left w:val="none" w:sz="0" w:space="0" w:color="auto"/>
        <w:bottom w:val="none" w:sz="0" w:space="0" w:color="auto"/>
        <w:right w:val="none" w:sz="0" w:space="0" w:color="auto"/>
      </w:divBdr>
    </w:div>
    <w:div w:id="2146388510">
      <w:bodyDiv w:val="1"/>
      <w:marLeft w:val="0"/>
      <w:marRight w:val="0"/>
      <w:marTop w:val="0"/>
      <w:marBottom w:val="0"/>
      <w:divBdr>
        <w:top w:val="none" w:sz="0" w:space="0" w:color="auto"/>
        <w:left w:val="none" w:sz="0" w:space="0" w:color="auto"/>
        <w:bottom w:val="none" w:sz="0" w:space="0" w:color="auto"/>
        <w:right w:val="none" w:sz="0" w:space="0" w:color="auto"/>
      </w:divBdr>
    </w:div>
    <w:div w:id="2146777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chart" Target="charts/chart1.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chart" Target="charts/chart4.xml"/><Relationship Id="rId33"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yperlink" Target="https://www.ncsl.org/research/fiscal-policy/state-budget-stabilization-funds-spring-2008.asp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chart" Target="charts/chart3.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chart" Target="charts/chart2.xml"/><Relationship Id="rId28" Type="http://schemas.openxmlformats.org/officeDocument/2006/relationships/hyperlink" Target="https://ballotpedia.org/Ballotpedia:Who_Runs_the_States" TargetMode="Externa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hyperlink" Target="https://diff.healthpolicydatascience.org/"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 Id="rId22" Type="http://schemas.openxmlformats.org/officeDocument/2006/relationships/footer" Target="footer3.xml"/><Relationship Id="rId27" Type="http://schemas.openxmlformats.org/officeDocument/2006/relationships/footer" Target="footer5.xml"/><Relationship Id="rId30" Type="http://schemas.openxmlformats.org/officeDocument/2006/relationships/hyperlink" Target="https://doi.org/10.1017/pan.2016.2" TargetMode="External"/><Relationship Id="rId8"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s://www.doa.virginia.gov/reports/ACFReport/2011/2011ACFReport.pdf" TargetMode="External"/><Relationship Id="rId13" Type="http://schemas.openxmlformats.org/officeDocument/2006/relationships/hyperlink" Target="https://nebraskalegislature.gov/pdf/reports/fiscal/2009prelim.pdf" TargetMode="External"/><Relationship Id="rId18" Type="http://schemas.openxmlformats.org/officeDocument/2006/relationships/hyperlink" Target="https://nebraskalegislature.gov/pdf/reports/fiscal/2009prelim.pdf" TargetMode="External"/><Relationship Id="rId26" Type="http://schemas.openxmlformats.org/officeDocument/2006/relationships/hyperlink" Target="https://capitol.texas.gov/tlodocs/85R/minutes/pdf/C8502018113010001.PDF" TargetMode="External"/><Relationship Id="rId3" Type="http://schemas.openxmlformats.org/officeDocument/2006/relationships/hyperlink" Target="https://www.bea.gov/data/gdp/gdp-state" TargetMode="External"/><Relationship Id="rId21" Type="http://schemas.openxmlformats.org/officeDocument/2006/relationships/hyperlink" Target="http://govdocs.nebraska.gov/epubs/L3720/B005-2005.pdf" TargetMode="External"/><Relationship Id="rId7" Type="http://schemas.openxmlformats.org/officeDocument/2006/relationships/hyperlink" Target="https://law.lis.virginia.gov/constitutionexpand/article10/" TargetMode="External"/><Relationship Id="rId12" Type="http://schemas.openxmlformats.org/officeDocument/2006/relationships/hyperlink" Target="https://www.nh.gov/treasury/documents/nh-information-statement-2018.pdf" TargetMode="External"/><Relationship Id="rId17" Type="http://schemas.openxmlformats.org/officeDocument/2006/relationships/hyperlink" Target="http://govdocs.nebraska.gov/epubs/L3720/B005-2003.pdf" TargetMode="External"/><Relationship Id="rId25" Type="http://schemas.openxmlformats.org/officeDocument/2006/relationships/hyperlink" Target="https://capitol.texas.gov/tlodocs/83R/minutes/pdf/C8502014121110001.PDF" TargetMode="External"/><Relationship Id="rId2" Type="http://schemas.openxmlformats.org/officeDocument/2006/relationships/hyperlink" Target="https://www.ncsl.org/research/elections-and-campaigns/supermajority-vote-requirements.aspx" TargetMode="External"/><Relationship Id="rId16" Type="http://schemas.openxmlformats.org/officeDocument/2006/relationships/hyperlink" Target="http://govdocs.nebraska.gov/epubs/A2100/A001-2005.pdf" TargetMode="External"/><Relationship Id="rId20" Type="http://schemas.openxmlformats.org/officeDocument/2006/relationships/hyperlink" Target="https://nebraskalegislature.gov/pdf/reports/fiscal/2018prelim.pdf" TargetMode="External"/><Relationship Id="rId29" Type="http://schemas.openxmlformats.org/officeDocument/2006/relationships/hyperlink" Target="https://www.doa.la.gov/media/d4cfwjlv/cafr-2018.pdf" TargetMode="External"/><Relationship Id="rId1" Type="http://schemas.openxmlformats.org/officeDocument/2006/relationships/hyperlink" Target="http://budget.hawaii.gov/budget/about-budget/state-fiscal-reserves/" TargetMode="External"/><Relationship Id="rId6" Type="http://schemas.openxmlformats.org/officeDocument/2006/relationships/hyperlink" Target="https://azdor.gov/sites/default/files/2023-03/REPORTS_ESTIMATES_2017_bsf-fy2016-17.pdf" TargetMode="External"/><Relationship Id="rId11" Type="http://schemas.openxmlformats.org/officeDocument/2006/relationships/hyperlink" Target="https://www.nh.gov/news/2016/documents/pr-2016-09-30-surplus-fy16.pdf" TargetMode="External"/><Relationship Id="rId24" Type="http://schemas.openxmlformats.org/officeDocument/2006/relationships/hyperlink" Target="https://capitol.texas.gov/committees/MembershipCmte.aspx?LegSess=833&amp;CmteCode=C850" TargetMode="External"/><Relationship Id="rId5" Type="http://schemas.openxmlformats.org/officeDocument/2006/relationships/hyperlink" Target="https://azdor.gov/sites/default/files/2023-03/REPORTS_ESTIMATES_2016_bsf-fy2015-16.pdf" TargetMode="External"/><Relationship Id="rId15" Type="http://schemas.openxmlformats.org/officeDocument/2006/relationships/hyperlink" Target="http://govdocs.nebraska.gov/epubs/L3720/B005-2005.pdf" TargetMode="External"/><Relationship Id="rId23" Type="http://schemas.openxmlformats.org/officeDocument/2006/relationships/hyperlink" Target="https://statutes.capitol.texas.gov/Docs/CN/htm/CN.3.htm" TargetMode="External"/><Relationship Id="rId28" Type="http://schemas.openxmlformats.org/officeDocument/2006/relationships/hyperlink" Target="https://parlouisiana.org/wp-content/uploads/2023/02/PAR-Snapshot-10.12.22.pdf" TargetMode="External"/><Relationship Id="rId10" Type="http://schemas.openxmlformats.org/officeDocument/2006/relationships/hyperlink" Target="https://www.doa.virginia.gov/reports/ACFReport/2016/2016ACFReport.pdf" TargetMode="External"/><Relationship Id="rId19" Type="http://schemas.openxmlformats.org/officeDocument/2006/relationships/hyperlink" Target="https://nebraskalegislature.gov/pdf/reports/fiscal/2013prelim.pdf" TargetMode="External"/><Relationship Id="rId4" Type="http://schemas.openxmlformats.org/officeDocument/2006/relationships/hyperlink" Target="https://okpolicy.org/resources/online-budget-guide/budget-process/essentials-of-public-budgeting/rainy-day-fund/" TargetMode="External"/><Relationship Id="rId9" Type="http://schemas.openxmlformats.org/officeDocument/2006/relationships/hyperlink" Target="https://www.doa.virginia.gov/reports/ACFReport/2015/2015ACFReport.pdf" TargetMode="External"/><Relationship Id="rId14" Type="http://schemas.openxmlformats.org/officeDocument/2006/relationships/hyperlink" Target="https://advance-lexis-com.proxy.cc.uic.edu/api/document?collection=statutes-legislation&amp;id=urn:contentItem:48SJ-2RY0-0031-30PY-00000-00&amp;context=1516831" TargetMode="External"/><Relationship Id="rId22" Type="http://schemas.openxmlformats.org/officeDocument/2006/relationships/hyperlink" Target="https://futures.tradingcharts.com/chart/QM/W" TargetMode="External"/><Relationship Id="rId27" Type="http://schemas.openxmlformats.org/officeDocument/2006/relationships/hyperlink" Target="https://parlouisiana.org/wp-content/uploads/2023/02/PAR-Snapshot-10.12.22.pdf" TargetMode="External"/><Relationship Id="rId30" Type="http://schemas.openxmlformats.org/officeDocument/2006/relationships/hyperlink" Target="https://dor.wa.gov/sites/default/files/legacy/content/aboutus/statisticsandreports/wataxstudy/volume_2.pdf"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53685;&#54633;%20&#47928;&#49436;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d.docs.live.net/59e24205c1682b00/&#47928;&#49436;/&#53685;&#54633;%20&#47928;&#49436;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53685;&#54633;%20&#47928;&#49436;1"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53685;&#54633;%20&#47928;&#49436;1"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ko-K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9191923635243905E-2"/>
          <c:y val="2.5089244896578246E-2"/>
          <c:w val="0.88344517589730653"/>
          <c:h val="0.65796800551890766"/>
        </c:manualLayout>
      </c:layout>
      <c:lineChart>
        <c:grouping val="standard"/>
        <c:varyColors val="0"/>
        <c:ser>
          <c:idx val="0"/>
          <c:order val="0"/>
          <c:tx>
            <c:strRef>
              <c:f>Sheet1!$A$2</c:f>
              <c:strCache>
                <c:ptCount val="1"/>
                <c:pt idx="0">
                  <c:v>Arizona</c:v>
                </c:pt>
              </c:strCache>
            </c:strRef>
          </c:tx>
          <c:spPr>
            <a:ln w="28575" cap="rnd">
              <a:solidFill>
                <a:schemeClr val="accent1"/>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Sheet1!$B$2:$V$2</c:f>
              <c:numCache>
                <c:formatCode>0.0%</c:formatCode>
                <c:ptCount val="21"/>
                <c:pt idx="0">
                  <c:v>6.7827620045573245E-2</c:v>
                </c:pt>
                <c:pt idx="1">
                  <c:v>6.1451286317474769E-2</c:v>
                </c:pt>
                <c:pt idx="2">
                  <c:v>1.0254630360016406E-2</c:v>
                </c:pt>
                <c:pt idx="3">
                  <c:v>2.2902283590015933E-3</c:v>
                </c:pt>
                <c:pt idx="4">
                  <c:v>2.0718550008440892E-3</c:v>
                </c:pt>
                <c:pt idx="5">
                  <c:v>2.1311929511588366E-2</c:v>
                </c:pt>
                <c:pt idx="6">
                  <c:v>5.7205419460791031E-2</c:v>
                </c:pt>
                <c:pt idx="7">
                  <c:v>6.6368970300621055E-2</c:v>
                </c:pt>
                <c:pt idx="8">
                  <c:v>2.1778982186267084E-2</c:v>
                </c:pt>
                <c:pt idx="9">
                  <c:v>3.0841633921228185E-4</c:v>
                </c:pt>
                <c:pt idx="10">
                  <c:v>0</c:v>
                </c:pt>
                <c:pt idx="11">
                  <c:v>0</c:v>
                </c:pt>
                <c:pt idx="12">
                  <c:v>2.9702382366214575E-2</c:v>
                </c:pt>
                <c:pt idx="13">
                  <c:v>5.3657602813213405E-2</c:v>
                </c:pt>
                <c:pt idx="14">
                  <c:v>5.1732757641177143E-2</c:v>
                </c:pt>
                <c:pt idx="15">
                  <c:v>4.9366733553412305E-2</c:v>
                </c:pt>
                <c:pt idx="16">
                  <c:v>4.8441015074742973E-2</c:v>
                </c:pt>
                <c:pt idx="17">
                  <c:v>4.7889700693262482E-2</c:v>
                </c:pt>
                <c:pt idx="18">
                  <c:v>4.6674279189266345E-2</c:v>
                </c:pt>
                <c:pt idx="19">
                  <c:v>6.9279473335757777E-2</c:v>
                </c:pt>
                <c:pt idx="20">
                  <c:v>8.6714166710976398E-2</c:v>
                </c:pt>
              </c:numCache>
            </c:numRef>
          </c:val>
          <c:smooth val="0"/>
          <c:extLst>
            <c:ext xmlns:c16="http://schemas.microsoft.com/office/drawing/2014/chart" uri="{C3380CC4-5D6E-409C-BE32-E72D297353CC}">
              <c16:uniqueId val="{00000000-7F22-4B74-8D08-2551B14C3097}"/>
            </c:ext>
          </c:extLst>
        </c:ser>
        <c:ser>
          <c:idx val="1"/>
          <c:order val="1"/>
          <c:tx>
            <c:strRef>
              <c:f>Sheet1!$A$3</c:f>
              <c:strCache>
                <c:ptCount val="1"/>
                <c:pt idx="0">
                  <c:v>Connecticut</c:v>
                </c:pt>
              </c:strCache>
            </c:strRef>
          </c:tx>
          <c:spPr>
            <a:ln w="28575" cap="rnd">
              <a:solidFill>
                <a:schemeClr val="accent2"/>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Sheet1!$B$3:$V$3</c:f>
              <c:numCache>
                <c:formatCode>0.0%</c:formatCode>
                <c:ptCount val="21"/>
                <c:pt idx="0">
                  <c:v>5.1680533665652603E-2</c:v>
                </c:pt>
                <c:pt idx="1">
                  <c:v>4.9745708836617934E-2</c:v>
                </c:pt>
                <c:pt idx="2">
                  <c:v>0</c:v>
                </c:pt>
                <c:pt idx="3">
                  <c:v>0</c:v>
                </c:pt>
                <c:pt idx="4">
                  <c:v>2.3849359176715698E-2</c:v>
                </c:pt>
                <c:pt idx="5">
                  <c:v>4.8623632209415214E-2</c:v>
                </c:pt>
                <c:pt idx="6">
                  <c:v>7.6448921812509452E-2</c:v>
                </c:pt>
                <c:pt idx="7">
                  <c:v>8.9520810656714869E-2</c:v>
                </c:pt>
                <c:pt idx="8">
                  <c:v>8.4666102920450514E-2</c:v>
                </c:pt>
                <c:pt idx="9">
                  <c:v>8.2215267075645165E-2</c:v>
                </c:pt>
                <c:pt idx="10">
                  <c:v>0</c:v>
                </c:pt>
                <c:pt idx="11">
                  <c:v>0</c:v>
                </c:pt>
                <c:pt idx="12">
                  <c:v>4.9916894249937213E-3</c:v>
                </c:pt>
                <c:pt idx="13">
                  <c:v>1.4228123012556699E-2</c:v>
                </c:pt>
                <c:pt idx="14">
                  <c:v>3.0577149587750298E-2</c:v>
                </c:pt>
                <c:pt idx="15">
                  <c:v>2.3306945584596749E-2</c:v>
                </c:pt>
                <c:pt idx="16">
                  <c:v>1.3123262664638711E-2</c:v>
                </c:pt>
                <c:pt idx="17">
                  <c:v>1.2010131609380201E-2</c:v>
                </c:pt>
                <c:pt idx="18">
                  <c:v>6.3436590169549584E-2</c:v>
                </c:pt>
                <c:pt idx="19">
                  <c:v>0.1107378616235426</c:v>
                </c:pt>
                <c:pt idx="20">
                  <c:v>0.16044293228688319</c:v>
                </c:pt>
              </c:numCache>
            </c:numRef>
          </c:val>
          <c:smooth val="0"/>
          <c:extLst>
            <c:ext xmlns:c16="http://schemas.microsoft.com/office/drawing/2014/chart" uri="{C3380CC4-5D6E-409C-BE32-E72D297353CC}">
              <c16:uniqueId val="{00000001-7F22-4B74-8D08-2551B14C3097}"/>
            </c:ext>
          </c:extLst>
        </c:ser>
        <c:ser>
          <c:idx val="2"/>
          <c:order val="2"/>
          <c:tx>
            <c:strRef>
              <c:f>Sheet1!$A$4</c:f>
              <c:strCache>
                <c:ptCount val="1"/>
                <c:pt idx="0">
                  <c:v>Indiana</c:v>
                </c:pt>
              </c:strCache>
            </c:strRef>
          </c:tx>
          <c:spPr>
            <a:ln w="28575" cap="rnd">
              <a:solidFill>
                <a:schemeClr val="accent3"/>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Sheet1!$B$4:$V$4</c:f>
              <c:numCache>
                <c:formatCode>0.0%</c:formatCode>
                <c:ptCount val="21"/>
                <c:pt idx="0">
                  <c:v>6.0206971920512074E-2</c:v>
                </c:pt>
                <c:pt idx="1">
                  <c:v>5.6528936279989672E-2</c:v>
                </c:pt>
                <c:pt idx="2">
                  <c:v>2.762572787117579E-2</c:v>
                </c:pt>
                <c:pt idx="3">
                  <c:v>2.7015491468536896E-2</c:v>
                </c:pt>
                <c:pt idx="4">
                  <c:v>2.1540760241199594E-2</c:v>
                </c:pt>
                <c:pt idx="5">
                  <c:v>2.6822715831758433E-2</c:v>
                </c:pt>
                <c:pt idx="6">
                  <c:v>2.7446650103311834E-2</c:v>
                </c:pt>
                <c:pt idx="7">
                  <c:v>2.810553046943258E-2</c:v>
                </c:pt>
                <c:pt idx="8">
                  <c:v>2.8515318146111548E-2</c:v>
                </c:pt>
                <c:pt idx="9">
                  <c:v>2.8050447793293087E-2</c:v>
                </c:pt>
                <c:pt idx="10">
                  <c:v>0</c:v>
                </c:pt>
                <c:pt idx="11">
                  <c:v>4.3833097053526957E-3</c:v>
                </c:pt>
                <c:pt idx="12">
                  <c:v>2.5601444632143065E-2</c:v>
                </c:pt>
                <c:pt idx="13">
                  <c:v>3.6154218694068353E-2</c:v>
                </c:pt>
                <c:pt idx="14">
                  <c:v>6.6577338005909439E-2</c:v>
                </c:pt>
                <c:pt idx="15">
                  <c:v>8.3977796972192653E-2</c:v>
                </c:pt>
                <c:pt idx="16">
                  <c:v>9.7935359060738456E-2</c:v>
                </c:pt>
                <c:pt idx="17">
                  <c:v>9.5400781634184861E-2</c:v>
                </c:pt>
                <c:pt idx="18">
                  <c:v>9.0181175767820476E-2</c:v>
                </c:pt>
                <c:pt idx="19">
                  <c:v>8.8183443183842442E-2</c:v>
                </c:pt>
                <c:pt idx="20">
                  <c:v>5.3086472058636619E-2</c:v>
                </c:pt>
              </c:numCache>
            </c:numRef>
          </c:val>
          <c:smooth val="0"/>
          <c:extLst>
            <c:ext xmlns:c16="http://schemas.microsoft.com/office/drawing/2014/chart" uri="{C3380CC4-5D6E-409C-BE32-E72D297353CC}">
              <c16:uniqueId val="{00000002-7F22-4B74-8D08-2551B14C3097}"/>
            </c:ext>
          </c:extLst>
        </c:ser>
        <c:ser>
          <c:idx val="3"/>
          <c:order val="3"/>
          <c:tx>
            <c:strRef>
              <c:f>Sheet1!$A$5</c:f>
              <c:strCache>
                <c:ptCount val="1"/>
                <c:pt idx="0">
                  <c:v>Michigan</c:v>
                </c:pt>
              </c:strCache>
            </c:strRef>
          </c:tx>
          <c:spPr>
            <a:ln w="28575" cap="rnd">
              <a:solidFill>
                <a:schemeClr val="accent4"/>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Sheet1!$B$5:$V$5</c:f>
              <c:numCache>
                <c:formatCode>0.0%</c:formatCode>
                <c:ptCount val="21"/>
                <c:pt idx="0">
                  <c:v>0.13203842940685001</c:v>
                </c:pt>
                <c:pt idx="1">
                  <c:v>0.10229131727593552</c:v>
                </c:pt>
                <c:pt idx="2">
                  <c:v>1.5889540299161689E-2</c:v>
                </c:pt>
                <c:pt idx="3">
                  <c:v>0</c:v>
                </c:pt>
                <c:pt idx="4">
                  <c:v>9.3592512598992088E-3</c:v>
                </c:pt>
                <c:pt idx="5">
                  <c:v>2.1979801719051862E-4</c:v>
                </c:pt>
                <c:pt idx="6">
                  <c:v>2.3262254223206869E-4</c:v>
                </c:pt>
                <c:pt idx="7">
                  <c:v>2.3370726495726497E-4</c:v>
                </c:pt>
                <c:pt idx="8">
                  <c:v>2.2256618814936213E-4</c:v>
                </c:pt>
                <c:pt idx="9">
                  <c:v>2.6018260087989025E-4</c:v>
                </c:pt>
                <c:pt idx="10">
                  <c:v>2.8552146602294555E-4</c:v>
                </c:pt>
                <c:pt idx="11">
                  <c:v>2.6775065112090158E-4</c:v>
                </c:pt>
                <c:pt idx="12">
                  <c:v>4.4274401852952242E-2</c:v>
                </c:pt>
                <c:pt idx="13">
                  <c:v>5.7120907427073687E-2</c:v>
                </c:pt>
                <c:pt idx="14">
                  <c:v>4.3001892884979402E-2</c:v>
                </c:pt>
                <c:pt idx="15">
                  <c:v>5.4126596033686504E-2</c:v>
                </c:pt>
                <c:pt idx="16">
                  <c:v>6.3236372272647473E-2</c:v>
                </c:pt>
                <c:pt idx="17">
                  <c:v>7.2379554305054342E-2</c:v>
                </c:pt>
                <c:pt idx="18">
                  <c:v>9.9787748948663019E-2</c:v>
                </c:pt>
                <c:pt idx="19">
                  <c:v>0.11009930600820521</c:v>
                </c:pt>
                <c:pt idx="20">
                  <c:v>9.3276488520422515E-2</c:v>
                </c:pt>
              </c:numCache>
            </c:numRef>
          </c:val>
          <c:smooth val="0"/>
          <c:extLst>
            <c:ext xmlns:c16="http://schemas.microsoft.com/office/drawing/2014/chart" uri="{C3380CC4-5D6E-409C-BE32-E72D297353CC}">
              <c16:uniqueId val="{00000003-7F22-4B74-8D08-2551B14C3097}"/>
            </c:ext>
          </c:extLst>
        </c:ser>
        <c:ser>
          <c:idx val="4"/>
          <c:order val="4"/>
          <c:tx>
            <c:strRef>
              <c:f>Sheet1!$A$6</c:f>
              <c:strCache>
                <c:ptCount val="1"/>
                <c:pt idx="0">
                  <c:v>Virginia</c:v>
                </c:pt>
              </c:strCache>
            </c:strRef>
          </c:tx>
          <c:spPr>
            <a:ln w="28575" cap="rnd">
              <a:solidFill>
                <a:schemeClr val="accent5"/>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Sheet1!$B$6:$V$6</c:f>
              <c:numCache>
                <c:formatCode>0.0%</c:formatCode>
                <c:ptCount val="21"/>
                <c:pt idx="0">
                  <c:v>5.0932040383984682E-2</c:v>
                </c:pt>
                <c:pt idx="1">
                  <c:v>5.7285579340047077E-2</c:v>
                </c:pt>
                <c:pt idx="2">
                  <c:v>3.9227083627425739E-2</c:v>
                </c:pt>
                <c:pt idx="3">
                  <c:v>2.0423625820217887E-2</c:v>
                </c:pt>
                <c:pt idx="4">
                  <c:v>2.7448131105190926E-2</c:v>
                </c:pt>
                <c:pt idx="5">
                  <c:v>3.4750115332610257E-2</c:v>
                </c:pt>
                <c:pt idx="6">
                  <c:v>6.9899814861014459E-2</c:v>
                </c:pt>
                <c:pt idx="7">
                  <c:v>6.6344737369346971E-2</c:v>
                </c:pt>
                <c:pt idx="8">
                  <c:v>5.879038325241262E-2</c:v>
                </c:pt>
                <c:pt idx="9">
                  <c:v>3.6072213670184324E-2</c:v>
                </c:pt>
                <c:pt idx="10">
                  <c:v>1.9963886465539978E-2</c:v>
                </c:pt>
                <c:pt idx="11">
                  <c:v>1.9369286483220186E-2</c:v>
                </c:pt>
                <c:pt idx="12">
                  <c:v>1.8530750036694552E-2</c:v>
                </c:pt>
                <c:pt idx="13">
                  <c:v>2.5670951966900286E-2</c:v>
                </c:pt>
                <c:pt idx="14">
                  <c:v>3.8830838746116918E-2</c:v>
                </c:pt>
                <c:pt idx="15">
                  <c:v>2.5641166215282726E-2</c:v>
                </c:pt>
                <c:pt idx="16">
                  <c:v>1.2328487443788901E-2</c:v>
                </c:pt>
                <c:pt idx="17">
                  <c:v>2.7283528961406331E-2</c:v>
                </c:pt>
                <c:pt idx="18">
                  <c:v>2.1501327634853958E-2</c:v>
                </c:pt>
                <c:pt idx="19">
                  <c:v>3.6927883606519156E-2</c:v>
                </c:pt>
                <c:pt idx="20">
                  <c:v>4.8087407174747049E-2</c:v>
                </c:pt>
              </c:numCache>
            </c:numRef>
          </c:val>
          <c:smooth val="0"/>
          <c:extLst>
            <c:ext xmlns:c16="http://schemas.microsoft.com/office/drawing/2014/chart" uri="{C3380CC4-5D6E-409C-BE32-E72D297353CC}">
              <c16:uniqueId val="{00000004-7F22-4B74-8D08-2551B14C3097}"/>
            </c:ext>
          </c:extLst>
        </c:ser>
        <c:dLbls>
          <c:showLegendKey val="0"/>
          <c:showVal val="0"/>
          <c:showCatName val="0"/>
          <c:showSerName val="0"/>
          <c:showPercent val="0"/>
          <c:showBubbleSize val="0"/>
        </c:dLbls>
        <c:smooth val="0"/>
        <c:axId val="1479856288"/>
        <c:axId val="1208706144"/>
      </c:lineChart>
      <c:catAx>
        <c:axId val="1479856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crossAx val="1208706144"/>
        <c:crosses val="autoZero"/>
        <c:auto val="1"/>
        <c:lblAlgn val="ctr"/>
        <c:lblOffset val="100"/>
        <c:noMultiLvlLbl val="0"/>
      </c:catAx>
      <c:valAx>
        <c:axId val="1208706144"/>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crossAx val="14798562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ko-K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ko-K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'[통합 문서1.xlsx]Sheet2'!$A$2</c:f>
              <c:strCache>
                <c:ptCount val="1"/>
                <c:pt idx="0">
                  <c:v>Nebraska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'[통합 문서1.xlsx]Sheet2'!$B$1:$V$1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'[통합 문서1.xlsx]Sheet2'!$B$2:$V$2</c:f>
              <c:numCache>
                <c:formatCode>0.0%</c:formatCode>
                <c:ptCount val="21"/>
                <c:pt idx="0">
                  <c:v>6.0662941000810544E-2</c:v>
                </c:pt>
                <c:pt idx="1">
                  <c:v>6.8687194802050114E-2</c:v>
                </c:pt>
                <c:pt idx="2">
                  <c:v>4.2328856736060343E-2</c:v>
                </c:pt>
                <c:pt idx="3">
                  <c:v>2.2565864833906071E-2</c:v>
                </c:pt>
                <c:pt idx="4">
                  <c:v>3.3779848573092602E-2</c:v>
                </c:pt>
                <c:pt idx="5">
                  <c:v>6.5137479782384933E-2</c:v>
                </c:pt>
                <c:pt idx="6">
                  <c:v>9.3833596268605532E-2</c:v>
                </c:pt>
                <c:pt idx="7">
                  <c:v>0.16515200000000002</c:v>
                </c:pt>
                <c:pt idx="8">
                  <c:v>0.16797019337356817</c:v>
                </c:pt>
                <c:pt idx="9">
                  <c:v>0.17370666346211622</c:v>
                </c:pt>
                <c:pt idx="10">
                  <c:v>0.14102022336251133</c:v>
                </c:pt>
                <c:pt idx="11">
                  <c:v>9.4289068850287511E-2</c:v>
                </c:pt>
                <c:pt idx="12">
                  <c:v>0.12447398206460225</c:v>
                </c:pt>
                <c:pt idx="13">
                  <c:v>0.10700952805482811</c:v>
                </c:pt>
                <c:pt idx="14">
                  <c:v>0.18968609865470853</c:v>
                </c:pt>
                <c:pt idx="15">
                  <c:v>0.180577610162763</c:v>
                </c:pt>
                <c:pt idx="16">
                  <c:v>0.17415864238726284</c:v>
                </c:pt>
                <c:pt idx="17">
                  <c:v>0.15722732942209083</c:v>
                </c:pt>
                <c:pt idx="18">
                  <c:v>7.816631032025198E-2</c:v>
                </c:pt>
                <c:pt idx="19">
                  <c:v>7.6375211835295193E-2</c:v>
                </c:pt>
                <c:pt idx="20">
                  <c:v>9.4762815098030487E-2</c:v>
                </c:pt>
              </c:numCache>
            </c:numRef>
          </c:val>
          <c:smooth val="0"/>
          <c:extLst>
            <c:ext xmlns:c16="http://schemas.microsoft.com/office/drawing/2014/chart" uri="{C3380CC4-5D6E-409C-BE32-E72D297353CC}">
              <c16:uniqueId val="{00000000-20B5-4B10-883F-E918904155F5}"/>
            </c:ext>
          </c:extLst>
        </c:ser>
        <c:ser>
          <c:idx val="1"/>
          <c:order val="1"/>
          <c:tx>
            <c:strRef>
              <c:f>'[통합 문서1.xlsx]Sheet2'!$A$3</c:f>
              <c:strCache>
                <c:ptCount val="1"/>
                <c:pt idx="0">
                  <c:v>New Hampshire</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'[통합 문서1.xlsx]Sheet2'!$B$1:$V$1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'[통합 문서1.xlsx]Sheet2'!$B$3:$V$3</c:f>
              <c:numCache>
                <c:formatCode>0.0%</c:formatCode>
                <c:ptCount val="21"/>
                <c:pt idx="0">
                  <c:v>1.9455252918287938E-2</c:v>
                </c:pt>
                <c:pt idx="1">
                  <c:v>5.1928504233301975E-2</c:v>
                </c:pt>
                <c:pt idx="2">
                  <c:v>0</c:v>
                </c:pt>
                <c:pt idx="3">
                  <c:v>1.3727979685764164E-2</c:v>
                </c:pt>
                <c:pt idx="4">
                  <c:v>1.3354948278524008E-2</c:v>
                </c:pt>
                <c:pt idx="5">
                  <c:v>1.3059560655242696E-2</c:v>
                </c:pt>
                <c:pt idx="6">
                  <c:v>5.1735772662517804E-2</c:v>
                </c:pt>
                <c:pt idx="7">
                  <c:v>6.5158503550772379E-2</c:v>
                </c:pt>
                <c:pt idx="8">
                  <c:v>5.823082962575242E-2</c:v>
                </c:pt>
                <c:pt idx="9">
                  <c:v>6.5608465608465614E-3</c:v>
                </c:pt>
                <c:pt idx="10">
                  <c:v>6.6187459967262125E-3</c:v>
                </c:pt>
                <c:pt idx="11">
                  <c:v>7.0921985815602844E-3</c:v>
                </c:pt>
                <c:pt idx="12">
                  <c:v>7.4969770253929873E-3</c:v>
                </c:pt>
                <c:pt idx="13">
                  <c:v>7.3991566552629486E-3</c:v>
                </c:pt>
                <c:pt idx="14">
                  <c:v>7.4340527577937653E-3</c:v>
                </c:pt>
                <c:pt idx="15">
                  <c:v>1.7447774039590018E-2</c:v>
                </c:pt>
                <c:pt idx="16">
                  <c:v>6.7206243676831909E-2</c:v>
                </c:pt>
                <c:pt idx="17">
                  <c:v>6.6172578083642131E-2</c:v>
                </c:pt>
                <c:pt idx="18">
                  <c:v>7.3133435276909783E-2</c:v>
                </c:pt>
                <c:pt idx="19">
                  <c:v>7.662147793726741E-2</c:v>
                </c:pt>
                <c:pt idx="20">
                  <c:v>6.842011729162964E-2</c:v>
                </c:pt>
              </c:numCache>
            </c:numRef>
          </c:val>
          <c:smooth val="0"/>
          <c:extLst>
            <c:ext xmlns:c16="http://schemas.microsoft.com/office/drawing/2014/chart" uri="{C3380CC4-5D6E-409C-BE32-E72D297353CC}">
              <c16:uniqueId val="{00000001-20B5-4B10-883F-E918904155F5}"/>
            </c:ext>
          </c:extLst>
        </c:ser>
        <c:dLbls>
          <c:showLegendKey val="0"/>
          <c:showVal val="0"/>
          <c:showCatName val="0"/>
          <c:showSerName val="0"/>
          <c:showPercent val="0"/>
          <c:showBubbleSize val="0"/>
        </c:dLbls>
        <c:marker val="1"/>
        <c:smooth val="0"/>
        <c:axId val="1978976815"/>
        <c:axId val="1934707359"/>
      </c:lineChart>
      <c:catAx>
        <c:axId val="197897681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crossAx val="1934707359"/>
        <c:crosses val="autoZero"/>
        <c:auto val="1"/>
        <c:lblAlgn val="ctr"/>
        <c:lblOffset val="100"/>
        <c:noMultiLvlLbl val="0"/>
      </c:catAx>
      <c:valAx>
        <c:axId val="1934707359"/>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crossAx val="197897681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ko-KR"/>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ko-K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Sheet1!$A$2</c:f>
              <c:strCache>
                <c:ptCount val="1"/>
                <c:pt idx="0">
                  <c:v>Hawaii</c:v>
                </c:pt>
              </c:strCache>
            </c:strRef>
          </c:tx>
          <c:spPr>
            <a:ln w="28575" cap="rnd">
              <a:solidFill>
                <a:schemeClr val="accent2"/>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Sheet1!$B$2:$V$2</c:f>
              <c:numCache>
                <c:formatCode>0.0%</c:formatCode>
                <c:ptCount val="21"/>
                <c:pt idx="0">
                  <c:v>1.8119337706966573E-3</c:v>
                </c:pt>
                <c:pt idx="1">
                  <c:v>6.3008975806930984E-3</c:v>
                </c:pt>
                <c:pt idx="2">
                  <c:v>1.3675774732638604E-2</c:v>
                </c:pt>
                <c:pt idx="3">
                  <c:v>0</c:v>
                </c:pt>
                <c:pt idx="4">
                  <c:v>1.4061401453011484E-2</c:v>
                </c:pt>
                <c:pt idx="5">
                  <c:v>1.2928356354251302E-2</c:v>
                </c:pt>
                <c:pt idx="6">
                  <c:v>1.1433822743690024E-2</c:v>
                </c:pt>
                <c:pt idx="7">
                  <c:v>1.1429102397323917E-2</c:v>
                </c:pt>
                <c:pt idx="8">
                  <c:v>1.3685962641020899E-2</c:v>
                </c:pt>
                <c:pt idx="9">
                  <c:v>1.1236791189165055E-2</c:v>
                </c:pt>
                <c:pt idx="10">
                  <c:v>1.3022448220265409E-2</c:v>
                </c:pt>
                <c:pt idx="11">
                  <c:v>2.0125988689194355E-3</c:v>
                </c:pt>
                <c:pt idx="12">
                  <c:v>4.3909785350098882E-3</c:v>
                </c:pt>
                <c:pt idx="13">
                  <c:v>4.271316871701643E-3</c:v>
                </c:pt>
                <c:pt idx="14">
                  <c:v>1.3258964143426295E-2</c:v>
                </c:pt>
                <c:pt idx="15">
                  <c:v>1.4064302865874576E-2</c:v>
                </c:pt>
                <c:pt idx="16">
                  <c:v>1.4661009560896226E-2</c:v>
                </c:pt>
                <c:pt idx="17">
                  <c:v>4.1586512771187349E-2</c:v>
                </c:pt>
                <c:pt idx="18">
                  <c:v>4.8142595368982175E-2</c:v>
                </c:pt>
                <c:pt idx="19">
                  <c:v>4.7784260759039465E-2</c:v>
                </c:pt>
                <c:pt idx="20">
                  <c:v>7.3308855560395795E-3</c:v>
                </c:pt>
              </c:numCache>
            </c:numRef>
          </c:val>
          <c:smooth val="0"/>
          <c:extLst>
            <c:ext xmlns:c16="http://schemas.microsoft.com/office/drawing/2014/chart" uri="{C3380CC4-5D6E-409C-BE32-E72D297353CC}">
              <c16:uniqueId val="{00000000-8492-4AAD-B045-480E9AF86549}"/>
            </c:ext>
          </c:extLst>
        </c:ser>
        <c:ser>
          <c:idx val="1"/>
          <c:order val="1"/>
          <c:tx>
            <c:strRef>
              <c:f>Sheet1!$A$3</c:f>
              <c:strCache>
                <c:ptCount val="1"/>
                <c:pt idx="0">
                  <c:v>Louisiana</c:v>
                </c:pt>
              </c:strCache>
            </c:strRef>
          </c:tx>
          <c:spPr>
            <a:ln w="28575" cap="rnd">
              <a:solidFill>
                <a:schemeClr val="accent4"/>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Sheet1!$B$3:$V$3</c:f>
              <c:numCache>
                <c:formatCode>0.0%</c:formatCode>
                <c:ptCount val="21"/>
                <c:pt idx="0">
                  <c:v>1.0152633662003339E-2</c:v>
                </c:pt>
                <c:pt idx="1">
                  <c:v>3.1320159864974599E-2</c:v>
                </c:pt>
                <c:pt idx="2">
                  <c:v>4.1002558806301451E-2</c:v>
                </c:pt>
                <c:pt idx="3">
                  <c:v>0</c:v>
                </c:pt>
                <c:pt idx="4">
                  <c:v>3.5397313768416074E-2</c:v>
                </c:pt>
                <c:pt idx="5">
                  <c:v>6.4785451688041978E-2</c:v>
                </c:pt>
                <c:pt idx="6">
                  <c:v>8.8009198847560116E-2</c:v>
                </c:pt>
                <c:pt idx="7">
                  <c:v>7.2127371846342395E-2</c:v>
                </c:pt>
                <c:pt idx="8">
                  <c:v>8.0518240142848238E-2</c:v>
                </c:pt>
                <c:pt idx="9">
                  <c:v>9.0996301309997113E-2</c:v>
                </c:pt>
                <c:pt idx="10">
                  <c:v>7.4158959770578264E-2</c:v>
                </c:pt>
                <c:pt idx="11">
                  <c:v>8.3114880493446411E-2</c:v>
                </c:pt>
                <c:pt idx="12">
                  <c:v>5.3787226766292245E-2</c:v>
                </c:pt>
                <c:pt idx="13">
                  <c:v>5.3039503307645772E-2</c:v>
                </c:pt>
                <c:pt idx="14">
                  <c:v>5.178900151462193E-2</c:v>
                </c:pt>
                <c:pt idx="15">
                  <c:v>5.4715888998124011E-2</c:v>
                </c:pt>
                <c:pt idx="16">
                  <c:v>4.1242716364118893E-2</c:v>
                </c:pt>
                <c:pt idx="17">
                  <c:v>3.1348598695459841E-2</c:v>
                </c:pt>
                <c:pt idx="18">
                  <c:v>3.3426564385038007E-2</c:v>
                </c:pt>
                <c:pt idx="19">
                  <c:v>4.0520096876363161E-2</c:v>
                </c:pt>
                <c:pt idx="20">
                  <c:v>5.6033425878127825E-2</c:v>
                </c:pt>
              </c:numCache>
            </c:numRef>
          </c:val>
          <c:smooth val="0"/>
          <c:extLst>
            <c:ext xmlns:c16="http://schemas.microsoft.com/office/drawing/2014/chart" uri="{C3380CC4-5D6E-409C-BE32-E72D297353CC}">
              <c16:uniqueId val="{00000001-8492-4AAD-B045-480E9AF86549}"/>
            </c:ext>
          </c:extLst>
        </c:ser>
        <c:ser>
          <c:idx val="2"/>
          <c:order val="2"/>
          <c:tx>
            <c:strRef>
              <c:f>Sheet1!$A$4</c:f>
              <c:strCache>
                <c:ptCount val="1"/>
                <c:pt idx="0">
                  <c:v>Texas</c:v>
                </c:pt>
              </c:strCache>
            </c:strRef>
          </c:tx>
          <c:spPr>
            <a:ln w="28575" cap="rnd">
              <a:solidFill>
                <a:schemeClr val="accent6"/>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Sheet1!$B$4:$V$4</c:f>
              <c:numCache>
                <c:formatCode>0.0%</c:formatCode>
                <c:ptCount val="21"/>
                <c:pt idx="0">
                  <c:v>3.0808178170932646E-3</c:v>
                </c:pt>
                <c:pt idx="1">
                  <c:v>6.7751845505104663E-3</c:v>
                </c:pt>
                <c:pt idx="2">
                  <c:v>3.0244371530989404E-2</c:v>
                </c:pt>
                <c:pt idx="3">
                  <c:v>1.8283533402922755E-2</c:v>
                </c:pt>
                <c:pt idx="4">
                  <c:v>1.243952065654538E-2</c:v>
                </c:pt>
                <c:pt idx="5">
                  <c:v>2.3223585452911185E-4</c:v>
                </c:pt>
                <c:pt idx="6">
                  <c:v>1.265435375976715E-2</c:v>
                </c:pt>
                <c:pt idx="7">
                  <c:v>3.6307860981369865E-2</c:v>
                </c:pt>
                <c:pt idx="8">
                  <c:v>0.10985585108395444</c:v>
                </c:pt>
                <c:pt idx="9">
                  <c:v>0.14797375203072793</c:v>
                </c:pt>
                <c:pt idx="10">
                  <c:v>0.19492208285822882</c:v>
                </c:pt>
                <c:pt idx="11">
                  <c:v>0.12946251000852338</c:v>
                </c:pt>
                <c:pt idx="12">
                  <c:v>0.13759162449305015</c:v>
                </c:pt>
                <c:pt idx="13">
                  <c:v>0.15117075381241754</c:v>
                </c:pt>
                <c:pt idx="14">
                  <c:v>0.14334744675391325</c:v>
                </c:pt>
                <c:pt idx="15">
                  <c:v>0.17175439379251323</c:v>
                </c:pt>
                <c:pt idx="16">
                  <c:v>0.18000919862836556</c:v>
                </c:pt>
                <c:pt idx="17">
                  <c:v>0.19168150692586824</c:v>
                </c:pt>
                <c:pt idx="18">
                  <c:v>0.19702800540232898</c:v>
                </c:pt>
                <c:pt idx="19">
                  <c:v>0.19317077649327102</c:v>
                </c:pt>
                <c:pt idx="20">
                  <c:v>0.15143211602483928</c:v>
                </c:pt>
              </c:numCache>
            </c:numRef>
          </c:val>
          <c:smooth val="0"/>
          <c:extLst>
            <c:ext xmlns:c16="http://schemas.microsoft.com/office/drawing/2014/chart" uri="{C3380CC4-5D6E-409C-BE32-E72D297353CC}">
              <c16:uniqueId val="{00000002-8492-4AAD-B045-480E9AF86549}"/>
            </c:ext>
          </c:extLst>
        </c:ser>
        <c:dLbls>
          <c:showLegendKey val="0"/>
          <c:showVal val="0"/>
          <c:showCatName val="0"/>
          <c:showSerName val="0"/>
          <c:showPercent val="0"/>
          <c:showBubbleSize val="0"/>
        </c:dLbls>
        <c:smooth val="0"/>
        <c:axId val="1933890895"/>
        <c:axId val="1843324415"/>
      </c:lineChart>
      <c:catAx>
        <c:axId val="193389089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crossAx val="1843324415"/>
        <c:crosses val="autoZero"/>
        <c:auto val="1"/>
        <c:lblAlgn val="ctr"/>
        <c:lblOffset val="100"/>
        <c:noMultiLvlLbl val="0"/>
      </c:catAx>
      <c:valAx>
        <c:axId val="1843324415"/>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crossAx val="193389089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ko-KR"/>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ko-K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Sheet1!$A$2</c:f>
              <c:strCache>
                <c:ptCount val="1"/>
                <c:pt idx="0">
                  <c:v>Illinois</c:v>
                </c:pt>
              </c:strCache>
            </c:strRef>
          </c:tx>
          <c:spPr>
            <a:ln w="28575" cap="rnd">
              <a:solidFill>
                <a:schemeClr val="accent1"/>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Sheet1!$B$2:$V$2</c:f>
              <c:numCache>
                <c:formatCode>0.0%</c:formatCode>
                <c:ptCount val="21"/>
                <c:pt idx="0">
                  <c:v>0</c:v>
                </c:pt>
                <c:pt idx="1">
                  <c:v>9.1848356322636743E-3</c:v>
                </c:pt>
                <c:pt idx="2">
                  <c:v>9.9390463792845656E-3</c:v>
                </c:pt>
                <c:pt idx="3">
                  <c:v>1.0309137083660679E-2</c:v>
                </c:pt>
                <c:pt idx="4">
                  <c:v>1.1770726714431934E-2</c:v>
                </c:pt>
                <c:pt idx="5">
                  <c:v>1.2441399206635412E-2</c:v>
                </c:pt>
                <c:pt idx="6">
                  <c:v>1.1408258587194643E-2</c:v>
                </c:pt>
                <c:pt idx="7">
                  <c:v>1.0774936560609018E-2</c:v>
                </c:pt>
                <c:pt idx="8">
                  <c:v>1.0164622693625013E-2</c:v>
                </c:pt>
                <c:pt idx="9">
                  <c:v>1.029966040974736E-2</c:v>
                </c:pt>
                <c:pt idx="10">
                  <c:v>0</c:v>
                </c:pt>
                <c:pt idx="11">
                  <c:v>0</c:v>
                </c:pt>
                <c:pt idx="12">
                  <c:v>0</c:v>
                </c:pt>
                <c:pt idx="13">
                  <c:v>0</c:v>
                </c:pt>
                <c:pt idx="14">
                  <c:v>8.7582197655579914E-3</c:v>
                </c:pt>
                <c:pt idx="15">
                  <c:v>8.9620648181256701E-3</c:v>
                </c:pt>
                <c:pt idx="16">
                  <c:v>1.0076457168679529E-2</c:v>
                </c:pt>
                <c:pt idx="17">
                  <c:v>3.1924155944664797E-4</c:v>
                </c:pt>
                <c:pt idx="18">
                  <c:v>1.0731734869665903E-4</c:v>
                </c:pt>
                <c:pt idx="19">
                  <c:v>9.8427887901572116E-5</c:v>
                </c:pt>
                <c:pt idx="20">
                  <c:v>9.8971875670904804E-5</c:v>
                </c:pt>
              </c:numCache>
            </c:numRef>
          </c:val>
          <c:smooth val="0"/>
          <c:extLst>
            <c:ext xmlns:c16="http://schemas.microsoft.com/office/drawing/2014/chart" uri="{C3380CC4-5D6E-409C-BE32-E72D297353CC}">
              <c16:uniqueId val="{00000000-4674-47C7-8408-5C6ADDB5B7DE}"/>
            </c:ext>
          </c:extLst>
        </c:ser>
        <c:ser>
          <c:idx val="1"/>
          <c:order val="1"/>
          <c:tx>
            <c:strRef>
              <c:f>Sheet1!$A$3</c:f>
              <c:strCache>
                <c:ptCount val="1"/>
                <c:pt idx="0">
                  <c:v>Mississippi</c:v>
                </c:pt>
              </c:strCache>
            </c:strRef>
          </c:tx>
          <c:spPr>
            <a:ln w="28575" cap="rnd">
              <a:solidFill>
                <a:schemeClr val="accent2"/>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Sheet1!$B$3:$V$3</c:f>
              <c:numCache>
                <c:formatCode>0.0%</c:formatCode>
                <c:ptCount val="21"/>
                <c:pt idx="0">
                  <c:v>6.597814953909184E-2</c:v>
                </c:pt>
                <c:pt idx="1">
                  <c:v>5.2407422771647443E-2</c:v>
                </c:pt>
                <c:pt idx="2">
                  <c:v>3.101684969402297E-2</c:v>
                </c:pt>
                <c:pt idx="3">
                  <c:v>6.5365148228488795E-3</c:v>
                </c:pt>
                <c:pt idx="4">
                  <c:v>1.1417432470064048E-2</c:v>
                </c:pt>
                <c:pt idx="5">
                  <c:v>5.4105492115280041E-3</c:v>
                </c:pt>
                <c:pt idx="6">
                  <c:v>1.7012794363063233E-2</c:v>
                </c:pt>
                <c:pt idx="7">
                  <c:v>1.2398490220748027E-2</c:v>
                </c:pt>
                <c:pt idx="8">
                  <c:v>7.0948178672783108E-2</c:v>
                </c:pt>
                <c:pt idx="9">
                  <c:v>6.7014446227929375E-2</c:v>
                </c:pt>
                <c:pt idx="10">
                  <c:v>5.9494872329096928E-2</c:v>
                </c:pt>
                <c:pt idx="11">
                  <c:v>4.2179184241326766E-2</c:v>
                </c:pt>
                <c:pt idx="12">
                  <c:v>2.0736219054420083E-2</c:v>
                </c:pt>
                <c:pt idx="13">
                  <c:v>6.6398263105752406E-3</c:v>
                </c:pt>
                <c:pt idx="14">
                  <c:v>2.0217872968980796E-2</c:v>
                </c:pt>
                <c:pt idx="15">
                  <c:v>7.1436322204940866E-2</c:v>
                </c:pt>
                <c:pt idx="16">
                  <c:v>6.0999215275961291E-2</c:v>
                </c:pt>
                <c:pt idx="17">
                  <c:v>4.746919364248714E-2</c:v>
                </c:pt>
                <c:pt idx="18">
                  <c:v>5.2962909821364514E-2</c:v>
                </c:pt>
                <c:pt idx="19">
                  <c:v>6.3196891659889759E-2</c:v>
                </c:pt>
                <c:pt idx="20">
                  <c:v>8.736982063719162E-2</c:v>
                </c:pt>
              </c:numCache>
            </c:numRef>
          </c:val>
          <c:smooth val="0"/>
          <c:extLst>
            <c:ext xmlns:c16="http://schemas.microsoft.com/office/drawing/2014/chart" uri="{C3380CC4-5D6E-409C-BE32-E72D297353CC}">
              <c16:uniqueId val="{00000001-4674-47C7-8408-5C6ADDB5B7DE}"/>
            </c:ext>
          </c:extLst>
        </c:ser>
        <c:ser>
          <c:idx val="2"/>
          <c:order val="2"/>
          <c:tx>
            <c:strRef>
              <c:f>Sheet1!$A$4</c:f>
              <c:strCache>
                <c:ptCount val="1"/>
                <c:pt idx="0">
                  <c:v>Missouri</c:v>
                </c:pt>
              </c:strCache>
            </c:strRef>
          </c:tx>
          <c:spPr>
            <a:ln w="28575" cap="rnd">
              <a:solidFill>
                <a:schemeClr val="accent3"/>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Sheet1!$B$4:$V$4</c:f>
              <c:numCache>
                <c:formatCode>0.0%</c:formatCode>
                <c:ptCount val="21"/>
                <c:pt idx="0">
                  <c:v>3.9919996734560592E-2</c:v>
                </c:pt>
                <c:pt idx="1">
                  <c:v>5.8473479948253561E-2</c:v>
                </c:pt>
                <c:pt idx="2">
                  <c:v>6.1482702674412512E-2</c:v>
                </c:pt>
                <c:pt idx="3">
                  <c:v>7.2454911546718057E-2</c:v>
                </c:pt>
                <c:pt idx="4">
                  <c:v>6.6676673671570097E-2</c:v>
                </c:pt>
                <c:pt idx="5">
                  <c:v>6.5062914279294504E-2</c:v>
                </c:pt>
                <c:pt idx="6">
                  <c:v>6.9190367099107725E-2</c:v>
                </c:pt>
                <c:pt idx="7">
                  <c:v>6.822401383555024E-2</c:v>
                </c:pt>
                <c:pt idx="8">
                  <c:v>6.9022318000544938E-2</c:v>
                </c:pt>
                <c:pt idx="9">
                  <c:v>6.6283171176289554E-2</c:v>
                </c:pt>
                <c:pt idx="10">
                  <c:v>6.9671589738170087E-2</c:v>
                </c:pt>
                <c:pt idx="11">
                  <c:v>6.6397599360528345E-2</c:v>
                </c:pt>
                <c:pt idx="12">
                  <c:v>6.2713380450256373E-2</c:v>
                </c:pt>
                <c:pt idx="13">
                  <c:v>6.2871527734506438E-2</c:v>
                </c:pt>
                <c:pt idx="14">
                  <c:v>6.6451997614788316E-2</c:v>
                </c:pt>
                <c:pt idx="15">
                  <c:v>6.2076142770553851E-2</c:v>
                </c:pt>
                <c:pt idx="16">
                  <c:v>6.4861272636650605E-2</c:v>
                </c:pt>
                <c:pt idx="17">
                  <c:v>6.4579975140040685E-2</c:v>
                </c:pt>
                <c:pt idx="18">
                  <c:v>6.6496163682864456E-2</c:v>
                </c:pt>
                <c:pt idx="19">
                  <c:v>6.8266146783221168E-2</c:v>
                </c:pt>
                <c:pt idx="20">
                  <c:v>7.081365684199098E-2</c:v>
                </c:pt>
              </c:numCache>
            </c:numRef>
          </c:val>
          <c:smooth val="0"/>
          <c:extLst>
            <c:ext xmlns:c16="http://schemas.microsoft.com/office/drawing/2014/chart" uri="{C3380CC4-5D6E-409C-BE32-E72D297353CC}">
              <c16:uniqueId val="{00000002-4674-47C7-8408-5C6ADDB5B7DE}"/>
            </c:ext>
          </c:extLst>
        </c:ser>
        <c:ser>
          <c:idx val="3"/>
          <c:order val="3"/>
          <c:tx>
            <c:strRef>
              <c:f>Sheet1!$A$5</c:f>
              <c:strCache>
                <c:ptCount val="1"/>
                <c:pt idx="0">
                  <c:v>Rhode Island</c:v>
                </c:pt>
              </c:strCache>
            </c:strRef>
          </c:tx>
          <c:spPr>
            <a:ln w="28575" cap="rnd">
              <a:solidFill>
                <a:schemeClr val="accent4"/>
              </a:solidFill>
              <a:round/>
            </a:ln>
            <a:effectLst/>
          </c:spPr>
          <c:marker>
            <c:symbol val="none"/>
          </c:marker>
          <c:cat>
            <c:strRef>
              <c:f>Sheet1!$B$1:$V$1</c:f>
              <c:strCache>
                <c:ptCount val="21"/>
                <c:pt idx="0">
                  <c:v>FY 2000</c:v>
                </c:pt>
                <c:pt idx="1">
                  <c:v>FY 2001</c:v>
                </c:pt>
                <c:pt idx="2">
                  <c:v>FY 2002</c:v>
                </c:pt>
                <c:pt idx="3">
                  <c:v>FY 2003</c:v>
                </c:pt>
                <c:pt idx="4">
                  <c:v>FY 2004</c:v>
                </c:pt>
                <c:pt idx="5">
                  <c:v>FY 2005</c:v>
                </c:pt>
                <c:pt idx="6">
                  <c:v>FY 2006</c:v>
                </c:pt>
                <c:pt idx="7">
                  <c:v>FY 2007</c:v>
                </c:pt>
                <c:pt idx="8">
                  <c:v>FY 2008</c:v>
                </c:pt>
                <c:pt idx="9">
                  <c:v>FY 2009</c:v>
                </c:pt>
                <c:pt idx="10">
                  <c:v>FY 2010</c:v>
                </c:pt>
                <c:pt idx="11">
                  <c:v>FY 2011</c:v>
                </c:pt>
                <c:pt idx="12">
                  <c:v>FY 2012</c:v>
                </c:pt>
                <c:pt idx="13">
                  <c:v>FY 2013</c:v>
                </c:pt>
                <c:pt idx="14">
                  <c:v>FY 2014</c:v>
                </c:pt>
                <c:pt idx="15">
                  <c:v>FY 2015</c:v>
                </c:pt>
                <c:pt idx="16">
                  <c:v> FY 2016</c:v>
                </c:pt>
                <c:pt idx="17">
                  <c:v> FY 2017</c:v>
                </c:pt>
                <c:pt idx="18">
                  <c:v> FY 2018</c:v>
                </c:pt>
                <c:pt idx="19">
                  <c:v>FY 2019</c:v>
                </c:pt>
                <c:pt idx="20">
                  <c:v>FY 2020</c:v>
                </c:pt>
              </c:strCache>
            </c:strRef>
          </c:cat>
          <c:val>
            <c:numRef>
              <c:f>Sheet1!$B$5:$V$5</c:f>
              <c:numCache>
                <c:formatCode>0.0%</c:formatCode>
                <c:ptCount val="21"/>
                <c:pt idx="0">
                  <c:v>3.1964493858154759E-2</c:v>
                </c:pt>
                <c:pt idx="1">
                  <c:v>3.2102146856245219E-2</c:v>
                </c:pt>
                <c:pt idx="2">
                  <c:v>3.0941061051996076E-2</c:v>
                </c:pt>
                <c:pt idx="3">
                  <c:v>3.1065363605960388E-2</c:v>
                </c:pt>
                <c:pt idx="4">
                  <c:v>3.0915092609572713E-2</c:v>
                </c:pt>
                <c:pt idx="5">
                  <c:v>3.1056749461888005E-2</c:v>
                </c:pt>
                <c:pt idx="6">
                  <c:v>3.1040541419925818E-2</c:v>
                </c:pt>
                <c:pt idx="7">
                  <c:v>2.4457704021381067E-2</c:v>
                </c:pt>
                <c:pt idx="8">
                  <c:v>3.0217601973394414E-2</c:v>
                </c:pt>
                <c:pt idx="9">
                  <c:v>2.6689324270291883E-2</c:v>
                </c:pt>
                <c:pt idx="10">
                  <c:v>3.9209838860053858E-2</c:v>
                </c:pt>
                <c:pt idx="11">
                  <c:v>4.3978349120433018E-2</c:v>
                </c:pt>
                <c:pt idx="12">
                  <c:v>4.9321587036203464E-2</c:v>
                </c:pt>
                <c:pt idx="13">
                  <c:v>5.3482587064676616E-2</c:v>
                </c:pt>
                <c:pt idx="14">
                  <c:v>5.2951753071621213E-2</c:v>
                </c:pt>
                <c:pt idx="15">
                  <c:v>5.3678450447320419E-2</c:v>
                </c:pt>
                <c:pt idx="16">
                  <c:v>5.4003776882099265E-2</c:v>
                </c:pt>
                <c:pt idx="17">
                  <c:v>5.2443839346494214E-2</c:v>
                </c:pt>
                <c:pt idx="18">
                  <c:v>5.2255314310684517E-2</c:v>
                </c:pt>
                <c:pt idx="19">
                  <c:v>5.1950218666600427E-2</c:v>
                </c:pt>
                <c:pt idx="20">
                  <c:v>2.3043161331976439E-2</c:v>
                </c:pt>
              </c:numCache>
            </c:numRef>
          </c:val>
          <c:smooth val="0"/>
          <c:extLst>
            <c:ext xmlns:c16="http://schemas.microsoft.com/office/drawing/2014/chart" uri="{C3380CC4-5D6E-409C-BE32-E72D297353CC}">
              <c16:uniqueId val="{00000003-4674-47C7-8408-5C6ADDB5B7DE}"/>
            </c:ext>
          </c:extLst>
        </c:ser>
        <c:dLbls>
          <c:showLegendKey val="0"/>
          <c:showVal val="0"/>
          <c:showCatName val="0"/>
          <c:showSerName val="0"/>
          <c:showPercent val="0"/>
          <c:showBubbleSize val="0"/>
        </c:dLbls>
        <c:smooth val="0"/>
        <c:axId val="1148728800"/>
        <c:axId val="1149982432"/>
      </c:lineChart>
      <c:catAx>
        <c:axId val="11487288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crossAx val="1149982432"/>
        <c:crosses val="autoZero"/>
        <c:auto val="1"/>
        <c:lblAlgn val="ctr"/>
        <c:lblOffset val="100"/>
        <c:noMultiLvlLbl val="0"/>
      </c:catAx>
      <c:valAx>
        <c:axId val="114998243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crossAx val="11487288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ko-K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ko-K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06A130DD6E9461FAC2EB6C837516CED"/>
        <w:category>
          <w:name w:val="일반"/>
          <w:gallery w:val="placeholder"/>
        </w:category>
        <w:types>
          <w:type w:val="bbPlcHdr"/>
        </w:types>
        <w:behaviors>
          <w:behavior w:val="content"/>
        </w:behaviors>
        <w:guid w:val="{F81DE81B-672D-4E2A-936B-2C4A4B6DB9BA}"/>
      </w:docPartPr>
      <w:docPartBody>
        <w:p w:rsidR="0052470F" w:rsidRDefault="002A0099" w:rsidP="002A0099">
          <w:pPr>
            <w:pStyle w:val="506A130DD6E9461FAC2EB6C837516CED"/>
          </w:pPr>
          <w:r w:rsidRPr="00666DDA">
            <w:rPr>
              <w:rStyle w:val="a3"/>
            </w:rPr>
            <w:t>Click or tap here to enter text.</w:t>
          </w:r>
        </w:p>
      </w:docPartBody>
    </w:docPart>
    <w:docPart>
      <w:docPartPr>
        <w:name w:val="A8204E284AB740B88D3300B652FFDEDA"/>
        <w:category>
          <w:name w:val="일반"/>
          <w:gallery w:val="placeholder"/>
        </w:category>
        <w:types>
          <w:type w:val="bbPlcHdr"/>
        </w:types>
        <w:behaviors>
          <w:behavior w:val="content"/>
        </w:behaviors>
        <w:guid w:val="{E62040BB-628F-4A9A-81A4-59D3F4F0108E}"/>
      </w:docPartPr>
      <w:docPartBody>
        <w:p w:rsidR="0052470F" w:rsidRDefault="002A0099" w:rsidP="002A0099">
          <w:pPr>
            <w:pStyle w:val="A8204E284AB740B88D3300B652FFDEDA"/>
          </w:pPr>
          <w:r w:rsidRPr="00013068">
            <w:rPr>
              <w:rStyle w:val="a3"/>
              <w:rFonts w:hint="eastAsia"/>
            </w:rPr>
            <w:t>텍스트를 입력하려면 여기를 클릭하거나 탭하세요.</w:t>
          </w:r>
        </w:p>
      </w:docPartBody>
    </w:docPart>
    <w:docPart>
      <w:docPartPr>
        <w:name w:val="6FD4B83145ED4515AAD43365D61EE90C"/>
        <w:category>
          <w:name w:val="일반"/>
          <w:gallery w:val="placeholder"/>
        </w:category>
        <w:types>
          <w:type w:val="bbPlcHdr"/>
        </w:types>
        <w:behaviors>
          <w:behavior w:val="content"/>
        </w:behaviors>
        <w:guid w:val="{E271259F-9D77-45AF-9922-585850CBCA56}"/>
      </w:docPartPr>
      <w:docPartBody>
        <w:p w:rsidR="0052470F" w:rsidRDefault="002A0099" w:rsidP="002A0099">
          <w:pPr>
            <w:pStyle w:val="6FD4B83145ED4515AAD43365D61EE90C"/>
          </w:pPr>
          <w:r w:rsidRPr="00666DDA">
            <w:rPr>
              <w:rStyle w:val="a3"/>
            </w:rPr>
            <w:t>Click or tap here to enter text.</w:t>
          </w:r>
        </w:p>
      </w:docPartBody>
    </w:docPart>
    <w:docPart>
      <w:docPartPr>
        <w:name w:val="C49C0C76B5F14B28A09D74EE35CF23DD"/>
        <w:category>
          <w:name w:val="일반"/>
          <w:gallery w:val="placeholder"/>
        </w:category>
        <w:types>
          <w:type w:val="bbPlcHdr"/>
        </w:types>
        <w:behaviors>
          <w:behavior w:val="content"/>
        </w:behaviors>
        <w:guid w:val="{3904CE03-EC2B-46C3-897F-C319393CDE17}"/>
      </w:docPartPr>
      <w:docPartBody>
        <w:p w:rsidR="0052470F" w:rsidRDefault="002A0099" w:rsidP="002A0099">
          <w:pPr>
            <w:pStyle w:val="C49C0C76B5F14B28A09D74EE35CF23DD"/>
          </w:pPr>
          <w:r w:rsidRPr="00200CCA">
            <w:rPr>
              <w:rStyle w:val="a3"/>
            </w:rPr>
            <w:t>Click or tap here to enter text.</w:t>
          </w:r>
        </w:p>
      </w:docPartBody>
    </w:docPart>
    <w:docPart>
      <w:docPartPr>
        <w:name w:val="704D66DD777F40379D93954A50668602"/>
        <w:category>
          <w:name w:val="일반"/>
          <w:gallery w:val="placeholder"/>
        </w:category>
        <w:types>
          <w:type w:val="bbPlcHdr"/>
        </w:types>
        <w:behaviors>
          <w:behavior w:val="content"/>
        </w:behaviors>
        <w:guid w:val="{9BB31D7E-6B89-431C-9325-AB7DA398D430}"/>
      </w:docPartPr>
      <w:docPartBody>
        <w:p w:rsidR="0052470F" w:rsidRDefault="002A0099" w:rsidP="002A0099">
          <w:pPr>
            <w:pStyle w:val="704D66DD777F40379D93954A50668602"/>
          </w:pPr>
          <w:r w:rsidRPr="00666DDA">
            <w:rPr>
              <w:rStyle w:val="a3"/>
            </w:rPr>
            <w:t>Click or tap here to enter text.</w:t>
          </w:r>
        </w:p>
      </w:docPartBody>
    </w:docPart>
    <w:docPart>
      <w:docPartPr>
        <w:name w:val="F72DEF104D1A401C83BE45AF6F0BFA2C"/>
        <w:category>
          <w:name w:val="일반"/>
          <w:gallery w:val="placeholder"/>
        </w:category>
        <w:types>
          <w:type w:val="bbPlcHdr"/>
        </w:types>
        <w:behaviors>
          <w:behavior w:val="content"/>
        </w:behaviors>
        <w:guid w:val="{18AC3AA9-735A-49A7-AD4C-BF109206B90D}"/>
      </w:docPartPr>
      <w:docPartBody>
        <w:p w:rsidR="0052470F" w:rsidRDefault="002A0099" w:rsidP="002A0099">
          <w:pPr>
            <w:pStyle w:val="F72DEF104D1A401C83BE45AF6F0BFA2C"/>
          </w:pPr>
          <w:r w:rsidRPr="00200CCA">
            <w:rPr>
              <w:rStyle w:val="a3"/>
            </w:rPr>
            <w:t>Click or tap here to enter text.</w:t>
          </w:r>
        </w:p>
      </w:docPartBody>
    </w:docPart>
    <w:docPart>
      <w:docPartPr>
        <w:name w:val="72E3E4B0A425485EB3BD37AAFA431683"/>
        <w:category>
          <w:name w:val="일반"/>
          <w:gallery w:val="placeholder"/>
        </w:category>
        <w:types>
          <w:type w:val="bbPlcHdr"/>
        </w:types>
        <w:behaviors>
          <w:behavior w:val="content"/>
        </w:behaviors>
        <w:guid w:val="{B7C75334-7483-4C86-861A-C03063862CAF}"/>
      </w:docPartPr>
      <w:docPartBody>
        <w:p w:rsidR="0052470F" w:rsidRDefault="002A0099" w:rsidP="002A0099">
          <w:pPr>
            <w:pStyle w:val="72E3E4B0A425485EB3BD37AAFA431683"/>
          </w:pPr>
          <w:r w:rsidRPr="005E38E4">
            <w:rPr>
              <w:rStyle w:val="a3"/>
            </w:rPr>
            <w:t>Click or tap here to enter text.</w:t>
          </w:r>
        </w:p>
      </w:docPartBody>
    </w:docPart>
    <w:docPart>
      <w:docPartPr>
        <w:name w:val="42532A2A200E42DAAFFEA24F38C1AC46"/>
        <w:category>
          <w:name w:val="일반"/>
          <w:gallery w:val="placeholder"/>
        </w:category>
        <w:types>
          <w:type w:val="bbPlcHdr"/>
        </w:types>
        <w:behaviors>
          <w:behavior w:val="content"/>
        </w:behaviors>
        <w:guid w:val="{230934D3-51D9-4B44-94FC-AFC20C14BF2C}"/>
      </w:docPartPr>
      <w:docPartBody>
        <w:p w:rsidR="0052470F" w:rsidRDefault="002A0099" w:rsidP="002A0099">
          <w:pPr>
            <w:pStyle w:val="42532A2A200E42DAAFFEA24F38C1AC46"/>
          </w:pPr>
          <w:r w:rsidRPr="00666DDA">
            <w:rPr>
              <w:rStyle w:val="a3"/>
            </w:rPr>
            <w:t>Click or tap here to enter text.</w:t>
          </w:r>
        </w:p>
      </w:docPartBody>
    </w:docPart>
    <w:docPart>
      <w:docPartPr>
        <w:name w:val="FB5711102EEE46BFB2D9DE356E17CDDE"/>
        <w:category>
          <w:name w:val="일반"/>
          <w:gallery w:val="placeholder"/>
        </w:category>
        <w:types>
          <w:type w:val="bbPlcHdr"/>
        </w:types>
        <w:behaviors>
          <w:behavior w:val="content"/>
        </w:behaviors>
        <w:guid w:val="{5DBEF325-236F-462B-BCFB-E0C32AFB9023}"/>
      </w:docPartPr>
      <w:docPartBody>
        <w:p w:rsidR="0052470F" w:rsidRDefault="002A0099" w:rsidP="002A0099">
          <w:pPr>
            <w:pStyle w:val="FB5711102EEE46BFB2D9DE356E17CDDE"/>
          </w:pPr>
          <w:r w:rsidRPr="00013068">
            <w:rPr>
              <w:rStyle w:val="a3"/>
              <w:rFonts w:hint="eastAsia"/>
            </w:rPr>
            <w:t>텍스트를 입력하려면 여기를 클릭하거나 탭하세요.</w:t>
          </w:r>
        </w:p>
      </w:docPartBody>
    </w:docPart>
    <w:docPart>
      <w:docPartPr>
        <w:name w:val="3A2D72A584534AA8996F7F3D2354C85D"/>
        <w:category>
          <w:name w:val="일반"/>
          <w:gallery w:val="placeholder"/>
        </w:category>
        <w:types>
          <w:type w:val="bbPlcHdr"/>
        </w:types>
        <w:behaviors>
          <w:behavior w:val="content"/>
        </w:behaviors>
        <w:guid w:val="{51D4FAFC-065C-42F5-A3FA-E82298B2DE35}"/>
      </w:docPartPr>
      <w:docPartBody>
        <w:p w:rsidR="0052470F" w:rsidRDefault="002A0099" w:rsidP="002A0099">
          <w:pPr>
            <w:pStyle w:val="3A2D72A584534AA8996F7F3D2354C85D"/>
          </w:pPr>
          <w:r w:rsidRPr="00200CCA">
            <w:rPr>
              <w:rStyle w:val="a3"/>
            </w:rPr>
            <w:t>Click or tap here to enter text.</w:t>
          </w:r>
        </w:p>
      </w:docPartBody>
    </w:docPart>
    <w:docPart>
      <w:docPartPr>
        <w:name w:val="0D17C245741046B2B7CCEC3943DB903E"/>
        <w:category>
          <w:name w:val="일반"/>
          <w:gallery w:val="placeholder"/>
        </w:category>
        <w:types>
          <w:type w:val="bbPlcHdr"/>
        </w:types>
        <w:behaviors>
          <w:behavior w:val="content"/>
        </w:behaviors>
        <w:guid w:val="{A4691B75-7683-4DAA-A038-E84C5D268619}"/>
      </w:docPartPr>
      <w:docPartBody>
        <w:p w:rsidR="0052470F" w:rsidRDefault="002A0099" w:rsidP="002A0099">
          <w:pPr>
            <w:pStyle w:val="0D17C245741046B2B7CCEC3943DB903E"/>
          </w:pPr>
          <w:r w:rsidRPr="00666DDA">
            <w:rPr>
              <w:rStyle w:val="a3"/>
            </w:rPr>
            <w:t>Click or tap here to enter text.</w:t>
          </w:r>
        </w:p>
      </w:docPartBody>
    </w:docPart>
    <w:docPart>
      <w:docPartPr>
        <w:name w:val="1206804CF85C416AB6E13CBF628E1BBD"/>
        <w:category>
          <w:name w:val="일반"/>
          <w:gallery w:val="placeholder"/>
        </w:category>
        <w:types>
          <w:type w:val="bbPlcHdr"/>
        </w:types>
        <w:behaviors>
          <w:behavior w:val="content"/>
        </w:behaviors>
        <w:guid w:val="{58FD9D4E-3537-45BE-93E3-A544787BA18F}"/>
      </w:docPartPr>
      <w:docPartBody>
        <w:p w:rsidR="0052470F" w:rsidRDefault="002A0099" w:rsidP="002A0099">
          <w:pPr>
            <w:pStyle w:val="1206804CF85C416AB6E13CBF628E1BBD"/>
          </w:pPr>
          <w:r w:rsidRPr="00666DDA">
            <w:rPr>
              <w:rStyle w:val="a3"/>
            </w:rPr>
            <w:t>Click or tap here to enter text.</w:t>
          </w:r>
        </w:p>
      </w:docPartBody>
    </w:docPart>
    <w:docPart>
      <w:docPartPr>
        <w:name w:val="BDB4506CC6B34C3B97B4E32AA97E26DB"/>
        <w:category>
          <w:name w:val="일반"/>
          <w:gallery w:val="placeholder"/>
        </w:category>
        <w:types>
          <w:type w:val="bbPlcHdr"/>
        </w:types>
        <w:behaviors>
          <w:behavior w:val="content"/>
        </w:behaviors>
        <w:guid w:val="{F67DD688-12A2-4026-B112-F4D467162A80}"/>
      </w:docPartPr>
      <w:docPartBody>
        <w:p w:rsidR="0052470F" w:rsidRDefault="002A0099" w:rsidP="002A0099">
          <w:pPr>
            <w:pStyle w:val="BDB4506CC6B34C3B97B4E32AA97E26DB"/>
          </w:pPr>
          <w:r w:rsidRPr="00013068">
            <w:rPr>
              <w:rStyle w:val="a3"/>
              <w:rFonts w:hint="eastAsia"/>
            </w:rPr>
            <w:t>텍스트를 입력하려면 여기를 클릭하거나 탭하세요.</w:t>
          </w:r>
        </w:p>
      </w:docPartBody>
    </w:docPart>
    <w:docPart>
      <w:docPartPr>
        <w:name w:val="C50D9189A1594675BB06AF137AF06CB0"/>
        <w:category>
          <w:name w:val="일반"/>
          <w:gallery w:val="placeholder"/>
        </w:category>
        <w:types>
          <w:type w:val="bbPlcHdr"/>
        </w:types>
        <w:behaviors>
          <w:behavior w:val="content"/>
        </w:behaviors>
        <w:guid w:val="{3AC48F56-0A1C-42CD-8965-832FB6F274F3}"/>
      </w:docPartPr>
      <w:docPartBody>
        <w:p w:rsidR="0052470F" w:rsidRDefault="002A0099" w:rsidP="002A0099">
          <w:pPr>
            <w:pStyle w:val="C50D9189A1594675BB06AF137AF06CB0"/>
          </w:pPr>
          <w:r w:rsidRPr="00666DDA">
            <w:rPr>
              <w:rStyle w:val="a3"/>
            </w:rPr>
            <w:t>Click or tap here to enter text.</w:t>
          </w:r>
        </w:p>
      </w:docPartBody>
    </w:docPart>
    <w:docPart>
      <w:docPartPr>
        <w:name w:val="71CE7E37EC214CB69A1C04E5C7CC70B5"/>
        <w:category>
          <w:name w:val="일반"/>
          <w:gallery w:val="placeholder"/>
        </w:category>
        <w:types>
          <w:type w:val="bbPlcHdr"/>
        </w:types>
        <w:behaviors>
          <w:behavior w:val="content"/>
        </w:behaviors>
        <w:guid w:val="{4C867B7F-5CDC-4AB2-A427-7C6B993E6A19}"/>
      </w:docPartPr>
      <w:docPartBody>
        <w:p w:rsidR="0052470F" w:rsidRDefault="002A0099" w:rsidP="002A0099">
          <w:pPr>
            <w:pStyle w:val="71CE7E37EC214CB69A1C04E5C7CC70B5"/>
          </w:pPr>
          <w:r w:rsidRPr="00200CCA">
            <w:rPr>
              <w:rStyle w:val="a3"/>
            </w:rPr>
            <w:t>Click or tap here to enter text.</w:t>
          </w:r>
        </w:p>
      </w:docPartBody>
    </w:docPart>
    <w:docPart>
      <w:docPartPr>
        <w:name w:val="E3314C9663964F019238567ABA3B1980"/>
        <w:category>
          <w:name w:val="일반"/>
          <w:gallery w:val="placeholder"/>
        </w:category>
        <w:types>
          <w:type w:val="bbPlcHdr"/>
        </w:types>
        <w:behaviors>
          <w:behavior w:val="content"/>
        </w:behaviors>
        <w:guid w:val="{E0DE177B-C2A0-44F0-AEEA-4CD0BFD4C695}"/>
      </w:docPartPr>
      <w:docPartBody>
        <w:p w:rsidR="0052470F" w:rsidRDefault="002A0099" w:rsidP="002A0099">
          <w:pPr>
            <w:pStyle w:val="E3314C9663964F019238567ABA3B1980"/>
          </w:pPr>
          <w:r w:rsidRPr="00666DDA">
            <w:rPr>
              <w:rStyle w:val="a3"/>
            </w:rPr>
            <w:t>Click or tap here to enter text.</w:t>
          </w:r>
        </w:p>
      </w:docPartBody>
    </w:docPart>
    <w:docPart>
      <w:docPartPr>
        <w:name w:val="37194F732CEF4CCDA545A4000024AF76"/>
        <w:category>
          <w:name w:val="일반"/>
          <w:gallery w:val="placeholder"/>
        </w:category>
        <w:types>
          <w:type w:val="bbPlcHdr"/>
        </w:types>
        <w:behaviors>
          <w:behavior w:val="content"/>
        </w:behaviors>
        <w:guid w:val="{F4FC419B-B647-409B-A976-2FDD62D5D099}"/>
      </w:docPartPr>
      <w:docPartBody>
        <w:p w:rsidR="0052470F" w:rsidRDefault="002A0099" w:rsidP="002A0099">
          <w:pPr>
            <w:pStyle w:val="37194F732CEF4CCDA545A4000024AF76"/>
          </w:pPr>
          <w:r w:rsidRPr="00200CCA">
            <w:rPr>
              <w:rStyle w:val="a3"/>
            </w:rPr>
            <w:t>Click or tap here to enter text.</w:t>
          </w:r>
        </w:p>
      </w:docPartBody>
    </w:docPart>
    <w:docPart>
      <w:docPartPr>
        <w:name w:val="1D00F5552DF94928AFA76BE1EF3A22DB"/>
        <w:category>
          <w:name w:val="일반"/>
          <w:gallery w:val="placeholder"/>
        </w:category>
        <w:types>
          <w:type w:val="bbPlcHdr"/>
        </w:types>
        <w:behaviors>
          <w:behavior w:val="content"/>
        </w:behaviors>
        <w:guid w:val="{8DABF254-BEF3-4A98-89E5-2610440C9E15}"/>
      </w:docPartPr>
      <w:docPartBody>
        <w:p w:rsidR="0052470F" w:rsidRDefault="002A0099" w:rsidP="002A0099">
          <w:pPr>
            <w:pStyle w:val="1D00F5552DF94928AFA76BE1EF3A22DB"/>
          </w:pPr>
          <w:r w:rsidRPr="00666DDA">
            <w:rPr>
              <w:rStyle w:val="a3"/>
            </w:rPr>
            <w:t>Click or tap here to enter text.</w:t>
          </w:r>
        </w:p>
      </w:docPartBody>
    </w:docPart>
    <w:docPart>
      <w:docPartPr>
        <w:name w:val="2421EE9D1D4148BDB747397F22A2B774"/>
        <w:category>
          <w:name w:val="일반"/>
          <w:gallery w:val="placeholder"/>
        </w:category>
        <w:types>
          <w:type w:val="bbPlcHdr"/>
        </w:types>
        <w:behaviors>
          <w:behavior w:val="content"/>
        </w:behaviors>
        <w:guid w:val="{0719633E-4D84-4EAA-A174-76E814F76CB3}"/>
      </w:docPartPr>
      <w:docPartBody>
        <w:p w:rsidR="0052470F" w:rsidRDefault="002A0099" w:rsidP="002A0099">
          <w:pPr>
            <w:pStyle w:val="2421EE9D1D4148BDB747397F22A2B774"/>
          </w:pPr>
          <w:r w:rsidRPr="00200CCA">
            <w:rPr>
              <w:rStyle w:val="a3"/>
            </w:rPr>
            <w:t>Click or tap here to enter text.</w:t>
          </w:r>
        </w:p>
      </w:docPartBody>
    </w:docPart>
    <w:docPart>
      <w:docPartPr>
        <w:name w:val="F0EA541C6B3E4EE0A27BABE5E1BEF622"/>
        <w:category>
          <w:name w:val="일반"/>
          <w:gallery w:val="placeholder"/>
        </w:category>
        <w:types>
          <w:type w:val="bbPlcHdr"/>
        </w:types>
        <w:behaviors>
          <w:behavior w:val="content"/>
        </w:behaviors>
        <w:guid w:val="{1FAF19EE-0573-4DB4-98DE-B4D816BE7422}"/>
      </w:docPartPr>
      <w:docPartBody>
        <w:p w:rsidR="0052470F" w:rsidRDefault="002A0099" w:rsidP="002A0099">
          <w:pPr>
            <w:pStyle w:val="F0EA541C6B3E4EE0A27BABE5E1BEF622"/>
          </w:pPr>
          <w:r w:rsidRPr="00D129A3">
            <w:rPr>
              <w:rStyle w:val="a3"/>
            </w:rPr>
            <w:t>Click or tap here to enter text.</w:t>
          </w:r>
        </w:p>
      </w:docPartBody>
    </w:docPart>
    <w:docPart>
      <w:docPartPr>
        <w:name w:val="4D4793D74DE642CDAAABB845F9215B6C"/>
        <w:category>
          <w:name w:val="일반"/>
          <w:gallery w:val="placeholder"/>
        </w:category>
        <w:types>
          <w:type w:val="bbPlcHdr"/>
        </w:types>
        <w:behaviors>
          <w:behavior w:val="content"/>
        </w:behaviors>
        <w:guid w:val="{D824730A-2889-48B6-82A7-4E56A63E72B2}"/>
      </w:docPartPr>
      <w:docPartBody>
        <w:p w:rsidR="0052470F" w:rsidRDefault="002A0099" w:rsidP="002A0099">
          <w:pPr>
            <w:pStyle w:val="4D4793D74DE642CDAAABB845F9215B6C"/>
          </w:pPr>
          <w:r w:rsidRPr="00200CCA">
            <w:rPr>
              <w:rStyle w:val="a3"/>
            </w:rPr>
            <w:t>Click or tap here to enter text.</w:t>
          </w:r>
        </w:p>
      </w:docPartBody>
    </w:docPart>
    <w:docPart>
      <w:docPartPr>
        <w:name w:val="40C32C7376604D638A87FD7D90D209AA"/>
        <w:category>
          <w:name w:val="일반"/>
          <w:gallery w:val="placeholder"/>
        </w:category>
        <w:types>
          <w:type w:val="bbPlcHdr"/>
        </w:types>
        <w:behaviors>
          <w:behavior w:val="content"/>
        </w:behaviors>
        <w:guid w:val="{A10AC80B-0DC7-4B87-986B-92F842CEB932}"/>
      </w:docPartPr>
      <w:docPartBody>
        <w:p w:rsidR="0052470F" w:rsidRDefault="002A0099" w:rsidP="002A0099">
          <w:pPr>
            <w:pStyle w:val="40C32C7376604D638A87FD7D90D209AA"/>
          </w:pPr>
          <w:r w:rsidRPr="00D129A3">
            <w:rPr>
              <w:rStyle w:val="a3"/>
            </w:rPr>
            <w:t>Click or tap here to enter text.</w:t>
          </w:r>
        </w:p>
      </w:docPartBody>
    </w:docPart>
    <w:docPart>
      <w:docPartPr>
        <w:name w:val="5E84A2147BD94C83AA87E3A0A7921EC7"/>
        <w:category>
          <w:name w:val="일반"/>
          <w:gallery w:val="placeholder"/>
        </w:category>
        <w:types>
          <w:type w:val="bbPlcHdr"/>
        </w:types>
        <w:behaviors>
          <w:behavior w:val="content"/>
        </w:behaviors>
        <w:guid w:val="{919918D7-B86C-46CF-BB57-FE2D55BB342C}"/>
      </w:docPartPr>
      <w:docPartBody>
        <w:p w:rsidR="0052470F" w:rsidRDefault="002A0099" w:rsidP="002A0099">
          <w:pPr>
            <w:pStyle w:val="5E84A2147BD94C83AA87E3A0A7921EC7"/>
          </w:pPr>
          <w:r w:rsidRPr="00666DDA">
            <w:rPr>
              <w:rStyle w:val="a3"/>
            </w:rPr>
            <w:t>Click or tap here to enter text.</w:t>
          </w:r>
        </w:p>
      </w:docPartBody>
    </w:docPart>
    <w:docPart>
      <w:docPartPr>
        <w:name w:val="2C43DCDADE364A8E87927A111246E3E3"/>
        <w:category>
          <w:name w:val="일반"/>
          <w:gallery w:val="placeholder"/>
        </w:category>
        <w:types>
          <w:type w:val="bbPlcHdr"/>
        </w:types>
        <w:behaviors>
          <w:behavior w:val="content"/>
        </w:behaviors>
        <w:guid w:val="{2F76DD4C-6EA9-4879-AE3C-8BB720B51D4F}"/>
      </w:docPartPr>
      <w:docPartBody>
        <w:p w:rsidR="0052470F" w:rsidRDefault="002A0099" w:rsidP="002A0099">
          <w:pPr>
            <w:pStyle w:val="2C43DCDADE364A8E87927A111246E3E3"/>
          </w:pPr>
          <w:r w:rsidRPr="00D129A3">
            <w:rPr>
              <w:rStyle w:val="a3"/>
            </w:rPr>
            <w:t>Click or tap here to enter text.</w:t>
          </w:r>
        </w:p>
      </w:docPartBody>
    </w:docPart>
    <w:docPart>
      <w:docPartPr>
        <w:name w:val="036F070F66474029860845A3B62BC07A"/>
        <w:category>
          <w:name w:val="일반"/>
          <w:gallery w:val="placeholder"/>
        </w:category>
        <w:types>
          <w:type w:val="bbPlcHdr"/>
        </w:types>
        <w:behaviors>
          <w:behavior w:val="content"/>
        </w:behaviors>
        <w:guid w:val="{B6655E09-38ED-4639-B475-D618A1951FC1}"/>
      </w:docPartPr>
      <w:docPartBody>
        <w:p w:rsidR="0052470F" w:rsidRDefault="002A0099" w:rsidP="002A0099">
          <w:pPr>
            <w:pStyle w:val="036F070F66474029860845A3B62BC07A"/>
          </w:pPr>
          <w:r w:rsidRPr="00D129A3">
            <w:rPr>
              <w:rStyle w:val="a3"/>
            </w:rPr>
            <w:t>Click or tap here to enter text.</w:t>
          </w:r>
        </w:p>
      </w:docPartBody>
    </w:docPart>
    <w:docPart>
      <w:docPartPr>
        <w:name w:val="4BDA0D873E404AA9BCC1342997C67604"/>
        <w:category>
          <w:name w:val="일반"/>
          <w:gallery w:val="placeholder"/>
        </w:category>
        <w:types>
          <w:type w:val="bbPlcHdr"/>
        </w:types>
        <w:behaviors>
          <w:behavior w:val="content"/>
        </w:behaviors>
        <w:guid w:val="{69ABEE67-8A92-4482-A481-E2E8FF9D4338}"/>
      </w:docPartPr>
      <w:docPartBody>
        <w:p w:rsidR="0052470F" w:rsidRDefault="002A0099" w:rsidP="002A0099">
          <w:pPr>
            <w:pStyle w:val="4BDA0D873E404AA9BCC1342997C67604"/>
          </w:pPr>
          <w:r w:rsidRPr="00666DDA">
            <w:rPr>
              <w:rStyle w:val="a3"/>
            </w:rPr>
            <w:t>Click or tap here to enter text.</w:t>
          </w:r>
        </w:p>
      </w:docPartBody>
    </w:docPart>
    <w:docPart>
      <w:docPartPr>
        <w:name w:val="63217239E5E343AB8EA373A0E3CC2AF1"/>
        <w:category>
          <w:name w:val="일반"/>
          <w:gallery w:val="placeholder"/>
        </w:category>
        <w:types>
          <w:type w:val="bbPlcHdr"/>
        </w:types>
        <w:behaviors>
          <w:behavior w:val="content"/>
        </w:behaviors>
        <w:guid w:val="{7FEAAA47-BF58-4A80-BBA2-761F38E90D66}"/>
      </w:docPartPr>
      <w:docPartBody>
        <w:p w:rsidR="0052470F" w:rsidRDefault="002A0099" w:rsidP="002A0099">
          <w:pPr>
            <w:pStyle w:val="63217239E5E343AB8EA373A0E3CC2AF1"/>
          </w:pPr>
          <w:r w:rsidRPr="00D129A3">
            <w:rPr>
              <w:rStyle w:val="a3"/>
            </w:rPr>
            <w:t>Click or tap here to enter text.</w:t>
          </w:r>
        </w:p>
      </w:docPartBody>
    </w:docPart>
    <w:docPart>
      <w:docPartPr>
        <w:name w:val="67FD2155C53041D0805230C15B6FB9DD"/>
        <w:category>
          <w:name w:val="일반"/>
          <w:gallery w:val="placeholder"/>
        </w:category>
        <w:types>
          <w:type w:val="bbPlcHdr"/>
        </w:types>
        <w:behaviors>
          <w:behavior w:val="content"/>
        </w:behaviors>
        <w:guid w:val="{9E6EB731-1CF8-4532-B853-5ACE90D82CF9}"/>
      </w:docPartPr>
      <w:docPartBody>
        <w:p w:rsidR="0052470F" w:rsidRDefault="002A0099" w:rsidP="002A0099">
          <w:pPr>
            <w:pStyle w:val="67FD2155C53041D0805230C15B6FB9DD"/>
          </w:pPr>
          <w:r w:rsidRPr="00013068">
            <w:rPr>
              <w:rStyle w:val="a3"/>
              <w:rFonts w:hint="eastAsia"/>
            </w:rPr>
            <w:t>텍스트를 입력하려면 여기를 클릭하거나 탭하세요.</w:t>
          </w:r>
        </w:p>
      </w:docPartBody>
    </w:docPart>
    <w:docPart>
      <w:docPartPr>
        <w:name w:val="C10FD97E2E09471EA29ED167724EA384"/>
        <w:category>
          <w:name w:val="일반"/>
          <w:gallery w:val="placeholder"/>
        </w:category>
        <w:types>
          <w:type w:val="bbPlcHdr"/>
        </w:types>
        <w:behaviors>
          <w:behavior w:val="content"/>
        </w:behaviors>
        <w:guid w:val="{6123DCD9-D215-448C-B944-3CFD96371708}"/>
      </w:docPartPr>
      <w:docPartBody>
        <w:p w:rsidR="0052470F" w:rsidRDefault="002A0099" w:rsidP="002A0099">
          <w:pPr>
            <w:pStyle w:val="C10FD97E2E09471EA29ED167724EA384"/>
          </w:pPr>
          <w:r w:rsidRPr="00666DDA">
            <w:rPr>
              <w:rStyle w:val="a3"/>
            </w:rPr>
            <w:t>Click or tap here to enter text.</w:t>
          </w:r>
        </w:p>
      </w:docPartBody>
    </w:docPart>
    <w:docPart>
      <w:docPartPr>
        <w:name w:val="DF0714C7E71A4B2C8D779C8DABFF9715"/>
        <w:category>
          <w:name w:val="일반"/>
          <w:gallery w:val="placeholder"/>
        </w:category>
        <w:types>
          <w:type w:val="bbPlcHdr"/>
        </w:types>
        <w:behaviors>
          <w:behavior w:val="content"/>
        </w:behaviors>
        <w:guid w:val="{874C2E21-1B39-4B03-A743-6F4874E925F9}"/>
      </w:docPartPr>
      <w:docPartBody>
        <w:p w:rsidR="0052470F" w:rsidRDefault="002A0099" w:rsidP="002A0099">
          <w:pPr>
            <w:pStyle w:val="DF0714C7E71A4B2C8D779C8DABFF9715"/>
          </w:pPr>
          <w:r w:rsidRPr="00D129A3">
            <w:rPr>
              <w:rStyle w:val="a3"/>
            </w:rPr>
            <w:t>Click or tap here to enter text.</w:t>
          </w:r>
        </w:p>
      </w:docPartBody>
    </w:docPart>
    <w:docPart>
      <w:docPartPr>
        <w:name w:val="CFCAE04C2BFD4D67AFF93C85F7758913"/>
        <w:category>
          <w:name w:val="일반"/>
          <w:gallery w:val="placeholder"/>
        </w:category>
        <w:types>
          <w:type w:val="bbPlcHdr"/>
        </w:types>
        <w:behaviors>
          <w:behavior w:val="content"/>
        </w:behaviors>
        <w:guid w:val="{590A8360-037C-4038-BF31-5A5E0F386786}"/>
      </w:docPartPr>
      <w:docPartBody>
        <w:p w:rsidR="0052470F" w:rsidRDefault="002A0099" w:rsidP="002A0099">
          <w:pPr>
            <w:pStyle w:val="CFCAE04C2BFD4D67AFF93C85F7758913"/>
          </w:pPr>
          <w:r w:rsidRPr="00666DDA">
            <w:rPr>
              <w:rStyle w:val="a3"/>
            </w:rPr>
            <w:t>Click or tap here to enter text.</w:t>
          </w:r>
        </w:p>
      </w:docPartBody>
    </w:docPart>
    <w:docPart>
      <w:docPartPr>
        <w:name w:val="713008AED1E44CFDAE0CACE5BA800405"/>
        <w:category>
          <w:name w:val="일반"/>
          <w:gallery w:val="placeholder"/>
        </w:category>
        <w:types>
          <w:type w:val="bbPlcHdr"/>
        </w:types>
        <w:behaviors>
          <w:behavior w:val="content"/>
        </w:behaviors>
        <w:guid w:val="{AA24B675-B642-4FFE-A6ED-30CD665AFF21}"/>
      </w:docPartPr>
      <w:docPartBody>
        <w:p w:rsidR="0052470F" w:rsidRDefault="002A0099" w:rsidP="002A0099">
          <w:pPr>
            <w:pStyle w:val="713008AED1E44CFDAE0CACE5BA800405"/>
          </w:pPr>
          <w:r w:rsidRPr="00D129A3">
            <w:rPr>
              <w:rStyle w:val="a3"/>
            </w:rPr>
            <w:t>Click or tap here to enter text.</w:t>
          </w:r>
        </w:p>
      </w:docPartBody>
    </w:docPart>
    <w:docPart>
      <w:docPartPr>
        <w:name w:val="3E16FC80A17F4E3FAE6AC0E4F7B08BAA"/>
        <w:category>
          <w:name w:val="일반"/>
          <w:gallery w:val="placeholder"/>
        </w:category>
        <w:types>
          <w:type w:val="bbPlcHdr"/>
        </w:types>
        <w:behaviors>
          <w:behavior w:val="content"/>
        </w:behaviors>
        <w:guid w:val="{6B64F020-1C04-4CA5-B6B8-5A649F767190}"/>
      </w:docPartPr>
      <w:docPartBody>
        <w:p w:rsidR="0052470F" w:rsidRDefault="002A0099" w:rsidP="002A0099">
          <w:pPr>
            <w:pStyle w:val="3E16FC80A17F4E3FAE6AC0E4F7B08BAA"/>
          </w:pPr>
          <w:r w:rsidRPr="00D129A3">
            <w:rPr>
              <w:rStyle w:val="a3"/>
            </w:rPr>
            <w:t>Click or tap here to enter text.</w:t>
          </w:r>
        </w:p>
      </w:docPartBody>
    </w:docPart>
    <w:docPart>
      <w:docPartPr>
        <w:name w:val="3D716CA7D6594D2A8C12C4B96D208A02"/>
        <w:category>
          <w:name w:val="일반"/>
          <w:gallery w:val="placeholder"/>
        </w:category>
        <w:types>
          <w:type w:val="bbPlcHdr"/>
        </w:types>
        <w:behaviors>
          <w:behavior w:val="content"/>
        </w:behaviors>
        <w:guid w:val="{8AFBA36E-79BC-4DA8-8B2F-23C1D3453D4A}"/>
      </w:docPartPr>
      <w:docPartBody>
        <w:p w:rsidR="0052470F" w:rsidRDefault="002A0099" w:rsidP="002A0099">
          <w:pPr>
            <w:pStyle w:val="3D716CA7D6594D2A8C12C4B96D208A02"/>
          </w:pPr>
          <w:r w:rsidRPr="00D129A3">
            <w:rPr>
              <w:rStyle w:val="a3"/>
            </w:rPr>
            <w:t>Click or tap here to enter text.</w:t>
          </w:r>
        </w:p>
      </w:docPartBody>
    </w:docPart>
    <w:docPart>
      <w:docPartPr>
        <w:name w:val="FFD685197063494888939653994B2E8B"/>
        <w:category>
          <w:name w:val="일반"/>
          <w:gallery w:val="placeholder"/>
        </w:category>
        <w:types>
          <w:type w:val="bbPlcHdr"/>
        </w:types>
        <w:behaviors>
          <w:behavior w:val="content"/>
        </w:behaviors>
        <w:guid w:val="{EC3CD6C1-C562-462E-BFF6-8EC31446809B}"/>
      </w:docPartPr>
      <w:docPartBody>
        <w:p w:rsidR="0052470F" w:rsidRDefault="002A0099" w:rsidP="002A0099">
          <w:pPr>
            <w:pStyle w:val="FFD685197063494888939653994B2E8B"/>
          </w:pPr>
          <w:r w:rsidRPr="00666DDA">
            <w:rPr>
              <w:rStyle w:val="a3"/>
            </w:rPr>
            <w:t>Click or tap here to enter text.</w:t>
          </w:r>
        </w:p>
      </w:docPartBody>
    </w:docPart>
    <w:docPart>
      <w:docPartPr>
        <w:name w:val="2D97E2891E2E44529126A1C9F2474111"/>
        <w:category>
          <w:name w:val="일반"/>
          <w:gallery w:val="placeholder"/>
        </w:category>
        <w:types>
          <w:type w:val="bbPlcHdr"/>
        </w:types>
        <w:behaviors>
          <w:behavior w:val="content"/>
        </w:behaviors>
        <w:guid w:val="{33B8932D-7062-4617-AE2B-74AD95FA262B}"/>
      </w:docPartPr>
      <w:docPartBody>
        <w:p w:rsidR="0052470F" w:rsidRDefault="002A0099" w:rsidP="002A0099">
          <w:pPr>
            <w:pStyle w:val="2D97E2891E2E44529126A1C9F2474111"/>
          </w:pPr>
          <w:r w:rsidRPr="00666DDA">
            <w:rPr>
              <w:rStyle w:val="a3"/>
            </w:rPr>
            <w:t>Click or tap here to enter text.</w:t>
          </w:r>
        </w:p>
      </w:docPartBody>
    </w:docPart>
    <w:docPart>
      <w:docPartPr>
        <w:name w:val="5FF1538B2F72403A8330045DEF1B0A88"/>
        <w:category>
          <w:name w:val="일반"/>
          <w:gallery w:val="placeholder"/>
        </w:category>
        <w:types>
          <w:type w:val="bbPlcHdr"/>
        </w:types>
        <w:behaviors>
          <w:behavior w:val="content"/>
        </w:behaviors>
        <w:guid w:val="{FE3401A7-186D-4245-A1E6-1D43034E9DA0}"/>
      </w:docPartPr>
      <w:docPartBody>
        <w:p w:rsidR="0052470F" w:rsidRDefault="002A0099" w:rsidP="002A0099">
          <w:pPr>
            <w:pStyle w:val="5FF1538B2F72403A8330045DEF1B0A88"/>
          </w:pPr>
          <w:r w:rsidRPr="00D129A3">
            <w:rPr>
              <w:rStyle w:val="a3"/>
            </w:rPr>
            <w:t>Click or tap here to enter text.</w:t>
          </w:r>
        </w:p>
      </w:docPartBody>
    </w:docPart>
    <w:docPart>
      <w:docPartPr>
        <w:name w:val="4CB5C5958E9847599C2711971FB0FC45"/>
        <w:category>
          <w:name w:val="일반"/>
          <w:gallery w:val="placeholder"/>
        </w:category>
        <w:types>
          <w:type w:val="bbPlcHdr"/>
        </w:types>
        <w:behaviors>
          <w:behavior w:val="content"/>
        </w:behaviors>
        <w:guid w:val="{B3E5AC92-5526-4A3C-9854-2E4AE51FC753}"/>
      </w:docPartPr>
      <w:docPartBody>
        <w:p w:rsidR="0052470F" w:rsidRDefault="002A0099" w:rsidP="002A0099">
          <w:pPr>
            <w:pStyle w:val="4CB5C5958E9847599C2711971FB0FC45"/>
          </w:pPr>
          <w:r w:rsidRPr="00D129A3">
            <w:rPr>
              <w:rStyle w:val="a3"/>
            </w:rPr>
            <w:t>Click or tap here to enter text.</w:t>
          </w:r>
        </w:p>
      </w:docPartBody>
    </w:docPart>
    <w:docPart>
      <w:docPartPr>
        <w:name w:val="C724AEF42DE84FE5A0F43D1DAF3744FB"/>
        <w:category>
          <w:name w:val="일반"/>
          <w:gallery w:val="placeholder"/>
        </w:category>
        <w:types>
          <w:type w:val="bbPlcHdr"/>
        </w:types>
        <w:behaviors>
          <w:behavior w:val="content"/>
        </w:behaviors>
        <w:guid w:val="{57E0D47E-A634-46E6-9D39-0814916B8BC1}"/>
      </w:docPartPr>
      <w:docPartBody>
        <w:p w:rsidR="0052470F" w:rsidRDefault="002A0099" w:rsidP="002A0099">
          <w:pPr>
            <w:pStyle w:val="C724AEF42DE84FE5A0F43D1DAF3744FB"/>
          </w:pPr>
          <w:r w:rsidRPr="00D129A3">
            <w:rPr>
              <w:rStyle w:val="a3"/>
            </w:rPr>
            <w:t>Click or tap here to enter text.</w:t>
          </w:r>
        </w:p>
      </w:docPartBody>
    </w:docPart>
    <w:docPart>
      <w:docPartPr>
        <w:name w:val="42051F5078DD4D3BAE40A62C19BC8F93"/>
        <w:category>
          <w:name w:val="일반"/>
          <w:gallery w:val="placeholder"/>
        </w:category>
        <w:types>
          <w:type w:val="bbPlcHdr"/>
        </w:types>
        <w:behaviors>
          <w:behavior w:val="content"/>
        </w:behaviors>
        <w:guid w:val="{711A7CE4-49E7-4AE4-80CA-0F3CC736705B}"/>
      </w:docPartPr>
      <w:docPartBody>
        <w:p w:rsidR="0052470F" w:rsidRDefault="002A0099" w:rsidP="002A0099">
          <w:pPr>
            <w:pStyle w:val="42051F5078DD4D3BAE40A62C19BC8F93"/>
          </w:pPr>
          <w:r w:rsidRPr="00D129A3">
            <w:rPr>
              <w:rStyle w:val="a3"/>
            </w:rPr>
            <w:t>Click or tap here to enter text.</w:t>
          </w:r>
        </w:p>
      </w:docPartBody>
    </w:docPart>
    <w:docPart>
      <w:docPartPr>
        <w:name w:val="4CA93E7727824914B65A8BF982DC6A59"/>
        <w:category>
          <w:name w:val="일반"/>
          <w:gallery w:val="placeholder"/>
        </w:category>
        <w:types>
          <w:type w:val="bbPlcHdr"/>
        </w:types>
        <w:behaviors>
          <w:behavior w:val="content"/>
        </w:behaviors>
        <w:guid w:val="{A67DC73D-E831-48CB-AB99-5CBC09C154ED}"/>
      </w:docPartPr>
      <w:docPartBody>
        <w:p w:rsidR="0052470F" w:rsidRDefault="002A0099" w:rsidP="002A0099">
          <w:pPr>
            <w:pStyle w:val="4CA93E7727824914B65A8BF982DC6A59"/>
          </w:pPr>
          <w:r w:rsidRPr="00666DDA">
            <w:rPr>
              <w:rStyle w:val="a3"/>
            </w:rPr>
            <w:t>Click or tap here to enter text.</w:t>
          </w:r>
        </w:p>
      </w:docPartBody>
    </w:docPart>
    <w:docPart>
      <w:docPartPr>
        <w:name w:val="04FF19B9F38446C0B8BEE88DE4F3B8F8"/>
        <w:category>
          <w:name w:val="일반"/>
          <w:gallery w:val="placeholder"/>
        </w:category>
        <w:types>
          <w:type w:val="bbPlcHdr"/>
        </w:types>
        <w:behaviors>
          <w:behavior w:val="content"/>
        </w:behaviors>
        <w:guid w:val="{C4519CE5-DCD1-40E8-8549-D091EF35EE00}"/>
      </w:docPartPr>
      <w:docPartBody>
        <w:p w:rsidR="0052470F" w:rsidRDefault="002A0099" w:rsidP="002A0099">
          <w:pPr>
            <w:pStyle w:val="04FF19B9F38446C0B8BEE88DE4F3B8F8"/>
          </w:pPr>
          <w:r w:rsidRPr="00666DDA">
            <w:rPr>
              <w:rStyle w:val="a3"/>
            </w:rPr>
            <w:t>Click or tap here to enter text.</w:t>
          </w:r>
        </w:p>
      </w:docPartBody>
    </w:docPart>
    <w:docPart>
      <w:docPartPr>
        <w:name w:val="9AEDA3E1CAD645FCA4E096D69D882332"/>
        <w:category>
          <w:name w:val="일반"/>
          <w:gallery w:val="placeholder"/>
        </w:category>
        <w:types>
          <w:type w:val="bbPlcHdr"/>
        </w:types>
        <w:behaviors>
          <w:behavior w:val="content"/>
        </w:behaviors>
        <w:guid w:val="{358A75E4-DCEA-4FB0-8E02-68EE700C3291}"/>
      </w:docPartPr>
      <w:docPartBody>
        <w:p w:rsidR="0052470F" w:rsidRDefault="002A0099" w:rsidP="002A0099">
          <w:pPr>
            <w:pStyle w:val="9AEDA3E1CAD645FCA4E096D69D882332"/>
          </w:pPr>
          <w:r w:rsidRPr="00200CCA">
            <w:rPr>
              <w:rStyle w:val="a3"/>
            </w:rPr>
            <w:t>Click or tap here to enter text.</w:t>
          </w:r>
        </w:p>
      </w:docPartBody>
    </w:docPart>
    <w:docPart>
      <w:docPartPr>
        <w:name w:val="48438E94FC5A40858B920BC51B47D87A"/>
        <w:category>
          <w:name w:val="일반"/>
          <w:gallery w:val="placeholder"/>
        </w:category>
        <w:types>
          <w:type w:val="bbPlcHdr"/>
        </w:types>
        <w:behaviors>
          <w:behavior w:val="content"/>
        </w:behaviors>
        <w:guid w:val="{CFD11F99-388E-41AF-8AB5-A5582B230C0B}"/>
      </w:docPartPr>
      <w:docPartBody>
        <w:p w:rsidR="0052470F" w:rsidRDefault="002A0099" w:rsidP="002A0099">
          <w:pPr>
            <w:pStyle w:val="48438E94FC5A40858B920BC51B47D87A"/>
          </w:pPr>
          <w:r w:rsidRPr="00666DDA">
            <w:rPr>
              <w:rStyle w:val="a3"/>
            </w:rPr>
            <w:t>Click or tap here to enter text.</w:t>
          </w:r>
        </w:p>
      </w:docPartBody>
    </w:docPart>
    <w:docPart>
      <w:docPartPr>
        <w:name w:val="BF38F894B6EE4AD4A46FAD2C8DD88B8E"/>
        <w:category>
          <w:name w:val="일반"/>
          <w:gallery w:val="placeholder"/>
        </w:category>
        <w:types>
          <w:type w:val="bbPlcHdr"/>
        </w:types>
        <w:behaviors>
          <w:behavior w:val="content"/>
        </w:behaviors>
        <w:guid w:val="{EE90EEC8-3FA5-4FD0-8F81-5E868456FEF2}"/>
      </w:docPartPr>
      <w:docPartBody>
        <w:p w:rsidR="0052470F" w:rsidRDefault="002A0099" w:rsidP="002A0099">
          <w:pPr>
            <w:pStyle w:val="BF38F894B6EE4AD4A46FAD2C8DD88B8E"/>
          </w:pPr>
          <w:r w:rsidRPr="00D129A3">
            <w:rPr>
              <w:rStyle w:val="a3"/>
            </w:rPr>
            <w:t>Click or tap here to enter text.</w:t>
          </w:r>
        </w:p>
      </w:docPartBody>
    </w:docPart>
    <w:docPart>
      <w:docPartPr>
        <w:name w:val="DC44149D9EE14002AAF619A9D1958606"/>
        <w:category>
          <w:name w:val="일반"/>
          <w:gallery w:val="placeholder"/>
        </w:category>
        <w:types>
          <w:type w:val="bbPlcHdr"/>
        </w:types>
        <w:behaviors>
          <w:behavior w:val="content"/>
        </w:behaviors>
        <w:guid w:val="{BB487C58-12EC-4880-976C-C108F82252CE}"/>
      </w:docPartPr>
      <w:docPartBody>
        <w:p w:rsidR="0052470F" w:rsidRDefault="002A0099" w:rsidP="002A0099">
          <w:pPr>
            <w:pStyle w:val="DC44149D9EE14002AAF619A9D1958606"/>
          </w:pPr>
          <w:r w:rsidRPr="00200CCA">
            <w:rPr>
              <w:rStyle w:val="a3"/>
            </w:rPr>
            <w:t>Click or tap here to enter text.</w:t>
          </w:r>
        </w:p>
      </w:docPartBody>
    </w:docPart>
    <w:docPart>
      <w:docPartPr>
        <w:name w:val="6229DE1738924B7A8621F8844DA2E6D2"/>
        <w:category>
          <w:name w:val="일반"/>
          <w:gallery w:val="placeholder"/>
        </w:category>
        <w:types>
          <w:type w:val="bbPlcHdr"/>
        </w:types>
        <w:behaviors>
          <w:behavior w:val="content"/>
        </w:behaviors>
        <w:guid w:val="{7E9C816E-098F-4A85-956C-94D6D3A2D0D6}"/>
      </w:docPartPr>
      <w:docPartBody>
        <w:p w:rsidR="0052470F" w:rsidRDefault="002A0099" w:rsidP="002A0099">
          <w:pPr>
            <w:pStyle w:val="6229DE1738924B7A8621F8844DA2E6D2"/>
          </w:pPr>
          <w:r w:rsidRPr="00200CCA">
            <w:rPr>
              <w:rStyle w:val="a3"/>
            </w:rPr>
            <w:t>Click or tap here to enter text.</w:t>
          </w:r>
        </w:p>
      </w:docPartBody>
    </w:docPart>
    <w:docPart>
      <w:docPartPr>
        <w:name w:val="B62CB4B5C8C74C62A48DD2F3800629E6"/>
        <w:category>
          <w:name w:val="일반"/>
          <w:gallery w:val="placeholder"/>
        </w:category>
        <w:types>
          <w:type w:val="bbPlcHdr"/>
        </w:types>
        <w:behaviors>
          <w:behavior w:val="content"/>
        </w:behaviors>
        <w:guid w:val="{41FD95ED-6F8D-4B72-AF07-F19139C84F39}"/>
      </w:docPartPr>
      <w:docPartBody>
        <w:p w:rsidR="0052470F" w:rsidRDefault="002A0099" w:rsidP="002A0099">
          <w:pPr>
            <w:pStyle w:val="B62CB4B5C8C74C62A48DD2F3800629E6"/>
          </w:pPr>
          <w:r w:rsidRPr="00D129A3">
            <w:rPr>
              <w:rStyle w:val="a3"/>
            </w:rPr>
            <w:t>Click or tap here to enter text.</w:t>
          </w:r>
        </w:p>
      </w:docPartBody>
    </w:docPart>
    <w:docPart>
      <w:docPartPr>
        <w:name w:val="C04E09D08F574D7781368753691DC4F3"/>
        <w:category>
          <w:name w:val="일반"/>
          <w:gallery w:val="placeholder"/>
        </w:category>
        <w:types>
          <w:type w:val="bbPlcHdr"/>
        </w:types>
        <w:behaviors>
          <w:behavior w:val="content"/>
        </w:behaviors>
        <w:guid w:val="{D8C252FA-7912-4B86-A2B0-20B47A3C81AB}"/>
      </w:docPartPr>
      <w:docPartBody>
        <w:p w:rsidR="0052470F" w:rsidRDefault="002A0099" w:rsidP="002A0099">
          <w:pPr>
            <w:pStyle w:val="C04E09D08F574D7781368753691DC4F3"/>
          </w:pPr>
          <w:r w:rsidRPr="00F356A3">
            <w:rPr>
              <w:rStyle w:val="a3"/>
            </w:rPr>
            <w:t>Click or tap here to enter text.</w:t>
          </w:r>
        </w:p>
      </w:docPartBody>
    </w:docPart>
    <w:docPart>
      <w:docPartPr>
        <w:name w:val="AA9E7A0FB27D4D2E8B7E09943D9CC33D"/>
        <w:category>
          <w:name w:val="일반"/>
          <w:gallery w:val="placeholder"/>
        </w:category>
        <w:types>
          <w:type w:val="bbPlcHdr"/>
        </w:types>
        <w:behaviors>
          <w:behavior w:val="content"/>
        </w:behaviors>
        <w:guid w:val="{65F2A0DE-F2BB-48BD-AB40-CEA94D78090B}"/>
      </w:docPartPr>
      <w:docPartBody>
        <w:p w:rsidR="0052470F" w:rsidRDefault="002A0099" w:rsidP="002A0099">
          <w:pPr>
            <w:pStyle w:val="AA9E7A0FB27D4D2E8B7E09943D9CC33D"/>
          </w:pPr>
          <w:r w:rsidRPr="00F356A3">
            <w:rPr>
              <w:rStyle w:val="a3"/>
            </w:rPr>
            <w:t>Click or tap here to enter text.</w:t>
          </w:r>
        </w:p>
      </w:docPartBody>
    </w:docPart>
    <w:docPart>
      <w:docPartPr>
        <w:name w:val="C8C00A0EDB7042098BBA237CCF8DC03E"/>
        <w:category>
          <w:name w:val="일반"/>
          <w:gallery w:val="placeholder"/>
        </w:category>
        <w:types>
          <w:type w:val="bbPlcHdr"/>
        </w:types>
        <w:behaviors>
          <w:behavior w:val="content"/>
        </w:behaviors>
        <w:guid w:val="{51D81AE4-524F-4630-A583-7C75137AA21C}"/>
      </w:docPartPr>
      <w:docPartBody>
        <w:p w:rsidR="0052470F" w:rsidRDefault="002A0099" w:rsidP="002A0099">
          <w:pPr>
            <w:pStyle w:val="C8C00A0EDB7042098BBA237CCF8DC03E"/>
          </w:pPr>
          <w:r w:rsidRPr="00F356A3">
            <w:rPr>
              <w:rStyle w:val="a3"/>
            </w:rPr>
            <w:t>Click or tap here to enter text.</w:t>
          </w:r>
        </w:p>
      </w:docPartBody>
    </w:docPart>
    <w:docPart>
      <w:docPartPr>
        <w:name w:val="2EA8CAE596C44824A5B1110758C41B94"/>
        <w:category>
          <w:name w:val="일반"/>
          <w:gallery w:val="placeholder"/>
        </w:category>
        <w:types>
          <w:type w:val="bbPlcHdr"/>
        </w:types>
        <w:behaviors>
          <w:behavior w:val="content"/>
        </w:behaviors>
        <w:guid w:val="{E49167A3-F09B-4180-BADF-F605A9C43E17}"/>
      </w:docPartPr>
      <w:docPartBody>
        <w:p w:rsidR="0052470F" w:rsidRDefault="002A0099" w:rsidP="002A0099">
          <w:pPr>
            <w:pStyle w:val="2EA8CAE596C44824A5B1110758C41B94"/>
          </w:pPr>
          <w:r w:rsidRPr="00200CCA">
            <w:rPr>
              <w:rStyle w:val="a3"/>
            </w:rPr>
            <w:t>Click or tap here to enter text.</w:t>
          </w:r>
        </w:p>
      </w:docPartBody>
    </w:docPart>
    <w:docPart>
      <w:docPartPr>
        <w:name w:val="CBABA0615625451388B6CF6089C7515B"/>
        <w:category>
          <w:name w:val="일반"/>
          <w:gallery w:val="placeholder"/>
        </w:category>
        <w:types>
          <w:type w:val="bbPlcHdr"/>
        </w:types>
        <w:behaviors>
          <w:behavior w:val="content"/>
        </w:behaviors>
        <w:guid w:val="{9F0C889F-C024-42D3-AD57-0F3C207FDD5D}"/>
      </w:docPartPr>
      <w:docPartBody>
        <w:p w:rsidR="0052470F" w:rsidRDefault="002A0099" w:rsidP="002A0099">
          <w:pPr>
            <w:pStyle w:val="CBABA0615625451388B6CF6089C7515B"/>
          </w:pPr>
          <w:r w:rsidRPr="00200CCA">
            <w:rPr>
              <w:rStyle w:val="a3"/>
            </w:rPr>
            <w:t>Click or tap here to enter text.</w:t>
          </w:r>
        </w:p>
      </w:docPartBody>
    </w:docPart>
    <w:docPart>
      <w:docPartPr>
        <w:name w:val="2A26C0210F8B4A2A8C855EBD7BFB2AEB"/>
        <w:category>
          <w:name w:val="일반"/>
          <w:gallery w:val="placeholder"/>
        </w:category>
        <w:types>
          <w:type w:val="bbPlcHdr"/>
        </w:types>
        <w:behaviors>
          <w:behavior w:val="content"/>
        </w:behaviors>
        <w:guid w:val="{F6D25579-3A46-4437-B711-D814F7C707DA}"/>
      </w:docPartPr>
      <w:docPartBody>
        <w:p w:rsidR="0052470F" w:rsidRDefault="002A0099" w:rsidP="002A0099">
          <w:pPr>
            <w:pStyle w:val="2A26C0210F8B4A2A8C855EBD7BFB2AEB"/>
          </w:pPr>
          <w:r w:rsidRPr="00200CCA">
            <w:rPr>
              <w:rStyle w:val="a3"/>
            </w:rPr>
            <w:t>Click or tap here to enter text.</w:t>
          </w:r>
        </w:p>
      </w:docPartBody>
    </w:docPart>
    <w:docPart>
      <w:docPartPr>
        <w:name w:val="57ECA8542BE846E883C94DD713AC6CCF"/>
        <w:category>
          <w:name w:val="일반"/>
          <w:gallery w:val="placeholder"/>
        </w:category>
        <w:types>
          <w:type w:val="bbPlcHdr"/>
        </w:types>
        <w:behaviors>
          <w:behavior w:val="content"/>
        </w:behaviors>
        <w:guid w:val="{A66FD542-B6A2-47A7-9126-206A09F0D3E2}"/>
      </w:docPartPr>
      <w:docPartBody>
        <w:p w:rsidR="0052470F" w:rsidRDefault="002A0099" w:rsidP="002A0099">
          <w:pPr>
            <w:pStyle w:val="57ECA8542BE846E883C94DD713AC6CCF"/>
          </w:pPr>
          <w:r w:rsidRPr="00200CCA">
            <w:rPr>
              <w:rStyle w:val="a3"/>
            </w:rPr>
            <w:t>Click or tap here to enter text.</w:t>
          </w:r>
        </w:p>
      </w:docPartBody>
    </w:docPart>
    <w:docPart>
      <w:docPartPr>
        <w:name w:val="196CDC81312A4C1DBA2F9870545EA919"/>
        <w:category>
          <w:name w:val="일반"/>
          <w:gallery w:val="placeholder"/>
        </w:category>
        <w:types>
          <w:type w:val="bbPlcHdr"/>
        </w:types>
        <w:behaviors>
          <w:behavior w:val="content"/>
        </w:behaviors>
        <w:guid w:val="{5B08346D-E67D-4206-ABCE-F90F94FBA31A}"/>
      </w:docPartPr>
      <w:docPartBody>
        <w:p w:rsidR="0052470F" w:rsidRDefault="002A0099" w:rsidP="002A0099">
          <w:pPr>
            <w:pStyle w:val="196CDC81312A4C1DBA2F9870545EA919"/>
          </w:pPr>
          <w:r w:rsidRPr="00666DDA">
            <w:rPr>
              <w:rStyle w:val="a3"/>
            </w:rPr>
            <w:t>Click or tap here to enter text.</w:t>
          </w:r>
        </w:p>
      </w:docPartBody>
    </w:docPart>
    <w:docPart>
      <w:docPartPr>
        <w:name w:val="03515CA166CF4C12920A48BD7074701B"/>
        <w:category>
          <w:name w:val="일반"/>
          <w:gallery w:val="placeholder"/>
        </w:category>
        <w:types>
          <w:type w:val="bbPlcHdr"/>
        </w:types>
        <w:behaviors>
          <w:behavior w:val="content"/>
        </w:behaviors>
        <w:guid w:val="{1A603875-36CD-4B67-BFB1-F8AD37D61CD8}"/>
      </w:docPartPr>
      <w:docPartBody>
        <w:p w:rsidR="0052470F" w:rsidRDefault="002A0099" w:rsidP="002A0099">
          <w:pPr>
            <w:pStyle w:val="03515CA166CF4C12920A48BD7074701B"/>
          </w:pPr>
          <w:r w:rsidRPr="00E61414">
            <w:rPr>
              <w:rStyle w:val="a3"/>
            </w:rPr>
            <w:t>Click or tap here to enter text.</w:t>
          </w:r>
        </w:p>
      </w:docPartBody>
    </w:docPart>
    <w:docPart>
      <w:docPartPr>
        <w:name w:val="6DE7F0DA849B4910BD0BC72EF71C5A02"/>
        <w:category>
          <w:name w:val="일반"/>
          <w:gallery w:val="placeholder"/>
        </w:category>
        <w:types>
          <w:type w:val="bbPlcHdr"/>
        </w:types>
        <w:behaviors>
          <w:behavior w:val="content"/>
        </w:behaviors>
        <w:guid w:val="{A5885EED-085E-4131-AD3C-B4EB802CDB73}"/>
      </w:docPartPr>
      <w:docPartBody>
        <w:p w:rsidR="0052470F" w:rsidRDefault="002A0099" w:rsidP="002A0099">
          <w:pPr>
            <w:pStyle w:val="6DE7F0DA849B4910BD0BC72EF71C5A02"/>
          </w:pPr>
          <w:r w:rsidRPr="00666DDA">
            <w:rPr>
              <w:rStyle w:val="a3"/>
            </w:rPr>
            <w:t>Click or tap here to enter text.</w:t>
          </w:r>
        </w:p>
      </w:docPartBody>
    </w:docPart>
    <w:docPart>
      <w:docPartPr>
        <w:name w:val="51431344393D421A9D1373A51A44243C"/>
        <w:category>
          <w:name w:val="일반"/>
          <w:gallery w:val="placeholder"/>
        </w:category>
        <w:types>
          <w:type w:val="bbPlcHdr"/>
        </w:types>
        <w:behaviors>
          <w:behavior w:val="content"/>
        </w:behaviors>
        <w:guid w:val="{581C34DC-9416-419E-9412-723BE51600BF}"/>
      </w:docPartPr>
      <w:docPartBody>
        <w:p w:rsidR="0052470F" w:rsidRDefault="002A0099" w:rsidP="002A0099">
          <w:pPr>
            <w:pStyle w:val="51431344393D421A9D1373A51A44243C"/>
          </w:pPr>
          <w:r w:rsidRPr="006D5D53">
            <w:rPr>
              <w:rStyle w:val="a3"/>
            </w:rPr>
            <w:t>Click or tap here to enter text.</w:t>
          </w:r>
        </w:p>
      </w:docPartBody>
    </w:docPart>
    <w:docPart>
      <w:docPartPr>
        <w:name w:val="52A4459F07544A96B632AF91A59D162F"/>
        <w:category>
          <w:name w:val="일반"/>
          <w:gallery w:val="placeholder"/>
        </w:category>
        <w:types>
          <w:type w:val="bbPlcHdr"/>
        </w:types>
        <w:behaviors>
          <w:behavior w:val="content"/>
        </w:behaviors>
        <w:guid w:val="{6344E572-18B4-4319-90CD-49B5F2E7523C}"/>
      </w:docPartPr>
      <w:docPartBody>
        <w:p w:rsidR="0052470F" w:rsidRDefault="002A0099" w:rsidP="002A0099">
          <w:pPr>
            <w:pStyle w:val="52A4459F07544A96B632AF91A59D162F"/>
          </w:pPr>
          <w:r w:rsidRPr="00666DDA">
            <w:rPr>
              <w:rStyle w:val="a3"/>
            </w:rPr>
            <w:t>Click or tap here to enter text.</w:t>
          </w:r>
        </w:p>
      </w:docPartBody>
    </w:docPart>
    <w:docPart>
      <w:docPartPr>
        <w:name w:val="109E9CD4189246B288D0F3401377E30B"/>
        <w:category>
          <w:name w:val="일반"/>
          <w:gallery w:val="placeholder"/>
        </w:category>
        <w:types>
          <w:type w:val="bbPlcHdr"/>
        </w:types>
        <w:behaviors>
          <w:behavior w:val="content"/>
        </w:behaviors>
        <w:guid w:val="{C8DBABEA-D999-4918-AAFA-2B1E2F4C5E57}"/>
      </w:docPartPr>
      <w:docPartBody>
        <w:p w:rsidR="0052470F" w:rsidRDefault="002A0099" w:rsidP="002A0099">
          <w:pPr>
            <w:pStyle w:val="109E9CD4189246B288D0F3401377E30B"/>
          </w:pPr>
          <w:r w:rsidRPr="00506152">
            <w:rPr>
              <w:rStyle w:val="a3"/>
            </w:rPr>
            <w:t>Click or tap here to enter text.</w:t>
          </w:r>
        </w:p>
      </w:docPartBody>
    </w:docPart>
    <w:docPart>
      <w:docPartPr>
        <w:name w:val="9C8B6781489947EBB753E1221639B744"/>
        <w:category>
          <w:name w:val="일반"/>
          <w:gallery w:val="placeholder"/>
        </w:category>
        <w:types>
          <w:type w:val="bbPlcHdr"/>
        </w:types>
        <w:behaviors>
          <w:behavior w:val="content"/>
        </w:behaviors>
        <w:guid w:val="{3AEBA9A2-6FF8-4439-8C53-63202D65CD3E}"/>
      </w:docPartPr>
      <w:docPartBody>
        <w:p w:rsidR="0052470F" w:rsidRDefault="002A0099" w:rsidP="002A0099">
          <w:pPr>
            <w:pStyle w:val="9C8B6781489947EBB753E1221639B744"/>
          </w:pPr>
          <w:r w:rsidRPr="00666DDA">
            <w:rPr>
              <w:rStyle w:val="a3"/>
            </w:rPr>
            <w:t>Click or tap here to enter text.</w:t>
          </w:r>
        </w:p>
      </w:docPartBody>
    </w:docPart>
    <w:docPart>
      <w:docPartPr>
        <w:name w:val="D0140838DAB5408FA069C2A8CBB5DD79"/>
        <w:category>
          <w:name w:val="일반"/>
          <w:gallery w:val="placeholder"/>
        </w:category>
        <w:types>
          <w:type w:val="bbPlcHdr"/>
        </w:types>
        <w:behaviors>
          <w:behavior w:val="content"/>
        </w:behaviors>
        <w:guid w:val="{137A0929-7E88-497C-9E9B-8F7DF6DECED9}"/>
      </w:docPartPr>
      <w:docPartBody>
        <w:p w:rsidR="0052470F" w:rsidRDefault="002A0099" w:rsidP="002A0099">
          <w:pPr>
            <w:pStyle w:val="D0140838DAB5408FA069C2A8CBB5DD79"/>
          </w:pPr>
          <w:r w:rsidRPr="00666DDA">
            <w:rPr>
              <w:rStyle w:val="a3"/>
            </w:rPr>
            <w:t>Click or tap here to enter text.</w:t>
          </w:r>
        </w:p>
      </w:docPartBody>
    </w:docPart>
    <w:docPart>
      <w:docPartPr>
        <w:name w:val="37E8736C6B7A4C849E68F2EAAD820B84"/>
        <w:category>
          <w:name w:val="일반"/>
          <w:gallery w:val="placeholder"/>
        </w:category>
        <w:types>
          <w:type w:val="bbPlcHdr"/>
        </w:types>
        <w:behaviors>
          <w:behavior w:val="content"/>
        </w:behaviors>
        <w:guid w:val="{9CA81DB2-E0FE-4050-97B5-7E5784022C1F}"/>
      </w:docPartPr>
      <w:docPartBody>
        <w:p w:rsidR="0052470F" w:rsidRDefault="002A0099" w:rsidP="002A0099">
          <w:pPr>
            <w:pStyle w:val="37E8736C6B7A4C849E68F2EAAD820B84"/>
          </w:pPr>
          <w:r w:rsidRPr="00E61414">
            <w:rPr>
              <w:rStyle w:val="a3"/>
            </w:rPr>
            <w:t>Click or tap here to enter text.</w:t>
          </w:r>
        </w:p>
      </w:docPartBody>
    </w:docPart>
    <w:docPart>
      <w:docPartPr>
        <w:name w:val="1F066266A5234440BC5CDF038E92C770"/>
        <w:category>
          <w:name w:val="일반"/>
          <w:gallery w:val="placeholder"/>
        </w:category>
        <w:types>
          <w:type w:val="bbPlcHdr"/>
        </w:types>
        <w:behaviors>
          <w:behavior w:val="content"/>
        </w:behaviors>
        <w:guid w:val="{C771080B-97F4-43CB-B65C-362F901E9C92}"/>
      </w:docPartPr>
      <w:docPartBody>
        <w:p w:rsidR="0052470F" w:rsidRDefault="002A0099" w:rsidP="002A0099">
          <w:pPr>
            <w:pStyle w:val="1F066266A5234440BC5CDF038E92C770"/>
          </w:pPr>
          <w:r w:rsidRPr="00666DDA">
            <w:rPr>
              <w:rStyle w:val="a3"/>
            </w:rPr>
            <w:t>Click or tap here to enter text.</w:t>
          </w:r>
        </w:p>
      </w:docPartBody>
    </w:docPart>
    <w:docPart>
      <w:docPartPr>
        <w:name w:val="CB5611BBEB464615931DA97C6B9EC626"/>
        <w:category>
          <w:name w:val="일반"/>
          <w:gallery w:val="placeholder"/>
        </w:category>
        <w:types>
          <w:type w:val="bbPlcHdr"/>
        </w:types>
        <w:behaviors>
          <w:behavior w:val="content"/>
        </w:behaviors>
        <w:guid w:val="{1A4516C1-AF08-4F85-A791-DBF7F4325CDC}"/>
      </w:docPartPr>
      <w:docPartBody>
        <w:p w:rsidR="0052470F" w:rsidRDefault="002A0099" w:rsidP="002A0099">
          <w:pPr>
            <w:pStyle w:val="CB5611BBEB464615931DA97C6B9EC626"/>
          </w:pPr>
          <w:r w:rsidRPr="00666DDA">
            <w:rPr>
              <w:rStyle w:val="a3"/>
            </w:rPr>
            <w:t>Click or tap here to enter text.</w:t>
          </w:r>
        </w:p>
      </w:docPartBody>
    </w:docPart>
    <w:docPart>
      <w:docPartPr>
        <w:name w:val="24855C68223D446086D0E0D6A444F6D4"/>
        <w:category>
          <w:name w:val="일반"/>
          <w:gallery w:val="placeholder"/>
        </w:category>
        <w:types>
          <w:type w:val="bbPlcHdr"/>
        </w:types>
        <w:behaviors>
          <w:behavior w:val="content"/>
        </w:behaviors>
        <w:guid w:val="{A6A67D73-4E99-4A10-A51E-2744F10661E8}"/>
      </w:docPartPr>
      <w:docPartBody>
        <w:p w:rsidR="0052470F" w:rsidRDefault="002A0099" w:rsidP="002A0099">
          <w:pPr>
            <w:pStyle w:val="24855C68223D446086D0E0D6A444F6D4"/>
          </w:pPr>
          <w:r w:rsidRPr="00200CCA">
            <w:rPr>
              <w:rStyle w:val="a3"/>
            </w:rPr>
            <w:t>Click or tap here to enter text.</w:t>
          </w:r>
        </w:p>
      </w:docPartBody>
    </w:docPart>
    <w:docPart>
      <w:docPartPr>
        <w:name w:val="26ED79D905BF4BF8A018A8CBDB532AD6"/>
        <w:category>
          <w:name w:val="일반"/>
          <w:gallery w:val="placeholder"/>
        </w:category>
        <w:types>
          <w:type w:val="bbPlcHdr"/>
        </w:types>
        <w:behaviors>
          <w:behavior w:val="content"/>
        </w:behaviors>
        <w:guid w:val="{89D94761-C6A1-4AC7-828D-DEBDBA178B63}"/>
      </w:docPartPr>
      <w:docPartBody>
        <w:p w:rsidR="0052470F" w:rsidRDefault="002A0099" w:rsidP="002A0099">
          <w:pPr>
            <w:pStyle w:val="26ED79D905BF4BF8A018A8CBDB532AD6"/>
          </w:pPr>
          <w:r w:rsidRPr="00200CCA">
            <w:rPr>
              <w:rStyle w:val="a3"/>
            </w:rPr>
            <w:t>Click or tap here to enter text.</w:t>
          </w:r>
        </w:p>
      </w:docPartBody>
    </w:docPart>
    <w:docPart>
      <w:docPartPr>
        <w:name w:val="8FA6BD8544A0465F9C13CFEA8F1CA45D"/>
        <w:category>
          <w:name w:val="일반"/>
          <w:gallery w:val="placeholder"/>
        </w:category>
        <w:types>
          <w:type w:val="bbPlcHdr"/>
        </w:types>
        <w:behaviors>
          <w:behavior w:val="content"/>
        </w:behaviors>
        <w:guid w:val="{0776268A-30FF-4BA9-9A84-8F623DADCCAF}"/>
      </w:docPartPr>
      <w:docPartBody>
        <w:p w:rsidR="0052470F" w:rsidRDefault="002A0099" w:rsidP="002A0099">
          <w:pPr>
            <w:pStyle w:val="8FA6BD8544A0465F9C13CFEA8F1CA45D"/>
          </w:pPr>
          <w:r w:rsidRPr="00666DDA">
            <w:rPr>
              <w:rStyle w:val="a3"/>
            </w:rPr>
            <w:t>Click or tap here to enter text.</w:t>
          </w:r>
        </w:p>
      </w:docPartBody>
    </w:docPart>
    <w:docPart>
      <w:docPartPr>
        <w:name w:val="CD5613AA820D4FDF93464B697EF6A369"/>
        <w:category>
          <w:name w:val="일반"/>
          <w:gallery w:val="placeholder"/>
        </w:category>
        <w:types>
          <w:type w:val="bbPlcHdr"/>
        </w:types>
        <w:behaviors>
          <w:behavior w:val="content"/>
        </w:behaviors>
        <w:guid w:val="{129A9870-11B6-4118-AAC7-B7AEBBE02562}"/>
      </w:docPartPr>
      <w:docPartBody>
        <w:p w:rsidR="0052470F" w:rsidRDefault="002A0099" w:rsidP="002A0099">
          <w:pPr>
            <w:pStyle w:val="CD5613AA820D4FDF93464B697EF6A369"/>
          </w:pPr>
          <w:r w:rsidRPr="003A334C">
            <w:rPr>
              <w:rStyle w:val="a3"/>
            </w:rPr>
            <w:t>텍스트를 입력하려면 여기를 클릭하거나 탭하세요.</w:t>
          </w:r>
        </w:p>
      </w:docPartBody>
    </w:docPart>
    <w:docPart>
      <w:docPartPr>
        <w:name w:val="8F9C25ACBCFA45B08D810634B9DE8211"/>
        <w:category>
          <w:name w:val="일반"/>
          <w:gallery w:val="placeholder"/>
        </w:category>
        <w:types>
          <w:type w:val="bbPlcHdr"/>
        </w:types>
        <w:behaviors>
          <w:behavior w:val="content"/>
        </w:behaviors>
        <w:guid w:val="{A34B328E-750D-4916-8E5C-0507DDDC290C}"/>
      </w:docPartPr>
      <w:docPartBody>
        <w:p w:rsidR="0052470F" w:rsidRDefault="002A0099" w:rsidP="002A0099">
          <w:pPr>
            <w:pStyle w:val="8F9C25ACBCFA45B08D810634B9DE8211"/>
          </w:pPr>
          <w:r w:rsidRPr="00013068">
            <w:rPr>
              <w:rStyle w:val="a3"/>
              <w:rFonts w:hint="eastAsia"/>
            </w:rPr>
            <w:t>텍스트를 입력하려면 여기를 클릭하거나 탭하세요.</w:t>
          </w:r>
        </w:p>
      </w:docPartBody>
    </w:docPart>
    <w:docPart>
      <w:docPartPr>
        <w:name w:val="859A09BF09984E90ADD84D6EE035340B"/>
        <w:category>
          <w:name w:val="일반"/>
          <w:gallery w:val="placeholder"/>
        </w:category>
        <w:types>
          <w:type w:val="bbPlcHdr"/>
        </w:types>
        <w:behaviors>
          <w:behavior w:val="content"/>
        </w:behaviors>
        <w:guid w:val="{9261627A-BF78-4CF1-9940-1326877619A1}"/>
      </w:docPartPr>
      <w:docPartBody>
        <w:p w:rsidR="0052470F" w:rsidRDefault="002A0099" w:rsidP="002A0099">
          <w:pPr>
            <w:pStyle w:val="859A09BF09984E90ADD84D6EE035340B"/>
          </w:pPr>
          <w:r w:rsidRPr="00013068">
            <w:rPr>
              <w:rStyle w:val="a3"/>
              <w:rFonts w:hint="eastAsia"/>
            </w:rPr>
            <w:t>텍스트를 입력하려면 여기를 클릭하거나 탭하세요.</w:t>
          </w:r>
        </w:p>
      </w:docPartBody>
    </w:docPart>
    <w:docPart>
      <w:docPartPr>
        <w:name w:val="D5C6BBCD10D64457B9FB5724724BD1FA"/>
        <w:category>
          <w:name w:val="일반"/>
          <w:gallery w:val="placeholder"/>
        </w:category>
        <w:types>
          <w:type w:val="bbPlcHdr"/>
        </w:types>
        <w:behaviors>
          <w:behavior w:val="content"/>
        </w:behaviors>
        <w:guid w:val="{529ACE31-A7A5-486E-8D5A-A04874A6F199}"/>
      </w:docPartPr>
      <w:docPartBody>
        <w:p w:rsidR="0052470F" w:rsidRDefault="002A0099" w:rsidP="002A0099">
          <w:pPr>
            <w:pStyle w:val="D5C6BBCD10D64457B9FB5724724BD1FA"/>
          </w:pPr>
          <w:r w:rsidRPr="00200CCA">
            <w:rPr>
              <w:rStyle w:val="a3"/>
            </w:rPr>
            <w:t>Click or tap here to enter text.</w:t>
          </w:r>
        </w:p>
      </w:docPartBody>
    </w:docPart>
    <w:docPart>
      <w:docPartPr>
        <w:name w:val="50E52A5EADF6499B9C925B7F5B31BA9B"/>
        <w:category>
          <w:name w:val="일반"/>
          <w:gallery w:val="placeholder"/>
        </w:category>
        <w:types>
          <w:type w:val="bbPlcHdr"/>
        </w:types>
        <w:behaviors>
          <w:behavior w:val="content"/>
        </w:behaviors>
        <w:guid w:val="{C92E9963-DFA9-46ED-9FF8-E181D8B61932}"/>
      </w:docPartPr>
      <w:docPartBody>
        <w:p w:rsidR="0052470F" w:rsidRDefault="002A0099" w:rsidP="002A0099">
          <w:pPr>
            <w:pStyle w:val="50E52A5EADF6499B9C925B7F5B31BA9B"/>
          </w:pPr>
          <w:r w:rsidRPr="00106CCD">
            <w:rPr>
              <w:rStyle w:val="a3"/>
            </w:rPr>
            <w:t>Click or tap here to enter text.</w:t>
          </w:r>
        </w:p>
      </w:docPartBody>
    </w:docPart>
    <w:docPart>
      <w:docPartPr>
        <w:name w:val="A0093BB38BC84081A9F588E51EAD0285"/>
        <w:category>
          <w:name w:val="일반"/>
          <w:gallery w:val="placeholder"/>
        </w:category>
        <w:types>
          <w:type w:val="bbPlcHdr"/>
        </w:types>
        <w:behaviors>
          <w:behavior w:val="content"/>
        </w:behaviors>
        <w:guid w:val="{D3AA6C52-B159-4446-A56B-84957B38540C}"/>
      </w:docPartPr>
      <w:docPartBody>
        <w:p w:rsidR="0052470F" w:rsidRDefault="002A0099" w:rsidP="002A0099">
          <w:pPr>
            <w:pStyle w:val="A0093BB38BC84081A9F588E51EAD0285"/>
          </w:pPr>
          <w:r w:rsidRPr="002A0865">
            <w:rPr>
              <w:rStyle w:val="a3"/>
            </w:rPr>
            <w:t>Click or tap here to enter text.</w:t>
          </w:r>
        </w:p>
      </w:docPartBody>
    </w:docPart>
    <w:docPart>
      <w:docPartPr>
        <w:name w:val="4F027D856BE34D07BC54BE638B2B5652"/>
        <w:category>
          <w:name w:val="일반"/>
          <w:gallery w:val="placeholder"/>
        </w:category>
        <w:types>
          <w:type w:val="bbPlcHdr"/>
        </w:types>
        <w:behaviors>
          <w:behavior w:val="content"/>
        </w:behaviors>
        <w:guid w:val="{106F6B07-BB18-49F9-A827-F1D657AD8EBD}"/>
      </w:docPartPr>
      <w:docPartBody>
        <w:p w:rsidR="0052470F" w:rsidRDefault="002A0099" w:rsidP="002A0099">
          <w:pPr>
            <w:pStyle w:val="4F027D856BE34D07BC54BE638B2B5652"/>
          </w:pPr>
          <w:r w:rsidRPr="00106CCD">
            <w:rPr>
              <w:rStyle w:val="a3"/>
            </w:rPr>
            <w:t>Click or tap here to enter text.</w:t>
          </w:r>
        </w:p>
      </w:docPartBody>
    </w:docPart>
    <w:docPart>
      <w:docPartPr>
        <w:name w:val="1D00C17B0C644BE6888543DBE957F692"/>
        <w:category>
          <w:name w:val="일반"/>
          <w:gallery w:val="placeholder"/>
        </w:category>
        <w:types>
          <w:type w:val="bbPlcHdr"/>
        </w:types>
        <w:behaviors>
          <w:behavior w:val="content"/>
        </w:behaviors>
        <w:guid w:val="{84C27CBC-BE9C-40CC-8E9A-7A95BD0287E3}"/>
      </w:docPartPr>
      <w:docPartBody>
        <w:p w:rsidR="0052470F" w:rsidRDefault="002A0099" w:rsidP="002A0099">
          <w:pPr>
            <w:pStyle w:val="1D00C17B0C644BE6888543DBE957F692"/>
          </w:pPr>
          <w:r w:rsidRPr="002A0865">
            <w:rPr>
              <w:rStyle w:val="a3"/>
            </w:rPr>
            <w:t>Click or tap here to enter text.</w:t>
          </w:r>
        </w:p>
      </w:docPartBody>
    </w:docPart>
    <w:docPart>
      <w:docPartPr>
        <w:name w:val="8C11D0170A9A4E9CBB21603860AF6A70"/>
        <w:category>
          <w:name w:val="일반"/>
          <w:gallery w:val="placeholder"/>
        </w:category>
        <w:types>
          <w:type w:val="bbPlcHdr"/>
        </w:types>
        <w:behaviors>
          <w:behavior w:val="content"/>
        </w:behaviors>
        <w:guid w:val="{CC4E58C6-EE6D-4910-A91A-335722BFA399}"/>
      </w:docPartPr>
      <w:docPartBody>
        <w:p w:rsidR="0052470F" w:rsidRDefault="002A0099" w:rsidP="002A0099">
          <w:pPr>
            <w:pStyle w:val="8C11D0170A9A4E9CBB21603860AF6A70"/>
          </w:pPr>
          <w:r w:rsidRPr="002A0865">
            <w:rPr>
              <w:rStyle w:val="a3"/>
            </w:rPr>
            <w:t>Click or tap here to enter text.</w:t>
          </w:r>
        </w:p>
      </w:docPartBody>
    </w:docPart>
    <w:docPart>
      <w:docPartPr>
        <w:name w:val="BC3B6AC84FF54AC49C478FD0B14783BE"/>
        <w:category>
          <w:name w:val="일반"/>
          <w:gallery w:val="placeholder"/>
        </w:category>
        <w:types>
          <w:type w:val="bbPlcHdr"/>
        </w:types>
        <w:behaviors>
          <w:behavior w:val="content"/>
        </w:behaviors>
        <w:guid w:val="{71627EB4-C7DF-4CFD-B78F-AA8D227E7761}"/>
      </w:docPartPr>
      <w:docPartBody>
        <w:p w:rsidR="0052470F" w:rsidRDefault="002A0099" w:rsidP="002A0099">
          <w:pPr>
            <w:pStyle w:val="BC3B6AC84FF54AC49C478FD0B14783BE"/>
          </w:pPr>
          <w:r w:rsidRPr="00106CCD">
            <w:rPr>
              <w:rStyle w:val="a3"/>
            </w:rPr>
            <w:t>Click or tap here to enter text.</w:t>
          </w:r>
        </w:p>
      </w:docPartBody>
    </w:docPart>
    <w:docPart>
      <w:docPartPr>
        <w:name w:val="0734D32840BF4FB7AC9A60D3EB980B6F"/>
        <w:category>
          <w:name w:val="일반"/>
          <w:gallery w:val="placeholder"/>
        </w:category>
        <w:types>
          <w:type w:val="bbPlcHdr"/>
        </w:types>
        <w:behaviors>
          <w:behavior w:val="content"/>
        </w:behaviors>
        <w:guid w:val="{FDE64533-3B46-467C-83E3-730DB808A453}"/>
      </w:docPartPr>
      <w:docPartBody>
        <w:p w:rsidR="0052470F" w:rsidRDefault="002A0099" w:rsidP="002A0099">
          <w:pPr>
            <w:pStyle w:val="0734D32840BF4FB7AC9A60D3EB980B6F"/>
          </w:pPr>
          <w:r w:rsidRPr="00106CCD">
            <w:rPr>
              <w:rStyle w:val="a3"/>
            </w:rPr>
            <w:t>Click or tap here to enter text.</w:t>
          </w:r>
        </w:p>
      </w:docPartBody>
    </w:docPart>
    <w:docPart>
      <w:docPartPr>
        <w:name w:val="2174DB49BC2A4E44B7BF7861B7DBF88C"/>
        <w:category>
          <w:name w:val="일반"/>
          <w:gallery w:val="placeholder"/>
        </w:category>
        <w:types>
          <w:type w:val="bbPlcHdr"/>
        </w:types>
        <w:behaviors>
          <w:behavior w:val="content"/>
        </w:behaviors>
        <w:guid w:val="{6770A2EC-53EF-447C-99B0-64DEDED8C16F}"/>
      </w:docPartPr>
      <w:docPartBody>
        <w:p w:rsidR="0052470F" w:rsidRDefault="002A0099" w:rsidP="002A0099">
          <w:pPr>
            <w:pStyle w:val="2174DB49BC2A4E44B7BF7861B7DBF88C"/>
          </w:pPr>
          <w:r w:rsidRPr="00106CCD">
            <w:rPr>
              <w:rStyle w:val="a3"/>
            </w:rPr>
            <w:t>Click or tap here to enter text.</w:t>
          </w:r>
        </w:p>
      </w:docPartBody>
    </w:docPart>
    <w:docPart>
      <w:docPartPr>
        <w:name w:val="6778CADE19B4486EA360650DC2DD1005"/>
        <w:category>
          <w:name w:val="일반"/>
          <w:gallery w:val="placeholder"/>
        </w:category>
        <w:types>
          <w:type w:val="bbPlcHdr"/>
        </w:types>
        <w:behaviors>
          <w:behavior w:val="content"/>
        </w:behaviors>
        <w:guid w:val="{1E2EF0F2-F3C6-4AB9-96DD-6207279E032E}"/>
      </w:docPartPr>
      <w:docPartBody>
        <w:p w:rsidR="0052470F" w:rsidRDefault="002A0099" w:rsidP="002A0099">
          <w:pPr>
            <w:pStyle w:val="6778CADE19B4486EA360650DC2DD1005"/>
          </w:pPr>
          <w:r w:rsidRPr="00106CCD">
            <w:rPr>
              <w:rStyle w:val="a3"/>
            </w:rPr>
            <w:t>Click or tap here to enter text.</w:t>
          </w:r>
        </w:p>
      </w:docPartBody>
    </w:docPart>
    <w:docPart>
      <w:docPartPr>
        <w:name w:val="E98D8A055139448F8487CC8FBCFBDEFC"/>
        <w:category>
          <w:name w:val="일반"/>
          <w:gallery w:val="placeholder"/>
        </w:category>
        <w:types>
          <w:type w:val="bbPlcHdr"/>
        </w:types>
        <w:behaviors>
          <w:behavior w:val="content"/>
        </w:behaviors>
        <w:guid w:val="{2A72D495-9EC3-4AC1-B3A8-2818968D461B}"/>
      </w:docPartPr>
      <w:docPartBody>
        <w:p w:rsidR="0052470F" w:rsidRDefault="002A0099" w:rsidP="002A0099">
          <w:pPr>
            <w:pStyle w:val="E98D8A055139448F8487CC8FBCFBDEFC"/>
          </w:pPr>
          <w:r w:rsidRPr="00106CCD">
            <w:rPr>
              <w:rStyle w:val="a3"/>
            </w:rPr>
            <w:t>Click or tap here to enter text.</w:t>
          </w:r>
        </w:p>
      </w:docPartBody>
    </w:docPart>
    <w:docPart>
      <w:docPartPr>
        <w:name w:val="C31CD7735E0C4A7EB5C51B1B6C840E0F"/>
        <w:category>
          <w:name w:val="일반"/>
          <w:gallery w:val="placeholder"/>
        </w:category>
        <w:types>
          <w:type w:val="bbPlcHdr"/>
        </w:types>
        <w:behaviors>
          <w:behavior w:val="content"/>
        </w:behaviors>
        <w:guid w:val="{9CDF40A7-3FCC-4233-960D-2CC328D89276}"/>
      </w:docPartPr>
      <w:docPartBody>
        <w:p w:rsidR="0052470F" w:rsidRDefault="002A0099" w:rsidP="002A0099">
          <w:pPr>
            <w:pStyle w:val="C31CD7735E0C4A7EB5C51B1B6C840E0F"/>
          </w:pPr>
          <w:r w:rsidRPr="00106CCD">
            <w:rPr>
              <w:rStyle w:val="a3"/>
            </w:rPr>
            <w:t>Click or tap here to enter text.</w:t>
          </w:r>
        </w:p>
      </w:docPartBody>
    </w:docPart>
    <w:docPart>
      <w:docPartPr>
        <w:name w:val="0C34580FCD784DBDB8EB938561B8EFEE"/>
        <w:category>
          <w:name w:val="일반"/>
          <w:gallery w:val="placeholder"/>
        </w:category>
        <w:types>
          <w:type w:val="bbPlcHdr"/>
        </w:types>
        <w:behaviors>
          <w:behavior w:val="content"/>
        </w:behaviors>
        <w:guid w:val="{F9144ED2-125C-490C-806E-B80FB963A171}"/>
      </w:docPartPr>
      <w:docPartBody>
        <w:p w:rsidR="0052470F" w:rsidRDefault="002A0099" w:rsidP="002A0099">
          <w:pPr>
            <w:pStyle w:val="0C34580FCD784DBDB8EB938561B8EFEE"/>
          </w:pPr>
          <w:r w:rsidRPr="00106CCD">
            <w:rPr>
              <w:rStyle w:val="a3"/>
            </w:rPr>
            <w:t>Click or tap here to enter text.</w:t>
          </w:r>
        </w:p>
      </w:docPartBody>
    </w:docPart>
    <w:docPart>
      <w:docPartPr>
        <w:name w:val="2379427432B24904AD6F4032957703B4"/>
        <w:category>
          <w:name w:val="일반"/>
          <w:gallery w:val="placeholder"/>
        </w:category>
        <w:types>
          <w:type w:val="bbPlcHdr"/>
        </w:types>
        <w:behaviors>
          <w:behavior w:val="content"/>
        </w:behaviors>
        <w:guid w:val="{F2889CC9-3A51-452A-A872-78B9812EE43B}"/>
      </w:docPartPr>
      <w:docPartBody>
        <w:p w:rsidR="0052470F" w:rsidRDefault="002A0099" w:rsidP="002A0099">
          <w:pPr>
            <w:pStyle w:val="2379427432B24904AD6F4032957703B4"/>
          </w:pPr>
          <w:r w:rsidRPr="00106CCD">
            <w:rPr>
              <w:rStyle w:val="a3"/>
            </w:rPr>
            <w:t>Click or tap here to enter text.</w:t>
          </w:r>
        </w:p>
      </w:docPartBody>
    </w:docPart>
    <w:docPart>
      <w:docPartPr>
        <w:name w:val="CE2B407CE70A454F96B67F3745B30A30"/>
        <w:category>
          <w:name w:val="일반"/>
          <w:gallery w:val="placeholder"/>
        </w:category>
        <w:types>
          <w:type w:val="bbPlcHdr"/>
        </w:types>
        <w:behaviors>
          <w:behavior w:val="content"/>
        </w:behaviors>
        <w:guid w:val="{5147A217-DE63-4D4D-B3B6-54DC25F149BC}"/>
      </w:docPartPr>
      <w:docPartBody>
        <w:p w:rsidR="0052470F" w:rsidRDefault="002A0099" w:rsidP="002A0099">
          <w:pPr>
            <w:pStyle w:val="CE2B407CE70A454F96B67F3745B30A30"/>
          </w:pPr>
          <w:r w:rsidRPr="00106CCD">
            <w:rPr>
              <w:rStyle w:val="a3"/>
            </w:rPr>
            <w:t>Click or tap here to enter text.</w:t>
          </w:r>
        </w:p>
      </w:docPartBody>
    </w:docPart>
    <w:docPart>
      <w:docPartPr>
        <w:name w:val="2F85AC8D8EAF4921A4B7DECBFEF4A730"/>
        <w:category>
          <w:name w:val="일반"/>
          <w:gallery w:val="placeholder"/>
        </w:category>
        <w:types>
          <w:type w:val="bbPlcHdr"/>
        </w:types>
        <w:behaviors>
          <w:behavior w:val="content"/>
        </w:behaviors>
        <w:guid w:val="{F3ED9081-1F7C-4B17-ADA0-C87E64EC34C3}"/>
      </w:docPartPr>
      <w:docPartBody>
        <w:p w:rsidR="0052470F" w:rsidRDefault="002A0099" w:rsidP="002A0099">
          <w:pPr>
            <w:pStyle w:val="2F85AC8D8EAF4921A4B7DECBFEF4A730"/>
          </w:pPr>
          <w:r w:rsidRPr="00106CCD">
            <w:rPr>
              <w:rStyle w:val="a3"/>
            </w:rPr>
            <w:t>Click or tap here to enter text.</w:t>
          </w:r>
        </w:p>
      </w:docPartBody>
    </w:docPart>
    <w:docPart>
      <w:docPartPr>
        <w:name w:val="5654E6349B734CD4B60AEEC65B910403"/>
        <w:category>
          <w:name w:val="일반"/>
          <w:gallery w:val="placeholder"/>
        </w:category>
        <w:types>
          <w:type w:val="bbPlcHdr"/>
        </w:types>
        <w:behaviors>
          <w:behavior w:val="content"/>
        </w:behaviors>
        <w:guid w:val="{C90CE048-A34E-4F39-B98B-FFEB768F6DDD}"/>
      </w:docPartPr>
      <w:docPartBody>
        <w:p w:rsidR="0052470F" w:rsidRDefault="002A0099" w:rsidP="002A0099">
          <w:pPr>
            <w:pStyle w:val="5654E6349B734CD4B60AEEC65B910403"/>
          </w:pPr>
          <w:r w:rsidRPr="00106CCD">
            <w:rPr>
              <w:rStyle w:val="a3"/>
            </w:rPr>
            <w:t>Click or tap here to enter text.</w:t>
          </w:r>
        </w:p>
      </w:docPartBody>
    </w:docPart>
    <w:docPart>
      <w:docPartPr>
        <w:name w:val="367E68CFF18B4280A01A536BF20E78A9"/>
        <w:category>
          <w:name w:val="일반"/>
          <w:gallery w:val="placeholder"/>
        </w:category>
        <w:types>
          <w:type w:val="bbPlcHdr"/>
        </w:types>
        <w:behaviors>
          <w:behavior w:val="content"/>
        </w:behaviors>
        <w:guid w:val="{7DC6B9D5-D00D-4C5E-8BCE-55C8EFE4F409}"/>
      </w:docPartPr>
      <w:docPartBody>
        <w:p w:rsidR="0052470F" w:rsidRDefault="002A0099" w:rsidP="002A0099">
          <w:pPr>
            <w:pStyle w:val="367E68CFF18B4280A01A536BF20E78A9"/>
          </w:pPr>
          <w:r w:rsidRPr="00200CCA">
            <w:rPr>
              <w:rStyle w:val="a3"/>
            </w:rPr>
            <w:t>Click or tap here to enter text.</w:t>
          </w:r>
        </w:p>
      </w:docPartBody>
    </w:docPart>
    <w:docPart>
      <w:docPartPr>
        <w:name w:val="B5EAF7A98AF94A4DBFBBA77D47133952"/>
        <w:category>
          <w:name w:val="일반"/>
          <w:gallery w:val="placeholder"/>
        </w:category>
        <w:types>
          <w:type w:val="bbPlcHdr"/>
        </w:types>
        <w:behaviors>
          <w:behavior w:val="content"/>
        </w:behaviors>
        <w:guid w:val="{606B5A3F-A4FD-49BA-AF01-A6111A4E46EE}"/>
      </w:docPartPr>
      <w:docPartBody>
        <w:p w:rsidR="0052470F" w:rsidRDefault="002A0099" w:rsidP="002A0099">
          <w:pPr>
            <w:pStyle w:val="B5EAF7A98AF94A4DBFBBA77D47133952"/>
          </w:pPr>
          <w:r w:rsidRPr="00106CCD">
            <w:rPr>
              <w:rStyle w:val="a3"/>
            </w:rPr>
            <w:t>Click or tap here to enter text.</w:t>
          </w:r>
        </w:p>
      </w:docPartBody>
    </w:docPart>
    <w:docPart>
      <w:docPartPr>
        <w:name w:val="2E89E171BE4F4121AC9C8048F9FB612F"/>
        <w:category>
          <w:name w:val="일반"/>
          <w:gallery w:val="placeholder"/>
        </w:category>
        <w:types>
          <w:type w:val="bbPlcHdr"/>
        </w:types>
        <w:behaviors>
          <w:behavior w:val="content"/>
        </w:behaviors>
        <w:guid w:val="{ACC8CA9D-ED56-409A-AE07-CD0701BC6611}"/>
      </w:docPartPr>
      <w:docPartBody>
        <w:p w:rsidR="0052470F" w:rsidRDefault="002A0099" w:rsidP="002A0099">
          <w:pPr>
            <w:pStyle w:val="2E89E171BE4F4121AC9C8048F9FB612F"/>
          </w:pPr>
          <w:r w:rsidRPr="00106CCD">
            <w:rPr>
              <w:rStyle w:val="a3"/>
            </w:rPr>
            <w:t>Click or tap here to enter text.</w:t>
          </w:r>
        </w:p>
      </w:docPartBody>
    </w:docPart>
    <w:docPart>
      <w:docPartPr>
        <w:name w:val="6502AA1859C6467CBC20B1A3485F62A0"/>
        <w:category>
          <w:name w:val="일반"/>
          <w:gallery w:val="placeholder"/>
        </w:category>
        <w:types>
          <w:type w:val="bbPlcHdr"/>
        </w:types>
        <w:behaviors>
          <w:behavior w:val="content"/>
        </w:behaviors>
        <w:guid w:val="{81EA9F1C-D319-4BED-8772-1CE427A9F67A}"/>
      </w:docPartPr>
      <w:docPartBody>
        <w:p w:rsidR="0052470F" w:rsidRDefault="002A0099" w:rsidP="002A0099">
          <w:pPr>
            <w:pStyle w:val="6502AA1859C6467CBC20B1A3485F62A0"/>
          </w:pPr>
          <w:r w:rsidRPr="00106CCD">
            <w:rPr>
              <w:rStyle w:val="a3"/>
            </w:rPr>
            <w:t>Click or tap here to enter text.</w:t>
          </w:r>
        </w:p>
      </w:docPartBody>
    </w:docPart>
    <w:docPart>
      <w:docPartPr>
        <w:name w:val="315331EA77584A6CA54609C05AA75A65"/>
        <w:category>
          <w:name w:val="일반"/>
          <w:gallery w:val="placeholder"/>
        </w:category>
        <w:types>
          <w:type w:val="bbPlcHdr"/>
        </w:types>
        <w:behaviors>
          <w:behavior w:val="content"/>
        </w:behaviors>
        <w:guid w:val="{88629075-F550-4E39-B0BD-EA38B1EB301B}"/>
      </w:docPartPr>
      <w:docPartBody>
        <w:p w:rsidR="0052470F" w:rsidRDefault="002A0099" w:rsidP="002A0099">
          <w:pPr>
            <w:pStyle w:val="315331EA77584A6CA54609C05AA75A65"/>
          </w:pPr>
          <w:r w:rsidRPr="00106CCD">
            <w:rPr>
              <w:rStyle w:val="a3"/>
            </w:rPr>
            <w:t>Click or tap here to enter text.</w:t>
          </w:r>
        </w:p>
      </w:docPartBody>
    </w:docPart>
    <w:docPart>
      <w:docPartPr>
        <w:name w:val="7CB25E42336A47D2820D0F906288CD34"/>
        <w:category>
          <w:name w:val="일반"/>
          <w:gallery w:val="placeholder"/>
        </w:category>
        <w:types>
          <w:type w:val="bbPlcHdr"/>
        </w:types>
        <w:behaviors>
          <w:behavior w:val="content"/>
        </w:behaviors>
        <w:guid w:val="{D30ADD71-80D7-4EA7-B39B-DE1D26362C8B}"/>
      </w:docPartPr>
      <w:docPartBody>
        <w:p w:rsidR="0052470F" w:rsidRDefault="002A0099" w:rsidP="002A0099">
          <w:pPr>
            <w:pStyle w:val="7CB25E42336A47D2820D0F906288CD34"/>
          </w:pPr>
          <w:r w:rsidRPr="00106CCD">
            <w:rPr>
              <w:rStyle w:val="a3"/>
            </w:rPr>
            <w:t>Click or tap here to enter text.</w:t>
          </w:r>
        </w:p>
      </w:docPartBody>
    </w:docPart>
    <w:docPart>
      <w:docPartPr>
        <w:name w:val="4F4D85FB54FD4169ABE9A979D3C3E189"/>
        <w:category>
          <w:name w:val="일반"/>
          <w:gallery w:val="placeholder"/>
        </w:category>
        <w:types>
          <w:type w:val="bbPlcHdr"/>
        </w:types>
        <w:behaviors>
          <w:behavior w:val="content"/>
        </w:behaviors>
        <w:guid w:val="{81C4E040-E463-4C7C-BB02-FFF6DEF1DE18}"/>
      </w:docPartPr>
      <w:docPartBody>
        <w:p w:rsidR="0052470F" w:rsidRDefault="002A0099" w:rsidP="002A0099">
          <w:pPr>
            <w:pStyle w:val="4F4D85FB54FD4169ABE9A979D3C3E189"/>
          </w:pPr>
          <w:r w:rsidRPr="00106CCD">
            <w:rPr>
              <w:rStyle w:val="a3"/>
            </w:rPr>
            <w:t>Click or tap here to enter text.</w:t>
          </w:r>
        </w:p>
      </w:docPartBody>
    </w:docPart>
    <w:docPart>
      <w:docPartPr>
        <w:name w:val="0A55EE6BA3FC458DAF1AB763612E4A78"/>
        <w:category>
          <w:name w:val="일반"/>
          <w:gallery w:val="placeholder"/>
        </w:category>
        <w:types>
          <w:type w:val="bbPlcHdr"/>
        </w:types>
        <w:behaviors>
          <w:behavior w:val="content"/>
        </w:behaviors>
        <w:guid w:val="{75712803-67A3-47B2-8C51-9FF093368994}"/>
      </w:docPartPr>
      <w:docPartBody>
        <w:p w:rsidR="0052470F" w:rsidRDefault="002A0099" w:rsidP="002A0099">
          <w:pPr>
            <w:pStyle w:val="0A55EE6BA3FC458DAF1AB763612E4A78"/>
          </w:pPr>
          <w:r w:rsidRPr="00506152">
            <w:rPr>
              <w:rStyle w:val="a3"/>
            </w:rPr>
            <w:t>Click or tap here to enter text.</w:t>
          </w:r>
        </w:p>
      </w:docPartBody>
    </w:docPart>
    <w:docPart>
      <w:docPartPr>
        <w:name w:val="4BE6AE1A6C9946E5B18D26611911A9FB"/>
        <w:category>
          <w:name w:val="일반"/>
          <w:gallery w:val="placeholder"/>
        </w:category>
        <w:types>
          <w:type w:val="bbPlcHdr"/>
        </w:types>
        <w:behaviors>
          <w:behavior w:val="content"/>
        </w:behaviors>
        <w:guid w:val="{EC8C48FC-B249-475B-8831-F3C8C3D08F1F}"/>
      </w:docPartPr>
      <w:docPartBody>
        <w:p w:rsidR="0052470F" w:rsidRDefault="002A0099" w:rsidP="002A0099">
          <w:pPr>
            <w:pStyle w:val="4BE6AE1A6C9946E5B18D26611911A9FB"/>
          </w:pPr>
          <w:r w:rsidRPr="00506152">
            <w:rPr>
              <w:rStyle w:val="a3"/>
            </w:rPr>
            <w:t>Click or tap here to enter text.</w:t>
          </w:r>
        </w:p>
      </w:docPartBody>
    </w:docPart>
    <w:docPart>
      <w:docPartPr>
        <w:name w:val="F282B8CD996040B693C087C93C53AE35"/>
        <w:category>
          <w:name w:val="일반"/>
          <w:gallery w:val="placeholder"/>
        </w:category>
        <w:types>
          <w:type w:val="bbPlcHdr"/>
        </w:types>
        <w:behaviors>
          <w:behavior w:val="content"/>
        </w:behaviors>
        <w:guid w:val="{E989D77B-FC75-4874-A730-4000FC153BA8}"/>
      </w:docPartPr>
      <w:docPartBody>
        <w:p w:rsidR="0052470F" w:rsidRDefault="002A0099" w:rsidP="002A0099">
          <w:pPr>
            <w:pStyle w:val="F282B8CD996040B693C087C93C53AE35"/>
          </w:pPr>
          <w:r w:rsidRPr="0025061D">
            <w:rPr>
              <w:rStyle w:val="a3"/>
            </w:rPr>
            <w:t>Click or tap here to enter text.</w:t>
          </w:r>
        </w:p>
      </w:docPartBody>
    </w:docPart>
    <w:docPart>
      <w:docPartPr>
        <w:name w:val="156B8C88E1A2445E974B40D160E2DC0B"/>
        <w:category>
          <w:name w:val="일반"/>
          <w:gallery w:val="placeholder"/>
        </w:category>
        <w:types>
          <w:type w:val="bbPlcHdr"/>
        </w:types>
        <w:behaviors>
          <w:behavior w:val="content"/>
        </w:behaviors>
        <w:guid w:val="{9C7506DE-6238-40DE-A601-6DE305CA5F86}"/>
      </w:docPartPr>
      <w:docPartBody>
        <w:p w:rsidR="0052470F" w:rsidRDefault="002A0099" w:rsidP="002A0099">
          <w:pPr>
            <w:pStyle w:val="156B8C88E1A2445E974B40D160E2DC0B"/>
          </w:pPr>
          <w:r w:rsidRPr="00106CCD">
            <w:rPr>
              <w:rStyle w:val="a3"/>
            </w:rPr>
            <w:t>Click or tap here to enter text.</w:t>
          </w:r>
        </w:p>
      </w:docPartBody>
    </w:docPart>
    <w:docPart>
      <w:docPartPr>
        <w:name w:val="37BC9146280544ADBE68FFAB9D107FF5"/>
        <w:category>
          <w:name w:val="일반"/>
          <w:gallery w:val="placeholder"/>
        </w:category>
        <w:types>
          <w:type w:val="bbPlcHdr"/>
        </w:types>
        <w:behaviors>
          <w:behavior w:val="content"/>
        </w:behaviors>
        <w:guid w:val="{8C646491-D586-4607-8D5E-1615128680EE}"/>
      </w:docPartPr>
      <w:docPartBody>
        <w:p w:rsidR="0052470F" w:rsidRDefault="002A0099" w:rsidP="002A0099">
          <w:pPr>
            <w:pStyle w:val="37BC9146280544ADBE68FFAB9D107FF5"/>
          </w:pPr>
          <w:r w:rsidRPr="002A0865">
            <w:rPr>
              <w:rStyle w:val="a3"/>
            </w:rPr>
            <w:t>Click or tap here to enter text.</w:t>
          </w:r>
        </w:p>
      </w:docPartBody>
    </w:docPart>
    <w:docPart>
      <w:docPartPr>
        <w:name w:val="8F71D5EBA2514337A9EC45B484995693"/>
        <w:category>
          <w:name w:val="일반"/>
          <w:gallery w:val="placeholder"/>
        </w:category>
        <w:types>
          <w:type w:val="bbPlcHdr"/>
        </w:types>
        <w:behaviors>
          <w:behavior w:val="content"/>
        </w:behaviors>
        <w:guid w:val="{B8E71444-2750-4026-852B-9E0BBE5F5934}"/>
      </w:docPartPr>
      <w:docPartBody>
        <w:p w:rsidR="0052470F" w:rsidRDefault="002A0099" w:rsidP="002A0099">
          <w:pPr>
            <w:pStyle w:val="8F71D5EBA2514337A9EC45B484995693"/>
          </w:pPr>
          <w:r w:rsidRPr="00666DDA">
            <w:rPr>
              <w:rStyle w:val="a3"/>
            </w:rPr>
            <w:t>Click or tap here to enter text.</w:t>
          </w:r>
        </w:p>
      </w:docPartBody>
    </w:docPart>
    <w:docPart>
      <w:docPartPr>
        <w:name w:val="0E900B9261764E57887BB9C383A3C06A"/>
        <w:category>
          <w:name w:val="일반"/>
          <w:gallery w:val="placeholder"/>
        </w:category>
        <w:types>
          <w:type w:val="bbPlcHdr"/>
        </w:types>
        <w:behaviors>
          <w:behavior w:val="content"/>
        </w:behaviors>
        <w:guid w:val="{98A3FA20-6ACF-4A07-84CE-DE080AE71803}"/>
      </w:docPartPr>
      <w:docPartBody>
        <w:p w:rsidR="0052470F" w:rsidRDefault="002A0099" w:rsidP="002A0099">
          <w:pPr>
            <w:pStyle w:val="0E900B9261764E57887BB9C383A3C06A"/>
          </w:pPr>
          <w:r w:rsidRPr="00506152">
            <w:rPr>
              <w:rStyle w:val="a3"/>
            </w:rPr>
            <w:t>Click or tap here to enter text.</w:t>
          </w:r>
        </w:p>
      </w:docPartBody>
    </w:docPart>
    <w:docPart>
      <w:docPartPr>
        <w:name w:val="F6716BC7E8174DF6A2C6BB6C5B2BFE2F"/>
        <w:category>
          <w:name w:val="일반"/>
          <w:gallery w:val="placeholder"/>
        </w:category>
        <w:types>
          <w:type w:val="bbPlcHdr"/>
        </w:types>
        <w:behaviors>
          <w:behavior w:val="content"/>
        </w:behaviors>
        <w:guid w:val="{7B5D44FC-CCE7-4C10-ADCA-E64B25982A2B}"/>
      </w:docPartPr>
      <w:docPartBody>
        <w:p w:rsidR="0052470F" w:rsidRDefault="002A0099" w:rsidP="002A0099">
          <w:pPr>
            <w:pStyle w:val="F6716BC7E8174DF6A2C6BB6C5B2BFE2F"/>
          </w:pPr>
          <w:r w:rsidRPr="002A0865">
            <w:rPr>
              <w:rStyle w:val="a3"/>
            </w:rPr>
            <w:t>Click or tap here to enter text.</w:t>
          </w:r>
        </w:p>
      </w:docPartBody>
    </w:docPart>
    <w:docPart>
      <w:docPartPr>
        <w:name w:val="7B918028E1594B2BAB368825F7878899"/>
        <w:category>
          <w:name w:val="일반"/>
          <w:gallery w:val="placeholder"/>
        </w:category>
        <w:types>
          <w:type w:val="bbPlcHdr"/>
        </w:types>
        <w:behaviors>
          <w:behavior w:val="content"/>
        </w:behaviors>
        <w:guid w:val="{D46F8AAF-2B65-40C1-A9CD-8A1C2D7DF582}"/>
      </w:docPartPr>
      <w:docPartBody>
        <w:p w:rsidR="0052470F" w:rsidRDefault="002A0099" w:rsidP="002A0099">
          <w:pPr>
            <w:pStyle w:val="7B918028E1594B2BAB368825F7878899"/>
          </w:pPr>
          <w:r w:rsidRPr="0025061D">
            <w:rPr>
              <w:rStyle w:val="a3"/>
            </w:rPr>
            <w:t>Click or tap here to enter text.</w:t>
          </w:r>
        </w:p>
      </w:docPartBody>
    </w:docPart>
    <w:docPart>
      <w:docPartPr>
        <w:name w:val="E8DFEC9F68F64C2A843B6FA023994AB4"/>
        <w:category>
          <w:name w:val="일반"/>
          <w:gallery w:val="placeholder"/>
        </w:category>
        <w:types>
          <w:type w:val="bbPlcHdr"/>
        </w:types>
        <w:behaviors>
          <w:behavior w:val="content"/>
        </w:behaviors>
        <w:guid w:val="{E2545E13-582A-4CE9-834E-F7A7776D8EF2}"/>
      </w:docPartPr>
      <w:docPartBody>
        <w:p w:rsidR="0052470F" w:rsidRDefault="002A0099" w:rsidP="002A0099">
          <w:pPr>
            <w:pStyle w:val="E8DFEC9F68F64C2A843B6FA023994AB4"/>
          </w:pPr>
          <w:r w:rsidRPr="00506152">
            <w:rPr>
              <w:rStyle w:val="a3"/>
            </w:rPr>
            <w:t>Click or tap here to enter text.</w:t>
          </w:r>
        </w:p>
      </w:docPartBody>
    </w:docPart>
    <w:docPart>
      <w:docPartPr>
        <w:name w:val="6EBCD0B2D09649E795C64274DB761533"/>
        <w:category>
          <w:name w:val="일반"/>
          <w:gallery w:val="placeholder"/>
        </w:category>
        <w:types>
          <w:type w:val="bbPlcHdr"/>
        </w:types>
        <w:behaviors>
          <w:behavior w:val="content"/>
        </w:behaviors>
        <w:guid w:val="{769D644C-1F7D-4BCB-B228-7E31FC4241A2}"/>
      </w:docPartPr>
      <w:docPartBody>
        <w:p w:rsidR="0052470F" w:rsidRDefault="002A0099" w:rsidP="002A0099">
          <w:pPr>
            <w:pStyle w:val="6EBCD0B2D09649E795C64274DB761533"/>
          </w:pPr>
          <w:r w:rsidRPr="00F120A0">
            <w:rPr>
              <w:rStyle w:val="a3"/>
            </w:rPr>
            <w:t>텍스트를 입력하려면 여기를 클릭하거나 탭하세요.</w:t>
          </w:r>
        </w:p>
      </w:docPartBody>
    </w:docPart>
    <w:docPart>
      <w:docPartPr>
        <w:name w:val="35B12F89A21E475CB21E7AD7059758A8"/>
        <w:category>
          <w:name w:val="일반"/>
          <w:gallery w:val="placeholder"/>
        </w:category>
        <w:types>
          <w:type w:val="bbPlcHdr"/>
        </w:types>
        <w:behaviors>
          <w:behavior w:val="content"/>
        </w:behaviors>
        <w:guid w:val="{81CF229D-4BFD-4942-B6EB-2882317E5602}"/>
      </w:docPartPr>
      <w:docPartBody>
        <w:p w:rsidR="0052470F" w:rsidRDefault="002A0099" w:rsidP="002A0099">
          <w:pPr>
            <w:pStyle w:val="35B12F89A21E475CB21E7AD7059758A8"/>
          </w:pPr>
          <w:r w:rsidRPr="00F120A0">
            <w:rPr>
              <w:rStyle w:val="a3"/>
            </w:rPr>
            <w:t>텍스트를 입력하려면 여기를 클릭하거나 탭하세요.</w:t>
          </w:r>
        </w:p>
      </w:docPartBody>
    </w:docPart>
    <w:docPart>
      <w:docPartPr>
        <w:name w:val="E29EFE2F0CAE4853A1BC05FB07FFE501"/>
        <w:category>
          <w:name w:val="일반"/>
          <w:gallery w:val="placeholder"/>
        </w:category>
        <w:types>
          <w:type w:val="bbPlcHdr"/>
        </w:types>
        <w:behaviors>
          <w:behavior w:val="content"/>
        </w:behaviors>
        <w:guid w:val="{8F34D589-A929-45DA-AA7D-5A71E80816DE}"/>
      </w:docPartPr>
      <w:docPartBody>
        <w:p w:rsidR="0052470F" w:rsidRDefault="002A0099" w:rsidP="002A0099">
          <w:pPr>
            <w:pStyle w:val="E29EFE2F0CAE4853A1BC05FB07FFE501"/>
          </w:pPr>
          <w:r w:rsidRPr="00F120A0">
            <w:rPr>
              <w:rStyle w:val="a3"/>
            </w:rPr>
            <w:t>텍스트를 입력하려면 여기를 클릭하거나 탭하세요.</w:t>
          </w:r>
        </w:p>
      </w:docPartBody>
    </w:docPart>
    <w:docPart>
      <w:docPartPr>
        <w:name w:val="AAFFE3DF11C446DBB17E7EDDF8E25A36"/>
        <w:category>
          <w:name w:val="일반"/>
          <w:gallery w:val="placeholder"/>
        </w:category>
        <w:types>
          <w:type w:val="bbPlcHdr"/>
        </w:types>
        <w:behaviors>
          <w:behavior w:val="content"/>
        </w:behaviors>
        <w:guid w:val="{B18BF061-AAC3-4A27-A4B4-5C7E11DEEFFC}"/>
      </w:docPartPr>
      <w:docPartBody>
        <w:p w:rsidR="0052470F" w:rsidRDefault="002A0099" w:rsidP="002A0099">
          <w:pPr>
            <w:pStyle w:val="AAFFE3DF11C446DBB17E7EDDF8E25A36"/>
          </w:pPr>
          <w:r w:rsidRPr="00F120A0">
            <w:rPr>
              <w:rStyle w:val="a3"/>
            </w:rPr>
            <w:t>텍스트를 입력하려면 여기를 클릭하거나 탭하세요.</w:t>
          </w:r>
        </w:p>
      </w:docPartBody>
    </w:docPart>
    <w:docPart>
      <w:docPartPr>
        <w:name w:val="DA64F0AB3A47449CAD8E8A14F8A7F9A7"/>
        <w:category>
          <w:name w:val="일반"/>
          <w:gallery w:val="placeholder"/>
        </w:category>
        <w:types>
          <w:type w:val="bbPlcHdr"/>
        </w:types>
        <w:behaviors>
          <w:behavior w:val="content"/>
        </w:behaviors>
        <w:guid w:val="{0539F598-D4AA-406A-AE61-15B966E46CD3}"/>
      </w:docPartPr>
      <w:docPartBody>
        <w:p w:rsidR="0052470F" w:rsidRDefault="002A0099" w:rsidP="002A0099">
          <w:pPr>
            <w:pStyle w:val="DA64F0AB3A47449CAD8E8A14F8A7F9A7"/>
          </w:pPr>
          <w:r w:rsidRPr="00F120A0">
            <w:rPr>
              <w:rStyle w:val="a3"/>
            </w:rPr>
            <w:t>텍스트를 입력하려면 여기를 클릭하거나 탭하세요.</w:t>
          </w:r>
        </w:p>
      </w:docPartBody>
    </w:docPart>
    <w:docPart>
      <w:docPartPr>
        <w:name w:val="2F6272AB14F14A8A8C5D1DC6D09C852E"/>
        <w:category>
          <w:name w:val="일반"/>
          <w:gallery w:val="placeholder"/>
        </w:category>
        <w:types>
          <w:type w:val="bbPlcHdr"/>
        </w:types>
        <w:behaviors>
          <w:behavior w:val="content"/>
        </w:behaviors>
        <w:guid w:val="{B1B108C8-8966-4EC1-9CBF-43EF90684C1E}"/>
      </w:docPartPr>
      <w:docPartBody>
        <w:p w:rsidR="0052470F" w:rsidRDefault="002A0099" w:rsidP="002A0099">
          <w:pPr>
            <w:pStyle w:val="2F6272AB14F14A8A8C5D1DC6D09C852E"/>
          </w:pPr>
          <w:r w:rsidRPr="007A4173">
            <w:rPr>
              <w:rStyle w:val="a3"/>
            </w:rPr>
            <w:t>텍스트를 입력하려면 여기를 클릭하거나 탭하세요.</w:t>
          </w:r>
        </w:p>
      </w:docPartBody>
    </w:docPart>
    <w:docPart>
      <w:docPartPr>
        <w:name w:val="4CAA5246127A4404B394CD8FDCE11465"/>
        <w:category>
          <w:name w:val="일반"/>
          <w:gallery w:val="placeholder"/>
        </w:category>
        <w:types>
          <w:type w:val="bbPlcHdr"/>
        </w:types>
        <w:behaviors>
          <w:behavior w:val="content"/>
        </w:behaviors>
        <w:guid w:val="{5FD5F553-254E-4779-A94E-6AA658F5CD38}"/>
      </w:docPartPr>
      <w:docPartBody>
        <w:p w:rsidR="0052470F" w:rsidRDefault="002A0099" w:rsidP="002A0099">
          <w:pPr>
            <w:pStyle w:val="4CAA5246127A4404B394CD8FDCE11465"/>
          </w:pPr>
          <w:r w:rsidRPr="007A4173">
            <w:rPr>
              <w:rStyle w:val="a3"/>
            </w:rPr>
            <w:t>텍스트를 입력하려면 여기를 클릭하거나 탭하세요.</w:t>
          </w:r>
        </w:p>
      </w:docPartBody>
    </w:docPart>
    <w:docPart>
      <w:docPartPr>
        <w:name w:val="74090FE1F71D40C691B7650262677DD2"/>
        <w:category>
          <w:name w:val="일반"/>
          <w:gallery w:val="placeholder"/>
        </w:category>
        <w:types>
          <w:type w:val="bbPlcHdr"/>
        </w:types>
        <w:behaviors>
          <w:behavior w:val="content"/>
        </w:behaviors>
        <w:guid w:val="{57B79E1C-C6AA-4704-87E3-746BA3BC2290}"/>
      </w:docPartPr>
      <w:docPartBody>
        <w:p w:rsidR="0052470F" w:rsidRDefault="002A0099" w:rsidP="002A0099">
          <w:pPr>
            <w:pStyle w:val="74090FE1F71D40C691B7650262677DD2"/>
          </w:pPr>
          <w:r w:rsidRPr="00666DDA">
            <w:rPr>
              <w:rStyle w:val="a3"/>
            </w:rPr>
            <w:t>Click or tap here to enter text.</w:t>
          </w:r>
        </w:p>
      </w:docPartBody>
    </w:docPart>
    <w:docPart>
      <w:docPartPr>
        <w:name w:val="3966B731269B458DAB3345E8C0DB232F"/>
        <w:category>
          <w:name w:val="일반"/>
          <w:gallery w:val="placeholder"/>
        </w:category>
        <w:types>
          <w:type w:val="bbPlcHdr"/>
        </w:types>
        <w:behaviors>
          <w:behavior w:val="content"/>
        </w:behaviors>
        <w:guid w:val="{3A550575-EDD2-4544-B0E9-943B0D2F4D42}"/>
      </w:docPartPr>
      <w:docPartBody>
        <w:p w:rsidR="0052470F" w:rsidRDefault="002A0099" w:rsidP="002A0099">
          <w:pPr>
            <w:pStyle w:val="3966B731269B458DAB3345E8C0DB232F"/>
          </w:pPr>
          <w:r w:rsidRPr="0025061D">
            <w:rPr>
              <w:rStyle w:val="a3"/>
            </w:rPr>
            <w:t>Click or tap here to enter text.</w:t>
          </w:r>
        </w:p>
      </w:docPartBody>
    </w:docPart>
    <w:docPart>
      <w:docPartPr>
        <w:name w:val="5BF40514CA494468AE1B950C98DCB216"/>
        <w:category>
          <w:name w:val="일반"/>
          <w:gallery w:val="placeholder"/>
        </w:category>
        <w:types>
          <w:type w:val="bbPlcHdr"/>
        </w:types>
        <w:behaviors>
          <w:behavior w:val="content"/>
        </w:behaviors>
        <w:guid w:val="{40613C59-1634-4798-B438-D8089AB05525}"/>
      </w:docPartPr>
      <w:docPartBody>
        <w:p w:rsidR="0052470F" w:rsidRDefault="002A0099" w:rsidP="002A0099">
          <w:pPr>
            <w:pStyle w:val="5BF40514CA494468AE1B950C98DCB216"/>
          </w:pPr>
          <w:r w:rsidRPr="00013068">
            <w:rPr>
              <w:rStyle w:val="a3"/>
              <w:rFonts w:hint="eastAsia"/>
            </w:rPr>
            <w:t>텍스트를 입력하려면 여기를 클릭하거나 탭하세요.</w:t>
          </w:r>
        </w:p>
      </w:docPartBody>
    </w:docPart>
    <w:docPart>
      <w:docPartPr>
        <w:name w:val="9AFC7A3B320640F48DD1DF9C7D3D5C1E"/>
        <w:category>
          <w:name w:val="일반"/>
          <w:gallery w:val="placeholder"/>
        </w:category>
        <w:types>
          <w:type w:val="bbPlcHdr"/>
        </w:types>
        <w:behaviors>
          <w:behavior w:val="content"/>
        </w:behaviors>
        <w:guid w:val="{3FA5A3CA-EA0D-4BD8-AFBE-BC80E13159F0}"/>
      </w:docPartPr>
      <w:docPartBody>
        <w:p w:rsidR="0052470F" w:rsidRDefault="002A0099" w:rsidP="002A0099">
          <w:pPr>
            <w:pStyle w:val="9AFC7A3B320640F48DD1DF9C7D3D5C1E"/>
          </w:pPr>
          <w:r w:rsidRPr="00013068">
            <w:rPr>
              <w:rStyle w:val="a3"/>
              <w:rFonts w:hint="eastAsia"/>
            </w:rPr>
            <w:t>텍스트를 입력하려면 여기를 클릭하거나 탭하세요.</w:t>
          </w:r>
        </w:p>
      </w:docPartBody>
    </w:docPart>
    <w:docPart>
      <w:docPartPr>
        <w:name w:val="04BC0EAE82F94520B155B617BE4DC9B4"/>
        <w:category>
          <w:name w:val="일반"/>
          <w:gallery w:val="placeholder"/>
        </w:category>
        <w:types>
          <w:type w:val="bbPlcHdr"/>
        </w:types>
        <w:behaviors>
          <w:behavior w:val="content"/>
        </w:behaviors>
        <w:guid w:val="{66A3F45D-B729-4BE5-86E4-A2D165DD8D25}"/>
      </w:docPartPr>
      <w:docPartBody>
        <w:p w:rsidR="0052470F" w:rsidRDefault="002A0099" w:rsidP="002A0099">
          <w:pPr>
            <w:pStyle w:val="04BC0EAE82F94520B155B617BE4DC9B4"/>
          </w:pPr>
          <w:r w:rsidRPr="00200CCA">
            <w:rPr>
              <w:rStyle w:val="a3"/>
            </w:rPr>
            <w:t>Click or tap here to enter text.</w:t>
          </w:r>
        </w:p>
      </w:docPartBody>
    </w:docPart>
    <w:docPart>
      <w:docPartPr>
        <w:name w:val="DefaultPlaceholder_-1854013440"/>
        <w:category>
          <w:name w:val="일반"/>
          <w:gallery w:val="placeholder"/>
        </w:category>
        <w:types>
          <w:type w:val="bbPlcHdr"/>
        </w:types>
        <w:behaviors>
          <w:behavior w:val="content"/>
        </w:behaviors>
        <w:guid w:val="{DB3923B3-249C-40D5-8C46-90AD36CAFF0C}"/>
      </w:docPartPr>
      <w:docPartBody>
        <w:p w:rsidR="00607A22" w:rsidRDefault="0052470F">
          <w:r w:rsidRPr="00442965">
            <w:rPr>
              <w:rStyle w:val="a3"/>
            </w:rPr>
            <w:t>텍스트를 입력하려면 여기를 클릭하거나 탭하세요.</w:t>
          </w:r>
        </w:p>
      </w:docPartBody>
    </w:docPart>
    <w:docPart>
      <w:docPartPr>
        <w:name w:val="E42851C91DE64A73A92DD4E6AFDB28F7"/>
        <w:category>
          <w:name w:val="일반"/>
          <w:gallery w:val="placeholder"/>
        </w:category>
        <w:types>
          <w:type w:val="bbPlcHdr"/>
        </w:types>
        <w:behaviors>
          <w:behavior w:val="content"/>
        </w:behaviors>
        <w:guid w:val="{7061A31F-120E-423D-A8EB-FA7889F87923}"/>
      </w:docPartPr>
      <w:docPartBody>
        <w:p w:rsidR="00607A22" w:rsidRDefault="0052470F" w:rsidP="0052470F">
          <w:pPr>
            <w:pStyle w:val="E42851C91DE64A73A92DD4E6AFDB28F7"/>
          </w:pPr>
          <w:r w:rsidRPr="00200CCA">
            <w:rPr>
              <w:rStyle w:val="a3"/>
            </w:rPr>
            <w:t>Click or tap here to enter text.</w:t>
          </w:r>
        </w:p>
      </w:docPartBody>
    </w:docPart>
    <w:docPart>
      <w:docPartPr>
        <w:name w:val="F702F8EB51184644A6E50E39645A4621"/>
        <w:category>
          <w:name w:val="일반"/>
          <w:gallery w:val="placeholder"/>
        </w:category>
        <w:types>
          <w:type w:val="bbPlcHdr"/>
        </w:types>
        <w:behaviors>
          <w:behavior w:val="content"/>
        </w:behaviors>
        <w:guid w:val="{A2C93728-B240-4237-89F9-F9974C4E1513}"/>
      </w:docPartPr>
      <w:docPartBody>
        <w:p w:rsidR="00607A22" w:rsidRDefault="0052470F" w:rsidP="0052470F">
          <w:pPr>
            <w:pStyle w:val="F702F8EB51184644A6E50E39645A4621"/>
          </w:pPr>
          <w:r w:rsidRPr="002A0865">
            <w:rPr>
              <w:rStyle w:val="a3"/>
            </w:rPr>
            <w:t>Click or tap here to enter text.</w:t>
          </w:r>
        </w:p>
      </w:docPartBody>
    </w:docPart>
    <w:docPart>
      <w:docPartPr>
        <w:name w:val="E9451CD9099F4406A3EE204E151F6D03"/>
        <w:category>
          <w:name w:val="일반"/>
          <w:gallery w:val="placeholder"/>
        </w:category>
        <w:types>
          <w:type w:val="bbPlcHdr"/>
        </w:types>
        <w:behaviors>
          <w:behavior w:val="content"/>
        </w:behaviors>
        <w:guid w:val="{CB079F9E-661F-4F8D-891C-431EB1865D42}"/>
      </w:docPartPr>
      <w:docPartBody>
        <w:p w:rsidR="00607A22" w:rsidRDefault="0052470F" w:rsidP="0052470F">
          <w:pPr>
            <w:pStyle w:val="E9451CD9099F4406A3EE204E151F6D03"/>
          </w:pPr>
          <w:r w:rsidRPr="00106CCD">
            <w:rPr>
              <w:rStyle w:val="a3"/>
            </w:rPr>
            <w:t>Click or tap here to enter text.</w:t>
          </w:r>
        </w:p>
      </w:docPartBody>
    </w:docPart>
    <w:docPart>
      <w:docPartPr>
        <w:name w:val="80FF4BB422C446FEACFAE47FBBB768DA"/>
        <w:category>
          <w:name w:val="일반"/>
          <w:gallery w:val="placeholder"/>
        </w:category>
        <w:types>
          <w:type w:val="bbPlcHdr"/>
        </w:types>
        <w:behaviors>
          <w:behavior w:val="content"/>
        </w:behaviors>
        <w:guid w:val="{6634877F-9A52-4038-8F57-EDFD7C8B311D}"/>
      </w:docPartPr>
      <w:docPartBody>
        <w:p w:rsidR="00575CE4" w:rsidRDefault="00607A22" w:rsidP="00607A22">
          <w:pPr>
            <w:pStyle w:val="80FF4BB422C446FEACFAE47FBBB768DA"/>
          </w:pPr>
          <w:r w:rsidRPr="00666DDA">
            <w:rPr>
              <w:rStyle w:val="a3"/>
            </w:rPr>
            <w:t>Click or tap here to enter text.</w:t>
          </w:r>
        </w:p>
      </w:docPartBody>
    </w:docPart>
    <w:docPart>
      <w:docPartPr>
        <w:name w:val="2F4E47E160AD4E698102528FE858E3AD"/>
        <w:category>
          <w:name w:val="일반"/>
          <w:gallery w:val="placeholder"/>
        </w:category>
        <w:types>
          <w:type w:val="bbPlcHdr"/>
        </w:types>
        <w:behaviors>
          <w:behavior w:val="content"/>
        </w:behaviors>
        <w:guid w:val="{7C2F5D0E-CD5E-4E02-9A45-2DA93EB01782}"/>
      </w:docPartPr>
      <w:docPartBody>
        <w:p w:rsidR="00575CE4" w:rsidRDefault="00607A22" w:rsidP="00607A22">
          <w:pPr>
            <w:pStyle w:val="2F4E47E160AD4E698102528FE858E3AD"/>
          </w:pPr>
          <w:r w:rsidRPr="00013068">
            <w:rPr>
              <w:rStyle w:val="a3"/>
              <w:rFonts w:hint="eastAsia"/>
            </w:rPr>
            <w:t>텍스트를 입력하려면 여기를 클릭하거나 탭하세요.</w:t>
          </w:r>
        </w:p>
      </w:docPartBody>
    </w:docPart>
    <w:docPart>
      <w:docPartPr>
        <w:name w:val="0AA308565366424893AF21D900D62A75"/>
        <w:category>
          <w:name w:val="일반"/>
          <w:gallery w:val="placeholder"/>
        </w:category>
        <w:types>
          <w:type w:val="bbPlcHdr"/>
        </w:types>
        <w:behaviors>
          <w:behavior w:val="content"/>
        </w:behaviors>
        <w:guid w:val="{37931E6D-5F9E-40F7-8947-3F033C336286}"/>
      </w:docPartPr>
      <w:docPartBody>
        <w:p w:rsidR="00F5385C" w:rsidRDefault="009D583B" w:rsidP="009D583B">
          <w:pPr>
            <w:pStyle w:val="0AA308565366424893AF21D900D62A75"/>
          </w:pPr>
          <w:r w:rsidRPr="00666DDA">
            <w:rPr>
              <w:rStyle w:val="a3"/>
            </w:rPr>
            <w:t>Click or tap here to enter text.</w:t>
          </w:r>
        </w:p>
      </w:docPartBody>
    </w:docPart>
    <w:docPart>
      <w:docPartPr>
        <w:name w:val="8EB609DFBD26478192D11C82737E0DED"/>
        <w:category>
          <w:name w:val="일반"/>
          <w:gallery w:val="placeholder"/>
        </w:category>
        <w:types>
          <w:type w:val="bbPlcHdr"/>
        </w:types>
        <w:behaviors>
          <w:behavior w:val="content"/>
        </w:behaviors>
        <w:guid w:val="{973271E3-323C-462D-A28C-D93B0CE7DF67}"/>
      </w:docPartPr>
      <w:docPartBody>
        <w:p w:rsidR="00C55825" w:rsidRDefault="00670AFE" w:rsidP="00670AFE">
          <w:pPr>
            <w:pStyle w:val="8EB609DFBD26478192D11C82737E0DED"/>
          </w:pPr>
          <w:r w:rsidRPr="00442965">
            <w:rPr>
              <w:rStyle w:val="a3"/>
            </w:rPr>
            <w:t>텍스트를 입력하려면 여기를 클릭하거나 탭하세요.</w:t>
          </w:r>
        </w:p>
      </w:docPartBody>
    </w:docPart>
    <w:docPart>
      <w:docPartPr>
        <w:name w:val="AF64FE8F55294D09BA10917883D0BC6E"/>
        <w:category>
          <w:name w:val="일반"/>
          <w:gallery w:val="placeholder"/>
        </w:category>
        <w:types>
          <w:type w:val="bbPlcHdr"/>
        </w:types>
        <w:behaviors>
          <w:behavior w:val="content"/>
        </w:behaviors>
        <w:guid w:val="{E8CB845E-9536-4CA2-8EAD-D8F15757BCE4}"/>
      </w:docPartPr>
      <w:docPartBody>
        <w:p w:rsidR="00C55825" w:rsidRDefault="00670AFE" w:rsidP="00670AFE">
          <w:pPr>
            <w:pStyle w:val="AF64FE8F55294D09BA10917883D0BC6E"/>
          </w:pPr>
          <w:r w:rsidRPr="00442965">
            <w:rPr>
              <w:rStyle w:val="a3"/>
            </w:rPr>
            <w:t>텍스트를 입력하려면 여기를 클릭하거나 탭하세요.</w:t>
          </w:r>
        </w:p>
      </w:docPartBody>
    </w:docPart>
    <w:docPart>
      <w:docPartPr>
        <w:name w:val="1A0AD3C0C7534B71B6EEDA1CAB602AF0"/>
        <w:category>
          <w:name w:val="일반"/>
          <w:gallery w:val="placeholder"/>
        </w:category>
        <w:types>
          <w:type w:val="bbPlcHdr"/>
        </w:types>
        <w:behaviors>
          <w:behavior w:val="content"/>
        </w:behaviors>
        <w:guid w:val="{7AB875A9-9DFE-4C25-B431-E0ED24E90BCD}"/>
      </w:docPartPr>
      <w:docPartBody>
        <w:p w:rsidR="00C55825" w:rsidRDefault="00670AFE" w:rsidP="00670AFE">
          <w:pPr>
            <w:pStyle w:val="1A0AD3C0C7534B71B6EEDA1CAB602AF0"/>
          </w:pPr>
          <w:r w:rsidRPr="00442965">
            <w:rPr>
              <w:rStyle w:val="a3"/>
            </w:rPr>
            <w:t>텍스트를 입력하려면 여기를 클릭하거나 탭하세요.</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굴림체">
    <w:panose1 w:val="020B0609000101010101"/>
    <w:charset w:val="81"/>
    <w:family w:val="modern"/>
    <w:pitch w:val="fixed"/>
    <w:sig w:usb0="B00002AF" w:usb1="69D77CFB" w:usb2="00000030" w:usb3="00000000" w:csb0="0008009F" w:csb1="00000000"/>
  </w:font>
  <w:font w:name="바탕">
    <w:altName w:val="Batang"/>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굴림">
    <w:altName w:val="Gulim"/>
    <w:panose1 w:val="020B0600000101010101"/>
    <w:charset w:val="81"/>
    <w:family w:val="modern"/>
    <w:pitch w:val="variable"/>
    <w:sig w:usb0="B00002AF" w:usb1="69D77CFB" w:usb2="00000030" w:usb3="00000000" w:csb0="0008009F" w:csb1="00000000"/>
  </w:font>
  <w:font w:name="TimesNewRomanPSMT">
    <w:altName w:val="맑은 고딕"/>
    <w:panose1 w:val="00000000000000000000"/>
    <w:charset w:val="81"/>
    <w:family w:val="auto"/>
    <w:notTrueType/>
    <w:pitch w:val="default"/>
    <w:sig w:usb0="00000001" w:usb1="09060000" w:usb2="00000010" w:usb3="00000000" w:csb0="00080000" w:csb1="00000000"/>
  </w:font>
  <w:font w:name="TimesNewRomanPS-BoldMT">
    <w:altName w:val="맑은 고딕"/>
    <w:panose1 w:val="00000000000000000000"/>
    <w:charset w:val="81"/>
    <w:family w:val="auto"/>
    <w:notTrueType/>
    <w:pitch w:val="default"/>
    <w:sig w:usb0="00000001" w:usb1="09060000" w:usb2="00000010" w:usb3="00000000" w:csb0="00080000" w:csb1="00000000"/>
  </w:font>
  <w:font w:name="TimesNewRomanPS-ItalicMT">
    <w:altName w:val="맑은 고딕"/>
    <w:panose1 w:val="00000000000000000000"/>
    <w:charset w:val="81"/>
    <w:family w:val="auto"/>
    <w:notTrueType/>
    <w:pitch w:val="default"/>
    <w:sig w:usb0="00000001" w:usb1="09060000" w:usb2="00000010" w:usb3="00000000" w:csb0="0008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bordersDoNotSurroundHeader/>
  <w:bordersDoNotSurroundFooter/>
  <w:defaultTabStop w:val="800"/>
  <w:displayHorizontalDrawingGridEvery w:val="0"/>
  <w:displayVerticalDrawingGridEvery w:val="2"/>
  <w:noPunctuationKerning/>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0099"/>
    <w:rsid w:val="0001185C"/>
    <w:rsid w:val="00016417"/>
    <w:rsid w:val="000228AD"/>
    <w:rsid w:val="00023A8B"/>
    <w:rsid w:val="00034404"/>
    <w:rsid w:val="00034728"/>
    <w:rsid w:val="00042813"/>
    <w:rsid w:val="000626D8"/>
    <w:rsid w:val="00083545"/>
    <w:rsid w:val="000861C8"/>
    <w:rsid w:val="000A39B2"/>
    <w:rsid w:val="000B3245"/>
    <w:rsid w:val="000B3583"/>
    <w:rsid w:val="000C2E96"/>
    <w:rsid w:val="000E3D9E"/>
    <w:rsid w:val="000F17B5"/>
    <w:rsid w:val="000F47EF"/>
    <w:rsid w:val="000F6809"/>
    <w:rsid w:val="00123383"/>
    <w:rsid w:val="00134C6A"/>
    <w:rsid w:val="00141B27"/>
    <w:rsid w:val="001635A9"/>
    <w:rsid w:val="00164242"/>
    <w:rsid w:val="0017472C"/>
    <w:rsid w:val="00191B46"/>
    <w:rsid w:val="001A3556"/>
    <w:rsid w:val="001A4755"/>
    <w:rsid w:val="001B13D0"/>
    <w:rsid w:val="001C73F4"/>
    <w:rsid w:val="001E1E35"/>
    <w:rsid w:val="001E52C6"/>
    <w:rsid w:val="001E6235"/>
    <w:rsid w:val="00226EA5"/>
    <w:rsid w:val="0024447B"/>
    <w:rsid w:val="002455B2"/>
    <w:rsid w:val="002529BB"/>
    <w:rsid w:val="00261B1A"/>
    <w:rsid w:val="00264D1D"/>
    <w:rsid w:val="00273AEF"/>
    <w:rsid w:val="00274A2F"/>
    <w:rsid w:val="00280B53"/>
    <w:rsid w:val="002842E2"/>
    <w:rsid w:val="0028611C"/>
    <w:rsid w:val="002A0099"/>
    <w:rsid w:val="002A5A0A"/>
    <w:rsid w:val="002D0A2C"/>
    <w:rsid w:val="002E7B52"/>
    <w:rsid w:val="002F1677"/>
    <w:rsid w:val="002F3365"/>
    <w:rsid w:val="002F473D"/>
    <w:rsid w:val="002F6868"/>
    <w:rsid w:val="003014C1"/>
    <w:rsid w:val="0030572D"/>
    <w:rsid w:val="00306DB4"/>
    <w:rsid w:val="00311EAC"/>
    <w:rsid w:val="0032252D"/>
    <w:rsid w:val="00330F71"/>
    <w:rsid w:val="003641A5"/>
    <w:rsid w:val="00370B6E"/>
    <w:rsid w:val="00372979"/>
    <w:rsid w:val="00372E31"/>
    <w:rsid w:val="003763B8"/>
    <w:rsid w:val="003842B8"/>
    <w:rsid w:val="0038586F"/>
    <w:rsid w:val="00386925"/>
    <w:rsid w:val="003A00FC"/>
    <w:rsid w:val="003A2ECE"/>
    <w:rsid w:val="003B5CEC"/>
    <w:rsid w:val="003C3659"/>
    <w:rsid w:val="003D302E"/>
    <w:rsid w:val="003D6301"/>
    <w:rsid w:val="003E492F"/>
    <w:rsid w:val="003F442C"/>
    <w:rsid w:val="00423228"/>
    <w:rsid w:val="00440585"/>
    <w:rsid w:val="0044108A"/>
    <w:rsid w:val="00443403"/>
    <w:rsid w:val="0044745B"/>
    <w:rsid w:val="004526E8"/>
    <w:rsid w:val="004623B2"/>
    <w:rsid w:val="004A1E1D"/>
    <w:rsid w:val="004A3594"/>
    <w:rsid w:val="004B7C8C"/>
    <w:rsid w:val="004C4F40"/>
    <w:rsid w:val="004D47D8"/>
    <w:rsid w:val="004E14F7"/>
    <w:rsid w:val="004F2480"/>
    <w:rsid w:val="00512587"/>
    <w:rsid w:val="0052271F"/>
    <w:rsid w:val="0052470F"/>
    <w:rsid w:val="0053026E"/>
    <w:rsid w:val="00530871"/>
    <w:rsid w:val="00532EA4"/>
    <w:rsid w:val="00536C7F"/>
    <w:rsid w:val="00575CE4"/>
    <w:rsid w:val="005802C6"/>
    <w:rsid w:val="005B6ADB"/>
    <w:rsid w:val="005F3A19"/>
    <w:rsid w:val="005F59A5"/>
    <w:rsid w:val="00607A22"/>
    <w:rsid w:val="00615AAD"/>
    <w:rsid w:val="00634C34"/>
    <w:rsid w:val="006355D1"/>
    <w:rsid w:val="006423EA"/>
    <w:rsid w:val="0064475B"/>
    <w:rsid w:val="00670AFE"/>
    <w:rsid w:val="00674E74"/>
    <w:rsid w:val="00687572"/>
    <w:rsid w:val="00696AC0"/>
    <w:rsid w:val="006A2562"/>
    <w:rsid w:val="006A6A12"/>
    <w:rsid w:val="006B71B6"/>
    <w:rsid w:val="006C04B4"/>
    <w:rsid w:val="006C08D2"/>
    <w:rsid w:val="006C5020"/>
    <w:rsid w:val="006D3A17"/>
    <w:rsid w:val="006D7E54"/>
    <w:rsid w:val="006F2A25"/>
    <w:rsid w:val="006F4015"/>
    <w:rsid w:val="006F7ACD"/>
    <w:rsid w:val="007009CD"/>
    <w:rsid w:val="0070446E"/>
    <w:rsid w:val="00705A02"/>
    <w:rsid w:val="00752BA9"/>
    <w:rsid w:val="0075453E"/>
    <w:rsid w:val="00754E49"/>
    <w:rsid w:val="007579A1"/>
    <w:rsid w:val="00783618"/>
    <w:rsid w:val="007956C9"/>
    <w:rsid w:val="00795B9A"/>
    <w:rsid w:val="007D386F"/>
    <w:rsid w:val="008004D3"/>
    <w:rsid w:val="00805A98"/>
    <w:rsid w:val="0082066A"/>
    <w:rsid w:val="00820F9D"/>
    <w:rsid w:val="008214D9"/>
    <w:rsid w:val="00835E28"/>
    <w:rsid w:val="00853DCC"/>
    <w:rsid w:val="00855EA7"/>
    <w:rsid w:val="0087418D"/>
    <w:rsid w:val="00876A5D"/>
    <w:rsid w:val="008822B2"/>
    <w:rsid w:val="00893051"/>
    <w:rsid w:val="0089613E"/>
    <w:rsid w:val="008A11E8"/>
    <w:rsid w:val="008D492F"/>
    <w:rsid w:val="008E7D9B"/>
    <w:rsid w:val="008F0F11"/>
    <w:rsid w:val="00901B03"/>
    <w:rsid w:val="00901CDE"/>
    <w:rsid w:val="0090556E"/>
    <w:rsid w:val="009061E1"/>
    <w:rsid w:val="00911594"/>
    <w:rsid w:val="00920E4D"/>
    <w:rsid w:val="0094331C"/>
    <w:rsid w:val="00946218"/>
    <w:rsid w:val="00972CE6"/>
    <w:rsid w:val="009A1A27"/>
    <w:rsid w:val="009C3C4D"/>
    <w:rsid w:val="009C4E19"/>
    <w:rsid w:val="009D583B"/>
    <w:rsid w:val="009E6B83"/>
    <w:rsid w:val="009F7761"/>
    <w:rsid w:val="009F7D54"/>
    <w:rsid w:val="00A21714"/>
    <w:rsid w:val="00A21AED"/>
    <w:rsid w:val="00A23B95"/>
    <w:rsid w:val="00A242ED"/>
    <w:rsid w:val="00A30D8C"/>
    <w:rsid w:val="00A44963"/>
    <w:rsid w:val="00A56146"/>
    <w:rsid w:val="00A639FF"/>
    <w:rsid w:val="00A66478"/>
    <w:rsid w:val="00A80C68"/>
    <w:rsid w:val="00A8112C"/>
    <w:rsid w:val="00A9677B"/>
    <w:rsid w:val="00AA3B33"/>
    <w:rsid w:val="00AB70EC"/>
    <w:rsid w:val="00AC20E3"/>
    <w:rsid w:val="00AC7861"/>
    <w:rsid w:val="00AD619A"/>
    <w:rsid w:val="00AE79E5"/>
    <w:rsid w:val="00AF25AD"/>
    <w:rsid w:val="00B10D06"/>
    <w:rsid w:val="00B24B32"/>
    <w:rsid w:val="00B4012B"/>
    <w:rsid w:val="00B47348"/>
    <w:rsid w:val="00B5501B"/>
    <w:rsid w:val="00B71225"/>
    <w:rsid w:val="00B807CA"/>
    <w:rsid w:val="00B95BC4"/>
    <w:rsid w:val="00BB630E"/>
    <w:rsid w:val="00BB7395"/>
    <w:rsid w:val="00BC6951"/>
    <w:rsid w:val="00BD328F"/>
    <w:rsid w:val="00BE0F61"/>
    <w:rsid w:val="00BE733B"/>
    <w:rsid w:val="00BF0C30"/>
    <w:rsid w:val="00C05889"/>
    <w:rsid w:val="00C150B2"/>
    <w:rsid w:val="00C2344F"/>
    <w:rsid w:val="00C25AC4"/>
    <w:rsid w:val="00C26D22"/>
    <w:rsid w:val="00C317F0"/>
    <w:rsid w:val="00C44BBA"/>
    <w:rsid w:val="00C45386"/>
    <w:rsid w:val="00C46FB2"/>
    <w:rsid w:val="00C5005A"/>
    <w:rsid w:val="00C5494C"/>
    <w:rsid w:val="00C55825"/>
    <w:rsid w:val="00C6455C"/>
    <w:rsid w:val="00C678D9"/>
    <w:rsid w:val="00C70210"/>
    <w:rsid w:val="00C717BF"/>
    <w:rsid w:val="00C9168F"/>
    <w:rsid w:val="00C941AC"/>
    <w:rsid w:val="00C961C1"/>
    <w:rsid w:val="00CB2C27"/>
    <w:rsid w:val="00CC7364"/>
    <w:rsid w:val="00CD6277"/>
    <w:rsid w:val="00CE1044"/>
    <w:rsid w:val="00CE7E3C"/>
    <w:rsid w:val="00CF0CD3"/>
    <w:rsid w:val="00CF13D9"/>
    <w:rsid w:val="00CF3325"/>
    <w:rsid w:val="00CF3710"/>
    <w:rsid w:val="00D00C07"/>
    <w:rsid w:val="00D0301A"/>
    <w:rsid w:val="00D10CE0"/>
    <w:rsid w:val="00D11F91"/>
    <w:rsid w:val="00D120DE"/>
    <w:rsid w:val="00D131DA"/>
    <w:rsid w:val="00D34951"/>
    <w:rsid w:val="00D365FF"/>
    <w:rsid w:val="00D52CE2"/>
    <w:rsid w:val="00D61B91"/>
    <w:rsid w:val="00D6630A"/>
    <w:rsid w:val="00D9100D"/>
    <w:rsid w:val="00D96840"/>
    <w:rsid w:val="00DB68FF"/>
    <w:rsid w:val="00DE1D96"/>
    <w:rsid w:val="00E13BE4"/>
    <w:rsid w:val="00E14411"/>
    <w:rsid w:val="00E14E67"/>
    <w:rsid w:val="00E16E63"/>
    <w:rsid w:val="00E331AD"/>
    <w:rsid w:val="00E503A0"/>
    <w:rsid w:val="00E6257C"/>
    <w:rsid w:val="00E71806"/>
    <w:rsid w:val="00E8701A"/>
    <w:rsid w:val="00E900AC"/>
    <w:rsid w:val="00EA32C7"/>
    <w:rsid w:val="00EB2533"/>
    <w:rsid w:val="00EB3BCE"/>
    <w:rsid w:val="00EC0543"/>
    <w:rsid w:val="00ED00A4"/>
    <w:rsid w:val="00ED3362"/>
    <w:rsid w:val="00EE0F5C"/>
    <w:rsid w:val="00EF0217"/>
    <w:rsid w:val="00EF3341"/>
    <w:rsid w:val="00F1083C"/>
    <w:rsid w:val="00F14220"/>
    <w:rsid w:val="00F1702F"/>
    <w:rsid w:val="00F36608"/>
    <w:rsid w:val="00F477A6"/>
    <w:rsid w:val="00F537ED"/>
    <w:rsid w:val="00F5385C"/>
    <w:rsid w:val="00F572CE"/>
    <w:rsid w:val="00F60B67"/>
    <w:rsid w:val="00F709F9"/>
    <w:rsid w:val="00F72149"/>
    <w:rsid w:val="00F865DC"/>
    <w:rsid w:val="00F87786"/>
    <w:rsid w:val="00F92CD1"/>
    <w:rsid w:val="00F973AC"/>
    <w:rsid w:val="00FD6F4F"/>
    <w:rsid w:val="00FE10B5"/>
    <w:rsid w:val="00FE66E6"/>
    <w:rsid w:val="00FE6A9D"/>
    <w:rsid w:val="00FF2C5B"/>
    <w:rsid w:val="00FF5DD7"/>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Cs w:val="22"/>
        <w:lang w:val="en-US" w:eastAsia="ko-KR" w:bidi="ar-SA"/>
        <w14:ligatures w14:val="standardContextual"/>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F572CE"/>
    <w:rPr>
      <w:color w:val="808080"/>
    </w:rPr>
  </w:style>
  <w:style w:type="paragraph" w:customStyle="1" w:styleId="506A130DD6E9461FAC2EB6C837516CED">
    <w:name w:val="506A130DD6E9461FAC2EB6C837516CED"/>
    <w:rsid w:val="002A0099"/>
    <w:pPr>
      <w:widowControl w:val="0"/>
      <w:wordWrap w:val="0"/>
      <w:autoSpaceDE w:val="0"/>
      <w:autoSpaceDN w:val="0"/>
    </w:pPr>
  </w:style>
  <w:style w:type="paragraph" w:customStyle="1" w:styleId="A8204E284AB740B88D3300B652FFDEDA">
    <w:name w:val="A8204E284AB740B88D3300B652FFDEDA"/>
    <w:rsid w:val="002A0099"/>
    <w:pPr>
      <w:widowControl w:val="0"/>
      <w:wordWrap w:val="0"/>
      <w:autoSpaceDE w:val="0"/>
      <w:autoSpaceDN w:val="0"/>
    </w:pPr>
  </w:style>
  <w:style w:type="paragraph" w:customStyle="1" w:styleId="6FD4B83145ED4515AAD43365D61EE90C">
    <w:name w:val="6FD4B83145ED4515AAD43365D61EE90C"/>
    <w:rsid w:val="002A0099"/>
    <w:pPr>
      <w:widowControl w:val="0"/>
      <w:wordWrap w:val="0"/>
      <w:autoSpaceDE w:val="0"/>
      <w:autoSpaceDN w:val="0"/>
    </w:pPr>
  </w:style>
  <w:style w:type="paragraph" w:customStyle="1" w:styleId="C49C0C76B5F14B28A09D74EE35CF23DD">
    <w:name w:val="C49C0C76B5F14B28A09D74EE35CF23DD"/>
    <w:rsid w:val="002A0099"/>
    <w:pPr>
      <w:widowControl w:val="0"/>
      <w:wordWrap w:val="0"/>
      <w:autoSpaceDE w:val="0"/>
      <w:autoSpaceDN w:val="0"/>
    </w:pPr>
  </w:style>
  <w:style w:type="paragraph" w:customStyle="1" w:styleId="5B60DB89F000486F9F873EA86D9A52FD">
    <w:name w:val="5B60DB89F000486F9F873EA86D9A52FD"/>
    <w:rsid w:val="002A0099"/>
    <w:pPr>
      <w:widowControl w:val="0"/>
      <w:wordWrap w:val="0"/>
      <w:autoSpaceDE w:val="0"/>
      <w:autoSpaceDN w:val="0"/>
    </w:pPr>
  </w:style>
  <w:style w:type="paragraph" w:customStyle="1" w:styleId="704D66DD777F40379D93954A50668602">
    <w:name w:val="704D66DD777F40379D93954A50668602"/>
    <w:rsid w:val="002A0099"/>
    <w:pPr>
      <w:widowControl w:val="0"/>
      <w:wordWrap w:val="0"/>
      <w:autoSpaceDE w:val="0"/>
      <w:autoSpaceDN w:val="0"/>
    </w:pPr>
  </w:style>
  <w:style w:type="paragraph" w:customStyle="1" w:styleId="F72DEF104D1A401C83BE45AF6F0BFA2C">
    <w:name w:val="F72DEF104D1A401C83BE45AF6F0BFA2C"/>
    <w:rsid w:val="002A0099"/>
    <w:pPr>
      <w:widowControl w:val="0"/>
      <w:wordWrap w:val="0"/>
      <w:autoSpaceDE w:val="0"/>
      <w:autoSpaceDN w:val="0"/>
    </w:pPr>
  </w:style>
  <w:style w:type="paragraph" w:customStyle="1" w:styleId="72E3E4B0A425485EB3BD37AAFA431683">
    <w:name w:val="72E3E4B0A425485EB3BD37AAFA431683"/>
    <w:rsid w:val="002A0099"/>
    <w:pPr>
      <w:widowControl w:val="0"/>
      <w:wordWrap w:val="0"/>
      <w:autoSpaceDE w:val="0"/>
      <w:autoSpaceDN w:val="0"/>
    </w:pPr>
  </w:style>
  <w:style w:type="paragraph" w:customStyle="1" w:styleId="42532A2A200E42DAAFFEA24F38C1AC46">
    <w:name w:val="42532A2A200E42DAAFFEA24F38C1AC46"/>
    <w:rsid w:val="002A0099"/>
    <w:pPr>
      <w:widowControl w:val="0"/>
      <w:wordWrap w:val="0"/>
      <w:autoSpaceDE w:val="0"/>
      <w:autoSpaceDN w:val="0"/>
    </w:pPr>
  </w:style>
  <w:style w:type="paragraph" w:customStyle="1" w:styleId="FB5711102EEE46BFB2D9DE356E17CDDE">
    <w:name w:val="FB5711102EEE46BFB2D9DE356E17CDDE"/>
    <w:rsid w:val="002A0099"/>
    <w:pPr>
      <w:widowControl w:val="0"/>
      <w:wordWrap w:val="0"/>
      <w:autoSpaceDE w:val="0"/>
      <w:autoSpaceDN w:val="0"/>
    </w:pPr>
  </w:style>
  <w:style w:type="paragraph" w:customStyle="1" w:styleId="3A2D72A584534AA8996F7F3D2354C85D">
    <w:name w:val="3A2D72A584534AA8996F7F3D2354C85D"/>
    <w:rsid w:val="002A0099"/>
    <w:pPr>
      <w:widowControl w:val="0"/>
      <w:wordWrap w:val="0"/>
      <w:autoSpaceDE w:val="0"/>
      <w:autoSpaceDN w:val="0"/>
    </w:pPr>
  </w:style>
  <w:style w:type="paragraph" w:customStyle="1" w:styleId="0D17C245741046B2B7CCEC3943DB903E">
    <w:name w:val="0D17C245741046B2B7CCEC3943DB903E"/>
    <w:rsid w:val="002A0099"/>
    <w:pPr>
      <w:widowControl w:val="0"/>
      <w:wordWrap w:val="0"/>
      <w:autoSpaceDE w:val="0"/>
      <w:autoSpaceDN w:val="0"/>
    </w:pPr>
  </w:style>
  <w:style w:type="paragraph" w:customStyle="1" w:styleId="1206804CF85C416AB6E13CBF628E1BBD">
    <w:name w:val="1206804CF85C416AB6E13CBF628E1BBD"/>
    <w:rsid w:val="002A0099"/>
    <w:pPr>
      <w:widowControl w:val="0"/>
      <w:wordWrap w:val="0"/>
      <w:autoSpaceDE w:val="0"/>
      <w:autoSpaceDN w:val="0"/>
    </w:pPr>
  </w:style>
  <w:style w:type="paragraph" w:customStyle="1" w:styleId="BDB4506CC6B34C3B97B4E32AA97E26DB">
    <w:name w:val="BDB4506CC6B34C3B97B4E32AA97E26DB"/>
    <w:rsid w:val="002A0099"/>
    <w:pPr>
      <w:widowControl w:val="0"/>
      <w:wordWrap w:val="0"/>
      <w:autoSpaceDE w:val="0"/>
      <w:autoSpaceDN w:val="0"/>
    </w:pPr>
  </w:style>
  <w:style w:type="paragraph" w:customStyle="1" w:styleId="C50D9189A1594675BB06AF137AF06CB0">
    <w:name w:val="C50D9189A1594675BB06AF137AF06CB0"/>
    <w:rsid w:val="002A0099"/>
    <w:pPr>
      <w:widowControl w:val="0"/>
      <w:wordWrap w:val="0"/>
      <w:autoSpaceDE w:val="0"/>
      <w:autoSpaceDN w:val="0"/>
    </w:pPr>
  </w:style>
  <w:style w:type="paragraph" w:customStyle="1" w:styleId="71CE7E37EC214CB69A1C04E5C7CC70B5">
    <w:name w:val="71CE7E37EC214CB69A1C04E5C7CC70B5"/>
    <w:rsid w:val="002A0099"/>
    <w:pPr>
      <w:widowControl w:val="0"/>
      <w:wordWrap w:val="0"/>
      <w:autoSpaceDE w:val="0"/>
      <w:autoSpaceDN w:val="0"/>
    </w:pPr>
  </w:style>
  <w:style w:type="paragraph" w:customStyle="1" w:styleId="E3314C9663964F019238567ABA3B1980">
    <w:name w:val="E3314C9663964F019238567ABA3B1980"/>
    <w:rsid w:val="002A0099"/>
    <w:pPr>
      <w:widowControl w:val="0"/>
      <w:wordWrap w:val="0"/>
      <w:autoSpaceDE w:val="0"/>
      <w:autoSpaceDN w:val="0"/>
    </w:pPr>
  </w:style>
  <w:style w:type="paragraph" w:customStyle="1" w:styleId="37194F732CEF4CCDA545A4000024AF76">
    <w:name w:val="37194F732CEF4CCDA545A4000024AF76"/>
    <w:rsid w:val="002A0099"/>
    <w:pPr>
      <w:widowControl w:val="0"/>
      <w:wordWrap w:val="0"/>
      <w:autoSpaceDE w:val="0"/>
      <w:autoSpaceDN w:val="0"/>
    </w:pPr>
  </w:style>
  <w:style w:type="paragraph" w:customStyle="1" w:styleId="1D00F5552DF94928AFA76BE1EF3A22DB">
    <w:name w:val="1D00F5552DF94928AFA76BE1EF3A22DB"/>
    <w:rsid w:val="002A0099"/>
    <w:pPr>
      <w:widowControl w:val="0"/>
      <w:wordWrap w:val="0"/>
      <w:autoSpaceDE w:val="0"/>
      <w:autoSpaceDN w:val="0"/>
    </w:pPr>
  </w:style>
  <w:style w:type="paragraph" w:customStyle="1" w:styleId="2421EE9D1D4148BDB747397F22A2B774">
    <w:name w:val="2421EE9D1D4148BDB747397F22A2B774"/>
    <w:rsid w:val="002A0099"/>
    <w:pPr>
      <w:widowControl w:val="0"/>
      <w:wordWrap w:val="0"/>
      <w:autoSpaceDE w:val="0"/>
      <w:autoSpaceDN w:val="0"/>
    </w:pPr>
  </w:style>
  <w:style w:type="paragraph" w:customStyle="1" w:styleId="F0EA541C6B3E4EE0A27BABE5E1BEF622">
    <w:name w:val="F0EA541C6B3E4EE0A27BABE5E1BEF622"/>
    <w:rsid w:val="002A0099"/>
    <w:pPr>
      <w:widowControl w:val="0"/>
      <w:wordWrap w:val="0"/>
      <w:autoSpaceDE w:val="0"/>
      <w:autoSpaceDN w:val="0"/>
    </w:pPr>
  </w:style>
  <w:style w:type="paragraph" w:customStyle="1" w:styleId="4D4793D74DE642CDAAABB845F9215B6C">
    <w:name w:val="4D4793D74DE642CDAAABB845F9215B6C"/>
    <w:rsid w:val="002A0099"/>
    <w:pPr>
      <w:widowControl w:val="0"/>
      <w:wordWrap w:val="0"/>
      <w:autoSpaceDE w:val="0"/>
      <w:autoSpaceDN w:val="0"/>
    </w:pPr>
  </w:style>
  <w:style w:type="paragraph" w:customStyle="1" w:styleId="40C32C7376604D638A87FD7D90D209AA">
    <w:name w:val="40C32C7376604D638A87FD7D90D209AA"/>
    <w:rsid w:val="002A0099"/>
    <w:pPr>
      <w:widowControl w:val="0"/>
      <w:wordWrap w:val="0"/>
      <w:autoSpaceDE w:val="0"/>
      <w:autoSpaceDN w:val="0"/>
    </w:pPr>
  </w:style>
  <w:style w:type="paragraph" w:customStyle="1" w:styleId="5E84A2147BD94C83AA87E3A0A7921EC7">
    <w:name w:val="5E84A2147BD94C83AA87E3A0A7921EC7"/>
    <w:rsid w:val="002A0099"/>
    <w:pPr>
      <w:widowControl w:val="0"/>
      <w:wordWrap w:val="0"/>
      <w:autoSpaceDE w:val="0"/>
      <w:autoSpaceDN w:val="0"/>
    </w:pPr>
  </w:style>
  <w:style w:type="paragraph" w:customStyle="1" w:styleId="2C43DCDADE364A8E87927A111246E3E3">
    <w:name w:val="2C43DCDADE364A8E87927A111246E3E3"/>
    <w:rsid w:val="002A0099"/>
    <w:pPr>
      <w:widowControl w:val="0"/>
      <w:wordWrap w:val="0"/>
      <w:autoSpaceDE w:val="0"/>
      <w:autoSpaceDN w:val="0"/>
    </w:pPr>
  </w:style>
  <w:style w:type="paragraph" w:customStyle="1" w:styleId="036F070F66474029860845A3B62BC07A">
    <w:name w:val="036F070F66474029860845A3B62BC07A"/>
    <w:rsid w:val="002A0099"/>
    <w:pPr>
      <w:widowControl w:val="0"/>
      <w:wordWrap w:val="0"/>
      <w:autoSpaceDE w:val="0"/>
      <w:autoSpaceDN w:val="0"/>
    </w:pPr>
  </w:style>
  <w:style w:type="paragraph" w:customStyle="1" w:styleId="4BDA0D873E404AA9BCC1342997C67604">
    <w:name w:val="4BDA0D873E404AA9BCC1342997C67604"/>
    <w:rsid w:val="002A0099"/>
    <w:pPr>
      <w:widowControl w:val="0"/>
      <w:wordWrap w:val="0"/>
      <w:autoSpaceDE w:val="0"/>
      <w:autoSpaceDN w:val="0"/>
    </w:pPr>
  </w:style>
  <w:style w:type="paragraph" w:customStyle="1" w:styleId="63217239E5E343AB8EA373A0E3CC2AF1">
    <w:name w:val="63217239E5E343AB8EA373A0E3CC2AF1"/>
    <w:rsid w:val="002A0099"/>
    <w:pPr>
      <w:widowControl w:val="0"/>
      <w:wordWrap w:val="0"/>
      <w:autoSpaceDE w:val="0"/>
      <w:autoSpaceDN w:val="0"/>
    </w:pPr>
  </w:style>
  <w:style w:type="paragraph" w:customStyle="1" w:styleId="67FD2155C53041D0805230C15B6FB9DD">
    <w:name w:val="67FD2155C53041D0805230C15B6FB9DD"/>
    <w:rsid w:val="002A0099"/>
    <w:pPr>
      <w:widowControl w:val="0"/>
      <w:wordWrap w:val="0"/>
      <w:autoSpaceDE w:val="0"/>
      <w:autoSpaceDN w:val="0"/>
    </w:pPr>
  </w:style>
  <w:style w:type="paragraph" w:customStyle="1" w:styleId="C10FD97E2E09471EA29ED167724EA384">
    <w:name w:val="C10FD97E2E09471EA29ED167724EA384"/>
    <w:rsid w:val="002A0099"/>
    <w:pPr>
      <w:widowControl w:val="0"/>
      <w:wordWrap w:val="0"/>
      <w:autoSpaceDE w:val="0"/>
      <w:autoSpaceDN w:val="0"/>
    </w:pPr>
  </w:style>
  <w:style w:type="paragraph" w:customStyle="1" w:styleId="DF0714C7E71A4B2C8D779C8DABFF9715">
    <w:name w:val="DF0714C7E71A4B2C8D779C8DABFF9715"/>
    <w:rsid w:val="002A0099"/>
    <w:pPr>
      <w:widowControl w:val="0"/>
      <w:wordWrap w:val="0"/>
      <w:autoSpaceDE w:val="0"/>
      <w:autoSpaceDN w:val="0"/>
    </w:pPr>
  </w:style>
  <w:style w:type="paragraph" w:customStyle="1" w:styleId="CFCAE04C2BFD4D67AFF93C85F7758913">
    <w:name w:val="CFCAE04C2BFD4D67AFF93C85F7758913"/>
    <w:rsid w:val="002A0099"/>
    <w:pPr>
      <w:widowControl w:val="0"/>
      <w:wordWrap w:val="0"/>
      <w:autoSpaceDE w:val="0"/>
      <w:autoSpaceDN w:val="0"/>
    </w:pPr>
  </w:style>
  <w:style w:type="paragraph" w:customStyle="1" w:styleId="713008AED1E44CFDAE0CACE5BA800405">
    <w:name w:val="713008AED1E44CFDAE0CACE5BA800405"/>
    <w:rsid w:val="002A0099"/>
    <w:pPr>
      <w:widowControl w:val="0"/>
      <w:wordWrap w:val="0"/>
      <w:autoSpaceDE w:val="0"/>
      <w:autoSpaceDN w:val="0"/>
    </w:pPr>
  </w:style>
  <w:style w:type="paragraph" w:customStyle="1" w:styleId="3E16FC80A17F4E3FAE6AC0E4F7B08BAA">
    <w:name w:val="3E16FC80A17F4E3FAE6AC0E4F7B08BAA"/>
    <w:rsid w:val="002A0099"/>
    <w:pPr>
      <w:widowControl w:val="0"/>
      <w:wordWrap w:val="0"/>
      <w:autoSpaceDE w:val="0"/>
      <w:autoSpaceDN w:val="0"/>
    </w:pPr>
  </w:style>
  <w:style w:type="paragraph" w:customStyle="1" w:styleId="3D716CA7D6594D2A8C12C4B96D208A02">
    <w:name w:val="3D716CA7D6594D2A8C12C4B96D208A02"/>
    <w:rsid w:val="002A0099"/>
    <w:pPr>
      <w:widowControl w:val="0"/>
      <w:wordWrap w:val="0"/>
      <w:autoSpaceDE w:val="0"/>
      <w:autoSpaceDN w:val="0"/>
    </w:pPr>
  </w:style>
  <w:style w:type="paragraph" w:customStyle="1" w:styleId="FFD685197063494888939653994B2E8B">
    <w:name w:val="FFD685197063494888939653994B2E8B"/>
    <w:rsid w:val="002A0099"/>
    <w:pPr>
      <w:widowControl w:val="0"/>
      <w:wordWrap w:val="0"/>
      <w:autoSpaceDE w:val="0"/>
      <w:autoSpaceDN w:val="0"/>
    </w:pPr>
  </w:style>
  <w:style w:type="paragraph" w:customStyle="1" w:styleId="2D97E2891E2E44529126A1C9F2474111">
    <w:name w:val="2D97E2891E2E44529126A1C9F2474111"/>
    <w:rsid w:val="002A0099"/>
    <w:pPr>
      <w:widowControl w:val="0"/>
      <w:wordWrap w:val="0"/>
      <w:autoSpaceDE w:val="0"/>
      <w:autoSpaceDN w:val="0"/>
    </w:pPr>
  </w:style>
  <w:style w:type="paragraph" w:customStyle="1" w:styleId="5FF1538B2F72403A8330045DEF1B0A88">
    <w:name w:val="5FF1538B2F72403A8330045DEF1B0A88"/>
    <w:rsid w:val="002A0099"/>
    <w:pPr>
      <w:widowControl w:val="0"/>
      <w:wordWrap w:val="0"/>
      <w:autoSpaceDE w:val="0"/>
      <w:autoSpaceDN w:val="0"/>
    </w:pPr>
  </w:style>
  <w:style w:type="paragraph" w:customStyle="1" w:styleId="4CB5C5958E9847599C2711971FB0FC45">
    <w:name w:val="4CB5C5958E9847599C2711971FB0FC45"/>
    <w:rsid w:val="002A0099"/>
    <w:pPr>
      <w:widowControl w:val="0"/>
      <w:wordWrap w:val="0"/>
      <w:autoSpaceDE w:val="0"/>
      <w:autoSpaceDN w:val="0"/>
    </w:pPr>
  </w:style>
  <w:style w:type="paragraph" w:customStyle="1" w:styleId="C724AEF42DE84FE5A0F43D1DAF3744FB">
    <w:name w:val="C724AEF42DE84FE5A0F43D1DAF3744FB"/>
    <w:rsid w:val="002A0099"/>
    <w:pPr>
      <w:widowControl w:val="0"/>
      <w:wordWrap w:val="0"/>
      <w:autoSpaceDE w:val="0"/>
      <w:autoSpaceDN w:val="0"/>
    </w:pPr>
  </w:style>
  <w:style w:type="paragraph" w:customStyle="1" w:styleId="42051F5078DD4D3BAE40A62C19BC8F93">
    <w:name w:val="42051F5078DD4D3BAE40A62C19BC8F93"/>
    <w:rsid w:val="002A0099"/>
    <w:pPr>
      <w:widowControl w:val="0"/>
      <w:wordWrap w:val="0"/>
      <w:autoSpaceDE w:val="0"/>
      <w:autoSpaceDN w:val="0"/>
    </w:pPr>
  </w:style>
  <w:style w:type="paragraph" w:customStyle="1" w:styleId="4CA93E7727824914B65A8BF982DC6A59">
    <w:name w:val="4CA93E7727824914B65A8BF982DC6A59"/>
    <w:rsid w:val="002A0099"/>
    <w:pPr>
      <w:widowControl w:val="0"/>
      <w:wordWrap w:val="0"/>
      <w:autoSpaceDE w:val="0"/>
      <w:autoSpaceDN w:val="0"/>
    </w:pPr>
  </w:style>
  <w:style w:type="paragraph" w:customStyle="1" w:styleId="04FF19B9F38446C0B8BEE88DE4F3B8F8">
    <w:name w:val="04FF19B9F38446C0B8BEE88DE4F3B8F8"/>
    <w:rsid w:val="002A0099"/>
    <w:pPr>
      <w:widowControl w:val="0"/>
      <w:wordWrap w:val="0"/>
      <w:autoSpaceDE w:val="0"/>
      <w:autoSpaceDN w:val="0"/>
    </w:pPr>
  </w:style>
  <w:style w:type="paragraph" w:customStyle="1" w:styleId="9AEDA3E1CAD645FCA4E096D69D882332">
    <w:name w:val="9AEDA3E1CAD645FCA4E096D69D882332"/>
    <w:rsid w:val="002A0099"/>
    <w:pPr>
      <w:widowControl w:val="0"/>
      <w:wordWrap w:val="0"/>
      <w:autoSpaceDE w:val="0"/>
      <w:autoSpaceDN w:val="0"/>
    </w:pPr>
  </w:style>
  <w:style w:type="paragraph" w:customStyle="1" w:styleId="48438E94FC5A40858B920BC51B47D87A">
    <w:name w:val="48438E94FC5A40858B920BC51B47D87A"/>
    <w:rsid w:val="002A0099"/>
    <w:pPr>
      <w:widowControl w:val="0"/>
      <w:wordWrap w:val="0"/>
      <w:autoSpaceDE w:val="0"/>
      <w:autoSpaceDN w:val="0"/>
    </w:pPr>
  </w:style>
  <w:style w:type="paragraph" w:customStyle="1" w:styleId="BF38F894B6EE4AD4A46FAD2C8DD88B8E">
    <w:name w:val="BF38F894B6EE4AD4A46FAD2C8DD88B8E"/>
    <w:rsid w:val="002A0099"/>
    <w:pPr>
      <w:widowControl w:val="0"/>
      <w:wordWrap w:val="0"/>
      <w:autoSpaceDE w:val="0"/>
      <w:autoSpaceDN w:val="0"/>
    </w:pPr>
  </w:style>
  <w:style w:type="paragraph" w:customStyle="1" w:styleId="DC44149D9EE14002AAF619A9D1958606">
    <w:name w:val="DC44149D9EE14002AAF619A9D1958606"/>
    <w:rsid w:val="002A0099"/>
    <w:pPr>
      <w:widowControl w:val="0"/>
      <w:wordWrap w:val="0"/>
      <w:autoSpaceDE w:val="0"/>
      <w:autoSpaceDN w:val="0"/>
    </w:pPr>
  </w:style>
  <w:style w:type="paragraph" w:customStyle="1" w:styleId="6229DE1738924B7A8621F8844DA2E6D2">
    <w:name w:val="6229DE1738924B7A8621F8844DA2E6D2"/>
    <w:rsid w:val="002A0099"/>
    <w:pPr>
      <w:widowControl w:val="0"/>
      <w:wordWrap w:val="0"/>
      <w:autoSpaceDE w:val="0"/>
      <w:autoSpaceDN w:val="0"/>
    </w:pPr>
  </w:style>
  <w:style w:type="paragraph" w:customStyle="1" w:styleId="B62CB4B5C8C74C62A48DD2F3800629E6">
    <w:name w:val="B62CB4B5C8C74C62A48DD2F3800629E6"/>
    <w:rsid w:val="002A0099"/>
    <w:pPr>
      <w:widowControl w:val="0"/>
      <w:wordWrap w:val="0"/>
      <w:autoSpaceDE w:val="0"/>
      <w:autoSpaceDN w:val="0"/>
    </w:pPr>
  </w:style>
  <w:style w:type="paragraph" w:customStyle="1" w:styleId="C04E09D08F574D7781368753691DC4F3">
    <w:name w:val="C04E09D08F574D7781368753691DC4F3"/>
    <w:rsid w:val="002A0099"/>
    <w:pPr>
      <w:widowControl w:val="0"/>
      <w:wordWrap w:val="0"/>
      <w:autoSpaceDE w:val="0"/>
      <w:autoSpaceDN w:val="0"/>
    </w:pPr>
  </w:style>
  <w:style w:type="paragraph" w:customStyle="1" w:styleId="AA9E7A0FB27D4D2E8B7E09943D9CC33D">
    <w:name w:val="AA9E7A0FB27D4D2E8B7E09943D9CC33D"/>
    <w:rsid w:val="002A0099"/>
    <w:pPr>
      <w:widowControl w:val="0"/>
      <w:wordWrap w:val="0"/>
      <w:autoSpaceDE w:val="0"/>
      <w:autoSpaceDN w:val="0"/>
    </w:pPr>
  </w:style>
  <w:style w:type="paragraph" w:customStyle="1" w:styleId="C8C00A0EDB7042098BBA237CCF8DC03E">
    <w:name w:val="C8C00A0EDB7042098BBA237CCF8DC03E"/>
    <w:rsid w:val="002A0099"/>
    <w:pPr>
      <w:widowControl w:val="0"/>
      <w:wordWrap w:val="0"/>
      <w:autoSpaceDE w:val="0"/>
      <w:autoSpaceDN w:val="0"/>
    </w:pPr>
  </w:style>
  <w:style w:type="paragraph" w:customStyle="1" w:styleId="2EA8CAE596C44824A5B1110758C41B94">
    <w:name w:val="2EA8CAE596C44824A5B1110758C41B94"/>
    <w:rsid w:val="002A0099"/>
    <w:pPr>
      <w:widowControl w:val="0"/>
      <w:wordWrap w:val="0"/>
      <w:autoSpaceDE w:val="0"/>
      <w:autoSpaceDN w:val="0"/>
    </w:pPr>
  </w:style>
  <w:style w:type="paragraph" w:customStyle="1" w:styleId="CBABA0615625451388B6CF6089C7515B">
    <w:name w:val="CBABA0615625451388B6CF6089C7515B"/>
    <w:rsid w:val="002A0099"/>
    <w:pPr>
      <w:widowControl w:val="0"/>
      <w:wordWrap w:val="0"/>
      <w:autoSpaceDE w:val="0"/>
      <w:autoSpaceDN w:val="0"/>
    </w:pPr>
  </w:style>
  <w:style w:type="paragraph" w:customStyle="1" w:styleId="2A26C0210F8B4A2A8C855EBD7BFB2AEB">
    <w:name w:val="2A26C0210F8B4A2A8C855EBD7BFB2AEB"/>
    <w:rsid w:val="002A0099"/>
    <w:pPr>
      <w:widowControl w:val="0"/>
      <w:wordWrap w:val="0"/>
      <w:autoSpaceDE w:val="0"/>
      <w:autoSpaceDN w:val="0"/>
    </w:pPr>
  </w:style>
  <w:style w:type="paragraph" w:customStyle="1" w:styleId="57ECA8542BE846E883C94DD713AC6CCF">
    <w:name w:val="57ECA8542BE846E883C94DD713AC6CCF"/>
    <w:rsid w:val="002A0099"/>
    <w:pPr>
      <w:widowControl w:val="0"/>
      <w:wordWrap w:val="0"/>
      <w:autoSpaceDE w:val="0"/>
      <w:autoSpaceDN w:val="0"/>
    </w:pPr>
  </w:style>
  <w:style w:type="paragraph" w:customStyle="1" w:styleId="196CDC81312A4C1DBA2F9870545EA919">
    <w:name w:val="196CDC81312A4C1DBA2F9870545EA919"/>
    <w:rsid w:val="002A0099"/>
    <w:pPr>
      <w:widowControl w:val="0"/>
      <w:wordWrap w:val="0"/>
      <w:autoSpaceDE w:val="0"/>
      <w:autoSpaceDN w:val="0"/>
    </w:pPr>
  </w:style>
  <w:style w:type="paragraph" w:customStyle="1" w:styleId="03515CA166CF4C12920A48BD7074701B">
    <w:name w:val="03515CA166CF4C12920A48BD7074701B"/>
    <w:rsid w:val="002A0099"/>
    <w:pPr>
      <w:widowControl w:val="0"/>
      <w:wordWrap w:val="0"/>
      <w:autoSpaceDE w:val="0"/>
      <w:autoSpaceDN w:val="0"/>
    </w:pPr>
  </w:style>
  <w:style w:type="paragraph" w:customStyle="1" w:styleId="6DE7F0DA849B4910BD0BC72EF71C5A02">
    <w:name w:val="6DE7F0DA849B4910BD0BC72EF71C5A02"/>
    <w:rsid w:val="002A0099"/>
    <w:pPr>
      <w:widowControl w:val="0"/>
      <w:wordWrap w:val="0"/>
      <w:autoSpaceDE w:val="0"/>
      <w:autoSpaceDN w:val="0"/>
    </w:pPr>
  </w:style>
  <w:style w:type="paragraph" w:customStyle="1" w:styleId="51431344393D421A9D1373A51A44243C">
    <w:name w:val="51431344393D421A9D1373A51A44243C"/>
    <w:rsid w:val="002A0099"/>
    <w:pPr>
      <w:widowControl w:val="0"/>
      <w:wordWrap w:val="0"/>
      <w:autoSpaceDE w:val="0"/>
      <w:autoSpaceDN w:val="0"/>
    </w:pPr>
  </w:style>
  <w:style w:type="paragraph" w:customStyle="1" w:styleId="52A4459F07544A96B632AF91A59D162F">
    <w:name w:val="52A4459F07544A96B632AF91A59D162F"/>
    <w:rsid w:val="002A0099"/>
    <w:pPr>
      <w:widowControl w:val="0"/>
      <w:wordWrap w:val="0"/>
      <w:autoSpaceDE w:val="0"/>
      <w:autoSpaceDN w:val="0"/>
    </w:pPr>
  </w:style>
  <w:style w:type="paragraph" w:customStyle="1" w:styleId="109E9CD4189246B288D0F3401377E30B">
    <w:name w:val="109E9CD4189246B288D0F3401377E30B"/>
    <w:rsid w:val="002A0099"/>
    <w:pPr>
      <w:widowControl w:val="0"/>
      <w:wordWrap w:val="0"/>
      <w:autoSpaceDE w:val="0"/>
      <w:autoSpaceDN w:val="0"/>
    </w:pPr>
  </w:style>
  <w:style w:type="paragraph" w:customStyle="1" w:styleId="9C8B6781489947EBB753E1221639B744">
    <w:name w:val="9C8B6781489947EBB753E1221639B744"/>
    <w:rsid w:val="002A0099"/>
    <w:pPr>
      <w:widowControl w:val="0"/>
      <w:wordWrap w:val="0"/>
      <w:autoSpaceDE w:val="0"/>
      <w:autoSpaceDN w:val="0"/>
    </w:pPr>
  </w:style>
  <w:style w:type="paragraph" w:customStyle="1" w:styleId="D0140838DAB5408FA069C2A8CBB5DD79">
    <w:name w:val="D0140838DAB5408FA069C2A8CBB5DD79"/>
    <w:rsid w:val="002A0099"/>
    <w:pPr>
      <w:widowControl w:val="0"/>
      <w:wordWrap w:val="0"/>
      <w:autoSpaceDE w:val="0"/>
      <w:autoSpaceDN w:val="0"/>
    </w:pPr>
  </w:style>
  <w:style w:type="paragraph" w:customStyle="1" w:styleId="37E8736C6B7A4C849E68F2EAAD820B84">
    <w:name w:val="37E8736C6B7A4C849E68F2EAAD820B84"/>
    <w:rsid w:val="002A0099"/>
    <w:pPr>
      <w:widowControl w:val="0"/>
      <w:wordWrap w:val="0"/>
      <w:autoSpaceDE w:val="0"/>
      <w:autoSpaceDN w:val="0"/>
    </w:pPr>
  </w:style>
  <w:style w:type="paragraph" w:customStyle="1" w:styleId="1F066266A5234440BC5CDF038E92C770">
    <w:name w:val="1F066266A5234440BC5CDF038E92C770"/>
    <w:rsid w:val="002A0099"/>
    <w:pPr>
      <w:widowControl w:val="0"/>
      <w:wordWrap w:val="0"/>
      <w:autoSpaceDE w:val="0"/>
      <w:autoSpaceDN w:val="0"/>
    </w:pPr>
  </w:style>
  <w:style w:type="paragraph" w:customStyle="1" w:styleId="CB5611BBEB464615931DA97C6B9EC626">
    <w:name w:val="CB5611BBEB464615931DA97C6B9EC626"/>
    <w:rsid w:val="002A0099"/>
    <w:pPr>
      <w:widowControl w:val="0"/>
      <w:wordWrap w:val="0"/>
      <w:autoSpaceDE w:val="0"/>
      <w:autoSpaceDN w:val="0"/>
    </w:pPr>
  </w:style>
  <w:style w:type="paragraph" w:customStyle="1" w:styleId="24855C68223D446086D0E0D6A444F6D4">
    <w:name w:val="24855C68223D446086D0E0D6A444F6D4"/>
    <w:rsid w:val="002A0099"/>
    <w:pPr>
      <w:widowControl w:val="0"/>
      <w:wordWrap w:val="0"/>
      <w:autoSpaceDE w:val="0"/>
      <w:autoSpaceDN w:val="0"/>
    </w:pPr>
  </w:style>
  <w:style w:type="paragraph" w:customStyle="1" w:styleId="26ED79D905BF4BF8A018A8CBDB532AD6">
    <w:name w:val="26ED79D905BF4BF8A018A8CBDB532AD6"/>
    <w:rsid w:val="002A0099"/>
    <w:pPr>
      <w:widowControl w:val="0"/>
      <w:wordWrap w:val="0"/>
      <w:autoSpaceDE w:val="0"/>
      <w:autoSpaceDN w:val="0"/>
    </w:pPr>
  </w:style>
  <w:style w:type="paragraph" w:customStyle="1" w:styleId="8FA6BD8544A0465F9C13CFEA8F1CA45D">
    <w:name w:val="8FA6BD8544A0465F9C13CFEA8F1CA45D"/>
    <w:rsid w:val="002A0099"/>
    <w:pPr>
      <w:widowControl w:val="0"/>
      <w:wordWrap w:val="0"/>
      <w:autoSpaceDE w:val="0"/>
      <w:autoSpaceDN w:val="0"/>
    </w:pPr>
  </w:style>
  <w:style w:type="paragraph" w:customStyle="1" w:styleId="CD5613AA820D4FDF93464B697EF6A369">
    <w:name w:val="CD5613AA820D4FDF93464B697EF6A369"/>
    <w:rsid w:val="002A0099"/>
    <w:pPr>
      <w:widowControl w:val="0"/>
      <w:wordWrap w:val="0"/>
      <w:autoSpaceDE w:val="0"/>
      <w:autoSpaceDN w:val="0"/>
    </w:pPr>
  </w:style>
  <w:style w:type="paragraph" w:customStyle="1" w:styleId="8F9C25ACBCFA45B08D810634B9DE8211">
    <w:name w:val="8F9C25ACBCFA45B08D810634B9DE8211"/>
    <w:rsid w:val="002A0099"/>
    <w:pPr>
      <w:widowControl w:val="0"/>
      <w:wordWrap w:val="0"/>
      <w:autoSpaceDE w:val="0"/>
      <w:autoSpaceDN w:val="0"/>
    </w:pPr>
  </w:style>
  <w:style w:type="paragraph" w:customStyle="1" w:styleId="859A09BF09984E90ADD84D6EE035340B">
    <w:name w:val="859A09BF09984E90ADD84D6EE035340B"/>
    <w:rsid w:val="002A0099"/>
    <w:pPr>
      <w:widowControl w:val="0"/>
      <w:wordWrap w:val="0"/>
      <w:autoSpaceDE w:val="0"/>
      <w:autoSpaceDN w:val="0"/>
    </w:pPr>
  </w:style>
  <w:style w:type="paragraph" w:customStyle="1" w:styleId="D5C6BBCD10D64457B9FB5724724BD1FA">
    <w:name w:val="D5C6BBCD10D64457B9FB5724724BD1FA"/>
    <w:rsid w:val="002A0099"/>
    <w:pPr>
      <w:widowControl w:val="0"/>
      <w:wordWrap w:val="0"/>
      <w:autoSpaceDE w:val="0"/>
      <w:autoSpaceDN w:val="0"/>
    </w:pPr>
  </w:style>
  <w:style w:type="paragraph" w:customStyle="1" w:styleId="50E52A5EADF6499B9C925B7F5B31BA9B">
    <w:name w:val="50E52A5EADF6499B9C925B7F5B31BA9B"/>
    <w:rsid w:val="002A0099"/>
    <w:pPr>
      <w:widowControl w:val="0"/>
      <w:wordWrap w:val="0"/>
      <w:autoSpaceDE w:val="0"/>
      <w:autoSpaceDN w:val="0"/>
    </w:pPr>
  </w:style>
  <w:style w:type="paragraph" w:customStyle="1" w:styleId="A0093BB38BC84081A9F588E51EAD0285">
    <w:name w:val="A0093BB38BC84081A9F588E51EAD0285"/>
    <w:rsid w:val="002A0099"/>
    <w:pPr>
      <w:widowControl w:val="0"/>
      <w:wordWrap w:val="0"/>
      <w:autoSpaceDE w:val="0"/>
      <w:autoSpaceDN w:val="0"/>
    </w:pPr>
  </w:style>
  <w:style w:type="paragraph" w:customStyle="1" w:styleId="4F027D856BE34D07BC54BE638B2B5652">
    <w:name w:val="4F027D856BE34D07BC54BE638B2B5652"/>
    <w:rsid w:val="002A0099"/>
    <w:pPr>
      <w:widowControl w:val="0"/>
      <w:wordWrap w:val="0"/>
      <w:autoSpaceDE w:val="0"/>
      <w:autoSpaceDN w:val="0"/>
    </w:pPr>
  </w:style>
  <w:style w:type="paragraph" w:customStyle="1" w:styleId="1D00C17B0C644BE6888543DBE957F692">
    <w:name w:val="1D00C17B0C644BE6888543DBE957F692"/>
    <w:rsid w:val="002A0099"/>
    <w:pPr>
      <w:widowControl w:val="0"/>
      <w:wordWrap w:val="0"/>
      <w:autoSpaceDE w:val="0"/>
      <w:autoSpaceDN w:val="0"/>
    </w:pPr>
  </w:style>
  <w:style w:type="paragraph" w:customStyle="1" w:styleId="8C11D0170A9A4E9CBB21603860AF6A70">
    <w:name w:val="8C11D0170A9A4E9CBB21603860AF6A70"/>
    <w:rsid w:val="002A0099"/>
    <w:pPr>
      <w:widowControl w:val="0"/>
      <w:wordWrap w:val="0"/>
      <w:autoSpaceDE w:val="0"/>
      <w:autoSpaceDN w:val="0"/>
    </w:pPr>
  </w:style>
  <w:style w:type="paragraph" w:customStyle="1" w:styleId="BC3B6AC84FF54AC49C478FD0B14783BE">
    <w:name w:val="BC3B6AC84FF54AC49C478FD0B14783BE"/>
    <w:rsid w:val="002A0099"/>
    <w:pPr>
      <w:widowControl w:val="0"/>
      <w:wordWrap w:val="0"/>
      <w:autoSpaceDE w:val="0"/>
      <w:autoSpaceDN w:val="0"/>
    </w:pPr>
  </w:style>
  <w:style w:type="paragraph" w:customStyle="1" w:styleId="0734D32840BF4FB7AC9A60D3EB980B6F">
    <w:name w:val="0734D32840BF4FB7AC9A60D3EB980B6F"/>
    <w:rsid w:val="002A0099"/>
    <w:pPr>
      <w:widowControl w:val="0"/>
      <w:wordWrap w:val="0"/>
      <w:autoSpaceDE w:val="0"/>
      <w:autoSpaceDN w:val="0"/>
    </w:pPr>
  </w:style>
  <w:style w:type="paragraph" w:customStyle="1" w:styleId="2174DB49BC2A4E44B7BF7861B7DBF88C">
    <w:name w:val="2174DB49BC2A4E44B7BF7861B7DBF88C"/>
    <w:rsid w:val="002A0099"/>
    <w:pPr>
      <w:widowControl w:val="0"/>
      <w:wordWrap w:val="0"/>
      <w:autoSpaceDE w:val="0"/>
      <w:autoSpaceDN w:val="0"/>
    </w:pPr>
  </w:style>
  <w:style w:type="paragraph" w:customStyle="1" w:styleId="6778CADE19B4486EA360650DC2DD1005">
    <w:name w:val="6778CADE19B4486EA360650DC2DD1005"/>
    <w:rsid w:val="002A0099"/>
    <w:pPr>
      <w:widowControl w:val="0"/>
      <w:wordWrap w:val="0"/>
      <w:autoSpaceDE w:val="0"/>
      <w:autoSpaceDN w:val="0"/>
    </w:pPr>
  </w:style>
  <w:style w:type="paragraph" w:customStyle="1" w:styleId="E98D8A055139448F8487CC8FBCFBDEFC">
    <w:name w:val="E98D8A055139448F8487CC8FBCFBDEFC"/>
    <w:rsid w:val="002A0099"/>
    <w:pPr>
      <w:widowControl w:val="0"/>
      <w:wordWrap w:val="0"/>
      <w:autoSpaceDE w:val="0"/>
      <w:autoSpaceDN w:val="0"/>
    </w:pPr>
  </w:style>
  <w:style w:type="paragraph" w:customStyle="1" w:styleId="C31CD7735E0C4A7EB5C51B1B6C840E0F">
    <w:name w:val="C31CD7735E0C4A7EB5C51B1B6C840E0F"/>
    <w:rsid w:val="002A0099"/>
    <w:pPr>
      <w:widowControl w:val="0"/>
      <w:wordWrap w:val="0"/>
      <w:autoSpaceDE w:val="0"/>
      <w:autoSpaceDN w:val="0"/>
    </w:pPr>
  </w:style>
  <w:style w:type="paragraph" w:customStyle="1" w:styleId="0C34580FCD784DBDB8EB938561B8EFEE">
    <w:name w:val="0C34580FCD784DBDB8EB938561B8EFEE"/>
    <w:rsid w:val="002A0099"/>
    <w:pPr>
      <w:widowControl w:val="0"/>
      <w:wordWrap w:val="0"/>
      <w:autoSpaceDE w:val="0"/>
      <w:autoSpaceDN w:val="0"/>
    </w:pPr>
  </w:style>
  <w:style w:type="paragraph" w:customStyle="1" w:styleId="2379427432B24904AD6F4032957703B4">
    <w:name w:val="2379427432B24904AD6F4032957703B4"/>
    <w:rsid w:val="002A0099"/>
    <w:pPr>
      <w:widowControl w:val="0"/>
      <w:wordWrap w:val="0"/>
      <w:autoSpaceDE w:val="0"/>
      <w:autoSpaceDN w:val="0"/>
    </w:pPr>
  </w:style>
  <w:style w:type="paragraph" w:customStyle="1" w:styleId="CE2B407CE70A454F96B67F3745B30A30">
    <w:name w:val="CE2B407CE70A454F96B67F3745B30A30"/>
    <w:rsid w:val="002A0099"/>
    <w:pPr>
      <w:widowControl w:val="0"/>
      <w:wordWrap w:val="0"/>
      <w:autoSpaceDE w:val="0"/>
      <w:autoSpaceDN w:val="0"/>
    </w:pPr>
  </w:style>
  <w:style w:type="paragraph" w:customStyle="1" w:styleId="2F85AC8D8EAF4921A4B7DECBFEF4A730">
    <w:name w:val="2F85AC8D8EAF4921A4B7DECBFEF4A730"/>
    <w:rsid w:val="002A0099"/>
    <w:pPr>
      <w:widowControl w:val="0"/>
      <w:wordWrap w:val="0"/>
      <w:autoSpaceDE w:val="0"/>
      <w:autoSpaceDN w:val="0"/>
    </w:pPr>
  </w:style>
  <w:style w:type="paragraph" w:customStyle="1" w:styleId="5654E6349B734CD4B60AEEC65B910403">
    <w:name w:val="5654E6349B734CD4B60AEEC65B910403"/>
    <w:rsid w:val="002A0099"/>
    <w:pPr>
      <w:widowControl w:val="0"/>
      <w:wordWrap w:val="0"/>
      <w:autoSpaceDE w:val="0"/>
      <w:autoSpaceDN w:val="0"/>
    </w:pPr>
  </w:style>
  <w:style w:type="paragraph" w:customStyle="1" w:styleId="367E68CFF18B4280A01A536BF20E78A9">
    <w:name w:val="367E68CFF18B4280A01A536BF20E78A9"/>
    <w:rsid w:val="002A0099"/>
    <w:pPr>
      <w:widowControl w:val="0"/>
      <w:wordWrap w:val="0"/>
      <w:autoSpaceDE w:val="0"/>
      <w:autoSpaceDN w:val="0"/>
    </w:pPr>
  </w:style>
  <w:style w:type="paragraph" w:customStyle="1" w:styleId="B5EAF7A98AF94A4DBFBBA77D47133952">
    <w:name w:val="B5EAF7A98AF94A4DBFBBA77D47133952"/>
    <w:rsid w:val="002A0099"/>
    <w:pPr>
      <w:widowControl w:val="0"/>
      <w:wordWrap w:val="0"/>
      <w:autoSpaceDE w:val="0"/>
      <w:autoSpaceDN w:val="0"/>
    </w:pPr>
  </w:style>
  <w:style w:type="paragraph" w:customStyle="1" w:styleId="2E89E171BE4F4121AC9C8048F9FB612F">
    <w:name w:val="2E89E171BE4F4121AC9C8048F9FB612F"/>
    <w:rsid w:val="002A0099"/>
    <w:pPr>
      <w:widowControl w:val="0"/>
      <w:wordWrap w:val="0"/>
      <w:autoSpaceDE w:val="0"/>
      <w:autoSpaceDN w:val="0"/>
    </w:pPr>
  </w:style>
  <w:style w:type="paragraph" w:customStyle="1" w:styleId="6502AA1859C6467CBC20B1A3485F62A0">
    <w:name w:val="6502AA1859C6467CBC20B1A3485F62A0"/>
    <w:rsid w:val="002A0099"/>
    <w:pPr>
      <w:widowControl w:val="0"/>
      <w:wordWrap w:val="0"/>
      <w:autoSpaceDE w:val="0"/>
      <w:autoSpaceDN w:val="0"/>
    </w:pPr>
  </w:style>
  <w:style w:type="paragraph" w:customStyle="1" w:styleId="315331EA77584A6CA54609C05AA75A65">
    <w:name w:val="315331EA77584A6CA54609C05AA75A65"/>
    <w:rsid w:val="002A0099"/>
    <w:pPr>
      <w:widowControl w:val="0"/>
      <w:wordWrap w:val="0"/>
      <w:autoSpaceDE w:val="0"/>
      <w:autoSpaceDN w:val="0"/>
    </w:pPr>
  </w:style>
  <w:style w:type="paragraph" w:customStyle="1" w:styleId="7CB25E42336A47D2820D0F906288CD34">
    <w:name w:val="7CB25E42336A47D2820D0F906288CD34"/>
    <w:rsid w:val="002A0099"/>
    <w:pPr>
      <w:widowControl w:val="0"/>
      <w:wordWrap w:val="0"/>
      <w:autoSpaceDE w:val="0"/>
      <w:autoSpaceDN w:val="0"/>
    </w:pPr>
  </w:style>
  <w:style w:type="paragraph" w:customStyle="1" w:styleId="4F4D85FB54FD4169ABE9A979D3C3E189">
    <w:name w:val="4F4D85FB54FD4169ABE9A979D3C3E189"/>
    <w:rsid w:val="002A0099"/>
    <w:pPr>
      <w:widowControl w:val="0"/>
      <w:wordWrap w:val="0"/>
      <w:autoSpaceDE w:val="0"/>
      <w:autoSpaceDN w:val="0"/>
    </w:pPr>
  </w:style>
  <w:style w:type="paragraph" w:customStyle="1" w:styleId="0A55EE6BA3FC458DAF1AB763612E4A78">
    <w:name w:val="0A55EE6BA3FC458DAF1AB763612E4A78"/>
    <w:rsid w:val="002A0099"/>
    <w:pPr>
      <w:widowControl w:val="0"/>
      <w:wordWrap w:val="0"/>
      <w:autoSpaceDE w:val="0"/>
      <w:autoSpaceDN w:val="0"/>
    </w:pPr>
  </w:style>
  <w:style w:type="paragraph" w:customStyle="1" w:styleId="4BE6AE1A6C9946E5B18D26611911A9FB">
    <w:name w:val="4BE6AE1A6C9946E5B18D26611911A9FB"/>
    <w:rsid w:val="002A0099"/>
    <w:pPr>
      <w:widowControl w:val="0"/>
      <w:wordWrap w:val="0"/>
      <w:autoSpaceDE w:val="0"/>
      <w:autoSpaceDN w:val="0"/>
    </w:pPr>
  </w:style>
  <w:style w:type="paragraph" w:customStyle="1" w:styleId="F282B8CD996040B693C087C93C53AE35">
    <w:name w:val="F282B8CD996040B693C087C93C53AE35"/>
    <w:rsid w:val="002A0099"/>
    <w:pPr>
      <w:widowControl w:val="0"/>
      <w:wordWrap w:val="0"/>
      <w:autoSpaceDE w:val="0"/>
      <w:autoSpaceDN w:val="0"/>
    </w:pPr>
  </w:style>
  <w:style w:type="paragraph" w:customStyle="1" w:styleId="156B8C88E1A2445E974B40D160E2DC0B">
    <w:name w:val="156B8C88E1A2445E974B40D160E2DC0B"/>
    <w:rsid w:val="002A0099"/>
    <w:pPr>
      <w:widowControl w:val="0"/>
      <w:wordWrap w:val="0"/>
      <w:autoSpaceDE w:val="0"/>
      <w:autoSpaceDN w:val="0"/>
    </w:pPr>
  </w:style>
  <w:style w:type="paragraph" w:customStyle="1" w:styleId="37BC9146280544ADBE68FFAB9D107FF5">
    <w:name w:val="37BC9146280544ADBE68FFAB9D107FF5"/>
    <w:rsid w:val="002A0099"/>
    <w:pPr>
      <w:widowControl w:val="0"/>
      <w:wordWrap w:val="0"/>
      <w:autoSpaceDE w:val="0"/>
      <w:autoSpaceDN w:val="0"/>
    </w:pPr>
  </w:style>
  <w:style w:type="paragraph" w:customStyle="1" w:styleId="8F71D5EBA2514337A9EC45B484995693">
    <w:name w:val="8F71D5EBA2514337A9EC45B484995693"/>
    <w:rsid w:val="002A0099"/>
    <w:pPr>
      <w:widowControl w:val="0"/>
      <w:wordWrap w:val="0"/>
      <w:autoSpaceDE w:val="0"/>
      <w:autoSpaceDN w:val="0"/>
    </w:pPr>
  </w:style>
  <w:style w:type="paragraph" w:customStyle="1" w:styleId="0E900B9261764E57887BB9C383A3C06A">
    <w:name w:val="0E900B9261764E57887BB9C383A3C06A"/>
    <w:rsid w:val="002A0099"/>
    <w:pPr>
      <w:widowControl w:val="0"/>
      <w:wordWrap w:val="0"/>
      <w:autoSpaceDE w:val="0"/>
      <w:autoSpaceDN w:val="0"/>
    </w:pPr>
  </w:style>
  <w:style w:type="paragraph" w:customStyle="1" w:styleId="F6716BC7E8174DF6A2C6BB6C5B2BFE2F">
    <w:name w:val="F6716BC7E8174DF6A2C6BB6C5B2BFE2F"/>
    <w:rsid w:val="002A0099"/>
    <w:pPr>
      <w:widowControl w:val="0"/>
      <w:wordWrap w:val="0"/>
      <w:autoSpaceDE w:val="0"/>
      <w:autoSpaceDN w:val="0"/>
    </w:pPr>
  </w:style>
  <w:style w:type="paragraph" w:customStyle="1" w:styleId="7B918028E1594B2BAB368825F7878899">
    <w:name w:val="7B918028E1594B2BAB368825F7878899"/>
    <w:rsid w:val="002A0099"/>
    <w:pPr>
      <w:widowControl w:val="0"/>
      <w:wordWrap w:val="0"/>
      <w:autoSpaceDE w:val="0"/>
      <w:autoSpaceDN w:val="0"/>
    </w:pPr>
  </w:style>
  <w:style w:type="paragraph" w:customStyle="1" w:styleId="E8DFEC9F68F64C2A843B6FA023994AB4">
    <w:name w:val="E8DFEC9F68F64C2A843B6FA023994AB4"/>
    <w:rsid w:val="002A0099"/>
    <w:pPr>
      <w:widowControl w:val="0"/>
      <w:wordWrap w:val="0"/>
      <w:autoSpaceDE w:val="0"/>
      <w:autoSpaceDN w:val="0"/>
    </w:pPr>
  </w:style>
  <w:style w:type="paragraph" w:customStyle="1" w:styleId="6EBCD0B2D09649E795C64274DB761533">
    <w:name w:val="6EBCD0B2D09649E795C64274DB761533"/>
    <w:rsid w:val="002A0099"/>
    <w:pPr>
      <w:widowControl w:val="0"/>
      <w:wordWrap w:val="0"/>
      <w:autoSpaceDE w:val="0"/>
      <w:autoSpaceDN w:val="0"/>
    </w:pPr>
  </w:style>
  <w:style w:type="paragraph" w:customStyle="1" w:styleId="35B12F89A21E475CB21E7AD7059758A8">
    <w:name w:val="35B12F89A21E475CB21E7AD7059758A8"/>
    <w:rsid w:val="002A0099"/>
    <w:pPr>
      <w:widowControl w:val="0"/>
      <w:wordWrap w:val="0"/>
      <w:autoSpaceDE w:val="0"/>
      <w:autoSpaceDN w:val="0"/>
    </w:pPr>
  </w:style>
  <w:style w:type="paragraph" w:customStyle="1" w:styleId="E29EFE2F0CAE4853A1BC05FB07FFE501">
    <w:name w:val="E29EFE2F0CAE4853A1BC05FB07FFE501"/>
    <w:rsid w:val="002A0099"/>
    <w:pPr>
      <w:widowControl w:val="0"/>
      <w:wordWrap w:val="0"/>
      <w:autoSpaceDE w:val="0"/>
      <w:autoSpaceDN w:val="0"/>
    </w:pPr>
  </w:style>
  <w:style w:type="paragraph" w:customStyle="1" w:styleId="AAFFE3DF11C446DBB17E7EDDF8E25A36">
    <w:name w:val="AAFFE3DF11C446DBB17E7EDDF8E25A36"/>
    <w:rsid w:val="002A0099"/>
    <w:pPr>
      <w:widowControl w:val="0"/>
      <w:wordWrap w:val="0"/>
      <w:autoSpaceDE w:val="0"/>
      <w:autoSpaceDN w:val="0"/>
    </w:pPr>
  </w:style>
  <w:style w:type="paragraph" w:customStyle="1" w:styleId="DA64F0AB3A47449CAD8E8A14F8A7F9A7">
    <w:name w:val="DA64F0AB3A47449CAD8E8A14F8A7F9A7"/>
    <w:rsid w:val="002A0099"/>
    <w:pPr>
      <w:widowControl w:val="0"/>
      <w:wordWrap w:val="0"/>
      <w:autoSpaceDE w:val="0"/>
      <w:autoSpaceDN w:val="0"/>
    </w:pPr>
  </w:style>
  <w:style w:type="paragraph" w:customStyle="1" w:styleId="2F6272AB14F14A8A8C5D1DC6D09C852E">
    <w:name w:val="2F6272AB14F14A8A8C5D1DC6D09C852E"/>
    <w:rsid w:val="002A0099"/>
    <w:pPr>
      <w:widowControl w:val="0"/>
      <w:wordWrap w:val="0"/>
      <w:autoSpaceDE w:val="0"/>
      <w:autoSpaceDN w:val="0"/>
    </w:pPr>
  </w:style>
  <w:style w:type="paragraph" w:customStyle="1" w:styleId="4CAA5246127A4404B394CD8FDCE11465">
    <w:name w:val="4CAA5246127A4404B394CD8FDCE11465"/>
    <w:rsid w:val="002A0099"/>
    <w:pPr>
      <w:widowControl w:val="0"/>
      <w:wordWrap w:val="0"/>
      <w:autoSpaceDE w:val="0"/>
      <w:autoSpaceDN w:val="0"/>
    </w:pPr>
  </w:style>
  <w:style w:type="paragraph" w:customStyle="1" w:styleId="74090FE1F71D40C691B7650262677DD2">
    <w:name w:val="74090FE1F71D40C691B7650262677DD2"/>
    <w:rsid w:val="002A0099"/>
    <w:pPr>
      <w:widowControl w:val="0"/>
      <w:wordWrap w:val="0"/>
      <w:autoSpaceDE w:val="0"/>
      <w:autoSpaceDN w:val="0"/>
    </w:pPr>
  </w:style>
  <w:style w:type="paragraph" w:customStyle="1" w:styleId="3966B731269B458DAB3345E8C0DB232F">
    <w:name w:val="3966B731269B458DAB3345E8C0DB232F"/>
    <w:rsid w:val="002A0099"/>
    <w:pPr>
      <w:widowControl w:val="0"/>
      <w:wordWrap w:val="0"/>
      <w:autoSpaceDE w:val="0"/>
      <w:autoSpaceDN w:val="0"/>
    </w:pPr>
  </w:style>
  <w:style w:type="paragraph" w:customStyle="1" w:styleId="5BF40514CA494468AE1B950C98DCB216">
    <w:name w:val="5BF40514CA494468AE1B950C98DCB216"/>
    <w:rsid w:val="002A0099"/>
    <w:pPr>
      <w:widowControl w:val="0"/>
      <w:wordWrap w:val="0"/>
      <w:autoSpaceDE w:val="0"/>
      <w:autoSpaceDN w:val="0"/>
    </w:pPr>
  </w:style>
  <w:style w:type="paragraph" w:customStyle="1" w:styleId="9A4F01FD31B640D199FC5644FC316865">
    <w:name w:val="9A4F01FD31B640D199FC5644FC316865"/>
    <w:rsid w:val="002A0099"/>
    <w:pPr>
      <w:widowControl w:val="0"/>
      <w:wordWrap w:val="0"/>
      <w:autoSpaceDE w:val="0"/>
      <w:autoSpaceDN w:val="0"/>
    </w:pPr>
  </w:style>
  <w:style w:type="paragraph" w:customStyle="1" w:styleId="9AFC7A3B320640F48DD1DF9C7D3D5C1E">
    <w:name w:val="9AFC7A3B320640F48DD1DF9C7D3D5C1E"/>
    <w:rsid w:val="002A0099"/>
    <w:pPr>
      <w:widowControl w:val="0"/>
      <w:wordWrap w:val="0"/>
      <w:autoSpaceDE w:val="0"/>
      <w:autoSpaceDN w:val="0"/>
    </w:pPr>
  </w:style>
  <w:style w:type="paragraph" w:customStyle="1" w:styleId="04BC0EAE82F94520B155B617BE4DC9B4">
    <w:name w:val="04BC0EAE82F94520B155B617BE4DC9B4"/>
    <w:rsid w:val="002A0099"/>
    <w:pPr>
      <w:widowControl w:val="0"/>
      <w:wordWrap w:val="0"/>
      <w:autoSpaceDE w:val="0"/>
      <w:autoSpaceDN w:val="0"/>
    </w:pPr>
  </w:style>
  <w:style w:type="paragraph" w:customStyle="1" w:styleId="E42851C91DE64A73A92DD4E6AFDB28F7">
    <w:name w:val="E42851C91DE64A73A92DD4E6AFDB28F7"/>
    <w:rsid w:val="0052470F"/>
    <w:pPr>
      <w:widowControl w:val="0"/>
      <w:wordWrap w:val="0"/>
      <w:autoSpaceDE w:val="0"/>
      <w:autoSpaceDN w:val="0"/>
    </w:pPr>
  </w:style>
  <w:style w:type="paragraph" w:customStyle="1" w:styleId="9FA33A95B58248B3977225F0EA183E61">
    <w:name w:val="9FA33A95B58248B3977225F0EA183E61"/>
    <w:rsid w:val="0052470F"/>
    <w:pPr>
      <w:widowControl w:val="0"/>
      <w:wordWrap w:val="0"/>
      <w:autoSpaceDE w:val="0"/>
      <w:autoSpaceDN w:val="0"/>
    </w:pPr>
  </w:style>
  <w:style w:type="paragraph" w:customStyle="1" w:styleId="F702F8EB51184644A6E50E39645A4621">
    <w:name w:val="F702F8EB51184644A6E50E39645A4621"/>
    <w:rsid w:val="0052470F"/>
    <w:pPr>
      <w:widowControl w:val="0"/>
      <w:wordWrap w:val="0"/>
      <w:autoSpaceDE w:val="0"/>
      <w:autoSpaceDN w:val="0"/>
    </w:pPr>
  </w:style>
  <w:style w:type="paragraph" w:customStyle="1" w:styleId="E9451CD9099F4406A3EE204E151F6D03">
    <w:name w:val="E9451CD9099F4406A3EE204E151F6D03"/>
    <w:rsid w:val="0052470F"/>
    <w:pPr>
      <w:widowControl w:val="0"/>
      <w:wordWrap w:val="0"/>
      <w:autoSpaceDE w:val="0"/>
      <w:autoSpaceDN w:val="0"/>
    </w:pPr>
  </w:style>
  <w:style w:type="paragraph" w:customStyle="1" w:styleId="80FF4BB422C446FEACFAE47FBBB768DA">
    <w:name w:val="80FF4BB422C446FEACFAE47FBBB768DA"/>
    <w:rsid w:val="00607A22"/>
    <w:pPr>
      <w:widowControl w:val="0"/>
      <w:wordWrap w:val="0"/>
      <w:autoSpaceDE w:val="0"/>
      <w:autoSpaceDN w:val="0"/>
    </w:pPr>
  </w:style>
  <w:style w:type="paragraph" w:customStyle="1" w:styleId="2F4E47E160AD4E698102528FE858E3AD">
    <w:name w:val="2F4E47E160AD4E698102528FE858E3AD"/>
    <w:rsid w:val="00607A22"/>
    <w:pPr>
      <w:widowControl w:val="0"/>
      <w:wordWrap w:val="0"/>
      <w:autoSpaceDE w:val="0"/>
      <w:autoSpaceDN w:val="0"/>
    </w:pPr>
  </w:style>
  <w:style w:type="paragraph" w:customStyle="1" w:styleId="0AA308565366424893AF21D900D62A75">
    <w:name w:val="0AA308565366424893AF21D900D62A75"/>
    <w:rsid w:val="009D583B"/>
    <w:pPr>
      <w:widowControl w:val="0"/>
      <w:wordWrap w:val="0"/>
      <w:autoSpaceDE w:val="0"/>
      <w:autoSpaceDN w:val="0"/>
    </w:pPr>
  </w:style>
  <w:style w:type="paragraph" w:customStyle="1" w:styleId="867F53ADD9C542D1BA64802AE713B02F">
    <w:name w:val="867F53ADD9C542D1BA64802AE713B02F"/>
    <w:rsid w:val="003842B8"/>
    <w:pPr>
      <w:widowControl w:val="0"/>
      <w:wordWrap w:val="0"/>
      <w:autoSpaceDE w:val="0"/>
      <w:autoSpaceDN w:val="0"/>
    </w:pPr>
  </w:style>
  <w:style w:type="paragraph" w:customStyle="1" w:styleId="5F6AB8F24B2E49B4B297CE101327BB96">
    <w:name w:val="5F6AB8F24B2E49B4B297CE101327BB96"/>
    <w:rsid w:val="00E16E63"/>
    <w:pPr>
      <w:widowControl w:val="0"/>
      <w:wordWrap w:val="0"/>
      <w:autoSpaceDE w:val="0"/>
      <w:autoSpaceDN w:val="0"/>
    </w:pPr>
  </w:style>
  <w:style w:type="paragraph" w:customStyle="1" w:styleId="44FEC921F32C4E06A0F3BCF74A89A517">
    <w:name w:val="44FEC921F32C4E06A0F3BCF74A89A517"/>
    <w:rsid w:val="00E16E63"/>
    <w:pPr>
      <w:widowControl w:val="0"/>
      <w:wordWrap w:val="0"/>
      <w:autoSpaceDE w:val="0"/>
      <w:autoSpaceDN w:val="0"/>
    </w:pPr>
  </w:style>
  <w:style w:type="paragraph" w:customStyle="1" w:styleId="8EB609DFBD26478192D11C82737E0DED">
    <w:name w:val="8EB609DFBD26478192D11C82737E0DED"/>
    <w:rsid w:val="00670AFE"/>
    <w:pPr>
      <w:widowControl w:val="0"/>
      <w:wordWrap w:val="0"/>
      <w:autoSpaceDE w:val="0"/>
      <w:autoSpaceDN w:val="0"/>
    </w:pPr>
  </w:style>
  <w:style w:type="paragraph" w:customStyle="1" w:styleId="AF64FE8F55294D09BA10917883D0BC6E">
    <w:name w:val="AF64FE8F55294D09BA10917883D0BC6E"/>
    <w:rsid w:val="00670AFE"/>
    <w:pPr>
      <w:widowControl w:val="0"/>
      <w:wordWrap w:val="0"/>
      <w:autoSpaceDE w:val="0"/>
      <w:autoSpaceDN w:val="0"/>
    </w:pPr>
  </w:style>
  <w:style w:type="paragraph" w:customStyle="1" w:styleId="1A0AD3C0C7534B71B6EEDA1CAB602AF0">
    <w:name w:val="1A0AD3C0C7534B71B6EEDA1CAB602AF0"/>
    <w:rsid w:val="00670AFE"/>
    <w:pPr>
      <w:widowControl w:val="0"/>
      <w:wordWrap w:val="0"/>
      <w:autoSpaceDE w:val="0"/>
      <w:autoSpaceDN w:val="0"/>
    </w:pPr>
  </w:style>
  <w:style w:type="paragraph" w:customStyle="1" w:styleId="8ECBBB80DAD9408B803A6EB577157E24">
    <w:name w:val="8ECBBB80DAD9408B803A6EB577157E24"/>
    <w:rsid w:val="00F572CE"/>
    <w:pPr>
      <w:widowControl w:val="0"/>
      <w:wordWrap w:val="0"/>
      <w:autoSpaceDE w:val="0"/>
      <w:autoSpaceDN w:val="0"/>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A6C309C-8E6A-44BC-B47F-ED167F1B5A5D}">
  <we:reference id="wa104382081" version="1.55.1.0" store="ko-KR" storeType="OMEX"/>
  <we:alternateReferences>
    <we:reference id="wa104382081" version="1.55.1.0" store="" storeType="OMEX"/>
  </we:alternateReferences>
  <we:properties>
    <we:property name="MENDELEY_CITATIONS" value="[{&quot;citationID&quot;:&quot;MENDELEY_CITATION_89a5e9da-beeb-4031-802b-1c9077592bae&quot;,&quot;properties&quot;:{&quot;noteIndex&quot;:0},&quot;isEdited&quot;:false,&quot;manualOverride&quot;:{&quot;isManuallyOverridden&quot;:true,&quot;citeprocText&quot;:&quot;(National Association of State Budget Officers, 2018)&quot;,&quot;manualOverrideText&quot;:&quot;(National Association of State Budget Officers, 2018).&quot;},&quot;citationTag&quot;:&quot;MENDELEY_CITATION_v3_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&quot;,&quot;citationItems&quot;:[{&quot;id&quot;:&quot;050ce9fe-6dfb-33e0-bec8-68812708dd32&quot;,&quot;itemData&quot;:{&quot;type&quot;:&quot;report&quot;,&quot;id&quot;:&quot;050ce9fe-6dfb-33e0-bec8-68812708dd32&quot;,&quot;title&quot;:&quot;The fiscal survey of states: Fall 2018&quot;,&quot;author&quot;:[{&quot;family&quot;:&quot;National Association of State Budget Officers&quot;,&quot;given&quot;:&quot;&quot;,&quot;parse-names&quot;:false,&quot;dropping-particle&quot;:&quot;&quot;,&quot;non-dropping-particle&quot;:&quot;&quot;}],&quot;accessed&quot;:{&quot;date-parts&quot;:[[2024,6,7]]},&quot;URL&quot;:&quot;https://higherlogicdownload.s3.amazonaws.com/NASBO/9d2d2db1-c943-4f1b-b750-0fca152d64c2/UploadedImages/Fiscal%20Survey/NASBO_Fall_2018_Fiscal_Survey_of_States_S.pdf&quot;,&quot;issued&quot;:{&quot;date-parts&quot;:[[2018]]},&quot;container-title-short&quot;:&quot;&quot;},&quot;isTemporary&quot;:false}]},{&quot;citationID&quot;:&quot;MENDELEY_CITATION_c0ae081d-1f3a-469d-8ed0-36a0a1b75d80&quot;,&quot;properties&quot;:{&quot;noteIndex&quot;:0},&quot;isEdited&quot;:false,&quot;manualOverride&quot;:{&quot;isManuallyOverridden&quot;:false,&quot;citeprocText&quot;:&quot;(Hou, 2004)&quot;,&quot;manualOverrideText&quot;:&quot;&quot;},&quot;citationTag&quot;:&quot;MENDELEY_CITATION_v3_eyJjaXRhdGlvbklEIjoiTUVOREVMRVlfQ0lUQVRJT05fYzBhZTA4MWQtMWYzYS00NjlkLThlZDAtMzZhMGExYjc1ZDgwIiwicHJvcGVydGllcyI6eyJub3RlSW5kZXgiOjB9LCJpc0VkaXRlZCI6ZmFsc2UsIm1hbnVhbE92ZXJyaWRlIjp7ImlzTWFudWFsbHlPdmVycmlkZGVuIjpmYWxzZSwiY2l0ZXByb2NUZXh0IjoiKEhvdS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XX0=&quot;,&quot;citationItems&quot;:[{&quot;id&quot;:&quot;ec79977e-4c62-3d3a-b574-c74f0d52be70&quot;,&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isTemporary&quot;:false}]},{&quot;citationID&quot;:&quot;MENDELEY_CITATION_1462a45f-e6f7-4819-9a37-245ce3f5eb32&quot;,&quot;properties&quot;:{&quot;noteIndex&quot;:0},&quot;isEdited&quot;:false,&quot;manualOverride&quot;:{&quot;isManuallyOverridden&quot;:false,&quot;citeprocText&quot;:&quot;(GASB, 1999)&quot;,&quot;manualOverrideText&quot;:&quot;&quot;},&quot;citationTag&quot;:&quot;MENDELEY_CITATION_v3_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&quot;,&quot;citationItems&quot;:[{&quot;id&quot;:&quot;5985f8c4-d151-3487-811f-c11dd7ad1b61&quot;,&quot;itemData&quot;:{&quot;type&quot;:&quot;report&quot;,&quot;id&quot;:&quot;5985f8c4-d151-3487-811f-c11dd7ad1b61&quot;,&quot;title&quot;:&quot;Statement No. 34 of the\nGovernmental Accounting\nStandards Board: Basic Financial Statements—and Management’s Discussion and Analysis—for State and Local Governments&quot;,&quot;author&quot;:[{&quot;family&quot;:&quot;GASB&quot;,&quot;given&quot;:&quot;&quot;,&quot;parse-names&quot;:false,&quot;dropping-particle&quot;:&quot;&quot;,&quot;non-dropping-particle&quot;:&quot;&quot;}],&quot;accessed&quot;:{&quot;date-parts&quot;:[[2024,5,21]]},&quot;issued&quot;:{&quot;date-parts&quot;:[[1999]]},&quot;container-title-short&quot;:&quot;&quot;},&quot;isTemporary&quot;:false}]},{&quot;properties&quot;:{&quot;noteIndex&quot;:0},&quot;citationID&quot;:&quot;MENDELEY_CITATION_19284290-deab-4839-b67b-98b004f4c8e0&quot;,&quot;isEdited&quot;:false,&quot;manualOverride&quot;:{&quot;isManuallyOverriden&quot;:false,&quot;manualOverrideText&quot;:&quot;&quot;,&quot;citeprocText&quot;:&quot;(Douglas &amp;#38; Gaddie, 2002; Sobel &amp;#38; Holcombe, 1996)&quot;,&quot;isManuallyOverridden&quot;:false},&quot;citationTag&quot;:&quot;MENDELEY_CITATION_v3_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&quot;,&quot;citationItems&quot;:[{&quot;id&quot;:&quot;8783f1d5-e3d2-36fd-8045-7943e249139c&quot;,&quot;isTemporary&quot;:false,&quot;itemData&quot;:{&quot;type&quot;:&quot;article-journal&quot;,&quot;id&quot;:&quot;8783f1d5-e3d2-36fd-8045-7943e249139c&quot;,&quot;title&quot;:&quot;State rainy day funds and fiscal crises: Rainy day funds and the 1990–1991 recession revisited&quot;,&quot;author&quot;:[{&quot;family&quot;:&quot;Douglas&quot;,&quot;given&quot;:&quot;James W.&quot;,&quot;parse-names&quot;:false,&quot;dropping-particle&quot;:&quot;&quot;,&quot;non-dropping-particle&quot;:&quot;&quot;},{&quot;family&quot;:&quot;Gaddie&quot;,&quot;given&quot;:&quot;Ronald Keith&quot;,&quot;parse-names&quot;:false,&quot;dropping-particle&quot;:&quot;&quot;,&quot;non-dropping-particle&quot;:&quot;&quot;}],&quot;container-title&quot;:&quot;Public Budgeting and Finance&quot;,&quot;DOI&quot;:&quot;10.1111/1540-5850.00063&quot;,&quot;ISSN&quot;:&quot;15405850&quot;,&quot;issued&quot;:{&quot;date-parts&quot;:[[2002]]},&quot;abstract&quot;:&quot;The recession of the early 1980s prompted many states to establish budget stabilization (rainy day) funds. Initial examinations of rainy day funds find a limited impact by the funds in alleviating fiscal stress. In this article, we propose an enhanced model of rainy day fund impact. Using data from 48 states for the 1990–1991 recession, our analysis indicates that the presence of a number of structural factors and the maintenance of generally large balances in other funds entering recession helps to alleviate fiscal stress when a state’s economy is in recession. © 2002 Blackwell Publishers Inc.&quot;,&quot;issue&quot;:&quot;1&quot;,&quot;volume&quot;:&quot;22&quot;,&quot;container-title-short&quot;:&quot;&quot;}},{&quot;id&quot;:&quot;53437183-c745-3704-b48b-8d3974e73f59&quot;,&quot;isTemporary&quot;:false,&quot;itemData&quot;:{&quot;type&quot;:&quot;article-journal&quot;,&quot;id&quot;:&quot;53437183-c745-3704-b48b-8d3974e73f59&quot;,&quot;title&quot;:&quot;The Impact of State Rainy Day Funds in Easing State Fiscal Crises During the 1990-1991 Recession&quot;,&quot;author&quot;:[{&quot;family&quot;:&quot;Sobel&quot;,&quot;given&quot;:&quot;Russell S.&quot;,&quot;parse-names&quot;:false,&quot;dropping-particle&quot;:&quot;&quot;,&quot;non-dropping-particle&quot;:&quot;&quot;},{&quot;family&quot;:&quot;Holcombe&quot;,&quot;given&quot;:&quot;Randall G.&quot;,&quot;parse-names&quot;:false,&quot;dropping-particle&quot;:&quot;&quot;,&quot;non-dropping-particle&quot;:&quot;&quot;}],&quot;container-title&quot;:&quot;Public Budgeting &lt;html_ent glyph=\&quot;@amp;\&quot; ascii=\&quot;&amp;amp;\&quot;/&gt; Finance&quot;,&quot;accessed&quot;:{&quot;date-parts&quot;:[[2021,3,10]]},&quot;DOI&quot;:&quot;10.1111/1540-5850.01075&quot;,&quot;ISSN&quot;:&quot;0275-1100&quot;,&quot;URL&quot;:&quot;http://doi.wiley.com/10.1111/1540-5850.01075&quot;,&quot;issued&quot;:{&quot;date-parts&quot;:[[1996,9,1]]},&quot;page&quot;:&quot;28-48&quot;,&quot;abstract&quot;:&quot;This article examines the degree to which rainy day funds eased the fiscal stress experienced by states during the 1990–1991 recession. In the first section, a state fiscal policy of neutrality over the business cycle is used as a benchmark for evaluating the use of budget stabilization funds. The next section looks at data from the last three recessions to see how recessions have affected the taxes and expenditures of states. A measure of degree of fiscal stress experienced by each state during the 1990–1991 recession is then calculated. These results are used to empirically investigate the impact of explicit state rainy day funds in easing state fiscal stress. Next, the article examines whether states that had rainy day funds in 1989 were more likely to have less fiscal stress, and whether the specific deposit and withdrawal provisions of these funds made a difference. © 1996 Blackwell Publishing Ltd.&quot;,&quot;publisher&quot;:&quot;John Wiley &amp; Sons, Ltd&quot;,&quot;issue&quot;:&quot;3&quot;,&quot;volume&quot;:&quot;16&quot;,&quot;container-title-short&quot;:&quot;&quot;}}]},{&quot;properties&quot;:{&quot;noteIndex&quot;:0},&quot;citationID&quot;:&quot;MENDELEY_CITATION_45429885-50aa-40e4-ab63-72c6513ff074&quot;,&quot;isEdited&quot;:false,&quot;manualOverride&quot;:{&quot;isManuallyOverriden&quot;:false,&quot;manualOverrideText&quot;:&quot;&quot;,&quot;citeprocText&quot;:&quot;(Rodríguez-Tejedo, 2012; Wagner, 2004)&quot;,&quot;isManuallyOverridden&quot;:false},&quot;citationTag&quot;:&quot;MENDELEY_CITATION_v3_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&quot;,&quot;citationItems&quot;:[{&quot;id&quot;:&quot;37dd9e26-8555-3300-8171-565b4c4d785e&quot;,&quot;isTemporary&quot;:false,&quot;itemData&quot;:{&quot;type&quot;:&quot;article&quot;,&quot;id&quot;:&quot;37dd9e26-8555-3300-8171-565b4c4d785e&quot;,&quot;title&quot;:&quot;The Determinants of the Structure of Rainy Day Funds&quot;,&quot;author&quot;:[{&quot;family&quot;:&quot;Rodríguez-Tejedo&quot;,&quot;given&quot;:&quot;Isabel&quot;,&quot;parse-names&quot;:false,&quot;dropping-particle&quot;:&quot;&quot;,&quot;non-dropping-particle&quot;:&quot;&quot;}],&quot;container-title&quot;:&quot;Public Administration Review&quot;,&quot;DOI&quot;:&quot;10.1111/j.1540-6210.2011.02523.x&quot;,&quot;ISSN&quot;:&quot;00333352&quot;,&quot;issued&quot;:{&quot;date-parts&quot;:[[2012]]},&quot;abstract&quot;:&quot;This article investigates the factors that determine the configuration of budget stabilization funds, also known as rainy day funds, along their two most important dimensions: deposit and withdrawal requirements. These funds are created to accumulate savings in order to reduce the impact of adverse fiscal conditions during downturns. The effectiveness of such funds depends greatly on their institutional structure, and yet most states choose configurations that compromise their efficacy. Using multinomial discrete techniques, and introducing the ordered nature of the requirements in the analysis, the results of this study indicate that political and institutional factors such as the size of the house of the legislature and some strict institutions are associated with weak budget stabilization funds, while economic factors such as the volatility of state tax revenues are associated with stricter funds. © 2012 The American Society for Public Administration.&quot;,&quot;issue&quot;:&quot;3&quot;,&quot;volume&quot;:&quot;72&quot;,&quot;container-title-short&quot;:&quot;Public Adm Rev&quot;}},{&quot;id&quot;:&quot;0e34da6e-0c96-35f2-b5fa-434e845e5e37&quot;,&quot;isTemporary&quot;:false,&quot;itemData&quot;:{&quot;type&quot;:&quot;report&quot;,&quot;id&quot;:&quot;0e34da6e-0c96-35f2-b5fa-434e845e5e37&quot;,&quot;title&quot;:&quot;The Bond Market and Fiscal Institutions: Have Budget Stabilization Funds Reduced State Borrowing&quot;,&quot;author&quot;:[{&quot;family&quot;:&quot;Wagner&quot;,&quot;given&quot;:&quot;Gary A&quot;,&quot;parse-names&quot;:false,&quot;dropping-particle&quot;:&quot;&quot;,&quot;non-dropping-particle&quot;:&quot;&quot;}],&quot;container-title&quot;:&quot;National Tax Journal&quot;,&quot;issued&quot;:{&quot;date-parts&quot;:[[2004]]},&quot;volume&quot;:&quot;57&quot;,&quot;container-title-short&quot;:&quot;Natl Tax J&quot;}}]},{&quot;citationID&quot;:&quot;MENDELEY_CITATION_b2a70813-3b44-4fa0-922d-bef5ce256a12&quot;,&quot;properties&quot;:{&quot;noteIndex&quot;:0},&quot;isEdited&quot;:false,&quot;manualOverride&quot;:{&quot;isManuallyOverridden&quot;:false,&quot;citeprocText&quot;:&quot;(Xu, 2017a)&quot;,&quot;manualOverrideText&quot;:&quot;&quot;},&quot;citationTag&quot;:&quot;MENDELEY_CITATION_v3_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&quot;,&quot;citationItems&quot;:[{&quot;id&quot;:&quot;3d58cf4a-b65f-3a2d-ad9b-835d29a31b48&quot;,&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isTemporary&quot;:false}]},{&quot;properties&quot;:{&quot;noteIndex&quot;:0},&quot;citationID&quot;:&quot;MENDELEY_CITATION_6afaf6b0-852c-40ee-9ca0-1bd5ee63b395&quot;,&quot;isEdited&quot;:false,&quot;manualOverride&quot;:{&quot;isManuallyOverriden&quot;:false,&quot;manualOverrideText&quot;:&quot;(Hou, 2004, p. 40)&quot;,&quot;citeprocText&quot;:&quot;(Hou, 2004)&quot;,&quot;isManuallyOverridden&quot;:true},&quot;citationTag&quot;:&quot;MENDELEY_CITATION_v3_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&quot;,&quot;citationItems&quot;:[{&quot;id&quot;:&quot;ec79977e-4c62-3d3a-b574-c74f0d52be70&quot;,&quot;isTemporary&quot;:false,&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properties&quot;:{&quot;noteIndex&quot;:0},&quot;citationID&quot;:&quot;MENDELEY_CITATION_187f081c-17e2-4939-b40f-e301d9aa261c&quot;,&quot;isEdited&quot;:false,&quot;manualOverride&quot;:{&quot;isManuallyOverridden&quot;:false,&quot;manualOverrideText&quot;:&quot;&quot;,&quot;citeprocText&quot;:&quot;(Douglas &amp;#38; Gaddie, 2002; Gold, 1991; Hou, 2003; Sobel &amp;#38; Holcombe, 1996)&quot;},&quot;citationTag&quot;:&quot;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&quot;,&quot;citationItems&quot;:[{&quot;id&quot;:&quot;2dc7d27b-e79a-3d1f-916b-22b94f79b3ff&quot;,&quot;isTemporary&quot;:false,&quot;itemData&quot;:{&quot;type&quot;:&quot;article-journal&quot;,&quot;id&quot;:&quot;2dc7d27b-e79a-3d1f-916b-22b94f79b3ff&quot;,&quot;title&quot;:&quot;What Stabilizes State General Fund Expenditures in Downturn Years—Budget Stabilization Fund or General Fund Unreserved Undesignated Balance?&quot;,&quot;author&quot;:[{&quot;family&quot;:&quot;Hou&quot;,&quot;given&quot;:&quot;Yilin&quot;,&quot;parse-names&quot;:false,&quot;dropping-particle&quot;:&quot;&quot;,&quot;non-dropping-particle&quot;:&quot;&quot;}],&quot;container-title&quot;:&quot;Public Budgeting &amp; Finance&quot;,&quot;accessed&quot;:{&quot;date-parts&quot;:[[2022,1,30]]},&quot;DOI&quot;:&quot;10.1111/1540-5850.2303004&quot;,&quot;ISSN&quot;:&quot;1540-5850&quot;,&quot;URL&quot;:&quot;https://onlinelibrary.wiley.com/doi/full/10.1111/1540-5850.2303004&quot;,&quot;issued&quot;:{&quot;date-parts&quot;:[[2003,9,1]]},&quot;page&quot;:&quot;64-91&quot;,&quot;abstract&quot;:&quot;This article strictly defines the budget stabilization fund (BSF) as a counter-cyclical reserve, and with a panel data set examines the effects of BSF and general fund unreserved undesignated balances (UUB) on stabilizing state general fund expenditure during downturns. The article finds that BSFs bolster spending in lean years: each percentage point increase of BSF balance as a percent of general fund expenditure can minimize negative expenditure gap by a quarter percentage point. But the article does not find evidence that UUB is a counter-cyclical fiscal tool, indicating that wide adoption of BSF may have changed the nature and use of UUB. © 2017 Wiley. All rights reserved.&quot;,&quot;publisher&quot;:&quot;John Wiley &amp; Sons, Ltd&quot;,&quot;issue&quot;:&quot;3&quot;,&quot;volume&quot;:&quot;23&quot;,&quot;container-title-short&quot;:&quot;&quot;}},{&quot;id&quot;:&quot;8783f1d5-e3d2-36fd-8045-7943e249139c&quot;,&quot;itemData&quot;:{&quot;type&quot;:&quot;article-journal&quot;,&quot;id&quot;:&quot;8783f1d5-e3d2-36fd-8045-7943e249139c&quot;,&quot;title&quot;:&quot;State rainy day funds and fiscal crises: Rainy day funds and the 1990–1991 recession revisited&quot;,&quot;author&quot;:[{&quot;family&quot;:&quot;Douglas&quot;,&quot;given&quot;:&quot;James W.&quot;,&quot;parse-names&quot;:false,&quot;dropping-particle&quot;:&quot;&quot;,&quot;non-dropping-particle&quot;:&quot;&quot;},{&quot;family&quot;:&quot;Gaddie&quot;,&quot;given&quot;:&quot;Ronald Keith&quot;,&quot;parse-names&quot;:false,&quot;dropping-particle&quot;:&quot;&quot;,&quot;non-dropping-particle&quot;:&quot;&quot;}],&quot;container-title&quot;:&quot;Public Budgeting and Finance&quot;,&quot;DOI&quot;:&quot;10.1111/1540-5850.00063&quot;,&quot;ISSN&quot;:&quot;15405850&quot;,&quot;issued&quot;:{&quot;date-parts&quot;:[[2002]]},&quot;abstract&quot;:&quot;The recession of the early 1980s prompted many states to establish budget stabilization (rainy day) funds. Initial examinations of rainy day funds find a limited impact by the funds in alleviating fiscal stress. In this article, we propose an enhanced model of rainy day fund impact. Using data from 48 states for the 1990–1991 recession, our analysis indicates that the presence of a number of structural factors and the maintenance of generally large balances in other funds entering recession helps to alleviate fiscal stress when a state’s economy is in recession. © 2002 Blackwell Publishers Inc.&quot;,&quot;issue&quot;:&quot;1&quot;,&quot;volume&quot;:&quot;22&quot;,&quot;container-title-short&quot;:&quot;&quot;},&quot;isTemporary&quot;:false},{&quot;id&quot;:&quot;327da29a-6b57-3e48-9be2-d0348b5718aa&quot;,&quot;itemData&quot;:{&quot;type&quot;:&quot;article-journal&quot;,&quot;id&quot;:&quot;327da29a-6b57-3e48-9be2-d0348b5718aa&quot;,&quot;title&quot;:&quot;Changes in state government finances in the 1980s&quot;,&quot;author&quot;:[{&quot;family&quot;:&quot;Gold&quot;,&quot;given&quot;:&quot;Steven D.&quot;,&quot;parse-names&quot;:false,&quot;dropping-particle&quot;:&quot;&quot;,&quot;non-dropping-particle&quot;:&quot;&quot;}],&quot;container-title&quot;:&quot;National Tax Journal&quot;,&quot;DOI&quot;:&quot;10.1086/ntj41788874&quot;,&quot;ISSN&quot;:&quot;0028-0283&quot;,&quot;issued&quot;:{&quot;date-parts&quot;:[[1991]]},&quot;abstract&quot;:&quot;This article examines changes in state revenue and spending in the 1980s , with particular attention to the period from 1986 to 1989 , and discusses likely developments in the 1990s. It incorporates four approaches that can help to improve the policy relevance of research about state-local finances : (1) disaggregating trends in spending , revenue , and different categories of government to a greater degree than usual ; (2) employing fiscal data from sources that are often overlooked, particularly sources other than the U.S. Department of Commerce; (3) analyzing both discrete policy actions and changes that occur automatically because of the dynamics of the tax or spending system; and (4) being sensitive to shifts in trends over time.&quot;,&quot;issue&quot;:&quot;1&quot;,&quot;volume&quot;:&quot;44&quot;,&quot;container-title-short&quot;:&quot;Natl Tax J&quot;},&quot;isTemporary&quot;:false},{&quot;id&quot;:&quot;53437183-c745-3704-b48b-8d3974e73f59&quot;,&quot;itemData&quot;:{&quot;type&quot;:&quot;article-journal&quot;,&quot;id&quot;:&quot;53437183-c745-3704-b48b-8d3974e73f59&quot;,&quot;title&quot;:&quot;The Impact of State Rainy Day Funds in Easing State Fiscal Crises During the 1990-1991 Recession&quot;,&quot;author&quot;:[{&quot;family&quot;:&quot;Sobel&quot;,&quot;given&quot;:&quot;Russell S.&quot;,&quot;parse-names&quot;:false,&quot;dropping-particle&quot;:&quot;&quot;,&quot;non-dropping-particle&quot;:&quot;&quot;},{&quot;family&quot;:&quot;Holcombe&quot;,&quot;given&quot;:&quot;Randall G.&quot;,&quot;parse-names&quot;:false,&quot;dropping-particle&quot;:&quot;&quot;,&quot;non-dropping-particle&quot;:&quot;&quot;}],&quot;container-title&quot;:&quot;Public Budgeting &lt;html_ent glyph=\&quot;@amp;\&quot; ascii=\&quot;&amp;amp;\&quot;/&gt; Finance&quot;,&quot;accessed&quot;:{&quot;date-parts&quot;:[[2021,3,11]]},&quot;DOI&quot;:&quot;10.1111/1540-5850.01075&quot;,&quot;ISSN&quot;:&quot;0275-1100&quot;,&quot;URL&quot;:&quot;http://doi.wiley.com/10.1111/1540-5850.01075&quot;,&quot;issued&quot;:{&quot;date-parts&quot;:[[1996,9,1]]},&quot;page&quot;:&quot;28-48&quot;,&quot;abstract&quot;:&quot;This article examines the degree to which rainy day funds eased the fiscal stress experienced by states during the 1990–1991 recession. In the first section, a state fiscal policy of neutrality over the business cycle is used as a benchmark for evaluating the use of budget stabilization funds. The next section looks at data from the last three recessions to see how recessions have affected the taxes and expenditures of states. A measure of degree of fiscal stress experienced by each state during the 1990–1991 recession is then calculated. These results are used to empirically investigate the impact of explicit state rainy day funds in easing state fiscal stress. Next, the article examines whether states that had rainy day funds in 1989 were more likely to have less fiscal stress, and whether the specific deposit and withdrawal provisions of these funds made a difference. © 1996 Blackwell Publishing Ltd.&quot;,&quot;publisher&quot;:&quot;John Wiley &amp; Sons, Ltd&quot;,&quot;issue&quot;:&quot;3&quot;,&quot;volume&quot;:&quot;16&quot;,&quot;container-title-short&quot;:&quot;&quot;},&quot;isTemporary&quot;:false}]},{&quot;citationID&quot;:&quot;MENDELEY_CITATION_0aee5c1a-9fb6-4df9-a2e6-02f511d29dfc&quot;,&quot;properties&quot;:{&quot;noteIndex&quot;:0},&quot;isEdited&quot;:false,&quot;manualOverride&quot;:{&quot;isManuallyOverridden&quot;:false,&quot;citeprocText&quot;:&quot;(Hou, 2004)&quot;,&quot;manualOverrideText&quot;:&quot;&quot;},&quot;citationTag&quot;:&quot;MENDELEY_CITATION_v3_eyJjaXRhdGlvbklEIjoiTUVOREVMRVlfQ0lUQVRJT05fMGFlZTVjMWEtOWZiNi00ZGY5LWEyZTYtMDJmNTExZDI5ZGZjIiwicHJvcGVydGllcyI6eyJub3RlSW5kZXgiOjB9LCJpc0VkaXRlZCI6ZmFsc2UsIm1hbnVhbE92ZXJyaWRlIjp7ImlzTWFudWFsbHlPdmVycmlkZGVuIjpmYWxzZSwiY2l0ZXByb2NUZXh0IjoiKEhvdS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XX0=&quot;,&quot;citationItems&quot;:[{&quot;id&quot;:&quot;ec79977e-4c62-3d3a-b574-c74f0d52be70&quot;,&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isTemporary&quot;:false}]},{&quot;properties&quot;:{&quot;noteIndex&quot;:0},&quot;citationID&quot;:&quot;MENDELEY_CITATION_b1cebe1a-2240-477f-8371-8a33a6498de8&quot;,&quot;isEdited&quot;:false,&quot;manualOverride&quot;:{&quot;isManuallyOverridden&quot;:false,&quot;manualOverrideText&quot;:&quot;&quot;,&quot;citeprocText&quot;:&quot;(Wagner &amp;#38; Sobel, 2006)&quot;},&quot;citationTag&quot;:&quot;MENDELEY_CITATION_v3_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&quot;,&quot;citationItems&quot;:[{&quot;id&quot;:&quot;e90bfcb0-e7a7-3b84-927a-ef64d02c77ce&quot;,&quot;isTemporary&quot;:false,&quot;itemData&quot;:{&quot;type&quot;:&quot;article-journal&quot;,&quot;id&quot;:&quot;e90bfcb0-e7a7-3b84-927a-ef64d02c77ce&quot;,&quot;title&quot;:&quot;State Budget Stabilization Fund Adoption: Preparing for the Next Recession or Circumventing Fiscal Constraints?&quot;,&quot;author&quot;:[{&quot;family&quot;:&quot;Wagner&quot;,&quot;given&quot;:&quot;Gary A&quot;,&quot;parse-names&quot;:false,&quot;dropping-particle&quot;:&quot;&quot;,&quot;non-dropping-particle&quot;:&quot;&quot;},{&quot;family&quot;:&quot;Sobel&quot;,&quot;given&quot;:&quot;Russell S&quot;,&quot;parse-names&quot;:false,&quot;dropping-particle&quot;:&quot;&quot;,&quot;non-dropping-particle&quot;:&quot;&quot;}],&quot;container-title&quot;:&quot;Choice&quot;,&quot;DOI&quot;:&quot;10.1007/s&quot;,&quot;URL&quot;:&quot;https://www.jstor.org/stable/30026581&quot;,&quot;issued&quot;:{&quot;date-parts&quot;:[[2006]]},&quot;page&quot;:&quot;177-199&quot;,&quot;issue&quot;:&quot;1&quot;,&quot;volume&quot;:&quot;126&quot;,&quot;container-title-short&quot;:&quot;&quot;}}]},{&quot;properties&quot;:{&quot;noteIndex&quot;:0},&quot;citationID&quot;:&quot;MENDELEY_CITATION_53c64016-c303-42ed-90d5-fca90a302029&quot;,&quot;isEdited&quot;:false,&quot;manualOverride&quot;:{&quot;isManuallyOverridden&quot;:false,&quot;manualOverrideText&quot;:&quot;&quot;,&quot;citeprocText&quot;:&quot;(Hou, 2003)&quot;},&quot;citationTag&quot;:&quot;MENDELEY_CITATION_v3_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&quot;,&quot;citationItems&quot;:[{&quot;id&quot;:&quot;2dc7d27b-e79a-3d1f-916b-22b94f79b3ff&quot;,&quot;isTemporary&quot;:false,&quot;itemData&quot;:{&quot;type&quot;:&quot;article-journal&quot;,&quot;id&quot;:&quot;2dc7d27b-e79a-3d1f-916b-22b94f79b3ff&quot;,&quot;title&quot;:&quot;What Stabilizes State General Fund Expenditures in Downturn Years—Budget Stabilization Fund or General Fund Unreserved Undesignated Balance?&quot;,&quot;author&quot;:[{&quot;family&quot;:&quot;Hou&quot;,&quot;given&quot;:&quot;Yilin&quot;,&quot;parse-names&quot;:false,&quot;dropping-particle&quot;:&quot;&quot;,&quot;non-dropping-particle&quot;:&quot;&quot;}],&quot;container-title&quot;:&quot;Public Budgeting &amp; Finance&quot;,&quot;accessed&quot;:{&quot;date-parts&quot;:[[2022,1,30]]},&quot;DOI&quot;:&quot;10.1111/1540-5850.2303004&quot;,&quot;ISSN&quot;:&quot;1540-5850&quot;,&quot;URL&quot;:&quot;https://onlinelibrary.wiley.com/doi/full/10.1111/1540-5850.2303004&quot;,&quot;issued&quot;:{&quot;date-parts&quot;:[[2003,9,1]]},&quot;page&quot;:&quot;64-91&quot;,&quot;abstract&quot;:&quot;This article strictly defines the budget stabilization fund (BSF) as a counter-cyclical reserve, and with a panel data set examines the effects of BSF and general fund unreserved undesignated balances (UUB) on stabilizing state general fund expenditure during downturns. The article finds that BSFs bolster spending in lean years: each percentage point increase of BSF balance as a percent of general fund expenditure can minimize negative expenditure gap by a quarter percentage point. But the article does not find evidence that UUB is a counter-cyclical fiscal tool, indicating that wide adoption of BSF may have changed the nature and use of UUB. © 2017 Wiley. All rights reserved.&quot;,&quot;publisher&quot;:&quot;John Wiley &amp; Sons, Ltd&quot;,&quot;issue&quot;:&quot;3&quot;,&quot;volume&quot;:&quot;23&quot;,&quot;container-title-short&quot;:&quot;&quot;}}]},{&quot;citationID&quot;:&quot;MENDELEY_CITATION_935afcb7-93cf-452c-b070-45808d7faac1&quot;,&quot;properties&quot;:{&quot;noteIndex&quot;:0},&quot;isEdited&quot;:false,&quot;manualOverride&quot;:{&quot;isManuallyOverridden&quot;:false,&quot;citeprocText&quot;:&quot;(Rodríguez-Tejedo, 2012)&quot;,&quot;manualOverrideText&quot;:&quot;&quot;},&quot;citationTag&quot;:&quot;MENDELEY_CITATION_v3_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&quot;,&quot;citationItems&quot;:[{&quot;id&quot;:&quot;37dd9e26-8555-3300-8171-565b4c4d785e&quot;,&quot;itemData&quot;:{&quot;type&quot;:&quot;article&quot;,&quot;id&quot;:&quot;37dd9e26-8555-3300-8171-565b4c4d785e&quot;,&quot;title&quot;:&quot;The Determinants of the Structure of Rainy Day Funds&quot;,&quot;author&quot;:[{&quot;family&quot;:&quot;Rodríguez-Tejedo&quot;,&quot;given&quot;:&quot;Isabel&quot;,&quot;parse-names&quot;:false,&quot;dropping-particle&quot;:&quot;&quot;,&quot;non-dropping-particle&quot;:&quot;&quot;}],&quot;container-title&quot;:&quot;Public Administration Review&quot;,&quot;container-title-short&quot;:&quot;Public Adm Rev&quot;,&quot;DOI&quot;:&quot;10.1111/j.1540-6210.2011.02523.x&quot;,&quot;ISSN&quot;:&quot;00333352&quot;,&quot;issued&quot;:{&quot;date-parts&quot;:[[2012]]},&quot;abstract&quot;:&quot;This article investigates the factors that determine the configuration of budget stabilization funds, also known as rainy day funds, along their two most important dimensions: deposit and withdrawal requirements. These funds are created to accumulate savings in order to reduce the impact of adverse fiscal conditions during downturns. The effectiveness of such funds depends greatly on their institutional structure, and yet most states choose configurations that compromise their efficacy. Using multinomial discrete techniques, and introducing the ordered nature of the requirements in the analysis, the results of this study indicate that political and institutional factors such as the size of the house of the legislature and some strict institutions are associated with weak budget stabilization funds, while economic factors such as the volatility of state tax revenues are associated with stricter funds. © 2012 The American Society for Public Administration.&quot;,&quot;issue&quot;:&quot;3&quot;,&quot;volume&quot;:&quot;72&quot;},&quot;isTemporary&quot;:false}]},{&quot;properties&quot;:{&quot;noteIndex&quot;:0},&quot;citationID&quot;:&quot;MENDELEY_CITATION_b2b2fe05-17e9-4093-bb10-b741ce44ba41&quot;,&quot;isEdited&quot;:false,&quot;manualOverride&quot;:{&quot;isManuallyOverriden&quot;:false,&quot;manualOverrideText&quot;:&quot;&quot;,&quot;citeprocText&quot;:&quot;(Wagner, 2004)&quot;,&quot;isManuallyOverridden&quot;:false},&quot;citationTag&quot;:&quot;MENDELEY_CITATION_v3_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&quot;,&quot;citationItems&quot;:[{&quot;id&quot;:&quot;0e34da6e-0c96-35f2-b5fa-434e845e5e37&quot;,&quot;isTemporary&quot;:false,&quot;itemData&quot;:{&quot;type&quot;:&quot;report&quot;,&quot;id&quot;:&quot;0e34da6e-0c96-35f2-b5fa-434e845e5e37&quot;,&quot;title&quot;:&quot;The Bond Market and Fiscal Institutions: Have Budget Stabilization Funds Reduced State Borrowing&quot;,&quot;author&quot;:[{&quot;family&quot;:&quot;Wagner&quot;,&quot;given&quot;:&quot;Gary A&quot;,&quot;parse-names&quot;:false,&quot;dropping-particle&quot;:&quot;&quot;,&quot;non-dropping-particle&quot;:&quot;&quot;}],&quot;container-title&quot;:&quot;National Tax Journal&quot;,&quot;issued&quot;:{&quot;date-parts&quot;:[[2004]]},&quot;volume&quot;:&quot;57&quot;,&quot;container-title-short&quot;:&quot;Natl Tax J&quot;}}]},{&quot;citationID&quot;:&quot;MENDELEY_CITATION_5e868420-90ea-4d92-9264-593a79ea4b13&quot;,&quot;properties&quot;:{&quot;noteIndex&quot;:0},&quot;isEdited&quot;:false,&quot;manualOverride&quot;:{&quot;isManuallyOverridden&quot;:true,&quot;citeprocText&quot;:&quot;(Gonzalez &amp;#38; Paqueo, 2003)&quot;,&quot;manualOverrideText&quot;:&quot;Gonzalez &amp; Paqueo (2003)&quot;},&quot;citationTag&quot;:&quot;MENDELEY_CITATION_v3_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&quot;,&quot;citationItems&quot;:[{&quot;id&quot;:&quot;e0810568-16c0-3de0-b9b6-5f0e04d005f1&quot;,&quot;itemData&quot;:{&quot;type&quot;:&quot;report&quot;,&quot;id&quot;:&quot;e0810568-16c0-3de0-b9b6-5f0e04d005f1&quot;,&quot;title&quot;:&quot;Social sector expenditures and rainy-day funds&quot;,&quot;author&quot;:[{&quot;family&quot;:&quot;Gonzalez&quot;,&quot;given&quot;:&quot;Christian Y&quot;,&quot;parse-names&quot;:false,&quot;dropping-particle&quot;:&quot;&quot;,&quot;non-dropping-particle&quot;:&quot;&quot;},{&quot;family&quot;:&quot;Paqueo&quot;,&quot;given&quot;:&quot;Vincent&quot;,&quot;parse-names&quot;:false,&quot;dropping-particle&quot;:&quot;&quot;,&quot;non-dropping-particle&quot;:&quot;&quot;}],&quot;accessed&quot;:{&quot;date-parts&quot;:[[2024,6,8]]},&quot;URL&quot;:&quot;https://ssrn.com/abstract=636551&quot;,&quot;issued&quot;:{&quot;date-parts&quot;:[[2003,9]]},&quot;container-title-short&quot;:&quot;&quot;},&quot;isTemporary&quot;:false}]},{&quot;citationID&quot;:&quot;MENDELEY_CITATION_4caad833-72d0-4158-8504-8f589a3a0c39&quot;,&quot;properties&quot;:{&quot;noteIndex&quot;:0},&quot;isEdited&quot;:false,&quot;manualOverride&quot;:{&quot;isManuallyOverridden&quot;:true,&quot;citeprocText&quot;:&quot;(The Volcker Alliance, 2021)&quot;,&quot;manualOverrideText&quot;:&quot;The Volcker Alliance (2021)&quot;},&quot;citationTag&quot;:&quot;MENDELEY_CITATION_v3_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&quot;,&quot;citationItems&quot;:[{&quot;id&quot;:&quot;8320eb60-391a-3d98-a033-bd32209c303a&quot;,&quot;itemData&quot;:{&quot;type&quot;:&quot;report&quot;,&quot;id&quot;:&quot;8320eb60-391a-3d98-a033-bd32209c303a&quot;,&quot;title&quot;:&quot;Rainy Day Fund Strategies - A Call to Action&quot;,&quot;author&quot;:[{&quot;family&quot;:&quot;The Volcker Alliance&quot;,&quot;given&quot;:&quot;&quot;,&quot;parse-names&quot;:false,&quot;dropping-particle&quot;:&quot;&quot;,&quot;non-dropping-particle&quot;:&quot;&quot;}],&quot;accessed&quot;:{&quot;date-parts&quot;:[[2023,9,22]]},&quot;URL&quot;:&quot;https://www.volckeralliance.org/resources/rainy-day-fund-strategies-call-action-0&quot;,&quot;issued&quot;:{&quot;date-parts&quot;:[[2021,11,22]]},&quot;container-title-short&quot;:&quot;&quot;},&quot;isTemporary&quot;:false}]},{&quot;citationID&quot;:&quot;MENDELEY_CITATION_a1b842c3-f0b0-48c1-b684-eaf7d9f451c4&quot;,&quot;properties&quot;:{&quot;noteIndex&quot;:0},&quot;isEdited&quot;:false,&quot;manualOverride&quot;:{&quot;isManuallyOverridden&quot;:true,&quot;citeprocText&quot;:&quot;(Buerger et al., 2022)&quot;,&quot;manualOverrideText&quot;:&quot;Buerger et al. (2022)&quot;},&quot;citationTag&quot;:&quot;MENDELEY_CITATION_v3_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&quot;,&quot;citationItems&quot;:[{&quot;id&quot;:&quot;f4bc279e-6eaa-3793-8623-79621952393b&quot;,&quot;itemData&quot;:{&quot;type&quot;:&quot;article-journal&quot;,&quot;id&quot;:&quot;f4bc279e-6eaa-3793-8623-79621952393b&quot;,&quot;title&quot;:&quot;State fiscal reserves: Supplementation and substitution over economic boom and bust years&quot;,&quot;author&quot;:[{&quot;family&quot;:&quot;Buerger&quot;,&quot;given&quot;:&quot;Christian&quot;,&quot;parse-names&quot;:false,&quot;dropping-particle&quot;:&quot;&quot;,&quot;non-dropping-particle&quot;:&quot;&quot;},{&quot;family&quot;:&quot;Reitano&quot;,&quot;given&quot;:&quot;Vincent&quot;,&quot;parse-names&quot;:false,&quot;dropping-particle&quot;:&quot;&quot;,&quot;non-dropping-particle&quot;:&quot;&quot;},{&quot;family&quot;:&quot;Sorrentino&quot;,&quot;given&quot;:&quot;Ciana&quot;,&quot;parse-names&quot;:false,&quot;dropping-particle&quot;:&quot;&quot;,&quot;non-dropping-particle&quot;:&quot;&quot;}],&quot;container-title&quot;:&quot;Public Budgeting and Finance&quot;,&quot;DOI&quot;:&quot;10.1111/pbaf.12311&quot;,&quot;ISSN&quot;:&quot;15405850&quot;,&quot;issued&quot;:{&quot;date-parts&quot;:[[2022]]},&quot;abstract&quot;:&quot;During the Great Recession and the start of the COVID-19 pandemic, practitioners and scholars alike looked to fiscal reserves as a means to overcome fiscal pressure on state budgets. This study builds on the literature exploring the association between budget stabilization funds and unassigned and unreserved balances (UUBs) during economic booms and busts and under different institutional settings. We find that BSFs supplement UUBs during economic booms and substitute for them during economic busts. Institutional rules strongly influence the relationship between both saving instruments.&quot;,&quot;issue&quot;:&quot;1&quot;,&quot;volume&quot;:&quot;42&quot;,&quot;container-title-short&quot;:&quot;&quot;},&quot;isTemporary&quot;:false}]},{&quot;properties&quot;:{&quot;noteIndex&quot;:0},&quot;citationID&quot;:&quot;MENDELEY_CITATION_566cef3b-54fe-4c48-9ee0-9a68806a3942&quot;,&quot;isEdited&quot;:false,&quot;manualOverride&quot;:{&quot;isManuallyOverriden&quot;:false,&quot;manualOverrideText&quot;:&quot;&quot;,&quot;citeprocText&quot;:&quot;(McNichol, 2014)&quot;,&quot;isManuallyOverridden&quot;:false},&quot;citationTag&quot;:&quot;MENDELEY_CITATION_v3_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&quot;,&quot;citationItems&quot;:[{&quot;id&quot;:&quot;181d3eb2-61d1-32cc-bb98-f38895f96db4&quot;,&quot;isTemporary&quot;:false,&quot;itemData&quot;:{&quot;type&quot;:&quot;webpage&quot;,&quot;id&quot;:&quot;181d3eb2-61d1-32cc-bb98-f38895f96db4&quot;,&quot;title&quot;:&quot;When and How States Should Strengthen Their Rainy Day Funds&quot;,&quot;author&quot;:[{&quot;family&quot;:&quot;McNichol&quot;,&quot;given&quot;:&quot;Elizabeth C.&quot;,&quot;parse-names&quot;:false,&quot;dropping-particle&quot;:&quot;&quot;,&quot;non-dropping-particle&quot;:&quot;&quot;}],&quot;container-title&quot;:&quot;Center on Budget and Policy Priorities&quot;,&quot;accessed&quot;:{&quot;date-parts&quot;:[[2021,6,12]]},&quot;URL&quot;:&quot;https://www.cbpp.org/research/state-budget-and-tax/when-and-how-states-should-strengthen-their-rainy-day-funds&quot;,&quot;issued&quot;:{&quot;date-parts&quot;:[[2014]]},&quot;container-title-short&quot;:&quot;&quot;}}]},{&quot;citationID&quot;:&quot;MENDELEY_CITATION_ddd9d15e-163f-474f-aba3-538da9df29da&quot;,&quot;properties&quot;:{&quot;noteIndex&quot;:0},&quot;isEdited&quot;:false,&quot;manualOverride&quot;:{&quot;isManuallyOverridden&quot;:false,&quot;citeprocText&quot;:&quot;(The Volcker Alliance, 2021)&quot;,&quot;manualOverrideText&quot;:&quot;&quot;},&quot;citationTag&quot;:&quot;MENDELEY_CITATION_v3_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&quot;,&quot;citationItems&quot;:[{&quot;id&quot;:&quot;8320eb60-391a-3d98-a033-bd32209c303a&quot;,&quot;itemData&quot;:{&quot;type&quot;:&quot;report&quot;,&quot;id&quot;:&quot;8320eb60-391a-3d98-a033-bd32209c303a&quot;,&quot;title&quot;:&quot;Rainy Day Fund Strategies - A Call to Action&quot;,&quot;author&quot;:[{&quot;family&quot;:&quot;The Volcker Alliance&quot;,&quot;given&quot;:&quot;&quot;,&quot;parse-names&quot;:false,&quot;dropping-particle&quot;:&quot;&quot;,&quot;non-dropping-particle&quot;:&quot;&quot;}],&quot;accessed&quot;:{&quot;date-parts&quot;:[[2023,9,21]]},&quot;URL&quot;:&quot;https://www.volckeralliance.org/resources/rainy-day-fund-strategies-call-action-0&quot;,&quot;issued&quot;:{&quot;date-parts&quot;:[[2021,11,22]]},&quot;container-title-short&quot;:&quot;&quot;},&quot;isTemporary&quot;:false}]},{&quot;properties&quot;:{&quot;noteIndex&quot;:0},&quot;citationID&quot;:&quot;MENDELEY_CITATION_b6e2891c-0b9f-446e-8b50-3cb1ec241b19&quot;,&quot;isEdited&quot;:false,&quot;manualOverride&quot;:{&quot;isManuallyOverridden&quot;:true,&quot;manualOverrideText&quot;:&quot;Hou (2004)&quot;,&quot;citeprocText&quot;:&quot;(Hou, 2004)&quot;},&quot;citationTag&quot;:&quot;MENDELEY_CITATION_v3_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&quot;,&quot;citationItems&quot;:[{&quot;id&quot;:&quot;ec79977e-4c62-3d3a-b574-c74f0d52be70&quot;,&quot;isTemporary&quot;:false,&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properties&quot;:{&quot;noteIndex&quot;:0},&quot;citationID&quot;:&quot;MENDELEY_CITATION_78897048-49a4-42d5-ba6c-92c5eebceaac&quot;,&quot;isEdited&quot;:false,&quot;manualOverride&quot;:{&quot;citeprocText&quot;:&quot;(Abbott et al., 2000)&quot;,&quot;isManuallyOverriden&quot;:true,&quot;manualOverrideText&quot;:&quot;Abbott et al. (2000)&quot;,&quot;isManuallyOverridden&quot;:true},&quot;citationTag&quot;:&quot;MENDELEY_CITATION_v3_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&quot;,&quot;citationItems&quot;:[{&quot;id&quot;:&quot;f544bcb3-2ac5-3889-8285-02decb33149a&quot;,&quot;isTemporary&quot;:false,&quot;itemData&quot;:{&quot;type&quot;:&quot;article-journal&quot;,&quot;id&quot;:&quot;f544bcb3-2ac5-3889-8285-02decb33149a&quot;,&quot;title&quot;:&quot;The concept of legalization&quot;,&quot;author&quot;:[{&quot;family&quot;:&quot;Abbott&quot;,&quot;given&quot;:&quot;Kenneth W.&quot;,&quot;parse-names&quot;:false,&quot;dropping-particle&quot;:&quot;&quot;,&quot;non-dropping-particle&quot;:&quot;&quot;},{&quot;family&quot;:&quot;Keohane&quot;,&quot;given&quot;:&quot;Robert O.&quot;,&quot;parse-names&quot;:false,&quot;dropping-particle&quot;:&quot;&quot;,&quot;non-dropping-particle&quot;:&quot;&quot;},{&quot;family&quot;:&quot;Moravcsik&quot;,&quot;given&quot;:&quot;Andrew&quot;,&quot;parse-names&quot;:false,&quot;dropping-particle&quot;:&quot;&quot;,&quot;non-dropping-particle&quot;:&quot;&quot;},{&quot;family&quot;:&quot;Slaughter&quot;,&quot;given&quot;:&quot;Anne Marie&quot;,&quot;parse-names&quot;:false,&quot;dropping-particle&quot;:&quot;&quot;,&quot;non-dropping-particle&quot;:&quot;&quot;},{&quot;family&quot;:&quot;Snidal&quot;,&quot;given&quot;:&quot;Duncan&quot;,&quot;parse-names&quot;:false,&quot;dropping-particle&quot;:&quot;&quot;,&quot;non-dropping-particle&quot;:&quot;&quot;}],&quot;container-title&quot;:&quot;International Organization&quot;,&quot;DOI&quot;:&quot;10.1162/002081800551271&quot;,&quot;ISSN&quot;:&quot;00208183&quot;,&quot;issued&quot;:{&quot;date-parts&quot;:[[2000]]},&quot;issue&quot;:&quot;3&quot;,&quot;volume&quot;:&quot;54&quot;,&quot;container-title-short&quot;:&quot;Int Organ&quot;}}]},{&quot;properties&quot;:{&quot;noteIndex&quot;:0},&quot;citationID&quot;:&quot;MENDELEY_CITATION_543390d5-62f5-4d54-bf90-cde20eed5fa5&quot;,&quot;isEdited&quot;:false,&quot;manualOverride&quot;:{&quot;citeprocText&quot;:&quot;(National Conference of State Legislatures, 2018; The Pew Charitable Trusts, 2014, 2017)&quot;,&quot;manualOverrideText&quot;:&quot;(National Conference of State Legislatures, 2018; The Pew Charitable Trusts, 2014; The Pew Charitable Trusts, 2017)&quot;,&quot;isManuallyOverriden&quot;:true,&quot;isManuallyOverridden&quot;:true},&quot;citationItems&quot;:[{&quot;id&quot;:&quot;f958261f-b67f-3b66-8598-21b3eab58082&quot;,&quot;isTemporary&quot;:false,&quot;itemData&quot;:{&quot;type&quot;:&quot;webpage&quot;,&quot;id&quot;:&quot;f958261f-b67f-3b66-8598-21b3eab58082&quot;,&quot;title&quot;:&quot;Rainy Day Fund Structures&quot;,&quot;author&quot;:[{&quot;family&quot;:&quot;National Conference of State Legislatures&quot;,&quot;given&quot;:&quot;&quot;,&quot;parse-names&quot;:false,&quot;dropping-particle&quot;:&quot;&quot;,&quot;non-dropping-particle&quot;:&quot;&quot;}],&quot;accessed&quot;:{&quot;date-parts&quot;:[[2021,6,12]]},&quot;URL&quot;:&quot;https://www.ncsl.org/research/fiscal-policy/rainy-day-funds.aspx&quot;,&quot;issued&quot;:{&quot;date-parts&quot;:[[2018]]},&quot;container-title-short&quot;:&quot;&quot;}},{&quot;id&quot;:&quot;a23a704c-0781-307a-a5cc-fcbc7a856a47&quot;,&quot;isTemporary&quot;:false,&quot;itemData&quot;:{&quot;type&quot;:&quot;webpage&quot;,&quot;id&quot;:&quot;a23a704c-0781-307a-a5cc-fcbc7a856a47&quot;,&quot;title&quot;:&quot;When to Use State Rainy Day Funds&quot;,&quot;author&quot;:[{&quot;family&quot;:&quot;The Pew Charitable Trusts&quot;,&quot;given&quot;:&quot;&quot;,&quot;parse-names&quot;:false,&quot;dropping-particle&quot;:&quot;&quot;,&quot;non-dropping-particle&quot;:&quot;&quot;}],&quot;accessed&quot;:{&quot;date-parts&quot;:[[2021,6,13]]},&quot;URL&quot;:&quot;https://www.pewtrusts.org/en/research-and-analysis/reports/2017/04/when-to-use-state-rainy-day-funds&quot;,&quot;issued&quot;:{&quot;date-parts&quot;:[[2017]]},&quot;container-title-short&quot;:&quot;&quot;}},{&quot;id&quot;:&quot;552c98f9-460b-3a3e-ac9d-751be5613e0d&quot;,&quot;isTemporary&quot;:false,&quot;itemData&quot;:{&quot;type&quot;:&quot;webpage&quot;,&quot;id&quot;:&quot;552c98f9-460b-3a3e-ac9d-751be5613e0d&quot;,&quot;title&quot;:&quot;Managing Uncertainty&quot;,&quot;author&quot;:[{&quot;family&quot;:&quot;The Pew Charitable Trusts&quot;,&quot;given&quot;:&quot;&quot;,&quot;parse-names&quot;:false,&quot;dropping-particle&quot;:&quot;&quot;,&quot;non-dropping-particle&quot;:&quot;&quot;}],&quot;accessed&quot;:{&quot;date-parts&quot;:[[2021,6,13]]},&quot;URL&quot;:&quot;https://www.pewtrusts.org/en/research-and-analysis/reports/2014/02/04/managing-uncertainty&quot;,&quot;issued&quot;:{&quot;date-parts&quot;:[[2014,2]]},&quot;container-title-short&quot;:&quot;&quot;}}],&quot;citationTag&quot;:&quot;MENDELEY_CITATION_v3_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&quot;},{&quot;citationID&quot;:&quot;MENDELEY_CITATION_b6028314-23f3-4b53-9ef3-1492490c2ad4&quot;,&quot;properties&quot;:{&quot;noteIndex&quot;:0},&quot;isEdited&quot;:false,&quot;manualOverride&quot;:{&quot;isManuallyOverridden&quot;:false,&quot;citeprocText&quot;:&quot;(Rodríguez-Tejedo, 2012)&quot;,&quot;manualOverrideText&quot;:&quot;&quot;},&quot;citationTag&quot;:&quot;MENDELEY_CITATION_v3_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&quot;,&quot;citationItems&quot;:[{&quot;id&quot;:&quot;37dd9e26-8555-3300-8171-565b4c4d785e&quot;,&quot;itemData&quot;:{&quot;type&quot;:&quot;article&quot;,&quot;id&quot;:&quot;37dd9e26-8555-3300-8171-565b4c4d785e&quot;,&quot;title&quot;:&quot;The Determinants of the Structure of Rainy Day Funds&quot;,&quot;author&quot;:[{&quot;family&quot;:&quot;Rodríguez-Tejedo&quot;,&quot;given&quot;:&quot;Isabel&quot;,&quot;parse-names&quot;:false,&quot;dropping-particle&quot;:&quot;&quot;,&quot;non-dropping-particle&quot;:&quot;&quot;}],&quot;container-title&quot;:&quot;Public Administration Review&quot;,&quot;container-title-short&quot;:&quot;Public Adm Rev&quot;,&quot;DOI&quot;:&quot;10.1111/j.1540-6210.2011.02523.x&quot;,&quot;ISSN&quot;:&quot;00333352&quot;,&quot;issued&quot;:{&quot;date-parts&quot;:[[2012]]},&quot;abstract&quot;:&quot;This article investigates the factors that determine the configuration of budget stabilization funds, also known as rainy day funds, along their two most important dimensions: deposit and withdrawal requirements. These funds are created to accumulate savings in order to reduce the impact of adverse fiscal conditions during downturns. The effectiveness of such funds depends greatly on their institutional structure, and yet most states choose configurations that compromise their efficacy. Using multinomial discrete techniques, and introducing the ordered nature of the requirements in the analysis, the results of this study indicate that political and institutional factors such as the size of the house of the legislature and some strict institutions are associated with weak budget stabilization funds, while economic factors such as the volatility of state tax revenues are associated with stricter funds. © 2012 The American Society for Public Administration.&quot;,&quot;issue&quot;:&quot;3&quot;,&quot;volume&quot;:&quot;72&quot;},&quot;isTemporary&quot;:false}]},{&quot;properties&quot;:{&quot;noteIndex&quot;:0},&quot;citationID&quot;:&quot;MENDELEY_CITATION_d0c9a81b-4a87-45ab-bff3-8fb10b25ce98&quot;,&quot;isEdited&quot;:false,&quot;manualOverride&quot;:{&quot;isManuallyOverridden&quot;:true,&quot;manualOverrideText&quot;:&quot;(Castro &amp; Camarillo, 2014, pp. 51-52)&quot;,&quot;citeprocText&quot;:&quot;(Castro &amp;#38; Camarillo, 2014)&quot;},&quot;citationTag&quot;:&quot;MENDELEY_CITATION_v3_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&quot;,&quot;citationItems&quot;:[{&quot;id&quot;:&quot;10c9419b-4702-3dfc-9c3e-07a5f528367a&quot;,&quot;isTemporary&quot;:false,&quot;itemData&quot;:{&quot;type&quot;:&quot;article-journal&quot;,&quot;id&quot;:&quot;10c9419b-4702-3dfc-9c3e-07a5f528367a&quot;,&quot;title&quot;:&quot;Determinants of tax revenue in OECD countries over the period 2001-2011&quot;,&quot;author&quot;:[{&quot;family&quot;:&quot;Castro&quot;,&quot;given&quot;:&quot;Gerardo Ángeles&quot;,&quot;parse-names&quot;:false,&quot;dropping-particle&quot;:&quot;&quot;,&quot;non-dropping-particle&quot;:&quot;&quot;},{&quot;family&quot;:&quot;Camarillo&quot;,&quot;given&quot;:&quot;Diana Berenice Ramírez&quot;,&quot;parse-names&quot;:false,&quot;dropping-particle&quot;:&quot;&quot;,&quot;non-dropping-particle&quot;:&quot;&quot;}],&quot;container-title&quot;:&quot;Contaduria y Administracion&quot;,&quot;DOI&quot;:&quot;10.1016/s0186-1042(14)71265-3&quot;,&quot;ISSN&quot;:&quot;01861042&quot;,&quot;issued&quot;:{&quot;date-parts&quot;:[[2014]]},&quot;abstract&quot;:&quot;By using static and dynamic panel data techniques, this paper analyses the impact of economic, structural, institutional and social factors on tax revenue, across 34 countries from the Organisation for Economic Co-operation and Development, over the period 2001-2011. The results show that gross domestic product per capita, the industrial sector, and civil liberties have positive impact on the dependent variable, while the agricultural sector and the share of foreign direct investment in gross fixed capital formation have negative impact. The lagged value of the dependent variable enters positively in the equation and its effect is larger in high income countries. We also encounter tax effort and tax gap and find that they are stable over time but diverse across countries regardless the level of development of the economies.&quot;,&quot;issue&quot;:&quot;3&quot;,&quot;volume&quot;:&quot;59&quot;,&quot;container-title-short&quot;:&quot;&quot;}}]},{&quot;properties&quot;:{&quot;noteIndex&quot;:0},&quot;citationID&quot;:&quot;MENDELEY_CITATION_3ed8b590-7c01-4a70-8eff-9a5eb09ba0ac&quot;,&quot;isEdited&quot;:false,&quot;manualOverride&quot;:{&quot;isManuallyOverriden&quot;:false,&quot;manualOverrideText&quot;:&quot;&quot;,&quot;citeprocText&quot;:&quot;(Hou, 2004)&quot;,&quot;isManuallyOverridden&quot;:false},&quot;citationTag&quot;:&quot;MENDELEY_CITATION_v3_eyJwcm9wZXJ0aWVzIjp7Im5vdGVJbmRleCI6MH0sImNpdGF0aW9uSUQiOiJNRU5ERUxFWV9DSVRBVElPTl8zZWQ4YjU5MC03YzAxLTRhNzAtOGVmZi05YTVlYjA5YmEwYWMiLCJpc0VkaXRlZCI6ZmFsc2UsIm1hbnVhbE92ZXJyaWRlIjp7ImlzTWFudWFsbHlPdmVycmlkZW4iOmZhbHNlLCJtYW51YWxPdmVycmlkZVRleHQiOiIiLCJjaXRlcHJvY1RleHQiOiIoSG91LCAyMDA0KSIsImlzTWFudWFsbHlPdmVycmlkZGVuIjpmYWxzZX0sImNpdGF0aW9uSXRlbXMiOlt7ImlkIjoiZWM3OTk3N2UtNGM2Mi0zZDNhLWI1NzQtYzc0ZjBkNTJiZTcwIiwiaXNUZW1wb3JhcnkiOmZhbHNl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fV19&quot;,&quot;citationItems&quot;:[{&quot;id&quot;:&quot;ec79977e-4c62-3d3a-b574-c74f0d52be70&quot;,&quot;isTemporary&quot;:false,&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properties&quot;:{&quot;noteIndex&quot;:0},&quot;isEdited&quot;:false,&quot;citationID&quot;:&quot;MENDELEY_CITATION_6e398455-bdda-4843-b06c-75274995834b&quot;,&quot;manualOverride&quot;:{&quot;isManuallyOverriden&quot;:false,&quot;manualOverrideText&quot;:&quot;&quot;,&quot;citeprocText&quot;:&quot;(Hou, 2004)&quot;,&quot;isManuallyOverridden&quot;:false},&quot;citationTag&quot;:&quot;MENDELEY_CITATION_v3_eyJwcm9wZXJ0aWVzIjp7Im5vdGVJbmRleCI6MH0sImlzRWRpdGVkIjpmYWxzZSwiY2l0YXRpb25JRCI6Ik1FTkRFTEVZX0NJVEFUSU9OXzZlMzk4NDU1LWJkZGEtNDg0My1iMDZjLTc1Mjc0OTk1ODM0YiIsIm1hbnVhbE92ZXJyaWRlIjp7ImlzTWFudWFsbHlPdmVycmlkZW4iOmZhbHNlLCJtYW51YWxPdmVycmlkZVRleHQiOiIiLCJjaXRlcHJvY1RleHQiOiIoSG91LCAyMDA0KSIsImlzTWFudWFsbHlPdmVycmlkZGVuIjpmYWxzZX0sImNpdGF0aW9uSXRlbXMiOlt7ImlkIjoiZWM3OTk3N2UtNGM2Mi0zZDNhLWI1NzQtYzc0ZjBkNTJiZTcwIiwiaXNUZW1wb3JhcnkiOmZhbHNl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fV19&quot;,&quot;citationItems&quot;:[{&quot;id&quot;:&quot;ec79977e-4c62-3d3a-b574-c74f0d52be70&quot;,&quot;isTemporary&quot;:false,&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citationID&quot;:&quot;MENDELEY_CITATION_c2988b08-585c-4f5c-ac67-04a83c019e1f&quot;,&quot;properties&quot;:{&quot;noteIndex&quot;:0},&quot;isEdited&quot;:false,&quot;manualOverride&quot;:{&quot;isManuallyOverridden&quot;:false,&quot;citeprocText&quot;:&quot;(Hou, 2004)&quot;,&quot;manualOverrideText&quot;:&quot;&quot;},&quot;citationTag&quot;:&quot;MENDELEY_CITATION_v3_eyJjaXRhdGlvbklEIjoiTUVOREVMRVlfQ0lUQVRJT05fYzI5ODhiMDgtNTg1Yy00ZjVjLWFjNjctMDRhODNjMDE5ZTFmIiwicHJvcGVydGllcyI6eyJub3RlSW5kZXgiOjB9LCJpc0VkaXRlZCI6ZmFsc2UsIm1hbnVhbE92ZXJyaWRlIjp7ImlzTWFudWFsbHlPdmVycmlkZGVuIjpmYWxzZSwiY2l0ZXByb2NUZXh0IjoiKEhvdS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XX0=&quot;,&quot;citationItems&quot;:[{&quot;id&quot;:&quot;ec79977e-4c62-3d3a-b574-c74f0d52be70&quot;,&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isTemporary&quot;:false}]},{&quot;citationID&quot;:&quot;MENDELEY_CITATION_8cace101-9887-44ca-946a-f19e0e408578&quot;,&quot;properties&quot;:{&quot;noteIndex&quot;:0},&quot;isEdited&quot;:false,&quot;manualOverride&quot;:{&quot;isManuallyOverridden&quot;:false,&quot;citeprocText&quot;:&quot;(Hou, 2004)&quot;,&quot;manualOverrideText&quot;:&quot;&quot;},&quot;citationTag&quot;:&quot;MENDELEY_CITATION_v3_eyJjaXRhdGlvbklEIjoiTUVOREVMRVlfQ0lUQVRJT05fOGNhY2UxMDEtOTg4Ny00NGNhLTk0NmEtZjE5ZTBlNDA4NTc4IiwicHJvcGVydGllcyI6eyJub3RlSW5kZXgiOjB9LCJpc0VkaXRlZCI6ZmFsc2UsIm1hbnVhbE92ZXJyaWRlIjp7ImlzTWFudWFsbHlPdmVycmlkZGVuIjpmYWxzZSwiY2l0ZXByb2NUZXh0IjoiKEhvdS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XX0=&quot;,&quot;citationItems&quot;:[{&quot;id&quot;:&quot;ec79977e-4c62-3d3a-b574-c74f0d52be70&quot;,&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isTemporary&quot;:false}]},{&quot;properties&quot;:{&quot;noteIndex&quot;:0},&quot;citationID&quot;:&quot;MENDELEY_CITATION_287831dd-e2aa-498e-9d26-126bd4ed7397&quot;,&quot;isEdited&quot;:false,&quot;manualOverride&quot;:{&quot;isManuallyOverriden&quot;:false,&quot;manualOverrideText&quot;:&quot;&quot;,&quot;citeprocText&quot;:&quot;(Joyce, 2001; McNichol, 2014; Navin &amp;#38; Navin, 2003; The Pew Charitable Trusts, 2014)&quot;,&quot;isManuallyOverridden&quot;:false},&quot;citationTag&quot;:&quot;MENDELEY_CITATION_v3_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&quot;,&quot;citationItems&quot;:[{&quot;id&quot;:&quot;2d1ad204-af7e-3e76-a891-ff60e6be6a74&quot;,&quot;isTemporary&quot;:false,&quot;itemData&quot;:{&quot;type&quot;:&quot;article-journal&quot;,&quot;id&quot;:&quot;2d1ad204-af7e-3e76-a891-ff60e6be6a74&quot;,&quot;title&quot;:&quot;What’s so magical about five percent? A nationwide look at factors that influence the optimal size of state rainy day funds&quot;,&quot;author&quot;:[{&quot;family&quot;:&quot;Joyce&quot;,&quot;given&quot;:&quot;Philip G.&quot;,&quot;parse-names&quot;:false,&quot;dropping-particle&quot;:&quot;&quot;,&quot;non-dropping-particle&quot;:&quot;&quot;}],&quot;container-title&quot;:&quot;Public Budgeting and Finance&quot;,&quot;DOI&quot;:&quot;10.1111/0275-1100.00050&quot;,&quot;ISSN&quot;:&quot;15405850&quot;,&quot;issued&quot;:{&quot;date-parts&quot;:[[2001]]},&quot;abstract&quot;:&quot;State rainy day funds have increased in popularity as countercyclical planning devices over the past 15 years. The view is widely held that all states need a rainy day fund balance of five percent in order to guard themselves against the threat of budgetary dislocation. This article compares the actual balances in state rainy day funds in 1997 to several factors affecting budgetary volatility. Little relationship is found between rainy day fund balances and the actual level of volatility in a given state. The article finds no justification for a “one size fits all” approach; each state should design policies based on its own peculiar needs. © 2001 Blackwell Publishing Ltd.&quot;,&quot;issue&quot;:&quot;2&quot;,&quot;volume&quot;:&quot;21&quot;,&quot;container-title-short&quot;:&quot;&quot;}},{&quot;id&quot;:&quot;181d3eb2-61d1-32cc-bb98-f38895f96db4&quot;,&quot;isTemporary&quot;:false,&quot;itemData&quot;:{&quot;type&quot;:&quot;webpage&quot;,&quot;id&quot;:&quot;181d3eb2-61d1-32cc-bb98-f38895f96db4&quot;,&quot;title&quot;:&quot;When and How States Should Strengthen Their Rainy Day Funds&quot;,&quot;author&quot;:[{&quot;family&quot;:&quot;McNichol&quot;,&quot;given&quot;:&quot;Elizabeth C.&quot;,&quot;parse-names&quot;:false,&quot;dropping-particle&quot;:&quot;&quot;,&quot;non-dropping-particle&quot;:&quot;&quot;}],&quot;container-title&quot;:&quot;Center on Budget and Policy Priorities&quot;,&quot;accessed&quot;:{&quot;date-parts&quot;:[[2021,6,12]]},&quot;URL&quot;:&quot;https://www.cbpp.org/research/state-budget-and-tax/when-and-how-states-should-strengthen-their-rainy-day-funds&quot;,&quot;issued&quot;:{&quot;date-parts&quot;:[[2014]]},&quot;container-title-short&quot;:&quot;&quot;}},{&quot;id&quot;:&quot;2b76bf1d-94b4-308f-952a-8819d583162f&quot;,&quot;isTemporary&quot;:false,&quot;itemData&quot;:{&quot;type&quot;:&quot;article&quot;,&quot;id&quot;:&quot;2b76bf1d-94b4-308f-952a-8819d583162f&quot;,&quot;title&quot;:&quot;The Optimal Size of Countercyclical Budget Stabilization Funds: A Case Study of Ohio&quot;,&quot;author&quot;:[{&quot;family&quot;:&quot;Navin&quot;,&quot;given&quot;:&quot;John C.&quot;,&quot;parse-names&quot;:false,&quot;dropping-particle&quot;:&quot;&quot;,&quot;non-dropping-particle&quot;:&quot;&quot;},{&quot;family&quot;:&quot;Navin&quot;,&quot;given&quot;:&quot;Leo J.&quot;,&quot;parse-names&quot;:false,&quot;dropping-particle&quot;:&quot;&quot;,&quot;non-dropping-particle&quot;:&quot;&quot;}],&quot;accessed&quot;:{&quot;date-parts&quot;:[[2021,6,12]]},&quot;URL&quot;:&quot;https://papers.ssrn.com/abstract=465698&quot;,&quot;issued&quot;:{&quot;date-parts&quot;:[[2003]]},&quot;container-title-short&quot;:&quot;&quot;}},{&quot;id&quot;:&quot;a6672a3b-d87f-3702-8479-7445438e1547&quot;,&quot;itemData&quot;:{&quot;type&quot;:&quot;report&quot;,&quot;id&quot;:&quot;a6672a3b-d87f-3702-8479-7445438e1547&quot;,&quot;title&quot;:&quot;A report from Managing Uncertainty How State Budgeting Can Smooth Revenue Volatility&quot;,&quot;author&quot;:[{&quot;family&quot;:&quot;The Pew Charitable Trusts&quot;,&quot;given&quot;:&quot;&quot;,&quot;parse-names&quot;:false,&quot;dropping-particle&quot;:&quot;&quot;,&quot;non-dropping-particle&quot;:&quot;&quot;}],&quot;issued&quot;:{&quot;date-parts&quot;:[[2014]]},&quot;container-title-short&quot;:&quot;&quot;},&quot;isTemporary&quot;:false}]},{&quot;citationID&quot;:&quot;MENDELEY_CITATION_2810591e-ef33-4f2d-b21b-bf0cf659bb5b&quot;,&quot;properties&quot;:{&quot;noteIndex&quot;:0},&quot;isEdited&quot;:false,&quot;manualOverride&quot;:{&quot;isManuallyOverridden&quot;:false,&quot;citeprocText&quot;:&quot;(The Pew Charitable Trusts, 2017)&quot;,&quot;manualOverrideText&quot;:&quot;&quot;},&quot;citationTag&quot;:&quot;MENDELEY_CITATION_v3_eyJjaXRhdGlvbklEIjoiTUVOREVMRVlfQ0lUQVRJT05fMjgxMDU5MWUtZWYzMy00ZjJkLWIyMWItYmYwY2Y2NTliYjViIiwicHJvcGVydGllcyI6eyJub3RlSW5kZXgiOjB9LCJpc0VkaXRlZCI6ZmFsc2UsIm1hbnVhbE92ZXJyaWRlIjp7ImlzTWFudWFsbHlPdmVycmlkZGVuIjpmYWxzZSwiY2l0ZXByb2NUZXh0IjoiKFRoZSBQZXcgQ2hhcml0YWJsZSBUcnVzdHMsIDIwMTcpIiwibWFudWFsT3ZlcnJpZGVUZXh0IjoiIn0sImNpdGF0aW9uSXRlbXMiOlt7ImlkIjoiYTIzYTcwNGMtMDc4MS0zMDdhLWE1Y2MtZmNiYzdhODU2YTQ3Ii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LCJpc1RlbXBvcmFyeSI6ZmFsc2V9XX0=&quot;,&quot;citationItems&quot;:[{&quot;id&quot;:&quot;a23a704c-0781-307a-a5cc-fcbc7a856a47&quot;,&quot;itemData&quot;:{&quot;type&quot;:&quot;webpage&quot;,&quot;id&quot;:&quot;a23a704c-0781-307a-a5cc-fcbc7a856a47&quot;,&quot;title&quot;:&quot;When to Use State Rainy Day Funds&quot;,&quot;author&quot;:[{&quot;family&quot;:&quot;The Pew Charitable Trusts&quot;,&quot;given&quot;:&quot;&quot;,&quot;parse-names&quot;:false,&quot;dropping-particle&quot;:&quot;&quot;,&quot;non-dropping-particle&quot;:&quot;&quot;}],&quot;accessed&quot;:{&quot;date-parts&quot;:[[2021,6,13]]},&quot;URL&quot;:&quot;https://www.pewtrusts.org/en/research-and-analysis/reports/2017/04/when-to-use-state-rainy-day-funds&quot;,&quot;issued&quot;:{&quot;date-parts&quot;:[[2017]]},&quot;container-title-short&quot;:&quot;&quot;},&quot;isTemporary&quot;:false}]},{&quot;citationID&quot;:&quot;MENDELEY_CITATION_c6eb4e4f-8cae-44e5-b1a3-9356f4ab69ab&quot;,&quot;properties&quot;:{&quot;noteIndex&quot;:0},&quot;isEdited&quot;:false,&quot;manualOverride&quot;:{&quot;isManuallyOverridden&quot;:false,&quot;citeprocText&quot;:&quot;(The Pew Charitable Trusts, 2017)&quot;,&quot;manualOverrideText&quot;:&quot;&quot;},&quot;citationTag&quot;:&quot;MENDELEY_CITATION_v3_eyJjaXRhdGlvbklEIjoiTUVOREVMRVlfQ0lUQVRJT05fYzZlYjRlNGYtOGNhZS00NGU1LWIxYTMtOTM1NmY0YWI2OWFiIiwicHJvcGVydGllcyI6eyJub3RlSW5kZXgiOjB9LCJpc0VkaXRlZCI6ZmFsc2UsIm1hbnVhbE92ZXJyaWRlIjp7ImlzTWFudWFsbHlPdmVycmlkZGVuIjpmYWxzZSwiY2l0ZXByb2NUZXh0IjoiKFRoZSBQZXcgQ2hhcml0YWJsZSBUcnVzdHMsIDIwMTcpIiwibWFudWFsT3ZlcnJpZGVUZXh0IjoiIn0sImNpdGF0aW9uSXRlbXMiOlt7ImlkIjoiYTIzYTcwNGMtMDc4MS0zMDdhLWE1Y2MtZmNiYzdhODU2YTQ3Ii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LCJpc1RlbXBvcmFyeSI6ZmFsc2V9XX0=&quot;,&quot;citationItems&quot;:[{&quot;id&quot;:&quot;a23a704c-0781-307a-a5cc-fcbc7a856a47&quot;,&quot;itemData&quot;:{&quot;type&quot;:&quot;webpage&quot;,&quot;id&quot;:&quot;a23a704c-0781-307a-a5cc-fcbc7a856a47&quot;,&quot;title&quot;:&quot;When to Use State Rainy Day Funds&quot;,&quot;author&quot;:[{&quot;family&quot;:&quot;The Pew Charitable Trusts&quot;,&quot;given&quot;:&quot;&quot;,&quot;parse-names&quot;:false,&quot;dropping-particle&quot;:&quot;&quot;,&quot;non-dropping-particle&quot;:&quot;&quot;}],&quot;accessed&quot;:{&quot;date-parts&quot;:[[2021,6,13]]},&quot;URL&quot;:&quot;https://www.pewtrusts.org/en/research-and-analysis/reports/2017/04/when-to-use-state-rainy-day-funds&quot;,&quot;issued&quot;:{&quot;date-parts&quot;:[[2017]]},&quot;container-title-short&quot;:&quot;&quot;},&quot;isTemporary&quot;:false}]},{&quot;citationID&quot;:&quot;MENDELEY_CITATION_0b964f12-55a9-45e6-a8b3-4409b5bcae2a&quot;,&quot;properties&quot;:{&quot;noteIndex&quot;:0},&quot;isEdited&quot;:false,&quot;manualOverride&quot;:{&quot;isManuallyOverridden&quot;:false,&quot;citeprocText&quot;:&quot;(The Pew Charitable Trusts, 2017)&quot;,&quot;manualOverrideText&quot;:&quot;&quot;},&quot;citationTag&quot;:&quot;MENDELEY_CITATION_v3_eyJjaXRhdGlvbklEIjoiTUVOREVMRVlfQ0lUQVRJT05fMGI5NjRmMTItNTVhOS00NWU2LWE4YjMtNDQwOWI1YmNhZTJhIiwicHJvcGVydGllcyI6eyJub3RlSW5kZXgiOjB9LCJpc0VkaXRlZCI6ZmFsc2UsIm1hbnVhbE92ZXJyaWRlIjp7ImlzTWFudWFsbHlPdmVycmlkZGVuIjpmYWxzZSwiY2l0ZXByb2NUZXh0IjoiKFRoZSBQZXcgQ2hhcml0YWJsZSBUcnVzdHMsIDIwMTcpIiwibWFudWFsT3ZlcnJpZGVUZXh0IjoiIn0sImNpdGF0aW9uSXRlbXMiOlt7ImlkIjoiYTIzYTcwNGMtMDc4MS0zMDdhLWE1Y2MtZmNiYzdhODU2YTQ3Ii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LCJpc1RlbXBvcmFyeSI6ZmFsc2V9XX0=&quot;,&quot;citationItems&quot;:[{&quot;id&quot;:&quot;a23a704c-0781-307a-a5cc-fcbc7a856a47&quot;,&quot;itemData&quot;:{&quot;type&quot;:&quot;webpage&quot;,&quot;id&quot;:&quot;a23a704c-0781-307a-a5cc-fcbc7a856a47&quot;,&quot;title&quot;:&quot;When to Use State Rainy Day Funds&quot;,&quot;author&quot;:[{&quot;family&quot;:&quot;The Pew Charitable Trusts&quot;,&quot;given&quot;:&quot;&quot;,&quot;parse-names&quot;:false,&quot;dropping-particle&quot;:&quot;&quot;,&quot;non-dropping-particle&quot;:&quot;&quot;}],&quot;accessed&quot;:{&quot;date-parts&quot;:[[2021,6,13]]},&quot;URL&quot;:&quot;https://www.pewtrusts.org/en/research-and-analysis/reports/2017/04/when-to-use-state-rainy-day-funds&quot;,&quot;issued&quot;:{&quot;date-parts&quot;:[[2017]]},&quot;container-title-short&quot;:&quot;&quot;},&quot;isTemporary&quot;:false}]},{&quot;citationID&quot;:&quot;MENDELEY_CITATION_f9b5301b-912a-4248-ba81-56ecb06d2c11&quot;,&quot;properties&quot;:{&quot;noteIndex&quot;:0},&quot;isEdited&quot;:false,&quot;manualOverride&quot;:{&quot;isManuallyOverridden&quot;:false,&quot;citeprocText&quot;:&quot;(The Pew Charitable Trust, 2017)&quot;,&quot;manualOverrideText&quot;:&quot;&quot;},&quot;citationTag&quot;:&quot;MENDELEY_CITATION_v3_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&quot;,&quot;citationItems&quot;:[{&quot;id&quot;:&quot;859e872a-e340-39b5-83a7-934b93baec47&quot;,&quot;itemData&quot;:{&quot;type&quot;:&quot;report&quot;,&quot;id&quot;:&quot;859e872a-e340-39b5-83a7-934b93baec47&quot;,&quot;title&quot;:&quot;A report from Rainy Day Funds and State Credit Ratings How well-designed policies and timely use can protect against downgrades&quot;,&quot;author&quot;:[{&quot;family&quot;:&quot;The Pew Charitable Trust&quot;,&quot;given&quot;:&quot;&quot;,&quot;parse-names&quot;:false,&quot;dropping-particle&quot;:&quot;&quot;,&quot;non-dropping-particle&quot;:&quot;&quot;}],&quot;accessed&quot;:{&quot;date-parts&quot;:[[2021,3,30]]},&quot;issued&quot;:{&quot;date-parts&quot;:[[2017]]},&quot;container-title-short&quot;:&quot;&quot;},&quot;isTemporary&quot;:false}]},{&quot;properties&quot;:{&quot;noteIndex&quot;:0},&quot;citationID&quot;:&quot;MENDELEY_CITATION_ee45355d-557e-4f30-8554-547983c9c23a&quot;,&quot;isEdited&quot;:false,&quot;manualOverride&quot;:{&quot;isManuallyOverridden&quot;:false,&quot;manualOverrideText&quot;:&quot;&quot;,&quot;citeprocText&quot;:&quot;(Hendrick et al., 2019; The Pew Charitable Trusts, 2017)&quot;},&quot;citationTag&quot;:&quot;MENDELEY_CITATION_v3_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fV19&quot;,&quot;citationItems&quot;:[{&quot;id&quot;:&quot;42b9255d-b61e-3fe2-8033-985a86efe206&quot;,&quot;isTemporary&quot;:false,&quot;itemData&quot;:{&quot;type&quot;:&quot;paper-conference&quot;,&quot;id&quot;:&quot;42b9255d-b61e-3fe2-8033-985a86efe206&quot;,&quot;title&quot;:&quot;The Structural Features of Rainy-Day Fund Enabling Legislation: What Policies Matter?&quot;,&quot;author&quot;:[{&quot;family&quot;:&quot;Hendrick&quot;,&quot;given&quot;:&quot;Rebecca&quot;,&quot;parse-names&quot;:false,&quot;dropping-particle&quot;:&quot;&quot;,&quot;non-dropping-particle&quot;:&quot;&quot;},{&quot;family&quot;:&quot;Choi&quot;,&quot;given&quot;:&quot;Eunjoo&quot;,&quot;parse-names&quot;:false,&quot;dropping-particle&quot;:&quot;&quot;,&quot;non-dropping-particle&quot;:&quot;&quot;},{&quot;family&quot;:&quot;Kan&quot;,&quot;given&quot;:&quot;Mingyue&quot;,&quot;parse-names&quot;:false,&quot;dropping-particle&quot;:&quot;&quot;,&quot;non-dropping-particle&quot;:&quot;&quot;}],&quot;issued&quot;:{&quot;date-parts&quot;:[[2019,9,26]]},&quot;publisher-place&quot;:&quot;Washington, DC.&quot;,&quot;container-title-short&quot;:&quot;&quot;}},{&quot;id&quot;:&quot;a23a704c-0781-307a-a5cc-fcbc7a856a47&quot;,&quot;isTemporary&quot;:false,&quot;itemData&quot;:{&quot;type&quot;:&quot;webpage&quot;,&quot;id&quot;:&quot;a23a704c-0781-307a-a5cc-fcbc7a856a47&quot;,&quot;title&quot;:&quot;When to Use State Rainy Day Funds&quot;,&quot;author&quot;:[{&quot;family&quot;:&quot;The Pew Charitable Trusts&quot;,&quot;given&quot;:&quot;&quot;,&quot;parse-names&quot;:false,&quot;dropping-particle&quot;:&quot;&quot;,&quot;non-dropping-particle&quot;:&quot;&quot;}],&quot;accessed&quot;:{&quot;date-parts&quot;:[[2021,6,13]]},&quot;URL&quot;:&quot;https://www.pewtrusts.org/en/research-and-analysis/reports/2017/04/when-to-use-state-rainy-day-funds&quot;,&quot;issued&quot;:{&quot;date-parts&quot;:[[2017]]},&quot;container-title-short&quot;:&quot;&quot;}}]},{&quot;citationID&quot;:&quot;MENDELEY_CITATION_59ef5683-710d-4a93-93ed-b678aac16a53&quot;,&quot;properties&quot;:{&quot;noteIndex&quot;:0},&quot;isEdited&quot;:false,&quot;manualOverride&quot;:{&quot;isManuallyOverridden&quot;:false,&quot;citeprocText&quot;:&quot;(The Pew Charitable Trusts, 2017)&quot;,&quot;manualOverrideText&quot;:&quot;&quot;},&quot;citationTag&quot;:&quot;MENDELEY_CITATION_v3_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&quot;,&quot;citationItems&quot;:[{&quot;id&quot;:&quot;a23a704c-0781-307a-a5cc-fcbc7a856a47&quot;,&quot;itemData&quot;:{&quot;type&quot;:&quot;webpage&quot;,&quot;id&quot;:&quot;a23a704c-0781-307a-a5cc-fcbc7a856a47&quot;,&quot;title&quot;:&quot;When to Use State Rainy Day Funds&quot;,&quot;author&quot;:[{&quot;family&quot;:&quot;The Pew Charitable Trusts&quot;,&quot;given&quot;:&quot;&quot;,&quot;parse-names&quot;:false,&quot;dropping-particle&quot;:&quot;&quot;,&quot;non-dropping-particle&quot;:&quot;&quot;}],&quot;accessed&quot;:{&quot;date-parts&quot;:[[2021,6,13]]},&quot;URL&quot;:&quot;https://www.pewtrusts.org/en/research-and-analysis/reports/2017/04/when-to-use-state-rainy-day-funds&quot;,&quot;issued&quot;:{&quot;date-parts&quot;:[[2017]]},&quot;container-title-short&quot;:&quot;&quot;},&quot;isTemporary&quot;:false}]},{&quot;properties&quot;:{&quot;noteIndex&quot;:0},&quot;citationID&quot;:&quot;MENDELEY_CITATION_32b9e3b8-5223-40d8-b0e3-e9defbcf55ac&quot;,&quot;isEdited&quot;:false,&quot;manualOverride&quot;:{&quot;isManuallyOverriden&quot;:false,&quot;manualOverrideText&quot;:&quot;&quot;,&quot;citeprocText&quot;:&quot;(Thatcher, 2008)&quot;,&quot;isManuallyOverridden&quot;:false},&quot;citationTag&quot;:&quot;MENDELEY_CITATION_v3_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&quot;,&quot;citationItems&quot;:[{&quot;id&quot;:&quot;3ace880e-f14d-3280-9e5c-50c62c5df316&quot;,&quot;isTemporary&quot;:false,&quot;itemData&quot;:{&quot;type&quot;:&quot;webpage&quot;,&quot;id&quot;:&quot;3ace880e-f14d-3280-9e5c-50c62c5df316&quot;,&quot;title&quot;:&quot;State Budget Stabilization Funds&quot;,&quot;author&quot;:[{&quot;family&quot;:&quot;Thatcher&quot;,&quot;given&quot;:&quot;Daniel&quot;,&quot;parse-names&quot;:false,&quot;dropping-particle&quot;:&quot;&quot;,&quot;non-dropping-particle&quot;:&quot;&quot;}],&quot;container-title&quot;:&quot;National Conference of State Legislatures&quot;,&quot;accessed&quot;:{&quot;date-parts&quot;:[[2021,6,12]]},&quot;URL&quot;:&quot;https://www.ncsl.org/research/fiscal-policy/state-budget-stabilization-funds-spring-2008.aspx&quot;,&quot;issued&quot;:{&quot;date-parts&quot;:[[2008]]},&quot;container-title-short&quot;:&quot;&quot;}}]},{&quot;properties&quot;:{&quot;noteIndex&quot;:0},&quot;citationID&quot;:&quot;MENDELEY_CITATION_85d38cc5-9ff2-45de-8e91-3c7fff09a64b&quot;,&quot;isEdited&quot;:false,&quot;manualOverride&quot;:{&quot;isManuallyOverridden&quot;:false,&quot;manualOverrideText&quot;:&quot;&quot;,&quot;citeprocText&quot;:&quot;(Lee &amp;#38; Chen, 2022; Wagner &amp;#38; Sobel, 2006)&quot;},&quot;citationTag&quot;:&quot;MENDELEY_CITATION_v3_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&quot;,&quot;citationItems&quot;:[{&quot;id&quot;:&quot;e90bfcb0-e7a7-3b84-927a-ef64d02c77ce&quot;,&quot;isTemporary&quot;:false,&quot;itemData&quot;:{&quot;type&quot;:&quot;article-journal&quot;,&quot;id&quot;:&quot;e90bfcb0-e7a7-3b84-927a-ef64d02c77ce&quot;,&quot;title&quot;:&quot;State Budget Stabilization Fund Adoption: Preparing for the Next Recession or Circumventing Fiscal Constraints?&quot;,&quot;author&quot;:[{&quot;family&quot;:&quot;Wagner&quot;,&quot;given&quot;:&quot;Gary A&quot;,&quot;parse-names&quot;:false,&quot;dropping-particle&quot;:&quot;&quot;,&quot;non-dropping-particle&quot;:&quot;&quot;},{&quot;family&quot;:&quot;Sobel&quot;,&quot;given&quot;:&quot;Russell S&quot;,&quot;parse-names&quot;:false,&quot;dropping-particle&quot;:&quot;&quot;,&quot;non-dropping-particle&quot;:&quot;&quot;}],&quot;container-title&quot;:&quot;Choice&quot;,&quot;DOI&quot;:&quot;10.1007/s&quot;,&quot;URL&quot;:&quot;https://www.jstor.org/stable/30026581&quot;,&quot;issued&quot;:{&quot;date-parts&quot;:[[2006]]},&quot;page&quot;:&quot;177-199&quot;,&quot;issue&quot;:&quot;1&quot;,&quot;volume&quot;:&quot;126&quot;,&quot;container-title-short&quot;:&quot;&quot;}},{&quot;id&quot;:&quot;cbd1839c-b8c0-3576-b1b1-d01a46964bd1&quot;,&quot;isTemporary&quot;:false,&quot;itemData&quot;:{&quot;type&quot;:&quot;article-journal&quot;,&quot;id&quot;:&quot;cbd1839c-b8c0-3576-b1b1-d01a46964bd1&quot;,&quot;title&quot;:&quot;Disaster Experience and Governments' Savings: The Moderating Role of Organizational Capacity&quot;,&quot;author&quot;:[{&quot;family&quot;:&quot;Lee&quot;,&quot;given&quot;:&quot;Sungyoon&quot;,&quot;parse-names&quot;:false,&quot;dropping-particle&quot;:&quot;&quot;,&quot;non-dropping-particle&quot;:&quot;&quot;},{&quot;family&quot;:&quot;Chen&quot;,&quot;given&quot;:&quot;Gang&quot;,&quot;parse-names&quot;:false,&quot;dropping-particle&quot;:&quot;&quot;,&quot;non-dropping-particle&quot;:&quot;&quot;}],&quot;container-title&quot;:&quot;Journal of Public Administration Research and Theory&quot;,&quot;DOI&quot;:&quot;10.1093/jopart/muab043&quot;,&quot;ISSN&quot;:&quot;14779803&quot;,&quot;issued&quot;:{&quot;date-parts&quot;:[[2022]]},&quot;abstract&quot;:&quot;The increasing risk of natural and human-induced disasters has caused considerable costs to governments. Governments' savings can function as a mechanism to mitigate such revenue or expenditure shocks due to disasters. While past studies have examined how recessions affect government reserves, to date, few studies have tested how a government's past experiences of natural disasters affect the level of its savings. In this study, we use organizational learning theory as a framework to explain this relationship. We empirically parse out the effect of previous disaster experience on reserve funds (i.e., rainy-day funds) and general savings (i.e., unassigned general fund balance). We further test whether organizational capacity serves as a moderator of the relationship between past disaster experience and savings. For the analysis, this study employs a Generalized Method of Moments (GMM) to examine a sample of US states for the years from 2002 to 2017. We find that an increase in cumulative damage from prior disasters is associated with an increase in rainy-day funds and this relationship is stronger in governments with a high organizational capacity. The results remain robust to estimations with alternative measures. These findings support the organizational learning theory, which suggests that governments learn from their past experiences to increase preparedness for future disasters. We also point out the importance of financial capacity in the process of organizational learning.&quot;,&quot;issue&quot;:&quot;3&quot;,&quot;volume&quot;:&quot;32&quot;,&quot;container-title-short&quot;:&quot;&quot;}}]},{&quot;properties&quot;:{&quot;noteIndex&quot;:0},&quot;citationID&quot;:&quot;MENDELEY_CITATION_bb053a61-8559-4a3a-af16-74b40955f43a&quot;,&quot;isEdited&quot;:false,&quot;manualOverride&quot;:{&quot;isManuallyOverridden&quot;:false,&quot;manualOverrideText&quot;:&quot;&quot;,&quot;citeprocText&quot;:&quot;(Rodríguez-Tejedo, 2012)&quot;},&quot;citationTag&quot;:&quot;MENDELEY_CITATION_v3_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&quot;,&quot;citationItems&quot;:[{&quot;id&quot;:&quot;37dd9e26-8555-3300-8171-565b4c4d785e&quot;,&quot;isTemporary&quot;:false,&quot;itemData&quot;:{&quot;type&quot;:&quot;article&quot;,&quot;id&quot;:&quot;37dd9e26-8555-3300-8171-565b4c4d785e&quot;,&quot;title&quot;:&quot;The Determinants of the Structure of Rainy Day Funds&quot;,&quot;author&quot;:[{&quot;family&quot;:&quot;Rodríguez-Tejedo&quot;,&quot;given&quot;:&quot;Isabel&quot;,&quot;parse-names&quot;:false,&quot;dropping-particle&quot;:&quot;&quot;,&quot;non-dropping-particle&quot;:&quot;&quot;}],&quot;container-title&quot;:&quot;Public Administration Review&quot;,&quot;DOI&quot;:&quot;10.1111/j.1540-6210.2011.02523.x&quot;,&quot;ISSN&quot;:&quot;00333352&quot;,&quot;issued&quot;:{&quot;date-parts&quot;:[[2012]]},&quot;abstract&quot;:&quot;This article investigates the factors that determine the configuration of budget stabilization funds, also known as rainy day funds, along their two most important dimensions: deposit and withdrawal requirements. These funds are created to accumulate savings in order to reduce the impact of adverse fiscal conditions during downturns. The effectiveness of such funds depends greatly on their institutional structure, and yet most states choose configurations that compromise their efficacy. Using multinomial discrete techniques, and introducing the ordered nature of the requirements in the analysis, the results of this study indicate that political and institutional factors such as the size of the house of the legislature and some strict institutions are associated with weak budget stabilization funds, while economic factors such as the volatility of state tax revenues are associated with stricter funds. © 2012 The American Society for Public Administration.&quot;,&quot;issue&quot;:&quot;3&quot;,&quot;volume&quot;:&quot;72&quot;,&quot;container-title-short&quot;:&quot;Public Adm Rev&quot;}}]},{&quot;properties&quot;:{&quot;noteIndex&quot;:0},&quot;citationID&quot;:&quot;MENDELEY_CITATION_57070efd-a564-4a92-a5e3-30bcf751f0cd&quot;,&quot;isEdited&quot;:false,&quot;manualOverride&quot;:{&quot;manualOverrideText&quot;:&quot;&quot;,&quot;isManuallyOverridden&quot;:false,&quot;citeprocText&quot;:&quot;(Choi, 2022; Douglas &amp;#38; Gaddie, 2002; Hou, 2003; Hou &amp;#38; Moynihan, 2008; Sobel &amp;#38; Holcombe, 1996)&quot;},&quot;citationTag&quot;:&quot;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&quot;,&quot;citationItems&quot;:[{&quot;id&quot;:&quot;8783f1d5-e3d2-36fd-8045-7943e249139c&quot;,&quot;isTemporary&quot;:false,&quot;itemData&quot;:{&quot;type&quot;:&quot;article-journal&quot;,&quot;id&quot;:&quot;8783f1d5-e3d2-36fd-8045-7943e249139c&quot;,&quot;title&quot;:&quot;State rainy day funds and fiscal crises: Rainy day funds and the 1990–1991 recession revisited&quot;,&quot;author&quot;:[{&quot;family&quot;:&quot;Douglas&quot;,&quot;given&quot;:&quot;James W.&quot;,&quot;parse-names&quot;:false,&quot;dropping-particle&quot;:&quot;&quot;,&quot;non-dropping-particle&quot;:&quot;&quot;},{&quot;family&quot;:&quot;Gaddie&quot;,&quot;given&quot;:&quot;Ronald Keith&quot;,&quot;parse-names&quot;:false,&quot;dropping-particle&quot;:&quot;&quot;,&quot;non-dropping-particle&quot;:&quot;&quot;}],&quot;container-title&quot;:&quot;Public Budgeting and Finance&quot;,&quot;DOI&quot;:&quot;10.1111/1540-5850.00063&quot;,&quot;ISSN&quot;:&quot;15405850&quot;,&quot;issued&quot;:{&quot;date-parts&quot;:[[2002]]},&quot;abstract&quot;:&quot;The recession of the early 1980s prompted many states to establish budget stabilization (rainy day) funds. Initial examinations of rainy day funds find a limited impact by the funds in alleviating fiscal stress. In this article, we propose an enhanced model of rainy day fund impact. Using data from 48 states for the 1990–1991 recession, our analysis indicates that the presence of a number of structural factors and the maintenance of generally large balances in other funds entering recession helps to alleviate fiscal stress when a state’s economy is in recession. © 2002 Blackwell Publishers Inc.&quot;,&quot;issue&quot;:&quot;1&quot;,&quot;volume&quot;:&quot;22&quot;,&quot;expandedJournalTitle&quot;:&quot;Public Budgeting and Finance&quot;,&quot;container-title-short&quot;:&quot;&quot;}},{&quot;id&quot;:&quot;2dc7d27b-e79a-3d1f-916b-22b94f79b3ff&quot;,&quot;isTemporary&quot;:false,&quot;itemData&quot;:{&quot;type&quot;:&quot;article-journal&quot;,&quot;id&quot;:&quot;2dc7d27b-e79a-3d1f-916b-22b94f79b3ff&quot;,&quot;title&quot;:&quot;What Stabilizes State General Fund Expenditures in Downturn Years—Budget Stabilization Fund or General Fund Unreserved Undesignated Balance?&quot;,&quot;author&quot;:[{&quot;family&quot;:&quot;Hou&quot;,&quot;given&quot;:&quot;Yilin&quot;,&quot;parse-names&quot;:false,&quot;dropping-particle&quot;:&quot;&quot;,&quot;non-dropping-particle&quot;:&quot;&quot;}],&quot;container-title&quot;:&quot;Public Budgeting &amp; Finance&quot;,&quot;accessed&quot;:{&quot;date-parts&quot;:[[2022,1,30]]},&quot;DOI&quot;:&quot;10.1111/1540-5850.2303004&quot;,&quot;ISSN&quot;:&quot;1540-5850&quot;,&quot;URL&quot;:&quot;https://onlinelibrary.wiley.com/doi/full/10.1111/1540-5850.2303004&quot;,&quot;issued&quot;:{&quot;date-parts&quot;:[[2003,9,1]]},&quot;page&quot;:&quot;64-91&quot;,&quot;abstract&quot;:&quot;This article strictly defines the budget stabilization fund (BSF) as a counter-cyclical reserve, and with a panel data set examines the effects of BSF and general fund unreserved undesignated balances (UUB) on stabilizing state general fund expenditure during downturns. The article finds that BSFs bolster spending in lean years: each percentage point increase of BSF balance as a percent of general fund expenditure can minimize negative expenditure gap by a quarter percentage point. But the article does not find evidence that UUB is a counter-cyclical fiscal tool, indicating that wide adoption of BSF may have changed the nature and use of UUB. © 2017 Wiley. All rights reserved.&quot;,&quot;publisher&quot;:&quot;John Wiley &amp; Sons, Ltd&quot;,&quot;issue&quot;:&quot;3&quot;,&quot;volume&quot;:&quot;23&quot;,&quot;expandedJournalTitle&quot;:&quot;Public Budgeting &amp; Finance&quot;,&quot;container-title-short&quot;:&quot;&quot;}},{&quot;id&quot;:&quot;53437183-c745-3704-b48b-8d3974e73f59&quot;,&quot;isTemporary&quot;:false,&quot;itemData&quot;:{&quot;type&quot;:&quot;article-journal&quot;,&quot;id&quot;:&quot;53437183-c745-3704-b48b-8d3974e73f59&quot;,&quot;title&quot;:&quot;The Impact of State Rainy Day Funds in Easing State Fiscal Crises During the 1990-1991 Recession&quot;,&quot;author&quot;:[{&quot;family&quot;:&quot;Sobel&quot;,&quot;given&quot;:&quot;Russell S.&quot;,&quot;parse-names&quot;:false,&quot;dropping-particle&quot;:&quot;&quot;,&quot;non-dropping-particle&quot;:&quot;&quot;},{&quot;family&quot;:&quot;Holcombe&quot;,&quot;given&quot;:&quot;Randall G.&quot;,&quot;parse-names&quot;:false,&quot;dropping-particle&quot;:&quot;&quot;,&quot;non-dropping-particle&quot;:&quot;&quot;}],&quot;container-title&quot;:&quot;Public Budgeting &lt;html_ent glyph=\&quot;@amp;\&quot; ascii=\&quot;&amp;amp;\&quot;/&gt; Finance&quot;,&quot;accessed&quot;:{&quot;date-parts&quot;:[[2021,3,10]]},&quot;DOI&quot;:&quot;10.1111/1540-5850.01075&quot;,&quot;ISSN&quot;:&quot;0275-1100&quot;,&quot;URL&quot;:&quot;http://doi.wiley.com/10.1111/1540-5850.01075&quot;,&quot;issued&quot;:{&quot;date-parts&quot;:[[1996,9,1]]},&quot;page&quot;:&quot;28-48&quot;,&quot;abstract&quot;:&quot;This article examines the degree to which rainy day funds eased the fiscal stress experienced by states during the 1990–1991 recession. In the first section, a state fiscal policy of neutrality over the business cycle is used as a benchmark for evaluating the use of budget stabilization funds. The next section looks at data from the last three recessions to see how recessions have affected the taxes and expenditures of states. A measure of degree of fiscal stress experienced by each state during the 1990–1991 recession is then calculated. These results are used to empirically investigate the impact of explicit state rainy day funds in easing state fiscal stress. Next, the article examines whether states that had rainy day funds in 1989 were more likely to have less fiscal stress, and whether the specific deposit and withdrawal provisions of these funds made a difference. © 1996 Blackwell Publishing Ltd.&quot;,&quot;publisher&quot;:&quot;John Wiley &amp; Sons, Ltd&quot;,&quot;issue&quot;:&quot;3&quot;,&quot;volume&quot;:&quot;16&quot;,&quot;expandedJournalTitle&quot;:&quot;Public Budgeting &lt;html_ent glyph=\&quot;@amp;\&quot; ascii=\&quot;&amp;amp;\&quot;/&gt; Finance&quot;,&quot;container-title-short&quot;:&quot;&quot;}},{&quot;id&quot;:&quot;85bdf294-1af1-3fc2-8c78-c4f6ce6096b2&quot;,&quot;isTemporary&quot;:false,&quot;itemData&quot;:{&quot;type&quot;:&quot;article-journal&quot;,&quot;id&quot;:&quot;85bdf294-1af1-3fc2-8c78-c4f6ce6096b2&quot;,&quot;title&quot;:&quot;The case for countercyclical fiscal capacity&quot;,&quot;author&quot;:[{&quot;family&quot;:&quot;Hou&quot;,&quot;given&quot;:&quot;Yilin&quot;,&quot;parse-names&quot;:false,&quot;dropping-particle&quot;:&quot;&quot;,&quot;non-dropping-particle&quot;:&quot;&quot;},{&quot;family&quot;:&quot;Moynihan&quot;,&quot;given&quot;:&quot;Donald P.&quot;,&quot;parse-names&quot;:false,&quot;dropping-particle&quot;:&quot;&quot;,&quot;non-dropping-particle&quot;:&quot;&quot;}],&quot;container-title&quot;:&quot;Journal of Public Administration Research and Theory&quot;,&quot;DOI&quot;:&quot;10.1093/jopart/mum006&quot;,&quot;ISSN&quot;:&quot;10531858&quot;,&quot;issued&quot;:{&quot;date-parts&quot;:[[2008]]},&quot;abstract&quot;:&quot;A growing literature has sought to demonstrate when and how government capacity links to performance. This article examines those questions in the area of financial management. A basic challenge for state governments is to maintain budgetary stability and program predictability in face of economic downturns. State governments can best meet this challenge by developing what we call countercyclical fiscal capacity (CCFC). We present the concept of CCFC as the creation and use of financial tools that help state governments maintain countercyclical spending and program stability during revenue shocks. We operationalize the concept in terms of fiscal reserves that are used to mitigate emergency-spending cuts and tax increases and analyze the operation of such reserves over a period that includes recessions in 1991 and 2001. We find evidence of the efficacy of CCFC and argue for greater investments in this aspect of government capacity.&quot;,&quot;issue&quot;:&quot;1&quot;,&quot;volume&quot;:&quot;18&quot;,&quot;container-title-short&quot;:&quot;&quot;}},{&quot;id&quot;:&quot;f94599e9-3597-3244-a4d5-67a959daf52a&quot;,&quot;isTemporary&quot;:false,&quot;itemData&quot;:{&quot;type&quot;:&quot;article-journal&quot;,&quot;id&quot;:&quot;f94599e9-3597-3244-a4d5-67a959daf52a&quot;,&quot;title&quot;:&quot;Do Budget Stabilization Funds Invite Transparent Budget Reporting? Budget Stabilization Funds and Fiscal Behavior of States&quot;,&quot;author&quot;:[{&quot;family&quot;:&quot;Choi&quot;,&quot;given&quot;:&quot;Eunjoo&quot;,&quot;parse-names&quot;:false,&quot;dropping-particle&quot;:&quot;&quot;,&quot;non-dropping-particle&quot;:&quot;&quot;}],&quot;container-title&quot;:&quot;Journal of Policy Studies&quot;,&quot;issued&quot;:{&quot;date-parts&quot;:[[2022]]},&quot;page&quot;:&quot;67-84&quot;,&quot;issue&quot;:&quot;3&quot;,&quot;volume&quot;:&quot;37&quot;,&quot;container-title-short&quot;:&quot;&quot;}}]},{&quot;properties&quot;:{&quot;noteIndex&quot;:0},&quot;citationID&quot;:&quot;MENDELEY_CITATION_a5e29ad0-4210-43a1-be01-d2266ae77a40&quot;,&quot;isEdited&quot;:false,&quot;manualOverride&quot;:{&quot;citeprocText&quot;:&quot;(K. Kriz, 2003; K. A. Kriz, 2015)&quot;,&quot;manualOverrideText&quot;:&quot;(Kriz, 2003; Kriz, 2015)&quot;,&quot;isManuallyOverriden&quot;:true,&quot;isManuallyOverridden&quot;:true},&quot;citationTag&quot;:&quot;MENDELEY_CITATION_v3_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&quot;,&quot;citationItems&quot;:[{&quot;id&quot;:&quot;1a371e03-ddaa-3bad-93d4-1b09344f5a86&quot;,&quot;isTemporary&quot;:false,&quot;itemData&quot;:{&quot;type&quot;:&quot;article-journal&quot;,&quot;id&quot;:&quot;1a371e03-ddaa-3bad-93d4-1b09344f5a86&quot;,&quot;title&quot;:&quot;The Optimal Level of Local Government Fund Balances: A Simulation Approach&quot;,&quot;author&quot;:[{&quot;family&quot;:&quot;Kriz&quot;,&quot;given&quot;:&quot;Kenneth&quot;,&quot;parse-names&quot;:false,&quot;dropping-particle&quot;:&quot;&quot;,&quot;non-dropping-particle&quot;:&quot;&quot;}],&quot;container-title&quot;:&quot;State Tax Notes&quot;,&quot;issued&quot;:{&quot;date-parts&quot;:[[2003]]},&quot;abstract&quot;:&quot;JSTOR is a not-for-profit service that helps scholars, researchers, and students discover, use, and build upon a wide range of content in a trusted digital archive. We use information technology and tools to increase productivity and facilitate new forms of scholarship. For more information about JSTOR, please contact support@jstor.org. Your use of the JSTOR archive indicates your acceptance of the Terms &amp; Conditions of Use, available at https://about.jstor.org/terms is collaborating with JSTOR to digitize, preserve and extend access&quot;,&quot;issue&quot;:&quot;10&quot;,&quot;volume&quot;:&quot;27&quot;,&quot;container-title-short&quot;:&quot;&quot;}},{&quot;id&quot;:&quot;a1397790-2afe-31b7-8898-d0401eb5a1d9&quot;,&quot;isTemporary&quot;:false,&quot;itemData&quot;:{&quot;type&quot;:&quot;chapter&quot;,&quot;id&quot;:&quot;a1397790-2afe-31b7-8898-d0401eb5a1d9&quot;,&quot;title&quot;:&quot;Is there an optimal size of fiscal reserves for local governments?&quot;,&quot;author&quot;:[{&quot;family&quot;:&quot;Kriz&quot;,&quot;given&quot;:&quot;Kenneth A.&quot;,&quot;parse-names&quot;:false,&quot;dropping-particle&quot;:&quot;&quot;,&quot;non-dropping-particle&quot;:&quot;&quot;}],&quot;container-title&quot;:&quot;Local Government Budget Stabilization: Explorations and Evidence&quot;,&quot;DOI&quot;:&quot;10.1007/978-3-319-15186-1_9&quot;,&quot;issued&quot;:{&quot;date-parts&quot;:[[2015]]},&quot;abstract&quot;:&quot;This chapter examines the topic of the optimal size of fiscal reserves. The fundamental question of whether there is an optimal level of reserves is considered, along with the elements of a model of the optimal reserve size. We examine existing research on the topic, and then build a model of reserves using a forecast simulation approach. We first develop a forecast model using data from a local government. The forecast model consists of two time-series systems equations. The first equation contains economic variables, producing a forecast of the local economy. Those forecasts then enter the second equation as predictors of revenues and expenditures. We then simulate the equations going forward to produce estimates of revenues and expenditures for the government, thus leading us to the level of fiscal reserves that should be required to cover potential shortfalls.&quot;,&quot;container-title-short&quot;:&quot;&quot;}}]},{&quot;citationID&quot;:&quot;MENDELEY_CITATION_39ea2953-3f92-4266-8d42-52d7b118e6c1&quot;,&quot;properties&quot;:{&quot;noteIndex&quot;:0},&quot;isEdited&quot;:false,&quot;manualOverride&quot;:{&quot;isManuallyOverridden&quot;:false,&quot;citeprocText&quot;:&quot;(Hou, 2003, 2004)&quot;,&quot;manualOverrideText&quot;:&quot;&quot;},&quot;citationTag&quot;:&quot;MENDELEY_CITATION_v3_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&quot;,&quot;citationItems&quot;:[{&quot;id&quot;:&quot;ec79977e-4c62-3d3a-b574-c74f0d52be70&quot;,&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isTemporary&quot;:false},{&quot;id&quot;:&quot;2dc7d27b-e79a-3d1f-916b-22b94f79b3ff&quot;,&quot;itemData&quot;:{&quot;type&quot;:&quot;article-journal&quot;,&quot;id&quot;:&quot;2dc7d27b-e79a-3d1f-916b-22b94f79b3ff&quot;,&quot;title&quot;:&quot;What Stabilizes State General Fund Expenditures in Downturn Years—Budget Stabilization Fund or General Fund Unreserved Undesignated Balance?&quot;,&quot;author&quot;:[{&quot;family&quot;:&quot;Hou&quot;,&quot;given&quot;:&quot;Yilin&quot;,&quot;parse-names&quot;:false,&quot;dropping-particle&quot;:&quot;&quot;,&quot;non-dropping-particle&quot;:&quot;&quot;}],&quot;container-title&quot;:&quot;Public Budgeting &amp; Finance&quot;,&quot;accessed&quot;:{&quot;date-parts&quot;:[[2022,1,31]]},&quot;DOI&quot;:&quot;10.1111/1540-5850.2303004&quot;,&quot;ISSN&quot;:&quot;1540-5850&quot;,&quot;URL&quot;:&quot;https://onlinelibrary.wiley.com/doi/full/10.1111/1540-5850.2303004&quot;,&quot;issued&quot;:{&quot;date-parts&quot;:[[2003,9,1]]},&quot;page&quot;:&quot;64-91&quot;,&quot;abstract&quot;:&quot;This article strictly defines the budget stabilization fund (BSF) as a counter-cyclical reserve, and with a panel data set examines the effects of BSF and general fund unreserved undesignated balances (UUB) on stabilizing state general fund expenditure during downturns. The article finds that BSFs bolster spending in lean years: each percentage point increase of BSF balance as a percent of general fund expenditure can minimize negative expenditure gap by a quarter percentage point. But the article does not find evidence that UUB is a counter-cyclical fiscal tool, indicating that wide adoption of BSF may have changed the nature and use of UUB. © 2017 Wiley. All rights reserved.&quot;,&quot;publisher&quot;:&quot;John Wiley &amp; Sons, Ltd&quot;,&quot;issue&quot;:&quot;3&quot;,&quot;volume&quot;:&quot;23&quot;,&quot;container-title-short&quot;:&quot;&quot;},&quot;isTemporary&quot;:false}]},{&quot;properties&quot;:{&quot;noteIndex&quot;:0},&quot;citationID&quot;:&quot;MENDELEY_CITATION_dccc3c20-ca4d-46ef-946d-0c558bf78ac2&quot;,&quot;isEdited&quot;:false,&quot;manualOverride&quot;:{&quot;isManuallyOverridden&quot;:false,&quot;manualOverrideText&quot;:&quot;&quot;,&quot;citeprocText&quot;:&quot;(Douglas &amp;#38; Gaddie, 2002; Hou, 2003; Hou &amp;#38; Moynihan, 2008; Maag &amp;#38; Merriman, 2001; Sobel &amp;#38; Holcombe, 1996)&quot;},&quot;citationTag&quot;:&quot;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&quot;,&quot;citationItems&quot;:[{&quot;id&quot;:&quot;8783f1d5-e3d2-36fd-8045-7943e249139c&quot;,&quot;isTemporary&quot;:false,&quot;itemData&quot;:{&quot;type&quot;:&quot;article-journal&quot;,&quot;id&quot;:&quot;8783f1d5-e3d2-36fd-8045-7943e249139c&quot;,&quot;title&quot;:&quot;State rainy day funds and fiscal crises: Rainy day funds and the 1990–1991 recession revisited&quot;,&quot;author&quot;:[{&quot;family&quot;:&quot;Douglas&quot;,&quot;given&quot;:&quot;James W.&quot;,&quot;parse-names&quot;:false,&quot;dropping-particle&quot;:&quot;&quot;,&quot;non-dropping-particle&quot;:&quot;&quot;},{&quot;family&quot;:&quot;Gaddie&quot;,&quot;given&quot;:&quot;Ronald Keith&quot;,&quot;parse-names&quot;:false,&quot;dropping-particle&quot;:&quot;&quot;,&quot;non-dropping-particle&quot;:&quot;&quot;}],&quot;container-title&quot;:&quot;Public Budgeting and Finance&quot;,&quot;DOI&quot;:&quot;10.1111/1540-5850.00063&quot;,&quot;ISSN&quot;:&quot;15405850&quot;,&quot;issued&quot;:{&quot;date-parts&quot;:[[2002]]},&quot;abstract&quot;:&quot;The recession of the early 1980s prompted many states to establish budget stabilization (rainy day) funds. Initial examinations of rainy day funds find a limited impact by the funds in alleviating fiscal stress. In this article, we propose an enhanced model of rainy day fund impact. Using data from 48 states for the 1990–1991 recession, our analysis indicates that the presence of a number of structural factors and the maintenance of generally large balances in other funds entering recession helps to alleviate fiscal stress when a state’s economy is in recession. © 2002 Blackwell Publishers Inc.&quot;,&quot;issue&quot;:&quot;1&quot;,&quot;volume&quot;:&quot;22&quot;,&quot;container-title-short&quot;:&quot;&quot;}},{&quot;id&quot;:&quot;2dc7d27b-e79a-3d1f-916b-22b94f79b3ff&quot;,&quot;isTemporary&quot;:false,&quot;itemData&quot;:{&quot;type&quot;:&quot;article-journal&quot;,&quot;id&quot;:&quot;2dc7d27b-e79a-3d1f-916b-22b94f79b3ff&quot;,&quot;title&quot;:&quot;What Stabilizes State General Fund Expenditures in Downturn Years—Budget Stabilization Fund or General Fund Unreserved Undesignated Balance?&quot;,&quot;author&quot;:[{&quot;family&quot;:&quot;Hou&quot;,&quot;given&quot;:&quot;Yilin&quot;,&quot;parse-names&quot;:false,&quot;dropping-particle&quot;:&quot;&quot;,&quot;non-dropping-particle&quot;:&quot;&quot;}],&quot;container-title&quot;:&quot;Public Budgeting &amp; Finance&quot;,&quot;accessed&quot;:{&quot;date-parts&quot;:[[2022,1,30]]},&quot;DOI&quot;:&quot;10.1111/1540-5850.2303004&quot;,&quot;ISSN&quot;:&quot;1540-5850&quot;,&quot;URL&quot;:&quot;https://onlinelibrary.wiley.com/doi/full/10.1111/1540-5850.2303004&quot;,&quot;issued&quot;:{&quot;date-parts&quot;:[[2003,9,1]]},&quot;page&quot;:&quot;64-91&quot;,&quot;abstract&quot;:&quot;This article strictly defines the budget stabilization fund (BSF) as a counter-cyclical reserve, and with a panel data set examines the effects of BSF and general fund unreserved undesignated balances (UUB) on stabilizing state general fund expenditure during downturns. The article finds that BSFs bolster spending in lean years: each percentage point increase of BSF balance as a percent of general fund expenditure can minimize negative expenditure gap by a quarter percentage point. But the article does not find evidence that UUB is a counter-cyclical fiscal tool, indicating that wide adoption of BSF may have changed the nature and use of UUB. © 2017 Wiley. All rights reserved.&quot;,&quot;publisher&quot;:&quot;John Wiley &amp; Sons, Ltd&quot;,&quot;issue&quot;:&quot;3&quot;,&quot;volume&quot;:&quot;23&quot;,&quot;container-title-short&quot;:&quot;&quot;}},{&quot;id&quot;:&quot;85bdf294-1af1-3fc2-8c78-c4f6ce6096b2&quot;,&quot;isTemporary&quot;:false,&quot;itemData&quot;:{&quot;type&quot;:&quot;article-journal&quot;,&quot;id&quot;:&quot;85bdf294-1af1-3fc2-8c78-c4f6ce6096b2&quot;,&quot;title&quot;:&quot;The case for countercyclical fiscal capacity&quot;,&quot;author&quot;:[{&quot;family&quot;:&quot;Hou&quot;,&quot;given&quot;:&quot;Yilin&quot;,&quot;parse-names&quot;:false,&quot;dropping-particle&quot;:&quot;&quot;,&quot;non-dropping-particle&quot;:&quot;&quot;},{&quot;family&quot;:&quot;Moynihan&quot;,&quot;given&quot;:&quot;Donald P.&quot;,&quot;parse-names&quot;:false,&quot;dropping-particle&quot;:&quot;&quot;,&quot;non-dropping-particle&quot;:&quot;&quot;}],&quot;container-title&quot;:&quot;Journal of Public Administration Research and Theory&quot;,&quot;DOI&quot;:&quot;10.1093/jopart/mum006&quot;,&quot;ISSN&quot;:&quot;10531858&quot;,&quot;issued&quot;:{&quot;date-parts&quot;:[[2008]]},&quot;abstract&quot;:&quot;A growing literature has sought to demonstrate when and how government capacity links to performance. This article examines those questions in the area of financial management. A basic challenge for state governments is to maintain budgetary stability and program predictability in face of economic downturns. State governments can best meet this challenge by developing what we call countercyclical fiscal capacity (CCFC). We present the concept of CCFC as the creation and use of financial tools that help state governments maintain countercyclical spending and program stability during revenue shocks. We operationalize the concept in terms of fiscal reserves that are used to mitigate emergency-spending cuts and tax increases and analyze the operation of such reserves over a period that includes recessions in 1991 and 2001. We find evidence of the efficacy of CCFC and argue for greater investments in this aspect of government capacity.&quot;,&quot;issue&quot;:&quot;1&quot;,&quot;volume&quot;:&quot;18&quot;,&quot;container-title-short&quot;:&quot;&quot;}},{&quot;id&quot;:&quot;88fab058-e283-3a49-ba89-36cf80ee19ff&quot;,&quot;isTemporary&quot;:false,&quot;itemData&quot;:{&quot;type&quot;:&quot;report&quot;,&quot;id&quot;:&quot;88fab058-e283-3a49-ba89-36cf80ee19ff&quot;,&quot;title&quot;:&quot;Understanding States' Fiscal Health During and After the 2001 Recession&quot;,&quot;author&quot;:[{&quot;family&quot;:&quot;Maag&quot;,&quot;given&quot;:&quot;Elaine&quot;,&quot;parse-names&quot;:false,&quot;dropping-particle&quot;:&quot;&quot;,&quot;non-dropping-particle&quot;:&quot;&quot;},{&quot;family&quot;:&quot;Merriman&quot;,&quot;given&quot;:&quot;David F&quot;,&quot;parse-names&quot;:false,&quot;dropping-particle&quot;:&quot;&quot;,&quot;non-dropping-particle&quot;:&quot;&quot;}],&quot;URL&quot;:&quot;www.coloradobudget.com/rdf_report.cfm.&quot;,&quot;issued&quot;:{&quot;date-parts&quot;:[[2001]]},&quot;container-title-short&quot;:&quot;&quot;}},{&quot;id&quot;:&quot;53437183-c745-3704-b48b-8d3974e73f59&quot;,&quot;isTemporary&quot;:false,&quot;itemData&quot;:{&quot;type&quot;:&quot;article-journal&quot;,&quot;id&quot;:&quot;53437183-c745-3704-b48b-8d3974e73f59&quot;,&quot;title&quot;:&quot;The Impact of State Rainy Day Funds in Easing State Fiscal Crises During the 1990-1991 Recession&quot;,&quot;author&quot;:[{&quot;family&quot;:&quot;Sobel&quot;,&quot;given&quot;:&quot;Russell S.&quot;,&quot;parse-names&quot;:false,&quot;dropping-particle&quot;:&quot;&quot;,&quot;non-dropping-particle&quot;:&quot;&quot;},{&quot;family&quot;:&quot;Holcombe&quot;,&quot;given&quot;:&quot;Randall G.&quot;,&quot;parse-names&quot;:false,&quot;dropping-particle&quot;:&quot;&quot;,&quot;non-dropping-particle&quot;:&quot;&quot;}],&quot;container-title&quot;:&quot;Public Budgeting &lt;html_ent glyph=\&quot;@amp;\&quot; ascii=\&quot;&amp;amp;\&quot;/&gt; Finance&quot;,&quot;accessed&quot;:{&quot;date-parts&quot;:[[2021,3,10]]},&quot;DOI&quot;:&quot;10.1111/1540-5850.01075&quot;,&quot;ISSN&quot;:&quot;0275-1100&quot;,&quot;URL&quot;:&quot;http://doi.wiley.com/10.1111/1540-5850.01075&quot;,&quot;issued&quot;:{&quot;date-parts&quot;:[[1996,9,1]]},&quot;page&quot;:&quot;28-48&quot;,&quot;abstract&quot;:&quot;This article examines the degree to which rainy day funds eased the fiscal stress experienced by states during the 1990–1991 recession. In the first section, a state fiscal policy of neutrality over the business cycle is used as a benchmark for evaluating the use of budget stabilization funds. The next section looks at data from the last three recessions to see how recessions have affected the taxes and expenditures of states. A measure of degree of fiscal stress experienced by each state during the 1990–1991 recession is then calculated. These results are used to empirically investigate the impact of explicit state rainy day funds in easing state fiscal stress. Next, the article examines whether states that had rainy day funds in 1989 were more likely to have less fiscal stress, and whether the specific deposit and withdrawal provisions of these funds made a difference. © 1996 Blackwell Publishing Ltd.&quot;,&quot;publisher&quot;:&quot;John Wiley &amp; Sons, Ltd&quot;,&quot;issue&quot;:&quot;3&quot;,&quot;volume&quot;:&quot;16&quot;,&quot;container-title-short&quot;:&quot;&quot;}}]},{&quot;properties&quot;:{&quot;noteIndex&quot;:0},&quot;citationID&quot;:&quot;MENDELEY_CITATION_2cba8130-30d9-4c16-a889-06838f567972&quot;,&quot;isEdited&quot;:false,&quot;manualOverride&quot;:{&quot;isManuallyOverridden&quot;:false,&quot;manualOverrideText&quot;:&quot;&quot;,&quot;citeprocText&quot;:&quot;(Hou et al., 2003; Hou &amp;#38; Moynihan, 2008)&quot;},&quot;citationTag&quot;:&quot;MENDELEY_CITATION_v3_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&quot;,&quot;citationItems&quot;:[{&quot;id&quot;:&quot;90355aeb-24d2-3401-9898-9c3709033e81&quot;,&quot;isTemporary&quot;:false,&quot;itemData&quot;:{&quot;type&quot;:&quot;article-journal&quot;,&quot;id&quot;:&quot;90355aeb-24d2-3401-9898-9c3709033e81&quot;,&quot;title&quot;:&quot;Capacity, Management, and Performance: Exploring the Links&quot;,&quot;author&quot;:[{&quot;family&quot;:&quot;Hou&quot;,&quot;given&quot;:&quot;Yilin&quot;,&quot;parse-names&quot;:false,&quot;dropping-particle&quot;:&quot;&quot;,&quot;non-dropping-particle&quot;:&quot;&quot;},{&quot;family&quot;:&quot;Moynihan&quot;,&quot;given&quot;:&quot;Donald P.&quot;,&quot;parse-names&quot;:false,&quot;dropping-particle&quot;:&quot;&quot;,&quot;non-dropping-particle&quot;:&quot;&quot;},{&quot;family&quot;:&quot;Ingraham&quot;,&quot;given&quot;:&quot;Patricia Wallace&quot;,&quot;parse-names&quot;:false,&quot;dropping-particle&quot;:&quot;&quot;,&quot;non-dropping-particle&quot;:&quot;&quot;}],&quot;container-title&quot;:&quot;American Review of Public Administration&quot;,&quot;container-title-short&quot;:&quot;Am Rev Public Adm&quot;,&quot;DOI&quot;:&quot;10.1177/0275074003251651&quot;,&quot;ISSN&quot;:&quot;02750740&quot;,&quot;issued&quot;:{&quot;date-parts&quot;:[[2003]]},&quot;abstract&quot;:&quot;Amid the focus of public management reforms on improving the performance of public organizations and their managers, there has been little empirical attention to the links between performance and management systems and activities; little attention has been paid to how and under what circumstances \&quot;management matters.\&quot; This study reports data from the Government Performance Project (GPP), with information of all 50 states. The GPP model argues that fundamental management systems are not only amenable to comparison across states but can provide critical components of the capacity that is basic to longer term effectiveness and performance. This article considers the extent to which capacity facilitates performance in financial management, analyzing the factors that contribute to the maintenance of rainy day funds (RDFs). The authors argue that arriving at positive performance for such indicators requires not only administrative capacity but also rules that shape political behavior that will support performance.&quot;,&quot;issue&quot;:&quot;3&quot;,&quot;volume&quot;:&quot;33&quot;}},{&quot;id&quot;:&quot;85bdf294-1af1-3fc2-8c78-c4f6ce6096b2&quot;,&quot;isTemporary&quot;:false,&quot;itemData&quot;:{&quot;type&quot;:&quot;article-journal&quot;,&quot;id&quot;:&quot;85bdf294-1af1-3fc2-8c78-c4f6ce6096b2&quot;,&quot;title&quot;:&quot;The case for countercyclical fiscal capacity&quot;,&quot;author&quot;:[{&quot;family&quot;:&quot;Hou&quot;,&quot;given&quot;:&quot;Yilin&quot;,&quot;parse-names&quot;:false,&quot;dropping-particle&quot;:&quot;&quot;,&quot;non-dropping-particle&quot;:&quot;&quot;},{&quot;family&quot;:&quot;Moynihan&quot;,&quot;given&quot;:&quot;Donald P.&quot;,&quot;parse-names&quot;:false,&quot;dropping-particle&quot;:&quot;&quot;,&quot;non-dropping-particle&quot;:&quot;&quot;}],&quot;container-title&quot;:&quot;Journal of Public Administration Research and Theory&quot;,&quot;DOI&quot;:&quot;10.1093/jopart/mum006&quot;,&quot;ISSN&quot;:&quot;10531858&quot;,&quot;issued&quot;:{&quot;date-parts&quot;:[[2008]]},&quot;abstract&quot;:&quot;A growing literature has sought to demonstrate when and how government capacity links to performance. This article examines those questions in the area of financial management. A basic challenge for state governments is to maintain budgetary stability and program predictability in face of economic downturns. State governments can best meet this challenge by developing what we call countercyclical fiscal capacity (CCFC). We present the concept of CCFC as the creation and use of financial tools that help state governments maintain countercyclical spending and program stability during revenue shocks. We operationalize the concept in terms of fiscal reserves that are used to mitigate emergency-spending cuts and tax increases and analyze the operation of such reserves over a period that includes recessions in 1991 and 2001. We find evidence of the efficacy of CCFC and argue for greater investments in this aspect of government capacity.&quot;,&quot;issue&quot;:&quot;1&quot;,&quot;volume&quot;:&quot;18&quot;,&quot;container-title-short&quot;:&quot;&quot;}}]},{&quot;properties&quot;:{&quot;noteIndex&quot;:0},&quot;citationID&quot;:&quot;MENDELEY_CITATION_505e514d-38bd-42db-8cdc-1af666543317&quot;,&quot;isEdited&quot;:false,&quot;manualOverride&quot;:{&quot;isManuallyOverridden&quot;:false,&quot;manualOverrideText&quot;:&quot;&quot;,&quot;citeprocText&quot;:&quot;(Rose, 2008)&quot;},&quot;citationTag&quot;:&quot;MENDELEY_CITATION_v3_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&quot;,&quot;citationItems&quot;:[{&quot;id&quot;:&quot;709f11ad-8e5b-3b26-aaa6-a6337c74f47c&quot;,&quot;isTemporary&quot;:false,&quot;itemData&quot;:{&quot;type&quot;:&quot;article-journal&quot;,&quot;id&quot;:&quot;709f11ad-8e5b-3b26-aaa6-a6337c74f47c&quot;,&quot;title&quot;:&quot;The Political Manipulation of U.S. State Rainy Day Funds Under Rules Versus Discretion&quot;,&quot;author&quot;:[{&quot;family&quot;:&quot;Rose&quot;,&quot;given&quot;:&quot;Shanna&quot;,&quot;parse-names&quot;:false,&quot;dropping-particle&quot;:&quot;&quot;,&quot;non-dropping-particle&quot;:&quot;&quot;}],&quot;container-title&quot;:&quot;State Politics and Policy Quarterly&quot;,&quot;DOI&quot;:&quot;10.1177/153244000800800203&quot;,&quot;ISSN&quot;:&quot;19461607&quot;,&quot;issued&quot;:{&quot;date-parts&quot;:[[2008]]},&quot;abstract&quot;:&quot;Anecdotal evidence suggests that U.S. state politicians manipulate rainy day funds for political purposes, but such claims remain untested in the literature. This article finds that lawmakers withdraw nearly three times more funds in response to a deficit shock of a given size if it occurs in an election year rather than in a non-election year; this occurs despite the fact that the magnitude of shocks does not vary over the electoral cycle. This effect is stronger when incumbents are eligible for re-election than when they are term-limited. When it comes to preventing political manipulation of funds, rainy day fund rules that increase the number of veto players who must approve of withdrawals seem to be more effective than rules that specify the economic conditions under which funds may be withdrawn.&quot;,&quot;issue&quot;:&quot;2&quot;,&quot;volume&quot;:&quot;8&quot;,&quot;expandedJournalTitle&quot;:&quot;State Politics and Policy Quarterly&quot;,&quot;container-title-short&quot;:&quot;State Polit Policy Q&quot;}}]},{&quot;citationID&quot;:&quot;MENDELEY_CITATION_9d77f02a-adf9-46ce-b43e-41385e6ed499&quot;,&quot;properties&quot;:{&quot;noteIndex&quot;:0},&quot;isEdited&quot;:false,&quot;manualOverride&quot;:{&quot;isManuallyOverridden&quot;:false,&quot;citeprocText&quot;:&quot;(Hendrick, 2006)&quot;,&quot;manualOverrideText&quot;:&quot;&quot;},&quot;citationTag&quot;:&quot;MENDELEY_CITATION_v3_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&quot;,&quot;citationItems&quot;:[{&quot;id&quot;:&quot;fc690baf-2262-3bdd-9c3d-3d70bd493fa0&quot;,&quot;itemData&quot;:{&quot;type&quot;:&quot;article-journal&quot;,&quot;id&quot;:&quot;fc690baf-2262-3bdd-9c3d-3d70bd493fa0&quot;,&quot;title&quot;:&quot;The Role of Slack in Local Government Finances&quot;,&quot;author&quot;:[{&quot;family&quot;:&quot;Hendrick&quot;,&quot;given&quot;:&quot;Rebecca&quot;,&quot;parse-names&quot;:false,&quot;dropping-particle&quot;:&quot;&quot;,&quot;non-dropping-particle&quot;:&quot;&quot;}],&quot;container-title&quot;:&quot;Public Budgeting and Finance&quot;,&quot;DOI&quot;:&quot;10.1111/j.1540-5850.2006.00837.x&quot;,&quot;ISSN&quot;:&quot;15405850&quot;,&quot;issued&quot;:{&quot;date-parts&quot;:[[2006]]},&quot;page&quot;:&quot;14-46 &quot;,&quot;abstract&quot;:&quot;The research presented here adopts an organizational approach to develop three regression models that examine why local governments accumulate slack in the form of unreserved fund balances, and what is the impact of slack resources on local governments' short-term fiscal conditions and decisions about spending and revenues. Using data on Chicago suburban municipalities and their governments, the first model estimates the effects of long-term and short-term conditions (fiscal and governing) on unreserved fund balances. The second and third models examine the impact of slack resources and other factors on year-end deficits or surpluses and changes in spending and own-source revenues. The results show that ending balances, expenditures (size), and long-term fiscal conditions have the greatest effect on fund balances, and that slack and current fiscal conditions have the greatest effect on ending balances and changes in revenues and spending. © 2017 Wiley. All rights reserved.&quot;,&quot;issue&quot;:&quot;1&quot;,&quot;volume&quot;:&quot;26&quot;,&quot;container-title-short&quot;:&quot;&quot;},&quot;isTemporary&quot;:false}]},{&quot;properties&quot;:{&quot;noteIndex&quot;:0},&quot;citationID&quot;:&quot;MENDELEY_CITATION_d4ce2b09-5fa8-4304-9a2a-b57a9c022a16&quot;,&quot;isEdited&quot;:false,&quot;manualOverride&quot;:{&quot;isManuallyOverridden&quot;:false,&quot;manualOverrideText&quot;:&quot;&quot;,&quot;citeprocText&quot;:&quot;(Lee &amp;#38; Chen, 2022; Schein, 1993)&quot;},&quot;citationTag&quot;:&quot;MENDELEY_CITATION_v3_eyJwcm9wZXJ0aWVzIjp7Im5vdGVJbmRleCI6MH0sImNpdGF0aW9uSUQiOiJNRU5ERUxFWV9DSVRBVElPTl9kNGNlMmIwOS01ZmE4LTQzMDQtOWEyYS1iNTdhOWMwMjJhMTYiLCJpc0VkaXRlZCI6ZmFsc2UsIm1hbnVhbE92ZXJyaWRlIjp7ImlzTWFudWFsbHlPdmVycmlkZGVuIjpmYWxzZSwibWFudWFsT3ZlcnJpZGVUZXh0IjoiIiwiY2l0ZXByb2NUZXh0IjoiKExlZSAmIzM4OyBDaGVuLCAyMDIyOyBTY2hlaW4sIDE5OTMpIn0sImNpdGF0aW9uSXRlbXMiOlt7ImlkIjoiNzQ0MjFkZGYtMDNlNC0zZTk3LWExMzItM2UyNjE2NDI5ODljIiwiaXNUZW1wb3JhcnkiOmZhbHNl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quot;,&quot;citationItems&quot;:[{&quot;id&quot;:&quot;74421ddf-03e4-3e97-a132-3e261642989c&quot;,&quot;isTemporary&quot;:false,&quot;itemData&quot;:{&quot;type&quot;:&quot;article-journal&quot;,&quot;id&quot;:&quot;74421ddf-03e4-3e97-a132-3e261642989c&quot;,&quot;title&quot;:&quot;On dialogue, culture, and organizational learning&quot;,&quot;author&quot;:[{&quot;family&quot;:&quot;Schein&quot;,&quot;given&quot;:&quot;Edgar H.&quot;,&quot;parse-names&quot;:false,&quot;dropping-particle&quot;:&quot;&quot;,&quot;non-dropping-particle&quot;:&quot;&quot;}],&quot;container-title&quot;:&quot;Organizational Dynamics&quot;,&quot;container-title-short&quot;:&quot;Organ Dyn&quot;,&quot;DOI&quot;:&quot;10.1016/0090-2616(93)90052-3&quot;,&quot;ISSN&quot;:&quot;00902616&quot;,&quot;issued&quot;:{&quot;date-parts&quot;:[[1993]]},&quot;issue&quot;:&quot;2&quot;,&quot;volume&quot;:&quot;22&quot;}},{&quot;id&quot;:&quot;cbd1839c-b8c0-3576-b1b1-d01a46964bd1&quot;,&quot;isTemporary&quot;:false,&quot;itemData&quot;:{&quot;type&quot;:&quot;article-journal&quot;,&quot;id&quot;:&quot;cbd1839c-b8c0-3576-b1b1-d01a46964bd1&quot;,&quot;title&quot;:&quot;Disaster Experience and Governments' Savings: The Moderating Role of Organizational Capacity&quot;,&quot;author&quot;:[{&quot;family&quot;:&quot;Lee&quot;,&quot;given&quot;:&quot;Sungyoon&quot;,&quot;parse-names&quot;:false,&quot;dropping-particle&quot;:&quot;&quot;,&quot;non-dropping-particle&quot;:&quot;&quot;},{&quot;family&quot;:&quot;Chen&quot;,&quot;given&quot;:&quot;Gang&quot;,&quot;parse-names&quot;:false,&quot;dropping-particle&quot;:&quot;&quot;,&quot;non-dropping-particle&quot;:&quot;&quot;}],&quot;container-title&quot;:&quot;Journal of Public Administration Research and Theory&quot;,&quot;DOI&quot;:&quot;10.1093/jopart/muab043&quot;,&quot;ISSN&quot;:&quot;14779803&quot;,&quot;issued&quot;:{&quot;date-parts&quot;:[[2022]]},&quot;abstract&quot;:&quot;The increasing risk of natural and human-induced disasters has caused considerable costs to governments. Governments' savings can function as a mechanism to mitigate such revenue or expenditure shocks due to disasters. While past studies have examined how recessions affect government reserves, to date, few studies have tested how a government's past experiences of natural disasters affect the level of its savings. In this study, we use organizational learning theory as a framework to explain this relationship. We empirically parse out the effect of previous disaster experience on reserve funds (i.e., rainy-day funds) and general savings (i.e., unassigned general fund balance). We further test whether organizational capacity serves as a moderator of the relationship between past disaster experience and savings. For the analysis, this study employs a Generalized Method of Moments (GMM) to examine a sample of US states for the years from 2002 to 2017. We find that an increase in cumulative damage from prior disasters is associated with an increase in rainy-day funds and this relationship is stronger in governments with a high organizational capacity. The results remain robust to estimations with alternative measures. These findings support the organizational learning theory, which suggests that governments learn from their past experiences to increase preparedness for future disasters. We also point out the importance of financial capacity in the process of organizational learning.&quot;,&quot;issue&quot;:&quot;3&quot;,&quot;volume&quot;:&quot;32&quot;,&quot;container-title-short&quot;:&quot;&quot;}}]},{&quot;properties&quot;:{&quot;noteIndex&quot;:0},&quot;citationID&quot;:&quot;MENDELEY_CITATION_8b3db35c-c735-4897-a025-a838c4928ceb&quot;,&quot;isEdited&quot;:false,&quot;manualOverride&quot;:{&quot;isManuallyOverridden&quot;:false,&quot;manualOverrideText&quot;:&quot;&quot;,&quot;citeprocText&quot;:&quot;(Downs, 1961)&quot;},&quot;citationTag&quot;:&quot;MENDELEY_CITATION_v3_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&quot;,&quot;citationItems&quot;:[{&quot;id&quot;:&quot;7045af20-08a8-3b56-90c6-07de046d6b3e&quot;,&quot;isTemporary&quot;:false,&quot;itemData&quot;:{&quot;type&quot;:&quot;article-journal&quot;,&quot;id&quot;:&quot;7045af20-08a8-3b56-90c6-07de046d6b3e&quot;,&quot;title&quot;:&quot;Problems of Majority Voting: In Defense of Majority Voting&quot;,&quot;author&quot;:[{&quot;family&quot;:&quot;Downs&quot;,&quot;given&quot;:&quot;Anthony&quot;,&quot;parse-names&quot;:false,&quot;dropping-particle&quot;:&quot;&quot;,&quot;non-dropping-particle&quot;:&quot;&quot;}],&quot;container-title&quot;:&quot;Journal of Political Economy&quot;,&quot;DOI&quot;:&quot;10.1086/258455&quot;,&quot;ISSN&quot;:&quot;0022-3808&quot;,&quot;issued&quot;:{&quot;date-parts&quot;:[[1961]]},&quot;abstract&quot;:&quot;The essay provides an up-to-date review of the realities of Italian restoration. Restoration work feeds off the doubt that stems directly from historical and balance, and a conceptual rigour and practical approach at the same time. Restoration is carried out always and only on the original, with all the attendant risks of error and damage, and thus with all the prudence that demands. One of the most recent definitions of restoration is put forward: â€œBy restoration, therefore, is meant any intervention that has the aim of conserving and transmitting to the future works of historical, artistic and environmental interest, facilitating the reading of them while not erasing the traces of the passage of time this is based on a respect for ancient material land the authentic documentation that such works constitute and, moreover, is to be seen as a critical act of interpretation that is not verbal but expressed concretely in the work carried out. Or, more precisely, it is a critical hypothesis and a proposition that is always modifiable, without it ever altering irreversibly the originalâ€ . The true nature of restoration is a complete fusion of historical and technical-scientific expertise. It is therefore artificial to distinguish between a â€˜project of consolidationâ€™ and a truly described restoration project. This is a distinction based on the assumption (to be demonstrated) that in an ancient building static problems and those related to the materials can be isolated and treated separately from an overall understanding of the architectural ensemble. So the paper stresses research methodology, the project and specific skills. As part of the principle of unity of methods in restoration, interdisciplinarity is viewed as the principal tool for bringing together consistently and fully the different skills necessary for the study and conservation of monuments. In summary, there are three fundamental components: (1) the history of architecture and theory of restoration; (2) the techniques of survey, analysis, diagnosis and intervention on the materials and the structure; and (3) legislative and regulatory aspects. The author emphasises the link between restoration and access to the monumental heritage. The definition of restoration as â€˜an act of cultureâ€™ (fundamentally critical-historical and technical-scientific) leads to the reflection that culture is, by definition, exchange, communication and opening up to people without distinction. So restoration, because of its cultural nature, has need of recommendations, trends and orientations rather than regulations. Restoration looks to the future, not to the past. It has educational and commemorative functions for future generations, for young people; it ultimately is concerned not with satisfaction with research per se but the preparation of all citizens and their quality of life, viewed in the widest possible spiritual and material sense. In conclusion, some perspectives for the new millennium are offered. We have to ask ourselves whether society today is still able to guarantee a role for memory, for history and for the value of traditions, or for beauty itself. At first sight, it seems that interest in conservation and restoration has been reinforced in recent times. At the same time, we are aware of dominant pressures wanting to renovate and redesign our environment, giving priority above all to economic factors and revenue. To recall an earlier declaration by Renato Bonelli: contemporary society is not interested in historical and artistic things in themselves, whether they are ancient or modern. It is practical and consumerist, but it is also a society of complexities, and that however opens up some vents.&quot;,&quot;issue&quot;:&quot;2&quot;,&quot;volume&quot;:&quot;69&quot;,&quot;container-title-short&quot;:&quot;&quot;}}]},{&quot;properties&quot;:{&quot;noteIndex&quot;:0},&quot;citationID&quot;:&quot;MENDELEY_CITATION_078128af-d990-43b7-859c-fa4568146279&quot;,&quot;isEdited&quot;:false,&quot;manualOverride&quot;:{&quot;isManuallyOverridden&quot;:false,&quot;manualOverrideText&quot;:&quot;&quot;,&quot;citeprocText&quot;:&quot;(Buchanan &amp;#38; Wagner, 1977)&quot;},&quot;citationTag&quot;:&quot;MENDELEY_CITATION_v3_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&quot;,&quot;citationItems&quot;:[{&quot;id&quot;:&quot;6ee43838-a025-3695-a153-5b64ce581993&quot;,&quot;isTemporary&quot;:false,&quot;itemData&quot;:{&quot;type&quot;:&quot;book&quot;,&quot;id&quot;:&quot;6ee43838-a025-3695-a153-5b64ce581993&quot;,&quot;title&quot;:&quot;Democracy in deficit&quot;,&quot;author&quot;:[{&quot;family&quot;:&quot;Buchanan&quot;,&quot;given&quot;:&quot;James M.&quot;,&quot;parse-names&quot;:false,&quot;dropping-particle&quot;:&quot;&quot;,&quot;non-dropping-particle&quot;:&quot;&quot;},{&quot;family&quot;:&quot;Wagner&quot;,&quot;given&quot;:&quot;Richard E.&quot;,&quot;parse-names&quot;:false,&quot;dropping-particle&quot;:&quot;&quot;,&quot;non-dropping-particle&quot;:&quot;&quot;}],&quot;container-title&quot;:&quot;The Collected Works of James M. Buchanan volume 8&quot;,&quot;accessed&quot;:{&quot;date-parts&quot;:[[2022,5,31]]},&quot;ISBN&quot;:&quot;0865972273&quot;,&quot;issued&quot;:{&quot;date-parts&quot;:[[1977]]},&quot;publisher-place&quot;:&quot;Amsterdam&quot;,&quot;publisher&quot;:&quot;Academic Press&quot;,&quot;container-title-short&quot;:&quot;&quot;}}]},{&quot;properties&quot;:{&quot;noteIndex&quot;:0},&quot;citationID&quot;:&quot;MENDELEY_CITATION_4bd04998-c81a-4f4b-8b9d-46f358465a7d&quot;,&quot;isEdited&quot;:false,&quot;manualOverride&quot;:{&quot;isManuallyOverridden&quot;:false,&quot;manualOverrideText&quot;:&quot;&quot;,&quot;citeprocText&quot;:&quot;(Kwak, 2014)&quot;},&quot;citationTag&quot;:&quot;MENDELEY_CITATION_v3_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&quot;,&quot;citationItems&quot;:[{&quot;id&quot;:&quot;900fc886-5616-3b63-95df-0911200094ae&quot;,&quot;isTemporary&quot;:false,&quot;itemData&quot;:{&quot;type&quot;:&quot;article-journal&quot;,&quot;id&quot;:&quot;900fc886-5616-3b63-95df-0911200094ae&quot;,&quot;title&quot;:&quot;The Dynamics of State Fiscal Behavior Over the Business Cycle: Are State Fiscal Policies Procyclical?&quot;,&quot;author&quot;:[{&quot;family&quot;:&quot;Kwak&quot;,&quot;given&quot;:&quot;Sunjoo&quot;,&quot;parse-names&quot;:false,&quot;dropping-particle&quot;:&quot;&quot;,&quot;non-dropping-particle&quot;:&quot;&quot;}],&quot;container-title&quot;:&quot;American Review of Public Administration&quot;,&quot;DOI&quot;:&quot;10.1177/0275074012475155&quot;,&quot;ISSN&quot;:&quot;15523357&quot;,&quot;issued&quot;:{&quot;date-parts&quot;:[[2014]]},&quot;abstract&quot;:&quot;The purpose of this study is to examine how cyclical fluctuations in tax revenue affect state fiscal policies, using a state panel data set. In particular, the study develops a measure of revenue gap-the cyclical component of tax revenue-by calculating the orthogonal deviations of tax bases from the trend, and then analyzes its effects on the level of spending and taxation-as measured by expenditure gap and overall tax rate-using a dynamic panel-data model. The analyses reveal that revenue gap is positively related to expenditure gap and negatively to overall tax rate. These results clearly show the procyclical patterns of state fiscal policies and further suggest the association between revenue volatility and fiscal instability. Based on the results, the study discusses the spending stabilization rules as a policy solution to the recurring state fiscal crises. © The Author(s) 2013.&quot;,&quot;issue&quot;:&quot;5&quot;,&quot;volume&quot;:&quot;44&quot;,&quot;container-title-short&quot;:&quot;Am Rev Public Adm&quot;}}]},{&quot;properties&quot;:{&quot;noteIndex&quot;:0},&quot;citationID&quot;:&quot;MENDELEY_CITATION_03319541-dee0-4e75-b60b-be5329a94acd&quot;,&quot;isEdited&quot;:false,&quot;manualOverride&quot;:{&quot;isManuallyOverriden&quot;:false,&quot;manualOverrideText&quot;:&quot;&quot;,&quot;citeprocText&quot;:&quot;(Tiebout, 1956)&quot;,&quot;isManuallyOverridden&quot;:false},&quot;citationTag&quot;:&quot;MENDELEY_CITATION_v3_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&quot;,&quot;citationItems&quot;:[{&quot;id&quot;:&quot;eac0ab19-1a1f-3b54-8dd1-d27d34e3ee04&quot;,&quot;isTemporary&quot;:false,&quot;itemData&quot;:{&quot;type&quot;:&quot;article-journal&quot;,&quot;id&quot;:&quot;eac0ab19-1a1f-3b54-8dd1-d27d34e3ee04&quot;,&quot;title&quot;:&quot;A Pure Theory of Local Expenditures&quot;,&quot;author&quot;:[{&quot;family&quot;:&quot;Tiebout&quot;,&quot;given&quot;:&quot;Charles M.&quot;,&quot;parse-names&quot;:false,&quot;dropping-particle&quot;:&quot;&quot;,&quot;non-dropping-particle&quot;:&quot;&quot;}],&quot;container-title&quot;:&quot;Journal of Political Economy&quot;,&quot;DOI&quot;:&quot;10.1086/257839&quot;,&quot;ISSN&quot;:&quot;0022-3808&quot;,&quot;issued&quot;:{&quot;date-parts&quot;:[[1956]]},&quot;abstract&quot;:&quot;The title of Tiebout's most famous article, \&quot;A Pure Theory of Local Expenditures,\&quot; is a direct play on Paul Samuelson's famous 1954 article, \&quot;The Pure Theory of Public Expenditures.\&quot; Samuelson and other economists had analyzed the \&quot;free rider problem\&quot; that governments face when they provide goods and services. If no one can be excluded from consuming these public goods, individuals do not have an incentive to reveal their preferences for them. Everyone has an incentive to understate their true preferences to reduce their own tax burden, while still hoping to be able to enjoy the public good supplied by others. Markets therefore fail to provide public goods efficiently, and some form of government intervention is needed. Tiebout's key insight was that this problem is different when local governments provide goods to citizens who can move among distinct communities. If citizens are faced with an array of communities that offer different types or levels of public goods and services, then each citizen will choose the community that best satisfies his or her own particular demands. Individuals effectively reveal their preferences by \&quot;voting with their feet.\&quot; Citizens with high demands for public goods will concentrate themselves in communities with high levels of public services and high taxes, while those with low demands will choose other communities with low levels of public services and low taxes. Competition among jurisdictions results in homogeneous communities, with residents that all value public services similarly. In equilibrium, no individual can be made better off by moving, and the market is efficient. It does not require a political solution to provide the optimal level of public goods. In addition to perfect residential mobility, Tiebout's model assumes that there are no spillovers of benefits across communities, and that costs increase as additional people receive services. These conditions do not make local governments efficient providers of pure public goods like national defense. However, they do imply that local governments can efficiently provide what are essentially private goods like education and garbage collecting. Tiebout noted that at the time about half of all government services fell into the domain of local governments and were then subject to this type of analysis. In contrast to the prevailing assumption that government would often provide inefficient levels of public goods, Tiebout showed that these decentralized systems act just as regular markets. Tiebout's paper was a purely theoretical piece, but it has had wide empirical application. A long literature in local public finance has built on his insights about community choice to estimate demands for local public goods like education, sanitation, and fire protection, and to study how property values reflect area taxes and services. Others have built on his model to explain why zoning laws are such a pervasive tool of urban and regional governments, as communities attempt to prevent free riding by citizens who buy small homes in communities with high property wealth and low tax rates. More broadly, Tiebout's insights have had a large impact on debates about fiscal federalism and the proper roles of central, regional, and local governments.&quot;,&quot;issue&quot;:&quot;5&quot;,&quot;volume&quot;:&quot;64&quot;,&quot;container-title-short&quot;:&quot;&quot;}}]},{&quot;properties&quot;:{&quot;noteIndex&quot;:0},&quot;citationID&quot;:&quot;MENDELEY_CITATION_80682225-7647-4067-9c7a-2322bae2da3f&quot;,&quot;isEdited&quot;:false,&quot;manualOverride&quot;:{&quot;isManuallyOverriden&quot;:false,&quot;manualOverrideText&quot;:&quot;&quot;,&quot;citeprocText&quot;:&quot;(Tausanovitch &amp;#38; Warshaw, 2014)&quot;,&quot;isManuallyOverridden&quot;:false},&quot;citationTag&quot;:&quot;MENDELEY_CITATION_v3_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&quot;,&quot;citationItems&quot;:[{&quot;id&quot;:&quot;b7b3aea7-2dec-3ab9-98d4-a36bedbe14a0&quot;,&quot;isTemporary&quot;:false,&quot;itemData&quot;:{&quot;type&quot;:&quot;article&quot;,&quot;id&quot;:&quot;b7b3aea7-2dec-3ab9-98d4-a36bedbe14a0&quot;,&quot;title&quot;:&quot;Representation in municipal government&quot;,&quot;author&quot;:[{&quot;family&quot;:&quot;Tausanovitch&quot;,&quot;given&quot;:&quot;Chris&quot;,&quot;parse-names&quot;:false,&quot;dropping-particle&quot;:&quot;&quot;,&quot;non-dropping-particle&quot;:&quot;&quot;},{&quot;family&quot;:&quot;Warshaw&quot;,&quot;given&quot;:&quot;Christopher&quot;,&quot;parse-names&quot;:false,&quot;dropping-particle&quot;:&quot;&quot;,&quot;non-dropping-particle&quot;:&quot;&quot;}],&quot;container-title&quot;:&quot;American Political Science Review&quot;,&quot;DOI&quot;:&quot;10.1017/S0003055414000318&quot;,&quot;ISSN&quot;:&quot;15375943&quot;,&quot;issued&quot;:{&quot;date-parts&quot;:[[2014]]},&quot;abstract&quot;:&quot;Municipal governments play a vital role in American democracy, as well as in governments around the world. Despite this, little is known about the degree to which cities are responsive to the views of their citizens. In the past, the unavailability of data on the policy preferences of citizens at the municipal level has limited scholars' ability to study the responsiveness of municipal government. We overcome this problem by using recent advances in opinion estimation to measure the mean policy conservatism in every U.S. city and town with a population above 20,000 people. Despite the supposition in the literature that municipal politics are non-ideological, we find that the policies enacted by cities across a range of policy areas correspond with the liberal-conservative positions of their citizens on national policy issues. In addition, we consider the influence of institutions, such as the presence of an elected mayor, the popular initiative, partisan elections, term limits, and at-large elections. Our results show that these institutions have little consistent impact on policy responsiveness in municipal government. These results demonstrate a robust role for citizen policy preferences in determining municipal policy outcomes, but cast doubt on the hypothesis that simple institutional reforms enhance responsiveness in municipal governments. © American Political Science Association 2014.&quot;,&quot;issue&quot;:&quot;3&quot;,&quot;volume&quot;:&quot;108&quot;,&quot;container-title-short&quot;:&quot;&quot;}}]},{&quot;properties&quot;:{&quot;noteIndex&quot;:0},&quot;citationID&quot;:&quot;MENDELEY_CITATION_a721df18-e0d6-443b-99c7-1c29132f1659&quot;,&quot;isEdited&quot;:false,&quot;manualOverride&quot;:{&quot;isManuallyOverriden&quot;:false,&quot;manualOverrideText&quot;:&quot;&quot;,&quot;citeprocText&quot;:&quot;(Besley &amp;#38; Case, 1995; Salmon, 1987; Shleifer, 1985)&quot;,&quot;isManuallyOverridden&quot;:false},&quot;citationTag&quot;:&quot;MENDELEY_CITATION_v3_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&quot;,&quot;citationItems&quot;:[{&quot;id&quot;:&quot;3b472b27-b404-3b15-afdf-9373f7752a52&quot;,&quot;isTemporary&quot;:false,&quot;itemData&quot;:{&quot;type&quot;:&quot;article-journal&quot;,&quot;id&quot;:&quot;3b472b27-b404-3b15-afdf-9373f7752a52&quot;,&quot;title&quot;:&quot;Incumbent Behavior: Vote-Seeking, Tax-Setting, and Yardstick Competition&quot;,&quot;author&quot;:[{&quot;family&quot;:&quot;Besley&quot;,&quot;given&quot;:&quot;Timothy&quot;,&quot;parse-names&quot;:false,&quot;dropping-particle&quot;:&quot;&quot;,&quot;non-dropping-particle&quot;:&quot;&quot;},{&quot;family&quot;:&quot;Case&quot;,&quot;given&quot;:&quot;Anne&quot;,&quot;parse-names&quot;:false,&quot;dropping-particle&quot;:&quot;&quot;,&quot;non-dropping-particle&quot;:&quot;&quot;}],&quot;container-title&quot;:&quot;The American Economic Review&quot;,&quot;issued&quot;:{&quot;date-parts&quot;:[[1995]]},&quot;page&quot;:&quot;25-45&quot;,&quot;abstract&quot;:&quot;This paper develops a model of the political economy of tax-setting in a multijurisdictional world, where voters' choices and incumbent behavior are determined simultaneously. Voters are assumed to make comparisons between jurisdictions to overcome political agency problems. This forces incumbents into a (yardstick) competition in which they care about what other incumbents are doing. We provide a theoretical framework and empirical evidence using U.S. state data from 1960 to 1988. The results are encouraging to the view that vote-seeking and tax-setting are tied together through the nexus of yardstick competition.&quot;,&quot;issue&quot;:&quot;1&quot;,&quot;volume&quot;:&quot;85&quot;,&quot;container-title-short&quot;:&quot;Am Econ Rev&quot;}},{&quot;id&quot;:&quot;204f894b-17fe-3899-b3db-3ffae87534f3&quot;,&quot;isTemporary&quot;:false,&quot;itemData&quot;:{&quot;type&quot;:&quot;article-journal&quot;,&quot;id&quot;:&quot;204f894b-17fe-3899-b3db-3ffae87534f3&quot;,&quot;title&quot;:&quot;Decentralisation as an incentive scheme&quot;,&quot;author&quot;:[{&quot;family&quot;:&quot;Salmon&quot;,&quot;given&quot;:&quot;Pierre&quot;,&quot;parse-names&quot;:false,&quot;dropping-particle&quot;:&quot;&quot;,&quot;non-dropping-particle&quot;:&quot;&quot;}],&quot;container-title&quot;:&quot;Oxford Review of Economic Policy&quot;,&quot;DOI&quot;:&quot;10.1093/oxrep/3.2.24&quot;,&quot;ISSN&quot;:&quot;0266903X&quot;,&quot;issued&quot;:{&quot;date-parts&quot;:[[1987]]},&quot;issue&quot;:&quot;2&quot;,&quot;volume&quot;:&quot;3&quot;,&quot;container-title-short&quot;:&quot;Oxf Rev Econ Policy&quot;}},{&quot;id&quot;:&quot;1610236e-ad1d-3d27-9e97-085fcb164886&quot;,&quot;isTemporary&quot;:false,&quot;itemData&quot;:{&quot;type&quot;:&quot;article-journal&quot;,&quot;id&quot;:&quot;1610236e-ad1d-3d27-9e97-085fcb164886&quot;,&quot;title&quot;:&quot;A Theory of Yardstick Competition&quot;,&quot;author&quot;:[{&quot;family&quot;:&quot;Shleifer&quot;,&quot;given&quot;:&quot;Andrei&quot;,&quot;parse-names&quot;:false,&quot;dropping-particle&quot;:&quot;&quot;,&quot;non-dropping-particle&quot;:&quot;&quot;}],&quot;container-title&quot;:&quot;The RAND Journal of Economics&quot;,&quot;DOI&quot;:&quot;10.2307/2555560&quot;,&quot;ISSN&quot;:&quot;07416261&quot;,&quot;issued&quot;:{&quot;date-parts&quot;:[[1985]]},&quot;abstract&quot;:&quot;In the typical regulatory scheme a franchised monopoly has little incentive to reduce costs. This article proposes a mechanism in which the price the regulatedfirm receives depends on the costs of identical firms. In equilibrium each firm chooses a socially efficient level of cost reduction. The mechanism generalizes to cover heterogeneous firms with observable differ- ences. Medicare's prospective reimbursement of hospitals by using diagnostically related groups is a scheme very similar to the one outlined here. 1.&quot;,&quot;issue&quot;:&quot;3&quot;,&quot;volume&quot;:&quot;16&quot;,&quot;container-title-short&quot;:&quot;Rand J Econ&quot;}}]},{&quot;properties&quot;:{&quot;noteIndex&quot;:0},&quot;citationID&quot;:&quot;MENDELEY_CITATION_c843ec76-fe79-4d34-930f-a1b9dd549501&quot;,&quot;isEdited&quot;:false,&quot;manualOverride&quot;:{&quot;isManuallyOverridden&quot;:false,&quot;manualOverrideText&quot;:&quot;&quot;,&quot;citeprocText&quot;:&quot;(von Hagen, 2008; von Hagen &amp;#38; Harden, 2019)&quot;},&quot;citationTag&quot;:&quot;MENDELEY_CITATION_v3_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&quot;,&quot;citationItems&quot;:[{&quot;id&quot;:&quot;41d07b7a-5221-3cf5-9fbf-168eddfb0416&quot;,&quot;isTemporary&quot;:false,&quot;itemData&quot;:{&quot;type&quot;:&quot;chapter&quot;,&quot;id&quot;:&quot;41d07b7a-5221-3cf5-9fbf-168eddfb0416&quot;,&quot;title&quot;:&quot;Political Economy of Fiscal Institutions&quot;,&quot;author&quot;:[{&quot;family&quot;:&quot;Hagen&quot;,&quot;given&quot;:&quot;Jürgen&quot;,&quot;parse-names&quot;:false,&quot;dropping-particle&quot;:&quot;&quot;,&quot;non-dropping-particle&quot;:&quot;von&quot;}],&quot;container-title&quot;:&quot;The Oxford Handbook of Political Economy&quot;,&quot;DOI&quot;:&quot;10.1093/oxfordhb/9780199548477.003.0026&quot;,&quot;issued&quot;:{&quot;date-parts&quot;:[[2008]]},&quot;abstract&quot;:&quot;This article discusses and reviews research on fiscal institutions. It deals with ex ante rules and discusses the roles of electoral institutions. One section in this article also considers the budget process. The research that is reviewed in this article uses the principal-agent relationship between the voter and the politicians and the common-pool property of public funds as its starting points.&quot;,&quot;container-title-short&quot;:&quot;&quot;}},{&quot;id&quot;:&quot;da5dc0fb-4ed8-3eb4-96e3-6868bcea8bc5&quot;,&quot;isTemporary&quot;:false,&quot;itemData&quot;:{&quot;type&quot;:&quot;article-journal&quot;,&quot;id&quot;:&quot;da5dc0fb-4ed8-3eb4-96e3-6868bcea8bc5&quot;,&quot;title&quot;:&quot;Budget processes and commitment to fiscal discipline&quot;,&quot;author&quot;:[{&quot;family&quot;:&quot;Hagen&quot;,&quot;given&quot;:&quot;Jürgen&quot;,&quot;parse-names&quot;:false,&quot;dropping-particle&quot;:&quot;&quot;,&quot;non-dropping-particle&quot;:&quot;von&quot;},{&quot;family&quot;:&quot;Harden&quot;,&quot;given&quot;:&quot;Ian J.&quot;,&quot;parse-names&quot;:false,&quot;dropping-particle&quot;:&quot;&quot;,&quot;non-dropping-particle&quot;:&quot;&quot;}],&quot;container-title&quot;:&quot;Credit and Capital Markets&quot;,&quot;DOI&quot;:&quot;10.3790/ccm.52.4.527&quot;,&quot;ISSN&quot;:&quot;21991235&quot;,&quot;issued&quot;:{&quot;date-parts&quot;:[[2019]]},&quot;abstract&quot;:&quot;We present a framework of investigation into the political economy of the budget process. Our model suggests that institutional rules governing the budget process can be found to limit the importance of fiscal illusion. Empirical evidence supports that proposition. The choice of rules depends on the political environment as well as the dominant source of uncertainty in the budget process.&quot;,&quot;issue&quot;:&quot;4&quot;,&quot;volume&quot;:&quot;52&quot;,&quot;container-title-short&quot;:&quot;&quot;}}]},{&quot;properties&quot;:{&quot;noteIndex&quot;:0},&quot;citationID&quot;:&quot;MENDELEY_CITATION_22941bd1-8f74-4d3a-ad54-a805d70828d8&quot;,&quot;isEdited&quot;:false,&quot;manualOverride&quot;:{&quot;manualOverrideText&quot;:&quot;&quot;,&quot;isManuallyOverridden&quot;:false,&quot;citeprocText&quot;:&quot;(Nordhaus, 1975; Rogoff, 1990; Ryu et al., 2020)&quot;},&quot;citationTag&quot;:&quot;MENDELEY_CITATION_v3_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&quot;,&quot;citationItems&quot;:[{&quot;id&quot;:&quot;c2b7e83d-b654-39ff-9357-4b408cbc49a5&quot;,&quot;isTemporary&quot;:false,&quot;itemData&quot;:{&quot;type&quot;:&quot;article-journal&quot;,&quot;id&quot;:&quot;c2b7e83d-b654-39ff-9357-4b408cbc49a5&quot;,&quot;title&quot;:&quot;The Political Business Cycle&quot;,&quot;author&quot;:[{&quot;family&quot;:&quot;Nordhaus&quot;,&quot;given&quot;:&quot;William D.&quot;,&quot;parse-names&quot;:false,&quot;dropping-particle&quot;:&quot;&quot;,&quot;non-dropping-particle&quot;:&quot;&quot;}],&quot;container-title&quot;:&quot;The Review of Economic Studies&quot;,&quot;container-title-short&quot;:&quot;Rev Econ Stud&quot;,&quot;issued&quot;:{&quot;date-parts&quot;:[[1975]]},&quot;page&quot;:&quot;169-190&quot;,&quot;issue&quot;:&quot;2&quot;,&quot;volume&quot;:&quot;42&quot;}},{&quot;id&quot;:&quot;434b5bf7-71a7-3b04-80d4-c17926863e5e&quot;,&quot;isTemporary&quot;:false,&quot;itemData&quot;:{&quot;type&quot;:&quot;article-journal&quot;,&quot;id&quot;:&quot;434b5bf7-71a7-3b04-80d4-c17926863e5e&quot;,&quot;title&quot;:&quot;Does the Stringency of State Tax and Expenditure Limitations Discourage Political Manipulation in Fiscal Reserves?&quot;,&quot;author&quot;:[{&quot;family&quot;:&quot;Ryu&quot;,&quot;given&quot;:&quot;Seeun&quot;,&quot;parse-names&quot;:false,&quot;dropping-particle&quot;:&quot;&quot;,&quot;non-dropping-particle&quot;:&quot;&quot;},{&quot;family&quot;:&quot;Cho&quot;,&quot;given&quot;:&quot;Inyoung&quot;,&quot;parse-names&quot;:false,&quot;dropping-particle&quot;:&quot;&quot;,&quot;non-dropping-particle&quot;:&quot;&quot;},{&quot;family&quot;:&quot;Kim&quot;,&quot;given&quot;:&quot;Jiseul&quot;,&quot;parse-names&quot;:false,&quot;dropping-particle&quot;:&quot;&quot;,&quot;non-dropping-particle&quot;:&quot;&quot;}],&quot;container-title&quot;:&quot;Public Administration Review&quot;,&quot;container-title-short&quot;:&quot;Public Adm Rev&quot;,&quot;DOI&quot;:&quot;10.1111/puar.13306&quot;,&quot;ISSN&quot;:&quot;0033-3352&quot;,&quot;issued&quot;:{&quot;date-parts&quot;:[[2020,10,20]]},&quot;abstract&quot;:&quot;Abstract This article examines how state tax and expenditure limitations (TELs) affect the size of fiscal reserves over election cycles. Using a panel data set of 47 U.S. states from 1986 to 2013, we find that the persistent pattern of electoral cycles in general fund balances (GFBs) disappears in states with stricter TELs. Regarding a budget stabilization fund balances (BSFs), the preelection and election downward effect diminishes and becomes statistically insignificant while the postelection upward effect increases and becomes significant in states with stricter TELs. Our findings reveal that the stringency of TELs not only eliminates electioneering's impact on GFBs but also coincides with increases in BSFs, particularly in postelection years. Consistent with the principal–agent theory, politicians tend to use a budget stabilization fund (BSF) as a secondary saving account to circumvent stronger TELs and save more BSFs after elections.&quot;,&quot;publisher&quot;:&quot;Wiley&quot;}},{&quot;id&quot;:&quot;b3b8b09a-2a71-3a69-976d-7d43de3c2ff0&quot;,&quot;isTemporary&quot;:false,&quot;itemData&quot;:{&quot;type&quot;:&quot;article-journal&quot;,&quot;id&quot;:&quot;b3b8b09a-2a71-3a69-976d-7d43de3c2ff0&quot;,&quot;title&quot;:&quot;Equilibrium Political Budget&quot;,&quot;author&quot;:[{&quot;family&quot;:&quot;Rogoff&quot;,&quot;given&quot;:&quot;Kenneth&quot;,&quot;parse-names&quot;:false,&quot;dropping-particle&quot;:&quot;&quot;,&quot;non-dropping-particle&quot;:&quot;&quot;}],&quot;container-title&quot;:&quot;American Economic Review&quot;,&quot;ISSN&quot;:&quot;0036-8075&quot;,&quot;issued&quot;:{&quot;date-parts&quot;:[[1990]]},&quot;abstract&quot;:&quot;Political business cycle theories generally rely on nominal rigidities and voter myopia. This paper offers an equilibrium theory which preserves some basic insights from earlier models, though with significant refinements. The \&quot;political budget cycle\&quot; emphasized here is in fiscal policy rather than output and inflation; it arises via a multidimensional signal process. One can consider the welfare implications of proposals to mitigate the cycle, and the effects of altering the electoral structure.&quot;,&quot;issue&quot;:&quot;1&quot;,&quot;volume&quot;:&quot;80&quot;,&quot;container-title-short&quot;:&quot;&quot;}}]},{&quot;properties&quot;:{&quot;noteIndex&quot;:0},&quot;citationID&quot;:&quot;MENDELEY_CITATION_8409f727-4509-4e07-80c4-573f8ea4c564&quot;,&quot;isEdited&quot;:false,&quot;manualOverride&quot;:{&quot;citeprocText&quot;:&quot;(Drazen &amp;#38; Eslava, 2006)&quot;,&quot;manualOverrideText&quot;:&quot;&quot;,&quot;isManuallyOverriden&quot;:true,&quot;isManuallyOverridden&quot;:false},&quot;citationTag&quot;:&quot;MENDELEY_CITATION_v3_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&quot;,&quot;citationItems&quot;:[{&quot;id&quot;:&quot;67b41456-d28f-35b8-a87d-3aedaaffbbdd&quot;,&quot;isTemporary&quot;:false,&quot;itemData&quot;:{&quot;type&quot;:&quot;report&quot;,&quot;id&quot;:&quot;67b41456-d28f-35b8-a87d-3aedaaffbbdd&quot;,&quot;title&quot;:&quot;Pork Barrel Cycles&quot;,&quot;author&quot;:[{&quot;family&quot;:&quot;Drazen&quot;,&quot;given&quot;:&quot;Allan&quot;,&quot;parse-names&quot;:false,&quot;dropping-particle&quot;:&quot;&quot;,&quot;non-dropping-particle&quot;:&quot;&quot;},{&quot;family&quot;:&quot;Eslava&quot;,&quot;given&quot;:&quot;Marcela&quot;,&quot;parse-names&quot;:false,&quot;dropping-particle&quot;:&quot;&quot;,&quot;non-dropping-particle&quot;:&quot;&quot;}],&quot;accessed&quot;:{&quot;date-parts&quot;:[[2021,6,12]]},&quot;URL&quot;:&quot;http://www.nber.org/papers/w12190&quot;,&quot;issued&quot;:{&quot;date-parts&quot;:[[2006]]},&quot;abstract&quot;:&quot;We present a model of political budget cycles in which incumbents influence voters by targeting government spending to specific groups of voters at the expense of other voters or other expenditures. Each voter faces a signal extraction problem: being targeted with expenditure before the election may reflect opportunistic manipulation, but may also reflect a sincere preference of the incumbent for the types of spending that voter prefers. We show the existence of a political equilibrium in which rational voters support an incumbent who targets them with spending before the election even though they know it may be electorally motivated. In equilibrium voters in the more \&quot;swing\&quot; regions are targeted at the expense of types of spending not favored by these voters. This will be true even if they know they live in swing regions. However, the responsiveness of these voters to electoral manipulation depends on whether they face some degree of uncertainty about the electoral importance of the group they are in. Use of targeted spending also implies voters can be influenced without election-year deficits, consistent with recent findings for established democracies.&quot;,&quot;container-title-short&quot;:&quot;&quot;}}]},{&quot;properties&quot;:{&quot;noteIndex&quot;:0},&quot;citationID&quot;:&quot;MENDELEY_CITATION_940ce798-6b37-41f8-a054-0a533bdf1a87&quot;,&quot;isEdited&quot;:false,&quot;manualOverride&quot;:{&quot;isManuallyOverridden&quot;:false,&quot;manualOverrideText&quot;:&quot;&quot;,&quot;citeprocText&quot;:&quot;(Kneebone &amp;#38; Mckenzie, 2001; Persson et al., 2003; Rose, 2008; Ryu et al., 2020)&quot;},&quot;citationTag&quot;:&quot;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&quot;,&quot;citationItems&quot;:[{&quot;id&quot;:&quot;d39b4e4a-b92d-34c4-8400-88b5134e1607&quot;,&quot;isTemporary&quot;:false,&quot;itemData&quot;:{&quot;type&quot;:&quot;article-journal&quot;,&quot;id&quot;:&quot;d39b4e4a-b92d-34c4-8400-88b5134e1607&quot;,&quot;title&quot;:&quot;Electoral and partisan cycles in fiscal policy: An examination of Canadian provinces&quot;,&quot;author&quot;:[{&quot;family&quot;:&quot;Kneebone&quot;,&quot;given&quot;:&quot;Ronald D.&quot;,&quot;parse-names&quot;:false,&quot;dropping-particle&quot;:&quot;&quot;,&quot;non-dropping-particle&quot;:&quot;&quot;},{&quot;family&quot;:&quot;Mckenzie&quot;,&quot;given&quot;:&quot;Kenneth J.&quot;,&quot;parse-names&quot;:false,&quot;dropping-particle&quot;:&quot;&quot;,&quot;non-dropping-particle&quot;:&quot;&quot;}],&quot;container-title&quot;:&quot;International Tax and Public Finance&quot;,&quot;container-title-short&quot;:&quot;Int Tax Public Financ&quot;,&quot;DOI&quot;:&quot;10.1023/A:1012895211073&quot;,&quot;ISSN&quot;:&quot;09275940&quot;,&quot;issued&quot;:{&quot;date-parts&quot;:[[2001]]},&quot;abstract&quot;:&quot;This paper examines the fiscal policy choices of Canadian provincial governments in the context of partisan and opportunistic cycles. We identify an electoral cycle in which the predilection of provincial governments of all political stripes to increase taxes is temporarily halted in election years. Opportunistic responses in spending are also present. Spending in highly visible areas (schools, roads and hockey rinks) tends to increase in election years. Partisan responses are largely absent from revenues but appear more frequently in program spending choices. Thus, Canadian political parties tend to favour differentiating amongst themselves via their spending, as opposed to their revenue, choices.&quot;,&quot;issue&quot;:&quot;5-6&quot;,&quot;volume&quot;:&quot;8&quot;}},{&quot;id&quot;:&quot;30f4afa8-0b72-3668-8cec-63a9c1ba1fde&quot;,&quot;isTemporary&quot;:false,&quot;itemData&quot;:{&quot;type&quot;:&quot;article-journal&quot;,&quot;id&quot;:&quot;30f4afa8-0b72-3668-8cec-63a9c1ba1fde&quot;,&quot;title&quot;:&quot;THE ECONOMIC EFFECTS OF CONSTITUTIONS What do the data say?*&quot;,&quot;author&quot;:[{&quot;family&quot;:&quot;Persson&quot;,&quot;given&quot;:&quot;Torsten&quot;,&quot;parse-names&quot;:false,&quot;dropping-particle&quot;:&quot;&quot;,&quot;non-dropping-particle&quot;:&quot;&quot;},{&quot;family&quot;:&quot;Persson&quot;,&quot;given&quot;:&quot;Torsten&quot;,&quot;parse-names&quot;:false,&quot;dropping-particle&quot;:&quot;&quot;,&quot;non-dropping-particle&quot;:&quot;&quot;},{&quot;family&quot;:&quot;October&quot;,&quot;given&quot;:&quot;Guido Tabellini&quot;,&quot;parse-names&quot;:false,&quot;dropping-particle&quot;:&quot;&quot;,&quot;non-dropping-particle&quot;:&quot;&quot;},{&quot;family&quot;:&quot;October&quot;,&quot;given&quot;:&quot;Guido Tabellini&quot;,&quot;parse-names&quot;:false,&quot;dropping-particle&quot;:&quot;&quot;,&quot;non-dropping-particle&quot;:&quot;&quot;},{&quot;family&quot;:&quot;Press&quot;,&quot;given&quot;:&quot;M I T&quot;,&quot;parse-names&quot;:false,&quot;dropping-particle&quot;:&quot;&quot;,&quot;non-dropping-particle&quot;:&quot;&quot;},{&quot;family&quot;:&quot;Press&quot;,&quot;given&quot;:&quot;M I T&quot;,&quot;parse-names&quot;:false,&quot;dropping-particle&quot;:&quot;&quot;,&quot;non-dropping-particle&quot;:&quot;&quot;}],&quot;container-title&quot;:&quot;Science&quot;,&quot;container-title-short&quot;:&quot;Science (1979)&quot;,&quot;issued&quot;:{&quot;date-parts&quot;:[[2003]]},&quot;abstract&quot;:&quot;This book is intended for the scholar or graduate student who wants to learn about a new topic of research: the effects of constitutional rules on economic policymaking and performance.We draw on existing knowledge in several fields: economics, political science, and statistics. In particular, the book builds on theoretical work from the last few years, and it forms a natural sequel to our previous book, Political Economics: Explaining Economic Policy, published by MIT Press in the year 2000. While the previous volume focused mainly on theory, the purpose of this new book is uncompromisingly empirical. Taking the existing theoretical work in comparative politics and political economics as a point of departure, we ask which theoretical results are supported and contradicted by the data, and try to identify new empirical patterns for a next round of theory.&quot;,&quot;issue&quot;:&quot;August&quot;}},{&quot;id&quot;:&quot;709f11ad-8e5b-3b26-aaa6-a6337c74f47c&quot;,&quot;isTemporary&quot;:false,&quot;itemData&quot;:{&quot;type&quot;:&quot;article-journal&quot;,&quot;id&quot;:&quot;709f11ad-8e5b-3b26-aaa6-a6337c74f47c&quot;,&quot;title&quot;:&quot;The Political Manipulation of U.S. State Rainy Day Funds Under Rules Versus Discretion&quot;,&quot;author&quot;:[{&quot;family&quot;:&quot;Rose&quot;,&quot;given&quot;:&quot;Shanna&quot;,&quot;parse-names&quot;:false,&quot;dropping-particle&quot;:&quot;&quot;,&quot;non-dropping-particle&quot;:&quot;&quot;}],&quot;container-title&quot;:&quot;State Politics and Policy Quarterly&quot;,&quot;DOI&quot;:&quot;10.1177/153244000800800203&quot;,&quot;ISSN&quot;:&quot;19461607&quot;,&quot;issued&quot;:{&quot;date-parts&quot;:[[2008]]},&quot;abstract&quot;:&quot;Anecdotal evidence suggests that U.S. state politicians manipulate rainy day funds for political purposes, but such claims remain untested in the literature. This article finds that lawmakers withdraw nearly three times more funds in response to a deficit shock of a given size if it occurs in an election year rather than in a non-election year; this occurs despite the fact that the magnitude of shocks does not vary over the electoral cycle. This effect is stronger when incumbents are eligible for re-election than when they are term-limited. When it comes to preventing political manipulation of funds, rainy day fund rules that increase the number of veto players who must approve of withdrawals seem to be more effective than rules that specify the economic conditions under which funds may be withdrawn.&quot;,&quot;issue&quot;:&quot;2&quot;,&quot;volume&quot;:&quot;8&quot;,&quot;expandedJournalTitle&quot;:&quot;State Politics and Policy Quarterly&quot;,&quot;container-title-short&quot;:&quot;State Polit Policy Q&quot;}},{&quot;id&quot;:&quot;434b5bf7-71a7-3b04-80d4-c17926863e5e&quot;,&quot;isTemporary&quot;:false,&quot;itemData&quot;:{&quot;type&quot;:&quot;article-journal&quot;,&quot;id&quot;:&quot;434b5bf7-71a7-3b04-80d4-c17926863e5e&quot;,&quot;title&quot;:&quot;Does the Stringency of State Tax and Expenditure Limitations Discourage Political Manipulation in Fiscal Reserves?&quot;,&quot;author&quot;:[{&quot;family&quot;:&quot;Ryu&quot;,&quot;given&quot;:&quot;Seeun&quot;,&quot;parse-names&quot;:false,&quot;dropping-particle&quot;:&quot;&quot;,&quot;non-dropping-particle&quot;:&quot;&quot;},{&quot;family&quot;:&quot;Cho&quot;,&quot;given&quot;:&quot;Inyoung&quot;,&quot;parse-names&quot;:false,&quot;dropping-particle&quot;:&quot;&quot;,&quot;non-dropping-particle&quot;:&quot;&quot;},{&quot;family&quot;:&quot;Kim&quot;,&quot;given&quot;:&quot;Jiseul&quot;,&quot;parse-names&quot;:false,&quot;dropping-particle&quot;:&quot;&quot;,&quot;non-dropping-particle&quot;:&quot;&quot;}],&quot;container-title&quot;:&quot;Public Administration Review&quot;,&quot;DOI&quot;:&quot;10.1111/puar.13306&quot;,&quot;ISSN&quot;:&quot;0033-3352&quot;,&quot;issued&quot;:{&quot;date-parts&quot;:[[2020,10,20]]},&quot;abstract&quot;:&quot;Abstract This article examines how state tax and expenditure limitations (TELs) affect the size of fiscal reserves over election cycles. Using a panel data set of 47 U.S. states from 1986 to 2013, we find that the persistent pattern of electoral cycles in general fund balances (GFBs) disappears in states with stricter TELs. Regarding a budget stabilization fund balances (BSFs), the preelection and election downward effect diminishes and becomes statistically insignificant while the postelection upward effect increases and becomes significant in states with stricter TELs. Our findings reveal that the stringency of TELs not only eliminates electioneering's impact on GFBs but also coincides with increases in BSFs, particularly in postelection years. Consistent with the principal–agent theory, politicians tend to use a budget stabilization fund (BSF) as a secondary saving account to circumvent stronger TELs and save more BSFs after elections.&quot;,&quot;publisher&quot;:&quot;Wiley&quot;,&quot;expandedJournalTitle&quot;:&quot;Public Administration Review&quot;,&quot;container-title-short&quot;:&quot;Public Adm Rev&quot;}}]},{&quot;citationID&quot;:&quot;MENDELEY_CITATION_addd9197-35b6-49ae-9f44-3d957e6e4e0c&quot;,&quot;properties&quot;:{&quot;noteIndex&quot;:0},&quot;isEdited&quot;:false,&quot;manualOverride&quot;:{&quot;isManuallyOverridden&quot;:true,&quot;citeprocText&quot;:&quot;(Lauth, 2003)&quot;,&quot;manualOverrideText&quot;:&quot;(Lauth, 2003).&quot;},&quot;citationTag&quot;:&quot;MENDELEY_CITATION_v3_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&quot;,&quot;citationItems&quot;:[{&quot;id&quot;:&quot;36b00ff0-5b2a-337b-8c15-4aabfed2d2db&quot;,&quot;itemData&quot;:{&quot;type&quot;:&quot;article-journal&quot;,&quot;id&quot;:&quot;36b00ff0-5b2a-337b-8c15-4aabfed2d2db&quot;,&quot;title&quot;:&quot;Budgeting during a recession phase of the business cycle: The georgia experience&quot;,&quot;author&quot;:[{&quot;family&quot;:&quot;Lauth&quot;,&quot;given&quot;:&quot;Thomas P.&quot;,&quot;parse-names&quot;:false,&quot;dropping-particle&quot;:&quot;&quot;,&quot;non-dropping-particle&quot;:&quot;&quot;}],&quot;container-title&quot;:&quot;Public Budgeting and Finance&quot;,&quot;DOI&quot;:&quot;10.1111/1540-5850.2302003&quot;,&quot;ISSN&quot;:&quot;15405850&quot;,&quot;issued&quot;:{&quot;date-parts&quot;:[[2003]]},&quot;abstract&quot;:&quot;This article describes the impact of the nation-wide recession on Georgia revenue and spending decisions in the 2002 and 2003 fiscal years. The state’s strong economy and conservative revenue estimating practices historically provided a hedge against revenue shortfalls during a recession phase of the business cycle. However, when state revenue collections for FY 2002 were 5 percent less than collections for the prior fiscal year, several gap-closing measures became necessary, including state agency spending reductions and substitution of bond proceeds for tax revenues. These revenue and expenditure gap-closing measures were intended to enable the governor to achieve his policy initiatives while maintaining a balanced budget. The state’s Rainy Day Fund remained full and was held in reserve for budget balancing in FY 2004, if necessary. Budget balancing during the current recession has been made possible by the state’s practice of not overcommitting to program increases and tax cuts during the expansion phase of the business cycle, and by effectively framing the issue of fiscal restraint. © 2017 Wiley. All rights reserved.&quot;,&quot;issue&quot;:&quot;2&quot;,&quot;volume&quot;:&quot;23&quot;,&quot;container-title-short&quot;:&quot;&quot;},&quot;isTemporary&quot;:false}]},{&quot;citationID&quot;:&quot;MENDELEY_CITATION_fab3d289-fde2-43d0-822a-2900a1a435ec&quot;,&quot;properties&quot;:{&quot;noteIndex&quot;:0},&quot;isEdited&quot;:false,&quot;manualOverride&quot;:{&quot;isManuallyOverridden&quot;:true,&quot;citeprocText&quot;:&quot;(Rose, 2006)&quot;,&quot;manualOverrideText&quot;:&quot;Rose (2006)&quot;},&quot;citationTag&quot;:&quot;MENDELEY_CITATION_v3_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&quot;,&quot;citationItems&quot;:[{&quot;id&quot;:&quot;8ba848eb-7455-3ab3-bab3-b9716aac8f28&quot;,&quot;itemData&quot;:{&quot;type&quot;:&quot;article-journal&quot;,&quot;id&quot;:&quot;8ba848eb-7455-3ab3-bab3-b9716aac8f28&quot;,&quot;title&quot;:&quot;Do fiscal rules dampen the political business cycle?&quot;,&quot;author&quot;:[{&quot;family&quot;:&quot;Rose&quot;,&quot;given&quot;:&quot;Shanna&quot;,&quot;parse-names&quot;:false,&quot;dropping-particle&quot;:&quot;&quot;,&quot;non-dropping-particle&quot;:&quot;&quot;}],&quot;container-title&quot;:&quot;Public Choice&quot;,&quot;container-title-short&quot;:&quot;Public Choice&quot;,&quot;DOI&quot;:&quot;10.1007/s11127-005-9007-7&quot;,&quot;ISSN&quot;:&quot;00485829&quot;,&quot;issued&quot;:{&quot;date-parts&quot;:[[2006]]},&quot;abstract&quot;:&quot;This paper develops and tests the theory that fiscal rules limit politicians' ability to manipulate the budget for electoral gain. Using panel data from the American states, I find evidence suggesting that stringent balanced budget rules dampen the political business cycle. That is, while spending rises before and falls after elections in states that can carry deficits into the next fiscal year, this pattern does not exist in states with strict \&quot;no-carry\&quot; rules. Neither binding gubernatorial term limits nor the partisan composition of government appear to significantly affect the magnitude of the political business cycle. © Springer 2006.&quot;,&quot;issue&quot;:&quot;3-4&quot;,&quot;volume&quot;:&quot;128&quot;},&quot;isTemporary&quot;:false}]},{&quot;properties&quot;:{&quot;noteIndex&quot;:0},&quot;citationID&quot;:&quot;MENDELEY_CITATION_c7fe458a-daff-42d3-b8e7-ab86c9011a59&quot;,&quot;isEdited&quot;:false,&quot;manualOverride&quot;:{&quot;isManuallyOverriden&quot;:false,&quot;manualOverrideText&quot;:&quot;(Alesina et al., 1998; Alt &amp; Lassen, 2006; Alt &amp; Lowry, 2003; Brooks &amp; Phillips, 2010; Eichengreen &amp; Bayoumi, 1994; Johnson &amp; Kriz, 2005; von Hagen, 2008)&quot;,&quot;isManuallyOverridden&quot;:true,&quot;citeprocText&quot;:&quot;(Alesina et al., 1998; Alt &amp;#38; Lassen, 2006; Alt &amp;#38; Lowry, 2003; Bohn &amp;#38; Inman, 1996; Brooks &amp;#38; Phillips, 2010; Eichengreen &amp;#38; Bayoumi, 1994; Johnson &amp;#38; Kriz, 2005; von Hagen, 2008)&quot;},&quot;citationTag&quot;:&quot;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&quot;,&quot;citationItems&quot;:[{&quot;id&quot;:&quot;77519284-9292-360d-968d-238499cf9fca&quot;,&quot;isTemporary&quot;:false,&quot;itemData&quot;:{&quot;type&quot;:&quot;article-journal&quot;,&quot;id&quot;:&quot;77519284-9292-360d-968d-238499cf9fca&quot;,&quot;title&quot;:&quot;The political economy of fiscal adjustments&quot;,&quot;author&quot;:[{&quot;family&quot;:&quot;Alesina&quot;,&quot;given&quot;:&quot;Alberto&quot;,&quot;parse-names&quot;:false,&quot;dropping-particle&quot;:&quot;&quot;,&quot;non-dropping-particle&quot;:&quot;&quot;},{&quot;family&quot;:&quot;Perotti&quot;,&quot;given&quot;:&quot;Roberto&quot;,&quot;parse-names&quot;:false,&quot;dropping-particle&quot;:&quot;&quot;,&quot;non-dropping-particle&quot;:&quot;&quot;},{&quot;family&quot;:&quot;Tavares&quot;,&quot;given&quot;:&quot;José&quot;,&quot;parse-names&quot;:false,&quot;dropping-particle&quot;:&quot;&quot;,&quot;non-dropping-particle&quot;:&quot;&quot;}],&quot;container-title&quot;:&quot;Brookings Papers on Economic Activity&quot;,&quot;DOI&quot;:&quot;10.2307/2534672&quot;,&quot;ISSN&quot;:&quot;00072303&quot;,&quot;issued&quot;:{&quot;date-parts&quot;:[[1998]]},&quot;issue&quot;:&quot;1&quot;,&quot;container-title-short&quot;:&quot;Brookings Pap Econ Act&quot;}},{&quot;id&quot;:&quot;f407eaae-cb42-37bf-97db-b5af953d9c8e&quot;,&quot;isTemporary&quot;:false,&quot;itemData&quot;:{&quot;type&quot;:&quot;article&quot;,&quot;id&quot;:&quot;f407eaae-cb42-37bf-97db-b5af953d9c8e&quot;,&quot;title&quot;:&quot;Party differences in state budget outcomes are there after all: Response to \&quot;reexamining the dynamic model of divided partisan government\&quot;&quot;,&quot;author&quot;:[{&quot;family&quot;:&quot;Alt&quot;,&quot;given&quot;:&quot;James E.&quot;,&quot;parse-names&quot;:false,&quot;dropping-particle&quot;:&quot;&quot;,&quot;non-dropping-particle&quot;:&quot;&quot;},{&quot;family&quot;:&quot;Lowry&quot;,&quot;given&quot;:&quot;Robert C.&quot;,&quot;parse-names&quot;:false,&quot;dropping-particle&quot;:&quot;&quot;,&quot;non-dropping-particle&quot;:&quot;&quot;}],&quot;container-title&quot;:&quot;Journal of Politics&quot;,&quot;DOI&quot;:&quot;10.1111/1468-2508.t01-2-00011&quot;,&quot;ISSN&quot;:&quot;00223816&quot;,&quot;issued&quot;:{&quot;date-parts&quot;:[[2003]]},&quot;abstract&quot;:&quot;Alt and Lowry (2000) show that Democrats generally target more of state income for public budgets than do Republicans, though exact party positions vary from state to state, and unified governments adjust faster than divided. McAtee, Yackee, and Lowery (2003) question these results. However, their estimated revenue changes ignore income shares, usually set independent variables equal to sample rather than subsample means, and omit some fixed effects. Modeling short-run changes during transitions must take note of different conditions under which different partisan configurations assume power. When their estimates do this, predicted revenue changes relative to income line up as we expected. Their analysis raises other issues regarding polarization and the distribution of partisan configurations across space and time that merit further investigation.&quot;,&quot;issue&quot;:&quot;2&quot;,&quot;volume&quot;:&quot;65&quot;,&quot;container-title-short&quot;:&quot;&quot;}},{&quot;id&quot;:&quot;693cdd52-d149-39b4-bd47-cd39e2eee230&quot;,&quot;isTemporary&quot;:false,&quot;itemData&quot;:{&quot;type&quot;:&quot;report&quot;,&quot;id&quot;:&quot;693cdd52-d149-39b4-bd47-cd39e2eee230&quot;,&quot;title&quot;:&quot;Balanced-budget rules and public deficits: evidence from the U.S. states&quot;,&quot;author&quot;:[{&quot;family&quot;:&quot;Bohn&quot;,&quot;given&quot;:&quot;Henning&quot;,&quot;parse-names&quot;:false,&quot;dropping-particle&quot;:&quot;&quot;,&quot;non-dropping-particle&quot;:&quot;&quot;},{&quot;family&quot;:&quot;Inman&quot;,&quot;given&quot;:&quot;Robert P&quot;,&quot;parse-names&quot;:false,&quot;dropping-particle&quot;:&quot;&quot;,&quot;non-dropping-particle&quot;:&quot;&quot;}],&quot;container-title&quot;:&quot;Conference Series on Public Policy&quot;,&quot;ISBN&quot;:&quot;0167-2231(96)00017-6&quot;,&quot;issued&quot;:{&quot;date-parts&quot;:[[1996]]},&quot;number-of-pages&quot;:&quot;13-76&quot;,&quot;abstract&quot;:&quot;Most states (Vermont is the exception) have constitutional or statutory limitations restricting their ability to run deficits in the state's general fund. Balanced budget limitations may be either prospective (beginning-of-the-year) requirements or retrospective (end-of-the-year) requirements. Importantly, the state limits apply only to the general fund, leaving other funds (capital, pensions, social insurance) as potential sources for deficit financing. Do these general fund balanced-budget requirements limit deficit financing? If so, which balanced-budget rules are most effective in constraining state deficit financing? Finally, how are state spending and taxation decisions affected by balanced-budget rules? Using budget data from a panel of 47 U.S. states for the period 1970-1991, the analysis finds that state end-of-the-year (not prospective) balance requirements do have significant positive&quot;,&quot;volume&quot;:&quot;45&quot;,&quot;container-title-short&quot;:&quot;&quot;}},{&quot;id&quot;:&quot;8f416e7c-6cb1-398a-ba94-f74f0229590b&quot;,&quot;isTemporary&quot;:false,&quot;itemData&quot;:{&quot;type&quot;:&quot;article-journal&quot;,&quot;id&quot;:&quot;8f416e7c-6cb1-398a-ba94-f74f0229590b&quot;,&quot;title&quot;:&quot;An institutional explanation for the stickiness of federal grants&quot;,&quot;author&quot;:[{&quot;family&quot;:&quot;Brooks&quot;,&quot;given&quot;:&quot;Leah&quot;,&quot;parse-names&quot;:false,&quot;dropping-particle&quot;:&quot;&quot;,&quot;non-dropping-particle&quot;:&quot;&quot;},{&quot;family&quot;:&quot;Phillips&quot;,&quot;given&quot;:&quot;Justin H.&quot;,&quot;parse-names&quot;:false,&quot;dropping-particle&quot;:&quot;&quot;,&quot;non-dropping-particle&quot;:&quot;&quot;}],&quot;container-title&quot;:&quot;Journal of Law, Economics, and Organization&quot;,&quot;DOI&quot;:&quot;10.1093/jleo/ewn016&quot;,&quot;ISSN&quot;:&quot;87566222&quot;,&quot;issued&quot;:{&quot;date-parts&quot;:[[2010]]},&quot;page&quot;:&quot;243-264&quot;,&quot;abstract&quot;:&quot;Researchers have struggled to understand why federal block grants, contrary to economic theory, have a large stimulative effect on the spending of state and local governments. This article proposes and tests an institutional explanation for this effect. We argue that certain budgetary rules, by limiting the ability of subnational governments to respond to voter demands for increased spending, may systematically force lawmakers to under-provide public goods. When this occurs, governments are likely to treat grant revenue as a supplement to total expenditures and not return this money to voters in the form of a tax cut as suggested by existing theory. To evaluate our hypothesis, we use data on the Community Development Block Grant program and municipal tax and expenditure limitations. Results show that restrictive fiscal institutions significantly increase the stimulative power of federal grant revenue. © The Author 2008.&quot;,&quot;issue&quot;:&quot;2&quot;,&quot;volume&quot;:&quot;26&quot;,&quot;container-title-short&quot;:&quot;J Law Econ Organ&quot;}},{&quot;id&quot;:&quot;a7535df9-92fd-39c7-b3ce-49c81ff3f434&quot;,&quot;isTemporary&quot;:false,&quot;itemData&quot;:{&quot;type&quot;:&quot;article-journal&quot;,&quot;id&quot;:&quot;a7535df9-92fd-39c7-b3ce-49c81ff3f434&quot;,&quot;title&quot;:&quot;The political economy of fiscal restrictions: Implications for Europe from the United States&quot;,&quot;author&quot;:[{&quot;family&quot;:&quot;Eichengreen&quot;,&quot;given&quot;:&quot;Barry&quot;,&quot;parse-names&quot;:false,&quot;dropping-particle&quot;:&quot;&quot;,&quot;non-dropping-particle&quot;:&quot;&quot;},{&quot;family&quot;:&quot;Bayoumi&quot;,&quot;given&quot;:&quot;Tamim&quot;,&quot;parse-names&quot;:false,&quot;dropping-particle&quot;:&quot;&quot;,&quot;non-dropping-particle&quot;:&quot;&quot;}],&quot;container-title&quot;:&quot;European Economic Review&quot;,&quot;container-title-short&quot;:&quot;Eur Econ Rev&quot;,&quot;issued&quot;:{&quot;date-parts&quot;:[[1994]]},&quot;abstract&quot;:&quot;This paper analyzes fiscal restrictions in the United States as a way of shedding light on the likely effects of the excessive deficits provisions of the Maastricht Treaty. We consider their impact on levels of deficits, on the cost of borrowing, and on the stabilization function of fiscal policy. If U.S. experience is any guide, Maastricht's fiscal restraints are enforceable, but if vigorously enforced they could significantly diminish the stabilization capacity of national budgets.&quot;}},{&quot;id&quot;:&quot;cb8909d8-9b60-3f31-8ab0-4086d201dc9c&quot;,&quot;isTemporary&quot;:false,&quot;itemData&quot;:{&quot;type&quot;:&quot;article-journal&quot;,&quot;id&quot;:&quot;cb8909d8-9b60-3f31-8ab0-4086d201dc9c&quot;,&quot;title&quot;:&quot;Fiscal Institutions, Credit Ratings, and Borrowing Costs&quot;,&quot;author&quot;:[{&quot;family&quot;:&quot;Johnson&quot;,&quot;given&quot;:&quot;Craig L.&quot;,&quot;parse-names&quot;:false,&quot;dropping-particle&quot;:&quot;&quot;,&quot;non-dropping-particle&quot;:&quot;&quot;},{&quot;family&quot;:&quot;Kriz&quot;,&quot;given&quot;:&quot;Kenneth A.&quot;,&quot;parse-names&quot;:false,&quot;dropping-particle&quot;:&quot;&quot;,&quot;non-dropping-particle&quot;:&quot;&quot;}],&quot;container-title&quot;:&quot;Public Budgeting and Finance&quot;,&quot;DOI&quot;:&quot;10.1111/j.0275-1100.2005.00356.x&quot;,&quot;ISSN&quot;:&quot;15405850&quot;,&quot;issued&quot;:{&quot;date-parts&quot;:[[2005]]},&quot;abstract&quot;:&quot;This paper investigates the impact of fiscal institutions on state government borrowing costs. We find that institutions have both a direct and indirect effect on interest costs paid by state governments. Revenue limits are associated directly with higher interest costs; expenditure limits, stricter balanced budget rules, and restrictions on state debt issuance are indirectly associated with lower interest costs because they lead to higher credit ratings. It appears that investors and bond raters incorporate information on fiscal institutions into their assessment of state government credit quality. © 2017 Wiley. All rights reserved.&quot;,&quot;issue&quot;:&quot;1&quot;,&quot;volume&quot;:&quot;25&quot;,&quot;expandedJournalTitle&quot;:&quot;Public Budgeting and Finance&quot;,&quot;container-title-short&quot;:&quot;&quot;}},{&quot;id&quot;:&quot;41d07b7a-5221-3cf5-9fbf-168eddfb0416&quot;,&quot;isTemporary&quot;:false,&quot;itemData&quot;:{&quot;type&quot;:&quot;chapter&quot;,&quot;id&quot;:&quot;41d07b7a-5221-3cf5-9fbf-168eddfb0416&quot;,&quot;title&quot;:&quot;Political Economy of Fiscal Institutions&quot;,&quot;author&quot;:[{&quot;family&quot;:&quot;Hagen&quot;,&quot;given&quot;:&quot;Jürgen&quot;,&quot;parse-names&quot;:false,&quot;dropping-particle&quot;:&quot;&quot;,&quot;non-dropping-particle&quot;:&quot;von&quot;}],&quot;container-title&quot;:&quot;The Oxford Handbook of Political Economy&quot;,&quot;DOI&quot;:&quot;10.1093/oxfordhb/9780199548477.003.0026&quot;,&quot;issued&quot;:{&quot;date-parts&quot;:[[2008]]},&quot;abstract&quot;:&quot;This article discusses and reviews research on fiscal institutions. It deals with ex ante rules and discusses the roles of electoral institutions. One section in this article also considers the budget process. The research that is reviewed in this article uses the principal-agent relationship between the voter and the politicians and the common-pool property of public funds as its starting points.&quot;,&quot;container-title-short&quot;:&quot;&quot;}},{&quot;id&quot;:&quot;eb932e3b-818e-38da-b06d-7d8e5ad60c33&quot;,&quot;isTemporary&quot;:false,&quot;itemData&quot;:{&quot;type&quot;:&quot;article&quot;,&quot;id&quot;:&quot;eb932e3b-818e-38da-b06d-7d8e5ad60c33&quot;,&quot;title&quot;:&quot;Transparency, political polarization, and political budget cycles in OECD countries&quot;,&quot;author&quot;:[{&quot;family&quot;:&quot;Alt&quot;,&quot;given&quot;:&quot;James E.&quot;,&quot;parse-names&quot;:false,&quot;dropping-particle&quot;:&quot;&quot;,&quot;non-dropping-particle&quot;:&quot;&quot;},{&quot;family&quot;:&quot;Lassen&quot;,&quot;given&quot;:&quot;David Dreyer&quot;,&quot;parse-names&quot;:false,&quot;dropping-particle&quot;:&quot;&quot;,&quot;non-dropping-particle&quot;:&quot;&quot;}],&quot;container-title&quot;:&quot;American Journal of Political Science&quot;,&quot;container-title-short&quot;:&quot;Am J Pol Sci&quot;,&quot;DOI&quot;:&quot;10.1111/j.1540-5907.2006.00200.x&quot;,&quot;ISSN&quot;:&quot;00925853&quot;,&quot;issued&quot;:{&quot;date-parts&quot;:[[2006]]},&quot;abstract&quot;:&quot;We investigate the effects of fiscal transparency and political polarization on the prevalence of electoral cycles in fiscal balance. While some recent political economy literature on electoral cycles identifies such cycles mainly in weak and recent democracies, in contrast we show, conditioning on a new index of institutional fiscal transparency, that electoral cycles in fiscal balance are a feature of many advanced industrialized economies. Using a sample of 19 OECD countries in the 1990s, we identify a persistent pattern of electoral cycles in low(er) transparency countries, while no such cycles can be observed in high(er) transparency countries. Furthermore, we find, in accordance with recent theory, that electoral cycles are larger in politically more polarized countries. © 2006, Midwest Political Science Association.&quot;,&quot;issue&quot;:&quot;3&quot;,&quot;volume&quot;:&quot;50&quot;}}]},{&quot;properties&quot;:{&quot;noteIndex&quot;:0},&quot;citationID&quot;:&quot;MENDELEY_CITATION_79dd9d19-36a1-4f80-a57f-df5745f6c988&quot;,&quot;isEdited&quot;:false,&quot;manualOverride&quot;:{&quot;isManuallyOverridden&quot;:false,&quot;manualOverrideText&quot;:&quot;&quot;,&quot;citeprocText&quot;:&quot;(Eichengreen &amp;#38; Bayoumi, 1994)&quot;},&quot;citationTag&quot;:&quot;MENDELEY_CITATION_v3_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&quot;,&quot;citationItems&quot;:[{&quot;id&quot;:&quot;a7535df9-92fd-39c7-b3ce-49c81ff3f434&quot;,&quot;isTemporary&quot;:false,&quot;itemData&quot;:{&quot;type&quot;:&quot;article-journal&quot;,&quot;id&quot;:&quot;a7535df9-92fd-39c7-b3ce-49c81ff3f434&quot;,&quot;title&quot;:&quot;The political economy of fiscal restrictions: Implications for Europe from the United States&quot;,&quot;author&quot;:[{&quot;family&quot;:&quot;Eichengreen&quot;,&quot;given&quot;:&quot;Barry&quot;,&quot;parse-names&quot;:false,&quot;dropping-particle&quot;:&quot;&quot;,&quot;non-dropping-particle&quot;:&quot;&quot;},{&quot;family&quot;:&quot;Bayoumi&quot;,&quot;given&quot;:&quot;Tamim&quot;,&quot;parse-names&quot;:false,&quot;dropping-particle&quot;:&quot;&quot;,&quot;non-dropping-particle&quot;:&quot;&quot;}],&quot;container-title&quot;:&quot;European Economic Review&quot;,&quot;container-title-short&quot;:&quot;Eur Econ Rev&quot;,&quot;issued&quot;:{&quot;date-parts&quot;:[[1994]]},&quot;abstract&quot;:&quot;This paper analyzes fiscal restrictions in the United States as a way of shedding light on the likely effects of the excessive deficits provisions of the Maastricht Treaty. We consider their impact on levels of deficits, on the cost of borrowing, and on the stabilization function of fiscal policy. If U.S. experience is any guide, Maastricht's fiscal restraints are enforceable, but if vigorously enforced they could significantly diminish the stabilization capacity of national budgets.&quot;}}]},{&quot;properties&quot;:{&quot;noteIndex&quot;:0},&quot;citationID&quot;:&quot;MENDELEY_CITATION_96ae052d-2e82-4401-8dd7-24430d3ca886&quot;,&quot;isEdited&quot;:false,&quot;manualOverride&quot;:{&quot;isManuallyOverriden&quot;:false,&quot;manualOverrideText&quot;:&quot;&quot;,&quot;citeprocText&quot;:&quot;(Brooks &amp;#38; Phillips, 2010; Dye et al., 2011; Mullins &amp;#38; Joyce, 1996; Shadbegian, 1996; Sun, 2014)&quot;,&quot;isManuallyOverridden&quot;:false},&quot;citationTag&quot;:&quot;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&quot;,&quot;citationItems&quot;:[{&quot;id&quot;:&quot;8f416e7c-6cb1-398a-ba94-f74f0229590b&quot;,&quot;isTemporary&quot;:false,&quot;itemData&quot;:{&quot;type&quot;:&quot;article-journal&quot;,&quot;id&quot;:&quot;8f416e7c-6cb1-398a-ba94-f74f0229590b&quot;,&quot;title&quot;:&quot;An institutional explanation for the stickiness of federal grants&quot;,&quot;author&quot;:[{&quot;family&quot;:&quot;Brooks&quot;,&quot;given&quot;:&quot;Leah&quot;,&quot;parse-names&quot;:false,&quot;dropping-particle&quot;:&quot;&quot;,&quot;non-dropping-particle&quot;:&quot;&quot;},{&quot;family&quot;:&quot;Phillips&quot;,&quot;given&quot;:&quot;Justin H.&quot;,&quot;parse-names&quot;:false,&quot;dropping-particle&quot;:&quot;&quot;,&quot;non-dropping-particle&quot;:&quot;&quot;}],&quot;container-title&quot;:&quot;Journal of Law, Economics, and Organization&quot;,&quot;DOI&quot;:&quot;10.1093/jleo/ewn016&quot;,&quot;ISSN&quot;:&quot;87566222&quot;,&quot;issued&quot;:{&quot;date-parts&quot;:[[2010]]},&quot;page&quot;:&quot;243-264&quot;,&quot;abstract&quot;:&quot;Researchers have struggled to understand why federal block grants, contrary to economic theory, have a large stimulative effect on the spending of state and local governments. This article proposes and tests an institutional explanation for this effect. We argue that certain budgetary rules, by limiting the ability of subnational governments to respond to voter demands for increased spending, may systematically force lawmakers to under-provide public goods. When this occurs, governments are likely to treat grant revenue as a supplement to total expenditures and not return this money to voters in the form of a tax cut as suggested by existing theory. To evaluate our hypothesis, we use data on the Community Development Block Grant program and municipal tax and expenditure limitations. Results show that restrictive fiscal institutions significantly increase the stimulative power of federal grant revenue. © The Author 2008.&quot;,&quot;issue&quot;:&quot;2&quot;,&quot;volume&quot;:&quot;26&quot;,&quot;container-title-short&quot;:&quot;J Law Econ Organ&quot;}},{&quot;id&quot;:&quot;e632377e-5a1b-3b62-b5ee-2dc2c1e26ebd&quot;,&quot;isTemporary&quot;:false,&quot;itemData&quot;:{&quot;type&quot;:&quot;report&quot;,&quot;id&quot;:&quot;e632377e-5a1b-3b62-b5ee-2dc2c1e26ebd&quot;,&quot;title&quot;:&quot;Transparency in State Budgets&quot;,&quot;author&quot;:[{&quot;family&quot;:&quot;Dye&quot;,&quot;given&quot;:&quot;Richard F&quot;,&quot;parse-names&quot;:false,&quot;dropping-particle&quot;:&quot;&quot;,&quot;non-dropping-particle&quot;:&quot;&quot;},{&quot;family&quot;:&quot;Hudspeth&quot;,&quot;given&quot;:&quot;Nancy W&quot;,&quot;parse-names&quot;:false,&quot;dropping-particle&quot;:&quot;&quot;,&quot;non-dropping-particle&quot;:&quot;&quot;},{&quot;family&quot;:&quot;Merriman&quot;,&quot;given&quot;:&quot;David F&quot;,&quot;parse-names&quot;:false,&quot;dropping-particle&quot;:&quot;&quot;,&quot;non-dropping-particle&quot;:&quot;&quot;}],&quot;URL&quot;:&quot;http://igpa.uillinois.edu/fiscalfutures.&quot;,&quot;issued&quot;:{&quot;date-parts&quot;:[[2011]]},&quot;container-title-short&quot;:&quot;&quot;}},{&quot;id&quot;:&quot;da37834e-b705-3753-82d9-38d4af3daedf&quot;,&quot;isTemporary&quot;:false,&quot;itemData&quot;:{&quot;type&quot;:&quot;article-journal&quot;,&quot;id&quot;:&quot;da37834e-b705-3753-82d9-38d4af3daedf&quot;,&quot;title&quot;:&quot;Tax and expenditure limitations and state and local fiscal structure: An empirical assessment&quot;,&quot;author&quot;:[{&quot;family&quot;:&quot;Mullins&quot;,&quot;given&quot;:&quot;Daniel R.&quot;,&quot;parse-names&quot;:false,&quot;dropping-particle&quot;:&quot;&quot;,&quot;non-dropping-particle&quot;:&quot;&quot;},{&quot;family&quot;:&quot;Joyce&quot;,&quot;given&quot;:&quot;Philip G.&quot;,&quot;parse-names&quot;:false,&quot;dropping-particle&quot;:&quot;&quot;,&quot;non-dropping-particle&quot;:&quot;&quot;}],&quot;container-title&quot;:&quot;Public Budgeting and Finance&quot;,&quot;DOI&quot;:&quot;10.1111/1540-5850.01061&quot;,&quot;ISSN&quot;:&quot;15405850&quot;,&quot;issued&quot;:{&quot;date-parts&quot;:[[1996]]},&quot;abstract&quot;:&quot;The tax and expenditure limitation (TEL) “movement” of the 1970s and 1980s can be characterized in part as a struggle between local autonomy and state control. Undeniable shifts have occurred over the same period in state and local revenue systems and functional responsibilities. This article places these shifts within the context of this movement, using pooled, cross-sectional, time-series techniques for the period between 1970 and 1990, in an effort to assess its impacts. Findings suggest that TELs have resulted in increased centralization, lessened local responsiveness, increased use of local non-tax sources of revenue, and a sector less accommodating to the needs of dependent populations. TELs may have also had dubious effects on both the allocative efficiency and equity of the state and local public sector. © 1996 Blackwell Publishing Ltd.&quot;,&quot;issue&quot;:&quot;1&quot;,&quot;volume&quot;:&quot;16&quot;,&quot;container-title-short&quot;:&quot;&quot;}},{&quot;id&quot;:&quot;3f2576c1-e636-3b68-b75a-81aa4d5df953&quot;,&quot;isTemporary&quot;:false,&quot;itemData&quot;:{&quot;type&quot;:&quot;article-journal&quot;,&quot;id&quot;:&quot;3f2576c1-e636-3b68-b75a-81aa4d5df953&quot;,&quot;title&quot;:&quot;Do Tax and Expenditure Limitations affect the size and growth of state government?&quot;,&quot;author&quot;:[{&quot;family&quot;:&quot;Shadbegian&quot;,&quot;given&quot;:&quot;Ronald J.&quot;,&quot;parse-names&quot;:false,&quot;dropping-particle&quot;:&quot;&quot;,&quot;non-dropping-particle&quot;:&quot;&quot;}],&quot;container-title&quot;:&quot;Contemporary Economic Policy&quot;,&quot;DOI&quot;:&quot;10.1111/j.1465-7287.1996.tb00600.x&quot;,&quot;ISSN&quot;:&quot;10743529&quot;,&quot;issued&quot;:{&quot;date-parts&quot;:[[1996]]},&quot;abstract&quot;:&quot;This paper focuses on citizens' ability to restrict the size and growth of state government through the use of tax and expenditure limitations (TELs). Most TEL laws are not designed to stop public sector growth but are intended to cap it relative to personal income growth. Evidence indicates that the design of TEL laws increases the elasticity of government size (and growth) with respect to income. Thus, TEL laws, as they currently are written, allow states with high income growth to keep increasing the size of the public sector. Meanwhile, they prevent states with low income growth from doing likewise. While TELs restrict government size and growth in states with below average income, in general they have no significant effect on the size or growth of government. Therefore, as long as income growth is high, TELs end up as little more than political cover for state legislatures.&quot;,&quot;issue&quot;:&quot;1&quot;,&quot;volume&quot;:&quot;14&quot;,&quot;container-title-short&quot;:&quot;Contemp Econ Policy&quot;}},{&quot;id&quot;:&quot;bc030113-fed2-3b9a-9644-a8d70e66152b&quot;,&quot;itemData&quot;:{&quot;type&quot;:&quot;article-journal&quot;,&quot;id&quot;:&quot;bc030113-fed2-3b9a-9644-a8d70e66152b&quot;,&quot;title&quot;:&quot;Reevaluating the Effect of Tax and Expenditure Limitations: An Instrumental Variable Approach&quot;,&quot;author&quot;:[{&quot;family&quot;:&quot;Sun&quot;,&quot;given&quot;:&quot;Rui&quot;,&quot;parse-names&quot;:false,&quot;dropping-particle&quot;:&quot;&quot;,&quot;non-dropping-particle&quot;:&quot;&quot;}],&quot;container-title&quot;:&quot;Public Finance Review&quot;,&quot;DOI&quot;:&quot;10.1177/1091142112459210&quot;,&quot;ISSN&quot;:&quot;10911421&quot;,&quot;issued&quot;:{&quot;date-parts&quot;:[[2014]]},&quot;abstract&quot;:&quot;This article evaluates the effect of tax and expenditure limitations (TELs) on municipal general own-source revenue in the United States. Using an instrumental variable approach, this study addresses the endogeneity problem of TELs that has been largely overlooked in previous research. Data are collected on 724 US cities with populations of at least 25,000 from 1970 to 2006. Results indicate that when the endogeneity of TELs is taken into account, TELs lead to considerable reductions in property taxes but substantial increases in sales taxes, income taxes, and user charges per capita. The increases in the latter forms of revenue not only offset the loss in property taxes but also generate a supplemental revenue effect, resulting in a net gain of total municipal general own-source revenue per capita. The study provides important policy implications and suggests that TELs may have unintended consequences and lead to bigger government. © The Author(s) 2012.&quot;,&quot;issue&quot;:&quot;1&quot;,&quot;volume&quot;:&quot;42&quot;,&quot;container-title-short&quot;:&quot;&quot;},&quot;isTemporary&quot;:false}]},{&quot;properties&quot;:{&quot;noteIndex&quot;:0},&quot;citationID&quot;:&quot;MENDELEY_CITATION_e3f5e7fb-1692-42ad-9680-2e769284cc08&quot;,&quot;isEdited&quot;:false,&quot;manualOverride&quot;:{&quot;manualOverrideText&quot;:&quot;&quot;,&quot;isManuallyOverridden&quot;:false,&quot;citeprocText&quot;:&quot;(Alesina &amp;#38; Perotti, 1996; Eichengreen &amp;#38; Bayoumi, 1994; Hou &amp;#38; Smith, 2006)&quot;},&quot;citationTag&quot;:&quot;MENDELEY_CITATION_v3_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&quot;,&quot;citationItems&quot;:[{&quot;id&quot;:&quot;a7535df9-92fd-39c7-b3ce-49c81ff3f434&quot;,&quot;isTemporary&quot;:false,&quot;itemData&quot;:{&quot;type&quot;:&quot;article-journal&quot;,&quot;id&quot;:&quot;a7535df9-92fd-39c7-b3ce-49c81ff3f434&quot;,&quot;title&quot;:&quot;The political economy of fiscal restrictions: Implications for Europe from the United States&quot;,&quot;author&quot;:[{&quot;family&quot;:&quot;Eichengreen&quot;,&quot;given&quot;:&quot;Barry&quot;,&quot;parse-names&quot;:false,&quot;dropping-particle&quot;:&quot;&quot;,&quot;non-dropping-particle&quot;:&quot;&quot;},{&quot;family&quot;:&quot;Bayoumi&quot;,&quot;given&quot;:&quot;Tamim&quot;,&quot;parse-names&quot;:false,&quot;dropping-particle&quot;:&quot;&quot;,&quot;non-dropping-particle&quot;:&quot;&quot;}],&quot;container-title&quot;:&quot;European Economic Review&quot;,&quot;container-title-short&quot;:&quot;Eur Econ Rev&quot;,&quot;issued&quot;:{&quot;date-parts&quot;:[[1994]]},&quot;abstract&quot;:&quot;This paper analyzes fiscal restrictions in the United States as a way of shedding light on the likely effects of the excessive deficits provisions of the Maastricht Treaty. We consider their impact on levels of deficits, on the cost of borrowing, and on the stabilization function of fiscal policy. If U.S. experience is any guide, Maastricht's fiscal restraints are enforceable, but if vigorously enforced they could significantly diminish the stabilization capacity of national budgets.&quot;}},{&quot;id&quot;:&quot;59fdc1ae-9156-3cf7-98d6-7ea2142e6b23&quot;,&quot;isTemporary&quot;:false,&quot;itemData&quot;:{&quot;type&quot;:&quot;article-journal&quot;,&quot;id&quot;:&quot;59fdc1ae-9156-3cf7-98d6-7ea2142e6b23&quot;,&quot;title&quot;:&quot;A Framework for Understanding State Balanced Budget Requirement Systems: Reexamining Distinctive Features and an Operational Definition&quot;,&quot;author&quot;:[{&quot;family&quot;:&quot;Hou&quot;,&quot;given&quot;:&quot;Yilin&quot;,&quot;parse-names&quot;:false,&quot;dropping-particle&quot;:&quot;&quot;,&quot;non-dropping-particle&quot;:&quot;&quot;},{&quot;family&quot;:&quot;Smith&quot;,&quot;given&quot;:&quot;Daniel L.&quot;,&quot;parse-names&quot;:false,&quot;dropping-particle&quot;:&quot;&quot;,&quot;non-dropping-particle&quot;:&quot;&quot;}],&quot;container-title&quot;:&quot;Public Budgeting and Finance&quot;,&quot;DOI&quot;:&quot;10.1111/j.1540-5850.2006.00853.x&quot;,&quot;ISSN&quot;:&quot;15405850&quot;,&quot;issued&quot;:{&quot;date-parts&quot;:[[2006]]},&quot;abstract&quot;:&quot;Studies of state fiscal and budgetary policies often use balanced budget requirements (BBRs) as explanatory variables. While current measures laid the crucial groundwork for a basic understanding of state BBRs, their lack of comprehensiveness threatens the validity of empirical work. Based on comprehensive legal research, this article offers a framework for analyzing state requirements: each state's BBRs form a coherent system for achieving budget balance through budget cycles; a fully developed BBR system offers a three-line construct against imbalance; and the more complete, developed, and explicit a BBR system is, the more stringent it will be in achieving budgetary balance. © 2017 Wiley. All rights reserved.&quot;,&quot;issue&quot;:&quot;3&quot;,&quot;volume&quot;:&quot;26&quot;,&quot;container-title-short&quot;:&quot;&quot;}},{&quot;id&quot;:&quot;aef5f77b-6ee0-3d12-954e-199ac40bd9ed&quot;,&quot;isTemporary&quot;:false,&quot;itemData&quot;:{&quot;type&quot;:&quot;article-journal&quot;,&quot;id&quot;:&quot;aef5f77b-6ee0-3d12-954e-199ac40bd9ed&quot;,&quot;title&quot;:&quot;Fiscal Discipline and the Budget Process&quot;,&quot;author&quot;:[{&quot;family&quot;:&quot;Alesina&quot;,&quot;given&quot;:&quot;Alberto&quot;,&quot;parse-names&quot;:false,&quot;dropping-particle&quot;:&quot;&quot;,&quot;non-dropping-particle&quot;:&quot;&quot;},{&quot;family&quot;:&quot;Perotti&quot;,&quot;given&quot;:&quot;Roberto&quot;,&quot;parse-names&quot;:false,&quot;dropping-particle&quot;:&quot;&quot;,&quot;non-dropping-particle&quot;:&quot;&quot;}],&quot;container-title&quot;:&quot;American Economic Review&quot;,&quot;DOI&quot;:&quot;10.2307/2118160&quot;,&quot;ISSN&quot;:&quot;00028282&quot;,&quot;issued&quot;:{&quot;date-parts&quot;:[[1996]]},&quot;page&quot;:&quot;401-407&quot;,&quot;issue&quot;:&quot;2&quot;,&quot;volume&quot;:&quot;86&quot;,&quot;container-title-short&quot;:&quot;&quot;}}]},{&quot;properties&quot;:{&quot;noteIndex&quot;:0},&quot;citationID&quot;:&quot;MENDELEY_CITATION_1ae3946e-81f7-48f9-803b-16a969a6d93e&quot;,&quot;isEdited&quot;:false,&quot;manualOverride&quot;:{&quot;isManuallyOverridden&quot;:false,&quot;manualOverrideText&quot;:&quot;&quot;,&quot;citeprocText&quot;:&quot;(Johnson &amp;#38; Kriz, 2005)&quot;},&quot;citationTag&quot;:&quot;MENDELEY_CITATION_v3_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&quot;,&quot;citationItems&quot;:[{&quot;id&quot;:&quot;cb8909d8-9b60-3f31-8ab0-4086d201dc9c&quot;,&quot;isTemporary&quot;:false,&quot;itemData&quot;:{&quot;type&quot;:&quot;article-journal&quot;,&quot;id&quot;:&quot;cb8909d8-9b60-3f31-8ab0-4086d201dc9c&quot;,&quot;title&quot;:&quot;Fiscal Institutions, Credit Ratings, and Borrowing Costs&quot;,&quot;author&quot;:[{&quot;family&quot;:&quot;Johnson&quot;,&quot;given&quot;:&quot;Craig L.&quot;,&quot;parse-names&quot;:false,&quot;dropping-particle&quot;:&quot;&quot;,&quot;non-dropping-particle&quot;:&quot;&quot;},{&quot;family&quot;:&quot;Kriz&quot;,&quot;given&quot;:&quot;Kenneth A.&quot;,&quot;parse-names&quot;:false,&quot;dropping-particle&quot;:&quot;&quot;,&quot;non-dropping-particle&quot;:&quot;&quot;}],&quot;container-title&quot;:&quot;Public Budgeting and Finance&quot;,&quot;DOI&quot;:&quot;10.1111/j.0275-1100.2005.00356.x&quot;,&quot;ISSN&quot;:&quot;15405850&quot;,&quot;issued&quot;:{&quot;date-parts&quot;:[[2005]]},&quot;abstract&quot;:&quot;This paper investigates the impact of fiscal institutions on state government borrowing costs. We find that institutions have both a direct and indirect effect on interest costs paid by state governments. Revenue limits are associated directly with higher interest costs; expenditure limits, stricter balanced budget rules, and restrictions on state debt issuance are indirectly associated with lower interest costs because they lead to higher credit ratings. It appears that investors and bond raters incorporate information on fiscal institutions into their assessment of state government credit quality. © 2017 Wiley. All rights reserved.&quot;,&quot;issue&quot;:&quot;1&quot;,&quot;volume&quot;:&quot;25&quot;,&quot;container-title-short&quot;:&quot;&quot;}}]},{&quot;properties&quot;:{&quot;noteIndex&quot;:0},&quot;citationID&quot;:&quot;MENDELEY_CITATION_f030ca6b-99fe-426a-b5eb-728a1ae2c9fb&quot;,&quot;isEdited&quot;:false,&quot;manualOverride&quot;:{&quot;citeprocText&quot;:&quot;(Poterba, 1994)&quot;,&quot;manualOverrideText&quot;:&quot;Poterba (1994)&quot;,&quot;isManuallyOverridden&quot;:true},&quot;citationTag&quot;:&quot;MENDELEY_CITATION_v3_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&quot;,&quot;citationItems&quot;:[{&quot;id&quot;:&quot;3f3d2e89-e91c-389f-87b0-5eeae6848b2a&quot;,&quot;isTemporary&quot;:false,&quot;itemData&quot;:{&quot;type&quot;:&quot;article-journal&quot;,&quot;id&quot;:&quot;3f3d2e89-e91c-389f-87b0-5eeae6848b2a&quot;,&quot;title&quot;:&quot;State Responses to Fiscal Crises: The Effects of Budgetary Institutions and Politics&quot;,&quot;author&quot;:[{&quot;family&quot;:&quot;Poterba&quot;,&quot;given&quot;:&quot;James M.&quot;,&quot;parse-names&quot;:false,&quot;dropping-particle&quot;:&quot;&quot;,&quot;non-dropping-particle&quot;:&quot;&quot;}],&quot;container-title&quot;:&quot;Journal of Political Economy&quot;,&quot;DOI&quot;:&quot;10.1086/261955&quot;,&quot;ISSN&quot;:&quot;0022-3808&quot;,&quot;issued&quot;:{&quot;date-parts&quot;:[[1994]]},&quot;page&quot;:&quot;799-821 &quot;,&quot;abstract&quot;:&quot;This paper explores the dynamics of state taxes and spending during the late 1980s, when regional economic downturns and increased expenditure demands led to substantial state budget deficits. More restrictive state fiscal institutions, such as \&quot;no-deficit-carryover\&quot; rules and tax and expenditure limitations, are correlated with more rapid fiscal adjustment to unexpected deficits. Political factors are also important. When a single party controls the state house and the governorship, deficit adjustment is much faster than when party control is divided. In gubernatorial election years, tax increases and spending cuts are both significantly smaller than at other times.&quot;,&quot;issue&quot;:&quot;4&quot;,&quot;volume&quot;:&quot;102&quot;,&quot;container-title-short&quot;:&quot;&quot;}}]},{&quot;properties&quot;:{&quot;noteIndex&quot;:0},&quot;citationID&quot;:&quot;MENDELEY_CITATION_599c095b-de63-4742-94ed-a14dffb3596e&quot;,&quot;isEdited&quot;:false,&quot;manualOverride&quot;:{&quot;isManuallyOverriden&quot;:false,&quot;manualOverrideText&quot;:&quot;&quot;,&quot;citeprocText&quot;:&quot;(Hou &amp;#38; Smith, 2006)&quot;,&quot;isManuallyOverridden&quot;:false},&quot;citationTag&quot;:&quot;MENDELEY_CITATION_v3_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&quot;,&quot;citationItems&quot;:[{&quot;id&quot;:&quot;59fdc1ae-9156-3cf7-98d6-7ea2142e6b23&quot;,&quot;isTemporary&quot;:false,&quot;itemData&quot;:{&quot;type&quot;:&quot;article-journal&quot;,&quot;id&quot;:&quot;59fdc1ae-9156-3cf7-98d6-7ea2142e6b23&quot;,&quot;title&quot;:&quot;A Framework for Understanding State Balanced Budget Requirement Systems: Reexamining Distinctive Features and an Operational Definition&quot;,&quot;author&quot;:[{&quot;family&quot;:&quot;Hou&quot;,&quot;given&quot;:&quot;Yilin&quot;,&quot;parse-names&quot;:false,&quot;dropping-particle&quot;:&quot;&quot;,&quot;non-dropping-particle&quot;:&quot;&quot;},{&quot;family&quot;:&quot;Smith&quot;,&quot;given&quot;:&quot;Daniel L.&quot;,&quot;parse-names&quot;:false,&quot;dropping-particle&quot;:&quot;&quot;,&quot;non-dropping-particle&quot;:&quot;&quot;}],&quot;container-title&quot;:&quot;Public Budgeting and Finance&quot;,&quot;DOI&quot;:&quot;10.1111/j.1540-5850.2006.00853.x&quot;,&quot;ISSN&quot;:&quot;15405850&quot;,&quot;issued&quot;:{&quot;date-parts&quot;:[[2006]]},&quot;abstract&quot;:&quot;Studies of state fiscal and budgetary policies often use balanced budget requirements (BBRs) as explanatory variables. While current measures laid the crucial groundwork for a basic understanding of state BBRs, their lack of comprehensiveness threatens the validity of empirical work. Based on comprehensive legal research, this article offers a framework for analyzing state requirements: each state's BBRs form a coherent system for achieving budget balance through budget cycles; a fully developed BBR system offers a three-line construct against imbalance; and the more complete, developed, and explicit a BBR system is, the more stringent it will be in achieving budgetary balance. © 2017 Wiley. All rights reserved.&quot;,&quot;issue&quot;:&quot;3&quot;,&quot;volume&quot;:&quot;26&quot;,&quot;container-title-short&quot;:&quot;&quot;}}]},{&quot;citationID&quot;:&quot;MENDELEY_CITATION_9d61a6a7-e275-4e51-9fa4-906da6087b8d&quot;,&quot;properties&quot;:{&quot;noteIndex&quot;:0},&quot;isEdited&quot;:false,&quot;manualOverride&quot;:{&quot;isManuallyOverridden&quot;:true,&quot;citeprocText&quot;:&quot;(Hou &amp;#38; Duncombe, 2008)&quot;,&quot;manualOverrideText&quot;:&quot;Hou and Duncombe (2008)&quot;},&quot;citationTag&quot;:&quot;MENDELEY_CITATION_v3_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&quot;,&quot;citationItems&quot;:[{&quot;id&quot;:&quot;9557b7c8-45c0-38ed-a02d-ec19061c0282&quot;,&quot;itemData&quot;:{&quot;type&quot;:&quot;article-journal&quot;,&quot;id&quot;:&quot;9557b7c8-45c0-38ed-a02d-ec19061c0282&quot;,&quot;title&quot;:&quot;State saving behavior: Effects of two fiscal and budgetary institutions&quot;,&quot;author&quot;:[{&quot;family&quot;:&quot;Hou&quot;,&quot;given&quot;:&quot;Yilin&quot;,&quot;parse-names&quot;:false,&quot;dropping-particle&quot;:&quot;&quot;,&quot;non-dropping-particle&quot;:&quot;&quot;},{&quot;family&quot;:&quot;Duncombe&quot;,&quot;given&quot;:&quot;William&quot;,&quot;parse-names&quot;:false,&quot;dropping-particle&quot;:&quot;&quot;,&quot;non-dropping-particle&quot;:&quot;&quot;}],&quot;container-title&quot;:&quot;Public Budgeting and Finance&quot;,&quot;DOI&quot;:&quot;10.1111/j.1540-5850.2008.00910.x&quot;,&quot;ISSN&quot;:&quot;02751100&quot;,&quot;issued&quot;:{&quot;date-parts&quot;:[[2008]]},&quot;abstract&quot;:&quot;This paper explores how state saving behavior is affected by two fiscal/ budgetary institutions - budget stabilization funds (BSF) and balanced budget requirements (BBR). While adopted for different reasons, BSF and BBR could have significant effects on state savings behavior depending on their design features. We empirically examine the effects of BSF and BBR using a panel data set that covers three business cycles, controlling for budgetary institutions, state economy, social services, politics, and business cycles. The paper finds that adopting BSF and BBR can raise savings by 2 and 3 percentage points, respectively; however, the effects depend crucially on the devices' design. © 2008 Public Financial Publications, Inc.&quot;,&quot;issue&quot;:&quot;3&quot;,&quot;volume&quot;:&quot;28&quot;,&quot;container-title-short&quot;:&quot;&quot;},&quot;isTemporary&quot;:false}]},{&quot;citationID&quot;:&quot;MENDELEY_CITATION_cb299576-c587-48b9-b144-59a9a643ae23&quot;,&quot;properties&quot;:{&quot;noteIndex&quot;:0},&quot;isEdited&quot;:false,&quot;manualOverride&quot;:{&quot;isManuallyOverridden&quot;:true,&quot;citeprocText&quot;:&quot;(Hou &amp;#38; Smith, 2010)&quot;,&quot;manualOverrideText&quot;:&quot;Hou and Smith (2010)&quot;},&quot;citationTag&quot;:&quot;MENDELEY_CITATION_v3_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&quot;,&quot;citationItems&quot;:[{&quot;id&quot;:&quot;5ca89e5e-7f55-39af-b718-48437310605e&quot;,&quot;itemData&quot;:{&quot;type&quot;:&quot;article-journal&quot;,&quot;id&quot;:&quot;5ca89e5e-7f55-39af-b718-48437310605e&quot;,&quot;title&quot;:&quot;Do state balanced budget requirements matter? Testing two explanatory frameworks&quot;,&quot;author&quot;:[{&quot;family&quot;:&quot;Hou&quot;,&quot;given&quot;:&quot;Yilin&quot;,&quot;parse-names&quot;:false,&quot;dropping-particle&quot;:&quot;&quot;,&quot;non-dropping-particle&quot;:&quot;&quot;},{&quot;family&quot;:&quot;Smith&quot;,&quot;given&quot;:&quot;Daniel L.&quot;,&quot;parse-names&quot;:false,&quot;dropping-particle&quot;:&quot;&quot;,&quot;non-dropping-particle&quot;:&quot;&quot;}],&quot;container-title&quot;:&quot;Public Choice&quot;,&quot;container-title-short&quot;:&quot;Public Choice&quot;,&quot;DOI&quot;:&quot;10.1007/s11127-009-9528-6&quot;,&quot;ISSN&quot;:&quot;00485829&quot;,&quot;issued&quot;:{&quot;date-parts&quot;:[[2010]]},&quot;abstract&quot;:&quot;Balanced budget requirements (BBRs) affect all aspects of financial operations. Previous studies relied on characterizations that highlight a constitutional-statutory distinction. Hou and Smith (Public Budgeting &amp; Finance 26(3):22-45, 2006) instead propose a political-technical construct. This article uses probit estimation, six measures of balance, and long panels to test which framework offers more explanatory power. The findings suggest that BBRs matter to varying degrees. Technical requirements exert bigger effects than political ones, the effects are more obvious on narrower than broader measures of balance and in the later phases of the budget cycle, and the political-technical construct offers more explanatory power than the constitutional-statutory distinction. © 2009 Springer Science+Business Media, LLC.&quot;,&quot;issue&quot;:&quot;1&quot;,&quot;volume&quot;:&quot;145&quot;},&quot;isTemporary&quot;:false}]},{&quot;citationID&quot;:&quot;MENDELEY_CITATION_84a2d2f3-1ae2-4b8a-bc60-23e0dfa45190&quot;,&quot;properties&quot;:{&quot;noteIndex&quot;:0},&quot;isEdited&quot;:false,&quot;manualOverride&quot;:{&quot;isManuallyOverridden&quot;:false,&quot;citeprocText&quot;:&quot;(Wagner &amp;#38; Sobel, 2006)&quot;,&quot;manualOverrideText&quot;:&quot;&quot;},&quot;citationTag&quot;:&quot;MENDELEY_CITATION_v3_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&quot;,&quot;citationItems&quot;:[{&quot;id&quot;:&quot;e90bfcb0-e7a7-3b84-927a-ef64d02c77ce&quot;,&quot;itemData&quot;:{&quot;type&quot;:&quot;article-journal&quot;,&quot;id&quot;:&quot;e90bfcb0-e7a7-3b84-927a-ef64d02c77ce&quot;,&quot;title&quot;:&quot;State Budget Stabilization Fund Adoption: Preparing for the Next Recession or Circumventing Fiscal Constraints?&quot;,&quot;author&quot;:[{&quot;family&quot;:&quot;Wagner&quot;,&quot;given&quot;:&quot;Gary A&quot;,&quot;parse-names&quot;:false,&quot;dropping-particle&quot;:&quot;&quot;,&quot;non-dropping-particle&quot;:&quot;&quot;},{&quot;family&quot;:&quot;Sobel&quot;,&quot;given&quot;:&quot;Russell S&quot;,&quot;parse-names&quot;:false,&quot;dropping-particle&quot;:&quot;&quot;,&quot;non-dropping-particle&quot;:&quot;&quot;}],&quot;container-title&quot;:&quot;Choice&quot;,&quot;DOI&quot;:&quot;10.1007/s&quot;,&quot;URL&quot;:&quot;https://www.jstor.org/stable/30026581&quot;,&quot;issued&quot;:{&quot;date-parts&quot;:[[2006]]},&quot;page&quot;:&quot;177-199&quot;,&quot;issue&quot;:&quot;1&quot;,&quot;volume&quot;:&quot;126&quot;,&quot;container-title-short&quot;:&quot;&quot;},&quot;isTemporary&quot;:false}]},{&quot;citationID&quot;:&quot;MENDELEY_CITATION_ee445ab9-9622-4503-8e04-ca1d5a7cd511&quot;,&quot;properties&quot;:{&quot;noteIndex&quot;:0},&quot;isEdited&quot;:false,&quot;manualOverride&quot;:{&quot;isManuallyOverridden&quot;:false,&quot;citeprocText&quot;:&quot;(Maher et al., 2017)&quot;,&quot;manualOverrideText&quot;:&quot;&quot;},&quot;citationTag&quot;:&quot;MENDELEY_CITATION_v3_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&quot;,&quot;citationItems&quot;:[{&quot;id&quot;:&quot;8a584aa2-64be-3ce5-b74d-580dcba2e125&quot;,&quot;itemData&quot;:{&quot;type&quot;:&quot;article-journal&quot;,&quot;id&quot;:&quot;8a584aa2-64be-3ce5-b74d-580dcba2e125&quot;,&quot;title&quot;:&quot;The effects of tax and expenditure limits on state fiscal reserves&quot;,&quot;author&quot;:[{&quot;family&quot;:&quot;Maher&quot;,&quot;given&quot;:&quot;Craig S.&quot;,&quot;parse-names&quot;:false,&quot;dropping-particle&quot;:&quot;&quot;,&quot;non-dropping-particle&quot;:&quot;&quot;},{&quot;family&quot;:&quot;Stallmann&quot;,&quot;given&quot;:&quot;Judith I.&quot;,&quot;parse-names&quot;:false,&quot;dropping-particle&quot;:&quot;&quot;,&quot;non-dropping-particle&quot;:&quot;&quot;},{&quot;family&quot;:&quot;Deller&quot;,&quot;given&quot;:&quot;Steven C.&quot;,&quot;parse-names&quot;:false,&quot;dropping-particle&quot;:&quot;&quot;,&quot;non-dropping-particle&quot;:&quot;&quot;},{&quot;family&quot;:&quot;Park&quot;,&quot;given&quot;:&quot;Sungho&quot;,&quot;parse-names&quot;:false,&quot;dropping-particle&quot;:&quot;&quot;,&quot;non-dropping-particle&quot;:&quot;&quot;}],&quot;container-title&quot;:&quot;Public Policy and Administration&quot;,&quot;container-title-short&quot;:&quot;Public Policy Adm&quot;,&quot;DOI&quot;:&quot;10.1177/0952076716660607&quot;,&quot;ISSN&quot;:&quot;17494192&quot;,&quot;issued&quot;:{&quot;date-parts&quot;:[[2017]]},&quot;abstract&quot;:&quot;To help policy makers manage expenditures during periods of economic downturns, most states have formal budget stabilization funds and unreserved fund balances. Using indices of tax and expenditure limitations laws restrictiveness, we examine the relationship between tax and expenditure limitations and state reserves for years 1992–2010 to help determine the extent to which tax and expenditure limitations constrain or in other ways affect how states manage fiscal reserves. This time period is particularly relevant because it includes two recessions and most states had budget stabilization funds and tax and expenditure limitations. Findings suggest that state-constructed tax and expenditure limitations have little effect on state capacity to react to fiscal shocks.&quot;,&quot;issue&quot;:&quot;2&quot;,&quot;volume&quot;:&quot;32&quot;},&quot;isTemporary&quot;:false}]},{&quot;properties&quot;:{&quot;noteIndex&quot;:0},&quot;citationID&quot;:&quot;MENDELEY_CITATION_c4217eb3-9b4f-43e3-a484-9a43b7b37dec&quot;,&quot;isEdited&quot;:false,&quot;manualOverride&quot;:{&quot;citeprocText&quot;:&quot;(Ryu et al., 2020)&quot;,&quot;isManuallyOverriden&quot;:true,&quot;manualOverrideText&quot;:&quot;Ryu et al. (2020)&quot;,&quot;isManuallyOverridden&quot;:true},&quot;citationTag&quot;:&quot;MENDELEY_CITATION_v3_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&quot;,&quot;citationItems&quot;:[{&quot;id&quot;:&quot;434b5bf7-71a7-3b04-80d4-c17926863e5e&quot;,&quot;isTemporary&quot;:false,&quot;itemData&quot;:{&quot;type&quot;:&quot;article-journal&quot;,&quot;id&quot;:&quot;434b5bf7-71a7-3b04-80d4-c17926863e5e&quot;,&quot;title&quot;:&quot;Does the Stringency of State Tax and Expenditure Limitations Discourage Political Manipulation in Fiscal Reserves?&quot;,&quot;author&quot;:[{&quot;family&quot;:&quot;Ryu&quot;,&quot;given&quot;:&quot;Seeun&quot;,&quot;parse-names&quot;:false,&quot;dropping-particle&quot;:&quot;&quot;,&quot;non-dropping-particle&quot;:&quot;&quot;},{&quot;family&quot;:&quot;Cho&quot;,&quot;given&quot;:&quot;Inyoung&quot;,&quot;parse-names&quot;:false,&quot;dropping-particle&quot;:&quot;&quot;,&quot;non-dropping-particle&quot;:&quot;&quot;},{&quot;family&quot;:&quot;Kim&quot;,&quot;given&quot;:&quot;Jiseul&quot;,&quot;parse-names&quot;:false,&quot;dropping-particle&quot;:&quot;&quot;,&quot;non-dropping-particle&quot;:&quot;&quot;}],&quot;container-title&quot;:&quot;Public Administration Review&quot;,&quot;DOI&quot;:&quot;10.1111/puar.13306&quot;,&quot;ISSN&quot;:&quot;0033-3352&quot;,&quot;issued&quot;:{&quot;date-parts&quot;:[[2020,10,20]]},&quot;abstract&quot;:&quot;Abstract This article examines how state tax and expenditure limitations (TELs) affect the size of fiscal reserves over election cycles. Using a panel data set of 47 U.S. states from 1986 to 2013, we find that the persistent pattern of electoral cycles in general fund balances (GFBs) disappears in states with stricter TELs. Regarding a budget stabilization fund balances (BSFs), the preelection and election downward effect diminishes and becomes statistically insignificant while the postelection upward effect increases and becomes significant in states with stricter TELs. Our findings reveal that the stringency of TELs not only eliminates electioneering's impact on GFBs but also coincides with increases in BSFs, particularly in postelection years. Consistent with the principal–agent theory, politicians tend to use a budget stabilization fund (BSF) as a secondary saving account to circumvent stronger TELs and save more BSFs after elections.&quot;,&quot;publisher&quot;:&quot;Wiley&quot;,&quot;expandedJournalTitle&quot;:&quot;Public Administration Review&quot;,&quot;container-title-short&quot;:&quot;Public Adm Rev&quot;}}]},{&quot;properties&quot;:{&quot;noteIndex&quot;:0},&quot;citationID&quot;:&quot;MENDELEY_CITATION_4e65ffba-d936-45e0-9204-7343672f2084&quot;,&quot;isEdited&quot;:false,&quot;manualOverride&quot;:{&quot;isManuallyOverridden&quot;:false,&quot;manualOverrideText&quot;:&quot;&quot;,&quot;citeprocText&quot;:&quot;(Hou et al., 2003)&quot;},&quot;citationTag&quot;:&quot;MENDELEY_CITATION_v3_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&quot;,&quot;citationItems&quot;:[{&quot;id&quot;:&quot;90355aeb-24d2-3401-9898-9c3709033e81&quot;,&quot;isTemporary&quot;:false,&quot;itemData&quot;:{&quot;type&quot;:&quot;article-journal&quot;,&quot;id&quot;:&quot;90355aeb-24d2-3401-9898-9c3709033e81&quot;,&quot;title&quot;:&quot;Capacity, Management, and Performance: Exploring the Links&quot;,&quot;author&quot;:[{&quot;family&quot;:&quot;Hou&quot;,&quot;given&quot;:&quot;Yilin&quot;,&quot;parse-names&quot;:false,&quot;dropping-particle&quot;:&quot;&quot;,&quot;non-dropping-particle&quot;:&quot;&quot;},{&quot;family&quot;:&quot;Moynihan&quot;,&quot;given&quot;:&quot;Donald P.&quot;,&quot;parse-names&quot;:false,&quot;dropping-particle&quot;:&quot;&quot;,&quot;non-dropping-particle&quot;:&quot;&quot;},{&quot;family&quot;:&quot;Ingraham&quot;,&quot;given&quot;:&quot;Patricia Wallace&quot;,&quot;parse-names&quot;:false,&quot;dropping-particle&quot;:&quot;&quot;,&quot;non-dropping-particle&quot;:&quot;&quot;}],&quot;container-title&quot;:&quot;American Review of Public Administration&quot;,&quot;container-title-short&quot;:&quot;Am Rev Public Adm&quot;,&quot;DOI&quot;:&quot;10.1177/0275074003251651&quot;,&quot;ISSN&quot;:&quot;02750740&quot;,&quot;issued&quot;:{&quot;date-parts&quot;:[[2003]]},&quot;abstract&quot;:&quot;Amid the focus of public management reforms on improving the performance of public organizations and their managers, there has been little empirical attention to the links between performance and management systems and activities; little attention has been paid to how and under what circumstances \&quot;management matters.\&quot; This study reports data from the Government Performance Project (GPP), with information of all 50 states. The GPP model argues that fundamental management systems are not only amenable to comparison across states but can provide critical components of the capacity that is basic to longer term effectiveness and performance. This article considers the extent to which capacity facilitates performance in financial management, analyzing the factors that contribute to the maintenance of rainy day funds (RDFs). The authors argue that arriving at positive performance for such indicators requires not only administrative capacity but also rules that shape political behavior that will support performance.&quot;,&quot;issue&quot;:&quot;3&quot;,&quot;volume&quot;:&quot;33&quot;}}]},{&quot;properties&quot;:{&quot;noteIndex&quot;:0},&quot;citationID&quot;:&quot;MENDELEY_CITATION_0bd7a03f-f6bb-4e9f-ab05-dfbd8ffcdb48&quot;,&quot;isEdited&quot;:false,&quot;manualOverride&quot;:{&quot;isManuallyOverridden&quot;:false,&quot;manualOverrideText&quot;:&quot;&quot;,&quot;citeprocText&quot;:&quot;(Ingraham &amp;#38; Donahue, 2000; Lynn et al., 2000; O’Toole &amp;#38; Meier, 1999)&quot;},&quot;citationTag&quot;:&quot;MENDELEY_CITATION_v3_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&quot;,&quot;citationItems&quot;:[{&quot;id&quot;:&quot;071831f5-6917-3e61-9291-e91227bb940f&quot;,&quot;isTemporary&quot;:false,&quot;itemData&quot;:{&quot;type&quot;:&quot;chapter&quot;,&quot;id&quot;:&quot;071831f5-6917-3e61-9291-e91227bb940f&quot;,&quot;title&quot;:&quot;Dissecting the black box revisited: Characterizing government management capacity&quot;,&quot;author&quot;:[{&quot;family&quot;:&quot;Ingraham&quot;,&quot;given&quot;:&quot;P. W.&quot;,&quot;parse-names&quot;:false,&quot;dropping-particle&quot;:&quot;&quot;,&quot;non-dropping-particle&quot;:&quot;&quot;},{&quot;family&quot;:&quot;Donahue&quot;,&quot;given&quot;:&quot;A. K.&quot;,&quot;parse-names&quot;:false,&quot;dropping-particle&quot;:&quot;&quot;,&quot;non-dropping-particle&quot;:&quot;&quot;}],&quot;container-title&quot;:&quot;Government and performance: New perspectives&quot;,&quot;editor&quot;:[{&quot;family&quot;:&quot;Heinrich&quot;,&quot;given&quot;:&quot;C.J.&quot;,&quot;parse-names&quot;:false,&quot;dropping-particle&quot;:&quot;&quot;,&quot;non-dropping-particle&quot;:&quot;&quot;},{&quot;family&quot;:&quot;Lynn&quot;,&quot;given&quot;:&quot;L. E.&quot;,&quot;parse-names&quot;:false,&quot;dropping-particle&quot;:&quot;&quot;,&quot;non-dropping-particle&quot;:&quot;&quot;}],&quot;issued&quot;:{&quot;date-parts&quot;:[[2000]]},&quot;publisher-place&quot;:&quot;Washington D.C.&quot;,&quot;publisher&quot;:&quot;Georgetown University Press&quot;,&quot;container-title-short&quot;:&quot;&quot;}},{&quot;id&quot;:&quot;8cc4f6a8-693f-3646-bcf3-8830ceed6802&quot;,&quot;isTemporary&quot;:false,&quot;itemData&quot;:{&quot;type&quot;:&quot;article-journal&quot;,&quot;id&quot;:&quot;8cc4f6a8-693f-3646-bcf3-8830ceed6802&quot;,&quot;title&quot;:&quot;Studying Governance and Public Management: Challenges and Prospects&quot;,&quot;author&quot;:[{&quot;family&quot;:&quot;Lynn&quot;,&quot;given&quot;:&quot;Laurence E.&quot;,&quot;parse-names&quot;:false,&quot;dropping-particle&quot;:&quot;&quot;,&quot;non-dropping-particle&quot;:&quot;&quot;},{&quot;family&quot;:&quot;Heinrich&quot;,&quot;given&quot;:&quot;Carolyn J.&quot;,&quot;parse-names&quot;:false,&quot;dropping-particle&quot;:&quot;&quot;,&quot;non-dropping-particle&quot;:&quot;&quot;},{&quot;family&quot;:&quot;Hill&quot;,&quot;given&quot;:&quot;Carolyn J.&quot;,&quot;parse-names&quot;:false,&quot;dropping-particle&quot;:&quot;&quot;,&quot;non-dropping-particle&quot;:&quot;&quot;}],&quot;container-title&quot;:&quot;Journal of Public Administration Research and Theory&quot;,&quot;DOI&quot;:&quot;10.1093/oxfordjournals.jpart.a024269&quot;,&quot;ISSN&quot;:&quot;10531858&quot;,&quot;issued&quot;:{&quot;date-parts&quot;:[[2000]]},&quot;page&quot;:&quot;233-262&quot;,&quot;abstract&quot;:&quot;How can public-sector regimes, agencies, programs, and activities be organized and managed to achieve public purposes? This question, of fundamental importance in the fields of politics, policy implementation, public administration, and public management, motivates the systematic study of governance. In this article, we present a logic of governance, based in political economy literatures, that might be used as a first step toward framing theory-based governance research. We also describe a methodological approach that is more likely to appropriately identify and explain relationships in governance regimes that involve activities and interactions that span more than one level of an organization or systemic structure. In addition, we explore the potential of various sources of data for governance research, recognizing that governance researchers will inevitably have to make simplifying assumptions or measure crudely things that we know are much more complex. We argue that when appropriately framed and interpreted through a logic of governance that acknowledges limitations attributable to the models, methods, and data employed, governance research is more likely to produce enduring knowledge about how, why, and with what consequences public-sector activity is structured and managed. © Oxford University Press 2001.&quot;,&quot;issue&quot;:&quot;2&quot;,&quot;volume&quot;:&quot;10&quot;,&quot;container-title-short&quot;:&quot;&quot;}},{&quot;id&quot;:&quot;9b9a5339-f18f-3bbe-9af5-5401a85d863b&quot;,&quot;isTemporary&quot;:false,&quot;itemData&quot;:{&quot;type&quot;:&quot;article-journal&quot;,&quot;id&quot;:&quot;9b9a5339-f18f-3bbe-9af5-5401a85d863b&quot;,&quot;title&quot;:&quot;Modeling the Impact of Public Management: Implications of Structural Context&quot;,&quot;author&quot;:[{&quot;family&quot;:&quot;O'Toole&quot;,&quot;given&quot;:&quot;Laurence J.&quot;,&quot;parse-names&quot;:false,&quot;dropping-particle&quot;:&quot;&quot;,&quot;non-dropping-particle&quot;:&quot;&quot;},{&quot;family&quot;:&quot;Meier&quot;,&quot;given&quot;:&quot;Kenneth J.&quot;,&quot;parse-names&quot;:false,&quot;dropping-particle&quot;:&quot;&quot;,&quot;non-dropping-particle&quot;:&quot;&quot;}],&quot;container-title&quot;:&quot;Journal of Public Administration Research and Theory&quot;,&quot;DOI&quot;:&quot;10.1093/oxfordjournals.jpart.a024421&quot;,&quot;ISSN&quot;:&quot;10531858&quot;,&quot;issued&quot;:{&quot;date-parts&quot;:[[1999]]},&quot;abstract&quot;:&quot;Management theory suggests that management matters in public organizations - its impact is conditional on structure and often nonlinear in form. This article distills much of the theoretical work on management in public organizations into a formal, testable model. Management is presented as more crucial in networks than in more structured hierarchies. Management influences organization performance by 1) creating structure for the organization and thus system stability, 2) buffering the organization from environmental influences, and 3) exploiting opportunities in the environment. Decisions about which of these actions to take are at the core of strategic management. This article is the first step in a full model of managerial action in public organizations.&quot;,&quot;issue&quot;:&quot;4&quot;,&quot;volume&quot;:&quot;9&quot;,&quot;container-title-short&quot;:&quot;&quot;}}]},{&quot;properties&quot;:{&quot;noteIndex&quot;:0},&quot;citationID&quot;:&quot;MENDELEY_CITATION_58f9ae40-a986-40da-be5c-ab15110b02fe&quot;,&quot;isEdited&quot;:false,&quot;manualOverride&quot;:{&quot;isManuallyOverridden&quot;:false,&quot;manualOverrideText&quot;:&quot;&quot;,&quot;citeprocText&quot;:&quot;(Hou et al., 2003; Hou &amp;#38; Moynihan, 2008)&quot;},&quot;citationTag&quot;:&quot;MENDELEY_CITATION_v3_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&quot;,&quot;citationItems&quot;:[{&quot;id&quot;:&quot;90355aeb-24d2-3401-9898-9c3709033e81&quot;,&quot;isTemporary&quot;:false,&quot;itemData&quot;:{&quot;type&quot;:&quot;article-journal&quot;,&quot;id&quot;:&quot;90355aeb-24d2-3401-9898-9c3709033e81&quot;,&quot;title&quot;:&quot;Capacity, Management, and Performance: Exploring the Links&quot;,&quot;author&quot;:[{&quot;family&quot;:&quot;Hou&quot;,&quot;given&quot;:&quot;Yilin&quot;,&quot;parse-names&quot;:false,&quot;dropping-particle&quot;:&quot;&quot;,&quot;non-dropping-particle&quot;:&quot;&quot;},{&quot;family&quot;:&quot;Moynihan&quot;,&quot;given&quot;:&quot;Donald P.&quot;,&quot;parse-names&quot;:false,&quot;dropping-particle&quot;:&quot;&quot;,&quot;non-dropping-particle&quot;:&quot;&quot;},{&quot;family&quot;:&quot;Ingraham&quot;,&quot;given&quot;:&quot;Patricia Wallace&quot;,&quot;parse-names&quot;:false,&quot;dropping-particle&quot;:&quot;&quot;,&quot;non-dropping-particle&quot;:&quot;&quot;}],&quot;container-title&quot;:&quot;American Review of Public Administration&quot;,&quot;container-title-short&quot;:&quot;Am Rev Public Adm&quot;,&quot;DOI&quot;:&quot;10.1177/0275074003251651&quot;,&quot;ISSN&quot;:&quot;02750740&quot;,&quot;issued&quot;:{&quot;date-parts&quot;:[[2003]]},&quot;abstract&quot;:&quot;Amid the focus of public management reforms on improving the performance of public organizations and their managers, there has been little empirical attention to the links between performance and management systems and activities; little attention has been paid to how and under what circumstances \&quot;management matters.\&quot; This study reports data from the Government Performance Project (GPP), with information of all 50 states. The GPP model argues that fundamental management systems are not only amenable to comparison across states but can provide critical components of the capacity that is basic to longer term effectiveness and performance. This article considers the extent to which capacity facilitates performance in financial management, analyzing the factors that contribute to the maintenance of rainy day funds (RDFs). The authors argue that arriving at positive performance for such indicators requires not only administrative capacity but also rules that shape political behavior that will support performance.&quot;,&quot;issue&quot;:&quot;3&quot;,&quot;volume&quot;:&quot;33&quot;}},{&quot;id&quot;:&quot;85bdf294-1af1-3fc2-8c78-c4f6ce6096b2&quot;,&quot;isTemporary&quot;:false,&quot;itemData&quot;:{&quot;type&quot;:&quot;article-journal&quot;,&quot;id&quot;:&quot;85bdf294-1af1-3fc2-8c78-c4f6ce6096b2&quot;,&quot;title&quot;:&quot;The case for countercyclical fiscal capacity&quot;,&quot;author&quot;:[{&quot;family&quot;:&quot;Hou&quot;,&quot;given&quot;:&quot;Yilin&quot;,&quot;parse-names&quot;:false,&quot;dropping-particle&quot;:&quot;&quot;,&quot;non-dropping-particle&quot;:&quot;&quot;},{&quot;family&quot;:&quot;Moynihan&quot;,&quot;given&quot;:&quot;Donald P.&quot;,&quot;parse-names&quot;:false,&quot;dropping-particle&quot;:&quot;&quot;,&quot;non-dropping-particle&quot;:&quot;&quot;}],&quot;container-title&quot;:&quot;Journal of Public Administration Research and Theory&quot;,&quot;DOI&quot;:&quot;10.1093/jopart/mum006&quot;,&quot;ISSN&quot;:&quot;10531858&quot;,&quot;issued&quot;:{&quot;date-parts&quot;:[[2008]]},&quot;abstract&quot;:&quot;A growing literature has sought to demonstrate when and how government capacity links to performance. This article examines those questions in the area of financial management. A basic challenge for state governments is to maintain budgetary stability and program predictability in face of economic downturns. State governments can best meet this challenge by developing what we call countercyclical fiscal capacity (CCFC). We present the concept of CCFC as the creation and use of financial tools that help state governments maintain countercyclical spending and program stability during revenue shocks. We operationalize the concept in terms of fiscal reserves that are used to mitigate emergency-spending cuts and tax increases and analyze the operation of such reserves over a period that includes recessions in 1991 and 2001. We find evidence of the efficacy of CCFC and argue for greater investments in this aspect of government capacity.&quot;,&quot;issue&quot;:&quot;1&quot;,&quot;volume&quot;:&quot;18&quot;,&quot;container-title-short&quot;:&quot;&quot;}}]},{&quot;properties&quot;:{&quot;noteIndex&quot;:0},&quot;citationID&quot;:&quot;MENDELEY_CITATION_4f3af933-95bb-4e5d-93b6-5d2bd8a6f65f&quot;,&quot;isEdited&quot;:false,&quot;manualOverride&quot;:{&quot;isManuallyOverridden&quot;:true,&quot;manualOverrideText&quot;:&quot;(Hou, 2004; Hou et al., 2003; Hou &amp; Moynihan, 2008)&quot;,&quot;citeprocText&quot;:&quot;(Hou et al., 2003; Hou &amp;#38; Moynihan, 2008)&quot;},&quot;citationTag&quot;:&quot;MENDELEY_CITATION_v3_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&quot;,&quot;citationItems&quot;:[{&quot;id&quot;:&quot;90355aeb-24d2-3401-9898-9c3709033e81&quot;,&quot;isTemporary&quot;:false,&quot;itemData&quot;:{&quot;type&quot;:&quot;article-journal&quot;,&quot;id&quot;:&quot;90355aeb-24d2-3401-9898-9c3709033e81&quot;,&quot;title&quot;:&quot;Capacity, Management, and Performance: Exploring the Links&quot;,&quot;author&quot;:[{&quot;family&quot;:&quot;Hou&quot;,&quot;given&quot;:&quot;Yilin&quot;,&quot;parse-names&quot;:false,&quot;dropping-particle&quot;:&quot;&quot;,&quot;non-dropping-particle&quot;:&quot;&quot;},{&quot;family&quot;:&quot;Moynihan&quot;,&quot;given&quot;:&quot;Donald P.&quot;,&quot;parse-names&quot;:false,&quot;dropping-particle&quot;:&quot;&quot;,&quot;non-dropping-particle&quot;:&quot;&quot;},{&quot;family&quot;:&quot;Ingraham&quot;,&quot;given&quot;:&quot;Patricia Wallace&quot;,&quot;parse-names&quot;:false,&quot;dropping-particle&quot;:&quot;&quot;,&quot;non-dropping-particle&quot;:&quot;&quot;}],&quot;container-title&quot;:&quot;American Review of Public Administration&quot;,&quot;container-title-short&quot;:&quot;Am Rev Public Adm&quot;,&quot;DOI&quot;:&quot;10.1177/0275074003251651&quot;,&quot;ISSN&quot;:&quot;02750740&quot;,&quot;issued&quot;:{&quot;date-parts&quot;:[[2003]]},&quot;abstract&quot;:&quot;Amid the focus of public management reforms on improving the performance of public organizations and their managers, there has been little empirical attention to the links between performance and management systems and activities; little attention has been paid to how and under what circumstances \&quot;management matters.\&quot; This study reports data from the Government Performance Project (GPP), with information of all 50 states. The GPP model argues that fundamental management systems are not only amenable to comparison across states but can provide critical components of the capacity that is basic to longer term effectiveness and performance. This article considers the extent to which capacity facilitates performance in financial management, analyzing the factors that contribute to the maintenance of rainy day funds (RDFs). The authors argue that arriving at positive performance for such indicators requires not only administrative capacity but also rules that shape political behavior that will support performance.&quot;,&quot;issue&quot;:&quot;3&quot;,&quot;volume&quot;:&quot;33&quot;}},{&quot;id&quot;:&quot;85bdf294-1af1-3fc2-8c78-c4f6ce6096b2&quot;,&quot;isTemporary&quot;:false,&quot;itemData&quot;:{&quot;type&quot;:&quot;article-journal&quot;,&quot;id&quot;:&quot;85bdf294-1af1-3fc2-8c78-c4f6ce6096b2&quot;,&quot;title&quot;:&quot;The case for countercyclical fiscal capacity&quot;,&quot;author&quot;:[{&quot;family&quot;:&quot;Hou&quot;,&quot;given&quot;:&quot;Yilin&quot;,&quot;parse-names&quot;:false,&quot;dropping-particle&quot;:&quot;&quot;,&quot;non-dropping-particle&quot;:&quot;&quot;},{&quot;family&quot;:&quot;Moynihan&quot;,&quot;given&quot;:&quot;Donald P.&quot;,&quot;parse-names&quot;:false,&quot;dropping-particle&quot;:&quot;&quot;,&quot;non-dropping-particle&quot;:&quot;&quot;}],&quot;container-title&quot;:&quot;Journal of Public Administration Research and Theory&quot;,&quot;DOI&quot;:&quot;10.1093/jopart/mum006&quot;,&quot;ISSN&quot;:&quot;10531858&quot;,&quot;issued&quot;:{&quot;date-parts&quot;:[[2008]]},&quot;abstract&quot;:&quot;A growing literature has sought to demonstrate when and how government capacity links to performance. This article examines those questions in the area of financial management. A basic challenge for state governments is to maintain budgetary stability and program predictability in face of economic downturns. State governments can best meet this challenge by developing what we call countercyclical fiscal capacity (CCFC). We present the concept of CCFC as the creation and use of financial tools that help state governments maintain countercyclical spending and program stability during revenue shocks. We operationalize the concept in terms of fiscal reserves that are used to mitigate emergency-spending cuts and tax increases and analyze the operation of such reserves over a period that includes recessions in 1991 and 2001. We find evidence of the efficacy of CCFC and argue for greater investments in this aspect of government capacity.&quot;,&quot;issue&quot;:&quot;1&quot;,&quot;volume&quot;:&quot;18&quot;,&quot;container-title-short&quot;:&quot;&quot;}}]},{&quot;citationID&quot;:&quot;MENDELEY_CITATION_36279ea0-c0bf-4441-be5d-72099614c659&quot;,&quot;properties&quot;:{&quot;noteIndex&quot;:0},&quot;isEdited&quot;:false,&quot;manualOverride&quot;:{&quot;isManuallyOverridden&quot;:false,&quot;citeprocText&quot;:&quot;(Douglas &amp;#38; Gaddie, 2002; Hou, 2003, 2004; Knight &amp;#38; Levinson, 1999; Sobel &amp;#38; Holcombe, 1996)&quot;,&quot;manualOverrideText&quot;:&quot;&quot;},&quot;citationTag&quot;:&quot;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&quot;,&quot;citationItems&quot;:[{&quot;id&quot;:&quot;8783f1d5-e3d2-36fd-8045-7943e249139c&quot;,&quot;itemData&quot;:{&quot;type&quot;:&quot;article-journal&quot;,&quot;id&quot;:&quot;8783f1d5-e3d2-36fd-8045-7943e249139c&quot;,&quot;title&quot;:&quot;State rainy day funds and fiscal crises: Rainy day funds and the 1990–1991 recession revisited&quot;,&quot;author&quot;:[{&quot;family&quot;:&quot;Douglas&quot;,&quot;given&quot;:&quot;James W.&quot;,&quot;parse-names&quot;:false,&quot;dropping-particle&quot;:&quot;&quot;,&quot;non-dropping-particle&quot;:&quot;&quot;},{&quot;family&quot;:&quot;Gaddie&quot;,&quot;given&quot;:&quot;Ronald Keith&quot;,&quot;parse-names&quot;:false,&quot;dropping-particle&quot;:&quot;&quot;,&quot;non-dropping-particle&quot;:&quot;&quot;}],&quot;container-title&quot;:&quot;Public Budgeting and Finance&quot;,&quot;DOI&quot;:&quot;10.1111/1540-5850.00063&quot;,&quot;ISSN&quot;:&quot;15405850&quot;,&quot;issued&quot;:{&quot;date-parts&quot;:[[2002]]},&quot;abstract&quot;:&quot;The recession of the early 1980s prompted many states to establish budget stabilization (rainy day) funds. Initial examinations of rainy day funds find a limited impact by the funds in alleviating fiscal stress. In this article, we propose an enhanced model of rainy day fund impact. Using data from 48 states for the 1990–1991 recession, our analysis indicates that the presence of a number of structural factors and the maintenance of generally large balances in other funds entering recession helps to alleviate fiscal stress when a state’s economy is in recession. © 2002 Blackwell Publishers Inc.&quot;,&quot;issue&quot;:&quot;1&quot;,&quot;volume&quot;:&quot;22&quot;,&quot;container-title-short&quot;:&quot;&quot;},&quot;isTemporary&quot;:false},{&quot;id&quot;:&quot;2dc7d27b-e79a-3d1f-916b-22b94f79b3ff&quot;,&quot;itemData&quot;:{&quot;type&quot;:&quot;article-journal&quot;,&quot;id&quot;:&quot;2dc7d27b-e79a-3d1f-916b-22b94f79b3ff&quot;,&quot;title&quot;:&quot;What Stabilizes State General Fund Expenditures in Downturn Years—Budget Stabilization Fund or General Fund Unreserved Undesignated Balance?&quot;,&quot;author&quot;:[{&quot;family&quot;:&quot;Hou&quot;,&quot;given&quot;:&quot;Yilin&quot;,&quot;parse-names&quot;:false,&quot;dropping-particle&quot;:&quot;&quot;,&quot;non-dropping-particle&quot;:&quot;&quot;}],&quot;container-title&quot;:&quot;Public Budgeting &amp; Finance&quot;,&quot;accessed&quot;:{&quot;date-parts&quot;:[[2022,1,30]]},&quot;DOI&quot;:&quot;10.1111/1540-5850.2303004&quot;,&quot;ISSN&quot;:&quot;1540-5850&quot;,&quot;URL&quot;:&quot;https://onlinelibrary.wiley.com/doi/full/10.1111/1540-5850.2303004&quot;,&quot;issued&quot;:{&quot;date-parts&quot;:[[2003,9,1]]},&quot;page&quot;:&quot;64-91&quot;,&quot;abstract&quot;:&quot;This article strictly defines the budget stabilization fund (BSF) as a counter-cyclical reserve, and with a panel data set examines the effects of BSF and general fund unreserved undesignated balances (UUB) on stabilizing state general fund expenditure during downturns. The article finds that BSFs bolster spending in lean years: each percentage point increase of BSF balance as a percent of general fund expenditure can minimize negative expenditure gap by a quarter percentage point. But the article does not find evidence that UUB is a counter-cyclical fiscal tool, indicating that wide adoption of BSF may have changed the nature and use of UUB. © 2017 Wiley. All rights reserved.&quot;,&quot;publisher&quot;:&quot;John Wiley &amp; Sons, Ltd&quot;,&quot;issue&quot;:&quot;3&quot;,&quot;volume&quot;:&quot;23&quot;,&quot;container-title-short&quot;:&quot;&quot;},&quot;isTemporary&quot;:false},{&quot;id&quot;:&quot;ec79977e-4c62-3d3a-b574-c74f0d52be70&quot;,&quot;itemData&quot;:{&quot;type&quot;:&quot;article-journal&quot;,&quot;id&quot;:&quot;ec79977e-4c62-3d3a-b574-c74f0d52be70&quot;,&quot;title&quot;:&quot;Budget Stabilization Fund: Structural Features of the Enabling Legislation and Balance Levels&quot;,&quot;author&quot;:[{&quot;family&quot;:&quot;Hou&quot;,&quot;given&quot;:&quot;Yilin&quot;,&quot;parse-names&quot;:false,&quot;dropping-particle&quot;:&quot;&quot;,&quot;non-dropping-particle&quot;:&quot;&quot;}],&quot;container-title&quot;:&quot;Public Budgeting and Finance&quot;,&quot;DOI&quot;:&quot;10.1111/j.0275-1100.2004.02403003.x&quot;,&quot;ISSN&quot;:&quot;15405850&quot;,&quot;issued&quot;:{&quot;date-parts&quot;:[[2004]]},&quot;page&quot;:&quot;38-64&quot;,&quot;abstract&quot;:&quot;This article examines what leads to high balances of the budget stabilization fund (BSF) to make it a countercyclical fiscal tool. Checking state BSF laws, this article classifies BSF structural features into purposes, funding sources, balance caps, and use approval procedures. Using panel data (1979–1999) and controlling for related variables, this article tests the features' effects on BSF levels over the sample period and different phases of the economy to identify specific effects of the features in boom and lean years. The article also forwards policy recommendations for state governments to consider in designing or revising their BSF legislation. © 2017 Wiley. All rights reserved.&quot;,&quot;issue&quot;:&quot;3&quot;,&quot;volume&quot;:&quot;24&quot;,&quot;container-title-short&quot;:&quot;&quot;},&quot;isTemporary&quot;:false},{&quot;id&quot;:&quot;1c0171a1-6a47-33b7-adfe-162d8d1a4f51&quot;,&quot;itemData&quot;:{&quot;type&quot;:&quot;article-journal&quot;,&quot;id&quot;:&quot;1c0171a1-6a47-33b7-adfe-162d8d1a4f51&quot;,&quot;title&quot;:&quot;Rainy Day Funds and State Government Savings&quot;,&quot;author&quot;:[{&quot;family&quot;:&quot;Knight&quot;,&quot;given&quot;:&quot;Brian&quot;,&quot;parse-names&quot;:false,&quot;dropping-particle&quot;:&quot;&quot;,&quot;non-dropping-particle&quot;:&quot;&quot;},{&quot;family&quot;:&quot;Levinson&quot;,&quot;given&quot;:&quot;Arik&quot;,&quot;parse-names&quot;:false,&quot;dropping-particle&quot;:&quot;&quot;,&quot;non-dropping-particle&quot;:&quot;&quot;}],&quot;container-title&quot;:&quot;National Tax Journal&quot;,&quot;container-title-short&quot;:&quot;Natl Tax J&quot;,&quot;DOI&quot;:&quot;10.1086/ntj41789735&quot;,&quot;ISSN&quot;:&quot;00280283&quot;,&quot;issued&quot;:{&quot;date-parts&quot;:[[1999]]},&quot;abstract&quot;:&quot;This paper examines the effect of rainy day funds (RDFs) on state savings behavior. We find that states with RDFs have higher total balances than states without such funds and also have higher balances after adoption than before adoption. Furthermore, RDF deposits increase total balances dollar-for-dollar. While we cannot rule out that states planning future savings may adopt RDFs, our findings are robust to the inclusion of measures of savings preferences. In sum, these funds appear to belong to the growing set of fiscal institutions with real fiscal and economic consequences.&quot;,&quot;issue&quot;:&quot;3&quot;,&quot;volume&quot;:&quot;52&quot;},&quot;isTemporary&quot;:false},{&quot;id&quot;:&quot;53437183-c745-3704-b48b-8d3974e73f59&quot;,&quot;itemData&quot;:{&quot;type&quot;:&quot;article-journal&quot;,&quot;id&quot;:&quot;53437183-c745-3704-b48b-8d3974e73f59&quot;,&quot;title&quot;:&quot;The Impact of State Rainy Day Funds in Easing State Fiscal Crises During the 1990-1991 Recession&quot;,&quot;author&quot;:[{&quot;family&quot;:&quot;Sobel&quot;,&quot;given&quot;:&quot;Russell S.&quot;,&quot;parse-names&quot;:false,&quot;dropping-particle&quot;:&quot;&quot;,&quot;non-dropping-particle&quot;:&quot;&quot;},{&quot;family&quot;:&quot;Holcombe&quot;,&quot;given&quot;:&quot;Randall G.&quot;,&quot;parse-names&quot;:false,&quot;dropping-particle&quot;:&quot;&quot;,&quot;non-dropping-particle&quot;:&quot;&quot;}],&quot;container-title&quot;:&quot;Public Budgeting &lt;html_ent glyph=\&quot;@amp;\&quot; ascii=\&quot;&amp;amp;\&quot;/&gt; Finance&quot;,&quot;accessed&quot;:{&quot;date-parts&quot;:[[2021,3,11]]},&quot;DOI&quot;:&quot;10.1111/1540-5850.01075&quot;,&quot;ISSN&quot;:&quot;0275-1100&quot;,&quot;URL&quot;:&quot;http://doi.wiley.com/10.1111/1540-5850.01075&quot;,&quot;issued&quot;:{&quot;date-parts&quot;:[[1996,9,1]]},&quot;page&quot;:&quot;28-48&quot;,&quot;abstract&quot;:&quot;This article examines the degree to which rainy day funds eased the fiscal stress experienced by states during the 1990–1991 recession. In the first section, a state fiscal policy of neutrality over the business cycle is used as a benchmark for evaluating the use of budget stabilization funds. The next section looks at data from the last three recessions to see how recessions have affected the taxes and expenditures of states. A measure of degree of fiscal stress experienced by each state during the 1990–1991 recession is then calculated. These results are used to empirically investigate the impact of explicit state rainy day funds in easing state fiscal stress. Next, the article examines whether states that had rainy day funds in 1989 were more likely to have less fiscal stress, and whether the specific deposit and withdrawal provisions of these funds made a difference. © 1996 Blackwell Publishing Ltd.&quot;,&quot;publisher&quot;:&quot;John Wiley &amp; Sons, Ltd&quot;,&quot;issue&quot;:&quot;3&quot;,&quot;volume&quot;:&quot;16&quot;,&quot;container-title-short&quot;:&quot;&quot;},&quot;isTemporary&quot;:false}]},{&quot;citationID&quot;:&quot;MENDELEY_CITATION_ad8ebc7a-9e0f-49cc-93c9-7219b53a893a&quot;,&quot;properties&quot;:{&quot;noteIndex&quot;:0},&quot;isEdited&quot;:false,&quot;manualOverride&quot;:{&quot;isManuallyOverridden&quot;:false,&quot;citeprocText&quot;:&quot;(Buerger et al., 2022)&quot;,&quot;manualOverrideText&quot;:&quot;&quot;},&quot;citationTag&quot;:&quot;MENDELEY_CITATION_v3_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&quot;,&quot;citationItems&quot;:[{&quot;id&quot;:&quot;f4bc279e-6eaa-3793-8623-79621952393b&quot;,&quot;itemData&quot;:{&quot;type&quot;:&quot;article-journal&quot;,&quot;id&quot;:&quot;f4bc279e-6eaa-3793-8623-79621952393b&quot;,&quot;title&quot;:&quot;State fiscal reserves: Supplementation and substitution over economic boom and bust years&quot;,&quot;author&quot;:[{&quot;family&quot;:&quot;Buerger&quot;,&quot;given&quot;:&quot;Christian&quot;,&quot;parse-names&quot;:false,&quot;dropping-particle&quot;:&quot;&quot;,&quot;non-dropping-particle&quot;:&quot;&quot;},{&quot;family&quot;:&quot;Reitano&quot;,&quot;given&quot;:&quot;Vincent&quot;,&quot;parse-names&quot;:false,&quot;dropping-particle&quot;:&quot;&quot;,&quot;non-dropping-particle&quot;:&quot;&quot;},{&quot;family&quot;:&quot;Sorrentino&quot;,&quot;given&quot;:&quot;Ciana&quot;,&quot;parse-names&quot;:false,&quot;dropping-particle&quot;:&quot;&quot;,&quot;non-dropping-particle&quot;:&quot;&quot;}],&quot;container-title&quot;:&quot;Public Budgeting and Finance&quot;,&quot;DOI&quot;:&quot;10.1111/pbaf.12311&quot;,&quot;ISSN&quot;:&quot;15405850&quot;,&quot;issued&quot;:{&quot;date-parts&quot;:[[2022]]},&quot;abstract&quot;:&quot;During the Great Recession and the start of the COVID-19 pandemic, practitioners and scholars alike looked to fiscal reserves as a means to overcome fiscal pressure on state budgets. This study builds on the literature exploring the association between budget stabilization funds and unassigned and unreserved balances (UUBs) during economic booms and busts and under different institutional settings. We find that BSFs supplement UUBs during economic booms and substitute for them during economic busts. Institutional rules strongly influence the relationship between both saving instruments.&quot;,&quot;issue&quot;:&quot;1&quot;,&quot;volume&quot;:&quot;42&quot;,&quot;container-title-short&quot;:&quot;&quot;},&quot;isTemporary&quot;:false}]},{&quot;properties&quot;:{&quot;noteIndex&quot;:0},&quot;citationID&quot;:&quot;MENDELEY_CITATION_e3d62e15-744e-41cc-88f7-154934e590d4&quot;,&quot;isEdited&quot;:false,&quot;manualOverride&quot;:{&quot;isManuallyOverriden&quot;:false,&quot;citeprocText&quot;:&quot;(Rose, 2008)&quot;,&quot;manualOverrideText&quot;:&quot;Rose (2008)&quot;,&quot;isManuallyOverridden&quot;:true},&quot;citationTag&quot;:&quot;MENDELEY_CITATION_v3_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&quot;,&quot;citationItems&quot;:[{&quot;id&quot;:&quot;709f11ad-8e5b-3b26-aaa6-a6337c74f47c&quot;,&quot;isTemporary&quot;:false,&quot;itemData&quot;:{&quot;type&quot;:&quot;article-journal&quot;,&quot;id&quot;:&quot;709f11ad-8e5b-3b26-aaa6-a6337c74f47c&quot;,&quot;title&quot;:&quot;The Political Manipulation of U.S. State Rainy Day Funds Under Rules Versus Discretion&quot;,&quot;author&quot;:[{&quot;family&quot;:&quot;Rose&quot;,&quot;given&quot;:&quot;Shanna&quot;,&quot;parse-names&quot;:false,&quot;dropping-particle&quot;:&quot;&quot;,&quot;non-dropping-particle&quot;:&quot;&quot;}],&quot;container-title&quot;:&quot;State Politics and Policy Quarterly&quot;,&quot;DOI&quot;:&quot;10.1177/153244000800800203&quot;,&quot;ISSN&quot;:&quot;19461607&quot;,&quot;issued&quot;:{&quot;date-parts&quot;:[[2008]]},&quot;abstract&quot;:&quot;Anecdotal evidence suggests that U.S. state politicians manipulate rainy day funds for political purposes, but such claims remain untested in the literature. This article finds that lawmakers withdraw nearly three times more funds in response to a deficit shock of a given size if it occurs in an election year rather than in a non-election year; this occurs despite the fact that the magnitude of shocks does not vary over the electoral cycle. This effect is stronger when incumbents are eligible for re-election than when they are term-limited. When it comes to preventing political manipulation of funds, rainy day fund rules that increase the number of veto players who must approve of withdrawals seem to be more effective than rules that specify the economic conditions under which funds may be withdrawn.&quot;,&quot;issue&quot;:&quot;2&quot;,&quot;volume&quot;:&quot;8&quot;,&quot;expandedJournalTitle&quot;:&quot;State Politics and Policy Quarterly&quot;,&quot;container-title-short&quot;:&quot;State Polit Policy Q&quot;}}]},{&quot;properties&quot;:{&quot;noteIndex&quot;:0},&quot;citationID&quot;:&quot;MENDELEY_CITATION_1d51aac6-9004-47d4-8987-37bef971c2f5&quot;,&quot;isEdited&quot;:false,&quot;manualOverride&quot;:{&quot;isManuallyOverriden&quot;:false,&quot;manualOverrideText&quot;:&quot;&quot;,&quot;citeprocText&quot;:&quot;(Hendrick, 2006; Hou &amp;#38; Brewer, 2010; Marlowe, 2005)&quot;,&quot;isManuallyOverridden&quot;:false},&quot;citationTag&quot;:&quot;MENDELEY_CITATION_v3_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&quot;,&quot;citationItems&quot;:[{&quot;id&quot;:&quot;5e5a8b50-fa28-3a1d-a5e8-7337b2082575&quot;,&quot;isTemporary&quot;:false,&quot;itemData&quot;:{&quot;type&quot;:&quot;article-journal&quot;,&quot;id&quot;:&quot;5e5a8b50-fa28-3a1d-a5e8-7337b2082575&quot;,&quot;title&quot;:&quot;Fiscal Slack and Counter-Cyclical Expenditure Stabilization: A First Look at the Local Level&quot;,&quot;author&quot;:[{&quot;family&quot;:&quot;Marlowe&quot;,&quot;given&quot;:&quot;Justin&quot;,&quot;parse-names&quot;:false,&quot;dropping-particle&quot;:&quot;&quot;,&quot;non-dropping-particle&quot;:&quot;&quot;}],&quot;container-title&quot;:&quot;Public Budgeting and Finance&quot;,&quot;DOI&quot;:&quot;10.1111/j.1540-5850.2005.00367.x&quot;,&quot;ISSN&quot;:&quot;15405850&quot;,&quot;issued&quot;:{&quot;date-parts&quot;:[[2005]]},&quot;abstract&quot;:&quot;There is a rich literature on how state governments use slack fiscal resources—most often in the form of rainy day funds and budget stabilization funds—to minimize the effect of economic downturns. This paper presents the first known examination of whether slack resources have the same counter-cyclical effects at the local level. It uses a panel data set to determine whether one particular form of local fiscal slack, general fund balance, stabilizes current annual expenditures among a sample of 103 Minnesota cities from 1990 to 2000. The findings suggest different fund balance portions have marginal but nonetheless important effects on expenditures. © 2017 Wiley. All rights reserved.&quot;,&quot;issue&quot;:&quot;3&quot;,&quot;volume&quot;:&quot;25&quot;,&quot;container-title-short&quot;:&quot;&quot;}},{&quot;id&quot;:&quot;fc690baf-2262-3bdd-9c3d-3d70bd493fa0&quot;,&quot;isTemporary&quot;:false,&quot;itemData&quot;:{&quot;type&quot;:&quot;article-journal&quot;,&quot;id&quot;:&quot;fc690baf-2262-3bdd-9c3d-3d70bd493fa0&quot;,&quot;title&quot;:&quot;The Role of Slack in Local Government Finances&quot;,&quot;author&quot;:[{&quot;family&quot;:&quot;Hendrick&quot;,&quot;given&quot;:&quot;Rebecca&quot;,&quot;parse-names&quot;:false,&quot;dropping-particle&quot;:&quot;&quot;,&quot;non-dropping-particle&quot;:&quot;&quot;}],&quot;container-title&quot;:&quot;Public Budgeting and Finance&quot;,&quot;DOI&quot;:&quot;10.1111/j.1540-5850.2006.00837.x&quot;,&quot;ISSN&quot;:&quot;15405850&quot;,&quot;issued&quot;:{&quot;date-parts&quot;:[[2006]]},&quot;page&quot;:&quot;14-46 &quot;,&quot;abstract&quot;:&quot;The research presented here adopts an organizational approach to develop three regression models that examine why local governments accumulate slack in the form of unreserved fund balances, and what is the impact of slack resources on local governments' short-term fiscal conditions and decisions about spending and revenues. Using data on Chicago suburban municipalities and their governments, the first model estimates the effects of long-term and short-term conditions (fiscal and governing) on unreserved fund balances. The second and third models examine the impact of slack resources and other factors on year-end deficits or surpluses and changes in spending and own-source revenues. The results show that ending balances, expenditures (size), and long-term fiscal conditions have the greatest effect on fund balances, and that slack and current fiscal conditions have the greatest effect on ending balances and changes in revenues and spending. © 2017 Wiley. All rights reserved.&quot;,&quot;issue&quot;:&quot;1&quot;,&quot;volume&quot;:&quot;26&quot;,&quot;container-title-short&quot;:&quot;&quot;}},{&quot;id&quot;:&quot;b2bfc406-90d9-3a8e-9481-adc651217f06&quot;,&quot;isTemporary&quot;:false,&quot;itemData&quot;:{&quot;type&quot;:&quot;article-journal&quot;,&quot;id&quot;:&quot;b2bfc406-90d9-3a8e-9481-adc651217f06&quot;,&quot;title&quot;:&quot;Substitution and Supplementation Between Co-Functional Policy Instruments: Evidence from State Budget Stabilization Practices&quot;,&quot;author&quot;:[{&quot;family&quot;:&quot;Hou&quot;,&quot;given&quot;:&quot;Yilin&quot;,&quot;parse-names&quot;:false,&quot;dropping-particle&quot;:&quot;&quot;,&quot;non-dropping-particle&quot;:&quot;&quot;},{&quot;family&quot;:&quot;Brewer&quot;,&quot;given&quot;:&quot;Gene A.&quot;,&quot;parse-names&quot;:false,&quot;dropping-particle&quot;:&quot;&quot;,&quot;non-dropping-particle&quot;:&quot;&quot;}],&quot;container-title&quot;:&quot;Public Administration Review&quot;,&quot;DOI&quot;:&quot;10.1111/j.1540-6210.2010.02223.x&quot;,&quot;ISSN&quot;:&quot;00333352&quot;,&quot;issued&quot;:{&quot;date-parts&quot;:[[2010]]},&quot;abstract&quot;:&quot;Governments often use multiple policy instruments for pursuing policy goals with mutually reinforcing effects. These effects include supplementation and substitution. This article examines both effects by studying two instruments of state budget stabilization policy: general fund balances and budget stabilization funds. States normally maintain budget surpluses in the general fund. In recent decades, many also created separate budget stabilization funds to guard against economic downturns. Empirical results show that substitution occurs between these instruments. In other words, the influence of the first instrument is partially offset by the second. The second instrument also produces some independent impacts-called supplementation-that increase the overall influence of both instruments. Such self-reinforcement decreases over time, suggesting that multiple policy instruments are most effective in the initial stage of application. Copyright © 2010 The American Society for Public Administration.&quot;,&quot;issue&quot;:&quot;6&quot;,&quot;volume&quot;:&quot;70&quot;,&quot;container-title-short&quot;:&quot;Public Adm Rev&quot;}}]},{&quot;properties&quot;:{&quot;noteIndex&quot;:0},&quot;citationID&quot;:&quot;MENDELEY_CITATION_d85ad292-9519-41bc-88a6-6d74375c21d3&quot;,&quot;isEdited&quot;:false,&quot;manualOverride&quot;:{&quot;isManuallyOverridden&quot;:false,&quot;manualOverrideText&quot;:&quot;&quot;,&quot;citeprocText&quot;:&quot;(Hendrick, 2006)&quot;},&quot;citationTag&quot;:&quot;MENDELEY_CITATION_v3_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&quot;,&quot;citationItems&quot;:[{&quot;id&quot;:&quot;fc690baf-2262-3bdd-9c3d-3d70bd493fa0&quot;,&quot;isTemporary&quot;:false,&quot;itemData&quot;:{&quot;type&quot;:&quot;article-journal&quot;,&quot;id&quot;:&quot;fc690baf-2262-3bdd-9c3d-3d70bd493fa0&quot;,&quot;title&quot;:&quot;The Role of Slack in Local Government Finances&quot;,&quot;author&quot;:[{&quot;family&quot;:&quot;Hendrick&quot;,&quot;given&quot;:&quot;Rebecca&quot;,&quot;parse-names&quot;:false,&quot;dropping-particle&quot;:&quot;&quot;,&quot;non-dropping-particle&quot;:&quot;&quot;}],&quot;container-title&quot;:&quot;Public Budgeting and Finance&quot;,&quot;DOI&quot;:&quot;10.1111/j.1540-5850.2006.00837.x&quot;,&quot;ISSN&quot;:&quot;15405850&quot;,&quot;issued&quot;:{&quot;date-parts&quot;:[[2006]]},&quot;page&quot;:&quot;14-46 &quot;,&quot;abstract&quot;:&quot;The research presented here adopts an organizational approach to develop three regression models that examine why local governments accumulate slack in the form of unreserved fund balances, and what is the impact of slack resources on local governments' short-term fiscal conditions and decisions about spending and revenues. Using data on Chicago suburban municipalities and their governments, the first model estimates the effects of long-term and short-term conditions (fiscal and governing) on unreserved fund balances. The second and third models examine the impact of slack resources and other factors on year-end deficits or surpluses and changes in spending and own-source revenues. The results show that ending balances, expenditures (size), and long-term fiscal conditions have the greatest effect on fund balances, and that slack and current fiscal conditions have the greatest effect on ending balances and changes in revenues and spending. © 2017 Wiley. All rights reserved.&quot;,&quot;issue&quot;:&quot;1&quot;,&quot;volume&quot;:&quot;26&quot;,&quot;container-title-short&quot;:&quot;&quot;}}]},{&quot;properties&quot;:{&quot;noteIndex&quot;:0},&quot;citationID&quot;:&quot;MENDELEY_CITATION_c518c2e9-7f75-4ea5-aa8d-fa97147114df&quot;,&quot;isEdited&quot;:false,&quot;manualOverride&quot;:{&quot;isManuallyOverriden&quot;:false,&quot;manualOverrideText&quot;:&quot;&quot;,&quot;citeprocText&quot;:&quot;(Lawrence &amp;#38; Lorsch, 1967; March &amp;#38; Simon, 1958)&quot;,&quot;isManuallyOverridden&quot;:false},&quot;citationTag&quot;:&quot;MENDELEY_CITATION_v3_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&quot;,&quot;citationItems&quot;:[{&quot;id&quot;:&quot;ced580e1-07bd-3395-a009-ac0ed637b280&quot;,&quot;isTemporary&quot;:false,&quot;itemData&quot;:{&quot;type&quot;:&quot;book&quot;,&quot;id&quot;:&quot;ced580e1-07bd-3395-a009-ac0ed637b280&quot;,&quot;title&quot;:&quot;Organization and Environment&quot;,&quot;author&quot;:[{&quot;family&quot;:&quot;Lawrence&quot;,&quot;given&quot;:&quot;Peter R.&quot;,&quot;parse-names&quot;:false,&quot;dropping-particle&quot;:&quot;&quot;,&quot;non-dropping-particle&quot;:&quot;&quot;},{&quot;family&quot;:&quot;Lorsch&quot;,&quot;given&quot;:&quot;J.W.&quot;,&quot;parse-names&quot;:false,&quot;dropping-particle&quot;:&quot;&quot;,&quot;non-dropping-particle&quot;:&quot;&quot;}],&quot;issued&quot;:{&quot;date-parts&quot;:[[1967]]},&quot;publisher-place&quot;:&quot;Homewood, IL: Irwin&quot;,&quot;container-title-short&quot;:&quot;&quot;}},{&quot;id&quot;:&quot;e7015c6a-4497-3673-b6ea-9310c5d1ac3c&quot;,&quot;isTemporary&quot;:false,&quot;itemData&quot;:{&quot;type&quot;:&quot;book&quot;,&quot;id&quot;:&quot;e7015c6a-4497-3673-b6ea-9310c5d1ac3c&quot;,&quot;title&quot;:&quot;Organizations&quot;,&quot;author&quot;:[{&quot;family&quot;:&quot;March&quot;,&quot;given&quot;:&quot;James G.&quot;,&quot;parse-names&quot;:false,&quot;dropping-particle&quot;:&quot;&quot;,&quot;non-dropping-particle&quot;:&quot;&quot;},{&quot;family&quot;:&quot;Simon&quot;,&quot;given&quot;:&quot;Herbert A.&quot;,&quot;parse-names&quot;:false,&quot;dropping-particle&quot;:&quot;&quot;,&quot;non-dropping-particle&quot;:&quot;&quot;}],&quot;issued&quot;:{&quot;date-parts&quot;:[[1958]]},&quot;publisher-place&quot;:&quot;New York: John wiley &amp; Sons&quot;,&quot;container-title-short&quot;:&quot;&quot;}}]},{&quot;properties&quot;:{&quot;noteIndex&quot;:0},&quot;citationID&quot;:&quot;MENDELEY_CITATION_ea504b70-fa1a-4c1c-a131-626a273577c8&quot;,&quot;isEdited&quot;:false,&quot;manualOverride&quot;:{&quot;isManuallyOverridden&quot;:false,&quot;manualOverrideText&quot;:&quot;&quot;,&quot;citeprocText&quot;:&quot;(Clark &amp;#38; Ferguson, 1983; Levine et al., 1981; Pammer, 1990)&quot;},&quot;citationTag&quot;:&quot;MENDELEY_CITATION_v3_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&quot;,&quot;citationItems&quot;:[{&quot;id&quot;:&quot;bf00e27a-0599-3b7f-883f-c7e0e17cd8a9&quot;,&quot;isTemporary&quot;:false,&quot;itemData&quot;:{&quot;type&quot;:&quot;book&quot;,&quot;id&quot;:&quot;bf00e27a-0599-3b7f-883f-c7e0e17cd8a9&quot;,&quot;title&quot;:&quot;The politics of retrenchment: how local governments manage fiscal stress.&quot;,&quot;author&quot;:[{&quot;family&quot;:&quot;Levine&quot;,&quot;given&quot;:&quot;Charles H&quot;,&quot;parse-names&quot;:false,&quot;dropping-particle&quot;:&quot;&quot;,&quot;non-dropping-particle&quot;:&quot;&quot;},{&quot;family&quot;:&quot;Rubin&quot;,&quot;given&quot;:&quot;I. S.&quot;,&quot;parse-names&quot;:false,&quot;dropping-particle&quot;:&quot;&quot;,&quot;non-dropping-particle&quot;:&quot;&quot;},{&quot;family&quot;:&quot;Wolohojian&quot;,&quot;given&quot;:&quot;G. G.&quot;,&quot;parse-names&quot;:false,&quot;dropping-particle&quot;:&quot;&quot;,&quot;non-dropping-particle&quot;:&quot;&quot;}],&quot;container-title&quot;:&quot;The politics of retrenchment: how local governments manage fiscal stress.&quot;,&quot;DOI&quot;:&quot;10.2307/3323693&quot;,&quot;ISSN&quot;:&quot;02768739&quot;,&quot;issued&quot;:{&quot;date-parts&quot;:[[1981]]},&quot;publisher-place&quot;:&quot;Beverly Hills&quot;,&quot;abstract&quot;:&quot;Provides information to administrators on how other localities are handling the administrative and political complexities associated with fiscal stress, and to provide organisation theorists and students with some hypotheses and data on how political systems adapt to fiscal stress. Four localities are examined in depth: the cities of Oakland, California; Cincinnati, Ohio; Baltimore, Maryland; and Prince George's County, Maryland. A theoretical model is devised which relies heavily on the conception of a local government as a complex formal organisation expected to adapt to changes in resource levels in predictable ways, and which incorporates the idea of stages of response depending on the degree and direction of resource growth and decline and takes into account both resistance to cuts and the elimination and re-creation of slack resources. After applying the model to the four case studies, there is a detailed comparative analysis; and the conclusion discusses the implications of the study, stressing the importance of political and managerial resources in successful alleviation of fiscal stress and the problem of depoliticization. -after Authors&quot;,&quot;publisher&quot;:&quot;Sage Publications&quot;,&quot;container-title-short&quot;:&quot;&quot;}},{&quot;id&quot;:&quot;52d7abfe-db81-3203-a5da-930543721213&quot;,&quot;isTemporary&quot;:false,&quot;itemData&quot;:{&quot;type&quot;:&quot;book&quot;,&quot;id&quot;:&quot;52d7abfe-db81-3203-a5da-930543721213&quot;,&quot;title&quot;:&quot;City money: Political processes, fiscal strain, and retrenchment. &quot;,&quot;author&quot;:[{&quot;family&quot;:&quot;Clark&quot;,&quot;given&quot;:&quot;Terry N.&quot;,&quot;parse-names&quot;:false,&quot;dropping-particle&quot;:&quot;&quot;,&quot;non-dropping-particle&quot;:&quot;&quot;},{&quot;family&quot;:&quot;Ferguson&quot;,&quot;given&quot;:&quot;Lorna C.&quot;,&quot;parse-names&quot;:false,&quot;dropping-particle&quot;:&quot;&quot;,&quot;non-dropping-particle&quot;:&quot;&quot;}],&quot;issued&quot;:{&quot;date-parts&quot;:[[1983]]},&quot;publisher-place&quot;:&quot;New York&quot;,&quot;publisher&quot;:&quot;Columbia University Press&quot;,&quot;container-title-short&quot;:&quot;&quot;}},{&quot;id&quot;:&quot;caacd919-f0e0-383c-ab58-ef675cb7460e&quot;,&quot;isTemporary&quot;:false,&quot;itemData&quot;:{&quot;type&quot;:&quot;article-journal&quot;,&quot;id&quot;:&quot;caacd919-f0e0-383c-ab58-ef675cb7460e&quot;,&quot;title&quot;:&quot;Managing fiscal strain in major American cities: understanding retrenchment in the public sector&quot;,&quot;author&quot;:[{&quot;family&quot;:&quot;Pammer&quot;,&quot;given&quot;:&quot;William J.&quot;,&quot;parse-names&quot;:false,&quot;dropping-particle&quot;:&quot;&quot;,&quot;non-dropping-particle&quot;:&quot;&quot;}],&quot;container-title&quot;:&quot;Choice Reviews Online&quot;,&quot;DOI&quot;:&quot;10.5860/choice.27-6445&quot;,&quot;ISSN&quot;:&quot;0009-4978&quot;,&quot;issued&quot;:{&quot;date-parts&quot;:[[1990]]},&quot;issue&quot;:&quot;11&quot;,&quot;volume&quot;:&quot;27&quot;,&quot;container-title-short&quot;:&quot;&quot;}}]},{&quot;citationID&quot;:&quot;MENDELEY_CITATION_ef40ec36-1ebb-41d8-b546-dbb9974c0aec&quot;,&quot;properties&quot;:{&quot;noteIndex&quot;:0},&quot;isEdited&quot;:false,&quot;manualOverride&quot;:{&quot;isManuallyOverridden&quot;:false,&quot;citeprocText&quot;:&quot;(Simon, 1947)&quot;,&quot;manualOverrideText&quot;:&quot;&quot;},&quot;citationTag&quot;:&quot;MENDELEY_CITATION_v3_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&quot;,&quot;citationItems&quot;:[{&quot;id&quot;:&quot;df6a6152-23d6-3014-a4ae-87e1093dad0e&quot;,&quot;itemData&quot;:{&quot;type&quot;:&quot;book&quot;,&quot;id&quot;:&quot;df6a6152-23d6-3014-a4ae-87e1093dad0e&quot;,&quot;title&quot;:&quot;Administrative Behavior&quot;,&quot;author&quot;:[{&quot;family&quot;:&quot;Simon&quot;,&quot;given&quot;:&quot;H. A.&quot;,&quot;parse-names&quot;:false,&quot;dropping-particle&quot;:&quot;&quot;,&quot;non-dropping-particle&quot;:&quot;&quot;}],&quot;issued&quot;:{&quot;date-parts&quot;:[[1947]]},&quot;publisher-place&quot;:&quot;New York&quot;,&quot;publisher&quot;:&quot;Macmillan&quot;,&quot;container-title-short&quot;:&quot;&quot;},&quot;isTemporary&quot;:false}]},{&quot;properties&quot;:{&quot;noteIndex&quot;:0},&quot;citationID&quot;:&quot;MENDELEY_CITATION_9d8a7680-5cc0-486e-899c-860727207787&quot;,&quot;isEdited&quot;:false,&quot;manualOverride&quot;:{&quot;isManuallyOverridden&quot;:false,&quot;manualOverrideText&quot;:&quot;&quot;,&quot;citeprocText&quot;:&quot;(Hendrick, 2006)&quot;},&quot;citationTag&quot;:&quot;MENDELEY_CITATION_v3_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&quot;,&quot;citationItems&quot;:[{&quot;id&quot;:&quot;fc690baf-2262-3bdd-9c3d-3d70bd493fa0&quot;,&quot;isTemporary&quot;:false,&quot;itemData&quot;:{&quot;type&quot;:&quot;article-journal&quot;,&quot;id&quot;:&quot;fc690baf-2262-3bdd-9c3d-3d70bd493fa0&quot;,&quot;title&quot;:&quot;The Role of Slack in Local Government Finances&quot;,&quot;author&quot;:[{&quot;family&quot;:&quot;Hendrick&quot;,&quot;given&quot;:&quot;Rebecca&quot;,&quot;parse-names&quot;:false,&quot;dropping-particle&quot;:&quot;&quot;,&quot;non-dropping-particle&quot;:&quot;&quot;}],&quot;container-title&quot;:&quot;Public Budgeting and Finance&quot;,&quot;DOI&quot;:&quot;10.1111/j.1540-5850.2006.00837.x&quot;,&quot;ISSN&quot;:&quot;15405850&quot;,&quot;issued&quot;:{&quot;date-parts&quot;:[[2006]]},&quot;page&quot;:&quot;14-46 &quot;,&quot;abstract&quot;:&quot;The research presented here adopts an organizational approach to develop three regression models that examine why local governments accumulate slack in the form of unreserved fund balances, and what is the impact of slack resources on local governments' short-term fiscal conditions and decisions about spending and revenues. Using data on Chicago suburban municipalities and their governments, the first model estimates the effects of long-term and short-term conditions (fiscal and governing) on unreserved fund balances. The second and third models examine the impact of slack resources and other factors on year-end deficits or surpluses and changes in spending and own-source revenues. The results show that ending balances, expenditures (size), and long-term fiscal conditions have the greatest effect on fund balances, and that slack and current fiscal conditions have the greatest effect on ending balances and changes in revenues and spending. © 2017 Wiley. All rights reserved.&quot;,&quot;issue&quot;:&quot;1&quot;,&quot;volume&quot;:&quot;26&quot;,&quot;container-title-short&quot;:&quot;&quot;}}]},{&quot;properties&quot;:{&quot;noteIndex&quot;:0},&quot;citationID&quot;:&quot;MENDELEY_CITATION_f337199d-0518-446f-8f57-3c2b620ba705&quot;,&quot;isEdited&quot;:false,&quot;manualOverride&quot;:{&quot;isManuallyOverridden&quot;:false,&quot;manualOverrideText&quot;:&quot;&quot;,&quot;citeprocText&quot;:&quot;(Hendrick, 2006)&quot;},&quot;citationTag&quot;:&quot;MENDELEY_CITATION_v3_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&quot;,&quot;citationItems&quot;:[{&quot;id&quot;:&quot;fc690baf-2262-3bdd-9c3d-3d70bd493fa0&quot;,&quot;isTemporary&quot;:false,&quot;itemData&quot;:{&quot;type&quot;:&quot;article-journal&quot;,&quot;id&quot;:&quot;fc690baf-2262-3bdd-9c3d-3d70bd493fa0&quot;,&quot;title&quot;:&quot;The Role of Slack in Local Government Finances&quot;,&quot;author&quot;:[{&quot;family&quot;:&quot;Hendrick&quot;,&quot;given&quot;:&quot;Rebecca&quot;,&quot;parse-names&quot;:false,&quot;dropping-particle&quot;:&quot;&quot;,&quot;non-dropping-particle&quot;:&quot;&quot;}],&quot;container-title&quot;:&quot;Public Budgeting and Finance&quot;,&quot;DOI&quot;:&quot;10.1111/j.1540-5850.2006.00837.x&quot;,&quot;ISSN&quot;:&quot;15405850&quot;,&quot;issued&quot;:{&quot;date-parts&quot;:[[2006]]},&quot;page&quot;:&quot;14-46 &quot;,&quot;abstract&quot;:&quot;The research presented here adopts an organizational approach to develop three regression models that examine why local governments accumulate slack in the form of unreserved fund balances, and what is the impact of slack resources on local governments' short-term fiscal conditions and decisions about spending and revenues. Using data on Chicago suburban municipalities and their governments, the first model estimates the effects of long-term and short-term conditions (fiscal and governing) on unreserved fund balances. The second and third models examine the impact of slack resources and other factors on year-end deficits or surpluses and changes in spending and own-source revenues. The results show that ending balances, expenditures (size), and long-term fiscal conditions have the greatest effect on fund balances, and that slack and current fiscal conditions have the greatest effect on ending balances and changes in revenues and spending. © 2017 Wiley. All rights reserved.&quot;,&quot;issue&quot;:&quot;1&quot;,&quot;volume&quot;:&quot;26&quot;,&quot;container-title-short&quot;:&quot;&quot;}}]},{&quot;properties&quot;:{&quot;noteIndex&quot;:0},&quot;citationID&quot;:&quot;MENDELEY_CITATION_d9edeb95-9b93-4c12-9a17-9c4bef8c7bea&quot;,&quot;isEdited&quot;:false,&quot;manualOverride&quot;:{&quot;isManuallyOverridden&quot;:false,&quot;manualOverrideText&quot;:&quot;&quot;,&quot;citeprocText&quot;:&quot;(Breton &amp;#38; Wintrobe, 1975; Migué &amp;#38; Bélanger, 1974)&quot;},&quot;citationTag&quot;:&quot;MENDELEY_CITATION_v3_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&quot;,&quot;citationItems&quot;:[{&quot;id&quot;:&quot;661f1c1b-510b-3994-a1d0-6b3b73f3f9de&quot;,&quot;isTemporary&quot;:false,&quot;itemData&quot;:{&quot;type&quot;:&quot;article-journal&quot;,&quot;id&quot;:&quot;661f1c1b-510b-3994-a1d0-6b3b73f3f9de&quot;,&quot;title&quot;:&quot;The Equilibrium Size of a Budget-maximizing Bureau: A Note on Niskanen's Theory of Bureaucracy&quot;,&quot;author&quot;:[{&quot;family&quot;:&quot;Breton&quot;,&quot;given&quot;:&quot;Albert&quot;,&quot;parse-names&quot;:false,&quot;dropping-particle&quot;:&quot;&quot;,&quot;non-dropping-particle&quot;:&quot;&quot;},{&quot;family&quot;:&quot;Wintrobe&quot;,&quot;given&quot;:&quot;Ronald&quot;,&quot;parse-names&quot;:false,&quot;dropping-particle&quot;:&quot;&quot;,&quot;non-dropping-particle&quot;:&quot;&quot;}],&quot;container-title&quot;:&quot;Journal of Political Economy &quot;,&quot;accessed&quot;:{&quot;date-parts&quot;:[[2021,6,12]]},&quot;URL&quot;:&quot;https://www.jstor.org/stable/1833280?seq=1#metadata_info_tab_contents&quot;,&quot;issued&quot;:{&quot;date-parts&quot;:[[1975]]},&quot;page&quot;:&quot;195-207&quot;,&quot;issue&quot;:&quot;1&quot;,&quot;volume&quot;:&quot;83&quot;,&quot;container-title-short&quot;:&quot;&quot;}},{&quot;id&quot;:&quot;250e517e-c610-31f5-933c-29dfe3083377&quot;,&quot;isTemporary&quot;:false,&quot;itemData&quot;:{&quot;type&quot;:&quot;article-journal&quot;,&quot;id&quot;:&quot;250e517e-c610-31f5-933c-29dfe3083377&quot;,&quot;title&quot;:&quot;Toward a General Theory of Managerial Discretion&quot;,&quot;author&quot;:[{&quot;family&quot;:&quot;Migué&quot;,&quot;given&quot;:&quot;Jean-Luc&quot;,&quot;parse-names&quot;:false,&quot;dropping-particle&quot;:&quot;&quot;,&quot;non-dropping-particle&quot;:&quot;&quot;},{&quot;family&quot;:&quot;Bélanger&quot;,&quot;given&quot;:&quot;Gérard&quot;,&quot;parse-names&quot;:false,&quot;dropping-particle&quot;:&quot;&quot;,&quot;non-dropping-particle&quot;:&quot;&quot;}],&quot;container-title&quot;:&quot;Public Choice Vol. 17 (Spring)&quot;,&quot;accessed&quot;:{&quot;date-parts&quot;:[[2021,6,12]]},&quot;URL&quot;:&quot;https://www.jstor.org/stable/30023151?seq=1#metadata_info_tab_contents&quot;,&quot;issued&quot;:{&quot;date-parts&quot;:[[1974]]},&quot;page&quot;:&quot;27-51&quot;,&quot;container-title-short&quot;:&quot;&quot;}}]},{&quot;properties&quot;:{&quot;noteIndex&quot;:0},&quot;citationID&quot;:&quot;MENDELEY_CITATION_d3d46357-b947-461c-9ae9-32113b64440c&quot;,&quot;isEdited&quot;:false,&quot;manualOverride&quot;:{&quot;isManuallyOverriden&quot;:false,&quot;manualOverrideText&quot;:&quot;&quot;,&quot;citeprocText&quot;:&quot;(Hendrick, 2006; Marlowe, 2005)&quot;,&quot;isManuallyOverridden&quot;:false},&quot;citationTag&quot;:&quot;MENDELEY_CITATION_v3_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&quot;,&quot;citationItems&quot;:[{&quot;id&quot;:&quot;5e5a8b50-fa28-3a1d-a5e8-7337b2082575&quot;,&quot;isTemporary&quot;:false,&quot;itemData&quot;:{&quot;type&quot;:&quot;article-journal&quot;,&quot;id&quot;:&quot;5e5a8b50-fa28-3a1d-a5e8-7337b2082575&quot;,&quot;title&quot;:&quot;Fiscal Slack and Counter-Cyclical Expenditure Stabilization: A First Look at the Local Level&quot;,&quot;author&quot;:[{&quot;family&quot;:&quot;Marlowe&quot;,&quot;given&quot;:&quot;Justin&quot;,&quot;parse-names&quot;:false,&quot;dropping-particle&quot;:&quot;&quot;,&quot;non-dropping-particle&quot;:&quot;&quot;}],&quot;container-title&quot;:&quot;Public Budgeting and Finance&quot;,&quot;DOI&quot;:&quot;10.1111/j.1540-5850.2005.00367.x&quot;,&quot;ISSN&quot;:&quot;15405850&quot;,&quot;issued&quot;:{&quot;date-parts&quot;:[[2005]]},&quot;abstract&quot;:&quot;There is a rich literature on how state governments use slack fiscal resources—most often in the form of rainy day funds and budget stabilization funds—to minimize the effect of economic downturns. This paper presents the first known examination of whether slack resources have the same counter-cyclical effects at the local level. It uses a panel data set to determine whether one particular form of local fiscal slack, general fund balance, stabilizes current annual expenditures among a sample of 103 Minnesota cities from 1990 to 2000. The findings suggest different fund balance portions have marginal but nonetheless important effects on expenditures. © 2017 Wiley. All rights reserved.&quot;,&quot;issue&quot;:&quot;3&quot;,&quot;volume&quot;:&quot;25&quot;,&quot;container-title-short&quot;:&quot;&quot;}},{&quot;id&quot;:&quot;fc690baf-2262-3bdd-9c3d-3d70bd493fa0&quot;,&quot;isTemporary&quot;:false,&quot;itemData&quot;:{&quot;type&quot;:&quot;article-journal&quot;,&quot;id&quot;:&quot;fc690baf-2262-3bdd-9c3d-3d70bd493fa0&quot;,&quot;title&quot;:&quot;The Role of Slack in Local Government Finances&quot;,&quot;author&quot;:[{&quot;family&quot;:&quot;Hendrick&quot;,&quot;given&quot;:&quot;Rebecca&quot;,&quot;parse-names&quot;:false,&quot;dropping-particle&quot;:&quot;&quot;,&quot;non-dropping-particle&quot;:&quot;&quot;}],&quot;container-title&quot;:&quot;Public Budgeting and Finance&quot;,&quot;DOI&quot;:&quot;10.1111/j.1540-5850.2006.00837.x&quot;,&quot;ISSN&quot;:&quot;15405850&quot;,&quot;issued&quot;:{&quot;date-parts&quot;:[[2006]]},&quot;page&quot;:&quot;14-46 &quot;,&quot;abstract&quot;:&quot;The research presented here adopts an organizational approach to develop three regression models that examine why local governments accumulate slack in the form of unreserved fund balances, and what is the impact of slack resources on local governments' short-term fiscal conditions and decisions about spending and revenues. Using data on Chicago suburban municipalities and their governments, the first model estimates the effects of long-term and short-term conditions (fiscal and governing) on unreserved fund balances. The second and third models examine the impact of slack resources and other factors on year-end deficits or surpluses and changes in spending and own-source revenues. The results show that ending balances, expenditures (size), and long-term fiscal conditions have the greatest effect on fund balances, and that slack and current fiscal conditions have the greatest effect on ending balances and changes in revenues and spending. © 2017 Wiley. All rights reserved.&quot;,&quot;issue&quot;:&quot;1&quot;,&quot;volume&quot;:&quot;26&quot;,&quot;container-title-short&quot;:&quot;&quot;}}]},{&quot;properties&quot;:{&quot;noteIndex&quot;:0},&quot;citationID&quot;:&quot;MENDELEY_CITATION_a36b2ad9-8533-4018-8147-a70d82b1b16e&quot;,&quot;isEdited&quot;:false,&quot;manualOverride&quot;:{&quot;isManuallyOverriden&quot;:false,&quot;manualOverrideText&quot;:&quot;&quot;,&quot;citeprocText&quot;:&quot;(Wang &amp;#38; Hou, 2012)&quot;,&quot;isManuallyOverridden&quot;:false},&quot;citationTag&quot;:&quot;MENDELEY_CITATION_v3_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&quot;,&quot;citationItems&quot;:[{&quot;id&quot;:&quot;29eb4ca2-58ad-3f57-bb8e-ee05506697ae&quot;,&quot;isTemporary&quot;:false,&quot;itemData&quot;:{&quot;type&quot;:&quot;article-journal&quot;,&quot;id&quot;:&quot;29eb4ca2-58ad-3f57-bb8e-ee05506697ae&quot;,&quot;title&quot;:&quot;Do local governments save and spend across budget cycles? evidence from North Carolina&quot;,&quot;author&quot;:[{&quot;family&quot;:&quot;Wang&quot;,&quot;given&quot;:&quot;Wen&quot;,&quot;parse-names&quot;:false,&quot;dropping-particle&quot;:&quot;&quot;,&quot;non-dropping-particle&quot;:&quot;&quot;},{&quot;family&quot;:&quot;Hou&quot;,&quot;given&quot;:&quot;Yilin&quot;,&quot;parse-names&quot;:false,&quot;dropping-particle&quot;:&quot;&quot;,&quot;non-dropping-particle&quot;:&quot;&quot;}],&quot;container-title&quot;:&quot;American Review of Public Administration&quot;,&quot;DOI&quot;:&quot;10.1177/0275074011398387&quot;,&quot;ISSN&quot;:&quot;02750740&quot;,&quot;issued&quot;:{&quot;date-parts&quot;:[[2012]]},&quot;abstract&quot;:&quot;The fiscal crisis encountered by state-local governments since 2008 has again made prominent the issue of how to better prepare for and stabilize expenditures during recessions. Does the stabilization function of government, and its theory, still hold? Previous studies focus on federal and state levels; only a few look at local governments. This article explores whether localities save and spend across the boom-bust cycle; we intend to identify the determinants of local government savings and estimate the impact of savings on stabilizing expenditures. Unlike some early evidence that shows countercyclical stabilization properties of local unreserved general fund balance, the empirical results of our study on North Carolina counties do not support the stabilization role by localities. This study carries timely and important implications for state/local policy making and financial operations; it also adds to the literature on the stabilization function of government. © SAGE Publications 2012.&quot;,&quot;issue&quot;:&quot;2&quot;,&quot;volume&quot;:&quot;42&quot;,&quot;container-title-short&quot;:&quot;Am Rev Public Adm&quot;}}]},{&quot;properties&quot;:{&quot;noteIndex&quot;:0},&quot;citationID&quot;:&quot;MENDELEY_CITATION_b56f8915-7de5-4bb0-8da8-c7411392f8d4&quot;,&quot;isEdited&quot;:false,&quot;manualOverride&quot;:{&quot;citeprocText&quot;:&quot;(Wu &amp;#38; Shi, 2021)&quot;,&quot;manualOverrideText&quot;:&quot;&quot;,&quot;isManuallyOverriden&quot;:true,&quot;isManuallyOverridden&quot;:false},&quot;citationTag&quot;:&quot;MENDELEY_CITATION_v3_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&quot;,&quot;citationItems&quot;:[{&quot;id&quot;:&quot;9d370cc6-33b1-38ce-98e5-37318ba3d34e&quot;,&quot;isTemporary&quot;:false,&quot;itemData&quot;:{&quot;type&quot;:&quot;article-journal&quot;,&quot;id&quot;:&quot;9d370cc6-33b1-38ce-98e5-37318ba3d34e&quot;,&quot;title&quot;:&quot;Does General Fund Balance Stabilize Municipal Expenditure? Evidence from Large American Cities&quot;,&quot;author&quot;:[{&quot;family&quot;:&quot;Wu&quot;,&quot;given&quot;:&quot;Yonghong&quot;,&quot;parse-names&quot;:false,&quot;dropping-particle&quot;:&quot;&quot;,&quot;non-dropping-particle&quot;:&quot;&quot;},{&quot;family&quot;:&quot;Shi&quot;,&quot;given&quot;:&quot;Yu&quot;,&quot;parse-names&quot;:false,&quot;dropping-particle&quot;:&quot;&quot;,&quot;non-dropping-particle&quot;:&quot;&quot;}],&quot;container-title&quot;:&quot;International Journal of Public Administration&quot;,&quot;DOI&quot;:&quot;10.1080/01900692.2020.1728772&quot;,&quot;ISSN&quot;:&quot;15324265&quot;,&quot;issued&quot;:{&quot;date-parts&quot;:[[2021]]},&quot;abstract&quot;:&quot;Municipal governments in the U.S. tend to build and maintain substantial general fund balances to ensure expenditure stability and long-term financial sustainability. It is important to understand how municipal fund balances help stabilize municipal spending. This article examines the annual municipal general fund expenditure gap between 1996 and 2011. Using data from 100 large cities, the empirical evidence does not support the stabilizing effect of the unreserved fund balance on general fund expenditure. Furthermore, the undesignated portion of the unreserved fund balance helps stabilize municipal general fund expenditure during upturn years, whereas the designated portion plays a procyclical role. This article also finds that more restrictive local tax and expenditure limits lessen municipal expenditure gap during bad fiscal years and that residents with conservative ideology tend to support countercyclical fiscal policies at the local level.&quot;,&quot;issue&quot;:&quot;5&quot;,&quot;volume&quot;:&quot;44&quot;,&quot;container-title-short&quot;:&quot;&quot;}}]},{&quot;properties&quot;:{&quot;noteIndex&quot;:0},&quot;citationID&quot;:&quot;MENDELEY_CITATION_563cb9fc-9899-412f-a17b-6d491d4dd368&quot;,&quot;isEdited&quot;:false,&quot;manualOverride&quot;:{&quot;isManuallyOverridden&quot;:false,&quot;manualOverrideText&quot;:&quot;&quot;,&quot;citeprocText&quot;:&quot;(Gorina et al., 2019; Su, 2019)&quot;},&quot;citationTag&quot;:&quot;MENDELEY_CITATION_v3_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&quot;,&quot;citationItems&quot;:[{&quot;id&quot;:&quot;fb7a34f7-2f1c-3274-8259-a15a79304fb8&quot;,&quot;isTemporary&quot;:false,&quot;itemData&quot;:{&quot;type&quot;:&quot;article-journal&quot;,&quot;id&quot;:&quot;fb7a34f7-2f1c-3274-8259-a15a79304fb8&quot;,&quot;title&quot;:&quot;Understanding the Accumulation of Local Government Savings: A Dynamic Analysis&quot;,&quot;author&quot;:[{&quot;family&quot;:&quot;Su&quot;,&quot;given&quot;:&quot;Min&quot;,&quot;parse-names&quot;:false,&quot;dropping-particle&quot;:&quot;&quot;,&quot;non-dropping-particle&quot;:&quot;&quot;}],&quot;container-title&quot;:&quot;International Journal of Public Administration&quot;,&quot;DOI&quot;:&quot;10.1080/01900692.2018.1522506&quot;,&quot;ISSN&quot;:&quot;15324265&quot;,&quot;issued&quot;:{&quot;date-parts&quot;:[[2019]]},&quot;abstract&quot;:&quot;Government savings can be a conundrum that perplexes taxpayers. Excessive savings indicate that taxpayers either pay unnecessarily high taxes, or they do not receive adequate returns on services. Insufficient savings leave government officials little financial flexibility. The Great Recession and its aftermath have renewed interest in understanding government savings. This article uses dynamic panel modeling to analyze the determinants of municipal discretionary savings. Results show that risk factors are the primary drivers of municipal savings, and high-risk factors have greater impact on the amount of savings. This finding confirms organization theory’s view of savings as a crucial buffer against risk.&quot;,&quot;issue&quot;:&quot;11&quot;,&quot;volume&quot;:&quot;42&quot;,&quot;container-title-short&quot;:&quot;&quot;}},{&quot;id&quot;:&quot;6ed145ed-da7d-3f05-9ab0-beb0d06ebe21&quot;,&quot;isTemporary&quot;:false,&quot;itemData&quot;:{&quot;type&quot;:&quot;article-journal&quot;,&quot;id&quot;:&quot;6ed145ed-da7d-3f05-9ab0-beb0d06ebe21&quot;,&quot;title&quot;:&quot;Toward a Theory of Fiscal Slack&quot;,&quot;author&quot;:[{&quot;family&quot;:&quot;Gorina&quot;,&quot;given&quot;:&quot;Evgenia&quot;,&quot;parse-names&quot;:false,&quot;dropping-particle&quot;:&quot;&quot;,&quot;non-dropping-particle&quot;:&quot;&quot;},{&quot;family&quot;:&quot;Maher&quot;,&quot;given&quot;:&quot;Craig&quot;,&quot;parse-names&quot;:false,&quot;dropping-particle&quot;:&quot;&quot;,&quot;non-dropping-particle&quot;:&quot;&quot;},{&quot;family&quot;:&quot;Park&quot;,&quot;given&quot;:&quot;Sungho&quot;,&quot;parse-names&quot;:false,&quot;dropping-particle&quot;:&quot;&quot;,&quot;non-dropping-particle&quot;:&quot;&quot;}],&quot;container-title&quot;:&quot;Public Budgeting and Finance&quot;,&quot;DOI&quot;:&quot;10.1111/pbaf.12240&quot;,&quot;ISSN&quot;:&quot;15405850&quot;,&quot;issued&quot;:{&quot;date-parts&quot;:[[2019]]},&quot;abstract&quot;:&quot;Though the fiscal slack literature has advanced over the past decade, more research is needed for a systematic understanding of the determinants and uses of fiscal reserves at the local level. This paper reviews theory and empirical evidence on the determinants of municipal fiscal reserves offers a conceptual framework for analyzing fiscal reserves accumulation and tests a series of hypotheses using a panel of 2007–2012 financial data for 145 U.S. cities from 21 states. Generalized least squares models show that unassigned general fund balances and unrestricted net assets are positively associated with general fund surpluses in the previous year and with local household incomes, while not being related to measures of fiscal risk, revenue effort, and voter characteristics. Overall, the findings suggest a relatively stronger influence of the capacity to save than the need to save on local fiscal reserves.&quot;,&quot;issue&quot;:&quot;4&quot;,&quot;volume&quot;:&quot;39&quot;,&quot;container-title-short&quot;:&quot;&quot;}}]},{&quot;properties&quot;:{&quot;noteIndex&quot;:0},&quot;citationID&quot;:&quot;MENDELEY_CITATION_db26418b-ac49-4c66-910b-9f8023d2f0de&quot;,&quot;isEdited&quot;:false,&quot;manualOverride&quot;:{&quot;isManuallyOverridden&quot;:false,&quot;manualOverrideText&quot;:&quot;&quot;,&quot;citeprocText&quot;:&quot;(Cyert &amp;#38; March, 1963; Schein, 1993)&quot;},&quot;citationTag&quot;:&quot;MENDELEY_CITATION_v3_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LCJpc1RlbXBvcmFyeSI6ZmFsc2V9XX0=&quot;,&quot;citationItems&quot;:[{&quot;id&quot;:&quot;e34fcce4-a967-3b6d-958e-846d1402cc18&quot;,&quot;isTemporary&quot;:false,&quot;itemData&quot;:{&quot;type&quot;:&quot;book&quot;,&quot;id&quot;:&quot;e34fcce4-a967-3b6d-958e-846d1402cc18&quot;,&quot;title&quot;:&quot;A Behavioral Theory of the Firm&quot;,&quot;author&quot;:[{&quot;family&quot;:&quot;Cyert&quot;,&quot;given&quot;:&quot;Richard Michael ;&quot;,&quot;parse-names&quot;:false,&quot;dropping-particle&quot;:&quot;&quot;,&quot;non-dropping-particle&quot;:&quot;&quot;},{&quot;family&quot;:&quot;March&quot;,&quot;given&quot;:&quot;James G;&quot;,&quot;parse-names&quot;:false,&quot;dropping-particle&quot;:&quot;&quot;,&quot;non-dropping-particle&quot;:&quot;&quot;}],&quot;container-title&quot;:&quot;American Political Science Review&quot;,&quot;ISSN&quot;:&quot;0003-0554&quot;,&quot;issued&quot;:{&quot;date-parts&quot;:[[1963]]},&quot;publisher-place&quot;:&quot;Englewood Cliffs, NJ&quot;,&quot;abstract&quot;:&quot;Antecedents of the behavioral theory of the firm -- Organizational goals -- Organizational expectations -- Organizational choice -- A summary of basic concepts in the behavioral theory of the firm -- A specific price and output model -- A general model of price and output determination -- A model of rational managerial behavior / by O.E. Williamson -- A model of trust investment behavior / by G.P.E. Clarkson -- Some implications -- Assumption, prediction, and explanation in economics / by R.M. Cyert and E. Grunberg -- Computer models in dynamic economics / by K.J. Cohen and R.M. Cyert.&quot;,&quot;publisher&quot;:&quot;Prentice-Hall&quot;,&quot;issue&quot;:&quot;3&quot;,&quot;container-title-short&quot;:&quot;&quot;}},{&quot;id&quot;:&quot;74421ddf-03e4-3e97-a132-3e261642989c&quot;,&quot;itemData&quot;:{&quot;type&quot;:&quot;article-journal&quot;,&quot;id&quot;:&quot;74421ddf-03e4-3e97-a132-3e261642989c&quot;,&quot;title&quot;:&quot;On dialogue, culture, and organizational learning&quot;,&quot;author&quot;:[{&quot;family&quot;:&quot;Schein&quot;,&quot;given&quot;:&quot;Edgar H.&quot;,&quot;parse-names&quot;:false,&quot;dropping-particle&quot;:&quot;&quot;,&quot;non-dropping-particle&quot;:&quot;&quot;}],&quot;container-title&quot;:&quot;Organizational Dynamics&quot;,&quot;container-title-short&quot;:&quot;Organ Dyn&quot;,&quot;DOI&quot;:&quot;10.1016/0090-2616(93)90052-3&quot;,&quot;ISSN&quot;:&quot;00902616&quot;,&quot;issued&quot;:{&quot;date-parts&quot;:[[1993]]},&quot;issue&quot;:&quot;2&quot;,&quot;volume&quot;:&quot;22&quot;},&quot;isTemporary&quot;:false}]},{&quot;properties&quot;:{&quot;noteIndex&quot;:0},&quot;citationID&quot;:&quot;MENDELEY_CITATION_d7557039-9df5-4999-83c9-0cf2f8258efe&quot;,&quot;isEdited&quot;:false,&quot;manualOverride&quot;:{&quot;isManuallyOverridden&quot;:false,&quot;manualOverrideText&quot;:&quot;&quot;,&quot;citeprocText&quot;:&quot;(Lee &amp;#38; Chen, 2022; Smallman, 1996; Toft &amp;#38; Reynolds, 2005; Zhang et al., 2018)&quot;},&quot;citationTag&quot;:&quot;MENDELEY_CITATION_v3_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quot;,&quot;citationItems&quot;:[{&quot;id&quot;:&quot;a1c468bb-250d-330a-a675-5450f5810fbe&quot;,&quot;isTemporary&quot;:false,&quot;itemData&quot;:{&quot;type&quot;:&quot;book&quot;,&quot;id&quot;:&quot;a1c468bb-250d-330a-a675-5450f5810fbe&quot;,&quot;title&quot;:&quot;Learning from disasters: A management approach&quot;,&quot;author&quot;:[{&quot;family&quot;:&quot;Toft&quot;,&quot;given&quot;:&quot;B&quot;,&quot;parse-names&quot;:false,&quot;dropping-particle&quot;:&quot;&quot;,&quot;non-dropping-particle&quot;:&quot;&quot;},{&quot;family&quot;:&quot;Reynolds&quot;,&quot;given&quot;:&quot;S&quot;,&quot;parse-names&quot;:false,&quot;dropping-particle&quot;:&quot;&quot;,&quot;non-dropping-particle&quot;:&quot;&quot;}],&quot;issued&quot;:{&quot;date-parts&quot;:[[2005]]},&quot;publisher-place&quot;:&quot;Hampshire, UK&quot;,&quot;publisher&quot;:&quot;Palgrave Macmillan&quot;,&quot;container-title-short&quot;:&quot;&quot;}},{&quot;id&quot;:&quot;62509f36-df3d-3570-ab98-66acf844e3fc&quot;,&quot;isTemporary&quot;:false,&quot;itemData&quot;:{&quot;type&quot;:&quot;article-journal&quot;,&quot;id&quot;:&quot;62509f36-df3d-3570-ab98-66acf844e3fc&quot;,&quot;title&quot;:&quot;Public organization adaptation to extreme events: Mediating role of risk perception&quot;,&quot;author&quot;:[{&quot;family&quot;:&quot;Zhang&quot;,&quot;given&quot;:&quot;Fengxiu&quot;,&quot;parse-names&quot;:false,&quot;dropping-particle&quot;:&quot;&quot;,&quot;non-dropping-particle&quot;:&quot;&quot;},{&quot;family&quot;:&quot;Welch&quot;,&quot;given&quot;:&quot;Eric W.&quot;,&quot;parse-names&quot;:false,&quot;dropping-particle&quot;:&quot;&quot;,&quot;non-dropping-particle&quot;:&quot;&quot;},{&quot;family&quot;:&quot;Miao&quot;,&quot;given&quot;:&quot;Qing&quot;,&quot;parse-names&quot;:false,&quot;dropping-particle&quot;:&quot;&quot;,&quot;non-dropping-particle&quot;:&quot;&quot;}],&quot;container-title&quot;:&quot;Journal of Public Administration Research and Theory&quot;,&quot;DOI&quot;:&quot;10.1093/jopart/muy004&quot;,&quot;ISSN&quot;:&quot;14779803&quot;,&quot;issued&quot;:{&quot;date-parts&quot;:[[2018]]},&quot;abstract&quot;:&quot;The study responds to the growing call for a more systematic approach to research on organizational responses to extreme events. It develops and tests an integrated framework based on the organizational adaptation and learning theory to shed light on how public organizations manage exposure and vulnerability to extreme events.The analysis uses data from a 2016 national survey of top managers in the largest fixed-route public transit agencies in the United States and from other institutional sources to test hypotheses that link exposure to extreme events, impact, risk perception, and adaptive responses. We apply a structural model to disentangle the direct effect of exposure on adaptation as well as its indirect effects through impact and risk perception. Findings underscore the critical role that organizational risk perception has in converting environmental stimuli to organizational adaptive responses and point to a perception-mediated learning model of adaptation.&quot;,&quot;issue&quot;:&quot;3&quot;,&quot;volume&quot;:&quot;28&quot;,&quot;container-title-short&quot;:&quot;&quot;}},{&quot;id&quot;:&quot;25b8c2da-e96f-34d8-9dc4-097b98bb86ec&quot;,&quot;isTemporary&quot;:false,&quot;itemData&quot;:{&quot;type&quot;:&quot;article-journal&quot;,&quot;id&quot;:&quot;25b8c2da-e96f-34d8-9dc4-097b98bb86ec&quot;,&quot;title&quot;:&quot;Risk and organizational behaviour: A research model&quot;,&quot;author&quot;:[{&quot;family&quot;:&quot;Smallman&quot;,&quot;given&quot;:&quot;Clive&quot;,&quot;parse-names&quot;:false,&quot;dropping-particle&quot;:&quot;&quot;,&quot;non-dropping-particle&quot;:&quot;&quot;}],&quot;container-title&quot;:&quot;Disaster Prevention and Management: An International Journal&quot;,&quot;DOI&quot;:&quot;10.1108/09653569610112880&quot;,&quot;ISSN&quot;:&quot;09653562&quot;,&quot;issued&quot;:{&quot;date-parts&quot;:[[1996]]},&quot;abstract&quot;:&quot;We live in times of increasing dynamism in the natural, social and business environments; with such dynamism comes fear, uncertainty and doubt. As a result the discipline of risk management is in the ascendancy. In a recent influential report the UK's Royal Society called for research into the role that organization design plays in risk management. Defines a theoretical framework that is being used to investigate a part of that relationship: the link between risk management strategy and organizational behaviour. Organizations are identified with either a proactive or a reactive approach to risk management. The research issue is whether the “choice” of approach is dependent on organization structure or is it independent? Does structure determine the approach or does the approach determine the structure? What other factors play a role? The critical factor of risk perception in managers and its impact on implementation strategy is considered. The types of risk strategy an organization follows and its structure are defined using various measures of distinct factors. By establishing the nature and cause of relationships between the measures and factors, the relationship between organizational approaches to risk and organization structure may be identified. Describes a method for evaluating this relationship. © 1996, MCB UP Limited&quot;,&quot;issue&quot;:&quot;2&quot;,&quot;volume&quot;:&quot;5&quot;,&quot;container-title-short&quot;:&quot;&quot;}},{&quot;id&quot;:&quot;cbd1839c-b8c0-3576-b1b1-d01a46964bd1&quot;,&quot;isTemporary&quot;:false,&quot;itemData&quot;:{&quot;type&quot;:&quot;article-journal&quot;,&quot;id&quot;:&quot;cbd1839c-b8c0-3576-b1b1-d01a46964bd1&quot;,&quot;title&quot;:&quot;Disaster Experience and Governments' Savings: The Moderating Role of Organizational Capacity&quot;,&quot;author&quot;:[{&quot;family&quot;:&quot;Lee&quot;,&quot;given&quot;:&quot;Sungyoon&quot;,&quot;parse-names&quot;:false,&quot;dropping-particle&quot;:&quot;&quot;,&quot;non-dropping-particle&quot;:&quot;&quot;},{&quot;family&quot;:&quot;Chen&quot;,&quot;given&quot;:&quot;Gang&quot;,&quot;parse-names&quot;:false,&quot;dropping-particle&quot;:&quot;&quot;,&quot;non-dropping-particle&quot;:&quot;&quot;}],&quot;container-title&quot;:&quot;Journal of Public Administration Research and Theory&quot;,&quot;DOI&quot;:&quot;10.1093/jopart/muab043&quot;,&quot;ISSN&quot;:&quot;14779803&quot;,&quot;issued&quot;:{&quot;date-parts&quot;:[[2022]]},&quot;abstract&quot;:&quot;The increasing risk of natural and human-induced disasters has caused considerable costs to governments. Governments' savings can function as a mechanism to mitigate such revenue or expenditure shocks due to disasters. While past studies have examined how recessions affect government reserves, to date, few studies have tested how a government's past experiences of natural disasters affect the level of its savings. In this study, we use organizational learning theory as a framework to explain this relationship. We empirically parse out the effect of previous disaster experience on reserve funds (i.e., rainy-day funds) and general savings (i.e., unassigned general fund balance). We further test whether organizational capacity serves as a moderator of the relationship between past disaster experience and savings. For the analysis, this study employs a Generalized Method of Moments (GMM) to examine a sample of US states for the years from 2002 to 2017. We find that an increase in cumulative damage from prior disasters is associated with an increase in rainy-day funds and this relationship is stronger in governments with a high organizational capacity. The results remain robust to estimations with alternative measures. These findings support the organizational learning theory, which suggests that governments learn from their past experiences to increase preparedness for future disasters. We also point out the importance of financial capacity in the process of organizational learning.&quot;,&quot;issue&quot;:&quot;3&quot;,&quot;volume&quot;:&quot;32&quot;,&quot;container-title-short&quot;:&quot;&quot;}}]},{&quot;properties&quot;:{&quot;noteIndex&quot;:0},&quot;citationID&quot;:&quot;MENDELEY_CITATION_56bcf4c5-11a9-4874-8bdc-9b3ab6cc4556&quot;,&quot;isEdited&quot;:false,&quot;manualOverride&quot;:{&quot;isManuallyOverridden&quot;:false,&quot;manualOverrideText&quot;:&quot;&quot;,&quot;citeprocText&quot;:&quot;(Lee &amp;#38; Chen, 2022; Schein, 1993)&quot;},&quot;citationTag&quot;:&quot;MENDELEY_CITATION_v3_eyJwcm9wZXJ0aWVzIjp7Im5vdGVJbmRleCI6MH0sImNpdGF0aW9uSUQiOiJNRU5ERUxFWV9DSVRBVElPTl81NmJjZjRjNS0xMWE5LTQ4NzQtOGJkYy05YjNhYjZjYzQ1NTYiLCJpc0VkaXRlZCI6ZmFsc2UsIm1hbnVhbE92ZXJyaWRlIjp7ImlzTWFudWFsbHlPdmVycmlkZGVuIjpmYWxzZSwibWFudWFsT3ZlcnJpZGVUZXh0IjoiIiwiY2l0ZXByb2NUZXh0IjoiKExlZSAmIzM4OyBDaGVuLCAyMDIyOyBTY2hlaW4sIDE5OTMpIn0sImNpdGF0aW9uSXRlbXMiOlt7ImlkIjoiNzQ0MjFkZGYtMDNlNC0zZTk3LWExMzItM2UyNjE2NDI5ODljIiwiaXNUZW1wb3JhcnkiOmZhbHNl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quot;,&quot;citationItems&quot;:[{&quot;id&quot;:&quot;74421ddf-03e4-3e97-a132-3e261642989c&quot;,&quot;isTemporary&quot;:false,&quot;itemData&quot;:{&quot;type&quot;:&quot;article-journal&quot;,&quot;id&quot;:&quot;74421ddf-03e4-3e97-a132-3e261642989c&quot;,&quot;title&quot;:&quot;On dialogue, culture, and organizational learning&quot;,&quot;author&quot;:[{&quot;family&quot;:&quot;Schein&quot;,&quot;given&quot;:&quot;Edgar H.&quot;,&quot;parse-names&quot;:false,&quot;dropping-particle&quot;:&quot;&quot;,&quot;non-dropping-particle&quot;:&quot;&quot;}],&quot;container-title&quot;:&quot;Organizational Dynamics&quot;,&quot;container-title-short&quot;:&quot;Organ Dyn&quot;,&quot;DOI&quot;:&quot;10.1016/0090-2616(93)90052-3&quot;,&quot;ISSN&quot;:&quot;00902616&quot;,&quot;issued&quot;:{&quot;date-parts&quot;:[[1993]]},&quot;issue&quot;:&quot;2&quot;,&quot;volume&quot;:&quot;22&quot;}},{&quot;id&quot;:&quot;cbd1839c-b8c0-3576-b1b1-d01a46964bd1&quot;,&quot;isTemporary&quot;:false,&quot;itemData&quot;:{&quot;type&quot;:&quot;article-journal&quot;,&quot;id&quot;:&quot;cbd1839c-b8c0-3576-b1b1-d01a46964bd1&quot;,&quot;title&quot;:&quot;Disaster Experience and Governments' Savings: The Moderating Role of Organizational Capacity&quot;,&quot;author&quot;:[{&quot;family&quot;:&quot;Lee&quot;,&quot;given&quot;:&quot;Sungyoon&quot;,&quot;parse-names&quot;:false,&quot;dropping-particle&quot;:&quot;&quot;,&quot;non-dropping-particle&quot;:&quot;&quot;},{&quot;family&quot;:&quot;Chen&quot;,&quot;given&quot;:&quot;Gang&quot;,&quot;parse-names&quot;:false,&quot;dropping-particle&quot;:&quot;&quot;,&quot;non-dropping-particle&quot;:&quot;&quot;}],&quot;container-title&quot;:&quot;Journal of Public Administration Research and Theory&quot;,&quot;DOI&quot;:&quot;10.1093/jopart/muab043&quot;,&quot;ISSN&quot;:&quot;14779803&quot;,&quot;issued&quot;:{&quot;date-parts&quot;:[[2022]]},&quot;abstract&quot;:&quot;The increasing risk of natural and human-induced disasters has caused considerable costs to governments. Governments' savings can function as a mechanism to mitigate such revenue or expenditure shocks due to disasters. While past studies have examined how recessions affect government reserves, to date, few studies have tested how a government's past experiences of natural disasters affect the level of its savings. In this study, we use organizational learning theory as a framework to explain this relationship. We empirically parse out the effect of previous disaster experience on reserve funds (i.e., rainy-day funds) and general savings (i.e., unassigned general fund balance). We further test whether organizational capacity serves as a moderator of the relationship between past disaster experience and savings. For the analysis, this study employs a Generalized Method of Moments (GMM) to examine a sample of US states for the years from 2002 to 2017. We find that an increase in cumulative damage from prior disasters is associated with an increase in rainy-day funds and this relationship is stronger in governments with a high organizational capacity. The results remain robust to estimations with alternative measures. These findings support the organizational learning theory, which suggests that governments learn from their past experiences to increase preparedness for future disasters. We also point out the importance of financial capacity in the process of organizational learning.&quot;,&quot;issue&quot;:&quot;3&quot;,&quot;volume&quot;:&quot;32&quot;,&quot;container-title-short&quot;:&quot;&quot;}}]},{&quot;properties&quot;:{&quot;noteIndex&quot;:0},&quot;citationID&quot;:&quot;MENDELEY_CITATION_3997e070-95c5-45e7-b27b-72f8c03cc33f&quot;,&quot;isEdited&quot;:false,&quot;manualOverride&quot;:{&quot;isManuallyOverridden&quot;:false,&quot;manualOverrideText&quot;:&quot;&quot;,&quot;citeprocText&quot;:&quot;(Lee &amp;#38; Chen, 2022; Schein, 1993)&quot;},&quot;citationTag&quot;:&quot;MENDELEY_CITATION_v3_eyJwcm9wZXJ0aWVzIjp7Im5vdGVJbmRleCI6MH0sImNpdGF0aW9uSUQiOiJNRU5ERUxFWV9DSVRBVElPTl8zOTk3ZTA3MC05NWM1LTQ1ZTctYjI3Yi03MmY4YzAzY2MzM2YiLCJpc0VkaXRlZCI6ZmFsc2UsIm1hbnVhbE92ZXJyaWRlIjp7ImlzTWFudWFsbHlPdmVycmlkZGVuIjpmYWxzZSwibWFudWFsT3ZlcnJpZGVUZXh0IjoiIiwiY2l0ZXByb2NUZXh0IjoiKExlZSAmIzM4OyBDaGVuLCAyMDIyOyBTY2hlaW4sIDE5OTMpIn0sImNpdGF0aW9uSXRlbXMiOlt7ImlkIjoiNzQ0MjFkZGYtMDNlNC0zZTk3LWExMzItM2UyNjE2NDI5ODljIiwiaXNUZW1wb3JhcnkiOmZhbHNl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quot;,&quot;citationItems&quot;:[{&quot;id&quot;:&quot;74421ddf-03e4-3e97-a132-3e261642989c&quot;,&quot;isTemporary&quot;:false,&quot;itemData&quot;:{&quot;type&quot;:&quot;article-journal&quot;,&quot;id&quot;:&quot;74421ddf-03e4-3e97-a132-3e261642989c&quot;,&quot;title&quot;:&quot;On dialogue, culture, and organizational learning&quot;,&quot;author&quot;:[{&quot;family&quot;:&quot;Schein&quot;,&quot;given&quot;:&quot;Edgar H.&quot;,&quot;parse-names&quot;:false,&quot;dropping-particle&quot;:&quot;&quot;,&quot;non-dropping-particle&quot;:&quot;&quot;}],&quot;container-title&quot;:&quot;Organizational Dynamics&quot;,&quot;container-title-short&quot;:&quot;Organ Dyn&quot;,&quot;DOI&quot;:&quot;10.1016/0090-2616(93)90052-3&quot;,&quot;ISSN&quot;:&quot;00902616&quot;,&quot;issued&quot;:{&quot;date-parts&quot;:[[1993]]},&quot;issue&quot;:&quot;2&quot;,&quot;volume&quot;:&quot;22&quot;}},{&quot;id&quot;:&quot;cbd1839c-b8c0-3576-b1b1-d01a46964bd1&quot;,&quot;isTemporary&quot;:false,&quot;itemData&quot;:{&quot;type&quot;:&quot;article-journal&quot;,&quot;id&quot;:&quot;cbd1839c-b8c0-3576-b1b1-d01a46964bd1&quot;,&quot;title&quot;:&quot;Disaster Experience and Governments' Savings: The Moderating Role of Organizational Capacity&quot;,&quot;author&quot;:[{&quot;family&quot;:&quot;Lee&quot;,&quot;given&quot;:&quot;Sungyoon&quot;,&quot;parse-names&quot;:false,&quot;dropping-particle&quot;:&quot;&quot;,&quot;non-dropping-particle&quot;:&quot;&quot;},{&quot;family&quot;:&quot;Chen&quot;,&quot;given&quot;:&quot;Gang&quot;,&quot;parse-names&quot;:false,&quot;dropping-particle&quot;:&quot;&quot;,&quot;non-dropping-particle&quot;:&quot;&quot;}],&quot;container-title&quot;:&quot;Journal of Public Administration Research and Theory&quot;,&quot;DOI&quot;:&quot;10.1093/jopart/muab043&quot;,&quot;ISSN&quot;:&quot;14779803&quot;,&quot;issued&quot;:{&quot;date-parts&quot;:[[2022]]},&quot;abstract&quot;:&quot;The increasing risk of natural and human-induced disasters has caused considerable costs to governments. Governments' savings can function as a mechanism to mitigate such revenue or expenditure shocks due to disasters. While past studies have examined how recessions affect government reserves, to date, few studies have tested how a government's past experiences of natural disasters affect the level of its savings. In this study, we use organizational learning theory as a framework to explain this relationship. We empirically parse out the effect of previous disaster experience on reserve funds (i.e., rainy-day funds) and general savings (i.e., unassigned general fund balance). We further test whether organizational capacity serves as a moderator of the relationship between past disaster experience and savings. For the analysis, this study employs a Generalized Method of Moments (GMM) to examine a sample of US states for the years from 2002 to 2017. We find that an increase in cumulative damage from prior disasters is associated with an increase in rainy-day funds and this relationship is stronger in governments with a high organizational capacity. The results remain robust to estimations with alternative measures. These findings support the organizational learning theory, which suggests that governments learn from their past experiences to increase preparedness for future disasters. We also point out the importance of financial capacity in the process of organizational learning.&quot;,&quot;issue&quot;:&quot;3&quot;,&quot;volume&quot;:&quot;32&quot;,&quot;container-title-short&quot;:&quot;&quot;}}]},{&quot;properties&quot;:{&quot;noteIndex&quot;:0},&quot;citationID&quot;:&quot;MENDELEY_CITATION_4c07a026-155b-49c0-946a-2bce528fa198&quot;,&quot;isEdited&quot;:false,&quot;manualOverride&quot;:{&quot;isManuallyOverriden&quot;:false,&quot;manualOverrideText&quot;:&quot;&quot;,&quot;citeprocText&quot;:&quot;(Wagner, 2003)&quot;,&quot;isManuallyOverridden&quot;:false},&quot;citationTag&quot;:&quot;MENDELEY_CITATION_v3_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&quot;,&quot;citationItems&quot;:[{&quot;id&quot;:&quot;caa482d1-b28f-3376-bd25-f35de4edd506&quot;,&quot;isTemporary&quot;:false,&quot;itemData&quot;:{&quot;type&quot;:&quot;article-journal&quot;,&quot;id&quot;:&quot;caa482d1-b28f-3376-bd25-f35de4edd506&quot;,&quot;title&quot;:&quot;Are state budget stabilization funds only the illusion of savings? Evidence from stationary panel data&quot;,&quot;author&quot;:[{&quot;family&quot;:&quot;Wagner&quot;,&quot;given&quot;:&quot;Gary A.&quot;,&quot;parse-names&quot;:false,&quot;dropping-particle&quot;:&quot;&quot;,&quot;non-dropping-particle&quot;:&quot;&quot;}],&quot;container-title&quot;:&quot;Quarterly Review of Economics and Finance&quot;,&quot;DOI&quot;:&quot;10.1016/S1062-9769(01)00132-6&quot;,&quot;ISSN&quot;:&quot;10629769&quot;,&quot;issued&quot;:{&quot;date-parts&quot;:[[2003]]},&quot;page&quot;:&quot;213-238&quot;,&quot;abstract&quot;:&quot;State governments have dramatically expanded their use of budget stabilization funds (BSFs) in recent decades. While stabilization funds have the potential to assist states in smoothing fluctuations in the budget, the extent to which balances in stabilization funds are substitutable with general fund balances is not yet resolved. Using new panel unit root tests, this paper finds evidence of unit roots in data series used by previous researchers. After accounting for the non-stationarity, I find strong evidence that monies retained in stabilization funds are,to a large degree, substitutable with monies held in the general fund. © 2002 Board of Trustees of the University of Illinois. All rights reserved.&quot;,&quot;issue&quot;:&quot;2&quot;,&quot;volume&quot;:&quot;43&quot;,&quot;container-title-short&quot;:&quot;&quot;}}]},{&quot;properties&quot;:{&quot;noteIndex&quot;:0},&quot;citationID&quot;:&quot;MENDELEY_CITATION_1b641871-1710-49a0-8aa7-d15d3a28069a&quot;,&quot;isEdited&quot;:false,&quot;manualOverride&quot;:{&quot;isManuallyOverriden&quot;:false,&quot;manualOverrideText&quot;:&quot;&quot;,&quot;citeprocText&quot;:&quot;(Hou &amp;#38; Brewer, 2010; Knight &amp;#38; Levinson, 1999)&quot;,&quot;isManuallyOverridden&quot;:false},&quot;citationTag&quot;:&quot;MENDELEY_CITATION_v3_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&quot;,&quot;citationItems&quot;:[{&quot;id&quot;:&quot;b2bfc406-90d9-3a8e-9481-adc651217f06&quot;,&quot;isTemporary&quot;:false,&quot;itemData&quot;:{&quot;type&quot;:&quot;article-journal&quot;,&quot;id&quot;:&quot;b2bfc406-90d9-3a8e-9481-adc651217f06&quot;,&quot;title&quot;:&quot;Substitution and Supplementation Between Co-Functional Policy Instruments: Evidence from State Budget Stabilization Practices&quot;,&quot;author&quot;:[{&quot;family&quot;:&quot;Hou&quot;,&quot;given&quot;:&quot;Yilin&quot;,&quot;parse-names&quot;:false,&quot;dropping-particle&quot;:&quot;&quot;,&quot;non-dropping-particle&quot;:&quot;&quot;},{&quot;family&quot;:&quot;Brewer&quot;,&quot;given&quot;:&quot;Gene A.&quot;,&quot;parse-names&quot;:false,&quot;dropping-particle&quot;:&quot;&quot;,&quot;non-dropping-particle&quot;:&quot;&quot;}],&quot;container-title&quot;:&quot;Public Administration Review&quot;,&quot;DOI&quot;:&quot;10.1111/j.1540-6210.2010.02223.x&quot;,&quot;ISSN&quot;:&quot;00333352&quot;,&quot;issued&quot;:{&quot;date-parts&quot;:[[2010]]},&quot;abstract&quot;:&quot;Governments often use multiple policy instruments for pursuing policy goals with mutually reinforcing effects. These effects include supplementation and substitution. This article examines both effects by studying two instruments of state budget stabilization policy: general fund balances and budget stabilization funds. States normally maintain budget surpluses in the general fund. In recent decades, many also created separate budget stabilization funds to guard against economic downturns. Empirical results show that substitution occurs between these instruments. In other words, the influence of the first instrument is partially offset by the second. The second instrument also produces some independent impacts-called supplementation-that increase the overall influence of both instruments. Such self-reinforcement decreases over time, suggesting that multiple policy instruments are most effective in the initial stage of application. Copyright © 2010 The American Society for Public Administration.&quot;,&quot;issue&quot;:&quot;6&quot;,&quot;volume&quot;:&quot;70&quot;,&quot;container-title-short&quot;:&quot;Public Adm Rev&quot;}},{&quot;id&quot;:&quot;1c0171a1-6a47-33b7-adfe-162d8d1a4f51&quot;,&quot;isTemporary&quot;:false,&quot;itemData&quot;:{&quot;type&quot;:&quot;article-journal&quot;,&quot;id&quot;:&quot;1c0171a1-6a47-33b7-adfe-162d8d1a4f51&quot;,&quot;title&quot;:&quot;Rainy Day Funds and State Government Savings&quot;,&quot;author&quot;:[{&quot;family&quot;:&quot;Knight&quot;,&quot;given&quot;:&quot;Brian&quot;,&quot;parse-names&quot;:false,&quot;dropping-particle&quot;:&quot;&quot;,&quot;non-dropping-particle&quot;:&quot;&quot;},{&quot;family&quot;:&quot;Levinson&quot;,&quot;given&quot;:&quot;Arik&quot;,&quot;parse-names&quot;:false,&quot;dropping-particle&quot;:&quot;&quot;,&quot;non-dropping-particle&quot;:&quot;&quot;}],&quot;container-title&quot;:&quot;National Tax Journal&quot;,&quot;DOI&quot;:&quot;10.1086/ntj41789735&quot;,&quot;ISSN&quot;:&quot;00280283&quot;,&quot;issued&quot;:{&quot;date-parts&quot;:[[1999]]},&quot;abstract&quot;:&quot;This paper examines the effect of rainy day funds (RDFs) on state savings behavior. We find that states with RDFs have higher total balances than states without such funds and also have higher balances after adoption than before adoption. Furthermore, RDF deposits increase total balances dollar-for-dollar. While we cannot rule out that states planning future savings may adopt RDFs, our findings are robust to the inclusion of measures of savings preferences. In sum, these funds appear to belong to the growing set of fiscal institutions with real fiscal and economic consequences.&quot;,&quot;issue&quot;:&quot;3&quot;,&quot;volume&quot;:&quot;52&quot;,&quot;container-title-short&quot;:&quot;Natl Tax J&quot;}}]},{&quot;citationID&quot;:&quot;MENDELEY_CITATION_1542022a-96be-43b3-9465-2599f2e4d8d2&quot;,&quot;properties&quot;:{&quot;noteIndex&quot;:0},&quot;isEdited&quot;:false,&quot;manualOverride&quot;:{&quot;isManuallyOverridden&quot;:false,&quot;citeprocText&quot;:&quot;(Alt &amp;#38; Lowry, 1994, 2000; Hou, 2003; Poterba, 1994)&quot;,&quot;manualOverrideText&quot;:&quot;&quot;},&quot;citationTag&quot;:&quot;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&quot;,&quot;citationItems&quot;:[{&quot;id&quot;:&quot;9b0d2f52-5381-357f-a89e-07d861b05dde&quot;,&quot;itemData&quot;:{&quot;type&quot;:&quot;article-journal&quot;,&quot;id&quot;:&quot;9b0d2f52-5381-357f-a89e-07d861b05dde&quot;,&quot;title&quot;:&quot;Divided Government, Fiscal Institutions, and Budget Deficits: Evidence from the States&quot;,&quot;author&quot;:[{&quot;family&quot;:&quot;Alt&quot;,&quot;given&quot;:&quot;James E.&quot;,&quot;parse-names&quot;:false,&quot;dropping-particle&quot;:&quot;&quot;,&quot;non-dropping-particle&quot;:&quot;&quot;},{&quot;family&quot;:&quot;Lowry&quot;,&quot;given&quot;:&quot;Robert C.&quot;,&quot;parse-names&quot;:false,&quot;dropping-particle&quot;:&quot;&quot;,&quot;non-dropping-particle&quot;:&quot;&quot;}],&quot;container-title&quot;:&quot;American Political Science Review&quot;,&quot;DOI&quot;:&quot;10.2307/2082709&quot;,&quot;ISSN&quot;:&quot;0003-0554&quot;,&quot;issued&quot;:{&quot;date-parts&quot;:[[1994]]},&quot;page&quot;:&quot;811-828&quot;,&quot;abstract&quot;:&quot;Does partisan control of American state government have systematic effects on state spending and taxing levels? Does divided control affect the government's ability to make hard decisions? Do institutional rules like legal deficit carryover restrictions matter? Using a formal model of fiscal policy to guide empirical analysis of data covering the American states from 1968 to 1987, we conclude that (1) aggregate state budget totals are driven by different factors under Democrats and Republicans, the net result being that Democrats target spending (and taxes) to higher shares of state-level personal income; (2) divided government is less able to react to revenue shocks that lead to budget deficits, particularly where different parties control each chamber of the legislature; and (3) unified party governments with restricted ability to carry deficits into the next fiscal year (outside the South) have sharper reactions to negative revenue shocks than those without restrictions.&quot;,&quot;issue&quot;:&quot;4&quot;,&quot;volume&quot;:&quot;88&quot;,&quot;container-title-short&quot;:&quot;&quot;},&quot;isTemporary&quot;:false},{&quot;id&quot;:&quot;c9365d12-0f31-3e8d-9323-16a9f7258321&quot;,&quot;itemData&quot;:{&quot;type&quot;:&quot;article-journal&quot;,&quot;id&quot;:&quot;c9365d12-0f31-3e8d-9323-16a9f7258321&quot;,&quot;title&quot;:&quot;A dynamic model of state budget outcomes under divided partisan government&quot;,&quot;author&quot;:[{&quot;family&quot;:&quot;Alt&quot;,&quot;given&quot;:&quot;James E.&quot;,&quot;parse-names&quot;:false,&quot;dropping-particle&quot;:&quot;&quot;,&quot;non-dropping-particle&quot;:&quot;&quot;},{&quot;family&quot;:&quot;Lowry&quot;,&quot;given&quot;:&quot;Robert C.&quot;,&quot;parse-names&quot;:false,&quot;dropping-particle&quot;:&quot;&quot;,&quot;non-dropping-particle&quot;:&quot;&quot;}],&quot;container-title&quot;:&quot;Journal of Politics&quot;,&quot;DOI&quot;:&quot;10.1111/0022-3816.00045&quot;,&quot;ISSN&quot;:&quot;00223816&quot;,&quot;issued&quot;:{&quot;date-parts&quot;:[[2000]]},&quot;abstract&quot;:&quot;This article analyzes the politics of fiscal adjustment in a bicameral system when parties prefer different scales of taxes and public spending. Data from 33 non-southern American states for the years 1952-1995 show that Democrats nearly everywhere target a larger share of state incomes for the public budget than Republicans, though exact party positions vary from state to state. Republicans react more strongly to budget surpluses by reducing revenues than do Democrats. Unified governments adjust faster than divided ones. A party having unified control can shift fiscal scale one-quarter to one-third of the way toward its ideal share of income within two years. When each party controls a different branch of government, the legislative party shifts fiscal scale in its desired direction; but when each party controls one legislative chamber, there is a smaller shift in the direction preferred by the governor's party.&quot;,&quot;issue&quot;:&quot;4&quot;,&quot;volume&quot;:&quot;62&quot;,&quot;container-title-short&quot;:&quot;&quot;},&quot;isTemporary&quot;:false},{&quot;id&quot;:&quot;3f3d2e89-e91c-389f-87b0-5eeae6848b2a&quot;,&quot;itemData&quot;:{&quot;type&quot;:&quot;article-journal&quot;,&quot;id&quot;:&quot;3f3d2e89-e91c-389f-87b0-5eeae6848b2a&quot;,&quot;title&quot;:&quot;State Responses to Fiscal Crises: The Effects of Budgetary Institutions and Politics&quot;,&quot;author&quot;:[{&quot;family&quot;:&quot;Poterba&quot;,&quot;given&quot;:&quot;James M.&quot;,&quot;parse-names&quot;:false,&quot;dropping-particle&quot;:&quot;&quot;,&quot;non-dropping-particle&quot;:&quot;&quot;}],&quot;container-title&quot;:&quot;Journal of Political Economy&quot;,&quot;DOI&quot;:&quot;10.1086/261955&quot;,&quot;ISSN&quot;:&quot;0022-3808&quot;,&quot;issued&quot;:{&quot;date-parts&quot;:[[1994]]},&quot;page&quot;:&quot;799-821 &quot;,&quot;abstract&quot;:&quot;This paper explores the dynamics of state taxes and spending during the late 1980s, when regional economic downturns and increased expenditure demands led to substantial state budget deficits. More restrictive state fiscal institutions, such as \&quot;no-deficit-carryover\&quot; rules and tax and expenditure limitations, are correlated with more rapid fiscal adjustment to unexpected deficits. Political factors are also important. When a single party controls the state house and the governorship, deficit adjustment is much faster than when party control is divided. In gubernatorial election years, tax increases and spending cuts are both significantly smaller than at other times.&quot;,&quot;issue&quot;:&quot;4&quot;,&quot;volume&quot;:&quot;102&quot;,&quot;container-title-short&quot;:&quot;&quot;},&quot;isTemporary&quot;:false},{&quot;id&quot;:&quot;2dc7d27b-e79a-3d1f-916b-22b94f79b3ff&quot;,&quot;itemData&quot;:{&quot;type&quot;:&quot;article-journal&quot;,&quot;id&quot;:&quot;2dc7d27b-e79a-3d1f-916b-22b94f79b3ff&quot;,&quot;title&quot;:&quot;What Stabilizes State General Fund Expenditures in Downturn Years—Budget Stabilization Fund or General Fund Unreserved Undesignated Balance?&quot;,&quot;author&quot;:[{&quot;family&quot;:&quot;Hou&quot;,&quot;given&quot;:&quot;Yilin&quot;,&quot;parse-names&quot;:false,&quot;dropping-particle&quot;:&quot;&quot;,&quot;non-dropping-particle&quot;:&quot;&quot;}],&quot;container-title&quot;:&quot;Public Budgeting &amp; Finance&quot;,&quot;accessed&quot;:{&quot;date-parts&quot;:[[2022,1,31]]},&quot;DOI&quot;:&quot;10.1111/1540-5850.2303004&quot;,&quot;ISSN&quot;:&quot;1540-5850&quot;,&quot;URL&quot;:&quot;https://onlinelibrary.wiley.com/doi/full/10.1111/1540-5850.2303004&quot;,&quot;issued&quot;:{&quot;date-parts&quot;:[[2003,9,1]]},&quot;page&quot;:&quot;64-91&quot;,&quot;abstract&quot;:&quot;This article strictly defines the budget stabilization fund (BSF) as a counter-cyclical reserve, and with a panel data set examines the effects of BSF and general fund unreserved undesignated balances (UUB) on stabilizing state general fund expenditure during downturns. The article finds that BSFs bolster spending in lean years: each percentage point increase of BSF balance as a percent of general fund expenditure can minimize negative expenditure gap by a quarter percentage point. But the article does not find evidence that UUB is a counter-cyclical fiscal tool, indicating that wide adoption of BSF may have changed the nature and use of UUB. © 2017 Wiley. All rights reserved.&quot;,&quot;publisher&quot;:&quot;John Wiley &amp; Sons, Ltd&quot;,&quot;issue&quot;:&quot;3&quot;,&quot;volume&quot;:&quot;23&quot;,&quot;container-title-short&quot;:&quot;&quot;},&quot;isTemporary&quot;:false}]},{&quot;properties&quot;:{&quot;noteIndex&quot;:0},&quot;citationID&quot;:&quot;MENDELEY_CITATION_79831909-61ee-46b7-ad1f-f766a8d172d9&quot;,&quot;isEdited&quot;:false,&quot;manualOverride&quot;:{&quot;isManuallyOverridden&quot;:false,&quot;manualOverrideText&quot;:&quot;&quot;,&quot;citeprocText&quot;:&quot;(Lucas, 1976; Rogoff, 1990; Rose, 2008)&quot;},&quot;citationTag&quot;:&quot;MENDELEY_CITATION_v3_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&quot;,&quot;citationItems&quot;:[{&quot;id&quot;:&quot;b3b8b09a-2a71-3a69-976d-7d43de3c2ff0&quot;,&quot;isTemporary&quot;:false,&quot;itemData&quot;:{&quot;type&quot;:&quot;article-journal&quot;,&quot;id&quot;:&quot;b3b8b09a-2a71-3a69-976d-7d43de3c2ff0&quot;,&quot;title&quot;:&quot;Equilibrium Political Budget&quot;,&quot;author&quot;:[{&quot;family&quot;:&quot;Rogoff&quot;,&quot;given&quot;:&quot;Kenneth&quot;,&quot;parse-names&quot;:false,&quot;dropping-particle&quot;:&quot;&quot;,&quot;non-dropping-particle&quot;:&quot;&quot;}],&quot;container-title&quot;:&quot;American Economic Review&quot;,&quot;ISSN&quot;:&quot;0036-8075&quot;,&quot;issued&quot;:{&quot;date-parts&quot;:[[1990]]},&quot;abstract&quot;:&quot;Political business cycle theories generally rely on nominal rigidities and voter myopia. This paper offers an equilibrium theory which preserves some basic insights from earlier models, though with significant refinements. The \&quot;political budget cycle\&quot; emphasized here is in fiscal policy rather than output and inflation; it arises via a multidimensional signal process. One can consider the welfare implications of proposals to mitigate the cycle, and the effects of altering the electoral structure.&quot;,&quot;issue&quot;:&quot;1&quot;,&quot;volume&quot;:&quot;80&quot;,&quot;expandedJournalTitle&quot;:&quot;American Economic Review&quot;,&quot;container-title-short&quot;:&quot;&quot;}},{&quot;id&quot;:&quot;2846e830-55e2-32a6-a558-d6734b039f9f&quot;,&quot;isTemporary&quot;:false,&quot;itemData&quot;:{&quot;type&quot;:&quot;article-journal&quot;,&quot;id&quot;:&quot;2846e830-55e2-32a6-a558-d6734b039f9f&quot;,&quot;title&quot;:&quot;Econometric policy evaluation: A critique&quot;,&quot;author&quot;:[{&quot;family&quot;:&quot;Lucas&quot;,&quot;given&quot;:&quot;Robert E.&quot;,&quot;parse-names&quot;:false,&quot;dropping-particle&quot;:&quot;&quot;,&quot;non-dropping-particle&quot;:&quot;&quot;}],&quot;container-title&quot;:&quot;Carnegie-Rochester Conference Series on Public Policy&quot;,&quot;accessed&quot;:{&quot;date-parts&quot;:[[2022,3,24]]},&quot;DOI&quot;:&quot;10.1016/S0167-2231(76)80003-6&quot;,&quot;ISSN&quot;:&quot;0167-2231&quot;,&quot;issued&quot;:{&quot;date-parts&quot;:[[1976,1,1]]},&quot;page&quot;:&quot;19-46&quot;,&quot;publisher&quot;:&quot;North-Holland&quot;,&quot;issue&quot;:&quot;C&quot;,&quot;volume&quot;:&quot;1&quot;,&quot;expandedJournalTitle&quot;:&quot;Carnegie-Rochester Conference Series on Public Policy&quot;,&quot;container-title-short&quot;:&quot;&quot;}},{&quot;id&quot;:&quot;709f11ad-8e5b-3b26-aaa6-a6337c74f47c&quot;,&quot;isTemporary&quot;:false,&quot;itemData&quot;:{&quot;type&quot;:&quot;article-journal&quot;,&quot;id&quot;:&quot;709f11ad-8e5b-3b26-aaa6-a6337c74f47c&quot;,&quot;title&quot;:&quot;The Political Manipulation of U.S. State Rainy Day Funds Under Rules Versus Discretion&quot;,&quot;author&quot;:[{&quot;family&quot;:&quot;Rose&quot;,&quot;given&quot;:&quot;Shanna&quot;,&quot;parse-names&quot;:false,&quot;dropping-particle&quot;:&quot;&quot;,&quot;non-dropping-particle&quot;:&quot;&quot;}],&quot;container-title&quot;:&quot;State Politics and Policy Quarterly&quot;,&quot;DOI&quot;:&quot;10.1177/153244000800800203&quot;,&quot;ISSN&quot;:&quot;19461607&quot;,&quot;issued&quot;:{&quot;date-parts&quot;:[[2008]]},&quot;abstract&quot;:&quot;Anecdotal evidence suggests that U.S. state politicians manipulate rainy day funds for political purposes, but such claims remain untested in the literature. This article finds that lawmakers withdraw nearly three times more funds in response to a deficit shock of a given size if it occurs in an election year rather than in a non-election year; this occurs despite the fact that the magnitude of shocks does not vary over the electoral cycle. This effect is stronger when incumbents are eligible for re-election than when they are term-limited. When it comes to preventing political manipulation of funds, rainy day fund rules that increase the number of veto players who must approve of withdrawals seem to be more effective than rules that specify the economic conditions under which funds may be withdrawn.&quot;,&quot;issue&quot;:&quot;2&quot;,&quot;volume&quot;:&quot;8&quot;,&quot;expandedJournalTitle&quot;:&quot;State Politics and Policy Quarterly&quot;,&quot;container-title-short&quot;:&quot;State Polit Policy Q&quot;}}]},{&quot;citationID&quot;:&quot;MENDELEY_CITATION_ae21a964-e9c5-43ad-b0a3-27334c2690d7&quot;,&quot;properties&quot;:{&quot;noteIndex&quot;:0},&quot;isEdited&quot;:false,&quot;manualOverride&quot;:{&quot;isManuallyOverridden&quot;:true,&quot;citeprocText&quot;:&quot;(Clark &amp;#38; Ferguson, 1983)&quot;,&quot;manualOverrideText&quot;:&quot;Clark and Ferguson (1983)&quot;},&quot;citationTag&quot;:&quot;MENDELEY_CITATION_v3_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&quot;,&quot;citationItems&quot;:[{&quot;id&quot;:&quot;52d7abfe-db81-3203-a5da-930543721213&quot;,&quot;itemData&quot;:{&quot;type&quot;:&quot;book&quot;,&quot;id&quot;:&quot;52d7abfe-db81-3203-a5da-930543721213&quot;,&quot;title&quot;:&quot;City money: Political processes, fiscal strain, and retrenchment. &quot;,&quot;author&quot;:[{&quot;family&quot;:&quot;Clark&quot;,&quot;given&quot;:&quot;Terry N.&quot;,&quot;parse-names&quot;:false,&quot;dropping-particle&quot;:&quot;&quot;,&quot;non-dropping-particle&quot;:&quot;&quot;},{&quot;family&quot;:&quot;Ferguson&quot;,&quot;given&quot;:&quot;Lorna C.&quot;,&quot;parse-names&quot;:false,&quot;dropping-particle&quot;:&quot;&quot;,&quot;non-dropping-particle&quot;:&quot;&quot;}],&quot;issued&quot;:{&quot;date-parts&quot;:[[1983]]},&quot;publisher-place&quot;:&quot;New York&quot;,&quot;publisher&quot;:&quot;Columbia University Press&quot;,&quot;container-title-short&quot;:&quot;&quot;},&quot;isTemporary&quot;:false}]},{&quot;citationID&quot;:&quot;MENDELEY_CITATION_eefdcaa6-03d5-4b38-9686-e13a8e50b96c&quot;,&quot;properties&quot;:{&quot;noteIndex&quot;:0},&quot;isEdited&quot;:false,&quot;manualOverride&quot;:{&quot;isManuallyOverridden&quot;:true,&quot;citeprocText&quot;:&quot;(Brown, 1995)&quot;,&quot;manualOverrideText&quot;:&quot;Brown (1995)&quot;},&quot;citationTag&quot;:&quot;MENDELEY_CITATION_v3_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&quot;,&quot;citationItems&quot;:[{&quot;id&quot;:&quot;b866661b-fe96-36cf-9ed4-7dad9b9a2707&quot;,&quot;itemData&quot;:{&quot;type&quot;:&quot;article-journal&quot;,&quot;id&quot;:&quot;b866661b-fe96-36cf-9ed4-7dad9b9a2707&quot;,&quot;title&quot;:&quot;Party Cleavages and Welfare Effort in the American States&quot;,&quot;author&quot;:[{&quot;family&quot;:&quot;Brown&quot;,&quot;given&quot;:&quot;Robert D.&quot;,&quot;parse-names&quot;:false,&quot;dropping-particle&quot;:&quot;&quot;,&quot;non-dropping-particle&quot;:&quot;&quot;}],&quot;container-title&quot;:&quot;American Political Science Review&quot;,&quot;DOI&quot;:&quot;10.2307/2083072&quot;,&quot;ISSN&quot;:&quot;0003-0554&quot;,&quot;issued&quot;:{&quot;date-parts&quot;:[[1995]]},&quot;page&quot;:&quot;23-33&quot;,&quot;abstract&quot;:&quot; Attempts to determine the impact of party control on state welfare policy have produced mixed and inconclusive results, in part due to our inability to account for variations in the state partisan environments. I used CBS/ New York Times surveys combined over the period 1976–88 to offer a detailed examination of the state party systems, resulting in a description of the dominant social group partisan cleavage in each state. This information is then used to examine the impact of party control on state welfare benefits. The findings show that the coalitional bases of the parties vary in important ways, both within and across the states. These differences in the state party systems have an important influence on the relationship between party control and state welfare effort. Specifically, party control has a significantly greater impact in states where partisan divisions reflect class-based New Deal-type coalitions. When examined in the context of state partisan environments, party control has a much greater impact on state welfare effort than has been suggested by previous studies. &quot;,&quot;issue&quot;:&quot;1&quot;,&quot;volume&quot;:&quot;89&quot;,&quot;container-title-short&quot;:&quot;&quot;},&quot;isTemporary&quot;:false}]},{&quot;citationID&quot;:&quot;MENDELEY_CITATION_bafe020d-63e1-41fd-876b-abdccde8c9d8&quot;,&quot;properties&quot;:{&quot;noteIndex&quot;:0},&quot;isEdited&quot;:false,&quot;manualOverride&quot;:{&quot;isManuallyOverridden&quot;:true,&quot;citeprocText&quot;:&quot;(Barrilleaux et al., 2002)&quot;,&quot;manualOverrideText&quot;:&quot;Barrilleaux et al. (2002)&quot;},&quot;citationTag&quot;:&quot;MENDELEY_CITATION_v3_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&quot;,&quot;citationItems&quot;:[{&quot;id&quot;:&quot;08003556-69b0-3d11-b423-64371ce65475&quot;,&quot;itemData&quot;:{&quot;type&quot;:&quot;article-journal&quot;,&quot;id&quot;:&quot;08003556-69b0-3d11-b423-64371ce65475&quot;,&quot;title&quot;:&quot;Electoral Competition, Legislative Balance, and American State Welfare Policy&quot;,&quot;author&quot;:[{&quot;family&quot;:&quot;Barrilleaux&quot;,&quot;given&quot;:&quot;Charles&quot;,&quot;parse-names&quot;:false,&quot;dropping-particle&quot;:&quot;&quot;,&quot;non-dropping-particle&quot;:&quot;&quot;},{&quot;family&quot;:&quot;Holbrook&quot;,&quot;given&quot;:&quot;Thomas&quot;,&quot;parse-names&quot;:false,&quot;dropping-particle&quot;:&quot;&quot;,&quot;non-dropping-particle&quot;:&quot;&quot;},{&quot;family&quot;:&quot;Langer&quot;,&quot;given&quot;:&quot;Laura&quot;,&quot;parse-names&quot;:false,&quot;dropping-particle&quot;:&quot;&quot;,&quot;non-dropping-particle&quot;:&quot;&quot;}],&quot;container-title&quot;:&quot;American Journal of Political Science&quot;,&quot;container-title-short&quot;:&quot;Am J Pol Sci&quot;,&quot;DOI&quot;:&quot;10.2307/3088385&quot;,&quot;ISSN&quot;:&quot;00925853&quot;,&quot;issued&quot;:{&quot;date-parts&quot;:[[2002]]},&quot;abstract&quot;:&quot;This research integrates apparently contradictory portrayals of the role of political parties and electoral competition in American states' public policy making, From one view, political parties are essentially sincere, leading us to expect conservative or liberal dominance to yield changes in public policies that are in keeping with those Ideological leanings. Another set of evidence suggests that parties are for the most part strategic, tailoring their policy outputs to electoral circumstances, We argue that parties are neither wholly sincere nor wholly strategic In their policy positions, but that they blend sincere and strategic Impulses according to political conditions. We test this revised theory using cross-sectional state level data pooled over the years 1973-1992. Our results reveal the effects of party strength in government to be conditioned by electoral circumstances. For example, Democrats that dominate state legislatures but were elected in close races exert greater changes in welfare spending effort than Democrats with identical numbers of seats who were elected under less competitive elections. Thus both the number of seats and the difficulty of gaining them have policy consequences. The theory developed here provides a more consistent set of expectations regarding the effects of parties on policymaking than is otherwise drawn from existing research.&quot;,&quot;issue&quot;:&quot;2&quot;,&quot;volume&quot;:&quot;46&quot;},&quot;isTemporary&quot;:false}]},{&quot;properties&quot;:{&quot;noteIndex&quot;:0},&quot;citationID&quot;:&quot;MENDELEY_CITATION_9704b0da-9855-46f4-b6a7-15f788f29342&quot;,&quot;isEdited&quot;:false,&quot;manualOverride&quot;:{&quot;isManuallyOverriden&quot;:false,&quot;manualOverrideText&quot;:&quot;&quot;,&quot;citeprocText&quot;:&quot;(Niskanen, 2003)&quot;,&quot;isManuallyOverridden&quot;:false},&quot;citationTag&quot;:&quot;MENDELEY_CITATION_v3_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&quot;,&quot;citationItems&quot;:[{&quot;id&quot;:&quot;f6d4c146-27ca-3d34-b584-a82ee0fb3453&quot;,&quot;isTemporary&quot;:false,&quot;itemData&quot;:{&quot;type&quot;:&quot;webpage&quot;,&quot;id&quot;:&quot;f6d4c146-27ca-3d34-b584-a82ee0fb3453&quot;,&quot;title&quot;:&quot;A case for divided government&quot;,&quot;author&quot;:[{&quot;family&quot;:&quot;Niskanen&quot;,&quot;given&quot;:&quot;William&quot;,&quot;parse-names&quot;:false,&quot;dropping-particle&quot;:&quot;&quot;,&quot;non-dropping-particle&quot;:&quot;&quot;}],&quot;container-title&quot;:&quot;Cato policy report, Washington DC: Cato Institute.&quot;,&quot;accessed&quot;:{&quot;date-parts&quot;:[[2021,3,15]]},&quot;URL&quot;:&quot;https://www.cato.org/sites/cato.org/files/serials/files/policy-report/2003/3/niskanen.pdf&quot;,&quot;issued&quot;:{&quot;date-parts&quot;:[[2003]]},&quot;page&quot;:&quot;-undefined&quot;,&quot;container-title-short&quot;:&quot;&quot;}}]},{&quot;properties&quot;:{&quot;noteIndex&quot;:0},&quot;isEdited&quot;:false,&quot;citationID&quot;:&quot;MENDELEY_CITATION_d4951c69-78ff-4c45-b076-cc43b3100b41&quot;,&quot;manualOverride&quot;:{&quot;isManuallyOverriden&quot;:false,&quot;manualOverrideText&quot;:&quot;&quot;,&quot;citeprocText&quot;:&quot;(Gorina et al., 2019)&quot;,&quot;isManuallyOverridden&quot;:false},&quot;citationTag&quot;:&quot;MENDELEY_CITATION_v3_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&quot;,&quot;citationItems&quot;:[{&quot;id&quot;:&quot;6ed145ed-da7d-3f05-9ab0-beb0d06ebe21&quot;,&quot;isTemporary&quot;:false,&quot;itemData&quot;:{&quot;type&quot;:&quot;article-journal&quot;,&quot;id&quot;:&quot;6ed145ed-da7d-3f05-9ab0-beb0d06ebe21&quot;,&quot;title&quot;:&quot;Toward a Theory of Fiscal Slack&quot;,&quot;author&quot;:[{&quot;family&quot;:&quot;Gorina&quot;,&quot;given&quot;:&quot;Evgenia&quot;,&quot;parse-names&quot;:false,&quot;dropping-particle&quot;:&quot;&quot;,&quot;non-dropping-particle&quot;:&quot;&quot;},{&quot;family&quot;:&quot;Maher&quot;,&quot;given&quot;:&quot;Craig&quot;,&quot;parse-names&quot;:false,&quot;dropping-particle&quot;:&quot;&quot;,&quot;non-dropping-particle&quot;:&quot;&quot;},{&quot;family&quot;:&quot;Park&quot;,&quot;given&quot;:&quot;Sungho&quot;,&quot;parse-names&quot;:false,&quot;dropping-particle&quot;:&quot;&quot;,&quot;non-dropping-particle&quot;:&quot;&quot;}],&quot;container-title&quot;:&quot;Public Budgeting and Finance&quot;,&quot;DOI&quot;:&quot;10.1111/pbaf.12240&quot;,&quot;ISSN&quot;:&quot;15405850&quot;,&quot;issued&quot;:{&quot;date-parts&quot;:[[2019]]},&quot;abstract&quot;:&quot;Though the fiscal slack literature has advanced over the past decade, more research is needed for a systematic understanding of the determinants and uses of fiscal reserves at the local level. This paper reviews theory and empirical evidence on the determinants of municipal fiscal reserves offers a conceptual framework for analyzing fiscal reserves accumulation and tests a series of hypotheses using a panel of 2007–2012 financial data for 145 U.S. cities from 21 states. Generalized least squares models show that unassigned general fund balances and unrestricted net assets are positively associated with general fund surpluses in the previous year and with local household incomes, while not being related to measures of fiscal risk, revenue effort, and voter characteristics. Overall, the findings suggest a relatively stronger influence of the capacity to save than the need to save on local fiscal reserves.&quot;,&quot;issue&quot;:&quot;4&quot;,&quot;volume&quot;:&quot;39&quot;,&quot;container-title-short&quot;:&quot;&quot;}}]},{&quot;citationID&quot;:&quot;MENDELEY_CITATION_aa5810d8-3fdd-497a-b0ba-ab7bf3514dc2&quot;,&quot;properties&quot;:{&quot;noteIndex&quot;:0},&quot;isEdited&quot;:false,&quot;manualOverride&quot;:{&quot;isManuallyOverridden&quot;:false,&quot;citeprocText&quot;:&quot;(Gould, 2009)&quot;,&quot;manualOverrideText&quot;:&quot;&quot;},&quot;citationTag&quot;:&quot;MENDELEY_CITATION_v3_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&quot;,&quot;citationItems&quot;:[{&quot;id&quot;:&quot;a3c802d4-8d96-3048-b1be-038f326b5918&quot;,&quot;itemData&quot;:{&quot;type&quot;:&quot;article-journal&quot;,&quot;id&quot;:&quot;a3c802d4-8d96-3048-b1be-038f326b5918&quot;,&quot;title&quot;:&quot;Divided governments and tough choices: An empirical study of the effect of divided government on state expenditures&quot;,&quot;author&quot;:[{&quot;family&quot;:&quot;Gould&quot;,&quot;given&quot;:&quot;James A&quot;,&quot;parse-names&quot;:false,&quot;dropping-particle&quot;:&quot;&quot;,&quot;non-dropping-particle&quot;:&quot;&quot;}],&quot;container-title&quot;:&quot;State Politics &amp; Policy Quarterly&quot;,&quot;container-title-short&quot;:&quot;State Polit Policy Q&quot;,&quot;issued&quot;:{&quot;date-parts&quot;:[[2009]]},&quot;page&quot;:&quot;6-25&quot;,&quot;issue&quot;:&quot;1&quot;,&quot;volume&quot;:&quot;9&quot;},&quot;isTemporary&quot;:false}]},{&quot;properties&quot;:{&quot;noteIndex&quot;:0},&quot;citationID&quot;:&quot;MENDELEY_CITATION_e425db86-65c6-4943-90c9-d0aaa4ef1878&quot;,&quot;isEdited&quot;:false,&quot;manualOverride&quot;:{&quot;isManuallyOverriden&quot;:false,&quot;manualOverrideText&quot;:&quot;&quot;,&quot;citeprocText&quot;:&quot;(Gore, 2009; Gorina et al., 2019; Su &amp;#38; Hildreth, 2018)&quot;,&quot;isManuallyOverridden&quot;:false},&quot;citationTag&quot;:&quot;MENDELEY_CITATION_v3_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&quot;,&quot;citationItems&quot;:[{&quot;id&quot;:&quot;f0dffd05-1698-3cb9-857c-02c53d976f86&quot;,&quot;isTemporary&quot;:false,&quot;itemData&quot;:{&quot;type&quot;:&quot;article-journal&quot;,&quot;id&quot;:&quot;f0dffd05-1698-3cb9-857c-02c53d976f86&quot;,&quot;title&quot;:&quot;Does Financial Slack Reduce Municipal Short-Term Borrowing?&quot;,&quot;author&quot;:[{&quot;family&quot;:&quot;Su&quot;,&quot;given&quot;:&quot;Min&quot;,&quot;parse-names&quot;:false,&quot;dropping-particle&quot;:&quot;&quot;,&quot;non-dropping-particle&quot;:&quot;&quot;},{&quot;family&quot;:&quot;Hildreth&quot;,&quot;given&quot;:&quot;W. Bartley&quot;,&quot;parse-names&quot;:false,&quot;dropping-particle&quot;:&quot;&quot;,&quot;non-dropping-particle&quot;:&quot;&quot;}],&quot;container-title&quot;:&quot;Public Budgeting and Finance&quot;,&quot;DOI&quot;:&quot;10.1111/pbaf.12189&quot;,&quot;ISSN&quot;:&quot;15405850&quot;,&quot;issued&quot;:{&quot;date-parts&quot;:[[2018]]},&quot;page&quot;:&quot;95-113&quot;,&quot;abstract&quot;:&quot;Many municipal governments face the challenge of temporary cash deficits due to the mismatched schedules of cash flow-ins and flow-outs. To smooth the temporary deficits, they can use either internal financial resources such as financial slack or external financial resources such as short-term borrowing. This paper applies the pecking order theory to examine municipal governments' financial preference when they experience cash flow problems. Results show that municipal governments prefer accumulated financial slack to short-term borrowing when both options are available. This finding demonstrates financial slack's role as a convenient cash management tool in municipal financial management. It also suggests the applicability of the pecking order theory in future public financial management research.&quot;,&quot;issue&quot;:&quot;1&quot;,&quot;volume&quot;:&quot;38&quot;,&quot;container-title-short&quot;:&quot;&quot;}},{&quot;id&quot;:&quot;ad7782bf-2595-326d-b4f5-36c32acf02b3&quot;,&quot;isTemporary&quot;:false,&quot;itemData&quot;:{&quot;type&quot;:&quot;article-journal&quot;,&quot;id&quot;:&quot;ad7782bf-2595-326d-b4f5-36c32acf02b3&quot;,&quot;title&quot;:&quot;Why do cities hoard cash? determinants and implications of municipal cash holdings&quot;,&quot;author&quot;:[{&quot;family&quot;:&quot;Gore&quot;,&quot;given&quot;:&quot;Angela K.&quot;,&quot;parse-names&quot;:false,&quot;dropping-particle&quot;:&quot;&quot;,&quot;non-dropping-particle&quot;:&quot;&quot;}],&quot;container-title&quot;:&quot;Accounting Review&quot;,&quot;DOI&quot;:&quot;10.2308/accr.2009.84.1.183&quot;,&quot;ISSN&quot;:&quot;00014826&quot;,&quot;issued&quot;:{&quot;date-parts&quot;:[[2009]]},&quot;page&quot;:&quot;183-207&quot;,&quot;abstract&quot;:&quot;This study examines the determinants of municipal cash holdings and the implications of holding high levels of cash. The first part of the analysis Investigates municipal manager incentives to accumulate cash as part of normal operations. Results indicate that municipalities with a higher variation in revenues, fewer sources of revenues, and higher growth accumulate more cash. Larger governments and those receiving relatively more state revenue accumulate less cash. Further analysis considers whether high levels of cash indicate agency problems, and finds municipalities with high cash holdings spend more on administrative expenses, city manager salaries, and bonuses. I find no evidence that municipalities with excess cash reduce taxes. The presence of staggered councils and councils that are not Independent tend to exacerbate excessive cash holdings. These results are consistent with the proposition that municipalities with high cash levels have agency problems relative to those with lower cash holdings.&quot;,&quot;issue&quot;:&quot;1&quot;,&quot;volume&quot;:&quot;84&quot;,&quot;container-title-short&quot;:&quot;&quot;}},{&quot;id&quot;:&quot;6ed145ed-da7d-3f05-9ab0-beb0d06ebe21&quot;,&quot;isTemporary&quot;:false,&quot;itemData&quot;:{&quot;type&quot;:&quot;article-journal&quot;,&quot;id&quot;:&quot;6ed145ed-da7d-3f05-9ab0-beb0d06ebe21&quot;,&quot;title&quot;:&quot;Toward a Theory of Fiscal Slack&quot;,&quot;author&quot;:[{&quot;family&quot;:&quot;Gorina&quot;,&quot;given&quot;:&quot;Evgenia&quot;,&quot;parse-names&quot;:false,&quot;dropping-particle&quot;:&quot;&quot;,&quot;non-dropping-particle&quot;:&quot;&quot;},{&quot;family&quot;:&quot;Maher&quot;,&quot;given&quot;:&quot;Craig&quot;,&quot;parse-names&quot;:false,&quot;dropping-particle&quot;:&quot;&quot;,&quot;non-dropping-particle&quot;:&quot;&quot;},{&quot;family&quot;:&quot;Park&quot;,&quot;given&quot;:&quot;Sungho&quot;,&quot;parse-names&quot;:false,&quot;dropping-particle&quot;:&quot;&quot;,&quot;non-dropping-particle&quot;:&quot;&quot;}],&quot;container-title&quot;:&quot;Public Budgeting and Finance&quot;,&quot;DOI&quot;:&quot;10.1111/pbaf.12240&quot;,&quot;ISSN&quot;:&quot;15405850&quot;,&quot;issued&quot;:{&quot;date-parts&quot;:[[2019]]},&quot;abstract&quot;:&quot;Though the fiscal slack literature has advanced over the past decade, more research is needed for a systematic understanding of the determinants and uses of fiscal reserves at the local level. This paper reviews theory and empirical evidence on the determinants of municipal fiscal reserves offers a conceptual framework for analyzing fiscal reserves accumulation and tests a series of hypotheses using a panel of 2007–2012 financial data for 145 U.S. cities from 21 states. Generalized least squares models show that unassigned general fund balances and unrestricted net assets are positively associated with general fund surpluses in the previous year and with local household incomes, while not being related to measures of fiscal risk, revenue effort, and voter characteristics. Overall, the findings suggest a relatively stronger influence of the capacity to save than the need to save on local fiscal reserves.&quot;,&quot;issue&quot;:&quot;4&quot;,&quot;volume&quot;:&quot;39&quot;,&quot;container-title-short&quot;:&quot;&quot;}}]},{&quot;properties&quot;:{&quot;noteIndex&quot;:0},&quot;citationID&quot;:&quot;MENDELEY_CITATION_08cb80cd-0d45-45d7-8da7-6706d1b8d8ea&quot;,&quot;isEdited&quot;:false,&quot;manualOverride&quot;:{&quot;citeprocText&quot;:&quot;(Gramlich, 1977)&quot;,&quot;manualOverrideText&quot;:&quot;Gramlich (1977)&quot;,&quot;isManuallyOverridden&quot;:true},&quot;citationTag&quot;:&quot;MENDELEY_CITATION_v3_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&quot;,&quot;citationItems&quot;:[{&quot;id&quot;:&quot;8d5cb633-0f1a-36f2-b909-d830859e825b&quot;,&quot;isTemporary&quot;:false,&quot;itemData&quot;:{&quot;type&quot;:&quot;chapter&quot;,&quot;id&quot;:&quot;8d5cb633-0f1a-36f2-b909-d830859e825b&quot;,&quot;title&quot;:&quot;A Review of the Theory of Intergovernmental Grants&quot;,&quot;author&quot;:[{&quot;family&quot;:&quot;Gramlich&quot;,&quot;given&quot;:&quot;E.M.&quot;,&quot;parse-names&quot;:false,&quot;dropping-particle&quot;:&quot;&quot;,&quot;non-dropping-particle&quot;:&quot;&quot;}],&quot;container-title&quot;:&quot;The Political Economy of Fiscal Federalism&quot;,&quot;editor&quot;:[{&quot;family&quot;:&quot;Oates&quot;,&quot;given&quot;:&quot;W.E.&quot;,&quot;parse-names&quot;:false,&quot;dropping-particle&quot;:&quot;&quot;,&quot;non-dropping-particle&quot;:&quot;&quot;}],&quot;issued&quot;:{&quot;date-parts&quot;:[[1977]]},&quot;publisher-place&quot;:&quot; Lexington, MA&quot;,&quot;publisher&quot;:&quot;Heath&quot;,&quot;container-title-short&quot;:&quot;&quot;}}]},{&quot;properties&quot;:{&quot;noteIndex&quot;:0},&quot;citationID&quot;:&quot;MENDELEY_CITATION_0c5464e8-eb63-4109-a7b7-498e3f6765cb&quot;,&quot;isEdited&quot;:false,&quot;manualOverride&quot;:{&quot;citeprocText&quot;:&quot;(Martell &amp;#38; Smith, 2004)&quot;,&quot;manualOverrideText&quot;:&quot;Martell and Smith (2004)&quot;,&quot;isManuallyOverridden&quot;:true},&quot;citationTag&quot;:&quot;MENDELEY_CITATION_v3_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&quot;,&quot;citationItems&quot;:[{&quot;id&quot;:&quot;5be696be-734f-3649-85c2-c680d790174c&quot;,&quot;isTemporary&quot;:false,&quot;itemData&quot;:{&quot;type&quot;:&quot;article-journal&quot;,&quot;id&quot;:&quot;5be696be-734f-3649-85c2-c680d790174c&quot;,&quot;title&quot;:&quot;Grant Levels and Debt Issuance: Is There a Relationship? Is There Symmetry?&quot;,&quot;author&quot;:[{&quot;family&quot;:&quot;Martell&quot;,&quot;given&quot;:&quot;Christine R.&quot;,&quot;parse-names&quot;:false,&quot;dropping-particle&quot;:&quot;&quot;,&quot;non-dropping-particle&quot;:&quot;&quot;},{&quot;family&quot;:&quot;Smith&quot;,&quot;given&quot;:&quot;Bridget M.&quot;,&quot;parse-names&quot;:false,&quot;dropping-particle&quot;:&quot;&quot;,&quot;non-dropping-particle&quot;:&quot;&quot;}],&quot;container-title&quot;:&quot;Public Budgeting and Finance&quot;,&quot;DOI&quot;:&quot;10.1111/j.0275-1100.2004.02403004.x&quot;,&quot;ISSN&quot;:&quot;15405850&quot;,&quot;issued&quot;:{&quot;date-parts&quot;:[[2004]]},&quot;abstract&quot;:&quot;Although previous work on fiscal federalism and grants has focused on the effects of grants on expenditures, no published research examines the impact of decreasing grants on state financing. This research addresses how decreasing levels of federal grant money to states affect states' long-term debt issuance, and whether the relationship is symmetric for increasing and decreasing grants. The model is tested with time series, cross-sectional data from 1984 to 1999. The results show that grants affect debt issuance, the effect is asymmetric, and direction of the effect differs for different types of debt issuance. © 2017 Wiley. All rights reserved.&quot;,&quot;issue&quot;:&quot;3&quot;,&quot;volume&quot;:&quot;24&quot;,&quot;container-title-short&quot;:&quot;&quot;}}]},{&quot;properties&quot;:{&quot;noteIndex&quot;:0},&quot;citationID&quot;:&quot;MENDELEY_CITATION_922492ba-8313-48eb-8514-c8925ed29d98&quot;,&quot;isEdited&quot;:false,&quot;manualOverride&quot;:{&quot;citeprocText&quot;:&quot;(Inman, 2011)&quot;,&quot;manualOverrideText&quot;:&quot;Inman (2011)&quot;,&quot;isManuallyOverridden&quot;:true},&quot;citationTag&quot;:&quot;MENDELEY_CITATION_v3_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&quot;,&quot;citationItems&quot;:[{&quot;id&quot;:&quot;13d33c83-603c-321e-acda-a39e8fd10351&quot;,&quot;isTemporary&quot;:false,&quot;itemData&quot;:{&quot;type&quot;:&quot;chapter&quot;,&quot;id&quot;:&quot;13d33c83-603c-321e-acda-a39e8fd10351&quot;,&quot;title&quot;:&quot;flypaper effect&quot;,&quot;author&quot;:[{&quot;family&quot;:&quot;Inman&quot;,&quot;given&quot;:&quot;Robert P.&quot;,&quot;parse-names&quot;:false,&quot;dropping-particle&quot;:&quot;&quot;,&quot;non-dropping-particle&quot;:&quot;&quot;}],&quot;container-title&quot;:&quot;The New Palgrave Dictionary of Economics&quot;,&quot;DOI&quot;:&quot;10.1057/9780230226203.1901&quot;,&quot;issued&quot;:{&quot;date-parts&quot;:[[2011]]},&quot;abstract&quot;:&quot;The flypaper effect results when a dollar of exogenous grants-in-aid leads to significantly greater public spending than an equivalent dollar of citizen income: money sticks where it hits. Viewing governments as agents for a representative citizen voter, this empirical result is an anomaly. Four alternative explanations have been offered. First, it is a data problem; exogenous aid is mismeasured. Second, it is an econometric problem; important explanators of spending correlated with aid or income are excluded from the specification. Third, it is a specification problem; the representative citizen misperceives aid and the rational voter model misses this point. The empirical evidence suggests none of these explanations is sufficient. A fourth explanation seems most promising: it is politics. Rather than an anomaly, the flypaper effect is best seen as an outcome of political institutions and the associated incentives of elected officials.&quot;,&quot;container-title-short&quot;:&quot;&quot;}}]},{&quot;properties&quot;:{&quot;noteIndex&quot;:0},&quot;citationID&quot;:&quot;MENDELEY_CITATION_77821371-97d6-4695-bf97-741471a317ca&quot;,&quot;isEdited&quot;:false,&quot;manualOverride&quot;:{&quot;isManuallyOverriden&quot;:false,&quot;manualOverrideText&quot;:&quot;&quot;,&quot;citeprocText&quot;:&quot;(Buerger et al., 2022; Hou &amp;#38; Brewer, 2010; Knight &amp;#38; Levinson, 1999)&quot;,&quot;isManuallyOverridden&quot;:false},&quot;citationTag&quot;:&quot;MENDELEY_CITATION_v3_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&quot;,&quot;citationItems&quot;:[{&quot;id&quot;:&quot;b2bfc406-90d9-3a8e-9481-adc651217f06&quot;,&quot;isTemporary&quot;:false,&quot;itemData&quot;:{&quot;type&quot;:&quot;article-journal&quot;,&quot;id&quot;:&quot;b2bfc406-90d9-3a8e-9481-adc651217f06&quot;,&quot;title&quot;:&quot;Substitution and Supplementation Between Co-Functional Policy Instruments: Evidence from State Budget Stabilization Practices&quot;,&quot;author&quot;:[{&quot;family&quot;:&quot;Hou&quot;,&quot;given&quot;:&quot;Yilin&quot;,&quot;parse-names&quot;:false,&quot;dropping-particle&quot;:&quot;&quot;,&quot;non-dropping-particle&quot;:&quot;&quot;},{&quot;family&quot;:&quot;Brewer&quot;,&quot;given&quot;:&quot;Gene A.&quot;,&quot;parse-names&quot;:false,&quot;dropping-particle&quot;:&quot;&quot;,&quot;non-dropping-particle&quot;:&quot;&quot;}],&quot;container-title&quot;:&quot;Public Administration Review&quot;,&quot;DOI&quot;:&quot;10.1111/j.1540-6210.2010.02223.x&quot;,&quot;ISSN&quot;:&quot;00333352&quot;,&quot;issued&quot;:{&quot;date-parts&quot;:[[2010]]},&quot;abstract&quot;:&quot;Governments often use multiple policy instruments for pursuing policy goals with mutually reinforcing effects. These effects include supplementation and substitution. This article examines both effects by studying two instruments of state budget stabilization policy: general fund balances and budget stabilization funds. States normally maintain budget surpluses in the general fund. In recent decades, many also created separate budget stabilization funds to guard against economic downturns. Empirical results show that substitution occurs between these instruments. In other words, the influence of the first instrument is partially offset by the second. The second instrument also produces some independent impacts-called supplementation-that increase the overall influence of both instruments. Such self-reinforcement decreases over time, suggesting that multiple policy instruments are most effective in the initial stage of application. Copyright © 2010 The American Society for Public Administration.&quot;,&quot;issue&quot;:&quot;6&quot;,&quot;volume&quot;:&quot;70&quot;,&quot;container-title-short&quot;:&quot;Public Adm Rev&quot;}},{&quot;id&quot;:&quot;1c0171a1-6a47-33b7-adfe-162d8d1a4f51&quot;,&quot;isTemporary&quot;:false,&quot;itemData&quot;:{&quot;type&quot;:&quot;article-journal&quot;,&quot;id&quot;:&quot;1c0171a1-6a47-33b7-adfe-162d8d1a4f51&quot;,&quot;title&quot;:&quot;Rainy Day Funds and State Government Savings&quot;,&quot;author&quot;:[{&quot;family&quot;:&quot;Knight&quot;,&quot;given&quot;:&quot;Brian&quot;,&quot;parse-names&quot;:false,&quot;dropping-particle&quot;:&quot;&quot;,&quot;non-dropping-particle&quot;:&quot;&quot;},{&quot;family&quot;:&quot;Levinson&quot;,&quot;given&quot;:&quot;Arik&quot;,&quot;parse-names&quot;:false,&quot;dropping-particle&quot;:&quot;&quot;,&quot;non-dropping-particle&quot;:&quot;&quot;}],&quot;container-title&quot;:&quot;National Tax Journal&quot;,&quot;DOI&quot;:&quot;10.1086/ntj41789735&quot;,&quot;ISSN&quot;:&quot;00280283&quot;,&quot;issued&quot;:{&quot;date-parts&quot;:[[1999]]},&quot;abstract&quot;:&quot;This paper examines the effect of rainy day funds (RDFs) on state savings behavior. We find that states with RDFs have higher total balances than states without such funds and also have higher balances after adoption than before adoption. Furthermore, RDF deposits increase total balances dollar-for-dollar. While we cannot rule out that states planning future savings may adopt RDFs, our findings are robust to the inclusion of measures of savings preferences. In sum, these funds appear to belong to the growing set of fiscal institutions with real fiscal and economic consequences.&quot;,&quot;issue&quot;:&quot;3&quot;,&quot;volume&quot;:&quot;52&quot;,&quot;container-title-short&quot;:&quot;Natl Tax J&quot;}},{&quot;id&quot;:&quot;f4bc279e-6eaa-3793-8623-79621952393b&quot;,&quot;itemData&quot;:{&quot;type&quot;:&quot;article-journal&quot;,&quot;id&quot;:&quot;f4bc279e-6eaa-3793-8623-79621952393b&quot;,&quot;title&quot;:&quot;State fiscal reserves: Supplementation and substitution over economic boom and bust years&quot;,&quot;author&quot;:[{&quot;family&quot;:&quot;Buerger&quot;,&quot;given&quot;:&quot;Christian&quot;,&quot;parse-names&quot;:false,&quot;dropping-particle&quot;:&quot;&quot;,&quot;non-dropping-particle&quot;:&quot;&quot;},{&quot;family&quot;:&quot;Reitano&quot;,&quot;given&quot;:&quot;Vincent&quot;,&quot;parse-names&quot;:false,&quot;dropping-particle&quot;:&quot;&quot;,&quot;non-dropping-particle&quot;:&quot;&quot;},{&quot;family&quot;:&quot;Sorrentino&quot;,&quot;given&quot;:&quot;Ciana&quot;,&quot;parse-names&quot;:false,&quot;dropping-particle&quot;:&quot;&quot;,&quot;non-dropping-particle&quot;:&quot;&quot;}],&quot;container-title&quot;:&quot;Public Budgeting and Finance&quot;,&quot;DOI&quot;:&quot;10.1111/pbaf.12311&quot;,&quot;ISSN&quot;:&quot;15405850&quot;,&quot;issued&quot;:{&quot;date-parts&quot;:[[2022]]},&quot;abstract&quot;:&quot;During the Great Recession and the start of the COVID-19 pandemic, practitioners and scholars alike looked to fiscal reserves as a means to overcome fiscal pressure on state budgets. This study builds on the literature exploring the association between budget stabilization funds and unassigned and unreserved balances (UUBs) during economic booms and busts and under different institutional settings. We find that BSFs supplement UUBs during economic booms and substitute for them during economic busts. Institutional rules strongly influence the relationship between both saving instruments.&quot;,&quot;issue&quot;:&quot;1&quot;,&quot;volume&quot;:&quot;42&quot;,&quot;container-title-short&quot;:&quot;&quot;},&quot;isTemporary&quot;:false}]},{&quot;properties&quot;:{&quot;noteIndex&quot;:0},&quot;citationID&quot;:&quot;MENDELEY_CITATION_f78d52ef-60a7-465f-b964-86a460327566&quot;,&quot;isEdited&quot;:false,&quot;manualOverride&quot;:{&quot;isManuallyOverriden&quot;:false,&quot;manualOverrideText&quot;:&quot;&quot;,&quot;citeprocText&quot;:&quot;(Hou &amp;#38; Brewer, 2010; Knight &amp;#38; Levinson, 1999)&quot;,&quot;isManuallyOverridden&quot;:false},&quot;citationTag&quot;:&quot;MENDELEY_CITATION_v3_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&quot;,&quot;citationItems&quot;:[{&quot;id&quot;:&quot;b2bfc406-90d9-3a8e-9481-adc651217f06&quot;,&quot;isTemporary&quot;:false,&quot;itemData&quot;:{&quot;type&quot;:&quot;article-journal&quot;,&quot;id&quot;:&quot;b2bfc406-90d9-3a8e-9481-adc651217f06&quot;,&quot;title&quot;:&quot;Substitution and Supplementation Between Co-Functional Policy Instruments: Evidence from State Budget Stabilization Practices&quot;,&quot;author&quot;:[{&quot;family&quot;:&quot;Hou&quot;,&quot;given&quot;:&quot;Yilin&quot;,&quot;parse-names&quot;:false,&quot;dropping-particle&quot;:&quot;&quot;,&quot;non-dropping-particle&quot;:&quot;&quot;},{&quot;family&quot;:&quot;Brewer&quot;,&quot;given&quot;:&quot;Gene A.&quot;,&quot;parse-names&quot;:false,&quot;dropping-particle&quot;:&quot;&quot;,&quot;non-dropping-particle&quot;:&quot;&quot;}],&quot;container-title&quot;:&quot;Public Administration Review&quot;,&quot;DOI&quot;:&quot;10.1111/j.1540-6210.2010.02223.x&quot;,&quot;ISSN&quot;:&quot;00333352&quot;,&quot;issued&quot;:{&quot;date-parts&quot;:[[2010]]},&quot;abstract&quot;:&quot;Governments often use multiple policy instruments for pursuing policy goals with mutually reinforcing effects. These effects include supplementation and substitution. This article examines both effects by studying two instruments of state budget stabilization policy: general fund balances and budget stabilization funds. States normally maintain budget surpluses in the general fund. In recent decades, many also created separate budget stabilization funds to guard against economic downturns. Empirical results show that substitution occurs between these instruments. In other words, the influence of the first instrument is partially offset by the second. The second instrument also produces some independent impacts-called supplementation-that increase the overall influence of both instruments. Such self-reinforcement decreases over time, suggesting that multiple policy instruments are most effective in the initial stage of application. Copyright © 2010 The American Society for Public Administration.&quot;,&quot;issue&quot;:&quot;6&quot;,&quot;volume&quot;:&quot;70&quot;,&quot;container-title-short&quot;:&quot;Public Adm Rev&quot;}},{&quot;id&quot;:&quot;1c0171a1-6a47-33b7-adfe-162d8d1a4f51&quot;,&quot;isTemporary&quot;:false,&quot;itemData&quot;:{&quot;type&quot;:&quot;article-journal&quot;,&quot;id&quot;:&quot;1c0171a1-6a47-33b7-adfe-162d8d1a4f51&quot;,&quot;title&quot;:&quot;Rainy Day Funds and State Government Savings&quot;,&quot;author&quot;:[{&quot;family&quot;:&quot;Knight&quot;,&quot;given&quot;:&quot;Brian&quot;,&quot;parse-names&quot;:false,&quot;dropping-particle&quot;:&quot;&quot;,&quot;non-dropping-particle&quot;:&quot;&quot;},{&quot;family&quot;:&quot;Levinson&quot;,&quot;given&quot;:&quot;Arik&quot;,&quot;parse-names&quot;:false,&quot;dropping-particle&quot;:&quot;&quot;,&quot;non-dropping-particle&quot;:&quot;&quot;}],&quot;container-title&quot;:&quot;National Tax Journal&quot;,&quot;DOI&quot;:&quot;10.1086/ntj41789735&quot;,&quot;ISSN&quot;:&quot;00280283&quot;,&quot;issued&quot;:{&quot;date-parts&quot;:[[1999]]},&quot;abstract&quot;:&quot;This paper examines the effect of rainy day funds (RDFs) on state savings behavior. We find that states with RDFs have higher total balances than states without such funds and also have higher balances after adoption than before adoption. Furthermore, RDF deposits increase total balances dollar-for-dollar. While we cannot rule out that states planning future savings may adopt RDFs, our findings are robust to the inclusion of measures of savings preferences. In sum, these funds appear to belong to the growing set of fiscal institutions with real fiscal and economic consequences.&quot;,&quot;issue&quot;:&quot;3&quot;,&quot;volume&quot;:&quot;52&quot;,&quot;container-title-short&quot;:&quot;Natl Tax J&quot;}}]},{&quot;citationID&quot;:&quot;MENDELEY_CITATION_e52f705f-2e01-44af-afdc-2d97f09b5120&quot;,&quot;properties&quot;:{&quot;noteIndex&quot;:0},&quot;isEdited&quot;:false,&quot;manualOverride&quot;:{&quot;isManuallyOverridden&quot;:true,&quot;citeprocText&quot;:&quot;(The Pew Charitable Trusts, 2022)&quot;,&quot;manualOverrideText&quot;:&quot;the Pew Charitable Trusts (2022)&quot;},&quot;citationTag&quot;:&quot;MENDELEY_CITATION_v3_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&quot;,&quot;citationItems&quot;:[{&quot;id&quot;:&quot;d76a7bf1-840e-37db-a75f-277e86ca281d&quot;,&quot;itemData&quot;:{&quot;type&quot;:&quot;report&quot;,&quot;id&quot;:&quot;d76a7bf1-840e-37db-a75f-277e86ca281d&quot;,&quot;title&quot;:&quot;States build their reserves amid growing uncertainties&quot;,&quot;author&quot;:[{&quot;family&quot;:&quot;The Pew Charitable Trusts&quot;,&quot;given&quot;:&quot;&quot;,&quot;parse-names&quot;:false,&quot;dropping-particle&quot;:&quot;&quot;,&quot;non-dropping-particle&quot;:&quot;&quot;}],&quot;accessed&quot;:{&quot;date-parts&quot;:[[2024,6,11]]},&quot;URL&quot;:&quot;https://www.pewtrusts.org/en/research-and-analysis/articles/2022/10/18/states-build-their-reserves-amid-growing-uncertainties&quot;,&quot;issued&quot;:{&quot;date-parts&quot;:[[2022,10,18]]},&quot;container-title-short&quot;:&quot;&quot;},&quot;isTemporary&quot;:false}]},{&quot;properties&quot;:{&quot;noteIndex&quot;:0},&quot;citationID&quot;:&quot;MENDELEY_CITATION_b2578261-ba96-475c-82b7-3eb10c60f939&quot;,&quot;isEdited&quot;:false,&quot;manualOverride&quot;:{&quot;isManuallyOverridden&quot;:false,&quot;manualOverrideText&quot;:&quot;&quot;,&quot;citeprocText&quot;:&quot;(Pierson et al., 2015)&quot;},&quot;citationTag&quot;:&quot;MENDELEY_CITATION_v3_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&quot;,&quot;citationItems&quot;:[{&quot;id&quot;:&quot;60d87747-75a0-3c4e-b0c1-c70eef982a8c&quot;,&quot;isTemporary&quot;:false,&quot;itemData&quot;:{&quot;type&quot;:&quot;article-journal&quot;,&quot;id&quot;:&quot;60d87747-75a0-3c4e-b0c1-c70eef982a8c&quot;,&quot;title&quot;:&quot;The government finance database: A common resource for quantitative research in public financial analysis&quot;,&quot;author&quot;:[{&quot;family&quot;:&quot;Pierson&quot;,&quot;given&quot;:&quot;Kawika&quot;,&quot;parse-names&quot;:false,&quot;dropping-particle&quot;:&quot;&quot;,&quot;non-dropping-particle&quot;:&quot;&quot;},{&quot;family&quot;:&quot;Hand&quot;,&quot;given&quot;:&quot;Michael L.&quot;,&quot;parse-names&quot;:false,&quot;dropping-particle&quot;:&quot;&quot;,&quot;non-dropping-particle&quot;:&quot;&quot;},{&quot;family&quot;:&quot;Thompson&quot;,&quot;given&quot;:&quot;Fred&quot;,&quot;parse-names&quot;:false,&quot;dropping-particle&quot;:&quot;&quot;,&quot;non-dropping-particle&quot;:&quot;&quot;}],&quot;container-title&quot;:&quot;PLoS ONE&quot;,&quot;DOI&quot;:&quot;10.1371/journal.pone.0130119&quot;,&quot;ISSN&quot;:&quot;19326203&quot;,&quot;issued&quot;:{&quot;date-parts&quot;:[[2015]]},&quot;abstract&quot;:&quot;Quantitative public financial management research focused on local governments is limited by the absence of a common database for empirical analysis. While the U.S. Census Bureau distributes government finance data that some scholars have utilized, the arduous process of collecting, interpreting, and organizing the data has led its adoption to be prohibitive and inconsistent. In this article we offer a single, coherent resource that contains all of the government financial data from 1967-2012, uses easy to understand natural-language variable names, and will be extended when new data is available. Copyright:&quot;,&quot;issue&quot;:&quot;6&quot;,&quot;volume&quot;:&quot;10&quot;,&quot;expandedJournalTitle&quot;:&quot;PLoS ONE&quot;,&quot;container-title-short&quot;:&quot;PLoS One&quot;}}]},{&quot;properties&quot;:{&quot;noteIndex&quot;:0},&quot;citationID&quot;:&quot;MENDELEY_CITATION_afa7ac8c-a700-407a-8122-c78a1f01c3cd&quot;,&quot;isEdited&quot;:false,&quot;manualOverride&quot;:{&quot;isManuallyOverriden&quot;:false,&quot;manualOverrideText&quot;:&quot;&quot;,&quot;citeprocText&quot;:&quot;(Pallay, 2013)&quot;,&quot;isManuallyOverridden&quot;:false},&quot;citationTag&quot;:&quot;MENDELEY_CITATION_v3_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&quot;,&quot;citationItems&quot;:[{&quot;id&quot;:&quot;4b00ad65-908e-33de-b5b5-8669ef0b1321&quot;,&quot;isTemporary&quot;:false,&quot;itemData&quot;:{&quot;type&quot;:&quot;report&quot;,&quot;id&quot;:&quot;4b00ad65-908e-33de-b5b5-8669ef0b1321&quot;,&quot;title&quot;:&quot;Who Runs the States?&quot;,&quot;author&quot;:[{&quot;family&quot;:&quot;Pallay&quot;,&quot;given&quot;:&quot;Geoff&quot;,&quot;parse-names&quot;:false,&quot;dropping-particle&quot;:&quot;&quot;,&quot;non-dropping-particle&quot;:&quot;&quot;}],&quot;issued&quot;:{&quot;date-parts&quot;:[[2013]]},&quot;container-title-short&quot;:&quot;&quot;}}]},{&quot;properties&quot;:{&quot;noteIndex&quot;:0},&quot;citationID&quot;:&quot;MENDELEY_CITATION_5c2087f3-6514-41df-bd50-186fd74b50f7&quot;,&quot;isEdited&quot;:false,&quot;manualOverride&quot;:{&quot;isManuallyOverriden&quot;:false,&quot;manualOverrideText&quot;:&quot;&quot;,&quot;citeprocText&quot;:&quot;(Hou &amp;#38; Smith, 2006)&quot;,&quot;isManuallyOverridden&quot;:false},&quot;citationTag&quot;:&quot;MENDELEY_CITATION_v3_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&quot;,&quot;citationItems&quot;:[{&quot;id&quot;:&quot;59fdc1ae-9156-3cf7-98d6-7ea2142e6b23&quot;,&quot;isTemporary&quot;:false,&quot;itemData&quot;:{&quot;type&quot;:&quot;article-journal&quot;,&quot;id&quot;:&quot;59fdc1ae-9156-3cf7-98d6-7ea2142e6b23&quot;,&quot;title&quot;:&quot;A Framework for Understanding State Balanced Budget Requirement Systems: Reexamining Distinctive Features and an Operational Definition&quot;,&quot;author&quot;:[{&quot;family&quot;:&quot;Hou&quot;,&quot;given&quot;:&quot;Yilin&quot;,&quot;parse-names&quot;:false,&quot;dropping-particle&quot;:&quot;&quot;,&quot;non-dropping-particle&quot;:&quot;&quot;},{&quot;family&quot;:&quot;Smith&quot;,&quot;given&quot;:&quot;Daniel L.&quot;,&quot;parse-names&quot;:false,&quot;dropping-particle&quot;:&quot;&quot;,&quot;non-dropping-particle&quot;:&quot;&quot;}],&quot;container-title&quot;:&quot;Public Budgeting and Finance&quot;,&quot;DOI&quot;:&quot;10.1111/j.1540-5850.2006.00853.x&quot;,&quot;ISSN&quot;:&quot;15405850&quot;,&quot;issued&quot;:{&quot;date-parts&quot;:[[2006]]},&quot;abstract&quot;:&quot;Studies of state fiscal and budgetary policies often use balanced budget requirements (BBRs) as explanatory variables. While current measures laid the crucial groundwork for a basic understanding of state BBRs, their lack of comprehensiveness threatens the validity of empirical work. Based on comprehensive legal research, this article offers a framework for analyzing state requirements: each state's BBRs form a coherent system for achieving budget balance through budget cycles; a fully developed BBR system offers a three-line construct against imbalance; and the more complete, developed, and explicit a BBR system is, the more stringent it will be in achieving budgetary balance. © 2017 Wiley. All rights reserved.&quot;,&quot;issue&quot;:&quot;3&quot;,&quot;volume&quot;:&quot;26&quot;,&quot;container-title-short&quot;:&quot;&quot;}}]},{&quot;properties&quot;:{&quot;noteIndex&quot;:0},&quot;citationID&quot;:&quot;MENDELEY_CITATION_ffcd621b-540f-436d-a57a-651c6e7f8a9d&quot;,&quot;isEdited&quot;:false,&quot;manualOverride&quot;:{&quot;isManuallyOverriden&quot;:false,&quot;manualOverrideText&quot;:&quot;&quot;,&quot;citeprocText&quot;:&quot;(Hou &amp;#38; Smith, 2006)&quot;,&quot;isManuallyOverridden&quot;:false},&quot;citationTag&quot;:&quot;MENDELEY_CITATION_v3_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&quot;,&quot;citationItems&quot;:[{&quot;id&quot;:&quot;59fdc1ae-9156-3cf7-98d6-7ea2142e6b23&quot;,&quot;isTemporary&quot;:false,&quot;itemData&quot;:{&quot;type&quot;:&quot;article-journal&quot;,&quot;id&quot;:&quot;59fdc1ae-9156-3cf7-98d6-7ea2142e6b23&quot;,&quot;title&quot;:&quot;A Framework for Understanding State Balanced Budget Requirement Systems: Reexamining Distinctive Features and an Operational Definition&quot;,&quot;author&quot;:[{&quot;family&quot;:&quot;Hou&quot;,&quot;given&quot;:&quot;Yilin&quot;,&quot;parse-names&quot;:false,&quot;dropping-particle&quot;:&quot;&quot;,&quot;non-dropping-particle&quot;:&quot;&quot;},{&quot;family&quot;:&quot;Smith&quot;,&quot;given&quot;:&quot;Daniel L.&quot;,&quot;parse-names&quot;:false,&quot;dropping-particle&quot;:&quot;&quot;,&quot;non-dropping-particle&quot;:&quot;&quot;}],&quot;container-title&quot;:&quot;Public Budgeting and Finance&quot;,&quot;DOI&quot;:&quot;10.1111/j.1540-5850.2006.00853.x&quot;,&quot;ISSN&quot;:&quot;15405850&quot;,&quot;issued&quot;:{&quot;date-parts&quot;:[[2006]]},&quot;abstract&quot;:&quot;Studies of state fiscal and budgetary policies often use balanced budget requirements (BBRs) as explanatory variables. While current measures laid the crucial groundwork for a basic understanding of state BBRs, their lack of comprehensiveness threatens the validity of empirical work. Based on comprehensive legal research, this article offers a framework for analyzing state requirements: each state's BBRs form a coherent system for achieving budget balance through budget cycles; a fully developed BBR system offers a three-line construct against imbalance; and the more complete, developed, and explicit a BBR system is, the more stringent it will be in achieving budgetary balance. © 2017 Wiley. All rights reserved.&quot;,&quot;issue&quot;:&quot;3&quot;,&quot;volume&quot;:&quot;26&quot;,&quot;container-title-short&quot;:&quot;&quot;}}]},{&quot;properties&quot;:{&quot;noteIndex&quot;:0},&quot;citationID&quot;:&quot;MENDELEY_CITATION_08256dd5-eef4-4471-88c0-77e68aaaa5c9&quot;,&quot;isEdited&quot;:false,&quot;manualOverride&quot;:{&quot;isManuallyOverridden&quot;:false,&quot;manualOverrideText&quot;:&quot;&quot;,&quot;citeprocText&quot;:&quot;(Amiel et al., 2014; Kallen, 2017)&quot;},&quot;citationTag&quot;:&quot;MENDELEY_CITATION_v3_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&quot;,&quot;citationItems&quot;:[{&quot;id&quot;:&quot;c8f2ce22-59d1-3c78-bff3-0d5454698c73&quot;,&quot;isTemporary&quot;:false,&quot;itemData&quot;:{&quot;type&quot;:&quot;report&quot;,&quot;id&quot;:&quot;c8f2ce22-59d1-3c78-bff3-0d5454698c73&quot;,&quot;title&quot;:&quot;State tax and expenditure limitations and supermajority requirements: New and updated data&quot;,&quot;author&quot;:[{&quot;family&quot;:&quot;Kallen&quot;,&quot;given&quot;:&quot;Cody&quot;,&quot;parse-names&quot;:false,&quot;dropping-particle&quot;:&quot;&quot;,&quot;non-dropping-particle&quot;:&quot;&quot;}],&quot;number&quot;:&quot;956520&quot;,&quot;issued&quot;:{&quot;date-parts&quot;:[[2017]]},&quot;container-title-short&quot;:&quot;&quot;}},{&quot;id&quot;:&quot;77dbaf42-a457-3c40-bf2d-ad0c2a2edee9&quot;,&quot;isTemporary&quot;:false,&quot;itemData&quot;:{&quot;type&quot;:&quot;article-journal&quot;,&quot;id&quot;:&quot;77dbaf42-a457-3c40-bf2d-ad0c2a2edee9&quot;,&quot;title&quot;:&quot;Does the Restrictiveness of State Tax and Expenditure Limitations Affect State Revenues and Expenditures?&quot;,&quot;author&quot;:[{&quot;family&quot;:&quot;Amiel&quot;,&quot;given&quot;:&quot;Lindsay&quot;,&quot;parse-names&quot;:false,&quot;dropping-particle&quot;:&quot;&quot;,&quot;non-dropping-particle&quot;:&quot;&quot;},{&quot;family&quot;:&quot;Deller&quot;,&quot;given&quot;:&quot;Steven&quot;,&quot;parse-names&quot;:false,&quot;dropping-particle&quot;:&quot;&quot;,&quot;non-dropping-particle&quot;:&quot;&quot;},{&quot;family&quot;:&quot;Stallmann&quot;,&quot;given&quot;:&quot;Judith&quot;,&quot;parse-names&quot;:false,&quot;dropping-particle&quot;:&quot;&quot;,&quot;non-dropping-particle&quot;:&quot;&quot;},{&quot;family&quot;:&quot;Maher&quot;,&quot;given&quot;:&quot;Craig&quot;,&quot;parse-names&quot;:false,&quot;dropping-particle&quot;:&quot;&quot;,&quot;non-dropping-particle&quot;:&quot;&quot;}],&quot;container-title&quot;:&quot;International Journal of Public Administration&quot;,&quot;DOI&quot;:&quot;10.1080/01900692.2013.812113&quot;,&quot;ISSN&quot;:&quot;01900692&quot;,&quot;issued&quot;:{&quot;date-parts&quot;:[[2014]]},&quot;abstract&quot;:&quot;This paper examines the impact of tax and expenditure limitations (TELs) on state governments. We examine how TELs are represented in empirical modeling. We compare and contrast an index of state-level TEL restrictiveness to a simple dummy variable approach. We use a panel of data for the 50 U.S. states to capture changes in state TELs and a generalized method of moments (GMM) dynamic panel estimator. We find that results vary across the two methods of capturing the presence of TELs, suggesting that simple dummy variables are not sufficient to capture the heterogeneity of TELs across states and over time. © 2014 Copyright Taylor and Francis Group, LLC.&quot;,&quot;issue&quot;:&quot;4&quot;,&quot;volume&quot;:&quot;37&quot;,&quot;container-title-short&quot;:&quot;&quot;}}]},{&quot;properties&quot;:{&quot;noteIndex&quot;:0},&quot;citationID&quot;:&quot;MENDELEY_CITATION_c3356c2a-3c03-4dc6-909c-fe96a55670c1&quot;,&quot;isEdited&quot;:false,&quot;manualOverride&quot;:{&quot;isManuallyOverridden&quot;:false,&quot;manualOverrideText&quot;:&quot;&quot;,&quot;citeprocText&quot;:&quot;(Choi, 2022)&quot;},&quot;citationTag&quot;:&quot;MENDELEY_CITATION_v3_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&quot;,&quot;citationItems&quot;:[{&quot;id&quot;:&quot;f94599e9-3597-3244-a4d5-67a959daf52a&quot;,&quot;isTemporary&quot;:false,&quot;itemData&quot;:{&quot;type&quot;:&quot;article-journal&quot;,&quot;id&quot;:&quot;f94599e9-3597-3244-a4d5-67a959daf52a&quot;,&quot;title&quot;:&quot;Do Budget Stabilization Funds Invite Transparent Budget Reporting? Budget Stabilization Funds and Fiscal Behavior of States&quot;,&quot;author&quot;:[{&quot;family&quot;:&quot;Choi&quot;,&quot;given&quot;:&quot;Eunjoo&quot;,&quot;parse-names&quot;:false,&quot;dropping-particle&quot;:&quot;&quot;,&quot;non-dropping-particle&quot;:&quot;&quot;}],&quot;container-title&quot;:&quot;Journal of Policy Studies&quot;,&quot;issued&quot;:{&quot;date-parts&quot;:[[2022]]},&quot;page&quot;:&quot;67-84&quot;,&quot;issue&quot;:&quot;3&quot;,&quot;volume&quot;:&quot;37&quot;,&quot;container-title-short&quot;:&quot;&quot;}}]},{&quot;properties&quot;:{&quot;noteIndex&quot;:0},&quot;citationID&quot;:&quot;MENDELEY_CITATION_713fa9c3-c4e7-4a57-8e5a-d673d79a6295&quot;,&quot;isEdited&quot;:false,&quot;manualOverride&quot;:{&quot;isManuallyOverridden&quot;:false,&quot;manualOverrideText&quot;:&quot;&quot;,&quot;citeprocText&quot;:&quot;(Choi, 2022)&quot;},&quot;citationTag&quot;:&quot;MENDELEY_CITATION_v3_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&quot;,&quot;citationItems&quot;:[{&quot;id&quot;:&quot;f94599e9-3597-3244-a4d5-67a959daf52a&quot;,&quot;isTemporary&quot;:false,&quot;itemData&quot;:{&quot;type&quot;:&quot;article-journal&quot;,&quot;id&quot;:&quot;f94599e9-3597-3244-a4d5-67a959daf52a&quot;,&quot;title&quot;:&quot;Do Budget Stabilization Funds Invite Transparent Budget Reporting? Budget Stabilization Funds and Fiscal Behavior of States&quot;,&quot;author&quot;:[{&quot;family&quot;:&quot;Choi&quot;,&quot;given&quot;:&quot;Eunjoo&quot;,&quot;parse-names&quot;:false,&quot;dropping-particle&quot;:&quot;&quot;,&quot;non-dropping-particle&quot;:&quot;&quot;}],&quot;container-title&quot;:&quot;Journal of Policy Studies&quot;,&quot;issued&quot;:{&quot;date-parts&quot;:[[2022]]},&quot;page&quot;:&quot;67-84&quot;,&quot;issue&quot;:&quot;3&quot;,&quot;volume&quot;:&quot;37&quot;,&quot;container-title-short&quot;:&quot;&quot;}}]},{&quot;properties&quot;:{&quot;noteIndex&quot;:0},&quot;citationID&quot;:&quot;MENDELEY_CITATION_deca25e2-55d1-4bb4-a987-47c3a5431f34&quot;,&quot;isEdited&quot;:false,&quot;manualOverride&quot;:{&quot;isManuallyOverriden&quot;:false,&quot;manualOverrideText&quot;:&quot;&quot;,&quot;citeprocText&quot;:&quot;(Hill et al., 2020)&quot;,&quot;isManuallyOverridden&quot;:false},&quot;citationTag&quot;:&quot;MENDELEY_CITATION_v3_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&quot;,&quot;citationItems&quot;:[{&quot;id&quot;:&quot;6fe5492b-1801-352b-885c-dc4f908f566d&quot;,&quot;isTemporary&quot;:false,&quot;itemData&quot;:{&quot;type&quot;:&quot;article-journal&quot;,&quot;id&quot;:&quot;6fe5492b-1801-352b-885c-dc4f908f566d&quot;,&quot;title&quot;:&quot;Limitations of Fixed-Effects Models for Panel Data&quot;,&quot;author&quot;:[{&quot;family&quot;:&quot;Hill&quot;,&quot;given&quot;:&quot;Terrence D.&quot;,&quot;parse-names&quot;:false,&quot;dropping-particle&quot;:&quot;&quot;,&quot;non-dropping-particle&quot;:&quot;&quot;},{&quot;family&quot;:&quot;Davis&quot;,&quot;given&quot;:&quot;Andrew P.&quot;,&quot;parse-names&quot;:false,&quot;dropping-particle&quot;:&quot;&quot;,&quot;non-dropping-particle&quot;:&quot;&quot;},{&quot;family&quot;:&quot;Roos&quot;,&quot;given&quot;:&quot;J. Micah&quot;,&quot;parse-names&quot;:false,&quot;dropping-particle&quot;:&quot;&quot;,&quot;non-dropping-particle&quot;:&quot;&quot;},{&quot;family&quot;:&quot;French&quot;,&quot;given&quot;:&quot;Michael T.&quot;,&quot;parse-names&quot;:false,&quot;dropping-particle&quot;:&quot;&quot;,&quot;non-dropping-particle&quot;:&quot;&quot;}],&quot;container-title&quot;:&quot;Sociological Perspectives&quot;,&quot;DOI&quot;:&quot;10.1177/0731121419863785&quot;,&quot;ISSN&quot;:&quot;15338673&quot;,&quot;issued&quot;:{&quot;date-parts&quot;:[[2020,6,1]]},&quot;page&quot;:&quot;357-369&quot;,&quot;abstract&quot;:&quot;Although fixed-effects models for panel data are now widely recognized as powerful tools for longitudinal data analysis, the limitations of these models are not well known. We provide a critical discussion of 12 limitations, including a culture of omission, low statistical power, limited external validity, restricted time periods, measurement error, time invariance, undefined variables, unobserved heterogeneity, erroneous causal inferences, imprecise interpretations of coefficients, imprudent comparisons with cross-sectional models, and questionable contributions vis-à-vis previous work. Instead of discouraging the use of fixed-effects models, we encourage more critical applications of this rigorous and promising methodology. The most important deficiencies—Type II errors, biased coefficients and imprecise standard errors, misleading p values, misguided causal claims, and various theoretical concerns—should be weighed against the likely presence of unobserved heterogeneity in other regression models. Ultimately, we must do a better job of communicating the pitfalls of fixed-effects models to our colleagues and students.&quot;,&quot;publisher&quot;:&quot;SAGE Publications Inc.&quot;,&quot;issue&quot;:&quot;3&quot;,&quot;volume&quot;:&quot;63&quot;,&quot;container-title-short&quot;:&quot;&quot;}}]},{&quot;properties&quot;:{&quot;noteIndex&quot;:0},&quot;citationID&quot;:&quot;MENDELEY_CITATION_d28722bf-a3eb-4075-8612-3be694c08066&quot;,&quot;isEdited&quot;:false,&quot;manualOverride&quot;:{&quot;isManuallyOverriden&quot;:true,&quot;manualOverrideText&quot;:&quot;&quot;,&quot;isManuallyOverridden&quot;:false,&quot;citeprocText&quot;:&quot;(Wooldridge, 2013)&quot;},&quot;citationTag&quot;:&quot;MENDELEY_CITATION_v3_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&quot;,&quot;citationItems&quot;:[{&quot;id&quot;:&quot;be337405-6010-30dc-b4d6-b2ac6b336229&quot;,&quot;isTemporary&quot;:false,&quot;itemData&quot;:{&quot;type&quot;:&quot;book&quot;,&quot;id&quot;:&quot;be337405-6010-30dc-b4d6-b2ac6b336229&quot;,&quot;title&quot;:&quot;Introductory econometrics : a modern approach. 5th&quot;,&quot;author&quot;:[{&quot;family&quot;:&quot;Wooldridge&quot;,&quot;given&quot;:&quot;Jeffrey M&quot;,&quot;parse-names&quot;:false,&quot;dropping-particle&quot;:&quot;&quot;,&quot;non-dropping-particle&quot;:&quot;&quot;}],&quot;container-title&quot;:&quot;South-Western Cengange learning&quot;,&quot;issued&quot;:{&quot;date-parts&quot;:[[2013]]},&quot;abstract&quot;:&quot;How is the Simultaneous Equations model different from the regular regression model with which we are all familiar? 1. Multiple equations (referred to as a system of equations); 2. Dependent variables in some equations are explanatory variables in other equations (this is a general form of the random regressors problem we encountered with lagged dependent variables models). The dependent variables (the Y variables) feed off of each other-shocks to one dependent variable reverberate through the model. The generic form of a simultaneous equations model is written: γ 11 y t1 + γ 21 y t2 + · · · + γ M 1 y tM + β 11 x t1 + · · · + β K1 x tK = t1 γ 12 y t1 + γ 22 y t2 + · · · + γ M 2 y tM + β 12 x t1 + · · · + β K2 x tK = t2. .. (1) γ 1M y t1 + γ 2M y tM + · · · + γ MM y tM + β 1M x t1 + · · · + β KM x tK = tM , where the y ti (i = 1,. .. , M) are the endogenous variables, and the x tj (j = 1,. .. , K) are the exogenous variables. Note that M is also the number of equations in the model. Under most circumstances, the model is \&quot;normalized\&quot; by setting the coefficient of the ith endogenous variable in the ith equation equal to-1. After normalization, equations (1) can be rewritten as, y t1 = γ 21 y t2 + γ 31 y t3 + · · · + γ M1 y tM + β 11 x t1 + · · · + β K1 x tK + t1 y t2 = γ 12 y t1 + γ 32 y t3 + · · · + γ M2 y tM + β 12 x t1 + · · · + β K2 x tK + t2. .. (2) y tM = γ 1M y t1 + · · · + γ M−1,M y t,M−1 + β 1M x t1 + · · · + β KM x tK + tM. We will most commonly encounter equations (1) in its matrix form, Y (T ×M) Γ (M ×M) + X (T ×K)&quot;,&quot;container-title-short&quot;:&quot;&quot;}}]},{&quot;citationID&quot;:&quot;MENDELEY_CITATION_0e304a8f-e9cb-40ad-abc0-b5d91b4e8449&quot;,&quot;properties&quot;:{&quot;noteIndex&quot;:0},&quot;isEdited&quot;:false,&quot;manualOverride&quot;:{&quot;isManuallyOverridden&quot;:false,&quot;citeprocText&quot;:&quot;(Greene, 2012)&quot;,&quot;manualOverrideText&quot;:&quot;&quot;},&quot;citationTag&quot;:&quot;MENDELEY_CITATION_v3_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&quot;,&quot;citationItems&quot;:[{&quot;id&quot;:&quot;7bd0c18b-2fc0-3bb3-b86b-a8e614298a77&quot;,&quot;itemData&quot;:{&quot;type&quot;:&quot;book&quot;,&quot;id&quot;:&quot;7bd0c18b-2fc0-3bb3-b86b-a8e614298a77&quot;,&quot;title&quot;:&quot;Econometric Analysis&quot;,&quot;author&quot;:[{&quot;family&quot;:&quot;Greene&quot;,&quot;given&quot;:&quot;William H&quot;,&quot;parse-names&quot;:false,&quot;dropping-particle&quot;:&quot;&quot;,&quot;non-dropping-particle&quot;:&quot;&quot;}],&quot;container-title&quot;:&quot;Prentice Hall&quot;,&quot;ISSN&quot;:&quot;01621459&quot;,&quot;issued&quot;:{&quot;date-parts&quot;:[[2012]]},&quot;abstract&quot;:&quot;Greene, W. (2008). Econometric analysis (6th ed.). New Jersey: Prentice-Hall.&quot;,&quot;volume&quot;:&quot;97&quot;,&quot;container-title-short&quot;:&quot;&quot;},&quot;isTemporary&quot;:false}]},{&quot;citationID&quot;:&quot;MENDELEY_CITATION_6101add9-ca91-4237-b2a6-df1f5657d158&quot;,&quot;properties&quot;:{&quot;noteIndex&quot;:0},&quot;isEdited&quot;:false,&quot;manualOverride&quot;:{&quot;isManuallyOverridden&quot;:false,&quot;citeprocText&quot;:&quot;(Torres-Reyna, 2014)&quot;,&quot;manualOverrideText&quot;:&quot;&quot;},&quot;citationTag&quot;:&quot;MENDELEY_CITATION_v3_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&quot;,&quot;citationItems&quot;:[{&quot;id&quot;:&quot;273a8f69-9227-31f2-b544-698d56bc1a48&quot;,&quot;itemData&quot;:{&quot;type&quot;:&quot;article-journal&quot;,&quot;id&quot;:&quot;273a8f69-9227-31f2-b544-698d56bc1a48&quot;,&quot;title&quot;:&quot;Panel Data Analysis Fixed &amp; Random Effects&quot;,&quot;author&quot;:[{&quot;family&quot;:&quot;Torres-Reyna&quot;,&quot;given&quot;:&quot;Oscar&quot;,&quot;parse-names&quot;:false,&quot;dropping-particle&quot;:&quot;&quot;,&quot;non-dropping-particle&quot;:&quot;&quot;}],&quot;container-title&quot;:&quot;Princeton University&quot;,&quot;issued&quot;:{&quot;date-parts&quot;:[[2014]]},&quot;abstract&quot;:&quot;Nice model and write up on FE methods. Plus: “…the crucial distinction between fixed and random effects is whether the unobserved individual effect embodies elements that are correlated with the regressors in the model, not whether these effects are stochastic or not” [Green, 2008, p.183]&quot;,&quot;issue&quot;:&quot;http://www.princeton.edu/~otorres/&quot;,&quot;container-title-short&quot;:&quot;&quot;},&quot;isTemporary&quot;:false}]},{&quot;citationID&quot;:&quot;MENDELEY_CITATION_8a215ac5-6b6c-4969-b273-5e5ccd5e0f1b&quot;,&quot;properties&quot;:{&quot;noteIndex&quot;:0},&quot;isEdited&quot;:false,&quot;manualOverride&quot;:{&quot;isManuallyOverridden&quot;:true,&quot;citeprocText&quot;:&quot;(Cameron et al., 2011; Cameron &amp;#38; Miller, 2015)&quot;,&quot;manualOverrideText&quot;:&quot;(Cameron et al., 2011; Cameron &amp; Miller, 2015).&quot;},&quot;citationTag&quot;:&quot;MENDELEY_CITATION_v3_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&quot;,&quot;citationItems&quot;:[{&quot;id&quot;:&quot;ff9eecc7-8a8f-3b88-b8a2-90593549bb6c&quot;,&quot;itemData&quot;:{&quot;type&quot;:&quot;article-journal&quot;,&quot;id&quot;:&quot;ff9eecc7-8a8f-3b88-b8a2-90593549bb6c&quot;,&quot;title&quot;:&quot;A practitioner's guide to cluster- robust inference&quot;,&quot;author&quot;:[{&quot;family&quot;:&quot;Cameron&quot;,&quot;given&quot;:&quot;Colin A.&quot;,&quot;parse-names&quot;:false,&quot;dropping-particle&quot;:&quot;&quot;,&quot;non-dropping-particle&quot;:&quot;&quot;},{&quot;family&quot;:&quot;Miller&quot;,&quot;given&quot;:&quot;Douglas L.&quot;,&quot;parse-names&quot;:false,&quot;dropping-particle&quot;:&quot;&quot;,&quot;non-dropping-particle&quot;:&quot;&quot;}],&quot;container-title&quot;:&quot;Journal of Human Resources&quot;,&quot;DOI&quot;:&quot;10.3368/jhr.50.2.317&quot;,&quot;ISSN&quot;:&quot;15488004&quot;,&quot;issued&quot;:{&quot;date-parts&quot;:[[2015]]},&quot;abstract&quot;:&quot;We consider statistical inference for regression when data are grouped into clusters, with regression model errors independent across clusters but correlated within clusters. Examples include data on individuals with clustering on village or region or other category such as industry, and state- year differences- in- differences studies with clustering on state. In such settings, default standard errors can greatly overstate estimator precision. Instead, if the number of clusters is large, statistical inference after OLS should be based on cluster- robust standard errors. We outline the basic method as well as many complications that can arise in practice. These include cluster- specifi c fi xed effects, few clusters, multiway clustering, and estimators other than OLS.&quot;,&quot;issue&quot;:&quot;2&quot;,&quot;volume&quot;:&quot;50&quot;,&quot;container-title-short&quot;:&quot;&quot;},&quot;isTemporary&quot;:false},{&quot;id&quot;:&quot;fd3012d1-9172-3313-a4e6-2c564c43cafb&quot;,&quot;itemData&quot;:{&quot;type&quot;:&quot;article-journal&quot;,&quot;id&quot;:&quot;fd3012d1-9172-3313-a4e6-2c564c43cafb&quot;,&quot;title&quot;:&quot;Robust inference with multiway clustering&quot;,&quot;author&quot;:[{&quot;family&quot;:&quot;Cameron&quot;,&quot;given&quot;:&quot;Colin A.&quot;,&quot;parse-names&quot;:false,&quot;dropping-particle&quot;:&quot;&quot;,&quot;non-dropping-particle&quot;:&quot;&quot;},{&quot;family&quot;:&quot;Gelbach&quot;,&quot;given&quot;:&quot;Jonah B.&quot;,&quot;parse-names&quot;:false,&quot;dropping-particle&quot;:&quot;&quot;,&quot;non-dropping-particle&quot;:&quot;&quot;},{&quot;family&quot;:&quot;Miller&quot;,&quot;given&quot;:&quot;Douglas L.&quot;,&quot;parse-names&quot;:false,&quot;dropping-particle&quot;:&quot;&quot;,&quot;non-dropping-particle&quot;:&quot;&quot;}],&quot;container-title&quot;:&quot;Journal of Business and Economic Statistics&quot;,&quot;DOI&quot;:&quot;10.1198/jbes.2010.07136&quot;,&quot;ISSN&quot;:&quot;07350015&quot;,&quot;issued&quot;:{&quot;date-parts&quot;:[[2011]]},&quot;abstract&quot;:&quot;In this article we propose a variance estimator for the OLS estimator as well as for nonlinear estimators such as logit, probit, and GMM. This variance estimator enables cluster-robust inference when there is two-way or multiway clustering that is nonnested. The variance estimator extends the standard clusterrobust variance estimator or sandwich estimator for one-way clustering (e.g., Liang and Zeger 1986; Arellano 1987) and relies on similar relatively weak distributional assumptions. Our method is easily implemented in statistical packages, such as Stata and SAS, that already offer cluster-robust standard errors when there is one-way clustering. The method is demonstrated by a Monte Carlo analysis for a two-way random effects model; a Monte Carlo analysis of a placebo law that extends the state-year effects example of Bertrand, Duflo, and Mullainathan (2004) to two dimensions; and by application to studies in the empirical literature where two-way clustering is present. © 2011 American Statistical Association.&quot;,&quot;issue&quot;:&quot;2&quot;,&quot;volume&quot;:&quot;29&quot;,&quot;container-title-short&quot;:&quot;&quot;},&quot;isTemporary&quot;:false}]},{&quot;citationID&quot;:&quot;MENDELEY_CITATION_40d7afb5-f1aa-4937-89bd-2d11e0f55b20&quot;,&quot;properties&quot;:{&quot;noteIndex&quot;:0},&quot;isEdited&quot;:false,&quot;manualOverride&quot;:{&quot;isManuallyOverridden&quot;:true,&quot;citeprocText&quot;:&quot;(Cameron et al., 2011; Cameron &amp;#38; Miller, 2015)&quot;,&quot;manualOverrideText&quot;:&quot;Cameron et al. (2011) and Cameron and Miller (2015)&quot;},&quot;citationTag&quot;:&quot;MENDELEY_CITATION_v3_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&quot;,&quot;citationItems&quot;:[{&quot;id&quot;:&quot;ff9eecc7-8a8f-3b88-b8a2-90593549bb6c&quot;,&quot;itemData&quot;:{&quot;type&quot;:&quot;article-journal&quot;,&quot;id&quot;:&quot;ff9eecc7-8a8f-3b88-b8a2-90593549bb6c&quot;,&quot;title&quot;:&quot;A practitioner's guide to cluster- robust inference&quot;,&quot;author&quot;:[{&quot;family&quot;:&quot;Cameron&quot;,&quot;given&quot;:&quot;Colin A.&quot;,&quot;parse-names&quot;:false,&quot;dropping-particle&quot;:&quot;&quot;,&quot;non-dropping-particle&quot;:&quot;&quot;},{&quot;family&quot;:&quot;Miller&quot;,&quot;given&quot;:&quot;Douglas L.&quot;,&quot;parse-names&quot;:false,&quot;dropping-particle&quot;:&quot;&quot;,&quot;non-dropping-particle&quot;:&quot;&quot;}],&quot;container-title&quot;:&quot;Journal of Human Resources&quot;,&quot;DOI&quot;:&quot;10.3368/jhr.50.2.317&quot;,&quot;ISSN&quot;:&quot;15488004&quot;,&quot;issued&quot;:{&quot;date-parts&quot;:[[2015]]},&quot;abstract&quot;:&quot;We consider statistical inference for regression when data are grouped into clusters, with regression model errors independent across clusters but correlated within clusters. Examples include data on individuals with clustering on village or region or other category such as industry, and state- year differences- in- differences studies with clustering on state. In such settings, default standard errors can greatly overstate estimator precision. Instead, if the number of clusters is large, statistical inference after OLS should be based on cluster- robust standard errors. We outline the basic method as well as many complications that can arise in practice. These include cluster- specifi c fi xed effects, few clusters, multiway clustering, and estimators other than OLS.&quot;,&quot;issue&quot;:&quot;2&quot;,&quot;volume&quot;:&quot;50&quot;,&quot;container-title-short&quot;:&quot;&quot;},&quot;isTemporary&quot;:false},{&quot;id&quot;:&quot;fd3012d1-9172-3313-a4e6-2c564c43cafb&quot;,&quot;itemData&quot;:{&quot;type&quot;:&quot;article-journal&quot;,&quot;id&quot;:&quot;fd3012d1-9172-3313-a4e6-2c564c43cafb&quot;,&quot;title&quot;:&quot;Robust inference with multiway clustering&quot;,&quot;author&quot;:[{&quot;family&quot;:&quot;Cameron&quot;,&quot;given&quot;:&quot;Colin A.&quot;,&quot;parse-names&quot;:false,&quot;dropping-particle&quot;:&quot;&quot;,&quot;non-dropping-particle&quot;:&quot;&quot;},{&quot;family&quot;:&quot;Gelbach&quot;,&quot;given&quot;:&quot;Jonah B.&quot;,&quot;parse-names&quot;:false,&quot;dropping-particle&quot;:&quot;&quot;,&quot;non-dropping-particle&quot;:&quot;&quot;},{&quot;family&quot;:&quot;Miller&quot;,&quot;given&quot;:&quot;Douglas L.&quot;,&quot;parse-names&quot;:false,&quot;dropping-particle&quot;:&quot;&quot;,&quot;non-dropping-particle&quot;:&quot;&quot;}],&quot;container-title&quot;:&quot;Journal of Business and Economic Statistics&quot;,&quot;DOI&quot;:&quot;10.1198/jbes.2010.07136&quot;,&quot;ISSN&quot;:&quot;07350015&quot;,&quot;issued&quot;:{&quot;date-parts&quot;:[[2011]]},&quot;abstract&quot;:&quot;In this article we propose a variance estimator for the OLS estimator as well as for nonlinear estimators such as logit, probit, and GMM. This variance estimator enables cluster-robust inference when there is two-way or multiway clustering that is nonnested. The variance estimator extends the standard clusterrobust variance estimator or sandwich estimator for one-way clustering (e.g., Liang and Zeger 1986; Arellano 1987) and relies on similar relatively weak distributional assumptions. Our method is easily implemented in statistical packages, such as Stata and SAS, that already offer cluster-robust standard errors when there is one-way clustering. The method is demonstrated by a Monte Carlo analysis for a two-way random effects model; a Monte Carlo analysis of a placebo law that extends the state-year effects example of Bertrand, Duflo, and Mullainathan (2004) to two dimensions; and by application to studies in the empirical literature where two-way clustering is present. © 2011 American Statistical Association.&quot;,&quot;issue&quot;:&quot;2&quot;,&quot;volume&quot;:&quot;29&quot;,&quot;container-title-short&quot;:&quot;&quot;},&quot;isTemporary&quot;:false}]},{&quot;citationID&quot;:&quot;MENDELEY_CITATION_c0f8d2f5-6d72-44ec-90b3-cdab6a6d8ac1&quot;,&quot;properties&quot;:{&quot;noteIndex&quot;:0},&quot;isEdited&quot;:false,&quot;manualOverride&quot;:{&quot;isManuallyOverridden&quot;:true,&quot;citeprocText&quot;:&quot;(Cameron et al., 2011; Cameron &amp;#38; Miller, 2015)&quot;,&quot;manualOverrideText&quot;:&quot;(Cameron et al., 2011; Cameron &amp; Miller, 2015).&quot;},&quot;citationTag&quot;:&quot;MENDELEY_CITATION_v3_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&quot;,&quot;citationItems&quot;:[{&quot;id&quot;:&quot;ff9eecc7-8a8f-3b88-b8a2-90593549bb6c&quot;,&quot;itemData&quot;:{&quot;type&quot;:&quot;article-journal&quot;,&quot;id&quot;:&quot;ff9eecc7-8a8f-3b88-b8a2-90593549bb6c&quot;,&quot;title&quot;:&quot;A practitioner's guide to cluster- robust inference&quot;,&quot;author&quot;:[{&quot;family&quot;:&quot;Cameron&quot;,&quot;given&quot;:&quot;Colin A.&quot;,&quot;parse-names&quot;:false,&quot;dropping-particle&quot;:&quot;&quot;,&quot;non-dropping-particle&quot;:&quot;&quot;},{&quot;family&quot;:&quot;Miller&quot;,&quot;given&quot;:&quot;Douglas L.&quot;,&quot;parse-names&quot;:false,&quot;dropping-particle&quot;:&quot;&quot;,&quot;non-dropping-particle&quot;:&quot;&quot;}],&quot;container-title&quot;:&quot;Journal of Human Resources&quot;,&quot;DOI&quot;:&quot;10.3368/jhr.50.2.317&quot;,&quot;ISSN&quot;:&quot;15488004&quot;,&quot;issued&quot;:{&quot;date-parts&quot;:[[2015]]},&quot;abstract&quot;:&quot;We consider statistical inference for regression when data are grouped into clusters, with regression model errors independent across clusters but correlated within clusters. Examples include data on individuals with clustering on village or region or other category such as industry, and state- year differences- in- differences studies with clustering on state. In such settings, default standard errors can greatly overstate estimator precision. Instead, if the number of clusters is large, statistical inference after OLS should be based on cluster- robust standard errors. We outline the basic method as well as many complications that can arise in practice. These include cluster- specifi c fi xed effects, few clusters, multiway clustering, and estimators other than OLS.&quot;,&quot;issue&quot;:&quot;2&quot;,&quot;volume&quot;:&quot;50&quot;,&quot;container-title-short&quot;:&quot;&quot;},&quot;isTemporary&quot;:false},{&quot;id&quot;:&quot;fd3012d1-9172-3313-a4e6-2c564c43cafb&quot;,&quot;itemData&quot;:{&quot;type&quot;:&quot;article-journal&quot;,&quot;id&quot;:&quot;fd3012d1-9172-3313-a4e6-2c564c43cafb&quot;,&quot;title&quot;:&quot;Robust inference with multiway clustering&quot;,&quot;author&quot;:[{&quot;family&quot;:&quot;Cameron&quot;,&quot;given&quot;:&quot;Colin A.&quot;,&quot;parse-names&quot;:false,&quot;dropping-particle&quot;:&quot;&quot;,&quot;non-dropping-particle&quot;:&quot;&quot;},{&quot;family&quot;:&quot;Gelbach&quot;,&quot;given&quot;:&quot;Jonah B.&quot;,&quot;parse-names&quot;:false,&quot;dropping-particle&quot;:&quot;&quot;,&quot;non-dropping-particle&quot;:&quot;&quot;},{&quot;family&quot;:&quot;Miller&quot;,&quot;given&quot;:&quot;Douglas L.&quot;,&quot;parse-names&quot;:false,&quot;dropping-particle&quot;:&quot;&quot;,&quot;non-dropping-particle&quot;:&quot;&quot;}],&quot;container-title&quot;:&quot;Journal of Business and Economic Statistics&quot;,&quot;DOI&quot;:&quot;10.1198/jbes.2010.07136&quot;,&quot;ISSN&quot;:&quot;07350015&quot;,&quot;issued&quot;:{&quot;date-parts&quot;:[[2011]]},&quot;abstract&quot;:&quot;In this article we propose a variance estimator for the OLS estimator as well as for nonlinear estimators such as logit, probit, and GMM. This variance estimator enables cluster-robust inference when there is two-way or multiway clustering that is nonnested. The variance estimator extends the standard clusterrobust variance estimator or sandwich estimator for one-way clustering (e.g., Liang and Zeger 1986; Arellano 1987) and relies on similar relatively weak distributional assumptions. Our method is easily implemented in statistical packages, such as Stata and SAS, that already offer cluster-robust standard errors when there is one-way clustering. The method is demonstrated by a Monte Carlo analysis for a two-way random effects model; a Monte Carlo analysis of a placebo law that extends the state-year effects example of Bertrand, Duflo, and Mullainathan (2004) to two dimensions; and by application to studies in the empirical literature where two-way clustering is present. © 2011 American Statistical Association.&quot;,&quot;issue&quot;:&quot;2&quot;,&quot;volume&quot;:&quot;29&quot;,&quot;container-title-short&quot;:&quot;&quot;},&quot;isTemporary&quot;:false}]},{&quot;properties&quot;:{&quot;noteIndex&quot;:0},&quot;citationID&quot;:&quot;MENDELEY_CITATION_44d377b4-4681-4cc7-80b0-f4bc1765c0d0&quot;,&quot;isEdited&quot;:false,&quot;manualOverride&quot;:{&quot;isManuallyOverridden&quot;:false,&quot;manualOverrideText&quot;:&quot;&quot;,&quot;citeprocText&quot;:&quot;(Lee &amp;#38; Chen, 2022; Schein, 1993)&quot;},&quot;citationTag&quot;:&quot;MENDELEY_CITATION_v3_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&quot;,&quot;citationItems&quot;:[{&quot;id&quot;:&quot;74421ddf-03e4-3e97-a132-3e261642989c&quot;,&quot;isTemporary&quot;:false,&quot;itemData&quot;:{&quot;type&quot;:&quot;article-journal&quot;,&quot;id&quot;:&quot;74421ddf-03e4-3e97-a132-3e261642989c&quot;,&quot;title&quot;:&quot;On dialogue, culture, and organizational learning&quot;,&quot;author&quot;:[{&quot;family&quot;:&quot;Schein&quot;,&quot;given&quot;:&quot;Edgar H.&quot;,&quot;parse-names&quot;:false,&quot;dropping-particle&quot;:&quot;&quot;,&quot;non-dropping-particle&quot;:&quot;&quot;}],&quot;container-title&quot;:&quot;Organizational Dynamics&quot;,&quot;container-title-short&quot;:&quot;Organ Dyn&quot;,&quot;DOI&quot;:&quot;10.1016/0090-2616(93)90052-3&quot;,&quot;ISSN&quot;:&quot;00902616&quot;,&quot;issued&quot;:{&quot;date-parts&quot;:[[1993]]},&quot;issue&quot;:&quot;2&quot;,&quot;volume&quot;:&quot;22&quot;}},{&quot;id&quot;:&quot;cbd1839c-b8c0-3576-b1b1-d01a46964bd1&quot;,&quot;isTemporary&quot;:false,&quot;itemData&quot;:{&quot;type&quot;:&quot;article-journal&quot;,&quot;id&quot;:&quot;cbd1839c-b8c0-3576-b1b1-d01a46964bd1&quot;,&quot;title&quot;:&quot;Disaster Experience and Governments' Savings: The Moderating Role of Organizational Capacity&quot;,&quot;author&quot;:[{&quot;family&quot;:&quot;Lee&quot;,&quot;given&quot;:&quot;Sungyoon&quot;,&quot;parse-names&quot;:false,&quot;dropping-particle&quot;:&quot;&quot;,&quot;non-dropping-particle&quot;:&quot;&quot;},{&quot;family&quot;:&quot;Chen&quot;,&quot;given&quot;:&quot;Gang&quot;,&quot;parse-names&quot;:false,&quot;dropping-particle&quot;:&quot;&quot;,&quot;non-dropping-particle&quot;:&quot;&quot;}],&quot;container-title&quot;:&quot;Journal of Public Administration Research and Theory&quot;,&quot;DOI&quot;:&quot;10.1093/jopart/muab043&quot;,&quot;ISSN&quot;:&quot;14779803&quot;,&quot;issued&quot;:{&quot;date-parts&quot;:[[2022]]},&quot;abstract&quot;:&quot;The increasing risk of natural and human-induced disasters has caused considerable costs to governments. Governments' savings can function as a mechanism to mitigate such revenue or expenditure shocks due to disasters. While past studies have examined how recessions affect government reserves, to date, few studies have tested how a government's past experiences of natural disasters affect the level of its savings. In this study, we use organizational learning theory as a framework to explain this relationship. We empirically parse out the effect of previous disaster experience on reserve funds (i.e., rainy-day funds) and general savings (i.e., unassigned general fund balance). We further test whether organizational capacity serves as a moderator of the relationship between past disaster experience and savings. For the analysis, this study employs a Generalized Method of Moments (GMM) to examine a sample of US states for the years from 2002 to 2017. We find that an increase in cumulative damage from prior disasters is associated with an increase in rainy-day funds and this relationship is stronger in governments with a high organizational capacity. The results remain robust to estimations with alternative measures. These findings support the organizational learning theory, which suggests that governments learn from their past experiences to increase preparedness for future disasters. We also point out the importance of financial capacity in the process of organizational learning.&quot;,&quot;issue&quot;:&quot;3&quot;,&quot;volume&quot;:&quot;32&quot;,&quot;container-title-short&quot;:&quot;&quot;}}]},{&quot;properties&quot;:{&quot;noteIndex&quot;:0},&quot;citationID&quot;:&quot;MENDELEY_CITATION_eac64e9d-5169-486f-8ab8-ce61ddff55b3&quot;,&quot;isEdited&quot;:false,&quot;manualOverride&quot;:{&quot;isManuallyOverridden&quot;:false,&quot;manualOverrideText&quot;:&quot;&quot;,&quot;citeprocText&quot;:&quot;(Xu, 2017a)&quot;},&quot;citationTag&quot;:&quot;MENDELEY_CITATION_v3_eyJwcm9wZXJ0aWVzIjp7Im5vdGVJbmRleCI6MH0sImNpdGF0aW9uSUQiOiJNRU5ERUxFWV9DSVRBVElPTl9lYWM2NGU5ZC01MTY5LTQ4NmYtOGFiOC1jZTYxZGRmZjU1YjM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4aa18986-d4cc-4916-add9-979358cfbeb9&quot;,&quot;isEdited&quot;:false,&quot;manualOverride&quot;:{&quot;isManuallyOverriden&quot;:false,&quot;manualOverrideText&quot;:&quot;&quot;,&quot;citeprocText&quot;:&quot;(Angrist &amp;#38; Pischke, 2009)&quot;,&quot;isManuallyOverridden&quot;:false},&quot;citationTag&quot;:&quot;MENDELEY_CITATION_v3_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&quot;,&quot;citationItems&quot;:[{&quot;id&quot;:&quot;1da7729d-1b1d-3580-b981-41d76bb1700c&quot;,&quot;isTemporary&quot;:false,&quot;itemData&quot;:{&quot;type&quot;:&quot;book&quot;,&quot;id&quot;:&quot;1da7729d-1b1d-3580-b981-41d76bb1700c&quot;,&quot;title&quot;:&quot;Mostly Harmless Econometrics&quot;,&quot;author&quot;:[{&quot;family&quot;:&quot;Angrist&quot;,&quot;given&quot;:&quot;Joshua D.&quot;,&quot;parse-names&quot;:false,&quot;dropping-particle&quot;:&quot;&quot;,&quot;non-dropping-particle&quot;:&quot;&quot;},{&quot;family&quot;:&quot;Pischke&quot;,&quot;given&quot;:&quot;Jörn-Steffen&quot;,&quot;parse-names&quot;:false,&quot;dropping-particle&quot;:&quot;&quot;,&quot;non-dropping-particle&quot;:&quot;&quot;}],&quot;container-title&quot;:&quot;Mostly Harmless Econometrics&quot;,&quot;DOI&quot;:&quot;10.2307/j.ctvcm4j72&quot;,&quot;issued&quot;:{&quot;date-parts&quot;:[[2009]]},&quot;abstract&quot;:&quo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quot;,&quot;container-title-short&quot;:&quot;&quot;}}]},{&quot;properties&quot;:{&quot;noteIndex&quot;:0},&quot;citationID&quot;:&quot;MENDELEY_CITATION_9f37e1e7-d73f-42f7-af86-2b02d154c718&quot;,&quot;isEdited&quot;:false,&quot;manualOverride&quot;:{&quot;isManuallyOverridden&quot;:false,&quot;manualOverrideText&quot;:&quot;&quot;,&quot;citeprocText&quot;:&quot;(Kratochwill et al., 2010)&quot;},&quot;citationTag&quot;:&quot;MENDELEY_CITATION_v3_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&quot;,&quot;citationItems&quot;:[{&quot;id&quot;:&quot;48adb3d3-0831-3d09-b7de-4ab49180c2fa&quot;,&quot;isTemporary&quot;:false,&quot;itemData&quot;:{&quot;type&quot;:&quot;article-journal&quot;,&quot;id&quot;:&quot;48adb3d3-0831-3d09-b7de-4ab49180c2fa&quot;,&quot;title&quot;:&quot;What Works Clearinghouse SINGLE-CASE DESIGN TECHNICAL DOCUMENTATION&quot;,&quot;author&quot;:[{&quot;family&quot;:&quot;Kratochwill&quot;,&quot;given&quot;:&quot;T R&quot;,&quot;parse-names&quot;:false,&quot;dropping-particle&quot;:&quot;&quot;,&quot;non-dropping-particle&quot;:&quot;&quot;},{&quot;family&quot;:&quot;Hitchcock&quot;,&quot;given&quot;:&quot;J&quot;,&quot;parse-names&quot;:false,&quot;dropping-particle&quot;:&quot;&quot;,&quot;non-dropping-particle&quot;:&quot;&quot;},{&quot;family&quot;:&quot;Horner&quot;,&quot;given&quot;:&quot;R H&quot;,&quot;parse-names&quot;:false,&quot;dropping-particle&quot;:&quot;&quot;,&quot;non-dropping-particle&quot;:&quot;&quot;},{&quot;family&quot;:&quot;Levin&quot;,&quot;given&quot;:&quot;J R&quot;,&quot;parse-names&quot;:false,&quot;dropping-particle&quot;:&quot;&quot;,&quot;non-dropping-particle&quot;:&quot;&quot;},{&quot;family&quot;:&quot;Odom&quot;,&quot;given&quot;:&quot;S L&quot;,&quot;parse-names&quot;:false,&quot;dropping-particle&quot;:&quot;&quot;,&quot;non-dropping-particle&quot;:&quot;&quot;},{&quot;family&quot;:&quot;Rindskopf&quot;,&quot;given&quot;:&quot;D M&quot;,&quot;parse-names&quot;:false,&quot;dropping-particle&quot;:&quot;&quot;,&quot;non-dropping-particle&quot;:&quot;&quot;},{&quot;family&quot;:&quot;Shadish&quot;,&quot;given&quot;:&quot;W R&quot;,&quot;parse-names&quot;:false,&quot;dropping-particle&quot;:&quot;&quot;,&quot;non-dropping-particle&quot;:&quot;&quot;}],&quot;accessed&quot;:{&quot;date-parts&quot;:[[2021,10,16]]},&quot;URL&quot;:&quot;http://ies.ed.gov/ncee/wwc/pdf/wwc_scd.pdf.&quot;,&quot;issued&quot;:{&quot;date-parts&quot;:[[2010]]},&quot;container-title-short&quot;:&quot;&quot;}}]},{&quot;properties&quot;:{&quot;noteIndex&quot;:0},&quot;citationID&quot;:&quot;MENDELEY_CITATION_82519626-9d12-4e89-8680-bf273515c557&quot;,&quot;isEdited&quot;:false,&quot;manualOverride&quot;:{&quot;isManuallyOverriden&quot;:false,&quot;manualOverrideText&quot;:&quot;&quot;,&quot;citeprocText&quot;:&quot;(Angrist &amp;#38; Pischke, 2009)&quot;,&quot;isManuallyOverridden&quot;:false},&quot;citationTag&quot;:&quot;MENDELEY_CITATION_v3_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&quot;,&quot;citationItems&quot;:[{&quot;id&quot;:&quot;1da7729d-1b1d-3580-b981-41d76bb1700c&quot;,&quot;isTemporary&quot;:false,&quot;itemData&quot;:{&quot;type&quot;:&quot;book&quot;,&quot;id&quot;:&quot;1da7729d-1b1d-3580-b981-41d76bb1700c&quot;,&quot;title&quot;:&quot;Mostly Harmless Econometrics&quot;,&quot;author&quot;:[{&quot;family&quot;:&quot;Angrist&quot;,&quot;given&quot;:&quot;Joshua D.&quot;,&quot;parse-names&quot;:false,&quot;dropping-particle&quot;:&quot;&quot;,&quot;non-dropping-particle&quot;:&quot;&quot;},{&quot;family&quot;:&quot;Pischke&quot;,&quot;given&quot;:&quot;Jörn-Steffen&quot;,&quot;parse-names&quot;:false,&quot;dropping-particle&quot;:&quot;&quot;,&quot;non-dropping-particle&quot;:&quot;&quot;}],&quot;container-title&quot;:&quot;Mostly Harmless Econometrics&quot;,&quot;DOI&quot;:&quot;10.2307/j.ctvcm4j72&quot;,&quot;issued&quot;:{&quot;date-parts&quot;:[[2009]]},&quot;abstract&quot;:&quo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quot;,&quot;container-title-short&quot;:&quot;&quot;}}]},{&quot;properties&quot;:{&quot;noteIndex&quot;:0},&quot;citationID&quot;:&quot;MENDELEY_CITATION_1671e2ec-7e18-4cd3-9f0d-f533febdbcd8&quot;,&quot;isEdited&quot;:false,&quot;manualOverride&quot;:{&quot;isManuallyOverriden&quot;:false,&quot;manualOverrideText&quot;:&quot;&quot;,&quot;citeprocText&quot;:&quot;(Angrist &amp;#38; Pischke, 2009)&quot;,&quot;isManuallyOverridden&quot;:false},&quot;citationTag&quot;:&quot;MENDELEY_CITATION_v3_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&quot;,&quot;citationItems&quot;:[{&quot;id&quot;:&quot;1da7729d-1b1d-3580-b981-41d76bb1700c&quot;,&quot;isTemporary&quot;:false,&quot;itemData&quot;:{&quot;type&quot;:&quot;book&quot;,&quot;id&quot;:&quot;1da7729d-1b1d-3580-b981-41d76bb1700c&quot;,&quot;title&quot;:&quot;Mostly Harmless Econometrics&quot;,&quot;author&quot;:[{&quot;family&quot;:&quot;Angrist&quot;,&quot;given&quot;:&quot;Joshua D.&quot;,&quot;parse-names&quot;:false,&quot;dropping-particle&quot;:&quot;&quot;,&quot;non-dropping-particle&quot;:&quot;&quot;},{&quot;family&quot;:&quot;Pischke&quot;,&quot;given&quot;:&quot;Jörn-Steffen&quot;,&quot;parse-names&quot;:false,&quot;dropping-particle&quot;:&quot;&quot;,&quot;non-dropping-particle&quot;:&quot;&quot;}],&quot;container-title&quot;:&quot;Mostly Harmless Econometrics&quot;,&quot;DOI&quot;:&quot;10.2307/j.ctvcm4j72&quot;,&quot;issued&quot;:{&quot;date-parts&quot;:[[2009]]},&quot;abstract&quot;:&quo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quot;,&quot;container-title-short&quot;:&quot;&quot;}}]},{&quot;properties&quot;:{&quot;noteIndex&quot;:0},&quot;citationID&quot;:&quot;MENDELEY_CITATION_f97a73cb-4bac-4838-8278-3a2f1c582c7d&quot;,&quot;isEdited&quot;:false,&quot;manualOverride&quot;:{&quot;isManuallyOverriden&quot;:false,&quot;manualOverrideText&quot;:&quot;&quot;,&quot;citeprocText&quot;:&quot;(Abadie et al., 2010, 2015)&quot;,&quot;isManuallyOverridden&quot;:false},&quot;citationTag&quot;:&quot;MENDELEY_CITATION_v3_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&quot;,&quot;citationItems&quot;:[{&quot;id&quot;:&quot;a00e4302-203f-385b-8cc3-2c5c4b1f6206&quot;,&quot;isTemporary&quot;:false,&quot;itemData&quot;:{&quot;type&quot;:&quot;article-journal&quot;,&quot;id&quot;:&quot;a00e4302-203f-385b-8cc3-2c5c4b1f6206&quot;,&quot;title&quot;:&quot;Synthetic control methods for comparative case studies: Estimating the effect of California's Tobacco control program&quot;,&quot;author&quot;:[{&quot;family&quot;:&quot;Abadie&quot;,&quot;given&quot;:&quot;Alberto&quot;,&quot;parse-names&quot;:false,&quot;dropping-particle&quot;:&quot;&quot;,&quot;non-dropping-particle&quot;:&quot;&quot;},{&quot;family&quot;:&quot;Diamond&quot;,&quot;given&quot;:&quot;Alexis&quot;,&quot;parse-names&quot;:false,&quot;dropping-particle&quot;:&quot;&quot;,&quot;non-dropping-particle&quot;:&quot;&quot;},{&quot;family&quot;:&quot;Hainmueller&quot;,&quot;given&quot;:&quot;And Jens&quot;,&quot;parse-names&quot;:false,&quot;dropping-particle&quot;:&quot;&quot;,&quot;non-dropping-particle&quot;:&quot;&quot;}],&quot;container-title&quot;:&quot;Journal of the American Statistical Association&quot;,&quot;DOI&quot;:&quot;10.1198/jasa.2009.ap08746&quot;,&quot;ISSN&quot;:&quot;01621459&quot;,&quot;issued&quot;:{&quot;date-parts&quot;:[[2010]]},&quot;abstract&quot;:&quot;Building on an idea in Abadie and Gardeazabal (2003), this article investigates the application of synthetic control methods to comparative case studies. We discuss the advantages of these methods and apply them to study the effects of Proposition 99, a large-scale tobacco control program that California implemented in 1988. We demonstrate that, following Proposition 99, tobacco consumption fell markedly in California relative to a comparable synthetic control region. We estimate that by the year 2000 annual per-capita cigarette sales in California were about 26 packs lower than what they would have been in the absence of Proposition 99. Using new inferential methods proposed in this article, we demonstrate the significance of our estimates. Given that many policy interventions and events of interest in social sciences take place at an aggregate level (countries, regions, cities, etc.) and affect a small number of aggregate units, the potential applicability of synthetic control methods to comparative case studies is very large, especially in situations where traditional regression methods are not appropriate. © 2010 American Statistical Association.&quot;,&quot;issue&quot;:&quot;490&quot;,&quot;volume&quot;:&quot;105&quot;,&quot;container-title-short&quot;:&quot;J Am Stat Assoc&quot;}},{&quot;id&quot;:&quot;65edaf63-aa6b-3e35-9908-575f871bf53f&quot;,&quot;isTemporary&quot;:false,&quot;itemData&quot;:{&quot;type&quot;:&quot;article-journal&quot;,&quot;id&quot;:&quot;65edaf63-aa6b-3e35-9908-575f871bf53f&quot;,&quot;title&quot;:&quot;Comparative Politics and the Synthetic Control Method&quot;,&quot;author&quot;:[{&quot;family&quot;:&quot;Abadie&quot;,&quot;given&quot;:&quot;Alberto&quot;,&quot;parse-names&quot;:false,&quot;dropping-particle&quot;:&quot;&quot;,&quot;non-dropping-particle&quot;:&quot;&quot;},{&quot;family&quot;:&quot;Diamond&quot;,&quot;given&quot;:&quot;Alexis&quot;,&quot;parse-names&quot;:false,&quot;dropping-particle&quot;:&quot;&quot;,&quot;non-dropping-particle&quot;:&quot;&quot;},{&quot;family&quot;:&quot;Hainmueller&quot;,&quot;given&quot;:&quot;Jens&quot;,&quot;parse-names&quot;:false,&quot;dropping-particle&quot;:&quot;&quot;,&quot;non-dropping-particle&quot;:&quot;&quot;}],&quot;container-title&quot;:&quot;American Journal of Political Science&quot;,&quot;DOI&quot;:&quot;10.1111/ajps.12116&quot;,&quot;ISSN&quot;:&quot;15405907&quot;,&quot;issued&quot;:{&quot;date-parts&quot;:[[2015]]},&quot;abstract&quot;:&quot;In recent years, a widespread consensus has emerged about the necessity of establishing bridges between quantitative and qualitative approaches to empirical research in political science. In this article, we discuss the use of the synthetic control method as a way to bridge the quantitative/qualitative divide in comparative politics. The synthetic control method provides a systematic way to choose comparison units in comparative case studies. This systematization opens the door to precise quantitative inference in small-sample comparative studies, without precluding the application of qualitative approaches. Borrowing the expression from Sidney Tarrow, the synthetic control method allows researchers to put \&quot;qualitative flesh on quantitative bones.\&quot; We illustrate the main ideas behind the synthetic control method by estimating the economic impact of the 1990 German reunification on West Germany.&quot;,&quot;issue&quot;:&quot;2&quot;,&quot;volume&quot;:&quot;59&quot;,&quot;container-title-short&quot;:&quot;Am J Pol Sci&quot;}}]},{&quot;properties&quot;:{&quot;noteIndex&quot;:0},&quot;citationID&quot;:&quot;MENDELEY_CITATION_3237a26f-d04e-4981-8af0-b4d051e43e99&quot;,&quot;isEdited&quot;:false,&quot;manualOverride&quot;:{&quot;isManuallyOverridden&quot;:false,&quot;manualOverrideText&quot;:&quot;&quot;,&quot;citeprocText&quot;:&quot;(Xu, 2017a)&quot;},&quot;citationTag&quot;:&quot;MENDELEY_CITATION_v3_eyJwcm9wZXJ0aWVzIjp7Im5vdGVJbmRleCI6MH0sImNpdGF0aW9uSUQiOiJNRU5ERUxFWV9DSVRBVElPTl8zMjM3YTI2Zi1kMDRlLTQ5ODEtOGFmMC1iNGQwNTFlNDNlOTk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49ce1f15-3d4e-4233-8951-803cb43f7c69&quot;,&quot;isEdited&quot;:false,&quot;manualOverride&quot;:{&quot;isManuallyOverridden&quot;:false,&quot;manualOverrideText&quot;:&quot;&quot;,&quot;citeprocText&quot;:&quot;(Xu, 2017a)&quot;},&quot;citationTag&quot;:&quot;MENDELEY_CITATION_v3_eyJwcm9wZXJ0aWVzIjp7Im5vdGVJbmRleCI6MH0sImNpdGF0aW9uSUQiOiJNRU5ERUxFWV9DSVRBVElPTl80OWNlMWYxNS0zZDRlLTQyMzMtODk1MS04MDNjYjQzZjdjNjk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64116053-b5c8-48f8-8840-3aee7453231e&quot;,&quot;isEdited&quot;:false,&quot;manualOverride&quot;:{&quot;isManuallyOverridden&quot;:false,&quot;manualOverrideText&quot;:&quot;&quot;,&quot;citeprocText&quot;:&quot;(Xu, 2017a)&quot;},&quot;citationTag&quot;:&quot;MENDELEY_CITATION_v3_eyJwcm9wZXJ0aWVzIjp7Im5vdGVJbmRleCI6MH0sImNpdGF0aW9uSUQiOiJNRU5ERUxFWV9DSVRBVElPTl82NDExNjA1My1iNWM4LTQ4ZjgtODg0MC0zYWVlNzQ1MzIzMWU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480498a8-66ca-4fd8-9999-e74a96db219b&quot;,&quot;isEdited&quot;:false,&quot;manualOverride&quot;:{&quot;isManuallyOverridden&quot;:false,&quot;manualOverrideText&quot;:&quot;&quot;,&quot;citeprocText&quot;:&quot;(Abadie et al., 2010, 2015)&quot;},&quot;citationTag&quot;:&quot;MENDELEY_CITATION_v3_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&quot;,&quot;citationItems&quot;:[{&quot;id&quot;:&quot;a00e4302-203f-385b-8cc3-2c5c4b1f6206&quot;,&quot;isTemporary&quot;:false,&quot;itemData&quot;:{&quot;type&quot;:&quot;article-journal&quot;,&quot;id&quot;:&quot;a00e4302-203f-385b-8cc3-2c5c4b1f6206&quot;,&quot;title&quot;:&quot;Synthetic control methods for comparative case studies: Estimating the effect of California's Tobacco control program&quot;,&quot;author&quot;:[{&quot;family&quot;:&quot;Abadie&quot;,&quot;given&quot;:&quot;Alberto&quot;,&quot;parse-names&quot;:false,&quot;dropping-particle&quot;:&quot;&quot;,&quot;non-dropping-particle&quot;:&quot;&quot;},{&quot;family&quot;:&quot;Diamond&quot;,&quot;given&quot;:&quot;Alexis&quot;,&quot;parse-names&quot;:false,&quot;dropping-particle&quot;:&quot;&quot;,&quot;non-dropping-particle&quot;:&quot;&quot;},{&quot;family&quot;:&quot;Hainmueller&quot;,&quot;given&quot;:&quot;And Jens&quot;,&quot;parse-names&quot;:false,&quot;dropping-particle&quot;:&quot;&quot;,&quot;non-dropping-particle&quot;:&quot;&quot;}],&quot;container-title&quot;:&quot;Journal of the American Statistical Association&quot;,&quot;DOI&quot;:&quot;10.1198/jasa.2009.ap08746&quot;,&quot;ISSN&quot;:&quot;01621459&quot;,&quot;issued&quot;:{&quot;date-parts&quot;:[[2010]]},&quot;abstract&quot;:&quot;Building on an idea in Abadie and Gardeazabal (2003), this article investigates the application of synthetic control methods to comparative case studies. We discuss the advantages of these methods and apply them to study the effects of Proposition 99, a large-scale tobacco control program that California implemented in 1988. We demonstrate that, following Proposition 99, tobacco consumption fell markedly in California relative to a comparable synthetic control region. We estimate that by the year 2000 annual per-capita cigarette sales in California were about 26 packs lower than what they would have been in the absence of Proposition 99. Using new inferential methods proposed in this article, we demonstrate the significance of our estimates. Given that many policy interventions and events of interest in social sciences take place at an aggregate level (countries, regions, cities, etc.) and affect a small number of aggregate units, the potential applicability of synthetic control methods to comparative case studies is very large, especially in situations where traditional regression methods are not appropriate. © 2010 American Statistical Association.&quot;,&quot;issue&quot;:&quot;490&quot;,&quot;volume&quot;:&quot;105&quot;,&quot;container-title-short&quot;:&quot;J Am Stat Assoc&quot;}},{&quot;id&quot;:&quot;65edaf63-aa6b-3e35-9908-575f871bf53f&quot;,&quot;isTemporary&quot;:false,&quot;itemData&quot;:{&quot;type&quot;:&quot;article-journal&quot;,&quot;id&quot;:&quot;65edaf63-aa6b-3e35-9908-575f871bf53f&quot;,&quot;title&quot;:&quot;Comparative Politics and the Synthetic Control Method&quot;,&quot;author&quot;:[{&quot;family&quot;:&quot;Abadie&quot;,&quot;given&quot;:&quot;Alberto&quot;,&quot;parse-names&quot;:false,&quot;dropping-particle&quot;:&quot;&quot;,&quot;non-dropping-particle&quot;:&quot;&quot;},{&quot;family&quot;:&quot;Diamond&quot;,&quot;given&quot;:&quot;Alexis&quot;,&quot;parse-names&quot;:false,&quot;dropping-particle&quot;:&quot;&quot;,&quot;non-dropping-particle&quot;:&quot;&quot;},{&quot;family&quot;:&quot;Hainmueller&quot;,&quot;given&quot;:&quot;Jens&quot;,&quot;parse-names&quot;:false,&quot;dropping-particle&quot;:&quot;&quot;,&quot;non-dropping-particle&quot;:&quot;&quot;}],&quot;container-title&quot;:&quot;American Journal of Political Science&quot;,&quot;DOI&quot;:&quot;10.1111/ajps.12116&quot;,&quot;ISSN&quot;:&quot;15405907&quot;,&quot;issued&quot;:{&quot;date-parts&quot;:[[2015]]},&quot;abstract&quot;:&quot;In recent years, a widespread consensus has emerged about the necessity of establishing bridges between quantitative and qualitative approaches to empirical research in political science. In this article, we discuss the use of the synthetic control method as a way to bridge the quantitative/qualitative divide in comparative politics. The synthetic control method provides a systematic way to choose comparison units in comparative case studies. This systematization opens the door to precise quantitative inference in small-sample comparative studies, without precluding the application of qualitative approaches. Borrowing the expression from Sidney Tarrow, the synthetic control method allows researchers to put \&quot;qualitative flesh on quantitative bones.\&quot; We illustrate the main ideas behind the synthetic control method by estimating the economic impact of the 1990 German reunification on West Germany.&quot;,&quot;issue&quot;:&quot;2&quot;,&quot;volume&quot;:&quot;59&quot;,&quot;container-title-short&quot;:&quot;Am J Pol Sci&quot;}}]},{&quot;properties&quot;:{&quot;noteIndex&quot;:0},&quot;citationID&quot;:&quot;MENDELEY_CITATION_c9e0d106-d697-4e4c-8e7f-0d47eb1452e7&quot;,&quot;isEdited&quot;:false,&quot;manualOverride&quot;:{&quot;isManuallyOverridden&quot;:false,&quot;manualOverrideText&quot;:&quot;&quot;,&quot;citeprocText&quot;:&quot;(Bai, 2009)&quot;},&quot;citationTag&quot;:&quot;MENDELEY_CITATION_v3_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&quot;,&quot;citationItems&quot;:[{&quot;id&quot;:&quot;3eb1b39b-e082-3722-9295-385adca6dd9f&quot;,&quot;isTemporary&quot;:false,&quot;itemData&quot;:{&quot;type&quot;:&quot;article-journal&quot;,&quot;id&quot;:&quot;3eb1b39b-e082-3722-9295-385adca6dd9f&quot;,&quot;title&quot;:&quot;Panel Data Models With Interactive Fixed Effects&quot;,&quot;author&quot;:[{&quot;family&quot;:&quot;Bai&quot;,&quot;given&quot;:&quot;Jushan&quot;,&quot;parse-names&quot;:false,&quot;dropping-particle&quot;:&quot;&quot;,&quot;non-dropping-particle&quot;:&quot;&quot;}],&quot;container-title&quot;:&quot;Econometrica&quot;,&quot;accessed&quot;:{&quot;date-parts&quot;:[[2021,10,4]]},&quot;DOI&quot;:&quot;10.3982/ECTA6135&quot;,&quot;ISSN&quot;:&quot;1468-0262&quot;,&quot;URL&quot;:&quot;https://onlinelibrary.wiley.com/doi/full/10.3982/ECTA6135&quot;,&quot;issued&quot;:{&quot;date-parts&quot;:[[2009,7,1]]},&quot;page&quot;:&quot;1229-1279&quot;,&quot;abstract&quot;:&quot;This paper considers large N and large T panel data models with unobservable mul-tiple interactive effects, which are correlated with the regressors. In earnings studies, for example, workers' motivation, persistence, and diligence combined to influence the earnings in addition to the usual argument of innate ability. In macroeconomics, inter-active effects represent unobservable common shocks and their heterogeneous impacts on cross sections. We consider identification, consistency, and the limiting distribution of the interactive-effects estimator. Under both large N and large T , the estimator is shown to be √ NT consistent, which is valid in the presence of correlations and het-eroskedasticities of unknown form in both dimensions. We also derive the constrained estimator and its limiting distribution, imposing additivity coupled with interactive ef-fects. The problem of testing additive versus interactive effects is also studied. In ad-dition, we consider identification and estimation of models in the presence of a grand mean, time-invariant regressors, and common regressors. Given identification, the rate of convergence and limiting results continue to hold.&quot;,&quot;publisher&quot;:&quot;John Wiley &amp; Sons, Ltd&quot;,&quot;issue&quot;:&quot;4&quot;,&quot;volume&quot;:&quot;77&quot;,&quot;container-title-short&quot;:&quot;&quot;}}]},{&quot;properties&quot;:{&quot;noteIndex&quot;:0},&quot;citationID&quot;:&quot;MENDELEY_CITATION_f0849996-5bc2-47bf-8029-09c9fa717650&quot;,&quot;isEdited&quot;:false,&quot;manualOverride&quot;:{&quot;isManuallyOverridden&quot;:false,&quot;manualOverrideText&quot;:&quot;&quot;,&quot;citeprocText&quot;:&quot;(Xu, 2017a)&quot;},&quot;citationTag&quot;:&quot;MENDELEY_CITATION_v3_eyJwcm9wZXJ0aWVzIjp7Im5vdGVJbmRleCI6MH0sImNpdGF0aW9uSUQiOiJNRU5ERUxFWV9DSVRBVElPTl9mMDg0OTk5Ni01YmMyLTQ3YmYtODAyOS0wOWM5ZmE3MTc2NTA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46f818ae-8ee7-4d60-9e08-2e30e8397930&quot;,&quot;isEdited&quot;:false,&quot;manualOverride&quot;:{&quot;isManuallyOverridden&quot;:false,&quot;manualOverrideText&quot;:&quot;&quot;,&quot;citeprocText&quot;:&quot;(Xu, 2017a)&quot;},&quot;citationTag&quot;:&quot;MENDELEY_CITATION_v3_eyJwcm9wZXJ0aWVzIjp7Im5vdGVJbmRleCI6MH0sImNpdGF0aW9uSUQiOiJNRU5ERUxFWV9DSVRBVElPTl80NmY4MThhZS04ZWU3LTRkNjAtOWUwOC0yZTMwZTgzOTc5MzA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1006e210-e255-4dc7-a7ec-48fbf6bb1a12&quot;,&quot;isEdited&quot;:false,&quot;manualOverride&quot;:{&quot;isManuallyOverridden&quot;:false,&quot;manualOverrideText&quot;:&quot;&quot;,&quot;citeprocText&quot;:&quot;(Xu, 2017a)&quot;},&quot;citationTag&quot;:&quot;MENDELEY_CITATION_v3_eyJwcm9wZXJ0aWVzIjp7Im5vdGVJbmRleCI6MH0sImNpdGF0aW9uSUQiOiJNRU5ERUxFWV9DSVRBVElPTl8xMDA2ZTIxMC1lMjU1LTRkYzctYTdlYy00OGZiZjZiYjFhMTI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327ff2e5-0e09-4b48-b624-b6d05f5b4cc6&quot;,&quot;isEdited&quot;:false,&quot;manualOverride&quot;:{&quot;isManuallyOverridden&quot;:false,&quot;manualOverrideText&quot;:&quot;&quot;,&quot;citeprocText&quot;:&quot;(Xu, 2017a)&quot;},&quot;citationTag&quot;:&quot;MENDELEY_CITATION_v3_eyJwcm9wZXJ0aWVzIjp7Im5vdGVJbmRleCI6MH0sImNpdGF0aW9uSUQiOiJNRU5ERUxFWV9DSVRBVElPTl8zMjdmZjJlNS0wZTA5LTRiNDgtYjYyNC1iNmQwNWY1YjRjYzY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fc3476f2-93f0-4a4b-9e8b-e54f2cf17e8a&quot;,&quot;isEdited&quot;:false,&quot;manualOverride&quot;:{&quot;isManuallyOverridden&quot;:false,&quot;manualOverrideText&quot;:&quot;&quot;,&quot;citeprocText&quot;:&quot;(Xu, 2017a)&quot;},&quot;citationTag&quot;:&quot;MENDELEY_CITATION_v3_eyJwcm9wZXJ0aWVzIjp7Im5vdGVJbmRleCI6MH0sImNpdGF0aW9uSUQiOiJNRU5ERUxFWV9DSVRBVElPTl9mYzM0NzZmMi05M2YwLTRhNGItOWU4Yi1lNTRmMmNmMTdlOGE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2bd8c5f7-6304-4846-9643-1cfc12e274c5&quot;,&quot;isEdited&quot;:false,&quot;manualOverride&quot;:{&quot;isManuallyOverridden&quot;:false,&quot;manualOverrideText&quot;:&quot;&quot;,&quot;citeprocText&quot;:&quot;(Xu, 2017a)&quot;},&quot;citationTag&quot;:&quot;MENDELEY_CITATION_v3_eyJwcm9wZXJ0aWVzIjp7Im5vdGVJbmRleCI6MH0sImNpdGF0aW9uSUQiOiJNRU5ERUxFWV9DSVRBVElPTl8yYmQ4YzVmNy02MzA0LTQ4NDYtOTY0My0xY2ZjMTJlMjc0YzU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b86f12d8-4d9e-4009-952c-a542056cb974&quot;,&quot;isEdited&quot;:false,&quot;manualOverride&quot;:{&quot;isManuallyOverridden&quot;:false,&quot;manualOverrideText&quot;:&quot;&quot;,&quot;citeprocText&quot;:&quot;(Xu, 2017a)&quot;},&quot;citationTag&quot;:&quot;MENDELEY_CITATION_v3_eyJwcm9wZXJ0aWVzIjp7Im5vdGVJbmRleCI6MH0sImNpdGF0aW9uSUQiOiJNRU5ERUxFWV9DSVRBVElPTl9iODZmMTJkOC00ZDllLTQwMDktOTUyYy1hNTQyMDU2Y2I5NzQ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4b8d4a0f-9f02-4fd1-bec6-727e8360f5c0&quot;,&quot;isEdited&quot;:false,&quot;manualOverride&quot;:{&quot;isManuallyOverridden&quot;:false,&quot;manualOverrideText&quot;:&quot;&quot;,&quot;citeprocText&quot;:&quot;(Abadie et al., 2010, 2015)&quot;},&quot;citationTag&quot;:&quot;MENDELEY_CITATION_v3_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&quot;,&quot;citationItems&quot;:[{&quot;id&quot;:&quot;a00e4302-203f-385b-8cc3-2c5c4b1f6206&quot;,&quot;isTemporary&quot;:false,&quot;itemData&quot;:{&quot;type&quot;:&quot;article-journal&quot;,&quot;id&quot;:&quot;a00e4302-203f-385b-8cc3-2c5c4b1f6206&quot;,&quot;title&quot;:&quot;Synthetic control methods for comparative case studies: Estimating the effect of California's Tobacco control program&quot;,&quot;author&quot;:[{&quot;family&quot;:&quot;Abadie&quot;,&quot;given&quot;:&quot;Alberto&quot;,&quot;parse-names&quot;:false,&quot;dropping-particle&quot;:&quot;&quot;,&quot;non-dropping-particle&quot;:&quot;&quot;},{&quot;family&quot;:&quot;Diamond&quot;,&quot;given&quot;:&quot;Alexis&quot;,&quot;parse-names&quot;:false,&quot;dropping-particle&quot;:&quot;&quot;,&quot;non-dropping-particle&quot;:&quot;&quot;},{&quot;family&quot;:&quot;Hainmueller&quot;,&quot;given&quot;:&quot;And Jens&quot;,&quot;parse-names&quot;:false,&quot;dropping-particle&quot;:&quot;&quot;,&quot;non-dropping-particle&quot;:&quot;&quot;}],&quot;container-title&quot;:&quot;Journal of the American Statistical Association&quot;,&quot;container-title-short&quot;:&quot;J Am Stat Assoc&quot;,&quot;DOI&quot;:&quot;10.1198/jasa.2009.ap08746&quot;,&quot;ISSN&quot;:&quot;01621459&quot;,&quot;issued&quot;:{&quot;date-parts&quot;:[[2010]]},&quot;abstract&quot;:&quot;Building on an idea in Abadie and Gardeazabal (2003), this article investigates the application of synthetic control methods to comparative case studies. We discuss the advantages of these methods and apply them to study the effects of Proposition 99, a large-scale tobacco control program that California implemented in 1988. We demonstrate that, following Proposition 99, tobacco consumption fell markedly in California relative to a comparable synthetic control region. We estimate that by the year 2000 annual per-capita cigarette sales in California were about 26 packs lower than what they would have been in the absence of Proposition 99. Using new inferential methods proposed in this article, we demonstrate the significance of our estimates. Given that many policy interventions and events of interest in social sciences take place at an aggregate level (countries, regions, cities, etc.) and affect a small number of aggregate units, the potential applicability of synthetic control methods to comparative case studies is very large, especially in situations where traditional regression methods are not appropriate. © 2010 American Statistical Association.&quot;,&quot;issue&quot;:&quot;490&quot;,&quot;volume&quot;:&quot;105&quot;}},{&quot;id&quot;:&quot;65edaf63-aa6b-3e35-9908-575f871bf53f&quot;,&quot;isTemporary&quot;:false,&quot;itemData&quot;:{&quot;type&quot;:&quot;article-journal&quot;,&quot;id&quot;:&quot;65edaf63-aa6b-3e35-9908-575f871bf53f&quot;,&quot;title&quot;:&quot;Comparative Politics and the Synthetic Control Method&quot;,&quot;author&quot;:[{&quot;family&quot;:&quot;Abadie&quot;,&quot;given&quot;:&quot;Alberto&quot;,&quot;parse-names&quot;:false,&quot;dropping-particle&quot;:&quot;&quot;,&quot;non-dropping-particle&quot;:&quot;&quot;},{&quot;family&quot;:&quot;Diamond&quot;,&quot;given&quot;:&quot;Alexis&quot;,&quot;parse-names&quot;:false,&quot;dropping-particle&quot;:&quot;&quot;,&quot;non-dropping-particle&quot;:&quot;&quot;},{&quot;family&quot;:&quot;Hainmueller&quot;,&quot;given&quot;:&quot;Jens&quot;,&quot;parse-names&quot;:false,&quot;dropping-particle&quot;:&quot;&quot;,&quot;non-dropping-particle&quot;:&quot;&quot;}],&quot;container-title&quot;:&quot;American Journal of Political Science&quot;,&quot;container-title-short&quot;:&quot;Am J Pol Sci&quot;,&quot;DOI&quot;:&quot;10.1111/ajps.12116&quot;,&quot;ISSN&quot;:&quot;15405907&quot;,&quot;issued&quot;:{&quot;date-parts&quot;:[[2015]]},&quot;abstract&quot;:&quot;In recent years, a widespread consensus has emerged about the necessity of establishing bridges between quantitative and qualitative approaches to empirical research in political science. In this article, we discuss the use of the synthetic control method as a way to bridge the quantitative/qualitative divide in comparative politics. The synthetic control method provides a systematic way to choose comparison units in comparative case studies. This systematization opens the door to precise quantitative inference in small-sample comparative studies, without precluding the application of qualitative approaches. Borrowing the expression from Sidney Tarrow, the synthetic control method allows researchers to put \&quot;qualitative flesh on quantitative bones.\&quot; We illustrate the main ideas behind the synthetic control method by estimating the economic impact of the 1990 German reunification on West Germany.&quot;,&quot;issue&quot;:&quot;2&quot;,&quot;volume&quot;:&quot;59&quot;}}]},{&quot;properties&quot;:{&quot;noteIndex&quot;:0},&quot;citationID&quot;:&quot;MENDELEY_CITATION_2c3cceb5-4a14-4927-af76-a8b43c93b784&quot;,&quot;isEdited&quot;:false,&quot;manualOverride&quot;:{&quot;isManuallyOverridden&quot;:false,&quot;manualOverrideText&quot;:&quot;&quot;,&quot;citeprocText&quot;:&quot;(Xu, 2017a)&quot;},&quot;citationTag&quot;:&quot;MENDELEY_CITATION_v3_eyJwcm9wZXJ0aWVzIjp7Im5vdGVJbmRleCI6MH0sImNpdGF0aW9uSUQiOiJNRU5ERUxFWV9DSVRBVElPTl8yYzNjY2ViNS00YTE0LTQ5MjctYWY3Ni1hOGI0M2M5M2I3ODQ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a9b9bc97-071f-4402-9684-b0f424ce1cca&quot;,&quot;isEdited&quot;:false,&quot;manualOverride&quot;:{&quot;isManuallyOverridden&quot;:false,&quot;manualOverrideText&quot;:&quot;&quot;,&quot;citeprocText&quot;:&quot;(Zeldow &amp;#38; Hatfield, 2019)&quot;},&quot;citationTag&quot;:&quot;MENDELEY_CITATION_v3_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&quot;,&quot;citationItems&quot;:[{&quot;id&quot;:&quot;229acd22-c9ac-3f94-b0cd-a310e64ab4b6&quot;,&quot;isTemporary&quot;:false,&quot;itemData&quot;:{&quot;type&quot;:&quot;webpage&quot;,&quot;id&quot;:&quot;229acd22-c9ac-3f94-b0cd-a310e64ab4b6&quot;,&quot;title&quot;:&quot;Difference-in-Differences&quot;,&quot;author&quot;:[{&quot;family&quot;:&quot;Zeldow&quot;,&quot;given&quot;:&quot;Bret&quot;,&quot;parse-names&quot;:false,&quot;dropping-particle&quot;:&quot;&quot;,&quot;non-dropping-particle&quot;:&quot;&quot;},{&quot;family&quot;:&quot;Hatfield&quot;,&quot;given&quot;:&quot;Laura&quot;,&quot;parse-names&quot;:false,&quot;dropping-particle&quot;:&quot;&quot;,&quot;non-dropping-particle&quot;:&quot;&quot;}],&quot;accessed&quot;:{&quot;date-parts&quot;:[[2021,11,12]]},&quot;URL&quot;:&quot;https://diff.healthpolicydatascience.org/&quot;,&quot;issued&quot;:{&quot;date-parts&quot;:[[2019]]},&quot;container-title-short&quot;:&quot;&quot;}}]},{&quot;properties&quot;:{&quot;noteIndex&quot;:0},&quot;citationID&quot;:&quot;MENDELEY_CITATION_a71ce14f-2e5d-42bd-a006-4b720e93604d&quot;,&quot;isEdited&quot;:false,&quot;manualOverride&quot;:{&quot;isManuallyOverridden&quot;:false,&quot;manualOverrideText&quot;:&quot;&quot;,&quot;citeprocText&quot;:&quot;(Xu, 2017a)&quot;},&quot;citationTag&quot;:&quot;MENDELEY_CITATION_v3_eyJwcm9wZXJ0aWVzIjp7Im5vdGVJbmRleCI6MH0sImNpdGF0aW9uSUQiOiJNRU5ERUxFWV9DSVRBVElPTl9hNzFjZTE0Zi0yZTVkLTQyYmQtYTAwNi00YjcyMGU5MzYwNGQ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b5983e6a-ebcc-4647-913a-656b0867c619&quot;,&quot;isEdited&quot;:false,&quot;manualOverride&quot;:{&quot;isManuallyOverridden&quot;:false,&quot;manualOverrideText&quot;:&quot;&quot;,&quot;citeprocText&quot;:&quot;(Xu, 2017a)&quot;},&quot;citationTag&quot;:&quot;MENDELEY_CITATION_v3_eyJwcm9wZXJ0aWVzIjp7Im5vdGVJbmRleCI6MH0sImNpdGF0aW9uSUQiOiJNRU5ERUxFWV9DSVRBVElPTl9iNTk4M2U2YS1lYmNjLTQ2NDctOTEzYS02NTZiMDg2N2M2MTk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59f0cf97-01ee-4869-a3b4-c9cd43105e2c&quot;,&quot;isEdited&quot;:false,&quot;manualOverride&quot;:{&quot;isManuallyOverridden&quot;:false,&quot;manualOverrideText&quot;:&quot;&quot;,&quot;citeprocText&quot;:&quot;(Xu, 2017b)&quot;},&quot;citationTag&quot;:&quot;MENDELEY_CITATION_v3_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nZW5lcmFsaXplcyB0aGUgc3ludGhldGljIGNvbnRyb2wgbWV0aG9kIHRvIHRoZSBjYXNlIG9mIG11bHRpcGxlIHRyZWF0ZWQgdW5pdHMgYW5kIHZhcmlhYmxlIHRyZWF0bWVudCBwZXJpb2RzLCBhbmQgaW1wcm92ZXMgZWZmaWNpZW5jeSBhbmQgaW50ZXJwcmV0YWJpbC1pdHkuIERhdGEgbXVzdCBiZSBpbiBmb3JtIG9mIGEgYmFsYW5jZWQgcGFuZWwgd2l0aCBhIGRpY2hvdG9tb3VzIHRyZWF0bWVudC4iLCJjb250YWluZXItdGl0bGUtc2hvcnQiOiIifX1dfQ==&quot;,&quot;citationItems&quot;:[{&quot;id&quot;:&quot;c52b8aed-9a01-3304-901a-4e724e7b25f0&quot;,&quot;isTemporary&quot;:false,&quot;itemData&quot;:{&quot;type&quot;:&quot;article-journal&quot;,&quot;id&quot;:&quot;c52b8aed-9a01-3304-901a-4e724e7b25f0&quot;,&quot;title&quot;:&quot;Package 'gsynth' Type Package Title Generalized Synthetic Control Method&quot;,&quot;author&quot;:[{&quot;family&quot;:&quot;Xu&quot;,&quot;given&quot;:&quot;Yiqing&quot;,&quot;parse-names&quot;:false,&quot;dropping-particle&quot;:&quot;&quot;,&quot;non-dropping-particle&quot;:&quot;&quot;}],&quot;accessed&quot;:{&quot;date-parts&quot;:[[2021,9,25]]},&quot;DOI&quot;:&quot;10.1017/pan.2016.2&quot;,&quot;issued&quot;:{&quot;date-parts&quot;:[[2017]]},&quot;abstract&quot;:&quot;Description Generalized synthetic control method: causal inference with interactive fixed-effect models. It im-putes counterfactuals for each treated unit using control group information based on a linear interactive fixed effects model that incorporates unit-specific intercepts interacted with time-varying coefficients. This method generalizes the synthetic control method to the case of multiple treated units and variable treatment periods, and improves efficiency and interpretabil-ity. Data must be in form of a balanced panel with a dichotomous treatment.&quot;,&quot;container-title-short&quot;:&quot;&quot;}}]},{&quot;properties&quot;:{&quot;noteIndex&quot;:0},&quot;citationID&quot;:&quot;MENDELEY_CITATION_ea0475f2-c2c2-4cf7-a31d-a632850c7177&quot;,&quot;isEdited&quot;:false,&quot;manualOverride&quot;:{&quot;isManuallyOverridden&quot;:false,&quot;manualOverrideText&quot;:&quot;&quot;,&quot;citeprocText&quot;:&quot;(Xu, 2017a)&quot;},&quot;citationTag&quot;:&quot;MENDELEY_CITATION_v3_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&quot;,&quot;citationItems&quot;:[{&quot;id&quot;:&quot;3d58cf4a-b65f-3a2d-ad9b-835d29a31b48&quot;,&quot;isTemporary&quot;:false,&quot;itemData&quot;:{&quot;type&quot;:&quot;article-journal&quot;,&quot;id&quot;:&quot;3d58cf4a-b65f-3a2d-ad9b-835d29a31b48&quot;,&quot;title&quot;:&quot;Generalized synthetic control method: Causal inference with interactive fixed effects models&quot;,&quot;author&quot;:[{&quot;family&quot;:&quot;Xu&quot;,&quot;given&quot;:&quot;Yiqing&quot;,&quot;parse-names&quot;:false,&quot;dropping-particle&quot;:&quot;&quot;,&quot;non-dropping-particle&quot;:&quot;&quot;}],&quot;container-title&quot;:&quot;Political Analysis&quot;,&quot;DOI&quot;:&quot;10.1017/pan.2016.2&quot;,&quot;ISSN&quot;:&quot;14764989&quot;,&quot;issued&quot;:{&quot;date-parts&quot;:[[2017]]},&quot;abstract&quot;:&quot;Difference-in-differences (DID) is commonly used for causal inference in time-series cross-sectional data. It requires the assumption that the average outcomes of treated and control units would have followed parallel paths in the absence of treatment. In this paper, we propose a method that not only relaxes this often-violated assumption, but also unifies the synthetic control method (Abadie, Diamond, and Hainmueller 2010) with linear fixed effects models under a simple framework, of which DID is a special case. It imputes counterfactuals for each treated unit using control group information based on a linear interactive fixed effects model that incorporates unit-specific intercepts interacted with time-varying coefficients. This method has several advantages. First, it allows the treatment to be correlated with unobserved unit and time heterogeneities under reasonable modeling assumptions. Second, it generalizes the synthetic control method to the case of multiple treated units and variable treatment periods, and improves efficiency and interpretability. Third, with a built-in cross-validation procedure, it avoids specification searches and thus is easy to implement. An empirical example of Election Day Registration and voter turnout in the United States is provided.&quot;,&quot;issue&quot;:&quot;1&quot;,&quot;volume&quot;:&quot;25&quot;,&quot;container-title-short&quot;:&quot;&quot;}}]},{&quot;properties&quot;:{&quot;noteIndex&quot;:0},&quot;citationID&quot;:&quot;MENDELEY_CITATION_bffd27b6-187d-49a9-955c-ba7062a8b009&quot;,&quot;isEdited&quot;:false,&quot;manualOverride&quot;:{&quot;isManuallyOverridden&quot;:false,&quot;manualOverrideText&quot;:&quot;&quot;,&quot;citeprocText&quot;:&quot;(Ivankova et al., 2007, p. 7)&quot;},&quot;citationTag&quot;:&quot;MENDELEY_CITATION_v3_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&quot;,&quot;citationItems&quot;:[{&quot;label&quot;:&quot;page&quot;,&quot;id&quot;:&quot;ff7cc240-5fd7-3343-882a-966c3d31ff31&quot;,&quot;isTemporary&quot;:false,&quot;locator&quot;:&quot;7&quot;,&quot;itemData&quot;:{&quot;type&quot;:&quot;article-journal&quot;,&quot;id&quot;:&quot;ff7cc240-5fd7-3343-882a-966c3d31ff31&quot;,&quot;title&quot;:&quot;A Sample Mixed Methods Dissertation Proposal&quot;,&quot;author&quot;:[{&quot;family&quot;:&quot;Ivankova&quot;,&quot;given&quot;:&quot;N&quot;,&quot;parse-names&quot;:false,&quot;dropping-particle&quot;:&quot;&quot;,&quot;non-dropping-particle&quot;:&quot;&quot;},{&quot;family&quot;:&quot;Stick&quot;,&quot;given&quot;:&quot;S&quot;,&quot;parse-names&quot;:false,&quot;dropping-particle&quot;:&quot;&quot;,&quot;non-dropping-particle&quot;:&quot;&quot;},{&quot;family&quot;:&quot;Ivankova&quot;,&quot;given&quot;:&quot;N&quot;,&quot;parse-names&quot;:false,&quot;dropping-particle&quot;:&quot;v&quot;,&quot;non-dropping-particle&quot;:&quot;&quot;},{&quot;family&quot;:&quot;Creswell&quot;,&quot;given&quot;:&quot;J W&quot;,&quot;parse-names&quot;:false,&quot;dropping-particle&quot;:&quot;&quot;,&quot;non-dropping-particle&quot;:&quot;&quot;}],&quot;container-title&quot;:&quot;Field Methods Journal of Research in Education&quot;,&quot;issued&quot;:{&quot;date-parts&quot;:[[2007]]},&quot;abstract&quot;:&quot;The purpose of this mixed methods sequential explanatory study was to identify factors contributing to students’ persistence in the University of Nebraska-Lincoln Distributed Doctoral Program in Educational Leadership in Higher Education by obtaining quantitative results from surveying 278 current and former students and then following up with four purposefully selected typical respondents to explore those results in more depth. In the first, quantitative, phase, five external and internal to the program factors were found to be predictors to students’ persistence in the program: ‘‘program’’, ‘‘online learning environment’’, ‘‘student support services’’, ‘‘faculty’’, and ‘‘self-motivation’’. In the qualitative follow up multiple case study analysis four major themes emerged: (1) quality of academic experiences; (2) online learning environment; (3) support and assistance; and (4) student self-motivation. The quantitative and qualitative findings from the two phases of the study are discussed with reference to prior research. Implications and recommendations for policy makers are provided.&quot;,&quot;issue&quot;:&quot;151&quot;,&quot;volume&quot;:&quot;48&quot;,&quot;container-title-short&quot;:&quot;&quot;}}]},{&quot;properties&quot;:{&quot;noteIndex&quot;:0},&quot;citationID&quot;:&quot;MENDELEY_CITATION_bd1bf71f-6384-40f0-9149-b0ef70876c6c&quot;,&quot;isEdited&quot;:false,&quot;manualOverride&quot;:{&quot;isManuallyOverridden&quot;:false,&quot;manualOverrideText&quot;:&quot;&quot;,&quot;citeprocText&quot;:&quot;(Coppedge, 1997)&quot;},&quot;citationTag&quot;:&quot;MENDELEY_CITATION_v3_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&quot;,&quot;citationItems&quot;:[{&quot;id&quot;:&quot;a2a50652-c82e-394b-aa13-8a150e3835bb&quot;,&quot;isTemporary&quot;:false,&quot;itemData&quot;:{&quot;type&quot;:&quot;paper-conference&quot;,&quot;id&quot;:&quot;a2a50652-c82e-394b-aa13-8a150e3835bb&quot;,&quot;title&quot;:&quot;How the large n could complement the small in democratization research&quot;,&quot;author&quot;:[{&quot;family&quot;:&quot;Coppedge&quot;,&quot;given&quot;:&quot;Michael&quot;,&quot;parse-names&quot;:false,&quot;dropping-particle&quot;:&quot;&quot;,&quot;non-dropping-particle&quot;:&quot;&quot;}],&quot;container-title&quot;:&quot;Annual Meeting of the American Political Science Association&quot;,&quot;issued&quot;:{&quot;date-parts&quot;:[[1997]]},&quot;abstract&quot;:&quot;Text discusses the democratisation studies. It includes the notion of first - to fourth order complexity hypotheses, the latter being a hypothesis which specifies a causal relationship sensitive to time, place and interaction effects. p: 12: \&quot;In the study of democratization and many other complex macro-phenomena, the virtues of parsimony are overrated\&quot;. This is a hunch in favour of QCA and its causal heterogeneity.&quot;,&quot;volume&quot;:&quot;coppedge/m&quot;,&quot;container-title-short&quot;:&quot;&quot;}}]},{&quot;properties&quot;:{&quot;noteIndex&quot;:0},&quot;citationID&quot;:&quot;MENDELEY_CITATION_291399c7-e932-44f9-8ebf-adf9f49fae79&quot;,&quot;isEdited&quot;:false,&quot;manualOverride&quot;:{&quot;isManuallyOverridden&quot;:false,&quot;manualOverrideText&quot;:&quot;&quot;,&quot;citeprocText&quot;:&quot;(George &amp;#38; Bennett, 2005, p. 19)&quot;},&quot;citationTag&quot;:&quot;MENDELEY_CITATION_v3_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&quot;,&quot;citationItems&quot;:[{&quot;label&quot;:&quot;page&quot;,&quot;id&quot;:&quot;130a7b91-c020-3f63-9271-bcc5ca25095a&quot;,&quot;locator&quot;:&quot;19&quot;,&quot;isTemporary&quot;:false,&quot;itemData&quot;:{&quot;type&quot;:&quot;book&quot;,&quot;id&quot;:&quot;130a7b91-c020-3f63-9271-bcc5ca25095a&quot;,&quot;title&quot;:&quot;Case Study and Theory Development in the Social Science&quot;,&quot;author&quot;:[{&quot;family&quot;:&quot;George&quot;,&quot;given&quot;:&quot;A&quot;,&quot;parse-names&quot;:false,&quot;dropping-particle&quot;:&quot;&quot;,&quot;non-dropping-particle&quot;:&quot;&quot;},{&quot;family&quot;:&quot;Bennett&quot;,&quot;given&quot;:&quot;A&quot;,&quot;parse-names&quot;:false,&quot;dropping-particle&quot;:&quot;&quot;,&quot;non-dropping-particle&quot;:&quot;&quot;}],&quot;container-title&quot;:&quot;Case Studies and Theory Development in the Social Science&quot;,&quot;issued&quot;:{&quot;date-parts&quot;:[[2005]]},&quot;abstract&quot;:&quot;Winner of the 2006 Giovanni Sartori Book Award, given by the American Political Science Association's Qualitative Methods Section. The use of case studies to build and test theories in political science and the other social sciences has increased in recent years. Many scholars have argued that the social sciences rely too heavily on quantitative research and formal models and thus have attempted to develop and refine rigorous methods for using case studies. This text presents a comprehensive analysis of research methods using case studies and examines the place of case studies in social science methodology. It argues that case studies, statistical methods, and formal models are complementary rather than competitive. The book explains how to design case study research that will produce results useful to policymakers and it emphasizes the importance of developing policy-relevant theories. It offers three major contributions to case study methodology: an emphasis on the importance of within-case analysis, a detailed discussion of process tracing, and development of the concept of typological theories. Case Studies and Theory Development in the Social Sciences will be particularly useful to graduate students and scholars in social science methodology and the philosophy of science, as well as to those designing new research projects, and will contribute greatly to the broader debate about scientific methods.&quot;,&quot;volume&quot;:&quot;6&quot;,&quot;container-title-short&quot;:&quot;&quot;}}]},{&quot;properties&quot;:{&quot;noteIndex&quot;:0},&quot;citationID&quot;:&quot;MENDELEY_CITATION_4aae98e1-9828-4950-ad6a-4557ac9a862f&quot;,&quot;isEdited&quot;:false,&quot;manualOverride&quot;:{&quot;isManuallyOverridden&quot;:false,&quot;manualOverrideText&quot;:&quot;&quot;,&quot;citeprocText&quot;:&quot;(Starman, 2013, p. 37)&quot;},&quot;citationTag&quot;:&quot;MENDELEY_CITATION_v3_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&quot;,&quot;citationItems&quot;:[{&quot;label&quot;:&quot;page&quot;,&quot;id&quot;:&quot;c7d2f3c2-e7d8-3e87-8ea7-fc56ec2fcc8e&quot;,&quot;locator&quot;:&quot;37&quot;,&quot;isTemporary&quot;:false,&quot;itemData&quot;:{&quot;type&quot;:&quot;article-journal&quot;,&quot;id&quot;:&quot;c7d2f3c2-e7d8-3e87-8ea7-fc56ec2fcc8e&quot;,&quot;title&quot;:&quot;The case study as a type of qual research&quot;,&quot;author&quot;:[{&quot;family&quot;:&quot;Starman&quot;,&quot;given&quot;:&quot;Adrijana Biba&quot;,&quot;parse-names&quot;:false,&quot;dropping-particle&quot;:&quot;&quot;,&quot;non-dropping-particle&quot;:&quot;&quot;}],&quot;container-title&quot;:&quot;Journal of Contemporary Educational Studies&quot;,&quot;ISSN&quot;:&quot;00380474&quot;,&quot;issued&quot;:{&quot;date-parts&quot;:[[2013]]},&quot;abstract&quot;:&quot;Adrijana Biba Starman The of Abstract : This . Its detailed – its , some , and disadvantages – in approac h . In , case understood both , where be , and , where are . A placed , where case , particularly . Keywords : case , qualitative , qualitative UDC : 37 . 012 Scientific Adrijana Biba Starman , Master of library science ,&quot;,&quot;volume&quot;:&quot;1&quot;,&quot;container-title-short&quot;:&quot;&quot;}}]},{&quot;properties&quot;:{&quot;noteIndex&quot;:0},&quot;citationID&quot;:&quot;MENDELEY_CITATION_9ceab99f-7e0a-49aa-942c-f74775ca18f9&quot;,&quot;isEdited&quot;:false,&quot;manualOverride&quot;:{&quot;isManuallyOverridden&quot;:false,&quot;manualOverrideText&quot;:&quot;&quot;,&quot;citeprocText&quot;:&quot;(Bowen, 2009)&quot;},&quot;citationTag&quot;:&quot;MENDELEY_CITATION_v3_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&quot;,&quot;citationItems&quot;:[{&quot;id&quot;:&quot;d01d7f2f-13fc-38e3-8b6b-9d4865c8ba1e&quot;,&quot;isTemporary&quot;:false,&quot;itemData&quot;:{&quot;type&quot;:&quot;article-journal&quot;,&quot;id&quot;:&quot;d01d7f2f-13fc-38e3-8b6b-9d4865c8ba1e&quot;,&quot;title&quot;:&quot;Document analysis as a qualitative research method&quot;,&quot;author&quot;:[{&quot;family&quot;:&quot;Bowen&quot;,&quot;given&quot;:&quot;Glenn A.&quot;,&quot;parse-names&quot;:false,&quot;dropping-particle&quot;:&quot;&quot;,&quot;non-dropping-particle&quot;:&quot;&quot;}],&quot;container-title&quot;:&quot;Qualitative Research Journal&quot;,&quot;DOI&quot;:&quot;10.3316/QRJ0902027&quot;,&quot;ISSN&quot;:&quot;14480980&quot;,&quot;issued&quot;:{&quot;date-parts&quot;:[[2009]]},&quot;abstract&quot;:&quot;This article examines the function of documents as a data source in qualitative research and discusses document analysis procedure in the context of actual research experiences. Targeted to research novices, the article takes a nuts-and-bolts approach to document analysis. It describes the nature and forms of documents, outlines the advantages and limitations of document analysis, and offers specific examples of the use of documents in the research process. The application of document analysis to a grounded theory study is illustrated. © RMIT Publishing.&quot;,&quot;issue&quot;:&quot;2&quot;,&quot;volume&quot;:&quot;9&quot;,&quot;container-title-short&quot;:&quot;&quot;}}]},{&quot;properties&quot;:{&quot;noteIndex&quot;:0},&quot;citationID&quot;:&quot;MENDELEY_CITATION_3d076302-04f6-48d7-b977-6b5f05538f3b&quot;,&quot;isEdited&quot;:false,&quot;manualOverride&quot;:{&quot;isManuallyOverridden&quot;:false,&quot;manualOverrideText&quot;:&quot;&quot;,&quot;citeprocText&quot;:&quot;(Abadie et al., 2010)&quot;},&quot;citationTag&quot;:&quot;MENDELEY_CITATION_v3_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&quot;,&quot;citationItems&quot;:[{&quot;id&quot;:&quot;a00e4302-203f-385b-8cc3-2c5c4b1f6206&quot;,&quot;isTemporary&quot;:false,&quot;itemData&quot;:{&quot;type&quot;:&quot;article-journal&quot;,&quot;id&quot;:&quot;a00e4302-203f-385b-8cc3-2c5c4b1f6206&quot;,&quot;title&quot;:&quot;Synthetic control methods for comparative case studies: Estimating the effect of California's Tobacco control program&quot;,&quot;author&quot;:[{&quot;family&quot;:&quot;Abadie&quot;,&quot;given&quot;:&quot;Alberto&quot;,&quot;parse-names&quot;:false,&quot;dropping-particle&quot;:&quot;&quot;,&quot;non-dropping-particle&quot;:&quot;&quot;},{&quot;family&quot;:&quot;Diamond&quot;,&quot;given&quot;:&quot;Alexis&quot;,&quot;parse-names&quot;:false,&quot;dropping-particle&quot;:&quot;&quot;,&quot;non-dropping-particle&quot;:&quot;&quot;},{&quot;family&quot;:&quot;Hainmueller&quot;,&quot;given&quot;:&quot;And Jens&quot;,&quot;parse-names&quot;:false,&quot;dropping-particle&quot;:&quot;&quot;,&quot;non-dropping-particle&quot;:&quot;&quot;}],&quot;container-title&quot;:&quot;Journal of the American Statistical Association&quot;,&quot;DOI&quot;:&quot;10.1198/jasa.2009.ap08746&quot;,&quot;ISSN&quot;:&quot;01621459&quot;,&quot;issued&quot;:{&quot;date-parts&quot;:[[2010]]},&quot;abstract&quot;:&quot;Building on an idea in Abadie and Gardeazabal (2003), this article investigates the application of synthetic control methods to comparative case studies. We discuss the advantages of these methods and apply them to study the effects of Proposition 99, a large-scale tobacco control program that California implemented in 1988. We demonstrate that, following Proposition 99, tobacco consumption fell markedly in California relative to a comparable synthetic control region. We estimate that by the year 2000 annual per-capita cigarette sales in California were about 26 packs lower than what they would have been in the absence of Proposition 99. Using new inferential methods proposed in this article, we demonstrate the significance of our estimates. Given that many policy interventions and events of interest in social sciences take place at an aggregate level (countries, regions, cities, etc.) and affect a small number of aggregate units, the potential applicability of synthetic control methods to comparative case studies is very large, especially in situations where traditional regression methods are not appropriate. © 2010 American Statistical Association.&quot;,&quot;issue&quot;:&quot;490&quot;,&quot;volume&quot;:&quot;105&quot;,&quot;container-title-short&quot;:&quot;J Am Stat Assoc&quot;}}]},{&quot;properties&quot;:{&quot;noteIndex&quot;:0},&quot;citationID&quot;:&quot;MENDELEY_CITATION_1fd3b063-2b38-4ef2-9b85-0b7edcca8bba&quot;,&quot;isEdited&quot;:false,&quot;manualOverride&quot;:{&quot;isManuallyOverriden&quot;:false,&quot;manualOverrideText&quot;:&quot;&quot;,&quot;citeprocText&quot;:&quot;(Roller &amp;#38; Lavrakas, 2015)&quot;,&quot;isManuallyOverridden&quot;:false},&quot;citationTag&quot;:&quot;MENDELEY_CITATION_v3_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&quot;,&quot;citationItems&quot;:[{&quot;id&quot;:&quot;7243ae4b-e477-3e69-8ede-245d78e03e9c&quot;,&quot;isTemporary&quot;:false,&quot;itemData&quot;:{&quot;type&quot;:&quot;article&quot;,&quot;id&quot;:&quot;7243ae4b-e477-3e69-8ede-245d78e03e9c&quot;,&quot;title&quot;:&quot;Applied qualitative research design: A total quality framework approach.&quot;,&quot;author&quot;:[{&quot;family&quot;:&quot;Roller&quot;,&quot;given&quot;:&quot;Margaret R&quot;,&quot;parse-names&quot;:false,&quot;dropping-particle&quot;:&quot;&quot;,&quot;non-dropping-particle&quot;:&quot;&quot;},{&quot;family&quot;:&quot;Lavrakas&quot;,&quot;given&quot;:&quot;Paul J&quot;,&quot;parse-names&quot;:false,&quot;dropping-particle&quot;:&quot;&quot;,&quot;non-dropping-particle&quot;:&quot;&quot;}],&quot;container-title&quot;:&quot;Applied qualitative research design: A total quality framework approach.&quot;,&quot;issued&quot;:{&quot;date-parts&quot;:[[2015]]},&quot;abstract&quot;:&quot;This unique text provides a comprehensive framework for creating, managing, and interpreting qualitative research studies that yield valid and useful information. Examples of studies from a wide range of disciplines illustrate the strengths, limitations, and applications of the primary qualitative methods: in-depth interviews, focus group discussions, ethnography, content analysis, and case study and narrative research. Following a consistent format, chapters show students and researchers how to implement each method within a paradigm-neutral and flexible Total Quality Framework (TQF) comprising four interrelated components: Credibility, Analyzability, Transparency, and Usefulness. Unlike other texts that relegate quality issues to one or two chapters, detailed discussions of such crucial topics as construct validity, interresearcher reliability, researcher bias, and verification strategies are featured throughout. The book also addresses applications of the TQF to the writing, review, and evaluation of qualitative research proposals and manuscripts. Pedagogical features include summary tables that highlight important content; case studies illustrating TQF standards in practice for each method; end-of-chapter discussion topics, exercises, and resources; and an extensive glossary. (PsycINFO Database Record (c) 2019 APA, all rights reserved)&quot;,&quot;container-title-short&quot;:&quot;&quot;}}]},{&quot;properties&quot;:{&quot;noteIndex&quot;:0},&quot;citationID&quot;:&quot;MENDELEY_CITATION_fbf7989f-42c2-4ac7-8b2a-1279a1b0f441&quot;,&quot;isEdited&quot;:false,&quot;manualOverride&quot;:{&quot;isManuallyOverriden&quot;:false,&quot;manualOverrideText&quot;:&quot;&quot;,&quot;citeprocText&quot;:&quot;(Merriam, 2009)&quot;,&quot;isManuallyOverridden&quot;:false},&quot;citationTag&quot;:&quot;MENDELEY_CITATION_v3_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&quot;,&quot;citationItems&quot;:[{&quot;id&quot;:&quot;d34d05ee-da31-3216-8841-b4b09050d959&quot;,&quot;isTemporary&quot;:false,&quot;itemData&quot;:{&quot;type&quot;:&quot;book&quot;,&quot;id&quot;:&quot;d34d05ee-da31-3216-8841-b4b09050d959&quot;,&quot;title&quot;:&quot;Qualitative research: A guide to design and implementation&quot;,&quot;author&quot;:[{&quot;family&quot;:&quot;Merriam&quot;,&quot;given&quot;:&quot;Sharan B&quot;,&quot;parse-names&quot;:false,&quot;dropping-particle&quot;:&quot;&quot;,&quot;non-dropping-particle&quot;:&quot;&quot;}],&quot;container-title&quot;:&quot;The JosseyBass higher and adult education series&quot;,&quot;DOI&quot;:&quot;10.1097/NCI.0b013e3181edd9b1&quot;,&quot;ISSN&quot;:&quot;15597776&quot;,&quot;issued&quot;:{&quot;date-parts&quot;:[[2009]]},&quot;abstract&quot;:&quot;Praise for the Third Edition of Qualitative Research:\&quot;Sharan B. Merriam synthesizes twenty years of developments in qualitative research with clarity and acumen.\&quot;?Michael Quinn Patton, author, Qualitative Research and Evaluation Methods\&quot;Here is a qualitative research methods book that reinforces the connection between professional experience and qualitative inquiry.\&quot;?Robert Stake, author, The Art of Case Study Research and Multiple Case Study Analysis\&quot;In this new edition, Sharan Merriam once again presents the world of qualitative research in language engaging and accessible?for new and experienced readers alike. If you can have only one book about qualitative research, this is it!\&quot;?Patricia M. Reeves, associate professor, School of Social Work, University of Georgia\&quot;Mystified by qualitative research? You couldn't ask for a better guide than Sharan Merriam, who introduces you to the fundamental concepts of this research method, explains its complex forms, and then shows you exactly how to do a high-quality qualitative study.\&quot;?M. Carolyn Clark, coeditor, The International Journal of Qualitative Studies in Education&quot;,&quot;volume&quot;:&quot;2nd&quot;,&quot;container-title-short&quot;:&quot;&quot;}}]},{&quot;properties&quot;:{&quot;noteIndex&quot;:0},&quot;citationID&quot;:&quot;MENDELEY_CITATION_a9483dad-72be-4584-8493-8c834f5483c1&quot;,&quot;isEdited&quot;:false,&quot;manualOverride&quot;:{&quot;isManuallyOverriden&quot;:false,&quot;manualOverrideText&quot;:&quot;&quot;,&quot;isManuallyOverridden&quot;:false,&quot;citeprocText&quot;:&quot;(Bowen, 2009, p. 29)&quot;},&quot;citationTag&quot;:&quot;MENDELEY_CITATION_v3_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&quot;,&quot;citationItems&quot;:[{&quot;label&quot;:&quot;page&quot;,&quot;id&quot;:&quot;d01d7f2f-13fc-38e3-8b6b-9d4865c8ba1e&quot;,&quot;isTemporary&quot;:false,&quot;locator&quot;:&quot;29&quot;,&quot;itemData&quot;:{&quot;type&quot;:&quot;article-journal&quot;,&quot;id&quot;:&quot;d01d7f2f-13fc-38e3-8b6b-9d4865c8ba1e&quot;,&quot;title&quot;:&quot;Document analysis as a qualitative research method&quot;,&quot;author&quot;:[{&quot;family&quot;:&quot;Bowen&quot;,&quot;given&quot;:&quot;Glenn A.&quot;,&quot;parse-names&quot;:false,&quot;dropping-particle&quot;:&quot;&quot;,&quot;non-dropping-particle&quot;:&quot;&quot;}],&quot;container-title&quot;:&quot;Qualitative Research Journal&quot;,&quot;DOI&quot;:&quot;10.3316/QRJ0902027&quot;,&quot;ISSN&quot;:&quot;14480980&quot;,&quot;issued&quot;:{&quot;date-parts&quot;:[[2009]]},&quot;abstract&quot;:&quot;This article examines the function of documents as a data source in qualitative research and discusses document analysis procedure in the context of actual research experiences. Targeted to research novices, the article takes a nuts-and-bolts approach to document analysis. It describes the nature and forms of documents, outlines the advantages and limitations of document analysis, and offers specific examples of the use of documents in the research process. The application of document analysis to a grounded theory study is illustrated. © RMIT Publishing.&quot;,&quot;issue&quot;:&quot;2&quot;,&quot;volume&quot;:&quot;9&quot;,&quot;container-title-short&quot;:&quot;&quot;}}]},{&quot;properties&quot;:{&quot;noteIndex&quot;:0},&quot;citationID&quot;:&quot;MENDELEY_CITATION_f359acc7-7e7e-4906-9f90-ce596cbcca46&quot;,&quot;isEdited&quot;:false,&quot;manualOverride&quot;:{&quot;isManuallyOverridden&quot;:false,&quot;manualOverrideText&quot;:&quot;&quot;,&quot;citeprocText&quot;:&quot;(Bowen, 2009)&quot;},&quot;citationTag&quot;:&quot;MENDELEY_CITATION_v3_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&quot;,&quot;citationItems&quot;:[{&quot;id&quot;:&quot;d01d7f2f-13fc-38e3-8b6b-9d4865c8ba1e&quot;,&quot;isTemporary&quot;:false,&quot;itemData&quot;:{&quot;type&quot;:&quot;article-journal&quot;,&quot;id&quot;:&quot;d01d7f2f-13fc-38e3-8b6b-9d4865c8ba1e&quot;,&quot;title&quot;:&quot;Document analysis as a qualitative research method&quot;,&quot;author&quot;:[{&quot;family&quot;:&quot;Bowen&quot;,&quot;given&quot;:&quot;Glenn A.&quot;,&quot;parse-names&quot;:false,&quot;dropping-particle&quot;:&quot;&quot;,&quot;non-dropping-particle&quot;:&quot;&quot;}],&quot;container-title&quot;:&quot;Qualitative Research Journal&quot;,&quot;DOI&quot;:&quot;10.3316/QRJ0902027&quot;,&quot;ISSN&quot;:&quot;14480980&quot;,&quot;issued&quot;:{&quot;date-parts&quot;:[[2009]]},&quot;abstract&quot;:&quot;This article examines the function of documents as a data source in qualitative research and discusses document analysis procedure in the context of actual research experiences. Targeted to research novices, the article takes a nuts-and-bolts approach to document analysis. It describes the nature and forms of documents, outlines the advantages and limitations of document analysis, and offers specific examples of the use of documents in the research process. The application of document analysis to a grounded theory study is illustrated. © RMIT Publishing.&quot;,&quot;issue&quot;:&quot;2&quot;,&quot;volume&quot;:&quot;9&quot;,&quot;container-title-short&quot;:&quot;&quot;}}]},{&quot;properties&quot;:{&quot;noteIndex&quot;:0},&quot;citationID&quot;:&quot;MENDELEY_CITATION_273fb4f4-45e4-4d24-8835-18c1ea428522&quot;,&quot;isEdited&quot;:false,&quot;manualOverride&quot;:{&quot;isManuallyOverriden&quot;:false,&quot;manualOverrideText&quot;:&quot;&quot;,&quot;citeprocText&quot;:&quot;(Bowen, 2009; Corbin &amp;#38; Strauss, 2012)&quot;,&quot;isManuallyOverridden&quot;:false},&quot;citationTag&quot;:&quot;MENDELEY_CITATION_v3_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&quot;,&quot;citationItems&quot;:[{&quot;id&quot;:&quot;b15ca998-2ba8-3f3a-bebb-a2f44e1097a0&quot;,&quot;isTemporary&quot;:false,&quot;itemData&quot;:{&quot;type&quot;:&quot;book&quot;,&quot;id&quot;:&quot;b15ca998-2ba8-3f3a-bebb-a2f44e1097a0&quot;,&quot;title&quot;:&quot;Basics of Qualitative Research (3rd ed.): Techniques and Procedures for Developing Grounded Theory&quot;,&quot;author&quot;:[{&quot;family&quot;:&quot;Corbin&quot;,&quot;given&quot;:&quot;Juliet&quot;,&quot;parse-names&quot;:false,&quot;dropping-particle&quot;:&quot;&quot;,&quot;non-dropping-particle&quot;:&quot;&quot;},{&quot;family&quot;:&quot;Strauss&quot;,&quot;given&quot;:&quot;Anselm&quot;,&quot;parse-names&quot;:false,&quot;dropping-particle&quot;:&quot;&quot;,&quot;non-dropping-particle&quot;:&quot;&quot;}],&quot;container-title&quot;:&quot;Basics of Qualitative Research (3rd ed.): Techniques and Procedures for Developing Grounded Theory&quot;,&quot;DOI&quot;:&quot;10.4135/9781452230153&quot;,&quot;issued&quot;:{&quot;date-parts&quot;:[[2012]]},&quot;abstract&quot;:&quot;The second edition of this best-selling text continues to offer immensely practical advice and technical expertise to aid researchers in making sense of their collected data. Basics of Qualitative Research, Second Edition presents methods that enable researchers to analyze and interpret their data, and ultimately build theory from it. Highly accessible in their approach, authors Anselm Strauss (late of the University of San Francisco and co-creator of grounded theory) and Juliet Corbin provide a step-by-step guide to the research act- from the formation of the research question through several approaches to coding and analysis, to reporting on the research. Full of definitions and illustrative examples, this highly accessible book concludes with chapters that present criteria for evaluating a study, as well as responses to common questions posed by students of qualitative research. Significantly revised, Basics of Qualitative Research remains a landmark volume in the study of qualitative methods.&quot;,&quot;container-title-short&quot;:&quot;&quot;}},{&quot;id&quot;:&quot;d01d7f2f-13fc-38e3-8b6b-9d4865c8ba1e&quot;,&quot;isTemporary&quot;:false,&quot;itemData&quot;:{&quot;type&quot;:&quot;article-journal&quot;,&quot;id&quot;:&quot;d01d7f2f-13fc-38e3-8b6b-9d4865c8ba1e&quot;,&quot;title&quot;:&quot;Document analysis as a qualitative research method&quot;,&quot;author&quot;:[{&quot;family&quot;:&quot;Bowen&quot;,&quot;given&quot;:&quot;Glenn A.&quot;,&quot;parse-names&quot;:false,&quot;dropping-particle&quot;:&quot;&quot;,&quot;non-dropping-particle&quot;:&quot;&quot;}],&quot;container-title&quot;:&quot;Qualitative Research Journal&quot;,&quot;DOI&quot;:&quot;10.3316/QRJ0902027&quot;,&quot;ISSN&quot;:&quot;14480980&quot;,&quot;issued&quot;:{&quot;date-parts&quot;:[[2009]]},&quot;abstract&quot;:&quot;This article examines the function of documents as a data source in qualitative research and discusses document analysis procedure in the context of actual research experiences. Targeted to research novices, the article takes a nuts-and-bolts approach to document analysis. It describes the nature and forms of documents, outlines the advantages and limitations of document analysis, and offers specific examples of the use of documents in the research process. The application of document analysis to a grounded theory study is illustrated. © RMIT Publishing.&quot;,&quot;issue&quot;:&quot;2&quot;,&quot;volume&quot;:&quot;9&quot;,&quot;container-title-short&quot;:&quot;&quot;}}]},{&quot;properties&quot;:{&quot;noteIndex&quot;:0},&quot;citationID&quot;:&quot;MENDELEY_CITATION_ff92382a-2b3f-45a9-bfa3-8245887bafaa&quot;,&quot;isEdited&quot;:false,&quot;manualOverride&quot;:{&quot;isManuallyOverridden&quot;:false,&quot;manualOverrideText&quot;:&quot;&quot;,&quot;citeprocText&quot;:&quot;(Eisner, 1991)&quot;},&quot;citationTag&quot;:&quot;MENDELEY_CITATION_v3_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&quot;,&quot;citationItems&quot;:[{&quot;id&quot;:&quot;5b908ffd-8166-3070-b94a-6372028db425&quot;,&quot;isTemporary&quot;:false,&quot;itemData&quot;:{&quot;type&quot;:&quot;chapter&quot;,&quot;id&quot;:&quot;5b908ffd-8166-3070-b94a-6372028db425&quot;,&quot;title&quot;:&quot;What Makes a Study Qualitative?&quot;,&quot;author&quot;:[{&quot;family&quot;:&quot;Eisner&quot;,&quot;given&quot;:&quot;E.&quot;,&quot;parse-names&quot;:false,&quot;dropping-particle&quot;:&quot;&quot;,&quot;non-dropping-particle&quot;:&quot;&quot;}],&quot;container-title&quot;:&quot;The enlightented eye: Qualitative inquiry and the enhancement of educational practice&quot;,&quot;issued&quot;:{&quot;date-parts&quot;:[[1991]]},&quot;abstract&quot;:&quot;Eisner, E. W. (1991). What Makes a Study Qualitative? In The Enlightened Eye: Qualitative Inquiry and the Enhancement of Educational Practice. New York: MacMillan. Glesne, C. (2010). Meeting Qualitative Inquiry. In Becoming Qualitative Researchers: An Introduction (4th Edition) (pp. 1–25). Pearson. Rist, R. C. (2000). HER Classic: Student Social Class and Teacher Expectations: The Self-Fulfilling Prophecy in Ghetto Education. Harvard Educational Review, 70(3), 257–301. (Original work published 1970)&quot;,&quot;container-title-short&quot;:&quot;&quot;}}]},{&quot;properties&quot;:{&quot;noteIndex&quot;:0},&quot;citationID&quot;:&quot;MENDELEY_CITATION_1bb454ae-7c7c-4a42-8117-b6a20fa7a50b&quot;,&quot;isEdited&quot;:false,&quot;manualOverride&quot;:{&quot;isManuallyOverridden&quot;:false,&quot;manualOverrideText&quot;:&quot;&quot;,&quot;citeprocText&quot;:&quot;(George &amp;#38; Bennett, 2005, p. 19)&quot;},&quot;citationTag&quot;:&quot;MENDELEY_CITATION_v3_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&quot;,&quot;citationItems&quot;:[{&quot;label&quot;:&quot;page&quot;,&quot;id&quot;:&quot;130a7b91-c020-3f63-9271-bcc5ca25095a&quot;,&quot;locator&quot;:&quot;19&quot;,&quot;isTemporary&quot;:false,&quot;itemData&quot;:{&quot;type&quot;:&quot;book&quot;,&quot;id&quot;:&quot;130a7b91-c020-3f63-9271-bcc5ca25095a&quot;,&quot;title&quot;:&quot;Case Study and Theory Development in the Social Science&quot;,&quot;author&quot;:[{&quot;family&quot;:&quot;George&quot;,&quot;given&quot;:&quot;A&quot;,&quot;parse-names&quot;:false,&quot;dropping-particle&quot;:&quot;&quot;,&quot;non-dropping-particle&quot;:&quot;&quot;},{&quot;family&quot;:&quot;Bennett&quot;,&quot;given&quot;:&quot;A&quot;,&quot;parse-names&quot;:false,&quot;dropping-particle&quot;:&quot;&quot;,&quot;non-dropping-particle&quot;:&quot;&quot;}],&quot;container-title&quot;:&quot;Case Studies and Theory Development in the Social Science&quot;,&quot;issued&quot;:{&quot;date-parts&quot;:[[2005]]},&quot;abstract&quot;:&quot;Winner of the 2006 Giovanni Sartori Book Award, given by the American Political Science Association's Qualitative Methods Section. The use of case studies to build and test theories in political science and the other social sciences has increased in recent years. Many scholars have argued that the social sciences rely too heavily on quantitative research and formal models and thus have attempted to develop and refine rigorous methods for using case studies. This text presents a comprehensive analysis of research methods using case studies and examines the place of case studies in social science methodology. It argues that case studies, statistical methods, and formal models are complementary rather than competitive. The book explains how to design case study research that will produce results useful to policymakers and it emphasizes the importance of developing policy-relevant theories. It offers three major contributions to case study methodology: an emphasis on the importance of within-case analysis, a detailed discussion of process tracing, and development of the concept of typological theories. Case Studies and Theory Development in the Social Sciences will be particularly useful to graduate students and scholars in social science methodology and the philosophy of science, as well as to those designing new research projects, and will contribute greatly to the broader debate about scientific methods.&quot;,&quot;volume&quot;:&quot;6&quot;,&quot;container-title-short&quot;:&quot;&quot;}}]},{&quot;citationID&quot;:&quot;MENDELEY_CITATION_498db0e7-9cae-4498-968b-7bbf7dd2d664&quot;,&quot;properties&quot;:{&quot;noteIndex&quot;:0},&quot;isEdited&quot;:false,&quot;manualOverride&quot;:{&quot;isManuallyOverridden&quot;:false,&quot;citeprocText&quot;:&quot;(Schneider, 2017)&quot;,&quot;manualOverrideText&quot;:&quot;&quot;},&quot;citationTag&quot;:&quot;MENDELEY_CITATION_v3_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&quot;,&quot;citationItems&quot;:[{&quot;id&quot;:&quot;d379c24c-1fd3-307d-9adb-d904390f02c2&quot;,&quot;itemData&quot;:{&quot;type&quot;:&quot;article-newspaper&quot;,&quot;id&quot;:&quot;d379c24c-1fd3-307d-9adb-d904390f02c2&quot;,&quot;title&quot;:&quot;McAuliffe breaks record for most vetoes by a Virgnia governor&quot;,&quot;author&quot;:[{&quot;family&quot;:&quot;Schneider&quot;,&quot;given&quot;:&quot;G. S.&quot;,&quot;parse-names&quot;:false,&quot;dropping-particle&quot;:&quot;&quot;,&quot;non-dropping-particle&quot;:&quot;&quot;}],&quot;container-title&quot;:&quot;Washington Post&quot;,&quot;accessed&quot;:{&quot;date-parts&quot;:[[2023,9,15]]},&quot;URL&quot;:&quot;https://www.washingtonpost.com/local/virginia-politics/mcauliffe-poised-to-set-the-record-most-vetoes-by-a-virginia-governor/2017/03/22/6141e204-0e6b-11e7-9d5a-a83e627dc120_story.html&quot;,&quot;issued&quot;:{&quot;date-parts&quot;:[[2017,3,23]]},&quot;container-title-short&quot;:&quot;&quot;},&quot;isTemporary&quot;:false}]},{&quot;citationID&quot;:&quot;MENDELEY_CITATION_82458900-4203-47eb-a97f-cfd45323110f&quot;,&quot;properties&quot;:{&quot;noteIndex&quot;:0},&quot;isEdited&quot;:false,&quot;manualOverride&quot;:{&quot;isManuallyOverridden&quot;:false,&quot;citeprocText&quot;:&quot;(Reuters, 2017)&quot;,&quot;manualOverrideText&quot;:&quot;&quot;},&quot;citationTag&quot;:&quot;MENDELEY_CITATION_v3_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&quot;,&quot;citationItems&quot;:[{&quot;id&quot;:&quot;b623d6ff-79b7-3f87-b098-eb2ea422e940&quot;,&quot;itemData&quot;:{&quot;type&quot;:&quot;article-newspaper&quot;,&quot;id&quot;:&quot;b623d6ff-79b7-3f87-b098-eb2ea422e940&quot;,&quot;title&quot;:&quot;Virginia governor vetoes bill defunding Planned Parenthood&quot;,&quot;author&quot;:[{&quot;family&quot;:&quot;Reuters&quot;,&quot;given&quot;:&quot;&quot;,&quot;parse-names&quot;:false,&quot;dropping-particle&quot;:&quot;&quot;,&quot;non-dropping-particle&quot;:&quot;&quot;}],&quot;container-title&quot;:&quot;Reuters&quot;,&quot;accessed&quot;:{&quot;date-parts&quot;:[[2023,9,15]]},&quot;URL&quot;:&quot;https://www.reuters.com/article/virginia-plannedparenthood-idUSL1N1G61KJ&quot;,&quot;issued&quot;:{&quot;date-parts&quot;:[[2017,2,21]]},&quot;container-title-short&quot;:&quot;&quot;},&quot;isTemporary&quot;:false}]},{&quot;citationID&quot;:&quot;MENDELEY_CITATION_89e1a104-adb9-4ca9-bf9d-c4e13f7f4bad&quot;,&quot;properties&quot;:{&quot;noteIndex&quot;:0},&quot;isEdited&quot;:false,&quot;manualOverride&quot;:{&quot;isManuallyOverridden&quot;:false,&quot;citeprocText&quot;:&quot;(Reuters, 2017)&quot;,&quot;manualOverrideText&quot;:&quot;&quot;},&quot;citationTag&quot;:&quot;MENDELEY_CITATION_v3_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&quot;,&quot;citationItems&quot;:[{&quot;id&quot;:&quot;b623d6ff-79b7-3f87-b098-eb2ea422e940&quot;,&quot;itemData&quot;:{&quot;type&quot;:&quot;article-newspaper&quot;,&quot;id&quot;:&quot;b623d6ff-79b7-3f87-b098-eb2ea422e940&quot;,&quot;title&quot;:&quot;Virginia governor vetoes bill defunding Planned Parenthood&quot;,&quot;author&quot;:[{&quot;family&quot;:&quot;Reuters&quot;,&quot;given&quot;:&quot;&quot;,&quot;parse-names&quot;:false,&quot;dropping-particle&quot;:&quot;&quot;,&quot;non-dropping-particle&quot;:&quot;&quot;}],&quot;container-title&quot;:&quot;Reuters&quot;,&quot;accessed&quot;:{&quot;date-parts&quot;:[[2023,9,15]]},&quot;URL&quot;:&quot;https://www.reuters.com/article/virginia-plannedparenthood-idUSL1N1G61KJ&quot;,&quot;issued&quot;:{&quot;date-parts&quot;:[[2017,2,21]]},&quot;container-title-short&quot;:&quot;&quot;},&quot;isTemporary&quot;:false}]},{&quot;citationID&quot;:&quot;MENDELEY_CITATION_bd1fbe28-e39c-4ccb-bef8-85c6c8ab1038&quot;,&quot;properties&quot;:{&quot;noteIndex&quot;:0},&quot;isEdited&quot;:false,&quot;manualOverride&quot;:{&quot;isManuallyOverridden&quot;:false,&quot;citeprocText&quot;:&quot;(Ballotpedia, 2016)&quot;,&quot;manualOverrideText&quot;:&quot;&quot;},&quot;citationTag&quot;:&quot;MENDELEY_CITATION_v3_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&quot;,&quot;citationItems&quot;:[{&quot;id&quot;:&quot;d61ac76e-3b22-31e9-9449-f8e8c05db5aa&quot;,&quot;itemData&quot;:{&quot;type&quot;:&quot;article-newspaper&quot;,&quot;id&quot;:&quot;d61ac76e-3b22-31e9-9449-f8e8c05db5aa&quot;,&quot;title&quot;:&quot;Connecticut elections, 2016 &quot;,&quot;author&quot;:[{&quot;family&quot;:&quot;Ballotpedia&quot;,&quot;given&quot;:&quot;&quot;,&quot;parse-names&quot;:false,&quot;dropping-particle&quot;:&quot;&quot;,&quot;non-dropping-particle&quot;:&quot;&quot;}],&quot;container-title&quot;:&quot;Ballotpedia&quot;,&quot;accessed&quot;:{&quot;date-parts&quot;:[[2023,9,16]]},&quot;URL&quot;:&quot;https://ballotpedia.org/Connecticut_elections,_2016&quot;,&quot;issued&quot;:{&quot;date-parts&quot;:[[2016]]},&quot;container-title-short&quot;:&quot;&quot;},&quot;isTemporary&quot;:false}]},{&quot;citationID&quot;:&quot;MENDELEY_CITATION_877e55e3-4f66-4781-bcf0-2424c3b52944&quot;,&quot;properties&quot;:{&quot;noteIndex&quot;:0},&quot;isEdited&quot;:false,&quot;manualOverride&quot;:{&quot;isManuallyOverridden&quot;:false,&quot;citeprocText&quot;:&quot;(Costello et al., 2016)&quot;,&quot;manualOverrideText&quot;:&quot;&quot;},&quot;citationTag&quot;:&quot;MENDELEY_CITATION_v3_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&quot;,&quot;citationItems&quot;:[{&quot;id&quot;:&quot;6122d33d-1a69-3b9e-90e5-03bd91dd9a51&quot;,&quot;itemData&quot;:{&quot;type&quot;:&quot;webpage&quot;,&quot;id&quot;:&quot;6122d33d-1a69-3b9e-90e5-03bd91dd9a51&quot;,&quot;title&quot;:&quot;Fiscal Notes: The Texas Economic Stabilization Fund Saving for Rainy Days&quot;,&quot;author&quot;:[{&quot;family&quot;:&quot;Costello&quot;,&quot;given&quot;:&quot;T.J.&quot;,&quot;parse-names&quot;:false,&quot;dropping-particle&quot;:&quot;&quot;,&quot;non-dropping-particle&quot;:&quot;&quot;},{&quot;family&quot;:&quot;Green&quot;,&quot;given&quot;:&quot;David&quot;,&quot;parse-names&quot;:false,&quot;dropping-particle&quot;:&quot;&quot;,&quot;non-dropping-particle&quot;:&quot;&quot;},{&quot;family&quot;:&quot;Graves&quot;,&quot;given&quot;:&quot;Patrick&quot;,&quot;parse-names&quot;:false,&quot;dropping-particle&quot;:&quot;&quot;,&quot;non-dropping-particle&quot;:&quot;&quot;}],&quot;container-title&quot;:&quot;Texas Comptroller of Public Accounts&quot;,&quot;accessed&quot;:{&quot;date-parts&quot;:[[2023,9,17]]},&quot;URL&quot;:&quot;https://comptroller.texas.gov/economy/fiscal-notes/2016/september/rainy-day.php&quot;,&quot;issued&quot;:{&quot;date-parts&quot;:[[2016,9]]},&quot;container-title-short&quot;:&quot;&quot;},&quot;isTemporary&quot;:false}]},{&quot;citationID&quot;:&quot;MENDELEY_CITATION_68f3c0d7-ae3d-4dab-8c7d-b04caf52187a&quot;,&quot;properties&quot;:{&quot;noteIndex&quot;:0},&quot;isEdited&quot;:false,&quot;manualOverride&quot;:{&quot;isManuallyOverridden&quot;:false,&quot;citeprocText&quot;:&quot;(Ginn &amp;#38; Marquette, 2019)&quot;,&quot;manualOverrideText&quot;:&quot;&quot;},&quot;citationTag&quot;:&quot;MENDELEY_CITATION_v3_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&quot;,&quot;citationItems&quot;:[{&quot;id&quot;:&quot;4f0cacec-8ac2-3b54-9080-8435984a1932&quot;,&quot;itemData&quot;:{&quot;type&quot;:&quot;webpage&quot;,&quot;id&quot;:&quot;4f0cacec-8ac2-3b54-9080-8435984a1932&quot;,&quot;title&quot;:&quot;Don’t Grow Government with Texas’ Rainy Day Fund&quot;,&quot;author&quot;:[{&quot;family&quot;:&quot;Ginn&quot;,&quot;given&quot;:&quot;Vance&quot;,&quot;parse-names&quot;:false,&quot;dropping-particle&quot;:&quot;&quot;,&quot;non-dropping-particle&quot;:&quot;&quot;},{&quot;family&quot;:&quot;Marquette&quot;,&quot;given&quot;:&quot;Josh&quot;,&quot;parse-names&quot;:false,&quot;dropping-particle&quot;:&quot;&quot;,&quot;non-dropping-particle&quot;:&quot;&quot;}],&quot;container-title&quot;:&quot;Texas Public Policy Foundation&quot;,&quot;accessed&quot;:{&quot;date-parts&quot;:[[2021,10,30]]},&quot;URL&quot;:&quot;https://www.texaspolicy.com/dont-grow-government-with-texas-rainy-day-fund/&quot;,&quot;issued&quot;:{&quot;date-parts&quot;:[[2019]]},&quot;container-title-short&quot;:&quot;&quot;},&quot;isTemporary&quot;:false}]},{&quot;citationID&quot;:&quot;MENDELEY_CITATION_0e8389de-6dd5-4480-b9da-7a22396c0766&quot;,&quot;properties&quot;:{&quot;noteIndex&quot;:0},&quot;isEdited&quot;:false,&quot;manualOverride&quot;:{&quot;isManuallyOverridden&quot;:false,&quot;citeprocText&quot;:&quot;(Ginn &amp;#38; Marquette, 2019)&quot;,&quot;manualOverrideText&quot;:&quot;&quot;},&quot;citationTag&quot;:&quot;MENDELEY_CITATION_v3_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&quot;,&quot;citationItems&quot;:[{&quot;id&quot;:&quot;4f0cacec-8ac2-3b54-9080-8435984a1932&quot;,&quot;itemData&quot;:{&quot;type&quot;:&quot;webpage&quot;,&quot;id&quot;:&quot;4f0cacec-8ac2-3b54-9080-8435984a1932&quot;,&quot;title&quot;:&quot;Don’t Grow Government with Texas’ Rainy Day Fund&quot;,&quot;author&quot;:[{&quot;family&quot;:&quot;Ginn&quot;,&quot;given&quot;:&quot;Vance&quot;,&quot;parse-names&quot;:false,&quot;dropping-particle&quot;:&quot;&quot;,&quot;non-dropping-particle&quot;:&quot;&quot;},{&quot;family&quot;:&quot;Marquette&quot;,&quot;given&quot;:&quot;Josh&quot;,&quot;parse-names&quot;:false,&quot;dropping-particle&quot;:&quot;&quot;,&quot;non-dropping-particle&quot;:&quot;&quot;}],&quot;container-title&quot;:&quot;Texas Public Policy Foundation&quot;,&quot;accessed&quot;:{&quot;date-parts&quot;:[[2021,10,30]]},&quot;URL&quot;:&quot;https://www.texaspolicy.com/dont-grow-government-with-texas-rainy-day-fund/&quot;,&quot;issued&quot;:{&quot;date-parts&quot;:[[2019]]},&quot;container-title-short&quot;:&quot;&quot;},&quot;isTemporary&quot;:false}]},{&quot;properties&quot;:{&quot;noteIndex&quot;:0},&quot;citationID&quot;:&quot;MENDELEY_CITATION_a4a9d676-1f4b-4fc4-99e5-aa1444494be6&quot;,&quot;isEdited&quot;:false,&quot;manualOverride&quot;:{&quot;isManuallyOverriden&quot;:false,&quot;manualOverrideText&quot;:&quot;(Seawright, 2016)&quot;,&quot;isManuallyOverridden&quot;:true,&quot;citeprocText&quot;:&quot;(Seawright, 2016; Seawright &amp;#38; Gerring, 2008, p. 302)&quot;},&quot;citationTag&quot;:&quot;MENDELEY_CITATION_v3_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&quot;,&quot;citationItems&quot;:[{&quot;id&quot;:&quot;9d8bea06-61d9-3dbe-9500-725a1a42fb59&quot;,&quot;isTemporary&quot;:false,&quot;itemData&quot;:{&quot;type&quot;:&quot;article-journal&quot;,&quot;id&quot;:&quot;9d8bea06-61d9-3dbe-9500-725a1a42fb59&quot;,&quot;title&quot;:&quot;Multi-Method Social Science: Combining Qualitative and Quantitative Tools&quot;,&quot;author&quot;:[{&quot;family&quot;:&quot;Seawright&quot;,&quot;given&quot;:&quot;Jason&quot;,&quot;parse-names&quot;:false,&quot;dropping-particle&quot;:&quot;&quot;,&quot;non-dropping-particle&quot;:&quot;&quot;}],&quot;container-title&quot;:&quot;Strategies for social inquiry&quot;,&quot;issued&quot;:{&quot;date-parts&quot;:[[2016]]},&quot;abstract&quot;:&quot;Reflecting the rising popularity of research that combines qualitative and quantitative social science, Multi-Method Social Science provides the first systematic guide to designing multi-method research. It argues that methods can be productively combined using the framework of integrative multi-method research, with one method used to carry out a final causal inference, and methods from other traditions used to test the key assumptions involved in that causal inference. In making this argument, Jason Seawright considers a wide range of statistical tools including regression, matching, and natural experiments. The book also discusses qualitative tools including process tracing, the use of causal process observations, and comparative case study research. Along the way, the text develops over a dozen multi-method designs to test key assumptions about social science causation.  Offers a principled general framework for multi-method research design Provides detailed guidance for case selection Treats qualitative and quantitative methods as equal contributors to social science&quot;,&quot;container-title-short&quot;:&quot;&quot;}},{&quot;label&quot;:&quot;page&quot;,&quot;id&quot;:&quot;1b34b789-00ab-347e-8e88-6803b06373e8&quot;,&quot;isTemporary&quot;:false,&quot;locator&quot;:&quot;302&quot;,&quot;itemData&quot;:{&quot;type&quot;:&quot;article-journal&quot;,&quot;id&quot;:&quot;1b34b789-00ab-347e-8e88-6803b06373e8&quot;,&quot;title&quot;:&quot;Case selection techniques in case study research: A menu of qualitative and quantitative options&quot;,&quot;author&quot;:[{&quot;family&quot;:&quot;Seawright&quot;,&quot;given&quot;:&quot;Jason&quot;,&quot;parse-names&quot;:false,&quot;dropping-particle&quot;:&quot;&quot;,&quot;non-dropping-particle&quot;:&quot;&quot;},{&quot;family&quot;:&quot;Gerring&quot;,&quot;given&quot;:&quot;John&quot;,&quot;parse-names&quot;:false,&quot;dropping-particle&quot;:&quot;&quot;,&quot;non-dropping-particle&quot;:&quot;&quot;}],&quot;container-title&quot;:&quot;Political Research Quarterly&quot;,&quot;container-title-short&quot;:&quot;Polit Res Q&quot;,&quot;DOI&quot;:&quot;10.1177/1065912907313077&quot;,&quot;ISSN&quot;:&quot;10659129&quot;,&quot;issued&quot;:{&quot;date-parts&quot;:[[2008]]},&quot;abstract&quot;:&quot;How can scholars select cases from a large universe for in-depth case study analysis? Random sampling is not typically a viable approach when the total number of cases to be selected is small. Hence attention to purposive modes of sampling is needed. Yet, while the existing qualitative literature on case selection offers a wide range of suggestions for case selection, most techniques discussed require in-depth familiarity of each case. Seven case selection procedures are considered, each of which facilitates a different strategy for within-case analysis. The case selection procedures considered focus on typical, diverse, extreme, deviant, influential, most similar, and most different cases. For each case selection procedure, quantitative approaches are discussed that meet the goals of the approach, while still requiring information that can reasonably be gathered for a large number of cases. © 2008 University of Utah.&quot;,&quot;issue&quot;:&quot;2&quot;,&quot;volume&quot;:&quot;61&quot;}}]},{&quot;properties&quot;:{&quot;noteIndex&quot;:0},&quot;citationID&quot;:&quot;MENDELEY_CITATION_de471939-b282-46f9-ad7c-e7a27a569478&quot;,&quot;isEdited&quot;:false,&quot;manualOverride&quot;:{&quot;isManuallyOverridden&quot;:false,&quot;manualOverrideText&quot;:&quot;&quot;,&quot;citeprocText&quot;:&quot;(Bunch, 2010)&quot;},&quot;citationTag&quot;:&quot;MENDELEY_CITATION_v3_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&quot;,&quot;citationItems&quot;:[{&quot;id&quot;:&quot;69d3b27f-f052-3b94-aa61-573319c14064&quot;,&quot;isTemporary&quot;:false,&quot;itemData&quot;:{&quot;type&quot;:&quot;article-journal&quot;,&quot;id&quot;:&quot;69d3b27f-f052-3b94-aa61-573319c14064&quot;,&quot;title&quot;:&quot;Budget Deficits in the States: Illinois&quot;,&quot;author&quot;:[{&quot;family&quot;:&quot;Bunch&quot;,&quot;given&quot;:&quot;Beverly S.&quot;,&quot;parse-names&quot;:false,&quot;dropping-particle&quot;:&quot;&quot;,&quot;non-dropping-particle&quot;:&quot;&quot;}],&quot;container-title&quot;:&quot;Public Budgeting and Finance&quot;,&quot;DOI&quot;:&quot;10.1111/j.1540-5850.2010.00951.x&quot;,&quot;ISSN&quot;:&quot;02751100&quot;,&quot;issued&quot;:{&quot;date-parts&quot;:[[2010]]},&quot;abstract&quot;:&quot;During FY 2009 and FY 2010, the State of Illinois was faced with significant fiscal challenges. The national recession was adversely impacting the state's economy, while the state had been struggling since the last recession with operating budget deficits and large unfunded pension liabilities. In the spring of 2009, the Governor's Office of Budget and Management estimated that in the absence of any intervention, there would be a $4.3 billion budget deficit in FY 2009 and a $7.3 billion budget shortfall in FY 2010. This paper discusses the magnitude and nature of Illinois' fiscal problems and the factors that have contributed to this situation. It also discusses Governor Quinn's proposed budget for FY 2010, as well as the legislative response. Although the state passed a capital budget and an operating budget, the outlook for the future remains uncertain. The operating budget significantly relies on one-time revenue and funding sources (including $3.4 billion in debt) and the state has approximately $100 billion in unfunded accrued liabilities for pensions and other postemployment benefits. © 2010 Public Financial Publications, Inc.&quot;,&quot;issue&quot;:&quot;1&quot;,&quot;volume&quot;:&quot;30&quot;,&quot;container-title-short&quot;:&quot;&quot;}}]},{&quot;citationID&quot;:&quot;MENDELEY_CITATION_3ca284a3-fec6-4f05-8109-eff046383fcd&quot;,&quot;properties&quot;:{&quot;noteIndex&quot;:0},&quot;isEdited&quot;:false,&quot;manualOverride&quot;:{&quot;isManuallyOverridden&quot;:true,&quot;citeprocText&quot;:&quot;(K. Kriz, 2003)&quot;,&quot;manualOverrideText&quot;:&quot;(Kriz, 2003).&quot;},&quot;citationTag&quot;:&quot;MENDELEY_CITATION_v3_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&quot;,&quot;citationItems&quot;:[{&quot;id&quot;:&quot;1a371e03-ddaa-3bad-93d4-1b09344f5a86&quot;,&quot;itemData&quot;:{&quot;type&quot;:&quot;article-journal&quot;,&quot;id&quot;:&quot;1a371e03-ddaa-3bad-93d4-1b09344f5a86&quot;,&quot;title&quot;:&quot;The Optimal Level of Local Government Fund Balances: A Simulation Approach&quot;,&quot;author&quot;:[{&quot;family&quot;:&quot;Kriz&quot;,&quot;given&quot;:&quot;Kenneth&quot;,&quot;parse-names&quot;:false,&quot;dropping-particle&quot;:&quot;&quot;,&quot;non-dropping-particle&quot;:&quot;&quot;}],&quot;container-title&quot;:&quot;State Tax Notes&quot;,&quot;issued&quot;:{&quot;date-parts&quot;:[[2003]]},&quot;abstract&quot;:&quot;JSTOR is a not-for-profit service that helps scholars, researchers, and students discover, use, and build upon a wide range of content in a trusted digital archive. We use information technology and tools to increase productivity and facilitate new forms of scholarship. For more information about JSTOR, please contact support@jstor.org. Your use of the JSTOR archive indicates your acceptance of the Terms &amp; Conditions of Use, available at https://about.jstor.org/terms is collaborating with JSTOR to digitize, preserve and extend access&quot;,&quot;issue&quot;:&quot;10&quot;,&quot;volume&quot;:&quot;27&quot;,&quot;container-title-short&quot;:&quot;&quot;},&quot;isTemporary&quot;:false}]},{&quot;citationID&quot;:&quot;MENDELEY_CITATION_88c17abf-5cb4-45d8-9c84-42547189412f&quot;,&quot;properties&quot;:{&quot;noteIndex&quot;:0},&quot;isEdited&quot;:false,&quot;manualOverride&quot;:{&quot;isManuallyOverridden&quot;:true,&quot;citeprocText&quot;:&quot;(Wagner &amp;#38; Elder, 2005)&quot;,&quot;manualOverrideText&quot;:&quot;Wagner and Elder (2005)&quot;},&quot;citationTag&quot;:&quot;MENDELEY_CITATION_v3_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&quot;,&quot;citationItems&quot;:[{&quot;id&quot;:&quot;485cefbf-8f3c-3cbb-9ffd-11efdd53e653&quot;,&quot;itemData&quot;:{&quot;type&quot;:&quot;article&quot;,&quot;id&quot;:&quot;485cefbf-8f3c-3cbb-9ffd-11efdd53e653&quot;,&quot;title&quot;:&quot;The role of budget stabilization funds in smoothing government expenditures over the business cycle&quot;,&quot;author&quot;:[{&quot;family&quot;:&quot;Wagner&quot;,&quot;given&quot;:&quot;Gary A.&quot;,&quot;parse-names&quot;:false,&quot;dropping-particle&quot;:&quot;&quot;,&quot;non-dropping-particle&quot;:&quot;&quot;},{&quot;family&quot;:&quot;Elder&quot;,&quot;given&quot;:&quot;Erick M.&quot;,&quot;parse-names&quot;:false,&quot;dropping-particle&quot;:&quot;&quot;,&quot;non-dropping-particle&quot;:&quot;&quot;}],&quot;container-title&quot;:&quot;Public Finance Review&quot;,&quot;DOI&quot;:&quot;10.1177/1091142105276442&quot;,&quot;ISSN&quot;:&quot;10911421&quot;,&quot;issued&quot;:{&quot;date-parts&quot;:[[2005]]},&quot;page&quot;:&quot;439-465&quot;,&quot;abstract&quot;:&quot;The economic downturn that began in 2001 resulted in sizable budget shortfalls and arguably the worst fiscal conditions for state governments in decades. The use of savings to stabilize cyclical fluctuations in the budget has been institutionalized in most states in the form of budget stabilization funds. In this article, the authors explore how state expenditure volatility is affected by the existence, size, and structure of stabilization funds using multiple measures of expenditure cyclicality over the period from 1969 to 1999. The results indicate that while most states have not witnessed a reduction in expenditure volatility over the business cycle, states with rule-bound stabilization funds experience significantly less expenditure volatility from utilizing a budget stabilization fund. In fact, the authors find that state expenditures are approximately 20 percent less volatile following the adoption of a rule-bound budget stabilization fund. © 2005 Sage Publications.&quot;,&quot;issue&quot;:&quot;4&quot;,&quot;volume&quot;:&quot;33&quot;,&quot;container-title-short&quot;:&quot;&quot;},&quot;isTemporary&quot;:false}]},{&quot;citationID&quot;:&quot;MENDELEY_CITATION_fe56a32b-34ee-41fc-ac4c-bcb3fd356b6a&quot;,&quot;properties&quot;:{&quot;noteIndex&quot;:0},&quot;isEdited&quot;:false,&quot;manualOverride&quot;:{&quot;isManuallyOverridden&quot;:true,&quot;citeprocText&quot;:&quot;(Lee &amp;#38; Chen, 2022)&quot;,&quot;manualOverrideText&quot;:&quot;Lee and Chen (2022)&quot;},&quot;citationTag&quot;:&quot;MENDELEY_CITATION_v3_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&quot;,&quot;citationItems&quot;:[{&quot;id&quot;:&quot;cbd1839c-b8c0-3576-b1b1-d01a46964bd1&quot;,&quot;itemData&quot;:{&quot;type&quot;:&quot;article-journal&quot;,&quot;id&quot;:&quot;cbd1839c-b8c0-3576-b1b1-d01a46964bd1&quot;,&quot;title&quot;:&quot;Disaster Experience and Governments' Savings: The Moderating Role of Organizational Capacity&quot;,&quot;author&quot;:[{&quot;family&quot;:&quot;Lee&quot;,&quot;given&quot;:&quot;Sungyoon&quot;,&quot;parse-names&quot;:false,&quot;dropping-particle&quot;:&quot;&quot;,&quot;non-dropping-particle&quot;:&quot;&quot;},{&quot;family&quot;:&quot;Chen&quot;,&quot;given&quot;:&quot;Gang&quot;,&quot;parse-names&quot;:false,&quot;dropping-particle&quot;:&quot;&quot;,&quot;non-dropping-particle&quot;:&quot;&quot;}],&quot;container-title&quot;:&quot;Journal of Public Administration Research and Theory&quot;,&quot;DOI&quot;:&quot;10.1093/jopart/muab043&quot;,&quot;ISSN&quot;:&quot;14779803&quot;,&quot;issued&quot;:{&quot;date-parts&quot;:[[2022]]},&quot;abstract&quot;:&quot;The increasing risk of natural and human-induced disasters has caused considerable costs to governments. Governments' savings can function as a mechanism to mitigate such revenue or expenditure shocks due to disasters. While past studies have examined how recessions affect government reserves, to date, few studies have tested how a government's past experiences of natural disasters affect the level of its savings. In this study, we use organizational learning theory as a framework to explain this relationship. We empirically parse out the effect of previous disaster experience on reserve funds (i.e., rainy-day funds) and general savings (i.e., unassigned general fund balance). We further test whether organizational capacity serves as a moderator of the relationship between past disaster experience and savings. For the analysis, this study employs a Generalized Method of Moments (GMM) to examine a sample of US states for the years from 2002 to 2017. We find that an increase in cumulative damage from prior disasters is associated with an increase in rainy-day funds and this relationship is stronger in governments with a high organizational capacity. The results remain robust to estimations with alternative measures. These findings support the organizational learning theory, which suggests that governments learn from their past experiences to increase preparedness for future disasters. We also point out the importance of financial capacity in the process of organizational learning.&quot;,&quot;issue&quot;:&quot;3&quot;,&quot;volume&quot;:&quot;32&quot;,&quot;container-title-short&quot;:&quot;&quot;},&quot;isTemporary&quot;:false}]},{&quot;citationID&quot;:&quot;MENDELEY_CITATION_cd680f1a-8498-414f-931e-405d32cc6511&quot;,&quot;properties&quot;:{&quot;noteIndex&quot;:0},&quot;isEdited&quot;:false,&quot;manualOverride&quot;:{&quot;isManuallyOverridden&quot;:false,&quot;citeprocText&quot;:&quot;(Nebraska Unicameral Legislature, 2005)&quot;,&quot;manualOverrideText&quot;:&quot;&quot;},&quot;citationTag&quot;:&quot;MENDELEY_CITATION_v3_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&quot;,&quot;citationItems&quot;:[{&quot;id&quot;:&quot;4c769ac4-372f-3597-a4ec-b1d10f6d2cfb&quot;,&quot;itemData&quot;:{&quot;type&quot;:&quot;report&quot;,&quot;id&quot;:&quot;4c769ac4-372f-3597-a4ec-b1d10f6d2cfb&quot;,&quot;title&quot;:&quot;Appropriations Committee Preliminary Report for FY 2005-06/ FY 2006-07 Biennial Budget. &quot;,&quot;author&quot;:[{&quot;family&quot;:&quot;Nebraska Unicameral Legislature&quot;,&quot;given&quot;:&quot;&quot;,&quot;parse-names&quot;:false,&quot;dropping-particle&quot;:&quot;&quot;,&quot;non-dropping-particle&quot;:&quot;&quot;}],&quot;issued&quot;:{&quot;date-parts&quot;:[[2005,2]]},&quot;container-title-short&quot;:&quot;&quot;},&quot;isTemporary&quot;:false}]},{&quot;citationID&quot;:&quot;MENDELEY_CITATION_d795b59f-beac-4c9d-a644-dd57c35e57cb&quot;,&quot;properties&quot;:{&quot;noteIndex&quot;:0},&quot;isEdited&quot;:false,&quot;manualOverride&quot;:{&quot;isManuallyOverridden&quot;:false,&quot;citeprocText&quot;:&quot;(Nevada Legislature, 2003)&quot;,&quot;manualOverrideText&quot;:&quot;&quot;},&quot;citationTag&quot;:&quot;MENDELEY_CITATION_v3_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&quot;,&quot;citationItems&quot;:[{&quot;id&quot;:&quot;f68cc0f8-2a1a-3a41-bd80-40d5deb60186&quot;,&quot;itemData&quot;:{&quot;type&quot;:&quot;webpage&quot;,&quot;id&quot;:&quot;f68cc0f8-2a1a-3a41-bd80-40d5deb60186&quot;,&quot;title&quot;:&quot;Economic Forum&quot;,&quot;author&quot;:[{&quot;family&quot;:&quot;Nevada Legislature&quot;,&quot;given&quot;:&quot;&quot;,&quot;parse-names&quot;:false,&quot;dropping-particle&quot;:&quot;&quot;,&quot;non-dropping-particle&quot;:&quot;&quot;}],&quot;container-title&quot;:&quot;Nevada Legislature&quot;,&quot;accessed&quot;:{&quot;date-parts&quot;:[[2023,9,23]]},&quot;URL&quot;:&quot;https://www.leg.state.nv.us/division/fiscal/economic%20forum/index.html&quot;,&quot;issued&quot;:{&quot;date-parts&quot;:[[2003]]},&quot;container-title-short&quot;:&quot;&quot;},&quot;isTemporary&quot;:false}]},{&quot;citationID&quot;:&quot;MENDELEY_CITATION_56bbf6dc-f532-4441-bcb6-02dedb63c2a8&quot;,&quot;properties&quot;:{&quot;noteIndex&quot;:0},&quot;isEdited&quot;:false,&quot;manualOverride&quot;:{&quot;isManuallyOverridden&quot;:false,&quot;citeprocText&quot;:&quot;(Spears, 2020)&quot;,&quot;manualOverrideText&quot;:&quot;&quot;},&quot;citationTag&quot;:&quot;MENDELEY_CITATION_v3_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&quot;,&quot;citationItems&quot;:[{&quot;id&quot;:&quot;18308239-1a36-33cb-884e-cff2d6e7cbef&quot;,&quot;itemData&quot;:{&quot;type&quot;:&quot;report&quot;,&quot;id&quot;:&quot;18308239-1a36-33cb-884e-cff2d6e7cbef&quot;,&quot;title&quot;:&quot;State Budget Surpluses, Deficits, and Rainy Day Funds&quot;,&quot;author&quot;:[{&quot;family&quot;:&quot;Spears&quot;,&quot;given&quot;:&quot;Mandy&quot;,&quot;parse-names&quot;:false,&quot;dropping-particle&quot;:&quot;&quot;,&quot;non-dropping-particle&quot;:&quot;&quot;}],&quot;container-title&quot;:&quot;The Sycamore Institute&quot;,&quot;accessed&quot;:{&quot;date-parts&quot;:[[2023,9,23]]},&quot;URL&quot;:&quot;https://www.sycamoreinstitutetn.org/state-budget-surpluses-rainy-day-funds-deficits/.&quot;,&quot;issued&quot;:{&quot;date-parts&quot;:[[2020,3,13]]},&quot;container-title-short&quot;:&quot;&quot;},&quot;isTemporary&quot;:false}]},{&quot;citationID&quot;:&quot;MENDELEY_CITATION_48a8bfd1-a361-49f7-8834-dcf92c778a42&quot;,&quot;properties&quot;:{&quot;noteIndex&quot;:0},&quot;isEdited&quot;:false,&quot;manualOverride&quot;:{&quot;isManuallyOverridden&quot;:false,&quot;citeprocText&quot;:&quot;(Carlson et al., 2018)&quot;,&quot;manualOverrideText&quot;:&quot;&quot;},&quot;citationTag&quot;:&quot;MENDELEY_CITATION_v3_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&quot;,&quot;citationItems&quot;:[{&quot;id&quot;:&quot;1fa087aa-9652-3bcc-a6d6-fdb1f403b3ad&quot;,&quot;itemData&quot;:{&quot;type&quot;:&quot;report&quot;,&quot;id&quot;:&quot;1fa087aa-9652-3bcc-a6d6-fdb1f403b3ad&quot;,&quot;title&quot;:&quot;Budget stabilization reserve fund, Part III Recommendations for strengthening state finances&quot;,&quot;author&quot;:[{&quot;family&quot;:&quot;Carlson&quot;,&quot;given&quot;:&quot;Amy&quot;,&quot;parse-names&quot;:false,&quot;dropping-particle&quot;:&quot;&quot;,&quot;non-dropping-particle&quot;:&quot;&quot;},{&quot;family&quot;:&quot;Morrison&quot;,&quot;given&quot;:&quot;Stephanie&quot;,&quot;parse-names&quot;:false,&quot;dropping-particle&quot;:&quot;&quot;,&quot;non-dropping-particle&quot;:&quot;&quot;},{&quot;family&quot;:&quot;Poulette&quot;,&quot;given&quot;:&quot;Josh&quot;,&quot;parse-names&quot;:false,&quot;dropping-particle&quot;:&quot;&quot;,&quot;non-dropping-particle&quot;:&quot;&quot;},{&quot;family&quot;:&quot;Schaefer&quot;,&quot;given&quot;:&quot;Sam&quot;,&quot;parse-names&quot;:false,&quot;dropping-particle&quot;:&quot;&quot;,&quot;non-dropping-particle&quot;:&quot;&quot;}],&quot;accessed&quot;:{&quot;date-parts&quot;:[[2023,9,24]]},&quot;URL&quot;:&quot;https://leg.mt.gov/content/Publications/fiscal/interim/May-2018/BSRFIII-final.pdf&quot;,&quot;issued&quot;:{&quot;date-parts&quot;:[[2018,5,1]]},&quot;container-title-short&quot;:&quot;&quot;},&quot;isTemporary&quot;:false}]},{&quot;citationID&quot;:&quot;MENDELEY_CITATION_ca8ed8cf-8105-4d21-b548-3c697d4f2d78&quot;,&quot;properties&quot;:{&quot;noteIndex&quot;:0},&quot;isEdited&quot;:false,&quot;manualOverride&quot;:{&quot;isManuallyOverridden&quot;:false,&quot;citeprocText&quot;:&quot;(Carlson et al., 2018)&quot;,&quot;manualOverrideText&quot;:&quot;&quot;},&quot;citationTag&quot;:&quot;MENDELEY_CITATION_v3_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&quot;,&quot;citationItems&quot;:[{&quot;id&quot;:&quot;1fa087aa-9652-3bcc-a6d6-fdb1f403b3ad&quot;,&quot;itemData&quot;:{&quot;type&quot;:&quot;report&quot;,&quot;id&quot;:&quot;1fa087aa-9652-3bcc-a6d6-fdb1f403b3ad&quot;,&quot;title&quot;:&quot;Budget stabilization reserve fund, Part III Recommendations for strengthening state finances&quot;,&quot;author&quot;:[{&quot;family&quot;:&quot;Carlson&quot;,&quot;given&quot;:&quot;Amy&quot;,&quot;parse-names&quot;:false,&quot;dropping-particle&quot;:&quot;&quot;,&quot;non-dropping-particle&quot;:&quot;&quot;},{&quot;family&quot;:&quot;Morrison&quot;,&quot;given&quot;:&quot;Stephanie&quot;,&quot;parse-names&quot;:false,&quot;dropping-particle&quot;:&quot;&quot;,&quot;non-dropping-particle&quot;:&quot;&quot;},{&quot;family&quot;:&quot;Poulette&quot;,&quot;given&quot;:&quot;Josh&quot;,&quot;parse-names&quot;:false,&quot;dropping-particle&quot;:&quot;&quot;,&quot;non-dropping-particle&quot;:&quot;&quot;},{&quot;family&quot;:&quot;Schaefer&quot;,&quot;given&quot;:&quot;Sam&quot;,&quot;parse-names&quot;:false,&quot;dropping-particle&quot;:&quot;&quot;,&quot;non-dropping-particle&quot;:&quot;&quot;}],&quot;accessed&quot;:{&quot;date-parts&quot;:[[2023,9,24]]},&quot;URL&quot;:&quot;https://leg.mt.gov/content/Publications/fiscal/interim/May-2018/BSRFIII-final.pdf&quot;,&quot;issued&quot;:{&quot;date-parts&quot;:[[2018,5,1]]},&quot;container-title-short&quot;:&quot;&quot;},&quot;isTemporary&quot;:false}]},{&quot;properties&quot;:{&quot;noteIndex&quot;:0},&quot;citationID&quot;:&quot;MENDELEY_CITATION_f83604ae-30e4-4b6f-b6fa-2325b30e8296&quot;,&quot;isEdited&quot;:false,&quot;manualOverride&quot;:{&quot;citeprocText&quot;:&quot;(State of Arizona, 2022)&quot;,&quot;manualOverrideText&quot;:&quot;(2020, p. 81).&quot;,&quot;isManuallyOverridden&quot;:true},&quot;citationTag&quot;:&quot;MENDELEY_CITATION_v3_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&quot;,&quot;citationItems&quot;:[{&quot;id&quot;:&quot;cf2c663e-453c-379f-bc0d-06f4141cb073&quot;,&quot;isTemporary&quot;:false,&quot;itemData&quot;:{&quot;type&quot;:&quot;webpage&quot;,&quot;id&quot;:&quot;cf2c663e-453c-379f-bc0d-06f4141cb073&quot;,&quot;title&quot;:&quot;Comprehensive Annual Financial Report for the Fiscal Year Ended June 30, 2020&quot;,&quot;author&quot;:[{&quot;family&quot;:&quot;State of Arizona&quot;,&quot;given&quot;:&quot;&quot;,&quot;parse-names&quot;:false,&quot;dropping-particle&quot;:&quot;&quot;,&quot;non-dropping-particle&quot;:&quot;&quot;}],&quot;accessed&quot;:{&quot;date-parts&quot;:[[2022,10,21]]},&quot;URL&quot;:&quot;Comprehensive Annual Financial Report for the Fiscal Year Ended June 30, 2020&quot;,&quot;issued&quot;:{&quot;date-parts&quot;:[[2022]]},&quot;container-title-short&quot;:&quot;&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B3359B-682E-4F7D-B6D3-FA30D6BB7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5084</TotalTime>
  <Pages>208</Pages>
  <Words>54922</Words>
  <Characters>313062</Characters>
  <Application>Microsoft Office Word</Application>
  <DocSecurity>0</DocSecurity>
  <Lines>2608</Lines>
  <Paragraphs>734</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367250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Hyowon Park</dc:creator>
  <cp:keywords/>
  <dc:description/>
  <cp:lastModifiedBy>Hyowon Park</cp:lastModifiedBy>
  <cp:revision>1214</cp:revision>
  <cp:lastPrinted>2024-06-11T08:03:00Z</cp:lastPrinted>
  <dcterms:created xsi:type="dcterms:W3CDTF">2024-04-04T21:08:00Z</dcterms:created>
  <dcterms:modified xsi:type="dcterms:W3CDTF">2024-06-19T13:51:00Z</dcterms:modified>
</cp:coreProperties>
</file>